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0B5F" w14:paraId="34F492ED" w14:textId="77777777">
      <w:pPr>
        <w:jc w:val="right"/>
        <w:rPr>
          <w:sz w:val="24"/>
        </w:rPr>
      </w:pPr>
    </w:p>
    <w:p w:rsidR="00320B5F" w14:paraId="38EBB02F" w14:textId="2327D15F">
      <w:pPr>
        <w:jc w:val="right"/>
        <w:rPr>
          <w:b/>
          <w:sz w:val="24"/>
        </w:rPr>
      </w:pPr>
      <w:r w:rsidRPr="001809F8">
        <w:rPr>
          <w:b/>
          <w:sz w:val="24"/>
        </w:rPr>
        <w:t xml:space="preserve">DA </w:t>
      </w:r>
      <w:r w:rsidRPr="001809F8" w:rsidR="001809F8">
        <w:rPr>
          <w:b/>
          <w:sz w:val="24"/>
        </w:rPr>
        <w:t>24-250</w:t>
      </w:r>
    </w:p>
    <w:p w:rsidR="00320B5F" w14:paraId="44D2C242" w14:textId="0363BF1F">
      <w:pPr>
        <w:spacing w:before="60"/>
        <w:jc w:val="right"/>
        <w:rPr>
          <w:b/>
          <w:sz w:val="24"/>
        </w:rPr>
      </w:pPr>
      <w:r>
        <w:rPr>
          <w:b/>
          <w:sz w:val="24"/>
        </w:rPr>
        <w:t xml:space="preserve">Released:  </w:t>
      </w:r>
      <w:r w:rsidR="009B2A03">
        <w:rPr>
          <w:b/>
          <w:sz w:val="24"/>
        </w:rPr>
        <w:t xml:space="preserve">March </w:t>
      </w:r>
      <w:r w:rsidRPr="00DB63E7" w:rsidR="009B2A03">
        <w:rPr>
          <w:b/>
          <w:sz w:val="24"/>
        </w:rPr>
        <w:t>14</w:t>
      </w:r>
      <w:r w:rsidR="009B2A03">
        <w:rPr>
          <w:b/>
          <w:sz w:val="24"/>
        </w:rPr>
        <w:t>, 2024</w:t>
      </w:r>
    </w:p>
    <w:p w:rsidR="00320B5F" w14:paraId="647326E1" w14:textId="77777777">
      <w:pPr>
        <w:jc w:val="right"/>
        <w:rPr>
          <w:sz w:val="24"/>
        </w:rPr>
      </w:pPr>
    </w:p>
    <w:p w:rsidR="00320B5F" w:rsidRPr="002507DC" w:rsidP="002507DC" w14:paraId="244631AF" w14:textId="5E9FEBF8">
      <w:pPr>
        <w:spacing w:after="240"/>
        <w:jc w:val="center"/>
        <w:rPr>
          <w:rFonts w:ascii="Times New Roman Bold" w:hAnsi="Times New Roman Bold"/>
          <w:b/>
          <w:caps/>
          <w:sz w:val="24"/>
        </w:rPr>
      </w:pPr>
      <w:r>
        <w:rPr>
          <w:rFonts w:ascii="Times New Roman Bold" w:hAnsi="Times New Roman Bold"/>
          <w:b/>
          <w:caps/>
          <w:sz w:val="24"/>
        </w:rPr>
        <w:t>WIRELINE COMPETITION BUREAU SEEKS COMMENT ON PETITION FOR DECLARATORY RULING OR WAIVER OF SECTION 61.50 OF cOMMISSION’S RULES FILED BY hILLIARY COMMUNICA</w:t>
      </w:r>
      <w:r w:rsidR="00676428">
        <w:rPr>
          <w:rFonts w:ascii="Times New Roman Bold" w:hAnsi="Times New Roman Bold"/>
          <w:b/>
          <w:caps/>
          <w:sz w:val="24"/>
        </w:rPr>
        <w:t>ti</w:t>
      </w:r>
      <w:r>
        <w:rPr>
          <w:rFonts w:ascii="Times New Roman Bold" w:hAnsi="Times New Roman Bold"/>
          <w:b/>
          <w:caps/>
          <w:sz w:val="24"/>
        </w:rPr>
        <w:t>ONS llC</w:t>
      </w:r>
    </w:p>
    <w:p w:rsidR="00320B5F" w14:paraId="33ECCCDC" w14:textId="3D8E2501">
      <w:pPr>
        <w:jc w:val="center"/>
        <w:rPr>
          <w:b/>
          <w:sz w:val="24"/>
        </w:rPr>
      </w:pPr>
      <w:r>
        <w:rPr>
          <w:b/>
          <w:sz w:val="24"/>
        </w:rPr>
        <w:t xml:space="preserve">WC Docket Nos. 10-90, 17-144, </w:t>
      </w:r>
      <w:r w:rsidR="00821824">
        <w:rPr>
          <w:b/>
          <w:sz w:val="24"/>
        </w:rPr>
        <w:t>24-82</w:t>
      </w:r>
      <w:r>
        <w:rPr>
          <w:b/>
          <w:sz w:val="24"/>
        </w:rPr>
        <w:t xml:space="preserve"> </w:t>
      </w:r>
    </w:p>
    <w:p w:rsidR="00320B5F" w14:paraId="1E7BD5F0" w14:textId="77777777">
      <w:bookmarkStart w:id="0" w:name="TOChere"/>
    </w:p>
    <w:p w:rsidR="002507DC" w:rsidP="00291FB6" w14:paraId="6A81F8DD" w14:textId="78887749">
      <w:pPr>
        <w:spacing w:after="240"/>
      </w:pPr>
      <w:r w:rsidRPr="00C24F0C">
        <w:rPr>
          <w:b/>
          <w:bCs/>
        </w:rPr>
        <w:t xml:space="preserve">Comments Due: </w:t>
      </w:r>
      <w:r w:rsidR="009B2A03">
        <w:rPr>
          <w:b/>
          <w:bCs/>
        </w:rPr>
        <w:t>April 15, 2024</w:t>
      </w:r>
      <w:r w:rsidR="00DF7035">
        <w:rPr>
          <w:b/>
          <w:bCs/>
        </w:rPr>
        <w:br/>
      </w:r>
      <w:r w:rsidRPr="00C24F0C">
        <w:rPr>
          <w:b/>
          <w:bCs/>
        </w:rPr>
        <w:t xml:space="preserve">Replies Due: </w:t>
      </w:r>
      <w:r w:rsidR="009B2A03">
        <w:rPr>
          <w:b/>
          <w:bCs/>
        </w:rPr>
        <w:t>April 30, 2024</w:t>
      </w:r>
    </w:p>
    <w:p w:rsidR="00320B5F" w:rsidP="00264810" w14:paraId="7BB0A8BF" w14:textId="36A04E02">
      <w:pPr>
        <w:spacing w:after="120"/>
      </w:pPr>
      <w:r>
        <w:tab/>
      </w:r>
      <w:r w:rsidR="00C24F0C">
        <w:t xml:space="preserve">By this Public Notice, </w:t>
      </w:r>
      <w:r w:rsidR="00B53818">
        <w:t>the Wireline Competition Bureau (Bureau) seeks comment from interested parties on a petition for declaratory ruling or waiver of section 61.50(a) of the Commission’s rules filed by Hilliary Communications LLC</w:t>
      </w:r>
      <w:r w:rsidR="007B0BDE">
        <w:t xml:space="preserve"> (Hilliary)</w:t>
      </w:r>
      <w:r w:rsidR="00B53818">
        <w:t>.</w:t>
      </w:r>
      <w:r>
        <w:rPr>
          <w:rStyle w:val="FootnoteReference"/>
        </w:rPr>
        <w:footnoteReference w:id="3"/>
      </w:r>
      <w:r w:rsidR="007B0BDE">
        <w:t xml:space="preserve">  Hilliary seeks a declaratory ruling that section 61.50(a) of the Commission’s rules and the </w:t>
      </w:r>
      <w:r w:rsidRPr="007B0BDE" w:rsidR="007B0BDE">
        <w:rPr>
          <w:i/>
          <w:iCs/>
        </w:rPr>
        <w:t>Enhanced A-CAM Order</w:t>
      </w:r>
      <w:r w:rsidR="007B0BDE">
        <w:t xml:space="preserve"> do not compel Oklahoma Western Telephone Company, Inc. and Medicine Park Telephone Company, Inc.,</w:t>
      </w:r>
      <w:r w:rsidR="00EC5F82">
        <w:t xml:space="preserve"> local exchange carrier affiliates of Hilliary,</w:t>
      </w:r>
      <w:r w:rsidR="007B0BDE">
        <w:t xml:space="preserve"> to convert their business data service (BDS) offerings </w:t>
      </w:r>
      <w:r w:rsidR="00461E10">
        <w:t xml:space="preserve">from rate-of-return </w:t>
      </w:r>
      <w:r w:rsidR="007B0BDE">
        <w:t xml:space="preserve">to incentive regulation </w:t>
      </w:r>
      <w:r w:rsidR="008D6E7D">
        <w:t xml:space="preserve">“merely </w:t>
      </w:r>
      <w:r w:rsidR="007B0BDE">
        <w:t xml:space="preserve">because they have now become affiliated with </w:t>
      </w:r>
      <w:r w:rsidR="008D6E7D">
        <w:t>[</w:t>
      </w:r>
      <w:r w:rsidR="007B0BDE">
        <w:t>Southwest Oklahoma Telephone Company, Inc.</w:t>
      </w:r>
      <w:r w:rsidR="000F0B7A">
        <w:t xml:space="preserve"> (SWOT)</w:t>
      </w:r>
      <w:r w:rsidR="008D6E7D">
        <w:t>]</w:t>
      </w:r>
      <w:r w:rsidR="007B0BDE">
        <w:t>,</w:t>
      </w:r>
      <w:r w:rsidR="008D6E7D">
        <w:t>”</w:t>
      </w:r>
      <w:r w:rsidR="007B0BDE">
        <w:t xml:space="preserve"> a carrier </w:t>
      </w:r>
      <w:r w:rsidR="00DF7035">
        <w:t>that elected</w:t>
      </w:r>
      <w:r w:rsidR="007B0BDE">
        <w:t xml:space="preserve"> BDS incentive regulation.</w:t>
      </w:r>
      <w:r>
        <w:rPr>
          <w:rStyle w:val="FootnoteReference"/>
        </w:rPr>
        <w:footnoteReference w:id="4"/>
      </w:r>
      <w:r w:rsidR="007B0BDE">
        <w:t xml:space="preserve">  In the alternative, Hilliary seeks </w:t>
      </w:r>
      <w:r w:rsidR="000F0B7A">
        <w:t>“</w:t>
      </w:r>
      <w:r w:rsidR="007B0BDE">
        <w:t>a waiver of section 61.50(a)</w:t>
      </w:r>
      <w:r w:rsidR="000F0B7A">
        <w:t xml:space="preserve">, so that SWOT may return its BDS to traditional rate-of-return regulation or, at a minimum, to preserve the current ‘mixed’ regulation </w:t>
      </w:r>
      <w:r w:rsidRPr="000F0B7A" w:rsidR="000F0B7A">
        <w:rPr>
          <w:i/>
          <w:iCs/>
        </w:rPr>
        <w:t>status quo</w:t>
      </w:r>
      <w:r w:rsidR="000F0B7A">
        <w:t>.”</w:t>
      </w:r>
      <w:r>
        <w:rPr>
          <w:rStyle w:val="FootnoteReference"/>
        </w:rPr>
        <w:footnoteReference w:id="5"/>
      </w:r>
    </w:p>
    <w:bookmarkEnd w:id="0"/>
    <w:p w:rsidR="00B53818" w:rsidP="00B53818" w14:paraId="05E38723" w14:textId="2425B78D">
      <w:pPr>
        <w:widowControl/>
        <w:autoSpaceDE w:val="0"/>
        <w:autoSpaceDN w:val="0"/>
        <w:adjustRightInd w:val="0"/>
        <w:spacing w:after="120"/>
        <w:ind w:firstLine="720"/>
        <w:rPr>
          <w:snapToGrid/>
          <w:kern w:val="0"/>
          <w:szCs w:val="22"/>
        </w:rPr>
      </w:pPr>
      <w:r w:rsidRPr="00FD699D">
        <w:rPr>
          <w:i/>
          <w:iCs/>
          <w:szCs w:val="22"/>
        </w:rPr>
        <w:t>Filing Requirements</w:t>
      </w:r>
      <w:r w:rsidRPr="00FD699D">
        <w:rPr>
          <w:szCs w:val="22"/>
        </w:rPr>
        <w:t xml:space="preserve">.  </w:t>
      </w:r>
      <w:r>
        <w:rPr>
          <w:snapToGrid/>
          <w:kern w:val="0"/>
          <w:szCs w:val="22"/>
        </w:rPr>
        <w:t>I</w:t>
      </w:r>
      <w:r w:rsidRPr="00FD699D">
        <w:rPr>
          <w:snapToGrid/>
          <w:kern w:val="0"/>
          <w:szCs w:val="22"/>
        </w:rPr>
        <w:t>nterested parties may file comments on or before the dates indicated above.</w:t>
      </w:r>
      <w:r>
        <w:rPr>
          <w:rStyle w:val="FootnoteReference"/>
          <w:snapToGrid/>
          <w:kern w:val="0"/>
          <w:szCs w:val="22"/>
        </w:rPr>
        <w:footnoteReference w:id="6"/>
      </w:r>
      <w:r w:rsidRPr="00FD699D">
        <w:rPr>
          <w:snapToGrid/>
          <w:kern w:val="0"/>
          <w:szCs w:val="22"/>
        </w:rPr>
        <w:t xml:space="preserve">  </w:t>
      </w:r>
      <w:r>
        <w:rPr>
          <w:snapToGrid/>
          <w:kern w:val="0"/>
          <w:szCs w:val="22"/>
        </w:rPr>
        <w:t>All filings must</w:t>
      </w:r>
      <w:r w:rsidRPr="00FD699D">
        <w:rPr>
          <w:snapToGrid/>
          <w:kern w:val="0"/>
          <w:szCs w:val="22"/>
        </w:rPr>
        <w:t xml:space="preserve"> </w:t>
      </w:r>
      <w:r>
        <w:rPr>
          <w:snapToGrid/>
          <w:kern w:val="0"/>
          <w:szCs w:val="22"/>
        </w:rPr>
        <w:t xml:space="preserve">refer to </w:t>
      </w:r>
      <w:r w:rsidRPr="00DC07DD">
        <w:rPr>
          <w:b/>
          <w:bCs/>
          <w:snapToGrid/>
          <w:kern w:val="0"/>
          <w:szCs w:val="22"/>
        </w:rPr>
        <w:t xml:space="preserve">WC Docket No. </w:t>
      </w:r>
      <w:r>
        <w:rPr>
          <w:b/>
          <w:bCs/>
          <w:snapToGrid/>
          <w:kern w:val="0"/>
          <w:szCs w:val="22"/>
        </w:rPr>
        <w:t xml:space="preserve">10-90, 17-144, and </w:t>
      </w:r>
      <w:r w:rsidR="00821824">
        <w:rPr>
          <w:b/>
          <w:bCs/>
          <w:snapToGrid/>
          <w:kern w:val="0"/>
          <w:szCs w:val="22"/>
        </w:rPr>
        <w:t>24-82</w:t>
      </w:r>
      <w:r w:rsidRPr="00FD699D">
        <w:rPr>
          <w:snapToGrid/>
          <w:kern w:val="0"/>
          <w:szCs w:val="22"/>
        </w:rPr>
        <w:t xml:space="preserve">. </w:t>
      </w:r>
    </w:p>
    <w:p w:rsidR="00B53818" w:rsidRPr="00C462F3" w:rsidP="00B53818" w14:paraId="04C3FB3F" w14:textId="77777777">
      <w:pPr>
        <w:widowControl/>
        <w:numPr>
          <w:ilvl w:val="0"/>
          <w:numId w:val="7"/>
        </w:numPr>
        <w:snapToGrid w:val="0"/>
        <w:spacing w:after="120"/>
        <w:rPr>
          <w:snapToGrid/>
          <w:szCs w:val="22"/>
        </w:rPr>
      </w:pPr>
      <w:r w:rsidRPr="00C462F3">
        <w:rPr>
          <w:snapToGrid/>
          <w:szCs w:val="22"/>
        </w:rPr>
        <w:t xml:space="preserve">Electronic Filers:  Comments may be filed electronically using the Commission’s online Electronic Comment Filing System (ECFS):  </w:t>
      </w:r>
      <w:r w:rsidRPr="00C462F3">
        <w:rPr>
          <w:snapToGrid/>
          <w:szCs w:val="22"/>
          <w:u w:val="single"/>
        </w:rPr>
        <w:t>https://www.fcc.gov/ecfs/</w:t>
      </w:r>
      <w:r w:rsidRPr="00C462F3">
        <w:rPr>
          <w:snapToGrid/>
          <w:szCs w:val="22"/>
        </w:rPr>
        <w:t>.</w:t>
      </w:r>
      <w:r>
        <w:rPr>
          <w:snapToGrid/>
          <w:szCs w:val="22"/>
          <w:vertAlign w:val="superscript"/>
        </w:rPr>
        <w:footnoteReference w:id="7"/>
      </w:r>
      <w:r w:rsidRPr="00C462F3">
        <w:rPr>
          <w:snapToGrid/>
          <w:szCs w:val="22"/>
        </w:rPr>
        <w:t>   </w:t>
      </w:r>
    </w:p>
    <w:p w:rsidR="00B53818" w:rsidRPr="00C462F3" w:rsidP="00B53818" w14:paraId="6D8A55D5" w14:textId="77777777">
      <w:pPr>
        <w:widowControl/>
        <w:numPr>
          <w:ilvl w:val="0"/>
          <w:numId w:val="7"/>
        </w:numPr>
        <w:snapToGrid w:val="0"/>
        <w:spacing w:after="120"/>
        <w:rPr>
          <w:snapToGrid/>
          <w:szCs w:val="22"/>
        </w:rPr>
      </w:pPr>
      <w:r w:rsidRPr="00C462F3">
        <w:rPr>
          <w:snapToGrid/>
          <w:szCs w:val="22"/>
        </w:rPr>
        <w:t>Paper Filers:  Parties who choose to file by paper must file an original and one copy of each filing. </w:t>
      </w:r>
    </w:p>
    <w:p w:rsidR="00B53818" w:rsidRPr="00C462F3" w:rsidP="00B53818" w14:paraId="6F0BC430" w14:textId="77777777">
      <w:pPr>
        <w:widowControl/>
        <w:numPr>
          <w:ilvl w:val="0"/>
          <w:numId w:val="8"/>
        </w:numPr>
        <w:tabs>
          <w:tab w:val="num" w:pos="720"/>
        </w:tabs>
        <w:snapToGrid w:val="0"/>
        <w:spacing w:after="120"/>
        <w:rPr>
          <w:snapToGrid/>
          <w:szCs w:val="22"/>
        </w:rPr>
      </w:pPr>
      <w:r w:rsidRPr="00C462F3">
        <w:rPr>
          <w:snapToGrid/>
          <w:szCs w:val="22"/>
        </w:rPr>
        <w:t>Filings can be sent by commercial overnight courier, or by first-class or overnight U.S. Postal Service mail.  All filings must be addressed to the Commission’s Secretary, Office of the Secretary, Federal Communications Commission. </w:t>
      </w:r>
    </w:p>
    <w:p w:rsidR="00B53818" w:rsidRPr="00C462F3" w:rsidP="00B53818" w14:paraId="3172505D" w14:textId="77777777">
      <w:pPr>
        <w:widowControl/>
        <w:numPr>
          <w:ilvl w:val="0"/>
          <w:numId w:val="8"/>
        </w:numPr>
        <w:tabs>
          <w:tab w:val="num" w:pos="720"/>
        </w:tabs>
        <w:snapToGrid w:val="0"/>
        <w:spacing w:after="120"/>
        <w:rPr>
          <w:snapToGrid/>
          <w:szCs w:val="22"/>
        </w:rPr>
      </w:pPr>
      <w:r w:rsidRPr="00C462F3">
        <w:rPr>
          <w:snapToGrid/>
          <w:szCs w:val="22"/>
        </w:rPr>
        <w:t>Commercial overnight mail (other than U.S. Postal Service Express Mail and Priority Mail) must be sent to 9050 Junction Drive, Annapolis Junction, MD 20701.  U.S. Postal Service first-class, Express, and Priority mail must be addressed to 45 L Street, NE, Washington</w:t>
      </w:r>
      <w:r>
        <w:rPr>
          <w:snapToGrid/>
          <w:szCs w:val="22"/>
        </w:rPr>
        <w:t>,</w:t>
      </w:r>
      <w:r w:rsidRPr="00C462F3">
        <w:rPr>
          <w:snapToGrid/>
          <w:szCs w:val="22"/>
        </w:rPr>
        <w:t xml:space="preserve"> DC 20554. </w:t>
      </w:r>
    </w:p>
    <w:p w:rsidR="00B53818" w:rsidRPr="00C462F3" w:rsidP="00B53818" w14:paraId="0981BB0F" w14:textId="77777777">
      <w:pPr>
        <w:widowControl/>
        <w:numPr>
          <w:ilvl w:val="0"/>
          <w:numId w:val="8"/>
        </w:numPr>
        <w:tabs>
          <w:tab w:val="num" w:pos="720"/>
        </w:tabs>
        <w:snapToGrid w:val="0"/>
        <w:spacing w:after="120"/>
        <w:rPr>
          <w:snapToGrid/>
          <w:szCs w:val="22"/>
        </w:rPr>
      </w:pPr>
      <w:r w:rsidRPr="00C462F3">
        <w:rPr>
          <w:snapToGrid/>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snapToGrid/>
          <w:szCs w:val="22"/>
          <w:vertAlign w:val="superscript"/>
        </w:rPr>
        <w:footnoteReference w:id="8"/>
      </w:r>
    </w:p>
    <w:p w:rsidR="00B53818" w:rsidRPr="00C462F3" w:rsidP="00B53818" w14:paraId="50F1D590" w14:textId="77777777">
      <w:pPr>
        <w:widowControl/>
        <w:snapToGrid w:val="0"/>
        <w:spacing w:after="120"/>
        <w:ind w:firstLine="720"/>
        <w:rPr>
          <w:snapToGrid/>
          <w:szCs w:val="22"/>
        </w:rPr>
      </w:pPr>
      <w:r w:rsidRPr="00C462F3">
        <w:rPr>
          <w:i/>
          <w:iCs/>
          <w:snapToGrid/>
          <w:szCs w:val="22"/>
        </w:rPr>
        <w:t>People with Disabilities</w:t>
      </w:r>
      <w:r w:rsidRPr="00C462F3">
        <w:rPr>
          <w:snapToGrid/>
          <w:szCs w:val="22"/>
        </w:rPr>
        <w:t>.  To request materials in accessible formats for people with disabilities (braille, large print, electronic files, audio format), send an e-mail to fcc504@fcc.gov or call the Consumer &amp; Governmental Affairs Bureau at 202-418-0530 (voice), 202-418-0432 (</w:t>
      </w:r>
      <w:r w:rsidRPr="00C462F3">
        <w:rPr>
          <w:snapToGrid/>
          <w:szCs w:val="22"/>
        </w:rPr>
        <w:t>tty</w:t>
      </w:r>
      <w:r w:rsidRPr="00C462F3">
        <w:rPr>
          <w:snapToGrid/>
          <w:szCs w:val="22"/>
        </w:rPr>
        <w:t xml:space="preserve">). </w:t>
      </w:r>
    </w:p>
    <w:p w:rsidR="00B53818" w:rsidRPr="00D81D95" w:rsidP="00B53818" w14:paraId="689AC81B" w14:textId="77777777">
      <w:pPr>
        <w:widowControl/>
        <w:spacing w:after="120"/>
        <w:ind w:firstLine="720"/>
        <w:rPr>
          <w:rFonts w:eastAsia="Calibri"/>
          <w:strike/>
          <w:snapToGrid/>
          <w:color w:val="FF0000"/>
          <w:kern w:val="0"/>
          <w:szCs w:val="22"/>
        </w:rPr>
      </w:pPr>
      <w:r w:rsidRPr="00C462F3">
        <w:rPr>
          <w:i/>
          <w:iCs/>
          <w:snapToGrid/>
          <w:szCs w:val="22"/>
        </w:rPr>
        <w:t>Availability of Documents</w:t>
      </w:r>
      <w:r w:rsidRPr="00C462F3">
        <w:rPr>
          <w:snapToGrid/>
          <w:szCs w:val="22"/>
        </w:rPr>
        <w:t xml:space="preserve">.  Comments, reply comments, and </w:t>
      </w:r>
      <w:r w:rsidRPr="00C462F3">
        <w:rPr>
          <w:i/>
          <w:snapToGrid/>
          <w:szCs w:val="22"/>
        </w:rPr>
        <w:t>ex parte</w:t>
      </w:r>
      <w:r w:rsidRPr="00C462F3">
        <w:rPr>
          <w:snapToGrid/>
          <w:szCs w:val="22"/>
        </w:rPr>
        <w:t xml:space="preserve"> submissions will be publicly available online via ECFS.</w:t>
      </w:r>
      <w:r>
        <w:rPr>
          <w:snapToGrid/>
          <w:szCs w:val="22"/>
          <w:vertAlign w:val="superscript"/>
        </w:rPr>
        <w:footnoteReference w:id="9"/>
      </w:r>
      <w:r w:rsidRPr="00C462F3">
        <w:rPr>
          <w:snapToGrid/>
          <w:szCs w:val="22"/>
        </w:rPr>
        <w:t xml:space="preserve">  </w:t>
      </w:r>
    </w:p>
    <w:p w:rsidR="00B53818" w:rsidRPr="00FD699D" w:rsidP="00B53818" w14:paraId="14FBA900" w14:textId="77777777">
      <w:pPr>
        <w:widowControl/>
        <w:autoSpaceDE w:val="0"/>
        <w:autoSpaceDN w:val="0"/>
        <w:adjustRightInd w:val="0"/>
        <w:spacing w:after="120"/>
        <w:ind w:firstLine="720"/>
        <w:rPr>
          <w:snapToGrid/>
          <w:color w:val="000000"/>
          <w:kern w:val="0"/>
          <w:szCs w:val="22"/>
        </w:rPr>
      </w:pPr>
      <w:r w:rsidRPr="00FD699D">
        <w:rPr>
          <w:i/>
          <w:iCs/>
          <w:snapToGrid/>
          <w:color w:val="000000"/>
          <w:kern w:val="0"/>
          <w:szCs w:val="22"/>
        </w:rPr>
        <w:t>Ex Parte Rules</w:t>
      </w:r>
      <w:r w:rsidRPr="00FD699D">
        <w:rPr>
          <w:snapToGrid/>
          <w:color w:val="000000"/>
          <w:kern w:val="0"/>
          <w:szCs w:val="22"/>
        </w:rPr>
        <w:t xml:space="preserve">.  The proceeding is considered a “permit-but-disclose” proceeding in accordance with the Commission’s </w:t>
      </w:r>
      <w:r w:rsidRPr="00FD699D">
        <w:rPr>
          <w:i/>
          <w:iCs/>
          <w:snapToGrid/>
          <w:color w:val="000000"/>
          <w:kern w:val="0"/>
          <w:szCs w:val="22"/>
        </w:rPr>
        <w:t xml:space="preserve">ex parte </w:t>
      </w:r>
      <w:r w:rsidRPr="00FD699D">
        <w:rPr>
          <w:snapToGrid/>
          <w:color w:val="000000"/>
          <w:kern w:val="0"/>
          <w:szCs w:val="22"/>
        </w:rPr>
        <w:t>rules.</w:t>
      </w:r>
      <w:r>
        <w:rPr>
          <w:rStyle w:val="FootnoteReference"/>
          <w:snapToGrid/>
          <w:kern w:val="0"/>
          <w:szCs w:val="22"/>
        </w:rPr>
        <w:footnoteReference w:id="10"/>
      </w:r>
      <w:r w:rsidRPr="00FD699D">
        <w:rPr>
          <w:snapToGrid/>
          <w:color w:val="000000"/>
          <w:kern w:val="0"/>
          <w:szCs w:val="22"/>
        </w:rPr>
        <w:t xml:space="preserve">  Persons making </w:t>
      </w:r>
      <w:r w:rsidRPr="00FD699D">
        <w:rPr>
          <w:i/>
          <w:iCs/>
          <w:snapToGrid/>
          <w:color w:val="000000"/>
          <w:kern w:val="0"/>
          <w:szCs w:val="22"/>
        </w:rPr>
        <w:t xml:space="preserve">ex parte </w:t>
      </w:r>
      <w:r w:rsidRPr="00FD699D">
        <w:rPr>
          <w:snapToGrid/>
          <w:color w:val="000000"/>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D699D">
        <w:rPr>
          <w:i/>
          <w:iCs/>
          <w:snapToGrid/>
          <w:color w:val="000000"/>
          <w:kern w:val="0"/>
          <w:szCs w:val="22"/>
        </w:rPr>
        <w:t xml:space="preserve">ex parte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parte </w:t>
      </w:r>
      <w:r w:rsidRPr="00FD699D">
        <w:rPr>
          <w:snapToGrid/>
          <w:color w:val="000000"/>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D699D">
        <w:rPr>
          <w:i/>
          <w:iCs/>
          <w:snapToGrid/>
          <w:color w:val="000000"/>
          <w:kern w:val="0"/>
          <w:szCs w:val="22"/>
        </w:rPr>
        <w:t xml:space="preserve">ex parte </w:t>
      </w:r>
      <w:r w:rsidRPr="00FD699D">
        <w:rPr>
          <w:snapToGrid/>
          <w:color w:val="000000"/>
          <w:kern w:val="0"/>
          <w:szCs w:val="22"/>
        </w:rPr>
        <w:t xml:space="preserve">meetings are deemed to be written </w:t>
      </w:r>
      <w:r w:rsidRPr="00FD699D">
        <w:rPr>
          <w:i/>
          <w:iCs/>
          <w:snapToGrid/>
          <w:color w:val="000000"/>
          <w:kern w:val="0"/>
          <w:szCs w:val="22"/>
        </w:rPr>
        <w:t xml:space="preserve">ex parte </w:t>
      </w:r>
      <w:r w:rsidRPr="00FD699D">
        <w:rPr>
          <w:snapToGrid/>
          <w:color w:val="000000"/>
          <w:kern w:val="0"/>
          <w:szCs w:val="22"/>
        </w:rPr>
        <w:t xml:space="preserve">presentations and must be filed consistent with rule 1.1206(b).  In proceedings governed by rule 1.49(f) or for which the Commission has made available a method of electronic filing, written </w:t>
      </w:r>
      <w:r w:rsidRPr="00FD699D">
        <w:rPr>
          <w:i/>
          <w:iCs/>
          <w:snapToGrid/>
          <w:color w:val="000000"/>
          <w:kern w:val="0"/>
          <w:szCs w:val="22"/>
        </w:rPr>
        <w:t xml:space="preserve">ex parte </w:t>
      </w:r>
      <w:r w:rsidRPr="00FD699D">
        <w:rPr>
          <w:snapToGrid/>
          <w:color w:val="000000"/>
          <w:kern w:val="0"/>
          <w:szCs w:val="22"/>
        </w:rPr>
        <w:t xml:space="preserve">presentations and memoranda summarizing oral </w:t>
      </w:r>
      <w:r w:rsidRPr="00FD699D">
        <w:rPr>
          <w:i/>
          <w:iCs/>
          <w:snapToGrid/>
          <w:color w:val="000000"/>
          <w:kern w:val="0"/>
          <w:szCs w:val="22"/>
        </w:rPr>
        <w:t xml:space="preserve">ex parte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Participants in this proceeding should familiarize themselves with the Commission’s </w:t>
      </w:r>
      <w:r w:rsidRPr="00FD699D">
        <w:rPr>
          <w:i/>
          <w:iCs/>
          <w:snapToGrid/>
          <w:color w:val="000000"/>
          <w:kern w:val="0"/>
          <w:szCs w:val="22"/>
        </w:rPr>
        <w:t xml:space="preserve">ex parte </w:t>
      </w:r>
      <w:r w:rsidRPr="00FD699D">
        <w:rPr>
          <w:snapToGrid/>
          <w:color w:val="000000"/>
          <w:kern w:val="0"/>
          <w:szCs w:val="22"/>
        </w:rPr>
        <w:t>rules.</w:t>
      </w:r>
    </w:p>
    <w:p w:rsidR="00B53818" w:rsidRPr="00FD699D" w:rsidP="00B53818" w14:paraId="158F1BC7" w14:textId="6EBCEC1A">
      <w:pPr>
        <w:widowControl/>
        <w:autoSpaceDE w:val="0"/>
        <w:autoSpaceDN w:val="0"/>
        <w:adjustRightInd w:val="0"/>
        <w:spacing w:after="240"/>
        <w:ind w:firstLine="720"/>
        <w:rPr>
          <w:snapToGrid/>
          <w:color w:val="000000"/>
          <w:kern w:val="0"/>
          <w:szCs w:val="22"/>
        </w:rPr>
      </w:pPr>
      <w:r w:rsidRPr="00FD699D">
        <w:rPr>
          <w:snapToGrid/>
          <w:color w:val="000000"/>
          <w:kern w:val="0"/>
          <w:szCs w:val="22"/>
        </w:rPr>
        <w:t xml:space="preserve">For further information, please contact </w:t>
      </w:r>
      <w:r>
        <w:rPr>
          <w:snapToGrid/>
          <w:color w:val="000000"/>
          <w:kern w:val="0"/>
          <w:szCs w:val="22"/>
        </w:rPr>
        <w:t>Christopher Koves</w:t>
      </w:r>
      <w:r w:rsidRPr="00FD699D">
        <w:rPr>
          <w:snapToGrid/>
          <w:color w:val="000000"/>
          <w:kern w:val="0"/>
          <w:szCs w:val="22"/>
        </w:rPr>
        <w:t>, Wireline Competition Bureau, Pricing Policy Division, at (202) 418-</w:t>
      </w:r>
      <w:r w:rsidR="00265240">
        <w:rPr>
          <w:snapToGrid/>
          <w:color w:val="000000"/>
          <w:kern w:val="0"/>
          <w:szCs w:val="22"/>
        </w:rPr>
        <w:t>8209</w:t>
      </w:r>
      <w:r w:rsidRPr="00FD699D">
        <w:rPr>
          <w:snapToGrid/>
          <w:color w:val="000000"/>
          <w:kern w:val="0"/>
          <w:szCs w:val="22"/>
        </w:rPr>
        <w:t xml:space="preserve"> or via email at </w:t>
      </w:r>
      <w:hyperlink r:id="rId5" w:history="1">
        <w:r>
          <w:rPr>
            <w:rStyle w:val="Hyperlink"/>
            <w:snapToGrid/>
            <w:kern w:val="0"/>
            <w:szCs w:val="22"/>
          </w:rPr>
          <w:t>Chris</w:t>
        </w:r>
      </w:hyperlink>
      <w:r>
        <w:rPr>
          <w:rStyle w:val="Hyperlink"/>
          <w:snapToGrid/>
          <w:kern w:val="0"/>
          <w:szCs w:val="22"/>
        </w:rPr>
        <w:t>topher.Koves@fcc.gov</w:t>
      </w:r>
      <w:r w:rsidRPr="00FD699D">
        <w:rPr>
          <w:snapToGrid/>
          <w:kern w:val="0"/>
          <w:szCs w:val="22"/>
        </w:rPr>
        <w:t>.</w:t>
      </w:r>
    </w:p>
    <w:p w:rsidR="00B53818" w:rsidRPr="00FD699D" w:rsidP="00B53818" w14:paraId="2E294C4E" w14:textId="77777777">
      <w:pPr>
        <w:spacing w:after="240"/>
        <w:jc w:val="center"/>
        <w:rPr>
          <w:sz w:val="24"/>
        </w:rPr>
      </w:pPr>
      <w:r w:rsidRPr="00FD699D">
        <w:rPr>
          <w:b/>
          <w:bCs/>
          <w:snapToGrid/>
          <w:color w:val="000000"/>
          <w:kern w:val="0"/>
          <w:szCs w:val="22"/>
        </w:rPr>
        <w:t>- FCC -</w:t>
      </w:r>
    </w:p>
    <w:p w:rsidR="002507DC" w14:paraId="434697EE"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B5F" w14:paraId="56E25C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20B5F" w14:paraId="451627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B5F" w14:paraId="0538E0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B5F" w14:paraId="6928C1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74EE" w14:paraId="2EAA00E2" w14:textId="77777777">
      <w:r>
        <w:separator/>
      </w:r>
    </w:p>
  </w:footnote>
  <w:footnote w:type="continuationSeparator" w:id="1">
    <w:p w:rsidR="005074EE" w14:paraId="0E96F831" w14:textId="77777777">
      <w:pPr>
        <w:rPr>
          <w:sz w:val="20"/>
        </w:rPr>
      </w:pPr>
      <w:r>
        <w:rPr>
          <w:sz w:val="20"/>
        </w:rPr>
        <w:t xml:space="preserve">(Continued from previous page)  </w:t>
      </w:r>
      <w:r>
        <w:rPr>
          <w:sz w:val="20"/>
        </w:rPr>
        <w:separator/>
      </w:r>
    </w:p>
  </w:footnote>
  <w:footnote w:type="continuationNotice" w:id="2">
    <w:p w:rsidR="005074EE" w14:paraId="60064568" w14:textId="77777777">
      <w:pPr>
        <w:jc w:val="right"/>
        <w:rPr>
          <w:sz w:val="20"/>
        </w:rPr>
      </w:pPr>
      <w:r>
        <w:rPr>
          <w:sz w:val="20"/>
        </w:rPr>
        <w:t>(continued….)</w:t>
      </w:r>
    </w:p>
  </w:footnote>
  <w:footnote w:id="3">
    <w:p w:rsidR="00B53818" w14:paraId="476AB25E" w14:textId="5BD9FB10">
      <w:pPr>
        <w:pStyle w:val="FootnoteText"/>
      </w:pPr>
      <w:r>
        <w:rPr>
          <w:rStyle w:val="FootnoteReference"/>
        </w:rPr>
        <w:footnoteRef/>
      </w:r>
      <w:r>
        <w:t xml:space="preserve"> Petition for Declaratory Ruling or Waiver of the Oklahoma Incumbent Local Exchange Carrier Affiliates of Hilliary Communications LLC, WC Docket Nos. 10-90, 17-144, </w:t>
      </w:r>
      <w:r w:rsidR="00821824">
        <w:t>24-82</w:t>
      </w:r>
      <w:r>
        <w:t xml:space="preserve"> (filed Mar. 11, 2024) (Petition</w:t>
      </w:r>
      <w:r w:rsidR="008F6A90">
        <w:t xml:space="preserve">). </w:t>
      </w:r>
    </w:p>
  </w:footnote>
  <w:footnote w:id="4">
    <w:p w:rsidR="007B0BDE" w14:paraId="2846BF0E" w14:textId="05E8FE0C">
      <w:pPr>
        <w:pStyle w:val="FootnoteText"/>
      </w:pPr>
      <w:r>
        <w:rPr>
          <w:rStyle w:val="FootnoteReference"/>
        </w:rPr>
        <w:footnoteRef/>
      </w:r>
      <w:r>
        <w:t xml:space="preserve"> </w:t>
      </w:r>
      <w:r w:rsidRPr="000F0B7A">
        <w:rPr>
          <w:i/>
          <w:iCs/>
        </w:rPr>
        <w:t>Id</w:t>
      </w:r>
      <w:r>
        <w:t>. at iii, 1</w:t>
      </w:r>
      <w:r w:rsidR="000F0B7A">
        <w:t xml:space="preserve">; </w:t>
      </w:r>
      <w:r w:rsidRPr="000F0B7A" w:rsidR="000F0B7A">
        <w:rPr>
          <w:i/>
          <w:iCs/>
        </w:rPr>
        <w:t>see</w:t>
      </w:r>
      <w:r w:rsidR="000F0B7A">
        <w:t xml:space="preserve"> 47 CFR § 61.50(a); </w:t>
      </w:r>
      <w:r w:rsidRPr="005C2B33" w:rsidR="000F0B7A">
        <w:rPr>
          <w:i/>
          <w:iCs/>
        </w:rPr>
        <w:t>Connect America Fund et al</w:t>
      </w:r>
      <w:r w:rsidR="000F0B7A">
        <w:t>.</w:t>
      </w:r>
      <w:r w:rsidRPr="0036075B" w:rsidR="000F0B7A">
        <w:t>, WC Docket No. 10-90</w:t>
      </w:r>
      <w:r w:rsidR="000F0B7A">
        <w:t xml:space="preserve"> et al.</w:t>
      </w:r>
      <w:r w:rsidRPr="0036075B" w:rsidR="000F0B7A">
        <w:t>, Report and Order, Notice of Proposed Rulemaking, and Notice of Inquiry, FCC 23-60</w:t>
      </w:r>
      <w:r w:rsidR="000F0B7A">
        <w:t xml:space="preserve"> </w:t>
      </w:r>
      <w:r w:rsidRPr="0036075B" w:rsidR="000F0B7A">
        <w:t>(July 24, 2023)</w:t>
      </w:r>
      <w:r w:rsidR="000F0B7A">
        <w:t xml:space="preserve"> (</w:t>
      </w:r>
      <w:r w:rsidRPr="000F0B7A" w:rsidR="000F0B7A">
        <w:rPr>
          <w:i/>
          <w:iCs/>
        </w:rPr>
        <w:t>Enhanced A-CAM Order</w:t>
      </w:r>
      <w:r w:rsidR="000F0B7A">
        <w:t>)</w:t>
      </w:r>
      <w:r>
        <w:t xml:space="preserve">. </w:t>
      </w:r>
    </w:p>
  </w:footnote>
  <w:footnote w:id="5">
    <w:p w:rsidR="000F0B7A" w14:paraId="34A4CE28" w14:textId="1D1E8A8F">
      <w:pPr>
        <w:pStyle w:val="FootnoteText"/>
      </w:pPr>
      <w:r>
        <w:rPr>
          <w:rStyle w:val="FootnoteReference"/>
        </w:rPr>
        <w:footnoteRef/>
      </w:r>
      <w:r>
        <w:t xml:space="preserve"> Petition at 1-2. </w:t>
      </w:r>
    </w:p>
  </w:footnote>
  <w:footnote w:id="6">
    <w:p w:rsidR="00B53818" w:rsidP="00B53818" w14:paraId="016109DB" w14:textId="77777777">
      <w:pPr>
        <w:pStyle w:val="FootnoteText"/>
      </w:pPr>
      <w:r>
        <w:rPr>
          <w:rStyle w:val="FootnoteReference"/>
        </w:rPr>
        <w:footnoteRef/>
      </w:r>
      <w:r>
        <w:t xml:space="preserve"> </w:t>
      </w:r>
      <w:r w:rsidRPr="00532B2C">
        <w:rPr>
          <w:i/>
          <w:iCs/>
        </w:rPr>
        <w:t>See</w:t>
      </w:r>
      <w:r w:rsidRPr="00865531">
        <w:t xml:space="preserve"> 47 CFR §§ 1.4</w:t>
      </w:r>
      <w:r>
        <w:t>1</w:t>
      </w:r>
      <w:r w:rsidRPr="00865531">
        <w:t>5 and 1.419.</w:t>
      </w:r>
    </w:p>
  </w:footnote>
  <w:footnote w:id="7">
    <w:p w:rsidR="00B53818" w:rsidP="00B53818" w14:paraId="02C3CEE9" w14:textId="77777777">
      <w:pPr>
        <w:pStyle w:val="FootnoteText"/>
      </w:pPr>
      <w:r>
        <w:rPr>
          <w:rStyle w:val="FootnoteReference"/>
        </w:rPr>
        <w:footnoteRef/>
      </w:r>
      <w:r>
        <w:t xml:space="preserve"> </w:t>
      </w:r>
      <w:r>
        <w:rPr>
          <w:i/>
        </w:rPr>
        <w:t>See Electronic Filing of Documents in Rulemaking Proceedings</w:t>
      </w:r>
      <w:r>
        <w:t>, 63 FR 24121 (1998).</w:t>
      </w:r>
    </w:p>
  </w:footnote>
  <w:footnote w:id="8">
    <w:p w:rsidR="00B53818" w:rsidP="00B53818" w14:paraId="2CE5648A" w14:textId="5EB90A2E">
      <w:pPr>
        <w:pStyle w:val="FootnoteText"/>
      </w:pPr>
      <w:r>
        <w:rPr>
          <w:rStyle w:val="FootnoteReference"/>
        </w:rPr>
        <w:footnoteRef/>
      </w:r>
      <w:r>
        <w:t xml:space="preserve"> </w:t>
      </w:r>
      <w:r>
        <w:rPr>
          <w:i/>
          <w:iCs/>
        </w:rPr>
        <w:t xml:space="preserve">See FCC Announces Closure of FCC Headquarters Open Window and Change in Hand-Delivery Policy, </w:t>
      </w:r>
      <w:r>
        <w:t xml:space="preserve">Public Notice, 35 FCC Rcd 2788 (OMD 2020), </w:t>
      </w:r>
      <w:hyperlink r:id="rId1" w:history="1">
        <w:r w:rsidRPr="006F6A8A" w:rsidR="00821824">
          <w:rPr>
            <w:rStyle w:val="Hyperlink"/>
          </w:rPr>
          <w:t>https://www.fcc.gov/document/fcc-closes-headquarters-open-window-and-changes-hand-delivery-policy</w:t>
        </w:r>
      </w:hyperlink>
      <w:r>
        <w:t>.</w:t>
      </w:r>
    </w:p>
  </w:footnote>
  <w:footnote w:id="9">
    <w:p w:rsidR="00B53818" w:rsidP="00B53818" w14:paraId="774EC154" w14:textId="77777777">
      <w:pPr>
        <w:pStyle w:val="FootnoteText"/>
      </w:pPr>
      <w:r>
        <w:rPr>
          <w:rStyle w:val="FootnoteReference"/>
        </w:rPr>
        <w:footnoteRef/>
      </w:r>
      <w:r>
        <w:t xml:space="preserve"> Documents will generally be available electronically in ASCII, Microsoft Word, and/or Adobe Acrobat.</w:t>
      </w:r>
    </w:p>
  </w:footnote>
  <w:footnote w:id="10">
    <w:p w:rsidR="00B53818" w:rsidRPr="00D81D95" w:rsidP="00B53818" w14:paraId="235BB81A" w14:textId="77777777">
      <w:pPr>
        <w:pStyle w:val="FootnoteText"/>
      </w:pPr>
      <w:r w:rsidRPr="00DC07DD">
        <w:rPr>
          <w:rStyle w:val="FootnoteReference"/>
          <w:sz w:val="20"/>
        </w:rPr>
        <w:footnoteRef/>
      </w:r>
      <w:r w:rsidRPr="00D81D95">
        <w:t xml:space="preserve"> 47 CFR §§ 1.1200 </w:t>
      </w:r>
      <w:r w:rsidRPr="00D81D95">
        <w:rPr>
          <w:i/>
          <w:iCs/>
        </w:rPr>
        <w:t>et seq</w:t>
      </w:r>
      <w:r w:rsidRPr="00D81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B5F" w14:paraId="6F65BF07" w14:textId="640893FF">
    <w:pPr>
      <w:tabs>
        <w:tab w:val="center" w:pos="4680"/>
        <w:tab w:val="right" w:pos="9360"/>
      </w:tabs>
    </w:pPr>
    <w:r>
      <w:rPr>
        <w:b/>
      </w:rPr>
      <w:tab/>
      <w:t>Federal Communications Commission</w:t>
    </w:r>
    <w:r>
      <w:rPr>
        <w:b/>
      </w:rPr>
      <w:tab/>
    </w:r>
    <w:r w:rsidRPr="00F56591" w:rsidR="0039126B">
      <w:rPr>
        <w:b/>
      </w:rPr>
      <w:t xml:space="preserve">DA </w:t>
    </w:r>
    <w:r w:rsidRPr="00F56591" w:rsidR="00F56591">
      <w:rPr>
        <w:b/>
      </w:rPr>
      <w:t>24-250</w:t>
    </w:r>
  </w:p>
  <w:p w:rsidR="00320B5F" w14:paraId="2D5E6C60" w14:textId="3D5D1B9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20B5F" w14:paraId="1A706A0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0B5F" w14:paraId="6CEFE83A" w14:textId="368E3F86">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F0153A"/>
    <w:multiLevelType w:val="multilevel"/>
    <w:tmpl w:val="2FC28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1F33F19"/>
    <w:multiLevelType w:val="multilevel"/>
    <w:tmpl w:val="CBD2D87E"/>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o"/>
      <w:lvlJc w:val="left"/>
      <w:pPr>
        <w:tabs>
          <w:tab w:val="num" w:pos="3240"/>
        </w:tabs>
        <w:ind w:left="3240" w:hanging="360"/>
      </w:pPr>
      <w:rPr>
        <w:rFonts w:ascii="Courier New" w:hAnsi="Courier New" w:cs="Times New Roman" w:hint="default"/>
        <w:sz w:val="20"/>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DC"/>
    <w:rsid w:val="0000684C"/>
    <w:rsid w:val="000F0B7A"/>
    <w:rsid w:val="000F7E07"/>
    <w:rsid w:val="001809F8"/>
    <w:rsid w:val="002105D6"/>
    <w:rsid w:val="002507DC"/>
    <w:rsid w:val="00264810"/>
    <w:rsid w:val="00265240"/>
    <w:rsid w:val="00291FB6"/>
    <w:rsid w:val="002A23AB"/>
    <w:rsid w:val="00320B5F"/>
    <w:rsid w:val="00352142"/>
    <w:rsid w:val="0036075B"/>
    <w:rsid w:val="0039126B"/>
    <w:rsid w:val="00431803"/>
    <w:rsid w:val="00461E10"/>
    <w:rsid w:val="004B60D4"/>
    <w:rsid w:val="005074EE"/>
    <w:rsid w:val="00532B2C"/>
    <w:rsid w:val="00577301"/>
    <w:rsid w:val="005931AE"/>
    <w:rsid w:val="005C2B33"/>
    <w:rsid w:val="005E1A44"/>
    <w:rsid w:val="00676428"/>
    <w:rsid w:val="00683D7D"/>
    <w:rsid w:val="006B6DAE"/>
    <w:rsid w:val="006F6A8A"/>
    <w:rsid w:val="0077031A"/>
    <w:rsid w:val="007730E8"/>
    <w:rsid w:val="00783499"/>
    <w:rsid w:val="007B0BDE"/>
    <w:rsid w:val="007F398B"/>
    <w:rsid w:val="00821824"/>
    <w:rsid w:val="00865531"/>
    <w:rsid w:val="00894810"/>
    <w:rsid w:val="008D0A67"/>
    <w:rsid w:val="008D6E7D"/>
    <w:rsid w:val="008F6A90"/>
    <w:rsid w:val="009B2A03"/>
    <w:rsid w:val="009E16A8"/>
    <w:rsid w:val="00A819BE"/>
    <w:rsid w:val="00B53818"/>
    <w:rsid w:val="00BA0CF1"/>
    <w:rsid w:val="00BE58E6"/>
    <w:rsid w:val="00C24F0C"/>
    <w:rsid w:val="00C462F3"/>
    <w:rsid w:val="00C93EA1"/>
    <w:rsid w:val="00D81D95"/>
    <w:rsid w:val="00DB63E7"/>
    <w:rsid w:val="00DC07DD"/>
    <w:rsid w:val="00DF7035"/>
    <w:rsid w:val="00EC5F82"/>
    <w:rsid w:val="00F56591"/>
    <w:rsid w:val="00F85141"/>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A3075"/>
  <w15:chartTrackingRefBased/>
  <w15:docId w15:val="{610564B0-E5FD-4554-9729-BBC29256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semiHidden/>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basedOn w:val="DefaultParagraphFont"/>
    <w:link w:val="FootnoteText"/>
    <w:semiHidden/>
    <w:locked/>
    <w:rsid w:val="00B53818"/>
  </w:style>
  <w:style w:type="paragraph" w:styleId="Revision">
    <w:name w:val="Revision"/>
    <w:hidden/>
    <w:uiPriority w:val="99"/>
    <w:semiHidden/>
    <w:rsid w:val="00DF703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in.Coh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