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D339F" w14:paraId="15FE5777" w14:textId="77777777">
      <w:pPr>
        <w:jc w:val="right"/>
        <w:rPr>
          <w:sz w:val="24"/>
        </w:rPr>
      </w:pPr>
    </w:p>
    <w:p w:rsidR="00CD339F" w14:paraId="596E1B3D" w14:textId="1372C309">
      <w:pPr>
        <w:jc w:val="right"/>
        <w:rPr>
          <w:b/>
          <w:sz w:val="24"/>
        </w:rPr>
      </w:pPr>
      <w:r>
        <w:rPr>
          <w:b/>
          <w:sz w:val="24"/>
        </w:rPr>
        <w:t>DA 24-26</w:t>
      </w:r>
    </w:p>
    <w:p w:rsidR="00CD339F" w14:paraId="7017D709" w14:textId="1CA02F17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Released:  January 10, 2024</w:t>
      </w:r>
    </w:p>
    <w:p w:rsidR="00CD339F" w14:paraId="5DA17957" w14:textId="77777777">
      <w:pPr>
        <w:jc w:val="right"/>
        <w:rPr>
          <w:sz w:val="24"/>
        </w:rPr>
      </w:pPr>
    </w:p>
    <w:p w:rsidR="00CD339F" w14:paraId="675F292D" w14:textId="7777777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CD339F">
        <w:rPr>
          <w:rFonts w:ascii="Times New Roman Bold" w:hAnsi="Times New Roman Bold"/>
          <w:b/>
          <w:caps/>
          <w:sz w:val="24"/>
        </w:rPr>
        <w:t>MEDIA BUREAU ANNOUNCES EFFECTIVE DATE OF CERTAIN LOW POWER PROTECTION ACT RULES</w:t>
      </w:r>
    </w:p>
    <w:p w:rsidR="00CD339F" w:rsidRPr="00545059" w:rsidP="00CD339F" w14:paraId="79820928" w14:textId="77777777">
      <w:pPr>
        <w:jc w:val="center"/>
        <w:rPr>
          <w:b/>
          <w:szCs w:val="22"/>
        </w:rPr>
      </w:pPr>
      <w:bookmarkStart w:id="0" w:name="TOChere"/>
      <w:r w:rsidRPr="00545059">
        <w:rPr>
          <w:b/>
          <w:szCs w:val="22"/>
        </w:rPr>
        <w:t xml:space="preserve">MB Docket No. </w:t>
      </w:r>
      <w:r>
        <w:rPr>
          <w:b/>
          <w:szCs w:val="22"/>
        </w:rPr>
        <w:t>23</w:t>
      </w:r>
      <w:r w:rsidRPr="00545059">
        <w:rPr>
          <w:b/>
          <w:szCs w:val="22"/>
        </w:rPr>
        <w:t>-1</w:t>
      </w:r>
      <w:r>
        <w:rPr>
          <w:b/>
          <w:szCs w:val="22"/>
        </w:rPr>
        <w:t>26</w:t>
      </w:r>
      <w:r w:rsidRPr="00545059">
        <w:rPr>
          <w:b/>
          <w:szCs w:val="22"/>
        </w:rPr>
        <w:t xml:space="preserve"> </w:t>
      </w:r>
    </w:p>
    <w:p w:rsidR="00CD339F" w14:paraId="5977C377" w14:textId="77777777"/>
    <w:p w:rsidR="00CD339F" w:rsidP="00CD339F" w14:paraId="1E1E0365" w14:textId="77777777">
      <w:pPr>
        <w:ind w:firstLine="720"/>
      </w:pPr>
      <w:r w:rsidRPr="007B1422">
        <w:t xml:space="preserve">On </w:t>
      </w:r>
      <w:r>
        <w:t>December 12,</w:t>
      </w:r>
      <w:r w:rsidRPr="007B1422">
        <w:t xml:space="preserve"> 2023, the Commission released a </w:t>
      </w:r>
      <w:r>
        <w:rPr>
          <w:i/>
        </w:rPr>
        <w:t>Report and Order</w:t>
      </w:r>
      <w:r w:rsidRPr="007B1422">
        <w:t xml:space="preserve"> (</w:t>
      </w:r>
      <w:r>
        <w:rPr>
          <w:i/>
        </w:rPr>
        <w:t>Order</w:t>
      </w:r>
      <w:r w:rsidRPr="007B1422">
        <w:t xml:space="preserve">) </w:t>
      </w:r>
      <w:r>
        <w:t>that adopted rules to implement the Low Power Protection Act (LPPA).</w:t>
      </w:r>
      <w:r>
        <w:rPr>
          <w:rStyle w:val="FootnoteReference"/>
        </w:rPr>
        <w:footnoteReference w:id="3"/>
      </w:r>
      <w:r>
        <w:t xml:space="preserve">  The LPPA provides qualifying low power television (LPTV) stations with a limited window of opportunity to apply for primary spectrum use status as Class A television stations.</w:t>
      </w:r>
      <w:r>
        <w:rPr>
          <w:rStyle w:val="FootnoteReference"/>
        </w:rPr>
        <w:footnoteReference w:id="4"/>
      </w:r>
      <w:r>
        <w:t xml:space="preserve">  </w:t>
      </w:r>
    </w:p>
    <w:p w:rsidR="00CD339F" w:rsidP="00CD339F" w14:paraId="00750560" w14:textId="77777777">
      <w:pPr>
        <w:ind w:firstLine="720"/>
      </w:pPr>
    </w:p>
    <w:p w:rsidR="00CD339F" w:rsidRPr="007B1422" w:rsidP="00CD339F" w14:paraId="245BD286" w14:textId="77777777">
      <w:pPr>
        <w:ind w:firstLine="720"/>
      </w:pPr>
      <w:r>
        <w:t xml:space="preserve">On January 10, 2024, the Federal Register published a summary of the final rules adopted in the </w:t>
      </w:r>
      <w:r w:rsidRPr="00F93600">
        <w:rPr>
          <w:i/>
          <w:iCs/>
        </w:rPr>
        <w:t>Order</w:t>
      </w:r>
      <w:r>
        <w:t>.</w:t>
      </w:r>
      <w:r>
        <w:rPr>
          <w:rStyle w:val="FootnoteReference"/>
        </w:rPr>
        <w:footnoteReference w:id="5"/>
      </w:r>
      <w:r>
        <w:t xml:space="preserve">  Accordingly, the rules adopted in the </w:t>
      </w:r>
      <w:r w:rsidRPr="00241233">
        <w:rPr>
          <w:i/>
          <w:iCs/>
        </w:rPr>
        <w:t>Order</w:t>
      </w:r>
      <w:r>
        <w:t xml:space="preserve"> will take effect on February 9, 2024, except for sections 73.6030(c) and 73.6030(d) which contain new or modified information collection requirements that require review by OMB.</w:t>
      </w:r>
      <w:r>
        <w:rPr>
          <w:rStyle w:val="FootnoteReference"/>
        </w:rPr>
        <w:footnoteReference w:id="6"/>
      </w:r>
      <w:r>
        <w:t xml:space="preserve">  At the conclusion of the OMB review process, the Media Bureau will announce the effective date of that information collection in a document published in the Federal Register.  The Media Bureau will thereafter issue a Public Notice that establishes the one-year application filing window once the revised application form (FCC Form 2100) is available for use by applicants.</w:t>
      </w:r>
      <w:r>
        <w:rPr>
          <w:rStyle w:val="FootnoteReference"/>
        </w:rPr>
        <w:footnoteReference w:id="7"/>
      </w:r>
      <w:r>
        <w:t xml:space="preserve">  </w:t>
      </w:r>
    </w:p>
    <w:p w:rsidR="00CD339F" w:rsidP="00CD339F" w14:paraId="71A81D51" w14:textId="77777777">
      <w:pPr>
        <w:ind w:firstLine="720"/>
      </w:pPr>
    </w:p>
    <w:p w:rsidR="00CD339F" w:rsidP="00CD339F" w14:paraId="5979B26F" w14:textId="77777777">
      <w:pPr>
        <w:ind w:firstLine="720"/>
      </w:pPr>
      <w:r w:rsidRPr="007B1422">
        <w:t xml:space="preserve">For additional information, contact </w:t>
      </w:r>
      <w:r>
        <w:t>Kim Matthews,</w:t>
      </w:r>
      <w:r w:rsidRPr="007B1422">
        <w:t xml:space="preserve"> Policy Division, Media Bureau</w:t>
      </w:r>
      <w:r>
        <w:t xml:space="preserve"> at </w:t>
      </w:r>
      <w:hyperlink r:id="rId5" w:history="1">
        <w:r w:rsidRPr="008B33E9">
          <w:rPr>
            <w:rStyle w:val="Hyperlink"/>
          </w:rPr>
          <w:t>Kim.Matthews@fcc.gov</w:t>
        </w:r>
      </w:hyperlink>
      <w:r>
        <w:t xml:space="preserve"> or</w:t>
      </w:r>
      <w:r w:rsidRPr="007B1422">
        <w:t xml:space="preserve"> (202) 418-</w:t>
      </w:r>
      <w:r>
        <w:t>2154</w:t>
      </w:r>
      <w:r w:rsidRPr="007B1422">
        <w:t>.</w:t>
      </w:r>
    </w:p>
    <w:p w:rsidR="00CD339F" w:rsidP="00CD339F" w14:paraId="2CBF3440" w14:textId="77777777">
      <w:pPr>
        <w:ind w:firstLine="720"/>
      </w:pPr>
    </w:p>
    <w:p w:rsidR="00CD339F" w:rsidRPr="00545059" w:rsidP="00CD339F" w14:paraId="3E44529E" w14:textId="77777777">
      <w:pPr>
        <w:spacing w:after="120"/>
        <w:jc w:val="center"/>
        <w:rPr>
          <w:b/>
        </w:rPr>
      </w:pPr>
      <w:r w:rsidRPr="00545059">
        <w:rPr>
          <w:b/>
          <w:szCs w:val="22"/>
        </w:rPr>
        <w:t>-- FCC --</w:t>
      </w:r>
      <w:r>
        <w:rPr>
          <w:b/>
          <w:szCs w:val="22"/>
        </w:rPr>
        <w:t xml:space="preserve">  </w:t>
      </w:r>
    </w:p>
    <w:p w:rsidR="00CD339F" w14:paraId="6292A1F1" w14:textId="77777777"/>
    <w:p w:rsidR="00CD339F" w14:paraId="2E5B821A" w14:textId="77777777"/>
    <w:bookmarkEnd w:id="0"/>
    <w:p w:rsidR="00CD339F" w14:paraId="079AFA56" w14:textId="77777777"/>
    <w:sectPr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339F" w14:paraId="4B09955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CD339F" w14:paraId="49B39E6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339F" w14:paraId="1FF539B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339F" w14:paraId="7CB794DC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D339F" w14:paraId="3291F976" w14:textId="77777777">
      <w:r>
        <w:separator/>
      </w:r>
    </w:p>
  </w:footnote>
  <w:footnote w:type="continuationSeparator" w:id="1">
    <w:p w:rsidR="00CD339F" w14:paraId="3E90328A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CD339F" w14:paraId="4F4CB481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CD339F" w:rsidP="00CD339F" w14:paraId="5E22494B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B3B75">
        <w:t>Low Power Protection Act, Pub. L. 117-344, 136 Stat. 6193 (2023)</w:t>
      </w:r>
      <w:r>
        <w:t xml:space="preserve">; </w:t>
      </w:r>
      <w:r w:rsidRPr="006647E7">
        <w:rPr>
          <w:i/>
          <w:iCs/>
        </w:rPr>
        <w:t>Implementation of the Low Power Protection Act</w:t>
      </w:r>
      <w:r>
        <w:t>, MB Docket No. 23-126, Report and Order, FCC 23-112 (rel. Dec. 12, 2023) (</w:t>
      </w:r>
      <w:r w:rsidRPr="00534227">
        <w:rPr>
          <w:i/>
          <w:iCs/>
        </w:rPr>
        <w:t>Order</w:t>
      </w:r>
      <w:r>
        <w:t xml:space="preserve">) </w:t>
      </w:r>
      <w:r w:rsidRPr="00534227">
        <w:t xml:space="preserve">available at </w:t>
      </w:r>
      <w:hyperlink r:id="rId1" w:history="1">
        <w:r w:rsidRPr="000235FF">
          <w:rPr>
            <w:rStyle w:val="Hyperlink"/>
            <w:iCs/>
          </w:rPr>
          <w:t>https://docs.fcc.gov/public/attachments/FCC-23-112A1.pdf</w:t>
        </w:r>
      </w:hyperlink>
      <w:r w:rsidRPr="0095063A">
        <w:rPr>
          <w:iCs/>
        </w:rPr>
        <w:t>.</w:t>
      </w:r>
    </w:p>
  </w:footnote>
  <w:footnote w:id="4">
    <w:p w:rsidR="00CD339F" w:rsidRPr="00620FD8" w:rsidP="00CD339F" w14:paraId="6462B08A" w14:textId="77777777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id</w:t>
      </w:r>
      <w:r>
        <w:t>.</w:t>
      </w:r>
    </w:p>
  </w:footnote>
  <w:footnote w:id="5">
    <w:p w:rsidR="00CD339F" w:rsidRPr="00942B7E" w:rsidP="00CD339F" w14:paraId="391B865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</w:t>
      </w:r>
      <w:r>
        <w:t xml:space="preserve"> Federal Communications Commission, 47 CFR Part 73, Low Power Protection Act, Final Rule, 89 FR 1466 (Jan. 10, 2024).</w:t>
      </w:r>
    </w:p>
  </w:footnote>
  <w:footnote w:id="6">
    <w:p w:rsidR="00CD339F" w:rsidRPr="00311C61" w:rsidP="00CD339F" w14:paraId="6FFE444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Order</w:t>
      </w:r>
      <w:r>
        <w:t xml:space="preserve"> at para. 61 &amp; Appx. B (Final Rules), 47 CFR </w:t>
      </w:r>
      <w:r w:rsidRPr="00395E16">
        <w:t>§§</w:t>
      </w:r>
      <w:r>
        <w:t xml:space="preserve"> 73.6030(c) (Application Requirements), 73.6030(d) (Licensing Requirements).  </w:t>
      </w:r>
      <w:r w:rsidRPr="008A3160">
        <w:t>The information collection requirements contained in the rules that require OMB approval are subject to the Paperwork Reduction Act of 1995 (PRA)</w:t>
      </w:r>
      <w:r>
        <w:t>.  Pub. L. No. 104-13, 109 Stat. 163 (1995) (codified in Chapter 35 of title 44 U.S.C.).</w:t>
      </w:r>
    </w:p>
  </w:footnote>
  <w:footnote w:id="7">
    <w:p w:rsidR="00CD339F" w:rsidRPr="002E68E8" w:rsidP="00CD339F" w14:paraId="088EFF64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Order </w:t>
      </w:r>
      <w:r>
        <w:t>at para. 62 (delegating</w:t>
      </w:r>
      <w:r w:rsidRPr="007E7EF3">
        <w:t xml:space="preserve"> authority</w:t>
      </w:r>
      <w:r>
        <w:t xml:space="preserve"> to the Media Bureau</w:t>
      </w:r>
      <w:r w:rsidRPr="007E7EF3">
        <w:t xml:space="preserve"> for the purpose of amending FCC Form 2100 as necessary to implement the licensing process adopted</w:t>
      </w:r>
      <w:r>
        <w:t xml:space="preserve"> in the </w:t>
      </w:r>
      <w:r>
        <w:rPr>
          <w:i/>
          <w:iCs/>
        </w:rPr>
        <w:t xml:space="preserve">Order </w:t>
      </w:r>
      <w:r w:rsidRPr="007E7EF3">
        <w:t>and to establish the one-year application filing window once the revised form is available for use by applicants</w:t>
      </w:r>
      <w:r>
        <w:t>)</w:t>
      </w:r>
      <w:r w:rsidRPr="007E7EF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339F" w14:paraId="6466EC9A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CD339F" w14:paraId="5B8FB001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CD339F" w14:paraId="325FEAF5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339F" w14:paraId="7EA5A50D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.5pt;height:11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9F"/>
    <w:rsid w:val="000235FF"/>
    <w:rsid w:val="001B3B75"/>
    <w:rsid w:val="00241233"/>
    <w:rsid w:val="002E68E8"/>
    <w:rsid w:val="00311C61"/>
    <w:rsid w:val="00395E16"/>
    <w:rsid w:val="00534227"/>
    <w:rsid w:val="00545059"/>
    <w:rsid w:val="00620FD8"/>
    <w:rsid w:val="006647E7"/>
    <w:rsid w:val="007B1422"/>
    <w:rsid w:val="007E7EF3"/>
    <w:rsid w:val="008A3160"/>
    <w:rsid w:val="008B33E9"/>
    <w:rsid w:val="00942B7E"/>
    <w:rsid w:val="0095063A"/>
    <w:rsid w:val="00CD339F"/>
    <w:rsid w:val="00F936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33819F0"/>
  <w15:chartTrackingRefBased/>
  <w15:docId w15:val="{DD242EBC-233A-4E8C-B9EB-379F51F0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ALTS FOOTNOTE,ALTS FOOTNOTE Char,Footnote Text Char,Footnote Text Char Char,Footnote Text Char1,Footnote Text Char1 Char Char,Footnote Text Char1 Char Char Char,Footnote Text Char1 Char1,Footnote Text Char2,Footnote Text Char2 Char Char,fn"/>
    <w:link w:val="FootnoteTextChar4"/>
    <w:qFormat/>
    <w:pPr>
      <w:spacing w:after="120"/>
    </w:pPr>
  </w:style>
  <w:style w:type="character" w:styleId="FootnoteReference">
    <w:name w:val="footnote reference"/>
    <w:aliases w:val="(NECG) Footnote Reference,-E Funotenzeichen,A,Appel note de bas de p,FR,Footnote Reference/,Footnote Reference1,Ref,Style 1,Style 12,Style 124,Style 13,Style 17,Style 20,Style 3,Style 34,Style 4,Style 6,Style 7,Style 9,callout,fr,o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FootnoteTextChar4">
    <w:name w:val="Footnote Text Char4"/>
    <w:aliases w:val="ALTS FOOTNOTE Char2,Footnote Text Char Char Char1,Footnote Text Char1 Char Char Char2,Footnote Text Char1 Char1 Char1,Footnote Text Char1 Char2,Footnote Text Char2 Char Char Char1,Footnote Text Char2 Char1,fn Char1"/>
    <w:link w:val="FootnoteText"/>
    <w:rsid w:val="00CD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Kim.Matthews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FCC-23-112A1.pdf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