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3782" w:rsidRPr="00465AA8" w:rsidP="000F47C0" w14:paraId="1E46B2A8" w14:textId="77777777">
      <w:pPr>
        <w:jc w:val="center"/>
        <w:rPr>
          <w:b/>
          <w:snapToGrid/>
          <w:szCs w:val="22"/>
        </w:rPr>
      </w:pPr>
      <w:r w:rsidRPr="00465AA8">
        <w:rPr>
          <w:b/>
          <w:szCs w:val="22"/>
        </w:rPr>
        <w:t>Before the</w:t>
      </w:r>
    </w:p>
    <w:p w:rsidR="00333782" w:rsidRPr="00465AA8" w:rsidP="000F47C0" w14:paraId="1940A8DB" w14:textId="77777777">
      <w:pPr>
        <w:jc w:val="center"/>
        <w:rPr>
          <w:b/>
          <w:szCs w:val="22"/>
        </w:rPr>
      </w:pPr>
      <w:r w:rsidRPr="00465AA8">
        <w:rPr>
          <w:b/>
          <w:szCs w:val="22"/>
        </w:rPr>
        <w:t>Federal Communications Commission</w:t>
      </w:r>
    </w:p>
    <w:p w:rsidR="00333782" w:rsidRPr="00465AA8" w:rsidP="000F47C0" w14:paraId="609A9A85" w14:textId="77777777">
      <w:pPr>
        <w:jc w:val="center"/>
        <w:rPr>
          <w:b/>
          <w:szCs w:val="22"/>
        </w:rPr>
      </w:pPr>
      <w:r w:rsidRPr="00465AA8">
        <w:rPr>
          <w:b/>
          <w:szCs w:val="22"/>
        </w:rPr>
        <w:t>Washington, D.C. 20554</w:t>
      </w:r>
    </w:p>
    <w:p w:rsidR="00333782" w:rsidRPr="00465AA8" w:rsidP="000F47C0" w14:paraId="2626CCAA" w14:textId="77777777">
      <w:pPr>
        <w:rPr>
          <w:szCs w:val="22"/>
        </w:rPr>
      </w:pPr>
    </w:p>
    <w:p w:rsidR="00333782" w:rsidRPr="00465AA8" w:rsidP="000F47C0" w14:paraId="39866243" w14:textId="77777777">
      <w:pPr>
        <w:rPr>
          <w:szCs w:val="22"/>
        </w:rPr>
      </w:pPr>
    </w:p>
    <w:tbl>
      <w:tblPr>
        <w:tblW w:w="0" w:type="auto"/>
        <w:tblLayout w:type="fixed"/>
        <w:tblLook w:val="04A0"/>
      </w:tblPr>
      <w:tblGrid>
        <w:gridCol w:w="4698"/>
        <w:gridCol w:w="720"/>
        <w:gridCol w:w="4230"/>
      </w:tblGrid>
      <w:tr w14:paraId="40BFAC16" w14:textId="77777777">
        <w:tblPrEx>
          <w:tblW w:w="0" w:type="auto"/>
          <w:tblLayout w:type="fixed"/>
          <w:tblLook w:val="04A0"/>
        </w:tblPrEx>
        <w:tc>
          <w:tcPr>
            <w:tcW w:w="4698" w:type="dxa"/>
          </w:tcPr>
          <w:p w:rsidR="00333782" w:rsidRPr="00465AA8" w:rsidP="000F47C0" w14:paraId="73746945" w14:textId="77777777">
            <w:pPr>
              <w:ind w:right="-18"/>
              <w:rPr>
                <w:szCs w:val="22"/>
              </w:rPr>
            </w:pPr>
            <w:r w:rsidRPr="00465AA8">
              <w:rPr>
                <w:szCs w:val="22"/>
              </w:rPr>
              <w:t>In the Matter of</w:t>
            </w:r>
          </w:p>
          <w:p w:rsidR="00333782" w:rsidRPr="00465AA8" w:rsidP="000F47C0" w14:paraId="53F78077" w14:textId="77777777">
            <w:pPr>
              <w:ind w:right="-18"/>
              <w:rPr>
                <w:szCs w:val="22"/>
              </w:rPr>
            </w:pPr>
          </w:p>
          <w:p w:rsidR="001C2894" w:rsidRPr="00465AA8" w:rsidP="000F47C0" w14:paraId="6F4BB6E6" w14:textId="77777777">
            <w:pPr>
              <w:ind w:right="-18"/>
              <w:rPr>
                <w:szCs w:val="22"/>
              </w:rPr>
            </w:pPr>
            <w:r w:rsidRPr="00465AA8">
              <w:rPr>
                <w:szCs w:val="22"/>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p>
          <w:p w:rsidR="001C2894" w:rsidRPr="00465AA8" w:rsidP="000F47C0" w14:paraId="7E6A0280" w14:textId="77777777">
            <w:pPr>
              <w:rPr>
                <w:szCs w:val="22"/>
              </w:rPr>
            </w:pPr>
          </w:p>
          <w:p w:rsidR="001C2894" w:rsidRPr="00465AA8" w:rsidP="000F47C0" w14:paraId="46B47709" w14:textId="2D0D9DC3">
            <w:pPr>
              <w:rPr>
                <w:szCs w:val="22"/>
              </w:rPr>
            </w:pPr>
            <w:r w:rsidRPr="00465AA8">
              <w:rPr>
                <w:szCs w:val="22"/>
              </w:rPr>
              <w:t>Amendment of Parts 2 and 25 of the Commission’s Rules to Enable NGSO Fixed-Satellite Service (Space-to-Earth) Operations in the 17.3-17.8 GHz Band</w:t>
            </w:r>
          </w:p>
          <w:p w:rsidR="00333782" w:rsidRPr="00465AA8" w:rsidP="000F47C0" w14:paraId="59082D92" w14:textId="07C01754">
            <w:pPr>
              <w:ind w:right="-18"/>
              <w:rPr>
                <w:szCs w:val="22"/>
              </w:rPr>
            </w:pPr>
          </w:p>
        </w:tc>
        <w:tc>
          <w:tcPr>
            <w:tcW w:w="720" w:type="dxa"/>
          </w:tcPr>
          <w:p w:rsidR="00333782" w:rsidRPr="00B52370" w:rsidP="000F47C0" w14:paraId="29C919CD" w14:textId="77777777">
            <w:pPr>
              <w:rPr>
                <w:bCs/>
                <w:szCs w:val="22"/>
              </w:rPr>
            </w:pPr>
            <w:r w:rsidRPr="00B52370">
              <w:rPr>
                <w:bCs/>
                <w:szCs w:val="22"/>
              </w:rPr>
              <w:t>)</w:t>
            </w:r>
          </w:p>
          <w:p w:rsidR="00333782" w:rsidRPr="00B52370" w:rsidP="000F47C0" w14:paraId="22EF8632" w14:textId="77777777">
            <w:pPr>
              <w:rPr>
                <w:bCs/>
                <w:szCs w:val="22"/>
              </w:rPr>
            </w:pPr>
            <w:r w:rsidRPr="00B52370">
              <w:rPr>
                <w:bCs/>
                <w:szCs w:val="22"/>
              </w:rPr>
              <w:t>)</w:t>
            </w:r>
          </w:p>
          <w:p w:rsidR="00333782" w:rsidRPr="00B52370" w:rsidP="000F47C0" w14:paraId="59FBF2E5" w14:textId="77777777">
            <w:pPr>
              <w:rPr>
                <w:bCs/>
                <w:szCs w:val="22"/>
              </w:rPr>
            </w:pPr>
            <w:r w:rsidRPr="00B52370">
              <w:rPr>
                <w:bCs/>
                <w:szCs w:val="22"/>
              </w:rPr>
              <w:t>)</w:t>
            </w:r>
          </w:p>
          <w:p w:rsidR="00333782" w:rsidRPr="00B52370" w:rsidP="000F47C0" w14:paraId="31A22704" w14:textId="77777777">
            <w:pPr>
              <w:rPr>
                <w:bCs/>
                <w:szCs w:val="22"/>
              </w:rPr>
            </w:pPr>
            <w:r w:rsidRPr="00B52370">
              <w:rPr>
                <w:bCs/>
                <w:szCs w:val="22"/>
              </w:rPr>
              <w:t>)</w:t>
            </w:r>
          </w:p>
          <w:p w:rsidR="00333782" w:rsidRPr="00B52370" w:rsidP="000F47C0" w14:paraId="34BF868A" w14:textId="77777777">
            <w:pPr>
              <w:rPr>
                <w:bCs/>
                <w:szCs w:val="22"/>
              </w:rPr>
            </w:pPr>
            <w:r w:rsidRPr="00B52370">
              <w:rPr>
                <w:bCs/>
                <w:szCs w:val="22"/>
              </w:rPr>
              <w:t>)</w:t>
            </w:r>
          </w:p>
          <w:p w:rsidR="00333782" w:rsidRPr="00B52370" w:rsidP="000F47C0" w14:paraId="32993DEA" w14:textId="77777777">
            <w:pPr>
              <w:rPr>
                <w:bCs/>
                <w:szCs w:val="22"/>
              </w:rPr>
            </w:pPr>
            <w:r w:rsidRPr="00B52370">
              <w:rPr>
                <w:bCs/>
                <w:szCs w:val="22"/>
              </w:rPr>
              <w:t>)</w:t>
            </w:r>
          </w:p>
          <w:p w:rsidR="00333782" w:rsidRPr="00B52370" w:rsidP="000F47C0" w14:paraId="3BE9156C" w14:textId="77777777">
            <w:pPr>
              <w:rPr>
                <w:bCs/>
                <w:szCs w:val="22"/>
              </w:rPr>
            </w:pPr>
            <w:r w:rsidRPr="00B52370">
              <w:rPr>
                <w:bCs/>
                <w:szCs w:val="22"/>
              </w:rPr>
              <w:t>)</w:t>
            </w:r>
          </w:p>
          <w:p w:rsidR="00333782" w:rsidRPr="00B52370" w:rsidP="000F47C0" w14:paraId="009D1FEC" w14:textId="77777777">
            <w:pPr>
              <w:rPr>
                <w:bCs/>
                <w:szCs w:val="22"/>
              </w:rPr>
            </w:pPr>
            <w:r w:rsidRPr="00B52370">
              <w:rPr>
                <w:bCs/>
                <w:szCs w:val="22"/>
              </w:rPr>
              <w:t>)</w:t>
            </w:r>
          </w:p>
          <w:p w:rsidR="001C2894" w:rsidRPr="00B52370" w:rsidP="000F47C0" w14:paraId="579D0541" w14:textId="77777777">
            <w:pPr>
              <w:rPr>
                <w:bCs/>
                <w:szCs w:val="22"/>
              </w:rPr>
            </w:pPr>
            <w:r w:rsidRPr="00B52370">
              <w:rPr>
                <w:bCs/>
                <w:szCs w:val="22"/>
              </w:rPr>
              <w:t>)</w:t>
            </w:r>
          </w:p>
          <w:p w:rsidR="001C2894" w:rsidRPr="00B52370" w:rsidP="000F47C0" w14:paraId="6CE4788A" w14:textId="77777777">
            <w:pPr>
              <w:rPr>
                <w:bCs/>
                <w:szCs w:val="22"/>
              </w:rPr>
            </w:pPr>
            <w:r w:rsidRPr="00B52370">
              <w:rPr>
                <w:bCs/>
                <w:szCs w:val="22"/>
              </w:rPr>
              <w:t>)</w:t>
            </w:r>
          </w:p>
          <w:p w:rsidR="001C2894" w:rsidRPr="00B52370" w:rsidP="000F47C0" w14:paraId="3C340619" w14:textId="77777777">
            <w:pPr>
              <w:rPr>
                <w:bCs/>
                <w:szCs w:val="22"/>
              </w:rPr>
            </w:pPr>
            <w:r w:rsidRPr="00B52370">
              <w:rPr>
                <w:bCs/>
                <w:szCs w:val="22"/>
              </w:rPr>
              <w:t>)</w:t>
            </w:r>
          </w:p>
          <w:p w:rsidR="001C2894" w:rsidRPr="00B52370" w:rsidP="000F47C0" w14:paraId="543FA45D" w14:textId="77777777">
            <w:pPr>
              <w:rPr>
                <w:bCs/>
                <w:szCs w:val="22"/>
              </w:rPr>
            </w:pPr>
            <w:r w:rsidRPr="00B52370">
              <w:rPr>
                <w:bCs/>
                <w:szCs w:val="22"/>
              </w:rPr>
              <w:t>)</w:t>
            </w:r>
          </w:p>
          <w:p w:rsidR="001C2894" w:rsidRPr="00B52370" w:rsidP="000F47C0" w14:paraId="4787A762" w14:textId="04B5F104">
            <w:pPr>
              <w:rPr>
                <w:bCs/>
                <w:szCs w:val="22"/>
              </w:rPr>
            </w:pPr>
            <w:r w:rsidRPr="00B52370">
              <w:rPr>
                <w:bCs/>
                <w:szCs w:val="22"/>
              </w:rPr>
              <w:t>)</w:t>
            </w:r>
          </w:p>
          <w:p w:rsidR="001C2894" w:rsidRPr="00B52370" w:rsidP="000F47C0" w14:paraId="52EBD954" w14:textId="3CFD522B">
            <w:pPr>
              <w:rPr>
                <w:bCs/>
                <w:szCs w:val="22"/>
              </w:rPr>
            </w:pPr>
            <w:r w:rsidRPr="00B52370">
              <w:rPr>
                <w:bCs/>
                <w:szCs w:val="22"/>
              </w:rPr>
              <w:t>)</w:t>
            </w:r>
          </w:p>
          <w:p w:rsidR="001C2894" w:rsidRPr="00465AA8" w:rsidP="000F47C0" w14:paraId="77E79AC9" w14:textId="6A548538">
            <w:pPr>
              <w:rPr>
                <w:b/>
                <w:szCs w:val="22"/>
              </w:rPr>
            </w:pPr>
          </w:p>
        </w:tc>
        <w:tc>
          <w:tcPr>
            <w:tcW w:w="4230" w:type="dxa"/>
          </w:tcPr>
          <w:p w:rsidR="00333782" w:rsidRPr="00B52370" w:rsidP="000F47C0" w14:paraId="0B2A06F6" w14:textId="77777777">
            <w:pPr>
              <w:rPr>
                <w:bCs/>
                <w:szCs w:val="22"/>
              </w:rPr>
            </w:pPr>
          </w:p>
          <w:p w:rsidR="00333782" w:rsidRPr="00B52370" w:rsidP="000F47C0" w14:paraId="6659BB3F" w14:textId="77777777">
            <w:pPr>
              <w:rPr>
                <w:bCs/>
                <w:szCs w:val="22"/>
              </w:rPr>
            </w:pPr>
          </w:p>
          <w:p w:rsidR="00333782" w:rsidRPr="00B52370" w:rsidP="000F47C0" w14:paraId="1B713C5A" w14:textId="77777777">
            <w:pPr>
              <w:rPr>
                <w:bCs/>
                <w:szCs w:val="22"/>
              </w:rPr>
            </w:pPr>
          </w:p>
          <w:p w:rsidR="00333782" w:rsidRPr="00B52370" w:rsidP="000F47C0" w14:paraId="63D1EBA0" w14:textId="77777777">
            <w:pPr>
              <w:rPr>
                <w:bCs/>
                <w:szCs w:val="22"/>
              </w:rPr>
            </w:pPr>
            <w:r w:rsidRPr="00B52370">
              <w:rPr>
                <w:bCs/>
                <w:szCs w:val="22"/>
              </w:rPr>
              <w:t>IB Docket No. 20-330</w:t>
            </w:r>
          </w:p>
          <w:p w:rsidR="001C2894" w:rsidRPr="00B52370" w:rsidP="000F47C0" w14:paraId="20516717" w14:textId="77777777">
            <w:pPr>
              <w:rPr>
                <w:bCs/>
                <w:szCs w:val="22"/>
              </w:rPr>
            </w:pPr>
          </w:p>
          <w:p w:rsidR="001C2894" w:rsidRPr="00B52370" w:rsidP="000F47C0" w14:paraId="2C0C188C" w14:textId="77777777">
            <w:pPr>
              <w:rPr>
                <w:bCs/>
                <w:szCs w:val="22"/>
              </w:rPr>
            </w:pPr>
          </w:p>
          <w:p w:rsidR="001C2894" w:rsidRPr="00B52370" w:rsidP="000F47C0" w14:paraId="6388AA15" w14:textId="77777777">
            <w:pPr>
              <w:rPr>
                <w:bCs/>
                <w:szCs w:val="22"/>
              </w:rPr>
            </w:pPr>
          </w:p>
          <w:p w:rsidR="001C2894" w:rsidRPr="00B52370" w:rsidP="000F47C0" w14:paraId="33AE9236" w14:textId="77777777">
            <w:pPr>
              <w:rPr>
                <w:bCs/>
                <w:szCs w:val="22"/>
              </w:rPr>
            </w:pPr>
          </w:p>
          <w:p w:rsidR="001C2894" w:rsidRPr="00B52370" w:rsidP="000F47C0" w14:paraId="716608A8" w14:textId="77777777">
            <w:pPr>
              <w:rPr>
                <w:bCs/>
                <w:szCs w:val="22"/>
              </w:rPr>
            </w:pPr>
          </w:p>
          <w:p w:rsidR="001C2894" w:rsidRPr="00B52370" w:rsidP="000F47C0" w14:paraId="751CCDC5" w14:textId="77777777">
            <w:pPr>
              <w:rPr>
                <w:bCs/>
                <w:szCs w:val="22"/>
              </w:rPr>
            </w:pPr>
          </w:p>
          <w:p w:rsidR="001C2894" w:rsidRPr="00B52370" w:rsidP="000F47C0" w14:paraId="702601C8" w14:textId="77777777">
            <w:pPr>
              <w:rPr>
                <w:bCs/>
                <w:szCs w:val="22"/>
              </w:rPr>
            </w:pPr>
          </w:p>
          <w:p w:rsidR="001C2894" w:rsidRPr="00465AA8" w:rsidP="000F47C0" w14:paraId="622501B7" w14:textId="27D8681E">
            <w:pPr>
              <w:rPr>
                <w:b/>
                <w:szCs w:val="22"/>
              </w:rPr>
            </w:pPr>
            <w:r w:rsidRPr="00B52370">
              <w:rPr>
                <w:bCs/>
                <w:szCs w:val="22"/>
              </w:rPr>
              <w:t>IB Docket No. 22-273</w:t>
            </w:r>
          </w:p>
        </w:tc>
      </w:tr>
    </w:tbl>
    <w:p w:rsidR="00333782" w:rsidRPr="00465AA8" w:rsidP="000F47C0" w14:paraId="023BB778" w14:textId="6F8C677C">
      <w:pPr>
        <w:spacing w:before="120"/>
        <w:jc w:val="center"/>
        <w:rPr>
          <w:b/>
          <w:spacing w:val="-2"/>
          <w:szCs w:val="22"/>
        </w:rPr>
      </w:pPr>
      <w:r w:rsidRPr="00465AA8">
        <w:rPr>
          <w:b/>
          <w:spacing w:val="-2"/>
          <w:szCs w:val="22"/>
        </w:rPr>
        <w:t>ORDER</w:t>
      </w:r>
    </w:p>
    <w:p w:rsidR="00333782" w:rsidRPr="00465AA8" w:rsidP="000F47C0" w14:paraId="47FA23ED" w14:textId="77777777">
      <w:pPr>
        <w:tabs>
          <w:tab w:val="left" w:pos="5760"/>
        </w:tabs>
        <w:rPr>
          <w:b/>
          <w:szCs w:val="22"/>
        </w:rPr>
      </w:pPr>
    </w:p>
    <w:p w:rsidR="00333782" w:rsidRPr="00465AA8" w:rsidP="00B52370" w14:paraId="624110D1" w14:textId="1EBCEF35">
      <w:pPr>
        <w:tabs>
          <w:tab w:val="right" w:pos="9360"/>
        </w:tabs>
        <w:rPr>
          <w:b/>
          <w:szCs w:val="22"/>
        </w:rPr>
      </w:pPr>
      <w:r>
        <w:rPr>
          <w:b/>
          <w:szCs w:val="22"/>
        </w:rPr>
        <w:t>Adopted:</w:t>
      </w:r>
      <w:r w:rsidR="00960897">
        <w:rPr>
          <w:b/>
          <w:szCs w:val="22"/>
        </w:rPr>
        <w:t xml:space="preserve"> </w:t>
      </w:r>
      <w:r w:rsidR="00254965">
        <w:rPr>
          <w:b/>
          <w:szCs w:val="22"/>
        </w:rPr>
        <w:t>March 19, 2024</w:t>
      </w:r>
      <w:r w:rsidR="00960897">
        <w:rPr>
          <w:b/>
          <w:szCs w:val="22"/>
        </w:rPr>
        <w:tab/>
      </w:r>
      <w:r w:rsidRPr="00465AA8" w:rsidR="00B272A5">
        <w:rPr>
          <w:b/>
          <w:szCs w:val="22"/>
        </w:rPr>
        <w:t xml:space="preserve">Released: </w:t>
      </w:r>
      <w:r w:rsidR="00254965">
        <w:rPr>
          <w:b/>
          <w:szCs w:val="22"/>
        </w:rPr>
        <w:t>March 19, 2024</w:t>
      </w:r>
    </w:p>
    <w:p w:rsidR="00333782" w:rsidRPr="00465AA8" w:rsidP="000F47C0" w14:paraId="752F0AF9" w14:textId="77777777">
      <w:pPr>
        <w:tabs>
          <w:tab w:val="left" w:pos="5760"/>
        </w:tabs>
        <w:rPr>
          <w:b/>
          <w:szCs w:val="22"/>
        </w:rPr>
      </w:pPr>
    </w:p>
    <w:p w:rsidR="00E773D9" w:rsidRPr="00465AA8" w:rsidP="00325817" w14:paraId="685C975F" w14:textId="514DBD9A">
      <w:pPr>
        <w:tabs>
          <w:tab w:val="left" w:pos="5760"/>
        </w:tabs>
        <w:spacing w:after="120" w:line="259" w:lineRule="auto"/>
        <w:rPr>
          <w:spacing w:val="-2"/>
          <w:szCs w:val="22"/>
        </w:rPr>
      </w:pPr>
      <w:r w:rsidRPr="00465AA8">
        <w:rPr>
          <w:szCs w:val="22"/>
        </w:rPr>
        <w:t xml:space="preserve">By the </w:t>
      </w:r>
      <w:r w:rsidRPr="00465AA8" w:rsidR="001C2894">
        <w:rPr>
          <w:spacing w:val="-2"/>
          <w:szCs w:val="22"/>
        </w:rPr>
        <w:t xml:space="preserve">Chief, </w:t>
      </w:r>
      <w:r w:rsidRPr="00465AA8" w:rsidR="00B94078">
        <w:rPr>
          <w:spacing w:val="-2"/>
          <w:szCs w:val="22"/>
        </w:rPr>
        <w:t xml:space="preserve">Space </w:t>
      </w:r>
      <w:r w:rsidRPr="00465AA8" w:rsidR="001C2894">
        <w:rPr>
          <w:spacing w:val="-2"/>
          <w:szCs w:val="22"/>
        </w:rPr>
        <w:t>Bureau</w:t>
      </w:r>
      <w:r w:rsidRPr="00465AA8" w:rsidR="001373A5">
        <w:rPr>
          <w:spacing w:val="-2"/>
          <w:szCs w:val="22"/>
        </w:rPr>
        <w:t xml:space="preserve"> and the Managing Director:</w:t>
      </w:r>
    </w:p>
    <w:p w:rsidR="00AA4918" w:rsidP="002B3CAF" w14:paraId="33FC2E13" w14:textId="77777777">
      <w:pPr>
        <w:pStyle w:val="Heading1"/>
      </w:pPr>
      <w:r w:rsidRPr="00465AA8">
        <w:t>INTRODUCTION</w:t>
      </w:r>
    </w:p>
    <w:p w:rsidR="00EF6DE7" w:rsidRPr="00EF6DE7" w:rsidP="000C6950" w14:paraId="4F35CD7B" w14:textId="76257F17">
      <w:pPr>
        <w:pStyle w:val="Heading2"/>
      </w:pPr>
      <w:r w:rsidRPr="2C6108A0">
        <w:t>In this Order</w:t>
      </w:r>
      <w:r w:rsidRPr="2C6108A0" w:rsidR="00903738">
        <w:t>,</w:t>
      </w:r>
      <w:r w:rsidRPr="2C6108A0">
        <w:t xml:space="preserve"> </w:t>
      </w:r>
      <w:r w:rsidRPr="2C6108A0" w:rsidR="00C92FF8">
        <w:t>we</w:t>
      </w:r>
      <w:r w:rsidRPr="2C6108A0" w:rsidR="00044F19">
        <w:t xml:space="preserve"> amend the Final Rules</w:t>
      </w:r>
      <w:r w:rsidRPr="2C6108A0" w:rsidR="00FC7280">
        <w:t xml:space="preserve"> in Appendix A of </w:t>
      </w:r>
      <w:r w:rsidRPr="2C6108A0" w:rsidR="00601ADB">
        <w:t>a Report and Order released by</w:t>
      </w:r>
      <w:r w:rsidRPr="2C6108A0" w:rsidR="002F0E1A">
        <w:t xml:space="preserve"> </w:t>
      </w:r>
      <w:r w:rsidRPr="2C6108A0" w:rsidR="00601ADB">
        <w:t>the Commission on August 3, 2022</w:t>
      </w:r>
      <w:r w:rsidRPr="2C6108A0" w:rsidR="00903738">
        <w:t xml:space="preserve">, to </w:t>
      </w:r>
      <w:r w:rsidRPr="2C6108A0" w:rsidR="00C86D6C">
        <w:t xml:space="preserve">correct typographical errors and to </w:t>
      </w:r>
      <w:r w:rsidRPr="2C6108A0" w:rsidR="00903738">
        <w:t xml:space="preserve">conform </w:t>
      </w:r>
      <w:r w:rsidR="00065F42">
        <w:t>with</w:t>
      </w:r>
      <w:r w:rsidRPr="2C6108A0" w:rsidR="00903738">
        <w:t xml:space="preserve"> the publishing conventions of the National Archives and Records Administration’s Office of the Federal Register</w:t>
      </w:r>
      <w:r w:rsidRPr="2C6108A0" w:rsidR="00400317">
        <w:t xml:space="preserve"> (Federal Register)</w:t>
      </w:r>
      <w:r w:rsidRPr="2C6108A0" w:rsidR="00601ADB">
        <w:t>.</w:t>
      </w:r>
      <w:r>
        <w:rPr>
          <w:rStyle w:val="FootnoteReference"/>
          <w:sz w:val="22"/>
          <w:szCs w:val="22"/>
        </w:rPr>
        <w:footnoteReference w:id="3"/>
      </w:r>
      <w:r w:rsidRPr="2C6108A0" w:rsidR="00035363">
        <w:t xml:space="preserve">  Th</w:t>
      </w:r>
      <w:r w:rsidRPr="2C6108A0" w:rsidR="009610CF">
        <w:t>ese</w:t>
      </w:r>
      <w:r w:rsidRPr="2C6108A0" w:rsidR="00035363">
        <w:t xml:space="preserve"> amendment</w:t>
      </w:r>
      <w:r w:rsidRPr="2C6108A0" w:rsidR="009610CF">
        <w:t>s</w:t>
      </w:r>
      <w:r w:rsidRPr="2C6108A0" w:rsidR="008610C0">
        <w:t xml:space="preserve"> are non-substantive and do </w:t>
      </w:r>
      <w:r w:rsidRPr="2C6108A0" w:rsidR="00035363">
        <w:t>not change any regulatory obligations.</w:t>
      </w:r>
    </w:p>
    <w:p w:rsidR="00655501" w:rsidP="002B3CAF" w14:paraId="65623B7E" w14:textId="3555195C">
      <w:pPr>
        <w:pStyle w:val="Heading1"/>
      </w:pPr>
      <w:r w:rsidRPr="00A4557B">
        <w:t>background</w:t>
      </w:r>
    </w:p>
    <w:p w:rsidR="00EF6DE7" w:rsidRPr="00EF6DE7" w:rsidP="000C6950" w14:paraId="3F529B65" w14:textId="736C7C1B">
      <w:pPr>
        <w:pStyle w:val="Heading2"/>
      </w:pPr>
      <w:r w:rsidRPr="00655501">
        <w:t>On August 3, 2022, the Commission released a Report and Order and Notice of Proposed Rulemaking</w:t>
      </w:r>
      <w:r w:rsidR="00BA15CF">
        <w:rPr>
          <w:i/>
        </w:rPr>
        <w:t xml:space="preserve"> </w:t>
      </w:r>
      <w:r w:rsidRPr="000C6950" w:rsidR="00BA15CF">
        <w:rPr>
          <w:iCs/>
        </w:rPr>
        <w:t>(</w:t>
      </w:r>
      <w:r w:rsidR="00BA15CF">
        <w:rPr>
          <w:i/>
        </w:rPr>
        <w:t>17 GHz Report and Order</w:t>
      </w:r>
      <w:r w:rsidRPr="000C6950" w:rsidR="00BA15CF">
        <w:rPr>
          <w:iCs/>
        </w:rPr>
        <w:t>)</w:t>
      </w:r>
      <w:r w:rsidRPr="00655501">
        <w:t xml:space="preserve"> in the above captioned proceeding.</w:t>
      </w:r>
      <w:r>
        <w:rPr>
          <w:rStyle w:val="FootnoteReference"/>
        </w:rPr>
        <w:footnoteReference w:id="4"/>
      </w:r>
      <w:r w:rsidRPr="00655501">
        <w:t xml:space="preserve">  </w:t>
      </w:r>
      <w:r w:rsidR="006622E1">
        <w:t xml:space="preserve">The Final Rules in Appendix A of the </w:t>
      </w:r>
      <w:r w:rsidRPr="6EE12317" w:rsidR="006622E1">
        <w:rPr>
          <w:i/>
          <w:iCs/>
        </w:rPr>
        <w:t>17 GHz Report and Order</w:t>
      </w:r>
      <w:r w:rsidR="000C6950">
        <w:t xml:space="preserve"> </w:t>
      </w:r>
      <w:r w:rsidR="006622E1">
        <w:t xml:space="preserve">contained typographical errors and did not conform </w:t>
      </w:r>
      <w:r w:rsidR="00500E86">
        <w:t>with</w:t>
      </w:r>
      <w:r w:rsidR="006622E1">
        <w:t xml:space="preserve"> </w:t>
      </w:r>
      <w:r w:rsidR="00EA40F2">
        <w:t xml:space="preserve">the </w:t>
      </w:r>
      <w:r w:rsidR="006622E1">
        <w:t xml:space="preserve">publishing conventions of the </w:t>
      </w:r>
      <w:r w:rsidR="00EA40F2">
        <w:t>Federal Register</w:t>
      </w:r>
      <w:r w:rsidR="00300B20">
        <w:t>.</w:t>
      </w:r>
      <w:r w:rsidR="001628F6">
        <w:t xml:space="preserve"> </w:t>
      </w:r>
      <w:r w:rsidR="005C249D">
        <w:t xml:space="preserve"> </w:t>
      </w:r>
      <w:r w:rsidR="0065141E">
        <w:t xml:space="preserve">While </w:t>
      </w:r>
      <w:r w:rsidR="00970835">
        <w:t>the typographical errors remained,</w:t>
      </w:r>
      <w:r>
        <w:rPr>
          <w:sz w:val="20"/>
          <w:vertAlign w:val="superscript"/>
        </w:rPr>
        <w:footnoteReference w:id="5"/>
      </w:r>
      <w:r w:rsidR="00970835">
        <w:t xml:space="preserve"> </w:t>
      </w:r>
      <w:r w:rsidR="0065141E">
        <w:t>t</w:t>
      </w:r>
      <w:r w:rsidR="00BE7C43">
        <w:t>he text of the Final Rules was corrected to conform with the publishing convention</w:t>
      </w:r>
      <w:r w:rsidR="00210B24">
        <w:t>s</w:t>
      </w:r>
      <w:r w:rsidR="00BE7C43">
        <w:t xml:space="preserve"> of the Federal Register</w:t>
      </w:r>
      <w:r w:rsidR="00A34FF8">
        <w:t xml:space="preserve"> prior to publication on November 2</w:t>
      </w:r>
      <w:r w:rsidR="002A1C1C">
        <w:t>5</w:t>
      </w:r>
      <w:r w:rsidR="00A34FF8">
        <w:t>, 2022</w:t>
      </w:r>
      <w:r w:rsidR="00970835">
        <w:t>.</w:t>
      </w:r>
      <w:r>
        <w:rPr>
          <w:sz w:val="20"/>
          <w:vertAlign w:val="superscript"/>
        </w:rPr>
        <w:footnoteReference w:id="6"/>
      </w:r>
      <w:r w:rsidR="00C1326B">
        <w:t xml:space="preserve">  </w:t>
      </w:r>
      <w:r w:rsidR="004777E6">
        <w:t>This Order</w:t>
      </w:r>
      <w:r w:rsidR="00502BCE">
        <w:t xml:space="preserve"> amends the Final Rules in Appendix </w:t>
      </w:r>
      <w:r w:rsidR="005F52F7">
        <w:t xml:space="preserve">A </w:t>
      </w:r>
      <w:r w:rsidR="00502BCE">
        <w:t xml:space="preserve">of the </w:t>
      </w:r>
      <w:r w:rsidR="00DF0972">
        <w:rPr>
          <w:i/>
          <w:iCs/>
        </w:rPr>
        <w:t xml:space="preserve">17 GHz Report and </w:t>
      </w:r>
      <w:r w:rsidRPr="0077304C" w:rsidR="002D3332">
        <w:rPr>
          <w:i/>
          <w:iCs/>
        </w:rPr>
        <w:t>Order</w:t>
      </w:r>
      <w:r w:rsidR="0092367E">
        <w:t xml:space="preserve">, </w:t>
      </w:r>
      <w:r w:rsidR="0012156F">
        <w:t>as released by the Commission</w:t>
      </w:r>
      <w:r w:rsidR="0092367E">
        <w:t>,</w:t>
      </w:r>
      <w:r w:rsidR="0012156F">
        <w:t xml:space="preserve"> </w:t>
      </w:r>
      <w:r w:rsidR="00C875A1">
        <w:t xml:space="preserve">to correct the typographical errors and to conform with the publishing conventions </w:t>
      </w:r>
      <w:r w:rsidR="008E63CD">
        <w:t>of the Federal Register.</w:t>
      </w:r>
    </w:p>
    <w:p w:rsidR="002B3CAF" w:rsidP="002B3CAF" w14:paraId="5E65FC51" w14:textId="77777777">
      <w:pPr>
        <w:pStyle w:val="Heading1"/>
      </w:pPr>
      <w:r w:rsidRPr="00465AA8">
        <w:t>discussion</w:t>
      </w:r>
    </w:p>
    <w:p w:rsidR="005E7BB1" w:rsidP="000C6950" w14:paraId="100051C5" w14:textId="49706D91">
      <w:pPr>
        <w:pStyle w:val="Heading2"/>
      </w:pPr>
      <w:r>
        <w:t>We</w:t>
      </w:r>
      <w:r w:rsidR="00F900DA">
        <w:t xml:space="preserve"> find that</w:t>
      </w:r>
      <w:r w:rsidR="0012156F">
        <w:t xml:space="preserve"> correcting</w:t>
      </w:r>
      <w:r w:rsidR="00F900DA">
        <w:t xml:space="preserve"> the typographical errors and </w:t>
      </w:r>
      <w:r w:rsidR="00F80DB4">
        <w:t xml:space="preserve">non-conforming </w:t>
      </w:r>
      <w:r w:rsidR="005F52F7">
        <w:t xml:space="preserve">publishing conventions in the Final Rules in Appendix A of the </w:t>
      </w:r>
      <w:r w:rsidR="00DF0972">
        <w:rPr>
          <w:i/>
          <w:iCs/>
        </w:rPr>
        <w:t xml:space="preserve">17 GHz Report and </w:t>
      </w:r>
      <w:r w:rsidRPr="0077304C" w:rsidR="002D3332">
        <w:rPr>
          <w:i/>
          <w:iCs/>
        </w:rPr>
        <w:t>Order</w:t>
      </w:r>
      <w:r w:rsidR="002D3332">
        <w:t xml:space="preserve"> </w:t>
      </w:r>
      <w:r w:rsidR="00FE3CCA">
        <w:t xml:space="preserve">as released by the Commission </w:t>
      </w:r>
      <w:r w:rsidR="001575E4">
        <w:t>is</w:t>
      </w:r>
      <w:r w:rsidR="003515E0">
        <w:t xml:space="preserve"> </w:t>
      </w:r>
      <w:r w:rsidR="00920CEE">
        <w:t>non-substantive</w:t>
      </w:r>
      <w:r w:rsidR="003515E0">
        <w:t xml:space="preserve"> in nature</w:t>
      </w:r>
      <w:r w:rsidR="00920CEE">
        <w:t>.  In reaching this determination, we</w:t>
      </w:r>
      <w:r w:rsidR="0004052A">
        <w:t xml:space="preserve"> are guided by the fact that </w:t>
      </w:r>
      <w:r w:rsidR="00BD02DD">
        <w:t xml:space="preserve">the text of the </w:t>
      </w:r>
      <w:r w:rsidR="00DF0972">
        <w:rPr>
          <w:i/>
          <w:iCs/>
        </w:rPr>
        <w:t xml:space="preserve">17 GHz Report and </w:t>
      </w:r>
      <w:r w:rsidRPr="0077304C" w:rsidR="002D3332">
        <w:rPr>
          <w:i/>
          <w:iCs/>
        </w:rPr>
        <w:t>Order</w:t>
      </w:r>
      <w:r w:rsidR="002D3332">
        <w:t xml:space="preserve"> </w:t>
      </w:r>
      <w:r w:rsidR="000A6A1E">
        <w:t>makes clear that the</w:t>
      </w:r>
      <w:r w:rsidR="00BD02DD">
        <w:t xml:space="preserve"> errors that remained in the text of the Final Rules</w:t>
      </w:r>
      <w:r w:rsidR="000A6A1E">
        <w:t xml:space="preserve"> were unintentional and typographical in nature</w:t>
      </w:r>
      <w:r w:rsidR="00BD02DD">
        <w:t>.</w:t>
      </w:r>
      <w:r>
        <w:rPr>
          <w:rStyle w:val="FootnoteReference"/>
        </w:rPr>
        <w:footnoteReference w:id="7"/>
      </w:r>
      <w:r w:rsidR="00BD02DD">
        <w:t xml:space="preserve">  </w:t>
      </w:r>
      <w:r w:rsidR="00270DB4">
        <w:t>Furthermore,</w:t>
      </w:r>
      <w:r w:rsidR="00B606A3">
        <w:t xml:space="preserve"> the text of the Final Rules</w:t>
      </w:r>
      <w:r w:rsidR="002271C2">
        <w:t xml:space="preserve"> as</w:t>
      </w:r>
      <w:r w:rsidR="00B606A3">
        <w:t xml:space="preserve"> publi</w:t>
      </w:r>
      <w:r w:rsidR="002271C2">
        <w:t>shed</w:t>
      </w:r>
      <w:r w:rsidR="00B606A3">
        <w:t xml:space="preserve"> in the Federal Register</w:t>
      </w:r>
      <w:r w:rsidR="00854AB3">
        <w:t xml:space="preserve"> </w:t>
      </w:r>
      <w:r w:rsidR="00C213A7">
        <w:t xml:space="preserve">was </w:t>
      </w:r>
      <w:r w:rsidR="00854AB3">
        <w:t>correct</w:t>
      </w:r>
      <w:r w:rsidR="00C213A7">
        <w:t>ed to conform</w:t>
      </w:r>
      <w:r w:rsidR="006669E1">
        <w:t xml:space="preserve"> with the</w:t>
      </w:r>
      <w:r w:rsidR="00854AB3">
        <w:t xml:space="preserve"> publishing convention</w:t>
      </w:r>
      <w:r w:rsidR="006669E1">
        <w:t>s of the Federal Register</w:t>
      </w:r>
      <w:r w:rsidRPr="00727B1D" w:rsidR="00774652">
        <w:t>.</w:t>
      </w:r>
      <w:r>
        <w:rPr>
          <w:rStyle w:val="FootnoteReference"/>
        </w:rPr>
        <w:footnoteReference w:id="8"/>
      </w:r>
      <w:r w:rsidRPr="00727B1D" w:rsidR="00774652">
        <w:t xml:space="preserve">  </w:t>
      </w:r>
      <w:r w:rsidR="000772CF">
        <w:t xml:space="preserve">In addition, the </w:t>
      </w:r>
      <w:r w:rsidR="005F7559">
        <w:t>typographical and publishing convention errors did not alter the substance of the Final Rules.</w:t>
      </w:r>
    </w:p>
    <w:p w:rsidR="005F7559" w:rsidP="000C6950" w14:paraId="06377D32" w14:textId="62160436">
      <w:pPr>
        <w:pStyle w:val="Heading2"/>
      </w:pPr>
      <w:r>
        <w:t>We find that notice and comment procedures are unnecessary under the “good cause” exception of the Administrative Procedure Act (APA) because</w:t>
      </w:r>
      <w:r w:rsidR="00CD2FAA">
        <w:t xml:space="preserve"> </w:t>
      </w:r>
      <w:r w:rsidR="0064308A">
        <w:t>the changes</w:t>
      </w:r>
      <w:r w:rsidR="00CD2FAA">
        <w:t xml:space="preserve"> in the Final Rules </w:t>
      </w:r>
      <w:r w:rsidR="009D68E2">
        <w:t>in Appendix</w:t>
      </w:r>
      <w:r w:rsidR="004174FF">
        <w:t> </w:t>
      </w:r>
      <w:r w:rsidR="009D68E2">
        <w:t xml:space="preserve">A </w:t>
      </w:r>
      <w:r w:rsidR="00CD2FAA">
        <w:t xml:space="preserve">of the </w:t>
      </w:r>
      <w:r w:rsidR="00DF0972">
        <w:rPr>
          <w:i/>
          <w:iCs/>
        </w:rPr>
        <w:t xml:space="preserve">17 GHz Report and </w:t>
      </w:r>
      <w:r w:rsidRPr="0077304C" w:rsidR="009D68E2">
        <w:rPr>
          <w:i/>
          <w:iCs/>
        </w:rPr>
        <w:t>Order</w:t>
      </w:r>
      <w:r w:rsidR="009D68E2">
        <w:t xml:space="preserve"> </w:t>
      </w:r>
      <w:r w:rsidR="0064308A">
        <w:t xml:space="preserve">as released by the Commission adopted herein </w:t>
      </w:r>
      <w:r w:rsidR="00CD2FAA">
        <w:t xml:space="preserve">merely </w:t>
      </w:r>
      <w:r w:rsidR="0064308A">
        <w:t>correct</w:t>
      </w:r>
      <w:r w:rsidR="005A21DA">
        <w:t xml:space="preserve"> typographical errors, </w:t>
      </w:r>
      <w:r w:rsidR="00CD2FAA">
        <w:t>align</w:t>
      </w:r>
      <w:r w:rsidR="004C29F7">
        <w:t xml:space="preserve"> the Final Rules in Appendix A of the </w:t>
      </w:r>
      <w:r w:rsidR="00DF0972">
        <w:rPr>
          <w:i/>
          <w:iCs/>
        </w:rPr>
        <w:t xml:space="preserve">17 GHz Report and </w:t>
      </w:r>
      <w:r w:rsidRPr="00B33294" w:rsidR="004C29F7">
        <w:rPr>
          <w:i/>
          <w:iCs/>
        </w:rPr>
        <w:t>Order</w:t>
      </w:r>
      <w:r w:rsidR="004C29F7">
        <w:t xml:space="preserve"> as released by the Commission</w:t>
      </w:r>
      <w:r w:rsidR="00CD2FAA">
        <w:t xml:space="preserve"> with the</w:t>
      </w:r>
      <w:r w:rsidR="00F36B4D">
        <w:t xml:space="preserve"> text of the Final Rules </w:t>
      </w:r>
      <w:r w:rsidR="004C29F7">
        <w:t xml:space="preserve">as </w:t>
      </w:r>
      <w:r w:rsidR="00F36B4D">
        <w:t>published in the Federal Register</w:t>
      </w:r>
      <w:r w:rsidR="00E140DD">
        <w:t>, or</w:t>
      </w:r>
      <w:r w:rsidR="00F36B4D">
        <w:t xml:space="preserve"> conform the </w:t>
      </w:r>
      <w:r w:rsidR="00DF0972">
        <w:rPr>
          <w:i/>
          <w:iCs/>
        </w:rPr>
        <w:t xml:space="preserve">17 GHz Report and </w:t>
      </w:r>
      <w:r w:rsidRPr="0077304C" w:rsidR="00953E20">
        <w:rPr>
          <w:i/>
          <w:iCs/>
        </w:rPr>
        <w:t>Order</w:t>
      </w:r>
      <w:r w:rsidR="00953E20">
        <w:t xml:space="preserve"> </w:t>
      </w:r>
      <w:r w:rsidR="00E140DD">
        <w:t xml:space="preserve">as released by the Commission </w:t>
      </w:r>
      <w:r w:rsidR="00F36B4D">
        <w:t>with the publishing conventions of the Federal Register.</w:t>
      </w:r>
      <w:r>
        <w:rPr>
          <w:rStyle w:val="FootnoteReference"/>
        </w:rPr>
        <w:footnoteReference w:id="9"/>
      </w:r>
      <w:r w:rsidR="00823B2D">
        <w:t xml:space="preserve">  Consequently, we find notice and comment procedures are unnecessary for this action</w:t>
      </w:r>
      <w:r w:rsidR="001F45B7">
        <w:t xml:space="preserve"> as they constitute</w:t>
      </w:r>
      <w:r w:rsidR="00AB68C3">
        <w:t xml:space="preserve"> routine “clean-up” matters that entail no substantive decisions of any consequence or significance to industry or the general public</w:t>
      </w:r>
      <w:r w:rsidR="00823B2D">
        <w:t>.</w:t>
      </w:r>
      <w:r>
        <w:rPr>
          <w:rStyle w:val="FootnoteReference"/>
        </w:rPr>
        <w:footnoteReference w:id="10"/>
      </w:r>
    </w:p>
    <w:p w:rsidR="002B3CAF" w:rsidP="002B3CAF" w14:paraId="1CD07943" w14:textId="77777777">
      <w:pPr>
        <w:pStyle w:val="Heading1"/>
      </w:pPr>
      <w:r w:rsidRPr="00465AA8">
        <w:t>Procedural Matters</w:t>
      </w:r>
    </w:p>
    <w:p w:rsidR="002B3CAF" w:rsidP="000C6950" w14:paraId="252E3C54" w14:textId="77777777">
      <w:pPr>
        <w:pStyle w:val="Heading2"/>
      </w:pPr>
      <w:r w:rsidRPr="002B3CAF">
        <w:rPr>
          <w:i/>
          <w:iCs/>
        </w:rPr>
        <w:t>Regulatory Flexibility Act.</w:t>
      </w:r>
      <w:r w:rsidRPr="002B3CAF">
        <w:t xml:space="preserve">  Because these rule changes are being adopted without notice and comment, the Regulatory Flexibility Act</w:t>
      </w:r>
      <w:r>
        <w:rPr>
          <w:vertAlign w:val="superscript"/>
        </w:rPr>
        <w:footnoteReference w:id="11"/>
      </w:r>
      <w:r w:rsidRPr="002B3CAF">
        <w:t xml:space="preserve"> does not apply.</w:t>
      </w:r>
    </w:p>
    <w:p w:rsidR="002B3CAF" w:rsidRPr="002B3CAF" w:rsidP="000C6950" w14:paraId="3D11E79C" w14:textId="4FAB106B">
      <w:pPr>
        <w:pStyle w:val="Heading2"/>
      </w:pPr>
      <w:r w:rsidRPr="002B3CAF">
        <w:rPr>
          <w:i/>
          <w:iCs/>
        </w:rPr>
        <w:t>Paperwork Reduction Act.</w:t>
      </w:r>
      <w:r w:rsidRPr="002B3CAF">
        <w:t xml:space="preserve">  This document does not contain any new or modified information collection requirements subject to the Paperwork Reduction Act of 1995 (PRA).</w:t>
      </w:r>
      <w:r>
        <w:rPr>
          <w:rStyle w:val="FootnoteReference"/>
          <w:sz w:val="22"/>
          <w:szCs w:val="22"/>
        </w:rPr>
        <w:footnoteReference w:id="12"/>
      </w:r>
      <w:r w:rsidRPr="002B3CAF">
        <w:t xml:space="preserve">  In addition, therefore, it does not contain any new or modified information collection burden for small business concerns with fewer than 25 employees, pursuant to the Small Business Paperwork Relief Act of 2002.</w:t>
      </w:r>
      <w:r>
        <w:rPr>
          <w:rStyle w:val="FootnoteReference"/>
          <w:sz w:val="22"/>
          <w:szCs w:val="22"/>
        </w:rPr>
        <w:footnoteReference w:id="13"/>
      </w:r>
      <w:r w:rsidRPr="002B3CAF">
        <w:t xml:space="preserve"> </w:t>
      </w:r>
    </w:p>
    <w:p w:rsidR="00942198" w:rsidRPr="002B3CAF" w:rsidP="000C6950" w14:paraId="44646E5D" w14:textId="6D5DA864">
      <w:pPr>
        <w:pStyle w:val="Heading2"/>
      </w:pPr>
      <w:r w:rsidRPr="002B3CAF">
        <w:rPr>
          <w:i/>
          <w:iCs/>
        </w:rPr>
        <w:t>Congressional Review Act.</w:t>
      </w:r>
      <w:r w:rsidRPr="002B3CAF">
        <w:t xml:space="preserve">  The Bureau has determined, and the Administrator of the Office of Information and Regulatory Affairs, Office of Management and Budget, concurs that these rules are non-major under the Congressional Review Act, 5 U.S.C. § 804(2).  The Bureau will send a copy of this Order to Congress and the Government Accountability Office, pursuant to the Congressional Review Act.</w:t>
      </w:r>
      <w:r>
        <w:rPr>
          <w:rStyle w:val="FootnoteReference"/>
          <w:sz w:val="22"/>
          <w:szCs w:val="22"/>
        </w:rPr>
        <w:footnoteReference w:id="14"/>
      </w:r>
    </w:p>
    <w:p w:rsidR="002B3CAF" w:rsidP="002B3CAF" w14:paraId="5F2908DB" w14:textId="77777777">
      <w:pPr>
        <w:pStyle w:val="Heading1"/>
      </w:pPr>
      <w:r w:rsidRPr="00465AA8">
        <w:t>ordering clauses</w:t>
      </w:r>
    </w:p>
    <w:p w:rsidR="002B3CAF" w:rsidP="000C6950" w14:paraId="29872F1B" w14:textId="6183E4A5">
      <w:pPr>
        <w:pStyle w:val="Heading2"/>
      </w:pPr>
      <w:r w:rsidRPr="002B3CAF">
        <w:t xml:space="preserve">Accordingly, </w:t>
      </w:r>
      <w:r w:rsidRPr="002B3CAF">
        <w:rPr>
          <w:b/>
        </w:rPr>
        <w:t>IT IS ORDERED</w:t>
      </w:r>
      <w:r w:rsidRPr="002B3CAF">
        <w:t xml:space="preserve"> that, pursuant to the authority contained in Sections 1, 4(i), 4(j), 301, 303, 307, 308, 309, 316, and 319 of the Communications Act of 1934, as amended, 47 U.S.C. §§ 151, 154(i), 154(j), 301, 303, 307, 308, 309, 316, and 319, this </w:t>
      </w:r>
      <w:r w:rsidRPr="00B33294">
        <w:t>Order</w:t>
      </w:r>
      <w:r w:rsidRPr="002B3CAF">
        <w:t xml:space="preserve"> </w:t>
      </w:r>
      <w:r w:rsidRPr="002B3CAF">
        <w:rPr>
          <w:b/>
        </w:rPr>
        <w:t xml:space="preserve">IS ADOPTED </w:t>
      </w:r>
      <w:r w:rsidRPr="002B3CAF">
        <w:t xml:space="preserve">and </w:t>
      </w:r>
      <w:r w:rsidRPr="002B3CAF">
        <w:rPr>
          <w:b/>
        </w:rPr>
        <w:t>WILL BECOME EFFECTIVE</w:t>
      </w:r>
      <w:r w:rsidRPr="002B3CAF">
        <w:t xml:space="preserve"> </w:t>
      </w:r>
      <w:r w:rsidR="00F37128">
        <w:t>thirty (</w:t>
      </w:r>
      <w:r w:rsidRPr="002B3CAF">
        <w:t>30</w:t>
      </w:r>
      <w:r w:rsidR="00F37128">
        <w:t>)</w:t>
      </w:r>
      <w:r w:rsidRPr="002B3CAF">
        <w:t xml:space="preserve"> days after publication in the Federal Register.</w:t>
      </w:r>
    </w:p>
    <w:p w:rsidR="002B3CAF" w:rsidRPr="002B3CAF" w:rsidP="000C6950" w14:paraId="0B934319" w14:textId="020C63D5">
      <w:pPr>
        <w:pStyle w:val="Heading2"/>
      </w:pPr>
      <w:r w:rsidRPr="002B3CAF">
        <w:rPr>
          <w:b/>
        </w:rPr>
        <w:t>IT IS FURTHER ORDERED</w:t>
      </w:r>
      <w:r w:rsidRPr="002B3CAF">
        <w:t xml:space="preserve"> that Part </w:t>
      </w:r>
      <w:r w:rsidRPr="002B3CAF" w:rsidR="00255255">
        <w:t>25</w:t>
      </w:r>
      <w:r w:rsidRPr="002B3CAF">
        <w:t xml:space="preserve"> of the Commission’s </w:t>
      </w:r>
      <w:r w:rsidR="00366F66">
        <w:t>r</w:t>
      </w:r>
      <w:r w:rsidRPr="002B3CAF">
        <w:t>ules</w:t>
      </w:r>
      <w:r w:rsidRPr="002B3CAF">
        <w:rPr>
          <w:b/>
        </w:rPr>
        <w:t xml:space="preserve"> </w:t>
      </w:r>
      <w:r w:rsidRPr="002B3CAF" w:rsidR="0074166B">
        <w:rPr>
          <w:b/>
        </w:rPr>
        <w:t>IS</w:t>
      </w:r>
      <w:r w:rsidRPr="002B3CAF">
        <w:rPr>
          <w:b/>
        </w:rPr>
        <w:t xml:space="preserve"> HEREBY AMENDED </w:t>
      </w:r>
      <w:r w:rsidRPr="002B3CAF">
        <w:t>as set forth in the Appendix, effective as of</w:t>
      </w:r>
      <w:r w:rsidRPr="002B3CAF">
        <w:rPr>
          <w:b/>
        </w:rPr>
        <w:t xml:space="preserve"> </w:t>
      </w:r>
      <w:r w:rsidRPr="002B3CAF">
        <w:t>thirty (30) days after the date of publication</w:t>
      </w:r>
      <w:r w:rsidRPr="002B3CAF" w:rsidR="001E4ADB">
        <w:t xml:space="preserve"> of this </w:t>
      </w:r>
      <w:r w:rsidRPr="00B33294" w:rsidR="001E4ADB">
        <w:t>Order</w:t>
      </w:r>
      <w:r w:rsidRPr="002B3CAF">
        <w:t xml:space="preserve"> in the </w:t>
      </w:r>
      <w:r w:rsidRPr="00B33294">
        <w:rPr>
          <w:iCs/>
        </w:rPr>
        <w:t>Federal Register</w:t>
      </w:r>
      <w:r w:rsidRPr="002B3CAF">
        <w:rPr>
          <w:iCs/>
        </w:rPr>
        <w:t>.</w:t>
      </w:r>
    </w:p>
    <w:p w:rsidR="001C2894" w:rsidRPr="00352669" w:rsidP="000C6950" w14:paraId="1844D093" w14:textId="6598625C">
      <w:pPr>
        <w:pStyle w:val="Heading2"/>
      </w:pPr>
      <w:r w:rsidRPr="002B3CAF">
        <w:rPr>
          <w:b/>
        </w:rPr>
        <w:t>IT IS FURTHER ORDERED</w:t>
      </w:r>
      <w:r w:rsidRPr="002B3CAF">
        <w:t xml:space="preserve"> that the </w:t>
      </w:r>
      <w:r w:rsidR="006D6417">
        <w:t>Commission</w:t>
      </w:r>
      <w:r w:rsidRPr="002B3CAF" w:rsidR="006D6417">
        <w:t xml:space="preserve"> </w:t>
      </w:r>
      <w:r w:rsidRPr="002B3CAF">
        <w:rPr>
          <w:b/>
        </w:rPr>
        <w:t>SHALL SEND</w:t>
      </w:r>
      <w:r w:rsidRPr="002B3CAF">
        <w:t xml:space="preserve"> a copy of this </w:t>
      </w:r>
      <w:r w:rsidRPr="00B33294">
        <w:rPr>
          <w:iCs/>
        </w:rPr>
        <w:t>Order</w:t>
      </w:r>
      <w:r w:rsidRPr="002B3CAF">
        <w:rPr>
          <w:i/>
        </w:rPr>
        <w:t xml:space="preserve"> </w:t>
      </w:r>
      <w:r w:rsidRPr="002B3CAF">
        <w:t xml:space="preserve">in a report to be sent to Congress and the Government Accountability Office pursuant to the Congressional Review Act, </w:t>
      </w:r>
      <w:r w:rsidRPr="002B3CAF">
        <w:rPr>
          <w:i/>
        </w:rPr>
        <w:t xml:space="preserve">see </w:t>
      </w:r>
      <w:r w:rsidRPr="002B3CAF">
        <w:t>5 U.S.C. § 801(a)(1)(A).</w:t>
      </w:r>
    </w:p>
    <w:p w:rsidR="00222D08" w:rsidRPr="00465AA8" w:rsidP="00325817" w14:paraId="7C3C3E96" w14:textId="5ED27015">
      <w:pPr>
        <w:spacing w:after="120" w:line="259" w:lineRule="auto"/>
        <w:rPr>
          <w:szCs w:val="22"/>
        </w:rPr>
      </w:pPr>
    </w:p>
    <w:p w:rsidR="00333782" w:rsidRPr="00465AA8" w:rsidP="00B52370" w14:paraId="1D4CE783" w14:textId="4CE1EB30">
      <w:pPr>
        <w:pStyle w:val="Heading1"/>
        <w:numPr>
          <w:ilvl w:val="0"/>
          <w:numId w:val="0"/>
        </w:numPr>
        <w:tabs>
          <w:tab w:val="clear" w:pos="720"/>
        </w:tabs>
        <w:spacing w:before="220" w:line="259" w:lineRule="auto"/>
        <w:ind w:left="4320"/>
        <w:rPr>
          <w:rFonts w:ascii="Times New Roman" w:hAnsi="Times New Roman"/>
          <w:b w:val="0"/>
          <w:caps w:val="0"/>
          <w:spacing w:val="-2"/>
          <w:szCs w:val="22"/>
        </w:rPr>
      </w:pPr>
      <w:r w:rsidRPr="00465AA8">
        <w:rPr>
          <w:rFonts w:ascii="Times New Roman" w:hAnsi="Times New Roman"/>
          <w:b w:val="0"/>
          <w:caps w:val="0"/>
          <w:spacing w:val="-2"/>
          <w:szCs w:val="22"/>
        </w:rPr>
        <w:t>FEDERAL COMMUNICATIONS COMMISSION</w:t>
      </w:r>
    </w:p>
    <w:p w:rsidR="00333782" w:rsidRPr="00465AA8" w:rsidP="00B52370" w14:paraId="54E773CD" w14:textId="77777777">
      <w:pPr>
        <w:pStyle w:val="ParaNum"/>
        <w:spacing w:line="259" w:lineRule="auto"/>
        <w:ind w:left="4320"/>
        <w:rPr>
          <w:szCs w:val="22"/>
        </w:rPr>
      </w:pPr>
    </w:p>
    <w:p w:rsidR="007B3578" w:rsidRPr="00465AA8" w:rsidP="00B52370" w14:paraId="711A92CB" w14:textId="1208748B">
      <w:pPr>
        <w:pStyle w:val="Heading1"/>
        <w:numPr>
          <w:ilvl w:val="0"/>
          <w:numId w:val="0"/>
        </w:numPr>
        <w:tabs>
          <w:tab w:val="clear" w:pos="720"/>
        </w:tabs>
        <w:spacing w:line="259" w:lineRule="auto"/>
        <w:ind w:left="4320"/>
        <w:rPr>
          <w:rFonts w:ascii="Times New Roman" w:hAnsi="Times New Roman"/>
          <w:b w:val="0"/>
          <w:caps w:val="0"/>
          <w:spacing w:val="-2"/>
          <w:szCs w:val="22"/>
        </w:rPr>
      </w:pPr>
    </w:p>
    <w:p w:rsidR="00333782" w:rsidRPr="00465AA8" w:rsidP="00B52370" w14:paraId="4E5274CF" w14:textId="696BC5BF">
      <w:pPr>
        <w:pStyle w:val="Heading1"/>
        <w:numPr>
          <w:ilvl w:val="0"/>
          <w:numId w:val="0"/>
        </w:numPr>
        <w:tabs>
          <w:tab w:val="clear" w:pos="720"/>
        </w:tabs>
        <w:spacing w:after="0" w:line="259" w:lineRule="auto"/>
        <w:ind w:left="4320"/>
        <w:rPr>
          <w:rFonts w:ascii="Times New Roman" w:hAnsi="Times New Roman"/>
          <w:b w:val="0"/>
          <w:caps w:val="0"/>
          <w:spacing w:val="-2"/>
          <w:szCs w:val="22"/>
        </w:rPr>
      </w:pPr>
      <w:r w:rsidRPr="00465AA8">
        <w:rPr>
          <w:rFonts w:ascii="Times New Roman" w:hAnsi="Times New Roman"/>
          <w:b w:val="0"/>
          <w:caps w:val="0"/>
          <w:spacing w:val="-2"/>
          <w:szCs w:val="22"/>
        </w:rPr>
        <w:t>Julie M. Kearney</w:t>
      </w:r>
    </w:p>
    <w:p w:rsidR="001373A5" w:rsidRPr="00465AA8" w:rsidP="00B52370" w14:paraId="29552BBD" w14:textId="668E14A4">
      <w:pPr>
        <w:pStyle w:val="Heading1"/>
        <w:numPr>
          <w:ilvl w:val="0"/>
          <w:numId w:val="0"/>
        </w:numPr>
        <w:tabs>
          <w:tab w:val="clear" w:pos="720"/>
        </w:tabs>
        <w:spacing w:after="0" w:line="259" w:lineRule="auto"/>
        <w:ind w:left="4320"/>
        <w:rPr>
          <w:rFonts w:ascii="Times New Roman" w:hAnsi="Times New Roman"/>
          <w:b w:val="0"/>
          <w:caps w:val="0"/>
          <w:spacing w:val="-2"/>
          <w:szCs w:val="22"/>
        </w:rPr>
      </w:pPr>
      <w:r w:rsidRPr="00465AA8">
        <w:rPr>
          <w:rFonts w:ascii="Times New Roman" w:hAnsi="Times New Roman"/>
          <w:b w:val="0"/>
          <w:caps w:val="0"/>
          <w:spacing w:val="-2"/>
          <w:szCs w:val="22"/>
        </w:rPr>
        <w:t>Chief</w:t>
      </w:r>
    </w:p>
    <w:p w:rsidR="007B3578" w:rsidP="00B52370" w14:paraId="3022DCC6" w14:textId="73BAB2C3">
      <w:pPr>
        <w:pStyle w:val="Heading1"/>
        <w:numPr>
          <w:ilvl w:val="0"/>
          <w:numId w:val="0"/>
        </w:numPr>
        <w:tabs>
          <w:tab w:val="clear" w:pos="720"/>
        </w:tabs>
        <w:spacing w:after="0" w:line="259" w:lineRule="auto"/>
        <w:ind w:left="4320"/>
      </w:pPr>
      <w:r w:rsidRPr="00465AA8">
        <w:rPr>
          <w:rFonts w:ascii="Times New Roman" w:hAnsi="Times New Roman"/>
          <w:b w:val="0"/>
          <w:caps w:val="0"/>
          <w:spacing w:val="-2"/>
          <w:szCs w:val="22"/>
        </w:rPr>
        <w:t>Space</w:t>
      </w:r>
      <w:r w:rsidRPr="00465AA8" w:rsidR="001373A5">
        <w:rPr>
          <w:rFonts w:ascii="Times New Roman" w:hAnsi="Times New Roman"/>
          <w:b w:val="0"/>
          <w:caps w:val="0"/>
          <w:spacing w:val="-2"/>
          <w:szCs w:val="22"/>
        </w:rPr>
        <w:t xml:space="preserve"> Bureau</w:t>
      </w:r>
    </w:p>
    <w:p w:rsidR="006B0F7E" w:rsidP="00B52370" w14:paraId="236A2524" w14:textId="77777777">
      <w:pPr>
        <w:pStyle w:val="ParaNum"/>
        <w:spacing w:line="259" w:lineRule="auto"/>
        <w:ind w:left="4320"/>
        <w:rPr>
          <w:szCs w:val="22"/>
        </w:rPr>
      </w:pPr>
    </w:p>
    <w:p w:rsidR="006B0F7E" w:rsidRPr="00465AA8" w:rsidP="00B52370" w14:paraId="169932B0" w14:textId="77777777">
      <w:pPr>
        <w:pStyle w:val="ParaNum"/>
        <w:spacing w:line="259" w:lineRule="auto"/>
        <w:ind w:left="4320"/>
        <w:rPr>
          <w:szCs w:val="22"/>
        </w:rPr>
      </w:pPr>
    </w:p>
    <w:p w:rsidR="001373A5" w:rsidRPr="00465AA8" w:rsidP="00B52370" w14:paraId="60DA482E" w14:textId="5C68E537">
      <w:pPr>
        <w:pStyle w:val="Heading1"/>
        <w:numPr>
          <w:ilvl w:val="0"/>
          <w:numId w:val="0"/>
        </w:numPr>
        <w:tabs>
          <w:tab w:val="clear" w:pos="720"/>
        </w:tabs>
        <w:spacing w:after="0" w:line="259" w:lineRule="auto"/>
        <w:ind w:left="4320"/>
        <w:rPr>
          <w:rFonts w:ascii="Times New Roman" w:hAnsi="Times New Roman"/>
          <w:b w:val="0"/>
          <w:caps w:val="0"/>
          <w:spacing w:val="-2"/>
          <w:szCs w:val="22"/>
        </w:rPr>
      </w:pPr>
      <w:r w:rsidRPr="00465AA8">
        <w:rPr>
          <w:rFonts w:ascii="Times New Roman" w:hAnsi="Times New Roman"/>
          <w:b w:val="0"/>
          <w:caps w:val="0"/>
          <w:spacing w:val="-2"/>
          <w:szCs w:val="22"/>
        </w:rPr>
        <w:t xml:space="preserve">Mark Stephens </w:t>
      </w:r>
    </w:p>
    <w:p w:rsidR="001373A5" w:rsidRPr="00465AA8" w:rsidP="00B52370" w14:paraId="3110007A" w14:textId="3F2E4AEB">
      <w:pPr>
        <w:pStyle w:val="Heading1"/>
        <w:numPr>
          <w:ilvl w:val="0"/>
          <w:numId w:val="0"/>
        </w:numPr>
        <w:tabs>
          <w:tab w:val="clear" w:pos="720"/>
        </w:tabs>
        <w:spacing w:after="0" w:line="259" w:lineRule="auto"/>
        <w:ind w:left="4320"/>
        <w:rPr>
          <w:rFonts w:ascii="Times New Roman" w:hAnsi="Times New Roman"/>
          <w:b w:val="0"/>
          <w:i/>
          <w:szCs w:val="22"/>
        </w:rPr>
      </w:pPr>
      <w:r w:rsidRPr="00465AA8">
        <w:rPr>
          <w:rFonts w:ascii="Times New Roman" w:hAnsi="Times New Roman"/>
          <w:b w:val="0"/>
          <w:caps w:val="0"/>
          <w:spacing w:val="-2"/>
          <w:szCs w:val="22"/>
        </w:rPr>
        <w:t>Managing Director</w:t>
      </w:r>
    </w:p>
    <w:p w:rsidR="00D408ED" w:rsidRPr="00465AA8" w:rsidP="000F47C0" w14:paraId="03BC3C6B" w14:textId="6DFCEE56">
      <w:pPr>
        <w:widowControl/>
        <w:rPr>
          <w:szCs w:val="22"/>
        </w:rPr>
      </w:pPr>
    </w:p>
    <w:p w:rsidR="00B52370" w:rsidP="000F47C0" w14:paraId="7B77B0D2" w14:textId="77777777">
      <w:pPr>
        <w:jc w:val="center"/>
        <w:rPr>
          <w:b/>
          <w:bCs/>
          <w:szCs w:val="22"/>
        </w:rPr>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1C2894" w:rsidRPr="00465AA8" w:rsidP="00B52370" w14:paraId="30F2206B" w14:textId="1E4463B1">
      <w:pPr>
        <w:spacing w:after="120"/>
        <w:jc w:val="center"/>
        <w:rPr>
          <w:b/>
          <w:bCs/>
          <w:szCs w:val="22"/>
        </w:rPr>
      </w:pPr>
      <w:r w:rsidRPr="00465AA8">
        <w:rPr>
          <w:b/>
          <w:bCs/>
          <w:szCs w:val="22"/>
        </w:rPr>
        <w:t>APPENDIX</w:t>
      </w:r>
    </w:p>
    <w:p w:rsidR="00D408ED" w:rsidRPr="00465AA8" w:rsidP="000F47C0" w14:paraId="6558942B" w14:textId="2C6EF3AD">
      <w:pPr>
        <w:jc w:val="center"/>
        <w:rPr>
          <w:b/>
          <w:bCs/>
          <w:szCs w:val="22"/>
        </w:rPr>
      </w:pPr>
      <w:r w:rsidRPr="00465AA8">
        <w:rPr>
          <w:b/>
          <w:bCs/>
          <w:szCs w:val="22"/>
        </w:rPr>
        <w:t>Final</w:t>
      </w:r>
      <w:r w:rsidRPr="00465AA8" w:rsidR="00384B60">
        <w:rPr>
          <w:b/>
          <w:bCs/>
          <w:szCs w:val="22"/>
        </w:rPr>
        <w:t xml:space="preserve"> Rules</w:t>
      </w:r>
    </w:p>
    <w:p w:rsidR="006B18FB" w:rsidRPr="00465AA8" w:rsidP="00B52370" w14:paraId="794B5918" w14:textId="77777777">
      <w:pPr>
        <w:spacing w:after="120"/>
        <w:jc w:val="center"/>
        <w:rPr>
          <w:b/>
          <w:bCs/>
          <w:szCs w:val="22"/>
        </w:rPr>
      </w:pPr>
    </w:p>
    <w:p w:rsidR="00A0172C" w:rsidRPr="00465AA8" w:rsidP="000F47C0" w14:paraId="7C81DB8E" w14:textId="2817F8E3">
      <w:pPr>
        <w:rPr>
          <w:szCs w:val="22"/>
        </w:rPr>
      </w:pPr>
      <w:r w:rsidRPr="00465AA8">
        <w:rPr>
          <w:szCs w:val="22"/>
        </w:rPr>
        <w:t>For the reasons discussed</w:t>
      </w:r>
      <w:r w:rsidR="00A5594A">
        <w:rPr>
          <w:szCs w:val="22"/>
        </w:rPr>
        <w:t xml:space="preserve"> above</w:t>
      </w:r>
      <w:r w:rsidRPr="00465AA8">
        <w:rPr>
          <w:szCs w:val="22"/>
        </w:rPr>
        <w:t>, th</w:t>
      </w:r>
      <w:r w:rsidR="00395943">
        <w:rPr>
          <w:szCs w:val="22"/>
        </w:rPr>
        <w:t>is Order</w:t>
      </w:r>
      <w:r w:rsidRPr="00465AA8">
        <w:rPr>
          <w:szCs w:val="22"/>
        </w:rPr>
        <w:t xml:space="preserve"> amends </w:t>
      </w:r>
      <w:r w:rsidRPr="00465AA8" w:rsidR="00F2016D">
        <w:rPr>
          <w:szCs w:val="22"/>
        </w:rPr>
        <w:t xml:space="preserve">the Final Rules in Appendix A of the </w:t>
      </w:r>
      <w:r w:rsidR="00DF0972">
        <w:rPr>
          <w:i/>
          <w:iCs/>
        </w:rPr>
        <w:t xml:space="preserve">17 GHz Report and </w:t>
      </w:r>
      <w:r w:rsidRPr="00465AA8" w:rsidR="00F2016D">
        <w:rPr>
          <w:i/>
          <w:iCs/>
          <w:szCs w:val="22"/>
        </w:rPr>
        <w:t>Order</w:t>
      </w:r>
      <w:r w:rsidRPr="00465AA8" w:rsidR="00F2016D">
        <w:rPr>
          <w:szCs w:val="22"/>
        </w:rPr>
        <w:t xml:space="preserve"> as indicated below:</w:t>
      </w:r>
    </w:p>
    <w:p w:rsidR="00F2016D" w:rsidRPr="00465AA8" w:rsidP="000F47C0" w14:paraId="7F13B16B" w14:textId="77777777">
      <w:pPr>
        <w:rPr>
          <w:b/>
          <w:bCs/>
          <w:szCs w:val="22"/>
        </w:rPr>
      </w:pPr>
    </w:p>
    <w:p w:rsidR="00061630" w:rsidRPr="00465AA8" w:rsidP="000F47C0" w14:paraId="34AEDE3E" w14:textId="77777777">
      <w:pPr>
        <w:pStyle w:val="ParaNum"/>
        <w:numPr>
          <w:ilvl w:val="0"/>
          <w:numId w:val="23"/>
        </w:numPr>
        <w:rPr>
          <w:szCs w:val="22"/>
        </w:rPr>
      </w:pPr>
      <w:r w:rsidRPr="00465AA8">
        <w:rPr>
          <w:szCs w:val="22"/>
        </w:rPr>
        <w:t xml:space="preserve">In paragraph 8: </w:t>
      </w:r>
    </w:p>
    <w:p w:rsidR="00982683" w:rsidRPr="00465AA8" w:rsidP="000F47C0" w14:paraId="70EE9D3C" w14:textId="03EC5B02">
      <w:pPr>
        <w:pStyle w:val="ParaNum"/>
        <w:numPr>
          <w:ilvl w:val="1"/>
          <w:numId w:val="23"/>
        </w:numPr>
        <w:rPr>
          <w:szCs w:val="22"/>
        </w:rPr>
      </w:pPr>
      <w:r w:rsidRPr="00465AA8">
        <w:rPr>
          <w:szCs w:val="22"/>
        </w:rPr>
        <w:t>C</w:t>
      </w:r>
      <w:r w:rsidRPr="00465AA8" w:rsidR="00A0172C">
        <w:rPr>
          <w:szCs w:val="22"/>
        </w:rPr>
        <w:t>hange the frequency range listed in the amended text of § 25.140(a)(3)(iii)(B) from “17.3-18.8 GHz” to “17.3-17.8 GHz.”</w:t>
      </w:r>
    </w:p>
    <w:p w:rsidR="00061630" w:rsidRPr="00465AA8" w:rsidP="000F47C0" w14:paraId="2EE2568C" w14:textId="77777777">
      <w:pPr>
        <w:pStyle w:val="ParaNum"/>
        <w:numPr>
          <w:ilvl w:val="0"/>
          <w:numId w:val="23"/>
        </w:numPr>
        <w:tabs>
          <w:tab w:val="clear" w:pos="720"/>
        </w:tabs>
        <w:rPr>
          <w:szCs w:val="22"/>
        </w:rPr>
      </w:pPr>
      <w:r w:rsidRPr="00465AA8">
        <w:rPr>
          <w:szCs w:val="22"/>
        </w:rPr>
        <w:t xml:space="preserve">In paragraph 18: </w:t>
      </w:r>
    </w:p>
    <w:p w:rsidR="00A0172C" w:rsidRPr="00465AA8" w:rsidP="000F47C0" w14:paraId="65440C0D" w14:textId="1A384EF3">
      <w:pPr>
        <w:pStyle w:val="ParaNum"/>
        <w:numPr>
          <w:ilvl w:val="1"/>
          <w:numId w:val="23"/>
        </w:numPr>
        <w:rPr>
          <w:szCs w:val="22"/>
        </w:rPr>
      </w:pPr>
      <w:r w:rsidRPr="00465AA8">
        <w:rPr>
          <w:szCs w:val="22"/>
        </w:rPr>
        <w:t>Correct § 25.264(b)(2)(ii), (b)(3), and the introductory text to (e) by replacing “−117 dBW/m2/100 kHz” with “−117 dBW/m</w:t>
      </w:r>
      <w:r w:rsidRPr="00465AA8">
        <w:rPr>
          <w:szCs w:val="22"/>
          <w:vertAlign w:val="superscript"/>
        </w:rPr>
        <w:t>2</w:t>
      </w:r>
      <w:r w:rsidRPr="00465AA8">
        <w:rPr>
          <w:szCs w:val="22"/>
        </w:rPr>
        <w:t>/100 kHz” in each instance where it appears in those paragraphs.</w:t>
      </w:r>
    </w:p>
    <w:p w:rsidR="00D61B72" w:rsidRPr="00465AA8" w:rsidP="000F47C0" w14:paraId="157752FA" w14:textId="77777777">
      <w:pPr>
        <w:pStyle w:val="ParaNum"/>
        <w:numPr>
          <w:ilvl w:val="0"/>
          <w:numId w:val="23"/>
        </w:numPr>
        <w:rPr>
          <w:szCs w:val="22"/>
        </w:rPr>
      </w:pPr>
      <w:r w:rsidRPr="00465AA8">
        <w:rPr>
          <w:szCs w:val="22"/>
        </w:rPr>
        <w:t xml:space="preserve">In paragraph 18: </w:t>
      </w:r>
    </w:p>
    <w:p w:rsidR="00A0172C" w:rsidRPr="00465AA8" w:rsidP="000F47C0" w14:paraId="7E8F336C" w14:textId="3695374D">
      <w:pPr>
        <w:pStyle w:val="ParaNum"/>
        <w:numPr>
          <w:ilvl w:val="1"/>
          <w:numId w:val="23"/>
        </w:numPr>
        <w:tabs>
          <w:tab w:val="left" w:pos="720"/>
        </w:tabs>
        <w:rPr>
          <w:szCs w:val="22"/>
        </w:rPr>
      </w:pPr>
      <w:r w:rsidRPr="00465AA8">
        <w:rPr>
          <w:szCs w:val="22"/>
        </w:rPr>
        <w:t>Change the frequency range listed in the amended text of § 25.264(a)(6) from “17.3-18.8 GHz” to “17.3-17.8 GHz.”</w:t>
      </w:r>
    </w:p>
    <w:p w:rsidR="00A0172C" w:rsidRPr="00465AA8" w:rsidP="000F47C0" w14:paraId="3395D3AF" w14:textId="1E3A4B0F">
      <w:pPr>
        <w:pStyle w:val="ParaNum"/>
        <w:tabs>
          <w:tab w:val="left" w:pos="720"/>
        </w:tabs>
        <w:rPr>
          <w:szCs w:val="22"/>
        </w:rPr>
      </w:pPr>
      <w:r w:rsidRPr="00465AA8">
        <w:rPr>
          <w:szCs w:val="22"/>
        </w:rPr>
        <w:tab/>
        <w:t xml:space="preserve">In addition, to conform to the publishing conventions of the National Archives and Records Administration’s Office of the Federal Register, this </w:t>
      </w:r>
      <w:r w:rsidR="00395943">
        <w:rPr>
          <w:szCs w:val="22"/>
        </w:rPr>
        <w:t>Order</w:t>
      </w:r>
      <w:r w:rsidRPr="00465AA8">
        <w:rPr>
          <w:szCs w:val="22"/>
        </w:rPr>
        <w:t xml:space="preserve"> amends the Final Rules in Appendix A of the </w:t>
      </w:r>
      <w:r w:rsidR="00DF0972">
        <w:rPr>
          <w:i/>
          <w:iCs/>
        </w:rPr>
        <w:t xml:space="preserve">17 GHz Report and </w:t>
      </w:r>
      <w:r w:rsidRPr="00465AA8">
        <w:rPr>
          <w:i/>
          <w:iCs/>
          <w:szCs w:val="22"/>
        </w:rPr>
        <w:t xml:space="preserve">Order </w:t>
      </w:r>
      <w:r w:rsidRPr="00465AA8">
        <w:rPr>
          <w:szCs w:val="22"/>
        </w:rPr>
        <w:t>as indicated below:</w:t>
      </w:r>
    </w:p>
    <w:p w:rsidR="00A0172C" w:rsidRPr="00465AA8" w:rsidP="000F47C0" w14:paraId="15E6C2CF" w14:textId="77777777">
      <w:pPr>
        <w:pStyle w:val="ParaNum"/>
        <w:widowControl/>
        <w:numPr>
          <w:ilvl w:val="0"/>
          <w:numId w:val="23"/>
        </w:numPr>
        <w:spacing w:line="259" w:lineRule="auto"/>
        <w:rPr>
          <w:szCs w:val="22"/>
        </w:rPr>
      </w:pPr>
      <w:r w:rsidRPr="00465AA8">
        <w:rPr>
          <w:szCs w:val="22"/>
        </w:rPr>
        <w:t>In paragraph 4:</w:t>
      </w:r>
    </w:p>
    <w:p w:rsidR="00A0172C" w:rsidRPr="00465AA8" w:rsidP="000F47C0" w14:paraId="2F515E91" w14:textId="77777777">
      <w:pPr>
        <w:pStyle w:val="ParaNum"/>
        <w:widowControl/>
        <w:numPr>
          <w:ilvl w:val="1"/>
          <w:numId w:val="23"/>
        </w:numPr>
        <w:spacing w:line="259" w:lineRule="auto"/>
        <w:rPr>
          <w:szCs w:val="22"/>
        </w:rPr>
      </w:pPr>
      <w:r w:rsidRPr="00465AA8">
        <w:rPr>
          <w:szCs w:val="22"/>
        </w:rPr>
        <w:t>Under § 25.103, correct the definition for “</w:t>
      </w:r>
      <w:r w:rsidRPr="00465AA8">
        <w:rPr>
          <w:i/>
          <w:iCs/>
          <w:szCs w:val="22"/>
        </w:rPr>
        <w:t>Two-degree-compliant space station</w:t>
      </w:r>
      <w:r w:rsidRPr="00465AA8">
        <w:rPr>
          <w:szCs w:val="22"/>
        </w:rPr>
        <w:t>”, to add the words “equivalent isotropically radiated power” in the first sentence, to read as follows:</w:t>
      </w:r>
    </w:p>
    <w:p w:rsidR="00A0172C" w:rsidRPr="00465AA8" w:rsidP="000F47C0" w14:paraId="5FA5A6A8" w14:textId="77777777">
      <w:pPr>
        <w:pStyle w:val="ParaNum"/>
        <w:ind w:left="720"/>
        <w:rPr>
          <w:szCs w:val="22"/>
        </w:rPr>
      </w:pPr>
      <w:r w:rsidRPr="00465AA8">
        <w:rPr>
          <w:iCs/>
          <w:szCs w:val="22"/>
        </w:rPr>
        <w:t>“</w:t>
      </w:r>
      <w:r w:rsidRPr="00465AA8">
        <w:rPr>
          <w:i/>
          <w:szCs w:val="22"/>
        </w:rPr>
        <w:t>Two-degree-compliant space station.</w:t>
      </w:r>
      <w:r w:rsidRPr="00465AA8">
        <w:rPr>
          <w:szCs w:val="22"/>
        </w:rPr>
        <w:t xml:space="preserve"> A GSO FSS space station operating in the conventional or extended C-bands, the conventional or extended Ku-bands, the 24.75-25.25 GHz band, or the conventional or extended Ka-bands within the limits on downlink equivalent isotropically radiated power (EIRP) density or PFD specified in § 25.140(a)(3) or (b)(3) and communicating only with earth stations operating in conformance with routine uplink parameters specified in § 25.211(d), § 25.212(c), (d), or (f), or § 25.218.”</w:t>
      </w:r>
    </w:p>
    <w:p w:rsidR="00A0172C" w:rsidRPr="00465AA8" w:rsidP="000F47C0" w14:paraId="70F76DE5" w14:textId="77777777">
      <w:pPr>
        <w:pStyle w:val="ParaNum"/>
        <w:widowControl/>
        <w:numPr>
          <w:ilvl w:val="0"/>
          <w:numId w:val="23"/>
        </w:numPr>
        <w:spacing w:line="259" w:lineRule="auto"/>
        <w:rPr>
          <w:szCs w:val="22"/>
        </w:rPr>
      </w:pPr>
      <w:r w:rsidRPr="00465AA8">
        <w:rPr>
          <w:szCs w:val="22"/>
        </w:rPr>
        <w:t>In paragraph 6:</w:t>
      </w:r>
    </w:p>
    <w:p w:rsidR="00A0172C" w:rsidRPr="00465AA8" w:rsidP="000F47C0" w14:paraId="5F3FD57D" w14:textId="77777777">
      <w:pPr>
        <w:pStyle w:val="ParaNum"/>
        <w:widowControl/>
        <w:numPr>
          <w:ilvl w:val="1"/>
          <w:numId w:val="23"/>
        </w:numPr>
        <w:spacing w:line="259" w:lineRule="auto"/>
        <w:rPr>
          <w:szCs w:val="22"/>
        </w:rPr>
      </w:pPr>
      <w:r w:rsidRPr="00465AA8">
        <w:rPr>
          <w:szCs w:val="22"/>
        </w:rPr>
        <w:t>Correct the amendatory language to read as follows:</w:t>
      </w:r>
    </w:p>
    <w:p w:rsidR="00A0172C" w:rsidRPr="00465AA8" w:rsidP="000F47C0" w14:paraId="2EEDFA72" w14:textId="77777777">
      <w:pPr>
        <w:pStyle w:val="ParaNum"/>
        <w:ind w:firstLine="720"/>
        <w:rPr>
          <w:rFonts w:eastAsia="Calibri"/>
          <w:szCs w:val="22"/>
        </w:rPr>
      </w:pPr>
      <w:r w:rsidRPr="00465AA8">
        <w:rPr>
          <w:szCs w:val="22"/>
        </w:rPr>
        <w:t>“Amend</w:t>
      </w:r>
      <w:r w:rsidRPr="00465AA8">
        <w:rPr>
          <w:rFonts w:eastAsia="Calibri"/>
          <w:szCs w:val="22"/>
        </w:rPr>
        <w:t xml:space="preserve"> § 25.115 by revising paragraphs (e), (g) introductory text, and (k) to read as follows:”</w:t>
      </w:r>
    </w:p>
    <w:p w:rsidR="00A0172C" w:rsidRPr="00465AA8" w:rsidP="000F47C0" w14:paraId="58A69647" w14:textId="77777777">
      <w:pPr>
        <w:pStyle w:val="ParaNum"/>
        <w:widowControl/>
        <w:numPr>
          <w:ilvl w:val="1"/>
          <w:numId w:val="23"/>
        </w:numPr>
        <w:spacing w:line="259" w:lineRule="auto"/>
        <w:rPr>
          <w:rFonts w:eastAsia="Calibri"/>
          <w:szCs w:val="22"/>
        </w:rPr>
      </w:pPr>
      <w:r w:rsidRPr="00465AA8">
        <w:rPr>
          <w:szCs w:val="22"/>
        </w:rPr>
        <w:t>In paragraph (g), include the paragraph title to read as follows: “</w:t>
      </w:r>
      <w:r w:rsidRPr="00465AA8">
        <w:rPr>
          <w:i/>
          <w:iCs/>
          <w:szCs w:val="22"/>
        </w:rPr>
        <w:t>Additional requirements for certain GSO earth stations.”</w:t>
      </w:r>
    </w:p>
    <w:p w:rsidR="00A0172C" w:rsidRPr="00465AA8" w:rsidP="000F47C0" w14:paraId="09E01590" w14:textId="77777777">
      <w:pPr>
        <w:pStyle w:val="ParaNum"/>
        <w:widowControl/>
        <w:numPr>
          <w:ilvl w:val="1"/>
          <w:numId w:val="23"/>
        </w:numPr>
        <w:spacing w:line="259" w:lineRule="auto"/>
        <w:rPr>
          <w:szCs w:val="22"/>
        </w:rPr>
      </w:pPr>
      <w:r w:rsidRPr="00465AA8">
        <w:rPr>
          <w:szCs w:val="22"/>
        </w:rPr>
        <w:t>In paragraph (k), include the paragraph title to read as follows: “</w:t>
      </w:r>
      <w:r w:rsidRPr="00465AA8">
        <w:rPr>
          <w:i/>
          <w:iCs/>
          <w:szCs w:val="22"/>
        </w:rPr>
        <w:t>Permitted Space Station List.”</w:t>
      </w:r>
    </w:p>
    <w:p w:rsidR="00385051" w:rsidRPr="00465AA8" w:rsidP="000F47C0" w14:paraId="23069C34" w14:textId="77777777">
      <w:pPr>
        <w:pStyle w:val="ParaNum"/>
        <w:widowControl/>
        <w:numPr>
          <w:ilvl w:val="0"/>
          <w:numId w:val="23"/>
        </w:numPr>
        <w:spacing w:line="259" w:lineRule="auto"/>
        <w:rPr>
          <w:szCs w:val="22"/>
        </w:rPr>
      </w:pPr>
      <w:r w:rsidRPr="00465AA8">
        <w:rPr>
          <w:szCs w:val="22"/>
        </w:rPr>
        <w:t>In paragraph 8:</w:t>
      </w:r>
    </w:p>
    <w:p w:rsidR="00010986" w:rsidRPr="00465AA8" w:rsidP="000F47C0" w14:paraId="5931EAC2" w14:textId="1E587F7C">
      <w:pPr>
        <w:pStyle w:val="ParaNum"/>
        <w:widowControl/>
        <w:numPr>
          <w:ilvl w:val="1"/>
          <w:numId w:val="23"/>
        </w:numPr>
        <w:spacing w:line="259" w:lineRule="auto"/>
        <w:rPr>
          <w:szCs w:val="22"/>
        </w:rPr>
      </w:pPr>
      <w:r w:rsidRPr="00465AA8">
        <w:rPr>
          <w:szCs w:val="22"/>
        </w:rPr>
        <w:t>Under § 25.140, in paragraph (a)(2), add “(a)(2)” in the fourth sentence and replace “-</w:t>
      </w:r>
      <w:r w:rsidR="00E662DC">
        <w:rPr>
          <w:szCs w:val="22"/>
        </w:rPr>
        <w:t>”</w:t>
      </w:r>
      <w:r w:rsidRPr="00465AA8">
        <w:rPr>
          <w:szCs w:val="22"/>
        </w:rPr>
        <w:t xml:space="preserve"> with the word “through” in the fifth sentence, to read as follows:</w:t>
      </w:r>
    </w:p>
    <w:p w:rsidR="00010986" w:rsidRPr="00465AA8" w:rsidP="000F47C0" w14:paraId="0FA02F3C" w14:textId="77777777">
      <w:pPr>
        <w:pStyle w:val="ParaNum"/>
        <w:ind w:left="720"/>
        <w:rPr>
          <w:szCs w:val="22"/>
        </w:rPr>
      </w:pPr>
      <w:r w:rsidRPr="00465AA8">
        <w:rPr>
          <w:szCs w:val="22"/>
        </w:rPr>
        <w:t xml:space="preserve">“(2) In addition to the information required by § 25.114, an applicant for GSO FSS space station operation, including applicants proposing feeder links for space stations operating in the 17/24 GHz BSS, that will be located at an orbital location less than two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available at </w:t>
      </w:r>
      <w:r w:rsidRPr="00465AA8">
        <w:rPr>
          <w:i/>
          <w:iCs/>
          <w:szCs w:val="22"/>
        </w:rPr>
        <w:t>https://www.fcc.gov/edocs:</w:t>
      </w:r>
      <w:r w:rsidRPr="00465AA8">
        <w:rPr>
          <w:szCs w:val="22"/>
        </w:rPr>
        <w:t xml:space="preserve"> DA 03-3863 and DA 04-1708.) The provisions in this paragraph (a)(2) do not apply to proposed analog video operation, which is subject to the requirement in paragraph (a)(1) of this section. Proposed GSO FSS space-to-Earth transmissions in the 17.3-17.8 GHz band are subject to the requirements of paragraphs (b)(4) through (6) of this section with respect to possible interference into 17/24 GHz BSS networks. Proposed GSO FSS space-to-Earth transmissions in the 17.3-17.8 GHz band are subject to the requirements of § 25.264 with respect to possible interference to the reception of DBS feeder link transmissions (Earth-to-space) in this band.</w:t>
      </w:r>
    </w:p>
    <w:p w:rsidR="00702FA3" w:rsidRPr="00465AA8" w:rsidP="000F47C0" w14:paraId="56C61CEB" w14:textId="77777777">
      <w:pPr>
        <w:pStyle w:val="ParaNum"/>
        <w:numPr>
          <w:ilvl w:val="1"/>
          <w:numId w:val="23"/>
        </w:numPr>
        <w:rPr>
          <w:szCs w:val="22"/>
        </w:rPr>
      </w:pPr>
      <w:r w:rsidRPr="00465AA8">
        <w:rPr>
          <w:szCs w:val="22"/>
        </w:rPr>
        <w:t>In paragraph (a)(3)(iii), change “(a)(iii)(A)” to “(a)(3)(iii)(A)”.</w:t>
      </w:r>
    </w:p>
    <w:p w:rsidR="00702FA3" w:rsidRPr="00465AA8" w:rsidP="000F47C0" w14:paraId="6C1D7D32" w14:textId="77777777">
      <w:pPr>
        <w:pStyle w:val="ParaNum"/>
        <w:numPr>
          <w:ilvl w:val="1"/>
          <w:numId w:val="23"/>
        </w:numPr>
        <w:rPr>
          <w:szCs w:val="22"/>
        </w:rPr>
      </w:pPr>
      <w:r w:rsidRPr="00465AA8">
        <w:rPr>
          <w:szCs w:val="22"/>
        </w:rPr>
        <w:t>In paragraph (a)(3)(iii)(A), change “(a)(iii)(B)” to “(a)(3)(iii)(</w:t>
      </w:r>
      <w:r w:rsidRPr="00465AA8">
        <w:rPr>
          <w:rFonts w:eastAsia="Segoe UI Emoji"/>
          <w:szCs w:val="22"/>
        </w:rPr>
        <w:t>B).”</w:t>
      </w:r>
    </w:p>
    <w:p w:rsidR="00702FA3" w:rsidRPr="00465AA8" w:rsidP="000F47C0" w14:paraId="37E51515" w14:textId="77777777">
      <w:pPr>
        <w:pStyle w:val="ParaNum"/>
        <w:numPr>
          <w:ilvl w:val="1"/>
          <w:numId w:val="23"/>
        </w:numPr>
        <w:rPr>
          <w:szCs w:val="22"/>
        </w:rPr>
      </w:pPr>
      <w:r w:rsidRPr="00465AA8">
        <w:rPr>
          <w:rFonts w:eastAsia="Segoe UI Emoji"/>
          <w:szCs w:val="22"/>
        </w:rPr>
        <w:t>In paragraph (b)(4), in the first sentence change “paragraph 5” to “paragraph (b)(5)”.</w:t>
      </w:r>
      <w:r w:rsidRPr="00465AA8">
        <w:rPr>
          <w:szCs w:val="22"/>
        </w:rPr>
        <w:t xml:space="preserve"> </w:t>
      </w:r>
    </w:p>
    <w:p w:rsidR="00A0172C" w:rsidRPr="00465AA8" w:rsidP="000F47C0" w14:paraId="755001F1" w14:textId="73CA6DD9">
      <w:pPr>
        <w:pStyle w:val="ParaNum"/>
        <w:numPr>
          <w:ilvl w:val="1"/>
          <w:numId w:val="23"/>
        </w:numPr>
        <w:rPr>
          <w:szCs w:val="22"/>
        </w:rPr>
      </w:pPr>
      <w:r w:rsidRPr="00465AA8">
        <w:rPr>
          <w:szCs w:val="22"/>
        </w:rPr>
        <w:t>In paragraph (b)(4)(ii), add the word “and” to the end of the paragraph, to read as follows:</w:t>
      </w:r>
    </w:p>
    <w:p w:rsidR="00A0172C" w:rsidRPr="00465AA8" w:rsidP="000F47C0" w14:paraId="196765A0" w14:textId="77777777">
      <w:pPr>
        <w:pStyle w:val="ParaNum"/>
        <w:ind w:left="720"/>
        <w:rPr>
          <w:szCs w:val="22"/>
        </w:rPr>
      </w:pPr>
      <w:r w:rsidRPr="00465AA8">
        <w:rPr>
          <w:szCs w:val="22"/>
        </w:rPr>
        <w:t>“(ii) Applicants for a FSS space station transmitting in the 17.3-17.8 GHz band to be located less than four degrees from a previously authorized or proposed co-frequency 17/24 GHz BSS space station; and”</w:t>
      </w:r>
    </w:p>
    <w:p w:rsidR="00A0172C" w:rsidRPr="00465AA8" w:rsidP="000F47C0" w14:paraId="2EB27455" w14:textId="673CEA8E">
      <w:pPr>
        <w:pStyle w:val="ParaNum"/>
        <w:widowControl/>
        <w:numPr>
          <w:ilvl w:val="1"/>
          <w:numId w:val="23"/>
        </w:numPr>
        <w:spacing w:line="259" w:lineRule="auto"/>
        <w:rPr>
          <w:szCs w:val="22"/>
        </w:rPr>
      </w:pPr>
      <w:r w:rsidRPr="00465AA8">
        <w:rPr>
          <w:szCs w:val="22"/>
        </w:rPr>
        <w:t>In paragraph (b)(6), in the second sentence replace</w:t>
      </w:r>
      <w:r w:rsidRPr="00465AA8" w:rsidR="00E417F4">
        <w:rPr>
          <w:szCs w:val="22"/>
        </w:rPr>
        <w:t xml:space="preserve"> </w:t>
      </w:r>
      <w:r w:rsidRPr="00465AA8">
        <w:rPr>
          <w:szCs w:val="22"/>
        </w:rPr>
        <w:t>“§25.140” with the word “paragraph” and add the words “of this section”, to read as follows:</w:t>
      </w:r>
    </w:p>
    <w:p w:rsidR="00A0172C" w:rsidRPr="00465AA8" w:rsidP="000F47C0" w14:paraId="0F25A61E" w14:textId="77777777">
      <w:pPr>
        <w:pStyle w:val="ParaNum"/>
        <w:ind w:left="720"/>
        <w:rPr>
          <w:szCs w:val="22"/>
        </w:rPr>
      </w:pPr>
      <w:r w:rsidRPr="00465AA8">
        <w:rPr>
          <w:szCs w:val="22"/>
        </w:rPr>
        <w:t>“Any applicant for a space station transmitting in the 17.3-17.8 GHz band that has reached a coordination agreement with an operator of another space station to allow that operator to exceed the pfd levels specified in paragraph (a)(3)(iii) or (b)(3) of this section, must use those higher pfd levels for the purpose of this showing.”</w:t>
      </w:r>
    </w:p>
    <w:p w:rsidR="00A0172C" w:rsidRPr="00465AA8" w:rsidP="000F47C0" w14:paraId="06F23F6A" w14:textId="77777777">
      <w:pPr>
        <w:pStyle w:val="ParaNum"/>
        <w:numPr>
          <w:ilvl w:val="0"/>
          <w:numId w:val="23"/>
        </w:numPr>
        <w:rPr>
          <w:szCs w:val="22"/>
        </w:rPr>
      </w:pPr>
      <w:r w:rsidRPr="00465AA8">
        <w:rPr>
          <w:szCs w:val="22"/>
        </w:rPr>
        <w:t>In paragraph 9:</w:t>
      </w:r>
    </w:p>
    <w:p w:rsidR="00A0172C" w:rsidRPr="00465AA8" w:rsidP="000F47C0" w14:paraId="16777970" w14:textId="77777777">
      <w:pPr>
        <w:pStyle w:val="ParaNum"/>
        <w:widowControl/>
        <w:numPr>
          <w:ilvl w:val="1"/>
          <w:numId w:val="23"/>
        </w:numPr>
        <w:spacing w:line="259" w:lineRule="auto"/>
        <w:rPr>
          <w:szCs w:val="22"/>
        </w:rPr>
      </w:pPr>
      <w:r w:rsidRPr="00465AA8">
        <w:rPr>
          <w:szCs w:val="22"/>
        </w:rPr>
        <w:t>Correct the amendatory text to read as follows:</w:t>
      </w:r>
    </w:p>
    <w:p w:rsidR="00A0172C" w:rsidRPr="00465AA8" w:rsidP="000F47C0" w14:paraId="007A6C72" w14:textId="77777777">
      <w:pPr>
        <w:pStyle w:val="ParaNum"/>
        <w:ind w:firstLine="720"/>
        <w:rPr>
          <w:szCs w:val="22"/>
        </w:rPr>
      </w:pPr>
      <w:r w:rsidRPr="00465AA8">
        <w:rPr>
          <w:rFonts w:eastAsia="Calibri"/>
          <w:szCs w:val="22"/>
        </w:rPr>
        <w:t xml:space="preserve">“Amend </w:t>
      </w:r>
      <w:r w:rsidRPr="00465AA8">
        <w:rPr>
          <w:bCs/>
          <w:szCs w:val="22"/>
        </w:rPr>
        <w:t>§</w:t>
      </w:r>
      <w:r w:rsidRPr="00465AA8">
        <w:rPr>
          <w:szCs w:val="22"/>
        </w:rPr>
        <w:t xml:space="preserve"> 25.202 by:</w:t>
      </w:r>
    </w:p>
    <w:p w:rsidR="00A0172C" w:rsidRPr="00465AA8" w:rsidP="000F47C0" w14:paraId="739F1213" w14:textId="77777777">
      <w:pPr>
        <w:pStyle w:val="ParaNum"/>
        <w:ind w:left="720"/>
        <w:rPr>
          <w:szCs w:val="22"/>
        </w:rPr>
      </w:pPr>
      <w:r w:rsidRPr="00465AA8">
        <w:rPr>
          <w:szCs w:val="22"/>
        </w:rPr>
        <w:t>a. Redesignating paragraphs (a)(10) introductory text, (a)(10)(i), and (a)(10)(ii) as paragraphs (a)(10)(i), (ii), and (iii), respectively; and</w:t>
      </w:r>
    </w:p>
    <w:p w:rsidR="00A0172C" w:rsidRPr="00465AA8" w:rsidP="000F47C0" w14:paraId="388559BE" w14:textId="77777777">
      <w:pPr>
        <w:pStyle w:val="ParaNum"/>
        <w:ind w:firstLine="720"/>
        <w:rPr>
          <w:szCs w:val="22"/>
        </w:rPr>
      </w:pPr>
      <w:r w:rsidRPr="00465AA8">
        <w:rPr>
          <w:szCs w:val="22"/>
        </w:rPr>
        <w:t>b. Revising newly redesignated paragraph (a)(10)(ii).</w:t>
      </w:r>
    </w:p>
    <w:p w:rsidR="00A0172C" w:rsidRPr="00465AA8" w:rsidP="000F47C0" w14:paraId="6ED0902F" w14:textId="77777777">
      <w:pPr>
        <w:pStyle w:val="ParaNum"/>
        <w:ind w:firstLine="720"/>
        <w:rPr>
          <w:szCs w:val="22"/>
        </w:rPr>
      </w:pPr>
      <w:r w:rsidRPr="00465AA8">
        <w:rPr>
          <w:szCs w:val="22"/>
        </w:rPr>
        <w:t>The revision reads as follows:”</w:t>
      </w:r>
    </w:p>
    <w:p w:rsidR="00A0172C" w:rsidRPr="00465AA8" w:rsidP="000F47C0" w14:paraId="523843D3" w14:textId="77777777">
      <w:pPr>
        <w:pStyle w:val="ParaNum"/>
        <w:widowControl/>
        <w:numPr>
          <w:ilvl w:val="1"/>
          <w:numId w:val="23"/>
        </w:numPr>
        <w:spacing w:line="259" w:lineRule="auto"/>
        <w:rPr>
          <w:szCs w:val="22"/>
        </w:rPr>
      </w:pPr>
      <w:r w:rsidRPr="00465AA8">
        <w:rPr>
          <w:szCs w:val="22"/>
        </w:rPr>
        <w:t>Under § 25.202, under paragraph (a)(10), add three asterisks.</w:t>
      </w:r>
    </w:p>
    <w:p w:rsidR="00A0172C" w:rsidRPr="00465AA8" w:rsidP="000F47C0" w14:paraId="538ECD18" w14:textId="77777777">
      <w:pPr>
        <w:pStyle w:val="ParaNum"/>
        <w:widowControl/>
        <w:numPr>
          <w:ilvl w:val="1"/>
          <w:numId w:val="23"/>
        </w:numPr>
        <w:spacing w:line="259" w:lineRule="auto"/>
        <w:rPr>
          <w:szCs w:val="22"/>
        </w:rPr>
      </w:pPr>
      <w:r w:rsidRPr="00465AA8">
        <w:rPr>
          <w:szCs w:val="22"/>
        </w:rPr>
        <w:t>Renumber paragraph (10)(i) as (10)(ii), and add subparagraph numbering (A) through (N) to the list in 25.202(a)(10)(ii) to read as follows:</w:t>
      </w:r>
    </w:p>
    <w:p w:rsidR="00A0172C" w:rsidRPr="00465AA8" w:rsidP="000F47C0" w14:paraId="285EEA96" w14:textId="77777777">
      <w:pPr>
        <w:pStyle w:val="ParaNum"/>
        <w:ind w:left="720"/>
        <w:rPr>
          <w:szCs w:val="22"/>
        </w:rPr>
      </w:pPr>
      <w:r w:rsidRPr="00465AA8">
        <w:rPr>
          <w:szCs w:val="22"/>
        </w:rPr>
        <w:t xml:space="preserve">“(ii) The following frequencies are available for use by Earth Stations in Motion (ESIMs) communicating with GSO FSS space stations, subject to the provisions in § 2.106 of this chapter: </w:t>
      </w:r>
    </w:p>
    <w:p w:rsidR="00A0172C" w:rsidRPr="00465AA8" w:rsidP="000F47C0" w14:paraId="5C5A404D" w14:textId="77777777">
      <w:pPr>
        <w:pStyle w:val="ParaNum"/>
        <w:ind w:firstLine="720"/>
        <w:rPr>
          <w:szCs w:val="22"/>
        </w:rPr>
      </w:pPr>
      <w:r w:rsidRPr="00465AA8">
        <w:rPr>
          <w:szCs w:val="22"/>
        </w:rPr>
        <w:t>(A) 10.7-11.7 GHz (space-to-Earth).</w:t>
      </w:r>
    </w:p>
    <w:p w:rsidR="00A0172C" w:rsidRPr="00465AA8" w:rsidP="000F47C0" w14:paraId="0D61B293" w14:textId="77777777">
      <w:pPr>
        <w:pStyle w:val="ParaNum"/>
        <w:ind w:firstLine="720"/>
        <w:rPr>
          <w:szCs w:val="22"/>
        </w:rPr>
      </w:pPr>
      <w:r w:rsidRPr="00465AA8">
        <w:rPr>
          <w:szCs w:val="22"/>
        </w:rPr>
        <w:t>(B) 11.7-12.2 GHz (space-to-Earth).</w:t>
      </w:r>
    </w:p>
    <w:p w:rsidR="00A0172C" w:rsidRPr="00465AA8" w:rsidP="000F47C0" w14:paraId="780C7AC1" w14:textId="77777777">
      <w:pPr>
        <w:pStyle w:val="ParaNum"/>
        <w:ind w:firstLine="720"/>
        <w:rPr>
          <w:szCs w:val="22"/>
        </w:rPr>
      </w:pPr>
      <w:r w:rsidRPr="00465AA8">
        <w:rPr>
          <w:szCs w:val="22"/>
        </w:rPr>
        <w:t>(C) 14.0-14.5 GHz (Earth-to-space).</w:t>
      </w:r>
    </w:p>
    <w:p w:rsidR="00A0172C" w:rsidRPr="00465AA8" w:rsidP="000F47C0" w14:paraId="11CE37A6" w14:textId="77777777">
      <w:pPr>
        <w:pStyle w:val="ParaNum"/>
        <w:ind w:firstLine="720"/>
        <w:rPr>
          <w:szCs w:val="22"/>
        </w:rPr>
      </w:pPr>
      <w:r w:rsidRPr="00465AA8">
        <w:rPr>
          <w:szCs w:val="22"/>
        </w:rPr>
        <w:t>(D) 17.3-17.7 GHz (space-to-Earth).</w:t>
      </w:r>
    </w:p>
    <w:p w:rsidR="00A0172C" w:rsidRPr="00465AA8" w:rsidP="000F47C0" w14:paraId="2F39A6C2" w14:textId="77777777">
      <w:pPr>
        <w:pStyle w:val="ParaNum"/>
        <w:ind w:firstLine="720"/>
        <w:rPr>
          <w:szCs w:val="22"/>
        </w:rPr>
      </w:pPr>
      <w:r w:rsidRPr="00465AA8">
        <w:rPr>
          <w:szCs w:val="22"/>
        </w:rPr>
        <w:t xml:space="preserve">(E) 17.7-17.8 GHz (space-to-Earth). </w:t>
      </w:r>
    </w:p>
    <w:p w:rsidR="00A0172C" w:rsidRPr="00465AA8" w:rsidP="000F47C0" w14:paraId="51BF36F1" w14:textId="77777777">
      <w:pPr>
        <w:pStyle w:val="ParaNum"/>
        <w:ind w:firstLine="720"/>
        <w:rPr>
          <w:szCs w:val="22"/>
        </w:rPr>
      </w:pPr>
      <w:r w:rsidRPr="00465AA8">
        <w:rPr>
          <w:szCs w:val="22"/>
        </w:rPr>
        <w:t>(F) 17.8-18.3 GHz (space-to-Earth).</w:t>
      </w:r>
    </w:p>
    <w:p w:rsidR="00A0172C" w:rsidRPr="00465AA8" w:rsidP="000F47C0" w14:paraId="2FABACEB" w14:textId="77777777">
      <w:pPr>
        <w:pStyle w:val="ParaNum"/>
        <w:ind w:firstLine="720"/>
        <w:rPr>
          <w:szCs w:val="22"/>
        </w:rPr>
      </w:pPr>
      <w:r w:rsidRPr="00465AA8">
        <w:rPr>
          <w:szCs w:val="22"/>
        </w:rPr>
        <w:t xml:space="preserve">(G) 18.3-18.8 GHz (space-to-Earth). </w:t>
      </w:r>
    </w:p>
    <w:p w:rsidR="00A0172C" w:rsidRPr="00465AA8" w:rsidP="000F47C0" w14:paraId="68158664" w14:textId="77777777">
      <w:pPr>
        <w:pStyle w:val="ParaNum"/>
        <w:ind w:firstLine="720"/>
        <w:rPr>
          <w:szCs w:val="22"/>
        </w:rPr>
      </w:pPr>
      <w:r w:rsidRPr="00465AA8">
        <w:rPr>
          <w:szCs w:val="22"/>
        </w:rPr>
        <w:t>(H) 18.8-19.3 GHz (space-to-Earth)</w:t>
      </w:r>
    </w:p>
    <w:p w:rsidR="00A0172C" w:rsidRPr="00465AA8" w:rsidP="000F47C0" w14:paraId="1CD18E0F" w14:textId="77777777">
      <w:pPr>
        <w:pStyle w:val="ParaNum"/>
        <w:ind w:firstLine="720"/>
        <w:rPr>
          <w:szCs w:val="22"/>
        </w:rPr>
      </w:pPr>
      <w:r w:rsidRPr="00465AA8">
        <w:rPr>
          <w:szCs w:val="22"/>
        </w:rPr>
        <w:t>(I) 19.3-19.4 GHz (space-to-Earth).</w:t>
      </w:r>
    </w:p>
    <w:p w:rsidR="00A0172C" w:rsidRPr="00465AA8" w:rsidP="000F47C0" w14:paraId="2E43A639" w14:textId="77777777">
      <w:pPr>
        <w:pStyle w:val="ParaNum"/>
        <w:ind w:firstLine="720"/>
        <w:rPr>
          <w:szCs w:val="22"/>
        </w:rPr>
      </w:pPr>
      <w:r w:rsidRPr="00465AA8">
        <w:rPr>
          <w:szCs w:val="22"/>
        </w:rPr>
        <w:t>(J) 19.6-19.7 GHz (space-to-Earth).</w:t>
      </w:r>
    </w:p>
    <w:p w:rsidR="00A0172C" w:rsidRPr="00465AA8" w:rsidP="000F47C0" w14:paraId="744CAB33" w14:textId="77777777">
      <w:pPr>
        <w:pStyle w:val="ParaNum"/>
        <w:ind w:firstLine="720"/>
        <w:rPr>
          <w:szCs w:val="22"/>
        </w:rPr>
      </w:pPr>
      <w:r w:rsidRPr="00465AA8">
        <w:rPr>
          <w:szCs w:val="22"/>
        </w:rPr>
        <w:t>(K) 19.7-20.2 GHz (space-to-Earth).</w:t>
      </w:r>
    </w:p>
    <w:p w:rsidR="00A0172C" w:rsidRPr="00465AA8" w:rsidP="000F47C0" w14:paraId="3C50C335" w14:textId="77777777">
      <w:pPr>
        <w:pStyle w:val="ParaNum"/>
        <w:ind w:firstLine="720"/>
        <w:rPr>
          <w:szCs w:val="22"/>
        </w:rPr>
      </w:pPr>
      <w:r w:rsidRPr="00465AA8">
        <w:rPr>
          <w:szCs w:val="22"/>
        </w:rPr>
        <w:t xml:space="preserve">(L) 28.35-28.6 GHz (Earth-to-space). </w:t>
      </w:r>
    </w:p>
    <w:p w:rsidR="00A0172C" w:rsidRPr="00465AA8" w:rsidP="000F47C0" w14:paraId="015D8F84" w14:textId="77777777">
      <w:pPr>
        <w:pStyle w:val="ParaNum"/>
        <w:ind w:left="720"/>
        <w:rPr>
          <w:szCs w:val="22"/>
        </w:rPr>
      </w:pPr>
      <w:r w:rsidRPr="00465AA8">
        <w:rPr>
          <w:szCs w:val="22"/>
        </w:rPr>
        <w:t>(M) 28.6-29.1 GHz (Earth-to-space).</w:t>
      </w:r>
    </w:p>
    <w:p w:rsidR="00A0172C" w:rsidRPr="00465AA8" w:rsidP="000F47C0" w14:paraId="7D576476" w14:textId="0773564E">
      <w:pPr>
        <w:pStyle w:val="ParaNum"/>
        <w:ind w:firstLine="720"/>
        <w:rPr>
          <w:szCs w:val="22"/>
        </w:rPr>
      </w:pPr>
      <w:r w:rsidRPr="00465AA8">
        <w:rPr>
          <w:szCs w:val="22"/>
        </w:rPr>
        <w:t>(N) 29.25-30.0 GHz (Earth-to-space).</w:t>
      </w:r>
      <w:r w:rsidR="00A96D0A">
        <w:rPr>
          <w:szCs w:val="22"/>
        </w:rPr>
        <w:t>”</w:t>
      </w:r>
    </w:p>
    <w:p w:rsidR="00016F70" w:rsidRPr="00465AA8" w:rsidP="000F47C0" w14:paraId="06F01A33" w14:textId="77777777">
      <w:pPr>
        <w:pStyle w:val="ParaNum"/>
        <w:numPr>
          <w:ilvl w:val="0"/>
          <w:numId w:val="23"/>
        </w:numPr>
        <w:rPr>
          <w:szCs w:val="22"/>
        </w:rPr>
      </w:pPr>
      <w:r w:rsidRPr="00465AA8">
        <w:rPr>
          <w:szCs w:val="22"/>
        </w:rPr>
        <w:t>In paragraph 10:</w:t>
      </w:r>
    </w:p>
    <w:p w:rsidR="00016F70" w:rsidRPr="00465AA8" w:rsidP="000F47C0" w14:paraId="00458AA2" w14:textId="3A5C95F7">
      <w:pPr>
        <w:pStyle w:val="ParaNum"/>
        <w:numPr>
          <w:ilvl w:val="1"/>
          <w:numId w:val="23"/>
        </w:numPr>
        <w:rPr>
          <w:szCs w:val="22"/>
        </w:rPr>
      </w:pPr>
      <w:r w:rsidRPr="00465AA8">
        <w:rPr>
          <w:szCs w:val="22"/>
        </w:rPr>
        <w:t>Correct the amendatory language to read as follows:</w:t>
      </w:r>
    </w:p>
    <w:p w:rsidR="00A0172C" w:rsidRPr="00465AA8" w:rsidP="000F47C0" w14:paraId="0EEA34BD" w14:textId="77777777">
      <w:pPr>
        <w:pStyle w:val="ParaNum"/>
        <w:ind w:left="720"/>
        <w:rPr>
          <w:szCs w:val="22"/>
        </w:rPr>
      </w:pPr>
      <w:r w:rsidRPr="00465AA8">
        <w:rPr>
          <w:szCs w:val="22"/>
        </w:rPr>
        <w:t xml:space="preserve">“Amend </w:t>
      </w:r>
      <w:r w:rsidRPr="00465AA8">
        <w:rPr>
          <w:bCs/>
          <w:szCs w:val="22"/>
        </w:rPr>
        <w:t>§</w:t>
      </w:r>
      <w:r w:rsidRPr="00465AA8">
        <w:rPr>
          <w:szCs w:val="22"/>
        </w:rPr>
        <w:t xml:space="preserve"> 25.203 by revising the table in paragraph (m)(1) and paragraph (m)(3) to read as follows:”</w:t>
      </w:r>
    </w:p>
    <w:p w:rsidR="007D08F5" w:rsidRPr="00465AA8" w:rsidP="000F47C0" w14:paraId="726037BE" w14:textId="35186F72">
      <w:pPr>
        <w:pStyle w:val="ParaNum"/>
        <w:numPr>
          <w:ilvl w:val="1"/>
          <w:numId w:val="23"/>
        </w:numPr>
        <w:rPr>
          <w:szCs w:val="22"/>
        </w:rPr>
      </w:pPr>
      <w:r w:rsidRPr="00465AA8">
        <w:rPr>
          <w:szCs w:val="22"/>
        </w:rPr>
        <w:t xml:space="preserve">Under § 25.203(m)(1), in the title of the Table, replace the “1” with a “2” and delete the period, to read as follows: </w:t>
      </w:r>
    </w:p>
    <w:p w:rsidR="00A0172C" w:rsidRPr="00465AA8" w:rsidP="000F47C0" w14:paraId="7B3DC5B6" w14:textId="77777777">
      <w:pPr>
        <w:pStyle w:val="ParaNum"/>
        <w:ind w:firstLine="720"/>
        <w:rPr>
          <w:szCs w:val="22"/>
        </w:rPr>
      </w:pPr>
      <w:r w:rsidRPr="00465AA8">
        <w:rPr>
          <w:szCs w:val="22"/>
        </w:rPr>
        <w:t>“Table 2 to paragraph (m)(1)”</w:t>
      </w:r>
    </w:p>
    <w:p w:rsidR="007D08F5" w:rsidRPr="00465AA8" w:rsidP="000F47C0" w14:paraId="08DE1ED3" w14:textId="1D426FAD">
      <w:pPr>
        <w:pStyle w:val="ParaNum"/>
        <w:numPr>
          <w:ilvl w:val="1"/>
          <w:numId w:val="23"/>
        </w:numPr>
        <w:rPr>
          <w:szCs w:val="22"/>
        </w:rPr>
      </w:pPr>
      <w:r w:rsidRPr="00465AA8">
        <w:rPr>
          <w:szCs w:val="22"/>
        </w:rPr>
        <w:t>In the Table under §25.203(m)(1), in the 11</w:t>
      </w:r>
      <w:r w:rsidRPr="00465AA8">
        <w:rPr>
          <w:szCs w:val="22"/>
          <w:vertAlign w:val="superscript"/>
        </w:rPr>
        <w:t>th</w:t>
      </w:r>
      <w:r w:rsidRPr="00465AA8">
        <w:rPr>
          <w:szCs w:val="22"/>
        </w:rPr>
        <w:t xml:space="preserve"> row, columns 2 and 3, and in the 21</w:t>
      </w:r>
      <w:r w:rsidRPr="00465AA8">
        <w:rPr>
          <w:szCs w:val="22"/>
          <w:vertAlign w:val="superscript"/>
        </w:rPr>
        <w:t>st</w:t>
      </w:r>
      <w:r w:rsidRPr="00465AA8">
        <w:rPr>
          <w:szCs w:val="22"/>
        </w:rPr>
        <w:t xml:space="preserve"> row, columns 2 and 3, replace “47 CFR” with “§”.</w:t>
      </w:r>
    </w:p>
    <w:p w:rsidR="00E2686A" w:rsidRPr="00465AA8" w:rsidP="000F47C0" w14:paraId="550FB7F9" w14:textId="77777777">
      <w:pPr>
        <w:pStyle w:val="ParaNum"/>
        <w:numPr>
          <w:ilvl w:val="0"/>
          <w:numId w:val="23"/>
        </w:numPr>
        <w:rPr>
          <w:szCs w:val="22"/>
        </w:rPr>
      </w:pPr>
      <w:r w:rsidRPr="00465AA8">
        <w:rPr>
          <w:szCs w:val="22"/>
        </w:rPr>
        <w:t xml:space="preserve">In paragraph 11: </w:t>
      </w:r>
    </w:p>
    <w:p w:rsidR="00A0172C" w:rsidRPr="00465AA8" w:rsidP="000F47C0" w14:paraId="48F5DA3B" w14:textId="60631B00">
      <w:pPr>
        <w:pStyle w:val="ParaNum"/>
        <w:numPr>
          <w:ilvl w:val="1"/>
          <w:numId w:val="23"/>
        </w:numPr>
        <w:rPr>
          <w:szCs w:val="22"/>
        </w:rPr>
      </w:pPr>
      <w:r w:rsidRPr="00465AA8">
        <w:rPr>
          <w:szCs w:val="22"/>
        </w:rPr>
        <w:t>Replace all the text that follows the amendatory language with “</w:t>
      </w:r>
      <w:r w:rsidRPr="00465AA8">
        <w:rPr>
          <w:b/>
          <w:bCs/>
          <w:szCs w:val="22"/>
        </w:rPr>
        <w:t>§ 25.208 [Amended]</w:t>
      </w:r>
      <w:r w:rsidRPr="00465AA8">
        <w:rPr>
          <w:i/>
          <w:iCs/>
          <w:szCs w:val="22"/>
        </w:rPr>
        <w:t>.</w:t>
      </w:r>
      <w:r w:rsidRPr="00465AA8">
        <w:rPr>
          <w:szCs w:val="22"/>
        </w:rPr>
        <w:t>”</w:t>
      </w:r>
    </w:p>
    <w:p w:rsidR="001102B0" w:rsidRPr="00465AA8" w:rsidP="000F47C0" w14:paraId="1FBEA20B" w14:textId="77777777">
      <w:pPr>
        <w:pStyle w:val="ParaNum"/>
        <w:numPr>
          <w:ilvl w:val="0"/>
          <w:numId w:val="23"/>
        </w:numPr>
        <w:rPr>
          <w:szCs w:val="22"/>
        </w:rPr>
      </w:pPr>
      <w:r w:rsidRPr="00465AA8">
        <w:rPr>
          <w:szCs w:val="22"/>
        </w:rPr>
        <w:t>In paragraph 12:</w:t>
      </w:r>
    </w:p>
    <w:p w:rsidR="00A0172C" w:rsidRPr="00465AA8" w:rsidP="000F47C0" w14:paraId="1A2D7222" w14:textId="37C871B3">
      <w:pPr>
        <w:pStyle w:val="ParaNum"/>
        <w:numPr>
          <w:ilvl w:val="1"/>
          <w:numId w:val="23"/>
        </w:numPr>
        <w:rPr>
          <w:szCs w:val="22"/>
        </w:rPr>
      </w:pPr>
      <w:r w:rsidRPr="00465AA8">
        <w:rPr>
          <w:szCs w:val="22"/>
        </w:rPr>
        <w:t>Correct the amendatory language to read as follows:</w:t>
      </w:r>
    </w:p>
    <w:p w:rsidR="00A0172C" w:rsidRPr="00465AA8" w:rsidP="000F47C0" w14:paraId="5C803500" w14:textId="77777777">
      <w:pPr>
        <w:pStyle w:val="ParaNum"/>
        <w:ind w:left="720"/>
        <w:rPr>
          <w:rFonts w:eastAsia="Calibri"/>
          <w:szCs w:val="22"/>
        </w:rPr>
      </w:pPr>
      <w:r w:rsidRPr="00465AA8">
        <w:rPr>
          <w:rFonts w:eastAsia="Calibri"/>
          <w:szCs w:val="22"/>
        </w:rPr>
        <w:t>“Amend § 25.209 by revising the introductory text of paragraphs (a)(1), (3), (4), and (6) and (b)(1) through (3) to read as follows:”</w:t>
      </w:r>
    </w:p>
    <w:p w:rsidR="001102B0" w:rsidRPr="00465AA8" w:rsidP="000F47C0" w14:paraId="4095726C" w14:textId="77777777">
      <w:pPr>
        <w:pStyle w:val="ParaNum"/>
        <w:numPr>
          <w:ilvl w:val="0"/>
          <w:numId w:val="23"/>
        </w:numPr>
        <w:rPr>
          <w:rFonts w:eastAsia="Calibri"/>
          <w:szCs w:val="22"/>
        </w:rPr>
      </w:pPr>
      <w:r w:rsidRPr="00465AA8">
        <w:rPr>
          <w:rFonts w:eastAsia="Calibri"/>
          <w:szCs w:val="22"/>
        </w:rPr>
        <w:t>In paragraph 13:</w:t>
      </w:r>
    </w:p>
    <w:p w:rsidR="00A0172C" w:rsidRPr="00465AA8" w:rsidP="000F47C0" w14:paraId="2E61C788" w14:textId="3209E4A6">
      <w:pPr>
        <w:pStyle w:val="ParaNum"/>
        <w:numPr>
          <w:ilvl w:val="1"/>
          <w:numId w:val="23"/>
        </w:numPr>
        <w:rPr>
          <w:rFonts w:eastAsia="Calibri"/>
          <w:szCs w:val="22"/>
        </w:rPr>
      </w:pPr>
      <w:r w:rsidRPr="00465AA8">
        <w:rPr>
          <w:rFonts w:eastAsia="Calibri"/>
          <w:szCs w:val="22"/>
        </w:rPr>
        <w:t>Correct the amendatory language to read as follows:</w:t>
      </w:r>
    </w:p>
    <w:p w:rsidR="00A0172C" w:rsidRPr="00465AA8" w:rsidP="000F47C0" w14:paraId="78307682" w14:textId="77777777">
      <w:pPr>
        <w:pStyle w:val="ParaNum"/>
        <w:ind w:firstLine="720"/>
        <w:rPr>
          <w:rFonts w:eastAsia="Calibri"/>
          <w:szCs w:val="22"/>
        </w:rPr>
      </w:pPr>
      <w:r w:rsidRPr="00465AA8">
        <w:rPr>
          <w:rFonts w:eastAsia="Calibri"/>
          <w:szCs w:val="22"/>
        </w:rPr>
        <w:t>“Amend § 25.210 by:</w:t>
      </w:r>
    </w:p>
    <w:p w:rsidR="00A0172C" w:rsidRPr="00465AA8" w:rsidP="000F47C0" w14:paraId="763F4BB7" w14:textId="77777777">
      <w:pPr>
        <w:spacing w:after="120"/>
        <w:ind w:firstLine="720"/>
        <w:rPr>
          <w:rFonts w:eastAsia="Calibri"/>
          <w:szCs w:val="22"/>
        </w:rPr>
      </w:pPr>
      <w:r w:rsidRPr="00465AA8">
        <w:rPr>
          <w:rFonts w:eastAsia="Calibri"/>
          <w:szCs w:val="22"/>
        </w:rPr>
        <w:t xml:space="preserve">a. Revising paragraph (f); and </w:t>
      </w:r>
    </w:p>
    <w:p w:rsidR="00A0172C" w:rsidRPr="00465AA8" w:rsidP="000F47C0" w14:paraId="75489A4C" w14:textId="77777777">
      <w:pPr>
        <w:pStyle w:val="ParaNum"/>
        <w:ind w:left="720"/>
        <w:rPr>
          <w:rFonts w:eastAsia="Calibri"/>
          <w:szCs w:val="22"/>
        </w:rPr>
      </w:pPr>
      <w:r w:rsidRPr="00465AA8">
        <w:rPr>
          <w:rFonts w:eastAsia="Calibri"/>
          <w:szCs w:val="22"/>
        </w:rPr>
        <w:t>b. Removing and reserving paragraph (i).</w:t>
      </w:r>
    </w:p>
    <w:p w:rsidR="00A0172C" w:rsidRPr="00465AA8" w:rsidP="000F47C0" w14:paraId="7D544852" w14:textId="77777777">
      <w:pPr>
        <w:spacing w:after="120"/>
        <w:ind w:firstLine="720"/>
        <w:rPr>
          <w:rFonts w:eastAsia="Calibri"/>
          <w:szCs w:val="22"/>
        </w:rPr>
      </w:pPr>
      <w:r w:rsidRPr="00465AA8">
        <w:rPr>
          <w:rFonts w:eastAsia="Calibri"/>
          <w:szCs w:val="22"/>
        </w:rPr>
        <w:t>The revision reads as follows:”</w:t>
      </w:r>
    </w:p>
    <w:p w:rsidR="0085572C" w:rsidRPr="00465AA8" w:rsidP="000F47C0" w14:paraId="02857856" w14:textId="6D1B8F5D">
      <w:pPr>
        <w:numPr>
          <w:ilvl w:val="1"/>
          <w:numId w:val="23"/>
        </w:numPr>
        <w:spacing w:after="120"/>
        <w:rPr>
          <w:rFonts w:eastAsia="Calibri"/>
          <w:szCs w:val="22"/>
        </w:rPr>
      </w:pPr>
      <w:r w:rsidRPr="00465AA8">
        <w:rPr>
          <w:szCs w:val="22"/>
        </w:rPr>
        <w:t>Add three asterisks below paragraph (f), and delete “(g)(i)[Reserved]”.</w:t>
      </w:r>
    </w:p>
    <w:p w:rsidR="0085572C" w:rsidRPr="00465AA8" w:rsidP="00706CF8" w14:paraId="2B946D06" w14:textId="77777777">
      <w:pPr>
        <w:pStyle w:val="ParaNum"/>
        <w:keepNext/>
        <w:widowControl/>
        <w:numPr>
          <w:ilvl w:val="0"/>
          <w:numId w:val="23"/>
        </w:numPr>
        <w:rPr>
          <w:rFonts w:eastAsia="Calibri"/>
          <w:szCs w:val="22"/>
        </w:rPr>
      </w:pPr>
      <w:r w:rsidRPr="00465AA8">
        <w:rPr>
          <w:rFonts w:eastAsia="Calibri"/>
          <w:szCs w:val="22"/>
        </w:rPr>
        <w:t>In paragraph 15:</w:t>
      </w:r>
    </w:p>
    <w:p w:rsidR="0085572C" w:rsidRPr="00465AA8" w:rsidP="00706CF8" w14:paraId="774A5E2E" w14:textId="77777777">
      <w:pPr>
        <w:pStyle w:val="ParaNum"/>
        <w:keepNext/>
        <w:widowControl/>
        <w:numPr>
          <w:ilvl w:val="1"/>
          <w:numId w:val="23"/>
        </w:numPr>
        <w:rPr>
          <w:rFonts w:eastAsia="Calibri"/>
          <w:szCs w:val="22"/>
        </w:rPr>
      </w:pPr>
      <w:r w:rsidRPr="00465AA8">
        <w:rPr>
          <w:rFonts w:eastAsia="Calibri"/>
          <w:szCs w:val="22"/>
        </w:rPr>
        <w:t>Correct the amendatory language by adding the word “heading” after “paragraphs (i)”.</w:t>
      </w:r>
    </w:p>
    <w:p w:rsidR="0092253F" w:rsidRPr="00465AA8" w:rsidP="000F47C0" w14:paraId="211136BC" w14:textId="77777777">
      <w:pPr>
        <w:pStyle w:val="ParaNum"/>
        <w:numPr>
          <w:ilvl w:val="1"/>
          <w:numId w:val="23"/>
        </w:numPr>
        <w:rPr>
          <w:rFonts w:eastAsia="Calibri"/>
          <w:szCs w:val="22"/>
        </w:rPr>
      </w:pPr>
      <w:r w:rsidRPr="00465AA8">
        <w:rPr>
          <w:rFonts w:eastAsia="Calibri"/>
          <w:szCs w:val="22"/>
        </w:rPr>
        <w:t>Correct the title of § 25.218 paragraph (b) to change the first letter of the word “Processing” to lower case.</w:t>
      </w:r>
    </w:p>
    <w:p w:rsidR="0092253F" w:rsidRPr="00465AA8" w:rsidP="000F47C0" w14:paraId="6D9DC47C" w14:textId="77777777">
      <w:pPr>
        <w:pStyle w:val="ParaNum"/>
        <w:numPr>
          <w:ilvl w:val="1"/>
          <w:numId w:val="23"/>
        </w:numPr>
        <w:rPr>
          <w:rFonts w:eastAsia="Calibri"/>
          <w:szCs w:val="22"/>
        </w:rPr>
      </w:pPr>
      <w:r w:rsidRPr="00465AA8">
        <w:rPr>
          <w:rFonts w:eastAsia="Calibri"/>
          <w:szCs w:val="22"/>
        </w:rPr>
        <w:t>Below the three asterisks under paragraph (b), add five additional asterisks.</w:t>
      </w:r>
    </w:p>
    <w:p w:rsidR="0092253F" w:rsidRPr="00465AA8" w:rsidP="000F47C0" w14:paraId="7A0CE92E" w14:textId="77777777">
      <w:pPr>
        <w:pStyle w:val="ParaNum"/>
        <w:numPr>
          <w:ilvl w:val="1"/>
          <w:numId w:val="23"/>
        </w:numPr>
        <w:rPr>
          <w:rFonts w:eastAsia="Calibri"/>
          <w:szCs w:val="22"/>
        </w:rPr>
      </w:pPr>
      <w:r w:rsidRPr="00465AA8">
        <w:rPr>
          <w:rFonts w:eastAsia="Calibri"/>
          <w:szCs w:val="22"/>
        </w:rPr>
        <w:t>Correct the title of paragraph (j) to change the first letter of the words “Qualifying” and “Applications” to lower case.</w:t>
      </w:r>
    </w:p>
    <w:p w:rsidR="0092253F" w:rsidRPr="00465AA8" w:rsidP="000F47C0" w14:paraId="7BB0FABD" w14:textId="77777777">
      <w:pPr>
        <w:pStyle w:val="ParaNum"/>
        <w:numPr>
          <w:ilvl w:val="0"/>
          <w:numId w:val="23"/>
        </w:numPr>
        <w:rPr>
          <w:rFonts w:eastAsia="Calibri"/>
          <w:szCs w:val="22"/>
        </w:rPr>
      </w:pPr>
      <w:r w:rsidRPr="00465AA8">
        <w:rPr>
          <w:szCs w:val="22"/>
        </w:rPr>
        <w:t>In paragraph 17:</w:t>
      </w:r>
    </w:p>
    <w:p w:rsidR="0092253F" w:rsidRPr="00465AA8" w:rsidP="000F47C0" w14:paraId="48ACFA8C" w14:textId="77777777">
      <w:pPr>
        <w:pStyle w:val="ParaNum"/>
        <w:numPr>
          <w:ilvl w:val="1"/>
          <w:numId w:val="23"/>
        </w:numPr>
        <w:rPr>
          <w:rFonts w:eastAsia="Calibri"/>
          <w:szCs w:val="22"/>
        </w:rPr>
      </w:pPr>
      <w:r w:rsidRPr="00465AA8">
        <w:rPr>
          <w:szCs w:val="22"/>
        </w:rPr>
        <w:t>Correct § 25.262(a) by replacing “below” with “in paragraphs (a)(1) and (2) of this section”.</w:t>
      </w:r>
    </w:p>
    <w:p w:rsidR="0092253F" w:rsidRPr="00465AA8" w:rsidP="000F47C0" w14:paraId="457D0C6F" w14:textId="77777777">
      <w:pPr>
        <w:pStyle w:val="ParaNum"/>
        <w:numPr>
          <w:ilvl w:val="1"/>
          <w:numId w:val="23"/>
        </w:numPr>
        <w:rPr>
          <w:rFonts w:eastAsia="Calibri"/>
          <w:szCs w:val="22"/>
        </w:rPr>
      </w:pPr>
      <w:r w:rsidRPr="00465AA8">
        <w:rPr>
          <w:szCs w:val="22"/>
        </w:rPr>
        <w:t>Renumber paragraphs 25.262(a)(i) and (ii) as (a)(1) and (2).</w:t>
      </w:r>
    </w:p>
    <w:p w:rsidR="00A0172C" w:rsidRPr="00465AA8" w:rsidP="000F47C0" w14:paraId="214D0A52" w14:textId="4ECA6477">
      <w:pPr>
        <w:pStyle w:val="ParaNum"/>
        <w:numPr>
          <w:ilvl w:val="1"/>
          <w:numId w:val="23"/>
        </w:numPr>
        <w:rPr>
          <w:rFonts w:eastAsia="Calibri"/>
          <w:szCs w:val="22"/>
        </w:rPr>
      </w:pPr>
      <w:r w:rsidRPr="00465AA8">
        <w:rPr>
          <w:szCs w:val="22"/>
        </w:rPr>
        <w:t>In paragraph (b), delete one of the section symbols before “25.140(a)(3)(iii)” and change “25.140(b)(3)” to “(b)(3)”, to read as follows:</w:t>
      </w:r>
    </w:p>
    <w:p w:rsidR="00A0172C" w:rsidRPr="00465AA8" w:rsidP="000F47C0" w14:paraId="2391A2DD" w14:textId="1E6254C5">
      <w:pPr>
        <w:spacing w:after="120"/>
        <w:ind w:left="720"/>
        <w:rPr>
          <w:szCs w:val="22"/>
        </w:rPr>
      </w:pPr>
      <w:r w:rsidRPr="00465AA8">
        <w:rPr>
          <w:szCs w:val="22"/>
        </w:rPr>
        <w:t>“(</w:t>
      </w:r>
      <w:r w:rsidRPr="00465AA8" w:rsidR="00263C61">
        <w:rPr>
          <w:szCs w:val="22"/>
        </w:rPr>
        <w:t>b) Any</w:t>
      </w:r>
      <w:r w:rsidRPr="00465AA8">
        <w:rPr>
          <w:szCs w:val="22"/>
        </w:rPr>
        <w:t xml:space="preserve"> U.S. licensee or permittee authorized to transmit in the 17.3-17.8 GHz band that does not comply with the applicable power flux-density limits set forth in § 25.140(a)(3)(iii) and/or (b)(3) shall bear the burden of coordinating with any future co-frequency licensees and permittees of a space station transmitting in the 17.3-17.8 GHz band as required in § 25.114(d)(15)(ii).”</w:t>
      </w:r>
    </w:p>
    <w:p w:rsidR="00A0172C" w:rsidRPr="00465AA8" w:rsidP="000F47C0" w14:paraId="2521BF2B" w14:textId="77777777">
      <w:pPr>
        <w:numPr>
          <w:ilvl w:val="1"/>
          <w:numId w:val="23"/>
        </w:numPr>
        <w:spacing w:after="120"/>
        <w:rPr>
          <w:szCs w:val="22"/>
        </w:rPr>
      </w:pPr>
      <w:r w:rsidRPr="00465AA8">
        <w:rPr>
          <w:szCs w:val="22"/>
        </w:rPr>
        <w:t xml:space="preserve">In paragraph (c), delete one of the section symbols before “25.140(a)(3)(iii)” and the “25.140” appearing before the reference to 25.140(b)(3) in the last phrase, to read as follows: </w:t>
      </w:r>
    </w:p>
    <w:p w:rsidR="00A0172C" w:rsidRPr="00465AA8" w:rsidP="000F47C0" w14:paraId="1AAFA805" w14:textId="77777777">
      <w:pPr>
        <w:spacing w:after="120"/>
        <w:ind w:left="720"/>
        <w:rPr>
          <w:szCs w:val="22"/>
        </w:rPr>
      </w:pPr>
      <w:r w:rsidRPr="00465AA8">
        <w:rPr>
          <w:szCs w:val="22"/>
        </w:rPr>
        <w:t>“shall reduce its power flux-density levels to be compliant with those specified in § 25.140(a)(3)(iii) and/or (b)(3) as appropriate.”</w:t>
      </w:r>
    </w:p>
    <w:p w:rsidR="00A0172C" w:rsidRPr="00465AA8" w:rsidP="000F47C0" w14:paraId="5FCD81A9" w14:textId="77777777">
      <w:pPr>
        <w:pStyle w:val="ListParagraph"/>
        <w:widowControl w:val="0"/>
        <w:numPr>
          <w:ilvl w:val="1"/>
          <w:numId w:val="23"/>
        </w:numPr>
        <w:spacing w:after="120" w:line="240" w:lineRule="auto"/>
        <w:contextualSpacing w:val="0"/>
        <w:rPr>
          <w:rFonts w:ascii="Times New Roman" w:hAnsi="Times New Roman"/>
          <w:snapToGrid w:val="0"/>
          <w:kern w:val="28"/>
        </w:rPr>
      </w:pPr>
      <w:r w:rsidRPr="00465AA8">
        <w:rPr>
          <w:rFonts w:ascii="Times New Roman" w:hAnsi="Times New Roman"/>
          <w:snapToGrid w:val="0"/>
          <w:kern w:val="28"/>
        </w:rPr>
        <w:t>In paragraph (d), delete the comma after “25.202(a)(9)”.</w:t>
      </w:r>
    </w:p>
    <w:p w:rsidR="00977955" w:rsidRPr="00465AA8" w:rsidP="000F47C0" w14:paraId="2B729ED6" w14:textId="77777777">
      <w:pPr>
        <w:pStyle w:val="ListParagraph"/>
        <w:widowControl w:val="0"/>
        <w:numPr>
          <w:ilvl w:val="1"/>
          <w:numId w:val="23"/>
        </w:numPr>
        <w:spacing w:after="120" w:line="240" w:lineRule="auto"/>
        <w:contextualSpacing w:val="0"/>
        <w:rPr>
          <w:rFonts w:ascii="Times New Roman" w:hAnsi="Times New Roman"/>
          <w:snapToGrid w:val="0"/>
          <w:kern w:val="28"/>
        </w:rPr>
      </w:pPr>
      <w:r w:rsidRPr="00465AA8">
        <w:rPr>
          <w:rFonts w:ascii="Times New Roman" w:hAnsi="Times New Roman"/>
          <w:snapToGrid w:val="0"/>
        </w:rPr>
        <w:t xml:space="preserve"> In paragraph (e), delete the “s” after the word “section.”</w:t>
      </w:r>
    </w:p>
    <w:p w:rsidR="00A0172C" w:rsidRPr="00465AA8" w:rsidP="000F47C0" w14:paraId="5386E277" w14:textId="14A22503">
      <w:pPr>
        <w:pStyle w:val="ListParagraph"/>
        <w:widowControl w:val="0"/>
        <w:numPr>
          <w:ilvl w:val="0"/>
          <w:numId w:val="23"/>
        </w:numPr>
        <w:spacing w:after="120" w:line="240" w:lineRule="auto"/>
        <w:contextualSpacing w:val="0"/>
        <w:rPr>
          <w:rFonts w:ascii="Times New Roman" w:hAnsi="Times New Roman"/>
          <w:snapToGrid w:val="0"/>
          <w:kern w:val="28"/>
        </w:rPr>
      </w:pPr>
      <w:r w:rsidRPr="00465AA8">
        <w:rPr>
          <w:rFonts w:ascii="Times New Roman" w:hAnsi="Times New Roman"/>
        </w:rPr>
        <w:t>In paragraph 18:</w:t>
      </w:r>
    </w:p>
    <w:p w:rsidR="00A0172C" w:rsidRPr="00465AA8" w:rsidP="000F47C0" w14:paraId="78AADD4C" w14:textId="77777777">
      <w:pPr>
        <w:pStyle w:val="ParaNum"/>
        <w:numPr>
          <w:ilvl w:val="1"/>
          <w:numId w:val="23"/>
        </w:numPr>
        <w:spacing w:before="120"/>
        <w:rPr>
          <w:szCs w:val="22"/>
        </w:rPr>
      </w:pPr>
      <w:r w:rsidRPr="00465AA8">
        <w:rPr>
          <w:szCs w:val="22"/>
        </w:rPr>
        <w:t>Correct the amendatory language to read as follows:</w:t>
      </w:r>
    </w:p>
    <w:p w:rsidR="00A0172C" w:rsidRPr="00465AA8" w:rsidP="000F47C0" w14:paraId="4DF8A64B" w14:textId="77777777">
      <w:pPr>
        <w:pStyle w:val="ParaNum"/>
        <w:ind w:left="720"/>
        <w:rPr>
          <w:szCs w:val="22"/>
        </w:rPr>
      </w:pPr>
      <w:r w:rsidRPr="00465AA8">
        <w:rPr>
          <w:szCs w:val="22"/>
        </w:rPr>
        <w:t>“</w:t>
      </w:r>
      <w:r w:rsidRPr="00465AA8">
        <w:rPr>
          <w:rFonts w:eastAsia="Calibri"/>
          <w:szCs w:val="22"/>
        </w:rPr>
        <w:t>Amend § 25.264 by revising the section heading and the introductory text to paragraph (a), paragraphs (a)(4) and (6), the introductory text to paragraph (b), the introductory text to paragraph (b)(2), paragraphs (b)(2)(ii), (b)(3) and (4), and (c), the introductory text to paragraph (d), paragraph (d)(1)(ii), the introductory text to paragraph (d)(2), the introductory text to paragraphs (e) and (e)(1) and (2), paragraph (e)(3), the introductory text to paragraph (f), paragraphs (f)(2) and (g), and the introductory text to paragraphs (h) and (i) to read as follows:”</w:t>
      </w:r>
    </w:p>
    <w:p w:rsidR="00A0172C" w:rsidRPr="00465AA8" w:rsidP="000F47C0" w14:paraId="5710647C" w14:textId="77777777">
      <w:pPr>
        <w:pStyle w:val="ParaNum"/>
        <w:numPr>
          <w:ilvl w:val="1"/>
          <w:numId w:val="23"/>
        </w:numPr>
        <w:rPr>
          <w:b/>
          <w:szCs w:val="22"/>
          <w:u w:val="single"/>
        </w:rPr>
      </w:pPr>
      <w:r w:rsidRPr="00465AA8">
        <w:rPr>
          <w:szCs w:val="22"/>
        </w:rPr>
        <w:t xml:space="preserve">Correct the title to 25.264 by changing the first letter of the word “Band” to lowercase. </w:t>
      </w:r>
    </w:p>
    <w:p w:rsidR="00A0172C" w:rsidRPr="00465AA8" w:rsidP="000F47C0" w14:paraId="2AEBCFB3" w14:textId="77777777">
      <w:pPr>
        <w:numPr>
          <w:ilvl w:val="1"/>
          <w:numId w:val="23"/>
        </w:numPr>
        <w:spacing w:after="120"/>
        <w:rPr>
          <w:bCs/>
          <w:szCs w:val="22"/>
        </w:rPr>
      </w:pPr>
      <w:r w:rsidRPr="00465AA8">
        <w:rPr>
          <w:bCs/>
          <w:szCs w:val="22"/>
        </w:rPr>
        <w:t>Replace the three asterisks below paragraph (a) with five asterisks.</w:t>
      </w:r>
    </w:p>
    <w:p w:rsidR="00A0172C" w:rsidRPr="00465AA8" w:rsidP="000F47C0" w14:paraId="338BDA06" w14:textId="77777777">
      <w:pPr>
        <w:numPr>
          <w:ilvl w:val="1"/>
          <w:numId w:val="23"/>
        </w:numPr>
        <w:spacing w:after="120"/>
        <w:rPr>
          <w:bCs/>
          <w:szCs w:val="22"/>
        </w:rPr>
      </w:pPr>
      <w:r w:rsidRPr="00465AA8">
        <w:rPr>
          <w:bCs/>
          <w:szCs w:val="22"/>
        </w:rPr>
        <w:t>Under paragraph (b), delete “(1) * * *”, and replace it with five asterisks.</w:t>
      </w:r>
    </w:p>
    <w:p w:rsidR="00A0172C" w:rsidRPr="00465AA8" w:rsidP="000F47C0" w14:paraId="1737E369" w14:textId="77777777">
      <w:pPr>
        <w:numPr>
          <w:ilvl w:val="1"/>
          <w:numId w:val="23"/>
        </w:numPr>
        <w:spacing w:after="120"/>
        <w:rPr>
          <w:bCs/>
          <w:szCs w:val="22"/>
        </w:rPr>
      </w:pPr>
      <w:r w:rsidRPr="00465AA8">
        <w:rPr>
          <w:bCs/>
          <w:szCs w:val="22"/>
        </w:rPr>
        <w:t>Under paragraph (b)(2), delete “(i) * * *”, and replace it with five asterisks.</w:t>
      </w:r>
    </w:p>
    <w:p w:rsidR="00A0172C" w:rsidRPr="00465AA8" w:rsidP="000F47C0" w14:paraId="561BF4B5" w14:textId="77777777">
      <w:pPr>
        <w:numPr>
          <w:ilvl w:val="1"/>
          <w:numId w:val="23"/>
        </w:numPr>
        <w:spacing w:after="120"/>
        <w:rPr>
          <w:bCs/>
          <w:szCs w:val="22"/>
        </w:rPr>
      </w:pPr>
      <w:r w:rsidRPr="00465AA8">
        <w:rPr>
          <w:bCs/>
          <w:szCs w:val="22"/>
        </w:rPr>
        <w:t xml:space="preserve">In paragraph (d)(1)(ii), in the second sentence, replace the word “rule” with “paragraph (d)(1)(ii)” and replace the word “through” with “and”, to read as follows:  </w:t>
      </w:r>
    </w:p>
    <w:p w:rsidR="00A0172C" w:rsidRPr="00465AA8" w:rsidP="00706CF8" w14:paraId="09879B20" w14:textId="77777777">
      <w:pPr>
        <w:widowControl/>
        <w:spacing w:after="120"/>
        <w:ind w:left="720"/>
        <w:rPr>
          <w:szCs w:val="22"/>
        </w:rPr>
      </w:pPr>
      <w:r w:rsidRPr="00465AA8">
        <w:rPr>
          <w:bCs/>
          <w:szCs w:val="22"/>
        </w:rPr>
        <w:t>“</w:t>
      </w:r>
      <w:r w:rsidRPr="00465AA8">
        <w:rPr>
          <w:szCs w:val="22"/>
        </w:rPr>
        <w:t>In this paragraph (d)(1)(ii), the term “subsequently filed U.S. DBS space station” refers to any co-frequency Direct Broadcast Satellite service space station proposed in a license application filed with the Commission after the operator of a space station transmitting in any portion of the 17.3-17.8 GHz band submitted the predicted data required by paragraphs (a) and (b) of this section but before submission of the measured data required by this paragraph.”</w:t>
      </w:r>
    </w:p>
    <w:p w:rsidR="00A0172C" w:rsidRPr="00465AA8" w:rsidP="000F47C0" w14:paraId="3256C629" w14:textId="77777777">
      <w:pPr>
        <w:numPr>
          <w:ilvl w:val="1"/>
          <w:numId w:val="23"/>
        </w:numPr>
        <w:spacing w:after="120"/>
        <w:rPr>
          <w:szCs w:val="22"/>
        </w:rPr>
      </w:pPr>
      <w:r w:rsidRPr="00465AA8">
        <w:rPr>
          <w:szCs w:val="22"/>
        </w:rPr>
        <w:t>Under paragraph (f), delete “(1) * * *”, and replace it with five asterisks.</w:t>
      </w:r>
    </w:p>
    <w:p w:rsidR="00A0172C" w:rsidRPr="00465AA8" w:rsidP="000F47C0" w14:paraId="45FCDAD3" w14:textId="77777777">
      <w:pPr>
        <w:numPr>
          <w:ilvl w:val="1"/>
          <w:numId w:val="23"/>
        </w:numPr>
        <w:spacing w:after="120"/>
        <w:rPr>
          <w:szCs w:val="22"/>
        </w:rPr>
      </w:pPr>
      <w:r w:rsidRPr="00465AA8">
        <w:rPr>
          <w:szCs w:val="22"/>
        </w:rPr>
        <w:t>In paragraph (f)(2), delete the “s” at the end of the word “paragraphs”.</w:t>
      </w:r>
    </w:p>
    <w:p w:rsidR="00A0172C" w:rsidRPr="00465AA8" w:rsidP="000F47C0" w14:paraId="1063B8E1" w14:textId="4D1F5031">
      <w:pPr>
        <w:numPr>
          <w:ilvl w:val="1"/>
          <w:numId w:val="23"/>
        </w:numPr>
        <w:spacing w:after="120"/>
        <w:rPr>
          <w:szCs w:val="22"/>
        </w:rPr>
      </w:pPr>
      <w:r w:rsidRPr="00465AA8">
        <w:rPr>
          <w:szCs w:val="22"/>
        </w:rPr>
        <w:t>In paragraph (i), in the first sentence, replace the word “below” with “in paragraphs (i)(1) and (2) of this section”, and in the second sentence replace the word “below” with “in paragraphs (i)(1) and (2) of this section:”, to read as follows:</w:t>
      </w:r>
    </w:p>
    <w:p w:rsidR="00A0172C" w:rsidRPr="00465AA8" w:rsidP="00B52370" w14:paraId="0F2C5ED5" w14:textId="1B5058B3">
      <w:pPr>
        <w:spacing w:after="120"/>
        <w:ind w:left="720"/>
        <w:rPr>
          <w:b/>
          <w:bCs/>
          <w:szCs w:val="22"/>
        </w:rPr>
      </w:pPr>
      <w:r w:rsidRPr="00465AA8">
        <w:rPr>
          <w:szCs w:val="22"/>
        </w:rPr>
        <w:t>“(i) U.S. authorized DBS networks may claim protection from space path interference arising from the reverse-band operations of U.S. authorized space stations transmitting in the 17.3-17.8 GHz band to the extent that the DBS space station operates within the bounds of inclination and eccentricity listed in paragraphs (i)(1) and (2) of this section. When the geostationary orbit of the DBS space station exceeds these bounds on inclination and eccentricity, it may not claim protection from any additional space path interference arising as a result of its inclined or eccentric operations and may only claim protection as if it were operating within the bounds listed in paragraphs (i)(1) and (2) of this section:”</w:t>
      </w:r>
    </w:p>
    <w:sect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82" w14:paraId="2A070150" w14:textId="77777777">
    <w:pPr>
      <w:pStyle w:val="Footer"/>
      <w:framePr w:wrap="around" w:vAnchor="text" w:hAnchor="margin" w:xAlign="center" w:y="1"/>
    </w:pPr>
    <w:r>
      <w:fldChar w:fldCharType="begin"/>
    </w:r>
    <w:r>
      <w:instrText xml:space="preserve">PAGE  </w:instrText>
    </w:r>
    <w:r w:rsidR="00026ED5">
      <w:fldChar w:fldCharType="separate"/>
    </w:r>
    <w:r>
      <w:fldChar w:fldCharType="end"/>
    </w:r>
  </w:p>
  <w:p w:rsidR="00333782" w14:paraId="69CA15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82" w:rsidP="007B3578" w14:paraId="2C40A393" w14:textId="0F8869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82" w14:paraId="60CD7B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41C8" w14:paraId="501090F7" w14:textId="77777777">
      <w:r>
        <w:separator/>
      </w:r>
    </w:p>
  </w:footnote>
  <w:footnote w:type="continuationSeparator" w:id="1">
    <w:p w:rsidR="00DB41C8" w14:paraId="6B1143B1" w14:textId="77777777">
      <w:pPr>
        <w:spacing w:before="120"/>
        <w:rPr>
          <w:sz w:val="20"/>
        </w:rPr>
      </w:pPr>
      <w:r>
        <w:rPr>
          <w:sz w:val="20"/>
        </w:rPr>
        <w:t xml:space="preserve">(Continued from previous page)  </w:t>
      </w:r>
      <w:r>
        <w:rPr>
          <w:sz w:val="20"/>
        </w:rPr>
        <w:separator/>
      </w:r>
    </w:p>
  </w:footnote>
  <w:footnote w:type="continuationNotice" w:id="2">
    <w:p w:rsidR="00DB41C8" w14:paraId="1E879C1A" w14:textId="77777777">
      <w:pPr>
        <w:jc w:val="right"/>
        <w:rPr>
          <w:sz w:val="20"/>
        </w:rPr>
      </w:pPr>
      <w:r>
        <w:rPr>
          <w:sz w:val="20"/>
        </w:rPr>
        <w:t>(continued….)</w:t>
      </w:r>
    </w:p>
  </w:footnote>
  <w:footnote w:id="3">
    <w:p w:rsidR="00C05086" w:rsidRPr="00711748" w:rsidP="00E22993" w14:paraId="5504B814" w14:textId="2546171A">
      <w:pPr>
        <w:pStyle w:val="FootnoteText"/>
      </w:pPr>
      <w:r>
        <w:rPr>
          <w:rStyle w:val="FootnoteReference"/>
        </w:rPr>
        <w:footnoteRef/>
      </w:r>
      <w:r>
        <w:t xml:space="preserve"> </w:t>
      </w:r>
      <w:r w:rsidR="00C53ED9">
        <w:rPr>
          <w:i/>
          <w:iCs/>
        </w:rPr>
        <w:t xml:space="preserve">Amendment of </w:t>
      </w:r>
      <w:r w:rsidRPr="00E22993" w:rsidR="00E22993">
        <w:rPr>
          <w:i/>
          <w:iCs/>
        </w:rPr>
        <w:t>Parts 2 and 25 of the Commission’s</w:t>
      </w:r>
      <w:r w:rsidR="00E22993">
        <w:rPr>
          <w:i/>
          <w:iCs/>
        </w:rPr>
        <w:t xml:space="preserve"> </w:t>
      </w:r>
      <w:r w:rsidRPr="00E22993" w:rsidR="00E22993">
        <w:rPr>
          <w:i/>
          <w:iCs/>
        </w:rPr>
        <w:t>Rules to Enable GSO Fixed-Satellite Service</w:t>
      </w:r>
      <w:r w:rsidR="00E22993">
        <w:rPr>
          <w:i/>
          <w:iCs/>
        </w:rPr>
        <w:t xml:space="preserve"> </w:t>
      </w:r>
      <w:r w:rsidRPr="00E22993" w:rsidR="00E22993">
        <w:rPr>
          <w:i/>
          <w:iCs/>
        </w:rPr>
        <w:t>(Space-to-Earth) Operations in the 17.3-17.8 GHz</w:t>
      </w:r>
      <w:r w:rsidR="00E22993">
        <w:rPr>
          <w:i/>
          <w:iCs/>
        </w:rPr>
        <w:t xml:space="preserve"> </w:t>
      </w:r>
      <w:r w:rsidRPr="00E22993" w:rsidR="00E22993">
        <w:rPr>
          <w:i/>
          <w:iCs/>
        </w:rPr>
        <w:t>Band, to Modernize Certain Rules Applicable to</w:t>
      </w:r>
      <w:r w:rsidR="00E22993">
        <w:rPr>
          <w:i/>
          <w:iCs/>
        </w:rPr>
        <w:t xml:space="preserve"> </w:t>
      </w:r>
      <w:r w:rsidRPr="00E22993" w:rsidR="00E22993">
        <w:rPr>
          <w:i/>
          <w:iCs/>
        </w:rPr>
        <w:t xml:space="preserve">17/24 GHz BSS Space </w:t>
      </w:r>
      <w:r w:rsidRPr="00AA3744" w:rsidR="00E22993">
        <w:rPr>
          <w:i/>
          <w:iCs/>
        </w:rPr>
        <w:t>Stations</w:t>
      </w:r>
      <w:r w:rsidR="00AA5F79">
        <w:t>,</w:t>
      </w:r>
      <w:r w:rsidR="00E456D6">
        <w:t xml:space="preserve"> </w:t>
      </w:r>
      <w:r w:rsidRPr="0072385E" w:rsidR="00E456D6">
        <w:rPr>
          <w:i/>
          <w:iCs/>
        </w:rPr>
        <w:t xml:space="preserve">and to Establish </w:t>
      </w:r>
      <w:r w:rsidRPr="0072385E" w:rsidR="0072385E">
        <w:rPr>
          <w:i/>
          <w:iCs/>
        </w:rPr>
        <w:t>Off-Axis Uplink Power Limits for Extended Ka-Band FSS Operations, et. al</w:t>
      </w:r>
      <w:r w:rsidR="0072385E">
        <w:t>,</w:t>
      </w:r>
      <w:r w:rsidR="00C53ED9">
        <w:rPr>
          <w:i/>
          <w:iCs/>
        </w:rPr>
        <w:t xml:space="preserve"> </w:t>
      </w:r>
      <w:r w:rsidRPr="00C53ED9" w:rsidR="005F758C">
        <w:t>Report and Order and Notice of Proposed Rulemaking,</w:t>
      </w:r>
      <w:r w:rsidR="005F758C">
        <w:t xml:space="preserve"> </w:t>
      </w:r>
      <w:r w:rsidR="00335A78">
        <w:t>FCC 22-63</w:t>
      </w:r>
      <w:r w:rsidR="00BC412F">
        <w:t xml:space="preserve">, </w:t>
      </w:r>
      <w:r w:rsidRPr="00042860" w:rsidR="00042860">
        <w:t>2022 WL 3138555</w:t>
      </w:r>
      <w:r w:rsidR="00711748">
        <w:t xml:space="preserve"> (</w:t>
      </w:r>
      <w:r w:rsidR="00817213">
        <w:t xml:space="preserve">Aug. 3, </w:t>
      </w:r>
      <w:r w:rsidR="00711748">
        <w:t>2022) (</w:t>
      </w:r>
      <w:r w:rsidR="00FB7F75">
        <w:rPr>
          <w:i/>
          <w:iCs/>
        </w:rPr>
        <w:t>17 GHz</w:t>
      </w:r>
      <w:r w:rsidR="00DF0972">
        <w:rPr>
          <w:i/>
          <w:iCs/>
        </w:rPr>
        <w:t xml:space="preserve"> Report and</w:t>
      </w:r>
      <w:r w:rsidR="00E2777E">
        <w:rPr>
          <w:i/>
          <w:iCs/>
        </w:rPr>
        <w:t xml:space="preserve"> Order</w:t>
      </w:r>
      <w:r w:rsidRPr="00123DA5" w:rsidR="00123DA5">
        <w:t xml:space="preserve"> </w:t>
      </w:r>
      <w:r w:rsidRPr="00E25532" w:rsidR="00123DA5">
        <w:t xml:space="preserve">or, when referring to the notice, </w:t>
      </w:r>
      <w:r w:rsidR="00FB7F75">
        <w:rPr>
          <w:i/>
          <w:iCs/>
        </w:rPr>
        <w:t>17 GHz</w:t>
      </w:r>
      <w:r w:rsidR="004938C1">
        <w:t xml:space="preserve"> </w:t>
      </w:r>
      <w:r w:rsidRPr="00E25532" w:rsidR="00123DA5">
        <w:rPr>
          <w:i/>
          <w:iCs/>
        </w:rPr>
        <w:t>NPRM</w:t>
      </w:r>
      <w:r w:rsidR="00711748">
        <w:t>).</w:t>
      </w:r>
    </w:p>
  </w:footnote>
  <w:footnote w:id="4">
    <w:p w:rsidR="003864A8" w:rsidRPr="003864A8" w14:paraId="1A4317EB" w14:textId="4403EFBD">
      <w:pPr>
        <w:pStyle w:val="FootnoteText"/>
        <w:rPr>
          <w:i/>
          <w:iCs/>
        </w:rPr>
      </w:pPr>
      <w:r>
        <w:rPr>
          <w:rStyle w:val="FootnoteReference"/>
        </w:rPr>
        <w:footnoteRef/>
      </w:r>
      <w:r>
        <w:t xml:space="preserve"> </w:t>
      </w:r>
      <w:r w:rsidRPr="00C12D4E" w:rsidR="006D70A8">
        <w:rPr>
          <w:i/>
          <w:iCs/>
        </w:rPr>
        <w:t>See id</w:t>
      </w:r>
      <w:r w:rsidRPr="00C12D4E" w:rsidR="00AA5F79">
        <w:rPr>
          <w:i/>
          <w:iCs/>
        </w:rPr>
        <w:t>.</w:t>
      </w:r>
    </w:p>
  </w:footnote>
  <w:footnote w:id="5">
    <w:p w:rsidR="00970835" w:rsidRPr="00FB1E5B" w:rsidP="00970835" w14:paraId="352254A4" w14:textId="77777777">
      <w:pPr>
        <w:pStyle w:val="FootnoteText"/>
      </w:pPr>
      <w:r>
        <w:rPr>
          <w:rStyle w:val="FootnoteReference"/>
        </w:rPr>
        <w:footnoteRef/>
      </w:r>
      <w:r>
        <w:t xml:space="preserve"> </w:t>
      </w:r>
      <w:r>
        <w:rPr>
          <w:i/>
          <w:iCs/>
        </w:rPr>
        <w:t>See infra</w:t>
      </w:r>
      <w:r>
        <w:t xml:space="preserve"> Appendix paras. 1-3.</w:t>
      </w:r>
    </w:p>
  </w:footnote>
  <w:footnote w:id="6">
    <w:p w:rsidR="007241B5" w:rsidP="007241B5" w14:paraId="012B9F14" w14:textId="77777777">
      <w:pPr>
        <w:pStyle w:val="FootnoteText"/>
      </w:pPr>
      <w:r>
        <w:rPr>
          <w:rStyle w:val="FootnoteReference"/>
        </w:rPr>
        <w:footnoteRef/>
      </w:r>
      <w:r>
        <w:t xml:space="preserve"> </w:t>
      </w:r>
      <w:r>
        <w:rPr>
          <w:i/>
          <w:iCs/>
        </w:rPr>
        <w:t xml:space="preserve">See </w:t>
      </w:r>
      <w:r>
        <w:t>Federal Communications Commission, Amendment to Enable GSO Fixed-Satellite Service (Space-to-Earth) Operations in the 17.3-17.8 GHz Band, To Modernize Certain Rules Applicable to 17/24 GHz BSS Space Stations, and To Establish Off-Axis Uplink Power Limits for Extended Ka-Band FSS Operations, 87 Fed. Reg. 72388 (Nov. 25, 2022).</w:t>
      </w:r>
    </w:p>
  </w:footnote>
  <w:footnote w:id="7">
    <w:p w:rsidR="001426CA" w:rsidRPr="001426CA" w14:paraId="10C2E0A3" w14:textId="6699C105">
      <w:pPr>
        <w:pStyle w:val="FootnoteText"/>
      </w:pPr>
      <w:r>
        <w:rPr>
          <w:rStyle w:val="FootnoteReference"/>
        </w:rPr>
        <w:footnoteRef/>
      </w:r>
      <w:r>
        <w:t xml:space="preserve"> </w:t>
      </w:r>
      <w:r>
        <w:rPr>
          <w:i/>
          <w:iCs/>
        </w:rPr>
        <w:t xml:space="preserve">See </w:t>
      </w:r>
      <w:r w:rsidR="00DF0972">
        <w:rPr>
          <w:i/>
          <w:iCs/>
        </w:rPr>
        <w:t>17 GHz Report and</w:t>
      </w:r>
      <w:r>
        <w:rPr>
          <w:i/>
          <w:iCs/>
        </w:rPr>
        <w:t xml:space="preserve"> Order</w:t>
      </w:r>
      <w:r w:rsidR="006D70A8">
        <w:t xml:space="preserve"> at </w:t>
      </w:r>
      <w:r w:rsidR="005A03B9">
        <w:t>*9-*1</w:t>
      </w:r>
      <w:r w:rsidR="00F67C63">
        <w:t>6</w:t>
      </w:r>
      <w:r w:rsidR="008E3731">
        <w:t xml:space="preserve">, </w:t>
      </w:r>
      <w:r w:rsidR="005A03B9">
        <w:t>paras. 27-30</w:t>
      </w:r>
      <w:r w:rsidR="008E3731">
        <w:t xml:space="preserve">, </w:t>
      </w:r>
      <w:r w:rsidR="00CC6BE9">
        <w:t>33-48.</w:t>
      </w:r>
      <w:r w:rsidR="00F749BD">
        <w:t xml:space="preserve">  For example, changing “</w:t>
      </w:r>
      <w:r w:rsidRPr="00465AA8" w:rsidR="00F749BD">
        <w:rPr>
          <w:szCs w:val="22"/>
        </w:rPr>
        <w:t xml:space="preserve">−117 dBW/m2/100 kHz” </w:t>
      </w:r>
      <w:r w:rsidR="00F749BD">
        <w:rPr>
          <w:szCs w:val="22"/>
        </w:rPr>
        <w:t>to</w:t>
      </w:r>
      <w:r w:rsidRPr="00465AA8" w:rsidR="00F749BD">
        <w:rPr>
          <w:szCs w:val="22"/>
        </w:rPr>
        <w:t xml:space="preserve"> “−117 dBW/m</w:t>
      </w:r>
      <w:r w:rsidRPr="00465AA8" w:rsidR="00F749BD">
        <w:rPr>
          <w:szCs w:val="22"/>
          <w:vertAlign w:val="superscript"/>
        </w:rPr>
        <w:t>2</w:t>
      </w:r>
      <w:r w:rsidRPr="00465AA8" w:rsidR="00F749BD">
        <w:rPr>
          <w:szCs w:val="22"/>
        </w:rPr>
        <w:t>/100 kHz</w:t>
      </w:r>
      <w:r w:rsidR="00F749BD">
        <w:rPr>
          <w:szCs w:val="22"/>
        </w:rPr>
        <w:t>,</w:t>
      </w:r>
      <w:r w:rsidRPr="00465AA8" w:rsidR="00F749BD">
        <w:rPr>
          <w:szCs w:val="22"/>
        </w:rPr>
        <w:t>”</w:t>
      </w:r>
      <w:r w:rsidR="00F749BD">
        <w:rPr>
          <w:szCs w:val="22"/>
        </w:rPr>
        <w:t xml:space="preserve"> </w:t>
      </w:r>
      <w:r w:rsidR="00A030C4">
        <w:rPr>
          <w:szCs w:val="22"/>
        </w:rPr>
        <w:t>and</w:t>
      </w:r>
      <w:r w:rsidR="00F749BD">
        <w:rPr>
          <w:szCs w:val="22"/>
        </w:rPr>
        <w:t xml:space="preserve"> changing “17.3-18.8 GHz” to “17.3-17.8 GHz.”</w:t>
      </w:r>
    </w:p>
  </w:footnote>
  <w:footnote w:id="8">
    <w:p w:rsidR="00EB53AB" w:rsidRPr="005B11CE" w14:paraId="15151CA3" w14:textId="510EA27F">
      <w:pPr>
        <w:pStyle w:val="FootnoteText"/>
      </w:pPr>
      <w:r>
        <w:rPr>
          <w:rStyle w:val="FootnoteReference"/>
        </w:rPr>
        <w:footnoteRef/>
      </w:r>
      <w:r>
        <w:t xml:space="preserve"> </w:t>
      </w:r>
      <w:r w:rsidR="00F146CB">
        <w:t xml:space="preserve">Although corrections to the publishing conventions were </w:t>
      </w:r>
      <w:r w:rsidR="00700E9C">
        <w:t xml:space="preserve">already </w:t>
      </w:r>
      <w:r w:rsidR="00F146CB">
        <w:t xml:space="preserve">published in the Federal Register, </w:t>
      </w:r>
      <w:r w:rsidR="00700E9C">
        <w:t xml:space="preserve">all of </w:t>
      </w:r>
      <w:r w:rsidR="000F3F50">
        <w:t>t</w:t>
      </w:r>
      <w:r w:rsidR="00F146CB">
        <w:t xml:space="preserve">he corrections </w:t>
      </w:r>
      <w:r w:rsidR="00F51062">
        <w:t xml:space="preserve">will be </w:t>
      </w:r>
      <w:r w:rsidRPr="0077304C" w:rsidR="00F146CB">
        <w:rPr>
          <w:color w:val="000000"/>
          <w:shd w:val="clear" w:color="auto" w:fill="FFFFFF"/>
        </w:rPr>
        <w:t>effective thirty (30) days after the date of publication of this Order in the Federal Register</w:t>
      </w:r>
      <w:r w:rsidR="000D3662">
        <w:rPr>
          <w:color w:val="000000"/>
          <w:shd w:val="clear" w:color="auto" w:fill="FFFFFF"/>
        </w:rPr>
        <w:t xml:space="preserve">, which will occur </w:t>
      </w:r>
      <w:r w:rsidR="00C37447">
        <w:rPr>
          <w:color w:val="000000"/>
          <w:shd w:val="clear" w:color="auto" w:fill="FFFFFF"/>
        </w:rPr>
        <w:t xml:space="preserve">once </w:t>
      </w:r>
      <w:r w:rsidR="00741338">
        <w:rPr>
          <w:color w:val="000000"/>
          <w:shd w:val="clear" w:color="auto" w:fill="FFFFFF"/>
        </w:rPr>
        <w:t>the Commission</w:t>
      </w:r>
      <w:r w:rsidR="00C37447">
        <w:rPr>
          <w:color w:val="000000"/>
          <w:shd w:val="clear" w:color="auto" w:fill="FFFFFF"/>
        </w:rPr>
        <w:t xml:space="preserve"> </w:t>
      </w:r>
      <w:r w:rsidR="00082157">
        <w:rPr>
          <w:color w:val="000000"/>
          <w:shd w:val="clear" w:color="auto" w:fill="FFFFFF"/>
        </w:rPr>
        <w:t>receive</w:t>
      </w:r>
      <w:r w:rsidR="00741338">
        <w:rPr>
          <w:color w:val="000000"/>
          <w:shd w:val="clear" w:color="auto" w:fill="FFFFFF"/>
        </w:rPr>
        <w:t>s</w:t>
      </w:r>
      <w:r w:rsidR="00082157">
        <w:rPr>
          <w:color w:val="000000"/>
          <w:shd w:val="clear" w:color="auto" w:fill="FFFFFF"/>
        </w:rPr>
        <w:t xml:space="preserve"> approval </w:t>
      </w:r>
      <w:r w:rsidR="0066428F">
        <w:rPr>
          <w:color w:val="000000"/>
          <w:shd w:val="clear" w:color="auto" w:fill="FFFFFF"/>
        </w:rPr>
        <w:t xml:space="preserve">from the Office of Management and Budget </w:t>
      </w:r>
      <w:r w:rsidR="00741338">
        <w:rPr>
          <w:color w:val="000000"/>
          <w:shd w:val="clear" w:color="auto" w:fill="FFFFFF"/>
        </w:rPr>
        <w:t>for the modified information collection</w:t>
      </w:r>
      <w:r w:rsidR="00D56B24">
        <w:rPr>
          <w:color w:val="000000"/>
          <w:shd w:val="clear" w:color="auto" w:fill="FFFFFF"/>
        </w:rPr>
        <w:t>s</w:t>
      </w:r>
      <w:r w:rsidR="00794CDF">
        <w:rPr>
          <w:color w:val="000000"/>
          <w:shd w:val="clear" w:color="auto" w:fill="FFFFFF"/>
        </w:rPr>
        <w:t xml:space="preserve"> </w:t>
      </w:r>
      <w:r w:rsidR="00A104C4">
        <w:rPr>
          <w:color w:val="000000"/>
          <w:shd w:val="clear" w:color="auto" w:fill="FFFFFF"/>
        </w:rPr>
        <w:t>under the Paperwork Reduction Act</w:t>
      </w:r>
      <w:r w:rsidR="00794CDF">
        <w:rPr>
          <w:color w:val="000000"/>
          <w:shd w:val="clear" w:color="auto" w:fill="FFFFFF"/>
        </w:rPr>
        <w:t>.</w:t>
      </w:r>
      <w:r w:rsidR="00A104C4">
        <w:rPr>
          <w:color w:val="000000"/>
          <w:shd w:val="clear" w:color="auto" w:fill="FFFFFF"/>
        </w:rPr>
        <w:t xml:space="preserve"> </w:t>
      </w:r>
    </w:p>
  </w:footnote>
  <w:footnote w:id="9">
    <w:p w:rsidR="00F36B4D" w14:paraId="0EA5ADEC" w14:textId="491ED52A">
      <w:pPr>
        <w:pStyle w:val="FootnoteText"/>
      </w:pPr>
      <w:r>
        <w:rPr>
          <w:rStyle w:val="FootnoteReference"/>
        </w:rPr>
        <w:footnoteRef/>
      </w:r>
      <w:r>
        <w:t xml:space="preserve"> </w:t>
      </w:r>
      <w:r w:rsidR="00703648">
        <w:t>5 U.S.C. § 553(b)(3)(B) (notice and comment is not necessary “when the agency for good cause finds (and incorporates the finding and a brief statement of reasons therefor in the rules issued) that notice and public procedure thereon are impracticable, unnecessary, or contrary to the public interest”).</w:t>
      </w:r>
    </w:p>
  </w:footnote>
  <w:footnote w:id="10">
    <w:p w:rsidR="007B5666" w:rsidRPr="007B5666" w:rsidP="007B5666" w14:paraId="1657B034" w14:textId="77777777">
      <w:pPr>
        <w:pStyle w:val="FootnoteText"/>
        <w:spacing w:after="0"/>
        <w:rPr>
          <w:i/>
          <w:iCs/>
        </w:rPr>
      </w:pPr>
      <w:r>
        <w:rPr>
          <w:rStyle w:val="FootnoteReference"/>
        </w:rPr>
        <w:footnoteRef/>
      </w:r>
      <w:r>
        <w:t xml:space="preserve"> </w:t>
      </w:r>
      <w:r w:rsidRPr="007B5666">
        <w:rPr>
          <w:i/>
          <w:iCs/>
        </w:rPr>
        <w:t>See Utility Solid Waste Activities Group v. EPA</w:t>
      </w:r>
      <w:r>
        <w:t xml:space="preserve">, 236 F.3d 749, 755 (D.C. Cir. 2001) (quoting </w:t>
      </w:r>
      <w:r w:rsidRPr="007B5666">
        <w:rPr>
          <w:i/>
          <w:iCs/>
        </w:rPr>
        <w:t>South Carolina v.</w:t>
      </w:r>
    </w:p>
    <w:p w:rsidR="007B5666" w:rsidP="007B5666" w14:paraId="13F5BEBB" w14:textId="567BCCFB">
      <w:pPr>
        <w:pStyle w:val="FootnoteText"/>
        <w:spacing w:after="0"/>
      </w:pPr>
      <w:r w:rsidRPr="007B5666">
        <w:rPr>
          <w:i/>
          <w:iCs/>
        </w:rPr>
        <w:t>Block</w:t>
      </w:r>
      <w:r>
        <w:t>, 558 F.Supp. 1004, 1016 (D.S.C. 1983), for the proposition that the “unnecessary” exception applies “to those situations in which the administrative rule is a routine determination, insignificant in nature and impact, and</w:t>
      </w:r>
    </w:p>
    <w:p w:rsidR="007B5666" w:rsidP="007B5666" w14:paraId="55A2B571" w14:textId="77777777">
      <w:pPr>
        <w:pStyle w:val="FootnoteText"/>
        <w:spacing w:after="0"/>
      </w:pPr>
      <w:r>
        <w:t xml:space="preserve">inconsequential to the industry and to the public”); </w:t>
      </w:r>
      <w:r w:rsidRPr="007B5666">
        <w:rPr>
          <w:i/>
          <w:iCs/>
        </w:rPr>
        <w:t>see also Texaco, Inc., v. FPC</w:t>
      </w:r>
      <w:r>
        <w:t>, 412 F.2d 740, 743 (3d Cir. 1969)</w:t>
      </w:r>
    </w:p>
    <w:p w:rsidR="007B5666" w:rsidP="007B5666" w14:paraId="5E17A204" w14:textId="77777777">
      <w:pPr>
        <w:pStyle w:val="FootnoteText"/>
        <w:spacing w:after="0"/>
      </w:pPr>
      <w:r>
        <w:t>(“‘Unnecessary’ refers to the issuance of a minor rule or amendment in which the public is not particularly</w:t>
      </w:r>
    </w:p>
    <w:p w:rsidR="007B5666" w:rsidP="007B5666" w14:paraId="4CDBBDE8" w14:textId="6673A96D">
      <w:pPr>
        <w:pStyle w:val="FootnoteText"/>
      </w:pPr>
      <w:r>
        <w:t xml:space="preserve">interested.”  (quoting Attorney General’s Manual on the Administrative Procedure Act 12-13 (1947)); </w:t>
      </w:r>
      <w:r>
        <w:rPr>
          <w:i/>
          <w:iCs/>
        </w:rPr>
        <w:t>Amendment of Parts 1,2, 15, 74, 78, 87,90, and 97 of the Commission’s Rules Regarding Implementation of the Final Acts of the World Radiocommunication Conference (Geneva, 2007) (WRC-07), Other Allocation Issues, and Related Rules Updates</w:t>
      </w:r>
      <w:r>
        <w:t>, Order, 27 FCC Rcd 14598, 14657, para. 158 (2012) (holding that there is no need for notice and comment rulemaking procedures when correcting various “</w:t>
      </w:r>
      <w:r w:rsidRPr="008141DA">
        <w:t>grammatical, typographical, and display errors</w:t>
      </w:r>
      <w:r>
        <w:t>”).</w:t>
      </w:r>
    </w:p>
  </w:footnote>
  <w:footnote w:id="11">
    <w:p w:rsidR="00942198" w:rsidP="00942198" w14:paraId="7F3C68A6" w14:textId="77777777">
      <w:pPr>
        <w:pStyle w:val="FootnoteText"/>
      </w:pPr>
      <w:r>
        <w:rPr>
          <w:rStyle w:val="FootnoteReference"/>
        </w:rPr>
        <w:footnoteRef/>
      </w:r>
      <w:r>
        <w:t xml:space="preserve"> 5 U.S.C.</w:t>
      </w:r>
      <w:r>
        <w:rPr>
          <w:i/>
        </w:rPr>
        <w:t xml:space="preserve"> </w:t>
      </w:r>
      <w:r>
        <w:t xml:space="preserve">§ 601 </w:t>
      </w:r>
      <w:r>
        <w:rPr>
          <w:i/>
        </w:rPr>
        <w:t xml:space="preserve">et seq.  See id. </w:t>
      </w:r>
      <w:r>
        <w:t>§ 601(2).</w:t>
      </w:r>
    </w:p>
  </w:footnote>
  <w:footnote w:id="12">
    <w:p w:rsidR="0047020A" w14:paraId="3CA5217D" w14:textId="5C26BF31">
      <w:pPr>
        <w:pStyle w:val="FootnoteText"/>
      </w:pPr>
      <w:r>
        <w:rPr>
          <w:rStyle w:val="FootnoteReference"/>
        </w:rPr>
        <w:footnoteRef/>
      </w:r>
      <w:r>
        <w:t xml:space="preserve"> </w:t>
      </w:r>
      <w:r w:rsidR="00C67712">
        <w:t>The Paperwork Reduction Act of 1995, Pub. L. No. 104-13, 109 Stat. 163 (1995) (codified in Chapter 35 of title 44 U.S.C.).</w:t>
      </w:r>
    </w:p>
  </w:footnote>
  <w:footnote w:id="13">
    <w:p w:rsidR="0047020A" w14:paraId="522BF00A" w14:textId="0720EB80">
      <w:pPr>
        <w:pStyle w:val="FootnoteText"/>
      </w:pPr>
      <w:r>
        <w:rPr>
          <w:rStyle w:val="FootnoteReference"/>
        </w:rPr>
        <w:footnoteRef/>
      </w:r>
      <w:r>
        <w:t xml:space="preserve"> </w:t>
      </w:r>
      <w:r w:rsidR="00BC60A2">
        <w:t xml:space="preserve">The Small Business Paperwork Relief Act of 2002 (SBPRA), Pub. L. No. 107-198, 116 Stat. 729 (2002) (codified in Chapter 35 of title 44 U.S.C.); </w:t>
      </w:r>
      <w:r w:rsidR="00BC60A2">
        <w:rPr>
          <w:i/>
        </w:rPr>
        <w:t>see</w:t>
      </w:r>
      <w:r w:rsidR="00BC60A2">
        <w:t xml:space="preserve"> 44 U.S.C. 3506(c)(4).</w:t>
      </w:r>
    </w:p>
  </w:footnote>
  <w:footnote w:id="14">
    <w:p w:rsidR="00D0681C" w14:paraId="58DFA59E" w14:textId="4109CC14">
      <w:pPr>
        <w:pStyle w:val="FootnoteText"/>
      </w:pPr>
      <w:r>
        <w:rPr>
          <w:rStyle w:val="FootnoteReference"/>
        </w:rPr>
        <w:footnoteRef/>
      </w:r>
      <w:r>
        <w:t xml:space="preserve"> </w:t>
      </w:r>
      <w:r w:rsidR="00721E23">
        <w:rPr>
          <w:i/>
        </w:rPr>
        <w:t>See</w:t>
      </w:r>
      <w:r w:rsidR="00721E23">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82" w14:paraId="649BE48D" w14:textId="4B491CC3">
    <w:pPr>
      <w:pStyle w:val="Header"/>
    </w:pPr>
    <w:r>
      <w:tab/>
      <w:t>Federal Communications Commission</w:t>
    </w:r>
    <w:r>
      <w:tab/>
    </w:r>
    <w:r w:rsidR="00810597">
      <w:t>DA</w:t>
    </w:r>
    <w:r w:rsidR="00D408ED">
      <w:t xml:space="preserve"> 24-</w:t>
    </w:r>
    <w:r w:rsidR="0037431E">
      <w:t>271</w:t>
    </w:r>
  </w:p>
  <w:p w:rsidR="00333782" w14:paraId="4B9BE4A4" w14:textId="34436E7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33782" w14:paraId="369F45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82" w14:paraId="3519F868" w14:textId="3DE7E52D">
    <w:pPr>
      <w:pStyle w:val="Header"/>
    </w:pPr>
    <w:r>
      <w:tab/>
      <w:t>Federal Communications Commission</w:t>
    </w:r>
    <w:r>
      <w:tab/>
      <w:t xml:space="preserve">DA </w:t>
    </w:r>
    <w:r w:rsidR="00B35926">
      <w:t>24</w:t>
    </w:r>
    <w:r>
      <w:t>-</w:t>
    </w:r>
    <w:r w:rsidR="0037431E">
      <w:t>271</w:t>
    </w:r>
    <w:r>
      <w:t xml:space="preserve"> </w:t>
    </w:r>
  </w:p>
  <w:p w:rsidR="00333782" w14:paraId="405B8A2B" w14:textId="11B28DD6">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13146"/>
    <w:multiLevelType w:val="hybridMultilevel"/>
    <w:tmpl w:val="F0E8849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22D1A52"/>
    <w:multiLevelType w:val="hybridMultilevel"/>
    <w:tmpl w:val="EB66520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73357AA"/>
    <w:multiLevelType w:val="multilevel"/>
    <w:tmpl w:val="576C2E0E"/>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rPr>
        <w:rFonts w:hint="default"/>
        <w:b w:val="0"/>
        <w:b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05E00E1"/>
    <w:multiLevelType w:val="hybridMultilevel"/>
    <w:tmpl w:val="95CE7E3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EA57E3"/>
    <w:multiLevelType w:val="multilevel"/>
    <w:tmpl w:val="81949772"/>
    <w:lvl w:ilvl="0">
      <w:start w:val="1"/>
      <w:numFmt w:val="decimal"/>
      <w:lvlText w:val="%1."/>
      <w:lvlJc w:val="left"/>
      <w:pPr>
        <w:tabs>
          <w:tab w:val="num" w:pos="1080"/>
        </w:tabs>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967D2C"/>
    <w:multiLevelType w:val="hybridMultilevel"/>
    <w:tmpl w:val="5522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E06CBB"/>
    <w:multiLevelType w:val="multilevel"/>
    <w:tmpl w:val="743A34DE"/>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E0505B0"/>
    <w:multiLevelType w:val="hybridMultilevel"/>
    <w:tmpl w:val="D340C4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E1B5B26"/>
    <w:multiLevelType w:val="hybridMultilevel"/>
    <w:tmpl w:val="29424CDE"/>
    <w:lvl w:ilvl="0">
      <w:start w:val="2"/>
      <w:numFmt w:val="lowerLetter"/>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462389F"/>
    <w:multiLevelType w:val="hybridMultilevel"/>
    <w:tmpl w:val="E028F36C"/>
    <w:lvl w:ilvl="0">
      <w:start w:val="2"/>
      <w:numFmt w:val="lowerLetter"/>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9F24FE"/>
    <w:multiLevelType w:val="multilevel"/>
    <w:tmpl w:val="576C2E0E"/>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rPr>
        <w:rFonts w:hint="default"/>
        <w:b w:val="0"/>
        <w:b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162A8E"/>
    <w:multiLevelType w:val="hybridMultilevel"/>
    <w:tmpl w:val="0826086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15042E9"/>
    <w:multiLevelType w:val="hybridMultilevel"/>
    <w:tmpl w:val="3230BF80"/>
    <w:lvl w:ilvl="0">
      <w:start w:val="2"/>
      <w:numFmt w:val="lowerLetter"/>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4644C24"/>
    <w:multiLevelType w:val="hybridMultilevel"/>
    <w:tmpl w:val="83FCF51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A610567"/>
    <w:multiLevelType w:val="multilevel"/>
    <w:tmpl w:val="8BA4A026"/>
    <w:lvl w:ilvl="0">
      <w:start w:val="1"/>
      <w:numFmt w:val="upperRoman"/>
      <w:pStyle w:val="Heading1"/>
      <w:lvlText w:val="%1."/>
      <w:lvlJc w:val="left"/>
      <w:pPr>
        <w:ind w:left="720" w:hanging="720"/>
      </w:pPr>
      <w:rPr>
        <w:rFonts w:hint="default"/>
        <w:b/>
        <w:bCs/>
        <w:i w:val="0"/>
      </w:rPr>
    </w:lvl>
    <w:lvl w:ilvl="1">
      <w:start w:val="1"/>
      <w:numFmt w:val="decimal"/>
      <w:lvlRestart w:val="0"/>
      <w:pStyle w:val="Heading2"/>
      <w:lvlText w:val="%2."/>
      <w:lvlJc w:val="left"/>
      <w:pPr>
        <w:tabs>
          <w:tab w:val="num" w:pos="1440"/>
        </w:tabs>
        <w:ind w:left="0" w:firstLine="720"/>
      </w:pPr>
      <w:rPr>
        <w:rFonts w:ascii="Times New Roman" w:hAnsi="Times New Roman" w:hint="default"/>
        <w:b w:val="0"/>
        <w:i w:val="0"/>
      </w:rPr>
    </w:lvl>
    <w:lvl w:ilvl="2">
      <w:start w:val="1"/>
      <w:numFmt w:val="decimal"/>
      <w:pStyle w:val="Heading3"/>
      <w:lvlText w:val="%3."/>
      <w:lvlJc w:val="left"/>
      <w:pPr>
        <w:ind w:left="2160" w:hanging="72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46602B"/>
    <w:multiLevelType w:val="multilevel"/>
    <w:tmpl w:val="576C2E0E"/>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rPr>
        <w:rFonts w:hint="default"/>
        <w:b w:val="0"/>
        <w:b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10B3A9C"/>
    <w:multiLevelType w:val="hybridMultilevel"/>
    <w:tmpl w:val="8398BF8C"/>
    <w:lvl w:ilvl="0">
      <w:start w:val="2"/>
      <w:numFmt w:val="lowerLetter"/>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815F2F"/>
    <w:multiLevelType w:val="hybridMultilevel"/>
    <w:tmpl w:val="933AA9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ECD1095"/>
    <w:multiLevelType w:val="hybridMultilevel"/>
    <w:tmpl w:val="89E468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2B97C8C"/>
    <w:multiLevelType w:val="multilevel"/>
    <w:tmpl w:val="576C2E0E"/>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rPr>
        <w:rFonts w:hint="default"/>
        <w:b w:val="0"/>
        <w:b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76142019"/>
    <w:multiLevelType w:val="multilevel"/>
    <w:tmpl w:val="576C2E0E"/>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rPr>
        <w:rFonts w:hint="default"/>
        <w:b w:val="0"/>
        <w:bCs/>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
  </w:num>
  <w:num w:numId="2">
    <w:abstractNumId w:val="5"/>
  </w:num>
  <w:num w:numId="3">
    <w:abstractNumId w:val="9"/>
  </w:num>
  <w:num w:numId="4">
    <w:abstractNumId w:val="15"/>
  </w:num>
  <w:num w:numId="5">
    <w:abstractNumId w:val="7"/>
  </w:num>
  <w:num w:numId="6">
    <w:abstractNumId w:val="3"/>
  </w:num>
  <w:num w:numId="7">
    <w:abstractNumId w:val="5"/>
    <w:lvlOverride w:ilvl="0">
      <w:startOverride w:val="1"/>
    </w:lvlOverride>
  </w:num>
  <w:num w:numId="8">
    <w:abstractNumId w:val="4"/>
  </w:num>
  <w:num w:numId="9">
    <w:abstractNumId w:val="11"/>
  </w:num>
  <w:num w:numId="10">
    <w:abstractNumId w:val="5"/>
  </w:num>
  <w:num w:numId="11">
    <w:abstractNumId w:val="14"/>
  </w:num>
  <w:num w:numId="12">
    <w:abstractNumId w:val="21"/>
  </w:num>
  <w:num w:numId="13">
    <w:abstractNumId w:val="17"/>
  </w:num>
  <w:num w:numId="14">
    <w:abstractNumId w:val="1"/>
  </w:num>
  <w:num w:numId="15">
    <w:abstractNumId w:val="22"/>
  </w:num>
  <w:num w:numId="16">
    <w:abstractNumId w:val="10"/>
  </w:num>
  <w:num w:numId="17">
    <w:abstractNumId w:val="0"/>
  </w:num>
  <w:num w:numId="18">
    <w:abstractNumId w:val="5"/>
    <w:lvlOverride w:ilvl="0">
      <w:startOverride w:val="1"/>
    </w:lvlOverride>
    <w:lvlOverride w:ilvl="1">
      <w:startOverride w:val="2"/>
    </w:lvlOverride>
  </w:num>
  <w:num w:numId="19">
    <w:abstractNumId w:val="5"/>
  </w:num>
  <w:num w:numId="20">
    <w:abstractNumId w:val="20"/>
  </w:num>
  <w:num w:numId="21">
    <w:abstractNumId w:val="12"/>
  </w:num>
  <w:num w:numId="22">
    <w:abstractNumId w:val="16"/>
  </w:num>
  <w:num w:numId="23">
    <w:abstractNumId w:val="2"/>
  </w:num>
  <w:num w:numId="24">
    <w:abstractNumId w:val="8"/>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B99"/>
    <w:rsid w:val="000103C1"/>
    <w:rsid w:val="00010986"/>
    <w:rsid w:val="00010D14"/>
    <w:rsid w:val="00016F70"/>
    <w:rsid w:val="000203F6"/>
    <w:rsid w:val="00026D6D"/>
    <w:rsid w:val="00026ED5"/>
    <w:rsid w:val="00027769"/>
    <w:rsid w:val="000303E4"/>
    <w:rsid w:val="00035363"/>
    <w:rsid w:val="0004052A"/>
    <w:rsid w:val="00041867"/>
    <w:rsid w:val="000427D0"/>
    <w:rsid w:val="00042860"/>
    <w:rsid w:val="00044F19"/>
    <w:rsid w:val="00046524"/>
    <w:rsid w:val="000518A7"/>
    <w:rsid w:val="00052635"/>
    <w:rsid w:val="00061630"/>
    <w:rsid w:val="00062E43"/>
    <w:rsid w:val="00065F42"/>
    <w:rsid w:val="00075C27"/>
    <w:rsid w:val="000772CF"/>
    <w:rsid w:val="00080365"/>
    <w:rsid w:val="00082157"/>
    <w:rsid w:val="00095E09"/>
    <w:rsid w:val="000A2A43"/>
    <w:rsid w:val="000A6A1E"/>
    <w:rsid w:val="000B05EF"/>
    <w:rsid w:val="000B2D0D"/>
    <w:rsid w:val="000B3285"/>
    <w:rsid w:val="000C6950"/>
    <w:rsid w:val="000D3662"/>
    <w:rsid w:val="000D3FF5"/>
    <w:rsid w:val="000E2891"/>
    <w:rsid w:val="000F01BA"/>
    <w:rsid w:val="000F3F50"/>
    <w:rsid w:val="000F47C0"/>
    <w:rsid w:val="000F74C3"/>
    <w:rsid w:val="00105AEC"/>
    <w:rsid w:val="00106E9C"/>
    <w:rsid w:val="001102B0"/>
    <w:rsid w:val="001130A4"/>
    <w:rsid w:val="00116318"/>
    <w:rsid w:val="00120DF4"/>
    <w:rsid w:val="0012156F"/>
    <w:rsid w:val="00123DA5"/>
    <w:rsid w:val="00136CDB"/>
    <w:rsid w:val="001373A5"/>
    <w:rsid w:val="001426CA"/>
    <w:rsid w:val="0014441C"/>
    <w:rsid w:val="001575E4"/>
    <w:rsid w:val="001628F6"/>
    <w:rsid w:val="0016379B"/>
    <w:rsid w:val="00177C71"/>
    <w:rsid w:val="00184A63"/>
    <w:rsid w:val="00184F59"/>
    <w:rsid w:val="001901DA"/>
    <w:rsid w:val="0019258C"/>
    <w:rsid w:val="0019596C"/>
    <w:rsid w:val="001A177B"/>
    <w:rsid w:val="001A54E3"/>
    <w:rsid w:val="001C2894"/>
    <w:rsid w:val="001C3EF7"/>
    <w:rsid w:val="001C571A"/>
    <w:rsid w:val="001E4A12"/>
    <w:rsid w:val="001E4ADB"/>
    <w:rsid w:val="001F0709"/>
    <w:rsid w:val="001F45B7"/>
    <w:rsid w:val="00202033"/>
    <w:rsid w:val="002034FC"/>
    <w:rsid w:val="00203D8E"/>
    <w:rsid w:val="00206F85"/>
    <w:rsid w:val="00210B24"/>
    <w:rsid w:val="00222D08"/>
    <w:rsid w:val="002271C2"/>
    <w:rsid w:val="002316EC"/>
    <w:rsid w:val="0023486F"/>
    <w:rsid w:val="00235DC8"/>
    <w:rsid w:val="00245F1C"/>
    <w:rsid w:val="0025049E"/>
    <w:rsid w:val="00250549"/>
    <w:rsid w:val="00254965"/>
    <w:rsid w:val="00255255"/>
    <w:rsid w:val="0025699B"/>
    <w:rsid w:val="00257D21"/>
    <w:rsid w:val="002623F9"/>
    <w:rsid w:val="00263C61"/>
    <w:rsid w:val="002659A9"/>
    <w:rsid w:val="002707AD"/>
    <w:rsid w:val="00270DB4"/>
    <w:rsid w:val="00271270"/>
    <w:rsid w:val="00274FE6"/>
    <w:rsid w:val="00277161"/>
    <w:rsid w:val="0028138D"/>
    <w:rsid w:val="0028787A"/>
    <w:rsid w:val="002A1C1C"/>
    <w:rsid w:val="002A30C7"/>
    <w:rsid w:val="002B3CAF"/>
    <w:rsid w:val="002B7579"/>
    <w:rsid w:val="002C06DA"/>
    <w:rsid w:val="002C1B22"/>
    <w:rsid w:val="002C7B85"/>
    <w:rsid w:val="002D3332"/>
    <w:rsid w:val="002E2392"/>
    <w:rsid w:val="002F0E1A"/>
    <w:rsid w:val="002F14C4"/>
    <w:rsid w:val="002F239B"/>
    <w:rsid w:val="002F4880"/>
    <w:rsid w:val="002F7C7A"/>
    <w:rsid w:val="00300B20"/>
    <w:rsid w:val="003021AA"/>
    <w:rsid w:val="0030462B"/>
    <w:rsid w:val="00304AC2"/>
    <w:rsid w:val="00306EA9"/>
    <w:rsid w:val="00314F40"/>
    <w:rsid w:val="00325817"/>
    <w:rsid w:val="0032602A"/>
    <w:rsid w:val="00333782"/>
    <w:rsid w:val="00335A78"/>
    <w:rsid w:val="003515E0"/>
    <w:rsid w:val="00352669"/>
    <w:rsid w:val="00364D2F"/>
    <w:rsid w:val="00366F66"/>
    <w:rsid w:val="0037431E"/>
    <w:rsid w:val="00384B60"/>
    <w:rsid w:val="00385051"/>
    <w:rsid w:val="003864A8"/>
    <w:rsid w:val="00387914"/>
    <w:rsid w:val="00387BAB"/>
    <w:rsid w:val="00395943"/>
    <w:rsid w:val="0039754D"/>
    <w:rsid w:val="003A081A"/>
    <w:rsid w:val="003A362E"/>
    <w:rsid w:val="003A4CE1"/>
    <w:rsid w:val="003D5244"/>
    <w:rsid w:val="003E3F28"/>
    <w:rsid w:val="003E6C0B"/>
    <w:rsid w:val="003E75DD"/>
    <w:rsid w:val="003E7C37"/>
    <w:rsid w:val="003F3432"/>
    <w:rsid w:val="003F344F"/>
    <w:rsid w:val="00400317"/>
    <w:rsid w:val="00413326"/>
    <w:rsid w:val="00413897"/>
    <w:rsid w:val="00416C75"/>
    <w:rsid w:val="004174FF"/>
    <w:rsid w:val="00425CE5"/>
    <w:rsid w:val="004544D9"/>
    <w:rsid w:val="0046004E"/>
    <w:rsid w:val="00465AA8"/>
    <w:rsid w:val="00465FFA"/>
    <w:rsid w:val="0047020A"/>
    <w:rsid w:val="00476BA8"/>
    <w:rsid w:val="004777E6"/>
    <w:rsid w:val="00484066"/>
    <w:rsid w:val="00492092"/>
    <w:rsid w:val="004938C1"/>
    <w:rsid w:val="00496903"/>
    <w:rsid w:val="004C29F7"/>
    <w:rsid w:val="004C2B87"/>
    <w:rsid w:val="004D38FB"/>
    <w:rsid w:val="00500E86"/>
    <w:rsid w:val="00502BCE"/>
    <w:rsid w:val="0050775C"/>
    <w:rsid w:val="00511C56"/>
    <w:rsid w:val="005235A9"/>
    <w:rsid w:val="00530046"/>
    <w:rsid w:val="00530425"/>
    <w:rsid w:val="00535703"/>
    <w:rsid w:val="00535F18"/>
    <w:rsid w:val="005430E5"/>
    <w:rsid w:val="00555653"/>
    <w:rsid w:val="005716D9"/>
    <w:rsid w:val="00580ACE"/>
    <w:rsid w:val="0058502E"/>
    <w:rsid w:val="005864D0"/>
    <w:rsid w:val="0059151B"/>
    <w:rsid w:val="00592784"/>
    <w:rsid w:val="005A03B9"/>
    <w:rsid w:val="005A21DA"/>
    <w:rsid w:val="005A4241"/>
    <w:rsid w:val="005B11CE"/>
    <w:rsid w:val="005B39C1"/>
    <w:rsid w:val="005C249D"/>
    <w:rsid w:val="005C58D8"/>
    <w:rsid w:val="005E7BB1"/>
    <w:rsid w:val="005F4E16"/>
    <w:rsid w:val="005F52F7"/>
    <w:rsid w:val="005F7559"/>
    <w:rsid w:val="005F758C"/>
    <w:rsid w:val="00601ADB"/>
    <w:rsid w:val="00606B27"/>
    <w:rsid w:val="00611E16"/>
    <w:rsid w:val="00613306"/>
    <w:rsid w:val="006134C8"/>
    <w:rsid w:val="006209AD"/>
    <w:rsid w:val="006217F7"/>
    <w:rsid w:val="0062212D"/>
    <w:rsid w:val="00622ECE"/>
    <w:rsid w:val="0062393F"/>
    <w:rsid w:val="006327DF"/>
    <w:rsid w:val="006346B3"/>
    <w:rsid w:val="00635A39"/>
    <w:rsid w:val="00640497"/>
    <w:rsid w:val="00640780"/>
    <w:rsid w:val="0064308A"/>
    <w:rsid w:val="00645374"/>
    <w:rsid w:val="0065141E"/>
    <w:rsid w:val="00655501"/>
    <w:rsid w:val="00655550"/>
    <w:rsid w:val="00656D85"/>
    <w:rsid w:val="006622E1"/>
    <w:rsid w:val="00662B4E"/>
    <w:rsid w:val="0066396F"/>
    <w:rsid w:val="0066428F"/>
    <w:rsid w:val="00664935"/>
    <w:rsid w:val="006669E1"/>
    <w:rsid w:val="0067180C"/>
    <w:rsid w:val="0067563E"/>
    <w:rsid w:val="00680AAB"/>
    <w:rsid w:val="00680D96"/>
    <w:rsid w:val="00685074"/>
    <w:rsid w:val="00685851"/>
    <w:rsid w:val="006901F3"/>
    <w:rsid w:val="00694390"/>
    <w:rsid w:val="006B0F7E"/>
    <w:rsid w:val="006B18FB"/>
    <w:rsid w:val="006B23C4"/>
    <w:rsid w:val="006B6771"/>
    <w:rsid w:val="006C05D5"/>
    <w:rsid w:val="006C2BB2"/>
    <w:rsid w:val="006D6417"/>
    <w:rsid w:val="006D70A8"/>
    <w:rsid w:val="006E41CF"/>
    <w:rsid w:val="006E5101"/>
    <w:rsid w:val="006E757F"/>
    <w:rsid w:val="00700E9C"/>
    <w:rsid w:val="00702380"/>
    <w:rsid w:val="00702FA3"/>
    <w:rsid w:val="00703648"/>
    <w:rsid w:val="00706CF8"/>
    <w:rsid w:val="00711748"/>
    <w:rsid w:val="00713B3F"/>
    <w:rsid w:val="00721E23"/>
    <w:rsid w:val="0072385E"/>
    <w:rsid w:val="00723891"/>
    <w:rsid w:val="007241B5"/>
    <w:rsid w:val="00727B1D"/>
    <w:rsid w:val="007310EA"/>
    <w:rsid w:val="00732948"/>
    <w:rsid w:val="00733DA3"/>
    <w:rsid w:val="00736025"/>
    <w:rsid w:val="00736DE8"/>
    <w:rsid w:val="00741338"/>
    <w:rsid w:val="0074166B"/>
    <w:rsid w:val="007528B4"/>
    <w:rsid w:val="00772922"/>
    <w:rsid w:val="0077304C"/>
    <w:rsid w:val="00774652"/>
    <w:rsid w:val="0077787F"/>
    <w:rsid w:val="00780B41"/>
    <w:rsid w:val="00790473"/>
    <w:rsid w:val="007909A2"/>
    <w:rsid w:val="00794CDF"/>
    <w:rsid w:val="00797B2E"/>
    <w:rsid w:val="007A1C68"/>
    <w:rsid w:val="007B3578"/>
    <w:rsid w:val="007B5666"/>
    <w:rsid w:val="007B6831"/>
    <w:rsid w:val="007D08F5"/>
    <w:rsid w:val="007E2908"/>
    <w:rsid w:val="007E2C80"/>
    <w:rsid w:val="007E382D"/>
    <w:rsid w:val="007F02D7"/>
    <w:rsid w:val="00807ABB"/>
    <w:rsid w:val="00810597"/>
    <w:rsid w:val="008141DA"/>
    <w:rsid w:val="00817213"/>
    <w:rsid w:val="00823B2D"/>
    <w:rsid w:val="0083088C"/>
    <w:rsid w:val="008309D3"/>
    <w:rsid w:val="00831029"/>
    <w:rsid w:val="008333E5"/>
    <w:rsid w:val="00835BCF"/>
    <w:rsid w:val="0084497C"/>
    <w:rsid w:val="00854AB3"/>
    <w:rsid w:val="0085572C"/>
    <w:rsid w:val="00857DE5"/>
    <w:rsid w:val="008610C0"/>
    <w:rsid w:val="0086251F"/>
    <w:rsid w:val="00863458"/>
    <w:rsid w:val="00872B8D"/>
    <w:rsid w:val="00881482"/>
    <w:rsid w:val="00882BEF"/>
    <w:rsid w:val="00885A03"/>
    <w:rsid w:val="008A24E3"/>
    <w:rsid w:val="008B2B62"/>
    <w:rsid w:val="008B5079"/>
    <w:rsid w:val="008C012E"/>
    <w:rsid w:val="008D095A"/>
    <w:rsid w:val="008D7269"/>
    <w:rsid w:val="008E3731"/>
    <w:rsid w:val="008E63CD"/>
    <w:rsid w:val="008E6E76"/>
    <w:rsid w:val="008F1EA1"/>
    <w:rsid w:val="008F326D"/>
    <w:rsid w:val="00903738"/>
    <w:rsid w:val="009058F1"/>
    <w:rsid w:val="00920CEE"/>
    <w:rsid w:val="0092253F"/>
    <w:rsid w:val="00922E62"/>
    <w:rsid w:val="0092367E"/>
    <w:rsid w:val="00926004"/>
    <w:rsid w:val="009260CB"/>
    <w:rsid w:val="00926707"/>
    <w:rsid w:val="00935BD0"/>
    <w:rsid w:val="00942198"/>
    <w:rsid w:val="00945144"/>
    <w:rsid w:val="0095081D"/>
    <w:rsid w:val="00953E20"/>
    <w:rsid w:val="00960897"/>
    <w:rsid w:val="009610CF"/>
    <w:rsid w:val="00963A32"/>
    <w:rsid w:val="009669BA"/>
    <w:rsid w:val="00970835"/>
    <w:rsid w:val="00973B21"/>
    <w:rsid w:val="00973E71"/>
    <w:rsid w:val="00977955"/>
    <w:rsid w:val="00982683"/>
    <w:rsid w:val="00992A7C"/>
    <w:rsid w:val="009A2209"/>
    <w:rsid w:val="009D68E2"/>
    <w:rsid w:val="009F22D9"/>
    <w:rsid w:val="009F7C7F"/>
    <w:rsid w:val="00A0172C"/>
    <w:rsid w:val="00A030C4"/>
    <w:rsid w:val="00A104C4"/>
    <w:rsid w:val="00A13383"/>
    <w:rsid w:val="00A209AC"/>
    <w:rsid w:val="00A21CBA"/>
    <w:rsid w:val="00A34FF8"/>
    <w:rsid w:val="00A36D3E"/>
    <w:rsid w:val="00A4557B"/>
    <w:rsid w:val="00A5594A"/>
    <w:rsid w:val="00A55BD6"/>
    <w:rsid w:val="00A74213"/>
    <w:rsid w:val="00A7549F"/>
    <w:rsid w:val="00A94523"/>
    <w:rsid w:val="00A95381"/>
    <w:rsid w:val="00A96D0A"/>
    <w:rsid w:val="00AA1BEC"/>
    <w:rsid w:val="00AA3744"/>
    <w:rsid w:val="00AA4918"/>
    <w:rsid w:val="00AA5F79"/>
    <w:rsid w:val="00AB01E4"/>
    <w:rsid w:val="00AB68C3"/>
    <w:rsid w:val="00AD0D14"/>
    <w:rsid w:val="00AD1EE4"/>
    <w:rsid w:val="00AD769A"/>
    <w:rsid w:val="00AE6C10"/>
    <w:rsid w:val="00B152FD"/>
    <w:rsid w:val="00B23122"/>
    <w:rsid w:val="00B256CD"/>
    <w:rsid w:val="00B272A5"/>
    <w:rsid w:val="00B33294"/>
    <w:rsid w:val="00B3452D"/>
    <w:rsid w:val="00B34EE4"/>
    <w:rsid w:val="00B35926"/>
    <w:rsid w:val="00B362B2"/>
    <w:rsid w:val="00B43100"/>
    <w:rsid w:val="00B4452D"/>
    <w:rsid w:val="00B46C87"/>
    <w:rsid w:val="00B507F9"/>
    <w:rsid w:val="00B52370"/>
    <w:rsid w:val="00B606A3"/>
    <w:rsid w:val="00B6148F"/>
    <w:rsid w:val="00B63AB5"/>
    <w:rsid w:val="00B65B07"/>
    <w:rsid w:val="00B67957"/>
    <w:rsid w:val="00B74CF7"/>
    <w:rsid w:val="00B84847"/>
    <w:rsid w:val="00B84FF1"/>
    <w:rsid w:val="00B908B5"/>
    <w:rsid w:val="00B94078"/>
    <w:rsid w:val="00B964B2"/>
    <w:rsid w:val="00BA0881"/>
    <w:rsid w:val="00BA101E"/>
    <w:rsid w:val="00BA15CF"/>
    <w:rsid w:val="00BA2FC9"/>
    <w:rsid w:val="00BA6D55"/>
    <w:rsid w:val="00BC1768"/>
    <w:rsid w:val="00BC4115"/>
    <w:rsid w:val="00BC412F"/>
    <w:rsid w:val="00BC4A9C"/>
    <w:rsid w:val="00BC5134"/>
    <w:rsid w:val="00BC60A2"/>
    <w:rsid w:val="00BD02DD"/>
    <w:rsid w:val="00BD38AB"/>
    <w:rsid w:val="00BE7C43"/>
    <w:rsid w:val="00C0166F"/>
    <w:rsid w:val="00C05086"/>
    <w:rsid w:val="00C10258"/>
    <w:rsid w:val="00C12D4E"/>
    <w:rsid w:val="00C1326B"/>
    <w:rsid w:val="00C14ABF"/>
    <w:rsid w:val="00C1713F"/>
    <w:rsid w:val="00C213A7"/>
    <w:rsid w:val="00C259D2"/>
    <w:rsid w:val="00C27CAA"/>
    <w:rsid w:val="00C3382D"/>
    <w:rsid w:val="00C33A10"/>
    <w:rsid w:val="00C3578A"/>
    <w:rsid w:val="00C37447"/>
    <w:rsid w:val="00C4137C"/>
    <w:rsid w:val="00C50B4A"/>
    <w:rsid w:val="00C53ED9"/>
    <w:rsid w:val="00C5478E"/>
    <w:rsid w:val="00C568DA"/>
    <w:rsid w:val="00C6175C"/>
    <w:rsid w:val="00C67712"/>
    <w:rsid w:val="00C7432C"/>
    <w:rsid w:val="00C85D97"/>
    <w:rsid w:val="00C86D6C"/>
    <w:rsid w:val="00C875A1"/>
    <w:rsid w:val="00C87AF0"/>
    <w:rsid w:val="00C87BBB"/>
    <w:rsid w:val="00C90554"/>
    <w:rsid w:val="00C92FF8"/>
    <w:rsid w:val="00C958E3"/>
    <w:rsid w:val="00CA0385"/>
    <w:rsid w:val="00CA0A44"/>
    <w:rsid w:val="00CC11F8"/>
    <w:rsid w:val="00CC6BE9"/>
    <w:rsid w:val="00CC6D02"/>
    <w:rsid w:val="00CD2FAA"/>
    <w:rsid w:val="00CE1F4A"/>
    <w:rsid w:val="00CF0352"/>
    <w:rsid w:val="00CF19A9"/>
    <w:rsid w:val="00CF40A6"/>
    <w:rsid w:val="00CF64FA"/>
    <w:rsid w:val="00D00B3E"/>
    <w:rsid w:val="00D00B98"/>
    <w:rsid w:val="00D0681C"/>
    <w:rsid w:val="00D06F7A"/>
    <w:rsid w:val="00D11F19"/>
    <w:rsid w:val="00D176BD"/>
    <w:rsid w:val="00D22731"/>
    <w:rsid w:val="00D22750"/>
    <w:rsid w:val="00D408ED"/>
    <w:rsid w:val="00D56B24"/>
    <w:rsid w:val="00D56BC6"/>
    <w:rsid w:val="00D61B72"/>
    <w:rsid w:val="00D730AF"/>
    <w:rsid w:val="00D77339"/>
    <w:rsid w:val="00D836B7"/>
    <w:rsid w:val="00D90863"/>
    <w:rsid w:val="00D95AC6"/>
    <w:rsid w:val="00D97C4F"/>
    <w:rsid w:val="00DA3845"/>
    <w:rsid w:val="00DB41C8"/>
    <w:rsid w:val="00DD1CD9"/>
    <w:rsid w:val="00DF0972"/>
    <w:rsid w:val="00E140DD"/>
    <w:rsid w:val="00E14AE0"/>
    <w:rsid w:val="00E14CE2"/>
    <w:rsid w:val="00E22993"/>
    <w:rsid w:val="00E2444E"/>
    <w:rsid w:val="00E25318"/>
    <w:rsid w:val="00E25532"/>
    <w:rsid w:val="00E26437"/>
    <w:rsid w:val="00E2686A"/>
    <w:rsid w:val="00E2777E"/>
    <w:rsid w:val="00E34AA2"/>
    <w:rsid w:val="00E359A9"/>
    <w:rsid w:val="00E413BE"/>
    <w:rsid w:val="00E417F4"/>
    <w:rsid w:val="00E456D6"/>
    <w:rsid w:val="00E458F6"/>
    <w:rsid w:val="00E51F9D"/>
    <w:rsid w:val="00E57DDC"/>
    <w:rsid w:val="00E6145F"/>
    <w:rsid w:val="00E62D5E"/>
    <w:rsid w:val="00E63589"/>
    <w:rsid w:val="00E64D0B"/>
    <w:rsid w:val="00E662DC"/>
    <w:rsid w:val="00E70C29"/>
    <w:rsid w:val="00E773D9"/>
    <w:rsid w:val="00E85EED"/>
    <w:rsid w:val="00E969F5"/>
    <w:rsid w:val="00EA0B07"/>
    <w:rsid w:val="00EA2283"/>
    <w:rsid w:val="00EA40F2"/>
    <w:rsid w:val="00EA714F"/>
    <w:rsid w:val="00EB53AB"/>
    <w:rsid w:val="00EC0A51"/>
    <w:rsid w:val="00EC14A2"/>
    <w:rsid w:val="00EC5AC5"/>
    <w:rsid w:val="00ED2759"/>
    <w:rsid w:val="00EE3CC7"/>
    <w:rsid w:val="00EF0AEF"/>
    <w:rsid w:val="00EF6DE7"/>
    <w:rsid w:val="00F0084E"/>
    <w:rsid w:val="00F04678"/>
    <w:rsid w:val="00F05C30"/>
    <w:rsid w:val="00F12809"/>
    <w:rsid w:val="00F146CB"/>
    <w:rsid w:val="00F14A2B"/>
    <w:rsid w:val="00F2016D"/>
    <w:rsid w:val="00F30ACC"/>
    <w:rsid w:val="00F35C5A"/>
    <w:rsid w:val="00F36B4D"/>
    <w:rsid w:val="00F37128"/>
    <w:rsid w:val="00F4329E"/>
    <w:rsid w:val="00F50168"/>
    <w:rsid w:val="00F50D17"/>
    <w:rsid w:val="00F51062"/>
    <w:rsid w:val="00F60392"/>
    <w:rsid w:val="00F67C63"/>
    <w:rsid w:val="00F749BD"/>
    <w:rsid w:val="00F75696"/>
    <w:rsid w:val="00F80DB4"/>
    <w:rsid w:val="00F812B5"/>
    <w:rsid w:val="00F82670"/>
    <w:rsid w:val="00F8278F"/>
    <w:rsid w:val="00F85069"/>
    <w:rsid w:val="00F8656D"/>
    <w:rsid w:val="00F900DA"/>
    <w:rsid w:val="00F93E7D"/>
    <w:rsid w:val="00F96D3A"/>
    <w:rsid w:val="00FA17C5"/>
    <w:rsid w:val="00FB1481"/>
    <w:rsid w:val="00FB1E5B"/>
    <w:rsid w:val="00FB7F75"/>
    <w:rsid w:val="00FC18C7"/>
    <w:rsid w:val="00FC6E47"/>
    <w:rsid w:val="00FC71FC"/>
    <w:rsid w:val="00FC7280"/>
    <w:rsid w:val="00FD2B30"/>
    <w:rsid w:val="00FD318F"/>
    <w:rsid w:val="00FE1352"/>
    <w:rsid w:val="00FE3CCA"/>
    <w:rsid w:val="00FF51D5"/>
    <w:rsid w:val="00FF652C"/>
    <w:rsid w:val="2C6108A0"/>
    <w:rsid w:val="2D01F3CC"/>
    <w:rsid w:val="6EE12317"/>
    <w:rsid w:val="755E496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5A6BC8C"/>
  <w15:chartTrackingRefBased/>
  <w15:docId w15:val="{09802348-D71D-47E7-A7D9-E9FED1F6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C6950"/>
    <w:pPr>
      <w:widowControl/>
      <w:numPr>
        <w:ilvl w:val="1"/>
        <w:numId w:val="25"/>
      </w:numPr>
      <w:spacing w:after="120"/>
      <w:outlineLvl w:val="1"/>
    </w:pPr>
    <w:rPr>
      <w:bCs/>
    </w:rPr>
  </w:style>
  <w:style w:type="paragraph" w:styleId="Heading3">
    <w:name w:val="heading 3"/>
    <w:basedOn w:val="Normal"/>
    <w:next w:val="ParaNum"/>
    <w:qFormat/>
    <w:pPr>
      <w:keepNext/>
      <w:numPr>
        <w:ilvl w:val="2"/>
        <w:numId w:val="25"/>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rsid w:val="001C2894"/>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694390"/>
    <w:rPr>
      <w:snapToGrid w:val="0"/>
      <w:kern w:val="28"/>
      <w:sz w:val="22"/>
    </w:rPr>
  </w:style>
  <w:style w:type="character" w:styleId="CommentReference">
    <w:name w:val="annotation reference"/>
    <w:rsid w:val="00B94078"/>
    <w:rPr>
      <w:sz w:val="16"/>
      <w:szCs w:val="16"/>
    </w:rPr>
  </w:style>
  <w:style w:type="paragraph" w:styleId="CommentText">
    <w:name w:val="annotation text"/>
    <w:basedOn w:val="Normal"/>
    <w:link w:val="CommentTextChar"/>
    <w:rsid w:val="00B94078"/>
    <w:rPr>
      <w:sz w:val="20"/>
    </w:rPr>
  </w:style>
  <w:style w:type="character" w:customStyle="1" w:styleId="CommentTextChar">
    <w:name w:val="Comment Text Char"/>
    <w:link w:val="CommentText"/>
    <w:rsid w:val="00B94078"/>
    <w:rPr>
      <w:snapToGrid w:val="0"/>
      <w:kern w:val="28"/>
    </w:rPr>
  </w:style>
  <w:style w:type="paragraph" w:styleId="CommentSubject">
    <w:name w:val="annotation subject"/>
    <w:basedOn w:val="CommentText"/>
    <w:next w:val="CommentText"/>
    <w:link w:val="CommentSubjectChar"/>
    <w:rsid w:val="00B94078"/>
    <w:rPr>
      <w:b/>
      <w:bCs/>
    </w:rPr>
  </w:style>
  <w:style w:type="character" w:customStyle="1" w:styleId="CommentSubjectChar">
    <w:name w:val="Comment Subject Char"/>
    <w:link w:val="CommentSubject"/>
    <w:rsid w:val="00B94078"/>
    <w:rPr>
      <w:b/>
      <w:bCs/>
      <w:snapToGrid w:val="0"/>
      <w:kern w:val="28"/>
    </w:rPr>
  </w:style>
  <w:style w:type="character" w:customStyle="1" w:styleId="ParaNumChar">
    <w:name w:val="ParaNum Char"/>
    <w:link w:val="ParaNum"/>
    <w:rsid w:val="0019596C"/>
    <w:rPr>
      <w:snapToGrid w:val="0"/>
      <w:kern w:val="28"/>
      <w:sz w:val="22"/>
    </w:rPr>
  </w:style>
  <w:style w:type="character" w:styleId="PlaceholderText">
    <w:name w:val="Placeholder Text"/>
    <w:basedOn w:val="DefaultParagraphFont"/>
    <w:uiPriority w:val="99"/>
    <w:semiHidden/>
    <w:rsid w:val="00BA6D5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