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24563" w:rsidP="00247723" w14:paraId="19311A89" w14:textId="77777777">
      <w:pPr>
        <w:jc w:val="right"/>
        <w:rPr>
          <w:b/>
          <w:sz w:val="24"/>
        </w:rPr>
      </w:pPr>
    </w:p>
    <w:p w:rsidR="003A0DD8" w:rsidRPr="00D86899" w:rsidP="00247723" w14:paraId="0BD3BC89" w14:textId="4A3307CF">
      <w:pPr>
        <w:jc w:val="right"/>
        <w:rPr>
          <w:b/>
          <w:szCs w:val="22"/>
        </w:rPr>
      </w:pPr>
      <w:r w:rsidRPr="00D86899">
        <w:rPr>
          <w:b/>
          <w:szCs w:val="22"/>
        </w:rPr>
        <w:t xml:space="preserve">DA </w:t>
      </w:r>
      <w:r w:rsidRPr="00D86899" w:rsidR="00AF6056">
        <w:rPr>
          <w:b/>
          <w:szCs w:val="22"/>
        </w:rPr>
        <w:t>2</w:t>
      </w:r>
      <w:r w:rsidRPr="00D86899" w:rsidR="00D86899">
        <w:rPr>
          <w:b/>
          <w:szCs w:val="22"/>
        </w:rPr>
        <w:t>4</w:t>
      </w:r>
      <w:r w:rsidRPr="00D86899" w:rsidR="00531D94">
        <w:rPr>
          <w:b/>
          <w:szCs w:val="22"/>
        </w:rPr>
        <w:t>-</w:t>
      </w:r>
      <w:r w:rsidR="003C6656">
        <w:rPr>
          <w:b/>
          <w:szCs w:val="22"/>
        </w:rPr>
        <w:t>276</w:t>
      </w:r>
    </w:p>
    <w:p w:rsidR="003A0DD8" w:rsidRPr="00D86899" w14:paraId="54F4812D" w14:textId="751C6BF9">
      <w:pPr>
        <w:spacing w:before="60"/>
        <w:jc w:val="right"/>
        <w:rPr>
          <w:b/>
          <w:szCs w:val="22"/>
        </w:rPr>
      </w:pPr>
      <w:r w:rsidRPr="00D86899">
        <w:rPr>
          <w:b/>
          <w:szCs w:val="22"/>
        </w:rPr>
        <w:t xml:space="preserve">Released:  </w:t>
      </w:r>
      <w:r w:rsidR="0080280A">
        <w:rPr>
          <w:b/>
          <w:szCs w:val="22"/>
        </w:rPr>
        <w:t>March 19, 2024</w:t>
      </w:r>
    </w:p>
    <w:p w:rsidR="003A0DD8" w:rsidRPr="00D86899" w14:paraId="430C7809" w14:textId="77777777">
      <w:pPr>
        <w:jc w:val="right"/>
        <w:rPr>
          <w:szCs w:val="22"/>
        </w:rPr>
      </w:pPr>
    </w:p>
    <w:p w:rsidR="00D36F0C" w:rsidRPr="00D36F0C" w:rsidP="00D36F0C" w14:paraId="0D127862" w14:textId="77777777">
      <w:pPr>
        <w:jc w:val="center"/>
        <w:rPr>
          <w:b/>
          <w:szCs w:val="22"/>
        </w:rPr>
      </w:pPr>
      <w:r w:rsidRPr="00D36F0C">
        <w:rPr>
          <w:b/>
          <w:szCs w:val="22"/>
        </w:rPr>
        <w:t>MEDIA</w:t>
      </w:r>
      <w:r w:rsidRPr="00D36F0C" w:rsidR="00531D94">
        <w:rPr>
          <w:b/>
          <w:szCs w:val="22"/>
        </w:rPr>
        <w:t xml:space="preserve"> </w:t>
      </w:r>
      <w:r w:rsidRPr="00D36F0C">
        <w:rPr>
          <w:b/>
          <w:szCs w:val="22"/>
        </w:rPr>
        <w:t>BUREAU</w:t>
      </w:r>
      <w:r w:rsidRPr="00D36F0C" w:rsidR="00531D94">
        <w:rPr>
          <w:b/>
          <w:szCs w:val="22"/>
        </w:rPr>
        <w:t xml:space="preserve"> </w:t>
      </w:r>
      <w:r w:rsidRPr="00D36F0C">
        <w:rPr>
          <w:b/>
          <w:szCs w:val="22"/>
        </w:rPr>
        <w:t>SEEK</w:t>
      </w:r>
      <w:r w:rsidRPr="00D36F0C" w:rsidR="00531D94">
        <w:rPr>
          <w:b/>
          <w:szCs w:val="22"/>
        </w:rPr>
        <w:t>S</w:t>
      </w:r>
      <w:r w:rsidRPr="00D36F0C">
        <w:rPr>
          <w:b/>
          <w:szCs w:val="22"/>
        </w:rPr>
        <w:t xml:space="preserve"> </w:t>
      </w:r>
      <w:r w:rsidRPr="00D36F0C" w:rsidR="00F76CD3">
        <w:rPr>
          <w:b/>
          <w:szCs w:val="22"/>
        </w:rPr>
        <w:t xml:space="preserve">COMMENT ON </w:t>
      </w:r>
      <w:r w:rsidRPr="00D36F0C">
        <w:rPr>
          <w:b/>
          <w:szCs w:val="22"/>
        </w:rPr>
        <w:t xml:space="preserve">JOINT </w:t>
      </w:r>
      <w:r w:rsidRPr="00D36F0C" w:rsidR="00F76CD3">
        <w:rPr>
          <w:b/>
          <w:szCs w:val="22"/>
        </w:rPr>
        <w:t>CLOSED</w:t>
      </w:r>
    </w:p>
    <w:p w:rsidR="00247723" w:rsidRPr="00D36F0C" w:rsidP="00531D94" w14:paraId="5065BF32" w14:textId="75099E80">
      <w:pPr>
        <w:spacing w:after="240"/>
        <w:jc w:val="center"/>
        <w:rPr>
          <w:b/>
          <w:szCs w:val="22"/>
        </w:rPr>
      </w:pPr>
      <w:r w:rsidRPr="00D36F0C">
        <w:rPr>
          <w:b/>
          <w:szCs w:val="22"/>
        </w:rPr>
        <w:t xml:space="preserve">CAPTIONING DISPLAY SETTINGS </w:t>
      </w:r>
      <w:r w:rsidRPr="00D36F0C" w:rsidR="00B72511">
        <w:rPr>
          <w:b/>
          <w:szCs w:val="22"/>
        </w:rPr>
        <w:t xml:space="preserve">PROPOSAL </w:t>
      </w:r>
    </w:p>
    <w:p w:rsidR="003A0DD8" w:rsidRPr="00D86899" w14:paraId="6A64B767" w14:textId="77777777">
      <w:pPr>
        <w:jc w:val="center"/>
        <w:rPr>
          <w:b/>
          <w:szCs w:val="22"/>
        </w:rPr>
      </w:pPr>
      <w:r w:rsidRPr="00D36F0C">
        <w:rPr>
          <w:b/>
          <w:szCs w:val="22"/>
        </w:rPr>
        <w:t>MB</w:t>
      </w:r>
      <w:r w:rsidRPr="00D36F0C" w:rsidR="007F12E7">
        <w:rPr>
          <w:b/>
          <w:szCs w:val="22"/>
        </w:rPr>
        <w:t xml:space="preserve"> Docket No. </w:t>
      </w:r>
      <w:r w:rsidRPr="00D36F0C">
        <w:rPr>
          <w:b/>
          <w:szCs w:val="22"/>
        </w:rPr>
        <w:t>12-</w:t>
      </w:r>
      <w:r w:rsidRPr="00D36F0C" w:rsidR="00C35632">
        <w:rPr>
          <w:b/>
          <w:szCs w:val="22"/>
        </w:rPr>
        <w:t>1</w:t>
      </w:r>
      <w:r w:rsidRPr="00D36F0C">
        <w:rPr>
          <w:b/>
          <w:szCs w:val="22"/>
        </w:rPr>
        <w:t>08</w:t>
      </w:r>
    </w:p>
    <w:p w:rsidR="00B3607A" w:rsidRPr="00D86899" w14:paraId="34DCED3E" w14:textId="77777777">
      <w:pPr>
        <w:jc w:val="center"/>
        <w:rPr>
          <w:b/>
          <w:szCs w:val="22"/>
        </w:rPr>
      </w:pPr>
    </w:p>
    <w:p w:rsidR="00B3607A" w:rsidRPr="00D86899" w:rsidP="00B3607A" w14:paraId="1A8642E9" w14:textId="04733703">
      <w:pPr>
        <w:rPr>
          <w:b/>
          <w:szCs w:val="22"/>
        </w:rPr>
      </w:pPr>
      <w:r w:rsidRPr="00D86899">
        <w:rPr>
          <w:b/>
          <w:szCs w:val="22"/>
        </w:rPr>
        <w:t xml:space="preserve">Comments Due:  </w:t>
      </w:r>
      <w:bookmarkStart w:id="0" w:name="_Hlk89763721"/>
      <w:r w:rsidRPr="00D86899" w:rsidR="009114FB">
        <w:rPr>
          <w:b/>
          <w:szCs w:val="22"/>
        </w:rPr>
        <w:t>[</w:t>
      </w:r>
      <w:r w:rsidR="00DA2849">
        <w:rPr>
          <w:b/>
          <w:szCs w:val="22"/>
        </w:rPr>
        <w:t>2</w:t>
      </w:r>
      <w:r w:rsidRPr="00D86899" w:rsidR="00A71357">
        <w:rPr>
          <w:b/>
          <w:szCs w:val="22"/>
        </w:rPr>
        <w:t>0</w:t>
      </w:r>
      <w:r w:rsidRPr="00D86899" w:rsidR="009114FB">
        <w:rPr>
          <w:b/>
          <w:szCs w:val="22"/>
        </w:rPr>
        <w:t xml:space="preserve"> days after publication in the Federal Register]</w:t>
      </w:r>
    </w:p>
    <w:bookmarkEnd w:id="0"/>
    <w:p w:rsidR="003A0DD8" w14:paraId="3E45FFCE" w14:textId="2AE14C87">
      <w:pPr>
        <w:rPr>
          <w:b/>
          <w:szCs w:val="22"/>
        </w:rPr>
      </w:pPr>
      <w:r w:rsidRPr="00D86899">
        <w:rPr>
          <w:b/>
          <w:szCs w:val="22"/>
        </w:rPr>
        <w:t xml:space="preserve">Reply Comments Due:  </w:t>
      </w:r>
      <w:r w:rsidRPr="00D86899" w:rsidR="009114FB">
        <w:rPr>
          <w:b/>
          <w:szCs w:val="22"/>
        </w:rPr>
        <w:t>[</w:t>
      </w:r>
      <w:r w:rsidR="00DA2849">
        <w:rPr>
          <w:b/>
          <w:szCs w:val="22"/>
        </w:rPr>
        <w:t>30</w:t>
      </w:r>
      <w:r w:rsidRPr="00D86899" w:rsidR="009114FB">
        <w:rPr>
          <w:b/>
          <w:szCs w:val="22"/>
        </w:rPr>
        <w:t xml:space="preserve"> days after publication in the Federal Register]</w:t>
      </w:r>
    </w:p>
    <w:p w:rsidR="000E541F" w:rsidRPr="00D86899" w14:paraId="1221B515" w14:textId="77777777">
      <w:pPr>
        <w:rPr>
          <w:b/>
          <w:sz w:val="24"/>
        </w:rPr>
      </w:pPr>
    </w:p>
    <w:p w:rsidR="00012393" w:rsidRPr="005D7EFF" w:rsidP="00541990" w14:paraId="1C2ECB15" w14:textId="1F5C63AB">
      <w:pPr>
        <w:spacing w:after="120"/>
        <w:ind w:firstLine="720"/>
      </w:pPr>
      <w:r w:rsidRPr="00206A15">
        <w:t>With</w:t>
      </w:r>
      <w:r w:rsidRPr="00206A15" w:rsidR="007F12E7">
        <w:t xml:space="preserve"> this Public Notice, </w:t>
      </w:r>
      <w:r w:rsidRPr="00206A15">
        <w:t>the Media Bureau</w:t>
      </w:r>
      <w:r w:rsidRPr="00206A15" w:rsidR="007F12E7">
        <w:t xml:space="preserve"> </w:t>
      </w:r>
      <w:r w:rsidRPr="00206A15" w:rsidR="00531D94">
        <w:t>seek</w:t>
      </w:r>
      <w:r w:rsidRPr="00206A15">
        <w:t>s</w:t>
      </w:r>
      <w:r w:rsidRPr="00206A15" w:rsidR="005D7C7F">
        <w:t xml:space="preserve"> comment on </w:t>
      </w:r>
      <w:r w:rsidRPr="00206A15">
        <w:t>a</w:t>
      </w:r>
      <w:r w:rsidRPr="00206A15" w:rsidR="005D7C7F">
        <w:t xml:space="preserve"> </w:t>
      </w:r>
      <w:r w:rsidR="0075253D">
        <w:t>J</w:t>
      </w:r>
      <w:r w:rsidRPr="00206A15" w:rsidR="00B1255E">
        <w:t xml:space="preserve">oint </w:t>
      </w:r>
      <w:r w:rsidR="0075253D">
        <w:t>P</w:t>
      </w:r>
      <w:r w:rsidRPr="00206A15" w:rsidR="005D7C7F">
        <w:t>roposal in th</w:t>
      </w:r>
      <w:r w:rsidRPr="00206A15" w:rsidR="00E129C1">
        <w:t xml:space="preserve">e record </w:t>
      </w:r>
      <w:r w:rsidRPr="00206A15" w:rsidR="0093179E">
        <w:t>of this</w:t>
      </w:r>
      <w:r w:rsidRPr="00206A15" w:rsidR="005D7C7F">
        <w:t xml:space="preserve"> proceeding </w:t>
      </w:r>
      <w:r w:rsidRPr="00206A15" w:rsidR="00D44865">
        <w:t>addressing</w:t>
      </w:r>
      <w:r w:rsidRPr="00206A15" w:rsidR="006C706D">
        <w:t xml:space="preserve"> </w:t>
      </w:r>
      <w:r w:rsidRPr="00206A15" w:rsidR="00541990">
        <w:t xml:space="preserve">how the Commission should determine if specific </w:t>
      </w:r>
      <w:r w:rsidRPr="00206A15" w:rsidR="005D7C7F">
        <w:t>closed captioning display settings are readily accessible</w:t>
      </w:r>
      <w:r w:rsidRPr="00206A15" w:rsidR="00D44865">
        <w:t>.</w:t>
      </w:r>
      <w:r w:rsidR="00DB339F">
        <w:t xml:space="preserve">  The </w:t>
      </w:r>
      <w:r w:rsidR="00FE021F">
        <w:t>J</w:t>
      </w:r>
      <w:r w:rsidR="00DB339F">
        <w:t xml:space="preserve">oint </w:t>
      </w:r>
      <w:r w:rsidR="00FE021F">
        <w:t>P</w:t>
      </w:r>
      <w:r w:rsidR="00DB339F">
        <w:t>roposal is supported by NCTA – The Internet &amp; Television Association (NCTA)</w:t>
      </w:r>
      <w:r w:rsidR="0075253D">
        <w:t xml:space="preserve">, </w:t>
      </w:r>
      <w:r w:rsidRPr="005D7EFF" w:rsidR="0075253D">
        <w:t xml:space="preserve">Communication Service for the Deaf, the Hearing Loss Association of America, the National Association of the Deaf, and </w:t>
      </w:r>
      <w:r w:rsidRPr="005D7EFF" w:rsidR="0075253D">
        <w:t>TDIforAccess</w:t>
      </w:r>
      <w:r w:rsidRPr="005D7EFF" w:rsidR="0075253D">
        <w:t>, Inc</w:t>
      </w:r>
      <w:r w:rsidR="00BF7F67">
        <w:t xml:space="preserve"> (the Organizations)</w:t>
      </w:r>
      <w:r w:rsidRPr="005D7EFF" w:rsidR="0075253D">
        <w:t>.</w:t>
      </w:r>
      <w:r>
        <w:rPr>
          <w:rStyle w:val="FootnoteReference"/>
        </w:rPr>
        <w:footnoteReference w:id="3"/>
      </w:r>
      <w:r w:rsidRPr="005D7EFF" w:rsidR="005D7C7F">
        <w:t xml:space="preserve"> </w:t>
      </w:r>
    </w:p>
    <w:p w:rsidR="008D2BAB" w:rsidP="000F7F10" w14:paraId="21ACE34F" w14:textId="355D5202">
      <w:pPr>
        <w:spacing w:after="120"/>
        <w:ind w:firstLine="720"/>
      </w:pPr>
      <w:r w:rsidRPr="005D7EFF">
        <w:t>I</w:t>
      </w:r>
      <w:r w:rsidRPr="005D7EFF" w:rsidR="00A064D9">
        <w:t>n 2015</w:t>
      </w:r>
      <w:r w:rsidRPr="005D7EFF" w:rsidR="00AE0474">
        <w:t>,</w:t>
      </w:r>
      <w:r w:rsidRPr="005D7EFF" w:rsidR="00A064D9">
        <w:t xml:space="preserve"> </w:t>
      </w:r>
      <w:r w:rsidRPr="005D7EFF" w:rsidR="00095DC2">
        <w:t xml:space="preserve">the Commission </w:t>
      </w:r>
      <w:r w:rsidRPr="005D7EFF" w:rsidR="00DC6FF1">
        <w:t>proposed rules that would require manufacturers of covered apparatus and multichannel video programming distributors (MVPDs) to make closed captioning display settings readily accessible to individuals who are deaf and hard of hearing.</w:t>
      </w:r>
      <w:r>
        <w:rPr>
          <w:rStyle w:val="FootnoteReference"/>
        </w:rPr>
        <w:footnoteReference w:id="4"/>
      </w:r>
      <w:r w:rsidRPr="005D7EFF" w:rsidR="00DC6FF1">
        <w:t xml:space="preserve">  </w:t>
      </w:r>
      <w:r w:rsidRPr="005D7EFF" w:rsidR="00E129C1">
        <w:t xml:space="preserve">In January 2022, the Media Bureau released a Public Notice seeking to refresh the record on the proposals contained in the </w:t>
      </w:r>
      <w:r w:rsidRPr="005D7EFF" w:rsidR="00E129C1">
        <w:rPr>
          <w:i/>
          <w:iCs/>
        </w:rPr>
        <w:t>Second Further Notice</w:t>
      </w:r>
      <w:r w:rsidRPr="005D7EFF" w:rsidR="00E129C1">
        <w:t>.</w:t>
      </w:r>
      <w:r>
        <w:rPr>
          <w:rStyle w:val="FootnoteReference"/>
        </w:rPr>
        <w:footnoteReference w:id="5"/>
      </w:r>
      <w:r w:rsidRPr="005D7EFF" w:rsidR="00E129C1">
        <w:t xml:space="preserve">  </w:t>
      </w:r>
      <w:r w:rsidR="00321367">
        <w:t xml:space="preserve">In January 2023, the Media Bureau released a Public Notice seeking comment on </w:t>
      </w:r>
      <w:r w:rsidR="00B81564">
        <w:t xml:space="preserve">a proposal by a coalition of consumer groups that when the </w:t>
      </w:r>
      <w:r w:rsidRPr="00C56318" w:rsidR="00B81564">
        <w:t xml:space="preserve">Commission </w:t>
      </w:r>
      <w:r w:rsidRPr="00C56318" w:rsidR="0044756D">
        <w:t xml:space="preserve">determines if </w:t>
      </w:r>
      <w:r w:rsidRPr="00C56318" w:rsidR="00B81564">
        <w:t xml:space="preserve">specific closed captioning display settings are readily accessible, it should consider the following factors:  proximity, discoverability, </w:t>
      </w:r>
      <w:r w:rsidRPr="00C56318" w:rsidR="00B81564">
        <w:t>previewabil</w:t>
      </w:r>
      <w:r w:rsidR="0080280A">
        <w:t>i</w:t>
      </w:r>
      <w:r w:rsidRPr="00C56318" w:rsidR="00B81564">
        <w:t>ty</w:t>
      </w:r>
      <w:r w:rsidRPr="00C56318" w:rsidR="00B81564">
        <w:t>, and consistency and persistence.</w:t>
      </w:r>
      <w:r>
        <w:rPr>
          <w:rStyle w:val="FootnoteReference"/>
        </w:rPr>
        <w:footnoteReference w:id="6"/>
      </w:r>
      <w:r w:rsidRPr="00C56318" w:rsidR="00B81564">
        <w:t xml:space="preserve">  </w:t>
      </w:r>
      <w:r w:rsidRPr="00C56318" w:rsidR="0093179E">
        <w:t xml:space="preserve">Comments were due </w:t>
      </w:r>
      <w:r w:rsidRPr="00C56318" w:rsidR="00C56318">
        <w:t>March 3</w:t>
      </w:r>
      <w:r w:rsidRPr="00C56318" w:rsidR="0093179E">
        <w:t>, 202</w:t>
      </w:r>
      <w:r w:rsidRPr="00C56318" w:rsidR="00C56318">
        <w:t>3</w:t>
      </w:r>
      <w:r w:rsidRPr="00C56318" w:rsidR="0093179E">
        <w:t xml:space="preserve">, and reply comments were due March </w:t>
      </w:r>
      <w:r w:rsidRPr="00C56318" w:rsidR="00C56318">
        <w:t>20</w:t>
      </w:r>
      <w:r w:rsidRPr="00C56318" w:rsidR="0093179E">
        <w:t>, 202</w:t>
      </w:r>
      <w:r w:rsidRPr="00C56318" w:rsidR="00C56318">
        <w:t>3</w:t>
      </w:r>
      <w:r w:rsidRPr="00C56318" w:rsidR="0093179E">
        <w:t>.</w:t>
      </w:r>
      <w:r>
        <w:rPr>
          <w:rStyle w:val="FootnoteReference"/>
        </w:rPr>
        <w:footnoteReference w:id="7"/>
      </w:r>
      <w:r w:rsidRPr="00C56318">
        <w:t xml:space="preserve">  </w:t>
      </w:r>
      <w:r w:rsidR="00BF7F67">
        <w:t xml:space="preserve">The </w:t>
      </w:r>
      <w:r>
        <w:t xml:space="preserve">Joint Proposal states that the </w:t>
      </w:r>
      <w:r w:rsidR="00BF7F67">
        <w:t xml:space="preserve">Organizations subsequently worked together to develop </w:t>
      </w:r>
      <w:r w:rsidR="001D2732">
        <w:t>solutions to concerns raised in the record, and the result is the Joint Proposal</w:t>
      </w:r>
      <w:r w:rsidR="004B08CE">
        <w:t xml:space="preserve">.  </w:t>
      </w:r>
    </w:p>
    <w:p w:rsidR="0032736F" w:rsidP="000F7F10" w14:paraId="13B95D95" w14:textId="2C9F5313">
      <w:pPr>
        <w:spacing w:after="120"/>
        <w:ind w:firstLine="720"/>
      </w:pPr>
      <w:r>
        <w:t xml:space="preserve">Under the Joint Proposal, </w:t>
      </w:r>
      <w:r w:rsidR="00F71283">
        <w:t xml:space="preserve">all accessibility functions would be made available “in one area of the </w:t>
      </w:r>
      <w:r w:rsidR="00F71283">
        <w:t>settings . . . accessed via a means reasonably comparable to a button, key, or icon.”</w:t>
      </w:r>
      <w:r>
        <w:rPr>
          <w:rStyle w:val="FootnoteReference"/>
        </w:rPr>
        <w:footnoteReference w:id="8"/>
      </w:r>
      <w:r w:rsidR="00D34EC6">
        <w:t xml:space="preserve">  There would be consumer testing requirements “[f]or cable service and navigation devices used to access multichannel video programming that cable operators sell or lease</w:t>
      </w:r>
      <w:r w:rsidR="00A6758F">
        <w:t>,</w:t>
      </w:r>
      <w:r w:rsidR="00D34EC6">
        <w:t>”</w:t>
      </w:r>
      <w:r w:rsidR="00EF087D">
        <w:t xml:space="preserve"> as well as </w:t>
      </w:r>
      <w:r w:rsidR="00EF087D">
        <w:t>previewability</w:t>
      </w:r>
      <w:r w:rsidR="00EF087D">
        <w:t xml:space="preserve"> requirements for cable service.</w:t>
      </w:r>
      <w:r>
        <w:rPr>
          <w:rStyle w:val="FootnoteReference"/>
        </w:rPr>
        <w:footnoteReference w:id="9"/>
      </w:r>
      <w:r w:rsidR="00101414">
        <w:t xml:space="preserve">  </w:t>
      </w:r>
      <w:r w:rsidR="00876247">
        <w:t>For navigation devices, c</w:t>
      </w:r>
      <w:r w:rsidR="00DE66F2">
        <w:t xml:space="preserve">able operators would commit to making closed caption display settings available by an </w:t>
      </w:r>
      <w:r w:rsidR="005A330D">
        <w:t>application programming interface (API) that an over-the-top application provider could utilize</w:t>
      </w:r>
      <w:r w:rsidR="00DD54FA">
        <w:t>.</w:t>
      </w:r>
      <w:r>
        <w:rPr>
          <w:rStyle w:val="FootnoteReference"/>
        </w:rPr>
        <w:footnoteReference w:id="10"/>
      </w:r>
      <w:r w:rsidR="00752D09">
        <w:t xml:space="preserve">  For a cable operator’s own application on a third-party device, the operator would “respect the operating system-level closed caption settings of the host device upon launch of the app on the device, provided the host device makes those settings available to applications via an API or similar method.”</w:t>
      </w:r>
      <w:r>
        <w:rPr>
          <w:rStyle w:val="FootnoteReference"/>
        </w:rPr>
        <w:footnoteReference w:id="11"/>
      </w:r>
      <w:r w:rsidR="00CC1C91">
        <w:t xml:space="preserve">  Finally, cable operators would commit to certain training requirements for customer care and support employees.</w:t>
      </w:r>
      <w:r>
        <w:rPr>
          <w:rStyle w:val="FootnoteReference"/>
        </w:rPr>
        <w:footnoteReference w:id="12"/>
      </w:r>
      <w:r w:rsidR="006D340E">
        <w:t xml:space="preserve">  All of these proposals would be “subject to being achievable and technically feasible,” and they would apply “on a going-forward basis” </w:t>
      </w:r>
      <w:r w:rsidR="00D5398B">
        <w:t>and “after a reasonable implementation period.”</w:t>
      </w:r>
      <w:r>
        <w:rPr>
          <w:rStyle w:val="FootnoteReference"/>
        </w:rPr>
        <w:footnoteReference w:id="13"/>
      </w:r>
      <w:r w:rsidR="00D5398B">
        <w:t xml:space="preserve">  While the proposals were fr</w:t>
      </w:r>
      <w:r w:rsidR="00CF6B04">
        <w:t>a</w:t>
      </w:r>
      <w:r w:rsidR="00D5398B">
        <w:t>med in terms of NCTA’s cable operator members, the Organizations note that “the proposals could also serve as a model for other MVPDs and equipment manufacturers.”</w:t>
      </w:r>
      <w:r>
        <w:rPr>
          <w:rStyle w:val="FootnoteReference"/>
        </w:rPr>
        <w:footnoteReference w:id="14"/>
      </w:r>
    </w:p>
    <w:p w:rsidR="009F3426" w:rsidRPr="003512AA" w:rsidP="000C727C" w14:paraId="33804DBB" w14:textId="7C3CD714">
      <w:pPr>
        <w:spacing w:after="120"/>
        <w:ind w:firstLine="720"/>
      </w:pPr>
      <w:r w:rsidRPr="00D7465C">
        <w:t xml:space="preserve">We believe that the Commission would benefit from </w:t>
      </w:r>
      <w:r w:rsidRPr="00D7465C" w:rsidR="00B72511">
        <w:t>further comment</w:t>
      </w:r>
      <w:r w:rsidRPr="00D7465C">
        <w:t xml:space="preserve"> </w:t>
      </w:r>
      <w:r w:rsidRPr="00D7465C" w:rsidR="00D7465C">
        <w:t>on the Joint Proposal</w:t>
      </w:r>
      <w:r w:rsidRPr="00D7465C" w:rsidR="00B72511">
        <w:t>,</w:t>
      </w:r>
      <w:r w:rsidRPr="00D7465C">
        <w:t xml:space="preserve"> </w:t>
      </w:r>
      <w:r w:rsidRPr="00D7465C" w:rsidR="00A57C4F">
        <w:t xml:space="preserve">and </w:t>
      </w:r>
      <w:r w:rsidRPr="00D7465C">
        <w:t>accordingly,</w:t>
      </w:r>
      <w:r w:rsidRPr="00D7465C" w:rsidR="00B72511">
        <w:t xml:space="preserve"> this </w:t>
      </w:r>
      <w:r w:rsidRPr="00D7465C" w:rsidR="007A66A3">
        <w:t xml:space="preserve">Public Notice seeks </w:t>
      </w:r>
      <w:r w:rsidRPr="00D7465C" w:rsidR="00D7465C">
        <w:t xml:space="preserve">comment on whether the Commission should adopt the </w:t>
      </w:r>
      <w:r w:rsidR="003512AA">
        <w:t xml:space="preserve">proposed </w:t>
      </w:r>
      <w:r w:rsidRPr="00D7465C" w:rsidR="00D7465C">
        <w:t>requirements discussed therein</w:t>
      </w:r>
      <w:r w:rsidRPr="003512AA" w:rsidR="007A66A3">
        <w:t>.</w:t>
      </w:r>
      <w:r w:rsidRPr="003512AA" w:rsidR="003512AA">
        <w:t xml:space="preserve">  </w:t>
      </w:r>
      <w:r w:rsidRPr="003512AA">
        <w:t xml:space="preserve">Interested parties should </w:t>
      </w:r>
      <w:r w:rsidRPr="003512AA" w:rsidR="00B72511">
        <w:t>focus</w:t>
      </w:r>
      <w:r w:rsidRPr="003512AA">
        <w:t xml:space="preserve"> their comments </w:t>
      </w:r>
      <w:r w:rsidRPr="003512AA" w:rsidR="003C213F">
        <w:t>on</w:t>
      </w:r>
      <w:r w:rsidRPr="003512AA">
        <w:t xml:space="preserve"> the specific issue of whether</w:t>
      </w:r>
      <w:r w:rsidRPr="003512AA" w:rsidR="007C4A13">
        <w:t>, if the Commission adopts rules governing the accessibility of closed captioning display settings, it</w:t>
      </w:r>
      <w:r w:rsidRPr="003512AA">
        <w:t xml:space="preserve"> should </w:t>
      </w:r>
      <w:r w:rsidRPr="003512AA" w:rsidR="003512AA">
        <w:t>adopt the Organizations’ proposals</w:t>
      </w:r>
      <w:r w:rsidR="00EC5697">
        <w:t xml:space="preserve"> as rules</w:t>
      </w:r>
      <w:r w:rsidRPr="003512AA">
        <w:t xml:space="preserve">.  </w:t>
      </w:r>
      <w:r w:rsidR="00AA5913">
        <w:t>Although the Joint Proposal was focused on the cable context, s</w:t>
      </w:r>
      <w:r w:rsidR="0063443B">
        <w:t xml:space="preserve">hould the </w:t>
      </w:r>
      <w:r w:rsidR="008B25D0">
        <w:t xml:space="preserve">requirements set forth in the Joint Proposal apply </w:t>
      </w:r>
      <w:r w:rsidR="00AA5913">
        <w:t xml:space="preserve">broadly </w:t>
      </w:r>
      <w:r w:rsidR="008B25D0">
        <w:t xml:space="preserve">to the devices covered by section 303(u) of the </w:t>
      </w:r>
      <w:r w:rsidR="00726994">
        <w:t xml:space="preserve">Communications </w:t>
      </w:r>
      <w:r w:rsidR="008B25D0">
        <w:t>Act</w:t>
      </w:r>
      <w:r w:rsidR="00726994">
        <w:t xml:space="preserve"> of 1934, as amended</w:t>
      </w:r>
      <w:r w:rsidR="00B32F3B">
        <w:t>,</w:t>
      </w:r>
      <w:r>
        <w:rPr>
          <w:rStyle w:val="FootnoteReference"/>
        </w:rPr>
        <w:footnoteReference w:id="15"/>
      </w:r>
      <w:r w:rsidR="00B32F3B">
        <w:t xml:space="preserve"> a</w:t>
      </w:r>
      <w:r w:rsidR="00AA5913">
        <w:t>nd</w:t>
      </w:r>
      <w:r w:rsidR="00B32F3B">
        <w:t xml:space="preserve"> to</w:t>
      </w:r>
      <w:r w:rsidR="00AA5913">
        <w:t xml:space="preserve"> both manufacturers of covered apparatus and MVPDs?</w:t>
      </w:r>
      <w:r w:rsidR="00B32F3B">
        <w:t xml:space="preserve"> </w:t>
      </w:r>
      <w:r w:rsidR="000A6516">
        <w:t xml:space="preserve"> </w:t>
      </w:r>
      <w:r w:rsidRPr="000C727C" w:rsidR="007646B6">
        <w:t xml:space="preserve">Commenters should provide any other information relevant to the Commission’s determination of </w:t>
      </w:r>
      <w:r w:rsidRPr="000C727C" w:rsidR="000C727C">
        <w:t>whether and how to adopt the Joint Proposal.</w:t>
      </w:r>
    </w:p>
    <w:p w:rsidR="00272AC5" w:rsidRPr="000C727C" w:rsidP="00247723" w14:paraId="6901776F" w14:textId="3651855E">
      <w:pPr>
        <w:spacing w:after="120"/>
        <w:ind w:firstLine="720"/>
        <w:rPr>
          <w:rFonts w:eastAsia="Calibri"/>
          <w:snapToGrid/>
        </w:rPr>
      </w:pPr>
      <w:r w:rsidRPr="000C727C">
        <w:rPr>
          <w:rFonts w:eastAsia="Calibri"/>
          <w:i/>
          <w:iCs/>
          <w:snapToGrid/>
        </w:rPr>
        <w:t>Initial Regulatory Flexibility Analysis</w:t>
      </w:r>
      <w:r w:rsidRPr="000C727C">
        <w:rPr>
          <w:rFonts w:eastAsia="Calibri"/>
          <w:snapToGrid/>
        </w:rPr>
        <w:t xml:space="preserve">. </w:t>
      </w:r>
      <w:r w:rsidRPr="000C727C" w:rsidR="001F4685">
        <w:rPr>
          <w:rFonts w:eastAsia="Calibri"/>
          <w:snapToGrid/>
        </w:rPr>
        <w:t xml:space="preserve"> </w:t>
      </w:r>
      <w:r w:rsidRPr="000C727C">
        <w:rPr>
          <w:rFonts w:eastAsia="Calibri"/>
          <w:snapToGrid/>
        </w:rPr>
        <w:t xml:space="preserve">The </w:t>
      </w:r>
      <w:r w:rsidRPr="000C727C">
        <w:rPr>
          <w:rFonts w:eastAsia="Calibri"/>
          <w:i/>
          <w:iCs/>
          <w:snapToGrid/>
        </w:rPr>
        <w:t>Second Further Notice</w:t>
      </w:r>
      <w:r w:rsidRPr="000C727C">
        <w:rPr>
          <w:rFonts w:eastAsia="Calibri"/>
          <w:snapToGrid/>
        </w:rPr>
        <w:t xml:space="preserve"> included an Initial Regulatory Flexibility Analysis (IRFA) pursuant to 5 U.S.C. § 603, exploring the potential impact on small entities of the Commission’s proposals.</w:t>
      </w:r>
      <w:r>
        <w:rPr>
          <w:rStyle w:val="FootnoteReference"/>
          <w:rFonts w:eastAsia="Calibri"/>
          <w:snapToGrid/>
        </w:rPr>
        <w:footnoteReference w:id="16"/>
      </w:r>
      <w:r w:rsidRPr="000C727C">
        <w:rPr>
          <w:rFonts w:eastAsia="Calibri"/>
          <w:snapToGrid/>
        </w:rPr>
        <w:t xml:space="preserve">  We invite parties to file comments on the IRFA in light of this request for further comment.</w:t>
      </w:r>
      <w:r w:rsidRPr="000C727C" w:rsidR="006F40A5">
        <w:rPr>
          <w:rFonts w:eastAsia="Calibri"/>
          <w:snapToGrid/>
        </w:rPr>
        <w:t xml:space="preserve"> </w:t>
      </w:r>
    </w:p>
    <w:p w:rsidR="00247723" w:rsidRPr="000C727C" w:rsidP="00247723" w14:paraId="784FCA44" w14:textId="734D165F">
      <w:pPr>
        <w:spacing w:after="120"/>
        <w:ind w:firstLine="720"/>
        <w:rPr>
          <w:szCs w:val="18"/>
        </w:rPr>
      </w:pPr>
      <w:r w:rsidRPr="000C727C">
        <w:rPr>
          <w:rFonts w:eastAsia="Calibri"/>
          <w:i/>
          <w:iCs/>
          <w:snapToGrid/>
        </w:rPr>
        <w:t xml:space="preserve">Ex </w:t>
      </w:r>
      <w:r w:rsidRPr="000C727C">
        <w:rPr>
          <w:rFonts w:eastAsia="Calibri"/>
          <w:i/>
          <w:iCs/>
          <w:snapToGrid/>
        </w:rPr>
        <w:t>Parte</w:t>
      </w:r>
      <w:r w:rsidRPr="000C727C">
        <w:rPr>
          <w:rFonts w:eastAsia="Calibri"/>
          <w:i/>
          <w:iCs/>
          <w:snapToGrid/>
        </w:rPr>
        <w:t xml:space="preserve"> Rules</w:t>
      </w:r>
      <w:r w:rsidRPr="000C727C">
        <w:rPr>
          <w:rFonts w:eastAsia="Calibri"/>
          <w:snapToGrid/>
        </w:rPr>
        <w:t>.  Th</w:t>
      </w:r>
      <w:r w:rsidRPr="000C727C" w:rsidR="00F828CA">
        <w:rPr>
          <w:rFonts w:eastAsia="Calibri"/>
          <w:snapToGrid/>
        </w:rPr>
        <w:t>is</w:t>
      </w:r>
      <w:r w:rsidRPr="000C727C">
        <w:rPr>
          <w:rFonts w:eastAsia="Calibri"/>
          <w:snapToGrid/>
        </w:rPr>
        <w:t xml:space="preserve"> </w:t>
      </w:r>
      <w:r w:rsidRPr="000C727C" w:rsidR="003A1C7C">
        <w:rPr>
          <w:rFonts w:eastAsia="Calibri"/>
          <w:snapToGrid/>
        </w:rPr>
        <w:t xml:space="preserve">matter shall continue to be treated </w:t>
      </w:r>
      <w:r w:rsidRPr="000C727C">
        <w:rPr>
          <w:rFonts w:eastAsia="Calibri"/>
          <w:snapToGrid/>
        </w:rPr>
        <w:t xml:space="preserve">as a “permit-but-disclose” proceeding in accordance with the Commission’s </w:t>
      </w:r>
      <w:r w:rsidRPr="000C727C">
        <w:rPr>
          <w:rFonts w:eastAsia="Calibri"/>
          <w:i/>
          <w:iCs/>
          <w:snapToGrid/>
        </w:rPr>
        <w:t xml:space="preserve">ex </w:t>
      </w:r>
      <w:r w:rsidRPr="000C727C">
        <w:rPr>
          <w:rFonts w:eastAsia="Calibri"/>
          <w:i/>
          <w:iCs/>
          <w:snapToGrid/>
        </w:rPr>
        <w:t>parte</w:t>
      </w:r>
      <w:r w:rsidRPr="000C727C">
        <w:rPr>
          <w:rFonts w:eastAsia="Calibri"/>
          <w:i/>
          <w:iCs/>
          <w:snapToGrid/>
        </w:rPr>
        <w:t xml:space="preserve"> </w:t>
      </w:r>
      <w:r w:rsidRPr="000C727C">
        <w:rPr>
          <w:rFonts w:eastAsia="Calibri"/>
          <w:snapToGrid/>
        </w:rPr>
        <w:t>rules.</w:t>
      </w:r>
      <w:r>
        <w:rPr>
          <w:rFonts w:eastAsia="Calibri"/>
          <w:snapToGrid/>
          <w:vertAlign w:val="superscript"/>
        </w:rPr>
        <w:footnoteReference w:id="17"/>
      </w:r>
      <w:r w:rsidRPr="000C727C">
        <w:rPr>
          <w:rFonts w:eastAsia="Calibri"/>
          <w:snapToGrid/>
        </w:rPr>
        <w:t xml:space="preserve">  Persons making </w:t>
      </w:r>
      <w:r w:rsidRPr="000C727C">
        <w:rPr>
          <w:rFonts w:eastAsia="Calibri"/>
          <w:i/>
          <w:snapToGrid/>
        </w:rPr>
        <w:t xml:space="preserve">ex </w:t>
      </w:r>
      <w:r w:rsidRPr="000C727C">
        <w:rPr>
          <w:rFonts w:eastAsia="Calibri"/>
          <w:i/>
          <w:snapToGrid/>
        </w:rPr>
        <w:t>parte</w:t>
      </w:r>
      <w:r w:rsidRPr="000C727C">
        <w:rPr>
          <w:rFonts w:eastAsia="Calibri"/>
          <w:i/>
          <w:snapToGrid/>
        </w:rPr>
        <w:t xml:space="preserve"> </w:t>
      </w:r>
      <w:r w:rsidRPr="000C727C">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C727C">
        <w:rPr>
          <w:rFonts w:eastAsia="Calibri"/>
          <w:i/>
          <w:iCs/>
          <w:snapToGrid/>
        </w:rPr>
        <w:t xml:space="preserve">ex </w:t>
      </w:r>
      <w:r w:rsidRPr="000C727C">
        <w:rPr>
          <w:rFonts w:eastAsia="Calibri"/>
          <w:i/>
          <w:iCs/>
          <w:snapToGrid/>
        </w:rPr>
        <w:t>parte</w:t>
      </w:r>
      <w:r w:rsidRPr="000C727C">
        <w:rPr>
          <w:rFonts w:eastAsia="Calibri"/>
          <w:i/>
          <w:iCs/>
          <w:snapToGrid/>
        </w:rPr>
        <w:t xml:space="preserve"> </w:t>
      </w:r>
      <w:r w:rsidRPr="000C727C">
        <w:rPr>
          <w:rFonts w:eastAsia="Calibri"/>
          <w:snapToGrid/>
        </w:rPr>
        <w:t xml:space="preserve">presentations are reminded that memoranda summarizing the presentation must (1) list all persons attending or otherwise participating in the meeting at which the </w:t>
      </w:r>
      <w:r w:rsidRPr="000C727C">
        <w:rPr>
          <w:rFonts w:eastAsia="Calibri"/>
          <w:i/>
          <w:iCs/>
          <w:snapToGrid/>
        </w:rPr>
        <w:t xml:space="preserve">ex </w:t>
      </w:r>
      <w:r w:rsidRPr="000C727C">
        <w:rPr>
          <w:rFonts w:eastAsia="Calibri"/>
          <w:i/>
          <w:iCs/>
          <w:snapToGrid/>
        </w:rPr>
        <w:t>parte</w:t>
      </w:r>
      <w:r w:rsidRPr="000C727C">
        <w:rPr>
          <w:rFonts w:eastAsia="Calibri"/>
          <w:i/>
          <w:iCs/>
          <w:snapToGrid/>
        </w:rPr>
        <w:t xml:space="preserve"> </w:t>
      </w:r>
      <w:r w:rsidRPr="000C727C">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w:t>
      </w:r>
      <w:r w:rsidRPr="000C727C">
        <w:rPr>
          <w:rFonts w:eastAsia="Calibri"/>
          <w:snapToGrid/>
        </w:rPr>
        <w:t xml:space="preserve">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C727C">
        <w:rPr>
          <w:rFonts w:eastAsia="Calibri"/>
          <w:i/>
          <w:iCs/>
          <w:snapToGrid/>
        </w:rPr>
        <w:t xml:space="preserve">ex </w:t>
      </w:r>
      <w:r w:rsidRPr="000C727C">
        <w:rPr>
          <w:rFonts w:eastAsia="Calibri"/>
          <w:i/>
          <w:iCs/>
          <w:snapToGrid/>
        </w:rPr>
        <w:t>parte</w:t>
      </w:r>
      <w:r w:rsidRPr="000C727C">
        <w:rPr>
          <w:rFonts w:eastAsia="Calibri"/>
          <w:i/>
          <w:iCs/>
          <w:snapToGrid/>
        </w:rPr>
        <w:t xml:space="preserve"> </w:t>
      </w:r>
      <w:r w:rsidRPr="000C727C">
        <w:rPr>
          <w:rFonts w:eastAsia="Calibri"/>
          <w:snapToGrid/>
        </w:rPr>
        <w:t xml:space="preserve">meetings are deemed to be written </w:t>
      </w:r>
      <w:r w:rsidRPr="000C727C">
        <w:rPr>
          <w:rFonts w:eastAsia="Calibri"/>
          <w:i/>
          <w:iCs/>
          <w:snapToGrid/>
        </w:rPr>
        <w:t xml:space="preserve">ex </w:t>
      </w:r>
      <w:r w:rsidRPr="000C727C">
        <w:rPr>
          <w:rFonts w:eastAsia="Calibri"/>
          <w:i/>
          <w:iCs/>
          <w:snapToGrid/>
        </w:rPr>
        <w:t>parte</w:t>
      </w:r>
      <w:r w:rsidRPr="000C727C">
        <w:rPr>
          <w:rFonts w:eastAsia="Calibri"/>
          <w:snapToGrid/>
        </w:rPr>
        <w:t xml:space="preserve"> presentations and must be filed consistent with rule 1.1206(b).  In proceedings governed by rule 1.49(f) or for which the Commission has made available a method of electronic filing, written </w:t>
      </w:r>
      <w:r w:rsidRPr="000C727C">
        <w:rPr>
          <w:rFonts w:eastAsia="Calibri"/>
          <w:i/>
          <w:iCs/>
          <w:snapToGrid/>
        </w:rPr>
        <w:t xml:space="preserve">ex </w:t>
      </w:r>
      <w:r w:rsidRPr="000C727C">
        <w:rPr>
          <w:rFonts w:eastAsia="Calibri"/>
          <w:i/>
          <w:iCs/>
          <w:snapToGrid/>
        </w:rPr>
        <w:t>parte</w:t>
      </w:r>
      <w:r w:rsidRPr="000C727C">
        <w:rPr>
          <w:rFonts w:eastAsia="Calibri"/>
          <w:i/>
          <w:iCs/>
          <w:snapToGrid/>
        </w:rPr>
        <w:t xml:space="preserve"> </w:t>
      </w:r>
      <w:r w:rsidRPr="000C727C">
        <w:rPr>
          <w:rFonts w:eastAsia="Calibri"/>
          <w:snapToGrid/>
        </w:rPr>
        <w:t xml:space="preserve">presentations and memoranda summarizing oral </w:t>
      </w:r>
      <w:r w:rsidRPr="000C727C">
        <w:rPr>
          <w:rFonts w:eastAsia="Calibri"/>
          <w:i/>
          <w:iCs/>
          <w:snapToGrid/>
        </w:rPr>
        <w:t xml:space="preserve">ex </w:t>
      </w:r>
      <w:r w:rsidRPr="000C727C">
        <w:rPr>
          <w:rFonts w:eastAsia="Calibri"/>
          <w:i/>
          <w:iCs/>
          <w:snapToGrid/>
        </w:rPr>
        <w:t>parte</w:t>
      </w:r>
      <w:r w:rsidRPr="000C727C">
        <w:rPr>
          <w:rFonts w:eastAsia="Calibri"/>
          <w:i/>
          <w:iCs/>
          <w:snapToGrid/>
        </w:rPr>
        <w:t xml:space="preserve"> </w:t>
      </w:r>
      <w:r w:rsidRPr="000C727C">
        <w:rPr>
          <w:rFonts w:eastAsia="Calibri"/>
          <w:snapToGrid/>
        </w:rPr>
        <w:t>presentations, and all attachments thereto, must be filed through the electronic comment filing system available for that proceeding, and must be filed in their native format (</w:t>
      </w:r>
      <w:r w:rsidRPr="000C727C">
        <w:rPr>
          <w:rFonts w:eastAsia="Calibri"/>
          <w:i/>
          <w:iCs/>
          <w:snapToGrid/>
        </w:rPr>
        <w:t>e.g.</w:t>
      </w:r>
      <w:r w:rsidRPr="000C727C">
        <w:rPr>
          <w:rFonts w:eastAsia="Calibri"/>
          <w:snapToGrid/>
        </w:rPr>
        <w:t xml:space="preserve">, .doc, .xml, .ppt, searchable .pdf).  Participants in this proceeding should familiarize themselves with the Commission’s </w:t>
      </w:r>
      <w:r w:rsidRPr="000C727C">
        <w:rPr>
          <w:rFonts w:eastAsia="Calibri"/>
          <w:i/>
          <w:iCs/>
          <w:snapToGrid/>
        </w:rPr>
        <w:t xml:space="preserve">ex </w:t>
      </w:r>
      <w:r w:rsidRPr="000C727C">
        <w:rPr>
          <w:rFonts w:eastAsia="Calibri"/>
          <w:i/>
          <w:iCs/>
          <w:snapToGrid/>
        </w:rPr>
        <w:t>parte</w:t>
      </w:r>
      <w:r w:rsidRPr="000C727C">
        <w:rPr>
          <w:rFonts w:eastAsia="Calibri"/>
          <w:i/>
          <w:iCs/>
          <w:snapToGrid/>
        </w:rPr>
        <w:t xml:space="preserve"> </w:t>
      </w:r>
      <w:r w:rsidRPr="000C727C">
        <w:rPr>
          <w:rFonts w:eastAsia="Calibri"/>
          <w:snapToGrid/>
        </w:rPr>
        <w:t>rules.</w:t>
      </w:r>
    </w:p>
    <w:p w:rsidR="00247723" w:rsidRPr="00016512" w:rsidP="00247723" w14:paraId="280F96F4" w14:textId="77777777">
      <w:pPr>
        <w:spacing w:after="120"/>
        <w:ind w:firstLine="720"/>
        <w:rPr>
          <w:szCs w:val="18"/>
        </w:rPr>
      </w:pPr>
      <w:r w:rsidRPr="00016512">
        <w:rPr>
          <w:i/>
          <w:iCs/>
          <w:szCs w:val="18"/>
        </w:rPr>
        <w:t>Filing Requirements</w:t>
      </w:r>
      <w:r w:rsidRPr="00016512">
        <w:rPr>
          <w:szCs w:val="18"/>
        </w:rPr>
        <w:t xml:space="preserve">.  All filings responsive to this Public Notice must reference </w:t>
      </w:r>
      <w:r w:rsidRPr="00016512" w:rsidR="004D3CFE">
        <w:rPr>
          <w:szCs w:val="18"/>
        </w:rPr>
        <w:t>MB</w:t>
      </w:r>
      <w:r w:rsidRPr="00016512">
        <w:rPr>
          <w:szCs w:val="18"/>
        </w:rPr>
        <w:t xml:space="preserve"> Docket No. </w:t>
      </w:r>
      <w:r w:rsidRPr="00016512" w:rsidR="004D3CFE">
        <w:rPr>
          <w:szCs w:val="18"/>
        </w:rPr>
        <w:t>12-108.</w:t>
      </w:r>
      <w:r w:rsidRPr="00016512">
        <w:rPr>
          <w:szCs w:val="18"/>
        </w:rPr>
        <w:t xml:space="preserve">  </w:t>
      </w:r>
      <w:r w:rsidRPr="00016512">
        <w:rPr>
          <w:rFonts w:eastAsia="Calibri"/>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16512">
        <w:rPr>
          <w:rFonts w:eastAsia="Calibri"/>
          <w:i/>
          <w:snapToGrid/>
        </w:rPr>
        <w:t>See Electronic Filing of Documents in Rulemaking Proceedings</w:t>
      </w:r>
      <w:r w:rsidRPr="00016512">
        <w:rPr>
          <w:rFonts w:eastAsia="Calibri"/>
          <w:snapToGrid/>
        </w:rPr>
        <w:t>, 63 FR 24121 (1998).</w:t>
      </w:r>
    </w:p>
    <w:p w:rsidR="00247723" w:rsidRPr="00016512" w:rsidP="00247723" w14:paraId="791ED90B" w14:textId="77777777">
      <w:pPr>
        <w:numPr>
          <w:ilvl w:val="0"/>
          <w:numId w:val="7"/>
        </w:numPr>
        <w:spacing w:after="120"/>
        <w:rPr>
          <w:szCs w:val="18"/>
        </w:rPr>
      </w:pPr>
      <w:r w:rsidRPr="00016512">
        <w:rPr>
          <w:szCs w:val="18"/>
        </w:rPr>
        <w:t xml:space="preserve">Electronic Filers:  Comments may be filed electronically using the Internet by accessing the ECFS:  http://apps.fcc.gov/ecfs/.  </w:t>
      </w:r>
    </w:p>
    <w:p w:rsidR="00247723" w:rsidRPr="00016512" w:rsidP="00247723" w14:paraId="2F7962FF" w14:textId="77777777">
      <w:pPr>
        <w:numPr>
          <w:ilvl w:val="0"/>
          <w:numId w:val="7"/>
        </w:numPr>
        <w:spacing w:after="120"/>
        <w:rPr>
          <w:szCs w:val="18"/>
        </w:rPr>
      </w:pPr>
      <w:r w:rsidRPr="00016512">
        <w:rPr>
          <w:szCs w:val="18"/>
        </w:rPr>
        <w:t xml:space="preserve">Paper Filers:  Parties who choose to file by paper must file an original and one copy of each filing. </w:t>
      </w:r>
    </w:p>
    <w:p w:rsidR="00247723" w:rsidRPr="00016512" w:rsidP="009B528A" w14:paraId="5ED7AEF8" w14:textId="77777777">
      <w:pPr>
        <w:widowControl/>
        <w:numPr>
          <w:ilvl w:val="0"/>
          <w:numId w:val="7"/>
        </w:numPr>
        <w:spacing w:after="120"/>
        <w:rPr>
          <w:szCs w:val="18"/>
        </w:rPr>
      </w:pPr>
      <w:r w:rsidRPr="00016512">
        <w:rPr>
          <w:szCs w:val="18"/>
        </w:rPr>
        <w:t>Filings can be sent by commercial overnight courier, or by first-class or overnight U.S. Postal Service mail.  All filings must be addressed to the Commission’s Secretary, Office of the Secretary, Federal Communications Commission.</w:t>
      </w:r>
    </w:p>
    <w:p w:rsidR="00247723" w:rsidRPr="00016512" w:rsidP="00FE34E8" w14:paraId="1360543C" w14:textId="77777777">
      <w:pPr>
        <w:widowControl/>
        <w:numPr>
          <w:ilvl w:val="1"/>
          <w:numId w:val="7"/>
        </w:numPr>
        <w:spacing w:after="120"/>
        <w:rPr>
          <w:szCs w:val="18"/>
        </w:rPr>
      </w:pPr>
      <w:r w:rsidRPr="00016512">
        <w:rPr>
          <w:szCs w:val="18"/>
        </w:rPr>
        <w:t>Commercial overnight mail (other than U.S. Postal Service Express Mail and Priority Mail) must be sent to 9050 Junction Drive, Annapolis Junction, MD  20701.</w:t>
      </w:r>
      <w:r w:rsidRPr="00016512" w:rsidR="004D3CFE">
        <w:rPr>
          <w:szCs w:val="18"/>
        </w:rPr>
        <w:t xml:space="preserve">  </w:t>
      </w:r>
      <w:r w:rsidRPr="00016512">
        <w:rPr>
          <w:szCs w:val="18"/>
        </w:rPr>
        <w:t>U.S. Postal Service first-class, Express, and Priority mail must be addressed to 45 L Street, NE, Washington, DC 20554.</w:t>
      </w:r>
    </w:p>
    <w:p w:rsidR="00247723" w:rsidRPr="00016512" w:rsidP="004D3CFE" w14:paraId="718C4A1A" w14:textId="77777777">
      <w:pPr>
        <w:numPr>
          <w:ilvl w:val="0"/>
          <w:numId w:val="7"/>
        </w:numPr>
        <w:spacing w:after="120"/>
        <w:rPr>
          <w:szCs w:val="18"/>
        </w:rPr>
      </w:pPr>
      <w:r w:rsidRPr="00016512">
        <w:rPr>
          <w:szCs w:val="18"/>
        </w:rPr>
        <w:t>Effective March 19, 2020, and until further notice, the Commission no longer accepts any hand or messenger delivered filings.  This is a temporary measure taken to help protect the health and safety of individuals, and to mitigate the transmission of COVID-19.</w:t>
      </w:r>
      <w:r w:rsidRPr="00016512" w:rsidR="004D3CFE">
        <w:rPr>
          <w:szCs w:val="18"/>
        </w:rPr>
        <w:t xml:space="preserve">  See FCC Announces Closure of FCC Headquarters Open Window and Change in Hand-Delivery Policy, Public Notice, DA 20-304 (March 19, 2020).  </w:t>
      </w:r>
    </w:p>
    <w:p w:rsidR="00247723" w:rsidRPr="00016512" w:rsidP="00247723" w14:paraId="2E03AC26" w14:textId="77777777">
      <w:pPr>
        <w:spacing w:after="120"/>
        <w:ind w:firstLine="720"/>
        <w:rPr>
          <w:szCs w:val="18"/>
        </w:rPr>
      </w:pPr>
      <w:r w:rsidRPr="00016512">
        <w:rPr>
          <w:i/>
          <w:iCs/>
          <w:szCs w:val="18"/>
        </w:rPr>
        <w:t>People with Disabilities</w:t>
      </w:r>
      <w:r w:rsidRPr="00016512">
        <w:rPr>
          <w:szCs w:val="18"/>
        </w:rPr>
        <w:t xml:space="preserve">.  To request materials in accessible formats for people with disabilities (braille, large print, electronic files, audio format), send an e-mail to </w:t>
      </w:r>
      <w:hyperlink r:id="rId5" w:history="1">
        <w:r w:rsidRPr="00016512">
          <w:rPr>
            <w:rStyle w:val="Hyperlink"/>
            <w:szCs w:val="18"/>
          </w:rPr>
          <w:t>fcc504@fcc.gov</w:t>
        </w:r>
      </w:hyperlink>
      <w:r w:rsidRPr="00016512">
        <w:rPr>
          <w:szCs w:val="18"/>
        </w:rPr>
        <w:t xml:space="preserve"> or call the FCC’s Consumer and Governmental Affairs Bureau at (202) 418-0530 (voice).</w:t>
      </w:r>
    </w:p>
    <w:p w:rsidR="00247723" w:rsidRPr="00016512" w:rsidP="00247723" w14:paraId="5DF00C70" w14:textId="77777777">
      <w:pPr>
        <w:spacing w:after="120"/>
        <w:ind w:firstLine="720"/>
        <w:rPr>
          <w:szCs w:val="18"/>
        </w:rPr>
      </w:pPr>
      <w:r w:rsidRPr="00016512">
        <w:rPr>
          <w:i/>
          <w:iCs/>
          <w:szCs w:val="18"/>
        </w:rPr>
        <w:t>Availability of Documents</w:t>
      </w:r>
      <w:r w:rsidRPr="00016512">
        <w:rPr>
          <w:szCs w:val="18"/>
        </w:rPr>
        <w:t xml:space="preserve">.  Comments, reply comments, and </w:t>
      </w:r>
      <w:r w:rsidRPr="00016512">
        <w:rPr>
          <w:i/>
          <w:iCs/>
          <w:szCs w:val="18"/>
        </w:rPr>
        <w:t xml:space="preserve">ex </w:t>
      </w:r>
      <w:r w:rsidRPr="00016512">
        <w:rPr>
          <w:i/>
          <w:iCs/>
          <w:szCs w:val="18"/>
        </w:rPr>
        <w:t>parte</w:t>
      </w:r>
      <w:r w:rsidRPr="00016512">
        <w:rPr>
          <w:szCs w:val="18"/>
        </w:rPr>
        <w:t xml:space="preserve"> submissions will be available via ECFS.  Documents will be available electronically in ASCII, Microsoft Word, and/or Adobe Acrobat.</w:t>
      </w:r>
    </w:p>
    <w:p w:rsidR="00247723" w:rsidRPr="00016512" w:rsidP="00247723" w14:paraId="5D1A0E56" w14:textId="74093A82">
      <w:pPr>
        <w:spacing w:after="120"/>
        <w:ind w:firstLine="720"/>
        <w:rPr>
          <w:szCs w:val="18"/>
        </w:rPr>
      </w:pPr>
      <w:r w:rsidRPr="00016512">
        <w:rPr>
          <w:i/>
          <w:iCs/>
          <w:szCs w:val="18"/>
        </w:rPr>
        <w:t>Additional Information</w:t>
      </w:r>
      <w:r w:rsidRPr="00016512">
        <w:rPr>
          <w:szCs w:val="18"/>
        </w:rPr>
        <w:t xml:space="preserve">.  For additional information, contact </w:t>
      </w:r>
      <w:r w:rsidRPr="00016512">
        <w:t>Diana Sokolow</w:t>
      </w:r>
      <w:r w:rsidRPr="00016512" w:rsidR="00734749">
        <w:t xml:space="preserve">, </w:t>
      </w:r>
      <w:r w:rsidRPr="00016512">
        <w:t>Diana</w:t>
      </w:r>
      <w:r w:rsidRPr="00016512" w:rsidR="00734749">
        <w:t>.S</w:t>
      </w:r>
      <w:r w:rsidRPr="00016512">
        <w:t>okolow</w:t>
      </w:r>
      <w:r w:rsidRPr="00016512" w:rsidR="00734749">
        <w:t>@fcc.gov,</w:t>
      </w:r>
      <w:r w:rsidRPr="00016512">
        <w:rPr>
          <w:szCs w:val="18"/>
        </w:rPr>
        <w:t xml:space="preserve"> of the Media Bureau, Policy Division, (202) 418-2120</w:t>
      </w:r>
      <w:r w:rsidRPr="00016512" w:rsidR="00734749">
        <w:rPr>
          <w:szCs w:val="18"/>
        </w:rPr>
        <w:t>.</w:t>
      </w:r>
    </w:p>
    <w:p w:rsidR="00247723" w:rsidP="00247723" w14:paraId="4BA4D76D" w14:textId="77777777">
      <w:pPr>
        <w:spacing w:after="120"/>
        <w:jc w:val="center"/>
        <w:rPr>
          <w:szCs w:val="18"/>
        </w:rPr>
      </w:pPr>
      <w:r w:rsidRPr="00016512">
        <w:rPr>
          <w:szCs w:val="18"/>
        </w:rPr>
        <w:t>-FCC-</w:t>
      </w:r>
    </w:p>
    <w:p w:rsidR="00247723" w14:paraId="0DE956CE" w14:textId="77777777">
      <w:pPr>
        <w:rPr>
          <w:bCs/>
          <w:sz w:val="24"/>
        </w:rPr>
      </w:pP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55B41CF5" w14:textId="77777777">
    <w:pPr>
      <w:pStyle w:val="Footer"/>
      <w:framePr w:wrap="around" w:vAnchor="text" w:hAnchor="margin" w:xAlign="center" w:y="1"/>
    </w:pPr>
    <w:r>
      <w:fldChar w:fldCharType="begin"/>
    </w:r>
    <w:r>
      <w:instrText xml:space="preserve">PAGE  </w:instrText>
    </w:r>
    <w:r w:rsidR="003C6656">
      <w:fldChar w:fldCharType="separate"/>
    </w:r>
    <w:r>
      <w:fldChar w:fldCharType="end"/>
    </w:r>
  </w:p>
  <w:p w:rsidR="003A0DD8" w14:paraId="79C7C3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365609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372B6DD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2087" w14:paraId="205B4966" w14:textId="77777777">
      <w:r>
        <w:separator/>
      </w:r>
    </w:p>
  </w:footnote>
  <w:footnote w:type="continuationSeparator" w:id="1">
    <w:p w:rsidR="00A42087" w14:paraId="61E891AF" w14:textId="77777777">
      <w:pPr>
        <w:rPr>
          <w:sz w:val="20"/>
        </w:rPr>
      </w:pPr>
      <w:r>
        <w:rPr>
          <w:sz w:val="20"/>
        </w:rPr>
        <w:t xml:space="preserve">(Continued from previous page)  </w:t>
      </w:r>
      <w:r>
        <w:rPr>
          <w:sz w:val="20"/>
        </w:rPr>
        <w:separator/>
      </w:r>
    </w:p>
  </w:footnote>
  <w:footnote w:type="continuationNotice" w:id="2">
    <w:p w:rsidR="00A42087" w14:paraId="0B0EA2E9" w14:textId="77777777">
      <w:pPr>
        <w:jc w:val="right"/>
        <w:rPr>
          <w:sz w:val="20"/>
        </w:rPr>
      </w:pPr>
      <w:r>
        <w:rPr>
          <w:sz w:val="20"/>
        </w:rPr>
        <w:t>(continued….)</w:t>
      </w:r>
    </w:p>
  </w:footnote>
  <w:footnote w:id="3">
    <w:p w:rsidR="00FE021F" w:rsidRPr="00FE021F" w14:paraId="4644DE73" w14:textId="740FD31D">
      <w:pPr>
        <w:pStyle w:val="FootnoteText"/>
      </w:pPr>
      <w:r>
        <w:rPr>
          <w:rStyle w:val="FootnoteReference"/>
        </w:rPr>
        <w:footnoteRef/>
      </w:r>
      <w:r>
        <w:t xml:space="preserve"> Letter from NCTA </w:t>
      </w:r>
      <w:r>
        <w:rPr>
          <w:i/>
          <w:iCs/>
        </w:rPr>
        <w:t xml:space="preserve">et al. </w:t>
      </w:r>
      <w:r w:rsidR="00824159">
        <w:t>to Marlene H. Dortch, Secretary, FCC</w:t>
      </w:r>
      <w:r w:rsidR="00D3755D">
        <w:t>, MB Docket No. 12-108</w:t>
      </w:r>
      <w:r w:rsidR="00116BF9">
        <w:t xml:space="preserve"> (</w:t>
      </w:r>
      <w:r w:rsidR="00D3755D">
        <w:t>Mar. 14, 2024)</w:t>
      </w:r>
      <w:r w:rsidR="005D7EFF">
        <w:t xml:space="preserve"> (Joint Proposal)</w:t>
      </w:r>
      <w:r w:rsidR="00D3755D">
        <w:t>.</w:t>
      </w:r>
    </w:p>
  </w:footnote>
  <w:footnote w:id="4">
    <w:p w:rsidR="00C46C01" w:rsidRPr="005D7EFF" w14:paraId="150FADFB" w14:textId="79636E38">
      <w:pPr>
        <w:pStyle w:val="FootnoteText"/>
      </w:pPr>
      <w:r w:rsidRPr="005D7EFF">
        <w:rPr>
          <w:rStyle w:val="FootnoteReference"/>
        </w:rPr>
        <w:footnoteRef/>
      </w:r>
      <w:r w:rsidRPr="005D7EFF">
        <w:t xml:space="preserve"> </w:t>
      </w:r>
      <w:r w:rsidRPr="005D7EFF" w:rsidR="005D7C7F">
        <w:rPr>
          <w:i/>
        </w:rPr>
        <w:t>Accessibility of User Interfaces, and Video Programming Guides and Menus</w:t>
      </w:r>
      <w:r w:rsidRPr="005D7EFF" w:rsidR="005D7C7F">
        <w:t xml:space="preserve">, Second Report and Order, Order on Reconsideration, and Second Further Notice of Proposed Rulemaking, 30 FCC </w:t>
      </w:r>
      <w:r w:rsidRPr="005D7EFF" w:rsidR="005D7C7F">
        <w:t>Rcd</w:t>
      </w:r>
      <w:r w:rsidRPr="005D7EFF" w:rsidR="005D7C7F">
        <w:t xml:space="preserve"> 13914, 13932-35, paras. 33-40 (2015) (</w:t>
      </w:r>
      <w:r w:rsidRPr="005D7EFF" w:rsidR="005D7C7F">
        <w:rPr>
          <w:i/>
        </w:rPr>
        <w:t>Second Further Notice</w:t>
      </w:r>
      <w:r w:rsidRPr="005D7EFF" w:rsidR="005D7C7F">
        <w:t>).</w:t>
      </w:r>
    </w:p>
  </w:footnote>
  <w:footnote w:id="5">
    <w:p w:rsidR="00E129C1" w:rsidRPr="001E6A32" w14:paraId="5267CDC0" w14:textId="310C9320">
      <w:pPr>
        <w:pStyle w:val="FootnoteText"/>
      </w:pPr>
      <w:r w:rsidRPr="001E6A32">
        <w:rPr>
          <w:rStyle w:val="FootnoteReference"/>
        </w:rPr>
        <w:footnoteRef/>
      </w:r>
      <w:r w:rsidRPr="001E6A32">
        <w:t xml:space="preserve"> </w:t>
      </w:r>
      <w:r w:rsidRPr="001E6A32">
        <w:rPr>
          <w:i/>
          <w:iCs/>
        </w:rPr>
        <w:t>See Media Bureau Seeks to Refresh the Record on Accessibility Rules for Closed Captioning Display Settings Under the Television Decoder Circuitry Act</w:t>
      </w:r>
      <w:r w:rsidRPr="001E6A32">
        <w:t xml:space="preserve">, </w:t>
      </w:r>
      <w:r w:rsidR="00F32236">
        <w:t xml:space="preserve">Public Notice, </w:t>
      </w:r>
      <w:r w:rsidRPr="001E6A32">
        <w:t xml:space="preserve">MB Docket No. 12-108, </w:t>
      </w:r>
      <w:r w:rsidRPr="001E6A32" w:rsidR="001E6A32">
        <w:t xml:space="preserve">37 FCC </w:t>
      </w:r>
      <w:r w:rsidRPr="001E6A32" w:rsidR="001E6A32">
        <w:t>Rcd</w:t>
      </w:r>
      <w:r w:rsidRPr="001E6A32" w:rsidR="001E6A32">
        <w:t xml:space="preserve"> 95</w:t>
      </w:r>
      <w:r w:rsidRPr="001E6A32">
        <w:t xml:space="preserve"> (Jan. 10, 2022) (</w:t>
      </w:r>
      <w:r w:rsidRPr="0044756D" w:rsidR="0044756D">
        <w:rPr>
          <w:i/>
          <w:iCs/>
        </w:rPr>
        <w:t>2022</w:t>
      </w:r>
      <w:r w:rsidR="0044756D">
        <w:t xml:space="preserve"> </w:t>
      </w:r>
      <w:r w:rsidRPr="001E6A32">
        <w:rPr>
          <w:i/>
          <w:iCs/>
        </w:rPr>
        <w:t>Closed Captioning Display Settings PN</w:t>
      </w:r>
      <w:r w:rsidRPr="001E6A32">
        <w:t>).</w:t>
      </w:r>
    </w:p>
  </w:footnote>
  <w:footnote w:id="6">
    <w:p w:rsidR="0044756D" w:rsidRPr="00B93ED8" w14:paraId="62319463" w14:textId="23F4A0C0">
      <w:pPr>
        <w:pStyle w:val="FootnoteText"/>
      </w:pPr>
      <w:r>
        <w:rPr>
          <w:rStyle w:val="FootnoteReference"/>
        </w:rPr>
        <w:footnoteRef/>
      </w:r>
      <w:r>
        <w:t xml:space="preserve"> </w:t>
      </w:r>
      <w:r w:rsidR="00B93ED8">
        <w:rPr>
          <w:i/>
          <w:iCs/>
        </w:rPr>
        <w:t>See Media Bureau Seeks Comment on Closed Captioning Display Settings Proposal</w:t>
      </w:r>
      <w:r w:rsidR="00B93ED8">
        <w:t xml:space="preserve">, </w:t>
      </w:r>
      <w:r w:rsidR="00F32236">
        <w:t xml:space="preserve">Public Notice, </w:t>
      </w:r>
      <w:r w:rsidR="00B93ED8">
        <w:t xml:space="preserve">MB Docket No. 12-108, 38 FCC </w:t>
      </w:r>
      <w:r w:rsidR="00B93ED8">
        <w:t>Rcd</w:t>
      </w:r>
      <w:r w:rsidR="00B93ED8">
        <w:t xml:space="preserve"> 429 (</w:t>
      </w:r>
      <w:r w:rsidR="00EE1DCA">
        <w:t>Jan. 24, 2023) (</w:t>
      </w:r>
      <w:r w:rsidR="00EE1DCA">
        <w:rPr>
          <w:i/>
          <w:iCs/>
        </w:rPr>
        <w:t>2023 Closed Captioning Display Settings PN</w:t>
      </w:r>
      <w:r w:rsidR="00EE1DCA">
        <w:t>).</w:t>
      </w:r>
    </w:p>
  </w:footnote>
  <w:footnote w:id="7">
    <w:p w:rsidR="0093179E" w:rsidRPr="00FC7794" w:rsidP="0093179E" w14:paraId="21EE351F" w14:textId="7681FE31">
      <w:pPr>
        <w:pStyle w:val="FootnoteText"/>
      </w:pPr>
      <w:r w:rsidRPr="00FC7794">
        <w:rPr>
          <w:rStyle w:val="FootnoteReference"/>
        </w:rPr>
        <w:footnoteRef/>
      </w:r>
      <w:r w:rsidRPr="00FC7794">
        <w:t xml:space="preserve"> </w:t>
      </w:r>
      <w:r w:rsidRPr="00FC7794">
        <w:rPr>
          <w:i/>
          <w:iCs/>
        </w:rPr>
        <w:t>See Announcement of Comment and Reply Comment Dates for Closed Captioning Display Settings Public Notice</w:t>
      </w:r>
      <w:r w:rsidRPr="00FC7794">
        <w:t xml:space="preserve">, </w:t>
      </w:r>
      <w:r w:rsidRPr="00FC7794" w:rsidR="00FC7794">
        <w:t xml:space="preserve">Public Notice, </w:t>
      </w:r>
      <w:r w:rsidRPr="00FC7794">
        <w:t xml:space="preserve">MB Docket No. 12-108, </w:t>
      </w:r>
      <w:r w:rsidRPr="00FC7794" w:rsidR="00FC7794">
        <w:t xml:space="preserve">38 FCC </w:t>
      </w:r>
      <w:r w:rsidRPr="00FC7794" w:rsidR="00FC7794">
        <w:t>Rcd</w:t>
      </w:r>
      <w:r w:rsidRPr="00FC7794" w:rsidR="00FC7794">
        <w:t xml:space="preserve"> 1054</w:t>
      </w:r>
      <w:r w:rsidRPr="00FC7794">
        <w:t xml:space="preserve"> (</w:t>
      </w:r>
      <w:r w:rsidRPr="00FC7794" w:rsidR="00FC7794">
        <w:t>Feb. 1</w:t>
      </w:r>
      <w:r w:rsidRPr="00FC7794">
        <w:t>, 202</w:t>
      </w:r>
      <w:r w:rsidRPr="00FC7794" w:rsidR="00FC7794">
        <w:t>3</w:t>
      </w:r>
      <w:r w:rsidRPr="00FC7794">
        <w:t>).</w:t>
      </w:r>
    </w:p>
  </w:footnote>
  <w:footnote w:id="8">
    <w:p w:rsidR="00F71283" w14:paraId="504162F1" w14:textId="271D35C0">
      <w:pPr>
        <w:pStyle w:val="FootnoteText"/>
      </w:pPr>
      <w:r>
        <w:rPr>
          <w:rStyle w:val="FootnoteReference"/>
        </w:rPr>
        <w:footnoteRef/>
      </w:r>
      <w:r>
        <w:t xml:space="preserve"> Joint Proposal at </w:t>
      </w:r>
      <w:r w:rsidR="006857D4">
        <w:t>1.</w:t>
      </w:r>
    </w:p>
  </w:footnote>
  <w:footnote w:id="9">
    <w:p w:rsidR="00D34EC6" w:rsidRPr="00D34EC6" w14:paraId="672FB2D2" w14:textId="5A49E54B">
      <w:pPr>
        <w:pStyle w:val="FootnoteText"/>
      </w:pPr>
      <w:r>
        <w:rPr>
          <w:rStyle w:val="FootnoteReference"/>
        </w:rPr>
        <w:footnoteRef/>
      </w:r>
      <w:r>
        <w:t xml:space="preserve"> </w:t>
      </w:r>
      <w:r>
        <w:rPr>
          <w:i/>
          <w:iCs/>
        </w:rPr>
        <w:t>Id.</w:t>
      </w:r>
      <w:r>
        <w:t xml:space="preserve"> at 1-2.</w:t>
      </w:r>
    </w:p>
  </w:footnote>
  <w:footnote w:id="10">
    <w:p w:rsidR="00DD54FA" w:rsidRPr="00DD54FA" w14:paraId="5374B283" w14:textId="3C7E5415">
      <w:pPr>
        <w:pStyle w:val="FootnoteText"/>
      </w:pPr>
      <w:r>
        <w:rPr>
          <w:rStyle w:val="FootnoteReference"/>
        </w:rPr>
        <w:footnoteRef/>
      </w:r>
      <w:r>
        <w:t xml:space="preserve"> </w:t>
      </w:r>
      <w:r>
        <w:rPr>
          <w:i/>
          <w:iCs/>
        </w:rPr>
        <w:t>Id.</w:t>
      </w:r>
      <w:r>
        <w:t xml:space="preserve"> at 2.</w:t>
      </w:r>
    </w:p>
  </w:footnote>
  <w:footnote w:id="11">
    <w:p w:rsidR="00752D09" w:rsidRPr="00752D09" w14:paraId="0709F785" w14:textId="73130A48">
      <w:pPr>
        <w:pStyle w:val="FootnoteText"/>
        <w:rPr>
          <w:i/>
          <w:iCs/>
        </w:rPr>
      </w:pPr>
      <w:r>
        <w:rPr>
          <w:rStyle w:val="FootnoteReference"/>
        </w:rPr>
        <w:footnoteRef/>
      </w:r>
      <w:r>
        <w:t xml:space="preserve"> </w:t>
      </w:r>
      <w:r>
        <w:rPr>
          <w:i/>
          <w:iCs/>
        </w:rPr>
        <w:t>Id.</w:t>
      </w:r>
    </w:p>
  </w:footnote>
  <w:footnote w:id="12">
    <w:p w:rsidR="006D340E" w:rsidRPr="006D340E" w14:paraId="58247CA3" w14:textId="749B8F15">
      <w:pPr>
        <w:pStyle w:val="FootnoteText"/>
        <w:rPr>
          <w:i/>
          <w:iCs/>
        </w:rPr>
      </w:pPr>
      <w:r>
        <w:rPr>
          <w:rStyle w:val="FootnoteReference"/>
        </w:rPr>
        <w:footnoteRef/>
      </w:r>
      <w:r>
        <w:t xml:space="preserve"> </w:t>
      </w:r>
      <w:r>
        <w:rPr>
          <w:i/>
          <w:iCs/>
        </w:rPr>
        <w:t>Id.</w:t>
      </w:r>
    </w:p>
  </w:footnote>
  <w:footnote w:id="13">
    <w:p w:rsidR="00D5398B" w:rsidRPr="00D5398B" w14:paraId="1B7D6D85" w14:textId="5CA3353F">
      <w:pPr>
        <w:pStyle w:val="FootnoteText"/>
        <w:rPr>
          <w:i/>
          <w:iCs/>
        </w:rPr>
      </w:pPr>
      <w:r>
        <w:rPr>
          <w:rStyle w:val="FootnoteReference"/>
        </w:rPr>
        <w:footnoteRef/>
      </w:r>
      <w:r>
        <w:t xml:space="preserve"> </w:t>
      </w:r>
      <w:r>
        <w:rPr>
          <w:i/>
          <w:iCs/>
        </w:rPr>
        <w:t>Id.</w:t>
      </w:r>
    </w:p>
  </w:footnote>
  <w:footnote w:id="14">
    <w:p w:rsidR="00D5398B" w:rsidRPr="00D5398B" w14:paraId="1B8BB5D8" w14:textId="0C25F73B">
      <w:pPr>
        <w:pStyle w:val="FootnoteText"/>
      </w:pPr>
      <w:r>
        <w:rPr>
          <w:rStyle w:val="FootnoteReference"/>
        </w:rPr>
        <w:footnoteRef/>
      </w:r>
      <w:r>
        <w:t xml:space="preserve"> </w:t>
      </w:r>
      <w:r>
        <w:rPr>
          <w:i/>
          <w:iCs/>
        </w:rPr>
        <w:t>Id.</w:t>
      </w:r>
      <w:r>
        <w:t xml:space="preserve"> at 1, n.3.</w:t>
      </w:r>
    </w:p>
  </w:footnote>
  <w:footnote w:id="15">
    <w:p w:rsidR="00AA5913" w14:paraId="76FF5785" w14:textId="7E4AC523">
      <w:pPr>
        <w:pStyle w:val="FootnoteText"/>
      </w:pPr>
      <w:r>
        <w:rPr>
          <w:rStyle w:val="FootnoteReference"/>
        </w:rPr>
        <w:footnoteRef/>
      </w:r>
      <w:r>
        <w:t xml:space="preserve"> </w:t>
      </w:r>
      <w:r w:rsidRPr="009B2BDC" w:rsidR="000A6516">
        <w:t>47 U.S.C. § 303(u)(1)</w:t>
      </w:r>
      <w:r w:rsidR="000A6516">
        <w:t>.</w:t>
      </w:r>
    </w:p>
  </w:footnote>
  <w:footnote w:id="16">
    <w:p w:rsidR="0063782E" w:rsidRPr="000C727C" w14:paraId="3B6BC147" w14:textId="77777777">
      <w:pPr>
        <w:pStyle w:val="FootnoteText"/>
      </w:pPr>
      <w:r w:rsidRPr="000C727C">
        <w:rPr>
          <w:rStyle w:val="FootnoteReference"/>
        </w:rPr>
        <w:footnoteRef/>
      </w:r>
      <w:r w:rsidRPr="000C727C">
        <w:t xml:space="preserve"> </w:t>
      </w:r>
      <w:r w:rsidRPr="000C727C" w:rsidR="00C37E5B">
        <w:rPr>
          <w:i/>
        </w:rPr>
        <w:t>Second Further Notice</w:t>
      </w:r>
      <w:r w:rsidRPr="000C727C" w:rsidR="00C37E5B">
        <w:t xml:space="preserve">, 30 FCC </w:t>
      </w:r>
      <w:r w:rsidRPr="000C727C" w:rsidR="00C37E5B">
        <w:t>Rcd</w:t>
      </w:r>
      <w:r w:rsidRPr="000C727C" w:rsidR="00C37E5B">
        <w:t xml:space="preserve"> at 13936, para. 42.</w:t>
      </w:r>
    </w:p>
  </w:footnote>
  <w:footnote w:id="17">
    <w:p w:rsidR="00247723" w:rsidP="00247723" w14:paraId="2FE29131" w14:textId="77777777">
      <w:pPr>
        <w:pStyle w:val="FootnoteText"/>
      </w:pPr>
      <w:r w:rsidRPr="000C727C">
        <w:rPr>
          <w:rStyle w:val="FootnoteReference"/>
          <w:szCs w:val="22"/>
        </w:rPr>
        <w:footnoteRef/>
      </w:r>
      <w:r w:rsidRPr="000C727C">
        <w:rPr>
          <w:lang w:val="da-DK"/>
        </w:rPr>
        <w:t xml:space="preserve"> </w:t>
      </w:r>
      <w:r w:rsidRPr="000C727C" w:rsidR="005C7E3C">
        <w:rPr>
          <w:i/>
          <w:iCs/>
          <w:lang w:val="da-DK"/>
        </w:rPr>
        <w:t>Id</w:t>
      </w:r>
      <w:r w:rsidRPr="000C727C" w:rsidR="005C7E3C">
        <w:rPr>
          <w:lang w:val="da-DK"/>
        </w:rPr>
        <w:t>.</w:t>
      </w:r>
      <w:r w:rsidRPr="000C727C" w:rsidR="005C7E3C">
        <w:rPr>
          <w:i/>
          <w:iCs/>
          <w:lang w:val="da-DK"/>
        </w:rPr>
        <w:t xml:space="preserve"> </w:t>
      </w:r>
      <w:r w:rsidRPr="000C727C" w:rsidR="005C7E3C">
        <w:rPr>
          <w:lang w:val="da-DK"/>
        </w:rPr>
        <w:t xml:space="preserve">at </w:t>
      </w:r>
      <w:r w:rsidRPr="000C727C" w:rsidR="00474598">
        <w:rPr>
          <w:lang w:val="da-DK"/>
        </w:rPr>
        <w:t>13936-37</w:t>
      </w:r>
      <w:r w:rsidRPr="000C727C" w:rsidR="005C7E3C">
        <w:rPr>
          <w:lang w:val="da-DK"/>
        </w:rPr>
        <w:t xml:space="preserve">, para. </w:t>
      </w:r>
      <w:r w:rsidRPr="000C727C" w:rsidR="00474598">
        <w:rPr>
          <w:lang w:val="da-DK"/>
        </w:rPr>
        <w:t>46</w:t>
      </w:r>
      <w:r w:rsidRPr="000C727C" w:rsidR="005C7E3C">
        <w:rPr>
          <w:lang w:val="da-DK"/>
        </w:rPr>
        <w:t xml:space="preserve">.  </w:t>
      </w:r>
      <w:r w:rsidRPr="000C727C" w:rsidR="005C7E3C">
        <w:rPr>
          <w:i/>
          <w:iCs/>
          <w:lang w:val="da-DK"/>
        </w:rPr>
        <w:t xml:space="preserve">See </w:t>
      </w:r>
      <w:r w:rsidRPr="000C727C">
        <w:rPr>
          <w:lang w:val="da-DK"/>
        </w:rPr>
        <w:t xml:space="preserve">47 CFR § 1.1200 </w:t>
      </w:r>
      <w:r w:rsidRPr="000C727C">
        <w:rPr>
          <w:i/>
          <w:iCs/>
          <w:lang w:val="da-DK"/>
        </w:rPr>
        <w:t>et seq</w:t>
      </w:r>
      <w:r w:rsidRPr="000C727C">
        <w:rPr>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656" w14:paraId="25B283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20CDD0A7" w14:textId="4DC4F5F0">
    <w:pPr>
      <w:tabs>
        <w:tab w:val="center" w:pos="4680"/>
        <w:tab w:val="right" w:pos="9360"/>
      </w:tabs>
    </w:pPr>
    <w:r>
      <w:rPr>
        <w:b/>
      </w:rPr>
      <w:tab/>
      <w:t>Federal Communications Commission</w:t>
    </w:r>
    <w:r>
      <w:rPr>
        <w:b/>
      </w:rPr>
      <w:tab/>
    </w:r>
    <w:r w:rsidR="00867D72">
      <w:rPr>
        <w:b/>
      </w:rPr>
      <w:t xml:space="preserve">DA </w:t>
    </w:r>
    <w:r w:rsidR="00AF6056">
      <w:rPr>
        <w:b/>
      </w:rPr>
      <w:t>2</w:t>
    </w:r>
    <w:r w:rsidR="00541990">
      <w:rPr>
        <w:b/>
      </w:rPr>
      <w:t>4</w:t>
    </w:r>
    <w:r w:rsidR="00AF6056">
      <w:rPr>
        <w:b/>
      </w:rPr>
      <w:t>-</w:t>
    </w:r>
    <w:r w:rsidR="003C6656">
      <w:rPr>
        <w:b/>
      </w:rPr>
      <w:t>276</w:t>
    </w:r>
  </w:p>
  <w:p w:rsidR="003A0DD8" w:rsidRPr="003628D7" w:rsidP="003628D7" w14:paraId="12CA6C6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563" w:rsidRPr="00A866AC" w:rsidP="00824563" w14:paraId="39B6C1B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rPr>
                              <w:rFonts w:ascii="Arial" w:hAnsi="Arial"/>
                              <w:b/>
                            </w:rPr>
                          </w:pPr>
                          <w:r>
                            <w:rPr>
                              <w:rFonts w:ascii="Arial" w:hAnsi="Arial"/>
                              <w:b/>
                            </w:rPr>
                            <w:t>Federal Communications Commission</w:t>
                          </w:r>
                        </w:p>
                        <w:p w:rsidR="00824563" w:rsidP="00824563" w14:textId="77777777">
                          <w:pPr>
                            <w:rPr>
                              <w:rFonts w:ascii="Arial" w:hAnsi="Arial"/>
                              <w:b/>
                            </w:rPr>
                          </w:pPr>
                          <w:r>
                            <w:rPr>
                              <w:rFonts w:ascii="Arial" w:hAnsi="Arial"/>
                              <w:b/>
                            </w:rPr>
                            <w:t>45 L Street NE</w:t>
                          </w:r>
                        </w:p>
                        <w:p w:rsidR="00824563" w:rsidP="00824563"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4563" w:rsidP="00824563" w14:paraId="558FA577" w14:textId="77777777">
                    <w:pPr>
                      <w:rPr>
                        <w:rFonts w:ascii="Arial" w:hAnsi="Arial"/>
                        <w:b/>
                      </w:rPr>
                    </w:pPr>
                    <w:r>
                      <w:rPr>
                        <w:rFonts w:ascii="Arial" w:hAnsi="Arial"/>
                        <w:b/>
                      </w:rPr>
                      <w:t>Federal Communications Commission</w:t>
                    </w:r>
                  </w:p>
                  <w:p w:rsidR="00824563" w:rsidP="00824563" w14:paraId="02CBA159" w14:textId="77777777">
                    <w:pPr>
                      <w:rPr>
                        <w:rFonts w:ascii="Arial" w:hAnsi="Arial"/>
                        <w:b/>
                      </w:rPr>
                    </w:pPr>
                    <w:r>
                      <w:rPr>
                        <w:rFonts w:ascii="Arial" w:hAnsi="Arial"/>
                        <w:b/>
                      </w:rPr>
                      <w:t>45 L Street NE</w:t>
                    </w:r>
                  </w:p>
                  <w:p w:rsidR="00824563" w:rsidP="00824563" w14:paraId="58F9820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sidR="007F12E7">
      <w:rPr>
        <w:rFonts w:ascii="Arial" w:hAnsi="Arial" w:cs="Arial"/>
        <w:b/>
        <w:bCs/>
        <w:sz w:val="96"/>
        <w:szCs w:val="96"/>
      </w:rPr>
      <w:t>PUBLIC NOTICE</w:t>
    </w:r>
  </w:p>
  <w:p w:rsidR="003A0DD8" w:rsidRPr="00824563" w:rsidP="00824563" w14:paraId="33316769"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spacing w:before="40"/>
                            <w:jc w:val="right"/>
                            <w:rPr>
                              <w:rFonts w:ascii="Arial" w:hAnsi="Arial"/>
                              <w:b/>
                              <w:sz w:val="16"/>
                            </w:rPr>
                          </w:pPr>
                          <w:r>
                            <w:rPr>
                              <w:rFonts w:ascii="Arial" w:hAnsi="Arial"/>
                              <w:b/>
                              <w:sz w:val="16"/>
                            </w:rPr>
                            <w:t>News Media Information 202 / 418-0500</w:t>
                          </w:r>
                        </w:p>
                        <w:p w:rsidR="00824563" w:rsidP="0082456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24563" w:rsidP="00824563"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4563" w:rsidP="00824563" w14:paraId="055A00F8" w14:textId="77777777">
                    <w:pPr>
                      <w:spacing w:before="40"/>
                      <w:jc w:val="right"/>
                      <w:rPr>
                        <w:rFonts w:ascii="Arial" w:hAnsi="Arial"/>
                        <w:b/>
                        <w:sz w:val="16"/>
                      </w:rPr>
                    </w:pPr>
                    <w:r>
                      <w:rPr>
                        <w:rFonts w:ascii="Arial" w:hAnsi="Arial"/>
                        <w:b/>
                        <w:sz w:val="16"/>
                      </w:rPr>
                      <w:t>News Media Information 202 / 418-0500</w:t>
                    </w:r>
                  </w:p>
                  <w:p w:rsidR="00824563" w:rsidP="00824563" w14:paraId="68E3CB96"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24563" w:rsidP="00824563" w14:paraId="06061AC1"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3"/>
    <w:rsid w:val="00002A3E"/>
    <w:rsid w:val="00012393"/>
    <w:rsid w:val="000134E2"/>
    <w:rsid w:val="00016512"/>
    <w:rsid w:val="00034510"/>
    <w:rsid w:val="000414BB"/>
    <w:rsid w:val="000478C9"/>
    <w:rsid w:val="000530FC"/>
    <w:rsid w:val="000755AA"/>
    <w:rsid w:val="00080569"/>
    <w:rsid w:val="000830CB"/>
    <w:rsid w:val="00095DC2"/>
    <w:rsid w:val="000A6516"/>
    <w:rsid w:val="000B1ED1"/>
    <w:rsid w:val="000B3B7A"/>
    <w:rsid w:val="000C3167"/>
    <w:rsid w:val="000C5490"/>
    <w:rsid w:val="000C727C"/>
    <w:rsid w:val="000C7A77"/>
    <w:rsid w:val="000E510D"/>
    <w:rsid w:val="000E541F"/>
    <w:rsid w:val="000F1550"/>
    <w:rsid w:val="000F7F10"/>
    <w:rsid w:val="00101414"/>
    <w:rsid w:val="00105B7F"/>
    <w:rsid w:val="00116BF9"/>
    <w:rsid w:val="001231C8"/>
    <w:rsid w:val="0013332B"/>
    <w:rsid w:val="00133ECD"/>
    <w:rsid w:val="001363C7"/>
    <w:rsid w:val="00156A5D"/>
    <w:rsid w:val="00165A92"/>
    <w:rsid w:val="00170A5F"/>
    <w:rsid w:val="0017450A"/>
    <w:rsid w:val="00190BF1"/>
    <w:rsid w:val="001935C6"/>
    <w:rsid w:val="001B3867"/>
    <w:rsid w:val="001C210A"/>
    <w:rsid w:val="001D1963"/>
    <w:rsid w:val="001D2732"/>
    <w:rsid w:val="001D380C"/>
    <w:rsid w:val="001E6A32"/>
    <w:rsid w:val="001F249D"/>
    <w:rsid w:val="001F4685"/>
    <w:rsid w:val="00206A15"/>
    <w:rsid w:val="00206B0F"/>
    <w:rsid w:val="0021425C"/>
    <w:rsid w:val="00226304"/>
    <w:rsid w:val="002305C1"/>
    <w:rsid w:val="00230ABD"/>
    <w:rsid w:val="0023248B"/>
    <w:rsid w:val="00247723"/>
    <w:rsid w:val="0025220C"/>
    <w:rsid w:val="002565B1"/>
    <w:rsid w:val="00272AC5"/>
    <w:rsid w:val="0027339A"/>
    <w:rsid w:val="0028345C"/>
    <w:rsid w:val="00285B62"/>
    <w:rsid w:val="00287C25"/>
    <w:rsid w:val="002971FF"/>
    <w:rsid w:val="002A5B5D"/>
    <w:rsid w:val="002C0C73"/>
    <w:rsid w:val="002E5375"/>
    <w:rsid w:val="002F1F91"/>
    <w:rsid w:val="00307ECE"/>
    <w:rsid w:val="00314108"/>
    <w:rsid w:val="003179E7"/>
    <w:rsid w:val="0032021E"/>
    <w:rsid w:val="00321367"/>
    <w:rsid w:val="00326143"/>
    <w:rsid w:val="0032736F"/>
    <w:rsid w:val="0033188E"/>
    <w:rsid w:val="00336502"/>
    <w:rsid w:val="00347C4E"/>
    <w:rsid w:val="003512AA"/>
    <w:rsid w:val="003628D7"/>
    <w:rsid w:val="00364BCA"/>
    <w:rsid w:val="0037126C"/>
    <w:rsid w:val="003850AF"/>
    <w:rsid w:val="00385F4E"/>
    <w:rsid w:val="003A0DD8"/>
    <w:rsid w:val="003A1C7C"/>
    <w:rsid w:val="003A4A2E"/>
    <w:rsid w:val="003A766F"/>
    <w:rsid w:val="003A76A3"/>
    <w:rsid w:val="003B4AE3"/>
    <w:rsid w:val="003C213F"/>
    <w:rsid w:val="003C30A1"/>
    <w:rsid w:val="003C6656"/>
    <w:rsid w:val="003D763F"/>
    <w:rsid w:val="003E6874"/>
    <w:rsid w:val="003F4605"/>
    <w:rsid w:val="00402D1C"/>
    <w:rsid w:val="00407020"/>
    <w:rsid w:val="0041160D"/>
    <w:rsid w:val="00412C17"/>
    <w:rsid w:val="00413934"/>
    <w:rsid w:val="00413CFE"/>
    <w:rsid w:val="004157DF"/>
    <w:rsid w:val="00416592"/>
    <w:rsid w:val="0042113C"/>
    <w:rsid w:val="00430441"/>
    <w:rsid w:val="0044756D"/>
    <w:rsid w:val="0045231D"/>
    <w:rsid w:val="0046771B"/>
    <w:rsid w:val="0047313A"/>
    <w:rsid w:val="00474598"/>
    <w:rsid w:val="00486344"/>
    <w:rsid w:val="004A7C79"/>
    <w:rsid w:val="004B08CE"/>
    <w:rsid w:val="004D3606"/>
    <w:rsid w:val="004D3CFE"/>
    <w:rsid w:val="004D5453"/>
    <w:rsid w:val="004E67DD"/>
    <w:rsid w:val="004F6746"/>
    <w:rsid w:val="00507E43"/>
    <w:rsid w:val="00520617"/>
    <w:rsid w:val="00531632"/>
    <w:rsid w:val="00531D94"/>
    <w:rsid w:val="00541990"/>
    <w:rsid w:val="0054329C"/>
    <w:rsid w:val="005550AB"/>
    <w:rsid w:val="00590706"/>
    <w:rsid w:val="00593EBF"/>
    <w:rsid w:val="00597AE3"/>
    <w:rsid w:val="005A330D"/>
    <w:rsid w:val="005A6137"/>
    <w:rsid w:val="005B410B"/>
    <w:rsid w:val="005B6239"/>
    <w:rsid w:val="005B6C5E"/>
    <w:rsid w:val="005C7E3C"/>
    <w:rsid w:val="005D6132"/>
    <w:rsid w:val="005D7C7F"/>
    <w:rsid w:val="005D7EFF"/>
    <w:rsid w:val="005E2B6B"/>
    <w:rsid w:val="005E3121"/>
    <w:rsid w:val="005F4E7B"/>
    <w:rsid w:val="005F5B24"/>
    <w:rsid w:val="00611432"/>
    <w:rsid w:val="00616A46"/>
    <w:rsid w:val="00626782"/>
    <w:rsid w:val="0063443B"/>
    <w:rsid w:val="0063509F"/>
    <w:rsid w:val="006371AC"/>
    <w:rsid w:val="0063782E"/>
    <w:rsid w:val="0064191C"/>
    <w:rsid w:val="00641F7F"/>
    <w:rsid w:val="006443E5"/>
    <w:rsid w:val="00645318"/>
    <w:rsid w:val="00645F8B"/>
    <w:rsid w:val="0065436D"/>
    <w:rsid w:val="00662CAB"/>
    <w:rsid w:val="00670323"/>
    <w:rsid w:val="006857D4"/>
    <w:rsid w:val="006950DA"/>
    <w:rsid w:val="006A0FE2"/>
    <w:rsid w:val="006A4099"/>
    <w:rsid w:val="006A7BC0"/>
    <w:rsid w:val="006B221B"/>
    <w:rsid w:val="006C69A0"/>
    <w:rsid w:val="006C706D"/>
    <w:rsid w:val="006D340E"/>
    <w:rsid w:val="006D42D3"/>
    <w:rsid w:val="006F3997"/>
    <w:rsid w:val="006F40A5"/>
    <w:rsid w:val="0070290A"/>
    <w:rsid w:val="00713616"/>
    <w:rsid w:val="007176F9"/>
    <w:rsid w:val="00726994"/>
    <w:rsid w:val="00730200"/>
    <w:rsid w:val="00734749"/>
    <w:rsid w:val="0074098B"/>
    <w:rsid w:val="00747B7B"/>
    <w:rsid w:val="0075253D"/>
    <w:rsid w:val="00752D09"/>
    <w:rsid w:val="00755E1B"/>
    <w:rsid w:val="00763F38"/>
    <w:rsid w:val="007646B6"/>
    <w:rsid w:val="00796A67"/>
    <w:rsid w:val="007A66A3"/>
    <w:rsid w:val="007C4A13"/>
    <w:rsid w:val="007D6828"/>
    <w:rsid w:val="007E3927"/>
    <w:rsid w:val="007E4EE6"/>
    <w:rsid w:val="007F12E7"/>
    <w:rsid w:val="008002F1"/>
    <w:rsid w:val="0080280A"/>
    <w:rsid w:val="00821266"/>
    <w:rsid w:val="00824159"/>
    <w:rsid w:val="00824563"/>
    <w:rsid w:val="00824E52"/>
    <w:rsid w:val="00830BB5"/>
    <w:rsid w:val="00831B5F"/>
    <w:rsid w:val="008347E4"/>
    <w:rsid w:val="00850247"/>
    <w:rsid w:val="00867D72"/>
    <w:rsid w:val="00867FAD"/>
    <w:rsid w:val="00876247"/>
    <w:rsid w:val="00895112"/>
    <w:rsid w:val="00896327"/>
    <w:rsid w:val="008A3EE3"/>
    <w:rsid w:val="008A3F51"/>
    <w:rsid w:val="008B25D0"/>
    <w:rsid w:val="008B6AD8"/>
    <w:rsid w:val="008C0600"/>
    <w:rsid w:val="008C0A6F"/>
    <w:rsid w:val="008D2BAB"/>
    <w:rsid w:val="008D2FA1"/>
    <w:rsid w:val="008E33C8"/>
    <w:rsid w:val="008E5B56"/>
    <w:rsid w:val="008E5BD5"/>
    <w:rsid w:val="008F0A3A"/>
    <w:rsid w:val="008F3C32"/>
    <w:rsid w:val="008F646E"/>
    <w:rsid w:val="009114FB"/>
    <w:rsid w:val="00917B98"/>
    <w:rsid w:val="0092262F"/>
    <w:rsid w:val="0092456C"/>
    <w:rsid w:val="00926567"/>
    <w:rsid w:val="0093179E"/>
    <w:rsid w:val="00936C97"/>
    <w:rsid w:val="00943097"/>
    <w:rsid w:val="00943B9E"/>
    <w:rsid w:val="009540EF"/>
    <w:rsid w:val="00954A3A"/>
    <w:rsid w:val="00956785"/>
    <w:rsid w:val="009642FF"/>
    <w:rsid w:val="009672FB"/>
    <w:rsid w:val="0097041D"/>
    <w:rsid w:val="00996C9F"/>
    <w:rsid w:val="00997264"/>
    <w:rsid w:val="009B2BDC"/>
    <w:rsid w:val="009B528A"/>
    <w:rsid w:val="009B59C2"/>
    <w:rsid w:val="009B7AEB"/>
    <w:rsid w:val="009C0FAF"/>
    <w:rsid w:val="009C49FA"/>
    <w:rsid w:val="009C709D"/>
    <w:rsid w:val="009E194C"/>
    <w:rsid w:val="009E58A9"/>
    <w:rsid w:val="009F3426"/>
    <w:rsid w:val="009F67DF"/>
    <w:rsid w:val="009F7D6A"/>
    <w:rsid w:val="00A01B6A"/>
    <w:rsid w:val="00A043E6"/>
    <w:rsid w:val="00A049E3"/>
    <w:rsid w:val="00A055FB"/>
    <w:rsid w:val="00A064D9"/>
    <w:rsid w:val="00A208D0"/>
    <w:rsid w:val="00A21892"/>
    <w:rsid w:val="00A23351"/>
    <w:rsid w:val="00A2342B"/>
    <w:rsid w:val="00A42087"/>
    <w:rsid w:val="00A45495"/>
    <w:rsid w:val="00A471C8"/>
    <w:rsid w:val="00A47250"/>
    <w:rsid w:val="00A5114A"/>
    <w:rsid w:val="00A52A04"/>
    <w:rsid w:val="00A57C4F"/>
    <w:rsid w:val="00A60DC3"/>
    <w:rsid w:val="00A6758F"/>
    <w:rsid w:val="00A70806"/>
    <w:rsid w:val="00A71357"/>
    <w:rsid w:val="00A82575"/>
    <w:rsid w:val="00A866AC"/>
    <w:rsid w:val="00A91058"/>
    <w:rsid w:val="00A931C9"/>
    <w:rsid w:val="00A95D07"/>
    <w:rsid w:val="00AA5055"/>
    <w:rsid w:val="00AA5913"/>
    <w:rsid w:val="00AB2E2D"/>
    <w:rsid w:val="00AB308A"/>
    <w:rsid w:val="00AD3858"/>
    <w:rsid w:val="00AD3A87"/>
    <w:rsid w:val="00AE0474"/>
    <w:rsid w:val="00AF35C6"/>
    <w:rsid w:val="00AF4507"/>
    <w:rsid w:val="00AF6056"/>
    <w:rsid w:val="00B1255E"/>
    <w:rsid w:val="00B32CE8"/>
    <w:rsid w:val="00B32F3B"/>
    <w:rsid w:val="00B3607A"/>
    <w:rsid w:val="00B4565D"/>
    <w:rsid w:val="00B46579"/>
    <w:rsid w:val="00B635CB"/>
    <w:rsid w:val="00B66CC2"/>
    <w:rsid w:val="00B72511"/>
    <w:rsid w:val="00B80694"/>
    <w:rsid w:val="00B81342"/>
    <w:rsid w:val="00B81564"/>
    <w:rsid w:val="00B8202E"/>
    <w:rsid w:val="00B85BA2"/>
    <w:rsid w:val="00B85D43"/>
    <w:rsid w:val="00B93ED8"/>
    <w:rsid w:val="00BA4D69"/>
    <w:rsid w:val="00BB7BCA"/>
    <w:rsid w:val="00BB7D02"/>
    <w:rsid w:val="00BE2AA1"/>
    <w:rsid w:val="00BF6591"/>
    <w:rsid w:val="00BF7F67"/>
    <w:rsid w:val="00C142B4"/>
    <w:rsid w:val="00C15537"/>
    <w:rsid w:val="00C35632"/>
    <w:rsid w:val="00C37E5B"/>
    <w:rsid w:val="00C425C8"/>
    <w:rsid w:val="00C462C1"/>
    <w:rsid w:val="00C46C01"/>
    <w:rsid w:val="00C56318"/>
    <w:rsid w:val="00C60834"/>
    <w:rsid w:val="00C6257A"/>
    <w:rsid w:val="00C666BD"/>
    <w:rsid w:val="00C6755B"/>
    <w:rsid w:val="00CA1EC5"/>
    <w:rsid w:val="00CA3C2A"/>
    <w:rsid w:val="00CA68C8"/>
    <w:rsid w:val="00CB38F9"/>
    <w:rsid w:val="00CC1C91"/>
    <w:rsid w:val="00CC55C2"/>
    <w:rsid w:val="00CD14F0"/>
    <w:rsid w:val="00CD51CB"/>
    <w:rsid w:val="00CF641C"/>
    <w:rsid w:val="00CF6B04"/>
    <w:rsid w:val="00D0557F"/>
    <w:rsid w:val="00D1174A"/>
    <w:rsid w:val="00D216CD"/>
    <w:rsid w:val="00D34EC6"/>
    <w:rsid w:val="00D35FDD"/>
    <w:rsid w:val="00D36F0C"/>
    <w:rsid w:val="00D3755D"/>
    <w:rsid w:val="00D44865"/>
    <w:rsid w:val="00D5398B"/>
    <w:rsid w:val="00D628B7"/>
    <w:rsid w:val="00D73B74"/>
    <w:rsid w:val="00D7465C"/>
    <w:rsid w:val="00D75042"/>
    <w:rsid w:val="00D86899"/>
    <w:rsid w:val="00D922CB"/>
    <w:rsid w:val="00D94C05"/>
    <w:rsid w:val="00DA283D"/>
    <w:rsid w:val="00DA2849"/>
    <w:rsid w:val="00DA5A60"/>
    <w:rsid w:val="00DB339F"/>
    <w:rsid w:val="00DB79CC"/>
    <w:rsid w:val="00DC6FF1"/>
    <w:rsid w:val="00DD11AF"/>
    <w:rsid w:val="00DD54FA"/>
    <w:rsid w:val="00DE3BAA"/>
    <w:rsid w:val="00DE3E2A"/>
    <w:rsid w:val="00DE4123"/>
    <w:rsid w:val="00DE5B01"/>
    <w:rsid w:val="00DE66F2"/>
    <w:rsid w:val="00DE738E"/>
    <w:rsid w:val="00DF0B59"/>
    <w:rsid w:val="00DF123E"/>
    <w:rsid w:val="00E04236"/>
    <w:rsid w:val="00E06227"/>
    <w:rsid w:val="00E129C1"/>
    <w:rsid w:val="00E24020"/>
    <w:rsid w:val="00E327CB"/>
    <w:rsid w:val="00E34B8A"/>
    <w:rsid w:val="00E45D1E"/>
    <w:rsid w:val="00E552FF"/>
    <w:rsid w:val="00E5741D"/>
    <w:rsid w:val="00E76D9E"/>
    <w:rsid w:val="00E7703E"/>
    <w:rsid w:val="00E8249B"/>
    <w:rsid w:val="00E87097"/>
    <w:rsid w:val="00E92196"/>
    <w:rsid w:val="00EA7224"/>
    <w:rsid w:val="00EB7F96"/>
    <w:rsid w:val="00EC4829"/>
    <w:rsid w:val="00EC5697"/>
    <w:rsid w:val="00EE1DCA"/>
    <w:rsid w:val="00EE42DF"/>
    <w:rsid w:val="00EE4F84"/>
    <w:rsid w:val="00EF087D"/>
    <w:rsid w:val="00EF4489"/>
    <w:rsid w:val="00F03EE4"/>
    <w:rsid w:val="00F243F5"/>
    <w:rsid w:val="00F32236"/>
    <w:rsid w:val="00F4267C"/>
    <w:rsid w:val="00F67685"/>
    <w:rsid w:val="00F71283"/>
    <w:rsid w:val="00F7211B"/>
    <w:rsid w:val="00F73F28"/>
    <w:rsid w:val="00F74F0E"/>
    <w:rsid w:val="00F76CD3"/>
    <w:rsid w:val="00F828CA"/>
    <w:rsid w:val="00F82F49"/>
    <w:rsid w:val="00F84023"/>
    <w:rsid w:val="00F91E7F"/>
    <w:rsid w:val="00F92233"/>
    <w:rsid w:val="00F92D0E"/>
    <w:rsid w:val="00FB20FE"/>
    <w:rsid w:val="00FB7410"/>
    <w:rsid w:val="00FC1976"/>
    <w:rsid w:val="00FC7794"/>
    <w:rsid w:val="00FD5009"/>
    <w:rsid w:val="00FD64F7"/>
    <w:rsid w:val="00FE021F"/>
    <w:rsid w:val="00FE34E8"/>
    <w:rsid w:val="3EE24E9E"/>
    <w:rsid w:val="66697DC6"/>
    <w:rsid w:val="7D84E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D3B04E"/>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47723"/>
  </w:style>
  <w:style w:type="character" w:customStyle="1" w:styleId="UnresolvedMention1">
    <w:name w:val="Unresolved Mention1"/>
    <w:basedOn w:val="DefaultParagraphFont"/>
    <w:uiPriority w:val="99"/>
    <w:rsid w:val="004D3CFE"/>
    <w:rPr>
      <w:color w:val="605E5C"/>
      <w:shd w:val="clear" w:color="auto" w:fill="E1DFDD"/>
    </w:rPr>
  </w:style>
  <w:style w:type="character" w:styleId="CommentReference">
    <w:name w:val="annotation reference"/>
    <w:basedOn w:val="DefaultParagraphFont"/>
    <w:uiPriority w:val="99"/>
    <w:semiHidden/>
    <w:unhideWhenUsed/>
    <w:rsid w:val="00A064D9"/>
    <w:rPr>
      <w:sz w:val="16"/>
      <w:szCs w:val="16"/>
    </w:rPr>
  </w:style>
  <w:style w:type="paragraph" w:styleId="CommentText">
    <w:name w:val="annotation text"/>
    <w:basedOn w:val="Normal"/>
    <w:link w:val="CommentTextChar"/>
    <w:uiPriority w:val="99"/>
    <w:unhideWhenUsed/>
    <w:rsid w:val="00A064D9"/>
    <w:rPr>
      <w:sz w:val="20"/>
    </w:rPr>
  </w:style>
  <w:style w:type="character" w:customStyle="1" w:styleId="CommentTextChar">
    <w:name w:val="Comment Text Char"/>
    <w:basedOn w:val="DefaultParagraphFont"/>
    <w:link w:val="CommentText"/>
    <w:uiPriority w:val="99"/>
    <w:rsid w:val="00A064D9"/>
    <w:rPr>
      <w:snapToGrid w:val="0"/>
      <w:kern w:val="28"/>
    </w:rPr>
  </w:style>
  <w:style w:type="paragraph" w:styleId="CommentSubject">
    <w:name w:val="annotation subject"/>
    <w:basedOn w:val="CommentText"/>
    <w:next w:val="CommentText"/>
    <w:link w:val="CommentSubjectChar"/>
    <w:uiPriority w:val="99"/>
    <w:semiHidden/>
    <w:unhideWhenUsed/>
    <w:rsid w:val="00A064D9"/>
    <w:rPr>
      <w:b/>
      <w:bCs/>
    </w:rPr>
  </w:style>
  <w:style w:type="character" w:customStyle="1" w:styleId="CommentSubjectChar">
    <w:name w:val="Comment Subject Char"/>
    <w:basedOn w:val="CommentTextChar"/>
    <w:link w:val="CommentSubject"/>
    <w:uiPriority w:val="99"/>
    <w:semiHidden/>
    <w:rsid w:val="00A064D9"/>
    <w:rPr>
      <w:b/>
      <w:bCs/>
      <w:snapToGrid w:val="0"/>
      <w:kern w:val="28"/>
    </w:rPr>
  </w:style>
  <w:style w:type="paragraph" w:styleId="Revision">
    <w:name w:val="Revision"/>
    <w:hidden/>
    <w:uiPriority w:val="99"/>
    <w:semiHidden/>
    <w:rsid w:val="000830CB"/>
    <w:rPr>
      <w:snapToGrid w:val="0"/>
      <w:kern w:val="28"/>
      <w:sz w:val="22"/>
    </w:rPr>
  </w:style>
  <w:style w:type="character" w:styleId="Emphasis">
    <w:name w:val="Emphasis"/>
    <w:basedOn w:val="DefaultParagraphFont"/>
    <w:uiPriority w:val="20"/>
    <w:qFormat/>
    <w:rsid w:val="007E3927"/>
    <w:rPr>
      <w:i/>
      <w:iCs/>
    </w:rPr>
  </w:style>
  <w:style w:type="character" w:customStyle="1" w:styleId="cosearchwithinterm">
    <w:name w:val="co_searchwithinterm"/>
    <w:basedOn w:val="DefaultParagraphFont"/>
    <w:rsid w:val="007E3927"/>
  </w:style>
  <w:style w:type="character" w:styleId="UnresolvedMention">
    <w:name w:val="Unresolved Mention"/>
    <w:basedOn w:val="DefaultParagraphFont"/>
    <w:uiPriority w:val="99"/>
    <w:rsid w:val="004D3606"/>
    <w:rPr>
      <w:color w:val="605E5C"/>
      <w:shd w:val="clear" w:color="auto" w:fill="E1DFDD"/>
    </w:rPr>
  </w:style>
  <w:style w:type="character" w:styleId="FollowedHyperlink">
    <w:name w:val="FollowedHyperlink"/>
    <w:basedOn w:val="DefaultParagraphFont"/>
    <w:uiPriority w:val="99"/>
    <w:semiHidden/>
    <w:unhideWhenUsed/>
    <w:rsid w:val="00A57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