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15FF" w:rsidRPr="008172A5" w:rsidP="005515FF" w14:paraId="06FEEF54" w14:textId="618C7836">
      <w:pPr>
        <w:jc w:val="right"/>
        <w:rPr>
          <w:b/>
          <w:snapToGrid/>
          <w:szCs w:val="22"/>
        </w:rPr>
      </w:pPr>
      <w:r w:rsidRPr="008172A5">
        <w:rPr>
          <w:b/>
          <w:szCs w:val="22"/>
        </w:rPr>
        <w:t>DA 2</w:t>
      </w:r>
      <w:r w:rsidRPr="008172A5" w:rsidR="001F1386">
        <w:rPr>
          <w:b/>
          <w:szCs w:val="22"/>
        </w:rPr>
        <w:t>4</w:t>
      </w:r>
      <w:r w:rsidRPr="008172A5" w:rsidR="008172A5">
        <w:rPr>
          <w:b/>
          <w:szCs w:val="22"/>
        </w:rPr>
        <w:t>-</w:t>
      </w:r>
      <w:r w:rsidR="00605724">
        <w:rPr>
          <w:b/>
          <w:szCs w:val="22"/>
        </w:rPr>
        <w:t>288</w:t>
      </w:r>
    </w:p>
    <w:p w:rsidR="005515FF" w:rsidRPr="005D6879" w:rsidP="005515FF" w14:paraId="7D302A8D" w14:textId="010293C6">
      <w:pPr>
        <w:spacing w:before="60"/>
        <w:jc w:val="right"/>
        <w:rPr>
          <w:b/>
          <w:szCs w:val="22"/>
        </w:rPr>
      </w:pPr>
      <w:r>
        <w:rPr>
          <w:b/>
          <w:szCs w:val="22"/>
        </w:rPr>
        <w:t xml:space="preserve">March </w:t>
      </w:r>
      <w:r w:rsidR="00605724">
        <w:rPr>
          <w:b/>
          <w:szCs w:val="22"/>
        </w:rPr>
        <w:t>22</w:t>
      </w:r>
      <w:r>
        <w:rPr>
          <w:b/>
          <w:szCs w:val="22"/>
        </w:rPr>
        <w:t>,</w:t>
      </w:r>
      <w:r w:rsidRPr="005D6879">
        <w:rPr>
          <w:b/>
          <w:szCs w:val="22"/>
        </w:rPr>
        <w:t xml:space="preserve"> 202</w:t>
      </w:r>
      <w:r w:rsidR="001F1386">
        <w:rPr>
          <w:b/>
          <w:szCs w:val="22"/>
        </w:rPr>
        <w:t>4</w:t>
      </w:r>
    </w:p>
    <w:p w:rsidR="005515FF" w:rsidRPr="005D6879" w:rsidP="005515FF" w14:paraId="3BDD568A" w14:textId="77777777">
      <w:pPr>
        <w:spacing w:before="60"/>
        <w:jc w:val="right"/>
        <w:rPr>
          <w:b/>
          <w:szCs w:val="22"/>
        </w:rPr>
      </w:pPr>
    </w:p>
    <w:p w:rsidR="0091196C" w:rsidRPr="00FE27D5" w:rsidP="00FE27D5" w14:paraId="16559083" w14:textId="32D52175">
      <w:pPr>
        <w:jc w:val="center"/>
        <w:outlineLvl w:val="0"/>
        <w:rPr>
          <w:b/>
          <w:szCs w:val="22"/>
        </w:rPr>
      </w:pPr>
      <w:bookmarkStart w:id="0" w:name="TOChere"/>
      <w:r w:rsidRPr="005D6879">
        <w:rPr>
          <w:b/>
          <w:szCs w:val="22"/>
        </w:rPr>
        <w:t xml:space="preserve">MEDIA BUREAU </w:t>
      </w:r>
      <w:r w:rsidR="00B23890">
        <w:rPr>
          <w:b/>
          <w:szCs w:val="22"/>
        </w:rPr>
        <w:t xml:space="preserve">PROVIDES FURTHER GUIDANCE ON SETTLEMENT </w:t>
      </w:r>
      <w:r w:rsidR="00FE27D5">
        <w:rPr>
          <w:b/>
          <w:szCs w:val="22"/>
        </w:rPr>
        <w:t>WINDOW</w:t>
      </w:r>
      <w:r w:rsidR="00B23890">
        <w:rPr>
          <w:b/>
          <w:szCs w:val="22"/>
        </w:rPr>
        <w:t xml:space="preserve"> FOR</w:t>
      </w:r>
      <w:r w:rsidR="005D6879">
        <w:rPr>
          <w:b/>
          <w:szCs w:val="22"/>
        </w:rPr>
        <w:t xml:space="preserve"> MUTUALLY EXCLUSIVE APPLICATIONS SUBMITTED IN THE </w:t>
      </w:r>
      <w:r w:rsidR="001F1386">
        <w:rPr>
          <w:b/>
          <w:szCs w:val="22"/>
        </w:rPr>
        <w:t>DECEMBER</w:t>
      </w:r>
      <w:r w:rsidR="005D6879">
        <w:rPr>
          <w:b/>
          <w:szCs w:val="22"/>
        </w:rPr>
        <w:t xml:space="preserve"> 202</w:t>
      </w:r>
      <w:r w:rsidR="001F1386">
        <w:rPr>
          <w:b/>
          <w:szCs w:val="22"/>
        </w:rPr>
        <w:t>3</w:t>
      </w:r>
      <w:r w:rsidR="005D6879">
        <w:rPr>
          <w:b/>
          <w:szCs w:val="22"/>
        </w:rPr>
        <w:t xml:space="preserve">, </w:t>
      </w:r>
      <w:r w:rsidR="0077401A">
        <w:rPr>
          <w:b/>
          <w:szCs w:val="22"/>
        </w:rPr>
        <w:t xml:space="preserve">LPFM </w:t>
      </w:r>
      <w:r w:rsidR="005D6879">
        <w:rPr>
          <w:b/>
          <w:szCs w:val="22"/>
        </w:rPr>
        <w:t>FILING WINDOW</w:t>
      </w:r>
    </w:p>
    <w:p w:rsidR="005D6879" w:rsidP="0091196C" w14:paraId="470160B4" w14:textId="4D7ED8F2">
      <w:pPr>
        <w:jc w:val="center"/>
        <w:outlineLvl w:val="0"/>
        <w:rPr>
          <w:b/>
          <w:szCs w:val="22"/>
        </w:rPr>
      </w:pPr>
      <w:r w:rsidRPr="005D6879">
        <w:rPr>
          <w:b/>
          <w:szCs w:val="22"/>
        </w:rPr>
        <w:t xml:space="preserve"> </w:t>
      </w:r>
    </w:p>
    <w:p w:rsidR="005C5237" w:rsidP="009F5DEB" w14:paraId="0D77F3C4" w14:textId="5A5FB1FF">
      <w:pPr>
        <w:widowControl/>
        <w:autoSpaceDE w:val="0"/>
        <w:autoSpaceDN w:val="0"/>
        <w:adjustRightInd w:val="0"/>
        <w:ind w:firstLine="720"/>
        <w:rPr>
          <w:szCs w:val="22"/>
        </w:rPr>
      </w:pPr>
      <w:r>
        <w:rPr>
          <w:snapToGrid/>
          <w:kern w:val="0"/>
          <w:szCs w:val="22"/>
        </w:rPr>
        <w:t>On March 15, 202</w:t>
      </w:r>
      <w:r w:rsidR="00815DFB">
        <w:rPr>
          <w:snapToGrid/>
          <w:kern w:val="0"/>
          <w:szCs w:val="22"/>
        </w:rPr>
        <w:t>4</w:t>
      </w:r>
      <w:r>
        <w:rPr>
          <w:snapToGrid/>
          <w:kern w:val="0"/>
          <w:szCs w:val="22"/>
        </w:rPr>
        <w:t>, the</w:t>
      </w:r>
      <w:r w:rsidRPr="00330376" w:rsidR="00773E64">
        <w:rPr>
          <w:snapToGrid/>
          <w:kern w:val="0"/>
          <w:szCs w:val="22"/>
        </w:rPr>
        <w:t xml:space="preserve"> Media Bureau (Bureau)</w:t>
      </w:r>
      <w:r>
        <w:rPr>
          <w:snapToGrid/>
          <w:kern w:val="0"/>
          <w:szCs w:val="22"/>
        </w:rPr>
        <w:t xml:space="preserve"> released a Public Notice to</w:t>
      </w:r>
      <w:r w:rsidRPr="00330376" w:rsidR="00773E64">
        <w:rPr>
          <w:snapToGrid/>
          <w:kern w:val="0"/>
          <w:szCs w:val="22"/>
        </w:rPr>
        <w:t xml:space="preserve"> </w:t>
      </w:r>
      <w:r>
        <w:rPr>
          <w:snapToGrid/>
          <w:kern w:val="0"/>
          <w:szCs w:val="22"/>
        </w:rPr>
        <w:t xml:space="preserve">(1) </w:t>
      </w:r>
      <w:r w:rsidRPr="00330376" w:rsidR="00773E64">
        <w:rPr>
          <w:snapToGrid/>
          <w:kern w:val="0"/>
          <w:szCs w:val="22"/>
        </w:rPr>
        <w:t>identif</w:t>
      </w:r>
      <w:r>
        <w:rPr>
          <w:snapToGrid/>
          <w:kern w:val="0"/>
          <w:szCs w:val="22"/>
        </w:rPr>
        <w:t>y</w:t>
      </w:r>
      <w:r w:rsidRPr="00330376" w:rsidR="00773E64">
        <w:rPr>
          <w:snapToGrid/>
          <w:kern w:val="0"/>
          <w:szCs w:val="22"/>
        </w:rPr>
        <w:t xml:space="preserve"> by group all of the mutually exclusive</w:t>
      </w:r>
      <w:r w:rsidR="00773E64">
        <w:rPr>
          <w:snapToGrid/>
          <w:kern w:val="0"/>
          <w:szCs w:val="22"/>
        </w:rPr>
        <w:t xml:space="preserve"> (MX) applications </w:t>
      </w:r>
      <w:r w:rsidR="007C1CD6">
        <w:rPr>
          <w:snapToGrid/>
          <w:kern w:val="0"/>
          <w:szCs w:val="22"/>
        </w:rPr>
        <w:t>submitted</w:t>
      </w:r>
      <w:r w:rsidR="00773E64">
        <w:rPr>
          <w:snapToGrid/>
          <w:kern w:val="0"/>
          <w:szCs w:val="22"/>
        </w:rPr>
        <w:t xml:space="preserve"> in the </w:t>
      </w:r>
      <w:r w:rsidR="007C1CD6">
        <w:rPr>
          <w:snapToGrid/>
          <w:kern w:val="0"/>
          <w:szCs w:val="22"/>
        </w:rPr>
        <w:t>December 2023,</w:t>
      </w:r>
      <w:r w:rsidR="00773E64">
        <w:rPr>
          <w:snapToGrid/>
          <w:kern w:val="0"/>
          <w:szCs w:val="22"/>
        </w:rPr>
        <w:t xml:space="preserve"> </w:t>
      </w:r>
      <w:r w:rsidR="007C1CD6">
        <w:rPr>
          <w:snapToGrid/>
          <w:kern w:val="0"/>
          <w:szCs w:val="22"/>
        </w:rPr>
        <w:t xml:space="preserve">filing window for </w:t>
      </w:r>
      <w:r w:rsidR="007C1CD6">
        <w:rPr>
          <w:szCs w:val="22"/>
        </w:rPr>
        <w:t xml:space="preserve">Form 2100, Schedule 318 applications for </w:t>
      </w:r>
      <w:r w:rsidRPr="003060C8" w:rsidR="007C1CD6">
        <w:rPr>
          <w:szCs w:val="22"/>
        </w:rPr>
        <w:t>Low Power FM (LPFM) new station construction perm</w:t>
      </w:r>
      <w:r w:rsidR="00815DFB">
        <w:rPr>
          <w:szCs w:val="22"/>
        </w:rPr>
        <w:t>its</w:t>
      </w:r>
      <w:r>
        <w:rPr>
          <w:szCs w:val="22"/>
        </w:rPr>
        <w:t>,</w:t>
      </w:r>
      <w:r>
        <w:rPr>
          <w:rStyle w:val="FootnoteReference"/>
          <w:szCs w:val="22"/>
        </w:rPr>
        <w:footnoteReference w:id="3"/>
      </w:r>
      <w:r>
        <w:rPr>
          <w:szCs w:val="22"/>
        </w:rPr>
        <w:t xml:space="preserve"> and (2)</w:t>
      </w:r>
      <w:r>
        <w:rPr>
          <w:snapToGrid/>
          <w:color w:val="2E2E2E"/>
          <w:kern w:val="0"/>
          <w:szCs w:val="22"/>
        </w:rPr>
        <w:t xml:space="preserve"> announce a 60-day period</w:t>
      </w:r>
      <w:r w:rsidR="00FE27D5">
        <w:rPr>
          <w:snapToGrid/>
          <w:color w:val="2E2E2E"/>
          <w:kern w:val="0"/>
          <w:szCs w:val="22"/>
        </w:rPr>
        <w:t>, until May 14, 2024,</w:t>
      </w:r>
      <w:r w:rsidRPr="008172A5">
        <w:rPr>
          <w:snapToGrid/>
          <w:color w:val="2E2E2E"/>
          <w:kern w:val="0"/>
          <w:szCs w:val="22"/>
        </w:rPr>
        <w:t xml:space="preserve"> for </w:t>
      </w:r>
      <w:r w:rsidRPr="008172A5">
        <w:rPr>
          <w:szCs w:val="22"/>
        </w:rPr>
        <w:t>MX applicants</w:t>
      </w:r>
      <w:r w:rsidRPr="005D6879">
        <w:rPr>
          <w:szCs w:val="22"/>
        </w:rPr>
        <w:t xml:space="preserve"> to enter into and file settlement agreements and</w:t>
      </w:r>
      <w:r>
        <w:rPr>
          <w:szCs w:val="22"/>
        </w:rPr>
        <w:t>/or</w:t>
      </w:r>
      <w:r w:rsidRPr="005D6879">
        <w:rPr>
          <w:szCs w:val="22"/>
        </w:rPr>
        <w:t xml:space="preserve"> to submit technical amendments to </w:t>
      </w:r>
      <w:r>
        <w:rPr>
          <w:szCs w:val="22"/>
        </w:rPr>
        <w:t xml:space="preserve">resolve conflicts and </w:t>
      </w:r>
      <w:r w:rsidRPr="005D6879">
        <w:rPr>
          <w:szCs w:val="22"/>
        </w:rPr>
        <w:t xml:space="preserve">expedite the grant of applications filed in the recent </w:t>
      </w:r>
      <w:r>
        <w:rPr>
          <w:szCs w:val="22"/>
        </w:rPr>
        <w:t>LPFM</w:t>
      </w:r>
      <w:r w:rsidRPr="005D6879">
        <w:rPr>
          <w:szCs w:val="22"/>
        </w:rPr>
        <w:t xml:space="preserve"> window</w:t>
      </w:r>
      <w:r>
        <w:rPr>
          <w:szCs w:val="22"/>
        </w:rPr>
        <w:t>.</w:t>
      </w:r>
      <w:r>
        <w:rPr>
          <w:rStyle w:val="FootnoteReference"/>
          <w:szCs w:val="22"/>
        </w:rPr>
        <w:footnoteReference w:id="4"/>
      </w:r>
      <w:r w:rsidR="00AB7CAD">
        <w:rPr>
          <w:szCs w:val="22"/>
        </w:rPr>
        <w:t xml:space="preserve">  </w:t>
      </w:r>
    </w:p>
    <w:p w:rsidR="00FE27D5" w:rsidP="009F5DEB" w14:paraId="59B593E1" w14:textId="77777777">
      <w:pPr>
        <w:widowControl/>
        <w:autoSpaceDE w:val="0"/>
        <w:autoSpaceDN w:val="0"/>
        <w:adjustRightInd w:val="0"/>
        <w:ind w:firstLine="720"/>
        <w:rPr>
          <w:szCs w:val="22"/>
        </w:rPr>
      </w:pPr>
    </w:p>
    <w:p w:rsidR="00FE27D5" w:rsidP="009F5DEB" w14:paraId="0ECD95E4" w14:textId="0264737B">
      <w:pPr>
        <w:widowControl/>
        <w:autoSpaceDE w:val="0"/>
        <w:autoSpaceDN w:val="0"/>
        <w:adjustRightInd w:val="0"/>
        <w:ind w:firstLine="720"/>
        <w:rPr>
          <w:szCs w:val="22"/>
        </w:rPr>
      </w:pPr>
      <w:r>
        <w:rPr>
          <w:szCs w:val="22"/>
        </w:rPr>
        <w:t>The purpose of this Public Notice is to clarify that MX applicants may</w:t>
      </w:r>
      <w:r w:rsidR="003E0F1E">
        <w:rPr>
          <w:szCs w:val="22"/>
        </w:rPr>
        <w:t>, at this time,</w:t>
      </w:r>
      <w:r>
        <w:rPr>
          <w:szCs w:val="22"/>
        </w:rPr>
        <w:t xml:space="preserve"> </w:t>
      </w:r>
      <w:r w:rsidR="003E0F1E">
        <w:rPr>
          <w:szCs w:val="22"/>
        </w:rPr>
        <w:t>also submit time-share agreements</w:t>
      </w:r>
      <w:r w:rsidR="008A0432">
        <w:rPr>
          <w:szCs w:val="22"/>
        </w:rPr>
        <w:t xml:space="preserve"> to resolve conflicts</w:t>
      </w:r>
      <w:r w:rsidR="003E0F1E">
        <w:rPr>
          <w:szCs w:val="22"/>
        </w:rPr>
        <w:t>.</w:t>
      </w:r>
      <w:r>
        <w:rPr>
          <w:rStyle w:val="FootnoteReference"/>
          <w:szCs w:val="22"/>
        </w:rPr>
        <w:footnoteReference w:id="5"/>
      </w:r>
      <w:r w:rsidR="00CB4AD0">
        <w:rPr>
          <w:szCs w:val="22"/>
        </w:rPr>
        <w:t xml:space="preserve">  Time-share agreements may be partial or universal, </w:t>
      </w:r>
      <w:r w:rsidRPr="00DE4C21" w:rsidR="007D4A87">
        <w:rPr>
          <w:szCs w:val="22"/>
        </w:rPr>
        <w:t>but</w:t>
      </w:r>
      <w:r w:rsidRPr="00DE4C21" w:rsidR="009F5374">
        <w:rPr>
          <w:szCs w:val="22"/>
        </w:rPr>
        <w:t xml:space="preserve"> </w:t>
      </w:r>
      <w:r w:rsidRPr="00DE4C21" w:rsidR="00CB4AD0">
        <w:rPr>
          <w:szCs w:val="22"/>
        </w:rPr>
        <w:t>are limited to three MX applicants</w:t>
      </w:r>
      <w:r w:rsidRPr="00DE4C21" w:rsidR="007D4A87">
        <w:rPr>
          <w:szCs w:val="22"/>
        </w:rPr>
        <w:t>.</w:t>
      </w:r>
      <w:r>
        <w:rPr>
          <w:rStyle w:val="FootnoteReference"/>
          <w:szCs w:val="22"/>
        </w:rPr>
        <w:footnoteReference w:id="6"/>
      </w:r>
      <w:r w:rsidRPr="00DE4C21" w:rsidR="007D4A87">
        <w:rPr>
          <w:szCs w:val="22"/>
        </w:rPr>
        <w:t xml:space="preserve"> </w:t>
      </w:r>
      <w:r w:rsidRPr="00DE4C21" w:rsidR="000F7928">
        <w:rPr>
          <w:szCs w:val="22"/>
        </w:rPr>
        <w:t xml:space="preserve"> </w:t>
      </w:r>
      <w:r w:rsidRPr="00DE4C21" w:rsidR="007D4A87">
        <w:rPr>
          <w:szCs w:val="22"/>
        </w:rPr>
        <w:t>Any time-share agreement must propose</w:t>
      </w:r>
      <w:r w:rsidRPr="00DE4C21" w:rsidR="00CB4AD0">
        <w:rPr>
          <w:szCs w:val="22"/>
        </w:rPr>
        <w:t xml:space="preserve"> the grant of </w:t>
      </w:r>
      <w:r w:rsidRPr="00DE4C21" w:rsidR="007D4A87">
        <w:rPr>
          <w:szCs w:val="22"/>
        </w:rPr>
        <w:t>technicall</w:t>
      </w:r>
      <w:r w:rsidR="007D4A87">
        <w:rPr>
          <w:szCs w:val="22"/>
        </w:rPr>
        <w:t>y acceptable</w:t>
      </w:r>
      <w:r w:rsidR="00CB4AD0">
        <w:rPr>
          <w:szCs w:val="22"/>
        </w:rPr>
        <w:t xml:space="preserve"> applications</w:t>
      </w:r>
      <w:r w:rsidR="007D4A87">
        <w:rPr>
          <w:szCs w:val="22"/>
        </w:rPr>
        <w:t>, and not create new application conflicts, or make conflicts worse</w:t>
      </w:r>
      <w:r w:rsidR="00CB4AD0">
        <w:rPr>
          <w:szCs w:val="22"/>
        </w:rPr>
        <w:t xml:space="preserve">.  </w:t>
      </w:r>
      <w:r w:rsidR="009F5374">
        <w:rPr>
          <w:szCs w:val="22"/>
        </w:rPr>
        <w:t>During</w:t>
      </w:r>
      <w:r w:rsidR="00CB4AD0">
        <w:rPr>
          <w:szCs w:val="22"/>
        </w:rPr>
        <w:t xml:space="preserve"> this </w:t>
      </w:r>
      <w:r w:rsidR="009F5374">
        <w:rPr>
          <w:szCs w:val="22"/>
        </w:rPr>
        <w:t>settlement period</w:t>
      </w:r>
      <w:r w:rsidR="00CB4AD0">
        <w:rPr>
          <w:szCs w:val="22"/>
        </w:rPr>
        <w:t xml:space="preserve">, </w:t>
      </w:r>
      <w:r w:rsidR="0036768D">
        <w:rPr>
          <w:szCs w:val="22"/>
        </w:rPr>
        <w:t xml:space="preserve">time-share applicants are not required to </w:t>
      </w:r>
      <w:r w:rsidR="005E573B">
        <w:rPr>
          <w:szCs w:val="22"/>
        </w:rPr>
        <w:t>be tied with the</w:t>
      </w:r>
      <w:r w:rsidR="0036768D">
        <w:rPr>
          <w:szCs w:val="22"/>
        </w:rPr>
        <w:t xml:space="preserve"> same </w:t>
      </w:r>
      <w:r w:rsidR="00815DFB">
        <w:rPr>
          <w:szCs w:val="22"/>
        </w:rPr>
        <w:t xml:space="preserve">or highest </w:t>
      </w:r>
      <w:r w:rsidR="0036768D">
        <w:rPr>
          <w:szCs w:val="22"/>
        </w:rPr>
        <w:t>point total</w:t>
      </w:r>
      <w:r w:rsidR="00815DFB">
        <w:rPr>
          <w:szCs w:val="22"/>
        </w:rPr>
        <w:t xml:space="preserve"> in </w:t>
      </w:r>
      <w:r w:rsidR="00815DFB">
        <w:rPr>
          <w:szCs w:val="22"/>
        </w:rPr>
        <w:t>the MX group</w:t>
      </w:r>
      <w:r w:rsidR="0036768D">
        <w:rPr>
          <w:szCs w:val="22"/>
        </w:rPr>
        <w:t>.</w:t>
      </w:r>
      <w:r>
        <w:rPr>
          <w:rStyle w:val="FootnoteReference"/>
          <w:szCs w:val="22"/>
        </w:rPr>
        <w:footnoteReference w:id="7"/>
      </w:r>
      <w:r w:rsidR="0036768D">
        <w:rPr>
          <w:szCs w:val="22"/>
        </w:rPr>
        <w:t xml:space="preserve">  Any</w:t>
      </w:r>
      <w:r w:rsidR="009F5374">
        <w:rPr>
          <w:szCs w:val="22"/>
        </w:rPr>
        <w:t xml:space="preserve"> </w:t>
      </w:r>
      <w:r w:rsidR="00CB4AD0">
        <w:rPr>
          <w:szCs w:val="22"/>
        </w:rPr>
        <w:t>time-share agreement filed for the purpose of point aggregation</w:t>
      </w:r>
      <w:r w:rsidR="0036768D">
        <w:rPr>
          <w:szCs w:val="22"/>
        </w:rPr>
        <w:t xml:space="preserve"> is prohibited at this time</w:t>
      </w:r>
      <w:r w:rsidR="00CB4AD0">
        <w:rPr>
          <w:szCs w:val="22"/>
        </w:rPr>
        <w:t>.</w:t>
      </w:r>
      <w:r>
        <w:rPr>
          <w:rStyle w:val="FootnoteReference"/>
          <w:szCs w:val="22"/>
        </w:rPr>
        <w:footnoteReference w:id="8"/>
      </w:r>
      <w:r w:rsidR="003E0F1E">
        <w:rPr>
          <w:szCs w:val="22"/>
        </w:rPr>
        <w:t xml:space="preserve">  </w:t>
      </w:r>
    </w:p>
    <w:p w:rsidR="00DE4C21" w:rsidP="009F5DEB" w14:paraId="6D9E0D84" w14:textId="77777777">
      <w:pPr>
        <w:widowControl/>
        <w:autoSpaceDE w:val="0"/>
        <w:autoSpaceDN w:val="0"/>
        <w:adjustRightInd w:val="0"/>
        <w:ind w:firstLine="720"/>
        <w:rPr>
          <w:szCs w:val="22"/>
        </w:rPr>
      </w:pPr>
    </w:p>
    <w:p w:rsidR="00815DFB" w:rsidP="00815DFB" w14:paraId="69DEFC39" w14:textId="708103B7">
      <w:pPr>
        <w:tabs>
          <w:tab w:val="left" w:pos="1"/>
          <w:tab w:val="left" w:pos="720"/>
          <w:tab w:val="left" w:pos="1440"/>
          <w:tab w:val="right" w:pos="9360"/>
        </w:tabs>
        <w:rPr>
          <w:szCs w:val="22"/>
        </w:rPr>
      </w:pPr>
      <w:r>
        <w:rPr>
          <w:szCs w:val="22"/>
        </w:rPr>
        <w:tab/>
      </w:r>
      <w:r>
        <w:rPr>
          <w:szCs w:val="22"/>
        </w:rPr>
        <w:tab/>
        <w:t>Any time-share agreement must be in writing, signed by each time-share proponent, and satisfy the following requirements:</w:t>
      </w:r>
    </w:p>
    <w:p w:rsidR="00815DFB" w:rsidP="00815DFB" w14:paraId="2A7F1842" w14:textId="77777777">
      <w:pPr>
        <w:pStyle w:val="ListParagraph"/>
        <w:tabs>
          <w:tab w:val="left" w:pos="1"/>
          <w:tab w:val="left" w:pos="720"/>
          <w:tab w:val="left" w:pos="1440"/>
          <w:tab w:val="right" w:pos="9360"/>
        </w:tabs>
        <w:ind w:left="1080"/>
        <w:rPr>
          <w:szCs w:val="22"/>
        </w:rPr>
      </w:pPr>
    </w:p>
    <w:p w:rsidR="00815DFB" w:rsidP="00815DFB" w14:paraId="68D277FD" w14:textId="77777777">
      <w:pPr>
        <w:pStyle w:val="ListParagraph"/>
        <w:widowControl/>
        <w:numPr>
          <w:ilvl w:val="0"/>
          <w:numId w:val="23"/>
        </w:numPr>
        <w:tabs>
          <w:tab w:val="left" w:pos="1"/>
          <w:tab w:val="left" w:pos="720"/>
          <w:tab w:val="left" w:pos="1440"/>
          <w:tab w:val="right" w:pos="9360"/>
        </w:tabs>
        <w:rPr>
          <w:szCs w:val="22"/>
        </w:rPr>
      </w:pPr>
      <w:r>
        <w:rPr>
          <w:szCs w:val="22"/>
        </w:rPr>
        <w:t>The proposal must specify the proposed hours of operation of each time-share proponent;</w:t>
      </w:r>
    </w:p>
    <w:p w:rsidR="00815DFB" w:rsidP="00815DFB" w14:paraId="6D5200D8" w14:textId="77777777">
      <w:pPr>
        <w:pStyle w:val="ListParagraph"/>
        <w:widowControl/>
        <w:numPr>
          <w:ilvl w:val="0"/>
          <w:numId w:val="23"/>
        </w:numPr>
        <w:tabs>
          <w:tab w:val="left" w:pos="1"/>
          <w:tab w:val="left" w:pos="720"/>
          <w:tab w:val="left" w:pos="1440"/>
          <w:tab w:val="right" w:pos="9360"/>
        </w:tabs>
        <w:rPr>
          <w:szCs w:val="22"/>
        </w:rPr>
      </w:pPr>
      <w:r>
        <w:rPr>
          <w:szCs w:val="22"/>
        </w:rPr>
        <w:t>The proposal must not include simultaneous operation of the time-share proponents; and</w:t>
      </w:r>
    </w:p>
    <w:p w:rsidR="00815DFB" w:rsidRPr="009D6266" w:rsidP="00815DFB" w14:paraId="7DF759CC" w14:textId="77777777">
      <w:pPr>
        <w:pStyle w:val="ListParagraph"/>
        <w:widowControl/>
        <w:numPr>
          <w:ilvl w:val="0"/>
          <w:numId w:val="23"/>
        </w:numPr>
        <w:tabs>
          <w:tab w:val="left" w:pos="1"/>
          <w:tab w:val="left" w:pos="720"/>
          <w:tab w:val="left" w:pos="1440"/>
          <w:tab w:val="right" w:pos="9360"/>
        </w:tabs>
        <w:rPr>
          <w:b/>
          <w:szCs w:val="22"/>
        </w:rPr>
      </w:pPr>
      <w:r>
        <w:rPr>
          <w:szCs w:val="22"/>
        </w:rPr>
        <w:t>Each time-share proponent must propose to operate for at least 10 hours per week.</w:t>
      </w:r>
      <w:r>
        <w:rPr>
          <w:rStyle w:val="FootnoteReference"/>
          <w:szCs w:val="22"/>
        </w:rPr>
        <w:footnoteReference w:id="9"/>
      </w:r>
    </w:p>
    <w:p w:rsidR="00FE627B" w:rsidP="00FE27D5" w14:paraId="59B67802" w14:textId="7007D449">
      <w:pPr>
        <w:widowControl/>
        <w:autoSpaceDE w:val="0"/>
        <w:autoSpaceDN w:val="0"/>
        <w:adjustRightInd w:val="0"/>
        <w:rPr>
          <w:snapToGrid/>
          <w:color w:val="2E2E2E"/>
          <w:kern w:val="0"/>
          <w:szCs w:val="22"/>
        </w:rPr>
      </w:pPr>
    </w:p>
    <w:p w:rsidR="000E7421" w:rsidRPr="005E3830" w:rsidP="005E3830" w14:paraId="35A1022F" w14:textId="1753AE38">
      <w:pPr>
        <w:widowControl/>
        <w:autoSpaceDE w:val="0"/>
        <w:autoSpaceDN w:val="0"/>
        <w:adjustRightInd w:val="0"/>
        <w:rPr>
          <w:snapToGrid/>
          <w:color w:val="2E2E2E"/>
          <w:kern w:val="0"/>
          <w:szCs w:val="22"/>
        </w:rPr>
      </w:pPr>
      <w:r>
        <w:rPr>
          <w:snapToGrid/>
          <w:color w:val="2E2E2E"/>
          <w:kern w:val="0"/>
          <w:szCs w:val="22"/>
        </w:rPr>
        <w:tab/>
        <w:t>Finally, we remind applicants that when considering whether to enter into a settlement or time-share agreement with another MX applicant, the Commission is the official</w:t>
      </w:r>
      <w:r w:rsidR="003A4417">
        <w:rPr>
          <w:snapToGrid/>
          <w:color w:val="2E2E2E"/>
          <w:kern w:val="0"/>
          <w:szCs w:val="22"/>
        </w:rPr>
        <w:t>, and only,</w:t>
      </w:r>
      <w:r>
        <w:rPr>
          <w:snapToGrid/>
          <w:color w:val="2E2E2E"/>
          <w:kern w:val="0"/>
          <w:szCs w:val="22"/>
        </w:rPr>
        <w:t xml:space="preserve"> source for determining and awarding comparative points to MX applicants.</w:t>
      </w:r>
      <w:r>
        <w:rPr>
          <w:rStyle w:val="FootnoteReference"/>
          <w:snapToGrid/>
          <w:kern w:val="0"/>
          <w:szCs w:val="22"/>
        </w:rPr>
        <w:footnoteReference w:id="10"/>
      </w:r>
      <w:r>
        <w:rPr>
          <w:snapToGrid/>
          <w:color w:val="2E2E2E"/>
          <w:kern w:val="0"/>
          <w:szCs w:val="22"/>
        </w:rPr>
        <w:t xml:space="preserve">  Applicants </w:t>
      </w:r>
      <w:r w:rsidR="00A74B1D">
        <w:rPr>
          <w:snapToGrid/>
          <w:color w:val="2E2E2E"/>
          <w:kern w:val="0"/>
          <w:szCs w:val="22"/>
        </w:rPr>
        <w:t>that</w:t>
      </w:r>
      <w:r>
        <w:rPr>
          <w:snapToGrid/>
          <w:color w:val="2E2E2E"/>
          <w:kern w:val="0"/>
          <w:szCs w:val="22"/>
        </w:rPr>
        <w:t xml:space="preserve"> rely on unofficial point predictions from outside sources</w:t>
      </w:r>
      <w:r w:rsidR="00A74B1D">
        <w:rPr>
          <w:snapToGrid/>
          <w:color w:val="2E2E2E"/>
          <w:kern w:val="0"/>
          <w:szCs w:val="22"/>
        </w:rPr>
        <w:t xml:space="preserve"> do so at their own risk,</w:t>
      </w:r>
      <w:r w:rsidR="005E3830">
        <w:rPr>
          <w:snapToGrid/>
          <w:color w:val="2E2E2E"/>
          <w:kern w:val="0"/>
          <w:szCs w:val="22"/>
        </w:rPr>
        <w:t xml:space="preserve"> </w:t>
      </w:r>
      <w:r w:rsidR="00A74B1D">
        <w:rPr>
          <w:snapToGrid/>
          <w:color w:val="2E2E2E"/>
          <w:kern w:val="0"/>
          <w:szCs w:val="22"/>
        </w:rPr>
        <w:t>as s</w:t>
      </w:r>
      <w:r w:rsidR="005E3830">
        <w:rPr>
          <w:snapToGrid/>
          <w:color w:val="2E2E2E"/>
          <w:kern w:val="0"/>
          <w:szCs w:val="22"/>
        </w:rPr>
        <w:t>uch predictions are not binding on the Commission.</w:t>
      </w:r>
    </w:p>
    <w:p w:rsidR="007C1CD6" w:rsidP="00CE25A2" w14:paraId="37A26399" w14:textId="77777777">
      <w:pPr>
        <w:ind w:firstLine="720"/>
        <w:rPr>
          <w:szCs w:val="22"/>
        </w:rPr>
      </w:pPr>
    </w:p>
    <w:p w:rsidR="005D6879" w:rsidRPr="007C1CD6" w:rsidP="007C1CD6" w14:paraId="10980045" w14:textId="53757502">
      <w:pPr>
        <w:ind w:firstLine="720"/>
        <w:rPr>
          <w:szCs w:val="22"/>
        </w:rPr>
      </w:pPr>
      <w:r w:rsidRPr="00EB65AC">
        <w:rPr>
          <w:szCs w:val="22"/>
        </w:rPr>
        <w:t>For additional information</w:t>
      </w:r>
      <w:r>
        <w:rPr>
          <w:szCs w:val="22"/>
        </w:rPr>
        <w:t>,</w:t>
      </w:r>
      <w:r w:rsidRPr="00EB65AC">
        <w:rPr>
          <w:szCs w:val="22"/>
        </w:rPr>
        <w:t xml:space="preserve"> </w:t>
      </w:r>
      <w:r>
        <w:rPr>
          <w:szCs w:val="22"/>
        </w:rPr>
        <w:t xml:space="preserve">please </w:t>
      </w:r>
      <w:r w:rsidRPr="00EB65AC">
        <w:rPr>
          <w:szCs w:val="22"/>
        </w:rPr>
        <w:t>contact</w:t>
      </w:r>
      <w:r>
        <w:rPr>
          <w:szCs w:val="22"/>
        </w:rPr>
        <w:t xml:space="preserve">:  James Bradshaw, </w:t>
      </w:r>
      <w:hyperlink r:id="rId5" w:history="1">
        <w:r w:rsidRPr="00852480">
          <w:rPr>
            <w:rStyle w:val="Hyperlink"/>
            <w:szCs w:val="22"/>
          </w:rPr>
          <w:t>James.Bradshaw@fcc.gov</w:t>
        </w:r>
      </w:hyperlink>
      <w:r>
        <w:rPr>
          <w:szCs w:val="22"/>
        </w:rPr>
        <w:t>;</w:t>
      </w:r>
      <w:r>
        <w:rPr>
          <w:szCs w:val="24"/>
        </w:rPr>
        <w:t xml:space="preserve"> Alexander Sanjenis, </w:t>
      </w:r>
      <w:hyperlink r:id="rId6" w:history="1">
        <w:r w:rsidRPr="00852480">
          <w:rPr>
            <w:rStyle w:val="Hyperlink"/>
            <w:szCs w:val="24"/>
          </w:rPr>
          <w:t>Alexander.Sanjenis@fcc.gov</w:t>
        </w:r>
      </w:hyperlink>
      <w:r>
        <w:rPr>
          <w:szCs w:val="24"/>
        </w:rPr>
        <w:t xml:space="preserve">; Amy Van de Kerckhove, </w:t>
      </w:r>
      <w:hyperlink r:id="rId7" w:history="1">
        <w:r w:rsidRPr="00B87500">
          <w:rPr>
            <w:rStyle w:val="Hyperlink"/>
            <w:szCs w:val="24"/>
          </w:rPr>
          <w:t>Amy.Vandekerckhove@fcc.gov</w:t>
        </w:r>
      </w:hyperlink>
      <w:r>
        <w:rPr>
          <w:szCs w:val="24"/>
        </w:rPr>
        <w:t>; or Lisa Scanlan,</w:t>
      </w:r>
      <w:r w:rsidRPr="00D07C29">
        <w:rPr>
          <w:szCs w:val="24"/>
        </w:rPr>
        <w:t xml:space="preserve"> </w:t>
      </w:r>
      <w:hyperlink r:id="rId8" w:history="1">
        <w:r w:rsidRPr="00B85007">
          <w:rPr>
            <w:rStyle w:val="Hyperlink"/>
            <w:szCs w:val="24"/>
          </w:rPr>
          <w:t>Lisa.Scanlan@fcc.gov</w:t>
        </w:r>
      </w:hyperlink>
      <w:r>
        <w:rPr>
          <w:szCs w:val="24"/>
        </w:rPr>
        <w:t xml:space="preserve"> </w:t>
      </w:r>
      <w:r w:rsidRPr="00D07C29">
        <w:rPr>
          <w:szCs w:val="24"/>
        </w:rPr>
        <w:t xml:space="preserve">of the Media Bureau, Audio Division.  </w:t>
      </w:r>
      <w:bookmarkStart w:id="1" w:name="SR;25135"/>
      <w:bookmarkStart w:id="2" w:name="SR;25145"/>
      <w:bookmarkEnd w:id="1"/>
      <w:bookmarkEnd w:id="2"/>
    </w:p>
    <w:p w:rsidR="005D6879" w:rsidRPr="005D6879" w:rsidP="005D6879" w14:paraId="11159502" w14:textId="77777777">
      <w:pPr>
        <w:rPr>
          <w:szCs w:val="22"/>
        </w:rPr>
      </w:pPr>
    </w:p>
    <w:p w:rsidR="005D6879" w:rsidRPr="009C2A8F" w:rsidP="009C2A8F" w14:paraId="748EAB16" w14:textId="782F54E7">
      <w:pPr>
        <w:jc w:val="center"/>
        <w:rPr>
          <w:b/>
          <w:szCs w:val="22"/>
        </w:rPr>
      </w:pPr>
      <w:r w:rsidRPr="005D6879">
        <w:rPr>
          <w:b/>
          <w:szCs w:val="22"/>
        </w:rPr>
        <w:t>- FCC</w:t>
      </w:r>
      <w:r w:rsidR="000A18EC">
        <w:rPr>
          <w:b/>
          <w:szCs w:val="22"/>
        </w:rPr>
        <w:t xml:space="preserve"> -</w:t>
      </w:r>
      <w:r w:rsidRPr="005D6879">
        <w:rPr>
          <w:b/>
          <w:szCs w:val="22"/>
        </w:rPr>
        <w:t xml:space="preserve"> </w:t>
      </w:r>
    </w:p>
    <w:p w:rsidR="005515FF" w:rsidP="005515FF" w14:paraId="7E6EF26B" w14:textId="77777777">
      <w:pPr>
        <w:jc w:val="center"/>
        <w:outlineLvl w:val="0"/>
        <w:rPr>
          <w:bCs/>
          <w:szCs w:val="22"/>
        </w:rPr>
      </w:pPr>
    </w:p>
    <w:bookmarkEnd w:id="0"/>
    <w:p w:rsidR="00666062" w:rsidRPr="00564D59" w:rsidP="00757307" w14:paraId="22E2A69D" w14:textId="537AFD0E">
      <w:pPr>
        <w:jc w:val="center"/>
        <w:rPr>
          <w:b/>
          <w:szCs w:val="22"/>
        </w:rPr>
      </w:pPr>
    </w:p>
    <w:sectPr w:rsidSect="00530BDD">
      <w:headerReference w:type="default" r:id="rId9"/>
      <w:footerReference w:type="even" r:id="rId10"/>
      <w:footerReference w:type="default" r:id="rId11"/>
      <w:headerReference w:type="first" r:id="rId12"/>
      <w:footerReference w:type="first" r:id="rId13"/>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P="0055614C" w14:paraId="5784BEE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6062" w14:paraId="1A9B6A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P="0055614C" w14:paraId="1B5DC072"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66062" w14:paraId="76ACA669" w14:textId="77777777">
    <w:pPr>
      <w:spacing w:before="140" w:line="100" w:lineRule="exact"/>
      <w:rPr>
        <w:sz w:val="10"/>
      </w:rPr>
    </w:pPr>
  </w:p>
  <w:p w:rsidR="00666062" w14:paraId="5878F18B" w14:textId="77777777">
    <w:pPr>
      <w:suppressAutoHyphens/>
      <w:spacing w:line="227" w:lineRule="auto"/>
    </w:pPr>
  </w:p>
  <w:p w:rsidR="00666062" w14:paraId="32D754D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14:paraId="564AE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BDD" w14:paraId="5EA71CEA" w14:textId="77777777">
      <w:r>
        <w:separator/>
      </w:r>
    </w:p>
  </w:footnote>
  <w:footnote w:type="continuationSeparator" w:id="1">
    <w:p w:rsidR="00530BDD" w14:paraId="2EC1E287" w14:textId="77777777">
      <w:pPr>
        <w:rPr>
          <w:sz w:val="20"/>
        </w:rPr>
      </w:pPr>
      <w:r>
        <w:rPr>
          <w:sz w:val="20"/>
        </w:rPr>
        <w:t xml:space="preserve">(Continued from previous page)  </w:t>
      </w:r>
      <w:r>
        <w:rPr>
          <w:sz w:val="20"/>
        </w:rPr>
        <w:separator/>
      </w:r>
    </w:p>
  </w:footnote>
  <w:footnote w:type="continuationNotice" w:id="2">
    <w:p w:rsidR="00530BDD" w14:paraId="5792C206" w14:textId="77777777">
      <w:pPr>
        <w:rPr>
          <w:sz w:val="20"/>
        </w:rPr>
      </w:pPr>
      <w:r>
        <w:rPr>
          <w:sz w:val="20"/>
        </w:rPr>
        <w:t>(continued….)</w:t>
      </w:r>
    </w:p>
  </w:footnote>
  <w:footnote w:id="3">
    <w:p w:rsidR="007C1CD6" w:rsidRPr="00E21F4D" w:rsidP="007C1CD6" w14:paraId="4ADB7C12" w14:textId="25ADCCE3">
      <w:pPr>
        <w:pStyle w:val="FootnoteText"/>
        <w:rPr>
          <w:i/>
          <w:iCs/>
        </w:rPr>
      </w:pPr>
      <w:r>
        <w:rPr>
          <w:rStyle w:val="FootnoteReference"/>
        </w:rPr>
        <w:footnoteRef/>
      </w:r>
      <w:r>
        <w:t xml:space="preserve"> </w:t>
      </w:r>
      <w:r w:rsidR="005E3830">
        <w:rPr>
          <w:i/>
          <w:iCs/>
        </w:rPr>
        <w:t xml:space="preserve">See </w:t>
      </w:r>
      <w:r>
        <w:rPr>
          <w:i/>
          <w:iCs/>
        </w:rPr>
        <w:t>Media Bureau Announces Filing Procedures and Requirements for November 1 – November 8, 2023, Low Power FM Filing Window</w:t>
      </w:r>
      <w:r>
        <w:t xml:space="preserve">, Public Notice, DA 23-642 (MB July 31, 2023); </w:t>
      </w:r>
      <w:r>
        <w:rPr>
          <w:i/>
          <w:iCs/>
        </w:rPr>
        <w:t xml:space="preserve">Media Bureau Announces Revised Dates for LPFM New Station Application Filing Window; Window Open from December 6, 2023 to December 13, 2023, </w:t>
      </w:r>
      <w:r>
        <w:t>Public Notice, DA 23-984 (MB October 17, 2023).</w:t>
      </w:r>
      <w:r>
        <w:rPr>
          <w:i/>
          <w:iCs/>
        </w:rPr>
        <w:t xml:space="preserve"> </w:t>
      </w:r>
    </w:p>
  </w:footnote>
  <w:footnote w:id="4">
    <w:p w:rsidR="00B23890" w:rsidRPr="00FE27D5" w14:paraId="42667D1F" w14:textId="39321A09">
      <w:pPr>
        <w:pStyle w:val="FootnoteText"/>
        <w:rPr>
          <w:i/>
          <w:iCs/>
        </w:rPr>
      </w:pPr>
      <w:r>
        <w:rPr>
          <w:rStyle w:val="FootnoteReference"/>
        </w:rPr>
        <w:footnoteRef/>
      </w:r>
      <w:r>
        <w:t xml:space="preserve"> </w:t>
      </w:r>
      <w:r w:rsidR="00FE27D5">
        <w:rPr>
          <w:i/>
          <w:iCs/>
        </w:rPr>
        <w:t>See</w:t>
      </w:r>
      <w:r w:rsidR="00873F60">
        <w:rPr>
          <w:i/>
          <w:iCs/>
        </w:rPr>
        <w:t xml:space="preserve"> Media Bureau Identifies Groups of Mutually Exclusive Applications Submitted in the December 2023, LPFM Filing Window; Opens Window To Accept Settlements and Technical Amendments, </w:t>
      </w:r>
      <w:r w:rsidR="00873F60">
        <w:t>Public Notice, DA 24-256 (MB March 15, 2024) (</w:t>
      </w:r>
      <w:r w:rsidR="00873F60">
        <w:rPr>
          <w:i/>
          <w:iCs/>
        </w:rPr>
        <w:t>Settlement Notice</w:t>
      </w:r>
      <w:r w:rsidR="00873F60">
        <w:t>).</w:t>
      </w:r>
      <w:r w:rsidR="00FE27D5">
        <w:rPr>
          <w:i/>
          <w:iCs/>
        </w:rPr>
        <w:t xml:space="preserve"> </w:t>
      </w:r>
    </w:p>
  </w:footnote>
  <w:footnote w:id="5">
    <w:p w:rsidR="003E0F1E" w:rsidRPr="003E0F1E" w14:paraId="5D8087C0" w14:textId="57532BCD">
      <w:pPr>
        <w:pStyle w:val="FootnoteText"/>
      </w:pPr>
      <w:r>
        <w:rPr>
          <w:rStyle w:val="FootnoteReference"/>
        </w:rPr>
        <w:footnoteRef/>
      </w:r>
      <w:r>
        <w:t xml:space="preserve"> </w:t>
      </w:r>
      <w:r>
        <w:rPr>
          <w:i/>
          <w:iCs/>
        </w:rPr>
        <w:t xml:space="preserve">See </w:t>
      </w:r>
      <w:r>
        <w:t>47 CFR § 73.872(e)</w:t>
      </w:r>
      <w:r w:rsidR="00A4018F">
        <w:t xml:space="preserve"> (providing that settlement proposals may include time-share agreements).</w:t>
      </w:r>
      <w:r>
        <w:t xml:space="preserve"> </w:t>
      </w:r>
    </w:p>
  </w:footnote>
  <w:footnote w:id="6">
    <w:p w:rsidR="00A4018F" w:rsidRPr="004D5F54" w14:paraId="7C79A92E" w14:textId="6ABC742D">
      <w:pPr>
        <w:pStyle w:val="FootnoteText"/>
        <w:rPr>
          <w:i/>
          <w:iCs/>
        </w:rPr>
      </w:pPr>
      <w:r>
        <w:rPr>
          <w:rStyle w:val="FootnoteReference"/>
        </w:rPr>
        <w:footnoteRef/>
      </w:r>
      <w:r>
        <w:t xml:space="preserve"> </w:t>
      </w:r>
      <w:r>
        <w:rPr>
          <w:i/>
          <w:iCs/>
        </w:rPr>
        <w:t xml:space="preserve">Id. </w:t>
      </w:r>
      <w:r>
        <w:t>(</w:t>
      </w:r>
      <w:r w:rsidR="00E4121A">
        <w:t>specifying</w:t>
      </w:r>
      <w:r>
        <w:t xml:space="preserve"> time-share agreements </w:t>
      </w:r>
      <w:r w:rsidR="00E4121A">
        <w:t>must</w:t>
      </w:r>
      <w:r w:rsidR="00F71FDE">
        <w:t xml:space="preserve"> </w:t>
      </w:r>
      <w:r>
        <w:t>comply with the requirements of paragraph (c) of section 73.872);</w:t>
      </w:r>
      <w:r>
        <w:rPr>
          <w:i/>
          <w:iCs/>
        </w:rPr>
        <w:t xml:space="preserve"> </w:t>
      </w:r>
      <w:r>
        <w:t>47 CFR § 73.872(c)</w:t>
      </w:r>
      <w:r w:rsidR="005E3830">
        <w:t xml:space="preserve"> </w:t>
      </w:r>
      <w:r>
        <w:t>(limiting time-sharing to no more than three MX applicants).</w:t>
      </w:r>
      <w:r w:rsidR="004D5F54">
        <w:t xml:space="preserve">  </w:t>
      </w:r>
      <w:r w:rsidR="004D5F54">
        <w:rPr>
          <w:i/>
          <w:iCs/>
        </w:rPr>
        <w:t>See also</w:t>
      </w:r>
      <w:r w:rsidRPr="00613EED" w:rsidR="00CA6152">
        <w:rPr>
          <w:i/>
          <w:iCs/>
        </w:rPr>
        <w:t xml:space="preserve"> </w:t>
      </w:r>
      <w:r w:rsidRPr="00613EED" w:rsidR="00CA6152">
        <w:rPr>
          <w:rStyle w:val="Emphasis"/>
          <w:bdr w:val="none" w:sz="0" w:space="0" w:color="auto" w:frame="1"/>
        </w:rPr>
        <w:t>Reexamination of the Comparative Standards and Procedures for Licensing Noncommercial Educational Broadcast Stations and Low Power FM Stations</w:t>
      </w:r>
      <w:r w:rsidRPr="00613EED" w:rsidR="00CA6152">
        <w:t xml:space="preserve">, MB Docket No. 19-3, Report and Order, 34 FCC </w:t>
      </w:r>
      <w:r w:rsidRPr="00613EED" w:rsidR="00CA6152">
        <w:t>Rcd</w:t>
      </w:r>
      <w:r w:rsidRPr="00613EED" w:rsidR="00CA6152">
        <w:t xml:space="preserve"> 12519, 125</w:t>
      </w:r>
      <w:r w:rsidR="004D1A80">
        <w:t>36</w:t>
      </w:r>
      <w:r w:rsidRPr="00613EED" w:rsidR="00CA6152">
        <w:t xml:space="preserve">, para. </w:t>
      </w:r>
      <w:r w:rsidR="001517FF">
        <w:t>40</w:t>
      </w:r>
      <w:r w:rsidR="00701A93">
        <w:t xml:space="preserve"> &amp;</w:t>
      </w:r>
      <w:r w:rsidR="00CA6152">
        <w:t xml:space="preserve"> n</w:t>
      </w:r>
      <w:r w:rsidR="00701A93">
        <w:t>.</w:t>
      </w:r>
      <w:r w:rsidR="00CA6152">
        <w:t>123</w:t>
      </w:r>
      <w:r w:rsidRPr="00613EED" w:rsidR="00CA6152">
        <w:t xml:space="preserve"> (2019)</w:t>
      </w:r>
      <w:r w:rsidR="00CA6152">
        <w:t xml:space="preserve"> (clarifying that the three applicant limit applies to any time-sharing agreement incorporated in an overall settlement under 47 CFR § 73.872(e)). </w:t>
      </w:r>
    </w:p>
  </w:footnote>
  <w:footnote w:id="7">
    <w:p w:rsidR="005E573B" w14:paraId="6CBE594E" w14:textId="16415504">
      <w:pPr>
        <w:pStyle w:val="FootnoteText"/>
      </w:pPr>
      <w:r>
        <w:rPr>
          <w:rStyle w:val="FootnoteReference"/>
        </w:rPr>
        <w:footnoteRef/>
      </w:r>
      <w:r>
        <w:t xml:space="preserve"> </w:t>
      </w:r>
      <w:r w:rsidRPr="003060C8" w:rsidR="005C35C4">
        <w:rPr>
          <w:szCs w:val="22"/>
          <w:shd w:val="clear" w:color="auto" w:fill="FFFFFF"/>
        </w:rPr>
        <w:t xml:space="preserve">The LPFM point system awards a maximum of </w:t>
      </w:r>
      <w:r w:rsidRPr="003060C8" w:rsidR="005C35C4">
        <w:rPr>
          <w:szCs w:val="22"/>
        </w:rPr>
        <w:t xml:space="preserve">six merit points, based on six criteria, with one point awarded under each criterion:  (1) established community presence of at least two years; (2) commitment to originate local programming; (3) commitment to maintain a main studio; (4) commitment </w:t>
      </w:r>
      <w:r w:rsidR="005C35C4">
        <w:rPr>
          <w:szCs w:val="22"/>
        </w:rPr>
        <w:t xml:space="preserve">both </w:t>
      </w:r>
      <w:r w:rsidRPr="003060C8" w:rsidR="005C35C4">
        <w:rPr>
          <w:szCs w:val="22"/>
        </w:rPr>
        <w:t>to originate local programming and to maintain a main studio; (5) diversity of ownership; and (6) Tribal applicants serving Tribal lands</w:t>
      </w:r>
      <w:r w:rsidR="005C35C4">
        <w:t xml:space="preserve">.  </w:t>
      </w:r>
      <w:r w:rsidR="005C35C4">
        <w:rPr>
          <w:i/>
          <w:iCs/>
        </w:rPr>
        <w:t xml:space="preserve">See </w:t>
      </w:r>
      <w:r w:rsidR="005C35C4">
        <w:t xml:space="preserve">47 CFR </w:t>
      </w:r>
      <w:r w:rsidRPr="002B5497" w:rsidR="005C35C4">
        <w:t>§ 73.872</w:t>
      </w:r>
      <w:r w:rsidR="005C35C4">
        <w:t xml:space="preserve">(b).  </w:t>
      </w:r>
    </w:p>
  </w:footnote>
  <w:footnote w:id="8">
    <w:p w:rsidR="00873F60" w:rsidRPr="00873F60" w14:paraId="528E204C" w14:textId="4DEB0A49">
      <w:pPr>
        <w:pStyle w:val="FootnoteText"/>
      </w:pPr>
      <w:r>
        <w:rPr>
          <w:rStyle w:val="FootnoteReference"/>
        </w:rPr>
        <w:footnoteRef/>
      </w:r>
      <w:r>
        <w:t xml:space="preserve"> As explained in the </w:t>
      </w:r>
      <w:r>
        <w:rPr>
          <w:i/>
          <w:iCs/>
        </w:rPr>
        <w:t>Settlement Notice</w:t>
      </w:r>
      <w:r>
        <w:t>,</w:t>
      </w:r>
      <w:r w:rsidR="0036768D">
        <w:t xml:space="preserve"> a</w:t>
      </w:r>
      <w:r w:rsidRPr="00DB47CA" w:rsidR="0036768D">
        <w:t xml:space="preserve">lthough LPFM applicants may communicate and collaborate at any time on aggregating their points and entering into voluntary time-sharing agreements, time share proposals </w:t>
      </w:r>
      <w:r w:rsidR="0036768D">
        <w:t xml:space="preserve">for the purpose of point aggregation </w:t>
      </w:r>
      <w:r w:rsidRPr="00DB47CA" w:rsidR="0036768D">
        <w:t xml:space="preserve">cannot be submitted at this time.  </w:t>
      </w:r>
      <w:r w:rsidR="0036768D">
        <w:t>A</w:t>
      </w:r>
      <w:r w:rsidRPr="00DB47CA" w:rsidR="0036768D">
        <w:t xml:space="preserve">ny </w:t>
      </w:r>
      <w:r w:rsidR="0036768D">
        <w:t xml:space="preserve">such </w:t>
      </w:r>
      <w:r w:rsidRPr="00DB47CA" w:rsidR="0036768D">
        <w:t xml:space="preserve">time-share proposal may </w:t>
      </w:r>
      <w:r w:rsidRPr="00DB47CA" w:rsidR="0036768D">
        <w:rPr>
          <w:i/>
          <w:iCs/>
        </w:rPr>
        <w:t>only</w:t>
      </w:r>
      <w:r w:rsidRPr="00DB47CA" w:rsidR="0036768D">
        <w:t xml:space="preserve"> be electronically submitted within 90 days after the release of the </w:t>
      </w:r>
      <w:r w:rsidR="0036768D">
        <w:t>public notice announcing</w:t>
      </w:r>
      <w:r w:rsidRPr="00C53064" w:rsidR="0036768D">
        <w:rPr>
          <w:i/>
          <w:iCs/>
        </w:rPr>
        <w:t xml:space="preserve"> </w:t>
      </w:r>
      <w:r w:rsidR="0036768D">
        <w:t xml:space="preserve">the tentative selectees in an MX group.  </w:t>
      </w:r>
      <w:r w:rsidR="0036768D">
        <w:rPr>
          <w:i/>
          <w:iCs/>
        </w:rPr>
        <w:t xml:space="preserve">See Settlement Notice </w:t>
      </w:r>
      <w:r w:rsidR="0036768D">
        <w:t>at n</w:t>
      </w:r>
      <w:r w:rsidR="00701A93">
        <w:t>.</w:t>
      </w:r>
      <w:r w:rsidR="0036768D">
        <w:t>11.</w:t>
      </w:r>
      <w:r>
        <w:t xml:space="preserve"> </w:t>
      </w:r>
    </w:p>
  </w:footnote>
  <w:footnote w:id="9">
    <w:p w:rsidR="00815DFB" w:rsidP="00815DFB" w14:paraId="153CE6B7" w14:textId="77777777">
      <w:pPr>
        <w:pStyle w:val="FootnoteText"/>
      </w:pPr>
      <w:r>
        <w:rPr>
          <w:rStyle w:val="FootnoteReference"/>
        </w:rPr>
        <w:footnoteRef/>
      </w:r>
      <w:r>
        <w:t xml:space="preserve"> 47 CFR </w:t>
      </w:r>
      <w:r w:rsidRPr="002B5497">
        <w:t>73.872(</w:t>
      </w:r>
      <w:r>
        <w:t>c</w:t>
      </w:r>
      <w:r w:rsidRPr="002B5497">
        <w:t>)</w:t>
      </w:r>
      <w:r>
        <w:t xml:space="preserve">(1).  </w:t>
      </w:r>
    </w:p>
  </w:footnote>
  <w:footnote w:id="10">
    <w:p w:rsidR="003E0F1E" w14:paraId="691115FF" w14:textId="6D3EF5E0">
      <w:pPr>
        <w:pStyle w:val="FootnoteText"/>
      </w:pPr>
      <w:r>
        <w:rPr>
          <w:rStyle w:val="FootnoteReference"/>
        </w:rPr>
        <w:footnoteRef/>
      </w:r>
      <w:r>
        <w:t xml:space="preserve"> </w:t>
      </w:r>
      <w:r w:rsidR="005E573B">
        <w:t xml:space="preserve">The Commission compares </w:t>
      </w:r>
      <w:r w:rsidRPr="003060C8" w:rsidR="005E573B">
        <w:rPr>
          <w:szCs w:val="22"/>
          <w:shd w:val="clear" w:color="auto" w:fill="FFFFFF"/>
        </w:rPr>
        <w:t xml:space="preserve">MX </w:t>
      </w:r>
      <w:r w:rsidR="005E573B">
        <w:rPr>
          <w:szCs w:val="22"/>
          <w:shd w:val="clear" w:color="auto" w:fill="FFFFFF"/>
        </w:rPr>
        <w:t>applications</w:t>
      </w:r>
      <w:r w:rsidRPr="003060C8" w:rsidR="005E573B">
        <w:rPr>
          <w:szCs w:val="22"/>
          <w:shd w:val="clear" w:color="auto" w:fill="FFFFFF"/>
        </w:rPr>
        <w:t xml:space="preserve"> under the LPFM point system</w:t>
      </w:r>
      <w:r w:rsidR="005E573B">
        <w:rPr>
          <w:szCs w:val="22"/>
          <w:shd w:val="clear" w:color="auto" w:fill="FFFFFF"/>
        </w:rPr>
        <w:t xml:space="preserve"> and </w:t>
      </w:r>
      <w:r w:rsidRPr="003060C8" w:rsidR="005E573B">
        <w:rPr>
          <w:szCs w:val="22"/>
          <w:shd w:val="clear" w:color="auto" w:fill="FFFFFF"/>
        </w:rPr>
        <w:t>tentatively select</w:t>
      </w:r>
      <w:r w:rsidR="005E573B">
        <w:rPr>
          <w:szCs w:val="22"/>
          <w:shd w:val="clear" w:color="auto" w:fill="FFFFFF"/>
        </w:rPr>
        <w:t>s</w:t>
      </w:r>
      <w:r w:rsidRPr="003060C8" w:rsidR="005E573B">
        <w:rPr>
          <w:szCs w:val="22"/>
          <w:shd w:val="clear" w:color="auto" w:fill="FFFFFF"/>
        </w:rPr>
        <w:t xml:space="preserve"> the application(s) with the highest point total from each MX group for grant</w:t>
      </w:r>
      <w:r w:rsidR="005E573B">
        <w:rPr>
          <w:szCs w:val="22"/>
          <w:shd w:val="clear" w:color="auto" w:fill="FFFFFF"/>
        </w:rPr>
        <w:t xml:space="preserve">.  </w:t>
      </w:r>
      <w:r w:rsidR="005E573B">
        <w:rPr>
          <w:i/>
          <w:iCs/>
          <w:szCs w:val="22"/>
          <w:shd w:val="clear" w:color="auto" w:fill="FFFFFF"/>
        </w:rPr>
        <w:t xml:space="preserve">See </w:t>
      </w:r>
      <w:r w:rsidR="005E573B">
        <w:rPr>
          <w:szCs w:val="22"/>
          <w:shd w:val="clear" w:color="auto" w:fill="FFFFFF"/>
        </w:rPr>
        <w:t>47 CFR § 73.872(b).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RPr="00C37A2D" w:rsidP="00C37A2D" w14:paraId="06784AE3" w14:textId="4BA97795">
    <w:pPr>
      <w:pStyle w:val="Header"/>
      <w:rPr>
        <w:sz w:val="24"/>
        <w:szCs w:val="24"/>
      </w:rPr>
    </w:pPr>
    <w:r w:rsidRPr="00C37A2D">
      <w:rPr>
        <w:sz w:val="24"/>
        <w:szCs w:val="24"/>
      </w:rPr>
      <w:tab/>
      <w:t>Federal Communications Commission</w:t>
    </w:r>
    <w:r w:rsidRPr="00C37A2D">
      <w:rPr>
        <w:sz w:val="24"/>
        <w:szCs w:val="24"/>
      </w:rPr>
      <w:tab/>
    </w:r>
    <w:r w:rsidR="006E5C64">
      <w:rPr>
        <w:sz w:val="24"/>
        <w:szCs w:val="24"/>
      </w:rPr>
      <w:t>DA 2</w:t>
    </w:r>
    <w:r w:rsidR="00255841">
      <w:rPr>
        <w:sz w:val="24"/>
        <w:szCs w:val="24"/>
      </w:rPr>
      <w:t>4</w:t>
    </w:r>
    <w:r>
      <w:rPr>
        <w:sz w:val="24"/>
        <w:szCs w:val="24"/>
      </w:rPr>
      <w:t>-</w:t>
    </w:r>
    <w:r w:rsidR="00605724">
      <w:rPr>
        <w:sz w:val="24"/>
        <w:szCs w:val="24"/>
      </w:rPr>
      <w:t>288</w:t>
    </w:r>
  </w:p>
  <w:p w:rsidR="00666062" w14:paraId="4FDDA94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66062" w14:paraId="05B4C9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062" w:rsidRPr="00C37A2D" w:rsidP="00C37A2D" w14:paraId="104F443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666062" w:rsidP="00C37A2D" w14:paraId="4BF91938"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66062" w:rsidP="00C82B6B" w14:textId="77777777">
                          <w:pPr>
                            <w:rPr>
                              <w:rFonts w:ascii="Arial" w:hAnsi="Arial"/>
                              <w:b/>
                            </w:rPr>
                          </w:pPr>
                          <w:r>
                            <w:rPr>
                              <w:rFonts w:ascii="Arial" w:hAnsi="Arial"/>
                              <w:b/>
                            </w:rPr>
                            <w:t>Federal Communications Commission</w:t>
                          </w:r>
                        </w:p>
                        <w:p w:rsidR="00360E76" w:rsidP="00360E76" w14:textId="77777777">
                          <w:pPr>
                            <w:rPr>
                              <w:rFonts w:ascii="Arial" w:hAnsi="Arial"/>
                              <w:b/>
                            </w:rPr>
                          </w:pPr>
                          <w:r>
                            <w:rPr>
                              <w:rFonts w:ascii="Arial" w:hAnsi="Arial"/>
                              <w:b/>
                            </w:rPr>
                            <w:t>45 L St., N.E.</w:t>
                          </w:r>
                        </w:p>
                        <w:p w:rsidR="00666062" w:rsidP="00C82B6B"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666062" w:rsidP="00C82B6B" w14:paraId="2FE0B763" w14:textId="77777777">
                    <w:pPr>
                      <w:rPr>
                        <w:rFonts w:ascii="Arial" w:hAnsi="Arial"/>
                        <w:b/>
                      </w:rPr>
                    </w:pPr>
                    <w:r>
                      <w:rPr>
                        <w:rFonts w:ascii="Arial" w:hAnsi="Arial"/>
                        <w:b/>
                      </w:rPr>
                      <w:t>Federal Communications Commission</w:t>
                    </w:r>
                  </w:p>
                  <w:p w:rsidR="00360E76" w:rsidP="00360E76" w14:paraId="27C44AA7" w14:textId="77777777">
                    <w:pPr>
                      <w:rPr>
                        <w:rFonts w:ascii="Arial" w:hAnsi="Arial"/>
                        <w:b/>
                      </w:rPr>
                    </w:pPr>
                    <w:r>
                      <w:rPr>
                        <w:rFonts w:ascii="Arial" w:hAnsi="Arial"/>
                        <w:b/>
                      </w:rPr>
                      <w:t>45 L St., N.E.</w:t>
                    </w:r>
                  </w:p>
                  <w:p w:rsidR="00666062" w:rsidP="00C82B6B" w14:paraId="1765D685"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66062" w:rsidP="00C82B6B" w14:textId="77777777">
                          <w:pPr>
                            <w:spacing w:before="40"/>
                            <w:jc w:val="right"/>
                            <w:rPr>
                              <w:rFonts w:ascii="Arial" w:hAnsi="Arial"/>
                              <w:b/>
                              <w:sz w:val="16"/>
                            </w:rPr>
                          </w:pPr>
                          <w:r>
                            <w:rPr>
                              <w:rFonts w:ascii="Arial" w:hAnsi="Arial"/>
                              <w:b/>
                              <w:sz w:val="16"/>
                            </w:rPr>
                            <w:t>News Media Information: 202-418-0500</w:t>
                          </w:r>
                        </w:p>
                        <w:p w:rsidR="00666062" w:rsidP="00C82B6B" w14:textId="77777777">
                          <w:pPr>
                            <w:jc w:val="right"/>
                            <w:rPr>
                              <w:rFonts w:ascii="Arial" w:hAnsi="Arial"/>
                              <w:b/>
                              <w:sz w:val="16"/>
                            </w:rPr>
                          </w:pPr>
                          <w:r>
                            <w:rPr>
                              <w:rFonts w:ascii="Arial" w:hAnsi="Arial"/>
                              <w:b/>
                              <w:sz w:val="16"/>
                            </w:rPr>
                            <w:t>Internet: www.fcc.gov</w:t>
                          </w:r>
                        </w:p>
                        <w:p w:rsidR="00666062" w:rsidP="00C82B6B" w14:textId="77777777">
                          <w:pPr>
                            <w:jc w:val="right"/>
                            <w:rPr>
                              <w:rFonts w:ascii="Arial" w:hAnsi="Arial"/>
                              <w:b/>
                              <w:sz w:val="16"/>
                            </w:rPr>
                          </w:pPr>
                          <w:r>
                            <w:rPr>
                              <w:rFonts w:ascii="Arial" w:hAnsi="Arial"/>
                              <w:b/>
                              <w:sz w:val="16"/>
                            </w:rPr>
                            <w:t>TTY: 888-835-5322</w:t>
                          </w:r>
                        </w:p>
                        <w:p w:rsidR="00666062"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666062" w:rsidP="00C82B6B" w14:paraId="07B34B57" w14:textId="77777777">
                    <w:pPr>
                      <w:spacing w:before="40"/>
                      <w:jc w:val="right"/>
                      <w:rPr>
                        <w:rFonts w:ascii="Arial" w:hAnsi="Arial"/>
                        <w:b/>
                        <w:sz w:val="16"/>
                      </w:rPr>
                    </w:pPr>
                    <w:r>
                      <w:rPr>
                        <w:rFonts w:ascii="Arial" w:hAnsi="Arial"/>
                        <w:b/>
                        <w:sz w:val="16"/>
                      </w:rPr>
                      <w:t>News Media Information: 202-418-0500</w:t>
                    </w:r>
                  </w:p>
                  <w:p w:rsidR="00666062" w:rsidP="00C82B6B" w14:paraId="045E0E71" w14:textId="77777777">
                    <w:pPr>
                      <w:jc w:val="right"/>
                      <w:rPr>
                        <w:rFonts w:ascii="Arial" w:hAnsi="Arial"/>
                        <w:b/>
                        <w:sz w:val="16"/>
                      </w:rPr>
                    </w:pPr>
                    <w:r>
                      <w:rPr>
                        <w:rFonts w:ascii="Arial" w:hAnsi="Arial"/>
                        <w:b/>
                        <w:sz w:val="16"/>
                      </w:rPr>
                      <w:t>Internet: www.fcc.gov</w:t>
                    </w:r>
                  </w:p>
                  <w:p w:rsidR="00666062" w:rsidP="00C82B6B" w14:paraId="275CC39E" w14:textId="77777777">
                    <w:pPr>
                      <w:jc w:val="right"/>
                      <w:rPr>
                        <w:rFonts w:ascii="Arial" w:hAnsi="Arial"/>
                        <w:b/>
                        <w:sz w:val="16"/>
                      </w:rPr>
                    </w:pPr>
                    <w:r>
                      <w:rPr>
                        <w:rFonts w:ascii="Arial" w:hAnsi="Arial"/>
                        <w:b/>
                        <w:sz w:val="16"/>
                      </w:rPr>
                      <w:t>TTY: 888-835-5322</w:t>
                    </w:r>
                  </w:p>
                  <w:p w:rsidR="00666062" w:rsidP="00C82B6B" w14:paraId="2CC95193" w14:textId="77777777">
                    <w:pPr>
                      <w:jc w:val="right"/>
                    </w:pPr>
                  </w:p>
                </w:txbxContent>
              </v:textbox>
            </v:shape>
          </w:pict>
        </mc:Fallback>
      </mc:AlternateContent>
    </w:r>
  </w:p>
  <w:p w:rsidR="00666062" w:rsidRPr="00C82B6B" w:rsidP="00C37A2D" w14:paraId="2E49635E"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202E73"/>
    <w:multiLevelType w:val="hybridMultilevel"/>
    <w:tmpl w:val="A860EF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DED6284"/>
    <w:multiLevelType w:val="hybridMultilevel"/>
    <w:tmpl w:val="77B49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D83AA9"/>
    <w:multiLevelType w:val="hybridMultilevel"/>
    <w:tmpl w:val="613CB8DE"/>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2247BD8"/>
    <w:multiLevelType w:val="hybridMultilevel"/>
    <w:tmpl w:val="AC1C3F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CE02565"/>
    <w:multiLevelType w:val="hybridMultilevel"/>
    <w:tmpl w:val="77068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F0860EA"/>
    <w:multiLevelType w:val="hybridMultilevel"/>
    <w:tmpl w:val="74EE4630"/>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4A45E3C"/>
    <w:multiLevelType w:val="hybridMultilevel"/>
    <w:tmpl w:val="AC8C240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23E3509"/>
    <w:multiLevelType w:val="hybridMultilevel"/>
    <w:tmpl w:val="E7483546"/>
    <w:lvl w:ilvl="0">
      <w:start w:val="1"/>
      <w:numFmt w:val="bullet"/>
      <w:lvlText w:val="-"/>
      <w:lvlJc w:val="left"/>
      <w:pPr>
        <w:ind w:left="1080" w:hanging="360"/>
      </w:pPr>
      <w:rPr>
        <w:rFonts w:ascii="Times New Roman" w:eastAsia="Times New Roman" w:hAnsi="Times New Roman" w:cs="Times New Roman" w:hint="default"/>
        <w:color w:val="3D3D3D"/>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627A2B2B"/>
    <w:multiLevelType w:val="hybridMultilevel"/>
    <w:tmpl w:val="728E558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6A7316CB"/>
    <w:multiLevelType w:val="hybridMultilevel"/>
    <w:tmpl w:val="3A0ADF7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13"/>
  </w:num>
  <w:num w:numId="5">
    <w:abstractNumId w:val="7"/>
  </w:num>
  <w:num w:numId="6">
    <w:abstractNumId w:val="1"/>
  </w:num>
  <w:num w:numId="7">
    <w:abstractNumId w:val="15"/>
  </w:num>
  <w:num w:numId="8">
    <w:abstractNumId w:val="9"/>
  </w:num>
  <w:num w:numId="9">
    <w:abstractNumId w:val="11"/>
  </w:num>
  <w:num w:numId="10">
    <w:abstractNumId w:val="18"/>
  </w:num>
  <w:num w:numId="11">
    <w:abstractNumId w:val="3"/>
  </w:num>
  <w:num w:numId="12">
    <w:abstractNumId w:val="16"/>
    <w:lvlOverride w:ilvl="0">
      <w:startOverride w:val="1"/>
    </w:lvlOverride>
  </w:num>
  <w:num w:numId="13">
    <w:abstractNumId w:val="0"/>
  </w:num>
  <w:num w:numId="14">
    <w:abstractNumId w:val="16"/>
    <w:lvlOverride w:ilvl="0">
      <w:startOverride w:val="1"/>
    </w:lvlOverride>
  </w:num>
  <w:num w:numId="15">
    <w:abstractNumId w:val="10"/>
  </w:num>
  <w:num w:numId="16">
    <w:abstractNumId w:val="19"/>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2"/>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0252C"/>
    <w:rsid w:val="000046E0"/>
    <w:rsid w:val="0000620F"/>
    <w:rsid w:val="0001019D"/>
    <w:rsid w:val="00011512"/>
    <w:rsid w:val="00013A4E"/>
    <w:rsid w:val="00014C4E"/>
    <w:rsid w:val="000206CF"/>
    <w:rsid w:val="00020EF5"/>
    <w:rsid w:val="000334C6"/>
    <w:rsid w:val="00036EAE"/>
    <w:rsid w:val="00040303"/>
    <w:rsid w:val="00040AD1"/>
    <w:rsid w:val="000452D8"/>
    <w:rsid w:val="00046325"/>
    <w:rsid w:val="00050B63"/>
    <w:rsid w:val="00056D60"/>
    <w:rsid w:val="00057542"/>
    <w:rsid w:val="00057D7C"/>
    <w:rsid w:val="000601D5"/>
    <w:rsid w:val="00060F68"/>
    <w:rsid w:val="00070226"/>
    <w:rsid w:val="00070B5B"/>
    <w:rsid w:val="00071AB1"/>
    <w:rsid w:val="00072C0E"/>
    <w:rsid w:val="00075EB9"/>
    <w:rsid w:val="00080F44"/>
    <w:rsid w:val="00081168"/>
    <w:rsid w:val="0008249E"/>
    <w:rsid w:val="000856BF"/>
    <w:rsid w:val="00090AF8"/>
    <w:rsid w:val="000934DB"/>
    <w:rsid w:val="00096C6B"/>
    <w:rsid w:val="000A05FD"/>
    <w:rsid w:val="000A18EC"/>
    <w:rsid w:val="000A1AB2"/>
    <w:rsid w:val="000A52B4"/>
    <w:rsid w:val="000A55CF"/>
    <w:rsid w:val="000A59E5"/>
    <w:rsid w:val="000B71C8"/>
    <w:rsid w:val="000C0986"/>
    <w:rsid w:val="000C1C4F"/>
    <w:rsid w:val="000C27AE"/>
    <w:rsid w:val="000C42F4"/>
    <w:rsid w:val="000C4CC8"/>
    <w:rsid w:val="000C6AA7"/>
    <w:rsid w:val="000C7074"/>
    <w:rsid w:val="000C71DD"/>
    <w:rsid w:val="000D10D9"/>
    <w:rsid w:val="000D1D01"/>
    <w:rsid w:val="000D3404"/>
    <w:rsid w:val="000D5789"/>
    <w:rsid w:val="000E3657"/>
    <w:rsid w:val="000E4796"/>
    <w:rsid w:val="000E7421"/>
    <w:rsid w:val="000E7969"/>
    <w:rsid w:val="000F1D5A"/>
    <w:rsid w:val="000F255E"/>
    <w:rsid w:val="000F55E3"/>
    <w:rsid w:val="000F56C9"/>
    <w:rsid w:val="000F5C1D"/>
    <w:rsid w:val="000F5CD8"/>
    <w:rsid w:val="000F5D36"/>
    <w:rsid w:val="000F7291"/>
    <w:rsid w:val="000F7928"/>
    <w:rsid w:val="000F7948"/>
    <w:rsid w:val="000F7F01"/>
    <w:rsid w:val="00100DF5"/>
    <w:rsid w:val="001013CD"/>
    <w:rsid w:val="001038B6"/>
    <w:rsid w:val="00104546"/>
    <w:rsid w:val="00110EFD"/>
    <w:rsid w:val="0011152B"/>
    <w:rsid w:val="00114458"/>
    <w:rsid w:val="0012286A"/>
    <w:rsid w:val="001249FC"/>
    <w:rsid w:val="0013419B"/>
    <w:rsid w:val="00140AE5"/>
    <w:rsid w:val="001430C3"/>
    <w:rsid w:val="00143FD6"/>
    <w:rsid w:val="001449B3"/>
    <w:rsid w:val="0014764F"/>
    <w:rsid w:val="00150A04"/>
    <w:rsid w:val="001517FF"/>
    <w:rsid w:val="001544A8"/>
    <w:rsid w:val="001555F2"/>
    <w:rsid w:val="00160FE1"/>
    <w:rsid w:val="00161E1E"/>
    <w:rsid w:val="0016458D"/>
    <w:rsid w:val="001674D5"/>
    <w:rsid w:val="00167B1D"/>
    <w:rsid w:val="0017026C"/>
    <w:rsid w:val="00170AB6"/>
    <w:rsid w:val="0017527A"/>
    <w:rsid w:val="00181C00"/>
    <w:rsid w:val="001829E9"/>
    <w:rsid w:val="00184564"/>
    <w:rsid w:val="001851D1"/>
    <w:rsid w:val="001900EE"/>
    <w:rsid w:val="00192F8C"/>
    <w:rsid w:val="00193A8F"/>
    <w:rsid w:val="00195F0C"/>
    <w:rsid w:val="001A0599"/>
    <w:rsid w:val="001A0AE0"/>
    <w:rsid w:val="001A14C4"/>
    <w:rsid w:val="001A14E2"/>
    <w:rsid w:val="001A15D5"/>
    <w:rsid w:val="001A1843"/>
    <w:rsid w:val="001A3AB6"/>
    <w:rsid w:val="001A4DD0"/>
    <w:rsid w:val="001A4E68"/>
    <w:rsid w:val="001A594F"/>
    <w:rsid w:val="001A6D14"/>
    <w:rsid w:val="001A71ED"/>
    <w:rsid w:val="001B10D2"/>
    <w:rsid w:val="001B204C"/>
    <w:rsid w:val="001B3FD2"/>
    <w:rsid w:val="001B5E96"/>
    <w:rsid w:val="001B7EB7"/>
    <w:rsid w:val="001C270D"/>
    <w:rsid w:val="001D03F4"/>
    <w:rsid w:val="001D4913"/>
    <w:rsid w:val="001D65D2"/>
    <w:rsid w:val="001E0D0E"/>
    <w:rsid w:val="001E2DB8"/>
    <w:rsid w:val="001E57FF"/>
    <w:rsid w:val="001E7BC5"/>
    <w:rsid w:val="001F0DD4"/>
    <w:rsid w:val="001F1386"/>
    <w:rsid w:val="001F1951"/>
    <w:rsid w:val="001F351B"/>
    <w:rsid w:val="001F6CD0"/>
    <w:rsid w:val="001F70C2"/>
    <w:rsid w:val="0020154A"/>
    <w:rsid w:val="002030CB"/>
    <w:rsid w:val="002040A4"/>
    <w:rsid w:val="00211A61"/>
    <w:rsid w:val="00212659"/>
    <w:rsid w:val="00216928"/>
    <w:rsid w:val="002203EF"/>
    <w:rsid w:val="00221D22"/>
    <w:rsid w:val="00222FA6"/>
    <w:rsid w:val="00224E0C"/>
    <w:rsid w:val="00230B7B"/>
    <w:rsid w:val="00234421"/>
    <w:rsid w:val="00241AB7"/>
    <w:rsid w:val="00242CF4"/>
    <w:rsid w:val="00244066"/>
    <w:rsid w:val="00247265"/>
    <w:rsid w:val="00247970"/>
    <w:rsid w:val="00250C33"/>
    <w:rsid w:val="00252632"/>
    <w:rsid w:val="00255841"/>
    <w:rsid w:val="0025700F"/>
    <w:rsid w:val="00261C87"/>
    <w:rsid w:val="0026314B"/>
    <w:rsid w:val="00282ABD"/>
    <w:rsid w:val="00283CBE"/>
    <w:rsid w:val="0028639A"/>
    <w:rsid w:val="00286611"/>
    <w:rsid w:val="00286C6D"/>
    <w:rsid w:val="002870FC"/>
    <w:rsid w:val="0028772B"/>
    <w:rsid w:val="00287F2B"/>
    <w:rsid w:val="0029082F"/>
    <w:rsid w:val="002924FC"/>
    <w:rsid w:val="002942B8"/>
    <w:rsid w:val="00295601"/>
    <w:rsid w:val="00295B89"/>
    <w:rsid w:val="002A1544"/>
    <w:rsid w:val="002A4A39"/>
    <w:rsid w:val="002A4F7F"/>
    <w:rsid w:val="002A59C2"/>
    <w:rsid w:val="002B0F99"/>
    <w:rsid w:val="002B3502"/>
    <w:rsid w:val="002B3822"/>
    <w:rsid w:val="002B4D1D"/>
    <w:rsid w:val="002B527E"/>
    <w:rsid w:val="002B538F"/>
    <w:rsid w:val="002B5497"/>
    <w:rsid w:val="002B6895"/>
    <w:rsid w:val="002B79D6"/>
    <w:rsid w:val="002D1B96"/>
    <w:rsid w:val="002D383A"/>
    <w:rsid w:val="002D4CA5"/>
    <w:rsid w:val="002D56F2"/>
    <w:rsid w:val="002E1568"/>
    <w:rsid w:val="002E4AA3"/>
    <w:rsid w:val="002F11BD"/>
    <w:rsid w:val="002F5778"/>
    <w:rsid w:val="002F707C"/>
    <w:rsid w:val="00300926"/>
    <w:rsid w:val="00300DBB"/>
    <w:rsid w:val="00303AFA"/>
    <w:rsid w:val="0030511F"/>
    <w:rsid w:val="00305A01"/>
    <w:rsid w:val="003060C8"/>
    <w:rsid w:val="00307248"/>
    <w:rsid w:val="00311E59"/>
    <w:rsid w:val="0031517F"/>
    <w:rsid w:val="00320A7D"/>
    <w:rsid w:val="0032173F"/>
    <w:rsid w:val="003229CD"/>
    <w:rsid w:val="00323080"/>
    <w:rsid w:val="003273FB"/>
    <w:rsid w:val="00327456"/>
    <w:rsid w:val="00330376"/>
    <w:rsid w:val="00331385"/>
    <w:rsid w:val="003374B7"/>
    <w:rsid w:val="003378B0"/>
    <w:rsid w:val="003423D8"/>
    <w:rsid w:val="00342CC1"/>
    <w:rsid w:val="00347F6D"/>
    <w:rsid w:val="00351B00"/>
    <w:rsid w:val="00354A05"/>
    <w:rsid w:val="00355BDB"/>
    <w:rsid w:val="00360A10"/>
    <w:rsid w:val="00360E76"/>
    <w:rsid w:val="0036407D"/>
    <w:rsid w:val="00364F71"/>
    <w:rsid w:val="003652D5"/>
    <w:rsid w:val="0036768D"/>
    <w:rsid w:val="00372D73"/>
    <w:rsid w:val="003737F8"/>
    <w:rsid w:val="00375D6F"/>
    <w:rsid w:val="00376187"/>
    <w:rsid w:val="00382B6E"/>
    <w:rsid w:val="00382EC4"/>
    <w:rsid w:val="00393CE6"/>
    <w:rsid w:val="003947F3"/>
    <w:rsid w:val="00394E1A"/>
    <w:rsid w:val="003A0815"/>
    <w:rsid w:val="003A1530"/>
    <w:rsid w:val="003A2CB2"/>
    <w:rsid w:val="003A362A"/>
    <w:rsid w:val="003A419A"/>
    <w:rsid w:val="003A4417"/>
    <w:rsid w:val="003A71A6"/>
    <w:rsid w:val="003A7F17"/>
    <w:rsid w:val="003B1C66"/>
    <w:rsid w:val="003B35D9"/>
    <w:rsid w:val="003B4CAD"/>
    <w:rsid w:val="003C05F4"/>
    <w:rsid w:val="003C68E2"/>
    <w:rsid w:val="003C6AF0"/>
    <w:rsid w:val="003D13CE"/>
    <w:rsid w:val="003D147A"/>
    <w:rsid w:val="003D177F"/>
    <w:rsid w:val="003D1ED3"/>
    <w:rsid w:val="003D1FBF"/>
    <w:rsid w:val="003D237D"/>
    <w:rsid w:val="003E0F1E"/>
    <w:rsid w:val="003E1F37"/>
    <w:rsid w:val="003E31E3"/>
    <w:rsid w:val="003E4B09"/>
    <w:rsid w:val="003E4B3E"/>
    <w:rsid w:val="003E4DFE"/>
    <w:rsid w:val="003E54FB"/>
    <w:rsid w:val="003E7475"/>
    <w:rsid w:val="003E7EED"/>
    <w:rsid w:val="003F22CB"/>
    <w:rsid w:val="003F736B"/>
    <w:rsid w:val="003F75B6"/>
    <w:rsid w:val="003F7D5D"/>
    <w:rsid w:val="00405687"/>
    <w:rsid w:val="00407565"/>
    <w:rsid w:val="00412A51"/>
    <w:rsid w:val="00416EF8"/>
    <w:rsid w:val="00420D7E"/>
    <w:rsid w:val="00422C7B"/>
    <w:rsid w:val="0042300C"/>
    <w:rsid w:val="00423497"/>
    <w:rsid w:val="0042536A"/>
    <w:rsid w:val="004308EC"/>
    <w:rsid w:val="004309E4"/>
    <w:rsid w:val="004327CD"/>
    <w:rsid w:val="00433691"/>
    <w:rsid w:val="00433D2E"/>
    <w:rsid w:val="0043756B"/>
    <w:rsid w:val="004433D0"/>
    <w:rsid w:val="00445112"/>
    <w:rsid w:val="0044515E"/>
    <w:rsid w:val="00447BB5"/>
    <w:rsid w:val="0045124D"/>
    <w:rsid w:val="00451932"/>
    <w:rsid w:val="00453DB9"/>
    <w:rsid w:val="00454024"/>
    <w:rsid w:val="00454FBA"/>
    <w:rsid w:val="00455BBD"/>
    <w:rsid w:val="0045756D"/>
    <w:rsid w:val="00461476"/>
    <w:rsid w:val="00463D78"/>
    <w:rsid w:val="0046587A"/>
    <w:rsid w:val="00467233"/>
    <w:rsid w:val="00472DF2"/>
    <w:rsid w:val="004768D7"/>
    <w:rsid w:val="0048374C"/>
    <w:rsid w:val="0048420C"/>
    <w:rsid w:val="004844EC"/>
    <w:rsid w:val="00485239"/>
    <w:rsid w:val="0048613B"/>
    <w:rsid w:val="00487EA2"/>
    <w:rsid w:val="00493A8B"/>
    <w:rsid w:val="00497604"/>
    <w:rsid w:val="00497A33"/>
    <w:rsid w:val="00497D34"/>
    <w:rsid w:val="004A3251"/>
    <w:rsid w:val="004B1718"/>
    <w:rsid w:val="004B2413"/>
    <w:rsid w:val="004B4BE4"/>
    <w:rsid w:val="004B708F"/>
    <w:rsid w:val="004B76D4"/>
    <w:rsid w:val="004C5E6F"/>
    <w:rsid w:val="004C74C4"/>
    <w:rsid w:val="004C7E01"/>
    <w:rsid w:val="004D18BD"/>
    <w:rsid w:val="004D1A80"/>
    <w:rsid w:val="004D37F6"/>
    <w:rsid w:val="004D4E35"/>
    <w:rsid w:val="004D5F54"/>
    <w:rsid w:val="004D631A"/>
    <w:rsid w:val="004E3172"/>
    <w:rsid w:val="004E4DA1"/>
    <w:rsid w:val="004E68A1"/>
    <w:rsid w:val="004F1616"/>
    <w:rsid w:val="004F1A4A"/>
    <w:rsid w:val="004F4464"/>
    <w:rsid w:val="00504E75"/>
    <w:rsid w:val="0050556A"/>
    <w:rsid w:val="00506CC6"/>
    <w:rsid w:val="00507487"/>
    <w:rsid w:val="005100E8"/>
    <w:rsid w:val="005100FC"/>
    <w:rsid w:val="0051289D"/>
    <w:rsid w:val="00513E15"/>
    <w:rsid w:val="0051491A"/>
    <w:rsid w:val="005154F4"/>
    <w:rsid w:val="00517DCA"/>
    <w:rsid w:val="00525035"/>
    <w:rsid w:val="00530BDD"/>
    <w:rsid w:val="00534C8C"/>
    <w:rsid w:val="005405BD"/>
    <w:rsid w:val="005418CE"/>
    <w:rsid w:val="005515FF"/>
    <w:rsid w:val="00552BE3"/>
    <w:rsid w:val="0055614C"/>
    <w:rsid w:val="00556C58"/>
    <w:rsid w:val="005608EC"/>
    <w:rsid w:val="00561F3B"/>
    <w:rsid w:val="00564D59"/>
    <w:rsid w:val="00565DF6"/>
    <w:rsid w:val="0056640A"/>
    <w:rsid w:val="0056743F"/>
    <w:rsid w:val="005720CC"/>
    <w:rsid w:val="005811B0"/>
    <w:rsid w:val="00581B82"/>
    <w:rsid w:val="0058411F"/>
    <w:rsid w:val="00584A04"/>
    <w:rsid w:val="00592CC6"/>
    <w:rsid w:val="005938AE"/>
    <w:rsid w:val="005A1C01"/>
    <w:rsid w:val="005A2684"/>
    <w:rsid w:val="005A2936"/>
    <w:rsid w:val="005A2F02"/>
    <w:rsid w:val="005A3CB3"/>
    <w:rsid w:val="005A58A2"/>
    <w:rsid w:val="005B1556"/>
    <w:rsid w:val="005C0FF2"/>
    <w:rsid w:val="005C35C4"/>
    <w:rsid w:val="005C5237"/>
    <w:rsid w:val="005D32A6"/>
    <w:rsid w:val="005D5A36"/>
    <w:rsid w:val="005D6879"/>
    <w:rsid w:val="005D6A47"/>
    <w:rsid w:val="005D709F"/>
    <w:rsid w:val="005E00A6"/>
    <w:rsid w:val="005E12D9"/>
    <w:rsid w:val="005E2075"/>
    <w:rsid w:val="005E20E0"/>
    <w:rsid w:val="005E3830"/>
    <w:rsid w:val="005E3A90"/>
    <w:rsid w:val="005E418A"/>
    <w:rsid w:val="005E573B"/>
    <w:rsid w:val="005E6BDD"/>
    <w:rsid w:val="005F0EC8"/>
    <w:rsid w:val="005F0FBD"/>
    <w:rsid w:val="005F4248"/>
    <w:rsid w:val="005F4A7E"/>
    <w:rsid w:val="00602CE0"/>
    <w:rsid w:val="006037F3"/>
    <w:rsid w:val="00604428"/>
    <w:rsid w:val="00605724"/>
    <w:rsid w:val="00610626"/>
    <w:rsid w:val="00613359"/>
    <w:rsid w:val="006134A2"/>
    <w:rsid w:val="00613DDD"/>
    <w:rsid w:val="00613EED"/>
    <w:rsid w:val="00614374"/>
    <w:rsid w:val="00616D02"/>
    <w:rsid w:val="0061782F"/>
    <w:rsid w:val="006219EB"/>
    <w:rsid w:val="006257C4"/>
    <w:rsid w:val="00626CA2"/>
    <w:rsid w:val="00627191"/>
    <w:rsid w:val="00627349"/>
    <w:rsid w:val="00630CD4"/>
    <w:rsid w:val="00633D8C"/>
    <w:rsid w:val="00635C51"/>
    <w:rsid w:val="00636A65"/>
    <w:rsid w:val="00643076"/>
    <w:rsid w:val="006503E5"/>
    <w:rsid w:val="00650CD9"/>
    <w:rsid w:val="00652E7C"/>
    <w:rsid w:val="00654766"/>
    <w:rsid w:val="00662D93"/>
    <w:rsid w:val="00665E0B"/>
    <w:rsid w:val="00666062"/>
    <w:rsid w:val="0066645D"/>
    <w:rsid w:val="00667226"/>
    <w:rsid w:val="00675215"/>
    <w:rsid w:val="00676F7D"/>
    <w:rsid w:val="00681B21"/>
    <w:rsid w:val="00683775"/>
    <w:rsid w:val="00684676"/>
    <w:rsid w:val="0068482C"/>
    <w:rsid w:val="0068684A"/>
    <w:rsid w:val="006906C2"/>
    <w:rsid w:val="0069233E"/>
    <w:rsid w:val="0069658C"/>
    <w:rsid w:val="00696C61"/>
    <w:rsid w:val="006A1A25"/>
    <w:rsid w:val="006A28EA"/>
    <w:rsid w:val="006A4DBA"/>
    <w:rsid w:val="006A7511"/>
    <w:rsid w:val="006A7D41"/>
    <w:rsid w:val="006B56FE"/>
    <w:rsid w:val="006C0392"/>
    <w:rsid w:val="006C18AD"/>
    <w:rsid w:val="006C249D"/>
    <w:rsid w:val="006D307F"/>
    <w:rsid w:val="006D313F"/>
    <w:rsid w:val="006E163D"/>
    <w:rsid w:val="006E2755"/>
    <w:rsid w:val="006E276E"/>
    <w:rsid w:val="006E2E2A"/>
    <w:rsid w:val="006E2E87"/>
    <w:rsid w:val="006E5696"/>
    <w:rsid w:val="006E589B"/>
    <w:rsid w:val="006E5C64"/>
    <w:rsid w:val="006F065E"/>
    <w:rsid w:val="006F0DC5"/>
    <w:rsid w:val="006F40DC"/>
    <w:rsid w:val="006F6AEB"/>
    <w:rsid w:val="006F75B6"/>
    <w:rsid w:val="0070084D"/>
    <w:rsid w:val="00701A93"/>
    <w:rsid w:val="007037C8"/>
    <w:rsid w:val="00705D8A"/>
    <w:rsid w:val="0071028A"/>
    <w:rsid w:val="007155F9"/>
    <w:rsid w:val="00716497"/>
    <w:rsid w:val="007172DC"/>
    <w:rsid w:val="0072067F"/>
    <w:rsid w:val="0072371C"/>
    <w:rsid w:val="00735426"/>
    <w:rsid w:val="0073739C"/>
    <w:rsid w:val="00745706"/>
    <w:rsid w:val="00745F62"/>
    <w:rsid w:val="00746A21"/>
    <w:rsid w:val="00747295"/>
    <w:rsid w:val="00751640"/>
    <w:rsid w:val="00752750"/>
    <w:rsid w:val="0075666B"/>
    <w:rsid w:val="0075697F"/>
    <w:rsid w:val="00756CC8"/>
    <w:rsid w:val="00757307"/>
    <w:rsid w:val="00765C74"/>
    <w:rsid w:val="00773E64"/>
    <w:rsid w:val="0077401A"/>
    <w:rsid w:val="00774201"/>
    <w:rsid w:val="007819C9"/>
    <w:rsid w:val="00782D67"/>
    <w:rsid w:val="00784939"/>
    <w:rsid w:val="00785EE8"/>
    <w:rsid w:val="00787C59"/>
    <w:rsid w:val="00787E73"/>
    <w:rsid w:val="00790F45"/>
    <w:rsid w:val="00795804"/>
    <w:rsid w:val="0079582F"/>
    <w:rsid w:val="0079611B"/>
    <w:rsid w:val="007A3F87"/>
    <w:rsid w:val="007A5541"/>
    <w:rsid w:val="007A6655"/>
    <w:rsid w:val="007A72E9"/>
    <w:rsid w:val="007A79B9"/>
    <w:rsid w:val="007B0522"/>
    <w:rsid w:val="007B0C2D"/>
    <w:rsid w:val="007B1E5E"/>
    <w:rsid w:val="007B2308"/>
    <w:rsid w:val="007B6801"/>
    <w:rsid w:val="007C13D9"/>
    <w:rsid w:val="007C1CD6"/>
    <w:rsid w:val="007C2E5E"/>
    <w:rsid w:val="007C7BDD"/>
    <w:rsid w:val="007D0802"/>
    <w:rsid w:val="007D2545"/>
    <w:rsid w:val="007D49B9"/>
    <w:rsid w:val="007D4A87"/>
    <w:rsid w:val="007D4DB3"/>
    <w:rsid w:val="007E0E23"/>
    <w:rsid w:val="007E3034"/>
    <w:rsid w:val="007E4B2C"/>
    <w:rsid w:val="007E783A"/>
    <w:rsid w:val="007F0BA1"/>
    <w:rsid w:val="007F38C9"/>
    <w:rsid w:val="007F3BAA"/>
    <w:rsid w:val="00803518"/>
    <w:rsid w:val="00803B14"/>
    <w:rsid w:val="00803B15"/>
    <w:rsid w:val="0080419F"/>
    <w:rsid w:val="00804BE3"/>
    <w:rsid w:val="00805232"/>
    <w:rsid w:val="00807EC7"/>
    <w:rsid w:val="00811B43"/>
    <w:rsid w:val="00815DFB"/>
    <w:rsid w:val="008172A5"/>
    <w:rsid w:val="008202FD"/>
    <w:rsid w:val="00821886"/>
    <w:rsid w:val="00824A01"/>
    <w:rsid w:val="008260AC"/>
    <w:rsid w:val="00833B2A"/>
    <w:rsid w:val="008424BB"/>
    <w:rsid w:val="00843679"/>
    <w:rsid w:val="00847A16"/>
    <w:rsid w:val="008523F5"/>
    <w:rsid w:val="00852480"/>
    <w:rsid w:val="00852AFF"/>
    <w:rsid w:val="008543EF"/>
    <w:rsid w:val="008550CF"/>
    <w:rsid w:val="008560FB"/>
    <w:rsid w:val="00856A38"/>
    <w:rsid w:val="0085743D"/>
    <w:rsid w:val="00857BC4"/>
    <w:rsid w:val="00862ADE"/>
    <w:rsid w:val="00864232"/>
    <w:rsid w:val="008647F9"/>
    <w:rsid w:val="00864E02"/>
    <w:rsid w:val="0086508B"/>
    <w:rsid w:val="008652D2"/>
    <w:rsid w:val="00866CF5"/>
    <w:rsid w:val="00870260"/>
    <w:rsid w:val="00873F60"/>
    <w:rsid w:val="00874D7A"/>
    <w:rsid w:val="00875949"/>
    <w:rsid w:val="00877BC2"/>
    <w:rsid w:val="00892B83"/>
    <w:rsid w:val="00897AF8"/>
    <w:rsid w:val="008A0432"/>
    <w:rsid w:val="008A2CFD"/>
    <w:rsid w:val="008A4273"/>
    <w:rsid w:val="008A53C5"/>
    <w:rsid w:val="008A6A97"/>
    <w:rsid w:val="008B012C"/>
    <w:rsid w:val="008C62E2"/>
    <w:rsid w:val="008C6B59"/>
    <w:rsid w:val="008D138D"/>
    <w:rsid w:val="008D21EA"/>
    <w:rsid w:val="008D26F5"/>
    <w:rsid w:val="008D3B75"/>
    <w:rsid w:val="008D497C"/>
    <w:rsid w:val="008D4D4A"/>
    <w:rsid w:val="008D74C8"/>
    <w:rsid w:val="008E3950"/>
    <w:rsid w:val="008E3D13"/>
    <w:rsid w:val="008E48BF"/>
    <w:rsid w:val="008E4FB8"/>
    <w:rsid w:val="008E68A2"/>
    <w:rsid w:val="008E6A8E"/>
    <w:rsid w:val="008F0135"/>
    <w:rsid w:val="008F11FD"/>
    <w:rsid w:val="008F2F86"/>
    <w:rsid w:val="008F3AEA"/>
    <w:rsid w:val="008F6674"/>
    <w:rsid w:val="008F6C40"/>
    <w:rsid w:val="009015C5"/>
    <w:rsid w:val="009027DD"/>
    <w:rsid w:val="00904144"/>
    <w:rsid w:val="00910DC7"/>
    <w:rsid w:val="0091196C"/>
    <w:rsid w:val="00912815"/>
    <w:rsid w:val="00917BD2"/>
    <w:rsid w:val="009206DA"/>
    <w:rsid w:val="00921998"/>
    <w:rsid w:val="00922139"/>
    <w:rsid w:val="00923522"/>
    <w:rsid w:val="00923E8B"/>
    <w:rsid w:val="00930B0F"/>
    <w:rsid w:val="00931A10"/>
    <w:rsid w:val="0093217B"/>
    <w:rsid w:val="0094275E"/>
    <w:rsid w:val="009428F6"/>
    <w:rsid w:val="00947961"/>
    <w:rsid w:val="00955EEE"/>
    <w:rsid w:val="00960268"/>
    <w:rsid w:val="009629B3"/>
    <w:rsid w:val="00965D17"/>
    <w:rsid w:val="00967ED7"/>
    <w:rsid w:val="009723AD"/>
    <w:rsid w:val="00972A8F"/>
    <w:rsid w:val="009750F8"/>
    <w:rsid w:val="009751EF"/>
    <w:rsid w:val="00976D00"/>
    <w:rsid w:val="009822CA"/>
    <w:rsid w:val="00984F4F"/>
    <w:rsid w:val="00992480"/>
    <w:rsid w:val="00994E43"/>
    <w:rsid w:val="00996E42"/>
    <w:rsid w:val="009A178A"/>
    <w:rsid w:val="009A4796"/>
    <w:rsid w:val="009A49BD"/>
    <w:rsid w:val="009A4B1D"/>
    <w:rsid w:val="009A5B24"/>
    <w:rsid w:val="009B5FE5"/>
    <w:rsid w:val="009C2A8F"/>
    <w:rsid w:val="009C2B58"/>
    <w:rsid w:val="009C30D3"/>
    <w:rsid w:val="009C404C"/>
    <w:rsid w:val="009C6424"/>
    <w:rsid w:val="009C6A8C"/>
    <w:rsid w:val="009D6266"/>
    <w:rsid w:val="009D6289"/>
    <w:rsid w:val="009D6FFB"/>
    <w:rsid w:val="009D762B"/>
    <w:rsid w:val="009E0090"/>
    <w:rsid w:val="009E107D"/>
    <w:rsid w:val="009E14C0"/>
    <w:rsid w:val="009E1CDF"/>
    <w:rsid w:val="009E22D7"/>
    <w:rsid w:val="009E4850"/>
    <w:rsid w:val="009E7126"/>
    <w:rsid w:val="009F1264"/>
    <w:rsid w:val="009F3DE0"/>
    <w:rsid w:val="009F3EF4"/>
    <w:rsid w:val="009F5374"/>
    <w:rsid w:val="009F55A2"/>
    <w:rsid w:val="009F5DEB"/>
    <w:rsid w:val="009F7C5D"/>
    <w:rsid w:val="00A017D1"/>
    <w:rsid w:val="00A0225F"/>
    <w:rsid w:val="00A06A04"/>
    <w:rsid w:val="00A06E1C"/>
    <w:rsid w:val="00A12D2F"/>
    <w:rsid w:val="00A15C61"/>
    <w:rsid w:val="00A16BAB"/>
    <w:rsid w:val="00A16D1B"/>
    <w:rsid w:val="00A20598"/>
    <w:rsid w:val="00A21427"/>
    <w:rsid w:val="00A23EBD"/>
    <w:rsid w:val="00A34B57"/>
    <w:rsid w:val="00A34D4D"/>
    <w:rsid w:val="00A4018F"/>
    <w:rsid w:val="00A51BB9"/>
    <w:rsid w:val="00A5291B"/>
    <w:rsid w:val="00A536B0"/>
    <w:rsid w:val="00A56310"/>
    <w:rsid w:val="00A619BC"/>
    <w:rsid w:val="00A62903"/>
    <w:rsid w:val="00A62A23"/>
    <w:rsid w:val="00A638FD"/>
    <w:rsid w:val="00A70BA4"/>
    <w:rsid w:val="00A73AD0"/>
    <w:rsid w:val="00A74B1D"/>
    <w:rsid w:val="00A752DE"/>
    <w:rsid w:val="00A7610A"/>
    <w:rsid w:val="00A76475"/>
    <w:rsid w:val="00A77FAD"/>
    <w:rsid w:val="00A821B1"/>
    <w:rsid w:val="00A83E0C"/>
    <w:rsid w:val="00A83FCA"/>
    <w:rsid w:val="00A8405C"/>
    <w:rsid w:val="00A840DF"/>
    <w:rsid w:val="00A8513F"/>
    <w:rsid w:val="00A90F3C"/>
    <w:rsid w:val="00A94804"/>
    <w:rsid w:val="00A94B87"/>
    <w:rsid w:val="00A97A5B"/>
    <w:rsid w:val="00AA2C5C"/>
    <w:rsid w:val="00AA42D1"/>
    <w:rsid w:val="00AA6B29"/>
    <w:rsid w:val="00AB174F"/>
    <w:rsid w:val="00AB2EED"/>
    <w:rsid w:val="00AB37FB"/>
    <w:rsid w:val="00AB49D1"/>
    <w:rsid w:val="00AB57C0"/>
    <w:rsid w:val="00AB70B2"/>
    <w:rsid w:val="00AB7CAD"/>
    <w:rsid w:val="00AC0154"/>
    <w:rsid w:val="00AC22DB"/>
    <w:rsid w:val="00AC7D3C"/>
    <w:rsid w:val="00AD27E9"/>
    <w:rsid w:val="00AD3946"/>
    <w:rsid w:val="00AD3D8A"/>
    <w:rsid w:val="00AD4C15"/>
    <w:rsid w:val="00AD536E"/>
    <w:rsid w:val="00AD644E"/>
    <w:rsid w:val="00AE0DB8"/>
    <w:rsid w:val="00AE2FD1"/>
    <w:rsid w:val="00AE404C"/>
    <w:rsid w:val="00AE7C14"/>
    <w:rsid w:val="00AF1288"/>
    <w:rsid w:val="00B061A1"/>
    <w:rsid w:val="00B10394"/>
    <w:rsid w:val="00B150B5"/>
    <w:rsid w:val="00B165F5"/>
    <w:rsid w:val="00B16623"/>
    <w:rsid w:val="00B178C3"/>
    <w:rsid w:val="00B20BC5"/>
    <w:rsid w:val="00B22D16"/>
    <w:rsid w:val="00B237DB"/>
    <w:rsid w:val="00B23890"/>
    <w:rsid w:val="00B25566"/>
    <w:rsid w:val="00B25997"/>
    <w:rsid w:val="00B26AB0"/>
    <w:rsid w:val="00B3009E"/>
    <w:rsid w:val="00B34CFF"/>
    <w:rsid w:val="00B36018"/>
    <w:rsid w:val="00B429DC"/>
    <w:rsid w:val="00B45B0E"/>
    <w:rsid w:val="00B46183"/>
    <w:rsid w:val="00B462BA"/>
    <w:rsid w:val="00B47E31"/>
    <w:rsid w:val="00B50133"/>
    <w:rsid w:val="00B519FB"/>
    <w:rsid w:val="00B5443A"/>
    <w:rsid w:val="00B55E92"/>
    <w:rsid w:val="00B56A72"/>
    <w:rsid w:val="00B6239E"/>
    <w:rsid w:val="00B63D49"/>
    <w:rsid w:val="00B64659"/>
    <w:rsid w:val="00B67BC1"/>
    <w:rsid w:val="00B7162A"/>
    <w:rsid w:val="00B73811"/>
    <w:rsid w:val="00B73A61"/>
    <w:rsid w:val="00B748F4"/>
    <w:rsid w:val="00B818FE"/>
    <w:rsid w:val="00B81C0C"/>
    <w:rsid w:val="00B8283F"/>
    <w:rsid w:val="00B83C99"/>
    <w:rsid w:val="00B85007"/>
    <w:rsid w:val="00B87404"/>
    <w:rsid w:val="00B87500"/>
    <w:rsid w:val="00B92FE0"/>
    <w:rsid w:val="00B9485E"/>
    <w:rsid w:val="00B9492E"/>
    <w:rsid w:val="00B973E4"/>
    <w:rsid w:val="00BA088D"/>
    <w:rsid w:val="00BA130D"/>
    <w:rsid w:val="00BA1A80"/>
    <w:rsid w:val="00BA455A"/>
    <w:rsid w:val="00BA4874"/>
    <w:rsid w:val="00BB4FD5"/>
    <w:rsid w:val="00BC2306"/>
    <w:rsid w:val="00BC2F58"/>
    <w:rsid w:val="00BC3AD2"/>
    <w:rsid w:val="00BC52AD"/>
    <w:rsid w:val="00BC5D3F"/>
    <w:rsid w:val="00BD012E"/>
    <w:rsid w:val="00BD3EE1"/>
    <w:rsid w:val="00BE22E9"/>
    <w:rsid w:val="00BE2E8B"/>
    <w:rsid w:val="00BE346A"/>
    <w:rsid w:val="00BE5CF7"/>
    <w:rsid w:val="00BE6F59"/>
    <w:rsid w:val="00BF0AF0"/>
    <w:rsid w:val="00BF600F"/>
    <w:rsid w:val="00C013A4"/>
    <w:rsid w:val="00C01570"/>
    <w:rsid w:val="00C02180"/>
    <w:rsid w:val="00C03BB7"/>
    <w:rsid w:val="00C05AFD"/>
    <w:rsid w:val="00C077CE"/>
    <w:rsid w:val="00C10074"/>
    <w:rsid w:val="00C11C6E"/>
    <w:rsid w:val="00C16804"/>
    <w:rsid w:val="00C179E2"/>
    <w:rsid w:val="00C2039B"/>
    <w:rsid w:val="00C239D0"/>
    <w:rsid w:val="00C25EF3"/>
    <w:rsid w:val="00C26CF3"/>
    <w:rsid w:val="00C26DB5"/>
    <w:rsid w:val="00C316FF"/>
    <w:rsid w:val="00C324DA"/>
    <w:rsid w:val="00C33F41"/>
    <w:rsid w:val="00C368CA"/>
    <w:rsid w:val="00C37A2D"/>
    <w:rsid w:val="00C42F4B"/>
    <w:rsid w:val="00C44C4B"/>
    <w:rsid w:val="00C44D3F"/>
    <w:rsid w:val="00C45DE1"/>
    <w:rsid w:val="00C46C6C"/>
    <w:rsid w:val="00C4716E"/>
    <w:rsid w:val="00C4742B"/>
    <w:rsid w:val="00C50080"/>
    <w:rsid w:val="00C502B4"/>
    <w:rsid w:val="00C502C6"/>
    <w:rsid w:val="00C512DC"/>
    <w:rsid w:val="00C52DDC"/>
    <w:rsid w:val="00C53064"/>
    <w:rsid w:val="00C53B13"/>
    <w:rsid w:val="00C54B9D"/>
    <w:rsid w:val="00C57BB4"/>
    <w:rsid w:val="00C612D7"/>
    <w:rsid w:val="00C62F1C"/>
    <w:rsid w:val="00C63AEC"/>
    <w:rsid w:val="00C66530"/>
    <w:rsid w:val="00C66E73"/>
    <w:rsid w:val="00C7415F"/>
    <w:rsid w:val="00C745BE"/>
    <w:rsid w:val="00C74CE4"/>
    <w:rsid w:val="00C77EEF"/>
    <w:rsid w:val="00C802DA"/>
    <w:rsid w:val="00C82B6B"/>
    <w:rsid w:val="00C82E9F"/>
    <w:rsid w:val="00C953A0"/>
    <w:rsid w:val="00CA0593"/>
    <w:rsid w:val="00CA1299"/>
    <w:rsid w:val="00CA18F0"/>
    <w:rsid w:val="00CA6152"/>
    <w:rsid w:val="00CA76AD"/>
    <w:rsid w:val="00CB163C"/>
    <w:rsid w:val="00CB23B1"/>
    <w:rsid w:val="00CB4AD0"/>
    <w:rsid w:val="00CB4F96"/>
    <w:rsid w:val="00CC225E"/>
    <w:rsid w:val="00CC4431"/>
    <w:rsid w:val="00CC67C6"/>
    <w:rsid w:val="00CD0521"/>
    <w:rsid w:val="00CD05F4"/>
    <w:rsid w:val="00CD4699"/>
    <w:rsid w:val="00CD6023"/>
    <w:rsid w:val="00CD6BBD"/>
    <w:rsid w:val="00CD7699"/>
    <w:rsid w:val="00CE25A2"/>
    <w:rsid w:val="00CE5A63"/>
    <w:rsid w:val="00CE74BF"/>
    <w:rsid w:val="00CF12ED"/>
    <w:rsid w:val="00CF3FFA"/>
    <w:rsid w:val="00CF4862"/>
    <w:rsid w:val="00CF497D"/>
    <w:rsid w:val="00CF623D"/>
    <w:rsid w:val="00CF7ECD"/>
    <w:rsid w:val="00D01819"/>
    <w:rsid w:val="00D050C3"/>
    <w:rsid w:val="00D05FA0"/>
    <w:rsid w:val="00D07879"/>
    <w:rsid w:val="00D07C29"/>
    <w:rsid w:val="00D10FCA"/>
    <w:rsid w:val="00D1255A"/>
    <w:rsid w:val="00D12BFE"/>
    <w:rsid w:val="00D13261"/>
    <w:rsid w:val="00D152FC"/>
    <w:rsid w:val="00D159BE"/>
    <w:rsid w:val="00D17CED"/>
    <w:rsid w:val="00D17EF5"/>
    <w:rsid w:val="00D21500"/>
    <w:rsid w:val="00D23823"/>
    <w:rsid w:val="00D23929"/>
    <w:rsid w:val="00D24972"/>
    <w:rsid w:val="00D2744A"/>
    <w:rsid w:val="00D27C78"/>
    <w:rsid w:val="00D33AF9"/>
    <w:rsid w:val="00D36F8C"/>
    <w:rsid w:val="00D426F7"/>
    <w:rsid w:val="00D438F0"/>
    <w:rsid w:val="00D441CA"/>
    <w:rsid w:val="00D442F7"/>
    <w:rsid w:val="00D44CF5"/>
    <w:rsid w:val="00D44F1C"/>
    <w:rsid w:val="00D508C4"/>
    <w:rsid w:val="00D57D03"/>
    <w:rsid w:val="00D57F6A"/>
    <w:rsid w:val="00D64C89"/>
    <w:rsid w:val="00D65140"/>
    <w:rsid w:val="00D66EF5"/>
    <w:rsid w:val="00D67DFB"/>
    <w:rsid w:val="00D67FAC"/>
    <w:rsid w:val="00D732F9"/>
    <w:rsid w:val="00D734C2"/>
    <w:rsid w:val="00D73704"/>
    <w:rsid w:val="00D748F8"/>
    <w:rsid w:val="00D766B4"/>
    <w:rsid w:val="00D84757"/>
    <w:rsid w:val="00D85D13"/>
    <w:rsid w:val="00D919CC"/>
    <w:rsid w:val="00DA090D"/>
    <w:rsid w:val="00DA13DB"/>
    <w:rsid w:val="00DA1FBC"/>
    <w:rsid w:val="00DA2B85"/>
    <w:rsid w:val="00DA37CE"/>
    <w:rsid w:val="00DB00D2"/>
    <w:rsid w:val="00DB1663"/>
    <w:rsid w:val="00DB2ACD"/>
    <w:rsid w:val="00DB47CA"/>
    <w:rsid w:val="00DB646F"/>
    <w:rsid w:val="00DC3F5E"/>
    <w:rsid w:val="00DC408B"/>
    <w:rsid w:val="00DC4DAE"/>
    <w:rsid w:val="00DC4FA6"/>
    <w:rsid w:val="00DC5AC8"/>
    <w:rsid w:val="00DC5E12"/>
    <w:rsid w:val="00DD2099"/>
    <w:rsid w:val="00DD2786"/>
    <w:rsid w:val="00DD27D9"/>
    <w:rsid w:val="00DD564E"/>
    <w:rsid w:val="00DD5B31"/>
    <w:rsid w:val="00DD60AE"/>
    <w:rsid w:val="00DE0092"/>
    <w:rsid w:val="00DE1342"/>
    <w:rsid w:val="00DE2C8A"/>
    <w:rsid w:val="00DE4317"/>
    <w:rsid w:val="00DE4C21"/>
    <w:rsid w:val="00DE5413"/>
    <w:rsid w:val="00DE6BA3"/>
    <w:rsid w:val="00DF1520"/>
    <w:rsid w:val="00DF2759"/>
    <w:rsid w:val="00DF5ADD"/>
    <w:rsid w:val="00DF641E"/>
    <w:rsid w:val="00E01F2A"/>
    <w:rsid w:val="00E03618"/>
    <w:rsid w:val="00E04DFA"/>
    <w:rsid w:val="00E10025"/>
    <w:rsid w:val="00E127F7"/>
    <w:rsid w:val="00E12D42"/>
    <w:rsid w:val="00E14C4B"/>
    <w:rsid w:val="00E1597F"/>
    <w:rsid w:val="00E20B8E"/>
    <w:rsid w:val="00E20C16"/>
    <w:rsid w:val="00E21B9F"/>
    <w:rsid w:val="00E21F4D"/>
    <w:rsid w:val="00E245E9"/>
    <w:rsid w:val="00E3285C"/>
    <w:rsid w:val="00E4121A"/>
    <w:rsid w:val="00E50C68"/>
    <w:rsid w:val="00E512EC"/>
    <w:rsid w:val="00E5154B"/>
    <w:rsid w:val="00E52E81"/>
    <w:rsid w:val="00E577DA"/>
    <w:rsid w:val="00E578C3"/>
    <w:rsid w:val="00E6051D"/>
    <w:rsid w:val="00E6518F"/>
    <w:rsid w:val="00E66BE1"/>
    <w:rsid w:val="00E71A6D"/>
    <w:rsid w:val="00E71C91"/>
    <w:rsid w:val="00E71E31"/>
    <w:rsid w:val="00E73C5D"/>
    <w:rsid w:val="00E743FE"/>
    <w:rsid w:val="00E80BA3"/>
    <w:rsid w:val="00E82CA2"/>
    <w:rsid w:val="00E8475E"/>
    <w:rsid w:val="00E849C2"/>
    <w:rsid w:val="00E87EA3"/>
    <w:rsid w:val="00E9034D"/>
    <w:rsid w:val="00E92098"/>
    <w:rsid w:val="00E941B9"/>
    <w:rsid w:val="00E94F9D"/>
    <w:rsid w:val="00E96A30"/>
    <w:rsid w:val="00E96BE8"/>
    <w:rsid w:val="00EA1045"/>
    <w:rsid w:val="00EA192C"/>
    <w:rsid w:val="00EA29FE"/>
    <w:rsid w:val="00EA3E19"/>
    <w:rsid w:val="00EA3E6B"/>
    <w:rsid w:val="00EA59D8"/>
    <w:rsid w:val="00EA6CA5"/>
    <w:rsid w:val="00EB0ACB"/>
    <w:rsid w:val="00EB244F"/>
    <w:rsid w:val="00EB65AC"/>
    <w:rsid w:val="00EC22FB"/>
    <w:rsid w:val="00EC340E"/>
    <w:rsid w:val="00EC3BC3"/>
    <w:rsid w:val="00EC6899"/>
    <w:rsid w:val="00ED340B"/>
    <w:rsid w:val="00ED5BE7"/>
    <w:rsid w:val="00ED6DE8"/>
    <w:rsid w:val="00ED7BFF"/>
    <w:rsid w:val="00EE2B35"/>
    <w:rsid w:val="00EE3D8D"/>
    <w:rsid w:val="00EE6473"/>
    <w:rsid w:val="00EE7942"/>
    <w:rsid w:val="00EF144C"/>
    <w:rsid w:val="00EF59E1"/>
    <w:rsid w:val="00EF5D8C"/>
    <w:rsid w:val="00F0533E"/>
    <w:rsid w:val="00F05D3A"/>
    <w:rsid w:val="00F062C6"/>
    <w:rsid w:val="00F10B85"/>
    <w:rsid w:val="00F113C4"/>
    <w:rsid w:val="00F154C1"/>
    <w:rsid w:val="00F15C9A"/>
    <w:rsid w:val="00F15D64"/>
    <w:rsid w:val="00F22C14"/>
    <w:rsid w:val="00F232A1"/>
    <w:rsid w:val="00F27C2E"/>
    <w:rsid w:val="00F303DE"/>
    <w:rsid w:val="00F30C0E"/>
    <w:rsid w:val="00F314C2"/>
    <w:rsid w:val="00F35F0D"/>
    <w:rsid w:val="00F37FA9"/>
    <w:rsid w:val="00F37FCE"/>
    <w:rsid w:val="00F41056"/>
    <w:rsid w:val="00F4183C"/>
    <w:rsid w:val="00F41B20"/>
    <w:rsid w:val="00F43656"/>
    <w:rsid w:val="00F51979"/>
    <w:rsid w:val="00F57C3C"/>
    <w:rsid w:val="00F669C4"/>
    <w:rsid w:val="00F67855"/>
    <w:rsid w:val="00F70BC3"/>
    <w:rsid w:val="00F71FDE"/>
    <w:rsid w:val="00F8696E"/>
    <w:rsid w:val="00F906C0"/>
    <w:rsid w:val="00F93828"/>
    <w:rsid w:val="00F95102"/>
    <w:rsid w:val="00F956E3"/>
    <w:rsid w:val="00F967CB"/>
    <w:rsid w:val="00FA3E94"/>
    <w:rsid w:val="00FA479F"/>
    <w:rsid w:val="00FA4966"/>
    <w:rsid w:val="00FA5E05"/>
    <w:rsid w:val="00FB06A0"/>
    <w:rsid w:val="00FB0715"/>
    <w:rsid w:val="00FB3699"/>
    <w:rsid w:val="00FC35D1"/>
    <w:rsid w:val="00FC3708"/>
    <w:rsid w:val="00FC43E8"/>
    <w:rsid w:val="00FC458C"/>
    <w:rsid w:val="00FC49A8"/>
    <w:rsid w:val="00FD0FFD"/>
    <w:rsid w:val="00FD1C40"/>
    <w:rsid w:val="00FD3382"/>
    <w:rsid w:val="00FD3E2C"/>
    <w:rsid w:val="00FD5950"/>
    <w:rsid w:val="00FD7F38"/>
    <w:rsid w:val="00FE0BF7"/>
    <w:rsid w:val="00FE1089"/>
    <w:rsid w:val="00FE27D5"/>
    <w:rsid w:val="00FE28F5"/>
    <w:rsid w:val="00FE627B"/>
    <w:rsid w:val="00FE6609"/>
    <w:rsid w:val="00FE6C9C"/>
    <w:rsid w:val="00FF0E0D"/>
    <w:rsid w:val="00FF192B"/>
    <w:rsid w:val="00FF4F6C"/>
    <w:rsid w:val="00FF5594"/>
    <w:rsid w:val="00FF5920"/>
    <w:rsid w:val="00FF638C"/>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969C23"/>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 Char Char Char,Heading 2 Char Char1 Char Char Char Char Char,Heading 2 Char Char3 Char,Heading 2 Char1 Char,Heading 2 Char1 Char Char Char,Heading 2 Char1 Char Char Char Char Char,Heading 2 Char4"/>
    <w:basedOn w:val="Normal"/>
    <w:next w:val="ParaNum"/>
    <w:autoRedefine/>
    <w:qFormat/>
    <w:rsid w:val="007A1E6D"/>
    <w:pPr>
      <w:keepNext/>
      <w:numPr>
        <w:ilvl w:val="1"/>
        <w:numId w:val="3"/>
      </w:numPr>
      <w:spacing w:after="120"/>
      <w:outlineLvl w:val="1"/>
    </w:pPr>
    <w:rPr>
      <w:b/>
    </w:rPr>
  </w:style>
  <w:style w:type="paragraph" w:styleId="Heading3">
    <w:name w:val="heading 3"/>
    <w:aliases w:val="1,3,31,Heading 3 Char Char,Heading 3 Char Char Char Char,Heading 3 Char Char Char Char Char,Heading 3 Char Char1 Char,Heading 3 Char1 Char Char,Heading 3 Char1 Char Char Char1 Char Char,Heading 3 Char2,Heading 3 Char2 Char1 Char Char,Titre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0">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unhideWhenUsed/>
    <w:rsid w:val="00C37A2D"/>
    <w:rPr>
      <w:sz w:val="20"/>
    </w:rPr>
  </w:style>
  <w:style w:type="character" w:customStyle="1" w:styleId="CommentTextChar">
    <w:name w:val="Comment Text Char"/>
    <w:basedOn w:val="DefaultParagraphFont"/>
    <w:link w:val="CommentText"/>
    <w:uiPriority w:val="99"/>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styleId="UnresolvedMention">
    <w:name w:val="Unresolved Mention"/>
    <w:basedOn w:val="DefaultParagraphFont"/>
    <w:uiPriority w:val="99"/>
    <w:semiHidden/>
    <w:unhideWhenUsed/>
    <w:rsid w:val="006D307F"/>
    <w:rPr>
      <w:color w:val="605E5C"/>
      <w:shd w:val="clear" w:color="auto" w:fill="E1DFDD"/>
    </w:rPr>
  </w:style>
  <w:style w:type="character" w:styleId="Emphasis">
    <w:name w:val="Emphasis"/>
    <w:basedOn w:val="DefaultParagraphFont"/>
    <w:uiPriority w:val="20"/>
    <w:qFormat/>
    <w:rsid w:val="0000252C"/>
    <w:rPr>
      <w:i/>
      <w:iCs/>
    </w:rPr>
  </w:style>
  <w:style w:type="character" w:customStyle="1" w:styleId="FooterChar">
    <w:name w:val="Footer Char"/>
    <w:link w:val="Footer"/>
    <w:uiPriority w:val="99"/>
    <w:rsid w:val="004308EC"/>
    <w:rPr>
      <w:snapToGrid w:val="0"/>
      <w:kern w:val="28"/>
      <w:sz w:val="22"/>
    </w:rPr>
  </w:style>
  <w:style w:type="character" w:customStyle="1" w:styleId="FootnoteTextChar5Char">
    <w:name w:val="Footnote Text Char5 Char"/>
    <w:aliases w:val="Footnote Text Char1 Char Char Char Char Char,Footnote Text Char2 Char Char Char Char Char1 Char,Footnote Text Char2 Char1 Char Char1 Char,Footnote Text Char3 Char Char1 Char"/>
    <w:semiHidden/>
    <w:rsid w:val="004308EC"/>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4308EC"/>
    <w:rPr>
      <w:rFonts w:ascii="Times New Roman Bold" w:hAnsi="Times New Roman Bold"/>
      <w:b/>
      <w:caps/>
      <w:snapToGrid w:val="0"/>
      <w:kern w:val="28"/>
      <w:sz w:val="22"/>
    </w:rPr>
  </w:style>
  <w:style w:type="character" w:customStyle="1" w:styleId="cosearchterm">
    <w:name w:val="co_searchterm"/>
    <w:rsid w:val="004308EC"/>
  </w:style>
  <w:style w:type="paragraph" w:customStyle="1" w:styleId="Default">
    <w:name w:val="Default"/>
    <w:rsid w:val="004308EC"/>
    <w:pPr>
      <w:autoSpaceDE w:val="0"/>
      <w:autoSpaceDN w:val="0"/>
      <w:adjustRightInd w:val="0"/>
    </w:pPr>
    <w:rPr>
      <w:color w:val="000000"/>
      <w:sz w:val="24"/>
      <w:szCs w:val="24"/>
    </w:rPr>
  </w:style>
  <w:style w:type="paragraph" w:styleId="Revision">
    <w:name w:val="Revision"/>
    <w:hidden/>
    <w:uiPriority w:val="99"/>
    <w:semiHidden/>
    <w:rsid w:val="004308EC"/>
    <w:rPr>
      <w:snapToGrid w:val="0"/>
      <w:kern w:val="28"/>
      <w:sz w:val="22"/>
    </w:rPr>
  </w:style>
  <w:style w:type="character" w:customStyle="1" w:styleId="costarpage">
    <w:name w:val="co_starpage"/>
    <w:basedOn w:val="DefaultParagraphFont"/>
    <w:rsid w:val="004308EC"/>
  </w:style>
  <w:style w:type="character" w:customStyle="1" w:styleId="counderline">
    <w:name w:val="co_underline"/>
    <w:basedOn w:val="DefaultParagraphFont"/>
    <w:rsid w:val="004308EC"/>
  </w:style>
  <w:style w:type="character" w:styleId="Strong">
    <w:name w:val="Strong"/>
    <w:basedOn w:val="DefaultParagraphFont"/>
    <w:qFormat/>
    <w:rsid w:val="004308EC"/>
    <w:rPr>
      <w:b/>
      <w:bCs/>
    </w:rPr>
  </w:style>
  <w:style w:type="paragraph" w:styleId="ListParagraph">
    <w:name w:val="List Paragraph"/>
    <w:basedOn w:val="Normal"/>
    <w:uiPriority w:val="34"/>
    <w:qFormat/>
    <w:rsid w:val="00AF1288"/>
    <w:pPr>
      <w:ind w:left="720"/>
      <w:contextualSpacing/>
    </w:pPr>
  </w:style>
  <w:style w:type="paragraph" w:styleId="NormalWeb">
    <w:name w:val="Normal (Web)"/>
    <w:basedOn w:val="Normal"/>
    <w:uiPriority w:val="99"/>
    <w:unhideWhenUsed/>
    <w:rsid w:val="00581B82"/>
    <w:pPr>
      <w:widowControl/>
      <w:spacing w:before="100" w:beforeAutospacing="1" w:after="100" w:afterAutospacing="1"/>
    </w:pPr>
    <w:rPr>
      <w:snapToGrid/>
      <w:kern w:val="0"/>
      <w:sz w:val="24"/>
      <w:szCs w:val="24"/>
    </w:rPr>
  </w:style>
  <w:style w:type="character" w:customStyle="1" w:styleId="cf01">
    <w:name w:val="cf01"/>
    <w:basedOn w:val="DefaultParagraphFont"/>
    <w:rsid w:val="00581B82"/>
    <w:rPr>
      <w:rFonts w:ascii="Segoe UI" w:hAnsi="Segoe UI" w:cs="Segoe UI" w:hint="default"/>
      <w:sz w:val="18"/>
      <w:szCs w:val="18"/>
    </w:rPr>
  </w:style>
  <w:style w:type="character" w:customStyle="1" w:styleId="cf11">
    <w:name w:val="cf11"/>
    <w:basedOn w:val="DefaultParagraphFont"/>
    <w:rsid w:val="00581B82"/>
    <w:rPr>
      <w:rFonts w:ascii="Segoe UI" w:hAnsi="Segoe UI" w:cs="Segoe UI" w:hint="default"/>
      <w:sz w:val="18"/>
      <w:szCs w:val="18"/>
    </w:rPr>
  </w:style>
  <w:style w:type="character" w:customStyle="1" w:styleId="documentbody1">
    <w:name w:val="documentbody1"/>
    <w:basedOn w:val="DefaultParagraphFont"/>
    <w:rsid w:val="005D6879"/>
    <w:rPr>
      <w:rFonts w:ascii="Verdana" w:hAnsi="Verdana" w:hint="default"/>
      <w:sz w:val="19"/>
      <w:szCs w:val="19"/>
    </w:rPr>
  </w:style>
  <w:style w:type="paragraph" w:customStyle="1" w:styleId="Normal1">
    <w:name w:val="Normal1"/>
    <w:basedOn w:val="Normal"/>
    <w:rsid w:val="005D6879"/>
    <w:pPr>
      <w:widowControl/>
      <w:spacing w:before="100" w:beforeAutospacing="1" w:after="100" w:afterAutospacing="1"/>
    </w:pPr>
    <w:rPr>
      <w:rFonts w:ascii="Tahoma" w:hAnsi="Tahoma" w:cs="Verdana"/>
      <w:snapToGrid/>
      <w:color w:val="333333"/>
      <w:kern w:val="0"/>
      <w:sz w:val="18"/>
      <w:szCs w:val="18"/>
    </w:rPr>
  </w:style>
  <w:style w:type="paragraph" w:styleId="BodyText2">
    <w:name w:val="Body Text 2"/>
    <w:basedOn w:val="Normal"/>
    <w:link w:val="BodyText2Char"/>
    <w:rsid w:val="005D6879"/>
    <w:pPr>
      <w:widowControl/>
    </w:pPr>
    <w:rPr>
      <w:snapToGrid/>
      <w:color w:val="000000"/>
      <w:kern w:val="0"/>
    </w:rPr>
  </w:style>
  <w:style w:type="character" w:customStyle="1" w:styleId="BodyText2Char">
    <w:name w:val="Body Text 2 Char"/>
    <w:basedOn w:val="DefaultParagraphFont"/>
    <w:link w:val="BodyText2"/>
    <w:rsid w:val="005D687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mes.Bradshaw@fcc.gov" TargetMode="External" /><Relationship Id="rId6" Type="http://schemas.openxmlformats.org/officeDocument/2006/relationships/hyperlink" Target="mailto:Alexander.Sanjenis@fcc.gov" TargetMode="External" /><Relationship Id="rId7" Type="http://schemas.openxmlformats.org/officeDocument/2006/relationships/hyperlink" Target="mailto:Amy.Vandekerckhove@fcc.gov" TargetMode="External" /><Relationship Id="rId8" Type="http://schemas.openxmlformats.org/officeDocument/2006/relationships/hyperlink" Target="mailto:Lisa.Scanlan@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