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A34B4" w14:paraId="09694FE6" w14:textId="0B7403EF">
      <w:pPr>
        <w:jc w:val="right"/>
        <w:rPr>
          <w:b/>
          <w:sz w:val="24"/>
        </w:rPr>
      </w:pPr>
      <w:r>
        <w:rPr>
          <w:b/>
          <w:sz w:val="24"/>
        </w:rPr>
        <w:t xml:space="preserve">DA </w:t>
      </w:r>
      <w:r w:rsidR="001B70A2">
        <w:rPr>
          <w:b/>
          <w:sz w:val="24"/>
        </w:rPr>
        <w:t>2</w:t>
      </w:r>
      <w:r w:rsidR="003B6F4E">
        <w:rPr>
          <w:b/>
          <w:sz w:val="24"/>
        </w:rPr>
        <w:t>4</w:t>
      </w:r>
      <w:r w:rsidR="00136F4E">
        <w:rPr>
          <w:b/>
          <w:sz w:val="24"/>
        </w:rPr>
        <w:t>-298</w:t>
      </w:r>
    </w:p>
    <w:p w:rsidR="00CA34B4" w14:paraId="282AD245" w14:textId="7CC7A93C">
      <w:pPr>
        <w:spacing w:before="60"/>
        <w:jc w:val="right"/>
        <w:rPr>
          <w:b/>
          <w:sz w:val="24"/>
        </w:rPr>
      </w:pPr>
      <w:r>
        <w:rPr>
          <w:b/>
          <w:sz w:val="24"/>
        </w:rPr>
        <w:t xml:space="preserve">Released:  </w:t>
      </w:r>
      <w:r w:rsidR="003B6F4E">
        <w:rPr>
          <w:b/>
          <w:sz w:val="24"/>
        </w:rPr>
        <w:t xml:space="preserve">March </w:t>
      </w:r>
      <w:r w:rsidR="00CB4105">
        <w:rPr>
          <w:b/>
          <w:sz w:val="24"/>
        </w:rPr>
        <w:t>26</w:t>
      </w:r>
      <w:r w:rsidR="003B6F4E">
        <w:rPr>
          <w:b/>
          <w:sz w:val="24"/>
        </w:rPr>
        <w:t>, 2024</w:t>
      </w:r>
    </w:p>
    <w:p w:rsidR="00CA34B4" w14:paraId="0DD15EE3" w14:textId="77777777">
      <w:pPr>
        <w:jc w:val="right"/>
        <w:rPr>
          <w:sz w:val="24"/>
        </w:rPr>
      </w:pPr>
    </w:p>
    <w:p w:rsidR="007E6BB2" w:rsidP="0099053D" w14:paraId="47E7420F" w14:textId="26C0A746">
      <w:pPr>
        <w:jc w:val="center"/>
        <w:rPr>
          <w:b/>
          <w:sz w:val="24"/>
        </w:rPr>
      </w:pPr>
      <w:r w:rsidRPr="007E6BB2">
        <w:rPr>
          <w:b/>
          <w:sz w:val="24"/>
        </w:rPr>
        <w:t xml:space="preserve">REQUEST FOR COMMENT ON PETITION FOR RULEMAKING BY SPACE EXPLORATION HOLDINGS, LLC, REGARDING </w:t>
      </w:r>
      <w:r w:rsidRPr="0099053D" w:rsidR="0099053D">
        <w:rPr>
          <w:b/>
          <w:sz w:val="24"/>
        </w:rPr>
        <w:t xml:space="preserve">REVISION OF THE COMMISSION’S </w:t>
      </w:r>
      <w:r w:rsidR="008E547D">
        <w:rPr>
          <w:b/>
          <w:sz w:val="24"/>
        </w:rPr>
        <w:t>1.6/</w:t>
      </w:r>
      <w:r w:rsidRPr="0099053D" w:rsidR="008C327C">
        <w:rPr>
          <w:b/>
          <w:sz w:val="24"/>
        </w:rPr>
        <w:t>2</w:t>
      </w:r>
      <w:r w:rsidR="008E547D">
        <w:rPr>
          <w:b/>
          <w:sz w:val="24"/>
        </w:rPr>
        <w:t>.4</w:t>
      </w:r>
      <w:r w:rsidRPr="0099053D" w:rsidR="008C327C">
        <w:rPr>
          <w:b/>
          <w:sz w:val="24"/>
        </w:rPr>
        <w:t xml:space="preserve"> GH</w:t>
      </w:r>
      <w:r w:rsidR="008C327C">
        <w:rPr>
          <w:b/>
          <w:sz w:val="24"/>
        </w:rPr>
        <w:t>z</w:t>
      </w:r>
      <w:r w:rsidRPr="0099053D" w:rsidR="008C327C">
        <w:rPr>
          <w:b/>
          <w:sz w:val="24"/>
        </w:rPr>
        <w:t xml:space="preserve"> </w:t>
      </w:r>
      <w:r w:rsidR="008E547D">
        <w:rPr>
          <w:b/>
          <w:sz w:val="24"/>
        </w:rPr>
        <w:t>“B</w:t>
      </w:r>
      <w:r w:rsidR="00C0546A">
        <w:rPr>
          <w:b/>
          <w:sz w:val="24"/>
        </w:rPr>
        <w:t>IG</w:t>
      </w:r>
      <w:r w:rsidR="008E547D">
        <w:rPr>
          <w:b/>
          <w:sz w:val="24"/>
        </w:rPr>
        <w:t xml:space="preserve"> LEO” NGSO </w:t>
      </w:r>
      <w:r w:rsidR="008C327C">
        <w:rPr>
          <w:b/>
          <w:sz w:val="24"/>
        </w:rPr>
        <w:t xml:space="preserve">MSS </w:t>
      </w:r>
      <w:r w:rsidRPr="0099053D" w:rsidR="0099053D">
        <w:rPr>
          <w:b/>
          <w:sz w:val="24"/>
        </w:rPr>
        <w:t>SHARING</w:t>
      </w:r>
      <w:r w:rsidR="0099053D">
        <w:rPr>
          <w:b/>
          <w:sz w:val="24"/>
        </w:rPr>
        <w:t xml:space="preserve"> </w:t>
      </w:r>
      <w:r w:rsidRPr="0099053D" w:rsidR="0099053D">
        <w:rPr>
          <w:b/>
          <w:sz w:val="24"/>
        </w:rPr>
        <w:t>PLAN</w:t>
      </w:r>
    </w:p>
    <w:p w:rsidR="007E6BB2" w14:paraId="319D0B3C" w14:textId="77777777">
      <w:pPr>
        <w:jc w:val="center"/>
        <w:rPr>
          <w:b/>
          <w:sz w:val="24"/>
        </w:rPr>
      </w:pPr>
    </w:p>
    <w:p w:rsidR="001A5D77" w14:paraId="42D11438" w14:textId="2AD144FF">
      <w:pPr>
        <w:jc w:val="center"/>
        <w:rPr>
          <w:b/>
          <w:sz w:val="24"/>
        </w:rPr>
      </w:pPr>
      <w:r>
        <w:rPr>
          <w:b/>
          <w:sz w:val="24"/>
        </w:rPr>
        <w:t>RM</w:t>
      </w:r>
      <w:r w:rsidR="007F0769">
        <w:rPr>
          <w:b/>
          <w:sz w:val="24"/>
        </w:rPr>
        <w:t>-11975</w:t>
      </w:r>
    </w:p>
    <w:p w:rsidR="009A37EE" w:rsidP="009A37EE" w14:paraId="55340DA7" w14:textId="7D6D9513">
      <w:pPr>
        <w:rPr>
          <w:b/>
          <w:sz w:val="24"/>
        </w:rPr>
      </w:pPr>
    </w:p>
    <w:p w:rsidR="009A37EE" w:rsidRPr="00B26DCB" w:rsidP="009A37EE" w14:paraId="7056F4B9" w14:textId="0EC05E64">
      <w:pPr>
        <w:widowControl/>
        <w:spacing w:line="259" w:lineRule="auto"/>
        <w:rPr>
          <w:rFonts w:eastAsia="Calibri"/>
          <w:b/>
          <w:snapToGrid/>
          <w:kern w:val="0"/>
          <w:sz w:val="24"/>
          <w:szCs w:val="24"/>
        </w:rPr>
      </w:pPr>
      <w:r w:rsidRPr="00BA7A44">
        <w:rPr>
          <w:rFonts w:eastAsia="Calibri"/>
          <w:b/>
          <w:snapToGrid/>
          <w:kern w:val="0"/>
          <w:sz w:val="24"/>
          <w:szCs w:val="24"/>
        </w:rPr>
        <w:t>Comments</w:t>
      </w:r>
      <w:r>
        <w:rPr>
          <w:rFonts w:eastAsia="Calibri"/>
          <w:b/>
          <w:snapToGrid/>
          <w:kern w:val="0"/>
          <w:sz w:val="24"/>
          <w:szCs w:val="24"/>
        </w:rPr>
        <w:t xml:space="preserve"> Due</w:t>
      </w:r>
      <w:r w:rsidRPr="00BA7A44">
        <w:rPr>
          <w:rFonts w:eastAsia="Calibri"/>
          <w:b/>
          <w:snapToGrid/>
          <w:kern w:val="0"/>
          <w:sz w:val="24"/>
          <w:szCs w:val="24"/>
        </w:rPr>
        <w:t>:</w:t>
      </w:r>
      <w:r w:rsidR="00166659">
        <w:rPr>
          <w:rFonts w:eastAsia="Calibri"/>
          <w:b/>
          <w:snapToGrid/>
          <w:kern w:val="0"/>
          <w:sz w:val="24"/>
          <w:szCs w:val="24"/>
        </w:rPr>
        <w:t xml:space="preserve"> </w:t>
      </w:r>
      <w:r w:rsidR="00E50577">
        <w:rPr>
          <w:rFonts w:eastAsia="Calibri"/>
          <w:b/>
          <w:snapToGrid/>
          <w:kern w:val="0"/>
          <w:sz w:val="24"/>
          <w:szCs w:val="24"/>
        </w:rPr>
        <w:t xml:space="preserve"> </w:t>
      </w:r>
      <w:r w:rsidRPr="001B4066" w:rsidR="001B4066">
        <w:rPr>
          <w:rFonts w:eastAsia="Calibri"/>
          <w:b/>
          <w:snapToGrid/>
          <w:kern w:val="0"/>
          <w:sz w:val="24"/>
          <w:szCs w:val="24"/>
        </w:rPr>
        <w:t>April 25, 2024</w:t>
      </w:r>
    </w:p>
    <w:p w:rsidR="009A37EE" w:rsidP="009A37EE" w14:paraId="52F7571D" w14:textId="65FE0531">
      <w:pPr>
        <w:widowControl/>
        <w:spacing w:after="160" w:line="259" w:lineRule="auto"/>
        <w:rPr>
          <w:rFonts w:eastAsia="Calibri"/>
          <w:b/>
          <w:snapToGrid/>
          <w:kern w:val="0"/>
          <w:sz w:val="24"/>
          <w:szCs w:val="24"/>
        </w:rPr>
      </w:pPr>
      <w:r w:rsidRPr="00B26DCB">
        <w:rPr>
          <w:rFonts w:eastAsia="Calibri"/>
          <w:b/>
          <w:snapToGrid/>
          <w:kern w:val="0"/>
          <w:sz w:val="24"/>
          <w:szCs w:val="24"/>
        </w:rPr>
        <w:t xml:space="preserve">Reply Comments Due: </w:t>
      </w:r>
      <w:r w:rsidR="00E50577">
        <w:rPr>
          <w:rFonts w:eastAsia="Calibri"/>
          <w:b/>
          <w:snapToGrid/>
          <w:kern w:val="0"/>
          <w:sz w:val="24"/>
          <w:szCs w:val="24"/>
        </w:rPr>
        <w:t xml:space="preserve"> </w:t>
      </w:r>
      <w:r w:rsidRPr="005900A7" w:rsidR="005900A7">
        <w:rPr>
          <w:rFonts w:eastAsia="Calibri"/>
          <w:b/>
          <w:snapToGrid/>
          <w:kern w:val="0"/>
          <w:sz w:val="24"/>
          <w:szCs w:val="24"/>
        </w:rPr>
        <w:t>May 10, 2024</w:t>
      </w:r>
      <w:r>
        <w:rPr>
          <w:rFonts w:eastAsia="Calibri"/>
          <w:b/>
          <w:snapToGrid/>
          <w:kern w:val="0"/>
          <w:sz w:val="24"/>
          <w:szCs w:val="24"/>
        </w:rPr>
        <w:t xml:space="preserve"> </w:t>
      </w:r>
    </w:p>
    <w:p w:rsidR="00B82E44" w:rsidP="000D0527" w14:paraId="67430E99" w14:textId="7635D892">
      <w:pPr>
        <w:widowControl/>
        <w:spacing w:after="160" w:line="259" w:lineRule="auto"/>
        <w:ind w:firstLine="720"/>
        <w:rPr>
          <w:szCs w:val="22"/>
        </w:rPr>
      </w:pPr>
      <w:r>
        <w:rPr>
          <w:szCs w:val="22"/>
        </w:rPr>
        <w:t xml:space="preserve">Pursuant to section </w:t>
      </w:r>
      <w:r w:rsidR="00A02564">
        <w:rPr>
          <w:szCs w:val="22"/>
        </w:rPr>
        <w:t xml:space="preserve">1.403 of the </w:t>
      </w:r>
      <w:r w:rsidR="008326A3">
        <w:rPr>
          <w:szCs w:val="22"/>
        </w:rPr>
        <w:t xml:space="preserve">Commission’s </w:t>
      </w:r>
      <w:r w:rsidR="00A02564">
        <w:rPr>
          <w:szCs w:val="22"/>
        </w:rPr>
        <w:t>rules,</w:t>
      </w:r>
      <w:r>
        <w:rPr>
          <w:rStyle w:val="FootnoteReference"/>
          <w:szCs w:val="22"/>
        </w:rPr>
        <w:footnoteReference w:id="3"/>
      </w:r>
      <w:r w:rsidR="00A02564">
        <w:rPr>
          <w:szCs w:val="22"/>
        </w:rPr>
        <w:t xml:space="preserve"> t</w:t>
      </w:r>
      <w:r w:rsidR="009855B6">
        <w:rPr>
          <w:szCs w:val="22"/>
        </w:rPr>
        <w:t>he</w:t>
      </w:r>
      <w:r w:rsidRPr="00C05524" w:rsidR="009855B6">
        <w:rPr>
          <w:szCs w:val="22"/>
        </w:rPr>
        <w:t xml:space="preserve"> </w:t>
      </w:r>
      <w:r w:rsidR="001B710E">
        <w:rPr>
          <w:szCs w:val="22"/>
        </w:rPr>
        <w:t xml:space="preserve">Office of Managing Director, Reference Information Center </w:t>
      </w:r>
      <w:r w:rsidR="009855B6">
        <w:rPr>
          <w:szCs w:val="22"/>
        </w:rPr>
        <w:t xml:space="preserve">of the Federal Communications Commission (Commission) </w:t>
      </w:r>
      <w:r w:rsidRPr="00C05524" w:rsidR="009855B6">
        <w:rPr>
          <w:szCs w:val="22"/>
        </w:rPr>
        <w:t>seeks comment on</w:t>
      </w:r>
      <w:r w:rsidR="009855B6">
        <w:rPr>
          <w:szCs w:val="22"/>
        </w:rPr>
        <w:t xml:space="preserve"> a Petition for Rulemaking filed by</w:t>
      </w:r>
      <w:r w:rsidR="005702C3">
        <w:rPr>
          <w:szCs w:val="22"/>
        </w:rPr>
        <w:t xml:space="preserve"> </w:t>
      </w:r>
      <w:r w:rsidRPr="005702C3" w:rsidR="005702C3">
        <w:rPr>
          <w:szCs w:val="22"/>
        </w:rPr>
        <w:t>Space Exploration Holdings, LLC</w:t>
      </w:r>
      <w:r w:rsidR="005C21A7">
        <w:rPr>
          <w:szCs w:val="22"/>
        </w:rPr>
        <w:t xml:space="preserve"> (</w:t>
      </w:r>
      <w:r w:rsidR="005702C3">
        <w:rPr>
          <w:szCs w:val="22"/>
        </w:rPr>
        <w:t>SpaceX</w:t>
      </w:r>
      <w:r w:rsidR="005C21A7">
        <w:rPr>
          <w:szCs w:val="22"/>
        </w:rPr>
        <w:t>)</w:t>
      </w:r>
      <w:r w:rsidR="005702C3">
        <w:rPr>
          <w:szCs w:val="22"/>
        </w:rPr>
        <w:t>,</w:t>
      </w:r>
      <w:r>
        <w:rPr>
          <w:rStyle w:val="FootnoteReference"/>
          <w:szCs w:val="22"/>
        </w:rPr>
        <w:footnoteReference w:id="4"/>
      </w:r>
      <w:r w:rsidR="005C21A7">
        <w:rPr>
          <w:szCs w:val="22"/>
        </w:rPr>
        <w:t xml:space="preserve"> </w:t>
      </w:r>
      <w:r w:rsidR="000C6E26">
        <w:rPr>
          <w:szCs w:val="22"/>
        </w:rPr>
        <w:t>request</w:t>
      </w:r>
      <w:r w:rsidR="005702C3">
        <w:rPr>
          <w:szCs w:val="22"/>
        </w:rPr>
        <w:t>ing</w:t>
      </w:r>
      <w:r w:rsidR="000C6E26">
        <w:rPr>
          <w:szCs w:val="22"/>
        </w:rPr>
        <w:t xml:space="preserve"> </w:t>
      </w:r>
      <w:r w:rsidR="001279C7">
        <w:rPr>
          <w:szCs w:val="22"/>
        </w:rPr>
        <w:t xml:space="preserve">that </w:t>
      </w:r>
      <w:r w:rsidR="0071686A">
        <w:rPr>
          <w:szCs w:val="22"/>
        </w:rPr>
        <w:t xml:space="preserve">the Commission </w:t>
      </w:r>
      <w:r w:rsidR="00491CC7">
        <w:rPr>
          <w:szCs w:val="22"/>
        </w:rPr>
        <w:t>revise</w:t>
      </w:r>
      <w:r w:rsidR="00293CAF">
        <w:rPr>
          <w:szCs w:val="22"/>
        </w:rPr>
        <w:t xml:space="preserve"> </w:t>
      </w:r>
      <w:r w:rsidRPr="006C6298">
        <w:rPr>
          <w:szCs w:val="22"/>
        </w:rPr>
        <w:t>its licensing and spectrum sharing framework for</w:t>
      </w:r>
      <w:r>
        <w:rPr>
          <w:szCs w:val="22"/>
        </w:rPr>
        <w:t xml:space="preserve"> </w:t>
      </w:r>
      <w:r w:rsidR="00D06434">
        <w:rPr>
          <w:szCs w:val="22"/>
        </w:rPr>
        <w:t xml:space="preserve">“Big LEO” non-geostationary satellite orbit, </w:t>
      </w:r>
      <w:r>
        <w:rPr>
          <w:szCs w:val="22"/>
        </w:rPr>
        <w:t xml:space="preserve">mobile-satellite service systems operating in the </w:t>
      </w:r>
      <w:r w:rsidRPr="00D06434" w:rsidR="00D06434">
        <w:rPr>
          <w:szCs w:val="22"/>
        </w:rPr>
        <w:t>1610-1617.775 MHz and 2483.5-2500 MHz</w:t>
      </w:r>
      <w:r w:rsidR="00D06434">
        <w:rPr>
          <w:szCs w:val="22"/>
        </w:rPr>
        <w:t xml:space="preserve"> bands</w:t>
      </w:r>
      <w:r w:rsidR="002D1EBD">
        <w:rPr>
          <w:szCs w:val="22"/>
        </w:rPr>
        <w:t>.</w:t>
      </w:r>
      <w:r>
        <w:rPr>
          <w:rStyle w:val="FootnoteReference"/>
          <w:szCs w:val="22"/>
        </w:rPr>
        <w:footnoteReference w:id="5"/>
      </w:r>
    </w:p>
    <w:p w:rsidR="00826A44" w:rsidP="000D0527" w14:paraId="511A4A02" w14:textId="1E8D7657">
      <w:pPr>
        <w:widowControl/>
        <w:spacing w:after="160" w:line="259" w:lineRule="auto"/>
        <w:ind w:firstLine="720"/>
        <w:rPr>
          <w:szCs w:val="22"/>
        </w:rPr>
      </w:pPr>
      <w:r>
        <w:rPr>
          <w:szCs w:val="22"/>
        </w:rPr>
        <w:t>W</w:t>
      </w:r>
      <w:r w:rsidR="00E529CE">
        <w:rPr>
          <w:szCs w:val="22"/>
        </w:rPr>
        <w:t xml:space="preserve">e </w:t>
      </w:r>
      <w:r w:rsidRPr="00826A44">
        <w:rPr>
          <w:szCs w:val="22"/>
        </w:rPr>
        <w:t xml:space="preserve">remind the public that, to the extent any communications with Commission decision-making personnel </w:t>
      </w:r>
      <w:r w:rsidR="003E3ADD">
        <w:rPr>
          <w:szCs w:val="22"/>
        </w:rPr>
        <w:t>regarding</w:t>
      </w:r>
      <w:r w:rsidRPr="00826A44">
        <w:rPr>
          <w:szCs w:val="22"/>
        </w:rPr>
        <w:t xml:space="preserve"> the </w:t>
      </w:r>
      <w:r w:rsidR="003E3ADD">
        <w:rPr>
          <w:szCs w:val="22"/>
        </w:rPr>
        <w:t>SpaceX Petition</w:t>
      </w:r>
      <w:r w:rsidRPr="00826A44">
        <w:rPr>
          <w:szCs w:val="22"/>
        </w:rPr>
        <w:t xml:space="preserve"> go to the merits or outcome of any other proceeding, those communications should be disclosed in the related proceeding in accordance with the applicable </w:t>
      </w:r>
      <w:r w:rsidRPr="00F00AF7">
        <w:rPr>
          <w:i/>
          <w:iCs/>
          <w:szCs w:val="22"/>
        </w:rPr>
        <w:t>ex parte</w:t>
      </w:r>
      <w:r w:rsidRPr="00826A44">
        <w:rPr>
          <w:szCs w:val="22"/>
        </w:rPr>
        <w:t xml:space="preserve"> rules.</w:t>
      </w:r>
    </w:p>
    <w:p w:rsidR="00AC42DE" w:rsidRPr="00E858EB" w:rsidP="00AC42DE" w14:paraId="27B05B93" w14:textId="3AD190EC">
      <w:pPr>
        <w:widowControl/>
        <w:spacing w:after="120"/>
        <w:ind w:firstLine="720"/>
        <w:rPr>
          <w:szCs w:val="22"/>
        </w:rPr>
      </w:pPr>
      <w:r w:rsidRPr="004C08D0">
        <w:rPr>
          <w:i/>
          <w:szCs w:val="22"/>
        </w:rPr>
        <w:t xml:space="preserve">Filing Requirements.  </w:t>
      </w:r>
      <w:r w:rsidRPr="004C08D0">
        <w:rPr>
          <w:szCs w:val="22"/>
        </w:rPr>
        <w:t xml:space="preserve">Interested parties may file comments on </w:t>
      </w:r>
      <w:r w:rsidR="00836C3A">
        <w:rPr>
          <w:szCs w:val="22"/>
        </w:rPr>
        <w:t>the</w:t>
      </w:r>
      <w:r w:rsidR="000D0527">
        <w:rPr>
          <w:szCs w:val="22"/>
        </w:rPr>
        <w:t xml:space="preserve"> </w:t>
      </w:r>
      <w:r w:rsidRPr="004C08D0">
        <w:rPr>
          <w:szCs w:val="22"/>
        </w:rPr>
        <w:t>Petition on or before the date</w:t>
      </w:r>
      <w:r w:rsidR="00FE58B8">
        <w:rPr>
          <w:szCs w:val="22"/>
        </w:rPr>
        <w:t>s</w:t>
      </w:r>
      <w:r w:rsidRPr="004C08D0">
        <w:rPr>
          <w:szCs w:val="22"/>
        </w:rPr>
        <w:t xml:space="preserve"> indicated on the first page of this document.</w:t>
      </w:r>
      <w:r>
        <w:rPr>
          <w:rStyle w:val="FootnoteReference"/>
        </w:rPr>
        <w:footnoteReference w:id="6"/>
      </w:r>
      <w:r w:rsidRPr="004C08D0">
        <w:rPr>
          <w:szCs w:val="22"/>
        </w:rPr>
        <w:t xml:space="preserve">  </w:t>
      </w:r>
      <w:r w:rsidRPr="004C08D0">
        <w:rPr>
          <w:iCs/>
          <w:szCs w:val="22"/>
        </w:rPr>
        <w:t xml:space="preserve">All filings must reference </w:t>
      </w:r>
      <w:r w:rsidR="00556B94">
        <w:rPr>
          <w:iCs/>
          <w:szCs w:val="22"/>
        </w:rPr>
        <w:t>RM-</w:t>
      </w:r>
      <w:r w:rsidRPr="005900A7" w:rsidR="005900A7">
        <w:rPr>
          <w:iCs/>
          <w:szCs w:val="22"/>
        </w:rPr>
        <w:t>11975</w:t>
      </w:r>
      <w:r w:rsidRPr="004C08D0">
        <w:rPr>
          <w:iCs/>
          <w:szCs w:val="22"/>
        </w:rPr>
        <w:t xml:space="preserve">.  </w:t>
      </w:r>
      <w:r w:rsidRPr="004C08D0">
        <w:rPr>
          <w:szCs w:val="22"/>
        </w:rPr>
        <w:t>Comments may be filed using the Commission’s Electronic Comment Filing System (ECFS).</w:t>
      </w:r>
      <w:r>
        <w:rPr>
          <w:rStyle w:val="FootnoteReference"/>
        </w:rPr>
        <w:footnoteReference w:id="7"/>
      </w:r>
      <w:r w:rsidRPr="00E858EB">
        <w:rPr>
          <w:szCs w:val="22"/>
        </w:rPr>
        <w:t xml:space="preserve">  </w:t>
      </w:r>
    </w:p>
    <w:p w:rsidR="00AC42DE" w:rsidRPr="00160393" w:rsidP="00AC42DE" w14:paraId="33B5DF02" w14:textId="77777777">
      <w:pPr>
        <w:widowControl/>
        <w:numPr>
          <w:ilvl w:val="0"/>
          <w:numId w:val="7"/>
        </w:numPr>
        <w:spacing w:after="240"/>
        <w:ind w:left="1080"/>
        <w:contextualSpacing/>
        <w:rPr>
          <w:szCs w:val="22"/>
        </w:rPr>
      </w:pPr>
      <w:r w:rsidRPr="00AB7C96">
        <w:rPr>
          <w:szCs w:val="22"/>
        </w:rPr>
        <w:t xml:space="preserve">Electronic Filers:  Comments may be filed electronically using the Internet by accessing the ECFS:  </w:t>
      </w:r>
      <w:hyperlink r:id="rId5" w:history="1">
        <w:r w:rsidRPr="00AB7C96">
          <w:rPr>
            <w:color w:val="0000FF"/>
            <w:szCs w:val="22"/>
            <w:u w:val="single"/>
          </w:rPr>
          <w:t>https://www.fcc.gov/ecfs/filings</w:t>
        </w:r>
      </w:hyperlink>
      <w:r w:rsidRPr="00160393">
        <w:rPr>
          <w:szCs w:val="22"/>
        </w:rPr>
        <w:t xml:space="preserve">.  </w:t>
      </w:r>
    </w:p>
    <w:p w:rsidR="00AC42DE" w:rsidRPr="001775DA" w:rsidP="00AC42DE" w14:paraId="633929F0" w14:textId="77777777">
      <w:pPr>
        <w:widowControl/>
        <w:numPr>
          <w:ilvl w:val="0"/>
          <w:numId w:val="7"/>
        </w:numPr>
        <w:ind w:left="1080"/>
        <w:contextualSpacing/>
        <w:rPr>
          <w:szCs w:val="22"/>
        </w:rPr>
      </w:pPr>
      <w:r w:rsidRPr="001775DA">
        <w:rPr>
          <w:szCs w:val="22"/>
        </w:rPr>
        <w:t xml:space="preserve">Paper Filers:  </w:t>
      </w:r>
    </w:p>
    <w:p w:rsidR="00AC42DE" w:rsidP="00AC42DE" w14:paraId="230AD0B4"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C42DE" w:rsidRPr="00AB7C96" w:rsidP="00AC42DE" w14:paraId="70F54E2C"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C42DE" w:rsidRPr="0054212D" w:rsidP="00AC42DE" w14:paraId="0DC4E473" w14:textId="77777777">
      <w:pPr>
        <w:widowControl/>
        <w:numPr>
          <w:ilvl w:val="1"/>
          <w:numId w:val="9"/>
        </w:numPr>
        <w:spacing w:after="120"/>
        <w:rPr>
          <w:rFonts w:ascii="Arial" w:hAnsi="Arial" w:cs="Arial"/>
          <w:snapToGrid/>
          <w:kern w:val="0"/>
        </w:rPr>
      </w:pPr>
      <w:r w:rsidRPr="00F11583">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w:t>
      </w:r>
      <w:r>
        <w:rPr>
          <w:szCs w:val="22"/>
        </w:rPr>
        <w:t xml:space="preserve"> Junction</w:t>
      </w:r>
      <w:r w:rsidRPr="00F11583">
        <w:rPr>
          <w:szCs w:val="22"/>
        </w:rPr>
        <w:t>, Maryland 20701</w:t>
      </w:r>
      <w:r>
        <w:rPr>
          <w:rFonts w:ascii="Arial" w:hAnsi="Arial" w:cs="Arial"/>
        </w:rPr>
        <w:t>.</w:t>
      </w:r>
      <w:r>
        <w:rPr>
          <w:rStyle w:val="FootnoteReference"/>
          <w:rFonts w:cs="Arial"/>
        </w:rPr>
        <w:footnoteReference w:id="8"/>
      </w:r>
      <w:r w:rsidRPr="0054212D">
        <w:rPr>
          <w:szCs w:val="22"/>
        </w:rPr>
        <w:t xml:space="preserve">  </w:t>
      </w:r>
    </w:p>
    <w:p w:rsidR="00AC42DE" w:rsidRPr="00AB7C96" w:rsidP="00AC42DE" w14:paraId="557CC9FF" w14:textId="77777777">
      <w:pPr>
        <w:widowControl/>
        <w:numPr>
          <w:ilvl w:val="1"/>
          <w:numId w:val="10"/>
        </w:numPr>
        <w:spacing w:after="12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AC42DE" w:rsidP="00AC42DE" w14:paraId="2F5E1AA6" w14:textId="77777777">
      <w:pPr>
        <w:widowControl/>
        <w:numPr>
          <w:ilvl w:val="1"/>
          <w:numId w:val="11"/>
        </w:numPr>
        <w:spacing w:after="120"/>
        <w:rPr>
          <w:szCs w:val="22"/>
        </w:rPr>
      </w:pPr>
      <w:r w:rsidRPr="00AB7C96">
        <w:rPr>
          <w:szCs w:val="22"/>
        </w:rPr>
        <w:t xml:space="preserve">U.S. Postal Service first-class, Express, and Priority mail </w:t>
      </w:r>
      <w:r>
        <w:rPr>
          <w:szCs w:val="22"/>
        </w:rPr>
        <w:t xml:space="preserve">may </w:t>
      </w:r>
      <w:r w:rsidRPr="00AB7C96">
        <w:rPr>
          <w:szCs w:val="22"/>
        </w:rPr>
        <w:t>be addressed to</w:t>
      </w:r>
      <w:r>
        <w:rPr>
          <w:szCs w:val="22"/>
        </w:rPr>
        <w:t xml:space="preserve"> 45 L Street, NE, Washington, DC 20554.</w:t>
      </w:r>
    </w:p>
    <w:p w:rsidR="00AC42DE" w:rsidRPr="009F45DC" w:rsidP="00AC42DE" w14:paraId="48311212" w14:textId="77777777">
      <w:pPr>
        <w:widowControl/>
        <w:numPr>
          <w:ilvl w:val="1"/>
          <w:numId w:val="11"/>
        </w:numPr>
        <w:snapToGrid w:val="0"/>
        <w:spacing w:after="120"/>
        <w:rPr>
          <w:snapToGrid/>
          <w:szCs w:val="22"/>
        </w:rPr>
      </w:pPr>
      <w:r>
        <w:rPr>
          <w:szCs w:val="18"/>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r w:rsidRPr="0033052C">
        <w:rPr>
          <w:szCs w:val="22"/>
        </w:rPr>
        <w:t xml:space="preserve"> </w:t>
      </w:r>
    </w:p>
    <w:p w:rsidR="00AC42DE" w:rsidRPr="000D7702" w:rsidP="00AC42DE" w14:paraId="1D8F061F" w14:textId="77777777">
      <w:pPr>
        <w:spacing w:after="120"/>
        <w:ind w:firstLine="720"/>
        <w:rPr>
          <w:szCs w:val="22"/>
        </w:rPr>
      </w:pPr>
      <w:r>
        <w:rPr>
          <w:i/>
          <w:iCs/>
          <w:szCs w:val="22"/>
        </w:rPr>
        <w:t>Ex Parte Requirements.</w:t>
      </w:r>
      <w:r>
        <w:rPr>
          <w:szCs w:val="22"/>
        </w:rPr>
        <w:t xml:space="preserve"> </w:t>
      </w:r>
      <w:r w:rsidRPr="000D7702">
        <w:rPr>
          <w:szCs w:val="22"/>
        </w:rPr>
        <w:t xml:space="preserve">The proceeding this Notice initiates shall be treated as a “permit-but-disclose” proceeding in accordance with the Commission’s </w:t>
      </w:r>
      <w:r w:rsidRPr="000D7702">
        <w:rPr>
          <w:i/>
          <w:iCs/>
          <w:szCs w:val="22"/>
        </w:rPr>
        <w:t xml:space="preserve">ex parte </w:t>
      </w:r>
      <w:r w:rsidRPr="000D7702">
        <w:rPr>
          <w:szCs w:val="22"/>
        </w:rPr>
        <w:t>rules.</w:t>
      </w:r>
      <w:r>
        <w:rPr>
          <w:rStyle w:val="FootnoteReference"/>
        </w:rPr>
        <w:footnoteReference w:id="9"/>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AC42DE" w:rsidRPr="00C05524" w:rsidP="00AC42DE" w14:paraId="12EA94FA" w14:textId="71A7EF84">
      <w:pPr>
        <w:spacing w:after="120"/>
        <w:ind w:firstLine="720"/>
        <w:rPr>
          <w:szCs w:val="22"/>
        </w:rPr>
      </w:pPr>
      <w:r>
        <w:rPr>
          <w:i/>
          <w:iCs/>
          <w:szCs w:val="22"/>
        </w:rPr>
        <w:t xml:space="preserve">Accessible Materials.  </w:t>
      </w:r>
      <w:r w:rsidRPr="00C05524">
        <w:rPr>
          <w:szCs w:val="22"/>
        </w:rPr>
        <w:t xml:space="preserve">To request materials in accessible formats for people with disabilities (Braille, large print, electronic files, audio format), send an e-mail to </w:t>
      </w:r>
      <w:hyperlink r:id="rId6" w:history="1">
        <w:r w:rsidRPr="00575A4F" w:rsidR="006A567B">
          <w:rPr>
            <w:rStyle w:val="Hyperlink"/>
            <w:szCs w:val="22"/>
          </w:rPr>
          <w:t>fcc504@fcc.gov</w:t>
        </w:r>
      </w:hyperlink>
      <w:r w:rsidRPr="00C05524">
        <w:rPr>
          <w:szCs w:val="22"/>
        </w:rPr>
        <w:t xml:space="preserve"> or call the Consumer and Governmental Affairs Bureau at (202) 418-0530</w:t>
      </w:r>
      <w:r>
        <w:rPr>
          <w:szCs w:val="22"/>
        </w:rPr>
        <w:t>.</w:t>
      </w:r>
    </w:p>
    <w:p w:rsidR="00CA5470" w:rsidRPr="00172CA2" w:rsidP="00CA5470" w14:paraId="7B9F2B53" w14:textId="26647BE8">
      <w:pPr>
        <w:jc w:val="center"/>
        <w:rPr>
          <w:b/>
          <w:sz w:val="24"/>
        </w:rPr>
      </w:pPr>
      <w:r w:rsidRPr="00172CA2">
        <w:rPr>
          <w:b/>
          <w:sz w:val="24"/>
        </w:rPr>
        <w:t>– FCC –</w:t>
      </w: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4B5F6A0" w14:textId="77777777">
    <w:pPr>
      <w:pStyle w:val="Footer"/>
      <w:framePr w:wrap="around" w:vAnchor="text" w:hAnchor="margin" w:xAlign="center" w:y="1"/>
    </w:pPr>
    <w:r>
      <w:fldChar w:fldCharType="begin"/>
    </w:r>
    <w:r>
      <w:instrText xml:space="preserve">PAGE  </w:instrText>
    </w:r>
    <w:r w:rsidR="00CC40D4">
      <w:fldChar w:fldCharType="separate"/>
    </w:r>
    <w:r>
      <w:fldChar w:fldCharType="end"/>
    </w:r>
  </w:p>
  <w:p w:rsidR="00CA34B4" w14:paraId="13C32DE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D68CC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6A9005D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541E" w14:paraId="0B33168A" w14:textId="77777777">
      <w:r>
        <w:separator/>
      </w:r>
    </w:p>
  </w:footnote>
  <w:footnote w:type="continuationSeparator" w:id="1">
    <w:p w:rsidR="005E541E" w14:paraId="581E68AB" w14:textId="77777777">
      <w:pPr>
        <w:rPr>
          <w:sz w:val="20"/>
        </w:rPr>
      </w:pPr>
      <w:r>
        <w:rPr>
          <w:sz w:val="20"/>
        </w:rPr>
        <w:t xml:space="preserve">(Continued from previous page)  </w:t>
      </w:r>
      <w:r>
        <w:rPr>
          <w:sz w:val="20"/>
        </w:rPr>
        <w:separator/>
      </w:r>
    </w:p>
  </w:footnote>
  <w:footnote w:type="continuationNotice" w:id="2">
    <w:p w:rsidR="005E541E" w14:paraId="6B6FAD84" w14:textId="77777777">
      <w:pPr>
        <w:jc w:val="right"/>
        <w:rPr>
          <w:sz w:val="20"/>
        </w:rPr>
      </w:pPr>
      <w:r>
        <w:rPr>
          <w:sz w:val="20"/>
        </w:rPr>
        <w:t>(continued….)</w:t>
      </w:r>
    </w:p>
  </w:footnote>
  <w:footnote w:id="3">
    <w:p w:rsidR="00A02564" w14:paraId="789D6988" w14:textId="26BB3DAE">
      <w:pPr>
        <w:pStyle w:val="FootnoteText"/>
      </w:pPr>
      <w:r>
        <w:rPr>
          <w:rStyle w:val="FootnoteReference"/>
        </w:rPr>
        <w:footnoteRef/>
      </w:r>
      <w:r>
        <w:t xml:space="preserve"> 47 CFR § 1.403.</w:t>
      </w:r>
    </w:p>
  </w:footnote>
  <w:footnote w:id="4">
    <w:p w:rsidR="00F21902" w:rsidP="00F21902" w14:paraId="45C88C91" w14:textId="33147BBE">
      <w:pPr>
        <w:pStyle w:val="FootnoteText"/>
      </w:pPr>
      <w:r>
        <w:rPr>
          <w:rStyle w:val="FootnoteReference"/>
        </w:rPr>
        <w:footnoteRef/>
      </w:r>
      <w:r>
        <w:t xml:space="preserve"> </w:t>
      </w:r>
      <w:r w:rsidR="00896645">
        <w:t>SpaceX</w:t>
      </w:r>
      <w:r>
        <w:t xml:space="preserve"> Petition for Rulemaking (filed </w:t>
      </w:r>
      <w:r w:rsidR="00561EE3">
        <w:t>Feb. 2</w:t>
      </w:r>
      <w:r w:rsidR="00FF4D05">
        <w:t>1</w:t>
      </w:r>
      <w:r w:rsidR="00561EE3">
        <w:t>, 2024</w:t>
      </w:r>
      <w:r>
        <w:t>)</w:t>
      </w:r>
      <w:r w:rsidR="00672D0C">
        <w:t xml:space="preserve"> (SpaceX Petition)</w:t>
      </w:r>
      <w:r>
        <w:t>, available at</w:t>
      </w:r>
      <w:r w:rsidR="00E11A1B">
        <w:t xml:space="preserve"> </w:t>
      </w:r>
      <w:hyperlink r:id="rId1" w:history="1">
        <w:r w:rsidRPr="00547404" w:rsidR="00E11A1B">
          <w:rPr>
            <w:rStyle w:val="Hyperlink"/>
          </w:rPr>
          <w:t>https://www.fcc.gov/ecfs/document/102211948918123/1</w:t>
        </w:r>
      </w:hyperlink>
      <w:r>
        <w:t xml:space="preserve">. </w:t>
      </w:r>
    </w:p>
  </w:footnote>
  <w:footnote w:id="5">
    <w:p w:rsidR="006E5E9B" w:rsidP="005C0585" w14:paraId="0AC24DDB" w14:textId="3B3C730E">
      <w:pPr>
        <w:pStyle w:val="FootnoteText"/>
      </w:pPr>
      <w:r>
        <w:rPr>
          <w:rStyle w:val="FootnoteReference"/>
        </w:rPr>
        <w:footnoteRef/>
      </w:r>
      <w:r>
        <w:t xml:space="preserve"> </w:t>
      </w:r>
      <w:r w:rsidR="00C45366">
        <w:t xml:space="preserve">We note that </w:t>
      </w:r>
      <w:r w:rsidRPr="00C45366" w:rsidR="00C45366">
        <w:t xml:space="preserve">Kuiper Systems LLC </w:t>
      </w:r>
      <w:r w:rsidR="00C45366">
        <w:t xml:space="preserve">filed a letter </w:t>
      </w:r>
      <w:r w:rsidR="00A5539F">
        <w:t xml:space="preserve">opposing SpaceX’s </w:t>
      </w:r>
      <w:r w:rsidR="00F037D0">
        <w:t xml:space="preserve">related </w:t>
      </w:r>
      <w:r w:rsidR="00A5539F">
        <w:t>requests to implement a freeze on new mobile-satellite service applications, w</w:t>
      </w:r>
      <w:r w:rsidRPr="00C45366" w:rsidR="00C45366">
        <w:t>ithout taking any position on the substance of SpaceX’s proposal to open these bands to new users</w:t>
      </w:r>
      <w:r w:rsidR="005C0585">
        <w:t>.  Letter from Michael Carlson, Senior Corporate Counsel, Kuiper Systems LLC,</w:t>
      </w:r>
      <w:r w:rsidR="00CB261E">
        <w:t xml:space="preserve"> to Julie </w:t>
      </w:r>
      <w:r w:rsidR="0010375E">
        <w:t xml:space="preserve">M. </w:t>
      </w:r>
      <w:r w:rsidR="00CB261E">
        <w:t xml:space="preserve">Kearney, Chief, Space Bureau, FCC (filed Mar. 8, 2024).  SpaceX responded to the Kuiper letter.  </w:t>
      </w:r>
      <w:r w:rsidR="00B61803">
        <w:t xml:space="preserve">Letter from David Goldman, Vice President of Satellite Policy, SpaceX, to Marlene H. Dortch, </w:t>
      </w:r>
      <w:r w:rsidR="00B17F15">
        <w:t>Secretary, FCC (filed Mar. 12, 2024).</w:t>
      </w:r>
    </w:p>
  </w:footnote>
  <w:footnote w:id="6">
    <w:p w:rsidR="00AC42DE" w:rsidRPr="00801F23" w:rsidP="00AC42DE" w14:paraId="4782321C" w14:textId="77777777">
      <w:pPr>
        <w:pStyle w:val="FootnoteText"/>
      </w:pPr>
      <w:r w:rsidRPr="00801F23">
        <w:rPr>
          <w:rStyle w:val="FootnoteReference"/>
        </w:rPr>
        <w:footnoteRef/>
      </w:r>
      <w:r w:rsidRPr="00801F23">
        <w:t xml:space="preserve"> </w:t>
      </w:r>
      <w:r>
        <w:rPr>
          <w:i/>
        </w:rPr>
        <w:t xml:space="preserve">See </w:t>
      </w:r>
      <w:r w:rsidRPr="00801F23">
        <w:t>47 CFR §</w:t>
      </w:r>
      <w:r>
        <w:t>§ 1.1, 1.45</w:t>
      </w:r>
      <w:r w:rsidRPr="00801F23">
        <w:t>, 1.49.</w:t>
      </w:r>
    </w:p>
  </w:footnote>
  <w:footnote w:id="7">
    <w:p w:rsidR="00AC42DE" w:rsidRPr="0033400D" w:rsidP="00AC42DE" w14:paraId="68C92633" w14:textId="77777777">
      <w:pPr>
        <w:pStyle w:val="FootnoteText"/>
      </w:pPr>
      <w:r w:rsidRPr="00801F23">
        <w:rPr>
          <w:rStyle w:val="FootnoteReference"/>
        </w:rPr>
        <w:footnoteRef/>
      </w:r>
      <w:r w:rsidRPr="00801F23">
        <w:t xml:space="preserve"> </w:t>
      </w:r>
      <w:r>
        <w:rPr>
          <w:i/>
        </w:rPr>
        <w:t>Electronic Filing of Documents in Rulemaking Proceedings</w:t>
      </w:r>
      <w:r>
        <w:t>, GC Docket No. 97-113, Report and Order, 13 FCC Rcd 11322 (1998).</w:t>
      </w:r>
      <w:r>
        <w:rPr>
          <w:i/>
        </w:rPr>
        <w:t xml:space="preserve">  </w:t>
      </w:r>
    </w:p>
  </w:footnote>
  <w:footnote w:id="8">
    <w:p w:rsidR="00AC42DE" w:rsidP="00AC42DE" w14:paraId="07CB5E0E"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p>
  </w:footnote>
  <w:footnote w:id="9">
    <w:p w:rsidR="00AC42DE" w:rsidRPr="00801F23" w:rsidP="00AC42DE" w14:paraId="1FE3E54D"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16955FB7" w14:textId="14B17046">
    <w:pPr>
      <w:tabs>
        <w:tab w:val="center" w:pos="4680"/>
        <w:tab w:val="right" w:pos="9360"/>
      </w:tabs>
    </w:pPr>
    <w:r>
      <w:rPr>
        <w:b/>
      </w:rPr>
      <w:tab/>
      <w:t>Federal Communications Commission</w:t>
    </w:r>
    <w:r>
      <w:rPr>
        <w:b/>
      </w:rPr>
      <w:tab/>
    </w:r>
    <w:r w:rsidR="002B22BE">
      <w:rPr>
        <w:b/>
      </w:rPr>
      <w:t>DA 2</w:t>
    </w:r>
    <w:r w:rsidR="00CA5470">
      <w:rPr>
        <w:b/>
      </w:rPr>
      <w:t>4</w:t>
    </w:r>
    <w:r w:rsidR="001B70A2">
      <w:rPr>
        <w:b/>
      </w:rPr>
      <w:t>-</w:t>
    </w:r>
    <w:r w:rsidRPr="00CB4105" w:rsidR="00CB4105">
      <w:rPr>
        <w:b/>
      </w:rPr>
      <w:t>298</w:t>
    </w:r>
  </w:p>
  <w:p w:rsidR="00CA34B4" w14:paraId="7B85B071" w14:textId="774478F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A34B4" w14:paraId="52CECB6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4B4" w14:paraId="483D0C6D" w14:textId="636A106D">
    <w:pPr>
      <w:pStyle w:val="Header"/>
      <w:ind w:left="-990"/>
      <w:rPr>
        <w:noProof/>
        <w:snapToGrid/>
        <w:sz w:val="20"/>
        <w:szCs w:val="20"/>
      </w:rPr>
    </w:pPr>
    <w:r>
      <w:rPr>
        <w:noProof/>
        <w:snapToGrid/>
      </w:rPr>
      <w:drawing>
        <wp:inline distT="0" distB="0" distL="0" distR="0">
          <wp:extent cx="649986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499860" cy="1447800"/>
                  </a:xfrm>
                  <a:prstGeom prst="rect">
                    <a:avLst/>
                  </a:prstGeom>
                  <a:noFill/>
                  <a:ln>
                    <a:noFill/>
                  </a:ln>
                </pic:spPr>
              </pic:pic>
            </a:graphicData>
          </a:graphic>
        </wp:inline>
      </w:drawing>
    </w:r>
  </w:p>
  <w:p w:rsidR="00CA34B4" w14:paraId="69127DB9"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6F762F8"/>
    <w:multiLevelType w:val="hybridMultilevel"/>
    <w:tmpl w:val="5F06D522"/>
    <w:lvl w:ilvl="0">
      <w:start w:val="0"/>
      <w:numFmt w:val="bullet"/>
      <w:lvlText w:val="-"/>
      <w:lvlJc w:val="left"/>
      <w:pPr>
        <w:ind w:left="720" w:hanging="360"/>
      </w:pPr>
      <w:rPr>
        <w:rFonts w:ascii="Times New Roman" w:eastAsia="Times New Roman" w:hAnsi="Times New Roman" w:cs="Times New Roman"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C6F1456"/>
    <w:multiLevelType w:val="multilevel"/>
    <w:tmpl w:val="5274BDF0"/>
    <w:numStyleLink w:val="StyleBulletedLatinCourierNewLeft075Hanging0252"/>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6A4104"/>
    <w:multiLevelType w:val="hybridMultilevel"/>
    <w:tmpl w:val="946425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CD7627A"/>
    <w:multiLevelType w:val="multilevel"/>
    <w:tmpl w:val="5274BDF0"/>
    <w:numStyleLink w:val="StyleBulletedLatinCourierNewLeft075Hanging0252"/>
  </w:abstractNum>
  <w:abstractNum w:abstractNumId="11">
    <w:nsid w:val="5D205C22"/>
    <w:multiLevelType w:val="multilevel"/>
    <w:tmpl w:val="5274BDF0"/>
    <w:numStyleLink w:val="StyleBulletedLatinCourierNewLeft075Hanging0252"/>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5"/>
  </w:num>
  <w:num w:numId="2">
    <w:abstractNumId w:val="12"/>
  </w:num>
  <w:num w:numId="3">
    <w:abstractNumId w:val="7"/>
  </w:num>
  <w:num w:numId="4">
    <w:abstractNumId w:val="8"/>
  </w:num>
  <w:num w:numId="5">
    <w:abstractNumId w:val="6"/>
  </w:num>
  <w:num w:numId="6">
    <w:abstractNumId w:val="3"/>
  </w:num>
  <w:num w:numId="7">
    <w:abstractNumId w:val="0"/>
  </w:num>
  <w:num w:numId="8">
    <w:abstractNumId w:val="2"/>
  </w:num>
  <w:num w:numId="9">
    <w:abstractNumId w:val="10"/>
  </w:num>
  <w:num w:numId="10">
    <w:abstractNumId w:val="4"/>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AE"/>
    <w:rsid w:val="00001A5C"/>
    <w:rsid w:val="0001020C"/>
    <w:rsid w:val="00023EDC"/>
    <w:rsid w:val="00044B8C"/>
    <w:rsid w:val="00051119"/>
    <w:rsid w:val="000554DE"/>
    <w:rsid w:val="000907AD"/>
    <w:rsid w:val="00095401"/>
    <w:rsid w:val="000A51E4"/>
    <w:rsid w:val="000B5D64"/>
    <w:rsid w:val="000C24BB"/>
    <w:rsid w:val="000C3BFD"/>
    <w:rsid w:val="000C6E26"/>
    <w:rsid w:val="000D0527"/>
    <w:rsid w:val="000D7702"/>
    <w:rsid w:val="000E215E"/>
    <w:rsid w:val="000E5CF6"/>
    <w:rsid w:val="000E6574"/>
    <w:rsid w:val="0010375E"/>
    <w:rsid w:val="00116523"/>
    <w:rsid w:val="00117A19"/>
    <w:rsid w:val="001279C7"/>
    <w:rsid w:val="00136F4E"/>
    <w:rsid w:val="001432E3"/>
    <w:rsid w:val="00146366"/>
    <w:rsid w:val="00160393"/>
    <w:rsid w:val="00166659"/>
    <w:rsid w:val="00167108"/>
    <w:rsid w:val="001718DC"/>
    <w:rsid w:val="00172CA2"/>
    <w:rsid w:val="00176B4A"/>
    <w:rsid w:val="001775DA"/>
    <w:rsid w:val="001909D5"/>
    <w:rsid w:val="00191AE2"/>
    <w:rsid w:val="001947A9"/>
    <w:rsid w:val="001A5D77"/>
    <w:rsid w:val="001B4066"/>
    <w:rsid w:val="001B63B9"/>
    <w:rsid w:val="001B70A2"/>
    <w:rsid w:val="001B710E"/>
    <w:rsid w:val="001D5D63"/>
    <w:rsid w:val="001E26A2"/>
    <w:rsid w:val="001F45E9"/>
    <w:rsid w:val="00201732"/>
    <w:rsid w:val="00203112"/>
    <w:rsid w:val="00203B2B"/>
    <w:rsid w:val="00213226"/>
    <w:rsid w:val="00235458"/>
    <w:rsid w:val="00244A3B"/>
    <w:rsid w:val="00262C65"/>
    <w:rsid w:val="00266230"/>
    <w:rsid w:val="002822A9"/>
    <w:rsid w:val="00293CAF"/>
    <w:rsid w:val="002A030D"/>
    <w:rsid w:val="002B22BE"/>
    <w:rsid w:val="002B68D3"/>
    <w:rsid w:val="002C0B78"/>
    <w:rsid w:val="002C4253"/>
    <w:rsid w:val="002C7B57"/>
    <w:rsid w:val="002D1EBD"/>
    <w:rsid w:val="002D3228"/>
    <w:rsid w:val="002E30E0"/>
    <w:rsid w:val="002E5AE0"/>
    <w:rsid w:val="002E658D"/>
    <w:rsid w:val="002F28C3"/>
    <w:rsid w:val="002F32C4"/>
    <w:rsid w:val="002F47FF"/>
    <w:rsid w:val="002F4BCB"/>
    <w:rsid w:val="00304A21"/>
    <w:rsid w:val="00321C5F"/>
    <w:rsid w:val="0033052C"/>
    <w:rsid w:val="0033400D"/>
    <w:rsid w:val="00340C9B"/>
    <w:rsid w:val="003838C2"/>
    <w:rsid w:val="00387D7C"/>
    <w:rsid w:val="003916E4"/>
    <w:rsid w:val="003968B2"/>
    <w:rsid w:val="003A6EDF"/>
    <w:rsid w:val="003B53AA"/>
    <w:rsid w:val="003B602A"/>
    <w:rsid w:val="003B6F4E"/>
    <w:rsid w:val="003E3ADD"/>
    <w:rsid w:val="003E3CE4"/>
    <w:rsid w:val="003E428D"/>
    <w:rsid w:val="003F7C66"/>
    <w:rsid w:val="004018A1"/>
    <w:rsid w:val="00420829"/>
    <w:rsid w:val="00447B88"/>
    <w:rsid w:val="00450272"/>
    <w:rsid w:val="00454AE4"/>
    <w:rsid w:val="004609DF"/>
    <w:rsid w:val="00473BA0"/>
    <w:rsid w:val="00475C20"/>
    <w:rsid w:val="00477F5D"/>
    <w:rsid w:val="00491CC7"/>
    <w:rsid w:val="004C08D0"/>
    <w:rsid w:val="004E3A47"/>
    <w:rsid w:val="004E5D62"/>
    <w:rsid w:val="0054212D"/>
    <w:rsid w:val="00547404"/>
    <w:rsid w:val="00555520"/>
    <w:rsid w:val="00556B94"/>
    <w:rsid w:val="00561EE3"/>
    <w:rsid w:val="00566558"/>
    <w:rsid w:val="005702C3"/>
    <w:rsid w:val="00575A4F"/>
    <w:rsid w:val="005873CD"/>
    <w:rsid w:val="005900A7"/>
    <w:rsid w:val="005B377A"/>
    <w:rsid w:val="005C0585"/>
    <w:rsid w:val="005C0D8C"/>
    <w:rsid w:val="005C21A7"/>
    <w:rsid w:val="005C36E0"/>
    <w:rsid w:val="005C552F"/>
    <w:rsid w:val="005C7614"/>
    <w:rsid w:val="005E541E"/>
    <w:rsid w:val="005E6F46"/>
    <w:rsid w:val="005F1F76"/>
    <w:rsid w:val="006117D5"/>
    <w:rsid w:val="00621DC9"/>
    <w:rsid w:val="00631B9E"/>
    <w:rsid w:val="00667347"/>
    <w:rsid w:val="00670507"/>
    <w:rsid w:val="00672D0C"/>
    <w:rsid w:val="0067690E"/>
    <w:rsid w:val="00683FCF"/>
    <w:rsid w:val="006A2B75"/>
    <w:rsid w:val="006A3215"/>
    <w:rsid w:val="006A567B"/>
    <w:rsid w:val="006B01BD"/>
    <w:rsid w:val="006B0B99"/>
    <w:rsid w:val="006B2275"/>
    <w:rsid w:val="006B49B3"/>
    <w:rsid w:val="006C195C"/>
    <w:rsid w:val="006C6298"/>
    <w:rsid w:val="006D0D46"/>
    <w:rsid w:val="006D7598"/>
    <w:rsid w:val="006E24AF"/>
    <w:rsid w:val="006E5E9B"/>
    <w:rsid w:val="006F27C8"/>
    <w:rsid w:val="006F3848"/>
    <w:rsid w:val="006F3BEA"/>
    <w:rsid w:val="006F40BF"/>
    <w:rsid w:val="006F41A9"/>
    <w:rsid w:val="007037D6"/>
    <w:rsid w:val="00706347"/>
    <w:rsid w:val="0071686A"/>
    <w:rsid w:val="00732872"/>
    <w:rsid w:val="00743BAD"/>
    <w:rsid w:val="00745043"/>
    <w:rsid w:val="00750009"/>
    <w:rsid w:val="00781640"/>
    <w:rsid w:val="00785048"/>
    <w:rsid w:val="007B655C"/>
    <w:rsid w:val="007B6853"/>
    <w:rsid w:val="007C012E"/>
    <w:rsid w:val="007D5EEE"/>
    <w:rsid w:val="007E283C"/>
    <w:rsid w:val="007E6BB2"/>
    <w:rsid w:val="007F0769"/>
    <w:rsid w:val="00801F23"/>
    <w:rsid w:val="008052C2"/>
    <w:rsid w:val="008129A1"/>
    <w:rsid w:val="00815BD6"/>
    <w:rsid w:val="00822F6D"/>
    <w:rsid w:val="008248AE"/>
    <w:rsid w:val="00826A44"/>
    <w:rsid w:val="008326A3"/>
    <w:rsid w:val="0083606F"/>
    <w:rsid w:val="00836C3A"/>
    <w:rsid w:val="00852E2C"/>
    <w:rsid w:val="00857B2A"/>
    <w:rsid w:val="00883004"/>
    <w:rsid w:val="00896645"/>
    <w:rsid w:val="008A1A7A"/>
    <w:rsid w:val="008A2FD9"/>
    <w:rsid w:val="008A4A79"/>
    <w:rsid w:val="008B43B5"/>
    <w:rsid w:val="008C2833"/>
    <w:rsid w:val="008C327C"/>
    <w:rsid w:val="008C6552"/>
    <w:rsid w:val="008E356C"/>
    <w:rsid w:val="008E387C"/>
    <w:rsid w:val="008E547D"/>
    <w:rsid w:val="008F069E"/>
    <w:rsid w:val="008F435E"/>
    <w:rsid w:val="008F6088"/>
    <w:rsid w:val="008F6840"/>
    <w:rsid w:val="008F798E"/>
    <w:rsid w:val="00902C77"/>
    <w:rsid w:val="0091398F"/>
    <w:rsid w:val="00935F4F"/>
    <w:rsid w:val="0093634D"/>
    <w:rsid w:val="00937667"/>
    <w:rsid w:val="00944316"/>
    <w:rsid w:val="009503EC"/>
    <w:rsid w:val="00955CC7"/>
    <w:rsid w:val="00960C66"/>
    <w:rsid w:val="00965028"/>
    <w:rsid w:val="009852E9"/>
    <w:rsid w:val="009855B6"/>
    <w:rsid w:val="00985E24"/>
    <w:rsid w:val="00987372"/>
    <w:rsid w:val="0099053D"/>
    <w:rsid w:val="00992AF3"/>
    <w:rsid w:val="00995E1F"/>
    <w:rsid w:val="00996369"/>
    <w:rsid w:val="009964B8"/>
    <w:rsid w:val="009A37EE"/>
    <w:rsid w:val="009B4D2B"/>
    <w:rsid w:val="009C515B"/>
    <w:rsid w:val="009C7299"/>
    <w:rsid w:val="009D0F23"/>
    <w:rsid w:val="009D4E00"/>
    <w:rsid w:val="009F45DC"/>
    <w:rsid w:val="009F54E0"/>
    <w:rsid w:val="00A02564"/>
    <w:rsid w:val="00A236E3"/>
    <w:rsid w:val="00A26ED0"/>
    <w:rsid w:val="00A36E45"/>
    <w:rsid w:val="00A44B7F"/>
    <w:rsid w:val="00A50AFB"/>
    <w:rsid w:val="00A516D6"/>
    <w:rsid w:val="00A5539F"/>
    <w:rsid w:val="00A613E9"/>
    <w:rsid w:val="00A62494"/>
    <w:rsid w:val="00A7452C"/>
    <w:rsid w:val="00A81292"/>
    <w:rsid w:val="00AA35AC"/>
    <w:rsid w:val="00AB7C96"/>
    <w:rsid w:val="00AC0679"/>
    <w:rsid w:val="00AC42DE"/>
    <w:rsid w:val="00AD7AFF"/>
    <w:rsid w:val="00AE50F6"/>
    <w:rsid w:val="00AE7920"/>
    <w:rsid w:val="00AF3205"/>
    <w:rsid w:val="00AF45AD"/>
    <w:rsid w:val="00B120B6"/>
    <w:rsid w:val="00B152A4"/>
    <w:rsid w:val="00B17F15"/>
    <w:rsid w:val="00B25BE6"/>
    <w:rsid w:val="00B26DCB"/>
    <w:rsid w:val="00B506A2"/>
    <w:rsid w:val="00B57144"/>
    <w:rsid w:val="00B61803"/>
    <w:rsid w:val="00B82E44"/>
    <w:rsid w:val="00B900A8"/>
    <w:rsid w:val="00B910ED"/>
    <w:rsid w:val="00B9508F"/>
    <w:rsid w:val="00BA7A44"/>
    <w:rsid w:val="00BB71BF"/>
    <w:rsid w:val="00BD7E74"/>
    <w:rsid w:val="00BF4E70"/>
    <w:rsid w:val="00C0546A"/>
    <w:rsid w:val="00C05524"/>
    <w:rsid w:val="00C05D1E"/>
    <w:rsid w:val="00C45366"/>
    <w:rsid w:val="00C51090"/>
    <w:rsid w:val="00C543D8"/>
    <w:rsid w:val="00C65852"/>
    <w:rsid w:val="00C67866"/>
    <w:rsid w:val="00C80D65"/>
    <w:rsid w:val="00C95E97"/>
    <w:rsid w:val="00C97176"/>
    <w:rsid w:val="00C975FA"/>
    <w:rsid w:val="00C97B28"/>
    <w:rsid w:val="00CA34B4"/>
    <w:rsid w:val="00CA5470"/>
    <w:rsid w:val="00CA5694"/>
    <w:rsid w:val="00CB261E"/>
    <w:rsid w:val="00CB4105"/>
    <w:rsid w:val="00CC40D4"/>
    <w:rsid w:val="00CC68C7"/>
    <w:rsid w:val="00CE08E7"/>
    <w:rsid w:val="00D043B5"/>
    <w:rsid w:val="00D06434"/>
    <w:rsid w:val="00D10E3F"/>
    <w:rsid w:val="00D15E20"/>
    <w:rsid w:val="00D36E52"/>
    <w:rsid w:val="00D429AB"/>
    <w:rsid w:val="00D44063"/>
    <w:rsid w:val="00D458FB"/>
    <w:rsid w:val="00D53E26"/>
    <w:rsid w:val="00D63F8F"/>
    <w:rsid w:val="00D76492"/>
    <w:rsid w:val="00D9250B"/>
    <w:rsid w:val="00DC7B24"/>
    <w:rsid w:val="00DD5A60"/>
    <w:rsid w:val="00E05A3D"/>
    <w:rsid w:val="00E10D7D"/>
    <w:rsid w:val="00E11A1B"/>
    <w:rsid w:val="00E31FFA"/>
    <w:rsid w:val="00E37197"/>
    <w:rsid w:val="00E43A10"/>
    <w:rsid w:val="00E50577"/>
    <w:rsid w:val="00E529CE"/>
    <w:rsid w:val="00E65887"/>
    <w:rsid w:val="00E858EB"/>
    <w:rsid w:val="00EC5373"/>
    <w:rsid w:val="00EE513F"/>
    <w:rsid w:val="00EF6EF8"/>
    <w:rsid w:val="00F00AF7"/>
    <w:rsid w:val="00F037D0"/>
    <w:rsid w:val="00F10998"/>
    <w:rsid w:val="00F11583"/>
    <w:rsid w:val="00F12CA4"/>
    <w:rsid w:val="00F21902"/>
    <w:rsid w:val="00F402E8"/>
    <w:rsid w:val="00F50232"/>
    <w:rsid w:val="00F6353C"/>
    <w:rsid w:val="00F67FCA"/>
    <w:rsid w:val="00F732C9"/>
    <w:rsid w:val="00F84EA1"/>
    <w:rsid w:val="00FA3AF4"/>
    <w:rsid w:val="00FA7067"/>
    <w:rsid w:val="00FE11D8"/>
    <w:rsid w:val="00FE58B8"/>
    <w:rsid w:val="00FF4D0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7E2B0DC"/>
  <w15:chartTrackingRefBased/>
  <w15:docId w15:val="{01AB6D98-8A13-4E50-8219-101DA461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Footnote Text Char1,Footnote Text Char1 Char Char Char Char,Footnote Text Char1 Char1 Char,Footnote Text Char3 Char Char Char Char Char Char Char,f,fn Char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9A37EE"/>
    <w:rPr>
      <w:rFonts w:ascii="Segoe UI" w:hAnsi="Segoe UI" w:cs="Segoe UI"/>
      <w:sz w:val="18"/>
      <w:szCs w:val="18"/>
    </w:rPr>
  </w:style>
  <w:style w:type="character" w:customStyle="1" w:styleId="BalloonTextChar">
    <w:name w:val="Balloon Text Char"/>
    <w:link w:val="BalloonText"/>
    <w:uiPriority w:val="99"/>
    <w:semiHidden/>
    <w:rsid w:val="009A37EE"/>
    <w:rPr>
      <w:rFonts w:ascii="Segoe UI" w:hAnsi="Segoe UI" w:cs="Segoe UI"/>
      <w:snapToGrid w:val="0"/>
      <w:kern w:val="28"/>
      <w:sz w:val="18"/>
      <w:szCs w:val="18"/>
    </w:rPr>
  </w:style>
  <w:style w:type="character" w:customStyle="1" w:styleId="FootnoteTextChar">
    <w:name w:val="Footnote Text Char"/>
    <w:aliases w:val="Footnote Text Char Char Char Char Char,Footnote Text Char Char Char Char Char Char Char,Footnote Text Char1 Char,Footnote Text Char1 Char Char Char Char Char,Footnote Text Char1 Char1 Char Char,f Char,fn Char Char Char"/>
    <w:link w:val="FootnoteText"/>
    <w:rsid w:val="00AC42DE"/>
  </w:style>
  <w:style w:type="numbering" w:customStyle="1" w:styleId="StyleBulletedLatinCourierNewLeft075Hanging0252">
    <w:name w:val="Style Bulleted (Latin) Courier New Left:  0.75&quot; Hanging:  0.25&quot;...2"/>
    <w:basedOn w:val="NoList"/>
    <w:rsid w:val="00AC42DE"/>
    <w:pPr>
      <w:numPr>
        <w:numId w:val="8"/>
      </w:numPr>
    </w:pPr>
  </w:style>
  <w:style w:type="character" w:styleId="CommentReference">
    <w:name w:val="annotation reference"/>
    <w:uiPriority w:val="99"/>
    <w:semiHidden/>
    <w:unhideWhenUsed/>
    <w:rsid w:val="000C6E26"/>
    <w:rPr>
      <w:sz w:val="16"/>
      <w:szCs w:val="16"/>
    </w:rPr>
  </w:style>
  <w:style w:type="paragraph" w:styleId="CommentText">
    <w:name w:val="annotation text"/>
    <w:basedOn w:val="Normal"/>
    <w:link w:val="CommentTextChar"/>
    <w:uiPriority w:val="99"/>
    <w:unhideWhenUsed/>
    <w:rsid w:val="000C6E26"/>
    <w:rPr>
      <w:sz w:val="20"/>
    </w:rPr>
  </w:style>
  <w:style w:type="character" w:customStyle="1" w:styleId="CommentTextChar">
    <w:name w:val="Comment Text Char"/>
    <w:link w:val="CommentText"/>
    <w:uiPriority w:val="99"/>
    <w:rsid w:val="000C6E26"/>
    <w:rPr>
      <w:snapToGrid w:val="0"/>
      <w:kern w:val="28"/>
    </w:rPr>
  </w:style>
  <w:style w:type="paragraph" w:styleId="CommentSubject">
    <w:name w:val="annotation subject"/>
    <w:basedOn w:val="CommentText"/>
    <w:next w:val="CommentText"/>
    <w:link w:val="CommentSubjectChar"/>
    <w:uiPriority w:val="99"/>
    <w:semiHidden/>
    <w:unhideWhenUsed/>
    <w:rsid w:val="000C6E26"/>
    <w:rPr>
      <w:b/>
      <w:bCs/>
    </w:rPr>
  </w:style>
  <w:style w:type="character" w:customStyle="1" w:styleId="CommentSubjectChar">
    <w:name w:val="Comment Subject Char"/>
    <w:link w:val="CommentSubject"/>
    <w:uiPriority w:val="99"/>
    <w:semiHidden/>
    <w:rsid w:val="000C6E26"/>
    <w:rPr>
      <w:b/>
      <w:bCs/>
      <w:snapToGrid w:val="0"/>
      <w:kern w:val="28"/>
    </w:rPr>
  </w:style>
  <w:style w:type="paragraph" w:styleId="Revision">
    <w:name w:val="Revision"/>
    <w:hidden/>
    <w:uiPriority w:val="99"/>
    <w:semiHidden/>
    <w:rsid w:val="000C6E26"/>
    <w:rPr>
      <w:snapToGrid w:val="0"/>
      <w:kern w:val="28"/>
      <w:sz w:val="22"/>
    </w:rPr>
  </w:style>
  <w:style w:type="character" w:styleId="UnresolvedMention">
    <w:name w:val="Unresolved Mention"/>
    <w:basedOn w:val="DefaultParagraphFont"/>
    <w:uiPriority w:val="99"/>
    <w:rsid w:val="00785048"/>
    <w:rPr>
      <w:color w:val="605E5C"/>
      <w:shd w:val="clear" w:color="auto" w:fill="E1DFDD"/>
    </w:rPr>
  </w:style>
  <w:style w:type="character" w:styleId="FollowedHyperlink">
    <w:name w:val="FollowedHyperlink"/>
    <w:basedOn w:val="DefaultParagraphFont"/>
    <w:uiPriority w:val="99"/>
    <w:semiHidden/>
    <w:unhideWhenUsed/>
    <w:rsid w:val="000E5CF6"/>
    <w:rPr>
      <w:color w:val="954F72" w:themeColor="followedHyperlink"/>
      <w:u w:val="single"/>
    </w:rPr>
  </w:style>
  <w:style w:type="paragraph" w:styleId="ListParagraph">
    <w:name w:val="List Paragraph"/>
    <w:basedOn w:val="Normal"/>
    <w:uiPriority w:val="34"/>
    <w:qFormat/>
    <w:rsid w:val="00CA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211948918123/1"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