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6DCE73EE"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44275C9" w14:textId="77777777">
      <w:pPr>
        <w:pStyle w:val="StyleBoldCentered"/>
      </w:pPr>
      <w:r>
        <w:t>F</w:t>
      </w:r>
      <w:r>
        <w:rPr>
          <w:caps w:val="0"/>
        </w:rPr>
        <w:t>ederal Communications Commission</w:t>
      </w:r>
    </w:p>
    <w:p w:rsidR="004C2EE3" w:rsidP="00096D8C" w14:paraId="24AD7178" w14:textId="77777777">
      <w:pPr>
        <w:pStyle w:val="StyleBoldCentered"/>
      </w:pPr>
      <w:r>
        <w:rPr>
          <w:caps w:val="0"/>
        </w:rPr>
        <w:t>Washington, D.C. 20554</w:t>
      </w:r>
    </w:p>
    <w:p w:rsidR="004C2EE3" w:rsidP="0070224F" w14:paraId="2D5652DB" w14:textId="77777777"/>
    <w:tbl>
      <w:tblPr>
        <w:tblW w:w="0" w:type="auto"/>
        <w:tblLayout w:type="fixed"/>
        <w:tblLook w:val="0000"/>
      </w:tblPr>
      <w:tblGrid>
        <w:gridCol w:w="4698"/>
        <w:gridCol w:w="630"/>
        <w:gridCol w:w="4248"/>
      </w:tblGrid>
      <w:tr w14:paraId="2BD56130" w14:textId="77777777">
        <w:tblPrEx>
          <w:tblW w:w="0" w:type="auto"/>
          <w:tblLayout w:type="fixed"/>
          <w:tblLook w:val="0000"/>
        </w:tblPrEx>
        <w:tc>
          <w:tcPr>
            <w:tcW w:w="4698" w:type="dxa"/>
          </w:tcPr>
          <w:p w:rsidR="004C2EE3" w14:paraId="63B5662F" w14:textId="77777777">
            <w:pPr>
              <w:tabs>
                <w:tab w:val="center" w:pos="4680"/>
              </w:tabs>
              <w:suppressAutoHyphens/>
              <w:rPr>
                <w:spacing w:val="-2"/>
              </w:rPr>
            </w:pPr>
            <w:r>
              <w:rPr>
                <w:spacing w:val="-2"/>
              </w:rPr>
              <w:t>In the Matter of</w:t>
            </w:r>
          </w:p>
          <w:p w:rsidR="004C2EE3" w14:paraId="411E15FB" w14:textId="77777777">
            <w:pPr>
              <w:tabs>
                <w:tab w:val="center" w:pos="4680"/>
              </w:tabs>
              <w:suppressAutoHyphens/>
              <w:rPr>
                <w:spacing w:val="-2"/>
              </w:rPr>
            </w:pPr>
          </w:p>
          <w:p w:rsidR="00F42EA5" w:rsidP="00F42EA5" w14:paraId="75299289" w14:textId="77777777">
            <w:pPr>
              <w:tabs>
                <w:tab w:val="center" w:pos="4680"/>
              </w:tabs>
              <w:suppressAutoHyphens/>
              <w:rPr>
                <w:spacing w:val="-2"/>
              </w:rPr>
            </w:pPr>
            <w:r>
              <w:rPr>
                <w:spacing w:val="-2"/>
              </w:rPr>
              <w:t>Connect America Fund</w:t>
            </w:r>
          </w:p>
          <w:p w:rsidR="00F42EA5" w:rsidP="00F42EA5" w14:paraId="56E781DC" w14:textId="77777777">
            <w:pPr>
              <w:tabs>
                <w:tab w:val="center" w:pos="4680"/>
              </w:tabs>
              <w:suppressAutoHyphens/>
              <w:rPr>
                <w:spacing w:val="-2"/>
              </w:rPr>
            </w:pPr>
          </w:p>
          <w:p w:rsidR="004C2EE3" w:rsidRPr="007115F7" w:rsidP="00F42EA5" w14:paraId="3A3E1028" w14:textId="0A6DCAF0">
            <w:pPr>
              <w:tabs>
                <w:tab w:val="center" w:pos="4680"/>
              </w:tabs>
              <w:suppressAutoHyphens/>
              <w:rPr>
                <w:spacing w:val="-2"/>
              </w:rPr>
            </w:pPr>
            <w:r>
              <w:rPr>
                <w:spacing w:val="-2"/>
              </w:rPr>
              <w:t>Regulation of Business Data Services for Rate-of-Return Local Exchange Carriers</w:t>
            </w:r>
          </w:p>
        </w:tc>
        <w:tc>
          <w:tcPr>
            <w:tcW w:w="630" w:type="dxa"/>
          </w:tcPr>
          <w:p w:rsidR="004C2EE3" w14:paraId="79FE9D6D" w14:textId="77777777">
            <w:pPr>
              <w:tabs>
                <w:tab w:val="center" w:pos="4680"/>
              </w:tabs>
              <w:suppressAutoHyphens/>
              <w:rPr>
                <w:b/>
                <w:spacing w:val="-2"/>
              </w:rPr>
            </w:pPr>
            <w:r>
              <w:rPr>
                <w:b/>
                <w:spacing w:val="-2"/>
              </w:rPr>
              <w:t>)</w:t>
            </w:r>
          </w:p>
          <w:p w:rsidR="004C2EE3" w14:paraId="37EA6911" w14:textId="77777777">
            <w:pPr>
              <w:tabs>
                <w:tab w:val="center" w:pos="4680"/>
              </w:tabs>
              <w:suppressAutoHyphens/>
              <w:rPr>
                <w:b/>
                <w:spacing w:val="-2"/>
              </w:rPr>
            </w:pPr>
            <w:r>
              <w:rPr>
                <w:b/>
                <w:spacing w:val="-2"/>
              </w:rPr>
              <w:t>)</w:t>
            </w:r>
          </w:p>
          <w:p w:rsidR="004C2EE3" w14:paraId="36CD7E6E" w14:textId="77777777">
            <w:pPr>
              <w:tabs>
                <w:tab w:val="center" w:pos="4680"/>
              </w:tabs>
              <w:suppressAutoHyphens/>
              <w:rPr>
                <w:b/>
                <w:spacing w:val="-2"/>
              </w:rPr>
            </w:pPr>
            <w:r>
              <w:rPr>
                <w:b/>
                <w:spacing w:val="-2"/>
              </w:rPr>
              <w:t>)</w:t>
            </w:r>
          </w:p>
          <w:p w:rsidR="004C2EE3" w14:paraId="0477FFDB" w14:textId="77777777">
            <w:pPr>
              <w:tabs>
                <w:tab w:val="center" w:pos="4680"/>
              </w:tabs>
              <w:suppressAutoHyphens/>
              <w:rPr>
                <w:b/>
                <w:spacing w:val="-2"/>
              </w:rPr>
            </w:pPr>
            <w:r>
              <w:rPr>
                <w:b/>
                <w:spacing w:val="-2"/>
              </w:rPr>
              <w:t>)</w:t>
            </w:r>
          </w:p>
          <w:p w:rsidR="004C2EE3" w14:paraId="0A9F2963" w14:textId="77777777">
            <w:pPr>
              <w:tabs>
                <w:tab w:val="center" w:pos="4680"/>
              </w:tabs>
              <w:suppressAutoHyphens/>
              <w:rPr>
                <w:b/>
                <w:spacing w:val="-2"/>
              </w:rPr>
            </w:pPr>
            <w:r>
              <w:rPr>
                <w:b/>
                <w:spacing w:val="-2"/>
              </w:rPr>
              <w:t>)</w:t>
            </w:r>
          </w:p>
          <w:p w:rsidR="004C2EE3" w14:paraId="1703709E" w14:textId="77777777">
            <w:pPr>
              <w:tabs>
                <w:tab w:val="center" w:pos="4680"/>
              </w:tabs>
              <w:suppressAutoHyphens/>
              <w:rPr>
                <w:b/>
                <w:spacing w:val="-2"/>
              </w:rPr>
            </w:pPr>
            <w:r>
              <w:rPr>
                <w:b/>
                <w:spacing w:val="-2"/>
              </w:rPr>
              <w:t>)</w:t>
            </w:r>
          </w:p>
          <w:p w:rsidR="004C2EE3" w:rsidRPr="00F42EA5" w14:paraId="2A4EC1D7" w14:textId="5BC800EB">
            <w:pPr>
              <w:tabs>
                <w:tab w:val="center" w:pos="4680"/>
              </w:tabs>
              <w:suppressAutoHyphens/>
              <w:rPr>
                <w:b/>
                <w:spacing w:val="-2"/>
              </w:rPr>
            </w:pPr>
            <w:r>
              <w:rPr>
                <w:b/>
                <w:spacing w:val="-2"/>
              </w:rPr>
              <w:t>)</w:t>
            </w:r>
          </w:p>
        </w:tc>
        <w:tc>
          <w:tcPr>
            <w:tcW w:w="4248" w:type="dxa"/>
          </w:tcPr>
          <w:p w:rsidR="004C2EE3" w14:paraId="2A6F1565" w14:textId="77777777">
            <w:pPr>
              <w:tabs>
                <w:tab w:val="center" w:pos="4680"/>
              </w:tabs>
              <w:suppressAutoHyphens/>
              <w:rPr>
                <w:spacing w:val="-2"/>
              </w:rPr>
            </w:pPr>
          </w:p>
          <w:p w:rsidR="004C2EE3" w14:paraId="029497B1" w14:textId="77777777">
            <w:pPr>
              <w:pStyle w:val="TOAHeading"/>
              <w:tabs>
                <w:tab w:val="center" w:pos="4680"/>
                <w:tab w:val="clear" w:pos="9360"/>
              </w:tabs>
              <w:rPr>
                <w:spacing w:val="-2"/>
              </w:rPr>
            </w:pPr>
          </w:p>
          <w:p w:rsidR="00F42EA5" w:rsidRPr="00F42EA5" w:rsidP="00F42EA5" w14:paraId="580FC122" w14:textId="77777777">
            <w:pPr>
              <w:pStyle w:val="TOAHeading"/>
              <w:tabs>
                <w:tab w:val="center" w:pos="4680"/>
              </w:tabs>
              <w:rPr>
                <w:spacing w:val="-2"/>
              </w:rPr>
            </w:pPr>
            <w:r w:rsidRPr="00F42EA5">
              <w:rPr>
                <w:spacing w:val="-2"/>
              </w:rPr>
              <w:t>WC Docket No. 10-90</w:t>
            </w:r>
          </w:p>
          <w:p w:rsidR="00F42EA5" w:rsidRPr="00F42EA5" w:rsidP="00F42EA5" w14:paraId="6F710BD1" w14:textId="77777777">
            <w:pPr>
              <w:pStyle w:val="TOAHeading"/>
              <w:tabs>
                <w:tab w:val="center" w:pos="4680"/>
              </w:tabs>
              <w:rPr>
                <w:spacing w:val="-2"/>
              </w:rPr>
            </w:pPr>
          </w:p>
          <w:p w:rsidR="004C2EE3" w:rsidP="00F42EA5" w14:paraId="198C062B" w14:textId="5EDF424A">
            <w:pPr>
              <w:tabs>
                <w:tab w:val="center" w:pos="4680"/>
              </w:tabs>
              <w:suppressAutoHyphens/>
              <w:rPr>
                <w:spacing w:val="-2"/>
              </w:rPr>
            </w:pPr>
            <w:r w:rsidRPr="00F42EA5">
              <w:rPr>
                <w:spacing w:val="-2"/>
              </w:rPr>
              <w:t>WC Docket No. 17-144</w:t>
            </w:r>
          </w:p>
        </w:tc>
      </w:tr>
    </w:tbl>
    <w:p w:rsidR="004C2EE3" w:rsidP="0070224F" w14:paraId="33FE3672" w14:textId="77777777"/>
    <w:p w:rsidR="00841AB1" w:rsidP="00F021FA" w14:paraId="3A7B7C3F" w14:textId="29DF146D">
      <w:pPr>
        <w:pStyle w:val="StyleBoldCentered"/>
      </w:pPr>
      <w:r>
        <w:t>order</w:t>
      </w:r>
    </w:p>
    <w:p w:rsidR="004C2EE3" w14:paraId="2E5A45A5" w14:textId="392B9CCE">
      <w:pPr>
        <w:tabs>
          <w:tab w:val="left" w:pos="-720"/>
        </w:tabs>
        <w:suppressAutoHyphens/>
        <w:spacing w:line="227" w:lineRule="auto"/>
        <w:rPr>
          <w:spacing w:val="-2"/>
        </w:rPr>
      </w:pPr>
    </w:p>
    <w:p w:rsidR="004C2EE3" w:rsidP="00133F79" w14:paraId="582E8CBA" w14:textId="7BF3A3A0">
      <w:pPr>
        <w:tabs>
          <w:tab w:val="left" w:pos="720"/>
          <w:tab w:val="right" w:pos="9360"/>
        </w:tabs>
        <w:suppressAutoHyphens/>
        <w:spacing w:line="227" w:lineRule="auto"/>
        <w:rPr>
          <w:spacing w:val="-2"/>
        </w:rPr>
      </w:pPr>
      <w:r>
        <w:rPr>
          <w:b/>
          <w:spacing w:val="-2"/>
        </w:rPr>
        <w:t xml:space="preserve">Adopted:  </w:t>
      </w:r>
      <w:r w:rsidR="00041BCA">
        <w:rPr>
          <w:b/>
          <w:spacing w:val="-2"/>
        </w:rPr>
        <w:t>March 29, 2024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41BCA">
        <w:rPr>
          <w:b/>
          <w:spacing w:val="-2"/>
        </w:rPr>
        <w:t>March 29, 2024</w:t>
      </w:r>
    </w:p>
    <w:p w:rsidR="00822CE0" w14:paraId="0CD9A7D8" w14:textId="77777777"/>
    <w:p w:rsidR="00822CE0" w14:paraId="0DFA226C" w14:textId="2CA5649E">
      <w:r w:rsidRPr="00F42EA5">
        <w:t>By the Chief, Pricing Policy Division, Wireline Competition Bureau:</w:t>
      </w:r>
    </w:p>
    <w:p w:rsidR="00F42EA5" w14:paraId="2684F6CF" w14:textId="77777777">
      <w:pPr>
        <w:rPr>
          <w:spacing w:val="-2"/>
        </w:rPr>
      </w:pPr>
    </w:p>
    <w:p w:rsidR="00412FC5" w:rsidP="00C36B4C" w14:paraId="50074088" w14:textId="39E61F76">
      <w:pPr>
        <w:pStyle w:val="Heading1"/>
      </w:pPr>
      <w:r>
        <w:t>in</w:t>
      </w:r>
      <w:r w:rsidR="006A58D5">
        <w:t>troduction</w:t>
      </w:r>
    </w:p>
    <w:p w:rsidR="006A58D5" w:rsidRPr="006A58D5" w:rsidP="006A58D5" w14:paraId="47023E58" w14:textId="7F1BF83D">
      <w:pPr>
        <w:pStyle w:val="ParaNum"/>
      </w:pPr>
      <w:r>
        <w:t xml:space="preserve">In </w:t>
      </w:r>
      <w:r w:rsidRPr="006A58D5">
        <w:t xml:space="preserve">this Order, we grant a </w:t>
      </w:r>
      <w:r>
        <w:t xml:space="preserve">petition </w:t>
      </w:r>
      <w:r w:rsidRPr="006A58D5">
        <w:t>filed by Filer Mutual Telephone Company (</w:t>
      </w:r>
      <w:r>
        <w:t>Filer Mutual</w:t>
      </w:r>
      <w:r w:rsidRPr="006A58D5">
        <w:t>)</w:t>
      </w:r>
      <w:r>
        <w:t>, a rate-of-return incumbent local exchange carrier (carrier)</w:t>
      </w:r>
      <w:r w:rsidR="00C83B19">
        <w:t>,</w:t>
      </w:r>
      <w:r>
        <w:t xml:space="preserve"> seeking waiver </w:t>
      </w:r>
      <w:r w:rsidRPr="006A58D5">
        <w:t>of section 69.3</w:t>
      </w:r>
      <w:r w:rsidRPr="004A7A47">
        <w:t>(e)(6) and (i)(</w:t>
      </w:r>
      <w:r w:rsidR="00AC0B30">
        <w:t>1</w:t>
      </w:r>
      <w:r w:rsidRPr="004A7A47">
        <w:t>)</w:t>
      </w:r>
      <w:r w:rsidRPr="006A58D5">
        <w:t xml:space="preserve"> of the Commission’s rules</w:t>
      </w:r>
      <w:r w:rsidR="00F71F3B">
        <w:t>.</w:t>
      </w:r>
      <w:r>
        <w:rPr>
          <w:sz w:val="20"/>
          <w:vertAlign w:val="superscript"/>
        </w:rPr>
        <w:footnoteReference w:id="3"/>
      </w:r>
      <w:r w:rsidR="00F71F3B">
        <w:t xml:space="preserve">  </w:t>
      </w:r>
      <w:r w:rsidR="00D315D2">
        <w:t xml:space="preserve">These sections of the Commission’s rules require </w:t>
      </w:r>
      <w:r w:rsidR="008E55B8">
        <w:t>telephone companies to provide certain notifications</w:t>
      </w:r>
      <w:r w:rsidR="00A62A58">
        <w:t xml:space="preserve"> concerning tariff participation</w:t>
      </w:r>
      <w:r w:rsidR="008E55B8">
        <w:t xml:space="preserve"> to</w:t>
      </w:r>
      <w:r w:rsidRPr="006A58D5">
        <w:t xml:space="preserve"> the National Exchange Carrier Association, Inc. </w:t>
      </w:r>
      <w:r>
        <w:t>(</w:t>
      </w:r>
      <w:r w:rsidR="00C83B19">
        <w:t>NECA</w:t>
      </w:r>
      <w:r>
        <w:t>)</w:t>
      </w:r>
      <w:r w:rsidR="008E55B8">
        <w:t xml:space="preserve"> by March</w:t>
      </w:r>
      <w:r w:rsidR="00980CA1">
        <w:t xml:space="preserve"> 1</w:t>
      </w:r>
      <w:r w:rsidR="00086188">
        <w:t xml:space="preserve"> of the relevant tariff year.</w:t>
      </w:r>
      <w:r>
        <w:rPr>
          <w:rStyle w:val="FootnoteReference"/>
        </w:rPr>
        <w:footnoteReference w:id="4"/>
      </w:r>
      <w:r w:rsidR="00086188">
        <w:t xml:space="preserve">  </w:t>
      </w:r>
      <w:r w:rsidR="00EB1BE2">
        <w:t>Because Filer Mutual</w:t>
      </w:r>
      <w:r w:rsidR="00E963AB">
        <w:t xml:space="preserve"> missed the March 1 </w:t>
      </w:r>
      <w:r w:rsidR="00104E6A">
        <w:t>notification date, it</w:t>
      </w:r>
      <w:r w:rsidR="00135BB4">
        <w:t xml:space="preserve"> seek</w:t>
      </w:r>
      <w:r w:rsidR="00104E6A">
        <w:t>s</w:t>
      </w:r>
      <w:r w:rsidR="00135BB4">
        <w:t xml:space="preserve"> a waiver</w:t>
      </w:r>
      <w:r w:rsidR="00A40403">
        <w:t xml:space="preserve"> of these rules</w:t>
      </w:r>
      <w:r w:rsidR="00135BB4">
        <w:t xml:space="preserve"> </w:t>
      </w:r>
      <w:r w:rsidR="00A40403">
        <w:t>so that it</w:t>
      </w:r>
      <w:r w:rsidR="002B7052">
        <w:t xml:space="preserve"> </w:t>
      </w:r>
      <w:r w:rsidR="0014459D">
        <w:t xml:space="preserve">may </w:t>
      </w:r>
      <w:r w:rsidR="00415FFC">
        <w:t>withdraw from</w:t>
      </w:r>
      <w:r w:rsidR="00713AB2">
        <w:t xml:space="preserve"> the NECA</w:t>
      </w:r>
      <w:r>
        <w:t xml:space="preserve"> </w:t>
      </w:r>
      <w:r w:rsidRPr="006A58D5">
        <w:t>traffic-sensitive tariff pool for their business data service</w:t>
      </w:r>
      <w:r>
        <w:t xml:space="preserve"> (BDS)</w:t>
      </w:r>
      <w:r w:rsidRPr="006A58D5">
        <w:t xml:space="preserve"> offerings</w:t>
      </w:r>
      <w:r w:rsidR="003F1C50">
        <w:t xml:space="preserve"> effective July 2024</w:t>
      </w:r>
      <w:r w:rsidRPr="006A58D5">
        <w:t>.</w:t>
      </w:r>
      <w:r>
        <w:rPr>
          <w:rStyle w:val="FootnoteReference"/>
        </w:rPr>
        <w:footnoteReference w:id="5"/>
      </w:r>
      <w:r w:rsidRPr="006A58D5">
        <w:t xml:space="preserve">  </w:t>
      </w:r>
      <w:r w:rsidR="003F5AAB">
        <w:t>For the reasons discussed below, w</w:t>
      </w:r>
      <w:r>
        <w:t xml:space="preserve">e find that Filer Mutual demonstrates good cause for a limited waiver of the Commission’s rules to </w:t>
      </w:r>
      <w:r w:rsidR="00C83B19">
        <w:t xml:space="preserve">withdraw </w:t>
      </w:r>
      <w:r w:rsidR="00AE7BEB">
        <w:t xml:space="preserve">its BDS offerings </w:t>
      </w:r>
      <w:r w:rsidR="00C83B19">
        <w:t>from the</w:t>
      </w:r>
      <w:r w:rsidRPr="006A58D5">
        <w:t xml:space="preserve"> </w:t>
      </w:r>
      <w:r w:rsidRPr="006A58D5">
        <w:rPr>
          <w:snapToGrid/>
          <w:kern w:val="0"/>
          <w:szCs w:val="22"/>
        </w:rPr>
        <w:t>NECA</w:t>
      </w:r>
      <w:r w:rsidRPr="006A58D5">
        <w:t xml:space="preserve"> traffic-sensitive tariff pool.</w:t>
      </w:r>
      <w:r>
        <w:rPr>
          <w:sz w:val="20"/>
          <w:vertAlign w:val="superscript"/>
        </w:rPr>
        <w:footnoteReference w:id="6"/>
      </w:r>
    </w:p>
    <w:p w:rsidR="006A58D5" w:rsidP="006A58D5" w14:paraId="05230EB5" w14:textId="0EB5F1E9">
      <w:pPr>
        <w:pStyle w:val="Heading1"/>
      </w:pPr>
      <w:r>
        <w:t>Background</w:t>
      </w:r>
    </w:p>
    <w:p w:rsidR="000F5795" w:rsidRPr="001F5297" w:rsidP="00A10EEA" w14:paraId="65E24B02" w14:textId="7BE2389B">
      <w:pPr>
        <w:pStyle w:val="ParaNum"/>
        <w:widowControl/>
        <w:rPr>
          <w:szCs w:val="22"/>
        </w:rPr>
      </w:pPr>
      <w:r w:rsidRPr="000F5795">
        <w:rPr>
          <w:snapToGrid/>
        </w:rPr>
        <w:t xml:space="preserve">In the </w:t>
      </w:r>
      <w:r w:rsidRPr="000F5795">
        <w:rPr>
          <w:i/>
          <w:snapToGrid/>
        </w:rPr>
        <w:t>Rate-</w:t>
      </w:r>
      <w:r w:rsidRPr="00F26A5B">
        <w:t>of</w:t>
      </w:r>
      <w:r w:rsidRPr="000F5795">
        <w:rPr>
          <w:i/>
          <w:snapToGrid/>
        </w:rPr>
        <w:t>-Return BDS Order</w:t>
      </w:r>
      <w:r w:rsidRPr="000F5795">
        <w:rPr>
          <w:snapToGrid/>
        </w:rPr>
        <w:t xml:space="preserve">, the Commission allowed rate-of-return carriers receiving </w:t>
      </w:r>
      <w:r w:rsidR="00281649">
        <w:t>Alternative Connect America Cost Model (A-CAM)</w:t>
      </w:r>
      <w:r w:rsidRPr="000F5795">
        <w:rPr>
          <w:snapToGrid/>
        </w:rPr>
        <w:t xml:space="preserve"> or fixed high-cost universal service support (electing carriers) to voluntarily elect to transition their </w:t>
      </w:r>
      <w:r w:rsidR="00E51486">
        <w:rPr>
          <w:snapToGrid/>
        </w:rPr>
        <w:t>BDS</w:t>
      </w:r>
      <w:r w:rsidRPr="000F5795">
        <w:rPr>
          <w:snapToGrid/>
        </w:rPr>
        <w:t xml:space="preserve"> offerings from rate-of-return to incentive regulation pursuant </w:t>
      </w:r>
      <w:r w:rsidRPr="006A58D5">
        <w:t>to</w:t>
      </w:r>
      <w:r w:rsidRPr="000F5795">
        <w:rPr>
          <w:snapToGrid/>
        </w:rPr>
        <w:t xml:space="preserve"> section 61.50 of the Commission’s rules.</w:t>
      </w:r>
      <w:r>
        <w:rPr>
          <w:snapToGrid/>
          <w:vertAlign w:val="superscript"/>
        </w:rPr>
        <w:footnoteReference w:id="7"/>
      </w:r>
      <w:r w:rsidRPr="000F5795">
        <w:rPr>
          <w:snapToGrid/>
        </w:rPr>
        <w:t xml:space="preserve">  </w:t>
      </w:r>
      <w:r w:rsidRPr="001F5297" w:rsidR="001F5297">
        <w:rPr>
          <w:snapToGrid/>
        </w:rPr>
        <w:t xml:space="preserve">Under </w:t>
      </w:r>
      <w:r w:rsidR="001F5297">
        <w:rPr>
          <w:snapToGrid/>
        </w:rPr>
        <w:t>incentive regulation</w:t>
      </w:r>
      <w:r w:rsidRPr="001F5297" w:rsidR="001F5297">
        <w:rPr>
          <w:snapToGrid/>
        </w:rPr>
        <w:t>, electing carriers</w:t>
      </w:r>
      <w:r w:rsidR="001F5297">
        <w:rPr>
          <w:snapToGrid/>
        </w:rPr>
        <w:t xml:space="preserve"> are no longer </w:t>
      </w:r>
      <w:r w:rsidRPr="001F5297" w:rsidR="001F5297">
        <w:rPr>
          <w:snapToGrid/>
        </w:rPr>
        <w:t xml:space="preserve">required to provide </w:t>
      </w:r>
      <w:r w:rsidR="001F5297">
        <w:rPr>
          <w:snapToGrid/>
        </w:rPr>
        <w:t xml:space="preserve">burdensome cost studies justifying </w:t>
      </w:r>
      <w:r w:rsidRPr="001F5297" w:rsidR="001F5297">
        <w:rPr>
          <w:snapToGrid/>
        </w:rPr>
        <w:t xml:space="preserve">their BDS rates </w:t>
      </w:r>
      <w:r w:rsidR="001F5297">
        <w:rPr>
          <w:snapToGrid/>
        </w:rPr>
        <w:t>or</w:t>
      </w:r>
      <w:r w:rsidRPr="001F5297" w:rsidR="001F5297">
        <w:rPr>
          <w:snapToGrid/>
        </w:rPr>
        <w:t xml:space="preserve"> required to file</w:t>
      </w:r>
      <w:r w:rsidR="001F5297">
        <w:rPr>
          <w:snapToGrid/>
        </w:rPr>
        <w:t xml:space="preserve"> </w:t>
      </w:r>
      <w:r w:rsidRPr="001F5297" w:rsidR="001F5297">
        <w:rPr>
          <w:snapToGrid/>
        </w:rPr>
        <w:t xml:space="preserve">tariffs for </w:t>
      </w:r>
      <w:r w:rsidR="001F5297">
        <w:rPr>
          <w:snapToGrid/>
        </w:rPr>
        <w:t xml:space="preserve">certain BDS offerings, enabling them to pass those cost savings on to their customers or </w:t>
      </w:r>
      <w:r w:rsidR="001F5297">
        <w:rPr>
          <w:snapToGrid/>
        </w:rPr>
        <w:t>invest in their networks.</w:t>
      </w:r>
      <w:r>
        <w:rPr>
          <w:rStyle w:val="FootnoteReference"/>
          <w:snapToGrid/>
        </w:rPr>
        <w:footnoteReference w:id="8"/>
      </w:r>
      <w:r w:rsidR="001F5297">
        <w:rPr>
          <w:snapToGrid/>
        </w:rPr>
        <w:t xml:space="preserve">  </w:t>
      </w:r>
      <w:r w:rsidR="000328A7">
        <w:rPr>
          <w:szCs w:val="22"/>
        </w:rPr>
        <w:t>To prevent internal cost-shifting among study areas, the Commission required “electing carriers to elect incentive regulation at the holding company-level for study areas in all states where that carrier receives fixed support.”</w:t>
      </w:r>
      <w:r>
        <w:rPr>
          <w:rStyle w:val="FootnoteReference"/>
          <w:szCs w:val="22"/>
        </w:rPr>
        <w:footnoteReference w:id="9"/>
      </w:r>
      <w:r w:rsidR="00084602">
        <w:rPr>
          <w:szCs w:val="22"/>
        </w:rPr>
        <w:t xml:space="preserve">  </w:t>
      </w:r>
      <w:r w:rsidR="000328A7">
        <w:rPr>
          <w:szCs w:val="22"/>
        </w:rPr>
        <w:t>Although a voluntary election, the Commission made election irrevocable, prohibiting carriers from returning their study areas to rate-of-return regulation.</w:t>
      </w:r>
      <w:r>
        <w:rPr>
          <w:rStyle w:val="FootnoteReference"/>
          <w:szCs w:val="22"/>
        </w:rPr>
        <w:footnoteReference w:id="10"/>
      </w:r>
      <w:r w:rsidR="000328A7">
        <w:rPr>
          <w:szCs w:val="22"/>
        </w:rPr>
        <w:t xml:space="preserve">  </w:t>
      </w:r>
      <w:r w:rsidRPr="001F5297">
        <w:rPr>
          <w:szCs w:val="22"/>
        </w:rPr>
        <w:t xml:space="preserve">The </w:t>
      </w:r>
      <w:r w:rsidRPr="00EE7663">
        <w:t>Commission</w:t>
      </w:r>
      <w:r w:rsidRPr="001F5297">
        <w:rPr>
          <w:szCs w:val="22"/>
        </w:rPr>
        <w:t xml:space="preserve"> provided eligible carriers with two </w:t>
      </w:r>
      <w:r w:rsidRPr="001F5297" w:rsidR="00DA44DA">
        <w:rPr>
          <w:szCs w:val="22"/>
        </w:rPr>
        <w:t xml:space="preserve">initial </w:t>
      </w:r>
      <w:r w:rsidRPr="001F5297">
        <w:rPr>
          <w:szCs w:val="22"/>
        </w:rPr>
        <w:t xml:space="preserve">opportunities to elect incentive regulation </w:t>
      </w:r>
      <w:r w:rsidR="000328A7">
        <w:rPr>
          <w:szCs w:val="22"/>
        </w:rPr>
        <w:t xml:space="preserve">in </w:t>
      </w:r>
      <w:r w:rsidRPr="001F5297">
        <w:rPr>
          <w:szCs w:val="22"/>
        </w:rPr>
        <w:t>2019 and 2020.</w:t>
      </w:r>
      <w:r>
        <w:rPr>
          <w:rStyle w:val="FootnoteReference"/>
        </w:rPr>
        <w:footnoteReference w:id="11"/>
      </w:r>
      <w:r w:rsidRPr="001F5297">
        <w:rPr>
          <w:szCs w:val="22"/>
        </w:rPr>
        <w:t xml:space="preserve">  The Commission also provided eligible carriers that accept future offers of A-CAM support or that otherwise transition away from legacy support mechanisms with an additional opportunity to elect incentive regulation for their BDS offerings </w:t>
      </w:r>
      <w:r w:rsidRPr="001F5297" w:rsidR="00162121">
        <w:rPr>
          <w:szCs w:val="22"/>
        </w:rPr>
        <w:t xml:space="preserve">effective </w:t>
      </w:r>
      <w:r w:rsidRPr="001F5297">
        <w:rPr>
          <w:szCs w:val="22"/>
        </w:rPr>
        <w:t>July 1 in the year following their election.</w:t>
      </w:r>
      <w:r>
        <w:rPr>
          <w:rStyle w:val="FootnoteReference"/>
          <w:szCs w:val="22"/>
        </w:rPr>
        <w:footnoteReference w:id="12"/>
      </w:r>
      <w:r w:rsidRPr="001F5297">
        <w:rPr>
          <w:szCs w:val="22"/>
        </w:rPr>
        <w:t xml:space="preserve">  </w:t>
      </w:r>
    </w:p>
    <w:p w:rsidR="000E7EAF" w:rsidRPr="000F5795" w:rsidP="000F5795" w14:paraId="787F48E7" w14:textId="0660F437">
      <w:pPr>
        <w:pStyle w:val="ParaNum"/>
        <w:widowControl/>
        <w:rPr>
          <w:snapToGrid/>
        </w:rPr>
      </w:pPr>
      <w:r w:rsidRPr="0061572B">
        <w:t xml:space="preserve">The Commission acknowledged </w:t>
      </w:r>
      <w:r w:rsidR="009B609A">
        <w:t xml:space="preserve">in the </w:t>
      </w:r>
      <w:r w:rsidRPr="009B609A" w:rsidR="009B609A">
        <w:rPr>
          <w:i/>
          <w:iCs/>
        </w:rPr>
        <w:t>Rate-of-Return BDS Order</w:t>
      </w:r>
      <w:r w:rsidR="009B609A">
        <w:t xml:space="preserve"> </w:t>
      </w:r>
      <w:r w:rsidRPr="0061572B">
        <w:t xml:space="preserve">that most </w:t>
      </w:r>
      <w:r>
        <w:t xml:space="preserve">rate-of-return carriers establish their BDS rates by participating in the NECA traffic-sensitive tariff pool, which </w:t>
      </w:r>
      <w:r w:rsidR="00A128AE">
        <w:t>sets</w:t>
      </w:r>
      <w:r>
        <w:t xml:space="preserve"> BDS rates </w:t>
      </w:r>
      <w:r w:rsidR="00A128AE">
        <w:t xml:space="preserve">based </w:t>
      </w:r>
      <w:r>
        <w:t xml:space="preserve">on </w:t>
      </w:r>
      <w:r w:rsidRPr="0061572B">
        <w:t xml:space="preserve">projected aggregate costs (or average schedule settlements) and demand </w:t>
      </w:r>
      <w:r w:rsidR="00E51486">
        <w:t xml:space="preserve">for pool members </w:t>
      </w:r>
      <w:r w:rsidRPr="0061572B">
        <w:t>targeted to earn the authorized rate of return</w:t>
      </w:r>
      <w:r>
        <w:t>.</w:t>
      </w:r>
      <w:r>
        <w:rPr>
          <w:rStyle w:val="FootnoteReference"/>
        </w:rPr>
        <w:footnoteReference w:id="13"/>
      </w:r>
      <w:r>
        <w:t xml:space="preserve">  </w:t>
      </w:r>
      <w:r w:rsidR="00A365BE">
        <w:t>T</w:t>
      </w:r>
      <w:r w:rsidR="001802FE">
        <w:t>he Commission required</w:t>
      </w:r>
      <w:r w:rsidR="00A365BE">
        <w:t xml:space="preserve"> that</w:t>
      </w:r>
      <w:r w:rsidR="001802FE">
        <w:t xml:space="preserve"> carriers</w:t>
      </w:r>
      <w:r w:rsidR="00A365BE">
        <w:t xml:space="preserve"> electing </w:t>
      </w:r>
      <w:r w:rsidR="00683F03">
        <w:t>incentive regulation</w:t>
      </w:r>
      <w:r w:rsidR="001802FE">
        <w:t xml:space="preserve"> remove their BDS offerings from the NECA traffic-sensitive </w:t>
      </w:r>
      <w:r w:rsidR="00820032">
        <w:t xml:space="preserve">tariff </w:t>
      </w:r>
      <w:r w:rsidR="001802FE">
        <w:t xml:space="preserve">pool, but allowed </w:t>
      </w:r>
      <w:r>
        <w:t>electing</w:t>
      </w:r>
      <w:r w:rsidR="001802FE">
        <w:t xml:space="preserve"> carriers to continue </w:t>
      </w:r>
      <w:r>
        <w:t>participating</w:t>
      </w:r>
      <w:r w:rsidR="001802FE">
        <w:t xml:space="preserve"> in the </w:t>
      </w:r>
      <w:r w:rsidR="00961C65">
        <w:t xml:space="preserve">tariff </w:t>
      </w:r>
      <w:r w:rsidR="001802FE">
        <w:t>pool for access services other than BDS.</w:t>
      </w:r>
      <w:r>
        <w:rPr>
          <w:rStyle w:val="FootnoteReference"/>
          <w:snapToGrid/>
        </w:rPr>
        <w:footnoteReference w:id="14"/>
      </w:r>
      <w:bookmarkStart w:id="3" w:name="_Hlk161758555"/>
      <w:r w:rsidR="000F5795">
        <w:rPr>
          <w:snapToGrid/>
        </w:rPr>
        <w:t xml:space="preserve">  </w:t>
      </w:r>
      <w:r w:rsidR="007E1765">
        <w:rPr>
          <w:snapToGrid/>
        </w:rPr>
        <w:t xml:space="preserve">For </w:t>
      </w:r>
      <w:r w:rsidR="00F31111">
        <w:rPr>
          <w:snapToGrid/>
        </w:rPr>
        <w:t>pool participants</w:t>
      </w:r>
      <w:r w:rsidR="007E1765">
        <w:rPr>
          <w:snapToGrid/>
        </w:rPr>
        <w:t xml:space="preserve"> </w:t>
      </w:r>
      <w:r w:rsidR="00D51DBD">
        <w:rPr>
          <w:snapToGrid/>
        </w:rPr>
        <w:t>accepting future offers of A-CAM support</w:t>
      </w:r>
      <w:r w:rsidR="003577FF">
        <w:rPr>
          <w:snapToGrid/>
        </w:rPr>
        <w:t xml:space="preserve"> and electing BDS incentive regulation</w:t>
      </w:r>
      <w:r w:rsidR="00436626">
        <w:rPr>
          <w:snapToGrid/>
        </w:rPr>
        <w:t>, t</w:t>
      </w:r>
      <w:r w:rsidR="00991934">
        <w:rPr>
          <w:snapToGrid/>
        </w:rPr>
        <w:t>he</w:t>
      </w:r>
      <w:r w:rsidRPr="000F5795" w:rsidR="00F26A5B">
        <w:rPr>
          <w:snapToGrid/>
        </w:rPr>
        <w:t xml:space="preserve"> Commission </w:t>
      </w:r>
      <w:r w:rsidR="00F17F7E">
        <w:rPr>
          <w:snapToGrid/>
        </w:rPr>
        <w:t xml:space="preserve">established rules </w:t>
      </w:r>
      <w:r w:rsidRPr="000F5795" w:rsidR="00F26A5B">
        <w:rPr>
          <w:snapToGrid/>
        </w:rPr>
        <w:t>requir</w:t>
      </w:r>
      <w:r w:rsidR="00F17F7E">
        <w:rPr>
          <w:snapToGrid/>
        </w:rPr>
        <w:t>ing</w:t>
      </w:r>
      <w:r w:rsidR="00034BC6">
        <w:rPr>
          <w:snapToGrid/>
        </w:rPr>
        <w:t xml:space="preserve"> that</w:t>
      </w:r>
      <w:r w:rsidRPr="000F5795" w:rsidR="00F26A5B">
        <w:rPr>
          <w:snapToGrid/>
        </w:rPr>
        <w:t xml:space="preserve"> carriers</w:t>
      </w:r>
      <w:r w:rsidR="00900096">
        <w:rPr>
          <w:snapToGrid/>
        </w:rPr>
        <w:t xml:space="preserve"> </w:t>
      </w:r>
      <w:r w:rsidRPr="000F5795" w:rsidR="00F26A5B">
        <w:rPr>
          <w:snapToGrid/>
        </w:rPr>
        <w:t>notify NECA by March 1 of their election year consistent with section 69.3 of the Commission’s rules.</w:t>
      </w:r>
      <w:r>
        <w:rPr>
          <w:snapToGrid/>
          <w:kern w:val="0"/>
          <w:sz w:val="20"/>
          <w:szCs w:val="22"/>
          <w:vertAlign w:val="superscript"/>
        </w:rPr>
        <w:footnoteReference w:id="15"/>
      </w:r>
      <w:bookmarkEnd w:id="3"/>
      <w:r w:rsidRPr="000F5795" w:rsidR="00F26A5B">
        <w:rPr>
          <w:snapToGrid/>
        </w:rPr>
        <w:t xml:space="preserve"> </w:t>
      </w:r>
      <w:r w:rsidR="00F742B6">
        <w:rPr>
          <w:snapToGrid/>
        </w:rPr>
        <w:t xml:space="preserve"> </w:t>
      </w:r>
      <w:r w:rsidR="00820032">
        <w:rPr>
          <w:snapToGrid/>
        </w:rPr>
        <w:t>Section 69.3(e)(6) and (i)(</w:t>
      </w:r>
      <w:r w:rsidR="00157581">
        <w:rPr>
          <w:snapToGrid/>
        </w:rPr>
        <w:t>1</w:t>
      </w:r>
      <w:r w:rsidR="00820032">
        <w:rPr>
          <w:snapToGrid/>
        </w:rPr>
        <w:t xml:space="preserve">) </w:t>
      </w:r>
      <w:r w:rsidR="00CA7F51">
        <w:rPr>
          <w:snapToGrid/>
        </w:rPr>
        <w:t xml:space="preserve">provide that </w:t>
      </w:r>
      <w:r w:rsidR="00294E01">
        <w:rPr>
          <w:snapToGrid/>
        </w:rPr>
        <w:t xml:space="preserve">a </w:t>
      </w:r>
      <w:r w:rsidR="00CA7F51">
        <w:rPr>
          <w:snapToGrid/>
        </w:rPr>
        <w:t xml:space="preserve">carrier participating in NECA tariffs </w:t>
      </w:r>
      <w:r w:rsidR="00480A57">
        <w:rPr>
          <w:snapToGrid/>
        </w:rPr>
        <w:t xml:space="preserve">that </w:t>
      </w:r>
      <w:r w:rsidR="005B1D15">
        <w:rPr>
          <w:snapToGrid/>
        </w:rPr>
        <w:t>elects to file its own tariff</w:t>
      </w:r>
      <w:r w:rsidR="00294E01">
        <w:rPr>
          <w:snapToGrid/>
        </w:rPr>
        <w:t xml:space="preserve"> and</w:t>
      </w:r>
      <w:r w:rsidR="005B1D15">
        <w:rPr>
          <w:snapToGrid/>
        </w:rPr>
        <w:t xml:space="preserve"> </w:t>
      </w:r>
      <w:r w:rsidR="00CA7F51">
        <w:rPr>
          <w:snapToGrid/>
        </w:rPr>
        <w:t xml:space="preserve">withdraw from </w:t>
      </w:r>
      <w:r w:rsidR="00961C65">
        <w:rPr>
          <w:snapToGrid/>
        </w:rPr>
        <w:t xml:space="preserve">a </w:t>
      </w:r>
      <w:r w:rsidR="00CA7F51">
        <w:rPr>
          <w:snapToGrid/>
        </w:rPr>
        <w:t xml:space="preserve">NECA tariff shall notify NECA of this election </w:t>
      </w:r>
      <w:r w:rsidR="000323B2">
        <w:rPr>
          <w:snapToGrid/>
        </w:rPr>
        <w:t xml:space="preserve">to withdraw </w:t>
      </w:r>
      <w:r w:rsidR="00CA7F51">
        <w:rPr>
          <w:snapToGrid/>
        </w:rPr>
        <w:t>by March 1 of</w:t>
      </w:r>
      <w:r w:rsidR="000E1CA3">
        <w:rPr>
          <w:snapToGrid/>
        </w:rPr>
        <w:t xml:space="preserve"> the relevant tariff year</w:t>
      </w:r>
      <w:r w:rsidR="00CA7F51">
        <w:rPr>
          <w:snapToGrid/>
        </w:rPr>
        <w:t>.</w:t>
      </w:r>
      <w:r>
        <w:rPr>
          <w:rStyle w:val="FootnoteReference"/>
          <w:snapToGrid/>
        </w:rPr>
        <w:footnoteReference w:id="16"/>
      </w:r>
      <w:r w:rsidR="00CA7F51">
        <w:rPr>
          <w:snapToGrid/>
        </w:rPr>
        <w:t xml:space="preserve">  </w:t>
      </w:r>
    </w:p>
    <w:p w:rsidR="005E38A3" w:rsidRPr="00735E84" w:rsidP="001D39DF" w14:paraId="62042A61" w14:textId="644154A6">
      <w:pPr>
        <w:pStyle w:val="ParaNum"/>
        <w:widowControl/>
        <w:rPr>
          <w:snapToGrid/>
        </w:rPr>
      </w:pPr>
      <w:r w:rsidRPr="005E38A3">
        <w:rPr>
          <w:snapToGrid/>
        </w:rPr>
        <w:t xml:space="preserve">In the </w:t>
      </w:r>
      <w:r w:rsidRPr="005E38A3">
        <w:rPr>
          <w:i/>
          <w:iCs/>
          <w:snapToGrid/>
        </w:rPr>
        <w:t>Enhanced A-CAM Order</w:t>
      </w:r>
      <w:r w:rsidRPr="005E38A3">
        <w:rPr>
          <w:snapToGrid/>
        </w:rPr>
        <w:t xml:space="preserve">, the Commission adopted the Enhanced A-CAM program as a voluntary path for A-CAM carriers and legacy rate-of-return carriers to </w:t>
      </w:r>
      <w:r w:rsidR="001A4223">
        <w:rPr>
          <w:snapToGrid/>
        </w:rPr>
        <w:t xml:space="preserve">elect to </w:t>
      </w:r>
      <w:r w:rsidRPr="005E38A3">
        <w:rPr>
          <w:snapToGrid/>
        </w:rPr>
        <w:t xml:space="preserve">receive model-based </w:t>
      </w:r>
      <w:r w:rsidR="001A4223">
        <w:rPr>
          <w:snapToGrid/>
        </w:rPr>
        <w:t xml:space="preserve">universal service </w:t>
      </w:r>
      <w:r w:rsidRPr="005E38A3">
        <w:rPr>
          <w:snapToGrid/>
        </w:rPr>
        <w:t>support</w:t>
      </w:r>
      <w:r w:rsidR="00DB4CE2">
        <w:rPr>
          <w:snapToGrid/>
        </w:rPr>
        <w:t xml:space="preserve"> beginning January 1, 2024</w:t>
      </w:r>
      <w:r w:rsidRPr="005E38A3">
        <w:rPr>
          <w:snapToGrid/>
        </w:rPr>
        <w:t>.</w:t>
      </w:r>
      <w:r>
        <w:rPr>
          <w:snapToGrid/>
          <w:vertAlign w:val="superscript"/>
        </w:rPr>
        <w:footnoteReference w:id="17"/>
      </w:r>
      <w:r w:rsidRPr="005E38A3">
        <w:rPr>
          <w:snapToGrid/>
        </w:rPr>
        <w:t xml:space="preserve">  </w:t>
      </w:r>
      <w:r w:rsidRPr="005E38A3">
        <w:rPr>
          <w:rFonts w:eastAsiaTheme="minorHAnsi"/>
          <w:snapToGrid/>
          <w:kern w:val="2"/>
          <w14:ligatures w14:val="standardContextual"/>
        </w:rPr>
        <w:t>T</w:t>
      </w:r>
      <w:r w:rsidRPr="005E38A3">
        <w:rPr>
          <w:snapToGrid/>
        </w:rPr>
        <w:t xml:space="preserve">he Commission acknowledged that, “[p]ursuant to the </w:t>
      </w:r>
      <w:r w:rsidRPr="005E38A3">
        <w:rPr>
          <w:i/>
          <w:iCs/>
          <w:snapToGrid/>
        </w:rPr>
        <w:t>Rate-of-Return BDS Order</w:t>
      </w:r>
      <w:r w:rsidRPr="005E38A3">
        <w:rPr>
          <w:snapToGrid/>
        </w:rPr>
        <w:t>, Enhanced A-CAM recipients that have not already done so will also be eligible to move their business data services offerings to incentive regulation.”</w:t>
      </w:r>
      <w:r>
        <w:rPr>
          <w:snapToGrid/>
          <w:vertAlign w:val="superscript"/>
        </w:rPr>
        <w:footnoteReference w:id="18"/>
      </w:r>
      <w:r w:rsidRPr="005E38A3">
        <w:rPr>
          <w:snapToGrid/>
        </w:rPr>
        <w:t xml:space="preserve">  In authorizing Enhanced A-CAM recipients, </w:t>
      </w:r>
      <w:r>
        <w:rPr>
          <w:snapToGrid/>
        </w:rPr>
        <w:t xml:space="preserve">the Bureau reminded </w:t>
      </w:r>
      <w:r w:rsidRPr="00C055DB">
        <w:rPr>
          <w:snapToGrid/>
        </w:rPr>
        <w:t xml:space="preserve">NECA carriers accepting Enhanced A-CAM support and </w:t>
      </w:r>
      <w:r w:rsidRPr="00C055DB">
        <w:rPr>
          <w:snapToGrid/>
        </w:rPr>
        <w:t>electing BDS incentive regulation that they “must notify NECA by March 1, 2024 that they will not participate in the NECA traffic</w:t>
      </w:r>
      <w:r w:rsidR="000E65D8">
        <w:rPr>
          <w:snapToGrid/>
        </w:rPr>
        <w:t>-</w:t>
      </w:r>
      <w:r w:rsidRPr="00C055DB">
        <w:rPr>
          <w:snapToGrid/>
        </w:rPr>
        <w:t xml:space="preserve">sensitive tariff pool for their BDS offerings effective July 1, 2024” but may continue to participate </w:t>
      </w:r>
      <w:r>
        <w:rPr>
          <w:snapToGrid/>
        </w:rPr>
        <w:t xml:space="preserve">in the </w:t>
      </w:r>
      <w:r w:rsidR="00F742B6">
        <w:rPr>
          <w:snapToGrid/>
        </w:rPr>
        <w:t xml:space="preserve">traffic-sensitive </w:t>
      </w:r>
      <w:r>
        <w:rPr>
          <w:snapToGrid/>
        </w:rPr>
        <w:t xml:space="preserve">tariff pool </w:t>
      </w:r>
      <w:r w:rsidRPr="00C055DB">
        <w:rPr>
          <w:snapToGrid/>
        </w:rPr>
        <w:t>for access services other than BDS.</w:t>
      </w:r>
      <w:r>
        <w:rPr>
          <w:snapToGrid/>
          <w:vertAlign w:val="superscript"/>
        </w:rPr>
        <w:footnoteReference w:id="19"/>
      </w:r>
      <w:r w:rsidRPr="00C055DB">
        <w:rPr>
          <w:snapToGrid/>
        </w:rPr>
        <w:t xml:space="preserve">  </w:t>
      </w:r>
    </w:p>
    <w:p w:rsidR="00A7448D" w:rsidP="005F6BF5" w14:paraId="66373602" w14:textId="1B5EB9EB">
      <w:pPr>
        <w:widowControl/>
        <w:numPr>
          <w:ilvl w:val="0"/>
          <w:numId w:val="2"/>
        </w:numPr>
        <w:tabs>
          <w:tab w:val="clear" w:pos="1080"/>
          <w:tab w:val="num" w:pos="1440"/>
        </w:tabs>
        <w:spacing w:after="120"/>
        <w:rPr>
          <w:snapToGrid/>
          <w:kern w:val="0"/>
          <w:szCs w:val="22"/>
        </w:rPr>
      </w:pPr>
      <w:r w:rsidRPr="006A58D5">
        <w:rPr>
          <w:snapToGrid/>
          <w:kern w:val="0"/>
          <w:szCs w:val="22"/>
        </w:rPr>
        <w:t>On March 1</w:t>
      </w:r>
      <w:r w:rsidR="004746C2">
        <w:rPr>
          <w:snapToGrid/>
          <w:kern w:val="0"/>
          <w:szCs w:val="22"/>
        </w:rPr>
        <w:t>4</w:t>
      </w:r>
      <w:r w:rsidRPr="006A58D5">
        <w:rPr>
          <w:snapToGrid/>
          <w:kern w:val="0"/>
          <w:szCs w:val="22"/>
        </w:rPr>
        <w:t xml:space="preserve">, 2024, </w:t>
      </w:r>
      <w:r w:rsidRPr="00C055DB" w:rsidR="00C055DB">
        <w:rPr>
          <w:snapToGrid/>
          <w:kern w:val="0"/>
          <w:szCs w:val="22"/>
        </w:rPr>
        <w:t xml:space="preserve">Filer Mutual </w:t>
      </w:r>
      <w:r w:rsidRPr="006A58D5">
        <w:rPr>
          <w:snapToGrid/>
          <w:kern w:val="0"/>
          <w:szCs w:val="22"/>
        </w:rPr>
        <w:t xml:space="preserve">filed a </w:t>
      </w:r>
      <w:r w:rsidR="00A90AFB">
        <w:rPr>
          <w:snapToGrid/>
          <w:kern w:val="0"/>
          <w:szCs w:val="22"/>
        </w:rPr>
        <w:t xml:space="preserve">petition </w:t>
      </w:r>
      <w:r w:rsidRPr="006A58D5">
        <w:rPr>
          <w:snapToGrid/>
          <w:kern w:val="0"/>
          <w:szCs w:val="22"/>
        </w:rPr>
        <w:t xml:space="preserve">for waiver of sections </w:t>
      </w:r>
      <w:r w:rsidRPr="008D744B" w:rsidR="008D744B">
        <w:rPr>
          <w:snapToGrid/>
          <w:kern w:val="0"/>
          <w:szCs w:val="22"/>
        </w:rPr>
        <w:t xml:space="preserve">69.3(e)(6) and (i)(1) </w:t>
      </w:r>
      <w:r w:rsidRPr="006A58D5">
        <w:rPr>
          <w:snapToGrid/>
          <w:kern w:val="0"/>
          <w:szCs w:val="22"/>
        </w:rPr>
        <w:t>of the Commission’s rules “so that it may transition certain business data service (BDS) offerings out of rate-of-return regulation and into an incentive regulation framework effective July 1, 2024</w:t>
      </w:r>
      <w:r w:rsidRPr="00164300">
        <w:rPr>
          <w:snapToGrid/>
          <w:kern w:val="0"/>
          <w:szCs w:val="22"/>
        </w:rPr>
        <w:t>.”</w:t>
      </w:r>
      <w:r>
        <w:rPr>
          <w:snapToGrid/>
          <w:kern w:val="0"/>
          <w:sz w:val="20"/>
          <w:szCs w:val="22"/>
          <w:vertAlign w:val="superscript"/>
        </w:rPr>
        <w:footnoteReference w:id="20"/>
      </w:r>
      <w:r w:rsidRPr="00164300">
        <w:rPr>
          <w:snapToGrid/>
          <w:kern w:val="0"/>
          <w:szCs w:val="22"/>
        </w:rPr>
        <w:t xml:space="preserve">  </w:t>
      </w:r>
      <w:r w:rsidRPr="00164300" w:rsidR="00B86DA3">
        <w:rPr>
          <w:snapToGrid/>
          <w:kern w:val="0"/>
          <w:szCs w:val="22"/>
        </w:rPr>
        <w:t>Filer Mutual has two affiliate</w:t>
      </w:r>
      <w:r w:rsidRPr="00164300" w:rsidR="00164300">
        <w:rPr>
          <w:snapToGrid/>
          <w:kern w:val="0"/>
          <w:szCs w:val="22"/>
        </w:rPr>
        <w:t>d study areas</w:t>
      </w:r>
      <w:r w:rsidRPr="00164300" w:rsidR="00B86DA3">
        <w:rPr>
          <w:snapToGrid/>
          <w:kern w:val="0"/>
          <w:szCs w:val="22"/>
        </w:rPr>
        <w:t xml:space="preserve"> receiving model-based universal service support</w:t>
      </w:r>
      <w:r w:rsidRPr="00164300" w:rsidR="00164300">
        <w:rPr>
          <w:snapToGrid/>
          <w:kern w:val="0"/>
          <w:szCs w:val="22"/>
        </w:rPr>
        <w:t xml:space="preserve"> that participate in the NECA traffic-sensitive tariff pool for their BDS offerings</w:t>
      </w:r>
      <w:r w:rsidRPr="00164300" w:rsidR="00B86DA3">
        <w:rPr>
          <w:snapToGrid/>
          <w:kern w:val="0"/>
          <w:szCs w:val="22"/>
        </w:rPr>
        <w:t xml:space="preserve">: </w:t>
      </w:r>
      <w:bookmarkStart w:id="6" w:name="_Hlk162005363"/>
      <w:r w:rsidRPr="00164300" w:rsidR="00B86DA3">
        <w:rPr>
          <w:snapToGrid/>
          <w:kern w:val="0"/>
          <w:szCs w:val="22"/>
        </w:rPr>
        <w:t xml:space="preserve">Filer Mutual Telephone </w:t>
      </w:r>
      <w:r w:rsidRPr="00164300" w:rsidR="00AC3104">
        <w:rPr>
          <w:snapToGrid/>
          <w:kern w:val="0"/>
          <w:szCs w:val="22"/>
        </w:rPr>
        <w:t>C</w:t>
      </w:r>
      <w:r w:rsidRPr="00164300" w:rsidR="00B86DA3">
        <w:rPr>
          <w:snapToGrid/>
          <w:kern w:val="0"/>
          <w:szCs w:val="22"/>
        </w:rPr>
        <w:t xml:space="preserve">ompany d/b/a TruLeap Technologies </w:t>
      </w:r>
      <w:r w:rsidRPr="00164300" w:rsidR="00164300">
        <w:rPr>
          <w:snapToGrid/>
          <w:kern w:val="0"/>
          <w:szCs w:val="22"/>
        </w:rPr>
        <w:t xml:space="preserve">– Nevada </w:t>
      </w:r>
      <w:r w:rsidRPr="00164300" w:rsidR="00B86DA3">
        <w:rPr>
          <w:snapToGrid/>
          <w:kern w:val="0"/>
          <w:szCs w:val="22"/>
        </w:rPr>
        <w:t>(SAC 552220)</w:t>
      </w:r>
      <w:r w:rsidRPr="00164300" w:rsidR="00164300">
        <w:rPr>
          <w:snapToGrid/>
          <w:kern w:val="0"/>
          <w:szCs w:val="22"/>
        </w:rPr>
        <w:t xml:space="preserve"> (Filer Mutual-Nevada)</w:t>
      </w:r>
      <w:r>
        <w:rPr>
          <w:rStyle w:val="FootnoteReference"/>
          <w:snapToGrid/>
          <w:kern w:val="0"/>
          <w:szCs w:val="22"/>
        </w:rPr>
        <w:footnoteReference w:id="21"/>
      </w:r>
      <w:r w:rsidRPr="00164300" w:rsidR="00B86DA3">
        <w:rPr>
          <w:snapToGrid/>
          <w:kern w:val="0"/>
          <w:szCs w:val="22"/>
        </w:rPr>
        <w:t xml:space="preserve"> </w:t>
      </w:r>
      <w:r w:rsidRPr="00164300" w:rsidR="00AC3104">
        <w:rPr>
          <w:snapToGrid/>
          <w:kern w:val="0"/>
          <w:szCs w:val="22"/>
        </w:rPr>
        <w:t xml:space="preserve">and </w:t>
      </w:r>
      <w:r w:rsidRPr="00164300" w:rsidR="00164300">
        <w:rPr>
          <w:snapToGrid/>
          <w:kern w:val="0"/>
          <w:szCs w:val="22"/>
        </w:rPr>
        <w:t>Filer Mutual Telephone Company d/b/a TruLeap Technologies – Idaho (SAC 472220)</w:t>
      </w:r>
      <w:r w:rsidR="00164300">
        <w:rPr>
          <w:snapToGrid/>
          <w:kern w:val="0"/>
          <w:szCs w:val="22"/>
        </w:rPr>
        <w:t xml:space="preserve"> (Filer Mutual-Idaho)</w:t>
      </w:r>
      <w:r w:rsidRPr="00164300" w:rsidR="00164300">
        <w:rPr>
          <w:snapToGrid/>
          <w:kern w:val="0"/>
          <w:szCs w:val="22"/>
        </w:rPr>
        <w:t>.</w:t>
      </w:r>
      <w:r>
        <w:rPr>
          <w:rStyle w:val="FootnoteReference"/>
          <w:snapToGrid/>
          <w:kern w:val="0"/>
          <w:szCs w:val="22"/>
        </w:rPr>
        <w:footnoteReference w:id="22"/>
      </w:r>
      <w:r w:rsidRPr="00164300" w:rsidR="00164300">
        <w:rPr>
          <w:snapToGrid/>
          <w:kern w:val="0"/>
          <w:szCs w:val="22"/>
        </w:rPr>
        <w:t xml:space="preserve"> </w:t>
      </w:r>
      <w:r w:rsidR="00164300">
        <w:rPr>
          <w:snapToGrid/>
          <w:kern w:val="0"/>
          <w:szCs w:val="22"/>
        </w:rPr>
        <w:t xml:space="preserve"> </w:t>
      </w:r>
      <w:bookmarkEnd w:id="6"/>
      <w:r w:rsidR="00164300">
        <w:rPr>
          <w:snapToGrid/>
          <w:kern w:val="0"/>
          <w:szCs w:val="22"/>
        </w:rPr>
        <w:t xml:space="preserve">Filer Mutual-Nevada </w:t>
      </w:r>
      <w:r w:rsidR="00244E7B">
        <w:rPr>
          <w:snapToGrid/>
          <w:kern w:val="0"/>
          <w:szCs w:val="22"/>
        </w:rPr>
        <w:t>was authorized to receive</w:t>
      </w:r>
      <w:r w:rsidR="00164300">
        <w:rPr>
          <w:snapToGrid/>
          <w:kern w:val="0"/>
          <w:szCs w:val="22"/>
        </w:rPr>
        <w:t xml:space="preserve"> A-CAM II </w:t>
      </w:r>
      <w:r w:rsidR="00244E7B">
        <w:rPr>
          <w:snapToGrid/>
          <w:kern w:val="0"/>
          <w:szCs w:val="22"/>
        </w:rPr>
        <w:t xml:space="preserve">support </w:t>
      </w:r>
      <w:r w:rsidR="00164300">
        <w:rPr>
          <w:snapToGrid/>
          <w:kern w:val="0"/>
          <w:szCs w:val="22"/>
        </w:rPr>
        <w:t>in 2019.</w:t>
      </w:r>
      <w:r>
        <w:rPr>
          <w:rStyle w:val="FootnoteReference"/>
          <w:snapToGrid/>
          <w:kern w:val="0"/>
          <w:szCs w:val="22"/>
        </w:rPr>
        <w:footnoteReference w:id="23"/>
      </w:r>
      <w:r w:rsidR="00164300">
        <w:rPr>
          <w:snapToGrid/>
          <w:kern w:val="0"/>
          <w:szCs w:val="22"/>
        </w:rPr>
        <w:t xml:space="preserve">  </w:t>
      </w:r>
      <w:r w:rsidR="004746C2">
        <w:rPr>
          <w:snapToGrid/>
          <w:kern w:val="0"/>
          <w:szCs w:val="22"/>
        </w:rPr>
        <w:t>Filer Mutual</w:t>
      </w:r>
      <w:r w:rsidR="00AC3104">
        <w:rPr>
          <w:snapToGrid/>
          <w:kern w:val="0"/>
          <w:szCs w:val="22"/>
        </w:rPr>
        <w:t>-Idaho</w:t>
      </w:r>
      <w:r w:rsidR="00C055DB">
        <w:rPr>
          <w:snapToGrid/>
          <w:kern w:val="0"/>
          <w:szCs w:val="22"/>
        </w:rPr>
        <w:t xml:space="preserve"> </w:t>
      </w:r>
      <w:r w:rsidR="00244E7B">
        <w:rPr>
          <w:snapToGrid/>
          <w:kern w:val="0"/>
          <w:szCs w:val="22"/>
        </w:rPr>
        <w:t>was authorized to receive</w:t>
      </w:r>
      <w:r w:rsidRPr="006A58D5">
        <w:rPr>
          <w:snapToGrid/>
          <w:kern w:val="0"/>
          <w:szCs w:val="22"/>
        </w:rPr>
        <w:t xml:space="preserve"> Enhanced A-CAM support </w:t>
      </w:r>
      <w:r w:rsidR="00244E7B">
        <w:rPr>
          <w:snapToGrid/>
          <w:kern w:val="0"/>
          <w:szCs w:val="22"/>
        </w:rPr>
        <w:t xml:space="preserve">beginning </w:t>
      </w:r>
      <w:r w:rsidRPr="006A58D5">
        <w:rPr>
          <w:snapToGrid/>
          <w:kern w:val="0"/>
          <w:szCs w:val="22"/>
        </w:rPr>
        <w:t xml:space="preserve">January </w:t>
      </w:r>
      <w:r w:rsidR="00244E7B">
        <w:rPr>
          <w:snapToGrid/>
          <w:kern w:val="0"/>
          <w:szCs w:val="22"/>
        </w:rPr>
        <w:t xml:space="preserve">1, </w:t>
      </w:r>
      <w:r w:rsidRPr="006A58D5">
        <w:rPr>
          <w:snapToGrid/>
          <w:kern w:val="0"/>
          <w:szCs w:val="22"/>
        </w:rPr>
        <w:t>2024, “making the company eligible to transition certain BDS offerings to incentive regulation under section 61.50 of the Commission’s rules.”</w:t>
      </w:r>
      <w:r>
        <w:rPr>
          <w:snapToGrid/>
          <w:kern w:val="0"/>
          <w:sz w:val="20"/>
          <w:szCs w:val="22"/>
          <w:vertAlign w:val="superscript"/>
        </w:rPr>
        <w:footnoteReference w:id="24"/>
      </w:r>
      <w:r w:rsidRPr="006A58D5">
        <w:rPr>
          <w:snapToGrid/>
          <w:kern w:val="0"/>
          <w:szCs w:val="22"/>
        </w:rPr>
        <w:t xml:space="preserve">  </w:t>
      </w:r>
    </w:p>
    <w:p w:rsidR="006A58D5" w:rsidRPr="006A58D5" w:rsidP="005F6BF5" w14:paraId="630056B8" w14:textId="594217AD">
      <w:pPr>
        <w:widowControl/>
        <w:numPr>
          <w:ilvl w:val="0"/>
          <w:numId w:val="2"/>
        </w:numPr>
        <w:tabs>
          <w:tab w:val="clear" w:pos="1080"/>
          <w:tab w:val="num" w:pos="1440"/>
        </w:tabs>
        <w:spacing w:after="120"/>
        <w:rPr>
          <w:snapToGrid/>
          <w:kern w:val="0"/>
          <w:szCs w:val="22"/>
        </w:rPr>
      </w:pPr>
      <w:r>
        <w:rPr>
          <w:snapToGrid/>
          <w:kern w:val="0"/>
          <w:szCs w:val="22"/>
        </w:rPr>
        <w:t xml:space="preserve">Although </w:t>
      </w:r>
      <w:r w:rsidR="004746C2">
        <w:rPr>
          <w:snapToGrid/>
          <w:kern w:val="0"/>
          <w:szCs w:val="22"/>
        </w:rPr>
        <w:t>Filer Mutual</w:t>
      </w:r>
      <w:r>
        <w:rPr>
          <w:snapToGrid/>
          <w:kern w:val="0"/>
          <w:szCs w:val="22"/>
        </w:rPr>
        <w:t xml:space="preserve"> intended to </w:t>
      </w:r>
      <w:r w:rsidR="00CA608A">
        <w:rPr>
          <w:snapToGrid/>
          <w:kern w:val="0"/>
          <w:szCs w:val="22"/>
        </w:rPr>
        <w:t xml:space="preserve">transition certain BDS offerings to incentive regulation and thus, withdraw from the NECA traffic-sensitive </w:t>
      </w:r>
      <w:r w:rsidR="004A1355">
        <w:rPr>
          <w:snapToGrid/>
          <w:kern w:val="0"/>
          <w:szCs w:val="22"/>
        </w:rPr>
        <w:t>tariff pool,</w:t>
      </w:r>
      <w:r w:rsidRPr="006A58D5">
        <w:rPr>
          <w:snapToGrid/>
          <w:kern w:val="0"/>
          <w:szCs w:val="22"/>
        </w:rPr>
        <w:t xml:space="preserve"> it “inadvertently missed the March 1</w:t>
      </w:r>
      <w:r w:rsidRPr="006A58D5">
        <w:rPr>
          <w:snapToGrid/>
          <w:kern w:val="0"/>
          <w:szCs w:val="22"/>
          <w:vertAlign w:val="superscript"/>
        </w:rPr>
        <w:t>st</w:t>
      </w:r>
      <w:r w:rsidRPr="006A58D5">
        <w:rPr>
          <w:snapToGrid/>
          <w:kern w:val="0"/>
          <w:szCs w:val="22"/>
        </w:rPr>
        <w:t xml:space="preserve"> deadline to notify NECA</w:t>
      </w:r>
      <w:r w:rsidR="004A1355">
        <w:rPr>
          <w:snapToGrid/>
          <w:kern w:val="0"/>
          <w:szCs w:val="22"/>
        </w:rPr>
        <w:t>.</w:t>
      </w:r>
      <w:r w:rsidRPr="006A58D5">
        <w:rPr>
          <w:snapToGrid/>
          <w:kern w:val="0"/>
          <w:szCs w:val="22"/>
        </w:rPr>
        <w:t>”</w:t>
      </w:r>
      <w:r>
        <w:rPr>
          <w:rStyle w:val="FootnoteReference"/>
          <w:snapToGrid/>
          <w:kern w:val="0"/>
          <w:szCs w:val="22"/>
        </w:rPr>
        <w:footnoteReference w:id="25"/>
      </w:r>
      <w:r w:rsidRPr="006A58D5">
        <w:rPr>
          <w:snapToGrid/>
          <w:kern w:val="0"/>
          <w:szCs w:val="22"/>
        </w:rPr>
        <w:t xml:space="preserve"> </w:t>
      </w:r>
      <w:r w:rsidR="00ED729E">
        <w:rPr>
          <w:snapToGrid/>
          <w:kern w:val="0"/>
          <w:szCs w:val="22"/>
        </w:rPr>
        <w:t xml:space="preserve"> </w:t>
      </w:r>
      <w:r w:rsidR="00BE08B1">
        <w:rPr>
          <w:snapToGrid/>
          <w:kern w:val="0"/>
          <w:szCs w:val="22"/>
        </w:rPr>
        <w:t>Filer Mutual</w:t>
      </w:r>
      <w:r w:rsidR="00ED729E">
        <w:rPr>
          <w:snapToGrid/>
          <w:kern w:val="0"/>
          <w:szCs w:val="22"/>
        </w:rPr>
        <w:t xml:space="preserve"> explains that </w:t>
      </w:r>
      <w:r w:rsidR="00B46822">
        <w:rPr>
          <w:snapToGrid/>
          <w:kern w:val="0"/>
          <w:szCs w:val="22"/>
        </w:rPr>
        <w:t xml:space="preserve">it was “focused on the May </w:t>
      </w:r>
      <w:r w:rsidR="00A239A5">
        <w:rPr>
          <w:snapToGrid/>
          <w:kern w:val="0"/>
          <w:szCs w:val="22"/>
        </w:rPr>
        <w:t>1</w:t>
      </w:r>
      <w:r w:rsidRPr="00CE1769" w:rsidR="00A239A5">
        <w:rPr>
          <w:snapToGrid/>
          <w:kern w:val="0"/>
          <w:szCs w:val="22"/>
          <w:vertAlign w:val="superscript"/>
        </w:rPr>
        <w:t>st</w:t>
      </w:r>
      <w:r w:rsidR="00A239A5">
        <w:rPr>
          <w:snapToGrid/>
          <w:kern w:val="0"/>
          <w:szCs w:val="22"/>
        </w:rPr>
        <w:t xml:space="preserve"> deadline for notifying the Wireline Competition Bureau of the company’s election” </w:t>
      </w:r>
      <w:r w:rsidR="0071470C">
        <w:rPr>
          <w:snapToGrid/>
          <w:kern w:val="0"/>
          <w:szCs w:val="22"/>
        </w:rPr>
        <w:t>and</w:t>
      </w:r>
      <w:r w:rsidR="00B94C20">
        <w:rPr>
          <w:snapToGrid/>
          <w:kern w:val="0"/>
          <w:szCs w:val="22"/>
        </w:rPr>
        <w:t xml:space="preserve"> </w:t>
      </w:r>
      <w:r w:rsidR="004A7A97">
        <w:rPr>
          <w:snapToGrid/>
          <w:kern w:val="0"/>
          <w:szCs w:val="22"/>
        </w:rPr>
        <w:t xml:space="preserve">had a </w:t>
      </w:r>
      <w:r w:rsidR="008F2D7D">
        <w:rPr>
          <w:snapToGrid/>
          <w:kern w:val="0"/>
          <w:szCs w:val="22"/>
        </w:rPr>
        <w:t>number of regulatory filings</w:t>
      </w:r>
      <w:r w:rsidR="006D7404">
        <w:rPr>
          <w:snapToGrid/>
          <w:kern w:val="0"/>
          <w:szCs w:val="22"/>
        </w:rPr>
        <w:t xml:space="preserve"> due </w:t>
      </w:r>
      <w:r w:rsidR="00D873B9">
        <w:rPr>
          <w:snapToGrid/>
          <w:kern w:val="0"/>
          <w:szCs w:val="22"/>
        </w:rPr>
        <w:t>on March 1 that it was also focus</w:t>
      </w:r>
      <w:r w:rsidR="00631DCA">
        <w:rPr>
          <w:snapToGrid/>
          <w:kern w:val="0"/>
          <w:szCs w:val="22"/>
        </w:rPr>
        <w:t>ed on completing.</w:t>
      </w:r>
      <w:r>
        <w:rPr>
          <w:rStyle w:val="FootnoteReference"/>
          <w:snapToGrid/>
          <w:kern w:val="0"/>
          <w:szCs w:val="22"/>
        </w:rPr>
        <w:footnoteReference w:id="26"/>
      </w:r>
      <w:r w:rsidR="00040166">
        <w:rPr>
          <w:snapToGrid/>
          <w:kern w:val="0"/>
          <w:szCs w:val="22"/>
        </w:rPr>
        <w:t xml:space="preserve">  O</w:t>
      </w:r>
      <w:r w:rsidR="00F23AA8">
        <w:rPr>
          <w:snapToGrid/>
          <w:kern w:val="0"/>
          <w:szCs w:val="22"/>
        </w:rPr>
        <w:t xml:space="preserve">nce </w:t>
      </w:r>
      <w:r w:rsidR="00723B5B">
        <w:rPr>
          <w:snapToGrid/>
          <w:kern w:val="0"/>
          <w:szCs w:val="22"/>
        </w:rPr>
        <w:t>Filer Mutual</w:t>
      </w:r>
      <w:r w:rsidR="00F23AA8">
        <w:rPr>
          <w:snapToGrid/>
          <w:kern w:val="0"/>
          <w:szCs w:val="22"/>
        </w:rPr>
        <w:t xml:space="preserve"> </w:t>
      </w:r>
      <w:r w:rsidR="00D9489C">
        <w:rPr>
          <w:snapToGrid/>
          <w:kern w:val="0"/>
          <w:szCs w:val="22"/>
        </w:rPr>
        <w:t xml:space="preserve">discovered that it had missed the </w:t>
      </w:r>
      <w:r w:rsidR="005B4E28">
        <w:rPr>
          <w:snapToGrid/>
          <w:kern w:val="0"/>
          <w:szCs w:val="22"/>
        </w:rPr>
        <w:t>deadline</w:t>
      </w:r>
      <w:r w:rsidR="00F23AA8">
        <w:rPr>
          <w:snapToGrid/>
          <w:kern w:val="0"/>
          <w:szCs w:val="22"/>
        </w:rPr>
        <w:t xml:space="preserve">, </w:t>
      </w:r>
      <w:r w:rsidR="00723B5B">
        <w:rPr>
          <w:snapToGrid/>
          <w:kern w:val="0"/>
          <w:szCs w:val="22"/>
        </w:rPr>
        <w:t xml:space="preserve">it promptly notified </w:t>
      </w:r>
      <w:r w:rsidR="00F57DC7">
        <w:rPr>
          <w:snapToGrid/>
          <w:kern w:val="0"/>
          <w:szCs w:val="22"/>
        </w:rPr>
        <w:t>NECA</w:t>
      </w:r>
      <w:r w:rsidR="005B4E28">
        <w:rPr>
          <w:snapToGrid/>
          <w:kern w:val="0"/>
          <w:szCs w:val="22"/>
        </w:rPr>
        <w:t xml:space="preserve"> on March 4 and took immediate steps to</w:t>
      </w:r>
      <w:r w:rsidR="00D623F3">
        <w:rPr>
          <w:snapToGrid/>
          <w:kern w:val="0"/>
          <w:szCs w:val="22"/>
        </w:rPr>
        <w:t xml:space="preserve"> exit the NECA traffic-sensitive pool, including </w:t>
      </w:r>
      <w:r w:rsidR="00FF423E">
        <w:rPr>
          <w:snapToGrid/>
          <w:kern w:val="0"/>
          <w:szCs w:val="22"/>
        </w:rPr>
        <w:t>seeking a</w:t>
      </w:r>
      <w:r w:rsidR="00D623F3">
        <w:rPr>
          <w:snapToGrid/>
          <w:kern w:val="0"/>
          <w:szCs w:val="22"/>
        </w:rPr>
        <w:t xml:space="preserve"> waiv</w:t>
      </w:r>
      <w:r w:rsidR="005B5FE6">
        <w:rPr>
          <w:snapToGrid/>
          <w:kern w:val="0"/>
          <w:szCs w:val="22"/>
        </w:rPr>
        <w:t xml:space="preserve">er of </w:t>
      </w:r>
      <w:r w:rsidR="005E769F">
        <w:rPr>
          <w:snapToGrid/>
          <w:kern w:val="0"/>
          <w:szCs w:val="22"/>
        </w:rPr>
        <w:t xml:space="preserve">the notification deadline contained in </w:t>
      </w:r>
      <w:r w:rsidR="005B5FE6">
        <w:rPr>
          <w:snapToGrid/>
          <w:kern w:val="0"/>
          <w:szCs w:val="22"/>
        </w:rPr>
        <w:t>section 69.3 of the Commission’s rules.</w:t>
      </w:r>
      <w:r>
        <w:rPr>
          <w:rStyle w:val="FootnoteReference"/>
          <w:snapToGrid/>
          <w:kern w:val="0"/>
          <w:szCs w:val="22"/>
        </w:rPr>
        <w:footnoteReference w:id="27"/>
      </w:r>
      <w:r w:rsidR="00D623F3">
        <w:rPr>
          <w:snapToGrid/>
          <w:kern w:val="0"/>
          <w:szCs w:val="22"/>
        </w:rPr>
        <w:t xml:space="preserve"> </w:t>
      </w:r>
      <w:r w:rsidR="005B4E28">
        <w:rPr>
          <w:snapToGrid/>
          <w:kern w:val="0"/>
          <w:szCs w:val="22"/>
        </w:rPr>
        <w:t xml:space="preserve"> </w:t>
      </w:r>
    </w:p>
    <w:p w:rsidR="00C055DB" w:rsidP="00C055DB" w14:paraId="0CA77BCB" w14:textId="7890A113">
      <w:pPr>
        <w:pStyle w:val="Heading1"/>
      </w:pPr>
      <w:r>
        <w:t>Discussion</w:t>
      </w:r>
    </w:p>
    <w:p w:rsidR="006D6526" w:rsidP="00C8601C" w14:paraId="2D0A1A1B" w14:textId="462376E6">
      <w:pPr>
        <w:widowControl/>
        <w:numPr>
          <w:ilvl w:val="0"/>
          <w:numId w:val="2"/>
        </w:numPr>
        <w:tabs>
          <w:tab w:val="clear" w:pos="1080"/>
          <w:tab w:val="num" w:pos="1440"/>
        </w:tabs>
        <w:spacing w:after="120"/>
      </w:pPr>
      <w:r w:rsidRPr="00A33F6A">
        <w:t>Generally, the Commission’s rules may be waived for good cause shown.</w:t>
      </w:r>
      <w:r>
        <w:rPr>
          <w:rStyle w:val="FootnoteReference"/>
        </w:rPr>
        <w:footnoteReference w:id="28"/>
      </w:r>
      <w:r w:rsidRPr="00A33F6A">
        <w:t xml:space="preserve">  The Commission may </w:t>
      </w:r>
      <w:r w:rsidRPr="00A33F6A">
        <w:rPr>
          <w:snapToGrid/>
          <w:kern w:val="0"/>
          <w:szCs w:val="22"/>
        </w:rPr>
        <w:t>exercise</w:t>
      </w:r>
      <w:r w:rsidRPr="00A33F6A">
        <w:t xml:space="preserve"> its discretion to waive a rule where the particular facts make strict compliance inconsistent with the public interest.</w:t>
      </w:r>
      <w:r>
        <w:rPr>
          <w:rStyle w:val="FootnoteReference"/>
        </w:rPr>
        <w:footnoteReference w:id="29"/>
      </w:r>
      <w:r w:rsidRPr="00A33F6A">
        <w:t xml:space="preserve">  In addition, the Commission may take into account considerations of hardship, equity, or more effective implementation of overall policy on an individual basis.</w:t>
      </w:r>
      <w:r>
        <w:rPr>
          <w:rStyle w:val="FootnoteReference"/>
        </w:rPr>
        <w:footnoteReference w:id="30"/>
      </w:r>
      <w:r w:rsidRPr="00A33F6A">
        <w:t xml:space="preserve">  Waiver of the Commission’s rules is appropriate when special circumstances warrant a deviation from the general rule, and such deviation will serve the public interest.</w:t>
      </w:r>
      <w:r>
        <w:rPr>
          <w:rStyle w:val="FootnoteReference"/>
        </w:rPr>
        <w:footnoteReference w:id="31"/>
      </w:r>
    </w:p>
    <w:p w:rsidR="00A33F6A" w:rsidP="00F9029C" w14:paraId="131705CC" w14:textId="16B8B007">
      <w:pPr>
        <w:widowControl/>
        <w:numPr>
          <w:ilvl w:val="0"/>
          <w:numId w:val="2"/>
        </w:numPr>
        <w:tabs>
          <w:tab w:val="clear" w:pos="1080"/>
          <w:tab w:val="num" w:pos="1440"/>
        </w:tabs>
        <w:spacing w:after="120"/>
      </w:pPr>
      <w:r>
        <w:t xml:space="preserve">We </w:t>
      </w:r>
      <w:r w:rsidR="004F14A0">
        <w:t>find</w:t>
      </w:r>
      <w:r w:rsidR="00F9029C">
        <w:t xml:space="preserve"> </w:t>
      </w:r>
      <w:r>
        <w:t xml:space="preserve">that </w:t>
      </w:r>
      <w:r w:rsidR="00A231AD">
        <w:t>good cause</w:t>
      </w:r>
      <w:r w:rsidR="00F742B6">
        <w:t xml:space="preserve"> exists</w:t>
      </w:r>
      <w:r w:rsidR="00A231AD">
        <w:t xml:space="preserve"> to </w:t>
      </w:r>
      <w:r>
        <w:t>waiv</w:t>
      </w:r>
      <w:r w:rsidR="00A231AD">
        <w:t>e</w:t>
      </w:r>
      <w:r>
        <w:t xml:space="preserve"> section </w:t>
      </w:r>
      <w:r w:rsidRPr="00707A25">
        <w:t xml:space="preserve">69.3(e)(6) and (i)(1) </w:t>
      </w:r>
      <w:r>
        <w:t xml:space="preserve">of the Commission’s rules </w:t>
      </w:r>
      <w:r w:rsidR="00F742B6">
        <w:t xml:space="preserve">to allow </w:t>
      </w:r>
      <w:r w:rsidR="00036024">
        <w:t>Filer Mutual</w:t>
      </w:r>
      <w:r w:rsidR="00F742B6">
        <w:t xml:space="preserve"> to exit the NECA traffic-sensitive pool and elect BDS incentive regulation</w:t>
      </w:r>
      <w:r>
        <w:t xml:space="preserve">.  </w:t>
      </w:r>
      <w:r w:rsidR="005F7303">
        <w:t>Th</w:t>
      </w:r>
      <w:r w:rsidR="00933D1A">
        <w:t>e circumstances</w:t>
      </w:r>
      <w:r w:rsidR="00A71BC4">
        <w:t xml:space="preserve"> described by Filer Mutual involve a</w:t>
      </w:r>
      <w:r w:rsidR="00B46F80">
        <w:t xml:space="preserve">n </w:t>
      </w:r>
      <w:r w:rsidR="00933D1A">
        <w:t>administrative oversight</w:t>
      </w:r>
      <w:r w:rsidR="00A71BC4">
        <w:t xml:space="preserve"> that the carrier </w:t>
      </w:r>
      <w:r w:rsidR="00B46F80">
        <w:t>diligently attempted to</w:t>
      </w:r>
      <w:r w:rsidR="00DA3A8A">
        <w:t xml:space="preserve"> correct shortly after learning of the error.</w:t>
      </w:r>
      <w:r w:rsidR="00F9029C">
        <w:t xml:space="preserve"> </w:t>
      </w:r>
      <w:r w:rsidR="00B46F80">
        <w:t xml:space="preserve"> </w:t>
      </w:r>
      <w:r w:rsidR="00436626">
        <w:t>We conclude</w:t>
      </w:r>
      <w:r w:rsidR="00DA3A8A">
        <w:t xml:space="preserve"> that these circumstances</w:t>
      </w:r>
      <w:r w:rsidR="00AF6478">
        <w:t>, combined with</w:t>
      </w:r>
      <w:r w:rsidR="00436626">
        <w:t xml:space="preserve"> the hardship </w:t>
      </w:r>
      <w:r w:rsidR="00361A38">
        <w:t>Filer Mutual</w:t>
      </w:r>
      <w:r w:rsidR="00436626">
        <w:t xml:space="preserve"> would endure if they are not permitted to exit the NECA traffic-sensitive pool and elect BDS incentive regulation this year renders strict compliance with the March 1 procedural deadline inconsistent with the public interest.  </w:t>
      </w:r>
      <w:r>
        <w:t xml:space="preserve">  </w:t>
      </w:r>
      <w:r w:rsidRPr="00A33F6A">
        <w:t xml:space="preserve">  </w:t>
      </w:r>
    </w:p>
    <w:p w:rsidR="00E75FB6" w:rsidRPr="00AD35DC" w:rsidP="00D92E7E" w14:paraId="5AA9F157" w14:textId="126D9A22">
      <w:pPr>
        <w:widowControl/>
        <w:numPr>
          <w:ilvl w:val="0"/>
          <w:numId w:val="2"/>
        </w:numPr>
        <w:tabs>
          <w:tab w:val="clear" w:pos="1080"/>
          <w:tab w:val="num" w:pos="1440"/>
        </w:tabs>
        <w:spacing w:after="120"/>
      </w:pPr>
      <w:r>
        <w:t>At the outset, w</w:t>
      </w:r>
      <w:r w:rsidRPr="00E75FB6">
        <w:t xml:space="preserve">e </w:t>
      </w:r>
      <w:r w:rsidR="00781D8C">
        <w:t>acknow</w:t>
      </w:r>
      <w:r w:rsidR="009679DC">
        <w:t xml:space="preserve">ledge that </w:t>
      </w:r>
      <w:r w:rsidR="00963057">
        <w:t xml:space="preserve">the </w:t>
      </w:r>
      <w:r w:rsidR="008766E8">
        <w:t xml:space="preserve">NECA </w:t>
      </w:r>
      <w:r w:rsidR="00963057">
        <w:t>notification deadline contained in section</w:t>
      </w:r>
      <w:r w:rsidR="003C65CC">
        <w:t xml:space="preserve"> 69.3(e)(6) and (i)(1) </w:t>
      </w:r>
      <w:r w:rsidR="00202861">
        <w:t xml:space="preserve">serves an important </w:t>
      </w:r>
      <w:r w:rsidR="000B66B3">
        <w:t>purpose.</w:t>
      </w:r>
      <w:r>
        <w:rPr>
          <w:rStyle w:val="FootnoteReference"/>
        </w:rPr>
        <w:footnoteReference w:id="32"/>
      </w:r>
      <w:r w:rsidR="000B66B3">
        <w:t xml:space="preserve"> </w:t>
      </w:r>
      <w:r w:rsidR="00963057">
        <w:t xml:space="preserve"> </w:t>
      </w:r>
      <w:r w:rsidRPr="00AD35DC">
        <w:t>The</w:t>
      </w:r>
      <w:r>
        <w:t xml:space="preserve"> </w:t>
      </w:r>
      <w:r w:rsidRPr="00AD35DC">
        <w:t xml:space="preserve">March 1 </w:t>
      </w:r>
      <w:r w:rsidR="00CE19CA">
        <w:t xml:space="preserve">notification </w:t>
      </w:r>
      <w:r>
        <w:t>deadline is</w:t>
      </w:r>
      <w:r w:rsidRPr="00AD35DC">
        <w:t xml:space="preserve"> </w:t>
      </w:r>
      <w:r w:rsidR="00CE19CA">
        <w:t>necessary</w:t>
      </w:r>
      <w:r w:rsidR="00F57FEC">
        <w:t xml:space="preserve"> </w:t>
      </w:r>
      <w:r w:rsidR="00E32B6F">
        <w:t xml:space="preserve">to provide </w:t>
      </w:r>
      <w:r w:rsidR="00F57FEC">
        <w:t>NECA</w:t>
      </w:r>
      <w:r w:rsidR="00900875">
        <w:t xml:space="preserve"> with</w:t>
      </w:r>
      <w:r w:rsidR="00F57FEC">
        <w:t xml:space="preserve"> </w:t>
      </w:r>
      <w:r w:rsidR="0019543D">
        <w:t xml:space="preserve">adequate time to </w:t>
      </w:r>
      <w:r w:rsidR="00793395">
        <w:t xml:space="preserve">review and process cost, demand, and revenue data, </w:t>
      </w:r>
      <w:r w:rsidR="00F57FEC">
        <w:t xml:space="preserve">calculate </w:t>
      </w:r>
      <w:r w:rsidRPr="00AD35DC">
        <w:t>support</w:t>
      </w:r>
      <w:r w:rsidR="00F57FEC">
        <w:t xml:space="preserve"> and </w:t>
      </w:r>
      <w:r w:rsidRPr="00AD35DC">
        <w:t>pool settlement</w:t>
      </w:r>
      <w:r w:rsidR="00F57FEC">
        <w:t>s</w:t>
      </w:r>
      <w:r w:rsidRPr="00AD35DC">
        <w:t xml:space="preserve">, reband, and </w:t>
      </w:r>
      <w:r w:rsidR="00793395">
        <w:t xml:space="preserve">determine rate levels and </w:t>
      </w:r>
      <w:r w:rsidR="008F0D74">
        <w:t xml:space="preserve">take any </w:t>
      </w:r>
      <w:r w:rsidRPr="00AD35DC">
        <w:t>other steps ne</w:t>
      </w:r>
      <w:r w:rsidR="00F310D3">
        <w:t>eded</w:t>
      </w:r>
      <w:r w:rsidR="008F0D74">
        <w:t xml:space="preserve"> to prepare</w:t>
      </w:r>
      <w:r w:rsidR="009B5D10">
        <w:t xml:space="preserve"> for the</w:t>
      </w:r>
      <w:r w:rsidRPr="00AD35DC">
        <w:t xml:space="preserve"> July 1 annual access charge tariff filings on behalf of</w:t>
      </w:r>
      <w:r w:rsidR="009B5D10">
        <w:t xml:space="preserve"> </w:t>
      </w:r>
      <w:r w:rsidRPr="00AD35DC">
        <w:t>remaining pool members.</w:t>
      </w:r>
      <w:r>
        <w:rPr>
          <w:sz w:val="20"/>
          <w:vertAlign w:val="superscript"/>
        </w:rPr>
        <w:footnoteReference w:id="33"/>
      </w:r>
      <w:r w:rsidRPr="00AD35DC">
        <w:t xml:space="preserve">  </w:t>
      </w:r>
      <w:r>
        <w:t>Absent special circumstances, NECA pool members</w:t>
      </w:r>
      <w:r w:rsidRPr="0082232E">
        <w:t xml:space="preserve"> must </w:t>
      </w:r>
      <w:r>
        <w:t>ordinarily comply with</w:t>
      </w:r>
      <w:r w:rsidRPr="0082232E">
        <w:t xml:space="preserve"> </w:t>
      </w:r>
      <w:r>
        <w:t xml:space="preserve">the </w:t>
      </w:r>
      <w:r w:rsidRPr="0082232E">
        <w:t xml:space="preserve">Commission’s </w:t>
      </w:r>
      <w:r>
        <w:t xml:space="preserve">filing </w:t>
      </w:r>
      <w:r w:rsidRPr="0082232E">
        <w:t>deadlines</w:t>
      </w:r>
      <w:r>
        <w:t xml:space="preserve"> and timely notify NECA of pool elections.  </w:t>
      </w:r>
    </w:p>
    <w:p w:rsidR="00D92E7E" w:rsidP="00FD4A10" w14:paraId="7FFADCF9" w14:textId="7B2E08BB">
      <w:pPr>
        <w:widowControl/>
        <w:numPr>
          <w:ilvl w:val="0"/>
          <w:numId w:val="2"/>
        </w:numPr>
        <w:tabs>
          <w:tab w:val="clear" w:pos="1080"/>
          <w:tab w:val="num" w:pos="1440"/>
        </w:tabs>
        <w:spacing w:after="120"/>
      </w:pPr>
      <w:r>
        <w:t>Although File</w:t>
      </w:r>
      <w:r w:rsidR="0048738F">
        <w:t>r</w:t>
      </w:r>
      <w:r>
        <w:t xml:space="preserve"> Mutual missed the March 1 deadline</w:t>
      </w:r>
      <w:r w:rsidR="006C1C0A">
        <w:t>,</w:t>
      </w:r>
      <w:r w:rsidR="00874B53">
        <w:t xml:space="preserve"> </w:t>
      </w:r>
      <w:r w:rsidR="009826CA">
        <w:t>Filer Mutual and its consultant</w:t>
      </w:r>
      <w:r w:rsidRPr="00A133C2" w:rsidR="00A133C2">
        <w:t xml:space="preserve"> acted in good faith, recognizing their error in failing to provide timely notice to NECA, and diligently attempt</w:t>
      </w:r>
      <w:r w:rsidR="001317F0">
        <w:t>ed</w:t>
      </w:r>
      <w:r w:rsidRPr="00A133C2" w:rsidR="00A133C2">
        <w:t xml:space="preserve"> to remedy this error by cooperating with Commission staff and NECA</w:t>
      </w:r>
      <w:r w:rsidR="00A133C2">
        <w:t xml:space="preserve"> to provide actual notice of their</w:t>
      </w:r>
      <w:r w:rsidR="006A6BF9">
        <w:t xml:space="preserve"> </w:t>
      </w:r>
      <w:r w:rsidR="00A133C2">
        <w:t>election</w:t>
      </w:r>
      <w:r w:rsidR="00617A93">
        <w:t xml:space="preserve"> to withdraw from the NECA traffic-sensitive pool</w:t>
      </w:r>
      <w:r w:rsidRPr="00A133C2" w:rsidR="00A133C2">
        <w:t>.</w:t>
      </w:r>
      <w:r w:rsidR="00A133C2">
        <w:t xml:space="preserve">  </w:t>
      </w:r>
      <w:r w:rsidR="00565565">
        <w:t>Upon learning of the error</w:t>
      </w:r>
      <w:r w:rsidR="004D6F2E">
        <w:t xml:space="preserve"> on March 4</w:t>
      </w:r>
      <w:r w:rsidR="00565565">
        <w:t xml:space="preserve">, </w:t>
      </w:r>
      <w:r w:rsidR="009826CA">
        <w:t>Filer Mutual</w:t>
      </w:r>
      <w:r w:rsidR="00A133C2">
        <w:t xml:space="preserve"> </w:t>
      </w:r>
      <w:r w:rsidR="00565565">
        <w:t xml:space="preserve">promptly </w:t>
      </w:r>
      <w:r w:rsidR="00A133C2">
        <w:t>request</w:t>
      </w:r>
      <w:r w:rsidR="00874B53">
        <w:t>ed</w:t>
      </w:r>
      <w:r w:rsidR="00A133C2">
        <w:t xml:space="preserve"> that NECA accept the compan</w:t>
      </w:r>
      <w:r w:rsidR="00FD4A10">
        <w:t>y’s</w:t>
      </w:r>
      <w:r w:rsidR="00A133C2">
        <w:t xml:space="preserve"> late-filed election to exit the NECA traffic-sensitive pool for its BDS offerings.</w:t>
      </w:r>
      <w:r>
        <w:rPr>
          <w:rStyle w:val="FootnoteReference"/>
        </w:rPr>
        <w:footnoteReference w:id="34"/>
      </w:r>
      <w:r w:rsidR="00A133C2">
        <w:t xml:space="preserve"> </w:t>
      </w:r>
      <w:r w:rsidR="00874B53">
        <w:t xml:space="preserve"> </w:t>
      </w:r>
      <w:r w:rsidR="006C1C0A">
        <w:t xml:space="preserve">After </w:t>
      </w:r>
      <w:r w:rsidR="00A133C2">
        <w:t>NECA denied this request</w:t>
      </w:r>
      <w:r w:rsidR="006C1C0A">
        <w:t xml:space="preserve">, </w:t>
      </w:r>
      <w:r w:rsidR="00361A38">
        <w:t>Filer Mutual</w:t>
      </w:r>
      <w:r w:rsidR="00874B53">
        <w:t xml:space="preserve"> </w:t>
      </w:r>
      <w:r w:rsidR="00220B6B">
        <w:t>“</w:t>
      </w:r>
      <w:r w:rsidR="00874B53">
        <w:t>contacted staff</w:t>
      </w:r>
      <w:r w:rsidR="00220B6B">
        <w:t xml:space="preserve"> in the FCC’s Wireline Competition Bureau</w:t>
      </w:r>
      <w:r w:rsidR="000E505F">
        <w:t xml:space="preserve"> . . . </w:t>
      </w:r>
      <w:r w:rsidR="00220B6B">
        <w:t xml:space="preserve">to inquire about the possibility of a waiver </w:t>
      </w:r>
      <w:r w:rsidR="00874B53">
        <w:t xml:space="preserve">of the March </w:t>
      </w:r>
      <w:r w:rsidR="006C1C0A">
        <w:t>[1st]</w:t>
      </w:r>
      <w:r w:rsidR="00874B53">
        <w:t xml:space="preserve"> deadline to notify NECA.”</w:t>
      </w:r>
      <w:r>
        <w:rPr>
          <w:rStyle w:val="FootnoteReference"/>
        </w:rPr>
        <w:footnoteReference w:id="35"/>
      </w:r>
      <w:r w:rsidR="00A133C2">
        <w:t xml:space="preserve"> </w:t>
      </w:r>
      <w:r w:rsidRPr="00A133C2" w:rsidR="00A133C2">
        <w:t xml:space="preserve"> </w:t>
      </w:r>
      <w:r w:rsidR="006A6BF9">
        <w:t xml:space="preserve">While we </w:t>
      </w:r>
      <w:r w:rsidR="002E3B71">
        <w:t>are concerned that</w:t>
      </w:r>
      <w:r w:rsidR="006A6BF9">
        <w:t xml:space="preserve"> </w:t>
      </w:r>
      <w:r w:rsidR="00361A38">
        <w:t>Filer Mutual</w:t>
      </w:r>
      <w:r w:rsidR="006A6BF9">
        <w:t xml:space="preserve"> fail</w:t>
      </w:r>
      <w:r w:rsidR="002E3B71">
        <w:t>ed</w:t>
      </w:r>
      <w:r w:rsidR="006A6BF9">
        <w:t xml:space="preserve"> to meet the March 1</w:t>
      </w:r>
      <w:r w:rsidR="00A712F7">
        <w:t>st</w:t>
      </w:r>
      <w:r w:rsidR="006A6BF9">
        <w:t xml:space="preserve"> deadline, we recognize their good faith effort</w:t>
      </w:r>
      <w:r w:rsidR="00C634A6">
        <w:t>s</w:t>
      </w:r>
      <w:r w:rsidR="006A6BF9">
        <w:t xml:space="preserve"> to </w:t>
      </w:r>
      <w:r w:rsidR="00C634A6">
        <w:t xml:space="preserve">promptly </w:t>
      </w:r>
      <w:r w:rsidR="006A6BF9">
        <w:t xml:space="preserve">remedy the </w:t>
      </w:r>
      <w:r w:rsidR="00E714AC">
        <w:t>administrative oversight</w:t>
      </w:r>
      <w:r w:rsidR="00A45B95">
        <w:t>.</w:t>
      </w:r>
      <w:r w:rsidR="00E714AC">
        <w:t xml:space="preserve"> </w:t>
      </w:r>
      <w:r w:rsidR="006A6BF9">
        <w:t xml:space="preserve">   </w:t>
      </w:r>
    </w:p>
    <w:p w:rsidR="0033352A" w:rsidP="00ED0C8E" w14:paraId="7137494C" w14:textId="5966816E">
      <w:pPr>
        <w:pStyle w:val="ParaNum"/>
        <w:widowControl/>
      </w:pPr>
      <w:r>
        <w:t>We further find that</w:t>
      </w:r>
      <w:r w:rsidR="005A276F">
        <w:t xml:space="preserve"> denying Filer Mutual th</w:t>
      </w:r>
      <w:r w:rsidR="00281465">
        <w:t>is one-time</w:t>
      </w:r>
      <w:r w:rsidR="005A276F">
        <w:t xml:space="preserve"> opportunity </w:t>
      </w:r>
      <w:r w:rsidR="00B60856">
        <w:t>to move its BDS offerings to incentive regulation based</w:t>
      </w:r>
      <w:r w:rsidR="009A66C1">
        <w:t xml:space="preserve"> on</w:t>
      </w:r>
      <w:r w:rsidR="00B60856">
        <w:t xml:space="preserve"> its </w:t>
      </w:r>
      <w:r w:rsidR="00183F51">
        <w:t xml:space="preserve">minor </w:t>
      </w:r>
      <w:r w:rsidR="00340A8B">
        <w:t xml:space="preserve">delay </w:t>
      </w:r>
      <w:r w:rsidR="00183F51">
        <w:t>in notifying NECA</w:t>
      </w:r>
      <w:r w:rsidR="00B60856">
        <w:t xml:space="preserve"> </w:t>
      </w:r>
      <w:r w:rsidR="0025182D">
        <w:t xml:space="preserve">of its election </w:t>
      </w:r>
      <w:r w:rsidR="00B60856">
        <w:t>would result in undue hardship.</w:t>
      </w:r>
      <w:r w:rsidR="00637927">
        <w:t xml:space="preserve">  </w:t>
      </w:r>
      <w:r w:rsidR="00DC2142">
        <w:t xml:space="preserve">Carriers </w:t>
      </w:r>
      <w:r w:rsidR="00E60482">
        <w:t xml:space="preserve">are not able to elect BDS incentive regulation </w:t>
      </w:r>
      <w:r w:rsidR="00DD3942">
        <w:t xml:space="preserve">on a routine basis and may only </w:t>
      </w:r>
      <w:r w:rsidR="001A351C">
        <w:t xml:space="preserve">do so during specific election periods.  </w:t>
      </w:r>
      <w:r w:rsidR="0066633D">
        <w:t>Filer Mutual-Idaho</w:t>
      </w:r>
      <w:r w:rsidR="00ED0C8E">
        <w:t xml:space="preserve"> </w:t>
      </w:r>
      <w:r w:rsidR="003717D3">
        <w:t>was not eligible</w:t>
      </w:r>
      <w:r w:rsidR="00ED0C8E">
        <w:t xml:space="preserve"> to elect BDS incentive regulation in 2019 and 2020 because it was receiving high-cost support through a legacy support </w:t>
      </w:r>
      <w:r w:rsidR="00ED0C8E">
        <w:t xml:space="preserve">mechanism, Connect America Fund Broadband Loop Support (CAF BLS), </w:t>
      </w:r>
      <w:r w:rsidR="0060354A">
        <w:t xml:space="preserve">as opposed to model-based or </w:t>
      </w:r>
      <w:r w:rsidR="009E66D1">
        <w:t xml:space="preserve">other </w:t>
      </w:r>
      <w:r w:rsidR="0060354A">
        <w:t xml:space="preserve">fixed universal service support, </w:t>
      </w:r>
      <w:r w:rsidR="00ED0C8E">
        <w:t>and</w:t>
      </w:r>
      <w:r w:rsidR="00AC50B3">
        <w:t>, as a result, was</w:t>
      </w:r>
      <w:r w:rsidR="00ED0C8E">
        <w:t xml:space="preserve"> ineligible to elect BDS incentive regulation</w:t>
      </w:r>
      <w:r w:rsidR="008573A7">
        <w:t xml:space="preserve"> at that time</w:t>
      </w:r>
      <w:r w:rsidR="00ED0C8E">
        <w:t>.</w:t>
      </w:r>
      <w:r>
        <w:rPr>
          <w:rStyle w:val="FootnoteReference"/>
        </w:rPr>
        <w:footnoteReference w:id="36"/>
      </w:r>
      <w:r w:rsidR="00ED0C8E">
        <w:t xml:space="preserve">  </w:t>
      </w:r>
      <w:r w:rsidR="00162BD6">
        <w:t xml:space="preserve">Because </w:t>
      </w:r>
      <w:r w:rsidR="00BC0359">
        <w:t>Filer Mutual</w:t>
      </w:r>
      <w:r w:rsidR="0066633D">
        <w:t>-Idaho</w:t>
      </w:r>
      <w:r w:rsidR="00162BD6">
        <w:t xml:space="preserve"> recently elected to receive Enhanced A-CAM support,</w:t>
      </w:r>
      <w:r w:rsidR="00ED0C8E">
        <w:t xml:space="preserve"> </w:t>
      </w:r>
      <w:r w:rsidR="00162BD6">
        <w:t xml:space="preserve">it </w:t>
      </w:r>
      <w:r w:rsidR="00ED0C8E">
        <w:t xml:space="preserve">is </w:t>
      </w:r>
      <w:r w:rsidR="00162BD6">
        <w:t>now</w:t>
      </w:r>
      <w:r w:rsidR="00A14655">
        <w:t>, for the first time,</w:t>
      </w:r>
      <w:r w:rsidR="00162BD6">
        <w:t xml:space="preserve"> </w:t>
      </w:r>
      <w:r w:rsidR="00ED0C8E">
        <w:t xml:space="preserve">eligible to elect BDS incentive regulation. </w:t>
      </w:r>
      <w:r w:rsidR="000A0294">
        <w:t xml:space="preserve"> </w:t>
      </w:r>
      <w:r w:rsidR="005A3D9E">
        <w:t xml:space="preserve">Consistent with section 61.50(a) </w:t>
      </w:r>
      <w:r w:rsidR="00F831AC">
        <w:t xml:space="preserve">of the Commission’s rules </w:t>
      </w:r>
      <w:r w:rsidR="005A3D9E">
        <w:t xml:space="preserve">and the </w:t>
      </w:r>
      <w:r w:rsidRPr="005A3D9E" w:rsidR="005A3D9E">
        <w:rPr>
          <w:i/>
          <w:iCs/>
        </w:rPr>
        <w:t>Rate-of-Return BDS Order</w:t>
      </w:r>
      <w:r w:rsidR="005A3D9E">
        <w:t>, as</w:t>
      </w:r>
      <w:r w:rsidR="0066633D">
        <w:t xml:space="preserve"> an affiliate </w:t>
      </w:r>
      <w:r w:rsidR="005A3D9E">
        <w:t xml:space="preserve">of Filer Mutual-Idaho </w:t>
      </w:r>
      <w:r w:rsidR="0066633D">
        <w:t xml:space="preserve">receiving </w:t>
      </w:r>
      <w:r w:rsidR="005A3D9E">
        <w:t>A-CAM support</w:t>
      </w:r>
      <w:r w:rsidR="0066633D">
        <w:t>, Filer Mutual-Nevada</w:t>
      </w:r>
      <w:r w:rsidR="005A3D9E">
        <w:t>,</w:t>
      </w:r>
      <w:r w:rsidR="0066633D">
        <w:t xml:space="preserve"> </w:t>
      </w:r>
      <w:r w:rsidR="005A3D9E">
        <w:t>may</w:t>
      </w:r>
      <w:r w:rsidR="0066633D">
        <w:t xml:space="preserve"> also </w:t>
      </w:r>
      <w:r w:rsidR="00B75845">
        <w:t xml:space="preserve">exit the NECA traffic-sensitive pool and </w:t>
      </w:r>
      <w:r w:rsidR="0066633D">
        <w:t>move its BDS offerings to incentive regulation this year.</w:t>
      </w:r>
      <w:r>
        <w:rPr>
          <w:rStyle w:val="FootnoteReference"/>
        </w:rPr>
        <w:footnoteReference w:id="37"/>
      </w:r>
      <w:r w:rsidR="0066633D">
        <w:t xml:space="preserve"> </w:t>
      </w:r>
      <w:r w:rsidR="007F14F3">
        <w:t xml:space="preserve"> </w:t>
      </w:r>
    </w:p>
    <w:p w:rsidR="00ED0C8E" w:rsidP="00ED0C8E" w14:paraId="2F5DEE17" w14:textId="3BA73DED">
      <w:pPr>
        <w:pStyle w:val="ParaNum"/>
        <w:widowControl/>
      </w:pPr>
      <w:r>
        <w:t xml:space="preserve">We agree with </w:t>
      </w:r>
      <w:r w:rsidR="00674195">
        <w:t>Filer Mutual</w:t>
      </w:r>
      <w:r>
        <w:t xml:space="preserve"> that </w:t>
      </w:r>
      <w:r w:rsidR="00FD4A10">
        <w:t xml:space="preserve">deviation from the March 1 deadline “will serve the public interest because it will allow </w:t>
      </w:r>
      <w:r w:rsidR="002C66C4">
        <w:t>Filer</w:t>
      </w:r>
      <w:r w:rsidR="00FD4A10">
        <w:t xml:space="preserve"> </w:t>
      </w:r>
      <w:r w:rsidR="00E549F8">
        <w:t xml:space="preserve">to elect BDS incentive regulation, and that election, in turn, will benefit </w:t>
      </w:r>
      <w:r w:rsidR="002C66C4">
        <w:t>Filer’s</w:t>
      </w:r>
      <w:r w:rsidR="00E549F8">
        <w:t xml:space="preserve"> customers and service area.”</w:t>
      </w:r>
      <w:r>
        <w:rPr>
          <w:rStyle w:val="FootnoteReference"/>
        </w:rPr>
        <w:footnoteReference w:id="38"/>
      </w:r>
      <w:r w:rsidR="00E549F8">
        <w:t xml:space="preserve">  </w:t>
      </w:r>
      <w:r w:rsidR="000D7FAA">
        <w:t xml:space="preserve">Filer Mutual explains that, by </w:t>
      </w:r>
      <w:r w:rsidR="00E549F8">
        <w:t>moving its BDS offerings from cost-</w:t>
      </w:r>
      <w:r w:rsidR="00B82B67">
        <w:t xml:space="preserve">based rate-of-return to incentive regulation, </w:t>
      </w:r>
      <w:r w:rsidR="002C66C4">
        <w:t>Filer Mutual will</w:t>
      </w:r>
      <w:r w:rsidR="00B82B67">
        <w:t xml:space="preserve"> realize “efficiencies gained from reducing regulatory burdens,” enabling </w:t>
      </w:r>
      <w:r w:rsidR="002C66C4">
        <w:t>Filer Mutual</w:t>
      </w:r>
      <w:r w:rsidR="00B82B67">
        <w:t xml:space="preserve"> to “pass</w:t>
      </w:r>
      <w:r w:rsidR="000C0540">
        <w:t xml:space="preserve"> . . . </w:t>
      </w:r>
      <w:r w:rsidR="00B82B67">
        <w:t>cost savings on to their customers”</w:t>
      </w:r>
      <w:r w:rsidR="002C66C4">
        <w:t xml:space="preserve"> consistent with the goals of the </w:t>
      </w:r>
      <w:r w:rsidRPr="002C66C4" w:rsidR="002C66C4">
        <w:rPr>
          <w:i/>
          <w:iCs/>
        </w:rPr>
        <w:t>Rate-of-Return BDS Order</w:t>
      </w:r>
      <w:r w:rsidR="002C66C4">
        <w:t>.</w:t>
      </w:r>
      <w:r>
        <w:rPr>
          <w:rStyle w:val="FootnoteReference"/>
        </w:rPr>
        <w:footnoteReference w:id="39"/>
      </w:r>
      <w:r w:rsidR="00B82B67">
        <w:t xml:space="preserve">  </w:t>
      </w:r>
      <w:r w:rsidR="009A0385">
        <w:t xml:space="preserve">Filer Mutual must be able to withdraw its BDS offerings from the NECA traffic-sensitive tariff to be able to move their BDS rates from rate-of-return to incentive regulation.  </w:t>
      </w:r>
      <w:r w:rsidR="00BE667C">
        <w:t xml:space="preserve">Accordingly, </w:t>
      </w:r>
      <w:r w:rsidR="00252031">
        <w:t xml:space="preserve">permitting Filer Mutual </w:t>
      </w:r>
      <w:r w:rsidR="002D0924">
        <w:t xml:space="preserve">to move its BDS offerings to incentive regulation despite its </w:t>
      </w:r>
      <w:r w:rsidR="00123E22">
        <w:t xml:space="preserve">notification delay would </w:t>
      </w:r>
      <w:r w:rsidR="00BE667C">
        <w:t xml:space="preserve">serve the public interest.  </w:t>
      </w:r>
    </w:p>
    <w:p w:rsidR="003C00AD" w:rsidP="00B5045C" w14:paraId="1786CA84" w14:textId="28A01869">
      <w:pPr>
        <w:pStyle w:val="ParaNum"/>
        <w:widowControl/>
      </w:pPr>
      <w:r>
        <w:t>Taking hardship, equity, and overall implementation of policy</w:t>
      </w:r>
      <w:r w:rsidR="00137055">
        <w:t xml:space="preserve"> into consideration</w:t>
      </w:r>
      <w:r>
        <w:t xml:space="preserve">, we </w:t>
      </w:r>
      <w:r w:rsidR="009579E2">
        <w:t xml:space="preserve">conclude that the hardship </w:t>
      </w:r>
      <w:r w:rsidR="000E38CB">
        <w:t>Filer Mutual</w:t>
      </w:r>
      <w:r w:rsidR="009579E2">
        <w:t xml:space="preserve"> would </w:t>
      </w:r>
      <w:r w:rsidR="00B82B67">
        <w:t>face</w:t>
      </w:r>
      <w:r w:rsidR="00B5045C">
        <w:t xml:space="preserve"> </w:t>
      </w:r>
      <w:r w:rsidR="007F14F3">
        <w:t xml:space="preserve">remaining in the pool and unable to move its BDS offerings to incentive regulation </w:t>
      </w:r>
      <w:r w:rsidR="00F15AC5">
        <w:t xml:space="preserve">indefinitely </w:t>
      </w:r>
      <w:r w:rsidR="009579E2">
        <w:t xml:space="preserve">outweighs the need to strictly enforce the March 1 deadline.  </w:t>
      </w:r>
      <w:r w:rsidR="00B5045C">
        <w:t>We find that strict enforcement</w:t>
      </w:r>
      <w:r w:rsidR="00EB30A3">
        <w:t xml:space="preserve">, </w:t>
      </w:r>
      <w:r w:rsidR="00B5045C">
        <w:t xml:space="preserve">requiring </w:t>
      </w:r>
      <w:r w:rsidR="000E38CB">
        <w:t>Filer Mutual</w:t>
      </w:r>
      <w:r w:rsidR="00B5045C">
        <w:t xml:space="preserve"> to remain in the NECA traffic-sensitive pool</w:t>
      </w:r>
      <w:r w:rsidR="00D059FC">
        <w:t xml:space="preserve"> due to an administrative oversight of just a few days</w:t>
      </w:r>
      <w:r w:rsidR="00EB30A3">
        <w:t>,</w:t>
      </w:r>
      <w:r w:rsidR="00B5045C">
        <w:t xml:space="preserve"> would unnecessarily penalize </w:t>
      </w:r>
      <w:r w:rsidR="000E38CB">
        <w:t>Filer Mutual</w:t>
      </w:r>
      <w:r w:rsidR="00B5045C">
        <w:t xml:space="preserve"> and be inconsistent with the public interest benefits gained by </w:t>
      </w:r>
      <w:r w:rsidR="000E38CB">
        <w:t>Filer Mutual</w:t>
      </w:r>
      <w:r w:rsidR="00B5045C">
        <w:t xml:space="preserve"> </w:t>
      </w:r>
      <w:r w:rsidR="00D072AF">
        <w:t xml:space="preserve">in </w:t>
      </w:r>
      <w:r w:rsidR="00B5045C">
        <w:t xml:space="preserve">transitioning its BDS offerings from rate-of-return to more efficient incentive regulation.  </w:t>
      </w:r>
      <w:r w:rsidR="00506D15">
        <w:t xml:space="preserve"> </w:t>
      </w:r>
      <w:r w:rsidR="007F14F3">
        <w:t xml:space="preserve"> </w:t>
      </w:r>
    </w:p>
    <w:p w:rsidR="00ED0C8E" w:rsidP="00B5045C" w14:paraId="5AB94217" w14:textId="065B71F3">
      <w:pPr>
        <w:pStyle w:val="ParaNum"/>
        <w:widowControl/>
      </w:pPr>
      <w:r>
        <w:t>Furthermore, w</w:t>
      </w:r>
      <w:r w:rsidR="00B5045C">
        <w:t xml:space="preserve">e find that granting a limited waiver </w:t>
      </w:r>
      <w:r w:rsidR="009636C8">
        <w:t xml:space="preserve">for one carrier </w:t>
      </w:r>
      <w:r w:rsidR="00B5045C">
        <w:t xml:space="preserve">will not adversely affect </w:t>
      </w:r>
      <w:r w:rsidR="009579E2">
        <w:t>NECA</w:t>
      </w:r>
      <w:r w:rsidR="00702655">
        <w:t xml:space="preserve">’s ability to prepare for the </w:t>
      </w:r>
      <w:r w:rsidRPr="00AD35DC" w:rsidR="00D54E29">
        <w:t>July 1 annual access charge tariff filings on behalf of</w:t>
      </w:r>
      <w:r w:rsidR="00D54E29">
        <w:t xml:space="preserve"> </w:t>
      </w:r>
      <w:r w:rsidRPr="00AD35DC" w:rsidR="00D54E29">
        <w:t>remaining pool members</w:t>
      </w:r>
      <w:r w:rsidR="004041CC">
        <w:t xml:space="preserve">.  </w:t>
      </w:r>
      <w:r w:rsidR="009636C8">
        <w:t xml:space="preserve">Within a few days of the filing deadline, </w:t>
      </w:r>
      <w:r w:rsidR="008E29AE">
        <w:t>Filer Mutual no</w:t>
      </w:r>
      <w:r w:rsidR="00653966">
        <w:t xml:space="preserve">tified NECA of its </w:t>
      </w:r>
      <w:r w:rsidR="009636C8">
        <w:t xml:space="preserve">intent to </w:t>
      </w:r>
      <w:r w:rsidR="00653966">
        <w:t xml:space="preserve">elect </w:t>
      </w:r>
      <w:r w:rsidR="008B024F">
        <w:t>to exit</w:t>
      </w:r>
      <w:r w:rsidR="00653966">
        <w:t xml:space="preserve"> the</w:t>
      </w:r>
      <w:r w:rsidR="008B024F">
        <w:t xml:space="preserve"> </w:t>
      </w:r>
      <w:r w:rsidR="00653966">
        <w:t>traffic-sensitive pool</w:t>
      </w:r>
      <w:r w:rsidR="008B024F">
        <w:t xml:space="preserve"> for its BDS offerings.</w:t>
      </w:r>
      <w:r>
        <w:rPr>
          <w:rStyle w:val="FootnoteReference"/>
        </w:rPr>
        <w:footnoteReference w:id="40"/>
      </w:r>
      <w:r w:rsidR="008B024F">
        <w:t xml:space="preserve">  </w:t>
      </w:r>
      <w:r w:rsidR="00734036">
        <w:t>We believe that</w:t>
      </w:r>
      <w:r w:rsidR="00951278">
        <w:t>,</w:t>
      </w:r>
      <w:r w:rsidR="00734036">
        <w:t xml:space="preserve"> </w:t>
      </w:r>
      <w:r w:rsidR="00456A61">
        <w:t xml:space="preserve">as long as Filer Mutual immediately notifies NECA regarding the extent to which it is withdrawing its BDS offerings from the NECA traffic-sensitive tariff pool and related tariffs, </w:t>
      </w:r>
      <w:r w:rsidR="00951278">
        <w:t>such</w:t>
      </w:r>
      <w:r w:rsidR="002F629D">
        <w:t xml:space="preserve"> notice </w:t>
      </w:r>
      <w:r w:rsidRPr="002F629D" w:rsidR="002F629D">
        <w:t xml:space="preserve">and the release date of this waiver order </w:t>
      </w:r>
      <w:r w:rsidR="00BE667C">
        <w:t xml:space="preserve">should </w:t>
      </w:r>
      <w:r w:rsidR="007E4C72">
        <w:t xml:space="preserve">provide </w:t>
      </w:r>
      <w:r w:rsidR="00A77037">
        <w:t>NECA</w:t>
      </w:r>
      <w:r w:rsidR="009579E2">
        <w:t xml:space="preserve"> </w:t>
      </w:r>
      <w:r w:rsidR="00930930">
        <w:t>with</w:t>
      </w:r>
      <w:r w:rsidR="00456A61">
        <w:t xml:space="preserve"> sufficient </w:t>
      </w:r>
      <w:r w:rsidR="009579E2">
        <w:t>time to</w:t>
      </w:r>
      <w:r w:rsidR="00AA2ADD">
        <w:t xml:space="preserve"> </w:t>
      </w:r>
      <w:r w:rsidR="009579E2">
        <w:t xml:space="preserve">prepare for the July 1 annual access tariff filing for remaining pool members.  </w:t>
      </w:r>
    </w:p>
    <w:p w:rsidR="00D619DF" w:rsidP="00F20375" w14:paraId="100AEB85" w14:textId="6E99B815">
      <w:pPr>
        <w:pStyle w:val="ParaNum"/>
        <w:widowControl/>
      </w:pPr>
      <w:r>
        <w:t>For these reasons</w:t>
      </w:r>
      <w:r>
        <w:t xml:space="preserve">, we find </w:t>
      </w:r>
      <w:r w:rsidR="00BF690C">
        <w:t xml:space="preserve">that </w:t>
      </w:r>
      <w:r>
        <w:t xml:space="preserve">good cause exists to waive section 69.3(e)(6) and (i)(1) of the Commission’s rules to enable </w:t>
      </w:r>
      <w:r w:rsidR="000E38CB">
        <w:t>Filer Mutual</w:t>
      </w:r>
      <w:r>
        <w:t xml:space="preserve"> to exit the NECA traffic-sensitive pool for its BDS offerings and move their BDS offerings from rate-of-return to incentive regulation.</w:t>
      </w:r>
      <w:r>
        <w:rPr>
          <w:rStyle w:val="FootnoteReference"/>
        </w:rPr>
        <w:footnoteReference w:id="41"/>
      </w:r>
      <w:r>
        <w:t xml:space="preserve">  </w:t>
      </w:r>
      <w:r w:rsidR="00F444B0">
        <w:t xml:space="preserve">We condition </w:t>
      </w:r>
      <w:r w:rsidR="00951278">
        <w:t xml:space="preserve">this limited </w:t>
      </w:r>
      <w:r w:rsidR="00F444B0">
        <w:t xml:space="preserve">waiver on Filer Mutual immediately notifying NECA </w:t>
      </w:r>
      <w:r w:rsidR="00BE113D">
        <w:t>regarding the extent to which</w:t>
      </w:r>
      <w:r w:rsidR="00F20375">
        <w:t xml:space="preserve"> it is withdrawing BDS offerings </w:t>
      </w:r>
      <w:r w:rsidR="00456A61">
        <w:t xml:space="preserve">provided by Filer Mutual-Nevada and Filer Mutual-Idaho </w:t>
      </w:r>
      <w:r w:rsidR="00F20375">
        <w:t xml:space="preserve">from </w:t>
      </w:r>
      <w:r w:rsidRPr="00F444B0" w:rsidR="00F444B0">
        <w:t>NECA F.C.C. Tariffs No. 5 and 6</w:t>
      </w:r>
      <w:r w:rsidR="00F444B0">
        <w:t xml:space="preserve">.  </w:t>
      </w:r>
      <w:r w:rsidR="00951278">
        <w:t>Upon receipt of such notice</w:t>
      </w:r>
      <w:r w:rsidR="00F20375">
        <w:t>, w</w:t>
      </w:r>
      <w:r w:rsidR="00456A61">
        <w:t>e</w:t>
      </w:r>
      <w:r>
        <w:t xml:space="preserve"> direct NECA to </w:t>
      </w:r>
      <w:r w:rsidR="001A3822">
        <w:t>allow</w:t>
      </w:r>
      <w:r>
        <w:t xml:space="preserve"> </w:t>
      </w:r>
      <w:r w:rsidR="000E38CB">
        <w:t>Filer Mutual</w:t>
      </w:r>
      <w:r>
        <w:t xml:space="preserve"> to </w:t>
      </w:r>
      <w:r w:rsidR="005C2975">
        <w:t xml:space="preserve">withdraw </w:t>
      </w:r>
      <w:r w:rsidR="001A3822">
        <w:t xml:space="preserve">the BDS offerings of </w:t>
      </w:r>
      <w:r w:rsidR="005C2975">
        <w:t xml:space="preserve">its two affiliated study areas, Filer Mutual-Nevada </w:t>
      </w:r>
      <w:r w:rsidRPr="005C2975" w:rsidR="005C2975">
        <w:t xml:space="preserve">(SAC 552220) </w:t>
      </w:r>
      <w:r w:rsidR="005C2975">
        <w:t>and Filer Mutual-</w:t>
      </w:r>
      <w:r w:rsidR="005C2975">
        <w:t xml:space="preserve">Idaho </w:t>
      </w:r>
      <w:r w:rsidRPr="005C2975" w:rsidR="005C2975">
        <w:t>(SAC 472220</w:t>
      </w:r>
      <w:r w:rsidR="001A3822">
        <w:t>)</w:t>
      </w:r>
      <w:r w:rsidR="005C2975">
        <w:t>, from the</w:t>
      </w:r>
      <w:r>
        <w:t xml:space="preserve"> NECA traffic-sensitive tariff pool effective concurrent with the</w:t>
      </w:r>
      <w:r w:rsidR="009E66D1">
        <w:t xml:space="preserve"> effective date of the</w:t>
      </w:r>
      <w:r>
        <w:t xml:space="preserve"> July 2024 annual access charge tariff filing.  </w:t>
      </w:r>
    </w:p>
    <w:p w:rsidR="0082232E" w:rsidRPr="0082232E" w:rsidP="00F42EA5" w14:paraId="5809F7A2" w14:textId="1BD4647C">
      <w:pPr>
        <w:pStyle w:val="Heading1"/>
      </w:pPr>
      <w:r w:rsidRPr="0082232E">
        <w:rPr>
          <w:bCs/>
          <w:szCs w:val="24"/>
        </w:rPr>
        <w:t xml:space="preserve">Ordering </w:t>
      </w:r>
      <w:r w:rsidRPr="0082232E">
        <w:t>Clauses</w:t>
      </w:r>
      <w:r w:rsidRPr="0082232E">
        <w:rPr>
          <w:bCs/>
          <w:szCs w:val="24"/>
        </w:rPr>
        <w:t xml:space="preserve"> </w:t>
      </w:r>
    </w:p>
    <w:p w:rsidR="00E1173F" w:rsidP="009214EF" w14:paraId="201F27A2" w14:textId="19FF8A03">
      <w:pPr>
        <w:widowControl/>
        <w:numPr>
          <w:ilvl w:val="0"/>
          <w:numId w:val="2"/>
        </w:numPr>
        <w:tabs>
          <w:tab w:val="clear" w:pos="1080"/>
          <w:tab w:val="num" w:pos="1440"/>
        </w:tabs>
        <w:spacing w:after="120"/>
      </w:pPr>
      <w:r w:rsidRPr="0082232E">
        <w:rPr>
          <w:bCs/>
          <w:caps/>
          <w:szCs w:val="24"/>
        </w:rPr>
        <w:t>Accordingly</w:t>
      </w:r>
      <w:r w:rsidRPr="0082232E">
        <w:rPr>
          <w:caps/>
          <w:szCs w:val="24"/>
        </w:rPr>
        <w:t>,</w:t>
      </w:r>
      <w:r w:rsidRPr="0082232E">
        <w:rPr>
          <w:szCs w:val="24"/>
        </w:rPr>
        <w:t xml:space="preserve"> IT IS ORDERED that, pursuant to sections 1, 4(i) and (j), 5, and 201-209 of the Communications Act of 1934, as amended, 47 U.S.C. §§ 151, 154(i)-(j), 155, 201-209, and sections 0.91</w:t>
      </w:r>
      <w:r w:rsidR="001F75F0">
        <w:rPr>
          <w:szCs w:val="24"/>
        </w:rPr>
        <w:t xml:space="preserve">, </w:t>
      </w:r>
      <w:r w:rsidRPr="0082232E">
        <w:rPr>
          <w:szCs w:val="24"/>
        </w:rPr>
        <w:t>0.291</w:t>
      </w:r>
      <w:r w:rsidR="001F75F0">
        <w:rPr>
          <w:szCs w:val="24"/>
        </w:rPr>
        <w:t>, and 1.3</w:t>
      </w:r>
      <w:r w:rsidRPr="0082232E">
        <w:rPr>
          <w:szCs w:val="24"/>
        </w:rPr>
        <w:t xml:space="preserve"> of the Commission’s rules, 47 CFR §§ 0.91, 0.291, </w:t>
      </w:r>
      <w:r w:rsidRPr="0082232E">
        <w:rPr>
          <w:rFonts w:ascii="TimesNewRomanPSMT" w:hAnsi="TimesNewRomanPSMT" w:cs="TimesNewRomanPSMT"/>
          <w:snapToGrid/>
          <w:kern w:val="0"/>
          <w:szCs w:val="22"/>
        </w:rPr>
        <w:t xml:space="preserve">that section 69.3(e)(6) and (i)(1) and of the Commission’s rules, 47 CFR </w:t>
      </w:r>
      <w:r w:rsidRPr="0082232E" w:rsidR="00920531">
        <w:rPr>
          <w:rFonts w:ascii="TimesNewRomanPSMT" w:hAnsi="TimesNewRomanPSMT" w:cs="TimesNewRomanPSMT"/>
          <w:snapToGrid/>
          <w:kern w:val="0"/>
          <w:szCs w:val="22"/>
        </w:rPr>
        <w:t>§</w:t>
      </w:r>
      <w:r w:rsidR="00920531">
        <w:rPr>
          <w:rFonts w:ascii="TimesNewRomanPSMT" w:hAnsi="TimesNewRomanPSMT" w:cs="TimesNewRomanPSMT"/>
          <w:snapToGrid/>
          <w:kern w:val="0"/>
          <w:szCs w:val="22"/>
        </w:rPr>
        <w:t> </w:t>
      </w:r>
      <w:r w:rsidRPr="0082232E">
        <w:rPr>
          <w:rFonts w:ascii="TimesNewRomanPSMT" w:hAnsi="TimesNewRomanPSMT" w:cs="TimesNewRomanPSMT"/>
          <w:snapToGrid/>
          <w:kern w:val="0"/>
          <w:szCs w:val="22"/>
        </w:rPr>
        <w:t xml:space="preserve">69.3(e)(6) and (i)(1), </w:t>
      </w:r>
      <w:r w:rsidR="00F3698F">
        <w:rPr>
          <w:rFonts w:ascii="TimesNewRomanPSMT" w:hAnsi="TimesNewRomanPSMT" w:cs="TimesNewRomanPSMT"/>
          <w:snapToGrid/>
          <w:kern w:val="0"/>
          <w:szCs w:val="22"/>
        </w:rPr>
        <w:t>ARE</w:t>
      </w:r>
      <w:r w:rsidRPr="0082232E">
        <w:rPr>
          <w:rFonts w:ascii="TimesNewRomanPSMT" w:hAnsi="TimesNewRomanPSMT" w:cs="TimesNewRomanPSMT"/>
          <w:snapToGrid/>
          <w:kern w:val="0"/>
          <w:szCs w:val="22"/>
        </w:rPr>
        <w:t xml:space="preserve"> WAIVED for the limited purposes specified herein</w:t>
      </w:r>
      <w:r w:rsidRPr="001F75F0" w:rsidR="001F75F0">
        <w:rPr>
          <w:szCs w:val="24"/>
        </w:rPr>
        <w:t xml:space="preserve"> </w:t>
      </w:r>
      <w:r w:rsidR="001F75F0">
        <w:rPr>
          <w:szCs w:val="24"/>
        </w:rPr>
        <w:t xml:space="preserve">and </w:t>
      </w:r>
      <w:r w:rsidRPr="0082232E" w:rsidR="001F75F0">
        <w:rPr>
          <w:szCs w:val="24"/>
        </w:rPr>
        <w:t>this Order IS ADOPTED.</w:t>
      </w:r>
      <w:r w:rsidR="001C0538">
        <w:t xml:space="preserve">  </w:t>
      </w:r>
      <w:r>
        <w:t xml:space="preserve"> </w:t>
      </w:r>
    </w:p>
    <w:p w:rsidR="00F20375" w:rsidP="00F854A6" w14:paraId="7BFFB978" w14:textId="1BCDFCFC">
      <w:pPr>
        <w:pStyle w:val="ParaNum"/>
        <w:widowControl/>
      </w:pPr>
      <w:bookmarkStart w:id="9" w:name="_Hlk162436104"/>
      <w:r w:rsidRPr="00F20375">
        <w:t xml:space="preserve">IT IS FURTHER ORDERED, that Filer Mutual Telephone Company </w:t>
      </w:r>
      <w:r>
        <w:t xml:space="preserve">immediately </w:t>
      </w:r>
      <w:r w:rsidRPr="00F20375">
        <w:t xml:space="preserve">notify  </w:t>
      </w:r>
      <w:r w:rsidR="00951278">
        <w:t xml:space="preserve">the National Exchange Carrier Association, Inc. </w:t>
      </w:r>
      <w:r w:rsidRPr="00F20375">
        <w:t xml:space="preserve">regarding </w:t>
      </w:r>
      <w:r w:rsidR="00BE113D">
        <w:t>the extent to which</w:t>
      </w:r>
      <w:r w:rsidRPr="00F20375">
        <w:t xml:space="preserve"> it is withdrawing its business data service offerings from NECA F.C.C. Tariff No</w:t>
      </w:r>
      <w:r w:rsidR="009C5B7E">
        <w:t>s</w:t>
      </w:r>
      <w:r w:rsidRPr="00F20375">
        <w:t xml:space="preserve">. 5 and 6.   </w:t>
      </w:r>
    </w:p>
    <w:p w:rsidR="00977A10" w:rsidP="00F854A6" w14:paraId="06980819" w14:textId="05AD51C9">
      <w:pPr>
        <w:pStyle w:val="ParaNum"/>
        <w:widowControl/>
      </w:pPr>
      <w:r>
        <w:t>IT IS FURTHER ORDERED, that</w:t>
      </w:r>
      <w:r w:rsidR="00951278">
        <w:t>, upon receipt of notification from Filer Mutual Telephone Company,</w:t>
      </w:r>
      <w:r w:rsidR="00BE113D">
        <w:t xml:space="preserve"> </w:t>
      </w:r>
      <w:r>
        <w:t>the National Exchange Carrier Association, Inc.</w:t>
      </w:r>
      <w:r w:rsidR="00BE113D">
        <w:t xml:space="preserve"> </w:t>
      </w:r>
      <w:r>
        <w:t xml:space="preserve">shall remove </w:t>
      </w:r>
      <w:r w:rsidR="00F854A6">
        <w:t xml:space="preserve">relevant </w:t>
      </w:r>
      <w:r>
        <w:t xml:space="preserve">business data service offerings </w:t>
      </w:r>
      <w:r w:rsidR="00E668A0">
        <w:t xml:space="preserve">provided by Filer Mutual Telephone Company </w:t>
      </w:r>
      <w:r w:rsidR="00BE113D">
        <w:t xml:space="preserve">from </w:t>
      </w:r>
      <w:r w:rsidR="00951278">
        <w:t>the National Exchange Carrier Association, Inc.</w:t>
      </w:r>
      <w:r w:rsidR="00951278">
        <w:t xml:space="preserve"> </w:t>
      </w:r>
      <w:r w:rsidR="00BE113D">
        <w:t>F.C.C. Tariffs Nos. 5 and 6</w:t>
      </w:r>
      <w:r>
        <w:rPr>
          <w:snapToGrid/>
          <w:kern w:val="0"/>
          <w:szCs w:val="22"/>
        </w:rPr>
        <w:t xml:space="preserve">. </w:t>
      </w:r>
    </w:p>
    <w:bookmarkEnd w:id="9"/>
    <w:p w:rsidR="0082232E" w:rsidRPr="0082232E" w:rsidP="0082232E" w14:paraId="43370F1D" w14:textId="7B5E518E">
      <w:pPr>
        <w:widowControl/>
        <w:numPr>
          <w:ilvl w:val="0"/>
          <w:numId w:val="2"/>
        </w:numPr>
        <w:tabs>
          <w:tab w:val="clear" w:pos="1080"/>
          <w:tab w:val="num" w:pos="1440"/>
        </w:tabs>
        <w:spacing w:after="120"/>
      </w:pPr>
      <w:r w:rsidRPr="0082232E">
        <w:t xml:space="preserve">IT IS FURTHER ORDERED, that pursuant to section 1.102(b)(1) of the Commission’s rules, 47 CFR </w:t>
      </w:r>
      <w:r w:rsidRPr="0082232E" w:rsidR="00920531">
        <w:t>§</w:t>
      </w:r>
      <w:r w:rsidR="00920531">
        <w:t> </w:t>
      </w:r>
      <w:r w:rsidRPr="0082232E">
        <w:t xml:space="preserve">1.102(b)(1), this Order SHALL BE EFFECTIVE upon release. </w:t>
      </w:r>
    </w:p>
    <w:p w:rsidR="0082232E" w:rsidRPr="0082232E" w:rsidP="0082232E" w14:paraId="324BA321" w14:textId="77777777">
      <w:pPr>
        <w:spacing w:after="120"/>
        <w:ind w:left="3600" w:firstLine="720"/>
        <w:contextualSpacing/>
        <w:rPr>
          <w:highlight w:val="yellow"/>
        </w:rPr>
      </w:pPr>
      <w:r w:rsidRPr="0082232E">
        <w:t>FEDERAL COMMUNICATIONS COMMISSION</w:t>
      </w:r>
    </w:p>
    <w:p w:rsidR="0082232E" w:rsidRPr="0082232E" w:rsidP="0082232E" w14:paraId="1ABDE96E" w14:textId="77777777">
      <w:pPr>
        <w:spacing w:after="120"/>
        <w:ind w:firstLine="720"/>
        <w:contextualSpacing/>
        <w:rPr>
          <w:szCs w:val="22"/>
        </w:rPr>
      </w:pPr>
    </w:p>
    <w:p w:rsidR="0082232E" w:rsidRPr="0082232E" w:rsidP="0082232E" w14:paraId="02B0DC88" w14:textId="77777777">
      <w:pPr>
        <w:spacing w:after="120"/>
        <w:contextualSpacing/>
        <w:rPr>
          <w:szCs w:val="22"/>
        </w:rPr>
      </w:pPr>
    </w:p>
    <w:p w:rsidR="0082232E" w:rsidRPr="0082232E" w:rsidP="0082232E" w14:paraId="56091064" w14:textId="77777777">
      <w:pPr>
        <w:spacing w:after="120"/>
        <w:ind w:firstLine="720"/>
        <w:contextualSpacing/>
        <w:rPr>
          <w:szCs w:val="22"/>
        </w:rPr>
      </w:pPr>
    </w:p>
    <w:p w:rsidR="0082232E" w:rsidRPr="0082232E" w:rsidP="0082232E" w14:paraId="34C6B502" w14:textId="77777777">
      <w:pPr>
        <w:contextualSpacing/>
        <w:rPr>
          <w:szCs w:val="22"/>
        </w:rPr>
      </w:pPr>
      <w:r w:rsidRPr="0082232E">
        <w:rPr>
          <w:szCs w:val="22"/>
        </w:rPr>
        <w:tab/>
      </w:r>
      <w:r w:rsidRPr="0082232E">
        <w:rPr>
          <w:szCs w:val="22"/>
        </w:rPr>
        <w:tab/>
      </w:r>
      <w:r w:rsidRPr="0082232E">
        <w:rPr>
          <w:szCs w:val="22"/>
        </w:rPr>
        <w:tab/>
      </w:r>
      <w:r w:rsidRPr="0082232E">
        <w:rPr>
          <w:szCs w:val="22"/>
        </w:rPr>
        <w:tab/>
      </w:r>
      <w:r w:rsidRPr="0082232E">
        <w:rPr>
          <w:szCs w:val="22"/>
        </w:rPr>
        <w:tab/>
      </w:r>
      <w:r w:rsidRPr="0082232E">
        <w:rPr>
          <w:szCs w:val="22"/>
        </w:rPr>
        <w:tab/>
        <w:t>Victoria S. Goldberg</w:t>
      </w:r>
    </w:p>
    <w:p w:rsidR="0082232E" w:rsidRPr="0082232E" w:rsidP="0082232E" w14:paraId="461ACEB0" w14:textId="77777777">
      <w:pPr>
        <w:contextualSpacing/>
        <w:rPr>
          <w:szCs w:val="22"/>
        </w:rPr>
      </w:pPr>
      <w:r w:rsidRPr="0082232E">
        <w:rPr>
          <w:szCs w:val="22"/>
        </w:rPr>
        <w:tab/>
      </w:r>
      <w:r w:rsidRPr="0082232E">
        <w:rPr>
          <w:szCs w:val="22"/>
        </w:rPr>
        <w:tab/>
      </w:r>
      <w:r w:rsidRPr="0082232E">
        <w:rPr>
          <w:szCs w:val="22"/>
        </w:rPr>
        <w:tab/>
      </w:r>
      <w:r w:rsidRPr="0082232E">
        <w:rPr>
          <w:szCs w:val="22"/>
        </w:rPr>
        <w:tab/>
      </w:r>
      <w:r w:rsidRPr="0082232E">
        <w:rPr>
          <w:szCs w:val="22"/>
        </w:rPr>
        <w:tab/>
      </w:r>
      <w:r w:rsidRPr="0082232E">
        <w:rPr>
          <w:szCs w:val="22"/>
        </w:rPr>
        <w:tab/>
        <w:t xml:space="preserve">Chief, Pricing Policy Division </w:t>
      </w:r>
    </w:p>
    <w:p w:rsidR="00CB45FE" w:rsidRPr="00656A7A" w:rsidP="0082232E" w14:paraId="653C7E6C" w14:textId="12C942E8">
      <w:pPr>
        <w:widowControl/>
        <w:ind w:left="3600" w:firstLine="720"/>
      </w:pPr>
      <w:r w:rsidRPr="0082232E">
        <w:t>Wireline Competition Bureau</w:t>
      </w:r>
    </w:p>
    <w:sectPr w:rsidSect="00FE7799">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ptos">
    <w:charset w:val="00"/>
    <w:family w:val="swiss"/>
    <w:pitch w:val="variable"/>
    <w:sig w:usb0="20000287" w:usb1="00000003"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211229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6696B4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2D45ED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4D8E5E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7799" w14:paraId="77612C0C" w14:textId="77777777">
      <w:r>
        <w:separator/>
      </w:r>
    </w:p>
  </w:footnote>
  <w:footnote w:type="continuationSeparator" w:id="1">
    <w:p w:rsidR="00FE7799" w:rsidP="00C721AC" w14:paraId="6F7243F8" w14:textId="77777777">
      <w:pPr>
        <w:spacing w:before="120"/>
        <w:rPr>
          <w:sz w:val="20"/>
        </w:rPr>
      </w:pPr>
      <w:r>
        <w:rPr>
          <w:sz w:val="20"/>
        </w:rPr>
        <w:t xml:space="preserve">(Continued from previous page)  </w:t>
      </w:r>
      <w:r>
        <w:rPr>
          <w:sz w:val="20"/>
        </w:rPr>
        <w:separator/>
      </w:r>
    </w:p>
  </w:footnote>
  <w:footnote w:type="continuationNotice" w:id="2">
    <w:p w:rsidR="00FE7799" w:rsidP="00C721AC" w14:paraId="4687801E" w14:textId="77777777">
      <w:pPr>
        <w:jc w:val="right"/>
        <w:rPr>
          <w:sz w:val="20"/>
        </w:rPr>
      </w:pPr>
      <w:r>
        <w:rPr>
          <w:sz w:val="20"/>
        </w:rPr>
        <w:t>(continued….)</w:t>
      </w:r>
    </w:p>
  </w:footnote>
  <w:footnote w:id="3">
    <w:p w:rsidR="00F71F3B" w:rsidP="00F71F3B" w14:paraId="3E23CD0C" w14:textId="77777777">
      <w:pPr>
        <w:pStyle w:val="FootnoteText"/>
      </w:pPr>
      <w:r>
        <w:rPr>
          <w:rStyle w:val="FootnoteReference"/>
        </w:rPr>
        <w:footnoteRef/>
      </w:r>
      <w:r>
        <w:t xml:space="preserve"> Letter from Bob Kraut, General Manager, Filer Mutual Telephone Company, to Marlene H. Dortch, Secretary, FCC, WC Docket Nos. 10-90, 17-144 (filed Mar. 14, 2024) (Petition); </w:t>
      </w:r>
      <w:r w:rsidRPr="00AE261E">
        <w:t>Letter from Bob Kraut, General Manager, Filer Mutual Telephone Company, to Marlene H. Dortch, Secretary, FCC, WC Docket Nos. 10-90, 17-144 (filed Mar.</w:t>
      </w:r>
      <w:r>
        <w:t xml:space="preserve"> 20</w:t>
      </w:r>
      <w:r w:rsidRPr="00AE261E">
        <w:t>, 2024)</w:t>
      </w:r>
      <w:r>
        <w:t xml:space="preserve"> (Filer Mutual Mar. 20 Letter); Letter from</w:t>
      </w:r>
      <w:r w:rsidRPr="00B2199E">
        <w:t xml:space="preserve"> Bob Kraut, General Manager, Filer Mutual Telephone Company, to Marlene H. Dortch, Secretary, FCC, WC Docket Nos. 10-90, 17-144 (filed Mar. </w:t>
      </w:r>
      <w:r>
        <w:t>22</w:t>
      </w:r>
      <w:r w:rsidRPr="00B2199E">
        <w:t>, 2024)</w:t>
      </w:r>
      <w:r>
        <w:t xml:space="preserve"> (Filer Mutual Mar. 22 Letter);</w:t>
      </w:r>
      <w:r w:rsidRPr="00AE261E">
        <w:t xml:space="preserve"> </w:t>
      </w:r>
      <w:r w:rsidRPr="001E15B4">
        <w:rPr>
          <w:i/>
          <w:iCs/>
        </w:rPr>
        <w:t>see</w:t>
      </w:r>
      <w:r>
        <w:t xml:space="preserve"> 47 CFR §§ 1.3, 69.3(e)(6), (i)(1). </w:t>
      </w:r>
    </w:p>
  </w:footnote>
  <w:footnote w:id="4">
    <w:p w:rsidR="00B571E6" w14:paraId="72075F60" w14:textId="069B0B3C">
      <w:pPr>
        <w:pStyle w:val="FootnoteText"/>
      </w:pPr>
      <w:r>
        <w:rPr>
          <w:rStyle w:val="FootnoteReference"/>
        </w:rPr>
        <w:footnoteRef/>
      </w:r>
      <w:r>
        <w:t xml:space="preserve"> 47 CFR </w:t>
      </w:r>
      <w:r w:rsidR="005E60F0">
        <w:t>§§ </w:t>
      </w:r>
      <w:r>
        <w:t>69.3(e)(6), (i)(1)</w:t>
      </w:r>
      <w:r w:rsidR="006A3260">
        <w:t>.</w:t>
      </w:r>
    </w:p>
  </w:footnote>
  <w:footnote w:id="5">
    <w:p w:rsidR="003412D6" w14:paraId="7C220515" w14:textId="7F71AF07">
      <w:pPr>
        <w:pStyle w:val="FootnoteText"/>
      </w:pPr>
      <w:r>
        <w:rPr>
          <w:rStyle w:val="FootnoteReference"/>
        </w:rPr>
        <w:footnoteRef/>
      </w:r>
      <w:r>
        <w:t xml:space="preserve"> Petition at 1. </w:t>
      </w:r>
    </w:p>
  </w:footnote>
  <w:footnote w:id="6">
    <w:p w:rsidR="006A58D5" w:rsidP="006A58D5" w14:paraId="0BCB70F1" w14:textId="050AAD21">
      <w:pPr>
        <w:pStyle w:val="FootnoteText"/>
      </w:pPr>
      <w:r>
        <w:rPr>
          <w:rStyle w:val="FootnoteReference"/>
        </w:rPr>
        <w:footnoteRef/>
      </w:r>
      <w:r>
        <w:t xml:space="preserve"> </w:t>
      </w:r>
      <w:r w:rsidRPr="003E2C87" w:rsidR="003E2C87">
        <w:rPr>
          <w:i/>
          <w:iCs/>
        </w:rPr>
        <w:t>See</w:t>
      </w:r>
      <w:r w:rsidR="003E2C87">
        <w:t xml:space="preserve"> 47 CFR </w:t>
      </w:r>
      <w:r w:rsidR="005E60F0">
        <w:t>§ </w:t>
      </w:r>
      <w:r w:rsidR="003E2C87">
        <w:t xml:space="preserve">1.3. </w:t>
      </w:r>
      <w:r w:rsidR="00B72E44">
        <w:t xml:space="preserve"> </w:t>
      </w:r>
      <w:r w:rsidRPr="00B14A76" w:rsidR="00B923E5">
        <w:t>The NECA traffic-sensitive pool is contained in NECA F.C.C. Tariff No. 5.</w:t>
      </w:r>
      <w:r w:rsidR="00B923E5">
        <w:t xml:space="preserve"> </w:t>
      </w:r>
      <w:r w:rsidR="00E1173F">
        <w:t xml:space="preserve"> Other BDS offerings are tariffed in NECA F.C.C. Tariff No. 6.  </w:t>
      </w:r>
    </w:p>
  </w:footnote>
  <w:footnote w:id="7">
    <w:p w:rsidR="006A58D5" w:rsidRPr="003C324B" w:rsidP="006A58D5" w14:paraId="21BEBDC9" w14:textId="7A09426C">
      <w:pPr>
        <w:pStyle w:val="FootnoteText"/>
        <w:rPr>
          <w:rFonts w:eastAsiaTheme="minorHAnsi"/>
          <w:kern w:val="2"/>
          <w14:ligatures w14:val="standardContextual"/>
        </w:rPr>
      </w:pPr>
      <w:r w:rsidRPr="00A731D7">
        <w:rPr>
          <w:rStyle w:val="FootnoteReference"/>
        </w:rPr>
        <w:footnoteRef/>
      </w:r>
      <w:r w:rsidRPr="00A731D7">
        <w:t xml:space="preserve"> </w:t>
      </w:r>
      <w:r w:rsidRPr="00A36A9C">
        <w:rPr>
          <w:rFonts w:eastAsiaTheme="minorHAnsi"/>
          <w:i/>
          <w:iCs/>
          <w:kern w:val="2"/>
          <w14:ligatures w14:val="standardContextual"/>
        </w:rPr>
        <w:t>Regulation of Business Data Services for Rate-of-Return Local Exchange Carriers et al</w:t>
      </w:r>
      <w:r w:rsidRPr="00A36A9C">
        <w:rPr>
          <w:rFonts w:eastAsiaTheme="minorHAnsi"/>
          <w:kern w:val="2"/>
          <w14:ligatures w14:val="standardContextual"/>
        </w:rPr>
        <w:t>., WC Docket No. 17-144 et al., Report and Order, Further Notice of Proposed Rulemaking, and Second Further Notice of Proposed Rulemaking, 33 FCC Rcd 10403</w:t>
      </w:r>
      <w:r>
        <w:rPr>
          <w:rFonts w:eastAsiaTheme="minorHAnsi"/>
          <w:kern w:val="2"/>
          <w14:ligatures w14:val="standardContextual"/>
        </w:rPr>
        <w:t>, 10404, para. 1</w:t>
      </w:r>
      <w:r w:rsidRPr="00A36A9C">
        <w:rPr>
          <w:rFonts w:eastAsiaTheme="minorHAnsi"/>
          <w:kern w:val="2"/>
          <w14:ligatures w14:val="standardContextual"/>
        </w:rPr>
        <w:t xml:space="preserve"> (2018) (</w:t>
      </w:r>
      <w:bookmarkStart w:id="0" w:name="_Hlk161830333"/>
      <w:r w:rsidRPr="00A36A9C">
        <w:rPr>
          <w:rFonts w:eastAsiaTheme="minorHAnsi"/>
          <w:i/>
          <w:iCs/>
          <w:kern w:val="2"/>
          <w14:ligatures w14:val="standardContextual"/>
        </w:rPr>
        <w:t>Rate-of-Return BDS Order</w:t>
      </w:r>
      <w:bookmarkEnd w:id="0"/>
      <w:r w:rsidRPr="00A36A9C">
        <w:rPr>
          <w:rFonts w:eastAsiaTheme="minorHAnsi"/>
          <w:kern w:val="2"/>
          <w14:ligatures w14:val="standardContextual"/>
        </w:rPr>
        <w:t>)</w:t>
      </w:r>
      <w:r>
        <w:rPr>
          <w:rFonts w:eastAsiaTheme="minorHAnsi"/>
          <w:kern w:val="2"/>
          <w14:ligatures w14:val="standardContextual"/>
        </w:rPr>
        <w:t xml:space="preserve">; 47 CFR </w:t>
      </w:r>
      <w:r w:rsidR="005E60F0">
        <w:rPr>
          <w:rFonts w:eastAsiaTheme="minorHAnsi"/>
          <w:kern w:val="2"/>
          <w14:ligatures w14:val="standardContextual"/>
        </w:rPr>
        <w:t>§ </w:t>
      </w:r>
      <w:r>
        <w:rPr>
          <w:rFonts w:eastAsiaTheme="minorHAnsi"/>
          <w:kern w:val="2"/>
          <w14:ligatures w14:val="standardContextual"/>
        </w:rPr>
        <w:t>61.50</w:t>
      </w:r>
      <w:r w:rsidR="000A2126">
        <w:rPr>
          <w:rFonts w:eastAsiaTheme="minorHAnsi"/>
          <w:kern w:val="2"/>
          <w14:ligatures w14:val="standardContextual"/>
        </w:rPr>
        <w:t>;</w:t>
      </w:r>
      <w:r w:rsidRPr="000A2126" w:rsidR="000A2126">
        <w:rPr>
          <w:rFonts w:eastAsiaTheme="minorHAnsi"/>
          <w:kern w:val="2"/>
          <w14:ligatures w14:val="standardContextual"/>
        </w:rPr>
        <w:t xml:space="preserve"> </w:t>
      </w:r>
      <w:r w:rsidRPr="000A2126" w:rsidR="000A2126">
        <w:rPr>
          <w:rFonts w:eastAsiaTheme="minorHAnsi"/>
          <w:i/>
          <w:iCs/>
          <w:kern w:val="2"/>
          <w14:ligatures w14:val="standardContextual"/>
        </w:rPr>
        <w:t>see</w:t>
      </w:r>
      <w:r w:rsidRPr="000A2126" w:rsidR="000A2126">
        <w:rPr>
          <w:rFonts w:eastAsiaTheme="minorHAnsi"/>
          <w:kern w:val="2"/>
          <w14:ligatures w14:val="standardContextual"/>
        </w:rPr>
        <w:t xml:space="preserve"> </w:t>
      </w:r>
      <w:r w:rsidR="00FB2FA8">
        <w:rPr>
          <w:rFonts w:eastAsiaTheme="minorHAnsi"/>
          <w:kern w:val="2"/>
          <w14:ligatures w14:val="standardContextual"/>
        </w:rPr>
        <w:t>47 CFR</w:t>
      </w:r>
      <w:r w:rsidRPr="000A2126" w:rsidR="005E60F0">
        <w:rPr>
          <w:rFonts w:eastAsiaTheme="minorHAnsi"/>
          <w:kern w:val="2"/>
          <w14:ligatures w14:val="standardContextual"/>
        </w:rPr>
        <w:t>§</w:t>
      </w:r>
      <w:r w:rsidR="005E60F0">
        <w:rPr>
          <w:rFonts w:eastAsiaTheme="minorHAnsi"/>
          <w:kern w:val="2"/>
          <w14:ligatures w14:val="standardContextual"/>
        </w:rPr>
        <w:t> </w:t>
      </w:r>
      <w:r w:rsidRPr="000A2126" w:rsidR="000A2126">
        <w:rPr>
          <w:rFonts w:eastAsiaTheme="minorHAnsi"/>
          <w:kern w:val="2"/>
          <w14:ligatures w14:val="standardContextual"/>
        </w:rPr>
        <w:t>69.801(a)</w:t>
      </w:r>
      <w:r w:rsidR="000A2126">
        <w:rPr>
          <w:rFonts w:eastAsiaTheme="minorHAnsi"/>
          <w:kern w:val="2"/>
          <w14:ligatures w14:val="standardContextual"/>
        </w:rPr>
        <w:t xml:space="preserve"> (defining business data services)</w:t>
      </w:r>
      <w:r w:rsidRPr="000A2126" w:rsidR="000A2126">
        <w:rPr>
          <w:rFonts w:eastAsiaTheme="minorHAnsi"/>
          <w:kern w:val="2"/>
          <w14:ligatures w14:val="standardContextual"/>
        </w:rPr>
        <w:t xml:space="preserve">.  </w:t>
      </w:r>
    </w:p>
  </w:footnote>
  <w:footnote w:id="8">
    <w:p w:rsidR="001F5297" w14:paraId="3B94C629" w14:textId="58E590E6">
      <w:pPr>
        <w:pStyle w:val="FootnoteText"/>
      </w:pPr>
      <w:r>
        <w:rPr>
          <w:rStyle w:val="FootnoteReference"/>
        </w:rPr>
        <w:footnoteRef/>
      </w:r>
      <w:r>
        <w:t xml:space="preserve"> </w:t>
      </w:r>
      <w:r w:rsidRPr="00480BAC">
        <w:rPr>
          <w:i/>
        </w:rPr>
        <w:t>Rate-of-Return BDS Order</w:t>
      </w:r>
      <w:r w:rsidRPr="00480BAC">
        <w:rPr>
          <w:iCs/>
        </w:rPr>
        <w:t xml:space="preserve">, 33 FCC Rcd </w:t>
      </w:r>
      <w:r w:rsidRPr="00086E2E">
        <w:t>at</w:t>
      </w:r>
      <w:r>
        <w:t xml:space="preserve"> 10405, para. 4. </w:t>
      </w:r>
    </w:p>
  </w:footnote>
  <w:footnote w:id="9">
    <w:p w:rsidR="000328A7" w:rsidP="000328A7" w14:paraId="51E3F9E4" w14:textId="50463473">
      <w:pPr>
        <w:pStyle w:val="FootnoteText"/>
      </w:pPr>
      <w:r>
        <w:rPr>
          <w:rStyle w:val="FootnoteReference"/>
        </w:rPr>
        <w:footnoteRef/>
      </w:r>
      <w:r>
        <w:t xml:space="preserve"> </w:t>
      </w:r>
      <w:bookmarkStart w:id="1" w:name="_Hlk162004481"/>
      <w:r w:rsidR="00FD0068">
        <w:rPr>
          <w:i/>
          <w:iCs/>
        </w:rPr>
        <w:t>Id.</w:t>
      </w:r>
      <w:r w:rsidRPr="0059298E">
        <w:t xml:space="preserve"> at 10413, para. 2</w:t>
      </w:r>
      <w:r>
        <w:t xml:space="preserve">2; 47 CFR </w:t>
      </w:r>
      <w:r w:rsidR="005E60F0">
        <w:t>§ </w:t>
      </w:r>
      <w:r>
        <w:t xml:space="preserve">61.50(a) </w:t>
      </w:r>
      <w:bookmarkEnd w:id="1"/>
      <w:r>
        <w:t>(“A rate-of-return carrier may elect to offer business data services subject to incentive regulation pursuant to this section [section 61.50] only if all affiliated rate-of-return carriers meeting the requirements of…[section 61.50(b)]…make the election. A carrier’s election under this section is irrevocable.”).</w:t>
      </w:r>
    </w:p>
  </w:footnote>
  <w:footnote w:id="10">
    <w:p w:rsidR="000328A7" w:rsidP="000328A7" w14:paraId="31F672A0" w14:textId="77777777">
      <w:pPr>
        <w:pStyle w:val="FootnoteText"/>
      </w:pPr>
      <w:r>
        <w:rPr>
          <w:rStyle w:val="FootnoteReference"/>
        </w:rPr>
        <w:footnoteRef/>
      </w:r>
      <w:r>
        <w:t xml:space="preserve"> </w:t>
      </w:r>
      <w:r w:rsidRPr="0059298E">
        <w:rPr>
          <w:i/>
          <w:iCs/>
        </w:rPr>
        <w:t>Rate-of-Return BDS Order</w:t>
      </w:r>
      <w:r w:rsidRPr="0059298E">
        <w:t>, 33 FCC Rcd at 10413, para. 2</w:t>
      </w:r>
      <w:r>
        <w:t>5.</w:t>
      </w:r>
    </w:p>
  </w:footnote>
  <w:footnote w:id="11">
    <w:p w:rsidR="000F5795" w:rsidP="000F5795" w14:paraId="602EA2F0" w14:textId="7D07A72B">
      <w:pPr>
        <w:pStyle w:val="FootnoteText"/>
      </w:pPr>
      <w:r>
        <w:rPr>
          <w:rStyle w:val="FootnoteReference"/>
        </w:rPr>
        <w:footnoteRef/>
      </w:r>
      <w:r>
        <w:t xml:space="preserve"> </w:t>
      </w:r>
      <w:bookmarkStart w:id="2" w:name="_Hlk160190479"/>
      <w:r w:rsidR="00B32688">
        <w:rPr>
          <w:i/>
        </w:rPr>
        <w:t>Id.</w:t>
      </w:r>
      <w:r w:rsidRPr="00480BAC" w:rsidR="00480BAC">
        <w:rPr>
          <w:iCs/>
        </w:rPr>
        <w:t xml:space="preserve"> </w:t>
      </w:r>
      <w:r w:rsidRPr="00086E2E">
        <w:t>at</w:t>
      </w:r>
      <w:r>
        <w:t xml:space="preserve"> </w:t>
      </w:r>
      <w:bookmarkEnd w:id="2"/>
      <w:r>
        <w:t xml:space="preserve">10412-13, para. 23. </w:t>
      </w:r>
    </w:p>
  </w:footnote>
  <w:footnote w:id="12">
    <w:p w:rsidR="000F5795" w:rsidP="000F5795" w14:paraId="782DCA58" w14:textId="77777777">
      <w:pPr>
        <w:pStyle w:val="FootnoteText"/>
      </w:pPr>
      <w:r>
        <w:rPr>
          <w:rStyle w:val="FootnoteReference"/>
        </w:rPr>
        <w:footnoteRef/>
      </w:r>
      <w:r>
        <w:t xml:space="preserve"> </w:t>
      </w:r>
      <w:r w:rsidRPr="0059298E">
        <w:rPr>
          <w:i/>
          <w:iCs/>
        </w:rPr>
        <w:t>Id</w:t>
      </w:r>
      <w:r>
        <w:t xml:space="preserve">. at 10411, para. 20. </w:t>
      </w:r>
    </w:p>
  </w:footnote>
  <w:footnote w:id="13">
    <w:p w:rsidR="0061572B" w14:paraId="03891F8D" w14:textId="2E789BD4">
      <w:pPr>
        <w:pStyle w:val="FootnoteText"/>
      </w:pPr>
      <w:r>
        <w:rPr>
          <w:rStyle w:val="FootnoteReference"/>
        </w:rPr>
        <w:footnoteRef/>
      </w:r>
      <w:r>
        <w:t xml:space="preserve"> </w:t>
      </w:r>
      <w:r w:rsidR="00B32688">
        <w:rPr>
          <w:i/>
          <w:iCs/>
        </w:rPr>
        <w:t>Id.</w:t>
      </w:r>
      <w:r w:rsidRPr="00623282">
        <w:t xml:space="preserve"> at 104</w:t>
      </w:r>
      <w:r>
        <w:t>16-17, para. 34.</w:t>
      </w:r>
      <w:r w:rsidR="00B72E44">
        <w:t xml:space="preserve"> </w:t>
      </w:r>
      <w:r>
        <w:t xml:space="preserve"> </w:t>
      </w:r>
      <w:r w:rsidRPr="00B14A76">
        <w:t xml:space="preserve">The </w:t>
      </w:r>
      <w:r w:rsidR="006B725C">
        <w:t xml:space="preserve">rates for carriers participating in the </w:t>
      </w:r>
      <w:r w:rsidRPr="00B14A76">
        <w:t xml:space="preserve">NECA traffic-sensitive pool </w:t>
      </w:r>
      <w:r w:rsidR="006B725C">
        <w:t>are</w:t>
      </w:r>
      <w:r w:rsidRPr="00B14A76">
        <w:t xml:space="preserve"> contained in NECA F.C.C. Tariff No. 5.</w:t>
      </w:r>
      <w:r>
        <w:t xml:space="preserve">  </w:t>
      </w:r>
    </w:p>
  </w:footnote>
  <w:footnote w:id="14">
    <w:p w:rsidR="001802FE" w:rsidP="001802FE" w14:paraId="2DDD5F8B" w14:textId="30570C80">
      <w:pPr>
        <w:pStyle w:val="FootnoteText"/>
      </w:pPr>
      <w:r>
        <w:rPr>
          <w:rStyle w:val="FootnoteReference"/>
        </w:rPr>
        <w:footnoteRef/>
      </w:r>
      <w:r>
        <w:t xml:space="preserve"> </w:t>
      </w:r>
      <w:r w:rsidRPr="0041444A" w:rsidR="0041444A">
        <w:rPr>
          <w:i/>
          <w:iCs/>
        </w:rPr>
        <w:t>Rate-of-Return BDS Order</w:t>
      </w:r>
      <w:r w:rsidR="0041444A">
        <w:t xml:space="preserve">, </w:t>
      </w:r>
      <w:r w:rsidRPr="0041444A" w:rsidR="0041444A">
        <w:t xml:space="preserve">33 FCC Rcd </w:t>
      </w:r>
      <w:r w:rsidRPr="0041444A">
        <w:t>10415</w:t>
      </w:r>
      <w:r>
        <w:t xml:space="preserve">, para. 30; 47 CFR </w:t>
      </w:r>
      <w:r w:rsidR="005E60F0">
        <w:t>§ </w:t>
      </w:r>
      <w:r>
        <w:t xml:space="preserve">61.50(d).  </w:t>
      </w:r>
    </w:p>
  </w:footnote>
  <w:footnote w:id="15">
    <w:p w:rsidR="00F26A5B" w:rsidRPr="00C43836" w:rsidP="00F26A5B" w14:paraId="1827D49C" w14:textId="1687537C">
      <w:pPr>
        <w:pStyle w:val="FootnoteText"/>
        <w:rPr>
          <w:iCs/>
        </w:rPr>
      </w:pPr>
      <w:r>
        <w:rPr>
          <w:rStyle w:val="FootnoteReference"/>
        </w:rPr>
        <w:footnoteRef/>
      </w:r>
      <w:r>
        <w:t xml:space="preserve"> </w:t>
      </w:r>
      <w:bookmarkStart w:id="4" w:name="_Hlk161396019"/>
      <w:r w:rsidRPr="00A731D7">
        <w:rPr>
          <w:i/>
        </w:rPr>
        <w:t>Rate-of-Return BDS Order</w:t>
      </w:r>
      <w:r w:rsidRPr="00A731D7">
        <w:rPr>
          <w:iCs/>
        </w:rPr>
        <w:t>, 33 FCC Rcd at</w:t>
      </w:r>
      <w:r>
        <w:rPr>
          <w:iCs/>
        </w:rPr>
        <w:t xml:space="preserve"> 10445, para. 119 </w:t>
      </w:r>
      <w:bookmarkEnd w:id="4"/>
      <w:r>
        <w:rPr>
          <w:iCs/>
        </w:rPr>
        <w:t xml:space="preserve">(citing 47 CFR </w:t>
      </w:r>
      <w:r w:rsidR="005E60F0">
        <w:rPr>
          <w:iCs/>
        </w:rPr>
        <w:t>§ </w:t>
      </w:r>
      <w:r>
        <w:rPr>
          <w:iCs/>
        </w:rPr>
        <w:t>69.3(e)(6), (i)(1))</w:t>
      </w:r>
      <w:r w:rsidR="00F444DF">
        <w:rPr>
          <w:iCs/>
        </w:rPr>
        <w:t>.</w:t>
      </w:r>
      <w:r>
        <w:rPr>
          <w:iCs/>
        </w:rPr>
        <w:t xml:space="preserve"> </w:t>
      </w:r>
    </w:p>
  </w:footnote>
  <w:footnote w:id="16">
    <w:p w:rsidR="00CA7F51" w14:paraId="3E0C7E25" w14:textId="4EA4EFBF">
      <w:pPr>
        <w:pStyle w:val="FootnoteText"/>
      </w:pPr>
      <w:r>
        <w:rPr>
          <w:rStyle w:val="FootnoteReference"/>
        </w:rPr>
        <w:footnoteRef/>
      </w:r>
      <w:r>
        <w:t xml:space="preserve"> 47 CFR </w:t>
      </w:r>
      <w:r w:rsidR="005E60F0">
        <w:t>§ </w:t>
      </w:r>
      <w:r w:rsidRPr="00717F70" w:rsidR="00717F70">
        <w:t>69.3(e)(6)</w:t>
      </w:r>
      <w:r w:rsidR="00B730DE">
        <w:t xml:space="preserve"> </w:t>
      </w:r>
      <w:r w:rsidR="00B730DE">
        <w:rPr>
          <w:iCs/>
        </w:rPr>
        <w:t>(“</w:t>
      </w:r>
      <w:r w:rsidRPr="007167BC" w:rsidR="00B730DE">
        <w:rPr>
          <w:iCs/>
        </w:rPr>
        <w:t xml:space="preserve">a telephone company or </w:t>
      </w:r>
      <w:r w:rsidR="00B730DE">
        <w:rPr>
          <w:iCs/>
        </w:rPr>
        <w:t xml:space="preserve">group of telephone </w:t>
      </w:r>
      <w:r w:rsidRPr="007167BC" w:rsidR="00B730DE">
        <w:rPr>
          <w:iCs/>
        </w:rPr>
        <w:t xml:space="preserve">companies </w:t>
      </w:r>
      <w:r w:rsidR="00B730DE">
        <w:rPr>
          <w:iCs/>
        </w:rPr>
        <w:t>may file a tariff that is not an association tariff…provided:</w:t>
      </w:r>
      <w:r w:rsidR="00692FE0">
        <w:rPr>
          <w:iCs/>
        </w:rPr>
        <w:t xml:space="preserve"> . . . </w:t>
      </w:r>
      <w:r w:rsidR="00B730DE">
        <w:rPr>
          <w:iCs/>
        </w:rPr>
        <w:t xml:space="preserve">a telephone company or companies </w:t>
      </w:r>
      <w:r w:rsidRPr="007167BC" w:rsidR="00B730DE">
        <w:rPr>
          <w:iCs/>
        </w:rPr>
        <w:t>that</w:t>
      </w:r>
      <w:r w:rsidR="00B730DE">
        <w:rPr>
          <w:iCs/>
        </w:rPr>
        <w:t xml:space="preserve"> </w:t>
      </w:r>
      <w:r w:rsidRPr="007167BC" w:rsidR="00B730DE">
        <w:rPr>
          <w:iCs/>
        </w:rPr>
        <w:t>elect to file such a tariff shall notify the association not later than March 1 of the year the tariff</w:t>
      </w:r>
      <w:r w:rsidR="00B730DE">
        <w:rPr>
          <w:iCs/>
        </w:rPr>
        <w:t xml:space="preserve"> </w:t>
      </w:r>
      <w:r w:rsidRPr="007167BC" w:rsidR="00B730DE">
        <w:rPr>
          <w:iCs/>
        </w:rPr>
        <w:t>becomes effective</w:t>
      </w:r>
      <w:r w:rsidR="00024E21">
        <w:rPr>
          <w:iCs/>
        </w:rPr>
        <w:t>”.</w:t>
      </w:r>
      <w:r w:rsidR="00B730DE">
        <w:rPr>
          <w:iCs/>
        </w:rPr>
        <w:t>)</w:t>
      </w:r>
      <w:r w:rsidR="00F444DF">
        <w:t>;</w:t>
      </w:r>
      <w:r w:rsidR="00B730DE">
        <w:rPr>
          <w:iCs/>
        </w:rPr>
        <w:t xml:space="preserve">47 CFR </w:t>
      </w:r>
      <w:r w:rsidR="005E60F0">
        <w:rPr>
          <w:iCs/>
        </w:rPr>
        <w:t>§ </w:t>
      </w:r>
      <w:r w:rsidR="00B730DE">
        <w:rPr>
          <w:iCs/>
        </w:rPr>
        <w:t xml:space="preserve">69.3(i)(1) (“a </w:t>
      </w:r>
      <w:r w:rsidRPr="00C43836" w:rsidR="00B730DE">
        <w:rPr>
          <w:iCs/>
        </w:rPr>
        <w:t>telephone</w:t>
      </w:r>
      <w:r w:rsidR="00B730DE">
        <w:rPr>
          <w:iCs/>
        </w:rPr>
        <w:t xml:space="preserve"> </w:t>
      </w:r>
      <w:r w:rsidRPr="00C43836" w:rsidR="00B730DE">
        <w:rPr>
          <w:iCs/>
        </w:rPr>
        <w:t>company or group of affiliated companies that participates in one or more association tariffs during</w:t>
      </w:r>
      <w:r w:rsidR="00B730DE">
        <w:rPr>
          <w:iCs/>
        </w:rPr>
        <w:t xml:space="preserve"> </w:t>
      </w:r>
      <w:r w:rsidRPr="00C43836" w:rsidR="00B730DE">
        <w:rPr>
          <w:iCs/>
        </w:rPr>
        <w:t>the current tariff year and that elects to file</w:t>
      </w:r>
      <w:r w:rsidR="00B730DE">
        <w:rPr>
          <w:iCs/>
        </w:rPr>
        <w:t>…</w:t>
      </w:r>
      <w:r w:rsidRPr="00C43836" w:rsidR="00B730DE">
        <w:rPr>
          <w:iCs/>
        </w:rPr>
        <w:t>optional incentive regulation tariffs</w:t>
      </w:r>
      <w:r w:rsidR="00B730DE">
        <w:rPr>
          <w:iCs/>
        </w:rPr>
        <w:t xml:space="preserve"> </w:t>
      </w:r>
      <w:r w:rsidRPr="00C43836" w:rsidR="00B730DE">
        <w:rPr>
          <w:iCs/>
        </w:rPr>
        <w:t>effective July 1 of the following tariff year shall notify the association by March 1 of the following</w:t>
      </w:r>
      <w:r w:rsidR="00B730DE">
        <w:rPr>
          <w:iCs/>
        </w:rPr>
        <w:t xml:space="preserve"> </w:t>
      </w:r>
      <w:r w:rsidRPr="00C43836" w:rsidR="00B730DE">
        <w:rPr>
          <w:iCs/>
        </w:rPr>
        <w:t>tariff year that it is withdrawing from association tariffs, subject to the terms of this section, to</w:t>
      </w:r>
      <w:r w:rsidR="00B730DE">
        <w:rPr>
          <w:iCs/>
        </w:rPr>
        <w:t xml:space="preserve"> </w:t>
      </w:r>
      <w:r w:rsidRPr="00C43836" w:rsidR="00B730DE">
        <w:rPr>
          <w:iCs/>
        </w:rPr>
        <w:t>participate in</w:t>
      </w:r>
      <w:r w:rsidR="00024E21">
        <w:rPr>
          <w:iCs/>
        </w:rPr>
        <w:t xml:space="preserve"> . . . </w:t>
      </w:r>
      <w:r w:rsidRPr="00C43836" w:rsidR="00B730DE">
        <w:rPr>
          <w:iCs/>
        </w:rPr>
        <w:t>optional incentive regulat</w:t>
      </w:r>
      <w:r w:rsidR="00B730DE">
        <w:rPr>
          <w:iCs/>
        </w:rPr>
        <w:t>ion.”)</w:t>
      </w:r>
      <w:r w:rsidR="00717F70">
        <w:t>.</w:t>
      </w:r>
    </w:p>
  </w:footnote>
  <w:footnote w:id="17">
    <w:p w:rsidR="005E38A3" w:rsidRPr="00A731D7" w:rsidP="005E38A3" w14:paraId="02AAEF85" w14:textId="1C2881E8">
      <w:pPr>
        <w:pStyle w:val="FootnoteText"/>
      </w:pPr>
      <w:r w:rsidRPr="00A731D7">
        <w:rPr>
          <w:rStyle w:val="FootnoteReference"/>
        </w:rPr>
        <w:footnoteRef/>
      </w:r>
      <w:r w:rsidRPr="00A731D7">
        <w:t xml:space="preserve"> </w:t>
      </w:r>
      <w:r w:rsidRPr="003122AA">
        <w:rPr>
          <w:i/>
          <w:iCs/>
        </w:rPr>
        <w:t>See</w:t>
      </w:r>
      <w:r>
        <w:t xml:space="preserve"> </w:t>
      </w:r>
      <w:r w:rsidRPr="00A731D7">
        <w:rPr>
          <w:i/>
          <w:iCs/>
        </w:rPr>
        <w:t>Connect America Fund et al</w:t>
      </w:r>
      <w:r w:rsidRPr="00A731D7">
        <w:t xml:space="preserve">., WC Docket No. 10-90 et al., Report and Order, Notice of Proposed Rulemaking, and Notice of Inquiry, FCC 23-60, </w:t>
      </w:r>
      <w:r w:rsidR="00117B10">
        <w:t>at 2</w:t>
      </w:r>
      <w:r w:rsidRPr="003122AA">
        <w:t xml:space="preserve">, para. </w:t>
      </w:r>
      <w:r>
        <w:t>2</w:t>
      </w:r>
      <w:r w:rsidRPr="003122AA">
        <w:t xml:space="preserve"> </w:t>
      </w:r>
      <w:r w:rsidRPr="00A731D7">
        <w:t>(July 24, 2023) (</w:t>
      </w:r>
      <w:r w:rsidRPr="00A731D7">
        <w:rPr>
          <w:i/>
          <w:iCs/>
        </w:rPr>
        <w:t>Enhanced A-CAM Order</w:t>
      </w:r>
      <w:r w:rsidRPr="00A731D7">
        <w:t>)</w:t>
      </w:r>
      <w:r>
        <w:t>.</w:t>
      </w:r>
      <w:r w:rsidR="00717F70">
        <w:t xml:space="preserve">  </w:t>
      </w:r>
    </w:p>
  </w:footnote>
  <w:footnote w:id="18">
    <w:p w:rsidR="005E38A3" w:rsidRPr="00A731D7" w:rsidP="005E38A3" w14:paraId="72B373F7" w14:textId="590C6AA3">
      <w:pPr>
        <w:pStyle w:val="FootnoteText"/>
      </w:pPr>
      <w:r w:rsidRPr="00A731D7">
        <w:rPr>
          <w:rStyle w:val="FootnoteReference"/>
        </w:rPr>
        <w:footnoteRef/>
      </w:r>
      <w:r w:rsidRPr="00A731D7">
        <w:t xml:space="preserve"> </w:t>
      </w:r>
      <w:r w:rsidRPr="003122AA">
        <w:rPr>
          <w:i/>
          <w:iCs/>
        </w:rPr>
        <w:t>See</w:t>
      </w:r>
      <w:r>
        <w:t xml:space="preserve"> </w:t>
      </w:r>
      <w:r>
        <w:rPr>
          <w:i/>
          <w:iCs/>
        </w:rPr>
        <w:t>id.</w:t>
      </w:r>
      <w:r w:rsidRPr="00A731D7">
        <w:rPr>
          <w:i/>
          <w:iCs/>
        </w:rPr>
        <w:t xml:space="preserve"> </w:t>
      </w:r>
      <w:r w:rsidRPr="003122AA">
        <w:t>at</w:t>
      </w:r>
      <w:r w:rsidR="00CC2281">
        <w:t xml:space="preserve"> 39, </w:t>
      </w:r>
      <w:r w:rsidRPr="003122AA">
        <w:t xml:space="preserve">para. 91 </w:t>
      </w:r>
      <w:r>
        <w:t xml:space="preserve">(citing </w:t>
      </w:r>
      <w:r w:rsidRPr="003122AA">
        <w:rPr>
          <w:i/>
          <w:iCs/>
        </w:rPr>
        <w:t>Rate-of-Return BDS Order</w:t>
      </w:r>
      <w:r>
        <w:t>, 33 FCC Rcd 10421-22, para. 44)</w:t>
      </w:r>
      <w:r w:rsidRPr="00A731D7">
        <w:t>.</w:t>
      </w:r>
    </w:p>
  </w:footnote>
  <w:footnote w:id="19">
    <w:p w:rsidR="005E38A3" w:rsidRPr="00A731D7" w:rsidP="005E38A3" w14:paraId="66E414EE" w14:textId="7948199F">
      <w:pPr>
        <w:pStyle w:val="FootnoteText"/>
      </w:pPr>
      <w:r w:rsidRPr="005F659C">
        <w:rPr>
          <w:rStyle w:val="FootnoteReference"/>
        </w:rPr>
        <w:footnoteRef/>
      </w:r>
      <w:r w:rsidRPr="005F659C">
        <w:t xml:space="preserve"> </w:t>
      </w:r>
      <w:r w:rsidRPr="005F659C">
        <w:rPr>
          <w:i/>
          <w:iCs/>
        </w:rPr>
        <w:t>Wireline Competition Bureau Authorizes 368 Companies in 44 States to Receive Enhanced Alternative Connect America Cost Model Support to Expand Rural Broadband</w:t>
      </w:r>
      <w:r w:rsidRPr="005F659C">
        <w:t>, WC Docket No. 10-90, Public Notice, DA 23-1025, at 3-4 (WCB Oct. 30, 2023)</w:t>
      </w:r>
      <w:r>
        <w:t xml:space="preserve"> (</w:t>
      </w:r>
      <w:bookmarkStart w:id="5" w:name="_Hlk161396793"/>
      <w:r w:rsidRPr="00444933">
        <w:rPr>
          <w:i/>
          <w:iCs/>
        </w:rPr>
        <w:t>Enhanced A-CAM Authorizations PN</w:t>
      </w:r>
      <w:bookmarkEnd w:id="5"/>
      <w:r>
        <w:t>)</w:t>
      </w:r>
      <w:r w:rsidRPr="005F659C">
        <w:t xml:space="preserve"> (citing </w:t>
      </w:r>
      <w:r w:rsidRPr="005F659C">
        <w:rPr>
          <w:i/>
          <w:iCs/>
        </w:rPr>
        <w:t>Rate-of-Return BDS Order</w:t>
      </w:r>
      <w:r w:rsidRPr="005F659C">
        <w:t xml:space="preserve">, 33 FCC Rcd at 10445, para. 119; 47 CFR </w:t>
      </w:r>
      <w:r w:rsidRPr="005F659C" w:rsidR="00EC15D0">
        <w:t>§</w:t>
      </w:r>
      <w:r w:rsidR="00EC15D0">
        <w:t> </w:t>
      </w:r>
      <w:r w:rsidRPr="005F659C">
        <w:t>69.3 (e)(6)</w:t>
      </w:r>
      <w:r w:rsidR="00A90AFB">
        <w:t>,</w:t>
      </w:r>
      <w:r w:rsidRPr="00A90AFB" w:rsidR="00A90AFB">
        <w:t xml:space="preserve"> </w:t>
      </w:r>
      <w:r w:rsidRPr="005F659C" w:rsidR="00A90AFB">
        <w:t>(i)(1)</w:t>
      </w:r>
      <w:r w:rsidRPr="005F659C">
        <w:t xml:space="preserve">); </w:t>
      </w:r>
      <w:r w:rsidRPr="005F659C">
        <w:rPr>
          <w:i/>
          <w:iCs/>
        </w:rPr>
        <w:t xml:space="preserve">see Enhanced A-CAM Order </w:t>
      </w:r>
      <w:r w:rsidRPr="005F659C">
        <w:t>at  para. 91.</w:t>
      </w:r>
      <w:r>
        <w:t xml:space="preserve"> </w:t>
      </w:r>
      <w:r w:rsidRPr="00A731D7">
        <w:t xml:space="preserve"> </w:t>
      </w:r>
      <w:r w:rsidR="00584CA8">
        <w:t xml:space="preserve">The Bureau required carriers participating in the NECA common line tariff pool, which is separate from the traffic-sensitive tariff pool, to notify NECA by November 17, 2023 that they are withdrawing from the NECA common line pool effective January 1, 2024.  </w:t>
      </w:r>
      <w:r w:rsidRPr="00584CA8" w:rsidR="00584CA8">
        <w:rPr>
          <w:i/>
          <w:iCs/>
        </w:rPr>
        <w:t>Enhanced A-CAM Authorizations PN</w:t>
      </w:r>
      <w:r w:rsidR="00584CA8">
        <w:t xml:space="preserve"> at</w:t>
      </w:r>
      <w:r w:rsidR="000628C2">
        <w:t xml:space="preserve"> </w:t>
      </w:r>
      <w:r w:rsidR="0085628E">
        <w:t>3</w:t>
      </w:r>
      <w:r w:rsidR="00584CA8">
        <w:t xml:space="preserve">; </w:t>
      </w:r>
      <w:r w:rsidRPr="00584CA8" w:rsidR="00584CA8">
        <w:rPr>
          <w:i/>
          <w:iCs/>
        </w:rPr>
        <w:t>see</w:t>
      </w:r>
      <w:r w:rsidR="00584CA8">
        <w:t xml:space="preserve"> 47 CFR </w:t>
      </w:r>
      <w:r w:rsidR="00EC15D0">
        <w:t>§ </w:t>
      </w:r>
      <w:r w:rsidR="00584CA8">
        <w:t xml:space="preserve">69.3(e)(9) (otherwise requiring carriers to notify NECA by March 1 that the carrier elects to file its own common line tariff). </w:t>
      </w:r>
    </w:p>
  </w:footnote>
  <w:footnote w:id="20">
    <w:p w:rsidR="006A58D5" w:rsidP="006A58D5" w14:paraId="7C07B6BF" w14:textId="77777777">
      <w:pPr>
        <w:pStyle w:val="FootnoteText"/>
      </w:pPr>
      <w:r>
        <w:rPr>
          <w:rStyle w:val="FootnoteReference"/>
        </w:rPr>
        <w:footnoteRef/>
      </w:r>
      <w:r>
        <w:t xml:space="preserve"> Petition at 1. </w:t>
      </w:r>
    </w:p>
  </w:footnote>
  <w:footnote w:id="21">
    <w:p w:rsidR="00AC3104" w14:paraId="6F7DDEA2" w14:textId="093F1C97">
      <w:pPr>
        <w:pStyle w:val="FootnoteText"/>
      </w:pPr>
      <w:r>
        <w:rPr>
          <w:rStyle w:val="FootnoteReference"/>
        </w:rPr>
        <w:footnoteRef/>
      </w:r>
      <w:r>
        <w:t xml:space="preserve"> </w:t>
      </w:r>
      <w:r w:rsidR="003B49FC">
        <w:t xml:space="preserve">Filer Mutual March 22 Letter at 1. </w:t>
      </w:r>
    </w:p>
  </w:footnote>
  <w:footnote w:id="22">
    <w:p w:rsidR="00164300" w14:paraId="709C0D6B" w14:textId="5E0BEF08">
      <w:pPr>
        <w:pStyle w:val="FootnoteText"/>
      </w:pPr>
      <w:r>
        <w:rPr>
          <w:rStyle w:val="FootnoteReference"/>
        </w:rPr>
        <w:footnoteRef/>
      </w:r>
      <w:r>
        <w:t xml:space="preserve"> </w:t>
      </w:r>
      <w:r w:rsidRPr="00164300">
        <w:rPr>
          <w:i/>
          <w:iCs/>
        </w:rPr>
        <w:t>See</w:t>
      </w:r>
      <w:r>
        <w:t xml:space="preserve"> NECA F.C.C. Tariff No. 5, 91st rev. p. 17-29.4.1, </w:t>
      </w:r>
      <w:r w:rsidR="00EC15D0">
        <w:t>§ </w:t>
      </w:r>
      <w:r>
        <w:t xml:space="preserve">17.3.10(A)(1) (eff. Feb. 1, 2024). </w:t>
      </w:r>
    </w:p>
  </w:footnote>
  <w:footnote w:id="23">
    <w:p w:rsidR="00164300" w14:paraId="26C7AD4F" w14:textId="303927C9">
      <w:pPr>
        <w:pStyle w:val="FootnoteText"/>
      </w:pPr>
      <w:r>
        <w:rPr>
          <w:rStyle w:val="FootnoteReference"/>
        </w:rPr>
        <w:footnoteRef/>
      </w:r>
      <w:r>
        <w:t xml:space="preserve"> </w:t>
      </w:r>
      <w:r w:rsidR="00E70456">
        <w:t xml:space="preserve">Filer Mutual March 22 Letter at 1. </w:t>
      </w:r>
      <w:r w:rsidRPr="00AC3104" w:rsidR="003B49FC">
        <w:rPr>
          <w:i/>
          <w:iCs/>
        </w:rPr>
        <w:t>Wireline Competition Bureau Authorizes 171 Rate-of-Return Companies to Receive $491 Million Annual in Alternative Connect America Cost Model II Support to Expand Rural Broadband</w:t>
      </w:r>
      <w:r w:rsidR="003B49FC">
        <w:t xml:space="preserve">, WC Docket No. 10-90, Public Notice, DA 19-808, at 1 &amp; n.2 (WCB Aug. 22, 2019); FCC, CAF – A-CAM 2.5.2 - Authorization Report Version 6.2 (dated Feb. 15, 2022), </w:t>
      </w:r>
      <w:hyperlink r:id="rId1" w:history="1">
        <w:r w:rsidRPr="00D35079" w:rsidR="003B49FC">
          <w:rPr>
            <w:rStyle w:val="Hyperlink"/>
          </w:rPr>
          <w:t>https://docs.fcc.gov/public/attachments/DOC-359222A1.xlsx</w:t>
        </w:r>
      </w:hyperlink>
      <w:r w:rsidR="009B5FD3">
        <w:t xml:space="preserve"> (listing Filer Mutual (SAC </w:t>
      </w:r>
      <w:r w:rsidRPr="00164300" w:rsidR="009B5FD3">
        <w:rPr>
          <w:szCs w:val="22"/>
        </w:rPr>
        <w:t>552220</w:t>
      </w:r>
      <w:r w:rsidR="009B5FD3">
        <w:t>) as an A-CAM recipient).</w:t>
      </w:r>
      <w:r w:rsidR="003B49FC">
        <w:t xml:space="preserve">  </w:t>
      </w:r>
    </w:p>
  </w:footnote>
  <w:footnote w:id="24">
    <w:p w:rsidR="006A58D5" w:rsidP="006A58D5" w14:paraId="4EFAC29C" w14:textId="071C8A5D">
      <w:pPr>
        <w:pStyle w:val="FootnoteText"/>
      </w:pPr>
      <w:r>
        <w:rPr>
          <w:rStyle w:val="FootnoteReference"/>
        </w:rPr>
        <w:footnoteRef/>
      </w:r>
      <w:r>
        <w:t xml:space="preserve"> </w:t>
      </w:r>
      <w:bookmarkStart w:id="7" w:name="_Hlk162345653"/>
      <w:r w:rsidRPr="00E70456" w:rsidR="00E70456">
        <w:t>Peti</w:t>
      </w:r>
      <w:r w:rsidR="00E70456">
        <w:t>tion</w:t>
      </w:r>
      <w:r w:rsidRPr="00E70456" w:rsidR="00E70456">
        <w:t xml:space="preserve"> at 2</w:t>
      </w:r>
      <w:bookmarkEnd w:id="7"/>
      <w:r w:rsidRPr="00E70456">
        <w:t>;</w:t>
      </w:r>
      <w:r>
        <w:t xml:space="preserve"> </w:t>
      </w:r>
      <w:r w:rsidRPr="00820E98">
        <w:rPr>
          <w:i/>
          <w:iCs/>
        </w:rPr>
        <w:t>see</w:t>
      </w:r>
      <w:r>
        <w:t xml:space="preserve"> </w:t>
      </w:r>
      <w:r w:rsidRPr="00444933">
        <w:rPr>
          <w:i/>
          <w:iCs/>
        </w:rPr>
        <w:t>Enhanced A-CAM Authorizations PN</w:t>
      </w:r>
      <w:r w:rsidRPr="00A731D7">
        <w:t xml:space="preserve"> </w:t>
      </w:r>
      <w:r>
        <w:t>at 1 n.2</w:t>
      </w:r>
      <w:r w:rsidRPr="00444933">
        <w:rPr>
          <w:i/>
          <w:iCs/>
        </w:rPr>
        <w:t xml:space="preserve"> </w:t>
      </w:r>
      <w:r>
        <w:t xml:space="preserve">(citing FCC, Enhanced A-CAM – Authorization Report Version 1 (dated Oct. 30, 2023), </w:t>
      </w:r>
      <w:hyperlink r:id="rId2" w:history="1">
        <w:r w:rsidRPr="00AA7B44">
          <w:rPr>
            <w:rStyle w:val="Hyperlink"/>
          </w:rPr>
          <w:t>https://www.fcc.gov/document/enhanced-cam-authorization-report</w:t>
        </w:r>
      </w:hyperlink>
      <w:r>
        <w:t xml:space="preserve">) (listing </w:t>
      </w:r>
      <w:r w:rsidR="00CF232F">
        <w:t xml:space="preserve">Filer Mutual (SAC </w:t>
      </w:r>
      <w:r w:rsidRPr="00CF232F" w:rsidR="00CF232F">
        <w:t>472220</w:t>
      </w:r>
      <w:r w:rsidR="00CF232F">
        <w:t xml:space="preserve">) </w:t>
      </w:r>
      <w:r>
        <w:t>as an Enhanced A-CAM recipient).</w:t>
      </w:r>
    </w:p>
  </w:footnote>
  <w:footnote w:id="25">
    <w:p w:rsidR="00376B97" w14:paraId="57931DCA" w14:textId="0BF118E1">
      <w:pPr>
        <w:pStyle w:val="FootnoteText"/>
      </w:pPr>
      <w:r>
        <w:rPr>
          <w:rStyle w:val="FootnoteReference"/>
        </w:rPr>
        <w:footnoteRef/>
      </w:r>
      <w:r>
        <w:t xml:space="preserve"> </w:t>
      </w:r>
      <w:r w:rsidRPr="00E70456">
        <w:t>Peti</w:t>
      </w:r>
      <w:r>
        <w:t>tion</w:t>
      </w:r>
      <w:r w:rsidRPr="00E70456">
        <w:t xml:space="preserve"> at 2</w:t>
      </w:r>
      <w:r>
        <w:t>.</w:t>
      </w:r>
    </w:p>
  </w:footnote>
  <w:footnote w:id="26">
    <w:p w:rsidR="00631DCA" w14:paraId="2F1FA8A8" w14:textId="6156B129">
      <w:pPr>
        <w:pStyle w:val="FootnoteText"/>
      </w:pPr>
      <w:r>
        <w:rPr>
          <w:rStyle w:val="FootnoteReference"/>
        </w:rPr>
        <w:footnoteRef/>
      </w:r>
      <w:r>
        <w:t xml:space="preserve"> Filer Mutual Mar</w:t>
      </w:r>
      <w:r w:rsidR="00CE6993">
        <w:t>.</w:t>
      </w:r>
      <w:r>
        <w:t xml:space="preserve"> </w:t>
      </w:r>
      <w:r w:rsidR="00040166">
        <w:t xml:space="preserve">20 Letter at 2. </w:t>
      </w:r>
      <w:r w:rsidR="00851579">
        <w:t xml:space="preserve"> Filer Mutual further noted that, during this same timeframe, </w:t>
      </w:r>
      <w:r w:rsidR="0016331E">
        <w:t>it was</w:t>
      </w:r>
      <w:r w:rsidR="00851579">
        <w:t xml:space="preserve"> preparing </w:t>
      </w:r>
      <w:r w:rsidR="001F104A">
        <w:t xml:space="preserve">a bulk challenge addressing more than 460 discrepancies in the location data </w:t>
      </w:r>
      <w:r w:rsidR="0016331E">
        <w:t xml:space="preserve">contained in Version 4 of the Broadband Serviceable Location Fabric.  </w:t>
      </w:r>
      <w:r w:rsidRPr="00CE1769" w:rsidR="0016331E">
        <w:rPr>
          <w:i/>
          <w:iCs/>
        </w:rPr>
        <w:t>Id</w:t>
      </w:r>
      <w:r w:rsidR="0016331E">
        <w:t xml:space="preserve">. </w:t>
      </w:r>
      <w:r w:rsidR="00040166">
        <w:t xml:space="preserve"> </w:t>
      </w:r>
    </w:p>
  </w:footnote>
  <w:footnote w:id="27">
    <w:p w:rsidR="00C80FCB" w14:paraId="33ED5209" w14:textId="60D2B6C7">
      <w:pPr>
        <w:pStyle w:val="FootnoteText"/>
      </w:pPr>
      <w:r>
        <w:rPr>
          <w:rStyle w:val="FootnoteReference"/>
        </w:rPr>
        <w:footnoteRef/>
      </w:r>
      <w:r>
        <w:t xml:space="preserve"> </w:t>
      </w:r>
      <w:r w:rsidRPr="00CE1769" w:rsidR="00085E36">
        <w:rPr>
          <w:i/>
          <w:iCs/>
        </w:rPr>
        <w:t>Id</w:t>
      </w:r>
      <w:r w:rsidR="00085E36">
        <w:t>.</w:t>
      </w:r>
    </w:p>
  </w:footnote>
  <w:footnote w:id="28">
    <w:p w:rsidR="006D6526" w:rsidRPr="008513E7" w:rsidP="006D6526" w14:paraId="59952C18" w14:textId="0ADDF2EE">
      <w:pPr>
        <w:pStyle w:val="FootnoteText"/>
      </w:pPr>
      <w:r w:rsidRPr="008513E7">
        <w:rPr>
          <w:rStyle w:val="FootnoteReference"/>
        </w:rPr>
        <w:footnoteRef/>
      </w:r>
      <w:r w:rsidRPr="008513E7">
        <w:t xml:space="preserve"> 47 CFR </w:t>
      </w:r>
      <w:r w:rsidRPr="008513E7" w:rsidR="00EC15D0">
        <w:t>§</w:t>
      </w:r>
      <w:r w:rsidR="00EC15D0">
        <w:t> </w:t>
      </w:r>
      <w:r w:rsidRPr="008513E7">
        <w:t xml:space="preserve">1.3.  </w:t>
      </w:r>
    </w:p>
  </w:footnote>
  <w:footnote w:id="29">
    <w:p w:rsidR="006D6526" w:rsidRPr="008513E7" w:rsidP="006D6526" w14:paraId="4AC98D0E" w14:textId="77777777">
      <w:pPr>
        <w:pStyle w:val="FootnoteText"/>
      </w:pPr>
      <w:r w:rsidRPr="008513E7">
        <w:rPr>
          <w:rStyle w:val="FootnoteReference"/>
        </w:rPr>
        <w:footnoteRef/>
      </w:r>
      <w:r w:rsidRPr="008513E7">
        <w:t xml:space="preserve"> </w:t>
      </w:r>
      <w:r w:rsidRPr="008513E7">
        <w:rPr>
          <w:i/>
        </w:rPr>
        <w:t>Northeast Cellular Telephone Co. v. FCC</w:t>
      </w:r>
      <w:r w:rsidRPr="008513E7">
        <w:t xml:space="preserve">, 897 F.2d 1164, 1166 (D.C. Cir. 1990).  </w:t>
      </w:r>
    </w:p>
  </w:footnote>
  <w:footnote w:id="30">
    <w:p w:rsidR="006D6526" w:rsidRPr="00FF211F" w:rsidP="006D6526" w14:paraId="313520FD" w14:textId="77777777">
      <w:pPr>
        <w:spacing w:after="120"/>
        <w:rPr>
          <w:sz w:val="20"/>
        </w:rPr>
      </w:pPr>
      <w:r w:rsidRPr="008513E7">
        <w:rPr>
          <w:rStyle w:val="FootnoteReference"/>
        </w:rPr>
        <w:footnoteRef/>
      </w:r>
      <w:r w:rsidRPr="008513E7">
        <w:t xml:space="preserve"> </w:t>
      </w:r>
      <w:r w:rsidRPr="008513E7">
        <w:rPr>
          <w:rStyle w:val="FootnoteTextChar"/>
          <w:i/>
          <w:iCs/>
          <w:sz w:val="20"/>
          <w:szCs w:val="18"/>
        </w:rPr>
        <w:t>WAIT Radio v. FCC</w:t>
      </w:r>
      <w:r w:rsidRPr="008513E7">
        <w:rPr>
          <w:rStyle w:val="FootnoteTextChar"/>
          <w:sz w:val="20"/>
          <w:szCs w:val="18"/>
        </w:rPr>
        <w:t xml:space="preserve">, 418 F.2d 1153, 1159 (D.C. Cir. 1969); </w:t>
      </w:r>
      <w:r w:rsidRPr="008513E7">
        <w:rPr>
          <w:rStyle w:val="FootnoteTextChar"/>
          <w:i/>
          <w:iCs/>
          <w:sz w:val="20"/>
          <w:szCs w:val="18"/>
        </w:rPr>
        <w:t>Northeast Cellular</w:t>
      </w:r>
      <w:r w:rsidRPr="008513E7">
        <w:rPr>
          <w:rStyle w:val="FootnoteTextChar"/>
          <w:sz w:val="20"/>
          <w:szCs w:val="18"/>
        </w:rPr>
        <w:t>, 897 F.2d at 1166.</w:t>
      </w:r>
    </w:p>
  </w:footnote>
  <w:footnote w:id="31">
    <w:p w:rsidR="006D6526" w:rsidP="006D6526" w14:paraId="5E3F47A6" w14:textId="77777777">
      <w:pPr>
        <w:pStyle w:val="FootnoteText"/>
      </w:pPr>
      <w:r>
        <w:rPr>
          <w:rStyle w:val="FootnoteReference"/>
        </w:rPr>
        <w:footnoteRef/>
      </w:r>
      <w:r>
        <w:t xml:space="preserve"> </w:t>
      </w:r>
      <w:r w:rsidRPr="00217C15">
        <w:rPr>
          <w:i/>
          <w:iCs/>
        </w:rPr>
        <w:t>Northeast Cellular</w:t>
      </w:r>
      <w:r>
        <w:t>, 897 F.2d at 1166.</w:t>
      </w:r>
    </w:p>
  </w:footnote>
  <w:footnote w:id="32">
    <w:p w:rsidR="00951278" w14:paraId="5F1E530F" w14:textId="7FBD52F3">
      <w:pPr>
        <w:pStyle w:val="FootnoteText"/>
      </w:pPr>
      <w:r>
        <w:rPr>
          <w:rStyle w:val="FootnoteReference"/>
        </w:rPr>
        <w:footnoteRef/>
      </w:r>
      <w:r>
        <w:t xml:space="preserve"> 47 CFR </w:t>
      </w:r>
      <w:r w:rsidR="00EC15D0">
        <w:t>§§ </w:t>
      </w:r>
      <w:r>
        <w:t>69.3(e)(6), (i)(1).</w:t>
      </w:r>
    </w:p>
  </w:footnote>
  <w:footnote w:id="33">
    <w:p w:rsidR="00E75FB6" w:rsidP="00E75FB6" w14:paraId="40E31377" w14:textId="366448C0">
      <w:pPr>
        <w:pStyle w:val="FootnoteText"/>
      </w:pPr>
      <w:r>
        <w:rPr>
          <w:rStyle w:val="FootnoteReference"/>
        </w:rPr>
        <w:footnoteRef/>
      </w:r>
      <w:r w:rsidRPr="009B5D10">
        <w:rPr>
          <w:i/>
          <w:iCs/>
        </w:rPr>
        <w:t xml:space="preserve"> </w:t>
      </w:r>
      <w:r w:rsidRPr="009B5D10" w:rsidR="00AC25C4">
        <w:rPr>
          <w:i/>
          <w:iCs/>
        </w:rPr>
        <w:t>See</w:t>
      </w:r>
      <w:r w:rsidR="00AC25C4">
        <w:t xml:space="preserve"> </w:t>
      </w:r>
      <w:r w:rsidRPr="00272734">
        <w:rPr>
          <w:i/>
          <w:iCs/>
        </w:rPr>
        <w:t>Rate-of-Return BDS Order</w:t>
      </w:r>
      <w:r>
        <w:t xml:space="preserve">, 33 FCC Rcd at 10444, para. 118 (explaining NECA’s preparation for purposes of a tariff filing implementing elections of BDS incentive regulation </w:t>
      </w:r>
      <w:r w:rsidR="00814374">
        <w:t>that involves</w:t>
      </w:r>
      <w:r>
        <w:t xml:space="preserve"> </w:t>
      </w:r>
      <w:r w:rsidR="009B5D10">
        <w:t>“</w:t>
      </w:r>
      <w:r>
        <w:t xml:space="preserve">cost studies for </w:t>
      </w:r>
      <w:r w:rsidR="009B5D10">
        <w:t xml:space="preserve">the </w:t>
      </w:r>
      <w:r>
        <w:t>remaining pool members, calculat</w:t>
      </w:r>
      <w:r w:rsidR="009B5D10">
        <w:t>e</w:t>
      </w:r>
      <w:r>
        <w:t xml:space="preserve"> support for existing members, reband, and </w:t>
      </w:r>
      <w:r w:rsidR="009B5D10">
        <w:t xml:space="preserve">undertake </w:t>
      </w:r>
      <w:r>
        <w:t>other steps</w:t>
      </w:r>
      <w:r w:rsidR="009B5D10">
        <w:t>”</w:t>
      </w:r>
      <w:r>
        <w:t xml:space="preserve">).  </w:t>
      </w:r>
    </w:p>
  </w:footnote>
  <w:footnote w:id="34">
    <w:p w:rsidR="00874B53" w14:paraId="175FE818" w14:textId="3AA2079B">
      <w:pPr>
        <w:pStyle w:val="FootnoteText"/>
      </w:pPr>
      <w:r>
        <w:rPr>
          <w:rStyle w:val="FootnoteReference"/>
        </w:rPr>
        <w:footnoteRef/>
      </w:r>
      <w:r>
        <w:t xml:space="preserve"> </w:t>
      </w:r>
      <w:r w:rsidR="00E70456">
        <w:t>Filer Mutual Mar. 20 Letter</w:t>
      </w:r>
      <w:r>
        <w:t xml:space="preserve"> at 2.</w:t>
      </w:r>
    </w:p>
  </w:footnote>
  <w:footnote w:id="35">
    <w:p w:rsidR="00220B6B" w14:paraId="3B78C8F9" w14:textId="5FA9045A">
      <w:pPr>
        <w:pStyle w:val="FootnoteText"/>
      </w:pPr>
      <w:r>
        <w:rPr>
          <w:rStyle w:val="FootnoteReference"/>
        </w:rPr>
        <w:footnoteRef/>
      </w:r>
      <w:r>
        <w:t xml:space="preserve"> </w:t>
      </w:r>
      <w:r w:rsidRPr="00220B6B">
        <w:rPr>
          <w:i/>
          <w:iCs/>
        </w:rPr>
        <w:t>See id</w:t>
      </w:r>
      <w:r>
        <w:t xml:space="preserve">. </w:t>
      </w:r>
    </w:p>
  </w:footnote>
  <w:footnote w:id="36">
    <w:p w:rsidR="00ED0C8E" w:rsidP="00ED0C8E" w14:paraId="74006963" w14:textId="7E004450">
      <w:pPr>
        <w:pStyle w:val="FootnoteText"/>
      </w:pPr>
      <w:r>
        <w:rPr>
          <w:rStyle w:val="FootnoteReference"/>
        </w:rPr>
        <w:footnoteRef/>
      </w:r>
      <w:r>
        <w:t xml:space="preserve"> </w:t>
      </w:r>
      <w:r w:rsidRPr="0060354A" w:rsidR="00A961F3">
        <w:rPr>
          <w:i/>
          <w:iCs/>
        </w:rPr>
        <w:t>See</w:t>
      </w:r>
      <w:r w:rsidR="00A961F3">
        <w:t xml:space="preserve"> </w:t>
      </w:r>
      <w:r w:rsidR="001A18D8">
        <w:t xml:space="preserve">FCC, Enhanced A-CAM – Authorization Report Version 1 (dated Oct. 30, 2023), </w:t>
      </w:r>
      <w:hyperlink r:id="rId2" w:history="1">
        <w:r w:rsidRPr="00AA7B44" w:rsidR="001A18D8">
          <w:rPr>
            <w:rStyle w:val="Hyperlink"/>
          </w:rPr>
          <w:t>https://www.fcc.gov/document/enhanced-cam-authorization-report</w:t>
        </w:r>
      </w:hyperlink>
      <w:r w:rsidR="001A18D8">
        <w:t xml:space="preserve"> </w:t>
      </w:r>
      <w:r w:rsidR="0060354A">
        <w:t>(listing Filer Mutual Telephone Company</w:t>
      </w:r>
      <w:r w:rsidR="004A7FED">
        <w:t>’s then-current funding mechanism as CAF BLS</w:t>
      </w:r>
      <w:r w:rsidR="00EA5B95">
        <w:t xml:space="preserve"> before transitioning to Enhanced A-CAM support</w:t>
      </w:r>
      <w:r w:rsidR="004A7FED">
        <w:t>)</w:t>
      </w:r>
      <w:r w:rsidR="00A961F3">
        <w:t xml:space="preserve">. </w:t>
      </w:r>
    </w:p>
  </w:footnote>
  <w:footnote w:id="37">
    <w:p w:rsidR="0066633D" w14:paraId="255D3D0D" w14:textId="710D2FA0">
      <w:pPr>
        <w:pStyle w:val="FootnoteText"/>
      </w:pPr>
      <w:r>
        <w:rPr>
          <w:rStyle w:val="FootnoteReference"/>
        </w:rPr>
        <w:footnoteRef/>
      </w:r>
      <w:r>
        <w:t xml:space="preserve"> </w:t>
      </w:r>
      <w:r w:rsidRPr="0066633D">
        <w:rPr>
          <w:i/>
          <w:iCs/>
        </w:rPr>
        <w:t>See</w:t>
      </w:r>
      <w:r>
        <w:t xml:space="preserve"> </w:t>
      </w:r>
      <w:r w:rsidRPr="0059298E">
        <w:rPr>
          <w:i/>
          <w:iCs/>
        </w:rPr>
        <w:t>Rate-of-Return BDS Order</w:t>
      </w:r>
      <w:r w:rsidRPr="0059298E">
        <w:t>, 33 FCC Rcd at 10413, para. 2</w:t>
      </w:r>
      <w:r>
        <w:t>2; 47 CFR § 61.50(a).</w:t>
      </w:r>
    </w:p>
  </w:footnote>
  <w:footnote w:id="38">
    <w:p w:rsidR="00E549F8" w14:paraId="4ADF9EFC" w14:textId="2EE7431D">
      <w:pPr>
        <w:pStyle w:val="FootnoteText"/>
      </w:pPr>
      <w:r>
        <w:rPr>
          <w:rStyle w:val="FootnoteReference"/>
        </w:rPr>
        <w:footnoteRef/>
      </w:r>
      <w:r>
        <w:t xml:space="preserve"> </w:t>
      </w:r>
      <w:r w:rsidR="00E70456">
        <w:t xml:space="preserve">Filer Mutual Mar. 20 Letter </w:t>
      </w:r>
      <w:r>
        <w:t xml:space="preserve">at 2. </w:t>
      </w:r>
    </w:p>
  </w:footnote>
  <w:footnote w:id="39">
    <w:p w:rsidR="00B82B67" w14:paraId="3F2025BC" w14:textId="048B552A">
      <w:pPr>
        <w:pStyle w:val="FootnoteText"/>
      </w:pPr>
      <w:r w:rsidRPr="004E652A">
        <w:rPr>
          <w:rStyle w:val="FootnoteReference"/>
        </w:rPr>
        <w:footnoteRef/>
      </w:r>
      <w:r w:rsidRPr="004E652A">
        <w:t xml:space="preserve"> </w:t>
      </w:r>
      <w:r w:rsidR="002C66C4">
        <w:rPr>
          <w:i/>
          <w:iCs/>
        </w:rPr>
        <w:t>I</w:t>
      </w:r>
      <w:r w:rsidRPr="004E652A">
        <w:rPr>
          <w:i/>
          <w:iCs/>
        </w:rPr>
        <w:t>d</w:t>
      </w:r>
      <w:r w:rsidRPr="004E652A">
        <w:t xml:space="preserve">.; </w:t>
      </w:r>
      <w:r w:rsidRPr="002C66C4" w:rsidR="002C66C4">
        <w:rPr>
          <w:i/>
          <w:iCs/>
        </w:rPr>
        <w:t>see</w:t>
      </w:r>
      <w:r w:rsidR="002C66C4">
        <w:t xml:space="preserve"> </w:t>
      </w:r>
      <w:r w:rsidRPr="004E652A">
        <w:rPr>
          <w:i/>
          <w:iCs/>
        </w:rPr>
        <w:t>Rate-of-Return BDS Order</w:t>
      </w:r>
      <w:r w:rsidRPr="004E652A" w:rsidR="004E652A">
        <w:t xml:space="preserve">, </w:t>
      </w:r>
      <w:r w:rsidRPr="008573A7" w:rsidR="008573A7">
        <w:t xml:space="preserve">33 FCC Rcd at </w:t>
      </w:r>
      <w:r w:rsidR="00B9346F">
        <w:t>10405, 10415</w:t>
      </w:r>
      <w:r w:rsidRPr="008573A7" w:rsidR="008573A7">
        <w:t>, paras. 4</w:t>
      </w:r>
      <w:r w:rsidR="00B9346F">
        <w:t>, 30</w:t>
      </w:r>
      <w:r w:rsidRPr="008573A7" w:rsidR="008573A7">
        <w:t xml:space="preserve">.  </w:t>
      </w:r>
    </w:p>
  </w:footnote>
  <w:footnote w:id="40">
    <w:p w:rsidR="004433B1" w14:paraId="62F65E5C" w14:textId="2871CBE0">
      <w:pPr>
        <w:pStyle w:val="FootnoteText"/>
      </w:pPr>
      <w:r>
        <w:rPr>
          <w:rStyle w:val="FootnoteReference"/>
        </w:rPr>
        <w:footnoteRef/>
      </w:r>
      <w:r>
        <w:t xml:space="preserve"> </w:t>
      </w:r>
      <w:r w:rsidR="00E87BF2">
        <w:t xml:space="preserve">Filer Mutual Mar. 20 Letter at 2. </w:t>
      </w:r>
      <w:r>
        <w:t xml:space="preserve"> </w:t>
      </w:r>
    </w:p>
  </w:footnote>
  <w:footnote w:id="41">
    <w:p w:rsidR="00D619DF" w:rsidP="00D619DF" w14:paraId="4B115C83" w14:textId="1D2420DA">
      <w:pPr>
        <w:pStyle w:val="FootnoteText"/>
      </w:pPr>
      <w:r>
        <w:rPr>
          <w:rStyle w:val="FootnoteReference"/>
        </w:rPr>
        <w:footnoteRef/>
      </w:r>
      <w:r>
        <w:t xml:space="preserve"> </w:t>
      </w:r>
      <w:bookmarkStart w:id="8" w:name="_Hlk161396116"/>
      <w:r>
        <w:rPr>
          <w:i/>
        </w:rPr>
        <w:t>S</w:t>
      </w:r>
      <w:r w:rsidRPr="00C43836">
        <w:rPr>
          <w:i/>
        </w:rPr>
        <w:t>ee</w:t>
      </w:r>
      <w:r>
        <w:rPr>
          <w:iCs/>
        </w:rPr>
        <w:t xml:space="preserve"> 47 CFR </w:t>
      </w:r>
      <w:r w:rsidR="00EC15D0">
        <w:rPr>
          <w:iCs/>
        </w:rPr>
        <w:t>§ </w:t>
      </w:r>
      <w:r>
        <w:rPr>
          <w:iCs/>
        </w:rPr>
        <w:t>69.3(i)(1)</w:t>
      </w:r>
      <w:r w:rsidR="00F3698F">
        <w:rPr>
          <w:iCs/>
        </w:rPr>
        <w:t xml:space="preserve">, </w:t>
      </w:r>
      <w:r>
        <w:rPr>
          <w:iCs/>
        </w:rPr>
        <w:t>(e)(6)</w:t>
      </w:r>
      <w:r w:rsidR="00F3698F">
        <w:rPr>
          <w:iCs/>
        </w:rPr>
        <w:t>.</w:t>
      </w:r>
      <w:bookmarkEnd w:id="8"/>
      <w:r w:rsidR="00456A61">
        <w:rPr>
          <w:iCs/>
        </w:rPr>
        <w:t xml:space="preserve"> </w:t>
      </w:r>
      <w:r>
        <w:rPr>
          <w:i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60A" w:rsidP="00041BCA" w14:paraId="55E7D03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41BCA" w14:paraId="35B36B38" w14:textId="607D0E33">
    <w:pPr>
      <w:pStyle w:val="Header"/>
    </w:pPr>
    <w:r>
      <w:tab/>
      <w:t>Federal Communications Commission</w:t>
    </w:r>
    <w:r>
      <w:tab/>
    </w:r>
    <w:r w:rsidRPr="00904095" w:rsidR="00EF0DC3">
      <w:t xml:space="preserve">DA </w:t>
    </w:r>
    <w:r w:rsidRPr="00041BCA" w:rsidR="00041BCA">
      <w:t>24-312</w:t>
    </w:r>
  </w:p>
  <w:p w:rsidR="00D25FB5" w14:paraId="3F25047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41BCA" w14:paraId="6E86A77A" w14:textId="3896A740">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Pr="00904095" w:rsidR="00EF0DC3">
      <w:rPr>
        <w:spacing w:val="-2"/>
      </w:rPr>
      <w:t xml:space="preserve">DA </w:t>
    </w:r>
    <w:r w:rsidRPr="00904095" w:rsidR="0034460A">
      <w:rPr>
        <w:szCs w:val="22"/>
      </w:rPr>
      <w:t>24-312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4361672"/>
    <w:multiLevelType w:val="hybridMultilevel"/>
    <w:tmpl w:val="6CE4ECE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6"/>
    <w:lvlOverride w:ilvl="0">
      <w:startOverride w:val="1"/>
    </w:lvlOverride>
  </w:num>
  <w:num w:numId="8">
    <w:abstractNumId w:val="6"/>
  </w:num>
  <w:num w:numId="9">
    <w:abstractNumId w:val="6"/>
  </w:num>
  <w:num w:numId="10">
    <w:abstractNumId w:val="6"/>
    <w:lvlOverride w:ilvl="0">
      <w:startOverride w:val="1"/>
    </w:lvlOverride>
  </w:num>
  <w:num w:numId="11">
    <w:abstractNumId w:val="6"/>
  </w:num>
  <w:num w:numId="12">
    <w:abstractNumId w:val="6"/>
  </w:num>
  <w:num w:numId="13">
    <w:abstractNumId w:val="4"/>
  </w:num>
  <w:num w:numId="14">
    <w:abstractNumId w:val="3"/>
  </w:num>
  <w:num w:numId="15">
    <w:abstractNumId w:val="6"/>
    <w:lvlOverride w:ilvl="0">
      <w:startOverride w:val="1"/>
    </w:lvlOverride>
  </w:num>
  <w:num w:numId="16">
    <w:abstractNumId w:val="6"/>
    <w:lvlOverride w:ilvl="0">
      <w:startOverride w:val="1"/>
    </w:lvlOverride>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BA"/>
    <w:rsid w:val="00024E21"/>
    <w:rsid w:val="000323B2"/>
    <w:rsid w:val="000328A7"/>
    <w:rsid w:val="000345C0"/>
    <w:rsid w:val="00034BC6"/>
    <w:rsid w:val="000351A7"/>
    <w:rsid w:val="00036024"/>
    <w:rsid w:val="00036039"/>
    <w:rsid w:val="00037F90"/>
    <w:rsid w:val="00040166"/>
    <w:rsid w:val="000402A3"/>
    <w:rsid w:val="00041BCA"/>
    <w:rsid w:val="00044F4D"/>
    <w:rsid w:val="00045325"/>
    <w:rsid w:val="000628C2"/>
    <w:rsid w:val="00084602"/>
    <w:rsid w:val="00085CED"/>
    <w:rsid w:val="00085E36"/>
    <w:rsid w:val="00086188"/>
    <w:rsid w:val="00086E2E"/>
    <w:rsid w:val="000875BF"/>
    <w:rsid w:val="00090D5C"/>
    <w:rsid w:val="00096D8C"/>
    <w:rsid w:val="000A0294"/>
    <w:rsid w:val="000A0803"/>
    <w:rsid w:val="000A2126"/>
    <w:rsid w:val="000A3881"/>
    <w:rsid w:val="000A6334"/>
    <w:rsid w:val="000B092A"/>
    <w:rsid w:val="000B66B3"/>
    <w:rsid w:val="000B6DF3"/>
    <w:rsid w:val="000C0540"/>
    <w:rsid w:val="000C0B65"/>
    <w:rsid w:val="000D7FAA"/>
    <w:rsid w:val="000E05FE"/>
    <w:rsid w:val="000E1CA3"/>
    <w:rsid w:val="000E27B4"/>
    <w:rsid w:val="000E38CB"/>
    <w:rsid w:val="000E3D42"/>
    <w:rsid w:val="000E505F"/>
    <w:rsid w:val="000E65D8"/>
    <w:rsid w:val="000E7EAF"/>
    <w:rsid w:val="000F5795"/>
    <w:rsid w:val="000F70EC"/>
    <w:rsid w:val="0010325F"/>
    <w:rsid w:val="00104E6A"/>
    <w:rsid w:val="001072AF"/>
    <w:rsid w:val="001152EB"/>
    <w:rsid w:val="00117B10"/>
    <w:rsid w:val="00122BD5"/>
    <w:rsid w:val="00123E22"/>
    <w:rsid w:val="00126F59"/>
    <w:rsid w:val="001317F0"/>
    <w:rsid w:val="00133F79"/>
    <w:rsid w:val="00135BB4"/>
    <w:rsid w:val="00137055"/>
    <w:rsid w:val="00140FE6"/>
    <w:rsid w:val="0014459D"/>
    <w:rsid w:val="00157581"/>
    <w:rsid w:val="00160C3B"/>
    <w:rsid w:val="0016151B"/>
    <w:rsid w:val="00161941"/>
    <w:rsid w:val="00162121"/>
    <w:rsid w:val="00162BD6"/>
    <w:rsid w:val="0016331E"/>
    <w:rsid w:val="00164300"/>
    <w:rsid w:val="0016686F"/>
    <w:rsid w:val="00171FBA"/>
    <w:rsid w:val="00173D18"/>
    <w:rsid w:val="001802FE"/>
    <w:rsid w:val="00183DB9"/>
    <w:rsid w:val="00183F51"/>
    <w:rsid w:val="00194A66"/>
    <w:rsid w:val="0019543D"/>
    <w:rsid w:val="001A18D8"/>
    <w:rsid w:val="001A1F5B"/>
    <w:rsid w:val="001A351C"/>
    <w:rsid w:val="001A3822"/>
    <w:rsid w:val="001A4122"/>
    <w:rsid w:val="001A4223"/>
    <w:rsid w:val="001A4C4B"/>
    <w:rsid w:val="001B7EEE"/>
    <w:rsid w:val="001C0538"/>
    <w:rsid w:val="001D39DF"/>
    <w:rsid w:val="001D6BCF"/>
    <w:rsid w:val="001E01CA"/>
    <w:rsid w:val="001E15B4"/>
    <w:rsid w:val="001E245B"/>
    <w:rsid w:val="001F104A"/>
    <w:rsid w:val="001F5297"/>
    <w:rsid w:val="001F75F0"/>
    <w:rsid w:val="001F7B7A"/>
    <w:rsid w:val="00202861"/>
    <w:rsid w:val="00217C15"/>
    <w:rsid w:val="00220B6B"/>
    <w:rsid w:val="0022387C"/>
    <w:rsid w:val="00242F84"/>
    <w:rsid w:val="00244E7B"/>
    <w:rsid w:val="0025182D"/>
    <w:rsid w:val="00252031"/>
    <w:rsid w:val="00253D59"/>
    <w:rsid w:val="00272734"/>
    <w:rsid w:val="00275CF5"/>
    <w:rsid w:val="00281465"/>
    <w:rsid w:val="00281649"/>
    <w:rsid w:val="0028301F"/>
    <w:rsid w:val="00285017"/>
    <w:rsid w:val="00285CDC"/>
    <w:rsid w:val="002877E5"/>
    <w:rsid w:val="00294E01"/>
    <w:rsid w:val="002A2D2E"/>
    <w:rsid w:val="002B4CEB"/>
    <w:rsid w:val="002B7052"/>
    <w:rsid w:val="002B71E9"/>
    <w:rsid w:val="002C00E8"/>
    <w:rsid w:val="002C10EF"/>
    <w:rsid w:val="002C2C52"/>
    <w:rsid w:val="002C654F"/>
    <w:rsid w:val="002C66C4"/>
    <w:rsid w:val="002D0924"/>
    <w:rsid w:val="002E3369"/>
    <w:rsid w:val="002E3450"/>
    <w:rsid w:val="002E3B71"/>
    <w:rsid w:val="002E686F"/>
    <w:rsid w:val="002F629D"/>
    <w:rsid w:val="003122AA"/>
    <w:rsid w:val="0033352A"/>
    <w:rsid w:val="00340A8B"/>
    <w:rsid w:val="003412D6"/>
    <w:rsid w:val="00343749"/>
    <w:rsid w:val="0034460A"/>
    <w:rsid w:val="00355BC4"/>
    <w:rsid w:val="003577FF"/>
    <w:rsid w:val="00361A38"/>
    <w:rsid w:val="00364D31"/>
    <w:rsid w:val="003660ED"/>
    <w:rsid w:val="003717D3"/>
    <w:rsid w:val="00376B97"/>
    <w:rsid w:val="00376D93"/>
    <w:rsid w:val="00382A75"/>
    <w:rsid w:val="00391071"/>
    <w:rsid w:val="003B0550"/>
    <w:rsid w:val="003B4080"/>
    <w:rsid w:val="003B49FC"/>
    <w:rsid w:val="003B694F"/>
    <w:rsid w:val="003C00AD"/>
    <w:rsid w:val="003C324B"/>
    <w:rsid w:val="003C65CC"/>
    <w:rsid w:val="003E2C87"/>
    <w:rsid w:val="003F171C"/>
    <w:rsid w:val="003F1C50"/>
    <w:rsid w:val="003F5AAB"/>
    <w:rsid w:val="004041CC"/>
    <w:rsid w:val="00412FC5"/>
    <w:rsid w:val="0041444A"/>
    <w:rsid w:val="00415B0D"/>
    <w:rsid w:val="00415FFC"/>
    <w:rsid w:val="00422276"/>
    <w:rsid w:val="004242F1"/>
    <w:rsid w:val="00436626"/>
    <w:rsid w:val="004375BB"/>
    <w:rsid w:val="004433B1"/>
    <w:rsid w:val="00444933"/>
    <w:rsid w:val="00445A00"/>
    <w:rsid w:val="00447042"/>
    <w:rsid w:val="004505B7"/>
    <w:rsid w:val="00451B0F"/>
    <w:rsid w:val="004564A0"/>
    <w:rsid w:val="00456A61"/>
    <w:rsid w:val="004746C2"/>
    <w:rsid w:val="00480A57"/>
    <w:rsid w:val="00480BAC"/>
    <w:rsid w:val="004859BC"/>
    <w:rsid w:val="0048738F"/>
    <w:rsid w:val="00496EBC"/>
    <w:rsid w:val="004A1355"/>
    <w:rsid w:val="004A7A47"/>
    <w:rsid w:val="004A7A97"/>
    <w:rsid w:val="004A7FED"/>
    <w:rsid w:val="004C2EE3"/>
    <w:rsid w:val="004D6F2E"/>
    <w:rsid w:val="004E4A22"/>
    <w:rsid w:val="004E652A"/>
    <w:rsid w:val="004E79B2"/>
    <w:rsid w:val="004F0892"/>
    <w:rsid w:val="004F14A0"/>
    <w:rsid w:val="004F681B"/>
    <w:rsid w:val="00506D15"/>
    <w:rsid w:val="00511968"/>
    <w:rsid w:val="005139A2"/>
    <w:rsid w:val="00514A3A"/>
    <w:rsid w:val="005204A1"/>
    <w:rsid w:val="00526393"/>
    <w:rsid w:val="0053080F"/>
    <w:rsid w:val="00536DEF"/>
    <w:rsid w:val="00540D99"/>
    <w:rsid w:val="005459D1"/>
    <w:rsid w:val="005513BD"/>
    <w:rsid w:val="0055614C"/>
    <w:rsid w:val="00562C5E"/>
    <w:rsid w:val="00563B57"/>
    <w:rsid w:val="00565565"/>
    <w:rsid w:val="00566D06"/>
    <w:rsid w:val="00584CA8"/>
    <w:rsid w:val="0059298E"/>
    <w:rsid w:val="005A276F"/>
    <w:rsid w:val="005A3D9E"/>
    <w:rsid w:val="005B1D15"/>
    <w:rsid w:val="005B4E28"/>
    <w:rsid w:val="005B5FE6"/>
    <w:rsid w:val="005B6312"/>
    <w:rsid w:val="005C0719"/>
    <w:rsid w:val="005C08AF"/>
    <w:rsid w:val="005C2975"/>
    <w:rsid w:val="005E14C2"/>
    <w:rsid w:val="005E38A3"/>
    <w:rsid w:val="005E60F0"/>
    <w:rsid w:val="005E769F"/>
    <w:rsid w:val="005F62CF"/>
    <w:rsid w:val="005F659C"/>
    <w:rsid w:val="005F6BF5"/>
    <w:rsid w:val="005F7303"/>
    <w:rsid w:val="006008AE"/>
    <w:rsid w:val="00601708"/>
    <w:rsid w:val="0060247D"/>
    <w:rsid w:val="0060354A"/>
    <w:rsid w:val="00607BA5"/>
    <w:rsid w:val="00607DD6"/>
    <w:rsid w:val="0061180A"/>
    <w:rsid w:val="0061572B"/>
    <w:rsid w:val="00617A93"/>
    <w:rsid w:val="00623282"/>
    <w:rsid w:val="00626EB6"/>
    <w:rsid w:val="0063115D"/>
    <w:rsid w:val="00631DCA"/>
    <w:rsid w:val="00637927"/>
    <w:rsid w:val="00653966"/>
    <w:rsid w:val="00655D03"/>
    <w:rsid w:val="00656A7A"/>
    <w:rsid w:val="0066633D"/>
    <w:rsid w:val="00667AF9"/>
    <w:rsid w:val="00671757"/>
    <w:rsid w:val="00674195"/>
    <w:rsid w:val="00683388"/>
    <w:rsid w:val="00683F03"/>
    <w:rsid w:val="00683F84"/>
    <w:rsid w:val="00692FE0"/>
    <w:rsid w:val="006A3260"/>
    <w:rsid w:val="006A58D5"/>
    <w:rsid w:val="006A6A81"/>
    <w:rsid w:val="006A6BF9"/>
    <w:rsid w:val="006B1B00"/>
    <w:rsid w:val="006B1C5B"/>
    <w:rsid w:val="006B725C"/>
    <w:rsid w:val="006C1C0A"/>
    <w:rsid w:val="006D6040"/>
    <w:rsid w:val="006D6526"/>
    <w:rsid w:val="006D7404"/>
    <w:rsid w:val="006F7393"/>
    <w:rsid w:val="00701F7E"/>
    <w:rsid w:val="0070224F"/>
    <w:rsid w:val="00702655"/>
    <w:rsid w:val="00707A25"/>
    <w:rsid w:val="007115F7"/>
    <w:rsid w:val="00713AB2"/>
    <w:rsid w:val="0071470C"/>
    <w:rsid w:val="007167BC"/>
    <w:rsid w:val="00717F70"/>
    <w:rsid w:val="00722667"/>
    <w:rsid w:val="00723B5B"/>
    <w:rsid w:val="00726D17"/>
    <w:rsid w:val="00734036"/>
    <w:rsid w:val="00735E84"/>
    <w:rsid w:val="00741FF4"/>
    <w:rsid w:val="007506F7"/>
    <w:rsid w:val="007570DA"/>
    <w:rsid w:val="007735B9"/>
    <w:rsid w:val="00781D8C"/>
    <w:rsid w:val="00785494"/>
    <w:rsid w:val="00785689"/>
    <w:rsid w:val="00793395"/>
    <w:rsid w:val="0079754B"/>
    <w:rsid w:val="007A1E6D"/>
    <w:rsid w:val="007B0EB2"/>
    <w:rsid w:val="007C58D0"/>
    <w:rsid w:val="007E1765"/>
    <w:rsid w:val="007E4671"/>
    <w:rsid w:val="007E4C72"/>
    <w:rsid w:val="007F14F3"/>
    <w:rsid w:val="00807A78"/>
    <w:rsid w:val="00810B6F"/>
    <w:rsid w:val="00814374"/>
    <w:rsid w:val="00820032"/>
    <w:rsid w:val="00820E98"/>
    <w:rsid w:val="0082232E"/>
    <w:rsid w:val="00822CE0"/>
    <w:rsid w:val="008269B2"/>
    <w:rsid w:val="00831396"/>
    <w:rsid w:val="00841AB1"/>
    <w:rsid w:val="008513E7"/>
    <w:rsid w:val="00851579"/>
    <w:rsid w:val="0085628E"/>
    <w:rsid w:val="008573A7"/>
    <w:rsid w:val="00874B53"/>
    <w:rsid w:val="008753BA"/>
    <w:rsid w:val="008766E8"/>
    <w:rsid w:val="008832BA"/>
    <w:rsid w:val="00884508"/>
    <w:rsid w:val="0089526E"/>
    <w:rsid w:val="008B024F"/>
    <w:rsid w:val="008B263C"/>
    <w:rsid w:val="008C36D6"/>
    <w:rsid w:val="008C68F1"/>
    <w:rsid w:val="008D382B"/>
    <w:rsid w:val="008D744B"/>
    <w:rsid w:val="008D7A18"/>
    <w:rsid w:val="008E29AE"/>
    <w:rsid w:val="008E55B8"/>
    <w:rsid w:val="008F0D74"/>
    <w:rsid w:val="008F2D7D"/>
    <w:rsid w:val="008F6965"/>
    <w:rsid w:val="00900096"/>
    <w:rsid w:val="00900875"/>
    <w:rsid w:val="00902475"/>
    <w:rsid w:val="00904095"/>
    <w:rsid w:val="009142D7"/>
    <w:rsid w:val="00920531"/>
    <w:rsid w:val="009214EF"/>
    <w:rsid w:val="00921803"/>
    <w:rsid w:val="00926503"/>
    <w:rsid w:val="00930930"/>
    <w:rsid w:val="00933D1A"/>
    <w:rsid w:val="00934814"/>
    <w:rsid w:val="00950992"/>
    <w:rsid w:val="00951278"/>
    <w:rsid w:val="00952834"/>
    <w:rsid w:val="009579E2"/>
    <w:rsid w:val="00961C65"/>
    <w:rsid w:val="00963057"/>
    <w:rsid w:val="009636C8"/>
    <w:rsid w:val="009679DC"/>
    <w:rsid w:val="009726D8"/>
    <w:rsid w:val="00977A10"/>
    <w:rsid w:val="00980CA1"/>
    <w:rsid w:val="009826CA"/>
    <w:rsid w:val="00985D61"/>
    <w:rsid w:val="00991934"/>
    <w:rsid w:val="00993481"/>
    <w:rsid w:val="009A0385"/>
    <w:rsid w:val="009A66C1"/>
    <w:rsid w:val="009A7C4B"/>
    <w:rsid w:val="009B4268"/>
    <w:rsid w:val="009B5D10"/>
    <w:rsid w:val="009B5FD3"/>
    <w:rsid w:val="009B609A"/>
    <w:rsid w:val="009C4E2C"/>
    <w:rsid w:val="009C5717"/>
    <w:rsid w:val="009C5B7E"/>
    <w:rsid w:val="009D7308"/>
    <w:rsid w:val="009E66D1"/>
    <w:rsid w:val="009F76DB"/>
    <w:rsid w:val="00A0269B"/>
    <w:rsid w:val="00A10EEA"/>
    <w:rsid w:val="00A128AE"/>
    <w:rsid w:val="00A12B55"/>
    <w:rsid w:val="00A1307F"/>
    <w:rsid w:val="00A133C2"/>
    <w:rsid w:val="00A14655"/>
    <w:rsid w:val="00A231AD"/>
    <w:rsid w:val="00A239A5"/>
    <w:rsid w:val="00A32C3B"/>
    <w:rsid w:val="00A33F6A"/>
    <w:rsid w:val="00A365BE"/>
    <w:rsid w:val="00A36A9C"/>
    <w:rsid w:val="00A40403"/>
    <w:rsid w:val="00A417A1"/>
    <w:rsid w:val="00A4485E"/>
    <w:rsid w:val="00A45B95"/>
    <w:rsid w:val="00A45F4F"/>
    <w:rsid w:val="00A47394"/>
    <w:rsid w:val="00A47479"/>
    <w:rsid w:val="00A600A9"/>
    <w:rsid w:val="00A62A58"/>
    <w:rsid w:val="00A701EA"/>
    <w:rsid w:val="00A712F7"/>
    <w:rsid w:val="00A71BC4"/>
    <w:rsid w:val="00A731D7"/>
    <w:rsid w:val="00A7448D"/>
    <w:rsid w:val="00A77037"/>
    <w:rsid w:val="00A90AFB"/>
    <w:rsid w:val="00A961F3"/>
    <w:rsid w:val="00AA2ADD"/>
    <w:rsid w:val="00AA55B7"/>
    <w:rsid w:val="00AA5B9E"/>
    <w:rsid w:val="00AA7B44"/>
    <w:rsid w:val="00AB2407"/>
    <w:rsid w:val="00AB53DF"/>
    <w:rsid w:val="00AC0B30"/>
    <w:rsid w:val="00AC25C4"/>
    <w:rsid w:val="00AC3104"/>
    <w:rsid w:val="00AC50B3"/>
    <w:rsid w:val="00AD35DC"/>
    <w:rsid w:val="00AE1996"/>
    <w:rsid w:val="00AE261E"/>
    <w:rsid w:val="00AE7BEB"/>
    <w:rsid w:val="00AF6478"/>
    <w:rsid w:val="00B05BC9"/>
    <w:rsid w:val="00B07E5C"/>
    <w:rsid w:val="00B1419C"/>
    <w:rsid w:val="00B14A76"/>
    <w:rsid w:val="00B15C85"/>
    <w:rsid w:val="00B2199E"/>
    <w:rsid w:val="00B32688"/>
    <w:rsid w:val="00B46822"/>
    <w:rsid w:val="00B46F80"/>
    <w:rsid w:val="00B5045C"/>
    <w:rsid w:val="00B571E6"/>
    <w:rsid w:val="00B60856"/>
    <w:rsid w:val="00B67E00"/>
    <w:rsid w:val="00B72E44"/>
    <w:rsid w:val="00B730DE"/>
    <w:rsid w:val="00B75845"/>
    <w:rsid w:val="00B811F7"/>
    <w:rsid w:val="00B82793"/>
    <w:rsid w:val="00B82B67"/>
    <w:rsid w:val="00B86DA3"/>
    <w:rsid w:val="00B923E5"/>
    <w:rsid w:val="00B9346F"/>
    <w:rsid w:val="00B94C20"/>
    <w:rsid w:val="00B95E68"/>
    <w:rsid w:val="00BA5DC6"/>
    <w:rsid w:val="00BA6196"/>
    <w:rsid w:val="00BC0359"/>
    <w:rsid w:val="00BC6D8C"/>
    <w:rsid w:val="00BD1865"/>
    <w:rsid w:val="00BE08B1"/>
    <w:rsid w:val="00BE113D"/>
    <w:rsid w:val="00BE667C"/>
    <w:rsid w:val="00BF40BC"/>
    <w:rsid w:val="00BF676F"/>
    <w:rsid w:val="00BF690C"/>
    <w:rsid w:val="00C055DB"/>
    <w:rsid w:val="00C171B3"/>
    <w:rsid w:val="00C34006"/>
    <w:rsid w:val="00C34DD4"/>
    <w:rsid w:val="00C36B4C"/>
    <w:rsid w:val="00C426B1"/>
    <w:rsid w:val="00C43836"/>
    <w:rsid w:val="00C60F86"/>
    <w:rsid w:val="00C634A6"/>
    <w:rsid w:val="00C64CBA"/>
    <w:rsid w:val="00C66160"/>
    <w:rsid w:val="00C7090A"/>
    <w:rsid w:val="00C721AC"/>
    <w:rsid w:val="00C7420D"/>
    <w:rsid w:val="00C80FCB"/>
    <w:rsid w:val="00C83B19"/>
    <w:rsid w:val="00C8601C"/>
    <w:rsid w:val="00C90D6A"/>
    <w:rsid w:val="00CA247E"/>
    <w:rsid w:val="00CA608A"/>
    <w:rsid w:val="00CA6D21"/>
    <w:rsid w:val="00CA7F51"/>
    <w:rsid w:val="00CB45FE"/>
    <w:rsid w:val="00CC2281"/>
    <w:rsid w:val="00CC72B6"/>
    <w:rsid w:val="00CE1769"/>
    <w:rsid w:val="00CE193C"/>
    <w:rsid w:val="00CE19CA"/>
    <w:rsid w:val="00CE6993"/>
    <w:rsid w:val="00CF232F"/>
    <w:rsid w:val="00D0218D"/>
    <w:rsid w:val="00D059FC"/>
    <w:rsid w:val="00D072AF"/>
    <w:rsid w:val="00D136A7"/>
    <w:rsid w:val="00D14782"/>
    <w:rsid w:val="00D25FB5"/>
    <w:rsid w:val="00D30E33"/>
    <w:rsid w:val="00D315D2"/>
    <w:rsid w:val="00D35079"/>
    <w:rsid w:val="00D44223"/>
    <w:rsid w:val="00D459DE"/>
    <w:rsid w:val="00D51DBD"/>
    <w:rsid w:val="00D52595"/>
    <w:rsid w:val="00D54E29"/>
    <w:rsid w:val="00D619DF"/>
    <w:rsid w:val="00D623F3"/>
    <w:rsid w:val="00D625D8"/>
    <w:rsid w:val="00D75416"/>
    <w:rsid w:val="00D775BA"/>
    <w:rsid w:val="00D81A3D"/>
    <w:rsid w:val="00D873B9"/>
    <w:rsid w:val="00D92E7E"/>
    <w:rsid w:val="00D93D16"/>
    <w:rsid w:val="00D9489C"/>
    <w:rsid w:val="00DA2529"/>
    <w:rsid w:val="00DA2EE4"/>
    <w:rsid w:val="00DA3A8A"/>
    <w:rsid w:val="00DA44DA"/>
    <w:rsid w:val="00DB130A"/>
    <w:rsid w:val="00DB2EBB"/>
    <w:rsid w:val="00DB362D"/>
    <w:rsid w:val="00DB4CE2"/>
    <w:rsid w:val="00DC10A1"/>
    <w:rsid w:val="00DC2142"/>
    <w:rsid w:val="00DC22B0"/>
    <w:rsid w:val="00DC655F"/>
    <w:rsid w:val="00DC6869"/>
    <w:rsid w:val="00DD0B59"/>
    <w:rsid w:val="00DD1639"/>
    <w:rsid w:val="00DD3942"/>
    <w:rsid w:val="00DD7EBD"/>
    <w:rsid w:val="00DF404C"/>
    <w:rsid w:val="00DF62B6"/>
    <w:rsid w:val="00DF79F6"/>
    <w:rsid w:val="00E07225"/>
    <w:rsid w:val="00E1173F"/>
    <w:rsid w:val="00E32B6F"/>
    <w:rsid w:val="00E418AB"/>
    <w:rsid w:val="00E51486"/>
    <w:rsid w:val="00E5409F"/>
    <w:rsid w:val="00E549F8"/>
    <w:rsid w:val="00E60482"/>
    <w:rsid w:val="00E668A0"/>
    <w:rsid w:val="00E70456"/>
    <w:rsid w:val="00E71161"/>
    <w:rsid w:val="00E714AC"/>
    <w:rsid w:val="00E75FB6"/>
    <w:rsid w:val="00E87BF2"/>
    <w:rsid w:val="00E90A95"/>
    <w:rsid w:val="00E91338"/>
    <w:rsid w:val="00E963AB"/>
    <w:rsid w:val="00EA5B95"/>
    <w:rsid w:val="00EB1BE2"/>
    <w:rsid w:val="00EB30A3"/>
    <w:rsid w:val="00EC01E8"/>
    <w:rsid w:val="00EC15D0"/>
    <w:rsid w:val="00EC73B8"/>
    <w:rsid w:val="00ED0C8E"/>
    <w:rsid w:val="00ED729E"/>
    <w:rsid w:val="00EE6488"/>
    <w:rsid w:val="00EE7663"/>
    <w:rsid w:val="00EE7777"/>
    <w:rsid w:val="00EF0DC3"/>
    <w:rsid w:val="00F021FA"/>
    <w:rsid w:val="00F15AC5"/>
    <w:rsid w:val="00F17307"/>
    <w:rsid w:val="00F17F7E"/>
    <w:rsid w:val="00F20375"/>
    <w:rsid w:val="00F23AA8"/>
    <w:rsid w:val="00F26A5B"/>
    <w:rsid w:val="00F310D3"/>
    <w:rsid w:val="00F31111"/>
    <w:rsid w:val="00F3698F"/>
    <w:rsid w:val="00F42EA5"/>
    <w:rsid w:val="00F444B0"/>
    <w:rsid w:val="00F444DF"/>
    <w:rsid w:val="00F47339"/>
    <w:rsid w:val="00F57DC7"/>
    <w:rsid w:val="00F57FEC"/>
    <w:rsid w:val="00F62E97"/>
    <w:rsid w:val="00F64209"/>
    <w:rsid w:val="00F71F3B"/>
    <w:rsid w:val="00F742B6"/>
    <w:rsid w:val="00F756EB"/>
    <w:rsid w:val="00F831AC"/>
    <w:rsid w:val="00F854A6"/>
    <w:rsid w:val="00F86D28"/>
    <w:rsid w:val="00F9029C"/>
    <w:rsid w:val="00F93BF5"/>
    <w:rsid w:val="00FA07D2"/>
    <w:rsid w:val="00FA2575"/>
    <w:rsid w:val="00FB2FA8"/>
    <w:rsid w:val="00FD0068"/>
    <w:rsid w:val="00FD4A10"/>
    <w:rsid w:val="00FE7799"/>
    <w:rsid w:val="00FF211F"/>
    <w:rsid w:val="00FF42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11EC486"/>
  <w15:chartTrackingRefBased/>
  <w15:docId w15:val="{DA97FC5B-93C7-4084-BB2D-18377154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1BCA"/>
    <w:pPr>
      <w:widowControl w:val="0"/>
    </w:pPr>
    <w:rPr>
      <w:snapToGrid w:val="0"/>
      <w:kern w:val="28"/>
      <w:sz w:val="22"/>
    </w:rPr>
  </w:style>
  <w:style w:type="paragraph" w:styleId="Heading1">
    <w:name w:val="heading 1"/>
    <w:basedOn w:val="Normal"/>
    <w:next w:val="ParaNum"/>
    <w:qFormat/>
    <w:rsid w:val="00041BC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41BCA"/>
    <w:pPr>
      <w:keepNext/>
      <w:numPr>
        <w:ilvl w:val="1"/>
        <w:numId w:val="3"/>
      </w:numPr>
      <w:spacing w:after="120"/>
      <w:outlineLvl w:val="1"/>
    </w:pPr>
    <w:rPr>
      <w:b/>
    </w:rPr>
  </w:style>
  <w:style w:type="paragraph" w:styleId="Heading3">
    <w:name w:val="heading 3"/>
    <w:basedOn w:val="Normal"/>
    <w:next w:val="ParaNum"/>
    <w:qFormat/>
    <w:rsid w:val="00041BCA"/>
    <w:pPr>
      <w:keepNext/>
      <w:numPr>
        <w:ilvl w:val="2"/>
        <w:numId w:val="3"/>
      </w:numPr>
      <w:tabs>
        <w:tab w:val="left" w:pos="2160"/>
      </w:tabs>
      <w:spacing w:after="120"/>
      <w:outlineLvl w:val="2"/>
    </w:pPr>
    <w:rPr>
      <w:b/>
    </w:rPr>
  </w:style>
  <w:style w:type="paragraph" w:styleId="Heading4">
    <w:name w:val="heading 4"/>
    <w:basedOn w:val="Normal"/>
    <w:next w:val="ParaNum"/>
    <w:qFormat/>
    <w:rsid w:val="00041BCA"/>
    <w:pPr>
      <w:keepNext/>
      <w:numPr>
        <w:ilvl w:val="3"/>
        <w:numId w:val="3"/>
      </w:numPr>
      <w:tabs>
        <w:tab w:val="left" w:pos="2880"/>
      </w:tabs>
      <w:spacing w:after="120"/>
      <w:outlineLvl w:val="3"/>
    </w:pPr>
    <w:rPr>
      <w:b/>
    </w:rPr>
  </w:style>
  <w:style w:type="paragraph" w:styleId="Heading5">
    <w:name w:val="heading 5"/>
    <w:basedOn w:val="Normal"/>
    <w:next w:val="ParaNum"/>
    <w:qFormat/>
    <w:rsid w:val="00041BC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41BCA"/>
    <w:pPr>
      <w:numPr>
        <w:ilvl w:val="5"/>
        <w:numId w:val="3"/>
      </w:numPr>
      <w:tabs>
        <w:tab w:val="left" w:pos="4320"/>
      </w:tabs>
      <w:spacing w:after="120"/>
      <w:outlineLvl w:val="5"/>
    </w:pPr>
    <w:rPr>
      <w:b/>
    </w:rPr>
  </w:style>
  <w:style w:type="paragraph" w:styleId="Heading7">
    <w:name w:val="heading 7"/>
    <w:basedOn w:val="Normal"/>
    <w:next w:val="ParaNum"/>
    <w:qFormat/>
    <w:rsid w:val="00041BC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41B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41B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41B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1BCA"/>
  </w:style>
  <w:style w:type="paragraph" w:customStyle="1" w:styleId="ParaNum">
    <w:name w:val="ParaNum"/>
    <w:basedOn w:val="Normal"/>
    <w:link w:val="ParaNumChar"/>
    <w:rsid w:val="00041BCA"/>
    <w:pPr>
      <w:numPr>
        <w:numId w:val="2"/>
      </w:numPr>
      <w:tabs>
        <w:tab w:val="clear" w:pos="1080"/>
        <w:tab w:val="num" w:pos="1440"/>
      </w:tabs>
      <w:spacing w:after="120"/>
    </w:pPr>
  </w:style>
  <w:style w:type="paragraph" w:styleId="EndnoteText">
    <w:name w:val="endnote text"/>
    <w:basedOn w:val="Normal"/>
    <w:semiHidden/>
    <w:rsid w:val="00041BCA"/>
    <w:rPr>
      <w:sz w:val="20"/>
    </w:rPr>
  </w:style>
  <w:style w:type="character" w:styleId="EndnoteReference">
    <w:name w:val="endnote reference"/>
    <w:semiHidden/>
    <w:rsid w:val="00041BCA"/>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fn Char,fn Char1 Char"/>
    <w:link w:val="FootnoteTextChar"/>
    <w:rsid w:val="00041BCA"/>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041BCA"/>
    <w:rPr>
      <w:rFonts w:ascii="Times New Roman" w:hAnsi="Times New Roman"/>
      <w:dstrike w:val="0"/>
      <w:color w:val="auto"/>
      <w:sz w:val="20"/>
      <w:vertAlign w:val="superscript"/>
    </w:rPr>
  </w:style>
  <w:style w:type="paragraph" w:styleId="TOC1">
    <w:name w:val="toc 1"/>
    <w:basedOn w:val="Normal"/>
    <w:next w:val="Normal"/>
    <w:semiHidden/>
    <w:rsid w:val="00041BC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41BCA"/>
    <w:pPr>
      <w:tabs>
        <w:tab w:val="left" w:pos="720"/>
        <w:tab w:val="right" w:leader="dot" w:pos="9360"/>
      </w:tabs>
      <w:suppressAutoHyphens/>
      <w:ind w:left="720" w:right="720" w:hanging="360"/>
    </w:pPr>
    <w:rPr>
      <w:noProof/>
    </w:rPr>
  </w:style>
  <w:style w:type="paragraph" w:styleId="TOC3">
    <w:name w:val="toc 3"/>
    <w:basedOn w:val="Normal"/>
    <w:next w:val="Normal"/>
    <w:semiHidden/>
    <w:rsid w:val="00041BC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41BC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41BC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41BC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41BC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41BC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41BC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41BCA"/>
    <w:pPr>
      <w:tabs>
        <w:tab w:val="right" w:pos="9360"/>
      </w:tabs>
      <w:suppressAutoHyphens/>
    </w:pPr>
  </w:style>
  <w:style w:type="character" w:customStyle="1" w:styleId="EquationCaption">
    <w:name w:val="_Equation Caption"/>
    <w:rsid w:val="00041BCA"/>
  </w:style>
  <w:style w:type="paragraph" w:styleId="Header">
    <w:name w:val="header"/>
    <w:basedOn w:val="Normal"/>
    <w:autoRedefine/>
    <w:rsid w:val="00041BCA"/>
    <w:pPr>
      <w:tabs>
        <w:tab w:val="center" w:pos="4680"/>
        <w:tab w:val="right" w:pos="9360"/>
      </w:tabs>
    </w:pPr>
    <w:rPr>
      <w:b/>
    </w:rPr>
  </w:style>
  <w:style w:type="paragraph" w:styleId="Footer">
    <w:name w:val="footer"/>
    <w:basedOn w:val="Normal"/>
    <w:link w:val="FooterChar"/>
    <w:uiPriority w:val="99"/>
    <w:rsid w:val="00041BCA"/>
    <w:pPr>
      <w:tabs>
        <w:tab w:val="center" w:pos="4320"/>
        <w:tab w:val="right" w:pos="8640"/>
      </w:tabs>
    </w:pPr>
  </w:style>
  <w:style w:type="character" w:styleId="PageNumber">
    <w:name w:val="page number"/>
    <w:basedOn w:val="DefaultParagraphFont"/>
    <w:rsid w:val="00041BCA"/>
  </w:style>
  <w:style w:type="paragraph" w:styleId="BlockText">
    <w:name w:val="Block Text"/>
    <w:basedOn w:val="Normal"/>
    <w:rsid w:val="00041BCA"/>
    <w:pPr>
      <w:spacing w:after="240"/>
      <w:ind w:left="1440" w:right="1440"/>
    </w:pPr>
  </w:style>
  <w:style w:type="paragraph" w:customStyle="1" w:styleId="Paratitle">
    <w:name w:val="Para title"/>
    <w:basedOn w:val="Normal"/>
    <w:rsid w:val="00041BCA"/>
    <w:pPr>
      <w:tabs>
        <w:tab w:val="center" w:pos="9270"/>
      </w:tabs>
      <w:spacing w:after="240"/>
    </w:pPr>
    <w:rPr>
      <w:spacing w:val="-2"/>
    </w:rPr>
  </w:style>
  <w:style w:type="paragraph" w:customStyle="1" w:styleId="Bullet">
    <w:name w:val="Bullet"/>
    <w:basedOn w:val="Normal"/>
    <w:rsid w:val="00041BCA"/>
    <w:pPr>
      <w:tabs>
        <w:tab w:val="left" w:pos="2160"/>
      </w:tabs>
      <w:spacing w:after="220"/>
      <w:ind w:left="2160" w:hanging="720"/>
    </w:pPr>
  </w:style>
  <w:style w:type="paragraph" w:customStyle="1" w:styleId="TableFormat">
    <w:name w:val="TableFormat"/>
    <w:basedOn w:val="Bullet"/>
    <w:rsid w:val="00041BCA"/>
    <w:pPr>
      <w:tabs>
        <w:tab w:val="clear" w:pos="2160"/>
        <w:tab w:val="left" w:pos="5040"/>
      </w:tabs>
      <w:ind w:left="5040" w:hanging="3600"/>
    </w:pPr>
  </w:style>
  <w:style w:type="paragraph" w:customStyle="1" w:styleId="TOCTitle">
    <w:name w:val="TOC Title"/>
    <w:basedOn w:val="Normal"/>
    <w:rsid w:val="00041BC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41BCA"/>
    <w:pPr>
      <w:jc w:val="center"/>
    </w:pPr>
    <w:rPr>
      <w:rFonts w:ascii="Times New Roman Bold" w:hAnsi="Times New Roman Bold"/>
      <w:b/>
      <w:bCs/>
      <w:caps/>
      <w:szCs w:val="22"/>
    </w:rPr>
  </w:style>
  <w:style w:type="character" w:styleId="Hyperlink">
    <w:name w:val="Hyperlink"/>
    <w:rsid w:val="00041BCA"/>
    <w:rPr>
      <w:color w:val="0000FF"/>
      <w:u w:val="single"/>
    </w:rPr>
  </w:style>
  <w:style w:type="character" w:customStyle="1" w:styleId="FooterChar">
    <w:name w:val="Footer Char"/>
    <w:link w:val="Footer"/>
    <w:uiPriority w:val="99"/>
    <w:rsid w:val="00041BCA"/>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 Char,fn Char1"/>
    <w:basedOn w:val="DefaultParagraphFont"/>
    <w:link w:val="FootnoteText"/>
    <w:rsid w:val="006A58D5"/>
  </w:style>
  <w:style w:type="character" w:customStyle="1" w:styleId="ParaNumChar">
    <w:name w:val="ParaNum Char"/>
    <w:link w:val="ParaNum"/>
    <w:locked/>
    <w:rsid w:val="006A58D5"/>
    <w:rPr>
      <w:snapToGrid w:val="0"/>
      <w:kern w:val="28"/>
      <w:sz w:val="22"/>
    </w:rPr>
  </w:style>
  <w:style w:type="paragraph" w:customStyle="1" w:styleId="fnChar11">
    <w:name w:val="fn Char11"/>
    <w:basedOn w:val="Normal"/>
    <w:rsid w:val="000E7EAF"/>
    <w:pPr>
      <w:widowControl/>
    </w:pPr>
    <w:rPr>
      <w:rFonts w:ascii="Aptos" w:eastAsia="MS PGothic" w:hAnsi="Aptos" w:cs="MS PGothic"/>
      <w:snapToGrid/>
      <w:kern w:val="0"/>
      <w:sz w:val="20"/>
      <w:lang w:eastAsia="ja-JP"/>
      <w14:ligatures w14:val="standardContextual"/>
    </w:rPr>
  </w:style>
  <w:style w:type="character" w:customStyle="1" w:styleId="ParaNumCharChar1">
    <w:name w:val="ParaNum Char Char1"/>
    <w:locked/>
    <w:rsid w:val="000F5795"/>
    <w:rPr>
      <w:snapToGrid w:val="0"/>
      <w:kern w:val="28"/>
      <w:sz w:val="22"/>
    </w:rPr>
  </w:style>
  <w:style w:type="character" w:styleId="UnresolvedMention">
    <w:name w:val="Unresolved Mention"/>
    <w:basedOn w:val="DefaultParagraphFont"/>
    <w:uiPriority w:val="99"/>
    <w:semiHidden/>
    <w:unhideWhenUsed/>
    <w:rsid w:val="00AC3104"/>
    <w:rPr>
      <w:color w:val="605E5C"/>
      <w:shd w:val="clear" w:color="auto" w:fill="E1DFDD"/>
    </w:rPr>
  </w:style>
  <w:style w:type="character" w:styleId="CommentReference">
    <w:name w:val="annotation reference"/>
    <w:basedOn w:val="DefaultParagraphFont"/>
    <w:rsid w:val="008B263C"/>
    <w:rPr>
      <w:sz w:val="16"/>
      <w:szCs w:val="16"/>
    </w:rPr>
  </w:style>
  <w:style w:type="paragraph" w:styleId="CommentText">
    <w:name w:val="annotation text"/>
    <w:basedOn w:val="Normal"/>
    <w:link w:val="CommentTextChar"/>
    <w:rsid w:val="008B263C"/>
    <w:rPr>
      <w:sz w:val="20"/>
    </w:rPr>
  </w:style>
  <w:style w:type="character" w:customStyle="1" w:styleId="CommentTextChar">
    <w:name w:val="Comment Text Char"/>
    <w:basedOn w:val="DefaultParagraphFont"/>
    <w:link w:val="CommentText"/>
    <w:rsid w:val="008B263C"/>
    <w:rPr>
      <w:snapToGrid w:val="0"/>
      <w:kern w:val="28"/>
    </w:rPr>
  </w:style>
  <w:style w:type="paragraph" w:styleId="CommentSubject">
    <w:name w:val="annotation subject"/>
    <w:basedOn w:val="CommentText"/>
    <w:next w:val="CommentText"/>
    <w:link w:val="CommentSubjectChar"/>
    <w:rsid w:val="008B263C"/>
    <w:rPr>
      <w:b/>
      <w:bCs/>
    </w:rPr>
  </w:style>
  <w:style w:type="character" w:customStyle="1" w:styleId="CommentSubjectChar">
    <w:name w:val="Comment Subject Char"/>
    <w:basedOn w:val="CommentTextChar"/>
    <w:link w:val="CommentSubject"/>
    <w:rsid w:val="008B263C"/>
    <w:rPr>
      <w:b/>
      <w:bCs/>
      <w:snapToGrid w:val="0"/>
      <w:kern w:val="28"/>
    </w:rPr>
  </w:style>
  <w:style w:type="paragraph" w:styleId="Revision">
    <w:name w:val="Revision"/>
    <w:hidden/>
    <w:uiPriority w:val="99"/>
    <w:semiHidden/>
    <w:rsid w:val="00F71F3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OC-359222A1.xlsx" TargetMode="External" /><Relationship Id="rId2" Type="http://schemas.openxmlformats.org/officeDocument/2006/relationships/hyperlink" Target="https://www.fcc.gov/document/enhanced-cam-authorization-report"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