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21673" w14:paraId="417342C3" w14:textId="77777777">
      <w:pPr>
        <w:jc w:val="right"/>
        <w:rPr>
          <w:sz w:val="24"/>
        </w:rPr>
      </w:pPr>
    </w:p>
    <w:p w:rsidR="00521673" w14:paraId="6E9120B2" w14:textId="1C114C7F">
      <w:pPr>
        <w:jc w:val="right"/>
        <w:rPr>
          <w:b/>
          <w:sz w:val="24"/>
        </w:rPr>
      </w:pPr>
      <w:r>
        <w:rPr>
          <w:b/>
          <w:sz w:val="24"/>
        </w:rPr>
        <w:t>DA 24-</w:t>
      </w:r>
      <w:r w:rsidR="00F2480B">
        <w:rPr>
          <w:b/>
          <w:sz w:val="24"/>
        </w:rPr>
        <w:t>320</w:t>
      </w:r>
    </w:p>
    <w:p w:rsidR="00521673" w14:paraId="50A03663" w14:textId="113D9E6A">
      <w:pPr>
        <w:spacing w:before="60"/>
        <w:jc w:val="right"/>
        <w:rPr>
          <w:b/>
          <w:sz w:val="24"/>
        </w:rPr>
      </w:pPr>
      <w:r>
        <w:rPr>
          <w:b/>
          <w:sz w:val="24"/>
        </w:rPr>
        <w:t xml:space="preserve">Released:  </w:t>
      </w:r>
      <w:r w:rsidR="00F64E4C">
        <w:rPr>
          <w:b/>
          <w:sz w:val="24"/>
        </w:rPr>
        <w:t>April 2</w:t>
      </w:r>
      <w:r w:rsidR="00B33476">
        <w:rPr>
          <w:b/>
          <w:sz w:val="24"/>
        </w:rPr>
        <w:t>, 2024</w:t>
      </w:r>
    </w:p>
    <w:p w:rsidR="00521673" w14:paraId="2D535932" w14:textId="77777777">
      <w:pPr>
        <w:jc w:val="right"/>
        <w:rPr>
          <w:sz w:val="24"/>
        </w:rPr>
      </w:pPr>
    </w:p>
    <w:p w:rsidR="00521673" w14:paraId="719195D9" w14:textId="15449087">
      <w:pPr>
        <w:spacing w:after="240"/>
        <w:jc w:val="center"/>
        <w:rPr>
          <w:rFonts w:ascii="Times New Roman Bold" w:hAnsi="Times New Roman Bold"/>
          <w:b/>
          <w:caps/>
          <w:sz w:val="24"/>
        </w:rPr>
      </w:pPr>
      <w:r>
        <w:rPr>
          <w:b/>
          <w:sz w:val="24"/>
          <w:szCs w:val="24"/>
        </w:rPr>
        <w:t xml:space="preserve">WIRELESS TELECOMMUNICATIONS BUREAU </w:t>
      </w:r>
      <w:r w:rsidRPr="00873FEC">
        <w:rPr>
          <w:b/>
          <w:sz w:val="24"/>
          <w:szCs w:val="24"/>
        </w:rPr>
        <w:t>SEEK</w:t>
      </w:r>
      <w:r>
        <w:rPr>
          <w:b/>
          <w:sz w:val="24"/>
          <w:szCs w:val="24"/>
        </w:rPr>
        <w:t>S</w:t>
      </w:r>
      <w:r w:rsidRPr="00873FEC">
        <w:rPr>
          <w:b/>
          <w:sz w:val="24"/>
          <w:szCs w:val="24"/>
        </w:rPr>
        <w:t xml:space="preserve"> COMMENT ON</w:t>
      </w:r>
      <w:r>
        <w:rPr>
          <w:b/>
          <w:sz w:val="24"/>
          <w:szCs w:val="24"/>
        </w:rPr>
        <w:t xml:space="preserve"> </w:t>
      </w:r>
      <w:bookmarkStart w:id="0" w:name="_Hlk146271465"/>
      <w:r>
        <w:rPr>
          <w:b/>
          <w:sz w:val="24"/>
          <w:szCs w:val="24"/>
        </w:rPr>
        <w:t>PETITION FOR RULEMAKING</w:t>
      </w:r>
      <w:bookmarkEnd w:id="0"/>
      <w:r w:rsidR="0045215C">
        <w:rPr>
          <w:b/>
          <w:sz w:val="24"/>
          <w:szCs w:val="24"/>
        </w:rPr>
        <w:t xml:space="preserve"> TO EXPAND WIRELESS BROADBAND IN 900 MHZ BAND</w:t>
      </w:r>
    </w:p>
    <w:p w:rsidR="00644247" w:rsidP="00644247" w14:paraId="279825A9" w14:textId="3CF554FC">
      <w:pPr>
        <w:jc w:val="center"/>
        <w:rPr>
          <w:b/>
        </w:rPr>
      </w:pPr>
      <w:r>
        <w:rPr>
          <w:b/>
        </w:rPr>
        <w:t xml:space="preserve">WT </w:t>
      </w:r>
      <w:r w:rsidRPr="005A3FFD">
        <w:rPr>
          <w:b/>
        </w:rPr>
        <w:t xml:space="preserve">Docket </w:t>
      </w:r>
      <w:r w:rsidRPr="00927BBD">
        <w:rPr>
          <w:b/>
        </w:rPr>
        <w:t>No. 2</w:t>
      </w:r>
      <w:r>
        <w:rPr>
          <w:b/>
        </w:rPr>
        <w:t>4</w:t>
      </w:r>
      <w:r w:rsidRPr="00927BBD">
        <w:rPr>
          <w:b/>
        </w:rPr>
        <w:t>-</w:t>
      </w:r>
      <w:r w:rsidR="00F2480B">
        <w:rPr>
          <w:b/>
          <w:bCs/>
        </w:rPr>
        <w:t>99</w:t>
      </w:r>
    </w:p>
    <w:p w:rsidR="00521673" w:rsidP="00644247" w14:paraId="0BB04F86" w14:textId="3E61A64A">
      <w:pPr>
        <w:jc w:val="center"/>
        <w:rPr>
          <w:b/>
          <w:sz w:val="24"/>
        </w:rPr>
      </w:pPr>
      <w:r>
        <w:rPr>
          <w:b/>
        </w:rPr>
        <w:t>RM-</w:t>
      </w:r>
      <w:r w:rsidR="00F2480B">
        <w:rPr>
          <w:b/>
          <w:bCs/>
        </w:rPr>
        <w:t>11977</w:t>
      </w:r>
    </w:p>
    <w:p w:rsidR="00521673" w14:paraId="6217D2EF" w14:textId="77777777">
      <w:bookmarkStart w:id="1" w:name="TOChere"/>
    </w:p>
    <w:bookmarkEnd w:id="1"/>
    <w:p w:rsidR="0067545D" w:rsidP="0067545D" w14:paraId="5E169676" w14:textId="7E4D3C42">
      <w:pPr>
        <w:rPr>
          <w:b/>
        </w:rPr>
      </w:pPr>
      <w:r w:rsidRPr="005A3FFD">
        <w:rPr>
          <w:b/>
        </w:rPr>
        <w:t>Comment</w:t>
      </w:r>
      <w:r>
        <w:rPr>
          <w:b/>
        </w:rPr>
        <w:t>s</w:t>
      </w:r>
      <w:r w:rsidRPr="005A3FFD">
        <w:rPr>
          <w:b/>
        </w:rPr>
        <w:t xml:space="preserve"> D</w:t>
      </w:r>
      <w:r>
        <w:rPr>
          <w:b/>
        </w:rPr>
        <w:t>ue</w:t>
      </w:r>
      <w:r w:rsidRPr="005A3FFD">
        <w:rPr>
          <w:b/>
        </w:rPr>
        <w:t xml:space="preserve">: </w:t>
      </w:r>
      <w:r>
        <w:rPr>
          <w:b/>
        </w:rPr>
        <w:t xml:space="preserve"> </w:t>
      </w:r>
      <w:r w:rsidR="00F2480B">
        <w:rPr>
          <w:b/>
          <w:bCs/>
        </w:rPr>
        <w:t>May 2</w:t>
      </w:r>
      <w:r>
        <w:rPr>
          <w:b/>
        </w:rPr>
        <w:t>, 2024</w:t>
      </w:r>
    </w:p>
    <w:p w:rsidR="0067545D" w:rsidP="0067545D" w14:paraId="23970D87" w14:textId="585C1F6E">
      <w:pPr>
        <w:rPr>
          <w:b/>
        </w:rPr>
      </w:pPr>
      <w:r w:rsidRPr="005A3FFD">
        <w:rPr>
          <w:b/>
        </w:rPr>
        <w:t>Reply Comment</w:t>
      </w:r>
      <w:r>
        <w:rPr>
          <w:b/>
        </w:rPr>
        <w:t xml:space="preserve">s:  </w:t>
      </w:r>
      <w:bookmarkStart w:id="2" w:name="_Toc283223449"/>
      <w:bookmarkStart w:id="3" w:name="_Toc283367870"/>
      <w:bookmarkStart w:id="4" w:name="_Toc284348838"/>
      <w:bookmarkStart w:id="5" w:name="_Toc284587564"/>
      <w:bookmarkStart w:id="6" w:name="_Toc284587927"/>
      <w:bookmarkStart w:id="7" w:name="_Toc284929130"/>
      <w:bookmarkStart w:id="8" w:name="_Toc285009993"/>
      <w:bookmarkStart w:id="9" w:name="_Toc290988865"/>
      <w:bookmarkStart w:id="10" w:name="_Toc322688625"/>
      <w:bookmarkStart w:id="11" w:name="_Toc370815930"/>
      <w:bookmarkStart w:id="12" w:name="_Toc372550649"/>
      <w:bookmarkStart w:id="13" w:name="_Toc373244924"/>
      <w:bookmarkStart w:id="14" w:name="_Toc417041235"/>
      <w:bookmarkStart w:id="15" w:name="_Toc420669237"/>
      <w:bookmarkStart w:id="16" w:name="_Toc420670506"/>
      <w:bookmarkStart w:id="17" w:name="_Toc421869074"/>
      <w:bookmarkStart w:id="18" w:name="_Hlk29300029"/>
      <w:bookmarkStart w:id="19" w:name="_Hlk29394645"/>
      <w:r w:rsidR="00F2480B">
        <w:rPr>
          <w:b/>
          <w:bCs/>
        </w:rPr>
        <w:t>May 18</w:t>
      </w:r>
      <w:r>
        <w:rPr>
          <w:b/>
        </w:rPr>
        <w:t>, 2024</w:t>
      </w:r>
    </w:p>
    <w:p w:rsidR="0067545D" w:rsidP="0067545D" w14:paraId="74EEB3A7" w14:textId="77777777">
      <w:pPr>
        <w:rPr>
          <w:b/>
        </w:rPr>
      </w:pPr>
    </w:p>
    <w:p w:rsidR="0067545D" w:rsidRPr="008D26D4" w:rsidP="0067545D" w14:paraId="046F160B" w14:textId="30BEC63E">
      <w:pPr>
        <w:widowControl/>
        <w:spacing w:after="120"/>
        <w:ind w:firstLine="720"/>
        <w:rPr>
          <w:szCs w:val="22"/>
        </w:rPr>
      </w:pPr>
      <w:r>
        <w:t>On February 28, 2024,</w:t>
      </w:r>
      <w:r w:rsidRPr="00202A7D">
        <w:t xml:space="preserve"> ten entities filed a petition for rulemaking asking the Commission to </w:t>
      </w:r>
      <w:r w:rsidRPr="008D26D4">
        <w:t xml:space="preserve">provide an option for 5/5 megahertz broadband networks in </w:t>
      </w:r>
      <w:r w:rsidR="00580BDF">
        <w:t>paired</w:t>
      </w:r>
      <w:r w:rsidRPr="008D26D4" w:rsidR="00580BDF">
        <w:t xml:space="preserve"> </w:t>
      </w:r>
      <w:r w:rsidR="00EF2762">
        <w:t>896</w:t>
      </w:r>
      <w:r w:rsidR="00731212">
        <w:t>-</w:t>
      </w:r>
      <w:r w:rsidR="00EF2762">
        <w:t>901</w:t>
      </w:r>
      <w:r w:rsidR="00580BDF">
        <w:t xml:space="preserve"> MHz and 935</w:t>
      </w:r>
      <w:r w:rsidR="00731212">
        <w:t>-</w:t>
      </w:r>
      <w:r w:rsidR="00580BDF">
        <w:t>940 MHz spectrum (</w:t>
      </w:r>
      <w:r w:rsidRPr="008D26D4">
        <w:t>900 MHz band</w:t>
      </w:r>
      <w:r w:rsidR="00615326">
        <w:t>)</w:t>
      </w:r>
      <w:r w:rsidRPr="008D26D4">
        <w:t>.</w:t>
      </w:r>
      <w:r>
        <w:rPr>
          <w:rStyle w:val="FootnoteReference"/>
        </w:rPr>
        <w:footnoteReference w:id="3"/>
      </w:r>
      <w:r w:rsidRPr="008D26D4">
        <w:t xml:space="preserve">  In this </w:t>
      </w:r>
      <w:r w:rsidRPr="002C0AAC">
        <w:rPr>
          <w:i/>
          <w:iCs/>
        </w:rPr>
        <w:t>Public Notice</w:t>
      </w:r>
      <w:r w:rsidRPr="008D26D4">
        <w:t xml:space="preserve">, the Wireless </w:t>
      </w:r>
      <w:r w:rsidRPr="008D26D4">
        <w:rPr>
          <w:szCs w:val="22"/>
        </w:rPr>
        <w:t xml:space="preserve">Telecommunications Bureau seeks comment on the Petition.  </w:t>
      </w:r>
    </w:p>
    <w:p w:rsidR="0067545D" w:rsidRPr="008D26D4" w:rsidP="0067545D" w14:paraId="34AD4797" w14:textId="1EAAD983">
      <w:pPr>
        <w:widowControl/>
        <w:spacing w:after="120"/>
        <w:ind w:firstLine="720"/>
        <w:rPr>
          <w:szCs w:val="22"/>
        </w:rPr>
      </w:pPr>
      <w:r w:rsidRPr="008D26D4">
        <w:rPr>
          <w:i/>
          <w:iCs/>
          <w:szCs w:val="22"/>
        </w:rPr>
        <w:t>Background</w:t>
      </w:r>
      <w:r w:rsidRPr="008D26D4">
        <w:rPr>
          <w:szCs w:val="22"/>
        </w:rPr>
        <w:t>.  On May 14, 2020, the Commission realigned the 900 MHz band to make available six megahertz of low-band spectrum for the development of critical wireless broadband technologies and services, while reserving the remaining four megahertz of spectrum for continued narrowband operations.</w:t>
      </w:r>
      <w:r>
        <w:rPr>
          <w:rStyle w:val="FootnoteReference"/>
          <w:szCs w:val="22"/>
        </w:rPr>
        <w:footnoteReference w:id="4"/>
      </w:r>
      <w:r w:rsidRPr="008D26D4">
        <w:rPr>
          <w:szCs w:val="22"/>
        </w:rPr>
        <w:t xml:space="preserve">  The </w:t>
      </w:r>
      <w:r w:rsidRPr="008D26D4">
        <w:rPr>
          <w:i/>
          <w:iCs/>
          <w:szCs w:val="22"/>
        </w:rPr>
        <w:t>900 MHz R&amp;O</w:t>
      </w:r>
      <w:r w:rsidRPr="008D26D4">
        <w:rPr>
          <w:szCs w:val="22"/>
        </w:rPr>
        <w:t xml:space="preserve"> created a 3/3 megahertz broadband segment and adopted a transition mechanism based primarily on negotiations between prospective broadband licensees and existing narrowband incumbent licensees.  </w:t>
      </w:r>
      <w:r>
        <w:rPr>
          <w:szCs w:val="22"/>
        </w:rPr>
        <w:t xml:space="preserve">The Commission considered a 5/5 megahertz broadband </w:t>
      </w:r>
      <w:r w:rsidR="004D222E">
        <w:rPr>
          <w:szCs w:val="22"/>
        </w:rPr>
        <w:t>segment</w:t>
      </w:r>
      <w:r>
        <w:rPr>
          <w:szCs w:val="22"/>
        </w:rPr>
        <w:t xml:space="preserve">, </w:t>
      </w:r>
      <w:r w:rsidR="00680ED3">
        <w:rPr>
          <w:szCs w:val="22"/>
        </w:rPr>
        <w:t xml:space="preserve">but did not adopt </w:t>
      </w:r>
      <w:r w:rsidR="004D222E">
        <w:rPr>
          <w:szCs w:val="22"/>
        </w:rPr>
        <w:t xml:space="preserve">it </w:t>
      </w:r>
      <w:r>
        <w:rPr>
          <w:szCs w:val="22"/>
        </w:rPr>
        <w:t>at that time, recognizing the need for continued narrowband operations and to observe the interference environment in adjacent bands after broadband deployment.</w:t>
      </w:r>
      <w:r>
        <w:rPr>
          <w:rStyle w:val="FootnoteReference"/>
          <w:szCs w:val="22"/>
        </w:rPr>
        <w:footnoteReference w:id="5"/>
      </w:r>
      <w:r>
        <w:rPr>
          <w:szCs w:val="22"/>
        </w:rPr>
        <w:t xml:space="preserve">  </w:t>
      </w:r>
    </w:p>
    <w:p w:rsidR="0067545D" w:rsidRPr="008D26D4" w:rsidP="0067545D" w14:paraId="76A02A0B" w14:textId="60F9FBD4">
      <w:pPr>
        <w:widowControl/>
        <w:spacing w:after="120"/>
        <w:ind w:firstLine="720"/>
      </w:pPr>
      <w:r w:rsidRPr="008D26D4">
        <w:rPr>
          <w:i/>
          <w:iCs/>
          <w:szCs w:val="22"/>
        </w:rPr>
        <w:t>Petition for Rulemaking</w:t>
      </w:r>
      <w:r w:rsidRPr="008D26D4">
        <w:rPr>
          <w:szCs w:val="22"/>
        </w:rPr>
        <w:t>.  Petitioners</w:t>
      </w:r>
      <w:r w:rsidRPr="008D26D4">
        <w:t xml:space="preserve"> ask </w:t>
      </w:r>
      <w:r w:rsidRPr="009A3294">
        <w:t xml:space="preserve">that the Commission now </w:t>
      </w:r>
      <w:r>
        <w:t>allow</w:t>
      </w:r>
      <w:r w:rsidRPr="009A3294">
        <w:t xml:space="preserve"> </w:t>
      </w:r>
      <w:r w:rsidR="00AD34F9">
        <w:t xml:space="preserve">the option of </w:t>
      </w:r>
      <w:r w:rsidR="00504135">
        <w:t xml:space="preserve">expanded </w:t>
      </w:r>
      <w:r w:rsidRPr="009A3294">
        <w:t>5/5 megahertz broadband networks in the 900 MHz band.</w:t>
      </w:r>
      <w:r w:rsidR="00F404B1">
        <w:t xml:space="preserve">  They state expanded 5/5 megahertz broadband </w:t>
      </w:r>
      <w:r w:rsidR="009001EA">
        <w:t xml:space="preserve">will </w:t>
      </w:r>
      <w:r w:rsidR="00411EE2">
        <w:t xml:space="preserve">support growing demand for wide-area, private, and secure wireless broadband networks </w:t>
      </w:r>
      <w:r w:rsidR="00DB5042">
        <w:t>for utilities, critical infrastructure, and business enterprise</w:t>
      </w:r>
      <w:r w:rsidR="004F5481">
        <w:t xml:space="preserve"> entities</w:t>
      </w:r>
      <w:r w:rsidR="009502F8">
        <w:t>, among other benefits</w:t>
      </w:r>
      <w:r w:rsidR="004F5481">
        <w:t>.</w:t>
      </w:r>
      <w:r>
        <w:rPr>
          <w:rStyle w:val="FootnoteReference"/>
        </w:rPr>
        <w:footnoteReference w:id="6"/>
      </w:r>
      <w:r>
        <w:t xml:space="preserve">  </w:t>
      </w:r>
      <w:r w:rsidR="002E6E4A">
        <w:t xml:space="preserve">They </w:t>
      </w:r>
      <w:r w:rsidR="004E3017">
        <w:t xml:space="preserve">suggest that the Commission adopt a framework </w:t>
      </w:r>
      <w:r w:rsidR="002E6E4A">
        <w:t>to</w:t>
      </w:r>
      <w:r>
        <w:t xml:space="preserve"> authoriz</w:t>
      </w:r>
      <w:r w:rsidR="00DF35BD">
        <w:t>e</w:t>
      </w:r>
      <w:r w:rsidR="002E6E4A">
        <w:t xml:space="preserve"> these networks</w:t>
      </w:r>
      <w:r>
        <w:t xml:space="preserve"> by an initial application for a 5/5 </w:t>
      </w:r>
      <w:r w:rsidRPr="003C4541">
        <w:t>megahertz</w:t>
      </w:r>
      <w:r>
        <w:t xml:space="preserve"> license or by expanding an existing 3/3 </w:t>
      </w:r>
      <w:r w:rsidRPr="003C4541">
        <w:t>megahertz license in the 900 MHz broadband segment</w:t>
      </w:r>
      <w:r w:rsidR="005148E9">
        <w:t xml:space="preserve"> </w:t>
      </w:r>
      <w:r w:rsidRPr="00CD1CA9" w:rsidR="00CD1CA9">
        <w:t>upon a showing that all covered incumbents</w:t>
      </w:r>
      <w:r w:rsidR="00C47B91">
        <w:t xml:space="preserve"> are cleared from the </w:t>
      </w:r>
      <w:r w:rsidR="00A16340">
        <w:t>band</w:t>
      </w:r>
      <w:r>
        <w:t>.</w:t>
      </w:r>
      <w:r>
        <w:rPr>
          <w:rStyle w:val="FootnoteReference"/>
        </w:rPr>
        <w:footnoteReference w:id="7"/>
      </w:r>
      <w:r>
        <w:t xml:space="preserve">  Under Petitioner’s proposed plan, </w:t>
      </w:r>
      <w:r w:rsidR="00391F0F">
        <w:t xml:space="preserve">Petitioners </w:t>
      </w:r>
      <w:r w:rsidR="002325CB">
        <w:t>assert</w:t>
      </w:r>
      <w:r w:rsidR="00391F0F">
        <w:t xml:space="preserve"> </w:t>
      </w:r>
      <w:r>
        <w:t xml:space="preserve">narrowband incumbents would remain protected </w:t>
      </w:r>
      <w:r w:rsidR="00B81A96">
        <w:t xml:space="preserve">under the existing framework in the rules </w:t>
      </w:r>
      <w:r>
        <w:t>and would only vacate an existing narrowband segment to allow 5/5 megahertz broadband operations if the</w:t>
      </w:r>
      <w:r w:rsidR="00CB10A5">
        <w:t xml:space="preserve"> relevant</w:t>
      </w:r>
      <w:r>
        <w:t xml:space="preserve"> parties made a private agreement to do so.  </w:t>
      </w:r>
      <w:r w:rsidR="002A0784">
        <w:t xml:space="preserve">Petitioners </w:t>
      </w:r>
      <w:r w:rsidR="00D25CDA">
        <w:t xml:space="preserve">suggest </w:t>
      </w:r>
      <w:r w:rsidR="002A0784">
        <w:t xml:space="preserve">that no changes </w:t>
      </w:r>
      <w:r w:rsidR="00F5609F">
        <w:t xml:space="preserve">are necessary </w:t>
      </w:r>
      <w:r w:rsidR="00D97BC9">
        <w:t>to the incumbent interference, technical, or performance requirement rules to implement 5/5 megahertz broadband operations.</w:t>
      </w:r>
      <w:r>
        <w:rPr>
          <w:rStyle w:val="FootnoteReference"/>
        </w:rPr>
        <w:footnoteReference w:id="8"/>
      </w:r>
      <w:r w:rsidR="00D97BC9">
        <w:t xml:space="preserve">  </w:t>
      </w:r>
    </w:p>
    <w:p w:rsidR="0067545D" w:rsidP="0067545D" w14:paraId="7979DF0E" w14:textId="1DB8BCD3">
      <w:pPr>
        <w:widowControl/>
        <w:spacing w:after="120"/>
        <w:ind w:firstLine="720"/>
      </w:pPr>
      <w:r>
        <w:t xml:space="preserve">We seek comment generally on the Petition </w:t>
      </w:r>
      <w:r w:rsidR="002D3010">
        <w:t>and</w:t>
      </w:r>
      <w:r>
        <w:t xml:space="preserve"> its request that </w:t>
      </w:r>
      <w:r w:rsidRPr="00CB76C6">
        <w:t xml:space="preserve">the Commission </w:t>
      </w:r>
      <w:r w:rsidRPr="008D26D4">
        <w:t>provide an option for 5/5 megahertz broadband networks in the 900 MHz band</w:t>
      </w:r>
      <w:r w:rsidR="00127EAD">
        <w:t xml:space="preserve"> through a </w:t>
      </w:r>
      <w:r w:rsidR="00F46E0D">
        <w:t>voluntary transition process</w:t>
      </w:r>
      <w:r>
        <w:t>.</w:t>
      </w:r>
      <w:r w:rsidR="00A461DA">
        <w:t xml:space="preserve">  </w:t>
      </w:r>
      <w:r w:rsidR="00F46E0D">
        <w:t>In particular,</w:t>
      </w:r>
      <w:r w:rsidR="00A461DA">
        <w:t xml:space="preserve"> we seek comment on </w:t>
      </w:r>
      <w:r w:rsidR="007E16D5">
        <w:t xml:space="preserve">whether existing rules would be sufficient to protect incumbent narrowband operations from interference, </w:t>
      </w:r>
      <w:r w:rsidR="006B08E5">
        <w:t>as well as whether those rules would be sufficient to protect operations in adjacent spectrum bands.</w:t>
      </w:r>
      <w:r w:rsidR="00CC681F">
        <w:t xml:space="preserve"> </w:t>
      </w:r>
    </w:p>
    <w:p w:rsidR="0067545D" w:rsidRPr="00234A0A" w:rsidP="0067545D" w14:paraId="536F0E0D" w14:textId="77777777">
      <w:pPr>
        <w:widowControl/>
        <w:spacing w:after="120"/>
        <w:ind w:firstLine="720"/>
      </w:pPr>
      <w:r>
        <w:t>For this proceeding, we herein open a docket and assign a rulemaking number, as is typically assigned to petitions for rulemaking.</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67545D" w:rsidRPr="003E2E0B" w:rsidP="0067545D" w14:paraId="667AED33" w14:textId="5B39D80D">
      <w:pPr>
        <w:keepNext/>
        <w:widowControl/>
        <w:spacing w:after="120"/>
        <w:ind w:firstLine="720"/>
      </w:pPr>
      <w:r w:rsidRPr="003E2E0B">
        <w:rPr>
          <w:i/>
          <w:iCs/>
        </w:rPr>
        <w:t>Filing Requirements</w:t>
      </w:r>
      <w:r w:rsidRPr="00C96545">
        <w:t xml:space="preserve">.  </w:t>
      </w:r>
      <w:r w:rsidRPr="003E2E0B">
        <w:t>Pursuant to sections 1.4</w:t>
      </w:r>
      <w:r>
        <w:t>03</w:t>
      </w:r>
      <w:r w:rsidRPr="003E2E0B">
        <w:t xml:space="preserve"> and 1.4</w:t>
      </w:r>
      <w:r>
        <w:t>05</w:t>
      </w:r>
      <w:r w:rsidRPr="003E2E0B">
        <w:t xml:space="preserve"> of the Commission's rules,</w:t>
      </w:r>
      <w:r>
        <w:rPr>
          <w:vertAlign w:val="superscript"/>
        </w:rPr>
        <w:footnoteReference w:id="9"/>
      </w:r>
      <w:r w:rsidRPr="003E2E0B">
        <w:t xml:space="preserve"> interested parties may file comments and reply comments on or before the dates indicated above and must reference </w:t>
      </w:r>
      <w:r w:rsidRPr="00450964">
        <w:rPr>
          <w:b/>
          <w:bCs/>
        </w:rPr>
        <w:t xml:space="preserve">WT Docket No. </w:t>
      </w:r>
      <w:r w:rsidRPr="00450964" w:rsidR="002274F9">
        <w:rPr>
          <w:b/>
          <w:bCs/>
        </w:rPr>
        <w:t>24-</w:t>
      </w:r>
      <w:r w:rsidR="00F2480B">
        <w:rPr>
          <w:b/>
          <w:bCs/>
        </w:rPr>
        <w:t>99</w:t>
      </w:r>
      <w:r w:rsidRPr="003E2E0B">
        <w:t>.  Comments may be filed using the Commission’s Electronic Comment Filing System (ECFS) or by filing paper copies.</w:t>
      </w:r>
      <w:r>
        <w:rPr>
          <w:vertAlign w:val="superscript"/>
        </w:rPr>
        <w:footnoteReference w:id="10"/>
      </w:r>
    </w:p>
    <w:p w:rsidR="0067545D" w:rsidRPr="003E2E0B" w:rsidP="0067545D" w14:paraId="14EAAD9F" w14:textId="7F27FB31">
      <w:pPr>
        <w:widowControl/>
        <w:numPr>
          <w:ilvl w:val="0"/>
          <w:numId w:val="7"/>
        </w:numPr>
        <w:spacing w:after="120"/>
      </w:pPr>
      <w:r w:rsidRPr="003E2E0B">
        <w:rPr>
          <w:i/>
        </w:rPr>
        <w:t>Electronic Filers</w:t>
      </w:r>
      <w:r w:rsidRPr="003E2E0B">
        <w:t>: Comments may be filed electronically using the Internet by accessing the ECFS:</w:t>
      </w:r>
      <w:r w:rsidR="00D94129">
        <w:t xml:space="preserve"> </w:t>
      </w:r>
      <w:r w:rsidRPr="003E2E0B">
        <w:t xml:space="preserve"> </w:t>
      </w:r>
      <w:hyperlink r:id="rId5">
        <w:r w:rsidRPr="1AB55C53">
          <w:rPr>
            <w:rStyle w:val="Hyperlink"/>
          </w:rPr>
          <w:t>https://www.fcc.gov/ecfs</w:t>
        </w:r>
      </w:hyperlink>
      <w:r w:rsidR="00445EB2">
        <w:rPr>
          <w:rStyle w:val="Hyperlink"/>
        </w:rPr>
        <w:t>/</w:t>
      </w:r>
      <w:r>
        <w:t>.</w:t>
      </w:r>
      <w:r w:rsidRPr="003E2E0B">
        <w:t xml:space="preserve">  </w:t>
      </w:r>
    </w:p>
    <w:p w:rsidR="0067545D" w:rsidRPr="003E2E0B" w:rsidP="0067545D" w14:paraId="0A137C6A" w14:textId="77777777">
      <w:pPr>
        <w:numPr>
          <w:ilvl w:val="0"/>
          <w:numId w:val="7"/>
        </w:numPr>
        <w:spacing w:after="120"/>
      </w:pPr>
      <w:r w:rsidRPr="003E2E0B">
        <w:rPr>
          <w:i/>
        </w:rPr>
        <w:t>Paper Filers</w:t>
      </w:r>
      <w:r w:rsidRPr="003E2E0B">
        <w:t>: Parties who choose to file by paper must file an original and one copy of each filing.</w:t>
      </w:r>
    </w:p>
    <w:p w:rsidR="0067545D" w:rsidRPr="003E2E0B" w:rsidP="0067545D" w14:paraId="2898A535" w14:textId="77777777">
      <w:pPr>
        <w:numPr>
          <w:ilvl w:val="0"/>
          <w:numId w:val="7"/>
        </w:numPr>
        <w:spacing w:after="120"/>
      </w:pPr>
      <w:r w:rsidRPr="003E2E0B">
        <w:t xml:space="preserve">Filings can be sent by commercial overnight courier, or by first-class or overnight U.S. Postal Service mail. </w:t>
      </w:r>
      <w:r>
        <w:t xml:space="preserve"> </w:t>
      </w:r>
      <w:r w:rsidRPr="003E2E0B">
        <w:t>All filings must be addressed to the Commission’s Secretary, Office of the Secretary, Federal Communications Commission.</w:t>
      </w:r>
    </w:p>
    <w:p w:rsidR="0067545D" w:rsidP="0067545D" w14:paraId="0306ACA9" w14:textId="77777777">
      <w:pPr>
        <w:numPr>
          <w:ilvl w:val="1"/>
          <w:numId w:val="7"/>
        </w:numPr>
        <w:spacing w:after="120"/>
        <w:ind w:left="1080"/>
      </w:pPr>
      <w:r w:rsidRPr="003E2E0B">
        <w:t xml:space="preserve">Commercial overnight mail (other than U.S. Postal Service Express Mail and Priority Mail) must be sent to 9050 Junction Drive, Annapolis Junction, MD 20701.  </w:t>
      </w:r>
    </w:p>
    <w:p w:rsidR="0067545D" w:rsidRPr="003E2E0B" w:rsidP="0067545D" w14:paraId="321A9108" w14:textId="77777777">
      <w:pPr>
        <w:numPr>
          <w:ilvl w:val="1"/>
          <w:numId w:val="7"/>
        </w:numPr>
        <w:spacing w:after="120"/>
        <w:ind w:left="1080"/>
      </w:pPr>
      <w:r w:rsidRPr="003E2E0B">
        <w:t>U.S. Postal Service first-class, Express, and Priority mail must be addressed to 45 L Street NE Washington, D</w:t>
      </w:r>
      <w:r>
        <w:t>.</w:t>
      </w:r>
      <w:r w:rsidRPr="003E2E0B">
        <w:t>C</w:t>
      </w:r>
      <w:r>
        <w:t>.</w:t>
      </w:r>
      <w:r w:rsidRPr="003E2E0B">
        <w:t xml:space="preserve"> 20554.</w:t>
      </w:r>
    </w:p>
    <w:p w:rsidR="0067545D" w:rsidRPr="003E2E0B" w:rsidP="0067545D" w14:paraId="403ABE3E" w14:textId="77777777">
      <w:pPr>
        <w:widowControl/>
        <w:numPr>
          <w:ilvl w:val="1"/>
          <w:numId w:val="8"/>
        </w:numPr>
        <w:spacing w:after="120"/>
        <w:ind w:left="720"/>
      </w:pPr>
      <w:r w:rsidRPr="003E2E0B">
        <w:t xml:space="preserve">Effective March 19, 2020, and until further notice, the Commission no longer accepts any hand or messenger delivered filings. </w:t>
      </w:r>
      <w:r>
        <w:t xml:space="preserve"> </w:t>
      </w:r>
      <w:r w:rsidRPr="003E2E0B">
        <w:t>This is a temporary measure taken to help protect the health and safety of individuals, and to mitigate the transmission of COVID-19.</w:t>
      </w:r>
      <w:r>
        <w:rPr>
          <w:vertAlign w:val="superscript"/>
        </w:rPr>
        <w:footnoteReference w:id="11"/>
      </w:r>
      <w:r w:rsidRPr="003E2E0B">
        <w:t xml:space="preserve">  </w:t>
      </w:r>
    </w:p>
    <w:p w:rsidR="0067545D" w:rsidRPr="003E2E0B" w:rsidP="0067545D" w14:paraId="28A1354E" w14:textId="6612AA26">
      <w:pPr>
        <w:pStyle w:val="ParaNum"/>
        <w:numPr>
          <w:ilvl w:val="0"/>
          <w:numId w:val="0"/>
        </w:numPr>
        <w:ind w:firstLine="720"/>
      </w:pPr>
      <w:r w:rsidRPr="003E2E0B">
        <w:rPr>
          <w:i/>
          <w:iCs/>
        </w:rPr>
        <w:t>People with Disabilities</w:t>
      </w:r>
      <w:r>
        <w:t>.</w:t>
      </w:r>
      <w:r w:rsidRPr="003E2E0B">
        <w:t xml:space="preserve"> </w:t>
      </w:r>
      <w:r>
        <w:t xml:space="preserve"> </w:t>
      </w:r>
      <w:r w:rsidRPr="003E2E0B">
        <w:t xml:space="preserve">To request materials in accessible formats for people with disabilities (braille, large print, electronic files, audio format), send an e-mail to </w:t>
      </w:r>
      <w:hyperlink r:id="rId6" w:history="1">
        <w:r w:rsidRPr="001D4443">
          <w:rPr>
            <w:rStyle w:val="Hyperlink"/>
          </w:rPr>
          <w:t>fcc504@fcc.gov</w:t>
        </w:r>
      </w:hyperlink>
      <w:r>
        <w:t xml:space="preserve"> </w:t>
      </w:r>
      <w:r w:rsidRPr="003E2E0B">
        <w:t xml:space="preserve">or call the Consumer </w:t>
      </w:r>
      <w:r>
        <w:t>and</w:t>
      </w:r>
      <w:r w:rsidRPr="003E2E0B">
        <w:t xml:space="preserve"> Government</w:t>
      </w:r>
      <w:r>
        <w:t>al</w:t>
      </w:r>
      <w:r w:rsidRPr="003E2E0B">
        <w:t xml:space="preserve"> Affairs Bureau </w:t>
      </w:r>
      <w:r w:rsidRPr="00B92A28" w:rsidR="00B92A28">
        <w:t>at (202) 418</w:t>
      </w:r>
      <w:r w:rsidR="00B92A28">
        <w:t>-</w:t>
      </w:r>
      <w:r w:rsidRPr="00B92A28" w:rsidR="00B92A28">
        <w:t>0530 (</w:t>
      </w:r>
      <w:r w:rsidR="00B620EF">
        <w:t>voice</w:t>
      </w:r>
      <w:r w:rsidRPr="00B92A28" w:rsidR="00B92A28">
        <w:t>), (202) 418</w:t>
      </w:r>
      <w:r w:rsidR="00B92A28">
        <w:t>-</w:t>
      </w:r>
      <w:r w:rsidRPr="00B92A28" w:rsidR="00B92A28">
        <w:t>0432 (TTY)</w:t>
      </w:r>
      <w:r w:rsidRPr="003E2E0B">
        <w:t>.</w:t>
      </w:r>
      <w:r w:rsidR="00B92A28">
        <w:t xml:space="preserve"> </w:t>
      </w:r>
    </w:p>
    <w:p w:rsidR="0067545D" w:rsidP="0067545D" w14:paraId="4B86B093" w14:textId="77777777">
      <w:pPr>
        <w:pStyle w:val="ParaNum"/>
        <w:numPr>
          <w:ilvl w:val="0"/>
          <w:numId w:val="0"/>
        </w:numPr>
        <w:ind w:firstLine="720"/>
      </w:pPr>
      <w:r w:rsidRPr="003E2E0B">
        <w:rPr>
          <w:i/>
          <w:iCs/>
        </w:rPr>
        <w:t xml:space="preserve">Ex </w:t>
      </w:r>
      <w:r w:rsidRPr="003E2E0B">
        <w:rPr>
          <w:i/>
          <w:iCs/>
        </w:rPr>
        <w:t>Parte</w:t>
      </w:r>
      <w:r w:rsidRPr="003E2E0B">
        <w:rPr>
          <w:i/>
          <w:iCs/>
        </w:rPr>
        <w:t xml:space="preserve"> Rules</w:t>
      </w:r>
      <w:r w:rsidRPr="003E2E0B">
        <w:t xml:space="preserve">. </w:t>
      </w:r>
      <w:r>
        <w:t xml:space="preserve"> </w:t>
      </w:r>
      <w:r w:rsidRPr="003E2E0B">
        <w:t xml:space="preserve">This proceeding shall be treated as a “permit-but-disclose” proceeding in accordance with the Commission’s </w:t>
      </w:r>
      <w:r w:rsidRPr="003E2E0B">
        <w:rPr>
          <w:i/>
          <w:iCs/>
        </w:rPr>
        <w:t xml:space="preserve">ex </w:t>
      </w:r>
      <w:r w:rsidRPr="003E2E0B">
        <w:rPr>
          <w:i/>
          <w:iCs/>
        </w:rPr>
        <w:t>parte</w:t>
      </w:r>
      <w:r w:rsidRPr="003E2E0B">
        <w:t xml:space="preserve"> rules.</w:t>
      </w:r>
      <w:r>
        <w:rPr>
          <w:vertAlign w:val="superscript"/>
        </w:rPr>
        <w:footnoteReference w:id="12"/>
      </w:r>
      <w:r w:rsidRPr="003E2E0B">
        <w:t xml:space="preserve">  Persons making </w:t>
      </w:r>
      <w:r w:rsidRPr="003E2E0B">
        <w:rPr>
          <w:i/>
          <w:iCs/>
        </w:rPr>
        <w:t xml:space="preserve">ex </w:t>
      </w:r>
      <w:r w:rsidRPr="003E2E0B">
        <w:rPr>
          <w:i/>
          <w:iCs/>
        </w:rPr>
        <w:t>parte</w:t>
      </w:r>
      <w:r w:rsidRPr="003E2E0B">
        <w:t xml:space="preserve"> presentations must file a copy of any written presentation or a memorandum summarizing any oral presentation within two </w:t>
      </w:r>
      <w:r w:rsidRPr="003E2E0B">
        <w:t xml:space="preserve">business days after the presentation (unless a different deadline applicable to the Sunshine period applies).  Persons making oral </w:t>
      </w:r>
      <w:r w:rsidRPr="003E2E0B">
        <w:rPr>
          <w:i/>
          <w:iCs/>
        </w:rPr>
        <w:t xml:space="preserve">ex </w:t>
      </w:r>
      <w:r w:rsidRPr="003E2E0B">
        <w:rPr>
          <w:i/>
          <w:iCs/>
        </w:rPr>
        <w:t>parte</w:t>
      </w:r>
      <w:r w:rsidRPr="003E2E0B">
        <w:t xml:space="preserve"> presentations are reminded that memoranda summarizing the presentation must: (1) list all persons attending or otherwise participating in the meeting at which the </w:t>
      </w:r>
      <w:r w:rsidRPr="003E2E0B">
        <w:rPr>
          <w:i/>
          <w:iCs/>
        </w:rPr>
        <w:t xml:space="preserve">ex </w:t>
      </w:r>
      <w:r w:rsidRPr="003E2E0B">
        <w:rPr>
          <w:i/>
          <w:iCs/>
        </w:rPr>
        <w:t>parte</w:t>
      </w:r>
      <w:r w:rsidRPr="003E2E0B">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E2E0B">
        <w:rPr>
          <w:i/>
          <w:iCs/>
        </w:rPr>
        <w:t xml:space="preserve">ex </w:t>
      </w:r>
      <w:r w:rsidRPr="003E2E0B">
        <w:rPr>
          <w:i/>
          <w:iCs/>
        </w:rPr>
        <w:t>parte</w:t>
      </w:r>
      <w:r w:rsidRPr="003E2E0B">
        <w:t xml:space="preserve"> meetings are deemed to be written </w:t>
      </w:r>
      <w:r w:rsidRPr="003E2E0B">
        <w:rPr>
          <w:i/>
          <w:iCs/>
        </w:rPr>
        <w:t xml:space="preserve">ex </w:t>
      </w:r>
      <w:r w:rsidRPr="003E2E0B">
        <w:rPr>
          <w:i/>
          <w:iCs/>
        </w:rPr>
        <w:t>parte</w:t>
      </w:r>
      <w:r w:rsidRPr="003E2E0B">
        <w:t xml:space="preserve"> presentations and must be filed consistent with section 1.1206(b) of the Commission’s rules.  In proceedings governed by section 1.49(f) of the rules or for which the Commission has made available a method of electronic filing, written </w:t>
      </w:r>
      <w:r w:rsidRPr="003E2E0B">
        <w:rPr>
          <w:i/>
          <w:iCs/>
        </w:rPr>
        <w:t xml:space="preserve">ex </w:t>
      </w:r>
      <w:r w:rsidRPr="003E2E0B">
        <w:rPr>
          <w:i/>
          <w:iCs/>
        </w:rPr>
        <w:t>parte</w:t>
      </w:r>
      <w:r w:rsidRPr="003E2E0B">
        <w:t xml:space="preserve"> presentations and memoranda summarizing oral ex </w:t>
      </w:r>
      <w:r w:rsidRPr="003E2E0B">
        <w:t>parte</w:t>
      </w:r>
      <w:r w:rsidRPr="003E2E0B">
        <w:t xml:space="preserve"> presentations, and all attachments thereto, must be filed through the electronic comment filing system available for that proceeding, and must be filed in their native format (e.g., .doc, .xml., .ppt, searchable .pdf). </w:t>
      </w:r>
      <w:r>
        <w:t xml:space="preserve"> </w:t>
      </w:r>
      <w:r w:rsidRPr="003E2E0B">
        <w:t xml:space="preserve">Participants in this proceeding should familiarize themselves with the Commission’s </w:t>
      </w:r>
      <w:r w:rsidRPr="003E2E0B">
        <w:rPr>
          <w:i/>
          <w:iCs/>
        </w:rPr>
        <w:t xml:space="preserve">ex </w:t>
      </w:r>
      <w:r w:rsidRPr="003E2E0B">
        <w:rPr>
          <w:i/>
          <w:iCs/>
        </w:rPr>
        <w:t>parte</w:t>
      </w:r>
      <w:r w:rsidRPr="003E2E0B">
        <w:t xml:space="preserve"> rules.</w:t>
      </w:r>
    </w:p>
    <w:p w:rsidR="0067545D" w:rsidRPr="003E2E0B" w:rsidP="0067545D" w14:paraId="0930DCEF" w14:textId="77777777">
      <w:pPr>
        <w:pStyle w:val="ParaNum"/>
        <w:widowControl/>
        <w:numPr>
          <w:ilvl w:val="0"/>
          <w:numId w:val="0"/>
        </w:numPr>
        <w:ind w:firstLine="720"/>
      </w:pPr>
      <w:r w:rsidRPr="00947D58">
        <w:rPr>
          <w:i/>
          <w:iCs/>
        </w:rPr>
        <w:t>Availability of Documents</w:t>
      </w:r>
      <w:r>
        <w:t xml:space="preserve">.  Comments, reply comments, and </w:t>
      </w:r>
      <w:r w:rsidRPr="00947D58">
        <w:rPr>
          <w:i/>
          <w:iCs/>
        </w:rPr>
        <w:t xml:space="preserve">ex </w:t>
      </w:r>
      <w:r w:rsidRPr="00947D58">
        <w:rPr>
          <w:i/>
          <w:iCs/>
        </w:rPr>
        <w:t>parte</w:t>
      </w:r>
      <w:r>
        <w:t xml:space="preserve"> submissions will be available via ECFS.  Documents will be available electronically in ASCII, Microsoft Word, and/or Adobe Acrobat.</w:t>
      </w:r>
    </w:p>
    <w:p w:rsidR="0067545D" w:rsidP="0067545D" w14:paraId="32987506" w14:textId="024D553B">
      <w:pPr>
        <w:widowControl/>
        <w:spacing w:after="120"/>
        <w:ind w:firstLine="720"/>
      </w:pPr>
      <w:r w:rsidRPr="003E2E0B">
        <w:rPr>
          <w:i/>
          <w:iCs/>
        </w:rPr>
        <w:t>Additional Information.</w:t>
      </w:r>
      <w:r w:rsidRPr="003E2E0B">
        <w:t xml:space="preserve">  For further information regarding this </w:t>
      </w:r>
      <w:r w:rsidRPr="007022A6">
        <w:rPr>
          <w:iCs/>
        </w:rPr>
        <w:t>Public Notice,</w:t>
      </w:r>
      <w:r w:rsidRPr="003E2E0B">
        <w:t xml:space="preserve"> please contact </w:t>
      </w:r>
      <w:r>
        <w:t xml:space="preserve">Jason </w:t>
      </w:r>
      <w:r>
        <w:t>Koslofsky</w:t>
      </w:r>
      <w:r>
        <w:t xml:space="preserve">, Attorney Advisor, Mobility Division, Wireless Telecommunications Bureau, at </w:t>
      </w:r>
      <w:hyperlink r:id="rId7" w:history="1">
        <w:r w:rsidRPr="00CD492A" w:rsidR="006F64FB">
          <w:rPr>
            <w:rStyle w:val="Hyperlink"/>
          </w:rPr>
          <w:t>Jason.Koslofsky@fcc.gov</w:t>
        </w:r>
      </w:hyperlink>
      <w:r>
        <w:t xml:space="preserve">.  </w:t>
      </w:r>
    </w:p>
    <w:p w:rsidR="0067545D" w:rsidP="0067545D" w14:paraId="1DCE2380" w14:textId="77777777">
      <w:pPr>
        <w:spacing w:after="120"/>
        <w:jc w:val="center"/>
      </w:pPr>
    </w:p>
    <w:p w:rsidR="00F220AF" w:rsidRPr="006F64FB" w:rsidP="006F64FB" w14:paraId="4703F530" w14:textId="11E4E92A">
      <w:pPr>
        <w:jc w:val="center"/>
      </w:pPr>
      <w:r>
        <w:t>- FCC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73" w14:paraId="54BFD1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521673" w14:paraId="5DD20D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73" w14:paraId="71126CC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73" w14:paraId="5DA139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B7D" w14:paraId="7915F70B" w14:textId="77777777">
      <w:r>
        <w:separator/>
      </w:r>
    </w:p>
  </w:footnote>
  <w:footnote w:type="continuationSeparator" w:id="1">
    <w:p w:rsidR="00346B7D" w14:paraId="2E31B873" w14:textId="77777777">
      <w:pPr>
        <w:rPr>
          <w:sz w:val="20"/>
        </w:rPr>
      </w:pPr>
      <w:r>
        <w:rPr>
          <w:sz w:val="20"/>
        </w:rPr>
        <w:t xml:space="preserve">(Continued from previous page)  </w:t>
      </w:r>
      <w:r>
        <w:rPr>
          <w:sz w:val="20"/>
        </w:rPr>
        <w:separator/>
      </w:r>
    </w:p>
  </w:footnote>
  <w:footnote w:type="continuationNotice" w:id="2">
    <w:p w:rsidR="00346B7D" w14:paraId="2B00DB61" w14:textId="77777777">
      <w:pPr>
        <w:jc w:val="right"/>
        <w:rPr>
          <w:sz w:val="20"/>
        </w:rPr>
      </w:pPr>
      <w:r>
        <w:rPr>
          <w:sz w:val="20"/>
        </w:rPr>
        <w:t>(continued….)</w:t>
      </w:r>
    </w:p>
  </w:footnote>
  <w:footnote w:id="3">
    <w:p w:rsidR="0067545D" w:rsidP="0067545D" w14:paraId="662251E0" w14:textId="451BAE22">
      <w:pPr>
        <w:pStyle w:val="FootnoteText"/>
      </w:pPr>
      <w:r>
        <w:rPr>
          <w:rStyle w:val="FootnoteReference"/>
        </w:rPr>
        <w:footnoteRef/>
      </w:r>
      <w:r>
        <w:t xml:space="preserve"> Petition</w:t>
      </w:r>
      <w:r w:rsidR="00F9465B">
        <w:t xml:space="preserve"> of Ameren Services Company, et al.</w:t>
      </w:r>
      <w:r>
        <w:t xml:space="preserve"> for Rulemaking</w:t>
      </w:r>
      <w:r w:rsidR="00F9465B">
        <w:t xml:space="preserve">, </w:t>
      </w:r>
      <w:r w:rsidRPr="00F9465B" w:rsidR="00F9465B">
        <w:t>INBOX-1.401</w:t>
      </w:r>
      <w:r>
        <w:t xml:space="preserve"> (filed Feb. 28, 2024)</w:t>
      </w:r>
      <w:r w:rsidR="00F9465B">
        <w:t xml:space="preserve">, </w:t>
      </w:r>
      <w:hyperlink r:id="rId1" w:history="1">
        <w:r w:rsidRPr="00C92167" w:rsidR="00F9465B">
          <w:rPr>
            <w:rStyle w:val="Hyperlink"/>
          </w:rPr>
          <w:t>https://www.fcc.gov/ecfs/search/search-filings/filing/10229148220602</w:t>
        </w:r>
      </w:hyperlink>
      <w:r>
        <w:t xml:space="preserve"> (Petition).  The petitioners are Ameren Services Company; </w:t>
      </w:r>
      <w:r>
        <w:t>Anterix</w:t>
      </w:r>
      <w:r>
        <w:t xml:space="preserve">, Inc.; Enterprise Wireless Alliance; </w:t>
      </w:r>
      <w:r>
        <w:t>Evergy</w:t>
      </w:r>
      <w:r>
        <w:t xml:space="preserve">, Inc.; Lower Colorado River Authority; Portland General Electric; San Diego Gas &amp; Electric; Southern Communications Services, Inc.; Utility Broadband Alliance; and Xcel Energy Services, Inc. (Petitioners).  </w:t>
      </w:r>
    </w:p>
  </w:footnote>
  <w:footnote w:id="4">
    <w:p w:rsidR="0067545D" w:rsidRPr="000A4FF6" w:rsidP="0067545D" w14:paraId="4DABF8CF" w14:textId="6D9B3132">
      <w:pPr>
        <w:pStyle w:val="FootnoteText"/>
      </w:pPr>
      <w:r>
        <w:rPr>
          <w:rStyle w:val="FootnoteReference"/>
        </w:rPr>
        <w:footnoteRef/>
      </w:r>
      <w:r>
        <w:t xml:space="preserve"> </w:t>
      </w:r>
      <w:r w:rsidRPr="000A4FF6">
        <w:rPr>
          <w:i/>
          <w:iCs/>
        </w:rPr>
        <w:t>See Review of the Commission's Rules Governing the 896</w:t>
      </w:r>
      <w:r w:rsidR="00731212">
        <w:rPr>
          <w:i/>
          <w:iCs/>
        </w:rPr>
        <w:t>-</w:t>
      </w:r>
      <w:r w:rsidRPr="000A4FF6">
        <w:rPr>
          <w:i/>
          <w:iCs/>
        </w:rPr>
        <w:t>901/935</w:t>
      </w:r>
      <w:r w:rsidR="00731212">
        <w:rPr>
          <w:i/>
          <w:iCs/>
        </w:rPr>
        <w:t>-</w:t>
      </w:r>
      <w:r w:rsidRPr="000A4FF6">
        <w:rPr>
          <w:i/>
          <w:iCs/>
        </w:rPr>
        <w:t>940 MHz Band</w:t>
      </w:r>
      <w:r w:rsidRPr="000A4FF6">
        <w:t xml:space="preserve">, </w:t>
      </w:r>
      <w:r w:rsidR="00731212">
        <w:t xml:space="preserve">WT Docket No. 17-200, </w:t>
      </w:r>
      <w:r w:rsidRPr="000A4FF6">
        <w:t xml:space="preserve">Report and Order, Order of Proposed Modification, and Orders, </w:t>
      </w:r>
      <w:r>
        <w:t>3</w:t>
      </w:r>
      <w:r w:rsidRPr="006B1717">
        <w:t xml:space="preserve">5 FCC </w:t>
      </w:r>
      <w:r w:rsidRPr="006B1717">
        <w:t>Rcd</w:t>
      </w:r>
      <w:r w:rsidRPr="006B1717">
        <w:t xml:space="preserve"> 5183</w:t>
      </w:r>
      <w:r w:rsidRPr="000A4FF6">
        <w:t xml:space="preserve"> (2020) (</w:t>
      </w:r>
      <w:r w:rsidRPr="000A4FF6">
        <w:rPr>
          <w:i/>
          <w:iCs/>
        </w:rPr>
        <w:t>900 MHz R&amp;O</w:t>
      </w:r>
      <w:r w:rsidRPr="000A4FF6">
        <w:t>).</w:t>
      </w:r>
    </w:p>
  </w:footnote>
  <w:footnote w:id="5">
    <w:p w:rsidR="0067545D" w:rsidRPr="000946D0" w:rsidP="0067545D" w14:paraId="5974EF65" w14:textId="77777777">
      <w:pPr>
        <w:pStyle w:val="FootnoteText"/>
      </w:pPr>
      <w:r>
        <w:rPr>
          <w:rStyle w:val="FootnoteReference"/>
        </w:rPr>
        <w:footnoteRef/>
      </w:r>
      <w:r>
        <w:t xml:space="preserve"> </w:t>
      </w:r>
      <w:r>
        <w:rPr>
          <w:i/>
          <w:iCs/>
        </w:rPr>
        <w:t>Id</w:t>
      </w:r>
      <w:r>
        <w:t xml:space="preserve">. at 5198, para. 33.  </w:t>
      </w:r>
    </w:p>
  </w:footnote>
  <w:footnote w:id="6">
    <w:p w:rsidR="004F5481" w14:paraId="41A5AAAA" w14:textId="38B3F659">
      <w:pPr>
        <w:pStyle w:val="FootnoteText"/>
      </w:pPr>
      <w:r>
        <w:rPr>
          <w:rStyle w:val="FootnoteReference"/>
        </w:rPr>
        <w:footnoteRef/>
      </w:r>
      <w:r>
        <w:t xml:space="preserve"> Petition at 1.</w:t>
      </w:r>
    </w:p>
  </w:footnote>
  <w:footnote w:id="7">
    <w:p w:rsidR="00D62B5D" w:rsidRPr="00D62B5D" w14:paraId="6D4CD991" w14:textId="1D391C36">
      <w:pPr>
        <w:pStyle w:val="FootnoteText"/>
      </w:pPr>
      <w:r>
        <w:rPr>
          <w:rStyle w:val="FootnoteReference"/>
        </w:rPr>
        <w:footnoteRef/>
      </w:r>
      <w:r>
        <w:t xml:space="preserve"> </w:t>
      </w:r>
      <w:r w:rsidR="00FB1956">
        <w:rPr>
          <w:i/>
          <w:iCs/>
        </w:rPr>
        <w:t>Id</w:t>
      </w:r>
      <w:r w:rsidR="00FB1956">
        <w:t xml:space="preserve">. </w:t>
      </w:r>
      <w:r>
        <w:t xml:space="preserve">at </w:t>
      </w:r>
      <w:r w:rsidR="00F404B1">
        <w:t>11.</w:t>
      </w:r>
    </w:p>
  </w:footnote>
  <w:footnote w:id="8">
    <w:p w:rsidR="00290268" w:rsidRPr="00290268" w:rsidP="00290268" w14:paraId="7FE224DD" w14:textId="3B688F1B">
      <w:pPr>
        <w:pStyle w:val="FootnoteText"/>
      </w:pPr>
      <w:r>
        <w:rPr>
          <w:rStyle w:val="FootnoteReference"/>
        </w:rPr>
        <w:footnoteRef/>
      </w:r>
      <w:r>
        <w:t xml:space="preserve"> </w:t>
      </w:r>
      <w:r>
        <w:rPr>
          <w:i/>
          <w:iCs/>
        </w:rPr>
        <w:t>Id</w:t>
      </w:r>
      <w:r>
        <w:t xml:space="preserve">.  </w:t>
      </w:r>
    </w:p>
  </w:footnote>
  <w:footnote w:id="9">
    <w:p w:rsidR="0067545D" w:rsidP="0067545D" w14:paraId="7610D97E" w14:textId="77777777">
      <w:pPr>
        <w:pStyle w:val="FootnoteText"/>
      </w:pPr>
      <w:r>
        <w:rPr>
          <w:rStyle w:val="FootnoteReference"/>
        </w:rPr>
        <w:footnoteRef/>
      </w:r>
      <w:r>
        <w:t xml:space="preserve"> 47 CFR §§ 1.403, 1.405.</w:t>
      </w:r>
    </w:p>
  </w:footnote>
  <w:footnote w:id="10">
    <w:p w:rsidR="0067545D" w:rsidRPr="00CA5C70" w:rsidP="0067545D" w14:paraId="7F74B4E0" w14:textId="77777777">
      <w:pPr>
        <w:pStyle w:val="FootnoteText"/>
      </w:pPr>
      <w:r w:rsidRPr="00CA5C70">
        <w:rPr>
          <w:rStyle w:val="FootnoteReference"/>
        </w:rPr>
        <w:footnoteRef/>
      </w:r>
      <w:r w:rsidRPr="00CA5C70">
        <w:t xml:space="preserve"> </w:t>
      </w:r>
      <w:r w:rsidRPr="00CA5C70">
        <w:rPr>
          <w:rStyle w:val="Emphasis"/>
        </w:rPr>
        <w:t xml:space="preserve">See </w:t>
      </w:r>
      <w:r w:rsidRPr="00CA5C70">
        <w:rPr>
          <w:i/>
        </w:rPr>
        <w:t>Electronic</w:t>
      </w:r>
      <w:r w:rsidRPr="00CA5C70">
        <w:rPr>
          <w:rStyle w:val="Emphasis"/>
        </w:rPr>
        <w:t xml:space="preserve"> </w:t>
      </w:r>
      <w:r w:rsidRPr="00CA5C70">
        <w:rPr>
          <w:i/>
        </w:rPr>
        <w:t>Filing</w:t>
      </w:r>
      <w:r w:rsidRPr="00CA5C70">
        <w:rPr>
          <w:rStyle w:val="Emphasis"/>
        </w:rPr>
        <w:t xml:space="preserve"> of </w:t>
      </w:r>
      <w:r w:rsidRPr="00CA5C70">
        <w:rPr>
          <w:i/>
        </w:rPr>
        <w:t>Documents</w:t>
      </w:r>
      <w:r w:rsidRPr="00CA5C70">
        <w:rPr>
          <w:rStyle w:val="Emphasis"/>
        </w:rPr>
        <w:t xml:space="preserve"> in Rulemaking Proceedings</w:t>
      </w:r>
      <w:r w:rsidRPr="00CA5C70">
        <w:t xml:space="preserve">, GC Docket No. 97-113, Report and Order, 13 FCC </w:t>
      </w:r>
      <w:r w:rsidRPr="00CA5C70">
        <w:t>Rcd</w:t>
      </w:r>
      <w:r w:rsidRPr="00CA5C70">
        <w:t xml:space="preserve"> 11322 (1998); 63 FR 24121 (1998).</w:t>
      </w:r>
    </w:p>
  </w:footnote>
  <w:footnote w:id="11">
    <w:p w:rsidR="0067545D" w:rsidRPr="00CA5C70" w:rsidP="0067545D" w14:paraId="3B4BEA30" w14:textId="77777777">
      <w:pPr>
        <w:pStyle w:val="FootnoteText"/>
      </w:pPr>
      <w:r w:rsidRPr="00CA5C70">
        <w:rPr>
          <w:rStyle w:val="FootnoteReference"/>
        </w:rPr>
        <w:footnoteRef/>
      </w:r>
      <w:r w:rsidRPr="00CA5C70">
        <w:t xml:space="preserve"> </w:t>
      </w:r>
      <w:r w:rsidRPr="00CA5C70">
        <w:rPr>
          <w:i/>
          <w:iCs/>
        </w:rPr>
        <w:t>See FCC Announces Closure of FCC Headquarters Open Window and Change in Hand-Delivery Policy</w:t>
      </w:r>
      <w:r w:rsidRPr="00CA5C70">
        <w:t xml:space="preserve">, Public Notice, 35 FCC </w:t>
      </w:r>
      <w:r w:rsidRPr="00CA5C70">
        <w:t>Rcd</w:t>
      </w:r>
      <w:r w:rsidRPr="00CA5C70">
        <w:t xml:space="preserve"> 2788 (OMD 2020), </w:t>
      </w:r>
      <w:hyperlink r:id="rId2" w:history="1">
        <w:r w:rsidRPr="00173CD8">
          <w:rPr>
            <w:rStyle w:val="Hyperlink"/>
          </w:rPr>
          <w:t>https://www.fcc.gov/document/fcc-closes-headquarters-open-window-and-changes-hand-delivery-policy</w:t>
        </w:r>
      </w:hyperlink>
      <w:r>
        <w:t>.</w:t>
      </w:r>
    </w:p>
  </w:footnote>
  <w:footnote w:id="12">
    <w:p w:rsidR="0067545D" w:rsidP="0067545D" w14:paraId="6A64142B" w14:textId="77777777">
      <w:pPr>
        <w:pStyle w:val="FootnoteText"/>
      </w:pPr>
      <w:r>
        <w:rPr>
          <w:rStyle w:val="FootnoteReference"/>
        </w:rPr>
        <w:footnoteRef/>
      </w:r>
      <w:r>
        <w:t xml:space="preserve"> </w:t>
      </w:r>
      <w:r w:rsidRPr="006C0EC6">
        <w:rPr>
          <w:i/>
          <w:iCs/>
        </w:rPr>
        <w:t>See</w:t>
      </w:r>
      <w:r>
        <w:t xml:space="preserve"> </w:t>
      </w:r>
      <w:r w:rsidRPr="007644A5">
        <w:t xml:space="preserve">47 CFR § 1.1200 </w:t>
      </w:r>
      <w:r w:rsidRPr="004A5C12">
        <w:rPr>
          <w:i/>
          <w:iCs/>
        </w:rPr>
        <w:t>et seq</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73" w14:paraId="0716C511" w14:textId="3FA8BB46">
    <w:pPr>
      <w:tabs>
        <w:tab w:val="center" w:pos="4680"/>
        <w:tab w:val="right" w:pos="9360"/>
      </w:tabs>
    </w:pPr>
    <w:r>
      <w:rPr>
        <w:b/>
      </w:rPr>
      <w:tab/>
      <w:t>Federal Communications Commission</w:t>
    </w:r>
    <w:r>
      <w:rPr>
        <w:b/>
      </w:rPr>
      <w:tab/>
    </w:r>
    <w:r w:rsidR="00F04955">
      <w:rPr>
        <w:b/>
        <w:sz w:val="24"/>
      </w:rPr>
      <w:t>DA 24-</w:t>
    </w:r>
    <w:r w:rsidR="00F2480B">
      <w:rPr>
        <w:b/>
        <w:sz w:val="24"/>
      </w:rPr>
      <w:t>320</w:t>
    </w:r>
  </w:p>
  <w:p w:rsidR="00521673" w:rsidRPr="007E0F3F" w:rsidP="007E0F3F" w14:paraId="0FD3F767" w14:textId="7C7A934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84870783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73" w14:paraId="54057D0B" w14:textId="3BB5FBB7">
    <w:pPr>
      <w:pStyle w:val="Header"/>
    </w:pPr>
    <w:r>
      <w:rPr>
        <w:noProof/>
        <w:snapToGrid/>
      </w:rPr>
      <w:drawing>
        <wp:inline distT="0" distB="0" distL="0" distR="0">
          <wp:extent cx="5950585"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D59DD"/>
    <w:multiLevelType w:val="hybridMultilevel"/>
    <w:tmpl w:val="63DA04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D63420"/>
    <w:multiLevelType w:val="hybridMultilevel"/>
    <w:tmpl w:val="FE884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AF"/>
    <w:rsid w:val="000946D0"/>
    <w:rsid w:val="000A3920"/>
    <w:rsid w:val="000A4FF6"/>
    <w:rsid w:val="000B1A2C"/>
    <w:rsid w:val="000C713E"/>
    <w:rsid w:val="000D25BE"/>
    <w:rsid w:val="00126B69"/>
    <w:rsid w:val="00127EAD"/>
    <w:rsid w:val="00132FF6"/>
    <w:rsid w:val="00173CD8"/>
    <w:rsid w:val="001A77E4"/>
    <w:rsid w:val="001C400E"/>
    <w:rsid w:val="001D4443"/>
    <w:rsid w:val="001E4DDE"/>
    <w:rsid w:val="001F3964"/>
    <w:rsid w:val="00202A7D"/>
    <w:rsid w:val="00203348"/>
    <w:rsid w:val="00226350"/>
    <w:rsid w:val="002274F9"/>
    <w:rsid w:val="002325CB"/>
    <w:rsid w:val="00234A0A"/>
    <w:rsid w:val="00290268"/>
    <w:rsid w:val="002A0784"/>
    <w:rsid w:val="002C0AAC"/>
    <w:rsid w:val="002D3010"/>
    <w:rsid w:val="002E6E4A"/>
    <w:rsid w:val="00346B7D"/>
    <w:rsid w:val="00363959"/>
    <w:rsid w:val="00391F0F"/>
    <w:rsid w:val="003A58EB"/>
    <w:rsid w:val="003C4541"/>
    <w:rsid w:val="003C6EA3"/>
    <w:rsid w:val="003E2E0B"/>
    <w:rsid w:val="00411EE2"/>
    <w:rsid w:val="0042062A"/>
    <w:rsid w:val="0043201E"/>
    <w:rsid w:val="00444A2A"/>
    <w:rsid w:val="00445EB2"/>
    <w:rsid w:val="00450964"/>
    <w:rsid w:val="0045215C"/>
    <w:rsid w:val="00455CF0"/>
    <w:rsid w:val="00457109"/>
    <w:rsid w:val="004A1CC6"/>
    <w:rsid w:val="004A5C12"/>
    <w:rsid w:val="004D222E"/>
    <w:rsid w:val="004E3017"/>
    <w:rsid w:val="004F5481"/>
    <w:rsid w:val="00504135"/>
    <w:rsid w:val="005148E9"/>
    <w:rsid w:val="00521673"/>
    <w:rsid w:val="00522005"/>
    <w:rsid w:val="00563FB9"/>
    <w:rsid w:val="00580BDF"/>
    <w:rsid w:val="005A3FFD"/>
    <w:rsid w:val="005B1D0A"/>
    <w:rsid w:val="005B57D5"/>
    <w:rsid w:val="005D3DD5"/>
    <w:rsid w:val="005F1DAA"/>
    <w:rsid w:val="00615326"/>
    <w:rsid w:val="00623EEA"/>
    <w:rsid w:val="00644247"/>
    <w:rsid w:val="00667EAC"/>
    <w:rsid w:val="0067545D"/>
    <w:rsid w:val="00680ED3"/>
    <w:rsid w:val="006A3989"/>
    <w:rsid w:val="006B08E5"/>
    <w:rsid w:val="006B1717"/>
    <w:rsid w:val="006C0EC6"/>
    <w:rsid w:val="006F52C2"/>
    <w:rsid w:val="006F64FB"/>
    <w:rsid w:val="007022A6"/>
    <w:rsid w:val="00731212"/>
    <w:rsid w:val="007369C2"/>
    <w:rsid w:val="00750AB1"/>
    <w:rsid w:val="007644A5"/>
    <w:rsid w:val="007B463F"/>
    <w:rsid w:val="007E0F3F"/>
    <w:rsid w:val="007E16D5"/>
    <w:rsid w:val="00853E67"/>
    <w:rsid w:val="00873FEC"/>
    <w:rsid w:val="008D26D4"/>
    <w:rsid w:val="009001EA"/>
    <w:rsid w:val="00927BBD"/>
    <w:rsid w:val="00947D58"/>
    <w:rsid w:val="009502F8"/>
    <w:rsid w:val="009528D7"/>
    <w:rsid w:val="009A3294"/>
    <w:rsid w:val="009D24DD"/>
    <w:rsid w:val="009E1EFC"/>
    <w:rsid w:val="00A16340"/>
    <w:rsid w:val="00A461DA"/>
    <w:rsid w:val="00A57CA8"/>
    <w:rsid w:val="00A702B3"/>
    <w:rsid w:val="00A86DCD"/>
    <w:rsid w:val="00AA550A"/>
    <w:rsid w:val="00AD34F9"/>
    <w:rsid w:val="00B33476"/>
    <w:rsid w:val="00B620EF"/>
    <w:rsid w:val="00B81A96"/>
    <w:rsid w:val="00B92A28"/>
    <w:rsid w:val="00BA2EA7"/>
    <w:rsid w:val="00BD037D"/>
    <w:rsid w:val="00BF3B44"/>
    <w:rsid w:val="00C32423"/>
    <w:rsid w:val="00C44ECD"/>
    <w:rsid w:val="00C47B91"/>
    <w:rsid w:val="00C92167"/>
    <w:rsid w:val="00C96545"/>
    <w:rsid w:val="00CA5C70"/>
    <w:rsid w:val="00CB10A5"/>
    <w:rsid w:val="00CB76C6"/>
    <w:rsid w:val="00CC681F"/>
    <w:rsid w:val="00CD1CA9"/>
    <w:rsid w:val="00CD492A"/>
    <w:rsid w:val="00D11C2A"/>
    <w:rsid w:val="00D22D3B"/>
    <w:rsid w:val="00D2382B"/>
    <w:rsid w:val="00D25CDA"/>
    <w:rsid w:val="00D62B5D"/>
    <w:rsid w:val="00D94129"/>
    <w:rsid w:val="00D97BC9"/>
    <w:rsid w:val="00DA5DE5"/>
    <w:rsid w:val="00DB5042"/>
    <w:rsid w:val="00DF35BD"/>
    <w:rsid w:val="00E52389"/>
    <w:rsid w:val="00E93ACE"/>
    <w:rsid w:val="00EC1CB7"/>
    <w:rsid w:val="00EF2762"/>
    <w:rsid w:val="00F04955"/>
    <w:rsid w:val="00F220AF"/>
    <w:rsid w:val="00F2480B"/>
    <w:rsid w:val="00F404B1"/>
    <w:rsid w:val="00F46E0D"/>
    <w:rsid w:val="00F5609F"/>
    <w:rsid w:val="00F64E4C"/>
    <w:rsid w:val="00F9465B"/>
    <w:rsid w:val="00FB1956"/>
    <w:rsid w:val="1AB55C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702F62"/>
  <w15:chartTrackingRefBased/>
  <w15:docId w15:val="{73E66FF4-2284-450C-92B7-2BC20DD6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f,fn,fn Char1"/>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Footnote Text Char Char1 Char Char Char,Footnote Text Char1 Char,Footnote Text Char1 Char Char Char,Footnote Text Char1 Char Char Char Char Char Char,Footnote Text Char2 Char Char Char,f Char,fn Char"/>
    <w:link w:val="FootnoteText"/>
    <w:rsid w:val="0067545D"/>
  </w:style>
  <w:style w:type="character" w:customStyle="1" w:styleId="ParaNumChar1">
    <w:name w:val="ParaNum Char1"/>
    <w:link w:val="ParaNum"/>
    <w:locked/>
    <w:rsid w:val="0067545D"/>
    <w:rPr>
      <w:snapToGrid w:val="0"/>
      <w:kern w:val="28"/>
      <w:sz w:val="22"/>
    </w:rPr>
  </w:style>
  <w:style w:type="character" w:styleId="Emphasis">
    <w:name w:val="Emphasis"/>
    <w:uiPriority w:val="20"/>
    <w:qFormat/>
    <w:rsid w:val="0067545D"/>
    <w:rPr>
      <w:i/>
      <w:iCs/>
    </w:rPr>
  </w:style>
  <w:style w:type="character" w:styleId="FollowedHyperlink">
    <w:name w:val="FollowedHyperlink"/>
    <w:uiPriority w:val="99"/>
    <w:semiHidden/>
    <w:unhideWhenUsed/>
    <w:rsid w:val="00445EB2"/>
    <w:rPr>
      <w:color w:val="96607D"/>
      <w:u w:val="single"/>
    </w:rPr>
  </w:style>
  <w:style w:type="paragraph" w:styleId="Revision">
    <w:name w:val="Revision"/>
    <w:hidden/>
    <w:uiPriority w:val="99"/>
    <w:semiHidden/>
    <w:rsid w:val="00EF2762"/>
    <w:rPr>
      <w:snapToGrid w:val="0"/>
      <w:kern w:val="28"/>
      <w:sz w:val="22"/>
    </w:rPr>
  </w:style>
  <w:style w:type="character" w:styleId="CommentReference">
    <w:name w:val="annotation reference"/>
    <w:uiPriority w:val="99"/>
    <w:semiHidden/>
    <w:unhideWhenUsed/>
    <w:rsid w:val="00667EAC"/>
    <w:rPr>
      <w:sz w:val="16"/>
      <w:szCs w:val="16"/>
    </w:rPr>
  </w:style>
  <w:style w:type="paragraph" w:styleId="CommentText">
    <w:name w:val="annotation text"/>
    <w:basedOn w:val="Normal"/>
    <w:link w:val="CommentTextChar"/>
    <w:uiPriority w:val="99"/>
    <w:unhideWhenUsed/>
    <w:rsid w:val="00667EAC"/>
    <w:rPr>
      <w:sz w:val="20"/>
    </w:rPr>
  </w:style>
  <w:style w:type="character" w:customStyle="1" w:styleId="CommentTextChar">
    <w:name w:val="Comment Text Char"/>
    <w:link w:val="CommentText"/>
    <w:uiPriority w:val="99"/>
    <w:rsid w:val="00667EAC"/>
    <w:rPr>
      <w:snapToGrid w:val="0"/>
      <w:kern w:val="28"/>
    </w:rPr>
  </w:style>
  <w:style w:type="paragraph" w:styleId="CommentSubject">
    <w:name w:val="annotation subject"/>
    <w:basedOn w:val="CommentText"/>
    <w:next w:val="CommentText"/>
    <w:link w:val="CommentSubjectChar"/>
    <w:uiPriority w:val="99"/>
    <w:semiHidden/>
    <w:unhideWhenUsed/>
    <w:rsid w:val="00667EAC"/>
    <w:rPr>
      <w:b/>
      <w:bCs/>
    </w:rPr>
  </w:style>
  <w:style w:type="character" w:customStyle="1" w:styleId="CommentSubjectChar">
    <w:name w:val="Comment Subject Char"/>
    <w:link w:val="CommentSubject"/>
    <w:uiPriority w:val="99"/>
    <w:semiHidden/>
    <w:rsid w:val="00667EA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ason.Koslofsk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229148220602"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