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137DB" w:rsidRPr="007C4DF4" w:rsidP="002259B8" w14:paraId="77C40914" w14:textId="77777777">
      <w:pPr>
        <w:widowControl/>
        <w:jc w:val="right"/>
        <w:rPr>
          <w:szCs w:val="22"/>
        </w:rPr>
      </w:pPr>
    </w:p>
    <w:p w:rsidR="00A137DB" w:rsidRPr="007C4DF4" w:rsidP="002259B8" w14:paraId="369D2DFE" w14:textId="1E9BD7D6">
      <w:pPr>
        <w:widowControl/>
        <w:jc w:val="right"/>
        <w:rPr>
          <w:b/>
          <w:szCs w:val="22"/>
        </w:rPr>
      </w:pPr>
      <w:r w:rsidRPr="007C4DF4">
        <w:rPr>
          <w:b/>
          <w:szCs w:val="22"/>
        </w:rPr>
        <w:t xml:space="preserve">DA </w:t>
      </w:r>
      <w:r w:rsidRPr="007C4DF4" w:rsidR="00F50EE3">
        <w:rPr>
          <w:b/>
          <w:szCs w:val="22"/>
        </w:rPr>
        <w:t>24</w:t>
      </w:r>
      <w:r w:rsidRPr="007C4DF4" w:rsidR="002B5D45">
        <w:rPr>
          <w:b/>
          <w:szCs w:val="22"/>
        </w:rPr>
        <w:t>-</w:t>
      </w:r>
      <w:r w:rsidR="00C82DB1">
        <w:rPr>
          <w:b/>
          <w:szCs w:val="22"/>
        </w:rPr>
        <w:t>324</w:t>
      </w:r>
    </w:p>
    <w:p w:rsidR="00A137DB" w:rsidRPr="007C4DF4" w:rsidP="002259B8" w14:paraId="46FA2823" w14:textId="5AA7538C">
      <w:pPr>
        <w:widowControl/>
        <w:spacing w:before="60"/>
        <w:jc w:val="right"/>
        <w:rPr>
          <w:b/>
          <w:szCs w:val="22"/>
        </w:rPr>
      </w:pPr>
      <w:r w:rsidRPr="007C4DF4">
        <w:rPr>
          <w:b/>
          <w:szCs w:val="22"/>
        </w:rPr>
        <w:t>Relea</w:t>
      </w:r>
      <w:r w:rsidRPr="00C82DB1">
        <w:rPr>
          <w:b/>
          <w:szCs w:val="22"/>
        </w:rPr>
        <w:t xml:space="preserve">sed:  </w:t>
      </w:r>
      <w:r w:rsidRPr="00C82DB1" w:rsidR="00C82DB1">
        <w:rPr>
          <w:b/>
          <w:szCs w:val="22"/>
        </w:rPr>
        <w:t>April</w:t>
      </w:r>
      <w:r w:rsidRPr="00C82DB1" w:rsidR="00F057E9">
        <w:rPr>
          <w:b/>
          <w:szCs w:val="22"/>
        </w:rPr>
        <w:t xml:space="preserve"> </w:t>
      </w:r>
      <w:r w:rsidRPr="00C82DB1" w:rsidR="00C82DB1">
        <w:rPr>
          <w:b/>
          <w:szCs w:val="22"/>
        </w:rPr>
        <w:t>4</w:t>
      </w:r>
      <w:r w:rsidRPr="00C82DB1" w:rsidR="006540B6">
        <w:rPr>
          <w:b/>
          <w:szCs w:val="22"/>
        </w:rPr>
        <w:t>, 202</w:t>
      </w:r>
      <w:r w:rsidRPr="00C82DB1" w:rsidR="00F50EE3">
        <w:rPr>
          <w:b/>
          <w:szCs w:val="22"/>
        </w:rPr>
        <w:t>4</w:t>
      </w:r>
    </w:p>
    <w:p w:rsidR="00A137DB" w:rsidRPr="007C4DF4" w:rsidP="002259B8" w14:paraId="05E2AFC5" w14:textId="77777777">
      <w:pPr>
        <w:widowControl/>
        <w:jc w:val="right"/>
        <w:rPr>
          <w:szCs w:val="22"/>
        </w:rPr>
      </w:pPr>
    </w:p>
    <w:p w:rsidR="00A137DB" w:rsidRPr="007C4DF4" w:rsidP="002259B8" w14:paraId="647DBF01" w14:textId="57252832">
      <w:pPr>
        <w:widowControl/>
        <w:spacing w:after="240"/>
        <w:jc w:val="center"/>
        <w:rPr>
          <w:b/>
          <w:bCs/>
          <w:caps/>
        </w:rPr>
      </w:pPr>
      <w:r w:rsidRPr="49CA4505">
        <w:rPr>
          <w:b/>
          <w:bCs/>
          <w:caps/>
        </w:rPr>
        <w:t xml:space="preserve">ROBOCALL </w:t>
      </w:r>
      <w:r w:rsidRPr="49CA4505" w:rsidR="00B000AE">
        <w:rPr>
          <w:b/>
          <w:bCs/>
          <w:caps/>
        </w:rPr>
        <w:t>ENFORCEMENT NOTICE</w:t>
      </w:r>
      <w:r w:rsidRPr="49CA4505" w:rsidR="00AA48B5">
        <w:rPr>
          <w:b/>
          <w:bCs/>
          <w:caps/>
        </w:rPr>
        <w:t xml:space="preserve"> TO ALL U.S.-BASED</w:t>
      </w:r>
      <w:r w:rsidR="00CD362C">
        <w:rPr>
          <w:b/>
          <w:bCs/>
          <w:caps/>
        </w:rPr>
        <w:t xml:space="preserve"> Voice Service</w:t>
      </w:r>
      <w:r w:rsidRPr="49CA4505" w:rsidR="00AA48B5">
        <w:rPr>
          <w:b/>
          <w:bCs/>
          <w:caps/>
        </w:rPr>
        <w:t xml:space="preserve"> PROVIDERS</w:t>
      </w:r>
    </w:p>
    <w:p w:rsidR="00A137DB" w:rsidRPr="007C4DF4" w:rsidP="002259B8" w14:paraId="47156A2C" w14:textId="1F83D39A">
      <w:pPr>
        <w:widowControl/>
        <w:spacing w:after="240"/>
        <w:jc w:val="center"/>
        <w:rPr>
          <w:b/>
          <w:bCs/>
          <w:szCs w:val="22"/>
        </w:rPr>
      </w:pPr>
      <w:r w:rsidRPr="007C4DF4">
        <w:rPr>
          <w:b/>
          <w:bCs/>
          <w:szCs w:val="22"/>
        </w:rPr>
        <w:t xml:space="preserve">FCC Enforcement Bureau </w:t>
      </w:r>
      <w:r w:rsidRPr="007C4DF4" w:rsidR="00B000AE">
        <w:rPr>
          <w:b/>
          <w:bCs/>
          <w:szCs w:val="22"/>
        </w:rPr>
        <w:t xml:space="preserve">Notifies </w:t>
      </w:r>
      <w:r w:rsidRPr="007C4DF4" w:rsidR="005E338A">
        <w:rPr>
          <w:b/>
          <w:bCs/>
          <w:szCs w:val="22"/>
        </w:rPr>
        <w:t>All U.S.-Based</w:t>
      </w:r>
      <w:r w:rsidR="00CD362C">
        <w:rPr>
          <w:b/>
          <w:bCs/>
          <w:szCs w:val="22"/>
        </w:rPr>
        <w:t xml:space="preserve"> </w:t>
      </w:r>
      <w:r w:rsidRPr="00133E77" w:rsidR="00CD362C">
        <w:rPr>
          <w:b/>
          <w:bCs/>
          <w:iCs/>
          <w:szCs w:val="22"/>
        </w:rPr>
        <w:t>Voice Service</w:t>
      </w:r>
      <w:r w:rsidRPr="007C4DF4" w:rsidR="005E338A">
        <w:rPr>
          <w:b/>
          <w:bCs/>
          <w:szCs w:val="22"/>
        </w:rPr>
        <w:t xml:space="preserve"> Providers </w:t>
      </w:r>
      <w:r w:rsidRPr="007C4DF4" w:rsidR="0004156A">
        <w:rPr>
          <w:b/>
          <w:bCs/>
          <w:szCs w:val="22"/>
        </w:rPr>
        <w:t>of Rules Permitting Them to</w:t>
      </w:r>
      <w:r w:rsidRPr="007C4DF4" w:rsidR="00B000AE">
        <w:rPr>
          <w:b/>
          <w:bCs/>
          <w:szCs w:val="22"/>
        </w:rPr>
        <w:t xml:space="preserve"> Block</w:t>
      </w:r>
      <w:r w:rsidRPr="007C4DF4" w:rsidR="00C05F51">
        <w:rPr>
          <w:b/>
          <w:bCs/>
          <w:szCs w:val="22"/>
        </w:rPr>
        <w:t xml:space="preserve"> </w:t>
      </w:r>
      <w:r w:rsidRPr="007C4DF4" w:rsidR="005845AA">
        <w:rPr>
          <w:b/>
          <w:bCs/>
          <w:szCs w:val="22"/>
        </w:rPr>
        <w:t xml:space="preserve">Calls </w:t>
      </w:r>
      <w:r w:rsidRPr="007C4DF4" w:rsidR="00741917">
        <w:rPr>
          <w:b/>
          <w:bCs/>
          <w:szCs w:val="22"/>
        </w:rPr>
        <w:t>Transmitting</w:t>
      </w:r>
      <w:r w:rsidRPr="007C4DF4" w:rsidR="00B000AE">
        <w:rPr>
          <w:b/>
          <w:bCs/>
          <w:szCs w:val="22"/>
        </w:rPr>
        <w:t xml:space="preserve"> </w:t>
      </w:r>
      <w:r w:rsidRPr="007C4DF4" w:rsidR="00415545">
        <w:rPr>
          <w:b/>
          <w:bCs/>
          <w:szCs w:val="22"/>
        </w:rPr>
        <w:t xml:space="preserve">from </w:t>
      </w:r>
      <w:r w:rsidRPr="007C4DF4" w:rsidR="00F50EE3">
        <w:rPr>
          <w:b/>
          <w:bCs/>
          <w:szCs w:val="22"/>
        </w:rPr>
        <w:t>Veriwave Telco, LLC</w:t>
      </w:r>
      <w:r w:rsidRPr="007C4DF4" w:rsidR="00536600">
        <w:rPr>
          <w:b/>
          <w:bCs/>
          <w:szCs w:val="22"/>
        </w:rPr>
        <w:t>.</w:t>
      </w:r>
    </w:p>
    <w:p w:rsidR="00A137DB" w:rsidRPr="007C4DF4" w:rsidP="002259B8" w14:paraId="1B96E78A" w14:textId="6E2FDE49">
      <w:pPr>
        <w:widowControl/>
        <w:jc w:val="center"/>
        <w:rPr>
          <w:b/>
          <w:szCs w:val="22"/>
        </w:rPr>
      </w:pPr>
      <w:r w:rsidRPr="007C4DF4">
        <w:rPr>
          <w:b/>
          <w:szCs w:val="22"/>
        </w:rPr>
        <w:t xml:space="preserve">File No. </w:t>
      </w:r>
      <w:r w:rsidRPr="007C4DF4" w:rsidR="001418EB">
        <w:rPr>
          <w:b/>
          <w:bCs/>
          <w:color w:val="000000"/>
          <w:szCs w:val="22"/>
        </w:rPr>
        <w:t>EB-TCD-</w:t>
      </w:r>
      <w:r w:rsidRPr="007C4DF4" w:rsidR="00C778CD">
        <w:rPr>
          <w:b/>
          <w:bCs/>
          <w:color w:val="000000"/>
          <w:szCs w:val="22"/>
        </w:rPr>
        <w:t>2</w:t>
      </w:r>
      <w:r w:rsidRPr="007C4DF4" w:rsidR="00F50EE3">
        <w:rPr>
          <w:b/>
          <w:bCs/>
          <w:color w:val="000000"/>
          <w:szCs w:val="22"/>
        </w:rPr>
        <w:t>4</w:t>
      </w:r>
      <w:r w:rsidRPr="007C4DF4" w:rsidR="00C778CD">
        <w:rPr>
          <w:b/>
          <w:bCs/>
          <w:color w:val="000000"/>
          <w:szCs w:val="22"/>
        </w:rPr>
        <w:t>-</w:t>
      </w:r>
      <w:r w:rsidRPr="007C4DF4" w:rsidR="00FD3B7F">
        <w:rPr>
          <w:b/>
          <w:bCs/>
          <w:color w:val="000000"/>
          <w:szCs w:val="22"/>
        </w:rPr>
        <w:t>00036355</w:t>
      </w:r>
    </w:p>
    <w:p w:rsidR="00A137DB" w:rsidRPr="007C4DF4" w:rsidP="002259B8" w14:paraId="073D4C8A" w14:textId="77777777">
      <w:pPr>
        <w:widowControl/>
        <w:rPr>
          <w:szCs w:val="22"/>
        </w:rPr>
      </w:pPr>
      <w:bookmarkStart w:id="0" w:name="TOChere"/>
    </w:p>
    <w:p w:rsidR="00290351" w:rsidRPr="007C4DF4" w:rsidP="002259B8" w14:paraId="55ADEE79" w14:textId="77777777">
      <w:pPr>
        <w:widowControl/>
        <w:spacing w:after="120"/>
        <w:rPr>
          <w:szCs w:val="22"/>
        </w:rPr>
      </w:pPr>
      <w:r w:rsidRPr="007C4DF4">
        <w:rPr>
          <w:szCs w:val="22"/>
        </w:rPr>
        <w:t>By the Chief, Enforcement Bureau:</w:t>
      </w:r>
    </w:p>
    <w:p w:rsidR="00692591" w:rsidRPr="007C4DF4" w:rsidP="002259B8" w14:paraId="0CA27579" w14:textId="1B83FB20">
      <w:pPr>
        <w:widowControl/>
        <w:spacing w:after="120"/>
        <w:rPr>
          <w:b/>
          <w:bCs/>
          <w:szCs w:val="22"/>
        </w:rPr>
      </w:pPr>
      <w:r w:rsidRPr="007C4DF4">
        <w:rPr>
          <w:szCs w:val="22"/>
        </w:rPr>
        <w:t>The Enforcement Bureau (Bureau) of the Federal Communications Commission (FCC or Commission) issues t</w:t>
      </w:r>
      <w:r w:rsidRPr="007C4DF4" w:rsidR="00A31282">
        <w:rPr>
          <w:szCs w:val="22"/>
        </w:rPr>
        <w:t xml:space="preserve">his </w:t>
      </w:r>
      <w:r w:rsidRPr="007C4DF4" w:rsidR="00A31282">
        <w:rPr>
          <w:i/>
          <w:iCs/>
          <w:szCs w:val="22"/>
        </w:rPr>
        <w:t>Public Notice</w:t>
      </w:r>
      <w:r w:rsidRPr="007C4DF4">
        <w:rPr>
          <w:szCs w:val="22"/>
        </w:rPr>
        <w:t xml:space="preserve"> to </w:t>
      </w:r>
      <w:r w:rsidRPr="007C4DF4" w:rsidR="00CB632F">
        <w:rPr>
          <w:szCs w:val="22"/>
        </w:rPr>
        <w:t xml:space="preserve">notify </w:t>
      </w:r>
      <w:r w:rsidRPr="007C4DF4" w:rsidR="008C23DC">
        <w:rPr>
          <w:szCs w:val="22"/>
        </w:rPr>
        <w:t xml:space="preserve">all </w:t>
      </w:r>
      <w:r w:rsidRPr="007C4DF4" w:rsidR="00572C32">
        <w:rPr>
          <w:szCs w:val="22"/>
        </w:rPr>
        <w:t>U.S</w:t>
      </w:r>
      <w:r w:rsidRPr="007C4DF4" w:rsidR="001061E8">
        <w:rPr>
          <w:szCs w:val="22"/>
        </w:rPr>
        <w:t>.</w:t>
      </w:r>
      <w:r w:rsidRPr="007C4DF4" w:rsidR="008C23DC">
        <w:rPr>
          <w:szCs w:val="22"/>
        </w:rPr>
        <w:t xml:space="preserve">-based </w:t>
      </w:r>
      <w:r w:rsidR="00CD362C">
        <w:rPr>
          <w:szCs w:val="22"/>
        </w:rPr>
        <w:t xml:space="preserve">voice service </w:t>
      </w:r>
      <w:r w:rsidRPr="007C4DF4" w:rsidR="008C23DC">
        <w:rPr>
          <w:szCs w:val="22"/>
        </w:rPr>
        <w:t>providers about</w:t>
      </w:r>
      <w:r w:rsidRPr="007C4DF4" w:rsidR="00CB632F">
        <w:rPr>
          <w:szCs w:val="22"/>
        </w:rPr>
        <w:t xml:space="preserve"> substantial </w:t>
      </w:r>
      <w:r w:rsidRPr="007C4DF4" w:rsidR="00394CF1">
        <w:rPr>
          <w:szCs w:val="22"/>
        </w:rPr>
        <w:t xml:space="preserve">amounts of </w:t>
      </w:r>
      <w:r w:rsidRPr="007C4DF4" w:rsidR="00832CD6">
        <w:rPr>
          <w:szCs w:val="22"/>
        </w:rPr>
        <w:t xml:space="preserve">apparently unlawful </w:t>
      </w:r>
      <w:r w:rsidRPr="007C4DF4" w:rsidR="00D02CBA">
        <w:rPr>
          <w:szCs w:val="22"/>
        </w:rPr>
        <w:t xml:space="preserve">tax relief </w:t>
      </w:r>
      <w:r w:rsidRPr="007C4DF4" w:rsidR="00C05F51">
        <w:rPr>
          <w:szCs w:val="22"/>
        </w:rPr>
        <w:t xml:space="preserve">robocalls </w:t>
      </w:r>
      <w:r w:rsidRPr="007C4DF4" w:rsidR="00403758">
        <w:rPr>
          <w:szCs w:val="22"/>
        </w:rPr>
        <w:t xml:space="preserve">originating from </w:t>
      </w:r>
      <w:r w:rsidRPr="007C4DF4" w:rsidR="00F50EE3">
        <w:rPr>
          <w:szCs w:val="22"/>
        </w:rPr>
        <w:t>Veriwave Telco, LLC</w:t>
      </w:r>
      <w:r w:rsidRPr="007C4DF4" w:rsidR="003644A7">
        <w:rPr>
          <w:szCs w:val="22"/>
        </w:rPr>
        <w:t xml:space="preserve"> (</w:t>
      </w:r>
      <w:r w:rsidRPr="007C4DF4" w:rsidR="00F50EE3">
        <w:rPr>
          <w:szCs w:val="22"/>
        </w:rPr>
        <w:t>Veriwave</w:t>
      </w:r>
      <w:r w:rsidRPr="007C4DF4" w:rsidR="003644A7">
        <w:rPr>
          <w:szCs w:val="22"/>
        </w:rPr>
        <w:t>)</w:t>
      </w:r>
      <w:r w:rsidRPr="007C4DF4" w:rsidR="00C05F51">
        <w:rPr>
          <w:szCs w:val="22"/>
        </w:rPr>
        <w:t>.</w:t>
      </w:r>
      <w:r w:rsidRPr="007C4DF4" w:rsidR="008D55CC">
        <w:rPr>
          <w:szCs w:val="22"/>
        </w:rPr>
        <w:t xml:space="preserve">  </w:t>
      </w:r>
      <w:r w:rsidRPr="007C4DF4" w:rsidR="000106D3">
        <w:rPr>
          <w:b/>
          <w:bCs/>
          <w:szCs w:val="22"/>
        </w:rPr>
        <w:t xml:space="preserve">Pursuant to section 64.1200(k)(4) of the Commission’s rules, we hereby notify all U.S.-based </w:t>
      </w:r>
      <w:r w:rsidR="00CD362C">
        <w:rPr>
          <w:b/>
          <w:bCs/>
          <w:szCs w:val="22"/>
        </w:rPr>
        <w:t xml:space="preserve">voice service </w:t>
      </w:r>
      <w:r w:rsidRPr="007C4DF4" w:rsidR="000106D3">
        <w:rPr>
          <w:b/>
          <w:bCs/>
          <w:szCs w:val="22"/>
        </w:rPr>
        <w:t xml:space="preserve">providers that if Veriwave fails to effectively mitigate illegal traffic, including the identified traffic described in the cease-and-desist letter </w:t>
      </w:r>
      <w:r w:rsidR="0031328B">
        <w:rPr>
          <w:b/>
          <w:bCs/>
          <w:szCs w:val="22"/>
        </w:rPr>
        <w:t xml:space="preserve">(CDL) </w:t>
      </w:r>
      <w:r w:rsidRPr="007C4DF4" w:rsidR="000106D3">
        <w:rPr>
          <w:b/>
          <w:bCs/>
          <w:szCs w:val="22"/>
        </w:rPr>
        <w:t xml:space="preserve">listed below and substantially similar traffic, within 48 hours of the date of this </w:t>
      </w:r>
      <w:r w:rsidRPr="007C4DF4" w:rsidR="000106D3">
        <w:rPr>
          <w:b/>
          <w:bCs/>
          <w:i/>
          <w:iCs/>
          <w:szCs w:val="22"/>
        </w:rPr>
        <w:t>Public Notice</w:t>
      </w:r>
      <w:r w:rsidRPr="007C4DF4" w:rsidR="000106D3">
        <w:rPr>
          <w:b/>
          <w:bCs/>
          <w:szCs w:val="22"/>
        </w:rPr>
        <w:t xml:space="preserve">, U.S.-based </w:t>
      </w:r>
      <w:r w:rsidR="00CD362C">
        <w:rPr>
          <w:b/>
          <w:bCs/>
          <w:szCs w:val="22"/>
        </w:rPr>
        <w:t xml:space="preserve">voice service </w:t>
      </w:r>
      <w:r w:rsidRPr="007C4DF4" w:rsidR="000106D3">
        <w:rPr>
          <w:b/>
          <w:bCs/>
          <w:szCs w:val="22"/>
        </w:rPr>
        <w:t>providers may block voice calls or cease to accept traffic</w:t>
      </w:r>
      <w:r>
        <w:rPr>
          <w:rStyle w:val="FootnoteReference"/>
          <w:b/>
          <w:bCs/>
          <w:szCs w:val="22"/>
        </w:rPr>
        <w:footnoteReference w:id="3"/>
      </w:r>
      <w:r w:rsidRPr="007C4DF4" w:rsidR="000106D3">
        <w:rPr>
          <w:b/>
          <w:bCs/>
          <w:szCs w:val="22"/>
        </w:rPr>
        <w:t xml:space="preserve"> from Veriwave, without liability under the Communications Act of 1934, as amended, or the Commission’s rules</w:t>
      </w:r>
      <w:r w:rsidRPr="007C4DF4" w:rsidR="00A67265">
        <w:rPr>
          <w:b/>
          <w:bCs/>
          <w:szCs w:val="22"/>
        </w:rPr>
        <w:t>.</w:t>
      </w:r>
      <w:r>
        <w:rPr>
          <w:rStyle w:val="FootnoteReference"/>
          <w:szCs w:val="22"/>
        </w:rPr>
        <w:footnoteReference w:id="4"/>
      </w:r>
      <w:r w:rsidRPr="007C4DF4" w:rsidR="00085277">
        <w:rPr>
          <w:b/>
          <w:bCs/>
          <w:szCs w:val="22"/>
        </w:rPr>
        <w:t xml:space="preserve">  </w:t>
      </w:r>
    </w:p>
    <w:p w:rsidR="009F6D5C" w:rsidRPr="007C4DF4" w:rsidP="002259B8" w14:paraId="4F814A72" w14:textId="07BD59B4">
      <w:pPr>
        <w:keepNext/>
        <w:widowControl/>
        <w:spacing w:after="120"/>
        <w:rPr>
          <w:szCs w:val="22"/>
        </w:rPr>
      </w:pPr>
      <w:r w:rsidRPr="007C4DF4">
        <w:rPr>
          <w:szCs w:val="22"/>
        </w:rPr>
        <w:t xml:space="preserve">Contemporaneous with this </w:t>
      </w:r>
      <w:r w:rsidRPr="007C4DF4" w:rsidR="00B16FD3">
        <w:rPr>
          <w:i/>
          <w:iCs/>
          <w:szCs w:val="22"/>
        </w:rPr>
        <w:t>Public Notice</w:t>
      </w:r>
      <w:r w:rsidRPr="007C4DF4">
        <w:rPr>
          <w:szCs w:val="22"/>
        </w:rPr>
        <w:t xml:space="preserve">, the Bureau is issuing </w:t>
      </w:r>
      <w:r w:rsidRPr="007C4DF4" w:rsidR="00053CD3">
        <w:rPr>
          <w:szCs w:val="22"/>
        </w:rPr>
        <w:t xml:space="preserve">a </w:t>
      </w:r>
      <w:r w:rsidR="0031328B">
        <w:rPr>
          <w:szCs w:val="22"/>
        </w:rPr>
        <w:t>CDL</w:t>
      </w:r>
      <w:r w:rsidRPr="007C4DF4">
        <w:rPr>
          <w:szCs w:val="22"/>
        </w:rPr>
        <w:t xml:space="preserve"> to the following </w:t>
      </w:r>
      <w:r w:rsidR="00CD362C">
        <w:rPr>
          <w:szCs w:val="22"/>
        </w:rPr>
        <w:t xml:space="preserve">voice service </w:t>
      </w:r>
      <w:r w:rsidRPr="007C4DF4">
        <w:rPr>
          <w:szCs w:val="22"/>
        </w:rPr>
        <w:t>provider:</w:t>
      </w:r>
      <w:r>
        <w:rPr>
          <w:rStyle w:val="FootnoteReference"/>
          <w:szCs w:val="22"/>
        </w:rPr>
        <w:footnoteReference w:id="5"/>
      </w:r>
      <w:r w:rsidRPr="007C4DF4">
        <w:rPr>
          <w:szCs w:val="22"/>
        </w:rPr>
        <w:t xml:space="preserve">  </w:t>
      </w:r>
    </w:p>
    <w:p w:rsidR="00FE66E8" w:rsidRPr="007C4DF4" w:rsidP="00FE66E8" w14:paraId="36C3C0A4" w14:textId="439ADD05">
      <w:pPr>
        <w:pStyle w:val="ListParagraph"/>
        <w:widowControl/>
        <w:numPr>
          <w:ilvl w:val="0"/>
          <w:numId w:val="7"/>
        </w:numPr>
        <w:spacing w:after="120"/>
        <w:contextualSpacing w:val="0"/>
        <w:rPr>
          <w:b/>
          <w:bCs/>
          <w:szCs w:val="22"/>
        </w:rPr>
      </w:pPr>
      <w:r w:rsidRPr="007C4DF4">
        <w:rPr>
          <w:b/>
          <w:bCs/>
          <w:szCs w:val="22"/>
        </w:rPr>
        <w:t>Veriwave</w:t>
      </w:r>
      <w:r w:rsidRPr="007C4DF4" w:rsidR="00F21AB8">
        <w:rPr>
          <w:b/>
          <w:bCs/>
          <w:szCs w:val="22"/>
        </w:rPr>
        <w:t xml:space="preserve"> </w:t>
      </w:r>
    </w:p>
    <w:p w:rsidR="000106D3" w:rsidRPr="007C4DF4" w:rsidP="000106D3" w14:paraId="1587E619" w14:textId="063FC5A7">
      <w:pPr>
        <w:widowControl/>
        <w:spacing w:after="120"/>
        <w:rPr>
          <w:szCs w:val="22"/>
        </w:rPr>
      </w:pPr>
      <w:r w:rsidRPr="007C4DF4">
        <w:rPr>
          <w:szCs w:val="22"/>
        </w:rPr>
        <w:t xml:space="preserve">Veriwave apparently originated a substantial volume of unlawful robocalls related to tax debt </w:t>
      </w:r>
      <w:r w:rsidRPr="007C4DF4" w:rsidR="00231DA6">
        <w:rPr>
          <w:szCs w:val="22"/>
        </w:rPr>
        <w:t>relief</w:t>
      </w:r>
      <w:r w:rsidRPr="007C4DF4">
        <w:rPr>
          <w:szCs w:val="22"/>
        </w:rPr>
        <w:t xml:space="preserve"> to wireless telephone numbers</w:t>
      </w:r>
      <w:r w:rsidR="0003755F">
        <w:rPr>
          <w:szCs w:val="22"/>
        </w:rPr>
        <w:t xml:space="preserve"> that </w:t>
      </w:r>
      <w:r w:rsidR="00CD362C">
        <w:rPr>
          <w:szCs w:val="22"/>
        </w:rPr>
        <w:t xml:space="preserve">apparently </w:t>
      </w:r>
      <w:r w:rsidR="0003755F">
        <w:rPr>
          <w:szCs w:val="22"/>
        </w:rPr>
        <w:t>violated the T</w:t>
      </w:r>
      <w:r w:rsidR="006F6D58">
        <w:rPr>
          <w:szCs w:val="22"/>
        </w:rPr>
        <w:t>elephone Consumer Protection Act (TCPA)</w:t>
      </w:r>
      <w:r w:rsidR="0003755F">
        <w:rPr>
          <w:szCs w:val="22"/>
        </w:rPr>
        <w:t xml:space="preserve"> and the Commission’s implementing rules</w:t>
      </w:r>
      <w:r w:rsidRPr="007C4DF4">
        <w:rPr>
          <w:szCs w:val="22"/>
        </w:rPr>
        <w:t>.</w:t>
      </w:r>
      <w:bookmarkStart w:id="1" w:name="_Ref160700450"/>
      <w:r>
        <w:rPr>
          <w:rStyle w:val="FootnoteReference"/>
          <w:szCs w:val="22"/>
        </w:rPr>
        <w:footnoteReference w:id="6"/>
      </w:r>
      <w:bookmarkEnd w:id="1"/>
      <w:r w:rsidRPr="007C4DF4">
        <w:rPr>
          <w:szCs w:val="22"/>
        </w:rPr>
        <w:t xml:space="preserve">  Pursuant to the </w:t>
      </w:r>
      <w:r w:rsidR="0031328B">
        <w:rPr>
          <w:szCs w:val="22"/>
        </w:rPr>
        <w:t>CDL</w:t>
      </w:r>
      <w:r w:rsidRPr="007C4DF4">
        <w:rPr>
          <w:szCs w:val="22"/>
        </w:rPr>
        <w:t>, Veriwave must:</w:t>
      </w:r>
      <w:r w:rsidRPr="007C4DF4" w:rsidR="0098145A">
        <w:rPr>
          <w:szCs w:val="22"/>
        </w:rPr>
        <w:t xml:space="preserve"> </w:t>
      </w:r>
      <w:r w:rsidRPr="007C4DF4">
        <w:rPr>
          <w:szCs w:val="22"/>
        </w:rPr>
        <w:t xml:space="preserve"> (1)</w:t>
      </w:r>
      <w:r w:rsidRPr="007C4DF4" w:rsidR="00FE66E8">
        <w:rPr>
          <w:szCs w:val="22"/>
        </w:rPr>
        <w:t xml:space="preserve"> promptly investigate the traffic identified in the </w:t>
      </w:r>
      <w:r w:rsidR="00AF0581">
        <w:rPr>
          <w:szCs w:val="22"/>
        </w:rPr>
        <w:t>CDL</w:t>
      </w:r>
      <w:r w:rsidRPr="007C4DF4" w:rsidR="00FE66E8">
        <w:rPr>
          <w:szCs w:val="22"/>
        </w:rPr>
        <w:t xml:space="preserve">; (2) block or cease accepting the identified traffic and substantially similar traffic on an ongoing basis (unless it determines that the identified traffic is legal and provides a reasonable explanation to support that conclusion); and (3) report the results of the investigation to the Bureau within 14 days of the date of the </w:t>
      </w:r>
      <w:r w:rsidR="0031328B">
        <w:rPr>
          <w:szCs w:val="22"/>
        </w:rPr>
        <w:t>CDL</w:t>
      </w:r>
      <w:r w:rsidRPr="007C4DF4" w:rsidR="00FE66E8">
        <w:rPr>
          <w:szCs w:val="22"/>
        </w:rPr>
        <w:t>.</w:t>
      </w:r>
      <w:r>
        <w:rPr>
          <w:rStyle w:val="FootnoteReference"/>
          <w:szCs w:val="22"/>
        </w:rPr>
        <w:footnoteReference w:id="7"/>
      </w:r>
      <w:r w:rsidRPr="007C4DF4" w:rsidR="00FE66E8">
        <w:rPr>
          <w:szCs w:val="22"/>
        </w:rPr>
        <w:t xml:space="preserve"> </w:t>
      </w:r>
      <w:r w:rsidRPr="007C4DF4" w:rsidR="00231DA6">
        <w:rPr>
          <w:szCs w:val="22"/>
        </w:rPr>
        <w:t xml:space="preserve"> </w:t>
      </w:r>
      <w:r w:rsidRPr="007C4DF4" w:rsidR="00FE66E8">
        <w:rPr>
          <w:szCs w:val="22"/>
        </w:rPr>
        <w:t xml:space="preserve">If Veriwave fails to comply with those requirements, the </w:t>
      </w:r>
      <w:r w:rsidRPr="007C4DF4" w:rsidR="00FE66E8">
        <w:rPr>
          <w:szCs w:val="22"/>
        </w:rPr>
        <w:t>Bureau may ultimately issue a Final Determination Order, which would require downstream</w:t>
      </w:r>
      <w:r w:rsidR="00CD362C">
        <w:rPr>
          <w:szCs w:val="22"/>
        </w:rPr>
        <w:t xml:space="preserve"> voice service</w:t>
      </w:r>
      <w:r w:rsidRPr="007C4DF4" w:rsidR="00FE66E8">
        <w:rPr>
          <w:szCs w:val="22"/>
        </w:rPr>
        <w:t xml:space="preserve"> providers to block and cease accepting all traffic from Veriwave.</w:t>
      </w:r>
      <w:r>
        <w:rPr>
          <w:rStyle w:val="FootnoteReference"/>
          <w:szCs w:val="22"/>
        </w:rPr>
        <w:footnoteReference w:id="8"/>
      </w:r>
      <w:r w:rsidRPr="007C4DF4" w:rsidR="00FE66E8">
        <w:rPr>
          <w:szCs w:val="22"/>
        </w:rPr>
        <w:t xml:space="preserve"> </w:t>
      </w:r>
    </w:p>
    <w:p w:rsidR="00FE66E8" w:rsidRPr="007C4DF4" w:rsidP="002259B8" w14:paraId="094E4181" w14:textId="32145839">
      <w:pPr>
        <w:widowControl/>
        <w:spacing w:after="120"/>
        <w:rPr>
          <w:szCs w:val="22"/>
        </w:rPr>
      </w:pPr>
      <w:r w:rsidRPr="007C4DF4">
        <w:rPr>
          <w:szCs w:val="22"/>
        </w:rPr>
        <w:t xml:space="preserve">The </w:t>
      </w:r>
      <w:r w:rsidR="0031328B">
        <w:rPr>
          <w:szCs w:val="22"/>
        </w:rPr>
        <w:t>CDL</w:t>
      </w:r>
      <w:r w:rsidRPr="007C4DF4">
        <w:rPr>
          <w:szCs w:val="22"/>
        </w:rPr>
        <w:t xml:space="preserve"> also serves as notice that downstream U.S.-based</w:t>
      </w:r>
      <w:r w:rsidR="00CD362C">
        <w:rPr>
          <w:szCs w:val="22"/>
        </w:rPr>
        <w:t xml:space="preserve"> voice service</w:t>
      </w:r>
      <w:r w:rsidRPr="007C4DF4">
        <w:rPr>
          <w:szCs w:val="22"/>
        </w:rPr>
        <w:t xml:space="preserve"> providers may</w:t>
      </w:r>
      <w:r w:rsidRPr="007C4DF4" w:rsidR="00014BED">
        <w:rPr>
          <w:szCs w:val="22"/>
        </w:rPr>
        <w:t xml:space="preserve"> begin blocking</w:t>
      </w:r>
      <w:r w:rsidRPr="007C4DF4" w:rsidR="002F4497">
        <w:rPr>
          <w:szCs w:val="22"/>
        </w:rPr>
        <w:t xml:space="preserve"> all calls or cease accepting traffic from Veriwave after notifying the Commission of their decision</w:t>
      </w:r>
      <w:r w:rsidR="007003D3">
        <w:rPr>
          <w:szCs w:val="22"/>
        </w:rPr>
        <w:t>,</w:t>
      </w:r>
      <w:r w:rsidRPr="007C4DF4" w:rsidR="002F4497">
        <w:rPr>
          <w:szCs w:val="22"/>
        </w:rPr>
        <w:t xml:space="preserve"> and providing a brief summary of their basis for making such determination, </w:t>
      </w:r>
      <w:r w:rsidRPr="007C4DF4">
        <w:rPr>
          <w:szCs w:val="22"/>
        </w:rPr>
        <w:t xml:space="preserve">if Veriwave either (a) fails to effectively mitigate illegal traffic within 48 hours of </w:t>
      </w:r>
      <w:r w:rsidRPr="001954C0" w:rsidR="001B2BDB">
        <w:rPr>
          <w:szCs w:val="22"/>
        </w:rPr>
        <w:t>the</w:t>
      </w:r>
      <w:r w:rsidR="001B2BDB">
        <w:rPr>
          <w:szCs w:val="22"/>
        </w:rPr>
        <w:t xml:space="preserve"> delivery</w:t>
      </w:r>
      <w:r w:rsidRPr="001954C0" w:rsidR="001B2BDB">
        <w:rPr>
          <w:szCs w:val="22"/>
        </w:rPr>
        <w:t xml:space="preserve"> </w:t>
      </w:r>
      <w:r w:rsidR="001B2BDB">
        <w:rPr>
          <w:szCs w:val="22"/>
        </w:rPr>
        <w:t xml:space="preserve">date of the </w:t>
      </w:r>
      <w:r w:rsidR="007003D3">
        <w:rPr>
          <w:szCs w:val="22"/>
        </w:rPr>
        <w:t>CDL</w:t>
      </w:r>
      <w:r w:rsidR="001B2BDB">
        <w:rPr>
          <w:szCs w:val="22"/>
        </w:rPr>
        <w:t xml:space="preserve"> </w:t>
      </w:r>
      <w:r w:rsidRPr="007C4DF4">
        <w:rPr>
          <w:szCs w:val="22"/>
        </w:rPr>
        <w:t xml:space="preserve">or (b) fails to implement effective measures to prevent new and renewing customers from using its network to originate illegal calls within 14 days of the </w:t>
      </w:r>
      <w:r w:rsidR="001B2BDB">
        <w:rPr>
          <w:szCs w:val="22"/>
        </w:rPr>
        <w:t>delivery</w:t>
      </w:r>
      <w:r w:rsidRPr="001954C0" w:rsidR="001B2BDB">
        <w:rPr>
          <w:szCs w:val="22"/>
        </w:rPr>
        <w:t xml:space="preserve"> </w:t>
      </w:r>
      <w:r w:rsidR="001B2BDB">
        <w:rPr>
          <w:szCs w:val="22"/>
        </w:rPr>
        <w:t xml:space="preserve">date </w:t>
      </w:r>
      <w:r w:rsidRPr="007C4DF4">
        <w:rPr>
          <w:szCs w:val="22"/>
        </w:rPr>
        <w:t xml:space="preserve">of </w:t>
      </w:r>
      <w:r w:rsidR="001B2BDB">
        <w:rPr>
          <w:szCs w:val="22"/>
        </w:rPr>
        <w:t>the</w:t>
      </w:r>
      <w:r w:rsidRPr="007C4DF4" w:rsidR="001B2BDB">
        <w:rPr>
          <w:szCs w:val="22"/>
        </w:rPr>
        <w:t xml:space="preserve"> </w:t>
      </w:r>
      <w:r w:rsidR="007003D3">
        <w:rPr>
          <w:szCs w:val="22"/>
        </w:rPr>
        <w:t>CDL</w:t>
      </w:r>
      <w:r w:rsidRPr="007C4DF4">
        <w:rPr>
          <w:szCs w:val="22"/>
        </w:rPr>
        <w:t>.</w:t>
      </w:r>
      <w:r>
        <w:rPr>
          <w:rStyle w:val="FootnoteReference"/>
          <w:szCs w:val="22"/>
        </w:rPr>
        <w:footnoteReference w:id="9"/>
      </w:r>
      <w:r w:rsidRPr="007C4DF4">
        <w:rPr>
          <w:szCs w:val="22"/>
        </w:rPr>
        <w:t xml:space="preserve"> </w:t>
      </w:r>
      <w:r w:rsidRPr="007C4DF4" w:rsidR="00073C7C">
        <w:rPr>
          <w:szCs w:val="22"/>
        </w:rPr>
        <w:t xml:space="preserve"> </w:t>
      </w:r>
      <w:r w:rsidRPr="007C4DF4" w:rsidR="00073C7C">
        <w:rPr>
          <w:b/>
          <w:bCs/>
          <w:szCs w:val="22"/>
        </w:rPr>
        <w:t>U.S.-based</w:t>
      </w:r>
      <w:r w:rsidR="00CD362C">
        <w:rPr>
          <w:b/>
          <w:bCs/>
          <w:szCs w:val="22"/>
        </w:rPr>
        <w:t xml:space="preserve"> voice service</w:t>
      </w:r>
      <w:r w:rsidRPr="007C4DF4" w:rsidR="00073C7C">
        <w:rPr>
          <w:b/>
          <w:bCs/>
          <w:szCs w:val="22"/>
        </w:rPr>
        <w:t xml:space="preserve"> providers may block ALL call traffic transmitting from Veriwave’s network if it fails to act within either deadline.</w:t>
      </w:r>
    </w:p>
    <w:p w:rsidR="001B1F1A" w:rsidRPr="007C4DF4" w:rsidP="00B47688" w14:paraId="260BC49C" w14:textId="389E4937">
      <w:pPr>
        <w:widowControl/>
        <w:spacing w:after="120"/>
        <w:rPr>
          <w:szCs w:val="22"/>
        </w:rPr>
      </w:pPr>
      <w:r w:rsidRPr="007C4DF4">
        <w:rPr>
          <w:i/>
          <w:iCs/>
          <w:szCs w:val="22"/>
        </w:rPr>
        <w:t>Purpose</w:t>
      </w:r>
      <w:r w:rsidRPr="007C4DF4">
        <w:rPr>
          <w:szCs w:val="22"/>
        </w:rPr>
        <w:t xml:space="preserve">.  </w:t>
      </w:r>
      <w:r w:rsidRPr="007C4DF4" w:rsidR="00D847A3">
        <w:rPr>
          <w:szCs w:val="22"/>
        </w:rPr>
        <w:t xml:space="preserve">Protecting </w:t>
      </w:r>
      <w:r w:rsidRPr="007C4DF4" w:rsidR="007A313E">
        <w:rPr>
          <w:szCs w:val="22"/>
        </w:rPr>
        <w:t>individuals</w:t>
      </w:r>
      <w:r w:rsidRPr="007C4DF4" w:rsidR="001061E8">
        <w:rPr>
          <w:szCs w:val="22"/>
        </w:rPr>
        <w:t xml:space="preserve"> and entities</w:t>
      </w:r>
      <w:r w:rsidRPr="007C4DF4" w:rsidR="00D847A3">
        <w:rPr>
          <w:szCs w:val="22"/>
        </w:rPr>
        <w:t xml:space="preserve"> from the dangers of unwanted and illegal robocalls is the Commission’s top consumer protection priority.</w:t>
      </w:r>
      <w:r>
        <w:rPr>
          <w:rStyle w:val="FootnoteReference"/>
          <w:szCs w:val="22"/>
        </w:rPr>
        <w:footnoteReference w:id="10"/>
      </w:r>
      <w:r w:rsidRPr="007C4DF4" w:rsidR="00D847A3">
        <w:rPr>
          <w:szCs w:val="22"/>
        </w:rPr>
        <w:t xml:space="preserve">  As part of </w:t>
      </w:r>
      <w:r w:rsidRPr="007C4DF4" w:rsidR="006E30C0">
        <w:rPr>
          <w:szCs w:val="22"/>
        </w:rPr>
        <w:t>its</w:t>
      </w:r>
      <w:r w:rsidRPr="007C4DF4" w:rsidR="00D847A3">
        <w:rPr>
          <w:szCs w:val="22"/>
        </w:rPr>
        <w:t xml:space="preserve"> multi</w:t>
      </w:r>
      <w:r w:rsidRPr="007C4DF4" w:rsidR="003E2FDD">
        <w:rPr>
          <w:szCs w:val="22"/>
        </w:rPr>
        <w:t>-</w:t>
      </w:r>
      <w:r w:rsidRPr="007C4DF4" w:rsidR="00D847A3">
        <w:rPr>
          <w:szCs w:val="22"/>
        </w:rPr>
        <w:t>prong</w:t>
      </w:r>
      <w:r w:rsidRPr="007C4DF4" w:rsidR="003E2FDD">
        <w:rPr>
          <w:szCs w:val="22"/>
        </w:rPr>
        <w:t>ed</w:t>
      </w:r>
      <w:r w:rsidRPr="007C4DF4" w:rsidR="00D847A3">
        <w:rPr>
          <w:szCs w:val="22"/>
        </w:rPr>
        <w:t xml:space="preserve"> approach to combatting illegal robocalls, the Commission has</w:t>
      </w:r>
      <w:r w:rsidRPr="007C4DF4" w:rsidR="001B20B6">
        <w:rPr>
          <w:szCs w:val="22"/>
        </w:rPr>
        <w:t xml:space="preserve"> </w:t>
      </w:r>
      <w:r w:rsidRPr="007C4DF4" w:rsidR="00F97B7C">
        <w:rPr>
          <w:szCs w:val="22"/>
        </w:rPr>
        <w:t xml:space="preserve">taken steps to </w:t>
      </w:r>
      <w:r w:rsidRPr="007C4DF4" w:rsidR="0097012C">
        <w:rPr>
          <w:iCs/>
          <w:szCs w:val="22"/>
        </w:rPr>
        <w:t>encourage</w:t>
      </w:r>
      <w:r w:rsidRPr="007C4DF4" w:rsidR="00F97B7C">
        <w:rPr>
          <w:i/>
          <w:szCs w:val="22"/>
        </w:rPr>
        <w:t xml:space="preserve"> </w:t>
      </w:r>
      <w:r w:rsidR="00CD362C">
        <w:rPr>
          <w:iCs/>
          <w:szCs w:val="22"/>
        </w:rPr>
        <w:t xml:space="preserve">voice service </w:t>
      </w:r>
      <w:r w:rsidRPr="007C4DF4" w:rsidR="00F97B7C">
        <w:rPr>
          <w:szCs w:val="22"/>
        </w:rPr>
        <w:t>providers to block suspected illegal robocalls.</w:t>
      </w:r>
      <w:r>
        <w:rPr>
          <w:rStyle w:val="FootnoteReference"/>
          <w:szCs w:val="22"/>
        </w:rPr>
        <w:footnoteReference w:id="11"/>
      </w:r>
      <w:r w:rsidRPr="007C4DF4" w:rsidR="00F97B7C">
        <w:rPr>
          <w:szCs w:val="22"/>
        </w:rPr>
        <w:t xml:space="preserve">  </w:t>
      </w:r>
      <w:r w:rsidRPr="007C4DF4">
        <w:rPr>
          <w:szCs w:val="22"/>
        </w:rPr>
        <w:t>The Commission permits</w:t>
      </w:r>
      <w:r w:rsidR="00CD362C">
        <w:rPr>
          <w:szCs w:val="22"/>
        </w:rPr>
        <w:t xml:space="preserve"> </w:t>
      </w:r>
      <w:r w:rsidR="00CD362C">
        <w:rPr>
          <w:iCs/>
          <w:szCs w:val="22"/>
        </w:rPr>
        <w:t>voice service</w:t>
      </w:r>
      <w:r w:rsidRPr="007C4DF4">
        <w:rPr>
          <w:szCs w:val="22"/>
        </w:rPr>
        <w:t xml:space="preserve"> providers to block traffic from other</w:t>
      </w:r>
      <w:r w:rsidR="00CD362C">
        <w:rPr>
          <w:szCs w:val="22"/>
        </w:rPr>
        <w:t xml:space="preserve"> </w:t>
      </w:r>
      <w:r w:rsidR="00CD362C">
        <w:rPr>
          <w:iCs/>
          <w:szCs w:val="22"/>
        </w:rPr>
        <w:t>voice service</w:t>
      </w:r>
      <w:r w:rsidRPr="007C4DF4">
        <w:rPr>
          <w:szCs w:val="22"/>
        </w:rPr>
        <w:t xml:space="preserve"> providers that the Bureau has warned are originating or transmitting suspected illegal robocalls, if the warned </w:t>
      </w:r>
      <w:r w:rsidR="00CD362C">
        <w:rPr>
          <w:iCs/>
          <w:szCs w:val="22"/>
        </w:rPr>
        <w:t>voice service</w:t>
      </w:r>
      <w:r w:rsidRPr="007C4DF4" w:rsidR="00CD362C">
        <w:rPr>
          <w:szCs w:val="22"/>
        </w:rPr>
        <w:t xml:space="preserve"> </w:t>
      </w:r>
      <w:r w:rsidRPr="007C4DF4">
        <w:rPr>
          <w:szCs w:val="22"/>
        </w:rPr>
        <w:t>providers fail to take appropriate and timely action to mitigate such traffic.</w:t>
      </w:r>
      <w:r>
        <w:rPr>
          <w:rStyle w:val="FootnoteReference"/>
          <w:szCs w:val="22"/>
        </w:rPr>
        <w:footnoteReference w:id="12"/>
      </w:r>
      <w:r w:rsidRPr="007C4DF4" w:rsidR="00F97B7C">
        <w:rPr>
          <w:szCs w:val="22"/>
        </w:rPr>
        <w:t xml:space="preserve"> </w:t>
      </w:r>
      <w:r w:rsidRPr="007C4DF4" w:rsidR="00231DA6">
        <w:rPr>
          <w:szCs w:val="22"/>
        </w:rPr>
        <w:t xml:space="preserve"> </w:t>
      </w:r>
      <w:r w:rsidRPr="007C4DF4" w:rsidR="00F97B7C">
        <w:rPr>
          <w:szCs w:val="22"/>
        </w:rPr>
        <w:t xml:space="preserve">The Bureau has issued </w:t>
      </w:r>
      <w:r w:rsidRPr="007C4DF4" w:rsidR="0008277F">
        <w:rPr>
          <w:szCs w:val="22"/>
        </w:rPr>
        <w:t xml:space="preserve">numerous </w:t>
      </w:r>
      <w:r w:rsidRPr="007C4DF4" w:rsidR="00F97B7C">
        <w:rPr>
          <w:szCs w:val="22"/>
        </w:rPr>
        <w:t xml:space="preserve">“cease-and-desist” letters, warning </w:t>
      </w:r>
      <w:r w:rsidR="00CD362C">
        <w:rPr>
          <w:iCs/>
          <w:szCs w:val="22"/>
        </w:rPr>
        <w:t>voice service</w:t>
      </w:r>
      <w:r w:rsidRPr="007C4DF4" w:rsidR="00CD362C">
        <w:rPr>
          <w:szCs w:val="22"/>
        </w:rPr>
        <w:t xml:space="preserve"> </w:t>
      </w:r>
      <w:r w:rsidRPr="007C4DF4" w:rsidR="00F97B7C">
        <w:rPr>
          <w:szCs w:val="22"/>
        </w:rPr>
        <w:t>providers that they were</w:t>
      </w:r>
      <w:r w:rsidRPr="007C4DF4" w:rsidR="000940C7">
        <w:rPr>
          <w:szCs w:val="22"/>
        </w:rPr>
        <w:t xml:space="preserve"> originating or</w:t>
      </w:r>
      <w:r w:rsidRPr="007C4DF4" w:rsidR="00F97B7C">
        <w:rPr>
          <w:szCs w:val="22"/>
        </w:rPr>
        <w:t xml:space="preserve"> transmitting suspected illegal robocalls and could be subject to blocking.</w:t>
      </w:r>
      <w:r>
        <w:rPr>
          <w:rStyle w:val="FootnoteReference"/>
          <w:szCs w:val="22"/>
        </w:rPr>
        <w:footnoteReference w:id="13"/>
      </w:r>
      <w:r w:rsidRPr="007C4DF4" w:rsidR="00A371F1">
        <w:rPr>
          <w:szCs w:val="22"/>
        </w:rPr>
        <w:t xml:space="preserve">  </w:t>
      </w:r>
      <w:r w:rsidRPr="007C4DF4">
        <w:rPr>
          <w:szCs w:val="22"/>
        </w:rPr>
        <w:t xml:space="preserve">The Bureau may also ultimately order </w:t>
      </w:r>
      <w:r w:rsidR="00CD362C">
        <w:rPr>
          <w:iCs/>
          <w:szCs w:val="22"/>
        </w:rPr>
        <w:t>voice service</w:t>
      </w:r>
      <w:r w:rsidRPr="007C4DF4" w:rsidR="00CD362C">
        <w:rPr>
          <w:szCs w:val="22"/>
        </w:rPr>
        <w:t xml:space="preserve"> </w:t>
      </w:r>
      <w:r w:rsidRPr="007C4DF4">
        <w:rPr>
          <w:szCs w:val="22"/>
        </w:rPr>
        <w:t>providers</w:t>
      </w:r>
      <w:r w:rsidR="007003D3">
        <w:rPr>
          <w:szCs w:val="22"/>
        </w:rPr>
        <w:t xml:space="preserve"> that are</w:t>
      </w:r>
      <w:r w:rsidRPr="007C4DF4">
        <w:rPr>
          <w:szCs w:val="22"/>
        </w:rPr>
        <w:t xml:space="preserve"> </w:t>
      </w:r>
      <w:r w:rsidRPr="007C4DF4" w:rsidR="007003D3">
        <w:rPr>
          <w:szCs w:val="22"/>
        </w:rPr>
        <w:t xml:space="preserve">immediately downstream </w:t>
      </w:r>
      <w:r w:rsidRPr="007C4DF4">
        <w:rPr>
          <w:szCs w:val="22"/>
        </w:rPr>
        <w:t>to cease accepting traffic from an upstream</w:t>
      </w:r>
      <w:r w:rsidR="00CD362C">
        <w:rPr>
          <w:szCs w:val="22"/>
        </w:rPr>
        <w:t xml:space="preserve"> </w:t>
      </w:r>
      <w:r w:rsidR="00CD362C">
        <w:rPr>
          <w:iCs/>
          <w:szCs w:val="22"/>
        </w:rPr>
        <w:t>voice service</w:t>
      </w:r>
      <w:r w:rsidRPr="007C4DF4">
        <w:rPr>
          <w:szCs w:val="22"/>
        </w:rPr>
        <w:t xml:space="preserve"> provider that does not comply with the Commission’s rules.</w:t>
      </w:r>
      <w:r>
        <w:rPr>
          <w:rStyle w:val="FootnoteReference"/>
          <w:szCs w:val="22"/>
        </w:rPr>
        <w:footnoteReference w:id="14"/>
      </w:r>
    </w:p>
    <w:p w:rsidR="008D2F3B" w:rsidRPr="006C75BC" w:rsidP="008D2F3B" w14:paraId="4E5C0F9F" w14:textId="02EBAFC8">
      <w:pPr>
        <w:autoSpaceDE w:val="0"/>
        <w:autoSpaceDN w:val="0"/>
        <w:adjustRightInd w:val="0"/>
        <w:spacing w:after="120"/>
        <w:rPr>
          <w:szCs w:val="22"/>
        </w:rPr>
      </w:pPr>
      <w:r w:rsidRPr="007C4DF4">
        <w:rPr>
          <w:i/>
          <w:iCs/>
          <w:szCs w:val="22"/>
        </w:rPr>
        <w:t>Nature of Apparently Unlawful Robocall Traffic.</w:t>
      </w:r>
      <w:r w:rsidRPr="007C4DF4">
        <w:rPr>
          <w:szCs w:val="22"/>
        </w:rPr>
        <w:t xml:space="preserve"> </w:t>
      </w:r>
      <w:bookmarkStart w:id="2" w:name="_Hlk161665093"/>
      <w:r w:rsidRPr="007C4DF4" w:rsidR="006D307F">
        <w:rPr>
          <w:szCs w:val="22"/>
        </w:rPr>
        <w:t xml:space="preserve"> </w:t>
      </w:r>
      <w:bookmarkStart w:id="3" w:name="_Hlk161841807"/>
      <w:bookmarkStart w:id="4" w:name="_Hlk90543882"/>
      <w:bookmarkEnd w:id="2"/>
      <w:r w:rsidRPr="006C75BC">
        <w:rPr>
          <w:szCs w:val="22"/>
        </w:rPr>
        <w:t>YouMail, Inc. (YouMail)</w:t>
      </w:r>
      <w:r>
        <w:rPr>
          <w:rStyle w:val="FootnoteReference"/>
          <w:rFonts w:eastAsiaTheme="majorEastAsia"/>
          <w:szCs w:val="22"/>
        </w:rPr>
        <w:footnoteReference w:id="15"/>
      </w:r>
      <w:r w:rsidRPr="006C75BC">
        <w:rPr>
          <w:szCs w:val="22"/>
        </w:rPr>
        <w:t xml:space="preserve"> estimates that between November 1, 2023 and January 31, 2024</w:t>
      </w:r>
      <w:r w:rsidR="007003D3">
        <w:rPr>
          <w:szCs w:val="22"/>
        </w:rPr>
        <w:t>,</w:t>
      </w:r>
      <w:r w:rsidRPr="006C75BC">
        <w:rPr>
          <w:szCs w:val="22"/>
        </w:rPr>
        <w:t xml:space="preserve"> approximately 15.8 million robocalls playing prerecorded messages pertaining to a</w:t>
      </w:r>
      <w:r>
        <w:rPr>
          <w:szCs w:val="22"/>
        </w:rPr>
        <w:t>n unknown</w:t>
      </w:r>
      <w:r>
        <w:rPr>
          <w:rStyle w:val="FootnoteReference"/>
          <w:szCs w:val="22"/>
        </w:rPr>
        <w:footnoteReference w:id="16"/>
      </w:r>
      <w:r>
        <w:rPr>
          <w:szCs w:val="22"/>
        </w:rPr>
        <w:t xml:space="preserve"> </w:t>
      </w:r>
      <w:r w:rsidRPr="006C75BC">
        <w:rPr>
          <w:szCs w:val="22"/>
        </w:rPr>
        <w:t xml:space="preserve">“National Tax Relief Program” were placed to call recipients </w:t>
      </w:r>
      <w:r w:rsidRPr="006C75BC">
        <w:rPr>
          <w:szCs w:val="22"/>
        </w:rPr>
        <w:t>(recipients).</w:t>
      </w:r>
      <w:r>
        <w:rPr>
          <w:rStyle w:val="FootnoteReference"/>
          <w:rFonts w:eastAsiaTheme="majorEastAsia"/>
          <w:szCs w:val="22"/>
        </w:rPr>
        <w:footnoteReference w:id="17"/>
      </w:r>
      <w:r w:rsidRPr="006C75BC">
        <w:rPr>
          <w:szCs w:val="22"/>
        </w:rPr>
        <w:t xml:space="preserve">  This robocalling campaign increased in volume in the three months immediately preceding the 2024 filing season start date.</w:t>
      </w:r>
      <w:r>
        <w:rPr>
          <w:rStyle w:val="FootnoteReference"/>
          <w:rFonts w:eastAsiaTheme="majorEastAsia"/>
          <w:szCs w:val="22"/>
        </w:rPr>
        <w:footnoteReference w:id="18"/>
      </w:r>
      <w:r w:rsidRPr="006C75BC">
        <w:rPr>
          <w:szCs w:val="22"/>
        </w:rPr>
        <w:t xml:space="preserve">  This start date, and the lead up to it, may be particularly stressful for tax filers with arrears from prior years as their 2023 </w:t>
      </w:r>
      <w:r w:rsidR="007003D3">
        <w:rPr>
          <w:szCs w:val="22"/>
        </w:rPr>
        <w:t xml:space="preserve">tax </w:t>
      </w:r>
      <w:r w:rsidRPr="006C75BC">
        <w:rPr>
          <w:szCs w:val="22"/>
        </w:rPr>
        <w:t>refund could be subject to withholding by the Internal Revenue Service.</w:t>
      </w:r>
      <w:r>
        <w:rPr>
          <w:rStyle w:val="FootnoteReference"/>
          <w:rFonts w:eastAsiaTheme="majorEastAsia"/>
          <w:szCs w:val="22"/>
        </w:rPr>
        <w:footnoteReference w:id="19"/>
      </w:r>
      <w:r w:rsidRPr="006C75BC">
        <w:rPr>
          <w:szCs w:val="22"/>
        </w:rPr>
        <w:t xml:space="preserve"> </w:t>
      </w:r>
      <w:r>
        <w:rPr>
          <w:szCs w:val="22"/>
        </w:rPr>
        <w:t xml:space="preserve"> </w:t>
      </w:r>
      <w:r w:rsidRPr="006C75BC">
        <w:rPr>
          <w:szCs w:val="22"/>
        </w:rPr>
        <w:t>This robocall campaign</w:t>
      </w:r>
      <w:r w:rsidRPr="00E02D3D">
        <w:rPr>
          <w:szCs w:val="22"/>
        </w:rPr>
        <w:t xml:space="preserve"> apparently</w:t>
      </w:r>
      <w:r w:rsidRPr="006C75BC">
        <w:rPr>
          <w:szCs w:val="22"/>
        </w:rPr>
        <w:t xml:space="preserve"> preyed upon these filers.</w:t>
      </w:r>
    </w:p>
    <w:p w:rsidR="008D2F3B" w:rsidRPr="006C75BC" w:rsidP="008D2F3B" w14:paraId="3CD02D90" w14:textId="067323C8">
      <w:pPr>
        <w:autoSpaceDE w:val="0"/>
        <w:autoSpaceDN w:val="0"/>
        <w:adjustRightInd w:val="0"/>
        <w:spacing w:after="120"/>
        <w:rPr>
          <w:szCs w:val="22"/>
        </w:rPr>
      </w:pPr>
      <w:r w:rsidRPr="006C75BC">
        <w:rPr>
          <w:szCs w:val="22"/>
        </w:rPr>
        <w:t>USTelecom’s Industry Traceback Group (ITG)</w:t>
      </w:r>
      <w:r>
        <w:rPr>
          <w:rStyle w:val="FootnoteReference"/>
          <w:rFonts w:eastAsiaTheme="majorEastAsia"/>
          <w:szCs w:val="22"/>
        </w:rPr>
        <w:footnoteReference w:id="20"/>
      </w:r>
      <w:r w:rsidRPr="006C75BC">
        <w:rPr>
          <w:szCs w:val="22"/>
        </w:rPr>
        <w:t xml:space="preserve"> conducted tracebacks on 23 calls associated with the “National Tax Relief Program” made to wireless numbers between November 30, 2023 and January 29, 2024.</w:t>
      </w:r>
      <w:bookmarkStart w:id="5" w:name="_Ref161746112"/>
      <w:r>
        <w:rPr>
          <w:rStyle w:val="FootnoteReference"/>
          <w:rFonts w:eastAsiaTheme="majorEastAsia"/>
          <w:szCs w:val="22"/>
        </w:rPr>
        <w:footnoteReference w:id="21"/>
      </w:r>
      <w:bookmarkEnd w:id="5"/>
      <w:r w:rsidRPr="006C75BC">
        <w:rPr>
          <w:szCs w:val="22"/>
        </w:rPr>
        <w:t xml:space="preserve">  All 23 calls, identified in Attachment A to this Notice, were part of an apparently illegal robocalling campaign featuring artificial or prerecorded voice messages from the “National Tax Relief Program” offering purported tax debt relief services under the same name.</w:t>
      </w:r>
      <w:r>
        <w:rPr>
          <w:rStyle w:val="FootnoteReference"/>
          <w:rFonts w:eastAsiaTheme="majorEastAsia"/>
          <w:szCs w:val="22"/>
        </w:rPr>
        <w:footnoteReference w:id="22"/>
      </w:r>
      <w:r w:rsidRPr="006C75BC">
        <w:rPr>
          <w:szCs w:val="22"/>
        </w:rPr>
        <w:t xml:space="preserve">  Multiple messages were part of the campaign, but each pre-recorded message began by saying that the caller was contacting the called party to ensure the recipient received information on the new National Tax Relief Program.</w:t>
      </w:r>
      <w:r>
        <w:rPr>
          <w:rStyle w:val="FootnoteReference"/>
          <w:szCs w:val="22"/>
        </w:rPr>
        <w:footnoteReference w:id="23"/>
      </w:r>
      <w:r w:rsidRPr="006C75BC">
        <w:rPr>
          <w:szCs w:val="22"/>
        </w:rPr>
        <w:t xml:space="preserve">  Many of the messages further appealed to recipients with the offer to “rapidly clear” their tax debt with the National Tax Relief Program.</w:t>
      </w:r>
      <w:r>
        <w:rPr>
          <w:rStyle w:val="FootnoteReference"/>
          <w:szCs w:val="22"/>
        </w:rPr>
        <w:footnoteReference w:id="24"/>
      </w:r>
      <w:r w:rsidRPr="006C75BC">
        <w:rPr>
          <w:szCs w:val="22"/>
        </w:rPr>
        <w:t xml:space="preserve">  After describing the supposed benefit of the program, some</w:t>
      </w:r>
      <w:bookmarkStart w:id="6" w:name="_Hlk161666450"/>
      <w:r w:rsidRPr="006C75BC">
        <w:rPr>
          <w:szCs w:val="22"/>
        </w:rPr>
        <w:t xml:space="preserve"> recordings then prompted recipients to answer as to whether they owed any taxes.</w:t>
      </w:r>
      <w:r>
        <w:rPr>
          <w:rStyle w:val="FootnoteReference"/>
          <w:szCs w:val="22"/>
        </w:rPr>
        <w:footnoteReference w:id="25"/>
      </w:r>
      <w:r w:rsidRPr="006C75BC">
        <w:rPr>
          <w:szCs w:val="22"/>
        </w:rPr>
        <w:t xml:space="preserve">  In some instances, such as in the example transcript below, the recordings asked the recipient whether they had any tax debt, described the requirements of the program, and prompted them to press one to confirm if they qualified for the “special program”</w:t>
      </w:r>
      <w:r w:rsidR="00910DE3">
        <w:rPr>
          <w:szCs w:val="22"/>
        </w:rPr>
        <w:t>:</w:t>
      </w:r>
      <w:r>
        <w:rPr>
          <w:rStyle w:val="FootnoteReference"/>
          <w:szCs w:val="22"/>
        </w:rPr>
        <w:footnoteReference w:id="26"/>
      </w:r>
    </w:p>
    <w:p w:rsidR="008D2F3B" w:rsidRPr="006C75BC" w:rsidP="008D2F3B" w14:paraId="1970CF3F" w14:textId="77777777">
      <w:pPr>
        <w:autoSpaceDE w:val="0"/>
        <w:autoSpaceDN w:val="0"/>
        <w:adjustRightInd w:val="0"/>
        <w:spacing w:after="120"/>
        <w:ind w:left="720" w:right="720"/>
        <w:rPr>
          <w:szCs w:val="22"/>
        </w:rPr>
      </w:pPr>
      <w:r w:rsidRPr="006C75BC">
        <w:rPr>
          <w:szCs w:val="22"/>
        </w:rPr>
        <w:t xml:space="preserve">Alright, uh, so I’ve been tasked to personally contact you and make sure that you have been provided the information about the new National Tax Relief Program.  This relevant information is extremely important with helping those that owe back taxes to rapidly clear their debt.  So can you tell me if you currently owe any back taxes at this time?  Ok, let me go ahead and get you this information then.  One moment please.  Here we go. </w:t>
      </w:r>
    </w:p>
    <w:p w:rsidR="008D2F3B" w:rsidRPr="006C75BC" w:rsidP="008D2F3B" w14:paraId="17CB66E0" w14:textId="77777777">
      <w:pPr>
        <w:autoSpaceDE w:val="0"/>
        <w:autoSpaceDN w:val="0"/>
        <w:adjustRightInd w:val="0"/>
        <w:spacing w:after="120"/>
        <w:ind w:left="720" w:right="720"/>
        <w:rPr>
          <w:szCs w:val="22"/>
        </w:rPr>
      </w:pPr>
      <w:r w:rsidRPr="006C75BC">
        <w:rPr>
          <w:szCs w:val="22"/>
        </w:rPr>
        <w:t xml:space="preserve">Ok, so this special program has been recently approved as of August 2022.  The purpose of the Tax Dismissal Program is to help those struggling with tax debt.  However, there’s certain requirements to be eligible.  You cannot currently be in any other tax debt consolidation or settlement program.  You cannot currently be in bankruptcy and you must have a household income of under $250,000 a year, but you do have to have a </w:t>
      </w:r>
      <w:r w:rsidRPr="006C75BC">
        <w:rPr>
          <w:szCs w:val="22"/>
        </w:rPr>
        <w:t>monthly income of at least $2,000 a month.  So I need to ask you, do you meet these minimum requirements for eligibility?  Press 1 for yes, 2 for no.</w:t>
      </w:r>
      <w:r>
        <w:rPr>
          <w:rStyle w:val="FootnoteReference"/>
          <w:szCs w:val="22"/>
        </w:rPr>
        <w:footnoteReference w:id="27"/>
      </w:r>
    </w:p>
    <w:p w:rsidR="008D2F3B" w:rsidRPr="004D1F1B" w:rsidP="008D2F3B" w14:paraId="713661AF" w14:textId="77777777">
      <w:pPr>
        <w:spacing w:after="120"/>
        <w:rPr>
          <w:szCs w:val="22"/>
        </w:rPr>
      </w:pPr>
      <w:bookmarkStart w:id="7" w:name="_Hlk162541427"/>
      <w:bookmarkStart w:id="8" w:name="_Hlk161666832"/>
      <w:bookmarkStart w:id="9" w:name="_Hlk161745541"/>
      <w:bookmarkEnd w:id="6"/>
      <w:r w:rsidRPr="004D1F1B">
        <w:rPr>
          <w:szCs w:val="22"/>
        </w:rPr>
        <w:t xml:space="preserve">If the </w:t>
      </w:r>
      <w:r>
        <w:rPr>
          <w:szCs w:val="22"/>
        </w:rPr>
        <w:t>r</w:t>
      </w:r>
      <w:r w:rsidRPr="004D1F1B">
        <w:rPr>
          <w:szCs w:val="22"/>
        </w:rPr>
        <w:t>ecipient connected to a live operator</w:t>
      </w:r>
      <w:r>
        <w:rPr>
          <w:szCs w:val="22"/>
        </w:rPr>
        <w:t>, t</w:t>
      </w:r>
      <w:r w:rsidRPr="004D1F1B">
        <w:rPr>
          <w:szCs w:val="22"/>
        </w:rPr>
        <w:t>he live operator reportedly asked for personal information, including date of birth and social security number.</w:t>
      </w:r>
      <w:bookmarkEnd w:id="7"/>
      <w:r>
        <w:rPr>
          <w:rStyle w:val="FootnoteReference"/>
          <w:rFonts w:eastAsiaTheme="majorEastAsia"/>
          <w:szCs w:val="22"/>
        </w:rPr>
        <w:footnoteReference w:id="28"/>
      </w:r>
      <w:r w:rsidRPr="004D1F1B">
        <w:rPr>
          <w:szCs w:val="22"/>
        </w:rPr>
        <w:t xml:space="preserve">  The calls did not provide any call back number.</w:t>
      </w:r>
      <w:r>
        <w:rPr>
          <w:rStyle w:val="FootnoteReference"/>
          <w:rFonts w:eastAsiaTheme="majorEastAsia"/>
          <w:szCs w:val="22"/>
        </w:rPr>
        <w:footnoteReference w:id="29"/>
      </w:r>
      <w:r w:rsidRPr="004D1F1B">
        <w:rPr>
          <w:szCs w:val="22"/>
        </w:rPr>
        <w:t xml:space="preserve"> </w:t>
      </w:r>
      <w:r>
        <w:rPr>
          <w:szCs w:val="22"/>
        </w:rPr>
        <w:t xml:space="preserve"> </w:t>
      </w:r>
    </w:p>
    <w:p w:rsidR="008D2F3B" w:rsidRPr="001954C0" w:rsidP="008D2F3B" w14:paraId="4E4E6D43" w14:textId="08F12C96">
      <w:pPr>
        <w:spacing w:after="120"/>
        <w:rPr>
          <w:szCs w:val="22"/>
        </w:rPr>
      </w:pPr>
      <w:r w:rsidRPr="001954C0">
        <w:rPr>
          <w:szCs w:val="22"/>
        </w:rPr>
        <w:t xml:space="preserve">The ITG </w:t>
      </w:r>
      <w:bookmarkEnd w:id="8"/>
      <w:r w:rsidRPr="001954C0">
        <w:rPr>
          <w:szCs w:val="22"/>
        </w:rPr>
        <w:t>investigated the traceback calls and determined that Veriwave was the originating provider.</w:t>
      </w:r>
      <w:r>
        <w:rPr>
          <w:rStyle w:val="FootnoteReference"/>
          <w:szCs w:val="22"/>
        </w:rPr>
        <w:footnoteReference w:id="30"/>
      </w:r>
      <w:r w:rsidRPr="001954C0">
        <w:rPr>
          <w:szCs w:val="22"/>
        </w:rPr>
        <w:t xml:space="preserve"> </w:t>
      </w:r>
      <w:bookmarkEnd w:id="9"/>
      <w:r w:rsidRPr="001954C0">
        <w:rPr>
          <w:szCs w:val="22"/>
        </w:rPr>
        <w:t xml:space="preserve"> The ITG notified Veriwave of these calls and provided the Company with supporting data identifying each call.</w:t>
      </w:r>
      <w:r>
        <w:rPr>
          <w:rStyle w:val="FootnoteReference"/>
          <w:szCs w:val="22"/>
        </w:rPr>
        <w:footnoteReference w:id="31"/>
      </w:r>
      <w:r w:rsidRPr="001954C0">
        <w:rPr>
          <w:szCs w:val="22"/>
        </w:rPr>
        <w:t xml:space="preserve">  </w:t>
      </w:r>
      <w:bookmarkStart w:id="10" w:name="_Hlk161745738"/>
      <w:r w:rsidRPr="001954C0">
        <w:rPr>
          <w:szCs w:val="22"/>
        </w:rPr>
        <w:t>Veriwave did not contest it had originated the calls and identified one client as the source of all of the calls.</w:t>
      </w:r>
      <w:bookmarkEnd w:id="10"/>
      <w:r>
        <w:rPr>
          <w:rStyle w:val="FootnoteReference"/>
          <w:szCs w:val="22"/>
        </w:rPr>
        <w:footnoteReference w:id="32"/>
      </w:r>
      <w:r w:rsidRPr="001954C0">
        <w:rPr>
          <w:szCs w:val="22"/>
        </w:rPr>
        <w:t xml:space="preserve">  Veriwave did not offer evidence of consent for the calls or contest the unlawful nature of the calls.</w:t>
      </w:r>
      <w:r>
        <w:rPr>
          <w:rStyle w:val="FootnoteReference"/>
          <w:szCs w:val="22"/>
        </w:rPr>
        <w:footnoteReference w:id="33"/>
      </w:r>
      <w:r w:rsidRPr="001954C0">
        <w:rPr>
          <w:szCs w:val="22"/>
        </w:rPr>
        <w:t xml:space="preserve">  Nor did Veriwave contest that any exceptions to the rules applied.</w:t>
      </w:r>
      <w:r>
        <w:rPr>
          <w:rStyle w:val="FootnoteReference"/>
          <w:szCs w:val="22"/>
        </w:rPr>
        <w:footnoteReference w:id="34"/>
      </w:r>
      <w:r w:rsidRPr="001954C0">
        <w:rPr>
          <w:szCs w:val="22"/>
        </w:rPr>
        <w:t xml:space="preserve">  The Bureau reached out </w:t>
      </w:r>
      <w:r>
        <w:rPr>
          <w:szCs w:val="22"/>
        </w:rPr>
        <w:t xml:space="preserve">to </w:t>
      </w:r>
      <w:r w:rsidRPr="001954C0">
        <w:rPr>
          <w:szCs w:val="22"/>
        </w:rPr>
        <w:t>Veriwave via the email address Veriwave provided to the Bureau for communication about</w:t>
      </w:r>
      <w:r w:rsidR="00910DE3">
        <w:rPr>
          <w:szCs w:val="22"/>
        </w:rPr>
        <w:t xml:space="preserve"> its</w:t>
      </w:r>
      <w:r w:rsidRPr="001954C0">
        <w:rPr>
          <w:szCs w:val="22"/>
        </w:rPr>
        <w:t xml:space="preserve"> robocall mitigation</w:t>
      </w:r>
      <w:r w:rsidR="00910DE3">
        <w:rPr>
          <w:szCs w:val="22"/>
        </w:rPr>
        <w:t xml:space="preserve"> efforts</w:t>
      </w:r>
      <w:r w:rsidRPr="001954C0">
        <w:rPr>
          <w:szCs w:val="22"/>
        </w:rPr>
        <w:t>, but the email was returned as undeliverable.</w:t>
      </w:r>
      <w:r>
        <w:rPr>
          <w:rStyle w:val="FootnoteReference"/>
          <w:rFonts w:eastAsiaTheme="majorEastAsia"/>
          <w:szCs w:val="22"/>
        </w:rPr>
        <w:footnoteReference w:id="35"/>
      </w:r>
      <w:r w:rsidRPr="001954C0">
        <w:rPr>
          <w:szCs w:val="22"/>
        </w:rPr>
        <w:t xml:space="preserve"> </w:t>
      </w:r>
    </w:p>
    <w:bookmarkEnd w:id="3"/>
    <w:p w:rsidR="001D3A6B" w:rsidRPr="007C4DF4" w:rsidP="00E939FC" w14:paraId="55CB5ECA" w14:textId="736211F5">
      <w:pPr>
        <w:widowControl/>
        <w:autoSpaceDE w:val="0"/>
        <w:autoSpaceDN w:val="0"/>
        <w:adjustRightInd w:val="0"/>
        <w:spacing w:after="120"/>
        <w:rPr>
          <w:szCs w:val="22"/>
        </w:rPr>
      </w:pPr>
      <w:r w:rsidRPr="007C4DF4">
        <w:rPr>
          <w:i/>
          <w:iCs/>
          <w:szCs w:val="22"/>
        </w:rPr>
        <w:t>Potential Further Enforcement Action.</w:t>
      </w:r>
      <w:r w:rsidRPr="007C4DF4">
        <w:rPr>
          <w:szCs w:val="22"/>
        </w:rPr>
        <w:t xml:space="preserve">  The Bureau may issue an Initial Determination Order </w:t>
      </w:r>
      <w:bookmarkStart w:id="12" w:name="_Hlk157534370"/>
      <w:r w:rsidRPr="007C4DF4">
        <w:rPr>
          <w:szCs w:val="22"/>
        </w:rPr>
        <w:t>stating the Bureau’s initial determination</w:t>
      </w:r>
      <w:bookmarkEnd w:id="12"/>
      <w:r w:rsidRPr="007C4DF4">
        <w:rPr>
          <w:szCs w:val="22"/>
        </w:rPr>
        <w:t xml:space="preserve"> that Veriwave is not in compliance with section 64.1200 of the Commission’s rules if:  (a) Veriwave fails to respond to the </w:t>
      </w:r>
      <w:r w:rsidR="00AF0581">
        <w:rPr>
          <w:szCs w:val="22"/>
        </w:rPr>
        <w:t>CDL</w:t>
      </w:r>
      <w:r w:rsidRPr="007C4DF4">
        <w:rPr>
          <w:szCs w:val="22"/>
        </w:rPr>
        <w:t>; (b) Veriwave provides an insufficient response; (c) Veriwave continues to originate substantially similar traffic or allow substantially similar traffic onto the U.S. network after the 14-day period identified above; or (d) the Bureau determines the traffic is illegal despite Veriwave’s assertions to the contrary.</w:t>
      </w:r>
      <w:r>
        <w:rPr>
          <w:rStyle w:val="FootnoteReference"/>
          <w:szCs w:val="22"/>
        </w:rPr>
        <w:footnoteReference w:id="36"/>
      </w:r>
      <w:r w:rsidRPr="007C4DF4">
        <w:rPr>
          <w:szCs w:val="22"/>
        </w:rPr>
        <w:t xml:space="preserve">  If the Bureau issues an Initial Determination Order, Veriwave will have an opportunity to respond.</w:t>
      </w:r>
      <w:r>
        <w:rPr>
          <w:rStyle w:val="FootnoteReference"/>
          <w:szCs w:val="22"/>
        </w:rPr>
        <w:footnoteReference w:id="37"/>
      </w:r>
      <w:r w:rsidRPr="007C4DF4">
        <w:rPr>
          <w:szCs w:val="22"/>
        </w:rPr>
        <w:t xml:space="preserve">  If Veriwave does not provide an adequate response to the Initial Determination Order</w:t>
      </w:r>
      <w:r w:rsidR="00910DE3">
        <w:rPr>
          <w:szCs w:val="22"/>
        </w:rPr>
        <w:t>,</w:t>
      </w:r>
      <w:r w:rsidRPr="007C4DF4">
        <w:rPr>
          <w:szCs w:val="22"/>
        </w:rPr>
        <w:t xml:space="preserve"> or continues to originate or allow substantially similar traffic onto the U.S. network, the Bureau may issue a Final Determination Order in EB Docket No. 22-174 concluding that Veriwave is not in compliance with section 64.1200 of the Commission’s rules.</w:t>
      </w:r>
      <w:r>
        <w:rPr>
          <w:rStyle w:val="FootnoteReference"/>
          <w:szCs w:val="22"/>
        </w:rPr>
        <w:footnoteReference w:id="38"/>
      </w:r>
      <w:r w:rsidRPr="007C4DF4">
        <w:rPr>
          <w:szCs w:val="22"/>
        </w:rPr>
        <w:t xml:space="preserve">  </w:t>
      </w:r>
      <w:r w:rsidRPr="007C4DF4">
        <w:rPr>
          <w:b/>
          <w:bCs/>
          <w:szCs w:val="22"/>
        </w:rPr>
        <w:t>In the event that the Bureau issues a Final Determination Order in this matter, pursuant to section 64.1200(n)(3) of the Commission’s Rules, all U.S.-based</w:t>
      </w:r>
      <w:r w:rsidRPr="00CD362C" w:rsidR="00CD362C">
        <w:rPr>
          <w:b/>
          <w:bCs/>
          <w:szCs w:val="22"/>
        </w:rPr>
        <w:t xml:space="preserve"> </w:t>
      </w:r>
      <w:r w:rsidRPr="00133E77" w:rsidR="00CD362C">
        <w:rPr>
          <w:b/>
          <w:bCs/>
          <w:iCs/>
          <w:szCs w:val="22"/>
        </w:rPr>
        <w:t>voice service</w:t>
      </w:r>
      <w:r w:rsidRPr="00CD362C">
        <w:rPr>
          <w:b/>
          <w:bCs/>
          <w:szCs w:val="22"/>
        </w:rPr>
        <w:t xml:space="preserve"> </w:t>
      </w:r>
      <w:r w:rsidRPr="007C4DF4">
        <w:rPr>
          <w:b/>
          <w:bCs/>
          <w:szCs w:val="22"/>
        </w:rPr>
        <w:t xml:space="preserve">providers shall be </w:t>
      </w:r>
      <w:r w:rsidRPr="007C4DF4">
        <w:rPr>
          <w:b/>
          <w:bCs/>
          <w:szCs w:val="22"/>
        </w:rPr>
        <w:t>required to block Veriwave’s traffic beginning 30 days from the release date of the Final Determination Order.</w:t>
      </w:r>
      <w:bookmarkEnd w:id="4"/>
      <w:r>
        <w:rPr>
          <w:rStyle w:val="FootnoteReference"/>
          <w:szCs w:val="22"/>
        </w:rPr>
        <w:footnoteReference w:id="39"/>
      </w:r>
    </w:p>
    <w:bookmarkEnd w:id="0"/>
    <w:p w:rsidR="00F80DA2" w:rsidRPr="007C4DF4" w:rsidP="002259B8" w14:paraId="7AFE1E07" w14:textId="77CCF79E">
      <w:pPr>
        <w:keepNext/>
        <w:widowControl/>
        <w:spacing w:after="120"/>
        <w:rPr>
          <w:szCs w:val="22"/>
        </w:rPr>
      </w:pPr>
      <w:r w:rsidRPr="007C4DF4">
        <w:rPr>
          <w:i/>
          <w:iCs/>
          <w:szCs w:val="22"/>
        </w:rPr>
        <w:t>Contact Information</w:t>
      </w:r>
      <w:r w:rsidRPr="007C4DF4">
        <w:rPr>
          <w:szCs w:val="22"/>
        </w:rPr>
        <w:t xml:space="preserve">. </w:t>
      </w:r>
      <w:r w:rsidRPr="007C4DF4" w:rsidR="00A674FD">
        <w:rPr>
          <w:szCs w:val="22"/>
        </w:rPr>
        <w:t xml:space="preserve"> </w:t>
      </w:r>
      <w:r w:rsidRPr="007C4DF4">
        <w:rPr>
          <w:szCs w:val="22"/>
        </w:rPr>
        <w:t xml:space="preserve">For further information, please contact Kristi Thompson, </w:t>
      </w:r>
      <w:r w:rsidRPr="007C4DF4" w:rsidR="00EB72A6">
        <w:rPr>
          <w:szCs w:val="22"/>
        </w:rPr>
        <w:t xml:space="preserve">Division Chief, </w:t>
      </w:r>
      <w:r w:rsidRPr="007C4DF4" w:rsidR="007C4BE1">
        <w:rPr>
          <w:szCs w:val="22"/>
        </w:rPr>
        <w:t xml:space="preserve">Telecommunications Consumers Division, </w:t>
      </w:r>
      <w:r w:rsidRPr="007C4DF4" w:rsidR="00134A7C">
        <w:rPr>
          <w:szCs w:val="22"/>
        </w:rPr>
        <w:t xml:space="preserve">Enforcement Bureau, </w:t>
      </w:r>
      <w:r w:rsidRPr="007C4DF4" w:rsidR="007C4BE1">
        <w:rPr>
          <w:szCs w:val="22"/>
        </w:rPr>
        <w:t xml:space="preserve">at 202-418-1318 or by email at </w:t>
      </w:r>
      <w:hyperlink r:id="rId5" w:history="1">
        <w:r w:rsidRPr="007C4DF4" w:rsidR="007C4BE1">
          <w:rPr>
            <w:rStyle w:val="Hyperlink"/>
            <w:szCs w:val="22"/>
          </w:rPr>
          <w:t>Kristi.Thompson@fcc.gov</w:t>
        </w:r>
      </w:hyperlink>
      <w:r w:rsidRPr="007C4DF4" w:rsidR="00EB72A6">
        <w:rPr>
          <w:szCs w:val="22"/>
        </w:rPr>
        <w:t xml:space="preserve">; </w:t>
      </w:r>
      <w:r w:rsidRPr="007C4DF4" w:rsidR="00B4528B">
        <w:rPr>
          <w:szCs w:val="22"/>
        </w:rPr>
        <w:t xml:space="preserve">or Daniel Stepanicich, </w:t>
      </w:r>
      <w:r w:rsidRPr="007C4DF4" w:rsidR="00FC3A84">
        <w:rPr>
          <w:szCs w:val="22"/>
        </w:rPr>
        <w:t xml:space="preserve">Assistant Division Chief, </w:t>
      </w:r>
      <w:r w:rsidRPr="007C4DF4" w:rsidR="00B4528B">
        <w:rPr>
          <w:szCs w:val="22"/>
        </w:rPr>
        <w:t xml:space="preserve">Telecommunications Consumers Division, </w:t>
      </w:r>
      <w:r w:rsidRPr="007C4DF4" w:rsidR="00134A7C">
        <w:rPr>
          <w:szCs w:val="22"/>
        </w:rPr>
        <w:t xml:space="preserve">Enforcement Bureau, </w:t>
      </w:r>
      <w:r w:rsidRPr="007C4DF4" w:rsidR="00B4528B">
        <w:rPr>
          <w:szCs w:val="22"/>
        </w:rPr>
        <w:t>at 202-418-</w:t>
      </w:r>
      <w:r w:rsidRPr="007C4DF4" w:rsidR="001218F2">
        <w:rPr>
          <w:szCs w:val="22"/>
        </w:rPr>
        <w:t xml:space="preserve">7451 or by email at </w:t>
      </w:r>
      <w:hyperlink r:id="rId6" w:history="1">
        <w:r w:rsidRPr="007C4DF4" w:rsidR="002E5792">
          <w:rPr>
            <w:rStyle w:val="Hyperlink"/>
            <w:szCs w:val="22"/>
          </w:rPr>
          <w:t>Daniel.Stepanicich@fcc.gov</w:t>
        </w:r>
      </w:hyperlink>
      <w:r w:rsidRPr="007C4DF4" w:rsidR="002E5792">
        <w:rPr>
          <w:szCs w:val="22"/>
        </w:rPr>
        <w:t>.</w:t>
      </w:r>
    </w:p>
    <w:p w:rsidR="002E5792" w:rsidRPr="007C4DF4" w:rsidP="002259B8" w14:paraId="01D2E5A3" w14:textId="77777777">
      <w:pPr>
        <w:keepNext/>
        <w:widowControl/>
        <w:spacing w:after="220"/>
        <w:rPr>
          <w:szCs w:val="22"/>
        </w:rPr>
      </w:pPr>
    </w:p>
    <w:p w:rsidR="002E5792" w:rsidRPr="007C4DF4" w:rsidP="002259B8" w14:paraId="12C051B2" w14:textId="77777777">
      <w:pPr>
        <w:keepNext/>
        <w:widowControl/>
        <w:spacing w:after="220"/>
        <w:rPr>
          <w:szCs w:val="22"/>
        </w:rPr>
      </w:pPr>
    </w:p>
    <w:p w:rsidR="008B0727" w:rsidRPr="007C4DF4" w:rsidP="002259B8" w14:paraId="770AC4F9" w14:textId="77777777">
      <w:pPr>
        <w:keepNext/>
        <w:widowControl/>
        <w:ind w:left="4680"/>
        <w:rPr>
          <w:szCs w:val="22"/>
        </w:rPr>
      </w:pPr>
      <w:r w:rsidRPr="007C4DF4">
        <w:rPr>
          <w:szCs w:val="22"/>
        </w:rPr>
        <w:t>ENFORCEMENT BUREAU</w:t>
      </w:r>
    </w:p>
    <w:p w:rsidR="008B0727" w:rsidRPr="007C4DF4" w:rsidP="002259B8" w14:paraId="733374D9" w14:textId="77777777">
      <w:pPr>
        <w:keepNext/>
        <w:widowControl/>
        <w:ind w:left="4680"/>
        <w:rPr>
          <w:szCs w:val="22"/>
        </w:rPr>
      </w:pPr>
      <w:r w:rsidRPr="007C4DF4">
        <w:rPr>
          <w:szCs w:val="22"/>
        </w:rPr>
        <w:t xml:space="preserve">Loyaan </w:t>
      </w:r>
      <w:r w:rsidRPr="007C4DF4" w:rsidR="00B02635">
        <w:rPr>
          <w:szCs w:val="22"/>
        </w:rPr>
        <w:t xml:space="preserve">A. </w:t>
      </w:r>
      <w:r w:rsidRPr="007C4DF4">
        <w:rPr>
          <w:szCs w:val="22"/>
        </w:rPr>
        <w:t>Egal</w:t>
      </w:r>
    </w:p>
    <w:p w:rsidR="008B0727" w:rsidRPr="007C4DF4" w:rsidP="002259B8" w14:paraId="1816945B" w14:textId="77777777">
      <w:pPr>
        <w:widowControl/>
        <w:ind w:left="4680"/>
        <w:rPr>
          <w:szCs w:val="22"/>
        </w:rPr>
      </w:pPr>
      <w:r w:rsidRPr="007C4DF4">
        <w:rPr>
          <w:szCs w:val="22"/>
        </w:rPr>
        <w:t>Chief</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7DB" w14:paraId="7A86CA8C" w14:textId="77777777">
    <w:pPr>
      <w:pStyle w:val="Footer"/>
      <w:framePr w:wrap="around" w:vAnchor="text" w:hAnchor="margin" w:xAlign="center" w:y="1"/>
    </w:pPr>
    <w:r>
      <w:fldChar w:fldCharType="begin"/>
    </w:r>
    <w:r>
      <w:instrText xml:space="preserve">PAGE  </w:instrText>
    </w:r>
    <w:r w:rsidR="00E939FC">
      <w:fldChar w:fldCharType="separate"/>
    </w:r>
    <w:r>
      <w:fldChar w:fldCharType="end"/>
    </w:r>
  </w:p>
  <w:p w:rsidR="00A137DB" w14:paraId="20154B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7DB" w14:paraId="293F088D" w14:textId="77777777">
    <w:pPr>
      <w:pStyle w:val="Footer"/>
      <w:jc w:val="center"/>
    </w:pPr>
    <w:r>
      <w:fldChar w:fldCharType="begin"/>
    </w:r>
    <w:r>
      <w:instrText xml:space="preserve"> PAGE   \* MERGEFORMAT </w:instrText>
    </w:r>
    <w:r>
      <w:fldChar w:fldCharType="separate"/>
    </w:r>
    <w:r w:rsidR="00C61BB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7DB" w14:paraId="2E669CC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36C0" w14:paraId="11390535" w14:textId="77777777">
      <w:r>
        <w:separator/>
      </w:r>
    </w:p>
  </w:footnote>
  <w:footnote w:type="continuationSeparator" w:id="1">
    <w:p w:rsidR="009B36C0" w14:paraId="5E4D97E2" w14:textId="77777777">
      <w:pPr>
        <w:rPr>
          <w:sz w:val="20"/>
        </w:rPr>
      </w:pPr>
      <w:r>
        <w:rPr>
          <w:sz w:val="20"/>
        </w:rPr>
        <w:t xml:space="preserve">(Continued from previous page)  </w:t>
      </w:r>
      <w:r>
        <w:rPr>
          <w:sz w:val="20"/>
        </w:rPr>
        <w:separator/>
      </w:r>
    </w:p>
  </w:footnote>
  <w:footnote w:type="continuationNotice" w:id="2">
    <w:p w:rsidR="009B36C0" w14:paraId="6B62E38D" w14:textId="77777777">
      <w:pPr>
        <w:jc w:val="right"/>
        <w:rPr>
          <w:sz w:val="20"/>
        </w:rPr>
      </w:pPr>
      <w:r>
        <w:rPr>
          <w:sz w:val="20"/>
        </w:rPr>
        <w:t>(continued….)</w:t>
      </w:r>
    </w:p>
  </w:footnote>
  <w:footnote w:id="3">
    <w:p w:rsidR="00515973" w:rsidRPr="007C4DF4" w14:paraId="5B6E57F7" w14:textId="6C8E8D9D">
      <w:pPr>
        <w:pStyle w:val="FootnoteText"/>
      </w:pPr>
      <w:r w:rsidRPr="007C4DF4">
        <w:rPr>
          <w:rStyle w:val="FootnoteReference"/>
          <w:sz w:val="20"/>
        </w:rPr>
        <w:footnoteRef/>
      </w:r>
      <w:r w:rsidRPr="007C4DF4">
        <w:t xml:space="preserve"> A</w:t>
      </w:r>
      <w:r w:rsidR="00CD362C">
        <w:t xml:space="preserve"> </w:t>
      </w:r>
      <w:r w:rsidR="00CD362C">
        <w:rPr>
          <w:iCs/>
          <w:szCs w:val="22"/>
        </w:rPr>
        <w:t>voice service</w:t>
      </w:r>
      <w:r w:rsidRPr="007C4DF4">
        <w:t xml:space="preserve"> provider may not block a voice call if the call is an emergency call placed to 911. </w:t>
      </w:r>
      <w:r w:rsidRPr="007C4DF4">
        <w:rPr>
          <w:i/>
          <w:iCs/>
        </w:rPr>
        <w:t xml:space="preserve"> See </w:t>
      </w:r>
      <w:r w:rsidRPr="007C4DF4">
        <w:t>47 CFR § 64.1200(k)(5).</w:t>
      </w:r>
    </w:p>
  </w:footnote>
  <w:footnote w:id="4">
    <w:p w:rsidR="00BC6741" w:rsidRPr="007C4DF4" w:rsidP="00BC6741" w14:paraId="6A9835D6" w14:textId="6EAAA6F0">
      <w:pPr>
        <w:pStyle w:val="FootnoteText"/>
      </w:pPr>
      <w:r w:rsidRPr="007C4DF4">
        <w:rPr>
          <w:rStyle w:val="FootnoteReference"/>
          <w:sz w:val="20"/>
        </w:rPr>
        <w:footnoteRef/>
      </w:r>
      <w:r w:rsidRPr="007C4DF4">
        <w:t xml:space="preserve"> </w:t>
      </w:r>
      <w:r w:rsidRPr="007C4DF4" w:rsidR="00515973">
        <w:rPr>
          <w:i/>
          <w:iCs/>
        </w:rPr>
        <w:t>Id.</w:t>
      </w:r>
      <w:r w:rsidRPr="007C4DF4">
        <w:t xml:space="preserve"> § 64.1200(k)(4)</w:t>
      </w:r>
      <w:r w:rsidRPr="007C4DF4" w:rsidR="00FB7EB8">
        <w:t xml:space="preserve"> (permitting downstream</w:t>
      </w:r>
      <w:r w:rsidR="00CD362C">
        <w:t xml:space="preserve"> </w:t>
      </w:r>
      <w:r w:rsidR="00CD362C">
        <w:rPr>
          <w:iCs/>
          <w:szCs w:val="22"/>
        </w:rPr>
        <w:t>voice service</w:t>
      </w:r>
      <w:r w:rsidRPr="007C4DF4" w:rsidR="00FB7EB8">
        <w:t xml:space="preserve"> providers to block calls from a notified </w:t>
      </w:r>
      <w:r w:rsidRPr="007C4DF4" w:rsidR="003E7A4E">
        <w:t xml:space="preserve">provider that fails to </w:t>
      </w:r>
      <w:r w:rsidRPr="007C4DF4" w:rsidR="00ED1DD3">
        <w:t xml:space="preserve">either (a) </w:t>
      </w:r>
      <w:r w:rsidRPr="007C4DF4" w:rsidR="00F50EE3">
        <w:t xml:space="preserve">effectively </w:t>
      </w:r>
      <w:r w:rsidRPr="007C4DF4" w:rsidR="003E7A4E">
        <w:t>mitigate the identified traffic within 48 hours</w:t>
      </w:r>
      <w:r w:rsidRPr="007C4DF4" w:rsidR="005C612E">
        <w:t xml:space="preserve"> or </w:t>
      </w:r>
      <w:r w:rsidRPr="007C4DF4" w:rsidR="00ED1DD3">
        <w:t xml:space="preserve">(b) </w:t>
      </w:r>
      <w:r w:rsidRPr="007C4DF4" w:rsidR="005F7AE5">
        <w:t>implement effective measures to prevent new and renewing customers from using its network to originate illegal calls</w:t>
      </w:r>
      <w:r w:rsidRPr="007C4DF4" w:rsidR="00612144">
        <w:t>)</w:t>
      </w:r>
      <w:r w:rsidRPr="007C4DF4">
        <w:t>.</w:t>
      </w:r>
      <w:r w:rsidRPr="007C4DF4" w:rsidR="0092599C">
        <w:t xml:space="preserve"> </w:t>
      </w:r>
      <w:r w:rsidRPr="007C4DF4" w:rsidR="00B335BF">
        <w:t xml:space="preserve"> </w:t>
      </w:r>
    </w:p>
  </w:footnote>
  <w:footnote w:id="5">
    <w:p w:rsidR="00A50A2A" w:rsidRPr="007C4DF4" w:rsidP="00A50A2A" w14:paraId="6C564B26" w14:textId="673BF530">
      <w:pPr>
        <w:pStyle w:val="FootnoteText"/>
      </w:pPr>
      <w:r w:rsidRPr="007C4DF4">
        <w:rPr>
          <w:rStyle w:val="FootnoteReference"/>
          <w:sz w:val="20"/>
        </w:rPr>
        <w:footnoteRef/>
      </w:r>
      <w:r w:rsidRPr="007C4DF4">
        <w:t xml:space="preserve"> </w:t>
      </w:r>
      <w:r w:rsidRPr="007C4DF4" w:rsidR="00DB1DDC">
        <w:t xml:space="preserve">Letter from </w:t>
      </w:r>
      <w:r w:rsidRPr="00C82DB1" w:rsidR="00DB1DDC">
        <w:t xml:space="preserve">Loyaan A. Egal, Chief, Enforcement Bureau, to </w:t>
      </w:r>
      <w:r w:rsidRPr="00C82DB1" w:rsidR="00F9471C">
        <w:t>Felix Hernandez</w:t>
      </w:r>
      <w:r w:rsidRPr="00C82DB1" w:rsidR="00DB1DDC">
        <w:t xml:space="preserve">, </w:t>
      </w:r>
      <w:r w:rsidRPr="00C82DB1" w:rsidR="00F9471C">
        <w:t>Compliance Officer</w:t>
      </w:r>
      <w:r w:rsidRPr="00C82DB1" w:rsidR="00DB1DDC">
        <w:t xml:space="preserve">, </w:t>
      </w:r>
      <w:r w:rsidRPr="00C82DB1" w:rsidR="00F50EE3">
        <w:t>Veriwave</w:t>
      </w:r>
      <w:r w:rsidRPr="00C82DB1" w:rsidR="00DB1DDC">
        <w:t xml:space="preserve"> </w:t>
      </w:r>
      <w:r w:rsidRPr="00C82DB1" w:rsidR="00500EDF">
        <w:t>Telco</w:t>
      </w:r>
      <w:r w:rsidRPr="00C82DB1" w:rsidR="00F9471C">
        <w:t>,</w:t>
      </w:r>
      <w:r w:rsidRPr="00C82DB1" w:rsidR="00500EDF">
        <w:t xml:space="preserve"> </w:t>
      </w:r>
      <w:r w:rsidRPr="00C82DB1" w:rsidR="00F9471C">
        <w:t>LLC</w:t>
      </w:r>
      <w:r w:rsidRPr="00C82DB1" w:rsidR="00DB1DDC">
        <w:t xml:space="preserve"> (</w:t>
      </w:r>
      <w:r w:rsidRPr="00C82DB1" w:rsidR="00C82DB1">
        <w:t>April</w:t>
      </w:r>
      <w:r w:rsidRPr="00C82DB1" w:rsidR="002A2451">
        <w:t xml:space="preserve"> </w:t>
      </w:r>
      <w:r w:rsidRPr="00C82DB1" w:rsidR="00C82DB1">
        <w:t>4</w:t>
      </w:r>
      <w:r w:rsidRPr="00C82DB1" w:rsidR="006540B6">
        <w:t>, 202</w:t>
      </w:r>
      <w:r w:rsidRPr="00C82DB1" w:rsidR="00F9471C">
        <w:t>4</w:t>
      </w:r>
      <w:r w:rsidRPr="00C82DB1" w:rsidR="00DB1DDC">
        <w:t>) (</w:t>
      </w:r>
      <w:r w:rsidRPr="00C82DB1" w:rsidR="00F50EE3">
        <w:t>Veri</w:t>
      </w:r>
      <w:r w:rsidRPr="007C4DF4" w:rsidR="00F50EE3">
        <w:t>wave</w:t>
      </w:r>
      <w:r w:rsidRPr="007C4DF4" w:rsidR="00DB1DDC">
        <w:t xml:space="preserve"> Letter</w:t>
      </w:r>
      <w:r w:rsidRPr="007C4DF4" w:rsidR="0095039A">
        <w:t>)</w:t>
      </w:r>
      <w:r w:rsidRPr="007C4DF4" w:rsidR="00DB1DDC">
        <w:t xml:space="preserve">.  </w:t>
      </w:r>
      <w:r w:rsidRPr="007C4DF4" w:rsidR="00040A2A">
        <w:t>Th</w:t>
      </w:r>
      <w:r w:rsidRPr="007C4DF4" w:rsidR="0095039A">
        <w:t>is</w:t>
      </w:r>
      <w:r w:rsidRPr="007C4DF4" w:rsidR="00040A2A">
        <w:t xml:space="preserve"> letter </w:t>
      </w:r>
      <w:r w:rsidRPr="007C4DF4" w:rsidR="0095039A">
        <w:t>is</w:t>
      </w:r>
      <w:r w:rsidRPr="007C4DF4" w:rsidR="00040A2A">
        <w:t xml:space="preserve"> available on the Commission</w:t>
      </w:r>
      <w:r w:rsidRPr="007C4DF4" w:rsidR="00E3019E">
        <w:t>’</w:t>
      </w:r>
      <w:r w:rsidRPr="007C4DF4" w:rsidR="00040A2A">
        <w:t xml:space="preserve">s website at </w:t>
      </w:r>
      <w:hyperlink r:id="rId1" w:history="1">
        <w:r w:rsidRPr="007C4DF4" w:rsidR="00040A2A">
          <w:rPr>
            <w:rStyle w:val="Hyperlink"/>
          </w:rPr>
          <w:t>https://www.fcc.gov/robocall-facilitators-must-cease-and-desist</w:t>
        </w:r>
      </w:hyperlink>
      <w:r w:rsidRPr="007C4DF4" w:rsidR="00040A2A">
        <w:t>.</w:t>
      </w:r>
    </w:p>
  </w:footnote>
  <w:footnote w:id="6">
    <w:p w:rsidR="000106D3" w:rsidRPr="007C4DF4" w:rsidP="000106D3" w14:paraId="37EA7878" w14:textId="352EB453">
      <w:pPr>
        <w:pStyle w:val="FootnoteText"/>
      </w:pPr>
      <w:r w:rsidRPr="007C4DF4">
        <w:rPr>
          <w:rStyle w:val="FootnoteReference"/>
          <w:sz w:val="20"/>
        </w:rPr>
        <w:footnoteRef/>
      </w:r>
      <w:r w:rsidRPr="007C4DF4">
        <w:t xml:space="preserve"> </w:t>
      </w:r>
      <w:r w:rsidRPr="007C4DF4">
        <w:rPr>
          <w:i/>
          <w:iCs/>
        </w:rPr>
        <w:t>See</w:t>
      </w:r>
      <w:r w:rsidRPr="007C4DF4">
        <w:t xml:space="preserve"> Traceback Consortium Subpoena Response (Jan. 31, 2024) (on file at EB-TCD-24-00036</w:t>
      </w:r>
      <w:r w:rsidRPr="007C4DF4" w:rsidR="00FD3B7F">
        <w:t>355</w:t>
      </w:r>
      <w:r w:rsidRPr="007C4DF4">
        <w:t>); Traceback Consortium Subpoena Response (March 5, 2024) (on file at EB-TCD-24-00036</w:t>
      </w:r>
      <w:r w:rsidRPr="007C4DF4" w:rsidR="00FD3B7F">
        <w:t>355</w:t>
      </w:r>
      <w:r w:rsidRPr="007C4DF4">
        <w:t>) (collectively, ITG Subpoena Responses)</w:t>
      </w:r>
      <w:r w:rsidR="00F94EEE">
        <w:t xml:space="preserve">; </w:t>
      </w:r>
      <w:r w:rsidR="00F94EEE">
        <w:rPr>
          <w:i/>
          <w:iCs/>
        </w:rPr>
        <w:t>see also</w:t>
      </w:r>
      <w:r w:rsidR="00AF54CB">
        <w:t xml:space="preserve"> 47 U.S.C. § </w:t>
      </w:r>
      <w:r w:rsidR="004076F5">
        <w:t>227(b)</w:t>
      </w:r>
      <w:r w:rsidR="00F22122">
        <w:t>(1)(A)</w:t>
      </w:r>
      <w:r w:rsidR="00A4643B">
        <w:t>; 47 CFR § 64.1200(a)</w:t>
      </w:r>
      <w:r w:rsidR="00080E44">
        <w:t>(1)-(2)</w:t>
      </w:r>
      <w:r w:rsidRPr="007C4DF4">
        <w:t>.</w:t>
      </w:r>
    </w:p>
  </w:footnote>
  <w:footnote w:id="7">
    <w:p w:rsidR="00FE66E8" w:rsidRPr="007C4DF4" w14:paraId="2F1F7012" w14:textId="67E2079A">
      <w:pPr>
        <w:pStyle w:val="FootnoteText"/>
      </w:pPr>
      <w:r w:rsidRPr="007C4DF4">
        <w:rPr>
          <w:rStyle w:val="FootnoteReference"/>
          <w:sz w:val="20"/>
        </w:rPr>
        <w:footnoteRef/>
      </w:r>
      <w:r w:rsidRPr="007C4DF4">
        <w:t xml:space="preserve"> </w:t>
      </w:r>
      <w:r w:rsidRPr="007C4DF4">
        <w:rPr>
          <w:i/>
          <w:iCs/>
        </w:rPr>
        <w:t xml:space="preserve">See </w:t>
      </w:r>
      <w:r w:rsidRPr="007C4DF4">
        <w:t>47</w:t>
      </w:r>
      <w:r w:rsidRPr="007C4DF4">
        <w:rPr>
          <w:i/>
          <w:iCs/>
        </w:rPr>
        <w:t xml:space="preserve"> </w:t>
      </w:r>
      <w:r w:rsidRPr="007C4DF4">
        <w:t>CFR § 64.1200(n)(2)(</w:t>
      </w:r>
      <w:r w:rsidRPr="007C4DF4">
        <w:t>i</w:t>
      </w:r>
      <w:r w:rsidRPr="007C4DF4">
        <w:t xml:space="preserve">)(A); </w:t>
      </w:r>
      <w:r w:rsidRPr="007C4DF4">
        <w:rPr>
          <w:i/>
          <w:iCs/>
        </w:rPr>
        <w:t xml:space="preserve">see also </w:t>
      </w:r>
      <w:r w:rsidRPr="007C4DF4">
        <w:t>Veriwave</w:t>
      </w:r>
      <w:r w:rsidRPr="007C4DF4">
        <w:t xml:space="preserve"> Lette</w:t>
      </w:r>
      <w:r w:rsidRPr="00C82DB1">
        <w:t xml:space="preserve">r at </w:t>
      </w:r>
      <w:r w:rsidRPr="00C82DB1" w:rsidR="00ED671B">
        <w:t>5</w:t>
      </w:r>
      <w:r w:rsidRPr="00C82DB1">
        <w:t>.</w:t>
      </w:r>
    </w:p>
  </w:footnote>
  <w:footnote w:id="8">
    <w:p w:rsidR="00FE66E8" w:rsidRPr="007C4DF4" w14:paraId="569994B9" w14:textId="30A8FA0D">
      <w:pPr>
        <w:pStyle w:val="FootnoteText"/>
      </w:pPr>
      <w:r w:rsidRPr="007C4DF4">
        <w:rPr>
          <w:rStyle w:val="FootnoteReference"/>
          <w:sz w:val="20"/>
        </w:rPr>
        <w:footnoteRef/>
      </w:r>
      <w:r w:rsidRPr="007C4DF4">
        <w:t xml:space="preserve"> 47 CFR § 64.1200(n)(2)-(3).</w:t>
      </w:r>
    </w:p>
  </w:footnote>
  <w:footnote w:id="9">
    <w:p w:rsidR="00073C7C" w:rsidRPr="007C4DF4" w14:paraId="389290F6" w14:textId="44F05E34">
      <w:pPr>
        <w:pStyle w:val="FootnoteText"/>
      </w:pPr>
      <w:r w:rsidRPr="007C4DF4">
        <w:rPr>
          <w:rStyle w:val="FootnoteReference"/>
          <w:sz w:val="20"/>
        </w:rPr>
        <w:footnoteRef/>
      </w:r>
      <w:r w:rsidRPr="007C4DF4">
        <w:t xml:space="preserve"> </w:t>
      </w:r>
      <w:r w:rsidRPr="007C4DF4">
        <w:rPr>
          <w:i/>
          <w:iCs/>
        </w:rPr>
        <w:t>Id.</w:t>
      </w:r>
      <w:r w:rsidRPr="007C4DF4">
        <w:t xml:space="preserve"> § 64.1200(k)(4).</w:t>
      </w:r>
    </w:p>
  </w:footnote>
  <w:footnote w:id="10">
    <w:p w:rsidR="00C63CA9" w:rsidRPr="007C4DF4" w14:paraId="3CC03456" w14:textId="097B8938">
      <w:pPr>
        <w:pStyle w:val="FootnoteText"/>
      </w:pPr>
      <w:r w:rsidRPr="007C4DF4">
        <w:rPr>
          <w:rStyle w:val="FootnoteReference"/>
          <w:sz w:val="20"/>
        </w:rPr>
        <w:footnoteRef/>
      </w:r>
      <w:r w:rsidRPr="007C4DF4">
        <w:t xml:space="preserve"> </w:t>
      </w:r>
      <w:r w:rsidRPr="007C4DF4">
        <w:rPr>
          <w:i/>
          <w:iCs/>
        </w:rPr>
        <w:t>Consumer Guide: Stop Unwanted Robocalls and Texts</w:t>
      </w:r>
      <w:r w:rsidRPr="007C4DF4">
        <w:t xml:space="preserve">, </w:t>
      </w:r>
      <w:r w:rsidRPr="007C4DF4" w:rsidR="00A02F9E">
        <w:t>Fed. Commc’ns Comm’n</w:t>
      </w:r>
      <w:r w:rsidRPr="007C4DF4" w:rsidR="001751FE">
        <w:t xml:space="preserve">, </w:t>
      </w:r>
      <w:hyperlink r:id="rId2" w:history="1">
        <w:r w:rsidRPr="007C4DF4">
          <w:rPr>
            <w:rStyle w:val="Hyperlink"/>
          </w:rPr>
          <w:t>https://www.fcc.gov/consumers/guides/stop-unwanted-robocalls-and-texts</w:t>
        </w:r>
      </w:hyperlink>
      <w:r w:rsidRPr="007C4DF4">
        <w:t xml:space="preserve"> (last visited </w:t>
      </w:r>
      <w:r w:rsidRPr="007C4DF4" w:rsidR="00A90FD1">
        <w:t xml:space="preserve">Mar. 6, </w:t>
      </w:r>
      <w:r w:rsidRPr="007C4DF4">
        <w:t>202</w:t>
      </w:r>
      <w:r w:rsidRPr="007C4DF4" w:rsidR="00A90FD1">
        <w:t>4</w:t>
      </w:r>
      <w:r w:rsidRPr="007C4DF4">
        <w:t>)</w:t>
      </w:r>
      <w:r w:rsidRPr="007C4DF4" w:rsidR="00B4192A">
        <w:t xml:space="preserve"> (“</w:t>
      </w:r>
      <w:r w:rsidRPr="007C4DF4" w:rsidR="00A90FD1">
        <w:t>Unwanted calls – including illegal and spoofed robocalls - are the FCC's top consumer complaint and our top consumer protection priority.</w:t>
      </w:r>
      <w:r w:rsidRPr="007C4DF4" w:rsidR="00B4192A">
        <w:t>”)</w:t>
      </w:r>
      <w:r w:rsidRPr="007C4DF4">
        <w:t>.</w:t>
      </w:r>
    </w:p>
  </w:footnote>
  <w:footnote w:id="11">
    <w:p w:rsidR="00F97B7C" w:rsidRPr="007C4DF4" w:rsidP="00F97B7C" w14:paraId="34A49B17" w14:textId="6C69193F">
      <w:pPr>
        <w:pStyle w:val="FootnoteText"/>
      </w:pPr>
      <w:r w:rsidRPr="007C4DF4">
        <w:rPr>
          <w:rStyle w:val="FootnoteReference"/>
          <w:sz w:val="20"/>
        </w:rPr>
        <w:footnoteRef/>
      </w:r>
      <w:r w:rsidRPr="007C4DF4">
        <w:t xml:space="preserve"> </w:t>
      </w:r>
      <w:r w:rsidRPr="007C4DF4">
        <w:rPr>
          <w:i/>
          <w:iCs/>
        </w:rPr>
        <w:t xml:space="preserve">See </w:t>
      </w:r>
      <w:r w:rsidRPr="007C4DF4">
        <w:t xml:space="preserve">47 CFR § 64.1200(k); </w:t>
      </w:r>
      <w:r w:rsidRPr="007C4DF4" w:rsidR="00A90FD1">
        <w:rPr>
          <w:i/>
          <w:iCs/>
        </w:rPr>
        <w:t>see, e.g.</w:t>
      </w:r>
      <w:r w:rsidRPr="007C4DF4" w:rsidR="00A90FD1">
        <w:t xml:space="preserve">, </w:t>
      </w:r>
      <w:r w:rsidRPr="007C4DF4">
        <w:rPr>
          <w:i/>
          <w:iCs/>
        </w:rPr>
        <w:t>Advanced Methods to Target and Eliminate Unlawful Robocalls</w:t>
      </w:r>
      <w:r w:rsidRPr="007C4DF4">
        <w:t>, CG Docket No. 17-59, Third Report and Order, Order on Reconsideration, and Fourth Further Notice of Proposed Rulemaking, 35 FCC Rcd 7614, 7622, para. 19 (2020) (</w:t>
      </w:r>
      <w:r w:rsidRPr="007C4DF4">
        <w:rPr>
          <w:i/>
          <w:iCs/>
        </w:rPr>
        <w:t>July 2020 Call Blocking Order</w:t>
      </w:r>
      <w:r w:rsidRPr="007C4DF4">
        <w:t>) (establishing safe harbor for blocking traffic from bad-actor upstream providers);</w:t>
      </w:r>
      <w:r w:rsidRPr="007C4DF4">
        <w:rPr>
          <w:i/>
          <w:iCs/>
        </w:rPr>
        <w:t xml:space="preserve"> Advanced Methods to Target and Eliminate Unlawful Robocalls; Call Authentication Trust Anchor</w:t>
      </w:r>
      <w:r w:rsidRPr="007C4DF4">
        <w:t xml:space="preserve">, CG Docket No 17-59, WC Docket No. 17-97, Declaratory Ruling and Third Further Notice of Proposed Rulemaking, 34 FCC Rcd 4876, 4887-88, paras. 34-46 (2019) (blocking based on reasonable analytics with consumer op-out and consumer </w:t>
      </w:r>
      <w:r w:rsidRPr="007C4DF4" w:rsidR="005441A9">
        <w:t>whitelists</w:t>
      </w:r>
      <w:r w:rsidRPr="007C4DF4">
        <w:t>);</w:t>
      </w:r>
      <w:r w:rsidRPr="007C4DF4">
        <w:rPr>
          <w:i/>
          <w:iCs/>
        </w:rPr>
        <w:t xml:space="preserve"> Advanced Methods to Target and Eliminate Unlawful Robocalls</w:t>
      </w:r>
      <w:r w:rsidRPr="007C4DF4">
        <w:t>, CG Docket No. 17-59, Report and Order and Further Notice of Proposed Rulemaking, 32 FCC Rcd 9706, 9709, para. 9 (2017) (blocking of certain categories of calls highly likely to be illegal).</w:t>
      </w:r>
    </w:p>
  </w:footnote>
  <w:footnote w:id="12">
    <w:p w:rsidR="001B1F1A" w:rsidRPr="007C4DF4" w14:paraId="6CFE105A" w14:textId="40A8EA79">
      <w:pPr>
        <w:pStyle w:val="FootnoteText"/>
      </w:pPr>
      <w:r w:rsidRPr="007C4DF4">
        <w:rPr>
          <w:rStyle w:val="FootnoteReference"/>
          <w:sz w:val="20"/>
        </w:rPr>
        <w:footnoteRef/>
      </w:r>
      <w:r w:rsidRPr="007C4DF4">
        <w:t xml:space="preserve"> </w:t>
      </w:r>
      <w:r w:rsidRPr="007C4DF4">
        <w:rPr>
          <w:i/>
          <w:iCs/>
        </w:rPr>
        <w:t>See</w:t>
      </w:r>
      <w:r w:rsidRPr="007C4DF4">
        <w:t xml:space="preserve"> </w:t>
      </w:r>
      <w:r w:rsidRPr="007C4DF4">
        <w:rPr>
          <w:i/>
          <w:iCs/>
        </w:rPr>
        <w:t>July 2020 Call Blocking Order</w:t>
      </w:r>
      <w:r w:rsidRPr="007C4DF4">
        <w:t>, 35 FCC Rcd at 7628-29, paras. 36-39; 47 CFR § 64.1200(k)(4).</w:t>
      </w:r>
    </w:p>
  </w:footnote>
  <w:footnote w:id="13">
    <w:p w:rsidR="00F97B7C" w:rsidRPr="007C4DF4" w:rsidP="00F97B7C" w14:paraId="57AD701C" w14:textId="77777777">
      <w:pPr>
        <w:pStyle w:val="FootnoteText"/>
        <w:rPr>
          <w:i/>
          <w:iCs/>
        </w:rPr>
      </w:pPr>
      <w:r w:rsidRPr="007C4DF4">
        <w:rPr>
          <w:rStyle w:val="FootnoteReference"/>
          <w:sz w:val="20"/>
        </w:rPr>
        <w:footnoteRef/>
      </w:r>
      <w:r w:rsidRPr="007C4DF4">
        <w:t xml:space="preserve"> </w:t>
      </w:r>
      <w:r w:rsidRPr="007C4DF4" w:rsidR="00B77893">
        <w:t xml:space="preserve">These letters are available on the Commission’s website at </w:t>
      </w:r>
      <w:hyperlink r:id="rId1" w:history="1">
        <w:r w:rsidRPr="007C4DF4" w:rsidR="00B77893">
          <w:rPr>
            <w:rStyle w:val="Hyperlink"/>
          </w:rPr>
          <w:t>https://www.fcc.gov/robocall-facilitators-must-cease-and-desist</w:t>
        </w:r>
      </w:hyperlink>
      <w:r w:rsidRPr="007C4DF4" w:rsidR="00B77893">
        <w:t xml:space="preserve">.  </w:t>
      </w:r>
    </w:p>
  </w:footnote>
  <w:footnote w:id="14">
    <w:p w:rsidR="001B1F1A" w:rsidRPr="007C4DF4" w14:paraId="43D83578" w14:textId="310465E9">
      <w:pPr>
        <w:pStyle w:val="FootnoteText"/>
      </w:pPr>
      <w:r w:rsidRPr="007C4DF4">
        <w:rPr>
          <w:rStyle w:val="FootnoteReference"/>
          <w:sz w:val="20"/>
        </w:rPr>
        <w:footnoteRef/>
      </w:r>
      <w:r w:rsidRPr="007C4DF4">
        <w:t xml:space="preserve"> 47 CFR § 64.1200(n)(2)-(3).</w:t>
      </w:r>
    </w:p>
  </w:footnote>
  <w:footnote w:id="15">
    <w:p w:rsidR="008D2F3B" w:rsidRPr="005425AD" w:rsidP="008D2F3B" w14:paraId="0BAB3202" w14:textId="77777777">
      <w:pPr>
        <w:pStyle w:val="FootnoteText"/>
      </w:pPr>
      <w:r w:rsidRPr="005425AD">
        <w:rPr>
          <w:rStyle w:val="FootnoteReference"/>
          <w:rFonts w:eastAsiaTheme="majorEastAsia"/>
        </w:rPr>
        <w:footnoteRef/>
      </w:r>
      <w:r w:rsidRPr="005425AD">
        <w:t xml:space="preserve"> YouMail is a third-party robocall identification and blocking service.  </w:t>
      </w:r>
      <w:r w:rsidRPr="005425AD">
        <w:rPr>
          <w:i/>
          <w:iCs/>
        </w:rPr>
        <w:t>See</w:t>
      </w:r>
      <w:r w:rsidRPr="005425AD">
        <w:t xml:space="preserve"> </w:t>
      </w:r>
      <w:r w:rsidRPr="005425AD">
        <w:rPr>
          <w:i/>
          <w:iCs/>
        </w:rPr>
        <w:t>About Us</w:t>
      </w:r>
      <w:r w:rsidRPr="005425AD">
        <w:t xml:space="preserve">, YouMail, </w:t>
      </w:r>
      <w:hyperlink r:id="rId3" w:history="1">
        <w:r w:rsidRPr="005425AD">
          <w:rPr>
            <w:rStyle w:val="Hyperlink"/>
            <w:rFonts w:eastAsiaTheme="majorEastAsia"/>
          </w:rPr>
          <w:t>https://www.youmail.com/home/corp/about</w:t>
        </w:r>
      </w:hyperlink>
      <w:r w:rsidRPr="005425AD">
        <w:t xml:space="preserve"> (last visited Mar. 4, 2024).</w:t>
      </w:r>
    </w:p>
  </w:footnote>
  <w:footnote w:id="16">
    <w:p w:rsidR="008D2F3B" w:rsidP="008D2F3B" w14:paraId="41AA3BBC" w14:textId="77777777">
      <w:pPr>
        <w:pStyle w:val="FootnoteText"/>
      </w:pPr>
      <w:r>
        <w:rPr>
          <w:rStyle w:val="FootnoteReference"/>
        </w:rPr>
        <w:footnoteRef/>
      </w:r>
      <w:r>
        <w:t xml:space="preserve"> </w:t>
      </w:r>
      <w:r w:rsidRPr="00B43665">
        <w:t>The Bureau has found no evidence of the existence of the “National Tax Relief Program.”</w:t>
      </w:r>
    </w:p>
  </w:footnote>
  <w:footnote w:id="17">
    <w:p w:rsidR="008D2F3B" w:rsidRPr="005425AD" w:rsidP="008D2F3B" w14:paraId="3AC2804D" w14:textId="240C8E27">
      <w:pPr>
        <w:pStyle w:val="FootnoteText"/>
      </w:pPr>
      <w:r w:rsidRPr="005425AD">
        <w:rPr>
          <w:rStyle w:val="FootnoteReference"/>
          <w:rFonts w:eastAsiaTheme="majorEastAsia"/>
        </w:rPr>
        <w:footnoteRef/>
      </w:r>
      <w:r w:rsidRPr="005425AD">
        <w:t xml:space="preserve"> </w:t>
      </w:r>
      <w:r w:rsidRPr="005425AD">
        <w:rPr>
          <w:i/>
          <w:iCs/>
        </w:rPr>
        <w:t>See</w:t>
      </w:r>
      <w:r w:rsidRPr="005425AD">
        <w:t xml:space="preserve"> </w:t>
      </w:r>
      <w:r w:rsidRPr="005425AD">
        <w:rPr>
          <w:i/>
        </w:rPr>
        <w:t>Daily Call Volume per Campaign</w:t>
      </w:r>
      <w:r w:rsidRPr="005425AD">
        <w:t xml:space="preserve">, YouMail, Inc., </w:t>
      </w:r>
      <w:hyperlink r:id="rId4" w:history="1">
        <w:r w:rsidRPr="005425AD">
          <w:rPr>
            <w:rStyle w:val="Hyperlink"/>
            <w:rFonts w:eastAsiaTheme="majorEastAsia"/>
          </w:rPr>
          <w:t>https://app.sigmacomputing.com/youmailinc/workbook/</w:t>
        </w:r>
      </w:hyperlink>
      <w:r w:rsidRPr="005425AD">
        <w:t xml:space="preserve">  (last visited Mar</w:t>
      </w:r>
      <w:r w:rsidR="00910DE3">
        <w:t>.</w:t>
      </w:r>
      <w:r w:rsidRPr="005425AD">
        <w:t xml:space="preserve"> 19, 2023) (on file at EB-TCD-24-00036355).</w:t>
      </w:r>
    </w:p>
  </w:footnote>
  <w:footnote w:id="18">
    <w:p w:rsidR="008D2F3B" w:rsidRPr="005425AD" w:rsidP="008D2F3B" w14:paraId="52C0DE1E" w14:textId="77777777">
      <w:pPr>
        <w:pStyle w:val="FootnoteText"/>
      </w:pPr>
      <w:r w:rsidRPr="005425AD">
        <w:rPr>
          <w:rStyle w:val="FootnoteReference"/>
          <w:rFonts w:eastAsiaTheme="majorEastAsia"/>
        </w:rPr>
        <w:footnoteRef/>
      </w:r>
      <w:r w:rsidRPr="005425AD">
        <w:t xml:space="preserve"> </w:t>
      </w:r>
      <w:r w:rsidRPr="005425AD">
        <w:rPr>
          <w:i/>
          <w:iCs/>
        </w:rPr>
        <w:t>Id.</w:t>
      </w:r>
      <w:r w:rsidRPr="005425AD">
        <w:t xml:space="preserve">; </w:t>
      </w:r>
      <w:r w:rsidRPr="005425AD">
        <w:rPr>
          <w:i/>
          <w:iCs/>
        </w:rPr>
        <w:t>2024 Tax Filing Season Set for January 29; IRS Continues to Make Improvements to Help Taxpayers</w:t>
      </w:r>
      <w:r w:rsidRPr="005425AD">
        <w:t xml:space="preserve">, Internal Revenue Serv. (Jan. 8, 2024), </w:t>
      </w:r>
      <w:hyperlink r:id="rId5" w:anchor=":~:text=January%2029%3A%20Filing%20season%20start,Due%20date%20for%20extension%20filers" w:history="1">
        <w:r w:rsidRPr="005425AD">
          <w:rPr>
            <w:rStyle w:val="Hyperlink"/>
            <w:rFonts w:eastAsiaTheme="majorEastAsia"/>
          </w:rPr>
          <w:t>https://www.irs.gov/newsroom/2024-tax-filing-season-set-for-january-29-irs-continues-to-make-improvements-to-help-taxpayers#:~:text=January%2029%3A%20Filing%20season%20start,Due%20date%20for%20extension%20filers</w:t>
        </w:r>
      </w:hyperlink>
      <w:r w:rsidRPr="005425AD">
        <w:t xml:space="preserve"> (explaining the IRS began accepting 2023 tax returns on January 29, 2024).  </w:t>
      </w:r>
    </w:p>
  </w:footnote>
  <w:footnote w:id="19">
    <w:p w:rsidR="008D2F3B" w:rsidRPr="005425AD" w:rsidP="008D2F3B" w14:paraId="4C15FE10" w14:textId="77777777">
      <w:pPr>
        <w:pStyle w:val="FootnoteText"/>
      </w:pPr>
      <w:r w:rsidRPr="005425AD">
        <w:rPr>
          <w:rStyle w:val="FootnoteReference"/>
          <w:rFonts w:eastAsiaTheme="majorEastAsia"/>
        </w:rPr>
        <w:footnoteRef/>
      </w:r>
      <w:r w:rsidRPr="005425AD">
        <w:t xml:space="preserve"> </w:t>
      </w:r>
      <w:r w:rsidRPr="005425AD">
        <w:rPr>
          <w:i/>
          <w:iCs/>
        </w:rPr>
        <w:t>See Topic No. 201, The Collection Process</w:t>
      </w:r>
      <w:r w:rsidRPr="005425AD">
        <w:t xml:space="preserve">, Internal Revenue Serv., </w:t>
      </w:r>
      <w:hyperlink r:id="rId6" w:history="1">
        <w:r w:rsidRPr="005425AD">
          <w:rPr>
            <w:rStyle w:val="Hyperlink"/>
            <w:rFonts w:eastAsiaTheme="majorEastAsia"/>
          </w:rPr>
          <w:t>https://www.irs.gov/taxtopics/tc201</w:t>
        </w:r>
      </w:hyperlink>
      <w:r w:rsidRPr="005425AD">
        <w:t xml:space="preserve"> (last visited Mar. 19, 2024) (“</w:t>
      </w:r>
      <w:r w:rsidRPr="005425AD">
        <w:rPr>
          <w:color w:val="1B1B1B"/>
          <w:shd w:val="clear" w:color="auto" w:fill="FFFFFF"/>
        </w:rPr>
        <w:t>[A]</w:t>
      </w:r>
      <w:r w:rsidRPr="005425AD">
        <w:rPr>
          <w:color w:val="1B1B1B"/>
          <w:shd w:val="clear" w:color="auto" w:fill="FFFFFF"/>
        </w:rPr>
        <w:t>ny</w:t>
      </w:r>
      <w:r w:rsidRPr="005425AD">
        <w:rPr>
          <w:color w:val="1B1B1B"/>
          <w:shd w:val="clear" w:color="auto" w:fill="FFFFFF"/>
        </w:rPr>
        <w:t xml:space="preserve"> future federal tax refunds or state income tax refunds that you're due may be seized and applied to your federal tax liability”).</w:t>
      </w:r>
    </w:p>
  </w:footnote>
  <w:footnote w:id="20">
    <w:p w:rsidR="008D2F3B" w:rsidRPr="005425AD" w:rsidP="008D2F3B" w14:paraId="02C08B80" w14:textId="77777777">
      <w:pPr>
        <w:pStyle w:val="FootnoteText"/>
      </w:pPr>
      <w:r w:rsidRPr="005425AD">
        <w:rPr>
          <w:rStyle w:val="FootnoteReference"/>
          <w:rFonts w:eastAsiaTheme="majorEastAsia"/>
        </w:rPr>
        <w:footnoteRef/>
      </w:r>
      <w:r w:rsidRPr="005425AD">
        <w:t xml:space="preserve"> The ITG is the registered industry consortium selected pursuant to the TRACED Act to conduct tracebacks.  See </w:t>
      </w:r>
      <w:r w:rsidRPr="00915B74">
        <w:rPr>
          <w:i/>
          <w:iCs/>
        </w:rPr>
        <w:t>Implementing Section 13(d) of the Pallone-Thune Telephone Robocall Abuse Criminal Enforcement and Deterrence Act (TRACED Act)</w:t>
      </w:r>
      <w:r w:rsidRPr="005425AD">
        <w:t>, EB Docket No. 20-22, Report and Order, DA 23-719, 2023 WL 5358422, at *1, para. 1 (EB Aug. 18, 2023).</w:t>
      </w:r>
    </w:p>
  </w:footnote>
  <w:footnote w:id="21">
    <w:p w:rsidR="008D2F3B" w:rsidRPr="005425AD" w:rsidP="008D2F3B" w14:paraId="2FB45F41" w14:textId="09480B9F">
      <w:pPr>
        <w:pStyle w:val="FootnoteText"/>
      </w:pPr>
      <w:r w:rsidRPr="005425AD">
        <w:rPr>
          <w:rStyle w:val="FootnoteReference"/>
          <w:rFonts w:eastAsiaTheme="majorEastAsia"/>
        </w:rPr>
        <w:footnoteRef/>
      </w:r>
      <w:r w:rsidRPr="005425AD">
        <w:rPr>
          <w:i/>
          <w:iCs/>
        </w:rPr>
        <w:t xml:space="preserve"> See</w:t>
      </w:r>
      <w:r w:rsidRPr="005425AD">
        <w:t xml:space="preserve"> ITG Subpoena Responses</w:t>
      </w:r>
      <w:r>
        <w:t xml:space="preserve">, </w:t>
      </w:r>
      <w:r>
        <w:rPr>
          <w:i/>
          <w:iCs/>
        </w:rPr>
        <w:t xml:space="preserve">supra </w:t>
      </w:r>
      <w:r>
        <w:t xml:space="preserve">note </w:t>
      </w:r>
      <w:r>
        <w:fldChar w:fldCharType="begin"/>
      </w:r>
      <w:r>
        <w:instrText xml:space="preserve"> NOTEREF _Ref160700450 \h </w:instrText>
      </w:r>
      <w:r>
        <w:fldChar w:fldCharType="separate"/>
      </w:r>
      <w:r>
        <w:t>4</w:t>
      </w:r>
      <w:r>
        <w:fldChar w:fldCharType="end"/>
      </w:r>
      <w:r w:rsidRPr="005425AD">
        <w:t>.</w:t>
      </w:r>
    </w:p>
  </w:footnote>
  <w:footnote w:id="22">
    <w:p w:rsidR="008D2F3B" w:rsidRPr="008D2F3B" w:rsidP="008D2F3B" w14:paraId="35B70B78" w14:textId="0BD1A3AF">
      <w:pPr>
        <w:pStyle w:val="FootnoteText"/>
      </w:pPr>
      <w:r w:rsidRPr="005425AD">
        <w:rPr>
          <w:rStyle w:val="FootnoteReference"/>
          <w:rFonts w:eastAsiaTheme="majorEastAsia"/>
        </w:rPr>
        <w:footnoteRef/>
      </w:r>
      <w:r w:rsidRPr="005425AD">
        <w:t xml:space="preserve"> </w:t>
      </w:r>
      <w:r w:rsidRPr="005425AD">
        <w:rPr>
          <w:i/>
          <w:iCs/>
        </w:rPr>
        <w:t>See</w:t>
      </w:r>
      <w:r w:rsidRPr="005425AD">
        <w:t xml:space="preserve"> </w:t>
      </w:r>
      <w:r>
        <w:rPr>
          <w:i/>
          <w:iCs/>
        </w:rPr>
        <w:t>id.</w:t>
      </w:r>
    </w:p>
  </w:footnote>
  <w:footnote w:id="23">
    <w:p w:rsidR="008D2F3B" w:rsidRPr="000E525D" w:rsidP="008D2F3B" w14:paraId="4A3FD6AE" w14:textId="77777777">
      <w:pPr>
        <w:spacing w:after="120"/>
        <w:rPr>
          <w:sz w:val="20"/>
        </w:rPr>
      </w:pPr>
      <w:r w:rsidRPr="000E525D">
        <w:rPr>
          <w:rStyle w:val="FootnoteReference"/>
          <w:sz w:val="20"/>
        </w:rPr>
        <w:footnoteRef/>
      </w:r>
      <w:r w:rsidRPr="000E525D">
        <w:rPr>
          <w:sz w:val="20"/>
        </w:rPr>
        <w:t xml:space="preserve"> </w:t>
      </w:r>
      <w:r w:rsidRPr="000E525D">
        <w:rPr>
          <w:i/>
          <w:iCs/>
          <w:sz w:val="20"/>
        </w:rPr>
        <w:t>See id.</w:t>
      </w:r>
    </w:p>
  </w:footnote>
  <w:footnote w:id="24">
    <w:p w:rsidR="008D2F3B" w:rsidRPr="000E525D" w:rsidP="008D2F3B" w14:paraId="0E1BB41F" w14:textId="77777777">
      <w:pPr>
        <w:spacing w:after="120"/>
        <w:rPr>
          <w:sz w:val="20"/>
        </w:rPr>
      </w:pPr>
      <w:r w:rsidRPr="000E525D">
        <w:rPr>
          <w:rStyle w:val="FootnoteReference"/>
          <w:sz w:val="20"/>
        </w:rPr>
        <w:footnoteRef/>
      </w:r>
      <w:r w:rsidRPr="000E525D">
        <w:rPr>
          <w:sz w:val="20"/>
        </w:rPr>
        <w:t xml:space="preserve"> </w:t>
      </w:r>
      <w:r w:rsidRPr="000E525D">
        <w:rPr>
          <w:i/>
          <w:iCs/>
          <w:sz w:val="20"/>
        </w:rPr>
        <w:t>See id.</w:t>
      </w:r>
    </w:p>
  </w:footnote>
  <w:footnote w:id="25">
    <w:p w:rsidR="008D2F3B" w:rsidRPr="000E525D" w:rsidP="008D2F3B" w14:paraId="57D9B3BF" w14:textId="77777777">
      <w:pPr>
        <w:spacing w:after="120"/>
        <w:rPr>
          <w:sz w:val="20"/>
        </w:rPr>
      </w:pPr>
      <w:r w:rsidRPr="000E525D">
        <w:rPr>
          <w:rStyle w:val="FootnoteReference"/>
          <w:sz w:val="20"/>
        </w:rPr>
        <w:footnoteRef/>
      </w:r>
      <w:r w:rsidRPr="000E525D">
        <w:rPr>
          <w:sz w:val="20"/>
        </w:rPr>
        <w:t xml:space="preserve"> </w:t>
      </w:r>
      <w:r w:rsidRPr="000E525D">
        <w:rPr>
          <w:i/>
          <w:iCs/>
          <w:sz w:val="20"/>
        </w:rPr>
        <w:t>See id.</w:t>
      </w:r>
    </w:p>
  </w:footnote>
  <w:footnote w:id="26">
    <w:p w:rsidR="008D2F3B" w:rsidRPr="000E525D" w:rsidP="008D2F3B" w14:paraId="55D17FDA" w14:textId="77777777">
      <w:pPr>
        <w:spacing w:after="120"/>
        <w:rPr>
          <w:sz w:val="20"/>
        </w:rPr>
      </w:pPr>
      <w:r w:rsidRPr="000E525D">
        <w:rPr>
          <w:rStyle w:val="FootnoteReference"/>
          <w:sz w:val="20"/>
        </w:rPr>
        <w:footnoteRef/>
      </w:r>
      <w:r w:rsidRPr="000E525D">
        <w:rPr>
          <w:sz w:val="20"/>
        </w:rPr>
        <w:t xml:space="preserve"> </w:t>
      </w:r>
      <w:r w:rsidRPr="000E525D">
        <w:rPr>
          <w:i/>
          <w:iCs/>
          <w:sz w:val="20"/>
        </w:rPr>
        <w:t>See id.</w:t>
      </w:r>
    </w:p>
  </w:footnote>
  <w:footnote w:id="27">
    <w:p w:rsidR="008D2F3B" w:rsidRPr="00A70A5D" w:rsidP="008D2F3B" w14:paraId="6122A363" w14:textId="77777777">
      <w:pPr>
        <w:spacing w:after="120"/>
      </w:pPr>
      <w:r w:rsidRPr="000E525D">
        <w:rPr>
          <w:rStyle w:val="FootnoteReference"/>
          <w:sz w:val="20"/>
        </w:rPr>
        <w:footnoteRef/>
      </w:r>
      <w:r w:rsidRPr="000E525D">
        <w:rPr>
          <w:sz w:val="20"/>
        </w:rPr>
        <w:t xml:space="preserve"> </w:t>
      </w:r>
      <w:r w:rsidRPr="000E525D">
        <w:rPr>
          <w:i/>
          <w:iCs/>
          <w:sz w:val="20"/>
        </w:rPr>
        <w:t>See id.</w:t>
      </w:r>
    </w:p>
  </w:footnote>
  <w:footnote w:id="28">
    <w:p w:rsidR="008D2F3B" w:rsidRPr="005425AD" w:rsidP="008D2F3B" w14:paraId="08E2FAF7" w14:textId="6886CD3E">
      <w:pPr>
        <w:pStyle w:val="FootnoteText"/>
      </w:pPr>
      <w:r w:rsidRPr="005425AD">
        <w:rPr>
          <w:rStyle w:val="FootnoteReference"/>
          <w:rFonts w:eastAsiaTheme="majorEastAsia"/>
        </w:rPr>
        <w:footnoteRef/>
      </w:r>
      <w:r w:rsidRPr="005425AD">
        <w:t xml:space="preserve"> </w:t>
      </w:r>
      <w:r w:rsidRPr="005425AD">
        <w:rPr>
          <w:i/>
          <w:iCs/>
        </w:rPr>
        <w:t xml:space="preserve">See </w:t>
      </w:r>
      <w:r w:rsidRPr="005425AD">
        <w:t>FCC Complaint #6613274 (Nov</w:t>
      </w:r>
      <w:r w:rsidR="009D5658">
        <w:t>.</w:t>
      </w:r>
      <w:r w:rsidRPr="005425AD">
        <w:t xml:space="preserve"> 30, 2023) (on file at EB-TCD-24-00036355</w:t>
      </w:r>
      <w:r w:rsidRPr="00DC65AF">
        <w:t>) (“</w:t>
      </w:r>
      <w:r w:rsidRPr="005F16E6">
        <w:rPr>
          <w:shd w:val="clear" w:color="auto" w:fill="FFFFFF"/>
        </w:rPr>
        <w:t xml:space="preserve">It goes on and on and on. </w:t>
      </w:r>
      <w:r>
        <w:rPr>
          <w:shd w:val="clear" w:color="auto" w:fill="FFFFFF"/>
        </w:rPr>
        <w:t xml:space="preserve"> </w:t>
      </w:r>
      <w:r w:rsidRPr="005F16E6">
        <w:rPr>
          <w:shd w:val="clear" w:color="auto" w:fill="FFFFFF"/>
        </w:rPr>
        <w:t>They ask horrible personal questions.”)</w:t>
      </w:r>
      <w:r w:rsidRPr="00DC65AF">
        <w:t xml:space="preserve">; </w:t>
      </w:r>
      <w:r w:rsidRPr="00DC65AF">
        <w:rPr>
          <w:i/>
          <w:iCs/>
        </w:rPr>
        <w:t xml:space="preserve">see also </w:t>
      </w:r>
      <w:r w:rsidRPr="00DC65AF">
        <w:t xml:space="preserve">FCC Complaint #6515954 </w:t>
      </w:r>
      <w:r w:rsidRPr="005425AD">
        <w:t>(Oct</w:t>
      </w:r>
      <w:r w:rsidR="00910DE3">
        <w:t>.</w:t>
      </w:r>
      <w:r w:rsidRPr="005425AD">
        <w:t xml:space="preserve"> 12, 2023) (on file at EB-TCD-24-00036355).</w:t>
      </w:r>
    </w:p>
  </w:footnote>
  <w:footnote w:id="29">
    <w:p w:rsidR="008D2F3B" w:rsidRPr="005425AD" w:rsidP="008D2F3B" w14:paraId="06C27BB9" w14:textId="18650029">
      <w:pPr>
        <w:pStyle w:val="FootnoteText"/>
      </w:pPr>
      <w:r w:rsidRPr="005425AD">
        <w:rPr>
          <w:rStyle w:val="FootnoteReference"/>
          <w:rFonts w:eastAsiaTheme="majorEastAsia"/>
        </w:rPr>
        <w:footnoteRef/>
      </w:r>
      <w:r w:rsidRPr="005425AD">
        <w:t xml:space="preserve"> </w:t>
      </w:r>
      <w:r w:rsidRPr="005425AD">
        <w:rPr>
          <w:i/>
          <w:iCs/>
        </w:rPr>
        <w:t>See</w:t>
      </w:r>
      <w:r w:rsidRPr="005425AD">
        <w:t xml:space="preserve"> ITG Subpoena Responses, </w:t>
      </w:r>
      <w:r w:rsidRPr="005425AD">
        <w:rPr>
          <w:i/>
          <w:iCs/>
        </w:rPr>
        <w:t xml:space="preserve">supra </w:t>
      </w:r>
      <w:r w:rsidRPr="005425AD">
        <w:t>note</w:t>
      </w:r>
      <w:r>
        <w:t xml:space="preserve"> </w:t>
      </w:r>
      <w:r>
        <w:fldChar w:fldCharType="begin"/>
      </w:r>
      <w:r>
        <w:instrText xml:space="preserve"> NOTEREF _Ref160700450 \h </w:instrText>
      </w:r>
      <w:r>
        <w:fldChar w:fldCharType="separate"/>
      </w:r>
      <w:r>
        <w:t>4</w:t>
      </w:r>
      <w:r>
        <w:fldChar w:fldCharType="end"/>
      </w:r>
      <w:r w:rsidRPr="005425AD">
        <w:t>.</w:t>
      </w:r>
    </w:p>
  </w:footnote>
  <w:footnote w:id="30">
    <w:p w:rsidR="008D2F3B" w:rsidRPr="000E525D" w:rsidP="008D2F3B" w14:paraId="6E111F34" w14:textId="77777777">
      <w:pPr>
        <w:spacing w:after="120"/>
        <w:rPr>
          <w:sz w:val="20"/>
        </w:rPr>
      </w:pPr>
      <w:r w:rsidRPr="000E525D">
        <w:rPr>
          <w:rStyle w:val="FootnoteReference"/>
          <w:sz w:val="20"/>
        </w:rPr>
        <w:footnoteRef/>
      </w:r>
      <w:r w:rsidRPr="000E525D">
        <w:rPr>
          <w:sz w:val="20"/>
        </w:rPr>
        <w:t xml:space="preserve"> </w:t>
      </w:r>
      <w:r w:rsidRPr="000E525D">
        <w:rPr>
          <w:i/>
          <w:iCs/>
          <w:sz w:val="20"/>
        </w:rPr>
        <w:t>See id.</w:t>
      </w:r>
    </w:p>
  </w:footnote>
  <w:footnote w:id="31">
    <w:p w:rsidR="008D2F3B" w:rsidRPr="000E525D" w:rsidP="008D2F3B" w14:paraId="21E6F42B" w14:textId="77777777">
      <w:pPr>
        <w:spacing w:after="120"/>
        <w:rPr>
          <w:sz w:val="20"/>
        </w:rPr>
      </w:pPr>
      <w:r w:rsidRPr="000E525D">
        <w:rPr>
          <w:rStyle w:val="FootnoteReference"/>
          <w:sz w:val="20"/>
        </w:rPr>
        <w:footnoteRef/>
      </w:r>
      <w:r w:rsidRPr="000E525D">
        <w:rPr>
          <w:sz w:val="20"/>
        </w:rPr>
        <w:t xml:space="preserve"> </w:t>
      </w:r>
      <w:r w:rsidRPr="000E525D">
        <w:rPr>
          <w:i/>
          <w:iCs/>
          <w:sz w:val="20"/>
        </w:rPr>
        <w:t>See id.</w:t>
      </w:r>
    </w:p>
  </w:footnote>
  <w:footnote w:id="32">
    <w:p w:rsidR="008D2F3B" w:rsidRPr="000E525D" w:rsidP="008D2F3B" w14:paraId="3431ED37" w14:textId="77777777">
      <w:pPr>
        <w:spacing w:after="120"/>
        <w:rPr>
          <w:sz w:val="20"/>
        </w:rPr>
      </w:pPr>
      <w:r w:rsidRPr="000E525D">
        <w:rPr>
          <w:rStyle w:val="FootnoteReference"/>
          <w:sz w:val="20"/>
        </w:rPr>
        <w:footnoteRef/>
      </w:r>
      <w:r w:rsidRPr="000E525D">
        <w:rPr>
          <w:sz w:val="20"/>
        </w:rPr>
        <w:t xml:space="preserve"> </w:t>
      </w:r>
      <w:r w:rsidRPr="000E525D">
        <w:rPr>
          <w:i/>
          <w:iCs/>
          <w:sz w:val="20"/>
        </w:rPr>
        <w:t>See id.</w:t>
      </w:r>
    </w:p>
  </w:footnote>
  <w:footnote w:id="33">
    <w:p w:rsidR="008D2F3B" w:rsidRPr="000E525D" w:rsidP="008D2F3B" w14:paraId="7A66176A" w14:textId="77777777">
      <w:pPr>
        <w:spacing w:after="120"/>
        <w:rPr>
          <w:sz w:val="20"/>
        </w:rPr>
      </w:pPr>
      <w:r w:rsidRPr="000E525D">
        <w:rPr>
          <w:rStyle w:val="FootnoteReference"/>
          <w:sz w:val="20"/>
        </w:rPr>
        <w:footnoteRef/>
      </w:r>
      <w:r w:rsidRPr="000E525D">
        <w:rPr>
          <w:sz w:val="20"/>
        </w:rPr>
        <w:t xml:space="preserve"> </w:t>
      </w:r>
      <w:r w:rsidRPr="000E525D">
        <w:rPr>
          <w:i/>
          <w:iCs/>
          <w:sz w:val="20"/>
        </w:rPr>
        <w:t>See id.</w:t>
      </w:r>
    </w:p>
  </w:footnote>
  <w:footnote w:id="34">
    <w:p w:rsidR="008D2F3B" w:rsidRPr="00A70A5D" w:rsidP="008D2F3B" w14:paraId="399D45CE" w14:textId="77777777">
      <w:pPr>
        <w:spacing w:after="120"/>
      </w:pPr>
      <w:r w:rsidRPr="000E525D">
        <w:rPr>
          <w:rStyle w:val="FootnoteReference"/>
          <w:sz w:val="20"/>
        </w:rPr>
        <w:footnoteRef/>
      </w:r>
      <w:r w:rsidRPr="000E525D">
        <w:rPr>
          <w:sz w:val="20"/>
        </w:rPr>
        <w:t xml:space="preserve"> </w:t>
      </w:r>
      <w:r w:rsidRPr="000E525D">
        <w:rPr>
          <w:i/>
          <w:iCs/>
          <w:sz w:val="20"/>
        </w:rPr>
        <w:t>See id.</w:t>
      </w:r>
    </w:p>
  </w:footnote>
  <w:footnote w:id="35">
    <w:p w:rsidR="008D2F3B" w:rsidRPr="005F16E6" w:rsidP="008D2F3B" w14:paraId="618BB2E5" w14:textId="256B80CD">
      <w:pPr>
        <w:pStyle w:val="FootnoteText"/>
      </w:pPr>
      <w:r w:rsidRPr="005425AD">
        <w:rPr>
          <w:rStyle w:val="FootnoteReference"/>
          <w:rFonts w:eastAsiaTheme="majorEastAsia"/>
        </w:rPr>
        <w:footnoteRef/>
      </w:r>
      <w:r w:rsidRPr="005425AD">
        <w:t xml:space="preserve"> </w:t>
      </w:r>
      <w:r w:rsidRPr="005425AD">
        <w:rPr>
          <w:i/>
          <w:iCs/>
        </w:rPr>
        <w:t xml:space="preserve">See </w:t>
      </w:r>
      <w:r w:rsidRPr="005425AD">
        <w:t>Automatic response to</w:t>
      </w:r>
      <w:r w:rsidRPr="005425AD">
        <w:rPr>
          <w:i/>
          <w:iCs/>
        </w:rPr>
        <w:t xml:space="preserve"> </w:t>
      </w:r>
      <w:r w:rsidRPr="005425AD">
        <w:t xml:space="preserve">e-mail from Caitlin Barbas, Attorney Advisor, Telecommunications Consumers Division, </w:t>
      </w:r>
      <w:r w:rsidR="00E55DBE">
        <w:t>Enforcement Bureau</w:t>
      </w:r>
      <w:r w:rsidRPr="005425AD">
        <w:t>, to Felix Hernandez, Compliance Officer, Veriwave Telco, LLC, (Feb. 2, 2024) (on file at EB-TCD-24-00036355</w:t>
      </w:r>
      <w:r w:rsidRPr="005425AD">
        <w:rPr>
          <w:spacing w:val="-2"/>
        </w:rPr>
        <w:t>)</w:t>
      </w:r>
      <w:r w:rsidRPr="005425AD">
        <w:t xml:space="preserve"> (showing email could not be delivered as the host platform was not found).</w:t>
      </w:r>
      <w:r>
        <w:t xml:space="preserve">  </w:t>
      </w:r>
      <w:bookmarkStart w:id="11" w:name="_Hlk162539085"/>
      <w:r>
        <w:t xml:space="preserve">The Bureau’s email attempt also included the two email addresses provided to the Bureau by the ITG.  </w:t>
      </w:r>
      <w:r>
        <w:rPr>
          <w:i/>
          <w:iCs/>
        </w:rPr>
        <w:t>See id.</w:t>
      </w:r>
      <w:r w:rsidRPr="00B43665">
        <w:t>;</w:t>
      </w:r>
      <w:r>
        <w:rPr>
          <w:i/>
          <w:iCs/>
        </w:rPr>
        <w:t xml:space="preserve"> see also </w:t>
      </w:r>
      <w:r w:rsidRPr="005425AD">
        <w:t xml:space="preserve">ITG Subpoena Responses, </w:t>
      </w:r>
      <w:r w:rsidRPr="005425AD">
        <w:rPr>
          <w:i/>
          <w:iCs/>
        </w:rPr>
        <w:t xml:space="preserve">supra </w:t>
      </w:r>
      <w:r w:rsidRPr="005425AD">
        <w:t>note</w:t>
      </w:r>
      <w:r>
        <w:t xml:space="preserve"> </w:t>
      </w:r>
      <w:r>
        <w:fldChar w:fldCharType="begin"/>
      </w:r>
      <w:r>
        <w:instrText xml:space="preserve"> NOTEREF _Ref160700450 \h </w:instrText>
      </w:r>
      <w:r>
        <w:fldChar w:fldCharType="separate"/>
      </w:r>
      <w:r>
        <w:t>4</w:t>
      </w:r>
      <w:r>
        <w:fldChar w:fldCharType="end"/>
      </w:r>
      <w:r w:rsidRPr="005425AD">
        <w:t>.</w:t>
      </w:r>
      <w:bookmarkEnd w:id="11"/>
    </w:p>
  </w:footnote>
  <w:footnote w:id="36">
    <w:p w:rsidR="001D3A6B" w:rsidRPr="007C4DF4" w:rsidP="001D3A6B" w14:paraId="2FA63326" w14:textId="011C679F">
      <w:pPr>
        <w:pStyle w:val="FootnoteText"/>
      </w:pPr>
      <w:r w:rsidRPr="007C4DF4">
        <w:rPr>
          <w:rStyle w:val="FootnoteReference"/>
          <w:sz w:val="20"/>
        </w:rPr>
        <w:footnoteRef/>
      </w:r>
      <w:r w:rsidRPr="007C4DF4" w:rsidR="009A025F">
        <w:rPr>
          <w:i/>
          <w:iCs/>
        </w:rPr>
        <w:t xml:space="preserve"> </w:t>
      </w:r>
      <w:r w:rsidRPr="007C4DF4" w:rsidR="009A025F">
        <w:t>47 CFR</w:t>
      </w:r>
      <w:r w:rsidRPr="007C4DF4">
        <w:t xml:space="preserve"> § 64.1200(n)(2)(ii).</w:t>
      </w:r>
    </w:p>
  </w:footnote>
  <w:footnote w:id="37">
    <w:p w:rsidR="001D3A6B" w:rsidRPr="007C4DF4" w:rsidP="001D3A6B" w14:paraId="160513EC" w14:textId="77777777">
      <w:pPr>
        <w:pStyle w:val="FootnoteText"/>
      </w:pPr>
      <w:r w:rsidRPr="007C4DF4">
        <w:rPr>
          <w:rStyle w:val="FootnoteReference"/>
          <w:sz w:val="20"/>
        </w:rPr>
        <w:footnoteRef/>
      </w:r>
      <w:r w:rsidRPr="007C4DF4">
        <w:t xml:space="preserve"> </w:t>
      </w:r>
      <w:r w:rsidRPr="007C4DF4">
        <w:rPr>
          <w:i/>
          <w:iCs/>
        </w:rPr>
        <w:t>Id</w:t>
      </w:r>
      <w:r w:rsidRPr="007C4DF4">
        <w:t>.</w:t>
      </w:r>
    </w:p>
  </w:footnote>
  <w:footnote w:id="38">
    <w:p w:rsidR="001D3A6B" w:rsidRPr="007C4DF4" w:rsidP="001D3A6B" w14:paraId="5BDA0A6B" w14:textId="77777777">
      <w:pPr>
        <w:pStyle w:val="FootnoteText"/>
      </w:pPr>
      <w:r w:rsidRPr="007C4DF4">
        <w:rPr>
          <w:rStyle w:val="FootnoteReference"/>
          <w:sz w:val="20"/>
        </w:rPr>
        <w:footnoteRef/>
      </w:r>
      <w:r w:rsidRPr="007C4DF4">
        <w:t xml:space="preserve"> </w:t>
      </w:r>
      <w:r w:rsidRPr="007C4DF4">
        <w:rPr>
          <w:i/>
          <w:iCs/>
        </w:rPr>
        <w:t>Id.</w:t>
      </w:r>
      <w:r w:rsidRPr="007C4DF4">
        <w:t xml:space="preserve"> § 64.1200(n)(2)(iii), (3); </w:t>
      </w:r>
      <w:r w:rsidRPr="007C4DF4">
        <w:rPr>
          <w:i/>
          <w:iCs/>
        </w:rPr>
        <w:t>Advanced Methods to Target and Eliminate Unlawful Robocalls</w:t>
      </w:r>
      <w:r w:rsidRPr="007C4DF4">
        <w:t xml:space="preserve">, </w:t>
      </w:r>
      <w:r w:rsidRPr="007C4DF4">
        <w:rPr>
          <w:i/>
          <w:iCs/>
        </w:rPr>
        <w:t>Call</w:t>
      </w:r>
      <w:r w:rsidRPr="007C4DF4">
        <w:t xml:space="preserve"> </w:t>
      </w:r>
      <w:r w:rsidRPr="007C4DF4">
        <w:rPr>
          <w:i/>
          <w:iCs/>
        </w:rPr>
        <w:t>Authentication Trust Anchor</w:t>
      </w:r>
      <w:r w:rsidRPr="007C4DF4">
        <w:t>, CG Docket No. 17-59, WC Docket No. 17-97, Seventh Report and Order in CG Docket 17-59 and WC Docket 17-97, Eighth Further Notice of Proposed Rulemaking in CG Docket 17-59, and Third Notice of Inquiry in CG Docket 17-59, FCC 23-37, 2023 WL 3686042, at *11, para. 37 (2023).</w:t>
      </w:r>
    </w:p>
  </w:footnote>
  <w:footnote w:id="39">
    <w:p w:rsidR="001D3A6B" w:rsidRPr="007C4DF4" w:rsidP="001D3A6B" w14:paraId="56CE81DD" w14:textId="77777777">
      <w:pPr>
        <w:pStyle w:val="FootnoteText"/>
        <w:rPr>
          <w:i/>
        </w:rPr>
      </w:pPr>
      <w:r w:rsidRPr="007C4DF4">
        <w:rPr>
          <w:rStyle w:val="FootnoteReference"/>
          <w:sz w:val="20"/>
        </w:rPr>
        <w:footnoteRef/>
      </w:r>
      <w:r w:rsidRPr="007C4DF4">
        <w:t xml:space="preserve"> </w:t>
      </w:r>
      <w:r w:rsidRPr="007C4DF4">
        <w:rPr>
          <w:i/>
          <w:iCs/>
        </w:rPr>
        <w:t>Id.</w:t>
      </w:r>
      <w:r w:rsidRPr="007C4DF4">
        <w:t xml:space="preserve"> § 64.1200(n)(3).  Providers must monitor EB Docket No. 22-174 and initiate blocking beginning 30 days from the release date of the Final Determination Order.  </w:t>
      </w:r>
      <w:r w:rsidRPr="007C4DF4">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579B" w:rsidRPr="007B579B" w14:paraId="764DB2F6" w14:textId="36B3BA00">
    <w:pPr>
      <w:tabs>
        <w:tab w:val="center" w:pos="4680"/>
        <w:tab w:val="right" w:pos="9360"/>
      </w:tabs>
      <w:rPr>
        <w:b/>
      </w:rPr>
    </w:pPr>
    <w:r>
      <w:rPr>
        <w:b/>
      </w:rPr>
      <w:tab/>
      <w:t>Federal Communications Commission</w:t>
    </w:r>
    <w:r>
      <w:rPr>
        <w:b/>
      </w:rPr>
      <w:tab/>
      <w:t>DA 24</w:t>
    </w:r>
    <w:r w:rsidR="00167EE7">
      <w:rPr>
        <w:b/>
      </w:rPr>
      <w:t>-</w:t>
    </w:r>
    <w:r w:rsidR="00C82DB1">
      <w:rPr>
        <w:b/>
      </w:rPr>
      <w:t>324</w:t>
    </w:r>
  </w:p>
  <w:p w:rsidR="00A137DB" w:rsidRPr="0028163C" w:rsidP="0028163C" w14:paraId="1DD78F9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973915204" name="Rectangle 97391520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7391520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7DB" w14:paraId="60BEE025" w14:textId="77777777">
    <w:pPr>
      <w:pStyle w:val="Header"/>
    </w:pPr>
    <w:r>
      <w:rPr>
        <w:noProof/>
        <w:snapToGrid/>
      </w:rPr>
      <w:drawing>
        <wp:inline distT="0" distB="0" distL="0" distR="0">
          <wp:extent cx="5943600" cy="1428750"/>
          <wp:effectExtent l="0" t="0" r="0" b="0"/>
          <wp:docPr id="1204809153" name="Picture 1204809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80915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9B93833"/>
    <w:multiLevelType w:val="hybridMultilevel"/>
    <w:tmpl w:val="9802F7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C4"/>
    <w:rsid w:val="00001A8E"/>
    <w:rsid w:val="00002732"/>
    <w:rsid w:val="0000275A"/>
    <w:rsid w:val="00002D32"/>
    <w:rsid w:val="00004C14"/>
    <w:rsid w:val="00006013"/>
    <w:rsid w:val="00006E81"/>
    <w:rsid w:val="0001025F"/>
    <w:rsid w:val="000106D1"/>
    <w:rsid w:val="000106D3"/>
    <w:rsid w:val="00010DA5"/>
    <w:rsid w:val="00013D4D"/>
    <w:rsid w:val="000144B6"/>
    <w:rsid w:val="00014512"/>
    <w:rsid w:val="00014BED"/>
    <w:rsid w:val="0001604F"/>
    <w:rsid w:val="00016DA1"/>
    <w:rsid w:val="00020410"/>
    <w:rsid w:val="00020DBC"/>
    <w:rsid w:val="00021035"/>
    <w:rsid w:val="000240BE"/>
    <w:rsid w:val="000250A5"/>
    <w:rsid w:val="00025647"/>
    <w:rsid w:val="00025D54"/>
    <w:rsid w:val="00026DA7"/>
    <w:rsid w:val="00033045"/>
    <w:rsid w:val="00033149"/>
    <w:rsid w:val="000334C4"/>
    <w:rsid w:val="00034E6A"/>
    <w:rsid w:val="00035D71"/>
    <w:rsid w:val="0003755F"/>
    <w:rsid w:val="00040A2A"/>
    <w:rsid w:val="0004156A"/>
    <w:rsid w:val="00041F32"/>
    <w:rsid w:val="0004456D"/>
    <w:rsid w:val="00044A61"/>
    <w:rsid w:val="00047274"/>
    <w:rsid w:val="00050621"/>
    <w:rsid w:val="00051E60"/>
    <w:rsid w:val="00052393"/>
    <w:rsid w:val="000526EC"/>
    <w:rsid w:val="000535AF"/>
    <w:rsid w:val="00053C0D"/>
    <w:rsid w:val="00053CD3"/>
    <w:rsid w:val="00057421"/>
    <w:rsid w:val="0005760F"/>
    <w:rsid w:val="00060D40"/>
    <w:rsid w:val="00061049"/>
    <w:rsid w:val="00061E8F"/>
    <w:rsid w:val="0006416F"/>
    <w:rsid w:val="00066793"/>
    <w:rsid w:val="0006711A"/>
    <w:rsid w:val="0007192B"/>
    <w:rsid w:val="00071F24"/>
    <w:rsid w:val="00073C7C"/>
    <w:rsid w:val="00073D95"/>
    <w:rsid w:val="00074AB1"/>
    <w:rsid w:val="00074EE3"/>
    <w:rsid w:val="000751EE"/>
    <w:rsid w:val="000754D8"/>
    <w:rsid w:val="000755E5"/>
    <w:rsid w:val="00075E65"/>
    <w:rsid w:val="00080E44"/>
    <w:rsid w:val="0008277F"/>
    <w:rsid w:val="00082BCB"/>
    <w:rsid w:val="00082F3E"/>
    <w:rsid w:val="00084859"/>
    <w:rsid w:val="00085277"/>
    <w:rsid w:val="00085B28"/>
    <w:rsid w:val="000861F7"/>
    <w:rsid w:val="00087805"/>
    <w:rsid w:val="00090916"/>
    <w:rsid w:val="0009369A"/>
    <w:rsid w:val="000940C7"/>
    <w:rsid w:val="000941C8"/>
    <w:rsid w:val="000978F9"/>
    <w:rsid w:val="000A2283"/>
    <w:rsid w:val="000A2B74"/>
    <w:rsid w:val="000A4C90"/>
    <w:rsid w:val="000A5A69"/>
    <w:rsid w:val="000A5CD7"/>
    <w:rsid w:val="000B0E2A"/>
    <w:rsid w:val="000B14CF"/>
    <w:rsid w:val="000B199B"/>
    <w:rsid w:val="000B1DE6"/>
    <w:rsid w:val="000B450D"/>
    <w:rsid w:val="000B6ECE"/>
    <w:rsid w:val="000B70BD"/>
    <w:rsid w:val="000C117C"/>
    <w:rsid w:val="000C14E5"/>
    <w:rsid w:val="000C1DD8"/>
    <w:rsid w:val="000C358E"/>
    <w:rsid w:val="000C3F16"/>
    <w:rsid w:val="000C401E"/>
    <w:rsid w:val="000C6690"/>
    <w:rsid w:val="000C6930"/>
    <w:rsid w:val="000C7469"/>
    <w:rsid w:val="000D2356"/>
    <w:rsid w:val="000D267F"/>
    <w:rsid w:val="000D331E"/>
    <w:rsid w:val="000D3EA8"/>
    <w:rsid w:val="000D3EBB"/>
    <w:rsid w:val="000D7789"/>
    <w:rsid w:val="000E1859"/>
    <w:rsid w:val="000E4DBD"/>
    <w:rsid w:val="000E525D"/>
    <w:rsid w:val="000E5ED6"/>
    <w:rsid w:val="000E635B"/>
    <w:rsid w:val="000E6BEA"/>
    <w:rsid w:val="000E72BB"/>
    <w:rsid w:val="000F02C3"/>
    <w:rsid w:val="000F34D5"/>
    <w:rsid w:val="000F46A4"/>
    <w:rsid w:val="000F47E5"/>
    <w:rsid w:val="000F5B57"/>
    <w:rsid w:val="000F6F27"/>
    <w:rsid w:val="000F713F"/>
    <w:rsid w:val="00100F5F"/>
    <w:rsid w:val="0010266B"/>
    <w:rsid w:val="00104904"/>
    <w:rsid w:val="00104C99"/>
    <w:rsid w:val="001061E8"/>
    <w:rsid w:val="0010689B"/>
    <w:rsid w:val="00110740"/>
    <w:rsid w:val="001117F4"/>
    <w:rsid w:val="001135E9"/>
    <w:rsid w:val="00113AE2"/>
    <w:rsid w:val="0011461C"/>
    <w:rsid w:val="00114B45"/>
    <w:rsid w:val="00120907"/>
    <w:rsid w:val="00120B88"/>
    <w:rsid w:val="001218F2"/>
    <w:rsid w:val="0012383A"/>
    <w:rsid w:val="00123D00"/>
    <w:rsid w:val="00124B07"/>
    <w:rsid w:val="0012509F"/>
    <w:rsid w:val="001252EC"/>
    <w:rsid w:val="001258A4"/>
    <w:rsid w:val="00125D55"/>
    <w:rsid w:val="00126290"/>
    <w:rsid w:val="001267E4"/>
    <w:rsid w:val="00126BD7"/>
    <w:rsid w:val="001303D4"/>
    <w:rsid w:val="001304DA"/>
    <w:rsid w:val="00133866"/>
    <w:rsid w:val="00133E77"/>
    <w:rsid w:val="00134A7C"/>
    <w:rsid w:val="0013521F"/>
    <w:rsid w:val="00135247"/>
    <w:rsid w:val="00135A91"/>
    <w:rsid w:val="00135E3F"/>
    <w:rsid w:val="00136C57"/>
    <w:rsid w:val="00141593"/>
    <w:rsid w:val="001418EB"/>
    <w:rsid w:val="00142A3B"/>
    <w:rsid w:val="00142FA4"/>
    <w:rsid w:val="001431C1"/>
    <w:rsid w:val="00144098"/>
    <w:rsid w:val="001457E2"/>
    <w:rsid w:val="00147FCA"/>
    <w:rsid w:val="00147FEE"/>
    <w:rsid w:val="00150566"/>
    <w:rsid w:val="00150DCE"/>
    <w:rsid w:val="00152641"/>
    <w:rsid w:val="00152A47"/>
    <w:rsid w:val="00152D61"/>
    <w:rsid w:val="00155C50"/>
    <w:rsid w:val="0015603E"/>
    <w:rsid w:val="00156210"/>
    <w:rsid w:val="00156AE9"/>
    <w:rsid w:val="00160F37"/>
    <w:rsid w:val="001621BC"/>
    <w:rsid w:val="001628A9"/>
    <w:rsid w:val="00162E80"/>
    <w:rsid w:val="00164E02"/>
    <w:rsid w:val="00165991"/>
    <w:rsid w:val="00166371"/>
    <w:rsid w:val="00166616"/>
    <w:rsid w:val="001668F4"/>
    <w:rsid w:val="0016732B"/>
    <w:rsid w:val="00167EE7"/>
    <w:rsid w:val="0017009F"/>
    <w:rsid w:val="001716AF"/>
    <w:rsid w:val="00171732"/>
    <w:rsid w:val="001725F5"/>
    <w:rsid w:val="00172FDA"/>
    <w:rsid w:val="00173492"/>
    <w:rsid w:val="0017386A"/>
    <w:rsid w:val="00174D7D"/>
    <w:rsid w:val="001751FE"/>
    <w:rsid w:val="00176061"/>
    <w:rsid w:val="00176B4A"/>
    <w:rsid w:val="00182F70"/>
    <w:rsid w:val="00183476"/>
    <w:rsid w:val="00184095"/>
    <w:rsid w:val="00184CF4"/>
    <w:rsid w:val="00185281"/>
    <w:rsid w:val="001860F8"/>
    <w:rsid w:val="00186B15"/>
    <w:rsid w:val="00187D5A"/>
    <w:rsid w:val="00187DFB"/>
    <w:rsid w:val="0019041B"/>
    <w:rsid w:val="00190F48"/>
    <w:rsid w:val="00191152"/>
    <w:rsid w:val="00191710"/>
    <w:rsid w:val="00191B10"/>
    <w:rsid w:val="0019267A"/>
    <w:rsid w:val="00192E13"/>
    <w:rsid w:val="001954C0"/>
    <w:rsid w:val="00195DB1"/>
    <w:rsid w:val="0019646A"/>
    <w:rsid w:val="00196973"/>
    <w:rsid w:val="001970B1"/>
    <w:rsid w:val="001A092E"/>
    <w:rsid w:val="001A1908"/>
    <w:rsid w:val="001A1AD1"/>
    <w:rsid w:val="001A1ECF"/>
    <w:rsid w:val="001A281D"/>
    <w:rsid w:val="001A286A"/>
    <w:rsid w:val="001A2AF2"/>
    <w:rsid w:val="001A4699"/>
    <w:rsid w:val="001A4EDF"/>
    <w:rsid w:val="001A5881"/>
    <w:rsid w:val="001A79DA"/>
    <w:rsid w:val="001A7EFB"/>
    <w:rsid w:val="001A7F31"/>
    <w:rsid w:val="001B0822"/>
    <w:rsid w:val="001B0D01"/>
    <w:rsid w:val="001B1F1A"/>
    <w:rsid w:val="001B20B6"/>
    <w:rsid w:val="001B287B"/>
    <w:rsid w:val="001B2BDB"/>
    <w:rsid w:val="001B3DDE"/>
    <w:rsid w:val="001B51A4"/>
    <w:rsid w:val="001B65AA"/>
    <w:rsid w:val="001B68EE"/>
    <w:rsid w:val="001C14BD"/>
    <w:rsid w:val="001C1BF4"/>
    <w:rsid w:val="001C3393"/>
    <w:rsid w:val="001C40CA"/>
    <w:rsid w:val="001C471B"/>
    <w:rsid w:val="001D1D2E"/>
    <w:rsid w:val="001D2E8F"/>
    <w:rsid w:val="001D3A6B"/>
    <w:rsid w:val="001D3B0E"/>
    <w:rsid w:val="001D3C46"/>
    <w:rsid w:val="001D5674"/>
    <w:rsid w:val="001D6F63"/>
    <w:rsid w:val="001D771E"/>
    <w:rsid w:val="001E0B97"/>
    <w:rsid w:val="001E1FF6"/>
    <w:rsid w:val="001E3327"/>
    <w:rsid w:val="001E3A68"/>
    <w:rsid w:val="001E471A"/>
    <w:rsid w:val="001E5DC6"/>
    <w:rsid w:val="001E6258"/>
    <w:rsid w:val="001E632E"/>
    <w:rsid w:val="001E6E28"/>
    <w:rsid w:val="001F0A87"/>
    <w:rsid w:val="001F0B74"/>
    <w:rsid w:val="001F104D"/>
    <w:rsid w:val="001F12AD"/>
    <w:rsid w:val="001F3FFF"/>
    <w:rsid w:val="001F41B4"/>
    <w:rsid w:val="001F59FA"/>
    <w:rsid w:val="001F67EF"/>
    <w:rsid w:val="00201E31"/>
    <w:rsid w:val="00201F38"/>
    <w:rsid w:val="002022E3"/>
    <w:rsid w:val="00202E1D"/>
    <w:rsid w:val="00203786"/>
    <w:rsid w:val="00204703"/>
    <w:rsid w:val="002068CA"/>
    <w:rsid w:val="00206CEF"/>
    <w:rsid w:val="00207E69"/>
    <w:rsid w:val="0021286C"/>
    <w:rsid w:val="00212C73"/>
    <w:rsid w:val="002143D7"/>
    <w:rsid w:val="00214E4A"/>
    <w:rsid w:val="0021524C"/>
    <w:rsid w:val="0021601D"/>
    <w:rsid w:val="002203BA"/>
    <w:rsid w:val="00220CCB"/>
    <w:rsid w:val="00220F64"/>
    <w:rsid w:val="00224462"/>
    <w:rsid w:val="0022521C"/>
    <w:rsid w:val="00225227"/>
    <w:rsid w:val="002259B8"/>
    <w:rsid w:val="00225B38"/>
    <w:rsid w:val="002265F2"/>
    <w:rsid w:val="002267D5"/>
    <w:rsid w:val="00226BF0"/>
    <w:rsid w:val="002273B7"/>
    <w:rsid w:val="00227734"/>
    <w:rsid w:val="002307A6"/>
    <w:rsid w:val="002308CF"/>
    <w:rsid w:val="00230BA5"/>
    <w:rsid w:val="0023146D"/>
    <w:rsid w:val="00231DA6"/>
    <w:rsid w:val="00232FD4"/>
    <w:rsid w:val="002331C2"/>
    <w:rsid w:val="002336BA"/>
    <w:rsid w:val="00233973"/>
    <w:rsid w:val="002353C9"/>
    <w:rsid w:val="00235504"/>
    <w:rsid w:val="002368C9"/>
    <w:rsid w:val="00236E5F"/>
    <w:rsid w:val="00237043"/>
    <w:rsid w:val="00237AF7"/>
    <w:rsid w:val="0024013D"/>
    <w:rsid w:val="00240BF2"/>
    <w:rsid w:val="00240E99"/>
    <w:rsid w:val="00242164"/>
    <w:rsid w:val="00242756"/>
    <w:rsid w:val="00242F48"/>
    <w:rsid w:val="002434D7"/>
    <w:rsid w:val="00243C9E"/>
    <w:rsid w:val="00244230"/>
    <w:rsid w:val="00245CFD"/>
    <w:rsid w:val="002465DB"/>
    <w:rsid w:val="0024670C"/>
    <w:rsid w:val="0024767D"/>
    <w:rsid w:val="0025010B"/>
    <w:rsid w:val="00251C75"/>
    <w:rsid w:val="002529AB"/>
    <w:rsid w:val="00253878"/>
    <w:rsid w:val="00254FE6"/>
    <w:rsid w:val="00255EBD"/>
    <w:rsid w:val="00257ED3"/>
    <w:rsid w:val="00260DBB"/>
    <w:rsid w:val="002614F7"/>
    <w:rsid w:val="00262047"/>
    <w:rsid w:val="00262CB8"/>
    <w:rsid w:val="002630C2"/>
    <w:rsid w:val="002633F3"/>
    <w:rsid w:val="00264745"/>
    <w:rsid w:val="00265463"/>
    <w:rsid w:val="00266CE1"/>
    <w:rsid w:val="00267AB4"/>
    <w:rsid w:val="00271AB6"/>
    <w:rsid w:val="00273789"/>
    <w:rsid w:val="00273A7A"/>
    <w:rsid w:val="00273D50"/>
    <w:rsid w:val="00275924"/>
    <w:rsid w:val="0028163C"/>
    <w:rsid w:val="00284537"/>
    <w:rsid w:val="002847BA"/>
    <w:rsid w:val="00284827"/>
    <w:rsid w:val="00284D62"/>
    <w:rsid w:val="00285803"/>
    <w:rsid w:val="00285D82"/>
    <w:rsid w:val="002865F0"/>
    <w:rsid w:val="00286808"/>
    <w:rsid w:val="00286EF9"/>
    <w:rsid w:val="002870AE"/>
    <w:rsid w:val="0028735B"/>
    <w:rsid w:val="00290351"/>
    <w:rsid w:val="00290FA6"/>
    <w:rsid w:val="002911CB"/>
    <w:rsid w:val="00291D07"/>
    <w:rsid w:val="0029220F"/>
    <w:rsid w:val="00292C3D"/>
    <w:rsid w:val="002935ED"/>
    <w:rsid w:val="00294F05"/>
    <w:rsid w:val="002950A3"/>
    <w:rsid w:val="002954BE"/>
    <w:rsid w:val="00295C30"/>
    <w:rsid w:val="002A05F1"/>
    <w:rsid w:val="002A1FCD"/>
    <w:rsid w:val="002A2451"/>
    <w:rsid w:val="002A3336"/>
    <w:rsid w:val="002A4321"/>
    <w:rsid w:val="002A4541"/>
    <w:rsid w:val="002A47BC"/>
    <w:rsid w:val="002A4D52"/>
    <w:rsid w:val="002A51B9"/>
    <w:rsid w:val="002A5234"/>
    <w:rsid w:val="002A7FEE"/>
    <w:rsid w:val="002B0104"/>
    <w:rsid w:val="002B0410"/>
    <w:rsid w:val="002B4019"/>
    <w:rsid w:val="002B4FBB"/>
    <w:rsid w:val="002B5284"/>
    <w:rsid w:val="002B5400"/>
    <w:rsid w:val="002B5D45"/>
    <w:rsid w:val="002B6D2E"/>
    <w:rsid w:val="002C051E"/>
    <w:rsid w:val="002C05AD"/>
    <w:rsid w:val="002C1676"/>
    <w:rsid w:val="002C1AE4"/>
    <w:rsid w:val="002C1CC0"/>
    <w:rsid w:val="002C2466"/>
    <w:rsid w:val="002C2D52"/>
    <w:rsid w:val="002C333F"/>
    <w:rsid w:val="002C453E"/>
    <w:rsid w:val="002C6417"/>
    <w:rsid w:val="002C653C"/>
    <w:rsid w:val="002D271C"/>
    <w:rsid w:val="002D3719"/>
    <w:rsid w:val="002D3B7A"/>
    <w:rsid w:val="002D4D58"/>
    <w:rsid w:val="002D5134"/>
    <w:rsid w:val="002D59F8"/>
    <w:rsid w:val="002D60E9"/>
    <w:rsid w:val="002D61E6"/>
    <w:rsid w:val="002D6381"/>
    <w:rsid w:val="002D65E6"/>
    <w:rsid w:val="002D7AD8"/>
    <w:rsid w:val="002E538B"/>
    <w:rsid w:val="002E5792"/>
    <w:rsid w:val="002F2187"/>
    <w:rsid w:val="002F2AF8"/>
    <w:rsid w:val="002F2DA5"/>
    <w:rsid w:val="002F4497"/>
    <w:rsid w:val="002F471A"/>
    <w:rsid w:val="002F6268"/>
    <w:rsid w:val="002F72E0"/>
    <w:rsid w:val="002F7380"/>
    <w:rsid w:val="002F7554"/>
    <w:rsid w:val="00300FD2"/>
    <w:rsid w:val="003011D8"/>
    <w:rsid w:val="00301316"/>
    <w:rsid w:val="00301A53"/>
    <w:rsid w:val="00301B90"/>
    <w:rsid w:val="00302AD9"/>
    <w:rsid w:val="003053D3"/>
    <w:rsid w:val="0030741C"/>
    <w:rsid w:val="003079DF"/>
    <w:rsid w:val="00310ABE"/>
    <w:rsid w:val="00312E06"/>
    <w:rsid w:val="0031307C"/>
    <w:rsid w:val="0031328B"/>
    <w:rsid w:val="00316D3F"/>
    <w:rsid w:val="00316DFD"/>
    <w:rsid w:val="00317179"/>
    <w:rsid w:val="003178B2"/>
    <w:rsid w:val="00321B4F"/>
    <w:rsid w:val="0032235D"/>
    <w:rsid w:val="00323779"/>
    <w:rsid w:val="00323850"/>
    <w:rsid w:val="00332E34"/>
    <w:rsid w:val="003335CB"/>
    <w:rsid w:val="003344F6"/>
    <w:rsid w:val="003349A1"/>
    <w:rsid w:val="003351B7"/>
    <w:rsid w:val="00335B57"/>
    <w:rsid w:val="00336814"/>
    <w:rsid w:val="00337D84"/>
    <w:rsid w:val="00344B87"/>
    <w:rsid w:val="00346D3F"/>
    <w:rsid w:val="00347884"/>
    <w:rsid w:val="00347A4B"/>
    <w:rsid w:val="003517D1"/>
    <w:rsid w:val="0035304B"/>
    <w:rsid w:val="0035381B"/>
    <w:rsid w:val="003561B6"/>
    <w:rsid w:val="00356E20"/>
    <w:rsid w:val="003624BC"/>
    <w:rsid w:val="00362751"/>
    <w:rsid w:val="00362CFE"/>
    <w:rsid w:val="003632E2"/>
    <w:rsid w:val="00363A95"/>
    <w:rsid w:val="003644A7"/>
    <w:rsid w:val="00364598"/>
    <w:rsid w:val="003646CA"/>
    <w:rsid w:val="003658C2"/>
    <w:rsid w:val="00366AE5"/>
    <w:rsid w:val="00366D52"/>
    <w:rsid w:val="003720A8"/>
    <w:rsid w:val="003720C1"/>
    <w:rsid w:val="003734C0"/>
    <w:rsid w:val="003737D4"/>
    <w:rsid w:val="00373989"/>
    <w:rsid w:val="00373C88"/>
    <w:rsid w:val="00374018"/>
    <w:rsid w:val="003750B7"/>
    <w:rsid w:val="0037618A"/>
    <w:rsid w:val="00376BEE"/>
    <w:rsid w:val="00376DB8"/>
    <w:rsid w:val="003800CD"/>
    <w:rsid w:val="0038286A"/>
    <w:rsid w:val="00383B6F"/>
    <w:rsid w:val="00385443"/>
    <w:rsid w:val="00385488"/>
    <w:rsid w:val="003855C9"/>
    <w:rsid w:val="00390028"/>
    <w:rsid w:val="0039038C"/>
    <w:rsid w:val="003919B5"/>
    <w:rsid w:val="0039315B"/>
    <w:rsid w:val="00394342"/>
    <w:rsid w:val="00394CF1"/>
    <w:rsid w:val="003A28AB"/>
    <w:rsid w:val="003A69E1"/>
    <w:rsid w:val="003B04E3"/>
    <w:rsid w:val="003B0CC9"/>
    <w:rsid w:val="003B1097"/>
    <w:rsid w:val="003B2D62"/>
    <w:rsid w:val="003B4160"/>
    <w:rsid w:val="003B674D"/>
    <w:rsid w:val="003B6948"/>
    <w:rsid w:val="003B7FE9"/>
    <w:rsid w:val="003C044E"/>
    <w:rsid w:val="003C0C97"/>
    <w:rsid w:val="003C33C7"/>
    <w:rsid w:val="003C3A09"/>
    <w:rsid w:val="003C42DB"/>
    <w:rsid w:val="003C5752"/>
    <w:rsid w:val="003C5B0D"/>
    <w:rsid w:val="003C684D"/>
    <w:rsid w:val="003D0E5B"/>
    <w:rsid w:val="003D1F2A"/>
    <w:rsid w:val="003D2C41"/>
    <w:rsid w:val="003D2CD7"/>
    <w:rsid w:val="003D5019"/>
    <w:rsid w:val="003D5EC0"/>
    <w:rsid w:val="003D68C4"/>
    <w:rsid w:val="003D7302"/>
    <w:rsid w:val="003D73F5"/>
    <w:rsid w:val="003D784D"/>
    <w:rsid w:val="003E0D9F"/>
    <w:rsid w:val="003E299A"/>
    <w:rsid w:val="003E2FDD"/>
    <w:rsid w:val="003E3FFF"/>
    <w:rsid w:val="003E5C5B"/>
    <w:rsid w:val="003E6886"/>
    <w:rsid w:val="003E7A4E"/>
    <w:rsid w:val="003F0751"/>
    <w:rsid w:val="003F07D7"/>
    <w:rsid w:val="003F1479"/>
    <w:rsid w:val="003F1FD9"/>
    <w:rsid w:val="003F45A7"/>
    <w:rsid w:val="003F492E"/>
    <w:rsid w:val="003F4F94"/>
    <w:rsid w:val="003F54FC"/>
    <w:rsid w:val="003F562F"/>
    <w:rsid w:val="00401F08"/>
    <w:rsid w:val="00403758"/>
    <w:rsid w:val="004043E4"/>
    <w:rsid w:val="004076F5"/>
    <w:rsid w:val="0040771C"/>
    <w:rsid w:val="00407B48"/>
    <w:rsid w:val="00407BC2"/>
    <w:rsid w:val="00412C29"/>
    <w:rsid w:val="00413A1D"/>
    <w:rsid w:val="00414AF0"/>
    <w:rsid w:val="00414EA8"/>
    <w:rsid w:val="00415545"/>
    <w:rsid w:val="004204C1"/>
    <w:rsid w:val="0042061B"/>
    <w:rsid w:val="00420D14"/>
    <w:rsid w:val="004210B4"/>
    <w:rsid w:val="00424E82"/>
    <w:rsid w:val="00425FCD"/>
    <w:rsid w:val="00426F35"/>
    <w:rsid w:val="0042780F"/>
    <w:rsid w:val="00430981"/>
    <w:rsid w:val="00430F5F"/>
    <w:rsid w:val="0043154A"/>
    <w:rsid w:val="0043189E"/>
    <w:rsid w:val="00431BAF"/>
    <w:rsid w:val="0043254D"/>
    <w:rsid w:val="00432AD5"/>
    <w:rsid w:val="00433A97"/>
    <w:rsid w:val="00436C36"/>
    <w:rsid w:val="004402BA"/>
    <w:rsid w:val="00441CF0"/>
    <w:rsid w:val="00442486"/>
    <w:rsid w:val="004428A9"/>
    <w:rsid w:val="00442F2D"/>
    <w:rsid w:val="00445082"/>
    <w:rsid w:val="00445813"/>
    <w:rsid w:val="00445CFD"/>
    <w:rsid w:val="00446172"/>
    <w:rsid w:val="00450B8D"/>
    <w:rsid w:val="00451A15"/>
    <w:rsid w:val="00452EE9"/>
    <w:rsid w:val="00454283"/>
    <w:rsid w:val="00454D4B"/>
    <w:rsid w:val="00455B8F"/>
    <w:rsid w:val="00455C0C"/>
    <w:rsid w:val="00456261"/>
    <w:rsid w:val="00456481"/>
    <w:rsid w:val="004564AC"/>
    <w:rsid w:val="00456C33"/>
    <w:rsid w:val="00457271"/>
    <w:rsid w:val="00457A05"/>
    <w:rsid w:val="00460798"/>
    <w:rsid w:val="004609A6"/>
    <w:rsid w:val="00464998"/>
    <w:rsid w:val="00465CE1"/>
    <w:rsid w:val="00466D3A"/>
    <w:rsid w:val="0046740D"/>
    <w:rsid w:val="00470122"/>
    <w:rsid w:val="0047076B"/>
    <w:rsid w:val="0047158C"/>
    <w:rsid w:val="004729C9"/>
    <w:rsid w:val="004737FC"/>
    <w:rsid w:val="00474812"/>
    <w:rsid w:val="00475C4E"/>
    <w:rsid w:val="00476420"/>
    <w:rsid w:val="00480DA3"/>
    <w:rsid w:val="004822E7"/>
    <w:rsid w:val="004829A0"/>
    <w:rsid w:val="00482DAB"/>
    <w:rsid w:val="004908A2"/>
    <w:rsid w:val="00491F9F"/>
    <w:rsid w:val="0049201F"/>
    <w:rsid w:val="004923BD"/>
    <w:rsid w:val="00492BCC"/>
    <w:rsid w:val="00493B70"/>
    <w:rsid w:val="00493D2E"/>
    <w:rsid w:val="004949DD"/>
    <w:rsid w:val="004954CD"/>
    <w:rsid w:val="00495B60"/>
    <w:rsid w:val="004974EB"/>
    <w:rsid w:val="00497E2A"/>
    <w:rsid w:val="004A116A"/>
    <w:rsid w:val="004A11AD"/>
    <w:rsid w:val="004A31DC"/>
    <w:rsid w:val="004A3C7A"/>
    <w:rsid w:val="004A569F"/>
    <w:rsid w:val="004A62F8"/>
    <w:rsid w:val="004A7FC4"/>
    <w:rsid w:val="004B05BD"/>
    <w:rsid w:val="004B0F59"/>
    <w:rsid w:val="004B3E55"/>
    <w:rsid w:val="004B3FDC"/>
    <w:rsid w:val="004B50D7"/>
    <w:rsid w:val="004B6B79"/>
    <w:rsid w:val="004C0A3C"/>
    <w:rsid w:val="004C15AF"/>
    <w:rsid w:val="004C209F"/>
    <w:rsid w:val="004C20ED"/>
    <w:rsid w:val="004C50DC"/>
    <w:rsid w:val="004C53EE"/>
    <w:rsid w:val="004C6009"/>
    <w:rsid w:val="004D1F1B"/>
    <w:rsid w:val="004D3E90"/>
    <w:rsid w:val="004D5740"/>
    <w:rsid w:val="004D5BE2"/>
    <w:rsid w:val="004D6722"/>
    <w:rsid w:val="004D6B6B"/>
    <w:rsid w:val="004E08E7"/>
    <w:rsid w:val="004E2835"/>
    <w:rsid w:val="004E56AD"/>
    <w:rsid w:val="004E62EC"/>
    <w:rsid w:val="004E65A6"/>
    <w:rsid w:val="004E6613"/>
    <w:rsid w:val="004E6CFE"/>
    <w:rsid w:val="004F068E"/>
    <w:rsid w:val="004F23E0"/>
    <w:rsid w:val="004F3924"/>
    <w:rsid w:val="004F3F66"/>
    <w:rsid w:val="004F4044"/>
    <w:rsid w:val="004F4CD3"/>
    <w:rsid w:val="004F5F39"/>
    <w:rsid w:val="004F5F9C"/>
    <w:rsid w:val="004F64D5"/>
    <w:rsid w:val="004F6529"/>
    <w:rsid w:val="004F7101"/>
    <w:rsid w:val="004F7824"/>
    <w:rsid w:val="005001B3"/>
    <w:rsid w:val="005001BB"/>
    <w:rsid w:val="005004BD"/>
    <w:rsid w:val="00500EDF"/>
    <w:rsid w:val="005038BE"/>
    <w:rsid w:val="005054E0"/>
    <w:rsid w:val="005058AC"/>
    <w:rsid w:val="00505D5C"/>
    <w:rsid w:val="00506A26"/>
    <w:rsid w:val="00510345"/>
    <w:rsid w:val="0051195B"/>
    <w:rsid w:val="005125FA"/>
    <w:rsid w:val="00513A4E"/>
    <w:rsid w:val="00513A73"/>
    <w:rsid w:val="00515494"/>
    <w:rsid w:val="00515973"/>
    <w:rsid w:val="00515B7A"/>
    <w:rsid w:val="0051603B"/>
    <w:rsid w:val="005168D6"/>
    <w:rsid w:val="005179E7"/>
    <w:rsid w:val="0052064E"/>
    <w:rsid w:val="00520E0F"/>
    <w:rsid w:val="00521730"/>
    <w:rsid w:val="00521FBD"/>
    <w:rsid w:val="00522248"/>
    <w:rsid w:val="0052536E"/>
    <w:rsid w:val="00525A57"/>
    <w:rsid w:val="00530DE6"/>
    <w:rsid w:val="00531C42"/>
    <w:rsid w:val="005325FD"/>
    <w:rsid w:val="00533F68"/>
    <w:rsid w:val="005346AF"/>
    <w:rsid w:val="005349B7"/>
    <w:rsid w:val="00535379"/>
    <w:rsid w:val="00536600"/>
    <w:rsid w:val="0053665A"/>
    <w:rsid w:val="00536A47"/>
    <w:rsid w:val="00541DB7"/>
    <w:rsid w:val="00542042"/>
    <w:rsid w:val="005425AD"/>
    <w:rsid w:val="005436DE"/>
    <w:rsid w:val="005441A9"/>
    <w:rsid w:val="005447D5"/>
    <w:rsid w:val="00544947"/>
    <w:rsid w:val="00544DD2"/>
    <w:rsid w:val="00545304"/>
    <w:rsid w:val="00546820"/>
    <w:rsid w:val="005469B8"/>
    <w:rsid w:val="00546D7F"/>
    <w:rsid w:val="005479C1"/>
    <w:rsid w:val="00550121"/>
    <w:rsid w:val="0055115C"/>
    <w:rsid w:val="0055206D"/>
    <w:rsid w:val="00554341"/>
    <w:rsid w:val="005555A0"/>
    <w:rsid w:val="0055637F"/>
    <w:rsid w:val="00557809"/>
    <w:rsid w:val="005638D3"/>
    <w:rsid w:val="00564465"/>
    <w:rsid w:val="00565031"/>
    <w:rsid w:val="00570849"/>
    <w:rsid w:val="00570E02"/>
    <w:rsid w:val="00571AB9"/>
    <w:rsid w:val="0057261F"/>
    <w:rsid w:val="00572C32"/>
    <w:rsid w:val="00574AF2"/>
    <w:rsid w:val="00574D6A"/>
    <w:rsid w:val="005757B3"/>
    <w:rsid w:val="00576E8C"/>
    <w:rsid w:val="0058344D"/>
    <w:rsid w:val="005845AA"/>
    <w:rsid w:val="00584965"/>
    <w:rsid w:val="00584C63"/>
    <w:rsid w:val="00591127"/>
    <w:rsid w:val="0059117F"/>
    <w:rsid w:val="0059167C"/>
    <w:rsid w:val="00591E86"/>
    <w:rsid w:val="005920FE"/>
    <w:rsid w:val="00593362"/>
    <w:rsid w:val="00594F90"/>
    <w:rsid w:val="00595066"/>
    <w:rsid w:val="00595C38"/>
    <w:rsid w:val="00597785"/>
    <w:rsid w:val="005A0395"/>
    <w:rsid w:val="005A7AD1"/>
    <w:rsid w:val="005B0E36"/>
    <w:rsid w:val="005B1640"/>
    <w:rsid w:val="005B1C01"/>
    <w:rsid w:val="005B2682"/>
    <w:rsid w:val="005B34D9"/>
    <w:rsid w:val="005B48D8"/>
    <w:rsid w:val="005B574D"/>
    <w:rsid w:val="005B5803"/>
    <w:rsid w:val="005B6609"/>
    <w:rsid w:val="005B67CF"/>
    <w:rsid w:val="005B6A3D"/>
    <w:rsid w:val="005B6C3D"/>
    <w:rsid w:val="005B70D5"/>
    <w:rsid w:val="005B7E3C"/>
    <w:rsid w:val="005C0682"/>
    <w:rsid w:val="005C1B81"/>
    <w:rsid w:val="005C23A3"/>
    <w:rsid w:val="005C241A"/>
    <w:rsid w:val="005C3DB6"/>
    <w:rsid w:val="005C3DD4"/>
    <w:rsid w:val="005C3EB4"/>
    <w:rsid w:val="005C5AD3"/>
    <w:rsid w:val="005C612E"/>
    <w:rsid w:val="005C63A4"/>
    <w:rsid w:val="005C72E1"/>
    <w:rsid w:val="005C770E"/>
    <w:rsid w:val="005D04A7"/>
    <w:rsid w:val="005D04EC"/>
    <w:rsid w:val="005D1052"/>
    <w:rsid w:val="005D160B"/>
    <w:rsid w:val="005D2117"/>
    <w:rsid w:val="005D2E98"/>
    <w:rsid w:val="005D6005"/>
    <w:rsid w:val="005D7D83"/>
    <w:rsid w:val="005E02D7"/>
    <w:rsid w:val="005E0F10"/>
    <w:rsid w:val="005E2CF7"/>
    <w:rsid w:val="005E338A"/>
    <w:rsid w:val="005E3BAD"/>
    <w:rsid w:val="005E5B22"/>
    <w:rsid w:val="005F05FF"/>
    <w:rsid w:val="005F1062"/>
    <w:rsid w:val="005F16E6"/>
    <w:rsid w:val="005F18D3"/>
    <w:rsid w:val="005F3BA3"/>
    <w:rsid w:val="005F3FB1"/>
    <w:rsid w:val="005F4314"/>
    <w:rsid w:val="005F5D74"/>
    <w:rsid w:val="005F5E4E"/>
    <w:rsid w:val="005F6A0A"/>
    <w:rsid w:val="005F7520"/>
    <w:rsid w:val="005F7AE5"/>
    <w:rsid w:val="00600040"/>
    <w:rsid w:val="00600DCA"/>
    <w:rsid w:val="00600F2F"/>
    <w:rsid w:val="0060126A"/>
    <w:rsid w:val="00604441"/>
    <w:rsid w:val="00604D2A"/>
    <w:rsid w:val="00604D82"/>
    <w:rsid w:val="00604D9D"/>
    <w:rsid w:val="00605437"/>
    <w:rsid w:val="00605471"/>
    <w:rsid w:val="00605E3B"/>
    <w:rsid w:val="00605FE0"/>
    <w:rsid w:val="00606EB2"/>
    <w:rsid w:val="00610003"/>
    <w:rsid w:val="00612144"/>
    <w:rsid w:val="006124F8"/>
    <w:rsid w:val="00612B5A"/>
    <w:rsid w:val="00613847"/>
    <w:rsid w:val="00613A45"/>
    <w:rsid w:val="00613BB0"/>
    <w:rsid w:val="00615CFA"/>
    <w:rsid w:val="00617013"/>
    <w:rsid w:val="0061768F"/>
    <w:rsid w:val="006176F6"/>
    <w:rsid w:val="00620581"/>
    <w:rsid w:val="006225EC"/>
    <w:rsid w:val="00624036"/>
    <w:rsid w:val="00625971"/>
    <w:rsid w:val="00625ACB"/>
    <w:rsid w:val="0062666E"/>
    <w:rsid w:val="00626CB6"/>
    <w:rsid w:val="00626E82"/>
    <w:rsid w:val="00631C6F"/>
    <w:rsid w:val="00631C78"/>
    <w:rsid w:val="00633C71"/>
    <w:rsid w:val="00634203"/>
    <w:rsid w:val="00637023"/>
    <w:rsid w:val="00637799"/>
    <w:rsid w:val="00640035"/>
    <w:rsid w:val="00640BD8"/>
    <w:rsid w:val="006415F2"/>
    <w:rsid w:val="00641876"/>
    <w:rsid w:val="00641CF8"/>
    <w:rsid w:val="00642788"/>
    <w:rsid w:val="006455BC"/>
    <w:rsid w:val="00646F2B"/>
    <w:rsid w:val="00647186"/>
    <w:rsid w:val="00647474"/>
    <w:rsid w:val="0064790A"/>
    <w:rsid w:val="006501DF"/>
    <w:rsid w:val="00650B2B"/>
    <w:rsid w:val="006540B6"/>
    <w:rsid w:val="006567FE"/>
    <w:rsid w:val="00656F3E"/>
    <w:rsid w:val="00660074"/>
    <w:rsid w:val="00662300"/>
    <w:rsid w:val="006623E0"/>
    <w:rsid w:val="00663213"/>
    <w:rsid w:val="00664569"/>
    <w:rsid w:val="00664B5C"/>
    <w:rsid w:val="00667096"/>
    <w:rsid w:val="00667988"/>
    <w:rsid w:val="00667CF5"/>
    <w:rsid w:val="00670418"/>
    <w:rsid w:val="00670E6C"/>
    <w:rsid w:val="0067345E"/>
    <w:rsid w:val="006737CF"/>
    <w:rsid w:val="00675B8F"/>
    <w:rsid w:val="00675E9D"/>
    <w:rsid w:val="00676160"/>
    <w:rsid w:val="00676451"/>
    <w:rsid w:val="0067743E"/>
    <w:rsid w:val="006804A5"/>
    <w:rsid w:val="00680B3B"/>
    <w:rsid w:val="006810D3"/>
    <w:rsid w:val="00681BC4"/>
    <w:rsid w:val="0068296B"/>
    <w:rsid w:val="00683E9B"/>
    <w:rsid w:val="006849B9"/>
    <w:rsid w:val="00687C1B"/>
    <w:rsid w:val="0069126B"/>
    <w:rsid w:val="00691A51"/>
    <w:rsid w:val="006923AA"/>
    <w:rsid w:val="00692591"/>
    <w:rsid w:val="00692F36"/>
    <w:rsid w:val="00692F7D"/>
    <w:rsid w:val="0069308A"/>
    <w:rsid w:val="00694E8B"/>
    <w:rsid w:val="00695BA3"/>
    <w:rsid w:val="006A0161"/>
    <w:rsid w:val="006A0433"/>
    <w:rsid w:val="006A14F2"/>
    <w:rsid w:val="006A1B66"/>
    <w:rsid w:val="006A2FA4"/>
    <w:rsid w:val="006A47AF"/>
    <w:rsid w:val="006A4A2E"/>
    <w:rsid w:val="006A5925"/>
    <w:rsid w:val="006A5D5A"/>
    <w:rsid w:val="006A68A0"/>
    <w:rsid w:val="006A69C7"/>
    <w:rsid w:val="006A75BA"/>
    <w:rsid w:val="006B0195"/>
    <w:rsid w:val="006B13A4"/>
    <w:rsid w:val="006B2805"/>
    <w:rsid w:val="006B36A3"/>
    <w:rsid w:val="006B3AF8"/>
    <w:rsid w:val="006C0A04"/>
    <w:rsid w:val="006C0D80"/>
    <w:rsid w:val="006C2B2A"/>
    <w:rsid w:val="006C53AC"/>
    <w:rsid w:val="006C6F2A"/>
    <w:rsid w:val="006C75BC"/>
    <w:rsid w:val="006C77F7"/>
    <w:rsid w:val="006D024B"/>
    <w:rsid w:val="006D2904"/>
    <w:rsid w:val="006D307F"/>
    <w:rsid w:val="006D4454"/>
    <w:rsid w:val="006D47E4"/>
    <w:rsid w:val="006D4914"/>
    <w:rsid w:val="006D4B42"/>
    <w:rsid w:val="006D4DD2"/>
    <w:rsid w:val="006D5374"/>
    <w:rsid w:val="006D549A"/>
    <w:rsid w:val="006D5F62"/>
    <w:rsid w:val="006D65ED"/>
    <w:rsid w:val="006D7914"/>
    <w:rsid w:val="006E1574"/>
    <w:rsid w:val="006E1F04"/>
    <w:rsid w:val="006E30C0"/>
    <w:rsid w:val="006E4045"/>
    <w:rsid w:val="006E4238"/>
    <w:rsid w:val="006E6938"/>
    <w:rsid w:val="006E7E85"/>
    <w:rsid w:val="006F27F4"/>
    <w:rsid w:val="006F2B23"/>
    <w:rsid w:val="006F2DDC"/>
    <w:rsid w:val="006F3710"/>
    <w:rsid w:val="006F3AFD"/>
    <w:rsid w:val="006F3CC7"/>
    <w:rsid w:val="006F514A"/>
    <w:rsid w:val="006F5162"/>
    <w:rsid w:val="006F5C15"/>
    <w:rsid w:val="006F601B"/>
    <w:rsid w:val="006F6040"/>
    <w:rsid w:val="006F6D58"/>
    <w:rsid w:val="006F7063"/>
    <w:rsid w:val="00700350"/>
    <w:rsid w:val="007003D3"/>
    <w:rsid w:val="00702511"/>
    <w:rsid w:val="007048B6"/>
    <w:rsid w:val="0070654F"/>
    <w:rsid w:val="00710BD1"/>
    <w:rsid w:val="00711B73"/>
    <w:rsid w:val="00711E1B"/>
    <w:rsid w:val="00713D8B"/>
    <w:rsid w:val="00714D08"/>
    <w:rsid w:val="00716186"/>
    <w:rsid w:val="00720B8E"/>
    <w:rsid w:val="007210C8"/>
    <w:rsid w:val="0072260A"/>
    <w:rsid w:val="007229E5"/>
    <w:rsid w:val="007237FF"/>
    <w:rsid w:val="00723FC6"/>
    <w:rsid w:val="0072480C"/>
    <w:rsid w:val="0072493A"/>
    <w:rsid w:val="00725570"/>
    <w:rsid w:val="007261EE"/>
    <w:rsid w:val="00727E38"/>
    <w:rsid w:val="00730C72"/>
    <w:rsid w:val="0073318D"/>
    <w:rsid w:val="00733C96"/>
    <w:rsid w:val="00737D95"/>
    <w:rsid w:val="00741917"/>
    <w:rsid w:val="00742A6C"/>
    <w:rsid w:val="007468C1"/>
    <w:rsid w:val="00751ED6"/>
    <w:rsid w:val="007528A1"/>
    <w:rsid w:val="007530CE"/>
    <w:rsid w:val="007536B2"/>
    <w:rsid w:val="00753AA1"/>
    <w:rsid w:val="00754257"/>
    <w:rsid w:val="007551CB"/>
    <w:rsid w:val="00755584"/>
    <w:rsid w:val="00755786"/>
    <w:rsid w:val="007563DF"/>
    <w:rsid w:val="0075686A"/>
    <w:rsid w:val="007568E2"/>
    <w:rsid w:val="00760623"/>
    <w:rsid w:val="00760B3C"/>
    <w:rsid w:val="00761A56"/>
    <w:rsid w:val="007633FA"/>
    <w:rsid w:val="00763DBC"/>
    <w:rsid w:val="007641CC"/>
    <w:rsid w:val="00765948"/>
    <w:rsid w:val="00766F70"/>
    <w:rsid w:val="00767BCD"/>
    <w:rsid w:val="0077020B"/>
    <w:rsid w:val="00770BBE"/>
    <w:rsid w:val="007753A0"/>
    <w:rsid w:val="00775C97"/>
    <w:rsid w:val="007767F4"/>
    <w:rsid w:val="00776C95"/>
    <w:rsid w:val="007776DC"/>
    <w:rsid w:val="007777E2"/>
    <w:rsid w:val="0078112A"/>
    <w:rsid w:val="00781955"/>
    <w:rsid w:val="0078372A"/>
    <w:rsid w:val="00783843"/>
    <w:rsid w:val="00784E03"/>
    <w:rsid w:val="007851AE"/>
    <w:rsid w:val="00785478"/>
    <w:rsid w:val="00785C99"/>
    <w:rsid w:val="007868F6"/>
    <w:rsid w:val="00790AC9"/>
    <w:rsid w:val="0079237F"/>
    <w:rsid w:val="00792F04"/>
    <w:rsid w:val="00794462"/>
    <w:rsid w:val="0079457C"/>
    <w:rsid w:val="00794BA7"/>
    <w:rsid w:val="0079519C"/>
    <w:rsid w:val="007952F0"/>
    <w:rsid w:val="00796126"/>
    <w:rsid w:val="00796B87"/>
    <w:rsid w:val="00797DBA"/>
    <w:rsid w:val="007A313E"/>
    <w:rsid w:val="007A4278"/>
    <w:rsid w:val="007A5531"/>
    <w:rsid w:val="007B07B4"/>
    <w:rsid w:val="007B2268"/>
    <w:rsid w:val="007B2A48"/>
    <w:rsid w:val="007B2ADC"/>
    <w:rsid w:val="007B3FA9"/>
    <w:rsid w:val="007B579B"/>
    <w:rsid w:val="007B61DA"/>
    <w:rsid w:val="007B64EF"/>
    <w:rsid w:val="007B6DDC"/>
    <w:rsid w:val="007B7799"/>
    <w:rsid w:val="007C12C5"/>
    <w:rsid w:val="007C170D"/>
    <w:rsid w:val="007C1E55"/>
    <w:rsid w:val="007C20F0"/>
    <w:rsid w:val="007C291B"/>
    <w:rsid w:val="007C3266"/>
    <w:rsid w:val="007C372C"/>
    <w:rsid w:val="007C4BE1"/>
    <w:rsid w:val="007C4DF4"/>
    <w:rsid w:val="007C64EE"/>
    <w:rsid w:val="007C6DB6"/>
    <w:rsid w:val="007C74B5"/>
    <w:rsid w:val="007D0D4A"/>
    <w:rsid w:val="007D179A"/>
    <w:rsid w:val="007D17D8"/>
    <w:rsid w:val="007D2F79"/>
    <w:rsid w:val="007D34F0"/>
    <w:rsid w:val="007D3919"/>
    <w:rsid w:val="007D53D4"/>
    <w:rsid w:val="007D5899"/>
    <w:rsid w:val="007D5B45"/>
    <w:rsid w:val="007D624B"/>
    <w:rsid w:val="007E0DCA"/>
    <w:rsid w:val="007E2691"/>
    <w:rsid w:val="007E2A05"/>
    <w:rsid w:val="007E3056"/>
    <w:rsid w:val="007E388F"/>
    <w:rsid w:val="007E3F38"/>
    <w:rsid w:val="007E6120"/>
    <w:rsid w:val="007E677A"/>
    <w:rsid w:val="007E68E1"/>
    <w:rsid w:val="007F0029"/>
    <w:rsid w:val="007F02C6"/>
    <w:rsid w:val="007F0EC1"/>
    <w:rsid w:val="007F1BED"/>
    <w:rsid w:val="007F3A8A"/>
    <w:rsid w:val="007F49D5"/>
    <w:rsid w:val="007F4BC8"/>
    <w:rsid w:val="007F5900"/>
    <w:rsid w:val="007F5937"/>
    <w:rsid w:val="007F5B79"/>
    <w:rsid w:val="007F722A"/>
    <w:rsid w:val="007F73AF"/>
    <w:rsid w:val="007F7785"/>
    <w:rsid w:val="00800856"/>
    <w:rsid w:val="00800D6E"/>
    <w:rsid w:val="00801F46"/>
    <w:rsid w:val="00802204"/>
    <w:rsid w:val="00803ED3"/>
    <w:rsid w:val="0080435F"/>
    <w:rsid w:val="00806C13"/>
    <w:rsid w:val="00813775"/>
    <w:rsid w:val="00813F2D"/>
    <w:rsid w:val="00815FB1"/>
    <w:rsid w:val="00816FE0"/>
    <w:rsid w:val="0081740D"/>
    <w:rsid w:val="008177FD"/>
    <w:rsid w:val="00822C48"/>
    <w:rsid w:val="00823D12"/>
    <w:rsid w:val="008260C1"/>
    <w:rsid w:val="00826DA3"/>
    <w:rsid w:val="008278DB"/>
    <w:rsid w:val="0082791D"/>
    <w:rsid w:val="00832CD6"/>
    <w:rsid w:val="00832DDC"/>
    <w:rsid w:val="00835370"/>
    <w:rsid w:val="00837219"/>
    <w:rsid w:val="00837871"/>
    <w:rsid w:val="00841C0B"/>
    <w:rsid w:val="00841E2A"/>
    <w:rsid w:val="008437C9"/>
    <w:rsid w:val="00845375"/>
    <w:rsid w:val="00845C31"/>
    <w:rsid w:val="00847591"/>
    <w:rsid w:val="00847D76"/>
    <w:rsid w:val="008514D9"/>
    <w:rsid w:val="00852EAD"/>
    <w:rsid w:val="00854B56"/>
    <w:rsid w:val="00855A08"/>
    <w:rsid w:val="00855DAE"/>
    <w:rsid w:val="00855F40"/>
    <w:rsid w:val="0085600C"/>
    <w:rsid w:val="00856319"/>
    <w:rsid w:val="00856B9F"/>
    <w:rsid w:val="00856C7A"/>
    <w:rsid w:val="008574AE"/>
    <w:rsid w:val="0085765E"/>
    <w:rsid w:val="00857884"/>
    <w:rsid w:val="00863CB6"/>
    <w:rsid w:val="0086675D"/>
    <w:rsid w:val="00867A82"/>
    <w:rsid w:val="00870DC0"/>
    <w:rsid w:val="0087149E"/>
    <w:rsid w:val="008744EE"/>
    <w:rsid w:val="00876AEF"/>
    <w:rsid w:val="00881387"/>
    <w:rsid w:val="008833DB"/>
    <w:rsid w:val="00884DA7"/>
    <w:rsid w:val="008857DC"/>
    <w:rsid w:val="00885E78"/>
    <w:rsid w:val="0088603A"/>
    <w:rsid w:val="008861BD"/>
    <w:rsid w:val="00890364"/>
    <w:rsid w:val="00891FC0"/>
    <w:rsid w:val="00892494"/>
    <w:rsid w:val="00893237"/>
    <w:rsid w:val="00893C7F"/>
    <w:rsid w:val="0089467A"/>
    <w:rsid w:val="00896C2B"/>
    <w:rsid w:val="008974FB"/>
    <w:rsid w:val="00897683"/>
    <w:rsid w:val="008A1328"/>
    <w:rsid w:val="008A1C70"/>
    <w:rsid w:val="008A247A"/>
    <w:rsid w:val="008A2AAA"/>
    <w:rsid w:val="008A2CAF"/>
    <w:rsid w:val="008A2DEB"/>
    <w:rsid w:val="008A3030"/>
    <w:rsid w:val="008A53FE"/>
    <w:rsid w:val="008A5539"/>
    <w:rsid w:val="008A588E"/>
    <w:rsid w:val="008A5E26"/>
    <w:rsid w:val="008B0727"/>
    <w:rsid w:val="008B23BC"/>
    <w:rsid w:val="008B25AF"/>
    <w:rsid w:val="008B3AC3"/>
    <w:rsid w:val="008B3FE3"/>
    <w:rsid w:val="008B4060"/>
    <w:rsid w:val="008B4466"/>
    <w:rsid w:val="008B471F"/>
    <w:rsid w:val="008B5666"/>
    <w:rsid w:val="008B6111"/>
    <w:rsid w:val="008B7EA8"/>
    <w:rsid w:val="008C18BB"/>
    <w:rsid w:val="008C23DC"/>
    <w:rsid w:val="008C25DA"/>
    <w:rsid w:val="008C3401"/>
    <w:rsid w:val="008C47C1"/>
    <w:rsid w:val="008C4988"/>
    <w:rsid w:val="008C5A45"/>
    <w:rsid w:val="008C7147"/>
    <w:rsid w:val="008C7B9B"/>
    <w:rsid w:val="008D1BDD"/>
    <w:rsid w:val="008D25DA"/>
    <w:rsid w:val="008D27BF"/>
    <w:rsid w:val="008D2EB2"/>
    <w:rsid w:val="008D2F3B"/>
    <w:rsid w:val="008D3082"/>
    <w:rsid w:val="008D34A9"/>
    <w:rsid w:val="008D4235"/>
    <w:rsid w:val="008D46CD"/>
    <w:rsid w:val="008D4F2D"/>
    <w:rsid w:val="008D542C"/>
    <w:rsid w:val="008D55CC"/>
    <w:rsid w:val="008D5910"/>
    <w:rsid w:val="008D75B9"/>
    <w:rsid w:val="008D775A"/>
    <w:rsid w:val="008E18F4"/>
    <w:rsid w:val="008E1FB1"/>
    <w:rsid w:val="008E32FB"/>
    <w:rsid w:val="008E4643"/>
    <w:rsid w:val="008E47F1"/>
    <w:rsid w:val="008E4B02"/>
    <w:rsid w:val="008E720D"/>
    <w:rsid w:val="008F0B42"/>
    <w:rsid w:val="008F0DC8"/>
    <w:rsid w:val="008F1351"/>
    <w:rsid w:val="008F1652"/>
    <w:rsid w:val="008F24EA"/>
    <w:rsid w:val="008F276B"/>
    <w:rsid w:val="008F2BAA"/>
    <w:rsid w:val="008F343F"/>
    <w:rsid w:val="008F5DB9"/>
    <w:rsid w:val="00902B07"/>
    <w:rsid w:val="00902BE3"/>
    <w:rsid w:val="00903324"/>
    <w:rsid w:val="00904733"/>
    <w:rsid w:val="00905027"/>
    <w:rsid w:val="00905198"/>
    <w:rsid w:val="00905377"/>
    <w:rsid w:val="009064A4"/>
    <w:rsid w:val="0090774B"/>
    <w:rsid w:val="00910DE3"/>
    <w:rsid w:val="00911F12"/>
    <w:rsid w:val="00913234"/>
    <w:rsid w:val="009159BB"/>
    <w:rsid w:val="00915B74"/>
    <w:rsid w:val="00915FEC"/>
    <w:rsid w:val="0091624C"/>
    <w:rsid w:val="00916995"/>
    <w:rsid w:val="00917E01"/>
    <w:rsid w:val="00920DCC"/>
    <w:rsid w:val="00920F80"/>
    <w:rsid w:val="0092217E"/>
    <w:rsid w:val="009222A1"/>
    <w:rsid w:val="00922E97"/>
    <w:rsid w:val="00922FB0"/>
    <w:rsid w:val="0092376F"/>
    <w:rsid w:val="00924AEE"/>
    <w:rsid w:val="00924CAA"/>
    <w:rsid w:val="009250AA"/>
    <w:rsid w:val="0092599C"/>
    <w:rsid w:val="009266F6"/>
    <w:rsid w:val="00930369"/>
    <w:rsid w:val="00933650"/>
    <w:rsid w:val="009342BB"/>
    <w:rsid w:val="009347DE"/>
    <w:rsid w:val="0093486A"/>
    <w:rsid w:val="00934888"/>
    <w:rsid w:val="00935038"/>
    <w:rsid w:val="00936931"/>
    <w:rsid w:val="00937FAA"/>
    <w:rsid w:val="00940C64"/>
    <w:rsid w:val="00942E0A"/>
    <w:rsid w:val="009432BC"/>
    <w:rsid w:val="00944683"/>
    <w:rsid w:val="0094507D"/>
    <w:rsid w:val="00945B2C"/>
    <w:rsid w:val="009475CB"/>
    <w:rsid w:val="009476B2"/>
    <w:rsid w:val="009500B6"/>
    <w:rsid w:val="00950277"/>
    <w:rsid w:val="0095032B"/>
    <w:rsid w:val="0095039A"/>
    <w:rsid w:val="009503DF"/>
    <w:rsid w:val="00950D7D"/>
    <w:rsid w:val="00951835"/>
    <w:rsid w:val="009519C4"/>
    <w:rsid w:val="00951AEC"/>
    <w:rsid w:val="00951E37"/>
    <w:rsid w:val="009529A2"/>
    <w:rsid w:val="00953342"/>
    <w:rsid w:val="00953C53"/>
    <w:rsid w:val="0095525C"/>
    <w:rsid w:val="0095619A"/>
    <w:rsid w:val="009567B7"/>
    <w:rsid w:val="0095694F"/>
    <w:rsid w:val="00957A2E"/>
    <w:rsid w:val="00960A2C"/>
    <w:rsid w:val="00960CE9"/>
    <w:rsid w:val="009610AB"/>
    <w:rsid w:val="00962F39"/>
    <w:rsid w:val="00964535"/>
    <w:rsid w:val="0096484B"/>
    <w:rsid w:val="00964B66"/>
    <w:rsid w:val="009653EF"/>
    <w:rsid w:val="0096559D"/>
    <w:rsid w:val="00965C9F"/>
    <w:rsid w:val="00965E5D"/>
    <w:rsid w:val="009661FC"/>
    <w:rsid w:val="0097012C"/>
    <w:rsid w:val="00971F86"/>
    <w:rsid w:val="00973AD9"/>
    <w:rsid w:val="009740EF"/>
    <w:rsid w:val="00974182"/>
    <w:rsid w:val="00975211"/>
    <w:rsid w:val="009767E8"/>
    <w:rsid w:val="00976BE2"/>
    <w:rsid w:val="00976FA6"/>
    <w:rsid w:val="009771F1"/>
    <w:rsid w:val="00977A35"/>
    <w:rsid w:val="00980E0E"/>
    <w:rsid w:val="0098145A"/>
    <w:rsid w:val="00981869"/>
    <w:rsid w:val="00982096"/>
    <w:rsid w:val="00982D1D"/>
    <w:rsid w:val="00983BCF"/>
    <w:rsid w:val="00985D47"/>
    <w:rsid w:val="0098699E"/>
    <w:rsid w:val="00986D14"/>
    <w:rsid w:val="009870F0"/>
    <w:rsid w:val="009870FF"/>
    <w:rsid w:val="00987640"/>
    <w:rsid w:val="009909DE"/>
    <w:rsid w:val="00990C46"/>
    <w:rsid w:val="00990C75"/>
    <w:rsid w:val="0099181A"/>
    <w:rsid w:val="00991C2F"/>
    <w:rsid w:val="00991DFD"/>
    <w:rsid w:val="00993C4D"/>
    <w:rsid w:val="009951E4"/>
    <w:rsid w:val="0099528D"/>
    <w:rsid w:val="00995E5D"/>
    <w:rsid w:val="0099671F"/>
    <w:rsid w:val="009A025F"/>
    <w:rsid w:val="009A0D14"/>
    <w:rsid w:val="009A1ED8"/>
    <w:rsid w:val="009A3F39"/>
    <w:rsid w:val="009A46B2"/>
    <w:rsid w:val="009A56B3"/>
    <w:rsid w:val="009A621D"/>
    <w:rsid w:val="009B0524"/>
    <w:rsid w:val="009B0E1B"/>
    <w:rsid w:val="009B14A8"/>
    <w:rsid w:val="009B36C0"/>
    <w:rsid w:val="009B3B50"/>
    <w:rsid w:val="009B3C41"/>
    <w:rsid w:val="009B47B6"/>
    <w:rsid w:val="009B5860"/>
    <w:rsid w:val="009B59F0"/>
    <w:rsid w:val="009B6D11"/>
    <w:rsid w:val="009B760C"/>
    <w:rsid w:val="009C0FE2"/>
    <w:rsid w:val="009C1E92"/>
    <w:rsid w:val="009C4B35"/>
    <w:rsid w:val="009C4DFC"/>
    <w:rsid w:val="009C540B"/>
    <w:rsid w:val="009C7249"/>
    <w:rsid w:val="009D1131"/>
    <w:rsid w:val="009D1A9D"/>
    <w:rsid w:val="009D38E2"/>
    <w:rsid w:val="009D452B"/>
    <w:rsid w:val="009D5658"/>
    <w:rsid w:val="009D5E2A"/>
    <w:rsid w:val="009D6B15"/>
    <w:rsid w:val="009D6B53"/>
    <w:rsid w:val="009D7D5C"/>
    <w:rsid w:val="009E0607"/>
    <w:rsid w:val="009E205D"/>
    <w:rsid w:val="009E2DB6"/>
    <w:rsid w:val="009E3F09"/>
    <w:rsid w:val="009E49F8"/>
    <w:rsid w:val="009E71DC"/>
    <w:rsid w:val="009E7330"/>
    <w:rsid w:val="009F1217"/>
    <w:rsid w:val="009F3565"/>
    <w:rsid w:val="009F6D5C"/>
    <w:rsid w:val="00A012CF"/>
    <w:rsid w:val="00A0198D"/>
    <w:rsid w:val="00A02F9E"/>
    <w:rsid w:val="00A05929"/>
    <w:rsid w:val="00A07366"/>
    <w:rsid w:val="00A07A38"/>
    <w:rsid w:val="00A11238"/>
    <w:rsid w:val="00A114DE"/>
    <w:rsid w:val="00A1224B"/>
    <w:rsid w:val="00A137DB"/>
    <w:rsid w:val="00A1394F"/>
    <w:rsid w:val="00A13D29"/>
    <w:rsid w:val="00A1437F"/>
    <w:rsid w:val="00A14BCE"/>
    <w:rsid w:val="00A154C2"/>
    <w:rsid w:val="00A15AE1"/>
    <w:rsid w:val="00A15C51"/>
    <w:rsid w:val="00A16EB1"/>
    <w:rsid w:val="00A17518"/>
    <w:rsid w:val="00A220A5"/>
    <w:rsid w:val="00A223CC"/>
    <w:rsid w:val="00A233D5"/>
    <w:rsid w:val="00A24B6C"/>
    <w:rsid w:val="00A25C8E"/>
    <w:rsid w:val="00A25EF5"/>
    <w:rsid w:val="00A2616F"/>
    <w:rsid w:val="00A261F7"/>
    <w:rsid w:val="00A26BD1"/>
    <w:rsid w:val="00A27390"/>
    <w:rsid w:val="00A31282"/>
    <w:rsid w:val="00A315C5"/>
    <w:rsid w:val="00A318B8"/>
    <w:rsid w:val="00A334EB"/>
    <w:rsid w:val="00A353C2"/>
    <w:rsid w:val="00A35F03"/>
    <w:rsid w:val="00A371F1"/>
    <w:rsid w:val="00A40115"/>
    <w:rsid w:val="00A40ACA"/>
    <w:rsid w:val="00A413C3"/>
    <w:rsid w:val="00A4165F"/>
    <w:rsid w:val="00A4201B"/>
    <w:rsid w:val="00A42414"/>
    <w:rsid w:val="00A45638"/>
    <w:rsid w:val="00A45D47"/>
    <w:rsid w:val="00A4643B"/>
    <w:rsid w:val="00A46473"/>
    <w:rsid w:val="00A46DCA"/>
    <w:rsid w:val="00A46F2A"/>
    <w:rsid w:val="00A50A2A"/>
    <w:rsid w:val="00A5223A"/>
    <w:rsid w:val="00A52E4E"/>
    <w:rsid w:val="00A53322"/>
    <w:rsid w:val="00A5604C"/>
    <w:rsid w:val="00A5634F"/>
    <w:rsid w:val="00A60A9E"/>
    <w:rsid w:val="00A62D7D"/>
    <w:rsid w:val="00A643BB"/>
    <w:rsid w:val="00A64887"/>
    <w:rsid w:val="00A64B2D"/>
    <w:rsid w:val="00A6511D"/>
    <w:rsid w:val="00A657AE"/>
    <w:rsid w:val="00A66BDE"/>
    <w:rsid w:val="00A67265"/>
    <w:rsid w:val="00A674FD"/>
    <w:rsid w:val="00A708EA"/>
    <w:rsid w:val="00A70A5D"/>
    <w:rsid w:val="00A7122D"/>
    <w:rsid w:val="00A71D5C"/>
    <w:rsid w:val="00A7215B"/>
    <w:rsid w:val="00A731C9"/>
    <w:rsid w:val="00A74844"/>
    <w:rsid w:val="00A7788C"/>
    <w:rsid w:val="00A80A33"/>
    <w:rsid w:val="00A833BE"/>
    <w:rsid w:val="00A846A7"/>
    <w:rsid w:val="00A85962"/>
    <w:rsid w:val="00A8799E"/>
    <w:rsid w:val="00A908C4"/>
    <w:rsid w:val="00A90B20"/>
    <w:rsid w:val="00A90F32"/>
    <w:rsid w:val="00A90FD1"/>
    <w:rsid w:val="00A914ED"/>
    <w:rsid w:val="00A91DB5"/>
    <w:rsid w:val="00A9306E"/>
    <w:rsid w:val="00A945E6"/>
    <w:rsid w:val="00A94C27"/>
    <w:rsid w:val="00A95A28"/>
    <w:rsid w:val="00AA089F"/>
    <w:rsid w:val="00AA16B0"/>
    <w:rsid w:val="00AA17AB"/>
    <w:rsid w:val="00AA2300"/>
    <w:rsid w:val="00AA2935"/>
    <w:rsid w:val="00AA2D71"/>
    <w:rsid w:val="00AA3538"/>
    <w:rsid w:val="00AA3A0F"/>
    <w:rsid w:val="00AA3BEA"/>
    <w:rsid w:val="00AA48B5"/>
    <w:rsid w:val="00AA5409"/>
    <w:rsid w:val="00AA5746"/>
    <w:rsid w:val="00AB0298"/>
    <w:rsid w:val="00AB0A98"/>
    <w:rsid w:val="00AB1EF7"/>
    <w:rsid w:val="00AB1F3E"/>
    <w:rsid w:val="00AB3BB6"/>
    <w:rsid w:val="00AB42C2"/>
    <w:rsid w:val="00AB4D3B"/>
    <w:rsid w:val="00AB58A7"/>
    <w:rsid w:val="00AB6D95"/>
    <w:rsid w:val="00AB7BE8"/>
    <w:rsid w:val="00AC1E7A"/>
    <w:rsid w:val="00AC4F2B"/>
    <w:rsid w:val="00AC6BB8"/>
    <w:rsid w:val="00AC6D93"/>
    <w:rsid w:val="00AC7039"/>
    <w:rsid w:val="00AD2128"/>
    <w:rsid w:val="00AD274E"/>
    <w:rsid w:val="00AD3718"/>
    <w:rsid w:val="00AD3F93"/>
    <w:rsid w:val="00AD4BB9"/>
    <w:rsid w:val="00AD74BB"/>
    <w:rsid w:val="00AD7E22"/>
    <w:rsid w:val="00AE06B2"/>
    <w:rsid w:val="00AE0F89"/>
    <w:rsid w:val="00AE18FB"/>
    <w:rsid w:val="00AE1E7A"/>
    <w:rsid w:val="00AE572B"/>
    <w:rsid w:val="00AE6FB6"/>
    <w:rsid w:val="00AF00E8"/>
    <w:rsid w:val="00AF0581"/>
    <w:rsid w:val="00AF1D20"/>
    <w:rsid w:val="00AF206A"/>
    <w:rsid w:val="00AF46C1"/>
    <w:rsid w:val="00AF51BD"/>
    <w:rsid w:val="00AF54CB"/>
    <w:rsid w:val="00AF560E"/>
    <w:rsid w:val="00AF6D16"/>
    <w:rsid w:val="00AF7082"/>
    <w:rsid w:val="00AF7C8A"/>
    <w:rsid w:val="00AF7FAC"/>
    <w:rsid w:val="00B000AE"/>
    <w:rsid w:val="00B014A5"/>
    <w:rsid w:val="00B02635"/>
    <w:rsid w:val="00B0296D"/>
    <w:rsid w:val="00B02EB2"/>
    <w:rsid w:val="00B03D49"/>
    <w:rsid w:val="00B045BD"/>
    <w:rsid w:val="00B057CC"/>
    <w:rsid w:val="00B05B26"/>
    <w:rsid w:val="00B06F19"/>
    <w:rsid w:val="00B07990"/>
    <w:rsid w:val="00B10217"/>
    <w:rsid w:val="00B11A39"/>
    <w:rsid w:val="00B1258C"/>
    <w:rsid w:val="00B14BC8"/>
    <w:rsid w:val="00B16FD3"/>
    <w:rsid w:val="00B1730F"/>
    <w:rsid w:val="00B17C0D"/>
    <w:rsid w:val="00B20319"/>
    <w:rsid w:val="00B20559"/>
    <w:rsid w:val="00B21108"/>
    <w:rsid w:val="00B225E4"/>
    <w:rsid w:val="00B231C1"/>
    <w:rsid w:val="00B26678"/>
    <w:rsid w:val="00B2787E"/>
    <w:rsid w:val="00B27D99"/>
    <w:rsid w:val="00B3003B"/>
    <w:rsid w:val="00B31067"/>
    <w:rsid w:val="00B3308D"/>
    <w:rsid w:val="00B330DA"/>
    <w:rsid w:val="00B335BF"/>
    <w:rsid w:val="00B368EE"/>
    <w:rsid w:val="00B36C06"/>
    <w:rsid w:val="00B4192A"/>
    <w:rsid w:val="00B42D9B"/>
    <w:rsid w:val="00B42E5B"/>
    <w:rsid w:val="00B43027"/>
    <w:rsid w:val="00B43665"/>
    <w:rsid w:val="00B4395D"/>
    <w:rsid w:val="00B4528B"/>
    <w:rsid w:val="00B4653C"/>
    <w:rsid w:val="00B47600"/>
    <w:rsid w:val="00B47688"/>
    <w:rsid w:val="00B515DF"/>
    <w:rsid w:val="00B51FB1"/>
    <w:rsid w:val="00B52592"/>
    <w:rsid w:val="00B52B67"/>
    <w:rsid w:val="00B5445D"/>
    <w:rsid w:val="00B606DB"/>
    <w:rsid w:val="00B606E0"/>
    <w:rsid w:val="00B609BE"/>
    <w:rsid w:val="00B6109B"/>
    <w:rsid w:val="00B61C6B"/>
    <w:rsid w:val="00B6240D"/>
    <w:rsid w:val="00B62D32"/>
    <w:rsid w:val="00B645A5"/>
    <w:rsid w:val="00B655F1"/>
    <w:rsid w:val="00B65C4C"/>
    <w:rsid w:val="00B70678"/>
    <w:rsid w:val="00B70D77"/>
    <w:rsid w:val="00B71CDE"/>
    <w:rsid w:val="00B7504B"/>
    <w:rsid w:val="00B756D3"/>
    <w:rsid w:val="00B763C5"/>
    <w:rsid w:val="00B769BD"/>
    <w:rsid w:val="00B77893"/>
    <w:rsid w:val="00B80184"/>
    <w:rsid w:val="00B80D4D"/>
    <w:rsid w:val="00B818ED"/>
    <w:rsid w:val="00B82D78"/>
    <w:rsid w:val="00B84658"/>
    <w:rsid w:val="00B85EDA"/>
    <w:rsid w:val="00B90F4D"/>
    <w:rsid w:val="00B915A8"/>
    <w:rsid w:val="00B92CC3"/>
    <w:rsid w:val="00B93CDF"/>
    <w:rsid w:val="00B94811"/>
    <w:rsid w:val="00BA08C8"/>
    <w:rsid w:val="00BA1DE6"/>
    <w:rsid w:val="00BA2E7F"/>
    <w:rsid w:val="00BA5243"/>
    <w:rsid w:val="00BA65B0"/>
    <w:rsid w:val="00BA7B9D"/>
    <w:rsid w:val="00BB0E4C"/>
    <w:rsid w:val="00BB1EA0"/>
    <w:rsid w:val="00BB2C1D"/>
    <w:rsid w:val="00BB2D2D"/>
    <w:rsid w:val="00BB34FD"/>
    <w:rsid w:val="00BB4FB6"/>
    <w:rsid w:val="00BB51A7"/>
    <w:rsid w:val="00BB5A06"/>
    <w:rsid w:val="00BB6447"/>
    <w:rsid w:val="00BB6F42"/>
    <w:rsid w:val="00BC0DAA"/>
    <w:rsid w:val="00BC2097"/>
    <w:rsid w:val="00BC4090"/>
    <w:rsid w:val="00BC59AE"/>
    <w:rsid w:val="00BC6741"/>
    <w:rsid w:val="00BD03CE"/>
    <w:rsid w:val="00BD0428"/>
    <w:rsid w:val="00BD128E"/>
    <w:rsid w:val="00BD2A48"/>
    <w:rsid w:val="00BD3755"/>
    <w:rsid w:val="00BD4F61"/>
    <w:rsid w:val="00BD6A49"/>
    <w:rsid w:val="00BD76A2"/>
    <w:rsid w:val="00BD7AFF"/>
    <w:rsid w:val="00BE0F69"/>
    <w:rsid w:val="00BE1397"/>
    <w:rsid w:val="00BE1DC6"/>
    <w:rsid w:val="00BE2873"/>
    <w:rsid w:val="00BE2C32"/>
    <w:rsid w:val="00BE38C9"/>
    <w:rsid w:val="00BE4FE0"/>
    <w:rsid w:val="00BE5014"/>
    <w:rsid w:val="00BE56ED"/>
    <w:rsid w:val="00BE650A"/>
    <w:rsid w:val="00BE6C80"/>
    <w:rsid w:val="00BE7B05"/>
    <w:rsid w:val="00BF00E7"/>
    <w:rsid w:val="00BF1BEF"/>
    <w:rsid w:val="00BF307C"/>
    <w:rsid w:val="00BF354B"/>
    <w:rsid w:val="00BF619C"/>
    <w:rsid w:val="00BF759B"/>
    <w:rsid w:val="00C02598"/>
    <w:rsid w:val="00C0540F"/>
    <w:rsid w:val="00C057D4"/>
    <w:rsid w:val="00C05F51"/>
    <w:rsid w:val="00C06F30"/>
    <w:rsid w:val="00C072E8"/>
    <w:rsid w:val="00C078D6"/>
    <w:rsid w:val="00C11248"/>
    <w:rsid w:val="00C112D2"/>
    <w:rsid w:val="00C1392F"/>
    <w:rsid w:val="00C14BBD"/>
    <w:rsid w:val="00C15FB5"/>
    <w:rsid w:val="00C15FD9"/>
    <w:rsid w:val="00C175CE"/>
    <w:rsid w:val="00C21309"/>
    <w:rsid w:val="00C22000"/>
    <w:rsid w:val="00C22664"/>
    <w:rsid w:val="00C24313"/>
    <w:rsid w:val="00C254CF"/>
    <w:rsid w:val="00C278DB"/>
    <w:rsid w:val="00C3062C"/>
    <w:rsid w:val="00C31301"/>
    <w:rsid w:val="00C3151A"/>
    <w:rsid w:val="00C32101"/>
    <w:rsid w:val="00C33E3A"/>
    <w:rsid w:val="00C344EF"/>
    <w:rsid w:val="00C3547D"/>
    <w:rsid w:val="00C35DE3"/>
    <w:rsid w:val="00C367AB"/>
    <w:rsid w:val="00C36B33"/>
    <w:rsid w:val="00C40B93"/>
    <w:rsid w:val="00C44816"/>
    <w:rsid w:val="00C46285"/>
    <w:rsid w:val="00C47985"/>
    <w:rsid w:val="00C512CA"/>
    <w:rsid w:val="00C51529"/>
    <w:rsid w:val="00C51E7C"/>
    <w:rsid w:val="00C52026"/>
    <w:rsid w:val="00C5298E"/>
    <w:rsid w:val="00C53624"/>
    <w:rsid w:val="00C53DFE"/>
    <w:rsid w:val="00C54291"/>
    <w:rsid w:val="00C54C7B"/>
    <w:rsid w:val="00C54DFA"/>
    <w:rsid w:val="00C558F9"/>
    <w:rsid w:val="00C56076"/>
    <w:rsid w:val="00C57546"/>
    <w:rsid w:val="00C60204"/>
    <w:rsid w:val="00C605C2"/>
    <w:rsid w:val="00C61BBB"/>
    <w:rsid w:val="00C62B91"/>
    <w:rsid w:val="00C63CA9"/>
    <w:rsid w:val="00C7082F"/>
    <w:rsid w:val="00C7283B"/>
    <w:rsid w:val="00C73C71"/>
    <w:rsid w:val="00C778CD"/>
    <w:rsid w:val="00C801A1"/>
    <w:rsid w:val="00C80DD2"/>
    <w:rsid w:val="00C80EFA"/>
    <w:rsid w:val="00C81D40"/>
    <w:rsid w:val="00C81FB3"/>
    <w:rsid w:val="00C82839"/>
    <w:rsid w:val="00C82DB1"/>
    <w:rsid w:val="00C8354B"/>
    <w:rsid w:val="00C83E4E"/>
    <w:rsid w:val="00C83E55"/>
    <w:rsid w:val="00C861AE"/>
    <w:rsid w:val="00C86F3C"/>
    <w:rsid w:val="00C87734"/>
    <w:rsid w:val="00C877D2"/>
    <w:rsid w:val="00C9081B"/>
    <w:rsid w:val="00C92A2E"/>
    <w:rsid w:val="00C951A3"/>
    <w:rsid w:val="00C95C06"/>
    <w:rsid w:val="00C97231"/>
    <w:rsid w:val="00C977FE"/>
    <w:rsid w:val="00CA1CD8"/>
    <w:rsid w:val="00CA2737"/>
    <w:rsid w:val="00CA3BF3"/>
    <w:rsid w:val="00CA3DF6"/>
    <w:rsid w:val="00CA5FC0"/>
    <w:rsid w:val="00CA7E41"/>
    <w:rsid w:val="00CB09A2"/>
    <w:rsid w:val="00CB1147"/>
    <w:rsid w:val="00CB1810"/>
    <w:rsid w:val="00CB1DB0"/>
    <w:rsid w:val="00CB3843"/>
    <w:rsid w:val="00CB4826"/>
    <w:rsid w:val="00CB562F"/>
    <w:rsid w:val="00CB5D09"/>
    <w:rsid w:val="00CB632F"/>
    <w:rsid w:val="00CB6352"/>
    <w:rsid w:val="00CC2528"/>
    <w:rsid w:val="00CC4272"/>
    <w:rsid w:val="00CC47F4"/>
    <w:rsid w:val="00CC5339"/>
    <w:rsid w:val="00CC777A"/>
    <w:rsid w:val="00CC795E"/>
    <w:rsid w:val="00CD06DF"/>
    <w:rsid w:val="00CD0B71"/>
    <w:rsid w:val="00CD1265"/>
    <w:rsid w:val="00CD2643"/>
    <w:rsid w:val="00CD362C"/>
    <w:rsid w:val="00CD5A56"/>
    <w:rsid w:val="00CD7236"/>
    <w:rsid w:val="00CE1F4C"/>
    <w:rsid w:val="00CE2AD1"/>
    <w:rsid w:val="00CE2D8A"/>
    <w:rsid w:val="00CE3733"/>
    <w:rsid w:val="00CE4B11"/>
    <w:rsid w:val="00CE579F"/>
    <w:rsid w:val="00CF10FB"/>
    <w:rsid w:val="00CF13EB"/>
    <w:rsid w:val="00CF1950"/>
    <w:rsid w:val="00CF1D79"/>
    <w:rsid w:val="00CF2DE6"/>
    <w:rsid w:val="00CF2FD8"/>
    <w:rsid w:val="00CF3419"/>
    <w:rsid w:val="00CF3C71"/>
    <w:rsid w:val="00CF4DC9"/>
    <w:rsid w:val="00CF505A"/>
    <w:rsid w:val="00CF76DF"/>
    <w:rsid w:val="00D0206E"/>
    <w:rsid w:val="00D02CBA"/>
    <w:rsid w:val="00D044AB"/>
    <w:rsid w:val="00D04B94"/>
    <w:rsid w:val="00D05519"/>
    <w:rsid w:val="00D059A3"/>
    <w:rsid w:val="00D0738D"/>
    <w:rsid w:val="00D104AB"/>
    <w:rsid w:val="00D11C58"/>
    <w:rsid w:val="00D12628"/>
    <w:rsid w:val="00D12C39"/>
    <w:rsid w:val="00D132A2"/>
    <w:rsid w:val="00D13737"/>
    <w:rsid w:val="00D13E7A"/>
    <w:rsid w:val="00D14498"/>
    <w:rsid w:val="00D156E3"/>
    <w:rsid w:val="00D23869"/>
    <w:rsid w:val="00D26768"/>
    <w:rsid w:val="00D32F82"/>
    <w:rsid w:val="00D33A4C"/>
    <w:rsid w:val="00D370B2"/>
    <w:rsid w:val="00D377F1"/>
    <w:rsid w:val="00D37BC7"/>
    <w:rsid w:val="00D40780"/>
    <w:rsid w:val="00D41226"/>
    <w:rsid w:val="00D41503"/>
    <w:rsid w:val="00D417F2"/>
    <w:rsid w:val="00D4189C"/>
    <w:rsid w:val="00D42AAE"/>
    <w:rsid w:val="00D43670"/>
    <w:rsid w:val="00D46107"/>
    <w:rsid w:val="00D469A7"/>
    <w:rsid w:val="00D46C9B"/>
    <w:rsid w:val="00D47AE2"/>
    <w:rsid w:val="00D50216"/>
    <w:rsid w:val="00D50A43"/>
    <w:rsid w:val="00D52412"/>
    <w:rsid w:val="00D5284E"/>
    <w:rsid w:val="00D5532D"/>
    <w:rsid w:val="00D564B0"/>
    <w:rsid w:val="00D565AD"/>
    <w:rsid w:val="00D56F59"/>
    <w:rsid w:val="00D57708"/>
    <w:rsid w:val="00D6060D"/>
    <w:rsid w:val="00D62323"/>
    <w:rsid w:val="00D629ED"/>
    <w:rsid w:val="00D63152"/>
    <w:rsid w:val="00D637D1"/>
    <w:rsid w:val="00D6468C"/>
    <w:rsid w:val="00D647DC"/>
    <w:rsid w:val="00D677F0"/>
    <w:rsid w:val="00D71055"/>
    <w:rsid w:val="00D7144A"/>
    <w:rsid w:val="00D71717"/>
    <w:rsid w:val="00D71772"/>
    <w:rsid w:val="00D71E88"/>
    <w:rsid w:val="00D720F4"/>
    <w:rsid w:val="00D7376C"/>
    <w:rsid w:val="00D74E95"/>
    <w:rsid w:val="00D75DB6"/>
    <w:rsid w:val="00D77032"/>
    <w:rsid w:val="00D770F1"/>
    <w:rsid w:val="00D808B8"/>
    <w:rsid w:val="00D813A1"/>
    <w:rsid w:val="00D819C2"/>
    <w:rsid w:val="00D81D9B"/>
    <w:rsid w:val="00D83DF2"/>
    <w:rsid w:val="00D847A3"/>
    <w:rsid w:val="00D849AD"/>
    <w:rsid w:val="00D85B5E"/>
    <w:rsid w:val="00D86972"/>
    <w:rsid w:val="00D915DC"/>
    <w:rsid w:val="00D92420"/>
    <w:rsid w:val="00D95DE3"/>
    <w:rsid w:val="00D96A0C"/>
    <w:rsid w:val="00D972B3"/>
    <w:rsid w:val="00DA0C38"/>
    <w:rsid w:val="00DA1EA7"/>
    <w:rsid w:val="00DA25F5"/>
    <w:rsid w:val="00DA27DE"/>
    <w:rsid w:val="00DA28A2"/>
    <w:rsid w:val="00DA39D3"/>
    <w:rsid w:val="00DA5EE8"/>
    <w:rsid w:val="00DA7039"/>
    <w:rsid w:val="00DA7D48"/>
    <w:rsid w:val="00DB1DDC"/>
    <w:rsid w:val="00DB2239"/>
    <w:rsid w:val="00DB3AF7"/>
    <w:rsid w:val="00DB4E7A"/>
    <w:rsid w:val="00DB55B1"/>
    <w:rsid w:val="00DB5610"/>
    <w:rsid w:val="00DB5C46"/>
    <w:rsid w:val="00DB5D53"/>
    <w:rsid w:val="00DB627A"/>
    <w:rsid w:val="00DB6FEF"/>
    <w:rsid w:val="00DB739B"/>
    <w:rsid w:val="00DB7D5B"/>
    <w:rsid w:val="00DC00F2"/>
    <w:rsid w:val="00DC0CF8"/>
    <w:rsid w:val="00DC1242"/>
    <w:rsid w:val="00DC1256"/>
    <w:rsid w:val="00DC166E"/>
    <w:rsid w:val="00DC302C"/>
    <w:rsid w:val="00DC32AA"/>
    <w:rsid w:val="00DC3CC1"/>
    <w:rsid w:val="00DC4CF7"/>
    <w:rsid w:val="00DC65AF"/>
    <w:rsid w:val="00DC6B42"/>
    <w:rsid w:val="00DC7C95"/>
    <w:rsid w:val="00DD2DE8"/>
    <w:rsid w:val="00DD4CA7"/>
    <w:rsid w:val="00DD546A"/>
    <w:rsid w:val="00DD615A"/>
    <w:rsid w:val="00DD70C9"/>
    <w:rsid w:val="00DD7247"/>
    <w:rsid w:val="00DE134F"/>
    <w:rsid w:val="00DE1B2D"/>
    <w:rsid w:val="00DE1ED1"/>
    <w:rsid w:val="00DE2296"/>
    <w:rsid w:val="00DE4257"/>
    <w:rsid w:val="00DE4996"/>
    <w:rsid w:val="00DE4CE3"/>
    <w:rsid w:val="00DE5898"/>
    <w:rsid w:val="00DE6EBF"/>
    <w:rsid w:val="00DE7B58"/>
    <w:rsid w:val="00DF13FE"/>
    <w:rsid w:val="00DF1CB0"/>
    <w:rsid w:val="00DF21D4"/>
    <w:rsid w:val="00DF394B"/>
    <w:rsid w:val="00DF3A5D"/>
    <w:rsid w:val="00DF3DD1"/>
    <w:rsid w:val="00DF40D9"/>
    <w:rsid w:val="00DF55CB"/>
    <w:rsid w:val="00DF6C06"/>
    <w:rsid w:val="00E00BFD"/>
    <w:rsid w:val="00E00C8A"/>
    <w:rsid w:val="00E01F79"/>
    <w:rsid w:val="00E02D3D"/>
    <w:rsid w:val="00E052C1"/>
    <w:rsid w:val="00E055AF"/>
    <w:rsid w:val="00E05A0C"/>
    <w:rsid w:val="00E07262"/>
    <w:rsid w:val="00E12A61"/>
    <w:rsid w:val="00E12B1B"/>
    <w:rsid w:val="00E14123"/>
    <w:rsid w:val="00E15A5C"/>
    <w:rsid w:val="00E16329"/>
    <w:rsid w:val="00E16FDB"/>
    <w:rsid w:val="00E172EA"/>
    <w:rsid w:val="00E224B7"/>
    <w:rsid w:val="00E2399F"/>
    <w:rsid w:val="00E262F4"/>
    <w:rsid w:val="00E265F7"/>
    <w:rsid w:val="00E26607"/>
    <w:rsid w:val="00E3019E"/>
    <w:rsid w:val="00E30325"/>
    <w:rsid w:val="00E30911"/>
    <w:rsid w:val="00E31B57"/>
    <w:rsid w:val="00E33A99"/>
    <w:rsid w:val="00E33D21"/>
    <w:rsid w:val="00E35426"/>
    <w:rsid w:val="00E3760F"/>
    <w:rsid w:val="00E405A0"/>
    <w:rsid w:val="00E409A7"/>
    <w:rsid w:val="00E41824"/>
    <w:rsid w:val="00E4372E"/>
    <w:rsid w:val="00E4393F"/>
    <w:rsid w:val="00E44322"/>
    <w:rsid w:val="00E44686"/>
    <w:rsid w:val="00E44C2C"/>
    <w:rsid w:val="00E4551E"/>
    <w:rsid w:val="00E4641B"/>
    <w:rsid w:val="00E466AC"/>
    <w:rsid w:val="00E475D1"/>
    <w:rsid w:val="00E505C3"/>
    <w:rsid w:val="00E50C16"/>
    <w:rsid w:val="00E5117F"/>
    <w:rsid w:val="00E538E0"/>
    <w:rsid w:val="00E55DBE"/>
    <w:rsid w:val="00E564BD"/>
    <w:rsid w:val="00E62BE5"/>
    <w:rsid w:val="00E66246"/>
    <w:rsid w:val="00E66419"/>
    <w:rsid w:val="00E66D36"/>
    <w:rsid w:val="00E67A36"/>
    <w:rsid w:val="00E67EBE"/>
    <w:rsid w:val="00E67F6A"/>
    <w:rsid w:val="00E71919"/>
    <w:rsid w:val="00E72B4D"/>
    <w:rsid w:val="00E769C7"/>
    <w:rsid w:val="00E76DAC"/>
    <w:rsid w:val="00E80596"/>
    <w:rsid w:val="00E82E24"/>
    <w:rsid w:val="00E83857"/>
    <w:rsid w:val="00E859DE"/>
    <w:rsid w:val="00E86C96"/>
    <w:rsid w:val="00E877E7"/>
    <w:rsid w:val="00E878E8"/>
    <w:rsid w:val="00E90463"/>
    <w:rsid w:val="00E93035"/>
    <w:rsid w:val="00E939FC"/>
    <w:rsid w:val="00E9482D"/>
    <w:rsid w:val="00E95A30"/>
    <w:rsid w:val="00E96A73"/>
    <w:rsid w:val="00E96ED6"/>
    <w:rsid w:val="00E975EA"/>
    <w:rsid w:val="00EA0235"/>
    <w:rsid w:val="00EA1666"/>
    <w:rsid w:val="00EA1F86"/>
    <w:rsid w:val="00EA2691"/>
    <w:rsid w:val="00EA375A"/>
    <w:rsid w:val="00EA52AD"/>
    <w:rsid w:val="00EA78D5"/>
    <w:rsid w:val="00EB075B"/>
    <w:rsid w:val="00EB1428"/>
    <w:rsid w:val="00EB1F1D"/>
    <w:rsid w:val="00EB4057"/>
    <w:rsid w:val="00EB4EE3"/>
    <w:rsid w:val="00EB65D5"/>
    <w:rsid w:val="00EB6ECD"/>
    <w:rsid w:val="00EB72A6"/>
    <w:rsid w:val="00EC0A38"/>
    <w:rsid w:val="00EC0C15"/>
    <w:rsid w:val="00EC1082"/>
    <w:rsid w:val="00EC27AA"/>
    <w:rsid w:val="00EC2969"/>
    <w:rsid w:val="00EC325F"/>
    <w:rsid w:val="00EC4A1C"/>
    <w:rsid w:val="00EC4C79"/>
    <w:rsid w:val="00EC7513"/>
    <w:rsid w:val="00ED0CB1"/>
    <w:rsid w:val="00ED1B92"/>
    <w:rsid w:val="00ED1DD3"/>
    <w:rsid w:val="00ED2738"/>
    <w:rsid w:val="00ED2B02"/>
    <w:rsid w:val="00ED30E4"/>
    <w:rsid w:val="00ED3A99"/>
    <w:rsid w:val="00ED5A40"/>
    <w:rsid w:val="00ED61E3"/>
    <w:rsid w:val="00ED671B"/>
    <w:rsid w:val="00ED7EFB"/>
    <w:rsid w:val="00EE1E0B"/>
    <w:rsid w:val="00EE256B"/>
    <w:rsid w:val="00EE2F1A"/>
    <w:rsid w:val="00EE3144"/>
    <w:rsid w:val="00EE3E1F"/>
    <w:rsid w:val="00EE3FFE"/>
    <w:rsid w:val="00EE4063"/>
    <w:rsid w:val="00EE45FB"/>
    <w:rsid w:val="00EE5FC6"/>
    <w:rsid w:val="00EE6498"/>
    <w:rsid w:val="00EF063D"/>
    <w:rsid w:val="00EF069A"/>
    <w:rsid w:val="00EF0A6C"/>
    <w:rsid w:val="00EF0B6F"/>
    <w:rsid w:val="00EF2A6B"/>
    <w:rsid w:val="00EF3BB3"/>
    <w:rsid w:val="00EF3DB1"/>
    <w:rsid w:val="00EF4003"/>
    <w:rsid w:val="00EF4B46"/>
    <w:rsid w:val="00EF7D94"/>
    <w:rsid w:val="00F00870"/>
    <w:rsid w:val="00F01352"/>
    <w:rsid w:val="00F013D6"/>
    <w:rsid w:val="00F02394"/>
    <w:rsid w:val="00F02661"/>
    <w:rsid w:val="00F030C8"/>
    <w:rsid w:val="00F03616"/>
    <w:rsid w:val="00F041FA"/>
    <w:rsid w:val="00F043B9"/>
    <w:rsid w:val="00F0462A"/>
    <w:rsid w:val="00F04848"/>
    <w:rsid w:val="00F04C46"/>
    <w:rsid w:val="00F057E9"/>
    <w:rsid w:val="00F06FDE"/>
    <w:rsid w:val="00F116B6"/>
    <w:rsid w:val="00F1238D"/>
    <w:rsid w:val="00F12550"/>
    <w:rsid w:val="00F1283F"/>
    <w:rsid w:val="00F16BA1"/>
    <w:rsid w:val="00F21969"/>
    <w:rsid w:val="00F21AB8"/>
    <w:rsid w:val="00F22122"/>
    <w:rsid w:val="00F23F89"/>
    <w:rsid w:val="00F26EA9"/>
    <w:rsid w:val="00F27112"/>
    <w:rsid w:val="00F2766E"/>
    <w:rsid w:val="00F3008B"/>
    <w:rsid w:val="00F30A00"/>
    <w:rsid w:val="00F32A0B"/>
    <w:rsid w:val="00F32D03"/>
    <w:rsid w:val="00F33B71"/>
    <w:rsid w:val="00F34F2B"/>
    <w:rsid w:val="00F36C09"/>
    <w:rsid w:val="00F37631"/>
    <w:rsid w:val="00F407EF"/>
    <w:rsid w:val="00F40925"/>
    <w:rsid w:val="00F410E6"/>
    <w:rsid w:val="00F4115A"/>
    <w:rsid w:val="00F41164"/>
    <w:rsid w:val="00F417D2"/>
    <w:rsid w:val="00F41945"/>
    <w:rsid w:val="00F42812"/>
    <w:rsid w:val="00F43404"/>
    <w:rsid w:val="00F45376"/>
    <w:rsid w:val="00F47713"/>
    <w:rsid w:val="00F47BD5"/>
    <w:rsid w:val="00F50EE3"/>
    <w:rsid w:val="00F513C8"/>
    <w:rsid w:val="00F551B0"/>
    <w:rsid w:val="00F5668B"/>
    <w:rsid w:val="00F61EB6"/>
    <w:rsid w:val="00F632E9"/>
    <w:rsid w:val="00F633DA"/>
    <w:rsid w:val="00F63D56"/>
    <w:rsid w:val="00F64610"/>
    <w:rsid w:val="00F64687"/>
    <w:rsid w:val="00F64CE8"/>
    <w:rsid w:val="00F64EFD"/>
    <w:rsid w:val="00F66C27"/>
    <w:rsid w:val="00F67F3D"/>
    <w:rsid w:val="00F718C5"/>
    <w:rsid w:val="00F73B53"/>
    <w:rsid w:val="00F73DD9"/>
    <w:rsid w:val="00F744E1"/>
    <w:rsid w:val="00F7524F"/>
    <w:rsid w:val="00F75D1B"/>
    <w:rsid w:val="00F765AC"/>
    <w:rsid w:val="00F76E33"/>
    <w:rsid w:val="00F771B3"/>
    <w:rsid w:val="00F80DA2"/>
    <w:rsid w:val="00F8168C"/>
    <w:rsid w:val="00F81D2C"/>
    <w:rsid w:val="00F82BD7"/>
    <w:rsid w:val="00F83B65"/>
    <w:rsid w:val="00F84E05"/>
    <w:rsid w:val="00F92089"/>
    <w:rsid w:val="00F9471C"/>
    <w:rsid w:val="00F9478A"/>
    <w:rsid w:val="00F94EEE"/>
    <w:rsid w:val="00F951C3"/>
    <w:rsid w:val="00F96852"/>
    <w:rsid w:val="00F97B7C"/>
    <w:rsid w:val="00FA0256"/>
    <w:rsid w:val="00FA2F93"/>
    <w:rsid w:val="00FA58B4"/>
    <w:rsid w:val="00FA5A74"/>
    <w:rsid w:val="00FA68C9"/>
    <w:rsid w:val="00FB0416"/>
    <w:rsid w:val="00FB156C"/>
    <w:rsid w:val="00FB26A2"/>
    <w:rsid w:val="00FB2875"/>
    <w:rsid w:val="00FB548E"/>
    <w:rsid w:val="00FB5962"/>
    <w:rsid w:val="00FB60EF"/>
    <w:rsid w:val="00FB7EB8"/>
    <w:rsid w:val="00FB7FB6"/>
    <w:rsid w:val="00FB963C"/>
    <w:rsid w:val="00FC24D0"/>
    <w:rsid w:val="00FC2B26"/>
    <w:rsid w:val="00FC2F18"/>
    <w:rsid w:val="00FC323C"/>
    <w:rsid w:val="00FC3A84"/>
    <w:rsid w:val="00FC448E"/>
    <w:rsid w:val="00FC521D"/>
    <w:rsid w:val="00FC5BC9"/>
    <w:rsid w:val="00FC6AA1"/>
    <w:rsid w:val="00FC74A8"/>
    <w:rsid w:val="00FD04ED"/>
    <w:rsid w:val="00FD0EAC"/>
    <w:rsid w:val="00FD11AF"/>
    <w:rsid w:val="00FD1450"/>
    <w:rsid w:val="00FD18D5"/>
    <w:rsid w:val="00FD1FCB"/>
    <w:rsid w:val="00FD2036"/>
    <w:rsid w:val="00FD3B7F"/>
    <w:rsid w:val="00FD4C68"/>
    <w:rsid w:val="00FD54FA"/>
    <w:rsid w:val="00FD5B56"/>
    <w:rsid w:val="00FD5D35"/>
    <w:rsid w:val="00FD600B"/>
    <w:rsid w:val="00FD68CD"/>
    <w:rsid w:val="00FD7CB1"/>
    <w:rsid w:val="00FD7DAA"/>
    <w:rsid w:val="00FE0244"/>
    <w:rsid w:val="00FE0F2E"/>
    <w:rsid w:val="00FE1102"/>
    <w:rsid w:val="00FE23F1"/>
    <w:rsid w:val="00FE2441"/>
    <w:rsid w:val="00FE5026"/>
    <w:rsid w:val="00FE66E8"/>
    <w:rsid w:val="00FE6753"/>
    <w:rsid w:val="00FE7494"/>
    <w:rsid w:val="00FF126C"/>
    <w:rsid w:val="00FF182A"/>
    <w:rsid w:val="00FF2426"/>
    <w:rsid w:val="00FF3F31"/>
    <w:rsid w:val="00FF3FCE"/>
    <w:rsid w:val="00FF6D52"/>
    <w:rsid w:val="00FF7713"/>
    <w:rsid w:val="00FF7AB7"/>
    <w:rsid w:val="01AF40E0"/>
    <w:rsid w:val="02788A1B"/>
    <w:rsid w:val="047BEA2A"/>
    <w:rsid w:val="04A6D13C"/>
    <w:rsid w:val="04C4A287"/>
    <w:rsid w:val="05FED4CF"/>
    <w:rsid w:val="06681E05"/>
    <w:rsid w:val="06CB49A9"/>
    <w:rsid w:val="0724C000"/>
    <w:rsid w:val="07946800"/>
    <w:rsid w:val="0987FAD5"/>
    <w:rsid w:val="0A325AC0"/>
    <w:rsid w:val="0B38F396"/>
    <w:rsid w:val="0BE7A598"/>
    <w:rsid w:val="0BF70233"/>
    <w:rsid w:val="0CCA2ACE"/>
    <w:rsid w:val="0D06491C"/>
    <w:rsid w:val="0D17D417"/>
    <w:rsid w:val="0D5D1CCD"/>
    <w:rsid w:val="0DBEA7FD"/>
    <w:rsid w:val="0E45120E"/>
    <w:rsid w:val="0F20C21D"/>
    <w:rsid w:val="0F905F85"/>
    <w:rsid w:val="0F9ED300"/>
    <w:rsid w:val="11078396"/>
    <w:rsid w:val="13969B5B"/>
    <w:rsid w:val="144B9E7C"/>
    <w:rsid w:val="14997E27"/>
    <w:rsid w:val="14CEFFAC"/>
    <w:rsid w:val="1515477D"/>
    <w:rsid w:val="15306162"/>
    <w:rsid w:val="157E116D"/>
    <w:rsid w:val="18282DCF"/>
    <w:rsid w:val="19ABE065"/>
    <w:rsid w:val="1AE6BCC5"/>
    <w:rsid w:val="1AFA1A7A"/>
    <w:rsid w:val="1C691A3A"/>
    <w:rsid w:val="1DDB50B5"/>
    <w:rsid w:val="1E412AB6"/>
    <w:rsid w:val="1E449529"/>
    <w:rsid w:val="1F3C42BC"/>
    <w:rsid w:val="1F6FF415"/>
    <w:rsid w:val="209E0D9B"/>
    <w:rsid w:val="211DA760"/>
    <w:rsid w:val="2205A893"/>
    <w:rsid w:val="2247D6D0"/>
    <w:rsid w:val="22F3B8C7"/>
    <w:rsid w:val="230327E0"/>
    <w:rsid w:val="2341835D"/>
    <w:rsid w:val="23B8BEA7"/>
    <w:rsid w:val="24423F7E"/>
    <w:rsid w:val="24A1CDDA"/>
    <w:rsid w:val="2512BEC1"/>
    <w:rsid w:val="25B3771C"/>
    <w:rsid w:val="25F4A895"/>
    <w:rsid w:val="26DD1DC6"/>
    <w:rsid w:val="27BDB364"/>
    <w:rsid w:val="28197D2C"/>
    <w:rsid w:val="2852D14A"/>
    <w:rsid w:val="28C473D6"/>
    <w:rsid w:val="2912672B"/>
    <w:rsid w:val="29C39779"/>
    <w:rsid w:val="2CB9B7B7"/>
    <w:rsid w:val="2DEAEF91"/>
    <w:rsid w:val="2E4D68BC"/>
    <w:rsid w:val="2FFDE00E"/>
    <w:rsid w:val="31324CF9"/>
    <w:rsid w:val="31462354"/>
    <w:rsid w:val="31B79347"/>
    <w:rsid w:val="32E30D04"/>
    <w:rsid w:val="335951AA"/>
    <w:rsid w:val="34D1E7FD"/>
    <w:rsid w:val="375EAA32"/>
    <w:rsid w:val="37E3D42C"/>
    <w:rsid w:val="399D46BF"/>
    <w:rsid w:val="39A55920"/>
    <w:rsid w:val="39B76B78"/>
    <w:rsid w:val="39F7971B"/>
    <w:rsid w:val="3A262159"/>
    <w:rsid w:val="3B50009C"/>
    <w:rsid w:val="3CDCF9E2"/>
    <w:rsid w:val="3CECD2F8"/>
    <w:rsid w:val="3D1B99E5"/>
    <w:rsid w:val="3E19C705"/>
    <w:rsid w:val="3E708515"/>
    <w:rsid w:val="4033E24D"/>
    <w:rsid w:val="4044EB7B"/>
    <w:rsid w:val="437C2003"/>
    <w:rsid w:val="4445F1AB"/>
    <w:rsid w:val="449CB50D"/>
    <w:rsid w:val="44CC29D0"/>
    <w:rsid w:val="44ECF2EE"/>
    <w:rsid w:val="4635FC3A"/>
    <w:rsid w:val="46CCAF3C"/>
    <w:rsid w:val="46D668EB"/>
    <w:rsid w:val="46D87380"/>
    <w:rsid w:val="46EFA2A4"/>
    <w:rsid w:val="46FB96AF"/>
    <w:rsid w:val="475C25DC"/>
    <w:rsid w:val="477D926D"/>
    <w:rsid w:val="48B74FD2"/>
    <w:rsid w:val="49CA4505"/>
    <w:rsid w:val="49EEABA1"/>
    <w:rsid w:val="4A4DF4DB"/>
    <w:rsid w:val="4A541E31"/>
    <w:rsid w:val="4CE63381"/>
    <w:rsid w:val="4EFEB0EA"/>
    <w:rsid w:val="4F9AD56C"/>
    <w:rsid w:val="4FADB30E"/>
    <w:rsid w:val="5050C4AD"/>
    <w:rsid w:val="53AFC6E1"/>
    <w:rsid w:val="543B3E1F"/>
    <w:rsid w:val="54B9ADA1"/>
    <w:rsid w:val="553A68D5"/>
    <w:rsid w:val="55930E95"/>
    <w:rsid w:val="56EB5DF6"/>
    <w:rsid w:val="57207DD1"/>
    <w:rsid w:val="5755F06A"/>
    <w:rsid w:val="579BA3BD"/>
    <w:rsid w:val="5926A266"/>
    <w:rsid w:val="5ACA5E79"/>
    <w:rsid w:val="5D2E13DB"/>
    <w:rsid w:val="5D9F8C5B"/>
    <w:rsid w:val="5EFEA834"/>
    <w:rsid w:val="6006D544"/>
    <w:rsid w:val="62B6EEC3"/>
    <w:rsid w:val="63CD49E3"/>
    <w:rsid w:val="63E9D91C"/>
    <w:rsid w:val="6533D1E7"/>
    <w:rsid w:val="654A8F1D"/>
    <w:rsid w:val="65E2F5C6"/>
    <w:rsid w:val="66DB86D0"/>
    <w:rsid w:val="6721F0E8"/>
    <w:rsid w:val="68779B71"/>
    <w:rsid w:val="6B0F4522"/>
    <w:rsid w:val="6E17E6B9"/>
    <w:rsid w:val="6E209D8D"/>
    <w:rsid w:val="6FE37D74"/>
    <w:rsid w:val="704C528D"/>
    <w:rsid w:val="7107D67E"/>
    <w:rsid w:val="71303ED7"/>
    <w:rsid w:val="720C3B2E"/>
    <w:rsid w:val="73289FEC"/>
    <w:rsid w:val="73C44298"/>
    <w:rsid w:val="73CBCB1C"/>
    <w:rsid w:val="747A91A0"/>
    <w:rsid w:val="7570C631"/>
    <w:rsid w:val="761ADB5D"/>
    <w:rsid w:val="76E533AE"/>
    <w:rsid w:val="76F88097"/>
    <w:rsid w:val="791B59A8"/>
    <w:rsid w:val="7ABD818F"/>
    <w:rsid w:val="7B2A2BB5"/>
    <w:rsid w:val="7B432BD9"/>
    <w:rsid w:val="7BD2D196"/>
    <w:rsid w:val="7C1E8549"/>
    <w:rsid w:val="7E1C9269"/>
    <w:rsid w:val="7E1C9CDB"/>
    <w:rsid w:val="7E90D26E"/>
    <w:rsid w:val="7FD79B55"/>
    <w:rsid w:val="7FF5B29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9842E3B"/>
  <w15:docId w15:val="{E24CF5DD-8EFF-47AF-9919-A117B4D3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9FC"/>
    <w:pPr>
      <w:widowControl w:val="0"/>
    </w:pPr>
    <w:rPr>
      <w:snapToGrid w:val="0"/>
      <w:kern w:val="28"/>
      <w:sz w:val="22"/>
    </w:rPr>
  </w:style>
  <w:style w:type="paragraph" w:styleId="Heading1">
    <w:name w:val="heading 1"/>
    <w:basedOn w:val="Normal"/>
    <w:next w:val="ParaNum"/>
    <w:qFormat/>
    <w:rsid w:val="00E939F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939FC"/>
    <w:pPr>
      <w:keepNext/>
      <w:numPr>
        <w:ilvl w:val="1"/>
        <w:numId w:val="3"/>
      </w:numPr>
      <w:spacing w:after="120"/>
      <w:outlineLvl w:val="1"/>
    </w:pPr>
    <w:rPr>
      <w:b/>
    </w:rPr>
  </w:style>
  <w:style w:type="paragraph" w:styleId="Heading3">
    <w:name w:val="heading 3"/>
    <w:basedOn w:val="Normal"/>
    <w:next w:val="ParaNum"/>
    <w:qFormat/>
    <w:rsid w:val="00E939FC"/>
    <w:pPr>
      <w:keepNext/>
      <w:numPr>
        <w:ilvl w:val="2"/>
        <w:numId w:val="3"/>
      </w:numPr>
      <w:tabs>
        <w:tab w:val="left" w:pos="2160"/>
      </w:tabs>
      <w:spacing w:after="120"/>
      <w:outlineLvl w:val="2"/>
    </w:pPr>
    <w:rPr>
      <w:b/>
    </w:rPr>
  </w:style>
  <w:style w:type="paragraph" w:styleId="Heading4">
    <w:name w:val="heading 4"/>
    <w:basedOn w:val="Normal"/>
    <w:next w:val="ParaNum"/>
    <w:qFormat/>
    <w:rsid w:val="00E939FC"/>
    <w:pPr>
      <w:keepNext/>
      <w:numPr>
        <w:ilvl w:val="3"/>
        <w:numId w:val="3"/>
      </w:numPr>
      <w:tabs>
        <w:tab w:val="left" w:pos="2880"/>
      </w:tabs>
      <w:spacing w:after="120"/>
      <w:outlineLvl w:val="3"/>
    </w:pPr>
    <w:rPr>
      <w:b/>
    </w:rPr>
  </w:style>
  <w:style w:type="paragraph" w:styleId="Heading5">
    <w:name w:val="heading 5"/>
    <w:basedOn w:val="Normal"/>
    <w:next w:val="ParaNum"/>
    <w:qFormat/>
    <w:rsid w:val="00E939F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939FC"/>
    <w:pPr>
      <w:numPr>
        <w:ilvl w:val="5"/>
        <w:numId w:val="3"/>
      </w:numPr>
      <w:tabs>
        <w:tab w:val="left" w:pos="4320"/>
      </w:tabs>
      <w:spacing w:after="120"/>
      <w:outlineLvl w:val="5"/>
    </w:pPr>
    <w:rPr>
      <w:b/>
    </w:rPr>
  </w:style>
  <w:style w:type="paragraph" w:styleId="Heading7">
    <w:name w:val="heading 7"/>
    <w:basedOn w:val="Normal"/>
    <w:next w:val="ParaNum"/>
    <w:qFormat/>
    <w:rsid w:val="00E939F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939F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939F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E939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939FC"/>
  </w:style>
  <w:style w:type="paragraph" w:customStyle="1" w:styleId="ParaNum">
    <w:name w:val="ParaNum"/>
    <w:basedOn w:val="Normal"/>
    <w:rsid w:val="00E939FC"/>
    <w:pPr>
      <w:numPr>
        <w:numId w:val="2"/>
      </w:numPr>
      <w:tabs>
        <w:tab w:val="clear" w:pos="1080"/>
        <w:tab w:val="num" w:pos="1440"/>
      </w:tabs>
      <w:spacing w:after="120"/>
    </w:pPr>
  </w:style>
  <w:style w:type="paragraph" w:styleId="EndnoteText">
    <w:name w:val="endnote text"/>
    <w:basedOn w:val="Normal"/>
    <w:semiHidden/>
    <w:rsid w:val="00E939FC"/>
    <w:rPr>
      <w:sz w:val="20"/>
    </w:rPr>
  </w:style>
  <w:style w:type="character" w:styleId="EndnoteReference">
    <w:name w:val="endnote reference"/>
    <w:semiHidden/>
    <w:rsid w:val="00E939FC"/>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E939FC"/>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E939FC"/>
    <w:rPr>
      <w:rFonts w:ascii="Times New Roman" w:hAnsi="Times New Roman"/>
      <w:dstrike w:val="0"/>
      <w:color w:val="auto"/>
      <w:sz w:val="22"/>
      <w:vertAlign w:val="superscript"/>
    </w:rPr>
  </w:style>
  <w:style w:type="paragraph" w:styleId="TOC1">
    <w:name w:val="toc 1"/>
    <w:basedOn w:val="Normal"/>
    <w:next w:val="Normal"/>
    <w:uiPriority w:val="39"/>
    <w:rsid w:val="00E939F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939FC"/>
    <w:pPr>
      <w:tabs>
        <w:tab w:val="left" w:pos="720"/>
        <w:tab w:val="right" w:leader="dot" w:pos="9360"/>
      </w:tabs>
      <w:suppressAutoHyphens/>
      <w:ind w:left="720" w:right="720" w:hanging="360"/>
    </w:pPr>
    <w:rPr>
      <w:noProof/>
    </w:rPr>
  </w:style>
  <w:style w:type="paragraph" w:styleId="TOC3">
    <w:name w:val="toc 3"/>
    <w:basedOn w:val="Normal"/>
    <w:next w:val="Normal"/>
    <w:semiHidden/>
    <w:rsid w:val="00E939F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939F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939F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939F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939F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939F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939F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939FC"/>
    <w:pPr>
      <w:tabs>
        <w:tab w:val="right" w:pos="9360"/>
      </w:tabs>
      <w:suppressAutoHyphens/>
    </w:pPr>
  </w:style>
  <w:style w:type="character" w:customStyle="1" w:styleId="EquationCaption">
    <w:name w:val="_Equation Caption"/>
    <w:rsid w:val="00E939FC"/>
  </w:style>
  <w:style w:type="paragraph" w:styleId="Header">
    <w:name w:val="header"/>
    <w:basedOn w:val="Normal"/>
    <w:autoRedefine/>
    <w:rsid w:val="00E939FC"/>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E939FC"/>
    <w:pPr>
      <w:tabs>
        <w:tab w:val="center" w:pos="4320"/>
        <w:tab w:val="right" w:pos="8640"/>
      </w:tabs>
    </w:pPr>
  </w:style>
  <w:style w:type="character" w:styleId="PageNumber">
    <w:name w:val="page number"/>
    <w:basedOn w:val="DefaultParagraphFont"/>
    <w:rsid w:val="00E939FC"/>
  </w:style>
  <w:style w:type="paragraph" w:styleId="BlockText">
    <w:name w:val="Block Text"/>
    <w:basedOn w:val="Normal"/>
    <w:rsid w:val="00E939FC"/>
    <w:pPr>
      <w:spacing w:after="240"/>
      <w:ind w:left="1440" w:right="1440"/>
    </w:pPr>
  </w:style>
  <w:style w:type="paragraph" w:customStyle="1" w:styleId="Paratitle">
    <w:name w:val="Para title"/>
    <w:basedOn w:val="Normal"/>
    <w:rsid w:val="00E939FC"/>
    <w:pPr>
      <w:tabs>
        <w:tab w:val="center" w:pos="9270"/>
      </w:tabs>
      <w:spacing w:after="240"/>
    </w:pPr>
    <w:rPr>
      <w:spacing w:val="-2"/>
    </w:rPr>
  </w:style>
  <w:style w:type="paragraph" w:customStyle="1" w:styleId="Bullet">
    <w:name w:val="Bullet"/>
    <w:basedOn w:val="Normal"/>
    <w:rsid w:val="00E939FC"/>
    <w:pPr>
      <w:numPr>
        <w:numId w:val="1"/>
      </w:numPr>
      <w:tabs>
        <w:tab w:val="clear" w:pos="360"/>
        <w:tab w:val="left" w:pos="2160"/>
      </w:tabs>
      <w:spacing w:after="220"/>
      <w:ind w:left="2160" w:hanging="720"/>
    </w:pPr>
  </w:style>
  <w:style w:type="paragraph" w:customStyle="1" w:styleId="TableFormat">
    <w:name w:val="TableFormat"/>
    <w:basedOn w:val="Bullet"/>
    <w:rsid w:val="00E939FC"/>
    <w:pPr>
      <w:numPr>
        <w:numId w:val="0"/>
      </w:numPr>
      <w:tabs>
        <w:tab w:val="clear" w:pos="2160"/>
        <w:tab w:val="left" w:pos="5040"/>
      </w:tabs>
      <w:ind w:left="5040" w:hanging="3600"/>
    </w:pPr>
  </w:style>
  <w:style w:type="paragraph" w:customStyle="1" w:styleId="TOCTitle">
    <w:name w:val="TOC Title"/>
    <w:basedOn w:val="Normal"/>
    <w:rsid w:val="00E939F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939FC"/>
    <w:pPr>
      <w:jc w:val="center"/>
    </w:pPr>
    <w:rPr>
      <w:rFonts w:ascii="Times New Roman Bold" w:hAnsi="Times New Roman Bold"/>
      <w:b/>
      <w:bCs/>
      <w:caps/>
      <w:szCs w:val="22"/>
    </w:rPr>
  </w:style>
  <w:style w:type="character" w:styleId="Hyperlink">
    <w:name w:val="Hyperlink"/>
    <w:rsid w:val="00E939FC"/>
    <w:rPr>
      <w:color w:val="0000FF"/>
      <w:u w:val="single"/>
    </w:rPr>
  </w:style>
  <w:style w:type="character" w:customStyle="1" w:styleId="FooterChar">
    <w:name w:val="Footer Char"/>
    <w:link w:val="Footer"/>
    <w:uiPriority w:val="99"/>
    <w:rsid w:val="00E939FC"/>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F97B7C"/>
  </w:style>
  <w:style w:type="table" w:styleId="TableGrid">
    <w:name w:val="Table Grid"/>
    <w:basedOn w:val="TableNormal"/>
    <w:uiPriority w:val="59"/>
    <w:rsid w:val="00D4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E0F89"/>
    <w:rPr>
      <w:sz w:val="16"/>
      <w:szCs w:val="16"/>
    </w:rPr>
  </w:style>
  <w:style w:type="paragraph" w:styleId="CommentText">
    <w:name w:val="annotation text"/>
    <w:basedOn w:val="Normal"/>
    <w:link w:val="CommentTextChar"/>
    <w:uiPriority w:val="99"/>
    <w:unhideWhenUsed/>
    <w:rsid w:val="00AE0F89"/>
    <w:rPr>
      <w:sz w:val="20"/>
    </w:rPr>
  </w:style>
  <w:style w:type="character" w:customStyle="1" w:styleId="CommentTextChar">
    <w:name w:val="Comment Text Char"/>
    <w:link w:val="CommentText"/>
    <w:uiPriority w:val="99"/>
    <w:rsid w:val="00AE0F89"/>
    <w:rPr>
      <w:snapToGrid w:val="0"/>
      <w:kern w:val="28"/>
    </w:rPr>
  </w:style>
  <w:style w:type="paragraph" w:styleId="CommentSubject">
    <w:name w:val="annotation subject"/>
    <w:basedOn w:val="CommentText"/>
    <w:next w:val="CommentText"/>
    <w:link w:val="CommentSubjectChar"/>
    <w:uiPriority w:val="99"/>
    <w:semiHidden/>
    <w:unhideWhenUsed/>
    <w:rsid w:val="00AE0F89"/>
    <w:rPr>
      <w:b/>
      <w:bCs/>
    </w:rPr>
  </w:style>
  <w:style w:type="character" w:customStyle="1" w:styleId="CommentSubjectChar">
    <w:name w:val="Comment Subject Char"/>
    <w:link w:val="CommentSubject"/>
    <w:uiPriority w:val="99"/>
    <w:semiHidden/>
    <w:rsid w:val="00AE0F89"/>
    <w:rPr>
      <w:b/>
      <w:bCs/>
      <w:snapToGrid w:val="0"/>
      <w:kern w:val="28"/>
    </w:rPr>
  </w:style>
  <w:style w:type="paragraph" w:customStyle="1" w:styleId="xmsonormal">
    <w:name w:val="x_msonormal"/>
    <w:basedOn w:val="Normal"/>
    <w:rsid w:val="008E720D"/>
    <w:pPr>
      <w:widowControl/>
      <w:spacing w:before="100" w:beforeAutospacing="1" w:after="100" w:afterAutospacing="1"/>
    </w:pPr>
    <w:rPr>
      <w:rFonts w:ascii="Calibri" w:eastAsia="Calibri" w:hAnsi="Calibri" w:cs="Calibri"/>
      <w:snapToGrid/>
      <w:kern w:val="0"/>
      <w:szCs w:val="22"/>
    </w:rPr>
  </w:style>
  <w:style w:type="character" w:customStyle="1" w:styleId="FootnoteTextChar1CharChar2">
    <w:name w:val="Footnote Text Char1 Char Char2"/>
    <w:aliases w:val="Footnote Text Char Char Char Char Char Char2,Footnote Text Char Char Char Char2,Footnote Text Char1 Char Char Char Char2,Styl Char1,Style 5 Char Char Char2,f Char1,rrfootnote Char Char Char2"/>
    <w:rsid w:val="00BD04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7DBA"/>
    <w:rPr>
      <w:rFonts w:ascii="Tahoma" w:hAnsi="Tahoma" w:cs="Tahoma"/>
      <w:sz w:val="16"/>
      <w:szCs w:val="16"/>
    </w:rPr>
  </w:style>
  <w:style w:type="character" w:customStyle="1" w:styleId="BalloonTextChar">
    <w:name w:val="Balloon Text Char"/>
    <w:basedOn w:val="DefaultParagraphFont"/>
    <w:link w:val="BalloonText"/>
    <w:uiPriority w:val="99"/>
    <w:semiHidden/>
    <w:rsid w:val="00797DBA"/>
    <w:rPr>
      <w:rFonts w:ascii="Tahoma" w:hAnsi="Tahoma" w:cs="Tahoma"/>
      <w:snapToGrid w:val="0"/>
      <w:kern w:val="28"/>
      <w:sz w:val="16"/>
      <w:szCs w:val="16"/>
    </w:rPr>
  </w:style>
  <w:style w:type="paragraph" w:styleId="Revision">
    <w:name w:val="Revision"/>
    <w:hidden/>
    <w:uiPriority w:val="99"/>
    <w:semiHidden/>
    <w:rsid w:val="008E18F4"/>
    <w:rPr>
      <w:snapToGrid w:val="0"/>
      <w:kern w:val="28"/>
      <w:sz w:val="22"/>
    </w:rPr>
  </w:style>
  <w:style w:type="paragraph" w:styleId="ListParagraph">
    <w:name w:val="List Paragraph"/>
    <w:basedOn w:val="Normal"/>
    <w:uiPriority w:val="34"/>
    <w:qFormat/>
    <w:rsid w:val="00431BAF"/>
    <w:pPr>
      <w:ind w:left="720"/>
      <w:contextualSpacing/>
    </w:pPr>
  </w:style>
  <w:style w:type="character" w:customStyle="1" w:styleId="UnresolvedMention2">
    <w:name w:val="Unresolved Mention2"/>
    <w:basedOn w:val="DefaultParagraphFont"/>
    <w:uiPriority w:val="99"/>
    <w:semiHidden/>
    <w:unhideWhenUsed/>
    <w:rsid w:val="00040A2A"/>
    <w:rPr>
      <w:color w:val="605E5C"/>
      <w:shd w:val="clear" w:color="auto" w:fill="E1DFDD"/>
    </w:rPr>
  </w:style>
  <w:style w:type="character" w:customStyle="1" w:styleId="UnresolvedMention3">
    <w:name w:val="Unresolved Mention3"/>
    <w:basedOn w:val="DefaultParagraphFont"/>
    <w:uiPriority w:val="99"/>
    <w:semiHidden/>
    <w:unhideWhenUsed/>
    <w:rsid w:val="00E66419"/>
    <w:rPr>
      <w:color w:val="605E5C"/>
      <w:shd w:val="clear" w:color="auto" w:fill="E1DFDD"/>
    </w:rPr>
  </w:style>
  <w:style w:type="character" w:customStyle="1" w:styleId="UnresolvedMention4">
    <w:name w:val="Unresolved Mention4"/>
    <w:basedOn w:val="DefaultParagraphFont"/>
    <w:uiPriority w:val="99"/>
    <w:semiHidden/>
    <w:unhideWhenUsed/>
    <w:rsid w:val="004E08E7"/>
    <w:rPr>
      <w:color w:val="605E5C"/>
      <w:shd w:val="clear" w:color="auto" w:fill="E1DFDD"/>
    </w:rPr>
  </w:style>
  <w:style w:type="character" w:styleId="UnresolvedMention">
    <w:name w:val="Unresolved Mention"/>
    <w:uiPriority w:val="99"/>
    <w:semiHidden/>
    <w:unhideWhenUsed/>
    <w:rsid w:val="00E939FC"/>
    <w:rPr>
      <w:color w:val="605E5C"/>
      <w:shd w:val="clear" w:color="auto" w:fill="E1DFDD"/>
    </w:rPr>
  </w:style>
  <w:style w:type="paragraph" w:customStyle="1" w:styleId="Default">
    <w:name w:val="Default"/>
    <w:rsid w:val="00C7283B"/>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D50216"/>
    <w:rPr>
      <w:color w:val="954F72" w:themeColor="followedHyperlink"/>
      <w:u w:val="single"/>
    </w:rPr>
  </w:style>
  <w:style w:type="character" w:customStyle="1" w:styleId="ui-provider">
    <w:name w:val="ui-provider"/>
    <w:basedOn w:val="DefaultParagraphFont"/>
    <w:rsid w:val="00A25EF5"/>
  </w:style>
  <w:style w:type="paragraph" w:styleId="BodyText">
    <w:name w:val="Body Text"/>
    <w:basedOn w:val="Normal"/>
    <w:link w:val="BodyTextChar"/>
    <w:autoRedefine/>
    <w:uiPriority w:val="99"/>
    <w:unhideWhenUsed/>
    <w:qFormat/>
    <w:rsid w:val="00F12550"/>
    <w:pPr>
      <w:widowControl/>
      <w:spacing w:after="120"/>
    </w:pPr>
    <w:rPr>
      <w:snapToGrid/>
      <w:kern w:val="0"/>
      <w:szCs w:val="24"/>
    </w:rPr>
  </w:style>
  <w:style w:type="character" w:customStyle="1" w:styleId="BodyTextChar">
    <w:name w:val="Body Text Char"/>
    <w:basedOn w:val="DefaultParagraphFont"/>
    <w:link w:val="BodyText"/>
    <w:uiPriority w:val="99"/>
    <w:rsid w:val="00F12550"/>
    <w:rPr>
      <w:sz w:val="22"/>
      <w:szCs w:val="24"/>
    </w:rPr>
  </w:style>
  <w:style w:type="character" w:styleId="Mention">
    <w:name w:val="Mention"/>
    <w:basedOn w:val="DefaultParagraphFont"/>
    <w:uiPriority w:val="99"/>
    <w:unhideWhenUsed/>
    <w:rsid w:val="006E423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Daniel.Stepanicich@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robocall-facilitators-must-cease-and-desist" TargetMode="External" /><Relationship Id="rId2" Type="http://schemas.openxmlformats.org/officeDocument/2006/relationships/hyperlink" Target="https://www.fcc.gov/consumers/guides/stop-unwanted-robocalls-and-texts" TargetMode="External" /><Relationship Id="rId3" Type="http://schemas.openxmlformats.org/officeDocument/2006/relationships/hyperlink" Target="https://www.youmail.com/home/corp/about" TargetMode="External" /><Relationship Id="rId4" Type="http://schemas.openxmlformats.org/officeDocument/2006/relationships/hyperlink" Target="https://app.sigmacomputing.com/youmailinc/workbook/WIP-FCC-Data-3WjF7WzxccSDY0GZLd94k2?:nodeId=kGKxIWquiy&amp;:explore=15f47884-9548-453b-8c42-cc24a4753839" TargetMode="External" /><Relationship Id="rId5" Type="http://schemas.openxmlformats.org/officeDocument/2006/relationships/hyperlink" Target="https://www.irs.gov/newsroom/2024-tax-filing-season-set-for-january-29-irs-continues-to-make-improvements-to-help-taxpayers" TargetMode="External" /><Relationship Id="rId6" Type="http://schemas.openxmlformats.org/officeDocument/2006/relationships/hyperlink" Target="https://www.irs.gov/taxtopics/tc20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