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A49F0" w:rsidRPr="00184097" w:rsidP="001A49F0" w14:paraId="7D38C8F1" w14:textId="77777777">
      <w:pPr>
        <w:ind w:left="3600" w:firstLine="720"/>
        <w:rPr>
          <w:b/>
          <w:szCs w:val="22"/>
        </w:rPr>
      </w:pPr>
      <w:r w:rsidRPr="00184097">
        <w:rPr>
          <w:b/>
          <w:szCs w:val="22"/>
        </w:rPr>
        <w:t>Before the</w:t>
      </w:r>
    </w:p>
    <w:p w:rsidR="001A49F0" w:rsidRPr="00184097" w:rsidP="001A49F0" w14:paraId="0681CEC0" w14:textId="77777777">
      <w:pPr>
        <w:jc w:val="center"/>
        <w:rPr>
          <w:b/>
          <w:szCs w:val="22"/>
        </w:rPr>
      </w:pPr>
      <w:r w:rsidRPr="00184097">
        <w:rPr>
          <w:b/>
          <w:szCs w:val="22"/>
        </w:rPr>
        <w:t>Federal Communications Commission</w:t>
      </w:r>
    </w:p>
    <w:p w:rsidR="001A49F0" w:rsidRPr="00184097" w:rsidP="001A49F0" w14:paraId="3CE53F57" w14:textId="77777777">
      <w:pPr>
        <w:jc w:val="center"/>
        <w:rPr>
          <w:b/>
          <w:szCs w:val="22"/>
        </w:rPr>
      </w:pPr>
      <w:r w:rsidRPr="00184097">
        <w:rPr>
          <w:b/>
          <w:szCs w:val="22"/>
        </w:rPr>
        <w:t>Washington, D.C.  20554</w:t>
      </w:r>
    </w:p>
    <w:p w:rsidR="001A49F0" w:rsidRPr="00184097" w:rsidP="001A49F0" w14:paraId="41BBD129" w14:textId="77777777">
      <w:pPr>
        <w:rPr>
          <w:szCs w:val="22"/>
        </w:rPr>
      </w:pPr>
    </w:p>
    <w:tbl>
      <w:tblPr>
        <w:tblW w:w="9684" w:type="dxa"/>
        <w:tblLayout w:type="fixed"/>
        <w:tblLook w:val="0000"/>
      </w:tblPr>
      <w:tblGrid>
        <w:gridCol w:w="108"/>
        <w:gridCol w:w="4590"/>
        <w:gridCol w:w="108"/>
        <w:gridCol w:w="612"/>
        <w:gridCol w:w="18"/>
        <w:gridCol w:w="4212"/>
        <w:gridCol w:w="36"/>
      </w:tblGrid>
      <w:tr w14:paraId="21D4CC1D" w14:textId="77777777" w:rsidTr="00DB0A32">
        <w:tblPrEx>
          <w:tblW w:w="9684" w:type="dxa"/>
          <w:tblLayout w:type="fixed"/>
          <w:tblLook w:val="0000"/>
        </w:tblPrEx>
        <w:trPr>
          <w:gridBefore w:val="1"/>
          <w:wBefore w:w="108" w:type="dxa"/>
        </w:trPr>
        <w:tc>
          <w:tcPr>
            <w:tcW w:w="4698" w:type="dxa"/>
            <w:gridSpan w:val="2"/>
          </w:tcPr>
          <w:p w:rsidR="001A49F0" w:rsidRPr="00184097" w:rsidP="00DB0A32" w14:paraId="5D53E297" w14:textId="77777777">
            <w:pPr>
              <w:tabs>
                <w:tab w:val="center" w:pos="4680"/>
              </w:tabs>
              <w:rPr>
                <w:spacing w:val="-2"/>
                <w:szCs w:val="22"/>
              </w:rPr>
            </w:pPr>
            <w:r w:rsidRPr="00184097">
              <w:rPr>
                <w:spacing w:val="-2"/>
                <w:szCs w:val="22"/>
              </w:rPr>
              <w:t xml:space="preserve">In re Applications of  </w:t>
            </w:r>
          </w:p>
          <w:p w:rsidR="001A49F0" w:rsidRPr="00184097" w:rsidP="00DB0A32" w14:paraId="7628ACBE" w14:textId="77777777">
            <w:pPr>
              <w:tabs>
                <w:tab w:val="center" w:pos="4680"/>
              </w:tabs>
              <w:rPr>
                <w:spacing w:val="-2"/>
                <w:szCs w:val="22"/>
              </w:rPr>
            </w:pPr>
          </w:p>
          <w:p w:rsidR="001A49F0" w:rsidRPr="00184097" w:rsidP="00DB0A32" w14:paraId="1177F8D3" w14:textId="77777777">
            <w:pPr>
              <w:tabs>
                <w:tab w:val="center" w:pos="4680"/>
              </w:tabs>
              <w:rPr>
                <w:szCs w:val="22"/>
              </w:rPr>
            </w:pPr>
            <w:r w:rsidRPr="00184097">
              <w:rPr>
                <w:szCs w:val="22"/>
              </w:rPr>
              <w:t>Prairie Public Broadcasting, Inc.</w:t>
            </w:r>
          </w:p>
          <w:p w:rsidR="001A49F0" w:rsidRPr="00184097" w:rsidP="00DB0A32" w14:paraId="42917D9C" w14:textId="77777777">
            <w:pPr>
              <w:tabs>
                <w:tab w:val="center" w:pos="4680"/>
              </w:tabs>
              <w:rPr>
                <w:spacing w:val="-2"/>
                <w:szCs w:val="22"/>
              </w:rPr>
            </w:pPr>
          </w:p>
          <w:p w:rsidR="001A49F0" w:rsidRPr="00184097" w:rsidP="00DB0A32" w14:paraId="628CA409" w14:textId="77777777">
            <w:pPr>
              <w:tabs>
                <w:tab w:val="center" w:pos="4680"/>
              </w:tabs>
              <w:rPr>
                <w:spacing w:val="-2"/>
                <w:szCs w:val="22"/>
              </w:rPr>
            </w:pPr>
            <w:r w:rsidRPr="00184097">
              <w:rPr>
                <w:spacing w:val="-2"/>
                <w:szCs w:val="22"/>
              </w:rPr>
              <w:t>For Renewal of License for</w:t>
            </w:r>
          </w:p>
          <w:p w:rsidR="001A49F0" w:rsidRPr="00184097" w:rsidP="00DB0A32" w14:paraId="487DC95B" w14:textId="77777777">
            <w:pPr>
              <w:tabs>
                <w:tab w:val="center" w:pos="4680"/>
              </w:tabs>
              <w:rPr>
                <w:spacing w:val="-2"/>
                <w:szCs w:val="22"/>
              </w:rPr>
            </w:pPr>
            <w:r w:rsidRPr="00184097">
              <w:rPr>
                <w:spacing w:val="-2"/>
                <w:szCs w:val="22"/>
              </w:rPr>
              <w:t>Stations KBME-TV, Bismark, ND; KCGE-DT, Crookston, MN; KMDE(TV), Devils Lake, ND; KSRE(TV), Minot, ND; KWSE(TV), Williston, ND; KJRE(TV), Ellendale, ND; and KFME(TV), Fargo, ND</w:t>
            </w:r>
          </w:p>
        </w:tc>
        <w:tc>
          <w:tcPr>
            <w:tcW w:w="630" w:type="dxa"/>
            <w:gridSpan w:val="2"/>
          </w:tcPr>
          <w:p w:rsidR="001A49F0" w:rsidRPr="00184097" w:rsidP="00DB0A32" w14:paraId="1CA28AF7" w14:textId="77777777">
            <w:pPr>
              <w:tabs>
                <w:tab w:val="center" w:pos="4680"/>
              </w:tabs>
              <w:rPr>
                <w:b/>
                <w:spacing w:val="-2"/>
                <w:szCs w:val="22"/>
              </w:rPr>
            </w:pPr>
            <w:r w:rsidRPr="00184097">
              <w:rPr>
                <w:b/>
                <w:spacing w:val="-2"/>
                <w:szCs w:val="22"/>
              </w:rPr>
              <w:t>)</w:t>
            </w:r>
          </w:p>
          <w:p w:rsidR="001A49F0" w:rsidRPr="00184097" w:rsidP="00DB0A32" w14:paraId="22B9F695" w14:textId="77777777">
            <w:pPr>
              <w:tabs>
                <w:tab w:val="center" w:pos="4680"/>
              </w:tabs>
              <w:rPr>
                <w:b/>
                <w:spacing w:val="-2"/>
                <w:szCs w:val="22"/>
              </w:rPr>
            </w:pPr>
            <w:r w:rsidRPr="00184097">
              <w:rPr>
                <w:b/>
                <w:spacing w:val="-2"/>
                <w:szCs w:val="22"/>
              </w:rPr>
              <w:t>)</w:t>
            </w:r>
          </w:p>
          <w:p w:rsidR="001A49F0" w:rsidRPr="00184097" w:rsidP="00DB0A32" w14:paraId="5335653B" w14:textId="77777777">
            <w:pPr>
              <w:tabs>
                <w:tab w:val="center" w:pos="4680"/>
              </w:tabs>
              <w:rPr>
                <w:b/>
                <w:spacing w:val="-2"/>
                <w:szCs w:val="22"/>
              </w:rPr>
            </w:pPr>
            <w:r w:rsidRPr="00184097">
              <w:rPr>
                <w:b/>
                <w:spacing w:val="-2"/>
                <w:szCs w:val="22"/>
              </w:rPr>
              <w:t>)</w:t>
            </w:r>
          </w:p>
          <w:p w:rsidR="001A49F0" w:rsidRPr="00184097" w:rsidP="00DB0A32" w14:paraId="42795DA1" w14:textId="77777777">
            <w:pPr>
              <w:tabs>
                <w:tab w:val="center" w:pos="4680"/>
              </w:tabs>
              <w:rPr>
                <w:b/>
                <w:spacing w:val="-2"/>
                <w:szCs w:val="22"/>
              </w:rPr>
            </w:pPr>
            <w:r w:rsidRPr="00184097">
              <w:rPr>
                <w:b/>
                <w:spacing w:val="-2"/>
                <w:szCs w:val="22"/>
              </w:rPr>
              <w:t>)</w:t>
            </w:r>
          </w:p>
          <w:p w:rsidR="001A49F0" w:rsidRPr="00184097" w:rsidP="00DB0A32" w14:paraId="4509B11F" w14:textId="77777777">
            <w:pPr>
              <w:tabs>
                <w:tab w:val="center" w:pos="4680"/>
              </w:tabs>
              <w:rPr>
                <w:b/>
                <w:spacing w:val="-2"/>
                <w:szCs w:val="22"/>
              </w:rPr>
            </w:pPr>
            <w:r w:rsidRPr="00184097">
              <w:rPr>
                <w:b/>
                <w:spacing w:val="-2"/>
                <w:szCs w:val="22"/>
              </w:rPr>
              <w:t>)</w:t>
            </w:r>
          </w:p>
          <w:p w:rsidR="001A49F0" w:rsidRPr="00184097" w:rsidP="00DB0A32" w14:paraId="1FDCBE9E" w14:textId="77777777">
            <w:pPr>
              <w:tabs>
                <w:tab w:val="center" w:pos="4680"/>
              </w:tabs>
              <w:rPr>
                <w:b/>
                <w:spacing w:val="-2"/>
                <w:szCs w:val="22"/>
              </w:rPr>
            </w:pPr>
            <w:r w:rsidRPr="00184097">
              <w:rPr>
                <w:b/>
                <w:spacing w:val="-2"/>
                <w:szCs w:val="22"/>
              </w:rPr>
              <w:t>)</w:t>
            </w:r>
          </w:p>
          <w:p w:rsidR="001A49F0" w:rsidRPr="00184097" w:rsidP="00DB0A32" w14:paraId="72896A65" w14:textId="77777777">
            <w:pPr>
              <w:tabs>
                <w:tab w:val="center" w:pos="4680"/>
              </w:tabs>
              <w:rPr>
                <w:b/>
                <w:spacing w:val="-2"/>
                <w:szCs w:val="22"/>
              </w:rPr>
            </w:pPr>
            <w:r w:rsidRPr="00184097">
              <w:rPr>
                <w:b/>
                <w:spacing w:val="-2"/>
                <w:szCs w:val="22"/>
              </w:rPr>
              <w:t>)</w:t>
            </w:r>
          </w:p>
          <w:p w:rsidR="001A49F0" w:rsidRPr="00184097" w:rsidP="00DB0A32" w14:paraId="1CC38AF9" w14:textId="77777777">
            <w:pPr>
              <w:tabs>
                <w:tab w:val="center" w:pos="4680"/>
              </w:tabs>
              <w:rPr>
                <w:b/>
                <w:spacing w:val="-2"/>
                <w:szCs w:val="22"/>
              </w:rPr>
            </w:pPr>
            <w:r w:rsidRPr="00184097">
              <w:rPr>
                <w:b/>
                <w:spacing w:val="-2"/>
                <w:szCs w:val="22"/>
              </w:rPr>
              <w:t>)</w:t>
            </w:r>
          </w:p>
          <w:p w:rsidR="001A49F0" w:rsidRPr="00184097" w:rsidP="00DB0A32" w14:paraId="14B723B0" w14:textId="77777777">
            <w:pPr>
              <w:tabs>
                <w:tab w:val="center" w:pos="4680"/>
              </w:tabs>
              <w:rPr>
                <w:b/>
                <w:spacing w:val="-2"/>
                <w:szCs w:val="22"/>
              </w:rPr>
            </w:pPr>
            <w:r w:rsidRPr="00184097">
              <w:rPr>
                <w:b/>
                <w:spacing w:val="-2"/>
                <w:szCs w:val="22"/>
              </w:rPr>
              <w:t>)</w:t>
            </w:r>
          </w:p>
          <w:p w:rsidR="001A49F0" w:rsidP="00DB0A32" w14:paraId="50E0D760" w14:textId="77777777">
            <w:pPr>
              <w:tabs>
                <w:tab w:val="center" w:pos="4680"/>
              </w:tabs>
              <w:rPr>
                <w:b/>
                <w:spacing w:val="-2"/>
                <w:szCs w:val="22"/>
              </w:rPr>
            </w:pPr>
            <w:r>
              <w:rPr>
                <w:b/>
                <w:spacing w:val="-2"/>
                <w:szCs w:val="22"/>
              </w:rPr>
              <w:t>)</w:t>
            </w:r>
          </w:p>
          <w:p w:rsidR="001A49F0" w:rsidP="00DB0A32" w14:paraId="45E9B76B" w14:textId="77777777">
            <w:pPr>
              <w:tabs>
                <w:tab w:val="center" w:pos="4680"/>
              </w:tabs>
              <w:rPr>
                <w:b/>
                <w:spacing w:val="-2"/>
                <w:szCs w:val="22"/>
              </w:rPr>
            </w:pPr>
            <w:r>
              <w:rPr>
                <w:b/>
                <w:spacing w:val="-2"/>
                <w:szCs w:val="22"/>
              </w:rPr>
              <w:t>)</w:t>
            </w:r>
          </w:p>
          <w:p w:rsidR="002B2805" w:rsidRPr="00184097" w:rsidP="00DB0A32" w14:paraId="5CB35FCE" w14:textId="3CADC983">
            <w:pPr>
              <w:tabs>
                <w:tab w:val="center" w:pos="4680"/>
              </w:tabs>
              <w:rPr>
                <w:b/>
                <w:spacing w:val="-2"/>
                <w:szCs w:val="22"/>
              </w:rPr>
            </w:pPr>
            <w:r>
              <w:rPr>
                <w:b/>
                <w:spacing w:val="-2"/>
                <w:szCs w:val="22"/>
              </w:rPr>
              <w:t>)</w:t>
            </w:r>
          </w:p>
        </w:tc>
        <w:tc>
          <w:tcPr>
            <w:tcW w:w="4248" w:type="dxa"/>
            <w:gridSpan w:val="2"/>
          </w:tcPr>
          <w:p w:rsidR="001A49F0" w:rsidRPr="00184097" w:rsidP="00DB0A32" w14:paraId="686F4B2F" w14:textId="77777777">
            <w:pPr>
              <w:tabs>
                <w:tab w:val="center" w:pos="4680"/>
              </w:tabs>
              <w:rPr>
                <w:spacing w:val="-2"/>
                <w:szCs w:val="22"/>
              </w:rPr>
            </w:pPr>
          </w:p>
          <w:p w:rsidR="001A49F0" w:rsidRPr="00184097" w:rsidP="00DB0A32" w14:paraId="10A432C1" w14:textId="77777777">
            <w:pPr>
              <w:pStyle w:val="TOAHeading"/>
              <w:tabs>
                <w:tab w:val="center" w:pos="4680"/>
                <w:tab w:val="clear" w:pos="9360"/>
              </w:tabs>
              <w:suppressAutoHyphens w:val="0"/>
              <w:rPr>
                <w:spacing w:val="-2"/>
                <w:szCs w:val="22"/>
              </w:rPr>
            </w:pPr>
          </w:p>
          <w:p w:rsidR="001A49F0" w:rsidRPr="00184097" w:rsidP="00DB0A32" w14:paraId="063BC014" w14:textId="77777777">
            <w:pPr>
              <w:pStyle w:val="TOAHeading"/>
              <w:tabs>
                <w:tab w:val="center" w:pos="4680"/>
              </w:tabs>
              <w:suppressAutoHyphens w:val="0"/>
              <w:rPr>
                <w:spacing w:val="-2"/>
                <w:szCs w:val="22"/>
              </w:rPr>
            </w:pPr>
            <w:r w:rsidRPr="00184097">
              <w:rPr>
                <w:spacing w:val="-2"/>
                <w:szCs w:val="22"/>
              </w:rPr>
              <w:t>FRN:  0014558217</w:t>
            </w:r>
          </w:p>
          <w:p w:rsidR="001A49F0" w:rsidRPr="00184097" w:rsidP="00DB0A32" w14:paraId="3D4467F4" w14:textId="2EB9A8A9">
            <w:pPr>
              <w:pStyle w:val="TOAHeading"/>
              <w:tabs>
                <w:tab w:val="center" w:pos="4680"/>
              </w:tabs>
              <w:suppressAutoHyphens w:val="0"/>
              <w:rPr>
                <w:spacing w:val="-2"/>
                <w:szCs w:val="22"/>
              </w:rPr>
            </w:pPr>
            <w:r w:rsidRPr="00184097">
              <w:rPr>
                <w:spacing w:val="-2"/>
                <w:szCs w:val="22"/>
              </w:rPr>
              <w:t xml:space="preserve">NAL/Acct. Nos. </w:t>
            </w:r>
            <w:r>
              <w:rPr>
                <w:spacing w:val="-2"/>
                <w:szCs w:val="22"/>
              </w:rPr>
              <w:t xml:space="preserve">202241420007, 202241420008, 202241420009, 202241420010, and </w:t>
            </w:r>
            <w:r w:rsidR="00476A03">
              <w:rPr>
                <w:spacing w:val="-2"/>
                <w:szCs w:val="22"/>
              </w:rPr>
              <w:t>202441420005</w:t>
            </w:r>
          </w:p>
          <w:p w:rsidR="001A49F0" w:rsidRPr="00184097" w:rsidP="00DB0A32" w14:paraId="0454C752" w14:textId="77777777">
            <w:pPr>
              <w:pStyle w:val="TOAHeading"/>
              <w:tabs>
                <w:tab w:val="center" w:pos="4680"/>
              </w:tabs>
              <w:suppressAutoHyphens w:val="0"/>
              <w:rPr>
                <w:spacing w:val="-2"/>
                <w:szCs w:val="22"/>
              </w:rPr>
            </w:pPr>
            <w:r w:rsidRPr="00184097">
              <w:rPr>
                <w:spacing w:val="-2"/>
                <w:szCs w:val="22"/>
              </w:rPr>
              <w:t>Facility ID Nos. 53324, 132606, 162016, 53313, 53318, 53315, and 53321</w:t>
            </w:r>
          </w:p>
          <w:p w:rsidR="001A49F0" w:rsidRPr="00184097" w:rsidP="00DB0A32" w14:paraId="436F59CC" w14:textId="77777777">
            <w:pPr>
              <w:tabs>
                <w:tab w:val="center" w:pos="4680"/>
              </w:tabs>
              <w:rPr>
                <w:spacing w:val="-2"/>
                <w:szCs w:val="22"/>
              </w:rPr>
            </w:pPr>
            <w:r w:rsidRPr="00184097">
              <w:rPr>
                <w:spacing w:val="-2"/>
                <w:szCs w:val="22"/>
              </w:rPr>
              <w:t>LMS File Nos. 0000171009, 0000171015, 0000171030, 0000171014, 0000171016, 0000171022, and 0000171028</w:t>
            </w:r>
          </w:p>
        </w:tc>
      </w:tr>
      <w:tr w14:paraId="142AB3CF" w14:textId="77777777" w:rsidTr="00DB0A32">
        <w:tblPrEx>
          <w:tblW w:w="9684" w:type="dxa"/>
          <w:tblLayout w:type="fixed"/>
          <w:tblLook w:val="0000"/>
        </w:tblPrEx>
        <w:trPr>
          <w:gridAfter w:val="1"/>
          <w:wAfter w:w="36" w:type="dxa"/>
        </w:trPr>
        <w:tc>
          <w:tcPr>
            <w:tcW w:w="4698" w:type="dxa"/>
            <w:gridSpan w:val="2"/>
          </w:tcPr>
          <w:p w:rsidR="001A49F0" w:rsidRPr="00184097" w:rsidP="00DB0A32" w14:paraId="7BA748AD" w14:textId="77777777">
            <w:pPr>
              <w:ind w:right="-18"/>
              <w:rPr>
                <w:szCs w:val="22"/>
              </w:rPr>
            </w:pPr>
          </w:p>
        </w:tc>
        <w:tc>
          <w:tcPr>
            <w:tcW w:w="720" w:type="dxa"/>
            <w:gridSpan w:val="2"/>
          </w:tcPr>
          <w:p w:rsidR="001A49F0" w:rsidRPr="00184097" w:rsidP="00DB0A32" w14:paraId="5B9C1460" w14:textId="77777777">
            <w:pPr>
              <w:rPr>
                <w:b/>
                <w:szCs w:val="22"/>
              </w:rPr>
            </w:pPr>
          </w:p>
        </w:tc>
        <w:tc>
          <w:tcPr>
            <w:tcW w:w="4230" w:type="dxa"/>
            <w:gridSpan w:val="2"/>
          </w:tcPr>
          <w:p w:rsidR="001A49F0" w:rsidRPr="00184097" w:rsidP="00DB0A32" w14:paraId="0DC686B6" w14:textId="77777777">
            <w:pPr>
              <w:rPr>
                <w:szCs w:val="22"/>
              </w:rPr>
            </w:pPr>
          </w:p>
        </w:tc>
      </w:tr>
    </w:tbl>
    <w:p w:rsidR="001A49F0" w:rsidRPr="00337A5E" w:rsidP="001A49F0" w14:paraId="4540CECF" w14:textId="77777777">
      <w:pPr>
        <w:jc w:val="center"/>
        <w:rPr>
          <w:bCs/>
          <w:szCs w:val="22"/>
        </w:rPr>
      </w:pPr>
      <w:r w:rsidRPr="00A76222">
        <w:rPr>
          <w:b/>
          <w:bCs/>
          <w:szCs w:val="22"/>
        </w:rPr>
        <w:t>ORDER</w:t>
      </w:r>
    </w:p>
    <w:p w:rsidR="001A49F0" w:rsidRPr="00184097" w:rsidP="001A49F0" w14:paraId="624AC765" w14:textId="77777777">
      <w:pPr>
        <w:tabs>
          <w:tab w:val="left" w:pos="4680"/>
        </w:tabs>
        <w:jc w:val="center"/>
        <w:rPr>
          <w:szCs w:val="22"/>
        </w:rPr>
      </w:pPr>
    </w:p>
    <w:p w:rsidR="001A49F0" w:rsidRPr="00184097" w:rsidP="001A49F0" w14:paraId="69D0529E" w14:textId="726396ED">
      <w:pPr>
        <w:tabs>
          <w:tab w:val="left" w:pos="770"/>
          <w:tab w:val="left" w:pos="1430"/>
          <w:tab w:val="left" w:pos="4680"/>
        </w:tabs>
        <w:rPr>
          <w:b/>
          <w:szCs w:val="22"/>
        </w:rPr>
      </w:pPr>
      <w:r w:rsidRPr="00184097">
        <w:rPr>
          <w:b/>
          <w:szCs w:val="22"/>
        </w:rPr>
        <w:t xml:space="preserve">Adopted:  </w:t>
      </w:r>
      <w:r w:rsidR="0025442B">
        <w:rPr>
          <w:b/>
          <w:szCs w:val="22"/>
        </w:rPr>
        <w:t>April</w:t>
      </w:r>
      <w:r w:rsidRPr="00184097">
        <w:rPr>
          <w:b/>
          <w:szCs w:val="22"/>
        </w:rPr>
        <w:t xml:space="preserve"> </w:t>
      </w:r>
      <w:r w:rsidR="00316D90">
        <w:rPr>
          <w:b/>
          <w:szCs w:val="22"/>
        </w:rPr>
        <w:t>11</w:t>
      </w:r>
      <w:r w:rsidRPr="00184097">
        <w:rPr>
          <w:b/>
          <w:szCs w:val="22"/>
        </w:rPr>
        <w:t>, 2024</w:t>
      </w:r>
      <w:r w:rsidRPr="00184097">
        <w:rPr>
          <w:szCs w:val="22"/>
        </w:rPr>
        <w:tab/>
      </w:r>
      <w:r w:rsidRPr="00184097">
        <w:rPr>
          <w:szCs w:val="22"/>
        </w:rPr>
        <w:tab/>
        <w:t xml:space="preserve">                          </w:t>
      </w:r>
      <w:r w:rsidRPr="00184097">
        <w:rPr>
          <w:b/>
          <w:szCs w:val="22"/>
        </w:rPr>
        <w:t xml:space="preserve">Released:  </w:t>
      </w:r>
      <w:r w:rsidR="0025442B">
        <w:rPr>
          <w:b/>
          <w:szCs w:val="22"/>
        </w:rPr>
        <w:t>April</w:t>
      </w:r>
      <w:r w:rsidRPr="00184097">
        <w:rPr>
          <w:b/>
          <w:szCs w:val="22"/>
        </w:rPr>
        <w:t xml:space="preserve"> </w:t>
      </w:r>
      <w:r w:rsidR="00316D90">
        <w:rPr>
          <w:b/>
          <w:szCs w:val="22"/>
        </w:rPr>
        <w:t>11</w:t>
      </w:r>
      <w:r w:rsidRPr="00184097">
        <w:rPr>
          <w:b/>
          <w:szCs w:val="22"/>
        </w:rPr>
        <w:t>, 2024</w:t>
      </w:r>
    </w:p>
    <w:p w:rsidR="001A49F0" w:rsidRPr="00184097" w:rsidP="008F1BF4" w14:paraId="77FE6AEF" w14:textId="77777777">
      <w:pPr>
        <w:pStyle w:val="Header"/>
      </w:pPr>
    </w:p>
    <w:p w:rsidR="001A49F0" w:rsidP="001A49F0" w14:paraId="76595678" w14:textId="77777777">
      <w:pPr>
        <w:tabs>
          <w:tab w:val="left" w:pos="720"/>
          <w:tab w:val="left" w:pos="1430"/>
          <w:tab w:val="left" w:pos="4680"/>
        </w:tabs>
        <w:rPr>
          <w:szCs w:val="22"/>
        </w:rPr>
      </w:pPr>
      <w:r w:rsidRPr="00184097">
        <w:rPr>
          <w:szCs w:val="22"/>
        </w:rPr>
        <w:t>By the Chief, Media Bureau:</w:t>
      </w:r>
    </w:p>
    <w:p w:rsidR="001A49F0" w:rsidRPr="00184097" w:rsidP="001A49F0" w14:paraId="5C573F57" w14:textId="77777777">
      <w:pPr>
        <w:tabs>
          <w:tab w:val="left" w:pos="720"/>
          <w:tab w:val="left" w:pos="1430"/>
          <w:tab w:val="left" w:pos="4680"/>
        </w:tabs>
        <w:rPr>
          <w:szCs w:val="22"/>
        </w:rPr>
      </w:pPr>
    </w:p>
    <w:p w:rsidR="001A49F0" w:rsidRPr="00184097" w:rsidP="001A49F0" w14:paraId="1A25CF4A" w14:textId="77777777">
      <w:pPr>
        <w:pStyle w:val="ParaNum"/>
        <w:ind w:left="90"/>
        <w:rPr>
          <w:szCs w:val="22"/>
        </w:rPr>
      </w:pPr>
      <w:r w:rsidRPr="00184097">
        <w:rPr>
          <w:szCs w:val="22"/>
        </w:rPr>
        <w:t xml:space="preserve">In this Order, we adopt the attached Consent Decree entered into by the Media Bureau (Bureau) and Prairie Public </w:t>
      </w:r>
      <w:r>
        <w:rPr>
          <w:szCs w:val="22"/>
        </w:rPr>
        <w:t>Broadcasting, Inc.</w:t>
      </w:r>
      <w:r w:rsidRPr="00184097">
        <w:rPr>
          <w:szCs w:val="22"/>
        </w:rPr>
        <w:t xml:space="preserve"> (Licensee), licensee of </w:t>
      </w:r>
      <w:r>
        <w:rPr>
          <w:szCs w:val="22"/>
        </w:rPr>
        <w:t>noncommercial educational (NCE) s</w:t>
      </w:r>
      <w:r w:rsidRPr="00184097">
        <w:rPr>
          <w:szCs w:val="22"/>
        </w:rPr>
        <w:t xml:space="preserve">tations </w:t>
      </w:r>
      <w:r w:rsidRPr="00184097">
        <w:rPr>
          <w:spacing w:val="-2"/>
          <w:szCs w:val="22"/>
        </w:rPr>
        <w:t>KBME-TV, Bismark, North Dakota; KCGE-DT, Crookston, Minnesota; KMDE(TV), Devils Lake, North Dakota; KSRE, Minot, North Dakota; KWSE(TV), Williston, North Dakota; KJRE(TV), Ellendale, North Dakota; and KFME(TV), Fargo, North Dakota</w:t>
      </w:r>
      <w:r w:rsidRPr="00184097">
        <w:rPr>
          <w:szCs w:val="22"/>
        </w:rPr>
        <w:t xml:space="preserve"> (Stations).  The Consent Decree resolves issues arising from the Bureau’s review of the captioned license renewal applications (Applications) for the Stations.  In particular, the Consent Decree resolves the Bureau’s investigation </w:t>
      </w:r>
      <w:r>
        <w:rPr>
          <w:szCs w:val="22"/>
        </w:rPr>
        <w:t xml:space="preserve">and forfeiture proceeding involving the </w:t>
      </w:r>
      <w:r w:rsidRPr="00184097">
        <w:rPr>
          <w:szCs w:val="22"/>
        </w:rPr>
        <w:t xml:space="preserve">Licensee’s compliance with section </w:t>
      </w:r>
      <w:r>
        <w:rPr>
          <w:szCs w:val="22"/>
        </w:rPr>
        <w:t>73.3514(a) of the Commission’s rules (Rules),</w:t>
      </w:r>
      <w:r>
        <w:rPr>
          <w:rStyle w:val="FootnoteReference"/>
          <w:szCs w:val="22"/>
        </w:rPr>
        <w:footnoteReference w:id="3"/>
      </w:r>
      <w:r>
        <w:rPr>
          <w:szCs w:val="22"/>
        </w:rPr>
        <w:t xml:space="preserve"> which requires licensee’s to provide all required information in an application,</w:t>
      </w:r>
      <w:r>
        <w:rPr>
          <w:rStyle w:val="FootnoteReference"/>
          <w:szCs w:val="22"/>
        </w:rPr>
        <w:footnoteReference w:id="4"/>
      </w:r>
      <w:r>
        <w:rPr>
          <w:szCs w:val="22"/>
        </w:rPr>
        <w:t xml:space="preserve"> and section </w:t>
      </w:r>
      <w:r w:rsidRPr="00184097">
        <w:rPr>
          <w:szCs w:val="22"/>
        </w:rPr>
        <w:t>73.3527(e)(8) of the Rules,</w:t>
      </w:r>
      <w:r>
        <w:rPr>
          <w:rStyle w:val="FootnoteReference"/>
          <w:sz w:val="22"/>
          <w:szCs w:val="22"/>
        </w:rPr>
        <w:footnoteReference w:id="5"/>
      </w:r>
      <w:r w:rsidRPr="00184097">
        <w:rPr>
          <w:szCs w:val="22"/>
        </w:rPr>
        <w:t xml:space="preserve"> which sets forth the requirement for </w:t>
      </w:r>
      <w:r>
        <w:rPr>
          <w:szCs w:val="22"/>
        </w:rPr>
        <w:t>NCE s</w:t>
      </w:r>
      <w:r w:rsidRPr="00184097">
        <w:rPr>
          <w:szCs w:val="22"/>
        </w:rPr>
        <w:t xml:space="preserve">tations to place quarterly </w:t>
      </w:r>
      <w:r>
        <w:rPr>
          <w:szCs w:val="22"/>
        </w:rPr>
        <w:t>i</w:t>
      </w:r>
      <w:r w:rsidRPr="00184097">
        <w:rPr>
          <w:szCs w:val="22"/>
        </w:rPr>
        <w:t>ssues/</w:t>
      </w:r>
      <w:r>
        <w:rPr>
          <w:szCs w:val="22"/>
        </w:rPr>
        <w:t>p</w:t>
      </w:r>
      <w:r w:rsidRPr="00184097">
        <w:rPr>
          <w:szCs w:val="22"/>
        </w:rPr>
        <w:t>rograms lists in their online public inspection file</w:t>
      </w:r>
      <w:r>
        <w:rPr>
          <w:szCs w:val="22"/>
        </w:rPr>
        <w:t>.</w:t>
      </w:r>
    </w:p>
    <w:p w:rsidR="001A49F0" w:rsidRPr="00184097" w:rsidP="001A49F0" w14:paraId="378E05D4" w14:textId="77777777">
      <w:pPr>
        <w:pStyle w:val="ParaNum"/>
        <w:ind w:left="90"/>
        <w:rPr>
          <w:szCs w:val="22"/>
        </w:rPr>
      </w:pPr>
      <w:r w:rsidRPr="00184097">
        <w:rPr>
          <w:szCs w:val="22"/>
        </w:rPr>
        <w:t>The Bureau and Licensee have negotiated the attached Consent Decree in which Licensee stipulates that it violated section</w:t>
      </w:r>
      <w:r>
        <w:rPr>
          <w:szCs w:val="22"/>
        </w:rPr>
        <w:t>s 73.3514(a) and</w:t>
      </w:r>
      <w:r w:rsidRPr="00184097">
        <w:rPr>
          <w:szCs w:val="22"/>
        </w:rPr>
        <w:t xml:space="preserve"> 73.3527(e)(8) of the Rules and provides that Licensee make a civil penalty payment to the United States Treasury in the amount of eight thousand one hundred and fifty dollars ($8,150)</w:t>
      </w:r>
      <w:r>
        <w:rPr>
          <w:szCs w:val="22"/>
        </w:rPr>
        <w:t xml:space="preserve"> and implement a compliance plan to ensure future compliance</w:t>
      </w:r>
      <w:r w:rsidRPr="00184097">
        <w:rPr>
          <w:szCs w:val="22"/>
        </w:rPr>
        <w:t>.  The Bureau agrees to</w:t>
      </w:r>
      <w:r>
        <w:rPr>
          <w:szCs w:val="22"/>
        </w:rPr>
        <w:t xml:space="preserve"> terminate its investigation and all open forfeiture proceedings</w:t>
      </w:r>
      <w:r w:rsidRPr="00184097">
        <w:rPr>
          <w:szCs w:val="22"/>
        </w:rPr>
        <w:t>.</w:t>
      </w:r>
      <w:r>
        <w:rPr>
          <w:rStyle w:val="FootnoteReference"/>
          <w:sz w:val="22"/>
          <w:szCs w:val="22"/>
        </w:rPr>
        <w:footnoteReference w:id="6"/>
      </w:r>
    </w:p>
    <w:p w:rsidR="001A49F0" w:rsidRPr="00206708" w:rsidP="001A49F0" w14:paraId="5E82557A" w14:textId="77777777">
      <w:pPr>
        <w:pStyle w:val="ParaNum"/>
        <w:ind w:left="90"/>
        <w:rPr>
          <w:szCs w:val="22"/>
        </w:rPr>
      </w:pPr>
      <w:r w:rsidRPr="00184097">
        <w:rPr>
          <w:szCs w:val="22"/>
        </w:rPr>
        <w:t>After reviewing the terms of the Consent Decree, we find that the public interest will be served by its approval.</w:t>
      </w:r>
      <w:r>
        <w:rPr>
          <w:szCs w:val="22"/>
        </w:rPr>
        <w:t xml:space="preserve">  </w:t>
      </w:r>
      <w:r>
        <w:t>Based on the record before us, we also conclude that grant of the Stations’ renewal applications, as captioned above, are appropriate.  In evaluating an application for license renewal, the Commission’s decision is governed by section 309(k) of the Act.</w:t>
      </w:r>
      <w:r>
        <w:rPr>
          <w:rStyle w:val="FootnoteReference"/>
        </w:rPr>
        <w:footnoteReference w:id="7"/>
      </w:r>
      <w: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Pr>
        <w:footnoteReference w:id="8"/>
      </w:r>
      <w:r>
        <w:t xml:space="preserve">  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Pr>
          <w:rStyle w:val="FootnoteReference"/>
        </w:rPr>
        <w:footnoteReference w:id="9"/>
      </w:r>
      <w:r>
        <w:t xml:space="preserve">  </w:t>
      </w:r>
    </w:p>
    <w:p w:rsidR="001A49F0" w:rsidRPr="00184097" w:rsidP="001A49F0" w14:paraId="491623C1" w14:textId="77777777">
      <w:pPr>
        <w:pStyle w:val="ParaNum"/>
        <w:ind w:left="90"/>
        <w:rPr>
          <w:szCs w:val="22"/>
        </w:rPr>
      </w:pPr>
      <w:r>
        <w:t xml:space="preserve">As we concluded in the </w:t>
      </w:r>
      <w:r w:rsidRPr="007F07B2">
        <w:rPr>
          <w:i/>
          <w:iCs/>
        </w:rPr>
        <w:t>NALs</w:t>
      </w:r>
      <w:r>
        <w:t>,</w:t>
      </w:r>
      <w:r>
        <w:rPr>
          <w:rStyle w:val="FootnoteReference"/>
        </w:rPr>
        <w:footnoteReference w:id="10"/>
      </w:r>
      <w:r>
        <w:t xml:space="preserve"> we find that the Licensee’s violation of sections 73.3514(a) and 73.3527(e)(8) of the Rules does not constitute a “serious violation” warranting designation of the Applications for evidentiary hearing.  Moreover, we find no evidence of violations that, when considered together, constitute a pattern of abuse.</w:t>
      </w:r>
      <w:r>
        <w:rPr>
          <w:rStyle w:val="FootnoteReference"/>
        </w:rPr>
        <w:footnoteReference w:id="11"/>
      </w:r>
      <w:r>
        <w:t xml:space="preserve">  Further, based on our review of the Applications, we find that the Stations served the public interest, convenience, and necessity during the subject license term.  We will therefore grant the Applications, consistent with the terms and conditions set forth in the Consent Decree.</w:t>
      </w:r>
    </w:p>
    <w:p w:rsidR="001A49F0" w:rsidRPr="00184097" w:rsidP="001A49F0" w14:paraId="7166754F" w14:textId="77777777">
      <w:pPr>
        <w:pStyle w:val="ParaNum"/>
        <w:ind w:left="86"/>
        <w:rPr>
          <w:szCs w:val="22"/>
        </w:rPr>
      </w:pPr>
      <w:r w:rsidRPr="00184097">
        <w:rPr>
          <w:b/>
          <w:bCs/>
          <w:szCs w:val="22"/>
        </w:rPr>
        <w:t>ACCORDINGLY, IT IS ORDERED</w:t>
      </w:r>
      <w:r w:rsidRPr="00184097">
        <w:rPr>
          <w:szCs w:val="22"/>
        </w:rPr>
        <w:t xml:space="preserve"> that, pursuant to sections 4(i), 4(j), and 503(b) of the Communications Act of 1934, as amended,</w:t>
      </w:r>
      <w:r>
        <w:rPr>
          <w:rStyle w:val="FootnoteReference"/>
          <w:sz w:val="22"/>
          <w:szCs w:val="22"/>
        </w:rPr>
        <w:footnoteReference w:id="12"/>
      </w:r>
      <w:r w:rsidRPr="00184097">
        <w:rPr>
          <w:szCs w:val="22"/>
        </w:rPr>
        <w:t xml:space="preserve"> and by the authority delegated by sections 0.61 and 0.283 of the Rules,</w:t>
      </w:r>
      <w:r>
        <w:rPr>
          <w:rStyle w:val="FootnoteReference"/>
          <w:sz w:val="22"/>
          <w:szCs w:val="22"/>
        </w:rPr>
        <w:footnoteReference w:id="13"/>
      </w:r>
      <w:r w:rsidRPr="00184097">
        <w:rPr>
          <w:szCs w:val="22"/>
        </w:rPr>
        <w:t xml:space="preserve"> the Consent Decree attached hereto </w:t>
      </w:r>
      <w:r w:rsidRPr="00184097">
        <w:rPr>
          <w:b/>
          <w:bCs/>
          <w:szCs w:val="22"/>
        </w:rPr>
        <w:t xml:space="preserve">IS ADOPTED </w:t>
      </w:r>
      <w:r w:rsidRPr="00184097">
        <w:rPr>
          <w:szCs w:val="22"/>
        </w:rPr>
        <w:t>without change, addition, or modification.</w:t>
      </w:r>
    </w:p>
    <w:p w:rsidR="001A49F0" w:rsidP="001A49F0" w14:paraId="02AF3B82" w14:textId="41F2130E">
      <w:pPr>
        <w:pStyle w:val="ParaNum"/>
        <w:rPr>
          <w:szCs w:val="22"/>
        </w:rPr>
      </w:pPr>
      <w:r w:rsidRPr="00184097">
        <w:rPr>
          <w:b/>
          <w:bCs/>
          <w:szCs w:val="22"/>
        </w:rPr>
        <w:t>IT IS FURTHER ORDERED</w:t>
      </w:r>
      <w:r w:rsidRPr="00184097">
        <w:rPr>
          <w:szCs w:val="22"/>
        </w:rPr>
        <w:t xml:space="preserve"> that the investigation</w:t>
      </w:r>
      <w:r>
        <w:rPr>
          <w:szCs w:val="22"/>
        </w:rPr>
        <w:t xml:space="preserve"> </w:t>
      </w:r>
      <w:r w:rsidRPr="00184097">
        <w:rPr>
          <w:szCs w:val="22"/>
        </w:rPr>
        <w:t xml:space="preserve">by the Media Bureau of the matters </w:t>
      </w:r>
      <w:r>
        <w:rPr>
          <w:szCs w:val="22"/>
        </w:rPr>
        <w:t>discussed</w:t>
      </w:r>
      <w:r w:rsidRPr="00184097">
        <w:rPr>
          <w:szCs w:val="22"/>
        </w:rPr>
        <w:t xml:space="preserve"> above</w:t>
      </w:r>
      <w:r>
        <w:rPr>
          <w:szCs w:val="22"/>
        </w:rPr>
        <w:t xml:space="preserve"> and the above captioned forfeiture proceedings </w:t>
      </w:r>
      <w:r w:rsidRPr="003C31CC">
        <w:rPr>
          <w:b/>
          <w:bCs/>
          <w:szCs w:val="22"/>
        </w:rPr>
        <w:t>ARE</w:t>
      </w:r>
      <w:r w:rsidR="002B2805">
        <w:rPr>
          <w:b/>
          <w:bCs/>
          <w:szCs w:val="22"/>
        </w:rPr>
        <w:t xml:space="preserve"> </w:t>
      </w:r>
      <w:r w:rsidRPr="00184097">
        <w:rPr>
          <w:b/>
          <w:bCs/>
          <w:szCs w:val="22"/>
        </w:rPr>
        <w:t>TERMINATED</w:t>
      </w:r>
      <w:r w:rsidRPr="00184097">
        <w:rPr>
          <w:szCs w:val="22"/>
        </w:rPr>
        <w:t>.</w:t>
      </w:r>
    </w:p>
    <w:p w:rsidR="001A49F0" w:rsidRPr="00184097" w:rsidP="007F07B2" w14:paraId="178A9B9B" w14:textId="77777777">
      <w:pPr>
        <w:pStyle w:val="ParaNum"/>
        <w:widowControl/>
        <w:rPr>
          <w:szCs w:val="22"/>
        </w:rPr>
      </w:pPr>
      <w:r w:rsidRPr="009D1278">
        <w:rPr>
          <w:b/>
          <w:bCs/>
        </w:rPr>
        <w:t xml:space="preserve">IT IS FURTHER ORDERED </w:t>
      </w:r>
      <w:r>
        <w:t>that, pursuant to section 309(k) of the Communications Act of 1934, as amended,</w:t>
      </w:r>
      <w:r>
        <w:rPr>
          <w:rStyle w:val="FootnoteReference"/>
        </w:rPr>
        <w:footnoteReference w:id="14"/>
      </w:r>
      <w:r>
        <w:t xml:space="preserve"> the applications of </w:t>
      </w:r>
      <w:r w:rsidRPr="00184097">
        <w:t>Prairie Public Broadcasting, Inc.</w:t>
      </w:r>
      <w:r>
        <w:t xml:space="preserve"> for renewal of licenses, as captioned above, shall be granted consistent with the terms and conditions of the Consent Decree.</w:t>
      </w:r>
    </w:p>
    <w:p w:rsidR="001A49F0" w:rsidRPr="00184097" w:rsidP="001A49F0" w14:paraId="3B8057B0" w14:textId="63F9F56E">
      <w:pPr>
        <w:pStyle w:val="ParaNum"/>
        <w:widowControl/>
        <w:rPr>
          <w:bCs/>
          <w:szCs w:val="22"/>
        </w:rPr>
      </w:pPr>
      <w:r w:rsidRPr="00184097">
        <w:rPr>
          <w:b/>
          <w:bCs/>
          <w:color w:val="010101"/>
          <w:szCs w:val="22"/>
        </w:rPr>
        <w:t>IT IS FURTHER ORDERED</w:t>
      </w:r>
      <w:r w:rsidRPr="00184097">
        <w:rPr>
          <w:color w:val="010101"/>
          <w:szCs w:val="22"/>
        </w:rPr>
        <w:t xml:space="preserve"> that copies of this Order </w:t>
      </w:r>
      <w:r w:rsidRPr="00184097">
        <w:rPr>
          <w:szCs w:val="22"/>
        </w:rPr>
        <w:t xml:space="preserve">shall be sent, by First Class and Certified Mail, Return Receipt Requested, to Prairie Public Broadcasting, Inc., PO Box 3240, Fargo, ND 58108 and by electronic mail to </w:t>
      </w:r>
      <w:hyperlink r:id="rId5" w:history="1">
        <w:r w:rsidRPr="00411459" w:rsidR="0025442B">
          <w:rPr>
            <w:rStyle w:val="Hyperlink"/>
          </w:rPr>
          <w:t>jharris@prairiepublic.org</w:t>
        </w:r>
      </w:hyperlink>
      <w:r w:rsidR="0025442B">
        <w:t xml:space="preserve">. </w:t>
      </w:r>
      <w:r w:rsidRPr="00184097">
        <w:rPr>
          <w:szCs w:val="22"/>
        </w:rPr>
        <w:t xml:space="preserve"> A copy shall also be sent to Licensee’s counsel, Derek Teslik, Esq., by electronic mail to </w:t>
      </w:r>
      <w:hyperlink r:id="rId6" w:history="1">
        <w:r w:rsidRPr="00184097">
          <w:rPr>
            <w:rStyle w:val="Hyperlink"/>
            <w:szCs w:val="22"/>
          </w:rPr>
          <w:t>dteslik@graymillerpersh.com</w:t>
        </w:r>
      </w:hyperlink>
      <w:r w:rsidRPr="00184097">
        <w:rPr>
          <w:szCs w:val="22"/>
        </w:rPr>
        <w:t>.</w:t>
      </w:r>
    </w:p>
    <w:p w:rsidR="001A49F0" w:rsidRPr="00184097" w:rsidP="001A49F0" w14:paraId="45B0C544" w14:textId="77777777">
      <w:pPr>
        <w:tabs>
          <w:tab w:val="left" w:pos="720"/>
          <w:tab w:val="left" w:pos="4320"/>
        </w:tabs>
        <w:rPr>
          <w:szCs w:val="22"/>
        </w:rPr>
      </w:pPr>
      <w:r w:rsidRPr="00184097">
        <w:rPr>
          <w:szCs w:val="22"/>
        </w:rPr>
        <w:tab/>
      </w:r>
      <w:r w:rsidRPr="00184097">
        <w:rPr>
          <w:szCs w:val="22"/>
        </w:rPr>
        <w:tab/>
        <w:t>FEDERAL COMMUNICATIONS COMMISSION</w:t>
      </w:r>
    </w:p>
    <w:p w:rsidR="001A49F0" w:rsidRPr="00184097" w:rsidP="001A49F0" w14:paraId="298CA2BD" w14:textId="77777777">
      <w:pPr>
        <w:tabs>
          <w:tab w:val="left" w:pos="720"/>
          <w:tab w:val="left" w:pos="4680"/>
        </w:tabs>
        <w:rPr>
          <w:szCs w:val="22"/>
        </w:rPr>
      </w:pPr>
    </w:p>
    <w:p w:rsidR="001A49F0" w:rsidRPr="00184097" w:rsidP="001A49F0" w14:paraId="134BE8C1" w14:textId="77777777">
      <w:pPr>
        <w:tabs>
          <w:tab w:val="left" w:pos="720"/>
          <w:tab w:val="left" w:pos="4680"/>
        </w:tabs>
        <w:rPr>
          <w:szCs w:val="22"/>
        </w:rPr>
      </w:pPr>
    </w:p>
    <w:p w:rsidR="001A49F0" w:rsidRPr="00184097" w:rsidP="001A49F0" w14:paraId="622D0183" w14:textId="77777777">
      <w:pPr>
        <w:tabs>
          <w:tab w:val="left" w:pos="720"/>
          <w:tab w:val="left" w:pos="4680"/>
        </w:tabs>
        <w:rPr>
          <w:szCs w:val="22"/>
        </w:rPr>
      </w:pPr>
    </w:p>
    <w:p w:rsidR="001A49F0" w:rsidRPr="00184097" w:rsidP="001A49F0" w14:paraId="739FF0C7" w14:textId="77777777">
      <w:pPr>
        <w:autoSpaceDE w:val="0"/>
        <w:autoSpaceDN w:val="0"/>
        <w:adjustRightInd w:val="0"/>
        <w:rPr>
          <w:szCs w:val="22"/>
        </w:rPr>
      </w:pPr>
      <w:r w:rsidRPr="00184097">
        <w:rPr>
          <w:szCs w:val="22"/>
        </w:rPr>
        <w:tab/>
      </w:r>
      <w:r w:rsidRPr="00184097">
        <w:rPr>
          <w:szCs w:val="22"/>
        </w:rPr>
        <w:tab/>
      </w:r>
      <w:r w:rsidRPr="00184097">
        <w:rPr>
          <w:szCs w:val="22"/>
        </w:rPr>
        <w:tab/>
      </w:r>
      <w:r w:rsidRPr="00184097">
        <w:rPr>
          <w:szCs w:val="22"/>
        </w:rPr>
        <w:tab/>
      </w:r>
      <w:r w:rsidRPr="00184097">
        <w:rPr>
          <w:szCs w:val="22"/>
        </w:rPr>
        <w:tab/>
      </w:r>
      <w:r w:rsidRPr="00184097">
        <w:rPr>
          <w:szCs w:val="22"/>
        </w:rPr>
        <w:tab/>
        <w:t>Holly Saurer</w:t>
      </w:r>
    </w:p>
    <w:p w:rsidR="001A49F0" w:rsidRPr="00184097" w:rsidP="001A49F0" w14:paraId="59E4FB9A" w14:textId="77777777">
      <w:pPr>
        <w:autoSpaceDE w:val="0"/>
        <w:autoSpaceDN w:val="0"/>
        <w:adjustRightInd w:val="0"/>
        <w:ind w:left="3600" w:firstLine="720"/>
        <w:rPr>
          <w:szCs w:val="22"/>
        </w:rPr>
      </w:pPr>
      <w:r w:rsidRPr="00184097">
        <w:rPr>
          <w:szCs w:val="22"/>
        </w:rPr>
        <w:t>Chief</w:t>
      </w:r>
    </w:p>
    <w:p w:rsidR="001A49F0" w:rsidRPr="00184097" w:rsidP="001A49F0" w14:paraId="40951FC8" w14:textId="77777777">
      <w:pPr>
        <w:tabs>
          <w:tab w:val="left" w:pos="720"/>
          <w:tab w:val="left" w:pos="4320"/>
        </w:tabs>
        <w:rPr>
          <w:szCs w:val="22"/>
        </w:rPr>
        <w:sectPr w:rsidSect="004C7826">
          <w:headerReference w:type="default" r:id="rId7"/>
          <w:footerReference w:type="even" r:id="rId8"/>
          <w:footerReference w:type="default" r:id="rId9"/>
          <w:headerReference w:type="first" r:id="rId10"/>
          <w:footnotePr>
            <w:numRestart w:val="eachSect"/>
          </w:footnotePr>
          <w:pgSz w:w="12240" w:h="15840"/>
          <w:pgMar w:top="1440" w:right="1440" w:bottom="1440" w:left="1440" w:header="720" w:footer="720" w:gutter="0"/>
          <w:cols w:space="720"/>
          <w:titlePg/>
        </w:sectPr>
      </w:pPr>
      <w:r w:rsidRPr="00184097">
        <w:rPr>
          <w:szCs w:val="22"/>
        </w:rPr>
        <w:tab/>
      </w:r>
      <w:r w:rsidRPr="00184097">
        <w:rPr>
          <w:szCs w:val="22"/>
        </w:rPr>
        <w:tab/>
        <w:t>Media Bureau</w:t>
      </w:r>
    </w:p>
    <w:p w:rsidR="00430A62" w:rsidRPr="00184097" w:rsidP="00430A62" w14:paraId="39C97674" w14:textId="77777777">
      <w:pPr>
        <w:tabs>
          <w:tab w:val="left" w:pos="720"/>
          <w:tab w:val="left" w:pos="4320"/>
        </w:tabs>
        <w:jc w:val="center"/>
        <w:rPr>
          <w:b/>
          <w:szCs w:val="22"/>
        </w:rPr>
      </w:pPr>
      <w:r w:rsidRPr="00184097">
        <w:rPr>
          <w:b/>
          <w:szCs w:val="22"/>
        </w:rPr>
        <w:t>Before the</w:t>
      </w:r>
    </w:p>
    <w:p w:rsidR="00430A62" w:rsidRPr="00184097" w:rsidP="00430A62" w14:paraId="00D20AEC" w14:textId="77777777">
      <w:pPr>
        <w:jc w:val="center"/>
        <w:rPr>
          <w:b/>
          <w:szCs w:val="22"/>
        </w:rPr>
      </w:pPr>
      <w:r w:rsidRPr="00184097">
        <w:rPr>
          <w:b/>
          <w:szCs w:val="22"/>
        </w:rPr>
        <w:t>Federal Communications Commission</w:t>
      </w:r>
    </w:p>
    <w:p w:rsidR="00430A62" w:rsidRPr="00184097" w:rsidP="00430A62" w14:paraId="14F9BDDA" w14:textId="77777777">
      <w:pPr>
        <w:jc w:val="center"/>
        <w:rPr>
          <w:b/>
          <w:szCs w:val="22"/>
        </w:rPr>
      </w:pPr>
      <w:r w:rsidRPr="00184097">
        <w:rPr>
          <w:b/>
          <w:szCs w:val="22"/>
        </w:rPr>
        <w:t>Washington, D.C.  20554</w:t>
      </w:r>
    </w:p>
    <w:p w:rsidR="00430A62" w:rsidRPr="00184097" w:rsidP="00430A62" w14:paraId="4BF51DED" w14:textId="77777777">
      <w:pPr>
        <w:rPr>
          <w:szCs w:val="22"/>
        </w:rPr>
      </w:pPr>
    </w:p>
    <w:tbl>
      <w:tblPr>
        <w:tblW w:w="9684" w:type="dxa"/>
        <w:tblLayout w:type="fixed"/>
        <w:tblLook w:val="0000"/>
      </w:tblPr>
      <w:tblGrid>
        <w:gridCol w:w="108"/>
        <w:gridCol w:w="4590"/>
        <w:gridCol w:w="108"/>
        <w:gridCol w:w="612"/>
        <w:gridCol w:w="18"/>
        <w:gridCol w:w="4212"/>
        <w:gridCol w:w="36"/>
      </w:tblGrid>
      <w:tr w14:paraId="3BAC152D" w14:textId="77777777" w:rsidTr="003E68D7">
        <w:tblPrEx>
          <w:tblW w:w="9684" w:type="dxa"/>
          <w:tblLayout w:type="fixed"/>
          <w:tblLook w:val="0000"/>
        </w:tblPrEx>
        <w:trPr>
          <w:gridBefore w:val="1"/>
          <w:wBefore w:w="108" w:type="dxa"/>
        </w:trPr>
        <w:tc>
          <w:tcPr>
            <w:tcW w:w="4698" w:type="dxa"/>
            <w:gridSpan w:val="2"/>
          </w:tcPr>
          <w:p w:rsidR="00430A62" w:rsidRPr="00184097" w:rsidP="003E68D7" w14:paraId="1589E840" w14:textId="77777777">
            <w:pPr>
              <w:tabs>
                <w:tab w:val="center" w:pos="4680"/>
              </w:tabs>
              <w:rPr>
                <w:spacing w:val="-2"/>
                <w:szCs w:val="22"/>
              </w:rPr>
            </w:pPr>
            <w:r w:rsidRPr="00184097">
              <w:rPr>
                <w:spacing w:val="-2"/>
                <w:szCs w:val="22"/>
              </w:rPr>
              <w:t xml:space="preserve">In re Application of  </w:t>
            </w:r>
          </w:p>
          <w:p w:rsidR="00430A62" w:rsidRPr="00184097" w:rsidP="003E68D7" w14:paraId="669FA4A2" w14:textId="77777777">
            <w:pPr>
              <w:tabs>
                <w:tab w:val="center" w:pos="4680"/>
              </w:tabs>
              <w:rPr>
                <w:spacing w:val="-2"/>
                <w:szCs w:val="22"/>
              </w:rPr>
            </w:pPr>
          </w:p>
          <w:p w:rsidR="00430A62" w:rsidRPr="00184097" w:rsidP="003E68D7" w14:paraId="157BBC56" w14:textId="77777777">
            <w:pPr>
              <w:tabs>
                <w:tab w:val="center" w:pos="4680"/>
              </w:tabs>
              <w:rPr>
                <w:szCs w:val="22"/>
              </w:rPr>
            </w:pPr>
            <w:r w:rsidRPr="00184097">
              <w:rPr>
                <w:szCs w:val="22"/>
              </w:rPr>
              <w:t>Prairie Public Broadcasting, Inc.</w:t>
            </w:r>
          </w:p>
          <w:p w:rsidR="00430A62" w:rsidRPr="00184097" w:rsidP="003E68D7" w14:paraId="46F4EEC8" w14:textId="77777777">
            <w:pPr>
              <w:tabs>
                <w:tab w:val="center" w:pos="4680"/>
              </w:tabs>
              <w:rPr>
                <w:spacing w:val="-2"/>
                <w:szCs w:val="22"/>
              </w:rPr>
            </w:pPr>
          </w:p>
          <w:p w:rsidR="00430A62" w:rsidRPr="00184097" w:rsidP="003E68D7" w14:paraId="3D7949B2" w14:textId="77777777">
            <w:pPr>
              <w:tabs>
                <w:tab w:val="center" w:pos="4680"/>
              </w:tabs>
              <w:rPr>
                <w:spacing w:val="-2"/>
                <w:szCs w:val="22"/>
              </w:rPr>
            </w:pPr>
            <w:r w:rsidRPr="00184097">
              <w:rPr>
                <w:spacing w:val="-2"/>
                <w:szCs w:val="22"/>
              </w:rPr>
              <w:t>For Renewal of License for</w:t>
            </w:r>
          </w:p>
          <w:p w:rsidR="00430A62" w:rsidRPr="00184097" w:rsidP="003E68D7" w14:paraId="710CFFBD" w14:textId="77777777">
            <w:pPr>
              <w:tabs>
                <w:tab w:val="center" w:pos="4680"/>
              </w:tabs>
              <w:rPr>
                <w:spacing w:val="-2"/>
                <w:szCs w:val="22"/>
              </w:rPr>
            </w:pPr>
            <w:r w:rsidRPr="00184097">
              <w:rPr>
                <w:spacing w:val="-2"/>
                <w:szCs w:val="22"/>
              </w:rPr>
              <w:t>Stations KBME-TV, Bismark, ND; KCGE-DT, Crookston, MN; KMDE(TV), Devils Lake, ND; KSRE(TV), Minot, ND; KWSE(TV), Williston, ND; KJRE(TV), Ellendale, ND; KFME(TV), Fargo, ND</w:t>
            </w:r>
          </w:p>
        </w:tc>
        <w:tc>
          <w:tcPr>
            <w:tcW w:w="630" w:type="dxa"/>
            <w:gridSpan w:val="2"/>
          </w:tcPr>
          <w:p w:rsidR="00430A62" w:rsidRPr="00184097" w:rsidP="003E68D7" w14:paraId="1ABBD9D8" w14:textId="77777777">
            <w:pPr>
              <w:tabs>
                <w:tab w:val="center" w:pos="4680"/>
              </w:tabs>
              <w:rPr>
                <w:b/>
                <w:spacing w:val="-2"/>
                <w:szCs w:val="22"/>
              </w:rPr>
            </w:pPr>
            <w:r w:rsidRPr="00184097">
              <w:rPr>
                <w:b/>
                <w:spacing w:val="-2"/>
                <w:szCs w:val="22"/>
              </w:rPr>
              <w:t>)</w:t>
            </w:r>
          </w:p>
          <w:p w:rsidR="00430A62" w:rsidRPr="00184097" w:rsidP="003E68D7" w14:paraId="33A0E167" w14:textId="77777777">
            <w:pPr>
              <w:tabs>
                <w:tab w:val="center" w:pos="4680"/>
              </w:tabs>
              <w:rPr>
                <w:b/>
                <w:spacing w:val="-2"/>
                <w:szCs w:val="22"/>
              </w:rPr>
            </w:pPr>
            <w:r w:rsidRPr="00184097">
              <w:rPr>
                <w:b/>
                <w:spacing w:val="-2"/>
                <w:szCs w:val="22"/>
              </w:rPr>
              <w:t>)</w:t>
            </w:r>
          </w:p>
          <w:p w:rsidR="00430A62" w:rsidRPr="00184097" w:rsidP="003E68D7" w14:paraId="3DF3ED28" w14:textId="77777777">
            <w:pPr>
              <w:tabs>
                <w:tab w:val="center" w:pos="4680"/>
              </w:tabs>
              <w:rPr>
                <w:b/>
                <w:spacing w:val="-2"/>
                <w:szCs w:val="22"/>
              </w:rPr>
            </w:pPr>
            <w:r w:rsidRPr="00184097">
              <w:rPr>
                <w:b/>
                <w:spacing w:val="-2"/>
                <w:szCs w:val="22"/>
              </w:rPr>
              <w:t>)</w:t>
            </w:r>
          </w:p>
          <w:p w:rsidR="00430A62" w:rsidRPr="00184097" w:rsidP="003E68D7" w14:paraId="51DDEEF9" w14:textId="77777777">
            <w:pPr>
              <w:tabs>
                <w:tab w:val="center" w:pos="4680"/>
              </w:tabs>
              <w:rPr>
                <w:b/>
                <w:spacing w:val="-2"/>
                <w:szCs w:val="22"/>
              </w:rPr>
            </w:pPr>
            <w:r w:rsidRPr="00184097">
              <w:rPr>
                <w:b/>
                <w:spacing w:val="-2"/>
                <w:szCs w:val="22"/>
              </w:rPr>
              <w:t>)</w:t>
            </w:r>
          </w:p>
          <w:p w:rsidR="00430A62" w:rsidRPr="00184097" w:rsidP="003E68D7" w14:paraId="4A259F52" w14:textId="77777777">
            <w:pPr>
              <w:tabs>
                <w:tab w:val="center" w:pos="4680"/>
              </w:tabs>
              <w:rPr>
                <w:b/>
                <w:spacing w:val="-2"/>
                <w:szCs w:val="22"/>
              </w:rPr>
            </w:pPr>
            <w:r w:rsidRPr="00184097">
              <w:rPr>
                <w:b/>
                <w:spacing w:val="-2"/>
                <w:szCs w:val="22"/>
              </w:rPr>
              <w:t>)</w:t>
            </w:r>
          </w:p>
          <w:p w:rsidR="00430A62" w:rsidRPr="00184097" w:rsidP="003E68D7" w14:paraId="205DF6F7" w14:textId="77777777">
            <w:pPr>
              <w:tabs>
                <w:tab w:val="center" w:pos="4680"/>
              </w:tabs>
              <w:rPr>
                <w:b/>
                <w:spacing w:val="-2"/>
                <w:szCs w:val="22"/>
              </w:rPr>
            </w:pPr>
            <w:r w:rsidRPr="00184097">
              <w:rPr>
                <w:b/>
                <w:spacing w:val="-2"/>
                <w:szCs w:val="22"/>
              </w:rPr>
              <w:t>)</w:t>
            </w:r>
          </w:p>
          <w:p w:rsidR="00430A62" w:rsidRPr="00184097" w:rsidP="003E68D7" w14:paraId="4FD823F7" w14:textId="77777777">
            <w:pPr>
              <w:tabs>
                <w:tab w:val="center" w:pos="4680"/>
              </w:tabs>
              <w:rPr>
                <w:b/>
                <w:spacing w:val="-2"/>
                <w:szCs w:val="22"/>
              </w:rPr>
            </w:pPr>
            <w:r w:rsidRPr="00184097">
              <w:rPr>
                <w:b/>
                <w:spacing w:val="-2"/>
                <w:szCs w:val="22"/>
              </w:rPr>
              <w:t>)</w:t>
            </w:r>
          </w:p>
          <w:p w:rsidR="00430A62" w:rsidRPr="00184097" w:rsidP="003E68D7" w14:paraId="31E8AA73" w14:textId="77777777">
            <w:pPr>
              <w:tabs>
                <w:tab w:val="center" w:pos="4680"/>
              </w:tabs>
              <w:rPr>
                <w:b/>
                <w:spacing w:val="-2"/>
                <w:szCs w:val="22"/>
              </w:rPr>
            </w:pPr>
            <w:r w:rsidRPr="00184097">
              <w:rPr>
                <w:b/>
                <w:spacing w:val="-2"/>
                <w:szCs w:val="22"/>
              </w:rPr>
              <w:t>)</w:t>
            </w:r>
          </w:p>
          <w:p w:rsidR="00430A62" w:rsidP="003E68D7" w14:paraId="45DFD0F3" w14:textId="77777777">
            <w:pPr>
              <w:tabs>
                <w:tab w:val="center" w:pos="4680"/>
              </w:tabs>
              <w:rPr>
                <w:b/>
                <w:spacing w:val="-2"/>
                <w:szCs w:val="22"/>
              </w:rPr>
            </w:pPr>
            <w:r w:rsidRPr="00184097">
              <w:rPr>
                <w:b/>
                <w:spacing w:val="-2"/>
                <w:szCs w:val="22"/>
              </w:rPr>
              <w:t>)</w:t>
            </w:r>
          </w:p>
          <w:p w:rsidR="00430A62" w:rsidP="003E68D7" w14:paraId="365FC595" w14:textId="77777777">
            <w:pPr>
              <w:tabs>
                <w:tab w:val="center" w:pos="4680"/>
              </w:tabs>
              <w:rPr>
                <w:b/>
                <w:spacing w:val="-2"/>
                <w:szCs w:val="22"/>
              </w:rPr>
            </w:pPr>
            <w:r>
              <w:rPr>
                <w:b/>
                <w:spacing w:val="-2"/>
                <w:szCs w:val="22"/>
              </w:rPr>
              <w:t>)</w:t>
            </w:r>
          </w:p>
          <w:p w:rsidR="00430A62" w:rsidRPr="00184097" w:rsidP="003E68D7" w14:paraId="132BADAA" w14:textId="77777777">
            <w:pPr>
              <w:tabs>
                <w:tab w:val="center" w:pos="4680"/>
              </w:tabs>
              <w:rPr>
                <w:b/>
                <w:spacing w:val="-2"/>
                <w:szCs w:val="22"/>
              </w:rPr>
            </w:pPr>
            <w:r>
              <w:rPr>
                <w:b/>
                <w:spacing w:val="-2"/>
                <w:szCs w:val="22"/>
              </w:rPr>
              <w:t>)</w:t>
            </w:r>
          </w:p>
        </w:tc>
        <w:tc>
          <w:tcPr>
            <w:tcW w:w="4248" w:type="dxa"/>
            <w:gridSpan w:val="2"/>
          </w:tcPr>
          <w:p w:rsidR="00430A62" w:rsidRPr="00184097" w:rsidP="003E68D7" w14:paraId="0DB1FFA5" w14:textId="77777777">
            <w:pPr>
              <w:tabs>
                <w:tab w:val="center" w:pos="4680"/>
              </w:tabs>
              <w:rPr>
                <w:spacing w:val="-2"/>
                <w:szCs w:val="22"/>
              </w:rPr>
            </w:pPr>
          </w:p>
          <w:p w:rsidR="00430A62" w:rsidRPr="00184097" w:rsidP="003E68D7" w14:paraId="00A908DB" w14:textId="77777777">
            <w:pPr>
              <w:pStyle w:val="TOAHeading"/>
              <w:tabs>
                <w:tab w:val="center" w:pos="4680"/>
                <w:tab w:val="clear" w:pos="9360"/>
              </w:tabs>
              <w:suppressAutoHyphens w:val="0"/>
              <w:rPr>
                <w:spacing w:val="-2"/>
                <w:szCs w:val="22"/>
              </w:rPr>
            </w:pPr>
          </w:p>
          <w:p w:rsidR="00430A62" w:rsidRPr="00184097" w:rsidP="003E68D7" w14:paraId="6FC5579A" w14:textId="77777777">
            <w:pPr>
              <w:pStyle w:val="TOAHeading"/>
              <w:tabs>
                <w:tab w:val="center" w:pos="4680"/>
              </w:tabs>
              <w:suppressAutoHyphens w:val="0"/>
              <w:rPr>
                <w:spacing w:val="-2"/>
                <w:szCs w:val="22"/>
              </w:rPr>
            </w:pPr>
            <w:r w:rsidRPr="00184097">
              <w:rPr>
                <w:spacing w:val="-2"/>
                <w:szCs w:val="22"/>
              </w:rPr>
              <w:t>FRN:  0014558217</w:t>
            </w:r>
          </w:p>
          <w:p w:rsidR="00430A62" w:rsidRPr="00184097" w:rsidP="003E68D7" w14:paraId="00BEA8EF" w14:textId="76872814">
            <w:pPr>
              <w:pStyle w:val="TOAHeading"/>
              <w:tabs>
                <w:tab w:val="center" w:pos="4680"/>
              </w:tabs>
              <w:suppressAutoHyphens w:val="0"/>
              <w:rPr>
                <w:spacing w:val="-2"/>
                <w:szCs w:val="22"/>
              </w:rPr>
            </w:pPr>
            <w:r w:rsidRPr="00184097">
              <w:rPr>
                <w:spacing w:val="-2"/>
                <w:szCs w:val="22"/>
              </w:rPr>
              <w:t xml:space="preserve">NAL/Acct. Nos. </w:t>
            </w:r>
            <w:r w:rsidRPr="009D1278">
              <w:rPr>
                <w:spacing w:val="-2"/>
                <w:szCs w:val="22"/>
              </w:rPr>
              <w:t xml:space="preserve">202241420007, 202241420008, 202241420009, 202241420010, and </w:t>
            </w:r>
            <w:r w:rsidR="004F636F">
              <w:rPr>
                <w:spacing w:val="-2"/>
                <w:szCs w:val="22"/>
              </w:rPr>
              <w:t>20244142000</w:t>
            </w:r>
            <w:r w:rsidR="000D5624">
              <w:rPr>
                <w:spacing w:val="-2"/>
                <w:szCs w:val="22"/>
              </w:rPr>
              <w:t>5</w:t>
            </w:r>
          </w:p>
          <w:p w:rsidR="00430A62" w:rsidRPr="00184097" w:rsidP="003E68D7" w14:paraId="2D638CC0" w14:textId="77777777">
            <w:pPr>
              <w:pStyle w:val="TOAHeading"/>
              <w:tabs>
                <w:tab w:val="center" w:pos="4680"/>
              </w:tabs>
              <w:suppressAutoHyphens w:val="0"/>
              <w:rPr>
                <w:spacing w:val="-2"/>
                <w:szCs w:val="22"/>
              </w:rPr>
            </w:pPr>
            <w:r w:rsidRPr="00184097">
              <w:rPr>
                <w:spacing w:val="-2"/>
                <w:szCs w:val="22"/>
              </w:rPr>
              <w:t>Facility ID Nos. 53324, 132606, 162016, 53313, 53318, 53315, and 53321</w:t>
            </w:r>
          </w:p>
          <w:p w:rsidR="00430A62" w:rsidRPr="00184097" w:rsidP="003E68D7" w14:paraId="5F1B76DE" w14:textId="77777777">
            <w:pPr>
              <w:tabs>
                <w:tab w:val="center" w:pos="4680"/>
              </w:tabs>
              <w:rPr>
                <w:spacing w:val="-2"/>
                <w:szCs w:val="22"/>
              </w:rPr>
            </w:pPr>
            <w:r w:rsidRPr="00184097">
              <w:rPr>
                <w:spacing w:val="-2"/>
                <w:szCs w:val="22"/>
              </w:rPr>
              <w:t>LMS File Nos. 0000171009, 0000171015, 0000171030, 0000171014, 0000171016, 0000171022, and 0000171028</w:t>
            </w:r>
          </w:p>
        </w:tc>
      </w:tr>
      <w:tr w14:paraId="5A1F17EF" w14:textId="77777777" w:rsidTr="003E68D7">
        <w:tblPrEx>
          <w:tblW w:w="9684" w:type="dxa"/>
          <w:tblLayout w:type="fixed"/>
          <w:tblLook w:val="0000"/>
        </w:tblPrEx>
        <w:trPr>
          <w:gridAfter w:val="1"/>
          <w:wAfter w:w="36" w:type="dxa"/>
        </w:trPr>
        <w:tc>
          <w:tcPr>
            <w:tcW w:w="4698" w:type="dxa"/>
            <w:gridSpan w:val="2"/>
          </w:tcPr>
          <w:p w:rsidR="00430A62" w:rsidRPr="00184097" w:rsidP="003E68D7" w14:paraId="53B53E81" w14:textId="77777777">
            <w:pPr>
              <w:ind w:right="-18"/>
              <w:rPr>
                <w:szCs w:val="22"/>
              </w:rPr>
            </w:pPr>
          </w:p>
        </w:tc>
        <w:tc>
          <w:tcPr>
            <w:tcW w:w="720" w:type="dxa"/>
            <w:gridSpan w:val="2"/>
          </w:tcPr>
          <w:p w:rsidR="00430A62" w:rsidRPr="00184097" w:rsidP="003E68D7" w14:paraId="6B2BCEED" w14:textId="77777777">
            <w:pPr>
              <w:rPr>
                <w:b/>
                <w:szCs w:val="22"/>
              </w:rPr>
            </w:pPr>
          </w:p>
        </w:tc>
        <w:tc>
          <w:tcPr>
            <w:tcW w:w="4230" w:type="dxa"/>
            <w:gridSpan w:val="2"/>
          </w:tcPr>
          <w:p w:rsidR="00430A62" w:rsidRPr="00184097" w:rsidP="003E68D7" w14:paraId="0AAE41CD" w14:textId="77777777">
            <w:pPr>
              <w:rPr>
                <w:szCs w:val="22"/>
              </w:rPr>
            </w:pPr>
          </w:p>
        </w:tc>
      </w:tr>
    </w:tbl>
    <w:p w:rsidR="00430A62" w:rsidRPr="00184097" w:rsidP="00430A62" w14:paraId="75E60A15" w14:textId="77777777">
      <w:pPr>
        <w:jc w:val="center"/>
        <w:rPr>
          <w:b/>
          <w:bCs/>
          <w:szCs w:val="22"/>
        </w:rPr>
      </w:pPr>
      <w:r w:rsidRPr="00184097">
        <w:rPr>
          <w:b/>
          <w:bCs/>
          <w:szCs w:val="22"/>
        </w:rPr>
        <w:t>CONSENT DECREE</w:t>
      </w:r>
    </w:p>
    <w:p w:rsidR="00430A62" w:rsidRPr="00184097" w:rsidP="00430A62" w14:paraId="151DB4CD" w14:textId="77777777">
      <w:pPr>
        <w:tabs>
          <w:tab w:val="left" w:pos="4680"/>
        </w:tabs>
        <w:jc w:val="center"/>
        <w:rPr>
          <w:szCs w:val="22"/>
        </w:rPr>
      </w:pPr>
    </w:p>
    <w:p w:rsidR="00430A62" w:rsidRPr="00430A62" w:rsidP="00430A62" w14:paraId="2FADE8FA" w14:textId="359C09EC">
      <w:pPr>
        <w:tabs>
          <w:tab w:val="left" w:leader="underscore" w:pos="770"/>
          <w:tab w:val="left" w:pos="1430"/>
          <w:tab w:val="left" w:pos="4680"/>
        </w:tabs>
        <w:rPr>
          <w:b/>
          <w:szCs w:val="22"/>
        </w:rPr>
      </w:pPr>
      <w:r w:rsidRPr="00184097">
        <w:rPr>
          <w:b/>
          <w:szCs w:val="22"/>
        </w:rPr>
        <w:t xml:space="preserve">Adopted:  </w:t>
      </w:r>
      <w:r>
        <w:rPr>
          <w:b/>
          <w:szCs w:val="22"/>
        </w:rPr>
        <w:t xml:space="preserve">April </w:t>
      </w:r>
      <w:r w:rsidR="003E7D84">
        <w:rPr>
          <w:b/>
          <w:szCs w:val="22"/>
        </w:rPr>
        <w:t>11</w:t>
      </w:r>
      <w:r>
        <w:rPr>
          <w:b/>
          <w:szCs w:val="22"/>
        </w:rPr>
        <w:t>, 2024</w:t>
      </w:r>
      <w:r w:rsidRPr="00184097">
        <w:rPr>
          <w:szCs w:val="22"/>
        </w:rPr>
        <w:tab/>
      </w:r>
      <w:r w:rsidRPr="00184097">
        <w:rPr>
          <w:szCs w:val="22"/>
        </w:rPr>
        <w:tab/>
        <w:t xml:space="preserve">                          </w:t>
      </w:r>
      <w:r w:rsidRPr="00184097">
        <w:rPr>
          <w:b/>
          <w:szCs w:val="22"/>
        </w:rPr>
        <w:t xml:space="preserve">Released: </w:t>
      </w:r>
      <w:r>
        <w:rPr>
          <w:b/>
          <w:szCs w:val="22"/>
        </w:rPr>
        <w:t xml:space="preserve"> April </w:t>
      </w:r>
      <w:r w:rsidR="003E7D84">
        <w:rPr>
          <w:b/>
          <w:szCs w:val="22"/>
        </w:rPr>
        <w:t>11</w:t>
      </w:r>
      <w:r>
        <w:rPr>
          <w:b/>
          <w:szCs w:val="22"/>
        </w:rPr>
        <w:t>, 2024</w:t>
      </w:r>
    </w:p>
    <w:p w:rsidR="00430A62" w:rsidRPr="00184097" w:rsidP="00430A62" w14:paraId="3DCF83C1" w14:textId="77777777">
      <w:pPr>
        <w:rPr>
          <w:szCs w:val="22"/>
        </w:rPr>
      </w:pPr>
    </w:p>
    <w:p w:rsidR="00430A62" w:rsidRPr="00337A5E" w:rsidP="00430A62" w14:paraId="5CFE6126" w14:textId="77777777">
      <w:pPr>
        <w:pStyle w:val="Heading1"/>
        <w:keepNext w:val="0"/>
        <w:suppressAutoHyphens w:val="0"/>
        <w:rPr>
          <w:szCs w:val="22"/>
        </w:rPr>
      </w:pPr>
      <w:r w:rsidRPr="009D1278">
        <w:rPr>
          <w:rFonts w:ascii="Times New Roman" w:hAnsi="Times New Roman"/>
          <w:szCs w:val="22"/>
        </w:rPr>
        <w:t>Introduction</w:t>
      </w:r>
    </w:p>
    <w:p w:rsidR="00430A62" w:rsidRPr="00184097" w:rsidP="00430A62" w14:paraId="25E1C712" w14:textId="77777777">
      <w:pPr>
        <w:pStyle w:val="ParaNum"/>
        <w:numPr>
          <w:ilvl w:val="0"/>
          <w:numId w:val="12"/>
        </w:numPr>
        <w:tabs>
          <w:tab w:val="clear" w:pos="1080"/>
        </w:tabs>
        <w:rPr>
          <w:b/>
          <w:szCs w:val="22"/>
        </w:rPr>
      </w:pPr>
      <w:r w:rsidRPr="00184097">
        <w:rPr>
          <w:szCs w:val="22"/>
        </w:rPr>
        <w:t>The Media Bureau of the Federal Communications Commission</w:t>
      </w:r>
      <w:r>
        <w:rPr>
          <w:szCs w:val="22"/>
        </w:rPr>
        <w:t xml:space="preserve"> (</w:t>
      </w:r>
      <w:r w:rsidRPr="002B2805">
        <w:rPr>
          <w:szCs w:val="22"/>
        </w:rPr>
        <w:t>hereafter “</w:t>
      </w:r>
      <w:r>
        <w:rPr>
          <w:szCs w:val="22"/>
        </w:rPr>
        <w:t>Bureau</w:t>
      </w:r>
      <w:r w:rsidRPr="002B2805">
        <w:rPr>
          <w:szCs w:val="22"/>
        </w:rPr>
        <w:t>,” as defined below</w:t>
      </w:r>
      <w:r>
        <w:rPr>
          <w:szCs w:val="22"/>
        </w:rPr>
        <w:t>)</w:t>
      </w:r>
      <w:r w:rsidRPr="00184097">
        <w:rPr>
          <w:szCs w:val="22"/>
        </w:rPr>
        <w:t xml:space="preserve"> and Prairie Public Broadcasting, Inc. (hereafter “Licensee,” as defined below), by their authorized representatives, hereby enter into this Consent Decree for the purpose of terminating the</w:t>
      </w:r>
      <w:r w:rsidRPr="00184097">
        <w:rPr>
          <w:bCs/>
          <w:szCs w:val="22"/>
        </w:rPr>
        <w:t xml:space="preserve"> </w:t>
      </w:r>
      <w:r w:rsidRPr="00184097">
        <w:rPr>
          <w:szCs w:val="22"/>
        </w:rPr>
        <w:t>Bureau’s investigation and forfeiture proceeding into the Licensee</w:t>
      </w:r>
      <w:r w:rsidRPr="00184097">
        <w:rPr>
          <w:bCs/>
          <w:szCs w:val="22"/>
        </w:rPr>
        <w:t>’s</w:t>
      </w:r>
      <w:r w:rsidRPr="00184097">
        <w:rPr>
          <w:szCs w:val="22"/>
        </w:rPr>
        <w:t xml:space="preserve"> compliance with section</w:t>
      </w:r>
      <w:r>
        <w:rPr>
          <w:szCs w:val="22"/>
        </w:rPr>
        <w:t xml:space="preserve"> 73.3514(a) of the Commission’s rules (h</w:t>
      </w:r>
      <w:r w:rsidRPr="002B2805">
        <w:rPr>
          <w:szCs w:val="22"/>
        </w:rPr>
        <w:t>ereafter “</w:t>
      </w:r>
      <w:r>
        <w:rPr>
          <w:szCs w:val="22"/>
        </w:rPr>
        <w:t>Rules</w:t>
      </w:r>
      <w:r w:rsidRPr="002B2805">
        <w:rPr>
          <w:szCs w:val="22"/>
        </w:rPr>
        <w:t>,” as defined below</w:t>
      </w:r>
      <w:r>
        <w:rPr>
          <w:szCs w:val="22"/>
        </w:rPr>
        <w:t xml:space="preserve">), which requires </w:t>
      </w:r>
      <w:r w:rsidRPr="009B2621">
        <w:rPr>
          <w:szCs w:val="22"/>
        </w:rPr>
        <w:t>licensee’s to provide all required information in an application</w:t>
      </w:r>
      <w:r>
        <w:rPr>
          <w:szCs w:val="22"/>
        </w:rPr>
        <w:t>, and</w:t>
      </w:r>
      <w:r w:rsidRPr="00184097">
        <w:rPr>
          <w:szCs w:val="22"/>
        </w:rPr>
        <w:t xml:space="preserve"> </w:t>
      </w:r>
      <w:r>
        <w:rPr>
          <w:szCs w:val="22"/>
        </w:rPr>
        <w:t xml:space="preserve">section </w:t>
      </w:r>
      <w:r w:rsidRPr="00184097">
        <w:rPr>
          <w:szCs w:val="22"/>
        </w:rPr>
        <w:t>73.3527</w:t>
      </w:r>
      <w:r>
        <w:rPr>
          <w:szCs w:val="22"/>
        </w:rPr>
        <w:t>(e)</w:t>
      </w:r>
      <w:r w:rsidRPr="00184097">
        <w:rPr>
          <w:szCs w:val="22"/>
        </w:rPr>
        <w:t xml:space="preserve">(8) of the </w:t>
      </w:r>
      <w:r>
        <w:rPr>
          <w:szCs w:val="22"/>
        </w:rPr>
        <w:t>R</w:t>
      </w:r>
      <w:r w:rsidRPr="00184097">
        <w:rPr>
          <w:szCs w:val="22"/>
        </w:rPr>
        <w:t>ules,</w:t>
      </w:r>
      <w:r>
        <w:rPr>
          <w:rStyle w:val="FootnoteReference"/>
          <w:sz w:val="22"/>
          <w:szCs w:val="22"/>
        </w:rPr>
        <w:footnoteReference w:id="15"/>
      </w:r>
      <w:r w:rsidRPr="00184097">
        <w:rPr>
          <w:szCs w:val="22"/>
        </w:rPr>
        <w:t xml:space="preserve"> which requires noncommercial educational stations to place quarterly issues/programs lists in their online public inspection file.  To resolve these matters, </w:t>
      </w:r>
      <w:bookmarkStart w:id="0" w:name="_Hlk40885159"/>
      <w:r w:rsidRPr="00184097">
        <w:rPr>
          <w:szCs w:val="22"/>
        </w:rPr>
        <w:t xml:space="preserve">the </w:t>
      </w:r>
      <w:r w:rsidRPr="00184097">
        <w:rPr>
          <w:bCs/>
          <w:szCs w:val="22"/>
        </w:rPr>
        <w:t>Licensee</w:t>
      </w:r>
      <w:r w:rsidRPr="00184097">
        <w:rPr>
          <w:b/>
          <w:szCs w:val="22"/>
        </w:rPr>
        <w:t xml:space="preserve"> </w:t>
      </w:r>
      <w:bookmarkEnd w:id="0"/>
      <w:r w:rsidRPr="00184097">
        <w:rPr>
          <w:szCs w:val="22"/>
        </w:rPr>
        <w:t xml:space="preserve">agrees to </w:t>
      </w:r>
      <w:r>
        <w:rPr>
          <w:szCs w:val="22"/>
        </w:rPr>
        <w:t>pay</w:t>
      </w:r>
      <w:r w:rsidRPr="00184097">
        <w:rPr>
          <w:szCs w:val="22"/>
        </w:rPr>
        <w:t xml:space="preserve"> a civil penalty payment to the United States Treasury in the amount of eight thousand one hundred and fifty dollars ($8,150)</w:t>
      </w:r>
      <w:r>
        <w:rPr>
          <w:szCs w:val="22"/>
        </w:rPr>
        <w:t xml:space="preserve"> and </w:t>
      </w:r>
      <w:r w:rsidRPr="00184097">
        <w:rPr>
          <w:szCs w:val="22"/>
        </w:rPr>
        <w:t>implement a comprehensive Compliance Plan to ensure its future compliance with section</w:t>
      </w:r>
      <w:r>
        <w:rPr>
          <w:szCs w:val="22"/>
        </w:rPr>
        <w:t>s 73.3514(a) and</w:t>
      </w:r>
      <w:r w:rsidRPr="00184097">
        <w:rPr>
          <w:szCs w:val="22"/>
        </w:rPr>
        <w:t xml:space="preserve"> 73.3527(e)(8)</w:t>
      </w:r>
      <w:r>
        <w:rPr>
          <w:szCs w:val="22"/>
        </w:rPr>
        <w:t xml:space="preserve"> of the Rules</w:t>
      </w:r>
      <w:r w:rsidRPr="00184097">
        <w:rPr>
          <w:szCs w:val="22"/>
        </w:rPr>
        <w:t>.  The Bureau agrees to</w:t>
      </w:r>
      <w:r>
        <w:rPr>
          <w:szCs w:val="22"/>
        </w:rPr>
        <w:t xml:space="preserve"> terminate its investigation, and</w:t>
      </w:r>
      <w:r w:rsidRPr="00184097">
        <w:rPr>
          <w:szCs w:val="22"/>
        </w:rPr>
        <w:t xml:space="preserve"> grant the Stations</w:t>
      </w:r>
      <w:r>
        <w:rPr>
          <w:szCs w:val="22"/>
        </w:rPr>
        <w:t>’</w:t>
      </w:r>
      <w:r w:rsidRPr="00184097">
        <w:rPr>
          <w:szCs w:val="22"/>
        </w:rPr>
        <w:t xml:space="preserve"> pending license renewal applications, subject to the terms and conditions set forth below. </w:t>
      </w:r>
    </w:p>
    <w:p w:rsidR="00430A62" w:rsidRPr="009B2621" w:rsidP="00430A62" w14:paraId="619ED654" w14:textId="77777777">
      <w:pPr>
        <w:pStyle w:val="Heading1"/>
        <w:keepNext w:val="0"/>
        <w:suppressAutoHyphens w:val="0"/>
        <w:rPr>
          <w:b w:val="0"/>
          <w:szCs w:val="22"/>
        </w:rPr>
      </w:pPr>
      <w:r w:rsidRPr="009B2621">
        <w:rPr>
          <w:rFonts w:ascii="Times New Roman" w:hAnsi="Times New Roman"/>
          <w:szCs w:val="22"/>
        </w:rPr>
        <w:t>DEFINITIONS</w:t>
      </w:r>
    </w:p>
    <w:p w:rsidR="00430A62" w:rsidRPr="00184097" w:rsidP="00430A62" w14:paraId="259137B9" w14:textId="77777777">
      <w:pPr>
        <w:pStyle w:val="ParaNum"/>
        <w:rPr>
          <w:szCs w:val="22"/>
        </w:rPr>
      </w:pPr>
      <w:r w:rsidRPr="00184097">
        <w:rPr>
          <w:szCs w:val="22"/>
        </w:rPr>
        <w:t>For the purposes of this Consent Decree, the following definitions shall apply:</w:t>
      </w:r>
    </w:p>
    <w:p w:rsidR="00430A62" w:rsidRPr="00184097" w:rsidP="00430A62" w14:paraId="4F137A90" w14:textId="77777777">
      <w:pPr>
        <w:numPr>
          <w:ilvl w:val="0"/>
          <w:numId w:val="7"/>
        </w:numPr>
        <w:spacing w:after="120"/>
        <w:rPr>
          <w:szCs w:val="22"/>
        </w:rPr>
      </w:pPr>
      <w:r w:rsidRPr="00184097">
        <w:rPr>
          <w:szCs w:val="22"/>
        </w:rPr>
        <w:t xml:space="preserve">“Act” means the Communications Act of 1934, as amended, 47 U.S.C. § 151 </w:t>
      </w:r>
      <w:r w:rsidRPr="00184097">
        <w:rPr>
          <w:i/>
          <w:szCs w:val="22"/>
        </w:rPr>
        <w:t>et seq</w:t>
      </w:r>
      <w:r w:rsidRPr="00184097">
        <w:rPr>
          <w:szCs w:val="22"/>
        </w:rPr>
        <w:t>.</w:t>
      </w:r>
    </w:p>
    <w:p w:rsidR="00430A62" w:rsidRPr="00184097" w:rsidP="00430A62" w14:paraId="3951D5A8" w14:textId="77777777">
      <w:pPr>
        <w:numPr>
          <w:ilvl w:val="0"/>
          <w:numId w:val="7"/>
        </w:numPr>
        <w:spacing w:after="120"/>
        <w:rPr>
          <w:szCs w:val="22"/>
        </w:rPr>
      </w:pPr>
      <w:r w:rsidRPr="00184097">
        <w:rPr>
          <w:szCs w:val="22"/>
        </w:rPr>
        <w:t>“Adopting Order” means an Order of the Bureau adopting the terms of this Consent Decree without change, addition, deletion, or modification.</w:t>
      </w:r>
    </w:p>
    <w:p w:rsidR="00430A62" w:rsidRPr="00184097" w:rsidP="00430A62" w14:paraId="137E64BA" w14:textId="77777777">
      <w:pPr>
        <w:numPr>
          <w:ilvl w:val="0"/>
          <w:numId w:val="7"/>
        </w:numPr>
        <w:spacing w:after="120"/>
        <w:rPr>
          <w:szCs w:val="22"/>
        </w:rPr>
      </w:pPr>
      <w:r w:rsidRPr="00184097">
        <w:rPr>
          <w:szCs w:val="22"/>
        </w:rPr>
        <w:t xml:space="preserve">“Applications” means applications of Prairie Public Broadcasting, Inc. for renewal of the television broadcast licenses for stations </w:t>
      </w:r>
      <w:r w:rsidRPr="00184097">
        <w:rPr>
          <w:spacing w:val="-2"/>
          <w:szCs w:val="22"/>
        </w:rPr>
        <w:t>KBME-TV, Bismark, ND, LMS File No. 0000171009; KCGE-DT, Crookston, MN, LMS File No. 0000171015; KMDE(TV), Devils Lake, ND, LMS File</w:t>
      </w:r>
      <w:r>
        <w:rPr>
          <w:spacing w:val="-2"/>
          <w:szCs w:val="22"/>
        </w:rPr>
        <w:t xml:space="preserve"> </w:t>
      </w:r>
      <w:r w:rsidRPr="00184097">
        <w:rPr>
          <w:spacing w:val="-2"/>
          <w:szCs w:val="22"/>
        </w:rPr>
        <w:t>No. 0000171030; KSRE(TV), Minot, ND, LMS File No. 0000171014; KWSE(TV), Williston, ND, LMS File No.. 0000171016; KJRE(TV), Ellendale, ND, LMS File No. 0000171022; KFME(TV), Fargo, ND, LMS File No.0000171028</w:t>
      </w:r>
      <w:r w:rsidRPr="00184097">
        <w:rPr>
          <w:szCs w:val="22"/>
        </w:rPr>
        <w:t>.</w:t>
      </w:r>
    </w:p>
    <w:p w:rsidR="00430A62" w:rsidP="00430A62" w14:paraId="72EAED1D" w14:textId="77777777">
      <w:pPr>
        <w:numPr>
          <w:ilvl w:val="0"/>
          <w:numId w:val="7"/>
        </w:numPr>
        <w:spacing w:after="120"/>
        <w:rPr>
          <w:szCs w:val="22"/>
        </w:rPr>
      </w:pPr>
      <w:r w:rsidRPr="00184097">
        <w:rPr>
          <w:szCs w:val="22"/>
        </w:rPr>
        <w:t>“Bureau” means the Media Bureau of the Federal Communications Commission.</w:t>
      </w:r>
    </w:p>
    <w:p w:rsidR="00430A62" w:rsidRPr="00184097" w:rsidP="00430A62" w14:paraId="39975E8E" w14:textId="77777777">
      <w:pPr>
        <w:numPr>
          <w:ilvl w:val="0"/>
          <w:numId w:val="7"/>
        </w:numPr>
        <w:spacing w:after="120"/>
        <w:rPr>
          <w:szCs w:val="22"/>
        </w:rPr>
      </w:pPr>
      <w:r>
        <w:rPr>
          <w:szCs w:val="22"/>
        </w:rPr>
        <w:t>“Content of Applications Rule” means 47 CFR § 73.3514(a).</w:t>
      </w:r>
    </w:p>
    <w:p w:rsidR="00430A62" w:rsidRPr="00184097" w:rsidP="00430A62" w14:paraId="7F135283" w14:textId="77777777">
      <w:pPr>
        <w:widowControl/>
        <w:numPr>
          <w:ilvl w:val="0"/>
          <w:numId w:val="7"/>
        </w:numPr>
        <w:spacing w:after="120"/>
        <w:rPr>
          <w:szCs w:val="22"/>
        </w:rPr>
      </w:pPr>
      <w:r w:rsidRPr="00184097">
        <w:rPr>
          <w:szCs w:val="22"/>
        </w:rPr>
        <w:t xml:space="preserve">“Commission” or “FCC” means the Federal Communications Commission and all of its bureaus and offices.  </w:t>
      </w:r>
    </w:p>
    <w:p w:rsidR="00430A62" w:rsidRPr="00184097" w:rsidP="00430A62" w14:paraId="23515F22" w14:textId="77777777">
      <w:pPr>
        <w:numPr>
          <w:ilvl w:val="0"/>
          <w:numId w:val="7"/>
        </w:numPr>
        <w:spacing w:after="120"/>
        <w:rPr>
          <w:szCs w:val="22"/>
        </w:rPr>
      </w:pPr>
      <w:r w:rsidRPr="00184097">
        <w:rPr>
          <w:szCs w:val="22"/>
        </w:rPr>
        <w:t>“Covered Employees” means all employees, volunteers, and agents of the Licensee, who are responsible for performing, supervising, overseeing, or managing activities related to the filing of timely issues/programs lists as required by the Issues and Programs Lists Rule</w:t>
      </w:r>
      <w:r>
        <w:rPr>
          <w:szCs w:val="22"/>
        </w:rPr>
        <w:t xml:space="preserve"> and submitting applications as required by the Content of Applications Rule</w:t>
      </w:r>
      <w:r w:rsidRPr="00184097">
        <w:rPr>
          <w:szCs w:val="22"/>
        </w:rPr>
        <w:t>.</w:t>
      </w:r>
    </w:p>
    <w:p w:rsidR="00430A62" w:rsidRPr="00184097" w:rsidP="00430A62" w14:paraId="03BB526E" w14:textId="77777777">
      <w:pPr>
        <w:numPr>
          <w:ilvl w:val="0"/>
          <w:numId w:val="7"/>
        </w:numPr>
        <w:spacing w:after="120"/>
        <w:rPr>
          <w:szCs w:val="22"/>
        </w:rPr>
      </w:pPr>
      <w:r w:rsidRPr="00184097">
        <w:rPr>
          <w:szCs w:val="22"/>
        </w:rPr>
        <w:t>“Division” means the Media Bureau’s Video Division.</w:t>
      </w:r>
    </w:p>
    <w:p w:rsidR="00430A62" w:rsidRPr="00184097" w:rsidP="00430A62" w14:paraId="4455E67B" w14:textId="77777777">
      <w:pPr>
        <w:numPr>
          <w:ilvl w:val="0"/>
          <w:numId w:val="7"/>
        </w:numPr>
        <w:spacing w:after="120"/>
        <w:rPr>
          <w:szCs w:val="22"/>
        </w:rPr>
      </w:pPr>
      <w:r w:rsidRPr="00184097">
        <w:rPr>
          <w:szCs w:val="22"/>
        </w:rPr>
        <w:t>“Effective Date” means the date by which both the Bureau and the Licensee</w:t>
      </w:r>
      <w:r w:rsidRPr="00184097">
        <w:rPr>
          <w:b/>
          <w:szCs w:val="22"/>
        </w:rPr>
        <w:t xml:space="preserve"> </w:t>
      </w:r>
      <w:r w:rsidRPr="00184097">
        <w:rPr>
          <w:szCs w:val="22"/>
        </w:rPr>
        <w:t>have signed the Consent Decree.</w:t>
      </w:r>
    </w:p>
    <w:p w:rsidR="00430A62" w:rsidRPr="00184097" w:rsidP="00430A62" w14:paraId="2E77D015" w14:textId="77777777">
      <w:pPr>
        <w:numPr>
          <w:ilvl w:val="0"/>
          <w:numId w:val="7"/>
        </w:numPr>
        <w:spacing w:after="120"/>
        <w:rPr>
          <w:szCs w:val="22"/>
        </w:rPr>
      </w:pPr>
      <w:r w:rsidRPr="00184097">
        <w:rPr>
          <w:szCs w:val="22"/>
        </w:rPr>
        <w:t>“Issues and Programs Lists Rule” means 47 CFR § 73.3527(e)(8).</w:t>
      </w:r>
    </w:p>
    <w:p w:rsidR="00430A62" w:rsidRPr="00184097" w:rsidP="00430A62" w14:paraId="45766F79" w14:textId="77777777">
      <w:pPr>
        <w:numPr>
          <w:ilvl w:val="0"/>
          <w:numId w:val="7"/>
        </w:numPr>
        <w:spacing w:after="120"/>
        <w:rPr>
          <w:szCs w:val="22"/>
        </w:rPr>
      </w:pPr>
      <w:r w:rsidRPr="00184097">
        <w:rPr>
          <w:color w:val="000000"/>
          <w:szCs w:val="22"/>
        </w:rPr>
        <w:t>“Investigation” means the Bureau’s</w:t>
      </w:r>
      <w:r w:rsidRPr="00184097">
        <w:rPr>
          <w:szCs w:val="22"/>
        </w:rPr>
        <w:t xml:space="preserve"> examination of Licensee’s apparent violations of 47 CFR § 73.3527(e)(8)</w:t>
      </w:r>
      <w:r w:rsidRPr="00184097">
        <w:rPr>
          <w:bCs/>
          <w:szCs w:val="22"/>
        </w:rPr>
        <w:t>.</w:t>
      </w:r>
      <w:r w:rsidRPr="00184097">
        <w:rPr>
          <w:szCs w:val="22"/>
        </w:rPr>
        <w:t xml:space="preserve"> </w:t>
      </w:r>
    </w:p>
    <w:p w:rsidR="00430A62" w:rsidRPr="00184097" w:rsidP="00430A62" w14:paraId="6B9F577C" w14:textId="77777777">
      <w:pPr>
        <w:numPr>
          <w:ilvl w:val="0"/>
          <w:numId w:val="7"/>
        </w:numPr>
        <w:spacing w:after="120"/>
        <w:rPr>
          <w:szCs w:val="22"/>
        </w:rPr>
      </w:pPr>
      <w:r w:rsidRPr="00184097">
        <w:rPr>
          <w:szCs w:val="22"/>
        </w:rPr>
        <w:t xml:space="preserve">“Licensee” or “Prairie” means Prairie Public Broadcasting, Inc. and its affiliates, subsidiaries, predecessors-in-interest, and successors-in-interest.  </w:t>
      </w:r>
    </w:p>
    <w:p w:rsidR="00430A62" w:rsidRPr="00184097" w:rsidP="00430A62" w14:paraId="5AEC2AC7" w14:textId="77777777">
      <w:pPr>
        <w:numPr>
          <w:ilvl w:val="0"/>
          <w:numId w:val="7"/>
        </w:numPr>
        <w:spacing w:after="120"/>
        <w:rPr>
          <w:szCs w:val="22"/>
        </w:rPr>
      </w:pPr>
      <w:r w:rsidRPr="00184097">
        <w:rPr>
          <w:szCs w:val="22"/>
        </w:rPr>
        <w:t>“</w:t>
      </w:r>
      <w:r w:rsidRPr="008A0AB8">
        <w:rPr>
          <w:i/>
          <w:iCs/>
          <w:szCs w:val="22"/>
        </w:rPr>
        <w:t>NALs</w:t>
      </w:r>
      <w:r w:rsidRPr="00184097">
        <w:rPr>
          <w:szCs w:val="22"/>
        </w:rPr>
        <w:t xml:space="preserve">” or “Forfeiture Proceeding” means, collectively, </w:t>
      </w:r>
      <w:r w:rsidRPr="00184097">
        <w:rPr>
          <w:i/>
          <w:iCs/>
          <w:szCs w:val="22"/>
        </w:rPr>
        <w:t>Prairie Public Broadcasting, Inc.</w:t>
      </w:r>
      <w:r w:rsidRPr="00184097">
        <w:rPr>
          <w:szCs w:val="22"/>
        </w:rPr>
        <w:t xml:space="preserve">, Memorandum Opinion and Order and Notice of Apparent Liability for Forfeiture, </w:t>
      </w:r>
      <w:r>
        <w:t>37 FCC Rcd 6622</w:t>
      </w:r>
      <w:r w:rsidRPr="00184097">
        <w:rPr>
          <w:szCs w:val="22"/>
        </w:rPr>
        <w:t xml:space="preserve"> (Vid. Div. Jun. 6, 2022); </w:t>
      </w:r>
      <w:r w:rsidRPr="00184097">
        <w:rPr>
          <w:i/>
          <w:iCs/>
          <w:szCs w:val="22"/>
        </w:rPr>
        <w:t>Prairie Public Broadcasting, Inc.</w:t>
      </w:r>
      <w:r w:rsidRPr="00184097">
        <w:rPr>
          <w:szCs w:val="22"/>
        </w:rPr>
        <w:t xml:space="preserve">, Memorandum Opinion and Order and Notice of Apparent Liability for Forfeiture, </w:t>
      </w:r>
      <w:r>
        <w:t>37 FCC Rcd 6628</w:t>
      </w:r>
      <w:r w:rsidRPr="00184097">
        <w:rPr>
          <w:szCs w:val="22"/>
        </w:rPr>
        <w:t xml:space="preserve"> (Vid. Div. Jun. 6, 2022); </w:t>
      </w:r>
      <w:r w:rsidRPr="00184097">
        <w:rPr>
          <w:i/>
          <w:iCs/>
          <w:szCs w:val="22"/>
        </w:rPr>
        <w:t>Prairie Public Broadcasting, Inc.</w:t>
      </w:r>
      <w:r w:rsidRPr="00184097">
        <w:rPr>
          <w:szCs w:val="22"/>
        </w:rPr>
        <w:t xml:space="preserve">, Memorandum Opinion and Order and Notice of Apparent Liability for Forfeiture, </w:t>
      </w:r>
      <w:r>
        <w:t>37 FCC Rcd 6634</w:t>
      </w:r>
      <w:r w:rsidRPr="00184097">
        <w:rPr>
          <w:szCs w:val="22"/>
        </w:rPr>
        <w:t xml:space="preserve"> (Vid. Div. Jun. 6, 2022); and </w:t>
      </w:r>
      <w:r w:rsidRPr="00184097">
        <w:rPr>
          <w:i/>
          <w:iCs/>
          <w:szCs w:val="22"/>
        </w:rPr>
        <w:t>Prairie Public Broadcasting, Inc.</w:t>
      </w:r>
      <w:r w:rsidRPr="00184097">
        <w:rPr>
          <w:szCs w:val="22"/>
        </w:rPr>
        <w:t xml:space="preserve">, Memorandum Opinion and Order and Notice of Apparent Liability for Forfeiture, </w:t>
      </w:r>
      <w:r>
        <w:t>37 FCC Rcd 6639</w:t>
      </w:r>
      <w:r w:rsidRPr="00184097">
        <w:rPr>
          <w:szCs w:val="22"/>
        </w:rPr>
        <w:t xml:space="preserve"> (Vid. Div. Jun. 6, 2022).</w:t>
      </w:r>
    </w:p>
    <w:p w:rsidR="00430A62" w:rsidRPr="00184097" w:rsidP="00430A62" w14:paraId="31320284" w14:textId="77777777">
      <w:pPr>
        <w:numPr>
          <w:ilvl w:val="0"/>
          <w:numId w:val="7"/>
        </w:numPr>
        <w:spacing w:after="120"/>
        <w:rPr>
          <w:szCs w:val="22"/>
        </w:rPr>
      </w:pPr>
      <w:r w:rsidRPr="00184097">
        <w:rPr>
          <w:szCs w:val="22"/>
        </w:rPr>
        <w:t xml:space="preserve">“NCE” means noncommercial educational as defined by </w:t>
      </w:r>
      <w:r>
        <w:rPr>
          <w:szCs w:val="22"/>
        </w:rPr>
        <w:t>47 CFR § 73.621</w:t>
      </w:r>
      <w:r w:rsidRPr="00184097">
        <w:rPr>
          <w:szCs w:val="22"/>
        </w:rPr>
        <w:t>.</w:t>
      </w:r>
    </w:p>
    <w:p w:rsidR="00430A62" w:rsidRPr="00184097" w:rsidP="00430A62" w14:paraId="66973CD8" w14:textId="77777777">
      <w:pPr>
        <w:numPr>
          <w:ilvl w:val="0"/>
          <w:numId w:val="7"/>
        </w:numPr>
        <w:spacing w:after="120"/>
        <w:rPr>
          <w:szCs w:val="22"/>
        </w:rPr>
      </w:pPr>
      <w:r w:rsidRPr="00184097">
        <w:rPr>
          <w:szCs w:val="22"/>
        </w:rPr>
        <w:t>“OPIF” means the respective station’s online public inspection file as defined by 47 CFR § 73.3527.</w:t>
      </w:r>
    </w:p>
    <w:p w:rsidR="00430A62" w:rsidRPr="00184097" w:rsidP="00430A62" w14:paraId="530621D4" w14:textId="77777777">
      <w:pPr>
        <w:numPr>
          <w:ilvl w:val="0"/>
          <w:numId w:val="7"/>
        </w:numPr>
        <w:spacing w:after="120"/>
        <w:rPr>
          <w:szCs w:val="22"/>
        </w:rPr>
      </w:pPr>
      <w:r w:rsidRPr="00184097">
        <w:rPr>
          <w:szCs w:val="22"/>
        </w:rPr>
        <w:t>“Parties” means the Licensee</w:t>
      </w:r>
      <w:r w:rsidRPr="00184097">
        <w:rPr>
          <w:b/>
          <w:szCs w:val="22"/>
        </w:rPr>
        <w:t xml:space="preserve"> </w:t>
      </w:r>
      <w:r w:rsidRPr="00184097">
        <w:rPr>
          <w:szCs w:val="22"/>
        </w:rPr>
        <w:t>and the Bureau, each of which is a “Party.”</w:t>
      </w:r>
    </w:p>
    <w:p w:rsidR="00430A62" w:rsidRPr="00184097" w:rsidP="00430A62" w14:paraId="2D4CA96B" w14:textId="77777777">
      <w:pPr>
        <w:numPr>
          <w:ilvl w:val="0"/>
          <w:numId w:val="7"/>
        </w:numPr>
        <w:spacing w:after="120"/>
        <w:rPr>
          <w:szCs w:val="22"/>
        </w:rPr>
      </w:pPr>
      <w:r w:rsidRPr="00184097">
        <w:rPr>
          <w:szCs w:val="22"/>
        </w:rPr>
        <w:t>“Rules” means the Commission’s regulations found in Title 47 of the Code of Federal Regulations.</w:t>
      </w:r>
      <w:r w:rsidRPr="00184097">
        <w:rPr>
          <w:color w:val="000000"/>
          <w:szCs w:val="22"/>
        </w:rPr>
        <w:t xml:space="preserve"> </w:t>
      </w:r>
    </w:p>
    <w:p w:rsidR="00430A62" w:rsidRPr="00184097" w:rsidP="00430A62" w14:paraId="710C3AD2" w14:textId="77777777">
      <w:pPr>
        <w:numPr>
          <w:ilvl w:val="0"/>
          <w:numId w:val="7"/>
        </w:numPr>
        <w:spacing w:after="120"/>
        <w:rPr>
          <w:szCs w:val="22"/>
        </w:rPr>
      </w:pPr>
      <w:r w:rsidRPr="00184097">
        <w:rPr>
          <w:color w:val="000000"/>
          <w:szCs w:val="22"/>
        </w:rPr>
        <w:t xml:space="preserve">“Stations” means collectively </w:t>
      </w:r>
      <w:r w:rsidRPr="00184097">
        <w:rPr>
          <w:spacing w:val="-2"/>
          <w:szCs w:val="22"/>
        </w:rPr>
        <w:t>KBME-TV, Bismark, ND (KBME); KCGE-DT, Crookston, MN (KCGE); KMDE(TV), Devils Lake, ND (KMDE); KSRE(TV), Minot, ND (KSRE); KWSE(TV), Williston, ND (KWSE); KJRE(TV), Ellendale, ND (KJRE); and KFME(TV), Fargo, ND (KFME)</w:t>
      </w:r>
      <w:r w:rsidRPr="00184097">
        <w:rPr>
          <w:szCs w:val="22"/>
        </w:rPr>
        <w:t>.</w:t>
      </w:r>
    </w:p>
    <w:p w:rsidR="00430A62" w:rsidRPr="00747258" w:rsidP="00430A62" w14:paraId="7D397908" w14:textId="77777777">
      <w:pPr>
        <w:pStyle w:val="Heading1"/>
        <w:keepNext w:val="0"/>
        <w:suppressAutoHyphens w:val="0"/>
        <w:rPr>
          <w:b w:val="0"/>
          <w:szCs w:val="22"/>
        </w:rPr>
      </w:pPr>
      <w:r w:rsidRPr="00747258">
        <w:rPr>
          <w:rFonts w:ascii="Times New Roman" w:hAnsi="Times New Roman"/>
          <w:szCs w:val="22"/>
        </w:rPr>
        <w:t>BACKGROUND</w:t>
      </w:r>
    </w:p>
    <w:p w:rsidR="00430A62" w:rsidRPr="00184097" w:rsidP="00430A62" w14:paraId="20E513BB" w14:textId="77777777">
      <w:pPr>
        <w:pStyle w:val="ParaNum"/>
        <w:rPr>
          <w:szCs w:val="22"/>
        </w:rPr>
      </w:pPr>
      <w:r w:rsidRPr="00184097">
        <w:rPr>
          <w:szCs w:val="22"/>
        </w:rPr>
        <w:t xml:space="preserve">On November 23, 2021, </w:t>
      </w:r>
      <w:r>
        <w:rPr>
          <w:szCs w:val="22"/>
        </w:rPr>
        <w:t xml:space="preserve">the </w:t>
      </w:r>
      <w:r w:rsidRPr="00184097">
        <w:rPr>
          <w:szCs w:val="22"/>
        </w:rPr>
        <w:t xml:space="preserve">Licensee filed the Applications.  In its application to renew the license of KMDE, </w:t>
      </w:r>
      <w:r>
        <w:rPr>
          <w:szCs w:val="22"/>
        </w:rPr>
        <w:t xml:space="preserve">the </w:t>
      </w:r>
      <w:r w:rsidRPr="00184097">
        <w:rPr>
          <w:szCs w:val="22"/>
        </w:rPr>
        <w:t>Licensee disclosed that it failed to timely file the issues/programs list for the first quarter of 2020.</w:t>
      </w:r>
      <w:r>
        <w:rPr>
          <w:rStyle w:val="FootnoteReference"/>
          <w:sz w:val="22"/>
          <w:szCs w:val="22"/>
        </w:rPr>
        <w:footnoteReference w:id="16"/>
      </w:r>
      <w:r w:rsidRPr="00184097">
        <w:rPr>
          <w:szCs w:val="22"/>
        </w:rPr>
        <w:t xml:space="preserve">  However, a Division staff review identified an additional ten untimely filed issues/programs lists in KMDE’s OPIF.  In total, KMDE’s OPIF included three issues/programs lists that were filed under one month late, four issues/programs lists filed between one month and one year late, </w:t>
      </w:r>
      <w:r w:rsidRPr="00184097">
        <w:rPr>
          <w:szCs w:val="22"/>
        </w:rPr>
        <w:t>and four issues/programs lists filed over one year late.  Division staff also identified late issues/programs lists in the OPIFs of the six other stations licensed to Prairie</w:t>
      </w:r>
      <w:r>
        <w:rPr>
          <w:szCs w:val="22"/>
        </w:rPr>
        <w:t>, none of which were disclosed in the station’s respective license renewal application</w:t>
      </w:r>
      <w:r w:rsidRPr="00184097">
        <w:rPr>
          <w:szCs w:val="22"/>
        </w:rPr>
        <w:t xml:space="preserve">.  </w:t>
      </w:r>
    </w:p>
    <w:p w:rsidR="00430A62" w:rsidRPr="00184097" w:rsidP="00430A62" w14:paraId="0F32AF19" w14:textId="77777777">
      <w:pPr>
        <w:pStyle w:val="ParaNum"/>
        <w:numPr>
          <w:ilvl w:val="0"/>
          <w:numId w:val="11"/>
        </w:numPr>
        <w:rPr>
          <w:szCs w:val="22"/>
        </w:rPr>
      </w:pPr>
      <w:r w:rsidRPr="00184097">
        <w:rPr>
          <w:szCs w:val="22"/>
        </w:rPr>
        <w:t xml:space="preserve">KBME’s OPIF included three issues/programs lists that were filed under one month late, four issues/programs lists that were filed between one month and one year late, and three issues/programs lists that were filed over one year late.  </w:t>
      </w:r>
    </w:p>
    <w:p w:rsidR="00430A62" w:rsidRPr="00184097" w:rsidP="00430A62" w14:paraId="26741478" w14:textId="77777777">
      <w:pPr>
        <w:pStyle w:val="ParaNum"/>
        <w:numPr>
          <w:ilvl w:val="0"/>
          <w:numId w:val="11"/>
        </w:numPr>
        <w:rPr>
          <w:szCs w:val="22"/>
        </w:rPr>
      </w:pPr>
      <w:r w:rsidRPr="00184097">
        <w:rPr>
          <w:szCs w:val="22"/>
        </w:rPr>
        <w:t xml:space="preserve">KSRE’s OPIF included four issues/programs lists that were filed under one month late, three issues/programs lists that were filed between one month and one year late, and four issues/programs lists that were filed over one year late.  </w:t>
      </w:r>
    </w:p>
    <w:p w:rsidR="00430A62" w:rsidRPr="00184097" w:rsidP="00430A62" w14:paraId="4E4216E2" w14:textId="77777777">
      <w:pPr>
        <w:pStyle w:val="ParaNum"/>
        <w:numPr>
          <w:ilvl w:val="0"/>
          <w:numId w:val="11"/>
        </w:numPr>
        <w:rPr>
          <w:szCs w:val="22"/>
        </w:rPr>
      </w:pPr>
      <w:r w:rsidRPr="00184097">
        <w:rPr>
          <w:szCs w:val="22"/>
        </w:rPr>
        <w:t xml:space="preserve">KCGE’s OPIF included four issues/programs lists that were filed under one month late, three issues/programs lists that were filed between one month and one year late, and four issues/programs lists that were filed over one year late.  </w:t>
      </w:r>
    </w:p>
    <w:p w:rsidR="00430A62" w:rsidRPr="00184097" w:rsidP="00430A62" w14:paraId="5874CD64" w14:textId="77777777">
      <w:pPr>
        <w:pStyle w:val="ParaNum"/>
        <w:numPr>
          <w:ilvl w:val="0"/>
          <w:numId w:val="11"/>
        </w:numPr>
        <w:rPr>
          <w:szCs w:val="22"/>
        </w:rPr>
      </w:pPr>
      <w:r w:rsidRPr="00184097">
        <w:rPr>
          <w:szCs w:val="22"/>
        </w:rPr>
        <w:t xml:space="preserve">KWSE’s OPIF included four issues/programs lists that were filed under one month late, three issues/programs lists that were filed between one month and one year late, and four issues/programs lists that were filed over one year late.  </w:t>
      </w:r>
    </w:p>
    <w:p w:rsidR="00430A62" w:rsidRPr="00184097" w:rsidP="00430A62" w14:paraId="13F867BF" w14:textId="77777777">
      <w:pPr>
        <w:pStyle w:val="ParaNum"/>
        <w:numPr>
          <w:ilvl w:val="0"/>
          <w:numId w:val="11"/>
        </w:numPr>
        <w:rPr>
          <w:szCs w:val="22"/>
        </w:rPr>
      </w:pPr>
      <w:r w:rsidRPr="00184097">
        <w:rPr>
          <w:szCs w:val="22"/>
        </w:rPr>
        <w:t xml:space="preserve">KJRE’s OPIF included five issues/programs lists that were filed under one month late, three issues/programs lists that were filed between one month and one year late, and four issues/programs lists that were filed over one year late.  </w:t>
      </w:r>
    </w:p>
    <w:p w:rsidR="00430A62" w:rsidP="00430A62" w14:paraId="3BB0CBE0" w14:textId="77777777">
      <w:pPr>
        <w:pStyle w:val="ParaNum"/>
        <w:numPr>
          <w:ilvl w:val="0"/>
          <w:numId w:val="11"/>
        </w:numPr>
        <w:rPr>
          <w:szCs w:val="22"/>
        </w:rPr>
      </w:pPr>
      <w:r w:rsidRPr="00184097">
        <w:rPr>
          <w:szCs w:val="22"/>
        </w:rPr>
        <w:t xml:space="preserve">KFME’s OPIF included five issues/programs lists that were filed under one month late, three issues/programs lists that were filed between one month and one year late, and four issues/programs lists that were filed over one year late.  </w:t>
      </w:r>
    </w:p>
    <w:p w:rsidR="00430A62" w:rsidRPr="00D3337A" w:rsidP="00430A62" w14:paraId="088A20C7" w14:textId="77777777">
      <w:pPr>
        <w:pStyle w:val="ParaNum"/>
      </w:pPr>
      <w:r w:rsidRPr="00D3337A">
        <w:t>Section 73.3514(a) of the Rules provides that “[e]ach application shall include all information called for by the particular form on which the application is required to be filed.”</w:t>
      </w:r>
      <w:r>
        <w:rPr>
          <w:rStyle w:val="FootnoteReference"/>
          <w:szCs w:val="22"/>
        </w:rPr>
        <w:footnoteReference w:id="17"/>
      </w:r>
      <w:r w:rsidRPr="00D3337A">
        <w:t xml:space="preserve">  The question entitled Online Public Inspection File of the license renewal application requires the licensee to certify that during the license term it has placed all documents required by section 73.3527 of the Rules into the station’s OPIF when required.</w:t>
      </w:r>
    </w:p>
    <w:p w:rsidR="00430A62" w:rsidRPr="00D3337A" w:rsidP="00430A62" w14:paraId="361821F3" w14:textId="77777777">
      <w:pPr>
        <w:pStyle w:val="ParaNum"/>
        <w:rPr>
          <w:szCs w:val="22"/>
        </w:rPr>
      </w:pPr>
      <w:r>
        <w:rPr>
          <w:szCs w:val="22"/>
        </w:rPr>
        <w:t>S</w:t>
      </w:r>
      <w:r w:rsidRPr="00184097">
        <w:rPr>
          <w:szCs w:val="22"/>
        </w:rPr>
        <w:t>ection 73.3527(e)(8) of the Rules requires every NCE television licensee to place in its OPIF, on a quarterly basis, an issues/programs list 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sz w:val="22"/>
          <w:szCs w:val="22"/>
        </w:rPr>
        <w:footnoteReference w:id="18"/>
      </w:r>
      <w:r w:rsidRPr="00184097">
        <w:rPr>
          <w:szCs w:val="22"/>
        </w:rPr>
        <w:t xml:space="preserve">  Issues/programs lists must be placed in the station’s OPIF by the tenth day of the succeeding calendar quarter and copies must be retained until final action on the station’s next license renewal application.</w:t>
      </w:r>
      <w:r>
        <w:rPr>
          <w:rStyle w:val="FootnoteReference"/>
          <w:sz w:val="22"/>
          <w:szCs w:val="22"/>
        </w:rPr>
        <w:footnoteReference w:id="19"/>
      </w:r>
    </w:p>
    <w:p w:rsidR="00430A62" w:rsidRPr="00184097" w:rsidP="00430A62" w14:paraId="56DB2ED5" w14:textId="77777777">
      <w:pPr>
        <w:pStyle w:val="ParaNum"/>
        <w:widowControl/>
        <w:rPr>
          <w:szCs w:val="22"/>
        </w:rPr>
      </w:pPr>
      <w:r w:rsidRPr="00184097">
        <w:rPr>
          <w:szCs w:val="22"/>
        </w:rPr>
        <w:t xml:space="preserve">On June 6, 2022, the Division released the </w:t>
      </w:r>
      <w:r w:rsidRPr="008A0AB8">
        <w:rPr>
          <w:i/>
          <w:iCs/>
          <w:szCs w:val="22"/>
        </w:rPr>
        <w:t>NALs</w:t>
      </w:r>
      <w:r w:rsidRPr="00184097">
        <w:rPr>
          <w:szCs w:val="22"/>
        </w:rPr>
        <w:t xml:space="preserve">.  In the </w:t>
      </w:r>
      <w:r w:rsidRPr="008A0AB8">
        <w:rPr>
          <w:i/>
          <w:iCs/>
          <w:szCs w:val="22"/>
        </w:rPr>
        <w:t>NALs</w:t>
      </w:r>
      <w:r w:rsidRPr="00184097">
        <w:rPr>
          <w:szCs w:val="22"/>
        </w:rPr>
        <w:t xml:space="preserve">, the Division found KBME liable for $6,000, KSRE liable for $9,000, KCGE liable for $9,000, and KMDE liable for $6,000.  Upon issuance of the </w:t>
      </w:r>
      <w:r w:rsidRPr="008A0AB8">
        <w:rPr>
          <w:i/>
          <w:iCs/>
          <w:szCs w:val="22"/>
        </w:rPr>
        <w:t>NALs</w:t>
      </w:r>
      <w:r w:rsidRPr="00184097">
        <w:rPr>
          <w:szCs w:val="22"/>
        </w:rPr>
        <w:t xml:space="preserve">, </w:t>
      </w:r>
      <w:r>
        <w:rPr>
          <w:szCs w:val="22"/>
        </w:rPr>
        <w:t xml:space="preserve">the </w:t>
      </w:r>
      <w:r w:rsidRPr="00184097">
        <w:rPr>
          <w:szCs w:val="22"/>
        </w:rPr>
        <w:t xml:space="preserve">Licensee’s counsel contacted Division staff to inquire about entering into a consent decree to resolve the public file deficiencies for the </w:t>
      </w:r>
      <w:r w:rsidRPr="008A0AB8">
        <w:rPr>
          <w:i/>
          <w:iCs/>
          <w:szCs w:val="22"/>
        </w:rPr>
        <w:t>NALs</w:t>
      </w:r>
      <w:r w:rsidRPr="00184097">
        <w:rPr>
          <w:szCs w:val="22"/>
        </w:rPr>
        <w:t xml:space="preserve">, as well as other Stations for which notices of apparent liability for forfeiture had not yet been released, but had similar OPIF violations </w:t>
      </w:r>
      <w:r w:rsidRPr="00184097">
        <w:rPr>
          <w:szCs w:val="22"/>
        </w:rPr>
        <w:t>(KJRE and KFME).</w:t>
      </w:r>
      <w:r>
        <w:rPr>
          <w:rStyle w:val="FootnoteReference"/>
          <w:sz w:val="22"/>
          <w:szCs w:val="22"/>
        </w:rPr>
        <w:footnoteReference w:id="20"/>
      </w:r>
      <w:r w:rsidRPr="00184097">
        <w:rPr>
          <w:szCs w:val="22"/>
        </w:rPr>
        <w:t xml:space="preserve">  </w:t>
      </w:r>
      <w:r>
        <w:rPr>
          <w:szCs w:val="22"/>
        </w:rPr>
        <w:t xml:space="preserve">The </w:t>
      </w:r>
      <w:r w:rsidRPr="00184097">
        <w:rPr>
          <w:szCs w:val="22"/>
        </w:rPr>
        <w:t xml:space="preserve">Licensee also filed a </w:t>
      </w:r>
      <w:r>
        <w:rPr>
          <w:szCs w:val="22"/>
        </w:rPr>
        <w:t>joint request for additional time to respond</w:t>
      </w:r>
      <w:r w:rsidRPr="00184097">
        <w:rPr>
          <w:szCs w:val="22"/>
        </w:rPr>
        <w:t>.</w:t>
      </w:r>
      <w:r>
        <w:rPr>
          <w:rStyle w:val="FootnoteReference"/>
          <w:sz w:val="22"/>
          <w:szCs w:val="22"/>
        </w:rPr>
        <w:footnoteReference w:id="21"/>
      </w:r>
      <w:r w:rsidRPr="00184097">
        <w:rPr>
          <w:szCs w:val="22"/>
        </w:rPr>
        <w:t xml:space="preserve">  In </w:t>
      </w:r>
      <w:r>
        <w:rPr>
          <w:szCs w:val="22"/>
        </w:rPr>
        <w:t>the</w:t>
      </w:r>
      <w:r w:rsidRPr="00184097">
        <w:rPr>
          <w:szCs w:val="22"/>
        </w:rPr>
        <w:t xml:space="preserve"> </w:t>
      </w:r>
      <w:r>
        <w:rPr>
          <w:szCs w:val="22"/>
        </w:rPr>
        <w:t>Request</w:t>
      </w:r>
      <w:r w:rsidRPr="00184097">
        <w:rPr>
          <w:szCs w:val="22"/>
        </w:rPr>
        <w:t>,</w:t>
      </w:r>
      <w:r>
        <w:rPr>
          <w:szCs w:val="22"/>
        </w:rPr>
        <w:t xml:space="preserve"> the</w:t>
      </w:r>
      <w:r w:rsidRPr="00184097">
        <w:rPr>
          <w:szCs w:val="22"/>
        </w:rPr>
        <w:t xml:space="preserve"> Licensee indicated that</w:t>
      </w:r>
      <w:r>
        <w:rPr>
          <w:szCs w:val="22"/>
        </w:rPr>
        <w:t xml:space="preserve"> the late filings were the result of errors made by station personnel.</w:t>
      </w:r>
      <w:r>
        <w:rPr>
          <w:rStyle w:val="FootnoteReference"/>
          <w:sz w:val="22"/>
          <w:szCs w:val="22"/>
        </w:rPr>
        <w:footnoteReference w:id="22"/>
      </w:r>
      <w:r>
        <w:rPr>
          <w:szCs w:val="22"/>
        </w:rPr>
        <w:t xml:space="preserve"> </w:t>
      </w:r>
      <w:r w:rsidRPr="00184097">
        <w:rPr>
          <w:szCs w:val="22"/>
        </w:rPr>
        <w:t xml:space="preserve"> We note that “employee acts or omissions, such as clerical errors in failing to file required forms, do not excuse violations”</w:t>
      </w:r>
      <w:r>
        <w:rPr>
          <w:rStyle w:val="FootnoteReference"/>
          <w:sz w:val="22"/>
          <w:szCs w:val="22"/>
        </w:rPr>
        <w:footnoteReference w:id="23"/>
      </w:r>
      <w:r w:rsidRPr="00184097">
        <w:rPr>
          <w:szCs w:val="22"/>
        </w:rPr>
        <w:t xml:space="preserve"> and Licensees are responsible for the errors or oversights of their employees.</w:t>
      </w:r>
      <w:r>
        <w:rPr>
          <w:rStyle w:val="FootnoteReference"/>
          <w:sz w:val="22"/>
          <w:szCs w:val="22"/>
        </w:rPr>
        <w:footnoteReference w:id="24"/>
      </w:r>
    </w:p>
    <w:p w:rsidR="00430A62" w:rsidRPr="00184097" w:rsidP="00430A62" w14:paraId="31A08D21" w14:textId="77777777">
      <w:pPr>
        <w:pStyle w:val="ParaNum"/>
        <w:rPr>
          <w:szCs w:val="22"/>
        </w:rPr>
      </w:pPr>
      <w:r>
        <w:rPr>
          <w:szCs w:val="22"/>
        </w:rPr>
        <w:t xml:space="preserve">The </w:t>
      </w:r>
      <w:r w:rsidRPr="00184097">
        <w:rPr>
          <w:szCs w:val="22"/>
        </w:rPr>
        <w:t xml:space="preserve">Licensee </w:t>
      </w:r>
      <w:r>
        <w:rPr>
          <w:szCs w:val="22"/>
        </w:rPr>
        <w:t xml:space="preserve">also </w:t>
      </w:r>
      <w:r w:rsidRPr="00184097">
        <w:rPr>
          <w:szCs w:val="22"/>
        </w:rPr>
        <w:t>indicated to Division staff</w:t>
      </w:r>
      <w:r>
        <w:rPr>
          <w:szCs w:val="22"/>
        </w:rPr>
        <w:t xml:space="preserve"> via phone conversations</w:t>
      </w:r>
      <w:r w:rsidRPr="00184097">
        <w:rPr>
          <w:szCs w:val="22"/>
        </w:rPr>
        <w:t xml:space="preserve"> that the reason for the extent of violations was the unique nature of</w:t>
      </w:r>
      <w:r>
        <w:rPr>
          <w:szCs w:val="22"/>
        </w:rPr>
        <w:t xml:space="preserve"> the</w:t>
      </w:r>
      <w:r w:rsidRPr="00184097">
        <w:rPr>
          <w:szCs w:val="22"/>
        </w:rPr>
        <w:t xml:space="preserve"> Licensee’s network of NCE stations</w:t>
      </w:r>
      <w:r>
        <w:rPr>
          <w:szCs w:val="22"/>
        </w:rPr>
        <w:t xml:space="preserve">, </w:t>
      </w:r>
      <w:r w:rsidRPr="00184097">
        <w:rPr>
          <w:szCs w:val="22"/>
        </w:rPr>
        <w:t>all of which air the same content</w:t>
      </w:r>
      <w:r>
        <w:rPr>
          <w:szCs w:val="22"/>
        </w:rPr>
        <w:t>,</w:t>
      </w:r>
      <w:r>
        <w:rPr>
          <w:rStyle w:val="FootnoteReference"/>
          <w:szCs w:val="22"/>
        </w:rPr>
        <w:footnoteReference w:id="25"/>
      </w:r>
      <w:r w:rsidRPr="00184097">
        <w:rPr>
          <w:szCs w:val="22"/>
        </w:rPr>
        <w:t xml:space="preserve"> </w:t>
      </w:r>
      <w:r>
        <w:rPr>
          <w:szCs w:val="22"/>
        </w:rPr>
        <w:t>and</w:t>
      </w:r>
      <w:r w:rsidRPr="00184097">
        <w:rPr>
          <w:szCs w:val="22"/>
        </w:rPr>
        <w:t xml:space="preserve"> </w:t>
      </w:r>
      <w:r>
        <w:rPr>
          <w:szCs w:val="22"/>
        </w:rPr>
        <w:t>a</w:t>
      </w:r>
      <w:r w:rsidRPr="00184097">
        <w:rPr>
          <w:szCs w:val="22"/>
        </w:rPr>
        <w:t xml:space="preserve">s a result, the same late filing would often occur in multiple stations’ OPIFs.  This is consistent with the review of the OPIFs by Division staff, which found that across the stations, the late filed issues/programs lists were generally for the same quarters, and the late filings were submitted on the same day.  </w:t>
      </w:r>
    </w:p>
    <w:p w:rsidR="00430A62" w:rsidRPr="00184097" w:rsidP="00430A62" w14:paraId="7752E61B" w14:textId="77777777">
      <w:pPr>
        <w:pStyle w:val="ParaNum"/>
        <w:rPr>
          <w:snapToGrid/>
          <w:kern w:val="0"/>
          <w:szCs w:val="22"/>
        </w:rPr>
      </w:pPr>
      <w:r w:rsidRPr="00184097">
        <w:rPr>
          <w:szCs w:val="22"/>
        </w:rPr>
        <w:t xml:space="preserve">In consideration of the unique facts and nature of the Stations in this case, </w:t>
      </w:r>
      <w:r>
        <w:rPr>
          <w:szCs w:val="22"/>
        </w:rPr>
        <w:t xml:space="preserve">the </w:t>
      </w:r>
      <w:r w:rsidRPr="00184097">
        <w:rPr>
          <w:szCs w:val="22"/>
        </w:rPr>
        <w:t>Licensee’s history of compliance, and</w:t>
      </w:r>
      <w:r>
        <w:rPr>
          <w:szCs w:val="22"/>
        </w:rPr>
        <w:t xml:space="preserve"> the</w:t>
      </w:r>
      <w:r w:rsidRPr="00184097">
        <w:rPr>
          <w:szCs w:val="22"/>
        </w:rPr>
        <w:t xml:space="preserve"> Licensee’s agreement to pay a civil penalty and implement a compliance plan, t</w:t>
      </w:r>
      <w:r w:rsidRPr="00184097">
        <w:rPr>
          <w:snapToGrid/>
          <w:szCs w:val="22"/>
        </w:rPr>
        <w:t>he Bureau has negotiated the terms of this Consent Decree with the Licensee that terminates the Investigation</w:t>
      </w:r>
      <w:r w:rsidRPr="00184097">
        <w:rPr>
          <w:szCs w:val="22"/>
        </w:rPr>
        <w:t xml:space="preserve">, </w:t>
      </w:r>
      <w:r w:rsidRPr="00184097">
        <w:rPr>
          <w:snapToGrid/>
          <w:szCs w:val="22"/>
        </w:rPr>
        <w:t>resolves the Forfeiture Proceeding</w:t>
      </w:r>
      <w:r>
        <w:rPr>
          <w:snapToGrid/>
          <w:szCs w:val="22"/>
        </w:rPr>
        <w:t>s</w:t>
      </w:r>
      <w:r w:rsidRPr="00184097">
        <w:rPr>
          <w:snapToGrid/>
          <w:szCs w:val="22"/>
        </w:rPr>
        <w:t xml:space="preserve">, and grants the Applications, subject to the terms and conditions set forth below.  </w:t>
      </w:r>
      <w:r>
        <w:rPr>
          <w:snapToGrid/>
          <w:szCs w:val="22"/>
        </w:rPr>
        <w:t xml:space="preserve">The </w:t>
      </w:r>
      <w:r w:rsidRPr="00184097">
        <w:rPr>
          <w:snapToGrid/>
          <w:szCs w:val="22"/>
        </w:rPr>
        <w:t xml:space="preserve">Licensee has agreed to </w:t>
      </w:r>
      <w:r w:rsidRPr="00184097">
        <w:rPr>
          <w:snapToGrid/>
          <w:kern w:val="0"/>
          <w:szCs w:val="22"/>
        </w:rPr>
        <w:t>pay a civil penalty of Eight Thousand One Hundred and Fifty Dollars ($8,150) to the U.S. Treasury and maintain a Compliance Plan designed to ensure its future compliance with the Issues and Programs List Rule</w:t>
      </w:r>
      <w:r>
        <w:rPr>
          <w:snapToGrid/>
          <w:kern w:val="0"/>
          <w:szCs w:val="22"/>
        </w:rPr>
        <w:t xml:space="preserve"> and </w:t>
      </w:r>
      <w:r>
        <w:rPr>
          <w:szCs w:val="22"/>
        </w:rPr>
        <w:t>Content of Applications Rule</w:t>
      </w:r>
      <w:r w:rsidRPr="00184097">
        <w:rPr>
          <w:snapToGrid/>
          <w:kern w:val="0"/>
          <w:szCs w:val="22"/>
        </w:rPr>
        <w:t>.</w:t>
      </w:r>
    </w:p>
    <w:p w:rsidR="00430A62" w:rsidRPr="00257FDD" w:rsidP="00430A62" w14:paraId="42527FB6" w14:textId="77777777">
      <w:pPr>
        <w:pStyle w:val="Heading1"/>
        <w:keepNext w:val="0"/>
        <w:suppressAutoHyphens w:val="0"/>
        <w:rPr>
          <w:b w:val="0"/>
          <w:szCs w:val="22"/>
        </w:rPr>
      </w:pPr>
      <w:r w:rsidRPr="00257FDD">
        <w:rPr>
          <w:rFonts w:ascii="Times New Roman" w:hAnsi="Times New Roman"/>
          <w:szCs w:val="22"/>
        </w:rPr>
        <w:t>TERMS OF AGREEMENT</w:t>
      </w:r>
    </w:p>
    <w:p w:rsidR="00430A62" w:rsidRPr="00184097" w:rsidP="00430A62" w14:paraId="71FA4427" w14:textId="77777777">
      <w:pPr>
        <w:pStyle w:val="ParaNum"/>
        <w:rPr>
          <w:szCs w:val="22"/>
          <w:u w:val="single"/>
        </w:rPr>
      </w:pPr>
      <w:r w:rsidRPr="00257FDD">
        <w:rPr>
          <w:b/>
          <w:bCs/>
          <w:szCs w:val="22"/>
          <w:u w:val="single"/>
        </w:rPr>
        <w:t>Adopting Order</w:t>
      </w:r>
      <w:r w:rsidRPr="00184097">
        <w:rPr>
          <w:szCs w:val="22"/>
        </w:rPr>
        <w:t>.  The Parties agree that the provisions of this Consent Decree shall be incorporated by reference by the Bureau in an Adopting Order without change, addition, deletion, or modification.</w:t>
      </w:r>
      <w:r w:rsidRPr="00184097">
        <w:rPr>
          <w:szCs w:val="22"/>
          <w:u w:val="single"/>
        </w:rPr>
        <w:t xml:space="preserve"> </w:t>
      </w:r>
    </w:p>
    <w:p w:rsidR="00430A62" w:rsidRPr="00184097" w:rsidP="00430A62" w14:paraId="2915809C" w14:textId="77777777">
      <w:pPr>
        <w:pStyle w:val="ParaNum"/>
        <w:rPr>
          <w:szCs w:val="22"/>
        </w:rPr>
      </w:pPr>
      <w:r w:rsidRPr="00184097">
        <w:rPr>
          <w:b/>
          <w:szCs w:val="22"/>
          <w:u w:val="single"/>
        </w:rPr>
        <w:t>Jurisdiction</w:t>
      </w:r>
      <w:r w:rsidRPr="00184097">
        <w:rPr>
          <w:szCs w:val="22"/>
        </w:rPr>
        <w:t>.  The Licensee</w:t>
      </w:r>
      <w:r w:rsidRPr="00184097">
        <w:rPr>
          <w:b/>
          <w:szCs w:val="22"/>
        </w:rPr>
        <w:t xml:space="preserve"> </w:t>
      </w:r>
      <w:r w:rsidRPr="00184097">
        <w:rPr>
          <w:szCs w:val="22"/>
        </w:rPr>
        <w:t>agrees that the Bureau has jurisdiction over it and the matters contained in this Consent Decree and has the authority to enter into and adopt this Consent Decree.</w:t>
      </w:r>
    </w:p>
    <w:p w:rsidR="00430A62" w:rsidRPr="00184097" w:rsidP="00430A62" w14:paraId="38F39EA3" w14:textId="77777777">
      <w:pPr>
        <w:pStyle w:val="ParaNum"/>
        <w:rPr>
          <w:szCs w:val="22"/>
        </w:rPr>
      </w:pPr>
      <w:r w:rsidRPr="00184097">
        <w:rPr>
          <w:b/>
          <w:szCs w:val="22"/>
          <w:u w:val="single"/>
        </w:rPr>
        <w:t>Effective Date</w:t>
      </w:r>
      <w:r w:rsidRPr="00184097">
        <w:rPr>
          <w:szCs w:val="22"/>
        </w:rPr>
        <w:t>.  The Parties agree that this Consent Decree shall become effective on the Effective Date.  As of the Effective Date, the Parties agree that this Consent Decree shall have the same force and effect as any other order of the Commission.</w:t>
      </w:r>
    </w:p>
    <w:p w:rsidR="00430A62" w:rsidRPr="00184097" w:rsidP="00430A62" w14:paraId="7519B55E" w14:textId="77777777">
      <w:pPr>
        <w:pStyle w:val="ParaNum"/>
        <w:rPr>
          <w:szCs w:val="22"/>
        </w:rPr>
      </w:pPr>
      <w:r w:rsidRPr="00257FDD">
        <w:rPr>
          <w:b/>
          <w:bCs/>
          <w:szCs w:val="22"/>
          <w:u w:val="single"/>
        </w:rPr>
        <w:t>Violations</w:t>
      </w:r>
      <w:r w:rsidRPr="00184097">
        <w:rPr>
          <w:szCs w:val="22"/>
        </w:rPr>
        <w:t xml:space="preserve">.  The Parties agree that any violation of the Adopting Order or the terms of this Consent Decree, in whole or in part, shall constitute a separate violation of a Commission order, entitling the Commission, or its delegated authority to exercise any rights and remedies attendant to the </w:t>
      </w:r>
      <w:r w:rsidRPr="00184097">
        <w:rPr>
          <w:szCs w:val="22"/>
        </w:rPr>
        <w:t>enforcement of a Commission order.</w:t>
      </w:r>
    </w:p>
    <w:p w:rsidR="00430A62" w:rsidRPr="00184097" w:rsidP="00430A62" w14:paraId="764FD566" w14:textId="77777777">
      <w:pPr>
        <w:pStyle w:val="ParaNum"/>
        <w:rPr>
          <w:szCs w:val="22"/>
        </w:rPr>
      </w:pPr>
      <w:r w:rsidRPr="00257FDD">
        <w:rPr>
          <w:b/>
          <w:bCs/>
          <w:szCs w:val="22"/>
          <w:u w:val="single"/>
        </w:rPr>
        <w:t>Admission of Liability</w:t>
      </w:r>
      <w:r w:rsidRPr="00184097">
        <w:rPr>
          <w:szCs w:val="22"/>
        </w:rPr>
        <w:t xml:space="preserve">. The Licensee admits, for the purpose of this Consent Decree and for Commission civil enforcement purposes, that its actions described in Paragraphs 3 to </w:t>
      </w:r>
      <w:r>
        <w:rPr>
          <w:szCs w:val="22"/>
        </w:rPr>
        <w:t>7</w:t>
      </w:r>
      <w:r w:rsidRPr="00184097">
        <w:rPr>
          <w:szCs w:val="22"/>
        </w:rPr>
        <w:t xml:space="preserve"> were willful and repeated violations of the Issues and Programs Lists Rule</w:t>
      </w:r>
      <w:r>
        <w:rPr>
          <w:szCs w:val="22"/>
        </w:rPr>
        <w:t xml:space="preserve"> and Content of Applications Rule</w:t>
      </w:r>
      <w:r w:rsidRPr="00184097">
        <w:rPr>
          <w:szCs w:val="22"/>
        </w:rPr>
        <w:t>.  By entering into this Consent Decree, the Licensee makes no other admission of liability of any Communications Law, and the Bureau makes no finding of any other liability or violation.</w:t>
      </w:r>
    </w:p>
    <w:p w:rsidR="00430A62" w:rsidRPr="00184097" w:rsidP="00430A62" w14:paraId="6FBAACCD" w14:textId="77777777">
      <w:pPr>
        <w:pStyle w:val="ParaNum"/>
        <w:rPr>
          <w:szCs w:val="22"/>
        </w:rPr>
      </w:pPr>
      <w:r w:rsidRPr="00184097">
        <w:rPr>
          <w:b/>
          <w:szCs w:val="22"/>
          <w:u w:val="single"/>
        </w:rPr>
        <w:t>Termination of Investigation</w:t>
      </w:r>
      <w:r w:rsidRPr="00184097">
        <w:rPr>
          <w:szCs w:val="22"/>
        </w:rPr>
        <w:t>.</w:t>
      </w:r>
      <w:r w:rsidRPr="00184097">
        <w:rPr>
          <w:b/>
          <w:szCs w:val="22"/>
        </w:rPr>
        <w:t xml:space="preserve">  </w:t>
      </w:r>
      <w:r w:rsidRPr="00184097">
        <w:rPr>
          <w:szCs w:val="22"/>
        </w:rPr>
        <w:t>In express reliance on the covenants and representations in this Consent Decree and to avoid further expenditure of public resources, the Bureau agrees to terminate the Investigation and Forfeiture Proceeding and to take the actions specified in Paragraph 1</w:t>
      </w:r>
      <w:r>
        <w:rPr>
          <w:szCs w:val="22"/>
        </w:rPr>
        <w:t>5</w:t>
      </w:r>
      <w:r w:rsidRPr="00184097">
        <w:rPr>
          <w:szCs w:val="22"/>
        </w:rPr>
        <w:t xml:space="preserve">.  The Bureau also agrees it shall take no further action to enforce the </w:t>
      </w:r>
      <w:r w:rsidRPr="00252665">
        <w:rPr>
          <w:i/>
          <w:iCs/>
          <w:szCs w:val="22"/>
        </w:rPr>
        <w:t>NALs</w:t>
      </w:r>
      <w:r w:rsidRPr="00184097">
        <w:rPr>
          <w:szCs w:val="22"/>
        </w:rPr>
        <w:t xml:space="preserve"> issued as part of the Forfeiture Proceeding.  In consideration for the termination of the Investigation and Forfeiture Proceeding, Licensee agrees to the terms, conditions, and procedures contained herein, including the actions specified in Paragraph</w:t>
      </w:r>
      <w:r>
        <w:rPr>
          <w:szCs w:val="22"/>
        </w:rPr>
        <w:t>s 17, 20, and 21</w:t>
      </w:r>
      <w:r w:rsidRPr="00184097">
        <w:rPr>
          <w:szCs w:val="22"/>
        </w:rPr>
        <w:t>.</w:t>
      </w:r>
    </w:p>
    <w:p w:rsidR="00430A62" w:rsidRPr="00184097" w:rsidP="00430A62" w14:paraId="67843353" w14:textId="77777777">
      <w:pPr>
        <w:pStyle w:val="ParaNum"/>
        <w:rPr>
          <w:szCs w:val="22"/>
        </w:rPr>
      </w:pPr>
      <w:r w:rsidRPr="00184097">
        <w:rPr>
          <w:szCs w:val="22"/>
        </w:rPr>
        <w:t>The Bureau further agrees that, in the absence of new material evidence, that it will not use the facts developed in the Investigation or Forfeiture Proceeding</w:t>
      </w:r>
      <w:r>
        <w:rPr>
          <w:szCs w:val="22"/>
        </w:rPr>
        <w:t>s</w:t>
      </w:r>
      <w:r w:rsidRPr="00184097">
        <w:rPr>
          <w:szCs w:val="22"/>
        </w:rPr>
        <w:t>, through the Effective Date, or the existence of this Consent Decree, to institute, on its own motion or in response to any petition to deny or other third-party objection, any new proceeding, formal or informal, or take any action on its own motion against the Licensee</w:t>
      </w:r>
      <w:r w:rsidRPr="00184097">
        <w:rPr>
          <w:b/>
          <w:szCs w:val="22"/>
        </w:rPr>
        <w:t xml:space="preserve"> </w:t>
      </w:r>
      <w:r w:rsidRPr="00184097">
        <w:rPr>
          <w:szCs w:val="22"/>
        </w:rPr>
        <w:t>concerning the matters that were the subject of the Investigation or Forfeiture Proceeding</w:t>
      </w:r>
      <w:r>
        <w:rPr>
          <w:szCs w:val="22"/>
        </w:rPr>
        <w:t>s</w:t>
      </w:r>
      <w:r w:rsidRPr="00184097">
        <w:rPr>
          <w:szCs w:val="22"/>
        </w:rPr>
        <w:t>.  The Bureau also agrees that, in the absence of new material evidence, it will not use the facts developed in the Investigation or Forfeiture Proceeding</w:t>
      </w:r>
      <w:r>
        <w:rPr>
          <w:szCs w:val="22"/>
        </w:rPr>
        <w:t>s</w:t>
      </w:r>
      <w:r w:rsidRPr="00184097">
        <w:rPr>
          <w:szCs w:val="22"/>
        </w:rPr>
        <w:t xml:space="preserve"> through the Effective Date, or the existence of this Consent Decree, to institute on its own motion any proceeding, formal or informal, or to set for hearing the question of the Licensee’s basic qualifications to be a Commission licensee or to hold Commission licenses or authorizations.</w:t>
      </w:r>
      <w:r>
        <w:rPr>
          <w:rStyle w:val="FootnoteReference"/>
          <w:sz w:val="22"/>
          <w:szCs w:val="22"/>
        </w:rPr>
        <w:footnoteReference w:id="26"/>
      </w:r>
      <w:r>
        <w:rPr>
          <w:szCs w:val="22"/>
        </w:rPr>
        <w:t xml:space="preserve">  However, in the event of any future violations by the Licensee, the Commission or its delegated entity may consider the Licensee’s admission in this Consent Decree as a basis for considering its history of compliance with the Rules in order to determine an appropriate forfeiture amount.</w:t>
      </w:r>
      <w:r>
        <w:rPr>
          <w:rStyle w:val="FootnoteReference"/>
        </w:rPr>
        <w:footnoteReference w:id="27"/>
      </w:r>
      <w:r w:rsidRPr="00184097">
        <w:rPr>
          <w:szCs w:val="22"/>
        </w:rPr>
        <w:t xml:space="preserve"> </w:t>
      </w:r>
    </w:p>
    <w:p w:rsidR="00430A62" w:rsidRPr="00184097" w:rsidP="00430A62" w14:paraId="55B1E4EC" w14:textId="77777777">
      <w:pPr>
        <w:pStyle w:val="ParaNum"/>
        <w:rPr>
          <w:szCs w:val="22"/>
        </w:rPr>
      </w:pPr>
      <w:r w:rsidRPr="00B125BE">
        <w:rPr>
          <w:b/>
          <w:bCs/>
          <w:szCs w:val="22"/>
          <w:u w:val="single"/>
        </w:rPr>
        <w:t>Subsequent Investigations</w:t>
      </w:r>
      <w:r w:rsidRPr="00184097">
        <w:rPr>
          <w:szCs w:val="22"/>
        </w:rPr>
        <w:t>.  This Consent Decree shall not prevent the Commission or its delegated authority from investigating new evidence of noncompliance by the Licensee with the Rules or Act or from adjudicating complaints or other adjudicatory pleadings filed by third parties against the Licensee for alleged violations of the Communications Laws or for any alleged misconduct, regardless of when such misconduct took place.  Further, except as expressly provided herein, the Licensee acknowledges that the Commission and its delegated authority (including the Bureau) retains the discretion and authority to propose sanctions against the Licensee, including the issuance of notices of apparent liability for forfeitures, for any apparent willful and/or repeated violation by the Licensee of the Rules or Act.  The Commission’s adjudication of any complaints or potential will be based solely on the record developed in subsequent proceedings.</w:t>
      </w:r>
    </w:p>
    <w:p w:rsidR="00430A62" w:rsidRPr="00184097" w:rsidP="00430A62" w14:paraId="24A80F8C" w14:textId="10610120">
      <w:pPr>
        <w:pStyle w:val="ParaNum"/>
        <w:rPr>
          <w:szCs w:val="22"/>
        </w:rPr>
      </w:pPr>
      <w:r w:rsidRPr="00184097">
        <w:rPr>
          <w:b/>
          <w:bCs/>
          <w:szCs w:val="22"/>
          <w:u w:val="single"/>
        </w:rPr>
        <w:t>Civil Penalty</w:t>
      </w:r>
      <w:r w:rsidRPr="00AE6264">
        <w:rPr>
          <w:szCs w:val="22"/>
        </w:rPr>
        <w:t xml:space="preserve">.  </w:t>
      </w:r>
      <w:r w:rsidRPr="00184097">
        <w:rPr>
          <w:szCs w:val="22"/>
        </w:rPr>
        <w:t xml:space="preserve">The Licensee agrees to make a civil penalty payment to the United States Treasury in the amount of </w:t>
      </w:r>
      <w:r w:rsidRPr="00184097">
        <w:rPr>
          <w:snapToGrid/>
          <w:szCs w:val="22"/>
        </w:rPr>
        <w:t>Eight Thousand One Hundred and Fifty Dollars ($8,150)</w:t>
      </w:r>
      <w:r w:rsidRPr="00184097">
        <w:rPr>
          <w:szCs w:val="22"/>
        </w:rPr>
        <w:t xml:space="preserve"> within thirty (30) calendar days after the Effective Date.  It also acknowledges and agrees that upon execution of this Consent Decree, the Civil Penalty shall become a “Claim” or “Debt” as defined in section 3701(b)(1) of </w:t>
      </w:r>
      <w:r w:rsidRPr="00184097">
        <w:rPr>
          <w:szCs w:val="22"/>
        </w:rPr>
        <w:t>the Debt Collection Improvement Act of 1996.</w:t>
      </w:r>
      <w:r>
        <w:rPr>
          <w:rStyle w:val="FootnoteReference"/>
          <w:sz w:val="22"/>
          <w:szCs w:val="22"/>
        </w:rPr>
        <w:footnoteReference w:id="28"/>
      </w:r>
      <w:r w:rsidRPr="00184097">
        <w:rPr>
          <w:szCs w:val="22"/>
        </w:rPr>
        <w:t xml:space="preserve">  </w:t>
      </w:r>
      <w:r w:rsidRPr="00AE6264">
        <w:rPr>
          <w:b/>
          <w:bCs/>
          <w:szCs w:val="22"/>
        </w:rPr>
        <w:t xml:space="preserve">The </w:t>
      </w:r>
      <w:r w:rsidRPr="00184097">
        <w:rPr>
          <w:b/>
          <w:bCs/>
          <w:spacing w:val="2"/>
          <w:szCs w:val="22"/>
        </w:rPr>
        <w:t xml:space="preserve">Licensee shall </w:t>
      </w:r>
      <w:r w:rsidRPr="00184097">
        <w:rPr>
          <w:b/>
          <w:bCs/>
          <w:szCs w:val="22"/>
        </w:rPr>
        <w:t>s</w:t>
      </w:r>
      <w:r w:rsidRPr="00184097">
        <w:rPr>
          <w:b/>
          <w:bCs/>
          <w:spacing w:val="1"/>
          <w:szCs w:val="22"/>
        </w:rPr>
        <w:t>e</w:t>
      </w:r>
      <w:r w:rsidRPr="00184097">
        <w:rPr>
          <w:b/>
          <w:bCs/>
          <w:szCs w:val="22"/>
        </w:rPr>
        <w:t xml:space="preserve">nd </w:t>
      </w:r>
      <w:r w:rsidRPr="00184097">
        <w:rPr>
          <w:b/>
          <w:bCs/>
          <w:spacing w:val="-2"/>
          <w:szCs w:val="22"/>
        </w:rPr>
        <w:t>e</w:t>
      </w:r>
      <w:r w:rsidRPr="00184097">
        <w:rPr>
          <w:b/>
          <w:bCs/>
          <w:spacing w:val="1"/>
          <w:szCs w:val="22"/>
        </w:rPr>
        <w:t>l</w:t>
      </w:r>
      <w:r w:rsidRPr="00184097">
        <w:rPr>
          <w:b/>
          <w:bCs/>
          <w:szCs w:val="22"/>
        </w:rPr>
        <w:t>e</w:t>
      </w:r>
      <w:r w:rsidRPr="00184097">
        <w:rPr>
          <w:b/>
          <w:bCs/>
          <w:spacing w:val="-2"/>
          <w:szCs w:val="22"/>
        </w:rPr>
        <w:t>c</w:t>
      </w:r>
      <w:r w:rsidRPr="00184097">
        <w:rPr>
          <w:b/>
          <w:bCs/>
          <w:spacing w:val="1"/>
          <w:szCs w:val="22"/>
        </w:rPr>
        <w:t>t</w:t>
      </w:r>
      <w:r w:rsidRPr="00184097">
        <w:rPr>
          <w:b/>
          <w:bCs/>
          <w:spacing w:val="-2"/>
          <w:szCs w:val="22"/>
        </w:rPr>
        <w:t>r</w:t>
      </w:r>
      <w:r w:rsidRPr="00184097">
        <w:rPr>
          <w:b/>
          <w:bCs/>
          <w:szCs w:val="22"/>
        </w:rPr>
        <w:t>on</w:t>
      </w:r>
      <w:r w:rsidRPr="00184097">
        <w:rPr>
          <w:b/>
          <w:bCs/>
          <w:spacing w:val="-1"/>
          <w:szCs w:val="22"/>
        </w:rPr>
        <w:t>i</w:t>
      </w:r>
      <w:r w:rsidRPr="00184097">
        <w:rPr>
          <w:b/>
          <w:bCs/>
          <w:szCs w:val="22"/>
        </w:rPr>
        <w:t>c no</w:t>
      </w:r>
      <w:r w:rsidRPr="00184097">
        <w:rPr>
          <w:b/>
          <w:bCs/>
          <w:spacing w:val="1"/>
          <w:szCs w:val="22"/>
        </w:rPr>
        <w:t>t</w:t>
      </w:r>
      <w:r w:rsidRPr="00184097">
        <w:rPr>
          <w:b/>
          <w:bCs/>
          <w:spacing w:val="-1"/>
          <w:szCs w:val="22"/>
        </w:rPr>
        <w:t>i</w:t>
      </w:r>
      <w:r w:rsidRPr="00184097">
        <w:rPr>
          <w:b/>
          <w:bCs/>
          <w:spacing w:val="1"/>
          <w:szCs w:val="22"/>
        </w:rPr>
        <w:t>f</w:t>
      </w:r>
      <w:r w:rsidRPr="00184097">
        <w:rPr>
          <w:b/>
          <w:bCs/>
          <w:spacing w:val="-1"/>
          <w:szCs w:val="22"/>
        </w:rPr>
        <w:t>i</w:t>
      </w:r>
      <w:r w:rsidRPr="00184097">
        <w:rPr>
          <w:b/>
          <w:bCs/>
          <w:szCs w:val="22"/>
        </w:rPr>
        <w:t>c</w:t>
      </w:r>
      <w:r w:rsidRPr="00184097">
        <w:rPr>
          <w:b/>
          <w:bCs/>
          <w:spacing w:val="-2"/>
          <w:szCs w:val="22"/>
        </w:rPr>
        <w:t>a</w:t>
      </w:r>
      <w:r w:rsidRPr="00184097">
        <w:rPr>
          <w:b/>
          <w:bCs/>
          <w:spacing w:val="1"/>
          <w:szCs w:val="22"/>
        </w:rPr>
        <w:t>ti</w:t>
      </w:r>
      <w:r w:rsidRPr="00184097">
        <w:rPr>
          <w:b/>
          <w:bCs/>
          <w:szCs w:val="22"/>
        </w:rPr>
        <w:t>on</w:t>
      </w:r>
      <w:r w:rsidRPr="00184097">
        <w:rPr>
          <w:b/>
          <w:bCs/>
          <w:spacing w:val="12"/>
          <w:szCs w:val="22"/>
        </w:rPr>
        <w:t xml:space="preserve"> </w:t>
      </w:r>
      <w:r w:rsidRPr="00184097">
        <w:rPr>
          <w:b/>
          <w:bCs/>
          <w:szCs w:val="22"/>
        </w:rPr>
        <w:t>of</w:t>
      </w:r>
      <w:r w:rsidRPr="00184097">
        <w:rPr>
          <w:b/>
          <w:bCs/>
          <w:spacing w:val="13"/>
          <w:szCs w:val="22"/>
        </w:rPr>
        <w:t xml:space="preserve"> </w:t>
      </w:r>
      <w:r w:rsidRPr="00184097">
        <w:rPr>
          <w:b/>
          <w:bCs/>
          <w:szCs w:val="22"/>
        </w:rPr>
        <w:t>pa</w:t>
      </w:r>
      <w:r w:rsidRPr="00184097">
        <w:rPr>
          <w:b/>
          <w:bCs/>
          <w:spacing w:val="-2"/>
          <w:szCs w:val="22"/>
        </w:rPr>
        <w:t>y</w:t>
      </w:r>
      <w:r w:rsidRPr="00184097">
        <w:rPr>
          <w:b/>
          <w:bCs/>
          <w:spacing w:val="-4"/>
          <w:szCs w:val="22"/>
        </w:rPr>
        <w:t>m</w:t>
      </w:r>
      <w:r w:rsidRPr="00184097">
        <w:rPr>
          <w:b/>
          <w:bCs/>
          <w:szCs w:val="22"/>
        </w:rPr>
        <w:t>ent</w:t>
      </w:r>
      <w:r w:rsidRPr="00184097">
        <w:rPr>
          <w:b/>
          <w:bCs/>
          <w:spacing w:val="15"/>
          <w:szCs w:val="22"/>
        </w:rPr>
        <w:t xml:space="preserve"> </w:t>
      </w:r>
      <w:r w:rsidRPr="00184097">
        <w:rPr>
          <w:b/>
          <w:bCs/>
          <w:spacing w:val="1"/>
          <w:szCs w:val="22"/>
        </w:rPr>
        <w:t>t</w:t>
      </w:r>
      <w:r w:rsidRPr="00184097">
        <w:rPr>
          <w:b/>
          <w:bCs/>
          <w:szCs w:val="22"/>
        </w:rPr>
        <w:t>o</w:t>
      </w:r>
      <w:r w:rsidRPr="00184097">
        <w:rPr>
          <w:b/>
          <w:bCs/>
          <w:spacing w:val="15"/>
          <w:szCs w:val="22"/>
        </w:rPr>
        <w:t xml:space="preserve"> </w:t>
      </w:r>
      <w:r w:rsidRPr="00184097">
        <w:rPr>
          <w:b/>
          <w:bCs/>
          <w:color w:val="000000"/>
          <w:spacing w:val="-1"/>
          <w:szCs w:val="22"/>
        </w:rPr>
        <w:t>Andrew Manley</w:t>
      </w:r>
      <w:r w:rsidRPr="00184097">
        <w:rPr>
          <w:b/>
          <w:bCs/>
          <w:color w:val="000000"/>
          <w:spacing w:val="15"/>
          <w:szCs w:val="22"/>
        </w:rPr>
        <w:t xml:space="preserve"> </w:t>
      </w:r>
      <w:r w:rsidRPr="00184097">
        <w:rPr>
          <w:b/>
          <w:bCs/>
          <w:color w:val="000000"/>
          <w:szCs w:val="22"/>
        </w:rPr>
        <w:t xml:space="preserve">at </w:t>
      </w:r>
      <w:hyperlink r:id="rId11" w:history="1">
        <w:r w:rsidRPr="00184097">
          <w:rPr>
            <w:rStyle w:val="Hyperlink"/>
            <w:b/>
            <w:bCs/>
            <w:szCs w:val="22"/>
          </w:rPr>
          <w:t>Andrew.Manley@fcc.gov</w:t>
        </w:r>
      </w:hyperlink>
      <w:r w:rsidRPr="00184097">
        <w:rPr>
          <w:b/>
          <w:bCs/>
          <w:color w:val="000000"/>
          <w:szCs w:val="22"/>
        </w:rPr>
        <w:t xml:space="preserve"> on</w:t>
      </w:r>
      <w:r w:rsidRPr="00184097">
        <w:rPr>
          <w:b/>
          <w:bCs/>
          <w:color w:val="000000"/>
          <w:spacing w:val="12"/>
          <w:szCs w:val="22"/>
        </w:rPr>
        <w:t xml:space="preserve"> </w:t>
      </w:r>
      <w:r w:rsidRPr="00184097">
        <w:rPr>
          <w:b/>
          <w:bCs/>
          <w:color w:val="000000"/>
          <w:spacing w:val="1"/>
          <w:szCs w:val="22"/>
        </w:rPr>
        <w:t>t</w:t>
      </w:r>
      <w:r w:rsidRPr="00184097">
        <w:rPr>
          <w:b/>
          <w:bCs/>
          <w:color w:val="000000"/>
          <w:spacing w:val="-2"/>
          <w:szCs w:val="22"/>
        </w:rPr>
        <w:t>h</w:t>
      </w:r>
      <w:r w:rsidRPr="00184097">
        <w:rPr>
          <w:b/>
          <w:bCs/>
          <w:color w:val="000000"/>
          <w:szCs w:val="22"/>
        </w:rPr>
        <w:t>e</w:t>
      </w:r>
      <w:r w:rsidRPr="00184097">
        <w:rPr>
          <w:b/>
          <w:bCs/>
          <w:color w:val="000000"/>
          <w:spacing w:val="12"/>
          <w:szCs w:val="22"/>
        </w:rPr>
        <w:t xml:space="preserve"> </w:t>
      </w:r>
      <w:r w:rsidRPr="00184097">
        <w:rPr>
          <w:b/>
          <w:bCs/>
          <w:color w:val="000000"/>
          <w:spacing w:val="-2"/>
          <w:szCs w:val="22"/>
        </w:rPr>
        <w:t>d</w:t>
      </w:r>
      <w:r w:rsidRPr="00184097">
        <w:rPr>
          <w:b/>
          <w:bCs/>
          <w:color w:val="000000"/>
          <w:szCs w:val="22"/>
        </w:rPr>
        <w:t>a</w:t>
      </w:r>
      <w:r w:rsidRPr="00184097">
        <w:rPr>
          <w:b/>
          <w:bCs/>
          <w:color w:val="000000"/>
          <w:spacing w:val="1"/>
          <w:szCs w:val="22"/>
        </w:rPr>
        <w:t>t</w:t>
      </w:r>
      <w:r w:rsidRPr="00184097">
        <w:rPr>
          <w:b/>
          <w:bCs/>
          <w:color w:val="000000"/>
          <w:szCs w:val="22"/>
        </w:rPr>
        <w:t>e</w:t>
      </w:r>
      <w:r w:rsidRPr="00184097">
        <w:rPr>
          <w:b/>
          <w:bCs/>
          <w:color w:val="000000"/>
          <w:spacing w:val="10"/>
          <w:szCs w:val="22"/>
        </w:rPr>
        <w:t xml:space="preserve"> </w:t>
      </w:r>
      <w:r w:rsidRPr="00184097">
        <w:rPr>
          <w:b/>
          <w:bCs/>
          <w:color w:val="000000"/>
          <w:szCs w:val="22"/>
        </w:rPr>
        <w:t>pa</w:t>
      </w:r>
      <w:r w:rsidRPr="00184097">
        <w:rPr>
          <w:b/>
          <w:bCs/>
          <w:color w:val="000000"/>
          <w:spacing w:val="-2"/>
          <w:szCs w:val="22"/>
        </w:rPr>
        <w:t>y</w:t>
      </w:r>
      <w:r w:rsidRPr="00184097">
        <w:rPr>
          <w:b/>
          <w:bCs/>
          <w:color w:val="000000"/>
          <w:spacing w:val="-4"/>
          <w:szCs w:val="22"/>
        </w:rPr>
        <w:t>m</w:t>
      </w:r>
      <w:r w:rsidRPr="00184097">
        <w:rPr>
          <w:b/>
          <w:bCs/>
          <w:color w:val="000000"/>
          <w:szCs w:val="22"/>
        </w:rPr>
        <w:t>ent</w:t>
      </w:r>
      <w:r w:rsidRPr="00184097">
        <w:rPr>
          <w:b/>
          <w:bCs/>
          <w:color w:val="000000"/>
          <w:spacing w:val="13"/>
          <w:szCs w:val="22"/>
        </w:rPr>
        <w:t xml:space="preserve"> </w:t>
      </w:r>
      <w:r w:rsidRPr="00184097">
        <w:rPr>
          <w:b/>
          <w:bCs/>
          <w:color w:val="000000"/>
          <w:spacing w:val="1"/>
          <w:szCs w:val="22"/>
        </w:rPr>
        <w:t>i</w:t>
      </w:r>
      <w:r w:rsidRPr="00184097">
        <w:rPr>
          <w:b/>
          <w:bCs/>
          <w:color w:val="000000"/>
          <w:szCs w:val="22"/>
        </w:rPr>
        <w:t>s</w:t>
      </w:r>
      <w:r w:rsidRPr="00184097">
        <w:rPr>
          <w:b/>
          <w:bCs/>
          <w:color w:val="000000"/>
          <w:spacing w:val="10"/>
          <w:szCs w:val="22"/>
        </w:rPr>
        <w:t xml:space="preserve"> </w:t>
      </w:r>
      <w:r w:rsidRPr="00184097">
        <w:rPr>
          <w:b/>
          <w:bCs/>
          <w:color w:val="000000"/>
          <w:spacing w:val="-4"/>
          <w:szCs w:val="22"/>
        </w:rPr>
        <w:t>m</w:t>
      </w:r>
      <w:r w:rsidRPr="00184097">
        <w:rPr>
          <w:b/>
          <w:bCs/>
          <w:color w:val="000000"/>
          <w:szCs w:val="22"/>
        </w:rPr>
        <w:t>ade.</w:t>
      </w:r>
      <w:r w:rsidRPr="00AE6264">
        <w:rPr>
          <w:b/>
          <w:bCs/>
          <w:szCs w:val="22"/>
        </w:rPr>
        <w:t xml:space="preserve">  </w:t>
      </w:r>
      <w:r w:rsidRPr="00184097">
        <w:rPr>
          <w:szCs w:val="22"/>
        </w:rPr>
        <w:t>Payment of the forfeiture must be made by credit card, ACH (Automated Clearing House) debit from a bank account using CORES (the Commission’s online payment system),</w:t>
      </w:r>
      <w:r>
        <w:rPr>
          <w:rStyle w:val="FootnoteReference"/>
          <w:sz w:val="22"/>
          <w:szCs w:val="22"/>
        </w:rPr>
        <w:footnoteReference w:id="29"/>
      </w:r>
      <w:r w:rsidRPr="00184097">
        <w:rPr>
          <w:szCs w:val="22"/>
        </w:rPr>
        <w:t xml:space="preserve"> or by wire transfer.  </w:t>
      </w:r>
      <w:r>
        <w:rPr>
          <w:szCs w:val="22"/>
        </w:rPr>
        <w:t xml:space="preserve">Payment should be made, in its entirety, under NAL account </w:t>
      </w:r>
      <w:r w:rsidRPr="00534C11">
        <w:rPr>
          <w:szCs w:val="22"/>
        </w:rPr>
        <w:t xml:space="preserve">numbers </w:t>
      </w:r>
      <w:r w:rsidR="008D5F93">
        <w:rPr>
          <w:spacing w:val="-2"/>
          <w:szCs w:val="22"/>
        </w:rPr>
        <w:t>202441420005</w:t>
      </w:r>
      <w:r>
        <w:rPr>
          <w:szCs w:val="22"/>
        </w:rPr>
        <w:t xml:space="preserve">.  </w:t>
      </w:r>
      <w:r w:rsidRPr="00184097">
        <w:rPr>
          <w:szCs w:val="22"/>
        </w:rPr>
        <w:t>Payments by check or money order are no longer accepted.  Below are instructions that the Licensee should follow based on the form of payment selected:</w:t>
      </w:r>
      <w:r>
        <w:rPr>
          <w:rStyle w:val="FootnoteReference"/>
          <w:sz w:val="22"/>
          <w:szCs w:val="22"/>
        </w:rPr>
        <w:footnoteReference w:id="30"/>
      </w:r>
      <w:r w:rsidRPr="00184097">
        <w:rPr>
          <w:szCs w:val="22"/>
        </w:rPr>
        <w:t xml:space="preserve"> </w:t>
      </w:r>
    </w:p>
    <w:p w:rsidR="00430A62" w:rsidRPr="00184097" w:rsidP="00430A62" w14:paraId="5E693138" w14:textId="76B10EAB">
      <w:pPr>
        <w:widowControl/>
        <w:numPr>
          <w:ilvl w:val="0"/>
          <w:numId w:val="8"/>
        </w:numPr>
        <w:spacing w:after="120"/>
        <w:rPr>
          <w:b/>
          <w:szCs w:val="22"/>
        </w:rPr>
      </w:pPr>
      <w:r w:rsidRPr="00184097">
        <w:rPr>
          <w:szCs w:val="22"/>
        </w:rPr>
        <w:t xml:space="preserve">Payment by wire transfer must be made to ABA Number 021030004, receiving bank TREAS/NYC, and Account Number 27000001.  A completed FCC Form 159 must be faxed to the Federal Communications Commission at 202-418-2843 or e-mailed to </w:t>
      </w:r>
      <w:hyperlink r:id="rId12" w:history="1">
        <w:r w:rsidRPr="00184097">
          <w:rPr>
            <w:rStyle w:val="Hyperlink"/>
            <w:szCs w:val="22"/>
          </w:rPr>
          <w:t>RROGWireFaxes@fcc.gov</w:t>
        </w:r>
      </w:hyperlink>
      <w:r w:rsidRPr="00184097">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w:t>
      </w:r>
      <w:r w:rsidRPr="008D5F93">
        <w:rPr>
          <w:szCs w:val="22"/>
        </w:rPr>
        <w:t>23A (</w:t>
      </w:r>
      <w:r w:rsidRPr="008D5F93" w:rsidR="008D5F93">
        <w:rPr>
          <w:spacing w:val="-2"/>
          <w:szCs w:val="22"/>
        </w:rPr>
        <w:t>202441420005</w:t>
      </w:r>
      <w:r w:rsidRPr="008D5F93">
        <w:rPr>
          <w:szCs w:val="22"/>
        </w:rPr>
        <w:t>),</w:t>
      </w:r>
      <w:r w:rsidRPr="00184097">
        <w:rPr>
          <w:szCs w:val="22"/>
        </w:rPr>
        <w:t xml:space="preserve"> enter the letters “FORF” in block number 24A (payment type code), and enter in block number 11 the FRN(s) captioned above (Payor FRN).</w:t>
      </w:r>
      <w:r>
        <w:rPr>
          <w:rStyle w:val="FootnoteReference"/>
          <w:sz w:val="22"/>
          <w:szCs w:val="22"/>
        </w:rPr>
        <w:footnoteReference w:id="31"/>
      </w:r>
      <w:r w:rsidRPr="00184097">
        <w:rPr>
          <w:szCs w:val="22"/>
        </w:rPr>
        <w:t xml:space="preserve">  For additional detail and wire transfer instructions, go to </w:t>
      </w:r>
      <w:hyperlink r:id="rId13" w:history="1">
        <w:r w:rsidRPr="00184097">
          <w:rPr>
            <w:rStyle w:val="Hyperlink"/>
            <w:szCs w:val="22"/>
          </w:rPr>
          <w:t>https://www.fcc.gov/licensing-databases/fees/wire-transfer</w:t>
        </w:r>
      </w:hyperlink>
      <w:r w:rsidRPr="00184097">
        <w:rPr>
          <w:szCs w:val="22"/>
        </w:rPr>
        <w:t>.</w:t>
      </w:r>
    </w:p>
    <w:p w:rsidR="00430A62" w:rsidRPr="00184097" w:rsidP="00430A62" w14:paraId="04921680" w14:textId="18BCE4B5">
      <w:pPr>
        <w:pStyle w:val="ParaNum"/>
        <w:numPr>
          <w:ilvl w:val="0"/>
          <w:numId w:val="8"/>
        </w:numPr>
        <w:rPr>
          <w:szCs w:val="22"/>
        </w:rPr>
      </w:pPr>
      <w:r w:rsidRPr="00184097">
        <w:rPr>
          <w:szCs w:val="22"/>
        </w:rPr>
        <w:t xml:space="preserve">Payment by credit card must be made by using the Commission’s Registration System (CORES) at </w:t>
      </w:r>
      <w:hyperlink r:id="rId14" w:history="1">
        <w:r w:rsidRPr="00184097">
          <w:rPr>
            <w:rStyle w:val="Hyperlink"/>
            <w:szCs w:val="22"/>
          </w:rPr>
          <w:t>https://apps.fcc.gov/cores/userLogin.do</w:t>
        </w:r>
      </w:hyperlink>
      <w:r w:rsidRPr="00184097">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w:t>
      </w:r>
      <w:r w:rsidRPr="008D5F93" w:rsidR="008D5F93">
        <w:rPr>
          <w:spacing w:val="-2"/>
          <w:szCs w:val="22"/>
        </w:rPr>
        <w:t>202441420005</w:t>
      </w:r>
      <w:r w:rsidRPr="008D5F93">
        <w:rPr>
          <w:szCs w:val="22"/>
        </w:rPr>
        <w:t xml:space="preserve"> </w:t>
      </w:r>
      <w:r w:rsidRPr="008D5F93">
        <w:rPr>
          <w:szCs w:val="22"/>
        </w:rPr>
        <w:t>would</w:t>
      </w:r>
      <w:r w:rsidRPr="00184097">
        <w:rPr>
          <w:szCs w:val="22"/>
        </w:rPr>
        <w:t xml:space="preserve"> be associated with FCC Bill Number </w:t>
      </w:r>
      <w:r w:rsidR="008D5F93">
        <w:rPr>
          <w:spacing w:val="-2"/>
          <w:szCs w:val="22"/>
        </w:rPr>
        <w:t>202441420005</w:t>
      </w:r>
      <w:r w:rsidRPr="00184097">
        <w:rPr>
          <w:szCs w:val="22"/>
        </w:rPr>
        <w:t>.  After selecting the bill for payment, choose the “Pay by Credit Card” option.  Please note that there is a $24,999.99 limit on credit card transactions.</w:t>
      </w:r>
    </w:p>
    <w:p w:rsidR="00430A62" w:rsidRPr="00AE6264" w:rsidP="00430A62" w14:paraId="7375E837" w14:textId="01BDDE4D">
      <w:pPr>
        <w:pStyle w:val="ParaNum"/>
        <w:numPr>
          <w:ilvl w:val="0"/>
          <w:numId w:val="9"/>
        </w:numPr>
        <w:ind w:left="1080"/>
        <w:rPr>
          <w:szCs w:val="22"/>
        </w:rPr>
      </w:pPr>
      <w:r w:rsidRPr="00184097">
        <w:rPr>
          <w:szCs w:val="22"/>
        </w:rPr>
        <w:t xml:space="preserve">Payment by ACH must be made by using the Commission’s Registration System (CORES) at </w:t>
      </w:r>
      <w:hyperlink r:id="rId15" w:history="1">
        <w:r w:rsidRPr="00184097">
          <w:rPr>
            <w:rStyle w:val="Hyperlink"/>
            <w:szCs w:val="22"/>
          </w:rPr>
          <w:t>https://apps.fcc.gov/cores/paymentFrnLogin.do</w:t>
        </w:r>
      </w:hyperlink>
      <w:r w:rsidRPr="00184097">
        <w:rPr>
          <w:szCs w:val="22"/>
        </w:rPr>
        <w:t xml:space="preserve">.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w:t>
      </w:r>
      <w:r w:rsidRPr="008D5F93" w:rsidR="008D5F93">
        <w:rPr>
          <w:spacing w:val="-2"/>
          <w:szCs w:val="22"/>
        </w:rPr>
        <w:t>202441420005</w:t>
      </w:r>
      <w:r w:rsidRPr="008D5F93">
        <w:rPr>
          <w:szCs w:val="22"/>
        </w:rPr>
        <w:t xml:space="preserve"> </w:t>
      </w:r>
      <w:r w:rsidRPr="008D5F93">
        <w:rPr>
          <w:szCs w:val="22"/>
        </w:rPr>
        <w:t>w</w:t>
      </w:r>
      <w:r w:rsidRPr="00184097">
        <w:rPr>
          <w:szCs w:val="22"/>
        </w:rPr>
        <w:t xml:space="preserve">ould be associated with FCC Bill Number </w:t>
      </w:r>
      <w:r w:rsidRPr="008D5F93" w:rsidR="008D5F93">
        <w:rPr>
          <w:spacing w:val="-2"/>
          <w:szCs w:val="22"/>
        </w:rPr>
        <w:t>202441420005</w:t>
      </w:r>
      <w:r w:rsidRPr="008D5F93">
        <w:rPr>
          <w:szCs w:val="22"/>
        </w:rPr>
        <w:t>.</w:t>
      </w:r>
      <w:r w:rsidRPr="00184097">
        <w:rPr>
          <w:szCs w:val="22"/>
        </w:rPr>
        <w:t xml:space="preserve">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430A62" w:rsidRPr="00AE6264" w:rsidP="00430A62" w14:paraId="0D5A7D45" w14:textId="77777777">
      <w:pPr>
        <w:pStyle w:val="ParaNum"/>
        <w:rPr>
          <w:szCs w:val="22"/>
        </w:rPr>
      </w:pPr>
      <w:r w:rsidRPr="00AE6264">
        <w:rPr>
          <w:b/>
          <w:bCs/>
          <w:szCs w:val="22"/>
          <w:u w:val="single"/>
        </w:rPr>
        <w:t>Event of Default</w:t>
      </w:r>
      <w:r w:rsidRPr="00184097">
        <w:rPr>
          <w:szCs w:val="22"/>
        </w:rPr>
        <w:t>. The Parties agree that an Event of Default shall occur upon the failure by Licensee to pay the full amount of the Civil Penalty on or before the due date specified in Paragraph 1</w:t>
      </w:r>
      <w:r>
        <w:rPr>
          <w:szCs w:val="22"/>
        </w:rPr>
        <w:t>7</w:t>
      </w:r>
      <w:r w:rsidRPr="00184097">
        <w:rPr>
          <w:szCs w:val="22"/>
        </w:rPr>
        <w:t xml:space="preserve">. After an Event of Default has occurred under this Consent Decree, the unpaid amount of the Civil Penalty shall accrue interest, computed using the U.S. Prime Rate in effect on the date of the Event of </w:t>
      </w:r>
      <w:r w:rsidRPr="00184097">
        <w:rPr>
          <w:szCs w:val="22"/>
        </w:rPr>
        <w:t>Default plus 4.75%,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the Licensee.</w:t>
      </w:r>
    </w:p>
    <w:p w:rsidR="00430A62" w:rsidRPr="00184097" w:rsidP="00430A62" w14:paraId="63847A22" w14:textId="77777777">
      <w:pPr>
        <w:pStyle w:val="ParaNum"/>
        <w:rPr>
          <w:szCs w:val="22"/>
        </w:rPr>
      </w:pPr>
      <w:r w:rsidRPr="00AE6264">
        <w:rPr>
          <w:b/>
          <w:bCs/>
          <w:szCs w:val="22"/>
          <w:u w:val="single"/>
        </w:rPr>
        <w:t>Grant of Applications</w:t>
      </w:r>
      <w:r w:rsidRPr="00184097">
        <w:rPr>
          <w:szCs w:val="22"/>
        </w:rPr>
        <w:t>.  In the Adopting Order, the Bureau has determined that grant of the Applications is in the public interest, convenience, and necessity, and consistent with section 309(k) of the Act.  The Bureau agrees to grant the Applications, for a full license term of eight years from the prior license expiration date, once the following conditions have been met: (1) the Licensee has fully and timely satisfied its obligation to comply with Paragraph 1</w:t>
      </w:r>
      <w:r>
        <w:rPr>
          <w:szCs w:val="22"/>
        </w:rPr>
        <w:t>7</w:t>
      </w:r>
      <w:r w:rsidRPr="00184097">
        <w:rPr>
          <w:szCs w:val="22"/>
        </w:rPr>
        <w:t xml:space="preserve"> of this Consent Decree</w:t>
      </w:r>
      <w:r>
        <w:rPr>
          <w:szCs w:val="22"/>
        </w:rPr>
        <w:t xml:space="preserve"> </w:t>
      </w:r>
      <w:r w:rsidRPr="00184097">
        <w:rPr>
          <w:szCs w:val="22"/>
        </w:rPr>
        <w:t xml:space="preserve">and (2) there are no other issues that would preclude the grant of the Application.  </w:t>
      </w:r>
    </w:p>
    <w:p w:rsidR="00430A62" w:rsidRPr="00184097" w:rsidP="00430A62" w14:paraId="6C4E61C9" w14:textId="77777777">
      <w:pPr>
        <w:pStyle w:val="ParaNum"/>
        <w:rPr>
          <w:szCs w:val="22"/>
        </w:rPr>
      </w:pPr>
      <w:bookmarkStart w:id="1" w:name="_Ref357521857"/>
      <w:r w:rsidRPr="00184097">
        <w:rPr>
          <w:b/>
          <w:bCs/>
          <w:szCs w:val="22"/>
          <w:u w:val="single"/>
        </w:rPr>
        <w:t>Compliance Plan</w:t>
      </w:r>
      <w:r w:rsidRPr="00184097">
        <w:rPr>
          <w:szCs w:val="22"/>
        </w:rPr>
        <w:t xml:space="preserve">.  </w:t>
      </w:r>
      <w:bookmarkEnd w:id="1"/>
      <w:r w:rsidRPr="00184097">
        <w:rPr>
          <w:szCs w:val="22"/>
        </w:rPr>
        <w:t xml:space="preserve">For purposes of settling the matters set forth herein, the Licensee agrees that it shall, within </w:t>
      </w:r>
      <w:r>
        <w:rPr>
          <w:szCs w:val="22"/>
        </w:rPr>
        <w:t>60</w:t>
      </w:r>
      <w:r w:rsidRPr="00184097">
        <w:rPr>
          <w:szCs w:val="22"/>
        </w:rPr>
        <w:t xml:space="preserve"> calendar days after the Effective Date, develop and implement a Compliance Plan designed to ensure future compliance with the Issues and Programs Lists Rule</w:t>
      </w:r>
      <w:r>
        <w:rPr>
          <w:szCs w:val="22"/>
        </w:rPr>
        <w:t>, the Content of Applications Rule,</w:t>
      </w:r>
      <w:r w:rsidRPr="00184097">
        <w:rPr>
          <w:szCs w:val="22"/>
        </w:rPr>
        <w:t xml:space="preserve"> and the terms and conditions of this Consent Decree.  The Compliance Plan shall apply to all classes of television stations owned by the Licensee.  The Compliance Plan shall contain, at a minimum, the following elements:</w:t>
      </w:r>
    </w:p>
    <w:p w:rsidR="00430A62" w:rsidRPr="00AE6264" w:rsidP="00430A62" w14:paraId="160A4A64" w14:textId="77777777">
      <w:pPr>
        <w:pStyle w:val="ParaNum"/>
        <w:numPr>
          <w:ilvl w:val="0"/>
          <w:numId w:val="10"/>
        </w:numPr>
        <w:rPr>
          <w:szCs w:val="22"/>
        </w:rPr>
      </w:pPr>
      <w:r w:rsidRPr="00184097">
        <w:rPr>
          <w:b/>
          <w:szCs w:val="22"/>
          <w:u w:val="single"/>
        </w:rPr>
        <w:t>Compliance Officer</w:t>
      </w:r>
      <w:r w:rsidRPr="00184097">
        <w:rPr>
          <w:szCs w:val="22"/>
        </w:rPr>
        <w:t>.  Within</w:t>
      </w:r>
      <w:r>
        <w:rPr>
          <w:szCs w:val="22"/>
        </w:rPr>
        <w:t xml:space="preserve"> thirty</w:t>
      </w:r>
      <w:r w:rsidRPr="00184097">
        <w:rPr>
          <w:szCs w:val="22"/>
        </w:rPr>
        <w:t xml:space="preserve"> </w:t>
      </w:r>
      <w:r>
        <w:rPr>
          <w:szCs w:val="22"/>
        </w:rPr>
        <w:t>(</w:t>
      </w:r>
      <w:r w:rsidRPr="00184097">
        <w:rPr>
          <w:szCs w:val="22"/>
        </w:rPr>
        <w:t>30</w:t>
      </w:r>
      <w:r>
        <w:rPr>
          <w:szCs w:val="22"/>
        </w:rPr>
        <w:t>)</w:t>
      </w:r>
      <w:r w:rsidRPr="00184097">
        <w:rPr>
          <w:szCs w:val="22"/>
        </w:rPr>
        <w:t xml:space="preserve"> calendar days after the Effective Date, the Licensee shall designate a</w:t>
      </w:r>
      <w:r>
        <w:rPr>
          <w:szCs w:val="22"/>
        </w:rPr>
        <w:t xml:space="preserve"> person employed (on a full, part-time or contract basis) </w:t>
      </w:r>
      <w:r w:rsidRPr="00184097">
        <w:rPr>
          <w:szCs w:val="22"/>
        </w:rPr>
        <w:t xml:space="preserve">to serve as a Compliance Officer and to discharge the duties set forth below.  </w:t>
      </w:r>
      <w:r>
        <w:rPr>
          <w:szCs w:val="22"/>
        </w:rPr>
        <w:t xml:space="preserve">The </w:t>
      </w:r>
      <w:r w:rsidRPr="00184097">
        <w:rPr>
          <w:szCs w:val="22"/>
        </w:rPr>
        <w:t xml:space="preserve">Compliance Officer </w:t>
      </w:r>
      <w:r>
        <w:rPr>
          <w:szCs w:val="22"/>
        </w:rPr>
        <w:t xml:space="preserve">must be provided all necessary corporate and organizational authority to ensure they are able to discharge their duties.  The Compliance Officer </w:t>
      </w:r>
      <w:r w:rsidRPr="00184097">
        <w:rPr>
          <w:szCs w:val="22"/>
        </w:rPr>
        <w:t>shall report directly to the Licensee’s President (or equivalent senior officer/owner) on a regular basis, and shall be responsible for developing, implementing, and administering the Compliance Plan and ensuring that the Licensee complies with the terms and conditions of the Compliance Plan and this Consent Decree.  The Compliance Officer shall have specific knowledge of the Issues and Programs Lists</w:t>
      </w:r>
      <w:r w:rsidRPr="00184097">
        <w:rPr>
          <w:rFonts w:eastAsia="MS Mincho"/>
          <w:color w:val="000000"/>
          <w:szCs w:val="22"/>
        </w:rPr>
        <w:t xml:space="preserve"> Rule</w:t>
      </w:r>
      <w:r w:rsidRPr="00184097">
        <w:rPr>
          <w:color w:val="000000"/>
          <w:szCs w:val="22"/>
        </w:rPr>
        <w:t xml:space="preserve"> </w:t>
      </w:r>
      <w:r>
        <w:rPr>
          <w:szCs w:val="22"/>
        </w:rPr>
        <w:t>and Content of Applications Rule</w:t>
      </w:r>
      <w:r w:rsidRPr="00184097">
        <w:rPr>
          <w:szCs w:val="22"/>
        </w:rPr>
        <w:t xml:space="preserve"> prior to assuming his/her duties.</w:t>
      </w:r>
    </w:p>
    <w:p w:rsidR="00430A62" w:rsidRPr="00184097" w:rsidP="00430A62" w14:paraId="23D4A73C" w14:textId="77777777">
      <w:pPr>
        <w:numPr>
          <w:ilvl w:val="0"/>
          <w:numId w:val="10"/>
        </w:numPr>
        <w:spacing w:after="120"/>
        <w:rPr>
          <w:szCs w:val="22"/>
        </w:rPr>
      </w:pPr>
      <w:r w:rsidRPr="00184097">
        <w:rPr>
          <w:b/>
          <w:bCs/>
          <w:szCs w:val="22"/>
          <w:u w:val="single"/>
        </w:rPr>
        <w:t>Compliance Manual</w:t>
      </w:r>
      <w:r w:rsidRPr="00184097">
        <w:rPr>
          <w:szCs w:val="22"/>
        </w:rPr>
        <w:t xml:space="preserve">.  </w:t>
      </w:r>
      <w:r>
        <w:rPr>
          <w:szCs w:val="22"/>
        </w:rPr>
        <w:t>Within sixty (60) calendar days after the Effective Date, the Compliance Officer shall develop and distribute</w:t>
      </w:r>
      <w:r w:rsidRPr="00184097">
        <w:rPr>
          <w:szCs w:val="22"/>
        </w:rPr>
        <w:t xml:space="preserve"> a Compliance Manual to all Covered Employees.  The </w:t>
      </w:r>
      <w:r>
        <w:rPr>
          <w:szCs w:val="22"/>
        </w:rPr>
        <w:t xml:space="preserve">Compliance Officer </w:t>
      </w:r>
      <w:r w:rsidRPr="00184097">
        <w:rPr>
          <w:szCs w:val="22"/>
        </w:rPr>
        <w:t>may</w:t>
      </w:r>
      <w:r>
        <w:rPr>
          <w:szCs w:val="22"/>
        </w:rPr>
        <w:t xml:space="preserve"> distribute</w:t>
      </w:r>
      <w:r w:rsidRPr="00184097">
        <w:rPr>
          <w:szCs w:val="22"/>
        </w:rPr>
        <w:t xml:space="preserve"> a Compliance Manual that </w:t>
      </w:r>
      <w:r>
        <w:rPr>
          <w:szCs w:val="22"/>
        </w:rPr>
        <w:t>they have</w:t>
      </w:r>
      <w:r w:rsidRPr="00184097">
        <w:rPr>
          <w:szCs w:val="22"/>
        </w:rPr>
        <w:t xml:space="preserve"> </w:t>
      </w:r>
      <w:r>
        <w:rPr>
          <w:szCs w:val="22"/>
        </w:rPr>
        <w:t xml:space="preserve">personally </w:t>
      </w:r>
      <w:r w:rsidRPr="00184097">
        <w:rPr>
          <w:szCs w:val="22"/>
        </w:rPr>
        <w:t>prepared or one that has been prepared by a</w:t>
      </w:r>
      <w:r>
        <w:rPr>
          <w:szCs w:val="22"/>
        </w:rPr>
        <w:t xml:space="preserve"> third party</w:t>
      </w:r>
      <w:r w:rsidRPr="00184097">
        <w:rPr>
          <w:szCs w:val="22"/>
        </w:rPr>
        <w:t>, such as a trade association or a law firm. The Compliance Manual shall:</w:t>
      </w:r>
      <w:r w:rsidRPr="00184097">
        <w:rPr>
          <w:b/>
          <w:szCs w:val="22"/>
          <w:u w:val="single"/>
        </w:rPr>
        <w:t xml:space="preserve"> </w:t>
      </w:r>
    </w:p>
    <w:p w:rsidR="00430A62" w:rsidRPr="007E792C" w:rsidP="00430A62" w14:paraId="30207886" w14:textId="77777777">
      <w:pPr>
        <w:numPr>
          <w:ilvl w:val="2"/>
          <w:numId w:val="10"/>
        </w:numPr>
        <w:spacing w:after="120"/>
        <w:rPr>
          <w:szCs w:val="22"/>
        </w:rPr>
      </w:pPr>
      <w:r w:rsidRPr="007E792C">
        <w:rPr>
          <w:szCs w:val="22"/>
        </w:rPr>
        <w:t>thoroughly explain the requirements embodied in the Issues and Programs Lists Rule</w:t>
      </w:r>
      <w:r>
        <w:rPr>
          <w:szCs w:val="22"/>
        </w:rPr>
        <w:t xml:space="preserve"> and Content of Applications Rule</w:t>
      </w:r>
      <w:r w:rsidRPr="007E792C">
        <w:rPr>
          <w:szCs w:val="22"/>
        </w:rPr>
        <w:t>;</w:t>
      </w:r>
    </w:p>
    <w:p w:rsidR="00430A62" w:rsidRPr="00184097" w:rsidP="00430A62" w14:paraId="68BC6A58" w14:textId="77777777">
      <w:pPr>
        <w:numPr>
          <w:ilvl w:val="2"/>
          <w:numId w:val="10"/>
        </w:numPr>
        <w:spacing w:after="120"/>
        <w:rPr>
          <w:szCs w:val="22"/>
        </w:rPr>
      </w:pPr>
      <w:r w:rsidRPr="007E792C">
        <w:rPr>
          <w:szCs w:val="22"/>
        </w:rPr>
        <w:t>establish Operating Procedures that Covered Employees must follow to help ensure the Licensee’s compliance with the Issues and Programs Lists Rule</w:t>
      </w:r>
      <w:r>
        <w:rPr>
          <w:szCs w:val="22"/>
        </w:rPr>
        <w:t xml:space="preserve"> and Content of Applications Rule</w:t>
      </w:r>
      <w:r w:rsidRPr="007E792C">
        <w:rPr>
          <w:szCs w:val="22"/>
        </w:rPr>
        <w:t>.  The Operating Procedures shall include internal procedures and policies specifically designed to ensure that the Licensee’s stations upload all required information to their online public inspection files in a timely manner and otherwise maintain full, complete, and up to date information therein.  The Operating Procedures shall also include a compliance checklist that describes the steps that a Covered Employee must follow to ensure compliance with the Issues and Programs Lists Rule</w:t>
      </w:r>
      <w:r>
        <w:rPr>
          <w:szCs w:val="22"/>
        </w:rPr>
        <w:t xml:space="preserve"> and Content of Applications Rule</w:t>
      </w:r>
      <w:r w:rsidRPr="007E792C">
        <w:rPr>
          <w:szCs w:val="22"/>
        </w:rPr>
        <w:t xml:space="preserve">; and </w:t>
      </w:r>
    </w:p>
    <w:p w:rsidR="00430A62" w:rsidP="00430A62" w14:paraId="1F489E9E" w14:textId="77777777">
      <w:pPr>
        <w:numPr>
          <w:ilvl w:val="2"/>
          <w:numId w:val="10"/>
        </w:numPr>
        <w:tabs>
          <w:tab w:val="clear" w:pos="2088"/>
        </w:tabs>
        <w:spacing w:after="120"/>
        <w:ind w:left="2070"/>
        <w:rPr>
          <w:szCs w:val="22"/>
        </w:rPr>
      </w:pPr>
      <w:r w:rsidRPr="007E792C">
        <w:rPr>
          <w:szCs w:val="22"/>
        </w:rPr>
        <w:t>be reviewed at least every six months by the Compliance Officer and revised as necessary to ensure that the information set forth therein remains current, complete, accurate, and effective.  The Licensee shall distribute any revisions to the Compliance Manual promptly to all Covered Employees.</w:t>
      </w:r>
    </w:p>
    <w:p w:rsidR="00430A62" w:rsidP="00430A62" w14:paraId="3FF9D569" w14:textId="77777777">
      <w:pPr>
        <w:numPr>
          <w:ilvl w:val="0"/>
          <w:numId w:val="10"/>
        </w:numPr>
        <w:spacing w:after="120"/>
        <w:rPr>
          <w:szCs w:val="22"/>
        </w:rPr>
      </w:pPr>
      <w:r w:rsidRPr="007E792C">
        <w:rPr>
          <w:b/>
          <w:szCs w:val="22"/>
          <w:u w:val="single"/>
        </w:rPr>
        <w:t>Compliance Training Program</w:t>
      </w:r>
      <w:r w:rsidRPr="007E792C">
        <w:rPr>
          <w:bCs/>
          <w:szCs w:val="22"/>
        </w:rPr>
        <w:t>.</w:t>
      </w:r>
      <w:r w:rsidRPr="007E792C">
        <w:rPr>
          <w:szCs w:val="22"/>
        </w:rPr>
        <w:t xml:space="preserve">  </w:t>
      </w:r>
      <w:r>
        <w:rPr>
          <w:szCs w:val="22"/>
        </w:rPr>
        <w:t>T</w:t>
      </w:r>
      <w:r w:rsidRPr="007E792C">
        <w:rPr>
          <w:szCs w:val="22"/>
        </w:rPr>
        <w:t xml:space="preserve">he Licensee </w:t>
      </w:r>
      <w:r>
        <w:rPr>
          <w:szCs w:val="22"/>
        </w:rPr>
        <w:t>shall establish and implement a Compliance Training Program</w:t>
      </w:r>
      <w:r w:rsidRPr="007E792C">
        <w:rPr>
          <w:szCs w:val="22"/>
        </w:rPr>
        <w:t xml:space="preserve"> on </w:t>
      </w:r>
      <w:r>
        <w:rPr>
          <w:szCs w:val="22"/>
        </w:rPr>
        <w:t>compliance</w:t>
      </w:r>
      <w:r w:rsidRPr="007E792C">
        <w:rPr>
          <w:szCs w:val="22"/>
        </w:rPr>
        <w:t xml:space="preserve"> with the Issues and Programs Lists Rule</w:t>
      </w:r>
      <w:r>
        <w:rPr>
          <w:szCs w:val="22"/>
        </w:rPr>
        <w:t>, Content of Applications Rule, and the Operating Procedures</w:t>
      </w:r>
      <w:r w:rsidRPr="007E792C">
        <w:rPr>
          <w:szCs w:val="22"/>
        </w:rPr>
        <w:t xml:space="preserve">.  As part of the </w:t>
      </w:r>
      <w:r>
        <w:rPr>
          <w:szCs w:val="22"/>
        </w:rPr>
        <w:t>C</w:t>
      </w:r>
      <w:r w:rsidRPr="007E792C">
        <w:rPr>
          <w:szCs w:val="22"/>
        </w:rPr>
        <w:t xml:space="preserve">ompliance </w:t>
      </w:r>
      <w:r>
        <w:rPr>
          <w:szCs w:val="22"/>
        </w:rPr>
        <w:t>T</w:t>
      </w:r>
      <w:r w:rsidRPr="007E792C">
        <w:rPr>
          <w:szCs w:val="22"/>
        </w:rPr>
        <w:t xml:space="preserve">raining </w:t>
      </w:r>
      <w:r>
        <w:rPr>
          <w:szCs w:val="22"/>
        </w:rPr>
        <w:t>P</w:t>
      </w:r>
      <w:r w:rsidRPr="007E792C">
        <w:rPr>
          <w:szCs w:val="22"/>
        </w:rPr>
        <w:t>rogram, Covered Employees shall be advised of the Licensee’s obligation to report any noncompliance with the Issues and Programs Lists Rule</w:t>
      </w:r>
      <w:r>
        <w:rPr>
          <w:szCs w:val="22"/>
        </w:rPr>
        <w:t xml:space="preserve"> and Content of Applications Rule,</w:t>
      </w:r>
      <w:r w:rsidRPr="007E792C">
        <w:rPr>
          <w:szCs w:val="22"/>
        </w:rPr>
        <w:t xml:space="preserve"> and shall be instructed on how to disclose noncompliance to the Compliance Officer.  All Covered Employees shall receive initial training under the </w:t>
      </w:r>
      <w:r>
        <w:rPr>
          <w:szCs w:val="22"/>
        </w:rPr>
        <w:t>C</w:t>
      </w:r>
      <w:r w:rsidRPr="007E792C">
        <w:rPr>
          <w:szCs w:val="22"/>
        </w:rPr>
        <w:t xml:space="preserve">ompliance </w:t>
      </w:r>
      <w:r>
        <w:rPr>
          <w:szCs w:val="22"/>
        </w:rPr>
        <w:t>T</w:t>
      </w:r>
      <w:r w:rsidRPr="007E792C">
        <w:rPr>
          <w:szCs w:val="22"/>
        </w:rPr>
        <w:t xml:space="preserve">raining </w:t>
      </w:r>
      <w:r>
        <w:rPr>
          <w:szCs w:val="22"/>
        </w:rPr>
        <w:t>P</w:t>
      </w:r>
      <w:r w:rsidRPr="007E792C">
        <w:rPr>
          <w:szCs w:val="22"/>
        </w:rPr>
        <w:t xml:space="preserve">rogram within </w:t>
      </w:r>
      <w:r>
        <w:rPr>
          <w:szCs w:val="22"/>
        </w:rPr>
        <w:t>ninety (90)</w:t>
      </w:r>
      <w:r w:rsidRPr="007E792C">
        <w:rPr>
          <w:szCs w:val="22"/>
        </w:rPr>
        <w:t xml:space="preserve"> calendar days after the Effective Date, except that any person who becomes a Covered Employee at any time after such initial training is provided shall receive training under the </w:t>
      </w:r>
      <w:r>
        <w:rPr>
          <w:szCs w:val="22"/>
        </w:rPr>
        <w:t>C</w:t>
      </w:r>
      <w:r w:rsidRPr="007E792C">
        <w:rPr>
          <w:szCs w:val="22"/>
        </w:rPr>
        <w:t xml:space="preserve">ompliance </w:t>
      </w:r>
      <w:r>
        <w:rPr>
          <w:szCs w:val="22"/>
        </w:rPr>
        <w:t>T</w:t>
      </w:r>
      <w:r w:rsidRPr="007E792C">
        <w:rPr>
          <w:szCs w:val="22"/>
        </w:rPr>
        <w:t xml:space="preserve">raining </w:t>
      </w:r>
      <w:r>
        <w:rPr>
          <w:szCs w:val="22"/>
        </w:rPr>
        <w:t>P</w:t>
      </w:r>
      <w:r w:rsidRPr="007E792C">
        <w:rPr>
          <w:szCs w:val="22"/>
        </w:rPr>
        <w:t xml:space="preserve">rogram within </w:t>
      </w:r>
      <w:r>
        <w:rPr>
          <w:szCs w:val="22"/>
        </w:rPr>
        <w:t>thirty (</w:t>
      </w:r>
      <w:r w:rsidRPr="007E792C">
        <w:rPr>
          <w:szCs w:val="22"/>
        </w:rPr>
        <w:t>30</w:t>
      </w:r>
      <w:r>
        <w:rPr>
          <w:szCs w:val="22"/>
        </w:rPr>
        <w:t>)</w:t>
      </w:r>
      <w:r w:rsidRPr="007E792C">
        <w:rPr>
          <w:szCs w:val="22"/>
        </w:rPr>
        <w:t xml:space="preserve"> calendar days after the date</w:t>
      </w:r>
      <w:r>
        <w:rPr>
          <w:szCs w:val="22"/>
        </w:rPr>
        <w:t xml:space="preserve"> they become </w:t>
      </w:r>
      <w:r w:rsidRPr="007E792C">
        <w:rPr>
          <w:szCs w:val="22"/>
        </w:rPr>
        <w:t>a Covered Employee.  The Licensee shall</w:t>
      </w:r>
      <w:r>
        <w:rPr>
          <w:szCs w:val="22"/>
        </w:rPr>
        <w:t xml:space="preserve"> provide the C</w:t>
      </w:r>
      <w:r w:rsidRPr="007E792C">
        <w:rPr>
          <w:szCs w:val="22"/>
        </w:rPr>
        <w:t xml:space="preserve">ompliance </w:t>
      </w:r>
      <w:r>
        <w:rPr>
          <w:szCs w:val="22"/>
        </w:rPr>
        <w:t>T</w:t>
      </w:r>
      <w:r w:rsidRPr="007E792C">
        <w:rPr>
          <w:szCs w:val="22"/>
        </w:rPr>
        <w:t xml:space="preserve">raining </w:t>
      </w:r>
      <w:r>
        <w:rPr>
          <w:szCs w:val="22"/>
        </w:rPr>
        <w:t>Program</w:t>
      </w:r>
      <w:r w:rsidRPr="007E792C">
        <w:rPr>
          <w:szCs w:val="22"/>
        </w:rPr>
        <w:t xml:space="preserve"> </w:t>
      </w:r>
      <w:r>
        <w:rPr>
          <w:szCs w:val="22"/>
        </w:rPr>
        <w:t xml:space="preserve">to all Covered Employees </w:t>
      </w:r>
      <w:r w:rsidRPr="007E792C">
        <w:rPr>
          <w:szCs w:val="22"/>
        </w:rPr>
        <w:t xml:space="preserve">on at least an annual basis, and it shall review and revise the </w:t>
      </w:r>
      <w:r>
        <w:rPr>
          <w:szCs w:val="22"/>
        </w:rPr>
        <w:t>C</w:t>
      </w:r>
      <w:r w:rsidRPr="007E792C">
        <w:rPr>
          <w:szCs w:val="22"/>
        </w:rPr>
        <w:t xml:space="preserve">ompliance </w:t>
      </w:r>
      <w:r>
        <w:rPr>
          <w:szCs w:val="22"/>
        </w:rPr>
        <w:t>T</w:t>
      </w:r>
      <w:r w:rsidRPr="007E792C">
        <w:rPr>
          <w:szCs w:val="22"/>
        </w:rPr>
        <w:t xml:space="preserve">raining </w:t>
      </w:r>
      <w:r>
        <w:rPr>
          <w:szCs w:val="22"/>
        </w:rPr>
        <w:t>P</w:t>
      </w:r>
      <w:r w:rsidRPr="007E792C">
        <w:rPr>
          <w:szCs w:val="22"/>
        </w:rPr>
        <w:t>rogram</w:t>
      </w:r>
      <w:r>
        <w:rPr>
          <w:szCs w:val="22"/>
        </w:rPr>
        <w:t>,</w:t>
      </w:r>
      <w:r w:rsidRPr="007E792C">
        <w:rPr>
          <w:szCs w:val="22"/>
        </w:rPr>
        <w:t xml:space="preserve"> as necessary</w:t>
      </w:r>
      <w:r>
        <w:rPr>
          <w:szCs w:val="22"/>
        </w:rPr>
        <w:t>,</w:t>
      </w:r>
      <w:r w:rsidRPr="007E792C">
        <w:rPr>
          <w:szCs w:val="22"/>
        </w:rPr>
        <w:t xml:space="preserve"> to ensure that it remains current, complete, and effective.</w:t>
      </w:r>
    </w:p>
    <w:p w:rsidR="00430A62" w:rsidRPr="000C786F" w:rsidP="00430A62" w14:paraId="6E7CF7F5" w14:textId="77777777">
      <w:pPr>
        <w:numPr>
          <w:ilvl w:val="0"/>
          <w:numId w:val="10"/>
        </w:numPr>
        <w:spacing w:after="120"/>
        <w:rPr>
          <w:szCs w:val="22"/>
        </w:rPr>
      </w:pPr>
      <w:r w:rsidRPr="009822E1">
        <w:rPr>
          <w:b/>
          <w:szCs w:val="22"/>
          <w:u w:val="single"/>
        </w:rPr>
        <w:t>Compliance Report</w:t>
      </w:r>
      <w:r w:rsidRPr="009822E1">
        <w:rPr>
          <w:szCs w:val="22"/>
        </w:rPr>
        <w:t xml:space="preserve">.  The Licensee shall submit a Compliance Report to the Bureau one year after the Effective Date and within five business days following the Termination Date.  The Compliance Report shall contain a certification as to whether over the past year the Licensee complied with the Online Public Inspection File Rule and the requirements of Paragraphs </w:t>
      </w:r>
      <w:r>
        <w:rPr>
          <w:szCs w:val="22"/>
        </w:rPr>
        <w:t>20</w:t>
      </w:r>
      <w:r w:rsidRPr="009822E1">
        <w:rPr>
          <w:szCs w:val="22"/>
        </w:rPr>
        <w:t xml:space="preserve"> and 2</w:t>
      </w:r>
      <w:r>
        <w:rPr>
          <w:szCs w:val="22"/>
        </w:rPr>
        <w:t>1</w:t>
      </w:r>
      <w:r w:rsidRPr="009822E1">
        <w:rPr>
          <w:szCs w:val="22"/>
        </w:rPr>
        <w:t xml:space="preserve"> of this Consent Decree.  The Compliance Report shall also disclose </w:t>
      </w:r>
      <w:r>
        <w:rPr>
          <w:szCs w:val="22"/>
        </w:rPr>
        <w:t>each instance</w:t>
      </w:r>
      <w:r w:rsidRPr="009822E1">
        <w:rPr>
          <w:szCs w:val="22"/>
        </w:rPr>
        <w:t xml:space="preserve"> non-compliance not previously reported to the Bureau under Paragraph 2</w:t>
      </w:r>
      <w:r>
        <w:rPr>
          <w:szCs w:val="22"/>
        </w:rPr>
        <w:t>1.  F</w:t>
      </w:r>
      <w:r w:rsidRPr="009822E1">
        <w:rPr>
          <w:szCs w:val="22"/>
        </w:rPr>
        <w:t xml:space="preserve">or each </w:t>
      </w:r>
      <w:r>
        <w:rPr>
          <w:szCs w:val="22"/>
        </w:rPr>
        <w:t xml:space="preserve">such </w:t>
      </w:r>
      <w:r w:rsidRPr="009822E1">
        <w:rPr>
          <w:szCs w:val="22"/>
        </w:rPr>
        <w:t>instance of material noncompliance</w:t>
      </w:r>
      <w:r>
        <w:rPr>
          <w:szCs w:val="22"/>
        </w:rPr>
        <w:t xml:space="preserve"> the Compliance Officer must</w:t>
      </w:r>
      <w:r w:rsidRPr="009822E1">
        <w:rPr>
          <w:szCs w:val="22"/>
        </w:rPr>
        <w:t xml:space="preserve"> explain </w:t>
      </w:r>
      <w:r>
        <w:rPr>
          <w:szCs w:val="22"/>
        </w:rPr>
        <w:t xml:space="preserve">(i) </w:t>
      </w:r>
      <w:r w:rsidRPr="009822E1">
        <w:rPr>
          <w:szCs w:val="22"/>
        </w:rPr>
        <w:t>the steps that the Licensee has taken or will take to remedy such noncompliance, including the schedule on which proposed remedial actions will be taken</w:t>
      </w:r>
      <w:r>
        <w:rPr>
          <w:szCs w:val="22"/>
        </w:rPr>
        <w:t>,</w:t>
      </w:r>
      <w:r w:rsidRPr="009822E1">
        <w:rPr>
          <w:szCs w:val="22"/>
        </w:rPr>
        <w:t xml:space="preserve"> and </w:t>
      </w:r>
      <w:r>
        <w:rPr>
          <w:szCs w:val="22"/>
        </w:rPr>
        <w:t xml:space="preserve">(ii) </w:t>
      </w:r>
      <w:r w:rsidRPr="009822E1">
        <w:rPr>
          <w:szCs w:val="22"/>
        </w:rPr>
        <w:t>the steps that have or will be taken to prevent the recurrence of any such noncompliance</w:t>
      </w:r>
      <w:r>
        <w:rPr>
          <w:szCs w:val="22"/>
        </w:rPr>
        <w:t>,</w:t>
      </w:r>
      <w:r w:rsidRPr="009822E1">
        <w:t xml:space="preserve"> </w:t>
      </w:r>
      <w:r>
        <w:t>in</w:t>
      </w:r>
      <w:r w:rsidRPr="00184097">
        <w:t>cluding the schedule on which such preventative action will be taken</w:t>
      </w:r>
      <w:r>
        <w:rPr>
          <w:szCs w:val="22"/>
        </w:rPr>
        <w:t xml:space="preserve">.  </w:t>
      </w:r>
      <w:r w:rsidRPr="000C786F">
        <w:rPr>
          <w:szCs w:val="22"/>
        </w:rPr>
        <w:t xml:space="preserve">The Compliance Officer’s certification </w:t>
      </w:r>
      <w:r>
        <w:rPr>
          <w:szCs w:val="22"/>
        </w:rPr>
        <w:t xml:space="preserve">must </w:t>
      </w:r>
      <w:r w:rsidRPr="000C786F">
        <w:rPr>
          <w:szCs w:val="22"/>
        </w:rPr>
        <w:t>comply with section 1.16 of the</w:t>
      </w:r>
      <w:r>
        <w:rPr>
          <w:szCs w:val="22"/>
        </w:rPr>
        <w:t xml:space="preserve"> </w:t>
      </w:r>
      <w:r w:rsidRPr="000C786F">
        <w:rPr>
          <w:szCs w:val="22"/>
        </w:rPr>
        <w:t>Rules and be subscribed to as true under penalty of perjury.</w:t>
      </w:r>
      <w:r>
        <w:rPr>
          <w:rStyle w:val="FootnoteReference"/>
          <w:szCs w:val="22"/>
        </w:rPr>
        <w:footnoteReference w:id="32"/>
      </w:r>
      <w:r>
        <w:rPr>
          <w:szCs w:val="22"/>
        </w:rPr>
        <w:t xml:space="preserve">  </w:t>
      </w:r>
      <w:r w:rsidRPr="000C786F">
        <w:rPr>
          <w:szCs w:val="22"/>
        </w:rPr>
        <w:t>The Bureau may, within its sole discretion, require the Licensee to submit documentation</w:t>
      </w:r>
      <w:r>
        <w:rPr>
          <w:szCs w:val="22"/>
        </w:rPr>
        <w:t xml:space="preserve"> or material </w:t>
      </w:r>
      <w:r w:rsidRPr="000C786F">
        <w:rPr>
          <w:szCs w:val="22"/>
        </w:rPr>
        <w:t>that supports the certification being provided</w:t>
      </w:r>
      <w:r>
        <w:rPr>
          <w:szCs w:val="22"/>
        </w:rPr>
        <w:t xml:space="preserve"> by the Compliance Officer</w:t>
      </w:r>
      <w:r w:rsidRPr="000C786F">
        <w:rPr>
          <w:szCs w:val="22"/>
        </w:rPr>
        <w:t>.</w:t>
      </w:r>
      <w:r>
        <w:rPr>
          <w:szCs w:val="22"/>
        </w:rPr>
        <w:t xml:space="preserve">  </w:t>
      </w:r>
      <w:r w:rsidRPr="000C786F">
        <w:rPr>
          <w:szCs w:val="22"/>
        </w:rPr>
        <w:t>The compliance report shall be submitted to Division staff</w:t>
      </w:r>
      <w:r>
        <w:rPr>
          <w:szCs w:val="22"/>
        </w:rPr>
        <w:t xml:space="preserve"> as follows:  </w:t>
      </w:r>
      <w:r w:rsidRPr="000C786F">
        <w:rPr>
          <w:szCs w:val="22"/>
        </w:rPr>
        <w:t xml:space="preserve">Andrew Manley at </w:t>
      </w:r>
      <w:hyperlink r:id="rId11" w:history="1">
        <w:r w:rsidRPr="00D14B02">
          <w:rPr>
            <w:rStyle w:val="Hyperlink"/>
            <w:szCs w:val="22"/>
          </w:rPr>
          <w:t>Andrew.Manley@fcc.gov</w:t>
        </w:r>
      </w:hyperlink>
      <w:r>
        <w:rPr>
          <w:szCs w:val="22"/>
        </w:rPr>
        <w:t xml:space="preserve"> and David Brown at </w:t>
      </w:r>
      <w:hyperlink r:id="rId16" w:history="1">
        <w:r w:rsidRPr="00D14B02">
          <w:rPr>
            <w:rStyle w:val="Hyperlink"/>
            <w:szCs w:val="22"/>
          </w:rPr>
          <w:t>David.Brown@fcc.gov</w:t>
        </w:r>
      </w:hyperlink>
      <w:r w:rsidRPr="000C786F">
        <w:rPr>
          <w:szCs w:val="22"/>
        </w:rPr>
        <w:t>.</w:t>
      </w:r>
      <w:r>
        <w:rPr>
          <w:szCs w:val="22"/>
        </w:rPr>
        <w:t xml:space="preserve"> </w:t>
      </w:r>
      <w:r w:rsidRPr="000C786F">
        <w:rPr>
          <w:szCs w:val="22"/>
        </w:rPr>
        <w:t xml:space="preserve"> </w:t>
      </w:r>
    </w:p>
    <w:p w:rsidR="00430A62" w:rsidRPr="00184097" w:rsidP="00430A62" w14:paraId="4B41518A" w14:textId="77777777">
      <w:pPr>
        <w:pStyle w:val="ParaNum"/>
        <w:rPr>
          <w:caps/>
        </w:rPr>
      </w:pPr>
      <w:bookmarkStart w:id="2" w:name="_Ref321323028"/>
      <w:r w:rsidRPr="00184097">
        <w:rPr>
          <w:b/>
          <w:u w:val="single"/>
        </w:rPr>
        <w:t>Reporting Noncompliance</w:t>
      </w:r>
      <w:r w:rsidRPr="00184097">
        <w:t xml:space="preserve">.  </w:t>
      </w:r>
      <w:bookmarkStart w:id="3" w:name="_Ref379202892"/>
      <w:bookmarkEnd w:id="2"/>
      <w:r w:rsidRPr="00184097">
        <w:t>The Licensee shall report any instance of noncompliance with the Issues and Programs Lists Rule</w:t>
      </w:r>
      <w:r>
        <w:t xml:space="preserve">, </w:t>
      </w:r>
      <w:r>
        <w:rPr>
          <w:szCs w:val="22"/>
        </w:rPr>
        <w:t>Content of Applications Rule,</w:t>
      </w:r>
      <w:r>
        <w:t xml:space="preserve"> or</w:t>
      </w:r>
      <w:r w:rsidRPr="00184097">
        <w:t xml:space="preserve"> any instance of noncompliance with any applicable terms and conditions of this Consent Decree</w:t>
      </w:r>
      <w:r>
        <w:t xml:space="preserve"> (i.e., Paragraph 20)</w:t>
      </w:r>
      <w:r w:rsidRPr="00184097">
        <w:t xml:space="preserve"> within 10 calendar days after discovery of such noncompliance. </w:t>
      </w:r>
      <w:r>
        <w:t xml:space="preserve"> </w:t>
      </w:r>
      <w:r w:rsidRPr="00184097">
        <w:t>Such reports shall include a detailed explanation of: (i) each such instance of noncompliance; (ii) the steps that the Licensee has or will take to remedy such noncompliance, including the schedule on which such actions will be taken; and (iii) the steps that the Licensee has or will take to prevent the recurrence of any such noncompliance, including the schedule on which such preventative action will be taken.  All reports of noncompliance shall be submitted to Division staff</w:t>
      </w:r>
      <w:r>
        <w:t xml:space="preserve"> as follows</w:t>
      </w:r>
      <w:r w:rsidRPr="00184097">
        <w:t xml:space="preserve">: </w:t>
      </w:r>
      <w:r>
        <w:t xml:space="preserve">Andrew Manley at </w:t>
      </w:r>
      <w:hyperlink r:id="rId11" w:history="1">
        <w:r w:rsidRPr="00D14B02">
          <w:rPr>
            <w:rStyle w:val="Hyperlink"/>
          </w:rPr>
          <w:t>Andrew.Manley@fcc.gov</w:t>
        </w:r>
      </w:hyperlink>
      <w:r>
        <w:t xml:space="preserve"> and David Brown at </w:t>
      </w:r>
      <w:hyperlink r:id="rId16" w:history="1">
        <w:r w:rsidRPr="00D14B02">
          <w:rPr>
            <w:rStyle w:val="Hyperlink"/>
          </w:rPr>
          <w:t>David.Brown@fcc.gov</w:t>
        </w:r>
      </w:hyperlink>
      <w:r w:rsidRPr="00184097">
        <w:t xml:space="preserve">.  </w:t>
      </w:r>
    </w:p>
    <w:bookmarkEnd w:id="3"/>
    <w:p w:rsidR="00430A62" w:rsidRPr="00184097" w:rsidP="00430A62" w14:paraId="23E1E564" w14:textId="77777777">
      <w:pPr>
        <w:pStyle w:val="ParaNum"/>
      </w:pPr>
      <w:r w:rsidRPr="00184097">
        <w:rPr>
          <w:b/>
          <w:u w:val="single"/>
        </w:rPr>
        <w:t>Termination Date</w:t>
      </w:r>
      <w:r w:rsidRPr="00184097">
        <w:t xml:space="preserve">. </w:t>
      </w:r>
      <w:r w:rsidRPr="00184097">
        <w:rPr>
          <w:bCs/>
        </w:rPr>
        <w:t xml:space="preserve"> </w:t>
      </w:r>
      <w:r w:rsidRPr="00184097">
        <w:t xml:space="preserve">The obligations to which the Licensee is subject pursuant to this Consent Decree shall terminate two years after the Effective Date, provided the Bureau is satisfied that the Licensee has demonstrated substantial compliance with its obligations.  If the Bureau is not satisfied that the Licensee has demonstrated substantial compliance with its obligations, the Bureau may, within its sole discretion and authority, extend the termination date of this Consent Decree for up to an additional </w:t>
      </w:r>
      <w:r>
        <w:t>twenty-four (</w:t>
      </w:r>
      <w:r w:rsidRPr="00184097">
        <w:t>24</w:t>
      </w:r>
      <w:r>
        <w:t>)</w:t>
      </w:r>
      <w:r w:rsidRPr="00184097">
        <w:t xml:space="preserve"> months.</w:t>
      </w:r>
    </w:p>
    <w:p w:rsidR="00430A62" w:rsidRPr="00184097" w:rsidP="00430A62" w14:paraId="2C29E108" w14:textId="77777777">
      <w:pPr>
        <w:pStyle w:val="ParaNum"/>
        <w:rPr>
          <w:szCs w:val="22"/>
        </w:rPr>
      </w:pPr>
      <w:r w:rsidRPr="00184097">
        <w:rPr>
          <w:b/>
          <w:szCs w:val="22"/>
          <w:u w:val="single"/>
        </w:rPr>
        <w:t>Waivers</w:t>
      </w:r>
      <w:r w:rsidRPr="00184097">
        <w:rPr>
          <w:szCs w:val="22"/>
        </w:rPr>
        <w:t xml:space="preserve">.  As of the Effective Date, the </w:t>
      </w:r>
      <w:r w:rsidRPr="00184097">
        <w:rPr>
          <w:bCs/>
          <w:szCs w:val="22"/>
        </w:rPr>
        <w:t>Licensee</w:t>
      </w:r>
      <w:r w:rsidRPr="00184097">
        <w:rPr>
          <w:szCs w:val="22"/>
        </w:rPr>
        <w:t xml:space="preserve"> waives any and all rights it may have to </w:t>
      </w:r>
      <w:r w:rsidRPr="00184097">
        <w:rPr>
          <w:szCs w:val="22"/>
        </w:rPr>
        <w:t xml:space="preserve">seek administrative or judicial reconsideration, review, appeal, or stay, or to otherwise challenge or contest the validity of this Consent Decree and the Adopting Order.  The Licensee shall retain the right to challenge Commission interpretation of the Consent Decree or any terms contained herein.  If either Party (or the United States on behalf of the Commission) brings a judicial action to enforce the terms of the Consent Decree or Adopting Order, neither the Licensee nor the Commission shall contest the validity of the Consent Decree or the Adopting Order, and the Licensee shall waive any statutory right to a trial </w:t>
      </w:r>
      <w:r w:rsidRPr="00184097">
        <w:rPr>
          <w:i/>
          <w:szCs w:val="22"/>
        </w:rPr>
        <w:t>de novo</w:t>
      </w:r>
      <w:r w:rsidRPr="00184097">
        <w:rPr>
          <w:szCs w:val="22"/>
        </w:rPr>
        <w:t>.  The Licensee hereby agrees to waive any claims it may have under the Equal Access to Justice Act</w:t>
      </w:r>
      <w:r>
        <w:rPr>
          <w:rStyle w:val="FootnoteReference"/>
          <w:sz w:val="22"/>
          <w:szCs w:val="22"/>
        </w:rPr>
        <w:footnoteReference w:id="33"/>
      </w:r>
      <w:r w:rsidRPr="00184097">
        <w:rPr>
          <w:szCs w:val="22"/>
        </w:rPr>
        <w:t xml:space="preserve"> relating to the matters addressed in this Consent Decree.</w:t>
      </w:r>
    </w:p>
    <w:p w:rsidR="00430A62" w:rsidRPr="00406646" w:rsidP="00430A62" w14:paraId="5DAAB01E" w14:textId="77777777">
      <w:pPr>
        <w:pStyle w:val="ParaNum"/>
        <w:rPr>
          <w:szCs w:val="22"/>
        </w:rPr>
      </w:pPr>
      <w:r w:rsidRPr="00184097">
        <w:rPr>
          <w:b/>
          <w:szCs w:val="22"/>
          <w:u w:val="single"/>
        </w:rPr>
        <w:t>Severability</w:t>
      </w:r>
      <w:r w:rsidRPr="00184097">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430A62" w:rsidRPr="00184097" w:rsidP="00430A62" w14:paraId="78336249" w14:textId="77777777">
      <w:pPr>
        <w:pStyle w:val="ParaNum"/>
        <w:rPr>
          <w:szCs w:val="22"/>
        </w:rPr>
      </w:pPr>
      <w:r w:rsidRPr="00184097">
        <w:rPr>
          <w:b/>
          <w:szCs w:val="22"/>
          <w:u w:val="single"/>
        </w:rPr>
        <w:t>Invalidity</w:t>
      </w:r>
      <w:r w:rsidRPr="00184097">
        <w:rPr>
          <w:szCs w:val="22"/>
        </w:rPr>
        <w:t xml:space="preserve">.  In the event that this Consent Decree in its entirety is rendered invalid by any court of competent jurisdiction, it shall become null and void and may not be used in any manner in any legal proceeding.  </w:t>
      </w:r>
    </w:p>
    <w:p w:rsidR="00430A62" w:rsidRPr="00184097" w:rsidP="00430A62" w14:paraId="664E803B" w14:textId="77777777">
      <w:pPr>
        <w:pStyle w:val="ParaNum"/>
        <w:rPr>
          <w:szCs w:val="22"/>
        </w:rPr>
      </w:pPr>
      <w:r w:rsidRPr="00184097">
        <w:rPr>
          <w:b/>
          <w:szCs w:val="22"/>
          <w:u w:val="single"/>
        </w:rPr>
        <w:t>Subsequent Rule or Order</w:t>
      </w:r>
      <w:r w:rsidRPr="00184097">
        <w:rPr>
          <w:szCs w:val="22"/>
        </w:rPr>
        <w:t xml:space="preserve">.  The Parties agree that if any provision of this Consent Decree conflicts with any subsequent Rule or Order adopted by the Commission (except an order specifically intended to revise the terms of this Consent Decree to which the Licensee does not expressly consent) that provision will be superseded by such Rule or Order.  </w:t>
      </w:r>
    </w:p>
    <w:p w:rsidR="00430A62" w:rsidRPr="00184097" w:rsidP="00430A62" w14:paraId="6C9A3F0F" w14:textId="77777777">
      <w:pPr>
        <w:pStyle w:val="ParaNum"/>
        <w:rPr>
          <w:szCs w:val="22"/>
        </w:rPr>
      </w:pPr>
      <w:r w:rsidRPr="00184097">
        <w:rPr>
          <w:b/>
          <w:szCs w:val="22"/>
          <w:u w:val="single"/>
        </w:rPr>
        <w:t>Successors and Assigns</w:t>
      </w:r>
      <w:r w:rsidRPr="00184097">
        <w:rPr>
          <w:szCs w:val="22"/>
        </w:rPr>
        <w:t>.</w:t>
      </w:r>
      <w:r w:rsidRPr="00184097">
        <w:rPr>
          <w:b/>
          <w:szCs w:val="22"/>
        </w:rPr>
        <w:t xml:space="preserve">  </w:t>
      </w:r>
      <w:r w:rsidRPr="00184097">
        <w:rPr>
          <w:bCs/>
          <w:szCs w:val="22"/>
        </w:rPr>
        <w:t>The Licensee</w:t>
      </w:r>
      <w:r w:rsidRPr="00184097">
        <w:rPr>
          <w:b/>
          <w:szCs w:val="22"/>
        </w:rPr>
        <w:t xml:space="preserve"> </w:t>
      </w:r>
      <w:r w:rsidRPr="00184097">
        <w:rPr>
          <w:szCs w:val="22"/>
        </w:rPr>
        <w:t>agrees that the provisions of this Consent Decree shall be binding on its successors, assigns, and transferees.</w:t>
      </w:r>
    </w:p>
    <w:p w:rsidR="00430A62" w:rsidRPr="00184097" w:rsidP="00430A62" w14:paraId="7472044D" w14:textId="77777777">
      <w:pPr>
        <w:pStyle w:val="ParaNum"/>
        <w:rPr>
          <w:color w:val="000000"/>
          <w:szCs w:val="22"/>
        </w:rPr>
      </w:pPr>
      <w:r w:rsidRPr="00184097">
        <w:rPr>
          <w:b/>
          <w:szCs w:val="22"/>
          <w:u w:val="single"/>
        </w:rPr>
        <w:t>Final Settlement</w:t>
      </w:r>
      <w:r w:rsidRPr="00184097">
        <w:rPr>
          <w:szCs w:val="22"/>
        </w:rPr>
        <w:t>.  The Parties agree and acknowledge that this Consent Decree shall constitute a final settlement between the Parties with respect to the Investigation.</w:t>
      </w:r>
    </w:p>
    <w:p w:rsidR="00430A62" w:rsidRPr="00184097" w:rsidP="00430A62" w14:paraId="551C06DE" w14:textId="77777777">
      <w:pPr>
        <w:pStyle w:val="ParaNum"/>
        <w:rPr>
          <w:szCs w:val="22"/>
        </w:rPr>
      </w:pPr>
      <w:r w:rsidRPr="00184097">
        <w:rPr>
          <w:b/>
          <w:szCs w:val="22"/>
          <w:u w:val="single"/>
        </w:rPr>
        <w:t>Modifications</w:t>
      </w:r>
      <w:r w:rsidRPr="00184097">
        <w:rPr>
          <w:szCs w:val="22"/>
        </w:rPr>
        <w:t>.  This Consent Decree cannot be modified without the advance written consent of both Parties.</w:t>
      </w:r>
    </w:p>
    <w:p w:rsidR="00430A62" w:rsidRPr="00184097" w:rsidP="00430A62" w14:paraId="2F404718" w14:textId="77777777">
      <w:pPr>
        <w:pStyle w:val="ParaNum"/>
        <w:rPr>
          <w:szCs w:val="22"/>
        </w:rPr>
      </w:pPr>
      <w:r w:rsidRPr="00184097">
        <w:rPr>
          <w:b/>
          <w:szCs w:val="22"/>
          <w:u w:val="single"/>
        </w:rPr>
        <w:t>Paragraph Headings</w:t>
      </w:r>
      <w:r w:rsidRPr="00184097">
        <w:rPr>
          <w:szCs w:val="22"/>
        </w:rPr>
        <w:t>.  The headings of the paragraphs in this Consent Decree are inserted for convenience only and are not intended to affect the meaning or interpretation of this Consent Decree.</w:t>
      </w:r>
    </w:p>
    <w:p w:rsidR="00430A62" w:rsidRPr="00184097" w:rsidP="00430A62" w14:paraId="4FF43265" w14:textId="77777777">
      <w:pPr>
        <w:pStyle w:val="ParaNum"/>
        <w:rPr>
          <w:szCs w:val="22"/>
        </w:rPr>
      </w:pPr>
      <w:r w:rsidRPr="00184097">
        <w:rPr>
          <w:b/>
          <w:szCs w:val="22"/>
          <w:u w:val="single"/>
        </w:rPr>
        <w:t>Authorized Representative</w:t>
      </w:r>
      <w:r w:rsidRPr="00184097">
        <w:rPr>
          <w:szCs w:val="22"/>
        </w:rP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430A62" w:rsidRPr="00184097" w:rsidP="00430A62" w14:paraId="663E1BE3" w14:textId="77777777">
      <w:pPr>
        <w:pStyle w:val="ParaNum"/>
        <w:keepNext/>
        <w:rPr>
          <w:szCs w:val="22"/>
        </w:rPr>
      </w:pPr>
      <w:r w:rsidRPr="00184097">
        <w:rPr>
          <w:b/>
          <w:szCs w:val="22"/>
          <w:u w:val="single"/>
        </w:rPr>
        <w:t>Counterparts</w:t>
      </w:r>
      <w:r w:rsidRPr="00184097">
        <w:rPr>
          <w:szCs w:val="22"/>
        </w:rPr>
        <w:t xml:space="preserve">.  This Consent Decree may be signed in counterpart (including electronically or by facsimile).  Each counterpart, when executed and delivered, shall be an original, and </w:t>
      </w:r>
      <w:r w:rsidRPr="00184097">
        <w:rPr>
          <w:szCs w:val="22"/>
        </w:rPr>
        <w:t>all of the counterparts together shall constitute one and the same fully executed instrument.</w:t>
      </w:r>
    </w:p>
    <w:p w:rsidR="00430A62" w:rsidP="00430A62" w14:paraId="77C0D370" w14:textId="77777777">
      <w:pPr>
        <w:keepNext/>
        <w:rPr>
          <w:szCs w:val="22"/>
        </w:rPr>
      </w:pPr>
    </w:p>
    <w:p w:rsidR="00430A62" w:rsidRPr="00184097" w:rsidP="00430A62" w14:paraId="3B7C792E" w14:textId="77777777">
      <w:pPr>
        <w:keepNext/>
        <w:rPr>
          <w:szCs w:val="22"/>
        </w:rPr>
      </w:pPr>
    </w:p>
    <w:p w:rsidR="00430A62" w:rsidRPr="00184097" w:rsidP="00430A62" w14:paraId="3141BF8A" w14:textId="77777777">
      <w:pPr>
        <w:keepNext/>
        <w:rPr>
          <w:szCs w:val="22"/>
        </w:rPr>
      </w:pPr>
    </w:p>
    <w:p w:rsidR="00430A62" w:rsidRPr="00184097" w:rsidP="00430A62" w14:paraId="425DE534" w14:textId="77777777">
      <w:pPr>
        <w:keepNext/>
        <w:rPr>
          <w:szCs w:val="22"/>
        </w:rPr>
      </w:pPr>
      <w:r w:rsidRPr="00184097">
        <w:rPr>
          <w:szCs w:val="22"/>
        </w:rPr>
        <w:t>______________________________________</w:t>
      </w:r>
    </w:p>
    <w:p w:rsidR="00430A62" w:rsidRPr="00184097" w:rsidP="00430A62" w14:paraId="272ECE17" w14:textId="77777777">
      <w:pPr>
        <w:keepNext/>
        <w:rPr>
          <w:szCs w:val="22"/>
        </w:rPr>
      </w:pPr>
      <w:r w:rsidRPr="00184097">
        <w:rPr>
          <w:szCs w:val="22"/>
        </w:rPr>
        <w:t>Holly Saurer</w:t>
      </w:r>
    </w:p>
    <w:p w:rsidR="00430A62" w:rsidRPr="00184097" w:rsidP="00430A62" w14:paraId="49A505CC" w14:textId="77777777">
      <w:pPr>
        <w:keepNext/>
        <w:rPr>
          <w:szCs w:val="22"/>
        </w:rPr>
      </w:pPr>
      <w:r w:rsidRPr="00184097">
        <w:rPr>
          <w:szCs w:val="22"/>
        </w:rPr>
        <w:t>Chief</w:t>
      </w:r>
    </w:p>
    <w:p w:rsidR="00430A62" w:rsidRPr="00184097" w:rsidP="00430A62" w14:paraId="5ADC3AD9" w14:textId="77777777">
      <w:pPr>
        <w:keepNext/>
        <w:rPr>
          <w:szCs w:val="22"/>
        </w:rPr>
      </w:pPr>
      <w:r w:rsidRPr="00184097">
        <w:rPr>
          <w:szCs w:val="22"/>
        </w:rPr>
        <w:t xml:space="preserve">Media Bureau </w:t>
      </w:r>
    </w:p>
    <w:p w:rsidR="00430A62" w:rsidRPr="00184097" w:rsidP="00430A62" w14:paraId="4DCA8B92" w14:textId="77777777">
      <w:pPr>
        <w:keepNext/>
        <w:rPr>
          <w:szCs w:val="22"/>
        </w:rPr>
      </w:pPr>
    </w:p>
    <w:p w:rsidR="00430A62" w:rsidRPr="00184097" w:rsidP="00430A62" w14:paraId="6E5939BA" w14:textId="77777777">
      <w:pPr>
        <w:keepNext/>
        <w:rPr>
          <w:szCs w:val="22"/>
        </w:rPr>
      </w:pPr>
    </w:p>
    <w:p w:rsidR="00430A62" w:rsidRPr="00184097" w:rsidP="00430A62" w14:paraId="70087EAB" w14:textId="77777777">
      <w:pPr>
        <w:keepNext/>
        <w:rPr>
          <w:szCs w:val="22"/>
        </w:rPr>
      </w:pPr>
      <w:r w:rsidRPr="00184097">
        <w:rPr>
          <w:szCs w:val="22"/>
        </w:rPr>
        <w:t>_________</w:t>
      </w:r>
      <w:r w:rsidRPr="00184097">
        <w:rPr>
          <w:szCs w:val="22"/>
          <w:u w:val="single"/>
        </w:rPr>
        <w:t>________</w:t>
      </w:r>
      <w:r w:rsidRPr="00184097">
        <w:rPr>
          <w:szCs w:val="22"/>
        </w:rPr>
        <w:t>____________________</w:t>
      </w:r>
    </w:p>
    <w:p w:rsidR="00430A62" w:rsidRPr="00184097" w:rsidP="00430A62" w14:paraId="10F047C2" w14:textId="77777777">
      <w:pPr>
        <w:keepNext/>
        <w:rPr>
          <w:szCs w:val="22"/>
        </w:rPr>
      </w:pPr>
      <w:r w:rsidRPr="00184097">
        <w:rPr>
          <w:szCs w:val="22"/>
        </w:rPr>
        <w:t>Date</w:t>
      </w:r>
    </w:p>
    <w:p w:rsidR="00430A62" w:rsidRPr="00184097" w:rsidP="00430A62" w14:paraId="6CFD84A9" w14:textId="77777777">
      <w:pPr>
        <w:keepNext/>
        <w:rPr>
          <w:szCs w:val="22"/>
        </w:rPr>
      </w:pPr>
    </w:p>
    <w:p w:rsidR="00430A62" w:rsidRPr="00184097" w:rsidP="00430A62" w14:paraId="54D74785" w14:textId="77777777">
      <w:pPr>
        <w:keepNext/>
        <w:rPr>
          <w:szCs w:val="22"/>
        </w:rPr>
      </w:pPr>
    </w:p>
    <w:p w:rsidR="00430A62" w:rsidRPr="00184097" w:rsidP="00430A62" w14:paraId="61DFAA88" w14:textId="77777777">
      <w:pPr>
        <w:keepNext/>
        <w:rPr>
          <w:szCs w:val="22"/>
        </w:rPr>
      </w:pPr>
    </w:p>
    <w:p w:rsidR="00430A62" w:rsidRPr="00184097" w:rsidP="00430A62" w14:paraId="5C9E0EDA" w14:textId="77777777">
      <w:pPr>
        <w:keepNext/>
        <w:rPr>
          <w:szCs w:val="22"/>
        </w:rPr>
      </w:pPr>
      <w:r w:rsidRPr="00184097">
        <w:rPr>
          <w:szCs w:val="22"/>
        </w:rPr>
        <w:t>_____________________________________</w:t>
      </w:r>
    </w:p>
    <w:p w:rsidR="00430A62" w:rsidP="00430A62" w14:paraId="36ACAD2B" w14:textId="77777777">
      <w:pPr>
        <w:keepNext/>
        <w:rPr>
          <w:bCs/>
          <w:szCs w:val="22"/>
        </w:rPr>
      </w:pPr>
      <w:r>
        <w:rPr>
          <w:bCs/>
          <w:szCs w:val="22"/>
        </w:rPr>
        <w:t>John E. Harris III</w:t>
      </w:r>
    </w:p>
    <w:p w:rsidR="00430A62" w:rsidRPr="00184097" w:rsidP="00430A62" w14:paraId="197C1AA6" w14:textId="77777777">
      <w:pPr>
        <w:keepNext/>
        <w:rPr>
          <w:bCs/>
          <w:szCs w:val="22"/>
        </w:rPr>
      </w:pPr>
      <w:r>
        <w:rPr>
          <w:bCs/>
          <w:szCs w:val="22"/>
        </w:rPr>
        <w:t>President &amp; CEO</w:t>
      </w:r>
    </w:p>
    <w:p w:rsidR="00430A62" w:rsidRPr="00184097" w:rsidP="00430A62" w14:paraId="4917057B" w14:textId="77777777">
      <w:pPr>
        <w:keepNext/>
        <w:rPr>
          <w:bCs/>
          <w:szCs w:val="22"/>
        </w:rPr>
      </w:pPr>
      <w:r w:rsidRPr="00184097">
        <w:rPr>
          <w:bCs/>
          <w:szCs w:val="22"/>
        </w:rPr>
        <w:t>Prairie Public Broadcasting, Inc.</w:t>
      </w:r>
    </w:p>
    <w:p w:rsidR="00430A62" w:rsidRPr="00184097" w:rsidP="00430A62" w14:paraId="133A1BD9" w14:textId="77777777">
      <w:pPr>
        <w:keepNext/>
        <w:rPr>
          <w:szCs w:val="22"/>
        </w:rPr>
      </w:pPr>
    </w:p>
    <w:p w:rsidR="00430A62" w:rsidRPr="00184097" w:rsidP="00430A62" w14:paraId="374B1758" w14:textId="77777777">
      <w:pPr>
        <w:keepNext/>
        <w:rPr>
          <w:szCs w:val="22"/>
        </w:rPr>
      </w:pPr>
    </w:p>
    <w:p w:rsidR="00430A62" w:rsidRPr="00184097" w:rsidP="00430A62" w14:paraId="56CB57B2" w14:textId="77777777">
      <w:pPr>
        <w:keepNext/>
        <w:rPr>
          <w:szCs w:val="22"/>
        </w:rPr>
      </w:pPr>
      <w:r w:rsidRPr="00184097">
        <w:rPr>
          <w:szCs w:val="22"/>
        </w:rPr>
        <w:t>____________________________________</w:t>
      </w:r>
    </w:p>
    <w:p w:rsidR="00430A62" w:rsidRPr="00184097" w:rsidP="00430A62" w14:paraId="51F02181" w14:textId="77777777">
      <w:pPr>
        <w:keepNext/>
        <w:rPr>
          <w:szCs w:val="22"/>
        </w:rPr>
      </w:pPr>
      <w:r w:rsidRPr="00184097">
        <w:rPr>
          <w:szCs w:val="22"/>
        </w:rPr>
        <w:t>Date</w:t>
      </w:r>
    </w:p>
    <w:p w:rsidR="00430A62" w:rsidRPr="00184097" w:rsidP="00430A62" w14:paraId="0442238A" w14:textId="77777777">
      <w:pPr>
        <w:keepNext/>
        <w:rPr>
          <w:szCs w:val="22"/>
        </w:rPr>
      </w:pPr>
      <w:r w:rsidRPr="00184097">
        <w:rPr>
          <w:szCs w:val="22"/>
        </w:rPr>
        <w:t xml:space="preserve"> </w:t>
      </w:r>
    </w:p>
    <w:p w:rsidR="00430A62" w:rsidRPr="00184097" w:rsidP="00430A62" w14:paraId="785A1828" w14:textId="77777777">
      <w:pPr>
        <w:keepNext/>
        <w:rPr>
          <w:b/>
          <w:szCs w:val="22"/>
          <w:u w:val="single"/>
        </w:rPr>
      </w:pPr>
    </w:p>
    <w:p w:rsidR="00430A62" w:rsidRPr="00184097" w:rsidP="00430A62" w14:paraId="335DAB1F" w14:textId="77777777">
      <w:pPr>
        <w:rPr>
          <w:szCs w:val="22"/>
        </w:rPr>
      </w:pPr>
    </w:p>
    <w:p w:rsidR="00430A62" w:rsidRPr="001A49F0" w:rsidP="00430A62" w14:paraId="2B7A9004" w14:textId="77777777"/>
    <w:p w:rsidR="00412FC5" w:rsidRPr="001A49F0" w:rsidP="00430A62" w14:paraId="1E2B9701" w14:textId="77777777">
      <w:pPr>
        <w:tabs>
          <w:tab w:val="left" w:pos="720"/>
          <w:tab w:val="left" w:pos="4320"/>
        </w:tabs>
        <w:jc w:val="center"/>
      </w:pPr>
    </w:p>
    <w:sectPr w:rsidSect="00430A62">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9F0" w14:paraId="6CE252E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49F0" w14:paraId="419429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9F0" w14:paraId="709A2FA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49F0" w14:paraId="6624300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E8BBA9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18151F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5AF271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B7BD1C8" w14:textId="77777777">
    <w:pPr>
      <w:suppressAutoHyphens/>
      <w:spacing w:line="227"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35438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7826" w14:paraId="2857367C" w14:textId="77777777">
      <w:r>
        <w:separator/>
      </w:r>
    </w:p>
  </w:footnote>
  <w:footnote w:type="continuationSeparator" w:id="1">
    <w:p w:rsidR="004C7826" w:rsidP="00C721AC" w14:paraId="7573DE1B" w14:textId="77777777">
      <w:pPr>
        <w:spacing w:before="120"/>
        <w:rPr>
          <w:sz w:val="20"/>
        </w:rPr>
      </w:pPr>
      <w:r>
        <w:rPr>
          <w:sz w:val="20"/>
        </w:rPr>
        <w:t xml:space="preserve">(Continued from previous page)  </w:t>
      </w:r>
      <w:r>
        <w:rPr>
          <w:sz w:val="20"/>
        </w:rPr>
        <w:separator/>
      </w:r>
    </w:p>
  </w:footnote>
  <w:footnote w:type="continuationNotice" w:id="2">
    <w:p w:rsidR="004C7826" w:rsidP="00C721AC" w14:paraId="5A174F2B" w14:textId="77777777">
      <w:pPr>
        <w:jc w:val="right"/>
        <w:rPr>
          <w:sz w:val="20"/>
        </w:rPr>
      </w:pPr>
      <w:r>
        <w:rPr>
          <w:sz w:val="20"/>
        </w:rPr>
        <w:t>(continued….)</w:t>
      </w:r>
    </w:p>
  </w:footnote>
  <w:footnote w:id="3">
    <w:p w:rsidR="001A49F0" w:rsidRPr="00C71203" w:rsidP="001A49F0" w14:paraId="0D20A600" w14:textId="77777777">
      <w:pPr>
        <w:pStyle w:val="FootnoteText"/>
      </w:pPr>
      <w:r>
        <w:rPr>
          <w:rStyle w:val="FootnoteReference"/>
        </w:rPr>
        <w:footnoteRef/>
      </w:r>
      <w:r>
        <w:t xml:space="preserve"> </w:t>
      </w:r>
      <w:r>
        <w:rPr>
          <w:i/>
          <w:iCs/>
        </w:rPr>
        <w:t>See</w:t>
      </w:r>
      <w:r>
        <w:t xml:space="preserve"> 47 CFR § 73.3514(a).</w:t>
      </w:r>
    </w:p>
  </w:footnote>
  <w:footnote w:id="4">
    <w:p w:rsidR="001A49F0" w:rsidRPr="00A90CAC" w:rsidP="001A49F0" w14:paraId="388D01C7" w14:textId="77777777">
      <w:pPr>
        <w:pStyle w:val="FootnoteText"/>
      </w:pPr>
      <w:r>
        <w:rPr>
          <w:rStyle w:val="FootnoteReference"/>
        </w:rPr>
        <w:footnoteRef/>
      </w:r>
      <w:r>
        <w:t xml:space="preserve"> </w:t>
      </w:r>
      <w:r>
        <w:rPr>
          <w:i/>
          <w:iCs/>
        </w:rPr>
        <w:t>Id.</w:t>
      </w:r>
    </w:p>
  </w:footnote>
  <w:footnote w:id="5">
    <w:p w:rsidR="001A49F0" w:rsidP="001A49F0" w14:paraId="1489F67A" w14:textId="77777777">
      <w:pPr>
        <w:pStyle w:val="FootnoteText"/>
        <w:widowControl w:val="0"/>
        <w:rPr>
          <w:lang w:eastAsia="zh-CN"/>
        </w:rPr>
      </w:pPr>
      <w:r>
        <w:rPr>
          <w:rStyle w:val="FootnoteReference"/>
        </w:rPr>
        <w:footnoteRef/>
      </w:r>
      <w:r>
        <w:t xml:space="preserve"> </w:t>
      </w:r>
      <w:r>
        <w:rPr>
          <w:i/>
        </w:rPr>
        <w:t>See</w:t>
      </w:r>
      <w:r>
        <w:t xml:space="preserve"> 47 CFR</w:t>
      </w:r>
      <w:r>
        <w:rPr>
          <w:lang w:eastAsia="zh-CN"/>
        </w:rPr>
        <w:t xml:space="preserve"> § 73.3527(e)(8).</w:t>
      </w:r>
    </w:p>
  </w:footnote>
  <w:footnote w:id="6">
    <w:p w:rsidR="001A49F0" w:rsidRPr="003551D0" w:rsidP="001A49F0" w14:paraId="0BC16F3B" w14:textId="77777777">
      <w:pPr>
        <w:pStyle w:val="FootnoteText"/>
        <w:widowControl w:val="0"/>
      </w:pPr>
      <w:r>
        <w:rPr>
          <w:rStyle w:val="FootnoteReference"/>
        </w:rPr>
        <w:footnoteRef/>
      </w:r>
      <w:r>
        <w:t xml:space="preserve"> </w:t>
      </w:r>
      <w:r>
        <w:rPr>
          <w:i/>
          <w:iCs/>
        </w:rPr>
        <w:t>Prairie Public Broadcasting, Inc.</w:t>
      </w:r>
      <w:r>
        <w:t xml:space="preserve">, Memorandum Opinion and Order and Notice of Apparent Liability for Forfeiture, 37 FCC Rcd 6622 (Vid. Div. Jun. 6, 2022) (finding Licensee liable for $6000 for KBME-TV public file violations) (KBME NAL); </w:t>
      </w:r>
      <w:r>
        <w:rPr>
          <w:i/>
          <w:iCs/>
        </w:rPr>
        <w:t>Prairie Public Broadcasting, Inc.</w:t>
      </w:r>
      <w:r>
        <w:t xml:space="preserve">, Memorandum Opinion and Order and Notice of Apparent Liability for Forfeiture, 37 FCC Rcd 6628 (Vid. Div. Jun. 6, 2022) (finding Licensee liable for $9000 for KCGE-DT public file violations); </w:t>
      </w:r>
      <w:r>
        <w:rPr>
          <w:i/>
          <w:iCs/>
        </w:rPr>
        <w:t>Prairie Public Broadcasting, Inc.</w:t>
      </w:r>
      <w:r>
        <w:t xml:space="preserve">, Memorandum Opinion and Order and Notice of Apparent Liability for Forfeiture, 37 FCC Rcd 6634 (Vid. Div. Jun. 6, 2022) (finding Licensee liable for $6000 for KMDE public file violations); and </w:t>
      </w:r>
      <w:r>
        <w:rPr>
          <w:i/>
          <w:iCs/>
        </w:rPr>
        <w:t>Prairie Public Broadcasting, Inc.</w:t>
      </w:r>
      <w:r>
        <w:t>, Memorandum Opinion and Order and Notice of Apparent Liability for Forfeiture, 37 FCC Rcd 6639 (Vid. Div. Jun. 6, 2022) (finding Licensee liable for $9000 for KSRE public file violations) ( collectively, “</w:t>
      </w:r>
      <w:r w:rsidRPr="00283E74">
        <w:rPr>
          <w:i/>
          <w:iCs/>
        </w:rPr>
        <w:t>NALs</w:t>
      </w:r>
      <w:r>
        <w:t>”).</w:t>
      </w:r>
    </w:p>
  </w:footnote>
  <w:footnote w:id="7">
    <w:p w:rsidR="001A49F0" w:rsidP="001A49F0" w14:paraId="16D4D3CC" w14:textId="77777777">
      <w:pPr>
        <w:pStyle w:val="FootnoteText"/>
      </w:pPr>
      <w:r>
        <w:rPr>
          <w:rStyle w:val="FootnoteReference"/>
        </w:rPr>
        <w:footnoteRef/>
      </w:r>
      <w:r>
        <w:t xml:space="preserve"> </w:t>
      </w:r>
      <w:r w:rsidRPr="00206708">
        <w:t>47 U.S.C. § 309(k)</w:t>
      </w:r>
      <w:r>
        <w:t>.</w:t>
      </w:r>
    </w:p>
  </w:footnote>
  <w:footnote w:id="8">
    <w:p w:rsidR="001A49F0" w:rsidP="001A49F0" w14:paraId="7DCDF6C6" w14:textId="77777777">
      <w:pPr>
        <w:pStyle w:val="FootnoteText"/>
      </w:pPr>
      <w:r>
        <w:rPr>
          <w:rStyle w:val="FootnoteReference"/>
        </w:rPr>
        <w:footnoteRef/>
      </w:r>
      <w:r>
        <w:t xml:space="preserve"> </w:t>
      </w:r>
      <w:r w:rsidRPr="00206708">
        <w:t>47 U.S.C. § 309(k)(1).</w:t>
      </w:r>
    </w:p>
  </w:footnote>
  <w:footnote w:id="9">
    <w:p w:rsidR="001A49F0" w:rsidP="001A49F0" w14:paraId="6180F693" w14:textId="77777777">
      <w:pPr>
        <w:pStyle w:val="FootnoteText"/>
      </w:pPr>
      <w:r>
        <w:rPr>
          <w:rStyle w:val="FootnoteReference"/>
        </w:rPr>
        <w:footnoteRef/>
      </w:r>
      <w:r>
        <w:t xml:space="preserve"> </w:t>
      </w:r>
      <w:r w:rsidRPr="00206708">
        <w:t>47 U.S.C. §§ 309(k)(2), 309(k)(3).</w:t>
      </w:r>
    </w:p>
  </w:footnote>
  <w:footnote w:id="10">
    <w:p w:rsidR="001A49F0" w:rsidP="001A49F0" w14:paraId="2B804DEE" w14:textId="77777777">
      <w:pPr>
        <w:pStyle w:val="FootnoteText"/>
      </w:pPr>
      <w:r>
        <w:rPr>
          <w:rStyle w:val="FootnoteReference"/>
        </w:rPr>
        <w:footnoteRef/>
      </w:r>
      <w:r>
        <w:t xml:space="preserve"> See e.g., KBME NAL at 3, para. 10.</w:t>
      </w:r>
    </w:p>
  </w:footnote>
  <w:footnote w:id="11">
    <w:p w:rsidR="001A49F0" w:rsidP="001A49F0" w14:paraId="743A65D8" w14:textId="77777777">
      <w:pPr>
        <w:pStyle w:val="FootnoteText"/>
      </w:pPr>
      <w:r>
        <w:rPr>
          <w:rStyle w:val="FootnoteReference"/>
        </w:rPr>
        <w:footnoteRef/>
      </w:r>
      <w:r>
        <w:t xml:space="preserve"> For example, we do not find here that the Licensee’s Stations operation “was conducted in an exceedingly careless, inept and negligent manner and that the licensee is either incapable of correcting or unwilling to correct the operating deficiencies.” See Heart of the Black Hills Stations,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Commission’s Rules.” Id. at 200, paras. 10-11. See also Center for Study and Application of Black Econ. Dev., Hearing Designation Order, 6 FCC Rcd 4622 (1991); Calvary Educ. Broad. Network, Inc., Hearing Designation Order, 7 FCC Rcd 4037 (1992).</w:t>
      </w:r>
    </w:p>
  </w:footnote>
  <w:footnote w:id="12">
    <w:p w:rsidR="001A49F0" w:rsidP="001A49F0" w14:paraId="7F620D1F" w14:textId="77777777">
      <w:pPr>
        <w:pStyle w:val="FootnoteText"/>
        <w:widowControl w:val="0"/>
      </w:pPr>
      <w:r>
        <w:rPr>
          <w:rStyle w:val="FootnoteReference"/>
        </w:rPr>
        <w:footnoteRef/>
      </w:r>
      <w:r>
        <w:t xml:space="preserve"> 47 U.S.C. §§ 154(i), 154(j), 503(b).</w:t>
      </w:r>
    </w:p>
  </w:footnote>
  <w:footnote w:id="13">
    <w:p w:rsidR="001A49F0" w:rsidP="001A49F0" w14:paraId="6F9E4FA0" w14:textId="77777777">
      <w:pPr>
        <w:pStyle w:val="FootnoteText"/>
        <w:widowControl w:val="0"/>
      </w:pPr>
      <w:r>
        <w:rPr>
          <w:rStyle w:val="FootnoteReference"/>
        </w:rPr>
        <w:footnoteRef/>
      </w:r>
      <w:r>
        <w:t xml:space="preserve"> 47 CFR §§ 0.61, 0.283. </w:t>
      </w:r>
    </w:p>
  </w:footnote>
  <w:footnote w:id="14">
    <w:p w:rsidR="001A49F0" w:rsidP="001A49F0" w14:paraId="2761A696" w14:textId="77777777">
      <w:pPr>
        <w:pStyle w:val="FootnoteText"/>
      </w:pPr>
      <w:r>
        <w:rPr>
          <w:rStyle w:val="FootnoteReference"/>
        </w:rPr>
        <w:footnoteRef/>
      </w:r>
      <w:r>
        <w:t xml:space="preserve"> </w:t>
      </w:r>
      <w:r w:rsidRPr="00206708">
        <w:t>47 U.S.C. § 309(k).</w:t>
      </w:r>
    </w:p>
  </w:footnote>
  <w:footnote w:id="15">
    <w:p w:rsidR="00430A62" w:rsidP="00430A62" w14:paraId="17F3B56F" w14:textId="77777777">
      <w:pPr>
        <w:pStyle w:val="FootnoteText"/>
        <w:widowControl w:val="0"/>
      </w:pPr>
      <w:r>
        <w:rPr>
          <w:rStyle w:val="FootnoteReference"/>
        </w:rPr>
        <w:footnoteRef/>
      </w:r>
      <w:r>
        <w:t xml:space="preserve"> </w:t>
      </w:r>
      <w:r w:rsidRPr="00660151">
        <w:t>47 CFR §</w:t>
      </w:r>
      <w:r>
        <w:t>§</w:t>
      </w:r>
      <w:r w:rsidRPr="00660151">
        <w:t xml:space="preserve"> </w:t>
      </w:r>
      <w:r>
        <w:t xml:space="preserve">73.3514(a), </w:t>
      </w:r>
      <w:r w:rsidRPr="00660151">
        <w:rPr>
          <w:szCs w:val="22"/>
        </w:rPr>
        <w:t>73</w:t>
      </w:r>
      <w:r w:rsidRPr="00053E7A">
        <w:rPr>
          <w:szCs w:val="22"/>
        </w:rPr>
        <w:t>.35</w:t>
      </w:r>
      <w:r>
        <w:rPr>
          <w:szCs w:val="22"/>
        </w:rPr>
        <w:t>27(e)(8)</w:t>
      </w:r>
      <w:r w:rsidRPr="00607DAE">
        <w:t>.</w:t>
      </w:r>
    </w:p>
  </w:footnote>
  <w:footnote w:id="16">
    <w:p w:rsidR="00430A62" w:rsidP="00430A62" w14:paraId="7B841DD7" w14:textId="77777777">
      <w:pPr>
        <w:pStyle w:val="FootnoteText"/>
        <w:widowControl w:val="0"/>
      </w:pPr>
      <w:r>
        <w:rPr>
          <w:rStyle w:val="FootnoteReference"/>
        </w:rPr>
        <w:footnoteRef/>
      </w:r>
      <w:r>
        <w:t xml:space="preserve"> Application of Prairie Public Broadcasting, Inc. for Renewal of License, LMS File No. 0000171030 (filed Nov. 23, 2021) at Attachment KMDE FCC Public File Addendum Nov. 2021.</w:t>
      </w:r>
    </w:p>
  </w:footnote>
  <w:footnote w:id="17">
    <w:p w:rsidR="00430A62" w:rsidP="00430A62" w14:paraId="1679BBFE" w14:textId="77777777">
      <w:pPr>
        <w:pStyle w:val="FootnoteText"/>
      </w:pPr>
      <w:r>
        <w:rPr>
          <w:rStyle w:val="FootnoteReference"/>
        </w:rPr>
        <w:footnoteRef/>
      </w:r>
      <w:r>
        <w:t xml:space="preserve"> 47 CFR § 73.3514(a).</w:t>
      </w:r>
    </w:p>
  </w:footnote>
  <w:footnote w:id="18">
    <w:p w:rsidR="00430A62" w:rsidRPr="009D5736" w:rsidP="00430A62" w14:paraId="572DAE8D" w14:textId="77777777">
      <w:pPr>
        <w:pStyle w:val="FootnoteText"/>
        <w:widowControl w:val="0"/>
      </w:pPr>
      <w:r>
        <w:rPr>
          <w:rStyle w:val="FootnoteReference"/>
        </w:rPr>
        <w:footnoteRef/>
      </w:r>
      <w:r>
        <w:t xml:space="preserve"> 47 CFR § 73.3527(e)(8).</w:t>
      </w:r>
    </w:p>
  </w:footnote>
  <w:footnote w:id="19">
    <w:p w:rsidR="00430A62" w:rsidP="00430A62" w14:paraId="0E8E48AB" w14:textId="77777777">
      <w:pPr>
        <w:spacing w:after="120"/>
        <w:rPr>
          <w:sz w:val="20"/>
        </w:rPr>
      </w:pPr>
      <w:r>
        <w:rPr>
          <w:rStyle w:val="FootnoteReference"/>
        </w:rPr>
        <w:footnoteRef/>
      </w:r>
      <w:r>
        <w:rPr>
          <w:sz w:val="20"/>
        </w:rPr>
        <w:t xml:space="preserve"> </w:t>
      </w:r>
      <w:r>
        <w:rPr>
          <w:i/>
          <w:iCs/>
          <w:snapToGrid/>
          <w:kern w:val="0"/>
          <w:sz w:val="20"/>
        </w:rPr>
        <w:t>Id</w:t>
      </w:r>
      <w:r w:rsidRPr="007B5485">
        <w:rPr>
          <w:snapToGrid/>
          <w:kern w:val="0"/>
          <w:sz w:val="20"/>
        </w:rPr>
        <w:t>.</w:t>
      </w:r>
    </w:p>
  </w:footnote>
  <w:footnote w:id="20">
    <w:p w:rsidR="00430A62" w:rsidP="00430A62" w14:paraId="03867BC0" w14:textId="77777777">
      <w:pPr>
        <w:pStyle w:val="FootnoteText"/>
        <w:widowControl w:val="0"/>
      </w:pPr>
      <w:r>
        <w:rPr>
          <w:rStyle w:val="FootnoteReference"/>
        </w:rPr>
        <w:footnoteRef/>
      </w:r>
      <w:r>
        <w:t xml:space="preserve"> For two other of the Licensee’s stations, KDSE(TV), Dickinson, ND (KDSE) and KGFE(TV), Grand Forks, ND (KGFE), Division staff also identified late issues/programs lists, however the extent and nature of those late filings were deemed </w:t>
      </w:r>
      <w:r w:rsidRPr="00C73E30">
        <w:rPr>
          <w:i/>
          <w:iCs/>
        </w:rPr>
        <w:t>de minimis</w:t>
      </w:r>
      <w:r>
        <w:t xml:space="preserve"> and did not warrant an NAL.  As such, the renewal applications for KGFE and KDSE were granted on April 11, 2022.  </w:t>
      </w:r>
      <w:r>
        <w:rPr>
          <w:i/>
          <w:iCs/>
        </w:rPr>
        <w:t>See</w:t>
      </w:r>
      <w:r>
        <w:t xml:space="preserve"> Applications of Prairie Public Broadcasting, Inc. for Renewal of License, LMS File Nos. 0000171018 and 0000171023.</w:t>
      </w:r>
    </w:p>
  </w:footnote>
  <w:footnote w:id="21">
    <w:p w:rsidR="00430A62" w:rsidP="00430A62" w14:paraId="59462DFE" w14:textId="77777777">
      <w:pPr>
        <w:pStyle w:val="FootnoteText"/>
        <w:widowControl w:val="0"/>
      </w:pPr>
      <w:r>
        <w:rPr>
          <w:rStyle w:val="FootnoteReference"/>
        </w:rPr>
        <w:footnoteRef/>
      </w:r>
      <w:r>
        <w:t xml:space="preserve"> Prairie Public Broadcasting, Inc. Request for Additional Time to Respond (dated July 5, 2022) (Request). </w:t>
      </w:r>
    </w:p>
  </w:footnote>
  <w:footnote w:id="22">
    <w:p w:rsidR="00430A62" w:rsidP="00430A62" w14:paraId="745F60C8" w14:textId="77777777">
      <w:pPr>
        <w:pStyle w:val="FootnoteText"/>
        <w:widowControl w:val="0"/>
      </w:pPr>
      <w:r>
        <w:rPr>
          <w:rStyle w:val="FootnoteReference"/>
        </w:rPr>
        <w:footnoteRef/>
      </w:r>
      <w:r>
        <w:t xml:space="preserve"> Request at 2.  </w:t>
      </w:r>
    </w:p>
  </w:footnote>
  <w:footnote w:id="23">
    <w:p w:rsidR="00430A62" w:rsidP="00430A62" w14:paraId="0A10CDFF" w14:textId="77777777">
      <w:pPr>
        <w:pStyle w:val="FootnoteText"/>
        <w:widowControl w:val="0"/>
      </w:pPr>
      <w:r>
        <w:rPr>
          <w:rStyle w:val="FootnoteReference"/>
        </w:rPr>
        <w:footnoteRef/>
      </w:r>
      <w:r>
        <w:t xml:space="preserve"> </w:t>
      </w:r>
      <w:r w:rsidRPr="00593C8E">
        <w:rPr>
          <w:i/>
          <w:iCs/>
        </w:rPr>
        <w:t>Standard Comm’cns Corp.</w:t>
      </w:r>
      <w:r w:rsidRPr="00593C8E">
        <w:t>, Memorandum Opinion and Order, 1 FCC Rcd 358, 358, para. 4 (1986)</w:t>
      </w:r>
      <w:r>
        <w:t xml:space="preserve">; </w:t>
      </w:r>
      <w:r>
        <w:rPr>
          <w:i/>
          <w:iCs/>
        </w:rPr>
        <w:t xml:space="preserve">See also, </w:t>
      </w:r>
      <w:r w:rsidRPr="00593C8E">
        <w:rPr>
          <w:i/>
          <w:iCs/>
        </w:rPr>
        <w:t>Southern California</w:t>
      </w:r>
      <w:r w:rsidRPr="00593C8E">
        <w:t>, 6 FCC Rcd at 4387, para. 3 (stating that “inadvertence… is at best, ignorance of the law, which the Commission does not consider a mitigating circumstance”)</w:t>
      </w:r>
      <w:r>
        <w:t>.</w:t>
      </w:r>
    </w:p>
  </w:footnote>
  <w:footnote w:id="24">
    <w:p w:rsidR="00430A62" w:rsidP="00430A62" w14:paraId="41BB747F" w14:textId="77777777">
      <w:pPr>
        <w:pStyle w:val="FootnoteText"/>
        <w:widowControl w:val="0"/>
      </w:pPr>
      <w:r>
        <w:rPr>
          <w:rStyle w:val="FootnoteReference"/>
        </w:rPr>
        <w:footnoteRef/>
      </w:r>
      <w:r>
        <w:t xml:space="preserve"> </w:t>
      </w:r>
      <w:r w:rsidRPr="00593C8E">
        <w:rPr>
          <w:i/>
          <w:iCs/>
          <w:color w:val="3D3D3D"/>
        </w:rPr>
        <w:t>Heidelberg Coll.</w:t>
      </w:r>
      <w:r w:rsidRPr="00593C8E">
        <w:rPr>
          <w:color w:val="000000"/>
        </w:rPr>
        <w:t xml:space="preserve">, 24 F.C.C. Rcd 11923, 11924–25 (2009) (quoting </w:t>
      </w:r>
      <w:r w:rsidRPr="00593C8E">
        <w:rPr>
          <w:i/>
          <w:iCs/>
          <w:color w:val="3D3D3D"/>
        </w:rPr>
        <w:t>Eure Family Limited Partnership</w:t>
      </w:r>
      <w:r>
        <w:rPr>
          <w:color w:val="3D3D3D"/>
        </w:rPr>
        <w:t xml:space="preserve">, </w:t>
      </w:r>
      <w:r w:rsidRPr="00593C8E">
        <w:rPr>
          <w:color w:val="3D3D3D"/>
        </w:rPr>
        <w:t xml:space="preserve">Memorandum Opinion and Order, </w:t>
      </w:r>
      <w:r w:rsidRPr="00593C8E">
        <w:rPr>
          <w:color w:val="000000"/>
        </w:rPr>
        <w:t>17 FCC Rcd 21861, 21863</w:t>
      </w:r>
      <w:r>
        <w:rPr>
          <w:color w:val="000000"/>
        </w:rPr>
        <w:t>–</w:t>
      </w:r>
      <w:r w:rsidRPr="00593C8E">
        <w:rPr>
          <w:color w:val="000000"/>
        </w:rPr>
        <w:t>64 (2002)</w:t>
      </w:r>
      <w:r w:rsidRPr="00593C8E">
        <w:rPr>
          <w:color w:val="3D3D3D"/>
        </w:rPr>
        <w:t>)</w:t>
      </w:r>
      <w:r>
        <w:rPr>
          <w:color w:val="3D3D3D"/>
        </w:rPr>
        <w:t xml:space="preserve"> (</w:t>
      </w:r>
      <w:r w:rsidRPr="00593C8E">
        <w:t>“</w:t>
      </w:r>
      <w:r w:rsidRPr="00593C8E">
        <w:rPr>
          <w:color w:val="3D3D3D"/>
        </w:rPr>
        <w:t>Moreover, the Commission has long held that ‘l</w:t>
      </w:r>
      <w:r w:rsidRPr="00593C8E">
        <w:rPr>
          <w:color w:val="000000"/>
        </w:rPr>
        <w:t>icensees are responsible for the acts and omission of their employees and independent contractors,’ and has consistently ‘refused to excuse licensees from forfeiture penalties where the actions of employees or independent contractors have resulted in violations.</w:t>
      </w:r>
      <w:r>
        <w:rPr>
          <w:color w:val="000000"/>
        </w:rPr>
        <w:t>’”).</w:t>
      </w:r>
    </w:p>
  </w:footnote>
  <w:footnote w:id="25">
    <w:p w:rsidR="00430A62" w:rsidP="00430A62" w14:paraId="4F710334" w14:textId="77777777">
      <w:pPr>
        <w:pStyle w:val="FootnoteText"/>
      </w:pPr>
      <w:r>
        <w:rPr>
          <w:rStyle w:val="FootnoteReference"/>
        </w:rPr>
        <w:footnoteRef/>
      </w:r>
      <w:r>
        <w:t xml:space="preserve"> The Stations serve North Dakota and a portion of Minnesota. </w:t>
      </w:r>
    </w:p>
  </w:footnote>
  <w:footnote w:id="26">
    <w:p w:rsidR="00430A62" w:rsidP="00430A62" w14:paraId="3D94BE47" w14:textId="77777777">
      <w:pPr>
        <w:pStyle w:val="FootnoteText"/>
        <w:widowControl w:val="0"/>
      </w:pPr>
      <w:r>
        <w:rPr>
          <w:rStyle w:val="FootnoteReference"/>
        </w:rPr>
        <w:footnoteRef/>
      </w:r>
      <w:r>
        <w:t xml:space="preserve"> </w:t>
      </w:r>
      <w:r>
        <w:rPr>
          <w:i/>
        </w:rPr>
        <w:t>See</w:t>
      </w:r>
      <w:r>
        <w:t xml:space="preserve"> 47 CFR § 1.93(b). </w:t>
      </w:r>
    </w:p>
  </w:footnote>
  <w:footnote w:id="27">
    <w:p w:rsidR="00430A62" w:rsidP="00430A62" w14:paraId="0E548236" w14:textId="77777777">
      <w:pPr>
        <w:pStyle w:val="FootnoteText"/>
        <w:widowControl w:val="0"/>
      </w:pPr>
      <w:r>
        <w:rPr>
          <w:rStyle w:val="FootnoteReference"/>
        </w:rPr>
        <w:footnoteRef/>
      </w:r>
      <w:r>
        <w:t xml:space="preserve"> </w:t>
      </w:r>
      <w:r>
        <w:rPr>
          <w:szCs w:val="22"/>
        </w:rPr>
        <w:t>The Commission</w:t>
      </w:r>
      <w:r w:rsidRPr="00184097">
        <w:rPr>
          <w:szCs w:val="22"/>
        </w:rPr>
        <w:t xml:space="preserve"> may adjust </w:t>
      </w:r>
      <w:r>
        <w:rPr>
          <w:szCs w:val="22"/>
        </w:rPr>
        <w:t>its</w:t>
      </w:r>
      <w:r w:rsidRPr="00184097">
        <w:rPr>
          <w:szCs w:val="22"/>
        </w:rPr>
        <w:t xml:space="preserve"> base </w:t>
      </w:r>
      <w:r>
        <w:rPr>
          <w:szCs w:val="22"/>
        </w:rPr>
        <w:t xml:space="preserve">forfeiture </w:t>
      </w:r>
      <w:r w:rsidRPr="00184097">
        <w:rPr>
          <w:szCs w:val="22"/>
        </w:rPr>
        <w:t>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szCs w:val="22"/>
        </w:rPr>
        <w:t xml:space="preserve">  </w:t>
      </w:r>
      <w:r>
        <w:t xml:space="preserve">47 U.S.C. </w:t>
      </w:r>
      <w:r w:rsidRPr="00B229D5">
        <w:t>§</w:t>
      </w:r>
      <w:r>
        <w:t xml:space="preserve"> 503(b)(2)(E).  </w:t>
      </w:r>
      <w:r w:rsidRPr="00460B95">
        <w:rPr>
          <w:i/>
          <w:iCs/>
        </w:rPr>
        <w:t>See Forfeiture Policy Statement and Amendment of Section 1.80 of the Rules to Incorporate the Forfeiture Guidelines</w:t>
      </w:r>
      <w:r>
        <w:t xml:space="preserve">, Report and Order, 12 FCC Rcd 17087 (1997), </w:t>
      </w:r>
      <w:r w:rsidRPr="004244D5">
        <w:rPr>
          <w:i/>
          <w:iCs/>
        </w:rPr>
        <w:t>recon. denied</w:t>
      </w:r>
      <w:r>
        <w:t xml:space="preserve">, 15 FCC Rcd 303 (1999); 47 CFR </w:t>
      </w:r>
      <w:r w:rsidRPr="00B229D5">
        <w:t>§</w:t>
      </w:r>
      <w:r>
        <w:t xml:space="preserve"> 1.80(b), paragraph (b)(10), Table 1 and Table 3. </w:t>
      </w:r>
    </w:p>
  </w:footnote>
  <w:footnote w:id="28">
    <w:p w:rsidR="00430A62" w:rsidP="00430A62" w14:paraId="5B1411FB" w14:textId="77777777">
      <w:pPr>
        <w:pStyle w:val="FootnoteText"/>
        <w:widowControl w:val="0"/>
      </w:pPr>
      <w:r>
        <w:rPr>
          <w:rStyle w:val="FootnoteReference"/>
        </w:rPr>
        <w:footnoteRef/>
      </w:r>
      <w:r>
        <w:t xml:space="preserve"> </w:t>
      </w:r>
      <w:r w:rsidRPr="00B56DE1">
        <w:t>Debt Collection Improvement Act of 1996, Pub. L. No. 104-134, 110 Stat. 1321, 1358 (Apr. 26, 1996).</w:t>
      </w:r>
    </w:p>
  </w:footnote>
  <w:footnote w:id="29">
    <w:p w:rsidR="00430A62" w:rsidRPr="00514C8E" w:rsidP="00430A62" w14:paraId="2C02A526" w14:textId="77777777">
      <w:pPr>
        <w:pStyle w:val="FootnoteText"/>
        <w:widowControl w:val="0"/>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30">
    <w:p w:rsidR="00430A62" w:rsidRPr="00514C8E" w:rsidP="00430A62" w14:paraId="7C8669E9" w14:textId="77777777">
      <w:pPr>
        <w:pStyle w:val="FootnoteText"/>
        <w:widowControl w:val="0"/>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31">
    <w:p w:rsidR="00430A62" w:rsidRPr="00514C8E" w:rsidP="00430A62" w14:paraId="4B99F7F2" w14:textId="77777777">
      <w:pPr>
        <w:pStyle w:val="FootnoteText"/>
        <w:widowControl w:val="0"/>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32">
    <w:p w:rsidR="00430A62" w:rsidP="00430A62" w14:paraId="6CC9D2C2" w14:textId="77777777">
      <w:pPr>
        <w:pStyle w:val="FootnoteText"/>
      </w:pPr>
      <w:r>
        <w:rPr>
          <w:rStyle w:val="FootnoteReference"/>
        </w:rPr>
        <w:footnoteRef/>
      </w:r>
      <w:r>
        <w:t xml:space="preserve"> </w:t>
      </w:r>
      <w:r w:rsidRPr="000C786F">
        <w:t>47 CFR § 1.16.</w:t>
      </w:r>
    </w:p>
  </w:footnote>
  <w:footnote w:id="33">
    <w:p w:rsidR="00430A62" w:rsidP="00430A62" w14:paraId="15A74022" w14:textId="77777777">
      <w:pPr>
        <w:pStyle w:val="FootnoteText"/>
        <w:widowControl w:val="0"/>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9F0" w:rsidP="008F1BF4" w14:paraId="015A4DC5" w14:textId="3ED855AF">
    <w:pPr>
      <w:pStyle w:val="Header"/>
    </w:pPr>
    <w:r>
      <w:t>__________________________</w:t>
    </w:r>
    <w:r w:rsidRPr="00314245">
      <w:rPr>
        <w:u w:val="single"/>
      </w:rPr>
      <w:t>Federal Communications Commission</w:t>
    </w:r>
    <w:r w:rsidRPr="00314245">
      <w:rPr>
        <w:u w:val="single"/>
      </w:rPr>
      <w:tab/>
      <w:t xml:space="preserve">                             DA 24-</w:t>
    </w:r>
    <w:r w:rsidRPr="00314245" w:rsidR="00532BAD">
      <w:rPr>
        <w:u w:val="single"/>
      </w:rPr>
      <w:t>340</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2BAD" w:rsidRPr="00314245" w:rsidP="008F1BF4" w14:paraId="76282B4B" w14:textId="2A95D833">
    <w:pPr>
      <w:pStyle w:val="Header"/>
      <w:rPr>
        <w:u w:val="single"/>
      </w:rPr>
    </w:pPr>
    <w:r>
      <w:t>__________________________</w:t>
    </w:r>
    <w:r w:rsidRPr="00314245">
      <w:rPr>
        <w:u w:val="single"/>
      </w:rPr>
      <w:t>Federal Communications Commission</w:t>
    </w:r>
    <w:r w:rsidRPr="00314245">
      <w:rPr>
        <w:u w:val="single"/>
      </w:rPr>
      <w:tab/>
      <w:t xml:space="preserve">                             DA 24-</w:t>
    </w:r>
    <w:r w:rsidRPr="00314245">
      <w:rPr>
        <w:u w:val="single"/>
      </w:rPr>
      <w:t>340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F1BF4" w14:paraId="023D7188" w14:textId="02B3614F">
    <w:pPr>
      <w:pStyle w:val="Header"/>
    </w:pPr>
    <w:r>
      <w:tab/>
      <w:t>Federal Communications Commission</w:t>
    </w:r>
    <w:r>
      <w:tab/>
    </w:r>
    <w:r w:rsidR="008F1BF4">
      <w:t>DA 24-</w:t>
    </w:r>
    <w:r w:rsidR="00DB3C9B">
      <w:t>340</w:t>
    </w:r>
  </w:p>
  <w:p w:rsidR="00D25FB5" w14:paraId="0A391393" w14:textId="298117B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AB0A57A"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F1BF4" w14:paraId="239D2305" w14:textId="569C5EB4">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F1BF4">
      <w:t>DA 24-</w:t>
    </w:r>
    <w:r w:rsidR="00532BAD">
      <w:t>340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9">
    <w:nsid w:val="76253019"/>
    <w:multiLevelType w:val="hybridMultilevel"/>
    <w:tmpl w:val="AA72741E"/>
    <w:lvl w:ilvl="0">
      <w:start w:val="1"/>
      <w:numFmt w:val="lowerLetter"/>
      <w:lvlText w:val="(%1)"/>
      <w:lvlJc w:val="left"/>
      <w:pPr>
        <w:tabs>
          <w:tab w:val="num" w:pos="1152"/>
        </w:tabs>
        <w:ind w:left="1152" w:hanging="432"/>
      </w:pPr>
      <w:rPr>
        <w:rFonts w:cs="Times New Roman" w:hint="default"/>
        <w:b w:val="0"/>
        <w:i w:val="0"/>
        <w:sz w:val="22"/>
        <w:szCs w:val="22"/>
      </w:rPr>
    </w:lvl>
    <w:lvl w:ilvl="1">
      <w:start w:val="1"/>
      <w:numFmt w:val="lowerLetter"/>
      <w:lvlText w:val="%2."/>
      <w:lvlJc w:val="left"/>
      <w:pPr>
        <w:tabs>
          <w:tab w:val="num" w:pos="1368"/>
        </w:tabs>
        <w:ind w:left="1368" w:hanging="360"/>
      </w:pPr>
      <w:rPr>
        <w:rFonts w:cs="Times New Roman"/>
      </w:rPr>
    </w:lvl>
    <w:lvl w:ilvl="2">
      <w:start w:val="1"/>
      <w:numFmt w:val="lowerRoman"/>
      <w:lvlText w:val="%3."/>
      <w:lvlJc w:val="right"/>
      <w:pPr>
        <w:tabs>
          <w:tab w:val="num" w:pos="2088"/>
        </w:tabs>
        <w:ind w:left="2088" w:hanging="180"/>
      </w:pPr>
      <w:rPr>
        <w:rFonts w:cs="Times New Roman"/>
      </w:rPr>
    </w:lvl>
    <w:lvl w:ilvl="3" w:tentative="1">
      <w:start w:val="1"/>
      <w:numFmt w:val="decimal"/>
      <w:lvlText w:val="%4."/>
      <w:lvlJc w:val="left"/>
      <w:pPr>
        <w:tabs>
          <w:tab w:val="num" w:pos="2808"/>
        </w:tabs>
        <w:ind w:left="2808" w:hanging="360"/>
      </w:pPr>
      <w:rPr>
        <w:rFonts w:cs="Times New Roman"/>
      </w:rPr>
    </w:lvl>
    <w:lvl w:ilvl="4" w:tentative="1">
      <w:start w:val="1"/>
      <w:numFmt w:val="lowerLetter"/>
      <w:lvlText w:val="%5."/>
      <w:lvlJc w:val="left"/>
      <w:pPr>
        <w:tabs>
          <w:tab w:val="num" w:pos="3528"/>
        </w:tabs>
        <w:ind w:left="3528" w:hanging="360"/>
      </w:pPr>
      <w:rPr>
        <w:rFonts w:cs="Times New Roman"/>
      </w:rPr>
    </w:lvl>
    <w:lvl w:ilvl="5" w:tentative="1">
      <w:start w:val="1"/>
      <w:numFmt w:val="lowerRoman"/>
      <w:lvlText w:val="%6."/>
      <w:lvlJc w:val="right"/>
      <w:pPr>
        <w:tabs>
          <w:tab w:val="num" w:pos="4248"/>
        </w:tabs>
        <w:ind w:left="4248" w:hanging="180"/>
      </w:pPr>
      <w:rPr>
        <w:rFonts w:cs="Times New Roman"/>
      </w:rPr>
    </w:lvl>
    <w:lvl w:ilvl="6" w:tentative="1">
      <w:start w:val="1"/>
      <w:numFmt w:val="decimal"/>
      <w:lvlText w:val="%7."/>
      <w:lvlJc w:val="left"/>
      <w:pPr>
        <w:tabs>
          <w:tab w:val="num" w:pos="4968"/>
        </w:tabs>
        <w:ind w:left="4968" w:hanging="360"/>
      </w:pPr>
      <w:rPr>
        <w:rFonts w:cs="Times New Roman"/>
      </w:rPr>
    </w:lvl>
    <w:lvl w:ilvl="7" w:tentative="1">
      <w:start w:val="1"/>
      <w:numFmt w:val="lowerLetter"/>
      <w:lvlText w:val="%8."/>
      <w:lvlJc w:val="left"/>
      <w:pPr>
        <w:tabs>
          <w:tab w:val="num" w:pos="5688"/>
        </w:tabs>
        <w:ind w:left="5688" w:hanging="360"/>
      </w:pPr>
      <w:rPr>
        <w:rFonts w:cs="Times New Roman"/>
      </w:rPr>
    </w:lvl>
    <w:lvl w:ilvl="8" w:tentative="1">
      <w:start w:val="1"/>
      <w:numFmt w:val="lowerRoman"/>
      <w:lvlText w:val="%9."/>
      <w:lvlJc w:val="right"/>
      <w:pPr>
        <w:tabs>
          <w:tab w:val="num" w:pos="6408"/>
        </w:tabs>
        <w:ind w:left="6408" w:hanging="180"/>
      </w:pPr>
      <w:rPr>
        <w:rFonts w:cs="Times New Roman"/>
      </w:rPr>
    </w:lvl>
  </w:abstractNum>
  <w:abstractNum w:abstractNumId="10">
    <w:nsid w:val="7ABF5603"/>
    <w:multiLevelType w:val="hybridMultilevel"/>
    <w:tmpl w:val="D4A41B0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8"/>
  </w:num>
  <w:num w:numId="8">
    <w:abstractNumId w:val="4"/>
  </w:num>
  <w:num w:numId="9">
    <w:abstractNumId w:val="0"/>
  </w:num>
  <w:num w:numId="10">
    <w:abstractNumId w:val="9"/>
  </w:num>
  <w:num w:numId="11">
    <w:abstractNumId w:val="10"/>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C0"/>
    <w:rsid w:val="000223F0"/>
    <w:rsid w:val="00036039"/>
    <w:rsid w:val="00037F90"/>
    <w:rsid w:val="00053E7A"/>
    <w:rsid w:val="000875BF"/>
    <w:rsid w:val="00096D8C"/>
    <w:rsid w:val="000C0B65"/>
    <w:rsid w:val="000C786F"/>
    <w:rsid w:val="000D14A8"/>
    <w:rsid w:val="000D5624"/>
    <w:rsid w:val="000E05FE"/>
    <w:rsid w:val="000E3D42"/>
    <w:rsid w:val="001048AF"/>
    <w:rsid w:val="00122BD5"/>
    <w:rsid w:val="00133F79"/>
    <w:rsid w:val="00151B52"/>
    <w:rsid w:val="00184097"/>
    <w:rsid w:val="001857CC"/>
    <w:rsid w:val="00194A66"/>
    <w:rsid w:val="001A4392"/>
    <w:rsid w:val="001A49F0"/>
    <w:rsid w:val="001D6BCF"/>
    <w:rsid w:val="001E01CA"/>
    <w:rsid w:val="00206708"/>
    <w:rsid w:val="00252665"/>
    <w:rsid w:val="0025442B"/>
    <w:rsid w:val="00257FDD"/>
    <w:rsid w:val="00273BFB"/>
    <w:rsid w:val="00275CF5"/>
    <w:rsid w:val="0028301F"/>
    <w:rsid w:val="00283E74"/>
    <w:rsid w:val="00285017"/>
    <w:rsid w:val="002A2D2E"/>
    <w:rsid w:val="002B2805"/>
    <w:rsid w:val="002C00E8"/>
    <w:rsid w:val="002E7993"/>
    <w:rsid w:val="00314245"/>
    <w:rsid w:val="00316D90"/>
    <w:rsid w:val="00337A5E"/>
    <w:rsid w:val="00343749"/>
    <w:rsid w:val="003551D0"/>
    <w:rsid w:val="00356989"/>
    <w:rsid w:val="00363F15"/>
    <w:rsid w:val="003660ED"/>
    <w:rsid w:val="00372F7E"/>
    <w:rsid w:val="003776F8"/>
    <w:rsid w:val="003B0550"/>
    <w:rsid w:val="003B694F"/>
    <w:rsid w:val="003C31CC"/>
    <w:rsid w:val="003E68D7"/>
    <w:rsid w:val="003E7D84"/>
    <w:rsid w:val="003F171C"/>
    <w:rsid w:val="00406646"/>
    <w:rsid w:val="00411459"/>
    <w:rsid w:val="00412FC5"/>
    <w:rsid w:val="00422276"/>
    <w:rsid w:val="004242F1"/>
    <w:rsid w:val="004244D5"/>
    <w:rsid w:val="00430A62"/>
    <w:rsid w:val="00445A00"/>
    <w:rsid w:val="00451B0F"/>
    <w:rsid w:val="00460B95"/>
    <w:rsid w:val="00473DAF"/>
    <w:rsid w:val="00476A03"/>
    <w:rsid w:val="004C2EE3"/>
    <w:rsid w:val="004C77D3"/>
    <w:rsid w:val="004C7826"/>
    <w:rsid w:val="004E4A22"/>
    <w:rsid w:val="004F62AE"/>
    <w:rsid w:val="004F636F"/>
    <w:rsid w:val="00511968"/>
    <w:rsid w:val="00513B7A"/>
    <w:rsid w:val="00514C8E"/>
    <w:rsid w:val="00532BAD"/>
    <w:rsid w:val="00534C11"/>
    <w:rsid w:val="005405E9"/>
    <w:rsid w:val="00543300"/>
    <w:rsid w:val="0055614C"/>
    <w:rsid w:val="00566D06"/>
    <w:rsid w:val="00593C8E"/>
    <w:rsid w:val="005E0AE7"/>
    <w:rsid w:val="005E14C2"/>
    <w:rsid w:val="00607BA5"/>
    <w:rsid w:val="00607DAE"/>
    <w:rsid w:val="0061180A"/>
    <w:rsid w:val="0062125C"/>
    <w:rsid w:val="00626EB6"/>
    <w:rsid w:val="00655D03"/>
    <w:rsid w:val="00660151"/>
    <w:rsid w:val="00683388"/>
    <w:rsid w:val="00683F84"/>
    <w:rsid w:val="00685626"/>
    <w:rsid w:val="006A6A81"/>
    <w:rsid w:val="006F47C0"/>
    <w:rsid w:val="006F7393"/>
    <w:rsid w:val="0070224F"/>
    <w:rsid w:val="007115F7"/>
    <w:rsid w:val="00747258"/>
    <w:rsid w:val="00756F26"/>
    <w:rsid w:val="00771D82"/>
    <w:rsid w:val="00785689"/>
    <w:rsid w:val="0079754B"/>
    <w:rsid w:val="007A1E6D"/>
    <w:rsid w:val="007A7C55"/>
    <w:rsid w:val="007B0EB2"/>
    <w:rsid w:val="007B5485"/>
    <w:rsid w:val="007E6047"/>
    <w:rsid w:val="007E792C"/>
    <w:rsid w:val="007F07B2"/>
    <w:rsid w:val="00810B6F"/>
    <w:rsid w:val="00822CE0"/>
    <w:rsid w:val="0083102A"/>
    <w:rsid w:val="00841AB1"/>
    <w:rsid w:val="008A0AB8"/>
    <w:rsid w:val="008A74B0"/>
    <w:rsid w:val="008C1270"/>
    <w:rsid w:val="008C68F1"/>
    <w:rsid w:val="008D5F93"/>
    <w:rsid w:val="008F1BF4"/>
    <w:rsid w:val="00921803"/>
    <w:rsid w:val="00926503"/>
    <w:rsid w:val="009726D8"/>
    <w:rsid w:val="009822E1"/>
    <w:rsid w:val="00986AD6"/>
    <w:rsid w:val="009B2621"/>
    <w:rsid w:val="009D1278"/>
    <w:rsid w:val="009D5736"/>
    <w:rsid w:val="009D7308"/>
    <w:rsid w:val="009F76DB"/>
    <w:rsid w:val="00A11F66"/>
    <w:rsid w:val="00A32C3B"/>
    <w:rsid w:val="00A45F4F"/>
    <w:rsid w:val="00A600A9"/>
    <w:rsid w:val="00A76222"/>
    <w:rsid w:val="00A85503"/>
    <w:rsid w:val="00A90CAC"/>
    <w:rsid w:val="00AA55B7"/>
    <w:rsid w:val="00AA5B9E"/>
    <w:rsid w:val="00AB2407"/>
    <w:rsid w:val="00AB53DF"/>
    <w:rsid w:val="00AB5FB0"/>
    <w:rsid w:val="00AD7820"/>
    <w:rsid w:val="00AE192C"/>
    <w:rsid w:val="00AE6264"/>
    <w:rsid w:val="00B07E5C"/>
    <w:rsid w:val="00B125BE"/>
    <w:rsid w:val="00B229D5"/>
    <w:rsid w:val="00B4296E"/>
    <w:rsid w:val="00B56DE1"/>
    <w:rsid w:val="00B773AC"/>
    <w:rsid w:val="00B811F7"/>
    <w:rsid w:val="00B85E86"/>
    <w:rsid w:val="00BA5DC6"/>
    <w:rsid w:val="00BA6196"/>
    <w:rsid w:val="00BC6D8C"/>
    <w:rsid w:val="00C13AEF"/>
    <w:rsid w:val="00C34006"/>
    <w:rsid w:val="00C36B4C"/>
    <w:rsid w:val="00C426B1"/>
    <w:rsid w:val="00C66160"/>
    <w:rsid w:val="00C71203"/>
    <w:rsid w:val="00C721AC"/>
    <w:rsid w:val="00C73E30"/>
    <w:rsid w:val="00C90D6A"/>
    <w:rsid w:val="00CA247E"/>
    <w:rsid w:val="00CA349B"/>
    <w:rsid w:val="00CA6D21"/>
    <w:rsid w:val="00CC0D7A"/>
    <w:rsid w:val="00CC72B6"/>
    <w:rsid w:val="00CD61B6"/>
    <w:rsid w:val="00D0218D"/>
    <w:rsid w:val="00D14B02"/>
    <w:rsid w:val="00D25FB5"/>
    <w:rsid w:val="00D3337A"/>
    <w:rsid w:val="00D35F3F"/>
    <w:rsid w:val="00D44223"/>
    <w:rsid w:val="00DA2529"/>
    <w:rsid w:val="00DB0A32"/>
    <w:rsid w:val="00DB130A"/>
    <w:rsid w:val="00DB2EBB"/>
    <w:rsid w:val="00DB3C9B"/>
    <w:rsid w:val="00DC10A1"/>
    <w:rsid w:val="00DC655F"/>
    <w:rsid w:val="00DD0B59"/>
    <w:rsid w:val="00DD7EBD"/>
    <w:rsid w:val="00DF62B6"/>
    <w:rsid w:val="00E07225"/>
    <w:rsid w:val="00E314E2"/>
    <w:rsid w:val="00E5409F"/>
    <w:rsid w:val="00E7104D"/>
    <w:rsid w:val="00ED7175"/>
    <w:rsid w:val="00EE6488"/>
    <w:rsid w:val="00F021FA"/>
    <w:rsid w:val="00F62E97"/>
    <w:rsid w:val="00F64209"/>
    <w:rsid w:val="00F664A7"/>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6EBAE0"/>
  <w15:chartTrackingRefBased/>
  <w15:docId w15:val="{AE91D4C1-7B94-431F-88CA-AE1017CC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6989"/>
    <w:pPr>
      <w:widowControl w:val="0"/>
    </w:pPr>
    <w:rPr>
      <w:snapToGrid w:val="0"/>
      <w:kern w:val="28"/>
      <w:sz w:val="22"/>
    </w:rPr>
  </w:style>
  <w:style w:type="paragraph" w:styleId="Heading1">
    <w:name w:val="heading 1"/>
    <w:basedOn w:val="Normal"/>
    <w:next w:val="ParaNum"/>
    <w:qFormat/>
    <w:rsid w:val="0035698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56989"/>
    <w:pPr>
      <w:keepNext/>
      <w:numPr>
        <w:ilvl w:val="1"/>
        <w:numId w:val="3"/>
      </w:numPr>
      <w:spacing w:after="120"/>
      <w:outlineLvl w:val="1"/>
    </w:pPr>
    <w:rPr>
      <w:b/>
    </w:rPr>
  </w:style>
  <w:style w:type="paragraph" w:styleId="Heading3">
    <w:name w:val="heading 3"/>
    <w:basedOn w:val="Normal"/>
    <w:next w:val="ParaNum"/>
    <w:qFormat/>
    <w:rsid w:val="00356989"/>
    <w:pPr>
      <w:keepNext/>
      <w:numPr>
        <w:ilvl w:val="2"/>
        <w:numId w:val="3"/>
      </w:numPr>
      <w:tabs>
        <w:tab w:val="left" w:pos="2160"/>
      </w:tabs>
      <w:spacing w:after="120"/>
      <w:outlineLvl w:val="2"/>
    </w:pPr>
    <w:rPr>
      <w:b/>
    </w:rPr>
  </w:style>
  <w:style w:type="paragraph" w:styleId="Heading4">
    <w:name w:val="heading 4"/>
    <w:basedOn w:val="Normal"/>
    <w:next w:val="ParaNum"/>
    <w:qFormat/>
    <w:rsid w:val="00356989"/>
    <w:pPr>
      <w:keepNext/>
      <w:numPr>
        <w:ilvl w:val="3"/>
        <w:numId w:val="3"/>
      </w:numPr>
      <w:tabs>
        <w:tab w:val="left" w:pos="2880"/>
      </w:tabs>
      <w:spacing w:after="120"/>
      <w:outlineLvl w:val="3"/>
    </w:pPr>
    <w:rPr>
      <w:b/>
    </w:rPr>
  </w:style>
  <w:style w:type="paragraph" w:styleId="Heading5">
    <w:name w:val="heading 5"/>
    <w:basedOn w:val="Normal"/>
    <w:next w:val="ParaNum"/>
    <w:qFormat/>
    <w:rsid w:val="0035698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56989"/>
    <w:pPr>
      <w:numPr>
        <w:ilvl w:val="5"/>
        <w:numId w:val="3"/>
      </w:numPr>
      <w:tabs>
        <w:tab w:val="left" w:pos="4320"/>
      </w:tabs>
      <w:spacing w:after="120"/>
      <w:outlineLvl w:val="5"/>
    </w:pPr>
    <w:rPr>
      <w:b/>
    </w:rPr>
  </w:style>
  <w:style w:type="paragraph" w:styleId="Heading7">
    <w:name w:val="heading 7"/>
    <w:basedOn w:val="Normal"/>
    <w:next w:val="ParaNum"/>
    <w:qFormat/>
    <w:rsid w:val="0035698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5698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5698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56989"/>
    <w:pPr>
      <w:numPr>
        <w:numId w:val="2"/>
      </w:numPr>
      <w:tabs>
        <w:tab w:val="clear" w:pos="1080"/>
        <w:tab w:val="num" w:pos="1440"/>
      </w:tabs>
      <w:spacing w:after="120"/>
    </w:pPr>
  </w:style>
  <w:style w:type="paragraph" w:styleId="EndnoteText">
    <w:name w:val="endnote text"/>
    <w:basedOn w:val="Normal"/>
    <w:semiHidden/>
    <w:rsid w:val="00356989"/>
    <w:rPr>
      <w:sz w:val="20"/>
    </w:rPr>
  </w:style>
  <w:style w:type="character" w:styleId="EndnoteReference">
    <w:name w:val="endnote reference"/>
    <w:semiHidden/>
    <w:rsid w:val="00356989"/>
    <w:rPr>
      <w:vertAlign w:val="superscript"/>
    </w:rPr>
  </w:style>
  <w:style w:type="paragraph" w:styleId="FootnoteText">
    <w:name w:val="footnote text"/>
    <w:aliases w:val="Footnote Text Char,Footnote Text Char Char Char4 Char Char,Footnote Text Char1,Footnote Text Char1 Char,Footnote Text Char4 Char1 Char Char,Footnote Text Char7 Char,Footnote Text Char7 Char Char,Footnote Text Char7 Char Char Char Char Char"/>
    <w:link w:val="FootnoteTextChar2"/>
    <w:rsid w:val="0035698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56989"/>
    <w:rPr>
      <w:rFonts w:ascii="Times New Roman" w:hAnsi="Times New Roman"/>
      <w:dstrike w:val="0"/>
      <w:color w:val="auto"/>
      <w:sz w:val="20"/>
      <w:vertAlign w:val="superscript"/>
    </w:rPr>
  </w:style>
  <w:style w:type="paragraph" w:styleId="TOC1">
    <w:name w:val="toc 1"/>
    <w:basedOn w:val="Normal"/>
    <w:next w:val="Normal"/>
    <w:semiHidden/>
    <w:rsid w:val="0035698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56989"/>
    <w:pPr>
      <w:tabs>
        <w:tab w:val="left" w:pos="720"/>
        <w:tab w:val="right" w:leader="dot" w:pos="9360"/>
      </w:tabs>
      <w:suppressAutoHyphens/>
      <w:ind w:left="720" w:right="720" w:hanging="360"/>
    </w:pPr>
    <w:rPr>
      <w:noProof/>
    </w:rPr>
  </w:style>
  <w:style w:type="paragraph" w:styleId="TOC3">
    <w:name w:val="toc 3"/>
    <w:basedOn w:val="Normal"/>
    <w:next w:val="Normal"/>
    <w:semiHidden/>
    <w:rsid w:val="0035698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5698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5698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5698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5698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5698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5698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56989"/>
    <w:pPr>
      <w:tabs>
        <w:tab w:val="right" w:pos="9360"/>
      </w:tabs>
      <w:suppressAutoHyphens/>
    </w:pPr>
  </w:style>
  <w:style w:type="character" w:customStyle="1" w:styleId="EquationCaption">
    <w:name w:val="_Equation Caption"/>
    <w:rsid w:val="00356989"/>
  </w:style>
  <w:style w:type="paragraph" w:styleId="Header">
    <w:name w:val="header"/>
    <w:basedOn w:val="Normal"/>
    <w:autoRedefine/>
    <w:rsid w:val="00356989"/>
    <w:pPr>
      <w:tabs>
        <w:tab w:val="center" w:pos="4680"/>
        <w:tab w:val="right" w:pos="9360"/>
      </w:tabs>
    </w:pPr>
    <w:rPr>
      <w:b/>
    </w:rPr>
  </w:style>
  <w:style w:type="paragraph" w:styleId="Footer">
    <w:name w:val="footer"/>
    <w:basedOn w:val="Normal"/>
    <w:link w:val="FooterChar"/>
    <w:uiPriority w:val="99"/>
    <w:rsid w:val="00356989"/>
    <w:pPr>
      <w:tabs>
        <w:tab w:val="center" w:pos="4320"/>
        <w:tab w:val="right" w:pos="8640"/>
      </w:tabs>
    </w:pPr>
  </w:style>
  <w:style w:type="character" w:styleId="PageNumber">
    <w:name w:val="page number"/>
    <w:basedOn w:val="DefaultParagraphFont"/>
    <w:rsid w:val="00356989"/>
  </w:style>
  <w:style w:type="paragraph" w:styleId="BlockText">
    <w:name w:val="Block Text"/>
    <w:basedOn w:val="Normal"/>
    <w:rsid w:val="00356989"/>
    <w:pPr>
      <w:spacing w:after="240"/>
      <w:ind w:left="1440" w:right="1440"/>
    </w:pPr>
  </w:style>
  <w:style w:type="paragraph" w:customStyle="1" w:styleId="Paratitle">
    <w:name w:val="Para title"/>
    <w:basedOn w:val="Normal"/>
    <w:rsid w:val="00356989"/>
    <w:pPr>
      <w:tabs>
        <w:tab w:val="center" w:pos="9270"/>
      </w:tabs>
      <w:spacing w:after="240"/>
    </w:pPr>
    <w:rPr>
      <w:spacing w:val="-2"/>
    </w:rPr>
  </w:style>
  <w:style w:type="paragraph" w:customStyle="1" w:styleId="Bullet">
    <w:name w:val="Bullet"/>
    <w:basedOn w:val="Normal"/>
    <w:rsid w:val="00356989"/>
    <w:pPr>
      <w:tabs>
        <w:tab w:val="left" w:pos="2160"/>
      </w:tabs>
      <w:spacing w:after="220"/>
      <w:ind w:left="2160" w:hanging="720"/>
    </w:pPr>
  </w:style>
  <w:style w:type="paragraph" w:customStyle="1" w:styleId="TableFormat">
    <w:name w:val="TableFormat"/>
    <w:basedOn w:val="Bullet"/>
    <w:rsid w:val="00356989"/>
    <w:pPr>
      <w:tabs>
        <w:tab w:val="clear" w:pos="2160"/>
        <w:tab w:val="left" w:pos="5040"/>
      </w:tabs>
      <w:ind w:left="5040" w:hanging="3600"/>
    </w:pPr>
  </w:style>
  <w:style w:type="paragraph" w:customStyle="1" w:styleId="TOCTitle">
    <w:name w:val="TOC Title"/>
    <w:basedOn w:val="Normal"/>
    <w:rsid w:val="0035698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56989"/>
    <w:pPr>
      <w:jc w:val="center"/>
    </w:pPr>
    <w:rPr>
      <w:rFonts w:ascii="Times New Roman Bold" w:hAnsi="Times New Roman Bold"/>
      <w:b/>
      <w:bCs/>
      <w:caps/>
      <w:szCs w:val="22"/>
    </w:rPr>
  </w:style>
  <w:style w:type="character" w:styleId="Hyperlink">
    <w:name w:val="Hyperlink"/>
    <w:rsid w:val="00356989"/>
    <w:rPr>
      <w:color w:val="0000FF"/>
      <w:u w:val="single"/>
    </w:rPr>
  </w:style>
  <w:style w:type="character" w:customStyle="1" w:styleId="FooterChar">
    <w:name w:val="Footer Char"/>
    <w:link w:val="Footer"/>
    <w:uiPriority w:val="99"/>
    <w:rsid w:val="00356989"/>
    <w:rPr>
      <w:snapToGrid w:val="0"/>
      <w:kern w:val="28"/>
      <w:sz w:val="22"/>
    </w:rPr>
  </w:style>
  <w:style w:type="character" w:customStyle="1" w:styleId="FootnoteTextChar2">
    <w:name w:val="Footnote Text Char2"/>
    <w:aliases w:val="Footnote Text Char Char,Footnote Text Char Char Char4 Char Char Char,Footnote Text Char1 Char Char,Footnote Text Char4 Char1 Char Char Char,Footnote Text Char7 Char Char Char,Footnote Text Char7 Char Char Char Char Char Char"/>
    <w:link w:val="FootnoteText"/>
    <w:rsid w:val="001A49F0"/>
  </w:style>
  <w:style w:type="character" w:customStyle="1" w:styleId="ParaNumChar">
    <w:name w:val="ParaNum Char"/>
    <w:link w:val="ParaNum"/>
    <w:locked/>
    <w:rsid w:val="001A49F0"/>
    <w:rPr>
      <w:snapToGrid w:val="0"/>
      <w:kern w:val="28"/>
      <w:sz w:val="22"/>
    </w:rPr>
  </w:style>
  <w:style w:type="character" w:styleId="CommentReference">
    <w:name w:val="annotation reference"/>
    <w:rsid w:val="001A49F0"/>
    <w:rPr>
      <w:sz w:val="16"/>
      <w:szCs w:val="16"/>
    </w:rPr>
  </w:style>
  <w:style w:type="paragraph" w:styleId="CommentText">
    <w:name w:val="annotation text"/>
    <w:basedOn w:val="Normal"/>
    <w:link w:val="CommentTextChar"/>
    <w:rsid w:val="001A49F0"/>
    <w:rPr>
      <w:sz w:val="20"/>
    </w:rPr>
  </w:style>
  <w:style w:type="character" w:customStyle="1" w:styleId="CommentTextChar">
    <w:name w:val="Comment Text Char"/>
    <w:link w:val="CommentText"/>
    <w:rsid w:val="001A49F0"/>
    <w:rPr>
      <w:snapToGrid w:val="0"/>
      <w:kern w:val="28"/>
    </w:rPr>
  </w:style>
  <w:style w:type="paragraph" w:styleId="Revision">
    <w:name w:val="Revision"/>
    <w:hidden/>
    <w:uiPriority w:val="99"/>
    <w:semiHidden/>
    <w:rsid w:val="002B2805"/>
    <w:rPr>
      <w:snapToGrid w:val="0"/>
      <w:kern w:val="28"/>
      <w:sz w:val="22"/>
    </w:rPr>
  </w:style>
  <w:style w:type="paragraph" w:styleId="CommentSubject">
    <w:name w:val="annotation subject"/>
    <w:basedOn w:val="CommentText"/>
    <w:next w:val="CommentText"/>
    <w:link w:val="CommentSubjectChar"/>
    <w:rsid w:val="002B2805"/>
    <w:rPr>
      <w:b/>
      <w:bCs/>
    </w:rPr>
  </w:style>
  <w:style w:type="character" w:customStyle="1" w:styleId="CommentSubjectChar">
    <w:name w:val="Comment Subject Char"/>
    <w:link w:val="CommentSubject"/>
    <w:rsid w:val="002B2805"/>
    <w:rPr>
      <w:b/>
      <w:bCs/>
      <w:snapToGrid w:val="0"/>
      <w:kern w:val="28"/>
    </w:rPr>
  </w:style>
  <w:style w:type="character" w:styleId="UnresolvedMention">
    <w:name w:val="Unresolved Mention"/>
    <w:basedOn w:val="DefaultParagraphFont"/>
    <w:uiPriority w:val="99"/>
    <w:semiHidden/>
    <w:unhideWhenUsed/>
    <w:rsid w:val="00254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yperlink" Target="mailto:Andrew.Manley@fcc.gov" TargetMode="External" /><Relationship Id="rId12" Type="http://schemas.openxmlformats.org/officeDocument/2006/relationships/hyperlink" Target="mailto:RROGWireFaxes@fcc.gov" TargetMode="External" /><Relationship Id="rId13" Type="http://schemas.openxmlformats.org/officeDocument/2006/relationships/hyperlink" Target="https://www.fcc.gov/licensing-databases/fees/wire-transfer" TargetMode="External" /><Relationship Id="rId14" Type="http://schemas.openxmlformats.org/officeDocument/2006/relationships/hyperlink" Target="https://apps.fcc.gov/cores/userLogin.do" TargetMode="External" /><Relationship Id="rId15" Type="http://schemas.openxmlformats.org/officeDocument/2006/relationships/hyperlink" Target="https://apps.fcc.gov/cores/paymentFrnLogin.do" TargetMode="External" /><Relationship Id="rId16" Type="http://schemas.openxmlformats.org/officeDocument/2006/relationships/hyperlink" Target="mailto:David.Brown@fcc.gov" TargetMode="Externa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header" Target="header4.xml" /><Relationship Id="rId21" Type="http://schemas.openxmlformats.org/officeDocument/2006/relationships/footer" Target="footer5.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harris@prairiepublic.org" TargetMode="External" /><Relationship Id="rId6" Type="http://schemas.openxmlformats.org/officeDocument/2006/relationships/hyperlink" Target="mailto:dteslik@graymillerpersh.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