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756DA" w:rsidRPr="002007ED" w:rsidP="004E240F" w14:paraId="17D4ED9A" w14:textId="77777777">
      <w:pPr>
        <w:jc w:val="center"/>
        <w:rPr>
          <w:b/>
        </w:rPr>
      </w:pPr>
      <w:r w:rsidRPr="002007ED">
        <w:rPr>
          <w:b/>
        </w:rPr>
        <w:t>Before the</w:t>
      </w:r>
    </w:p>
    <w:p w:rsidR="004756DA" w:rsidRPr="002007ED" w:rsidP="004E240F" w14:paraId="5EABE943" w14:textId="77777777">
      <w:pPr>
        <w:jc w:val="center"/>
        <w:rPr>
          <w:b/>
        </w:rPr>
      </w:pPr>
      <w:r w:rsidRPr="002007ED">
        <w:rPr>
          <w:b/>
        </w:rPr>
        <w:t>Federal Communications Commission</w:t>
      </w:r>
    </w:p>
    <w:p w:rsidR="004756DA" w:rsidRPr="002007ED" w:rsidP="004E240F" w14:paraId="042091A6" w14:textId="77777777">
      <w:pPr>
        <w:jc w:val="center"/>
        <w:rPr>
          <w:b/>
        </w:rPr>
      </w:pPr>
      <w:r w:rsidRPr="002007ED">
        <w:rPr>
          <w:b/>
        </w:rPr>
        <w:t>Washington, D.C. 20554</w:t>
      </w:r>
    </w:p>
    <w:p w:rsidR="004756DA" w:rsidRPr="002007ED" w:rsidP="004E240F" w14:paraId="70804CC4" w14:textId="77777777"/>
    <w:tbl>
      <w:tblPr>
        <w:tblW w:w="9648" w:type="dxa"/>
        <w:tblLayout w:type="fixed"/>
        <w:tblLook w:val="0000"/>
      </w:tblPr>
      <w:tblGrid>
        <w:gridCol w:w="4698"/>
        <w:gridCol w:w="720"/>
        <w:gridCol w:w="4230"/>
      </w:tblGrid>
      <w:tr w14:paraId="7B2E559E" w14:textId="77777777" w:rsidTr="000C1190">
        <w:tblPrEx>
          <w:tblW w:w="9648" w:type="dxa"/>
          <w:tblLayout w:type="fixed"/>
          <w:tblLook w:val="0000"/>
        </w:tblPrEx>
        <w:tc>
          <w:tcPr>
            <w:tcW w:w="4698" w:type="dxa"/>
          </w:tcPr>
          <w:p w:rsidR="002D7DC1" w:rsidRPr="00254D78" w:rsidP="002D7DC1" w14:paraId="028A6338" w14:textId="77777777">
            <w:pPr>
              <w:ind w:right="-18"/>
              <w:contextualSpacing/>
            </w:pPr>
            <w:r w:rsidRPr="00254D78">
              <w:t xml:space="preserve">In the Matter of    </w:t>
            </w:r>
          </w:p>
          <w:p w:rsidR="002D7DC1" w:rsidRPr="00254D78" w:rsidP="002D7DC1" w14:paraId="120D0648" w14:textId="77777777">
            <w:pPr>
              <w:ind w:right="-18"/>
              <w:contextualSpacing/>
            </w:pPr>
          </w:p>
          <w:p w:rsidR="002D7DC1" w:rsidRPr="00254D78" w:rsidP="002D7DC1" w14:paraId="18B6AEB6" w14:textId="77777777">
            <w:pPr>
              <w:tabs>
                <w:tab w:val="left" w:pos="0"/>
              </w:tabs>
              <w:suppressAutoHyphens/>
              <w:ind w:left="5040" w:hanging="5040"/>
              <w:contextualSpacing/>
              <w:rPr>
                <w:b/>
              </w:rPr>
            </w:pPr>
            <w:r w:rsidRPr="00254D78">
              <w:rPr>
                <w:b/>
              </w:rPr>
              <w:t xml:space="preserve">SHELBY BROADCAST ASSOCIATES, LLC </w:t>
            </w:r>
          </w:p>
          <w:p w:rsidR="002D7DC1" w:rsidRPr="00254D78" w:rsidP="002D7DC1" w14:paraId="3359293A" w14:textId="77777777">
            <w:pPr>
              <w:tabs>
                <w:tab w:val="left" w:pos="0"/>
              </w:tabs>
              <w:suppressAutoHyphens/>
              <w:ind w:left="5040" w:hanging="5040"/>
              <w:contextualSpacing/>
            </w:pPr>
          </w:p>
          <w:p w:rsidR="002D7DC1" w:rsidRPr="00254D78" w:rsidP="002D7DC1" w14:paraId="7E8F56E1" w14:textId="1EC31D12">
            <w:pPr>
              <w:ind w:right="-18"/>
              <w:contextualSpacing/>
              <w:rPr>
                <w:b/>
              </w:rPr>
            </w:pPr>
            <w:r w:rsidRPr="00254D78">
              <w:t>Licensee of Station W252BE</w:t>
            </w:r>
            <w:r w:rsidRPr="00254D78">
              <w:rPr>
                <w:b/>
              </w:rPr>
              <w:t xml:space="preserve"> </w:t>
            </w:r>
          </w:p>
          <w:p w:rsidR="002D7DC1" w:rsidRPr="002007ED" w:rsidP="002D7DC1" w14:paraId="0F0BCF53" w14:textId="5C04FA83">
            <w:pPr>
              <w:ind w:right="-18"/>
              <w:contextualSpacing/>
              <w:rPr>
                <w:b/>
              </w:rPr>
            </w:pPr>
            <w:r w:rsidRPr="00254D78">
              <w:t>Tarrant, Alabama</w:t>
            </w:r>
          </w:p>
        </w:tc>
        <w:tc>
          <w:tcPr>
            <w:tcW w:w="720" w:type="dxa"/>
          </w:tcPr>
          <w:p w:rsidR="002D7DC1" w:rsidRPr="00254D78" w:rsidP="002D7DC1" w14:paraId="460B4855" w14:textId="77777777">
            <w:pPr>
              <w:contextualSpacing/>
              <w:rPr>
                <w:b/>
              </w:rPr>
            </w:pPr>
            <w:r w:rsidRPr="00254D78">
              <w:rPr>
                <w:b/>
              </w:rPr>
              <w:t>)</w:t>
            </w:r>
          </w:p>
          <w:p w:rsidR="002D7DC1" w:rsidRPr="00254D78" w:rsidP="002D7DC1" w14:paraId="39E2CF6D" w14:textId="77777777">
            <w:pPr>
              <w:contextualSpacing/>
              <w:rPr>
                <w:b/>
              </w:rPr>
            </w:pPr>
            <w:r w:rsidRPr="00254D78">
              <w:rPr>
                <w:b/>
              </w:rPr>
              <w:t>)</w:t>
            </w:r>
          </w:p>
          <w:p w:rsidR="002D7DC1" w:rsidRPr="00254D78" w:rsidP="002D7DC1" w14:paraId="4D3C6DAD" w14:textId="77777777">
            <w:pPr>
              <w:contextualSpacing/>
              <w:rPr>
                <w:b/>
              </w:rPr>
            </w:pPr>
            <w:r w:rsidRPr="00254D78">
              <w:rPr>
                <w:b/>
              </w:rPr>
              <w:t>)</w:t>
            </w:r>
          </w:p>
          <w:p w:rsidR="002D7DC1" w:rsidRPr="00254D78" w:rsidP="002D7DC1" w14:paraId="224860F6" w14:textId="77777777">
            <w:pPr>
              <w:contextualSpacing/>
              <w:rPr>
                <w:b/>
              </w:rPr>
            </w:pPr>
            <w:r w:rsidRPr="00254D78">
              <w:rPr>
                <w:b/>
              </w:rPr>
              <w:t>)</w:t>
            </w:r>
          </w:p>
          <w:p w:rsidR="002D7DC1" w:rsidRPr="00254D78" w:rsidP="002D7DC1" w14:paraId="4DBC9269" w14:textId="77777777">
            <w:pPr>
              <w:contextualSpacing/>
              <w:rPr>
                <w:b/>
              </w:rPr>
            </w:pPr>
            <w:r w:rsidRPr="00254D78">
              <w:rPr>
                <w:b/>
              </w:rPr>
              <w:t>)</w:t>
            </w:r>
          </w:p>
          <w:p w:rsidR="002D7DC1" w:rsidRPr="00254D78" w:rsidP="002D7DC1" w14:paraId="5649A634" w14:textId="77777777">
            <w:pPr>
              <w:contextualSpacing/>
              <w:rPr>
                <w:b/>
              </w:rPr>
            </w:pPr>
            <w:r w:rsidRPr="00254D78">
              <w:rPr>
                <w:b/>
              </w:rPr>
              <w:t>)</w:t>
            </w:r>
          </w:p>
          <w:p w:rsidR="002D7DC1" w:rsidRPr="002007ED" w:rsidP="002D7DC1" w14:paraId="7A0214C5" w14:textId="6279ED7C">
            <w:pPr>
              <w:contextualSpacing/>
              <w:rPr>
                <w:b/>
              </w:rPr>
            </w:pPr>
            <w:r w:rsidRPr="00254D78">
              <w:rPr>
                <w:b/>
              </w:rPr>
              <w:t>)</w:t>
            </w:r>
          </w:p>
        </w:tc>
        <w:tc>
          <w:tcPr>
            <w:tcW w:w="4230" w:type="dxa"/>
          </w:tcPr>
          <w:p w:rsidR="002D7DC1" w:rsidRPr="00254D78" w:rsidP="002D7DC1" w14:paraId="490C3C5A" w14:textId="77777777">
            <w:pPr>
              <w:contextualSpacing/>
            </w:pPr>
          </w:p>
          <w:p w:rsidR="002D7DC1" w:rsidRPr="00254D78" w:rsidP="002D7DC1" w14:paraId="0374B269" w14:textId="77777777">
            <w:pPr>
              <w:contextualSpacing/>
            </w:pPr>
            <w:r w:rsidRPr="00254D78">
              <w:t xml:space="preserve">NAL/Acct. No. </w:t>
            </w:r>
            <w:r w:rsidRPr="00B0345A">
              <w:t>MB-202441410005</w:t>
            </w:r>
          </w:p>
          <w:p w:rsidR="002D7DC1" w:rsidRPr="00254D78" w:rsidP="002D7DC1" w14:paraId="2EED1EB7" w14:textId="77777777">
            <w:pPr>
              <w:contextualSpacing/>
            </w:pPr>
            <w:r w:rsidRPr="00254D78">
              <w:t>FRN: 0018897223</w:t>
            </w:r>
          </w:p>
          <w:p w:rsidR="002D7DC1" w:rsidRPr="00254D78" w:rsidP="002D7DC1" w14:paraId="59C031A3" w14:textId="77777777">
            <w:pPr>
              <w:contextualSpacing/>
            </w:pPr>
            <w:r w:rsidRPr="00254D78">
              <w:t>Facility ID No. 141124</w:t>
            </w:r>
          </w:p>
          <w:p w:rsidR="002D7DC1" w:rsidRPr="002007ED" w:rsidP="002D7DC1" w14:paraId="14B83DFA" w14:textId="3D3D2E47">
            <w:pPr>
              <w:contextualSpacing/>
            </w:pPr>
            <w:r w:rsidRPr="00254D78">
              <w:t>File Nos.  0000091616, BALFT-20200608AAG</w:t>
            </w:r>
            <w:r>
              <w:t xml:space="preserve">, </w:t>
            </w:r>
            <w:r w:rsidRPr="006E2D8A">
              <w:t>BLFT-20181016ABE, BSTA-20180720AAR</w:t>
            </w:r>
          </w:p>
        </w:tc>
      </w:tr>
    </w:tbl>
    <w:p w:rsidR="004E240F" w:rsidP="002D7DC1" w14:paraId="26721D25" w14:textId="77777777">
      <w:pPr>
        <w:jc w:val="center"/>
        <w:rPr>
          <w:b/>
        </w:rPr>
      </w:pPr>
    </w:p>
    <w:p w:rsidR="004756DA" w:rsidRPr="002007ED" w:rsidP="002D7DC1" w14:paraId="3B977846" w14:textId="47A52B12">
      <w:pPr>
        <w:jc w:val="center"/>
        <w:rPr>
          <w:b/>
        </w:rPr>
      </w:pPr>
      <w:r>
        <w:rPr>
          <w:b/>
        </w:rPr>
        <w:t xml:space="preserve">FORFEITURE </w:t>
      </w:r>
      <w:r w:rsidRPr="002007ED" w:rsidR="00DB41FF">
        <w:rPr>
          <w:b/>
        </w:rPr>
        <w:t>ORDER</w:t>
      </w:r>
    </w:p>
    <w:p w:rsidR="004756DA" w:rsidRPr="002007ED" w:rsidP="002D7DC1" w14:paraId="3CEDE23B" w14:textId="77777777">
      <w:pPr>
        <w:tabs>
          <w:tab w:val="left" w:pos="5760"/>
        </w:tabs>
      </w:pPr>
    </w:p>
    <w:p w:rsidR="004756DA" w:rsidRPr="002007ED" w:rsidP="002D7DC1" w14:paraId="0D0CD23F" w14:textId="5C542DEE">
      <w:pPr>
        <w:tabs>
          <w:tab w:val="left" w:pos="5760"/>
        </w:tabs>
        <w:rPr>
          <w:b/>
        </w:rPr>
      </w:pPr>
      <w:r w:rsidRPr="002007ED">
        <w:rPr>
          <w:b/>
        </w:rPr>
        <w:t xml:space="preserve">Adopted:  </w:t>
      </w:r>
      <w:r w:rsidR="00E83A91">
        <w:rPr>
          <w:b/>
        </w:rPr>
        <w:t>April 11, 2024</w:t>
      </w:r>
      <w:r w:rsidRPr="002007ED">
        <w:rPr>
          <w:b/>
        </w:rPr>
        <w:tab/>
      </w:r>
      <w:r w:rsidR="007D3800">
        <w:rPr>
          <w:b/>
        </w:rPr>
        <w:tab/>
      </w:r>
      <w:r w:rsidRPr="002007ED">
        <w:rPr>
          <w:b/>
        </w:rPr>
        <w:t xml:space="preserve">Released:  </w:t>
      </w:r>
      <w:r w:rsidR="00E83A91">
        <w:rPr>
          <w:b/>
        </w:rPr>
        <w:t>April 11,</w:t>
      </w:r>
      <w:r w:rsidR="007D3800">
        <w:rPr>
          <w:b/>
        </w:rPr>
        <w:t xml:space="preserve"> 202</w:t>
      </w:r>
      <w:r w:rsidR="004E240F">
        <w:rPr>
          <w:b/>
        </w:rPr>
        <w:t>4</w:t>
      </w:r>
    </w:p>
    <w:p w:rsidR="004756DA" w:rsidRPr="002007ED" w:rsidP="00EA1E1F" w14:paraId="3FEA6213" w14:textId="77777777">
      <w:pPr>
        <w:tabs>
          <w:tab w:val="left" w:pos="5760"/>
        </w:tabs>
        <w:rPr>
          <w:b/>
        </w:rPr>
      </w:pPr>
    </w:p>
    <w:p w:rsidR="004756DA" w:rsidRPr="002007ED" w:rsidP="00EA1E1F" w14:paraId="1DC14CAB" w14:textId="77777777">
      <w:pPr>
        <w:tabs>
          <w:tab w:val="left" w:pos="5760"/>
        </w:tabs>
        <w:rPr>
          <w:spacing w:val="-2"/>
        </w:rPr>
      </w:pPr>
      <w:r w:rsidRPr="002007ED">
        <w:t xml:space="preserve">By the Chief, </w:t>
      </w:r>
      <w:r w:rsidRPr="002007ED" w:rsidR="00475AB4">
        <w:t>Audio Division</w:t>
      </w:r>
      <w:r w:rsidRPr="002007ED" w:rsidR="00BF70C1">
        <w:t>, Media Bureau</w:t>
      </w:r>
      <w:r w:rsidRPr="002007ED">
        <w:rPr>
          <w:spacing w:val="-2"/>
        </w:rPr>
        <w:t>:</w:t>
      </w:r>
    </w:p>
    <w:p w:rsidR="007415F1" w:rsidP="00EA1E1F" w14:paraId="1BA706D4" w14:textId="77777777">
      <w:pPr>
        <w:tabs>
          <w:tab w:val="left" w:pos="1080"/>
          <w:tab w:val="left" w:pos="5760"/>
        </w:tabs>
        <w:rPr>
          <w:spacing w:val="-2"/>
        </w:rPr>
      </w:pPr>
    </w:p>
    <w:p w:rsidR="00D925F9" w:rsidRPr="002007ED" w:rsidP="00EA1E1F" w14:paraId="11852796" w14:textId="77777777">
      <w:pPr>
        <w:tabs>
          <w:tab w:val="left" w:pos="1080"/>
          <w:tab w:val="left" w:pos="5760"/>
        </w:tabs>
        <w:rPr>
          <w:spacing w:val="-2"/>
        </w:rPr>
      </w:pPr>
    </w:p>
    <w:p w:rsidR="005F3236" w:rsidRPr="002007ED" w:rsidP="005F3236" w14:paraId="71BDAA29" w14:textId="77777777">
      <w:pPr>
        <w:pStyle w:val="Heading1"/>
        <w:rPr>
          <w:rFonts w:ascii="Times New Roman" w:hAnsi="Times New Roman"/>
        </w:rPr>
      </w:pPr>
      <w:r w:rsidRPr="002007ED">
        <w:rPr>
          <w:rFonts w:ascii="Times New Roman" w:hAnsi="Times New Roman"/>
        </w:rPr>
        <w:t>introduction</w:t>
      </w:r>
    </w:p>
    <w:p w:rsidR="003A22F6" w:rsidP="002B2B8E" w14:paraId="1435DB1C" w14:textId="3DCD4C4D">
      <w:pPr>
        <w:pStyle w:val="ParaNum"/>
      </w:pPr>
      <w:r>
        <w:t xml:space="preserve">In this </w:t>
      </w:r>
      <w:r>
        <w:rPr>
          <w:i/>
          <w:iCs/>
        </w:rPr>
        <w:t>Forfeiture Order</w:t>
      </w:r>
      <w:r>
        <w:t xml:space="preserve">, we </w:t>
      </w:r>
      <w:r w:rsidR="00880EB8">
        <w:t xml:space="preserve">affirm our </w:t>
      </w:r>
      <w:r w:rsidRPr="00DE5208" w:rsidR="00880EB8">
        <w:rPr>
          <w:i/>
          <w:iCs/>
        </w:rPr>
        <w:t xml:space="preserve">Memorandum Opinion and Order and Notice of Apparent Liability for Forfeiture </w:t>
      </w:r>
      <w:r w:rsidRPr="00F9169F" w:rsidR="00880EB8">
        <w:t>(</w:t>
      </w:r>
      <w:r w:rsidRPr="00DE5208" w:rsidR="00880EB8">
        <w:rPr>
          <w:i/>
          <w:iCs/>
        </w:rPr>
        <w:t>NAL</w:t>
      </w:r>
      <w:r w:rsidRPr="00F9169F" w:rsidR="00880EB8">
        <w:t>)</w:t>
      </w:r>
      <w:r>
        <w:rPr>
          <w:rStyle w:val="FootnoteReference"/>
        </w:rPr>
        <w:footnoteReference w:id="2"/>
      </w:r>
      <w:r w:rsidR="00880EB8">
        <w:t xml:space="preserve"> and </w:t>
      </w:r>
      <w:r>
        <w:t xml:space="preserve">issue a monetary forfeiture in the amount of </w:t>
      </w:r>
      <w:r w:rsidR="00457D9A">
        <w:t>sixteen</w:t>
      </w:r>
      <w:r w:rsidR="00DF778B">
        <w:t xml:space="preserve"> thousand </w:t>
      </w:r>
      <w:r w:rsidR="009A1545">
        <w:t>five</w:t>
      </w:r>
      <w:r w:rsidR="00DF778B">
        <w:t xml:space="preserve"> hundred </w:t>
      </w:r>
      <w:r>
        <w:t>dollars ($</w:t>
      </w:r>
      <w:r w:rsidR="000717E9">
        <w:t>1</w:t>
      </w:r>
      <w:r w:rsidR="00457D9A">
        <w:t>6</w:t>
      </w:r>
      <w:r w:rsidR="000717E9">
        <w:t>,</w:t>
      </w:r>
      <w:r w:rsidR="00DF778B">
        <w:t>5</w:t>
      </w:r>
      <w:r w:rsidR="009A1545">
        <w:t>00</w:t>
      </w:r>
      <w:r>
        <w:t xml:space="preserve">) to </w:t>
      </w:r>
      <w:r w:rsidRPr="00237004" w:rsidR="00457D9A">
        <w:t>Shelby Broadcast Associates, LLC</w:t>
      </w:r>
      <w:r w:rsidR="00154A33">
        <w:t xml:space="preserve">, </w:t>
      </w:r>
      <w:r>
        <w:t xml:space="preserve">(Licensee), licensee of FM </w:t>
      </w:r>
      <w:r w:rsidR="00C60A24">
        <w:t>t</w:t>
      </w:r>
      <w:r>
        <w:t xml:space="preserve">ranslator </w:t>
      </w:r>
      <w:r w:rsidR="00C60A24">
        <w:t>s</w:t>
      </w:r>
      <w:r>
        <w:t xml:space="preserve">tation </w:t>
      </w:r>
      <w:r w:rsidR="00B73390">
        <w:t>W252BE</w:t>
      </w:r>
      <w:r w:rsidR="00616B55">
        <w:t xml:space="preserve">, </w:t>
      </w:r>
      <w:r w:rsidR="00B73390">
        <w:t>Tarrant, Alabama</w:t>
      </w:r>
      <w:r w:rsidRPr="00DB10EE" w:rsidR="00616B55">
        <w:t xml:space="preserve"> </w:t>
      </w:r>
      <w:r>
        <w:t xml:space="preserve">(Station), for </w:t>
      </w:r>
      <w:r w:rsidRPr="00254D78" w:rsidR="00D24A39">
        <w:t xml:space="preserve">willfully and repeatedly </w:t>
      </w:r>
      <w:r w:rsidR="00D24A39">
        <w:t>operating</w:t>
      </w:r>
      <w:r w:rsidRPr="00254D78" w:rsidR="00D24A39">
        <w:t xml:space="preserve"> the Station at variance from its license without Commission authorization</w:t>
      </w:r>
      <w:r w:rsidR="00D24A39">
        <w:t>,</w:t>
      </w:r>
      <w:r w:rsidRPr="00254D78" w:rsidR="00D24A39">
        <w:t xml:space="preserve"> in violation of section 301 of the </w:t>
      </w:r>
      <w:r w:rsidR="00D24A39">
        <w:t xml:space="preserve">Communications </w:t>
      </w:r>
      <w:r w:rsidRPr="00254D78" w:rsidR="00D24A39">
        <w:t>Act</w:t>
      </w:r>
      <w:r w:rsidR="00D24A39">
        <w:t xml:space="preserve"> of </w:t>
      </w:r>
      <w:r w:rsidR="00BC61C8">
        <w:t>1934, as amended (Act)</w:t>
      </w:r>
      <w:r>
        <w:rPr>
          <w:rStyle w:val="FootnoteReference"/>
        </w:rPr>
        <w:footnoteReference w:id="3"/>
      </w:r>
      <w:r w:rsidRPr="00254D78" w:rsidR="00D24A39">
        <w:t xml:space="preserve"> and section 73.1745(a)</w:t>
      </w:r>
      <w:r>
        <w:rPr>
          <w:rStyle w:val="FootnoteReference"/>
        </w:rPr>
        <w:footnoteReference w:id="4"/>
      </w:r>
      <w:r w:rsidRPr="00254D78" w:rsidR="00D24A39">
        <w:t xml:space="preserve"> of the </w:t>
      </w:r>
      <w:r w:rsidR="00BC61C8">
        <w:t>Commission’s rules (</w:t>
      </w:r>
      <w:r w:rsidRPr="00254D78" w:rsidR="00D24A39">
        <w:t>Rules</w:t>
      </w:r>
      <w:r w:rsidR="00BC61C8">
        <w:t>)</w:t>
      </w:r>
      <w:r w:rsidR="00D24A39">
        <w:t>,</w:t>
      </w:r>
      <w:r w:rsidRPr="00254D78" w:rsidR="00D24A39">
        <w:t xml:space="preserve"> willfully </w:t>
      </w:r>
      <w:r w:rsidR="003C3F10">
        <w:t>failing</w:t>
      </w:r>
      <w:r w:rsidRPr="00254D78" w:rsidR="00D24A39">
        <w:t xml:space="preserve"> to timely file for special temporary authorization </w:t>
      </w:r>
      <w:r w:rsidR="00D24A39">
        <w:t xml:space="preserve">(STA) </w:t>
      </w:r>
      <w:r w:rsidRPr="00254D78" w:rsidR="00D24A39">
        <w:t>to operate with its nonconforming technical facilities in violation of section 73.1635(a)(1)</w:t>
      </w:r>
      <w:r>
        <w:rPr>
          <w:rStyle w:val="FootnoteReference"/>
        </w:rPr>
        <w:footnoteReference w:id="5"/>
      </w:r>
      <w:r w:rsidRPr="00254D78" w:rsidR="00D24A39">
        <w:t xml:space="preserve"> of the Rules</w:t>
      </w:r>
      <w:r w:rsidR="00D24A39">
        <w:t>,</w:t>
      </w:r>
      <w:r w:rsidRPr="00254D78" w:rsidR="00D24A39">
        <w:t xml:space="preserve"> and willfully </w:t>
      </w:r>
      <w:r w:rsidR="003C3F10">
        <w:t>failing</w:t>
      </w:r>
      <w:r w:rsidRPr="00254D78" w:rsidR="00D24A39">
        <w:t xml:space="preserve"> to disclose material information regarding </w:t>
      </w:r>
      <w:r w:rsidR="00D24A39">
        <w:t>such</w:t>
      </w:r>
      <w:r w:rsidRPr="00254D78" w:rsidR="00D24A39">
        <w:t xml:space="preserve"> unauthorized operation</w:t>
      </w:r>
      <w:r w:rsidR="00D24A39">
        <w:t>,</w:t>
      </w:r>
      <w:r w:rsidRPr="00254D78" w:rsidR="00D24A39">
        <w:t xml:space="preserve"> in violation of section 1.17 of the Rules</w:t>
      </w:r>
      <w:r w:rsidR="003C3F10">
        <w:t xml:space="preserve"> </w:t>
      </w:r>
      <w:r>
        <w:t xml:space="preserve">by failing to </w:t>
      </w:r>
      <w:r w:rsidR="00880EB8">
        <w:t>disclose material information regarding such unauthorized operations</w:t>
      </w:r>
      <w:r>
        <w:t xml:space="preserve"> for the Station.</w:t>
      </w:r>
      <w:r>
        <w:rPr>
          <w:rStyle w:val="FootnoteReference"/>
        </w:rPr>
        <w:footnoteReference w:id="6"/>
      </w:r>
      <w:r>
        <w:t xml:space="preserve">  </w:t>
      </w:r>
    </w:p>
    <w:p w:rsidR="005F3236" w:rsidRPr="002007ED" w:rsidP="005F3236" w14:paraId="71239085" w14:textId="77777777">
      <w:pPr>
        <w:pStyle w:val="Heading1"/>
        <w:rPr>
          <w:rFonts w:ascii="Times New Roman" w:hAnsi="Times New Roman"/>
        </w:rPr>
      </w:pPr>
      <w:r w:rsidRPr="002007ED">
        <w:rPr>
          <w:rFonts w:ascii="Times New Roman" w:hAnsi="Times New Roman"/>
        </w:rPr>
        <w:t>background</w:t>
      </w:r>
    </w:p>
    <w:p w:rsidR="00DE5208" w:rsidP="002B2B8E" w14:paraId="3ED3C2E1" w14:textId="17EB7451">
      <w:pPr>
        <w:pStyle w:val="ParaNum"/>
      </w:pPr>
      <w:r w:rsidRPr="00254D78">
        <w:t>Section 301 of the Act and section 73.1350 of the Rules prohibit the operation of a broadcast station except under, and in accordance with, a Commission-granted authorization.</w:t>
      </w:r>
      <w:r>
        <w:rPr>
          <w:rStyle w:val="FootnoteReference"/>
        </w:rPr>
        <w:footnoteReference w:id="7"/>
      </w:r>
      <w:r w:rsidRPr="00254D78">
        <w:t xml:space="preserve">  Section 73.1745(a)</w:t>
      </w:r>
      <w:r>
        <w:rPr>
          <w:rStyle w:val="FootnoteReference"/>
        </w:rPr>
        <w:footnoteReference w:id="8"/>
      </w:r>
      <w:r w:rsidRPr="00254D78">
        <w:t xml:space="preserve"> further prohibits the operation of a broadcast station at variance from the terms of the Station’s authorization.  Pursuant to section </w:t>
      </w:r>
      <w:r w:rsidRPr="00AD39EA">
        <w:t>73.1635</w:t>
      </w:r>
      <w:r w:rsidRPr="00254D78">
        <w:t>, a licensee may request special temporary authority to operate for a limited time at variance from the terms of its authorization.</w:t>
      </w:r>
      <w:r>
        <w:rPr>
          <w:rStyle w:val="FootnoteReference"/>
        </w:rPr>
        <w:footnoteReference w:id="9"/>
      </w:r>
      <w:r w:rsidRPr="00254D78">
        <w:t xml:space="preserve">  However, the licensee must </w:t>
      </w:r>
      <w:r w:rsidRPr="00254D78">
        <w:t>request STA ten days prior to beginning operation at variance from the terms of its authorization.</w:t>
      </w:r>
      <w:r>
        <w:rPr>
          <w:rStyle w:val="FootnoteReference"/>
        </w:rPr>
        <w:footnoteReference w:id="10"/>
      </w:r>
      <w:r w:rsidRPr="002007ED" w:rsidR="00F41036">
        <w:t xml:space="preserve"> </w:t>
      </w:r>
      <w:r w:rsidR="00D11A8F">
        <w:t xml:space="preserve"> </w:t>
      </w:r>
      <w:r w:rsidRPr="00254D78" w:rsidR="00D11A8F">
        <w:t xml:space="preserve">We </w:t>
      </w:r>
      <w:r w:rsidR="00D11A8F">
        <w:t>found</w:t>
      </w:r>
      <w:r w:rsidRPr="00254D78" w:rsidR="00D11A8F">
        <w:t xml:space="preserve"> that the Station </w:t>
      </w:r>
      <w:r w:rsidRPr="00254D78" w:rsidR="0006322E">
        <w:t xml:space="preserve">suffered damage, adjusted its parameters, and applied for </w:t>
      </w:r>
      <w:r w:rsidR="0006322E">
        <w:t xml:space="preserve">STA in 2015, then subsequently </w:t>
      </w:r>
      <w:r w:rsidR="00D11A8F">
        <w:t>operate</w:t>
      </w:r>
      <w:r w:rsidR="00B04561">
        <w:t xml:space="preserve">d </w:t>
      </w:r>
      <w:r w:rsidR="0006322E">
        <w:t>without authorization, at</w:t>
      </w:r>
      <w:r w:rsidR="00D11A8F">
        <w:t xml:space="preserve"> parameters at variance from its authorization,</w:t>
      </w:r>
      <w:r w:rsidRPr="00254D78" w:rsidR="00D11A8F">
        <w:t xml:space="preserve"> since </w:t>
      </w:r>
      <w:r w:rsidRPr="00254D78" w:rsidR="00422836">
        <w:t>November 19, 2016</w:t>
      </w:r>
      <w:r w:rsidR="00422836">
        <w:t xml:space="preserve">, when an STA extension </w:t>
      </w:r>
      <w:r w:rsidR="00E50D6F">
        <w:t>expired</w:t>
      </w:r>
      <w:r w:rsidRPr="00254D78" w:rsidR="00D11A8F">
        <w:t xml:space="preserve">.  </w:t>
      </w:r>
      <w:r w:rsidR="00723CB7">
        <w:t>Licensee</w:t>
      </w:r>
      <w:r w:rsidR="00D11A8F">
        <w:t xml:space="preserve"> </w:t>
      </w:r>
      <w:r w:rsidRPr="00254D78" w:rsidR="00D11A8F">
        <w:t xml:space="preserve">continued operating </w:t>
      </w:r>
      <w:r w:rsidR="00DD11B8">
        <w:t xml:space="preserve">the Station </w:t>
      </w:r>
      <w:r w:rsidRPr="00254D78" w:rsidR="00D11A8F">
        <w:t>at variance from its license</w:t>
      </w:r>
      <w:r w:rsidR="00D11A8F">
        <w:t>, without authorization,</w:t>
      </w:r>
      <w:r w:rsidRPr="00254D78" w:rsidR="00D11A8F">
        <w:t xml:space="preserve"> and made no attempt to address this issue until July 19, 2018</w:t>
      </w:r>
      <w:r w:rsidR="00F24411">
        <w:t xml:space="preserve">.  </w:t>
      </w:r>
    </w:p>
    <w:p w:rsidR="00DE5208" w:rsidP="002B2B8E" w14:paraId="5CDDBB71" w14:textId="39945C20">
      <w:pPr>
        <w:pStyle w:val="ParaNum"/>
      </w:pPr>
      <w:r w:rsidRPr="000B67CE">
        <w:t>Section 1.17(a</w:t>
      </w:r>
      <w:r>
        <w:t>)</w:t>
      </w:r>
      <w:r w:rsidRPr="000B67CE">
        <w:t xml:space="preserve">(2) of the </w:t>
      </w:r>
      <w:r>
        <w:t>Rules</w:t>
      </w:r>
      <w:r w:rsidRPr="000B67CE">
        <w:t xml:space="preserve"> provides that no person may provide, in any written statement of fact, “material factual information that is incorrect or omit material information that is necessary to prevent any material </w:t>
      </w:r>
      <w:r w:rsidRPr="009827A6">
        <w:t>factual statement that is made from being incorrect or misleading without a reasonable basis for believing that any such material factual statement is correct and not misleading.”</w:t>
      </w:r>
      <w:r>
        <w:rPr>
          <w:rStyle w:val="FootnoteReference"/>
        </w:rPr>
        <w:footnoteReference w:id="11"/>
      </w:r>
      <w:r w:rsidRPr="000B67CE">
        <w:t xml:space="preserve"> </w:t>
      </w:r>
      <w:r>
        <w:t xml:space="preserve"> </w:t>
      </w:r>
      <w:r w:rsidRPr="000B67CE">
        <w:t xml:space="preserve">Even absent an intent to deceive, a false statement may constitute an actionable violation of </w:t>
      </w:r>
      <w:r>
        <w:t>s</w:t>
      </w:r>
      <w:r w:rsidRPr="000B67CE">
        <w:t>ection 1.17(a</w:t>
      </w:r>
      <w:r>
        <w:t>)</w:t>
      </w:r>
      <w:r w:rsidRPr="000B67CE">
        <w:t xml:space="preserve">(2) if it is </w:t>
      </w:r>
      <w:r>
        <w:t>submitted</w:t>
      </w:r>
      <w:r w:rsidRPr="000B67CE">
        <w:t xml:space="preserve"> without a reasonable basis for believing that the statement is correct and not misleading.</w:t>
      </w:r>
      <w:r>
        <w:rPr>
          <w:rStyle w:val="FootnoteReference"/>
        </w:rPr>
        <w:footnoteReference w:id="12"/>
      </w:r>
      <w:r w:rsidRPr="0090002D">
        <w:t xml:space="preserve">  </w:t>
      </w:r>
      <w:r>
        <w:t xml:space="preserve">We also found that Licensee </w:t>
      </w:r>
      <w:r w:rsidR="00110A6E">
        <w:t>lacked a reasonable basis for certif</w:t>
      </w:r>
      <w:r w:rsidR="0096263D">
        <w:t>ying in</w:t>
      </w:r>
      <w:r w:rsidR="00110A6E">
        <w:t xml:space="preserve"> the Renewal Application</w:t>
      </w:r>
      <w:r>
        <w:rPr>
          <w:rStyle w:val="FootnoteReference"/>
        </w:rPr>
        <w:footnoteReference w:id="13"/>
      </w:r>
      <w:r w:rsidR="00110A6E">
        <w:t xml:space="preserve"> that the</w:t>
      </w:r>
      <w:r w:rsidR="00BF333A">
        <w:t xml:space="preserve">re had been no violations by the licensee </w:t>
      </w:r>
      <w:r w:rsidR="0096263D">
        <w:t>of the Act or the Rules</w:t>
      </w:r>
      <w:r w:rsidR="00BA123A">
        <w:t>,</w:t>
      </w:r>
      <w:r w:rsidR="00274CF3">
        <w:t xml:space="preserve"> because the</w:t>
      </w:r>
      <w:r w:rsidR="00110A6E">
        <w:t xml:space="preserve"> Station </w:t>
      </w:r>
      <w:r w:rsidR="003629B8">
        <w:t xml:space="preserve">had </w:t>
      </w:r>
      <w:r w:rsidR="00110A6E">
        <w:t>operat</w:t>
      </w:r>
      <w:r w:rsidR="003629B8">
        <w:t>ed</w:t>
      </w:r>
      <w:r w:rsidR="00110A6E">
        <w:t xml:space="preserve"> with an incorrect antenna height.</w:t>
      </w:r>
    </w:p>
    <w:p w:rsidR="00C8095E" w:rsidRPr="0044778D" w:rsidP="002B2B8E" w14:paraId="7E706043" w14:textId="1C54DEBA">
      <w:pPr>
        <w:pStyle w:val="ParaNum"/>
      </w:pPr>
      <w:r w:rsidRPr="002007ED">
        <w:t xml:space="preserve">Accordingly, on </w:t>
      </w:r>
      <w:r w:rsidR="006C2C47">
        <w:t>January 17, 2024</w:t>
      </w:r>
      <w:r w:rsidRPr="002007ED">
        <w:t>, we release</w:t>
      </w:r>
      <w:r w:rsidRPr="002007ED" w:rsidR="002D6CCE">
        <w:t xml:space="preserve">d the </w:t>
      </w:r>
      <w:r w:rsidRPr="00DE5208" w:rsidR="002D6CCE">
        <w:rPr>
          <w:i/>
          <w:iCs/>
        </w:rPr>
        <w:t>NAL</w:t>
      </w:r>
      <w:r w:rsidRPr="002007ED" w:rsidR="002D6CCE">
        <w:t xml:space="preserve">, which </w:t>
      </w:r>
      <w:r w:rsidRPr="002007ED">
        <w:t xml:space="preserve">proposed a forfeiture of </w:t>
      </w:r>
      <w:r w:rsidR="006C2C47">
        <w:t>sixteen</w:t>
      </w:r>
      <w:r w:rsidR="003A22F6">
        <w:t xml:space="preserve"> thousand five hundred </w:t>
      </w:r>
      <w:r w:rsidRPr="002007ED">
        <w:t>dollars ($</w:t>
      </w:r>
      <w:r w:rsidR="003A22F6">
        <w:t>1</w:t>
      </w:r>
      <w:r w:rsidR="006C2C47">
        <w:t>6</w:t>
      </w:r>
      <w:r w:rsidR="003A22F6">
        <w:t>,5</w:t>
      </w:r>
      <w:r w:rsidRPr="002007ED">
        <w:t>00).</w:t>
      </w:r>
      <w:r>
        <w:rPr>
          <w:rStyle w:val="FootnoteReference"/>
        </w:rPr>
        <w:footnoteReference w:id="14"/>
      </w:r>
      <w:r w:rsidRPr="002007ED">
        <w:t xml:space="preserve">  </w:t>
      </w:r>
      <w:r w:rsidR="00D13C33">
        <w:t xml:space="preserve">As noted in the </w:t>
      </w:r>
      <w:r w:rsidRPr="00DE5208" w:rsidR="00D13C33">
        <w:rPr>
          <w:i/>
          <w:iCs/>
        </w:rPr>
        <w:t xml:space="preserve">NAL, </w:t>
      </w:r>
      <w:r w:rsidRPr="00DE5208" w:rsidR="00D13C33">
        <w:rPr>
          <w:rFonts w:ascii="TimesNewRomanPSMT" w:hAnsi="TimesNewRomanPSMT" w:cs="TimesNewRomanPSMT"/>
          <w:kern w:val="0"/>
        </w:rPr>
        <w:t xml:space="preserve">the Commission's </w:t>
      </w:r>
      <w:r w:rsidRPr="00DE5208" w:rsidR="00D13C33">
        <w:rPr>
          <w:rFonts w:ascii="TimesNewRomanPS-ItalicMT" w:hAnsi="TimesNewRomanPS-ItalicMT" w:cs="TimesNewRomanPS-ItalicMT"/>
          <w:i/>
          <w:iCs/>
          <w:kern w:val="0"/>
        </w:rPr>
        <w:t xml:space="preserve">Forfeiture Policy Statement </w:t>
      </w:r>
      <w:r w:rsidRPr="00DE5208" w:rsidR="00D13C33">
        <w:rPr>
          <w:rFonts w:ascii="TimesNewRomanPSMT" w:hAnsi="TimesNewRomanPSMT" w:cs="TimesNewRomanPSMT"/>
          <w:kern w:val="0"/>
        </w:rPr>
        <w:t>and section 1.80(b)(1</w:t>
      </w:r>
      <w:r w:rsidR="00011592">
        <w:rPr>
          <w:rFonts w:ascii="TimesNewRomanPSMT" w:hAnsi="TimesNewRomanPSMT" w:cs="TimesNewRomanPSMT"/>
          <w:kern w:val="0"/>
        </w:rPr>
        <w:t>1</w:t>
      </w:r>
      <w:r w:rsidRPr="00DE5208" w:rsidR="00D13C33">
        <w:rPr>
          <w:rFonts w:ascii="TimesNewRomanPSMT" w:hAnsi="TimesNewRomanPSMT" w:cs="TimesNewRomanPSMT"/>
          <w:kern w:val="0"/>
        </w:rPr>
        <w:t xml:space="preserve">) </w:t>
      </w:r>
      <w:r w:rsidR="009B570F">
        <w:rPr>
          <w:rFonts w:ascii="TimesNewRomanPSMT" w:hAnsi="TimesNewRomanPSMT" w:cs="TimesNewRomanPSMT"/>
          <w:kern w:val="0"/>
        </w:rPr>
        <w:t xml:space="preserve">of the </w:t>
      </w:r>
      <w:r w:rsidRPr="00254D78" w:rsidR="009B570F">
        <w:t>Rules establish a base forfeiture amount of $10,000 for operation without an instrument of authorization for the service</w:t>
      </w:r>
      <w:r w:rsidR="009B570F">
        <w:t>,</w:t>
      </w:r>
      <w:r w:rsidRPr="00254D78" w:rsidR="009B570F">
        <w:t xml:space="preserve"> and $3,000 for failure to file a required form</w:t>
      </w:r>
      <w:r w:rsidR="009B570F">
        <w:t xml:space="preserve"> or information</w:t>
      </w:r>
      <w:r w:rsidRPr="00632FB4" w:rsidR="009B570F">
        <w:rPr>
          <w:bCs/>
        </w:rPr>
        <w:t>.</w:t>
      </w:r>
      <w:r>
        <w:rPr>
          <w:rStyle w:val="FootnoteReference"/>
          <w:rFonts w:cs="TimesNewRomanPSMT"/>
          <w:kern w:val="0"/>
        </w:rPr>
        <w:footnoteReference w:id="15"/>
      </w:r>
      <w:r w:rsidRPr="00DE5208" w:rsidR="00D13C33">
        <w:rPr>
          <w:rFonts w:ascii="TimesNewRomanPSMT" w:hAnsi="TimesNewRomanPSMT" w:cs="TimesNewRomanPSMT"/>
          <w:kern w:val="0"/>
        </w:rPr>
        <w:t xml:space="preserve">  </w:t>
      </w:r>
      <w:r w:rsidR="00C76ED2">
        <w:t>Tak</w:t>
      </w:r>
      <w:r w:rsidRPr="0077360A" w:rsidR="00C76ED2">
        <w:t xml:space="preserve">ing into consideration all of the factors required by section 503(b)(2)(E) of the Act and the </w:t>
      </w:r>
      <w:r w:rsidRPr="0077360A" w:rsidR="00C76ED2">
        <w:rPr>
          <w:i/>
          <w:iCs/>
        </w:rPr>
        <w:t>Forfeiture Policy Statement</w:t>
      </w:r>
      <w:r w:rsidRPr="0077360A" w:rsidR="00C76ED2">
        <w:t xml:space="preserve">, </w:t>
      </w:r>
      <w:r w:rsidRPr="0077360A" w:rsidR="0061211B">
        <w:t xml:space="preserve">we </w:t>
      </w:r>
      <w:r w:rsidRPr="0077360A" w:rsidR="00C76ED2">
        <w:rPr>
          <w:rStyle w:val="normaltextrun"/>
        </w:rPr>
        <w:t>reduced the forfeiture for these apparent violations from the base amount of $10,000 for unauthorized service to $5,000, and from $3,000 for the late-filed STA applications, to $1,500 because, as a translator station, the Station is providing a secondary service.</w:t>
      </w:r>
      <w:r>
        <w:rPr>
          <w:rStyle w:val="FootnoteReference"/>
        </w:rPr>
        <w:footnoteReference w:id="16"/>
      </w:r>
      <w:r w:rsidRPr="0077360A" w:rsidR="00C76ED2">
        <w:rPr>
          <w:rStyle w:val="normaltextrun"/>
        </w:rPr>
        <w:t xml:space="preserve">  Finally, b</w:t>
      </w:r>
      <w:r w:rsidRPr="0077360A" w:rsidR="00C76ED2">
        <w:t>ased on the gravity</w:t>
      </w:r>
      <w:r w:rsidR="00C76ED2">
        <w:t xml:space="preserve"> of the section 1.17(a)(2) violations, and </w:t>
      </w:r>
      <w:r w:rsidR="00723CB7">
        <w:t>Licensee’s</w:t>
      </w:r>
      <w:r w:rsidR="00C76ED2">
        <w:t xml:space="preserve"> history or prior offenses, we propose</w:t>
      </w:r>
      <w:r w:rsidR="0077360A">
        <w:t>d</w:t>
      </w:r>
      <w:r w:rsidR="00C76ED2">
        <w:t xml:space="preserve"> a forfeiture amount of $10,000 for submitting false certifications in its Renewal Application.</w:t>
      </w:r>
      <w:r>
        <w:rPr>
          <w:rStyle w:val="FootnoteReference"/>
        </w:rPr>
        <w:footnoteReference w:id="17"/>
      </w:r>
      <w:r w:rsidR="002B31DB">
        <w:t xml:space="preserve">  </w:t>
      </w:r>
      <w:r w:rsidRPr="002007ED">
        <w:t xml:space="preserve">The </w:t>
      </w:r>
      <w:r w:rsidRPr="00DE5208">
        <w:rPr>
          <w:i/>
        </w:rPr>
        <w:t>NAL</w:t>
      </w:r>
      <w:r w:rsidRPr="002007ED">
        <w:t xml:space="preserve"> gave the Licensee thirty days to pay the full amount of the proposed forfeiture, or </w:t>
      </w:r>
      <w:r w:rsidRPr="002007ED">
        <w:t xml:space="preserve">file a </w:t>
      </w:r>
      <w:r w:rsidRPr="0044778D">
        <w:t>written statement seeking reduction or cancellation of the proposed forfeiture.</w:t>
      </w:r>
      <w:r>
        <w:rPr>
          <w:rStyle w:val="FootnoteReference"/>
          <w:sz w:val="22"/>
        </w:rPr>
        <w:footnoteReference w:id="18"/>
      </w:r>
      <w:r w:rsidRPr="0044778D">
        <w:t xml:space="preserve">  </w:t>
      </w:r>
    </w:p>
    <w:p w:rsidR="00B92DA0" w:rsidP="002B2B8E" w14:paraId="79430764" w14:textId="4E7E2BF5">
      <w:pPr>
        <w:pStyle w:val="ParaNum"/>
      </w:pPr>
      <w:r w:rsidRPr="00397006">
        <w:t xml:space="preserve">On </w:t>
      </w:r>
      <w:r w:rsidR="00A30514">
        <w:t>February 16</w:t>
      </w:r>
      <w:r w:rsidR="005F3DAD">
        <w:t>, 2024</w:t>
      </w:r>
      <w:r w:rsidRPr="00397006">
        <w:t>,</w:t>
      </w:r>
      <w:r w:rsidRPr="00397006" w:rsidR="00DB41FF">
        <w:t xml:space="preserve"> </w:t>
      </w:r>
      <w:r w:rsidRPr="002007ED" w:rsidR="00DD5187">
        <w:t xml:space="preserve">the Licensee submitted a </w:t>
      </w:r>
      <w:r w:rsidR="00922B08">
        <w:t xml:space="preserve">written response to the </w:t>
      </w:r>
      <w:r w:rsidR="00922B08">
        <w:rPr>
          <w:i/>
          <w:iCs/>
        </w:rPr>
        <w:t xml:space="preserve">NAL </w:t>
      </w:r>
      <w:r w:rsidRPr="002007ED" w:rsidR="00DD5187">
        <w:t>in which it d</w:t>
      </w:r>
      <w:r w:rsidR="00DD5187">
        <w:t>oes</w:t>
      </w:r>
      <w:r w:rsidRPr="002007ED" w:rsidR="00DD5187">
        <w:t xml:space="preserve"> not dispute that it violated </w:t>
      </w:r>
      <w:r w:rsidR="005069A4">
        <w:t>s</w:t>
      </w:r>
      <w:r w:rsidRPr="00254D78" w:rsidR="005069A4">
        <w:t xml:space="preserve">ection 301 of the Act and </w:t>
      </w:r>
      <w:r w:rsidR="005069A4">
        <w:t>s</w:t>
      </w:r>
      <w:r w:rsidRPr="00254D78" w:rsidR="005069A4">
        <w:t xml:space="preserve">ections 73.1745(a), </w:t>
      </w:r>
      <w:r w:rsidRPr="00725BF0" w:rsidR="005069A4">
        <w:t>73.1635</w:t>
      </w:r>
      <w:r w:rsidRPr="00254D78" w:rsidR="005069A4">
        <w:t xml:space="preserve">, </w:t>
      </w:r>
      <w:r w:rsidR="005069A4">
        <w:t xml:space="preserve">and </w:t>
      </w:r>
      <w:r w:rsidRPr="00254D78" w:rsidR="005069A4">
        <w:t>1.17</w:t>
      </w:r>
      <w:r w:rsidR="005069A4">
        <w:t xml:space="preserve">(a)(2) </w:t>
      </w:r>
      <w:r w:rsidRPr="00254D78" w:rsidR="005069A4">
        <w:t xml:space="preserve">of the </w:t>
      </w:r>
      <w:r w:rsidR="005069A4">
        <w:t xml:space="preserve">Rules, </w:t>
      </w:r>
      <w:r w:rsidRPr="002007ED" w:rsidR="00DD5187">
        <w:t xml:space="preserve">but </w:t>
      </w:r>
      <w:r w:rsidR="00DD5187">
        <w:t xml:space="preserve">argues that the proposed forfeiture should be </w:t>
      </w:r>
      <w:r w:rsidR="001055E8">
        <w:t>cancelled or reduced</w:t>
      </w:r>
      <w:r w:rsidR="00DD5187">
        <w:t xml:space="preserve"> based on</w:t>
      </w:r>
      <w:r w:rsidR="00846EEA">
        <w:t xml:space="preserve"> </w:t>
      </w:r>
      <w:r w:rsidR="00AE69AA">
        <w:t>its inability to pay the forfeiture</w:t>
      </w:r>
      <w:r w:rsidR="00397006">
        <w:t>.</w:t>
      </w:r>
      <w:r>
        <w:rPr>
          <w:rStyle w:val="FootnoteReference"/>
        </w:rPr>
        <w:footnoteReference w:id="19"/>
      </w:r>
      <w:r w:rsidR="00397006">
        <w:t xml:space="preserve">  </w:t>
      </w:r>
      <w:r w:rsidR="00D0020E">
        <w:t>Licensee a</w:t>
      </w:r>
      <w:r w:rsidR="003605B2">
        <w:t>lso a</w:t>
      </w:r>
      <w:r w:rsidR="00D0020E">
        <w:t>rgues that</w:t>
      </w:r>
      <w:r w:rsidR="00B0785F">
        <w:t xml:space="preserve"> </w:t>
      </w:r>
      <w:r w:rsidR="00432B54">
        <w:t xml:space="preserve">in light of Licensee’s </w:t>
      </w:r>
      <w:r w:rsidR="00360771">
        <w:t>gross revenue and expenses</w:t>
      </w:r>
      <w:r w:rsidR="00454DF2">
        <w:t xml:space="preserve">, </w:t>
      </w:r>
      <w:r w:rsidR="002620D9">
        <w:t xml:space="preserve">the forfeiture amount is significant, </w:t>
      </w:r>
      <w:r w:rsidR="00454DF2">
        <w:t xml:space="preserve">and </w:t>
      </w:r>
      <w:r w:rsidR="00D65696">
        <w:t xml:space="preserve">notes that the Station has operated at a loss for two of the last three years and the proposed forfeiture </w:t>
      </w:r>
      <w:r w:rsidR="00454DF2">
        <w:t xml:space="preserve">will </w:t>
      </w:r>
      <w:r w:rsidR="00DD3A4C">
        <w:t>threaten Licensee’s ability to continue operating</w:t>
      </w:r>
      <w:r w:rsidR="00360771">
        <w:t>.</w:t>
      </w:r>
      <w:r>
        <w:rPr>
          <w:rStyle w:val="FootnoteReference"/>
        </w:rPr>
        <w:footnoteReference w:id="20"/>
      </w:r>
      <w:r w:rsidR="000E351B">
        <w:t xml:space="preserve">  In support of these claims, Licensee attaches IRS tax returns from 2020, 2021, and 2022.</w:t>
      </w:r>
      <w:r>
        <w:rPr>
          <w:rStyle w:val="FootnoteReference"/>
        </w:rPr>
        <w:footnoteReference w:id="21"/>
      </w:r>
      <w:r w:rsidR="000E351B">
        <w:t xml:space="preserve"> </w:t>
      </w:r>
    </w:p>
    <w:p w:rsidR="00912D6D" w:rsidRPr="002007ED" w:rsidP="00912D6D" w14:paraId="383DFD24" w14:textId="77777777">
      <w:pPr>
        <w:pStyle w:val="Heading1"/>
        <w:rPr>
          <w:rFonts w:ascii="Times New Roman" w:hAnsi="Times New Roman"/>
        </w:rPr>
      </w:pPr>
      <w:r w:rsidRPr="002007ED">
        <w:rPr>
          <w:rFonts w:ascii="Times New Roman" w:hAnsi="Times New Roman"/>
        </w:rPr>
        <w:t>discussion</w:t>
      </w:r>
    </w:p>
    <w:p w:rsidR="0044201A" w:rsidRPr="0044201A" w:rsidP="002B2B8E" w14:paraId="2F4402D8" w14:textId="31FF50B5">
      <w:pPr>
        <w:pStyle w:val="ParaNum"/>
      </w:pPr>
      <w:r w:rsidRPr="0044201A">
        <w:t>The proposed forfeiture amount in this case was assessed in accordance with section 503(b) of the Act,</w:t>
      </w:r>
      <w:r>
        <w:rPr>
          <w:rStyle w:val="FootnoteReference"/>
          <w:sz w:val="22"/>
        </w:rPr>
        <w:footnoteReference w:id="22"/>
      </w:r>
      <w:r w:rsidRPr="0044201A">
        <w:t xml:space="preserve"> section 1.80 of the Rules,</w:t>
      </w:r>
      <w:r>
        <w:rPr>
          <w:rStyle w:val="FootnoteReference"/>
          <w:sz w:val="22"/>
        </w:rPr>
        <w:footnoteReference w:id="23"/>
      </w:r>
      <w:r w:rsidRPr="0044201A">
        <w:t xml:space="preserve"> and the </w:t>
      </w:r>
      <w:r w:rsidRPr="005B147B">
        <w:rPr>
          <w:i/>
          <w:iCs/>
        </w:rPr>
        <w:t>Forfeiture Policy Statement</w:t>
      </w:r>
      <w:r w:rsidRPr="0044201A">
        <w:t>.</w:t>
      </w:r>
      <w:r>
        <w:rPr>
          <w:rStyle w:val="FootnoteReference"/>
          <w:sz w:val="22"/>
        </w:rPr>
        <w:footnoteReference w:id="24"/>
      </w:r>
      <w:r w:rsidRPr="0044201A">
        <w:t xml:space="preserve">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vertAlign w:val="superscript"/>
        </w:rPr>
        <w:footnoteReference w:id="25"/>
      </w:r>
      <w:r w:rsidRPr="0044201A">
        <w:t xml:space="preserve">  </w:t>
      </w:r>
    </w:p>
    <w:p w:rsidR="00CC45CF" w:rsidRPr="001328F6" w:rsidP="003B1EF4" w14:paraId="0095D4C2" w14:textId="28730506">
      <w:pPr>
        <w:pStyle w:val="ParaNum"/>
      </w:pPr>
      <w:r w:rsidRPr="00E0583B">
        <w:rPr>
          <w:shd w:val="clear" w:color="auto" w:fill="FFFFFF"/>
        </w:rPr>
        <w:t xml:space="preserve">We have considered Licensee’s response in light of these statutory factors.  We affirm our finding that the Licensee willfully violated </w:t>
      </w:r>
      <w:r w:rsidR="00995D4B">
        <w:t>s</w:t>
      </w:r>
      <w:r w:rsidRPr="00254D78" w:rsidR="00995D4B">
        <w:t xml:space="preserve">ection 301 of the Act and </w:t>
      </w:r>
      <w:r w:rsidR="00995D4B">
        <w:t>s</w:t>
      </w:r>
      <w:r w:rsidRPr="00254D78" w:rsidR="00995D4B">
        <w:t xml:space="preserve">ections 73.1745(a), </w:t>
      </w:r>
      <w:r w:rsidRPr="00725BF0" w:rsidR="00995D4B">
        <w:t>73.1635</w:t>
      </w:r>
      <w:r w:rsidRPr="00254D78" w:rsidR="00995D4B">
        <w:t xml:space="preserve">, </w:t>
      </w:r>
      <w:r w:rsidR="00995D4B">
        <w:t xml:space="preserve">and </w:t>
      </w:r>
      <w:r w:rsidRPr="00254D78" w:rsidR="00995D4B">
        <w:t>1.17</w:t>
      </w:r>
      <w:r w:rsidR="00995D4B">
        <w:t xml:space="preserve">(a)(2) </w:t>
      </w:r>
      <w:r w:rsidRPr="00254D78" w:rsidR="00995D4B">
        <w:t xml:space="preserve">of </w:t>
      </w:r>
      <w:r w:rsidRPr="00100C5C" w:rsidR="00995D4B">
        <w:t>the Rules</w:t>
      </w:r>
      <w:r w:rsidRPr="00100C5C">
        <w:rPr>
          <w:shd w:val="clear" w:color="auto" w:fill="FFFFFF"/>
        </w:rPr>
        <w:t xml:space="preserve">.  </w:t>
      </w:r>
      <w:r w:rsidRPr="00100C5C" w:rsidR="00082CD8">
        <w:rPr>
          <w:shd w:val="clear" w:color="auto" w:fill="FFFFFF"/>
        </w:rPr>
        <w:t>The</w:t>
      </w:r>
      <w:r w:rsidRPr="00100C5C" w:rsidR="00A05B66">
        <w:rPr>
          <w:shd w:val="clear" w:color="auto" w:fill="FFFFFF"/>
        </w:rPr>
        <w:t xml:space="preserve"> Commission has previously held that a</w:t>
      </w:r>
      <w:r w:rsidRPr="00100C5C" w:rsidR="008742EB">
        <w:rPr>
          <w:shd w:val="clear" w:color="auto" w:fill="FFFFFF"/>
        </w:rPr>
        <w:t xml:space="preserve"> Licensee’s gross revenue is the best indicator </w:t>
      </w:r>
      <w:r w:rsidRPr="00100C5C" w:rsidR="009F6514">
        <w:rPr>
          <w:shd w:val="clear" w:color="auto" w:fill="FFFFFF"/>
        </w:rPr>
        <w:t>of its ability to pay a forfeiture</w:t>
      </w:r>
      <w:r w:rsidRPr="00100C5C" w:rsidR="00722873">
        <w:rPr>
          <w:shd w:val="clear" w:color="auto" w:fill="FFFFFF"/>
        </w:rPr>
        <w:t>.</w:t>
      </w:r>
      <w:r>
        <w:rPr>
          <w:rStyle w:val="FootnoteReference"/>
          <w:shd w:val="clear" w:color="auto" w:fill="FFFFFF"/>
        </w:rPr>
        <w:footnoteReference w:id="26"/>
      </w:r>
      <w:r w:rsidRPr="00100C5C" w:rsidR="009F6514">
        <w:rPr>
          <w:shd w:val="clear" w:color="auto" w:fill="FFFFFF"/>
        </w:rPr>
        <w:t xml:space="preserve"> </w:t>
      </w:r>
      <w:r w:rsidRPr="00100C5C" w:rsidR="00722873">
        <w:rPr>
          <w:shd w:val="clear" w:color="auto" w:fill="FFFFFF"/>
        </w:rPr>
        <w:t xml:space="preserve"> </w:t>
      </w:r>
      <w:r w:rsidRPr="00100C5C" w:rsidR="007E7367">
        <w:rPr>
          <w:shd w:val="clear" w:color="auto" w:fill="FFFFFF"/>
        </w:rPr>
        <w:t>The</w:t>
      </w:r>
      <w:r w:rsidRPr="00100C5C" w:rsidR="002F63E7">
        <w:rPr>
          <w:shd w:val="clear" w:color="auto" w:fill="FFFFFF"/>
        </w:rPr>
        <w:t xml:space="preserve"> Commission has </w:t>
      </w:r>
      <w:r w:rsidRPr="00100C5C" w:rsidR="00145A2B">
        <w:rPr>
          <w:shd w:val="clear" w:color="auto" w:fill="FFFFFF"/>
        </w:rPr>
        <w:t xml:space="preserve">also </w:t>
      </w:r>
      <w:r w:rsidRPr="00100C5C" w:rsidR="00083CB0">
        <w:rPr>
          <w:shd w:val="clear" w:color="auto" w:fill="FFFFFF"/>
        </w:rPr>
        <w:t xml:space="preserve">found that </w:t>
      </w:r>
      <w:r w:rsidRPr="00100C5C" w:rsidR="00CF7110">
        <w:rPr>
          <w:shd w:val="clear" w:color="auto" w:fill="FFFFFF"/>
        </w:rPr>
        <w:t>for</w:t>
      </w:r>
      <w:r w:rsidRPr="00071BF9" w:rsidR="00CF7110">
        <w:rPr>
          <w:shd w:val="clear" w:color="auto" w:fill="FFFFFF"/>
        </w:rPr>
        <w:t xml:space="preserve">feitures are not excessive </w:t>
      </w:r>
      <w:r w:rsidRPr="00071BF9" w:rsidR="00C177FE">
        <w:rPr>
          <w:shd w:val="clear" w:color="auto" w:fill="FFFFFF"/>
        </w:rPr>
        <w:t xml:space="preserve">when they amount to a small percentage of </w:t>
      </w:r>
      <w:r w:rsidR="00071BF9">
        <w:rPr>
          <w:shd w:val="clear" w:color="auto" w:fill="FFFFFF"/>
        </w:rPr>
        <w:t>a</w:t>
      </w:r>
      <w:r w:rsidRPr="00071BF9" w:rsidR="00C177FE">
        <w:rPr>
          <w:shd w:val="clear" w:color="auto" w:fill="FFFFFF"/>
        </w:rPr>
        <w:t xml:space="preserve"> licensee’s gross revenue.</w:t>
      </w:r>
      <w:r>
        <w:rPr>
          <w:rStyle w:val="FootnoteReference"/>
          <w:shd w:val="clear" w:color="auto" w:fill="FFFFFF"/>
        </w:rPr>
        <w:footnoteReference w:id="27"/>
      </w:r>
      <w:r w:rsidRPr="00071BF9" w:rsidR="00F6096B">
        <w:rPr>
          <w:shd w:val="clear" w:color="auto" w:fill="FFFFFF"/>
        </w:rPr>
        <w:t xml:space="preserve">  </w:t>
      </w:r>
      <w:r w:rsidR="00535AC5">
        <w:rPr>
          <w:shd w:val="clear" w:color="auto" w:fill="FFFFFF"/>
        </w:rPr>
        <w:t xml:space="preserve">However, the Commission has also held that </w:t>
      </w:r>
      <w:r w:rsidR="004840A8">
        <w:rPr>
          <w:shd w:val="clear" w:color="auto" w:fill="FFFFFF"/>
        </w:rPr>
        <w:t xml:space="preserve">it </w:t>
      </w:r>
      <w:r w:rsidR="00104975">
        <w:rPr>
          <w:shd w:val="clear" w:color="auto" w:fill="FFFFFF"/>
        </w:rPr>
        <w:t>“looks to all potential sources of income available to the entity</w:t>
      </w:r>
      <w:r w:rsidR="00664140">
        <w:rPr>
          <w:shd w:val="clear" w:color="auto" w:fill="FFFFFF"/>
        </w:rPr>
        <w:t>” including the pending sale of a station</w:t>
      </w:r>
      <w:r w:rsidR="007D73CC">
        <w:rPr>
          <w:shd w:val="clear" w:color="auto" w:fill="FFFFFF"/>
        </w:rPr>
        <w:t xml:space="preserve">, and </w:t>
      </w:r>
      <w:r w:rsidR="00C14D00">
        <w:rPr>
          <w:shd w:val="clear" w:color="auto" w:fill="FFFFFF"/>
        </w:rPr>
        <w:t xml:space="preserve">has </w:t>
      </w:r>
      <w:r w:rsidR="00C740C5">
        <w:rPr>
          <w:shd w:val="clear" w:color="auto" w:fill="FFFFFF"/>
        </w:rPr>
        <w:t>rejected</w:t>
      </w:r>
      <w:r w:rsidR="00E50368">
        <w:rPr>
          <w:shd w:val="clear" w:color="auto" w:fill="FFFFFF"/>
        </w:rPr>
        <w:t xml:space="preserve"> a claim of inability to pay</w:t>
      </w:r>
      <w:r w:rsidR="00D20099">
        <w:rPr>
          <w:shd w:val="clear" w:color="auto" w:fill="FFFFFF"/>
        </w:rPr>
        <w:t xml:space="preserve"> whe</w:t>
      </w:r>
      <w:r w:rsidR="00920E97">
        <w:rPr>
          <w:shd w:val="clear" w:color="auto" w:fill="FFFFFF"/>
        </w:rPr>
        <w:t>re a licensee failed</w:t>
      </w:r>
      <w:r w:rsidR="007D73CC">
        <w:rPr>
          <w:shd w:val="clear" w:color="auto" w:fill="FFFFFF"/>
        </w:rPr>
        <w:t xml:space="preserve"> to mention the pending sale of </w:t>
      </w:r>
      <w:r w:rsidR="00920E97">
        <w:rPr>
          <w:shd w:val="clear" w:color="auto" w:fill="FFFFFF"/>
        </w:rPr>
        <w:t>its</w:t>
      </w:r>
      <w:r w:rsidR="007D73CC">
        <w:rPr>
          <w:shd w:val="clear" w:color="auto" w:fill="FFFFFF"/>
        </w:rPr>
        <w:t xml:space="preserve"> station</w:t>
      </w:r>
      <w:r w:rsidR="00B17924">
        <w:rPr>
          <w:shd w:val="clear" w:color="auto" w:fill="FFFFFF"/>
        </w:rPr>
        <w:t xml:space="preserve">, which </w:t>
      </w:r>
      <w:r w:rsidR="00920E97">
        <w:rPr>
          <w:shd w:val="clear" w:color="auto" w:fill="FFFFFF"/>
        </w:rPr>
        <w:t>would</w:t>
      </w:r>
      <w:r w:rsidR="00B17924">
        <w:rPr>
          <w:shd w:val="clear" w:color="auto" w:fill="FFFFFF"/>
        </w:rPr>
        <w:t xml:space="preserve"> yield a significantly larger sum than the forfeiture amount</w:t>
      </w:r>
      <w:r w:rsidR="00920E97">
        <w:rPr>
          <w:shd w:val="clear" w:color="auto" w:fill="FFFFFF"/>
        </w:rPr>
        <w:t>.</w:t>
      </w:r>
      <w:r>
        <w:rPr>
          <w:rStyle w:val="FootnoteReference"/>
          <w:shd w:val="clear" w:color="auto" w:fill="FFFFFF"/>
        </w:rPr>
        <w:footnoteReference w:id="28"/>
      </w:r>
    </w:p>
    <w:p w:rsidR="00DB3638" w:rsidP="00DD472B" w14:paraId="10AE70E6" w14:textId="0B9EFC56">
      <w:pPr>
        <w:pStyle w:val="ParaNum"/>
      </w:pPr>
      <w:r>
        <w:rPr>
          <w:shd w:val="clear" w:color="auto" w:fill="FFFFFF"/>
        </w:rPr>
        <w:t xml:space="preserve">Although </w:t>
      </w:r>
      <w:r w:rsidR="00A851C4">
        <w:rPr>
          <w:shd w:val="clear" w:color="auto" w:fill="FFFFFF"/>
        </w:rPr>
        <w:t>Licensee’s</w:t>
      </w:r>
      <w:r w:rsidRPr="00071BF9" w:rsidR="00535AC5">
        <w:rPr>
          <w:shd w:val="clear" w:color="auto" w:fill="FFFFFF"/>
        </w:rPr>
        <w:t xml:space="preserve"> tax submissions from 2020-2022</w:t>
      </w:r>
      <w:r>
        <w:rPr>
          <w:shd w:val="clear" w:color="auto" w:fill="FFFFFF"/>
        </w:rPr>
        <w:t xml:space="preserve"> </w:t>
      </w:r>
      <w:r w:rsidR="00DC7D02">
        <w:rPr>
          <w:shd w:val="clear" w:color="auto" w:fill="FFFFFF"/>
        </w:rPr>
        <w:t xml:space="preserve">indicate that </w:t>
      </w:r>
      <w:r w:rsidR="00DD4E67">
        <w:rPr>
          <w:shd w:val="clear" w:color="auto" w:fill="FFFFFF"/>
        </w:rPr>
        <w:t xml:space="preserve">the proposed forfeiture would not </w:t>
      </w:r>
      <w:r w:rsidR="00645882">
        <w:rPr>
          <w:shd w:val="clear" w:color="auto" w:fill="FFFFFF"/>
        </w:rPr>
        <w:t>constitute a small</w:t>
      </w:r>
      <w:r w:rsidR="00DD4E67">
        <w:rPr>
          <w:shd w:val="clear" w:color="auto" w:fill="FFFFFF"/>
        </w:rPr>
        <w:t xml:space="preserve"> percentage </w:t>
      </w:r>
      <w:r w:rsidR="00645882">
        <w:rPr>
          <w:shd w:val="clear" w:color="auto" w:fill="FFFFFF"/>
        </w:rPr>
        <w:t xml:space="preserve">of </w:t>
      </w:r>
      <w:r w:rsidR="00DC7D02">
        <w:rPr>
          <w:shd w:val="clear" w:color="auto" w:fill="FFFFFF"/>
        </w:rPr>
        <w:t>License</w:t>
      </w:r>
      <w:r w:rsidR="00645882">
        <w:rPr>
          <w:shd w:val="clear" w:color="auto" w:fill="FFFFFF"/>
        </w:rPr>
        <w:t>e’s</w:t>
      </w:r>
      <w:r w:rsidR="00DC7D02">
        <w:rPr>
          <w:shd w:val="clear" w:color="auto" w:fill="FFFFFF"/>
        </w:rPr>
        <w:t xml:space="preserve"> gross income</w:t>
      </w:r>
      <w:r w:rsidR="00645882">
        <w:rPr>
          <w:shd w:val="clear" w:color="auto" w:fill="FFFFFF"/>
        </w:rPr>
        <w:t xml:space="preserve">, as previously </w:t>
      </w:r>
      <w:r w:rsidR="00B87F0F">
        <w:rPr>
          <w:shd w:val="clear" w:color="auto" w:fill="FFFFFF"/>
        </w:rPr>
        <w:t>determined</w:t>
      </w:r>
      <w:r w:rsidR="00645882">
        <w:rPr>
          <w:shd w:val="clear" w:color="auto" w:fill="FFFFFF"/>
        </w:rPr>
        <w:t xml:space="preserve"> </w:t>
      </w:r>
      <w:r w:rsidR="00645882">
        <w:rPr>
          <w:shd w:val="clear" w:color="auto" w:fill="FFFFFF"/>
        </w:rPr>
        <w:t>by the Commission,</w:t>
      </w:r>
      <w:r w:rsidR="00DC7D02">
        <w:rPr>
          <w:shd w:val="clear" w:color="auto" w:fill="FFFFFF"/>
        </w:rPr>
        <w:t xml:space="preserve"> </w:t>
      </w:r>
      <w:r w:rsidR="00417920">
        <w:rPr>
          <w:shd w:val="clear" w:color="auto" w:fill="FFFFFF"/>
        </w:rPr>
        <w:t xml:space="preserve">the </w:t>
      </w:r>
      <w:r w:rsidR="00417920">
        <w:rPr>
          <w:i/>
          <w:iCs/>
          <w:shd w:val="clear" w:color="auto" w:fill="FFFFFF"/>
        </w:rPr>
        <w:t xml:space="preserve">Forfeiture Policy Statement </w:t>
      </w:r>
      <w:r w:rsidR="00A92F49">
        <w:rPr>
          <w:shd w:val="clear" w:color="auto" w:fill="FFFFFF"/>
        </w:rPr>
        <w:t xml:space="preserve">provides that </w:t>
      </w:r>
      <w:r w:rsidRPr="00A92F49" w:rsidR="00A92F49">
        <w:rPr>
          <w:shd w:val="clear" w:color="auto" w:fill="FFFFFF"/>
        </w:rPr>
        <w:t>“we must look to the totality of the circumstances surrounding the individual case</w:t>
      </w:r>
      <w:r w:rsidR="00A92F49">
        <w:rPr>
          <w:shd w:val="clear" w:color="auto" w:fill="FFFFFF"/>
        </w:rPr>
        <w:t>.</w:t>
      </w:r>
      <w:r w:rsidRPr="00A92F49" w:rsidR="00A92F49">
        <w:rPr>
          <w:shd w:val="clear" w:color="auto" w:fill="FFFFFF"/>
        </w:rPr>
        <w:t>”</w:t>
      </w:r>
      <w:r>
        <w:rPr>
          <w:rStyle w:val="FootnoteReference"/>
          <w:shd w:val="clear" w:color="auto" w:fill="FFFFFF"/>
        </w:rPr>
        <w:footnoteReference w:id="29"/>
      </w:r>
      <w:r w:rsidR="00BC0F9A">
        <w:rPr>
          <w:shd w:val="clear" w:color="auto" w:fill="FFFFFF"/>
        </w:rPr>
        <w:t xml:space="preserve">  </w:t>
      </w:r>
      <w:r w:rsidR="002321C1">
        <w:rPr>
          <w:shd w:val="clear" w:color="auto" w:fill="FFFFFF"/>
        </w:rPr>
        <w:t>Section 1.80</w:t>
      </w:r>
      <w:r w:rsidR="0011264F">
        <w:rPr>
          <w:shd w:val="clear" w:color="auto" w:fill="FFFFFF"/>
        </w:rPr>
        <w:t xml:space="preserve"> of the Rules</w:t>
      </w:r>
      <w:r w:rsidR="007168BC">
        <w:rPr>
          <w:shd w:val="clear" w:color="auto" w:fill="FFFFFF"/>
        </w:rPr>
        <w:t xml:space="preserve"> also </w:t>
      </w:r>
      <w:r w:rsidR="00F63F57">
        <w:rPr>
          <w:shd w:val="clear" w:color="auto" w:fill="FFFFFF"/>
        </w:rPr>
        <w:t>instructs</w:t>
      </w:r>
      <w:r w:rsidR="000D1E08">
        <w:rPr>
          <w:shd w:val="clear" w:color="auto" w:fill="FFFFFF"/>
        </w:rPr>
        <w:t xml:space="preserve"> that </w:t>
      </w:r>
      <w:r w:rsidR="00F63F57">
        <w:rPr>
          <w:shd w:val="clear" w:color="auto" w:fill="FFFFFF"/>
        </w:rPr>
        <w:t xml:space="preserve">“substantial economic gain” is a factor </w:t>
      </w:r>
      <w:r w:rsidR="0011264F">
        <w:rPr>
          <w:shd w:val="clear" w:color="auto" w:fill="FFFFFF"/>
        </w:rPr>
        <w:t>that warrants</w:t>
      </w:r>
      <w:r w:rsidR="00F63F57">
        <w:rPr>
          <w:shd w:val="clear" w:color="auto" w:fill="FFFFFF"/>
        </w:rPr>
        <w:t xml:space="preserve"> upward adjustment of a forfeiture amount.</w:t>
      </w:r>
      <w:r>
        <w:rPr>
          <w:rStyle w:val="FootnoteReference"/>
          <w:shd w:val="clear" w:color="auto" w:fill="FFFFFF"/>
        </w:rPr>
        <w:footnoteReference w:id="30"/>
      </w:r>
      <w:r w:rsidR="007168BC">
        <w:rPr>
          <w:shd w:val="clear" w:color="auto" w:fill="FFFFFF"/>
        </w:rPr>
        <w:t xml:space="preserve">  </w:t>
      </w:r>
      <w:r w:rsidR="00BC0F9A">
        <w:rPr>
          <w:shd w:val="clear" w:color="auto" w:fill="FFFFFF"/>
        </w:rPr>
        <w:t xml:space="preserve">Here, Licensee has </w:t>
      </w:r>
      <w:r w:rsidR="003551DD">
        <w:rPr>
          <w:shd w:val="clear" w:color="auto" w:fill="FFFFFF"/>
        </w:rPr>
        <w:t xml:space="preserve">a pending sale of the Station for </w:t>
      </w:r>
      <w:r w:rsidR="00F71E19">
        <w:rPr>
          <w:shd w:val="clear" w:color="auto" w:fill="FFFFFF"/>
        </w:rPr>
        <w:t>$</w:t>
      </w:r>
      <w:r w:rsidR="00E120BD">
        <w:rPr>
          <w:shd w:val="clear" w:color="auto" w:fill="FFFFFF"/>
        </w:rPr>
        <w:t>184,</w:t>
      </w:r>
      <w:r w:rsidR="00F71E19">
        <w:rPr>
          <w:shd w:val="clear" w:color="auto" w:fill="FFFFFF"/>
        </w:rPr>
        <w:t>000,</w:t>
      </w:r>
      <w:r>
        <w:rPr>
          <w:rStyle w:val="FootnoteReference"/>
          <w:shd w:val="clear" w:color="auto" w:fill="FFFFFF"/>
        </w:rPr>
        <w:footnoteReference w:id="31"/>
      </w:r>
      <w:r w:rsidR="00F71E19">
        <w:rPr>
          <w:shd w:val="clear" w:color="auto" w:fill="FFFFFF"/>
        </w:rPr>
        <w:t xml:space="preserve"> which is</w:t>
      </w:r>
      <w:r w:rsidR="00E120BD">
        <w:rPr>
          <w:shd w:val="clear" w:color="auto" w:fill="FFFFFF"/>
        </w:rPr>
        <w:t xml:space="preserve"> significantly greater than the forfeiture amount</w:t>
      </w:r>
      <w:r w:rsidR="001E4640">
        <w:rPr>
          <w:shd w:val="clear" w:color="auto" w:fill="FFFFFF"/>
        </w:rPr>
        <w:t>.  The forfeiture amount is only</w:t>
      </w:r>
      <w:r w:rsidR="00B00EB0">
        <w:rPr>
          <w:shd w:val="clear" w:color="auto" w:fill="FFFFFF"/>
        </w:rPr>
        <w:t xml:space="preserve"> 8.9</w:t>
      </w:r>
      <w:r w:rsidR="006B55C6">
        <w:rPr>
          <w:shd w:val="clear" w:color="auto" w:fill="FFFFFF"/>
        </w:rPr>
        <w:t>%</w:t>
      </w:r>
      <w:r w:rsidR="001E4640">
        <w:rPr>
          <w:shd w:val="clear" w:color="auto" w:fill="FFFFFF"/>
        </w:rPr>
        <w:t xml:space="preserve"> of the purchase price, which</w:t>
      </w:r>
      <w:r w:rsidR="00801F11">
        <w:rPr>
          <w:shd w:val="clear" w:color="auto" w:fill="FFFFFF"/>
        </w:rPr>
        <w:t xml:space="preserve"> is</w:t>
      </w:r>
      <w:r w:rsidR="006B55C6">
        <w:rPr>
          <w:shd w:val="clear" w:color="auto" w:fill="FFFFFF"/>
        </w:rPr>
        <w:t xml:space="preserve"> </w:t>
      </w:r>
      <w:r w:rsidR="00AE0B1F">
        <w:rPr>
          <w:shd w:val="clear" w:color="auto" w:fill="FFFFFF"/>
        </w:rPr>
        <w:t>comparable to</w:t>
      </w:r>
      <w:r w:rsidR="00C54825">
        <w:rPr>
          <w:shd w:val="clear" w:color="auto" w:fill="FFFFFF"/>
        </w:rPr>
        <w:t xml:space="preserve"> gross</w:t>
      </w:r>
      <w:r w:rsidR="00AE0B1F">
        <w:rPr>
          <w:shd w:val="clear" w:color="auto" w:fill="FFFFFF"/>
        </w:rPr>
        <w:t xml:space="preserve"> </w:t>
      </w:r>
      <w:r w:rsidR="00C54825">
        <w:rPr>
          <w:shd w:val="clear" w:color="auto" w:fill="FFFFFF"/>
        </w:rPr>
        <w:t xml:space="preserve">income </w:t>
      </w:r>
      <w:r w:rsidR="00AE0B1F">
        <w:rPr>
          <w:shd w:val="clear" w:color="auto" w:fill="FFFFFF"/>
        </w:rPr>
        <w:t xml:space="preserve">percentages the Commission has </w:t>
      </w:r>
      <w:r w:rsidR="00087A82">
        <w:rPr>
          <w:shd w:val="clear" w:color="auto" w:fill="FFFFFF"/>
        </w:rPr>
        <w:t xml:space="preserve">previously </w:t>
      </w:r>
      <w:r w:rsidR="00AE0B1F">
        <w:rPr>
          <w:shd w:val="clear" w:color="auto" w:fill="FFFFFF"/>
        </w:rPr>
        <w:t>deemed reasonable</w:t>
      </w:r>
      <w:r w:rsidR="00E120BD">
        <w:rPr>
          <w:shd w:val="clear" w:color="auto" w:fill="FFFFFF"/>
        </w:rPr>
        <w:t>.</w:t>
      </w:r>
      <w:r>
        <w:rPr>
          <w:rStyle w:val="FootnoteReference"/>
          <w:shd w:val="clear" w:color="auto" w:fill="FFFFFF"/>
        </w:rPr>
        <w:footnoteReference w:id="32"/>
      </w:r>
      <w:r w:rsidR="00801F11">
        <w:rPr>
          <w:shd w:val="clear" w:color="auto" w:fill="FFFFFF"/>
        </w:rPr>
        <w:t xml:space="preserve">  Moreover, the </w:t>
      </w:r>
      <w:r w:rsidR="004E15C7">
        <w:rPr>
          <w:shd w:val="clear" w:color="auto" w:fill="FFFFFF"/>
        </w:rPr>
        <w:t xml:space="preserve">Station </w:t>
      </w:r>
      <w:r w:rsidR="00801F11">
        <w:rPr>
          <w:shd w:val="clear" w:color="auto" w:fill="FFFFFF"/>
        </w:rPr>
        <w:t xml:space="preserve">sale price would </w:t>
      </w:r>
      <w:r w:rsidR="002463C1">
        <w:rPr>
          <w:shd w:val="clear" w:color="auto" w:fill="FFFFFF"/>
        </w:rPr>
        <w:t xml:space="preserve">be </w:t>
      </w:r>
      <w:r w:rsidR="00FC515D">
        <w:rPr>
          <w:shd w:val="clear" w:color="auto" w:fill="FFFFFF"/>
        </w:rPr>
        <w:t>an</w:t>
      </w:r>
      <w:r w:rsidR="002463C1">
        <w:rPr>
          <w:shd w:val="clear" w:color="auto" w:fill="FFFFFF"/>
        </w:rPr>
        <w:t xml:space="preserve"> addition to </w:t>
      </w:r>
      <w:r w:rsidR="009F3201">
        <w:rPr>
          <w:shd w:val="clear" w:color="auto" w:fill="FFFFFF"/>
        </w:rPr>
        <w:t>the</w:t>
      </w:r>
      <w:r w:rsidR="002463C1">
        <w:rPr>
          <w:shd w:val="clear" w:color="auto" w:fill="FFFFFF"/>
        </w:rPr>
        <w:t xml:space="preserve"> gross income generated by the Station.</w:t>
      </w:r>
      <w:r w:rsidR="00515DE0">
        <w:rPr>
          <w:shd w:val="clear" w:color="auto" w:fill="FFFFFF"/>
        </w:rPr>
        <w:t xml:space="preserve">  The </w:t>
      </w:r>
      <w:r w:rsidR="00A71CD9">
        <w:rPr>
          <w:shd w:val="clear" w:color="auto" w:fill="FFFFFF"/>
        </w:rPr>
        <w:t>proceeds from</w:t>
      </w:r>
      <w:r w:rsidR="00515DE0">
        <w:rPr>
          <w:shd w:val="clear" w:color="auto" w:fill="FFFFFF"/>
        </w:rPr>
        <w:t xml:space="preserve"> the Station sale, </w:t>
      </w:r>
      <w:r w:rsidR="00515DE0">
        <w:t xml:space="preserve">combined with Licensee’s gross income, </w:t>
      </w:r>
      <w:r w:rsidR="005F623D">
        <w:t xml:space="preserve">demonstrate </w:t>
      </w:r>
      <w:r w:rsidR="00A70238">
        <w:t>Licensee’s ability to pay the forfeiture amount.</w:t>
      </w:r>
      <w:r>
        <w:rPr>
          <w:rStyle w:val="FootnoteReference"/>
        </w:rPr>
        <w:footnoteReference w:id="33"/>
      </w:r>
      <w:r w:rsidR="00515DE0">
        <w:rPr>
          <w:shd w:val="clear" w:color="auto" w:fill="FFFFFF"/>
        </w:rPr>
        <w:t xml:space="preserve"> </w:t>
      </w:r>
      <w:r w:rsidR="004C06B8">
        <w:rPr>
          <w:shd w:val="clear" w:color="auto" w:fill="FFFFFF"/>
        </w:rPr>
        <w:t xml:space="preserve"> </w:t>
      </w:r>
      <w:r w:rsidR="00A70238">
        <w:rPr>
          <w:shd w:val="clear" w:color="auto" w:fill="FFFFFF"/>
        </w:rPr>
        <w:t>Further, due</w:t>
      </w:r>
      <w:r w:rsidR="00CF1CD7">
        <w:t xml:space="preserve"> to </w:t>
      </w:r>
      <w:r w:rsidR="00B9765F">
        <w:t>Licensee</w:t>
      </w:r>
      <w:r w:rsidR="00CF1CD7">
        <w:t>’s</w:t>
      </w:r>
      <w:r w:rsidR="00B9765F">
        <w:t xml:space="preserve"> history of </w:t>
      </w:r>
      <w:r w:rsidR="00BF5925">
        <w:t>noncompliance</w:t>
      </w:r>
      <w:r w:rsidR="00590084">
        <w:t>,</w:t>
      </w:r>
      <w:r w:rsidR="00BF5925">
        <w:t xml:space="preserve"> including</w:t>
      </w:r>
      <w:r w:rsidR="007E7647">
        <w:t xml:space="preserve"> </w:t>
      </w:r>
      <w:r w:rsidRPr="00254D78" w:rsidR="00AF11E9">
        <w:t xml:space="preserve">unauthorized operations, </w:t>
      </w:r>
      <w:r w:rsidR="00BF5925">
        <w:t>and</w:t>
      </w:r>
      <w:r w:rsidRPr="00254D78" w:rsidR="00AF11E9">
        <w:t xml:space="preserve"> </w:t>
      </w:r>
      <w:r w:rsidR="00BF5925">
        <w:t xml:space="preserve">the </w:t>
      </w:r>
      <w:r w:rsidR="00ED342C">
        <w:t>extended duration</w:t>
      </w:r>
      <w:r w:rsidRPr="00254D78" w:rsidR="00AF11E9">
        <w:t xml:space="preserve"> of the violations</w:t>
      </w:r>
      <w:r w:rsidR="00BF5925">
        <w:t>, we</w:t>
      </w:r>
      <w:r w:rsidRPr="00850FAC" w:rsidR="00FE32B5">
        <w:t xml:space="preserve"> find no basis to reduce or cancel the proposed forfeiture and affirm the </w:t>
      </w:r>
      <w:r w:rsidRPr="00DD472B" w:rsidR="00FE32B5">
        <w:rPr>
          <w:i/>
          <w:iCs/>
        </w:rPr>
        <w:t>NAL</w:t>
      </w:r>
      <w:r w:rsidRPr="00850FAC" w:rsidR="00FE32B5">
        <w:t>.</w:t>
      </w:r>
    </w:p>
    <w:p w:rsidR="00F46A0A" w:rsidRPr="00F46A0A" w:rsidP="00F46A0A" w14:paraId="1E7A2073" w14:textId="3F1D8C92">
      <w:pPr>
        <w:pStyle w:val="Heading1"/>
      </w:pPr>
      <w:r>
        <w:t>ordering clauses</w:t>
      </w:r>
    </w:p>
    <w:p w:rsidR="00B16090" w:rsidP="002B2B8E" w14:paraId="6B5C85C1" w14:textId="77777777">
      <w:pPr>
        <w:pStyle w:val="ParaNum"/>
      </w:pPr>
      <w:r w:rsidRPr="002007ED">
        <w:t xml:space="preserve">Accordingly, </w:t>
      </w:r>
      <w:r w:rsidRPr="002007ED">
        <w:rPr>
          <w:b/>
        </w:rPr>
        <w:t>IT IS ORDERED</w:t>
      </w:r>
      <w:r w:rsidR="000642CE">
        <w:t xml:space="preserve"> that, </w:t>
      </w:r>
      <w:r w:rsidRPr="000642CE">
        <w:t xml:space="preserve">pursuant to section 503(b) of the Communications Act of 1934, as amended, and sections 0.283 and 1.80 of the Commission’s Rules, </w:t>
      </w:r>
      <w:r w:rsidR="00843531">
        <w:t>Shelby Broadcast Associates, LLC</w:t>
      </w:r>
      <w:r w:rsidRPr="000642CE">
        <w:t xml:space="preserve">, </w:t>
      </w:r>
      <w:r w:rsidRPr="000642CE">
        <w:rPr>
          <w:b/>
        </w:rPr>
        <w:t>IS LIABLE FOR A MONETARY FORFEITURE</w:t>
      </w:r>
      <w:r w:rsidRPr="000642CE">
        <w:t xml:space="preserve"> in the amount </w:t>
      </w:r>
      <w:r w:rsidRPr="00362DA9">
        <w:t>of $</w:t>
      </w:r>
      <w:r w:rsidR="00272754">
        <w:t>1</w:t>
      </w:r>
      <w:r w:rsidR="006D52B0">
        <w:t>6</w:t>
      </w:r>
      <w:r w:rsidR="00272754">
        <w:t>,</w:t>
      </w:r>
      <w:r w:rsidR="00DF778B">
        <w:t>5</w:t>
      </w:r>
      <w:r w:rsidR="006E7D8F">
        <w:t>00</w:t>
      </w:r>
      <w:r w:rsidRPr="000642CE">
        <w:t xml:space="preserve"> for its willful violation of </w:t>
      </w:r>
      <w:r w:rsidR="006D52B0">
        <w:t xml:space="preserve">section </w:t>
      </w:r>
      <w:r w:rsidRPr="00254D78" w:rsidR="006D52B0">
        <w:t xml:space="preserve">301 of the </w:t>
      </w:r>
      <w:r w:rsidR="00DB45EF">
        <w:t xml:space="preserve">Communications </w:t>
      </w:r>
      <w:r w:rsidRPr="00254D78" w:rsidR="006D52B0">
        <w:t xml:space="preserve">Act and </w:t>
      </w:r>
      <w:r w:rsidR="006D52B0">
        <w:t>s</w:t>
      </w:r>
      <w:r w:rsidRPr="00254D78" w:rsidR="006D52B0">
        <w:t xml:space="preserve">ections 73.1745(a), </w:t>
      </w:r>
      <w:r w:rsidRPr="00725BF0" w:rsidR="006D52B0">
        <w:t>73.1635</w:t>
      </w:r>
      <w:r w:rsidRPr="00254D78" w:rsidR="006D52B0">
        <w:t xml:space="preserve">, </w:t>
      </w:r>
      <w:r w:rsidR="006D52B0">
        <w:t xml:space="preserve">and </w:t>
      </w:r>
      <w:r w:rsidRPr="00254D78" w:rsidR="006D52B0">
        <w:t>1.17</w:t>
      </w:r>
      <w:r w:rsidR="006D52B0">
        <w:t xml:space="preserve">(a)(2) </w:t>
      </w:r>
      <w:r w:rsidRPr="00254D78" w:rsidR="006D52B0">
        <w:t xml:space="preserve">of the </w:t>
      </w:r>
      <w:r w:rsidR="00DB45EF">
        <w:t>Commission’s rules</w:t>
      </w:r>
      <w:r w:rsidRPr="000642CE">
        <w:t xml:space="preserve">. </w:t>
      </w:r>
    </w:p>
    <w:p w:rsidR="00362194" w:rsidP="002B2B8E" w14:paraId="64D37E36" w14:textId="5AAE4A12">
      <w:pPr>
        <w:pStyle w:val="ParaNum"/>
      </w:pPr>
      <w:r>
        <w:t>P</w:t>
      </w:r>
      <w:r w:rsidRPr="00424086">
        <w:t xml:space="preserve">ayment </w:t>
      </w:r>
      <w:r>
        <w:t>of the Civil Penalty must</w:t>
      </w:r>
      <w:r w:rsidRPr="00424086">
        <w:t xml:space="preserve"> be made</w:t>
      </w:r>
      <w:r>
        <w:t xml:space="preserve"> </w:t>
      </w:r>
      <w:r w:rsidRPr="00424086">
        <w:t xml:space="preserve">by </w:t>
      </w:r>
      <w:r w:rsidRPr="000E5C6D">
        <w:t xml:space="preserve">credit card, ACH (Automated Clearing House) debit from a bank account using </w:t>
      </w:r>
      <w:r>
        <w:t>CORES</w:t>
      </w:r>
      <w:r w:rsidRPr="000E5C6D">
        <w:t xml:space="preserve"> (the Commission’s online payment system),</w:t>
      </w:r>
      <w:r>
        <w:rPr>
          <w:rStyle w:val="FootnoteReference"/>
        </w:rPr>
        <w:footnoteReference w:id="34"/>
      </w:r>
      <w:r w:rsidRPr="000E5C6D">
        <w:t xml:space="preserve"> or by wire transfer.  </w:t>
      </w:r>
      <w:r w:rsidRPr="009715BF">
        <w:t xml:space="preserve">Payments by check or money order to pay a </w:t>
      </w:r>
      <w:r>
        <w:t>civil penalty</w:t>
      </w:r>
      <w:r w:rsidRPr="009715BF">
        <w:t xml:space="preserve"> are no longer accepted.  Below are instructions that payors should follow based on the form of payment selected:</w:t>
      </w:r>
      <w:r>
        <w:rPr>
          <w:rStyle w:val="FootnoteReference"/>
        </w:rPr>
        <w:footnoteReference w:id="35"/>
      </w:r>
    </w:p>
    <w:p w:rsidR="00362194" w:rsidP="00362194" w14:paraId="209DD0B6" w14:textId="77777777">
      <w:pPr>
        <w:pStyle w:val="ParaNum"/>
        <w:numPr>
          <w:ilvl w:val="0"/>
          <w:numId w:val="26"/>
        </w:numPr>
        <w:ind w:hanging="720"/>
      </w:pPr>
      <w:r w:rsidRPr="00514C8E">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rPr>
          <w:t>RROGWireFaxes@fcc.gov</w:t>
        </w:r>
      </w:hyperlink>
      <w:r w:rsidRPr="00514C8E">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6"/>
      </w:r>
      <w:r w:rsidRPr="00514C8E">
        <w:t xml:space="preserve">  For additional detail and wire transfer instructions, go to </w:t>
      </w:r>
      <w:hyperlink r:id="rId6" w:history="1">
        <w:r w:rsidRPr="00514C8E">
          <w:rPr>
            <w:rStyle w:val="Hyperlink"/>
          </w:rPr>
          <w:t>https://www.fcc.gov/licensing-databases/fees/wire-transfer</w:t>
        </w:r>
      </w:hyperlink>
      <w:r w:rsidRPr="00514C8E">
        <w:t>.</w:t>
      </w:r>
    </w:p>
    <w:p w:rsidR="00362194" w:rsidP="00362194" w14:paraId="615C8997" w14:textId="77777777">
      <w:pPr>
        <w:pStyle w:val="ParaNum"/>
        <w:numPr>
          <w:ilvl w:val="0"/>
          <w:numId w:val="26"/>
        </w:numPr>
      </w:pPr>
      <w:r w:rsidRPr="00591AAC">
        <w:t xml:space="preserve">Payment by credit card must be made by using the Commission’s Registration System (CORES) at </w:t>
      </w:r>
      <w:hyperlink r:id="rId7" w:history="1">
        <w:r w:rsidRPr="00021174">
          <w:rPr>
            <w:rStyle w:val="Hyperlink"/>
          </w:rPr>
          <w:t>https://apps.fcc.gov/cores/userLogin.do</w:t>
        </w:r>
      </w:hyperlink>
      <w:r w:rsidRPr="00591AAC">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t>NAL/</w:t>
      </w:r>
      <w:r w:rsidRPr="00591AAC">
        <w:t xml:space="preserve">Acct. No.  The bill number is the  </w:t>
      </w:r>
      <w:r>
        <w:t>NAL</w:t>
      </w:r>
      <w:r w:rsidRPr="00591AAC">
        <w:t xml:space="preserve"> Acct. No. (e.g., </w:t>
      </w:r>
      <w:r>
        <w:t>NAL/Acct. No.</w:t>
      </w:r>
      <w:r w:rsidRPr="00591AAC">
        <w:t xml:space="preserve"> 1912345678 would be associated with FCC Bill Number </w:t>
      </w:r>
      <w:r>
        <w:t>19</w:t>
      </w:r>
      <w:r w:rsidRPr="00591AAC">
        <w:t>12345678).  After selecting the bill for payment, choose the “Pay by Credit Card” option.  Please note that there is a $24,999.99 limit on credit card transactions.</w:t>
      </w:r>
    </w:p>
    <w:p w:rsidR="00362194" w:rsidRPr="007E139F" w:rsidP="00362194" w14:paraId="36175DE4" w14:textId="77777777">
      <w:pPr>
        <w:pStyle w:val="ParaNum"/>
        <w:numPr>
          <w:ilvl w:val="0"/>
          <w:numId w:val="26"/>
        </w:numPr>
      </w:pPr>
      <w:r w:rsidRPr="00021174">
        <w:t xml:space="preserve">Payment by ACH must be made by using the Commission’s Registration System (CORES) at </w:t>
      </w:r>
      <w:hyperlink r:id="rId8" w:history="1">
        <w:r w:rsidRPr="00021174">
          <w:rPr>
            <w:rStyle w:val="Hyperlink"/>
          </w:rPr>
          <w:t>https://apps.fcc.gov/cores/paymentFrnLogin.do</w:t>
        </w:r>
      </w:hyperlink>
      <w:r w:rsidRPr="00021174">
        <w:t xml:space="preserve">.  </w:t>
      </w:r>
      <w:r w:rsidRPr="00514C8E">
        <w:t xml:space="preserve">To pay by ACH, log in using the FRN captioned above.  If payment must be split across FRNs, complete this process for each FRN.  </w:t>
      </w:r>
      <w:r w:rsidRPr="00021174">
        <w:t xml:space="preserve">Next, select “Manage Existing FRNs | FRN Financial | Bills &amp; Fees” on the CORES Menu, then select FRN Financial and the view/make payments option next to the FRN. </w:t>
      </w:r>
      <w:r>
        <w:t xml:space="preserve"> </w:t>
      </w:r>
      <w:r w:rsidRPr="00021174">
        <w:t xml:space="preserve">Select the “Open Bills” tab and find the bill number associated with the </w:t>
      </w:r>
      <w:r>
        <w:t>NAL/</w:t>
      </w:r>
      <w:r w:rsidRPr="00021174">
        <w:t xml:space="preserve">Acct. No.  The bill number is the </w:t>
      </w:r>
      <w:r>
        <w:t>NAL/</w:t>
      </w:r>
      <w:r w:rsidRPr="00021174">
        <w:t xml:space="preserve">Acct. No. (e.g., </w:t>
      </w:r>
      <w:r>
        <w:t>NAL/Acct. No.</w:t>
      </w:r>
      <w:r w:rsidRPr="00021174">
        <w:t xml:space="preserve"> 1912345678 would be associated with FCC Bill Number</w:t>
      </w:r>
      <w:r>
        <w:t xml:space="preserve"> 19</w:t>
      </w:r>
      <w:r w:rsidRPr="00021174">
        <w:t xml:space="preserve">12345678).  </w:t>
      </w:r>
      <w:r w:rsidRPr="00546822">
        <w:t xml:space="preserve">Finally, choose the “Pay from Bank Account” option.  </w:t>
      </w:r>
      <w:r w:rsidRPr="00021174">
        <w:t xml:space="preserve">Please contact the appropriate financial institution to confirm the correct Routing Number and the correct account number from which payment will be made and verify with that financial institution that the designated </w:t>
      </w:r>
      <w:r w:rsidRPr="00272F4D">
        <w:t>account has authorization to accept ACH transactions.</w:t>
      </w:r>
    </w:p>
    <w:p w:rsidR="00362194" w:rsidRPr="001C36F7" w:rsidP="00B16090" w14:paraId="3979CD38" w14:textId="77777777">
      <w:pPr>
        <w:pStyle w:val="ParaNum"/>
      </w:pPr>
      <w:r w:rsidRPr="001C36F7">
        <w:t>Any request for making full payment over time under an installment plan should be sent to:  Associate Managing Director—Financial Operations, Federal Communications Commission, 45 L Street, N.E., Washington, DC 20554.</w:t>
      </w:r>
      <w:r>
        <w:rPr>
          <w:vertAlign w:val="superscript"/>
        </w:rPr>
        <w:footnoteReference w:id="37"/>
      </w:r>
      <w:r w:rsidRPr="001C36F7">
        <w:t xml:space="preserve">  Questions regarding payment procedures should be directed to the Financial Operations Group Help Desk by phone, 1-877-480-3201 (option #6), or by e-mail at </w:t>
      </w:r>
      <w:hyperlink r:id="rId9" w:history="1">
        <w:r w:rsidRPr="001C36F7">
          <w:rPr>
            <w:color w:val="0000FF"/>
            <w:u w:val="single"/>
          </w:rPr>
          <w:t>ARINQUIRIES@fcc.gov</w:t>
        </w:r>
      </w:hyperlink>
      <w:r w:rsidRPr="001C36F7">
        <w:t>.</w:t>
      </w:r>
    </w:p>
    <w:p w:rsidR="002F075D" w:rsidP="00841F27" w14:paraId="184B63DB" w14:textId="60A9C38B">
      <w:pPr>
        <w:pStyle w:val="ParaNum"/>
        <w:keepNext/>
        <w:keepLines/>
      </w:pPr>
      <w:r w:rsidRPr="002007ED">
        <w:rPr>
          <w:b/>
        </w:rPr>
        <w:t>IT IS FURTHER ORDERED</w:t>
      </w:r>
      <w:r w:rsidRPr="002007ED">
        <w:t xml:space="preserve"> that a copy of this </w:t>
      </w:r>
      <w:r w:rsidR="003A22F6">
        <w:rPr>
          <w:i/>
          <w:iCs/>
        </w:rPr>
        <w:t xml:space="preserve">Forfeiture </w:t>
      </w:r>
      <w:r w:rsidRPr="002007ED">
        <w:rPr>
          <w:i/>
        </w:rPr>
        <w:t>Order</w:t>
      </w:r>
      <w:r w:rsidRPr="002007ED">
        <w:t xml:space="preserve"> shall be sent by First Class and Certified Mail, Return Receipt Requested, to </w:t>
      </w:r>
      <w:r w:rsidRPr="00D514E4" w:rsidR="00870239">
        <w:t>Shelby Broadcast Associates, LLC, c/o Lee Reynolds, 5256 Valleybrook Trace, Birmingham, AL 35244, (</w:t>
      </w:r>
      <w:r w:rsidR="00870239">
        <w:t xml:space="preserve">and </w:t>
      </w:r>
      <w:r w:rsidRPr="00D514E4" w:rsidR="00870239">
        <w:t xml:space="preserve">via email to: </w:t>
      </w:r>
      <w:r w:rsidRPr="00181F75" w:rsidR="00870239">
        <w:t>LEER@REYNOLDSTECHNICAL.COM</w:t>
      </w:r>
      <w:r w:rsidRPr="00D514E4" w:rsidR="00870239">
        <w:t>), and to its counsel, Scott Woodworth, Esq., Edinger Associates PLLC, 1725 I Street N.W., Suite 300, Washington, DC 20006 (</w:t>
      </w:r>
      <w:r w:rsidR="00870239">
        <w:t xml:space="preserve">and </w:t>
      </w:r>
      <w:r w:rsidRPr="00D514E4" w:rsidR="00870239">
        <w:t>via email to: swoodworth@edingerlaw.net), and to Marble City Media, LLC, c/o M. Scott Johnson, Esq., Smithwick and Belendiuk, P.C., 5028 Wisconsin Avenue, Suite 301, Washington, DC 20016 (</w:t>
      </w:r>
      <w:r w:rsidR="00870239">
        <w:t xml:space="preserve">and </w:t>
      </w:r>
      <w:r w:rsidRPr="00D514E4" w:rsidR="00870239">
        <w:t xml:space="preserve">via email to: </w:t>
      </w:r>
      <w:r w:rsidRPr="00B45F19" w:rsidR="00B45F19">
        <w:t>SJOHNSON@FCCWORLD.COM</w:t>
      </w:r>
      <w:r w:rsidRPr="00D514E4" w:rsidR="00870239">
        <w:t>), and to Rivera Communications, c/o Larry Perry, Esq., 11464 Saga Lane, Ste. 400, Knoxville, TN 37931 (</w:t>
      </w:r>
      <w:r w:rsidR="00870239">
        <w:t xml:space="preserve">and </w:t>
      </w:r>
      <w:r w:rsidRPr="00D514E4" w:rsidR="00870239">
        <w:t xml:space="preserve">via email to: </w:t>
      </w:r>
      <w:hyperlink r:id="rId10" w:history="1">
        <w:r w:rsidRPr="001002C5" w:rsidR="006F0581">
          <w:rPr>
            <w:rStyle w:val="Hyperlink"/>
          </w:rPr>
          <w:t>larryperry@att.net</w:t>
        </w:r>
      </w:hyperlink>
      <w:r w:rsidRPr="00D514E4" w:rsidR="00870239">
        <w:t>).</w:t>
      </w:r>
    </w:p>
    <w:p w:rsidR="006F0581" w:rsidRPr="00841F27" w:rsidP="006F0581" w14:paraId="1D3D712B" w14:textId="77777777">
      <w:pPr>
        <w:pStyle w:val="ParaNum"/>
        <w:keepNext/>
        <w:keepLines/>
        <w:numPr>
          <w:ilvl w:val="0"/>
          <w:numId w:val="0"/>
        </w:numPr>
      </w:pPr>
    </w:p>
    <w:p w:rsidR="004862E0" w:rsidP="00DC612C" w14:paraId="1F4276B7" w14:textId="77777777">
      <w:pPr>
        <w:keepNext/>
        <w:keepLines/>
      </w:pPr>
      <w:r>
        <w:tab/>
      </w:r>
      <w:r>
        <w:tab/>
      </w:r>
      <w:r>
        <w:tab/>
      </w:r>
      <w:r>
        <w:tab/>
      </w:r>
      <w:r>
        <w:tab/>
      </w:r>
      <w:r>
        <w:tab/>
        <w:t>FEDERAL COMMUNICATIONS COMMISSION</w:t>
      </w:r>
    </w:p>
    <w:p w:rsidR="004862E0" w:rsidP="00DC612C" w14:paraId="53D1201F" w14:textId="77777777">
      <w:pPr>
        <w:keepNext/>
        <w:keepLines/>
      </w:pPr>
    </w:p>
    <w:p w:rsidR="004862E0" w:rsidP="00DC612C" w14:paraId="18CA36B5" w14:textId="77777777">
      <w:pPr>
        <w:keepNext/>
        <w:keepLines/>
      </w:pPr>
    </w:p>
    <w:p w:rsidR="004862E0" w:rsidP="00DC612C" w14:paraId="6C8775D8" w14:textId="77777777">
      <w:pPr>
        <w:keepNext/>
        <w:keepLines/>
      </w:pPr>
    </w:p>
    <w:p w:rsidR="004862E0" w:rsidRPr="002007ED" w:rsidP="00DC612C" w14:paraId="23C0D6FB" w14:textId="77777777">
      <w:pPr>
        <w:keepNext/>
        <w:keepLines/>
      </w:pPr>
      <w:r>
        <w:tab/>
      </w:r>
      <w:r>
        <w:tab/>
      </w:r>
      <w:r>
        <w:tab/>
      </w:r>
      <w:r>
        <w:tab/>
      </w:r>
      <w:r>
        <w:tab/>
      </w:r>
      <w:r>
        <w:tab/>
      </w:r>
      <w:r w:rsidRPr="002007ED">
        <w:t>Albert Shuldiner</w:t>
      </w:r>
    </w:p>
    <w:p w:rsidR="004862E0" w:rsidRPr="002007ED" w:rsidP="00DC612C" w14:paraId="38042A3C" w14:textId="77777777">
      <w:pPr>
        <w:keepNext/>
        <w:keepLines/>
      </w:pPr>
      <w:r w:rsidRPr="002007ED">
        <w:tab/>
      </w:r>
      <w:r w:rsidRPr="002007ED">
        <w:tab/>
      </w:r>
      <w:r w:rsidRPr="002007ED">
        <w:tab/>
      </w:r>
      <w:r w:rsidRPr="002007ED">
        <w:tab/>
      </w:r>
      <w:r w:rsidRPr="002007ED">
        <w:tab/>
      </w:r>
      <w:r w:rsidRPr="002007ED">
        <w:tab/>
        <w:t>Chief, Audio Division</w:t>
      </w:r>
    </w:p>
    <w:p w:rsidR="004862E0" w:rsidRPr="002007ED" w:rsidP="00DC612C" w14:paraId="12D50B7A" w14:textId="77777777">
      <w:pPr>
        <w:keepNext/>
        <w:keepLines/>
      </w:pPr>
      <w:r w:rsidRPr="002007ED">
        <w:tab/>
      </w:r>
      <w:r w:rsidRPr="002007ED">
        <w:tab/>
      </w:r>
      <w:r w:rsidRPr="002007ED">
        <w:tab/>
      </w:r>
      <w:r w:rsidRPr="002007ED">
        <w:tab/>
      </w:r>
      <w:r w:rsidRPr="002007ED">
        <w:tab/>
      </w:r>
      <w:r w:rsidRPr="002007ED">
        <w:tab/>
        <w:t>Media Bureau</w:t>
      </w:r>
    </w:p>
    <w:sectPr>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1B7E44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56209C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8FA5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4D4C9A0"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3E4DC4E4"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7AC5" w14:paraId="225D7158" w14:textId="77777777">
      <w:r>
        <w:separator/>
      </w:r>
    </w:p>
  </w:footnote>
  <w:footnote w:type="continuationSeparator" w:id="1">
    <w:p w:rsidR="00107AC5" w14:paraId="14A87891" w14:textId="77777777">
      <w:r>
        <w:continuationSeparator/>
      </w:r>
    </w:p>
  </w:footnote>
  <w:footnote w:id="2">
    <w:p w:rsidR="00880EB8" w14:paraId="76BE5D56" w14:textId="6B628362">
      <w:pPr>
        <w:pStyle w:val="FootnoteText"/>
      </w:pPr>
      <w:r>
        <w:rPr>
          <w:rStyle w:val="FootnoteReference"/>
        </w:rPr>
        <w:footnoteRef/>
      </w:r>
      <w:r>
        <w:t xml:space="preserve"> </w:t>
      </w:r>
      <w:r>
        <w:rPr>
          <w:i/>
          <w:iCs/>
        </w:rPr>
        <w:t>Shelby Broadcast Associates, LLC</w:t>
      </w:r>
      <w:r w:rsidRPr="00607051">
        <w:t xml:space="preserve">, </w:t>
      </w:r>
      <w:r w:rsidRPr="00607051">
        <w:rPr>
          <w:snapToGrid w:val="0"/>
        </w:rPr>
        <w:t>Memorandum Opinion and Order and Notice of Apparent Liability for Forfeiture, DA 2</w:t>
      </w:r>
      <w:r>
        <w:rPr>
          <w:snapToGrid w:val="0"/>
        </w:rPr>
        <w:t>4</w:t>
      </w:r>
      <w:r w:rsidRPr="00607051">
        <w:rPr>
          <w:snapToGrid w:val="0"/>
        </w:rPr>
        <w:t>-</w:t>
      </w:r>
      <w:r>
        <w:rPr>
          <w:snapToGrid w:val="0"/>
        </w:rPr>
        <w:t>51</w:t>
      </w:r>
      <w:r w:rsidRPr="00607051">
        <w:rPr>
          <w:snapToGrid w:val="0"/>
        </w:rPr>
        <w:t xml:space="preserve"> (MB </w:t>
      </w:r>
      <w:r>
        <w:rPr>
          <w:snapToGrid w:val="0"/>
        </w:rPr>
        <w:t>Jan. 17</w:t>
      </w:r>
      <w:r w:rsidRPr="00607051">
        <w:rPr>
          <w:snapToGrid w:val="0"/>
        </w:rPr>
        <w:t>, 202</w:t>
      </w:r>
      <w:r>
        <w:rPr>
          <w:snapToGrid w:val="0"/>
        </w:rPr>
        <w:t>4</w:t>
      </w:r>
      <w:r w:rsidRPr="00607051">
        <w:rPr>
          <w:snapToGrid w:val="0"/>
        </w:rPr>
        <w:t>).</w:t>
      </w:r>
    </w:p>
  </w:footnote>
  <w:footnote w:id="3">
    <w:p w:rsidR="00D24A39" w:rsidRPr="00674FAC" w:rsidP="00D24A39" w14:paraId="4C7947A8" w14:textId="77777777">
      <w:pPr>
        <w:pStyle w:val="FootnoteText"/>
      </w:pPr>
      <w:r w:rsidRPr="00674FAC">
        <w:rPr>
          <w:rStyle w:val="FootnoteReference"/>
        </w:rPr>
        <w:footnoteRef/>
      </w:r>
      <w:r w:rsidRPr="00674FAC">
        <w:t xml:space="preserve"> 47 U.S.C. § 301.</w:t>
      </w:r>
    </w:p>
  </w:footnote>
  <w:footnote w:id="4">
    <w:p w:rsidR="00D24A39" w:rsidRPr="00674FAC" w:rsidP="00D24A39" w14:paraId="63BECCB3" w14:textId="77777777">
      <w:pPr>
        <w:pStyle w:val="FootnoteText"/>
      </w:pPr>
      <w:r w:rsidRPr="00674FAC">
        <w:rPr>
          <w:rStyle w:val="FootnoteReference"/>
        </w:rPr>
        <w:footnoteRef/>
      </w:r>
      <w:r w:rsidRPr="00674FAC">
        <w:t xml:space="preserve"> 47 CFR § 73.1745(a).</w:t>
      </w:r>
    </w:p>
  </w:footnote>
  <w:footnote w:id="5">
    <w:p w:rsidR="00D24A39" w:rsidRPr="00674FAC" w:rsidP="00D24A39" w14:paraId="29BFD29C" w14:textId="77777777">
      <w:pPr>
        <w:pStyle w:val="FootnoteText"/>
      </w:pPr>
      <w:r w:rsidRPr="00674FAC">
        <w:rPr>
          <w:rStyle w:val="FootnoteReference"/>
        </w:rPr>
        <w:footnoteRef/>
      </w:r>
      <w:r w:rsidRPr="00674FAC">
        <w:t xml:space="preserve"> 47 CFR § 73.1635(a)(1).</w:t>
      </w:r>
    </w:p>
  </w:footnote>
  <w:footnote w:id="6">
    <w:p w:rsidR="004D4AF1" w:rsidRPr="00674FAC" w:rsidP="004D4AF1" w14:paraId="165897E8" w14:textId="77777777">
      <w:pPr>
        <w:pStyle w:val="FootnoteText"/>
      </w:pPr>
      <w:r w:rsidRPr="00674FAC">
        <w:rPr>
          <w:rStyle w:val="FootnoteReference"/>
        </w:rPr>
        <w:footnoteRef/>
      </w:r>
      <w:r w:rsidRPr="00674FAC">
        <w:t xml:space="preserve"> 47 CFR § 1.17.</w:t>
      </w:r>
    </w:p>
  </w:footnote>
  <w:footnote w:id="7">
    <w:p w:rsidR="00DE5208" w:rsidRPr="00674FAC" w:rsidP="00DE5208" w14:paraId="4884AE33" w14:textId="77777777">
      <w:pPr>
        <w:pStyle w:val="FootnoteText"/>
      </w:pPr>
      <w:r w:rsidRPr="00674FAC">
        <w:rPr>
          <w:rStyle w:val="FootnoteReference"/>
        </w:rPr>
        <w:footnoteRef/>
      </w:r>
      <w:r w:rsidRPr="00674FAC">
        <w:t xml:space="preserve"> </w:t>
      </w:r>
      <w:r w:rsidRPr="00674FAC">
        <w:rPr>
          <w:i/>
        </w:rPr>
        <w:t xml:space="preserve">See </w:t>
      </w:r>
      <w:r w:rsidRPr="00674FAC">
        <w:t>47 U.S.C. §</w:t>
      </w:r>
      <w:r>
        <w:t xml:space="preserve"> </w:t>
      </w:r>
      <w:r w:rsidRPr="00674FAC">
        <w:t xml:space="preserve">301; 47 CFR § 73.1350. </w:t>
      </w:r>
    </w:p>
  </w:footnote>
  <w:footnote w:id="8">
    <w:p w:rsidR="00DE5208" w:rsidRPr="00674FAC" w:rsidP="00DE5208" w14:paraId="251BC2C1" w14:textId="77777777">
      <w:pPr>
        <w:pStyle w:val="FootnoteText"/>
      </w:pPr>
      <w:r w:rsidRPr="00674FAC">
        <w:rPr>
          <w:rStyle w:val="FootnoteReference"/>
        </w:rPr>
        <w:footnoteRef/>
      </w:r>
      <w:r w:rsidRPr="00674FAC">
        <w:t xml:space="preserve"> 47 CFR § 73.1745(a).</w:t>
      </w:r>
    </w:p>
  </w:footnote>
  <w:footnote w:id="9">
    <w:p w:rsidR="005D7CFC" w:rsidRPr="00674FAC" w:rsidP="005D7CFC" w14:paraId="7FEAB564" w14:textId="77777777">
      <w:pPr>
        <w:pStyle w:val="FootnoteText"/>
      </w:pPr>
      <w:r w:rsidRPr="00674FAC">
        <w:rPr>
          <w:rStyle w:val="FootnoteReference"/>
        </w:rPr>
        <w:footnoteRef/>
      </w:r>
      <w:r w:rsidRPr="00674FAC">
        <w:t xml:space="preserve"> 47 CFR § </w:t>
      </w:r>
      <w:r w:rsidRPr="00725BF0">
        <w:t>73.1635</w:t>
      </w:r>
      <w:r w:rsidRPr="00674FAC">
        <w:t>.</w:t>
      </w:r>
    </w:p>
  </w:footnote>
  <w:footnote w:id="10">
    <w:p w:rsidR="00DE5208" w:rsidRPr="00674FAC" w:rsidP="00DE5208" w14:paraId="09AFFBB1" w14:textId="01AA160B">
      <w:pPr>
        <w:pStyle w:val="FootnoteText"/>
      </w:pPr>
      <w:r w:rsidRPr="00674FAC">
        <w:rPr>
          <w:rStyle w:val="FootnoteReference"/>
        </w:rPr>
        <w:footnoteRef/>
      </w:r>
      <w:r w:rsidRPr="00674FAC">
        <w:t xml:space="preserve"> </w:t>
      </w:r>
      <w:r>
        <w:rPr>
          <w:szCs w:val="22"/>
        </w:rPr>
        <w:t xml:space="preserve">47 CFR </w:t>
      </w:r>
      <w:r w:rsidRPr="00BE16BC">
        <w:rPr>
          <w:szCs w:val="22"/>
        </w:rPr>
        <w:t>73.1740(a)(4</w:t>
      </w:r>
      <w:r>
        <w:rPr>
          <w:szCs w:val="22"/>
        </w:rPr>
        <w:t>);</w:t>
      </w:r>
      <w:r w:rsidRPr="0069667D">
        <w:t xml:space="preserve"> </w:t>
      </w:r>
      <w:r w:rsidRPr="00674FAC">
        <w:rPr>
          <w:i/>
        </w:rPr>
        <w:t>South Seas Broad. Inc</w:t>
      </w:r>
      <w:r w:rsidRPr="00674FAC">
        <w:t>., Memorandum Opinion and Order and Notice of Apparent Liability, 23 FCC Rcd 6474, para</w:t>
      </w:r>
      <w:r w:rsidR="00DF1F19">
        <w:t>.</w:t>
      </w:r>
      <w:r w:rsidRPr="00674FAC">
        <w:t xml:space="preserve"> 2 (MB 2008).</w:t>
      </w:r>
    </w:p>
  </w:footnote>
  <w:footnote w:id="11">
    <w:p w:rsidR="00D5523E" w:rsidRPr="00F81D1D" w:rsidP="00D5523E" w14:paraId="68176C16" w14:textId="77777777">
      <w:pPr>
        <w:pStyle w:val="FootnoteText"/>
      </w:pPr>
      <w:r>
        <w:rPr>
          <w:rStyle w:val="FootnoteReference"/>
        </w:rPr>
        <w:footnoteRef/>
      </w:r>
      <w:r>
        <w:t xml:space="preserve"> </w:t>
      </w:r>
      <w:r>
        <w:rPr>
          <w:i/>
        </w:rPr>
        <w:t xml:space="preserve">See </w:t>
      </w:r>
      <w:r>
        <w:t>47 CFR § 1.17(a)(2).</w:t>
      </w:r>
    </w:p>
  </w:footnote>
  <w:footnote w:id="12">
    <w:p w:rsidR="00D5523E" w:rsidRPr="00637636" w:rsidP="00D5523E" w14:paraId="659A7AB5" w14:textId="77777777">
      <w:pPr>
        <w:pStyle w:val="FootnoteText"/>
      </w:pPr>
      <w:r>
        <w:rPr>
          <w:rStyle w:val="FootnoteReference"/>
        </w:rPr>
        <w:footnoteRef/>
      </w:r>
      <w:r>
        <w:t xml:space="preserve"> </w:t>
      </w:r>
      <w:r>
        <w:rPr>
          <w:i/>
        </w:rPr>
        <w:t xml:space="preserve">See Amendment of Section 1.17 of the Commission’s Rules Concerning Truthful Statements to the Commission, </w:t>
      </w:r>
      <w:r>
        <w:t xml:space="preserve">Report and Order, 18 FCC Rcd 4016, 4017, para. 5 (2003) (subsequent history omitted).  </w:t>
      </w:r>
    </w:p>
  </w:footnote>
  <w:footnote w:id="13">
    <w:p w:rsidR="005608A0" w14:paraId="0B831917" w14:textId="30D2DFC7">
      <w:pPr>
        <w:pStyle w:val="FootnoteText"/>
      </w:pPr>
      <w:r>
        <w:rPr>
          <w:rStyle w:val="FootnoteReference"/>
        </w:rPr>
        <w:footnoteRef/>
      </w:r>
      <w:r>
        <w:t xml:space="preserve"> </w:t>
      </w:r>
      <w:r w:rsidR="00C07250">
        <w:t>Application File No. 0000091616 (filed Nov. 27, 2019).</w:t>
      </w:r>
    </w:p>
  </w:footnote>
  <w:footnote w:id="14">
    <w:p w:rsidR="003A22F6" w:rsidRPr="00607051" w:rsidP="00EF276B" w14:paraId="522A86F5" w14:textId="3591A3E3">
      <w:pPr>
        <w:pStyle w:val="FootnoteText"/>
      </w:pPr>
      <w:r w:rsidRPr="00607051">
        <w:rPr>
          <w:rStyle w:val="FootnoteReference"/>
        </w:rPr>
        <w:footnoteRef/>
      </w:r>
      <w:r w:rsidRPr="00607051" w:rsidR="00E43B6B">
        <w:rPr>
          <w:i/>
          <w:iCs/>
        </w:rPr>
        <w:t xml:space="preserve"> </w:t>
      </w:r>
      <w:r w:rsidR="00880EB8">
        <w:rPr>
          <w:i/>
          <w:iCs/>
        </w:rPr>
        <w:t xml:space="preserve">NAL </w:t>
      </w:r>
      <w:r w:rsidR="00880EB8">
        <w:t xml:space="preserve">at </w:t>
      </w:r>
      <w:r w:rsidR="00C740C5">
        <w:t>2, para.</w:t>
      </w:r>
      <w:r w:rsidR="000E1E28">
        <w:t xml:space="preserve"> </w:t>
      </w:r>
      <w:r w:rsidR="00C740C5">
        <w:t>2</w:t>
      </w:r>
      <w:r w:rsidRPr="00607051">
        <w:rPr>
          <w:snapToGrid w:val="0"/>
        </w:rPr>
        <w:t>.</w:t>
      </w:r>
    </w:p>
  </w:footnote>
  <w:footnote w:id="15">
    <w:p w:rsidR="00D13C33" w:rsidRPr="00C962F4" w:rsidP="00EF276B" w14:paraId="0634171A" w14:textId="5C2656B2">
      <w:pPr>
        <w:autoSpaceDE w:val="0"/>
        <w:autoSpaceDN w:val="0"/>
        <w:adjustRightInd w:val="0"/>
        <w:spacing w:after="120"/>
        <w:rPr>
          <w:kern w:val="0"/>
          <w:sz w:val="20"/>
        </w:rPr>
      </w:pPr>
      <w:r w:rsidRPr="00C962F4">
        <w:rPr>
          <w:rStyle w:val="FootnoteReference"/>
        </w:rPr>
        <w:footnoteRef/>
      </w:r>
      <w:r w:rsidRPr="00C962F4">
        <w:rPr>
          <w:sz w:val="20"/>
        </w:rPr>
        <w:t xml:space="preserve"> </w:t>
      </w:r>
      <w:r w:rsidRPr="00C962F4" w:rsidR="001C184A">
        <w:rPr>
          <w:i/>
          <w:iCs/>
          <w:sz w:val="20"/>
        </w:rPr>
        <w:t xml:space="preserve">NAL </w:t>
      </w:r>
      <w:r w:rsidRPr="00C962F4" w:rsidR="001C184A">
        <w:rPr>
          <w:sz w:val="20"/>
        </w:rPr>
        <w:t xml:space="preserve">at </w:t>
      </w:r>
      <w:r w:rsidRPr="00C962F4" w:rsidR="008A0899">
        <w:rPr>
          <w:sz w:val="20"/>
        </w:rPr>
        <w:t>9</w:t>
      </w:r>
      <w:r w:rsidRPr="00C962F4" w:rsidR="001C184A">
        <w:rPr>
          <w:sz w:val="20"/>
        </w:rPr>
        <w:t>, para.</w:t>
      </w:r>
      <w:r w:rsidRPr="00C962F4" w:rsidR="008A0899">
        <w:rPr>
          <w:sz w:val="20"/>
        </w:rPr>
        <w:t xml:space="preserve"> 2</w:t>
      </w:r>
      <w:r w:rsidRPr="00C962F4" w:rsidR="001C184A">
        <w:rPr>
          <w:sz w:val="20"/>
        </w:rPr>
        <w:t>6 (citing</w:t>
      </w:r>
      <w:r w:rsidRPr="00C962F4">
        <w:rPr>
          <w:i/>
          <w:iCs/>
          <w:kern w:val="0"/>
          <w:sz w:val="20"/>
        </w:rPr>
        <w:t xml:space="preserve"> </w:t>
      </w:r>
      <w:r w:rsidRPr="00C962F4" w:rsidR="00C962F4">
        <w:rPr>
          <w:i/>
          <w:sz w:val="20"/>
        </w:rPr>
        <w:t>Forfeiture Policy Statement and Amendment of Section 1.80(b) of the Rules to Incorporate the Forfeiture Guidelines</w:t>
      </w:r>
      <w:r w:rsidRPr="00C962F4" w:rsidR="00C962F4">
        <w:rPr>
          <w:sz w:val="20"/>
        </w:rPr>
        <w:t xml:space="preserve">, Report and Order, 12 FCC Rcd 17087, 17113-15 (1997) </w:t>
      </w:r>
      <w:r w:rsidRPr="003629B8" w:rsidR="00C962F4">
        <w:rPr>
          <w:iCs/>
          <w:sz w:val="20"/>
        </w:rPr>
        <w:t>(</w:t>
      </w:r>
      <w:r w:rsidRPr="00C962F4" w:rsidR="00C962F4">
        <w:rPr>
          <w:i/>
          <w:sz w:val="20"/>
        </w:rPr>
        <w:t>Forfeiture Policy Statement</w:t>
      </w:r>
      <w:r w:rsidRPr="003629B8" w:rsidR="00C962F4">
        <w:rPr>
          <w:iCs/>
          <w:sz w:val="20"/>
        </w:rPr>
        <w:t>)</w:t>
      </w:r>
      <w:r w:rsidRPr="00C962F4" w:rsidR="00C962F4">
        <w:rPr>
          <w:i/>
          <w:sz w:val="20"/>
        </w:rPr>
        <w:t>,</w:t>
      </w:r>
      <w:r w:rsidRPr="00C962F4" w:rsidR="00C962F4">
        <w:rPr>
          <w:sz w:val="20"/>
        </w:rPr>
        <w:t xml:space="preserve"> </w:t>
      </w:r>
      <w:r w:rsidRPr="00C962F4" w:rsidR="00C962F4">
        <w:rPr>
          <w:i/>
          <w:sz w:val="20"/>
        </w:rPr>
        <w:t>recon. denied</w:t>
      </w:r>
      <w:r w:rsidRPr="00C962F4" w:rsidR="00C962F4">
        <w:rPr>
          <w:sz w:val="20"/>
        </w:rPr>
        <w:t>, 15 FCC Rcd 303 (1999); 47 CFR § 1.80, Paragraph (b)(1</w:t>
      </w:r>
      <w:r w:rsidR="002321C1">
        <w:rPr>
          <w:sz w:val="20"/>
        </w:rPr>
        <w:t>1</w:t>
      </w:r>
      <w:r w:rsidRPr="00C962F4" w:rsidR="00C962F4">
        <w:rPr>
          <w:sz w:val="20"/>
        </w:rPr>
        <w:t>), Table 1)</w:t>
      </w:r>
      <w:r w:rsidR="000E1E28">
        <w:rPr>
          <w:sz w:val="20"/>
        </w:rPr>
        <w:t>.</w:t>
      </w:r>
    </w:p>
  </w:footnote>
  <w:footnote w:id="16">
    <w:p w:rsidR="00C76ED2" w:rsidP="00C76ED2" w14:paraId="333D0410" w14:textId="788D2CA7">
      <w:pPr>
        <w:pStyle w:val="FootnoteText"/>
      </w:pPr>
      <w:r>
        <w:rPr>
          <w:rStyle w:val="FootnoteReference"/>
        </w:rPr>
        <w:footnoteRef/>
      </w:r>
      <w:r>
        <w:t xml:space="preserve"> </w:t>
      </w:r>
      <w:r w:rsidR="002F4876">
        <w:rPr>
          <w:i/>
          <w:iCs/>
        </w:rPr>
        <w:t>NAL</w:t>
      </w:r>
      <w:r w:rsidR="00AA7AD6">
        <w:rPr>
          <w:i/>
          <w:iCs/>
        </w:rPr>
        <w:t xml:space="preserve"> </w:t>
      </w:r>
      <w:r w:rsidR="00AA7AD6">
        <w:t xml:space="preserve">at </w:t>
      </w:r>
      <w:r w:rsidR="0034074A">
        <w:t>10, para. 27</w:t>
      </w:r>
      <w:r w:rsidR="00F91CF9">
        <w:t xml:space="preserve"> (</w:t>
      </w:r>
      <w:r w:rsidR="0034074A">
        <w:t>citing</w:t>
      </w:r>
      <w:r>
        <w:rPr>
          <w:rStyle w:val="Emphasis"/>
        </w:rPr>
        <w:t xml:space="preserve"> Corning Christian Radio Corp.</w:t>
      </w:r>
      <w:r>
        <w:t xml:space="preserve">, Memorandum Opinion and Order and Notice of Apparent Liability for Forfeiture, DA 22-1084 (MB Oct. 12, 2022); </w:t>
      </w:r>
      <w:r>
        <w:rPr>
          <w:i/>
          <w:iCs/>
        </w:rPr>
        <w:t xml:space="preserve">Virginia Center for Public Press, </w:t>
      </w:r>
      <w:r>
        <w:t>Memorandum Opinion and Order and Notice for Apparent Liability for Forfeiture, 34 FCC Rcd 9312 (MB 2019) (each reducing forfeiture for untimely filed renewal application for LPFM station due to secondary service status)</w:t>
      </w:r>
      <w:r w:rsidR="00F91CF9">
        <w:t>)</w:t>
      </w:r>
      <w:r>
        <w:t>.</w:t>
      </w:r>
    </w:p>
  </w:footnote>
  <w:footnote w:id="17">
    <w:p w:rsidR="00C76ED2" w:rsidRPr="008C6879" w:rsidP="00C76ED2" w14:paraId="46D19980" w14:textId="716370A1">
      <w:pPr>
        <w:pStyle w:val="FootnoteText"/>
        <w:rPr>
          <w:i/>
          <w:iCs/>
        </w:rPr>
      </w:pPr>
      <w:r>
        <w:rPr>
          <w:rStyle w:val="FootnoteReference"/>
        </w:rPr>
        <w:footnoteRef/>
      </w:r>
      <w:r>
        <w:t xml:space="preserve"> </w:t>
      </w:r>
      <w:r w:rsidR="00D072DD">
        <w:rPr>
          <w:i/>
          <w:iCs/>
        </w:rPr>
        <w:t>Id.</w:t>
      </w:r>
      <w:r w:rsidR="00D072DD">
        <w:t xml:space="preserve"> </w:t>
      </w:r>
      <w:r w:rsidR="00F91CF9">
        <w:t>(</w:t>
      </w:r>
      <w:r w:rsidR="009620AD">
        <w:t xml:space="preserve">citing </w:t>
      </w:r>
      <w:r>
        <w:rPr>
          <w:i/>
          <w:iCs/>
        </w:rPr>
        <w:t xml:space="preserve">E-String Wireless, </w:t>
      </w:r>
      <w:r w:rsidRPr="00770938">
        <w:t>Memorandum Opinion and Order and Notice of Apparent Liability for Forfeiture</w:t>
      </w:r>
      <w:r>
        <w:t>, 31 FCC Rcd 133, 139, para. 16 and n.50 (MB 2016) (proposing $5,000 forfeiture to licensee of translator that made false certifications in license to cover application, and noting a higher forfeiture would be appropriate for licensees of full-service stations)</w:t>
      </w:r>
      <w:r>
        <w:rPr>
          <w:i/>
          <w:iCs/>
        </w:rPr>
        <w:t xml:space="preserve">; </w:t>
      </w:r>
      <w:r w:rsidRPr="003A3652">
        <w:rPr>
          <w:i/>
          <w:iCs/>
        </w:rPr>
        <w:t>San Francisco Unified School District</w:t>
      </w:r>
      <w:r w:rsidRPr="008E5BFD">
        <w:t xml:space="preserve">, Hearing Designation Order and Notice of Apparent Liability for Forfeiture, 19 FCC Rcd 13326, 13334, para. 19, n.40 (2004) (false certifications are abuses of Commission processes which waste Commission resources and which may not only violate 47 CFR § 73.1015 but </w:t>
      </w:r>
      <w:r w:rsidR="000E1E28">
        <w:t xml:space="preserve">also </w:t>
      </w:r>
      <w:r w:rsidRPr="008E5BFD">
        <w:t>may subject the applicant to a monetary forfeiture as well as criminal liability under 18 U.S.C. § 1001</w:t>
      </w:r>
      <w:r w:rsidR="00F91CF9">
        <w:t>)</w:t>
      </w:r>
      <w:r w:rsidRPr="008E5BFD">
        <w:t>).</w:t>
      </w:r>
    </w:p>
  </w:footnote>
  <w:footnote w:id="18">
    <w:p w:rsidR="008426F1" w:rsidRPr="00607051" w:rsidP="00EF276B" w14:paraId="44884F07" w14:textId="35868CB6">
      <w:pPr>
        <w:pStyle w:val="FootnoteText"/>
      </w:pPr>
      <w:r w:rsidRPr="00607051">
        <w:rPr>
          <w:rStyle w:val="FootnoteReference"/>
        </w:rPr>
        <w:footnoteRef/>
      </w:r>
      <w:r w:rsidRPr="00607051">
        <w:t xml:space="preserve"> </w:t>
      </w:r>
      <w:r w:rsidRPr="00607051" w:rsidR="003A22F6">
        <w:rPr>
          <w:i/>
          <w:iCs/>
        </w:rPr>
        <w:t>Id.</w:t>
      </w:r>
      <w:r w:rsidRPr="00607051" w:rsidR="003A22F6">
        <w:t xml:space="preserve"> at</w:t>
      </w:r>
      <w:r w:rsidRPr="00607051" w:rsidR="00DF778B">
        <w:t xml:space="preserve"> </w:t>
      </w:r>
      <w:r w:rsidR="00AF258B">
        <w:t>12</w:t>
      </w:r>
      <w:r w:rsidRPr="00607051" w:rsidR="00DF778B">
        <w:t>,</w:t>
      </w:r>
      <w:r w:rsidRPr="00607051">
        <w:t xml:space="preserve"> para. </w:t>
      </w:r>
      <w:r w:rsidR="00AF258B">
        <w:t>35</w:t>
      </w:r>
      <w:r w:rsidRPr="00607051">
        <w:t>.</w:t>
      </w:r>
    </w:p>
  </w:footnote>
  <w:footnote w:id="19">
    <w:p w:rsidR="00397006" w:rsidRPr="00AC4D0A" w:rsidP="00EF276B" w14:paraId="2CCC0DD6" w14:textId="6937B84D">
      <w:pPr>
        <w:pStyle w:val="FootnoteText"/>
        <w:rPr>
          <w:bCs/>
          <w:i/>
          <w:iCs/>
        </w:rPr>
      </w:pPr>
      <w:r w:rsidRPr="00607051">
        <w:rPr>
          <w:rStyle w:val="FootnoteReference"/>
        </w:rPr>
        <w:footnoteRef/>
      </w:r>
      <w:r w:rsidRPr="00607051">
        <w:t xml:space="preserve"> </w:t>
      </w:r>
      <w:r w:rsidR="00D472FB">
        <w:t>Forfeiture Cancellation Request</w:t>
      </w:r>
      <w:r w:rsidR="00374F8D">
        <w:t>, Pleading File No.</w:t>
      </w:r>
      <w:r w:rsidRPr="00F57BA1" w:rsidR="00F57BA1">
        <w:t xml:space="preserve"> 0000239090</w:t>
      </w:r>
      <w:r w:rsidRPr="00607051" w:rsidR="005B3AE0">
        <w:t xml:space="preserve"> (</w:t>
      </w:r>
      <w:r w:rsidR="0038358F">
        <w:t>file</w:t>
      </w:r>
      <w:r w:rsidRPr="00607051" w:rsidR="0038358F">
        <w:t xml:space="preserve">d </w:t>
      </w:r>
      <w:r w:rsidR="000156A7">
        <w:t>Feb.</w:t>
      </w:r>
      <w:r w:rsidR="00D57209">
        <w:t xml:space="preserve"> 1</w:t>
      </w:r>
      <w:r w:rsidR="000156A7">
        <w:t>6</w:t>
      </w:r>
      <w:r w:rsidRPr="00607051" w:rsidR="005B3AE0">
        <w:t>, 202</w:t>
      </w:r>
      <w:r w:rsidR="000156A7">
        <w:t>4</w:t>
      </w:r>
      <w:r w:rsidRPr="00607051" w:rsidR="005B3AE0">
        <w:t>)</w:t>
      </w:r>
      <w:r w:rsidR="00922B08">
        <w:t xml:space="preserve"> (NAL Response)</w:t>
      </w:r>
      <w:r w:rsidRPr="00607051" w:rsidR="005B3AE0">
        <w:t xml:space="preserve">. </w:t>
      </w:r>
      <w:r w:rsidR="00F57BA1">
        <w:t xml:space="preserve"> The </w:t>
      </w:r>
      <w:r w:rsidR="00D472FB">
        <w:t xml:space="preserve">NAL </w:t>
      </w:r>
      <w:r w:rsidR="00CA7874">
        <w:t>Response was redacted and included a</w:t>
      </w:r>
      <w:r w:rsidR="00F57BA1">
        <w:t xml:space="preserve"> request for confidential treatment</w:t>
      </w:r>
      <w:r w:rsidR="00A87B4A">
        <w:t xml:space="preserve"> of its </w:t>
      </w:r>
      <w:r w:rsidR="00EC2119">
        <w:t xml:space="preserve">tax information pursuant to </w:t>
      </w:r>
      <w:r w:rsidR="00EC2119">
        <w:rPr>
          <w:rFonts w:ascii="TimesNewRomanPSMT" w:hAnsi="TimesNewRomanPSMT" w:cs="TimesNewRomanPSMT"/>
        </w:rPr>
        <w:t>5 U.S.C. §</w:t>
      </w:r>
      <w:r w:rsidR="00590084">
        <w:rPr>
          <w:rFonts w:ascii="TimesNewRomanPSMT" w:hAnsi="TimesNewRomanPSMT" w:cs="TimesNewRomanPSMT"/>
        </w:rPr>
        <w:t xml:space="preserve"> </w:t>
      </w:r>
      <w:r w:rsidR="00EC2119">
        <w:rPr>
          <w:rFonts w:ascii="TimesNewRomanPSMT" w:hAnsi="TimesNewRomanPSMT" w:cs="TimesNewRomanPSMT"/>
        </w:rPr>
        <w:t>552(b)(4) and 47 CFR §</w:t>
      </w:r>
      <w:r w:rsidR="00590084">
        <w:rPr>
          <w:rFonts w:ascii="TimesNewRomanPSMT" w:hAnsi="TimesNewRomanPSMT" w:cs="TimesNewRomanPSMT"/>
        </w:rPr>
        <w:t xml:space="preserve"> </w:t>
      </w:r>
      <w:r w:rsidR="00EC2119">
        <w:rPr>
          <w:rFonts w:ascii="TimesNewRomanPSMT" w:hAnsi="TimesNewRomanPSMT" w:cs="TimesNewRomanPSMT"/>
        </w:rPr>
        <w:t>0.457(d)(1).</w:t>
      </w:r>
      <w:r w:rsidR="00CA7874">
        <w:t xml:space="preserve">  </w:t>
      </w:r>
      <w:r w:rsidR="00FF4061">
        <w:t xml:space="preserve">In accordance with this request, </w:t>
      </w:r>
      <w:r w:rsidR="00CA7874">
        <w:t xml:space="preserve">Licensee also </w:t>
      </w:r>
      <w:r w:rsidR="00157232">
        <w:t>submit</w:t>
      </w:r>
      <w:r w:rsidR="00590084">
        <w:t>ted</w:t>
      </w:r>
      <w:r w:rsidR="00CA7874">
        <w:t xml:space="preserve"> an unredacted </w:t>
      </w:r>
      <w:r w:rsidR="00FF4061">
        <w:t xml:space="preserve">version of the </w:t>
      </w:r>
      <w:r w:rsidR="00606FCF">
        <w:t>NAL Response</w:t>
      </w:r>
      <w:r w:rsidR="00AC4D0A">
        <w:t xml:space="preserve"> to Bureau staff. </w:t>
      </w:r>
      <w:r w:rsidR="00847BE5">
        <w:t xml:space="preserve"> </w:t>
      </w:r>
      <w:r w:rsidR="005E5E99">
        <w:t xml:space="preserve">Email from </w:t>
      </w:r>
      <w:r w:rsidRPr="00D514E4" w:rsidR="00752A36">
        <w:rPr>
          <w:szCs w:val="22"/>
        </w:rPr>
        <w:t>Scott Woodworth, Esq.</w:t>
      </w:r>
      <w:r w:rsidR="005E5E99">
        <w:t>, to Albert Shuldiner, Chief, Audio Division, FCC Media Bureau (</w:t>
      </w:r>
      <w:r w:rsidR="00752A36">
        <w:t>Feb</w:t>
      </w:r>
      <w:r w:rsidR="005E5E99">
        <w:t xml:space="preserve">. </w:t>
      </w:r>
      <w:r w:rsidR="00752A36">
        <w:t>16</w:t>
      </w:r>
      <w:r w:rsidR="005E5E99">
        <w:t>, 202</w:t>
      </w:r>
      <w:r w:rsidR="00752A36">
        <w:t>4</w:t>
      </w:r>
      <w:r w:rsidR="005E5E99">
        <w:t xml:space="preserve">, </w:t>
      </w:r>
      <w:r w:rsidR="00C740C5">
        <w:t>0</w:t>
      </w:r>
      <w:r w:rsidR="000E4027">
        <w:t>7:44</w:t>
      </w:r>
      <w:r w:rsidR="005E5E99">
        <w:t xml:space="preserve"> E</w:t>
      </w:r>
      <w:r w:rsidR="00AD19B0">
        <w:t>S</w:t>
      </w:r>
      <w:r w:rsidR="005E5E99">
        <w:t>T).</w:t>
      </w:r>
    </w:p>
  </w:footnote>
  <w:footnote w:id="20">
    <w:p w:rsidR="00360771" w14:paraId="6B41326D" w14:textId="726289A8">
      <w:pPr>
        <w:pStyle w:val="FootnoteText"/>
      </w:pPr>
      <w:r>
        <w:rPr>
          <w:rStyle w:val="FootnoteReference"/>
        </w:rPr>
        <w:footnoteRef/>
      </w:r>
      <w:r>
        <w:t xml:space="preserve"> NAL Response at 2.</w:t>
      </w:r>
    </w:p>
  </w:footnote>
  <w:footnote w:id="21">
    <w:p w:rsidR="000E351B" w:rsidRPr="008A7B79" w14:paraId="610228E7" w14:textId="7267C090">
      <w:pPr>
        <w:pStyle w:val="FootnoteText"/>
      </w:pPr>
      <w:r>
        <w:rPr>
          <w:rStyle w:val="FootnoteReference"/>
        </w:rPr>
        <w:footnoteRef/>
      </w:r>
      <w:r>
        <w:t xml:space="preserve"> </w:t>
      </w:r>
      <w:r w:rsidR="008A7B79">
        <w:t>NAL Response, Exh.</w:t>
      </w:r>
      <w:r w:rsidR="001F4D99">
        <w:t xml:space="preserve"> A.</w:t>
      </w:r>
    </w:p>
  </w:footnote>
  <w:footnote w:id="22">
    <w:p w:rsidR="0044201A" w:rsidRPr="0072332E" w:rsidP="00EF276B" w14:paraId="5F2DD47C" w14:textId="77777777">
      <w:pPr>
        <w:pStyle w:val="FootnoteText"/>
      </w:pPr>
      <w:r w:rsidRPr="0072332E">
        <w:rPr>
          <w:rStyle w:val="FootnoteReference"/>
        </w:rPr>
        <w:footnoteRef/>
      </w:r>
      <w:r w:rsidRPr="0072332E">
        <w:t xml:space="preserve"> 47 U.S.C. § 503(b).</w:t>
      </w:r>
    </w:p>
  </w:footnote>
  <w:footnote w:id="23">
    <w:p w:rsidR="0044201A" w:rsidP="00EF276B" w14:paraId="7C3D85D7" w14:textId="77777777">
      <w:pPr>
        <w:pStyle w:val="FootnoteText"/>
      </w:pPr>
      <w:r>
        <w:rPr>
          <w:rStyle w:val="FootnoteReference"/>
        </w:rPr>
        <w:footnoteRef/>
      </w:r>
      <w:r>
        <w:t xml:space="preserve"> </w:t>
      </w:r>
      <w:r w:rsidRPr="00A403D9">
        <w:t>47 CFR § 1.80.</w:t>
      </w:r>
    </w:p>
  </w:footnote>
  <w:footnote w:id="24">
    <w:p w:rsidR="0044201A" w:rsidP="00EF276B" w14:paraId="5F447F6A" w14:textId="09D0370C">
      <w:pPr>
        <w:pStyle w:val="FootnoteText"/>
      </w:pPr>
      <w:r>
        <w:rPr>
          <w:rStyle w:val="FootnoteReference"/>
        </w:rPr>
        <w:footnoteRef/>
      </w:r>
      <w:r>
        <w:t xml:space="preserve"> </w:t>
      </w:r>
      <w:r w:rsidR="00E0583B">
        <w:rPr>
          <w:i/>
          <w:iCs/>
        </w:rPr>
        <w:t xml:space="preserve">See generally, </w:t>
      </w:r>
      <w:r w:rsidRPr="00A403D9">
        <w:rPr>
          <w:i/>
        </w:rPr>
        <w:t>Forfeiture Policy Statement</w:t>
      </w:r>
      <w:r w:rsidR="00E0583B">
        <w:rPr>
          <w:iCs/>
        </w:rPr>
        <w:t>.</w:t>
      </w:r>
    </w:p>
  </w:footnote>
  <w:footnote w:id="25">
    <w:p w:rsidR="0044201A" w:rsidRPr="00A403D9" w:rsidP="00EF276B" w14:paraId="61D8FE84" w14:textId="77777777">
      <w:pPr>
        <w:pStyle w:val="FootnoteText"/>
      </w:pPr>
      <w:r w:rsidRPr="00A403D9">
        <w:rPr>
          <w:rStyle w:val="FootnoteReference"/>
        </w:rPr>
        <w:footnoteRef/>
      </w:r>
      <w:r w:rsidRPr="00A403D9">
        <w:t xml:space="preserve"> 47 U.S.C. § 503(b)(2)(E).</w:t>
      </w:r>
    </w:p>
  </w:footnote>
  <w:footnote w:id="26">
    <w:p w:rsidR="00400564" w:rsidP="008C36DB" w14:paraId="2ABCD8A2" w14:textId="2EEECE24">
      <w:pPr>
        <w:pStyle w:val="FootnoteText"/>
      </w:pPr>
      <w:r>
        <w:rPr>
          <w:rStyle w:val="FootnoteReference"/>
        </w:rPr>
        <w:footnoteRef/>
      </w:r>
      <w:r>
        <w:t xml:space="preserve"> </w:t>
      </w:r>
      <w:r w:rsidRPr="00841AC4" w:rsidR="008C36DB">
        <w:rPr>
          <w:i/>
          <w:iCs/>
        </w:rPr>
        <w:t>Unipoint Tech</w:t>
      </w:r>
      <w:r w:rsidRPr="00841AC4" w:rsidR="0035646B">
        <w:rPr>
          <w:i/>
          <w:iCs/>
        </w:rPr>
        <w:t>nologie</w:t>
      </w:r>
      <w:r w:rsidRPr="00841AC4" w:rsidR="008C36DB">
        <w:rPr>
          <w:i/>
          <w:iCs/>
        </w:rPr>
        <w:t>s, Inc</w:t>
      </w:r>
      <w:r w:rsidR="008C36DB">
        <w:t>.</w:t>
      </w:r>
      <w:r w:rsidR="0035646B">
        <w:t xml:space="preserve">, Forfeiture Order, </w:t>
      </w:r>
      <w:r w:rsidR="008C36DB">
        <w:t>29 F</w:t>
      </w:r>
      <w:r w:rsidR="0035646B">
        <w:t>CC</w:t>
      </w:r>
      <w:r w:rsidR="008C36DB">
        <w:t xml:space="preserve"> Rcd 1633, 1643</w:t>
      </w:r>
      <w:r w:rsidR="00590084">
        <w:t>,</w:t>
      </w:r>
      <w:r w:rsidR="008C36DB">
        <w:t xml:space="preserve"> </w:t>
      </w:r>
      <w:r w:rsidR="00333508">
        <w:t xml:space="preserve">para. 29 </w:t>
      </w:r>
      <w:r w:rsidR="008C36DB">
        <w:t>(2014)</w:t>
      </w:r>
      <w:r w:rsidR="00915F4C">
        <w:t xml:space="preserve">; </w:t>
      </w:r>
      <w:r w:rsidRPr="00915F4C" w:rsidR="00915F4C">
        <w:rPr>
          <w:i/>
          <w:iCs/>
        </w:rPr>
        <w:t>Sunstar Travel &amp; Tours, Inc</w:t>
      </w:r>
      <w:r w:rsidRPr="00915F4C" w:rsidR="00915F4C">
        <w:t>., Forfeiture Order, 25 FCC R</w:t>
      </w:r>
      <w:r w:rsidR="00915F4C">
        <w:t>c</w:t>
      </w:r>
      <w:r w:rsidRPr="00915F4C" w:rsidR="00915F4C">
        <w:t>d 13804</w:t>
      </w:r>
      <w:r w:rsidR="00915F4C">
        <w:t>,</w:t>
      </w:r>
      <w:r w:rsidRPr="00915F4C" w:rsidR="00915F4C">
        <w:t xml:space="preserve"> 13808</w:t>
      </w:r>
      <w:r w:rsidR="00590084">
        <w:t>,</w:t>
      </w:r>
      <w:r w:rsidRPr="00915F4C" w:rsidR="00915F4C">
        <w:t xml:space="preserve"> para. 14 (2010)</w:t>
      </w:r>
      <w:r w:rsidR="00915F4C">
        <w:t>.</w:t>
      </w:r>
    </w:p>
  </w:footnote>
  <w:footnote w:id="27">
    <w:p w:rsidR="00F27221" w:rsidP="00F27221" w14:paraId="18E45FE6" w14:textId="648C1F20">
      <w:pPr>
        <w:pStyle w:val="FootnoteText"/>
      </w:pPr>
      <w:r>
        <w:rPr>
          <w:rStyle w:val="FootnoteReference"/>
        </w:rPr>
        <w:footnoteRef/>
      </w:r>
      <w:r>
        <w:t xml:space="preserve"> </w:t>
      </w:r>
      <w:r w:rsidRPr="00D966C9">
        <w:rPr>
          <w:i/>
          <w:iCs/>
        </w:rPr>
        <w:t>See PJB Communications</w:t>
      </w:r>
      <w:r w:rsidRPr="00D966C9" w:rsidR="00D966C9">
        <w:rPr>
          <w:i/>
          <w:iCs/>
        </w:rPr>
        <w:t xml:space="preserve"> of Virginia, Inc</w:t>
      </w:r>
      <w:r w:rsidR="00D966C9">
        <w:t>.</w:t>
      </w:r>
      <w:r>
        <w:t>,</w:t>
      </w:r>
      <w:r w:rsidR="00FA2569">
        <w:t xml:space="preserve"> Memorandum Opinion and Order,</w:t>
      </w:r>
      <w:r>
        <w:t xml:space="preserve"> 7 FCC Rcd at 2089 (forfeiture not deemed excessive where it represented approximately 2.02 percent of the violator's gross revenues); </w:t>
      </w:r>
      <w:r w:rsidRPr="00D966C9">
        <w:rPr>
          <w:i/>
          <w:iCs/>
        </w:rPr>
        <w:t>Local Long Distance, Inc</w:t>
      </w:r>
      <w:r>
        <w:t xml:space="preserve">., </w:t>
      </w:r>
      <w:r w:rsidR="0046538A">
        <w:t xml:space="preserve">Order of Reconsideration, </w:t>
      </w:r>
      <w:r>
        <w:t xml:space="preserve">16 FCC Rcd at 10025 (forfeiture not deemed excessive where it represented approximately 7.9 percent of the violator's gross revenues); </w:t>
      </w:r>
      <w:r w:rsidRPr="0046538A">
        <w:rPr>
          <w:i/>
          <w:iCs/>
        </w:rPr>
        <w:t>Hoosier Broad</w:t>
      </w:r>
      <w:r w:rsidR="000E1E28">
        <w:rPr>
          <w:i/>
          <w:iCs/>
        </w:rPr>
        <w:t>.</w:t>
      </w:r>
      <w:r w:rsidRPr="0046538A">
        <w:rPr>
          <w:i/>
          <w:iCs/>
        </w:rPr>
        <w:t xml:space="preserve"> Corp</w:t>
      </w:r>
      <w:r w:rsidR="000E1E28">
        <w:rPr>
          <w:i/>
          <w:iCs/>
        </w:rPr>
        <w:t>.</w:t>
      </w:r>
      <w:r>
        <w:t xml:space="preserve">, </w:t>
      </w:r>
      <w:r w:rsidR="00EA61FF">
        <w:t xml:space="preserve">Memorandum Opinion and Order, </w:t>
      </w:r>
      <w:r>
        <w:t>15 FCC Rcd 8640, 8641 (</w:t>
      </w:r>
      <w:r>
        <w:t>Enf</w:t>
      </w:r>
      <w:r>
        <w:t>. Bur. 2002) (forfeiture not deemed excessive where it represented approximately 7.6 percent of the violator's gross revenues).</w:t>
      </w:r>
    </w:p>
  </w:footnote>
  <w:footnote w:id="28">
    <w:p w:rsidR="00B052E6" w:rsidP="00B052E6" w14:paraId="3C0D2A9F" w14:textId="5690954A">
      <w:pPr>
        <w:pStyle w:val="FootnoteText"/>
      </w:pPr>
      <w:r>
        <w:rPr>
          <w:rStyle w:val="FootnoteReference"/>
        </w:rPr>
        <w:footnoteRef/>
      </w:r>
      <w:r>
        <w:t xml:space="preserve"> </w:t>
      </w:r>
      <w:r w:rsidRPr="009E3A00">
        <w:rPr>
          <w:i/>
          <w:iCs/>
        </w:rPr>
        <w:t>D.T.V., LLC</w:t>
      </w:r>
      <w:r>
        <w:t>, Forfeiture Order, 31 FCC Rcd 2650, 2658-59, paras. 21-</w:t>
      </w:r>
      <w:r w:rsidR="0038514F">
        <w:t>22</w:t>
      </w:r>
      <w:r>
        <w:t xml:space="preserve"> (2016).</w:t>
      </w:r>
    </w:p>
  </w:footnote>
  <w:footnote w:id="29">
    <w:p w:rsidR="00A92F49" w14:paraId="5691750D" w14:textId="200335A8">
      <w:pPr>
        <w:pStyle w:val="FootnoteText"/>
      </w:pPr>
      <w:r>
        <w:rPr>
          <w:rStyle w:val="FootnoteReference"/>
        </w:rPr>
        <w:footnoteRef/>
      </w:r>
      <w:r>
        <w:t xml:space="preserve"> </w:t>
      </w:r>
      <w:r w:rsidRPr="00A92F49">
        <w:rPr>
          <w:i/>
          <w:iCs/>
        </w:rPr>
        <w:t>Forfeiture Policy Statement</w:t>
      </w:r>
      <w:r w:rsidRPr="00A92F49">
        <w:t>, 12 FCC Rcd at 17158, para. 113.</w:t>
      </w:r>
    </w:p>
  </w:footnote>
  <w:footnote w:id="30">
    <w:p w:rsidR="0011264F" w14:paraId="79984344" w14:textId="303413FA">
      <w:pPr>
        <w:pStyle w:val="FootnoteText"/>
      </w:pPr>
      <w:r>
        <w:rPr>
          <w:rStyle w:val="FootnoteReference"/>
        </w:rPr>
        <w:footnoteRef/>
      </w:r>
      <w:r>
        <w:t xml:space="preserve"> </w:t>
      </w:r>
      <w:r w:rsidRPr="00C962F4">
        <w:t>47 CFR § 1.80, Paragraph (b)(1</w:t>
      </w:r>
      <w:r>
        <w:t>1</w:t>
      </w:r>
      <w:r w:rsidRPr="00C962F4">
        <w:t xml:space="preserve">), Table </w:t>
      </w:r>
      <w:r>
        <w:t>3</w:t>
      </w:r>
      <w:r w:rsidR="00C179B8">
        <w:t xml:space="preserve"> </w:t>
      </w:r>
      <w:r w:rsidR="00590084">
        <w:t>(</w:t>
      </w:r>
      <w:r w:rsidRPr="00CE0512" w:rsidR="00CE0512">
        <w:t>Adjustment Criteria for Section 503 Forfeitures</w:t>
      </w:r>
      <w:r w:rsidRPr="00C962F4">
        <w:t>)</w:t>
      </w:r>
      <w:r w:rsidR="00590084">
        <w:t>.</w:t>
      </w:r>
    </w:p>
  </w:footnote>
  <w:footnote w:id="31">
    <w:p w:rsidR="00D618F2" w14:paraId="4ADCCED8" w14:textId="5D0B4601">
      <w:pPr>
        <w:pStyle w:val="FootnoteText"/>
      </w:pPr>
      <w:r>
        <w:rPr>
          <w:rStyle w:val="FootnoteReference"/>
        </w:rPr>
        <w:footnoteRef/>
      </w:r>
      <w:r>
        <w:t xml:space="preserve"> </w:t>
      </w:r>
      <w:r w:rsidR="009F3201">
        <w:t xml:space="preserve">Assignment Application, </w:t>
      </w:r>
      <w:r w:rsidR="005430E8">
        <w:t xml:space="preserve">Application File No. </w:t>
      </w:r>
      <w:r w:rsidR="00D32728">
        <w:t>BALFT-20200608AAG</w:t>
      </w:r>
      <w:r w:rsidR="007C05B4">
        <w:t xml:space="preserve">, attach. </w:t>
      </w:r>
      <w:r w:rsidR="00A80FDF">
        <w:t>“</w:t>
      </w:r>
      <w:r w:rsidRPr="00A80FDF" w:rsidR="00A80FDF">
        <w:t>1817956_44975764.pdf</w:t>
      </w:r>
      <w:r w:rsidR="00A80FDF">
        <w:t>”</w:t>
      </w:r>
      <w:r w:rsidR="00D32728">
        <w:t xml:space="preserve"> (filed June 10, 2020).</w:t>
      </w:r>
    </w:p>
  </w:footnote>
  <w:footnote w:id="32">
    <w:p w:rsidR="008758DB" w:rsidRPr="009979BB" w14:paraId="3F8FD6D2" w14:textId="55EA75AE">
      <w:pPr>
        <w:pStyle w:val="FootnoteText"/>
      </w:pPr>
      <w:r>
        <w:rPr>
          <w:rStyle w:val="FootnoteReference"/>
        </w:rPr>
        <w:footnoteRef/>
      </w:r>
      <w:r>
        <w:t xml:space="preserve"> </w:t>
      </w:r>
      <w:r w:rsidR="009979BB">
        <w:rPr>
          <w:i/>
          <w:iCs/>
        </w:rPr>
        <w:t xml:space="preserve">See supra </w:t>
      </w:r>
      <w:r w:rsidR="009979BB">
        <w:t>note</w:t>
      </w:r>
      <w:r w:rsidR="0073164D">
        <w:t xml:space="preserve"> 26</w:t>
      </w:r>
      <w:r w:rsidR="00E66426">
        <w:t xml:space="preserve"> (</w:t>
      </w:r>
      <w:r w:rsidR="00765422">
        <w:t xml:space="preserve">forfeiture amounts constituting </w:t>
      </w:r>
      <w:r w:rsidR="00E66426">
        <w:t>7.9 and 7.6 percent of violator</w:t>
      </w:r>
      <w:r w:rsidR="00765422">
        <w:t>s’</w:t>
      </w:r>
      <w:r w:rsidR="00E66426">
        <w:t xml:space="preserve"> gross revenues</w:t>
      </w:r>
      <w:r w:rsidR="00765422">
        <w:t xml:space="preserve"> were not deemed excessive)</w:t>
      </w:r>
      <w:r w:rsidR="0073164D">
        <w:t>.</w:t>
      </w:r>
    </w:p>
  </w:footnote>
  <w:footnote w:id="33">
    <w:p w:rsidR="00861E2E" w:rsidRPr="008E6B31" w14:paraId="3E145DD4" w14:textId="36E64E30">
      <w:pPr>
        <w:pStyle w:val="FootnoteText"/>
      </w:pPr>
      <w:r>
        <w:rPr>
          <w:rStyle w:val="FootnoteReference"/>
        </w:rPr>
        <w:footnoteRef/>
      </w:r>
      <w:r>
        <w:t xml:space="preserve"> </w:t>
      </w:r>
      <w:r>
        <w:rPr>
          <w:i/>
          <w:iCs/>
        </w:rPr>
        <w:t>Cf</w:t>
      </w:r>
      <w:r w:rsidR="004A0ED0">
        <w:rPr>
          <w:i/>
          <w:iCs/>
        </w:rPr>
        <w:t>.</w:t>
      </w:r>
      <w:r>
        <w:t xml:space="preserve"> </w:t>
      </w:r>
      <w:r w:rsidR="002E731B">
        <w:rPr>
          <w:i/>
          <w:iCs/>
        </w:rPr>
        <w:t>Pinnacle Communications, Inc.</w:t>
      </w:r>
      <w:r w:rsidR="002E731B">
        <w:t xml:space="preserve">, </w:t>
      </w:r>
      <w:r w:rsidR="00A97D1F">
        <w:t xml:space="preserve">Memorandum Opinion and Order, 11 FCC Rcd 15496 (1996) </w:t>
      </w:r>
      <w:r w:rsidR="000D27C3">
        <w:t>(</w:t>
      </w:r>
      <w:r w:rsidR="000D27C3">
        <w:rPr>
          <w:i/>
          <w:iCs/>
        </w:rPr>
        <w:t>Pinnacle</w:t>
      </w:r>
      <w:r w:rsidR="000D27C3">
        <w:t xml:space="preserve">) </w:t>
      </w:r>
      <w:r w:rsidR="00A97D1F">
        <w:t>(</w:t>
      </w:r>
      <w:r w:rsidR="00112985">
        <w:t>finding r</w:t>
      </w:r>
      <w:r w:rsidRPr="00112985" w:rsidR="00112985">
        <w:t xml:space="preserve">escission of NAL warranted due to inability to pay where licensee </w:t>
      </w:r>
      <w:r w:rsidR="00E80A41">
        <w:t>was</w:t>
      </w:r>
      <w:r w:rsidRPr="00112985" w:rsidR="00112985">
        <w:t xml:space="preserve"> in default of </w:t>
      </w:r>
      <w:r w:rsidR="00E80A41">
        <w:t xml:space="preserve">a </w:t>
      </w:r>
      <w:r w:rsidRPr="00112985" w:rsidR="00112985">
        <w:t>4,000,000 loan</w:t>
      </w:r>
      <w:r w:rsidR="009123C1">
        <w:t xml:space="preserve"> personally guaranteed by licensee’s principal</w:t>
      </w:r>
      <w:r w:rsidRPr="00112985" w:rsidR="00112985">
        <w:t>,</w:t>
      </w:r>
      <w:r w:rsidR="009123C1">
        <w:t xml:space="preserve"> the station</w:t>
      </w:r>
      <w:r w:rsidRPr="00112985" w:rsidR="00112985">
        <w:t xml:space="preserve"> sale </w:t>
      </w:r>
      <w:r w:rsidR="009123C1">
        <w:t>w</w:t>
      </w:r>
      <w:r w:rsidR="00E1108F">
        <w:t>a</w:t>
      </w:r>
      <w:r w:rsidRPr="00112985" w:rsidR="00112985">
        <w:t>s</w:t>
      </w:r>
      <w:r w:rsidR="00E1108F">
        <w:t xml:space="preserve"> entered into </w:t>
      </w:r>
      <w:r w:rsidRPr="00112985" w:rsidR="00112985">
        <w:t xml:space="preserve">to avoid foreclosure, </w:t>
      </w:r>
      <w:r w:rsidR="00CC7E74">
        <w:t xml:space="preserve">the buyer assumed </w:t>
      </w:r>
      <w:r w:rsidR="00E70799">
        <w:t xml:space="preserve">certain outstanding liabilities from the seller, </w:t>
      </w:r>
      <w:r w:rsidR="00F30BCF">
        <w:t>neither</w:t>
      </w:r>
      <w:r w:rsidR="00E70799">
        <w:t xml:space="preserve"> </w:t>
      </w:r>
      <w:r w:rsidR="00E80A41">
        <w:t xml:space="preserve">the </w:t>
      </w:r>
      <w:r w:rsidRPr="00112985" w:rsidR="00112985">
        <w:t xml:space="preserve">licensee </w:t>
      </w:r>
      <w:r w:rsidR="00F30BCF">
        <w:t>or its</w:t>
      </w:r>
      <w:r w:rsidRPr="00112985" w:rsidR="00112985">
        <w:t xml:space="preserve"> principal </w:t>
      </w:r>
      <w:r w:rsidRPr="00112985" w:rsidR="00F30BCF">
        <w:t>receive</w:t>
      </w:r>
      <w:r w:rsidR="00F30BCF">
        <w:t>d</w:t>
      </w:r>
      <w:r w:rsidRPr="00112985" w:rsidR="00112985">
        <w:t xml:space="preserve"> any </w:t>
      </w:r>
      <w:r w:rsidR="00F30BCF">
        <w:t xml:space="preserve">cash </w:t>
      </w:r>
      <w:r w:rsidRPr="00112985" w:rsidR="00112985">
        <w:t>payment</w:t>
      </w:r>
      <w:r w:rsidR="00F30BCF">
        <w:t xml:space="preserve"> or </w:t>
      </w:r>
      <w:r w:rsidRPr="00112985" w:rsidR="00112985">
        <w:t xml:space="preserve">proceeds, </w:t>
      </w:r>
      <w:r w:rsidR="00E80A41">
        <w:t xml:space="preserve">and </w:t>
      </w:r>
      <w:r w:rsidR="00B64E30">
        <w:t>the licensee did not retain any stations)</w:t>
      </w:r>
      <w:r w:rsidRPr="00112985" w:rsidR="00112985">
        <w:t>.</w:t>
      </w:r>
      <w:r w:rsidR="003D34BB">
        <w:t xml:space="preserve">  </w:t>
      </w:r>
      <w:r w:rsidR="003D34BB">
        <w:rPr>
          <w:i/>
          <w:iCs/>
        </w:rPr>
        <w:t xml:space="preserve">See also </w:t>
      </w:r>
      <w:r w:rsidR="008E6B31">
        <w:rPr>
          <w:i/>
          <w:iCs/>
        </w:rPr>
        <w:t>San Luis Obispo Broad</w:t>
      </w:r>
      <w:r w:rsidR="006611F4">
        <w:rPr>
          <w:i/>
          <w:iCs/>
        </w:rPr>
        <w:t>.</w:t>
      </w:r>
      <w:r w:rsidR="008E6B31">
        <w:rPr>
          <w:i/>
          <w:iCs/>
        </w:rPr>
        <w:t xml:space="preserve"> L</w:t>
      </w:r>
      <w:r w:rsidR="006611F4">
        <w:rPr>
          <w:i/>
          <w:iCs/>
        </w:rPr>
        <w:t>.</w:t>
      </w:r>
      <w:r w:rsidR="008E6B31">
        <w:rPr>
          <w:i/>
          <w:iCs/>
        </w:rPr>
        <w:t>P</w:t>
      </w:r>
      <w:r w:rsidR="006611F4">
        <w:rPr>
          <w:i/>
          <w:iCs/>
        </w:rPr>
        <w:t>.</w:t>
      </w:r>
      <w:r w:rsidR="008E6B31">
        <w:t xml:space="preserve">, Memorandum Opinion and Order, 13 FCC Rcd 1020 </w:t>
      </w:r>
      <w:r w:rsidR="000A5762">
        <w:t>(1998) (f</w:t>
      </w:r>
      <w:r w:rsidRPr="000A5762" w:rsidR="000A5762">
        <w:t xml:space="preserve">orfeiture not reduced </w:t>
      </w:r>
      <w:r w:rsidR="000A5762">
        <w:t xml:space="preserve">because </w:t>
      </w:r>
      <w:r w:rsidR="00D15B1F">
        <w:t>Licensee’s financial</w:t>
      </w:r>
      <w:r w:rsidR="000A5762">
        <w:t xml:space="preserve"> circumstances were </w:t>
      </w:r>
      <w:r w:rsidRPr="000A5762" w:rsidR="000A5762">
        <w:t xml:space="preserve">not as </w:t>
      </w:r>
      <w:r w:rsidR="00D15B1F">
        <w:t>dire</w:t>
      </w:r>
      <w:r w:rsidRPr="000A5762" w:rsidR="000A5762">
        <w:t xml:space="preserve"> as </w:t>
      </w:r>
      <w:r w:rsidRPr="000D27C3" w:rsidR="000A5762">
        <w:rPr>
          <w:i/>
          <w:iCs/>
        </w:rPr>
        <w:t>Pinnacle</w:t>
      </w:r>
      <w:r w:rsidRPr="000D27C3" w:rsidR="00D15B1F">
        <w:rPr>
          <w:i/>
          <w:iCs/>
        </w:rPr>
        <w:t>’s</w:t>
      </w:r>
      <w:r w:rsidR="00D15B1F">
        <w:t>,</w:t>
      </w:r>
      <w:r w:rsidRPr="000A5762" w:rsidR="000A5762">
        <w:t xml:space="preserve"> and loan default was not personally guaranteed by </w:t>
      </w:r>
      <w:r w:rsidR="00D15B1F">
        <w:t xml:space="preserve">a </w:t>
      </w:r>
      <w:r w:rsidRPr="000A5762" w:rsidR="000A5762">
        <w:t>principal</w:t>
      </w:r>
      <w:r w:rsidR="00D15B1F">
        <w:t xml:space="preserve">). </w:t>
      </w:r>
    </w:p>
  </w:footnote>
  <w:footnote w:id="34">
    <w:p w:rsidR="00362194" w:rsidRPr="00514C8E" w:rsidP="00362194" w14:paraId="10C2AB92"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35">
    <w:p w:rsidR="00362194" w:rsidRPr="00514C8E" w:rsidP="00362194" w14:paraId="173CCBC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6">
    <w:p w:rsidR="00362194" w:rsidRPr="00514C8E" w:rsidP="00362194" w14:paraId="1262F6BA"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7">
    <w:p w:rsidR="00362194" w:rsidRPr="004B33E9" w:rsidP="00362194" w14:paraId="799FF81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B55" w:rsidRPr="00947B4D" w:rsidP="004E240F" w14:paraId="74C395FF" w14:textId="4B204E29">
    <w:pPr>
      <w:pStyle w:val="Header"/>
    </w:pPr>
    <w:r>
      <w:tab/>
    </w:r>
    <w:r w:rsidRPr="00947B4D">
      <w:t>Federal Communications Commission</w:t>
    </w:r>
    <w:r w:rsidRPr="00947B4D">
      <w:tab/>
      <w:t xml:space="preserve">   </w:t>
    </w:r>
    <w:r>
      <w:t xml:space="preserve">                       </w:t>
    </w:r>
    <w:r w:rsidRPr="001E57CE" w:rsidR="001E57CE">
      <w:t>DA 2</w:t>
    </w:r>
    <w:r w:rsidR="004E240F">
      <w:t>4</w:t>
    </w:r>
    <w:r w:rsidR="00BB24EF">
      <w:t>-347</w:t>
    </w:r>
  </w:p>
  <w:p w:rsidR="00124FB3" w:rsidRPr="00947B4D" w:rsidP="004E240F" w14:paraId="18863B6D"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4E240F" w14:paraId="70A278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4E240F" w14:paraId="7894F653" w14:textId="157F278D">
    <w:pPr>
      <w:pStyle w:val="Header"/>
    </w:pPr>
    <w:r w:rsidRPr="00915413">
      <w:tab/>
      <w:t>Federal Communications Commission</w:t>
    </w:r>
    <w:r w:rsidRPr="00915413">
      <w:tab/>
      <w:t>DA</w:t>
    </w:r>
    <w:r w:rsidRPr="001E57CE" w:rsidR="001E57CE">
      <w:t xml:space="preserve"> 2</w:t>
    </w:r>
    <w:r w:rsidR="004E240F">
      <w:t>4</w:t>
    </w:r>
    <w:r w:rsidR="00BB24EF">
      <w:t>-347</w:t>
    </w:r>
  </w:p>
  <w:p w:rsidR="00124FB3" w:rsidRPr="00947B4D" w:rsidP="004E240F" w14:paraId="05BAB75B"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1FB600D"/>
    <w:multiLevelType w:val="hybridMultilevel"/>
    <w:tmpl w:val="1C28927A"/>
    <w:lvl w:ilvl="0">
      <w:start w:val="10"/>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1"/>
  </w:num>
  <w:num w:numId="6">
    <w:abstractNumId w:val="8"/>
  </w:num>
  <w:num w:numId="7">
    <w:abstractNumId w:val="8"/>
  </w:num>
  <w:num w:numId="8">
    <w:abstractNumId w:val="8"/>
  </w:num>
  <w:num w:numId="9">
    <w:abstractNumId w:val="8"/>
  </w:num>
  <w:num w:numId="10">
    <w:abstractNumId w:val="6"/>
  </w:num>
  <w:num w:numId="11">
    <w:abstractNumId w:val="8"/>
  </w:num>
  <w:num w:numId="12">
    <w:abstractNumId w:val="8"/>
  </w:num>
  <w:num w:numId="13">
    <w:abstractNumId w:val="10"/>
  </w:num>
  <w:num w:numId="14">
    <w:abstractNumId w:val="7"/>
  </w:num>
  <w:num w:numId="15">
    <w:abstractNumId w:val="9"/>
  </w:num>
  <w:num w:numId="16">
    <w:abstractNumId w:val="5"/>
  </w:num>
  <w:num w:numId="17">
    <w:abstractNumId w:val="1"/>
  </w:num>
  <w:num w:numId="18">
    <w:abstractNumId w:val="11"/>
  </w:num>
  <w:num w:numId="19">
    <w:abstractNumId w:val="11"/>
    <w:lvlOverride w:ilvl="0">
      <w:startOverride w:val="1"/>
    </w:lvlOverride>
  </w:num>
  <w:num w:numId="20">
    <w:abstractNumId w:val="8"/>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2"/>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2F87"/>
    <w:rsid w:val="00003076"/>
    <w:rsid w:val="00005A0A"/>
    <w:rsid w:val="0000617B"/>
    <w:rsid w:val="000061AC"/>
    <w:rsid w:val="00007E16"/>
    <w:rsid w:val="00011592"/>
    <w:rsid w:val="00014793"/>
    <w:rsid w:val="00014F92"/>
    <w:rsid w:val="000156A7"/>
    <w:rsid w:val="00015F64"/>
    <w:rsid w:val="00016B78"/>
    <w:rsid w:val="00020492"/>
    <w:rsid w:val="00020958"/>
    <w:rsid w:val="00021174"/>
    <w:rsid w:val="00021407"/>
    <w:rsid w:val="0002692E"/>
    <w:rsid w:val="00033E4F"/>
    <w:rsid w:val="00033EEF"/>
    <w:rsid w:val="00034312"/>
    <w:rsid w:val="000374FA"/>
    <w:rsid w:val="00042486"/>
    <w:rsid w:val="00044AD3"/>
    <w:rsid w:val="00044C4F"/>
    <w:rsid w:val="00045A7C"/>
    <w:rsid w:val="00051B9B"/>
    <w:rsid w:val="000538F0"/>
    <w:rsid w:val="00057F20"/>
    <w:rsid w:val="00060483"/>
    <w:rsid w:val="00061845"/>
    <w:rsid w:val="0006322E"/>
    <w:rsid w:val="00063599"/>
    <w:rsid w:val="000642CE"/>
    <w:rsid w:val="000657DA"/>
    <w:rsid w:val="000717E9"/>
    <w:rsid w:val="00071BF9"/>
    <w:rsid w:val="000725CB"/>
    <w:rsid w:val="00074957"/>
    <w:rsid w:val="00074CEB"/>
    <w:rsid w:val="00074DFE"/>
    <w:rsid w:val="00082378"/>
    <w:rsid w:val="00082CD8"/>
    <w:rsid w:val="00083CB0"/>
    <w:rsid w:val="000856FC"/>
    <w:rsid w:val="0008678F"/>
    <w:rsid w:val="00086F48"/>
    <w:rsid w:val="00087A82"/>
    <w:rsid w:val="00091210"/>
    <w:rsid w:val="00091E2A"/>
    <w:rsid w:val="0009697D"/>
    <w:rsid w:val="000A45C8"/>
    <w:rsid w:val="000A5762"/>
    <w:rsid w:val="000A66C1"/>
    <w:rsid w:val="000B67CE"/>
    <w:rsid w:val="000C048F"/>
    <w:rsid w:val="000C0CF0"/>
    <w:rsid w:val="000C1190"/>
    <w:rsid w:val="000C2EFA"/>
    <w:rsid w:val="000C3965"/>
    <w:rsid w:val="000C7177"/>
    <w:rsid w:val="000D1E08"/>
    <w:rsid w:val="000D27C3"/>
    <w:rsid w:val="000D6F8A"/>
    <w:rsid w:val="000D7395"/>
    <w:rsid w:val="000D798D"/>
    <w:rsid w:val="000D7DD3"/>
    <w:rsid w:val="000E1E28"/>
    <w:rsid w:val="000E327A"/>
    <w:rsid w:val="000E351B"/>
    <w:rsid w:val="000E4027"/>
    <w:rsid w:val="000E5C6D"/>
    <w:rsid w:val="000E7D7D"/>
    <w:rsid w:val="000F0434"/>
    <w:rsid w:val="000F3534"/>
    <w:rsid w:val="000F4530"/>
    <w:rsid w:val="000F5D1E"/>
    <w:rsid w:val="000F643B"/>
    <w:rsid w:val="000F6D3C"/>
    <w:rsid w:val="001002C5"/>
    <w:rsid w:val="00100A37"/>
    <w:rsid w:val="00100C5C"/>
    <w:rsid w:val="00102A40"/>
    <w:rsid w:val="0010399E"/>
    <w:rsid w:val="00104975"/>
    <w:rsid w:val="001055E8"/>
    <w:rsid w:val="00107AC5"/>
    <w:rsid w:val="00107D4F"/>
    <w:rsid w:val="00110A6E"/>
    <w:rsid w:val="0011183F"/>
    <w:rsid w:val="0011264F"/>
    <w:rsid w:val="00112985"/>
    <w:rsid w:val="00115EFF"/>
    <w:rsid w:val="00116079"/>
    <w:rsid w:val="00117352"/>
    <w:rsid w:val="001173C3"/>
    <w:rsid w:val="001207FF"/>
    <w:rsid w:val="0012244A"/>
    <w:rsid w:val="00124FB3"/>
    <w:rsid w:val="00125206"/>
    <w:rsid w:val="00131CFA"/>
    <w:rsid w:val="00132193"/>
    <w:rsid w:val="001328F6"/>
    <w:rsid w:val="001376A0"/>
    <w:rsid w:val="00145A2B"/>
    <w:rsid w:val="00146D8A"/>
    <w:rsid w:val="00147231"/>
    <w:rsid w:val="00151C03"/>
    <w:rsid w:val="00151C89"/>
    <w:rsid w:val="00153E30"/>
    <w:rsid w:val="00154A33"/>
    <w:rsid w:val="00157232"/>
    <w:rsid w:val="00157AB4"/>
    <w:rsid w:val="00160B27"/>
    <w:rsid w:val="00166634"/>
    <w:rsid w:val="00170AEF"/>
    <w:rsid w:val="0017245E"/>
    <w:rsid w:val="0017457E"/>
    <w:rsid w:val="001749CA"/>
    <w:rsid w:val="00174F11"/>
    <w:rsid w:val="001751AB"/>
    <w:rsid w:val="00175ADF"/>
    <w:rsid w:val="001773EF"/>
    <w:rsid w:val="00181F75"/>
    <w:rsid w:val="00182875"/>
    <w:rsid w:val="001831CE"/>
    <w:rsid w:val="001853EB"/>
    <w:rsid w:val="00186B66"/>
    <w:rsid w:val="0018779A"/>
    <w:rsid w:val="0019600D"/>
    <w:rsid w:val="00196A33"/>
    <w:rsid w:val="00196CAD"/>
    <w:rsid w:val="00197E2B"/>
    <w:rsid w:val="001A13B4"/>
    <w:rsid w:val="001A362F"/>
    <w:rsid w:val="001A59FB"/>
    <w:rsid w:val="001A67BD"/>
    <w:rsid w:val="001B00F4"/>
    <w:rsid w:val="001B4EDB"/>
    <w:rsid w:val="001B4FAB"/>
    <w:rsid w:val="001B636C"/>
    <w:rsid w:val="001B7D2C"/>
    <w:rsid w:val="001C184A"/>
    <w:rsid w:val="001C36F7"/>
    <w:rsid w:val="001C63E4"/>
    <w:rsid w:val="001C6591"/>
    <w:rsid w:val="001D1D96"/>
    <w:rsid w:val="001D2AFC"/>
    <w:rsid w:val="001D64B7"/>
    <w:rsid w:val="001D751A"/>
    <w:rsid w:val="001E1796"/>
    <w:rsid w:val="001E2BD6"/>
    <w:rsid w:val="001E4640"/>
    <w:rsid w:val="001E46E1"/>
    <w:rsid w:val="001E57CE"/>
    <w:rsid w:val="001F407C"/>
    <w:rsid w:val="001F45A5"/>
    <w:rsid w:val="001F4D99"/>
    <w:rsid w:val="001F5466"/>
    <w:rsid w:val="001F6242"/>
    <w:rsid w:val="001F6799"/>
    <w:rsid w:val="002007ED"/>
    <w:rsid w:val="00204BD9"/>
    <w:rsid w:val="0021210B"/>
    <w:rsid w:val="00213D8A"/>
    <w:rsid w:val="00213FBD"/>
    <w:rsid w:val="002218A0"/>
    <w:rsid w:val="0022196A"/>
    <w:rsid w:val="00221B3B"/>
    <w:rsid w:val="002226D0"/>
    <w:rsid w:val="00224394"/>
    <w:rsid w:val="00224459"/>
    <w:rsid w:val="00226504"/>
    <w:rsid w:val="00230483"/>
    <w:rsid w:val="002321C1"/>
    <w:rsid w:val="002368D1"/>
    <w:rsid w:val="00236A5C"/>
    <w:rsid w:val="00237004"/>
    <w:rsid w:val="0023747D"/>
    <w:rsid w:val="002441FB"/>
    <w:rsid w:val="002462B8"/>
    <w:rsid w:val="002463C1"/>
    <w:rsid w:val="00247702"/>
    <w:rsid w:val="00250FC7"/>
    <w:rsid w:val="00252435"/>
    <w:rsid w:val="00252D07"/>
    <w:rsid w:val="0025364B"/>
    <w:rsid w:val="00253DB0"/>
    <w:rsid w:val="002546D1"/>
    <w:rsid w:val="00254D25"/>
    <w:rsid w:val="00254D78"/>
    <w:rsid w:val="00254E9C"/>
    <w:rsid w:val="00256535"/>
    <w:rsid w:val="002620D9"/>
    <w:rsid w:val="0026294C"/>
    <w:rsid w:val="00264220"/>
    <w:rsid w:val="00264272"/>
    <w:rsid w:val="00264441"/>
    <w:rsid w:val="00272754"/>
    <w:rsid w:val="00272E14"/>
    <w:rsid w:val="00272F4D"/>
    <w:rsid w:val="00274CF3"/>
    <w:rsid w:val="002758F1"/>
    <w:rsid w:val="00277AC0"/>
    <w:rsid w:val="002816C4"/>
    <w:rsid w:val="00282E37"/>
    <w:rsid w:val="0028325E"/>
    <w:rsid w:val="002855D6"/>
    <w:rsid w:val="0028634E"/>
    <w:rsid w:val="0029085A"/>
    <w:rsid w:val="002908BC"/>
    <w:rsid w:val="002911D9"/>
    <w:rsid w:val="00292C2A"/>
    <w:rsid w:val="002933B5"/>
    <w:rsid w:val="002958D6"/>
    <w:rsid w:val="002973C2"/>
    <w:rsid w:val="002A01B3"/>
    <w:rsid w:val="002A0A42"/>
    <w:rsid w:val="002A0F2F"/>
    <w:rsid w:val="002A13A7"/>
    <w:rsid w:val="002B2B8E"/>
    <w:rsid w:val="002B31DB"/>
    <w:rsid w:val="002B37F2"/>
    <w:rsid w:val="002B55EA"/>
    <w:rsid w:val="002B730E"/>
    <w:rsid w:val="002C18A9"/>
    <w:rsid w:val="002C2CE8"/>
    <w:rsid w:val="002C3399"/>
    <w:rsid w:val="002C48B7"/>
    <w:rsid w:val="002C4F94"/>
    <w:rsid w:val="002C651C"/>
    <w:rsid w:val="002D2F49"/>
    <w:rsid w:val="002D4E03"/>
    <w:rsid w:val="002D6CCE"/>
    <w:rsid w:val="002D7DC1"/>
    <w:rsid w:val="002E1432"/>
    <w:rsid w:val="002E576E"/>
    <w:rsid w:val="002E5B70"/>
    <w:rsid w:val="002E731B"/>
    <w:rsid w:val="002F06C7"/>
    <w:rsid w:val="002F075D"/>
    <w:rsid w:val="002F2B54"/>
    <w:rsid w:val="002F4876"/>
    <w:rsid w:val="002F63E7"/>
    <w:rsid w:val="00300160"/>
    <w:rsid w:val="00300F1A"/>
    <w:rsid w:val="00301105"/>
    <w:rsid w:val="00302772"/>
    <w:rsid w:val="00303EF4"/>
    <w:rsid w:val="00305A4D"/>
    <w:rsid w:val="00312380"/>
    <w:rsid w:val="00316954"/>
    <w:rsid w:val="00322FB0"/>
    <w:rsid w:val="00324113"/>
    <w:rsid w:val="00324211"/>
    <w:rsid w:val="0032542F"/>
    <w:rsid w:val="00331A4C"/>
    <w:rsid w:val="0033214C"/>
    <w:rsid w:val="003329BB"/>
    <w:rsid w:val="00333508"/>
    <w:rsid w:val="00334D39"/>
    <w:rsid w:val="0034074A"/>
    <w:rsid w:val="00343015"/>
    <w:rsid w:val="003476C5"/>
    <w:rsid w:val="003551DD"/>
    <w:rsid w:val="0035646B"/>
    <w:rsid w:val="00356CF6"/>
    <w:rsid w:val="003605B2"/>
    <w:rsid w:val="00360771"/>
    <w:rsid w:val="00362194"/>
    <w:rsid w:val="003629B8"/>
    <w:rsid w:val="00362DA9"/>
    <w:rsid w:val="003642C9"/>
    <w:rsid w:val="00364397"/>
    <w:rsid w:val="00364B11"/>
    <w:rsid w:val="003664F8"/>
    <w:rsid w:val="00374F8D"/>
    <w:rsid w:val="003761ED"/>
    <w:rsid w:val="00377AB9"/>
    <w:rsid w:val="00377E7D"/>
    <w:rsid w:val="0038358F"/>
    <w:rsid w:val="0038514F"/>
    <w:rsid w:val="00386980"/>
    <w:rsid w:val="00386F04"/>
    <w:rsid w:val="0039004B"/>
    <w:rsid w:val="00390BB7"/>
    <w:rsid w:val="00392C07"/>
    <w:rsid w:val="00397006"/>
    <w:rsid w:val="003973F9"/>
    <w:rsid w:val="003A22F6"/>
    <w:rsid w:val="003A2719"/>
    <w:rsid w:val="003A2EAE"/>
    <w:rsid w:val="003A3652"/>
    <w:rsid w:val="003A45FF"/>
    <w:rsid w:val="003A58DF"/>
    <w:rsid w:val="003A7B6A"/>
    <w:rsid w:val="003B1EF4"/>
    <w:rsid w:val="003B22E6"/>
    <w:rsid w:val="003B7CC1"/>
    <w:rsid w:val="003B7CD8"/>
    <w:rsid w:val="003C3F10"/>
    <w:rsid w:val="003D0E2A"/>
    <w:rsid w:val="003D12F9"/>
    <w:rsid w:val="003D1495"/>
    <w:rsid w:val="003D34BB"/>
    <w:rsid w:val="003D36E8"/>
    <w:rsid w:val="003E19FA"/>
    <w:rsid w:val="003E2108"/>
    <w:rsid w:val="003E4433"/>
    <w:rsid w:val="003E73A9"/>
    <w:rsid w:val="003E758D"/>
    <w:rsid w:val="003E784F"/>
    <w:rsid w:val="003F3875"/>
    <w:rsid w:val="00400538"/>
    <w:rsid w:val="00400564"/>
    <w:rsid w:val="004037B0"/>
    <w:rsid w:val="00406E2A"/>
    <w:rsid w:val="00411444"/>
    <w:rsid w:val="00411D7F"/>
    <w:rsid w:val="004152D3"/>
    <w:rsid w:val="00416375"/>
    <w:rsid w:val="00417920"/>
    <w:rsid w:val="00417F8D"/>
    <w:rsid w:val="00422836"/>
    <w:rsid w:val="00424086"/>
    <w:rsid w:val="0042545D"/>
    <w:rsid w:val="00432B54"/>
    <w:rsid w:val="004330A2"/>
    <w:rsid w:val="004362BA"/>
    <w:rsid w:val="00436DED"/>
    <w:rsid w:val="0044201A"/>
    <w:rsid w:val="00442F37"/>
    <w:rsid w:val="00443321"/>
    <w:rsid w:val="004450EA"/>
    <w:rsid w:val="0044778D"/>
    <w:rsid w:val="00450B5E"/>
    <w:rsid w:val="0045362C"/>
    <w:rsid w:val="00454DF2"/>
    <w:rsid w:val="00455047"/>
    <w:rsid w:val="004552E7"/>
    <w:rsid w:val="00455381"/>
    <w:rsid w:val="004577E6"/>
    <w:rsid w:val="00457D9A"/>
    <w:rsid w:val="00460E33"/>
    <w:rsid w:val="00462273"/>
    <w:rsid w:val="004630EF"/>
    <w:rsid w:val="004649E6"/>
    <w:rsid w:val="00464A4C"/>
    <w:rsid w:val="0046538A"/>
    <w:rsid w:val="00466062"/>
    <w:rsid w:val="004665C9"/>
    <w:rsid w:val="0047145A"/>
    <w:rsid w:val="00471C2C"/>
    <w:rsid w:val="004756DA"/>
    <w:rsid w:val="00475AB4"/>
    <w:rsid w:val="00476746"/>
    <w:rsid w:val="0047692A"/>
    <w:rsid w:val="00480D50"/>
    <w:rsid w:val="00481D69"/>
    <w:rsid w:val="004840A8"/>
    <w:rsid w:val="0048488E"/>
    <w:rsid w:val="004852BF"/>
    <w:rsid w:val="004862E0"/>
    <w:rsid w:val="00496348"/>
    <w:rsid w:val="004A0ED0"/>
    <w:rsid w:val="004A2B79"/>
    <w:rsid w:val="004A45F7"/>
    <w:rsid w:val="004A77E3"/>
    <w:rsid w:val="004B33E9"/>
    <w:rsid w:val="004B3BB5"/>
    <w:rsid w:val="004C06B8"/>
    <w:rsid w:val="004C3D98"/>
    <w:rsid w:val="004C4794"/>
    <w:rsid w:val="004C5194"/>
    <w:rsid w:val="004C5FF8"/>
    <w:rsid w:val="004C72AD"/>
    <w:rsid w:val="004D0083"/>
    <w:rsid w:val="004D020E"/>
    <w:rsid w:val="004D154C"/>
    <w:rsid w:val="004D3423"/>
    <w:rsid w:val="004D396F"/>
    <w:rsid w:val="004D4AF1"/>
    <w:rsid w:val="004D5066"/>
    <w:rsid w:val="004D5A59"/>
    <w:rsid w:val="004D5F4D"/>
    <w:rsid w:val="004D7205"/>
    <w:rsid w:val="004E15C7"/>
    <w:rsid w:val="004E240F"/>
    <w:rsid w:val="004E5D6F"/>
    <w:rsid w:val="004F2DD8"/>
    <w:rsid w:val="004F3D1B"/>
    <w:rsid w:val="004F43B5"/>
    <w:rsid w:val="005030F2"/>
    <w:rsid w:val="005069A4"/>
    <w:rsid w:val="00510511"/>
    <w:rsid w:val="0051165C"/>
    <w:rsid w:val="00513042"/>
    <w:rsid w:val="00513E47"/>
    <w:rsid w:val="00514BC0"/>
    <w:rsid w:val="00514C8E"/>
    <w:rsid w:val="00515DE0"/>
    <w:rsid w:val="00521C8F"/>
    <w:rsid w:val="00522939"/>
    <w:rsid w:val="00522F40"/>
    <w:rsid w:val="005236B3"/>
    <w:rsid w:val="00523F88"/>
    <w:rsid w:val="00526839"/>
    <w:rsid w:val="00526998"/>
    <w:rsid w:val="005276EB"/>
    <w:rsid w:val="00535AC5"/>
    <w:rsid w:val="0053631C"/>
    <w:rsid w:val="00540B26"/>
    <w:rsid w:val="0054227E"/>
    <w:rsid w:val="00542911"/>
    <w:rsid w:val="005430E8"/>
    <w:rsid w:val="00543514"/>
    <w:rsid w:val="0054658F"/>
    <w:rsid w:val="00546822"/>
    <w:rsid w:val="00546AFD"/>
    <w:rsid w:val="00555D44"/>
    <w:rsid w:val="00556F2A"/>
    <w:rsid w:val="005608A0"/>
    <w:rsid w:val="005643D0"/>
    <w:rsid w:val="00567BC0"/>
    <w:rsid w:val="00567C12"/>
    <w:rsid w:val="0057382B"/>
    <w:rsid w:val="00580634"/>
    <w:rsid w:val="0058204C"/>
    <w:rsid w:val="0058671D"/>
    <w:rsid w:val="00587AE1"/>
    <w:rsid w:val="00590084"/>
    <w:rsid w:val="005915FC"/>
    <w:rsid w:val="00591AAC"/>
    <w:rsid w:val="00594B70"/>
    <w:rsid w:val="00595151"/>
    <w:rsid w:val="005A0A68"/>
    <w:rsid w:val="005A2225"/>
    <w:rsid w:val="005A2ED5"/>
    <w:rsid w:val="005A3C5A"/>
    <w:rsid w:val="005A40EE"/>
    <w:rsid w:val="005A6179"/>
    <w:rsid w:val="005B147B"/>
    <w:rsid w:val="005B3AE0"/>
    <w:rsid w:val="005B4DE8"/>
    <w:rsid w:val="005C2F9B"/>
    <w:rsid w:val="005C3CFB"/>
    <w:rsid w:val="005C459C"/>
    <w:rsid w:val="005C474F"/>
    <w:rsid w:val="005D2851"/>
    <w:rsid w:val="005D3A6A"/>
    <w:rsid w:val="005D455D"/>
    <w:rsid w:val="005D5EA3"/>
    <w:rsid w:val="005D6EDA"/>
    <w:rsid w:val="005D7CFC"/>
    <w:rsid w:val="005E38FE"/>
    <w:rsid w:val="005E52AB"/>
    <w:rsid w:val="005E5E99"/>
    <w:rsid w:val="005E5FD2"/>
    <w:rsid w:val="005F2136"/>
    <w:rsid w:val="005F3236"/>
    <w:rsid w:val="005F33FC"/>
    <w:rsid w:val="005F3DAD"/>
    <w:rsid w:val="005F5ACF"/>
    <w:rsid w:val="005F623D"/>
    <w:rsid w:val="00600AB4"/>
    <w:rsid w:val="00601A10"/>
    <w:rsid w:val="0060291D"/>
    <w:rsid w:val="00603EAF"/>
    <w:rsid w:val="00604F70"/>
    <w:rsid w:val="00606FCF"/>
    <w:rsid w:val="00607051"/>
    <w:rsid w:val="00607C58"/>
    <w:rsid w:val="00610472"/>
    <w:rsid w:val="00611078"/>
    <w:rsid w:val="0061211B"/>
    <w:rsid w:val="0061292E"/>
    <w:rsid w:val="00612A61"/>
    <w:rsid w:val="0061423D"/>
    <w:rsid w:val="00616B55"/>
    <w:rsid w:val="006222DD"/>
    <w:rsid w:val="00624730"/>
    <w:rsid w:val="00624D07"/>
    <w:rsid w:val="00626686"/>
    <w:rsid w:val="00627DD9"/>
    <w:rsid w:val="0063008B"/>
    <w:rsid w:val="00632259"/>
    <w:rsid w:val="00632F9F"/>
    <w:rsid w:val="00632FB4"/>
    <w:rsid w:val="00633677"/>
    <w:rsid w:val="00637636"/>
    <w:rsid w:val="00637F6B"/>
    <w:rsid w:val="006417C0"/>
    <w:rsid w:val="00642433"/>
    <w:rsid w:val="00642AED"/>
    <w:rsid w:val="006438B4"/>
    <w:rsid w:val="006439E7"/>
    <w:rsid w:val="00644A71"/>
    <w:rsid w:val="00645882"/>
    <w:rsid w:val="0065073D"/>
    <w:rsid w:val="00654C86"/>
    <w:rsid w:val="00654F6D"/>
    <w:rsid w:val="0065767F"/>
    <w:rsid w:val="00660B17"/>
    <w:rsid w:val="006611F4"/>
    <w:rsid w:val="00663307"/>
    <w:rsid w:val="00664140"/>
    <w:rsid w:val="00665BFF"/>
    <w:rsid w:val="00671843"/>
    <w:rsid w:val="00671BD5"/>
    <w:rsid w:val="00673990"/>
    <w:rsid w:val="00674B53"/>
    <w:rsid w:val="00674FAC"/>
    <w:rsid w:val="0067543A"/>
    <w:rsid w:val="00675642"/>
    <w:rsid w:val="00680877"/>
    <w:rsid w:val="0068641B"/>
    <w:rsid w:val="00691634"/>
    <w:rsid w:val="00692D12"/>
    <w:rsid w:val="006945D9"/>
    <w:rsid w:val="00694701"/>
    <w:rsid w:val="0069667D"/>
    <w:rsid w:val="006977E1"/>
    <w:rsid w:val="006A00C7"/>
    <w:rsid w:val="006A1E55"/>
    <w:rsid w:val="006A2363"/>
    <w:rsid w:val="006A6A38"/>
    <w:rsid w:val="006A729F"/>
    <w:rsid w:val="006A7563"/>
    <w:rsid w:val="006B0BCC"/>
    <w:rsid w:val="006B319F"/>
    <w:rsid w:val="006B3204"/>
    <w:rsid w:val="006B3420"/>
    <w:rsid w:val="006B461F"/>
    <w:rsid w:val="006B5182"/>
    <w:rsid w:val="006B55C6"/>
    <w:rsid w:val="006B5ED5"/>
    <w:rsid w:val="006C055B"/>
    <w:rsid w:val="006C2C47"/>
    <w:rsid w:val="006C540D"/>
    <w:rsid w:val="006C71D1"/>
    <w:rsid w:val="006C745F"/>
    <w:rsid w:val="006C7DC6"/>
    <w:rsid w:val="006C7E5D"/>
    <w:rsid w:val="006D0518"/>
    <w:rsid w:val="006D2355"/>
    <w:rsid w:val="006D41BB"/>
    <w:rsid w:val="006D52B0"/>
    <w:rsid w:val="006D5941"/>
    <w:rsid w:val="006E054F"/>
    <w:rsid w:val="006E2575"/>
    <w:rsid w:val="006E2D8A"/>
    <w:rsid w:val="006E5075"/>
    <w:rsid w:val="006E5157"/>
    <w:rsid w:val="006E7669"/>
    <w:rsid w:val="006E7D8F"/>
    <w:rsid w:val="006F0581"/>
    <w:rsid w:val="006F05D2"/>
    <w:rsid w:val="006F43C5"/>
    <w:rsid w:val="006F55B2"/>
    <w:rsid w:val="006F5EF8"/>
    <w:rsid w:val="006F7BE6"/>
    <w:rsid w:val="006F7F5E"/>
    <w:rsid w:val="00701A29"/>
    <w:rsid w:val="0070285B"/>
    <w:rsid w:val="0070595C"/>
    <w:rsid w:val="00705F64"/>
    <w:rsid w:val="00707FB4"/>
    <w:rsid w:val="007116D3"/>
    <w:rsid w:val="00712D36"/>
    <w:rsid w:val="00715797"/>
    <w:rsid w:val="007165D2"/>
    <w:rsid w:val="007168BC"/>
    <w:rsid w:val="00720723"/>
    <w:rsid w:val="00720F0B"/>
    <w:rsid w:val="00722873"/>
    <w:rsid w:val="00723106"/>
    <w:rsid w:val="0072332E"/>
    <w:rsid w:val="00723CB7"/>
    <w:rsid w:val="007249A2"/>
    <w:rsid w:val="00725256"/>
    <w:rsid w:val="007253A8"/>
    <w:rsid w:val="00725BF0"/>
    <w:rsid w:val="00726097"/>
    <w:rsid w:val="00726EC0"/>
    <w:rsid w:val="0073164D"/>
    <w:rsid w:val="00731A80"/>
    <w:rsid w:val="007325FE"/>
    <w:rsid w:val="007328A1"/>
    <w:rsid w:val="00736BA4"/>
    <w:rsid w:val="0073764D"/>
    <w:rsid w:val="0074102B"/>
    <w:rsid w:val="007415F1"/>
    <w:rsid w:val="00742FE1"/>
    <w:rsid w:val="00745336"/>
    <w:rsid w:val="007476E6"/>
    <w:rsid w:val="0075047C"/>
    <w:rsid w:val="00752A36"/>
    <w:rsid w:val="00752B66"/>
    <w:rsid w:val="00753410"/>
    <w:rsid w:val="007561B4"/>
    <w:rsid w:val="00760AC9"/>
    <w:rsid w:val="007631BB"/>
    <w:rsid w:val="00765422"/>
    <w:rsid w:val="00766006"/>
    <w:rsid w:val="0076731C"/>
    <w:rsid w:val="00770938"/>
    <w:rsid w:val="00772DB6"/>
    <w:rsid w:val="0077360A"/>
    <w:rsid w:val="007740F7"/>
    <w:rsid w:val="0077649F"/>
    <w:rsid w:val="0077691C"/>
    <w:rsid w:val="00777D18"/>
    <w:rsid w:val="007817D0"/>
    <w:rsid w:val="007977E9"/>
    <w:rsid w:val="007A1419"/>
    <w:rsid w:val="007A2495"/>
    <w:rsid w:val="007A49E7"/>
    <w:rsid w:val="007A74E7"/>
    <w:rsid w:val="007A77DC"/>
    <w:rsid w:val="007B0DA9"/>
    <w:rsid w:val="007B0F91"/>
    <w:rsid w:val="007B3E6C"/>
    <w:rsid w:val="007B4BFD"/>
    <w:rsid w:val="007B4DEC"/>
    <w:rsid w:val="007B5B27"/>
    <w:rsid w:val="007B6927"/>
    <w:rsid w:val="007C05B4"/>
    <w:rsid w:val="007C196E"/>
    <w:rsid w:val="007C2913"/>
    <w:rsid w:val="007C34DC"/>
    <w:rsid w:val="007C558C"/>
    <w:rsid w:val="007C6226"/>
    <w:rsid w:val="007C712C"/>
    <w:rsid w:val="007D1C6E"/>
    <w:rsid w:val="007D338C"/>
    <w:rsid w:val="007D3800"/>
    <w:rsid w:val="007D6335"/>
    <w:rsid w:val="007D73CC"/>
    <w:rsid w:val="007E139F"/>
    <w:rsid w:val="007E3D01"/>
    <w:rsid w:val="007E4709"/>
    <w:rsid w:val="007E545A"/>
    <w:rsid w:val="007E5E4E"/>
    <w:rsid w:val="007E7367"/>
    <w:rsid w:val="007E7647"/>
    <w:rsid w:val="007F11FE"/>
    <w:rsid w:val="007F2A69"/>
    <w:rsid w:val="007F520E"/>
    <w:rsid w:val="007F6C1E"/>
    <w:rsid w:val="007F7660"/>
    <w:rsid w:val="0080016D"/>
    <w:rsid w:val="00801F11"/>
    <w:rsid w:val="00802DA3"/>
    <w:rsid w:val="00802DDA"/>
    <w:rsid w:val="00805CE8"/>
    <w:rsid w:val="00806AA3"/>
    <w:rsid w:val="00806F3F"/>
    <w:rsid w:val="00811668"/>
    <w:rsid w:val="00811D1A"/>
    <w:rsid w:val="00814B9A"/>
    <w:rsid w:val="00815337"/>
    <w:rsid w:val="00815E82"/>
    <w:rsid w:val="00816AAA"/>
    <w:rsid w:val="0081702E"/>
    <w:rsid w:val="00825915"/>
    <w:rsid w:val="00826124"/>
    <w:rsid w:val="00832E19"/>
    <w:rsid w:val="00833047"/>
    <w:rsid w:val="008330FE"/>
    <w:rsid w:val="00835435"/>
    <w:rsid w:val="008355DA"/>
    <w:rsid w:val="008367AF"/>
    <w:rsid w:val="00841224"/>
    <w:rsid w:val="00841AC4"/>
    <w:rsid w:val="00841F27"/>
    <w:rsid w:val="008426F1"/>
    <w:rsid w:val="00843531"/>
    <w:rsid w:val="00843B67"/>
    <w:rsid w:val="008450BF"/>
    <w:rsid w:val="00846EEA"/>
    <w:rsid w:val="0084794B"/>
    <w:rsid w:val="00847BE5"/>
    <w:rsid w:val="00850FAC"/>
    <w:rsid w:val="0085482E"/>
    <w:rsid w:val="00861375"/>
    <w:rsid w:val="00861E2E"/>
    <w:rsid w:val="00862E93"/>
    <w:rsid w:val="00864191"/>
    <w:rsid w:val="0086538D"/>
    <w:rsid w:val="00866C07"/>
    <w:rsid w:val="00870239"/>
    <w:rsid w:val="008738EF"/>
    <w:rsid w:val="008742EB"/>
    <w:rsid w:val="00874E66"/>
    <w:rsid w:val="008758DB"/>
    <w:rsid w:val="00875E61"/>
    <w:rsid w:val="0087704F"/>
    <w:rsid w:val="0088024F"/>
    <w:rsid w:val="00880EB8"/>
    <w:rsid w:val="00881365"/>
    <w:rsid w:val="00885FA6"/>
    <w:rsid w:val="00886030"/>
    <w:rsid w:val="0088742A"/>
    <w:rsid w:val="00887E0C"/>
    <w:rsid w:val="008920C4"/>
    <w:rsid w:val="008A0899"/>
    <w:rsid w:val="008A4A76"/>
    <w:rsid w:val="008A53F4"/>
    <w:rsid w:val="008A7B79"/>
    <w:rsid w:val="008B1307"/>
    <w:rsid w:val="008B4E43"/>
    <w:rsid w:val="008C061E"/>
    <w:rsid w:val="008C199A"/>
    <w:rsid w:val="008C21C8"/>
    <w:rsid w:val="008C24C1"/>
    <w:rsid w:val="008C2F1D"/>
    <w:rsid w:val="008C36DB"/>
    <w:rsid w:val="008C3FD0"/>
    <w:rsid w:val="008C4F3D"/>
    <w:rsid w:val="008C4F58"/>
    <w:rsid w:val="008C6879"/>
    <w:rsid w:val="008C6CA8"/>
    <w:rsid w:val="008D059B"/>
    <w:rsid w:val="008D2184"/>
    <w:rsid w:val="008D28F7"/>
    <w:rsid w:val="008D3327"/>
    <w:rsid w:val="008D4C1E"/>
    <w:rsid w:val="008D4F70"/>
    <w:rsid w:val="008E0FEF"/>
    <w:rsid w:val="008E17CE"/>
    <w:rsid w:val="008E2C77"/>
    <w:rsid w:val="008E36C1"/>
    <w:rsid w:val="008E3E6A"/>
    <w:rsid w:val="008E5BFD"/>
    <w:rsid w:val="008E6B31"/>
    <w:rsid w:val="008E6B4D"/>
    <w:rsid w:val="008E7772"/>
    <w:rsid w:val="008F4D4A"/>
    <w:rsid w:val="008F5A0A"/>
    <w:rsid w:val="0090002D"/>
    <w:rsid w:val="00900642"/>
    <w:rsid w:val="0090224C"/>
    <w:rsid w:val="00906CB2"/>
    <w:rsid w:val="009106EA"/>
    <w:rsid w:val="00911CC4"/>
    <w:rsid w:val="009122FE"/>
    <w:rsid w:val="009123C1"/>
    <w:rsid w:val="00912D6D"/>
    <w:rsid w:val="009137BE"/>
    <w:rsid w:val="00913B96"/>
    <w:rsid w:val="00913CD0"/>
    <w:rsid w:val="00915413"/>
    <w:rsid w:val="00915F4C"/>
    <w:rsid w:val="00916096"/>
    <w:rsid w:val="00920082"/>
    <w:rsid w:val="009208C9"/>
    <w:rsid w:val="00920E97"/>
    <w:rsid w:val="00922B08"/>
    <w:rsid w:val="00922B1B"/>
    <w:rsid w:val="00923F00"/>
    <w:rsid w:val="00926423"/>
    <w:rsid w:val="009270AC"/>
    <w:rsid w:val="00932E1E"/>
    <w:rsid w:val="009366E6"/>
    <w:rsid w:val="00937683"/>
    <w:rsid w:val="0094141B"/>
    <w:rsid w:val="009438DF"/>
    <w:rsid w:val="00943A18"/>
    <w:rsid w:val="00943FF9"/>
    <w:rsid w:val="00944A19"/>
    <w:rsid w:val="00945045"/>
    <w:rsid w:val="00947B4D"/>
    <w:rsid w:val="00955990"/>
    <w:rsid w:val="0095778B"/>
    <w:rsid w:val="00957998"/>
    <w:rsid w:val="0096018E"/>
    <w:rsid w:val="009605EE"/>
    <w:rsid w:val="0096099E"/>
    <w:rsid w:val="009612A4"/>
    <w:rsid w:val="009620AD"/>
    <w:rsid w:val="0096263D"/>
    <w:rsid w:val="00962930"/>
    <w:rsid w:val="00962EB2"/>
    <w:rsid w:val="0096460E"/>
    <w:rsid w:val="00964F5B"/>
    <w:rsid w:val="009715BF"/>
    <w:rsid w:val="00972277"/>
    <w:rsid w:val="00974400"/>
    <w:rsid w:val="00982705"/>
    <w:rsid w:val="009827A6"/>
    <w:rsid w:val="009834E0"/>
    <w:rsid w:val="009844C6"/>
    <w:rsid w:val="00985233"/>
    <w:rsid w:val="0098700B"/>
    <w:rsid w:val="0099002E"/>
    <w:rsid w:val="00992261"/>
    <w:rsid w:val="00992362"/>
    <w:rsid w:val="0099319C"/>
    <w:rsid w:val="00995D4B"/>
    <w:rsid w:val="009979BB"/>
    <w:rsid w:val="009A1545"/>
    <w:rsid w:val="009A20B4"/>
    <w:rsid w:val="009A2763"/>
    <w:rsid w:val="009A7D15"/>
    <w:rsid w:val="009B1B2E"/>
    <w:rsid w:val="009B570F"/>
    <w:rsid w:val="009C0115"/>
    <w:rsid w:val="009C3818"/>
    <w:rsid w:val="009C702E"/>
    <w:rsid w:val="009C71AD"/>
    <w:rsid w:val="009C7DB0"/>
    <w:rsid w:val="009D053D"/>
    <w:rsid w:val="009D4824"/>
    <w:rsid w:val="009E3478"/>
    <w:rsid w:val="009E3A00"/>
    <w:rsid w:val="009E4DD7"/>
    <w:rsid w:val="009F3201"/>
    <w:rsid w:val="009F4C33"/>
    <w:rsid w:val="009F6514"/>
    <w:rsid w:val="009F7551"/>
    <w:rsid w:val="00A05B66"/>
    <w:rsid w:val="00A06249"/>
    <w:rsid w:val="00A07291"/>
    <w:rsid w:val="00A0783B"/>
    <w:rsid w:val="00A0783D"/>
    <w:rsid w:val="00A10281"/>
    <w:rsid w:val="00A10393"/>
    <w:rsid w:val="00A10F13"/>
    <w:rsid w:val="00A11A67"/>
    <w:rsid w:val="00A12D13"/>
    <w:rsid w:val="00A13946"/>
    <w:rsid w:val="00A13949"/>
    <w:rsid w:val="00A15020"/>
    <w:rsid w:val="00A15369"/>
    <w:rsid w:val="00A16947"/>
    <w:rsid w:val="00A17744"/>
    <w:rsid w:val="00A17B8E"/>
    <w:rsid w:val="00A20008"/>
    <w:rsid w:val="00A205B5"/>
    <w:rsid w:val="00A21661"/>
    <w:rsid w:val="00A21B28"/>
    <w:rsid w:val="00A23B7C"/>
    <w:rsid w:val="00A26FFB"/>
    <w:rsid w:val="00A27D24"/>
    <w:rsid w:val="00A30514"/>
    <w:rsid w:val="00A30A1D"/>
    <w:rsid w:val="00A30E8D"/>
    <w:rsid w:val="00A31160"/>
    <w:rsid w:val="00A31260"/>
    <w:rsid w:val="00A313F2"/>
    <w:rsid w:val="00A316BD"/>
    <w:rsid w:val="00A32431"/>
    <w:rsid w:val="00A33086"/>
    <w:rsid w:val="00A34673"/>
    <w:rsid w:val="00A34D6B"/>
    <w:rsid w:val="00A3545B"/>
    <w:rsid w:val="00A35A4F"/>
    <w:rsid w:val="00A35CA1"/>
    <w:rsid w:val="00A3761F"/>
    <w:rsid w:val="00A403D9"/>
    <w:rsid w:val="00A431CB"/>
    <w:rsid w:val="00A43408"/>
    <w:rsid w:val="00A47F30"/>
    <w:rsid w:val="00A47F7B"/>
    <w:rsid w:val="00A52FA6"/>
    <w:rsid w:val="00A5318E"/>
    <w:rsid w:val="00A56BC0"/>
    <w:rsid w:val="00A60A9F"/>
    <w:rsid w:val="00A6332C"/>
    <w:rsid w:val="00A639D0"/>
    <w:rsid w:val="00A65CDA"/>
    <w:rsid w:val="00A70238"/>
    <w:rsid w:val="00A71CD9"/>
    <w:rsid w:val="00A74803"/>
    <w:rsid w:val="00A75D88"/>
    <w:rsid w:val="00A764DC"/>
    <w:rsid w:val="00A77066"/>
    <w:rsid w:val="00A77407"/>
    <w:rsid w:val="00A80FDF"/>
    <w:rsid w:val="00A81713"/>
    <w:rsid w:val="00A83E4D"/>
    <w:rsid w:val="00A851C4"/>
    <w:rsid w:val="00A85297"/>
    <w:rsid w:val="00A86624"/>
    <w:rsid w:val="00A86AF6"/>
    <w:rsid w:val="00A86F9B"/>
    <w:rsid w:val="00A86FB5"/>
    <w:rsid w:val="00A87B4A"/>
    <w:rsid w:val="00A918F1"/>
    <w:rsid w:val="00A92F49"/>
    <w:rsid w:val="00A9500C"/>
    <w:rsid w:val="00A96AA3"/>
    <w:rsid w:val="00A97D1F"/>
    <w:rsid w:val="00A97EE5"/>
    <w:rsid w:val="00AA120E"/>
    <w:rsid w:val="00AA147F"/>
    <w:rsid w:val="00AA18B2"/>
    <w:rsid w:val="00AA5D47"/>
    <w:rsid w:val="00AA7AD6"/>
    <w:rsid w:val="00AB1C13"/>
    <w:rsid w:val="00AB7EF5"/>
    <w:rsid w:val="00AC07D0"/>
    <w:rsid w:val="00AC08E7"/>
    <w:rsid w:val="00AC315A"/>
    <w:rsid w:val="00AC4D0A"/>
    <w:rsid w:val="00AC704E"/>
    <w:rsid w:val="00AC76E7"/>
    <w:rsid w:val="00AD0958"/>
    <w:rsid w:val="00AD192A"/>
    <w:rsid w:val="00AD19B0"/>
    <w:rsid w:val="00AD2E8B"/>
    <w:rsid w:val="00AD39EA"/>
    <w:rsid w:val="00AD519C"/>
    <w:rsid w:val="00AD55C0"/>
    <w:rsid w:val="00AD55DE"/>
    <w:rsid w:val="00AE0172"/>
    <w:rsid w:val="00AE0B1F"/>
    <w:rsid w:val="00AE6923"/>
    <w:rsid w:val="00AE69AA"/>
    <w:rsid w:val="00AF11E9"/>
    <w:rsid w:val="00AF258B"/>
    <w:rsid w:val="00AF2D1B"/>
    <w:rsid w:val="00AF4F87"/>
    <w:rsid w:val="00AF5382"/>
    <w:rsid w:val="00AF5D21"/>
    <w:rsid w:val="00B00A3B"/>
    <w:rsid w:val="00B00EB0"/>
    <w:rsid w:val="00B02207"/>
    <w:rsid w:val="00B030FD"/>
    <w:rsid w:val="00B0345A"/>
    <w:rsid w:val="00B0400E"/>
    <w:rsid w:val="00B04561"/>
    <w:rsid w:val="00B04AB3"/>
    <w:rsid w:val="00B052E6"/>
    <w:rsid w:val="00B0785F"/>
    <w:rsid w:val="00B11767"/>
    <w:rsid w:val="00B16090"/>
    <w:rsid w:val="00B17777"/>
    <w:rsid w:val="00B177BC"/>
    <w:rsid w:val="00B17924"/>
    <w:rsid w:val="00B205BF"/>
    <w:rsid w:val="00B21D6D"/>
    <w:rsid w:val="00B221FC"/>
    <w:rsid w:val="00B2250A"/>
    <w:rsid w:val="00B24F9B"/>
    <w:rsid w:val="00B2747A"/>
    <w:rsid w:val="00B30481"/>
    <w:rsid w:val="00B33D3E"/>
    <w:rsid w:val="00B4376A"/>
    <w:rsid w:val="00B44A04"/>
    <w:rsid w:val="00B457F4"/>
    <w:rsid w:val="00B45F19"/>
    <w:rsid w:val="00B502DE"/>
    <w:rsid w:val="00B50D51"/>
    <w:rsid w:val="00B54D76"/>
    <w:rsid w:val="00B5661C"/>
    <w:rsid w:val="00B571BE"/>
    <w:rsid w:val="00B61E3D"/>
    <w:rsid w:val="00B631A8"/>
    <w:rsid w:val="00B63AFB"/>
    <w:rsid w:val="00B63DFF"/>
    <w:rsid w:val="00B64E30"/>
    <w:rsid w:val="00B65B0E"/>
    <w:rsid w:val="00B66628"/>
    <w:rsid w:val="00B67665"/>
    <w:rsid w:val="00B7104D"/>
    <w:rsid w:val="00B71688"/>
    <w:rsid w:val="00B7179B"/>
    <w:rsid w:val="00B72EE2"/>
    <w:rsid w:val="00B73390"/>
    <w:rsid w:val="00B748B7"/>
    <w:rsid w:val="00B77BA2"/>
    <w:rsid w:val="00B81485"/>
    <w:rsid w:val="00B81D81"/>
    <w:rsid w:val="00B83812"/>
    <w:rsid w:val="00B846E3"/>
    <w:rsid w:val="00B87D47"/>
    <w:rsid w:val="00B87F0F"/>
    <w:rsid w:val="00B9072C"/>
    <w:rsid w:val="00B918A9"/>
    <w:rsid w:val="00B92BA0"/>
    <w:rsid w:val="00B92DA0"/>
    <w:rsid w:val="00B964BD"/>
    <w:rsid w:val="00B9765F"/>
    <w:rsid w:val="00BA123A"/>
    <w:rsid w:val="00BA545E"/>
    <w:rsid w:val="00BA5A5B"/>
    <w:rsid w:val="00BB24EF"/>
    <w:rsid w:val="00BB4DB8"/>
    <w:rsid w:val="00BB53CF"/>
    <w:rsid w:val="00BC0F9A"/>
    <w:rsid w:val="00BC4D7E"/>
    <w:rsid w:val="00BC61C8"/>
    <w:rsid w:val="00BC67EF"/>
    <w:rsid w:val="00BC72D4"/>
    <w:rsid w:val="00BD00CD"/>
    <w:rsid w:val="00BD17E3"/>
    <w:rsid w:val="00BD1A95"/>
    <w:rsid w:val="00BD2587"/>
    <w:rsid w:val="00BD55FD"/>
    <w:rsid w:val="00BD6B16"/>
    <w:rsid w:val="00BD6D51"/>
    <w:rsid w:val="00BE16BC"/>
    <w:rsid w:val="00BE63FE"/>
    <w:rsid w:val="00BE6D91"/>
    <w:rsid w:val="00BE7F82"/>
    <w:rsid w:val="00BF1A07"/>
    <w:rsid w:val="00BF333A"/>
    <w:rsid w:val="00BF483C"/>
    <w:rsid w:val="00BF5925"/>
    <w:rsid w:val="00BF70C1"/>
    <w:rsid w:val="00C01617"/>
    <w:rsid w:val="00C018C8"/>
    <w:rsid w:val="00C03EDF"/>
    <w:rsid w:val="00C064CA"/>
    <w:rsid w:val="00C07250"/>
    <w:rsid w:val="00C077B5"/>
    <w:rsid w:val="00C14D00"/>
    <w:rsid w:val="00C159C3"/>
    <w:rsid w:val="00C162C9"/>
    <w:rsid w:val="00C177FE"/>
    <w:rsid w:val="00C17809"/>
    <w:rsid w:val="00C179B8"/>
    <w:rsid w:val="00C20149"/>
    <w:rsid w:val="00C20805"/>
    <w:rsid w:val="00C31AF1"/>
    <w:rsid w:val="00C32884"/>
    <w:rsid w:val="00C34F75"/>
    <w:rsid w:val="00C40F89"/>
    <w:rsid w:val="00C43DE6"/>
    <w:rsid w:val="00C43F04"/>
    <w:rsid w:val="00C44E2F"/>
    <w:rsid w:val="00C46359"/>
    <w:rsid w:val="00C46E6F"/>
    <w:rsid w:val="00C47C32"/>
    <w:rsid w:val="00C544EC"/>
    <w:rsid w:val="00C54825"/>
    <w:rsid w:val="00C56D70"/>
    <w:rsid w:val="00C56DA8"/>
    <w:rsid w:val="00C5712E"/>
    <w:rsid w:val="00C60A24"/>
    <w:rsid w:val="00C63DB5"/>
    <w:rsid w:val="00C64FFD"/>
    <w:rsid w:val="00C666E8"/>
    <w:rsid w:val="00C67921"/>
    <w:rsid w:val="00C7080C"/>
    <w:rsid w:val="00C72C33"/>
    <w:rsid w:val="00C740C5"/>
    <w:rsid w:val="00C7515E"/>
    <w:rsid w:val="00C76ED2"/>
    <w:rsid w:val="00C771AA"/>
    <w:rsid w:val="00C8095E"/>
    <w:rsid w:val="00C82498"/>
    <w:rsid w:val="00C84165"/>
    <w:rsid w:val="00C85D8D"/>
    <w:rsid w:val="00C90D49"/>
    <w:rsid w:val="00C9230A"/>
    <w:rsid w:val="00C962F4"/>
    <w:rsid w:val="00CA3399"/>
    <w:rsid w:val="00CA42FF"/>
    <w:rsid w:val="00CA7874"/>
    <w:rsid w:val="00CA7DD3"/>
    <w:rsid w:val="00CC03DE"/>
    <w:rsid w:val="00CC165F"/>
    <w:rsid w:val="00CC45CF"/>
    <w:rsid w:val="00CC7E74"/>
    <w:rsid w:val="00CD02A6"/>
    <w:rsid w:val="00CD03BD"/>
    <w:rsid w:val="00CD1C40"/>
    <w:rsid w:val="00CD475E"/>
    <w:rsid w:val="00CD563C"/>
    <w:rsid w:val="00CD5922"/>
    <w:rsid w:val="00CD6912"/>
    <w:rsid w:val="00CE0512"/>
    <w:rsid w:val="00CE34B3"/>
    <w:rsid w:val="00CE56CD"/>
    <w:rsid w:val="00CE6A7B"/>
    <w:rsid w:val="00CE6EAA"/>
    <w:rsid w:val="00CE7156"/>
    <w:rsid w:val="00CE7221"/>
    <w:rsid w:val="00CF138D"/>
    <w:rsid w:val="00CF1CD7"/>
    <w:rsid w:val="00CF2CE6"/>
    <w:rsid w:val="00CF4343"/>
    <w:rsid w:val="00CF7110"/>
    <w:rsid w:val="00D000B4"/>
    <w:rsid w:val="00D0020E"/>
    <w:rsid w:val="00D04D16"/>
    <w:rsid w:val="00D04E67"/>
    <w:rsid w:val="00D05025"/>
    <w:rsid w:val="00D05B49"/>
    <w:rsid w:val="00D072DD"/>
    <w:rsid w:val="00D0760B"/>
    <w:rsid w:val="00D07BC1"/>
    <w:rsid w:val="00D11546"/>
    <w:rsid w:val="00D11850"/>
    <w:rsid w:val="00D11A8F"/>
    <w:rsid w:val="00D12811"/>
    <w:rsid w:val="00D13C33"/>
    <w:rsid w:val="00D158FA"/>
    <w:rsid w:val="00D15B1F"/>
    <w:rsid w:val="00D172A1"/>
    <w:rsid w:val="00D17532"/>
    <w:rsid w:val="00D20099"/>
    <w:rsid w:val="00D23EB0"/>
    <w:rsid w:val="00D24915"/>
    <w:rsid w:val="00D2497E"/>
    <w:rsid w:val="00D24A39"/>
    <w:rsid w:val="00D25AD7"/>
    <w:rsid w:val="00D25C69"/>
    <w:rsid w:val="00D27175"/>
    <w:rsid w:val="00D272E5"/>
    <w:rsid w:val="00D2750E"/>
    <w:rsid w:val="00D31F68"/>
    <w:rsid w:val="00D32331"/>
    <w:rsid w:val="00D32728"/>
    <w:rsid w:val="00D3309E"/>
    <w:rsid w:val="00D33CCE"/>
    <w:rsid w:val="00D400BF"/>
    <w:rsid w:val="00D423B0"/>
    <w:rsid w:val="00D444EE"/>
    <w:rsid w:val="00D45188"/>
    <w:rsid w:val="00D45253"/>
    <w:rsid w:val="00D469C6"/>
    <w:rsid w:val="00D472FB"/>
    <w:rsid w:val="00D50014"/>
    <w:rsid w:val="00D514E4"/>
    <w:rsid w:val="00D54303"/>
    <w:rsid w:val="00D54CDD"/>
    <w:rsid w:val="00D5523E"/>
    <w:rsid w:val="00D5541F"/>
    <w:rsid w:val="00D560EA"/>
    <w:rsid w:val="00D57209"/>
    <w:rsid w:val="00D5725E"/>
    <w:rsid w:val="00D618F2"/>
    <w:rsid w:val="00D64E57"/>
    <w:rsid w:val="00D65160"/>
    <w:rsid w:val="00D65696"/>
    <w:rsid w:val="00D67B00"/>
    <w:rsid w:val="00D76268"/>
    <w:rsid w:val="00D76BBD"/>
    <w:rsid w:val="00D815E4"/>
    <w:rsid w:val="00D82001"/>
    <w:rsid w:val="00D8280E"/>
    <w:rsid w:val="00D82AA4"/>
    <w:rsid w:val="00D845D5"/>
    <w:rsid w:val="00D86085"/>
    <w:rsid w:val="00D8749A"/>
    <w:rsid w:val="00D911F2"/>
    <w:rsid w:val="00D925F9"/>
    <w:rsid w:val="00D93F71"/>
    <w:rsid w:val="00D966C9"/>
    <w:rsid w:val="00D97699"/>
    <w:rsid w:val="00DA206F"/>
    <w:rsid w:val="00DB10EE"/>
    <w:rsid w:val="00DB12A9"/>
    <w:rsid w:val="00DB3638"/>
    <w:rsid w:val="00DB41FF"/>
    <w:rsid w:val="00DB45EF"/>
    <w:rsid w:val="00DB6385"/>
    <w:rsid w:val="00DC1895"/>
    <w:rsid w:val="00DC612C"/>
    <w:rsid w:val="00DC63A9"/>
    <w:rsid w:val="00DC7D02"/>
    <w:rsid w:val="00DD11B8"/>
    <w:rsid w:val="00DD3A4C"/>
    <w:rsid w:val="00DD3C28"/>
    <w:rsid w:val="00DD472B"/>
    <w:rsid w:val="00DD4E67"/>
    <w:rsid w:val="00DD5187"/>
    <w:rsid w:val="00DD630C"/>
    <w:rsid w:val="00DE33DA"/>
    <w:rsid w:val="00DE5208"/>
    <w:rsid w:val="00DE680C"/>
    <w:rsid w:val="00DE6ABD"/>
    <w:rsid w:val="00DE73F2"/>
    <w:rsid w:val="00DF1F19"/>
    <w:rsid w:val="00DF4F95"/>
    <w:rsid w:val="00DF70EE"/>
    <w:rsid w:val="00DF778B"/>
    <w:rsid w:val="00E0057D"/>
    <w:rsid w:val="00E005BB"/>
    <w:rsid w:val="00E025D5"/>
    <w:rsid w:val="00E02A68"/>
    <w:rsid w:val="00E0583B"/>
    <w:rsid w:val="00E1108F"/>
    <w:rsid w:val="00E1189A"/>
    <w:rsid w:val="00E1195E"/>
    <w:rsid w:val="00E120BD"/>
    <w:rsid w:val="00E12D38"/>
    <w:rsid w:val="00E1341A"/>
    <w:rsid w:val="00E15E5B"/>
    <w:rsid w:val="00E1630A"/>
    <w:rsid w:val="00E21479"/>
    <w:rsid w:val="00E23439"/>
    <w:rsid w:val="00E2377E"/>
    <w:rsid w:val="00E305C6"/>
    <w:rsid w:val="00E306A6"/>
    <w:rsid w:val="00E3636F"/>
    <w:rsid w:val="00E431C2"/>
    <w:rsid w:val="00E43B6B"/>
    <w:rsid w:val="00E4519B"/>
    <w:rsid w:val="00E50368"/>
    <w:rsid w:val="00E50D6F"/>
    <w:rsid w:val="00E517B1"/>
    <w:rsid w:val="00E52257"/>
    <w:rsid w:val="00E54B81"/>
    <w:rsid w:val="00E57A0B"/>
    <w:rsid w:val="00E60BCF"/>
    <w:rsid w:val="00E62CD4"/>
    <w:rsid w:val="00E63091"/>
    <w:rsid w:val="00E648EB"/>
    <w:rsid w:val="00E64CE4"/>
    <w:rsid w:val="00E65CED"/>
    <w:rsid w:val="00E66426"/>
    <w:rsid w:val="00E666C9"/>
    <w:rsid w:val="00E70799"/>
    <w:rsid w:val="00E73913"/>
    <w:rsid w:val="00E7559B"/>
    <w:rsid w:val="00E75C56"/>
    <w:rsid w:val="00E80A41"/>
    <w:rsid w:val="00E80C9E"/>
    <w:rsid w:val="00E8128E"/>
    <w:rsid w:val="00E8263C"/>
    <w:rsid w:val="00E83A91"/>
    <w:rsid w:val="00E84B39"/>
    <w:rsid w:val="00E85D28"/>
    <w:rsid w:val="00E90615"/>
    <w:rsid w:val="00E91705"/>
    <w:rsid w:val="00E93E64"/>
    <w:rsid w:val="00E9447B"/>
    <w:rsid w:val="00E961FB"/>
    <w:rsid w:val="00E968C6"/>
    <w:rsid w:val="00E96DC9"/>
    <w:rsid w:val="00EA13E5"/>
    <w:rsid w:val="00EA1E1F"/>
    <w:rsid w:val="00EA24F5"/>
    <w:rsid w:val="00EA417B"/>
    <w:rsid w:val="00EA4AB4"/>
    <w:rsid w:val="00EA50AC"/>
    <w:rsid w:val="00EA61FF"/>
    <w:rsid w:val="00EB05E5"/>
    <w:rsid w:val="00EB1789"/>
    <w:rsid w:val="00EB2632"/>
    <w:rsid w:val="00EB2714"/>
    <w:rsid w:val="00EB4AF2"/>
    <w:rsid w:val="00EB54E2"/>
    <w:rsid w:val="00EB5951"/>
    <w:rsid w:val="00EC1019"/>
    <w:rsid w:val="00EC2119"/>
    <w:rsid w:val="00EC5347"/>
    <w:rsid w:val="00EC6406"/>
    <w:rsid w:val="00EC6601"/>
    <w:rsid w:val="00ED04C8"/>
    <w:rsid w:val="00ED1C29"/>
    <w:rsid w:val="00ED342C"/>
    <w:rsid w:val="00ED3C5E"/>
    <w:rsid w:val="00ED3F37"/>
    <w:rsid w:val="00ED4512"/>
    <w:rsid w:val="00EE1E63"/>
    <w:rsid w:val="00EE2FCA"/>
    <w:rsid w:val="00EE4177"/>
    <w:rsid w:val="00EE72A1"/>
    <w:rsid w:val="00EE7A2F"/>
    <w:rsid w:val="00EF276B"/>
    <w:rsid w:val="00EF3481"/>
    <w:rsid w:val="00EF3659"/>
    <w:rsid w:val="00EF3ECB"/>
    <w:rsid w:val="00EF7621"/>
    <w:rsid w:val="00EF7C70"/>
    <w:rsid w:val="00F02952"/>
    <w:rsid w:val="00F06D4A"/>
    <w:rsid w:val="00F06DCE"/>
    <w:rsid w:val="00F12560"/>
    <w:rsid w:val="00F15791"/>
    <w:rsid w:val="00F20824"/>
    <w:rsid w:val="00F20B55"/>
    <w:rsid w:val="00F21CF4"/>
    <w:rsid w:val="00F24411"/>
    <w:rsid w:val="00F2526A"/>
    <w:rsid w:val="00F27221"/>
    <w:rsid w:val="00F27407"/>
    <w:rsid w:val="00F304D3"/>
    <w:rsid w:val="00F30BCF"/>
    <w:rsid w:val="00F33DF6"/>
    <w:rsid w:val="00F34389"/>
    <w:rsid w:val="00F346C1"/>
    <w:rsid w:val="00F368F8"/>
    <w:rsid w:val="00F4017C"/>
    <w:rsid w:val="00F41036"/>
    <w:rsid w:val="00F415FD"/>
    <w:rsid w:val="00F41E96"/>
    <w:rsid w:val="00F4566B"/>
    <w:rsid w:val="00F46A0A"/>
    <w:rsid w:val="00F530F5"/>
    <w:rsid w:val="00F5344C"/>
    <w:rsid w:val="00F55B4A"/>
    <w:rsid w:val="00F574F0"/>
    <w:rsid w:val="00F57BA1"/>
    <w:rsid w:val="00F60112"/>
    <w:rsid w:val="00F6096B"/>
    <w:rsid w:val="00F63F57"/>
    <w:rsid w:val="00F66CAD"/>
    <w:rsid w:val="00F71E19"/>
    <w:rsid w:val="00F741AA"/>
    <w:rsid w:val="00F742B7"/>
    <w:rsid w:val="00F742E8"/>
    <w:rsid w:val="00F74698"/>
    <w:rsid w:val="00F767B1"/>
    <w:rsid w:val="00F80FA8"/>
    <w:rsid w:val="00F813E9"/>
    <w:rsid w:val="00F81D1D"/>
    <w:rsid w:val="00F84492"/>
    <w:rsid w:val="00F85E92"/>
    <w:rsid w:val="00F915A7"/>
    <w:rsid w:val="00F9169F"/>
    <w:rsid w:val="00F91CF9"/>
    <w:rsid w:val="00F9269D"/>
    <w:rsid w:val="00F92DB7"/>
    <w:rsid w:val="00F93CA4"/>
    <w:rsid w:val="00F94C0A"/>
    <w:rsid w:val="00F96668"/>
    <w:rsid w:val="00FA1F76"/>
    <w:rsid w:val="00FA2569"/>
    <w:rsid w:val="00FA4F84"/>
    <w:rsid w:val="00FA5B3B"/>
    <w:rsid w:val="00FA685D"/>
    <w:rsid w:val="00FB2188"/>
    <w:rsid w:val="00FB2C1B"/>
    <w:rsid w:val="00FB6195"/>
    <w:rsid w:val="00FB6A84"/>
    <w:rsid w:val="00FB6B0E"/>
    <w:rsid w:val="00FB7D19"/>
    <w:rsid w:val="00FC0D7E"/>
    <w:rsid w:val="00FC17B8"/>
    <w:rsid w:val="00FC515D"/>
    <w:rsid w:val="00FC5639"/>
    <w:rsid w:val="00FC5E78"/>
    <w:rsid w:val="00FC7146"/>
    <w:rsid w:val="00FD3EC3"/>
    <w:rsid w:val="00FE0F35"/>
    <w:rsid w:val="00FE32B5"/>
    <w:rsid w:val="00FE3B1E"/>
    <w:rsid w:val="00FE43FF"/>
    <w:rsid w:val="00FE545B"/>
    <w:rsid w:val="00FE6D8D"/>
    <w:rsid w:val="00FF2521"/>
    <w:rsid w:val="00FF2658"/>
    <w:rsid w:val="00FF27D4"/>
    <w:rsid w:val="00FF40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1400A2"/>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EF"/>
    <w:pPr>
      <w:widowControl w:val="0"/>
    </w:pPr>
    <w:rPr>
      <w:snapToGrid w:val="0"/>
      <w:kern w:val="28"/>
      <w:sz w:val="22"/>
    </w:rPr>
  </w:style>
  <w:style w:type="paragraph" w:styleId="Heading1">
    <w:name w:val="heading 1"/>
    <w:basedOn w:val="Normal"/>
    <w:next w:val="ParaNum"/>
    <w:link w:val="Heading1Char"/>
    <w:qFormat/>
    <w:rsid w:val="00BB24EF"/>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24EF"/>
    <w:pPr>
      <w:keepNext/>
      <w:numPr>
        <w:ilvl w:val="1"/>
        <w:numId w:val="14"/>
      </w:numPr>
      <w:spacing w:after="120"/>
      <w:outlineLvl w:val="1"/>
    </w:pPr>
    <w:rPr>
      <w:b/>
    </w:rPr>
  </w:style>
  <w:style w:type="paragraph" w:styleId="Heading3">
    <w:name w:val="heading 3"/>
    <w:basedOn w:val="Normal"/>
    <w:next w:val="ParaNum"/>
    <w:link w:val="Heading3Char"/>
    <w:qFormat/>
    <w:rsid w:val="00BB24EF"/>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BB24EF"/>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BB24EF"/>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BB24EF"/>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BB24EF"/>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BB24EF"/>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24EF"/>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24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4EF"/>
  </w:style>
  <w:style w:type="paragraph" w:customStyle="1" w:styleId="ParaNum">
    <w:name w:val="ParaNum"/>
    <w:basedOn w:val="Normal"/>
    <w:link w:val="ParaNumChar"/>
    <w:rsid w:val="00BB24EF"/>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B24E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B24EF"/>
    <w:rPr>
      <w:rFonts w:ascii="Times New Roman" w:hAnsi="Times New Roman"/>
      <w:dstrike w:val="0"/>
      <w:color w:val="auto"/>
      <w:sz w:val="20"/>
      <w:vertAlign w:val="superscript"/>
    </w:rPr>
  </w:style>
  <w:style w:type="paragraph" w:styleId="Header">
    <w:name w:val="header"/>
    <w:basedOn w:val="Normal"/>
    <w:autoRedefine/>
    <w:rsid w:val="00BB24EF"/>
    <w:pPr>
      <w:tabs>
        <w:tab w:val="center" w:pos="4680"/>
        <w:tab w:val="right" w:pos="9360"/>
      </w:tabs>
    </w:pPr>
    <w:rPr>
      <w:b/>
    </w:rPr>
  </w:style>
  <w:style w:type="paragraph" w:styleId="Footer">
    <w:name w:val="footer"/>
    <w:basedOn w:val="Normal"/>
    <w:link w:val="FooterChar"/>
    <w:uiPriority w:val="99"/>
    <w:rsid w:val="00BB24EF"/>
    <w:pPr>
      <w:tabs>
        <w:tab w:val="center" w:pos="4320"/>
        <w:tab w:val="right" w:pos="8640"/>
      </w:tabs>
    </w:pPr>
  </w:style>
  <w:style w:type="character" w:styleId="PageNumber">
    <w:name w:val="page number"/>
    <w:basedOn w:val="DefaultParagraphFont"/>
    <w:rsid w:val="00BB24EF"/>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BB24EF"/>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BB24EF"/>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BB24EF"/>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BB24EF"/>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BB24EF"/>
    <w:rPr>
      <w:vertAlign w:val="superscript"/>
    </w:rPr>
  </w:style>
  <w:style w:type="paragraph" w:styleId="TOC1">
    <w:name w:val="toc 1"/>
    <w:basedOn w:val="Normal"/>
    <w:next w:val="Normal"/>
    <w:rsid w:val="00BB24EF"/>
    <w:pPr>
      <w:tabs>
        <w:tab w:val="left" w:pos="360"/>
        <w:tab w:val="right" w:leader="dot" w:pos="9360"/>
      </w:tabs>
      <w:suppressAutoHyphens/>
      <w:ind w:left="360" w:right="720" w:hanging="360"/>
    </w:pPr>
    <w:rPr>
      <w:caps/>
      <w:noProof/>
    </w:rPr>
  </w:style>
  <w:style w:type="paragraph" w:styleId="TOC2">
    <w:name w:val="toc 2"/>
    <w:basedOn w:val="Normal"/>
    <w:next w:val="Normal"/>
    <w:rsid w:val="00BB24EF"/>
    <w:pPr>
      <w:tabs>
        <w:tab w:val="left" w:pos="720"/>
        <w:tab w:val="right" w:leader="dot" w:pos="9360"/>
      </w:tabs>
      <w:suppressAutoHyphens/>
      <w:ind w:left="720" w:right="720" w:hanging="360"/>
    </w:pPr>
    <w:rPr>
      <w:noProof/>
    </w:rPr>
  </w:style>
  <w:style w:type="paragraph" w:styleId="TOC3">
    <w:name w:val="toc 3"/>
    <w:basedOn w:val="Normal"/>
    <w:next w:val="Normal"/>
    <w:rsid w:val="00BB24E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24E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24E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B24EF"/>
    <w:pPr>
      <w:tabs>
        <w:tab w:val="left" w:pos="2160"/>
        <w:tab w:val="right" w:leader="dot" w:pos="9360"/>
      </w:tabs>
      <w:suppressAutoHyphens/>
      <w:ind w:left="2160" w:hanging="360"/>
    </w:pPr>
    <w:rPr>
      <w:noProof/>
    </w:rPr>
  </w:style>
  <w:style w:type="paragraph" w:styleId="TOC7">
    <w:name w:val="toc 7"/>
    <w:basedOn w:val="Normal"/>
    <w:next w:val="Normal"/>
    <w:autoRedefine/>
    <w:rsid w:val="00BB24EF"/>
    <w:pPr>
      <w:tabs>
        <w:tab w:val="left" w:pos="2520"/>
        <w:tab w:val="right" w:leader="dot" w:pos="9360"/>
      </w:tabs>
      <w:suppressAutoHyphens/>
      <w:ind w:left="2520" w:hanging="360"/>
    </w:pPr>
    <w:rPr>
      <w:noProof/>
    </w:rPr>
  </w:style>
  <w:style w:type="paragraph" w:styleId="TOC8">
    <w:name w:val="toc 8"/>
    <w:basedOn w:val="Normal"/>
    <w:next w:val="Normal"/>
    <w:autoRedefine/>
    <w:rsid w:val="00BB24EF"/>
    <w:pPr>
      <w:tabs>
        <w:tab w:val="left" w:pos="2880"/>
        <w:tab w:val="right" w:leader="dot" w:pos="9360"/>
      </w:tabs>
      <w:suppressAutoHyphens/>
      <w:ind w:left="2880" w:hanging="360"/>
    </w:pPr>
    <w:rPr>
      <w:noProof/>
    </w:rPr>
  </w:style>
  <w:style w:type="paragraph" w:styleId="TOC9">
    <w:name w:val="toc 9"/>
    <w:basedOn w:val="Normal"/>
    <w:next w:val="Normal"/>
    <w:autoRedefine/>
    <w:rsid w:val="00BB24EF"/>
    <w:pPr>
      <w:tabs>
        <w:tab w:val="left" w:pos="3240"/>
        <w:tab w:val="right" w:leader="dot" w:pos="9360"/>
      </w:tabs>
      <w:suppressAutoHyphens/>
      <w:ind w:left="3240" w:hanging="360"/>
    </w:pPr>
    <w:rPr>
      <w:noProof/>
    </w:rPr>
  </w:style>
  <w:style w:type="paragraph" w:styleId="TOAHeading">
    <w:name w:val="toa heading"/>
    <w:basedOn w:val="Normal"/>
    <w:next w:val="Normal"/>
    <w:rsid w:val="00BB24EF"/>
    <w:pPr>
      <w:tabs>
        <w:tab w:val="right" w:pos="9360"/>
      </w:tabs>
      <w:suppressAutoHyphens/>
    </w:pPr>
  </w:style>
  <w:style w:type="character" w:customStyle="1" w:styleId="EquationCaption">
    <w:name w:val="_Equation Caption"/>
    <w:rsid w:val="00BB24EF"/>
  </w:style>
  <w:style w:type="paragraph" w:styleId="BlockText">
    <w:name w:val="Block Text"/>
    <w:basedOn w:val="Normal"/>
    <w:rsid w:val="00BB24EF"/>
    <w:pPr>
      <w:spacing w:after="240"/>
      <w:ind w:left="1440" w:right="1440"/>
    </w:pPr>
  </w:style>
  <w:style w:type="paragraph" w:customStyle="1" w:styleId="Paratitle">
    <w:name w:val="Para title"/>
    <w:basedOn w:val="Normal"/>
    <w:rsid w:val="00BB24EF"/>
    <w:pPr>
      <w:tabs>
        <w:tab w:val="center" w:pos="9270"/>
      </w:tabs>
      <w:spacing w:after="240"/>
    </w:pPr>
    <w:rPr>
      <w:spacing w:val="-2"/>
    </w:rPr>
  </w:style>
  <w:style w:type="paragraph" w:customStyle="1" w:styleId="TableFormat">
    <w:name w:val="TableFormat"/>
    <w:basedOn w:val="Bullet"/>
    <w:rsid w:val="00BB24EF"/>
    <w:pPr>
      <w:tabs>
        <w:tab w:val="clear" w:pos="2160"/>
        <w:tab w:val="left" w:pos="5040"/>
      </w:tabs>
      <w:ind w:left="5040" w:hanging="3600"/>
    </w:pPr>
  </w:style>
  <w:style w:type="paragraph" w:customStyle="1" w:styleId="TOCTitle">
    <w:name w:val="TOC Title"/>
    <w:basedOn w:val="Normal"/>
    <w:rsid w:val="00BB24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24EF"/>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 w:type="character" w:customStyle="1" w:styleId="UnresolvedMention2">
    <w:name w:val="Unresolved Mention2"/>
    <w:basedOn w:val="DefaultParagraphFont"/>
    <w:rsid w:val="001B4EDB"/>
    <w:rPr>
      <w:color w:val="605E5C"/>
      <w:shd w:val="clear" w:color="auto" w:fill="E1DFDD"/>
    </w:rPr>
  </w:style>
  <w:style w:type="character" w:customStyle="1" w:styleId="FootnoteTextChar1CharChar">
    <w:name w:val="Footnote Text Char1 Char Char"/>
    <w:aliases w:val="Footnote Text Char Char Char Char,Footnote Text Char1 Char Char Char Char,Footnote Text Char2 Char,Footnote Text Char2 Char Char Char,Footnote Text Char3 Char Char,Footnote Text Char4 Char1 Char Char Char Char Char1"/>
    <w:locked/>
    <w:rsid w:val="003A22F6"/>
  </w:style>
  <w:style w:type="character" w:styleId="Emphasis">
    <w:name w:val="Emphasis"/>
    <w:basedOn w:val="DefaultParagraphFont"/>
    <w:uiPriority w:val="20"/>
    <w:qFormat/>
    <w:rsid w:val="00D05025"/>
    <w:rPr>
      <w:i/>
      <w:iCs/>
    </w:rPr>
  </w:style>
  <w:style w:type="character" w:styleId="UnresolvedMention">
    <w:name w:val="Unresolved Mention"/>
    <w:basedOn w:val="DefaultParagraphFont"/>
    <w:rsid w:val="00AD2E8B"/>
    <w:rPr>
      <w:color w:val="605E5C"/>
      <w:shd w:val="clear" w:color="auto" w:fill="E1DFDD"/>
    </w:rPr>
  </w:style>
  <w:style w:type="paragraph" w:styleId="Revision">
    <w:name w:val="Revision"/>
    <w:hidden/>
    <w:uiPriority w:val="99"/>
    <w:semiHidden/>
    <w:rsid w:val="00540B26"/>
    <w:rPr>
      <w:snapToGrid w:val="0"/>
      <w:kern w:val="28"/>
      <w:sz w:val="22"/>
    </w:rPr>
  </w:style>
  <w:style w:type="character" w:customStyle="1" w:styleId="normaltextrun">
    <w:name w:val="normaltextrun"/>
    <w:basedOn w:val="DefaultParagraphFont"/>
    <w:rsid w:val="00C7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larryperry@att.net"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