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00560436">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3F0D71B5">
            <w:pPr>
              <w:pStyle w:val="TOAHeading"/>
              <w:rPr>
                <w:szCs w:val="22"/>
              </w:rPr>
            </w:pPr>
            <w:r>
              <w:rPr>
                <w:szCs w:val="22"/>
              </w:rPr>
              <w:t>Complaint No</w:t>
            </w:r>
            <w:r w:rsidRPr="00EF2C5A">
              <w:rPr>
                <w:szCs w:val="22"/>
              </w:rPr>
              <w:t>.</w:t>
            </w:r>
            <w:r w:rsidR="006F2F56">
              <w:rPr>
                <w:szCs w:val="22"/>
              </w:rPr>
              <w:t xml:space="preserve"> </w:t>
            </w:r>
            <w:r w:rsidR="00B6399A">
              <w:rPr>
                <w:szCs w:val="22"/>
              </w:rPr>
              <w:t>6</w:t>
            </w:r>
            <w:r w:rsidR="00507495">
              <w:rPr>
                <w:szCs w:val="22"/>
              </w:rPr>
              <w:t>927046</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2B21EEED">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507495">
        <w:rPr>
          <w:b/>
          <w:spacing w:val="-2"/>
        </w:rPr>
        <w:t>April</w:t>
      </w:r>
      <w:r w:rsidR="00AD4917">
        <w:rPr>
          <w:b/>
          <w:spacing w:val="-2"/>
        </w:rPr>
        <w:t xml:space="preserve"> </w:t>
      </w:r>
      <w:r w:rsidR="00DE4F90">
        <w:rPr>
          <w:b/>
          <w:spacing w:val="-2"/>
        </w:rPr>
        <w:t>11,</w:t>
      </w:r>
      <w:r w:rsidRPr="00142D97">
        <w:rPr>
          <w:b/>
          <w:spacing w:val="-2"/>
        </w:rPr>
        <w:t xml:space="preserve"> 20</w:t>
      </w:r>
      <w:r w:rsidR="006D6CC3">
        <w:rPr>
          <w:b/>
          <w:spacing w:val="-2"/>
        </w:rPr>
        <w:t>2</w:t>
      </w:r>
      <w:r w:rsidR="0042275B">
        <w:rPr>
          <w:b/>
          <w:spacing w:val="-2"/>
        </w:rPr>
        <w:t>4</w:t>
      </w:r>
      <w:r w:rsidRPr="00142D97">
        <w:rPr>
          <w:b/>
          <w:spacing w:val="-2"/>
        </w:rPr>
        <w:tab/>
        <w:t xml:space="preserve">Released: </w:t>
      </w:r>
      <w:r w:rsidR="00442324">
        <w:rPr>
          <w:b/>
          <w:spacing w:val="-2"/>
        </w:rPr>
        <w:t xml:space="preserve"> </w:t>
      </w:r>
      <w:r w:rsidR="00507495">
        <w:rPr>
          <w:b/>
          <w:spacing w:val="-2"/>
        </w:rPr>
        <w:t xml:space="preserve">April </w:t>
      </w:r>
      <w:r w:rsidR="00DE4F90">
        <w:rPr>
          <w:b/>
          <w:spacing w:val="-2"/>
        </w:rPr>
        <w:t>12</w:t>
      </w:r>
      <w:r w:rsidRPr="00142D97">
        <w:rPr>
          <w:b/>
          <w:spacing w:val="-2"/>
        </w:rPr>
        <w:t>, 20</w:t>
      </w:r>
      <w:r w:rsidR="006D6CC3">
        <w:rPr>
          <w:b/>
          <w:spacing w:val="-2"/>
        </w:rPr>
        <w:t>2</w:t>
      </w:r>
      <w:r w:rsidR="0042275B">
        <w:rPr>
          <w:b/>
          <w:spacing w:val="-2"/>
        </w:rPr>
        <w:t>4</w:t>
      </w:r>
    </w:p>
    <w:p w:rsidR="00E87EC4" w:rsidRPr="00142D97" w:rsidP="00E87EC4" w14:paraId="11E45323" w14:textId="77777777"/>
    <w:p w:rsidR="00E87EC4" w:rsidRPr="00142D97" w:rsidP="00440166" w14:paraId="27E2BE03" w14:textId="6346CD91">
      <w:pPr>
        <w:spacing w:after="120"/>
      </w:pPr>
      <w:r w:rsidRPr="00142D97">
        <w:t xml:space="preserve">By the </w:t>
      </w:r>
      <w:r w:rsidR="006635FF">
        <w:t xml:space="preserve">Associate Division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37EBDBBC">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00D91F4C">
        <w:rPr>
          <w:szCs w:val="22"/>
        </w:rPr>
        <w:t xml:space="preserve"> </w:t>
      </w:r>
      <w:r w:rsidRPr="00B82B45" w:rsidR="00B82B45">
        <w:rPr>
          <w:szCs w:val="22"/>
        </w:rPr>
        <w:t xml:space="preserve"> Under the rule</w:t>
      </w:r>
      <w:r>
        <w:rPr>
          <w:szCs w:val="22"/>
        </w:rPr>
        <w:t>s</w:t>
      </w:r>
      <w:r w:rsidRPr="00B82B45" w:rsidR="00B82B45">
        <w:rPr>
          <w:szCs w:val="22"/>
        </w:rPr>
        <w:t>, upon a finding of 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RPr="00351EC8" w:rsidP="00A23350" w14:paraId="1379FBE2" w14:textId="5909EF80">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t>
      </w:r>
      <w:r w:rsidR="004D319C">
        <w:rPr>
          <w:szCs w:val="22"/>
        </w:rPr>
        <w:t xml:space="preserve">from AT&amp;T </w:t>
      </w:r>
      <w:r w:rsidR="006635FF">
        <w:rPr>
          <w:szCs w:val="22"/>
        </w:rPr>
        <w:t xml:space="preserve">to Clear Rate </w:t>
      </w:r>
      <w:r w:rsidRPr="00B00263">
        <w:rPr>
          <w:szCs w:val="22"/>
        </w:rPr>
        <w:t>without</w:t>
      </w:r>
      <w:r w:rsidRPr="00B00263" w:rsidR="00F74AF2">
        <w:rPr>
          <w:szCs w:val="22"/>
        </w:rPr>
        <w:t xml:space="preserve"> </w:t>
      </w:r>
      <w:r w:rsidRPr="00B00263" w:rsidR="006F62BA">
        <w:rPr>
          <w:szCs w:val="22"/>
        </w:rPr>
        <w:t>h</w:t>
      </w:r>
      <w:r w:rsidR="004D319C">
        <w:rPr>
          <w:szCs w:val="22"/>
        </w:rPr>
        <w:t>is</w:t>
      </w:r>
      <w:r w:rsidRPr="00B00263">
        <w:rPr>
          <w:szCs w:val="22"/>
        </w:rPr>
        <w:t xml:space="preserve"> authorization.</w:t>
      </w:r>
      <w:r>
        <w:rPr>
          <w:rStyle w:val="FootnoteReference"/>
          <w:sz w:val="22"/>
          <w:szCs w:val="22"/>
        </w:rPr>
        <w:footnoteReference w:id="11"/>
      </w:r>
      <w:r w:rsidRPr="00B00263">
        <w:rPr>
          <w:szCs w:val="22"/>
        </w:rPr>
        <w:t xml:space="preserve">  </w:t>
      </w:r>
      <w:r w:rsidRPr="00B00263" w:rsidR="005F3ED0">
        <w:rPr>
          <w:szCs w:val="22"/>
        </w:rPr>
        <w:t xml:space="preserve">In the complaint, Complainant </w:t>
      </w:r>
      <w:r w:rsidRPr="00B00263" w:rsidR="000D2670">
        <w:rPr>
          <w:szCs w:val="22"/>
        </w:rPr>
        <w:t>state</w:t>
      </w:r>
      <w:r w:rsidRPr="00B00263" w:rsidR="00F41465">
        <w:rPr>
          <w:szCs w:val="22"/>
        </w:rPr>
        <w:t>d</w:t>
      </w:r>
      <w:r w:rsidR="005F2EEE">
        <w:rPr>
          <w:szCs w:val="22"/>
        </w:rPr>
        <w:t xml:space="preserve"> </w:t>
      </w:r>
      <w:r w:rsidR="003321D0">
        <w:rPr>
          <w:szCs w:val="22"/>
        </w:rPr>
        <w:t xml:space="preserve">that </w:t>
      </w:r>
      <w:r w:rsidR="005F2EEE">
        <w:rPr>
          <w:szCs w:val="22"/>
        </w:rPr>
        <w:t>“</w:t>
      </w:r>
      <w:r w:rsidR="00351EC8">
        <w:rPr>
          <w:szCs w:val="22"/>
        </w:rPr>
        <w:t>[</w:t>
      </w:r>
      <w:r w:rsidR="004D319C">
        <w:rPr>
          <w:szCs w:val="22"/>
        </w:rPr>
        <w:t>t</w:t>
      </w:r>
      <w:r w:rsidR="00351EC8">
        <w:rPr>
          <w:szCs w:val="22"/>
        </w:rPr>
        <w:t>]</w:t>
      </w:r>
      <w:r w:rsidR="004D319C">
        <w:rPr>
          <w:szCs w:val="22"/>
        </w:rPr>
        <w:t xml:space="preserve">his company called, representing themselves as AT&amp;T and </w:t>
      </w:r>
      <w:r w:rsidR="00351EC8">
        <w:rPr>
          <w:szCs w:val="22"/>
        </w:rPr>
        <w:t xml:space="preserve">[said] </w:t>
      </w:r>
      <w:r w:rsidR="004D319C">
        <w:rPr>
          <w:szCs w:val="22"/>
        </w:rPr>
        <w:t>that they were updating the phone service.</w:t>
      </w:r>
      <w:r w:rsidR="005F2EEE">
        <w:rPr>
          <w:szCs w:val="22"/>
        </w:rPr>
        <w:t>”</w:t>
      </w:r>
      <w:r>
        <w:rPr>
          <w:rStyle w:val="FootnoteReference"/>
          <w:szCs w:val="22"/>
        </w:rPr>
        <w:footnoteReference w:id="12"/>
      </w:r>
      <w:r w:rsidR="00BA76AA">
        <w:rPr>
          <w:szCs w:val="22"/>
        </w:rPr>
        <w:t xml:space="preserve">  </w:t>
      </w:r>
      <w:r w:rsidR="00351EC8">
        <w:rPr>
          <w:szCs w:val="22"/>
        </w:rPr>
        <w:t xml:space="preserve">Clear Rate “never spoke with the person whose name is on the account, but instead with my </w:t>
      </w:r>
      <w:r w:rsidR="004D319C">
        <w:rPr>
          <w:szCs w:val="22"/>
        </w:rPr>
        <w:t>85 year old mother who suffers from dementia</w:t>
      </w:r>
      <w:r w:rsidR="00351EC8">
        <w:rPr>
          <w:szCs w:val="22"/>
        </w:rPr>
        <w:t>. . . .”</w:t>
      </w:r>
      <w:r>
        <w:rPr>
          <w:rStyle w:val="FootnoteReference"/>
          <w:szCs w:val="22"/>
        </w:rPr>
        <w:footnoteReference w:id="13"/>
      </w:r>
      <w:r w:rsidR="001538F4">
        <w:rPr>
          <w:szCs w:val="22"/>
        </w:rPr>
        <w:t xml:space="preserve"> </w:t>
      </w:r>
      <w:r w:rsidRPr="00351EC8" w:rsidR="00351EC8">
        <w:rPr>
          <w:rFonts w:ascii="Segoe UI" w:hAnsi="Segoe UI" w:cs="Segoe UI"/>
          <w:color w:val="2F3941"/>
          <w:sz w:val="21"/>
          <w:szCs w:val="21"/>
          <w:shd w:val="clear" w:color="auto" w:fill="FFFFFF"/>
        </w:rPr>
        <w:t xml:space="preserve"> </w:t>
      </w:r>
      <w:r w:rsidR="00351EC8">
        <w:rPr>
          <w:color w:val="2F3941"/>
          <w:szCs w:val="22"/>
          <w:shd w:val="clear" w:color="auto" w:fill="FFFFFF"/>
        </w:rPr>
        <w:t>Complainant explained that “</w:t>
      </w:r>
      <w:r w:rsidRPr="00B97350" w:rsidR="00351EC8">
        <w:rPr>
          <w:color w:val="2F3941"/>
          <w:szCs w:val="22"/>
          <w:shd w:val="clear" w:color="auto" w:fill="FFFFFF"/>
        </w:rPr>
        <w:t>this occurred two months ago, and they still have not responded, but have only sent us ever increasing bills.</w:t>
      </w:r>
      <w:r w:rsidR="00351EC8">
        <w:rPr>
          <w:color w:val="2F3941"/>
          <w:szCs w:val="22"/>
          <w:shd w:val="clear" w:color="auto" w:fill="FFFFFF"/>
        </w:rPr>
        <w:t xml:space="preserve"> . . .[I]</w:t>
      </w:r>
      <w:r w:rsidRPr="00B97350" w:rsidR="00351EC8">
        <w:rPr>
          <w:color w:val="2F3941"/>
          <w:szCs w:val="22"/>
          <w:shd w:val="clear" w:color="auto" w:fill="FFFFFF"/>
        </w:rPr>
        <w:t xml:space="preserve">n this entire time, </w:t>
      </w:r>
      <w:r w:rsidR="00351EC8">
        <w:rPr>
          <w:color w:val="2F3941"/>
          <w:szCs w:val="22"/>
          <w:shd w:val="clear" w:color="auto" w:fill="FFFFFF"/>
        </w:rPr>
        <w:t>[their]</w:t>
      </w:r>
      <w:r w:rsidRPr="00B97350" w:rsidR="00351EC8">
        <w:rPr>
          <w:color w:val="2F3941"/>
          <w:szCs w:val="22"/>
          <w:shd w:val="clear" w:color="auto" w:fill="FFFFFF"/>
        </w:rPr>
        <w:t xml:space="preserve"> service is not functioning and their hardware is not installed.</w:t>
      </w:r>
      <w:r w:rsidR="00351EC8">
        <w:rPr>
          <w:color w:val="2F3941"/>
          <w:szCs w:val="22"/>
          <w:shd w:val="clear" w:color="auto" w:fill="FFFFFF"/>
        </w:rPr>
        <w:t>”</w:t>
      </w:r>
      <w:r>
        <w:rPr>
          <w:rStyle w:val="FootnoteReference"/>
          <w:szCs w:val="22"/>
          <w:shd w:val="clear" w:color="auto" w:fill="FFFFFF"/>
        </w:rPr>
        <w:footnoteReference w:id="14"/>
      </w:r>
    </w:p>
    <w:p w:rsidR="000C39CD" w:rsidRPr="000C39CD" w:rsidP="00A23350" w14:paraId="10163473" w14:textId="753EC8A3">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5"/>
      </w:r>
      <w:r w:rsidRPr="00126D53">
        <w:t xml:space="preserve">  </w:t>
      </w:r>
      <w:r w:rsidR="00AC2250">
        <w:t>Clear Rate responded, stating that Complainant</w:t>
      </w:r>
      <w:r w:rsidR="00CF0599">
        <w:t>’s mother</w:t>
      </w:r>
      <w:r w:rsidR="00AC2250">
        <w:t xml:space="preserve"> agreed to and authorized the carrier switch</w:t>
      </w:r>
      <w:r w:rsidR="00056089">
        <w:t>,</w:t>
      </w:r>
      <w:r w:rsidR="00F93F38">
        <w:t xml:space="preserve"> and that</w:t>
      </w:r>
      <w:r w:rsidR="00CF0599">
        <w:t xml:space="preserve"> they had no way of knowing the mental capacities of the Complainant’s mother</w:t>
      </w:r>
      <w:r w:rsidR="00AC2250">
        <w:t>.</w:t>
      </w:r>
      <w:r>
        <w:rPr>
          <w:rStyle w:val="FootnoteReference"/>
        </w:rPr>
        <w:footnoteReference w:id="16"/>
      </w:r>
      <w:r w:rsidR="00AC2250">
        <w:t xml:space="preserve">  </w:t>
      </w:r>
      <w:r w:rsidR="00F93F38">
        <w:t>Clear Rate</w:t>
      </w:r>
      <w:r w:rsidR="00AC2250">
        <w:t xml:space="preserve"> also provided two audio recordings—</w:t>
      </w:r>
      <w:r w:rsidR="00056089">
        <w:t>the</w:t>
      </w:r>
      <w:r w:rsidR="00AC2250">
        <w:t xml:space="preserve"> </w:t>
      </w:r>
      <w:r w:rsidR="003A7686">
        <w:t>TPV</w:t>
      </w:r>
      <w:r w:rsidR="00AC2250">
        <w:t xml:space="preserve"> recording</w:t>
      </w:r>
      <w:r w:rsidR="003A7686">
        <w:t xml:space="preserve"> </w:t>
      </w:r>
      <w:r w:rsidR="00AC2250">
        <w:t xml:space="preserve">and a recording Clear Rate characterized as a “quality assurance call.”  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p>
    <w:p w:rsidR="00E87EC4" w:rsidP="00A23350" w14:paraId="7E5B2A35" w14:textId="2C09084A">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xml:space="preserve">, “[w]hen a consumer’s decision to switch carriers is predicated on false information provided in a sales call, that </w:t>
      </w:r>
      <w:r w:rsidRPr="00FA1C98">
        <w:rPr>
          <w:szCs w:val="22"/>
        </w:rPr>
        <w:t>consumer’s authorization to switch carriers can no longer be considered binding.”</w:t>
      </w:r>
      <w:r>
        <w:rPr>
          <w:rStyle w:val="FootnoteReference"/>
          <w:szCs w:val="22"/>
        </w:rPr>
        <w:footnoteReference w:id="17"/>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18"/>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19"/>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0"/>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1"/>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6544F9E7">
      <w:pPr>
        <w:ind w:left="3600" w:right="270" w:firstLine="720"/>
        <w:outlineLvl w:val="0"/>
        <w:rPr>
          <w:szCs w:val="22"/>
        </w:rPr>
      </w:pPr>
      <w:r>
        <w:t>Dana Bowers</w:t>
      </w:r>
      <w:r w:rsidR="003D262D">
        <w:tab/>
      </w:r>
      <w:r w:rsidRPr="00EF2C5A">
        <w:rPr>
          <w:szCs w:val="22"/>
        </w:rPr>
        <w:t xml:space="preserve"> </w:t>
      </w:r>
    </w:p>
    <w:p w:rsidR="00E87EC4" w:rsidRPr="00142D97" w:rsidP="0037166F" w14:paraId="2CC72A68" w14:textId="223404A9">
      <w:pPr>
        <w:ind w:left="3600" w:right="270" w:firstLine="720"/>
      </w:pPr>
      <w:r>
        <w:t>Associate Division</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E6083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083A" w14:paraId="46140B28" w14:textId="77777777">
      <w:r>
        <w:separator/>
      </w:r>
    </w:p>
  </w:footnote>
  <w:footnote w:type="continuationSeparator" w:id="1">
    <w:p w:rsidR="00E6083A" w:rsidP="00C721AC" w14:paraId="45A274E1" w14:textId="77777777">
      <w:pPr>
        <w:spacing w:before="120"/>
        <w:rPr>
          <w:sz w:val="20"/>
        </w:rPr>
      </w:pPr>
      <w:r>
        <w:rPr>
          <w:sz w:val="20"/>
        </w:rPr>
        <w:t xml:space="preserve">(Continued from previous page)  </w:t>
      </w:r>
      <w:r>
        <w:rPr>
          <w:sz w:val="20"/>
        </w:rPr>
        <w:separator/>
      </w:r>
    </w:p>
  </w:footnote>
  <w:footnote w:type="continuationNotice" w:id="2">
    <w:p w:rsidR="00E6083A" w:rsidRPr="00B91DEB" w:rsidP="00B91DEB" w14:paraId="0D79D84B" w14:textId="77777777">
      <w:pPr>
        <w:pStyle w:val="Footer"/>
      </w:pPr>
    </w:p>
  </w:footnote>
  <w:footnote w:id="3">
    <w:p w:rsidR="004A7371" w:rsidRPr="006F2F56" w:rsidP="004A7371" w14:paraId="167A3D51" w14:textId="0C72C758">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197FB2">
        <w:t>6</w:t>
      </w:r>
      <w:r w:rsidR="00507495">
        <w:t>927046</w:t>
      </w:r>
      <w:r>
        <w:t xml:space="preserve"> (</w:t>
      </w:r>
      <w:r w:rsidR="00AF783A">
        <w:t>Mar</w:t>
      </w:r>
      <w:r w:rsidR="006F62BA">
        <w:t xml:space="preserve">. </w:t>
      </w:r>
      <w:r w:rsidR="00507495">
        <w:t>29</w:t>
      </w:r>
      <w:r>
        <w:t>, 202</w:t>
      </w:r>
      <w:r w:rsidR="001C3CC1">
        <w:t>4</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BD3B1D" w14:paraId="4618C70C" w14:textId="402E847F">
      <w:pPr>
        <w:pStyle w:val="FootnoteText"/>
      </w:pPr>
      <w:r>
        <w:rPr>
          <w:rStyle w:val="FootnoteReference"/>
        </w:rPr>
        <w:footnoteRef/>
      </w:r>
      <w:r>
        <w:t xml:space="preserve"> </w:t>
      </w:r>
      <w:r w:rsidRPr="000C7E88">
        <w:rPr>
          <w:i/>
          <w:iCs/>
        </w:rPr>
        <w:t>See</w:t>
      </w:r>
      <w:r>
        <w:t xml:space="preserve"> Informal Complaint No. </w:t>
      </w:r>
      <w:r w:rsidR="00197FB2">
        <w:t>6</w:t>
      </w:r>
      <w:r w:rsidR="00507495">
        <w:t>927046</w:t>
      </w:r>
      <w:r>
        <w:t>.</w:t>
      </w:r>
    </w:p>
  </w:footnote>
  <w:footnote w:id="12">
    <w:p w:rsidR="00BD3B1D" w14:paraId="35A98010" w14:textId="3C5BB318">
      <w:pPr>
        <w:pStyle w:val="FootnoteText"/>
      </w:pPr>
      <w:r>
        <w:rPr>
          <w:rStyle w:val="FootnoteReference"/>
        </w:rPr>
        <w:footnoteRef/>
      </w:r>
      <w:r>
        <w:t xml:space="preserve"> </w:t>
      </w:r>
      <w:r w:rsidRPr="005C4A8D" w:rsidR="005C4A8D">
        <w:rPr>
          <w:i/>
          <w:iCs/>
        </w:rPr>
        <w:t>Id</w:t>
      </w:r>
      <w:r>
        <w:t>.</w:t>
      </w:r>
    </w:p>
  </w:footnote>
  <w:footnote w:id="13">
    <w:p w:rsidR="00351EC8" w14:paraId="1E0EF69D" w14:textId="33FCD198">
      <w:pPr>
        <w:pStyle w:val="FootnoteText"/>
      </w:pPr>
      <w:r>
        <w:rPr>
          <w:rStyle w:val="FootnoteReference"/>
        </w:rPr>
        <w:footnoteRef/>
      </w:r>
      <w:r>
        <w:t xml:space="preserve"> </w:t>
      </w:r>
      <w:r w:rsidRPr="00B97350">
        <w:rPr>
          <w:i/>
          <w:iCs/>
        </w:rPr>
        <w:t>Id.</w:t>
      </w:r>
    </w:p>
  </w:footnote>
  <w:footnote w:id="14">
    <w:p w:rsidR="00351EC8" w14:paraId="18FE3AAD" w14:textId="4F9B0939">
      <w:pPr>
        <w:pStyle w:val="FootnoteText"/>
      </w:pPr>
      <w:r>
        <w:rPr>
          <w:rStyle w:val="FootnoteReference"/>
        </w:rPr>
        <w:footnoteRef/>
      </w:r>
      <w:r>
        <w:t xml:space="preserve"> </w:t>
      </w:r>
      <w:r w:rsidRPr="00B97350">
        <w:rPr>
          <w:i/>
          <w:iCs/>
        </w:rPr>
        <w:t>Id.</w:t>
      </w:r>
    </w:p>
  </w:footnote>
  <w:footnote w:id="15">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6">
    <w:p w:rsidR="00AC2250" w:rsidP="00AC2250" w14:paraId="14984A76" w14:textId="09DF015C">
      <w:pPr>
        <w:pStyle w:val="FootnoteText"/>
      </w:pPr>
      <w:r>
        <w:rPr>
          <w:rStyle w:val="FootnoteReference"/>
        </w:rPr>
        <w:footnoteRef/>
      </w:r>
      <w:r>
        <w:rPr>
          <w:i/>
        </w:rPr>
        <w:t xml:space="preserve"> See </w:t>
      </w:r>
      <w:r>
        <w:t xml:space="preserve">Clear Rate Response to Informal Complaint No. </w:t>
      </w:r>
      <w:r w:rsidR="00197FB2">
        <w:t>6</w:t>
      </w:r>
      <w:r w:rsidR="00507495">
        <w:t>927046</w:t>
      </w:r>
      <w:r>
        <w:t xml:space="preserve"> (</w:t>
      </w:r>
      <w:r w:rsidR="00507495">
        <w:t>Apr</w:t>
      </w:r>
      <w:r w:rsidR="00FF7692">
        <w:t xml:space="preserve">. </w:t>
      </w:r>
      <w:r w:rsidR="00507495">
        <w:t>3</w:t>
      </w:r>
      <w:r>
        <w:t>, 202</w:t>
      </w:r>
      <w:r w:rsidR="00830FC5">
        <w:t>4</w:t>
      </w:r>
      <w:r>
        <w:t xml:space="preserve">); </w:t>
      </w:r>
      <w:r w:rsidRPr="00504345">
        <w:rPr>
          <w:i/>
        </w:rPr>
        <w:t>see also</w:t>
      </w:r>
      <w:r>
        <w:t xml:space="preserve"> 47 CFR § 64.1160.</w:t>
      </w:r>
      <w:r w:rsidR="00692492">
        <w:t xml:space="preserve"> </w:t>
      </w:r>
    </w:p>
  </w:footnote>
  <w:footnote w:id="17">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6D7D9E" w:rsidP="006D7D9E" w14:paraId="76F398F1" w14:textId="6618E0FB">
      <w:pPr>
        <w:pStyle w:val="FootnoteText"/>
      </w:pPr>
      <w:r>
        <w:rPr>
          <w:rStyle w:val="FootnoteReference"/>
        </w:rPr>
        <w:footnoteRef/>
      </w:r>
      <w:r>
        <w:t xml:space="preserve"> If Complainant is unsatisfied with the resolution of the complaint, Complainant may file a formal complaint with the Commission pursuant to </w:t>
      </w:r>
      <w:r w:rsidR="00B45AC0">
        <w:t>s</w:t>
      </w:r>
      <w:r>
        <w:t xml:space="preserve">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E87EC4" w:rsidP="00E87EC4" w14:paraId="719BF8DA" w14:textId="606F9EE6">
      <w:pPr>
        <w:pStyle w:val="FootnoteText"/>
      </w:pPr>
      <w:r>
        <w:rPr>
          <w:rStyle w:val="FootnoteReference"/>
        </w:rPr>
        <w:footnoteRef/>
      </w:r>
      <w:r>
        <w:t xml:space="preserve"> </w:t>
      </w:r>
      <w:r w:rsidRPr="003D1861">
        <w:rPr>
          <w:i/>
        </w:rPr>
        <w:t>See</w:t>
      </w:r>
      <w:r>
        <w:rPr>
          <w:i/>
        </w:rPr>
        <w:t xml:space="preserve"> id.</w:t>
      </w:r>
      <w:r>
        <w:t xml:space="preserve"> §</w:t>
      </w:r>
      <w:r w:rsidR="001538F4">
        <w:t>§</w:t>
      </w:r>
      <w:r>
        <w:t xml:space="preserve">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32AF6EAC">
    <w:pPr>
      <w:pStyle w:val="Header"/>
      <w:rPr>
        <w:b w:val="0"/>
      </w:rPr>
    </w:pPr>
    <w:r>
      <w:tab/>
      <w:t>Federal Communications Commission</w:t>
    </w:r>
    <w:r>
      <w:tab/>
    </w:r>
    <w:r w:rsidR="00AE241C">
      <w:t xml:space="preserve">DA </w:t>
    </w:r>
    <w:r w:rsidR="003D262D">
      <w:t>2</w:t>
    </w:r>
    <w:r w:rsidR="0042275B">
      <w:t>4</w:t>
    </w:r>
    <w:r w:rsidR="003D262D">
      <w:t>-</w:t>
    </w:r>
    <w:r w:rsidR="00DE4F90">
      <w:t>350</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567B45A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42275B">
      <w:rPr>
        <w:spacing w:val="-2"/>
      </w:rPr>
      <w:t>4</w:t>
    </w:r>
    <w:r w:rsidR="003D262D">
      <w:rPr>
        <w:spacing w:val="-2"/>
      </w:rPr>
      <w:t>-</w:t>
    </w:r>
    <w:r w:rsidR="00DE4F90">
      <w:rPr>
        <w:spacing w:val="-2"/>
      </w:rPr>
      <w:t>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4688D"/>
    <w:rsid w:val="00056089"/>
    <w:rsid w:val="00056F0B"/>
    <w:rsid w:val="000875BF"/>
    <w:rsid w:val="0009329C"/>
    <w:rsid w:val="00096D8C"/>
    <w:rsid w:val="000A1D19"/>
    <w:rsid w:val="000B28EE"/>
    <w:rsid w:val="000C0B65"/>
    <w:rsid w:val="000C39CD"/>
    <w:rsid w:val="000C7E88"/>
    <w:rsid w:val="000D107D"/>
    <w:rsid w:val="000D2670"/>
    <w:rsid w:val="000E05FE"/>
    <w:rsid w:val="000E2BB7"/>
    <w:rsid w:val="000E3D42"/>
    <w:rsid w:val="000E436C"/>
    <w:rsid w:val="000E7D6C"/>
    <w:rsid w:val="001023DE"/>
    <w:rsid w:val="00104663"/>
    <w:rsid w:val="001211C2"/>
    <w:rsid w:val="00122BD5"/>
    <w:rsid w:val="00126D53"/>
    <w:rsid w:val="00133F79"/>
    <w:rsid w:val="00142D97"/>
    <w:rsid w:val="001538F4"/>
    <w:rsid w:val="00185C9A"/>
    <w:rsid w:val="001937E1"/>
    <w:rsid w:val="00194A66"/>
    <w:rsid w:val="00197FB2"/>
    <w:rsid w:val="001B0806"/>
    <w:rsid w:val="001B7B64"/>
    <w:rsid w:val="001C1F54"/>
    <w:rsid w:val="001C3CC1"/>
    <w:rsid w:val="001D51E5"/>
    <w:rsid w:val="001D6BCF"/>
    <w:rsid w:val="001E01CA"/>
    <w:rsid w:val="001E09ED"/>
    <w:rsid w:val="001F3959"/>
    <w:rsid w:val="00210356"/>
    <w:rsid w:val="0022382B"/>
    <w:rsid w:val="002270D6"/>
    <w:rsid w:val="002301FA"/>
    <w:rsid w:val="00271226"/>
    <w:rsid w:val="00275CF5"/>
    <w:rsid w:val="0028301F"/>
    <w:rsid w:val="0028304E"/>
    <w:rsid w:val="00285017"/>
    <w:rsid w:val="002968C8"/>
    <w:rsid w:val="002A2D2E"/>
    <w:rsid w:val="002A44BB"/>
    <w:rsid w:val="002C00E8"/>
    <w:rsid w:val="002C43CB"/>
    <w:rsid w:val="002F09DF"/>
    <w:rsid w:val="002F77BE"/>
    <w:rsid w:val="00305DCB"/>
    <w:rsid w:val="003321D0"/>
    <w:rsid w:val="00343749"/>
    <w:rsid w:val="00351EC8"/>
    <w:rsid w:val="003605AE"/>
    <w:rsid w:val="003660ED"/>
    <w:rsid w:val="0037166F"/>
    <w:rsid w:val="00384F89"/>
    <w:rsid w:val="003A7686"/>
    <w:rsid w:val="003B0550"/>
    <w:rsid w:val="003B341C"/>
    <w:rsid w:val="003B694F"/>
    <w:rsid w:val="003D1861"/>
    <w:rsid w:val="003D262D"/>
    <w:rsid w:val="003E4834"/>
    <w:rsid w:val="003F171C"/>
    <w:rsid w:val="00412FC5"/>
    <w:rsid w:val="00422276"/>
    <w:rsid w:val="0042275B"/>
    <w:rsid w:val="004242F1"/>
    <w:rsid w:val="00424582"/>
    <w:rsid w:val="00440166"/>
    <w:rsid w:val="00442324"/>
    <w:rsid w:val="00443805"/>
    <w:rsid w:val="0044528B"/>
    <w:rsid w:val="00445A00"/>
    <w:rsid w:val="00451B0F"/>
    <w:rsid w:val="00466997"/>
    <w:rsid w:val="00484334"/>
    <w:rsid w:val="004A1870"/>
    <w:rsid w:val="004A7371"/>
    <w:rsid w:val="004B41C6"/>
    <w:rsid w:val="004C2EE3"/>
    <w:rsid w:val="004D319C"/>
    <w:rsid w:val="004E4A22"/>
    <w:rsid w:val="00504345"/>
    <w:rsid w:val="00507495"/>
    <w:rsid w:val="00511968"/>
    <w:rsid w:val="00512514"/>
    <w:rsid w:val="00524F87"/>
    <w:rsid w:val="005378EA"/>
    <w:rsid w:val="0055614C"/>
    <w:rsid w:val="00566D06"/>
    <w:rsid w:val="005734DB"/>
    <w:rsid w:val="00585569"/>
    <w:rsid w:val="0059509C"/>
    <w:rsid w:val="005B3C00"/>
    <w:rsid w:val="005C4A8D"/>
    <w:rsid w:val="005D7497"/>
    <w:rsid w:val="005E0755"/>
    <w:rsid w:val="005E14C2"/>
    <w:rsid w:val="005F2EEE"/>
    <w:rsid w:val="005F3ED0"/>
    <w:rsid w:val="005F7CD1"/>
    <w:rsid w:val="00607BA5"/>
    <w:rsid w:val="0061180A"/>
    <w:rsid w:val="00626EB6"/>
    <w:rsid w:val="0063399B"/>
    <w:rsid w:val="00653ADB"/>
    <w:rsid w:val="00654DAC"/>
    <w:rsid w:val="00655D03"/>
    <w:rsid w:val="006635FF"/>
    <w:rsid w:val="0067269C"/>
    <w:rsid w:val="00683388"/>
    <w:rsid w:val="00683F84"/>
    <w:rsid w:val="00692492"/>
    <w:rsid w:val="006A6A81"/>
    <w:rsid w:val="006B6593"/>
    <w:rsid w:val="006D6CC3"/>
    <w:rsid w:val="006D7D9E"/>
    <w:rsid w:val="006E1632"/>
    <w:rsid w:val="006F2F56"/>
    <w:rsid w:val="006F62BA"/>
    <w:rsid w:val="006F7393"/>
    <w:rsid w:val="0070224F"/>
    <w:rsid w:val="007115F7"/>
    <w:rsid w:val="007205C9"/>
    <w:rsid w:val="007257B8"/>
    <w:rsid w:val="00733103"/>
    <w:rsid w:val="00763B1E"/>
    <w:rsid w:val="00766B85"/>
    <w:rsid w:val="00785689"/>
    <w:rsid w:val="0079754B"/>
    <w:rsid w:val="007A1BC6"/>
    <w:rsid w:val="007A1E6D"/>
    <w:rsid w:val="007B0EB2"/>
    <w:rsid w:val="007D5686"/>
    <w:rsid w:val="008036CD"/>
    <w:rsid w:val="00803B99"/>
    <w:rsid w:val="00810B6F"/>
    <w:rsid w:val="008116EE"/>
    <w:rsid w:val="00820AE3"/>
    <w:rsid w:val="00822CE0"/>
    <w:rsid w:val="00830FC5"/>
    <w:rsid w:val="008314D4"/>
    <w:rsid w:val="00841AB1"/>
    <w:rsid w:val="00846B1A"/>
    <w:rsid w:val="00855334"/>
    <w:rsid w:val="00856985"/>
    <w:rsid w:val="008A178E"/>
    <w:rsid w:val="008A1A4F"/>
    <w:rsid w:val="008A32BF"/>
    <w:rsid w:val="008A4A8D"/>
    <w:rsid w:val="008B5281"/>
    <w:rsid w:val="008C1FEC"/>
    <w:rsid w:val="008C68F1"/>
    <w:rsid w:val="008D56F0"/>
    <w:rsid w:val="009040A3"/>
    <w:rsid w:val="00910DFB"/>
    <w:rsid w:val="00917D3A"/>
    <w:rsid w:val="00921803"/>
    <w:rsid w:val="00923668"/>
    <w:rsid w:val="00925418"/>
    <w:rsid w:val="00926503"/>
    <w:rsid w:val="009306F2"/>
    <w:rsid w:val="00955FC0"/>
    <w:rsid w:val="009726D8"/>
    <w:rsid w:val="00990DB6"/>
    <w:rsid w:val="00996AA4"/>
    <w:rsid w:val="009D7308"/>
    <w:rsid w:val="009F0064"/>
    <w:rsid w:val="009F497D"/>
    <w:rsid w:val="009F6F0E"/>
    <w:rsid w:val="009F76DB"/>
    <w:rsid w:val="00A02C6E"/>
    <w:rsid w:val="00A15D6E"/>
    <w:rsid w:val="00A23350"/>
    <w:rsid w:val="00A32C3B"/>
    <w:rsid w:val="00A45F4F"/>
    <w:rsid w:val="00A600A9"/>
    <w:rsid w:val="00A61727"/>
    <w:rsid w:val="00A8283A"/>
    <w:rsid w:val="00A92978"/>
    <w:rsid w:val="00AA55B7"/>
    <w:rsid w:val="00AA5B9E"/>
    <w:rsid w:val="00AB2407"/>
    <w:rsid w:val="00AB53DF"/>
    <w:rsid w:val="00AC2250"/>
    <w:rsid w:val="00AD4917"/>
    <w:rsid w:val="00AE241C"/>
    <w:rsid w:val="00AF783A"/>
    <w:rsid w:val="00B00263"/>
    <w:rsid w:val="00B06C6D"/>
    <w:rsid w:val="00B07E5C"/>
    <w:rsid w:val="00B205BD"/>
    <w:rsid w:val="00B30D69"/>
    <w:rsid w:val="00B45AC0"/>
    <w:rsid w:val="00B469CE"/>
    <w:rsid w:val="00B61F70"/>
    <w:rsid w:val="00B6399A"/>
    <w:rsid w:val="00B64743"/>
    <w:rsid w:val="00B73DEB"/>
    <w:rsid w:val="00B811F7"/>
    <w:rsid w:val="00B82B45"/>
    <w:rsid w:val="00B841CA"/>
    <w:rsid w:val="00B91DEB"/>
    <w:rsid w:val="00B97350"/>
    <w:rsid w:val="00BA5DC6"/>
    <w:rsid w:val="00BA6196"/>
    <w:rsid w:val="00BA76AA"/>
    <w:rsid w:val="00BC6D8C"/>
    <w:rsid w:val="00BD3B1D"/>
    <w:rsid w:val="00C021CE"/>
    <w:rsid w:val="00C34006"/>
    <w:rsid w:val="00C36B4C"/>
    <w:rsid w:val="00C426B1"/>
    <w:rsid w:val="00C525ED"/>
    <w:rsid w:val="00C652D1"/>
    <w:rsid w:val="00C66160"/>
    <w:rsid w:val="00C721AC"/>
    <w:rsid w:val="00C849DD"/>
    <w:rsid w:val="00C90D6A"/>
    <w:rsid w:val="00C956A1"/>
    <w:rsid w:val="00CA247E"/>
    <w:rsid w:val="00CA3F31"/>
    <w:rsid w:val="00CA6D21"/>
    <w:rsid w:val="00CB7D2F"/>
    <w:rsid w:val="00CC41FD"/>
    <w:rsid w:val="00CC72B6"/>
    <w:rsid w:val="00CE1F45"/>
    <w:rsid w:val="00CE5BF4"/>
    <w:rsid w:val="00CF0599"/>
    <w:rsid w:val="00CF10D8"/>
    <w:rsid w:val="00D0218D"/>
    <w:rsid w:val="00D0591E"/>
    <w:rsid w:val="00D22481"/>
    <w:rsid w:val="00D24EA4"/>
    <w:rsid w:val="00D25FB5"/>
    <w:rsid w:val="00D26C2C"/>
    <w:rsid w:val="00D44223"/>
    <w:rsid w:val="00D60674"/>
    <w:rsid w:val="00D64893"/>
    <w:rsid w:val="00D91F4C"/>
    <w:rsid w:val="00DA2529"/>
    <w:rsid w:val="00DA4AA4"/>
    <w:rsid w:val="00DA523B"/>
    <w:rsid w:val="00DB130A"/>
    <w:rsid w:val="00DB2EBB"/>
    <w:rsid w:val="00DC10A1"/>
    <w:rsid w:val="00DC655F"/>
    <w:rsid w:val="00DD0B59"/>
    <w:rsid w:val="00DD7EBD"/>
    <w:rsid w:val="00DE4F90"/>
    <w:rsid w:val="00DF42CC"/>
    <w:rsid w:val="00DF62B6"/>
    <w:rsid w:val="00E07225"/>
    <w:rsid w:val="00E11906"/>
    <w:rsid w:val="00E32F24"/>
    <w:rsid w:val="00E333F8"/>
    <w:rsid w:val="00E40707"/>
    <w:rsid w:val="00E5409F"/>
    <w:rsid w:val="00E6083A"/>
    <w:rsid w:val="00E86D82"/>
    <w:rsid w:val="00E87EC4"/>
    <w:rsid w:val="00EB0A91"/>
    <w:rsid w:val="00EB0D42"/>
    <w:rsid w:val="00ED0DB7"/>
    <w:rsid w:val="00ED509D"/>
    <w:rsid w:val="00EE6488"/>
    <w:rsid w:val="00EF2C5A"/>
    <w:rsid w:val="00EF7528"/>
    <w:rsid w:val="00F021FA"/>
    <w:rsid w:val="00F2035B"/>
    <w:rsid w:val="00F212A6"/>
    <w:rsid w:val="00F31493"/>
    <w:rsid w:val="00F3273C"/>
    <w:rsid w:val="00F41465"/>
    <w:rsid w:val="00F54F20"/>
    <w:rsid w:val="00F56086"/>
    <w:rsid w:val="00F62E97"/>
    <w:rsid w:val="00F64209"/>
    <w:rsid w:val="00F74AF2"/>
    <w:rsid w:val="00F86B2C"/>
    <w:rsid w:val="00F93BF5"/>
    <w:rsid w:val="00F93F38"/>
    <w:rsid w:val="00FA1C98"/>
    <w:rsid w:val="00FA75A5"/>
    <w:rsid w:val="00FB0DCD"/>
    <w:rsid w:val="00FC7284"/>
    <w:rsid w:val="00FD1C84"/>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styleId="Revision">
    <w:name w:val="Revision"/>
    <w:hidden/>
    <w:uiPriority w:val="99"/>
    <w:semiHidden/>
    <w:rsid w:val="006635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