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54282" w:rsidP="00F54282" w14:paraId="42BB9175" w14:textId="77777777">
      <w:pPr>
        <w:widowControl/>
        <w:jc w:val="right"/>
        <w:rPr>
          <w:sz w:val="24"/>
        </w:rPr>
      </w:pPr>
    </w:p>
    <w:p w:rsidR="00F54282" w:rsidRPr="00403758" w:rsidP="00F54282" w14:paraId="30C819D6" w14:textId="7CA900BC">
      <w:pPr>
        <w:widowControl/>
        <w:jc w:val="right"/>
        <w:rPr>
          <w:b/>
          <w:sz w:val="24"/>
        </w:rPr>
      </w:pPr>
      <w:r w:rsidRPr="00403758">
        <w:rPr>
          <w:b/>
          <w:sz w:val="24"/>
        </w:rPr>
        <w:t>DA 2</w:t>
      </w:r>
      <w:r w:rsidR="00E04F08">
        <w:rPr>
          <w:b/>
          <w:sz w:val="24"/>
        </w:rPr>
        <w:t>4</w:t>
      </w:r>
      <w:r w:rsidRPr="00403758">
        <w:rPr>
          <w:b/>
          <w:sz w:val="24"/>
        </w:rPr>
        <w:t>-</w:t>
      </w:r>
      <w:r w:rsidR="00FF4AE4">
        <w:rPr>
          <w:b/>
          <w:sz w:val="24"/>
        </w:rPr>
        <w:t>359</w:t>
      </w:r>
    </w:p>
    <w:p w:rsidR="00F54282" w:rsidRPr="00403758" w:rsidP="00F54282" w14:paraId="0793E28A" w14:textId="08711A40">
      <w:pPr>
        <w:widowControl/>
        <w:spacing w:before="60"/>
        <w:jc w:val="right"/>
        <w:rPr>
          <w:b/>
          <w:sz w:val="24"/>
        </w:rPr>
      </w:pPr>
      <w:r w:rsidRPr="00403758">
        <w:rPr>
          <w:b/>
          <w:sz w:val="24"/>
        </w:rPr>
        <w:t xml:space="preserve">Released:  </w:t>
      </w:r>
      <w:r w:rsidR="0040623F">
        <w:rPr>
          <w:b/>
          <w:sz w:val="24"/>
        </w:rPr>
        <w:t>April</w:t>
      </w:r>
      <w:r w:rsidR="00742437">
        <w:rPr>
          <w:b/>
          <w:sz w:val="24"/>
        </w:rPr>
        <w:t xml:space="preserve"> 17</w:t>
      </w:r>
      <w:r w:rsidRPr="00403758">
        <w:rPr>
          <w:b/>
          <w:sz w:val="24"/>
        </w:rPr>
        <w:t>, 202</w:t>
      </w:r>
      <w:r w:rsidR="00E04F08">
        <w:rPr>
          <w:b/>
          <w:sz w:val="24"/>
        </w:rPr>
        <w:t>4</w:t>
      </w:r>
    </w:p>
    <w:p w:rsidR="00F54282" w:rsidRPr="00403758" w:rsidP="00F54282" w14:paraId="4F6679A9" w14:textId="77777777">
      <w:pPr>
        <w:widowControl/>
        <w:jc w:val="right"/>
        <w:rPr>
          <w:sz w:val="24"/>
        </w:rPr>
      </w:pPr>
    </w:p>
    <w:p w:rsidR="00F54282" w:rsidRPr="00403758" w:rsidP="00F54282" w14:paraId="295624B5" w14:textId="4A6F2ABA">
      <w:pPr>
        <w:widowControl/>
        <w:spacing w:after="240"/>
        <w:jc w:val="center"/>
        <w:rPr>
          <w:rFonts w:ascii="Times New Roman Bold" w:hAnsi="Times New Roman Bold"/>
          <w:b/>
          <w:bCs/>
          <w:caps/>
          <w:sz w:val="24"/>
          <w:szCs w:val="24"/>
        </w:rPr>
      </w:pPr>
      <w:r w:rsidRPr="00403758">
        <w:rPr>
          <w:rFonts w:ascii="Times New Roman Bold" w:hAnsi="Times New Roman Bold"/>
          <w:b/>
          <w:bCs/>
          <w:caps/>
          <w:sz w:val="24"/>
          <w:szCs w:val="24"/>
        </w:rPr>
        <w:t>ROBOCALL ENFORCEMENT NOTICE TO ALL U.S.-BASED VOICE SERVICE PROVIDERS</w:t>
      </w:r>
    </w:p>
    <w:p w:rsidR="00F54282" w:rsidRPr="00403758" w:rsidP="00F54282" w14:paraId="68CB0533" w14:textId="0358AEF3">
      <w:pPr>
        <w:widowControl/>
        <w:spacing w:after="240"/>
        <w:jc w:val="center"/>
        <w:rPr>
          <w:b/>
          <w:bCs/>
          <w:sz w:val="24"/>
          <w:szCs w:val="24"/>
        </w:rPr>
      </w:pPr>
      <w:r w:rsidRPr="00403758">
        <w:rPr>
          <w:b/>
          <w:bCs/>
          <w:sz w:val="24"/>
          <w:szCs w:val="24"/>
        </w:rPr>
        <w:t xml:space="preserve">FCC Enforcement Bureau Notifies All U.S.-Based Providers of Rules Permitting Them to Block Robocalls Transmitting </w:t>
      </w:r>
      <w:r>
        <w:rPr>
          <w:b/>
          <w:bCs/>
          <w:sz w:val="24"/>
          <w:szCs w:val="24"/>
        </w:rPr>
        <w:t>f</w:t>
      </w:r>
      <w:r w:rsidRPr="00403758">
        <w:rPr>
          <w:b/>
          <w:bCs/>
          <w:sz w:val="24"/>
          <w:szCs w:val="24"/>
        </w:rPr>
        <w:t xml:space="preserve">rom </w:t>
      </w:r>
      <w:r w:rsidRPr="00E832EA" w:rsidR="00E832EA">
        <w:rPr>
          <w:b/>
          <w:bCs/>
          <w:sz w:val="24"/>
          <w:szCs w:val="24"/>
        </w:rPr>
        <w:t>DigitalIPvoice, Inc</w:t>
      </w:r>
    </w:p>
    <w:p w:rsidR="00F54282" w:rsidRPr="00403758" w:rsidP="00F54282" w14:paraId="4F936060" w14:textId="56E2ADCE">
      <w:pPr>
        <w:widowControl/>
        <w:jc w:val="center"/>
        <w:rPr>
          <w:b/>
          <w:sz w:val="24"/>
        </w:rPr>
      </w:pPr>
      <w:r w:rsidRPr="00403758">
        <w:rPr>
          <w:b/>
          <w:sz w:val="24"/>
        </w:rPr>
        <w:t xml:space="preserve">File No. </w:t>
      </w:r>
      <w:r w:rsidRPr="00BD581F" w:rsidR="00BD581F">
        <w:rPr>
          <w:b/>
          <w:bCs/>
          <w:color w:val="000000"/>
          <w:szCs w:val="22"/>
        </w:rPr>
        <w:t>EB-TCD-23-00035954</w:t>
      </w:r>
    </w:p>
    <w:p w:rsidR="00F54282" w:rsidRPr="00403758" w:rsidP="00F54282" w14:paraId="63E51D76" w14:textId="77777777">
      <w:pPr>
        <w:widowControl/>
      </w:pPr>
      <w:bookmarkStart w:id="0" w:name="TOChere"/>
    </w:p>
    <w:p w:rsidR="00F54282" w:rsidRPr="00403758" w:rsidP="00F54282" w14:paraId="67A828DB" w14:textId="77777777">
      <w:pPr>
        <w:widowControl/>
        <w:spacing w:after="120"/>
      </w:pPr>
      <w:r w:rsidRPr="00403758">
        <w:t>By the Chief, Enforcement Bureau:</w:t>
      </w:r>
    </w:p>
    <w:p w:rsidR="00F54282" w:rsidRPr="00403758" w:rsidP="00F54282" w14:paraId="39345677" w14:textId="7C3C4D61">
      <w:pPr>
        <w:widowControl/>
        <w:spacing w:after="120"/>
      </w:pPr>
      <w:r w:rsidRPr="00403758">
        <w:t xml:space="preserve">The Enforcement Bureau (Bureau) of the Federal Communications Commission (FCC or Commission) issues this Public Notice to notify all U.S.-based voice service providers about substantial amounts of apparently unlawful robocalls transmitted by </w:t>
      </w:r>
      <w:r w:rsidRPr="00D343A8" w:rsidR="00D343A8">
        <w:t>DigitalIPvoice</w:t>
      </w:r>
      <w:r w:rsidR="00677F6F">
        <w:t>,</w:t>
      </w:r>
      <w:r w:rsidRPr="00D343A8" w:rsidR="00D343A8">
        <w:t xml:space="preserve"> </w:t>
      </w:r>
      <w:r>
        <w:t>Inc</w:t>
      </w:r>
      <w:r w:rsidRPr="00403758">
        <w:t xml:space="preserve"> (</w:t>
      </w:r>
      <w:r w:rsidRPr="00D343A8" w:rsidR="00D343A8">
        <w:t>DigitalIPvoice</w:t>
      </w:r>
      <w:r w:rsidRPr="00403758">
        <w:t xml:space="preserve">).  </w:t>
      </w:r>
      <w:r w:rsidRPr="00403758">
        <w:rPr>
          <w:b/>
          <w:bCs/>
        </w:rPr>
        <w:t xml:space="preserve">Pursuant to section 64.1200(k)(4) of the Commission’s </w:t>
      </w:r>
      <w:r w:rsidR="00E77E5E">
        <w:rPr>
          <w:b/>
          <w:bCs/>
        </w:rPr>
        <w:t>r</w:t>
      </w:r>
      <w:r w:rsidRPr="00403758">
        <w:rPr>
          <w:b/>
          <w:bCs/>
        </w:rPr>
        <w:t>ules, we hereby</w:t>
      </w:r>
      <w:r w:rsidRPr="00403758">
        <w:t xml:space="preserve"> </w:t>
      </w:r>
      <w:r w:rsidRPr="00403758">
        <w:rPr>
          <w:b/>
          <w:bCs/>
        </w:rPr>
        <w:t xml:space="preserve">notify all U.S.-based voice service providers that if </w:t>
      </w:r>
      <w:r w:rsidRPr="007B634F" w:rsidR="007B634F">
        <w:rPr>
          <w:b/>
          <w:bCs/>
        </w:rPr>
        <w:t>DigitalIPvoice</w:t>
      </w:r>
      <w:r w:rsidRPr="00403758">
        <w:rPr>
          <w:b/>
          <w:bCs/>
        </w:rPr>
        <w:t xml:space="preserve"> fails to mitigate the identified traffic described in the cease-and-desist letter</w:t>
      </w:r>
      <w:r w:rsidR="0096343C">
        <w:rPr>
          <w:b/>
          <w:bCs/>
        </w:rPr>
        <w:t xml:space="preserve"> (CDL)</w:t>
      </w:r>
      <w:r w:rsidRPr="00403758">
        <w:rPr>
          <w:b/>
          <w:bCs/>
        </w:rPr>
        <w:t xml:space="preserve"> listed below, </w:t>
      </w:r>
      <w:r>
        <w:rPr>
          <w:b/>
          <w:bCs/>
        </w:rPr>
        <w:t>U.S.-based voice service providers</w:t>
      </w:r>
      <w:r w:rsidRPr="00403758">
        <w:rPr>
          <w:b/>
          <w:bCs/>
        </w:rPr>
        <w:t xml:space="preserve"> may block voice calls or cease to accept traffic from </w:t>
      </w:r>
      <w:r w:rsidRPr="007B634F" w:rsidR="007B634F">
        <w:rPr>
          <w:b/>
          <w:bCs/>
        </w:rPr>
        <w:t>DigitalIPvoice</w:t>
      </w:r>
      <w:r w:rsidRPr="00403758">
        <w:rPr>
          <w:b/>
          <w:bCs/>
          <w:i/>
          <w:iCs/>
        </w:rPr>
        <w:t>,</w:t>
      </w:r>
      <w:r w:rsidRPr="00403758">
        <w:rPr>
          <w:b/>
          <w:bCs/>
        </w:rPr>
        <w:t xml:space="preserve"> without liability under the Communications Act </w:t>
      </w:r>
      <w:r w:rsidR="002F09DB">
        <w:rPr>
          <w:b/>
          <w:bCs/>
        </w:rPr>
        <w:t xml:space="preserve">of 1934, as </w:t>
      </w:r>
      <w:r w:rsidR="00420541">
        <w:rPr>
          <w:b/>
          <w:bCs/>
        </w:rPr>
        <w:t>a</w:t>
      </w:r>
      <w:r w:rsidR="002F09DB">
        <w:rPr>
          <w:b/>
          <w:bCs/>
        </w:rPr>
        <w:t xml:space="preserve">mended, </w:t>
      </w:r>
      <w:r w:rsidRPr="00403758">
        <w:rPr>
          <w:b/>
          <w:bCs/>
        </w:rPr>
        <w:t>or the Commission’s rules.</w:t>
      </w:r>
      <w:r>
        <w:rPr>
          <w:rStyle w:val="FootnoteReference"/>
        </w:rPr>
        <w:footnoteReference w:id="3"/>
      </w:r>
      <w:r w:rsidRPr="00403758">
        <w:rPr>
          <w:b/>
          <w:bCs/>
        </w:rPr>
        <w:t xml:space="preserve">  </w:t>
      </w:r>
    </w:p>
    <w:p w:rsidR="00F54282" w:rsidRPr="00403758" w:rsidP="00F54282" w14:paraId="27E5E534" w14:textId="5C884F3B">
      <w:pPr>
        <w:keepNext/>
        <w:widowControl/>
        <w:spacing w:after="120"/>
      </w:pPr>
      <w:r w:rsidRPr="00403758">
        <w:t xml:space="preserve">Contemporaneous with this </w:t>
      </w:r>
      <w:r w:rsidRPr="00403758">
        <w:rPr>
          <w:i/>
          <w:iCs/>
        </w:rPr>
        <w:t>Public Notice</w:t>
      </w:r>
      <w:r w:rsidRPr="00403758">
        <w:t xml:space="preserve">, the Bureau is issuing a </w:t>
      </w:r>
      <w:r w:rsidR="0096343C">
        <w:t>CDL</w:t>
      </w:r>
      <w:r w:rsidRPr="00403758">
        <w:t xml:space="preserve"> to the following voice service provider:</w:t>
      </w:r>
      <w:r>
        <w:rPr>
          <w:rStyle w:val="FootnoteReference"/>
        </w:rPr>
        <w:footnoteReference w:id="4"/>
      </w:r>
      <w:r w:rsidRPr="00403758">
        <w:t xml:space="preserve">  </w:t>
      </w:r>
    </w:p>
    <w:p w:rsidR="00F54282" w:rsidRPr="00403758" w:rsidP="00F54282" w14:paraId="3996CACA" w14:textId="19531AAA">
      <w:pPr>
        <w:pStyle w:val="ListParagraph"/>
        <w:widowControl/>
        <w:numPr>
          <w:ilvl w:val="0"/>
          <w:numId w:val="1"/>
        </w:numPr>
        <w:spacing w:after="120"/>
        <w:contextualSpacing w:val="0"/>
        <w:rPr>
          <w:b/>
          <w:bCs/>
        </w:rPr>
      </w:pPr>
      <w:r w:rsidRPr="00403758">
        <w:rPr>
          <w:b/>
          <w:bCs/>
        </w:rPr>
        <w:t xml:space="preserve"> </w:t>
      </w:r>
      <w:r w:rsidRPr="00D343A8" w:rsidR="00D343A8">
        <w:rPr>
          <w:b/>
          <w:bCs/>
        </w:rPr>
        <w:t>DigitalIPvoice</w:t>
      </w:r>
    </w:p>
    <w:p w:rsidR="00F54282" w:rsidP="00F54282" w14:paraId="68EE8B7C" w14:textId="44EBBA2C">
      <w:pPr>
        <w:widowControl/>
        <w:spacing w:after="120"/>
      </w:pPr>
      <w:r w:rsidRPr="00403758">
        <w:t>USTelecom’s Industry Traceback Group (</w:t>
      </w:r>
      <w:r w:rsidR="00CE388C">
        <w:t>ITG</w:t>
      </w:r>
      <w:r w:rsidRPr="00403758">
        <w:t>)</w:t>
      </w:r>
      <w:r>
        <w:rPr>
          <w:rStyle w:val="FootnoteReference"/>
        </w:rPr>
        <w:footnoteReference w:id="5"/>
      </w:r>
      <w:r w:rsidRPr="00403758">
        <w:t xml:space="preserve"> identified </w:t>
      </w:r>
      <w:r w:rsidRPr="00D343A8" w:rsidR="00D343A8">
        <w:t xml:space="preserve">DigitalIPvoice </w:t>
      </w:r>
      <w:r w:rsidRPr="00403758">
        <w:t>as a gateway provider for substantial volumes of apparently unlawful robocalls</w:t>
      </w:r>
      <w:r>
        <w:t>, including calls</w:t>
      </w:r>
      <w:r w:rsidRPr="00403758">
        <w:t xml:space="preserve"> related </w:t>
      </w:r>
      <w:r>
        <w:t xml:space="preserve">to </w:t>
      </w:r>
      <w:r w:rsidR="00B20A8A">
        <w:t>student loans</w:t>
      </w:r>
      <w:r w:rsidRPr="00403758">
        <w:t>.</w:t>
      </w:r>
      <w:r>
        <w:rPr>
          <w:rStyle w:val="FootnoteReference"/>
        </w:rPr>
        <w:footnoteReference w:id="6"/>
      </w:r>
      <w:r w:rsidRPr="00403758">
        <w:t xml:space="preserve">  Pursuant </w:t>
      </w:r>
      <w:r w:rsidRPr="00403758">
        <w:t xml:space="preserve">to the </w:t>
      </w:r>
      <w:r w:rsidR="00A357D4">
        <w:t>CDL</w:t>
      </w:r>
      <w:r w:rsidRPr="00403758">
        <w:t xml:space="preserve">, </w:t>
      </w:r>
      <w:r w:rsidRPr="00B20A8A" w:rsidR="00B20A8A">
        <w:t xml:space="preserve">DigitalIPvoice </w:t>
      </w:r>
      <w:r w:rsidRPr="00403758">
        <w:t xml:space="preserve">must:  </w:t>
      </w:r>
      <w:r w:rsidRPr="00FA0256">
        <w:t xml:space="preserve">(1) </w:t>
      </w:r>
      <w:r w:rsidR="00311D78">
        <w:t>promptly</w:t>
      </w:r>
      <w:r w:rsidRPr="00FA0256" w:rsidR="00311D78">
        <w:t xml:space="preserve"> </w:t>
      </w:r>
      <w:r w:rsidRPr="00FA0256">
        <w:t xml:space="preserve">investigate the traffic identified in the </w:t>
      </w:r>
      <w:r w:rsidR="00A357D4">
        <w:t>CDL</w:t>
      </w:r>
      <w:r w:rsidRPr="00FA0256">
        <w:t xml:space="preserve">; (2) </w:t>
      </w:r>
      <w:r w:rsidR="00801A44">
        <w:t>block</w:t>
      </w:r>
      <w:r w:rsidRPr="00FA0256">
        <w:t xml:space="preserve"> the identified traffic; </w:t>
      </w:r>
      <w:r w:rsidR="00CF6F4D">
        <w:t xml:space="preserve">and </w:t>
      </w:r>
      <w:r w:rsidRPr="00FA0256">
        <w:t xml:space="preserve">(3) </w:t>
      </w:r>
      <w:r w:rsidR="00A04D5B">
        <w:t>report the results of the investigation to the Bureau</w:t>
      </w:r>
      <w:r w:rsidR="001E0A65">
        <w:t>.</w:t>
      </w:r>
      <w:r>
        <w:rPr>
          <w:rStyle w:val="FootnoteReference"/>
        </w:rPr>
        <w:footnoteReference w:id="7"/>
      </w:r>
      <w:r w:rsidRPr="00403758">
        <w:t xml:space="preserve">  </w:t>
      </w:r>
    </w:p>
    <w:p w:rsidR="003F0F50" w:rsidRPr="00424DCC" w:rsidP="00FD7D76" w14:paraId="61E99E99" w14:textId="40A2D93A">
      <w:pPr>
        <w:spacing w:after="120"/>
        <w:rPr>
          <w:szCs w:val="22"/>
        </w:rPr>
      </w:pPr>
      <w:r w:rsidRPr="00D83EAC">
        <w:rPr>
          <w:szCs w:val="22"/>
        </w:rPr>
        <w:t>Th</w:t>
      </w:r>
      <w:r w:rsidR="002F0D58">
        <w:rPr>
          <w:szCs w:val="22"/>
        </w:rPr>
        <w:t xml:space="preserve">e </w:t>
      </w:r>
      <w:r w:rsidR="00A357D4">
        <w:rPr>
          <w:szCs w:val="22"/>
        </w:rPr>
        <w:t>CDL</w:t>
      </w:r>
      <w:r w:rsidRPr="00D83EAC">
        <w:rPr>
          <w:szCs w:val="22"/>
        </w:rPr>
        <w:t xml:space="preserve"> also serves as no</w:t>
      </w:r>
      <w:r w:rsidRPr="00E34D37">
        <w:rPr>
          <w:szCs w:val="22"/>
        </w:rPr>
        <w:t xml:space="preserve">tice that </w:t>
      </w:r>
      <w:r w:rsidR="00D5236B">
        <w:rPr>
          <w:szCs w:val="22"/>
        </w:rPr>
        <w:t>d</w:t>
      </w:r>
      <w:r w:rsidRPr="00E34D37">
        <w:rPr>
          <w:szCs w:val="22"/>
        </w:rPr>
        <w:t xml:space="preserve">ownstream U.S.-based voice service providers may begin blocking all calls from </w:t>
      </w:r>
      <w:r>
        <w:rPr>
          <w:szCs w:val="22"/>
        </w:rPr>
        <w:t>DigitalIPvoice’s traffic</w:t>
      </w:r>
      <w:r w:rsidRPr="00005F6A">
        <w:rPr>
          <w:szCs w:val="22"/>
        </w:rPr>
        <w:t xml:space="preserve"> </w:t>
      </w:r>
      <w:r w:rsidRPr="00E34D37">
        <w:rPr>
          <w:szCs w:val="22"/>
        </w:rPr>
        <w:t>after notifying the Commission of their decision</w:t>
      </w:r>
      <w:r w:rsidR="00A357D4">
        <w:rPr>
          <w:szCs w:val="22"/>
        </w:rPr>
        <w:t>,</w:t>
      </w:r>
      <w:r w:rsidRPr="00E34D37">
        <w:rPr>
          <w:szCs w:val="22"/>
        </w:rPr>
        <w:t xml:space="preserve"> and providing a brief summary of their basis for making such a determination</w:t>
      </w:r>
      <w:r>
        <w:rPr>
          <w:szCs w:val="22"/>
        </w:rPr>
        <w:t xml:space="preserve">, if either (a) </w:t>
      </w:r>
      <w:r w:rsidRPr="00E34D37">
        <w:rPr>
          <w:szCs w:val="22"/>
        </w:rPr>
        <w:t xml:space="preserve">after 48 hours </w:t>
      </w:r>
      <w:r>
        <w:rPr>
          <w:szCs w:val="22"/>
        </w:rPr>
        <w:t>DigitalIPvoice</w:t>
      </w:r>
      <w:r w:rsidRPr="00323087">
        <w:rPr>
          <w:szCs w:val="22"/>
        </w:rPr>
        <w:t xml:space="preserve"> </w:t>
      </w:r>
      <w:r>
        <w:rPr>
          <w:szCs w:val="22"/>
        </w:rPr>
        <w:t>fails to effectively mitigate illegal traffic, or (b) after 14 days DigitalIP</w:t>
      </w:r>
      <w:r w:rsidR="00756ACB">
        <w:rPr>
          <w:szCs w:val="22"/>
        </w:rPr>
        <w:t>v</w:t>
      </w:r>
      <w:r>
        <w:rPr>
          <w:szCs w:val="22"/>
        </w:rPr>
        <w:t xml:space="preserve">oice fails to implement effective measures to prevent new and renewing customers from using its network to originate </w:t>
      </w:r>
      <w:r w:rsidR="00BC10F6">
        <w:rPr>
          <w:szCs w:val="22"/>
        </w:rPr>
        <w:t xml:space="preserve">illegal </w:t>
      </w:r>
      <w:r>
        <w:rPr>
          <w:szCs w:val="22"/>
        </w:rPr>
        <w:t>calls</w:t>
      </w:r>
      <w:r w:rsidRPr="00E34D37">
        <w:rPr>
          <w:szCs w:val="22"/>
        </w:rPr>
        <w:t>.</w:t>
      </w:r>
      <w:r>
        <w:rPr>
          <w:rStyle w:val="FootnoteReference"/>
          <w:szCs w:val="22"/>
        </w:rPr>
        <w:footnoteReference w:id="8"/>
      </w:r>
      <w:r w:rsidRPr="00E34D37">
        <w:rPr>
          <w:szCs w:val="22"/>
        </w:rPr>
        <w:t xml:space="preserve">  </w:t>
      </w:r>
      <w:r w:rsidRPr="00E34D37">
        <w:rPr>
          <w:b/>
          <w:bCs/>
          <w:szCs w:val="22"/>
        </w:rPr>
        <w:t xml:space="preserve">U.S.-based voice service providers may block </w:t>
      </w:r>
      <w:r w:rsidRPr="00E34D37">
        <w:rPr>
          <w:b/>
          <w:bCs/>
          <w:i/>
          <w:iCs/>
          <w:szCs w:val="22"/>
        </w:rPr>
        <w:t>ALL</w:t>
      </w:r>
      <w:r w:rsidRPr="00E34D37">
        <w:rPr>
          <w:b/>
          <w:bCs/>
          <w:szCs w:val="22"/>
        </w:rPr>
        <w:t xml:space="preserve"> call traffic transmitting from </w:t>
      </w:r>
      <w:r>
        <w:rPr>
          <w:b/>
          <w:bCs/>
          <w:szCs w:val="22"/>
        </w:rPr>
        <w:t>DigitalIPvoice</w:t>
      </w:r>
      <w:r w:rsidRPr="00E34D37">
        <w:rPr>
          <w:b/>
          <w:bCs/>
          <w:szCs w:val="22"/>
        </w:rPr>
        <w:t xml:space="preserve">’s network if it fails to act within </w:t>
      </w:r>
      <w:r w:rsidRPr="00E34D37">
        <w:rPr>
          <w:b/>
          <w:bCs/>
          <w:i/>
          <w:iCs/>
          <w:szCs w:val="22"/>
        </w:rPr>
        <w:t>either</w:t>
      </w:r>
      <w:r w:rsidRPr="00E34D37">
        <w:rPr>
          <w:b/>
          <w:bCs/>
          <w:szCs w:val="22"/>
        </w:rPr>
        <w:t xml:space="preserve"> deadline.</w:t>
      </w:r>
      <w:r w:rsidRPr="00E34D37">
        <w:rPr>
          <w:szCs w:val="22"/>
        </w:rPr>
        <w:t xml:space="preserve">  </w:t>
      </w:r>
    </w:p>
    <w:p w:rsidR="00F54282" w:rsidRPr="00403758" w:rsidP="00F54282" w14:paraId="226A07AA" w14:textId="072B4CD4">
      <w:pPr>
        <w:widowControl/>
        <w:spacing w:after="120"/>
      </w:pPr>
      <w:r w:rsidRPr="000940C7">
        <w:rPr>
          <w:i/>
          <w:iCs/>
        </w:rPr>
        <w:t>Purpose</w:t>
      </w:r>
      <w:r w:rsidRPr="000940C7">
        <w:t>.  Protecting individuals and entities from the dangers of unwanted and illegal robocalls is the Commission’s top consumer protection priority.</w:t>
      </w:r>
      <w:r>
        <w:rPr>
          <w:rStyle w:val="FootnoteReference"/>
        </w:rPr>
        <w:footnoteReference w:id="9"/>
      </w:r>
      <w:r w:rsidRPr="000940C7">
        <w:t xml:space="preserve">  As part of </w:t>
      </w:r>
      <w:r w:rsidR="008F4BE5">
        <w:t>it</w:t>
      </w:r>
      <w:r w:rsidRPr="000940C7">
        <w:t xml:space="preserve">s multi-pronged approach to combatting illegal robocalls, the Commission has taken steps to </w:t>
      </w:r>
      <w:r w:rsidRPr="000940C7">
        <w:rPr>
          <w:iCs/>
        </w:rPr>
        <w:t>encourage</w:t>
      </w:r>
      <w:r w:rsidRPr="000940C7">
        <w:rPr>
          <w:i/>
        </w:rPr>
        <w:t xml:space="preserve"> </w:t>
      </w:r>
      <w:r w:rsidRPr="000940C7">
        <w:t>voice service providers to block suspected illegal robocalls.</w:t>
      </w:r>
      <w:r>
        <w:rPr>
          <w:rStyle w:val="FootnoteReference"/>
        </w:rPr>
        <w:footnoteReference w:id="10"/>
      </w:r>
      <w:r w:rsidRPr="000940C7">
        <w:t xml:space="preserve">  The Commission permits voice service providers to block traffic from other voice service providers that the Bureau</w:t>
      </w:r>
      <w:r w:rsidRPr="00403758">
        <w:t xml:space="preserve"> has warned are transmitting suspected illegal robocalls.</w:t>
      </w:r>
      <w:r>
        <w:rPr>
          <w:rStyle w:val="FootnoteReference"/>
        </w:rPr>
        <w:footnoteReference w:id="11"/>
      </w:r>
      <w:r w:rsidRPr="00403758">
        <w:t xml:space="preserve">  The Bureau has issued </w:t>
      </w:r>
      <w:r>
        <w:t>numerous</w:t>
      </w:r>
      <w:r w:rsidRPr="00403758">
        <w:t xml:space="preserve"> “cease-and-desist” letters, warning voice providers that they were</w:t>
      </w:r>
      <w:r>
        <w:t xml:space="preserve"> </w:t>
      </w:r>
      <w:r w:rsidRPr="00403758">
        <w:t>transmitting suspected illegal robocalls and could be subject to blocking.</w:t>
      </w:r>
      <w:r>
        <w:rPr>
          <w:rStyle w:val="FootnoteReference"/>
        </w:rPr>
        <w:footnoteReference w:id="12"/>
      </w:r>
      <w:r w:rsidRPr="00403758">
        <w:t xml:space="preserve">  The Commission placed additional obligations on gateway providers in May 2022 by requiring they block illegal traffic when </w:t>
      </w:r>
      <w:r>
        <w:t xml:space="preserve">the Bureau has </w:t>
      </w:r>
      <w:r w:rsidRPr="00403758">
        <w:t xml:space="preserve">notified </w:t>
      </w:r>
      <w:r>
        <w:t xml:space="preserve">them </w:t>
      </w:r>
      <w:r w:rsidRPr="00403758">
        <w:t>of such traffic.</w:t>
      </w:r>
      <w:r>
        <w:rPr>
          <w:rStyle w:val="FootnoteReference"/>
        </w:rPr>
        <w:footnoteReference w:id="13"/>
      </w:r>
      <w:r w:rsidRPr="00403758">
        <w:t xml:space="preserve">  Failure to do so may require </w:t>
      </w:r>
      <w:r w:rsidR="00A357D4">
        <w:t xml:space="preserve">providers that are immediately downstream from </w:t>
      </w:r>
      <w:r w:rsidRPr="00403758">
        <w:t xml:space="preserve">the gateway provider to block all of its traffic if the gateway provider continues to transmit substantially similar traffic or fails to respond to the Bureau’s </w:t>
      </w:r>
      <w:r w:rsidR="00A357D4">
        <w:t>CDL</w:t>
      </w:r>
      <w:r w:rsidRPr="00403758">
        <w:t>.</w:t>
      </w:r>
      <w:r>
        <w:rPr>
          <w:rStyle w:val="FootnoteReference"/>
        </w:rPr>
        <w:footnoteReference w:id="14"/>
      </w:r>
    </w:p>
    <w:p w:rsidR="009D3FA6" w:rsidP="009D3FA6" w14:paraId="5FA7D787" w14:textId="69EFFFD3">
      <w:pPr>
        <w:widowControl/>
        <w:autoSpaceDE w:val="0"/>
        <w:autoSpaceDN w:val="0"/>
        <w:adjustRightInd w:val="0"/>
        <w:spacing w:after="120"/>
        <w:rPr>
          <w:szCs w:val="22"/>
        </w:rPr>
      </w:pPr>
      <w:r w:rsidRPr="00BF1BEF">
        <w:rPr>
          <w:i/>
          <w:iCs/>
        </w:rPr>
        <w:t>Nature of Apparently Unlawful Robocall Traffic.</w:t>
      </w:r>
      <w:r w:rsidRPr="00403758">
        <w:t xml:space="preserve">  </w:t>
      </w:r>
      <w:r w:rsidRPr="00B20A8A" w:rsidR="00B20A8A">
        <w:t xml:space="preserve">DigitalIPvoice </w:t>
      </w:r>
      <w:r w:rsidRPr="00403758">
        <w:t xml:space="preserve">is transmitting </w:t>
      </w:r>
      <w:r>
        <w:t xml:space="preserve">unlawful </w:t>
      </w:r>
      <w:r w:rsidR="00761832">
        <w:t xml:space="preserve">prerecorded </w:t>
      </w:r>
      <w:r w:rsidRPr="00403758">
        <w:t>calls</w:t>
      </w:r>
      <w:r w:rsidR="00761832">
        <w:t xml:space="preserve"> to cell phones</w:t>
      </w:r>
      <w:r>
        <w:t>, apparently without the requisite consent from called parties,</w:t>
      </w:r>
      <w:r>
        <w:rPr>
          <w:rStyle w:val="FootnoteReference"/>
        </w:rPr>
        <w:footnoteReference w:id="15"/>
      </w:r>
      <w:r>
        <w:t xml:space="preserve"> including </w:t>
      </w:r>
      <w:r w:rsidR="00A42BB6">
        <w:t>calls</w:t>
      </w:r>
      <w:r w:rsidRPr="00403758">
        <w:t xml:space="preserve"> related to </w:t>
      </w:r>
      <w:r w:rsidR="00B20A8A">
        <w:t>student loan assistance</w:t>
      </w:r>
      <w:r w:rsidRPr="00403758">
        <w:t>.</w:t>
      </w:r>
      <w:r>
        <w:rPr>
          <w:rStyle w:val="FootnoteReference"/>
        </w:rPr>
        <w:footnoteReference w:id="16"/>
      </w:r>
      <w:r w:rsidRPr="00403758">
        <w:t xml:space="preserve">  </w:t>
      </w:r>
      <w:r w:rsidRPr="68779B71">
        <w:t xml:space="preserve">Between </w:t>
      </w:r>
      <w:r w:rsidRPr="00C206CA" w:rsidR="00C206CA">
        <w:t>December 4, 2023</w:t>
      </w:r>
      <w:r w:rsidR="00490E90">
        <w:t>,</w:t>
      </w:r>
      <w:r w:rsidRPr="00C206CA" w:rsidR="00C206CA">
        <w:t xml:space="preserve"> and December 11, 2023</w:t>
      </w:r>
      <w:r w:rsidRPr="68779B71">
        <w:t xml:space="preserve">, </w:t>
      </w:r>
      <w:r w:rsidRPr="00222432" w:rsidR="00222432">
        <w:t xml:space="preserve">DigitalIPvoice </w:t>
      </w:r>
      <w:r w:rsidRPr="68779B71">
        <w:t xml:space="preserve">appeared in </w:t>
      </w:r>
      <w:r w:rsidR="00222432">
        <w:t>seven</w:t>
      </w:r>
      <w:r w:rsidRPr="68779B71">
        <w:t xml:space="preserve"> tracebacks as gateway provider for suspected illegal robocalls pertaining to </w:t>
      </w:r>
      <w:r w:rsidR="00222432">
        <w:t>student loan assistance</w:t>
      </w:r>
      <w:r w:rsidRPr="00403758">
        <w:rPr>
          <w:szCs w:val="22"/>
        </w:rPr>
        <w:t>.</w:t>
      </w:r>
      <w:r>
        <w:rPr>
          <w:rStyle w:val="FootnoteReference"/>
        </w:rPr>
        <w:footnoteReference w:id="17"/>
      </w:r>
      <w:r w:rsidR="0006165F">
        <w:t xml:space="preserve">  </w:t>
      </w:r>
      <w:r>
        <w:t xml:space="preserve">The calls </w:t>
      </w:r>
      <w:r w:rsidRPr="00C20226">
        <w:rPr>
          <w:szCs w:val="22"/>
        </w:rPr>
        <w:t>played variations of the following prerecorded message:</w:t>
      </w:r>
    </w:p>
    <w:p w:rsidR="00FE55E9" w:rsidRPr="00FE55E9" w:rsidP="0040623F" w14:paraId="70CC6DEA" w14:textId="634C9803">
      <w:pPr>
        <w:widowControl/>
        <w:autoSpaceDE w:val="0"/>
        <w:autoSpaceDN w:val="0"/>
        <w:adjustRightInd w:val="0"/>
        <w:spacing w:after="120"/>
        <w:ind w:left="720" w:right="1440"/>
        <w:rPr>
          <w:szCs w:val="22"/>
        </w:rPr>
      </w:pPr>
      <w:r w:rsidRPr="00C829FF">
        <w:t>Hello this is [name] from graduate support.  Our records indicate you are eligible for an income driven program but never completed the required documents.  If you want to proceed with this application we need to speak to you today.  Please give us a call back at [phone number] to secure your benefits.</w:t>
      </w:r>
      <w:r>
        <w:rPr>
          <w:rStyle w:val="FootnoteReference"/>
        </w:rPr>
        <w:footnoteReference w:id="18"/>
      </w:r>
    </w:p>
    <w:p w:rsidR="00F54282" w:rsidRPr="00403758" w:rsidP="00F54282" w14:paraId="641F1BBB" w14:textId="10FC9260">
      <w:pPr>
        <w:widowControl/>
        <w:spacing w:after="120"/>
      </w:pPr>
      <w:bookmarkStart w:id="1" w:name="_Hlk90543882"/>
      <w:r w:rsidRPr="25B3771C">
        <w:rPr>
          <w:i/>
          <w:iCs/>
        </w:rPr>
        <w:t>Follow-Up Orders.</w:t>
      </w:r>
      <w:r w:rsidRPr="00403758">
        <w:t xml:space="preserve">  </w:t>
      </w:r>
      <w:r>
        <w:t>The Bureau will issue an Initial Determination Order i</w:t>
      </w:r>
      <w:r w:rsidRPr="00403758">
        <w:t xml:space="preserve">n the event that </w:t>
      </w:r>
      <w:r>
        <w:t xml:space="preserve">either:  (a) </w:t>
      </w:r>
      <w:r w:rsidRPr="00222432" w:rsidR="00222432">
        <w:t>DigitalIPvoice</w:t>
      </w:r>
      <w:r w:rsidRPr="00403758">
        <w:t xml:space="preserve"> fails to respond to the </w:t>
      </w:r>
      <w:r w:rsidR="00F3691F">
        <w:t>CDL</w:t>
      </w:r>
      <w:r>
        <w:t xml:space="preserve"> with respect to the calls for which </w:t>
      </w:r>
      <w:r w:rsidRPr="00222432" w:rsidR="00222432">
        <w:t>DigitalIPvoice</w:t>
      </w:r>
      <w:r>
        <w:t xml:space="preserve"> is the gateway provider;</w:t>
      </w:r>
      <w:r w:rsidRPr="00403758">
        <w:t xml:space="preserve"> </w:t>
      </w:r>
      <w:r>
        <w:t xml:space="preserve">(b) </w:t>
      </w:r>
      <w:r w:rsidRPr="00403758">
        <w:t>the Bureau determines that the response is insufficient</w:t>
      </w:r>
      <w:r w:rsidR="00EE6240">
        <w:t xml:space="preserve"> or that the traffic is illegal despite the </w:t>
      </w:r>
      <w:r w:rsidR="00DC47F9">
        <w:t>provider’s assertions</w:t>
      </w:r>
      <w:r>
        <w:t>;</w:t>
      </w:r>
      <w:r w:rsidRPr="00403758">
        <w:t xml:space="preserve"> or </w:t>
      </w:r>
      <w:r>
        <w:t xml:space="preserve">(c) </w:t>
      </w:r>
      <w:r w:rsidRPr="00403758">
        <w:t xml:space="preserve">the Bureau determines that </w:t>
      </w:r>
      <w:r w:rsidRPr="00222432" w:rsidR="00222432">
        <w:t xml:space="preserve">DigitalIPvoice </w:t>
      </w:r>
      <w:r w:rsidRPr="00403758">
        <w:t>is continuing to allow substantially similar traffic onto the U.S. network.</w:t>
      </w:r>
      <w:r>
        <w:rPr>
          <w:rStyle w:val="FootnoteReference"/>
        </w:rPr>
        <w:footnoteReference w:id="19"/>
      </w:r>
      <w:r w:rsidRPr="00403758">
        <w:t xml:space="preserve">  </w:t>
      </w:r>
      <w:r w:rsidRPr="00222432" w:rsidR="00222432">
        <w:t xml:space="preserve">DigitalIPvoice </w:t>
      </w:r>
      <w:r w:rsidRPr="00403758">
        <w:t>will have at least 14 days to respond to the Initial Determination Order.</w:t>
      </w:r>
      <w:r>
        <w:rPr>
          <w:rStyle w:val="FootnoteReference"/>
        </w:rPr>
        <w:footnoteReference w:id="20"/>
      </w:r>
      <w:r w:rsidRPr="00403758">
        <w:t xml:space="preserve">  If </w:t>
      </w:r>
      <w:r w:rsidRPr="0005562D" w:rsidR="0005562D">
        <w:t>DigitalIPvoice</w:t>
      </w:r>
      <w:r w:rsidRPr="00403758">
        <w:t xml:space="preserve">’s response to </w:t>
      </w:r>
      <w:r w:rsidR="003B4F61">
        <w:t>the Initial Determination Order</w:t>
      </w:r>
      <w:r w:rsidRPr="00403758">
        <w:t xml:space="preserve"> is insufficient</w:t>
      </w:r>
      <w:r w:rsidR="00F3691F">
        <w:t>,</w:t>
      </w:r>
      <w:r w:rsidRPr="00403758">
        <w:t xml:space="preserve"> or </w:t>
      </w:r>
      <w:r w:rsidRPr="00222432" w:rsidR="00222432">
        <w:t xml:space="preserve">DigitalIPvoice </w:t>
      </w:r>
      <w:r w:rsidRPr="00403758">
        <w:t xml:space="preserve">continues to allow substantially similar traffic onto the U.S. network, then </w:t>
      </w:r>
      <w:r>
        <w:t>the Bureau</w:t>
      </w:r>
      <w:r w:rsidRPr="00403758">
        <w:t xml:space="preserve"> will publish a Final Determination Order in EB Docket No. 22-174.</w:t>
      </w:r>
      <w:r>
        <w:rPr>
          <w:rStyle w:val="FootnoteReference"/>
        </w:rPr>
        <w:footnoteReference w:id="21"/>
      </w:r>
      <w:r w:rsidRPr="00403758">
        <w:t xml:space="preserve">  </w:t>
      </w:r>
      <w:r w:rsidRPr="00403758">
        <w:rPr>
          <w:b/>
          <w:bCs/>
        </w:rPr>
        <w:t>In the event that the Bureau issues a Final Determination Order in this matter, pursuant to section 64.1200(n)(</w:t>
      </w:r>
      <w:r w:rsidR="00707AC7">
        <w:rPr>
          <w:b/>
          <w:bCs/>
        </w:rPr>
        <w:t>3</w:t>
      </w:r>
      <w:r w:rsidRPr="00403758">
        <w:rPr>
          <w:b/>
          <w:bCs/>
        </w:rPr>
        <w:t xml:space="preserve">) of the Commission’s Rules, all </w:t>
      </w:r>
      <w:r w:rsidR="008C7631">
        <w:rPr>
          <w:b/>
          <w:bCs/>
        </w:rPr>
        <w:t>im</w:t>
      </w:r>
      <w:r w:rsidR="002E56BC">
        <w:rPr>
          <w:b/>
          <w:bCs/>
        </w:rPr>
        <w:t xml:space="preserve">mediately downstream </w:t>
      </w:r>
      <w:r w:rsidRPr="00403758">
        <w:rPr>
          <w:b/>
          <w:bCs/>
        </w:rPr>
        <w:t xml:space="preserve">U.S.-based voice service providers shall be required to block </w:t>
      </w:r>
      <w:r w:rsidRPr="00222432" w:rsidR="00222432">
        <w:rPr>
          <w:b/>
          <w:bCs/>
        </w:rPr>
        <w:t>DigitalIPvoice</w:t>
      </w:r>
      <w:r w:rsidRPr="00403758">
        <w:rPr>
          <w:b/>
          <w:bCs/>
        </w:rPr>
        <w:t>’s traffic.</w:t>
      </w:r>
      <w:bookmarkEnd w:id="0"/>
      <w:bookmarkEnd w:id="1"/>
      <w:r>
        <w:rPr>
          <w:rStyle w:val="FootnoteReference"/>
        </w:rPr>
        <w:footnoteReference w:id="22"/>
      </w:r>
    </w:p>
    <w:p w:rsidR="00F54282" w:rsidRPr="00403758" w:rsidP="00F54282" w14:paraId="1877BFB6" w14:textId="13053577">
      <w:pPr>
        <w:keepNext/>
        <w:widowControl/>
        <w:spacing w:after="120"/>
      </w:pPr>
      <w:r w:rsidRPr="00403758">
        <w:rPr>
          <w:i/>
          <w:iCs/>
        </w:rPr>
        <w:t>Contact Information</w:t>
      </w:r>
      <w:r w:rsidRPr="00403758">
        <w:t xml:space="preserve">.  For further information, please contact Kristi Thompson, Division Chief, Enforcement Bureau, Telecommunications Consumers Division, at 202-418-1318 or by email at </w:t>
      </w:r>
      <w:hyperlink r:id="rId5" w:history="1">
        <w:r w:rsidRPr="00403758">
          <w:rPr>
            <w:rStyle w:val="Hyperlink"/>
          </w:rPr>
          <w:t>Kristi.Thompson@fcc.gov</w:t>
        </w:r>
      </w:hyperlink>
      <w:r w:rsidRPr="00403758">
        <w:t xml:space="preserve">; or </w:t>
      </w:r>
      <w:r w:rsidR="00222432">
        <w:t>Raul Rojo</w:t>
      </w:r>
      <w:r w:rsidRPr="00403758">
        <w:t xml:space="preserve">, </w:t>
      </w:r>
      <w:r w:rsidR="00222432">
        <w:t>Attorney Advisor</w:t>
      </w:r>
      <w:r w:rsidRPr="00403758">
        <w:t>, Enforcement Bureau, Telecommunications Consumers Division, at 202-418-</w:t>
      </w:r>
      <w:r w:rsidR="0005562D">
        <w:t>1336</w:t>
      </w:r>
      <w:r w:rsidRPr="00403758">
        <w:t xml:space="preserve"> or by ema</w:t>
      </w:r>
      <w:r w:rsidR="0005562D">
        <w:t xml:space="preserve">il at </w:t>
      </w:r>
      <w:hyperlink r:id="rId6" w:history="1">
        <w:r w:rsidRPr="00DD177B" w:rsidR="0005562D">
          <w:rPr>
            <w:rStyle w:val="Hyperlink"/>
          </w:rPr>
          <w:t>Raul.Rojo@fcc.gov</w:t>
        </w:r>
      </w:hyperlink>
      <w:r w:rsidRPr="00403758">
        <w:t>.</w:t>
      </w:r>
      <w:r w:rsidR="0005562D">
        <w:t xml:space="preserve"> </w:t>
      </w:r>
    </w:p>
    <w:p w:rsidR="00F54282" w:rsidRPr="00403758" w:rsidP="00F54282" w14:paraId="45025660" w14:textId="77777777">
      <w:pPr>
        <w:keepNext/>
        <w:widowControl/>
        <w:spacing w:after="220"/>
      </w:pPr>
    </w:p>
    <w:p w:rsidR="00F54282" w:rsidRPr="00403758" w:rsidP="00F54282" w14:paraId="05B86FA1" w14:textId="77777777">
      <w:pPr>
        <w:keepNext/>
        <w:widowControl/>
        <w:spacing w:after="220"/>
      </w:pPr>
    </w:p>
    <w:p w:rsidR="00F54282" w:rsidRPr="00403758" w:rsidP="00F54282" w14:paraId="0F9F234C" w14:textId="77777777">
      <w:pPr>
        <w:keepNext/>
        <w:widowControl/>
        <w:ind w:left="4680"/>
      </w:pPr>
      <w:r w:rsidRPr="00403758">
        <w:t>ENFORCEMENT BUREAU</w:t>
      </w:r>
    </w:p>
    <w:p w:rsidR="00F54282" w:rsidRPr="00403758" w:rsidP="00F54282" w14:paraId="6719C9BD" w14:textId="77777777">
      <w:pPr>
        <w:keepNext/>
        <w:widowControl/>
        <w:ind w:left="4680"/>
      </w:pPr>
      <w:r w:rsidRPr="00403758">
        <w:t>Loyaan A. Egal</w:t>
      </w:r>
    </w:p>
    <w:p w:rsidR="00F54282" w:rsidP="00F54282" w14:paraId="635D3B2A" w14:textId="77777777">
      <w:pPr>
        <w:widowControl/>
        <w:ind w:left="4680"/>
      </w:pPr>
      <w:r w:rsidRPr="00403758">
        <w:t>Chief</w:t>
      </w:r>
    </w:p>
    <w:p w:rsidR="000C6A20" w14:paraId="0AB39C7E"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E14" w14:paraId="5E4DBBEE" w14:textId="77777777">
    <w:pPr>
      <w:pStyle w:val="Footer"/>
      <w:framePr w:wrap="around" w:vAnchor="text" w:hAnchor="margin" w:xAlign="center" w:y="1"/>
    </w:pPr>
    <w:r>
      <w:fldChar w:fldCharType="begin"/>
    </w:r>
    <w:r>
      <w:instrText xml:space="preserve">PAGE  </w:instrText>
    </w:r>
    <w:r w:rsidR="00C5163D">
      <w:fldChar w:fldCharType="separate"/>
    </w:r>
    <w:r>
      <w:fldChar w:fldCharType="end"/>
    </w:r>
  </w:p>
  <w:p w:rsidR="00A45E14" w14:paraId="672F8E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E14" w14:paraId="478113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E14" w14:paraId="169152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20E8" w:rsidP="00F54282" w14:paraId="0BF9C54A" w14:textId="77777777">
      <w:r>
        <w:separator/>
      </w:r>
    </w:p>
  </w:footnote>
  <w:footnote w:type="continuationSeparator" w:id="1">
    <w:p w:rsidR="001720E8" w:rsidP="00F54282" w14:paraId="428432E3" w14:textId="77777777">
      <w:r>
        <w:continuationSeparator/>
      </w:r>
    </w:p>
  </w:footnote>
  <w:footnote w:type="continuationNotice" w:id="2">
    <w:p w:rsidR="001720E8" w14:paraId="1277969D" w14:textId="77777777"/>
  </w:footnote>
  <w:footnote w:id="3">
    <w:p w:rsidR="00F54282" w:rsidRPr="00545304" w:rsidP="00F54282" w14:paraId="3EA61FE0" w14:textId="0B2291F6">
      <w:pPr>
        <w:pStyle w:val="FootnoteText"/>
      </w:pPr>
      <w:r w:rsidRPr="00545304">
        <w:rPr>
          <w:rStyle w:val="FootnoteReference"/>
          <w:sz w:val="20"/>
        </w:rPr>
        <w:footnoteRef/>
      </w:r>
      <w:r w:rsidRPr="00545304">
        <w:t xml:space="preserve"> 47 CFR § 64.1200(k)(4) (permitting downstream providers to block calls from a notified provider that fails to either (a) mitigate the identified traffic within 48 hours or (b) implement effective measures to prevent new and renewing customers from using its network to</w:t>
      </w:r>
      <w:r w:rsidR="006E2A21">
        <w:t xml:space="preserve"> </w:t>
      </w:r>
      <w:r w:rsidR="000E4AF2">
        <w:t xml:space="preserve">originate </w:t>
      </w:r>
      <w:r w:rsidRPr="00545304">
        <w:t xml:space="preserve">illegal calls).  </w:t>
      </w:r>
    </w:p>
  </w:footnote>
  <w:footnote w:id="4">
    <w:p w:rsidR="00F54282" w:rsidRPr="00545304" w:rsidP="00F54282" w14:paraId="062198A3" w14:textId="49C6107C">
      <w:pPr>
        <w:pStyle w:val="FootnoteText"/>
      </w:pPr>
      <w:r w:rsidRPr="00545304">
        <w:rPr>
          <w:rStyle w:val="FootnoteReference"/>
          <w:sz w:val="20"/>
        </w:rPr>
        <w:footnoteRef/>
      </w:r>
      <w:r w:rsidRPr="00545304">
        <w:t xml:space="preserve"> Letter from Loyaan A. Egal, Chief, Enforcement Bureau, to </w:t>
      </w:r>
      <w:r w:rsidRPr="008E535F" w:rsidR="008E535F">
        <w:t>Stephen Matlock</w:t>
      </w:r>
      <w:r w:rsidRPr="00545304">
        <w:t xml:space="preserve">, CEO, </w:t>
      </w:r>
      <w:r w:rsidRPr="007054C0" w:rsidR="007054C0">
        <w:t xml:space="preserve">DigitalIPvoice </w:t>
      </w:r>
      <w:r w:rsidRPr="00545304">
        <w:t>Inc (</w:t>
      </w:r>
      <w:r w:rsidRPr="00742437" w:rsidR="001E70FF">
        <w:t>Apr</w:t>
      </w:r>
      <w:r w:rsidRPr="00742437" w:rsidR="0065173F">
        <w:t>.</w:t>
      </w:r>
      <w:r w:rsidRPr="00545304">
        <w:t xml:space="preserve"> </w:t>
      </w:r>
      <w:r w:rsidR="00742437">
        <w:t>17</w:t>
      </w:r>
      <w:r w:rsidRPr="00545304">
        <w:t>, 202</w:t>
      </w:r>
      <w:r w:rsidR="005446CB">
        <w:t>4</w:t>
      </w:r>
      <w:r w:rsidRPr="00545304">
        <w:t>) (</w:t>
      </w:r>
      <w:r w:rsidRPr="007054C0" w:rsidR="007054C0">
        <w:t xml:space="preserve">DigitalIPvoice </w:t>
      </w:r>
      <w:r w:rsidRPr="00545304">
        <w:t>Letter).  This letter is available on the Commission’s website at</w:t>
      </w:r>
      <w:r w:rsidR="00742437">
        <w:t xml:space="preserve"> </w:t>
      </w:r>
      <w:hyperlink r:id="rId1" w:history="1">
        <w:r w:rsidRPr="00D63D0D" w:rsidR="00742437">
          <w:rPr>
            <w:rStyle w:val="Hyperlink"/>
          </w:rPr>
          <w:t>https://www.fcc.gov/robocall-facilitators-must-cease-and-desist</w:t>
        </w:r>
      </w:hyperlink>
      <w:r w:rsidR="00742437">
        <w:t xml:space="preserve">. </w:t>
      </w:r>
    </w:p>
  </w:footnote>
  <w:footnote w:id="5">
    <w:p w:rsidR="00F54282" w:rsidRPr="00545304" w:rsidP="00F54282" w14:paraId="51E96AE6" w14:textId="56E59D2E">
      <w:pPr>
        <w:pStyle w:val="FootnoteText"/>
      </w:pPr>
      <w:r w:rsidRPr="00545304">
        <w:rPr>
          <w:rStyle w:val="FootnoteReference"/>
          <w:sz w:val="20"/>
        </w:rPr>
        <w:footnoteRef/>
      </w:r>
      <w:r w:rsidRPr="00545304">
        <w:t xml:space="preserve"> USTelecom’s Industry Traceback Group is the registered industry consortium selected pursuant to the TRACED Act, to conduct tracebacks to identify suspected bad actors.  </w:t>
      </w:r>
      <w:r w:rsidRPr="00545304">
        <w:rPr>
          <w:rStyle w:val="ui-provider"/>
          <w:i/>
          <w:iCs/>
        </w:rPr>
        <w:t>Pallone-Thune Telephone Robocall Abuse Criminal Enforcement and Deterrence Act</w:t>
      </w:r>
      <w:r w:rsidRPr="00545304">
        <w:rPr>
          <w:rStyle w:val="ui-provider"/>
        </w:rPr>
        <w:t>, Pub. L. No. 116-105 § 13(d), 133 Stat. 3274 (2019)</w:t>
      </w:r>
      <w:r w:rsidRPr="00545304">
        <w:rPr>
          <w:color w:val="000000"/>
          <w:shd w:val="clear" w:color="auto" w:fill="FFFFFF"/>
        </w:rPr>
        <w:t xml:space="preserve">; </w:t>
      </w:r>
      <w:r w:rsidRPr="00545304">
        <w:rPr>
          <w:i/>
          <w:iCs/>
          <w:color w:val="000000"/>
          <w:shd w:val="clear" w:color="auto" w:fill="FFFFFF"/>
        </w:rPr>
        <w:t>see also</w:t>
      </w:r>
      <w:r w:rsidRPr="00545304">
        <w:rPr>
          <w:color w:val="000000"/>
          <w:shd w:val="clear" w:color="auto" w:fill="FFFFFF"/>
        </w:rPr>
        <w:t xml:space="preserve"> </w:t>
      </w:r>
      <w:r w:rsidRPr="00545304">
        <w:rPr>
          <w:i/>
          <w:iCs/>
        </w:rPr>
        <w:t>Implementing Section 13(d) of the Pallone-Thune Telephone Robocall Abuse Criminal Enforcement and Deterrence Act</w:t>
      </w:r>
      <w:r w:rsidRPr="00545304">
        <w:t xml:space="preserve">, </w:t>
      </w:r>
      <w:r w:rsidRPr="008670A4" w:rsidR="008670A4">
        <w:rPr>
          <w:kern w:val="36"/>
          <w:bdr w:val="none" w:sz="0" w:space="0" w:color="auto" w:frame="1"/>
        </w:rPr>
        <w:t xml:space="preserve">EB Docket No. 20-22, Report and Order, DA </w:t>
      </w:r>
      <w:r w:rsidR="00EE65D0">
        <w:rPr>
          <w:kern w:val="36"/>
          <w:bdr w:val="none" w:sz="0" w:space="0" w:color="auto" w:frame="1"/>
        </w:rPr>
        <w:t>23-719</w:t>
      </w:r>
      <w:r w:rsidRPr="008670A4" w:rsidR="008670A4">
        <w:rPr>
          <w:kern w:val="36"/>
          <w:bdr w:val="none" w:sz="0" w:space="0" w:color="auto" w:frame="1"/>
        </w:rPr>
        <w:t xml:space="preserve">, </w:t>
      </w:r>
      <w:r w:rsidRPr="00DC08F4" w:rsidR="00C564FF">
        <w:t>2023 WL 5358422</w:t>
      </w:r>
      <w:r w:rsidR="00C564FF">
        <w:t>, at *</w:t>
      </w:r>
      <w:r w:rsidRPr="00DC08F4" w:rsidR="00C564FF">
        <w:t xml:space="preserve"> </w:t>
      </w:r>
      <w:r w:rsidR="00C564FF">
        <w:t xml:space="preserve">17, </w:t>
      </w:r>
      <w:r w:rsidRPr="008670A4" w:rsidR="008670A4">
        <w:rPr>
          <w:kern w:val="36"/>
          <w:bdr w:val="none" w:sz="0" w:space="0" w:color="auto" w:frame="1"/>
        </w:rPr>
        <w:t>para. 4</w:t>
      </w:r>
      <w:r w:rsidR="00EE65D0">
        <w:rPr>
          <w:kern w:val="36"/>
          <w:bdr w:val="none" w:sz="0" w:space="0" w:color="auto" w:frame="1"/>
        </w:rPr>
        <w:t>3</w:t>
      </w:r>
      <w:r w:rsidRPr="008670A4" w:rsidR="008670A4">
        <w:rPr>
          <w:kern w:val="36"/>
          <w:bdr w:val="none" w:sz="0" w:space="0" w:color="auto" w:frame="1"/>
        </w:rPr>
        <w:t xml:space="preserve"> (EB </w:t>
      </w:r>
      <w:r w:rsidR="00953A73">
        <w:rPr>
          <w:kern w:val="36"/>
          <w:bdr w:val="none" w:sz="0" w:space="0" w:color="auto" w:frame="1"/>
        </w:rPr>
        <w:t>2023</w:t>
      </w:r>
      <w:r w:rsidRPr="008670A4" w:rsidR="008670A4">
        <w:rPr>
          <w:kern w:val="36"/>
          <w:bdr w:val="none" w:sz="0" w:space="0" w:color="auto" w:frame="1"/>
        </w:rPr>
        <w:t>)</w:t>
      </w:r>
      <w:r w:rsidRPr="00545304">
        <w:t>.</w:t>
      </w:r>
    </w:p>
  </w:footnote>
  <w:footnote w:id="6">
    <w:p w:rsidR="00F54282" w:rsidRPr="005A7DFE" w:rsidP="00F54282" w14:paraId="02B6D08D" w14:textId="62A38F9B">
      <w:pPr>
        <w:pStyle w:val="FootnoteText"/>
      </w:pPr>
      <w:r w:rsidRPr="00545304">
        <w:rPr>
          <w:rStyle w:val="FootnoteReference"/>
          <w:sz w:val="20"/>
        </w:rPr>
        <w:footnoteRef/>
      </w:r>
      <w:r w:rsidRPr="00545304">
        <w:t xml:space="preserve"> </w:t>
      </w:r>
      <w:r w:rsidRPr="005A7DFE" w:rsidR="005A7DFE">
        <w:rPr>
          <w:i/>
          <w:iCs/>
        </w:rPr>
        <w:t>See</w:t>
      </w:r>
      <w:r w:rsidRPr="005A7DFE" w:rsidR="005A7DFE">
        <w:t xml:space="preserve"> Traceback Consortium Subpoena Response (Dec. 20, 2023) (on file at EB-TCD-23-00035954) (ITG Subpoena Response)</w:t>
      </w:r>
      <w:r w:rsidRPr="005A7DFE">
        <w:t>.</w:t>
      </w:r>
    </w:p>
  </w:footnote>
  <w:footnote w:id="7">
    <w:p w:rsidR="00F54282" w:rsidRPr="00545304" w:rsidP="00F54282" w14:paraId="3A6B6047" w14:textId="4C7362A5">
      <w:pPr>
        <w:pStyle w:val="FootnoteText"/>
      </w:pPr>
      <w:r w:rsidRPr="00545304">
        <w:rPr>
          <w:rStyle w:val="FootnoteReference"/>
          <w:sz w:val="20"/>
        </w:rPr>
        <w:footnoteRef/>
      </w:r>
      <w:r w:rsidRPr="00545304">
        <w:t xml:space="preserve"> </w:t>
      </w:r>
      <w:r w:rsidRPr="007B634F" w:rsidR="007B634F">
        <w:t xml:space="preserve">DigitalIPvoice </w:t>
      </w:r>
      <w:r w:rsidRPr="00545304">
        <w:t xml:space="preserve">Letter at </w:t>
      </w:r>
      <w:r w:rsidR="001162E2">
        <w:t>3-4.</w:t>
      </w:r>
    </w:p>
  </w:footnote>
  <w:footnote w:id="8">
    <w:p w:rsidR="00725C79" w:rsidP="00725C79" w14:paraId="2059CBD3" w14:textId="677E08BD">
      <w:pPr>
        <w:pStyle w:val="FootnoteText"/>
      </w:pPr>
      <w:r>
        <w:rPr>
          <w:rStyle w:val="FootnoteReference"/>
        </w:rPr>
        <w:footnoteRef/>
      </w:r>
      <w:r>
        <w:t xml:space="preserve"> </w:t>
      </w:r>
      <w:r w:rsidRPr="00A53E07" w:rsidR="00D5236B">
        <w:t>47 CFR § 64.1200(k)(4)</w:t>
      </w:r>
      <w:r w:rsidRPr="00A53E07">
        <w:t>.</w:t>
      </w:r>
      <w:r>
        <w:t xml:space="preserve"> </w:t>
      </w:r>
    </w:p>
  </w:footnote>
  <w:footnote w:id="9">
    <w:p w:rsidR="00F54282" w:rsidRPr="00545304" w:rsidP="00F54282" w14:paraId="0557076F" w14:textId="1F56FDE6">
      <w:pPr>
        <w:pStyle w:val="FootnoteText"/>
      </w:pPr>
      <w:r w:rsidRPr="00545304">
        <w:rPr>
          <w:rStyle w:val="FootnoteReference"/>
          <w:sz w:val="20"/>
        </w:rPr>
        <w:footnoteRef/>
      </w:r>
      <w:r w:rsidRPr="00545304">
        <w:t xml:space="preserve"> </w:t>
      </w:r>
      <w:r w:rsidRPr="00545304" w:rsidR="00891D09">
        <w:t xml:space="preserve">Fed. Commc’ns Comm’n, </w:t>
      </w:r>
      <w:r w:rsidRPr="00EF29FE">
        <w:rPr>
          <w:i/>
          <w:iCs/>
        </w:rPr>
        <w:t>Stop Unwanted Robocalls and Texts,</w:t>
      </w:r>
      <w:r w:rsidRPr="00EF29FE">
        <w:t xml:space="preserve"> </w:t>
      </w:r>
      <w:hyperlink r:id="rId2" w:history="1">
        <w:r w:rsidRPr="00545304">
          <w:rPr>
            <w:rStyle w:val="Hyperlink"/>
          </w:rPr>
          <w:t>https://www.fcc.gov/consumers/guides/stop-unwanted-robocalls-and-texts</w:t>
        </w:r>
      </w:hyperlink>
      <w:r w:rsidRPr="00545304">
        <w:t xml:space="preserve"> (last visited </w:t>
      </w:r>
      <w:r w:rsidR="008D3D5C">
        <w:t>Jan. 19</w:t>
      </w:r>
      <w:r w:rsidRPr="00545304">
        <w:t xml:space="preserve">, </w:t>
      </w:r>
      <w:r w:rsidRPr="00545304" w:rsidR="00D05E3B">
        <w:t>202</w:t>
      </w:r>
      <w:r w:rsidR="00D05E3B">
        <w:t>4</w:t>
      </w:r>
      <w:r w:rsidRPr="00545304">
        <w:t>) (“Unwanted calls – including illegal and spoofed robocalls – are the FCC’s top consumer complaint and our top consumer protection priority.”).</w:t>
      </w:r>
    </w:p>
  </w:footnote>
  <w:footnote w:id="10">
    <w:p w:rsidR="00F54282" w:rsidRPr="00545304" w:rsidP="00F54282" w14:paraId="76C4E37F" w14:textId="77777777">
      <w:pPr>
        <w:pStyle w:val="FootnoteText"/>
      </w:pPr>
      <w:r w:rsidRPr="00545304">
        <w:rPr>
          <w:rStyle w:val="FootnoteReference"/>
          <w:sz w:val="20"/>
        </w:rPr>
        <w:footnoteRef/>
      </w:r>
      <w:r w:rsidRPr="00545304">
        <w:t xml:space="preserve"> </w:t>
      </w:r>
      <w:r w:rsidRPr="00545304">
        <w:rPr>
          <w:i/>
          <w:iCs/>
        </w:rPr>
        <w:t xml:space="preserve">See </w:t>
      </w:r>
      <w:r w:rsidRPr="00545304">
        <w:t xml:space="preserve">47 CFR § 64.1200(k); </w:t>
      </w:r>
      <w:r w:rsidRPr="00545304">
        <w:rPr>
          <w:i/>
          <w:iCs/>
        </w:rPr>
        <w:t>Advanced Methods to Target and Eliminate Unlawful Robocalls</w:t>
      </w:r>
      <w:r w:rsidRPr="00545304">
        <w:t>, CG Docket No. 17-59, Third Report and Order, Order on Reconsideration, and Fourth Further Notice of Proposed Rulemaking, 35 FCC Rcd 7614, 7622, para. 19 (2020) (</w:t>
      </w:r>
      <w:r w:rsidRPr="00545304">
        <w:rPr>
          <w:i/>
          <w:iCs/>
        </w:rPr>
        <w:t>July 2020 Call Blocking Order</w:t>
      </w:r>
      <w:r w:rsidRPr="00545304">
        <w:t>) (establishing safe harbor for blocking traffic from bad-actor upstream voice service providers);</w:t>
      </w:r>
      <w:r w:rsidRPr="00545304">
        <w:rPr>
          <w:i/>
          <w:iCs/>
        </w:rPr>
        <w:t xml:space="preserve"> Advanced Methods to Target and Eliminate Unlawful Robocalls; Call Authentication Trust Anchor</w:t>
      </w:r>
      <w:r w:rsidRPr="00545304">
        <w:t>, CG Docket No 17-59, WC Docket No. 17-97, Declaratory Ruling and Third Further Notice of Proposed Rulemaking, 34 FCC Rcd 4876, 4887-88, paras. 34-46 (2019) (blocking based on reasonable analytics with consumer op-out and consumer whitelists);</w:t>
      </w:r>
      <w:r w:rsidRPr="00545304">
        <w:rPr>
          <w:i/>
          <w:iCs/>
        </w:rPr>
        <w:t xml:space="preserve"> Advanced Methods to Target and Eliminate Unlawful Robocalls</w:t>
      </w:r>
      <w:r w:rsidRPr="00545304">
        <w:t>, CG Docket No. 17-59, Report and Order and Further Notice of Proposed Rulemaking, 32 FCC Rcd 9706, 9709, para. 9 (2017) (blocking of certain categories of calls highly likely to be illegal).</w:t>
      </w:r>
    </w:p>
  </w:footnote>
  <w:footnote w:id="11">
    <w:p w:rsidR="00F54282" w:rsidRPr="00545304" w:rsidP="00F54282" w14:paraId="7A58657C" w14:textId="1826B6A3">
      <w:pPr>
        <w:pStyle w:val="FootnoteText"/>
      </w:pPr>
      <w:r w:rsidRPr="00545304">
        <w:rPr>
          <w:rStyle w:val="FootnoteReference"/>
          <w:sz w:val="20"/>
        </w:rPr>
        <w:footnoteRef/>
      </w:r>
      <w:r w:rsidRPr="00545304">
        <w:t xml:space="preserve"> </w:t>
      </w:r>
      <w:r w:rsidRPr="00545304">
        <w:rPr>
          <w:i/>
          <w:iCs/>
        </w:rPr>
        <w:t>July 2020 Call Blocking Order</w:t>
      </w:r>
      <w:r w:rsidRPr="00545304">
        <w:t xml:space="preserve">, </w:t>
      </w:r>
      <w:r w:rsidR="00B015D4">
        <w:t xml:space="preserve">35 FCC Rcd </w:t>
      </w:r>
      <w:r w:rsidRPr="00545304">
        <w:t xml:space="preserve">at 7628-29, paras. 36-39; </w:t>
      </w:r>
      <w:r w:rsidRPr="00545304">
        <w:rPr>
          <w:i/>
          <w:iCs/>
        </w:rPr>
        <w:t>see</w:t>
      </w:r>
      <w:r w:rsidRPr="00545304">
        <w:t xml:space="preserve"> 47 CFR § 64.1200(k)(4).  </w:t>
      </w:r>
    </w:p>
  </w:footnote>
  <w:footnote w:id="12">
    <w:p w:rsidR="00F54282" w:rsidRPr="00545304" w:rsidP="00F54282" w14:paraId="2C3A4B0C" w14:textId="5C3365E7">
      <w:pPr>
        <w:pStyle w:val="FootnoteText"/>
        <w:rPr>
          <w:i/>
          <w:iCs/>
        </w:rPr>
      </w:pPr>
      <w:r w:rsidRPr="00545304">
        <w:rPr>
          <w:rStyle w:val="FootnoteReference"/>
          <w:sz w:val="20"/>
        </w:rPr>
        <w:footnoteRef/>
      </w:r>
      <w:r w:rsidRPr="00545304">
        <w:t xml:space="preserve"> These </w:t>
      </w:r>
      <w:r w:rsidRPr="00302103">
        <w:t>letters</w:t>
      </w:r>
      <w:r w:rsidRPr="00545304">
        <w:t xml:space="preserve"> are available on the Commission’s website at </w:t>
      </w:r>
      <w:hyperlink r:id="rId1" w:history="1">
        <w:r w:rsidRPr="00545304">
          <w:rPr>
            <w:rStyle w:val="Hyperlink"/>
          </w:rPr>
          <w:t>https://www.fcc.gov/robocall-facilitators-must-cease-and-desist</w:t>
        </w:r>
      </w:hyperlink>
      <w:r w:rsidRPr="00545304">
        <w:t xml:space="preserve">.  </w:t>
      </w:r>
    </w:p>
  </w:footnote>
  <w:footnote w:id="13">
    <w:p w:rsidR="00F54282" w:rsidRPr="00545304" w:rsidP="00F54282" w14:paraId="535DCEB8" w14:textId="11CC75E4">
      <w:pPr>
        <w:pStyle w:val="FootnoteText"/>
      </w:pPr>
      <w:r w:rsidRPr="00545304">
        <w:rPr>
          <w:rStyle w:val="FootnoteReference"/>
          <w:sz w:val="20"/>
        </w:rPr>
        <w:footnoteRef/>
      </w:r>
      <w:r w:rsidRPr="00545304">
        <w:t xml:space="preserve"> </w:t>
      </w:r>
      <w:r w:rsidRPr="00545304">
        <w:rPr>
          <w:i/>
          <w:iCs/>
          <w:shd w:val="clear" w:color="auto" w:fill="FFFFFF"/>
        </w:rPr>
        <w:t>Advanced Methods to Target and Eliminate Unlawful Robocalls, Call Authentication Trust Anchor</w:t>
      </w:r>
      <w:r w:rsidRPr="00545304">
        <w:rPr>
          <w:shd w:val="clear" w:color="auto" w:fill="FFFFFF"/>
        </w:rPr>
        <w:t xml:space="preserve">, 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w:t>
      </w:r>
      <w:r w:rsidRPr="002511CA" w:rsidR="002511CA">
        <w:rPr>
          <w:shd w:val="clear" w:color="auto" w:fill="FFFFFF"/>
        </w:rPr>
        <w:t xml:space="preserve">37 FCC Rcd 6865, </w:t>
      </w:r>
      <w:r w:rsidR="002511CA">
        <w:rPr>
          <w:shd w:val="clear" w:color="auto" w:fill="FFFFFF"/>
        </w:rPr>
        <w:t>6897-98,</w:t>
      </w:r>
      <w:r w:rsidR="004076FC">
        <w:rPr>
          <w:shd w:val="clear" w:color="auto" w:fill="FFFFFF"/>
        </w:rPr>
        <w:t xml:space="preserve"> </w:t>
      </w:r>
      <w:r w:rsidRPr="00545304">
        <w:rPr>
          <w:shd w:val="clear" w:color="auto" w:fill="FFFFFF"/>
        </w:rPr>
        <w:t>para. 74 (2022) (</w:t>
      </w:r>
      <w:r w:rsidRPr="00545304">
        <w:rPr>
          <w:i/>
          <w:iCs/>
          <w:shd w:val="clear" w:color="auto" w:fill="FFFFFF"/>
        </w:rPr>
        <w:t>Gateway Provider Order</w:t>
      </w:r>
      <w:r w:rsidRPr="00545304">
        <w:rPr>
          <w:shd w:val="clear" w:color="auto" w:fill="FFFFFF"/>
        </w:rPr>
        <w:t>)</w:t>
      </w:r>
      <w:r w:rsidRPr="00545304">
        <w:t>.</w:t>
      </w:r>
    </w:p>
  </w:footnote>
  <w:footnote w:id="14">
    <w:p w:rsidR="00F54282" w:rsidRPr="00545304" w:rsidP="00F54282" w14:paraId="50D04DFF" w14:textId="09CE8311">
      <w:pPr>
        <w:pStyle w:val="FootnoteText"/>
        <w:rPr>
          <w:i/>
          <w:iCs/>
        </w:rPr>
      </w:pPr>
      <w:r w:rsidRPr="00545304">
        <w:rPr>
          <w:rStyle w:val="FootnoteReference"/>
          <w:sz w:val="20"/>
        </w:rPr>
        <w:footnoteRef/>
      </w:r>
      <w:r w:rsidRPr="00545304">
        <w:t xml:space="preserve"> 47 CFR § 64.1200(n)(</w:t>
      </w:r>
      <w:r w:rsidR="00D8724D">
        <w:t>3</w:t>
      </w:r>
      <w:r w:rsidRPr="00545304">
        <w:t>) (requiring downstream providers to block a gateway provider’s traffic if the Bureau issues a Final Determination Order);</w:t>
      </w:r>
      <w:r w:rsidR="001B27E5">
        <w:t xml:space="preserve"> </w:t>
      </w:r>
      <w:r w:rsidRPr="00D74726" w:rsidR="00D74726">
        <w:rPr>
          <w:i/>
          <w:iCs/>
        </w:rPr>
        <w:t>Advanced Methods to Target and Eliminate Unlawful Robocalls</w:t>
      </w:r>
      <w:r w:rsidRPr="00D74726" w:rsidR="00D74726">
        <w:t xml:space="preserve">, CG Docket No. 17-59, WC Docket No. 17-97, Seventh Report and Order in CG Docket 17-59 and WC Docket 17-97, Eighth Further Notice of Proposed Rulemaking in CG Docket 17-59, and Third Notice of Inquiry in CG Docket 17-59. FCC 23-37, 2023 WL 3686042, </w:t>
      </w:r>
      <w:r w:rsidR="00787D9E">
        <w:t xml:space="preserve">at </w:t>
      </w:r>
      <w:r w:rsidRPr="00D74726" w:rsidR="00D74726">
        <w:t>*11, para. 37 (2023)</w:t>
      </w:r>
      <w:r w:rsidRPr="001B27E5" w:rsidR="001B27E5">
        <w:t>;</w:t>
      </w:r>
      <w:r w:rsidRPr="00545304">
        <w:t xml:space="preserve"> </w:t>
      </w:r>
      <w:r w:rsidRPr="00545304">
        <w:rPr>
          <w:i/>
          <w:iCs/>
        </w:rPr>
        <w:t>Gateway Provider Order</w:t>
      </w:r>
      <w:r w:rsidRPr="00545304">
        <w:t xml:space="preserve">, </w:t>
      </w:r>
      <w:r w:rsidR="004076FC">
        <w:t>37 FCC Rcd at 6897-98,</w:t>
      </w:r>
      <w:r w:rsidRPr="00545304">
        <w:t xml:space="preserve"> para. 74.</w:t>
      </w:r>
    </w:p>
  </w:footnote>
  <w:footnote w:id="15">
    <w:p w:rsidR="00F54282" w:rsidRPr="00545304" w:rsidP="00F54282" w14:paraId="624D11B7" w14:textId="77777777">
      <w:pPr>
        <w:pStyle w:val="FootnoteText"/>
      </w:pPr>
      <w:r w:rsidRPr="00545304">
        <w:rPr>
          <w:rStyle w:val="FootnoteReference"/>
          <w:sz w:val="20"/>
        </w:rPr>
        <w:footnoteRef/>
      </w:r>
      <w:r w:rsidRPr="00545304">
        <w:t xml:space="preserve"> </w:t>
      </w:r>
      <w:r w:rsidRPr="00545304">
        <w:rPr>
          <w:i/>
          <w:iCs/>
        </w:rPr>
        <w:t xml:space="preserve">See </w:t>
      </w:r>
      <w:r w:rsidRPr="00545304">
        <w:t>47 U.S.C. § 227(b); 47 CFR § 64.1200(a).</w:t>
      </w:r>
    </w:p>
  </w:footnote>
  <w:footnote w:id="16">
    <w:p w:rsidR="00F54282" w:rsidRPr="00545304" w:rsidP="00F54282" w14:paraId="41AD90C4" w14:textId="4BDC6F15">
      <w:pPr>
        <w:pStyle w:val="FootnoteText"/>
      </w:pPr>
      <w:r w:rsidRPr="00545304">
        <w:rPr>
          <w:rStyle w:val="FootnoteReference"/>
          <w:sz w:val="20"/>
        </w:rPr>
        <w:footnoteRef/>
      </w:r>
      <w:r w:rsidRPr="00545304">
        <w:t xml:space="preserve"> </w:t>
      </w:r>
      <w:r w:rsidRPr="00545304">
        <w:rPr>
          <w:i/>
          <w:iCs/>
        </w:rPr>
        <w:t xml:space="preserve">See </w:t>
      </w:r>
      <w:r w:rsidRPr="00545304">
        <w:t xml:space="preserve">ITG Subpoena Response, </w:t>
      </w:r>
      <w:r w:rsidRPr="00545304">
        <w:rPr>
          <w:i/>
          <w:iCs/>
        </w:rPr>
        <w:t>supra</w:t>
      </w:r>
      <w:r w:rsidRPr="00545304">
        <w:t xml:space="preserve"> note </w:t>
      </w:r>
      <w:r w:rsidR="00FE55E9">
        <w:t>4</w:t>
      </w:r>
      <w:r w:rsidR="00A42BB6">
        <w:rPr>
          <w:bCs/>
        </w:rPr>
        <w:t xml:space="preserve">. </w:t>
      </w:r>
    </w:p>
  </w:footnote>
  <w:footnote w:id="17">
    <w:p w:rsidR="00F54282" w:rsidRPr="00545304" w:rsidP="00F54282" w14:paraId="6458A626" w14:textId="77DBF695">
      <w:pPr>
        <w:pStyle w:val="FootnoteText"/>
        <w:rPr>
          <w:i/>
          <w:iCs/>
        </w:rPr>
      </w:pPr>
      <w:r w:rsidRPr="00545304">
        <w:rPr>
          <w:rStyle w:val="FootnoteReference"/>
          <w:sz w:val="20"/>
        </w:rPr>
        <w:footnoteRef/>
      </w:r>
      <w:r w:rsidRPr="00545304">
        <w:t xml:space="preserve"> </w:t>
      </w:r>
      <w:r w:rsidR="00606050">
        <w:rPr>
          <w:i/>
          <w:iCs/>
        </w:rPr>
        <w:t>Id</w:t>
      </w:r>
      <w:r w:rsidRPr="00545304">
        <w:t>.</w:t>
      </w:r>
    </w:p>
  </w:footnote>
  <w:footnote w:id="18">
    <w:p w:rsidR="009D3FA6" w:rsidP="009D3FA6" w14:paraId="75A7301C" w14:textId="77777777">
      <w:pPr>
        <w:pStyle w:val="FootnoteText"/>
      </w:pPr>
      <w:r>
        <w:rPr>
          <w:rStyle w:val="FootnoteReference"/>
        </w:rPr>
        <w:footnoteRef/>
      </w:r>
      <w:r>
        <w:t xml:space="preserve"> </w:t>
      </w:r>
      <w:r w:rsidRPr="007D2D6C">
        <w:rPr>
          <w:i/>
          <w:iCs/>
        </w:rPr>
        <w:t>Id.</w:t>
      </w:r>
      <w:r>
        <w:t xml:space="preserve"> </w:t>
      </w:r>
    </w:p>
  </w:footnote>
  <w:footnote w:id="19">
    <w:p w:rsidR="00F54282" w:rsidRPr="00545304" w:rsidP="00F54282" w14:paraId="0C89BF7A" w14:textId="76063473">
      <w:pPr>
        <w:pStyle w:val="FootnoteText"/>
      </w:pPr>
      <w:r w:rsidRPr="00545304">
        <w:rPr>
          <w:rStyle w:val="FootnoteReference"/>
          <w:sz w:val="20"/>
        </w:rPr>
        <w:footnoteRef/>
      </w:r>
      <w:r w:rsidRPr="00545304">
        <w:t xml:space="preserve"> 47 CFR § 64.1200(n)(</w:t>
      </w:r>
      <w:r w:rsidR="001D0907">
        <w:t>2</w:t>
      </w:r>
      <w:r w:rsidRPr="00545304">
        <w:t>)</w:t>
      </w:r>
      <w:r w:rsidR="00A75A4D">
        <w:t>(ii)</w:t>
      </w:r>
      <w:r w:rsidRPr="00545304">
        <w:t>.</w:t>
      </w:r>
    </w:p>
  </w:footnote>
  <w:footnote w:id="20">
    <w:p w:rsidR="00F54282" w:rsidRPr="00545304" w:rsidP="00F54282" w14:paraId="1B83737B" w14:textId="671711AB">
      <w:pPr>
        <w:pStyle w:val="FootnoteText"/>
      </w:pPr>
      <w:r w:rsidRPr="00545304">
        <w:rPr>
          <w:rStyle w:val="FootnoteReference"/>
          <w:sz w:val="20"/>
        </w:rPr>
        <w:footnoteRef/>
      </w:r>
      <w:r w:rsidRPr="00545304">
        <w:t xml:space="preserve"> </w:t>
      </w:r>
      <w:r w:rsidRPr="00545304">
        <w:rPr>
          <w:i/>
          <w:iCs/>
        </w:rPr>
        <w:t>Id.</w:t>
      </w:r>
      <w:r w:rsidRPr="00545304">
        <w:t xml:space="preserve"> </w:t>
      </w:r>
    </w:p>
  </w:footnote>
  <w:footnote w:id="21">
    <w:p w:rsidR="00F54282" w:rsidRPr="00545304" w:rsidP="00F54282" w14:paraId="1CF1E617" w14:textId="7B0DAA8E">
      <w:pPr>
        <w:pStyle w:val="FootnoteText"/>
      </w:pPr>
      <w:r w:rsidRPr="00545304">
        <w:rPr>
          <w:rStyle w:val="FootnoteReference"/>
          <w:sz w:val="20"/>
        </w:rPr>
        <w:footnoteRef/>
      </w:r>
      <w:r w:rsidRPr="00545304">
        <w:t xml:space="preserve"> </w:t>
      </w:r>
      <w:r w:rsidRPr="00545304">
        <w:rPr>
          <w:i/>
          <w:iCs/>
        </w:rPr>
        <w:t>Id.</w:t>
      </w:r>
      <w:r w:rsidRPr="00545304">
        <w:t xml:space="preserve"> § 64.1200(n)(</w:t>
      </w:r>
      <w:r w:rsidR="002A5ECB">
        <w:t>2)</w:t>
      </w:r>
      <w:r w:rsidRPr="00545304">
        <w:t>(iii).</w:t>
      </w:r>
    </w:p>
  </w:footnote>
  <w:footnote w:id="22">
    <w:p w:rsidR="00F54282" w:rsidRPr="00545304" w:rsidP="00F54282" w14:paraId="0714C0DF" w14:textId="5654F6D5">
      <w:pPr>
        <w:pStyle w:val="FootnoteText"/>
        <w:rPr>
          <w:i/>
        </w:rPr>
      </w:pPr>
      <w:r w:rsidRPr="00545304">
        <w:rPr>
          <w:rStyle w:val="FootnoteReference"/>
          <w:sz w:val="20"/>
        </w:rPr>
        <w:footnoteRef/>
      </w:r>
      <w:r w:rsidRPr="00545304">
        <w:t xml:space="preserve"> </w:t>
      </w:r>
      <w:r w:rsidRPr="00545304">
        <w:rPr>
          <w:i/>
          <w:iCs/>
        </w:rPr>
        <w:t>Id.</w:t>
      </w:r>
      <w:r w:rsidRPr="00545304">
        <w:t xml:space="preserve"> § 64.1200(n)(</w:t>
      </w:r>
      <w:r w:rsidR="00707AC7">
        <w:t>3</w:t>
      </w:r>
      <w:r w:rsidRPr="00545304">
        <w:t xml:space="preserve">).  Providers must monitor EB Docket No. 22-174 and initiate blocking beginning 30 days from the release date of the Final Determination Order.  </w:t>
      </w:r>
      <w:r w:rsidRPr="00545304">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E14" w:rsidRPr="007B579B" w14:paraId="045CBFA3" w14:textId="5DCB7208">
    <w:pPr>
      <w:tabs>
        <w:tab w:val="center" w:pos="4680"/>
        <w:tab w:val="right" w:pos="9360"/>
      </w:tabs>
      <w:rPr>
        <w:b/>
      </w:rPr>
    </w:pPr>
    <w:r>
      <w:rPr>
        <w:b/>
      </w:rPr>
      <w:tab/>
      <w:t>Federal Communications Commission</w:t>
    </w:r>
    <w:r>
      <w:rPr>
        <w:b/>
      </w:rPr>
      <w:tab/>
      <w:t xml:space="preserve">DA </w:t>
    </w:r>
    <w:r w:rsidR="00FF4AE4">
      <w:rPr>
        <w:b/>
      </w:rPr>
      <w:t>24-359</w:t>
    </w:r>
  </w:p>
  <w:p w:rsidR="00A45E14" w:rsidRPr="0028163C" w:rsidP="0028163C" w14:paraId="753080FE" w14:textId="17DCB7F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8284924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5E14" w14:paraId="23A6CE82"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9B93833"/>
    <w:multiLevelType w:val="hybridMultilevel"/>
    <w:tmpl w:val="9802F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82"/>
    <w:rsid w:val="0000382E"/>
    <w:rsid w:val="00005F6A"/>
    <w:rsid w:val="00010F44"/>
    <w:rsid w:val="0003652D"/>
    <w:rsid w:val="0005562D"/>
    <w:rsid w:val="0006165F"/>
    <w:rsid w:val="00084946"/>
    <w:rsid w:val="000940C7"/>
    <w:rsid w:val="000B0F01"/>
    <w:rsid w:val="000C6A20"/>
    <w:rsid w:val="000D3417"/>
    <w:rsid w:val="000E4AF2"/>
    <w:rsid w:val="001162E2"/>
    <w:rsid w:val="0014647F"/>
    <w:rsid w:val="00156DE8"/>
    <w:rsid w:val="00165197"/>
    <w:rsid w:val="001720E8"/>
    <w:rsid w:val="00183FE7"/>
    <w:rsid w:val="001B27E5"/>
    <w:rsid w:val="001D0907"/>
    <w:rsid w:val="001E0A65"/>
    <w:rsid w:val="001E70FF"/>
    <w:rsid w:val="00204E81"/>
    <w:rsid w:val="00222432"/>
    <w:rsid w:val="002511CA"/>
    <w:rsid w:val="0028163C"/>
    <w:rsid w:val="002A5ECB"/>
    <w:rsid w:val="002E56BC"/>
    <w:rsid w:val="002F09DB"/>
    <w:rsid w:val="002F0D58"/>
    <w:rsid w:val="00302103"/>
    <w:rsid w:val="00302459"/>
    <w:rsid w:val="00311D78"/>
    <w:rsid w:val="00323087"/>
    <w:rsid w:val="00323EBD"/>
    <w:rsid w:val="0037014D"/>
    <w:rsid w:val="003B4F61"/>
    <w:rsid w:val="003F0F50"/>
    <w:rsid w:val="00403758"/>
    <w:rsid w:val="0040623F"/>
    <w:rsid w:val="004076FC"/>
    <w:rsid w:val="00414B41"/>
    <w:rsid w:val="00420541"/>
    <w:rsid w:val="00424DCC"/>
    <w:rsid w:val="00424EF6"/>
    <w:rsid w:val="004564E7"/>
    <w:rsid w:val="00487CD8"/>
    <w:rsid w:val="00490E90"/>
    <w:rsid w:val="004B309C"/>
    <w:rsid w:val="004B72E1"/>
    <w:rsid w:val="004C22A6"/>
    <w:rsid w:val="00506DD0"/>
    <w:rsid w:val="00540BBA"/>
    <w:rsid w:val="005446CB"/>
    <w:rsid w:val="00545304"/>
    <w:rsid w:val="00592875"/>
    <w:rsid w:val="005A7DFE"/>
    <w:rsid w:val="00606050"/>
    <w:rsid w:val="00611454"/>
    <w:rsid w:val="0065173F"/>
    <w:rsid w:val="00665767"/>
    <w:rsid w:val="00673EA4"/>
    <w:rsid w:val="00677F6F"/>
    <w:rsid w:val="006D62AB"/>
    <w:rsid w:val="006E2A21"/>
    <w:rsid w:val="006F5492"/>
    <w:rsid w:val="007016D8"/>
    <w:rsid w:val="007054C0"/>
    <w:rsid w:val="00707AC7"/>
    <w:rsid w:val="00725C79"/>
    <w:rsid w:val="00742437"/>
    <w:rsid w:val="00756ACB"/>
    <w:rsid w:val="00761832"/>
    <w:rsid w:val="00787D9E"/>
    <w:rsid w:val="00792412"/>
    <w:rsid w:val="007A6998"/>
    <w:rsid w:val="007B00F1"/>
    <w:rsid w:val="007B579B"/>
    <w:rsid w:val="007B634F"/>
    <w:rsid w:val="007C7261"/>
    <w:rsid w:val="007D2D6C"/>
    <w:rsid w:val="007E4166"/>
    <w:rsid w:val="00801A44"/>
    <w:rsid w:val="00812904"/>
    <w:rsid w:val="00835B69"/>
    <w:rsid w:val="008670A4"/>
    <w:rsid w:val="00875BE9"/>
    <w:rsid w:val="00885A6B"/>
    <w:rsid w:val="00891D09"/>
    <w:rsid w:val="008A3A4B"/>
    <w:rsid w:val="008C7631"/>
    <w:rsid w:val="008D1701"/>
    <w:rsid w:val="008D3D5C"/>
    <w:rsid w:val="008E535F"/>
    <w:rsid w:val="008F4BE5"/>
    <w:rsid w:val="00945021"/>
    <w:rsid w:val="00953A73"/>
    <w:rsid w:val="0096343C"/>
    <w:rsid w:val="009814D8"/>
    <w:rsid w:val="009D3FA6"/>
    <w:rsid w:val="009E6DC4"/>
    <w:rsid w:val="00A04D5B"/>
    <w:rsid w:val="00A16937"/>
    <w:rsid w:val="00A357D4"/>
    <w:rsid w:val="00A42BB6"/>
    <w:rsid w:val="00A45E14"/>
    <w:rsid w:val="00A53E07"/>
    <w:rsid w:val="00A75A4D"/>
    <w:rsid w:val="00A958AF"/>
    <w:rsid w:val="00AC1EBA"/>
    <w:rsid w:val="00AD4927"/>
    <w:rsid w:val="00B015D4"/>
    <w:rsid w:val="00B071F7"/>
    <w:rsid w:val="00B20A8A"/>
    <w:rsid w:val="00BC10F6"/>
    <w:rsid w:val="00BC7F3D"/>
    <w:rsid w:val="00BD581F"/>
    <w:rsid w:val="00BF1BEF"/>
    <w:rsid w:val="00BF6368"/>
    <w:rsid w:val="00C20226"/>
    <w:rsid w:val="00C206CA"/>
    <w:rsid w:val="00C37853"/>
    <w:rsid w:val="00C43276"/>
    <w:rsid w:val="00C4665A"/>
    <w:rsid w:val="00C5163D"/>
    <w:rsid w:val="00C564FF"/>
    <w:rsid w:val="00C829FF"/>
    <w:rsid w:val="00CC4CCA"/>
    <w:rsid w:val="00CE388C"/>
    <w:rsid w:val="00CF6F4D"/>
    <w:rsid w:val="00D05E3B"/>
    <w:rsid w:val="00D343A8"/>
    <w:rsid w:val="00D35EF2"/>
    <w:rsid w:val="00D5236B"/>
    <w:rsid w:val="00D63D0D"/>
    <w:rsid w:val="00D74726"/>
    <w:rsid w:val="00D83EAC"/>
    <w:rsid w:val="00D8724D"/>
    <w:rsid w:val="00DC08F4"/>
    <w:rsid w:val="00DC47F9"/>
    <w:rsid w:val="00DD177B"/>
    <w:rsid w:val="00E04F08"/>
    <w:rsid w:val="00E11DED"/>
    <w:rsid w:val="00E2511B"/>
    <w:rsid w:val="00E34D37"/>
    <w:rsid w:val="00E43D99"/>
    <w:rsid w:val="00E77E5E"/>
    <w:rsid w:val="00E832EA"/>
    <w:rsid w:val="00E8513D"/>
    <w:rsid w:val="00E92167"/>
    <w:rsid w:val="00EA7991"/>
    <w:rsid w:val="00EB303E"/>
    <w:rsid w:val="00ED37C0"/>
    <w:rsid w:val="00EE6240"/>
    <w:rsid w:val="00EE65D0"/>
    <w:rsid w:val="00EF29FE"/>
    <w:rsid w:val="00F3691F"/>
    <w:rsid w:val="00F53D67"/>
    <w:rsid w:val="00F54282"/>
    <w:rsid w:val="00FA0256"/>
    <w:rsid w:val="00FD188D"/>
    <w:rsid w:val="00FD7D76"/>
    <w:rsid w:val="00FE55E9"/>
    <w:rsid w:val="00FF4AE4"/>
    <w:rsid w:val="25B3771C"/>
    <w:rsid w:val="68779B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86D76C"/>
  <w15:chartTrackingRefBased/>
  <w15:docId w15:val="{5D4D5433-3743-4775-95F1-323552B0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282"/>
    <w:pPr>
      <w:widowControl w:val="0"/>
      <w:spacing w:after="0" w:line="240" w:lineRule="auto"/>
    </w:pPr>
    <w:rPr>
      <w:rFonts w:eastAsia="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2"/>
    <w:uiPriority w:val="99"/>
    <w:rsid w:val="00F54282"/>
    <w:pPr>
      <w:spacing w:after="120" w:line="240" w:lineRule="auto"/>
    </w:pPr>
    <w:rPr>
      <w:rFonts w:eastAsia="Times New Roman"/>
      <w:kern w:val="0"/>
      <w:sz w:val="20"/>
      <w:szCs w:val="20"/>
    </w:rPr>
  </w:style>
  <w:style w:type="character" w:customStyle="1" w:styleId="FootnoteTextChar">
    <w:name w:val="Footnote Text Char"/>
    <w:aliases w:val="ALTS FOOTNOTE Char1,Footnote Text Char Char Char Char Char Char Char,Footnote Text Char1 Char1 Char Char Char Char,Footnote Text Char2 Char"/>
    <w:basedOn w:val="DefaultParagraphFont"/>
    <w:uiPriority w:val="99"/>
    <w:rsid w:val="00F54282"/>
    <w:rPr>
      <w:rFonts w:eastAsia="Times New Roman"/>
      <w:snapToGrid w:val="0"/>
      <w:kern w:val="28"/>
      <w:sz w:val="20"/>
      <w:szCs w:val="20"/>
      <w14:ligatures w14:val="none"/>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uiPriority w:val="99"/>
    <w:rsid w:val="00F54282"/>
    <w:rPr>
      <w:rFonts w:ascii="Times New Roman" w:hAnsi="Times New Roman"/>
      <w:dstrike w:val="0"/>
      <w:color w:val="auto"/>
      <w:sz w:val="22"/>
      <w:vertAlign w:val="superscript"/>
    </w:rPr>
  </w:style>
  <w:style w:type="paragraph" w:styleId="Header">
    <w:name w:val="header"/>
    <w:basedOn w:val="Normal"/>
    <w:link w:val="HeaderChar"/>
    <w:autoRedefine/>
    <w:rsid w:val="00F54282"/>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F54282"/>
    <w:rPr>
      <w:rFonts w:ascii="Arial" w:eastAsia="Times New Roman" w:hAnsi="Arial" w:cs="Arial"/>
      <w:b/>
      <w:snapToGrid w:val="0"/>
      <w:kern w:val="28"/>
      <w:sz w:val="96"/>
      <w:szCs w:val="96"/>
    </w:rPr>
  </w:style>
  <w:style w:type="paragraph" w:styleId="Footer">
    <w:name w:val="footer"/>
    <w:basedOn w:val="Normal"/>
    <w:link w:val="FooterChar"/>
    <w:uiPriority w:val="99"/>
    <w:rsid w:val="00F54282"/>
    <w:pPr>
      <w:tabs>
        <w:tab w:val="center" w:pos="4320"/>
        <w:tab w:val="right" w:pos="8640"/>
      </w:tabs>
    </w:pPr>
  </w:style>
  <w:style w:type="character" w:customStyle="1" w:styleId="FooterChar">
    <w:name w:val="Footer Char"/>
    <w:basedOn w:val="DefaultParagraphFont"/>
    <w:link w:val="Footer"/>
    <w:uiPriority w:val="99"/>
    <w:rsid w:val="00F54282"/>
    <w:rPr>
      <w:rFonts w:eastAsia="Times New Roman"/>
      <w:snapToGrid w:val="0"/>
      <w:kern w:val="28"/>
      <w:szCs w:val="20"/>
    </w:rPr>
  </w:style>
  <w:style w:type="character" w:styleId="Hyperlink">
    <w:name w:val="Hyperlink"/>
    <w:rsid w:val="00F54282"/>
    <w:rPr>
      <w:color w:val="0000FF"/>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 Char,fn Char Char1,fn Char1 Char"/>
    <w:link w:val="FootnoteText"/>
    <w:uiPriority w:val="99"/>
    <w:locked/>
    <w:rsid w:val="00F54282"/>
    <w:rPr>
      <w:rFonts w:eastAsia="Times New Roman"/>
      <w:kern w:val="0"/>
      <w:sz w:val="20"/>
      <w:szCs w:val="20"/>
    </w:rPr>
  </w:style>
  <w:style w:type="paragraph" w:customStyle="1" w:styleId="xmsonormal">
    <w:name w:val="x_msonormal"/>
    <w:basedOn w:val="Normal"/>
    <w:rsid w:val="00F54282"/>
    <w:pPr>
      <w:widowControl/>
      <w:spacing w:before="100" w:beforeAutospacing="1" w:after="100" w:afterAutospacing="1"/>
    </w:pPr>
    <w:rPr>
      <w:rFonts w:ascii="Calibri" w:eastAsia="Calibri" w:hAnsi="Calibri" w:cs="Calibri"/>
      <w:snapToGrid/>
      <w:kern w:val="0"/>
      <w:szCs w:val="22"/>
    </w:rPr>
  </w:style>
  <w:style w:type="paragraph" w:styleId="ListParagraph">
    <w:name w:val="List Paragraph"/>
    <w:basedOn w:val="Normal"/>
    <w:uiPriority w:val="34"/>
    <w:qFormat/>
    <w:rsid w:val="00F54282"/>
    <w:pPr>
      <w:ind w:left="720"/>
      <w:contextualSpacing/>
    </w:pPr>
  </w:style>
  <w:style w:type="character" w:customStyle="1" w:styleId="ui-provider">
    <w:name w:val="ui-provider"/>
    <w:basedOn w:val="DefaultParagraphFont"/>
    <w:rsid w:val="00F54282"/>
  </w:style>
  <w:style w:type="character" w:styleId="UnresolvedMention">
    <w:name w:val="Unresolved Mention"/>
    <w:basedOn w:val="DefaultParagraphFont"/>
    <w:uiPriority w:val="99"/>
    <w:semiHidden/>
    <w:unhideWhenUsed/>
    <w:rsid w:val="0005562D"/>
    <w:rPr>
      <w:color w:val="605E5C"/>
      <w:shd w:val="clear" w:color="auto" w:fill="E1DFDD"/>
    </w:rPr>
  </w:style>
  <w:style w:type="paragraph" w:styleId="Revision">
    <w:name w:val="Revision"/>
    <w:hidden/>
    <w:uiPriority w:val="99"/>
    <w:semiHidden/>
    <w:rsid w:val="00CE388C"/>
    <w:pPr>
      <w:spacing w:after="0" w:line="240" w:lineRule="auto"/>
    </w:pPr>
    <w:rPr>
      <w:rFonts w:eastAsia="Times New Roman"/>
      <w:snapToGrid w:val="0"/>
      <w:kern w:val="28"/>
      <w:szCs w:val="20"/>
    </w:rPr>
  </w:style>
  <w:style w:type="character" w:styleId="CommentReference">
    <w:name w:val="annotation reference"/>
    <w:basedOn w:val="DefaultParagraphFont"/>
    <w:uiPriority w:val="99"/>
    <w:semiHidden/>
    <w:unhideWhenUsed/>
    <w:rsid w:val="00EB303E"/>
    <w:rPr>
      <w:sz w:val="16"/>
      <w:szCs w:val="16"/>
    </w:rPr>
  </w:style>
  <w:style w:type="paragraph" w:styleId="CommentText">
    <w:name w:val="annotation text"/>
    <w:basedOn w:val="Normal"/>
    <w:link w:val="CommentTextChar"/>
    <w:uiPriority w:val="99"/>
    <w:unhideWhenUsed/>
    <w:rsid w:val="00EB303E"/>
    <w:rPr>
      <w:sz w:val="20"/>
    </w:rPr>
  </w:style>
  <w:style w:type="character" w:customStyle="1" w:styleId="CommentTextChar">
    <w:name w:val="Comment Text Char"/>
    <w:basedOn w:val="DefaultParagraphFont"/>
    <w:link w:val="CommentText"/>
    <w:uiPriority w:val="99"/>
    <w:rsid w:val="00EB303E"/>
    <w:rPr>
      <w:rFonts w:eastAsia="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EB303E"/>
    <w:rPr>
      <w:b/>
      <w:bCs/>
    </w:rPr>
  </w:style>
  <w:style w:type="character" w:customStyle="1" w:styleId="CommentSubjectChar">
    <w:name w:val="Comment Subject Char"/>
    <w:basedOn w:val="CommentTextChar"/>
    <w:link w:val="CommentSubject"/>
    <w:uiPriority w:val="99"/>
    <w:semiHidden/>
    <w:rsid w:val="00EB303E"/>
    <w:rPr>
      <w:rFonts w:eastAsia="Times New Roman"/>
      <w:b/>
      <w:bCs/>
      <w:snapToGrid w:val="0"/>
      <w:kern w:val="28"/>
      <w:sz w:val="20"/>
      <w:szCs w:val="20"/>
    </w:rPr>
  </w:style>
  <w:style w:type="character" w:styleId="FollowedHyperlink">
    <w:name w:val="FollowedHyperlink"/>
    <w:basedOn w:val="DefaultParagraphFont"/>
    <w:uiPriority w:val="99"/>
    <w:semiHidden/>
    <w:unhideWhenUsed/>
    <w:rsid w:val="008D3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Raul.Rojo@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obocall-facilitators-must-cease-and-desist" TargetMode="External" /><Relationship Id="rId2" Type="http://schemas.openxmlformats.org/officeDocument/2006/relationships/hyperlink" Target="https://www.fcc.gov/consumers/guides/stop-unwanted-robocalls-and-text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