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70816" w:rsidP="002A2E9D" w14:paraId="047AB245" w14:textId="77777777"/>
    <w:p w:rsidR="00A363C4" w:rsidP="002A2E9D" w14:paraId="7A5EAC23" w14:textId="77777777">
      <w:pPr>
        <w:rPr>
          <w:sz w:val="22"/>
          <w:szCs w:val="22"/>
        </w:rPr>
      </w:pPr>
    </w:p>
    <w:p w:rsidR="00A363C4" w:rsidP="002A2E9D" w14:paraId="73023EF1" w14:textId="77777777">
      <w:pPr>
        <w:rPr>
          <w:sz w:val="22"/>
          <w:szCs w:val="22"/>
        </w:rPr>
      </w:pPr>
    </w:p>
    <w:p w:rsidR="003B515B" w:rsidP="002A2E9D" w14:paraId="323A1C0A" w14:textId="1CFEB8BF">
      <w:pPr>
        <w:rPr>
          <w:sz w:val="22"/>
          <w:szCs w:val="22"/>
        </w:rPr>
      </w:pPr>
      <w:r w:rsidRPr="00370816">
        <w:rPr>
          <w:sz w:val="22"/>
          <w:szCs w:val="22"/>
        </w:rPr>
        <w:t xml:space="preserve">Hojun Kim </w:t>
      </w:r>
      <w:r w:rsidR="00F47A9B">
        <w:rPr>
          <w:sz w:val="22"/>
          <w:szCs w:val="22"/>
        </w:rPr>
        <w:tab/>
      </w:r>
      <w:r w:rsidR="00F47A9B">
        <w:rPr>
          <w:sz w:val="22"/>
          <w:szCs w:val="22"/>
        </w:rPr>
        <w:tab/>
      </w:r>
      <w:r w:rsidR="00F47A9B">
        <w:rPr>
          <w:sz w:val="22"/>
          <w:szCs w:val="22"/>
        </w:rPr>
        <w:tab/>
      </w:r>
      <w:r w:rsidR="00F47A9B">
        <w:rPr>
          <w:sz w:val="22"/>
          <w:szCs w:val="22"/>
        </w:rPr>
        <w:tab/>
      </w:r>
      <w:r w:rsidR="00F47A9B">
        <w:rPr>
          <w:sz w:val="22"/>
          <w:szCs w:val="22"/>
        </w:rPr>
        <w:tab/>
      </w:r>
      <w:r w:rsidR="00F47A9B">
        <w:rPr>
          <w:sz w:val="22"/>
          <w:szCs w:val="22"/>
        </w:rPr>
        <w:tab/>
      </w:r>
      <w:r w:rsidRPr="00F47A9B" w:rsidR="00F47A9B">
        <w:rPr>
          <w:sz w:val="22"/>
          <w:szCs w:val="22"/>
        </w:rPr>
        <w:t xml:space="preserve">Derrick Herrmann </w:t>
      </w:r>
    </w:p>
    <w:p w:rsidR="003B515B" w:rsidP="002A2E9D" w14:paraId="26536B00" w14:textId="7810E6F3">
      <w:pPr>
        <w:rPr>
          <w:sz w:val="22"/>
          <w:szCs w:val="22"/>
        </w:rPr>
      </w:pPr>
      <w:r w:rsidRPr="00370816">
        <w:rPr>
          <w:sz w:val="22"/>
          <w:szCs w:val="22"/>
        </w:rPr>
        <w:t>CEO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47A9B">
        <w:rPr>
          <w:sz w:val="22"/>
          <w:szCs w:val="22"/>
        </w:rPr>
        <w:t>Chief, Transformational Technology</w:t>
      </w:r>
    </w:p>
    <w:p w:rsidR="00BA475E" w:rsidP="00BA475E" w14:paraId="46D5B14E" w14:textId="77777777">
      <w:pPr>
        <w:ind w:left="5040" w:hanging="5040"/>
        <w:rPr>
          <w:sz w:val="22"/>
          <w:szCs w:val="22"/>
        </w:rPr>
      </w:pPr>
      <w:r w:rsidRPr="00370816">
        <w:rPr>
          <w:sz w:val="22"/>
          <w:szCs w:val="22"/>
        </w:rPr>
        <w:t>Ettifos Co.</w:t>
      </w:r>
      <w:r>
        <w:rPr>
          <w:sz w:val="22"/>
          <w:szCs w:val="22"/>
        </w:rPr>
        <w:tab/>
      </w:r>
      <w:r w:rsidRPr="00F47A9B">
        <w:rPr>
          <w:sz w:val="22"/>
          <w:szCs w:val="22"/>
        </w:rPr>
        <w:t>Pennsylvania Department of Transportatio</w:t>
      </w:r>
      <w:r>
        <w:rPr>
          <w:sz w:val="22"/>
          <w:szCs w:val="22"/>
        </w:rPr>
        <w:t>n</w:t>
      </w:r>
    </w:p>
    <w:p w:rsidR="00BA475E" w:rsidP="00BA475E" w14:paraId="0EFFD365" w14:textId="049FD572">
      <w:pPr>
        <w:rPr>
          <w:sz w:val="22"/>
          <w:szCs w:val="22"/>
        </w:rPr>
      </w:pPr>
      <w:r w:rsidRPr="00370816">
        <w:rPr>
          <w:sz w:val="22"/>
          <w:szCs w:val="22"/>
        </w:rPr>
        <w:t xml:space="preserve">41, Beolmal-ro, 50beon-gil, Bundang-gu </w:t>
      </w:r>
      <w:r>
        <w:rPr>
          <w:sz w:val="22"/>
          <w:szCs w:val="22"/>
        </w:rPr>
        <w:tab/>
      </w:r>
      <w:r>
        <w:rPr>
          <w:sz w:val="22"/>
          <w:szCs w:val="22"/>
        </w:rPr>
        <w:tab/>
      </w:r>
      <w:r w:rsidRPr="00F47A9B">
        <w:rPr>
          <w:sz w:val="22"/>
          <w:szCs w:val="22"/>
        </w:rPr>
        <w:t>400 North Street, 6th Floor</w:t>
      </w:r>
    </w:p>
    <w:p w:rsidR="00370816" w:rsidP="002A2E9D" w14:paraId="1BC5A11E" w14:textId="24D60CA9">
      <w:pPr>
        <w:rPr>
          <w:sz w:val="22"/>
          <w:szCs w:val="22"/>
        </w:rPr>
      </w:pPr>
      <w:r w:rsidRPr="00370816">
        <w:rPr>
          <w:sz w:val="22"/>
          <w:szCs w:val="22"/>
        </w:rPr>
        <w:t>Seongnam-si, Gyeonggi-do, South Korea</w:t>
      </w:r>
      <w:r>
        <w:rPr>
          <w:sz w:val="22"/>
          <w:szCs w:val="22"/>
        </w:rPr>
        <w:tab/>
      </w:r>
      <w:r>
        <w:rPr>
          <w:sz w:val="22"/>
          <w:szCs w:val="22"/>
        </w:rPr>
        <w:tab/>
      </w:r>
      <w:r w:rsidRPr="00F47A9B">
        <w:rPr>
          <w:sz w:val="22"/>
          <w:szCs w:val="22"/>
        </w:rPr>
        <w:t>Harrisburg, PA 17120</w:t>
      </w:r>
    </w:p>
    <w:p w:rsidR="006112F7" w:rsidP="002A2E9D" w14:paraId="55EDE1C9" w14:textId="77777777">
      <w:pPr>
        <w:rPr>
          <w:sz w:val="22"/>
          <w:szCs w:val="22"/>
        </w:rPr>
      </w:pPr>
    </w:p>
    <w:p w:rsidR="00A34277" w:rsidP="002A2E9D" w14:paraId="598DC40C" w14:textId="062EA18F">
      <w:pPr>
        <w:rPr>
          <w:sz w:val="22"/>
          <w:szCs w:val="22"/>
        </w:rPr>
      </w:pPr>
      <w:r w:rsidRPr="00A34277">
        <w:rPr>
          <w:sz w:val="22"/>
          <w:szCs w:val="22"/>
        </w:rPr>
        <w:t xml:space="preserve">Russell P. Austin </w:t>
      </w:r>
      <w:r w:rsidR="00347DB5">
        <w:rPr>
          <w:sz w:val="22"/>
          <w:szCs w:val="22"/>
        </w:rPr>
        <w:tab/>
      </w:r>
      <w:r w:rsidR="00347DB5">
        <w:rPr>
          <w:sz w:val="22"/>
          <w:szCs w:val="22"/>
        </w:rPr>
        <w:tab/>
      </w:r>
      <w:r w:rsidR="00347DB5">
        <w:rPr>
          <w:sz w:val="22"/>
          <w:szCs w:val="22"/>
        </w:rPr>
        <w:tab/>
      </w:r>
      <w:r w:rsidR="00347DB5">
        <w:rPr>
          <w:sz w:val="22"/>
          <w:szCs w:val="22"/>
        </w:rPr>
        <w:tab/>
      </w:r>
      <w:r w:rsidR="00347DB5">
        <w:rPr>
          <w:sz w:val="22"/>
          <w:szCs w:val="22"/>
        </w:rPr>
        <w:tab/>
      </w:r>
      <w:r w:rsidRPr="00476E6A" w:rsidR="00347DB5">
        <w:rPr>
          <w:sz w:val="22"/>
          <w:szCs w:val="22"/>
        </w:rPr>
        <w:t>Darrion Robinson</w:t>
      </w:r>
    </w:p>
    <w:p w:rsidR="00347DB5" w:rsidP="00347DB5" w14:paraId="1625DCCD" w14:textId="77777777">
      <w:pPr>
        <w:rPr>
          <w:sz w:val="22"/>
          <w:szCs w:val="22"/>
        </w:rPr>
      </w:pPr>
      <w:r w:rsidRPr="00A34277">
        <w:rPr>
          <w:sz w:val="22"/>
          <w:szCs w:val="22"/>
        </w:rPr>
        <w:t xml:space="preserve">Senior Vice President, </w:t>
      </w:r>
      <w:r>
        <w:rPr>
          <w:sz w:val="22"/>
          <w:szCs w:val="22"/>
        </w:rPr>
        <w:tab/>
      </w:r>
      <w:r>
        <w:rPr>
          <w:sz w:val="22"/>
          <w:szCs w:val="22"/>
        </w:rPr>
        <w:tab/>
      </w:r>
      <w:r>
        <w:rPr>
          <w:sz w:val="22"/>
          <w:szCs w:val="22"/>
        </w:rPr>
        <w:tab/>
      </w:r>
      <w:r>
        <w:rPr>
          <w:sz w:val="22"/>
          <w:szCs w:val="22"/>
        </w:rPr>
        <w:tab/>
      </w:r>
      <w:r>
        <w:rPr>
          <w:sz w:val="22"/>
          <w:szCs w:val="22"/>
        </w:rPr>
        <w:tab/>
      </w:r>
      <w:r w:rsidRPr="00476E6A">
        <w:rPr>
          <w:sz w:val="22"/>
          <w:szCs w:val="22"/>
        </w:rPr>
        <w:t xml:space="preserve">Chief of Maintenance and Traffic </w:t>
      </w:r>
    </w:p>
    <w:p w:rsidR="00A34277" w:rsidP="002A2E9D" w14:paraId="542CEFC1" w14:textId="136B545A">
      <w:pPr>
        <w:rPr>
          <w:sz w:val="22"/>
          <w:szCs w:val="22"/>
        </w:rPr>
      </w:pPr>
      <w:r w:rsidRPr="00A34277">
        <w:rPr>
          <w:sz w:val="22"/>
          <w:szCs w:val="22"/>
        </w:rPr>
        <w:t>General Counsel &amp; Secretary</w:t>
      </w:r>
      <w:r w:rsidR="00347DB5">
        <w:rPr>
          <w:sz w:val="22"/>
          <w:szCs w:val="22"/>
        </w:rPr>
        <w:tab/>
      </w:r>
      <w:r w:rsidR="00347DB5">
        <w:rPr>
          <w:sz w:val="22"/>
          <w:szCs w:val="22"/>
        </w:rPr>
        <w:tab/>
      </w:r>
      <w:r w:rsidR="00347DB5">
        <w:rPr>
          <w:sz w:val="22"/>
          <w:szCs w:val="22"/>
        </w:rPr>
        <w:tab/>
      </w:r>
      <w:r w:rsidR="00347DB5">
        <w:rPr>
          <w:sz w:val="22"/>
          <w:szCs w:val="22"/>
        </w:rPr>
        <w:tab/>
      </w:r>
      <w:r w:rsidRPr="00476E6A" w:rsidR="00347DB5">
        <w:rPr>
          <w:sz w:val="22"/>
          <w:szCs w:val="22"/>
        </w:rPr>
        <w:t>Illinois State Toll Highway Authority</w:t>
      </w:r>
      <w:r w:rsidRPr="00A34277">
        <w:rPr>
          <w:sz w:val="22"/>
          <w:szCs w:val="22"/>
        </w:rPr>
        <w:t xml:space="preserve"> </w:t>
      </w:r>
    </w:p>
    <w:p w:rsidR="00347DB5" w:rsidP="00347DB5" w14:paraId="7E679DEE" w14:textId="77777777">
      <w:pPr>
        <w:rPr>
          <w:sz w:val="22"/>
          <w:szCs w:val="22"/>
        </w:rPr>
      </w:pPr>
      <w:r w:rsidRPr="00A34277">
        <w:rPr>
          <w:sz w:val="22"/>
          <w:szCs w:val="22"/>
        </w:rPr>
        <w:t xml:space="preserve">Battelle Memorial Institute </w:t>
      </w:r>
      <w:r>
        <w:rPr>
          <w:sz w:val="22"/>
          <w:szCs w:val="22"/>
        </w:rPr>
        <w:tab/>
      </w:r>
      <w:r>
        <w:rPr>
          <w:sz w:val="22"/>
          <w:szCs w:val="22"/>
        </w:rPr>
        <w:tab/>
      </w:r>
      <w:r>
        <w:rPr>
          <w:sz w:val="22"/>
          <w:szCs w:val="22"/>
        </w:rPr>
        <w:tab/>
      </w:r>
      <w:r>
        <w:rPr>
          <w:sz w:val="22"/>
          <w:szCs w:val="22"/>
        </w:rPr>
        <w:tab/>
        <w:t>Illinois Tollway</w:t>
      </w:r>
    </w:p>
    <w:p w:rsidR="00A34277" w:rsidP="002A2E9D" w14:paraId="4B3ACF89" w14:textId="4E43D3E3">
      <w:pPr>
        <w:rPr>
          <w:sz w:val="22"/>
          <w:szCs w:val="22"/>
        </w:rPr>
      </w:pPr>
      <w:r w:rsidRPr="00A34277">
        <w:rPr>
          <w:sz w:val="22"/>
          <w:szCs w:val="22"/>
        </w:rPr>
        <w:t xml:space="preserve">505 King Avenue </w:t>
      </w:r>
      <w:r w:rsidR="00347DB5">
        <w:rPr>
          <w:sz w:val="22"/>
          <w:szCs w:val="22"/>
        </w:rPr>
        <w:tab/>
      </w:r>
      <w:r w:rsidR="00347DB5">
        <w:rPr>
          <w:sz w:val="22"/>
          <w:szCs w:val="22"/>
        </w:rPr>
        <w:tab/>
      </w:r>
      <w:r w:rsidR="00347DB5">
        <w:rPr>
          <w:sz w:val="22"/>
          <w:szCs w:val="22"/>
        </w:rPr>
        <w:tab/>
      </w:r>
      <w:r w:rsidR="00347DB5">
        <w:rPr>
          <w:sz w:val="22"/>
          <w:szCs w:val="22"/>
        </w:rPr>
        <w:tab/>
      </w:r>
      <w:r w:rsidR="00347DB5">
        <w:rPr>
          <w:sz w:val="22"/>
          <w:szCs w:val="22"/>
        </w:rPr>
        <w:tab/>
        <w:t>2700 Ogden Avenue</w:t>
      </w:r>
    </w:p>
    <w:p w:rsidR="006112F7" w:rsidP="002A2E9D" w14:paraId="4FF8508B" w14:textId="697F78A3">
      <w:pPr>
        <w:rPr>
          <w:sz w:val="22"/>
          <w:szCs w:val="22"/>
        </w:rPr>
      </w:pPr>
      <w:r w:rsidRPr="00A34277">
        <w:rPr>
          <w:sz w:val="22"/>
          <w:szCs w:val="22"/>
        </w:rPr>
        <w:t>Columbus, O</w:t>
      </w:r>
      <w:r w:rsidR="00A72505">
        <w:rPr>
          <w:sz w:val="22"/>
          <w:szCs w:val="22"/>
        </w:rPr>
        <w:t>H</w:t>
      </w:r>
      <w:r w:rsidRPr="00A34277">
        <w:rPr>
          <w:sz w:val="22"/>
          <w:szCs w:val="22"/>
        </w:rPr>
        <w:t xml:space="preserve"> 43201</w:t>
      </w:r>
      <w:r w:rsidR="00347DB5">
        <w:rPr>
          <w:sz w:val="22"/>
          <w:szCs w:val="22"/>
        </w:rPr>
        <w:tab/>
      </w:r>
      <w:r w:rsidR="00347DB5">
        <w:rPr>
          <w:sz w:val="22"/>
          <w:szCs w:val="22"/>
        </w:rPr>
        <w:tab/>
      </w:r>
      <w:r w:rsidR="00347DB5">
        <w:rPr>
          <w:sz w:val="22"/>
          <w:szCs w:val="22"/>
        </w:rPr>
        <w:tab/>
      </w:r>
      <w:r w:rsidR="00347DB5">
        <w:rPr>
          <w:sz w:val="22"/>
          <w:szCs w:val="22"/>
        </w:rPr>
        <w:tab/>
      </w:r>
      <w:r w:rsidR="00347DB5">
        <w:rPr>
          <w:sz w:val="22"/>
          <w:szCs w:val="22"/>
        </w:rPr>
        <w:tab/>
        <w:t>Downers Grove, IL 60515</w:t>
      </w:r>
    </w:p>
    <w:p w:rsidR="00347DB5" w:rsidP="002A2E9D" w14:paraId="7A469CF1" w14:textId="77777777">
      <w:pPr>
        <w:rPr>
          <w:sz w:val="22"/>
          <w:szCs w:val="22"/>
        </w:rPr>
      </w:pPr>
    </w:p>
    <w:p w:rsidR="00347DB5" w:rsidP="002A2E9D" w14:paraId="4D0E414F" w14:textId="1471751E">
      <w:pPr>
        <w:rPr>
          <w:sz w:val="22"/>
          <w:szCs w:val="22"/>
        </w:rPr>
      </w:pPr>
      <w:r>
        <w:rPr>
          <w:sz w:val="22"/>
          <w:szCs w:val="22"/>
        </w:rPr>
        <w:t>Kirby Howard</w:t>
      </w:r>
      <w:r w:rsidR="00405136">
        <w:rPr>
          <w:sz w:val="22"/>
          <w:szCs w:val="22"/>
        </w:rPr>
        <w:tab/>
      </w:r>
      <w:r w:rsidR="00405136">
        <w:rPr>
          <w:sz w:val="22"/>
          <w:szCs w:val="22"/>
        </w:rPr>
        <w:tab/>
      </w:r>
      <w:r w:rsidR="00405136">
        <w:rPr>
          <w:sz w:val="22"/>
          <w:szCs w:val="22"/>
        </w:rPr>
        <w:tab/>
      </w:r>
      <w:r w:rsidR="00405136">
        <w:rPr>
          <w:sz w:val="22"/>
          <w:szCs w:val="22"/>
        </w:rPr>
        <w:tab/>
      </w:r>
      <w:r w:rsidR="00405136">
        <w:rPr>
          <w:sz w:val="22"/>
          <w:szCs w:val="22"/>
        </w:rPr>
        <w:tab/>
      </w:r>
      <w:r w:rsidR="00405136">
        <w:rPr>
          <w:sz w:val="22"/>
          <w:szCs w:val="22"/>
        </w:rPr>
        <w:tab/>
        <w:t xml:space="preserve">Craig </w:t>
      </w:r>
      <w:r w:rsidR="00342DE1">
        <w:rPr>
          <w:sz w:val="22"/>
          <w:szCs w:val="22"/>
        </w:rPr>
        <w:t>Gilley</w:t>
      </w:r>
    </w:p>
    <w:p w:rsidR="003867E5" w:rsidP="002A2E9D" w14:paraId="20323ED9" w14:textId="65ADB47C">
      <w:pPr>
        <w:rPr>
          <w:sz w:val="22"/>
          <w:szCs w:val="22"/>
        </w:rPr>
      </w:pPr>
      <w:r>
        <w:rPr>
          <w:sz w:val="22"/>
          <w:szCs w:val="22"/>
        </w:rPr>
        <w:t>Continental AG, Government Affairs</w:t>
      </w:r>
      <w:r w:rsidR="00342DE1">
        <w:rPr>
          <w:sz w:val="22"/>
          <w:szCs w:val="22"/>
        </w:rPr>
        <w:tab/>
      </w:r>
      <w:r w:rsidR="00342DE1">
        <w:rPr>
          <w:sz w:val="22"/>
          <w:szCs w:val="22"/>
        </w:rPr>
        <w:tab/>
      </w:r>
      <w:r w:rsidR="00342DE1">
        <w:rPr>
          <w:sz w:val="22"/>
          <w:szCs w:val="22"/>
        </w:rPr>
        <w:tab/>
        <w:t>Venable LLP</w:t>
      </w:r>
    </w:p>
    <w:p w:rsidR="003867E5" w:rsidP="002A2E9D" w14:paraId="55C26E5A" w14:textId="05120359">
      <w:pPr>
        <w:rPr>
          <w:sz w:val="22"/>
          <w:szCs w:val="22"/>
        </w:rPr>
      </w:pPr>
      <w:r>
        <w:rPr>
          <w:sz w:val="22"/>
          <w:szCs w:val="22"/>
        </w:rPr>
        <w:t>1101 K Street, NW, Suite 1000</w:t>
      </w:r>
      <w:r w:rsidR="00342DE1">
        <w:rPr>
          <w:sz w:val="22"/>
          <w:szCs w:val="22"/>
        </w:rPr>
        <w:tab/>
      </w:r>
      <w:r w:rsidR="00342DE1">
        <w:rPr>
          <w:sz w:val="22"/>
          <w:szCs w:val="22"/>
        </w:rPr>
        <w:tab/>
      </w:r>
      <w:r w:rsidR="00342DE1">
        <w:rPr>
          <w:sz w:val="22"/>
          <w:szCs w:val="22"/>
        </w:rPr>
        <w:tab/>
      </w:r>
      <w:r w:rsidR="00342DE1">
        <w:rPr>
          <w:sz w:val="22"/>
          <w:szCs w:val="22"/>
        </w:rPr>
        <w:tab/>
      </w:r>
      <w:r w:rsidR="00F04747">
        <w:rPr>
          <w:sz w:val="22"/>
          <w:szCs w:val="22"/>
        </w:rPr>
        <w:t>600 Massachusetts Ave</w:t>
      </w:r>
      <w:r w:rsidR="00667EB9">
        <w:rPr>
          <w:sz w:val="22"/>
          <w:szCs w:val="22"/>
        </w:rPr>
        <w:t>.</w:t>
      </w:r>
      <w:r w:rsidR="008E41F3">
        <w:rPr>
          <w:sz w:val="22"/>
          <w:szCs w:val="22"/>
        </w:rPr>
        <w:t xml:space="preserve"> NW</w:t>
      </w:r>
    </w:p>
    <w:p w:rsidR="003867E5" w:rsidP="002A2E9D" w14:paraId="0C02F91F" w14:textId="7927BE8D">
      <w:pPr>
        <w:rPr>
          <w:sz w:val="22"/>
          <w:szCs w:val="22"/>
        </w:rPr>
      </w:pPr>
      <w:r>
        <w:rPr>
          <w:sz w:val="22"/>
          <w:szCs w:val="22"/>
        </w:rPr>
        <w:t>Washington, DC 20005</w:t>
      </w:r>
      <w:r w:rsidR="008E41F3">
        <w:rPr>
          <w:sz w:val="22"/>
          <w:szCs w:val="22"/>
        </w:rPr>
        <w:tab/>
      </w:r>
      <w:r w:rsidR="008E41F3">
        <w:rPr>
          <w:sz w:val="22"/>
          <w:szCs w:val="22"/>
        </w:rPr>
        <w:tab/>
      </w:r>
      <w:r w:rsidR="008E41F3">
        <w:rPr>
          <w:sz w:val="22"/>
          <w:szCs w:val="22"/>
        </w:rPr>
        <w:tab/>
      </w:r>
      <w:r w:rsidR="008E41F3">
        <w:rPr>
          <w:sz w:val="22"/>
          <w:szCs w:val="22"/>
        </w:rPr>
        <w:tab/>
      </w:r>
      <w:r w:rsidR="008E41F3">
        <w:rPr>
          <w:sz w:val="22"/>
          <w:szCs w:val="22"/>
        </w:rPr>
        <w:tab/>
        <w:t>Washington, DC 20001</w:t>
      </w:r>
    </w:p>
    <w:p w:rsidR="002A2E9D" w:rsidP="001F5B9B" w14:paraId="3288E080" w14:textId="7C6CE6D7">
      <w:pPr>
        <w:rPr>
          <w:i/>
          <w:i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A2A4C">
        <w:rPr>
          <w:i/>
          <w:iCs/>
          <w:sz w:val="22"/>
          <w:szCs w:val="22"/>
        </w:rPr>
        <w:t>Attorney for Continental Automotive Systems</w:t>
      </w:r>
    </w:p>
    <w:p w:rsidR="00AC6B7B" w:rsidP="001F5B9B" w14:paraId="236A1BC1" w14:textId="77777777">
      <w:pPr>
        <w:rPr>
          <w:sz w:val="22"/>
          <w:szCs w:val="22"/>
        </w:rPr>
      </w:pPr>
    </w:p>
    <w:p w:rsidR="00DC685A" w:rsidP="001F5B9B" w14:paraId="120A0704" w14:textId="6ABEF083">
      <w:pPr>
        <w:rPr>
          <w:sz w:val="22"/>
          <w:szCs w:val="22"/>
        </w:rPr>
      </w:pPr>
      <w:r>
        <w:rPr>
          <w:sz w:val="22"/>
          <w:szCs w:val="22"/>
        </w:rPr>
        <w:t>Timothy Haile, P.E.</w:t>
      </w:r>
      <w:r w:rsidR="007415DA">
        <w:rPr>
          <w:sz w:val="22"/>
          <w:szCs w:val="22"/>
        </w:rPr>
        <w:tab/>
      </w:r>
      <w:r w:rsidR="007415DA">
        <w:rPr>
          <w:sz w:val="22"/>
          <w:szCs w:val="22"/>
        </w:rPr>
        <w:tab/>
      </w:r>
      <w:r w:rsidR="007415DA">
        <w:rPr>
          <w:sz w:val="22"/>
          <w:szCs w:val="22"/>
        </w:rPr>
        <w:tab/>
      </w:r>
      <w:r w:rsidR="007415DA">
        <w:rPr>
          <w:sz w:val="22"/>
          <w:szCs w:val="22"/>
        </w:rPr>
        <w:tab/>
      </w:r>
      <w:r w:rsidR="007415DA">
        <w:rPr>
          <w:sz w:val="22"/>
          <w:szCs w:val="22"/>
        </w:rPr>
        <w:tab/>
      </w:r>
      <w:r w:rsidR="00BC4D2B">
        <w:rPr>
          <w:sz w:val="22"/>
          <w:szCs w:val="22"/>
        </w:rPr>
        <w:t>Mark Vignes</w:t>
      </w:r>
    </w:p>
    <w:p w:rsidR="00EB15DF" w:rsidP="001F5B9B" w14:paraId="3F6B71A9" w14:textId="61E83D26">
      <w:pPr>
        <w:rPr>
          <w:sz w:val="22"/>
          <w:szCs w:val="22"/>
        </w:rPr>
      </w:pPr>
      <w:r>
        <w:rPr>
          <w:sz w:val="22"/>
          <w:szCs w:val="22"/>
        </w:rPr>
        <w:t>Executive Director</w:t>
      </w:r>
      <w:r w:rsidR="00BC4D2B">
        <w:rPr>
          <w:sz w:val="22"/>
          <w:szCs w:val="22"/>
        </w:rPr>
        <w:tab/>
      </w:r>
      <w:r w:rsidR="00BC4D2B">
        <w:rPr>
          <w:sz w:val="22"/>
          <w:szCs w:val="22"/>
        </w:rPr>
        <w:tab/>
      </w:r>
      <w:r w:rsidR="00BC4D2B">
        <w:rPr>
          <w:sz w:val="22"/>
          <w:szCs w:val="22"/>
        </w:rPr>
        <w:tab/>
      </w:r>
      <w:r w:rsidR="00BC4D2B">
        <w:rPr>
          <w:sz w:val="22"/>
          <w:szCs w:val="22"/>
        </w:rPr>
        <w:tab/>
      </w:r>
      <w:r w:rsidR="00BC4D2B">
        <w:rPr>
          <w:sz w:val="22"/>
          <w:szCs w:val="22"/>
        </w:rPr>
        <w:tab/>
      </w:r>
      <w:r w:rsidR="00BC6443">
        <w:rPr>
          <w:sz w:val="22"/>
          <w:szCs w:val="22"/>
        </w:rPr>
        <w:t xml:space="preserve">State of Louisiana </w:t>
      </w:r>
      <w:r w:rsidR="00FB7838">
        <w:rPr>
          <w:sz w:val="22"/>
          <w:szCs w:val="22"/>
        </w:rPr>
        <w:t>Department of</w:t>
      </w:r>
    </w:p>
    <w:p w:rsidR="00AC6B7B" w:rsidP="001F5B9B" w14:paraId="17736BFB" w14:textId="394BE074">
      <w:pPr>
        <w:rPr>
          <w:sz w:val="22"/>
          <w:szCs w:val="22"/>
        </w:rPr>
      </w:pPr>
      <w:r>
        <w:rPr>
          <w:sz w:val="22"/>
          <w:szCs w:val="22"/>
        </w:rPr>
        <w:t xml:space="preserve">The Contra Costa </w:t>
      </w:r>
      <w:r w:rsidR="004F0AAE">
        <w:rPr>
          <w:sz w:val="22"/>
          <w:szCs w:val="22"/>
        </w:rPr>
        <w:t>Transportation Authority</w:t>
      </w:r>
      <w:r w:rsidR="00FB7838">
        <w:rPr>
          <w:sz w:val="22"/>
          <w:szCs w:val="22"/>
        </w:rPr>
        <w:tab/>
      </w:r>
      <w:r w:rsidR="00FB7838">
        <w:rPr>
          <w:sz w:val="22"/>
          <w:szCs w:val="22"/>
        </w:rPr>
        <w:tab/>
        <w:t>Transportation and Development</w:t>
      </w:r>
    </w:p>
    <w:p w:rsidR="0007070D" w:rsidP="001F5B9B" w14:paraId="39FF9A3E" w14:textId="4667546D">
      <w:pPr>
        <w:rPr>
          <w:sz w:val="22"/>
          <w:szCs w:val="22"/>
        </w:rPr>
      </w:pPr>
      <w:r>
        <w:rPr>
          <w:sz w:val="22"/>
          <w:szCs w:val="22"/>
        </w:rPr>
        <w:t>2999 Oak Rd, Suite 100</w:t>
      </w:r>
      <w:r w:rsidR="00FB7838">
        <w:rPr>
          <w:sz w:val="22"/>
          <w:szCs w:val="22"/>
        </w:rPr>
        <w:tab/>
      </w:r>
      <w:r w:rsidR="00FB7838">
        <w:rPr>
          <w:sz w:val="22"/>
          <w:szCs w:val="22"/>
        </w:rPr>
        <w:tab/>
      </w:r>
      <w:r w:rsidR="00FB7838">
        <w:rPr>
          <w:sz w:val="22"/>
          <w:szCs w:val="22"/>
        </w:rPr>
        <w:tab/>
      </w:r>
      <w:r w:rsidR="00FB7838">
        <w:rPr>
          <w:sz w:val="22"/>
          <w:szCs w:val="22"/>
        </w:rPr>
        <w:tab/>
      </w:r>
      <w:r w:rsidR="00FB7838">
        <w:rPr>
          <w:sz w:val="22"/>
          <w:szCs w:val="22"/>
        </w:rPr>
        <w:tab/>
        <w:t>7686 Tom Drive</w:t>
      </w:r>
    </w:p>
    <w:p w:rsidR="008E7A8A" w:rsidP="001F5B9B" w14:paraId="68114B51" w14:textId="16D6809E">
      <w:pPr>
        <w:rPr>
          <w:sz w:val="22"/>
          <w:szCs w:val="22"/>
        </w:rPr>
      </w:pPr>
      <w:r>
        <w:rPr>
          <w:sz w:val="22"/>
          <w:szCs w:val="22"/>
        </w:rPr>
        <w:t>Walnut Creek, CA 94597</w:t>
      </w:r>
      <w:r w:rsidR="00FB7838">
        <w:rPr>
          <w:sz w:val="22"/>
          <w:szCs w:val="22"/>
        </w:rPr>
        <w:tab/>
      </w:r>
      <w:r w:rsidR="00FB7838">
        <w:rPr>
          <w:sz w:val="22"/>
          <w:szCs w:val="22"/>
        </w:rPr>
        <w:tab/>
      </w:r>
      <w:r w:rsidR="00FB7838">
        <w:rPr>
          <w:sz w:val="22"/>
          <w:szCs w:val="22"/>
        </w:rPr>
        <w:tab/>
      </w:r>
      <w:r w:rsidR="00FB7838">
        <w:rPr>
          <w:sz w:val="22"/>
          <w:szCs w:val="22"/>
        </w:rPr>
        <w:tab/>
        <w:t>Baton Rouge, LA 70806</w:t>
      </w:r>
    </w:p>
    <w:p w:rsidR="00FB7838" w:rsidP="001F5B9B" w14:paraId="131C34E4" w14:textId="77777777">
      <w:pPr>
        <w:rPr>
          <w:sz w:val="22"/>
          <w:szCs w:val="22"/>
        </w:rPr>
      </w:pPr>
    </w:p>
    <w:p w:rsidR="00FB7838" w:rsidP="001F5B9B" w14:paraId="498FD422" w14:textId="6DA0543E">
      <w:pPr>
        <w:rPr>
          <w:sz w:val="22"/>
          <w:szCs w:val="22"/>
        </w:rPr>
      </w:pPr>
      <w:r>
        <w:rPr>
          <w:sz w:val="22"/>
          <w:szCs w:val="22"/>
        </w:rPr>
        <w:t>Edward Jones</w:t>
      </w:r>
      <w:r w:rsidR="00397461">
        <w:rPr>
          <w:sz w:val="22"/>
          <w:szCs w:val="22"/>
        </w:rPr>
        <w:tab/>
      </w:r>
      <w:r w:rsidR="00397461">
        <w:rPr>
          <w:sz w:val="22"/>
          <w:szCs w:val="22"/>
        </w:rPr>
        <w:tab/>
      </w:r>
      <w:r w:rsidR="00397461">
        <w:rPr>
          <w:sz w:val="22"/>
          <w:szCs w:val="22"/>
        </w:rPr>
        <w:tab/>
      </w:r>
      <w:r w:rsidR="00397461">
        <w:rPr>
          <w:sz w:val="22"/>
          <w:szCs w:val="22"/>
        </w:rPr>
        <w:tab/>
      </w:r>
      <w:r w:rsidR="00397461">
        <w:rPr>
          <w:sz w:val="22"/>
          <w:szCs w:val="22"/>
        </w:rPr>
        <w:tab/>
      </w:r>
      <w:r w:rsidR="00397461">
        <w:rPr>
          <w:sz w:val="22"/>
          <w:szCs w:val="22"/>
        </w:rPr>
        <w:tab/>
        <w:t>Shel L</w:t>
      </w:r>
      <w:r w:rsidR="00637F4D">
        <w:rPr>
          <w:sz w:val="22"/>
          <w:szCs w:val="22"/>
        </w:rPr>
        <w:t>e</w:t>
      </w:r>
      <w:r w:rsidR="00397461">
        <w:rPr>
          <w:sz w:val="22"/>
          <w:szCs w:val="22"/>
        </w:rPr>
        <w:t>ader</w:t>
      </w:r>
      <w:r w:rsidR="00637F4D">
        <w:rPr>
          <w:sz w:val="22"/>
          <w:szCs w:val="22"/>
        </w:rPr>
        <w:t>, LLC</w:t>
      </w:r>
    </w:p>
    <w:p w:rsidR="006811F7" w:rsidP="001F5B9B" w14:paraId="1B94F89D" w14:textId="66F8DE3F">
      <w:pPr>
        <w:rPr>
          <w:sz w:val="22"/>
          <w:szCs w:val="22"/>
        </w:rPr>
      </w:pPr>
      <w:r>
        <w:rPr>
          <w:sz w:val="22"/>
          <w:szCs w:val="22"/>
        </w:rPr>
        <w:t>Prince George’s County</w:t>
      </w:r>
      <w:r w:rsidR="00637F4D">
        <w:rPr>
          <w:sz w:val="22"/>
          <w:szCs w:val="22"/>
        </w:rPr>
        <w:tab/>
      </w:r>
      <w:r w:rsidR="00637F4D">
        <w:rPr>
          <w:sz w:val="22"/>
          <w:szCs w:val="22"/>
        </w:rPr>
        <w:tab/>
      </w:r>
      <w:r w:rsidR="00637F4D">
        <w:rPr>
          <w:sz w:val="22"/>
          <w:szCs w:val="22"/>
        </w:rPr>
        <w:tab/>
      </w:r>
      <w:r w:rsidR="00637F4D">
        <w:rPr>
          <w:sz w:val="22"/>
          <w:szCs w:val="22"/>
        </w:rPr>
        <w:tab/>
      </w:r>
      <w:r w:rsidR="00637F4D">
        <w:rPr>
          <w:sz w:val="22"/>
          <w:szCs w:val="22"/>
        </w:rPr>
        <w:tab/>
        <w:t xml:space="preserve">Shel Leader </w:t>
      </w:r>
    </w:p>
    <w:p w:rsidR="006811F7" w:rsidP="001F5B9B" w14:paraId="1D5B09B8" w14:textId="5D6C8EBD">
      <w:pPr>
        <w:rPr>
          <w:sz w:val="22"/>
          <w:szCs w:val="22"/>
        </w:rPr>
      </w:pPr>
      <w:r>
        <w:rPr>
          <w:sz w:val="22"/>
          <w:szCs w:val="22"/>
        </w:rPr>
        <w:t>8414 Darcy Road</w:t>
      </w:r>
      <w:r w:rsidR="00637F4D">
        <w:rPr>
          <w:sz w:val="22"/>
          <w:szCs w:val="22"/>
        </w:rPr>
        <w:tab/>
      </w:r>
      <w:r w:rsidR="00637F4D">
        <w:rPr>
          <w:sz w:val="22"/>
          <w:szCs w:val="22"/>
        </w:rPr>
        <w:tab/>
      </w:r>
      <w:r w:rsidR="00637F4D">
        <w:rPr>
          <w:sz w:val="22"/>
          <w:szCs w:val="22"/>
        </w:rPr>
        <w:tab/>
      </w:r>
      <w:r w:rsidR="00637F4D">
        <w:rPr>
          <w:sz w:val="22"/>
          <w:szCs w:val="22"/>
        </w:rPr>
        <w:tab/>
      </w:r>
      <w:r w:rsidR="00637F4D">
        <w:rPr>
          <w:sz w:val="22"/>
          <w:szCs w:val="22"/>
        </w:rPr>
        <w:tab/>
        <w:t>261</w:t>
      </w:r>
      <w:r w:rsidR="003F4616">
        <w:rPr>
          <w:sz w:val="22"/>
          <w:szCs w:val="22"/>
        </w:rPr>
        <w:t xml:space="preserve"> E. Agua Caliente Road</w:t>
      </w:r>
    </w:p>
    <w:p w:rsidR="006811F7" w:rsidP="001F5B9B" w14:paraId="06685139" w14:textId="526B62E6">
      <w:pPr>
        <w:rPr>
          <w:sz w:val="22"/>
          <w:szCs w:val="22"/>
        </w:rPr>
      </w:pPr>
      <w:r>
        <w:rPr>
          <w:sz w:val="22"/>
          <w:szCs w:val="22"/>
        </w:rPr>
        <w:t xml:space="preserve">Forestville, MD </w:t>
      </w:r>
      <w:r w:rsidR="00030380">
        <w:rPr>
          <w:sz w:val="22"/>
          <w:szCs w:val="22"/>
        </w:rPr>
        <w:t>20747</w:t>
      </w:r>
      <w:r w:rsidR="003F4616">
        <w:rPr>
          <w:sz w:val="22"/>
          <w:szCs w:val="22"/>
        </w:rPr>
        <w:tab/>
      </w:r>
      <w:r w:rsidR="003F4616">
        <w:rPr>
          <w:sz w:val="22"/>
          <w:szCs w:val="22"/>
        </w:rPr>
        <w:tab/>
      </w:r>
      <w:r w:rsidR="003F4616">
        <w:rPr>
          <w:sz w:val="22"/>
          <w:szCs w:val="22"/>
        </w:rPr>
        <w:tab/>
      </w:r>
      <w:r w:rsidR="003F4616">
        <w:rPr>
          <w:sz w:val="22"/>
          <w:szCs w:val="22"/>
        </w:rPr>
        <w:tab/>
      </w:r>
      <w:r w:rsidR="003F4616">
        <w:rPr>
          <w:sz w:val="22"/>
          <w:szCs w:val="22"/>
        </w:rPr>
        <w:tab/>
        <w:t xml:space="preserve">Sonoma, CA </w:t>
      </w:r>
      <w:r w:rsidR="00940389">
        <w:rPr>
          <w:sz w:val="22"/>
          <w:szCs w:val="22"/>
        </w:rPr>
        <w:t>95476</w:t>
      </w:r>
    </w:p>
    <w:p w:rsidR="00940389" w:rsidP="001F5B9B" w14:paraId="69CD92CA" w14:textId="77777777">
      <w:pPr>
        <w:rPr>
          <w:sz w:val="22"/>
          <w:szCs w:val="22"/>
        </w:rPr>
      </w:pPr>
    </w:p>
    <w:p w:rsidR="00940389" w:rsidP="001F5B9B" w14:paraId="384DB9C4" w14:textId="37D379FE">
      <w:pPr>
        <w:rPr>
          <w:sz w:val="22"/>
          <w:szCs w:val="22"/>
        </w:rPr>
      </w:pPr>
      <w:r>
        <w:rPr>
          <w:sz w:val="22"/>
          <w:szCs w:val="22"/>
        </w:rPr>
        <w:t>Kang Joo Choi</w:t>
      </w:r>
      <w:r w:rsidR="007C1611">
        <w:rPr>
          <w:sz w:val="22"/>
          <w:szCs w:val="22"/>
        </w:rPr>
        <w:tab/>
      </w:r>
      <w:r w:rsidR="007C1611">
        <w:rPr>
          <w:sz w:val="22"/>
          <w:szCs w:val="22"/>
        </w:rPr>
        <w:tab/>
      </w:r>
      <w:r w:rsidR="007C1611">
        <w:rPr>
          <w:sz w:val="22"/>
          <w:szCs w:val="22"/>
        </w:rPr>
        <w:tab/>
      </w:r>
      <w:r w:rsidR="007C1611">
        <w:rPr>
          <w:sz w:val="22"/>
          <w:szCs w:val="22"/>
        </w:rPr>
        <w:tab/>
      </w:r>
      <w:r w:rsidR="007C1611">
        <w:rPr>
          <w:sz w:val="22"/>
          <w:szCs w:val="22"/>
        </w:rPr>
        <w:tab/>
      </w:r>
      <w:r w:rsidR="007C1611">
        <w:rPr>
          <w:sz w:val="22"/>
          <w:szCs w:val="22"/>
        </w:rPr>
        <w:tab/>
      </w:r>
      <w:r w:rsidR="002F3A9B">
        <w:rPr>
          <w:sz w:val="22"/>
          <w:szCs w:val="22"/>
        </w:rPr>
        <w:t>Neal Walter Probert</w:t>
      </w:r>
    </w:p>
    <w:p w:rsidR="00940389" w:rsidP="001F5B9B" w14:paraId="4719AF37" w14:textId="45B99EDB">
      <w:pPr>
        <w:rPr>
          <w:sz w:val="22"/>
          <w:szCs w:val="22"/>
        </w:rPr>
      </w:pPr>
      <w:r>
        <w:rPr>
          <w:sz w:val="22"/>
          <w:szCs w:val="22"/>
        </w:rPr>
        <w:t>CEO, IT-Telecom Co., Ltd.</w:t>
      </w:r>
      <w:r w:rsidR="002F3A9B">
        <w:rPr>
          <w:sz w:val="22"/>
          <w:szCs w:val="22"/>
        </w:rPr>
        <w:tab/>
      </w:r>
      <w:r w:rsidR="002F3A9B">
        <w:rPr>
          <w:sz w:val="22"/>
          <w:szCs w:val="22"/>
        </w:rPr>
        <w:tab/>
      </w:r>
      <w:r w:rsidR="002F3A9B">
        <w:rPr>
          <w:sz w:val="22"/>
          <w:szCs w:val="22"/>
        </w:rPr>
        <w:tab/>
      </w:r>
      <w:r w:rsidR="002F3A9B">
        <w:rPr>
          <w:sz w:val="22"/>
          <w:szCs w:val="22"/>
        </w:rPr>
        <w:tab/>
        <w:t>Senior Engineer</w:t>
      </w:r>
    </w:p>
    <w:p w:rsidR="00E632BB" w:rsidP="001F5B9B" w14:paraId="12A69ECA" w14:textId="7D69B231">
      <w:pPr>
        <w:rPr>
          <w:sz w:val="22"/>
          <w:szCs w:val="22"/>
        </w:rPr>
      </w:pPr>
      <w:r>
        <w:rPr>
          <w:sz w:val="22"/>
          <w:szCs w:val="22"/>
        </w:rPr>
        <w:t>#517TheOValley Bldg</w:t>
      </w:r>
      <w:r w:rsidR="00FA1451">
        <w:rPr>
          <w:sz w:val="22"/>
          <w:szCs w:val="22"/>
        </w:rPr>
        <w:t>., 76 LS-ro</w:t>
      </w:r>
      <w:r w:rsidR="002F3A9B">
        <w:rPr>
          <w:sz w:val="22"/>
          <w:szCs w:val="22"/>
        </w:rPr>
        <w:tab/>
      </w:r>
      <w:r w:rsidR="002F3A9B">
        <w:rPr>
          <w:sz w:val="22"/>
          <w:szCs w:val="22"/>
        </w:rPr>
        <w:tab/>
      </w:r>
      <w:r w:rsidR="002F3A9B">
        <w:rPr>
          <w:sz w:val="22"/>
          <w:szCs w:val="22"/>
        </w:rPr>
        <w:tab/>
        <w:t>Nissan Technical Center North America</w:t>
      </w:r>
    </w:p>
    <w:p w:rsidR="00FA1451" w:rsidP="001F5B9B" w14:paraId="110513C0" w14:textId="532707E5">
      <w:pPr>
        <w:rPr>
          <w:sz w:val="22"/>
          <w:szCs w:val="22"/>
        </w:rPr>
      </w:pPr>
      <w:r>
        <w:rPr>
          <w:sz w:val="22"/>
          <w:szCs w:val="22"/>
        </w:rPr>
        <w:t>Dongan-gu</w:t>
      </w:r>
      <w:r w:rsidR="005E03F3">
        <w:rPr>
          <w:sz w:val="22"/>
          <w:szCs w:val="22"/>
        </w:rPr>
        <w:t>, Anyang-si, Gyunnggi-do</w:t>
      </w:r>
      <w:r w:rsidR="002F3A9B">
        <w:rPr>
          <w:sz w:val="22"/>
          <w:szCs w:val="22"/>
        </w:rPr>
        <w:tab/>
      </w:r>
      <w:r w:rsidR="002F3A9B">
        <w:rPr>
          <w:sz w:val="22"/>
          <w:szCs w:val="22"/>
        </w:rPr>
        <w:tab/>
      </w:r>
      <w:r w:rsidR="002F3A9B">
        <w:rPr>
          <w:sz w:val="22"/>
          <w:szCs w:val="22"/>
        </w:rPr>
        <w:tab/>
      </w:r>
      <w:r w:rsidR="0069605C">
        <w:rPr>
          <w:sz w:val="22"/>
          <w:szCs w:val="22"/>
        </w:rPr>
        <w:t>39001 Sunrise Drive</w:t>
      </w:r>
    </w:p>
    <w:p w:rsidR="005E03F3" w:rsidP="001F5B9B" w14:paraId="1931E7BE" w14:textId="4C78B97B">
      <w:pPr>
        <w:rPr>
          <w:sz w:val="22"/>
          <w:szCs w:val="22"/>
        </w:rPr>
      </w:pPr>
      <w:r>
        <w:rPr>
          <w:sz w:val="22"/>
          <w:szCs w:val="22"/>
        </w:rPr>
        <w:t>South Korea 14117</w:t>
      </w:r>
      <w:r w:rsidR="0069605C">
        <w:rPr>
          <w:sz w:val="22"/>
          <w:szCs w:val="22"/>
        </w:rPr>
        <w:tab/>
      </w:r>
      <w:r w:rsidR="0069605C">
        <w:rPr>
          <w:sz w:val="22"/>
          <w:szCs w:val="22"/>
        </w:rPr>
        <w:tab/>
      </w:r>
      <w:r w:rsidR="0069605C">
        <w:rPr>
          <w:sz w:val="22"/>
          <w:szCs w:val="22"/>
        </w:rPr>
        <w:tab/>
      </w:r>
      <w:r w:rsidR="0069605C">
        <w:rPr>
          <w:sz w:val="22"/>
          <w:szCs w:val="22"/>
        </w:rPr>
        <w:tab/>
      </w:r>
      <w:r w:rsidR="0069605C">
        <w:rPr>
          <w:sz w:val="22"/>
          <w:szCs w:val="22"/>
        </w:rPr>
        <w:tab/>
        <w:t>Farmington Hills, MI 48331-3487</w:t>
      </w:r>
    </w:p>
    <w:p w:rsidR="00E42CCA" w:rsidP="001F5B9B" w14:paraId="3D2BAD0E" w14:textId="77777777">
      <w:pPr>
        <w:rPr>
          <w:sz w:val="22"/>
          <w:szCs w:val="22"/>
        </w:rPr>
      </w:pPr>
    </w:p>
    <w:p w:rsidR="00E42CCA" w:rsidP="001F5B9B" w14:paraId="022C0227" w14:textId="0B0629D3">
      <w:pPr>
        <w:rPr>
          <w:sz w:val="22"/>
          <w:szCs w:val="22"/>
        </w:rPr>
      </w:pPr>
      <w:r>
        <w:rPr>
          <w:sz w:val="22"/>
          <w:szCs w:val="22"/>
        </w:rPr>
        <w:t>Stephen Landry</w:t>
      </w:r>
    </w:p>
    <w:p w:rsidR="006719EC" w:rsidP="001F5B9B" w14:paraId="3252E1FB" w14:textId="6AEB3A6C">
      <w:pPr>
        <w:rPr>
          <w:sz w:val="22"/>
          <w:szCs w:val="22"/>
        </w:rPr>
      </w:pPr>
      <w:r>
        <w:rPr>
          <w:sz w:val="22"/>
          <w:szCs w:val="22"/>
        </w:rPr>
        <w:t>State Traffic Engineer</w:t>
      </w:r>
    </w:p>
    <w:p w:rsidR="006719EC" w:rsidP="001F5B9B" w14:paraId="6AACA422" w14:textId="73E82A0E">
      <w:pPr>
        <w:rPr>
          <w:sz w:val="22"/>
          <w:szCs w:val="22"/>
        </w:rPr>
      </w:pPr>
      <w:r>
        <w:rPr>
          <w:sz w:val="22"/>
          <w:szCs w:val="22"/>
        </w:rPr>
        <w:t>Maine Department of Transportation</w:t>
      </w:r>
    </w:p>
    <w:p w:rsidR="006719EC" w:rsidP="001F5B9B" w14:paraId="2650A543" w14:textId="064F887D">
      <w:pPr>
        <w:rPr>
          <w:sz w:val="22"/>
          <w:szCs w:val="22"/>
        </w:rPr>
      </w:pPr>
      <w:r>
        <w:rPr>
          <w:sz w:val="22"/>
          <w:szCs w:val="22"/>
        </w:rPr>
        <w:t>Traffic Engineering</w:t>
      </w:r>
    </w:p>
    <w:p w:rsidR="00354E0E" w:rsidP="001F5B9B" w14:paraId="3254F2AD" w14:textId="2CAFC0D0">
      <w:pPr>
        <w:rPr>
          <w:sz w:val="22"/>
          <w:szCs w:val="22"/>
        </w:rPr>
      </w:pPr>
      <w:r>
        <w:rPr>
          <w:sz w:val="22"/>
          <w:szCs w:val="22"/>
        </w:rPr>
        <w:t>16 State House Station</w:t>
      </w:r>
    </w:p>
    <w:p w:rsidR="00354E0E" w:rsidRPr="008A7338" w:rsidP="001F5B9B" w14:paraId="5B297950" w14:textId="5F25AC82">
      <w:pPr>
        <w:rPr>
          <w:sz w:val="22"/>
          <w:szCs w:val="22"/>
        </w:rPr>
      </w:pPr>
      <w:r>
        <w:rPr>
          <w:sz w:val="22"/>
          <w:szCs w:val="22"/>
        </w:rPr>
        <w:t xml:space="preserve">Augusta, ME </w:t>
      </w:r>
      <w:r w:rsidR="00CF7B1F">
        <w:rPr>
          <w:sz w:val="22"/>
          <w:szCs w:val="22"/>
        </w:rPr>
        <w:t>04333</w:t>
      </w:r>
    </w:p>
    <w:p w:rsidR="007A2A4C" w:rsidRPr="00D818D4" w:rsidP="001F5B9B" w14:paraId="63E50245" w14:textId="77777777">
      <w:pPr>
        <w:rPr>
          <w:sz w:val="22"/>
          <w:szCs w:val="22"/>
        </w:rPr>
      </w:pPr>
    </w:p>
    <w:p w:rsidR="002A2E9D" w:rsidRPr="00D818D4" w:rsidP="002A2E9D" w14:paraId="12D2D720" w14:textId="77777777">
      <w:pPr>
        <w:rPr>
          <w:sz w:val="22"/>
          <w:szCs w:val="22"/>
        </w:rPr>
      </w:pPr>
    </w:p>
    <w:p w:rsidR="002A2E9D" w:rsidRPr="00D818D4" w:rsidP="002A2E9D" w14:paraId="3D9395E8" w14:textId="330544BE">
      <w:pPr>
        <w:ind w:left="1440" w:hanging="720"/>
        <w:rPr>
          <w:sz w:val="22"/>
          <w:szCs w:val="22"/>
        </w:rPr>
      </w:pPr>
      <w:r w:rsidRPr="00D818D4">
        <w:rPr>
          <w:sz w:val="22"/>
          <w:szCs w:val="22"/>
        </w:rPr>
        <w:t>Re:</w:t>
      </w:r>
      <w:r w:rsidRPr="00D818D4">
        <w:rPr>
          <w:sz w:val="22"/>
          <w:szCs w:val="22"/>
        </w:rPr>
        <w:tab/>
        <w:t>Request</w:t>
      </w:r>
      <w:r w:rsidRPr="00D818D4" w:rsidR="002D668B">
        <w:rPr>
          <w:sz w:val="22"/>
          <w:szCs w:val="22"/>
        </w:rPr>
        <w:t>s</w:t>
      </w:r>
      <w:r w:rsidRPr="00D818D4">
        <w:rPr>
          <w:sz w:val="22"/>
          <w:szCs w:val="22"/>
        </w:rPr>
        <w:t xml:space="preserve"> for Waiver of 5.9 GHz Band Rules to Permit Initial Deployment of Cellular Vehicle-to-Everything Technology, ET Docket No. 19-138</w:t>
      </w:r>
    </w:p>
    <w:p w:rsidR="002A2E9D" w:rsidP="002A2E9D" w14:paraId="61EAB05C" w14:textId="77777777">
      <w:pPr>
        <w:rPr>
          <w:sz w:val="24"/>
          <w:szCs w:val="24"/>
        </w:rPr>
      </w:pPr>
    </w:p>
    <w:p w:rsidR="002A2E9D" w:rsidRPr="008F0D96" w:rsidP="002A2E9D" w14:paraId="037C936A" w14:textId="77777777">
      <w:pPr>
        <w:rPr>
          <w:spacing w:val="-2"/>
          <w:sz w:val="22"/>
          <w:szCs w:val="22"/>
        </w:rPr>
      </w:pPr>
      <w:r>
        <w:rPr>
          <w:bCs/>
          <w:sz w:val="22"/>
          <w:szCs w:val="22"/>
        </w:rPr>
        <w:t>Dear Petitioners:</w:t>
      </w:r>
    </w:p>
    <w:p w:rsidR="002A2E9D" w:rsidP="002A2E9D" w14:paraId="5D3002C0" w14:textId="77777777">
      <w:pPr>
        <w:rPr>
          <w:spacing w:val="-2"/>
        </w:rPr>
      </w:pPr>
    </w:p>
    <w:p w:rsidR="002A2E9D" w:rsidP="008434F5" w14:paraId="15E67743" w14:textId="2C843CC1">
      <w:pPr>
        <w:pStyle w:val="ParaNum"/>
        <w:numPr>
          <w:ilvl w:val="0"/>
          <w:numId w:val="0"/>
        </w:numPr>
        <w:tabs>
          <w:tab w:val="clear" w:pos="1440"/>
        </w:tabs>
        <w:ind w:firstLine="720"/>
        <w:jc w:val="left"/>
      </w:pPr>
      <w:r>
        <w:t>We</w:t>
      </w:r>
      <w:r w:rsidRPr="00651AAF">
        <w:t>, the Public Safety and Homeland Security Bureau</w:t>
      </w:r>
      <w:r>
        <w:t xml:space="preserve">, </w:t>
      </w:r>
      <w:r w:rsidRPr="00651AAF">
        <w:t xml:space="preserve">the Office of Engineering and Technology, and the Wireless Telecommunications Bureau (collectively, the Bureaus) </w:t>
      </w:r>
      <w:r>
        <w:t xml:space="preserve">have before us </w:t>
      </w:r>
      <w:r w:rsidR="00BC3BDA">
        <w:t xml:space="preserve">eleven </w:t>
      </w:r>
      <w:r>
        <w:t>individual waiver requests s</w:t>
      </w:r>
      <w:r w:rsidR="0019402E">
        <w:t>ub</w:t>
      </w:r>
      <w:r>
        <w:t>mitted by</w:t>
      </w:r>
      <w:r w:rsidR="008C08A3">
        <w:t xml:space="preserve"> </w:t>
      </w:r>
      <w:r w:rsidR="007A6DED">
        <w:t xml:space="preserve">(1) </w:t>
      </w:r>
      <w:r w:rsidR="008C08A3">
        <w:t>certain state, local, and municipal transportation authorities</w:t>
      </w:r>
      <w:r w:rsidR="005332B3">
        <w:t>,</w:t>
      </w:r>
      <w:r w:rsidR="008C08A3">
        <w:t xml:space="preserve"> </w:t>
      </w:r>
      <w:r w:rsidR="00190884">
        <w:t xml:space="preserve">including the </w:t>
      </w:r>
      <w:r w:rsidR="008A2F97">
        <w:t>Pennsylvania</w:t>
      </w:r>
      <w:r w:rsidR="003765C5">
        <w:t xml:space="preserve"> </w:t>
      </w:r>
      <w:r w:rsidR="00B24F16">
        <w:t>Department of Transportation</w:t>
      </w:r>
      <w:r w:rsidR="00A032ED">
        <w:t xml:space="preserve"> </w:t>
      </w:r>
      <w:r w:rsidR="00810C54">
        <w:t>(PADOT)</w:t>
      </w:r>
      <w:r w:rsidR="00883EB3">
        <w:t>,</w:t>
      </w:r>
      <w:r w:rsidR="001C046B">
        <w:t>the Lou</w:t>
      </w:r>
      <w:r w:rsidR="00404A60">
        <w:t xml:space="preserve">isiana Department </w:t>
      </w:r>
      <w:r w:rsidR="00BA2AA8">
        <w:t>of Transportation</w:t>
      </w:r>
      <w:r w:rsidR="00EC3378">
        <w:t xml:space="preserve"> </w:t>
      </w:r>
      <w:r w:rsidR="00404A60">
        <w:t xml:space="preserve">and Development </w:t>
      </w:r>
      <w:r w:rsidR="00EC3378">
        <w:t>(</w:t>
      </w:r>
      <w:r w:rsidR="00404A60">
        <w:t>LADOTD</w:t>
      </w:r>
      <w:r w:rsidR="00EC3378">
        <w:t>),</w:t>
      </w:r>
      <w:r w:rsidR="00BA2AA8">
        <w:t xml:space="preserve"> </w:t>
      </w:r>
      <w:r w:rsidR="00A032ED">
        <w:t>the Illinois State Toll Highway Authority</w:t>
      </w:r>
      <w:r w:rsidR="00810C54">
        <w:t xml:space="preserve"> (ISTHA)</w:t>
      </w:r>
      <w:r w:rsidR="00392DAB">
        <w:t xml:space="preserve">, </w:t>
      </w:r>
      <w:r w:rsidR="00236C17">
        <w:t>Prince Geor</w:t>
      </w:r>
      <w:r w:rsidR="0010764C">
        <w:t xml:space="preserve">ge’s County Maryland (PG County), </w:t>
      </w:r>
      <w:r w:rsidR="00883EB3">
        <w:t xml:space="preserve">the </w:t>
      </w:r>
      <w:r w:rsidR="0086651B">
        <w:t>Contra Costa Transportation Authority</w:t>
      </w:r>
      <w:r w:rsidR="00CF7B1F">
        <w:t>, and the Maine Department of Transportation (MEDOT)</w:t>
      </w:r>
      <w:r w:rsidR="00323C92">
        <w:t>;</w:t>
      </w:r>
      <w:r w:rsidR="0086651B">
        <w:t xml:space="preserve"> </w:t>
      </w:r>
      <w:r w:rsidR="00867F7A">
        <w:t xml:space="preserve">(2) </w:t>
      </w:r>
      <w:r w:rsidR="00BF5714">
        <w:t xml:space="preserve">Battelle Memorial Institute (Battelle), </w:t>
      </w:r>
      <w:r w:rsidR="005A0AC8">
        <w:t xml:space="preserve">a </w:t>
      </w:r>
      <w:r w:rsidR="00E93B47">
        <w:t>contractor for the Federal Railroad Administration</w:t>
      </w:r>
      <w:r>
        <w:rPr>
          <w:rStyle w:val="FootnoteReference"/>
        </w:rPr>
        <w:footnoteReference w:id="3"/>
      </w:r>
      <w:r w:rsidR="006022ED">
        <w:t xml:space="preserve">; </w:t>
      </w:r>
      <w:r w:rsidR="00867F7A">
        <w:t xml:space="preserve">(3) </w:t>
      </w:r>
      <w:r>
        <w:t xml:space="preserve">equipment manufacturers </w:t>
      </w:r>
      <w:r w:rsidR="005A0AC8">
        <w:t xml:space="preserve">Ettifos Co. </w:t>
      </w:r>
      <w:r w:rsidR="00810C54">
        <w:t>(Ettifos)</w:t>
      </w:r>
      <w:r w:rsidR="00EC3378">
        <w:t>,</w:t>
      </w:r>
      <w:r w:rsidR="005A0AC8">
        <w:t xml:space="preserve"> Continental Automotive Systems, Inc.</w:t>
      </w:r>
      <w:r w:rsidR="00435687">
        <w:t xml:space="preserve"> (Continental)</w:t>
      </w:r>
      <w:r w:rsidR="00EC3378">
        <w:t>, IT</w:t>
      </w:r>
      <w:r w:rsidR="009E1DDF">
        <w:t xml:space="preserve">-Telecom Co., Ltd. </w:t>
      </w:r>
      <w:r w:rsidR="000D6388">
        <w:t>(IT-T)</w:t>
      </w:r>
      <w:r w:rsidR="000211CE">
        <w:t>,</w:t>
      </w:r>
      <w:r w:rsidR="00CC6309">
        <w:t xml:space="preserve"> and </w:t>
      </w:r>
      <w:r w:rsidR="000572BD">
        <w:t>Nissan Technical Center North America (</w:t>
      </w:r>
      <w:r w:rsidR="007C1611">
        <w:t>NTCNA</w:t>
      </w:r>
      <w:r w:rsidR="000572BD">
        <w:t>),</w:t>
      </w:r>
      <w:r w:rsidR="004A3669">
        <w:t xml:space="preserve"> </w:t>
      </w:r>
      <w:r>
        <w:t>(</w:t>
      </w:r>
      <w:r w:rsidR="00435687">
        <w:t xml:space="preserve">also </w:t>
      </w:r>
      <w:r>
        <w:t>collectively, the “Waiver Applicants” or “Applicants”).</w:t>
      </w:r>
      <w:r>
        <w:rPr>
          <w:rStyle w:val="FootnoteReference"/>
        </w:rPr>
        <w:footnoteReference w:id="4"/>
      </w:r>
      <w:r w:rsidR="008434F5">
        <w:t xml:space="preserve">  </w:t>
      </w:r>
      <w:r w:rsidR="00BC54AC">
        <w:t xml:space="preserve">For the reasons stated below, and subject to the technical parameters and conditions set forth herein, the Bureaus </w:t>
      </w:r>
      <w:r w:rsidRPr="007526CD" w:rsidR="007526CD">
        <w:t xml:space="preserve">grant each of the Applicants’ waiver requests to deploy </w:t>
      </w:r>
      <w:r w:rsidR="005E7FAB">
        <w:t xml:space="preserve">Cellular Vehicle-to-Everything (C-V2X) </w:t>
      </w:r>
      <w:r w:rsidR="005B7DA4">
        <w:t xml:space="preserve">technology within the </w:t>
      </w:r>
      <w:r w:rsidR="005E7FAB">
        <w:t>5.895</w:t>
      </w:r>
      <w:r w:rsidR="00405632">
        <w:t>–</w:t>
      </w:r>
      <w:r w:rsidR="005E7FAB">
        <w:t>5.925 GHz band.</w:t>
      </w:r>
      <w:r w:rsidR="000B20CB">
        <w:t xml:space="preserve"> </w:t>
      </w:r>
    </w:p>
    <w:p w:rsidR="002A2E9D" w:rsidRPr="00581205" w:rsidP="002A2E9D" w14:paraId="457A1450" w14:textId="33AA6698">
      <w:pPr>
        <w:pStyle w:val="ParaNum"/>
        <w:numPr>
          <w:ilvl w:val="0"/>
          <w:numId w:val="0"/>
        </w:numPr>
        <w:tabs>
          <w:tab w:val="clear" w:pos="1440"/>
        </w:tabs>
        <w:spacing w:after="120"/>
        <w:jc w:val="left"/>
        <w:rPr>
          <w:b/>
          <w:bCs/>
        </w:rPr>
      </w:pPr>
      <w:r w:rsidRPr="00581205">
        <w:rPr>
          <w:b/>
          <w:bCs/>
        </w:rPr>
        <w:t>I.</w:t>
      </w:r>
      <w:r w:rsidRPr="00581205">
        <w:rPr>
          <w:b/>
          <w:bCs/>
        </w:rPr>
        <w:tab/>
        <w:t xml:space="preserve">Background </w:t>
      </w:r>
    </w:p>
    <w:p w:rsidR="002A2E9D" w:rsidP="00E67C52" w14:paraId="776A2C22" w14:textId="422AEF50">
      <w:pPr>
        <w:pStyle w:val="ParaNum"/>
        <w:keepNext/>
        <w:widowControl/>
        <w:numPr>
          <w:ilvl w:val="0"/>
          <w:numId w:val="0"/>
        </w:numPr>
        <w:tabs>
          <w:tab w:val="clear" w:pos="1440"/>
        </w:tabs>
        <w:ind w:firstLine="720"/>
        <w:jc w:val="left"/>
      </w:pPr>
      <w:r>
        <w:t>E</w:t>
      </w:r>
      <w:r>
        <w:t>ach Waiver Applicant</w:t>
      </w:r>
      <w:r>
        <w:rPr>
          <w:rStyle w:val="FootnoteReference"/>
        </w:rPr>
        <w:footnoteReference w:id="5"/>
      </w:r>
      <w:r>
        <w:t xml:space="preserve"> seeks a waiver of certain Commission rules applicable to intelligent transportation systems (ITS) operations </w:t>
      </w:r>
      <w:r w:rsidRPr="00E07BD8" w:rsidR="00E07BD8">
        <w:t xml:space="preserve">to allow C-V2X technology to be used </w:t>
      </w:r>
      <w:r>
        <w:t>in the upper 30</w:t>
      </w:r>
      <w:r w:rsidR="008758F1">
        <w:t xml:space="preserve"> </w:t>
      </w:r>
      <w:r>
        <w:t xml:space="preserve">megahertz portion </w:t>
      </w:r>
      <w:r w:rsidR="000F6EF6">
        <w:t>(5.895</w:t>
      </w:r>
      <w:r w:rsidRPr="541CC2C5" w:rsidR="00E27D12">
        <w:rPr>
          <w:rStyle w:val="normaltextrun"/>
          <w:color w:val="000000" w:themeColor="text1"/>
        </w:rPr>
        <w:t>–</w:t>
      </w:r>
      <w:r w:rsidR="000F6EF6">
        <w:t>5.925 GHz) of the 5.9 GHz (5.850</w:t>
      </w:r>
      <w:r w:rsidRPr="541CC2C5" w:rsidR="00E27D12">
        <w:rPr>
          <w:rStyle w:val="normaltextrun"/>
          <w:color w:val="000000" w:themeColor="text1"/>
        </w:rPr>
        <w:t>–</w:t>
      </w:r>
      <w:r w:rsidR="000F6EF6">
        <w:t>5.925 GHz)</w:t>
      </w:r>
      <w:r w:rsidR="003A7EC7">
        <w:t xml:space="preserve"> </w:t>
      </w:r>
      <w:r>
        <w:t>band</w:t>
      </w:r>
      <w:r w:rsidRPr="00682E4C" w:rsidR="00682E4C">
        <w:t xml:space="preserve"> </w:t>
      </w:r>
      <w:r w:rsidR="00682E4C">
        <w:t>prior to adoption of final C-V2X-based rules</w:t>
      </w:r>
      <w:r>
        <w:t>.</w:t>
      </w:r>
      <w:r>
        <w:rPr>
          <w:rStyle w:val="FootnoteReference"/>
        </w:rPr>
        <w:footnoteReference w:id="6"/>
      </w:r>
      <w:r>
        <w:t xml:space="preserve">  </w:t>
      </w:r>
      <w:r w:rsidRPr="0031153B">
        <w:t>The C-V2X equipment subject to the Waiver Requests would operate in the 5905</w:t>
      </w:r>
      <w:r w:rsidR="00405632">
        <w:t>–</w:t>
      </w:r>
      <w:r w:rsidRPr="0031153B">
        <w:t>5925 MHz portion of the 5.9 GHz band using a 20-megahertz channel.</w:t>
      </w:r>
    </w:p>
    <w:p w:rsidR="002A2E9D" w:rsidP="541CC2C5" w14:paraId="3F2C03D8" w14:textId="5F9FF02B">
      <w:pPr>
        <w:pStyle w:val="ParaNum"/>
        <w:widowControl/>
        <w:numPr>
          <w:ilvl w:val="0"/>
          <w:numId w:val="0"/>
        </w:numPr>
        <w:tabs>
          <w:tab w:val="clear" w:pos="1440"/>
        </w:tabs>
        <w:ind w:firstLine="720"/>
        <w:jc w:val="left"/>
      </w:pPr>
      <w:r w:rsidRPr="541CC2C5">
        <w:rPr>
          <w:i/>
          <w:iCs/>
        </w:rPr>
        <w:t>Waiver Requests</w:t>
      </w:r>
      <w:r>
        <w:rPr>
          <w:iCs/>
        </w:rPr>
        <w:t xml:space="preserve">. </w:t>
      </w:r>
      <w:r w:rsidR="00411833">
        <w:rPr>
          <w:iCs/>
        </w:rPr>
        <w:t xml:space="preserve"> The Applicants </w:t>
      </w:r>
      <w:r w:rsidR="00057F66">
        <w:rPr>
          <w:iCs/>
        </w:rPr>
        <w:t xml:space="preserve">seek a waiver of the Commission’s rules to allow </w:t>
      </w:r>
      <w:r w:rsidRPr="005D246F" w:rsidR="001A1B62">
        <w:t xml:space="preserve">the 5.905–5.925 GHz band to be used for C-V2X safety systems operating in the Intelligent Transportation System </w:t>
      </w:r>
      <w:r w:rsidRPr="005D246F" w:rsidR="001A1B62">
        <w:t xml:space="preserve">radio </w:t>
      </w:r>
      <w:r w:rsidRPr="00802155" w:rsidR="001A1B62">
        <w:t>service</w:t>
      </w:r>
      <w:r w:rsidRPr="00802155" w:rsidR="005D246F">
        <w:t>.</w:t>
      </w:r>
      <w:r>
        <w:rPr>
          <w:rStyle w:val="FootnoteReference"/>
        </w:rPr>
        <w:footnoteReference w:id="7"/>
      </w:r>
      <w:r w:rsidRPr="00802155" w:rsidR="00802155">
        <w:t xml:space="preserve">  </w:t>
      </w:r>
      <w:r w:rsidR="00BB58AA">
        <w:t>Specifically, each</w:t>
      </w:r>
      <w:r w:rsidR="00374958">
        <w:t xml:space="preserve"> </w:t>
      </w:r>
      <w:r>
        <w:t>Applicant seek</w:t>
      </w:r>
      <w:r w:rsidR="00EB70A3">
        <w:t>s</w:t>
      </w:r>
      <w:r>
        <w:t xml:space="preserve"> a waiver of certain part 90 and part 95 rules</w:t>
      </w:r>
      <w:r>
        <w:rPr>
          <w:rStyle w:val="FootnoteReference"/>
        </w:rPr>
        <w:footnoteReference w:id="8"/>
      </w:r>
      <w:r>
        <w:t xml:space="preserve"> (47 CFR §§ 90.375, 90.377, 90.379, 95.3163, 95.3167, and 95.3189)</w:t>
      </w:r>
      <w:r>
        <w:rPr>
          <w:rStyle w:val="FootnoteReference"/>
        </w:rPr>
        <w:footnoteReference w:id="9"/>
      </w:r>
      <w:r>
        <w:t xml:space="preserve"> governing the operation of </w:t>
      </w:r>
      <w:r w:rsidR="008A46BA">
        <w:t>Dedicated Short</w:t>
      </w:r>
      <w:r w:rsidR="00180637">
        <w:t>-</w:t>
      </w:r>
      <w:r w:rsidR="008A46BA">
        <w:t xml:space="preserve">Range Communication </w:t>
      </w:r>
      <w:r w:rsidR="00BD097B">
        <w:t>(</w:t>
      </w:r>
      <w:r w:rsidR="00AE3E4A">
        <w:t>DSRC</w:t>
      </w:r>
      <w:r w:rsidR="00BD097B">
        <w:t>)</w:t>
      </w:r>
      <w:r w:rsidR="61BA5014">
        <w:t>-</w:t>
      </w:r>
      <w:r w:rsidR="00AE3E4A">
        <w:t xml:space="preserve">based </w:t>
      </w:r>
      <w:r>
        <w:t>roadside units (RSUs) and on-board units (OBUs</w:t>
      </w:r>
      <w:r>
        <w:t>) in the upper 30 megahertz of the 5.9 GHz band.</w:t>
      </w:r>
    </w:p>
    <w:p w:rsidR="002A2E9D" w:rsidP="00C13874" w14:paraId="169C5A1A" w14:textId="67662852">
      <w:pPr>
        <w:pStyle w:val="ParaNum"/>
        <w:numPr>
          <w:ilvl w:val="0"/>
          <w:numId w:val="0"/>
        </w:numPr>
        <w:tabs>
          <w:tab w:val="clear" w:pos="1440"/>
        </w:tabs>
        <w:ind w:firstLine="720"/>
        <w:jc w:val="left"/>
      </w:pPr>
      <w:r w:rsidRPr="541CC2C5">
        <w:t xml:space="preserve">Each Waiver </w:t>
      </w:r>
      <w:r w:rsidRPr="00C05BC9">
        <w:t>Applicant</w:t>
      </w:r>
      <w:r w:rsidRPr="541CC2C5">
        <w:t xml:space="preserve"> requests relief pursuant to section 1.925 of the Commission’s rules.</w:t>
      </w:r>
      <w:r>
        <w:rPr>
          <w:rStyle w:val="FootnoteReference"/>
        </w:rPr>
        <w:footnoteReference w:id="10"/>
      </w:r>
      <w:r w:rsidRPr="541CC2C5">
        <w:t xml:space="preserve">  Specifically, </w:t>
      </w:r>
      <w:r w:rsidR="00A53F8B">
        <w:t xml:space="preserve">PADOT, </w:t>
      </w:r>
      <w:r w:rsidR="00B74D09">
        <w:t>LADOTD, PG County</w:t>
      </w:r>
      <w:r w:rsidR="009E54A3">
        <w:t xml:space="preserve">, </w:t>
      </w:r>
      <w:r w:rsidR="00A53F8B">
        <w:t xml:space="preserve">ISTHA, </w:t>
      </w:r>
      <w:r w:rsidR="000D22F0">
        <w:t>CCTA</w:t>
      </w:r>
      <w:r w:rsidR="008F6B3C">
        <w:t>,</w:t>
      </w:r>
      <w:r>
        <w:rPr>
          <w:rStyle w:val="FootnoteReference"/>
        </w:rPr>
        <w:footnoteReference w:id="11"/>
      </w:r>
      <w:r w:rsidR="000D22F0">
        <w:t xml:space="preserve"> </w:t>
      </w:r>
      <w:r w:rsidR="00056869">
        <w:t xml:space="preserve">MEDOT, </w:t>
      </w:r>
      <w:r w:rsidR="00A53F8B">
        <w:t>and Battelle</w:t>
      </w:r>
      <w:r w:rsidRPr="541CC2C5">
        <w:t xml:space="preserve"> </w:t>
      </w:r>
      <w:r w:rsidRPr="541CC2C5" w:rsidR="00312FA4">
        <w:t>(hereafter, “</w:t>
      </w:r>
      <w:r w:rsidRPr="541CC2C5" w:rsidR="000C02C3">
        <w:t xml:space="preserve">the </w:t>
      </w:r>
      <w:r w:rsidRPr="541CC2C5" w:rsidR="00312FA4">
        <w:t>ITS licensees”)</w:t>
      </w:r>
      <w:r w:rsidR="00C234FC">
        <w:rPr>
          <w:iCs/>
        </w:rPr>
        <w:t xml:space="preserve"> </w:t>
      </w:r>
      <w:r w:rsidRPr="541CC2C5">
        <w:t xml:space="preserve">seek </w:t>
      </w:r>
      <w:r w:rsidRPr="541CC2C5" w:rsidR="007B1D2A">
        <w:t>cert</w:t>
      </w:r>
      <w:r w:rsidRPr="541CC2C5" w:rsidR="00B4365F">
        <w:t xml:space="preserve">ain rule </w:t>
      </w:r>
      <w:r w:rsidRPr="541CC2C5">
        <w:t>waiver</w:t>
      </w:r>
      <w:r w:rsidRPr="541CC2C5" w:rsidR="00B4365F">
        <w:t>s</w:t>
      </w:r>
      <w:r w:rsidRPr="541CC2C5">
        <w:t xml:space="preserve"> under section 1.925 to deploy C-V2X operations, including RSUs and OBUs, within and throughout their respective state</w:t>
      </w:r>
      <w:r w:rsidR="008F6B3C">
        <w:t>, municipal,</w:t>
      </w:r>
      <w:r w:rsidRPr="541CC2C5">
        <w:t xml:space="preserve"> and/or local borders,</w:t>
      </w:r>
      <w:r w:rsidR="0045489A">
        <w:t xml:space="preserve"> or within the geographic areas authorized by their </w:t>
      </w:r>
      <w:r w:rsidRPr="541CC2C5">
        <w:t>FCC ITS licenses each currently holds</w:t>
      </w:r>
      <w:r>
        <w:rPr>
          <w:iCs/>
        </w:rPr>
        <w:t>.</w:t>
      </w:r>
      <w:r>
        <w:rPr>
          <w:rStyle w:val="FootnoteReference"/>
        </w:rPr>
        <w:footnoteReference w:id="12"/>
      </w:r>
      <w:r w:rsidRPr="541CC2C5">
        <w:t xml:space="preserve">  </w:t>
      </w:r>
      <w:r w:rsidR="00D850B4">
        <w:t xml:space="preserve">Equipment manufacturers, </w:t>
      </w:r>
      <w:r w:rsidR="006B38C4">
        <w:t>Ettifos</w:t>
      </w:r>
      <w:r w:rsidR="00C557F4">
        <w:t>,</w:t>
      </w:r>
      <w:r w:rsidR="0046001D">
        <w:t xml:space="preserve"> </w:t>
      </w:r>
      <w:r w:rsidR="006B38C4">
        <w:t>Continental</w:t>
      </w:r>
      <w:r w:rsidR="00D850B4">
        <w:t xml:space="preserve">, </w:t>
      </w:r>
      <w:r w:rsidR="00C557F4">
        <w:t>IT-T</w:t>
      </w:r>
      <w:r w:rsidR="003A7539">
        <w:t>, and NTCNA</w:t>
      </w:r>
      <w:r w:rsidR="00F128E2">
        <w:t>,</w:t>
      </w:r>
      <w:r w:rsidR="003A7539">
        <w:t xml:space="preserve"> </w:t>
      </w:r>
      <w:r>
        <w:t xml:space="preserve">seek </w:t>
      </w:r>
      <w:r w:rsidR="00AC5213">
        <w:t xml:space="preserve">certain rule </w:t>
      </w:r>
      <w:r>
        <w:t>waiver</w:t>
      </w:r>
      <w:r w:rsidR="00AC5213">
        <w:t>s</w:t>
      </w:r>
      <w:r>
        <w:t xml:space="preserve"> under section 1.925 to allow them to obtain the necessary equipment certifications for their C-V2X equipment.</w:t>
      </w:r>
      <w:r>
        <w:rPr>
          <w:rStyle w:val="FootnoteReference"/>
        </w:rPr>
        <w:footnoteReference w:id="13"/>
      </w:r>
    </w:p>
    <w:p w:rsidR="002A2E9D" w:rsidP="003E346E" w14:paraId="3BA8B528" w14:textId="198D6EE7">
      <w:pPr>
        <w:pStyle w:val="ParaNum"/>
        <w:widowControl/>
        <w:numPr>
          <w:ilvl w:val="0"/>
          <w:numId w:val="0"/>
        </w:numPr>
        <w:tabs>
          <w:tab w:val="clear" w:pos="1440"/>
        </w:tabs>
        <w:ind w:firstLine="720"/>
        <w:jc w:val="left"/>
      </w:pPr>
      <w:r w:rsidRPr="541CC2C5">
        <w:rPr>
          <w:i/>
          <w:iCs/>
        </w:rPr>
        <w:t>Joint Waiver Order</w:t>
      </w:r>
      <w:r>
        <w:t xml:space="preserve">. </w:t>
      </w:r>
      <w:r w:rsidR="00E80CDA">
        <w:t xml:space="preserve"> </w:t>
      </w:r>
      <w:r w:rsidR="006B4F30">
        <w:t xml:space="preserve">On December 13, 2021, </w:t>
      </w:r>
      <w:r w:rsidR="005422F3">
        <w:t>a group of</w:t>
      </w:r>
      <w:r w:rsidR="007C2AAD">
        <w:t xml:space="preserve"> </w:t>
      </w:r>
      <w:r w:rsidR="006B4F30">
        <w:t>public and private transportation stakeholders</w:t>
      </w:r>
      <w:r w:rsidR="00BB6CB3">
        <w:t xml:space="preserve"> requested a waiver of the Commission’s</w:t>
      </w:r>
      <w:r w:rsidR="00D36612">
        <w:t xml:space="preserve"> DSRC-based rules to allow the</w:t>
      </w:r>
      <w:r w:rsidR="00466A9E">
        <w:t>m</w:t>
      </w:r>
      <w:r w:rsidR="00D36612">
        <w:t xml:space="preserve"> </w:t>
      </w:r>
      <w:r w:rsidR="00F11A75">
        <w:t xml:space="preserve">to </w:t>
      </w:r>
      <w:r w:rsidR="00D36612">
        <w:t xml:space="preserve">use C-V2X </w:t>
      </w:r>
      <w:r w:rsidR="00D36612">
        <w:t>technology in the upper 30 megahertz of the 5.9 GHz band prior to adoption of final C-V2X-based rules</w:t>
      </w:r>
      <w:r w:rsidR="00F11A75">
        <w:t>.</w:t>
      </w:r>
      <w:r>
        <w:rPr>
          <w:rStyle w:val="FootnoteReference"/>
        </w:rPr>
        <w:footnoteReference w:id="14"/>
      </w:r>
      <w:r w:rsidR="006B4F30">
        <w:t xml:space="preserve"> </w:t>
      </w:r>
      <w:r w:rsidR="00F11A75">
        <w:t xml:space="preserve"> </w:t>
      </w:r>
      <w:r w:rsidR="004C31F9">
        <w:t>Th</w:t>
      </w:r>
      <w:r w:rsidR="004D74A2">
        <w:t xml:space="preserve">e </w:t>
      </w:r>
      <w:r w:rsidRPr="541CC2C5" w:rsidR="004D74A2">
        <w:rPr>
          <w:i/>
          <w:iCs/>
        </w:rPr>
        <w:t>Joint Waiver Request</w:t>
      </w:r>
      <w:r w:rsidR="00817132">
        <w:t xml:space="preserve"> </w:t>
      </w:r>
      <w:r w:rsidR="009026D3">
        <w:t xml:space="preserve">stated that </w:t>
      </w:r>
      <w:r w:rsidR="00817132">
        <w:t>th</w:t>
      </w:r>
      <w:r w:rsidR="009026D3">
        <w:t>e</w:t>
      </w:r>
      <w:r w:rsidR="00817132">
        <w:t xml:space="preserve"> C-V2X equipment subject to the </w:t>
      </w:r>
      <w:r w:rsidR="009026D3">
        <w:t>request would</w:t>
      </w:r>
      <w:r w:rsidR="00817132">
        <w:t xml:space="preserve"> operate in the 5905</w:t>
      </w:r>
      <w:r w:rsidR="00405632">
        <w:t>–</w:t>
      </w:r>
      <w:r w:rsidR="00817132">
        <w:t>5925 MHz portion of the 5.9 GHz band using a 20</w:t>
      </w:r>
      <w:r w:rsidR="00335C88">
        <w:t xml:space="preserve"> </w:t>
      </w:r>
      <w:r w:rsidR="00817132">
        <w:t>megahertz channel</w:t>
      </w:r>
      <w:r w:rsidR="009026D3">
        <w:t>.</w:t>
      </w:r>
      <w:r>
        <w:rPr>
          <w:rStyle w:val="FootnoteReference"/>
        </w:rPr>
        <w:footnoteReference w:id="15"/>
      </w:r>
      <w:r w:rsidR="009026D3">
        <w:t xml:space="preserve"> </w:t>
      </w:r>
      <w:r w:rsidRPr="00817132" w:rsidR="00817132">
        <w:t xml:space="preserve"> </w:t>
      </w:r>
      <w:r w:rsidRPr="00817132">
        <w:t>On</w:t>
      </w:r>
      <w:r>
        <w:t xml:space="preserve"> April 24, 2023, the Bureaus </w:t>
      </w:r>
      <w:r w:rsidR="007B77E2">
        <w:t>gran</w:t>
      </w:r>
      <w:r w:rsidR="0050440F">
        <w:t xml:space="preserve">ted </w:t>
      </w:r>
      <w:r>
        <w:t xml:space="preserve">the </w:t>
      </w:r>
      <w:r w:rsidRPr="541CC2C5">
        <w:rPr>
          <w:i/>
          <w:iCs/>
        </w:rPr>
        <w:t>Joint Waiver Request</w:t>
      </w:r>
      <w:r>
        <w:t>.</w:t>
      </w:r>
      <w:r>
        <w:rPr>
          <w:rStyle w:val="FootnoteReference"/>
        </w:rPr>
        <w:footnoteReference w:id="16"/>
      </w:r>
      <w:r>
        <w:t xml:space="preserve">  </w:t>
      </w:r>
      <w:r w:rsidR="00D95162">
        <w:t xml:space="preserve">The Bureaus </w:t>
      </w:r>
      <w:r>
        <w:t>conditioned the waiver grant on certain technical and operational parameters set forth in the Joint Waiver Order</w:t>
      </w:r>
      <w:r>
        <w:rPr>
          <w:rStyle w:val="FootnoteReference"/>
        </w:rPr>
        <w:footnoteReference w:id="17"/>
      </w:r>
      <w:r>
        <w:t xml:space="preserve"> and further modified those conditions by our Waiver Modification Order on July 5, 2023.</w:t>
      </w:r>
      <w:r>
        <w:rPr>
          <w:rStyle w:val="FootnoteReference"/>
        </w:rPr>
        <w:footnoteReference w:id="18"/>
      </w:r>
      <w:r w:rsidR="002F7F46">
        <w:t xml:space="preserve">  </w:t>
      </w:r>
      <w:r w:rsidR="005C739F">
        <w:t>Each</w:t>
      </w:r>
      <w:r>
        <w:t xml:space="preserve"> of the </w:t>
      </w:r>
      <w:r w:rsidR="009E77D3">
        <w:t xml:space="preserve">instant </w:t>
      </w:r>
      <w:r>
        <w:t>Waiver Applicants request</w:t>
      </w:r>
      <w:r w:rsidR="005C739F">
        <w:t>s</w:t>
      </w:r>
      <w:r>
        <w:t xml:space="preserve"> that the Bureaus grant </w:t>
      </w:r>
      <w:r w:rsidR="009E77D3">
        <w:t xml:space="preserve">them </w:t>
      </w:r>
      <w:r>
        <w:t>waivers under the same grant conditions specified in the C-V2X Joint Waiver Order</w:t>
      </w:r>
      <w:r w:rsidR="00430178">
        <w:t>, as modified</w:t>
      </w:r>
      <w:r w:rsidR="003E30D4">
        <w:t xml:space="preserve"> by the July 5, 2023 Waiver Modification Order (C-V2X Joint Waiver Order, as modified)</w:t>
      </w:r>
      <w:r>
        <w:t>.</w:t>
      </w:r>
      <w:r>
        <w:rPr>
          <w:rStyle w:val="FootnoteReference"/>
        </w:rPr>
        <w:footnoteReference w:id="19"/>
      </w:r>
      <w:r>
        <w:t xml:space="preserve"> </w:t>
      </w:r>
    </w:p>
    <w:p w:rsidR="002A2E9D" w:rsidP="00C13874" w14:paraId="523A9D57" w14:textId="187FD26D">
      <w:pPr>
        <w:pStyle w:val="ParaNum"/>
        <w:numPr>
          <w:ilvl w:val="0"/>
          <w:numId w:val="0"/>
        </w:numPr>
        <w:ind w:firstLine="720"/>
        <w:jc w:val="left"/>
      </w:pPr>
      <w:r>
        <w:t xml:space="preserve">For the reasons stated below, the Bureaus </w:t>
      </w:r>
      <w:r w:rsidR="003E30D4">
        <w:t xml:space="preserve">collectively </w:t>
      </w:r>
      <w:r>
        <w:t>grant each Applicant</w:t>
      </w:r>
      <w:r w:rsidR="00463346">
        <w:t>’</w:t>
      </w:r>
      <w:r>
        <w:t>s waiver request to deploy C-V2X technology in the upper 30 megahertz of the 5.9 GHz band, pending adoption of final C-V2X-based rules, subject to the technical parameters and conditions set forth below</w:t>
      </w:r>
      <w:r w:rsidR="003242DE">
        <w:t xml:space="preserve">, </w:t>
      </w:r>
      <w:r w:rsidR="00ED25A1">
        <w:t>which are</w:t>
      </w:r>
      <w:r w:rsidR="00E178E8">
        <w:t xml:space="preserve"> </w:t>
      </w:r>
      <w:r w:rsidR="003242DE">
        <w:t xml:space="preserve">consistent with the technical parameters and conditions set forth </w:t>
      </w:r>
      <w:r>
        <w:t xml:space="preserve">in the </w:t>
      </w:r>
      <w:r w:rsidR="002A5EF3">
        <w:t>C-V2X Joint Waiver Order, as modified</w:t>
      </w:r>
      <w:r>
        <w:t>.</w:t>
      </w:r>
      <w:r>
        <w:rPr>
          <w:rStyle w:val="FootnoteReference"/>
        </w:rPr>
        <w:footnoteReference w:id="20"/>
      </w:r>
    </w:p>
    <w:p w:rsidR="002A2E9D" w:rsidP="002A2E9D" w14:paraId="2DB2FC55" w14:textId="77777777">
      <w:pPr>
        <w:pStyle w:val="Heading1"/>
        <w:numPr>
          <w:ilvl w:val="0"/>
          <w:numId w:val="0"/>
        </w:numPr>
      </w:pPr>
      <w:r>
        <w:t>II.</w:t>
      </w:r>
      <w:r>
        <w:tab/>
        <w:t>Discussion</w:t>
      </w:r>
    </w:p>
    <w:p w:rsidR="002A2E9D" w:rsidP="001F5957" w14:paraId="468707AB" w14:textId="77777777">
      <w:pPr>
        <w:pStyle w:val="Heading2"/>
      </w:pPr>
      <w:r>
        <w:t>Waiver Standard</w:t>
      </w:r>
    </w:p>
    <w:p w:rsidR="002A2E9D" w:rsidP="00C13874" w14:paraId="453E0D34" w14:textId="0CE3EFDA">
      <w:pPr>
        <w:pStyle w:val="ParaNum"/>
        <w:numPr>
          <w:ilvl w:val="0"/>
          <w:numId w:val="0"/>
        </w:numPr>
        <w:tabs>
          <w:tab w:val="clear" w:pos="1440"/>
        </w:tabs>
        <w:ind w:firstLine="720"/>
        <w:jc w:val="left"/>
      </w:pPr>
      <w:r>
        <w:t>The Applicants seek waiver</w:t>
      </w:r>
      <w:r w:rsidR="00877B11">
        <w:t>s</w:t>
      </w:r>
      <w:r>
        <w:t xml:space="preserve"> pursuant to section 1.925 of the Commission’s rules</w:t>
      </w:r>
      <w:r w:rsidRPr="00972C8D">
        <w:t>.</w:t>
      </w:r>
      <w:r>
        <w:t xml:space="preserve">  </w:t>
      </w:r>
      <w:r w:rsidRPr="005C5E67">
        <w:t>Section</w:t>
      </w:r>
      <w:r w:rsidRPr="004872DB">
        <w:t xml:space="preserve"> 1.925 states that the </w:t>
      </w:r>
      <w:r>
        <w:t>agency</w:t>
      </w:r>
      <w:r w:rsidRPr="004872DB">
        <w:t xml:space="preserve"> may grant a waiver </w:t>
      </w:r>
      <w:r>
        <w:t>if it is shown that</w:t>
      </w:r>
      <w:r w:rsidRPr="004872DB">
        <w:t xml:space="preserve"> the underlying purpose of the rule at issue would not be served or would be frustrated by application to the instant case, and a grant would be in the public interest, or where, “</w:t>
      </w:r>
      <w:r w:rsidR="002A7D0D">
        <w:t>[</w:t>
      </w:r>
      <w:r w:rsidRPr="004872DB">
        <w:t>i</w:t>
      </w:r>
      <w:r w:rsidR="002A7D0D">
        <w:t>]</w:t>
      </w:r>
      <w:r w:rsidRPr="004872DB">
        <w:t xml:space="preserve">n view of unique or unusual factual circumstances,” application of the rule would be inequitable, unduly burdensome or contrary to the public interest, or the applicant has no </w:t>
      </w:r>
      <w:r w:rsidRPr="004872DB">
        <w:t>reasonable alternative.</w:t>
      </w:r>
      <w:r>
        <w:rPr>
          <w:vertAlign w:val="superscript"/>
        </w:rPr>
        <w:footnoteReference w:id="21"/>
      </w:r>
      <w:r w:rsidRPr="004872DB">
        <w:t xml:space="preserve">  In addition, </w:t>
      </w:r>
      <w:r>
        <w:t>s</w:t>
      </w:r>
      <w:r w:rsidRPr="004872DB">
        <w:t xml:space="preserve">ection 1.3 </w:t>
      </w:r>
      <w:r>
        <w:t>provides that</w:t>
      </w:r>
      <w:r w:rsidRPr="004872DB">
        <w:t xml:space="preserve"> the Commission </w:t>
      </w:r>
      <w:r>
        <w:t>may</w:t>
      </w:r>
      <w:r w:rsidRPr="004872DB">
        <w:t xml:space="preserve"> waive any provision of its rules on its own motion for good cause.</w:t>
      </w:r>
      <w:r>
        <w:rPr>
          <w:vertAlign w:val="superscript"/>
        </w:rPr>
        <w:footnoteReference w:id="22"/>
      </w:r>
    </w:p>
    <w:p w:rsidR="002A2E9D" w:rsidRPr="00095468" w:rsidP="00C13874" w14:paraId="788D54CF" w14:textId="3058A2FB">
      <w:pPr>
        <w:pStyle w:val="ParaNum"/>
        <w:numPr>
          <w:ilvl w:val="0"/>
          <w:numId w:val="0"/>
        </w:numPr>
        <w:tabs>
          <w:tab w:val="clear" w:pos="1440"/>
        </w:tabs>
        <w:ind w:firstLine="720"/>
        <w:jc w:val="left"/>
      </w:pPr>
      <w:r>
        <w:t xml:space="preserve">Specifically, </w:t>
      </w:r>
      <w:r w:rsidR="002E0947">
        <w:t xml:space="preserve">each of </w:t>
      </w:r>
      <w:r>
        <w:t>t</w:t>
      </w:r>
      <w:r w:rsidRPr="00095468">
        <w:t xml:space="preserve">he </w:t>
      </w:r>
      <w:r>
        <w:t>Waiver Applicants</w:t>
      </w:r>
      <w:r w:rsidRPr="00095468">
        <w:t xml:space="preserve"> seek</w:t>
      </w:r>
      <w:r w:rsidR="004414EA">
        <w:t>s</w:t>
      </w:r>
      <w:r w:rsidRPr="00095468">
        <w:t xml:space="preserve"> a waiver of </w:t>
      </w:r>
      <w:r w:rsidR="007F104F">
        <w:t xml:space="preserve">certain </w:t>
      </w:r>
      <w:r w:rsidR="00A845FA">
        <w:t xml:space="preserve">Commission </w:t>
      </w:r>
      <w:r w:rsidR="007F104F">
        <w:t>rules</w:t>
      </w:r>
      <w:r w:rsidR="00A845FA">
        <w:t xml:space="preserve"> applicable to ITS operations in the </w:t>
      </w:r>
      <w:r w:rsidR="007C7989">
        <w:t>5.9 GHz band (</w:t>
      </w:r>
      <w:r w:rsidRPr="002A0940" w:rsidR="007C7989">
        <w:rPr>
          <w:i/>
          <w:iCs/>
        </w:rPr>
        <w:t>i.e.</w:t>
      </w:r>
      <w:r w:rsidR="007C7989">
        <w:t>,</w:t>
      </w:r>
      <w:r w:rsidR="007F104F">
        <w:t xml:space="preserve"> </w:t>
      </w:r>
      <w:r w:rsidRPr="00095468">
        <w:t>47 CFR §§ 90.375, 90.377, 90.379, 95.3163, 95.3167, and 95.3189</w:t>
      </w:r>
      <w:r w:rsidR="007C7989">
        <w:t>)</w:t>
      </w:r>
      <w:r w:rsidRPr="00095468">
        <w:t>, the rule sections that establish the technical requirements mandating DSRC-based technology in the upper 30 megahertz of the 5.9 GHz band,</w:t>
      </w:r>
      <w:r w:rsidRPr="00095468">
        <w:rPr>
          <w:rStyle w:val="FootnoteReference"/>
        </w:rPr>
        <w:t xml:space="preserve"> </w:t>
      </w:r>
      <w:r w:rsidRPr="00095468">
        <w:t>to allow the use of C-V2X-based technology in the band and to provide adjustments to the technical parameters where the two technologies differ.  As discussed</w:t>
      </w:r>
      <w:r>
        <w:t xml:space="preserve"> briefly below</w:t>
      </w:r>
      <w:r w:rsidR="00F80E03">
        <w:t>,</w:t>
      </w:r>
      <w:r>
        <w:t xml:space="preserve"> and in greater detail in the Joint Waiver Order,</w:t>
      </w:r>
      <w:r>
        <w:rPr>
          <w:rStyle w:val="FootnoteReference"/>
        </w:rPr>
        <w:footnoteReference w:id="23"/>
      </w:r>
      <w:r>
        <w:t xml:space="preserve"> </w:t>
      </w:r>
      <w:r w:rsidRPr="00095468">
        <w:t xml:space="preserve">we find that a waiver of these rules is warranted under section 1.925, subject to the </w:t>
      </w:r>
      <w:r>
        <w:t>Waiver Applicants’</w:t>
      </w:r>
      <w:r w:rsidRPr="00095468">
        <w:t xml:space="preserve"> commitment</w:t>
      </w:r>
      <w:r w:rsidR="00D079E9">
        <w:t>s</w:t>
      </w:r>
      <w:r w:rsidRPr="00095468">
        <w:t xml:space="preserve"> to adhere to the technical parameters </w:t>
      </w:r>
      <w:r>
        <w:t>and</w:t>
      </w:r>
      <w:r w:rsidRPr="00095468">
        <w:t xml:space="preserve"> conditions imposed by </w:t>
      </w:r>
      <w:r>
        <w:t>the Joint Waiver</w:t>
      </w:r>
      <w:r w:rsidRPr="00095468">
        <w:t xml:space="preserve"> Order</w:t>
      </w:r>
      <w:r w:rsidR="0014404D">
        <w:t>, as modified</w:t>
      </w:r>
      <w:r w:rsidR="00AC31A3">
        <w:t xml:space="preserve"> by the Waiver Modification Order</w:t>
      </w:r>
      <w:r w:rsidR="0014404D">
        <w:t>,</w:t>
      </w:r>
      <w:r w:rsidRPr="00095468">
        <w:t xml:space="preserve"> which are intended to protect DSRC and federal incumbents from potentially harmful interference caused by C-V2X operations in the upper 30 megahertz of the 5.9 GHz band.  </w:t>
      </w:r>
    </w:p>
    <w:p w:rsidR="002A2E9D" w:rsidP="00C13874" w14:paraId="60FB8FFE" w14:textId="13A75631">
      <w:pPr>
        <w:pStyle w:val="ParaNum"/>
        <w:numPr>
          <w:ilvl w:val="0"/>
          <w:numId w:val="0"/>
        </w:numPr>
        <w:tabs>
          <w:tab w:val="clear" w:pos="1440"/>
        </w:tabs>
        <w:ind w:firstLine="720"/>
        <w:jc w:val="left"/>
      </w:pPr>
      <w:r w:rsidRPr="00095468">
        <w:t>We find that, pursuant to section 1.925(b)(3)(i) of the Commission’s rules, the underlying purpose of the rules governing ITS operations would not be served by denying the</w:t>
      </w:r>
      <w:r>
        <w:t xml:space="preserve">se requests </w:t>
      </w:r>
      <w:r w:rsidRPr="00095468">
        <w:t>and thereby delaying or precluding C-V2X operations in the upper 30 megahertz of the 5.9 GHz band.</w:t>
      </w:r>
      <w:r>
        <w:rPr>
          <w:rStyle w:val="FootnoteReference"/>
        </w:rPr>
        <w:footnoteReference w:id="24"/>
      </w:r>
      <w:r w:rsidRPr="00095468">
        <w:t xml:space="preserve">  </w:t>
      </w:r>
      <w:r>
        <w:t>Furthermore, we find that a waiver in this case will facilitate early C-V2X deployment as the Commission envisioned in</w:t>
      </w:r>
      <w:r w:rsidRPr="00095468">
        <w:t xml:space="preserve"> the </w:t>
      </w:r>
      <w:r w:rsidRPr="541CC2C5">
        <w:rPr>
          <w:i/>
          <w:iCs/>
        </w:rPr>
        <w:t>5.9 GHz First R&amp;O</w:t>
      </w:r>
      <w:r>
        <w:t>.</w:t>
      </w:r>
      <w:r>
        <w:rPr>
          <w:rStyle w:val="FootnoteReference"/>
        </w:rPr>
        <w:footnoteReference w:id="25"/>
      </w:r>
      <w:r>
        <w:t xml:space="preserve">  Granting the Waiver Applicants’ requests serves the public interest by encouraging</w:t>
      </w:r>
      <w:r w:rsidRPr="00095468">
        <w:t xml:space="preserve"> widespread deployment of ITS operations using </w:t>
      </w:r>
      <w:r w:rsidR="00F31C31">
        <w:t>C-</w:t>
      </w:r>
      <w:r w:rsidRPr="00095468">
        <w:t xml:space="preserve">V2X technology.  </w:t>
      </w:r>
      <w:r w:rsidR="00307BE4">
        <w:t>As with the initia</w:t>
      </w:r>
      <w:r w:rsidR="00A733D8">
        <w:t xml:space="preserve">l requests, </w:t>
      </w:r>
      <w:r>
        <w:t>“</w:t>
      </w:r>
      <w:r w:rsidR="00A733D8">
        <w:t>[t]</w:t>
      </w:r>
      <w:r w:rsidRPr="00095468">
        <w:t xml:space="preserve">o deny  </w:t>
      </w:r>
      <w:r>
        <w:t>[</w:t>
      </w:r>
      <w:r w:rsidR="0030700E">
        <w:t xml:space="preserve">these </w:t>
      </w:r>
      <w:r>
        <w:t>requests]</w:t>
      </w:r>
      <w:r w:rsidRPr="00095468">
        <w:t xml:space="preserve"> and insist on application of the current DSRC-based rules would be contrary to the public interest as it would further entrench the DSRC technology the Commission determined needs to be replaced and preclude rapid deployment of the technology the Commission has identified as best suited to promote the most efficient and effective use of the spectrum.</w:t>
      </w:r>
      <w:r>
        <w:t>”</w:t>
      </w:r>
      <w:r>
        <w:rPr>
          <w:rStyle w:val="FootnoteReference"/>
        </w:rPr>
        <w:footnoteReference w:id="26"/>
      </w:r>
      <w:r w:rsidRPr="00095468">
        <w:t xml:space="preserve">  </w:t>
      </w:r>
      <w:r>
        <w:t>We further find</w:t>
      </w:r>
      <w:r w:rsidRPr="00095468">
        <w:t xml:space="preserve"> that permitting C-V2X technologies to deploy now, prior to adoption of final C-V2X rules, will serve the public interest by advancing vehicular safety and promoting interoperability.</w:t>
      </w:r>
      <w:r>
        <w:rPr>
          <w:rStyle w:val="FootnoteReference"/>
        </w:rPr>
        <w:footnoteReference w:id="27"/>
      </w:r>
      <w:r w:rsidRPr="00095468">
        <w:t xml:space="preserve">  </w:t>
      </w:r>
    </w:p>
    <w:p w:rsidR="002A2E9D" w:rsidP="00C13874" w14:paraId="2DCFFAC9" w14:textId="197DBF11">
      <w:pPr>
        <w:pStyle w:val="ParaNum"/>
        <w:numPr>
          <w:ilvl w:val="0"/>
          <w:numId w:val="0"/>
        </w:numPr>
        <w:tabs>
          <w:tab w:val="clear" w:pos="1440"/>
        </w:tabs>
        <w:ind w:firstLine="720"/>
        <w:jc w:val="left"/>
      </w:pPr>
      <w:r>
        <w:t xml:space="preserve">Based on the record before us, we grant a waiver, to the extent necessary, to each of the Waiver Applicants listed in Appendix A for </w:t>
      </w:r>
      <w:r w:rsidR="009E155D">
        <w:t xml:space="preserve">the </w:t>
      </w:r>
      <w:r>
        <w:t xml:space="preserve">C-V2X deployments specified </w:t>
      </w:r>
      <w:r w:rsidR="000E0AB2">
        <w:t>below</w:t>
      </w:r>
      <w:r>
        <w:t>, with conditions to protect incumbent licensees and interests.  As to the named Waiver Applicants, w</w:t>
      </w:r>
      <w:r w:rsidRPr="00095468">
        <w:t xml:space="preserve">e waive the Part 90 and 95 rule requirements that mandate DSRC technology in favor of C-V2X operation pursuant to the conditions </w:t>
      </w:r>
      <w:r w:rsidRPr="00095468">
        <w:t xml:space="preserve">articulated </w:t>
      </w:r>
      <w:r w:rsidR="00352CD5">
        <w:t xml:space="preserve">in Section </w:t>
      </w:r>
      <w:r w:rsidR="00192DE5">
        <w:t xml:space="preserve">II.B. </w:t>
      </w:r>
      <w:r w:rsidRPr="00095468">
        <w:t>below</w:t>
      </w:r>
      <w:r>
        <w:t>.</w:t>
      </w:r>
      <w:r>
        <w:rPr>
          <w:rStyle w:val="FootnoteReference"/>
        </w:rPr>
        <w:footnoteReference w:id="28"/>
      </w:r>
      <w:r w:rsidRPr="00095468">
        <w:t xml:space="preserve">  </w:t>
      </w:r>
    </w:p>
    <w:p w:rsidR="00762EF9" w:rsidP="00C13874" w14:paraId="37DBB95F" w14:textId="5B330743">
      <w:pPr>
        <w:pStyle w:val="ParaNum"/>
        <w:numPr>
          <w:ilvl w:val="0"/>
          <w:numId w:val="0"/>
        </w:numPr>
        <w:tabs>
          <w:tab w:val="clear" w:pos="1440"/>
        </w:tabs>
        <w:ind w:firstLine="720"/>
        <w:jc w:val="left"/>
      </w:pPr>
      <w:r>
        <w:rPr>
          <w:i/>
          <w:iCs/>
        </w:rPr>
        <w:t>ITS licensees</w:t>
      </w:r>
      <w:r w:rsidR="006B1E7D">
        <w:rPr>
          <w:i/>
          <w:iCs/>
        </w:rPr>
        <w:t xml:space="preserve"> </w:t>
      </w:r>
      <w:r w:rsidR="00D23969">
        <w:t xml:space="preserve">(PADOT, </w:t>
      </w:r>
      <w:r w:rsidR="001C421B">
        <w:t xml:space="preserve">LADOTD, PG County, </w:t>
      </w:r>
      <w:r w:rsidR="00D23969">
        <w:t xml:space="preserve">ISTHA, </w:t>
      </w:r>
      <w:r w:rsidR="007E7691">
        <w:t xml:space="preserve">CCTA, </w:t>
      </w:r>
      <w:r w:rsidR="005D290D">
        <w:t xml:space="preserve">MEDOT </w:t>
      </w:r>
      <w:r w:rsidR="00D23969">
        <w:t>and Battelle)</w:t>
      </w:r>
      <w:r w:rsidR="00EA0B91">
        <w:t xml:space="preserve">.  </w:t>
      </w:r>
      <w:r w:rsidRPr="00095468" w:rsidR="002A2E9D">
        <w:t xml:space="preserve">Specifically, we grant </w:t>
      </w:r>
      <w:r w:rsidR="00155159">
        <w:t xml:space="preserve">to </w:t>
      </w:r>
      <w:r w:rsidRPr="00095468" w:rsidR="002A2E9D">
        <w:t xml:space="preserve">the </w:t>
      </w:r>
      <w:r w:rsidR="009C31BD">
        <w:t xml:space="preserve">ITS licensees </w:t>
      </w:r>
      <w:r w:rsidRPr="00095468" w:rsidR="002A2E9D">
        <w:t>waiver of 47 CFR §§ 90.375 (governing RSU license areas, communication zones</w:t>
      </w:r>
      <w:r w:rsidR="007743FA">
        <w:t>,</w:t>
      </w:r>
      <w:r w:rsidRPr="00095468" w:rsidR="002A2E9D">
        <w:t xml:space="preserve"> and registrations) and 90.377 (RSU frequencies available, maximum power limit, antenna height, and priority communications).</w:t>
      </w:r>
      <w:r>
        <w:rPr>
          <w:rStyle w:val="FootnoteReference"/>
        </w:rPr>
        <w:footnoteReference w:id="29"/>
      </w:r>
      <w:r w:rsidRPr="00095468" w:rsidR="002A2E9D">
        <w:t xml:space="preserve">  </w:t>
      </w:r>
    </w:p>
    <w:p w:rsidR="00762EF9" w:rsidP="00C13874" w14:paraId="02CE3B4D" w14:textId="0D5DC06B">
      <w:pPr>
        <w:pStyle w:val="ParaNum"/>
        <w:numPr>
          <w:ilvl w:val="0"/>
          <w:numId w:val="0"/>
        </w:numPr>
        <w:tabs>
          <w:tab w:val="clear" w:pos="1440"/>
        </w:tabs>
        <w:ind w:firstLine="720"/>
        <w:jc w:val="left"/>
      </w:pPr>
      <w:r>
        <w:rPr>
          <w:i/>
          <w:iCs/>
        </w:rPr>
        <w:t>ITS licensees</w:t>
      </w:r>
      <w:r w:rsidR="00AE1A8A">
        <w:rPr>
          <w:i/>
          <w:iCs/>
        </w:rPr>
        <w:t xml:space="preserve"> and equipment manufactu</w:t>
      </w:r>
      <w:r w:rsidR="002065D9">
        <w:rPr>
          <w:i/>
          <w:iCs/>
        </w:rPr>
        <w:t>r</w:t>
      </w:r>
      <w:r w:rsidR="00AE1A8A">
        <w:rPr>
          <w:i/>
          <w:iCs/>
        </w:rPr>
        <w:t>ers</w:t>
      </w:r>
      <w:r w:rsidR="00AE1A8A">
        <w:t>.</w:t>
      </w:r>
      <w:r w:rsidRPr="00095468" w:rsidR="00AE1A8A">
        <w:t xml:space="preserve"> </w:t>
      </w:r>
      <w:r w:rsidR="00AE1A8A">
        <w:t xml:space="preserve"> </w:t>
      </w:r>
      <w:r w:rsidRPr="00095468" w:rsidR="002A2E9D">
        <w:t xml:space="preserve">We grant to the </w:t>
      </w:r>
      <w:r w:rsidR="009F73A4">
        <w:t>ITS licensees</w:t>
      </w:r>
      <w:r w:rsidR="002A2E9D">
        <w:t xml:space="preserve"> </w:t>
      </w:r>
      <w:r w:rsidR="00EE589C">
        <w:t xml:space="preserve">and </w:t>
      </w:r>
      <w:r w:rsidR="002A2E9D">
        <w:t>the</w:t>
      </w:r>
      <w:r w:rsidRPr="00095468" w:rsidR="002A2E9D">
        <w:t xml:space="preserve"> equipment manufacturers</w:t>
      </w:r>
      <w:r w:rsidR="002A2E9D">
        <w:t xml:space="preserve"> </w:t>
      </w:r>
      <w:r w:rsidR="00EE589C">
        <w:t>(Ettifos</w:t>
      </w:r>
      <w:r w:rsidR="00380E48">
        <w:t>,</w:t>
      </w:r>
      <w:r w:rsidR="00EE589C">
        <w:t xml:space="preserve"> Continental</w:t>
      </w:r>
      <w:r w:rsidR="00380E48">
        <w:t>, IT-T, and N</w:t>
      </w:r>
      <w:r w:rsidR="009D7386">
        <w:t>TCNA</w:t>
      </w:r>
      <w:r w:rsidR="00EE589C">
        <w:t xml:space="preserve">) </w:t>
      </w:r>
      <w:r w:rsidRPr="00095468" w:rsidR="002A2E9D">
        <w:t xml:space="preserve">waiver of 47 CFR §§ 90.379 (governing </w:t>
      </w:r>
      <w:r w:rsidR="00556A07">
        <w:t>t</w:t>
      </w:r>
      <w:r w:rsidRPr="00095468" w:rsidR="00556A07">
        <w:t xml:space="preserve">echnical </w:t>
      </w:r>
      <w:r w:rsidR="00556A07">
        <w:t>s</w:t>
      </w:r>
      <w:r w:rsidRPr="00095468" w:rsidR="00556A07">
        <w:t xml:space="preserve">tandards </w:t>
      </w:r>
      <w:r w:rsidRPr="00095468" w:rsidR="002A2E9D">
        <w:t xml:space="preserve">for RSUs).  </w:t>
      </w:r>
    </w:p>
    <w:p w:rsidR="002A2E9D" w:rsidP="005F509C" w14:paraId="1ED4BFFF" w14:textId="26125C58">
      <w:pPr>
        <w:pStyle w:val="ParaNum"/>
        <w:widowControl/>
        <w:numPr>
          <w:ilvl w:val="0"/>
          <w:numId w:val="0"/>
        </w:numPr>
        <w:tabs>
          <w:tab w:val="clear" w:pos="1440"/>
        </w:tabs>
        <w:ind w:firstLine="720"/>
        <w:jc w:val="left"/>
      </w:pPr>
      <w:r w:rsidRPr="006F4858">
        <w:rPr>
          <w:i/>
          <w:iCs/>
        </w:rPr>
        <w:t xml:space="preserve">Equipment </w:t>
      </w:r>
      <w:r w:rsidRPr="006F4858" w:rsidR="003F76CA">
        <w:rPr>
          <w:i/>
          <w:iCs/>
        </w:rPr>
        <w:t>manufacturers</w:t>
      </w:r>
      <w:r w:rsidR="003F76CA">
        <w:t>.  W</w:t>
      </w:r>
      <w:r w:rsidRPr="00095468">
        <w:t>e grant to the equipment manufacturers (</w:t>
      </w:r>
      <w:r w:rsidR="009D7386">
        <w:t>Ettifos, Continental, IT-T, and NTCNA</w:t>
      </w:r>
      <w:r w:rsidRPr="00095468">
        <w:t xml:space="preserve">) waiver of 47 CFR §§ 95.3163 (providing that DSRC </w:t>
      </w:r>
      <w:r w:rsidR="5C4B0149">
        <w:t>OBUs</w:t>
      </w:r>
      <w:r w:rsidRPr="00095468">
        <w:t xml:space="preserve"> are permitted to operate in the upper 30 megahertz of the 5.9 GHz band), 95.3167 (maximum power limit for DSRC OBUs), and 95.3189 (technical standard for DSRC OBUs).</w:t>
      </w:r>
    </w:p>
    <w:p w:rsidR="002A2E9D" w:rsidRPr="00792110" w:rsidP="003B15C2" w14:paraId="62D65E58" w14:textId="6DAEBAAB">
      <w:pPr>
        <w:pStyle w:val="Heading2"/>
      </w:pPr>
      <w:r w:rsidRPr="00792110">
        <w:t xml:space="preserve">Waiver Grant </w:t>
      </w:r>
      <w:r w:rsidRPr="001F5957">
        <w:t>Conditions</w:t>
      </w:r>
      <w:r w:rsidRPr="00792110">
        <w:t>.</w:t>
      </w:r>
    </w:p>
    <w:p w:rsidR="002A2E9D" w:rsidRPr="00792110" w:rsidP="00C13874" w14:paraId="54EE4576" w14:textId="38CFC873">
      <w:pPr>
        <w:pStyle w:val="ParaNum"/>
        <w:numPr>
          <w:ilvl w:val="0"/>
          <w:numId w:val="0"/>
        </w:numPr>
        <w:tabs>
          <w:tab w:val="clear" w:pos="1440"/>
        </w:tabs>
        <w:ind w:firstLine="720"/>
        <w:jc w:val="left"/>
      </w:pPr>
      <w:r>
        <w:t>Consistent with the technical requirements and restrictions imposed by the Joint Waiver Order,</w:t>
      </w:r>
      <w:r>
        <w:rPr>
          <w:rStyle w:val="FootnoteReference"/>
        </w:rPr>
        <w:footnoteReference w:id="30"/>
      </w:r>
      <w:r>
        <w:t xml:space="preserve"> as modified by the Waiver Modification Order</w:t>
      </w:r>
      <w:r w:rsidR="00C3053D">
        <w:t>,</w:t>
      </w:r>
      <w:r>
        <w:rPr>
          <w:rStyle w:val="FootnoteReference"/>
        </w:rPr>
        <w:footnoteReference w:id="31"/>
      </w:r>
      <w:r w:rsidR="00C3053D">
        <w:t xml:space="preserve"> t</w:t>
      </w:r>
      <w:r>
        <w:t>his waiver grant is subject to the technical parameters and conditions set forth below.</w:t>
      </w:r>
    </w:p>
    <w:p w:rsidR="006B7B2F" w:rsidP="006B7B2F" w14:paraId="19100DF3" w14:textId="4E6C1122">
      <w:pPr>
        <w:pStyle w:val="ParaNum"/>
        <w:numPr>
          <w:ilvl w:val="0"/>
          <w:numId w:val="0"/>
        </w:numPr>
        <w:tabs>
          <w:tab w:val="clear" w:pos="1440"/>
        </w:tabs>
        <w:ind w:firstLine="720"/>
        <w:jc w:val="left"/>
      </w:pPr>
      <w:r w:rsidRPr="004F21D6">
        <w:rPr>
          <w:i/>
          <w:iCs/>
        </w:rPr>
        <w:t xml:space="preserve">Scope of the Waiver.  </w:t>
      </w:r>
      <w:r w:rsidRPr="004F21D6">
        <w:t xml:space="preserve">With respect to </w:t>
      </w:r>
      <w:r w:rsidR="0004393D">
        <w:t xml:space="preserve">the </w:t>
      </w:r>
      <w:r w:rsidRPr="004F21D6">
        <w:t xml:space="preserve">ITS licensees, this waiver is limited to </w:t>
      </w:r>
      <w:r w:rsidR="008E3C98">
        <w:t xml:space="preserve">PADOT, LADOTD, PG County, ISTHA, CCTA, </w:t>
      </w:r>
      <w:r w:rsidR="004B7D8E">
        <w:t xml:space="preserve">MEDOT, </w:t>
      </w:r>
      <w:r w:rsidR="008E3C98">
        <w:t>and Battelle</w:t>
      </w:r>
      <w:r w:rsidRPr="004F21D6" w:rsidR="00C47F25">
        <w:t xml:space="preserve"> </w:t>
      </w:r>
      <w:r w:rsidRPr="004F21D6">
        <w:t>to allow them to deploy C-V2X infrastructure that satisfies all conditions of this Order, including RSUs and OBUs, within their respective jurisdictions</w:t>
      </w:r>
      <w:r w:rsidR="006078F0">
        <w:t xml:space="preserve"> and/or license areas</w:t>
      </w:r>
      <w:r w:rsidRPr="004F21D6">
        <w:t xml:space="preserve">.  The geographic area of the waiver is limited to the area encompassing </w:t>
      </w:r>
      <w:r w:rsidR="005E1784">
        <w:t>PADOT’s</w:t>
      </w:r>
      <w:r w:rsidR="003201C3">
        <w:t>, LADOTD</w:t>
      </w:r>
      <w:r w:rsidR="006E6BC6">
        <w:t>’s, PG County’s</w:t>
      </w:r>
      <w:r w:rsidR="00485505">
        <w:t>, CCTA’s</w:t>
      </w:r>
      <w:r w:rsidR="008B70B3">
        <w:t>, and MEDOT’s</w:t>
      </w:r>
      <w:r w:rsidRPr="004F21D6">
        <w:t xml:space="preserve"> </w:t>
      </w:r>
      <w:r w:rsidR="00125CA8">
        <w:t xml:space="preserve">respective </w:t>
      </w:r>
      <w:r w:rsidRPr="004F21D6">
        <w:t>legal jurisdictions</w:t>
      </w:r>
      <w:r w:rsidR="00557FE2">
        <w:t xml:space="preserve">, or </w:t>
      </w:r>
      <w:r w:rsidR="00672451">
        <w:t xml:space="preserve">for </w:t>
      </w:r>
      <w:r w:rsidR="00DC3068">
        <w:t xml:space="preserve">ISTHA and </w:t>
      </w:r>
      <w:r w:rsidR="003C357D">
        <w:t>Battelle</w:t>
      </w:r>
      <w:r w:rsidR="00557FE2">
        <w:t xml:space="preserve">, the geographic parameters defined by </w:t>
      </w:r>
      <w:r w:rsidR="00DC3068">
        <w:t xml:space="preserve">their </w:t>
      </w:r>
      <w:r w:rsidR="00557FE2">
        <w:t>license</w:t>
      </w:r>
      <w:r w:rsidR="00DC3068">
        <w:t>s</w:t>
      </w:r>
      <w:r w:rsidRPr="004F21D6">
        <w:t>.</w:t>
      </w:r>
      <w:r w:rsidR="003201C3">
        <w:t xml:space="preserve"> </w:t>
      </w:r>
      <w:r w:rsidRPr="004F21D6">
        <w:t xml:space="preserve"> </w:t>
      </w:r>
    </w:p>
    <w:p w:rsidR="006B7B2F" w:rsidP="007071F6" w14:paraId="04EC9613" w14:textId="77777777">
      <w:pPr>
        <w:pStyle w:val="ParaNum"/>
        <w:numPr>
          <w:ilvl w:val="0"/>
          <w:numId w:val="0"/>
        </w:numPr>
        <w:tabs>
          <w:tab w:val="clear" w:pos="1440"/>
        </w:tabs>
        <w:ind w:firstLine="720"/>
        <w:jc w:val="left"/>
      </w:pPr>
      <w:r>
        <w:t>All operations authorized pursuant to this waiver are limited to transportation and vehicle safety-related communications.</w:t>
      </w:r>
    </w:p>
    <w:p w:rsidR="006B7B2F" w:rsidP="007071F6" w14:paraId="3958E637" w14:textId="456DB5A6">
      <w:pPr>
        <w:pStyle w:val="ParaNum"/>
        <w:numPr>
          <w:ilvl w:val="0"/>
          <w:numId w:val="0"/>
        </w:numPr>
        <w:tabs>
          <w:tab w:val="clear" w:pos="1440"/>
        </w:tabs>
        <w:ind w:firstLine="720"/>
        <w:jc w:val="left"/>
      </w:pPr>
      <w:r>
        <w:t>All C-V2X operations permitted pursuant to this waiver are limited to the 5905</w:t>
      </w:r>
      <w:r w:rsidR="00405632">
        <w:t>–</w:t>
      </w:r>
      <w:r>
        <w:t>5925 MHz frequencies using a 20-megahertz channel.</w:t>
      </w:r>
    </w:p>
    <w:p w:rsidR="007C4F59" w:rsidP="007C4F59" w14:paraId="7CBA32E0" w14:textId="5249C1F5">
      <w:pPr>
        <w:pStyle w:val="ParaNum"/>
        <w:numPr>
          <w:ilvl w:val="0"/>
          <w:numId w:val="0"/>
        </w:numPr>
        <w:tabs>
          <w:tab w:val="clear" w:pos="1440"/>
        </w:tabs>
        <w:ind w:firstLine="720"/>
        <w:jc w:val="left"/>
      </w:pPr>
      <w:r>
        <w:t xml:space="preserve">With respect to equipment manufacturers, this waiver is limited to </w:t>
      </w:r>
      <w:r w:rsidR="00485505">
        <w:t>Ettifos, Continental, IT-T, and NTCNA</w:t>
      </w:r>
      <w:r w:rsidR="00FB4FE0">
        <w:t xml:space="preserve"> </w:t>
      </w:r>
      <w:r w:rsidR="00DD25BE">
        <w:t xml:space="preserve">and </w:t>
      </w:r>
      <w:r>
        <w:t xml:space="preserve">provides </w:t>
      </w:r>
      <w:r w:rsidR="00DD25BE">
        <w:t>them</w:t>
      </w:r>
      <w:r>
        <w:t xml:space="preserve"> eligibility to obtain the necessary equipment certifications for their RSUs and OBUs.  Equipment authorization requirements continue to apply to all RSUs and OBUs under this waiver </w:t>
      </w:r>
      <w:r>
        <w:t>order.</w:t>
      </w:r>
      <w:r>
        <w:rPr>
          <w:rStyle w:val="FootnoteReference"/>
        </w:rPr>
        <w:footnoteReference w:id="32"/>
      </w:r>
      <w:r>
        <w:t xml:space="preserve">  Any application for equipment authorization will need to include a copy of this waiver order.</w:t>
      </w:r>
      <w:r>
        <w:rPr>
          <w:rStyle w:val="FootnoteReference"/>
        </w:rPr>
        <w:footnoteReference w:id="33"/>
      </w:r>
    </w:p>
    <w:p w:rsidR="00A11A27" w:rsidP="005F509C" w14:paraId="762468BF" w14:textId="2C5E5913">
      <w:pPr>
        <w:pStyle w:val="ParaNum"/>
        <w:widowControl/>
        <w:numPr>
          <w:ilvl w:val="0"/>
          <w:numId w:val="0"/>
        </w:numPr>
        <w:tabs>
          <w:tab w:val="clear" w:pos="1440"/>
        </w:tabs>
        <w:ind w:firstLine="720"/>
        <w:jc w:val="left"/>
      </w:pPr>
      <w:r>
        <w:t xml:space="preserve">C-V2X operations under this waiver order are authorized on a secondary basis to the </w:t>
      </w:r>
      <w:r w:rsidR="00D0591F">
        <w:t>f</w:t>
      </w:r>
      <w:r>
        <w:t>ederal radiolocation service operating on a primary basis within the 5895</w:t>
      </w:r>
      <w:r w:rsidR="00405632">
        <w:t>–</w:t>
      </w:r>
      <w:r>
        <w:t xml:space="preserve">5925 </w:t>
      </w:r>
      <w:r w:rsidR="00BE138C">
        <w:t>M</w:t>
      </w:r>
      <w:r>
        <w:t xml:space="preserve">Hz band and must protect these </w:t>
      </w:r>
      <w:r w:rsidR="00D0591F">
        <w:t>f</w:t>
      </w:r>
      <w:r>
        <w:t xml:space="preserve">ederal operations from harmful interference.  The NTIA reviewed the technical parameters </w:t>
      </w:r>
      <w:r w:rsidR="000257AF">
        <w:t>adopted in the Joint Waiver Order,</w:t>
      </w:r>
      <w:r>
        <w:rPr>
          <w:rStyle w:val="FootnoteReference"/>
        </w:rPr>
        <w:footnoteReference w:id="34"/>
      </w:r>
      <w:r w:rsidR="000257AF">
        <w:t xml:space="preserve"> as modified by the Waiver Modification Order,</w:t>
      </w:r>
      <w:r>
        <w:rPr>
          <w:rStyle w:val="FootnoteReference"/>
        </w:rPr>
        <w:footnoteReference w:id="35"/>
      </w:r>
      <w:r w:rsidR="000257AF">
        <w:t xml:space="preserve"> and </w:t>
      </w:r>
      <w:r>
        <w:t>agrees that spectrum usage should be limited to 5905</w:t>
      </w:r>
      <w:r w:rsidR="00405632">
        <w:t>–</w:t>
      </w:r>
      <w:r>
        <w:t>5925 MHz and that EIRP for both OBUs and RSUs be limited to 33 dBm.</w:t>
      </w:r>
      <w:r>
        <w:rPr>
          <w:rStyle w:val="FootnoteReference"/>
        </w:rPr>
        <w:footnoteReference w:id="36"/>
      </w:r>
      <w:r>
        <w:t xml:space="preserve">  In addition, “to adequately protect the primary 5.9 GHz band for federal radiolocation services during this waiver period,” NTIA also requests that C-V2X OBUs be limited to an EIRP of 27 dBm at ± 5 degrees in elevation from the horizontal plane.</w:t>
      </w:r>
      <w:r>
        <w:rPr>
          <w:rStyle w:val="FootnoteReference"/>
        </w:rPr>
        <w:footnoteReference w:id="37"/>
      </w:r>
      <w:r>
        <w:t xml:space="preserve">  </w:t>
      </w:r>
      <w:r w:rsidR="00B86B65">
        <w:t>P</w:t>
      </w:r>
      <w:r w:rsidR="00806CAE">
        <w:t xml:space="preserve">ursuant to their requests </w:t>
      </w:r>
      <w:r w:rsidR="009863FD">
        <w:t xml:space="preserve">to abide by the same grant conditions outlined in the Joint Waiver Order, </w:t>
      </w:r>
      <w:r w:rsidR="000921C2">
        <w:t xml:space="preserve">as modified, </w:t>
      </w:r>
      <w:r w:rsidR="00CB259A">
        <w:t xml:space="preserve">each of the Waiver Applicants </w:t>
      </w:r>
      <w:r w:rsidR="00967466">
        <w:t xml:space="preserve">has </w:t>
      </w:r>
      <w:r w:rsidR="00CB259A">
        <w:t xml:space="preserve">agreed to </w:t>
      </w:r>
      <w:r w:rsidR="009C44AD">
        <w:t xml:space="preserve">these </w:t>
      </w:r>
      <w:r w:rsidR="00CB259A">
        <w:t>condition</w:t>
      </w:r>
      <w:r w:rsidR="009C44AD">
        <w:t>s</w:t>
      </w:r>
      <w:r w:rsidR="00CB259A">
        <w:t>.</w:t>
      </w:r>
      <w:r>
        <w:rPr>
          <w:rStyle w:val="FootnoteReference"/>
        </w:rPr>
        <w:footnoteReference w:id="38"/>
      </w:r>
    </w:p>
    <w:p w:rsidR="002A2E9D" w:rsidP="00C13874" w14:paraId="121273CE" w14:textId="7DF87F19">
      <w:pPr>
        <w:pStyle w:val="ParaNum"/>
        <w:numPr>
          <w:ilvl w:val="0"/>
          <w:numId w:val="0"/>
        </w:numPr>
        <w:tabs>
          <w:tab w:val="clear" w:pos="1440"/>
        </w:tabs>
        <w:ind w:firstLine="720"/>
        <w:jc w:val="left"/>
      </w:pPr>
      <w:r w:rsidRPr="541CC2C5">
        <w:rPr>
          <w:i/>
          <w:iCs/>
        </w:rPr>
        <w:t>Technical Requirements and Restrictions.</w:t>
      </w:r>
      <w:r>
        <w:t xml:space="preserve">  </w:t>
      </w:r>
      <w:r w:rsidR="008D292E">
        <w:t>A</w:t>
      </w:r>
      <w:r>
        <w:t>ll RSUs and OBUs authorized under this Order must operate using the technical characteristics and operating parameters, including power, height, and out-of-band emission limits, specified below, to ensure compliance with all existing technical rules applicable to ITS operations other than the requirement to use DSRC-based technology:</w:t>
      </w:r>
    </w:p>
    <w:p w:rsidR="002A2E9D" w:rsidRPr="00A13952" w:rsidP="00A13952" w14:paraId="68F16D3E" w14:textId="77777777">
      <w:pPr>
        <w:keepNext/>
        <w:tabs>
          <w:tab w:val="left" w:pos="4130"/>
        </w:tabs>
        <w:jc w:val="center"/>
        <w:rPr>
          <w:b/>
          <w:bCs/>
          <w:sz w:val="22"/>
          <w:szCs w:val="22"/>
        </w:rPr>
      </w:pPr>
      <w:r w:rsidRPr="00A13952">
        <w:rPr>
          <w:b/>
          <w:bCs/>
          <w:sz w:val="22"/>
          <w:szCs w:val="22"/>
        </w:rPr>
        <w:t>C-V2X OBU and RSU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885"/>
        <w:gridCol w:w="3338"/>
        <w:gridCol w:w="2425"/>
      </w:tblGrid>
      <w:tr w14:paraId="0103E92F" w14:textId="77777777" w:rsidTr="00BF11A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0" w:type="auto"/>
            <w:shd w:val="clear" w:color="auto" w:fill="auto"/>
            <w:vAlign w:val="center"/>
          </w:tcPr>
          <w:p w:rsidR="002A2E9D" w:rsidRPr="00A13952" w:rsidP="00BF11A6" w14:paraId="10F8C156" w14:textId="77777777">
            <w:pPr>
              <w:tabs>
                <w:tab w:val="left" w:pos="4130"/>
              </w:tabs>
              <w:jc w:val="center"/>
              <w:rPr>
                <w:b/>
                <w:bCs/>
                <w:sz w:val="22"/>
                <w:szCs w:val="22"/>
              </w:rPr>
            </w:pPr>
            <w:r w:rsidRPr="00A13952">
              <w:rPr>
                <w:rFonts w:eastAsia="Calibri"/>
                <w:b/>
                <w:bCs/>
                <w:sz w:val="22"/>
                <w:szCs w:val="22"/>
              </w:rPr>
              <w:t>Frequency Range</w:t>
            </w:r>
          </w:p>
        </w:tc>
        <w:tc>
          <w:tcPr>
            <w:tcW w:w="0" w:type="auto"/>
            <w:shd w:val="clear" w:color="auto" w:fill="auto"/>
            <w:vAlign w:val="center"/>
          </w:tcPr>
          <w:p w:rsidR="002A2E9D" w:rsidRPr="00A13952" w:rsidP="00BF11A6" w14:paraId="321DC39B" w14:textId="77777777">
            <w:pPr>
              <w:tabs>
                <w:tab w:val="left" w:pos="4130"/>
              </w:tabs>
              <w:jc w:val="center"/>
              <w:rPr>
                <w:b/>
                <w:bCs/>
                <w:sz w:val="22"/>
                <w:szCs w:val="22"/>
              </w:rPr>
            </w:pPr>
            <w:r w:rsidRPr="00A13952">
              <w:rPr>
                <w:rFonts w:eastAsia="Calibri"/>
                <w:b/>
                <w:bCs/>
                <w:sz w:val="22"/>
                <w:szCs w:val="22"/>
              </w:rPr>
              <w:t>Channel Bandwidth</w:t>
            </w:r>
          </w:p>
        </w:tc>
        <w:tc>
          <w:tcPr>
            <w:tcW w:w="3338" w:type="dxa"/>
            <w:shd w:val="clear" w:color="auto" w:fill="auto"/>
            <w:vAlign w:val="center"/>
          </w:tcPr>
          <w:p w:rsidR="002A2E9D" w:rsidRPr="00A13952" w:rsidP="00BF11A6" w14:paraId="3AE5D019" w14:textId="77777777">
            <w:pPr>
              <w:tabs>
                <w:tab w:val="left" w:pos="4130"/>
              </w:tabs>
              <w:jc w:val="center"/>
              <w:rPr>
                <w:b/>
                <w:bCs/>
                <w:sz w:val="22"/>
                <w:szCs w:val="22"/>
              </w:rPr>
            </w:pPr>
            <w:r w:rsidRPr="00A13952">
              <w:rPr>
                <w:rFonts w:eastAsia="Calibri"/>
                <w:b/>
                <w:bCs/>
                <w:sz w:val="22"/>
                <w:szCs w:val="22"/>
              </w:rPr>
              <w:t>OBU Limits</w:t>
            </w:r>
          </w:p>
        </w:tc>
        <w:tc>
          <w:tcPr>
            <w:tcW w:w="2425" w:type="dxa"/>
            <w:shd w:val="clear" w:color="auto" w:fill="auto"/>
            <w:vAlign w:val="center"/>
          </w:tcPr>
          <w:p w:rsidR="002A2E9D" w:rsidRPr="00A13952" w:rsidP="00BF11A6" w14:paraId="1D6D312A" w14:textId="77777777">
            <w:pPr>
              <w:tabs>
                <w:tab w:val="left" w:pos="4130"/>
              </w:tabs>
              <w:jc w:val="center"/>
              <w:rPr>
                <w:b/>
                <w:bCs/>
                <w:sz w:val="22"/>
                <w:szCs w:val="22"/>
              </w:rPr>
            </w:pPr>
            <w:r w:rsidRPr="00A13952">
              <w:rPr>
                <w:rFonts w:eastAsia="Calibri"/>
                <w:b/>
                <w:bCs/>
                <w:sz w:val="22"/>
                <w:szCs w:val="22"/>
              </w:rPr>
              <w:t>RSU EIRP Limit</w:t>
            </w:r>
          </w:p>
        </w:tc>
      </w:tr>
      <w:tr w14:paraId="67A6F660" w14:textId="77777777" w:rsidTr="00BF11A6">
        <w:tblPrEx>
          <w:tblW w:w="0" w:type="auto"/>
          <w:tblLook w:val="04A0"/>
        </w:tblPrEx>
        <w:tc>
          <w:tcPr>
            <w:tcW w:w="0" w:type="auto"/>
            <w:shd w:val="clear" w:color="auto" w:fill="auto"/>
            <w:vAlign w:val="center"/>
          </w:tcPr>
          <w:p w:rsidR="002A2E9D" w:rsidRPr="00A13952" w:rsidP="00BF11A6" w14:paraId="0E156A26" w14:textId="606BD158">
            <w:pPr>
              <w:tabs>
                <w:tab w:val="left" w:pos="4130"/>
              </w:tabs>
              <w:rPr>
                <w:sz w:val="22"/>
                <w:szCs w:val="22"/>
              </w:rPr>
            </w:pPr>
            <w:r w:rsidRPr="00A13952">
              <w:rPr>
                <w:rFonts w:eastAsia="Calibri"/>
                <w:sz w:val="22"/>
                <w:szCs w:val="22"/>
              </w:rPr>
              <w:t>5905</w:t>
            </w:r>
            <w:r w:rsidR="00405632">
              <w:rPr>
                <w:rFonts w:eastAsia="Calibri"/>
                <w:sz w:val="22"/>
                <w:szCs w:val="22"/>
              </w:rPr>
              <w:t>–</w:t>
            </w:r>
            <w:r w:rsidRPr="00A13952">
              <w:rPr>
                <w:rFonts w:eastAsia="Calibri"/>
                <w:sz w:val="22"/>
                <w:szCs w:val="22"/>
              </w:rPr>
              <w:t>5925 MHz</w:t>
            </w:r>
          </w:p>
        </w:tc>
        <w:tc>
          <w:tcPr>
            <w:tcW w:w="0" w:type="auto"/>
            <w:shd w:val="clear" w:color="auto" w:fill="auto"/>
            <w:vAlign w:val="center"/>
          </w:tcPr>
          <w:p w:rsidR="002A2E9D" w:rsidRPr="00A13952" w:rsidP="00BF11A6" w14:paraId="6695DE83" w14:textId="3A8C06C5">
            <w:pPr>
              <w:tabs>
                <w:tab w:val="left" w:pos="4130"/>
              </w:tabs>
              <w:rPr>
                <w:sz w:val="22"/>
                <w:szCs w:val="22"/>
              </w:rPr>
            </w:pPr>
            <w:r w:rsidRPr="00A13952">
              <w:rPr>
                <w:rFonts w:eastAsia="Calibri"/>
                <w:sz w:val="22"/>
                <w:szCs w:val="22"/>
              </w:rPr>
              <w:t xml:space="preserve">20 </w:t>
            </w:r>
            <w:r w:rsidR="008060D5">
              <w:rPr>
                <w:rFonts w:eastAsia="Calibri"/>
                <w:sz w:val="22"/>
                <w:szCs w:val="22"/>
              </w:rPr>
              <w:t>megahertz</w:t>
            </w:r>
          </w:p>
        </w:tc>
        <w:tc>
          <w:tcPr>
            <w:tcW w:w="3338" w:type="dxa"/>
            <w:shd w:val="clear" w:color="auto" w:fill="auto"/>
            <w:vAlign w:val="center"/>
          </w:tcPr>
          <w:p w:rsidR="002A2E9D" w:rsidRPr="00A13952" w:rsidP="00BF11A6" w14:paraId="1E864177" w14:textId="77777777">
            <w:pPr>
              <w:tabs>
                <w:tab w:val="left" w:pos="4130"/>
              </w:tabs>
              <w:rPr>
                <w:sz w:val="22"/>
                <w:szCs w:val="22"/>
              </w:rPr>
            </w:pPr>
            <w:r w:rsidRPr="00A13952">
              <w:rPr>
                <w:rFonts w:eastAsia="Calibri"/>
                <w:sz w:val="22"/>
                <w:szCs w:val="22"/>
              </w:rPr>
              <w:t>33 dBm EIRP*; 27dBm EIRP within 5 degrees of horizontal</w:t>
            </w:r>
          </w:p>
        </w:tc>
        <w:tc>
          <w:tcPr>
            <w:tcW w:w="2425" w:type="dxa"/>
            <w:shd w:val="clear" w:color="auto" w:fill="auto"/>
            <w:vAlign w:val="center"/>
          </w:tcPr>
          <w:p w:rsidR="002A2E9D" w:rsidRPr="00A13952" w:rsidP="00BF11A6" w14:paraId="1F8A2363" w14:textId="77777777">
            <w:pPr>
              <w:rPr>
                <w:sz w:val="22"/>
                <w:szCs w:val="22"/>
              </w:rPr>
            </w:pPr>
            <w:r w:rsidRPr="00A13952">
              <w:rPr>
                <w:sz w:val="22"/>
                <w:szCs w:val="22"/>
              </w:rPr>
              <w:t>33 dBm EIRP</w:t>
            </w:r>
          </w:p>
          <w:p w:rsidR="002A2E9D" w:rsidRPr="00A13952" w:rsidP="00BF11A6" w14:paraId="117C4670" w14:textId="77777777">
            <w:pPr>
              <w:tabs>
                <w:tab w:val="left" w:pos="4130"/>
              </w:tabs>
              <w:rPr>
                <w:sz w:val="22"/>
                <w:szCs w:val="22"/>
              </w:rPr>
            </w:pPr>
          </w:p>
        </w:tc>
      </w:tr>
    </w:tbl>
    <w:p w:rsidR="002A2E9D" w:rsidRPr="00A13952" w:rsidP="002A2E9D" w14:paraId="0B46A9DA" w14:textId="77777777">
      <w:pPr>
        <w:tabs>
          <w:tab w:val="left" w:pos="4130"/>
        </w:tabs>
        <w:jc w:val="center"/>
        <w:rPr>
          <w:rFonts w:eastAsia="Calibri"/>
          <w:sz w:val="22"/>
          <w:szCs w:val="22"/>
        </w:rPr>
      </w:pPr>
      <w:r w:rsidRPr="00A13952">
        <w:rPr>
          <w:rFonts w:eastAsia="Calibri"/>
          <w:sz w:val="22"/>
          <w:szCs w:val="22"/>
        </w:rPr>
        <w:t>*EIRP (equivalent isotropically radiated power)</w:t>
      </w:r>
    </w:p>
    <w:p w:rsidR="00A13952" w:rsidRPr="002A0940" w:rsidP="002A2E9D" w14:paraId="3B2346AF" w14:textId="77777777">
      <w:pPr>
        <w:tabs>
          <w:tab w:val="left" w:pos="4130"/>
        </w:tabs>
        <w:jc w:val="center"/>
        <w:rPr>
          <w:rFonts w:eastAsia="Calibri"/>
          <w:sz w:val="22"/>
          <w:szCs w:val="22"/>
        </w:rPr>
      </w:pPr>
    </w:p>
    <w:p w:rsidR="002A2E9D" w:rsidRPr="002A0940" w:rsidP="008A7338" w14:paraId="5595AF78" w14:textId="77777777">
      <w:pPr>
        <w:keepNext/>
        <w:keepLines/>
        <w:jc w:val="center"/>
        <w:rPr>
          <w:b/>
          <w:bCs/>
          <w:sz w:val="22"/>
          <w:szCs w:val="22"/>
        </w:rPr>
      </w:pPr>
      <w:r w:rsidRPr="002A0940">
        <w:rPr>
          <w:b/>
          <w:bCs/>
          <w:sz w:val="22"/>
          <w:szCs w:val="22"/>
        </w:rPr>
        <w:t>C-V2X Out-of-Band Emissions (OOBE)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5"/>
        <w:gridCol w:w="4650"/>
      </w:tblGrid>
      <w:tr w14:paraId="676A5F86" w14:textId="77777777" w:rsidTr="131EC1C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595" w:type="dxa"/>
            <w:shd w:val="clear" w:color="auto" w:fill="auto"/>
            <w:vAlign w:val="center"/>
          </w:tcPr>
          <w:p w:rsidR="002A2E9D" w:rsidRPr="002A0940" w:rsidP="008A7338" w14:paraId="6A798222" w14:textId="77777777">
            <w:pPr>
              <w:keepNext/>
              <w:keepLines/>
              <w:jc w:val="center"/>
              <w:rPr>
                <w:b/>
                <w:bCs/>
                <w:sz w:val="22"/>
                <w:szCs w:val="22"/>
              </w:rPr>
            </w:pPr>
            <w:r w:rsidRPr="002A0940">
              <w:rPr>
                <w:b/>
                <w:bCs/>
                <w:sz w:val="22"/>
                <w:szCs w:val="22"/>
              </w:rPr>
              <w:t>Frequency Offset (MHz from Channel Edge)</w:t>
            </w:r>
          </w:p>
        </w:tc>
        <w:tc>
          <w:tcPr>
            <w:tcW w:w="4650" w:type="dxa"/>
            <w:shd w:val="clear" w:color="auto" w:fill="auto"/>
            <w:vAlign w:val="center"/>
          </w:tcPr>
          <w:p w:rsidR="002A2E9D" w:rsidRPr="002A0940" w:rsidP="008A7338" w14:paraId="52822FA3" w14:textId="19AEDF97">
            <w:pPr>
              <w:keepNext/>
              <w:keepLines/>
              <w:jc w:val="center"/>
              <w:rPr>
                <w:b/>
                <w:bCs/>
                <w:sz w:val="22"/>
                <w:szCs w:val="22"/>
              </w:rPr>
            </w:pPr>
            <w:r w:rsidRPr="131EC1CC">
              <w:rPr>
                <w:b/>
                <w:bCs/>
                <w:sz w:val="22"/>
                <w:szCs w:val="22"/>
              </w:rPr>
              <w:t>OOBE EIRP Limits for C-V2X Transmissions (dBm/100 kHz)**</w:t>
            </w:r>
          </w:p>
        </w:tc>
      </w:tr>
      <w:tr w14:paraId="43E8CCD3" w14:textId="77777777" w:rsidTr="131EC1CC">
        <w:tblPrEx>
          <w:tblW w:w="0" w:type="auto"/>
          <w:jc w:val="center"/>
          <w:tblLook w:val="04A0"/>
        </w:tblPrEx>
        <w:trPr>
          <w:jc w:val="center"/>
        </w:trPr>
        <w:tc>
          <w:tcPr>
            <w:tcW w:w="3595" w:type="dxa"/>
            <w:shd w:val="clear" w:color="auto" w:fill="auto"/>
          </w:tcPr>
          <w:p w:rsidR="002A2E9D" w:rsidRPr="002A0940" w:rsidP="008A7338" w14:paraId="76DF7350" w14:textId="77777777">
            <w:pPr>
              <w:keepNext/>
              <w:keepLines/>
              <w:rPr>
                <w:sz w:val="22"/>
                <w:szCs w:val="22"/>
              </w:rPr>
            </w:pPr>
            <w:r w:rsidRPr="002A0940">
              <w:rPr>
                <w:sz w:val="22"/>
                <w:szCs w:val="22"/>
              </w:rPr>
              <w:t>0.0</w:t>
            </w:r>
          </w:p>
        </w:tc>
        <w:tc>
          <w:tcPr>
            <w:tcW w:w="4650" w:type="dxa"/>
            <w:shd w:val="clear" w:color="auto" w:fill="auto"/>
          </w:tcPr>
          <w:p w:rsidR="002A2E9D" w:rsidRPr="002A0940" w:rsidP="008A7338" w14:paraId="7557C9E2" w14:textId="77777777">
            <w:pPr>
              <w:keepNext/>
              <w:keepLines/>
              <w:rPr>
                <w:sz w:val="22"/>
                <w:szCs w:val="22"/>
              </w:rPr>
            </w:pPr>
            <w:r w:rsidRPr="002A0940">
              <w:rPr>
                <w:sz w:val="22"/>
                <w:szCs w:val="22"/>
              </w:rPr>
              <w:t>-16.0</w:t>
            </w:r>
          </w:p>
        </w:tc>
      </w:tr>
      <w:tr w14:paraId="2D710930" w14:textId="77777777" w:rsidTr="131EC1CC">
        <w:tblPrEx>
          <w:tblW w:w="0" w:type="auto"/>
          <w:jc w:val="center"/>
          <w:tblLook w:val="04A0"/>
        </w:tblPrEx>
        <w:trPr>
          <w:jc w:val="center"/>
        </w:trPr>
        <w:tc>
          <w:tcPr>
            <w:tcW w:w="3595" w:type="dxa"/>
            <w:shd w:val="clear" w:color="auto" w:fill="auto"/>
          </w:tcPr>
          <w:p w:rsidR="002A2E9D" w:rsidRPr="002A0940" w:rsidP="008A7338" w14:paraId="55069FE1" w14:textId="77777777">
            <w:pPr>
              <w:keepNext/>
              <w:keepLines/>
              <w:rPr>
                <w:sz w:val="22"/>
                <w:szCs w:val="22"/>
              </w:rPr>
            </w:pPr>
            <w:r w:rsidRPr="002A0940">
              <w:rPr>
                <w:sz w:val="22"/>
                <w:szCs w:val="22"/>
              </w:rPr>
              <w:t>1.0</w:t>
            </w:r>
          </w:p>
        </w:tc>
        <w:tc>
          <w:tcPr>
            <w:tcW w:w="4650" w:type="dxa"/>
            <w:shd w:val="clear" w:color="auto" w:fill="auto"/>
          </w:tcPr>
          <w:p w:rsidR="002A2E9D" w:rsidRPr="002A0940" w:rsidP="008A7338" w14:paraId="7A3063C9" w14:textId="77777777">
            <w:pPr>
              <w:keepNext/>
              <w:keepLines/>
              <w:rPr>
                <w:sz w:val="22"/>
                <w:szCs w:val="22"/>
              </w:rPr>
            </w:pPr>
            <w:r w:rsidRPr="002A0940">
              <w:rPr>
                <w:sz w:val="22"/>
                <w:szCs w:val="22"/>
              </w:rPr>
              <w:t>-22.0</w:t>
            </w:r>
          </w:p>
        </w:tc>
      </w:tr>
      <w:tr w14:paraId="40221953" w14:textId="77777777" w:rsidTr="131EC1CC">
        <w:tblPrEx>
          <w:tblW w:w="0" w:type="auto"/>
          <w:jc w:val="center"/>
          <w:tblLook w:val="04A0"/>
        </w:tblPrEx>
        <w:trPr>
          <w:jc w:val="center"/>
        </w:trPr>
        <w:tc>
          <w:tcPr>
            <w:tcW w:w="3595" w:type="dxa"/>
            <w:shd w:val="clear" w:color="auto" w:fill="auto"/>
          </w:tcPr>
          <w:p w:rsidR="002A2E9D" w:rsidRPr="002A0940" w:rsidP="008A7338" w14:paraId="647A30F4" w14:textId="77777777">
            <w:pPr>
              <w:keepNext/>
              <w:keepLines/>
              <w:rPr>
                <w:sz w:val="22"/>
                <w:szCs w:val="22"/>
              </w:rPr>
            </w:pPr>
            <w:r w:rsidRPr="002A0940">
              <w:rPr>
                <w:sz w:val="22"/>
                <w:szCs w:val="22"/>
              </w:rPr>
              <w:t>10.0</w:t>
            </w:r>
          </w:p>
        </w:tc>
        <w:tc>
          <w:tcPr>
            <w:tcW w:w="4650" w:type="dxa"/>
            <w:shd w:val="clear" w:color="auto" w:fill="auto"/>
          </w:tcPr>
          <w:p w:rsidR="002A2E9D" w:rsidRPr="002A0940" w:rsidP="008A7338" w14:paraId="3EB4FB86" w14:textId="77777777">
            <w:pPr>
              <w:keepNext/>
              <w:keepLines/>
              <w:rPr>
                <w:sz w:val="22"/>
                <w:szCs w:val="22"/>
              </w:rPr>
            </w:pPr>
            <w:r w:rsidRPr="002A0940">
              <w:rPr>
                <w:sz w:val="22"/>
                <w:szCs w:val="22"/>
              </w:rPr>
              <w:t>-30.0</w:t>
            </w:r>
          </w:p>
        </w:tc>
      </w:tr>
      <w:tr w14:paraId="15D52BEC" w14:textId="77777777" w:rsidTr="131EC1CC">
        <w:tblPrEx>
          <w:tblW w:w="0" w:type="auto"/>
          <w:jc w:val="center"/>
          <w:tblLook w:val="04A0"/>
        </w:tblPrEx>
        <w:trPr>
          <w:jc w:val="center"/>
        </w:trPr>
        <w:tc>
          <w:tcPr>
            <w:tcW w:w="3595" w:type="dxa"/>
            <w:shd w:val="clear" w:color="auto" w:fill="auto"/>
          </w:tcPr>
          <w:p w:rsidR="002A2E9D" w:rsidRPr="002A0940" w:rsidP="008A7338" w14:paraId="7732503A" w14:textId="77777777">
            <w:pPr>
              <w:keepNext/>
              <w:keepLines/>
              <w:rPr>
                <w:sz w:val="22"/>
                <w:szCs w:val="22"/>
              </w:rPr>
            </w:pPr>
            <w:r w:rsidRPr="002A0940">
              <w:rPr>
                <w:sz w:val="22"/>
                <w:szCs w:val="22"/>
              </w:rPr>
              <w:t>20.0</w:t>
            </w:r>
          </w:p>
        </w:tc>
        <w:tc>
          <w:tcPr>
            <w:tcW w:w="4650" w:type="dxa"/>
            <w:shd w:val="clear" w:color="auto" w:fill="auto"/>
          </w:tcPr>
          <w:p w:rsidR="002A2E9D" w:rsidRPr="002A0940" w:rsidP="008A7338" w14:paraId="603CC16C" w14:textId="77777777">
            <w:pPr>
              <w:keepNext/>
              <w:keepLines/>
              <w:rPr>
                <w:sz w:val="22"/>
                <w:szCs w:val="22"/>
              </w:rPr>
            </w:pPr>
            <w:r w:rsidRPr="002A0940">
              <w:rPr>
                <w:sz w:val="22"/>
                <w:szCs w:val="22"/>
              </w:rPr>
              <w:t>-40.0</w:t>
            </w:r>
          </w:p>
        </w:tc>
      </w:tr>
    </w:tbl>
    <w:p w:rsidR="002A2E9D" w:rsidP="002A2E9D" w14:paraId="2E02AE7D" w14:textId="77777777">
      <w:pPr>
        <w:spacing w:after="240"/>
        <w:jc w:val="center"/>
        <w:rPr>
          <w:sz w:val="22"/>
          <w:szCs w:val="22"/>
        </w:rPr>
      </w:pPr>
      <w:r w:rsidRPr="002A0940">
        <w:rPr>
          <w:sz w:val="22"/>
          <w:szCs w:val="22"/>
        </w:rPr>
        <w:t>**See IEEE 802.11p-2010 Table I.8</w:t>
      </w:r>
    </w:p>
    <w:p w:rsidR="00CA317F" w:rsidP="004678E2" w14:paraId="7D689A60" w14:textId="12AC867A">
      <w:pPr>
        <w:pStyle w:val="ParaNum"/>
        <w:widowControl/>
        <w:numPr>
          <w:ilvl w:val="0"/>
          <w:numId w:val="0"/>
        </w:numPr>
        <w:tabs>
          <w:tab w:val="clear" w:pos="1440"/>
        </w:tabs>
        <w:spacing w:after="120"/>
        <w:ind w:firstLine="720"/>
        <w:jc w:val="left"/>
      </w:pPr>
      <w:r>
        <w:t xml:space="preserve">The </w:t>
      </w:r>
      <w:r w:rsidR="006005D2">
        <w:t>ITS licensees’</w:t>
      </w:r>
      <w:r>
        <w:t xml:space="preserve"> C-V2X RSU operations </w:t>
      </w:r>
      <w:r w:rsidRPr="00BB2698">
        <w:t>must protect DSRC and primary non-federal fixed-satellite service (Earth-to-space) operations in the 5.895</w:t>
      </w:r>
      <w:r w:rsidR="00405632">
        <w:t>–</w:t>
      </w:r>
      <w:r w:rsidRPr="00BB2698">
        <w:t xml:space="preserve">5.925 GHz band from harmful interference.  </w:t>
      </w:r>
      <w:r>
        <w:t>Prior to commencing C-V2X operations, t</w:t>
      </w:r>
      <w:r w:rsidRPr="00BB2698">
        <w:t xml:space="preserve">he </w:t>
      </w:r>
      <w:r w:rsidR="00533C6E">
        <w:t>ITS licensees</w:t>
      </w:r>
      <w:r w:rsidR="00897F3A">
        <w:t xml:space="preserve"> </w:t>
      </w:r>
      <w:r w:rsidRPr="00BB2698">
        <w:t xml:space="preserve">must </w:t>
      </w:r>
      <w:r>
        <w:t xml:space="preserve">successfully </w:t>
      </w:r>
      <w:r w:rsidRPr="00BB2698">
        <w:t xml:space="preserve">coordinate with </w:t>
      </w:r>
      <w:r>
        <w:t xml:space="preserve">all </w:t>
      </w:r>
      <w:r w:rsidRPr="00BB2698">
        <w:t xml:space="preserve">DSRC incumbent(s) </w:t>
      </w:r>
      <w:r>
        <w:t>whose licensed areas either overlap or are within 25 miles of the</w:t>
      </w:r>
      <w:r w:rsidR="00F0129D">
        <w:t>ir</w:t>
      </w:r>
      <w:r>
        <w:t xml:space="preserve"> license areas.  The purpose of this coordination is to ensure that harmful interference will not occur.</w:t>
      </w:r>
      <w:r>
        <w:rPr>
          <w:rStyle w:val="FootnoteReference"/>
        </w:rPr>
        <w:footnoteReference w:id="39"/>
      </w:r>
      <w:r>
        <w:t xml:space="preserve">  In addition, within 30 days of commencing operations, the</w:t>
      </w:r>
      <w:r w:rsidR="438EFFEC">
        <w:t xml:space="preserve"> </w:t>
      </w:r>
      <w:r w:rsidR="00F0129D">
        <w:t>ITS licensees</w:t>
      </w:r>
      <w:r>
        <w:t xml:space="preserve"> must file a report in the Universal Licensing System (ULS) confirming successful coordination (including the names of the DSRC incumbents and dates coordination was completed) or</w:t>
      </w:r>
      <w:r w:rsidR="00B92633">
        <w:t>,</w:t>
      </w:r>
      <w:r>
        <w:t xml:space="preserve"> if applicable, certifying that coordination was unnecessary and </w:t>
      </w:r>
      <w:r w:rsidR="00B92633">
        <w:t xml:space="preserve">must </w:t>
      </w:r>
      <w:r>
        <w:t>include a grandfathered list of RSU locations that will be converted from DSRC to C-V2X operation.  FCC staff will add a C-V2X special condition to these RSU locations and forward the grandfathered RSU list to NTIA.</w:t>
      </w:r>
    </w:p>
    <w:p w:rsidR="00FD0EB2" w:rsidP="007071F6" w14:paraId="731ECC17" w14:textId="3AA14245">
      <w:pPr>
        <w:pStyle w:val="ParaNum"/>
        <w:numPr>
          <w:ilvl w:val="0"/>
          <w:numId w:val="0"/>
        </w:numPr>
        <w:tabs>
          <w:tab w:val="clear" w:pos="1440"/>
        </w:tabs>
        <w:spacing w:after="120"/>
        <w:ind w:firstLine="720"/>
        <w:jc w:val="left"/>
      </w:pPr>
      <w:r w:rsidRPr="000B0C56">
        <w:rPr>
          <w:i/>
          <w:iCs/>
        </w:rPr>
        <w:t>RSU registration requirements</w:t>
      </w:r>
      <w:r w:rsidRPr="00B5253D">
        <w:rPr>
          <w:i/>
          <w:iCs/>
        </w:rPr>
        <w:t>.</w:t>
      </w:r>
      <w:r>
        <w:t xml:space="preserve">  </w:t>
      </w:r>
      <w:r w:rsidR="00717750">
        <w:t>ITS l</w:t>
      </w:r>
      <w:r>
        <w:t xml:space="preserve">icensees must register each RSU in ULS before operating the RSU.  RSUs included in the grandfathered DSRC RSU list being converted to C-V2X do not need to be filed in ULS.  RSU registrations are subject to the requirements of 47 CFR § 1.923 as applicable (antenna structure registration, environmental review, international coordination, and quiet zones). </w:t>
      </w:r>
      <w:r w:rsidR="004C2FBF">
        <w:t xml:space="preserve"> </w:t>
      </w:r>
      <w:r>
        <w:t>Additionally, RSUs at locations subject to NTIA coordination may not begin operation until the licensee receives NTIA approval.</w:t>
      </w:r>
      <w:r>
        <w:rPr>
          <w:rStyle w:val="FootnoteReference"/>
        </w:rPr>
        <w:footnoteReference w:id="40"/>
      </w:r>
      <w:r>
        <w:t xml:space="preserve">  Registrations are not effective until the Commission posts them in ULS.  It is the licensee’s responsibility to delete from the registration database any RSUs that have been discontinued.</w:t>
      </w:r>
      <w:r>
        <w:rPr>
          <w:rStyle w:val="FootnoteReference"/>
        </w:rPr>
        <w:footnoteReference w:id="41"/>
      </w:r>
    </w:p>
    <w:p w:rsidR="00F1707C" w:rsidP="003A453E" w14:paraId="6CBB9587" w14:textId="77777777">
      <w:pPr>
        <w:pStyle w:val="ParaNum"/>
        <w:numPr>
          <w:ilvl w:val="0"/>
          <w:numId w:val="0"/>
        </w:numPr>
        <w:tabs>
          <w:tab w:val="clear" w:pos="1440"/>
        </w:tabs>
        <w:spacing w:after="120"/>
        <w:ind w:firstLine="720"/>
        <w:jc w:val="left"/>
      </w:pPr>
      <w:r>
        <w:rPr>
          <w:i/>
          <w:iCs/>
        </w:rPr>
        <w:t>Compliance</w:t>
      </w:r>
      <w:r w:rsidRPr="00CC39B4">
        <w:rPr>
          <w:i/>
          <w:iCs/>
        </w:rPr>
        <w:t xml:space="preserve"> with Final Rules</w:t>
      </w:r>
      <w:r w:rsidRPr="00B5253D">
        <w:rPr>
          <w:i/>
          <w:iCs/>
        </w:rPr>
        <w:t>.</w:t>
      </w:r>
      <w:r>
        <w:t xml:space="preserve">  We intend by this Order to enable a fast transition to the next generation of technology in this spectrum band while the Commission contemplates the framework for final rules.  Consistent with this goal, we condition the waiver on the requirement that each waiver recipient will ensure that RSU and OBU operations and devices authorized under the waiver will comply with the final rules or other guidance provided by the Commission in any timeframe determined by the Commission.  This approach ensures that waiver recipients, including but not limited to equipment manufacturers, will consider the pendency of the final rulemaking, and incorporate technology that will allow prompt and efficient regulatory compliance with respect to individual RSUs, OBUs, and C-V2X-based operations once any relevant final rules are implemented.  Equipment manufacturers, in particular, must take steps to ensure that they can update or disable any OBUs deployed pursuant to this Order to bring these units into compliance with the final rules.  Recipients of this waiver should be aware that the Commission may further tailor this and other waiver conditions, if needed and as appropriate, as part of any determination it makes in the rulemaking proceeding.</w:t>
      </w:r>
    </w:p>
    <w:p w:rsidR="002A2E9D" w:rsidP="002A2E9D" w14:paraId="37ECBC44" w14:textId="77777777">
      <w:pPr>
        <w:pStyle w:val="Heading1"/>
      </w:pPr>
      <w:r>
        <w:t>Ordering Clauses</w:t>
      </w:r>
    </w:p>
    <w:p w:rsidR="002A2E9D" w:rsidP="00C13874" w14:paraId="0FFF41CA" w14:textId="4130D5D9">
      <w:pPr>
        <w:pStyle w:val="ParaNum"/>
        <w:numPr>
          <w:ilvl w:val="0"/>
          <w:numId w:val="0"/>
        </w:numPr>
        <w:tabs>
          <w:tab w:val="clear" w:pos="1440"/>
        </w:tabs>
        <w:ind w:firstLine="720"/>
        <w:jc w:val="left"/>
      </w:pPr>
      <w:r>
        <w:t xml:space="preserve">Accordingly, IT IS ORDERED that, pursuant to section 4(i) of the Communications Act, as amended, 47 U.S.C. § 154(i), and </w:t>
      </w:r>
      <w:r w:rsidR="00814D9B">
        <w:t>section</w:t>
      </w:r>
      <w:r w:rsidR="00832A67">
        <w:t xml:space="preserve"> </w:t>
      </w:r>
      <w:r>
        <w:t>1.925 of the Commission’s rules, 47 CFR § 1.925, each of the requests by the parties listed in Appendix A, attached hereto, to waive the requirements of sections 90.375, 90.377, 90.379, 95.3163, 95.3167, and 95.3189 of the Commission’s rules, 47 CFR §§ 90.375, 90.377, 90.379, 95.3163, 95.3167, 95.3189, are HEREBY GRANTED subject to the conditions outlined above, and ARE OTHERWISE DENIED.</w:t>
      </w:r>
    </w:p>
    <w:p w:rsidR="003B0AD4" w:rsidP="003B0AD4" w14:paraId="4F816B89" w14:textId="77777777">
      <w:pPr>
        <w:pStyle w:val="ParaNum"/>
        <w:numPr>
          <w:ilvl w:val="0"/>
          <w:numId w:val="0"/>
        </w:numPr>
        <w:tabs>
          <w:tab w:val="clear" w:pos="1440"/>
        </w:tabs>
        <w:ind w:firstLine="720"/>
        <w:jc w:val="left"/>
      </w:pPr>
      <w:r w:rsidRPr="00885C16">
        <w:t xml:space="preserve">IT IS FURTHER ORDERED that each of the requests to waive the requirements of 47 CFR § </w:t>
      </w:r>
      <w:r w:rsidRPr="00885C16">
        <w:t>2.106(d)(160) and 47 CFR § 95.3159 are HEREBY DISMISSED as moot.</w:t>
      </w:r>
    </w:p>
    <w:p w:rsidR="003B3551" w:rsidP="003B3551" w14:paraId="182AB079" w14:textId="57782788">
      <w:pPr>
        <w:pStyle w:val="ParaNum"/>
        <w:numPr>
          <w:ilvl w:val="0"/>
          <w:numId w:val="0"/>
        </w:numPr>
        <w:tabs>
          <w:tab w:val="clear" w:pos="1440"/>
        </w:tabs>
        <w:ind w:firstLine="720"/>
        <w:jc w:val="left"/>
      </w:pPr>
      <w:r w:rsidRPr="00F56EB8">
        <w:t xml:space="preserve">These actions are taken under delegated authority pursuant to sections </w:t>
      </w:r>
      <w:bookmarkStart w:id="0" w:name="_Hlk123701309"/>
      <w:r>
        <w:t xml:space="preserve">0.31, </w:t>
      </w:r>
      <w:r w:rsidRPr="00F56EB8">
        <w:t>0.131</w:t>
      </w:r>
      <w:r>
        <w:t>, 0.191, 0.241, 0.331</w:t>
      </w:r>
      <w:r w:rsidR="25C23F75">
        <w:t xml:space="preserve">, </w:t>
      </w:r>
      <w:r w:rsidRPr="00F56EB8">
        <w:t>0.3</w:t>
      </w:r>
      <w:r>
        <w:t>92</w:t>
      </w:r>
      <w:r w:rsidR="0E53D597">
        <w:t>, and 1.3</w:t>
      </w:r>
      <w:bookmarkEnd w:id="0"/>
      <w:r w:rsidRPr="00F56EB8">
        <w:t xml:space="preserve"> of the Commission’s rules, 47 CFR §§ </w:t>
      </w:r>
      <w:r>
        <w:t xml:space="preserve">0.31, </w:t>
      </w:r>
      <w:r w:rsidRPr="00F56EB8">
        <w:t>0.131</w:t>
      </w:r>
      <w:r>
        <w:t>, 0.191, 0.241, 0.33</w:t>
      </w:r>
      <w:r w:rsidR="15D342AD">
        <w:t xml:space="preserve">1, </w:t>
      </w:r>
      <w:r w:rsidRPr="00F56EB8">
        <w:t>0.3</w:t>
      </w:r>
      <w:r>
        <w:t>92</w:t>
      </w:r>
      <w:r w:rsidR="6F266116">
        <w:t>, 1.3,</w:t>
      </w:r>
      <w:r>
        <w:t xml:space="preserve"> and the </w:t>
      </w:r>
      <w:r w:rsidRPr="541CC2C5">
        <w:rPr>
          <w:i/>
          <w:iCs/>
        </w:rPr>
        <w:t>5.9 GHz First R&amp;O</w:t>
      </w:r>
      <w:r>
        <w:t>.</w:t>
      </w:r>
      <w:r>
        <w:rPr>
          <w:rStyle w:val="FootnoteReference"/>
        </w:rPr>
        <w:footnoteReference w:id="42"/>
      </w:r>
    </w:p>
    <w:p w:rsidR="00914CD2" w14:paraId="2298E4A1" w14:textId="0D9A367B">
      <w:pPr>
        <w:rPr>
          <w:sz w:val="22"/>
          <w:szCs w:val="22"/>
        </w:rPr>
      </w:pPr>
    </w:p>
    <w:p w:rsidR="002A2E9D" w:rsidRPr="002A0940" w:rsidP="003B3551" w14:paraId="3ED68109" w14:textId="45427BEC">
      <w:pPr>
        <w:pStyle w:val="ParaNum"/>
        <w:numPr>
          <w:ilvl w:val="0"/>
          <w:numId w:val="0"/>
        </w:numPr>
        <w:tabs>
          <w:tab w:val="clear" w:pos="1440"/>
        </w:tabs>
        <w:ind w:left="4320"/>
        <w:jc w:val="left"/>
        <w:rPr>
          <w:szCs w:val="22"/>
        </w:rPr>
      </w:pPr>
      <w:r w:rsidRPr="002A0940">
        <w:rPr>
          <w:szCs w:val="22"/>
        </w:rPr>
        <w:t>FEDERAL COMMUNICATIONS COMMISSION</w:t>
      </w:r>
    </w:p>
    <w:p w:rsidR="002A2E9D" w:rsidRPr="002A0940" w:rsidP="002A2E9D" w14:paraId="4621101C" w14:textId="77777777">
      <w:pPr>
        <w:keepNext/>
        <w:keepLines/>
        <w:rPr>
          <w:sz w:val="22"/>
          <w:szCs w:val="22"/>
        </w:rPr>
      </w:pPr>
    </w:p>
    <w:p w:rsidR="002A2E9D" w:rsidRPr="002A0940" w:rsidP="002A2E9D" w14:paraId="7D73D3D7" w14:textId="77777777">
      <w:pPr>
        <w:keepNext/>
        <w:keepLines/>
        <w:rPr>
          <w:sz w:val="22"/>
          <w:szCs w:val="22"/>
        </w:rPr>
      </w:pPr>
    </w:p>
    <w:p w:rsidR="006B48EB" w:rsidP="002A2E9D" w14:paraId="3FFD1D59"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p>
    <w:p w:rsidR="002A2E9D" w:rsidRPr="002A0940" w:rsidP="006B48EB" w14:paraId="5F92DEDB" w14:textId="31485BF9">
      <w:pPr>
        <w:keepNext/>
        <w:keepLines/>
        <w:ind w:left="3600" w:firstLine="720"/>
        <w:rPr>
          <w:sz w:val="22"/>
          <w:szCs w:val="22"/>
        </w:rPr>
      </w:pPr>
      <w:r w:rsidRPr="002A0940">
        <w:rPr>
          <w:sz w:val="22"/>
          <w:szCs w:val="22"/>
        </w:rPr>
        <w:t>Debra Jordan</w:t>
      </w:r>
    </w:p>
    <w:p w:rsidR="002A2E9D" w:rsidRPr="002A0940" w:rsidP="002A2E9D" w14:paraId="207C6C39"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 xml:space="preserve">Chief, Public Safety and Homeland Security Bureau </w:t>
      </w:r>
    </w:p>
    <w:p w:rsidR="002A2E9D" w:rsidRPr="002A0940" w:rsidP="002A2E9D" w14:paraId="6050996D" w14:textId="77777777">
      <w:pPr>
        <w:keepNext/>
        <w:keepLines/>
        <w:rPr>
          <w:sz w:val="22"/>
          <w:szCs w:val="22"/>
        </w:rPr>
      </w:pPr>
    </w:p>
    <w:p w:rsidR="002A2E9D" w:rsidRPr="002A0940" w:rsidP="002A2E9D" w14:paraId="0F1AD8D2" w14:textId="77777777">
      <w:pPr>
        <w:keepNext/>
        <w:keepLines/>
        <w:rPr>
          <w:sz w:val="22"/>
          <w:szCs w:val="22"/>
        </w:rPr>
      </w:pPr>
    </w:p>
    <w:p w:rsidR="002A2E9D" w:rsidRPr="002A0940" w:rsidP="002A2E9D" w14:paraId="13FCAB30" w14:textId="77777777">
      <w:pPr>
        <w:keepNext/>
        <w:keepLines/>
        <w:rPr>
          <w:sz w:val="22"/>
          <w:szCs w:val="22"/>
        </w:rPr>
      </w:pPr>
    </w:p>
    <w:p w:rsidR="002A2E9D" w:rsidRPr="002A0940" w:rsidP="002A2E9D" w14:paraId="5F3FFB12" w14:textId="77777777">
      <w:pPr>
        <w:keepNext/>
        <w:keepLines/>
        <w:rPr>
          <w:sz w:val="22"/>
          <w:szCs w:val="22"/>
        </w:rPr>
      </w:pPr>
    </w:p>
    <w:p w:rsidR="002A2E9D" w:rsidRPr="002A0940" w:rsidP="002A2E9D" w14:paraId="348FC8F1"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Ronald Repasi</w:t>
      </w:r>
    </w:p>
    <w:p w:rsidR="002A2E9D" w:rsidRPr="002A0940" w:rsidP="002A2E9D" w14:paraId="0B1C9281"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Chief, Office of Engineering and Technology</w:t>
      </w:r>
    </w:p>
    <w:p w:rsidR="002A2E9D" w:rsidRPr="002A0940" w:rsidP="002A2E9D" w14:paraId="622D273E" w14:textId="77777777">
      <w:pPr>
        <w:keepNext/>
        <w:keepLines/>
        <w:rPr>
          <w:sz w:val="22"/>
          <w:szCs w:val="22"/>
        </w:rPr>
      </w:pPr>
    </w:p>
    <w:p w:rsidR="002A2E9D" w:rsidRPr="002A0940" w:rsidP="002A2E9D" w14:paraId="79476131" w14:textId="77777777">
      <w:pPr>
        <w:keepNext/>
        <w:keepLines/>
        <w:rPr>
          <w:sz w:val="22"/>
          <w:szCs w:val="22"/>
        </w:rPr>
      </w:pPr>
    </w:p>
    <w:p w:rsidR="002A2E9D" w:rsidRPr="002A0940" w:rsidP="002A2E9D" w14:paraId="426895AD" w14:textId="77777777">
      <w:pPr>
        <w:keepNext/>
        <w:keepLines/>
        <w:rPr>
          <w:sz w:val="22"/>
          <w:szCs w:val="22"/>
        </w:rPr>
      </w:pPr>
    </w:p>
    <w:p w:rsidR="002A2E9D" w:rsidRPr="002A0940" w:rsidP="002A2E9D" w14:paraId="4142F7DF" w14:textId="77777777">
      <w:pPr>
        <w:keepNext/>
        <w:keepLines/>
        <w:rPr>
          <w:sz w:val="22"/>
          <w:szCs w:val="22"/>
        </w:rPr>
      </w:pPr>
    </w:p>
    <w:p w:rsidR="002A2E9D" w:rsidRPr="002A0940" w:rsidP="002A2E9D" w14:paraId="412C00AD"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Joel Taubenblatt</w:t>
      </w:r>
    </w:p>
    <w:p w:rsidR="002A2E9D" w:rsidRPr="002A0940" w:rsidP="002A2E9D" w14:paraId="5022BE72" w14:textId="77777777">
      <w:pPr>
        <w:keepNext/>
        <w:keepLines/>
        <w:rPr>
          <w:sz w:val="22"/>
          <w:szCs w:val="22"/>
        </w:rPr>
      </w:pP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r>
      <w:r w:rsidRPr="002A0940">
        <w:rPr>
          <w:sz w:val="22"/>
          <w:szCs w:val="22"/>
        </w:rPr>
        <w:tab/>
        <w:t>Chief, Wireless Telecommunications Bureau</w:t>
      </w:r>
    </w:p>
    <w:p w:rsidR="002A2E9D" w:rsidRPr="002A0940" w:rsidP="002A0940" w14:paraId="38E0FD17" w14:textId="53AAD4A7">
      <w:pPr>
        <w:jc w:val="center"/>
        <w:rPr>
          <w:b/>
          <w:bCs/>
          <w:sz w:val="22"/>
          <w:szCs w:val="22"/>
        </w:rPr>
      </w:pPr>
      <w:r>
        <w:br w:type="page"/>
      </w:r>
      <w:r w:rsidRPr="002A0940">
        <w:rPr>
          <w:b/>
          <w:bCs/>
          <w:sz w:val="22"/>
          <w:szCs w:val="22"/>
        </w:rPr>
        <w:t>APPENDIX A</w:t>
      </w:r>
    </w:p>
    <w:p w:rsidR="002A2E9D" w:rsidRPr="002A0940" w:rsidP="002A2E9D" w14:paraId="2A5A26BC" w14:textId="77777777">
      <w:pPr>
        <w:keepNext/>
        <w:keepLines/>
        <w:jc w:val="center"/>
        <w:rPr>
          <w:b/>
          <w:bCs/>
          <w:sz w:val="22"/>
          <w:szCs w:val="22"/>
        </w:rPr>
      </w:pPr>
      <w:r w:rsidRPr="002A0940">
        <w:rPr>
          <w:b/>
          <w:bCs/>
          <w:sz w:val="22"/>
          <w:szCs w:val="22"/>
        </w:rPr>
        <w:t>WAIVER PETITIONS/APPLICANTS</w:t>
      </w:r>
    </w:p>
    <w:p w:rsidR="002A2E9D" w:rsidP="002A2E9D" w14:paraId="5F8CC9CB" w14:textId="77777777">
      <w:pPr>
        <w:keepNext/>
        <w:keepLines/>
        <w:jc w:val="center"/>
        <w:rPr>
          <w:szCs w:val="22"/>
        </w:rPr>
      </w:pPr>
    </w:p>
    <w:p w:rsidR="002A2E9D" w:rsidRPr="00F46E2C" w:rsidP="005F509C" w14:paraId="3726663C" w14:textId="465F6B5B">
      <w:pPr>
        <w:pStyle w:val="ParaNum"/>
        <w:numPr>
          <w:ilvl w:val="0"/>
          <w:numId w:val="0"/>
        </w:numPr>
        <w:jc w:val="left"/>
      </w:pPr>
      <w:r>
        <w:t xml:space="preserve">1.  </w:t>
      </w:r>
      <w:r w:rsidRPr="00016123" w:rsidR="00FF1D22">
        <w:rPr>
          <w:u w:val="single"/>
        </w:rPr>
        <w:t>Ettifos Co.</w:t>
      </w:r>
      <w:r w:rsidR="00016123">
        <w:t xml:space="preserve">  </w:t>
      </w:r>
      <w:r w:rsidRPr="008C3BDD" w:rsidR="00016123">
        <w:rPr>
          <w:i/>
          <w:iCs/>
        </w:rPr>
        <w:t>See</w:t>
      </w:r>
      <w:r w:rsidR="00016123">
        <w:t xml:space="preserve"> Request for Waiver of 5.9 GHz Band Rules to Permit Deployments of Cellular Vehicle-to-Everything Technology, Ettifos Co., ET Docket No. 19-138 (filed Dec. 2</w:t>
      </w:r>
      <w:r w:rsidR="0053230D">
        <w:t>7</w:t>
      </w:r>
      <w:r w:rsidR="00016123">
        <w:t xml:space="preserve">, 20223) </w:t>
      </w:r>
      <w:r w:rsidRPr="00063BB5" w:rsidR="00016123">
        <w:rPr>
          <w:bCs/>
        </w:rPr>
        <w:t>(</w:t>
      </w:r>
      <w:r w:rsidR="0053230D">
        <w:rPr>
          <w:bCs/>
          <w:i/>
          <w:iCs/>
        </w:rPr>
        <w:t>Ettifos</w:t>
      </w:r>
      <w:r w:rsidRPr="00063BB5" w:rsidR="00016123">
        <w:rPr>
          <w:bCs/>
          <w:i/>
          <w:iCs/>
        </w:rPr>
        <w:t xml:space="preserve"> Waiver Reque</w:t>
      </w:r>
      <w:r w:rsidR="00016123">
        <w:rPr>
          <w:bCs/>
          <w:i/>
          <w:iCs/>
        </w:rPr>
        <w:t>st</w:t>
      </w:r>
      <w:r w:rsidR="00016123">
        <w:rPr>
          <w:bCs/>
        </w:rPr>
        <w:t>),</w:t>
      </w:r>
      <w:r w:rsidR="00F5072C">
        <w:rPr>
          <w:bCs/>
        </w:rPr>
        <w:t xml:space="preserve"> </w:t>
      </w:r>
      <w:hyperlink r:id="rId5" w:history="1">
        <w:r w:rsidRPr="00721DA2" w:rsidR="00F5072C">
          <w:rPr>
            <w:rStyle w:val="Hyperlink"/>
            <w:bCs/>
          </w:rPr>
          <w:t>https://www.fcc.gov/ecfs/document/12270443126582/1</w:t>
        </w:r>
      </w:hyperlink>
      <w:r w:rsidR="00F5072C">
        <w:rPr>
          <w:bCs/>
        </w:rPr>
        <w:t xml:space="preserve">. </w:t>
      </w:r>
    </w:p>
    <w:p w:rsidR="002A2E9D" w:rsidP="002A2E9D" w14:paraId="16D37B5A" w14:textId="51074890">
      <w:pPr>
        <w:pStyle w:val="ParaNum"/>
        <w:numPr>
          <w:ilvl w:val="0"/>
          <w:numId w:val="0"/>
        </w:numPr>
        <w:jc w:val="left"/>
      </w:pPr>
      <w:r w:rsidRPr="003A4B09">
        <w:t xml:space="preserve">2.  </w:t>
      </w:r>
      <w:r w:rsidRPr="00563755" w:rsidR="002C5C3C">
        <w:rPr>
          <w:u w:val="single"/>
        </w:rPr>
        <w:t xml:space="preserve">Pennsylvania </w:t>
      </w:r>
      <w:r w:rsidRPr="003B15C2" w:rsidR="002C5C3C">
        <w:rPr>
          <w:u w:val="single"/>
        </w:rPr>
        <w:t>Department of Transportation</w:t>
      </w:r>
      <w:r w:rsidR="002C5C3C">
        <w:t xml:space="preserve">.  </w:t>
      </w:r>
      <w:r w:rsidRPr="008C3BDD" w:rsidR="002C5C3C">
        <w:rPr>
          <w:i/>
          <w:iCs/>
        </w:rPr>
        <w:t>See</w:t>
      </w:r>
      <w:r w:rsidR="002C5C3C">
        <w:t xml:space="preserve"> Request for Waiver of 5.9 GHz Band Rules to Permit Deployments of Cellular Vehicle-to-Everything Technology, Pennsylvania Department of Transportation, ET Docket No. 19-138 (filed Dec. 22, 20223) </w:t>
      </w:r>
      <w:r w:rsidRPr="00063BB5" w:rsidR="002C5C3C">
        <w:rPr>
          <w:bCs/>
        </w:rPr>
        <w:t>(</w:t>
      </w:r>
      <w:r w:rsidR="002C5C3C">
        <w:rPr>
          <w:bCs/>
          <w:i/>
          <w:iCs/>
        </w:rPr>
        <w:t>PADOT</w:t>
      </w:r>
      <w:r w:rsidRPr="00063BB5" w:rsidR="002C5C3C">
        <w:rPr>
          <w:bCs/>
          <w:i/>
          <w:iCs/>
        </w:rPr>
        <w:t xml:space="preserve"> Waiver Reque</w:t>
      </w:r>
      <w:r w:rsidR="002C5C3C">
        <w:rPr>
          <w:bCs/>
          <w:i/>
          <w:iCs/>
        </w:rPr>
        <w:t>st</w:t>
      </w:r>
      <w:r w:rsidR="002C5C3C">
        <w:rPr>
          <w:bCs/>
        </w:rPr>
        <w:t xml:space="preserve">), </w:t>
      </w:r>
      <w:hyperlink r:id="rId6" w:history="1">
        <w:r w:rsidRPr="00721DA2" w:rsidR="002C5C3C">
          <w:rPr>
            <w:rStyle w:val="Hyperlink"/>
            <w:bCs/>
          </w:rPr>
          <w:t>https://www.fcc.gov/ecfs/document/122212361623/1</w:t>
        </w:r>
      </w:hyperlink>
      <w:r w:rsidR="002C5C3C">
        <w:rPr>
          <w:bCs/>
        </w:rPr>
        <w:t xml:space="preserve">. </w:t>
      </w:r>
      <w:r w:rsidR="002C5C3C">
        <w:t xml:space="preserve"> </w:t>
      </w:r>
      <w:r w:rsidR="00FB7F3A">
        <w:t xml:space="preserve">  </w:t>
      </w:r>
      <w:r w:rsidR="00CD40AE">
        <w:t xml:space="preserve"> </w:t>
      </w:r>
      <w:r>
        <w:t xml:space="preserve"> </w:t>
      </w:r>
    </w:p>
    <w:p w:rsidR="004A6EFD" w:rsidP="002A2E9D" w14:paraId="405835B8" w14:textId="2B0EB47C">
      <w:pPr>
        <w:pStyle w:val="ParaNum"/>
        <w:numPr>
          <w:ilvl w:val="0"/>
          <w:numId w:val="0"/>
        </w:numPr>
        <w:jc w:val="left"/>
      </w:pPr>
      <w:r>
        <w:t>3</w:t>
      </w:r>
      <w:r w:rsidR="000D5625">
        <w:t xml:space="preserve">.  </w:t>
      </w:r>
      <w:r w:rsidRPr="00A4404C" w:rsidR="00A4404C">
        <w:rPr>
          <w:u w:val="single"/>
        </w:rPr>
        <w:t>Battelle Memorial Institute</w:t>
      </w:r>
      <w:r w:rsidR="003F2BD1">
        <w:t xml:space="preserve">.  </w:t>
      </w:r>
      <w:r w:rsidRPr="00827910" w:rsidR="002A2E9D">
        <w:rPr>
          <w:i/>
          <w:iCs/>
        </w:rPr>
        <w:t>See</w:t>
      </w:r>
      <w:r w:rsidR="002A2E9D">
        <w:t xml:space="preserve"> Request for Waiver of 5.9 GHz Band Rules to Permit Deployments of Cellular Vehicle-to</w:t>
      </w:r>
      <w:r w:rsidR="05762FDB">
        <w:t>-</w:t>
      </w:r>
      <w:r w:rsidR="002A2E9D">
        <w:t xml:space="preserve">Everything Technology, </w:t>
      </w:r>
      <w:r w:rsidR="00A4404C">
        <w:t>Battelle Memorial Institute</w:t>
      </w:r>
      <w:r w:rsidR="002A2E9D">
        <w:t xml:space="preserve">, ET Docket No. 19-138 (filed </w:t>
      </w:r>
      <w:r w:rsidR="001E0BA1">
        <w:t>Nov</w:t>
      </w:r>
      <w:r w:rsidR="002A2E9D">
        <w:t xml:space="preserve">. </w:t>
      </w:r>
      <w:r w:rsidR="001E0BA1">
        <w:t>28</w:t>
      </w:r>
      <w:r w:rsidR="002A2E9D">
        <w:t>, 202</w:t>
      </w:r>
      <w:r>
        <w:t>3</w:t>
      </w:r>
      <w:r w:rsidR="002A2E9D">
        <w:t xml:space="preserve">) </w:t>
      </w:r>
      <w:r w:rsidRPr="00063BB5" w:rsidR="002A2E9D">
        <w:rPr>
          <w:bCs/>
        </w:rPr>
        <w:t>(</w:t>
      </w:r>
      <w:r w:rsidR="00CF412F">
        <w:rPr>
          <w:bCs/>
          <w:i/>
          <w:iCs/>
        </w:rPr>
        <w:t>Battelle</w:t>
      </w:r>
      <w:r w:rsidRPr="00063BB5" w:rsidR="002A2E9D">
        <w:rPr>
          <w:bCs/>
          <w:i/>
          <w:iCs/>
        </w:rPr>
        <w:t xml:space="preserve"> Waiver Request</w:t>
      </w:r>
      <w:r w:rsidRPr="00063BB5" w:rsidR="002A2E9D">
        <w:rPr>
          <w:bCs/>
        </w:rPr>
        <w:t>)</w:t>
      </w:r>
      <w:r w:rsidR="002A2E9D">
        <w:t xml:space="preserve">, </w:t>
      </w:r>
      <w:hyperlink r:id="rId7" w:history="1">
        <w:r w:rsidRPr="00721DA2" w:rsidR="00D553B0">
          <w:rPr>
            <w:rStyle w:val="Hyperlink"/>
          </w:rPr>
          <w:t>https://www.fcc.gov/ecfs/document/112832256890/1</w:t>
        </w:r>
      </w:hyperlink>
      <w:r w:rsidR="00D553B0">
        <w:t xml:space="preserve">. </w:t>
      </w:r>
    </w:p>
    <w:p w:rsidR="004454AB" w:rsidP="002A2E9D" w14:paraId="2BC270E3" w14:textId="172BA181">
      <w:pPr>
        <w:pStyle w:val="ParaNum"/>
        <w:numPr>
          <w:ilvl w:val="0"/>
          <w:numId w:val="0"/>
        </w:numPr>
        <w:jc w:val="left"/>
      </w:pPr>
      <w:r>
        <w:t>4</w:t>
      </w:r>
      <w:r w:rsidR="00CE0E60">
        <w:t>.</w:t>
      </w:r>
      <w:r>
        <w:t xml:space="preserve">  </w:t>
      </w:r>
      <w:r w:rsidRPr="00605250" w:rsidR="00EC117E">
        <w:rPr>
          <w:u w:val="single"/>
        </w:rPr>
        <w:t>Continental</w:t>
      </w:r>
      <w:r w:rsidRPr="00605250" w:rsidR="00605250">
        <w:rPr>
          <w:u w:val="single"/>
        </w:rPr>
        <w:t xml:space="preserve"> Automotive</w:t>
      </w:r>
      <w:r w:rsidR="003C3E6A">
        <w:rPr>
          <w:u w:val="single"/>
        </w:rPr>
        <w:t xml:space="preserve"> Systems, Inc</w:t>
      </w:r>
      <w:r>
        <w:t xml:space="preserve">.  </w:t>
      </w:r>
      <w:r w:rsidRPr="006C77E7">
        <w:rPr>
          <w:i/>
          <w:iCs/>
        </w:rPr>
        <w:t>See</w:t>
      </w:r>
      <w:r>
        <w:t xml:space="preserve"> Request for Waiver of 5.9 GHz Band Rules to Permit Deployments of Cellular Vehicle-to-Everything Technology, </w:t>
      </w:r>
      <w:r w:rsidR="00605250">
        <w:t>Continental Automotive</w:t>
      </w:r>
      <w:r w:rsidR="005531DD">
        <w:t xml:space="preserve"> Systems, Inc.</w:t>
      </w:r>
      <w:r>
        <w:t xml:space="preserve">, ET Docket No. 19-138 (filed </w:t>
      </w:r>
      <w:r w:rsidR="005531DD">
        <w:t>Jan</w:t>
      </w:r>
      <w:r>
        <w:t xml:space="preserve">. </w:t>
      </w:r>
      <w:r w:rsidR="005531DD">
        <w:t>2</w:t>
      </w:r>
      <w:r>
        <w:t xml:space="preserve">3, 2023) </w:t>
      </w:r>
      <w:r w:rsidRPr="00063BB5">
        <w:rPr>
          <w:bCs/>
        </w:rPr>
        <w:t>(</w:t>
      </w:r>
      <w:r w:rsidR="00605250">
        <w:rPr>
          <w:bCs/>
          <w:i/>
          <w:iCs/>
        </w:rPr>
        <w:t>Continental</w:t>
      </w:r>
      <w:r w:rsidRPr="00063BB5">
        <w:rPr>
          <w:bCs/>
          <w:i/>
          <w:iCs/>
        </w:rPr>
        <w:t xml:space="preserve"> Waiver Request</w:t>
      </w:r>
      <w:r w:rsidRPr="00063BB5">
        <w:rPr>
          <w:bCs/>
        </w:rPr>
        <w:t>)</w:t>
      </w:r>
      <w:r>
        <w:t>,</w:t>
      </w:r>
      <w:r w:rsidR="00605250">
        <w:t xml:space="preserve"> </w:t>
      </w:r>
      <w:hyperlink r:id="rId8" w:history="1">
        <w:r w:rsidRPr="00232E52" w:rsidR="00A13E2C">
          <w:rPr>
            <w:rStyle w:val="Hyperlink"/>
          </w:rPr>
          <w:t>https://www.fcc.gov/ecfs/document/1012352190998/1</w:t>
        </w:r>
      </w:hyperlink>
      <w:r>
        <w:t xml:space="preserve">; </w:t>
      </w:r>
      <w:r w:rsidRPr="00EB6CB3">
        <w:rPr>
          <w:i/>
          <w:iCs/>
        </w:rPr>
        <w:t>see also</w:t>
      </w:r>
      <w:r>
        <w:t xml:space="preserve"> Letter from </w:t>
      </w:r>
      <w:r w:rsidR="00C3013F">
        <w:t>Kirby Howard</w:t>
      </w:r>
      <w:r w:rsidR="0077451E">
        <w:t>, Government Affairs, Continental Automotive Systems</w:t>
      </w:r>
      <w:r>
        <w:t xml:space="preserve">, to Marlene H. Dortch, Secretary, FCC, ET Docket No. 19-138 (filed </w:t>
      </w:r>
      <w:r w:rsidR="0077451E">
        <w:t>Nov</w:t>
      </w:r>
      <w:r>
        <w:t xml:space="preserve">. </w:t>
      </w:r>
      <w:r w:rsidR="0077451E">
        <w:t>3</w:t>
      </w:r>
      <w:r>
        <w:t xml:space="preserve">, 2023) </w:t>
      </w:r>
      <w:r w:rsidRPr="00063BB5">
        <w:rPr>
          <w:bCs/>
        </w:rPr>
        <w:t>(</w:t>
      </w:r>
      <w:r w:rsidR="0077451E">
        <w:rPr>
          <w:bCs/>
          <w:i/>
          <w:iCs/>
        </w:rPr>
        <w:t>Continental</w:t>
      </w:r>
      <w:r w:rsidRPr="00063BB5">
        <w:rPr>
          <w:bCs/>
          <w:i/>
          <w:iCs/>
        </w:rPr>
        <w:t xml:space="preserve"> Waiver Supplement</w:t>
      </w:r>
      <w:r w:rsidRPr="00063BB5">
        <w:rPr>
          <w:bCs/>
        </w:rPr>
        <w:t>)</w:t>
      </w:r>
      <w:r>
        <w:t>,</w:t>
      </w:r>
      <w:r w:rsidR="009B35DA">
        <w:t xml:space="preserve"> </w:t>
      </w:r>
      <w:hyperlink r:id="rId9" w:history="1">
        <w:r w:rsidRPr="00721DA2" w:rsidR="004508AC">
          <w:rPr>
            <w:rStyle w:val="Hyperlink"/>
          </w:rPr>
          <w:t>https://www.fcc.gov/ecfs/document/11031027100550/1</w:t>
        </w:r>
      </w:hyperlink>
      <w:r w:rsidR="004508AC">
        <w:t xml:space="preserve">. </w:t>
      </w:r>
      <w:r>
        <w:t xml:space="preserve"> </w:t>
      </w:r>
      <w:r w:rsidR="002A2E9D">
        <w:t xml:space="preserve">  </w:t>
      </w:r>
    </w:p>
    <w:p w:rsidR="00284DB5" w:rsidP="002A2E9D" w14:paraId="70961F98" w14:textId="77777777">
      <w:pPr>
        <w:pStyle w:val="ParaNum"/>
        <w:numPr>
          <w:ilvl w:val="0"/>
          <w:numId w:val="0"/>
        </w:numPr>
        <w:jc w:val="left"/>
      </w:pPr>
      <w:r>
        <w:t>5</w:t>
      </w:r>
      <w:r w:rsidR="002A2E9D">
        <w:t xml:space="preserve">.  </w:t>
      </w:r>
      <w:r w:rsidRPr="00224D31" w:rsidR="00E23720">
        <w:rPr>
          <w:u w:val="single"/>
        </w:rPr>
        <w:t xml:space="preserve">The Illinois State </w:t>
      </w:r>
      <w:r w:rsidRPr="00224D31" w:rsidR="00224D31">
        <w:rPr>
          <w:u w:val="single"/>
        </w:rPr>
        <w:t>Toll Highway Authority</w:t>
      </w:r>
      <w:r w:rsidR="00224D31">
        <w:t>.</w:t>
      </w:r>
      <w:r w:rsidR="00542AF9">
        <w:t xml:space="preserve">  </w:t>
      </w:r>
      <w:r w:rsidRPr="00827910" w:rsidR="002A2E9D">
        <w:rPr>
          <w:i/>
          <w:iCs/>
        </w:rPr>
        <w:t>See</w:t>
      </w:r>
      <w:r w:rsidR="002A2E9D">
        <w:t xml:space="preserve"> Request for Waiver of 5.9 GHz Band Rules to Permit Deployments of Cellular Vehicle-to</w:t>
      </w:r>
      <w:r w:rsidR="6AB28D2A">
        <w:t>-</w:t>
      </w:r>
      <w:r w:rsidR="002A2E9D">
        <w:t xml:space="preserve">Everything Technology, </w:t>
      </w:r>
      <w:r w:rsidR="00277DDB">
        <w:t xml:space="preserve">the Illinois State Toll Highway </w:t>
      </w:r>
      <w:r w:rsidR="00016F4E">
        <w:t>Authority</w:t>
      </w:r>
      <w:r w:rsidR="00B53855">
        <w:t>,</w:t>
      </w:r>
      <w:r w:rsidR="002A2E9D">
        <w:t xml:space="preserve"> ET Docket No. 19-138 (filed </w:t>
      </w:r>
      <w:r w:rsidR="00277DDB">
        <w:t>Oct</w:t>
      </w:r>
      <w:r w:rsidR="002A2E9D">
        <w:t xml:space="preserve">. </w:t>
      </w:r>
      <w:r w:rsidR="00C0098A">
        <w:t>2</w:t>
      </w:r>
      <w:r w:rsidR="00277DDB">
        <w:t>5</w:t>
      </w:r>
      <w:r w:rsidR="002A2E9D">
        <w:t>, 202</w:t>
      </w:r>
      <w:r w:rsidR="00C0098A">
        <w:t>3</w:t>
      </w:r>
      <w:r w:rsidR="002A2E9D">
        <w:t xml:space="preserve">) </w:t>
      </w:r>
      <w:r w:rsidRPr="00063BB5" w:rsidR="002A2E9D">
        <w:rPr>
          <w:bCs/>
        </w:rPr>
        <w:t>(</w:t>
      </w:r>
      <w:r w:rsidR="00277DDB">
        <w:rPr>
          <w:bCs/>
          <w:i/>
          <w:iCs/>
        </w:rPr>
        <w:t>ISTHA</w:t>
      </w:r>
      <w:r w:rsidRPr="00063BB5" w:rsidR="002A2E9D">
        <w:rPr>
          <w:bCs/>
          <w:i/>
          <w:iCs/>
        </w:rPr>
        <w:t xml:space="preserve"> Waiver Request</w:t>
      </w:r>
      <w:r w:rsidRPr="00063BB5" w:rsidR="002A2E9D">
        <w:rPr>
          <w:bCs/>
        </w:rPr>
        <w:t>)</w:t>
      </w:r>
      <w:r w:rsidR="002A2E9D">
        <w:t xml:space="preserve">, </w:t>
      </w:r>
      <w:hyperlink r:id="rId10" w:history="1">
        <w:r w:rsidRPr="00721DA2" w:rsidR="006D0950">
          <w:rPr>
            <w:rStyle w:val="Hyperlink"/>
          </w:rPr>
          <w:t>https://www.fcc.gov/ecfs/document/102590086305/1</w:t>
        </w:r>
      </w:hyperlink>
      <w:r w:rsidR="006D0950">
        <w:t>.</w:t>
      </w:r>
    </w:p>
    <w:p w:rsidR="00C0098A" w:rsidP="002A2E9D" w14:paraId="5F4C2850" w14:textId="023936AF">
      <w:pPr>
        <w:pStyle w:val="ParaNum"/>
        <w:numPr>
          <w:ilvl w:val="0"/>
          <w:numId w:val="0"/>
        </w:numPr>
        <w:jc w:val="left"/>
      </w:pPr>
      <w:r>
        <w:t xml:space="preserve">6.  </w:t>
      </w:r>
      <w:r w:rsidRPr="00415E25">
        <w:rPr>
          <w:u w:val="single"/>
        </w:rPr>
        <w:t xml:space="preserve">The Contra Costa </w:t>
      </w:r>
      <w:r w:rsidRPr="00415E25" w:rsidR="002A077B">
        <w:rPr>
          <w:u w:val="single"/>
        </w:rPr>
        <w:t>Transportation Authority</w:t>
      </w:r>
      <w:r w:rsidR="002A077B">
        <w:t xml:space="preserve">.  </w:t>
      </w:r>
      <w:r w:rsidRPr="00415E25" w:rsidR="002A077B">
        <w:rPr>
          <w:i/>
          <w:iCs/>
        </w:rPr>
        <w:t>See</w:t>
      </w:r>
      <w:r w:rsidR="006D0950">
        <w:t xml:space="preserve"> </w:t>
      </w:r>
      <w:r w:rsidR="002A077B">
        <w:t>Request for Waiver of 5.9 GHz Band Rules to Permit Deployments of Cellular Vehicle-to-Everything Technology, the Contra Costa Transportation Authority,</w:t>
      </w:r>
      <w:r w:rsidR="00263D4E">
        <w:t xml:space="preserve"> </w:t>
      </w:r>
      <w:r w:rsidR="00187B29">
        <w:t xml:space="preserve">ET Docket No. 19-138, </w:t>
      </w:r>
      <w:r w:rsidR="007A28B0">
        <w:t>ULS File No. 00108</w:t>
      </w:r>
      <w:r w:rsidR="00497084">
        <w:t>06429</w:t>
      </w:r>
      <w:r w:rsidR="002A077B">
        <w:t xml:space="preserve"> (filed </w:t>
      </w:r>
      <w:r w:rsidR="007E3BDF">
        <w:t>Dec</w:t>
      </w:r>
      <w:r w:rsidR="002A077B">
        <w:t xml:space="preserve">. </w:t>
      </w:r>
      <w:r w:rsidR="00204DA6">
        <w:t>6</w:t>
      </w:r>
      <w:r w:rsidR="002A077B">
        <w:t xml:space="preserve">, 2023) </w:t>
      </w:r>
      <w:r w:rsidRPr="00063BB5" w:rsidR="002A077B">
        <w:rPr>
          <w:bCs/>
        </w:rPr>
        <w:t>(</w:t>
      </w:r>
      <w:r w:rsidR="005A4992">
        <w:rPr>
          <w:bCs/>
          <w:i/>
          <w:iCs/>
        </w:rPr>
        <w:t>CCTA</w:t>
      </w:r>
      <w:r w:rsidRPr="00063BB5" w:rsidR="002A077B">
        <w:rPr>
          <w:bCs/>
          <w:i/>
          <w:iCs/>
        </w:rPr>
        <w:t xml:space="preserve"> Waiver Request</w:t>
      </w:r>
      <w:r w:rsidRPr="00063BB5" w:rsidR="002A077B">
        <w:rPr>
          <w:bCs/>
        </w:rPr>
        <w:t>)</w:t>
      </w:r>
      <w:r w:rsidR="002A077B">
        <w:t>,</w:t>
      </w:r>
      <w:r w:rsidR="00204DA6">
        <w:t xml:space="preserve"> </w:t>
      </w:r>
      <w:hyperlink r:id="rId11" w:history="1">
        <w:r w:rsidRPr="00917479" w:rsidR="00204DA6">
          <w:rPr>
            <w:rStyle w:val="Hyperlink"/>
          </w:rPr>
          <w:t>https://wireless2.fcc.gov/UlsEntry/attachments/attachmentViewRD.jsp?applType=search&amp;fileKey=1683598620&amp;attachmentKey=21891128&amp;attachmentInd=applAttach</w:t>
        </w:r>
      </w:hyperlink>
      <w:r w:rsidR="00204DA6">
        <w:t xml:space="preserve">. </w:t>
      </w:r>
    </w:p>
    <w:p w:rsidR="000E7B95" w:rsidP="002A2E9D" w14:paraId="35808AAD" w14:textId="6B8DA7D3">
      <w:pPr>
        <w:pStyle w:val="ParaNum"/>
        <w:numPr>
          <w:ilvl w:val="0"/>
          <w:numId w:val="0"/>
        </w:numPr>
        <w:jc w:val="left"/>
        <w:rPr>
          <w:bCs/>
        </w:rPr>
      </w:pPr>
      <w:r>
        <w:t xml:space="preserve">7. </w:t>
      </w:r>
      <w:r w:rsidR="00CA121A">
        <w:t xml:space="preserve"> </w:t>
      </w:r>
      <w:r w:rsidRPr="00415E25" w:rsidR="00DF3B5D">
        <w:rPr>
          <w:u w:val="single"/>
        </w:rPr>
        <w:t>State of Louisiana Department of Transportation and Development</w:t>
      </w:r>
      <w:r w:rsidR="00E85FD7">
        <w:rPr>
          <w:u w:val="single"/>
        </w:rPr>
        <w:t xml:space="preserve"> WQCR805</w:t>
      </w:r>
      <w:r w:rsidR="00DF3B5D">
        <w:t xml:space="preserve">.  </w:t>
      </w:r>
      <w:r w:rsidRPr="00415E25" w:rsidR="00C73210">
        <w:rPr>
          <w:i/>
          <w:iCs/>
        </w:rPr>
        <w:t>See</w:t>
      </w:r>
      <w:r w:rsidR="00C73210">
        <w:t xml:space="preserve"> </w:t>
      </w:r>
      <w:r w:rsidR="00F5626F">
        <w:t xml:space="preserve">Request for Waiver of 5.9 GHz Band Rules to Permit Deployments of Cellular Vehicle-to-Everything Technology, the </w:t>
      </w:r>
      <w:r w:rsidRPr="008B6A93" w:rsidR="00816995">
        <w:rPr>
          <w:u w:val="single"/>
        </w:rPr>
        <w:t>State of Louisiana Department of Transportation and Development</w:t>
      </w:r>
      <w:r w:rsidR="00F5626F">
        <w:t xml:space="preserve">, </w:t>
      </w:r>
      <w:r w:rsidR="00187B29">
        <w:t xml:space="preserve">ET Docket No. 19-138, </w:t>
      </w:r>
      <w:r w:rsidR="0091581B">
        <w:t>ULS File No. 0010</w:t>
      </w:r>
      <w:r w:rsidR="007E522D">
        <w:t>940003</w:t>
      </w:r>
      <w:r w:rsidR="0091581B">
        <w:t xml:space="preserve"> </w:t>
      </w:r>
      <w:r w:rsidR="00F5626F">
        <w:t xml:space="preserve">(filed </w:t>
      </w:r>
      <w:r w:rsidR="007E522D">
        <w:t>Feb.</w:t>
      </w:r>
      <w:r w:rsidR="00F5626F">
        <w:t xml:space="preserve"> 2</w:t>
      </w:r>
      <w:r w:rsidR="007E522D">
        <w:t>6</w:t>
      </w:r>
      <w:r w:rsidR="00F5626F">
        <w:t>, 202</w:t>
      </w:r>
      <w:r w:rsidR="007E522D">
        <w:t>4</w:t>
      </w:r>
      <w:r w:rsidR="00F5626F">
        <w:t xml:space="preserve">) </w:t>
      </w:r>
      <w:r w:rsidRPr="00063BB5" w:rsidR="00F5626F">
        <w:rPr>
          <w:bCs/>
        </w:rPr>
        <w:t>(</w:t>
      </w:r>
      <w:r w:rsidR="007E522D">
        <w:rPr>
          <w:bCs/>
          <w:i/>
          <w:iCs/>
        </w:rPr>
        <w:t>LADOTD</w:t>
      </w:r>
      <w:r w:rsidRPr="00063BB5" w:rsidR="00F5626F">
        <w:rPr>
          <w:bCs/>
          <w:i/>
          <w:iCs/>
        </w:rPr>
        <w:t xml:space="preserve"> Waiver Request</w:t>
      </w:r>
      <w:r w:rsidRPr="00063BB5" w:rsidR="00F5626F">
        <w:rPr>
          <w:bCs/>
        </w:rPr>
        <w:t>)</w:t>
      </w:r>
      <w:r w:rsidR="007E522D">
        <w:rPr>
          <w:bCs/>
        </w:rPr>
        <w:t xml:space="preserve">, </w:t>
      </w:r>
      <w:hyperlink r:id="rId12" w:history="1">
        <w:r w:rsidRPr="001B134C" w:rsidR="009B56AA">
          <w:rPr>
            <w:rStyle w:val="Hyperlink"/>
            <w:bCs/>
          </w:rPr>
          <w:t>https://wireless2.fcc.gov/UlsEntry/attachments/attachmentViewRD.jsp;ATTACHMENTS=iTbr3WoO4mRjJIQ3q7L1avumWKcLnjluQAXD7ibxpBAK1NojldM3!1143847039!-1782758212?applType=search&amp;fileKey=236423925&amp;attachmentKey=21929989&amp;attachmentInd=applAttach.</w:t>
        </w:r>
      </w:hyperlink>
      <w:r w:rsidR="009B56AA">
        <w:rPr>
          <w:bCs/>
        </w:rPr>
        <w:t xml:space="preserve"> </w:t>
      </w:r>
    </w:p>
    <w:p w:rsidR="009B56AA" w:rsidP="002A2E9D" w14:paraId="246DEBEF" w14:textId="7F183190">
      <w:pPr>
        <w:pStyle w:val="ParaNum"/>
        <w:numPr>
          <w:ilvl w:val="0"/>
          <w:numId w:val="0"/>
        </w:numPr>
        <w:jc w:val="left"/>
        <w:rPr>
          <w:bCs/>
        </w:rPr>
      </w:pPr>
      <w:r>
        <w:rPr>
          <w:bCs/>
        </w:rPr>
        <w:t xml:space="preserve">8.  </w:t>
      </w:r>
      <w:r w:rsidRPr="00415E25">
        <w:rPr>
          <w:bCs/>
          <w:u w:val="single"/>
        </w:rPr>
        <w:t>Prince George’s County Maryland</w:t>
      </w:r>
      <w:r w:rsidR="008C0379">
        <w:rPr>
          <w:bCs/>
          <w:u w:val="single"/>
        </w:rPr>
        <w:t xml:space="preserve"> WRFK217</w:t>
      </w:r>
      <w:r>
        <w:rPr>
          <w:bCs/>
        </w:rPr>
        <w:t xml:space="preserve">.  </w:t>
      </w:r>
      <w:r w:rsidRPr="00415E25" w:rsidR="00C73210">
        <w:rPr>
          <w:bCs/>
          <w:i/>
          <w:iCs/>
        </w:rPr>
        <w:t>See</w:t>
      </w:r>
      <w:r w:rsidR="00C73210">
        <w:rPr>
          <w:bCs/>
        </w:rPr>
        <w:t xml:space="preserve"> </w:t>
      </w:r>
      <w:r w:rsidR="008C0379">
        <w:t xml:space="preserve">Request for Waiver of 5.9 GHz Band Rules to Permit Deployments of Cellular Vehicle-to-Everything Technology, </w:t>
      </w:r>
      <w:r w:rsidR="00247F9D">
        <w:t>Prince George’s County Maryland</w:t>
      </w:r>
      <w:r w:rsidR="008C0379">
        <w:t>, ET Docket No. 19-138</w:t>
      </w:r>
      <w:r w:rsidR="00A56BF9">
        <w:t xml:space="preserve"> In the Intelligent Transportation Systems Radio Service</w:t>
      </w:r>
      <w:r w:rsidR="008C0379">
        <w:t>, ULS File No. 00109</w:t>
      </w:r>
      <w:r w:rsidR="00FE3681">
        <w:t>36942</w:t>
      </w:r>
      <w:r w:rsidR="008C0379">
        <w:t xml:space="preserve"> (filed Feb. 2</w:t>
      </w:r>
      <w:r w:rsidR="00FE3681">
        <w:t>3</w:t>
      </w:r>
      <w:r w:rsidR="008C0379">
        <w:t xml:space="preserve">, 2024) </w:t>
      </w:r>
      <w:r w:rsidRPr="00063BB5" w:rsidR="008C0379">
        <w:rPr>
          <w:bCs/>
        </w:rPr>
        <w:t>(</w:t>
      </w:r>
      <w:r w:rsidR="008173FC">
        <w:rPr>
          <w:bCs/>
          <w:i/>
          <w:iCs/>
        </w:rPr>
        <w:t>PG County</w:t>
      </w:r>
      <w:r w:rsidRPr="00063BB5" w:rsidR="008C0379">
        <w:rPr>
          <w:bCs/>
          <w:i/>
          <w:iCs/>
        </w:rPr>
        <w:t xml:space="preserve"> Waiver Request</w:t>
      </w:r>
      <w:r w:rsidRPr="00063BB5" w:rsidR="008C0379">
        <w:rPr>
          <w:bCs/>
        </w:rPr>
        <w:t>)</w:t>
      </w:r>
      <w:r w:rsidR="008C0379">
        <w:rPr>
          <w:bCs/>
        </w:rPr>
        <w:t>,</w:t>
      </w:r>
      <w:r w:rsidR="008173FC">
        <w:rPr>
          <w:bCs/>
        </w:rPr>
        <w:t xml:space="preserve"> </w:t>
      </w:r>
      <w:hyperlink r:id="rId13" w:history="1">
        <w:r w:rsidRPr="001B134C" w:rsidR="00E85FD7">
          <w:rPr>
            <w:rStyle w:val="Hyperlink"/>
            <w:bCs/>
          </w:rPr>
          <w:t>https://wireless2.fcc.gov/UlsEntry/attachments/attachmentViewRD.jsp?applType=search&amp;fileKey=405721612&amp;attachmentKey=21929320&amp;attachmentInd=applAttach</w:t>
        </w:r>
      </w:hyperlink>
      <w:r w:rsidR="00E85FD7">
        <w:rPr>
          <w:bCs/>
        </w:rPr>
        <w:t xml:space="preserve">. </w:t>
      </w:r>
    </w:p>
    <w:p w:rsidR="002875CE" w:rsidP="002A2E9D" w14:paraId="00906109" w14:textId="4C230D6E">
      <w:pPr>
        <w:pStyle w:val="ParaNum"/>
        <w:numPr>
          <w:ilvl w:val="0"/>
          <w:numId w:val="0"/>
        </w:numPr>
        <w:jc w:val="left"/>
        <w:rPr>
          <w:bCs/>
        </w:rPr>
      </w:pPr>
      <w:r>
        <w:rPr>
          <w:bCs/>
        </w:rPr>
        <w:t xml:space="preserve">9.  </w:t>
      </w:r>
      <w:r w:rsidRPr="00415E25">
        <w:rPr>
          <w:bCs/>
          <w:u w:val="single"/>
        </w:rPr>
        <w:t>IT-Telecom</w:t>
      </w:r>
      <w:r w:rsidRPr="00415E25" w:rsidR="00C73210">
        <w:rPr>
          <w:bCs/>
          <w:u w:val="single"/>
        </w:rPr>
        <w:t xml:space="preserve"> Co., Ltd</w:t>
      </w:r>
      <w:r w:rsidR="00C73210">
        <w:rPr>
          <w:bCs/>
        </w:rPr>
        <w:t xml:space="preserve">.  </w:t>
      </w:r>
      <w:r w:rsidRPr="008C3BDD" w:rsidR="00C73210">
        <w:rPr>
          <w:i/>
          <w:iCs/>
        </w:rPr>
        <w:t>See</w:t>
      </w:r>
      <w:r w:rsidR="00C73210">
        <w:t xml:space="preserve"> Request for Waiver of 5.9 GHz Band Rules to Permit Deployments of Cellular Vehicle-to-Everything Technology, </w:t>
      </w:r>
      <w:r w:rsidR="00247F9D">
        <w:t>IT-Telecom Co., Ltd.</w:t>
      </w:r>
      <w:r w:rsidR="00C73210">
        <w:t xml:space="preserve">, ET Docket No. 19-138 (filed </w:t>
      </w:r>
      <w:r w:rsidR="002175D4">
        <w:t>Feb</w:t>
      </w:r>
      <w:r w:rsidR="00C73210">
        <w:t>. 2</w:t>
      </w:r>
      <w:r w:rsidR="002175D4">
        <w:t>6</w:t>
      </w:r>
      <w:r w:rsidR="00C73210">
        <w:t>, 202</w:t>
      </w:r>
      <w:r w:rsidR="002175D4">
        <w:t>4</w:t>
      </w:r>
      <w:r w:rsidR="00C73210">
        <w:t xml:space="preserve">) </w:t>
      </w:r>
      <w:r w:rsidRPr="00063BB5" w:rsidR="00C73210">
        <w:rPr>
          <w:bCs/>
        </w:rPr>
        <w:t>(</w:t>
      </w:r>
      <w:r w:rsidR="00C73210">
        <w:rPr>
          <w:bCs/>
          <w:i/>
          <w:iCs/>
        </w:rPr>
        <w:t>IT-T</w:t>
      </w:r>
      <w:r w:rsidRPr="00063BB5" w:rsidR="00C73210">
        <w:rPr>
          <w:bCs/>
          <w:i/>
          <w:iCs/>
        </w:rPr>
        <w:t xml:space="preserve"> Waiver Reque</w:t>
      </w:r>
      <w:r w:rsidR="00C73210">
        <w:rPr>
          <w:bCs/>
          <w:i/>
          <w:iCs/>
        </w:rPr>
        <w:t>st</w:t>
      </w:r>
      <w:r w:rsidR="00C73210">
        <w:rPr>
          <w:bCs/>
        </w:rPr>
        <w:t>),</w:t>
      </w:r>
      <w:r w:rsidR="00C718C3">
        <w:rPr>
          <w:bCs/>
        </w:rPr>
        <w:t xml:space="preserve"> </w:t>
      </w:r>
      <w:hyperlink r:id="rId14" w:history="1">
        <w:r w:rsidRPr="001B134C" w:rsidR="00B37C0A">
          <w:rPr>
            <w:rStyle w:val="Hyperlink"/>
            <w:bCs/>
          </w:rPr>
          <w:t>https://www.fcc.gov/ecfs/document/10226364603192/1</w:t>
        </w:r>
      </w:hyperlink>
      <w:r w:rsidR="00C718C3">
        <w:rPr>
          <w:bCs/>
        </w:rPr>
        <w:t>.</w:t>
      </w:r>
    </w:p>
    <w:p w:rsidR="001418CC" w:rsidP="002A2E9D" w14:paraId="44076817" w14:textId="77777777">
      <w:pPr>
        <w:pStyle w:val="ParaNum"/>
        <w:numPr>
          <w:ilvl w:val="0"/>
          <w:numId w:val="0"/>
        </w:numPr>
        <w:jc w:val="left"/>
        <w:rPr>
          <w:bCs/>
        </w:rPr>
      </w:pPr>
      <w:r>
        <w:rPr>
          <w:bCs/>
        </w:rPr>
        <w:t xml:space="preserve">10. </w:t>
      </w:r>
      <w:r w:rsidR="00CA121A">
        <w:rPr>
          <w:bCs/>
        </w:rPr>
        <w:t xml:space="preserve"> </w:t>
      </w:r>
      <w:r w:rsidRPr="00415E25">
        <w:rPr>
          <w:bCs/>
          <w:u w:val="single"/>
        </w:rPr>
        <w:t xml:space="preserve">Nissan </w:t>
      </w:r>
      <w:r w:rsidRPr="00415E25" w:rsidR="006D3517">
        <w:rPr>
          <w:bCs/>
          <w:u w:val="single"/>
        </w:rPr>
        <w:t>Technical Center North America</w:t>
      </w:r>
      <w:r w:rsidR="006D3517">
        <w:rPr>
          <w:bCs/>
        </w:rPr>
        <w:t xml:space="preserve">.  </w:t>
      </w:r>
      <w:r w:rsidRPr="008C3BDD" w:rsidR="006D3517">
        <w:rPr>
          <w:i/>
          <w:iCs/>
        </w:rPr>
        <w:t>See</w:t>
      </w:r>
      <w:r w:rsidR="006D3517">
        <w:t xml:space="preserve"> Request for Waiver of 5.9 GHz Band Rules to Permit Deployments of Cellular Vehicle-to-Everything Technology, Nissan Technical Center North America, ET Docket No. 19-138 (filed Feb. </w:t>
      </w:r>
      <w:r w:rsidR="00F04282">
        <w:t>15</w:t>
      </w:r>
      <w:r w:rsidR="006D3517">
        <w:t xml:space="preserve">, 2024) </w:t>
      </w:r>
      <w:r w:rsidRPr="00063BB5" w:rsidR="006D3517">
        <w:rPr>
          <w:bCs/>
        </w:rPr>
        <w:t>(</w:t>
      </w:r>
      <w:r w:rsidR="004F075B">
        <w:rPr>
          <w:bCs/>
          <w:i/>
          <w:iCs/>
        </w:rPr>
        <w:t>NTCNA</w:t>
      </w:r>
      <w:r w:rsidRPr="00063BB5" w:rsidR="006D3517">
        <w:rPr>
          <w:bCs/>
          <w:i/>
          <w:iCs/>
        </w:rPr>
        <w:t xml:space="preserve"> Waiver Reque</w:t>
      </w:r>
      <w:r w:rsidR="006D3517">
        <w:rPr>
          <w:bCs/>
          <w:i/>
          <w:iCs/>
        </w:rPr>
        <w:t>st</w:t>
      </w:r>
      <w:r w:rsidR="006D3517">
        <w:rPr>
          <w:bCs/>
        </w:rPr>
        <w:t xml:space="preserve">), </w:t>
      </w:r>
      <w:r>
        <w:rPr>
          <w:bCs/>
        </w:rPr>
        <w:fldChar w:fldCharType="begin"/>
      </w:r>
      <w:r>
        <w:rPr>
          <w:bCs/>
        </w:rPr>
        <w:instrText>HYPERLINK "</w:instrText>
      </w:r>
      <w:r w:rsidRPr="00CC6D8D">
        <w:instrText>https://www.fcc.gov/ecfs/document/1021563935338/1</w:instrText>
      </w:r>
      <w:r>
        <w:rPr>
          <w:bCs/>
        </w:rPr>
        <w:instrText xml:space="preserve">. </w:instrText>
      </w:r>
    </w:p>
    <w:p w:rsidR="001418CC" w:rsidRPr="0013411C" w:rsidP="002A2E9D" w14:paraId="6B311CE2" w14:textId="77777777">
      <w:pPr>
        <w:pStyle w:val="ParaNum"/>
        <w:numPr>
          <w:ilvl w:val="0"/>
          <w:numId w:val="0"/>
        </w:numPr>
        <w:jc w:val="left"/>
        <w:rPr>
          <w:rStyle w:val="Hyperlink"/>
          <w:bCs/>
        </w:rPr>
      </w:pPr>
      <w:r>
        <w:rPr>
          <w:bCs/>
        </w:rPr>
        <w:instrText>11"</w:instrText>
      </w:r>
      <w:r>
        <w:rPr>
          <w:bCs/>
        </w:rPr>
        <w:fldChar w:fldCharType="separate"/>
      </w:r>
      <w:r w:rsidRPr="001418CC">
        <w:rPr>
          <w:rStyle w:val="Hyperlink"/>
          <w:bCs/>
        </w:rPr>
        <w:t>https://www.fcc.gov/ecfs/document/1021563935338/1</w:t>
      </w:r>
      <w:r w:rsidRPr="0013411C">
        <w:rPr>
          <w:rStyle w:val="Hyperlink"/>
          <w:bCs/>
        </w:rPr>
        <w:t xml:space="preserve">. </w:t>
      </w:r>
    </w:p>
    <w:p w:rsidR="00B37C0A" w:rsidP="002A2E9D" w14:paraId="5B7B2EA5" w14:textId="3EBC8CA2">
      <w:pPr>
        <w:pStyle w:val="ParaNum"/>
        <w:numPr>
          <w:ilvl w:val="0"/>
          <w:numId w:val="0"/>
        </w:numPr>
        <w:jc w:val="left"/>
      </w:pPr>
      <w:r w:rsidRPr="0013411C">
        <w:rPr>
          <w:rStyle w:val="Hyperlink"/>
          <w:bCs/>
        </w:rPr>
        <w:t>11</w:t>
      </w:r>
      <w:r>
        <w:rPr>
          <w:bCs/>
        </w:rPr>
        <w:fldChar w:fldCharType="end"/>
      </w:r>
      <w:r>
        <w:rPr>
          <w:bCs/>
        </w:rPr>
        <w:t>.  The State of Maine Department of Transportation.</w:t>
      </w:r>
      <w:r w:rsidR="002D5B98">
        <w:rPr>
          <w:bCs/>
        </w:rPr>
        <w:t xml:space="preserve">  </w:t>
      </w:r>
      <w:r w:rsidRPr="008C3BDD">
        <w:rPr>
          <w:i/>
          <w:iCs/>
        </w:rPr>
        <w:t>See</w:t>
      </w:r>
      <w:r>
        <w:t xml:space="preserve"> Request for Waiver of 5.9 GHz Band Rules to Permit Deployments of Cellular Vehicle-to-Everything Technology, </w:t>
      </w:r>
      <w:r w:rsidR="00B9420E">
        <w:t>Maine Department of Transportation</w:t>
      </w:r>
      <w:r>
        <w:t xml:space="preserve">, ET Docket No. 19-138 (filed Feb. </w:t>
      </w:r>
      <w:r w:rsidR="00750D06">
        <w:t>8</w:t>
      </w:r>
      <w:r>
        <w:t xml:space="preserve">, 2024) </w:t>
      </w:r>
      <w:r w:rsidRPr="00063BB5">
        <w:rPr>
          <w:bCs/>
        </w:rPr>
        <w:t>(</w:t>
      </w:r>
      <w:r w:rsidR="00750D06">
        <w:rPr>
          <w:bCs/>
          <w:i/>
          <w:iCs/>
        </w:rPr>
        <w:t>MEDOT</w:t>
      </w:r>
      <w:r w:rsidRPr="00063BB5">
        <w:rPr>
          <w:bCs/>
          <w:i/>
          <w:iCs/>
        </w:rPr>
        <w:t xml:space="preserve"> Waiver Reque</w:t>
      </w:r>
      <w:r>
        <w:rPr>
          <w:bCs/>
          <w:i/>
          <w:iCs/>
        </w:rPr>
        <w:t>st</w:t>
      </w:r>
      <w:r>
        <w:rPr>
          <w:bCs/>
        </w:rPr>
        <w:t>),</w:t>
      </w:r>
      <w:r w:rsidR="00BB7C9B">
        <w:rPr>
          <w:bCs/>
        </w:rPr>
        <w:t xml:space="preserve"> </w:t>
      </w:r>
      <w:hyperlink r:id="rId15" w:history="1">
        <w:r w:rsidRPr="0013411C" w:rsidR="00884794">
          <w:rPr>
            <w:rStyle w:val="Hyperlink"/>
            <w:bCs/>
          </w:rPr>
          <w:t>https://www.fcc.gov/ecfs/document/1020803421843/1</w:t>
        </w:r>
      </w:hyperlink>
      <w:r w:rsidR="00884794">
        <w:rPr>
          <w:bCs/>
        </w:rPr>
        <w:t xml:space="preserve">. </w:t>
      </w:r>
    </w:p>
    <w:p w:rsidR="002A2E9D" w:rsidRPr="00F46E2C" w:rsidP="002A2E9D" w14:paraId="352D72CF" w14:textId="5E67A320">
      <w:pPr>
        <w:pStyle w:val="ParaNum"/>
        <w:numPr>
          <w:ilvl w:val="0"/>
          <w:numId w:val="0"/>
        </w:numPr>
        <w:jc w:val="left"/>
      </w:pPr>
    </w:p>
    <w:p w:rsidR="002A2E9D" w:rsidP="002A2E9D" w14:paraId="2B9A30B0" w14:textId="77777777">
      <w:pPr>
        <w:rPr>
          <w:sz w:val="24"/>
          <w:szCs w:val="24"/>
        </w:rPr>
      </w:pPr>
    </w:p>
    <w:p w:rsidR="00204CE3" w:rsidRPr="00204CE3" w:rsidP="00095F97" w14:paraId="78BB8AEF" w14:textId="77777777">
      <w:pPr>
        <w:rPr>
          <w:sz w:val="22"/>
          <w:szCs w:val="22"/>
        </w:rPr>
      </w:pPr>
    </w:p>
    <w:sectPr>
      <w:headerReference w:type="default" r:id="rId16"/>
      <w:headerReference w:type="first" r:id="rId1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185B" w14:paraId="12C57ACF" w14:textId="77777777">
      <w:r>
        <w:separator/>
      </w:r>
    </w:p>
  </w:footnote>
  <w:footnote w:type="continuationSeparator" w:id="1">
    <w:p w:rsidR="0038185B" w14:paraId="051B64A9" w14:textId="77777777">
      <w:r>
        <w:continuationSeparator/>
      </w:r>
    </w:p>
  </w:footnote>
  <w:footnote w:type="continuationNotice" w:id="2">
    <w:p w:rsidR="0038185B" w14:paraId="76AA927D" w14:textId="77777777"/>
  </w:footnote>
  <w:footnote w:id="3">
    <w:p w:rsidR="00103DA5" w:rsidP="00103DA5" w14:paraId="69AC4030" w14:textId="77777777">
      <w:pPr>
        <w:pStyle w:val="FootnoteText"/>
      </w:pPr>
      <w:r>
        <w:rPr>
          <w:rStyle w:val="FootnoteReference"/>
        </w:rPr>
        <w:footnoteRef/>
      </w:r>
      <w:r>
        <w:t xml:space="preserve"> Battelle is under contract with the Federal Railroad Administration (FRA) to develop a Rail Crossing Violation Warning Connected Vehicle application.  </w:t>
      </w:r>
      <w:r w:rsidRPr="00F95776">
        <w:rPr>
          <w:i/>
          <w:iCs/>
        </w:rPr>
        <w:t>See</w:t>
      </w:r>
      <w:r>
        <w:t xml:space="preserve"> Request for Waiver of 5.9 GHz Band Rules to Permit Deployments of Cellular Vehicle-to-Everything Technology, Battelle Memorial Institute, ET Docket No. 19-138 (filed Nov. 28, 2023) </w:t>
      </w:r>
      <w:r w:rsidRPr="00063BB5">
        <w:rPr>
          <w:bCs/>
        </w:rPr>
        <w:t>(</w:t>
      </w:r>
      <w:r>
        <w:rPr>
          <w:bCs/>
        </w:rPr>
        <w:t xml:space="preserve">hereafter, </w:t>
      </w:r>
      <w:r w:rsidRPr="00F95776">
        <w:rPr>
          <w:bCs/>
          <w:i/>
          <w:iCs/>
        </w:rPr>
        <w:t>Battelle</w:t>
      </w:r>
      <w:r w:rsidRPr="00063BB5">
        <w:rPr>
          <w:bCs/>
          <w:i/>
          <w:iCs/>
        </w:rPr>
        <w:t xml:space="preserve"> Waiver Request</w:t>
      </w:r>
      <w:r w:rsidRPr="00063BB5">
        <w:rPr>
          <w:bCs/>
        </w:rPr>
        <w:t>)</w:t>
      </w:r>
      <w:r>
        <w:rPr>
          <w:bCs/>
        </w:rPr>
        <w:t xml:space="preserve"> at 2.</w:t>
      </w:r>
    </w:p>
  </w:footnote>
  <w:footnote w:id="4">
    <w:p w:rsidR="002A2E9D" w:rsidRPr="00F54948" w:rsidP="002A2E9D" w14:paraId="60B529EF" w14:textId="29BCD51E">
      <w:pPr>
        <w:pStyle w:val="FootnoteText"/>
        <w:rPr>
          <w:i/>
          <w:iCs/>
        </w:rPr>
      </w:pPr>
      <w:r>
        <w:rPr>
          <w:rStyle w:val="FootnoteReference"/>
        </w:rPr>
        <w:footnoteRef/>
      </w:r>
      <w:r>
        <w:t xml:space="preserve"> </w:t>
      </w:r>
      <w:r w:rsidRPr="00F15521">
        <w:rPr>
          <w:i/>
          <w:iCs/>
        </w:rPr>
        <w:t>See</w:t>
      </w:r>
      <w:r>
        <w:t xml:space="preserve"> Appendix A: List of Waiver Petitions/Applicants, attached hereto.</w:t>
      </w:r>
      <w:r w:rsidR="00F4701B">
        <w:t xml:space="preserve">  </w:t>
      </w:r>
    </w:p>
  </w:footnote>
  <w:footnote w:id="5">
    <w:p w:rsidR="002A2E9D" w:rsidP="002A2E9D" w14:paraId="2A7E7EDD" w14:textId="626BFCC4">
      <w:pPr>
        <w:pStyle w:val="FootnoteText"/>
      </w:pPr>
      <w:r>
        <w:rPr>
          <w:rStyle w:val="FootnoteReference"/>
        </w:rPr>
        <w:footnoteRef/>
      </w:r>
      <w:r>
        <w:t xml:space="preserve"> Hereafter, individual waiver requests, as referenced in Appendix A, will be referred to as follows: (1) state</w:t>
      </w:r>
      <w:r w:rsidR="0043742D">
        <w:t>, local, and municipal transportation authorities</w:t>
      </w:r>
      <w:r>
        <w:t xml:space="preserve"> </w:t>
      </w:r>
      <w:r w:rsidR="00DD506C">
        <w:t>for</w:t>
      </w:r>
      <w:r>
        <w:t xml:space="preserve"> </w:t>
      </w:r>
      <w:r w:rsidR="00C4646D">
        <w:t>Pennsylvania (</w:t>
      </w:r>
      <w:r w:rsidR="00C4646D">
        <w:rPr>
          <w:i/>
          <w:iCs/>
        </w:rPr>
        <w:t>PA</w:t>
      </w:r>
      <w:r w:rsidRPr="00364A81">
        <w:rPr>
          <w:i/>
          <w:iCs/>
        </w:rPr>
        <w:t>DOT</w:t>
      </w:r>
      <w:r w:rsidRPr="00887C64">
        <w:rPr>
          <w:i/>
          <w:iCs/>
        </w:rPr>
        <w:t xml:space="preserve"> </w:t>
      </w:r>
      <w:r w:rsidRPr="00A43866">
        <w:rPr>
          <w:bCs/>
          <w:i/>
          <w:iCs/>
        </w:rPr>
        <w:t xml:space="preserve">Waiver </w:t>
      </w:r>
      <w:r w:rsidRPr="00887C64">
        <w:rPr>
          <w:i/>
          <w:iCs/>
        </w:rPr>
        <w:t>Request</w:t>
      </w:r>
      <w:r>
        <w:t>)</w:t>
      </w:r>
      <w:r w:rsidR="007C454B">
        <w:t>,</w:t>
      </w:r>
      <w:r w:rsidR="00023749">
        <w:t xml:space="preserve"> </w:t>
      </w:r>
      <w:r w:rsidR="0050031A">
        <w:t>the Louisiana Department of Transportation and Development (</w:t>
      </w:r>
      <w:r w:rsidRPr="005C155A" w:rsidR="0050031A">
        <w:rPr>
          <w:i/>
          <w:iCs/>
        </w:rPr>
        <w:t>LADOTD Waiver Request</w:t>
      </w:r>
      <w:r w:rsidR="0050031A">
        <w:t xml:space="preserve">), </w:t>
      </w:r>
      <w:r w:rsidR="00023749">
        <w:t>the Illinois State Toll Highway Authority</w:t>
      </w:r>
      <w:r>
        <w:t xml:space="preserve"> (</w:t>
      </w:r>
      <w:r w:rsidRPr="00ED7321" w:rsidR="00ED7321">
        <w:rPr>
          <w:i/>
          <w:iCs/>
        </w:rPr>
        <w:t>ISTHA</w:t>
      </w:r>
      <w:r w:rsidRPr="00A22380">
        <w:rPr>
          <w:i/>
          <w:iCs/>
        </w:rPr>
        <w:t xml:space="preserve"> </w:t>
      </w:r>
      <w:r w:rsidRPr="00A43866">
        <w:rPr>
          <w:bCs/>
          <w:i/>
          <w:iCs/>
        </w:rPr>
        <w:t xml:space="preserve">Waiver </w:t>
      </w:r>
      <w:r w:rsidRPr="00887C64">
        <w:rPr>
          <w:i/>
          <w:iCs/>
        </w:rPr>
        <w:t>Request</w:t>
      </w:r>
      <w:r>
        <w:t>)</w:t>
      </w:r>
      <w:r w:rsidR="00946DCF">
        <w:t xml:space="preserve">, </w:t>
      </w:r>
      <w:r w:rsidR="00E70CEE">
        <w:t>Prince George’s County Maryland (</w:t>
      </w:r>
      <w:r w:rsidRPr="005C155A" w:rsidR="000F668B">
        <w:rPr>
          <w:i/>
          <w:iCs/>
        </w:rPr>
        <w:t>PG County Waiver Request</w:t>
      </w:r>
      <w:r w:rsidR="000F668B">
        <w:t xml:space="preserve">), </w:t>
      </w:r>
      <w:r w:rsidR="00946DCF">
        <w:t>the Contra Costa Transportation Authority (</w:t>
      </w:r>
      <w:r w:rsidRPr="005C155A" w:rsidR="00946DCF">
        <w:rPr>
          <w:i/>
          <w:iCs/>
        </w:rPr>
        <w:t>CCTA Waiver Request</w:t>
      </w:r>
      <w:r w:rsidR="00946DCF">
        <w:t>)</w:t>
      </w:r>
      <w:r w:rsidR="00511E58">
        <w:t>, and the Maine De</w:t>
      </w:r>
      <w:r w:rsidR="00603AE2">
        <w:t>partment of Transportation (</w:t>
      </w:r>
      <w:r w:rsidRPr="00CC6D8D" w:rsidR="00603AE2">
        <w:rPr>
          <w:i/>
          <w:iCs/>
        </w:rPr>
        <w:t>MEDOT Waiver Request</w:t>
      </w:r>
      <w:r w:rsidR="00603AE2">
        <w:t>)</w:t>
      </w:r>
      <w:r w:rsidR="00A5107C">
        <w:t>; (2)</w:t>
      </w:r>
      <w:r w:rsidR="0039264F">
        <w:t xml:space="preserve"> </w:t>
      </w:r>
      <w:r w:rsidR="00501A21">
        <w:t>FRA</w:t>
      </w:r>
      <w:r w:rsidR="0039264F">
        <w:t xml:space="preserve"> contractor</w:t>
      </w:r>
      <w:r w:rsidR="009C3A18">
        <w:t>, Battelle Memorial Institute (</w:t>
      </w:r>
      <w:r w:rsidRPr="00EB77E8" w:rsidR="00EB77E8">
        <w:rPr>
          <w:i/>
          <w:iCs/>
        </w:rPr>
        <w:t>Battelle Waiver Request</w:t>
      </w:r>
      <w:r w:rsidR="00EB77E8">
        <w:t>)</w:t>
      </w:r>
      <w:r>
        <w:t>; and (</w:t>
      </w:r>
      <w:r w:rsidR="00822F92">
        <w:t>3</w:t>
      </w:r>
      <w:r>
        <w:t xml:space="preserve">) equipment manufacturers, </w:t>
      </w:r>
      <w:r w:rsidR="00956CBA">
        <w:t>Ettifos Co.</w:t>
      </w:r>
      <w:r w:rsidR="00A44DE6">
        <w:t xml:space="preserve"> (</w:t>
      </w:r>
      <w:r w:rsidR="00956CBA">
        <w:rPr>
          <w:i/>
          <w:iCs/>
        </w:rPr>
        <w:t>Ettifos</w:t>
      </w:r>
      <w:r w:rsidRPr="00474424" w:rsidR="00A44DE6">
        <w:rPr>
          <w:i/>
          <w:iCs/>
        </w:rPr>
        <w:t xml:space="preserve"> Waiver Request</w:t>
      </w:r>
      <w:r w:rsidR="00F01EEA">
        <w:t>)</w:t>
      </w:r>
      <w:r w:rsidR="000F668B">
        <w:t>,</w:t>
      </w:r>
      <w:r w:rsidR="00956CBA">
        <w:t xml:space="preserve"> Continental Automotive Systems</w:t>
      </w:r>
      <w:r w:rsidR="0096348E">
        <w:t>, Inc.</w:t>
      </w:r>
      <w:r w:rsidR="00202712">
        <w:t xml:space="preserve"> (</w:t>
      </w:r>
      <w:r w:rsidR="00956CBA">
        <w:rPr>
          <w:i/>
          <w:iCs/>
        </w:rPr>
        <w:t>Continental</w:t>
      </w:r>
      <w:r w:rsidRPr="00784794" w:rsidR="00202712">
        <w:rPr>
          <w:i/>
          <w:iCs/>
        </w:rPr>
        <w:t xml:space="preserve"> Waiver Request</w:t>
      </w:r>
      <w:r w:rsidR="00202712">
        <w:t xml:space="preserve"> or </w:t>
      </w:r>
      <w:r w:rsidR="00956CBA">
        <w:rPr>
          <w:i/>
          <w:iCs/>
        </w:rPr>
        <w:t>Continental</w:t>
      </w:r>
      <w:r w:rsidRPr="00784794" w:rsidR="00202712">
        <w:rPr>
          <w:i/>
          <w:iCs/>
        </w:rPr>
        <w:t xml:space="preserve"> Waiver Supplement</w:t>
      </w:r>
      <w:r w:rsidR="00202712">
        <w:t>)</w:t>
      </w:r>
      <w:r w:rsidR="000F668B">
        <w:t xml:space="preserve">, IT-Telecom Co., Ltd. </w:t>
      </w:r>
      <w:r w:rsidR="00A53878">
        <w:t>(</w:t>
      </w:r>
      <w:r w:rsidRPr="005C155A" w:rsidR="00A53878">
        <w:rPr>
          <w:i/>
          <w:iCs/>
        </w:rPr>
        <w:t>IT-T Waiver Request</w:t>
      </w:r>
      <w:r w:rsidR="00A53878">
        <w:t>)</w:t>
      </w:r>
      <w:r w:rsidR="00FF7DBF">
        <w:t>, and Nissan Technical Center North America (</w:t>
      </w:r>
      <w:r w:rsidRPr="005C155A" w:rsidR="00FF7DBF">
        <w:rPr>
          <w:i/>
          <w:iCs/>
        </w:rPr>
        <w:t>NT</w:t>
      </w:r>
      <w:r w:rsidRPr="005C155A" w:rsidR="00733114">
        <w:rPr>
          <w:i/>
          <w:iCs/>
        </w:rPr>
        <w:t>CNA Waiver Request</w:t>
      </w:r>
      <w:r w:rsidR="00733114">
        <w:t>)</w:t>
      </w:r>
      <w:r>
        <w:t>.</w:t>
      </w:r>
    </w:p>
  </w:footnote>
  <w:footnote w:id="6">
    <w:p w:rsidR="002A2E9D" w:rsidRPr="008A23AD" w:rsidP="541CC2C5" w14:paraId="51D5A3AC" w14:textId="2A08B3A8">
      <w:pPr>
        <w:pStyle w:val="FootnoteText"/>
      </w:pPr>
      <w:r>
        <w:rPr>
          <w:rStyle w:val="FootnoteReference"/>
        </w:rPr>
        <w:footnoteRef/>
      </w:r>
      <w:r w:rsidR="541CC2C5">
        <w:t xml:space="preserve"> </w:t>
      </w:r>
      <w:r w:rsidRPr="541CC2C5" w:rsidR="541CC2C5">
        <w:rPr>
          <w:i/>
          <w:iCs/>
        </w:rPr>
        <w:t>See, e.g.</w:t>
      </w:r>
      <w:r w:rsidRPr="008A7338" w:rsidR="541CC2C5">
        <w:t>,</w:t>
      </w:r>
      <w:r w:rsidR="00EB14CA">
        <w:rPr>
          <w:i/>
          <w:iCs/>
        </w:rPr>
        <w:t xml:space="preserve"> </w:t>
      </w:r>
      <w:r w:rsidR="00CA1E94">
        <w:rPr>
          <w:i/>
          <w:iCs/>
        </w:rPr>
        <w:t>Ettifos</w:t>
      </w:r>
      <w:r w:rsidRPr="00474424" w:rsidR="00CA1E94">
        <w:rPr>
          <w:i/>
          <w:iCs/>
        </w:rPr>
        <w:t xml:space="preserve"> Waiver Request</w:t>
      </w:r>
      <w:r w:rsidR="00CA1E94">
        <w:rPr>
          <w:i/>
          <w:iCs/>
        </w:rPr>
        <w:t xml:space="preserve"> </w:t>
      </w:r>
      <w:r w:rsidR="008A23AD">
        <w:t xml:space="preserve">at 1; </w:t>
      </w:r>
      <w:r w:rsidRPr="00CF25EA" w:rsidR="008A23AD">
        <w:rPr>
          <w:i/>
          <w:iCs/>
        </w:rPr>
        <w:t>PADOT Waiver Request</w:t>
      </w:r>
      <w:r w:rsidR="008A23AD">
        <w:t xml:space="preserve"> at 1; </w:t>
      </w:r>
      <w:r w:rsidRPr="00CF25EA" w:rsidR="008A23AD">
        <w:rPr>
          <w:i/>
          <w:iCs/>
        </w:rPr>
        <w:t>Continental Waiver Request</w:t>
      </w:r>
      <w:r w:rsidR="008A23AD">
        <w:t xml:space="preserve"> at 1; </w:t>
      </w:r>
      <w:r w:rsidRPr="00CF25EA" w:rsidR="008A23AD">
        <w:rPr>
          <w:i/>
          <w:iCs/>
        </w:rPr>
        <w:t xml:space="preserve">Continental </w:t>
      </w:r>
      <w:r w:rsidR="00BB184C">
        <w:rPr>
          <w:i/>
          <w:iCs/>
        </w:rPr>
        <w:t xml:space="preserve"> </w:t>
      </w:r>
      <w:r w:rsidRPr="00CF25EA" w:rsidR="008A23AD">
        <w:rPr>
          <w:i/>
          <w:iCs/>
        </w:rPr>
        <w:t>Waiver Supplement</w:t>
      </w:r>
      <w:r w:rsidR="008A23AD">
        <w:t xml:space="preserve"> at 1; </w:t>
      </w:r>
      <w:r w:rsidRPr="00CF25EA" w:rsidR="008A23AD">
        <w:rPr>
          <w:i/>
          <w:iCs/>
        </w:rPr>
        <w:t>Battelle Waiver Request</w:t>
      </w:r>
      <w:r w:rsidR="008A23AD">
        <w:t xml:space="preserve"> at 1; </w:t>
      </w:r>
      <w:r w:rsidRPr="00CF25EA" w:rsidR="00CF25EA">
        <w:rPr>
          <w:i/>
          <w:iCs/>
        </w:rPr>
        <w:t>ISTHA Waiver Request</w:t>
      </w:r>
      <w:r w:rsidR="00CF25EA">
        <w:t xml:space="preserve"> at 1</w:t>
      </w:r>
      <w:r w:rsidR="00955643">
        <w:t xml:space="preserve">; </w:t>
      </w:r>
      <w:r w:rsidRPr="005C155A" w:rsidR="007A19C2">
        <w:rPr>
          <w:i/>
          <w:iCs/>
        </w:rPr>
        <w:t>CCTA Waiver Request</w:t>
      </w:r>
      <w:r w:rsidR="007A19C2">
        <w:t xml:space="preserve"> at </w:t>
      </w:r>
      <w:r w:rsidR="00D5646D">
        <w:t>1</w:t>
      </w:r>
      <w:r w:rsidR="00CA121A">
        <w:t>–</w:t>
      </w:r>
      <w:r w:rsidR="00D5646D">
        <w:t>2</w:t>
      </w:r>
      <w:r w:rsidR="00BB184C">
        <w:t>;</w:t>
      </w:r>
      <w:r w:rsidR="0037679D">
        <w:t xml:space="preserve"> </w:t>
      </w:r>
      <w:r w:rsidRPr="005C155A" w:rsidR="0037679D">
        <w:rPr>
          <w:i/>
          <w:iCs/>
        </w:rPr>
        <w:t>LADOTD Waiver Request</w:t>
      </w:r>
      <w:r w:rsidR="0037679D">
        <w:t xml:space="preserve"> at </w:t>
      </w:r>
      <w:r w:rsidR="000851B8">
        <w:t xml:space="preserve">2; </w:t>
      </w:r>
      <w:r w:rsidRPr="005C155A" w:rsidR="000851B8">
        <w:rPr>
          <w:i/>
          <w:iCs/>
        </w:rPr>
        <w:t>PG County Waiver Request</w:t>
      </w:r>
      <w:r w:rsidR="000851B8">
        <w:t xml:space="preserve"> at 2; </w:t>
      </w:r>
      <w:r w:rsidRPr="00CC6D8D" w:rsidR="00BC565D">
        <w:rPr>
          <w:i/>
          <w:iCs/>
        </w:rPr>
        <w:t>MEDOT Waiver Request</w:t>
      </w:r>
      <w:r w:rsidR="00BC565D">
        <w:t xml:space="preserve"> at 2; </w:t>
      </w:r>
      <w:r w:rsidRPr="005C155A" w:rsidR="00243CD3">
        <w:rPr>
          <w:i/>
          <w:iCs/>
        </w:rPr>
        <w:t>IT-T Waiver Request</w:t>
      </w:r>
      <w:r w:rsidR="00243CD3">
        <w:t xml:space="preserve"> at 1</w:t>
      </w:r>
      <w:r w:rsidR="00CA121A">
        <w:t>–</w:t>
      </w:r>
      <w:r w:rsidR="00243CD3">
        <w:t>2</w:t>
      </w:r>
      <w:r w:rsidR="00CC6F58">
        <w:t xml:space="preserve">; </w:t>
      </w:r>
      <w:r w:rsidRPr="005C155A" w:rsidR="00C4242C">
        <w:rPr>
          <w:i/>
          <w:iCs/>
        </w:rPr>
        <w:t>NTCNA Waiver Request</w:t>
      </w:r>
      <w:r w:rsidR="00C4242C">
        <w:t xml:space="preserve"> at </w:t>
      </w:r>
      <w:r w:rsidR="000C39DC">
        <w:t>1</w:t>
      </w:r>
      <w:r w:rsidR="00CF25EA">
        <w:t>.</w:t>
      </w:r>
    </w:p>
  </w:footnote>
  <w:footnote w:id="7">
    <w:p w:rsidR="002A2E9D" w:rsidP="002A2E9D" w14:paraId="0BF4F0F4" w14:textId="7E7097CA">
      <w:pPr>
        <w:pStyle w:val="FootnoteText"/>
      </w:pPr>
      <w:r>
        <w:rPr>
          <w:rStyle w:val="FootnoteReference"/>
        </w:rPr>
        <w:footnoteRef/>
      </w:r>
      <w:r>
        <w:t xml:space="preserve"> </w:t>
      </w:r>
      <w:r w:rsidR="00E81D56">
        <w:t xml:space="preserve">As part of </w:t>
      </w:r>
      <w:r w:rsidR="00897F56">
        <w:t xml:space="preserve">their </w:t>
      </w:r>
      <w:r w:rsidR="00E81D56">
        <w:t>request</w:t>
      </w:r>
      <w:r w:rsidR="00897F56">
        <w:t>s</w:t>
      </w:r>
      <w:r w:rsidR="00E81D56">
        <w:t>, Continental</w:t>
      </w:r>
      <w:r w:rsidR="00FB20A7">
        <w:t>,</w:t>
      </w:r>
      <w:r w:rsidR="00E81D56">
        <w:t xml:space="preserve"> </w:t>
      </w:r>
      <w:r w:rsidR="00897F56">
        <w:t>CCTA</w:t>
      </w:r>
      <w:r w:rsidR="00FB20A7">
        <w:t>,</w:t>
      </w:r>
      <w:r w:rsidR="00D04FE2">
        <w:t xml:space="preserve"> LA</w:t>
      </w:r>
      <w:r w:rsidR="00013D4F">
        <w:t>DOTD, and PG County</w:t>
      </w:r>
      <w:r w:rsidR="00897F56">
        <w:t xml:space="preserve"> </w:t>
      </w:r>
      <w:r w:rsidR="00C05278">
        <w:t>als</w:t>
      </w:r>
      <w:r w:rsidR="00D304EB">
        <w:t xml:space="preserve">o </w:t>
      </w:r>
      <w:r w:rsidR="00E81D56">
        <w:t xml:space="preserve">seek a waiver of </w:t>
      </w:r>
      <w:r w:rsidR="00FF7DAD">
        <w:t>section</w:t>
      </w:r>
      <w:r w:rsidRPr="00BE0F46" w:rsidR="00D623DE">
        <w:t xml:space="preserve"> 2.106(d)(160)</w:t>
      </w:r>
      <w:r w:rsidR="003F5A71">
        <w:t xml:space="preserve">, which states that </w:t>
      </w:r>
      <w:r w:rsidR="00D376D2">
        <w:t>“</w:t>
      </w:r>
      <w:r w:rsidR="002E6204">
        <w:t>[i]</w:t>
      </w:r>
      <w:r w:rsidR="00D376D2">
        <w:t>n the band 5895–5925 MHz, the use of the non-federal mobile service is limited to operations in the Intelligent Transportation Systems radio service.”</w:t>
      </w:r>
      <w:r w:rsidR="00D376D2">
        <w:rPr>
          <w:i/>
          <w:iCs/>
        </w:rPr>
        <w:t xml:space="preserve"> </w:t>
      </w:r>
      <w:r w:rsidR="003F5A71">
        <w:rPr>
          <w:i/>
          <w:iCs/>
        </w:rPr>
        <w:t xml:space="preserve"> </w:t>
      </w:r>
      <w:r w:rsidRPr="008A7338" w:rsidR="003F5A71">
        <w:rPr>
          <w:i/>
          <w:iCs/>
        </w:rPr>
        <w:t>S</w:t>
      </w:r>
      <w:r w:rsidRPr="541CC2C5" w:rsidR="00554FA4">
        <w:rPr>
          <w:i/>
          <w:iCs/>
        </w:rPr>
        <w:t>ee</w:t>
      </w:r>
      <w:r w:rsidR="00554FA4">
        <w:rPr>
          <w:i/>
          <w:iCs/>
        </w:rPr>
        <w:t xml:space="preserve"> </w:t>
      </w:r>
      <w:r w:rsidRPr="00BE0F46" w:rsidR="00186FF0">
        <w:t>47 CFR § 2.106(d)(160)</w:t>
      </w:r>
      <w:r w:rsidR="00186FF0">
        <w:t xml:space="preserve">; </w:t>
      </w:r>
      <w:r w:rsidRPr="00CF25EA" w:rsidR="00554FA4">
        <w:rPr>
          <w:i/>
          <w:iCs/>
        </w:rPr>
        <w:t>Continental Waiver Request</w:t>
      </w:r>
      <w:r w:rsidR="00554FA4">
        <w:t xml:space="preserve"> at 1; </w:t>
      </w:r>
      <w:r w:rsidRPr="00CF25EA" w:rsidR="00554FA4">
        <w:rPr>
          <w:i/>
          <w:iCs/>
        </w:rPr>
        <w:t>Continental Waiver Supplement</w:t>
      </w:r>
      <w:r w:rsidR="00554FA4">
        <w:t xml:space="preserve"> at 1</w:t>
      </w:r>
      <w:r w:rsidR="000E71C7">
        <w:t xml:space="preserve">; </w:t>
      </w:r>
      <w:r w:rsidRPr="005C155A" w:rsidR="00FD2702">
        <w:rPr>
          <w:i/>
          <w:iCs/>
        </w:rPr>
        <w:t>CCTA Waiver Request</w:t>
      </w:r>
      <w:r w:rsidR="00FD2702">
        <w:t xml:space="preserve"> at 2</w:t>
      </w:r>
      <w:r w:rsidR="00013D4F">
        <w:t xml:space="preserve">; </w:t>
      </w:r>
      <w:r w:rsidRPr="005C155A" w:rsidR="00FC7603">
        <w:rPr>
          <w:i/>
          <w:iCs/>
        </w:rPr>
        <w:t>LADOTD Waiver Request</w:t>
      </w:r>
      <w:r w:rsidR="00FC7603">
        <w:t xml:space="preserve"> at 2; </w:t>
      </w:r>
      <w:r w:rsidRPr="005C155A" w:rsidR="00FC7603">
        <w:rPr>
          <w:i/>
          <w:iCs/>
        </w:rPr>
        <w:t>PG County Waiver Request</w:t>
      </w:r>
      <w:r w:rsidR="00FC7603">
        <w:t xml:space="preserve"> at 2</w:t>
      </w:r>
      <w:r w:rsidR="00554FA4">
        <w:t xml:space="preserve">.  </w:t>
      </w:r>
      <w:r>
        <w:t>As the Bureaus previously noted in the Joint Waiver Order, s</w:t>
      </w:r>
      <w:r w:rsidRPr="00095468">
        <w:t>ection 2.106 merely limits operations in the upper 30 megahertz of the 5.9 GHz band to ITS services</w:t>
      </w:r>
      <w:r>
        <w:t>, so such a waiver is unnecessary</w:t>
      </w:r>
      <w:r w:rsidRPr="00095468">
        <w:t>.</w:t>
      </w:r>
      <w:r>
        <w:t xml:space="preserve">  </w:t>
      </w:r>
      <w:r w:rsidRPr="00C31CCF">
        <w:rPr>
          <w:i/>
          <w:iCs/>
        </w:rPr>
        <w:t>See</w:t>
      </w:r>
      <w:r>
        <w:t xml:space="preserve"> Joint Waiver Order at 5.</w:t>
      </w:r>
      <w:r w:rsidRPr="00095468">
        <w:t xml:space="preserve">  </w:t>
      </w:r>
      <w:r w:rsidR="006B1AA1">
        <w:t xml:space="preserve">None of these Applicants </w:t>
      </w:r>
      <w:r w:rsidR="006D7BFE">
        <w:t>contemplate</w:t>
      </w:r>
      <w:r w:rsidR="006F4D60">
        <w:t>s</w:t>
      </w:r>
      <w:r w:rsidR="006D7BFE">
        <w:t xml:space="preserve"> </w:t>
      </w:r>
      <w:r w:rsidRPr="00095468">
        <w:t xml:space="preserve">deploying non-ITS operations in the upper 30 megahertz of the 5.9 GHz band.  Therefore, </w:t>
      </w:r>
      <w:r w:rsidR="006F4D60">
        <w:t xml:space="preserve">their </w:t>
      </w:r>
      <w:r w:rsidRPr="00095468">
        <w:t>request</w:t>
      </w:r>
      <w:r w:rsidR="00407554">
        <w:t>s</w:t>
      </w:r>
      <w:r w:rsidRPr="00095468">
        <w:t xml:space="preserve"> for a waiver of this provision </w:t>
      </w:r>
      <w:r w:rsidR="00BC549D">
        <w:t>are</w:t>
      </w:r>
      <w:r w:rsidRPr="00095468" w:rsidR="00BC549D">
        <w:t xml:space="preserve"> </w:t>
      </w:r>
      <w:r w:rsidRPr="00095468">
        <w:t>dismissed as moot.</w:t>
      </w:r>
    </w:p>
  </w:footnote>
  <w:footnote w:id="8">
    <w:p w:rsidR="002A2E9D" w:rsidP="002A2E9D" w14:paraId="14085AA7" w14:textId="2064AD7E">
      <w:pPr>
        <w:pStyle w:val="FootnoteText"/>
      </w:pPr>
      <w:r>
        <w:rPr>
          <w:rStyle w:val="FootnoteReference"/>
        </w:rPr>
        <w:footnoteRef/>
      </w:r>
      <w:r w:rsidR="541CC2C5">
        <w:t xml:space="preserve"> </w:t>
      </w:r>
      <w:r w:rsidRPr="541CC2C5" w:rsidR="00FA2835">
        <w:rPr>
          <w:i/>
          <w:iCs/>
        </w:rPr>
        <w:t>See, e.g.</w:t>
      </w:r>
      <w:r w:rsidRPr="008A7338" w:rsidR="00FA2835">
        <w:t>,</w:t>
      </w:r>
      <w:r w:rsidRPr="00E40F05" w:rsidR="00FA2835">
        <w:t xml:space="preserve"> </w:t>
      </w:r>
      <w:r w:rsidR="00EB14CA">
        <w:rPr>
          <w:i/>
          <w:iCs/>
        </w:rPr>
        <w:t>Ettifos</w:t>
      </w:r>
      <w:r w:rsidRPr="00474424" w:rsidR="00EB14CA">
        <w:rPr>
          <w:i/>
          <w:iCs/>
        </w:rPr>
        <w:t xml:space="preserve"> Waiver Request</w:t>
      </w:r>
      <w:r w:rsidR="00EB14CA">
        <w:rPr>
          <w:i/>
          <w:iCs/>
        </w:rPr>
        <w:t xml:space="preserve"> </w:t>
      </w:r>
      <w:r w:rsidR="00EB14CA">
        <w:t xml:space="preserve">at 2, </w:t>
      </w:r>
      <w:r w:rsidR="005811FC">
        <w:t>n.3</w:t>
      </w:r>
      <w:r w:rsidR="00EB14CA">
        <w:t xml:space="preserve">; </w:t>
      </w:r>
      <w:r w:rsidRPr="00CF25EA" w:rsidR="00EB14CA">
        <w:rPr>
          <w:i/>
          <w:iCs/>
        </w:rPr>
        <w:t>PADOT Waiver Request</w:t>
      </w:r>
      <w:r w:rsidR="00EB14CA">
        <w:t xml:space="preserve"> at </w:t>
      </w:r>
      <w:r w:rsidR="005811FC">
        <w:t>2, n.3</w:t>
      </w:r>
      <w:r w:rsidR="00EB14CA">
        <w:t xml:space="preserve">; </w:t>
      </w:r>
      <w:r w:rsidRPr="00CF25EA" w:rsidR="00EB14CA">
        <w:rPr>
          <w:i/>
          <w:iCs/>
        </w:rPr>
        <w:t>Continental Waiver Request</w:t>
      </w:r>
      <w:r w:rsidR="00EB14CA">
        <w:t xml:space="preserve"> at </w:t>
      </w:r>
      <w:r w:rsidR="00995A17">
        <w:t>2</w:t>
      </w:r>
      <w:r w:rsidR="00EB14CA">
        <w:t xml:space="preserve">; </w:t>
      </w:r>
      <w:r w:rsidRPr="00CF25EA" w:rsidR="00EB14CA">
        <w:rPr>
          <w:i/>
          <w:iCs/>
        </w:rPr>
        <w:t>Continental Waiver Supplement</w:t>
      </w:r>
      <w:r w:rsidR="00EB14CA">
        <w:t xml:space="preserve"> at 1; </w:t>
      </w:r>
      <w:r w:rsidRPr="00CF25EA" w:rsidR="00EB14CA">
        <w:rPr>
          <w:i/>
          <w:iCs/>
        </w:rPr>
        <w:t>Battelle Waiver Request</w:t>
      </w:r>
      <w:r w:rsidR="00EB14CA">
        <w:t xml:space="preserve"> at </w:t>
      </w:r>
      <w:r w:rsidR="00995A17">
        <w:t>2, n.3</w:t>
      </w:r>
      <w:r w:rsidR="00EB14CA">
        <w:t xml:space="preserve">; </w:t>
      </w:r>
      <w:r w:rsidRPr="00CF25EA" w:rsidR="00EB14CA">
        <w:rPr>
          <w:i/>
          <w:iCs/>
        </w:rPr>
        <w:t>ISTHA Waiver Request</w:t>
      </w:r>
      <w:r w:rsidR="00EB14CA">
        <w:t xml:space="preserve"> at 1</w:t>
      </w:r>
      <w:r w:rsidR="009D4F1F">
        <w:t xml:space="preserve">; </w:t>
      </w:r>
      <w:r w:rsidRPr="005C155A" w:rsidR="009D4F1F">
        <w:rPr>
          <w:i/>
          <w:iCs/>
        </w:rPr>
        <w:t>CCTA Waiver Request</w:t>
      </w:r>
      <w:r w:rsidR="009D4F1F">
        <w:t xml:space="preserve"> at 2</w:t>
      </w:r>
      <w:r w:rsidR="00E17954">
        <w:t xml:space="preserve">; </w:t>
      </w:r>
      <w:r w:rsidRPr="005C155A" w:rsidR="00CB3C68">
        <w:rPr>
          <w:i/>
          <w:iCs/>
        </w:rPr>
        <w:t>IT-T Waiver Request</w:t>
      </w:r>
      <w:r w:rsidR="00CB3C68">
        <w:t xml:space="preserve"> at </w:t>
      </w:r>
      <w:r w:rsidR="00937889">
        <w:t>1</w:t>
      </w:r>
      <w:r w:rsidR="00CA121A">
        <w:t>–</w:t>
      </w:r>
      <w:r w:rsidR="00B86FE9">
        <w:t>2</w:t>
      </w:r>
      <w:r w:rsidR="00CB3C68">
        <w:t xml:space="preserve">; </w:t>
      </w:r>
      <w:r w:rsidRPr="005C155A" w:rsidR="00CB3C68">
        <w:rPr>
          <w:i/>
          <w:iCs/>
        </w:rPr>
        <w:t>LADOTD Waiver Request</w:t>
      </w:r>
      <w:r w:rsidR="00CB3C68">
        <w:t xml:space="preserve"> at </w:t>
      </w:r>
      <w:r w:rsidR="00B86FE9">
        <w:t>2</w:t>
      </w:r>
      <w:r w:rsidR="00CB3C68">
        <w:t xml:space="preserve">; </w:t>
      </w:r>
      <w:r w:rsidRPr="005C155A" w:rsidR="00CB3C68">
        <w:rPr>
          <w:i/>
          <w:iCs/>
        </w:rPr>
        <w:t>PG County Waiver Request</w:t>
      </w:r>
      <w:r w:rsidR="00CB3C68">
        <w:t xml:space="preserve"> at </w:t>
      </w:r>
      <w:r w:rsidR="00AE6C81">
        <w:t>2</w:t>
      </w:r>
      <w:r w:rsidR="00CB3C68">
        <w:t xml:space="preserve">; </w:t>
      </w:r>
      <w:r w:rsidRPr="005C155A" w:rsidR="00CB3C68">
        <w:rPr>
          <w:i/>
          <w:iCs/>
        </w:rPr>
        <w:t>NTCNA Waiver Request</w:t>
      </w:r>
      <w:r w:rsidR="00CB3C68">
        <w:t xml:space="preserve"> at </w:t>
      </w:r>
      <w:r w:rsidR="0036772A">
        <w:t>1</w:t>
      </w:r>
      <w:r w:rsidR="00CA121A">
        <w:t>–</w:t>
      </w:r>
      <w:r w:rsidR="0036772A">
        <w:t>2</w:t>
      </w:r>
      <w:r w:rsidR="00752676">
        <w:t xml:space="preserve">; </w:t>
      </w:r>
      <w:r w:rsidRPr="00CC6D8D" w:rsidR="00752676">
        <w:rPr>
          <w:i/>
          <w:iCs/>
        </w:rPr>
        <w:t>MEDOT Waiver Request</w:t>
      </w:r>
      <w:r w:rsidR="00752676">
        <w:t xml:space="preserve"> at 2, n.3</w:t>
      </w:r>
      <w:r w:rsidR="00EB14CA">
        <w:t>.</w:t>
      </w:r>
    </w:p>
  </w:footnote>
  <w:footnote w:id="9">
    <w:p w:rsidR="002A2E9D" w:rsidP="002A2E9D" w14:paraId="1C9A36A9" w14:textId="431D8A4E">
      <w:pPr>
        <w:pStyle w:val="FootnoteText"/>
      </w:pPr>
      <w:r>
        <w:rPr>
          <w:rStyle w:val="FootnoteReference"/>
        </w:rPr>
        <w:footnoteRef/>
      </w:r>
      <w:r w:rsidR="541CC2C5">
        <w:t xml:space="preserve"> </w:t>
      </w:r>
      <w:r w:rsidRPr="541CC2C5" w:rsidR="541CC2C5">
        <w:rPr>
          <w:i/>
          <w:iCs/>
        </w:rPr>
        <w:t>See</w:t>
      </w:r>
      <w:r w:rsidR="541CC2C5">
        <w:t xml:space="preserve"> 47 CFR §§ 90.375, 90.377, 90.379, 95.3163, 95.3167, 95.3189. </w:t>
      </w:r>
      <w:r w:rsidR="00417B88">
        <w:t xml:space="preserve"> CCTA</w:t>
      </w:r>
      <w:r w:rsidR="002A7B03">
        <w:t>, LADOTD, and PG County</w:t>
      </w:r>
      <w:r w:rsidR="00417B88">
        <w:t xml:space="preserve"> also seek a waiver of 47 CFR § 95.3159.  </w:t>
      </w:r>
      <w:r w:rsidRPr="005C155A" w:rsidR="002A7B03">
        <w:rPr>
          <w:i/>
          <w:iCs/>
        </w:rPr>
        <w:t>See</w:t>
      </w:r>
      <w:r w:rsidR="002A7B03">
        <w:t xml:space="preserve"> </w:t>
      </w:r>
      <w:r w:rsidRPr="00167CD1" w:rsidR="00417B88">
        <w:rPr>
          <w:i/>
          <w:iCs/>
        </w:rPr>
        <w:t>CCTA Waiver Request</w:t>
      </w:r>
      <w:r w:rsidR="00417B88">
        <w:t xml:space="preserve"> at 2</w:t>
      </w:r>
      <w:r w:rsidR="002A7B03">
        <w:t xml:space="preserve">; </w:t>
      </w:r>
      <w:r w:rsidRPr="005C155A" w:rsidR="002A7B03">
        <w:rPr>
          <w:i/>
          <w:iCs/>
        </w:rPr>
        <w:t>LADOTD Waiver Request</w:t>
      </w:r>
      <w:r w:rsidR="002A7B03">
        <w:t xml:space="preserve"> at </w:t>
      </w:r>
      <w:r w:rsidR="00143621">
        <w:t>2</w:t>
      </w:r>
      <w:r w:rsidR="002A7B03">
        <w:t xml:space="preserve">; </w:t>
      </w:r>
      <w:r w:rsidRPr="005C155A" w:rsidR="002A7B03">
        <w:rPr>
          <w:i/>
          <w:iCs/>
        </w:rPr>
        <w:t>PG County Waiver Request</w:t>
      </w:r>
      <w:r w:rsidR="002A7B03">
        <w:t xml:space="preserve"> at </w:t>
      </w:r>
      <w:r w:rsidR="00143621">
        <w:t>2</w:t>
      </w:r>
      <w:r w:rsidR="00417B88">
        <w:t xml:space="preserve">.  However, 95.3159 is a reserved section and does not presently contain any regulatory information.  Thus, we dismiss this aspect of </w:t>
      </w:r>
      <w:r w:rsidR="00143621">
        <w:t>each of these</w:t>
      </w:r>
      <w:r w:rsidR="00417B88">
        <w:t xml:space="preserve"> waiver request</w:t>
      </w:r>
      <w:r w:rsidR="00143621">
        <w:t>s</w:t>
      </w:r>
      <w:r w:rsidR="00417B88">
        <w:t xml:space="preserve"> as moot.</w:t>
      </w:r>
      <w:r w:rsidR="541CC2C5">
        <w:t xml:space="preserve"> </w:t>
      </w:r>
    </w:p>
  </w:footnote>
  <w:footnote w:id="10">
    <w:p w:rsidR="002A2E9D" w:rsidP="002A2E9D" w14:paraId="632FA2D8" w14:textId="77777777">
      <w:pPr>
        <w:pStyle w:val="FootnoteText"/>
      </w:pPr>
      <w:r>
        <w:rPr>
          <w:rStyle w:val="FootnoteReference"/>
        </w:rPr>
        <w:footnoteRef/>
      </w:r>
      <w:r>
        <w:t xml:space="preserve"> 47 CFR § 1.925.</w:t>
      </w:r>
    </w:p>
  </w:footnote>
  <w:footnote w:id="11">
    <w:p w:rsidR="00FD171B" w14:paraId="408F66A5" w14:textId="757855DE">
      <w:pPr>
        <w:pStyle w:val="FootnoteText"/>
      </w:pPr>
      <w:r>
        <w:rPr>
          <w:rStyle w:val="FootnoteReference"/>
        </w:rPr>
        <w:footnoteRef/>
      </w:r>
      <w:r>
        <w:t xml:space="preserve"> </w:t>
      </w:r>
      <w:r w:rsidR="00216823">
        <w:t xml:space="preserve">CCTA requests waiver relief on behalf of itself and nineteen other </w:t>
      </w:r>
      <w:r w:rsidR="00E64B78">
        <w:t xml:space="preserve">municipalities.  </w:t>
      </w:r>
      <w:r w:rsidRPr="005C155A" w:rsidR="00E64B78">
        <w:rPr>
          <w:i/>
          <w:iCs/>
        </w:rPr>
        <w:t>CCTA Waiver Request</w:t>
      </w:r>
      <w:r w:rsidR="00E64B78">
        <w:t xml:space="preserve"> at </w:t>
      </w:r>
      <w:r w:rsidR="003C13A5">
        <w:t>2</w:t>
      </w:r>
      <w:r w:rsidR="007215A7">
        <w:t xml:space="preserve"> &amp;</w:t>
      </w:r>
      <w:r w:rsidR="003C13A5">
        <w:t xml:space="preserve"> </w:t>
      </w:r>
      <w:r w:rsidR="009174BD">
        <w:t xml:space="preserve">App. </w:t>
      </w:r>
      <w:r w:rsidR="0005080D">
        <w:t xml:space="preserve">A </w:t>
      </w:r>
      <w:r w:rsidR="000A314A">
        <w:t>(</w:t>
      </w:r>
      <w:r w:rsidR="0005080D">
        <w:t>List of Contra Costa County Incorporated Muni</w:t>
      </w:r>
      <w:r w:rsidR="001E7815">
        <w:t>cipalities</w:t>
      </w:r>
      <w:r w:rsidR="000A314A">
        <w:t>)</w:t>
      </w:r>
      <w:r w:rsidR="001E7815">
        <w:t>.  Only one of these municipalities currently possesses an active ITS license</w:t>
      </w:r>
      <w:r w:rsidR="00A523C8">
        <w:t>,</w:t>
      </w:r>
      <w:r w:rsidR="00422019">
        <w:t xml:space="preserve"> Walnut Creek (</w:t>
      </w:r>
      <w:r w:rsidR="00663055">
        <w:t>WQWW597)</w:t>
      </w:r>
      <w:r w:rsidR="00D31D12">
        <w:t xml:space="preserve">, and none are signatories to CCTA’s </w:t>
      </w:r>
      <w:r w:rsidR="00E83866">
        <w:t xml:space="preserve">waiver </w:t>
      </w:r>
      <w:r w:rsidR="00D31D12">
        <w:t>request</w:t>
      </w:r>
      <w:r w:rsidR="00806343">
        <w:t xml:space="preserve">.  Accordingly, CCTA’s </w:t>
      </w:r>
      <w:r w:rsidR="00084A8E">
        <w:t>request to extend its waiver to these entities is denied</w:t>
      </w:r>
      <w:r w:rsidR="00FE1087">
        <w:t>.</w:t>
      </w:r>
      <w:r w:rsidR="008808F9">
        <w:t xml:space="preserve">  </w:t>
      </w:r>
      <w:r w:rsidR="00A52676">
        <w:t xml:space="preserve">These entities must </w:t>
      </w:r>
      <w:r w:rsidR="009B3230">
        <w:t xml:space="preserve">first </w:t>
      </w:r>
      <w:r w:rsidR="00A52676">
        <w:t xml:space="preserve">apply for ITS authorizations </w:t>
      </w:r>
      <w:r w:rsidR="009B3230">
        <w:t xml:space="preserve">to which a </w:t>
      </w:r>
      <w:r w:rsidR="00895AA8">
        <w:t>waiver would apply and</w:t>
      </w:r>
      <w:r w:rsidR="00561C39">
        <w:t>,</w:t>
      </w:r>
      <w:r w:rsidR="00895AA8">
        <w:t xml:space="preserve"> thereafter, </w:t>
      </w:r>
      <w:r w:rsidR="00B71467">
        <w:t>on their own behalf,</w:t>
      </w:r>
      <w:r w:rsidR="00FB4254">
        <w:t xml:space="preserve"> request a waiver of the </w:t>
      </w:r>
      <w:r w:rsidR="00C8672E">
        <w:t xml:space="preserve">relevant ITS rules if they wish to operate </w:t>
      </w:r>
      <w:r w:rsidR="00AD2750">
        <w:t xml:space="preserve">ITS </w:t>
      </w:r>
      <w:r w:rsidR="00C8672E">
        <w:t>systems using C-V2X-based technology.</w:t>
      </w:r>
      <w:r w:rsidR="00D66FAA">
        <w:t xml:space="preserve">  </w:t>
      </w:r>
      <w:r w:rsidR="00C820FB">
        <w:t>Similarly, LADO</w:t>
      </w:r>
      <w:r w:rsidR="00CC5BE2">
        <w:t>TD</w:t>
      </w:r>
      <w:r w:rsidR="00C820FB">
        <w:t xml:space="preserve"> requests a waiver “for itself and all eligible </w:t>
      </w:r>
      <w:r w:rsidR="004B43DF">
        <w:t xml:space="preserve">municipalities within the geographic borders of the State of Louisiana.”  </w:t>
      </w:r>
      <w:r w:rsidRPr="005C155A" w:rsidR="004B43DF">
        <w:rPr>
          <w:i/>
          <w:iCs/>
        </w:rPr>
        <w:t>LADO</w:t>
      </w:r>
      <w:r w:rsidRPr="005C155A" w:rsidR="00CC5BE2">
        <w:rPr>
          <w:i/>
          <w:iCs/>
        </w:rPr>
        <w:t>TD Waiver Request</w:t>
      </w:r>
      <w:r w:rsidR="00CC5BE2">
        <w:t xml:space="preserve"> at 1</w:t>
      </w:r>
      <w:r w:rsidR="00CA121A">
        <w:t>–</w:t>
      </w:r>
      <w:r w:rsidR="00CC5BE2">
        <w:t>2.</w:t>
      </w:r>
      <w:r w:rsidR="00EA1C96">
        <w:t xml:space="preserve">  </w:t>
      </w:r>
      <w:r w:rsidR="006A25F8">
        <w:t xml:space="preserve">LADOTD’s request </w:t>
      </w:r>
      <w:r w:rsidR="00CD6327">
        <w:t xml:space="preserve">to extend </w:t>
      </w:r>
      <w:r w:rsidR="007B521D">
        <w:t xml:space="preserve">waiver relief </w:t>
      </w:r>
      <w:r w:rsidR="00CD6327">
        <w:t xml:space="preserve">to </w:t>
      </w:r>
      <w:r w:rsidR="0043073B">
        <w:t xml:space="preserve">certain unnamed </w:t>
      </w:r>
      <w:r w:rsidR="00F629D5">
        <w:t>“</w:t>
      </w:r>
      <w:r w:rsidR="0012604B">
        <w:t>municipalities within its geographic borders</w:t>
      </w:r>
      <w:r w:rsidR="00F629D5">
        <w:t>”</w:t>
      </w:r>
      <w:r w:rsidR="0012604B">
        <w:t xml:space="preserve"> is </w:t>
      </w:r>
      <w:r w:rsidR="00741C96">
        <w:t xml:space="preserve">likewise </w:t>
      </w:r>
      <w:r w:rsidR="0012604B">
        <w:t>denied.</w:t>
      </w:r>
    </w:p>
  </w:footnote>
  <w:footnote w:id="12">
    <w:p w:rsidR="002A2E9D" w:rsidP="002A2E9D" w14:paraId="3587342D" w14:textId="43D3E3CC">
      <w:pPr>
        <w:pStyle w:val="FootnoteText"/>
      </w:pPr>
      <w:r>
        <w:rPr>
          <w:rStyle w:val="FootnoteReference"/>
        </w:rPr>
        <w:footnoteRef/>
      </w:r>
      <w:r w:rsidR="541CC2C5">
        <w:t xml:space="preserve"> </w:t>
      </w:r>
      <w:r w:rsidRPr="541CC2C5" w:rsidR="541CC2C5">
        <w:rPr>
          <w:i/>
          <w:iCs/>
        </w:rPr>
        <w:t xml:space="preserve">See, e.g., </w:t>
      </w:r>
      <w:r w:rsidR="005D0705">
        <w:rPr>
          <w:i/>
          <w:iCs/>
        </w:rPr>
        <w:t>PA</w:t>
      </w:r>
      <w:r w:rsidRPr="541CC2C5" w:rsidR="541CC2C5">
        <w:rPr>
          <w:i/>
          <w:iCs/>
        </w:rPr>
        <w:t>DOT Waiver Request</w:t>
      </w:r>
      <w:r w:rsidRPr="00E40F05" w:rsidR="541CC2C5">
        <w:t xml:space="preserve"> at </w:t>
      </w:r>
      <w:r w:rsidR="00B21724">
        <w:t>2</w:t>
      </w:r>
      <w:r w:rsidR="00CA121A">
        <w:t>–</w:t>
      </w:r>
      <w:r w:rsidR="00B21724">
        <w:t>3</w:t>
      </w:r>
      <w:r w:rsidR="541CC2C5">
        <w:t xml:space="preserve"> (</w:t>
      </w:r>
      <w:r w:rsidR="005D0705">
        <w:t>WRBM305</w:t>
      </w:r>
      <w:r w:rsidR="541CC2C5">
        <w:t>)</w:t>
      </w:r>
      <w:r w:rsidRPr="00BA3676" w:rsidR="541CC2C5">
        <w:t xml:space="preserve">; </w:t>
      </w:r>
      <w:r w:rsidRPr="005C155A" w:rsidR="00C6795C">
        <w:rPr>
          <w:i/>
          <w:iCs/>
        </w:rPr>
        <w:t>LADOTD Waiver Request</w:t>
      </w:r>
      <w:r w:rsidR="00C6795C">
        <w:t xml:space="preserve"> at </w:t>
      </w:r>
      <w:r w:rsidR="005A2BF5">
        <w:t>2</w:t>
      </w:r>
      <w:r w:rsidR="00C6795C">
        <w:t xml:space="preserve"> (WQCR805); </w:t>
      </w:r>
      <w:r w:rsidRPr="005C155A" w:rsidR="00C6795C">
        <w:rPr>
          <w:i/>
          <w:iCs/>
        </w:rPr>
        <w:t>PG County Waiver Request</w:t>
      </w:r>
      <w:r w:rsidR="00C6795C">
        <w:t xml:space="preserve"> </w:t>
      </w:r>
      <w:r w:rsidR="00770F4B">
        <w:t xml:space="preserve">at </w:t>
      </w:r>
      <w:r w:rsidR="007E67A3">
        <w:t>2</w:t>
      </w:r>
      <w:r w:rsidR="00770F4B">
        <w:t xml:space="preserve"> (WRFK217); </w:t>
      </w:r>
      <w:r w:rsidR="00995777">
        <w:rPr>
          <w:i/>
          <w:iCs/>
        </w:rPr>
        <w:t>Battelle</w:t>
      </w:r>
      <w:r w:rsidRPr="541CC2C5" w:rsidR="00995777">
        <w:rPr>
          <w:i/>
          <w:iCs/>
        </w:rPr>
        <w:t xml:space="preserve"> Waiver Request</w:t>
      </w:r>
      <w:r w:rsidR="00995777">
        <w:t xml:space="preserve"> at 2</w:t>
      </w:r>
      <w:r w:rsidR="00CA121A">
        <w:t>–</w:t>
      </w:r>
      <w:r w:rsidR="00995777">
        <w:t xml:space="preserve">3 (WQZC71); </w:t>
      </w:r>
      <w:r w:rsidR="00687619">
        <w:rPr>
          <w:i/>
          <w:iCs/>
        </w:rPr>
        <w:t>ISTHA</w:t>
      </w:r>
      <w:r w:rsidRPr="541CC2C5" w:rsidR="541CC2C5">
        <w:rPr>
          <w:i/>
          <w:iCs/>
        </w:rPr>
        <w:t xml:space="preserve"> Waiver Request</w:t>
      </w:r>
      <w:r w:rsidRPr="00BA3676" w:rsidR="541CC2C5">
        <w:t xml:space="preserve"> at </w:t>
      </w:r>
      <w:r w:rsidR="00B21724">
        <w:t>1</w:t>
      </w:r>
      <w:r w:rsidR="541CC2C5">
        <w:t xml:space="preserve"> (</w:t>
      </w:r>
      <w:r w:rsidR="004C1C39">
        <w:t>WQZJ502</w:t>
      </w:r>
      <w:r w:rsidR="541CC2C5">
        <w:t>)</w:t>
      </w:r>
      <w:r w:rsidR="00981555">
        <w:t xml:space="preserve">; </w:t>
      </w:r>
      <w:r w:rsidRPr="005C155A" w:rsidR="00981555">
        <w:rPr>
          <w:i/>
          <w:iCs/>
        </w:rPr>
        <w:t>CCTA Waiver Request</w:t>
      </w:r>
      <w:r w:rsidR="00981555">
        <w:t xml:space="preserve"> at </w:t>
      </w:r>
      <w:r w:rsidR="002643A2">
        <w:t>2 (WQZS543)</w:t>
      </w:r>
      <w:r w:rsidR="000A3518">
        <w:t xml:space="preserve">; </w:t>
      </w:r>
      <w:r w:rsidRPr="00CC6D8D" w:rsidR="000A3518">
        <w:rPr>
          <w:i/>
          <w:iCs/>
        </w:rPr>
        <w:t>MEDOT Waiver Request</w:t>
      </w:r>
      <w:r w:rsidR="000A3518">
        <w:t xml:space="preserve"> at </w:t>
      </w:r>
      <w:r w:rsidR="009739DB">
        <w:t>2 (WQBJ</w:t>
      </w:r>
      <w:r w:rsidR="00E75E55">
        <w:t>438)</w:t>
      </w:r>
      <w:r w:rsidR="00976B42">
        <w:t>.</w:t>
      </w:r>
    </w:p>
  </w:footnote>
  <w:footnote w:id="13">
    <w:p w:rsidR="002A2E9D" w:rsidP="002A2E9D" w14:paraId="1EE977EB" w14:textId="45B8EC96">
      <w:pPr>
        <w:pStyle w:val="FootnoteText"/>
      </w:pPr>
      <w:r>
        <w:rPr>
          <w:rStyle w:val="FootnoteReference"/>
        </w:rPr>
        <w:footnoteRef/>
      </w:r>
      <w:r w:rsidR="541CC2C5">
        <w:t xml:space="preserve"> </w:t>
      </w:r>
      <w:r w:rsidRPr="541CC2C5" w:rsidR="541CC2C5">
        <w:rPr>
          <w:i/>
          <w:iCs/>
        </w:rPr>
        <w:t>See</w:t>
      </w:r>
      <w:r w:rsidRPr="00C21A0C" w:rsidR="541CC2C5">
        <w:t xml:space="preserve"> </w:t>
      </w:r>
      <w:r w:rsidR="00933515">
        <w:rPr>
          <w:i/>
          <w:iCs/>
        </w:rPr>
        <w:t>Ettifos Waiver</w:t>
      </w:r>
      <w:r w:rsidRPr="541CC2C5" w:rsidR="541CC2C5">
        <w:rPr>
          <w:i/>
          <w:iCs/>
        </w:rPr>
        <w:t xml:space="preserve"> Request</w:t>
      </w:r>
      <w:r w:rsidRPr="00C21A0C" w:rsidR="541CC2C5">
        <w:t xml:space="preserve"> at</w:t>
      </w:r>
      <w:r w:rsidR="00636993">
        <w:t xml:space="preserve"> 3;</w:t>
      </w:r>
      <w:r w:rsidR="00933515">
        <w:t xml:space="preserve"> </w:t>
      </w:r>
      <w:r w:rsidRPr="00C42C06" w:rsidR="00933515">
        <w:rPr>
          <w:i/>
          <w:iCs/>
        </w:rPr>
        <w:t>Continental</w:t>
      </w:r>
      <w:r w:rsidRPr="00784794" w:rsidR="000F6FAF">
        <w:rPr>
          <w:i/>
          <w:iCs/>
        </w:rPr>
        <w:t xml:space="preserve"> Waiver Request</w:t>
      </w:r>
      <w:r w:rsidR="000F6FAF">
        <w:t xml:space="preserve"> at</w:t>
      </w:r>
      <w:r w:rsidR="004D392E">
        <w:t xml:space="preserve"> 2</w:t>
      </w:r>
      <w:r w:rsidR="00CA121A">
        <w:t>–</w:t>
      </w:r>
      <w:r w:rsidR="004D392E">
        <w:t>3;</w:t>
      </w:r>
      <w:r w:rsidR="00CD0EF7">
        <w:t xml:space="preserve"> </w:t>
      </w:r>
      <w:r w:rsidR="00C42C06">
        <w:rPr>
          <w:i/>
          <w:iCs/>
        </w:rPr>
        <w:t>Continental Waiver Supplement</w:t>
      </w:r>
      <w:r w:rsidRPr="00FE1BC1" w:rsidR="541CC2C5">
        <w:t xml:space="preserve"> at</w:t>
      </w:r>
      <w:r w:rsidR="004D392E">
        <w:t xml:space="preserve"> 1</w:t>
      </w:r>
      <w:r w:rsidR="003A7539">
        <w:t xml:space="preserve">; </w:t>
      </w:r>
      <w:r w:rsidRPr="005C155A" w:rsidR="003A7539">
        <w:rPr>
          <w:i/>
          <w:iCs/>
        </w:rPr>
        <w:t>IT-T Waiver Request</w:t>
      </w:r>
      <w:r w:rsidR="003A7539">
        <w:t xml:space="preserve"> at </w:t>
      </w:r>
      <w:r w:rsidR="00E52BA7">
        <w:t xml:space="preserve">2; </w:t>
      </w:r>
      <w:r w:rsidRPr="005C155A" w:rsidR="00E52BA7">
        <w:rPr>
          <w:i/>
          <w:iCs/>
        </w:rPr>
        <w:t>NTCNA Waiver Request</w:t>
      </w:r>
      <w:r w:rsidR="00E52BA7">
        <w:t xml:space="preserve"> at </w:t>
      </w:r>
      <w:r w:rsidR="00ED1D21">
        <w:t>2</w:t>
      </w:r>
      <w:r w:rsidR="004D392E">
        <w:t>.</w:t>
      </w:r>
    </w:p>
  </w:footnote>
  <w:footnote w:id="14">
    <w:p w:rsidR="006B4F30" w14:paraId="02D7EDE6" w14:textId="1F396F76">
      <w:pPr>
        <w:pStyle w:val="FootnoteText"/>
      </w:pPr>
      <w:r>
        <w:rPr>
          <w:rStyle w:val="FootnoteReference"/>
        </w:rPr>
        <w:footnoteRef/>
      </w:r>
      <w:r>
        <w:t xml:space="preserve"> </w:t>
      </w:r>
      <w:r w:rsidRPr="00095468">
        <w:rPr>
          <w:i/>
          <w:iCs/>
        </w:rPr>
        <w:t>See</w:t>
      </w:r>
      <w:r>
        <w:t xml:space="preserve"> </w:t>
      </w:r>
      <w:r w:rsidRPr="00664AB5">
        <w:t>Request for Waiver</w:t>
      </w:r>
      <w:r>
        <w:t xml:space="preserve"> of 5.9 GHz Band Rules to Permit Initial Deployments of Cellular Vehicle-to-Everything Technology, Ford Motor Company, et al., ET Docket No. 19-138, Appendix 1 at 10</w:t>
      </w:r>
      <w:r w:rsidR="00405632">
        <w:t>–</w:t>
      </w:r>
      <w:r>
        <w:t>11 (filed Dec. 13, 2021) (</w:t>
      </w:r>
      <w:r>
        <w:rPr>
          <w:i/>
          <w:iCs/>
        </w:rPr>
        <w:t xml:space="preserve">Joint </w:t>
      </w:r>
      <w:r w:rsidRPr="00952E20">
        <w:rPr>
          <w:i/>
          <w:iCs/>
        </w:rPr>
        <w:t>Waiver Request</w:t>
      </w:r>
      <w:r>
        <w:t xml:space="preserve">), </w:t>
      </w:r>
      <w:hyperlink r:id="rId1" w:history="1">
        <w:r w:rsidRPr="008B27B3">
          <w:rPr>
            <w:rStyle w:val="Hyperlink"/>
          </w:rPr>
          <w:t>https://www.fcc.gov/ecfs/file/download/DOC-5f6d7d2ef3400000-A.pdf?file_name=C-V2X%20Waiver%20Request%2012%2013%202021.pdf</w:t>
        </w:r>
      </w:hyperlink>
      <w:r>
        <w:t xml:space="preserve">; </w:t>
      </w:r>
      <w:r w:rsidRPr="00095468">
        <w:rPr>
          <w:i/>
          <w:iCs/>
        </w:rPr>
        <w:t>see also</w:t>
      </w:r>
      <w:r>
        <w:t xml:space="preserve"> Letter from the C-V2X Joint Waiver Parties to Marlene H. Dortch, Secretary, FCC, ET Docket No. 19-138, at 3 (filed Apr. 20, 2022) (</w:t>
      </w:r>
      <w:r>
        <w:rPr>
          <w:i/>
          <w:iCs/>
        </w:rPr>
        <w:t xml:space="preserve">Joint </w:t>
      </w:r>
      <w:r w:rsidRPr="004C712A">
        <w:rPr>
          <w:i/>
          <w:iCs/>
        </w:rPr>
        <w:t>Waiver Request</w:t>
      </w:r>
      <w:r>
        <w:rPr>
          <w:i/>
          <w:iCs/>
        </w:rPr>
        <w:t xml:space="preserve"> Supplement</w:t>
      </w:r>
      <w:r>
        <w:t>),</w:t>
      </w:r>
      <w:r w:rsidRPr="007C3669">
        <w:t xml:space="preserve"> </w:t>
      </w:r>
      <w:hyperlink r:id="rId2" w:history="1">
        <w:r w:rsidRPr="0036712D">
          <w:rPr>
            <w:rStyle w:val="Hyperlink"/>
          </w:rPr>
          <w:t>https://www.fcc.gov/ecfs/document/104201266008794/1</w:t>
        </w:r>
      </w:hyperlink>
      <w:r w:rsidR="004C31F9">
        <w:rPr>
          <w:rStyle w:val="Hyperlink"/>
        </w:rPr>
        <w:t>.</w:t>
      </w:r>
    </w:p>
  </w:footnote>
  <w:footnote w:id="15">
    <w:p w:rsidR="00E85E74" w14:paraId="7669F397" w14:textId="387AABF0">
      <w:pPr>
        <w:pStyle w:val="FootnoteText"/>
      </w:pPr>
      <w:r>
        <w:rPr>
          <w:rStyle w:val="FootnoteReference"/>
        </w:rPr>
        <w:footnoteRef/>
      </w:r>
      <w:r>
        <w:t xml:space="preserve"> </w:t>
      </w:r>
      <w:r w:rsidRPr="002A0940" w:rsidR="00E724D4">
        <w:rPr>
          <w:i/>
          <w:iCs/>
        </w:rPr>
        <w:t>Joint Waiver Request</w:t>
      </w:r>
      <w:r w:rsidRPr="00E724D4" w:rsidR="00E724D4">
        <w:t xml:space="preserve"> Appendix 1 at 10</w:t>
      </w:r>
      <w:r w:rsidR="00405632">
        <w:t>–</w:t>
      </w:r>
      <w:r w:rsidRPr="00E724D4" w:rsidR="00E724D4">
        <w:t xml:space="preserve">11; </w:t>
      </w:r>
      <w:r w:rsidRPr="0028190B" w:rsidR="00E724D4">
        <w:rPr>
          <w:i/>
          <w:iCs/>
        </w:rPr>
        <w:t>Joint Waiver Request Supplement</w:t>
      </w:r>
      <w:r w:rsidRPr="00E724D4" w:rsidR="00E724D4">
        <w:t xml:space="preserve"> at 3</w:t>
      </w:r>
      <w:r w:rsidR="00E724D4">
        <w:t>.</w:t>
      </w:r>
    </w:p>
  </w:footnote>
  <w:footnote w:id="16">
    <w:p w:rsidR="002A2E9D" w:rsidP="002A2E9D" w14:paraId="7DAA367A" w14:textId="6259156D">
      <w:pPr>
        <w:pStyle w:val="FootnoteText"/>
      </w:pPr>
      <w:r>
        <w:rPr>
          <w:rStyle w:val="FootnoteReference"/>
        </w:rPr>
        <w:footnoteRef/>
      </w:r>
      <w:r w:rsidR="541CC2C5">
        <w:t xml:space="preserve"> </w:t>
      </w:r>
      <w:r w:rsidRPr="541CC2C5" w:rsidR="541CC2C5">
        <w:rPr>
          <w:i/>
          <w:iCs/>
        </w:rPr>
        <w:t>See Request for Waiver of 5.9 GHz Band to Permit Initial Deployment of Cellular Vehicle-to-Everything Technology</w:t>
      </w:r>
      <w:r w:rsidRPr="0069645C" w:rsidR="541CC2C5">
        <w:t>, Order, ET Docket No. 19-138, DA 23-343 (rel. Apr. 24, 2023) (Joint Waiver Order).</w:t>
      </w:r>
      <w:r w:rsidR="541CC2C5">
        <w:t xml:space="preserve">  The Bureaus waived sections 90.375, 90.377, 90.379, 95.3163, 95.3167, and 95.3189 of the Commission’s rules, 47 CFR §§ 90.375, 90.377, 90.379, 95.3163, 95.3167, 95.3189.</w:t>
      </w:r>
      <w:r w:rsidRPr="541CC2C5" w:rsidR="541CC2C5">
        <w:rPr>
          <w:i/>
          <w:iCs/>
        </w:rPr>
        <w:t xml:space="preserve">  See</w:t>
      </w:r>
      <w:r w:rsidR="541CC2C5">
        <w:t xml:space="preserve"> Joint Waiver Order at 10–11.</w:t>
      </w:r>
    </w:p>
  </w:footnote>
  <w:footnote w:id="17">
    <w:p w:rsidR="002A2E9D" w:rsidP="002A2E9D" w14:paraId="39544CFB" w14:textId="7E965519">
      <w:pPr>
        <w:pStyle w:val="FootnoteText"/>
      </w:pPr>
      <w:r>
        <w:rPr>
          <w:rStyle w:val="FootnoteReference"/>
        </w:rPr>
        <w:footnoteRef/>
      </w:r>
      <w:r>
        <w:t xml:space="preserve"> Joint Waiver Order at 10</w:t>
      </w:r>
      <w:r w:rsidR="00405632">
        <w:t>–</w:t>
      </w:r>
      <w:r>
        <w:t>11.</w:t>
      </w:r>
    </w:p>
  </w:footnote>
  <w:footnote w:id="18">
    <w:p w:rsidR="002A2E9D" w:rsidP="002A2E9D" w14:paraId="721A0DDA" w14:textId="0D76BB0E">
      <w:pPr>
        <w:pStyle w:val="FootnoteText"/>
      </w:pPr>
      <w:r>
        <w:rPr>
          <w:rStyle w:val="FootnoteReference"/>
        </w:rPr>
        <w:footnoteRef/>
      </w:r>
      <w:r>
        <w:t xml:space="preserve"> </w:t>
      </w:r>
      <w:r w:rsidRPr="0069645C">
        <w:rPr>
          <w:i/>
          <w:iCs/>
        </w:rPr>
        <w:t>See Request</w:t>
      </w:r>
      <w:r>
        <w:rPr>
          <w:i/>
          <w:iCs/>
        </w:rPr>
        <w:t xml:space="preserve"> to Modify April 24, 2023 Waiver Order</w:t>
      </w:r>
      <w:r w:rsidRPr="0069645C">
        <w:rPr>
          <w:i/>
          <w:iCs/>
        </w:rPr>
        <w:t xml:space="preserve"> of 5.9 GHz Band </w:t>
      </w:r>
      <w:r>
        <w:rPr>
          <w:i/>
          <w:iCs/>
        </w:rPr>
        <w:t xml:space="preserve">Rules </w:t>
      </w:r>
      <w:r w:rsidRPr="0069645C">
        <w:rPr>
          <w:i/>
          <w:iCs/>
        </w:rPr>
        <w:t>to Permit Initial Deployment of Cellular Vehicle-to-Everything Technology</w:t>
      </w:r>
      <w:r w:rsidRPr="0069645C">
        <w:t>, Order, ET Docket No. 19-138, DA 23-</w:t>
      </w:r>
      <w:r>
        <w:t>586</w:t>
      </w:r>
      <w:r w:rsidRPr="0069645C">
        <w:t xml:space="preserve"> (rel. </w:t>
      </w:r>
      <w:r>
        <w:t>Jul</w:t>
      </w:r>
      <w:r w:rsidRPr="0069645C">
        <w:t>.</w:t>
      </w:r>
      <w:r>
        <w:t xml:space="preserve"> 5</w:t>
      </w:r>
      <w:r w:rsidRPr="0069645C">
        <w:t xml:space="preserve">, 2023) (Waiver </w:t>
      </w:r>
      <w:r>
        <w:t xml:space="preserve">Modification </w:t>
      </w:r>
      <w:r w:rsidRPr="0069645C">
        <w:t>Order)</w:t>
      </w:r>
      <w:r>
        <w:t xml:space="preserve"> (removing the 20 dBm </w:t>
      </w:r>
      <w:r w:rsidR="009D35C2">
        <w:t>t</w:t>
      </w:r>
      <w:r>
        <w:t xml:space="preserve">ransmitter </w:t>
      </w:r>
      <w:r w:rsidR="009D35C2">
        <w:t>o</w:t>
      </w:r>
      <w:r>
        <w:t xml:space="preserve">utput </w:t>
      </w:r>
      <w:r w:rsidR="009D35C2">
        <w:t>p</w:t>
      </w:r>
      <w:r>
        <w:t xml:space="preserve">ower </w:t>
      </w:r>
      <w:r w:rsidR="009D35C2">
        <w:t>l</w:t>
      </w:r>
      <w:r>
        <w:t>imit for OBUs from the technical requirements placed on the waiver grant)</w:t>
      </w:r>
      <w:r w:rsidRPr="0069645C">
        <w:t>.</w:t>
      </w:r>
    </w:p>
  </w:footnote>
  <w:footnote w:id="19">
    <w:p w:rsidR="002A2E9D" w:rsidP="002A2E9D" w14:paraId="6C9247C6" w14:textId="1EFA98DB">
      <w:pPr>
        <w:pStyle w:val="FootnoteText"/>
      </w:pPr>
      <w:r>
        <w:rPr>
          <w:rStyle w:val="FootnoteReference"/>
        </w:rPr>
        <w:footnoteRef/>
      </w:r>
      <w:r w:rsidR="541CC2C5">
        <w:t xml:space="preserve"> </w:t>
      </w:r>
      <w:r w:rsidRPr="541CC2C5" w:rsidR="541CC2C5">
        <w:rPr>
          <w:i/>
          <w:iCs/>
        </w:rPr>
        <w:t>See</w:t>
      </w:r>
      <w:r w:rsidRPr="00E40F05" w:rsidR="541CC2C5">
        <w:t xml:space="preserve"> </w:t>
      </w:r>
      <w:r w:rsidR="00D2074A">
        <w:rPr>
          <w:i/>
          <w:iCs/>
        </w:rPr>
        <w:t>Ettifos</w:t>
      </w:r>
      <w:r w:rsidRPr="00474424" w:rsidR="00D2074A">
        <w:rPr>
          <w:i/>
          <w:iCs/>
        </w:rPr>
        <w:t xml:space="preserve"> Waiver Request</w:t>
      </w:r>
      <w:r w:rsidR="00D2074A">
        <w:rPr>
          <w:i/>
          <w:iCs/>
        </w:rPr>
        <w:t xml:space="preserve"> </w:t>
      </w:r>
      <w:r w:rsidR="00D2074A">
        <w:t>at 1</w:t>
      </w:r>
      <w:r w:rsidR="00CA121A">
        <w:t>–</w:t>
      </w:r>
      <w:r w:rsidR="00D2074A">
        <w:t xml:space="preserve">2; </w:t>
      </w:r>
      <w:r w:rsidRPr="00CF25EA" w:rsidR="00D2074A">
        <w:rPr>
          <w:i/>
          <w:iCs/>
        </w:rPr>
        <w:t>PADOT Waiver Request</w:t>
      </w:r>
      <w:r w:rsidR="00D2074A">
        <w:t xml:space="preserve"> at 1</w:t>
      </w:r>
      <w:r w:rsidR="00CA121A">
        <w:t>–</w:t>
      </w:r>
      <w:r w:rsidR="00D2074A">
        <w:t xml:space="preserve">2; </w:t>
      </w:r>
      <w:r w:rsidRPr="00CF25EA" w:rsidR="00D2074A">
        <w:rPr>
          <w:i/>
          <w:iCs/>
        </w:rPr>
        <w:t>Continental Waiver Supplement</w:t>
      </w:r>
      <w:r w:rsidR="00D2074A">
        <w:t xml:space="preserve"> at 1; </w:t>
      </w:r>
      <w:r w:rsidRPr="00CF25EA" w:rsidR="00D2074A">
        <w:rPr>
          <w:i/>
          <w:iCs/>
        </w:rPr>
        <w:t>Battelle Waiver Request</w:t>
      </w:r>
      <w:r w:rsidR="00D2074A">
        <w:t xml:space="preserve"> at 1</w:t>
      </w:r>
      <w:r w:rsidR="00CA121A">
        <w:t>–</w:t>
      </w:r>
      <w:r w:rsidR="009F7FEB">
        <w:t>2</w:t>
      </w:r>
      <w:r w:rsidR="00D2074A">
        <w:t xml:space="preserve">; </w:t>
      </w:r>
      <w:r w:rsidRPr="00CF25EA" w:rsidR="00D2074A">
        <w:rPr>
          <w:i/>
          <w:iCs/>
        </w:rPr>
        <w:t>ISTHA Waiver Request</w:t>
      </w:r>
      <w:r w:rsidR="00D2074A">
        <w:t xml:space="preserve"> at 1</w:t>
      </w:r>
      <w:r w:rsidR="00F84B95">
        <w:t xml:space="preserve">; </w:t>
      </w:r>
      <w:r w:rsidRPr="005C155A" w:rsidR="006F204F">
        <w:rPr>
          <w:i/>
          <w:iCs/>
        </w:rPr>
        <w:t>IT-T Waiver Request</w:t>
      </w:r>
      <w:r w:rsidR="006F204F">
        <w:t xml:space="preserve"> at </w:t>
      </w:r>
      <w:r w:rsidR="00AB19B5">
        <w:t>1</w:t>
      </w:r>
      <w:r w:rsidR="00CA121A">
        <w:t>–</w:t>
      </w:r>
      <w:r w:rsidR="00AB19B5">
        <w:t>2</w:t>
      </w:r>
      <w:r w:rsidR="006F204F">
        <w:t xml:space="preserve">; </w:t>
      </w:r>
      <w:r w:rsidRPr="005C155A" w:rsidR="00C85E7E">
        <w:rPr>
          <w:i/>
          <w:iCs/>
        </w:rPr>
        <w:t>NTCNA Waiver Request</w:t>
      </w:r>
      <w:r w:rsidR="00C85E7E">
        <w:t xml:space="preserve"> at </w:t>
      </w:r>
      <w:r w:rsidR="00481160">
        <w:t>1</w:t>
      </w:r>
      <w:r w:rsidR="00CA121A">
        <w:t>–</w:t>
      </w:r>
      <w:r w:rsidR="00481160">
        <w:t>2</w:t>
      </w:r>
      <w:r w:rsidR="00C85E7E">
        <w:t xml:space="preserve">; </w:t>
      </w:r>
      <w:r w:rsidRPr="005C155A" w:rsidR="00D5768F">
        <w:rPr>
          <w:i/>
          <w:iCs/>
        </w:rPr>
        <w:t>CCTA Waiver Request</w:t>
      </w:r>
      <w:r w:rsidR="00D5768F">
        <w:t xml:space="preserve"> at </w:t>
      </w:r>
      <w:r w:rsidR="005069F1">
        <w:t>2</w:t>
      </w:r>
      <w:r w:rsidR="00CA121A">
        <w:t>–</w:t>
      </w:r>
      <w:r w:rsidR="005069F1">
        <w:t>4</w:t>
      </w:r>
      <w:r w:rsidR="00C85E7E">
        <w:t xml:space="preserve">; </w:t>
      </w:r>
      <w:r w:rsidRPr="005C155A" w:rsidR="00C85E7E">
        <w:rPr>
          <w:i/>
          <w:iCs/>
        </w:rPr>
        <w:t>LADOTD Waiver Request</w:t>
      </w:r>
      <w:r w:rsidR="00C85E7E">
        <w:t xml:space="preserve"> at </w:t>
      </w:r>
      <w:r w:rsidR="003354EE">
        <w:t>2</w:t>
      </w:r>
      <w:r w:rsidR="00C85E7E">
        <w:t xml:space="preserve">; </w:t>
      </w:r>
      <w:r w:rsidRPr="005C155A" w:rsidR="0012561C">
        <w:rPr>
          <w:i/>
          <w:iCs/>
        </w:rPr>
        <w:t>PG County Waiver Request</w:t>
      </w:r>
      <w:r w:rsidR="0012561C">
        <w:t xml:space="preserve"> at </w:t>
      </w:r>
      <w:r w:rsidR="003354EE">
        <w:t>2</w:t>
      </w:r>
      <w:r w:rsidR="009636D4">
        <w:t xml:space="preserve">; </w:t>
      </w:r>
      <w:r w:rsidRPr="00CC6D8D" w:rsidR="009636D4">
        <w:rPr>
          <w:i/>
          <w:iCs/>
        </w:rPr>
        <w:t>MEDOT Waiver Request</w:t>
      </w:r>
      <w:r w:rsidR="009636D4">
        <w:t xml:space="preserve"> at </w:t>
      </w:r>
      <w:r w:rsidR="007A33A9">
        <w:t>1-2</w:t>
      </w:r>
      <w:r w:rsidR="0012561C">
        <w:t xml:space="preserve">.  </w:t>
      </w:r>
      <w:r w:rsidR="005069F1">
        <w:t>CCTA</w:t>
      </w:r>
      <w:r w:rsidR="0012561C">
        <w:t xml:space="preserve">, LADODT, and </w:t>
      </w:r>
      <w:r w:rsidR="00FC1B63">
        <w:t>PG County</w:t>
      </w:r>
      <w:r w:rsidR="005069F1">
        <w:t xml:space="preserve"> </w:t>
      </w:r>
      <w:r w:rsidR="00810DAB">
        <w:t xml:space="preserve">base </w:t>
      </w:r>
      <w:r w:rsidR="00FC1B63">
        <w:t>their</w:t>
      </w:r>
      <w:r w:rsidR="00810DAB">
        <w:t xml:space="preserve"> waiver request</w:t>
      </w:r>
      <w:r w:rsidR="00FC1B63">
        <w:t>s</w:t>
      </w:r>
      <w:r w:rsidR="00810DAB">
        <w:t xml:space="preserve"> on the </w:t>
      </w:r>
      <w:r w:rsidR="007A7E34">
        <w:t xml:space="preserve">grant order issued by </w:t>
      </w:r>
      <w:r w:rsidR="005B5883">
        <w:t>the Bureaus</w:t>
      </w:r>
      <w:r w:rsidR="007A7E34">
        <w:t xml:space="preserve"> on August 16, 2023</w:t>
      </w:r>
      <w:r w:rsidR="00B60AE0">
        <w:t>,</w:t>
      </w:r>
      <w:r w:rsidR="00464FE2">
        <w:t xml:space="preserve"> which </w:t>
      </w:r>
      <w:r w:rsidR="00303580">
        <w:t xml:space="preserve">follows the </w:t>
      </w:r>
      <w:r w:rsidR="00AA480C">
        <w:t xml:space="preserve">grant conditions set forth in the April 24, 2023 Joint Waiver Order, as modified </w:t>
      </w:r>
      <w:r w:rsidR="009A4406">
        <w:t xml:space="preserve">by </w:t>
      </w:r>
      <w:r w:rsidR="005B5883">
        <w:t xml:space="preserve">the </w:t>
      </w:r>
      <w:r w:rsidR="0088346E">
        <w:t>July 5, 2023 Waiver Modification Order.</w:t>
      </w:r>
    </w:p>
  </w:footnote>
  <w:footnote w:id="20">
    <w:p w:rsidR="002A2E9D" w:rsidP="002A2E9D" w14:paraId="01EF8CAD" w14:textId="77777777">
      <w:pPr>
        <w:pStyle w:val="FootnoteText"/>
      </w:pPr>
      <w:r>
        <w:rPr>
          <w:rStyle w:val="FootnoteReference"/>
        </w:rPr>
        <w:footnoteRef/>
      </w:r>
      <w:r>
        <w:t xml:space="preserve"> </w:t>
      </w:r>
      <w:r w:rsidRPr="00E40B35">
        <w:rPr>
          <w:i/>
          <w:iCs/>
        </w:rPr>
        <w:t>See</w:t>
      </w:r>
      <w:r>
        <w:t xml:space="preserve"> Waiver Modification Order at 4.</w:t>
      </w:r>
    </w:p>
  </w:footnote>
  <w:footnote w:id="21">
    <w:p w:rsidR="002A2E9D" w:rsidP="002A2E9D" w14:paraId="5DF47DE5" w14:textId="7139CA8B">
      <w:pPr>
        <w:pStyle w:val="FootnoteText"/>
      </w:pPr>
      <w:r>
        <w:rPr>
          <w:rStyle w:val="FootnoteReference"/>
        </w:rPr>
        <w:footnoteRef/>
      </w:r>
      <w:r>
        <w:t xml:space="preserve"> 47 CFR § 1.925(b)(3)(i)</w:t>
      </w:r>
      <w:r w:rsidR="00405632">
        <w:t>–</w:t>
      </w:r>
      <w:r>
        <w:t xml:space="preserve">(ii).  </w:t>
      </w:r>
    </w:p>
  </w:footnote>
  <w:footnote w:id="22">
    <w:p w:rsidR="002A2E9D" w:rsidP="002A2E9D" w14:paraId="078EAB1D" w14:textId="77777777">
      <w:pPr>
        <w:pStyle w:val="FootnoteText"/>
      </w:pPr>
      <w:r>
        <w:rPr>
          <w:rStyle w:val="FootnoteReference"/>
        </w:rPr>
        <w:footnoteRef/>
      </w:r>
      <w:r>
        <w:t xml:space="preserve"> 47 CFR § 1.3 (“Any provision of the rules may be waived by the Commission on its own motion or on petition if good cause therefor is shown.”); </w:t>
      </w:r>
      <w:r>
        <w:rPr>
          <w:i/>
        </w:rPr>
        <w:t xml:space="preserve">see also </w:t>
      </w:r>
      <w:r w:rsidRPr="00C0416D">
        <w:rPr>
          <w:i/>
        </w:rPr>
        <w:t>Northeast Cellular Telephone Co. v. FCC</w:t>
      </w:r>
      <w:r>
        <w:t>, 897 F.2d 1164, 1166 (D.C. Cir. 1990).</w:t>
      </w:r>
    </w:p>
  </w:footnote>
  <w:footnote w:id="23">
    <w:p w:rsidR="002A2E9D" w:rsidP="002A2E9D" w14:paraId="074737C1" w14:textId="3FD90077">
      <w:pPr>
        <w:pStyle w:val="FootnoteText"/>
      </w:pPr>
      <w:r w:rsidRPr="00792110">
        <w:rPr>
          <w:rStyle w:val="FootnoteReference"/>
        </w:rPr>
        <w:footnoteRef/>
      </w:r>
      <w:r w:rsidRPr="00792110">
        <w:t xml:space="preserve"> </w:t>
      </w:r>
      <w:r w:rsidRPr="00792110">
        <w:rPr>
          <w:i/>
          <w:iCs/>
        </w:rPr>
        <w:t>See</w:t>
      </w:r>
      <w:r w:rsidRPr="00792110">
        <w:t xml:space="preserve"> Joint Waiver Order, paras. 7</w:t>
      </w:r>
      <w:r w:rsidR="00405632">
        <w:t>–</w:t>
      </w:r>
      <w:r w:rsidRPr="00792110">
        <w:t>14.</w:t>
      </w:r>
    </w:p>
  </w:footnote>
  <w:footnote w:id="24">
    <w:p w:rsidR="002A2E9D" w:rsidP="002A2E9D" w14:paraId="52328DC7" w14:textId="77777777">
      <w:pPr>
        <w:pStyle w:val="FootnoteText"/>
      </w:pPr>
      <w:r>
        <w:rPr>
          <w:rStyle w:val="FootnoteReference"/>
        </w:rPr>
        <w:footnoteRef/>
      </w:r>
      <w:r>
        <w:t xml:space="preserve"> 47 CFR § 1.925(b)(3)(i).</w:t>
      </w:r>
    </w:p>
  </w:footnote>
  <w:footnote w:id="25">
    <w:p w:rsidR="002A2E9D" w:rsidP="002A2E9D" w14:paraId="7875DAA4" w14:textId="4F4C1ED3">
      <w:pPr>
        <w:pStyle w:val="FootnoteText"/>
      </w:pPr>
      <w:r>
        <w:rPr>
          <w:rStyle w:val="FootnoteReference"/>
        </w:rPr>
        <w:footnoteRef/>
      </w:r>
      <w:r>
        <w:t xml:space="preserve"> </w:t>
      </w:r>
      <w:r w:rsidRPr="004F4139">
        <w:rPr>
          <w:i/>
        </w:rPr>
        <w:t>Use of the 5.850</w:t>
      </w:r>
      <w:r w:rsidR="00405632">
        <w:rPr>
          <w:i/>
        </w:rPr>
        <w:t>–</w:t>
      </w:r>
      <w:r w:rsidRPr="004F4139">
        <w:rPr>
          <w:i/>
        </w:rPr>
        <w:t>5.925 GHz Band</w:t>
      </w:r>
      <w:r w:rsidRPr="004F4139">
        <w:t>, ET Docket No. 19-138, First Report and Order, Further Notice of Proposed Rulemaking, and Order of Proposed Modification, 35 FCC Rcd 13440 (2020)</w:t>
      </w:r>
      <w:r w:rsidR="001C145A">
        <w:t xml:space="preserve"> (</w:t>
      </w:r>
      <w:r w:rsidRPr="00953404" w:rsidR="001C145A">
        <w:rPr>
          <w:i/>
          <w:iCs/>
        </w:rPr>
        <w:t xml:space="preserve">5.9 GHz </w:t>
      </w:r>
      <w:r w:rsidR="001C145A">
        <w:rPr>
          <w:i/>
          <w:iCs/>
        </w:rPr>
        <w:t>First R&amp;O</w:t>
      </w:r>
      <w:r w:rsidR="001C145A">
        <w:t>)</w:t>
      </w:r>
      <w:r>
        <w:t xml:space="preserve">, </w:t>
      </w:r>
      <w:r>
        <w:rPr>
          <w:i/>
          <w:iCs/>
        </w:rPr>
        <w:t xml:space="preserve">petitions for review denied sub nom. Intelligent Transp. Soc’y of America v. FCC, </w:t>
      </w:r>
      <w:r>
        <w:t>45 F.4</w:t>
      </w:r>
      <w:r w:rsidR="00B26125">
        <w:t>th</w:t>
      </w:r>
      <w:r>
        <w:t xml:space="preserve"> 406 (D.C. Cir. 2022)</w:t>
      </w:r>
      <w:r w:rsidR="001C145A">
        <w:t>.</w:t>
      </w:r>
      <w:r>
        <w:t xml:space="preserve"> </w:t>
      </w:r>
    </w:p>
  </w:footnote>
  <w:footnote w:id="26">
    <w:p w:rsidR="002A2E9D" w:rsidP="002A2E9D" w14:paraId="5C51AD21" w14:textId="77777777">
      <w:pPr>
        <w:pStyle w:val="FootnoteText"/>
      </w:pPr>
      <w:r>
        <w:rPr>
          <w:rStyle w:val="FootnoteReference"/>
        </w:rPr>
        <w:footnoteRef/>
      </w:r>
      <w:r>
        <w:t xml:space="preserve"> Joint Waiver Order at 5.</w:t>
      </w:r>
    </w:p>
  </w:footnote>
  <w:footnote w:id="27">
    <w:p w:rsidR="002A2E9D" w:rsidP="002A2E9D" w14:paraId="446BA607" w14:textId="55B063B1">
      <w:pPr>
        <w:pStyle w:val="FootnoteText"/>
      </w:pPr>
      <w:r>
        <w:rPr>
          <w:rStyle w:val="FootnoteReference"/>
        </w:rPr>
        <w:footnoteRef/>
      </w:r>
      <w:r w:rsidR="541CC2C5">
        <w:t xml:space="preserve"> </w:t>
      </w:r>
      <w:r w:rsidRPr="541CC2C5" w:rsidR="541CC2C5">
        <w:rPr>
          <w:i/>
          <w:iCs/>
        </w:rPr>
        <w:t>See id</w:t>
      </w:r>
      <w:r w:rsidR="541CC2C5">
        <w:t xml:space="preserve">.; </w:t>
      </w:r>
      <w:r w:rsidRPr="541CC2C5" w:rsidR="541CC2C5">
        <w:rPr>
          <w:i/>
          <w:iCs/>
        </w:rPr>
        <w:t>see also</w:t>
      </w:r>
      <w:r w:rsidR="541CC2C5">
        <w:t xml:space="preserve"> </w:t>
      </w:r>
      <w:r w:rsidRPr="541CC2C5" w:rsidR="541CC2C5">
        <w:rPr>
          <w:i/>
          <w:iCs/>
        </w:rPr>
        <w:t>5.9 GHz First R&amp;O</w:t>
      </w:r>
      <w:r w:rsidR="541CC2C5">
        <w:t xml:space="preserve"> at 13480, para. 99.</w:t>
      </w:r>
    </w:p>
  </w:footnote>
  <w:footnote w:id="28">
    <w:p w:rsidR="007E53E5" w14:paraId="68A5BCFC" w14:textId="6AED7389">
      <w:pPr>
        <w:pStyle w:val="FootnoteText"/>
      </w:pPr>
      <w:r>
        <w:rPr>
          <w:rStyle w:val="FootnoteReference"/>
        </w:rPr>
        <w:footnoteRef/>
      </w:r>
      <w:r>
        <w:t xml:space="preserve"> We note that each of the Waiver Applicants either expressly requested a waiver of the Part 90 and Part 95 rules governing ITS operations in the 5.9 GHz band or referenced the rule waivers issued to the </w:t>
      </w:r>
      <w:r w:rsidRPr="00E67C52">
        <w:t>C-V2X Joint Waiver Parties</w:t>
      </w:r>
      <w:r>
        <w:t xml:space="preserve"> in the Joint Waiver Order.  Accordingly, for the Waiver Applicants that requested a waiver of the ITS rules generally, or </w:t>
      </w:r>
      <w:r w:rsidR="00F14402">
        <w:t>that</w:t>
      </w:r>
      <w:r>
        <w:t xml:space="preserve"> referenced the rules waived in the Joint Waiver Order, we recognize, pursuant to our own authority under </w:t>
      </w:r>
      <w:r w:rsidR="00AF3EAB">
        <w:t>s</w:t>
      </w:r>
      <w:r>
        <w:t>ection 1.3 of the Commission’s Rules, that these Waiver Applicants have requested a waiver of the same rule sections identified in the Joint Waiver Order</w:t>
      </w:r>
      <w:r w:rsidR="00944CAF">
        <w:t>, as amended,</w:t>
      </w:r>
      <w:r>
        <w:t xml:space="preserve"> and grant each such Waiver Applicant a waiver, to the extent necessary, of the rules waived by the Joint Waiver Order</w:t>
      </w:r>
      <w:r w:rsidR="00944CAF">
        <w:t>, as amended</w:t>
      </w:r>
      <w:r>
        <w:t xml:space="preserve">.  </w:t>
      </w:r>
      <w:r w:rsidRPr="00581F24">
        <w:rPr>
          <w:i/>
          <w:iCs/>
        </w:rPr>
        <w:t>See</w:t>
      </w:r>
      <w:r>
        <w:t xml:space="preserve"> 47 CFR § 1.3.</w:t>
      </w:r>
    </w:p>
  </w:footnote>
  <w:footnote w:id="29">
    <w:p w:rsidR="002256A0" w14:paraId="0C8E43F6" w14:textId="070B199C">
      <w:pPr>
        <w:pStyle w:val="FootnoteText"/>
      </w:pPr>
      <w:r>
        <w:rPr>
          <w:rStyle w:val="FootnoteReference"/>
        </w:rPr>
        <w:footnoteRef/>
      </w:r>
      <w:r>
        <w:t xml:space="preserve"> </w:t>
      </w:r>
      <w:r w:rsidR="0072112C">
        <w:t xml:space="preserve">47 CFR </w:t>
      </w:r>
      <w:r w:rsidRPr="00095468" w:rsidR="0072112C">
        <w:t>§§ 90.375</w:t>
      </w:r>
      <w:r w:rsidR="0072112C">
        <w:t xml:space="preserve">, </w:t>
      </w:r>
      <w:r w:rsidR="00CE1185">
        <w:t xml:space="preserve">90.377. </w:t>
      </w:r>
      <w:r>
        <w:t xml:space="preserve"> </w:t>
      </w:r>
    </w:p>
  </w:footnote>
  <w:footnote w:id="30">
    <w:p w:rsidR="00775AAC" w14:paraId="77281E0C" w14:textId="01324EB5">
      <w:pPr>
        <w:pStyle w:val="FootnoteText"/>
      </w:pPr>
      <w:r>
        <w:rPr>
          <w:rStyle w:val="FootnoteReference"/>
        </w:rPr>
        <w:footnoteRef/>
      </w:r>
      <w:r>
        <w:t xml:space="preserve"> </w:t>
      </w:r>
      <w:r w:rsidRPr="006F4858">
        <w:rPr>
          <w:i/>
          <w:iCs/>
        </w:rPr>
        <w:t>See</w:t>
      </w:r>
      <w:r>
        <w:t xml:space="preserve"> Joint Waiver Order, paras. 17</w:t>
      </w:r>
      <w:r w:rsidR="00405632">
        <w:t>–</w:t>
      </w:r>
      <w:r>
        <w:t>26.</w:t>
      </w:r>
    </w:p>
  </w:footnote>
  <w:footnote w:id="31">
    <w:p w:rsidR="00645590" w14:paraId="190C83B6" w14:textId="1E6CC95A">
      <w:pPr>
        <w:pStyle w:val="FootnoteText"/>
      </w:pPr>
      <w:r>
        <w:rPr>
          <w:rStyle w:val="FootnoteReference"/>
        </w:rPr>
        <w:footnoteRef/>
      </w:r>
      <w:r>
        <w:t xml:space="preserve"> </w:t>
      </w:r>
      <w:r w:rsidRPr="006F4858">
        <w:rPr>
          <w:i/>
          <w:iCs/>
        </w:rPr>
        <w:t>See</w:t>
      </w:r>
      <w:r>
        <w:t xml:space="preserve"> Waiver Modification Order</w:t>
      </w:r>
      <w:r w:rsidR="00AD248E">
        <w:t xml:space="preserve"> at 4.</w:t>
      </w:r>
    </w:p>
  </w:footnote>
  <w:footnote w:id="32">
    <w:p w:rsidR="00A46B3A" w:rsidP="00A46B3A" w14:paraId="0FFD4C5C" w14:textId="4FE231B0">
      <w:pPr>
        <w:pStyle w:val="FootnoteText"/>
      </w:pPr>
      <w:r>
        <w:rPr>
          <w:rStyle w:val="FootnoteReference"/>
        </w:rPr>
        <w:footnoteRef/>
      </w:r>
      <w:r w:rsidR="541CC2C5">
        <w:t xml:space="preserve"> </w:t>
      </w:r>
      <w:r w:rsidRPr="541CC2C5" w:rsidR="541CC2C5">
        <w:rPr>
          <w:i/>
          <w:iCs/>
        </w:rPr>
        <w:t>See generally</w:t>
      </w:r>
      <w:r w:rsidR="541CC2C5">
        <w:t xml:space="preserve"> 47 CFR §§ 2.901 </w:t>
      </w:r>
      <w:r w:rsidRPr="541CC2C5" w:rsidR="541CC2C5">
        <w:rPr>
          <w:i/>
          <w:iCs/>
        </w:rPr>
        <w:t xml:space="preserve">et seq. </w:t>
      </w:r>
      <w:r w:rsidR="541CC2C5">
        <w:t>(subpart J – Equipment Authorization Procedures); 47 CFR § 2.905 (</w:t>
      </w:r>
      <w:r w:rsidRPr="00580DB2" w:rsidR="541CC2C5">
        <w:t>Marketing of radio frequency devices prior to equipment authorization</w:t>
      </w:r>
      <w:r w:rsidR="541CC2C5">
        <w:t>).</w:t>
      </w:r>
    </w:p>
  </w:footnote>
  <w:footnote w:id="33">
    <w:p w:rsidR="00A8158D" w14:paraId="1BD5B1F0" w14:textId="0703C063">
      <w:pPr>
        <w:pStyle w:val="FootnoteText"/>
      </w:pPr>
      <w:r>
        <w:rPr>
          <w:rStyle w:val="FootnoteReference"/>
        </w:rPr>
        <w:footnoteRef/>
      </w:r>
      <w:r w:rsidR="541CC2C5">
        <w:t xml:space="preserve"> The OET Laboratory has provided detailed filing guidance in its knowledge database (KDB). </w:t>
      </w:r>
      <w:r w:rsidR="00885C16">
        <w:t xml:space="preserve"> </w:t>
      </w:r>
      <w:r w:rsidRPr="541CC2C5" w:rsidR="541CC2C5">
        <w:rPr>
          <w:i/>
          <w:iCs/>
        </w:rPr>
        <w:t xml:space="preserve">See </w:t>
      </w:r>
      <w:hyperlink r:id="rId3" w:tgtFrame="_blank" w:history="1">
        <w:r w:rsidRPr="00B447C9" w:rsidR="541CC2C5">
          <w:rPr>
            <w:color w:val="0000FF"/>
            <w:u w:val="single"/>
          </w:rPr>
          <w:t>511808 D01 C-V2X Waiver v01</w:t>
        </w:r>
        <w:r w:rsidR="541CC2C5">
          <w:rPr>
            <w:color w:val="0000FF"/>
            <w:u w:val="single"/>
          </w:rPr>
          <w:t>.</w:t>
        </w:r>
        <w:r w:rsidRPr="00B447C9" w:rsidR="541CC2C5">
          <w:rPr>
            <w:color w:val="0000FF"/>
            <w:u w:val="single"/>
          </w:rPr>
          <w:t xml:space="preserve"> </w:t>
        </w:r>
      </w:hyperlink>
    </w:p>
  </w:footnote>
  <w:footnote w:id="34">
    <w:p w:rsidR="000257AF" w:rsidP="000257AF" w14:paraId="0806BB37" w14:textId="4A36B471">
      <w:pPr>
        <w:pStyle w:val="FootnoteText"/>
      </w:pPr>
      <w:r>
        <w:rPr>
          <w:rStyle w:val="FootnoteReference"/>
        </w:rPr>
        <w:footnoteRef/>
      </w:r>
      <w:r>
        <w:t xml:space="preserve"> </w:t>
      </w:r>
      <w:r w:rsidRPr="006F4858">
        <w:rPr>
          <w:i/>
          <w:iCs/>
        </w:rPr>
        <w:t>See</w:t>
      </w:r>
      <w:r>
        <w:t xml:space="preserve"> Joint Waiver Order, paras. 17</w:t>
      </w:r>
      <w:r w:rsidR="00405632">
        <w:t>–</w:t>
      </w:r>
      <w:r>
        <w:t>26.</w:t>
      </w:r>
    </w:p>
  </w:footnote>
  <w:footnote w:id="35">
    <w:p w:rsidR="000257AF" w:rsidP="000257AF" w14:paraId="0548D093" w14:textId="77777777">
      <w:pPr>
        <w:pStyle w:val="FootnoteText"/>
      </w:pPr>
      <w:r>
        <w:rPr>
          <w:rStyle w:val="FootnoteReference"/>
        </w:rPr>
        <w:footnoteRef/>
      </w:r>
      <w:r>
        <w:t xml:space="preserve"> </w:t>
      </w:r>
      <w:r w:rsidRPr="006F4858">
        <w:rPr>
          <w:i/>
          <w:iCs/>
        </w:rPr>
        <w:t>See</w:t>
      </w:r>
      <w:r>
        <w:t xml:space="preserve"> Waiver Modification Order at 4.</w:t>
      </w:r>
    </w:p>
  </w:footnote>
  <w:footnote w:id="36">
    <w:p w:rsidR="00A11A27" w:rsidP="00A11A27" w14:paraId="6DD3651D" w14:textId="327640BD">
      <w:pPr>
        <w:pStyle w:val="FootnoteText"/>
      </w:pPr>
      <w:r>
        <w:rPr>
          <w:rStyle w:val="FootnoteReference"/>
        </w:rPr>
        <w:footnoteRef/>
      </w:r>
      <w:r>
        <w:t xml:space="preserve"> </w:t>
      </w:r>
      <w:r w:rsidRPr="00D75C47">
        <w:rPr>
          <w:i/>
          <w:iCs/>
        </w:rPr>
        <w:t>See</w:t>
      </w:r>
      <w:r>
        <w:t xml:space="preserve"> Letter from Charles Cooper, Associate Administrator, Office of Spectrum Management, National Telecommunications and Information Administration, to Ronald T. Repasi, Acting Chief, FCC Office of Engineering and Technology, ET Docket No. 19-138</w:t>
      </w:r>
      <w:r w:rsidR="00A30404">
        <w:t>, at 3</w:t>
      </w:r>
      <w:r>
        <w:t xml:space="preserve"> (filed April 14, 2023).  </w:t>
      </w:r>
    </w:p>
  </w:footnote>
  <w:footnote w:id="37">
    <w:p w:rsidR="00A11A27" w:rsidP="00A11A27" w14:paraId="61DB01F1" w14:textId="77777777">
      <w:pPr>
        <w:pStyle w:val="FootnoteText"/>
      </w:pPr>
      <w:r>
        <w:rPr>
          <w:rStyle w:val="FootnoteReference"/>
        </w:rPr>
        <w:footnoteRef/>
      </w:r>
      <w:r>
        <w:t xml:space="preserve"> </w:t>
      </w:r>
      <w:r w:rsidRPr="00D75C47">
        <w:rPr>
          <w:i/>
          <w:iCs/>
        </w:rPr>
        <w:t>Id</w:t>
      </w:r>
      <w:r>
        <w:t>.</w:t>
      </w:r>
    </w:p>
  </w:footnote>
  <w:footnote w:id="38">
    <w:p w:rsidR="009D2D55" w:rsidRPr="000170EF" w14:paraId="5CC6E0D1" w14:textId="634EBA30">
      <w:pPr>
        <w:pStyle w:val="FootnoteText"/>
      </w:pPr>
      <w:r>
        <w:rPr>
          <w:rStyle w:val="FootnoteReference"/>
        </w:rPr>
        <w:footnoteRef/>
      </w:r>
      <w:r>
        <w:t xml:space="preserve"> </w:t>
      </w:r>
      <w:r w:rsidRPr="009D2D55">
        <w:rPr>
          <w:i/>
          <w:iCs/>
        </w:rPr>
        <w:t>See</w:t>
      </w:r>
      <w:r>
        <w:t xml:space="preserve"> </w:t>
      </w:r>
      <w:r w:rsidRPr="00484BBA" w:rsidR="0011183A">
        <w:rPr>
          <w:i/>
          <w:iCs/>
        </w:rPr>
        <w:t>supra</w:t>
      </w:r>
      <w:r w:rsidR="0011183A">
        <w:t xml:space="preserve"> note </w:t>
      </w:r>
      <w:r w:rsidRPr="006D69B9" w:rsidR="002803CE">
        <w:t>1</w:t>
      </w:r>
      <w:r w:rsidRPr="006D69B9" w:rsidR="0021197C">
        <w:t>7</w:t>
      </w:r>
      <w:r w:rsidRPr="006D69B9" w:rsidR="00933E35">
        <w:t>.</w:t>
      </w:r>
      <w:r w:rsidR="000170EF">
        <w:t xml:space="preserve">  </w:t>
      </w:r>
    </w:p>
  </w:footnote>
  <w:footnote w:id="39">
    <w:p w:rsidR="00CA317F" w:rsidP="00CA317F" w14:paraId="30F75335" w14:textId="77777777">
      <w:pPr>
        <w:pStyle w:val="FootnoteText"/>
      </w:pPr>
      <w:r>
        <w:rPr>
          <w:rStyle w:val="FootnoteReference"/>
        </w:rPr>
        <w:footnoteRef/>
      </w:r>
      <w:r>
        <w:t xml:space="preserve"> Setting the coordination distance at 25 miles will ensure that C-V2X RSU operators are able to identify any neighboring DSRC incumbents.</w:t>
      </w:r>
    </w:p>
  </w:footnote>
  <w:footnote w:id="40">
    <w:p w:rsidR="00020202" w:rsidP="00020202" w14:paraId="219066BF" w14:textId="77777777">
      <w:pPr>
        <w:pStyle w:val="FootnoteText"/>
      </w:pPr>
      <w:r>
        <w:rPr>
          <w:rStyle w:val="FootnoteReference"/>
        </w:rPr>
        <w:footnoteRef/>
      </w:r>
      <w:r>
        <w:t xml:space="preserve"> </w:t>
      </w:r>
      <w:r w:rsidRPr="00234FA2">
        <w:rPr>
          <w:i/>
          <w:iCs/>
        </w:rPr>
        <w:t>See</w:t>
      </w:r>
      <w:r>
        <w:t xml:space="preserve"> 47 CFR § 90.371(b).</w:t>
      </w:r>
    </w:p>
  </w:footnote>
  <w:footnote w:id="41">
    <w:p w:rsidR="00FD0EB2" w:rsidP="00FD0EB2" w14:paraId="35618F3B" w14:textId="77777777">
      <w:pPr>
        <w:pStyle w:val="FootnoteText"/>
      </w:pPr>
      <w:r>
        <w:rPr>
          <w:rStyle w:val="FootnoteReference"/>
        </w:rPr>
        <w:footnoteRef/>
      </w:r>
      <w:r>
        <w:t xml:space="preserve"> </w:t>
      </w:r>
      <w:r w:rsidRPr="00053984">
        <w:rPr>
          <w:i/>
          <w:iCs/>
        </w:rPr>
        <w:t>See</w:t>
      </w:r>
      <w:r>
        <w:t xml:space="preserve"> 47 CFR § 90.375(b).</w:t>
      </w:r>
    </w:p>
  </w:footnote>
  <w:footnote w:id="42">
    <w:p w:rsidR="002A2E9D" w:rsidP="002A2E9D" w14:paraId="448E170F" w14:textId="3DBEF800">
      <w:pPr>
        <w:pStyle w:val="FootnoteText"/>
      </w:pPr>
      <w:r>
        <w:rPr>
          <w:rStyle w:val="FootnoteReference"/>
        </w:rPr>
        <w:footnoteRef/>
      </w:r>
      <w:r>
        <w:t xml:space="preserve"> </w:t>
      </w:r>
      <w:r w:rsidRPr="00566E57">
        <w:rPr>
          <w:i/>
          <w:iCs/>
        </w:rPr>
        <w:t>5.9 GHz First R&amp;O</w:t>
      </w:r>
      <w:r>
        <w:t xml:space="preserve"> at 13424</w:t>
      </w:r>
      <w:r w:rsidR="00405632">
        <w:t>–</w:t>
      </w:r>
      <w:r>
        <w:t>65, paras. 55</w:t>
      </w:r>
      <w:r w:rsidR="00405632">
        <w:t>–</w:t>
      </w:r>
      <w:r>
        <w:t>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7C93" w14:paraId="3BE672A2" w14:textId="654F805B">
    <w:pPr>
      <w:pStyle w:val="Header"/>
      <w:rPr>
        <w:sz w:val="22"/>
        <w:szCs w:val="22"/>
      </w:rPr>
    </w:pPr>
    <w:r>
      <w:rPr>
        <w:sz w:val="22"/>
        <w:szCs w:val="22"/>
      </w:rPr>
      <w:t>April 18</w:t>
    </w:r>
    <w:r>
      <w:rPr>
        <w:sz w:val="22"/>
        <w:szCs w:val="22"/>
      </w:rPr>
      <w:t>, 202</w:t>
    </w:r>
    <w:r w:rsidR="00E20EAE">
      <w:rPr>
        <w:sz w:val="22"/>
        <w:szCs w:val="22"/>
      </w:rPr>
      <w:t>4</w:t>
    </w:r>
  </w:p>
  <w:p w:rsidR="00C67C93" w:rsidRPr="002A0940" w14:paraId="60665196" w14:textId="65337BDD">
    <w:pPr>
      <w:pStyle w:val="Header"/>
      <w:rPr>
        <w:sz w:val="22"/>
        <w:szCs w:val="22"/>
      </w:rPr>
    </w:pPr>
    <w:r w:rsidRPr="002A0940">
      <w:rPr>
        <w:sz w:val="22"/>
        <w:szCs w:val="22"/>
      </w:rPr>
      <w:t xml:space="preserve">Page </w:t>
    </w:r>
    <w:r w:rsidRPr="002A0940">
      <w:rPr>
        <w:sz w:val="22"/>
        <w:szCs w:val="22"/>
      </w:rPr>
      <w:fldChar w:fldCharType="begin"/>
    </w:r>
    <w:r w:rsidRPr="002A0940">
      <w:rPr>
        <w:sz w:val="22"/>
        <w:szCs w:val="22"/>
      </w:rPr>
      <w:instrText xml:space="preserve"> PAGE   \* MERGEFORMAT </w:instrText>
    </w:r>
    <w:r w:rsidRPr="002A0940">
      <w:rPr>
        <w:sz w:val="22"/>
        <w:szCs w:val="22"/>
      </w:rPr>
      <w:fldChar w:fldCharType="separate"/>
    </w:r>
    <w:r w:rsidRPr="002A0940">
      <w:rPr>
        <w:noProof/>
        <w:sz w:val="22"/>
        <w:szCs w:val="22"/>
      </w:rPr>
      <w:t>1</w:t>
    </w:r>
    <w:r w:rsidRPr="002A0940">
      <w:rPr>
        <w:noProof/>
        <w:sz w:val="22"/>
        <w:szCs w:val="22"/>
      </w:rPr>
      <w:fldChar w:fldCharType="end"/>
    </w:r>
    <w:r w:rsidR="00003857">
      <w:rPr>
        <w:noProof/>
        <w:sz w:val="22"/>
        <w:szCs w:val="22"/>
      </w:rPr>
      <w:tab/>
    </w:r>
    <w:r w:rsidR="00003857">
      <w:rPr>
        <w:noProof/>
        <w:sz w:val="22"/>
        <w:szCs w:val="22"/>
      </w:rPr>
      <w:tab/>
    </w:r>
    <w:r w:rsidR="002811F6">
      <w:rPr>
        <w:noProof/>
        <w:sz w:val="22"/>
        <w:szCs w:val="22"/>
      </w:rPr>
      <w:t>DA 2</w:t>
    </w:r>
    <w:r w:rsidR="00E20EAE">
      <w:rPr>
        <w:noProof/>
        <w:sz w:val="22"/>
        <w:szCs w:val="22"/>
      </w:rPr>
      <w:t>4</w:t>
    </w:r>
    <w:r w:rsidR="002811F6">
      <w:rPr>
        <w:noProof/>
        <w:sz w:val="22"/>
        <w:szCs w:val="22"/>
      </w:rPr>
      <w:t>-</w:t>
    </w:r>
    <w:r w:rsidR="000C42FE">
      <w:rPr>
        <w:noProof/>
        <w:sz w:val="22"/>
        <w:szCs w:val="22"/>
      </w:rPr>
      <w:t>363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2776C40F" w14:textId="653EA786">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124C413A"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26F1661" w14:textId="77777777">
    <w:pPr>
      <w:pStyle w:val="Header"/>
      <w:tabs>
        <w:tab w:val="clear" w:pos="4320"/>
      </w:tabs>
      <w:jc w:val="center"/>
      <w:rPr>
        <w:sz w:val="22"/>
      </w:rPr>
    </w:pPr>
  </w:p>
  <w:p w:rsidR="002B54DB" w14:paraId="4ABA4594" w14:textId="77777777">
    <w:pPr>
      <w:pStyle w:val="Header"/>
      <w:tabs>
        <w:tab w:val="clear" w:pos="4320"/>
      </w:tabs>
      <w:jc w:val="center"/>
      <w:rPr>
        <w:sz w:val="22"/>
      </w:rPr>
    </w:pPr>
  </w:p>
  <w:p w:rsidR="002B54DB" w14:paraId="670C1D66" w14:textId="31C3B1C1">
    <w:pPr>
      <w:pStyle w:val="Header"/>
      <w:tabs>
        <w:tab w:val="clear" w:pos="4320"/>
      </w:tabs>
      <w:jc w:val="center"/>
      <w:rPr>
        <w:sz w:val="24"/>
      </w:rPr>
    </w:pPr>
    <w:r>
      <w:rPr>
        <w:sz w:val="24"/>
      </w:rPr>
      <w:t xml:space="preserve">April </w:t>
    </w:r>
    <w:r w:rsidR="00F55370">
      <w:rPr>
        <w:sz w:val="24"/>
      </w:rPr>
      <w:t>18</w:t>
    </w:r>
    <w:r w:rsidR="0076445D">
      <w:rPr>
        <w:sz w:val="24"/>
      </w:rPr>
      <w:t>, 2024</w:t>
    </w:r>
  </w:p>
  <w:p w:rsidR="00290B33" w14:paraId="0F617622" w14:textId="7C028AE1">
    <w:pPr>
      <w:pStyle w:val="Header"/>
      <w:tabs>
        <w:tab w:val="clear" w:pos="4320"/>
      </w:tabs>
      <w:jc w:val="center"/>
      <w:rPr>
        <w:sz w:val="24"/>
      </w:rPr>
    </w:pPr>
    <w:r>
      <w:rPr>
        <w:sz w:val="24"/>
      </w:rPr>
      <w:tab/>
    </w:r>
    <w:r w:rsidR="00003857">
      <w:rPr>
        <w:sz w:val="24"/>
      </w:rPr>
      <w:t>DA 2</w:t>
    </w:r>
    <w:r w:rsidR="00E1477E">
      <w:rPr>
        <w:sz w:val="24"/>
      </w:rPr>
      <w:t>4</w:t>
    </w:r>
    <w:r w:rsidR="00003857">
      <w:rPr>
        <w:sz w:val="24"/>
      </w:rPr>
      <w:t>-</w:t>
    </w:r>
    <w:r w:rsidR="000C42FE">
      <w:rPr>
        <w:sz w:val="24"/>
      </w:rPr>
      <w:t>363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6DEB7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E06CBB"/>
    <w:multiLevelType w:val="multilevel"/>
    <w:tmpl w:val="E102C40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4E6147C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182925"/>
    <w:multiLevelType w:val="singleLevel"/>
    <w:tmpl w:val="A9EE9842"/>
    <w:lvl w:ilvl="0">
      <w:start w:val="1"/>
      <w:numFmt w:val="decimal"/>
      <w:lvlText w:val="%1."/>
      <w:lvlJc w:val="left"/>
      <w:pPr>
        <w:tabs>
          <w:tab w:val="num" w:pos="1080"/>
        </w:tabs>
        <w:ind w:left="0" w:firstLine="720"/>
      </w:pPr>
    </w:lvl>
  </w:abstractNum>
  <w:num w:numId="1">
    <w:abstractNumId w:val="0"/>
  </w:num>
  <w:num w:numId="2">
    <w:abstractNumId w:val="2"/>
  </w:num>
  <w:num w:numId="3">
    <w:abstractNumId w:val="4"/>
  </w:num>
  <w:num w:numId="4">
    <w:abstractNumId w:val="1"/>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9D"/>
    <w:rsid w:val="0000035F"/>
    <w:rsid w:val="00001AF6"/>
    <w:rsid w:val="000029A0"/>
    <w:rsid w:val="0000351F"/>
    <w:rsid w:val="00003857"/>
    <w:rsid w:val="000054E1"/>
    <w:rsid w:val="00005D7D"/>
    <w:rsid w:val="0000666A"/>
    <w:rsid w:val="000116E8"/>
    <w:rsid w:val="00011DB6"/>
    <w:rsid w:val="00012087"/>
    <w:rsid w:val="00013D4F"/>
    <w:rsid w:val="00016123"/>
    <w:rsid w:val="0001675C"/>
    <w:rsid w:val="00016F4E"/>
    <w:rsid w:val="000170EF"/>
    <w:rsid w:val="0001772A"/>
    <w:rsid w:val="00017E58"/>
    <w:rsid w:val="00020202"/>
    <w:rsid w:val="000211CE"/>
    <w:rsid w:val="00022144"/>
    <w:rsid w:val="00023749"/>
    <w:rsid w:val="000257AF"/>
    <w:rsid w:val="00027740"/>
    <w:rsid w:val="00030380"/>
    <w:rsid w:val="00032BC8"/>
    <w:rsid w:val="00033CE1"/>
    <w:rsid w:val="00034672"/>
    <w:rsid w:val="00035EA3"/>
    <w:rsid w:val="00041925"/>
    <w:rsid w:val="00042699"/>
    <w:rsid w:val="0004393D"/>
    <w:rsid w:val="00044804"/>
    <w:rsid w:val="0005080D"/>
    <w:rsid w:val="00050C31"/>
    <w:rsid w:val="00050CC5"/>
    <w:rsid w:val="00053984"/>
    <w:rsid w:val="00053EEA"/>
    <w:rsid w:val="00055567"/>
    <w:rsid w:val="00056869"/>
    <w:rsid w:val="000570E9"/>
    <w:rsid w:val="000572BD"/>
    <w:rsid w:val="0005783F"/>
    <w:rsid w:val="00057F66"/>
    <w:rsid w:val="000611BB"/>
    <w:rsid w:val="00061A22"/>
    <w:rsid w:val="00063559"/>
    <w:rsid w:val="00063BB5"/>
    <w:rsid w:val="0007070D"/>
    <w:rsid w:val="00071709"/>
    <w:rsid w:val="0007394A"/>
    <w:rsid w:val="00075335"/>
    <w:rsid w:val="00075351"/>
    <w:rsid w:val="000767CA"/>
    <w:rsid w:val="0008084C"/>
    <w:rsid w:val="00081879"/>
    <w:rsid w:val="00082566"/>
    <w:rsid w:val="000833ED"/>
    <w:rsid w:val="00084110"/>
    <w:rsid w:val="00084A8E"/>
    <w:rsid w:val="000851B8"/>
    <w:rsid w:val="000862B4"/>
    <w:rsid w:val="000867EB"/>
    <w:rsid w:val="00090FC8"/>
    <w:rsid w:val="000921C2"/>
    <w:rsid w:val="00092A04"/>
    <w:rsid w:val="000934B2"/>
    <w:rsid w:val="00095468"/>
    <w:rsid w:val="00095F97"/>
    <w:rsid w:val="000969E1"/>
    <w:rsid w:val="000A1706"/>
    <w:rsid w:val="000A2C16"/>
    <w:rsid w:val="000A314A"/>
    <w:rsid w:val="000A3518"/>
    <w:rsid w:val="000A3808"/>
    <w:rsid w:val="000A5DC1"/>
    <w:rsid w:val="000A7F70"/>
    <w:rsid w:val="000B0C56"/>
    <w:rsid w:val="000B1272"/>
    <w:rsid w:val="000B150A"/>
    <w:rsid w:val="000B20CB"/>
    <w:rsid w:val="000B3E11"/>
    <w:rsid w:val="000B417C"/>
    <w:rsid w:val="000C02C3"/>
    <w:rsid w:val="000C0B76"/>
    <w:rsid w:val="000C39DC"/>
    <w:rsid w:val="000C41DE"/>
    <w:rsid w:val="000C42FE"/>
    <w:rsid w:val="000D1DA6"/>
    <w:rsid w:val="000D1F2E"/>
    <w:rsid w:val="000D22F0"/>
    <w:rsid w:val="000D3D5B"/>
    <w:rsid w:val="000D5174"/>
    <w:rsid w:val="000D5625"/>
    <w:rsid w:val="000D6388"/>
    <w:rsid w:val="000E0259"/>
    <w:rsid w:val="000E0AB2"/>
    <w:rsid w:val="000E200D"/>
    <w:rsid w:val="000E5C2E"/>
    <w:rsid w:val="000E675C"/>
    <w:rsid w:val="000E68B9"/>
    <w:rsid w:val="000E71C7"/>
    <w:rsid w:val="000E7B95"/>
    <w:rsid w:val="000E7FEA"/>
    <w:rsid w:val="000F2198"/>
    <w:rsid w:val="000F3238"/>
    <w:rsid w:val="000F3B56"/>
    <w:rsid w:val="000F40B3"/>
    <w:rsid w:val="000F4561"/>
    <w:rsid w:val="000F60AE"/>
    <w:rsid w:val="000F668B"/>
    <w:rsid w:val="000F66EA"/>
    <w:rsid w:val="000F6EF6"/>
    <w:rsid w:val="000F6FAE"/>
    <w:rsid w:val="000F6FAF"/>
    <w:rsid w:val="0010021C"/>
    <w:rsid w:val="0010042A"/>
    <w:rsid w:val="001004D7"/>
    <w:rsid w:val="0010271A"/>
    <w:rsid w:val="001029FB"/>
    <w:rsid w:val="00103DA5"/>
    <w:rsid w:val="001050AE"/>
    <w:rsid w:val="0010764C"/>
    <w:rsid w:val="0011183A"/>
    <w:rsid w:val="00112F49"/>
    <w:rsid w:val="00121391"/>
    <w:rsid w:val="00121C62"/>
    <w:rsid w:val="00122065"/>
    <w:rsid w:val="0012561C"/>
    <w:rsid w:val="00125CA8"/>
    <w:rsid w:val="00125CE1"/>
    <w:rsid w:val="0012604B"/>
    <w:rsid w:val="001270D9"/>
    <w:rsid w:val="001333F1"/>
    <w:rsid w:val="0013411C"/>
    <w:rsid w:val="001351CB"/>
    <w:rsid w:val="00136826"/>
    <w:rsid w:val="0014080F"/>
    <w:rsid w:val="001418CC"/>
    <w:rsid w:val="00143621"/>
    <w:rsid w:val="0014404D"/>
    <w:rsid w:val="00144B4D"/>
    <w:rsid w:val="001459B8"/>
    <w:rsid w:val="00145A53"/>
    <w:rsid w:val="00151D15"/>
    <w:rsid w:val="00153ADC"/>
    <w:rsid w:val="001550B8"/>
    <w:rsid w:val="00155159"/>
    <w:rsid w:val="001609BB"/>
    <w:rsid w:val="00165AB1"/>
    <w:rsid w:val="00166EAE"/>
    <w:rsid w:val="00167CD1"/>
    <w:rsid w:val="00170FD8"/>
    <w:rsid w:val="0017180F"/>
    <w:rsid w:val="0017757B"/>
    <w:rsid w:val="00180637"/>
    <w:rsid w:val="00181907"/>
    <w:rsid w:val="00182C01"/>
    <w:rsid w:val="00186FF0"/>
    <w:rsid w:val="00187B29"/>
    <w:rsid w:val="00190884"/>
    <w:rsid w:val="00192DE5"/>
    <w:rsid w:val="0019402E"/>
    <w:rsid w:val="001955D4"/>
    <w:rsid w:val="00195FA7"/>
    <w:rsid w:val="001966E2"/>
    <w:rsid w:val="001A0B07"/>
    <w:rsid w:val="001A0B79"/>
    <w:rsid w:val="001A1B5E"/>
    <w:rsid w:val="001A1B62"/>
    <w:rsid w:val="001A2134"/>
    <w:rsid w:val="001A32B1"/>
    <w:rsid w:val="001A4625"/>
    <w:rsid w:val="001A5E38"/>
    <w:rsid w:val="001A604D"/>
    <w:rsid w:val="001B0B07"/>
    <w:rsid w:val="001B134C"/>
    <w:rsid w:val="001C046B"/>
    <w:rsid w:val="001C138B"/>
    <w:rsid w:val="001C145A"/>
    <w:rsid w:val="001C421B"/>
    <w:rsid w:val="001C450E"/>
    <w:rsid w:val="001C5A1D"/>
    <w:rsid w:val="001C5F90"/>
    <w:rsid w:val="001C75E7"/>
    <w:rsid w:val="001C7840"/>
    <w:rsid w:val="001D1F0A"/>
    <w:rsid w:val="001D3AAA"/>
    <w:rsid w:val="001D3F2E"/>
    <w:rsid w:val="001E0915"/>
    <w:rsid w:val="001E0A2C"/>
    <w:rsid w:val="001E0BA1"/>
    <w:rsid w:val="001E2C19"/>
    <w:rsid w:val="001E2EF3"/>
    <w:rsid w:val="001E3A9C"/>
    <w:rsid w:val="001E50A8"/>
    <w:rsid w:val="001E53A4"/>
    <w:rsid w:val="001E7815"/>
    <w:rsid w:val="001F0F15"/>
    <w:rsid w:val="001F12E0"/>
    <w:rsid w:val="001F1B78"/>
    <w:rsid w:val="001F294B"/>
    <w:rsid w:val="001F32CB"/>
    <w:rsid w:val="001F4B99"/>
    <w:rsid w:val="001F5957"/>
    <w:rsid w:val="001F5B9B"/>
    <w:rsid w:val="001F6128"/>
    <w:rsid w:val="001F661D"/>
    <w:rsid w:val="002003B8"/>
    <w:rsid w:val="00202712"/>
    <w:rsid w:val="00204CE3"/>
    <w:rsid w:val="00204DA6"/>
    <w:rsid w:val="00204FA9"/>
    <w:rsid w:val="002065D9"/>
    <w:rsid w:val="0020664A"/>
    <w:rsid w:val="002078BD"/>
    <w:rsid w:val="0021189E"/>
    <w:rsid w:val="0021197C"/>
    <w:rsid w:val="00214550"/>
    <w:rsid w:val="00216746"/>
    <w:rsid w:val="00216823"/>
    <w:rsid w:val="002175D4"/>
    <w:rsid w:val="002205DC"/>
    <w:rsid w:val="00223D48"/>
    <w:rsid w:val="00224D31"/>
    <w:rsid w:val="002256A0"/>
    <w:rsid w:val="002264BF"/>
    <w:rsid w:val="00227DC9"/>
    <w:rsid w:val="00227E0C"/>
    <w:rsid w:val="002300FF"/>
    <w:rsid w:val="00232E52"/>
    <w:rsid w:val="00234FA2"/>
    <w:rsid w:val="00235410"/>
    <w:rsid w:val="00236C12"/>
    <w:rsid w:val="00236C17"/>
    <w:rsid w:val="002421B8"/>
    <w:rsid w:val="00243CD3"/>
    <w:rsid w:val="002449FC"/>
    <w:rsid w:val="00247F9D"/>
    <w:rsid w:val="002520B2"/>
    <w:rsid w:val="0025333D"/>
    <w:rsid w:val="00255088"/>
    <w:rsid w:val="00255B1A"/>
    <w:rsid w:val="002577C9"/>
    <w:rsid w:val="00262FAB"/>
    <w:rsid w:val="00263D4E"/>
    <w:rsid w:val="002643A2"/>
    <w:rsid w:val="00267982"/>
    <w:rsid w:val="00267B7A"/>
    <w:rsid w:val="0027099C"/>
    <w:rsid w:val="00274EF8"/>
    <w:rsid w:val="00276E9C"/>
    <w:rsid w:val="00277DDB"/>
    <w:rsid w:val="002803CE"/>
    <w:rsid w:val="002808CC"/>
    <w:rsid w:val="002811F6"/>
    <w:rsid w:val="0028190B"/>
    <w:rsid w:val="00281C6A"/>
    <w:rsid w:val="0028476F"/>
    <w:rsid w:val="00284DB5"/>
    <w:rsid w:val="00285833"/>
    <w:rsid w:val="0028740A"/>
    <w:rsid w:val="002875CE"/>
    <w:rsid w:val="00290080"/>
    <w:rsid w:val="00290B33"/>
    <w:rsid w:val="00292050"/>
    <w:rsid w:val="00296833"/>
    <w:rsid w:val="002972D1"/>
    <w:rsid w:val="002A077B"/>
    <w:rsid w:val="002A0940"/>
    <w:rsid w:val="002A0C47"/>
    <w:rsid w:val="002A1838"/>
    <w:rsid w:val="002A2B8C"/>
    <w:rsid w:val="002A2D51"/>
    <w:rsid w:val="002A2E9D"/>
    <w:rsid w:val="002A35DF"/>
    <w:rsid w:val="002A53FA"/>
    <w:rsid w:val="002A5C1F"/>
    <w:rsid w:val="002A5EC2"/>
    <w:rsid w:val="002A5EF3"/>
    <w:rsid w:val="002A6195"/>
    <w:rsid w:val="002A749A"/>
    <w:rsid w:val="002A7742"/>
    <w:rsid w:val="002A7B03"/>
    <w:rsid w:val="002A7D0D"/>
    <w:rsid w:val="002B3ABF"/>
    <w:rsid w:val="002B5043"/>
    <w:rsid w:val="002B54DB"/>
    <w:rsid w:val="002B78D6"/>
    <w:rsid w:val="002C07F1"/>
    <w:rsid w:val="002C261B"/>
    <w:rsid w:val="002C5ACA"/>
    <w:rsid w:val="002C5C3C"/>
    <w:rsid w:val="002C619F"/>
    <w:rsid w:val="002C6477"/>
    <w:rsid w:val="002C6EA6"/>
    <w:rsid w:val="002C7CA7"/>
    <w:rsid w:val="002D1937"/>
    <w:rsid w:val="002D2632"/>
    <w:rsid w:val="002D35BA"/>
    <w:rsid w:val="002D3CE7"/>
    <w:rsid w:val="002D53B9"/>
    <w:rsid w:val="002D5B98"/>
    <w:rsid w:val="002D5D35"/>
    <w:rsid w:val="002D6203"/>
    <w:rsid w:val="002D63FF"/>
    <w:rsid w:val="002D668B"/>
    <w:rsid w:val="002D6E61"/>
    <w:rsid w:val="002D70CA"/>
    <w:rsid w:val="002E0947"/>
    <w:rsid w:val="002E0B48"/>
    <w:rsid w:val="002E48A5"/>
    <w:rsid w:val="002E6204"/>
    <w:rsid w:val="002F2326"/>
    <w:rsid w:val="002F3A9B"/>
    <w:rsid w:val="002F48AA"/>
    <w:rsid w:val="002F551E"/>
    <w:rsid w:val="002F6D74"/>
    <w:rsid w:val="002F7262"/>
    <w:rsid w:val="002F7F46"/>
    <w:rsid w:val="00302B50"/>
    <w:rsid w:val="00303580"/>
    <w:rsid w:val="00303692"/>
    <w:rsid w:val="00304D3E"/>
    <w:rsid w:val="0030700E"/>
    <w:rsid w:val="00307BE4"/>
    <w:rsid w:val="00307C9F"/>
    <w:rsid w:val="0031005E"/>
    <w:rsid w:val="0031044C"/>
    <w:rsid w:val="0031104B"/>
    <w:rsid w:val="0031153B"/>
    <w:rsid w:val="00311DB7"/>
    <w:rsid w:val="00311FF2"/>
    <w:rsid w:val="00312FA4"/>
    <w:rsid w:val="003131DA"/>
    <w:rsid w:val="003146EE"/>
    <w:rsid w:val="00315560"/>
    <w:rsid w:val="003201C3"/>
    <w:rsid w:val="0032040F"/>
    <w:rsid w:val="00322D50"/>
    <w:rsid w:val="00323C84"/>
    <w:rsid w:val="00323C92"/>
    <w:rsid w:val="003242DE"/>
    <w:rsid w:val="0033204C"/>
    <w:rsid w:val="00332F1D"/>
    <w:rsid w:val="0033442C"/>
    <w:rsid w:val="003354EE"/>
    <w:rsid w:val="00335C88"/>
    <w:rsid w:val="003361C2"/>
    <w:rsid w:val="00340430"/>
    <w:rsid w:val="00342C8C"/>
    <w:rsid w:val="00342DE1"/>
    <w:rsid w:val="0034585E"/>
    <w:rsid w:val="00347DB5"/>
    <w:rsid w:val="003516CA"/>
    <w:rsid w:val="00352167"/>
    <w:rsid w:val="00352CD5"/>
    <w:rsid w:val="003540E9"/>
    <w:rsid w:val="003545A9"/>
    <w:rsid w:val="00354E0E"/>
    <w:rsid w:val="00355018"/>
    <w:rsid w:val="0035630F"/>
    <w:rsid w:val="0036107F"/>
    <w:rsid w:val="00362379"/>
    <w:rsid w:val="003638F9"/>
    <w:rsid w:val="003642A6"/>
    <w:rsid w:val="00364A81"/>
    <w:rsid w:val="00364FC9"/>
    <w:rsid w:val="0036712D"/>
    <w:rsid w:val="0036772A"/>
    <w:rsid w:val="00370816"/>
    <w:rsid w:val="003715AF"/>
    <w:rsid w:val="00372699"/>
    <w:rsid w:val="00372718"/>
    <w:rsid w:val="003728FF"/>
    <w:rsid w:val="00374958"/>
    <w:rsid w:val="0037495A"/>
    <w:rsid w:val="00375F81"/>
    <w:rsid w:val="003765C5"/>
    <w:rsid w:val="0037679D"/>
    <w:rsid w:val="00376FEC"/>
    <w:rsid w:val="00377016"/>
    <w:rsid w:val="0038068A"/>
    <w:rsid w:val="003806BD"/>
    <w:rsid w:val="00380E48"/>
    <w:rsid w:val="0038185B"/>
    <w:rsid w:val="003825A6"/>
    <w:rsid w:val="00383641"/>
    <w:rsid w:val="003839F5"/>
    <w:rsid w:val="00384F4C"/>
    <w:rsid w:val="003867E5"/>
    <w:rsid w:val="00390ACA"/>
    <w:rsid w:val="0039142F"/>
    <w:rsid w:val="0039264F"/>
    <w:rsid w:val="00392DAB"/>
    <w:rsid w:val="0039309F"/>
    <w:rsid w:val="00393123"/>
    <w:rsid w:val="0039458D"/>
    <w:rsid w:val="003958A6"/>
    <w:rsid w:val="00395A84"/>
    <w:rsid w:val="00397461"/>
    <w:rsid w:val="003A453E"/>
    <w:rsid w:val="003A4B09"/>
    <w:rsid w:val="003A64B4"/>
    <w:rsid w:val="003A7539"/>
    <w:rsid w:val="003A7AEB"/>
    <w:rsid w:val="003A7EC7"/>
    <w:rsid w:val="003B037B"/>
    <w:rsid w:val="003B0AD4"/>
    <w:rsid w:val="003B156B"/>
    <w:rsid w:val="003B15C2"/>
    <w:rsid w:val="003B1FF6"/>
    <w:rsid w:val="003B3551"/>
    <w:rsid w:val="003B36C6"/>
    <w:rsid w:val="003B417C"/>
    <w:rsid w:val="003B515B"/>
    <w:rsid w:val="003B7C3D"/>
    <w:rsid w:val="003C1159"/>
    <w:rsid w:val="003C13A5"/>
    <w:rsid w:val="003C1D71"/>
    <w:rsid w:val="003C357D"/>
    <w:rsid w:val="003C3591"/>
    <w:rsid w:val="003C37AE"/>
    <w:rsid w:val="003C3E6A"/>
    <w:rsid w:val="003C44E4"/>
    <w:rsid w:val="003C674C"/>
    <w:rsid w:val="003C69A2"/>
    <w:rsid w:val="003C7C1E"/>
    <w:rsid w:val="003D4606"/>
    <w:rsid w:val="003D5F45"/>
    <w:rsid w:val="003D6B66"/>
    <w:rsid w:val="003D75C3"/>
    <w:rsid w:val="003E15BD"/>
    <w:rsid w:val="003E30D4"/>
    <w:rsid w:val="003E3266"/>
    <w:rsid w:val="003E346E"/>
    <w:rsid w:val="003E3897"/>
    <w:rsid w:val="003E63AF"/>
    <w:rsid w:val="003F2BD1"/>
    <w:rsid w:val="003F36AA"/>
    <w:rsid w:val="003F4353"/>
    <w:rsid w:val="003F4616"/>
    <w:rsid w:val="003F5168"/>
    <w:rsid w:val="003F5900"/>
    <w:rsid w:val="003F5A71"/>
    <w:rsid w:val="003F5B3E"/>
    <w:rsid w:val="003F64A8"/>
    <w:rsid w:val="003F76CA"/>
    <w:rsid w:val="003F7753"/>
    <w:rsid w:val="003F7841"/>
    <w:rsid w:val="00402301"/>
    <w:rsid w:val="00403AC9"/>
    <w:rsid w:val="00404A60"/>
    <w:rsid w:val="00405136"/>
    <w:rsid w:val="00405632"/>
    <w:rsid w:val="00405650"/>
    <w:rsid w:val="00406A13"/>
    <w:rsid w:val="00407554"/>
    <w:rsid w:val="004076BE"/>
    <w:rsid w:val="00411833"/>
    <w:rsid w:val="00411D33"/>
    <w:rsid w:val="00412090"/>
    <w:rsid w:val="004124BB"/>
    <w:rsid w:val="00415E25"/>
    <w:rsid w:val="00417B88"/>
    <w:rsid w:val="00422019"/>
    <w:rsid w:val="004228C7"/>
    <w:rsid w:val="00424A30"/>
    <w:rsid w:val="004251CC"/>
    <w:rsid w:val="004275C5"/>
    <w:rsid w:val="00430178"/>
    <w:rsid w:val="0043073B"/>
    <w:rsid w:val="00431618"/>
    <w:rsid w:val="00431E8F"/>
    <w:rsid w:val="004327B4"/>
    <w:rsid w:val="004341D7"/>
    <w:rsid w:val="0043433E"/>
    <w:rsid w:val="00435687"/>
    <w:rsid w:val="004372E3"/>
    <w:rsid w:val="0043742D"/>
    <w:rsid w:val="00437B90"/>
    <w:rsid w:val="004414EA"/>
    <w:rsid w:val="00441E47"/>
    <w:rsid w:val="004454AB"/>
    <w:rsid w:val="00447665"/>
    <w:rsid w:val="00447B08"/>
    <w:rsid w:val="004508AC"/>
    <w:rsid w:val="0045174F"/>
    <w:rsid w:val="0045489A"/>
    <w:rsid w:val="0046001D"/>
    <w:rsid w:val="0046030C"/>
    <w:rsid w:val="00463346"/>
    <w:rsid w:val="0046352E"/>
    <w:rsid w:val="00463E56"/>
    <w:rsid w:val="00464FE2"/>
    <w:rsid w:val="004661C5"/>
    <w:rsid w:val="00466A9E"/>
    <w:rsid w:val="00467888"/>
    <w:rsid w:val="004678E2"/>
    <w:rsid w:val="00472361"/>
    <w:rsid w:val="00474424"/>
    <w:rsid w:val="00474B59"/>
    <w:rsid w:val="00475D4F"/>
    <w:rsid w:val="00476976"/>
    <w:rsid w:val="00476E6A"/>
    <w:rsid w:val="004809B0"/>
    <w:rsid w:val="00481160"/>
    <w:rsid w:val="00482C5E"/>
    <w:rsid w:val="00484BBA"/>
    <w:rsid w:val="00485505"/>
    <w:rsid w:val="00485730"/>
    <w:rsid w:val="004872DB"/>
    <w:rsid w:val="00491D16"/>
    <w:rsid w:val="00492D67"/>
    <w:rsid w:val="00493DD6"/>
    <w:rsid w:val="00494137"/>
    <w:rsid w:val="00497084"/>
    <w:rsid w:val="00497F90"/>
    <w:rsid w:val="004A0034"/>
    <w:rsid w:val="004A02A1"/>
    <w:rsid w:val="004A0544"/>
    <w:rsid w:val="004A0F34"/>
    <w:rsid w:val="004A3669"/>
    <w:rsid w:val="004A4DDF"/>
    <w:rsid w:val="004A6EFD"/>
    <w:rsid w:val="004B0B3A"/>
    <w:rsid w:val="004B37FA"/>
    <w:rsid w:val="004B43DF"/>
    <w:rsid w:val="004B4746"/>
    <w:rsid w:val="004B7D8E"/>
    <w:rsid w:val="004B7E16"/>
    <w:rsid w:val="004C08D1"/>
    <w:rsid w:val="004C1C39"/>
    <w:rsid w:val="004C2FBF"/>
    <w:rsid w:val="004C31F9"/>
    <w:rsid w:val="004C712A"/>
    <w:rsid w:val="004C7F29"/>
    <w:rsid w:val="004D1CFB"/>
    <w:rsid w:val="004D2019"/>
    <w:rsid w:val="004D2E90"/>
    <w:rsid w:val="004D392E"/>
    <w:rsid w:val="004D3B53"/>
    <w:rsid w:val="004D530C"/>
    <w:rsid w:val="004D74A2"/>
    <w:rsid w:val="004E2D08"/>
    <w:rsid w:val="004E3BB2"/>
    <w:rsid w:val="004E45BF"/>
    <w:rsid w:val="004E7BDE"/>
    <w:rsid w:val="004F075B"/>
    <w:rsid w:val="004F0AAE"/>
    <w:rsid w:val="004F0C78"/>
    <w:rsid w:val="004F2039"/>
    <w:rsid w:val="004F21D6"/>
    <w:rsid w:val="004F3DA3"/>
    <w:rsid w:val="004F4139"/>
    <w:rsid w:val="004F6212"/>
    <w:rsid w:val="004F730F"/>
    <w:rsid w:val="004F73DF"/>
    <w:rsid w:val="0050031A"/>
    <w:rsid w:val="00501A21"/>
    <w:rsid w:val="005031A5"/>
    <w:rsid w:val="0050440F"/>
    <w:rsid w:val="005068E4"/>
    <w:rsid w:val="005069F1"/>
    <w:rsid w:val="005111CF"/>
    <w:rsid w:val="00511E58"/>
    <w:rsid w:val="00512CCC"/>
    <w:rsid w:val="005134E7"/>
    <w:rsid w:val="0051461B"/>
    <w:rsid w:val="00514DE5"/>
    <w:rsid w:val="00515036"/>
    <w:rsid w:val="005163D3"/>
    <w:rsid w:val="0052123B"/>
    <w:rsid w:val="00521FFA"/>
    <w:rsid w:val="00522530"/>
    <w:rsid w:val="0052289E"/>
    <w:rsid w:val="00524FE9"/>
    <w:rsid w:val="0052587F"/>
    <w:rsid w:val="00526B6E"/>
    <w:rsid w:val="005311E5"/>
    <w:rsid w:val="00531C20"/>
    <w:rsid w:val="005321F3"/>
    <w:rsid w:val="0053230D"/>
    <w:rsid w:val="005332B3"/>
    <w:rsid w:val="00533C6E"/>
    <w:rsid w:val="00534AE8"/>
    <w:rsid w:val="00535427"/>
    <w:rsid w:val="005422F3"/>
    <w:rsid w:val="00542AF9"/>
    <w:rsid w:val="005443C1"/>
    <w:rsid w:val="0054698C"/>
    <w:rsid w:val="00550D7C"/>
    <w:rsid w:val="0055204E"/>
    <w:rsid w:val="005531DD"/>
    <w:rsid w:val="00553856"/>
    <w:rsid w:val="0055388C"/>
    <w:rsid w:val="00553D67"/>
    <w:rsid w:val="00554FA4"/>
    <w:rsid w:val="00556A07"/>
    <w:rsid w:val="005579F0"/>
    <w:rsid w:val="00557FE2"/>
    <w:rsid w:val="00561C39"/>
    <w:rsid w:val="00562700"/>
    <w:rsid w:val="005629CC"/>
    <w:rsid w:val="00563755"/>
    <w:rsid w:val="00563788"/>
    <w:rsid w:val="00564E56"/>
    <w:rsid w:val="00566E57"/>
    <w:rsid w:val="00566EDA"/>
    <w:rsid w:val="00570071"/>
    <w:rsid w:val="005710A0"/>
    <w:rsid w:val="00572405"/>
    <w:rsid w:val="00572D48"/>
    <w:rsid w:val="00574272"/>
    <w:rsid w:val="005743DC"/>
    <w:rsid w:val="005767A0"/>
    <w:rsid w:val="00580DB2"/>
    <w:rsid w:val="005811FC"/>
    <w:rsid w:val="00581205"/>
    <w:rsid w:val="005814CD"/>
    <w:rsid w:val="005816D7"/>
    <w:rsid w:val="0058188F"/>
    <w:rsid w:val="00581F24"/>
    <w:rsid w:val="00586727"/>
    <w:rsid w:val="00587F62"/>
    <w:rsid w:val="0059239A"/>
    <w:rsid w:val="0059244A"/>
    <w:rsid w:val="00595418"/>
    <w:rsid w:val="0059636C"/>
    <w:rsid w:val="00597DB7"/>
    <w:rsid w:val="005A054A"/>
    <w:rsid w:val="005A0AC8"/>
    <w:rsid w:val="005A1089"/>
    <w:rsid w:val="005A1DFF"/>
    <w:rsid w:val="005A2BF5"/>
    <w:rsid w:val="005A3A55"/>
    <w:rsid w:val="005A4992"/>
    <w:rsid w:val="005A7C0D"/>
    <w:rsid w:val="005B2164"/>
    <w:rsid w:val="005B455C"/>
    <w:rsid w:val="005B54F4"/>
    <w:rsid w:val="005B5883"/>
    <w:rsid w:val="005B7DA4"/>
    <w:rsid w:val="005C0922"/>
    <w:rsid w:val="005C155A"/>
    <w:rsid w:val="005C17E9"/>
    <w:rsid w:val="005C3974"/>
    <w:rsid w:val="005C3EDD"/>
    <w:rsid w:val="005C3F77"/>
    <w:rsid w:val="005C4B45"/>
    <w:rsid w:val="005C5E67"/>
    <w:rsid w:val="005C739F"/>
    <w:rsid w:val="005D0705"/>
    <w:rsid w:val="005D246F"/>
    <w:rsid w:val="005D290D"/>
    <w:rsid w:val="005D2CB9"/>
    <w:rsid w:val="005D341F"/>
    <w:rsid w:val="005D6692"/>
    <w:rsid w:val="005D7470"/>
    <w:rsid w:val="005D7728"/>
    <w:rsid w:val="005E03F3"/>
    <w:rsid w:val="005E1784"/>
    <w:rsid w:val="005E3186"/>
    <w:rsid w:val="005E4828"/>
    <w:rsid w:val="005E512E"/>
    <w:rsid w:val="005E59C0"/>
    <w:rsid w:val="005E5FE8"/>
    <w:rsid w:val="005E7FAB"/>
    <w:rsid w:val="005F0408"/>
    <w:rsid w:val="005F12A3"/>
    <w:rsid w:val="005F3E78"/>
    <w:rsid w:val="005F509C"/>
    <w:rsid w:val="005F5449"/>
    <w:rsid w:val="006005D2"/>
    <w:rsid w:val="0060181B"/>
    <w:rsid w:val="00602252"/>
    <w:rsid w:val="006022C8"/>
    <w:rsid w:val="006022ED"/>
    <w:rsid w:val="00603AE2"/>
    <w:rsid w:val="00605250"/>
    <w:rsid w:val="00605E68"/>
    <w:rsid w:val="006069FE"/>
    <w:rsid w:val="00607313"/>
    <w:rsid w:val="006078F0"/>
    <w:rsid w:val="00607AAA"/>
    <w:rsid w:val="00610454"/>
    <w:rsid w:val="006106BC"/>
    <w:rsid w:val="0061077F"/>
    <w:rsid w:val="0061094F"/>
    <w:rsid w:val="006110BD"/>
    <w:rsid w:val="006112F7"/>
    <w:rsid w:val="00612EC3"/>
    <w:rsid w:val="00614EE7"/>
    <w:rsid w:val="0061632D"/>
    <w:rsid w:val="00616A83"/>
    <w:rsid w:val="006177C8"/>
    <w:rsid w:val="00621406"/>
    <w:rsid w:val="00624F3E"/>
    <w:rsid w:val="006275B9"/>
    <w:rsid w:val="00627753"/>
    <w:rsid w:val="0063098B"/>
    <w:rsid w:val="00631708"/>
    <w:rsid w:val="00633C08"/>
    <w:rsid w:val="00636993"/>
    <w:rsid w:val="0063711D"/>
    <w:rsid w:val="00637383"/>
    <w:rsid w:val="006379DE"/>
    <w:rsid w:val="00637F4D"/>
    <w:rsid w:val="006427D8"/>
    <w:rsid w:val="006447E4"/>
    <w:rsid w:val="00644D2E"/>
    <w:rsid w:val="00645590"/>
    <w:rsid w:val="00646E3C"/>
    <w:rsid w:val="00651AAF"/>
    <w:rsid w:val="00655468"/>
    <w:rsid w:val="00660309"/>
    <w:rsid w:val="00661533"/>
    <w:rsid w:val="00663055"/>
    <w:rsid w:val="00664AB5"/>
    <w:rsid w:val="00664B08"/>
    <w:rsid w:val="00664D65"/>
    <w:rsid w:val="00667477"/>
    <w:rsid w:val="00667EB9"/>
    <w:rsid w:val="0067135C"/>
    <w:rsid w:val="0067145E"/>
    <w:rsid w:val="006719EC"/>
    <w:rsid w:val="00672451"/>
    <w:rsid w:val="006731BB"/>
    <w:rsid w:val="00676B39"/>
    <w:rsid w:val="00677FCA"/>
    <w:rsid w:val="006806DB"/>
    <w:rsid w:val="006811F7"/>
    <w:rsid w:val="00681616"/>
    <w:rsid w:val="00682E4C"/>
    <w:rsid w:val="00684450"/>
    <w:rsid w:val="00687619"/>
    <w:rsid w:val="00690D00"/>
    <w:rsid w:val="0069524F"/>
    <w:rsid w:val="0069605C"/>
    <w:rsid w:val="0069645C"/>
    <w:rsid w:val="00697FF3"/>
    <w:rsid w:val="006A0369"/>
    <w:rsid w:val="006A06A8"/>
    <w:rsid w:val="006A25F8"/>
    <w:rsid w:val="006A348C"/>
    <w:rsid w:val="006A40FF"/>
    <w:rsid w:val="006A5050"/>
    <w:rsid w:val="006A69F5"/>
    <w:rsid w:val="006B1AA1"/>
    <w:rsid w:val="006B1E7D"/>
    <w:rsid w:val="006B35F6"/>
    <w:rsid w:val="006B38C4"/>
    <w:rsid w:val="006B48EB"/>
    <w:rsid w:val="006B4F30"/>
    <w:rsid w:val="006B7369"/>
    <w:rsid w:val="006B7B2F"/>
    <w:rsid w:val="006B7B9A"/>
    <w:rsid w:val="006C01CA"/>
    <w:rsid w:val="006C34EE"/>
    <w:rsid w:val="006C5100"/>
    <w:rsid w:val="006C7408"/>
    <w:rsid w:val="006C77E7"/>
    <w:rsid w:val="006D0950"/>
    <w:rsid w:val="006D3517"/>
    <w:rsid w:val="006D4934"/>
    <w:rsid w:val="006D69B9"/>
    <w:rsid w:val="006D7BFE"/>
    <w:rsid w:val="006E4522"/>
    <w:rsid w:val="006E6BC6"/>
    <w:rsid w:val="006F204F"/>
    <w:rsid w:val="006F2E09"/>
    <w:rsid w:val="006F384B"/>
    <w:rsid w:val="006F3FA6"/>
    <w:rsid w:val="006F4858"/>
    <w:rsid w:val="006F4D60"/>
    <w:rsid w:val="006F69DC"/>
    <w:rsid w:val="006F6F0F"/>
    <w:rsid w:val="006F75F4"/>
    <w:rsid w:val="007020F8"/>
    <w:rsid w:val="00702418"/>
    <w:rsid w:val="00702D14"/>
    <w:rsid w:val="0070629E"/>
    <w:rsid w:val="007071F6"/>
    <w:rsid w:val="007111D6"/>
    <w:rsid w:val="007128CA"/>
    <w:rsid w:val="00713325"/>
    <w:rsid w:val="00717750"/>
    <w:rsid w:val="0072112C"/>
    <w:rsid w:val="007215A7"/>
    <w:rsid w:val="00721DA2"/>
    <w:rsid w:val="00725B6B"/>
    <w:rsid w:val="00732DB0"/>
    <w:rsid w:val="00733114"/>
    <w:rsid w:val="007335EF"/>
    <w:rsid w:val="007337B4"/>
    <w:rsid w:val="00736952"/>
    <w:rsid w:val="00736C92"/>
    <w:rsid w:val="0074060C"/>
    <w:rsid w:val="007415DA"/>
    <w:rsid w:val="00741C96"/>
    <w:rsid w:val="00742330"/>
    <w:rsid w:val="00742579"/>
    <w:rsid w:val="007433BD"/>
    <w:rsid w:val="00744AFB"/>
    <w:rsid w:val="00745173"/>
    <w:rsid w:val="00746779"/>
    <w:rsid w:val="00747C61"/>
    <w:rsid w:val="00750D06"/>
    <w:rsid w:val="00751338"/>
    <w:rsid w:val="00752676"/>
    <w:rsid w:val="007526CD"/>
    <w:rsid w:val="0075456F"/>
    <w:rsid w:val="00760E6A"/>
    <w:rsid w:val="00762EF9"/>
    <w:rsid w:val="00763B47"/>
    <w:rsid w:val="00763FF8"/>
    <w:rsid w:val="0076445D"/>
    <w:rsid w:val="00767AD4"/>
    <w:rsid w:val="00770F4B"/>
    <w:rsid w:val="0077159D"/>
    <w:rsid w:val="0077184B"/>
    <w:rsid w:val="00772479"/>
    <w:rsid w:val="00772635"/>
    <w:rsid w:val="00772B46"/>
    <w:rsid w:val="007743FA"/>
    <w:rsid w:val="0077451E"/>
    <w:rsid w:val="007746E3"/>
    <w:rsid w:val="00775AAC"/>
    <w:rsid w:val="00775ED2"/>
    <w:rsid w:val="00784794"/>
    <w:rsid w:val="00784EB9"/>
    <w:rsid w:val="007861E2"/>
    <w:rsid w:val="007863C1"/>
    <w:rsid w:val="0078712E"/>
    <w:rsid w:val="00790375"/>
    <w:rsid w:val="007908A5"/>
    <w:rsid w:val="007915F7"/>
    <w:rsid w:val="00792110"/>
    <w:rsid w:val="007A19C2"/>
    <w:rsid w:val="007A27CE"/>
    <w:rsid w:val="007A28B0"/>
    <w:rsid w:val="007A2A4C"/>
    <w:rsid w:val="007A31E7"/>
    <w:rsid w:val="007A33A9"/>
    <w:rsid w:val="007A3850"/>
    <w:rsid w:val="007A47BF"/>
    <w:rsid w:val="007A638C"/>
    <w:rsid w:val="007A6DED"/>
    <w:rsid w:val="007A7E34"/>
    <w:rsid w:val="007B1D2A"/>
    <w:rsid w:val="007B366E"/>
    <w:rsid w:val="007B521D"/>
    <w:rsid w:val="007B77E2"/>
    <w:rsid w:val="007B7D2B"/>
    <w:rsid w:val="007C1611"/>
    <w:rsid w:val="007C2AAD"/>
    <w:rsid w:val="007C3669"/>
    <w:rsid w:val="007C408C"/>
    <w:rsid w:val="007C454B"/>
    <w:rsid w:val="007C4F59"/>
    <w:rsid w:val="007C72A4"/>
    <w:rsid w:val="007C78A3"/>
    <w:rsid w:val="007C7989"/>
    <w:rsid w:val="007D2CBD"/>
    <w:rsid w:val="007D7268"/>
    <w:rsid w:val="007D767A"/>
    <w:rsid w:val="007E00B3"/>
    <w:rsid w:val="007E2069"/>
    <w:rsid w:val="007E3BDF"/>
    <w:rsid w:val="007E522D"/>
    <w:rsid w:val="007E53E5"/>
    <w:rsid w:val="007E67A3"/>
    <w:rsid w:val="007E7691"/>
    <w:rsid w:val="007F01B2"/>
    <w:rsid w:val="007F104F"/>
    <w:rsid w:val="007F14D4"/>
    <w:rsid w:val="007F660B"/>
    <w:rsid w:val="008004C7"/>
    <w:rsid w:val="00800A01"/>
    <w:rsid w:val="00800C0A"/>
    <w:rsid w:val="00802155"/>
    <w:rsid w:val="00804AA0"/>
    <w:rsid w:val="008060D5"/>
    <w:rsid w:val="00806343"/>
    <w:rsid w:val="00806CAE"/>
    <w:rsid w:val="00810C54"/>
    <w:rsid w:val="00810DAB"/>
    <w:rsid w:val="008119D0"/>
    <w:rsid w:val="00812A8B"/>
    <w:rsid w:val="00813422"/>
    <w:rsid w:val="00814D9B"/>
    <w:rsid w:val="008168D4"/>
    <w:rsid w:val="00816995"/>
    <w:rsid w:val="00817132"/>
    <w:rsid w:val="008173FC"/>
    <w:rsid w:val="008223D9"/>
    <w:rsid w:val="00822AE5"/>
    <w:rsid w:val="00822CB0"/>
    <w:rsid w:val="00822F92"/>
    <w:rsid w:val="00823680"/>
    <w:rsid w:val="008245AB"/>
    <w:rsid w:val="00824C92"/>
    <w:rsid w:val="00825F91"/>
    <w:rsid w:val="00827765"/>
    <w:rsid w:val="00827910"/>
    <w:rsid w:val="00832A67"/>
    <w:rsid w:val="00832CA3"/>
    <w:rsid w:val="00832CE5"/>
    <w:rsid w:val="008342EA"/>
    <w:rsid w:val="00835665"/>
    <w:rsid w:val="00836DE2"/>
    <w:rsid w:val="008404C0"/>
    <w:rsid w:val="008434F5"/>
    <w:rsid w:val="00843A55"/>
    <w:rsid w:val="00844268"/>
    <w:rsid w:val="00845D20"/>
    <w:rsid w:val="0084701D"/>
    <w:rsid w:val="008520F6"/>
    <w:rsid w:val="00852887"/>
    <w:rsid w:val="00853129"/>
    <w:rsid w:val="00854545"/>
    <w:rsid w:val="00865A4A"/>
    <w:rsid w:val="00865AB4"/>
    <w:rsid w:val="0086651B"/>
    <w:rsid w:val="00867F7A"/>
    <w:rsid w:val="008704FE"/>
    <w:rsid w:val="00870AC7"/>
    <w:rsid w:val="00870DED"/>
    <w:rsid w:val="00873EB3"/>
    <w:rsid w:val="008758F1"/>
    <w:rsid w:val="0087714D"/>
    <w:rsid w:val="00877B11"/>
    <w:rsid w:val="008808F9"/>
    <w:rsid w:val="0088346E"/>
    <w:rsid w:val="00883EB3"/>
    <w:rsid w:val="00884794"/>
    <w:rsid w:val="0088561D"/>
    <w:rsid w:val="00885C16"/>
    <w:rsid w:val="00887B13"/>
    <w:rsid w:val="00887C64"/>
    <w:rsid w:val="0089049C"/>
    <w:rsid w:val="008919DB"/>
    <w:rsid w:val="00891DC2"/>
    <w:rsid w:val="008923EA"/>
    <w:rsid w:val="00893DFE"/>
    <w:rsid w:val="00894A61"/>
    <w:rsid w:val="00894F8C"/>
    <w:rsid w:val="00895AA8"/>
    <w:rsid w:val="00897F3A"/>
    <w:rsid w:val="00897F56"/>
    <w:rsid w:val="008A0328"/>
    <w:rsid w:val="008A0D27"/>
    <w:rsid w:val="008A1851"/>
    <w:rsid w:val="008A2035"/>
    <w:rsid w:val="008A23AD"/>
    <w:rsid w:val="008A2F97"/>
    <w:rsid w:val="008A46BA"/>
    <w:rsid w:val="008A4937"/>
    <w:rsid w:val="008A4B58"/>
    <w:rsid w:val="008A5281"/>
    <w:rsid w:val="008A6700"/>
    <w:rsid w:val="008A7338"/>
    <w:rsid w:val="008A7FC7"/>
    <w:rsid w:val="008B08F1"/>
    <w:rsid w:val="008B1734"/>
    <w:rsid w:val="008B189E"/>
    <w:rsid w:val="008B1C32"/>
    <w:rsid w:val="008B27B3"/>
    <w:rsid w:val="008B2A20"/>
    <w:rsid w:val="008B4E70"/>
    <w:rsid w:val="008B6A91"/>
    <w:rsid w:val="008B6A93"/>
    <w:rsid w:val="008B70B3"/>
    <w:rsid w:val="008B73C2"/>
    <w:rsid w:val="008C0379"/>
    <w:rsid w:val="008C08A3"/>
    <w:rsid w:val="008C094F"/>
    <w:rsid w:val="008C114B"/>
    <w:rsid w:val="008C29F5"/>
    <w:rsid w:val="008C2C55"/>
    <w:rsid w:val="008C351E"/>
    <w:rsid w:val="008C3BDD"/>
    <w:rsid w:val="008C412C"/>
    <w:rsid w:val="008C4AC5"/>
    <w:rsid w:val="008C6B86"/>
    <w:rsid w:val="008C78A0"/>
    <w:rsid w:val="008D16C0"/>
    <w:rsid w:val="008D1BD3"/>
    <w:rsid w:val="008D292E"/>
    <w:rsid w:val="008D31F6"/>
    <w:rsid w:val="008D3AA0"/>
    <w:rsid w:val="008D5C47"/>
    <w:rsid w:val="008E3C98"/>
    <w:rsid w:val="008E41F3"/>
    <w:rsid w:val="008E5A79"/>
    <w:rsid w:val="008E6356"/>
    <w:rsid w:val="008E76EE"/>
    <w:rsid w:val="008E7A8A"/>
    <w:rsid w:val="008F0D96"/>
    <w:rsid w:val="008F334F"/>
    <w:rsid w:val="008F6B3C"/>
    <w:rsid w:val="009026D3"/>
    <w:rsid w:val="00905C03"/>
    <w:rsid w:val="00910471"/>
    <w:rsid w:val="00910B18"/>
    <w:rsid w:val="00911BBB"/>
    <w:rsid w:val="00914CD2"/>
    <w:rsid w:val="00915283"/>
    <w:rsid w:val="0091581B"/>
    <w:rsid w:val="009163A5"/>
    <w:rsid w:val="009166F8"/>
    <w:rsid w:val="00916F46"/>
    <w:rsid w:val="00917264"/>
    <w:rsid w:val="00917479"/>
    <w:rsid w:val="009174BD"/>
    <w:rsid w:val="00917609"/>
    <w:rsid w:val="0092045A"/>
    <w:rsid w:val="00920554"/>
    <w:rsid w:val="0092242F"/>
    <w:rsid w:val="0092596A"/>
    <w:rsid w:val="009263E3"/>
    <w:rsid w:val="009265F3"/>
    <w:rsid w:val="00926ABF"/>
    <w:rsid w:val="00930C49"/>
    <w:rsid w:val="00930DE0"/>
    <w:rsid w:val="0093139B"/>
    <w:rsid w:val="00932072"/>
    <w:rsid w:val="00932354"/>
    <w:rsid w:val="00933515"/>
    <w:rsid w:val="00933E35"/>
    <w:rsid w:val="00934540"/>
    <w:rsid w:val="00937889"/>
    <w:rsid w:val="00940389"/>
    <w:rsid w:val="009404E7"/>
    <w:rsid w:val="00942B7A"/>
    <w:rsid w:val="00942D42"/>
    <w:rsid w:val="00944CAF"/>
    <w:rsid w:val="00945904"/>
    <w:rsid w:val="00945FE3"/>
    <w:rsid w:val="009469BD"/>
    <w:rsid w:val="00946DCF"/>
    <w:rsid w:val="009506BF"/>
    <w:rsid w:val="009510A2"/>
    <w:rsid w:val="00951E56"/>
    <w:rsid w:val="00952E20"/>
    <w:rsid w:val="00953404"/>
    <w:rsid w:val="0095341C"/>
    <w:rsid w:val="00953D16"/>
    <w:rsid w:val="00954AFA"/>
    <w:rsid w:val="00955643"/>
    <w:rsid w:val="00956CBA"/>
    <w:rsid w:val="00957304"/>
    <w:rsid w:val="00961C80"/>
    <w:rsid w:val="009633CF"/>
    <w:rsid w:val="0096348E"/>
    <w:rsid w:val="009636D4"/>
    <w:rsid w:val="00966E88"/>
    <w:rsid w:val="00967466"/>
    <w:rsid w:val="009720FA"/>
    <w:rsid w:val="00972C8D"/>
    <w:rsid w:val="00973879"/>
    <w:rsid w:val="009739DB"/>
    <w:rsid w:val="00974324"/>
    <w:rsid w:val="009743E2"/>
    <w:rsid w:val="009748B5"/>
    <w:rsid w:val="0097620C"/>
    <w:rsid w:val="00976B42"/>
    <w:rsid w:val="00977734"/>
    <w:rsid w:val="009778CC"/>
    <w:rsid w:val="00980CE1"/>
    <w:rsid w:val="00981555"/>
    <w:rsid w:val="00985AF0"/>
    <w:rsid w:val="009863FD"/>
    <w:rsid w:val="00987F86"/>
    <w:rsid w:val="009949EE"/>
    <w:rsid w:val="00995777"/>
    <w:rsid w:val="00995A17"/>
    <w:rsid w:val="00996ED8"/>
    <w:rsid w:val="009977D5"/>
    <w:rsid w:val="009A2602"/>
    <w:rsid w:val="009A335C"/>
    <w:rsid w:val="009A340B"/>
    <w:rsid w:val="009A3692"/>
    <w:rsid w:val="009A4406"/>
    <w:rsid w:val="009A7046"/>
    <w:rsid w:val="009B0051"/>
    <w:rsid w:val="009B3230"/>
    <w:rsid w:val="009B35DA"/>
    <w:rsid w:val="009B392F"/>
    <w:rsid w:val="009B450D"/>
    <w:rsid w:val="009B4FA0"/>
    <w:rsid w:val="009B56AA"/>
    <w:rsid w:val="009B6312"/>
    <w:rsid w:val="009B7AE5"/>
    <w:rsid w:val="009C0836"/>
    <w:rsid w:val="009C0AB3"/>
    <w:rsid w:val="009C11D8"/>
    <w:rsid w:val="009C2FF3"/>
    <w:rsid w:val="009C31BD"/>
    <w:rsid w:val="009C338B"/>
    <w:rsid w:val="009C3A18"/>
    <w:rsid w:val="009C42F8"/>
    <w:rsid w:val="009C44AD"/>
    <w:rsid w:val="009C7370"/>
    <w:rsid w:val="009D0908"/>
    <w:rsid w:val="009D1EBD"/>
    <w:rsid w:val="009D2D55"/>
    <w:rsid w:val="009D35C2"/>
    <w:rsid w:val="009D4AC8"/>
    <w:rsid w:val="009D4C45"/>
    <w:rsid w:val="009D4F1F"/>
    <w:rsid w:val="009D64B8"/>
    <w:rsid w:val="009D7386"/>
    <w:rsid w:val="009E155D"/>
    <w:rsid w:val="009E1DDF"/>
    <w:rsid w:val="009E3DDB"/>
    <w:rsid w:val="009E4138"/>
    <w:rsid w:val="009E54A3"/>
    <w:rsid w:val="009E5DC6"/>
    <w:rsid w:val="009E6D01"/>
    <w:rsid w:val="009E77D3"/>
    <w:rsid w:val="009F02C2"/>
    <w:rsid w:val="009F144B"/>
    <w:rsid w:val="009F1F4A"/>
    <w:rsid w:val="009F2173"/>
    <w:rsid w:val="009F23E7"/>
    <w:rsid w:val="009F4916"/>
    <w:rsid w:val="009F49D4"/>
    <w:rsid w:val="009F5BC3"/>
    <w:rsid w:val="009F70BB"/>
    <w:rsid w:val="009F73A4"/>
    <w:rsid w:val="009F7FEB"/>
    <w:rsid w:val="00A005D3"/>
    <w:rsid w:val="00A014B5"/>
    <w:rsid w:val="00A032ED"/>
    <w:rsid w:val="00A05721"/>
    <w:rsid w:val="00A1052D"/>
    <w:rsid w:val="00A10C5C"/>
    <w:rsid w:val="00A10E81"/>
    <w:rsid w:val="00A11335"/>
    <w:rsid w:val="00A114E4"/>
    <w:rsid w:val="00A11851"/>
    <w:rsid w:val="00A11A27"/>
    <w:rsid w:val="00A123FC"/>
    <w:rsid w:val="00A1354A"/>
    <w:rsid w:val="00A13944"/>
    <w:rsid w:val="00A13952"/>
    <w:rsid w:val="00A13CED"/>
    <w:rsid w:val="00A13E2C"/>
    <w:rsid w:val="00A1722D"/>
    <w:rsid w:val="00A21CEE"/>
    <w:rsid w:val="00A22380"/>
    <w:rsid w:val="00A26340"/>
    <w:rsid w:val="00A30404"/>
    <w:rsid w:val="00A31139"/>
    <w:rsid w:val="00A33DBA"/>
    <w:rsid w:val="00A34277"/>
    <w:rsid w:val="00A35FA4"/>
    <w:rsid w:val="00A363C4"/>
    <w:rsid w:val="00A401B0"/>
    <w:rsid w:val="00A41847"/>
    <w:rsid w:val="00A41A7A"/>
    <w:rsid w:val="00A41F46"/>
    <w:rsid w:val="00A43866"/>
    <w:rsid w:val="00A4404C"/>
    <w:rsid w:val="00A44DE6"/>
    <w:rsid w:val="00A46B3A"/>
    <w:rsid w:val="00A502F6"/>
    <w:rsid w:val="00A5107C"/>
    <w:rsid w:val="00A523C8"/>
    <w:rsid w:val="00A5248D"/>
    <w:rsid w:val="00A52676"/>
    <w:rsid w:val="00A52907"/>
    <w:rsid w:val="00A532EA"/>
    <w:rsid w:val="00A53878"/>
    <w:rsid w:val="00A53F8B"/>
    <w:rsid w:val="00A56BF9"/>
    <w:rsid w:val="00A57043"/>
    <w:rsid w:val="00A609B2"/>
    <w:rsid w:val="00A61624"/>
    <w:rsid w:val="00A62CA4"/>
    <w:rsid w:val="00A63A2E"/>
    <w:rsid w:val="00A63BC7"/>
    <w:rsid w:val="00A641D5"/>
    <w:rsid w:val="00A66DA1"/>
    <w:rsid w:val="00A67C0D"/>
    <w:rsid w:val="00A70B6B"/>
    <w:rsid w:val="00A72505"/>
    <w:rsid w:val="00A733D8"/>
    <w:rsid w:val="00A76946"/>
    <w:rsid w:val="00A7793B"/>
    <w:rsid w:val="00A80D01"/>
    <w:rsid w:val="00A8158D"/>
    <w:rsid w:val="00A845FA"/>
    <w:rsid w:val="00A84ED6"/>
    <w:rsid w:val="00A855D3"/>
    <w:rsid w:val="00A86475"/>
    <w:rsid w:val="00A86681"/>
    <w:rsid w:val="00A87870"/>
    <w:rsid w:val="00A912C8"/>
    <w:rsid w:val="00A921AF"/>
    <w:rsid w:val="00A93763"/>
    <w:rsid w:val="00A9567B"/>
    <w:rsid w:val="00A95D09"/>
    <w:rsid w:val="00A96406"/>
    <w:rsid w:val="00A97325"/>
    <w:rsid w:val="00AA06D1"/>
    <w:rsid w:val="00AA1CAA"/>
    <w:rsid w:val="00AA480C"/>
    <w:rsid w:val="00AA66F4"/>
    <w:rsid w:val="00AA7395"/>
    <w:rsid w:val="00AB06FA"/>
    <w:rsid w:val="00AB19B5"/>
    <w:rsid w:val="00AB390D"/>
    <w:rsid w:val="00AB49A3"/>
    <w:rsid w:val="00AB50F0"/>
    <w:rsid w:val="00AB7BAE"/>
    <w:rsid w:val="00AC31A3"/>
    <w:rsid w:val="00AC3215"/>
    <w:rsid w:val="00AC3558"/>
    <w:rsid w:val="00AC35CB"/>
    <w:rsid w:val="00AC3CCB"/>
    <w:rsid w:val="00AC4C21"/>
    <w:rsid w:val="00AC5213"/>
    <w:rsid w:val="00AC6B7B"/>
    <w:rsid w:val="00AD033C"/>
    <w:rsid w:val="00AD0E7D"/>
    <w:rsid w:val="00AD1919"/>
    <w:rsid w:val="00AD1DB2"/>
    <w:rsid w:val="00AD2318"/>
    <w:rsid w:val="00AD248E"/>
    <w:rsid w:val="00AD274E"/>
    <w:rsid w:val="00AD2750"/>
    <w:rsid w:val="00AD7299"/>
    <w:rsid w:val="00AD7805"/>
    <w:rsid w:val="00AE1A8A"/>
    <w:rsid w:val="00AE3E4A"/>
    <w:rsid w:val="00AE404C"/>
    <w:rsid w:val="00AE6C81"/>
    <w:rsid w:val="00AF204B"/>
    <w:rsid w:val="00AF2D1A"/>
    <w:rsid w:val="00AF3EAB"/>
    <w:rsid w:val="00AF4D93"/>
    <w:rsid w:val="00AF5682"/>
    <w:rsid w:val="00AF60E8"/>
    <w:rsid w:val="00B01077"/>
    <w:rsid w:val="00B01B2E"/>
    <w:rsid w:val="00B02785"/>
    <w:rsid w:val="00B06018"/>
    <w:rsid w:val="00B11A02"/>
    <w:rsid w:val="00B160DE"/>
    <w:rsid w:val="00B17025"/>
    <w:rsid w:val="00B1725C"/>
    <w:rsid w:val="00B21724"/>
    <w:rsid w:val="00B22540"/>
    <w:rsid w:val="00B248F1"/>
    <w:rsid w:val="00B24AE7"/>
    <w:rsid w:val="00B24F16"/>
    <w:rsid w:val="00B24F47"/>
    <w:rsid w:val="00B26125"/>
    <w:rsid w:val="00B269F0"/>
    <w:rsid w:val="00B30DDE"/>
    <w:rsid w:val="00B31F05"/>
    <w:rsid w:val="00B32548"/>
    <w:rsid w:val="00B32CC9"/>
    <w:rsid w:val="00B34511"/>
    <w:rsid w:val="00B34740"/>
    <w:rsid w:val="00B3528B"/>
    <w:rsid w:val="00B36755"/>
    <w:rsid w:val="00B37C0A"/>
    <w:rsid w:val="00B4365F"/>
    <w:rsid w:val="00B447C9"/>
    <w:rsid w:val="00B46D56"/>
    <w:rsid w:val="00B47033"/>
    <w:rsid w:val="00B5253D"/>
    <w:rsid w:val="00B53012"/>
    <w:rsid w:val="00B53855"/>
    <w:rsid w:val="00B546CC"/>
    <w:rsid w:val="00B54E58"/>
    <w:rsid w:val="00B5575E"/>
    <w:rsid w:val="00B55F2D"/>
    <w:rsid w:val="00B60AE0"/>
    <w:rsid w:val="00B63275"/>
    <w:rsid w:val="00B632D0"/>
    <w:rsid w:val="00B6485C"/>
    <w:rsid w:val="00B669A2"/>
    <w:rsid w:val="00B66E59"/>
    <w:rsid w:val="00B67781"/>
    <w:rsid w:val="00B70915"/>
    <w:rsid w:val="00B70A42"/>
    <w:rsid w:val="00B71467"/>
    <w:rsid w:val="00B72E84"/>
    <w:rsid w:val="00B72F59"/>
    <w:rsid w:val="00B72FC2"/>
    <w:rsid w:val="00B74D09"/>
    <w:rsid w:val="00B755AB"/>
    <w:rsid w:val="00B75D65"/>
    <w:rsid w:val="00B77584"/>
    <w:rsid w:val="00B77AF6"/>
    <w:rsid w:val="00B77FBC"/>
    <w:rsid w:val="00B81C8F"/>
    <w:rsid w:val="00B86B65"/>
    <w:rsid w:val="00B86FB2"/>
    <w:rsid w:val="00B86FE9"/>
    <w:rsid w:val="00B87DC1"/>
    <w:rsid w:val="00B90860"/>
    <w:rsid w:val="00B90FF9"/>
    <w:rsid w:val="00B911FD"/>
    <w:rsid w:val="00B92633"/>
    <w:rsid w:val="00B931B8"/>
    <w:rsid w:val="00B9420E"/>
    <w:rsid w:val="00B95094"/>
    <w:rsid w:val="00B9586B"/>
    <w:rsid w:val="00B9649C"/>
    <w:rsid w:val="00B96C9F"/>
    <w:rsid w:val="00BA0C04"/>
    <w:rsid w:val="00BA1A60"/>
    <w:rsid w:val="00BA2AA8"/>
    <w:rsid w:val="00BA3676"/>
    <w:rsid w:val="00BA475E"/>
    <w:rsid w:val="00BA5B6F"/>
    <w:rsid w:val="00BA7659"/>
    <w:rsid w:val="00BB00D2"/>
    <w:rsid w:val="00BB184C"/>
    <w:rsid w:val="00BB2698"/>
    <w:rsid w:val="00BB26CE"/>
    <w:rsid w:val="00BB401F"/>
    <w:rsid w:val="00BB48E5"/>
    <w:rsid w:val="00BB49AB"/>
    <w:rsid w:val="00BB58AA"/>
    <w:rsid w:val="00BB6CB3"/>
    <w:rsid w:val="00BB6F19"/>
    <w:rsid w:val="00BB7C9B"/>
    <w:rsid w:val="00BC0ADF"/>
    <w:rsid w:val="00BC2403"/>
    <w:rsid w:val="00BC32E4"/>
    <w:rsid w:val="00BC3BDA"/>
    <w:rsid w:val="00BC4D2B"/>
    <w:rsid w:val="00BC4E8F"/>
    <w:rsid w:val="00BC549D"/>
    <w:rsid w:val="00BC54AC"/>
    <w:rsid w:val="00BC565D"/>
    <w:rsid w:val="00BC6443"/>
    <w:rsid w:val="00BC6802"/>
    <w:rsid w:val="00BD097B"/>
    <w:rsid w:val="00BD2207"/>
    <w:rsid w:val="00BD57AF"/>
    <w:rsid w:val="00BD7A7C"/>
    <w:rsid w:val="00BE0141"/>
    <w:rsid w:val="00BE0F46"/>
    <w:rsid w:val="00BE125D"/>
    <w:rsid w:val="00BE138C"/>
    <w:rsid w:val="00BE3EED"/>
    <w:rsid w:val="00BF11A6"/>
    <w:rsid w:val="00BF12F6"/>
    <w:rsid w:val="00BF1F38"/>
    <w:rsid w:val="00BF31E4"/>
    <w:rsid w:val="00BF3413"/>
    <w:rsid w:val="00BF4583"/>
    <w:rsid w:val="00BF5714"/>
    <w:rsid w:val="00BF65E5"/>
    <w:rsid w:val="00C000AC"/>
    <w:rsid w:val="00C0098A"/>
    <w:rsid w:val="00C02799"/>
    <w:rsid w:val="00C0416D"/>
    <w:rsid w:val="00C046BF"/>
    <w:rsid w:val="00C05278"/>
    <w:rsid w:val="00C05BC9"/>
    <w:rsid w:val="00C07471"/>
    <w:rsid w:val="00C105E1"/>
    <w:rsid w:val="00C12378"/>
    <w:rsid w:val="00C13874"/>
    <w:rsid w:val="00C14EE0"/>
    <w:rsid w:val="00C165E1"/>
    <w:rsid w:val="00C21578"/>
    <w:rsid w:val="00C21A0C"/>
    <w:rsid w:val="00C234FC"/>
    <w:rsid w:val="00C27AD1"/>
    <w:rsid w:val="00C3013F"/>
    <w:rsid w:val="00C3053D"/>
    <w:rsid w:val="00C30760"/>
    <w:rsid w:val="00C3123F"/>
    <w:rsid w:val="00C31CCF"/>
    <w:rsid w:val="00C31FCC"/>
    <w:rsid w:val="00C3660D"/>
    <w:rsid w:val="00C3783D"/>
    <w:rsid w:val="00C40A1F"/>
    <w:rsid w:val="00C4242C"/>
    <w:rsid w:val="00C42C06"/>
    <w:rsid w:val="00C42EEB"/>
    <w:rsid w:val="00C42FFE"/>
    <w:rsid w:val="00C44764"/>
    <w:rsid w:val="00C4646D"/>
    <w:rsid w:val="00C4774B"/>
    <w:rsid w:val="00C47F25"/>
    <w:rsid w:val="00C47FA1"/>
    <w:rsid w:val="00C50FD2"/>
    <w:rsid w:val="00C52A07"/>
    <w:rsid w:val="00C557F4"/>
    <w:rsid w:val="00C61348"/>
    <w:rsid w:val="00C63415"/>
    <w:rsid w:val="00C638A1"/>
    <w:rsid w:val="00C656C8"/>
    <w:rsid w:val="00C66525"/>
    <w:rsid w:val="00C6795C"/>
    <w:rsid w:val="00C67C93"/>
    <w:rsid w:val="00C718C3"/>
    <w:rsid w:val="00C73210"/>
    <w:rsid w:val="00C73522"/>
    <w:rsid w:val="00C73E54"/>
    <w:rsid w:val="00C762A8"/>
    <w:rsid w:val="00C803C0"/>
    <w:rsid w:val="00C81E6D"/>
    <w:rsid w:val="00C820FB"/>
    <w:rsid w:val="00C83266"/>
    <w:rsid w:val="00C8496D"/>
    <w:rsid w:val="00C84EB4"/>
    <w:rsid w:val="00C85DFF"/>
    <w:rsid w:val="00C85E7E"/>
    <w:rsid w:val="00C8672E"/>
    <w:rsid w:val="00C875A8"/>
    <w:rsid w:val="00C90649"/>
    <w:rsid w:val="00C90B17"/>
    <w:rsid w:val="00C93167"/>
    <w:rsid w:val="00C948AE"/>
    <w:rsid w:val="00CA121A"/>
    <w:rsid w:val="00CA1E94"/>
    <w:rsid w:val="00CA2080"/>
    <w:rsid w:val="00CA250D"/>
    <w:rsid w:val="00CA2BAC"/>
    <w:rsid w:val="00CA2CC8"/>
    <w:rsid w:val="00CA317F"/>
    <w:rsid w:val="00CA39C3"/>
    <w:rsid w:val="00CA3BA6"/>
    <w:rsid w:val="00CA4FD0"/>
    <w:rsid w:val="00CA5A23"/>
    <w:rsid w:val="00CB259A"/>
    <w:rsid w:val="00CB383B"/>
    <w:rsid w:val="00CB3C68"/>
    <w:rsid w:val="00CB421B"/>
    <w:rsid w:val="00CB4A2C"/>
    <w:rsid w:val="00CB4E7B"/>
    <w:rsid w:val="00CB77BB"/>
    <w:rsid w:val="00CB77EC"/>
    <w:rsid w:val="00CC39B4"/>
    <w:rsid w:val="00CC3DE9"/>
    <w:rsid w:val="00CC4F6E"/>
    <w:rsid w:val="00CC5BE2"/>
    <w:rsid w:val="00CC5F81"/>
    <w:rsid w:val="00CC6309"/>
    <w:rsid w:val="00CC6D8D"/>
    <w:rsid w:val="00CC6F58"/>
    <w:rsid w:val="00CD0EF7"/>
    <w:rsid w:val="00CD1CA5"/>
    <w:rsid w:val="00CD2771"/>
    <w:rsid w:val="00CD3B00"/>
    <w:rsid w:val="00CD40AE"/>
    <w:rsid w:val="00CD4430"/>
    <w:rsid w:val="00CD5134"/>
    <w:rsid w:val="00CD629C"/>
    <w:rsid w:val="00CD6327"/>
    <w:rsid w:val="00CD755F"/>
    <w:rsid w:val="00CD7A54"/>
    <w:rsid w:val="00CE0E60"/>
    <w:rsid w:val="00CE0F63"/>
    <w:rsid w:val="00CE1185"/>
    <w:rsid w:val="00CE1BD1"/>
    <w:rsid w:val="00CE2CC5"/>
    <w:rsid w:val="00CE6BB7"/>
    <w:rsid w:val="00CE7BB6"/>
    <w:rsid w:val="00CF25EA"/>
    <w:rsid w:val="00CF2D97"/>
    <w:rsid w:val="00CF3382"/>
    <w:rsid w:val="00CF3DA5"/>
    <w:rsid w:val="00CF412F"/>
    <w:rsid w:val="00CF436D"/>
    <w:rsid w:val="00CF75A1"/>
    <w:rsid w:val="00CF7B1F"/>
    <w:rsid w:val="00D021C8"/>
    <w:rsid w:val="00D03E2D"/>
    <w:rsid w:val="00D041DD"/>
    <w:rsid w:val="00D04FE2"/>
    <w:rsid w:val="00D0591F"/>
    <w:rsid w:val="00D079E9"/>
    <w:rsid w:val="00D10CED"/>
    <w:rsid w:val="00D11683"/>
    <w:rsid w:val="00D129FF"/>
    <w:rsid w:val="00D12F8C"/>
    <w:rsid w:val="00D13625"/>
    <w:rsid w:val="00D145EA"/>
    <w:rsid w:val="00D1700F"/>
    <w:rsid w:val="00D178E5"/>
    <w:rsid w:val="00D17CE7"/>
    <w:rsid w:val="00D2074A"/>
    <w:rsid w:val="00D20A66"/>
    <w:rsid w:val="00D222BD"/>
    <w:rsid w:val="00D23088"/>
    <w:rsid w:val="00D23969"/>
    <w:rsid w:val="00D2596F"/>
    <w:rsid w:val="00D25CD4"/>
    <w:rsid w:val="00D25EF1"/>
    <w:rsid w:val="00D27349"/>
    <w:rsid w:val="00D27FEB"/>
    <w:rsid w:val="00D304EB"/>
    <w:rsid w:val="00D31B19"/>
    <w:rsid w:val="00D31D12"/>
    <w:rsid w:val="00D33BDF"/>
    <w:rsid w:val="00D364CF"/>
    <w:rsid w:val="00D36612"/>
    <w:rsid w:val="00D369D7"/>
    <w:rsid w:val="00D376D2"/>
    <w:rsid w:val="00D427BD"/>
    <w:rsid w:val="00D42E0F"/>
    <w:rsid w:val="00D462AA"/>
    <w:rsid w:val="00D4714E"/>
    <w:rsid w:val="00D4731F"/>
    <w:rsid w:val="00D476DD"/>
    <w:rsid w:val="00D4790D"/>
    <w:rsid w:val="00D513A9"/>
    <w:rsid w:val="00D51525"/>
    <w:rsid w:val="00D52566"/>
    <w:rsid w:val="00D55298"/>
    <w:rsid w:val="00D553B0"/>
    <w:rsid w:val="00D558AE"/>
    <w:rsid w:val="00D5646D"/>
    <w:rsid w:val="00D5768F"/>
    <w:rsid w:val="00D603CC"/>
    <w:rsid w:val="00D623DE"/>
    <w:rsid w:val="00D62A11"/>
    <w:rsid w:val="00D650C2"/>
    <w:rsid w:val="00D65750"/>
    <w:rsid w:val="00D66195"/>
    <w:rsid w:val="00D662A5"/>
    <w:rsid w:val="00D66FAA"/>
    <w:rsid w:val="00D759B7"/>
    <w:rsid w:val="00D75C47"/>
    <w:rsid w:val="00D76107"/>
    <w:rsid w:val="00D76EB8"/>
    <w:rsid w:val="00D80F03"/>
    <w:rsid w:val="00D818D4"/>
    <w:rsid w:val="00D81974"/>
    <w:rsid w:val="00D850B4"/>
    <w:rsid w:val="00D864C6"/>
    <w:rsid w:val="00D86DCA"/>
    <w:rsid w:val="00D87233"/>
    <w:rsid w:val="00D922B2"/>
    <w:rsid w:val="00D92A64"/>
    <w:rsid w:val="00D9318D"/>
    <w:rsid w:val="00D94BA7"/>
    <w:rsid w:val="00D95162"/>
    <w:rsid w:val="00DA3417"/>
    <w:rsid w:val="00DA4260"/>
    <w:rsid w:val="00DA48FC"/>
    <w:rsid w:val="00DA4D0B"/>
    <w:rsid w:val="00DA5469"/>
    <w:rsid w:val="00DA5E8D"/>
    <w:rsid w:val="00DA61D1"/>
    <w:rsid w:val="00DA6975"/>
    <w:rsid w:val="00DA6A73"/>
    <w:rsid w:val="00DA7585"/>
    <w:rsid w:val="00DA760F"/>
    <w:rsid w:val="00DB0640"/>
    <w:rsid w:val="00DB1E12"/>
    <w:rsid w:val="00DB27D8"/>
    <w:rsid w:val="00DB7693"/>
    <w:rsid w:val="00DC3068"/>
    <w:rsid w:val="00DC5D01"/>
    <w:rsid w:val="00DC6795"/>
    <w:rsid w:val="00DC685A"/>
    <w:rsid w:val="00DD25BE"/>
    <w:rsid w:val="00DD3E30"/>
    <w:rsid w:val="00DD506C"/>
    <w:rsid w:val="00DD5B90"/>
    <w:rsid w:val="00DE1CC6"/>
    <w:rsid w:val="00DE2108"/>
    <w:rsid w:val="00DE3106"/>
    <w:rsid w:val="00DE4424"/>
    <w:rsid w:val="00DE5B4B"/>
    <w:rsid w:val="00DF03F6"/>
    <w:rsid w:val="00DF0FC7"/>
    <w:rsid w:val="00DF12DA"/>
    <w:rsid w:val="00DF24FD"/>
    <w:rsid w:val="00DF33C2"/>
    <w:rsid w:val="00DF376A"/>
    <w:rsid w:val="00DF3B5D"/>
    <w:rsid w:val="00DF3D10"/>
    <w:rsid w:val="00DF6EDA"/>
    <w:rsid w:val="00E01658"/>
    <w:rsid w:val="00E016F5"/>
    <w:rsid w:val="00E01DB9"/>
    <w:rsid w:val="00E03E85"/>
    <w:rsid w:val="00E072C5"/>
    <w:rsid w:val="00E07BD8"/>
    <w:rsid w:val="00E11D23"/>
    <w:rsid w:val="00E143FB"/>
    <w:rsid w:val="00E1477E"/>
    <w:rsid w:val="00E14E07"/>
    <w:rsid w:val="00E16428"/>
    <w:rsid w:val="00E165B0"/>
    <w:rsid w:val="00E16B7D"/>
    <w:rsid w:val="00E16E38"/>
    <w:rsid w:val="00E177A2"/>
    <w:rsid w:val="00E178E8"/>
    <w:rsid w:val="00E17954"/>
    <w:rsid w:val="00E20EAE"/>
    <w:rsid w:val="00E23720"/>
    <w:rsid w:val="00E260E2"/>
    <w:rsid w:val="00E27D12"/>
    <w:rsid w:val="00E3194E"/>
    <w:rsid w:val="00E31BF4"/>
    <w:rsid w:val="00E3233E"/>
    <w:rsid w:val="00E32ADF"/>
    <w:rsid w:val="00E34136"/>
    <w:rsid w:val="00E40B35"/>
    <w:rsid w:val="00E40F05"/>
    <w:rsid w:val="00E41F0A"/>
    <w:rsid w:val="00E42927"/>
    <w:rsid w:val="00E42CCA"/>
    <w:rsid w:val="00E4354F"/>
    <w:rsid w:val="00E44583"/>
    <w:rsid w:val="00E46911"/>
    <w:rsid w:val="00E5160B"/>
    <w:rsid w:val="00E52BA7"/>
    <w:rsid w:val="00E53AF7"/>
    <w:rsid w:val="00E5463C"/>
    <w:rsid w:val="00E632BB"/>
    <w:rsid w:val="00E64B78"/>
    <w:rsid w:val="00E67C52"/>
    <w:rsid w:val="00E70721"/>
    <w:rsid w:val="00E70CEE"/>
    <w:rsid w:val="00E724D4"/>
    <w:rsid w:val="00E75E55"/>
    <w:rsid w:val="00E769FA"/>
    <w:rsid w:val="00E76AB5"/>
    <w:rsid w:val="00E77A2F"/>
    <w:rsid w:val="00E77C1A"/>
    <w:rsid w:val="00E80CDA"/>
    <w:rsid w:val="00E80DED"/>
    <w:rsid w:val="00E81D56"/>
    <w:rsid w:val="00E8208E"/>
    <w:rsid w:val="00E83866"/>
    <w:rsid w:val="00E840EC"/>
    <w:rsid w:val="00E853D4"/>
    <w:rsid w:val="00E855A2"/>
    <w:rsid w:val="00E85E74"/>
    <w:rsid w:val="00E85FD7"/>
    <w:rsid w:val="00E86249"/>
    <w:rsid w:val="00E90AB9"/>
    <w:rsid w:val="00E914EE"/>
    <w:rsid w:val="00E93B47"/>
    <w:rsid w:val="00E97D89"/>
    <w:rsid w:val="00EA0B91"/>
    <w:rsid w:val="00EA0E6E"/>
    <w:rsid w:val="00EA1C96"/>
    <w:rsid w:val="00EA2498"/>
    <w:rsid w:val="00EA3721"/>
    <w:rsid w:val="00EA5636"/>
    <w:rsid w:val="00EA567B"/>
    <w:rsid w:val="00EA5BC1"/>
    <w:rsid w:val="00EA7D34"/>
    <w:rsid w:val="00EB14CA"/>
    <w:rsid w:val="00EB15DF"/>
    <w:rsid w:val="00EB20DD"/>
    <w:rsid w:val="00EB5AC1"/>
    <w:rsid w:val="00EB6CB3"/>
    <w:rsid w:val="00EB70A3"/>
    <w:rsid w:val="00EB77E8"/>
    <w:rsid w:val="00EC117E"/>
    <w:rsid w:val="00EC3378"/>
    <w:rsid w:val="00EC40B3"/>
    <w:rsid w:val="00ED1D21"/>
    <w:rsid w:val="00ED25A1"/>
    <w:rsid w:val="00ED339B"/>
    <w:rsid w:val="00ED3C92"/>
    <w:rsid w:val="00ED7321"/>
    <w:rsid w:val="00EE3B92"/>
    <w:rsid w:val="00EE589C"/>
    <w:rsid w:val="00EF01CD"/>
    <w:rsid w:val="00EF2054"/>
    <w:rsid w:val="00EF2108"/>
    <w:rsid w:val="00EF5BFD"/>
    <w:rsid w:val="00EF755E"/>
    <w:rsid w:val="00F00809"/>
    <w:rsid w:val="00F0129D"/>
    <w:rsid w:val="00F01EEA"/>
    <w:rsid w:val="00F03FF4"/>
    <w:rsid w:val="00F04282"/>
    <w:rsid w:val="00F04747"/>
    <w:rsid w:val="00F11A75"/>
    <w:rsid w:val="00F128E2"/>
    <w:rsid w:val="00F14402"/>
    <w:rsid w:val="00F15285"/>
    <w:rsid w:val="00F15521"/>
    <w:rsid w:val="00F1707C"/>
    <w:rsid w:val="00F209D1"/>
    <w:rsid w:val="00F21324"/>
    <w:rsid w:val="00F276BD"/>
    <w:rsid w:val="00F31C31"/>
    <w:rsid w:val="00F33EBA"/>
    <w:rsid w:val="00F35794"/>
    <w:rsid w:val="00F36016"/>
    <w:rsid w:val="00F4174B"/>
    <w:rsid w:val="00F44670"/>
    <w:rsid w:val="00F45749"/>
    <w:rsid w:val="00F46DAB"/>
    <w:rsid w:val="00F46E2C"/>
    <w:rsid w:val="00F4701B"/>
    <w:rsid w:val="00F47A9B"/>
    <w:rsid w:val="00F5072C"/>
    <w:rsid w:val="00F50B57"/>
    <w:rsid w:val="00F50CB0"/>
    <w:rsid w:val="00F52F96"/>
    <w:rsid w:val="00F53862"/>
    <w:rsid w:val="00F53C80"/>
    <w:rsid w:val="00F54948"/>
    <w:rsid w:val="00F55370"/>
    <w:rsid w:val="00F5626F"/>
    <w:rsid w:val="00F56EB8"/>
    <w:rsid w:val="00F609AD"/>
    <w:rsid w:val="00F61A66"/>
    <w:rsid w:val="00F629D5"/>
    <w:rsid w:val="00F63CB2"/>
    <w:rsid w:val="00F649F1"/>
    <w:rsid w:val="00F67E41"/>
    <w:rsid w:val="00F70202"/>
    <w:rsid w:val="00F71B94"/>
    <w:rsid w:val="00F741BF"/>
    <w:rsid w:val="00F7470C"/>
    <w:rsid w:val="00F80E03"/>
    <w:rsid w:val="00F80E9C"/>
    <w:rsid w:val="00F810BE"/>
    <w:rsid w:val="00F821C5"/>
    <w:rsid w:val="00F82EE1"/>
    <w:rsid w:val="00F83E81"/>
    <w:rsid w:val="00F843F4"/>
    <w:rsid w:val="00F84B95"/>
    <w:rsid w:val="00F8669B"/>
    <w:rsid w:val="00F9086E"/>
    <w:rsid w:val="00F9201F"/>
    <w:rsid w:val="00F92160"/>
    <w:rsid w:val="00F92641"/>
    <w:rsid w:val="00F93572"/>
    <w:rsid w:val="00F93866"/>
    <w:rsid w:val="00F938BF"/>
    <w:rsid w:val="00F95216"/>
    <w:rsid w:val="00F95776"/>
    <w:rsid w:val="00F957CB"/>
    <w:rsid w:val="00F97781"/>
    <w:rsid w:val="00FA0A8F"/>
    <w:rsid w:val="00FA1451"/>
    <w:rsid w:val="00FA1E9E"/>
    <w:rsid w:val="00FA2835"/>
    <w:rsid w:val="00FA287A"/>
    <w:rsid w:val="00FA3EAD"/>
    <w:rsid w:val="00FA4C8E"/>
    <w:rsid w:val="00FA644F"/>
    <w:rsid w:val="00FB20A7"/>
    <w:rsid w:val="00FB2536"/>
    <w:rsid w:val="00FB4254"/>
    <w:rsid w:val="00FB4FE0"/>
    <w:rsid w:val="00FB660A"/>
    <w:rsid w:val="00FB6C8F"/>
    <w:rsid w:val="00FB7838"/>
    <w:rsid w:val="00FB7F3A"/>
    <w:rsid w:val="00FC0513"/>
    <w:rsid w:val="00FC0F90"/>
    <w:rsid w:val="00FC1B63"/>
    <w:rsid w:val="00FC38CF"/>
    <w:rsid w:val="00FC480D"/>
    <w:rsid w:val="00FC4B3C"/>
    <w:rsid w:val="00FC7603"/>
    <w:rsid w:val="00FD0EB2"/>
    <w:rsid w:val="00FD171B"/>
    <w:rsid w:val="00FD1C39"/>
    <w:rsid w:val="00FD2702"/>
    <w:rsid w:val="00FD41CA"/>
    <w:rsid w:val="00FD43F2"/>
    <w:rsid w:val="00FD56F1"/>
    <w:rsid w:val="00FE1087"/>
    <w:rsid w:val="00FE1BC1"/>
    <w:rsid w:val="00FE2086"/>
    <w:rsid w:val="00FE22B6"/>
    <w:rsid w:val="00FE3681"/>
    <w:rsid w:val="00FE73F6"/>
    <w:rsid w:val="00FF10FD"/>
    <w:rsid w:val="00FF1D22"/>
    <w:rsid w:val="00FF4343"/>
    <w:rsid w:val="00FF43D4"/>
    <w:rsid w:val="00FF6971"/>
    <w:rsid w:val="00FF6C19"/>
    <w:rsid w:val="00FF7DAD"/>
    <w:rsid w:val="00FF7DBF"/>
    <w:rsid w:val="023EF663"/>
    <w:rsid w:val="03682426"/>
    <w:rsid w:val="04D688C9"/>
    <w:rsid w:val="04D70923"/>
    <w:rsid w:val="05762FDB"/>
    <w:rsid w:val="08110769"/>
    <w:rsid w:val="0821593B"/>
    <w:rsid w:val="0AFED610"/>
    <w:rsid w:val="0B3751FD"/>
    <w:rsid w:val="0C5424CB"/>
    <w:rsid w:val="0E3B58D5"/>
    <w:rsid w:val="0E53D597"/>
    <w:rsid w:val="12963E5B"/>
    <w:rsid w:val="131EC1CC"/>
    <w:rsid w:val="1397D74B"/>
    <w:rsid w:val="15D342AD"/>
    <w:rsid w:val="17D6D263"/>
    <w:rsid w:val="19281EB2"/>
    <w:rsid w:val="195061BF"/>
    <w:rsid w:val="1CDAE820"/>
    <w:rsid w:val="1DADADB9"/>
    <w:rsid w:val="1E302023"/>
    <w:rsid w:val="1E37CE68"/>
    <w:rsid w:val="20F68B86"/>
    <w:rsid w:val="258177B1"/>
    <w:rsid w:val="25C23F75"/>
    <w:rsid w:val="293DB0B6"/>
    <w:rsid w:val="2E7F7DCA"/>
    <w:rsid w:val="2F8EAF2D"/>
    <w:rsid w:val="3233C225"/>
    <w:rsid w:val="3254E0F5"/>
    <w:rsid w:val="3391915E"/>
    <w:rsid w:val="33CA1CDB"/>
    <w:rsid w:val="38DCB86E"/>
    <w:rsid w:val="39B9145C"/>
    <w:rsid w:val="3FF91A21"/>
    <w:rsid w:val="438EFFEC"/>
    <w:rsid w:val="44C4E3BD"/>
    <w:rsid w:val="452C6549"/>
    <w:rsid w:val="462D0109"/>
    <w:rsid w:val="47328B14"/>
    <w:rsid w:val="4752F404"/>
    <w:rsid w:val="4B6695C3"/>
    <w:rsid w:val="4C5EA7E7"/>
    <w:rsid w:val="527FC7C3"/>
    <w:rsid w:val="529D82AC"/>
    <w:rsid w:val="53427EBB"/>
    <w:rsid w:val="541CC2C5"/>
    <w:rsid w:val="54715409"/>
    <w:rsid w:val="54A45FEB"/>
    <w:rsid w:val="55DB7C62"/>
    <w:rsid w:val="5C4B0149"/>
    <w:rsid w:val="5F830699"/>
    <w:rsid w:val="6008BA32"/>
    <w:rsid w:val="60D5D98E"/>
    <w:rsid w:val="610C109D"/>
    <w:rsid w:val="618472C1"/>
    <w:rsid w:val="61BA5014"/>
    <w:rsid w:val="6233EA1C"/>
    <w:rsid w:val="623A6796"/>
    <w:rsid w:val="62A77933"/>
    <w:rsid w:val="65CF57C7"/>
    <w:rsid w:val="68E2B3EE"/>
    <w:rsid w:val="6AB28D2A"/>
    <w:rsid w:val="6B3D9185"/>
    <w:rsid w:val="6B806548"/>
    <w:rsid w:val="6F266116"/>
    <w:rsid w:val="74DDED6F"/>
    <w:rsid w:val="7631C333"/>
    <w:rsid w:val="7638C78F"/>
    <w:rsid w:val="78753C5B"/>
    <w:rsid w:val="7973910A"/>
    <w:rsid w:val="7A73BE94"/>
    <w:rsid w:val="7B40AF83"/>
    <w:rsid w:val="7BFEBE20"/>
    <w:rsid w:val="7D431D1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371677C"/>
  <w15:chartTrackingRefBased/>
  <w15:docId w15:val="{9F720C34-DBB4-457D-8445-80DFAEAB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E9D"/>
  </w:style>
  <w:style w:type="paragraph" w:styleId="Heading1">
    <w:name w:val="heading 1"/>
    <w:basedOn w:val="Normal"/>
    <w:next w:val="ParaNum"/>
    <w:link w:val="Heading1Char"/>
    <w:qFormat/>
    <w:rsid w:val="002A2E9D"/>
    <w:pPr>
      <w:keepNext/>
      <w:widowControl w:val="0"/>
      <w:numPr>
        <w:numId w:val="4"/>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basedOn w:val="Normal"/>
    <w:next w:val="ParaNum"/>
    <w:link w:val="Heading2Char"/>
    <w:autoRedefine/>
    <w:qFormat/>
    <w:rsid w:val="001F5957"/>
    <w:pPr>
      <w:keepNext/>
      <w:widowControl w:val="0"/>
      <w:numPr>
        <w:ilvl w:val="1"/>
        <w:numId w:val="4"/>
      </w:numPr>
      <w:spacing w:after="120"/>
      <w:outlineLvl w:val="1"/>
    </w:pPr>
    <w:rPr>
      <w:b/>
      <w:snapToGrid w:val="0"/>
      <w:kern w:val="28"/>
      <w:sz w:val="22"/>
    </w:rPr>
  </w:style>
  <w:style w:type="paragraph" w:styleId="Heading3">
    <w:name w:val="heading 3"/>
    <w:basedOn w:val="Normal"/>
    <w:next w:val="ParaNum"/>
    <w:link w:val="Heading3Char"/>
    <w:qFormat/>
    <w:rsid w:val="002A2E9D"/>
    <w:pPr>
      <w:keepNext/>
      <w:widowControl w:val="0"/>
      <w:numPr>
        <w:ilvl w:val="2"/>
        <w:numId w:val="4"/>
      </w:numPr>
      <w:tabs>
        <w:tab w:val="left" w:pos="2160"/>
      </w:tabs>
      <w:spacing w:after="120"/>
      <w:outlineLvl w:val="2"/>
    </w:pPr>
    <w:rPr>
      <w:b/>
      <w:snapToGrid w:val="0"/>
      <w:kern w:val="28"/>
      <w:sz w:val="22"/>
    </w:rPr>
  </w:style>
  <w:style w:type="paragraph" w:styleId="Heading4">
    <w:name w:val="heading 4"/>
    <w:basedOn w:val="Normal"/>
    <w:next w:val="ParaNum"/>
    <w:link w:val="Heading4Char"/>
    <w:qFormat/>
    <w:rsid w:val="002A2E9D"/>
    <w:pPr>
      <w:keepNext/>
      <w:widowControl w:val="0"/>
      <w:numPr>
        <w:ilvl w:val="3"/>
        <w:numId w:val="4"/>
      </w:numPr>
      <w:tabs>
        <w:tab w:val="left" w:pos="2880"/>
      </w:tabs>
      <w:spacing w:after="120"/>
      <w:outlineLvl w:val="3"/>
    </w:pPr>
    <w:rPr>
      <w:b/>
      <w:snapToGrid w:val="0"/>
      <w:kern w:val="28"/>
      <w:sz w:val="22"/>
    </w:rPr>
  </w:style>
  <w:style w:type="paragraph" w:styleId="Heading5">
    <w:name w:val="heading 5"/>
    <w:basedOn w:val="Normal"/>
    <w:next w:val="ParaNum"/>
    <w:link w:val="Heading5Char"/>
    <w:qFormat/>
    <w:rsid w:val="002A2E9D"/>
    <w:pPr>
      <w:keepNext/>
      <w:widowControl w:val="0"/>
      <w:numPr>
        <w:ilvl w:val="4"/>
        <w:numId w:val="4"/>
      </w:numPr>
      <w:tabs>
        <w:tab w:val="left" w:pos="3600"/>
      </w:tabs>
      <w:suppressAutoHyphens/>
      <w:spacing w:after="120"/>
      <w:outlineLvl w:val="4"/>
    </w:pPr>
    <w:rPr>
      <w:b/>
      <w:snapToGrid w:val="0"/>
      <w:kern w:val="28"/>
      <w:sz w:val="22"/>
    </w:rPr>
  </w:style>
  <w:style w:type="paragraph" w:styleId="Heading6">
    <w:name w:val="heading 6"/>
    <w:basedOn w:val="Normal"/>
    <w:next w:val="ParaNum"/>
    <w:link w:val="Heading6Char"/>
    <w:qFormat/>
    <w:rsid w:val="002A2E9D"/>
    <w:pPr>
      <w:widowControl w:val="0"/>
      <w:numPr>
        <w:ilvl w:val="5"/>
        <w:numId w:val="4"/>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2A2E9D"/>
    <w:pPr>
      <w:widowControl w:val="0"/>
      <w:numPr>
        <w:ilvl w:val="6"/>
        <w:numId w:val="4"/>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2A2E9D"/>
    <w:pPr>
      <w:widowControl w:val="0"/>
      <w:numPr>
        <w:ilvl w:val="7"/>
        <w:numId w:val="4"/>
      </w:numPr>
      <w:tabs>
        <w:tab w:val="clear" w:pos="5400"/>
        <w:tab w:val="left" w:pos="5760"/>
      </w:tabs>
      <w:spacing w:after="120"/>
      <w:ind w:left="5760" w:hanging="720"/>
      <w:outlineLvl w:val="7"/>
    </w:pPr>
    <w:rPr>
      <w:b/>
      <w:snapToGrid w:val="0"/>
      <w:kern w:val="28"/>
      <w:sz w:val="22"/>
    </w:rPr>
  </w:style>
  <w:style w:type="paragraph" w:styleId="Heading9">
    <w:name w:val="heading 9"/>
    <w:basedOn w:val="Normal"/>
    <w:next w:val="ParaNum"/>
    <w:link w:val="Heading9Char"/>
    <w:qFormat/>
    <w:rsid w:val="002A2E9D"/>
    <w:pPr>
      <w:widowControl w:val="0"/>
      <w:numPr>
        <w:ilvl w:val="8"/>
        <w:numId w:val="4"/>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2A2E9D"/>
    <w:rPr>
      <w:rFonts w:ascii="Times New Roman Bold" w:hAnsi="Times New Roman Bold"/>
      <w:b/>
      <w:caps/>
      <w:snapToGrid w:val="0"/>
      <w:kern w:val="28"/>
      <w:sz w:val="22"/>
    </w:rPr>
  </w:style>
  <w:style w:type="character" w:customStyle="1" w:styleId="Heading2Char">
    <w:name w:val="Heading 2 Char"/>
    <w:link w:val="Heading2"/>
    <w:rsid w:val="001F5957"/>
    <w:rPr>
      <w:b/>
      <w:snapToGrid w:val="0"/>
      <w:kern w:val="28"/>
      <w:sz w:val="22"/>
    </w:rPr>
  </w:style>
  <w:style w:type="character" w:customStyle="1" w:styleId="Heading3Char">
    <w:name w:val="Heading 3 Char"/>
    <w:link w:val="Heading3"/>
    <w:rsid w:val="002A2E9D"/>
    <w:rPr>
      <w:b/>
      <w:snapToGrid w:val="0"/>
      <w:kern w:val="28"/>
      <w:sz w:val="22"/>
    </w:rPr>
  </w:style>
  <w:style w:type="character" w:customStyle="1" w:styleId="Heading4Char">
    <w:name w:val="Heading 4 Char"/>
    <w:link w:val="Heading4"/>
    <w:rsid w:val="002A2E9D"/>
    <w:rPr>
      <w:b/>
      <w:snapToGrid w:val="0"/>
      <w:kern w:val="28"/>
      <w:sz w:val="22"/>
    </w:rPr>
  </w:style>
  <w:style w:type="character" w:customStyle="1" w:styleId="Heading5Char">
    <w:name w:val="Heading 5 Char"/>
    <w:link w:val="Heading5"/>
    <w:rsid w:val="002A2E9D"/>
    <w:rPr>
      <w:b/>
      <w:snapToGrid w:val="0"/>
      <w:kern w:val="28"/>
      <w:sz w:val="22"/>
    </w:rPr>
  </w:style>
  <w:style w:type="character" w:customStyle="1" w:styleId="Heading6Char">
    <w:name w:val="Heading 6 Char"/>
    <w:link w:val="Heading6"/>
    <w:rsid w:val="002A2E9D"/>
    <w:rPr>
      <w:b/>
      <w:snapToGrid w:val="0"/>
      <w:kern w:val="28"/>
      <w:sz w:val="22"/>
    </w:rPr>
  </w:style>
  <w:style w:type="character" w:customStyle="1" w:styleId="Heading7Char">
    <w:name w:val="Heading 7 Char"/>
    <w:link w:val="Heading7"/>
    <w:rsid w:val="002A2E9D"/>
    <w:rPr>
      <w:b/>
      <w:snapToGrid w:val="0"/>
      <w:kern w:val="28"/>
      <w:sz w:val="22"/>
    </w:rPr>
  </w:style>
  <w:style w:type="character" w:customStyle="1" w:styleId="Heading8Char">
    <w:name w:val="Heading 8 Char"/>
    <w:link w:val="Heading8"/>
    <w:rsid w:val="002A2E9D"/>
    <w:rPr>
      <w:b/>
      <w:snapToGrid w:val="0"/>
      <w:kern w:val="28"/>
      <w:sz w:val="22"/>
    </w:rPr>
  </w:style>
  <w:style w:type="character" w:customStyle="1" w:styleId="Heading9Char">
    <w:name w:val="Heading 9 Char"/>
    <w:link w:val="Heading9"/>
    <w:rsid w:val="002A2E9D"/>
    <w:rPr>
      <w:b/>
      <w:snapToGrid w:val="0"/>
      <w:kern w:val="28"/>
      <w:sz w:val="22"/>
    </w:rPr>
  </w:style>
  <w:style w:type="character" w:styleId="Hyperlink">
    <w:name w:val="Hyperlink"/>
    <w:rsid w:val="002A2E9D"/>
    <w:rPr>
      <w:color w:val="0000FF"/>
      <w:u w:val="single"/>
    </w:rPr>
  </w:style>
  <w:style w:type="paragraph" w:styleId="DocumentMap">
    <w:name w:val="Document Map"/>
    <w:basedOn w:val="Normal"/>
    <w:link w:val="DocumentMapChar"/>
    <w:semiHidden/>
    <w:rsid w:val="002A2E9D"/>
    <w:pPr>
      <w:shd w:val="clear" w:color="auto" w:fill="000080"/>
    </w:pPr>
    <w:rPr>
      <w:rFonts w:ascii="Tahoma" w:hAnsi="Tahoma" w:cs="Tahoma"/>
    </w:rPr>
  </w:style>
  <w:style w:type="character" w:customStyle="1" w:styleId="DocumentMapChar">
    <w:name w:val="Document Map Char"/>
    <w:link w:val="DocumentMap"/>
    <w:semiHidden/>
    <w:rsid w:val="002A2E9D"/>
    <w:rPr>
      <w:rFonts w:ascii="Tahoma" w:hAnsi="Tahoma" w:cs="Tahoma"/>
      <w:shd w:val="clear" w:color="auto" w:fill="000080"/>
    </w:rPr>
  </w:style>
  <w:style w:type="paragraph" w:styleId="BalloonText">
    <w:name w:val="Balloon Text"/>
    <w:basedOn w:val="Normal"/>
    <w:link w:val="BalloonTextChar"/>
    <w:semiHidden/>
    <w:rsid w:val="002A2E9D"/>
    <w:rPr>
      <w:rFonts w:ascii="Tahoma" w:hAnsi="Tahoma" w:cs="Tahoma"/>
      <w:sz w:val="16"/>
      <w:szCs w:val="16"/>
    </w:rPr>
  </w:style>
  <w:style w:type="character" w:customStyle="1" w:styleId="BalloonTextChar">
    <w:name w:val="Balloon Text Char"/>
    <w:link w:val="BalloonText"/>
    <w:semiHidden/>
    <w:rsid w:val="002A2E9D"/>
    <w:rPr>
      <w:rFonts w:ascii="Tahoma" w:hAnsi="Tahoma" w:cs="Tahoma"/>
      <w:sz w:val="16"/>
      <w:szCs w:val="16"/>
    </w:rPr>
  </w:style>
  <w:style w:type="paragraph" w:styleId="FootnoteText">
    <w:name w:val="footnote text"/>
    <w:aliases w:val="Footnote Text Char Char,Footnote Text Char Char Char Char Char,Footnote Text Char Char2,Footnote Text Char1,Footnote Text Char1 Char Char Char Char Char,Footnote Text Char1 Char2 Char Char,Footnote Text Char2,Footnote Text Char2 Char1 Char"/>
    <w:link w:val="FootnoteTextChar"/>
    <w:rsid w:val="002A2E9D"/>
    <w:pPr>
      <w:spacing w:after="120"/>
    </w:pPr>
  </w:style>
  <w:style w:type="character" w:customStyle="1" w:styleId="FootnoteTextChar">
    <w:name w:val="Footnote Text Char"/>
    <w:aliases w:val="Footnote Text Char Char Char,Footnote Text Char Char Char Char Char Char,Footnote Text Char1 Char,Footnote Text Char1 Char Char Char Char Char Char,Footnote Text Char1 Char2 Char Char Char,Footnote Text Char2 Char1 Char Char"/>
    <w:basedOn w:val="DefaultParagraphFont"/>
    <w:link w:val="FootnoteText"/>
    <w:rsid w:val="002A2E9D"/>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2A2E9D"/>
    <w:rPr>
      <w:rFonts w:ascii="Times New Roman" w:hAnsi="Times New Roman"/>
      <w:dstrike w:val="0"/>
      <w:color w:val="auto"/>
      <w:sz w:val="20"/>
      <w:vertAlign w:val="superscript"/>
    </w:rPr>
  </w:style>
  <w:style w:type="character" w:customStyle="1" w:styleId="FooterChar">
    <w:name w:val="Footer Char"/>
    <w:link w:val="Footer"/>
    <w:uiPriority w:val="99"/>
    <w:rsid w:val="002A2E9D"/>
  </w:style>
  <w:style w:type="paragraph" w:customStyle="1" w:styleId="ParaNum">
    <w:name w:val="ParaNum"/>
    <w:basedOn w:val="Normal"/>
    <w:link w:val="ParaNumChar"/>
    <w:rsid w:val="002A2E9D"/>
    <w:pPr>
      <w:widowControl w:val="0"/>
      <w:numPr>
        <w:numId w:val="2"/>
      </w:numPr>
      <w:tabs>
        <w:tab w:val="left" w:pos="1440"/>
      </w:tabs>
      <w:spacing w:after="220"/>
      <w:jc w:val="both"/>
    </w:pPr>
    <w:rPr>
      <w:sz w:val="22"/>
    </w:rPr>
  </w:style>
  <w:style w:type="character" w:styleId="CommentReference">
    <w:name w:val="annotation reference"/>
    <w:rsid w:val="002A2E9D"/>
    <w:rPr>
      <w:sz w:val="16"/>
      <w:szCs w:val="16"/>
    </w:rPr>
  </w:style>
  <w:style w:type="paragraph" w:styleId="CommentText">
    <w:name w:val="annotation text"/>
    <w:basedOn w:val="Normal"/>
    <w:link w:val="CommentTextChar"/>
    <w:rsid w:val="002A2E9D"/>
  </w:style>
  <w:style w:type="character" w:customStyle="1" w:styleId="CommentTextChar">
    <w:name w:val="Comment Text Char"/>
    <w:basedOn w:val="DefaultParagraphFont"/>
    <w:link w:val="CommentText"/>
    <w:rsid w:val="002A2E9D"/>
  </w:style>
  <w:style w:type="paragraph" w:styleId="CommentSubject">
    <w:name w:val="annotation subject"/>
    <w:basedOn w:val="CommentText"/>
    <w:next w:val="CommentText"/>
    <w:link w:val="CommentSubjectChar"/>
    <w:rsid w:val="002A2E9D"/>
    <w:rPr>
      <w:b/>
      <w:bCs/>
    </w:rPr>
  </w:style>
  <w:style w:type="character" w:customStyle="1" w:styleId="CommentSubjectChar">
    <w:name w:val="Comment Subject Char"/>
    <w:link w:val="CommentSubject"/>
    <w:rsid w:val="002A2E9D"/>
    <w:rPr>
      <w:b/>
      <w:bCs/>
    </w:rPr>
  </w:style>
  <w:style w:type="character" w:customStyle="1" w:styleId="ParaNumChar">
    <w:name w:val="ParaNum Char"/>
    <w:link w:val="ParaNum"/>
    <w:rsid w:val="002A2E9D"/>
    <w:rPr>
      <w:sz w:val="22"/>
    </w:rPr>
  </w:style>
  <w:style w:type="table" w:styleId="TableGrid">
    <w:name w:val="Table Grid"/>
    <w:basedOn w:val="TableNormal"/>
    <w:rsid w:val="002A2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E9D"/>
  </w:style>
  <w:style w:type="character" w:styleId="UnresolvedMention">
    <w:name w:val="Unresolved Mention"/>
    <w:uiPriority w:val="99"/>
    <w:semiHidden/>
    <w:unhideWhenUsed/>
    <w:rsid w:val="002A2E9D"/>
    <w:rPr>
      <w:color w:val="605E5C"/>
      <w:shd w:val="clear" w:color="auto" w:fill="E1DFDD"/>
    </w:rPr>
  </w:style>
  <w:style w:type="character" w:styleId="FollowedHyperlink">
    <w:name w:val="FollowedHyperlink"/>
    <w:rsid w:val="002A2E9D"/>
    <w:rPr>
      <w:color w:val="954F72"/>
      <w:u w:val="single"/>
    </w:rPr>
  </w:style>
  <w:style w:type="character" w:customStyle="1" w:styleId="HeaderChar">
    <w:name w:val="Header Char"/>
    <w:basedOn w:val="DefaultParagraphFont"/>
    <w:link w:val="Header"/>
    <w:uiPriority w:val="99"/>
    <w:rsid w:val="00C67C93"/>
  </w:style>
  <w:style w:type="character" w:customStyle="1" w:styleId="cf01">
    <w:name w:val="cf01"/>
    <w:basedOn w:val="DefaultParagraphFont"/>
    <w:rsid w:val="00B90FF9"/>
    <w:rPr>
      <w:rFonts w:ascii="Segoe UI" w:hAnsi="Segoe UI" w:cs="Segoe UI" w:hint="default"/>
      <w:sz w:val="18"/>
      <w:szCs w:val="18"/>
    </w:rPr>
  </w:style>
  <w:style w:type="character" w:customStyle="1" w:styleId="normaltextrun">
    <w:name w:val="normaltextrun"/>
    <w:basedOn w:val="DefaultParagraphFont"/>
    <w:rsid w:val="00E27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document/102590086305/1" TargetMode="External" /><Relationship Id="rId11" Type="http://schemas.openxmlformats.org/officeDocument/2006/relationships/hyperlink" Target="https://wireless2.fcc.gov/UlsEntry/attachments/attachmentViewRD.jsp?applType=search&amp;fileKey=1683598620&amp;attachmentKey=21891128&amp;attachmentInd=applAttach" TargetMode="External" /><Relationship Id="rId12" Type="http://schemas.openxmlformats.org/officeDocument/2006/relationships/hyperlink" Target="https://wireless2.fcc.gov/UlsEntry/attachments/attachmentViewRD.jsp;ATTACHMENTS=iTbr3WoO4mRjJIQ3q7L1avumWKcLnjluQAXD7ibxpBAK1NojldM3!1143847039!-1782758212?applType=search&amp;fileKey=236423925&amp;attachmentKey=21929989&amp;attachmentInd=applAttach." TargetMode="External" /><Relationship Id="rId13" Type="http://schemas.openxmlformats.org/officeDocument/2006/relationships/hyperlink" Target="https://wireless2.fcc.gov/UlsEntry/attachments/attachmentViewRD.jsp?applType=search&amp;fileKey=405721612&amp;attachmentKey=21929320&amp;attachmentInd=applAttach" TargetMode="External" /><Relationship Id="rId14" Type="http://schemas.openxmlformats.org/officeDocument/2006/relationships/hyperlink" Target="https://www.fcc.gov/ecfs/document/10226364603192/1" TargetMode="External" /><Relationship Id="rId15" Type="http://schemas.openxmlformats.org/officeDocument/2006/relationships/hyperlink" Target="https://www.fcc.gov/ecfs/document/1020803421843/1"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document/12270443126582/1" TargetMode="External" /><Relationship Id="rId6" Type="http://schemas.openxmlformats.org/officeDocument/2006/relationships/hyperlink" Target="https://www.fcc.gov/ecfs/document/122212361623/1" TargetMode="External" /><Relationship Id="rId7" Type="http://schemas.openxmlformats.org/officeDocument/2006/relationships/hyperlink" Target="https://www.fcc.gov/ecfs/document/112832256890/1" TargetMode="External" /><Relationship Id="rId8" Type="http://schemas.openxmlformats.org/officeDocument/2006/relationships/hyperlink" Target="https://www.fcc.gov/ecfs/document/1012352190998/1" TargetMode="External" /><Relationship Id="rId9" Type="http://schemas.openxmlformats.org/officeDocument/2006/relationships/hyperlink" Target="https://www.fcc.gov/ecfs/document/11031027100550/1"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e/download/DOC-5f6d7d2ef3400000-A.pdf?file_name=C-V2X%20Waiver%20Request%2012%2013%202021.pdf" TargetMode="External" /><Relationship Id="rId2" Type="http://schemas.openxmlformats.org/officeDocument/2006/relationships/hyperlink" Target="https://www.fcc.gov/ecfs/document/104201266008794/1" TargetMode="External" /><Relationship Id="rId3" Type="http://schemas.openxmlformats.org/officeDocument/2006/relationships/hyperlink" Target="https://apps.fcc.gov/kdb/GetAttachment.html?id=5m6oR6KDhbJxMXfjmHnlSw%3D%3D&amp;desc=511808%20D01%20C-V2X%20Waiver%20v01&amp;tracking_number=338915"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