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757CC6CC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4EE364F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04A51E18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4D802156" w14:textId="77777777"/>
    <w:p w:rsidR="004C2EE3" w:rsidP="0070224F" w14:paraId="478BB6EF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61B91EAE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55F5CEB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5208C8F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685E324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Resilient Networks</w:t>
            </w:r>
          </w:p>
          <w:p w:rsidR="00823837" w:rsidP="007115F7" w14:paraId="36ED482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23837" w:rsidP="007115F7" w14:paraId="22924DAB" w14:textId="507868A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Amendment to Part 4 of the </w:t>
            </w:r>
            <w:r w:rsidR="003721F4">
              <w:rPr>
                <w:spacing w:val="-2"/>
              </w:rPr>
              <w:t>Commission’s Rules</w:t>
            </w:r>
          </w:p>
          <w:p w:rsidR="00823837" w:rsidP="007115F7" w14:paraId="1A5B3D9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Concerning</w:t>
            </w:r>
            <w:r w:rsidR="00765B49">
              <w:rPr>
                <w:spacing w:val="-2"/>
              </w:rPr>
              <w:t xml:space="preserve"> Disruptions to Communications</w:t>
            </w:r>
          </w:p>
          <w:p w:rsidR="00765B49" w:rsidP="007115F7" w14:paraId="67C2739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65B49" w:rsidP="007115F7" w14:paraId="6A86F6E1" w14:textId="70B5A83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New Part 4 of the Commission’s Rules Concerning</w:t>
            </w:r>
          </w:p>
          <w:p w:rsidR="00083E7A" w:rsidRPr="007115F7" w:rsidP="007115F7" w14:paraId="36121D7F" w14:textId="269999E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Disruptions to Communications</w:t>
            </w:r>
          </w:p>
        </w:tc>
        <w:tc>
          <w:tcPr>
            <w:tcW w:w="630" w:type="dxa"/>
          </w:tcPr>
          <w:p w:rsidR="004C2EE3" w14:paraId="7002575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4DDAC6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72ABDC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7246EF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23837" w14:paraId="47E9B50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65B49" w14:paraId="0DF5B63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65B49" w14:paraId="03FEB88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3161AD" w14:paraId="6005BDC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809E1" w14:paraId="695325B1" w14:textId="35D9E64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3161AD" w:rsidRPr="00F43177" w14:paraId="74F61CD2" w14:textId="5DFA1BD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 w14:paraId="20BC93B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7D7B647C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60DD1D9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PS Docket No. 21-346</w:t>
            </w:r>
          </w:p>
          <w:p w:rsidR="003161AD" w14:paraId="06EF6B2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161AD" w14:paraId="32B492B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PS Docket No. 15-80</w:t>
            </w:r>
          </w:p>
          <w:p w:rsidR="00083E7A" w14:paraId="5696B04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83E7A" w14:paraId="2213550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83E7A" w14:paraId="01CAF22B" w14:textId="50D051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 Docket No. 04-35</w:t>
            </w:r>
          </w:p>
        </w:tc>
      </w:tr>
    </w:tbl>
    <w:p w:rsidR="004C2EE3" w:rsidP="0070224F" w14:paraId="15DAE8DC" w14:textId="6EB4976A"/>
    <w:p w:rsidR="00841AB1" w:rsidP="00F021FA" w14:paraId="0A23FCC4" w14:textId="193DF28A">
      <w:pPr>
        <w:pStyle w:val="StyleBoldCentered"/>
      </w:pPr>
      <w:r>
        <w:t>order</w:t>
      </w:r>
      <w:r w:rsidR="00863E15">
        <w:t xml:space="preserve"> GRANTING EXTENSION OF TIME</w:t>
      </w:r>
    </w:p>
    <w:p w:rsidR="004C2EE3" w14:paraId="21A4B190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463CAA4B" w14:textId="1D0DD9D4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4D6252">
        <w:rPr>
          <w:b/>
          <w:spacing w:val="-2"/>
        </w:rPr>
        <w:t xml:space="preserve">April </w:t>
      </w:r>
      <w:r w:rsidR="000616FA">
        <w:rPr>
          <w:b/>
          <w:spacing w:val="-2"/>
        </w:rPr>
        <w:t>22</w:t>
      </w:r>
      <w:r w:rsidR="00BE42C3">
        <w:rPr>
          <w:b/>
          <w:spacing w:val="-2"/>
        </w:rPr>
        <w:t>, 202</w:t>
      </w:r>
      <w:r w:rsidR="004D6252">
        <w:rPr>
          <w:b/>
          <w:spacing w:val="-2"/>
        </w:rPr>
        <w:t>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4D6252">
        <w:rPr>
          <w:b/>
          <w:spacing w:val="-2"/>
        </w:rPr>
        <w:t xml:space="preserve">April </w:t>
      </w:r>
      <w:r w:rsidR="000616FA">
        <w:rPr>
          <w:b/>
          <w:spacing w:val="-2"/>
        </w:rPr>
        <w:t>23</w:t>
      </w:r>
      <w:r w:rsidR="00BE42C3">
        <w:rPr>
          <w:b/>
          <w:spacing w:val="-2"/>
        </w:rPr>
        <w:t>, 202</w:t>
      </w:r>
      <w:r w:rsidR="004D6252">
        <w:rPr>
          <w:b/>
          <w:spacing w:val="-2"/>
        </w:rPr>
        <w:t>4</w:t>
      </w:r>
    </w:p>
    <w:p w:rsidR="00822CE0" w14:paraId="205DD5F1" w14:textId="77777777"/>
    <w:p w:rsidR="00D83570" w:rsidRPr="00A55513" w:rsidP="00D83570" w14:paraId="2129AB5B" w14:textId="7C21ACA1">
      <w:pPr>
        <w:rPr>
          <w:b/>
          <w:szCs w:val="22"/>
        </w:rPr>
      </w:pPr>
      <w:r w:rsidRPr="00A55513">
        <w:rPr>
          <w:b/>
          <w:szCs w:val="22"/>
        </w:rPr>
        <w:t xml:space="preserve">Revised Comment Date: </w:t>
      </w:r>
      <w:r w:rsidR="004809E1">
        <w:rPr>
          <w:b/>
          <w:szCs w:val="22"/>
        </w:rPr>
        <w:t xml:space="preserve">May </w:t>
      </w:r>
      <w:r w:rsidRPr="00A55513">
        <w:rPr>
          <w:b/>
          <w:szCs w:val="22"/>
        </w:rPr>
        <w:t>13, 202</w:t>
      </w:r>
      <w:r w:rsidR="004809E1">
        <w:rPr>
          <w:b/>
          <w:szCs w:val="22"/>
        </w:rPr>
        <w:t>4</w:t>
      </w:r>
    </w:p>
    <w:p w:rsidR="00F43177" w14:paraId="1C2B992A" w14:textId="773369CB">
      <w:pPr>
        <w:rPr>
          <w:b/>
          <w:szCs w:val="22"/>
        </w:rPr>
      </w:pPr>
      <w:r w:rsidRPr="00A55513">
        <w:rPr>
          <w:b/>
          <w:szCs w:val="22"/>
        </w:rPr>
        <w:t xml:space="preserve">Revised Reply Comment Date: </w:t>
      </w:r>
      <w:r w:rsidR="00CB407B">
        <w:rPr>
          <w:b/>
          <w:szCs w:val="22"/>
        </w:rPr>
        <w:t>June 1</w:t>
      </w:r>
      <w:r w:rsidR="00B16522">
        <w:rPr>
          <w:b/>
          <w:szCs w:val="22"/>
        </w:rPr>
        <w:t>2</w:t>
      </w:r>
      <w:r w:rsidRPr="00A55513">
        <w:rPr>
          <w:b/>
          <w:szCs w:val="22"/>
        </w:rPr>
        <w:t>, 202</w:t>
      </w:r>
      <w:r w:rsidR="00CB407B">
        <w:rPr>
          <w:b/>
          <w:szCs w:val="22"/>
        </w:rPr>
        <w:t>4</w:t>
      </w:r>
    </w:p>
    <w:p w:rsidR="00863E15" w14:paraId="6237BC1C" w14:textId="77777777">
      <w:pPr>
        <w:rPr>
          <w:b/>
          <w:szCs w:val="22"/>
        </w:rPr>
      </w:pPr>
    </w:p>
    <w:p w:rsidR="00863E15" w:rsidP="00863E15" w14:paraId="29F1FFDC" w14:textId="77777777">
      <w:pPr>
        <w:rPr>
          <w:spacing w:val="-2"/>
        </w:rPr>
      </w:pPr>
      <w:r>
        <w:t xml:space="preserve">By the </w:t>
      </w:r>
      <w:r>
        <w:rPr>
          <w:spacing w:val="-2"/>
        </w:rPr>
        <w:t>Chief, Public Safety and Homeland Security Bureau:</w:t>
      </w:r>
    </w:p>
    <w:p w:rsidR="00863E15" w:rsidRPr="00D83570" w14:paraId="69C48FD3" w14:textId="77777777">
      <w:pPr>
        <w:rPr>
          <w:b/>
          <w:szCs w:val="22"/>
        </w:rPr>
      </w:pPr>
    </w:p>
    <w:p w:rsidR="00D83570" w:rsidP="00D83570" w14:paraId="3E63FC06" w14:textId="2A58FC29">
      <w:pPr>
        <w:pStyle w:val="ParaNum"/>
      </w:pPr>
      <w:r>
        <w:t xml:space="preserve">On </w:t>
      </w:r>
      <w:bookmarkStart w:id="0" w:name="_Hlk130392076"/>
      <w:r>
        <w:t xml:space="preserve">January </w:t>
      </w:r>
      <w:r w:rsidR="00CB407B">
        <w:t>26</w:t>
      </w:r>
      <w:r>
        <w:t>, 202</w:t>
      </w:r>
      <w:bookmarkEnd w:id="0"/>
      <w:r w:rsidR="00CB407B">
        <w:t>4</w:t>
      </w:r>
      <w:r>
        <w:t>, the Commission released a Se</w:t>
      </w:r>
      <w:r w:rsidR="00F453F4">
        <w:t>cond Re</w:t>
      </w:r>
      <w:r w:rsidR="002B5863">
        <w:t xml:space="preserve">port and Order and Second Further Notice of Proposed </w:t>
      </w:r>
      <w:r w:rsidR="005C7BC6">
        <w:t>Rulemaking</w:t>
      </w:r>
      <w:r>
        <w:t xml:space="preserve"> (</w:t>
      </w:r>
      <w:r w:rsidRPr="00964280" w:rsidR="00964280">
        <w:rPr>
          <w:i/>
          <w:iCs/>
        </w:rPr>
        <w:t>F</w:t>
      </w:r>
      <w:r w:rsidR="002823F0">
        <w:rPr>
          <w:i/>
          <w:iCs/>
        </w:rPr>
        <w:t>NPRM</w:t>
      </w:r>
      <w:r>
        <w:t>) in the above captioned proceeding</w:t>
      </w:r>
      <w:r w:rsidR="00596555">
        <w:t xml:space="preserve"> </w:t>
      </w:r>
      <w:r w:rsidR="006F12C1">
        <w:t xml:space="preserve">to consider </w:t>
      </w:r>
      <w:r w:rsidR="001F2770">
        <w:t>ad</w:t>
      </w:r>
      <w:r w:rsidR="00764215">
        <w:t xml:space="preserve">ditional </w:t>
      </w:r>
      <w:r w:rsidR="00A1345C">
        <w:t>Network Outage Reporting System (</w:t>
      </w:r>
      <w:r w:rsidR="003D4CA4">
        <w:t>NORS</w:t>
      </w:r>
      <w:r w:rsidR="00A1345C">
        <w:t>)</w:t>
      </w:r>
      <w:r w:rsidR="003D4CA4">
        <w:t xml:space="preserve"> and</w:t>
      </w:r>
      <w:r w:rsidR="00984AE7">
        <w:t>/or</w:t>
      </w:r>
      <w:r w:rsidR="003D4CA4">
        <w:t xml:space="preserve"> </w:t>
      </w:r>
      <w:r w:rsidR="00BD6781">
        <w:t>Disaster Information Reporting System</w:t>
      </w:r>
      <w:r w:rsidR="009226C3">
        <w:t xml:space="preserve"> (</w:t>
      </w:r>
      <w:r w:rsidR="003D4CA4">
        <w:t>DIRS</w:t>
      </w:r>
      <w:r w:rsidR="009226C3">
        <w:t>)</w:t>
      </w:r>
      <w:r w:rsidR="003D4CA4">
        <w:t xml:space="preserve"> reporting </w:t>
      </w:r>
      <w:r w:rsidR="00984AE7">
        <w:t xml:space="preserve">obligations </w:t>
      </w:r>
      <w:r w:rsidR="001F2770">
        <w:t>for broadcast</w:t>
      </w:r>
      <w:r w:rsidR="00984AE7">
        <w:t xml:space="preserve"> entities, satellite providers, </w:t>
      </w:r>
      <w:r w:rsidR="003E64B5">
        <w:t xml:space="preserve">FirstNet, and broadband Internet access service </w:t>
      </w:r>
      <w:r w:rsidR="009226C3">
        <w:t xml:space="preserve">(BIAS) </w:t>
      </w:r>
      <w:r w:rsidR="003E64B5">
        <w:t>providers.</w:t>
      </w:r>
      <w:r>
        <w:rPr>
          <w:rStyle w:val="FootnoteReference"/>
        </w:rPr>
        <w:footnoteReference w:id="3"/>
      </w:r>
      <w:r>
        <w:t xml:space="preserve">  </w:t>
      </w:r>
      <w:r w:rsidR="001E0977">
        <w:t>A summary of t</w:t>
      </w:r>
      <w:r>
        <w:t>he</w:t>
      </w:r>
      <w:r w:rsidR="00D008F4">
        <w:t xml:space="preserve"> </w:t>
      </w:r>
      <w:r w:rsidR="00693B5F">
        <w:rPr>
          <w:i/>
          <w:iCs/>
        </w:rPr>
        <w:t>FNPRM</w:t>
      </w:r>
      <w:r>
        <w:t xml:space="preserve"> was published in the Federal Register on </w:t>
      </w:r>
      <w:r w:rsidR="00206205">
        <w:t>March 29, 2024,</w:t>
      </w:r>
      <w:r>
        <w:t xml:space="preserve"> establishing the comment due date of </w:t>
      </w:r>
      <w:r w:rsidR="00D008F4">
        <w:t>April 29, 2024</w:t>
      </w:r>
      <w:r>
        <w:t xml:space="preserve"> and reply comment due date of May </w:t>
      </w:r>
      <w:r w:rsidR="00FF34B1">
        <w:t>29, 2024</w:t>
      </w:r>
      <w:r>
        <w:t>.</w:t>
      </w:r>
      <w:r>
        <w:rPr>
          <w:rStyle w:val="FootnoteReference"/>
        </w:rPr>
        <w:footnoteReference w:id="4"/>
      </w:r>
      <w:r>
        <w:t xml:space="preserve">  On </w:t>
      </w:r>
      <w:r w:rsidR="002823F0">
        <w:t>April 16, 2024</w:t>
      </w:r>
      <w:r>
        <w:t xml:space="preserve">, </w:t>
      </w:r>
      <w:r w:rsidR="004A55FD">
        <w:t>five</w:t>
      </w:r>
      <w:r>
        <w:t xml:space="preserve"> parties</w:t>
      </w:r>
      <w:r>
        <w:rPr>
          <w:rStyle w:val="FootnoteReference"/>
        </w:rPr>
        <w:footnoteReference w:id="5"/>
      </w:r>
      <w:r>
        <w:t xml:space="preserve"> jointly requested a </w:t>
      </w:r>
      <w:r w:rsidR="00354689">
        <w:t>14-day</w:t>
      </w:r>
      <w:r>
        <w:t xml:space="preserve"> extension of the comment</w:t>
      </w:r>
      <w:r w:rsidR="00354689">
        <w:t xml:space="preserve"> and reply comment</w:t>
      </w:r>
      <w:r>
        <w:t xml:space="preserve"> deadline</w:t>
      </w:r>
      <w:r w:rsidR="00354689">
        <w:t>s</w:t>
      </w:r>
      <w:r>
        <w:t xml:space="preserve"> </w:t>
      </w:r>
      <w:r w:rsidR="00662411">
        <w:t xml:space="preserve">(1) </w:t>
      </w:r>
      <w:r>
        <w:t xml:space="preserve">to allow interested parties sufficient time to </w:t>
      </w:r>
      <w:r w:rsidR="00AC4793">
        <w:t xml:space="preserve">review the </w:t>
      </w:r>
      <w:r w:rsidR="001200C9">
        <w:t>Commission</w:t>
      </w:r>
      <w:r w:rsidR="00EC147C">
        <w:t>’s</w:t>
      </w:r>
      <w:r w:rsidR="001200C9">
        <w:t xml:space="preserve"> </w:t>
      </w:r>
      <w:r w:rsidR="00E27275">
        <w:t xml:space="preserve">order </w:t>
      </w:r>
      <w:r w:rsidR="005971FC">
        <w:t xml:space="preserve">reclassifying </w:t>
      </w:r>
      <w:r w:rsidR="00602284">
        <w:t>broadband as a Title II service</w:t>
      </w:r>
      <w:r w:rsidR="00AF4AF2">
        <w:t xml:space="preserve"> </w:t>
      </w:r>
      <w:r w:rsidR="00602284">
        <w:t xml:space="preserve">which is scheduled to be voted upon at the Commission’s April 25, 2024 </w:t>
      </w:r>
      <w:r w:rsidR="00662411">
        <w:t>agenda meeting</w:t>
      </w:r>
      <w:r w:rsidR="004E57D4">
        <w:t xml:space="preserve">; and (2) </w:t>
      </w:r>
      <w:r w:rsidR="008E4DCE">
        <w:t xml:space="preserve">to avoid </w:t>
      </w:r>
      <w:r w:rsidR="00EA59CC">
        <w:t>conflict</w:t>
      </w:r>
      <w:r w:rsidR="0014035E">
        <w:t xml:space="preserve"> with </w:t>
      </w:r>
      <w:r w:rsidR="009E132C">
        <w:t xml:space="preserve">the </w:t>
      </w:r>
      <w:r w:rsidR="0014035E">
        <w:t xml:space="preserve">Passover </w:t>
      </w:r>
      <w:r w:rsidR="009E132C">
        <w:t xml:space="preserve">holiday </w:t>
      </w:r>
      <w:r w:rsidR="0014035E">
        <w:t xml:space="preserve">which falls over a large portion of the </w:t>
      </w:r>
      <w:r w:rsidRPr="009159AD" w:rsidR="009159AD">
        <w:rPr>
          <w:i/>
          <w:iCs/>
        </w:rPr>
        <w:t>FNPRM</w:t>
      </w:r>
      <w:r w:rsidR="009159AD">
        <w:t xml:space="preserve"> </w:t>
      </w:r>
      <w:r w:rsidR="0014035E">
        <w:t>comment period</w:t>
      </w:r>
      <w:r w:rsidR="00662411">
        <w:t>.</w:t>
      </w:r>
      <w:r>
        <w:rPr>
          <w:rStyle w:val="FootnoteReference"/>
        </w:rPr>
        <w:footnoteReference w:id="6"/>
      </w:r>
      <w:r>
        <w:t xml:space="preserve">  </w:t>
      </w:r>
    </w:p>
    <w:p w:rsidR="00D83570" w:rsidP="00D83570" w14:paraId="02394DFE" w14:textId="3DC98726">
      <w:pPr>
        <w:pStyle w:val="ParaNum"/>
      </w:pPr>
      <w:r>
        <w:rPr>
          <w:szCs w:val="22"/>
        </w:rPr>
        <w:t>We grant a 14-day extension of the time to file comments and reply comments in this proceeding</w:t>
      </w:r>
      <w:r w:rsidR="00A87C0A">
        <w:rPr>
          <w:szCs w:val="22"/>
        </w:rPr>
        <w:t xml:space="preserve"> to afford </w:t>
      </w:r>
      <w:r w:rsidR="0005070B">
        <w:rPr>
          <w:szCs w:val="22"/>
        </w:rPr>
        <w:t xml:space="preserve">interested parties </w:t>
      </w:r>
      <w:r w:rsidR="001A06C5">
        <w:rPr>
          <w:szCs w:val="22"/>
        </w:rPr>
        <w:t xml:space="preserve">a full </w:t>
      </w:r>
      <w:r w:rsidR="0005070B">
        <w:rPr>
          <w:szCs w:val="22"/>
        </w:rPr>
        <w:t xml:space="preserve">opportunity </w:t>
      </w:r>
      <w:r w:rsidR="001A06C5">
        <w:rPr>
          <w:szCs w:val="22"/>
        </w:rPr>
        <w:t xml:space="preserve">to </w:t>
      </w:r>
      <w:r w:rsidR="001E4615">
        <w:rPr>
          <w:szCs w:val="22"/>
        </w:rPr>
        <w:t>consider</w:t>
      </w:r>
      <w:r w:rsidR="004128DA">
        <w:rPr>
          <w:szCs w:val="22"/>
        </w:rPr>
        <w:t xml:space="preserve"> </w:t>
      </w:r>
      <w:r w:rsidR="001A06C5">
        <w:rPr>
          <w:szCs w:val="22"/>
        </w:rPr>
        <w:t xml:space="preserve">the </w:t>
      </w:r>
      <w:r w:rsidR="001A06C5">
        <w:rPr>
          <w:i/>
          <w:iCs/>
          <w:szCs w:val="22"/>
        </w:rPr>
        <w:t>FNPRM</w:t>
      </w:r>
      <w:r w:rsidR="001A06C5">
        <w:rPr>
          <w:szCs w:val="22"/>
        </w:rPr>
        <w:t>’s</w:t>
      </w:r>
      <w:r w:rsidR="001A06C5">
        <w:rPr>
          <w:i/>
          <w:iCs/>
          <w:szCs w:val="22"/>
        </w:rPr>
        <w:t xml:space="preserve"> </w:t>
      </w:r>
      <w:r w:rsidR="001A06C5">
        <w:rPr>
          <w:szCs w:val="22"/>
        </w:rPr>
        <w:t>proposed</w:t>
      </w:r>
      <w:r w:rsidR="004128DA">
        <w:rPr>
          <w:szCs w:val="22"/>
        </w:rPr>
        <w:t xml:space="preserve"> NORS and </w:t>
      </w:r>
      <w:r w:rsidR="004128DA">
        <w:rPr>
          <w:szCs w:val="22"/>
        </w:rPr>
        <w:t xml:space="preserve">DIRS </w:t>
      </w:r>
      <w:r w:rsidR="00A15FCB">
        <w:rPr>
          <w:szCs w:val="22"/>
        </w:rPr>
        <w:t xml:space="preserve">reporting obligations </w:t>
      </w:r>
      <w:r w:rsidR="00534B69">
        <w:rPr>
          <w:szCs w:val="22"/>
        </w:rPr>
        <w:t>for BIAS</w:t>
      </w:r>
      <w:r w:rsidR="00D159F0">
        <w:rPr>
          <w:szCs w:val="22"/>
        </w:rPr>
        <w:t xml:space="preserve"> providers</w:t>
      </w:r>
      <w:r w:rsidRPr="001A06C5" w:rsidR="001A06C5">
        <w:rPr>
          <w:szCs w:val="22"/>
        </w:rPr>
        <w:t xml:space="preserve"> </w:t>
      </w:r>
      <w:r w:rsidR="001A06C5">
        <w:rPr>
          <w:szCs w:val="22"/>
        </w:rPr>
        <w:t xml:space="preserve">in light of the draft </w:t>
      </w:r>
      <w:r w:rsidRPr="00E43726" w:rsidR="001A06C5">
        <w:rPr>
          <w:i/>
          <w:iCs/>
          <w:szCs w:val="22"/>
        </w:rPr>
        <w:t>Open Internet Order</w:t>
      </w:r>
      <w:r w:rsidR="001A06C5">
        <w:rPr>
          <w:szCs w:val="22"/>
        </w:rPr>
        <w:t>’s reclassification of broadband as a Title II service</w:t>
      </w:r>
      <w:r w:rsidR="00534B69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534B69">
        <w:rPr>
          <w:szCs w:val="22"/>
        </w:rPr>
        <w:t xml:space="preserve">  </w:t>
      </w:r>
      <w:r>
        <w:rPr>
          <w:szCs w:val="22"/>
        </w:rPr>
        <w:t>It</w:t>
      </w:r>
      <w:r w:rsidRPr="008635E4">
        <w:rPr>
          <w:szCs w:val="22"/>
        </w:rPr>
        <w:t xml:space="preserve"> is the general policy of the Commission that extensions of time shall not be routinely granted.</w:t>
      </w:r>
      <w:r>
        <w:rPr>
          <w:szCs w:val="22"/>
          <w:vertAlign w:val="superscript"/>
        </w:rPr>
        <w:footnoteReference w:id="8"/>
      </w:r>
      <w:r w:rsidRPr="008635E4">
        <w:rPr>
          <w:szCs w:val="22"/>
        </w:rPr>
        <w:t xml:space="preserve">  </w:t>
      </w:r>
      <w:r w:rsidR="006C78BE">
        <w:rPr>
          <w:szCs w:val="22"/>
        </w:rPr>
        <w:t>Petitioners observe</w:t>
      </w:r>
      <w:r w:rsidR="009B3A36">
        <w:rPr>
          <w:szCs w:val="22"/>
        </w:rPr>
        <w:t xml:space="preserve"> that</w:t>
      </w:r>
      <w:r w:rsidR="006C78BE">
        <w:rPr>
          <w:szCs w:val="22"/>
        </w:rPr>
        <w:t xml:space="preserve"> “</w:t>
      </w:r>
      <w:r w:rsidR="00CB1728">
        <w:rPr>
          <w:szCs w:val="22"/>
        </w:rPr>
        <w:t>[a] brief delay of two weeks will permit parties to review the [</w:t>
      </w:r>
      <w:r w:rsidRPr="00A055D4" w:rsidR="00CB1728">
        <w:rPr>
          <w:i/>
          <w:iCs/>
          <w:szCs w:val="22"/>
        </w:rPr>
        <w:t>Open Internet Order</w:t>
      </w:r>
      <w:r w:rsidR="00CB1728">
        <w:rPr>
          <w:szCs w:val="22"/>
        </w:rPr>
        <w:t>]</w:t>
      </w:r>
      <w:r w:rsidR="009E466F">
        <w:rPr>
          <w:szCs w:val="22"/>
        </w:rPr>
        <w:t>, and reflect the legal authorities and discussion relating to net</w:t>
      </w:r>
      <w:r w:rsidR="00DF5EAB">
        <w:rPr>
          <w:szCs w:val="22"/>
        </w:rPr>
        <w:t xml:space="preserve">work </w:t>
      </w:r>
      <w:r w:rsidR="0062341D">
        <w:rPr>
          <w:szCs w:val="22"/>
        </w:rPr>
        <w:t>resiliency</w:t>
      </w:r>
      <w:r w:rsidR="000F56EB">
        <w:rPr>
          <w:szCs w:val="22"/>
        </w:rPr>
        <w:t>…</w:t>
      </w:r>
      <w:r w:rsidR="001679C9">
        <w:rPr>
          <w:szCs w:val="22"/>
        </w:rPr>
        <w:t>.</w:t>
      </w:r>
      <w:r w:rsidR="00D24B15">
        <w:rPr>
          <w:szCs w:val="22"/>
        </w:rPr>
        <w:t>”</w:t>
      </w:r>
      <w:r>
        <w:rPr>
          <w:rStyle w:val="FootnoteReference"/>
          <w:szCs w:val="22"/>
        </w:rPr>
        <w:footnoteReference w:id="9"/>
      </w:r>
      <w:r w:rsidR="008A6D2A">
        <w:rPr>
          <w:szCs w:val="22"/>
        </w:rPr>
        <w:t xml:space="preserve">  </w:t>
      </w:r>
      <w:r>
        <w:t xml:space="preserve">Based on the </w:t>
      </w:r>
      <w:r w:rsidR="00CE1EEA">
        <w:t xml:space="preserve">Petitioners’ </w:t>
      </w:r>
      <w:r>
        <w:t>argument</w:t>
      </w:r>
      <w:r w:rsidR="008423A6">
        <w:t xml:space="preserve"> that the </w:t>
      </w:r>
      <w:r w:rsidR="00BD1727">
        <w:t xml:space="preserve">vote on the </w:t>
      </w:r>
      <w:r w:rsidRPr="00C92CD9" w:rsidR="00BD1727">
        <w:rPr>
          <w:i/>
          <w:iCs/>
        </w:rPr>
        <w:t>Open Internet Order</w:t>
      </w:r>
      <w:r w:rsidR="00BD1727">
        <w:t xml:space="preserve"> is so close to the </w:t>
      </w:r>
      <w:r w:rsidRPr="00CC2BA2" w:rsidR="00CC2BA2">
        <w:rPr>
          <w:i/>
          <w:iCs/>
        </w:rPr>
        <w:t>FNPRM</w:t>
      </w:r>
      <w:r w:rsidR="00CC2BA2">
        <w:t xml:space="preserve">’s </w:t>
      </w:r>
      <w:r w:rsidR="00BD1727">
        <w:t xml:space="preserve">current </w:t>
      </w:r>
      <w:r w:rsidR="00CC2BA2">
        <w:t xml:space="preserve">comment deadline of </w:t>
      </w:r>
      <w:r w:rsidR="00BD1727">
        <w:t>April 29, 2024</w:t>
      </w:r>
      <w:r w:rsidR="004605EA">
        <w:t xml:space="preserve"> and overlaps </w:t>
      </w:r>
      <w:r w:rsidR="00D24DB8">
        <w:t>with Passover</w:t>
      </w:r>
      <w:r w:rsidR="009539F0">
        <w:t>, however,</w:t>
      </w:r>
      <w:r>
        <w:t xml:space="preserve"> we conclude that </w:t>
      </w:r>
      <w:r w:rsidR="002C6372">
        <w:t xml:space="preserve">the totality of the circumstances warrants </w:t>
      </w:r>
      <w:r>
        <w:t xml:space="preserve">a limited </w:t>
      </w:r>
      <w:r w:rsidRPr="00A36FCD">
        <w:t>14-day</w:t>
      </w:r>
      <w:r>
        <w:t xml:space="preserve"> extension of the comment and reply deadlines to facilitate the development of a comprehensive record in this proceeding.  </w:t>
      </w:r>
      <w:r w:rsidRPr="00433C7A">
        <w:t>Interested parties can use this time to develop complete, fully</w:t>
      </w:r>
      <w:r>
        <w:t>-</w:t>
      </w:r>
      <w:r w:rsidRPr="00433C7A">
        <w:t>supported comments</w:t>
      </w:r>
      <w:r>
        <w:t xml:space="preserve"> and reply comments.  </w:t>
      </w:r>
    </w:p>
    <w:p w:rsidR="005D013E" w:rsidRPr="006C4BF5" w:rsidP="005D013E" w14:paraId="6EFDF4FA" w14:textId="4C4C4043">
      <w:pPr>
        <w:pStyle w:val="ParaNum"/>
      </w:pPr>
      <w:r w:rsidRPr="006C4BF5">
        <w:t xml:space="preserve">Accordingly, </w:t>
      </w:r>
      <w:r w:rsidRPr="006C4BF5">
        <w:rPr>
          <w:b/>
          <w:bCs/>
        </w:rPr>
        <w:t>IT IS ORDERED</w:t>
      </w:r>
      <w:r w:rsidRPr="006C4BF5">
        <w:t xml:space="preserve"> that, </w:t>
      </w:r>
      <w:r w:rsidRPr="006C4BF5">
        <w:rPr>
          <w:szCs w:val="22"/>
        </w:rPr>
        <w:t>pursuant to section 4(</w:t>
      </w:r>
      <w:r w:rsidRPr="006C4BF5">
        <w:rPr>
          <w:szCs w:val="22"/>
        </w:rPr>
        <w:t>i</w:t>
      </w:r>
      <w:r w:rsidRPr="006C4BF5">
        <w:rPr>
          <w:szCs w:val="22"/>
        </w:rPr>
        <w:t>) of the Communications Act of 1934, as amended, 47 U.S.C. § 154(</w:t>
      </w:r>
      <w:r w:rsidRPr="006C4BF5">
        <w:rPr>
          <w:szCs w:val="22"/>
        </w:rPr>
        <w:t>i</w:t>
      </w:r>
      <w:r w:rsidRPr="006C4BF5">
        <w:rPr>
          <w:szCs w:val="22"/>
        </w:rPr>
        <w:t>), and section</w:t>
      </w:r>
      <w:r w:rsidR="0027046B">
        <w:rPr>
          <w:szCs w:val="22"/>
        </w:rPr>
        <w:t xml:space="preserve">s </w:t>
      </w:r>
      <w:r w:rsidRPr="0027046B" w:rsidR="0027046B">
        <w:rPr>
          <w:szCs w:val="22"/>
        </w:rPr>
        <w:t>0.204, 0.392, and</w:t>
      </w:r>
      <w:r w:rsidRPr="006C4BF5">
        <w:rPr>
          <w:szCs w:val="22"/>
        </w:rPr>
        <w:t xml:space="preserve"> 1.46 of the Commission’s rules, 47 CFR §</w:t>
      </w:r>
      <w:r w:rsidRPr="0027046B" w:rsidR="0027046B">
        <w:rPr>
          <w:szCs w:val="22"/>
        </w:rPr>
        <w:t>§</w:t>
      </w:r>
      <w:r w:rsidR="0027046B">
        <w:rPr>
          <w:szCs w:val="22"/>
        </w:rPr>
        <w:t xml:space="preserve"> </w:t>
      </w:r>
      <w:r w:rsidRPr="0027046B" w:rsidR="0027046B">
        <w:rPr>
          <w:szCs w:val="22"/>
        </w:rPr>
        <w:t>0.204, 0.392,</w:t>
      </w:r>
      <w:r w:rsidRPr="006C4BF5">
        <w:rPr>
          <w:szCs w:val="22"/>
        </w:rPr>
        <w:t xml:space="preserve"> 1.46, the</w:t>
      </w:r>
      <w:r w:rsidRPr="006C4BF5">
        <w:t xml:space="preserve"> Motion for Extension of Time </w:t>
      </w:r>
      <w:r w:rsidR="00A41C73">
        <w:t xml:space="preserve">of Public Knowledge, the National Association of State Utility Consumer Advocates, New American’s Open Technology Institute, The Utility Reform Network, and Communications Workers of America </w:t>
      </w:r>
      <w:r w:rsidR="00C615DE">
        <w:t xml:space="preserve">filed </w:t>
      </w:r>
      <w:r w:rsidRPr="006C4BF5">
        <w:t xml:space="preserve">on </w:t>
      </w:r>
      <w:r w:rsidR="00C615DE">
        <w:t>April 16, 2024</w:t>
      </w:r>
      <w:r w:rsidRPr="006C4BF5" w:rsidR="006C4BF5">
        <w:t xml:space="preserve"> </w:t>
      </w:r>
      <w:r w:rsidRPr="006C4BF5">
        <w:rPr>
          <w:b/>
          <w:bCs/>
        </w:rPr>
        <w:t xml:space="preserve">IS GRANTED </w:t>
      </w:r>
      <w:r w:rsidR="008B73E2">
        <w:t>for the reasons</w:t>
      </w:r>
      <w:r w:rsidRPr="006C4BF5">
        <w:t xml:space="preserve"> described herein.</w:t>
      </w:r>
    </w:p>
    <w:p w:rsidR="00412FC5" w:rsidRPr="00BD666D" w:rsidP="005D013E" w14:paraId="34388084" w14:textId="221998BF">
      <w:pPr>
        <w:pStyle w:val="ParaNum"/>
        <w:widowControl/>
        <w:rPr>
          <w:spacing w:val="-2"/>
        </w:rPr>
      </w:pPr>
      <w:r w:rsidRPr="00BD666D">
        <w:rPr>
          <w:b/>
          <w:bCs/>
        </w:rPr>
        <w:t>IT IS FURTHER ORDERED</w:t>
      </w:r>
      <w:r w:rsidRPr="00BD666D">
        <w:t xml:space="preserve"> that the date for filing comments on the </w:t>
      </w:r>
      <w:r w:rsidRPr="00BD666D" w:rsidR="00BD666D">
        <w:rPr>
          <w:i/>
          <w:iCs/>
        </w:rPr>
        <w:t xml:space="preserve">FNPRM </w:t>
      </w:r>
      <w:r w:rsidRPr="00BD666D">
        <w:rPr>
          <w:b/>
          <w:bCs/>
        </w:rPr>
        <w:t xml:space="preserve">IS </w:t>
      </w:r>
      <w:r w:rsidRPr="00A55513">
        <w:rPr>
          <w:b/>
          <w:bCs/>
        </w:rPr>
        <w:t>EXTENDED</w:t>
      </w:r>
      <w:r w:rsidRPr="00A55513">
        <w:t xml:space="preserve"> to </w:t>
      </w:r>
      <w:r w:rsidR="00913DA8">
        <w:t>May</w:t>
      </w:r>
      <w:r w:rsidRPr="00A55513" w:rsidR="00BD666D">
        <w:t xml:space="preserve"> 13, 202</w:t>
      </w:r>
      <w:r w:rsidR="00913DA8">
        <w:t>4</w:t>
      </w:r>
      <w:r w:rsidRPr="00A55513" w:rsidR="00BD666D">
        <w:t xml:space="preserve">, and the date for filing reply comments on the </w:t>
      </w:r>
      <w:r w:rsidRPr="00913DA8" w:rsidR="00913DA8">
        <w:rPr>
          <w:i/>
          <w:iCs/>
        </w:rPr>
        <w:t>FNPRM</w:t>
      </w:r>
      <w:r w:rsidRPr="00A55513" w:rsidR="00BD666D">
        <w:rPr>
          <w:i/>
          <w:iCs/>
        </w:rPr>
        <w:t xml:space="preserve"> </w:t>
      </w:r>
      <w:r w:rsidRPr="00A55513" w:rsidR="00BD666D">
        <w:rPr>
          <w:b/>
          <w:bCs/>
        </w:rPr>
        <w:t>IS EXTENDED</w:t>
      </w:r>
      <w:r w:rsidRPr="00A55513" w:rsidR="00BD666D">
        <w:t xml:space="preserve"> to </w:t>
      </w:r>
      <w:r w:rsidR="00913DA8">
        <w:t>June 1</w:t>
      </w:r>
      <w:r w:rsidR="001E0B2C">
        <w:t>2</w:t>
      </w:r>
      <w:r w:rsidR="00913DA8">
        <w:t>, 2024</w:t>
      </w:r>
      <w:r w:rsidRPr="00A55513" w:rsidR="00BD666D">
        <w:t>.</w:t>
      </w:r>
      <w:r>
        <w:rPr>
          <w:rStyle w:val="FootnoteReference"/>
        </w:rPr>
        <w:footnoteReference w:id="10"/>
      </w:r>
    </w:p>
    <w:p w:rsidR="005D013E" w:rsidRPr="0098599D" w:rsidP="005D013E" w14:paraId="362893C5" w14:textId="77777777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FEDERAL COMMUNICATIONS COMMISSION</w:t>
      </w:r>
    </w:p>
    <w:p w:rsidR="005D013E" w:rsidP="005D013E" w14:paraId="4DB9CAD3" w14:textId="77777777">
      <w:pPr>
        <w:keepNext/>
        <w:keepLines/>
        <w:widowControl/>
        <w:ind w:left="4320"/>
        <w:rPr>
          <w:szCs w:val="22"/>
        </w:rPr>
      </w:pPr>
    </w:p>
    <w:p w:rsidR="005D013E" w:rsidP="005D013E" w14:paraId="6BA6EDD2" w14:textId="77777777">
      <w:pPr>
        <w:keepNext/>
        <w:keepLines/>
        <w:widowControl/>
        <w:ind w:left="4320"/>
        <w:rPr>
          <w:szCs w:val="22"/>
        </w:rPr>
      </w:pPr>
    </w:p>
    <w:p w:rsidR="005D013E" w:rsidP="005D013E" w14:paraId="7DFE8413" w14:textId="77777777">
      <w:pPr>
        <w:keepNext/>
        <w:keepLines/>
        <w:widowControl/>
        <w:ind w:left="4320"/>
        <w:rPr>
          <w:szCs w:val="22"/>
        </w:rPr>
      </w:pPr>
    </w:p>
    <w:p w:rsidR="005D013E" w:rsidRPr="0098599D" w:rsidP="005D013E" w14:paraId="281DD799" w14:textId="77777777">
      <w:pPr>
        <w:keepNext/>
        <w:keepLines/>
        <w:widowControl/>
        <w:ind w:left="4320"/>
        <w:rPr>
          <w:szCs w:val="22"/>
        </w:rPr>
      </w:pPr>
    </w:p>
    <w:p w:rsidR="005D013E" w:rsidRPr="0098599D" w:rsidP="005D013E" w14:paraId="1BE4C474" w14:textId="39BAC5CE">
      <w:pPr>
        <w:keepNext/>
        <w:keepLines/>
        <w:widowControl/>
        <w:ind w:left="4320"/>
        <w:rPr>
          <w:szCs w:val="22"/>
        </w:rPr>
      </w:pPr>
      <w:r>
        <w:rPr>
          <w:szCs w:val="22"/>
        </w:rPr>
        <w:t>Debra Jordan</w:t>
      </w:r>
    </w:p>
    <w:p w:rsidR="005D013E" w:rsidRPr="0098599D" w:rsidP="005D013E" w14:paraId="32514EA3" w14:textId="13720C51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Chief</w:t>
      </w:r>
    </w:p>
    <w:p w:rsidR="005D013E" w:rsidRPr="00AA5440" w:rsidP="005D013E" w14:paraId="74429B67" w14:textId="77777777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Public Safety and Homeland Security Bureau</w:t>
      </w:r>
    </w:p>
    <w:p w:rsidR="005D013E" w:rsidP="005D013E" w14:paraId="3A50B69B" w14:textId="77777777">
      <w:pPr>
        <w:keepNext/>
        <w:keepLines/>
        <w:widowControl/>
        <w:ind w:left="4320"/>
        <w:rPr>
          <w:szCs w:val="22"/>
        </w:rPr>
      </w:pPr>
    </w:p>
    <w:p w:rsidR="005D013E" w:rsidP="005D013E" w14:paraId="457A1945" w14:textId="77777777">
      <w:pPr>
        <w:keepNext/>
        <w:keepLines/>
        <w:widowControl/>
        <w:ind w:left="4320"/>
        <w:rPr>
          <w:szCs w:val="22"/>
        </w:rPr>
      </w:pPr>
    </w:p>
    <w:p w:rsidR="005D013E" w:rsidP="005D013E" w14:paraId="78285869" w14:textId="77777777">
      <w:pPr>
        <w:keepNext/>
        <w:keepLines/>
        <w:widowControl/>
        <w:ind w:left="4320"/>
        <w:rPr>
          <w:szCs w:val="22"/>
        </w:rPr>
      </w:pPr>
    </w:p>
    <w:sectPr w:rsidSect="00531E3F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ED88E0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616FA">
      <w:fldChar w:fldCharType="separate"/>
    </w:r>
    <w:r>
      <w:fldChar w:fldCharType="end"/>
    </w:r>
  </w:p>
  <w:p w:rsidR="00D25FB5" w14:paraId="14CD9B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70E9B3C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0A31EE1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F41504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31E3F" w14:paraId="7B2C82B5" w14:textId="77777777">
      <w:r>
        <w:separator/>
      </w:r>
    </w:p>
  </w:footnote>
  <w:footnote w:type="continuationSeparator" w:id="1">
    <w:p w:rsidR="00531E3F" w:rsidP="00C721AC" w14:paraId="7D61DCB6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31E3F" w:rsidP="00C721AC" w14:paraId="4A2C30D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83570" w:rsidRPr="00EC2AC7" w:rsidP="00D83570" w14:paraId="1CC84534" w14:textId="6744A9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4ACF" w:rsidR="001A152C">
        <w:rPr>
          <w:i/>
          <w:iCs/>
        </w:rPr>
        <w:t xml:space="preserve">Resilient Networks; Amendments of Part of the Commission’s Rules Concerning Disruptions to Communications; New Part 4 of the Commission’s Rules Concerning Disruptions to </w:t>
      </w:r>
      <w:r w:rsidRPr="00F04ACF" w:rsidR="009772EC">
        <w:rPr>
          <w:i/>
          <w:iCs/>
        </w:rPr>
        <w:t>Communications</w:t>
      </w:r>
      <w:r w:rsidR="009772EC">
        <w:t>, PS Docket Nos. 21-346 and 15-80 and ET Docket No. 04-35</w:t>
      </w:r>
      <w:r w:rsidR="0012708D">
        <w:t xml:space="preserve">, </w:t>
      </w:r>
      <w:r>
        <w:t>Se</w:t>
      </w:r>
      <w:r w:rsidR="0012708D">
        <w:t xml:space="preserve">cond </w:t>
      </w:r>
      <w:r>
        <w:t xml:space="preserve">Report and Order and </w:t>
      </w:r>
      <w:r w:rsidR="0012708D">
        <w:t xml:space="preserve">Second Further Notice of Proposed </w:t>
      </w:r>
      <w:r>
        <w:t>Rulemaking, FCC 2</w:t>
      </w:r>
      <w:r w:rsidR="00DB2B61">
        <w:t>4</w:t>
      </w:r>
      <w:r>
        <w:t>-</w:t>
      </w:r>
      <w:r w:rsidR="00DB2B61">
        <w:t>5</w:t>
      </w:r>
      <w:r>
        <w:t xml:space="preserve"> (rel. Jan. </w:t>
      </w:r>
      <w:r w:rsidR="00DB2B61">
        <w:t>26</w:t>
      </w:r>
      <w:r>
        <w:t>, 202</w:t>
      </w:r>
      <w:r w:rsidR="00DB2B61">
        <w:t>4</w:t>
      </w:r>
      <w:r>
        <w:t>) (</w:t>
      </w:r>
      <w:r>
        <w:rPr>
          <w:i/>
          <w:iCs/>
        </w:rPr>
        <w:t>FNPRM</w:t>
      </w:r>
      <w:r>
        <w:t xml:space="preserve">). </w:t>
      </w:r>
    </w:p>
  </w:footnote>
  <w:footnote w:id="4">
    <w:p w:rsidR="00D83570" w:rsidP="00D83570" w14:paraId="4A139942" w14:textId="122F2290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</w:t>
      </w:r>
      <w:r w:rsidR="00D65C0F">
        <w:t xml:space="preserve">Amendments </w:t>
      </w:r>
      <w:r w:rsidR="00D96660">
        <w:t xml:space="preserve">to Resilient Networks; Disruptions to Communications; New Considerations Concerning Disruptions </w:t>
      </w:r>
      <w:r w:rsidR="00B61F34">
        <w:t>to Communications, 89 Fed. Reg. 22106</w:t>
      </w:r>
      <w:r>
        <w:t xml:space="preserve"> (</w:t>
      </w:r>
      <w:r w:rsidR="00304E44">
        <w:t>Mar. 29, 2024</w:t>
      </w:r>
      <w:r>
        <w:t>).</w:t>
      </w:r>
    </w:p>
  </w:footnote>
  <w:footnote w:id="5">
    <w:p w:rsidR="00D83570" w:rsidP="00D83570" w14:paraId="6CEB49BF" w14:textId="38795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55FD">
        <w:t xml:space="preserve">Public Knowledge, </w:t>
      </w:r>
      <w:r w:rsidR="006F30E8">
        <w:t xml:space="preserve">the </w:t>
      </w:r>
      <w:r w:rsidR="00C80388">
        <w:t>National Association of State Utility Consumer Advocates, New American’s Open Tec</w:t>
      </w:r>
      <w:r w:rsidR="00D949D6">
        <w:t xml:space="preserve">hnology Institute, </w:t>
      </w:r>
      <w:r w:rsidR="00126D2E">
        <w:t>The Utility Reform Network, and Communications Workers of America</w:t>
      </w:r>
      <w:r>
        <w:t xml:space="preserve"> (Petitioners). </w:t>
      </w:r>
    </w:p>
  </w:footnote>
  <w:footnote w:id="6">
    <w:p w:rsidR="00D83570" w:rsidP="00D83570" w14:paraId="19791D40" w14:textId="6E480A4A">
      <w:pPr>
        <w:pStyle w:val="FootnoteText"/>
      </w:pPr>
      <w:r>
        <w:rPr>
          <w:rStyle w:val="FootnoteReference"/>
        </w:rPr>
        <w:footnoteRef/>
      </w:r>
      <w:r>
        <w:t xml:space="preserve"> Motion for Extension of Time</w:t>
      </w:r>
      <w:r w:rsidR="00656C9C">
        <w:t xml:space="preserve"> of</w:t>
      </w:r>
      <w:r w:rsidR="00653684">
        <w:t xml:space="preserve"> Public Knowledge, the National Association of State Utility Consumer Advocates, New American’s Open Technology Institute, The Utility Reform Network, and Communications Workers of America</w:t>
      </w:r>
      <w:r w:rsidR="00656C9C">
        <w:t xml:space="preserve"> </w:t>
      </w:r>
      <w:r>
        <w:t xml:space="preserve">, </w:t>
      </w:r>
      <w:r w:rsidR="00653684">
        <w:t>PS Docket Nos. 21-346 and 15-80</w:t>
      </w:r>
      <w:r w:rsidR="00420BA2">
        <w:t xml:space="preserve"> and ET Docket No. 04-35</w:t>
      </w:r>
      <w:r>
        <w:t xml:space="preserve"> (filed </w:t>
      </w:r>
      <w:r w:rsidR="008C2141">
        <w:t>Apr</w:t>
      </w:r>
      <w:r w:rsidR="001A06C5">
        <w:t>.</w:t>
      </w:r>
      <w:r w:rsidR="008C2141">
        <w:t xml:space="preserve"> 16, 2024</w:t>
      </w:r>
      <w:r>
        <w:t xml:space="preserve">), </w:t>
      </w:r>
      <w:hyperlink r:id="rId1" w:history="1">
        <w:r w:rsidRPr="00C74288" w:rsidR="00CE5846">
          <w:rPr>
            <w:rStyle w:val="Hyperlink"/>
          </w:rPr>
          <w:t>https://www.fcc.gov/ecfs/document/104161365101056/1</w:t>
        </w:r>
      </w:hyperlink>
      <w:r w:rsidR="00CE5846">
        <w:t xml:space="preserve"> </w:t>
      </w:r>
      <w:r w:rsidRPr="009732AD">
        <w:t>(Petitioners’ Request</w:t>
      </w:r>
      <w:r>
        <w:t xml:space="preserve">). </w:t>
      </w:r>
    </w:p>
  </w:footnote>
  <w:footnote w:id="7">
    <w:p w:rsidR="001A06C5" w:rsidP="001A06C5" w14:paraId="06662030" w14:textId="16CFB4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690D">
        <w:rPr>
          <w:i/>
          <w:iCs/>
        </w:rPr>
        <w:t xml:space="preserve">See </w:t>
      </w:r>
      <w:r w:rsidR="005F690D">
        <w:t>Press</w:t>
      </w:r>
      <w:r w:rsidR="0085741F">
        <w:t xml:space="preserve"> Release, </w:t>
      </w:r>
      <w:r w:rsidR="005F690D">
        <w:t xml:space="preserve">FCC, </w:t>
      </w:r>
      <w:r w:rsidRPr="003F5C07">
        <w:t>FCC Announces Tentative Agenda for April Open Meeting</w:t>
      </w:r>
      <w:r>
        <w:t xml:space="preserve"> (Apr. 4, 2024)</w:t>
      </w:r>
      <w:r w:rsidR="005F690D">
        <w:t xml:space="preserve">, </w:t>
      </w:r>
      <w:hyperlink r:id="rId2" w:history="1">
        <w:r w:rsidRPr="00AE6DCF" w:rsidR="005F690D">
          <w:rPr>
            <w:rStyle w:val="Hyperlink"/>
          </w:rPr>
          <w:t>https://www.fcc.gov/document/fcc-announces-tentative-agenda-april-open-meeting-11</w:t>
        </w:r>
      </w:hyperlink>
      <w:r>
        <w:t xml:space="preserve">; </w:t>
      </w:r>
      <w:r w:rsidRPr="008E10A2">
        <w:rPr>
          <w:i/>
          <w:iCs/>
        </w:rPr>
        <w:t>Safeguarding and Securing the Open Internet; Restoring Internet Freedom</w:t>
      </w:r>
      <w:r>
        <w:t>, WC Docket Nos. 23-320 and 17-108, Declaratory Ruling, Order, Report and Order, and Order on Reconsideration, FCC-CIRC2404-01 (rel. Apr. 4, 2024) (</w:t>
      </w:r>
      <w:r w:rsidRPr="00B80056">
        <w:rPr>
          <w:i/>
          <w:iCs/>
        </w:rPr>
        <w:t>Open Internet Order</w:t>
      </w:r>
      <w:r>
        <w:t xml:space="preserve">).  </w:t>
      </w:r>
    </w:p>
  </w:footnote>
  <w:footnote w:id="8">
    <w:p w:rsidR="00D83570" w:rsidRPr="00C92AD1" w:rsidP="00D83570" w14:paraId="6B71CAC2" w14:textId="6CEA4FCA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</w:t>
      </w:r>
      <w:r w:rsidR="001A06C5">
        <w:rPr>
          <w:i/>
          <w:iCs/>
        </w:rPr>
        <w:t xml:space="preserve">See </w:t>
      </w:r>
      <w:r w:rsidRPr="00C92AD1">
        <w:t>47 CFR § 1.46(a).</w:t>
      </w:r>
    </w:p>
  </w:footnote>
  <w:footnote w:id="9">
    <w:p w:rsidR="00B32C85" w14:paraId="6583AB36" w14:textId="7D0E653D">
      <w:pPr>
        <w:pStyle w:val="FootnoteText"/>
      </w:pPr>
      <w:r>
        <w:rPr>
          <w:rStyle w:val="FootnoteReference"/>
        </w:rPr>
        <w:footnoteRef/>
      </w:r>
      <w:r>
        <w:t xml:space="preserve"> Petitioners’ Request at </w:t>
      </w:r>
      <w:r w:rsidR="00150EC6">
        <w:t>2</w:t>
      </w:r>
      <w:r>
        <w:t>.</w:t>
      </w:r>
    </w:p>
  </w:footnote>
  <w:footnote w:id="10">
    <w:p w:rsidR="001E0B2C" w14:paraId="4B059B6C" w14:textId="29B72F77">
      <w:pPr>
        <w:pStyle w:val="FootnoteText"/>
      </w:pPr>
      <w:r>
        <w:rPr>
          <w:rStyle w:val="FootnoteReference"/>
        </w:rPr>
        <w:footnoteRef/>
      </w:r>
      <w:r>
        <w:t xml:space="preserve"> We note that the Petitioners’ Request </w:t>
      </w:r>
      <w:r w:rsidR="00F77955">
        <w:t xml:space="preserve">sought a 14-day extension of the reply comment due date until June 11, 2024.  </w:t>
      </w:r>
      <w:r w:rsidR="009732AD">
        <w:t xml:space="preserve">Petitioners’ Request at 1, 3.  </w:t>
      </w:r>
      <w:r w:rsidR="00F77955">
        <w:t xml:space="preserve">However, </w:t>
      </w:r>
      <w:r w:rsidR="00E5759F">
        <w:t xml:space="preserve">given that </w:t>
      </w:r>
      <w:r w:rsidR="00F77955">
        <w:t>14 days after the current reply comment deadline of May 29, 2024 is June 12</w:t>
      </w:r>
      <w:r w:rsidR="00821AF7">
        <w:t>, 2024</w:t>
      </w:r>
      <w:r w:rsidR="00E5759F">
        <w:t xml:space="preserve">, we </w:t>
      </w:r>
      <w:r w:rsidR="00821AF7">
        <w:t>therefore establish</w:t>
      </w:r>
      <w:r w:rsidR="00E5759F">
        <w:t xml:space="preserve"> June 12, 2024 as the new reply comment deadline.  </w:t>
      </w:r>
      <w:r w:rsidR="00821AF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9F2C62" w14:paraId="765EAF3D" w14:textId="5C69784A">
    <w:pPr>
      <w:pStyle w:val="Header"/>
    </w:pPr>
    <w:r>
      <w:tab/>
      <w:t>Federal Communications Commission</w:t>
    </w:r>
    <w:r>
      <w:tab/>
    </w:r>
    <w:r w:rsidR="00BE42C3">
      <w:t>DA 2</w:t>
    </w:r>
    <w:r w:rsidR="009F2C62">
      <w:t>4-</w:t>
    </w:r>
    <w:r w:rsidR="000616FA">
      <w:t>380</w:t>
    </w:r>
  </w:p>
  <w:p w:rsidR="00D25FB5" w14:paraId="2975AFDF" w14:textId="3EC5820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22E8C977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9F2C62" w14:paraId="03BAFB38" w14:textId="69048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BE42C3">
      <w:rPr>
        <w:spacing w:val="-2"/>
      </w:rPr>
      <w:t>DA 2</w:t>
    </w:r>
    <w:r w:rsidR="004D6566">
      <w:rPr>
        <w:spacing w:val="-2"/>
      </w:rPr>
      <w:t>4</w:t>
    </w:r>
    <w:r w:rsidR="00BE42C3">
      <w:rPr>
        <w:spacing w:val="-2"/>
      </w:rPr>
      <w:t>-</w:t>
    </w:r>
    <w:r w:rsidR="000616FA">
      <w:rPr>
        <w:spacing w:val="-2"/>
      </w:rPr>
      <w:t>380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77"/>
    <w:rsid w:val="000342F3"/>
    <w:rsid w:val="00036039"/>
    <w:rsid w:val="00037F90"/>
    <w:rsid w:val="00041F28"/>
    <w:rsid w:val="0005070B"/>
    <w:rsid w:val="000534BF"/>
    <w:rsid w:val="000616FA"/>
    <w:rsid w:val="0007539A"/>
    <w:rsid w:val="00083E7A"/>
    <w:rsid w:val="000875BF"/>
    <w:rsid w:val="00096D8C"/>
    <w:rsid w:val="000C0B65"/>
    <w:rsid w:val="000C42D2"/>
    <w:rsid w:val="000C6B41"/>
    <w:rsid w:val="000E05FE"/>
    <w:rsid w:val="000E3D42"/>
    <w:rsid w:val="000F56EB"/>
    <w:rsid w:val="00111E7C"/>
    <w:rsid w:val="001200C9"/>
    <w:rsid w:val="001208AD"/>
    <w:rsid w:val="00122BD5"/>
    <w:rsid w:val="00126D2E"/>
    <w:rsid w:val="0012708D"/>
    <w:rsid w:val="00133F79"/>
    <w:rsid w:val="0014035E"/>
    <w:rsid w:val="001403C4"/>
    <w:rsid w:val="00150EC6"/>
    <w:rsid w:val="001679C9"/>
    <w:rsid w:val="00182EB8"/>
    <w:rsid w:val="00194A66"/>
    <w:rsid w:val="001A06C5"/>
    <w:rsid w:val="001A071F"/>
    <w:rsid w:val="001A152C"/>
    <w:rsid w:val="001D4A75"/>
    <w:rsid w:val="001D6BCF"/>
    <w:rsid w:val="001E01CA"/>
    <w:rsid w:val="001E0977"/>
    <w:rsid w:val="001E0B2C"/>
    <w:rsid w:val="001E4615"/>
    <w:rsid w:val="001F2770"/>
    <w:rsid w:val="001F6BF6"/>
    <w:rsid w:val="00206205"/>
    <w:rsid w:val="002112C1"/>
    <w:rsid w:val="0027046B"/>
    <w:rsid w:val="00275CF5"/>
    <w:rsid w:val="002823F0"/>
    <w:rsid w:val="0028301F"/>
    <w:rsid w:val="00285017"/>
    <w:rsid w:val="002A2D2E"/>
    <w:rsid w:val="002B5863"/>
    <w:rsid w:val="002C00E8"/>
    <w:rsid w:val="002C6372"/>
    <w:rsid w:val="002F2D38"/>
    <w:rsid w:val="00304E44"/>
    <w:rsid w:val="00314540"/>
    <w:rsid w:val="003161AD"/>
    <w:rsid w:val="00325197"/>
    <w:rsid w:val="00331BCF"/>
    <w:rsid w:val="00343749"/>
    <w:rsid w:val="00352329"/>
    <w:rsid w:val="00354081"/>
    <w:rsid w:val="00354689"/>
    <w:rsid w:val="003660ED"/>
    <w:rsid w:val="003721F4"/>
    <w:rsid w:val="00375AF5"/>
    <w:rsid w:val="003830CF"/>
    <w:rsid w:val="003B0550"/>
    <w:rsid w:val="003B694F"/>
    <w:rsid w:val="003D4CA4"/>
    <w:rsid w:val="003D6982"/>
    <w:rsid w:val="003E059C"/>
    <w:rsid w:val="003E64B5"/>
    <w:rsid w:val="003F171C"/>
    <w:rsid w:val="003F5C07"/>
    <w:rsid w:val="00410898"/>
    <w:rsid w:val="004128DA"/>
    <w:rsid w:val="00412FC5"/>
    <w:rsid w:val="00420BA2"/>
    <w:rsid w:val="00422276"/>
    <w:rsid w:val="004242F1"/>
    <w:rsid w:val="00433C7A"/>
    <w:rsid w:val="00445A00"/>
    <w:rsid w:val="00451B0F"/>
    <w:rsid w:val="004605EA"/>
    <w:rsid w:val="004809E1"/>
    <w:rsid w:val="0048669E"/>
    <w:rsid w:val="00495BAD"/>
    <w:rsid w:val="004A55FD"/>
    <w:rsid w:val="004B0D28"/>
    <w:rsid w:val="004C2EE3"/>
    <w:rsid w:val="004C3808"/>
    <w:rsid w:val="004D6252"/>
    <w:rsid w:val="004D6566"/>
    <w:rsid w:val="004E129C"/>
    <w:rsid w:val="004E4A22"/>
    <w:rsid w:val="004E57D4"/>
    <w:rsid w:val="004F0530"/>
    <w:rsid w:val="004F20A4"/>
    <w:rsid w:val="00511968"/>
    <w:rsid w:val="00511AA8"/>
    <w:rsid w:val="00513C32"/>
    <w:rsid w:val="00531E3F"/>
    <w:rsid w:val="00534B69"/>
    <w:rsid w:val="0055614C"/>
    <w:rsid w:val="005572C8"/>
    <w:rsid w:val="00566D06"/>
    <w:rsid w:val="00596555"/>
    <w:rsid w:val="005971FC"/>
    <w:rsid w:val="005C7BC6"/>
    <w:rsid w:val="005D013E"/>
    <w:rsid w:val="005E14C2"/>
    <w:rsid w:val="005F690D"/>
    <w:rsid w:val="00602284"/>
    <w:rsid w:val="00607BA5"/>
    <w:rsid w:val="0061180A"/>
    <w:rsid w:val="006167CB"/>
    <w:rsid w:val="0062341D"/>
    <w:rsid w:val="00626EB6"/>
    <w:rsid w:val="00653684"/>
    <w:rsid w:val="00655D03"/>
    <w:rsid w:val="00656C9C"/>
    <w:rsid w:val="00662411"/>
    <w:rsid w:val="00675E65"/>
    <w:rsid w:val="006806A2"/>
    <w:rsid w:val="00683388"/>
    <w:rsid w:val="00683F84"/>
    <w:rsid w:val="00693B5F"/>
    <w:rsid w:val="006A0BA9"/>
    <w:rsid w:val="006A6A81"/>
    <w:rsid w:val="006C4BF5"/>
    <w:rsid w:val="006C78BE"/>
    <w:rsid w:val="006E6B89"/>
    <w:rsid w:val="006F12C1"/>
    <w:rsid w:val="006F30E8"/>
    <w:rsid w:val="006F7393"/>
    <w:rsid w:val="0070224F"/>
    <w:rsid w:val="007115F7"/>
    <w:rsid w:val="007160D4"/>
    <w:rsid w:val="0072428A"/>
    <w:rsid w:val="007247FC"/>
    <w:rsid w:val="007310C6"/>
    <w:rsid w:val="00756215"/>
    <w:rsid w:val="00764215"/>
    <w:rsid w:val="00765B49"/>
    <w:rsid w:val="00785689"/>
    <w:rsid w:val="0079754B"/>
    <w:rsid w:val="007A1E6D"/>
    <w:rsid w:val="007B0EB2"/>
    <w:rsid w:val="007E604F"/>
    <w:rsid w:val="00810B6F"/>
    <w:rsid w:val="00821AF7"/>
    <w:rsid w:val="00822CE0"/>
    <w:rsid w:val="00823837"/>
    <w:rsid w:val="00841AB1"/>
    <w:rsid w:val="008423A6"/>
    <w:rsid w:val="0085741F"/>
    <w:rsid w:val="008635E4"/>
    <w:rsid w:val="00863E15"/>
    <w:rsid w:val="00870188"/>
    <w:rsid w:val="008A27EA"/>
    <w:rsid w:val="008A6D2A"/>
    <w:rsid w:val="008B73E2"/>
    <w:rsid w:val="008C1401"/>
    <w:rsid w:val="008C2141"/>
    <w:rsid w:val="008C68F1"/>
    <w:rsid w:val="008E10A2"/>
    <w:rsid w:val="008E4DCE"/>
    <w:rsid w:val="008F42EC"/>
    <w:rsid w:val="00913DA8"/>
    <w:rsid w:val="009159AD"/>
    <w:rsid w:val="0091640E"/>
    <w:rsid w:val="00921803"/>
    <w:rsid w:val="009226C3"/>
    <w:rsid w:val="00926503"/>
    <w:rsid w:val="009433D3"/>
    <w:rsid w:val="00946401"/>
    <w:rsid w:val="009539F0"/>
    <w:rsid w:val="00961AF7"/>
    <w:rsid w:val="00964280"/>
    <w:rsid w:val="009726D8"/>
    <w:rsid w:val="009732AD"/>
    <w:rsid w:val="009735B5"/>
    <w:rsid w:val="009772EC"/>
    <w:rsid w:val="00984AE7"/>
    <w:rsid w:val="0098599D"/>
    <w:rsid w:val="009A4831"/>
    <w:rsid w:val="009A65CD"/>
    <w:rsid w:val="009B3A36"/>
    <w:rsid w:val="009D5CB0"/>
    <w:rsid w:val="009D7308"/>
    <w:rsid w:val="009E132C"/>
    <w:rsid w:val="009E4169"/>
    <w:rsid w:val="009E466F"/>
    <w:rsid w:val="009F0F3F"/>
    <w:rsid w:val="009F2C62"/>
    <w:rsid w:val="009F76DB"/>
    <w:rsid w:val="00A055D4"/>
    <w:rsid w:val="00A12367"/>
    <w:rsid w:val="00A1345C"/>
    <w:rsid w:val="00A15FCB"/>
    <w:rsid w:val="00A25A61"/>
    <w:rsid w:val="00A32C3B"/>
    <w:rsid w:val="00A36FCD"/>
    <w:rsid w:val="00A41035"/>
    <w:rsid w:val="00A41C73"/>
    <w:rsid w:val="00A45F4F"/>
    <w:rsid w:val="00A55513"/>
    <w:rsid w:val="00A600A9"/>
    <w:rsid w:val="00A87C0A"/>
    <w:rsid w:val="00AA5440"/>
    <w:rsid w:val="00AA55B7"/>
    <w:rsid w:val="00AA5B9E"/>
    <w:rsid w:val="00AB2407"/>
    <w:rsid w:val="00AB53DF"/>
    <w:rsid w:val="00AB5D5F"/>
    <w:rsid w:val="00AC4793"/>
    <w:rsid w:val="00AE6DCF"/>
    <w:rsid w:val="00AF0F38"/>
    <w:rsid w:val="00AF4AF2"/>
    <w:rsid w:val="00B07E5C"/>
    <w:rsid w:val="00B1363C"/>
    <w:rsid w:val="00B16522"/>
    <w:rsid w:val="00B31898"/>
    <w:rsid w:val="00B32C85"/>
    <w:rsid w:val="00B51DAC"/>
    <w:rsid w:val="00B61F34"/>
    <w:rsid w:val="00B80056"/>
    <w:rsid w:val="00B811F7"/>
    <w:rsid w:val="00B96D04"/>
    <w:rsid w:val="00BA5DC6"/>
    <w:rsid w:val="00BA6196"/>
    <w:rsid w:val="00BC694F"/>
    <w:rsid w:val="00BC6D8C"/>
    <w:rsid w:val="00BD1727"/>
    <w:rsid w:val="00BD666D"/>
    <w:rsid w:val="00BD6781"/>
    <w:rsid w:val="00BE42C3"/>
    <w:rsid w:val="00C042FF"/>
    <w:rsid w:val="00C34006"/>
    <w:rsid w:val="00C36B4C"/>
    <w:rsid w:val="00C426B1"/>
    <w:rsid w:val="00C50659"/>
    <w:rsid w:val="00C615DE"/>
    <w:rsid w:val="00C66160"/>
    <w:rsid w:val="00C665E5"/>
    <w:rsid w:val="00C721AC"/>
    <w:rsid w:val="00C74288"/>
    <w:rsid w:val="00C80388"/>
    <w:rsid w:val="00C86D2C"/>
    <w:rsid w:val="00C90D6A"/>
    <w:rsid w:val="00C92AD1"/>
    <w:rsid w:val="00C92CD9"/>
    <w:rsid w:val="00C95F28"/>
    <w:rsid w:val="00CA247E"/>
    <w:rsid w:val="00CA6D21"/>
    <w:rsid w:val="00CB1728"/>
    <w:rsid w:val="00CB407B"/>
    <w:rsid w:val="00CC2BA2"/>
    <w:rsid w:val="00CC6FFA"/>
    <w:rsid w:val="00CC72B6"/>
    <w:rsid w:val="00CE1EEA"/>
    <w:rsid w:val="00CE5846"/>
    <w:rsid w:val="00CF0252"/>
    <w:rsid w:val="00D008F4"/>
    <w:rsid w:val="00D0218D"/>
    <w:rsid w:val="00D159F0"/>
    <w:rsid w:val="00D24B15"/>
    <w:rsid w:val="00D24DB8"/>
    <w:rsid w:val="00D25FB5"/>
    <w:rsid w:val="00D44223"/>
    <w:rsid w:val="00D451EF"/>
    <w:rsid w:val="00D65C0F"/>
    <w:rsid w:val="00D80307"/>
    <w:rsid w:val="00D83570"/>
    <w:rsid w:val="00D949D6"/>
    <w:rsid w:val="00D96660"/>
    <w:rsid w:val="00DA2529"/>
    <w:rsid w:val="00DA6099"/>
    <w:rsid w:val="00DB130A"/>
    <w:rsid w:val="00DB2B61"/>
    <w:rsid w:val="00DB2EBB"/>
    <w:rsid w:val="00DC10A1"/>
    <w:rsid w:val="00DC3518"/>
    <w:rsid w:val="00DC655F"/>
    <w:rsid w:val="00DD0B59"/>
    <w:rsid w:val="00DD7EBD"/>
    <w:rsid w:val="00DF2C72"/>
    <w:rsid w:val="00DF5EAB"/>
    <w:rsid w:val="00DF62B6"/>
    <w:rsid w:val="00E07225"/>
    <w:rsid w:val="00E206ED"/>
    <w:rsid w:val="00E27275"/>
    <w:rsid w:val="00E43726"/>
    <w:rsid w:val="00E46D86"/>
    <w:rsid w:val="00E472FF"/>
    <w:rsid w:val="00E5409F"/>
    <w:rsid w:val="00E5759F"/>
    <w:rsid w:val="00E971EB"/>
    <w:rsid w:val="00EA4083"/>
    <w:rsid w:val="00EA59CC"/>
    <w:rsid w:val="00EA5E09"/>
    <w:rsid w:val="00EB21C6"/>
    <w:rsid w:val="00EC147C"/>
    <w:rsid w:val="00EC2AC7"/>
    <w:rsid w:val="00ED16DC"/>
    <w:rsid w:val="00ED6133"/>
    <w:rsid w:val="00ED6D83"/>
    <w:rsid w:val="00EE159C"/>
    <w:rsid w:val="00EE6488"/>
    <w:rsid w:val="00EF38B6"/>
    <w:rsid w:val="00F021FA"/>
    <w:rsid w:val="00F04ACF"/>
    <w:rsid w:val="00F0775A"/>
    <w:rsid w:val="00F41933"/>
    <w:rsid w:val="00F43177"/>
    <w:rsid w:val="00F453F4"/>
    <w:rsid w:val="00F62E97"/>
    <w:rsid w:val="00F64209"/>
    <w:rsid w:val="00F77955"/>
    <w:rsid w:val="00F8503F"/>
    <w:rsid w:val="00F93BF5"/>
    <w:rsid w:val="00FE11CB"/>
    <w:rsid w:val="00FE21A2"/>
    <w:rsid w:val="00FF34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E1CD2A"/>
  <w15:chartTrackingRefBased/>
  <w15:docId w15:val="{809E064E-3F86-4311-9D46-E7D03D16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9F2C6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A41035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rsid w:val="00AB5D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A6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5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65C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A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5C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document/104161365101056/1" TargetMode="External" /><Relationship Id="rId2" Type="http://schemas.openxmlformats.org/officeDocument/2006/relationships/hyperlink" Target="https://www.fcc.gov/document/fcc-announces-tentative-agenda-april-open-meeting-1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