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23B9" w:rsidP="00F823B9" w14:paraId="1102B1A6" w14:textId="77777777">
      <w:pPr>
        <w:jc w:val="center"/>
        <w:rPr>
          <w:b/>
        </w:rPr>
      </w:pPr>
      <w:bookmarkStart w:id="0" w:name="_Hlk66116015"/>
      <w:r w:rsidRPr="0070224F">
        <w:rPr>
          <w:rFonts w:ascii="Times New Roman Bold" w:hAnsi="Times New Roman Bold"/>
          <w:b/>
          <w:kern w:val="0"/>
          <w:szCs w:val="22"/>
        </w:rPr>
        <w:t>Before</w:t>
      </w:r>
      <w:r>
        <w:rPr>
          <w:b/>
        </w:rPr>
        <w:t xml:space="preserve"> the</w:t>
      </w:r>
    </w:p>
    <w:p w:rsidR="00F823B9" w:rsidP="00F823B9" w14:paraId="2F65D9D0" w14:textId="77777777">
      <w:pPr>
        <w:pStyle w:val="StyleBoldCentered"/>
      </w:pPr>
      <w:r>
        <w:t>F</w:t>
      </w:r>
      <w:r>
        <w:rPr>
          <w:caps w:val="0"/>
        </w:rPr>
        <w:t>ederal Communications Commission</w:t>
      </w:r>
    </w:p>
    <w:p w:rsidR="00F823B9" w:rsidP="00F823B9" w14:paraId="7161D65A" w14:textId="77777777">
      <w:pPr>
        <w:pStyle w:val="StyleBoldCentered"/>
      </w:pPr>
      <w:r>
        <w:rPr>
          <w:caps w:val="0"/>
        </w:rPr>
        <w:t>Washington, D.C. 20554</w:t>
      </w:r>
    </w:p>
    <w:p w:rsidR="00F823B9" w:rsidP="00F823B9" w14:paraId="51693A13" w14:textId="77777777"/>
    <w:p w:rsidR="00F823B9" w:rsidP="00F823B9" w14:paraId="4CE5BCA6" w14:textId="77777777"/>
    <w:tbl>
      <w:tblPr>
        <w:tblW w:w="0" w:type="auto"/>
        <w:tblLayout w:type="fixed"/>
        <w:tblLook w:val="0000"/>
      </w:tblPr>
      <w:tblGrid>
        <w:gridCol w:w="4698"/>
        <w:gridCol w:w="630"/>
        <w:gridCol w:w="4248"/>
      </w:tblGrid>
      <w:tr w14:paraId="6D56B8E0" w14:textId="77777777" w:rsidTr="00485617">
        <w:tblPrEx>
          <w:tblW w:w="0" w:type="auto"/>
          <w:tblLayout w:type="fixed"/>
          <w:tblLook w:val="0000"/>
        </w:tblPrEx>
        <w:tc>
          <w:tcPr>
            <w:tcW w:w="4698" w:type="dxa"/>
          </w:tcPr>
          <w:p w:rsidR="00F823B9" w:rsidP="00485617" w14:paraId="24830CAA" w14:textId="77777777">
            <w:pPr>
              <w:tabs>
                <w:tab w:val="center" w:pos="4680"/>
              </w:tabs>
              <w:suppressAutoHyphens/>
              <w:rPr>
                <w:spacing w:val="-2"/>
              </w:rPr>
            </w:pPr>
            <w:r>
              <w:rPr>
                <w:spacing w:val="-2"/>
              </w:rPr>
              <w:t>In the Matter of</w:t>
            </w:r>
          </w:p>
          <w:p w:rsidR="00F823B9" w:rsidP="00485617" w14:paraId="52899FDC" w14:textId="77777777">
            <w:pPr>
              <w:tabs>
                <w:tab w:val="center" w:pos="4680"/>
              </w:tabs>
              <w:suppressAutoHyphens/>
              <w:rPr>
                <w:spacing w:val="-2"/>
              </w:rPr>
            </w:pPr>
          </w:p>
          <w:p w:rsidR="00F823B9" w:rsidP="00485617" w14:paraId="04C6AD6B" w14:textId="77777777">
            <w:pPr>
              <w:tabs>
                <w:tab w:val="center" w:pos="4680"/>
              </w:tabs>
              <w:suppressAutoHyphens/>
              <w:rPr>
                <w:spacing w:val="-2"/>
              </w:rPr>
            </w:pPr>
            <w:r>
              <w:rPr>
                <w:spacing w:val="-2"/>
              </w:rPr>
              <w:t>Wireless Emergency Alerts</w:t>
            </w:r>
          </w:p>
          <w:p w:rsidR="00F823B9" w:rsidP="00485617" w14:paraId="54F783F6" w14:textId="77777777">
            <w:pPr>
              <w:tabs>
                <w:tab w:val="center" w:pos="4680"/>
              </w:tabs>
              <w:suppressAutoHyphens/>
              <w:rPr>
                <w:spacing w:val="-2"/>
              </w:rPr>
            </w:pPr>
          </w:p>
          <w:p w:rsidR="00F823B9" w:rsidRPr="007115F7" w:rsidP="00485617" w14:paraId="368E6702"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F823B9" w:rsidP="00485617" w14:paraId="10128E1F" w14:textId="77777777">
            <w:pPr>
              <w:tabs>
                <w:tab w:val="center" w:pos="4680"/>
              </w:tabs>
              <w:suppressAutoHyphens/>
              <w:rPr>
                <w:b/>
                <w:spacing w:val="-2"/>
              </w:rPr>
            </w:pPr>
            <w:r>
              <w:rPr>
                <w:b/>
                <w:spacing w:val="-2"/>
              </w:rPr>
              <w:t>)</w:t>
            </w:r>
          </w:p>
          <w:p w:rsidR="00F823B9" w:rsidP="00485617" w14:paraId="32E2FF4C" w14:textId="77777777">
            <w:pPr>
              <w:tabs>
                <w:tab w:val="center" w:pos="4680"/>
              </w:tabs>
              <w:suppressAutoHyphens/>
              <w:rPr>
                <w:b/>
                <w:spacing w:val="-2"/>
              </w:rPr>
            </w:pPr>
            <w:r>
              <w:rPr>
                <w:b/>
                <w:spacing w:val="-2"/>
              </w:rPr>
              <w:t>)</w:t>
            </w:r>
          </w:p>
          <w:p w:rsidR="00F823B9" w:rsidP="00485617" w14:paraId="4968DDC0" w14:textId="77777777">
            <w:pPr>
              <w:tabs>
                <w:tab w:val="center" w:pos="4680"/>
              </w:tabs>
              <w:suppressAutoHyphens/>
              <w:rPr>
                <w:b/>
                <w:spacing w:val="-2"/>
              </w:rPr>
            </w:pPr>
            <w:r>
              <w:rPr>
                <w:b/>
                <w:spacing w:val="-2"/>
              </w:rPr>
              <w:t>)</w:t>
            </w:r>
          </w:p>
          <w:p w:rsidR="00F823B9" w:rsidP="00485617" w14:paraId="570FF21B" w14:textId="77777777">
            <w:pPr>
              <w:tabs>
                <w:tab w:val="center" w:pos="4680"/>
              </w:tabs>
              <w:suppressAutoHyphens/>
              <w:rPr>
                <w:b/>
                <w:spacing w:val="-2"/>
              </w:rPr>
            </w:pPr>
            <w:r>
              <w:rPr>
                <w:b/>
                <w:spacing w:val="-2"/>
              </w:rPr>
              <w:t>)</w:t>
            </w:r>
          </w:p>
          <w:p w:rsidR="00F823B9" w:rsidP="00485617" w14:paraId="19C7CA1B" w14:textId="77777777">
            <w:pPr>
              <w:tabs>
                <w:tab w:val="center" w:pos="4680"/>
              </w:tabs>
              <w:suppressAutoHyphens/>
              <w:rPr>
                <w:b/>
                <w:spacing w:val="-2"/>
              </w:rPr>
            </w:pPr>
            <w:r>
              <w:rPr>
                <w:b/>
                <w:spacing w:val="-2"/>
              </w:rPr>
              <w:t>)</w:t>
            </w:r>
          </w:p>
          <w:p w:rsidR="00F823B9" w:rsidP="00485617" w14:paraId="20A12E8D" w14:textId="77777777">
            <w:pPr>
              <w:tabs>
                <w:tab w:val="center" w:pos="4680"/>
              </w:tabs>
              <w:suppressAutoHyphens/>
              <w:rPr>
                <w:spacing w:val="-2"/>
              </w:rPr>
            </w:pPr>
            <w:r>
              <w:rPr>
                <w:b/>
                <w:spacing w:val="-2"/>
              </w:rPr>
              <w:t>)</w:t>
            </w:r>
          </w:p>
        </w:tc>
        <w:tc>
          <w:tcPr>
            <w:tcW w:w="4248" w:type="dxa"/>
          </w:tcPr>
          <w:p w:rsidR="00F823B9" w:rsidP="00485617" w14:paraId="6283884D" w14:textId="77777777">
            <w:pPr>
              <w:tabs>
                <w:tab w:val="center" w:pos="4680"/>
              </w:tabs>
              <w:suppressAutoHyphens/>
              <w:rPr>
                <w:spacing w:val="-2"/>
              </w:rPr>
            </w:pPr>
          </w:p>
          <w:p w:rsidR="00F823B9" w:rsidP="00485617" w14:paraId="6B10CAD6" w14:textId="77777777">
            <w:pPr>
              <w:pStyle w:val="TOAHeading"/>
              <w:tabs>
                <w:tab w:val="center" w:pos="4680"/>
                <w:tab w:val="clear" w:pos="9360"/>
              </w:tabs>
              <w:rPr>
                <w:spacing w:val="-2"/>
              </w:rPr>
            </w:pPr>
          </w:p>
          <w:p w:rsidR="00F823B9" w:rsidP="00485617" w14:paraId="7E425DE9" w14:textId="77777777">
            <w:pPr>
              <w:tabs>
                <w:tab w:val="center" w:pos="4680"/>
              </w:tabs>
              <w:suppressAutoHyphens/>
              <w:rPr>
                <w:spacing w:val="-2"/>
              </w:rPr>
            </w:pPr>
            <w:r>
              <w:rPr>
                <w:spacing w:val="-2"/>
              </w:rPr>
              <w:t>PS Docket No. 15-91</w:t>
            </w:r>
          </w:p>
          <w:p w:rsidR="00F823B9" w:rsidP="00485617" w14:paraId="5319C2AF" w14:textId="77777777">
            <w:pPr>
              <w:tabs>
                <w:tab w:val="center" w:pos="4680"/>
              </w:tabs>
              <w:suppressAutoHyphens/>
              <w:rPr>
                <w:spacing w:val="-2"/>
              </w:rPr>
            </w:pPr>
          </w:p>
          <w:p w:rsidR="00F823B9" w:rsidP="00485617" w14:paraId="1E4E83FA" w14:textId="77777777">
            <w:pPr>
              <w:tabs>
                <w:tab w:val="center" w:pos="4680"/>
              </w:tabs>
              <w:suppressAutoHyphens/>
              <w:rPr>
                <w:spacing w:val="-2"/>
              </w:rPr>
            </w:pPr>
          </w:p>
          <w:p w:rsidR="00F823B9" w:rsidP="00485617" w14:paraId="4529BD7A" w14:textId="77777777">
            <w:pPr>
              <w:tabs>
                <w:tab w:val="center" w:pos="4680"/>
              </w:tabs>
              <w:suppressAutoHyphens/>
              <w:rPr>
                <w:spacing w:val="-2"/>
              </w:rPr>
            </w:pPr>
            <w:r>
              <w:rPr>
                <w:spacing w:val="-2"/>
              </w:rPr>
              <w:t>PS Docket No. 15-94</w:t>
            </w:r>
          </w:p>
        </w:tc>
      </w:tr>
    </w:tbl>
    <w:p w:rsidR="00F823B9" w:rsidP="00F823B9" w14:paraId="32FF551F" w14:textId="77777777"/>
    <w:p w:rsidR="00F823B9" w:rsidP="00F823B9" w14:paraId="087167E6" w14:textId="77777777">
      <w:pPr>
        <w:pStyle w:val="StyleBoldCentered"/>
      </w:pPr>
      <w:r>
        <w:t>order</w:t>
      </w:r>
    </w:p>
    <w:p w:rsidR="00F823B9" w:rsidP="00F823B9" w14:paraId="01AB89AC" w14:textId="77777777">
      <w:pPr>
        <w:tabs>
          <w:tab w:val="left" w:pos="-720"/>
        </w:tabs>
        <w:suppressAutoHyphens/>
        <w:spacing w:line="227" w:lineRule="auto"/>
        <w:rPr>
          <w:spacing w:val="-2"/>
        </w:rPr>
      </w:pPr>
    </w:p>
    <w:p w:rsidR="00F823B9" w:rsidP="69EA29CC" w14:paraId="2CCD37EB" w14:textId="63E0AD5C">
      <w:pPr>
        <w:tabs>
          <w:tab w:val="left" w:pos="720"/>
          <w:tab w:val="right" w:pos="9360"/>
        </w:tabs>
        <w:suppressAutoHyphens/>
        <w:spacing w:line="227" w:lineRule="auto"/>
        <w:rPr>
          <w:b/>
          <w:bCs/>
          <w:spacing w:val="-2"/>
        </w:rPr>
      </w:pPr>
      <w:r w:rsidRPr="69EA29CC">
        <w:rPr>
          <w:b/>
          <w:bCs/>
          <w:spacing w:val="-2"/>
        </w:rPr>
        <w:t xml:space="preserve">Adopted:  </w:t>
      </w:r>
      <w:r w:rsidR="00CC0375">
        <w:rPr>
          <w:b/>
          <w:bCs/>
          <w:spacing w:val="-2"/>
        </w:rPr>
        <w:t>April</w:t>
      </w:r>
      <w:r w:rsidRPr="00071DB3" w:rsidR="000A480C">
        <w:rPr>
          <w:b/>
          <w:bCs/>
          <w:spacing w:val="-2"/>
        </w:rPr>
        <w:t xml:space="preserve"> </w:t>
      </w:r>
      <w:r w:rsidR="00560F57">
        <w:rPr>
          <w:b/>
          <w:bCs/>
          <w:spacing w:val="-2"/>
        </w:rPr>
        <w:t>24</w:t>
      </w:r>
      <w:r w:rsidRPr="00071DB3" w:rsidR="000A480C">
        <w:rPr>
          <w:b/>
          <w:bCs/>
          <w:spacing w:val="-2"/>
        </w:rPr>
        <w:t>, 202</w:t>
      </w:r>
      <w:r w:rsidR="001F4E89">
        <w:rPr>
          <w:b/>
          <w:bCs/>
          <w:spacing w:val="-2"/>
        </w:rPr>
        <w:t>4</w:t>
      </w:r>
      <w:r w:rsidR="001E7466">
        <w:rPr>
          <w:b/>
          <w:bCs/>
          <w:spacing w:val="-2"/>
        </w:rPr>
        <w:tab/>
      </w:r>
      <w:r w:rsidRPr="69EA29CC">
        <w:rPr>
          <w:b/>
          <w:bCs/>
          <w:spacing w:val="-2"/>
        </w:rPr>
        <w:t xml:space="preserve">Released:  </w:t>
      </w:r>
      <w:r w:rsidR="00CC0375">
        <w:rPr>
          <w:b/>
          <w:bCs/>
          <w:spacing w:val="-2"/>
        </w:rPr>
        <w:t>April</w:t>
      </w:r>
      <w:r w:rsidRPr="69EA29CC" w:rsidR="000A480C">
        <w:rPr>
          <w:b/>
          <w:bCs/>
          <w:spacing w:val="-2"/>
        </w:rPr>
        <w:t xml:space="preserve"> </w:t>
      </w:r>
      <w:r w:rsidR="00560F57">
        <w:rPr>
          <w:b/>
          <w:bCs/>
          <w:spacing w:val="-2"/>
        </w:rPr>
        <w:t>24</w:t>
      </w:r>
      <w:r w:rsidRPr="69EA29CC">
        <w:rPr>
          <w:b/>
          <w:bCs/>
          <w:spacing w:val="-2"/>
        </w:rPr>
        <w:t>, 202</w:t>
      </w:r>
      <w:r w:rsidR="001F4E89">
        <w:rPr>
          <w:b/>
          <w:bCs/>
          <w:spacing w:val="-2"/>
        </w:rPr>
        <w:t>4</w:t>
      </w:r>
    </w:p>
    <w:p w:rsidR="00F823B9" w:rsidP="00F823B9" w14:paraId="57E70132" w14:textId="77777777"/>
    <w:p w:rsidR="00F823B9" w:rsidP="00F823B9" w14:paraId="5425CF4D" w14:textId="77777777"/>
    <w:p w:rsidR="00F823B9" w:rsidP="00F823B9" w14:paraId="498EABA4" w14:textId="77777777">
      <w:pPr>
        <w:rPr>
          <w:spacing w:val="-2"/>
        </w:rPr>
      </w:pPr>
      <w:r>
        <w:t>By the Deputy</w:t>
      </w:r>
      <w:r>
        <w:rPr>
          <w:spacing w:val="-2"/>
        </w:rPr>
        <w:t xml:space="preserve"> Chief, Public Safety and Homeland Security Bureau:</w:t>
      </w:r>
    </w:p>
    <w:p w:rsidR="00F823B9" w:rsidP="00F823B9" w14:paraId="015B9749" w14:textId="77777777">
      <w:pPr>
        <w:rPr>
          <w:spacing w:val="-2"/>
        </w:rPr>
      </w:pPr>
    </w:p>
    <w:p w:rsidR="00F823B9" w:rsidP="00F823B9" w14:paraId="31C783CB" w14:textId="77777777">
      <w:pPr>
        <w:pStyle w:val="Heading1"/>
      </w:pPr>
      <w:r>
        <w:t>introduction</w:t>
      </w:r>
    </w:p>
    <w:p w:rsidR="00F823B9" w:rsidRPr="00217EF0" w:rsidP="00F823B9" w14:paraId="4E17C608" w14:textId="189EAE4A">
      <w:pPr>
        <w:pStyle w:val="ParaNum"/>
        <w:numPr>
          <w:ilvl w:val="0"/>
          <w:numId w:val="1"/>
        </w:numPr>
        <w:tabs>
          <w:tab w:val="clear" w:pos="1080"/>
          <w:tab w:val="num" w:pos="1440"/>
        </w:tabs>
        <w:rPr>
          <w:szCs w:val="22"/>
        </w:rPr>
      </w:pPr>
      <w:bookmarkStart w:id="1" w:name="_Hlk66116290"/>
      <w:r w:rsidRPr="00F02B3C">
        <w:rPr>
          <w:szCs w:val="22"/>
        </w:rPr>
        <w:t>In this Order, the Federal Communications Commission’s (Commission) Public Safety and Homeland Security Bureau (</w:t>
      </w:r>
      <w:r w:rsidR="00E84A08">
        <w:rPr>
          <w:szCs w:val="22"/>
        </w:rPr>
        <w:t>Bureau</w:t>
      </w:r>
      <w:r w:rsidRPr="00F02B3C">
        <w:rPr>
          <w:szCs w:val="22"/>
        </w:rPr>
        <w:t xml:space="preserve">) grants </w:t>
      </w:r>
      <w:r>
        <w:rPr>
          <w:szCs w:val="22"/>
        </w:rPr>
        <w:t xml:space="preserve">the </w:t>
      </w:r>
      <w:r w:rsidRPr="00F02B3C">
        <w:rPr>
          <w:szCs w:val="22"/>
        </w:rPr>
        <w:t xml:space="preserve">waiver request </w:t>
      </w:r>
      <w:r>
        <w:rPr>
          <w:szCs w:val="22"/>
        </w:rPr>
        <w:t>submitted</w:t>
      </w:r>
      <w:r w:rsidRPr="00F02B3C">
        <w:rPr>
          <w:szCs w:val="22"/>
        </w:rPr>
        <w:t xml:space="preserve"> by</w:t>
      </w:r>
      <w:r>
        <w:rPr>
          <w:szCs w:val="22"/>
        </w:rPr>
        <w:t xml:space="preserve"> </w:t>
      </w:r>
      <w:r w:rsidR="00F22D5B">
        <w:rPr>
          <w:szCs w:val="22"/>
        </w:rPr>
        <w:t>Alert SouthBay</w:t>
      </w:r>
      <w:r w:rsidR="00527730">
        <w:rPr>
          <w:szCs w:val="22"/>
        </w:rPr>
        <w:t xml:space="preserve">, </w:t>
      </w:r>
      <w:r w:rsidR="00527730">
        <w:t>a regional alert and warning program encompassing fifteen cities in the South Bay region of Los Angeles County, California</w:t>
      </w:r>
      <w:r w:rsidRPr="00AB4426">
        <w:rPr>
          <w:szCs w:val="22"/>
        </w:rPr>
        <w:t>.</w:t>
      </w:r>
      <w:r>
        <w:rPr>
          <w:rStyle w:val="FootnoteReference"/>
          <w:szCs w:val="22"/>
        </w:rPr>
        <w:footnoteReference w:id="3"/>
      </w:r>
      <w:r w:rsidRPr="00AB4426">
        <w:rPr>
          <w:szCs w:val="22"/>
        </w:rPr>
        <w:t xml:space="preserve">  </w:t>
      </w:r>
      <w:r w:rsidR="002724C1">
        <w:rPr>
          <w:szCs w:val="22"/>
        </w:rPr>
        <w:t>Alert SouthBay</w:t>
      </w:r>
      <w:r w:rsidR="001F539B">
        <w:rPr>
          <w:szCs w:val="22"/>
        </w:rPr>
        <w:t xml:space="preserve"> requests </w:t>
      </w:r>
      <w:r w:rsidR="00BB21E4">
        <w:rPr>
          <w:szCs w:val="22"/>
        </w:rPr>
        <w:t>a waiver of the Commission’s Wireless Emergency Alerts (WEA) rules to permit Participating Commercial Mobile Service (CMS) Providers</w:t>
      </w:r>
      <w:r>
        <w:rPr>
          <w:rStyle w:val="FootnoteReference"/>
          <w:szCs w:val="22"/>
        </w:rPr>
        <w:footnoteReference w:id="4"/>
      </w:r>
      <w:r w:rsidR="001F7CA2">
        <w:rPr>
          <w:szCs w:val="22"/>
        </w:rPr>
        <w:t xml:space="preserve"> to participate in </w:t>
      </w:r>
      <w:r w:rsidR="0022138E">
        <w:rPr>
          <w:szCs w:val="22"/>
        </w:rPr>
        <w:t xml:space="preserve">an </w:t>
      </w:r>
      <w:r w:rsidR="00E21E14">
        <w:rPr>
          <w:szCs w:val="22"/>
        </w:rPr>
        <w:t>end-to-end WEA test</w:t>
      </w:r>
      <w:r w:rsidR="00294A02">
        <w:rPr>
          <w:szCs w:val="22"/>
        </w:rPr>
        <w:t xml:space="preserve"> received by the public by default</w:t>
      </w:r>
      <w:r w:rsidR="00E21E14">
        <w:rPr>
          <w:szCs w:val="22"/>
        </w:rPr>
        <w:t xml:space="preserve">, scheduled </w:t>
      </w:r>
      <w:r w:rsidR="00AB5117">
        <w:rPr>
          <w:szCs w:val="22"/>
        </w:rPr>
        <w:t>for</w:t>
      </w:r>
      <w:r w:rsidR="00FC19BD">
        <w:rPr>
          <w:szCs w:val="22"/>
        </w:rPr>
        <w:t xml:space="preserve"> </w:t>
      </w:r>
      <w:r w:rsidR="00CC0375">
        <w:rPr>
          <w:szCs w:val="22"/>
        </w:rPr>
        <w:t>May 7</w:t>
      </w:r>
      <w:r w:rsidR="00AB5117">
        <w:rPr>
          <w:szCs w:val="22"/>
        </w:rPr>
        <w:t xml:space="preserve">, </w:t>
      </w:r>
      <w:r w:rsidR="00FC19BD">
        <w:rPr>
          <w:szCs w:val="22"/>
        </w:rPr>
        <w:t>202</w:t>
      </w:r>
      <w:r w:rsidR="00527730">
        <w:rPr>
          <w:szCs w:val="22"/>
        </w:rPr>
        <w:t>4</w:t>
      </w:r>
      <w:r w:rsidR="00FC19BD">
        <w:rPr>
          <w:szCs w:val="22"/>
        </w:rPr>
        <w:t>, at 1</w:t>
      </w:r>
      <w:r w:rsidR="000E35A9">
        <w:rPr>
          <w:szCs w:val="22"/>
        </w:rPr>
        <w:t>1</w:t>
      </w:r>
      <w:r w:rsidR="00FC19BD">
        <w:rPr>
          <w:szCs w:val="22"/>
        </w:rPr>
        <w:t>:</w:t>
      </w:r>
      <w:r w:rsidR="00CC0375">
        <w:rPr>
          <w:szCs w:val="22"/>
        </w:rPr>
        <w:t>3</w:t>
      </w:r>
      <w:r w:rsidR="00FC19BD">
        <w:rPr>
          <w:szCs w:val="22"/>
        </w:rPr>
        <w:t xml:space="preserve">0 a.m. </w:t>
      </w:r>
      <w:r w:rsidR="003227E4">
        <w:rPr>
          <w:szCs w:val="22"/>
        </w:rPr>
        <w:t>Pacific Standard Time (PST)</w:t>
      </w:r>
      <w:r>
        <w:rPr>
          <w:szCs w:val="22"/>
        </w:rPr>
        <w:t>.</w:t>
      </w:r>
      <w:r>
        <w:rPr>
          <w:rStyle w:val="FootnoteReference"/>
          <w:szCs w:val="22"/>
        </w:rPr>
        <w:footnoteReference w:id="5"/>
      </w:r>
      <w:r>
        <w:rPr>
          <w:szCs w:val="22"/>
        </w:rPr>
        <w:t xml:space="preserve"> </w:t>
      </w:r>
    </w:p>
    <w:p w:rsidR="00F823B9" w:rsidRPr="00F02B3C" w:rsidP="00F823B9" w14:paraId="01150A99" w14:textId="41C4B9FE">
      <w:pPr>
        <w:pStyle w:val="ParaNum"/>
        <w:numPr>
          <w:ilvl w:val="0"/>
          <w:numId w:val="1"/>
        </w:numPr>
        <w:tabs>
          <w:tab w:val="clear" w:pos="1080"/>
          <w:tab w:val="num" w:pos="1440"/>
        </w:tabs>
        <w:rPr>
          <w:szCs w:val="22"/>
        </w:rPr>
      </w:pPr>
      <w:r w:rsidRPr="00F02B3C">
        <w:rPr>
          <w:szCs w:val="22"/>
        </w:rPr>
        <w:t xml:space="preserve">Based on the circumstances discussed below, we find that waiver of the Commission’s rules would serve the </w:t>
      </w:r>
      <w:r w:rsidRPr="00A61E63">
        <w:rPr>
          <w:szCs w:val="22"/>
        </w:rPr>
        <w:t xml:space="preserve">public interest. Accordingly, we grant </w:t>
      </w:r>
      <w:r w:rsidR="00310026">
        <w:rPr>
          <w:szCs w:val="22"/>
        </w:rPr>
        <w:t xml:space="preserve">the </w:t>
      </w:r>
      <w:r w:rsidR="00976C25">
        <w:rPr>
          <w:szCs w:val="22"/>
        </w:rPr>
        <w:t>Alert SouthBay</w:t>
      </w:r>
      <w:r w:rsidR="00310026">
        <w:rPr>
          <w:szCs w:val="22"/>
        </w:rPr>
        <w:t>’s</w:t>
      </w:r>
      <w:r w:rsidRPr="00A61E63">
        <w:rPr>
          <w:szCs w:val="22"/>
        </w:rPr>
        <w:t xml:space="preserve"> waiver request to conduct </w:t>
      </w:r>
      <w:r w:rsidR="00DD5594">
        <w:rPr>
          <w:szCs w:val="22"/>
        </w:rPr>
        <w:t>a</w:t>
      </w:r>
      <w:r w:rsidR="00D90CB4">
        <w:rPr>
          <w:szCs w:val="22"/>
        </w:rPr>
        <w:t>n</w:t>
      </w:r>
      <w:r w:rsidR="00CC0375">
        <w:rPr>
          <w:szCs w:val="22"/>
        </w:rPr>
        <w:t xml:space="preserve"> </w:t>
      </w:r>
      <w:r w:rsidRPr="00A61E63">
        <w:rPr>
          <w:szCs w:val="22"/>
        </w:rPr>
        <w:t xml:space="preserve">end-to-end WEA test using </w:t>
      </w:r>
      <w:r w:rsidR="004C17C9">
        <w:rPr>
          <w:szCs w:val="22"/>
        </w:rPr>
        <w:t xml:space="preserve">a WEA alert category that is received by the pubic by default, </w:t>
      </w:r>
      <w:r w:rsidR="00AF2538">
        <w:rPr>
          <w:szCs w:val="22"/>
        </w:rPr>
        <w:t xml:space="preserve">i.e., </w:t>
      </w:r>
      <w:r w:rsidR="00B22C86">
        <w:rPr>
          <w:szCs w:val="22"/>
        </w:rPr>
        <w:t xml:space="preserve">either </w:t>
      </w:r>
      <w:r w:rsidR="00AF2538">
        <w:rPr>
          <w:szCs w:val="22"/>
        </w:rPr>
        <w:t xml:space="preserve">an Imminent Threat Alert or a Public Safety Message, </w:t>
      </w:r>
      <w:r w:rsidR="004C17C9">
        <w:rPr>
          <w:szCs w:val="22"/>
        </w:rPr>
        <w:t>as</w:t>
      </w:r>
      <w:r w:rsidRPr="00A61E63">
        <w:rPr>
          <w:szCs w:val="22"/>
        </w:rPr>
        <w:t xml:space="preserve"> outlined in </w:t>
      </w:r>
      <w:r w:rsidR="00D90CB4">
        <w:rPr>
          <w:szCs w:val="22"/>
        </w:rPr>
        <w:t>Section</w:t>
      </w:r>
      <w:r w:rsidRPr="00A61E63">
        <w:rPr>
          <w:szCs w:val="22"/>
        </w:rPr>
        <w:t xml:space="preserve"> 10.400</w:t>
      </w:r>
      <w:r w:rsidR="00D90CB4">
        <w:rPr>
          <w:szCs w:val="22"/>
        </w:rPr>
        <w:t xml:space="preserve"> of the Commission’s WEA rules</w:t>
      </w:r>
      <w:r w:rsidR="00507B92">
        <w:rPr>
          <w:szCs w:val="22"/>
        </w:rPr>
        <w:t>.</w:t>
      </w:r>
      <w:r>
        <w:rPr>
          <w:rStyle w:val="FootnoteReference"/>
          <w:szCs w:val="22"/>
        </w:rPr>
        <w:footnoteReference w:id="6"/>
      </w:r>
      <w:r w:rsidRPr="00A61E63">
        <w:rPr>
          <w:szCs w:val="22"/>
        </w:rPr>
        <w:t xml:space="preserve"> </w:t>
      </w:r>
      <w:r w:rsidR="00507B92">
        <w:rPr>
          <w:szCs w:val="22"/>
        </w:rPr>
        <w:t xml:space="preserve"> </w:t>
      </w:r>
      <w:r w:rsidRPr="00373798" w:rsidR="00507B92">
        <w:rPr>
          <w:szCs w:val="22"/>
        </w:rPr>
        <w:t xml:space="preserve">The WEA will </w:t>
      </w:r>
      <w:r w:rsidRPr="00373798" w:rsidR="003F79EF">
        <w:rPr>
          <w:szCs w:val="22"/>
        </w:rPr>
        <w:t xml:space="preserve">be </w:t>
      </w:r>
      <w:r w:rsidRPr="00373798" w:rsidR="005072F6">
        <w:rPr>
          <w:szCs w:val="22"/>
        </w:rPr>
        <w:t>broadcast throughout the Alert SouthBay area</w:t>
      </w:r>
      <w:r w:rsidRPr="00373798" w:rsidR="003F79EF">
        <w:rPr>
          <w:szCs w:val="22"/>
        </w:rPr>
        <w:t xml:space="preserve">, </w:t>
      </w:r>
      <w:r w:rsidRPr="00373798">
        <w:rPr>
          <w:szCs w:val="22"/>
        </w:rPr>
        <w:t>subject to certain conditions.</w:t>
      </w:r>
      <w:r w:rsidRPr="00F02B3C">
        <w:rPr>
          <w:szCs w:val="22"/>
        </w:rPr>
        <w:t xml:space="preserve">  </w:t>
      </w:r>
    </w:p>
    <w:bookmarkEnd w:id="1"/>
    <w:p w:rsidR="00F823B9" w:rsidP="00F823B9" w14:paraId="1F4437BF" w14:textId="77777777">
      <w:pPr>
        <w:pStyle w:val="Heading1"/>
      </w:pPr>
      <w:r>
        <w:t>background</w:t>
      </w:r>
    </w:p>
    <w:p w:rsidR="00F823B9" w:rsidP="00B06E36" w14:paraId="0F97DCAA" w14:textId="1C83585F">
      <w:pPr>
        <w:pStyle w:val="ParaNum"/>
        <w:numPr>
          <w:ilvl w:val="0"/>
          <w:numId w:val="1"/>
        </w:numPr>
        <w:tabs>
          <w:tab w:val="clear" w:pos="1080"/>
          <w:tab w:val="num" w:pos="1440"/>
        </w:tabs>
      </w:pPr>
      <w:r w:rsidRPr="69EA29CC">
        <w:t xml:space="preserve">WEA allows authorized government entities to </w:t>
      </w:r>
      <w:r w:rsidR="00B01D44">
        <w:t>send</w:t>
      </w:r>
      <w:r w:rsidRPr="69EA29CC">
        <w:t xml:space="preserve"> geographically-targeted emergency </w:t>
      </w:r>
      <w:r w:rsidRPr="69EA29CC">
        <w:t xml:space="preserve">alerts to </w:t>
      </w:r>
      <w:r w:rsidR="00DC1C33">
        <w:t>commercial wireless subscribers who have WEA-capable mobile devices</w:t>
      </w:r>
      <w:r w:rsidR="008B09C4">
        <w:t>,</w:t>
      </w:r>
      <w:r>
        <w:rPr>
          <w:rStyle w:val="FootnoteReference"/>
        </w:rPr>
        <w:footnoteReference w:id="7"/>
      </w:r>
      <w:r w:rsidR="00DC1C33">
        <w:t xml:space="preserve"> and whose commercial mobile service providers are Participating CMS Providers</w:t>
      </w:r>
      <w:r w:rsidR="002C15B9">
        <w:t>.</w:t>
      </w:r>
      <w:r>
        <w:rPr>
          <w:rStyle w:val="FootnoteReference"/>
        </w:rPr>
        <w:footnoteReference w:id="8"/>
      </w:r>
      <w:r w:rsidR="002C15B9">
        <w:t xml:space="preserve">  </w:t>
      </w:r>
      <w:r w:rsidRPr="69EA29CC">
        <w:t xml:space="preserve">The Commission’s </w:t>
      </w:r>
      <w:r w:rsidR="008C667F">
        <w:t xml:space="preserve">current </w:t>
      </w:r>
      <w:r w:rsidRPr="69EA29CC">
        <w:t>rules prohibit use of the WEA Attention Signal except during actual emergencies, authorized tests, and certain public service announcements.</w:t>
      </w:r>
      <w:r>
        <w:rPr>
          <w:rStyle w:val="FootnoteReference"/>
        </w:rPr>
        <w:footnoteReference w:id="9"/>
      </w:r>
      <w:r w:rsidRPr="69EA29CC">
        <w:t xml:space="preserve">  The Commission’s </w:t>
      </w:r>
      <w:r w:rsidR="00C13580">
        <w:t xml:space="preserve">current </w:t>
      </w:r>
      <w:r w:rsidRPr="69EA29CC">
        <w:t>rules allow WEA end-to-end tests that reach the public only when the test is conducted using the State/Local WEA Test category.</w:t>
      </w:r>
      <w:r>
        <w:rPr>
          <w:rStyle w:val="FootnoteReference"/>
        </w:rPr>
        <w:footnoteReference w:id="10"/>
      </w:r>
      <w:r w:rsidRPr="00B06E36">
        <w:rPr>
          <w:szCs w:val="22"/>
        </w:rPr>
        <w:t xml:space="preserve">  </w:t>
      </w:r>
      <w:bookmarkStart w:id="2" w:name="_Hlk33521239"/>
      <w:r w:rsidRPr="69EA29CC">
        <w:t>State/Local WEA Tests</w:t>
      </w:r>
      <w:r w:rsidRPr="00B06E36">
        <w:rPr>
          <w:szCs w:val="22"/>
        </w:rPr>
        <w:t xml:space="preserve"> </w:t>
      </w:r>
      <w:bookmarkEnd w:id="2"/>
      <w:r w:rsidRPr="69EA29CC">
        <w:t>differ from actual WEAs in the following ways:  Consumers will not receive State/Local WEA Tests by default; instead, consumers must affirmatively opt in to receive these WEA test alert messages.</w:t>
      </w:r>
      <w:r>
        <w:rPr>
          <w:rStyle w:val="FootnoteReference"/>
        </w:rPr>
        <w:footnoteReference w:id="11"/>
      </w:r>
      <w:r w:rsidRPr="69EA29CC">
        <w:t xml:space="preserve">  Further, tests conducted using the State/Local WEA Test category must include conspicuous language sufficient to make it clear to the public that the WEA alert message is only a test.</w:t>
      </w:r>
      <w:r>
        <w:rPr>
          <w:rStyle w:val="FootnoteReference"/>
        </w:rPr>
        <w:footnoteReference w:id="12"/>
      </w:r>
      <w:r w:rsidRPr="00B06E36">
        <w:rPr>
          <w:szCs w:val="22"/>
        </w:rPr>
        <w:t xml:space="preserve">  </w:t>
      </w:r>
      <w:r w:rsidRPr="69EA29CC">
        <w:t>As of December 19, 2019, alert originators wishing to conduct end-to-end WEA tests using the State/Local WEA Test category do not need to request a waiver from the Commission to permit WEA test alerts using the State/Local WEA Test category to be transmitted to the public.</w:t>
      </w:r>
      <w:r>
        <w:rPr>
          <w:rStyle w:val="FootnoteReference"/>
        </w:rPr>
        <w:footnoteReference w:id="13"/>
      </w:r>
    </w:p>
    <w:p w:rsidR="00BE73DB" w:rsidP="00F823B9" w14:paraId="46200B63" w14:textId="3347C2D4">
      <w:pPr>
        <w:pStyle w:val="ParaNum"/>
        <w:numPr>
          <w:ilvl w:val="0"/>
          <w:numId w:val="1"/>
        </w:numPr>
        <w:tabs>
          <w:tab w:val="clear" w:pos="1080"/>
          <w:tab w:val="num" w:pos="1440"/>
        </w:tabs>
      </w:pPr>
      <w:r>
        <w:t>On October 19, 2023, the Commission adopted rules to require Participating CMS Providers to support up to two end-to-end WEA tests, per county (or county equivalent), per year, that consumers receive by default.</w:t>
      </w:r>
      <w:r>
        <w:rPr>
          <w:rStyle w:val="FootnoteReference"/>
        </w:rPr>
        <w:footnoteReference w:id="14"/>
      </w:r>
      <w:r>
        <w:t xml:space="preserve">  </w:t>
      </w:r>
      <w:r w:rsidR="00B61B53">
        <w:t>Under these adopted rules, i</w:t>
      </w:r>
      <w:r>
        <w:t>n advance of conducting</w:t>
      </w:r>
      <w:r w:rsidR="00E42921">
        <w:t xml:space="preserve"> such</w:t>
      </w:r>
      <w:r>
        <w:t xml:space="preserve"> a “WEA Performance and Public Awareness Test,” an alerting authority must do the following: 1) conduct outreach and notify the public in advance of the planned WEA test and that no emergency is, in fact, occurring; 2) include in its test message that the alert is “only a test”; 3) coordinate the test among Participating CMS Providers that serve the geographic area targeted by the test, state, local, and Tribal emergency authorities, relevant State Emergency Communications Committees (SECCs), and first responder organizations; and 4) provide notification to the public in widely accessible formats that the test </w:t>
      </w:r>
      <w:r>
        <w:t>is only a test and is not a warning about an actual emergency.</w:t>
      </w:r>
      <w:r>
        <w:rPr>
          <w:rStyle w:val="FootnoteReference"/>
        </w:rPr>
        <w:footnoteReference w:id="15"/>
      </w:r>
      <w:r>
        <w:t xml:space="preserve">  These rules will become effective </w:t>
      </w:r>
      <w:r w:rsidR="00DB6FBA">
        <w:t xml:space="preserve">within 30 days of the Federal Register’s publication of notice that OMB has completed its review of </w:t>
      </w:r>
      <w:r>
        <w:t xml:space="preserve">the </w:t>
      </w:r>
      <w:r w:rsidRPr="306FF1AF">
        <w:rPr>
          <w:i/>
          <w:iCs/>
        </w:rPr>
        <w:t>2023 WEA</w:t>
      </w:r>
      <w:r w:rsidR="00DB6FBA">
        <w:rPr>
          <w:i/>
          <w:iCs/>
        </w:rPr>
        <w:t xml:space="preserve"> Accessibility </w:t>
      </w:r>
      <w:r w:rsidRPr="306FF1AF">
        <w:rPr>
          <w:i/>
          <w:iCs/>
        </w:rPr>
        <w:t>Report and Order</w:t>
      </w:r>
      <w:r>
        <w:t xml:space="preserve">’s </w:t>
      </w:r>
      <w:r w:rsidR="00DB6FBA">
        <w:t>information collection requirements</w:t>
      </w:r>
      <w:r>
        <w:t>.</w:t>
      </w:r>
      <w:r>
        <w:rPr>
          <w:rStyle w:val="FootnoteReference"/>
        </w:rPr>
        <w:footnoteReference w:id="16"/>
      </w:r>
      <w:r>
        <w:t xml:space="preserve">  </w:t>
      </w:r>
    </w:p>
    <w:p w:rsidR="00487248" w:rsidRPr="00527730" w:rsidP="00527730" w14:paraId="75C7EE5A" w14:textId="43FFD7EC">
      <w:pPr>
        <w:pStyle w:val="ParaNum"/>
        <w:numPr>
          <w:ilvl w:val="0"/>
          <w:numId w:val="1"/>
        </w:numPr>
        <w:tabs>
          <w:tab w:val="clear" w:pos="1080"/>
          <w:tab w:val="num" w:pos="1440"/>
        </w:tabs>
        <w:rPr>
          <w:strike/>
        </w:rPr>
      </w:pPr>
      <w:r w:rsidRPr="006C56E6">
        <w:rPr>
          <w:szCs w:val="22"/>
        </w:rPr>
        <w:t>Alert SouthBay</w:t>
      </w:r>
      <w:r w:rsidRPr="006C56E6" w:rsidR="00D76757">
        <w:rPr>
          <w:szCs w:val="22"/>
        </w:rPr>
        <w:t xml:space="preserve"> requests waiver of the Commission’s rules to allow Participating CMS</w:t>
      </w:r>
      <w:r w:rsidRPr="000C444B" w:rsidR="00D76757">
        <w:rPr>
          <w:szCs w:val="22"/>
        </w:rPr>
        <w:t xml:space="preserve"> Providers to participate</w:t>
      </w:r>
      <w:r w:rsidRPr="000C444B" w:rsidR="00DC41D2">
        <w:rPr>
          <w:szCs w:val="22"/>
        </w:rPr>
        <w:t xml:space="preserve"> in</w:t>
      </w:r>
      <w:r w:rsidRPr="000C444B" w:rsidR="00205173">
        <w:rPr>
          <w:szCs w:val="22"/>
        </w:rPr>
        <w:t xml:space="preserve"> </w:t>
      </w:r>
      <w:r w:rsidR="00556072">
        <w:rPr>
          <w:szCs w:val="22"/>
        </w:rPr>
        <w:t>a</w:t>
      </w:r>
      <w:r w:rsidRPr="000C444B" w:rsidR="00556072">
        <w:rPr>
          <w:szCs w:val="22"/>
        </w:rPr>
        <w:t xml:space="preserve"> </w:t>
      </w:r>
      <w:r w:rsidRPr="000C444B" w:rsidR="00077223">
        <w:rPr>
          <w:szCs w:val="22"/>
        </w:rPr>
        <w:t xml:space="preserve">proposed </w:t>
      </w:r>
      <w:r w:rsidRPr="000C444B" w:rsidR="00DC41D2">
        <w:rPr>
          <w:szCs w:val="22"/>
        </w:rPr>
        <w:t>end-to-end WEA test</w:t>
      </w:r>
      <w:r w:rsidRPr="000C444B" w:rsidR="00EB1CFE">
        <w:rPr>
          <w:szCs w:val="22"/>
        </w:rPr>
        <w:t>, which will be</w:t>
      </w:r>
      <w:r w:rsidRPr="000C444B" w:rsidR="00294A02">
        <w:rPr>
          <w:szCs w:val="22"/>
        </w:rPr>
        <w:t xml:space="preserve"> received by the public by default</w:t>
      </w:r>
      <w:r w:rsidR="00106AA3">
        <w:rPr>
          <w:szCs w:val="22"/>
        </w:rPr>
        <w:t>.</w:t>
      </w:r>
      <w:r w:rsidR="005F598D">
        <w:rPr>
          <w:szCs w:val="22"/>
        </w:rPr>
        <w:t xml:space="preserve">  </w:t>
      </w:r>
      <w:r>
        <w:t xml:space="preserve">The </w:t>
      </w:r>
      <w:r w:rsidR="00527730">
        <w:t>geographic</w:t>
      </w:r>
      <w:r>
        <w:t xml:space="preserve"> are</w:t>
      </w:r>
      <w:r w:rsidR="00AE0C48">
        <w:t>a</w:t>
      </w:r>
      <w:r>
        <w:t xml:space="preserve"> </w:t>
      </w:r>
      <w:r w:rsidR="00D90CB4">
        <w:t xml:space="preserve">in which the test will take place </w:t>
      </w:r>
      <w:r w:rsidR="00AE0C48">
        <w:t>is</w:t>
      </w:r>
      <w:r>
        <w:t xml:space="preserve"> located along the southern California</w:t>
      </w:r>
      <w:r w:rsidR="00C10473">
        <w:t xml:space="preserve"> coastline and surrounded by five oil </w:t>
      </w:r>
      <w:r w:rsidR="00452A0A">
        <w:t>refineries</w:t>
      </w:r>
      <w:r w:rsidR="00C10473">
        <w:t>.</w:t>
      </w:r>
      <w:r>
        <w:rPr>
          <w:rStyle w:val="FootnoteReference"/>
        </w:rPr>
        <w:footnoteReference w:id="17"/>
      </w:r>
      <w:r w:rsidR="00C10473">
        <w:t xml:space="preserve">  </w:t>
      </w:r>
      <w:r w:rsidR="00556072">
        <w:t xml:space="preserve">According to Alert SouthBay, significant land movement in this area has necessitated the evacuation of 20 homes, with another </w:t>
      </w:r>
      <w:r w:rsidR="00C94411">
        <w:t>300 homes</w:t>
      </w:r>
      <w:r w:rsidR="006E2BAA">
        <w:t xml:space="preserve"> are in areas that could warrant evacuation at any time.</w:t>
      </w:r>
      <w:r>
        <w:rPr>
          <w:rStyle w:val="FootnoteReference"/>
        </w:rPr>
        <w:footnoteReference w:id="18"/>
      </w:r>
      <w:r w:rsidR="006E2BAA">
        <w:t xml:space="preserve">  </w:t>
      </w:r>
    </w:p>
    <w:p w:rsidR="00D11687" w:rsidP="00264B89" w14:paraId="4CF5D3C4" w14:textId="0F6028B0">
      <w:pPr>
        <w:pStyle w:val="ParaNum"/>
        <w:numPr>
          <w:ilvl w:val="0"/>
          <w:numId w:val="1"/>
        </w:numPr>
        <w:tabs>
          <w:tab w:val="clear" w:pos="1080"/>
          <w:tab w:val="num" w:pos="1440"/>
        </w:tabs>
      </w:pPr>
      <w:r>
        <w:t>Earlier this year, on January 9, 2024, Alert SouthBay conducted a regional WEA test in this same area.</w:t>
      </w:r>
      <w:r>
        <w:rPr>
          <w:rStyle w:val="FootnoteReference"/>
        </w:rPr>
        <w:footnoteReference w:id="19"/>
      </w:r>
      <w:r>
        <w:t xml:space="preserve">  In doing so, however, they discovered a number of shortcomings.  </w:t>
      </w:r>
      <w:r w:rsidR="00CC44B9">
        <w:t>The purpose of th</w:t>
      </w:r>
      <w:r w:rsidR="00510F9A">
        <w:t xml:space="preserve">is </w:t>
      </w:r>
      <w:r>
        <w:t xml:space="preserve">second </w:t>
      </w:r>
      <w:r w:rsidR="00510F9A">
        <w:t xml:space="preserve">regional test is to </w:t>
      </w:r>
      <w:r>
        <w:t>understand the causes of the</w:t>
      </w:r>
      <w:r>
        <w:t>se</w:t>
      </w:r>
      <w:r>
        <w:t xml:space="preserve"> shortcomings.</w:t>
      </w:r>
      <w:r>
        <w:rPr>
          <w:rStyle w:val="FootnoteReference"/>
        </w:rPr>
        <w:footnoteReference w:id="20"/>
      </w:r>
      <w:r>
        <w:t xml:space="preserve">  These shortcomings included “difficulties in disseminating alerts to all cellular devices, challenges with hyperlink functionality, and cellular carriers’ failure to push the alert to devices.”</w:t>
      </w:r>
      <w:r>
        <w:rPr>
          <w:rStyle w:val="FootnoteReference"/>
        </w:rPr>
        <w:footnoteReference w:id="21"/>
      </w:r>
      <w:r>
        <w:t xml:space="preserve">  </w:t>
      </w:r>
      <w:r>
        <w:t xml:space="preserve">According to </w:t>
      </w:r>
      <w:r w:rsidR="00ED20E5">
        <w:t>Alert South</w:t>
      </w:r>
      <w:r w:rsidR="00D90CB4">
        <w:t>Bay</w:t>
      </w:r>
      <w:r>
        <w:t>,</w:t>
      </w:r>
      <w:r w:rsidR="00ED20E5">
        <w:t xml:space="preserve"> </w:t>
      </w:r>
      <w:r w:rsidR="007B59FC">
        <w:t>“The failure of the cellular carriers to transmit the alert to devices highlights the crucial need for a [second] live WEA test</w:t>
      </w:r>
      <w:r w:rsidR="00ED20E5">
        <w:t>.</w:t>
      </w:r>
      <w:r w:rsidR="007B59FC">
        <w:t>”</w:t>
      </w:r>
      <w:r>
        <w:rPr>
          <w:rStyle w:val="FootnoteReference"/>
        </w:rPr>
        <w:footnoteReference w:id="22"/>
      </w:r>
      <w:r w:rsidR="00ED20E5">
        <w:t xml:space="preserve">  </w:t>
      </w:r>
    </w:p>
    <w:p w:rsidR="003611B7" w:rsidP="00A750EF" w14:paraId="1A8D2E71" w14:textId="2ABC8F24">
      <w:pPr>
        <w:pStyle w:val="ParaNum"/>
        <w:numPr>
          <w:ilvl w:val="0"/>
          <w:numId w:val="1"/>
        </w:numPr>
        <w:tabs>
          <w:tab w:val="clear" w:pos="1080"/>
          <w:tab w:val="num" w:pos="1440"/>
        </w:tabs>
        <w:rPr>
          <w:szCs w:val="22"/>
        </w:rPr>
      </w:pPr>
      <w:r>
        <w:rPr>
          <w:szCs w:val="22"/>
        </w:rPr>
        <w:t>The Alert SouthBay</w:t>
      </w:r>
      <w:r w:rsidR="00500F1A">
        <w:rPr>
          <w:szCs w:val="22"/>
        </w:rPr>
        <w:t xml:space="preserve"> </w:t>
      </w:r>
      <w:r w:rsidR="00334564">
        <w:rPr>
          <w:szCs w:val="22"/>
        </w:rPr>
        <w:t>April Waiver Request</w:t>
      </w:r>
      <w:r w:rsidR="00500F1A">
        <w:rPr>
          <w:szCs w:val="22"/>
        </w:rPr>
        <w:t xml:space="preserve"> describes the </w:t>
      </w:r>
      <w:r w:rsidR="00770D0B">
        <w:rPr>
          <w:szCs w:val="22"/>
        </w:rPr>
        <w:t xml:space="preserve">community outreach it </w:t>
      </w:r>
      <w:r w:rsidR="00C81CD4">
        <w:rPr>
          <w:szCs w:val="22"/>
        </w:rPr>
        <w:t xml:space="preserve">is </w:t>
      </w:r>
      <w:r w:rsidR="00770D0B">
        <w:rPr>
          <w:szCs w:val="22"/>
        </w:rPr>
        <w:t>do</w:t>
      </w:r>
      <w:r w:rsidR="00C81CD4">
        <w:rPr>
          <w:szCs w:val="22"/>
        </w:rPr>
        <w:t>ing</w:t>
      </w:r>
      <w:r w:rsidR="00770D0B">
        <w:rPr>
          <w:szCs w:val="22"/>
        </w:rPr>
        <w:t>.  Th</w:t>
      </w:r>
      <w:r w:rsidR="008848B7">
        <w:rPr>
          <w:szCs w:val="22"/>
        </w:rPr>
        <w:t xml:space="preserve">ey </w:t>
      </w:r>
      <w:r w:rsidR="00C81CD4">
        <w:rPr>
          <w:szCs w:val="22"/>
        </w:rPr>
        <w:t>have prepared</w:t>
      </w:r>
      <w:r w:rsidR="004246E4">
        <w:rPr>
          <w:szCs w:val="22"/>
        </w:rPr>
        <w:t xml:space="preserve"> a press release about the test</w:t>
      </w:r>
      <w:r w:rsidR="008848B7">
        <w:rPr>
          <w:szCs w:val="22"/>
        </w:rPr>
        <w:t xml:space="preserve"> </w:t>
      </w:r>
      <w:r w:rsidR="00C81CD4">
        <w:rPr>
          <w:szCs w:val="22"/>
        </w:rPr>
        <w:t xml:space="preserve">for distribution forthcoming </w:t>
      </w:r>
      <w:r w:rsidR="004246E4">
        <w:rPr>
          <w:szCs w:val="22"/>
        </w:rPr>
        <w:t>city council meetings</w:t>
      </w:r>
      <w:r w:rsidR="00C81CD4">
        <w:rPr>
          <w:szCs w:val="22"/>
        </w:rPr>
        <w:t>;</w:t>
      </w:r>
      <w:r w:rsidR="004246E4">
        <w:rPr>
          <w:szCs w:val="22"/>
        </w:rPr>
        <w:t xml:space="preserve"> </w:t>
      </w:r>
      <w:r w:rsidR="00C81CD4">
        <w:rPr>
          <w:szCs w:val="22"/>
        </w:rPr>
        <w:t xml:space="preserve">disseminated details </w:t>
      </w:r>
      <w:r w:rsidR="002C10BA">
        <w:rPr>
          <w:szCs w:val="22"/>
        </w:rPr>
        <w:t>on the</w:t>
      </w:r>
      <w:r w:rsidR="00E64337">
        <w:rPr>
          <w:szCs w:val="22"/>
        </w:rPr>
        <w:t>ir</w:t>
      </w:r>
      <w:r w:rsidR="002C10BA">
        <w:rPr>
          <w:szCs w:val="22"/>
        </w:rPr>
        <w:t xml:space="preserve"> social media page</w:t>
      </w:r>
      <w:r w:rsidR="004246E4">
        <w:rPr>
          <w:szCs w:val="22"/>
        </w:rPr>
        <w:t>,</w:t>
      </w:r>
      <w:r w:rsidR="002C10BA">
        <w:rPr>
          <w:szCs w:val="22"/>
        </w:rPr>
        <w:t xml:space="preserve"> </w:t>
      </w:r>
      <w:r w:rsidR="00E64337">
        <w:rPr>
          <w:szCs w:val="22"/>
        </w:rPr>
        <w:t xml:space="preserve">as well as </w:t>
      </w:r>
      <w:r w:rsidR="003F2D91">
        <w:rPr>
          <w:szCs w:val="22"/>
        </w:rPr>
        <w:t>with each city’s social media pages</w:t>
      </w:r>
      <w:r w:rsidR="00C81CD4">
        <w:rPr>
          <w:szCs w:val="22"/>
        </w:rPr>
        <w:t>; and,  they will circulate information to various stakeholders, including participating cities, local law enforcement, and fire departments</w:t>
      </w:r>
      <w:r w:rsidR="000F35BA">
        <w:rPr>
          <w:szCs w:val="22"/>
        </w:rPr>
        <w:t xml:space="preserve">, the </w:t>
      </w:r>
      <w:r w:rsidRPr="00A750EF" w:rsidR="00A750EF">
        <w:rPr>
          <w:szCs w:val="22"/>
        </w:rPr>
        <w:t>Los Angeles County O</w:t>
      </w:r>
      <w:r w:rsidR="0009546C">
        <w:rPr>
          <w:szCs w:val="22"/>
        </w:rPr>
        <w:t xml:space="preserve">ffice of </w:t>
      </w:r>
      <w:r w:rsidRPr="00A750EF" w:rsidR="00A750EF">
        <w:rPr>
          <w:szCs w:val="22"/>
        </w:rPr>
        <w:t>E</w:t>
      </w:r>
      <w:r w:rsidR="0009546C">
        <w:rPr>
          <w:szCs w:val="22"/>
        </w:rPr>
        <w:t xml:space="preserve">mergency </w:t>
      </w:r>
      <w:r w:rsidRPr="00A750EF" w:rsidR="00A750EF">
        <w:rPr>
          <w:szCs w:val="22"/>
        </w:rPr>
        <w:t>M</w:t>
      </w:r>
      <w:r w:rsidR="0009546C">
        <w:rPr>
          <w:szCs w:val="22"/>
        </w:rPr>
        <w:t>anagement</w:t>
      </w:r>
      <w:r w:rsidR="000F35BA">
        <w:rPr>
          <w:szCs w:val="22"/>
        </w:rPr>
        <w:t>, as well as other regional and county entities.</w:t>
      </w:r>
      <w:r>
        <w:rPr>
          <w:rStyle w:val="FootnoteReference"/>
          <w:szCs w:val="22"/>
        </w:rPr>
        <w:footnoteReference w:id="23"/>
      </w:r>
      <w:r w:rsidR="000F35BA">
        <w:rPr>
          <w:szCs w:val="22"/>
        </w:rPr>
        <w:t xml:space="preserve"> </w:t>
      </w:r>
      <w:r w:rsidR="00A750EF">
        <w:rPr>
          <w:szCs w:val="22"/>
        </w:rPr>
        <w:t xml:space="preserve"> </w:t>
      </w:r>
      <w:r w:rsidR="000F35BA">
        <w:rPr>
          <w:szCs w:val="22"/>
        </w:rPr>
        <w:t>Alert SouthBay also represents that l</w:t>
      </w:r>
      <w:r w:rsidRPr="00A750EF" w:rsidR="00A750EF">
        <w:rPr>
          <w:szCs w:val="22"/>
        </w:rPr>
        <w:t xml:space="preserve">ocal papers </w:t>
      </w:r>
      <w:r w:rsidR="000F35BA">
        <w:rPr>
          <w:szCs w:val="22"/>
        </w:rPr>
        <w:t>will provide featured coverage of the test.</w:t>
      </w:r>
      <w:r>
        <w:rPr>
          <w:rStyle w:val="FootnoteReference"/>
          <w:szCs w:val="22"/>
        </w:rPr>
        <w:footnoteReference w:id="24"/>
      </w:r>
      <w:r w:rsidR="000F35BA">
        <w:rPr>
          <w:szCs w:val="22"/>
        </w:rPr>
        <w:t xml:space="preserve">  They also will alert their community subscribers, including NIXLE customers, to provide additional details about the upcoming test</w:t>
      </w:r>
      <w:r w:rsidRPr="00A750EF" w:rsidR="00EE611F">
        <w:rPr>
          <w:szCs w:val="22"/>
        </w:rPr>
        <w:t>.</w:t>
      </w:r>
      <w:r>
        <w:rPr>
          <w:rStyle w:val="FootnoteReference"/>
          <w:szCs w:val="22"/>
        </w:rPr>
        <w:footnoteReference w:id="25"/>
      </w:r>
      <w:r w:rsidRPr="00A750EF" w:rsidR="00DD5B06">
        <w:rPr>
          <w:szCs w:val="22"/>
        </w:rPr>
        <w:t xml:space="preserve"> </w:t>
      </w:r>
      <w:r w:rsidR="00A750EF">
        <w:rPr>
          <w:szCs w:val="22"/>
        </w:rPr>
        <w:t xml:space="preserve"> </w:t>
      </w:r>
    </w:p>
    <w:p w:rsidR="00731D12" w:rsidRPr="00731D12" w:rsidP="00731D12" w14:paraId="4A8A08BD" w14:textId="77777777">
      <w:pPr>
        <w:pStyle w:val="ParaNum"/>
        <w:numPr>
          <w:ilvl w:val="0"/>
          <w:numId w:val="1"/>
        </w:numPr>
        <w:tabs>
          <w:tab w:val="clear" w:pos="1080"/>
          <w:tab w:val="num" w:pos="1440"/>
        </w:tabs>
        <w:rPr>
          <w:szCs w:val="22"/>
        </w:rPr>
      </w:pPr>
      <w:r w:rsidRPr="008815A7">
        <w:t xml:space="preserve">Alert SouthBay </w:t>
      </w:r>
      <w:r w:rsidRPr="008815A7" w:rsidR="000F545D">
        <w:t>will send a 360- and 90-character length WEA test message, in both English and Spanish.</w:t>
      </w:r>
      <w:r>
        <w:rPr>
          <w:rStyle w:val="FootnoteReference"/>
        </w:rPr>
        <w:footnoteReference w:id="26"/>
      </w:r>
      <w:r w:rsidRPr="008815A7" w:rsidR="000F545D">
        <w:t xml:space="preserve">  All four versions of the alert will</w:t>
      </w:r>
      <w:r w:rsidRPr="008815A7" w:rsidR="007B3358">
        <w:t xml:space="preserve"> </w:t>
      </w:r>
      <w:r w:rsidRPr="008815A7" w:rsidR="000F545D">
        <w:t>indicate that the alert is from Alert SouthBay, that the message is only a test, that no further action is needed, and will include a hyperlink.</w:t>
      </w:r>
      <w:r>
        <w:rPr>
          <w:rStyle w:val="FootnoteReference"/>
        </w:rPr>
        <w:footnoteReference w:id="27"/>
      </w:r>
      <w:r w:rsidRPr="008815A7" w:rsidR="000F545D">
        <w:t xml:space="preserve">  </w:t>
      </w:r>
    </w:p>
    <w:p w:rsidR="00F823B9" w:rsidP="00F823B9" w14:paraId="5AF72097" w14:textId="2B467F2F">
      <w:pPr>
        <w:pStyle w:val="Heading1"/>
      </w:pPr>
      <w:r>
        <w:t>discussion</w:t>
      </w:r>
    </w:p>
    <w:p w:rsidR="00252EA6" w:rsidRPr="00252EA6" w:rsidP="00C5680E" w14:paraId="5220983A" w14:textId="0BCFDAC0">
      <w:pPr>
        <w:pStyle w:val="ParaNum"/>
        <w:widowControl/>
        <w:numPr>
          <w:ilvl w:val="0"/>
          <w:numId w:val="1"/>
        </w:numPr>
        <w:tabs>
          <w:tab w:val="clear" w:pos="1080"/>
          <w:tab w:val="num" w:pos="1440"/>
        </w:tabs>
        <w:autoSpaceDE w:val="0"/>
        <w:autoSpaceDN w:val="0"/>
        <w:adjustRightInd w:val="0"/>
        <w:rPr>
          <w:szCs w:val="22"/>
        </w:rPr>
      </w:pPr>
      <w:r w:rsidRPr="00252EA6">
        <w:rPr>
          <w:szCs w:val="22"/>
        </w:rPr>
        <w:t>A provision of the Commission’s rules “may be waived by the Commission on its own motion or on petition if good cause therefor is shown.”</w:t>
      </w:r>
      <w:r>
        <w:rPr>
          <w:rStyle w:val="FootnoteReference"/>
          <w:szCs w:val="22"/>
        </w:rPr>
        <w:footnoteReference w:id="28"/>
      </w:r>
      <w:r w:rsidRPr="00252EA6">
        <w:rPr>
          <w:szCs w:val="22"/>
        </w:rPr>
        <w:t xml:space="preserve">  The Commission may find good cause to extend a waiver, “if special circumstances warrant a deviation from the general rule and such deviation will serve the public interest.”</w:t>
      </w:r>
      <w:r>
        <w:rPr>
          <w:rStyle w:val="FootnoteReference"/>
          <w:szCs w:val="22"/>
        </w:rPr>
        <w:footnoteReference w:id="29"/>
      </w:r>
      <w:r w:rsidRPr="00252EA6">
        <w:rPr>
          <w:szCs w:val="22"/>
        </w:rPr>
        <w:t xml:space="preserve">  We conclude that there is good cause to grant </w:t>
      </w:r>
      <w:r w:rsidR="00D35FDD">
        <w:rPr>
          <w:szCs w:val="22"/>
        </w:rPr>
        <w:t>Alert SouthBay</w:t>
      </w:r>
      <w:r w:rsidRPr="00252EA6" w:rsidR="00724DCF">
        <w:rPr>
          <w:szCs w:val="22"/>
        </w:rPr>
        <w:t>’s</w:t>
      </w:r>
      <w:r w:rsidRPr="00252EA6">
        <w:rPr>
          <w:szCs w:val="22"/>
        </w:rPr>
        <w:t xml:space="preserve"> waiver request </w:t>
      </w:r>
      <w:r w:rsidR="00FE1F08">
        <w:rPr>
          <w:szCs w:val="22"/>
        </w:rPr>
        <w:t>to conduct a</w:t>
      </w:r>
      <w:r w:rsidR="00FD56FD">
        <w:rPr>
          <w:szCs w:val="22"/>
        </w:rPr>
        <w:t xml:space="preserve"> second</w:t>
      </w:r>
      <w:r w:rsidR="00FE1F08">
        <w:rPr>
          <w:szCs w:val="22"/>
        </w:rPr>
        <w:t xml:space="preserve"> </w:t>
      </w:r>
      <w:r w:rsidRPr="00252EA6" w:rsidR="00724DCF">
        <w:rPr>
          <w:szCs w:val="22"/>
        </w:rPr>
        <w:t>end-to-end WEA test received by the public by default</w:t>
      </w:r>
      <w:r w:rsidR="00197328">
        <w:rPr>
          <w:szCs w:val="22"/>
        </w:rPr>
        <w:t>, as described in its request</w:t>
      </w:r>
      <w:r w:rsidRPr="00252EA6">
        <w:rPr>
          <w:szCs w:val="22"/>
        </w:rPr>
        <w:t xml:space="preserve">. </w:t>
      </w:r>
    </w:p>
    <w:p w:rsidR="00C5680E" w:rsidRPr="00252EA6" w:rsidP="007C26B6" w14:paraId="413010B8" w14:textId="49515CD1">
      <w:pPr>
        <w:pStyle w:val="ParaNum"/>
        <w:widowControl/>
        <w:numPr>
          <w:ilvl w:val="0"/>
          <w:numId w:val="1"/>
        </w:numPr>
        <w:tabs>
          <w:tab w:val="clear" w:pos="1080"/>
        </w:tabs>
        <w:autoSpaceDE w:val="0"/>
        <w:autoSpaceDN w:val="0"/>
        <w:adjustRightInd w:val="0"/>
      </w:pPr>
      <w:r w:rsidRPr="69EA29CC">
        <w:t>W</w:t>
      </w:r>
      <w:r w:rsidRPr="69EA29CC" w:rsidR="00E332B9">
        <w:t xml:space="preserve">e are persuaded it is in the public interest to allow </w:t>
      </w:r>
      <w:r w:rsidR="00197328">
        <w:t>Alert SouthBay</w:t>
      </w:r>
      <w:r w:rsidRPr="69EA29CC" w:rsidR="00E332B9">
        <w:t xml:space="preserve"> to </w:t>
      </w:r>
      <w:r w:rsidR="00852047">
        <w:t xml:space="preserve">conduct a second </w:t>
      </w:r>
      <w:r w:rsidRPr="69EA29CC" w:rsidR="00E332B9">
        <w:t xml:space="preserve">test </w:t>
      </w:r>
      <w:r w:rsidR="00852047">
        <w:t xml:space="preserve">of </w:t>
      </w:r>
      <w:r w:rsidRPr="69EA29CC" w:rsidR="00E332B9">
        <w:t xml:space="preserve">WEA’s performance </w:t>
      </w:r>
      <w:r w:rsidR="000E3576">
        <w:t xml:space="preserve">in the communities </w:t>
      </w:r>
      <w:r w:rsidR="00FE1F08">
        <w:t>it</w:t>
      </w:r>
      <w:r w:rsidR="000E3576">
        <w:t xml:space="preserve"> serve</w:t>
      </w:r>
      <w:r w:rsidR="00FE1F08">
        <w:t>s</w:t>
      </w:r>
      <w:r w:rsidR="000E3576">
        <w:t xml:space="preserve">.  It is in the public interest for Alert SouthBay to determine if the shortcomings </w:t>
      </w:r>
      <w:r w:rsidR="00FE1F08">
        <w:t>it</w:t>
      </w:r>
      <w:r w:rsidR="000E3576">
        <w:t xml:space="preserve"> witnessed during </w:t>
      </w:r>
      <w:r w:rsidR="00FE1F08">
        <w:t>its</w:t>
      </w:r>
      <w:r w:rsidR="000E3576">
        <w:t xml:space="preserve"> </w:t>
      </w:r>
      <w:r w:rsidR="00FD56FD">
        <w:t xml:space="preserve">first </w:t>
      </w:r>
      <w:r w:rsidR="000E3576">
        <w:t xml:space="preserve">WEA test on January 9, 2024, were anomalous, due to errors/issues that have been resolved, </w:t>
      </w:r>
      <w:r w:rsidR="00FD56FD">
        <w:t xml:space="preserve">or </w:t>
      </w:r>
      <w:r w:rsidR="000E3576">
        <w:t xml:space="preserve">are </w:t>
      </w:r>
      <w:r w:rsidR="00251410">
        <w:t xml:space="preserve">reflective of WEA performance in </w:t>
      </w:r>
      <w:r w:rsidR="00FE1F08">
        <w:t>its</w:t>
      </w:r>
      <w:r w:rsidR="00251410">
        <w:t xml:space="preserve"> area.  It is in the public interest for Alert SouthBay to understand how WEA perform</w:t>
      </w:r>
      <w:r w:rsidR="000E3576">
        <w:t xml:space="preserve">s </w:t>
      </w:r>
      <w:r w:rsidRPr="69EA29CC" w:rsidR="00E332B9">
        <w:t xml:space="preserve">over </w:t>
      </w:r>
      <w:r w:rsidR="00FE1F08">
        <w:t xml:space="preserve">the </w:t>
      </w:r>
      <w:r w:rsidRPr="69EA29CC" w:rsidR="00CA2F76">
        <w:t xml:space="preserve">variety </w:t>
      </w:r>
      <w:r w:rsidRPr="69EA29CC" w:rsidR="00E332B9">
        <w:t>of geographic and demographic</w:t>
      </w:r>
      <w:r w:rsidRPr="00251410" w:rsidR="001C1CA4">
        <w:rPr>
          <w:szCs w:val="22"/>
        </w:rPr>
        <w:t xml:space="preserve"> </w:t>
      </w:r>
      <w:r w:rsidRPr="69EA29CC" w:rsidR="00297D35">
        <w:t>conditions</w:t>
      </w:r>
      <w:r w:rsidR="00FE1F08">
        <w:t xml:space="preserve"> in its area</w:t>
      </w:r>
      <w:r w:rsidR="00257FC4">
        <w:t>, especially</w:t>
      </w:r>
      <w:r w:rsidR="00A750EF">
        <w:t xml:space="preserve"> considering </w:t>
      </w:r>
      <w:r w:rsidR="00251410">
        <w:t>the</w:t>
      </w:r>
      <w:r w:rsidR="00A750EF">
        <w:t xml:space="preserve"> </w:t>
      </w:r>
      <w:r w:rsidR="00D328FD">
        <w:t xml:space="preserve">land movement </w:t>
      </w:r>
      <w:r w:rsidR="00251410">
        <w:t>that occur</w:t>
      </w:r>
      <w:r w:rsidR="00FE1F08">
        <w:t xml:space="preserve"> in parts of the areas it serves</w:t>
      </w:r>
      <w:r w:rsidRPr="69EA29CC" w:rsidR="00297D35">
        <w:t>.</w:t>
      </w:r>
      <w:r w:rsidRPr="00251410" w:rsidR="00DE4B46">
        <w:rPr>
          <w:szCs w:val="22"/>
        </w:rPr>
        <w:t xml:space="preserve">  </w:t>
      </w:r>
      <w:r w:rsidRPr="69EA29CC" w:rsidR="00FC0EA4">
        <w:t xml:space="preserve">We </w:t>
      </w:r>
      <w:r w:rsidR="008F20DB">
        <w:t>are</w:t>
      </w:r>
      <w:r w:rsidR="00251410">
        <w:t xml:space="preserve"> </w:t>
      </w:r>
      <w:r w:rsidRPr="69EA29CC" w:rsidR="00FC0EA4">
        <w:t>persuaded</w:t>
      </w:r>
      <w:r w:rsidRPr="69EA29CC" w:rsidR="006B7215">
        <w:t xml:space="preserve"> that testing </w:t>
      </w:r>
      <w:r w:rsidR="00C24916">
        <w:t xml:space="preserve">WEA in the Alert </w:t>
      </w:r>
      <w:r w:rsidR="009C5F8A">
        <w:t>SouthBay</w:t>
      </w:r>
      <w:r w:rsidRPr="69EA29CC" w:rsidR="00800252">
        <w:t xml:space="preserve"> </w:t>
      </w:r>
      <w:r w:rsidR="00C24916">
        <w:t xml:space="preserve">area will </w:t>
      </w:r>
      <w:r w:rsidR="00A750EF">
        <w:t xml:space="preserve">help </w:t>
      </w:r>
      <w:r w:rsidR="00FD56FD">
        <w:t xml:space="preserve">Alert SouthBay </w:t>
      </w:r>
      <w:r w:rsidRPr="69EA29CC" w:rsidR="00800252">
        <w:t>to</w:t>
      </w:r>
      <w:r w:rsidR="00AC4C48">
        <w:t xml:space="preserve"> achieve </w:t>
      </w:r>
      <w:r w:rsidR="00FD56FD">
        <w:t xml:space="preserve">its </w:t>
      </w:r>
      <w:r w:rsidR="00AC4C48">
        <w:t>goals of</w:t>
      </w:r>
      <w:r w:rsidR="008F20DB">
        <w:t xml:space="preserve"> accurately evaluating WEA performance issues and determining appropriate solutions</w:t>
      </w:r>
      <w:r w:rsidR="0016436F">
        <w:t>.</w:t>
      </w:r>
      <w:r>
        <w:rPr>
          <w:rStyle w:val="FootnoteReference"/>
        </w:rPr>
        <w:footnoteReference w:id="30"/>
      </w:r>
      <w:r w:rsidR="0016436F">
        <w:t xml:space="preserve">  </w:t>
      </w:r>
      <w:r w:rsidR="008F20DB">
        <w:t>Doing so is consistent with the Commission’s recent determination that</w:t>
      </w:r>
      <w:r w:rsidRPr="008F20DB" w:rsidR="008C4C2A">
        <w:rPr>
          <w:rFonts w:ascii="TimesNewRomanPSMT" w:hAnsi="TimesNewRomanPSMT" w:eastAsiaTheme="minorEastAsia" w:cs="TimesNewRomanPSMT"/>
        </w:rPr>
        <w:t xml:space="preserve"> </w:t>
      </w:r>
      <w:r w:rsidR="009A132D">
        <w:t>Participating CMS Providers support up to two end-to-end WEA tests, per county (or county equivalent), per year, that consumers receive by</w:t>
      </w:r>
      <w:r w:rsidR="008F20DB">
        <w:t xml:space="preserve"> default</w:t>
      </w:r>
      <w:r w:rsidRPr="008F20DB">
        <w:rPr>
          <w:rFonts w:ascii="TimesNewRomanPSMT" w:hAnsi="TimesNewRomanPSMT" w:eastAsiaTheme="minorEastAsia" w:cs="TimesNewRomanPSMT"/>
        </w:rPr>
        <w:t>.</w:t>
      </w:r>
      <w:r>
        <w:rPr>
          <w:rStyle w:val="FootnoteReference"/>
          <w:rFonts w:eastAsiaTheme="minorHAnsi" w:cs="TimesNewRomanPSMT"/>
          <w:snapToGrid/>
          <w:kern w:val="0"/>
          <w:szCs w:val="22"/>
          <w14:ligatures w14:val="standardContextual"/>
        </w:rPr>
        <w:footnoteReference w:id="31"/>
      </w:r>
    </w:p>
    <w:p w:rsidR="00F823B9" w:rsidRPr="005F0900" w:rsidP="007676E0" w14:paraId="5D6931B9" w14:textId="4710133C">
      <w:pPr>
        <w:pStyle w:val="ParaNum"/>
        <w:numPr>
          <w:ilvl w:val="0"/>
          <w:numId w:val="1"/>
        </w:numPr>
        <w:tabs>
          <w:tab w:val="clear" w:pos="1080"/>
          <w:tab w:val="num" w:pos="1440"/>
        </w:tabs>
        <w:rPr>
          <w:szCs w:val="22"/>
        </w:rPr>
      </w:pPr>
      <w:r w:rsidRPr="005F0900">
        <w:rPr>
          <w:szCs w:val="22"/>
        </w:rPr>
        <w:t>We</w:t>
      </w:r>
      <w:r>
        <w:rPr>
          <w:szCs w:val="22"/>
        </w:rPr>
        <w:t xml:space="preserve"> </w:t>
      </w:r>
      <w:r w:rsidR="00B61813">
        <w:rPr>
          <w:szCs w:val="22"/>
        </w:rPr>
        <w:t>recogniz</w:t>
      </w:r>
      <w:r>
        <w:rPr>
          <w:szCs w:val="22"/>
        </w:rPr>
        <w:t xml:space="preserve">e, however, </w:t>
      </w:r>
      <w:r w:rsidR="00B61813">
        <w:rPr>
          <w:szCs w:val="22"/>
        </w:rPr>
        <w:t>the test</w:t>
      </w:r>
      <w:r w:rsidR="002E2A13">
        <w:rPr>
          <w:szCs w:val="22"/>
        </w:rPr>
        <w:t xml:space="preserve"> wo</w:t>
      </w:r>
      <w:r>
        <w:rPr>
          <w:szCs w:val="22"/>
        </w:rPr>
        <w:t xml:space="preserve">uld not be in the public interest if </w:t>
      </w:r>
      <w:r w:rsidR="00B61813">
        <w:rPr>
          <w:szCs w:val="22"/>
        </w:rPr>
        <w:t>it</w:t>
      </w:r>
      <w:r>
        <w:rPr>
          <w:szCs w:val="22"/>
        </w:rPr>
        <w:t xml:space="preserve"> </w:t>
      </w:r>
      <w:r w:rsidR="00B61813">
        <w:rPr>
          <w:szCs w:val="22"/>
        </w:rPr>
        <w:t>is</w:t>
      </w:r>
      <w:r>
        <w:rPr>
          <w:szCs w:val="22"/>
        </w:rPr>
        <w:t xml:space="preserve"> presented in a manner that could lead the public to conclude that an actual alert is being transmitted, </w:t>
      </w:r>
      <w:r w:rsidR="00403F76">
        <w:rPr>
          <w:szCs w:val="22"/>
        </w:rPr>
        <w:t>or</w:t>
      </w:r>
      <w:r>
        <w:rPr>
          <w:szCs w:val="22"/>
        </w:rPr>
        <w:t xml:space="preserve"> would otherwise confuse the public.</w:t>
      </w:r>
      <w:r w:rsidRPr="005F0900">
        <w:rPr>
          <w:szCs w:val="22"/>
        </w:rPr>
        <w:t xml:space="preserve"> </w:t>
      </w:r>
      <w:r>
        <w:rPr>
          <w:szCs w:val="22"/>
        </w:rPr>
        <w:t xml:space="preserve"> </w:t>
      </w:r>
      <w:r w:rsidR="00B61813">
        <w:rPr>
          <w:szCs w:val="22"/>
        </w:rPr>
        <w:t xml:space="preserve">In reaching our decision, we have taken into consideration the extensive outreach plan that Alert SouthBay has implemented, as described in </w:t>
      </w:r>
      <w:r w:rsidR="00334564">
        <w:rPr>
          <w:szCs w:val="22"/>
        </w:rPr>
        <w:t xml:space="preserve">the </w:t>
      </w:r>
      <w:r w:rsidRPr="00633128" w:rsidR="00B61813">
        <w:rPr>
          <w:szCs w:val="22"/>
        </w:rPr>
        <w:t xml:space="preserve">Alert SouthBay </w:t>
      </w:r>
      <w:r w:rsidRPr="00633128" w:rsidR="00795087">
        <w:rPr>
          <w:szCs w:val="22"/>
        </w:rPr>
        <w:t>April Waiver Request</w:t>
      </w:r>
      <w:r w:rsidR="00B61813">
        <w:rPr>
          <w:szCs w:val="22"/>
        </w:rPr>
        <w:t xml:space="preserve">, including both public engagement and coordination with other emergency managers and local agencies. </w:t>
      </w:r>
      <w:r>
        <w:rPr>
          <w:szCs w:val="22"/>
        </w:rPr>
        <w:t xml:space="preserve"> </w:t>
      </w:r>
    </w:p>
    <w:p w:rsidR="00F823B9" w:rsidRPr="007E11CD" w:rsidP="007676E0" w14:paraId="27A57541" w14:textId="32132886">
      <w:pPr>
        <w:pStyle w:val="ParaNum"/>
        <w:numPr>
          <w:ilvl w:val="0"/>
          <w:numId w:val="1"/>
        </w:numPr>
        <w:tabs>
          <w:tab w:val="clear" w:pos="1080"/>
          <w:tab w:val="num" w:pos="1440"/>
        </w:tabs>
        <w:rPr>
          <w:szCs w:val="22"/>
        </w:rPr>
      </w:pPr>
      <w:r w:rsidRPr="005F0900">
        <w:rPr>
          <w:szCs w:val="22"/>
        </w:rPr>
        <w:t xml:space="preserve">We condition this waiver to require that </w:t>
      </w:r>
      <w:r>
        <w:rPr>
          <w:szCs w:val="22"/>
        </w:rPr>
        <w:t xml:space="preserve">the </w:t>
      </w:r>
      <w:r w:rsidRPr="005F0900">
        <w:rPr>
          <w:szCs w:val="22"/>
        </w:rPr>
        <w:t xml:space="preserve">test may only be conducted at the time and date </w:t>
      </w:r>
      <w:r w:rsidR="009B22B3">
        <w:rPr>
          <w:szCs w:val="22"/>
        </w:rPr>
        <w:t xml:space="preserve">specified </w:t>
      </w:r>
      <w:r w:rsidRPr="005F0900">
        <w:rPr>
          <w:szCs w:val="22"/>
        </w:rPr>
        <w:t xml:space="preserve">in </w:t>
      </w:r>
      <w:r w:rsidR="00334564">
        <w:rPr>
          <w:szCs w:val="22"/>
        </w:rPr>
        <w:t xml:space="preserve">the </w:t>
      </w:r>
      <w:r w:rsidR="009B22B3">
        <w:rPr>
          <w:szCs w:val="22"/>
        </w:rPr>
        <w:t>Alert SouthBay</w:t>
      </w:r>
      <w:r>
        <w:rPr>
          <w:szCs w:val="22"/>
        </w:rPr>
        <w:t xml:space="preserve"> </w:t>
      </w:r>
      <w:r w:rsidR="00FE1F08">
        <w:rPr>
          <w:szCs w:val="22"/>
        </w:rPr>
        <w:t>April Waiver Request</w:t>
      </w:r>
      <w:r>
        <w:rPr>
          <w:szCs w:val="22"/>
        </w:rPr>
        <w:t xml:space="preserve"> and</w:t>
      </w:r>
      <w:r w:rsidRPr="005F0900">
        <w:rPr>
          <w:szCs w:val="22"/>
        </w:rPr>
        <w:t xml:space="preserve"> may only be conducted for the purposes described therein.  Specifically, the waiver is based upon representations that: </w:t>
      </w:r>
    </w:p>
    <w:p w:rsidR="00F823B9" w:rsidRPr="007E11CD" w:rsidP="00F823B9" w14:paraId="118FF96F" w14:textId="2682686B">
      <w:pPr>
        <w:pStyle w:val="BodyText"/>
        <w:numPr>
          <w:ilvl w:val="1"/>
          <w:numId w:val="3"/>
        </w:numPr>
        <w:tabs>
          <w:tab w:val="left" w:pos="1800"/>
        </w:tabs>
        <w:spacing w:after="240"/>
        <w:ind w:right="620" w:firstLine="0"/>
      </w:pPr>
      <w:r w:rsidRPr="007E11CD">
        <w:t xml:space="preserve">this </w:t>
      </w:r>
      <w:r w:rsidR="00B52C07">
        <w:t xml:space="preserve">regional </w:t>
      </w:r>
      <w:r w:rsidRPr="007E11CD">
        <w:t xml:space="preserve">test is necessary to </w:t>
      </w:r>
      <w:r w:rsidR="00B52C07">
        <w:t>ensure that WEA continues to be an effective way to warn the public about regional emergencies</w:t>
      </w:r>
      <w:r>
        <w:t>;</w:t>
      </w:r>
      <w:r w:rsidRPr="007E11CD">
        <w:t xml:space="preserve"> </w:t>
      </w:r>
    </w:p>
    <w:p w:rsidR="00F823B9" w:rsidRPr="007E11CD" w:rsidP="00F823B9" w14:paraId="5B60E15A" w14:textId="7D559184">
      <w:pPr>
        <w:pStyle w:val="BodyText"/>
        <w:numPr>
          <w:ilvl w:val="1"/>
          <w:numId w:val="3"/>
        </w:numPr>
        <w:tabs>
          <w:tab w:val="left" w:pos="1800"/>
        </w:tabs>
        <w:spacing w:after="240"/>
        <w:ind w:right="620" w:firstLine="0"/>
      </w:pPr>
      <w:r>
        <w:t>Alert SouthBay</w:t>
      </w:r>
      <w:r w:rsidRPr="00ED302C" w:rsidR="00D76757">
        <w:t xml:space="preserve"> will coordinate information about the test with relevant Participating CMS Providers, </w:t>
      </w:r>
      <w:r w:rsidR="007B64BD">
        <w:rPr>
          <w:spacing w:val="-1"/>
        </w:rPr>
        <w:t>as well as</w:t>
      </w:r>
      <w:r w:rsidRPr="00ED302C" w:rsidR="007B64BD">
        <w:rPr>
          <w:spacing w:val="-7"/>
        </w:rPr>
        <w:t xml:space="preserve"> </w:t>
      </w:r>
      <w:r w:rsidRPr="00ED302C" w:rsidR="00D76757">
        <w:t>first</w:t>
      </w:r>
      <w:r w:rsidRPr="00ED302C" w:rsidR="00D76757">
        <w:rPr>
          <w:spacing w:val="-5"/>
        </w:rPr>
        <w:t xml:space="preserve"> </w:t>
      </w:r>
      <w:r w:rsidRPr="00ED302C" w:rsidR="00D76757">
        <w:rPr>
          <w:spacing w:val="-1"/>
        </w:rPr>
        <w:t>responder</w:t>
      </w:r>
      <w:r w:rsidRPr="00ED302C" w:rsidR="00D76757">
        <w:rPr>
          <w:spacing w:val="-6"/>
        </w:rPr>
        <w:t xml:space="preserve"> </w:t>
      </w:r>
      <w:r w:rsidRPr="00ED302C" w:rsidR="00D76757">
        <w:t>organizations</w:t>
      </w:r>
      <w:r w:rsidRPr="00ED302C" w:rsidR="00D76757">
        <w:rPr>
          <w:spacing w:val="-5"/>
        </w:rPr>
        <w:t xml:space="preserve"> </w:t>
      </w:r>
      <w:r w:rsidRPr="00ED302C" w:rsidR="00D76757">
        <w:rPr>
          <w:spacing w:val="-1"/>
        </w:rPr>
        <w:t>such</w:t>
      </w:r>
      <w:r w:rsidRPr="00ED302C" w:rsidR="00D76757">
        <w:rPr>
          <w:spacing w:val="-6"/>
        </w:rPr>
        <w:t xml:space="preserve"> </w:t>
      </w:r>
      <w:r w:rsidRPr="00ED302C" w:rsidR="00D76757">
        <w:rPr>
          <w:spacing w:val="-1"/>
        </w:rPr>
        <w:t>as police</w:t>
      </w:r>
      <w:r w:rsidRPr="00ED302C" w:rsidR="00D76757">
        <w:rPr>
          <w:spacing w:val="-6"/>
        </w:rPr>
        <w:t xml:space="preserve"> </w:t>
      </w:r>
      <w:r w:rsidRPr="00ED302C" w:rsidR="00D76757">
        <w:t>and</w:t>
      </w:r>
      <w:r w:rsidRPr="00ED302C" w:rsidR="00D76757">
        <w:rPr>
          <w:spacing w:val="-5"/>
        </w:rPr>
        <w:t xml:space="preserve"> </w:t>
      </w:r>
      <w:r w:rsidRPr="00ED302C" w:rsidR="00D76757">
        <w:t>fire</w:t>
      </w:r>
      <w:r w:rsidRPr="00ED302C" w:rsidR="00D76757">
        <w:rPr>
          <w:spacing w:val="-4"/>
        </w:rPr>
        <w:t xml:space="preserve"> </w:t>
      </w:r>
      <w:r w:rsidRPr="00ED302C" w:rsidR="00D76757">
        <w:rPr>
          <w:spacing w:val="-1"/>
        </w:rPr>
        <w:t>agencies</w:t>
      </w:r>
      <w:r w:rsidRPr="00ED302C" w:rsidR="00D76757">
        <w:rPr>
          <w:spacing w:val="-6"/>
        </w:rPr>
        <w:t xml:space="preserve"> </w:t>
      </w:r>
      <w:r w:rsidRPr="00ED302C" w:rsidR="00D76757">
        <w:t xml:space="preserve">and 911 </w:t>
      </w:r>
      <w:r w:rsidR="000215D9">
        <w:t>call centers</w:t>
      </w:r>
      <w:r w:rsidRPr="00ED302C" w:rsidR="00D76757">
        <w:t>,</w:t>
      </w:r>
      <w:r w:rsidRPr="00ED302C" w:rsidR="00D76757">
        <w:rPr>
          <w:spacing w:val="-5"/>
        </w:rPr>
        <w:t xml:space="preserve"> </w:t>
      </w:r>
      <w:r w:rsidRPr="00ED302C" w:rsidR="00D76757">
        <w:t>to</w:t>
      </w:r>
      <w:r w:rsidRPr="00ED302C" w:rsidR="00D76757">
        <w:rPr>
          <w:spacing w:val="-5"/>
        </w:rPr>
        <w:t xml:space="preserve"> </w:t>
      </w:r>
      <w:r w:rsidRPr="00ED302C" w:rsidR="00D76757">
        <w:t>ensure</w:t>
      </w:r>
      <w:r w:rsidRPr="00ED302C" w:rsidR="00D76757">
        <w:rPr>
          <w:spacing w:val="-5"/>
        </w:rPr>
        <w:t xml:space="preserve"> </w:t>
      </w:r>
      <w:r w:rsidRPr="00ED302C" w:rsidR="00D76757">
        <w:rPr>
          <w:spacing w:val="-1"/>
        </w:rPr>
        <w:t>that</w:t>
      </w:r>
      <w:r w:rsidRPr="00ED302C" w:rsidR="00D76757">
        <w:rPr>
          <w:spacing w:val="-4"/>
        </w:rPr>
        <w:t xml:space="preserve"> </w:t>
      </w:r>
      <w:r w:rsidRPr="00ED302C" w:rsidR="00D76757">
        <w:t>they</w:t>
      </w:r>
      <w:r w:rsidRPr="00ED302C" w:rsidR="00D76757">
        <w:rPr>
          <w:spacing w:val="-6"/>
        </w:rPr>
        <w:t xml:space="preserve"> </w:t>
      </w:r>
      <w:r w:rsidRPr="00ED302C" w:rsidR="00D76757">
        <w:t>are</w:t>
      </w:r>
      <w:r w:rsidRPr="00ED302C" w:rsidR="00D76757">
        <w:rPr>
          <w:spacing w:val="-5"/>
        </w:rPr>
        <w:t xml:space="preserve"> </w:t>
      </w:r>
      <w:r w:rsidRPr="00ED302C" w:rsidR="00D76757">
        <w:rPr>
          <w:spacing w:val="-1"/>
        </w:rPr>
        <w:t>aware of th</w:t>
      </w:r>
      <w:r w:rsidRPr="00ED302C" w:rsidR="00D76757">
        <w:t>e</w:t>
      </w:r>
      <w:r w:rsidRPr="00ED302C" w:rsidR="00D76757">
        <w:rPr>
          <w:spacing w:val="-4"/>
        </w:rPr>
        <w:t xml:space="preserve"> </w:t>
      </w:r>
      <w:r w:rsidRPr="00ED302C" w:rsidR="00D76757">
        <w:rPr>
          <w:spacing w:val="-1"/>
        </w:rPr>
        <w:t>test</w:t>
      </w:r>
      <w:r w:rsidRPr="00ED302C" w:rsidR="00D76757">
        <w:rPr>
          <w:spacing w:val="-4"/>
        </w:rPr>
        <w:t xml:space="preserve"> </w:t>
      </w:r>
      <w:r w:rsidRPr="00ED302C" w:rsidR="00D76757">
        <w:t>and</w:t>
      </w:r>
      <w:r w:rsidRPr="00ED302C" w:rsidR="00D76757">
        <w:rPr>
          <w:spacing w:val="-4"/>
        </w:rPr>
        <w:t xml:space="preserve"> </w:t>
      </w:r>
      <w:r w:rsidRPr="00ED302C" w:rsidR="00D76757">
        <w:t>can</w:t>
      </w:r>
      <w:r w:rsidRPr="00ED302C" w:rsidR="00D76757">
        <w:rPr>
          <w:spacing w:val="-4"/>
        </w:rPr>
        <w:t xml:space="preserve"> </w:t>
      </w:r>
      <w:r w:rsidRPr="00ED302C" w:rsidR="00D76757">
        <w:t>confirm</w:t>
      </w:r>
      <w:r w:rsidRPr="00ED302C" w:rsidR="00D76757">
        <w:rPr>
          <w:spacing w:val="-4"/>
        </w:rPr>
        <w:t xml:space="preserve"> </w:t>
      </w:r>
      <w:r w:rsidRPr="00ED302C" w:rsidR="00D76757">
        <w:t>to</w:t>
      </w:r>
      <w:r w:rsidRPr="00ED302C" w:rsidR="00D76757">
        <w:rPr>
          <w:spacing w:val="-4"/>
        </w:rPr>
        <w:t xml:space="preserve"> </w:t>
      </w:r>
      <w:r w:rsidRPr="00ED302C" w:rsidR="00D76757">
        <w:t>the</w:t>
      </w:r>
      <w:r w:rsidRPr="00ED302C" w:rsidR="00D76757">
        <w:rPr>
          <w:spacing w:val="-4"/>
        </w:rPr>
        <w:t xml:space="preserve"> </w:t>
      </w:r>
      <w:r w:rsidRPr="00ED302C" w:rsidR="00D76757">
        <w:rPr>
          <w:spacing w:val="-1"/>
        </w:rPr>
        <w:t>public</w:t>
      </w:r>
      <w:r w:rsidRPr="00ED302C" w:rsidR="00D76757">
        <w:rPr>
          <w:spacing w:val="-3"/>
        </w:rPr>
        <w:t xml:space="preserve"> </w:t>
      </w:r>
      <w:r w:rsidRPr="00ED302C" w:rsidR="00D76757">
        <w:t>that</w:t>
      </w:r>
      <w:r w:rsidRPr="00ED302C" w:rsidR="00D76757">
        <w:rPr>
          <w:spacing w:val="-4"/>
        </w:rPr>
        <w:t xml:space="preserve"> </w:t>
      </w:r>
      <w:r w:rsidRPr="00ED302C" w:rsidR="00D76757">
        <w:t>the</w:t>
      </w:r>
      <w:r w:rsidRPr="00ED302C" w:rsidR="00D76757">
        <w:rPr>
          <w:spacing w:val="-4"/>
        </w:rPr>
        <w:t xml:space="preserve"> </w:t>
      </w:r>
      <w:r w:rsidRPr="00ED302C" w:rsidR="00D76757">
        <w:rPr>
          <w:spacing w:val="-1"/>
        </w:rPr>
        <w:t>WEA</w:t>
      </w:r>
      <w:r w:rsidRPr="00ED302C" w:rsidR="00D76757">
        <w:rPr>
          <w:spacing w:val="-4"/>
        </w:rPr>
        <w:t xml:space="preserve"> </w:t>
      </w:r>
      <w:r w:rsidRPr="00ED302C" w:rsidR="00D76757">
        <w:t>messages are</w:t>
      </w:r>
      <w:r w:rsidRPr="00ED302C" w:rsidR="00D76757">
        <w:rPr>
          <w:spacing w:val="-4"/>
        </w:rPr>
        <w:t xml:space="preserve"> </w:t>
      </w:r>
      <w:r w:rsidRPr="00ED302C" w:rsidR="00D76757">
        <w:t>a</w:t>
      </w:r>
      <w:r w:rsidRPr="00ED302C" w:rsidR="00D76757">
        <w:rPr>
          <w:spacing w:val="-3"/>
        </w:rPr>
        <w:t xml:space="preserve"> </w:t>
      </w:r>
      <w:r w:rsidRPr="00ED302C" w:rsidR="00D76757">
        <w:rPr>
          <w:spacing w:val="-1"/>
        </w:rPr>
        <w:t>test; and</w:t>
      </w:r>
    </w:p>
    <w:p w:rsidR="00F823B9" w:rsidRPr="007E11CD" w:rsidP="00F823B9" w14:paraId="2EB22538" w14:textId="77777777">
      <w:pPr>
        <w:pStyle w:val="BodyText"/>
        <w:numPr>
          <w:ilvl w:val="1"/>
          <w:numId w:val="3"/>
        </w:numPr>
        <w:tabs>
          <w:tab w:val="left" w:pos="1800"/>
        </w:tabs>
        <w:spacing w:after="240"/>
        <w:ind w:right="620" w:firstLine="0"/>
      </w:pPr>
      <w:r w:rsidRPr="007E11CD">
        <w:t>the WEA test is not intended as a substitute for other scheduled WEA tests.</w:t>
      </w:r>
    </w:p>
    <w:p w:rsidR="00F823B9" w:rsidP="007676E0" w14:paraId="034AA1ED" w14:textId="570D1890">
      <w:pPr>
        <w:pStyle w:val="ParaNum"/>
        <w:numPr>
          <w:ilvl w:val="0"/>
          <w:numId w:val="1"/>
        </w:numPr>
        <w:tabs>
          <w:tab w:val="clear" w:pos="1080"/>
          <w:tab w:val="num" w:pos="1440"/>
        </w:tabs>
      </w:pPr>
      <w:r w:rsidRPr="69EA29CC">
        <w:t xml:space="preserve">We also require that the tests and any post-test analysis and reports </w:t>
      </w:r>
      <w:r w:rsidR="00B61813">
        <w:t>SouthBay</w:t>
      </w:r>
      <w:r w:rsidRPr="69EA29CC">
        <w:t xml:space="preserve"> choose</w:t>
      </w:r>
      <w:r w:rsidR="00B61813">
        <w:t xml:space="preserve">s </w:t>
      </w:r>
      <w:r w:rsidRPr="69EA29CC">
        <w:t>to conduct or cause to be produced are done in a manner consistent with customers’ expectations of privacy, confidentiality of Participating CMS Providers’ network information, and the overall security of the WEA systems and infrastructure.</w:t>
      </w:r>
      <w:r>
        <w:rPr>
          <w:vertAlign w:val="superscript"/>
        </w:rPr>
        <w:footnoteReference w:id="32"/>
      </w:r>
      <w:r w:rsidRPr="69EA29CC">
        <w:t xml:space="preserve">  We encourage </w:t>
      </w:r>
      <w:r w:rsidR="00F17727">
        <w:rPr>
          <w:spacing w:val="-4"/>
        </w:rPr>
        <w:t>Alert SouthBay</w:t>
      </w:r>
      <w:r w:rsidRPr="00ED302C">
        <w:rPr>
          <w:spacing w:val="-5"/>
          <w:szCs w:val="22"/>
        </w:rPr>
        <w:t xml:space="preserve"> </w:t>
      </w:r>
      <w:r w:rsidRPr="69EA29CC">
        <w:t>to</w:t>
      </w:r>
      <w:r w:rsidRPr="00ED302C">
        <w:rPr>
          <w:spacing w:val="-6"/>
          <w:szCs w:val="22"/>
        </w:rPr>
        <w:t xml:space="preserve"> </w:t>
      </w:r>
      <w:r w:rsidRPr="69EA29CC">
        <w:t>report</w:t>
      </w:r>
      <w:r w:rsidRPr="69EA29CC">
        <w:rPr>
          <w:spacing w:val="-4"/>
        </w:rPr>
        <w:t xml:space="preserve"> its </w:t>
      </w:r>
      <w:r w:rsidRPr="69EA29CC">
        <w:t>test</w:t>
      </w:r>
      <w:r w:rsidRPr="00ED302C">
        <w:rPr>
          <w:spacing w:val="-6"/>
          <w:szCs w:val="22"/>
        </w:rPr>
        <w:t xml:space="preserve"> </w:t>
      </w:r>
      <w:r w:rsidRPr="69EA29CC">
        <w:rPr>
          <w:spacing w:val="-1"/>
        </w:rPr>
        <w:t>results</w:t>
      </w:r>
      <w:r w:rsidRPr="00ED302C">
        <w:rPr>
          <w:spacing w:val="-5"/>
          <w:szCs w:val="22"/>
        </w:rPr>
        <w:t xml:space="preserve"> </w:t>
      </w:r>
      <w:r w:rsidRPr="69EA29CC">
        <w:t>in</w:t>
      </w:r>
      <w:r w:rsidRPr="00ED302C">
        <w:rPr>
          <w:spacing w:val="-6"/>
          <w:szCs w:val="22"/>
        </w:rPr>
        <w:t xml:space="preserve"> </w:t>
      </w:r>
      <w:r w:rsidRPr="69EA29CC">
        <w:rPr>
          <w:spacing w:val="-1"/>
        </w:rPr>
        <w:t>electronic</w:t>
      </w:r>
      <w:r w:rsidRPr="00ED302C">
        <w:rPr>
          <w:spacing w:val="-5"/>
          <w:szCs w:val="22"/>
        </w:rPr>
        <w:t xml:space="preserve"> </w:t>
      </w:r>
      <w:r w:rsidRPr="69EA29CC">
        <w:t>format</w:t>
      </w:r>
      <w:r w:rsidRPr="00ED302C">
        <w:rPr>
          <w:spacing w:val="-4"/>
          <w:szCs w:val="22"/>
        </w:rPr>
        <w:t xml:space="preserve"> </w:t>
      </w:r>
      <w:r w:rsidRPr="69EA29CC">
        <w:t>to</w:t>
      </w:r>
      <w:r w:rsidRPr="00ED302C">
        <w:rPr>
          <w:spacing w:val="-6"/>
          <w:szCs w:val="22"/>
        </w:rPr>
        <w:t xml:space="preserve"> </w:t>
      </w:r>
      <w:r w:rsidRPr="69EA29CC">
        <w:rPr>
          <w:spacing w:val="-1"/>
        </w:rPr>
        <w:t xml:space="preserve">the </w:t>
      </w:r>
      <w:r w:rsidRPr="69EA29CC">
        <w:t xml:space="preserve">Bureau. </w:t>
      </w:r>
      <w:r w:rsidRPr="00ED302C">
        <w:rPr>
          <w:spacing w:val="48"/>
          <w:szCs w:val="22"/>
        </w:rPr>
        <w:t xml:space="preserve"> </w:t>
      </w:r>
      <w:r w:rsidRPr="69EA29CC">
        <w:rPr>
          <w:spacing w:val="-1"/>
        </w:rPr>
        <w:t>Finally,</w:t>
      </w:r>
      <w:r w:rsidRPr="00ED302C">
        <w:rPr>
          <w:spacing w:val="-4"/>
          <w:szCs w:val="22"/>
        </w:rPr>
        <w:t xml:space="preserve"> </w:t>
      </w:r>
      <w:r w:rsidRPr="69EA29CC">
        <w:rPr>
          <w:spacing w:val="-1"/>
        </w:rPr>
        <w:t>we</w:t>
      </w:r>
      <w:r w:rsidRPr="00ED302C">
        <w:rPr>
          <w:spacing w:val="-4"/>
          <w:szCs w:val="22"/>
        </w:rPr>
        <w:t xml:space="preserve"> </w:t>
      </w:r>
      <w:r w:rsidRPr="69EA29CC">
        <w:t>encourage</w:t>
      </w:r>
      <w:r w:rsidRPr="00ED302C">
        <w:rPr>
          <w:spacing w:val="-4"/>
          <w:szCs w:val="22"/>
        </w:rPr>
        <w:t xml:space="preserve"> </w:t>
      </w:r>
      <w:r w:rsidRPr="69EA29CC">
        <w:rPr>
          <w:spacing w:val="-1"/>
        </w:rPr>
        <w:t>members</w:t>
      </w:r>
      <w:r w:rsidRPr="00ED302C">
        <w:rPr>
          <w:spacing w:val="-4"/>
          <w:szCs w:val="22"/>
        </w:rPr>
        <w:t xml:space="preserve"> </w:t>
      </w:r>
      <w:r w:rsidRPr="69EA29CC">
        <w:t>of</w:t>
      </w:r>
      <w:r w:rsidRPr="00ED302C">
        <w:rPr>
          <w:spacing w:val="-4"/>
          <w:szCs w:val="22"/>
        </w:rPr>
        <w:t xml:space="preserve"> </w:t>
      </w:r>
      <w:r w:rsidRPr="69EA29CC">
        <w:t>the</w:t>
      </w:r>
      <w:r w:rsidRPr="00ED302C">
        <w:rPr>
          <w:spacing w:val="-4"/>
          <w:szCs w:val="22"/>
        </w:rPr>
        <w:t xml:space="preserve"> </w:t>
      </w:r>
      <w:r w:rsidRPr="69EA29CC">
        <w:rPr>
          <w:spacing w:val="-1"/>
        </w:rPr>
        <w:t>public</w:t>
      </w:r>
      <w:r w:rsidRPr="69EA29CC">
        <w:rPr>
          <w:spacing w:val="-3"/>
        </w:rPr>
        <w:t xml:space="preserve"> who</w:t>
      </w:r>
      <w:r w:rsidRPr="00ED302C">
        <w:rPr>
          <w:spacing w:val="-4"/>
          <w:szCs w:val="22"/>
        </w:rPr>
        <w:t xml:space="preserve"> </w:t>
      </w:r>
      <w:r w:rsidRPr="69EA29CC">
        <w:t xml:space="preserve">experience </w:t>
      </w:r>
      <w:r w:rsidRPr="69EA29CC">
        <w:rPr>
          <w:spacing w:val="-1"/>
        </w:rPr>
        <w:t>anomalous WEA test performance</w:t>
      </w:r>
      <w:r w:rsidRPr="00ED302C">
        <w:rPr>
          <w:spacing w:val="-3"/>
          <w:szCs w:val="22"/>
        </w:rPr>
        <w:t xml:space="preserve"> </w:t>
      </w:r>
      <w:r w:rsidRPr="69EA29CC">
        <w:t>to</w:t>
      </w:r>
      <w:r w:rsidRPr="00ED302C">
        <w:rPr>
          <w:spacing w:val="-5"/>
          <w:szCs w:val="22"/>
        </w:rPr>
        <w:t xml:space="preserve"> </w:t>
      </w:r>
      <w:r w:rsidRPr="69EA29CC">
        <w:rPr>
          <w:spacing w:val="-5"/>
        </w:rPr>
        <w:t xml:space="preserve">report their experience to </w:t>
      </w:r>
      <w:r w:rsidRPr="69EA29CC" w:rsidR="00E0477B">
        <w:rPr>
          <w:spacing w:val="-5"/>
        </w:rPr>
        <w:t>the Bureau</w:t>
      </w:r>
      <w:r>
        <w:rPr>
          <w:spacing w:val="-5"/>
          <w:szCs w:val="22"/>
        </w:rPr>
        <w:t xml:space="preserve"> </w:t>
      </w:r>
      <w:r w:rsidRPr="69EA29CC">
        <w:t>by</w:t>
      </w:r>
      <w:r w:rsidRPr="00ED302C">
        <w:rPr>
          <w:spacing w:val="-4"/>
          <w:szCs w:val="22"/>
        </w:rPr>
        <w:t xml:space="preserve"> </w:t>
      </w:r>
      <w:r w:rsidRPr="69EA29CC">
        <w:rPr>
          <w:spacing w:val="-1"/>
        </w:rPr>
        <w:t>submitting a brief description of the issue to</w:t>
      </w:r>
      <w:r w:rsidRPr="00ED302C">
        <w:rPr>
          <w:spacing w:val="-7"/>
          <w:szCs w:val="22"/>
        </w:rPr>
        <w:t xml:space="preserve"> </w:t>
      </w:r>
      <w:r w:rsidRPr="69EA29CC">
        <w:t>the</w:t>
      </w:r>
      <w:r w:rsidRPr="00ED302C">
        <w:rPr>
          <w:spacing w:val="-8"/>
          <w:szCs w:val="22"/>
        </w:rPr>
        <w:t xml:space="preserve"> </w:t>
      </w:r>
      <w:r w:rsidRPr="69EA29CC">
        <w:rPr>
          <w:spacing w:val="-1"/>
        </w:rPr>
        <w:t>FCC’s</w:t>
      </w:r>
      <w:r w:rsidRPr="00ED302C">
        <w:rPr>
          <w:spacing w:val="-7"/>
          <w:szCs w:val="22"/>
        </w:rPr>
        <w:t xml:space="preserve"> </w:t>
      </w:r>
      <w:r w:rsidRPr="69EA29CC">
        <w:rPr>
          <w:spacing w:val="-1"/>
        </w:rPr>
        <w:t>Public</w:t>
      </w:r>
      <w:r w:rsidRPr="00ED302C">
        <w:rPr>
          <w:spacing w:val="-7"/>
          <w:szCs w:val="22"/>
        </w:rPr>
        <w:t xml:space="preserve"> </w:t>
      </w:r>
      <w:r w:rsidRPr="69EA29CC">
        <w:rPr>
          <w:spacing w:val="-1"/>
        </w:rPr>
        <w:t>Safety</w:t>
      </w:r>
      <w:r w:rsidRPr="00ED302C">
        <w:rPr>
          <w:spacing w:val="-7"/>
          <w:szCs w:val="22"/>
        </w:rPr>
        <w:t xml:space="preserve"> </w:t>
      </w:r>
      <w:r w:rsidRPr="69EA29CC">
        <w:rPr>
          <w:spacing w:val="-1"/>
        </w:rPr>
        <w:t>Support</w:t>
      </w:r>
      <w:r w:rsidRPr="00ED302C">
        <w:rPr>
          <w:spacing w:val="-7"/>
          <w:szCs w:val="22"/>
        </w:rPr>
        <w:t xml:space="preserve"> </w:t>
      </w:r>
      <w:r w:rsidRPr="69EA29CC">
        <w:rPr>
          <w:spacing w:val="-1"/>
        </w:rPr>
        <w:t>Center</w:t>
      </w:r>
      <w:r w:rsidRPr="00ED302C">
        <w:rPr>
          <w:spacing w:val="-7"/>
          <w:szCs w:val="22"/>
        </w:rPr>
        <w:t xml:space="preserve"> </w:t>
      </w:r>
      <w:r w:rsidRPr="69EA29CC">
        <w:rPr>
          <w:spacing w:val="-1"/>
        </w:rPr>
        <w:t>at</w:t>
      </w:r>
      <w:r w:rsidRPr="00ED302C">
        <w:rPr>
          <w:spacing w:val="-7"/>
          <w:szCs w:val="22"/>
        </w:rPr>
        <w:t xml:space="preserve"> </w:t>
      </w:r>
      <w:hyperlink r:id="rId5" w:history="1">
        <w:r w:rsidRPr="69EA29CC">
          <w:rPr>
            <w:color w:val="0000FF"/>
            <w:spacing w:val="-1"/>
            <w:u w:val="single" w:color="0000FF"/>
          </w:rPr>
          <w:t>https://www.fcc.gov/general/public-safety-</w:t>
        </w:r>
      </w:hyperlink>
      <w:hyperlink r:id="rId5" w:history="1">
        <w:r w:rsidRPr="69EA29CC">
          <w:rPr>
            <w:color w:val="0000FF"/>
            <w:spacing w:val="-1"/>
            <w:u w:val="single" w:color="0000FF"/>
          </w:rPr>
          <w:t>support-center</w:t>
        </w:r>
      </w:hyperlink>
      <w:r>
        <w:t>.</w:t>
      </w:r>
    </w:p>
    <w:p w:rsidR="00F823B9" w:rsidP="00F823B9" w14:paraId="6132A6A3" w14:textId="77777777">
      <w:pPr>
        <w:pStyle w:val="Heading1"/>
      </w:pPr>
      <w:r>
        <w:t>ordering clause</w:t>
      </w:r>
    </w:p>
    <w:p w:rsidR="00F823B9" w:rsidRPr="00EA020E" w:rsidP="007676E0" w14:paraId="6F2F9521" w14:textId="6707537A">
      <w:pPr>
        <w:pStyle w:val="ParaNum"/>
        <w:numPr>
          <w:ilvl w:val="0"/>
          <w:numId w:val="1"/>
        </w:numPr>
        <w:tabs>
          <w:tab w:val="clear" w:pos="1080"/>
          <w:tab w:val="num" w:pos="1440"/>
        </w:tabs>
      </w:pPr>
      <w:r>
        <w:t>A</w:t>
      </w:r>
      <w:r w:rsidRPr="007103D1">
        <w:t>ccordingly</w:t>
      </w:r>
      <w:r w:rsidRPr="000C246D">
        <w:t xml:space="preserve">, </w:t>
      </w:r>
      <w:r w:rsidRPr="007E11CD">
        <w:rPr>
          <w:b/>
          <w:bCs/>
        </w:rPr>
        <w:t>IT IS ORDERED</w:t>
      </w:r>
      <w:r w:rsidRPr="000C246D">
        <w:t xml:space="preserve"> that, pursuant to Section 4(i) of the Communications Act of 1934, as amended, 47 U.S.C. § 154(i</w:t>
      </w:r>
      <w:r w:rsidRPr="00C82028">
        <w:t xml:space="preserve">), and Section 1.3 of the Commission’s rules, 47 CFR § 1.3, Sections 10.400, 10.520(d), 10.530(b), and 11.45 of the Commission’s rules, 47 CFR §§ 10.400, 10.520(d), 10.530(b), and 11.45 of the Commission’s rules, </w:t>
      </w:r>
      <w:r w:rsidRPr="007E11CD">
        <w:rPr>
          <w:b/>
          <w:bCs/>
        </w:rPr>
        <w:t>ARE WAIVED</w:t>
      </w:r>
      <w:r w:rsidRPr="000C246D">
        <w:t xml:space="preserve">, to allow </w:t>
      </w:r>
      <w:r w:rsidR="00F17727">
        <w:t>the test o</w:t>
      </w:r>
      <w:r w:rsidR="00F57CD6">
        <w:t>f WEA,</w:t>
      </w:r>
      <w:r w:rsidR="00E0477B">
        <w:t xml:space="preserve"> as described above</w:t>
      </w:r>
      <w:r w:rsidR="00F57CD6">
        <w:t>,</w:t>
      </w:r>
      <w:r w:rsidRPr="00C82028" w:rsidR="00F57CD6">
        <w:t xml:space="preserve"> </w:t>
      </w:r>
      <w:r w:rsidR="00F57CD6">
        <w:t>i</w:t>
      </w:r>
      <w:r w:rsidRPr="00C82028">
        <w:t>n</w:t>
      </w:r>
      <w:r>
        <w:t xml:space="preserve"> </w:t>
      </w:r>
      <w:r w:rsidR="00B61813">
        <w:t xml:space="preserve">the geographic areas identified in the </w:t>
      </w:r>
      <w:r w:rsidR="00B22D25">
        <w:t xml:space="preserve">Alert </w:t>
      </w:r>
      <w:r w:rsidR="00B61813">
        <w:t xml:space="preserve">SouthBay </w:t>
      </w:r>
      <w:r w:rsidR="00795087">
        <w:t>April Waiver Request</w:t>
      </w:r>
      <w:r>
        <w:t xml:space="preserve">; which test must be conducted subject to the conditions described herein.  </w:t>
      </w:r>
      <w:r w:rsidRPr="00944C92">
        <w:t>This action is taken under</w:t>
      </w:r>
      <w:r w:rsidRPr="000C246D">
        <w:t xml:space="preserve"> delegated authority </w:t>
      </w:r>
      <w:r w:rsidRPr="00C82028">
        <w:t>pursuant to Sections 0.191 and 0.392 of the Commission’s rules, 47 CFR §§ 0.191 and 0.392.</w:t>
      </w:r>
    </w:p>
    <w:p w:rsidR="00F823B9" w:rsidP="00F823B9" w14:paraId="0F7902A2" w14:textId="77777777">
      <w:pPr>
        <w:pStyle w:val="ParaNum"/>
      </w:pPr>
    </w:p>
    <w:p w:rsidR="00F823B9" w:rsidRPr="00436ED9" w:rsidP="00F823B9" w14:paraId="3066CD34"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F823B9" w:rsidRPr="00436ED9" w:rsidP="00F823B9" w14:paraId="72DB2140" w14:textId="77777777">
      <w:pPr>
        <w:keepNext/>
        <w:widowControl/>
        <w:rPr>
          <w:szCs w:val="22"/>
        </w:rPr>
      </w:pPr>
    </w:p>
    <w:p w:rsidR="00F823B9" w:rsidRPr="00436ED9" w:rsidP="00F823B9" w14:paraId="5B977A87" w14:textId="77777777">
      <w:pPr>
        <w:keepNext/>
        <w:widowControl/>
        <w:rPr>
          <w:szCs w:val="22"/>
        </w:rPr>
      </w:pPr>
    </w:p>
    <w:p w:rsidR="00F823B9" w:rsidRPr="00436ED9" w:rsidP="00F823B9" w14:paraId="5D4464A2" w14:textId="77777777">
      <w:pPr>
        <w:rPr>
          <w:szCs w:val="22"/>
        </w:rPr>
      </w:pPr>
    </w:p>
    <w:p w:rsidR="00F823B9" w:rsidRPr="00436ED9" w:rsidP="00F823B9" w14:paraId="23D581A8" w14:textId="77777777">
      <w:pPr>
        <w:spacing w:before="2"/>
        <w:rPr>
          <w:szCs w:val="22"/>
        </w:rPr>
      </w:pPr>
    </w:p>
    <w:p w:rsidR="00F823B9" w:rsidRPr="00436ED9" w:rsidP="00F823B9" w14:paraId="50DBC599" w14:textId="77777777">
      <w:pPr>
        <w:pStyle w:val="BodyText"/>
        <w:ind w:left="4297" w:right="3533"/>
        <w:jc w:val="center"/>
      </w:pPr>
      <w:bookmarkStart w:id="3" w:name="sp_999_4"/>
      <w:bookmarkStart w:id="4" w:name="SDU_4"/>
      <w:bookmarkEnd w:id="3"/>
      <w:bookmarkEnd w:id="4"/>
      <w:r>
        <w:t>Nicole McGinnis</w:t>
      </w:r>
    </w:p>
    <w:p w:rsidR="00F823B9" w:rsidP="00F823B9" w14:paraId="1A3867EF" w14:textId="77777777">
      <w:pPr>
        <w:pStyle w:val="BodyText"/>
        <w:ind w:left="4680" w:right="271" w:hanging="360"/>
        <w:rPr>
          <w:spacing w:val="-7"/>
        </w:rPr>
      </w:pPr>
      <w:r>
        <w:t xml:space="preserve">Deputy </w:t>
      </w:r>
      <w:r w:rsidRPr="00436ED9">
        <w:t>Chief</w:t>
      </w:r>
      <w:r w:rsidRPr="00436ED9">
        <w:rPr>
          <w:spacing w:val="-7"/>
        </w:rPr>
        <w:t xml:space="preserve"> </w:t>
      </w:r>
    </w:p>
    <w:p w:rsidR="00F823B9" w:rsidP="00F823B9" w14:paraId="00F7FE24"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F823B9" w:rsidRPr="007551E7" w:rsidP="00F823B9" w14:paraId="44DD550A"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bookmarkEnd w:id="0"/>
    </w:p>
    <w:p w:rsidR="00F978F3" w14:paraId="7A142FAE" w14:textId="77777777">
      <w:pPr>
        <w:rPr>
          <w:i/>
          <w:iCs/>
          <w:snapToGrid/>
          <w:kern w:val="0"/>
          <w:sz w:val="20"/>
        </w:rPr>
      </w:pPr>
    </w:p>
    <w:p w:rsidR="00D739E3" w:rsidRPr="00D739E3" w:rsidP="00D739E3" w14:paraId="0E2929DA" w14:textId="77777777"/>
    <w:p w:rsidR="00D739E3" w:rsidRPr="00D739E3" w:rsidP="00D739E3" w14:paraId="4E7C970B" w14:textId="77777777"/>
    <w:p w:rsidR="00D739E3" w:rsidRPr="00D739E3" w:rsidP="00D739E3" w14:paraId="5DB4D197" w14:textId="77777777"/>
    <w:p w:rsidR="00D739E3" w:rsidRPr="00D739E3" w:rsidP="00D739E3" w14:paraId="3CC1F9F2" w14:textId="77777777"/>
    <w:p w:rsidR="00D739E3" w:rsidRPr="00D739E3" w:rsidP="00D739E3" w14:paraId="77A17A13" w14:textId="77777777"/>
    <w:p w:rsidR="00D739E3" w:rsidRPr="00D739E3" w:rsidP="00D739E3" w14:paraId="729916EF" w14:textId="77777777"/>
    <w:p w:rsidR="00D739E3" w:rsidRPr="00D739E3" w:rsidP="00D739E3" w14:paraId="24BBABCE" w14:textId="77777777"/>
    <w:p w:rsidR="00D739E3" w:rsidRPr="00D739E3" w:rsidP="00D739E3" w14:paraId="6F69EB1B" w14:textId="77777777"/>
    <w:p w:rsidR="00D739E3" w:rsidRPr="00D739E3" w:rsidP="00D739E3" w14:paraId="775EFE7A" w14:textId="77777777"/>
    <w:p w:rsidR="00D739E3" w:rsidRPr="00D739E3" w:rsidP="00D739E3" w14:paraId="73418AC7" w14:textId="77777777"/>
    <w:p w:rsidR="00D739E3" w:rsidRPr="00D739E3" w:rsidP="00D739E3" w14:paraId="299F3B93" w14:textId="77777777"/>
    <w:p w:rsidR="00D739E3" w:rsidRPr="00D739E3" w:rsidP="00D739E3" w14:paraId="65744F6D" w14:textId="77777777"/>
    <w:p w:rsidR="00D739E3" w:rsidRPr="00D739E3" w:rsidP="00D739E3" w14:paraId="453667BE" w14:textId="77777777"/>
    <w:p w:rsidR="00D739E3" w:rsidRPr="00D739E3" w:rsidP="00D739E3" w14:paraId="75B43DBD" w14:textId="77777777"/>
    <w:p w:rsidR="00D739E3" w:rsidRPr="00D739E3" w:rsidP="00D739E3" w14:paraId="19B3016B" w14:textId="77777777"/>
    <w:p w:rsidR="00D739E3" w:rsidRPr="00D739E3" w:rsidP="00D739E3" w14:paraId="4CE65B10" w14:textId="77777777"/>
    <w:p w:rsidR="00D739E3" w:rsidRPr="00D739E3" w:rsidP="00D739E3" w14:paraId="0C410C63" w14:textId="77777777"/>
    <w:p w:rsidR="00D739E3" w:rsidRPr="00D739E3" w:rsidP="00D739E3" w14:paraId="237FB06E" w14:textId="77777777"/>
    <w:p w:rsidR="00D739E3" w:rsidRPr="00D739E3" w:rsidP="00D739E3" w14:paraId="432420D6" w14:textId="77777777"/>
    <w:p w:rsidR="00D739E3" w:rsidRPr="00D739E3" w:rsidP="00D739E3" w14:paraId="66B5B76C" w14:textId="77777777"/>
    <w:p w:rsidR="00D739E3" w:rsidRPr="00D739E3" w:rsidP="00D739E3" w14:paraId="1C5A4050" w14:textId="77777777"/>
    <w:p w:rsidR="00D739E3" w:rsidP="00D739E3" w14:paraId="463AF76B" w14:textId="77777777">
      <w:pPr>
        <w:rPr>
          <w:i/>
          <w:iCs/>
          <w:snapToGrid/>
          <w:kern w:val="0"/>
          <w:sz w:val="20"/>
        </w:rPr>
      </w:pPr>
    </w:p>
    <w:p w:rsidR="00D739E3" w:rsidP="00D739E3" w14:paraId="34B956B4" w14:textId="77777777">
      <w:pPr>
        <w:rPr>
          <w:i/>
          <w:iCs/>
          <w:snapToGrid/>
          <w:kern w:val="0"/>
          <w:sz w:val="20"/>
        </w:rPr>
      </w:pPr>
    </w:p>
    <w:p w:rsidR="00D739E3" w:rsidRPr="00D739E3" w:rsidP="00D739E3" w14:paraId="43A2EFF9" w14:textId="5CDCE910">
      <w:pPr>
        <w:tabs>
          <w:tab w:val="left" w:pos="3144"/>
        </w:tabs>
      </w:pPr>
      <w:r>
        <w:tab/>
      </w:r>
    </w:p>
    <w:sectPr w:rsidSect="00DD3453">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7F6" w:rsidP="0055614C" w14:paraId="654D29C7" w14:textId="77777777">
    <w:pPr>
      <w:pStyle w:val="Footer"/>
      <w:framePr w:wrap="around" w:vAnchor="text" w:hAnchor="margin" w:xAlign="center" w:y="1"/>
    </w:pPr>
    <w:r>
      <w:fldChar w:fldCharType="begin"/>
    </w:r>
    <w:r>
      <w:instrText xml:space="preserve">PAGE  </w:instrText>
    </w:r>
    <w:r w:rsidR="00560F57">
      <w:fldChar w:fldCharType="separate"/>
    </w:r>
    <w:r>
      <w:fldChar w:fldCharType="end"/>
    </w:r>
  </w:p>
  <w:p w:rsidR="00F007F6" w14:paraId="5C48B6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7F6" w:rsidRPr="007C58F2" w:rsidP="006A782A" w14:paraId="00599701" w14:textId="612F7262">
    <w:pPr>
      <w:pStyle w:val="Footer"/>
      <w:jc w:val="center"/>
    </w:pPr>
    <w:r w:rsidRPr="007C58F2">
      <w:fldChar w:fldCharType="begin"/>
    </w:r>
    <w:r w:rsidRPr="007C58F2">
      <w:instrText xml:space="preserve"> PAGE   \* MERGEFORMAT </w:instrText>
    </w:r>
    <w:r w:rsidRPr="007C58F2">
      <w:fldChar w:fldCharType="separate"/>
    </w:r>
    <w:r w:rsidRPr="007C58F2">
      <w:rPr>
        <w:noProof/>
      </w:rPr>
      <w:t>2</w:t>
    </w:r>
    <w:r w:rsidRPr="007C58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7F6" w:rsidP="006A2672" w14:paraId="48C437B7"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3453" w:rsidP="00F823B9" w14:paraId="19126360" w14:textId="77777777">
      <w:r>
        <w:separator/>
      </w:r>
    </w:p>
  </w:footnote>
  <w:footnote w:type="continuationSeparator" w:id="1">
    <w:p w:rsidR="00DD3453" w:rsidP="00F823B9" w14:paraId="193A81AE" w14:textId="77777777">
      <w:r>
        <w:continuationSeparator/>
      </w:r>
    </w:p>
  </w:footnote>
  <w:footnote w:type="continuationNotice" w:id="2">
    <w:p w:rsidR="00DD3453" w14:paraId="7A545705" w14:textId="77777777"/>
  </w:footnote>
  <w:footnote w:id="3">
    <w:p w:rsidR="00F823B9" w:rsidRPr="005072F6" w:rsidP="00F823B9" w14:paraId="10DC6CE8" w14:textId="1A6871B8">
      <w:pPr>
        <w:pStyle w:val="FootnoteText"/>
        <w:rPr>
          <w:i/>
          <w:iCs/>
        </w:rPr>
      </w:pPr>
      <w:r w:rsidRPr="009E5D78">
        <w:rPr>
          <w:rStyle w:val="FootnoteReference"/>
        </w:rPr>
        <w:footnoteRef/>
      </w:r>
      <w:r w:rsidRPr="009E5D78">
        <w:t xml:space="preserve"> </w:t>
      </w:r>
      <w:r w:rsidRPr="00530F09">
        <w:rPr>
          <w:i/>
          <w:iCs/>
        </w:rPr>
        <w:t>See</w:t>
      </w:r>
      <w:r w:rsidRPr="00530F09">
        <w:t xml:space="preserve"> Letter </w:t>
      </w:r>
      <w:r w:rsidR="00D90CB4">
        <w:t xml:space="preserve">from </w:t>
      </w:r>
      <w:r w:rsidR="00A65653">
        <w:t>So</w:t>
      </w:r>
      <w:r w:rsidR="00CE5AE9">
        <w:t>ra</w:t>
      </w:r>
      <w:r w:rsidR="00A65653">
        <w:t xml:space="preserve">ya Sutherlin, Regional Alert and Warning </w:t>
      </w:r>
      <w:r w:rsidR="00A81C78">
        <w:t>Administrator</w:t>
      </w:r>
      <w:r w:rsidR="00A65653">
        <w:t>, Alert SouthBay</w:t>
      </w:r>
      <w:r w:rsidR="0020401D">
        <w:t xml:space="preserve">, to </w:t>
      </w:r>
      <w:r w:rsidR="001D1140">
        <w:t xml:space="preserve">Federal Communications Commission </w:t>
      </w:r>
      <w:r w:rsidR="005072F6">
        <w:t xml:space="preserve">at 1 </w:t>
      </w:r>
      <w:r w:rsidR="001D1140">
        <w:t>(</w:t>
      </w:r>
      <w:r w:rsidR="005072F6">
        <w:t>Apr.</w:t>
      </w:r>
      <w:r w:rsidR="001D1140">
        <w:t xml:space="preserve"> </w:t>
      </w:r>
      <w:r w:rsidR="005072F6">
        <w:t>9</w:t>
      </w:r>
      <w:r w:rsidR="001D1140">
        <w:t>, 2024)</w:t>
      </w:r>
      <w:r w:rsidR="00FF01CF">
        <w:t xml:space="preserve"> (on file in Docket Nos. 15-91 and 15-94</w:t>
      </w:r>
      <w:r w:rsidR="00527730">
        <w:t>)</w:t>
      </w:r>
      <w:r w:rsidR="00FF01CF">
        <w:t xml:space="preserve"> (Alert SouthBay </w:t>
      </w:r>
      <w:r w:rsidR="005072F6">
        <w:t>April Waiver Request</w:t>
      </w:r>
      <w:r w:rsidR="00A81C78">
        <w:t xml:space="preserve">).  </w:t>
      </w:r>
      <w:r w:rsidR="00DB6717">
        <w:t>The fifteen cities in the program a</w:t>
      </w:r>
      <w:r w:rsidR="0053367A">
        <w:t xml:space="preserve">re the Cities of </w:t>
      </w:r>
      <w:r w:rsidR="00AF38E8">
        <w:t xml:space="preserve">Inglewood, </w:t>
      </w:r>
      <w:r w:rsidR="0053367A">
        <w:t>El Segundo, Manhattan Beach, Hermosa Beach, Redondo Beach, Torrance, Haw</w:t>
      </w:r>
      <w:r w:rsidR="001B6675">
        <w:t>thorne, Gardena, Lomita, Lawndale, Carson, Palos Verdes Estates, Rancho Palos Verdes</w:t>
      </w:r>
      <w:r w:rsidR="00063925">
        <w:t>, Rolling Hills, and Rolling Hills Estates</w:t>
      </w:r>
      <w:r w:rsidR="00B429C1">
        <w:t>.</w:t>
      </w:r>
      <w:r w:rsidR="00C95025">
        <w:t xml:space="preserve">  Alert SouthBay </w:t>
      </w:r>
      <w:r w:rsidR="005072F6">
        <w:t xml:space="preserve">April </w:t>
      </w:r>
      <w:r w:rsidR="00D90CB4">
        <w:t xml:space="preserve">Waiver Request </w:t>
      </w:r>
      <w:r w:rsidR="00C95025">
        <w:t>at 1</w:t>
      </w:r>
      <w:r w:rsidR="005072F6">
        <w:t xml:space="preserve">; </w:t>
      </w:r>
      <w:r w:rsidR="005072F6">
        <w:rPr>
          <w:i/>
          <w:iCs/>
        </w:rPr>
        <w:t xml:space="preserve">see also </w:t>
      </w:r>
      <w:r w:rsidRPr="00530F09" w:rsidR="005072F6">
        <w:t xml:space="preserve">Letter </w:t>
      </w:r>
      <w:r w:rsidR="00CE5AE9">
        <w:t xml:space="preserve">from </w:t>
      </w:r>
      <w:r w:rsidR="005072F6">
        <w:t>So</w:t>
      </w:r>
      <w:r w:rsidR="00CE5AE9">
        <w:t>ra</w:t>
      </w:r>
      <w:r w:rsidR="005072F6">
        <w:t xml:space="preserve">ya Sutherlin, Regional Alert and Warning Administrator, Alert SouthBay, to Federal Communications Commission at 1 (Jan. 8, 2024) (on file in Docket Nos. 15-91 and 15-94) (Alert SouthBay January Waiver Request).  </w:t>
      </w:r>
    </w:p>
  </w:footnote>
  <w:footnote w:id="4">
    <w:p w:rsidR="001F7CA2" w14:paraId="61CF2EC4" w14:textId="33DF6C6C">
      <w:pPr>
        <w:pStyle w:val="FootnoteText"/>
      </w:pPr>
      <w:r>
        <w:rPr>
          <w:rStyle w:val="FootnoteReference"/>
        </w:rPr>
        <w:footnoteRef/>
      </w:r>
      <w:r>
        <w:t xml:space="preserve"> </w:t>
      </w:r>
      <w:r w:rsidRPr="009E5D78" w:rsidR="005C374F">
        <w:t xml:space="preserve">Participating CMS Providers are commercial mobile service providers that have elected voluntarily to transmit WEA alert messages.  </w:t>
      </w:r>
      <w:r w:rsidR="00D90CB4">
        <w:rPr>
          <w:i/>
          <w:iCs/>
        </w:rPr>
        <w:t xml:space="preserve">See </w:t>
      </w:r>
      <w:r w:rsidRPr="009E5D78" w:rsidR="005C374F">
        <w:t xml:space="preserve">47 CFR § 10.10(d), (f).  The WEA rules are set forth in Part 10 of the Commission’s rules.  </w:t>
      </w:r>
      <w:r w:rsidRPr="009E5D78" w:rsidR="005C374F">
        <w:rPr>
          <w:i/>
          <w:iCs/>
        </w:rPr>
        <w:t xml:space="preserve">See generally </w:t>
      </w:r>
      <w:r w:rsidRPr="009E5D78" w:rsidR="005C374F">
        <w:t xml:space="preserve">47 CFR § 10.1, </w:t>
      </w:r>
      <w:r w:rsidRPr="009E5D78" w:rsidR="005C374F">
        <w:rPr>
          <w:i/>
          <w:iCs/>
        </w:rPr>
        <w:t>et seq.</w:t>
      </w:r>
    </w:p>
  </w:footnote>
  <w:footnote w:id="5">
    <w:p w:rsidR="00F823B9" w:rsidP="00F823B9" w14:paraId="14186891" w14:textId="7950BAA7">
      <w:pPr>
        <w:pStyle w:val="FootnoteText"/>
      </w:pPr>
      <w:r w:rsidRPr="00530F09">
        <w:rPr>
          <w:rStyle w:val="FootnoteReference"/>
        </w:rPr>
        <w:footnoteRef/>
      </w:r>
      <w:r w:rsidRPr="00530F09">
        <w:t xml:space="preserve"> </w:t>
      </w:r>
      <w:r w:rsidRPr="00373798" w:rsidR="004438BB">
        <w:t>Alert SouthBay</w:t>
      </w:r>
      <w:r w:rsidRPr="00373798" w:rsidR="00530F09">
        <w:t xml:space="preserve"> </w:t>
      </w:r>
      <w:r w:rsidRPr="00373798" w:rsidR="00373798">
        <w:t>April Waiver Request</w:t>
      </w:r>
      <w:r w:rsidRPr="00373798">
        <w:t xml:space="preserve"> at</w:t>
      </w:r>
      <w:r w:rsidRPr="00373798" w:rsidR="00A56BCB">
        <w:t xml:space="preserve"> </w:t>
      </w:r>
      <w:r w:rsidRPr="00373798" w:rsidR="009B2041">
        <w:t>1</w:t>
      </w:r>
      <w:r w:rsidRPr="00530F09">
        <w:t>.</w:t>
      </w:r>
    </w:p>
  </w:footnote>
  <w:footnote w:id="6">
    <w:p w:rsidR="00F823B9" w:rsidP="00F823B9" w14:paraId="07703029" w14:textId="48EC96CE">
      <w:pPr>
        <w:pStyle w:val="FootnoteText"/>
      </w:pPr>
      <w:r>
        <w:rPr>
          <w:rStyle w:val="FootnoteReference"/>
        </w:rPr>
        <w:footnoteRef/>
      </w:r>
      <w:r>
        <w:t xml:space="preserve"> </w:t>
      </w:r>
      <w:r w:rsidRPr="005F70CE">
        <w:rPr>
          <w:i/>
          <w:iCs/>
        </w:rPr>
        <w:t>See</w:t>
      </w:r>
      <w:r>
        <w:t xml:space="preserve"> 47 CFR </w:t>
      </w:r>
      <w:r w:rsidRPr="009E5D78">
        <w:t>§</w:t>
      </w:r>
      <w:r>
        <w:t xml:space="preserve"> 10.400</w:t>
      </w:r>
      <w:r w:rsidR="00B769F4">
        <w:t xml:space="preserve"> (b)</w:t>
      </w:r>
      <w:r w:rsidR="00CE5AE9">
        <w:t xml:space="preserve">, </w:t>
      </w:r>
      <w:r w:rsidR="00B769F4">
        <w:t xml:space="preserve">(d).  </w:t>
      </w:r>
    </w:p>
  </w:footnote>
  <w:footnote w:id="7">
    <w:p w:rsidR="008B09C4" w:rsidP="008B09C4" w14:paraId="54F0B91F" w14:textId="0BD243E5">
      <w:pPr>
        <w:pStyle w:val="FootnoteText"/>
      </w:pPr>
      <w:r>
        <w:rPr>
          <w:rStyle w:val="FootnoteReference"/>
        </w:rPr>
        <w:footnoteRef/>
      </w:r>
      <w: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Second Report and Order and Second Order on Reconsideration, </w:t>
      </w:r>
      <w:r w:rsidRPr="00B0643B">
        <w:rPr>
          <w:iCs/>
        </w:rPr>
        <w:t>3</w:t>
      </w:r>
      <w:r>
        <w:rPr>
          <w:iCs/>
        </w:rPr>
        <w:t>3</w:t>
      </w:r>
      <w:r w:rsidRPr="00B0643B">
        <w:rPr>
          <w:iCs/>
        </w:rPr>
        <w:t xml:space="preserve"> FCC Rcd 1</w:t>
      </w:r>
      <w:r>
        <w:rPr>
          <w:iCs/>
        </w:rPr>
        <w:t>3</w:t>
      </w:r>
      <w:r w:rsidRPr="00B0643B">
        <w:rPr>
          <w:iCs/>
        </w:rPr>
        <w:t>2</w:t>
      </w:r>
      <w:r>
        <w:rPr>
          <w:iCs/>
        </w:rPr>
        <w:t>0</w:t>
      </w:r>
      <w:r w:rsidRPr="00B0643B">
        <w:t>, 1</w:t>
      </w:r>
      <w:r>
        <w:t>32</w:t>
      </w:r>
      <w:r w:rsidRPr="00B0643B">
        <w:t xml:space="preserve">4, para. </w:t>
      </w:r>
      <w:r w:rsidRPr="00A76F07">
        <w:t>6 (201</w:t>
      </w:r>
      <w:r>
        <w:t>8</w:t>
      </w:r>
      <w:r w:rsidRPr="00A76F07">
        <w:t>) (</w:t>
      </w:r>
      <w:r w:rsidRPr="00A76F07">
        <w:rPr>
          <w:i/>
        </w:rPr>
        <w:t xml:space="preserve">WEA </w:t>
      </w:r>
      <w:r>
        <w:rPr>
          <w:i/>
        </w:rPr>
        <w:t xml:space="preserve">2018 Second </w:t>
      </w:r>
      <w:r w:rsidRPr="00A76F07">
        <w:rPr>
          <w:i/>
        </w:rPr>
        <w:t>R&amp;O</w:t>
      </w:r>
      <w:r w:rsidRPr="00A76F07">
        <w:t>)</w:t>
      </w:r>
      <w:r>
        <w:t xml:space="preserve"> (“We require Participating CMS Providers to deliver Alert Messages to an area that matches the target area specified by alert originators”); </w:t>
      </w:r>
      <w:r>
        <w:rPr>
          <w:i/>
          <w:iCs/>
        </w:rPr>
        <w:t>see also</w:t>
      </w:r>
      <w:r>
        <w:t xml:space="preserve"> 47 CFR </w:t>
      </w:r>
      <w:r w:rsidRPr="00B0643B">
        <w:t>§</w:t>
      </w:r>
      <w:r>
        <w:t xml:space="preserve"> 10.450(a)</w:t>
      </w:r>
      <w:r w:rsidRPr="00A76F07">
        <w:t>.</w:t>
      </w:r>
    </w:p>
  </w:footnote>
  <w:footnote w:id="8">
    <w:p w:rsidR="008B09C4" w:rsidRPr="008B09C4" w14:paraId="75E2067B" w14:textId="138A791A">
      <w:pPr>
        <w:pStyle w:val="FootnoteText"/>
      </w:pPr>
      <w:r>
        <w:rPr>
          <w:rStyle w:val="FootnoteReference"/>
        </w:rPr>
        <w:footnoteRef/>
      </w:r>
      <w:r>
        <w:t xml:space="preserve"> </w:t>
      </w:r>
      <w:r>
        <w:rPr>
          <w:i/>
          <w:iCs/>
        </w:rPr>
        <w:t>See</w:t>
      </w:r>
      <w:r>
        <w:t xml:space="preserve"> 47 CFR </w:t>
      </w:r>
      <w:r w:rsidRPr="00B0643B">
        <w:t>§</w:t>
      </w:r>
      <w:r>
        <w:t xml:space="preserve"> 10.210 (</w:t>
      </w:r>
      <w:r w:rsidR="004E7C07">
        <w:t>r</w:t>
      </w:r>
      <w:r>
        <w:t>equiring CMS providers to notify the Commission whether they are electing to transmit WEA Alert Messages).</w:t>
      </w:r>
    </w:p>
  </w:footnote>
  <w:footnote w:id="9">
    <w:p w:rsidR="00F823B9" w:rsidRPr="000353C6" w:rsidP="00F823B9" w14:paraId="013B2E09" w14:textId="51513888">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t xml:space="preserve">  </w:t>
      </w:r>
      <w:r w:rsidR="00BE34DB">
        <w:t xml:space="preserve">On October 19, 2023, the Commission adopted an order that </w:t>
      </w:r>
      <w:r w:rsidR="00F9632A">
        <w:t xml:space="preserve">requires </w:t>
      </w:r>
      <w:r w:rsidR="001A0679">
        <w:t>“</w:t>
      </w:r>
      <w:r w:rsidR="001F6C03">
        <w:t>Participating CMS Providers to support up to two end-to-end WEA tests</w:t>
      </w:r>
      <w:r w:rsidR="00907109">
        <w:t xml:space="preserve">, per county (or county </w:t>
      </w:r>
      <w:r w:rsidR="001A0679">
        <w:t>equivalent</w:t>
      </w:r>
      <w:r w:rsidR="00907109">
        <w:t xml:space="preserve">), per year, that consumers </w:t>
      </w:r>
      <w:r w:rsidR="001A0679">
        <w:t>receive</w:t>
      </w:r>
      <w:r w:rsidR="00907109">
        <w:t xml:space="preserve"> by default.</w:t>
      </w:r>
      <w:r w:rsidR="001A0679">
        <w:t>”</w:t>
      </w:r>
      <w:r w:rsidR="00F9632A">
        <w:t xml:space="preserve"> </w:t>
      </w:r>
      <w:r w:rsidR="00CC5693">
        <w:t xml:space="preserve"> </w:t>
      </w:r>
      <w:r w:rsidRPr="00B0643B" w:rsidR="00A5320D">
        <w:rPr>
          <w:i/>
        </w:rPr>
        <w:t>Wireless Emergency Alerts; Amendments to Part 11 of the Commission’s Rules Regarding the Emergency Alert System</w:t>
      </w:r>
      <w:r w:rsidRPr="00B0643B" w:rsidR="00A5320D">
        <w:t xml:space="preserve">, </w:t>
      </w:r>
      <w:r w:rsidRPr="00AE43E9" w:rsidR="002732A9">
        <w:t xml:space="preserve">PS Docket Nos. 15-91 and 15-94, </w:t>
      </w:r>
      <w:r w:rsidR="009078D9">
        <w:t xml:space="preserve">Third </w:t>
      </w:r>
      <w:r w:rsidR="00A5320D">
        <w:t xml:space="preserve">Report and Order, </w:t>
      </w:r>
      <w:r w:rsidRPr="00B0643B" w:rsidR="00A5320D">
        <w:rPr>
          <w:iCs/>
        </w:rPr>
        <w:t xml:space="preserve">FCC </w:t>
      </w:r>
      <w:r w:rsidR="00180A2D">
        <w:rPr>
          <w:iCs/>
        </w:rPr>
        <w:t>23-88</w:t>
      </w:r>
      <w:r w:rsidRPr="00B0643B" w:rsidR="00A5320D">
        <w:t xml:space="preserve">, </w:t>
      </w:r>
      <w:r w:rsidRPr="00DB7DD6" w:rsidR="00DB7DD6">
        <w:t>2023 WL 8543463</w:t>
      </w:r>
      <w:r w:rsidR="00DB7DD6">
        <w:t>,</w:t>
      </w:r>
      <w:r w:rsidRPr="00DB7DD6" w:rsidR="00DB7DD6">
        <w:t xml:space="preserve"> </w:t>
      </w:r>
      <w:r w:rsidR="00DB7DD6">
        <w:t xml:space="preserve">at *13, </w:t>
      </w:r>
      <w:r w:rsidRPr="00B0643B" w:rsidR="00A5320D">
        <w:t xml:space="preserve">para. </w:t>
      </w:r>
      <w:r w:rsidR="00330026">
        <w:t>35</w:t>
      </w:r>
      <w:r w:rsidRPr="009078D9" w:rsidR="00A5320D">
        <w:t xml:space="preserve"> (20</w:t>
      </w:r>
      <w:r w:rsidR="00E46670">
        <w:t>23</w:t>
      </w:r>
      <w:r w:rsidRPr="009078D9" w:rsidR="00A5320D">
        <w:t>) (</w:t>
      </w:r>
      <w:r w:rsidR="005C2790">
        <w:rPr>
          <w:i/>
          <w:iCs/>
        </w:rPr>
        <w:t>2023 WEA Accessibility Report and Order</w:t>
      </w:r>
      <w:r w:rsidRPr="009078D9" w:rsidR="00A5320D">
        <w:t>)</w:t>
      </w:r>
      <w:r w:rsidR="00901723">
        <w:t xml:space="preserve"> (adopting rules to allow WEA Performance and Public Awareness Testing)</w:t>
      </w:r>
      <w:r w:rsidRPr="009078D9" w:rsidR="00A5320D">
        <w:t>.</w:t>
      </w:r>
      <w:r w:rsidR="001A0679">
        <w:t xml:space="preserve">  This r</w:t>
      </w:r>
      <w:r w:rsidR="009A5AB2">
        <w:t>ule</w:t>
      </w:r>
      <w:r w:rsidR="001A0679">
        <w:t xml:space="preserve">, however, has not yet become effective.  </w:t>
      </w:r>
      <w:r w:rsidR="000353C6">
        <w:rPr>
          <w:i/>
          <w:iCs/>
        </w:rPr>
        <w:t xml:space="preserve">See </w:t>
      </w:r>
      <w:r w:rsidR="00D15B22">
        <w:rPr>
          <w:i/>
          <w:iCs/>
        </w:rPr>
        <w:t>2023 WEA Accessibility Report and Order</w:t>
      </w:r>
      <w:r w:rsidR="000353C6">
        <w:t xml:space="preserve">, at </w:t>
      </w:r>
      <w:r w:rsidR="00F543F9">
        <w:t xml:space="preserve">*15, *25, paras. </w:t>
      </w:r>
      <w:r w:rsidR="00E46076">
        <w:t xml:space="preserve">40, </w:t>
      </w:r>
      <w:r w:rsidR="00CD61CE">
        <w:t>74.</w:t>
      </w:r>
    </w:p>
  </w:footnote>
  <w:footnote w:id="10">
    <w:p w:rsidR="00F823B9" w:rsidRPr="001F4E89" w:rsidP="00F823B9" w14:paraId="5661C7D7" w14:textId="77777777">
      <w:pPr>
        <w:pStyle w:val="FootnoteText"/>
        <w:rPr>
          <w:lang w:val="pt-BR"/>
        </w:rPr>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w:t>
      </w:r>
      <w:r w:rsidRPr="00B0643B">
        <w:t xml:space="preserve"> and in periodic tests of WEA’s C-Interface.  </w:t>
      </w:r>
      <w:r w:rsidRPr="00B0643B">
        <w:rPr>
          <w:i/>
        </w:rPr>
        <w:t>Id.</w:t>
      </w:r>
      <w:r>
        <w:rPr>
          <w:i/>
        </w:rPr>
        <w:t xml:space="preserve">  </w:t>
      </w:r>
      <w:r w:rsidRPr="00641BA8">
        <w:rPr>
          <w:szCs w:val="22"/>
        </w:rPr>
        <w:t>On November 1,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xml:space="preserve">, 11154-57, paras. </w:t>
      </w:r>
      <w:r w:rsidRPr="001F4E89">
        <w:rPr>
          <w:lang w:val="pt-BR"/>
        </w:rPr>
        <w:t>65-68 (2016) (</w:t>
      </w:r>
      <w:r w:rsidRPr="001F4E89">
        <w:rPr>
          <w:i/>
          <w:lang w:val="pt-BR"/>
        </w:rPr>
        <w:t>WEA R&amp;O</w:t>
      </w:r>
      <w:r w:rsidRPr="001F4E89">
        <w:rPr>
          <w:lang w:val="pt-BR"/>
        </w:rPr>
        <w:t>).</w:t>
      </w:r>
    </w:p>
  </w:footnote>
  <w:footnote w:id="11">
    <w:p w:rsidR="00F823B9" w:rsidP="00F823B9" w14:paraId="003C6245" w14:textId="77777777">
      <w:pPr>
        <w:pStyle w:val="FootnoteText"/>
      </w:pPr>
      <w:r>
        <w:rPr>
          <w:rStyle w:val="FootnoteReference"/>
        </w:rPr>
        <w:footnoteRef/>
      </w:r>
      <w:r w:rsidRPr="001F4E89">
        <w:rPr>
          <w:lang w:val="pt-BR"/>
        </w:rPr>
        <w:t xml:space="preserve"> </w:t>
      </w:r>
      <w:r w:rsidRPr="001F4E89">
        <w:rPr>
          <w:i/>
          <w:lang w:val="pt-BR"/>
        </w:rPr>
        <w:t>WEA R&amp;O</w:t>
      </w:r>
      <w:r w:rsidRPr="001F4E89">
        <w:rPr>
          <w:lang w:val="pt-BR"/>
        </w:rPr>
        <w:t xml:space="preserve">, 31 FCC Rcd at 11154-55, para. </w:t>
      </w:r>
      <w:r>
        <w:t>65 (requiring Participating CMS Providers to provide their subscribers with the option to receive State/Local WEA Tests, whereby subscribers must affirmatively select the option to receive State/Local WEA Test messages).</w:t>
      </w:r>
    </w:p>
  </w:footnote>
  <w:footnote w:id="12">
    <w:p w:rsidR="00F823B9" w:rsidP="00F823B9" w14:paraId="2792A3DF" w14:textId="77777777">
      <w:pPr>
        <w:pStyle w:val="FootnoteText"/>
      </w:pPr>
      <w:r>
        <w:rPr>
          <w:rStyle w:val="FootnoteReference"/>
        </w:rPr>
        <w:footnoteRef/>
      </w:r>
      <w:r>
        <w:t xml:space="preserve"> </w:t>
      </w:r>
      <w:r w:rsidRPr="00D46BC6">
        <w:rPr>
          <w:i/>
        </w:rPr>
        <w:t>Id.</w:t>
      </w:r>
      <w:r>
        <w:t xml:space="preserve"> (requiring State/Local WEA Test messages to include conspicuous language sufficient to make clear to the public that the message is only a test).</w:t>
      </w:r>
    </w:p>
  </w:footnote>
  <w:footnote w:id="13">
    <w:p w:rsidR="00F823B9" w:rsidRPr="009E5D78" w:rsidP="00F823B9" w14:paraId="3FA55B55" w14:textId="7FC17E08">
      <w:pPr>
        <w:pStyle w:val="FootnoteText"/>
        <w:rPr>
          <w:iCs/>
        </w:rPr>
      </w:pPr>
      <w:r w:rsidRPr="009E5D78">
        <w:rPr>
          <w:rStyle w:val="FootnoteReference"/>
        </w:rPr>
        <w:footnoteRef/>
      </w:r>
      <w:r w:rsidRPr="009E5D78">
        <w:t xml:space="preserve"> </w:t>
      </w:r>
      <w:r w:rsidRPr="009E5D78">
        <w:rPr>
          <w:i/>
        </w:rPr>
        <w:t>Id</w:t>
      </w:r>
      <w:r w:rsidR="008C710A">
        <w:rPr>
          <w:i/>
        </w:rPr>
        <w:t>.</w:t>
      </w:r>
    </w:p>
  </w:footnote>
  <w:footnote w:id="14">
    <w:p w:rsidR="002B12DE" w14:paraId="04D7453C" w14:textId="27BDC7F3">
      <w:pPr>
        <w:pStyle w:val="FootnoteText"/>
      </w:pPr>
      <w:r>
        <w:rPr>
          <w:rStyle w:val="FootnoteReference"/>
        </w:rPr>
        <w:footnoteRef/>
      </w:r>
      <w:r>
        <w:t xml:space="preserve"> </w:t>
      </w:r>
      <w:r>
        <w:rPr>
          <w:i/>
          <w:iCs/>
        </w:rPr>
        <w:t xml:space="preserve">See </w:t>
      </w:r>
      <w:r w:rsidR="00696F24">
        <w:rPr>
          <w:i/>
          <w:iCs/>
        </w:rPr>
        <w:t>2023 WEA Accessibility Report and Order</w:t>
      </w:r>
      <w:r w:rsidRPr="00AE43E9">
        <w:t>,</w:t>
      </w:r>
      <w:r w:rsidRPr="00AE43E9">
        <w:rPr>
          <w:i/>
          <w:iCs/>
        </w:rPr>
        <w:t xml:space="preserve"> </w:t>
      </w:r>
      <w:r w:rsidRPr="00AE43E9">
        <w:t xml:space="preserve">at </w:t>
      </w:r>
      <w:r w:rsidR="00F543F9">
        <w:t xml:space="preserve">*13-*15, </w:t>
      </w:r>
      <w:r w:rsidRPr="00AE43E9">
        <w:t>para</w:t>
      </w:r>
      <w:r>
        <w:t>s</w:t>
      </w:r>
      <w:r w:rsidRPr="00AE43E9">
        <w:t xml:space="preserve">. </w:t>
      </w:r>
      <w:r>
        <w:t>35-40</w:t>
      </w:r>
      <w:r w:rsidR="00F543F9">
        <w:t>.</w:t>
      </w:r>
    </w:p>
  </w:footnote>
  <w:footnote w:id="15">
    <w:p w:rsidR="001658EF" w:rsidRPr="005C05EB" w14:paraId="49FEA2AA" w14:textId="2C3C96B6">
      <w:pPr>
        <w:pStyle w:val="FootnoteText"/>
      </w:pPr>
      <w:r>
        <w:rPr>
          <w:rStyle w:val="FootnoteReference"/>
        </w:rPr>
        <w:footnoteRef/>
      </w:r>
      <w:r>
        <w:t xml:space="preserve"> </w:t>
      </w:r>
      <w:r>
        <w:rPr>
          <w:i/>
          <w:iCs/>
        </w:rPr>
        <w:t>Id.</w:t>
      </w:r>
      <w:r w:rsidR="003279E0">
        <w:rPr>
          <w:i/>
          <w:iCs/>
        </w:rPr>
        <w:t xml:space="preserve"> </w:t>
      </w:r>
      <w:r w:rsidR="005C05EB">
        <w:t xml:space="preserve">at </w:t>
      </w:r>
      <w:r w:rsidR="00F543F9">
        <w:t>*13</w:t>
      </w:r>
      <w:r w:rsidR="004A114D">
        <w:t xml:space="preserve">, </w:t>
      </w:r>
      <w:r w:rsidR="000F42F5">
        <w:t>para. 35</w:t>
      </w:r>
      <w:r w:rsidR="004A114D">
        <w:t>.</w:t>
      </w:r>
    </w:p>
  </w:footnote>
  <w:footnote w:id="16">
    <w:p w:rsidR="001658EF" w:rsidRPr="00464F77" w14:paraId="58888A5C" w14:textId="5B9E9C67">
      <w:pPr>
        <w:pStyle w:val="FootnoteText"/>
      </w:pPr>
      <w:r>
        <w:rPr>
          <w:rStyle w:val="FootnoteReference"/>
        </w:rPr>
        <w:footnoteRef/>
      </w:r>
      <w:r>
        <w:t xml:space="preserve"> </w:t>
      </w:r>
      <w:r>
        <w:rPr>
          <w:i/>
          <w:iCs/>
        </w:rPr>
        <w:t>Id.</w:t>
      </w:r>
      <w:r w:rsidR="00464F77">
        <w:rPr>
          <w:i/>
          <w:iCs/>
        </w:rPr>
        <w:t xml:space="preserve"> </w:t>
      </w:r>
      <w:r w:rsidR="00464F77">
        <w:t>at</w:t>
      </w:r>
      <w:r w:rsidR="006D191D">
        <w:t xml:space="preserve"> </w:t>
      </w:r>
      <w:r w:rsidR="00F543F9">
        <w:t>*15</w:t>
      </w:r>
      <w:r w:rsidR="006D191D">
        <w:t>,</w:t>
      </w:r>
      <w:r w:rsidR="00464F77">
        <w:t xml:space="preserve"> para. 40.</w:t>
      </w:r>
    </w:p>
  </w:footnote>
  <w:footnote w:id="17">
    <w:p w:rsidR="005F598D" w14:paraId="2E55C79A" w14:textId="31EBEAC5">
      <w:pPr>
        <w:pStyle w:val="FootnoteText"/>
      </w:pPr>
      <w:r>
        <w:rPr>
          <w:rStyle w:val="FootnoteReference"/>
        </w:rPr>
        <w:footnoteRef/>
      </w:r>
      <w:r>
        <w:t xml:space="preserve"> </w:t>
      </w:r>
      <w:r w:rsidRPr="00373798">
        <w:t>Alert SouthBay April Waiver Request at 1</w:t>
      </w:r>
      <w:r w:rsidRPr="00530F09">
        <w:t>.</w:t>
      </w:r>
    </w:p>
  </w:footnote>
  <w:footnote w:id="18">
    <w:p w:rsidR="00731D12" w14:paraId="490B4EC0" w14:textId="66DDB621">
      <w:pPr>
        <w:pStyle w:val="FootnoteText"/>
      </w:pPr>
      <w:r>
        <w:rPr>
          <w:rStyle w:val="FootnoteReference"/>
        </w:rPr>
        <w:footnoteRef/>
      </w:r>
      <w:r>
        <w:t xml:space="preserve"> </w:t>
      </w:r>
      <w:r>
        <w:rPr>
          <w:i/>
          <w:iCs/>
        </w:rPr>
        <w:t>Id.</w:t>
      </w:r>
      <w:r w:rsidRPr="00373798">
        <w:t xml:space="preserve"> at 1</w:t>
      </w:r>
      <w:r>
        <w:t>-2</w:t>
      </w:r>
      <w:r w:rsidRPr="00530F09">
        <w:t>.</w:t>
      </w:r>
    </w:p>
  </w:footnote>
  <w:footnote w:id="19">
    <w:p w:rsidR="00556072" w:rsidP="00556072" w14:paraId="0383787B" w14:textId="4B9E0E57">
      <w:pPr>
        <w:pStyle w:val="FootnoteText"/>
      </w:pPr>
      <w:r>
        <w:rPr>
          <w:rStyle w:val="FootnoteReference"/>
        </w:rPr>
        <w:footnoteRef/>
      </w:r>
      <w:r>
        <w:t xml:space="preserve"> </w:t>
      </w:r>
      <w:r>
        <w:rPr>
          <w:i/>
          <w:szCs w:val="22"/>
        </w:rPr>
        <w:t xml:space="preserve">See </w:t>
      </w:r>
      <w:r w:rsidRPr="00B0643B">
        <w:rPr>
          <w:i/>
        </w:rPr>
        <w:t>Wireless Emergency Alerts; Amendments to Part 11 of the Commission’s Rules Regarding the Emergency Alert System</w:t>
      </w:r>
      <w:r>
        <w:rPr>
          <w:iCs/>
        </w:rPr>
        <w:t xml:space="preserve">, PS Docket Nos. 15-91, 15-94, Order, DA 24-21, </w:t>
      </w:r>
      <w:r w:rsidRPr="007D1278">
        <w:rPr>
          <w:iCs/>
        </w:rPr>
        <w:t>2024 WL 124226</w:t>
      </w:r>
      <w:r>
        <w:rPr>
          <w:iCs/>
        </w:rPr>
        <w:t xml:space="preserve"> (PSHSB</w:t>
      </w:r>
      <w:r>
        <w:t xml:space="preserve"> Jan. 9 , 2024) (</w:t>
      </w:r>
      <w:r>
        <w:rPr>
          <w:i/>
          <w:iCs/>
        </w:rPr>
        <w:t>Alert SouthBay January Waiver Grant Order</w:t>
      </w:r>
      <w:r>
        <w:t xml:space="preserve">).  </w:t>
      </w:r>
    </w:p>
  </w:footnote>
  <w:footnote w:id="20">
    <w:p w:rsidR="00D11687" w:rsidRPr="00D11687" w14:paraId="0A8EAC46" w14:textId="133787AB">
      <w:pPr>
        <w:pStyle w:val="FootnoteText"/>
      </w:pPr>
      <w:r>
        <w:rPr>
          <w:rStyle w:val="FootnoteReference"/>
        </w:rPr>
        <w:footnoteRef/>
      </w:r>
      <w:r>
        <w:t xml:space="preserve"> </w:t>
      </w:r>
      <w:r w:rsidRPr="00373798" w:rsidR="007D1138">
        <w:t>Alert SouthBay April Waiver Request at 1</w:t>
      </w:r>
      <w:r w:rsidRPr="00530F09" w:rsidR="007D1138">
        <w:t>.</w:t>
      </w:r>
    </w:p>
  </w:footnote>
  <w:footnote w:id="21">
    <w:p w:rsidR="00D11687" w:rsidRPr="00D11687" w14:paraId="51EF335F" w14:textId="554E92BF">
      <w:pPr>
        <w:pStyle w:val="FootnoteText"/>
        <w:rPr>
          <w:i/>
          <w:iCs/>
        </w:rPr>
      </w:pPr>
      <w:r>
        <w:rPr>
          <w:rStyle w:val="FootnoteReference"/>
        </w:rPr>
        <w:footnoteRef/>
      </w:r>
      <w:r>
        <w:t xml:space="preserve"> </w:t>
      </w:r>
      <w:r>
        <w:rPr>
          <w:i/>
          <w:iCs/>
        </w:rPr>
        <w:t>Id.</w:t>
      </w:r>
    </w:p>
  </w:footnote>
  <w:footnote w:id="22">
    <w:p w:rsidR="007B59FC" w:rsidRPr="007B59FC" w14:paraId="2A3FEDF6" w14:textId="35A9C90D">
      <w:pPr>
        <w:pStyle w:val="FootnoteText"/>
        <w:rPr>
          <w:i/>
          <w:iCs/>
        </w:rPr>
      </w:pPr>
      <w:r>
        <w:rPr>
          <w:rStyle w:val="FootnoteReference"/>
        </w:rPr>
        <w:footnoteRef/>
      </w:r>
      <w:r>
        <w:t xml:space="preserve"> </w:t>
      </w:r>
      <w:r>
        <w:rPr>
          <w:i/>
          <w:iCs/>
        </w:rPr>
        <w:t>Id.</w:t>
      </w:r>
    </w:p>
  </w:footnote>
  <w:footnote w:id="23">
    <w:p w:rsidR="000F35BA" w14:paraId="04AB74C9" w14:textId="545C7706">
      <w:pPr>
        <w:pStyle w:val="FootnoteText"/>
      </w:pPr>
      <w:r>
        <w:rPr>
          <w:rStyle w:val="FootnoteReference"/>
        </w:rPr>
        <w:footnoteRef/>
      </w:r>
      <w:r>
        <w:t xml:space="preserve"> </w:t>
      </w:r>
      <w:r w:rsidR="007D1138">
        <w:rPr>
          <w:i/>
          <w:iCs/>
        </w:rPr>
        <w:t xml:space="preserve">Id. </w:t>
      </w:r>
      <w:r>
        <w:t>at 2.</w:t>
      </w:r>
    </w:p>
  </w:footnote>
  <w:footnote w:id="24">
    <w:p w:rsidR="000F35BA" w:rsidRPr="000F35BA" w14:paraId="22F38508" w14:textId="19ABAA23">
      <w:pPr>
        <w:pStyle w:val="FootnoteText"/>
        <w:rPr>
          <w:i/>
          <w:iCs/>
        </w:rPr>
      </w:pPr>
      <w:r>
        <w:rPr>
          <w:rStyle w:val="FootnoteReference"/>
        </w:rPr>
        <w:footnoteRef/>
      </w:r>
      <w:r>
        <w:t xml:space="preserve"> </w:t>
      </w:r>
      <w:r>
        <w:rPr>
          <w:i/>
          <w:iCs/>
        </w:rPr>
        <w:t>Id.</w:t>
      </w:r>
    </w:p>
  </w:footnote>
  <w:footnote w:id="25">
    <w:p w:rsidR="00D0122D" w:rsidRPr="00AE264D" w14:paraId="7EA690EB" w14:textId="59FC844F">
      <w:pPr>
        <w:pStyle w:val="FootnoteText"/>
        <w:rPr>
          <w:i/>
          <w:iCs/>
        </w:rPr>
      </w:pPr>
      <w:r>
        <w:rPr>
          <w:rStyle w:val="FootnoteReference"/>
        </w:rPr>
        <w:footnoteRef/>
      </w:r>
      <w:r>
        <w:t xml:space="preserve"> </w:t>
      </w:r>
      <w:r w:rsidR="00AE264D">
        <w:rPr>
          <w:i/>
          <w:iCs/>
        </w:rPr>
        <w:t>Id.</w:t>
      </w:r>
    </w:p>
  </w:footnote>
  <w:footnote w:id="26">
    <w:p w:rsidR="0009546C" w14:paraId="01C8E8B9" w14:textId="4E97D4DF">
      <w:pPr>
        <w:pStyle w:val="FootnoteText"/>
      </w:pPr>
      <w:r>
        <w:rPr>
          <w:rStyle w:val="FootnoteReference"/>
        </w:rPr>
        <w:footnoteRef/>
      </w:r>
      <w:r>
        <w:t xml:space="preserve"> Phone conversation between Soraya </w:t>
      </w:r>
      <w:r w:rsidRPr="00DB6FBA">
        <w:t>Sutherlin,</w:t>
      </w:r>
      <w:r>
        <w:t xml:space="preserve"> </w:t>
      </w:r>
      <w:r w:rsidRPr="00DB6FBA">
        <w:t>Regional Alert and Warning Administrator, Alert SouthBay</w:t>
      </w:r>
      <w:r>
        <w:t>, and David Kirschner, Attorney-Advisor, Public Safety and Homeland Security Bureau, Federal Communications Commission (Apr. 23, 2024) (</w:t>
      </w:r>
      <w:r w:rsidRPr="00DB6FBA">
        <w:t>Sutherlin</w:t>
      </w:r>
      <w:r>
        <w:t>/Kirschner Call).</w:t>
      </w:r>
    </w:p>
  </w:footnote>
  <w:footnote w:id="27">
    <w:p w:rsidR="0009546C" w14:paraId="0CFCDD30" w14:textId="4DF0C286">
      <w:pPr>
        <w:pStyle w:val="FootnoteText"/>
      </w:pPr>
      <w:r>
        <w:rPr>
          <w:rStyle w:val="FootnoteReference"/>
        </w:rPr>
        <w:footnoteRef/>
      </w:r>
      <w:r>
        <w:t xml:space="preserve"> Sutherlin/Kirschner Call.  </w:t>
      </w:r>
    </w:p>
  </w:footnote>
  <w:footnote w:id="28">
    <w:p w:rsidR="00F823B9" w:rsidRPr="00675326" w:rsidP="00F823B9" w14:paraId="3E5EF0FA"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9">
    <w:p w:rsidR="00F823B9" w:rsidRPr="00B0643B" w:rsidP="00F823B9" w14:paraId="5B4F7BDD"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30">
    <w:p w:rsidR="00251410" w14:paraId="42C2185B" w14:textId="12423AC6">
      <w:pPr>
        <w:pStyle w:val="FootnoteText"/>
      </w:pPr>
      <w:r>
        <w:rPr>
          <w:rStyle w:val="FootnoteReference"/>
        </w:rPr>
        <w:footnoteRef/>
      </w:r>
      <w:r>
        <w:t xml:space="preserve"> </w:t>
      </w:r>
      <w:r w:rsidRPr="00373798" w:rsidR="00C26D7A">
        <w:t>Alert SouthBay April Waiver Request at 1</w:t>
      </w:r>
      <w:r w:rsidRPr="00530F09" w:rsidR="00C26D7A">
        <w:t>.</w:t>
      </w:r>
    </w:p>
  </w:footnote>
  <w:footnote w:id="31">
    <w:p w:rsidR="008C4C2A" w:rsidRPr="00B63AC6" w14:paraId="0F8715AD" w14:textId="7568DD53">
      <w:pPr>
        <w:pStyle w:val="FootnoteText"/>
      </w:pPr>
      <w:r>
        <w:rPr>
          <w:rStyle w:val="FootnoteReference"/>
        </w:rPr>
        <w:footnoteRef/>
      </w:r>
      <w:r>
        <w:t xml:space="preserve"> </w:t>
      </w:r>
      <w:r>
        <w:rPr>
          <w:i/>
          <w:iCs/>
        </w:rPr>
        <w:t xml:space="preserve">See </w:t>
      </w:r>
      <w:r w:rsidR="00DB7DD6">
        <w:rPr>
          <w:i/>
          <w:iCs/>
        </w:rPr>
        <w:t>2023 WEA Accessibility Report and Order</w:t>
      </w:r>
      <w:r w:rsidR="00DB7DD6">
        <w:t xml:space="preserve"> at *13</w:t>
      </w:r>
      <w:r w:rsidR="00705FEA">
        <w:t>,</w:t>
      </w:r>
      <w:r w:rsidR="00DB7DD6">
        <w:t xml:space="preserve"> </w:t>
      </w:r>
      <w:r w:rsidRPr="00B0643B" w:rsidR="00DB7DD6">
        <w:t xml:space="preserve">para. </w:t>
      </w:r>
      <w:r w:rsidR="004E7F44">
        <w:t>35</w:t>
      </w:r>
      <w:r w:rsidR="00041076">
        <w:t>.</w:t>
      </w:r>
    </w:p>
  </w:footnote>
  <w:footnote w:id="32">
    <w:p w:rsidR="00F823B9" w:rsidP="00F823B9" w14:paraId="0A20D3A7" w14:textId="77777777">
      <w:pPr>
        <w:pStyle w:val="FootnoteText"/>
      </w:pPr>
      <w:r>
        <w:rPr>
          <w:rStyle w:val="FootnoteReference"/>
        </w:rPr>
        <w:footnoteRef/>
      </w:r>
      <w:r>
        <w:t xml:space="preserve"> </w:t>
      </w:r>
      <w:r w:rsidRPr="00122133">
        <w:rPr>
          <w:i/>
        </w:rPr>
        <w:t xml:space="preserve">See </w:t>
      </w:r>
      <w:r w:rsidRPr="00326B11">
        <w:t>47 U.S.C. §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7F6" w:rsidP="00810B6F" w14:paraId="00992164" w14:textId="3DAD31B1">
    <w:pPr>
      <w:pStyle w:val="Header"/>
      <w:rPr>
        <w:b w:val="0"/>
      </w:rPr>
    </w:pPr>
    <w:r>
      <w:tab/>
      <w:t>Federal Communications Commission</w:t>
    </w:r>
    <w:r>
      <w:tab/>
    </w:r>
    <w:r w:rsidRPr="00553F63">
      <w:t xml:space="preserve">DA </w:t>
    </w:r>
    <w:r w:rsidRPr="00553F63" w:rsidR="00553F63">
      <w:t>2</w:t>
    </w:r>
    <w:r w:rsidR="00527730">
      <w:t>4</w:t>
    </w:r>
    <w:r w:rsidRPr="00553F63" w:rsidR="00553F63">
      <w:t>-</w:t>
    </w:r>
    <w:r w:rsidR="00560F57">
      <w:t>385</w:t>
    </w:r>
  </w:p>
  <w:p w:rsidR="00F007F6" w14:paraId="0DA2A7A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F007F6" w14:paraId="3405D56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7F6" w:rsidP="00810B6F" w14:paraId="6AE90D63" w14:textId="19A5BE0C">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Pr="00553F63">
      <w:rPr>
        <w:spacing w:val="-2"/>
      </w:rPr>
      <w:t xml:space="preserve">DA </w:t>
    </w:r>
    <w:r w:rsidR="00560F57">
      <w:rPr>
        <w:spacing w:val="-2"/>
      </w:rPr>
      <w:t>24</w:t>
    </w:r>
    <w:r w:rsidRPr="00553F63" w:rsidR="00553F63">
      <w:rPr>
        <w:spacing w:val="-2"/>
      </w:rPr>
      <w:t>-</w:t>
    </w:r>
    <w:r w:rsidR="00560F57">
      <w:rPr>
        <w:spacing w:val="-2"/>
      </w:rPr>
      <w:t>385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CC2817"/>
    <w:multiLevelType w:val="singleLevel"/>
    <w:tmpl w:val="55260694"/>
    <w:lvl w:ilvl="0">
      <w:start w:val="1"/>
      <w:numFmt w:val="decimal"/>
      <w:lvlText w:val="%1."/>
      <w:lvlJc w:val="left"/>
      <w:pPr>
        <w:tabs>
          <w:tab w:val="num" w:pos="1080"/>
        </w:tabs>
        <w:ind w:left="0" w:firstLine="720"/>
      </w:pPr>
      <w:rPr>
        <w:rFonts w:ascii="Times New Roman" w:hAnsi="Times New Roman" w:cs="Times New Roman" w:hint="default"/>
        <w:sz w:val="22"/>
        <w:szCs w:val="22"/>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4625A6C"/>
    <w:multiLevelType w:val="hybridMultilevel"/>
    <w:tmpl w:val="47C4BA1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B962564"/>
    <w:multiLevelType w:val="singleLevel"/>
    <w:tmpl w:val="55260694"/>
    <w:lvl w:ilvl="0">
      <w:start w:val="1"/>
      <w:numFmt w:val="decimal"/>
      <w:lvlText w:val="%1."/>
      <w:lvlJc w:val="left"/>
      <w:pPr>
        <w:tabs>
          <w:tab w:val="num" w:pos="1080"/>
        </w:tabs>
        <w:ind w:left="0" w:firstLine="720"/>
      </w:pPr>
      <w:rPr>
        <w:rFonts w:ascii="Times New Roman" w:hAnsi="Times New Roman" w:cs="Times New Roman" w:hint="default"/>
        <w:sz w:val="22"/>
        <w:szCs w:val="22"/>
      </w:rPr>
    </w:lvl>
  </w:abstractNum>
  <w:abstractNum w:abstractNumId="4">
    <w:nsid w:val="61182925"/>
    <w:multiLevelType w:val="singleLevel"/>
    <w:tmpl w:val="1826EE2A"/>
    <w:lvl w:ilvl="0">
      <w:start w:val="1"/>
      <w:numFmt w:val="decimal"/>
      <w:lvlText w:val="%1."/>
      <w:lvlJc w:val="left"/>
      <w:pPr>
        <w:tabs>
          <w:tab w:val="num" w:pos="1080"/>
        </w:tabs>
        <w:ind w:left="0" w:firstLine="720"/>
      </w:pPr>
      <w:rPr>
        <w:rFonts w:ascii="Times New Roman" w:hAnsi="Times New Roman" w:cs="Times New Roman" w:hint="default"/>
        <w:strike w:val="0"/>
        <w:sz w:val="22"/>
        <w:szCs w:val="22"/>
      </w:rPr>
    </w:lvl>
  </w:abstractNum>
  <w:abstractNum w:abstractNumId="5">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B9"/>
    <w:rsid w:val="00005E4D"/>
    <w:rsid w:val="0000655A"/>
    <w:rsid w:val="000113B9"/>
    <w:rsid w:val="0001184C"/>
    <w:rsid w:val="00013209"/>
    <w:rsid w:val="0002133E"/>
    <w:rsid w:val="000215D9"/>
    <w:rsid w:val="00022FC3"/>
    <w:rsid w:val="0003073C"/>
    <w:rsid w:val="000353C6"/>
    <w:rsid w:val="00041076"/>
    <w:rsid w:val="00056FED"/>
    <w:rsid w:val="00060D24"/>
    <w:rsid w:val="00063925"/>
    <w:rsid w:val="000678F0"/>
    <w:rsid w:val="00071DB3"/>
    <w:rsid w:val="00074891"/>
    <w:rsid w:val="00074D50"/>
    <w:rsid w:val="00077223"/>
    <w:rsid w:val="000772A3"/>
    <w:rsid w:val="0007777A"/>
    <w:rsid w:val="00090022"/>
    <w:rsid w:val="00094233"/>
    <w:rsid w:val="0009466D"/>
    <w:rsid w:val="0009546C"/>
    <w:rsid w:val="000A03A7"/>
    <w:rsid w:val="000A480C"/>
    <w:rsid w:val="000A62DE"/>
    <w:rsid w:val="000B53C4"/>
    <w:rsid w:val="000C246D"/>
    <w:rsid w:val="000C444B"/>
    <w:rsid w:val="000C6700"/>
    <w:rsid w:val="000E3576"/>
    <w:rsid w:val="000E35A9"/>
    <w:rsid w:val="000E3E75"/>
    <w:rsid w:val="000E488E"/>
    <w:rsid w:val="000F2E49"/>
    <w:rsid w:val="000F35BA"/>
    <w:rsid w:val="000F42F5"/>
    <w:rsid w:val="000F45AA"/>
    <w:rsid w:val="000F545D"/>
    <w:rsid w:val="00100044"/>
    <w:rsid w:val="001006DC"/>
    <w:rsid w:val="001018C9"/>
    <w:rsid w:val="00103741"/>
    <w:rsid w:val="00103BC6"/>
    <w:rsid w:val="00106AA3"/>
    <w:rsid w:val="00116575"/>
    <w:rsid w:val="00122133"/>
    <w:rsid w:val="00126CE7"/>
    <w:rsid w:val="00135855"/>
    <w:rsid w:val="00135894"/>
    <w:rsid w:val="001400A2"/>
    <w:rsid w:val="00145750"/>
    <w:rsid w:val="00154F13"/>
    <w:rsid w:val="0016436F"/>
    <w:rsid w:val="001658EF"/>
    <w:rsid w:val="00171959"/>
    <w:rsid w:val="00171EA6"/>
    <w:rsid w:val="0017437F"/>
    <w:rsid w:val="00180A2D"/>
    <w:rsid w:val="00191C48"/>
    <w:rsid w:val="00194535"/>
    <w:rsid w:val="00197328"/>
    <w:rsid w:val="00197698"/>
    <w:rsid w:val="00197C0D"/>
    <w:rsid w:val="00197EE2"/>
    <w:rsid w:val="001A0679"/>
    <w:rsid w:val="001A2EE6"/>
    <w:rsid w:val="001A4070"/>
    <w:rsid w:val="001B18CF"/>
    <w:rsid w:val="001B2EAB"/>
    <w:rsid w:val="001B3AD8"/>
    <w:rsid w:val="001B46D9"/>
    <w:rsid w:val="001B6675"/>
    <w:rsid w:val="001C1CA4"/>
    <w:rsid w:val="001C5259"/>
    <w:rsid w:val="001C635E"/>
    <w:rsid w:val="001D1140"/>
    <w:rsid w:val="001D286E"/>
    <w:rsid w:val="001E2AFD"/>
    <w:rsid w:val="001E7466"/>
    <w:rsid w:val="001F117B"/>
    <w:rsid w:val="001F4E89"/>
    <w:rsid w:val="001F539B"/>
    <w:rsid w:val="001F6C03"/>
    <w:rsid w:val="001F7CA2"/>
    <w:rsid w:val="0020099B"/>
    <w:rsid w:val="0020401D"/>
    <w:rsid w:val="00205173"/>
    <w:rsid w:val="00205FC3"/>
    <w:rsid w:val="00211F09"/>
    <w:rsid w:val="00217EF0"/>
    <w:rsid w:val="0022138E"/>
    <w:rsid w:val="00223741"/>
    <w:rsid w:val="00230FE6"/>
    <w:rsid w:val="00251410"/>
    <w:rsid w:val="00252EA6"/>
    <w:rsid w:val="00252F18"/>
    <w:rsid w:val="00255144"/>
    <w:rsid w:val="00257FC4"/>
    <w:rsid w:val="0026192D"/>
    <w:rsid w:val="00264B89"/>
    <w:rsid w:val="002710D2"/>
    <w:rsid w:val="002717A5"/>
    <w:rsid w:val="002724C1"/>
    <w:rsid w:val="002732A9"/>
    <w:rsid w:val="00280588"/>
    <w:rsid w:val="00282061"/>
    <w:rsid w:val="00287218"/>
    <w:rsid w:val="00290C70"/>
    <w:rsid w:val="00294A02"/>
    <w:rsid w:val="00295BE7"/>
    <w:rsid w:val="00297D35"/>
    <w:rsid w:val="002A17D7"/>
    <w:rsid w:val="002A2C8C"/>
    <w:rsid w:val="002A5D6D"/>
    <w:rsid w:val="002A5DF5"/>
    <w:rsid w:val="002B0F3A"/>
    <w:rsid w:val="002B12DE"/>
    <w:rsid w:val="002B4933"/>
    <w:rsid w:val="002C10BA"/>
    <w:rsid w:val="002C15B9"/>
    <w:rsid w:val="002C47D4"/>
    <w:rsid w:val="002C7ACC"/>
    <w:rsid w:val="002D35E6"/>
    <w:rsid w:val="002D6ACD"/>
    <w:rsid w:val="002E1B92"/>
    <w:rsid w:val="002E2A13"/>
    <w:rsid w:val="002E6CDB"/>
    <w:rsid w:val="002E780A"/>
    <w:rsid w:val="002E7D94"/>
    <w:rsid w:val="002F4BC4"/>
    <w:rsid w:val="002F5D17"/>
    <w:rsid w:val="00301913"/>
    <w:rsid w:val="00301B49"/>
    <w:rsid w:val="0030778C"/>
    <w:rsid w:val="00310026"/>
    <w:rsid w:val="003116B1"/>
    <w:rsid w:val="003227E4"/>
    <w:rsid w:val="00326B11"/>
    <w:rsid w:val="003279E0"/>
    <w:rsid w:val="00330026"/>
    <w:rsid w:val="00331B87"/>
    <w:rsid w:val="00334564"/>
    <w:rsid w:val="003364D4"/>
    <w:rsid w:val="0034115D"/>
    <w:rsid w:val="003476E0"/>
    <w:rsid w:val="00352F65"/>
    <w:rsid w:val="003572E7"/>
    <w:rsid w:val="003611B7"/>
    <w:rsid w:val="00362BF8"/>
    <w:rsid w:val="0036589E"/>
    <w:rsid w:val="0036731C"/>
    <w:rsid w:val="0037026E"/>
    <w:rsid w:val="00373798"/>
    <w:rsid w:val="0037456D"/>
    <w:rsid w:val="0038477C"/>
    <w:rsid w:val="003875B6"/>
    <w:rsid w:val="00387963"/>
    <w:rsid w:val="00390D2C"/>
    <w:rsid w:val="003927B6"/>
    <w:rsid w:val="003A7B10"/>
    <w:rsid w:val="003B1ED2"/>
    <w:rsid w:val="003B3BF8"/>
    <w:rsid w:val="003C1B0E"/>
    <w:rsid w:val="003C3A6A"/>
    <w:rsid w:val="003C3A87"/>
    <w:rsid w:val="003D1168"/>
    <w:rsid w:val="003D4527"/>
    <w:rsid w:val="003D7381"/>
    <w:rsid w:val="003E118E"/>
    <w:rsid w:val="003F09F3"/>
    <w:rsid w:val="003F2D91"/>
    <w:rsid w:val="003F79EF"/>
    <w:rsid w:val="00401375"/>
    <w:rsid w:val="004030CA"/>
    <w:rsid w:val="00403F76"/>
    <w:rsid w:val="0040451E"/>
    <w:rsid w:val="00413CCE"/>
    <w:rsid w:val="00421197"/>
    <w:rsid w:val="0042215E"/>
    <w:rsid w:val="00422B68"/>
    <w:rsid w:val="00423873"/>
    <w:rsid w:val="004246E4"/>
    <w:rsid w:val="00427059"/>
    <w:rsid w:val="00427949"/>
    <w:rsid w:val="00431D8B"/>
    <w:rsid w:val="004338FD"/>
    <w:rsid w:val="00436ED9"/>
    <w:rsid w:val="00441603"/>
    <w:rsid w:val="004438BB"/>
    <w:rsid w:val="00452A0A"/>
    <w:rsid w:val="00457104"/>
    <w:rsid w:val="0046085D"/>
    <w:rsid w:val="00463571"/>
    <w:rsid w:val="00464F77"/>
    <w:rsid w:val="0046563D"/>
    <w:rsid w:val="00475C18"/>
    <w:rsid w:val="004815B0"/>
    <w:rsid w:val="004831D3"/>
    <w:rsid w:val="00485617"/>
    <w:rsid w:val="00487248"/>
    <w:rsid w:val="00496F76"/>
    <w:rsid w:val="004A06C4"/>
    <w:rsid w:val="004A114D"/>
    <w:rsid w:val="004A3801"/>
    <w:rsid w:val="004B5B21"/>
    <w:rsid w:val="004C17C9"/>
    <w:rsid w:val="004C50B9"/>
    <w:rsid w:val="004C50EF"/>
    <w:rsid w:val="004C5E56"/>
    <w:rsid w:val="004D6D6B"/>
    <w:rsid w:val="004E1636"/>
    <w:rsid w:val="004E431B"/>
    <w:rsid w:val="004E6CBF"/>
    <w:rsid w:val="004E7C07"/>
    <w:rsid w:val="004E7D8B"/>
    <w:rsid w:val="004E7F44"/>
    <w:rsid w:val="004F3309"/>
    <w:rsid w:val="00500F1A"/>
    <w:rsid w:val="00502F29"/>
    <w:rsid w:val="00506142"/>
    <w:rsid w:val="005072F6"/>
    <w:rsid w:val="00507B92"/>
    <w:rsid w:val="00510F9A"/>
    <w:rsid w:val="00513550"/>
    <w:rsid w:val="005172B3"/>
    <w:rsid w:val="005178A6"/>
    <w:rsid w:val="00523ABD"/>
    <w:rsid w:val="005269D7"/>
    <w:rsid w:val="00527730"/>
    <w:rsid w:val="00530103"/>
    <w:rsid w:val="00530F09"/>
    <w:rsid w:val="0053367A"/>
    <w:rsid w:val="00534D89"/>
    <w:rsid w:val="0054498B"/>
    <w:rsid w:val="00544C03"/>
    <w:rsid w:val="00553F63"/>
    <w:rsid w:val="00555914"/>
    <w:rsid w:val="00556072"/>
    <w:rsid w:val="0055614C"/>
    <w:rsid w:val="00560F57"/>
    <w:rsid w:val="005642BE"/>
    <w:rsid w:val="00566C6E"/>
    <w:rsid w:val="00573D0E"/>
    <w:rsid w:val="00574895"/>
    <w:rsid w:val="0057537A"/>
    <w:rsid w:val="005827EE"/>
    <w:rsid w:val="00582908"/>
    <w:rsid w:val="00583321"/>
    <w:rsid w:val="00587D81"/>
    <w:rsid w:val="00590DA3"/>
    <w:rsid w:val="00596524"/>
    <w:rsid w:val="0059732E"/>
    <w:rsid w:val="005A3AD8"/>
    <w:rsid w:val="005C05EB"/>
    <w:rsid w:val="005C2790"/>
    <w:rsid w:val="005C374F"/>
    <w:rsid w:val="005C47DA"/>
    <w:rsid w:val="005C62D9"/>
    <w:rsid w:val="005C67DA"/>
    <w:rsid w:val="005C75D2"/>
    <w:rsid w:val="005D5848"/>
    <w:rsid w:val="005E2194"/>
    <w:rsid w:val="005F0900"/>
    <w:rsid w:val="005F2B76"/>
    <w:rsid w:val="005F598D"/>
    <w:rsid w:val="005F70CE"/>
    <w:rsid w:val="005F794F"/>
    <w:rsid w:val="005F7CC2"/>
    <w:rsid w:val="00613435"/>
    <w:rsid w:val="0061655A"/>
    <w:rsid w:val="006177EB"/>
    <w:rsid w:val="006202D5"/>
    <w:rsid w:val="00633128"/>
    <w:rsid w:val="00633B31"/>
    <w:rsid w:val="00641BA8"/>
    <w:rsid w:val="00643D0C"/>
    <w:rsid w:val="00650976"/>
    <w:rsid w:val="0065325B"/>
    <w:rsid w:val="00663D56"/>
    <w:rsid w:val="00673B21"/>
    <w:rsid w:val="00675326"/>
    <w:rsid w:val="00677E97"/>
    <w:rsid w:val="0068065F"/>
    <w:rsid w:val="00681200"/>
    <w:rsid w:val="00681FE9"/>
    <w:rsid w:val="006828E3"/>
    <w:rsid w:val="006838CA"/>
    <w:rsid w:val="00691474"/>
    <w:rsid w:val="00696F24"/>
    <w:rsid w:val="006A2057"/>
    <w:rsid w:val="006A222C"/>
    <w:rsid w:val="006A2672"/>
    <w:rsid w:val="006A5A70"/>
    <w:rsid w:val="006A782A"/>
    <w:rsid w:val="006B7060"/>
    <w:rsid w:val="006B70C7"/>
    <w:rsid w:val="006B7215"/>
    <w:rsid w:val="006C0141"/>
    <w:rsid w:val="006C3898"/>
    <w:rsid w:val="006C38CA"/>
    <w:rsid w:val="006C4127"/>
    <w:rsid w:val="006C56E6"/>
    <w:rsid w:val="006D191D"/>
    <w:rsid w:val="006E2BAA"/>
    <w:rsid w:val="0070224F"/>
    <w:rsid w:val="007032FE"/>
    <w:rsid w:val="00705FEA"/>
    <w:rsid w:val="007103D1"/>
    <w:rsid w:val="007115F7"/>
    <w:rsid w:val="007141A0"/>
    <w:rsid w:val="00724A03"/>
    <w:rsid w:val="00724DCF"/>
    <w:rsid w:val="00731D12"/>
    <w:rsid w:val="007335CA"/>
    <w:rsid w:val="007551E7"/>
    <w:rsid w:val="007676E0"/>
    <w:rsid w:val="00770D0B"/>
    <w:rsid w:val="00781B87"/>
    <w:rsid w:val="007938DC"/>
    <w:rsid w:val="00794C2B"/>
    <w:rsid w:val="00795087"/>
    <w:rsid w:val="00795F9B"/>
    <w:rsid w:val="007A4892"/>
    <w:rsid w:val="007B3358"/>
    <w:rsid w:val="007B54DD"/>
    <w:rsid w:val="007B59FC"/>
    <w:rsid w:val="007B64BD"/>
    <w:rsid w:val="007B64E3"/>
    <w:rsid w:val="007B7225"/>
    <w:rsid w:val="007C26B6"/>
    <w:rsid w:val="007C2BA6"/>
    <w:rsid w:val="007C58F2"/>
    <w:rsid w:val="007D1138"/>
    <w:rsid w:val="007D1278"/>
    <w:rsid w:val="007E11CD"/>
    <w:rsid w:val="007E1E9B"/>
    <w:rsid w:val="007E41A3"/>
    <w:rsid w:val="007E4DED"/>
    <w:rsid w:val="007F748C"/>
    <w:rsid w:val="00800252"/>
    <w:rsid w:val="00804484"/>
    <w:rsid w:val="008067D4"/>
    <w:rsid w:val="00810B6F"/>
    <w:rsid w:val="0081148E"/>
    <w:rsid w:val="008115CF"/>
    <w:rsid w:val="00814182"/>
    <w:rsid w:val="00824AC1"/>
    <w:rsid w:val="00827724"/>
    <w:rsid w:val="00833989"/>
    <w:rsid w:val="008358EA"/>
    <w:rsid w:val="00837463"/>
    <w:rsid w:val="00840ED3"/>
    <w:rsid w:val="00843AB8"/>
    <w:rsid w:val="00852047"/>
    <w:rsid w:val="00853E3F"/>
    <w:rsid w:val="0085501D"/>
    <w:rsid w:val="008562C7"/>
    <w:rsid w:val="00867BED"/>
    <w:rsid w:val="008703C5"/>
    <w:rsid w:val="00872609"/>
    <w:rsid w:val="00874BAF"/>
    <w:rsid w:val="008815A7"/>
    <w:rsid w:val="008848B7"/>
    <w:rsid w:val="008865BD"/>
    <w:rsid w:val="00892CFB"/>
    <w:rsid w:val="00894B0A"/>
    <w:rsid w:val="00896943"/>
    <w:rsid w:val="008B09C4"/>
    <w:rsid w:val="008B2ECF"/>
    <w:rsid w:val="008C2E23"/>
    <w:rsid w:val="008C4C2A"/>
    <w:rsid w:val="008C667F"/>
    <w:rsid w:val="008C710A"/>
    <w:rsid w:val="008D003B"/>
    <w:rsid w:val="008D1CE0"/>
    <w:rsid w:val="008E4655"/>
    <w:rsid w:val="008E7035"/>
    <w:rsid w:val="008F20DB"/>
    <w:rsid w:val="008F2CFA"/>
    <w:rsid w:val="00901723"/>
    <w:rsid w:val="00902D7A"/>
    <w:rsid w:val="00903FAD"/>
    <w:rsid w:val="00907109"/>
    <w:rsid w:val="009078D9"/>
    <w:rsid w:val="00910040"/>
    <w:rsid w:val="0092041F"/>
    <w:rsid w:val="00922B20"/>
    <w:rsid w:val="00927194"/>
    <w:rsid w:val="00931409"/>
    <w:rsid w:val="00936AD4"/>
    <w:rsid w:val="009430D4"/>
    <w:rsid w:val="0094458A"/>
    <w:rsid w:val="00944C92"/>
    <w:rsid w:val="009563CF"/>
    <w:rsid w:val="0095780D"/>
    <w:rsid w:val="00960FBC"/>
    <w:rsid w:val="009616B7"/>
    <w:rsid w:val="00961957"/>
    <w:rsid w:val="00967407"/>
    <w:rsid w:val="00975C28"/>
    <w:rsid w:val="00976C25"/>
    <w:rsid w:val="00977044"/>
    <w:rsid w:val="00977168"/>
    <w:rsid w:val="00980BC3"/>
    <w:rsid w:val="00984E73"/>
    <w:rsid w:val="009877AF"/>
    <w:rsid w:val="00991406"/>
    <w:rsid w:val="009A132D"/>
    <w:rsid w:val="009A4DF1"/>
    <w:rsid w:val="009A5AB2"/>
    <w:rsid w:val="009A7465"/>
    <w:rsid w:val="009B2041"/>
    <w:rsid w:val="009B22B3"/>
    <w:rsid w:val="009B3CCD"/>
    <w:rsid w:val="009B4404"/>
    <w:rsid w:val="009B7AB7"/>
    <w:rsid w:val="009C5F8A"/>
    <w:rsid w:val="009D3454"/>
    <w:rsid w:val="009D60F7"/>
    <w:rsid w:val="009E0B5D"/>
    <w:rsid w:val="009E0FD0"/>
    <w:rsid w:val="009E5D78"/>
    <w:rsid w:val="009E602B"/>
    <w:rsid w:val="009F3686"/>
    <w:rsid w:val="00A0083E"/>
    <w:rsid w:val="00A02BF0"/>
    <w:rsid w:val="00A037E4"/>
    <w:rsid w:val="00A03A2F"/>
    <w:rsid w:val="00A12DB0"/>
    <w:rsid w:val="00A13F10"/>
    <w:rsid w:val="00A23486"/>
    <w:rsid w:val="00A26030"/>
    <w:rsid w:val="00A302BC"/>
    <w:rsid w:val="00A33563"/>
    <w:rsid w:val="00A37348"/>
    <w:rsid w:val="00A4110A"/>
    <w:rsid w:val="00A449E8"/>
    <w:rsid w:val="00A5171F"/>
    <w:rsid w:val="00A5320D"/>
    <w:rsid w:val="00A56BCB"/>
    <w:rsid w:val="00A61E63"/>
    <w:rsid w:val="00A64FB4"/>
    <w:rsid w:val="00A65653"/>
    <w:rsid w:val="00A65D48"/>
    <w:rsid w:val="00A66CA1"/>
    <w:rsid w:val="00A66DA9"/>
    <w:rsid w:val="00A750EF"/>
    <w:rsid w:val="00A76F07"/>
    <w:rsid w:val="00A81C78"/>
    <w:rsid w:val="00A82760"/>
    <w:rsid w:val="00A8595F"/>
    <w:rsid w:val="00A85983"/>
    <w:rsid w:val="00A955A8"/>
    <w:rsid w:val="00A96CCB"/>
    <w:rsid w:val="00AB4426"/>
    <w:rsid w:val="00AB5117"/>
    <w:rsid w:val="00AB539C"/>
    <w:rsid w:val="00AC2AB1"/>
    <w:rsid w:val="00AC3EF5"/>
    <w:rsid w:val="00AC4C48"/>
    <w:rsid w:val="00AE01E2"/>
    <w:rsid w:val="00AE0C48"/>
    <w:rsid w:val="00AE264D"/>
    <w:rsid w:val="00AE26E4"/>
    <w:rsid w:val="00AE2970"/>
    <w:rsid w:val="00AE43E9"/>
    <w:rsid w:val="00AF2538"/>
    <w:rsid w:val="00AF38E8"/>
    <w:rsid w:val="00AF3E64"/>
    <w:rsid w:val="00B006D2"/>
    <w:rsid w:val="00B01D44"/>
    <w:rsid w:val="00B05A58"/>
    <w:rsid w:val="00B0643B"/>
    <w:rsid w:val="00B06E36"/>
    <w:rsid w:val="00B11054"/>
    <w:rsid w:val="00B22C86"/>
    <w:rsid w:val="00B22D25"/>
    <w:rsid w:val="00B24A94"/>
    <w:rsid w:val="00B26CAE"/>
    <w:rsid w:val="00B27159"/>
    <w:rsid w:val="00B330A6"/>
    <w:rsid w:val="00B40BE1"/>
    <w:rsid w:val="00B429C1"/>
    <w:rsid w:val="00B43F23"/>
    <w:rsid w:val="00B52C07"/>
    <w:rsid w:val="00B61813"/>
    <w:rsid w:val="00B61B53"/>
    <w:rsid w:val="00B63AC6"/>
    <w:rsid w:val="00B6703A"/>
    <w:rsid w:val="00B70BA9"/>
    <w:rsid w:val="00B7654D"/>
    <w:rsid w:val="00B769F4"/>
    <w:rsid w:val="00B84865"/>
    <w:rsid w:val="00B872C4"/>
    <w:rsid w:val="00B920F7"/>
    <w:rsid w:val="00B93175"/>
    <w:rsid w:val="00B949CD"/>
    <w:rsid w:val="00BA0D61"/>
    <w:rsid w:val="00BB21E4"/>
    <w:rsid w:val="00BB425E"/>
    <w:rsid w:val="00BB5BE3"/>
    <w:rsid w:val="00BC1EE5"/>
    <w:rsid w:val="00BD02A6"/>
    <w:rsid w:val="00BD40C3"/>
    <w:rsid w:val="00BD759F"/>
    <w:rsid w:val="00BE34DB"/>
    <w:rsid w:val="00BE6D53"/>
    <w:rsid w:val="00BE73DB"/>
    <w:rsid w:val="00BF62F9"/>
    <w:rsid w:val="00C030B1"/>
    <w:rsid w:val="00C03673"/>
    <w:rsid w:val="00C063F9"/>
    <w:rsid w:val="00C10473"/>
    <w:rsid w:val="00C108DB"/>
    <w:rsid w:val="00C11CB3"/>
    <w:rsid w:val="00C13580"/>
    <w:rsid w:val="00C233FC"/>
    <w:rsid w:val="00C23ABA"/>
    <w:rsid w:val="00C24916"/>
    <w:rsid w:val="00C26D7A"/>
    <w:rsid w:val="00C32022"/>
    <w:rsid w:val="00C43350"/>
    <w:rsid w:val="00C44845"/>
    <w:rsid w:val="00C56409"/>
    <w:rsid w:val="00C5680E"/>
    <w:rsid w:val="00C603F3"/>
    <w:rsid w:val="00C81CD4"/>
    <w:rsid w:val="00C82028"/>
    <w:rsid w:val="00C82BBC"/>
    <w:rsid w:val="00C873C6"/>
    <w:rsid w:val="00C90793"/>
    <w:rsid w:val="00C94411"/>
    <w:rsid w:val="00C95025"/>
    <w:rsid w:val="00CA1057"/>
    <w:rsid w:val="00CA16D2"/>
    <w:rsid w:val="00CA2AC7"/>
    <w:rsid w:val="00CA2F76"/>
    <w:rsid w:val="00CA52DE"/>
    <w:rsid w:val="00CA7A7E"/>
    <w:rsid w:val="00CB415C"/>
    <w:rsid w:val="00CB471D"/>
    <w:rsid w:val="00CB53C8"/>
    <w:rsid w:val="00CC0375"/>
    <w:rsid w:val="00CC065C"/>
    <w:rsid w:val="00CC0FAF"/>
    <w:rsid w:val="00CC1FE5"/>
    <w:rsid w:val="00CC2220"/>
    <w:rsid w:val="00CC44B9"/>
    <w:rsid w:val="00CC5693"/>
    <w:rsid w:val="00CC66AC"/>
    <w:rsid w:val="00CC772C"/>
    <w:rsid w:val="00CD088F"/>
    <w:rsid w:val="00CD127B"/>
    <w:rsid w:val="00CD21AC"/>
    <w:rsid w:val="00CD61CE"/>
    <w:rsid w:val="00CD7AFC"/>
    <w:rsid w:val="00CE0D5A"/>
    <w:rsid w:val="00CE4456"/>
    <w:rsid w:val="00CE5AE9"/>
    <w:rsid w:val="00CF6DDE"/>
    <w:rsid w:val="00D00B2C"/>
    <w:rsid w:val="00D0122D"/>
    <w:rsid w:val="00D01A20"/>
    <w:rsid w:val="00D074E5"/>
    <w:rsid w:val="00D10515"/>
    <w:rsid w:val="00D1154F"/>
    <w:rsid w:val="00D11687"/>
    <w:rsid w:val="00D15B22"/>
    <w:rsid w:val="00D27A57"/>
    <w:rsid w:val="00D306CA"/>
    <w:rsid w:val="00D328FD"/>
    <w:rsid w:val="00D3462E"/>
    <w:rsid w:val="00D35FDD"/>
    <w:rsid w:val="00D37437"/>
    <w:rsid w:val="00D41017"/>
    <w:rsid w:val="00D46BC6"/>
    <w:rsid w:val="00D540B9"/>
    <w:rsid w:val="00D739E3"/>
    <w:rsid w:val="00D76757"/>
    <w:rsid w:val="00D83199"/>
    <w:rsid w:val="00D85FCF"/>
    <w:rsid w:val="00D90CB4"/>
    <w:rsid w:val="00D945EB"/>
    <w:rsid w:val="00D96898"/>
    <w:rsid w:val="00DA3351"/>
    <w:rsid w:val="00DB06FB"/>
    <w:rsid w:val="00DB226C"/>
    <w:rsid w:val="00DB6717"/>
    <w:rsid w:val="00DB6FBA"/>
    <w:rsid w:val="00DB7DD6"/>
    <w:rsid w:val="00DC1C33"/>
    <w:rsid w:val="00DC2B1C"/>
    <w:rsid w:val="00DC41D2"/>
    <w:rsid w:val="00DC523A"/>
    <w:rsid w:val="00DD3453"/>
    <w:rsid w:val="00DD4826"/>
    <w:rsid w:val="00DD5594"/>
    <w:rsid w:val="00DD5B06"/>
    <w:rsid w:val="00DE023D"/>
    <w:rsid w:val="00DE34E7"/>
    <w:rsid w:val="00DE4B46"/>
    <w:rsid w:val="00DE5F7F"/>
    <w:rsid w:val="00DE7DDB"/>
    <w:rsid w:val="00DF5A88"/>
    <w:rsid w:val="00DF6A61"/>
    <w:rsid w:val="00DF6E7D"/>
    <w:rsid w:val="00E01A74"/>
    <w:rsid w:val="00E0311C"/>
    <w:rsid w:val="00E03CBC"/>
    <w:rsid w:val="00E0477B"/>
    <w:rsid w:val="00E101C8"/>
    <w:rsid w:val="00E102A4"/>
    <w:rsid w:val="00E114FB"/>
    <w:rsid w:val="00E12703"/>
    <w:rsid w:val="00E13372"/>
    <w:rsid w:val="00E14CDD"/>
    <w:rsid w:val="00E16D3D"/>
    <w:rsid w:val="00E21E14"/>
    <w:rsid w:val="00E224C6"/>
    <w:rsid w:val="00E23179"/>
    <w:rsid w:val="00E3002D"/>
    <w:rsid w:val="00E31D86"/>
    <w:rsid w:val="00E332B9"/>
    <w:rsid w:val="00E3396B"/>
    <w:rsid w:val="00E36D7C"/>
    <w:rsid w:val="00E42921"/>
    <w:rsid w:val="00E46076"/>
    <w:rsid w:val="00E46670"/>
    <w:rsid w:val="00E52DF1"/>
    <w:rsid w:val="00E535E9"/>
    <w:rsid w:val="00E5452B"/>
    <w:rsid w:val="00E56B5D"/>
    <w:rsid w:val="00E61A29"/>
    <w:rsid w:val="00E64337"/>
    <w:rsid w:val="00E66FFB"/>
    <w:rsid w:val="00E72D83"/>
    <w:rsid w:val="00E83918"/>
    <w:rsid w:val="00E84A08"/>
    <w:rsid w:val="00E85A04"/>
    <w:rsid w:val="00E865DC"/>
    <w:rsid w:val="00E93120"/>
    <w:rsid w:val="00E962E8"/>
    <w:rsid w:val="00E96A50"/>
    <w:rsid w:val="00EA020E"/>
    <w:rsid w:val="00EA092A"/>
    <w:rsid w:val="00EA70D1"/>
    <w:rsid w:val="00EB1CFE"/>
    <w:rsid w:val="00EC2EB9"/>
    <w:rsid w:val="00ED20E5"/>
    <w:rsid w:val="00ED302C"/>
    <w:rsid w:val="00EE0843"/>
    <w:rsid w:val="00EE4192"/>
    <w:rsid w:val="00EE611F"/>
    <w:rsid w:val="00EE6E7A"/>
    <w:rsid w:val="00F007F6"/>
    <w:rsid w:val="00F02B3C"/>
    <w:rsid w:val="00F05F66"/>
    <w:rsid w:val="00F11618"/>
    <w:rsid w:val="00F11F85"/>
    <w:rsid w:val="00F13DF7"/>
    <w:rsid w:val="00F13E93"/>
    <w:rsid w:val="00F1435F"/>
    <w:rsid w:val="00F16715"/>
    <w:rsid w:val="00F17727"/>
    <w:rsid w:val="00F22D5B"/>
    <w:rsid w:val="00F23851"/>
    <w:rsid w:val="00F2532B"/>
    <w:rsid w:val="00F271D5"/>
    <w:rsid w:val="00F3576E"/>
    <w:rsid w:val="00F3714A"/>
    <w:rsid w:val="00F5237C"/>
    <w:rsid w:val="00F543F9"/>
    <w:rsid w:val="00F57CD6"/>
    <w:rsid w:val="00F60EBF"/>
    <w:rsid w:val="00F7084C"/>
    <w:rsid w:val="00F70A36"/>
    <w:rsid w:val="00F750CB"/>
    <w:rsid w:val="00F778C7"/>
    <w:rsid w:val="00F823B9"/>
    <w:rsid w:val="00F85250"/>
    <w:rsid w:val="00F8556B"/>
    <w:rsid w:val="00F86DB1"/>
    <w:rsid w:val="00F93A1F"/>
    <w:rsid w:val="00F9632A"/>
    <w:rsid w:val="00F978F3"/>
    <w:rsid w:val="00FA2AAD"/>
    <w:rsid w:val="00FA4216"/>
    <w:rsid w:val="00FB5036"/>
    <w:rsid w:val="00FC0EA4"/>
    <w:rsid w:val="00FC19BD"/>
    <w:rsid w:val="00FC1BBB"/>
    <w:rsid w:val="00FC1FF7"/>
    <w:rsid w:val="00FC525F"/>
    <w:rsid w:val="00FD0539"/>
    <w:rsid w:val="00FD56FD"/>
    <w:rsid w:val="00FD6ECE"/>
    <w:rsid w:val="00FD760D"/>
    <w:rsid w:val="00FE1F08"/>
    <w:rsid w:val="00FE341C"/>
    <w:rsid w:val="00FF01CF"/>
    <w:rsid w:val="00FF37FF"/>
    <w:rsid w:val="0128B242"/>
    <w:rsid w:val="063F7DB8"/>
    <w:rsid w:val="11D9C9D0"/>
    <w:rsid w:val="12EBCD59"/>
    <w:rsid w:val="20597A0E"/>
    <w:rsid w:val="21F54A6F"/>
    <w:rsid w:val="306FF1AF"/>
    <w:rsid w:val="4162ECE9"/>
    <w:rsid w:val="493EA7A5"/>
    <w:rsid w:val="4B070FC4"/>
    <w:rsid w:val="5638B64E"/>
    <w:rsid w:val="5700794A"/>
    <w:rsid w:val="57D486AF"/>
    <w:rsid w:val="66E04FDA"/>
    <w:rsid w:val="679FAE6D"/>
    <w:rsid w:val="694306B2"/>
    <w:rsid w:val="69EA29CC"/>
    <w:rsid w:val="71997A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1CE9A9"/>
  <w15:chartTrackingRefBased/>
  <w15:docId w15:val="{702DE034-2914-4594-A0DC-66E437D1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3B9"/>
    <w:pPr>
      <w:widowControl w:val="0"/>
      <w:spacing w:after="0" w:line="240" w:lineRule="auto"/>
    </w:pPr>
    <w:rPr>
      <w:rFonts w:ascii="Times New Roman" w:eastAsia="Times New Roman" w:hAnsi="Times New Roman" w:cs="Times New Roman"/>
      <w:snapToGrid w:val="0"/>
      <w:kern w:val="28"/>
      <w:szCs w:val="20"/>
      <w14:ligatures w14:val="none"/>
    </w:rPr>
  </w:style>
  <w:style w:type="paragraph" w:styleId="Heading1">
    <w:name w:val="heading 1"/>
    <w:basedOn w:val="Normal"/>
    <w:next w:val="ParaNum"/>
    <w:link w:val="Heading1Char"/>
    <w:qFormat/>
    <w:rsid w:val="00F823B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823B9"/>
    <w:pPr>
      <w:keepNext/>
      <w:numPr>
        <w:ilvl w:val="1"/>
        <w:numId w:val="2"/>
      </w:numPr>
      <w:spacing w:after="120"/>
      <w:outlineLvl w:val="1"/>
    </w:pPr>
    <w:rPr>
      <w:b/>
    </w:rPr>
  </w:style>
  <w:style w:type="paragraph" w:styleId="Heading3">
    <w:name w:val="heading 3"/>
    <w:basedOn w:val="Normal"/>
    <w:next w:val="ParaNum"/>
    <w:link w:val="Heading3Char"/>
    <w:qFormat/>
    <w:rsid w:val="00F823B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823B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823B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823B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823B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823B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823B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3B9"/>
    <w:rPr>
      <w:rFonts w:ascii="Times New Roman Bold" w:eastAsia="Times New Roman" w:hAnsi="Times New Roman Bold" w:cs="Times New Roman"/>
      <w:b/>
      <w:caps/>
      <w:snapToGrid w:val="0"/>
      <w:kern w:val="28"/>
      <w:szCs w:val="20"/>
      <w14:ligatures w14:val="none"/>
    </w:rPr>
  </w:style>
  <w:style w:type="character" w:customStyle="1" w:styleId="Heading2Char">
    <w:name w:val="Heading 2 Char"/>
    <w:basedOn w:val="DefaultParagraphFont"/>
    <w:link w:val="Heading2"/>
    <w:rsid w:val="00F823B9"/>
    <w:rPr>
      <w:rFonts w:ascii="Times New Roman" w:eastAsia="Times New Roman" w:hAnsi="Times New Roman" w:cs="Times New Roman"/>
      <w:b/>
      <w:snapToGrid w:val="0"/>
      <w:kern w:val="28"/>
      <w:szCs w:val="20"/>
      <w14:ligatures w14:val="none"/>
    </w:rPr>
  </w:style>
  <w:style w:type="character" w:customStyle="1" w:styleId="Heading3Char">
    <w:name w:val="Heading 3 Char"/>
    <w:basedOn w:val="DefaultParagraphFont"/>
    <w:link w:val="Heading3"/>
    <w:rsid w:val="00F823B9"/>
    <w:rPr>
      <w:rFonts w:ascii="Times New Roman" w:eastAsia="Times New Roman" w:hAnsi="Times New Roman" w:cs="Times New Roman"/>
      <w:b/>
      <w:snapToGrid w:val="0"/>
      <w:kern w:val="28"/>
      <w:szCs w:val="20"/>
      <w14:ligatures w14:val="none"/>
    </w:rPr>
  </w:style>
  <w:style w:type="character" w:customStyle="1" w:styleId="Heading4Char">
    <w:name w:val="Heading 4 Char"/>
    <w:basedOn w:val="DefaultParagraphFont"/>
    <w:link w:val="Heading4"/>
    <w:rsid w:val="00F823B9"/>
    <w:rPr>
      <w:rFonts w:ascii="Times New Roman" w:eastAsia="Times New Roman" w:hAnsi="Times New Roman" w:cs="Times New Roman"/>
      <w:b/>
      <w:snapToGrid w:val="0"/>
      <w:kern w:val="28"/>
      <w:szCs w:val="20"/>
      <w14:ligatures w14:val="none"/>
    </w:rPr>
  </w:style>
  <w:style w:type="character" w:customStyle="1" w:styleId="Heading5Char">
    <w:name w:val="Heading 5 Char"/>
    <w:basedOn w:val="DefaultParagraphFont"/>
    <w:link w:val="Heading5"/>
    <w:rsid w:val="00F823B9"/>
    <w:rPr>
      <w:rFonts w:ascii="Times New Roman" w:eastAsia="Times New Roman" w:hAnsi="Times New Roman" w:cs="Times New Roman"/>
      <w:b/>
      <w:snapToGrid w:val="0"/>
      <w:kern w:val="28"/>
      <w:szCs w:val="20"/>
      <w14:ligatures w14:val="none"/>
    </w:rPr>
  </w:style>
  <w:style w:type="character" w:customStyle="1" w:styleId="Heading6Char">
    <w:name w:val="Heading 6 Char"/>
    <w:basedOn w:val="DefaultParagraphFont"/>
    <w:link w:val="Heading6"/>
    <w:rsid w:val="00F823B9"/>
    <w:rPr>
      <w:rFonts w:ascii="Times New Roman" w:eastAsia="Times New Roman" w:hAnsi="Times New Roman" w:cs="Times New Roman"/>
      <w:b/>
      <w:snapToGrid w:val="0"/>
      <w:kern w:val="28"/>
      <w:szCs w:val="20"/>
      <w14:ligatures w14:val="none"/>
    </w:rPr>
  </w:style>
  <w:style w:type="character" w:customStyle="1" w:styleId="Heading7Char">
    <w:name w:val="Heading 7 Char"/>
    <w:basedOn w:val="DefaultParagraphFont"/>
    <w:link w:val="Heading7"/>
    <w:rsid w:val="00F823B9"/>
    <w:rPr>
      <w:rFonts w:ascii="Times New Roman" w:eastAsia="Times New Roman" w:hAnsi="Times New Roman" w:cs="Times New Roman"/>
      <w:b/>
      <w:snapToGrid w:val="0"/>
      <w:kern w:val="28"/>
      <w:szCs w:val="20"/>
      <w14:ligatures w14:val="none"/>
    </w:rPr>
  </w:style>
  <w:style w:type="character" w:customStyle="1" w:styleId="Heading8Char">
    <w:name w:val="Heading 8 Char"/>
    <w:basedOn w:val="DefaultParagraphFont"/>
    <w:link w:val="Heading8"/>
    <w:rsid w:val="00F823B9"/>
    <w:rPr>
      <w:rFonts w:ascii="Times New Roman" w:eastAsia="Times New Roman" w:hAnsi="Times New Roman" w:cs="Times New Roman"/>
      <w:b/>
      <w:snapToGrid w:val="0"/>
      <w:kern w:val="28"/>
      <w:szCs w:val="20"/>
      <w14:ligatures w14:val="none"/>
    </w:rPr>
  </w:style>
  <w:style w:type="character" w:customStyle="1" w:styleId="Heading9Char">
    <w:name w:val="Heading 9 Char"/>
    <w:basedOn w:val="DefaultParagraphFont"/>
    <w:link w:val="Heading9"/>
    <w:rsid w:val="00F823B9"/>
    <w:rPr>
      <w:rFonts w:ascii="Times New Roman" w:eastAsia="Times New Roman" w:hAnsi="Times New Roman" w:cs="Times New Roman"/>
      <w:b/>
      <w:snapToGrid w:val="0"/>
      <w:kern w:val="28"/>
      <w:szCs w:val="20"/>
      <w14:ligatures w14:val="none"/>
    </w:rPr>
  </w:style>
  <w:style w:type="paragraph" w:customStyle="1" w:styleId="ParaNum">
    <w:name w:val="ParaNum"/>
    <w:basedOn w:val="Normal"/>
    <w:link w:val="ParaNumChar"/>
    <w:rsid w:val="00F823B9"/>
    <w:pPr>
      <w:spacing w:after="120"/>
    </w:p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fn"/>
    <w:link w:val="FootnoteTextChar"/>
    <w:rsid w:val="00F823B9"/>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basedOn w:val="DefaultParagraphFont"/>
    <w:link w:val="FootnoteText"/>
    <w:rsid w:val="00F823B9"/>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F823B9"/>
    <w:rPr>
      <w:rFonts w:ascii="Times New Roman" w:hAnsi="Times New Roman"/>
      <w:dstrike w:val="0"/>
      <w:color w:val="auto"/>
      <w:sz w:val="20"/>
      <w:vertAlign w:val="superscript"/>
    </w:rPr>
  </w:style>
  <w:style w:type="paragraph" w:styleId="TOAHeading">
    <w:name w:val="toa heading"/>
    <w:basedOn w:val="Normal"/>
    <w:next w:val="Normal"/>
    <w:semiHidden/>
    <w:rsid w:val="00F823B9"/>
    <w:pPr>
      <w:tabs>
        <w:tab w:val="right" w:pos="9360"/>
      </w:tabs>
      <w:suppressAutoHyphens/>
    </w:pPr>
  </w:style>
  <w:style w:type="paragraph" w:styleId="Header">
    <w:name w:val="header"/>
    <w:basedOn w:val="Normal"/>
    <w:link w:val="HeaderChar"/>
    <w:autoRedefine/>
    <w:rsid w:val="00F823B9"/>
    <w:pPr>
      <w:tabs>
        <w:tab w:val="center" w:pos="4680"/>
        <w:tab w:val="right" w:pos="9360"/>
      </w:tabs>
    </w:pPr>
    <w:rPr>
      <w:b/>
    </w:rPr>
  </w:style>
  <w:style w:type="character" w:customStyle="1" w:styleId="HeaderChar">
    <w:name w:val="Header Char"/>
    <w:basedOn w:val="DefaultParagraphFont"/>
    <w:link w:val="Header"/>
    <w:rsid w:val="00F823B9"/>
    <w:rPr>
      <w:rFonts w:ascii="Times New Roman" w:eastAsia="Times New Roman" w:hAnsi="Times New Roman" w:cs="Times New Roman"/>
      <w:b/>
      <w:snapToGrid w:val="0"/>
      <w:kern w:val="28"/>
      <w:szCs w:val="20"/>
      <w14:ligatures w14:val="none"/>
    </w:rPr>
  </w:style>
  <w:style w:type="paragraph" w:styleId="Footer">
    <w:name w:val="footer"/>
    <w:basedOn w:val="Normal"/>
    <w:link w:val="FooterChar"/>
    <w:uiPriority w:val="99"/>
    <w:rsid w:val="00F823B9"/>
    <w:pPr>
      <w:tabs>
        <w:tab w:val="center" w:pos="4320"/>
        <w:tab w:val="right" w:pos="8640"/>
      </w:tabs>
    </w:pPr>
  </w:style>
  <w:style w:type="character" w:customStyle="1" w:styleId="FooterChar">
    <w:name w:val="Footer Char"/>
    <w:basedOn w:val="DefaultParagraphFont"/>
    <w:link w:val="Footer"/>
    <w:uiPriority w:val="99"/>
    <w:rsid w:val="00F823B9"/>
    <w:rPr>
      <w:rFonts w:ascii="Times New Roman" w:eastAsia="Times New Roman" w:hAnsi="Times New Roman" w:cs="Times New Roman"/>
      <w:snapToGrid w:val="0"/>
      <w:kern w:val="28"/>
      <w:szCs w:val="20"/>
      <w14:ligatures w14:val="none"/>
    </w:rPr>
  </w:style>
  <w:style w:type="paragraph" w:customStyle="1" w:styleId="StyleBoldCentered">
    <w:name w:val="Style Bold Centered"/>
    <w:basedOn w:val="Normal"/>
    <w:rsid w:val="00F823B9"/>
    <w:pPr>
      <w:jc w:val="center"/>
    </w:pPr>
    <w:rPr>
      <w:rFonts w:ascii="Times New Roman Bold" w:hAnsi="Times New Roman Bold"/>
      <w:b/>
      <w:bCs/>
      <w:caps/>
      <w:szCs w:val="22"/>
    </w:rPr>
  </w:style>
  <w:style w:type="character" w:styleId="Hyperlink">
    <w:name w:val="Hyperlink"/>
    <w:rsid w:val="00F823B9"/>
    <w:rPr>
      <w:color w:val="0000FF"/>
      <w:u w:val="single"/>
    </w:rPr>
  </w:style>
  <w:style w:type="character" w:customStyle="1" w:styleId="ParaNumChar">
    <w:name w:val="ParaNum Char"/>
    <w:link w:val="ParaNum"/>
    <w:locked/>
    <w:rsid w:val="00F823B9"/>
    <w:rPr>
      <w:rFonts w:ascii="Times New Roman" w:eastAsia="Times New Roman" w:hAnsi="Times New Roman" w:cs="Times New Roman"/>
      <w:snapToGrid w:val="0"/>
      <w:kern w:val="28"/>
      <w:szCs w:val="20"/>
      <w14:ligatures w14:val="none"/>
    </w:rPr>
  </w:style>
  <w:style w:type="paragraph" w:styleId="BodyText">
    <w:name w:val="Body Text"/>
    <w:basedOn w:val="Normal"/>
    <w:link w:val="BodyTextChar"/>
    <w:uiPriority w:val="1"/>
    <w:qFormat/>
    <w:rsid w:val="00F823B9"/>
    <w:pPr>
      <w:ind w:left="120"/>
    </w:pPr>
    <w:rPr>
      <w:snapToGrid/>
      <w:kern w:val="0"/>
      <w:szCs w:val="22"/>
    </w:rPr>
  </w:style>
  <w:style w:type="character" w:customStyle="1" w:styleId="BodyTextChar">
    <w:name w:val="Body Text Char"/>
    <w:basedOn w:val="DefaultParagraphFont"/>
    <w:link w:val="BodyText"/>
    <w:uiPriority w:val="1"/>
    <w:rsid w:val="00F823B9"/>
    <w:rPr>
      <w:rFonts w:ascii="Times New Roman" w:eastAsia="Times New Roman" w:hAnsi="Times New Roman" w:cs="Times New Roman"/>
      <w:kern w:val="0"/>
      <w14:ligatures w14:val="none"/>
    </w:rPr>
  </w:style>
  <w:style w:type="paragraph" w:styleId="ListParagraph">
    <w:name w:val="List Paragraph"/>
    <w:basedOn w:val="Normal"/>
    <w:uiPriority w:val="34"/>
    <w:qFormat/>
    <w:rsid w:val="00F823B9"/>
    <w:pPr>
      <w:ind w:left="720"/>
      <w:contextualSpacing/>
    </w:pPr>
  </w:style>
  <w:style w:type="character" w:styleId="UnresolvedMention">
    <w:name w:val="Unresolved Mention"/>
    <w:basedOn w:val="DefaultParagraphFont"/>
    <w:uiPriority w:val="99"/>
    <w:semiHidden/>
    <w:unhideWhenUsed/>
    <w:rsid w:val="00DC2B1C"/>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napToGrid w:val="0"/>
      <w:kern w:val="28"/>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F6DDE"/>
    <w:pPr>
      <w:spacing w:after="0" w:line="240" w:lineRule="auto"/>
    </w:pPr>
    <w:rPr>
      <w:rFonts w:ascii="Times New Roman" w:eastAsia="Times New Roman" w:hAnsi="Times New Roman" w:cs="Times New Roman"/>
      <w:snapToGrid w:val="0"/>
      <w:kern w:val="28"/>
      <w:szCs w:val="20"/>
      <w14:ligatures w14:val="none"/>
    </w:rPr>
  </w:style>
  <w:style w:type="paragraph" w:styleId="CommentSubject">
    <w:name w:val="annotation subject"/>
    <w:basedOn w:val="CommentText"/>
    <w:next w:val="CommentText"/>
    <w:link w:val="CommentSubjectChar"/>
    <w:uiPriority w:val="99"/>
    <w:semiHidden/>
    <w:unhideWhenUsed/>
    <w:rsid w:val="004E431B"/>
    <w:rPr>
      <w:b/>
      <w:bCs/>
    </w:rPr>
  </w:style>
  <w:style w:type="character" w:customStyle="1" w:styleId="CommentSubjectChar">
    <w:name w:val="Comment Subject Char"/>
    <w:basedOn w:val="CommentTextChar"/>
    <w:link w:val="CommentSubject"/>
    <w:uiPriority w:val="99"/>
    <w:semiHidden/>
    <w:rsid w:val="004E431B"/>
    <w:rPr>
      <w:rFonts w:ascii="Times New Roman" w:eastAsia="Times New Roman" w:hAnsi="Times New Roman" w:cs="Times New Roman"/>
      <w:b/>
      <w:bCs/>
      <w:snapToGrid w:val="0"/>
      <w:kern w:val="28"/>
      <w:sz w:val="20"/>
      <w:szCs w:val="20"/>
      <w14:ligatures w14:val="none"/>
    </w:rPr>
  </w:style>
  <w:style w:type="paragraph" w:customStyle="1" w:styleId="Default">
    <w:name w:val="Default"/>
    <w:rsid w:val="008F2CFA"/>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sid w:val="00ED2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