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78C72C8" w14:textId="77777777">
      <w:pPr>
        <w:pStyle w:val="Header"/>
        <w:tabs>
          <w:tab w:val="clear" w:pos="4320"/>
          <w:tab w:val="clear" w:pos="8640"/>
        </w:tabs>
        <w:sectPr w:rsidSect="00FE446B">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D66672" w14:paraId="321C0F2A" w14:textId="5B374F9A">
      <w:pPr>
        <w:widowControl w:val="0"/>
        <w:ind w:left="7200" w:firstLine="720"/>
        <w:rPr>
          <w:b/>
          <w:snapToGrid w:val="0"/>
          <w:kern w:val="28"/>
        </w:rPr>
      </w:pPr>
      <w:bookmarkStart w:id="1" w:name="_Hlk26280526"/>
      <w:bookmarkStart w:id="2" w:name="_Hlk64383480"/>
      <w:r>
        <w:rPr>
          <w:b/>
          <w:snapToGrid w:val="0"/>
          <w:kern w:val="28"/>
        </w:rPr>
        <w:t xml:space="preserve">    </w:t>
      </w:r>
      <w:r w:rsidRPr="00CB6B4E" w:rsidR="00146483">
        <w:rPr>
          <w:b/>
          <w:snapToGrid w:val="0"/>
          <w:kern w:val="28"/>
        </w:rPr>
        <w:t>DA 2</w:t>
      </w:r>
      <w:r w:rsidR="00AA758F">
        <w:rPr>
          <w:b/>
          <w:snapToGrid w:val="0"/>
          <w:kern w:val="28"/>
        </w:rPr>
        <w:t>4</w:t>
      </w:r>
      <w:r w:rsidRPr="00CB6B4E" w:rsidR="00146483">
        <w:rPr>
          <w:b/>
          <w:snapToGrid w:val="0"/>
          <w:kern w:val="28"/>
        </w:rPr>
        <w:t>-</w:t>
      </w:r>
      <w:r w:rsidR="00E36925">
        <w:rPr>
          <w:b/>
          <w:snapToGrid w:val="0"/>
          <w:kern w:val="28"/>
        </w:rPr>
        <w:t>389</w:t>
      </w:r>
    </w:p>
    <w:p w:rsidR="00A73317" w:rsidP="003E1739" w14:paraId="797E940C" w14:textId="3C10B647">
      <w:pPr>
        <w:widowControl w:val="0"/>
        <w:ind w:left="720" w:firstLine="720"/>
        <w:jc w:val="right"/>
        <w:rPr>
          <w:b/>
          <w:snapToGrid w:val="0"/>
          <w:kern w:val="28"/>
        </w:rPr>
      </w:pPr>
      <w:r w:rsidRPr="00CB6B4E">
        <w:rPr>
          <w:b/>
          <w:snapToGrid w:val="0"/>
          <w:kern w:val="28"/>
        </w:rPr>
        <w:t xml:space="preserve">Released:  </w:t>
      </w:r>
      <w:r w:rsidR="00516AD7">
        <w:rPr>
          <w:b/>
          <w:snapToGrid w:val="0"/>
          <w:kern w:val="28"/>
        </w:rPr>
        <w:t>April</w:t>
      </w:r>
      <w:r w:rsidR="00AA758F">
        <w:rPr>
          <w:b/>
          <w:snapToGrid w:val="0"/>
          <w:kern w:val="28"/>
        </w:rPr>
        <w:t xml:space="preserve"> </w:t>
      </w:r>
      <w:r w:rsidRPr="00AF4837" w:rsidR="00AF4837">
        <w:rPr>
          <w:b/>
          <w:snapToGrid w:val="0"/>
          <w:kern w:val="28"/>
        </w:rPr>
        <w:t>25</w:t>
      </w:r>
      <w:r w:rsidRPr="00AF4837">
        <w:rPr>
          <w:b/>
          <w:snapToGrid w:val="0"/>
          <w:kern w:val="28"/>
        </w:rPr>
        <w:t>,</w:t>
      </w:r>
      <w:r w:rsidRPr="00CB6B4E">
        <w:rPr>
          <w:b/>
          <w:snapToGrid w:val="0"/>
          <w:kern w:val="28"/>
        </w:rPr>
        <w:t xml:space="preserve"> 202</w:t>
      </w:r>
      <w:r w:rsidR="00AA758F">
        <w:rPr>
          <w:b/>
          <w:snapToGrid w:val="0"/>
          <w:kern w:val="28"/>
        </w:rPr>
        <w:t>4</w:t>
      </w:r>
    </w:p>
    <w:p w:rsidR="007F3D5A" w:rsidRPr="00CB6B4E" w:rsidP="00A3528D" w14:paraId="05237241" w14:textId="77777777">
      <w:pPr>
        <w:widowControl w:val="0"/>
        <w:rPr>
          <w:b/>
          <w:snapToGrid w:val="0"/>
          <w:kern w:val="28"/>
        </w:rPr>
      </w:pPr>
    </w:p>
    <w:p w:rsidR="009E24D9" w:rsidP="00AA758F" w14:paraId="02258BBC" w14:textId="4CBCD8AA">
      <w:pPr>
        <w:jc w:val="center"/>
        <w:rPr>
          <w:b/>
        </w:rPr>
      </w:pPr>
      <w:r w:rsidRPr="00FC6F01">
        <w:rPr>
          <w:b/>
        </w:rPr>
        <w:t>DOMESTIC SECTION 214 APPLICATION GRANTED</w:t>
      </w:r>
      <w:r w:rsidRPr="00CB6B4E" w:rsidR="007F3D5A">
        <w:rPr>
          <w:b/>
        </w:rPr>
        <w:t xml:space="preserve"> </w:t>
      </w:r>
      <w:r w:rsidRPr="00AA758F" w:rsidR="00AA758F">
        <w:rPr>
          <w:b/>
        </w:rPr>
        <w:t xml:space="preserve">FOR THE ASSIGNMENT OF CERTAIN ASSETS OF NOVA CABLEVISION, INC. </w:t>
      </w:r>
    </w:p>
    <w:p w:rsidR="00AA758F" w:rsidRPr="00AA758F" w:rsidP="00AA758F" w14:paraId="22D727A1" w14:textId="3A5C4DE8">
      <w:pPr>
        <w:jc w:val="center"/>
        <w:rPr>
          <w:b/>
          <w:bCs w:val="0"/>
        </w:rPr>
      </w:pPr>
      <w:r w:rsidRPr="00AA758F">
        <w:rPr>
          <w:b/>
        </w:rPr>
        <w:t>TO CABLE ONE, INC. AND CABLE VOIP LLC</w:t>
      </w:r>
    </w:p>
    <w:p w:rsidR="007F3D5A" w:rsidRPr="00FA453A" w:rsidP="00FC6F01" w14:paraId="3BE2DC37" w14:textId="33181153">
      <w:pPr>
        <w:jc w:val="center"/>
        <w:rPr>
          <w:b/>
          <w:bCs w:val="0"/>
        </w:rPr>
      </w:pPr>
    </w:p>
    <w:p w:rsidR="00A73317" w:rsidRPr="0055505D" w:rsidP="00FC6F01" w14:paraId="43AD0347" w14:textId="3FBBDC87">
      <w:pPr>
        <w:rPr>
          <w:b/>
        </w:rPr>
      </w:pPr>
    </w:p>
    <w:p w:rsidR="00DC1A7C" w:rsidP="48A7DC98" w14:paraId="5F638A37" w14:textId="7EA10DEA">
      <w:pPr>
        <w:widowControl w:val="0"/>
        <w:spacing w:before="60" w:after="60"/>
        <w:jc w:val="center"/>
        <w:rPr>
          <w:b/>
          <w:snapToGrid w:val="0"/>
          <w:kern w:val="28"/>
        </w:rPr>
      </w:pPr>
      <w:r w:rsidRPr="48A7DC98">
        <w:rPr>
          <w:b/>
          <w:snapToGrid w:val="0"/>
          <w:kern w:val="28"/>
        </w:rPr>
        <w:t>WC Docket No. 23-</w:t>
      </w:r>
      <w:r w:rsidRPr="48A7DC98" w:rsidR="007F3D5A">
        <w:rPr>
          <w:b/>
          <w:snapToGrid w:val="0"/>
          <w:kern w:val="28"/>
        </w:rPr>
        <w:t>3</w:t>
      </w:r>
      <w:r w:rsidRPr="48A7DC98" w:rsidR="00BC6A51">
        <w:rPr>
          <w:b/>
          <w:snapToGrid w:val="0"/>
          <w:kern w:val="28"/>
        </w:rPr>
        <w:t>53</w:t>
      </w:r>
    </w:p>
    <w:p w:rsidR="00D13449" w:rsidP="00D13449" w14:paraId="51EECAFA" w14:textId="7F00627D">
      <w:pPr>
        <w:spacing w:after="60"/>
        <w:jc w:val="center"/>
        <w:rPr>
          <w:b/>
          <w:snapToGrid w:val="0"/>
          <w:kern w:val="28"/>
        </w:rPr>
      </w:pPr>
      <w:r w:rsidRPr="6476B844">
        <w:rPr>
          <w:b/>
        </w:rPr>
        <w:t>WC Docket No. 10-90</w:t>
      </w:r>
    </w:p>
    <w:p w:rsidR="00E7393A" w:rsidRPr="00F845AF" w:rsidP="00325D36" w14:paraId="243B9052" w14:textId="24581747">
      <w:pPr>
        <w:spacing w:line="259" w:lineRule="auto"/>
        <w:jc w:val="center"/>
        <w:rPr>
          <w:b/>
        </w:rPr>
      </w:pPr>
    </w:p>
    <w:p w:rsidR="00B7138A" w:rsidRPr="00F845AF" w:rsidP="00B7138A" w14:paraId="37E99C33" w14:textId="4B016487">
      <w:pPr>
        <w:autoSpaceDE w:val="0"/>
        <w:autoSpaceDN w:val="0"/>
        <w:adjustRightInd w:val="0"/>
        <w:spacing w:after="120"/>
        <w:ind w:firstLine="720"/>
      </w:pPr>
      <w:r w:rsidRPr="00F845AF">
        <w:t xml:space="preserve">By this Public Notice, the Wireline Competition Bureau </w:t>
      </w:r>
      <w:r w:rsidR="009E0BB8">
        <w:t xml:space="preserve">(Bureau) </w:t>
      </w:r>
      <w:r w:rsidRPr="00F845AF" w:rsidR="00CF02D3">
        <w:t xml:space="preserve">grants the </w:t>
      </w:r>
      <w:r w:rsidRPr="00F845AF">
        <w:t xml:space="preserve">application </w:t>
      </w:r>
      <w:r w:rsidRPr="00F845AF" w:rsidR="00BE6C84">
        <w:t>filed by</w:t>
      </w:r>
      <w:bookmarkStart w:id="3" w:name="_Hlk73713070"/>
      <w:bookmarkStart w:id="4" w:name="_Hlk67917977"/>
      <w:r w:rsidRPr="00F845AF" w:rsidR="00BE6C84">
        <w:t xml:space="preserve"> Nova Cablevision, Inc. (Nova) (Assignor), Cable One, Inc. (Cable One) and Cable </w:t>
      </w:r>
      <w:r w:rsidR="00313466">
        <w:t>One</w:t>
      </w:r>
      <w:r w:rsidRPr="00F845AF" w:rsidR="00BE6C84">
        <w:t xml:space="preserve"> VoIP LLC (VoIP LLC</w:t>
      </w:r>
      <w:r w:rsidR="009225B1">
        <w:t>, together with Cable One</w:t>
      </w:r>
      <w:r w:rsidRPr="00F845AF" w:rsidR="00BE6C84">
        <w:t>, Assignees) (Assignor and Assignees collectively, the Applicants)</w:t>
      </w:r>
      <w:bookmarkEnd w:id="3"/>
      <w:bookmarkEnd w:id="4"/>
      <w:r w:rsidRPr="00F845AF" w:rsidR="00BE6C84">
        <w:t>, pursuant to section 214(a) of the Communications Act of 1934, as amended, and sections 63.03-04 of the Commission’s rules,</w:t>
      </w:r>
      <w:r>
        <w:rPr>
          <w:vertAlign w:val="superscript"/>
        </w:rPr>
        <w:footnoteReference w:id="3"/>
      </w:r>
      <w:r w:rsidRPr="00F845AF" w:rsidR="00BE6C84">
        <w:t xml:space="preserve"> requesting consent to assign certain Nova assets to Assignees.</w:t>
      </w:r>
      <w:r>
        <w:rPr>
          <w:vertAlign w:val="superscript"/>
        </w:rPr>
        <w:footnoteReference w:id="4"/>
      </w:r>
      <w:r w:rsidR="00D86D36">
        <w:t xml:space="preserve">  We also address </w:t>
      </w:r>
      <w:bookmarkStart w:id="5" w:name="_Hlk155892993"/>
      <w:r w:rsidR="00D86D36">
        <w:t>the conditional authorization of Rural Digital Opportunity Fund (</w:t>
      </w:r>
      <w:r w:rsidRPr="00177BFA" w:rsidR="00D86D36">
        <w:t>RDOF</w:t>
      </w:r>
      <w:r w:rsidR="00D86D36">
        <w:t>)</w:t>
      </w:r>
      <w:r w:rsidRPr="00177BFA" w:rsidR="00D86D36">
        <w:t xml:space="preserve"> support</w:t>
      </w:r>
      <w:r w:rsidR="00D86D36">
        <w:t xml:space="preserve"> associated with this transaction</w:t>
      </w:r>
      <w:bookmarkEnd w:id="5"/>
      <w:r w:rsidR="00D86D36">
        <w:t>.</w:t>
      </w:r>
    </w:p>
    <w:p w:rsidR="00B33B8A" w:rsidP="00B33B8A" w14:paraId="7836F589" w14:textId="36181518">
      <w:pPr>
        <w:autoSpaceDE w:val="0"/>
        <w:autoSpaceDN w:val="0"/>
        <w:adjustRightInd w:val="0"/>
        <w:spacing w:after="120"/>
        <w:ind w:firstLine="720"/>
      </w:pPr>
      <w:r w:rsidRPr="00F845AF">
        <w:t xml:space="preserve">On </w:t>
      </w:r>
      <w:r w:rsidRPr="00F845AF" w:rsidR="009F2C14">
        <w:t>December</w:t>
      </w:r>
      <w:r w:rsidRPr="00F845AF">
        <w:t xml:space="preserve"> 1, 2023, the Bureau released a public notice seeking comment on the</w:t>
      </w:r>
      <w:r w:rsidRPr="00B33B8A">
        <w:t xml:space="preserve"> Application.</w:t>
      </w:r>
      <w:r>
        <w:rPr>
          <w:vertAlign w:val="superscript"/>
        </w:rPr>
        <w:footnoteReference w:id="5"/>
      </w:r>
      <w:r w:rsidRPr="00B33B8A">
        <w:t xml:space="preserve">  The Bureau did not receive comments or petitions in opposition to the Application. </w:t>
      </w:r>
    </w:p>
    <w:p w:rsidR="004F14E3" w:rsidRPr="004F14E3" w:rsidP="004F14E3" w14:paraId="54553701" w14:textId="4BD939B9">
      <w:pPr>
        <w:autoSpaceDE w:val="0"/>
        <w:autoSpaceDN w:val="0"/>
        <w:adjustRightInd w:val="0"/>
        <w:spacing w:before="120" w:after="120"/>
        <w:rPr>
          <w:b/>
          <w:bCs w:val="0"/>
          <w:u w:val="single"/>
        </w:rPr>
      </w:pPr>
      <w:r w:rsidRPr="004F14E3">
        <w:rPr>
          <w:b/>
          <w:u w:val="single"/>
        </w:rPr>
        <w:t>Applicants and Description of Transaction</w:t>
      </w:r>
    </w:p>
    <w:p w:rsidR="00177BFA" w:rsidRPr="00177BFA" w:rsidP="00177BFA" w14:paraId="7F9742AE" w14:textId="0CF015AC">
      <w:pPr>
        <w:autoSpaceDE w:val="0"/>
        <w:autoSpaceDN w:val="0"/>
        <w:adjustRightInd w:val="0"/>
        <w:spacing w:before="120" w:after="120"/>
        <w:ind w:firstLine="720"/>
      </w:pPr>
      <w:r w:rsidRPr="00177BFA">
        <w:t>Nova, an Illinois corporation, is registered with the Commission as an interconnected VoIP service provider and provides video/cable, broadband Internet access, and interconnected VoIP services in the state of Illinois.</w:t>
      </w:r>
      <w:r>
        <w:rPr>
          <w:vertAlign w:val="superscript"/>
        </w:rPr>
        <w:footnoteReference w:id="6"/>
      </w:r>
      <w:r w:rsidRPr="00177BFA">
        <w:t xml:space="preserve">  Nova is a designated eligible telecommunications carrier (ETC) in Illinois and </w:t>
      </w:r>
      <w:r w:rsidRPr="00177BFA">
        <w:t>receives high-cost universal service support through the RDOF support mechanism in the state of Illinois.</w:t>
      </w:r>
      <w:r>
        <w:rPr>
          <w:vertAlign w:val="superscript"/>
        </w:rPr>
        <w:footnoteReference w:id="7"/>
      </w:r>
      <w:r w:rsidRPr="00177BFA">
        <w:t xml:space="preserve">  Nova does not have any subsidiaries or affiliates</w:t>
      </w:r>
      <w:r>
        <w:rPr>
          <w:vertAlign w:val="superscript"/>
        </w:rPr>
        <w:footnoteReference w:id="8"/>
      </w:r>
      <w:r w:rsidRPr="00177BFA">
        <w:t xml:space="preserve"> and is currently owned by Robert Fischer and John Beck, both U.S. citizens.</w:t>
      </w:r>
      <w:r>
        <w:rPr>
          <w:vertAlign w:val="superscript"/>
        </w:rPr>
        <w:footnoteReference w:id="9"/>
      </w:r>
    </w:p>
    <w:p w:rsidR="00177BFA" w:rsidRPr="00177BFA" w:rsidP="00177BFA" w14:paraId="68E608EA" w14:textId="717C1377">
      <w:pPr>
        <w:autoSpaceDE w:val="0"/>
        <w:autoSpaceDN w:val="0"/>
        <w:adjustRightInd w:val="0"/>
        <w:spacing w:before="120" w:after="120"/>
        <w:ind w:firstLine="720"/>
      </w:pPr>
      <w:r w:rsidRPr="00177BFA">
        <w:t>Cable One, a publicly traded Delaware corporation, is a cable operator that is registered with the Commission as an interconnected VoIP service provider.</w:t>
      </w:r>
      <w:r>
        <w:rPr>
          <w:vertAlign w:val="superscript"/>
        </w:rPr>
        <w:footnoteReference w:id="10"/>
      </w:r>
      <w:r w:rsidRPr="00177BFA">
        <w:t xml:space="preserve">  Cable One and its subsidiaries</w:t>
      </w:r>
      <w:r>
        <w:rPr>
          <w:vertAlign w:val="superscript"/>
        </w:rPr>
        <w:footnoteReference w:id="11"/>
      </w:r>
      <w:r w:rsidRPr="00177BFA">
        <w:t xml:space="preserve"> provide cable/video, broadband Internet access, telecommunications, and/or interconnected Voice over Internet Protocol (VoIP) services in 23 states.</w:t>
      </w:r>
      <w:r>
        <w:rPr>
          <w:vertAlign w:val="superscript"/>
        </w:rPr>
        <w:footnoteReference w:id="12"/>
      </w:r>
      <w:r w:rsidRPr="00177BFA">
        <w:t xml:space="preserve">  Fidelity Cablevision, a designated ETC, receives RDOF support in Missouri.</w:t>
      </w:r>
      <w:r>
        <w:rPr>
          <w:vertAlign w:val="superscript"/>
        </w:rPr>
        <w:footnoteReference w:id="13"/>
      </w:r>
      <w:r w:rsidRPr="00177BFA">
        <w:t xml:space="preserve">  ComSouth, </w:t>
      </w:r>
      <w:r w:rsidRPr="007B03CB" w:rsidR="00B231E7">
        <w:t>a</w:t>
      </w:r>
      <w:r w:rsidRPr="00177BFA">
        <w:t xml:space="preserve"> designated ETC, receive</w:t>
      </w:r>
      <w:r w:rsidRPr="007B03CB" w:rsidR="00B231E7">
        <w:t>s</w:t>
      </w:r>
      <w:r w:rsidRPr="00177BFA">
        <w:t xml:space="preserve"> Alternative Connect America Cost Model (A-CAM) support in Georgia.</w:t>
      </w:r>
      <w:r>
        <w:rPr>
          <w:vertAlign w:val="superscript"/>
        </w:rPr>
        <w:footnoteReference w:id="14"/>
      </w:r>
      <w:r w:rsidRPr="00177BFA">
        <w:t xml:space="preserve">  </w:t>
      </w:r>
      <w:r w:rsidRPr="007B03CB" w:rsidR="007B03CB">
        <w:t xml:space="preserve">As of January 1, 2024, </w:t>
      </w:r>
      <w:r w:rsidRPr="00177BFA">
        <w:t>Fidelity Telephone</w:t>
      </w:r>
      <w:r w:rsidRPr="007B03CB" w:rsidR="00883F7D">
        <w:t>, a designated ETC,</w:t>
      </w:r>
      <w:r w:rsidRPr="00177BFA">
        <w:t xml:space="preserve"> </w:t>
      </w:r>
      <w:r w:rsidRPr="007B03CB" w:rsidR="00883F7D">
        <w:t>receives</w:t>
      </w:r>
      <w:r w:rsidRPr="00177BFA">
        <w:t xml:space="preserve"> Enhanced A-CAM support </w:t>
      </w:r>
      <w:r w:rsidRPr="007B03CB" w:rsidR="00883F7D">
        <w:t>in Missouri</w:t>
      </w:r>
      <w:r w:rsidR="00214EB4">
        <w:t>,</w:t>
      </w:r>
      <w:r>
        <w:rPr>
          <w:vertAlign w:val="superscript"/>
        </w:rPr>
        <w:footnoteReference w:id="15"/>
      </w:r>
      <w:r w:rsidR="00214EB4">
        <w:t xml:space="preserve"> </w:t>
      </w:r>
      <w:r w:rsidR="0088408E">
        <w:t>a</w:t>
      </w:r>
      <w:r w:rsidR="00214EB4">
        <w:t xml:space="preserve">nd </w:t>
      </w:r>
      <w:r w:rsidRPr="00177BFA">
        <w:t xml:space="preserve">Bluffton and Hargray Telephone, both designated ETCs, receive Enhanced A-CAM support </w:t>
      </w:r>
      <w:r w:rsidR="007B03CB">
        <w:t xml:space="preserve">in South </w:t>
      </w:r>
      <w:r w:rsidRPr="007B03CB" w:rsidR="007B03CB">
        <w:t>Carolina</w:t>
      </w:r>
      <w:r w:rsidRPr="00177BFA">
        <w:t>.</w:t>
      </w:r>
      <w:r>
        <w:rPr>
          <w:vertAlign w:val="superscript"/>
        </w:rPr>
        <w:footnoteReference w:id="16"/>
      </w:r>
    </w:p>
    <w:p w:rsidR="00177BFA" w:rsidRPr="00177BFA" w:rsidP="00177BFA" w14:paraId="5BF0F503" w14:textId="4003ADF9">
      <w:pPr>
        <w:autoSpaceDE w:val="0"/>
        <w:autoSpaceDN w:val="0"/>
        <w:adjustRightInd w:val="0"/>
        <w:spacing w:before="120" w:after="120"/>
        <w:ind w:firstLine="720"/>
      </w:pPr>
      <w:r w:rsidRPr="00177BFA">
        <w:t>VoIP LLC, a wholly-owned subsidiary of Cable One and a Delaware limited liability corporation, is registered with the Commission as an interconnected VoIP service provider</w:t>
      </w:r>
      <w:r>
        <w:rPr>
          <w:vertAlign w:val="superscript"/>
        </w:rPr>
        <w:footnoteReference w:id="17"/>
      </w:r>
      <w:r w:rsidRPr="00177BFA">
        <w:t xml:space="preserve"> and currently provides interconnected VoIP services in Arizona and Kansas.</w:t>
      </w:r>
      <w:r>
        <w:rPr>
          <w:vertAlign w:val="superscript"/>
        </w:rPr>
        <w:footnoteReference w:id="18"/>
      </w:r>
      <w:r w:rsidRPr="00177BFA">
        <w:t xml:space="preserve">  VoIP LLC is designated as an ETC in Idaho and Louisiana and has been authorized by the Commission to receive RDOF support </w:t>
      </w:r>
      <w:r w:rsidRPr="00177BFA">
        <w:t>in those states.</w:t>
      </w:r>
      <w:r>
        <w:rPr>
          <w:vertAlign w:val="superscript"/>
        </w:rPr>
        <w:footnoteReference w:id="19"/>
      </w:r>
      <w:r w:rsidRPr="00177BFA">
        <w:t xml:space="preserve">  In connection with this proposed transaction, VoIP LLC has filed an application for ETC designation in Illinois.</w:t>
      </w:r>
      <w:r>
        <w:rPr>
          <w:vertAlign w:val="superscript"/>
        </w:rPr>
        <w:footnoteReference w:id="20"/>
      </w:r>
      <w:r w:rsidRPr="00177BFA">
        <w:t xml:space="preserve">  </w:t>
      </w:r>
    </w:p>
    <w:p w:rsidR="00177BFA" w:rsidP="00177BFA" w14:paraId="76E160D7" w14:textId="79A25DDE">
      <w:pPr>
        <w:autoSpaceDE w:val="0"/>
        <w:autoSpaceDN w:val="0"/>
        <w:adjustRightInd w:val="0"/>
        <w:spacing w:before="120" w:after="120"/>
        <w:ind w:firstLine="720"/>
      </w:pPr>
      <w:r w:rsidRPr="00177BFA">
        <w:t>Cable One has a 10% or greater direct or indirect interest in three companies:  Clearwave Fiber (Clearwave), a Delaware limited liability company that acts as a holding company (58%); AMG Technology Investment Group, LLC d/b/a Nextlink Internet (Nextlink), a Texas limited liability company and competitive LEC that offers voice and/or Internet access services in Illinois, Indiana, Iowa, Kansas, Louisiana, Minnesota, Nebraska, Oklahoma, Texas, Wisconsin, and Wyoming (17%); and Mega Broadband Investment Holdings, LLC (MBI), a Delaware limited liability company that provides cable/video, broadband Internet access, telecommunications, and/or interconnected VoIP services in 16 states</w:t>
      </w:r>
      <w:r>
        <w:rPr>
          <w:vertAlign w:val="superscript"/>
        </w:rPr>
        <w:footnoteReference w:id="21"/>
      </w:r>
      <w:r w:rsidRPr="00177BFA">
        <w:t xml:space="preserve"> through its subsidiaries operating under the </w:t>
      </w:r>
      <w:r w:rsidRPr="00177BFA">
        <w:t>Vyve</w:t>
      </w:r>
      <w:r w:rsidRPr="00177BFA">
        <w:t xml:space="preserve"> Broadband name (45%).</w:t>
      </w:r>
      <w:r>
        <w:rPr>
          <w:vertAlign w:val="superscript"/>
        </w:rPr>
        <w:footnoteReference w:id="22"/>
      </w:r>
      <w:r w:rsidRPr="00177BFA">
        <w:t xml:space="preserve">  Clearwave wholly owns Delta Communications, LLC d/b/a/ Clearwave Communications (Delta), an Illinois limited liability company and competitive LEC that offers voice and/or Internet services in Illinois, Kansas, and Missouri.</w:t>
      </w:r>
      <w:r>
        <w:rPr>
          <w:vertAlign w:val="superscript"/>
        </w:rPr>
        <w:footnoteReference w:id="23"/>
      </w:r>
      <w:r w:rsidRPr="00177BFA">
        <w:t xml:space="preserve">  Delta, a designated ETC in Illinois, receives Rural Broadband Experiment support.</w:t>
      </w:r>
      <w:r>
        <w:rPr>
          <w:vertAlign w:val="superscript"/>
        </w:rPr>
        <w:footnoteReference w:id="24"/>
      </w:r>
      <w:r w:rsidRPr="00177BFA">
        <w:t xml:space="preserve">  Delta also wholly owns Hargray of Georgia LLC, a South Carolina limited liability company and competitive LEC that offers cable/video, voice, and/or broadband Internet access </w:t>
      </w:r>
      <w:r w:rsidR="00E50DE0">
        <w:t xml:space="preserve">services </w:t>
      </w:r>
      <w:r w:rsidRPr="00177BFA">
        <w:t xml:space="preserve">in Georgia, and Hargray of Florida LLC, a Georgia limited liability company and competitive LEC that offers cable/video, voice, and/or broadband Internet </w:t>
      </w:r>
      <w:r w:rsidR="00314CFD">
        <w:t xml:space="preserve">access </w:t>
      </w:r>
      <w:r w:rsidRPr="00177BFA">
        <w:t>services in Florida.</w:t>
      </w:r>
      <w:r>
        <w:rPr>
          <w:vertAlign w:val="superscript"/>
        </w:rPr>
        <w:footnoteReference w:id="25"/>
      </w:r>
      <w:r w:rsidRPr="00177BFA">
        <w:t xml:space="preserve">  Nextlink, a designated ETC, receives Connect America </w:t>
      </w:r>
      <w:r w:rsidR="001F5F81">
        <w:t xml:space="preserve">Fund </w:t>
      </w:r>
      <w:r w:rsidR="007B770C">
        <w:t>Phase</w:t>
      </w:r>
      <w:r w:rsidR="004C0D88">
        <w:t xml:space="preserve"> </w:t>
      </w:r>
      <w:r w:rsidRPr="00177BFA">
        <w:t xml:space="preserve">II </w:t>
      </w:r>
      <w:r w:rsidR="00CF05E3">
        <w:t xml:space="preserve">Auction </w:t>
      </w:r>
      <w:r w:rsidRPr="00177BFA">
        <w:t>support in Illinois, Iowa, Kansas, Nebraska, Oklahoma, and Texas.</w:t>
      </w:r>
      <w:r>
        <w:rPr>
          <w:vertAlign w:val="superscript"/>
        </w:rPr>
        <w:footnoteReference w:id="26"/>
      </w:r>
      <w:r w:rsidRPr="00177BFA">
        <w:t xml:space="preserve">  Nextlink also receives RDOF support in Illinois, Indiana, Iowa, Kansas, Louisiana, Minnesota, Nebraska, Oklahoma, Texas, Wisconsin, and Wyoming.</w:t>
      </w:r>
      <w:r>
        <w:rPr>
          <w:vertAlign w:val="superscript"/>
        </w:rPr>
        <w:footnoteReference w:id="27"/>
      </w:r>
      <w:r w:rsidRPr="00177BFA">
        <w:t xml:space="preserve">  There are no persons or entities with a 10% or greater direct or indirect ownership in Cable One.</w:t>
      </w:r>
      <w:r>
        <w:rPr>
          <w:vertAlign w:val="superscript"/>
        </w:rPr>
        <w:footnoteReference w:id="28"/>
      </w:r>
      <w:r w:rsidRPr="00177BFA">
        <w:t xml:space="preserve">  Other than what is set forth in the Application, neither Cable One nor any of its affiliates or subsidiaries owns or controls 10% or greater direct or indirect interest in any other domestic telecommunications provider.</w:t>
      </w:r>
      <w:r>
        <w:rPr>
          <w:vertAlign w:val="superscript"/>
        </w:rPr>
        <w:footnoteReference w:id="29"/>
      </w:r>
    </w:p>
    <w:p w:rsidR="005815B8" w:rsidP="00B81BFF" w14:paraId="3D61E0DB" w14:textId="441EBB84">
      <w:pPr>
        <w:autoSpaceDE w:val="0"/>
        <w:autoSpaceDN w:val="0"/>
        <w:adjustRightInd w:val="0"/>
        <w:spacing w:before="120" w:after="120"/>
        <w:ind w:firstLine="720"/>
      </w:pPr>
      <w:r w:rsidRPr="005815B8">
        <w:t>Pursuant to the terms of the asset purchase agreement, Cable One will purchase substantially all of Nova’s assets and customers, including customer accounts and receivables, and customer agreements and contracts, vendor agreements and contract</w:t>
      </w:r>
      <w:r w:rsidR="00406D59">
        <w:t>s</w:t>
      </w:r>
      <w:r w:rsidRPr="005815B8">
        <w:t>, equipment, and intellectual property.</w:t>
      </w:r>
      <w:r>
        <w:rPr>
          <w:vertAlign w:val="superscript"/>
        </w:rPr>
        <w:footnoteReference w:id="30"/>
      </w:r>
      <w:r w:rsidRPr="005815B8">
        <w:t xml:space="preserve"> </w:t>
      </w:r>
      <w:r w:rsidR="00992AB7">
        <w:t xml:space="preserve"> </w:t>
      </w:r>
      <w:r w:rsidRPr="009E1F25" w:rsidR="009E1F25">
        <w:t xml:space="preserve">Applicants state that Cable One will acquire and assume all of Nova’s benefits and obligations under the Commission’s RDOF program, including any RDOF support currently held by Nova and all assets and </w:t>
      </w:r>
      <w:r w:rsidRPr="009E1F25" w:rsidR="009E1F25">
        <w:t>facilities that have been acquired, maintained, or upgraded by Nova using RDOF support.</w:t>
      </w:r>
      <w:r>
        <w:rPr>
          <w:vertAlign w:val="superscript"/>
        </w:rPr>
        <w:footnoteReference w:id="31"/>
      </w:r>
      <w:r w:rsidRPr="009E1F25" w:rsidR="009E1F25">
        <w:t xml:space="preserve">  </w:t>
      </w:r>
      <w:r w:rsidRPr="005815B8">
        <w:t xml:space="preserve">Applicants </w:t>
      </w:r>
      <w:r w:rsidR="009E1F25">
        <w:t xml:space="preserve">also </w:t>
      </w:r>
      <w:r w:rsidRPr="005815B8">
        <w:t xml:space="preserve">state that </w:t>
      </w:r>
      <w:r w:rsidR="007313F7">
        <w:t xml:space="preserve">VoIP LLC will </w:t>
      </w:r>
      <w:r w:rsidR="00B81BFF">
        <w:t>“</w:t>
      </w:r>
      <w:r w:rsidRPr="00B81BFF" w:rsidR="00B81BFF">
        <w:t>assume sole responsibility for complying with the universal service fund requirements and</w:t>
      </w:r>
      <w:r w:rsidR="00B81BFF">
        <w:t xml:space="preserve"> </w:t>
      </w:r>
      <w:r w:rsidRPr="00B81BFF" w:rsidR="00B81BFF">
        <w:t>Commission rules applicable to the receipt of the RDOF</w:t>
      </w:r>
      <w:r w:rsidR="00874232">
        <w:t xml:space="preserve"> </w:t>
      </w:r>
      <w:r w:rsidRPr="00B81BFF" w:rsidR="00B81BFF">
        <w:t>support, regardless of any pre-existing or</w:t>
      </w:r>
      <w:r w:rsidR="00B81BFF">
        <w:t xml:space="preserve"> </w:t>
      </w:r>
      <w:r w:rsidRPr="00B81BFF" w:rsidR="00B81BFF">
        <w:t>reasonably foreseeable conditions that could impact VoIP LLC’s ability to meet its obligations in</w:t>
      </w:r>
      <w:r w:rsidR="00B81BFF">
        <w:t xml:space="preserve"> </w:t>
      </w:r>
      <w:r w:rsidRPr="00B81BFF" w:rsidR="00B81BFF">
        <w:t>the future, including technical, marketplace, and on-the-ground conditions.</w:t>
      </w:r>
      <w:r w:rsidR="00B81BFF">
        <w:t>”</w:t>
      </w:r>
      <w:r>
        <w:rPr>
          <w:vertAlign w:val="superscript"/>
        </w:rPr>
        <w:footnoteReference w:id="32"/>
      </w:r>
      <w:r w:rsidRPr="005815B8">
        <w:t xml:space="preserve">  Moreover, Applicants assert that post transaction, all of the obligations associated with the RDOF support originally awarded to Nova will be fulfilled by VoIP LLC, an </w:t>
      </w:r>
      <w:r w:rsidRPr="0008360C" w:rsidR="0008360C">
        <w:t>authorized recipient of RDOF support in Idaho and Louisiana</w:t>
      </w:r>
      <w:r w:rsidRPr="005815B8">
        <w:t>.</w:t>
      </w:r>
      <w:r>
        <w:rPr>
          <w:vertAlign w:val="superscript"/>
        </w:rPr>
        <w:footnoteReference w:id="33"/>
      </w:r>
      <w:r w:rsidRPr="005815B8">
        <w:t xml:space="preserve"> </w:t>
      </w:r>
      <w:r w:rsidR="00A30580">
        <w:t xml:space="preserve"> </w:t>
      </w:r>
      <w:r w:rsidRPr="00511058" w:rsidR="00511058">
        <w:t>Applicants explain that consummation of the transaction is contingent upon, among other things, receipt of all necessary regulatory approvals.</w:t>
      </w:r>
      <w:r>
        <w:rPr>
          <w:vertAlign w:val="superscript"/>
        </w:rPr>
        <w:footnoteReference w:id="34"/>
      </w:r>
      <w:r w:rsidRPr="00511058" w:rsidR="00511058">
        <w:t xml:space="preserve"> </w:t>
      </w:r>
      <w:r w:rsidRPr="005815B8">
        <w:t xml:space="preserve"> </w:t>
      </w:r>
      <w:r w:rsidRPr="00C501C3" w:rsidR="00C501C3">
        <w:t>Finally, Applicants note that VoIP LLC currently holds irrevocable standby letters of credit (LOC) and bankruptcy opinion letters for the RDOF support it receives in the states of Idaho and Louisiana</w:t>
      </w:r>
      <w:r w:rsidR="00C501C3">
        <w:t>.</w:t>
      </w:r>
      <w:r>
        <w:rPr>
          <w:vertAlign w:val="superscript"/>
        </w:rPr>
        <w:footnoteReference w:id="35"/>
      </w:r>
      <w:r w:rsidRPr="005815B8">
        <w:t xml:space="preserve">  Applicants assert that VoIP LLC acknowledges and understands that</w:t>
      </w:r>
      <w:r w:rsidR="00C501C3">
        <w:t xml:space="preserve"> </w:t>
      </w:r>
      <w:r w:rsidRPr="005815B8">
        <w:t xml:space="preserve">it </w:t>
      </w:r>
      <w:r w:rsidR="00C501C3">
        <w:t xml:space="preserve">must </w:t>
      </w:r>
      <w:r w:rsidRPr="005815B8">
        <w:t xml:space="preserve">submit and have approved by the Universal Service Administrative Company (USAC) </w:t>
      </w:r>
      <w:r w:rsidR="00C501C3">
        <w:t>an LOC</w:t>
      </w:r>
      <w:r w:rsidR="006255EF">
        <w:t xml:space="preserve"> </w:t>
      </w:r>
      <w:r w:rsidRPr="005815B8">
        <w:t>and bankruptcy opinion letter for the assumption of Nova’s RDOF support in the state of Illinois consistent with the Commission’s RDOF requirement for such letters.</w:t>
      </w:r>
      <w:r>
        <w:rPr>
          <w:vertAlign w:val="superscript"/>
        </w:rPr>
        <w:footnoteReference w:id="36"/>
      </w:r>
      <w:r w:rsidRPr="005815B8">
        <w:t xml:space="preserve">  </w:t>
      </w:r>
    </w:p>
    <w:p w:rsidR="009A5201" w:rsidRPr="009A5201" w:rsidP="009A5201" w14:paraId="3F536080" w14:textId="6E359CC5">
      <w:pPr>
        <w:autoSpaceDE w:val="0"/>
        <w:autoSpaceDN w:val="0"/>
        <w:adjustRightInd w:val="0"/>
        <w:spacing w:before="120" w:after="120"/>
        <w:rPr>
          <w:b/>
          <w:bCs w:val="0"/>
          <w:u w:val="single"/>
        </w:rPr>
      </w:pPr>
      <w:r w:rsidRPr="009A5201">
        <w:rPr>
          <w:b/>
          <w:u w:val="single"/>
        </w:rPr>
        <w:t>Discussion</w:t>
      </w:r>
    </w:p>
    <w:p w:rsidR="00314F53" w:rsidRPr="00314F53" w:rsidP="00314F53" w14:paraId="6AFF5552" w14:textId="77777777">
      <w:pPr>
        <w:autoSpaceDE w:val="0"/>
        <w:autoSpaceDN w:val="0"/>
        <w:adjustRightInd w:val="0"/>
        <w:spacing w:before="120" w:after="120"/>
        <w:ind w:firstLine="720"/>
      </w:pPr>
      <w:r w:rsidRPr="00314F53">
        <w:t>We find, upon consideration of the record, that a grant of the Application will serve the public interest, convenience, and necessity.  To make this determination under Commission precedent, we consider whether the proposed transaction could result in public interest harms by substantially frustrating or impairing the objectives or implementation of the Act or related statutes.</w:t>
      </w:r>
      <w:r>
        <w:rPr>
          <w:vertAlign w:val="superscript"/>
        </w:rPr>
        <w:footnoteReference w:id="37"/>
      </w:r>
      <w:r w:rsidRPr="00314F53">
        <w:t xml:space="preserve">  We then employ a balancing test weighing any potential public interest harms of the proposed transaction against any potential public interest benefits.</w:t>
      </w:r>
      <w:r>
        <w:rPr>
          <w:vertAlign w:val="superscript"/>
        </w:rPr>
        <w:footnoteReference w:id="38"/>
      </w:r>
      <w:r w:rsidRPr="00314F53">
        <w:t xml:space="preserve">  The Applicants bear the burden of proving, by a preponderance of the evidence, that the proposed transaction, on balance, serves the public interest.</w:t>
      </w:r>
      <w:r>
        <w:rPr>
          <w:vertAlign w:val="superscript"/>
        </w:rPr>
        <w:footnoteReference w:id="39"/>
      </w:r>
    </w:p>
    <w:p w:rsidR="00CB5D96" w:rsidP="00092422" w14:paraId="483D0852" w14:textId="1DAC9569">
      <w:pPr>
        <w:autoSpaceDE w:val="0"/>
        <w:autoSpaceDN w:val="0"/>
        <w:adjustRightInd w:val="0"/>
        <w:spacing w:before="120" w:after="120"/>
        <w:ind w:firstLine="720"/>
      </w:pPr>
      <w:r w:rsidRPr="00BD3419">
        <w:t>We find that there are no potential public interest harms identified in the record.  First, the proposed transaction will not result in a reduction of competition.  Applicants state that there will be no physical overlap in service areas</w:t>
      </w:r>
      <w:r w:rsidR="00396971">
        <w:t xml:space="preserve"> </w:t>
      </w:r>
      <w:r w:rsidRPr="00BD3419">
        <w:t xml:space="preserve">or </w:t>
      </w:r>
      <w:r w:rsidR="00797B74">
        <w:t xml:space="preserve">fiber facilities or </w:t>
      </w:r>
      <w:r w:rsidRPr="00BD3419">
        <w:t>reduction in service providers in any markets as a result of the transaction.</w:t>
      </w:r>
      <w:r>
        <w:rPr>
          <w:vertAlign w:val="superscript"/>
        </w:rPr>
        <w:footnoteReference w:id="40"/>
      </w:r>
      <w:r w:rsidRPr="00BD3419">
        <w:t xml:space="preserve">  Second,</w:t>
      </w:r>
      <w:r w:rsidR="004825AC">
        <w:t xml:space="preserve"> </w:t>
      </w:r>
      <w:r w:rsidR="00092422">
        <w:t xml:space="preserve">we </w:t>
      </w:r>
      <w:r w:rsidRPr="00092422" w:rsidR="00092422">
        <w:t xml:space="preserve">expect no potential harm to existing customers to result from the transaction. </w:t>
      </w:r>
      <w:r w:rsidR="00092422">
        <w:t xml:space="preserve"> </w:t>
      </w:r>
      <w:r w:rsidR="0087649F">
        <w:t xml:space="preserve">Applicants </w:t>
      </w:r>
      <w:r w:rsidR="00842821">
        <w:t>attest</w:t>
      </w:r>
      <w:r w:rsidR="00663BEF">
        <w:t xml:space="preserve"> </w:t>
      </w:r>
      <w:r w:rsidR="005809FD">
        <w:t xml:space="preserve">that </w:t>
      </w:r>
      <w:r w:rsidR="00663BEF">
        <w:t>the “transaction will be</w:t>
      </w:r>
      <w:r w:rsidR="00CA1B12">
        <w:t xml:space="preserve"> conducted in a manner that will be transparent to Nova’s existing custome</w:t>
      </w:r>
      <w:r w:rsidR="00311A7C">
        <w:t>rs” and upon consummation of the transaction</w:t>
      </w:r>
      <w:r w:rsidR="005133F8">
        <w:t>,</w:t>
      </w:r>
      <w:r w:rsidR="00311A7C">
        <w:t xml:space="preserve"> “Assignees</w:t>
      </w:r>
      <w:r w:rsidR="00CD6BDE">
        <w:t xml:space="preserve"> will provide the acquired Nova customer</w:t>
      </w:r>
      <w:r w:rsidR="009225B1">
        <w:t>s</w:t>
      </w:r>
      <w:r w:rsidR="00CD6BDE">
        <w:t xml:space="preserve"> with the same service quality and they will continue to receive the same services without any immediate changes</w:t>
      </w:r>
      <w:r w:rsidR="00722BDC">
        <w:t xml:space="preserve"> to those service offerings, rates, terms, or conditions</w:t>
      </w:r>
      <w:r w:rsidR="00092422">
        <w:t>.</w:t>
      </w:r>
      <w:r w:rsidR="00722BDC">
        <w:t>”</w:t>
      </w:r>
      <w:r>
        <w:rPr>
          <w:vertAlign w:val="superscript"/>
        </w:rPr>
        <w:footnoteReference w:id="41"/>
      </w:r>
      <w:r w:rsidRPr="00BD3419" w:rsidR="00092422">
        <w:t xml:space="preserve"> </w:t>
      </w:r>
    </w:p>
    <w:p w:rsidR="00AB23AF" w:rsidRPr="002C27B9" w:rsidP="002C27B9" w14:paraId="0C476AFA" w14:textId="3D9F6349">
      <w:pPr>
        <w:autoSpaceDE w:val="0"/>
        <w:autoSpaceDN w:val="0"/>
        <w:adjustRightInd w:val="0"/>
        <w:spacing w:before="120" w:after="120"/>
        <w:ind w:firstLine="720"/>
      </w:pPr>
      <w:r>
        <w:t>Assignees</w:t>
      </w:r>
      <w:r w:rsidRPr="004825AC">
        <w:t xml:space="preserve"> </w:t>
      </w:r>
      <w:r w:rsidR="00722BDC">
        <w:t>commit</w:t>
      </w:r>
      <w:r w:rsidR="000A6082">
        <w:t xml:space="preserve"> to </w:t>
      </w:r>
      <w:r w:rsidRPr="001A76B4">
        <w:t>meet</w:t>
      </w:r>
      <w:r w:rsidRPr="001A76B4" w:rsidR="000A6082">
        <w:t>ing</w:t>
      </w:r>
      <w:r w:rsidRPr="001A76B4">
        <w:t xml:space="preserve"> all public interest and performance obligations associated with the receipt of </w:t>
      </w:r>
      <w:r w:rsidRPr="001A76B4" w:rsidR="00842411">
        <w:t xml:space="preserve">Nova’s </w:t>
      </w:r>
      <w:r w:rsidRPr="001A76B4">
        <w:t>RDOF</w:t>
      </w:r>
      <w:r w:rsidRPr="001A76B4" w:rsidR="000A6082">
        <w:t xml:space="preserve"> support,</w:t>
      </w:r>
      <w:r>
        <w:rPr>
          <w:vertAlign w:val="superscript"/>
        </w:rPr>
        <w:footnoteReference w:id="42"/>
      </w:r>
      <w:r w:rsidRPr="001A76B4" w:rsidR="000A6082">
        <w:t xml:space="preserve"> a</w:t>
      </w:r>
      <w:r w:rsidRPr="001A76B4" w:rsidR="00154256">
        <w:t xml:space="preserve">nd the record indicates that </w:t>
      </w:r>
      <w:r w:rsidR="00B03055">
        <w:rPr>
          <w:bCs w:val="0"/>
        </w:rPr>
        <w:t>VoIP LLC</w:t>
      </w:r>
      <w:r w:rsidR="00EC75BD">
        <w:rPr>
          <w:bCs w:val="0"/>
        </w:rPr>
        <w:t xml:space="preserve"> </w:t>
      </w:r>
      <w:r w:rsidR="00B03055">
        <w:t>has</w:t>
      </w:r>
      <w:r w:rsidR="00EC75BD">
        <w:t xml:space="preserve"> </w:t>
      </w:r>
      <w:r w:rsidRPr="001A76B4" w:rsidR="00154256">
        <w:t>the technical, financial, and managerial expertise to do so after the consummation of the transaction.</w:t>
      </w:r>
      <w:r>
        <w:rPr>
          <w:vertAlign w:val="superscript"/>
        </w:rPr>
        <w:footnoteReference w:id="43"/>
      </w:r>
      <w:r w:rsidRPr="001A76B4" w:rsidR="00154256">
        <w:t xml:space="preserve">  </w:t>
      </w:r>
      <w:r w:rsidR="00EC75BD">
        <w:rPr>
          <w:bCs w:val="0"/>
        </w:rPr>
        <w:t>VoIP LLC</w:t>
      </w:r>
      <w:r w:rsidRPr="00926DB5" w:rsidR="001A76B4">
        <w:rPr>
          <w:bCs w:val="0"/>
        </w:rPr>
        <w:t xml:space="preserve"> will</w:t>
      </w:r>
      <w:r w:rsidRPr="00926DB5" w:rsidR="00154256">
        <w:t xml:space="preserve"> be financially, managerially, and technically obligated to meet all public interest and performance obligations associated with the receipt of RDOF </w:t>
      </w:r>
      <w:r w:rsidR="0009720D">
        <w:t>support</w:t>
      </w:r>
      <w:r w:rsidRPr="00926DB5" w:rsidR="00154256">
        <w:t xml:space="preserve">, and we expect that the proposed transaction will not negatively impact the ability of </w:t>
      </w:r>
      <w:r w:rsidR="00EC75BD">
        <w:rPr>
          <w:bCs w:val="0"/>
        </w:rPr>
        <w:t>VoIP LLC</w:t>
      </w:r>
      <w:r w:rsidRPr="00926DB5" w:rsidR="00154256">
        <w:t xml:space="preserve"> to meet these obligations.</w:t>
      </w:r>
      <w:r>
        <w:rPr>
          <w:vertAlign w:val="superscript"/>
        </w:rPr>
        <w:footnoteReference w:id="44"/>
      </w:r>
      <w:r w:rsidRPr="00926DB5" w:rsidR="00154256">
        <w:t xml:space="preserve">  </w:t>
      </w:r>
      <w:r w:rsidR="00643BA8">
        <w:rPr>
          <w:bCs w:val="0"/>
        </w:rPr>
        <w:t>Assignees</w:t>
      </w:r>
      <w:r w:rsidRPr="00EF58C0" w:rsidR="00EF58C0">
        <w:t xml:space="preserve"> </w:t>
      </w:r>
      <w:r w:rsidR="009B469B">
        <w:rPr>
          <w:bCs w:val="0"/>
        </w:rPr>
        <w:t xml:space="preserve">state they </w:t>
      </w:r>
      <w:r w:rsidRPr="00EF58C0" w:rsidR="00EF58C0">
        <w:t xml:space="preserve">will </w:t>
      </w:r>
      <w:r w:rsidR="00EF58C0">
        <w:rPr>
          <w:bCs w:val="0"/>
        </w:rPr>
        <w:t>“</w:t>
      </w:r>
      <w:r w:rsidRPr="00EF58C0" w:rsidR="00EF58C0">
        <w:t>utilize the same management and</w:t>
      </w:r>
      <w:r w:rsidR="00EF58C0">
        <w:rPr>
          <w:bCs w:val="0"/>
        </w:rPr>
        <w:t xml:space="preserve">  </w:t>
      </w:r>
      <w:r w:rsidRPr="00EF58C0" w:rsidR="00EF58C0">
        <w:t>resources to provide RDOF-supported services in Illinois as the Commission previously</w:t>
      </w:r>
      <w:r w:rsidR="00EF58C0">
        <w:rPr>
          <w:bCs w:val="0"/>
        </w:rPr>
        <w:t xml:space="preserve"> </w:t>
      </w:r>
      <w:r w:rsidRPr="00EF58C0" w:rsidR="00EF58C0">
        <w:t>approved for the provision of RDOF-supported services in Idaho and Louisiana</w:t>
      </w:r>
      <w:r w:rsidR="00395794">
        <w:rPr>
          <w:bCs w:val="0"/>
        </w:rPr>
        <w:t>” and</w:t>
      </w:r>
      <w:r w:rsidRPr="00EF58C0" w:rsidR="00EF58C0">
        <w:t xml:space="preserve"> </w:t>
      </w:r>
      <w:r w:rsidR="00395794">
        <w:rPr>
          <w:bCs w:val="0"/>
        </w:rPr>
        <w:t>“expec</w:t>
      </w:r>
      <w:r w:rsidRPr="00EF58C0" w:rsidR="00EF58C0">
        <w:t>t to retain the majority of Nova’s current management and employees</w:t>
      </w:r>
      <w:r w:rsidR="004859CF">
        <w:t>”</w:t>
      </w:r>
      <w:r w:rsidRPr="00EF58C0" w:rsidR="00EF58C0">
        <w:t xml:space="preserve"> </w:t>
      </w:r>
      <w:r w:rsidR="004859CF">
        <w:t>post</w:t>
      </w:r>
      <w:r w:rsidR="00395794">
        <w:rPr>
          <w:bCs w:val="0"/>
        </w:rPr>
        <w:t xml:space="preserve"> </w:t>
      </w:r>
      <w:r w:rsidRPr="00EF58C0" w:rsidR="00EF58C0">
        <w:t xml:space="preserve">consummation of the </w:t>
      </w:r>
      <w:r w:rsidR="004859CF">
        <w:rPr>
          <w:bCs w:val="0"/>
        </w:rPr>
        <w:t>tr</w:t>
      </w:r>
      <w:r w:rsidRPr="00EF58C0" w:rsidR="00EF58C0">
        <w:t>ansaction.</w:t>
      </w:r>
      <w:r>
        <w:rPr>
          <w:rStyle w:val="FootnoteReference"/>
          <w:bCs w:val="0"/>
        </w:rPr>
        <w:footnoteReference w:id="45"/>
      </w:r>
      <w:r w:rsidR="00643BA8">
        <w:rPr>
          <w:bCs w:val="0"/>
        </w:rPr>
        <w:t xml:space="preserve"> </w:t>
      </w:r>
      <w:r w:rsidRPr="00EF58C0" w:rsidR="00EF58C0">
        <w:t xml:space="preserve"> In addition, </w:t>
      </w:r>
      <w:r w:rsidR="009B469B">
        <w:rPr>
          <w:bCs w:val="0"/>
        </w:rPr>
        <w:t>Assignees affirm they</w:t>
      </w:r>
      <w:r w:rsidRPr="00EF58C0" w:rsidR="00EF58C0">
        <w:t xml:space="preserve"> </w:t>
      </w:r>
      <w:r w:rsidR="009B469B">
        <w:rPr>
          <w:bCs w:val="0"/>
        </w:rPr>
        <w:t>“</w:t>
      </w:r>
      <w:r w:rsidRPr="00EF58C0" w:rsidR="00EF58C0">
        <w:t>intend to continue the</w:t>
      </w:r>
      <w:r w:rsidR="009B469B">
        <w:rPr>
          <w:bCs w:val="0"/>
        </w:rPr>
        <w:t xml:space="preserve"> </w:t>
      </w:r>
      <w:r w:rsidRPr="00EF58C0" w:rsidR="00EF58C0">
        <w:t>buildout efforts initiated by Nova in its RDOF-supported territory using the same technology and</w:t>
      </w:r>
      <w:r w:rsidR="009B469B">
        <w:rPr>
          <w:bCs w:val="0"/>
        </w:rPr>
        <w:t xml:space="preserve"> </w:t>
      </w:r>
      <w:r w:rsidRPr="00EF58C0" w:rsidR="00EF58C0">
        <w:t>buildout plans previously approved by the Commission.</w:t>
      </w:r>
      <w:r w:rsidR="009B469B">
        <w:rPr>
          <w:bCs w:val="0"/>
        </w:rPr>
        <w:t>”</w:t>
      </w:r>
      <w:r>
        <w:rPr>
          <w:rStyle w:val="FootnoteReference"/>
          <w:bCs w:val="0"/>
        </w:rPr>
        <w:footnoteReference w:id="46"/>
      </w:r>
      <w:r w:rsidRPr="00EF58C0" w:rsidR="00EF58C0">
        <w:t xml:space="preserve"> </w:t>
      </w:r>
      <w:r w:rsidR="00B43F84">
        <w:rPr>
          <w:bCs w:val="0"/>
        </w:rPr>
        <w:t xml:space="preserve"> </w:t>
      </w:r>
      <w:r w:rsidR="00897CFE">
        <w:rPr>
          <w:bCs w:val="0"/>
        </w:rPr>
        <w:t>Assignees also affirm they</w:t>
      </w:r>
      <w:r w:rsidRPr="00EF58C0" w:rsidR="00EF58C0">
        <w:t xml:space="preserve"> will</w:t>
      </w:r>
      <w:r w:rsidR="00897CFE">
        <w:rPr>
          <w:bCs w:val="0"/>
        </w:rPr>
        <w:t xml:space="preserve"> </w:t>
      </w:r>
      <w:r w:rsidR="00386F41">
        <w:rPr>
          <w:bCs w:val="0"/>
        </w:rPr>
        <w:t xml:space="preserve">not </w:t>
      </w:r>
      <w:r w:rsidRPr="00EF58C0" w:rsidR="00EF58C0">
        <w:t xml:space="preserve">assume any new debt in connection with the </w:t>
      </w:r>
      <w:r w:rsidR="00386F41">
        <w:rPr>
          <w:bCs w:val="0"/>
        </w:rPr>
        <w:t>t</w:t>
      </w:r>
      <w:r w:rsidRPr="00EF58C0" w:rsidR="00EF58C0">
        <w:t xml:space="preserve">ransaction, and the </w:t>
      </w:r>
      <w:r w:rsidR="00386F41">
        <w:rPr>
          <w:bCs w:val="0"/>
        </w:rPr>
        <w:t>t</w:t>
      </w:r>
      <w:r w:rsidRPr="00EF58C0" w:rsidR="00EF58C0">
        <w:t>ransaction will not affect</w:t>
      </w:r>
      <w:r w:rsidR="00386F41">
        <w:rPr>
          <w:bCs w:val="0"/>
        </w:rPr>
        <w:t xml:space="preserve"> </w:t>
      </w:r>
      <w:r w:rsidRPr="00EF58C0" w:rsidR="00EF58C0">
        <w:t>VoIP LLC’s financial or operational ability to provide RDOF-supported services in Illinois or its existing RDOF</w:t>
      </w:r>
      <w:r w:rsidR="00BC3B7F">
        <w:rPr>
          <w:bCs w:val="0"/>
        </w:rPr>
        <w:t>-</w:t>
      </w:r>
      <w:r w:rsidR="002C27B9">
        <w:rPr>
          <w:bCs w:val="0"/>
        </w:rPr>
        <w:t xml:space="preserve">supported </w:t>
      </w:r>
      <w:r w:rsidR="00BC3B7F">
        <w:rPr>
          <w:bCs w:val="0"/>
        </w:rPr>
        <w:t>services in</w:t>
      </w:r>
      <w:r w:rsidRPr="00EF58C0" w:rsidR="00EF58C0">
        <w:t xml:space="preserve"> Idaho and Louisiana.</w:t>
      </w:r>
      <w:r>
        <w:rPr>
          <w:vertAlign w:val="superscript"/>
        </w:rPr>
        <w:footnoteReference w:id="47"/>
      </w:r>
      <w:r w:rsidR="00926DB5">
        <w:rPr>
          <w:bCs w:val="0"/>
        </w:rPr>
        <w:t xml:space="preserve">  </w:t>
      </w:r>
      <w:r w:rsidRPr="00AB23AF">
        <w:t>Overall, we conclude that the record in this proceeding does not support a finding of a public interest harm.</w:t>
      </w:r>
    </w:p>
    <w:p w:rsidR="005100CA" w:rsidRPr="005100CA" w:rsidP="005100CA" w14:paraId="7329BC6A" w14:textId="77777777">
      <w:pPr>
        <w:autoSpaceDE w:val="0"/>
        <w:autoSpaceDN w:val="0"/>
        <w:adjustRightInd w:val="0"/>
        <w:spacing w:before="120" w:after="120"/>
      </w:pPr>
      <w:r>
        <w:rPr>
          <w:bCs w:val="0"/>
        </w:rPr>
        <w:tab/>
      </w:r>
      <w:r w:rsidRPr="005100CA">
        <w:t>We next consider whether the proposed transaction is likely to generate verifiable, transaction-specific public interest benefits.</w:t>
      </w:r>
      <w:r>
        <w:rPr>
          <w:vertAlign w:val="superscript"/>
        </w:rPr>
        <w:footnoteReference w:id="48"/>
      </w:r>
      <w:r w:rsidRPr="005100CA">
        <w:t xml:space="preserve">  Applicants must provide evidence of a claimed benefit to allow the </w:t>
      </w:r>
      <w:r w:rsidRPr="005100CA">
        <w:t>Commission to verify its likelihood and magnitude.</w:t>
      </w:r>
      <w:r>
        <w:rPr>
          <w:vertAlign w:val="superscript"/>
        </w:rPr>
        <w:footnoteReference w:id="49"/>
      </w:r>
      <w:r w:rsidRPr="005100CA">
        <w:t xml:space="preserve">  Where potential harms appear unlikely, as is the case with the Application before us here, the Commission accepts a lesser degree of magnitude and likelihood than when harms are present.</w:t>
      </w:r>
      <w:r>
        <w:rPr>
          <w:vertAlign w:val="superscript"/>
        </w:rPr>
        <w:footnoteReference w:id="50"/>
      </w:r>
      <w:r w:rsidRPr="005100CA">
        <w:t xml:space="preserve">  </w:t>
      </w:r>
    </w:p>
    <w:p w:rsidR="005100CA" w:rsidRPr="005100CA" w:rsidP="003345B2" w14:paraId="232E2BCB" w14:textId="13B58835">
      <w:pPr>
        <w:autoSpaceDE w:val="0"/>
        <w:autoSpaceDN w:val="0"/>
        <w:adjustRightInd w:val="0"/>
        <w:spacing w:before="120" w:after="120"/>
        <w:ind w:firstLine="720"/>
      </w:pPr>
      <w:r w:rsidRPr="005100CA">
        <w:t>Applicants state that the proposed transaction is consistent with the public interest.</w:t>
      </w:r>
      <w:r>
        <w:rPr>
          <w:vertAlign w:val="superscript"/>
        </w:rPr>
        <w:footnoteReference w:id="51"/>
      </w:r>
      <w:r w:rsidRPr="005100CA">
        <w:t xml:space="preserve">  </w:t>
      </w:r>
      <w:r w:rsidR="00EE37A2">
        <w:t>Applicants aver that a</w:t>
      </w:r>
      <w:r w:rsidRPr="00EE37A2" w:rsidR="00EE37A2">
        <w:t xml:space="preserve">pproval of the </w:t>
      </w:r>
      <w:r w:rsidR="00EE37A2">
        <w:t>t</w:t>
      </w:r>
      <w:r w:rsidRPr="00EE37A2" w:rsidR="00EE37A2">
        <w:t xml:space="preserve">ransaction </w:t>
      </w:r>
      <w:r w:rsidR="00EE37A2">
        <w:t>“</w:t>
      </w:r>
      <w:r w:rsidRPr="00EE37A2" w:rsidR="00EE37A2">
        <w:t>will advance economic efficiency by enabling Assignees to achieve</w:t>
      </w:r>
      <w:r w:rsidR="00EE37A2">
        <w:rPr>
          <w:bCs w:val="0"/>
        </w:rPr>
        <w:t xml:space="preserve"> </w:t>
      </w:r>
      <w:r w:rsidRPr="00EE37A2" w:rsidR="00EE37A2">
        <w:t>economies of scale and expand their offerings and services to a broader customer base.</w:t>
      </w:r>
      <w:r w:rsidR="00EE37A2">
        <w:t>”</w:t>
      </w:r>
      <w:r>
        <w:rPr>
          <w:rStyle w:val="FootnoteReference"/>
        </w:rPr>
        <w:footnoteReference w:id="52"/>
      </w:r>
      <w:r w:rsidRPr="00EE37A2" w:rsidR="00EE37A2">
        <w:t xml:space="preserve"> </w:t>
      </w:r>
      <w:r w:rsidR="00EE37A2">
        <w:t xml:space="preserve"> </w:t>
      </w:r>
      <w:r w:rsidR="00FC310F">
        <w:t xml:space="preserve">Applicants </w:t>
      </w:r>
      <w:r w:rsidR="0085681C">
        <w:t>assert that t</w:t>
      </w:r>
      <w:r w:rsidRPr="00EE37A2" w:rsidR="00EE37A2">
        <w:t>he</w:t>
      </w:r>
      <w:r w:rsidR="00EE37A2">
        <w:rPr>
          <w:bCs w:val="0"/>
        </w:rPr>
        <w:t xml:space="preserve"> </w:t>
      </w:r>
      <w:r w:rsidR="0085681C">
        <w:t>t</w:t>
      </w:r>
      <w:r w:rsidRPr="00EE37A2" w:rsidR="00EE37A2">
        <w:t xml:space="preserve">ransaction will </w:t>
      </w:r>
      <w:r w:rsidR="0085681C">
        <w:t>“</w:t>
      </w:r>
      <w:r w:rsidRPr="00EE37A2" w:rsidR="00EE37A2">
        <w:t>enable Assignees to strengthen their competitive position to the benefit of</w:t>
      </w:r>
      <w:r w:rsidR="00EE37A2">
        <w:rPr>
          <w:bCs w:val="0"/>
        </w:rPr>
        <w:t xml:space="preserve"> </w:t>
      </w:r>
      <w:r w:rsidRPr="00EE37A2" w:rsidR="00EE37A2">
        <w:t>consumers and the communications marketplace.</w:t>
      </w:r>
      <w:r w:rsidR="0085681C">
        <w:t>”</w:t>
      </w:r>
      <w:r>
        <w:rPr>
          <w:rStyle w:val="FootnoteReference"/>
        </w:rPr>
        <w:footnoteReference w:id="53"/>
      </w:r>
      <w:r w:rsidRPr="00EE37A2" w:rsidR="00EE37A2">
        <w:t xml:space="preserve"> </w:t>
      </w:r>
      <w:r w:rsidR="0085681C">
        <w:t xml:space="preserve"> Applicants further assert that t</w:t>
      </w:r>
      <w:r w:rsidRPr="00EE37A2" w:rsidR="00EE37A2">
        <w:t xml:space="preserve">he existing customers of Nova will benefit </w:t>
      </w:r>
      <w:r w:rsidR="00B61E8A">
        <w:t xml:space="preserve">from the transaction as they would </w:t>
      </w:r>
      <w:r w:rsidRPr="00EE37A2" w:rsidR="00EE37A2">
        <w:t>have access to the expanded service offerings available from Assignee</w:t>
      </w:r>
      <w:r w:rsidR="00EE37A2">
        <w:rPr>
          <w:bCs w:val="0"/>
        </w:rPr>
        <w:t>.</w:t>
      </w:r>
      <w:r>
        <w:rPr>
          <w:rStyle w:val="FootnoteReference"/>
          <w:bCs w:val="0"/>
        </w:rPr>
        <w:footnoteReference w:id="54"/>
      </w:r>
      <w:r w:rsidR="00F979AE">
        <w:rPr>
          <w:bCs w:val="0"/>
        </w:rPr>
        <w:t xml:space="preserve">  Moreover,</w:t>
      </w:r>
      <w:r w:rsidR="009C6F4D">
        <w:rPr>
          <w:bCs w:val="0"/>
        </w:rPr>
        <w:t xml:space="preserve"> we agree that </w:t>
      </w:r>
      <w:r w:rsidR="00336311">
        <w:rPr>
          <w:bCs w:val="0"/>
        </w:rPr>
        <w:t>“</w:t>
      </w:r>
      <w:r w:rsidR="002D2955">
        <w:t>VoIP LLC’s</w:t>
      </w:r>
      <w:r w:rsidRPr="00F979AE" w:rsidR="00F979AE">
        <w:t xml:space="preserve"> assumption of Nova’s RDOF obligations will support the</w:t>
      </w:r>
      <w:r w:rsidR="00F979AE">
        <w:t xml:space="preserve"> </w:t>
      </w:r>
      <w:r w:rsidRPr="00F979AE" w:rsidR="00F979AE">
        <w:t>Commission’s goals of ensuring all areas of the United States have access to robust broadband</w:t>
      </w:r>
      <w:r w:rsidR="00F979AE">
        <w:t xml:space="preserve"> </w:t>
      </w:r>
      <w:r w:rsidRPr="00F979AE" w:rsidR="00F979AE">
        <w:t>services.</w:t>
      </w:r>
      <w:r w:rsidR="00336311">
        <w:t>”</w:t>
      </w:r>
      <w:r>
        <w:rPr>
          <w:rStyle w:val="FootnoteReference"/>
        </w:rPr>
        <w:footnoteReference w:id="55"/>
      </w:r>
      <w:r w:rsidRPr="00F979AE" w:rsidR="00F979AE">
        <w:t xml:space="preserve"> </w:t>
      </w:r>
      <w:r w:rsidR="003345B2">
        <w:t xml:space="preserve"> </w:t>
      </w:r>
    </w:p>
    <w:p w:rsidR="00AB23AF" w:rsidRPr="00A90194" w:rsidP="00A90194" w14:paraId="20237B8C" w14:textId="26B0CA80">
      <w:pPr>
        <w:autoSpaceDE w:val="0"/>
        <w:autoSpaceDN w:val="0"/>
        <w:adjustRightInd w:val="0"/>
        <w:spacing w:before="120" w:after="120"/>
        <w:ind w:firstLine="720"/>
      </w:pPr>
      <w:r w:rsidRPr="005100CA">
        <w:t>The Commission has specified that ensuring consumers receive new or additional services is an important public interest factor,</w:t>
      </w:r>
      <w:r>
        <w:rPr>
          <w:vertAlign w:val="superscript"/>
        </w:rPr>
        <w:footnoteReference w:id="56"/>
      </w:r>
      <w:r w:rsidRPr="005100CA">
        <w:t xml:space="preserve"> and accelerating private sector deployment of advanced services is one of the aims of the Act.</w:t>
      </w:r>
      <w:r>
        <w:rPr>
          <w:vertAlign w:val="superscript"/>
        </w:rPr>
        <w:footnoteReference w:id="57"/>
      </w:r>
      <w:r w:rsidRPr="005100CA">
        <w:t xml:space="preserve">  </w:t>
      </w:r>
      <w:r w:rsidRPr="00B704BD" w:rsidR="003F0380">
        <w:t>In light of the A</w:t>
      </w:r>
      <w:r w:rsidR="008F7948">
        <w:t>ssignees</w:t>
      </w:r>
      <w:r w:rsidR="00004311">
        <w:t>’</w:t>
      </w:r>
      <w:r w:rsidRPr="00B704BD" w:rsidR="003F0380">
        <w:t xml:space="preserve"> commitments to meet all of </w:t>
      </w:r>
      <w:r w:rsidRPr="00B704BD" w:rsidR="00B704BD">
        <w:rPr>
          <w:bCs w:val="0"/>
        </w:rPr>
        <w:t>Nova’s</w:t>
      </w:r>
      <w:r w:rsidRPr="00B704BD" w:rsidR="003F0380">
        <w:t xml:space="preserve"> federal high</w:t>
      </w:r>
      <w:r w:rsidR="00330201">
        <w:t>-</w:t>
      </w:r>
      <w:r w:rsidRPr="00B704BD" w:rsidR="003F0380">
        <w:t xml:space="preserve">cost </w:t>
      </w:r>
      <w:r w:rsidR="00270797">
        <w:t>support</w:t>
      </w:r>
      <w:r w:rsidRPr="00B704BD" w:rsidR="003F0380">
        <w:t xml:space="preserve"> </w:t>
      </w:r>
      <w:r w:rsidRPr="005F3F7D" w:rsidR="003F0380">
        <w:t>obligations</w:t>
      </w:r>
      <w:r>
        <w:rPr>
          <w:vertAlign w:val="superscript"/>
        </w:rPr>
        <w:footnoteReference w:id="58"/>
      </w:r>
      <w:r w:rsidRPr="00A07DEE" w:rsidR="003F0380">
        <w:t xml:space="preserve"> and </w:t>
      </w:r>
      <w:r w:rsidR="00AC3237">
        <w:t xml:space="preserve">that </w:t>
      </w:r>
      <w:r w:rsidR="00225C33">
        <w:t xml:space="preserve">Nova’s existing </w:t>
      </w:r>
      <w:r w:rsidR="00AF692A">
        <w:t xml:space="preserve">customers will “have access to the expanded service offerings available from </w:t>
      </w:r>
      <w:r w:rsidRPr="00A07DEE" w:rsidR="005F3F7D">
        <w:rPr>
          <w:bCs w:val="0"/>
        </w:rPr>
        <w:t>A</w:t>
      </w:r>
      <w:r w:rsidRPr="00A07DEE" w:rsidR="008F7948">
        <w:rPr>
          <w:bCs w:val="0"/>
        </w:rPr>
        <w:t>ssignees</w:t>
      </w:r>
      <w:r w:rsidR="00AF692A">
        <w:rPr>
          <w:bCs w:val="0"/>
        </w:rPr>
        <w:t>” as a result of the transaction</w:t>
      </w:r>
      <w:r w:rsidRPr="00A07DEE" w:rsidR="003F0380">
        <w:t>,</w:t>
      </w:r>
      <w:r>
        <w:rPr>
          <w:vertAlign w:val="superscript"/>
        </w:rPr>
        <w:footnoteReference w:id="59"/>
      </w:r>
      <w:r w:rsidRPr="00A07DEE" w:rsidR="00CA41FD">
        <w:rPr>
          <w:bCs w:val="0"/>
        </w:rPr>
        <w:t xml:space="preserve"> </w:t>
      </w:r>
      <w:r w:rsidRPr="00A07DEE" w:rsidR="003F0380">
        <w:t>we</w:t>
      </w:r>
      <w:r w:rsidRPr="00B704BD" w:rsidR="003F0380">
        <w:t xml:space="preserve"> find it likely that the proposed transaction would result in some public interest benefits.  </w:t>
      </w:r>
      <w:r w:rsidRPr="005100CA">
        <w:t>Absent any potential harms, and considering that the proposed transaction is likely to yield some benefits, we find, on balance, that the proposed transaction serves the public interest.</w:t>
      </w:r>
      <w:r w:rsidR="00465BCE">
        <w:t xml:space="preserve"> </w:t>
      </w:r>
    </w:p>
    <w:p w:rsidR="002E4EFC" w:rsidP="002E4EFC" w14:paraId="4E49C999" w14:textId="63892308">
      <w:pPr>
        <w:autoSpaceDE w:val="0"/>
        <w:autoSpaceDN w:val="0"/>
        <w:adjustRightInd w:val="0"/>
        <w:spacing w:before="120" w:after="120"/>
        <w:rPr>
          <w:b/>
          <w:u w:val="single"/>
        </w:rPr>
      </w:pPr>
      <w:r>
        <w:rPr>
          <w:b/>
          <w:u w:val="single"/>
        </w:rPr>
        <w:t xml:space="preserve">Conditional Authorization </w:t>
      </w:r>
      <w:r w:rsidR="00042BBA">
        <w:rPr>
          <w:b/>
          <w:u w:val="single"/>
        </w:rPr>
        <w:t xml:space="preserve">of </w:t>
      </w:r>
      <w:r w:rsidRPr="002E4EFC">
        <w:rPr>
          <w:b/>
          <w:u w:val="single"/>
        </w:rPr>
        <w:t xml:space="preserve">RDOF </w:t>
      </w:r>
      <w:r w:rsidR="008507EF">
        <w:rPr>
          <w:b/>
          <w:u w:val="single"/>
        </w:rPr>
        <w:t>Support</w:t>
      </w:r>
    </w:p>
    <w:p w:rsidR="00ED5B89" w:rsidRPr="00CA5D1A" w:rsidP="00ED5B89" w14:paraId="6B1AE0FD" w14:textId="6EAB7554">
      <w:pPr>
        <w:autoSpaceDE w:val="0"/>
        <w:autoSpaceDN w:val="0"/>
        <w:adjustRightInd w:val="0"/>
        <w:spacing w:before="120" w:after="120"/>
        <w:ind w:firstLine="720"/>
      </w:pPr>
      <w:r w:rsidRPr="00CA5D1A">
        <w:t xml:space="preserve">As explained herein, we find that </w:t>
      </w:r>
      <w:r>
        <w:t>VoIP LLC</w:t>
      </w:r>
      <w:r>
        <w:rPr>
          <w:rStyle w:val="FootnoteReference"/>
        </w:rPr>
        <w:footnoteReference w:id="60"/>
      </w:r>
      <w:r>
        <w:t xml:space="preserve"> </w:t>
      </w:r>
      <w:r w:rsidRPr="00CA5D1A">
        <w:t xml:space="preserve">has sufficiently demonstrated its managerial, financial, and technological capabilities to meet </w:t>
      </w:r>
      <w:r>
        <w:t xml:space="preserve">its </w:t>
      </w:r>
      <w:r w:rsidRPr="00CA5D1A">
        <w:t>RDOF obli</w:t>
      </w:r>
      <w:r>
        <w:t>gations to serve 24 eligible census blocks in Illinois (</w:t>
      </w:r>
      <w:r w:rsidRPr="00CA5D1A">
        <w:t>Assigned Blocks</w:t>
      </w:r>
      <w:r>
        <w:t>)</w:t>
      </w:r>
      <w:r w:rsidRPr="00CA5D1A">
        <w:t>,</w:t>
      </w:r>
      <w:r>
        <w:rPr>
          <w:rStyle w:val="FootnoteReference"/>
        </w:rPr>
        <w:footnoteReference w:id="61"/>
      </w:r>
      <w:r w:rsidRPr="00CA5D1A">
        <w:t xml:space="preserve"> and accordingly, we conditionally authorize </w:t>
      </w:r>
      <w:r>
        <w:t xml:space="preserve">VoIP LLC to </w:t>
      </w:r>
      <w:r w:rsidRPr="00CA5D1A">
        <w:t xml:space="preserve">receive the </w:t>
      </w:r>
      <w:r w:rsidRPr="00CA5D1A">
        <w:t>transferred support conditioned upon consummation of the approved</w:t>
      </w:r>
      <w:r>
        <w:t xml:space="preserve"> </w:t>
      </w:r>
      <w:r w:rsidRPr="00CA5D1A">
        <w:t xml:space="preserve">transaction within two months of the release of this order and upon satisfaction of the following prerequisites within three months from the date of consummation: </w:t>
      </w:r>
      <w:r>
        <w:t xml:space="preserve"> </w:t>
      </w:r>
      <w:r w:rsidRPr="00CA5D1A">
        <w:t>1) designation as an ETC in the Assigned Blocks for the purpose of becoming eligible to receive the transferred support</w:t>
      </w:r>
      <w:r>
        <w:t>;</w:t>
      </w:r>
      <w:r w:rsidRPr="00CA5D1A">
        <w:t xml:space="preserve"> 2) submission and approval of an irrevocable LOC securing the requisite amount of support for the Assigned Blocks</w:t>
      </w:r>
      <w:r>
        <w:t>;</w:t>
      </w:r>
      <w:r w:rsidRPr="00CA5D1A">
        <w:t xml:space="preserve"> and 3) submission and approval of a new supporting Bankruptcy Opinion Letter.</w:t>
      </w:r>
      <w:r>
        <w:rPr>
          <w:vertAlign w:val="superscript"/>
        </w:rPr>
        <w:footnoteReference w:id="62"/>
      </w:r>
      <w:r w:rsidRPr="00CA5D1A">
        <w:t xml:space="preserve">  </w:t>
      </w:r>
      <w:r>
        <w:t xml:space="preserve">Applicants </w:t>
      </w:r>
      <w:r w:rsidRPr="00CA5D1A">
        <w:t xml:space="preserve">must file notice of the consummation of the transaction within 10 </w:t>
      </w:r>
      <w:r>
        <w:t xml:space="preserve">calendar </w:t>
      </w:r>
      <w:r w:rsidRPr="00CA5D1A">
        <w:t>days of the consummation</w:t>
      </w:r>
      <w:r>
        <w:t xml:space="preserve"> </w:t>
      </w:r>
      <w:r w:rsidRPr="00CA5D1A">
        <w:t xml:space="preserve">in ECFS under WC Docket No. </w:t>
      </w:r>
      <w:r>
        <w:t>23-353</w:t>
      </w:r>
      <w:r w:rsidR="0087102F">
        <w:t xml:space="preserve"> and WC Docket No. 10-90</w:t>
      </w:r>
      <w:r w:rsidRPr="00CA5D1A">
        <w:t>.</w:t>
      </w:r>
      <w:r w:rsidRPr="0037155B">
        <w:rPr>
          <w:sz w:val="20"/>
          <w:szCs w:val="20"/>
        </w:rPr>
        <w:t xml:space="preserve">  </w:t>
      </w:r>
      <w:r>
        <w:t>Applicants</w:t>
      </w:r>
      <w:r w:rsidRPr="00CA5D1A">
        <w:t xml:space="preserve"> should also email a copy of this notice directly to</w:t>
      </w:r>
      <w:r>
        <w:t xml:space="preserve"> </w:t>
      </w:r>
      <w:r w:rsidRPr="00476000">
        <w:t xml:space="preserve">Megan Danner at </w:t>
      </w:r>
      <w:hyperlink r:id="rId8" w:history="1">
        <w:r w:rsidRPr="00476000">
          <w:rPr>
            <w:rStyle w:val="Hyperlink"/>
          </w:rPr>
          <w:t>megan.danner@fcc.gov</w:t>
        </w:r>
      </w:hyperlink>
      <w:r w:rsidRPr="00CA5D1A">
        <w:t xml:space="preserve"> and to </w:t>
      </w:r>
      <w:r>
        <w:t xml:space="preserve">Nissa Laughner at </w:t>
      </w:r>
      <w:hyperlink r:id="rId9" w:history="1">
        <w:r w:rsidRPr="00694634">
          <w:rPr>
            <w:rStyle w:val="Hyperlink"/>
          </w:rPr>
          <w:t>nissa.laughner@fcc.gov</w:t>
        </w:r>
      </w:hyperlink>
      <w:r>
        <w:t>.</w:t>
      </w:r>
      <w:r w:rsidRPr="00CA5D1A">
        <w:t xml:space="preserve">  </w:t>
      </w:r>
      <w:r>
        <w:t xml:space="preserve">VoIP LLC </w:t>
      </w:r>
      <w:r w:rsidRPr="00CA5D1A">
        <w:t xml:space="preserve">should submit the proof of ETC designation, the LOC, and the supporting Bankruptcy Opinion Letter to USAC for review and approval.  </w:t>
      </w:r>
    </w:p>
    <w:p w:rsidR="00ED5B89" w:rsidRPr="00CA5D1A" w:rsidP="00ED5B89" w14:paraId="01363BA8" w14:textId="6B43D495">
      <w:pPr>
        <w:autoSpaceDE w:val="0"/>
        <w:autoSpaceDN w:val="0"/>
        <w:adjustRightInd w:val="0"/>
        <w:spacing w:before="120" w:after="120"/>
        <w:ind w:firstLine="720"/>
      </w:pPr>
      <w:r w:rsidRPr="00CA5D1A">
        <w:t>If all of these prerequisites are satisfied, the authorization</w:t>
      </w:r>
      <w:r>
        <w:t xml:space="preserve"> of VoIP LLC</w:t>
      </w:r>
      <w:r w:rsidRPr="00CA5D1A">
        <w:t xml:space="preserve"> </w:t>
      </w:r>
      <w:r>
        <w:t xml:space="preserve">to receive the transferred RDOF support </w:t>
      </w:r>
      <w:r w:rsidRPr="00CA5D1A">
        <w:t xml:space="preserve">will become effective.  At </w:t>
      </w:r>
      <w:r>
        <w:t>that</w:t>
      </w:r>
      <w:r w:rsidRPr="00CA5D1A">
        <w:t xml:space="preserve"> time, USAC will transfer all future support payments (and any withheld payments, as applicable) to </w:t>
      </w:r>
      <w:r>
        <w:t>VoIP LLC</w:t>
      </w:r>
      <w:r w:rsidRPr="00CA5D1A">
        <w:t xml:space="preserve"> as of the next month following the authorization or as soon as reasonably practical thereafter.  The Bureau will announce the date that this authorization became effective in a monthly release.  Pending the effective date of </w:t>
      </w:r>
      <w:r>
        <w:t xml:space="preserve">VoIP LLC’s </w:t>
      </w:r>
      <w:r w:rsidRPr="00CA5D1A">
        <w:t xml:space="preserve">authorization, </w:t>
      </w:r>
      <w:r>
        <w:t>Nova</w:t>
      </w:r>
      <w:r w:rsidRPr="00CA5D1A">
        <w:t xml:space="preserve"> must maintain the irrevocable LOC securing the transferred support, and </w:t>
      </w:r>
      <w:r>
        <w:t xml:space="preserve">it </w:t>
      </w:r>
      <w:r w:rsidRPr="00CA5D1A">
        <w:t xml:space="preserve">will continue to receive the monthly disbursements associated with the Assigned Blocks and retain sole responsibility for complying with universal service fund requirements and Commission rules associated with the Assigned Blocks.  Unless otherwise specified in this Public Notice, all support </w:t>
      </w:r>
      <w:r>
        <w:t>and</w:t>
      </w:r>
      <w:r w:rsidRPr="00CA5D1A">
        <w:t xml:space="preserve"> assets associated with the Assigned Blocks must be transferred from </w:t>
      </w:r>
      <w:r>
        <w:t>Nova</w:t>
      </w:r>
      <w:r w:rsidRPr="00CA5D1A">
        <w:t xml:space="preserve"> to </w:t>
      </w:r>
      <w:r>
        <w:t>VoIP LLC</w:t>
      </w:r>
      <w:r w:rsidRPr="00CA5D1A">
        <w:t xml:space="preserve">, including payments received by </w:t>
      </w:r>
      <w:r>
        <w:t xml:space="preserve">Nova </w:t>
      </w:r>
      <w:r w:rsidRPr="00CA5D1A">
        <w:t xml:space="preserve">pending </w:t>
      </w:r>
      <w:r>
        <w:t>VoIP LLC’s</w:t>
      </w:r>
      <w:r w:rsidRPr="00CA5D1A">
        <w:t xml:space="preserve"> authorization.  </w:t>
      </w:r>
    </w:p>
    <w:p w:rsidR="00ED5B89" w:rsidRPr="009947C8" w:rsidP="009947C8" w14:paraId="7C9A80BD" w14:textId="782186DC">
      <w:pPr>
        <w:autoSpaceDE w:val="0"/>
        <w:autoSpaceDN w:val="0"/>
        <w:adjustRightInd w:val="0"/>
        <w:spacing w:before="120" w:after="120"/>
        <w:ind w:firstLine="720"/>
      </w:pPr>
      <w:r w:rsidRPr="0006686A">
        <w:t xml:space="preserve">We remind </w:t>
      </w:r>
      <w:r>
        <w:t>VoIP LLC</w:t>
      </w:r>
      <w:r w:rsidRPr="00D6662E">
        <w:t xml:space="preserve"> that once </w:t>
      </w:r>
      <w:r>
        <w:t>it</w:t>
      </w:r>
      <w:r w:rsidRPr="00D6662E">
        <w:t xml:space="preserve"> satisfies all conditions of ETC authorization, </w:t>
      </w:r>
      <w:r w:rsidRPr="00F84A4D">
        <w:t xml:space="preserve">it assumes sole responsibility for complying with </w:t>
      </w:r>
      <w:r>
        <w:t>u</w:t>
      </w:r>
      <w:r w:rsidRPr="00F84A4D">
        <w:t xml:space="preserve">niversal </w:t>
      </w:r>
      <w:r>
        <w:t>s</w:t>
      </w:r>
      <w:r w:rsidRPr="00F84A4D">
        <w:t>ervice</w:t>
      </w:r>
      <w:r w:rsidRPr="00F84A4D">
        <w:t xml:space="preserve"> </w:t>
      </w:r>
      <w:r>
        <w:t>f</w:t>
      </w:r>
      <w:r w:rsidRPr="00F84A4D">
        <w:t>und requirements and Commission rules, regardless of any preexisting or reasonably foreseeable conditions that could impact its ability to meet its obligations in the future, including technical, marketplace, and on-the-ground conditions</w:t>
      </w:r>
      <w:r w:rsidRPr="00D6662E">
        <w:t>.</w:t>
      </w:r>
      <w:r w:rsidRPr="0006686A">
        <w:t xml:space="preserve">  Indeed, any carrier seeking authorization to receive high</w:t>
      </w:r>
      <w:r>
        <w:t>-</w:t>
      </w:r>
      <w:r w:rsidRPr="0006686A">
        <w:t xml:space="preserve">cost support pursuant to a section 214 transfer </w:t>
      </w:r>
      <w:r>
        <w:t>of control</w:t>
      </w:r>
      <w:r w:rsidRPr="0006686A">
        <w:t xml:space="preserve"> must conduct the proper due diligence prior to consummation of the transaction and, in doing so, must assume all risks and consequences of noncompliance with RDOF requirements, including default recovery of support and potential forfeiture penalties.</w:t>
      </w:r>
      <w:r>
        <w:rPr>
          <w:rStyle w:val="FootnoteReference"/>
        </w:rPr>
        <w:footnoteReference w:id="63"/>
      </w:r>
      <w:r w:rsidRPr="0006686A">
        <w:t xml:space="preserve">  In</w:t>
      </w:r>
      <w:r>
        <w:t xml:space="preserve"> addition, VoIP LLC must meet all</w:t>
      </w:r>
      <w:r w:rsidRPr="0030700E">
        <w:t xml:space="preserve"> administrative, performance, and deployment obligations and deadlines associated with the receipt of RDOF support as</w:t>
      </w:r>
      <w:r w:rsidRPr="00CA5D1A">
        <w:t xml:space="preserve"> well as related ETC obligations</w:t>
      </w:r>
      <w:r>
        <w:t>,</w:t>
      </w:r>
      <w:r>
        <w:rPr>
          <w:rStyle w:val="FootnoteReference"/>
        </w:rPr>
        <w:footnoteReference w:id="64"/>
      </w:r>
      <w:r>
        <w:t xml:space="preserve"> including the requirement to deploy voice and </w:t>
      </w:r>
      <w:r>
        <w:t>broadband service meeting minimum standards to the requisite number of locations by specific service milestones and the obligation to ultimately serve all locations identified by the Commission within eligible areas, subject to limited adjustment.</w:t>
      </w:r>
      <w:r>
        <w:rPr>
          <w:rStyle w:val="FootnoteReference"/>
        </w:rPr>
        <w:footnoteReference w:id="65"/>
      </w:r>
      <w:r>
        <w:t xml:space="preserve">  </w:t>
      </w:r>
      <w:r w:rsidRPr="0030700E">
        <w:t xml:space="preserve">Consistent with the requirements of RDOF, </w:t>
      </w:r>
      <w:r>
        <w:t>VoIP LLC</w:t>
      </w:r>
      <w:r w:rsidRPr="0030700E">
        <w:t xml:space="preserve"> must provide voice service throughout the Assigned Blocks, either through its own facilities or a combination of its own and other ETCs</w:t>
      </w:r>
      <w:r>
        <w:t>’</w:t>
      </w:r>
      <w:r w:rsidRPr="0030700E">
        <w:t xml:space="preserve"> facilities, on the first day of the month following the authorization.</w:t>
      </w:r>
      <w:r>
        <w:rPr>
          <w:vertAlign w:val="superscript"/>
        </w:rPr>
        <w:footnoteReference w:id="66"/>
      </w:r>
      <w:r w:rsidRPr="0A1D24A5">
        <w:rPr>
          <w:vertAlign w:val="superscript"/>
        </w:rPr>
        <w:t xml:space="preserve"> </w:t>
      </w:r>
      <w:r>
        <w:t xml:space="preserve">  </w:t>
      </w:r>
    </w:p>
    <w:p w:rsidR="0059095F" w:rsidRPr="0059095F" w:rsidP="0059095F" w14:paraId="02399480" w14:textId="52786335">
      <w:pPr>
        <w:autoSpaceDE w:val="0"/>
        <w:autoSpaceDN w:val="0"/>
        <w:adjustRightInd w:val="0"/>
        <w:spacing w:before="120" w:after="120"/>
        <w:rPr>
          <w:b/>
          <w:bCs w:val="0"/>
          <w:u w:val="single"/>
        </w:rPr>
      </w:pPr>
      <w:r w:rsidRPr="0059095F">
        <w:rPr>
          <w:b/>
          <w:u w:val="single"/>
        </w:rPr>
        <w:t xml:space="preserve">Grant of the Application </w:t>
      </w:r>
    </w:p>
    <w:p w:rsidR="00991F3F" w:rsidP="00AA061D" w14:paraId="7D8E572A" w14:textId="3ADE6ACA">
      <w:pPr>
        <w:autoSpaceDE w:val="0"/>
        <w:autoSpaceDN w:val="0"/>
        <w:adjustRightInd w:val="0"/>
        <w:spacing w:before="120" w:after="120"/>
        <w:ind w:firstLine="720"/>
      </w:pPr>
      <w:r w:rsidRPr="00991F3F">
        <w:t xml:space="preserve">We find, upon consideration of the record, that the proposed transfer will serve the public interest, </w:t>
      </w:r>
      <w:r w:rsidRPr="0030700E">
        <w:t>convenience, and necessity.</w:t>
      </w:r>
      <w:r>
        <w:rPr>
          <w:rStyle w:val="FootnoteReference"/>
        </w:rPr>
        <w:footnoteReference w:id="67"/>
      </w:r>
      <w:r w:rsidRPr="0030700E">
        <w:t xml:space="preserve">  This Application is </w:t>
      </w:r>
      <w:r w:rsidR="00710965">
        <w:t xml:space="preserve">granted in conjunction with the conditional authorization of </w:t>
      </w:r>
      <w:r w:rsidRPr="000771DE" w:rsidR="000771DE">
        <w:t xml:space="preserve">VoIP LLC to receive </w:t>
      </w:r>
      <w:r w:rsidRPr="00177BFA" w:rsidR="00710965">
        <w:t>RDOF support</w:t>
      </w:r>
      <w:r w:rsidR="00710965">
        <w:t xml:space="preserve"> </w:t>
      </w:r>
      <w:r w:rsidRPr="0030700E">
        <w:t>as set out in this Public Notice</w:t>
      </w:r>
      <w:r w:rsidR="0030700E">
        <w:t xml:space="preserve">. </w:t>
      </w:r>
    </w:p>
    <w:p w:rsidR="002C7401" w:rsidRPr="002C7401" w:rsidP="00AA061D" w14:paraId="43688E7A" w14:textId="36599D51">
      <w:pPr>
        <w:autoSpaceDE w:val="0"/>
        <w:autoSpaceDN w:val="0"/>
        <w:adjustRightInd w:val="0"/>
        <w:spacing w:before="120" w:after="120"/>
        <w:ind w:firstLine="720"/>
      </w:pPr>
      <w:r w:rsidRPr="002C7401">
        <w:t>Pursuant to section 214(a) of the Act, 47 U.S.C. § 214(a)</w:t>
      </w:r>
      <w:r w:rsidR="00372A2D">
        <w:t>,</w:t>
      </w:r>
      <w:r w:rsidRPr="002C7401">
        <w:t xml:space="preserve"> and sections 0.91, 0.291, 63.03, and 63.04 of the Commission’s rules, 47 CFR §§ 0.91, 0.291, 63.03, and 63.04, we grant the Application</w:t>
      </w:r>
      <w:r w:rsidRPr="0030700E" w:rsidR="00A20B58">
        <w:t>.</w:t>
      </w:r>
      <w:r w:rsidR="00A20B58">
        <w:t xml:space="preserve">  </w:t>
      </w:r>
      <w:r w:rsidRPr="002C7401">
        <w:t xml:space="preserve">Pursuant to section 1.103 of the Commission’s rules, 47 CFR § 1.103, the consent granted herein is effective upon the release of this </w:t>
      </w:r>
      <w:r w:rsidRPr="00A177BB">
        <w:t>Public Notice</w:t>
      </w:r>
      <w:r w:rsidRPr="002C7401">
        <w:t xml:space="preserve">.  Petitions for reconsideration under section 1.106 or applications for review under section 1.115 of the Commission’s rules, 47 CFR §§ 1.106, 1.115, may be filed within 30 days of the date of this </w:t>
      </w:r>
      <w:r w:rsidRPr="00A177BB">
        <w:t>Public Notice</w:t>
      </w:r>
      <w:r w:rsidRPr="002C7401">
        <w:t xml:space="preserve">. </w:t>
      </w:r>
    </w:p>
    <w:p w:rsidR="00E17DCE" w:rsidRPr="00843299" w:rsidP="00325D36" w14:paraId="284D616E" w14:textId="2B60D1E1">
      <w:pPr>
        <w:autoSpaceDE w:val="0"/>
        <w:autoSpaceDN w:val="0"/>
        <w:adjustRightInd w:val="0"/>
        <w:spacing w:after="120"/>
        <w:ind w:firstLine="720"/>
      </w:pPr>
      <w:r w:rsidRPr="00843299">
        <w:t>For further information</w:t>
      </w:r>
      <w:r w:rsidR="00174243">
        <w:t xml:space="preserve"> regarding the grant of the Application</w:t>
      </w:r>
      <w:r w:rsidRPr="00843299">
        <w:t xml:space="preserve">, please contact </w:t>
      </w:r>
      <w:r w:rsidR="00BB67DA">
        <w:t>Megan Danner</w:t>
      </w:r>
      <w:r>
        <w:t xml:space="preserve"> at </w:t>
      </w:r>
      <w:hyperlink r:id="rId8" w:history="1">
        <w:r w:rsidRPr="000D513C" w:rsidR="00BB67DA">
          <w:rPr>
            <w:rStyle w:val="Hyperlink"/>
          </w:rPr>
          <w:t>megan.danner@fcc.gov</w:t>
        </w:r>
      </w:hyperlink>
      <w:r w:rsidRPr="00F03D72">
        <w:t>.</w:t>
      </w:r>
      <w:r>
        <w:t xml:space="preserve"> </w:t>
      </w:r>
      <w:r w:rsidR="00174243">
        <w:t xml:space="preserve"> For further information regarding the conditional </w:t>
      </w:r>
      <w:r w:rsidR="00710965">
        <w:t>RDOF support</w:t>
      </w:r>
      <w:r w:rsidR="00174243">
        <w:t xml:space="preserve"> authorization, please contact </w:t>
      </w:r>
      <w:r w:rsidR="00F84A4D">
        <w:t>N</w:t>
      </w:r>
      <w:r w:rsidR="00174243">
        <w:t xml:space="preserve">issa </w:t>
      </w:r>
      <w:r w:rsidR="00F84A4D">
        <w:t>L</w:t>
      </w:r>
      <w:r w:rsidR="00174243">
        <w:t xml:space="preserve">aughner at </w:t>
      </w:r>
      <w:hyperlink r:id="rId9" w:history="1">
        <w:r w:rsidRPr="00020AC1" w:rsidR="00020AC1">
          <w:rPr>
            <w:rStyle w:val="Hyperlink"/>
          </w:rPr>
          <w:t>nissa.laughner@fcc.gov</w:t>
        </w:r>
      </w:hyperlink>
      <w:r w:rsidR="00174243">
        <w:t xml:space="preserve">. </w:t>
      </w:r>
    </w:p>
    <w:p w:rsidR="00E17DCE" w:rsidRPr="00843299" w:rsidP="00E17DCE" w14:paraId="3B9F84DD" w14:textId="77777777">
      <w:pPr>
        <w:autoSpaceDE w:val="0"/>
        <w:autoSpaceDN w:val="0"/>
        <w:adjustRightInd w:val="0"/>
      </w:pPr>
    </w:p>
    <w:p w:rsidR="00524D79" w:rsidRPr="00325D36" w:rsidP="00325D36" w14:paraId="437A79FD" w14:textId="6433AE83">
      <w:pPr>
        <w:autoSpaceDE w:val="0"/>
        <w:autoSpaceDN w:val="0"/>
        <w:adjustRightInd w:val="0"/>
        <w:jc w:val="center"/>
        <w:rPr>
          <w:bCs w:val="0"/>
          <w:color w:val="000000"/>
        </w:rPr>
      </w:pPr>
      <w:r w:rsidRPr="00843299">
        <w:rPr>
          <w:b/>
        </w:rPr>
        <w:t>-FCC-</w:t>
      </w:r>
      <w:bookmarkEnd w:id="1"/>
      <w:bookmarkEnd w:id="2"/>
    </w:p>
    <w:sectPr w:rsidSect="00FE446B">
      <w:footerReference w:type="default" r:id="rId10"/>
      <w:headerReference w:type="first" r:id="rId11"/>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5FE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12AC8E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A91A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47831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2C26E3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0AFD56" w14:textId="77777777"/>
  <w:p w:rsidR="005E21F5" w14:paraId="68A59F6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446B" w14:paraId="795EC240" w14:textId="77777777">
      <w:r>
        <w:separator/>
      </w:r>
    </w:p>
  </w:footnote>
  <w:footnote w:type="continuationSeparator" w:id="1">
    <w:p w:rsidR="00FE446B" w14:paraId="4BDEBAFE" w14:textId="77777777">
      <w:r>
        <w:continuationSeparator/>
      </w:r>
    </w:p>
  </w:footnote>
  <w:footnote w:type="continuationNotice" w:id="2">
    <w:p w:rsidR="00FE446B" w14:paraId="53614BFD" w14:textId="77777777"/>
  </w:footnote>
  <w:footnote w:id="3">
    <w:p w:rsidR="00BE6C84" w:rsidRPr="002E426F" w:rsidP="00BE7777" w14:paraId="17B6ED1E"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sz w:val="20"/>
          <w:szCs w:val="20"/>
        </w:rPr>
        <w:t>See</w:t>
      </w:r>
      <w:r w:rsidRPr="002E426F">
        <w:rPr>
          <w:sz w:val="20"/>
          <w:szCs w:val="20"/>
        </w:rPr>
        <w:t xml:space="preserve"> 47 U.S.C. § 214(a); 47 CFR §§ 63.03-04.</w:t>
      </w:r>
    </w:p>
  </w:footnote>
  <w:footnote w:id="4">
    <w:p w:rsidR="00BE6C84" w:rsidRPr="002E426F" w:rsidP="00BE7777" w14:paraId="5FB35710" w14:textId="24839951">
      <w:pPr>
        <w:spacing w:after="120"/>
        <w:ind w:right="-144"/>
        <w:rPr>
          <w:bCs w:val="0"/>
          <w:sz w:val="20"/>
          <w:szCs w:val="20"/>
        </w:rPr>
      </w:pPr>
      <w:r w:rsidRPr="002E426F">
        <w:rPr>
          <w:rStyle w:val="FootnoteReference"/>
          <w:sz w:val="20"/>
          <w:szCs w:val="20"/>
        </w:rPr>
        <w:footnoteRef/>
      </w:r>
      <w:r w:rsidRPr="002E426F">
        <w:rPr>
          <w:sz w:val="20"/>
          <w:szCs w:val="20"/>
        </w:rPr>
        <w:t xml:space="preserve"> Application for Consent to Assign Certain Assets of Nova Cablevision, Inc., to Cable One, Inc., and Cable VoIP LLC, </w:t>
      </w:r>
      <w:r w:rsidR="009225B1">
        <w:rPr>
          <w:sz w:val="20"/>
          <w:szCs w:val="20"/>
        </w:rPr>
        <w:t>P</w:t>
      </w:r>
      <w:r w:rsidRPr="002E426F">
        <w:rPr>
          <w:sz w:val="20"/>
          <w:szCs w:val="20"/>
        </w:rPr>
        <w:t>ursuant to Section 214 of the Communications Act of 1934, as Amended, WC Docket No. 23-353 (filed Oct. 18, 2023) (Application).  Applicants filed supplement</w:t>
      </w:r>
      <w:r w:rsidR="00772162">
        <w:rPr>
          <w:sz w:val="20"/>
          <w:szCs w:val="20"/>
        </w:rPr>
        <w:t>s</w:t>
      </w:r>
      <w:r w:rsidRPr="002E426F">
        <w:rPr>
          <w:sz w:val="20"/>
          <w:szCs w:val="20"/>
        </w:rPr>
        <w:t xml:space="preserve"> to the Application on November 16, 2023</w:t>
      </w:r>
      <w:r w:rsidR="00772162">
        <w:rPr>
          <w:sz w:val="20"/>
          <w:szCs w:val="20"/>
        </w:rPr>
        <w:t xml:space="preserve"> and </w:t>
      </w:r>
      <w:r w:rsidRPr="005B51F0" w:rsidR="00516AD7">
        <w:rPr>
          <w:sz w:val="20"/>
          <w:szCs w:val="20"/>
        </w:rPr>
        <w:t>April</w:t>
      </w:r>
      <w:r w:rsidRPr="005B51F0" w:rsidR="00772162">
        <w:rPr>
          <w:sz w:val="20"/>
          <w:szCs w:val="20"/>
        </w:rPr>
        <w:t xml:space="preserve"> </w:t>
      </w:r>
      <w:r w:rsidRPr="005B51F0" w:rsidR="00EB0FE7">
        <w:rPr>
          <w:sz w:val="20"/>
          <w:szCs w:val="20"/>
        </w:rPr>
        <w:t>22</w:t>
      </w:r>
      <w:r w:rsidRPr="005B51F0" w:rsidR="00772162">
        <w:rPr>
          <w:sz w:val="20"/>
          <w:szCs w:val="20"/>
        </w:rPr>
        <w:t>, 2024</w:t>
      </w:r>
      <w:r w:rsidRPr="005B51F0">
        <w:rPr>
          <w:sz w:val="20"/>
          <w:szCs w:val="20"/>
        </w:rPr>
        <w:t xml:space="preserve">.  Supplement to the Application for Consent to Assign Certain Assets of Nova Cablevision, Inc., to Cable One, Inc., and Cable VoIP LLC, </w:t>
      </w:r>
      <w:r w:rsidRPr="005B51F0" w:rsidR="00C32867">
        <w:rPr>
          <w:sz w:val="20"/>
          <w:szCs w:val="20"/>
        </w:rPr>
        <w:t>P</w:t>
      </w:r>
      <w:r w:rsidRPr="005B51F0">
        <w:rPr>
          <w:sz w:val="20"/>
          <w:szCs w:val="20"/>
        </w:rPr>
        <w:t>ursuant to Section 214 of the Communications Act of 1934, as Amended, WC Docket No. 23-353 (filed Nov. 16, 2023) (</w:t>
      </w:r>
      <w:r w:rsidRPr="005B51F0" w:rsidR="00772162">
        <w:rPr>
          <w:sz w:val="20"/>
          <w:szCs w:val="20"/>
        </w:rPr>
        <w:t>Nov</w:t>
      </w:r>
      <w:r w:rsidR="00F14BBF">
        <w:rPr>
          <w:sz w:val="20"/>
          <w:szCs w:val="20"/>
        </w:rPr>
        <w:t>.</w:t>
      </w:r>
      <w:r w:rsidRPr="005B51F0" w:rsidR="00772162">
        <w:rPr>
          <w:sz w:val="20"/>
          <w:szCs w:val="20"/>
        </w:rPr>
        <w:t xml:space="preserve"> </w:t>
      </w:r>
      <w:r w:rsidRPr="005B51F0">
        <w:rPr>
          <w:sz w:val="20"/>
          <w:szCs w:val="20"/>
        </w:rPr>
        <w:t>Supplement)</w:t>
      </w:r>
      <w:r w:rsidRPr="005B51F0" w:rsidR="00772162">
        <w:rPr>
          <w:sz w:val="20"/>
          <w:szCs w:val="20"/>
        </w:rPr>
        <w:t xml:space="preserve">; Supplement to the Application for Consent to Assign Certain Assets of Nova Cablevision, Inc., to Cable One, Inc., and Cable VoIP LLC, </w:t>
      </w:r>
      <w:r w:rsidRPr="005B51F0" w:rsidR="00C32867">
        <w:rPr>
          <w:sz w:val="20"/>
          <w:szCs w:val="20"/>
        </w:rPr>
        <w:t>P</w:t>
      </w:r>
      <w:r w:rsidRPr="005B51F0" w:rsidR="00772162">
        <w:rPr>
          <w:sz w:val="20"/>
          <w:szCs w:val="20"/>
        </w:rPr>
        <w:t xml:space="preserve">ursuant to Section 214 of the Communications Act of 1934, as Amended, WC Docket No. 23-353 (filed </w:t>
      </w:r>
      <w:r w:rsidRPr="005B51F0" w:rsidR="00516AD7">
        <w:rPr>
          <w:sz w:val="20"/>
          <w:szCs w:val="20"/>
        </w:rPr>
        <w:t>Apr</w:t>
      </w:r>
      <w:r w:rsidRPr="005B51F0" w:rsidR="00772162">
        <w:rPr>
          <w:sz w:val="20"/>
          <w:szCs w:val="20"/>
        </w:rPr>
        <w:t xml:space="preserve">. </w:t>
      </w:r>
      <w:r w:rsidRPr="005B51F0" w:rsidR="00EB0FE7">
        <w:rPr>
          <w:sz w:val="20"/>
          <w:szCs w:val="20"/>
        </w:rPr>
        <w:t>22</w:t>
      </w:r>
      <w:r w:rsidRPr="005B51F0" w:rsidR="00772162">
        <w:rPr>
          <w:sz w:val="20"/>
          <w:szCs w:val="20"/>
        </w:rPr>
        <w:t>, 2024) (</w:t>
      </w:r>
      <w:r w:rsidRPr="005B51F0" w:rsidR="00BA3108">
        <w:rPr>
          <w:sz w:val="20"/>
          <w:szCs w:val="20"/>
        </w:rPr>
        <w:t>Apr</w:t>
      </w:r>
      <w:r w:rsidR="00F14BBF">
        <w:rPr>
          <w:sz w:val="20"/>
          <w:szCs w:val="20"/>
        </w:rPr>
        <w:t>.</w:t>
      </w:r>
      <w:r w:rsidRPr="005B51F0" w:rsidR="00772162">
        <w:rPr>
          <w:sz w:val="20"/>
          <w:szCs w:val="20"/>
        </w:rPr>
        <w:t xml:space="preserve"> Supplem</w:t>
      </w:r>
      <w:r w:rsidR="00772162">
        <w:rPr>
          <w:sz w:val="20"/>
          <w:szCs w:val="20"/>
        </w:rPr>
        <w:t>ent)</w:t>
      </w:r>
      <w:r w:rsidRPr="002E426F">
        <w:rPr>
          <w:sz w:val="20"/>
          <w:szCs w:val="20"/>
        </w:rPr>
        <w:t>.  Any action on this domestic section 214 application is without prejudice to Commission action on other related, pending applications.</w:t>
      </w:r>
    </w:p>
  </w:footnote>
  <w:footnote w:id="5">
    <w:p w:rsidR="00B33B8A" w:rsidRPr="002E426F" w:rsidP="00BE7777" w14:paraId="61BEED34" w14:textId="76AED3B2">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Domestic Section 214 Application Filed for the </w:t>
      </w:r>
      <w:r w:rsidRPr="002E426F" w:rsidR="00252856">
        <w:rPr>
          <w:i/>
          <w:iCs/>
          <w:sz w:val="20"/>
          <w:szCs w:val="20"/>
        </w:rPr>
        <w:t xml:space="preserve">Assignment of </w:t>
      </w:r>
      <w:r w:rsidRPr="002E426F" w:rsidR="00713580">
        <w:rPr>
          <w:i/>
          <w:iCs/>
          <w:sz w:val="20"/>
          <w:szCs w:val="20"/>
        </w:rPr>
        <w:t>Certain Assets of Nova Cablevision, Inc., to Cable One, Inc., and Cable VoIP LLC</w:t>
      </w:r>
      <w:r w:rsidRPr="002E426F">
        <w:rPr>
          <w:sz w:val="20"/>
          <w:szCs w:val="20"/>
        </w:rPr>
        <w:t>, WC Docket No. 2</w:t>
      </w:r>
      <w:r w:rsidRPr="002E426F" w:rsidR="00CF02D3">
        <w:rPr>
          <w:sz w:val="20"/>
          <w:szCs w:val="20"/>
        </w:rPr>
        <w:t>3-</w:t>
      </w:r>
      <w:r w:rsidRPr="002E426F" w:rsidR="00253608">
        <w:rPr>
          <w:sz w:val="20"/>
          <w:szCs w:val="20"/>
        </w:rPr>
        <w:t>3</w:t>
      </w:r>
      <w:r w:rsidRPr="002E426F" w:rsidR="00252856">
        <w:rPr>
          <w:sz w:val="20"/>
          <w:szCs w:val="20"/>
        </w:rPr>
        <w:t>53</w:t>
      </w:r>
      <w:r w:rsidRPr="002E426F">
        <w:rPr>
          <w:sz w:val="20"/>
          <w:szCs w:val="20"/>
        </w:rPr>
        <w:t>, Public Notice, DA 2</w:t>
      </w:r>
      <w:r w:rsidRPr="002E426F" w:rsidR="00CF02D3">
        <w:rPr>
          <w:sz w:val="20"/>
          <w:szCs w:val="20"/>
        </w:rPr>
        <w:t>3</w:t>
      </w:r>
      <w:r w:rsidRPr="002E426F">
        <w:rPr>
          <w:sz w:val="20"/>
          <w:szCs w:val="20"/>
        </w:rPr>
        <w:t>-</w:t>
      </w:r>
      <w:r w:rsidRPr="002E426F" w:rsidR="002F264E">
        <w:rPr>
          <w:sz w:val="20"/>
          <w:szCs w:val="20"/>
        </w:rPr>
        <w:t>1</w:t>
      </w:r>
      <w:r w:rsidRPr="002E426F" w:rsidR="00252856">
        <w:rPr>
          <w:sz w:val="20"/>
          <w:szCs w:val="20"/>
        </w:rPr>
        <w:t>128</w:t>
      </w:r>
      <w:r w:rsidRPr="002E426F" w:rsidR="002F264E">
        <w:rPr>
          <w:sz w:val="20"/>
          <w:szCs w:val="20"/>
        </w:rPr>
        <w:t xml:space="preserve"> </w:t>
      </w:r>
      <w:r w:rsidRPr="002E426F">
        <w:rPr>
          <w:sz w:val="20"/>
          <w:szCs w:val="20"/>
        </w:rPr>
        <w:t>(WCB 202</w:t>
      </w:r>
      <w:r w:rsidRPr="002E426F" w:rsidR="00CF02D3">
        <w:rPr>
          <w:sz w:val="20"/>
          <w:szCs w:val="20"/>
        </w:rPr>
        <w:t>3</w:t>
      </w:r>
      <w:r w:rsidRPr="002E426F">
        <w:rPr>
          <w:sz w:val="20"/>
          <w:szCs w:val="20"/>
        </w:rPr>
        <w:t xml:space="preserve">) (Public Notice).     </w:t>
      </w:r>
    </w:p>
  </w:footnote>
  <w:footnote w:id="6">
    <w:p w:rsidR="00177BFA" w:rsidRPr="002E426F" w:rsidP="00580328" w14:paraId="4BE7EC65"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Application at 3.</w:t>
      </w:r>
    </w:p>
  </w:footnote>
  <w:footnote w:id="7">
    <w:p w:rsidR="00177BFA" w:rsidRPr="002E426F" w:rsidP="00580328" w14:paraId="1B64BE4D" w14:textId="67197DB7">
      <w:pPr>
        <w:autoSpaceDE w:val="0"/>
        <w:autoSpaceDN w:val="0"/>
        <w:adjustRightInd w:val="0"/>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w:t>
      </w:r>
      <w:r w:rsidR="00D43963">
        <w:rPr>
          <w:sz w:val="20"/>
          <w:szCs w:val="20"/>
        </w:rPr>
        <w:t>;</w:t>
      </w:r>
      <w:r w:rsidR="00662D82">
        <w:rPr>
          <w:sz w:val="20"/>
          <w:szCs w:val="20"/>
        </w:rPr>
        <w:t xml:space="preserve"> </w:t>
      </w:r>
      <w:r w:rsidR="00E57184">
        <w:rPr>
          <w:i/>
          <w:iCs/>
          <w:sz w:val="20"/>
          <w:szCs w:val="20"/>
        </w:rPr>
        <w:t>s</w:t>
      </w:r>
      <w:r w:rsidRPr="00580328" w:rsidR="00662D82">
        <w:rPr>
          <w:i/>
          <w:iCs/>
          <w:sz w:val="20"/>
          <w:szCs w:val="20"/>
        </w:rPr>
        <w:t>ee</w:t>
      </w:r>
      <w:r w:rsidR="00E57184">
        <w:rPr>
          <w:i/>
          <w:iCs/>
          <w:sz w:val="20"/>
          <w:szCs w:val="20"/>
        </w:rPr>
        <w:t xml:space="preserve"> also</w:t>
      </w:r>
      <w:r w:rsidRPr="00580328" w:rsidR="00662D82">
        <w:rPr>
          <w:i/>
          <w:iCs/>
          <w:sz w:val="20"/>
          <w:szCs w:val="20"/>
        </w:rPr>
        <w:t xml:space="preserve"> </w:t>
      </w:r>
      <w:r w:rsidRPr="00580328" w:rsidR="007469F4">
        <w:rPr>
          <w:i/>
          <w:iCs/>
          <w:sz w:val="20"/>
          <w:szCs w:val="20"/>
        </w:rPr>
        <w:t>Rural Digital Opportunity Fund Support Authorized for 5,657 Winning Bids</w:t>
      </w:r>
      <w:r w:rsidR="007469F4">
        <w:rPr>
          <w:sz w:val="20"/>
          <w:szCs w:val="20"/>
        </w:rPr>
        <w:t xml:space="preserve">, </w:t>
      </w:r>
      <w:r w:rsidR="00E552FC">
        <w:rPr>
          <w:sz w:val="20"/>
          <w:szCs w:val="20"/>
        </w:rPr>
        <w:t>WC Docket No.</w:t>
      </w:r>
      <w:r w:rsidR="00B729D7">
        <w:rPr>
          <w:sz w:val="20"/>
          <w:szCs w:val="20"/>
        </w:rPr>
        <w:t xml:space="preserve"> 19-126</w:t>
      </w:r>
      <w:r w:rsidR="002A5055">
        <w:rPr>
          <w:sz w:val="20"/>
          <w:szCs w:val="20"/>
        </w:rPr>
        <w:t xml:space="preserve"> et al.</w:t>
      </w:r>
      <w:r w:rsidR="00B618D2">
        <w:rPr>
          <w:sz w:val="20"/>
          <w:szCs w:val="20"/>
        </w:rPr>
        <w:t>,</w:t>
      </w:r>
      <w:r w:rsidR="00B729D7">
        <w:rPr>
          <w:sz w:val="20"/>
          <w:szCs w:val="20"/>
        </w:rPr>
        <w:t xml:space="preserve"> </w:t>
      </w:r>
      <w:r w:rsidR="00F37AB1">
        <w:rPr>
          <w:sz w:val="20"/>
          <w:szCs w:val="20"/>
        </w:rPr>
        <w:t>Public Notice</w:t>
      </w:r>
      <w:r w:rsidR="00C5267A">
        <w:rPr>
          <w:sz w:val="20"/>
          <w:szCs w:val="20"/>
        </w:rPr>
        <w:t xml:space="preserve">, </w:t>
      </w:r>
      <w:r w:rsidRPr="002325AF" w:rsidR="002325AF">
        <w:rPr>
          <w:sz w:val="20"/>
          <w:szCs w:val="20"/>
        </w:rPr>
        <w:t> 37 FCC Rcd 3570</w:t>
      </w:r>
      <w:r w:rsidR="006553A5">
        <w:rPr>
          <w:sz w:val="20"/>
          <w:szCs w:val="20"/>
        </w:rPr>
        <w:t>, Attach</w:t>
      </w:r>
      <w:r w:rsidR="00CC5807">
        <w:rPr>
          <w:sz w:val="20"/>
          <w:szCs w:val="20"/>
        </w:rPr>
        <w:t>.</w:t>
      </w:r>
      <w:r w:rsidR="006553A5">
        <w:rPr>
          <w:sz w:val="20"/>
          <w:szCs w:val="20"/>
        </w:rPr>
        <w:t xml:space="preserve"> </w:t>
      </w:r>
      <w:r w:rsidR="007B4C67">
        <w:rPr>
          <w:sz w:val="20"/>
          <w:szCs w:val="20"/>
        </w:rPr>
        <w:t xml:space="preserve">A </w:t>
      </w:r>
      <w:r w:rsidR="006553A5">
        <w:rPr>
          <w:sz w:val="20"/>
          <w:szCs w:val="20"/>
        </w:rPr>
        <w:t>at 279</w:t>
      </w:r>
      <w:r w:rsidR="007469F4">
        <w:rPr>
          <w:sz w:val="20"/>
          <w:szCs w:val="20"/>
        </w:rPr>
        <w:t xml:space="preserve"> </w:t>
      </w:r>
      <w:r w:rsidR="00ED5F9A">
        <w:rPr>
          <w:sz w:val="20"/>
          <w:szCs w:val="20"/>
        </w:rPr>
        <w:t>(</w:t>
      </w:r>
      <w:r w:rsidR="00A84CAB">
        <w:rPr>
          <w:sz w:val="20"/>
          <w:szCs w:val="20"/>
        </w:rPr>
        <w:t>WCB</w:t>
      </w:r>
      <w:r w:rsidR="00164EA1">
        <w:rPr>
          <w:sz w:val="20"/>
          <w:szCs w:val="20"/>
        </w:rPr>
        <w:t>/OEA</w:t>
      </w:r>
      <w:r w:rsidR="00A84CAB">
        <w:rPr>
          <w:sz w:val="20"/>
          <w:szCs w:val="20"/>
        </w:rPr>
        <w:t xml:space="preserve"> </w:t>
      </w:r>
      <w:r w:rsidR="00ED5F9A">
        <w:rPr>
          <w:sz w:val="20"/>
          <w:szCs w:val="20"/>
        </w:rPr>
        <w:t xml:space="preserve">2022) </w:t>
      </w:r>
      <w:r w:rsidR="007469F4">
        <w:rPr>
          <w:sz w:val="20"/>
          <w:szCs w:val="20"/>
        </w:rPr>
        <w:t xml:space="preserve">(authorizing Nova to receive </w:t>
      </w:r>
      <w:r w:rsidRPr="009238CA" w:rsidR="009238CA">
        <w:rPr>
          <w:sz w:val="20"/>
          <w:szCs w:val="20"/>
        </w:rPr>
        <w:t>$785,400.00</w:t>
      </w:r>
      <w:r w:rsidR="006553A5">
        <w:rPr>
          <w:sz w:val="20"/>
          <w:szCs w:val="20"/>
        </w:rPr>
        <w:t xml:space="preserve"> </w:t>
      </w:r>
      <w:r w:rsidR="00ED3DDA">
        <w:rPr>
          <w:sz w:val="20"/>
          <w:szCs w:val="20"/>
        </w:rPr>
        <w:t>in</w:t>
      </w:r>
      <w:r w:rsidR="00CD3E0E">
        <w:rPr>
          <w:sz w:val="20"/>
          <w:szCs w:val="20"/>
        </w:rPr>
        <w:t xml:space="preserve"> RDOF </w:t>
      </w:r>
      <w:r w:rsidR="002410AD">
        <w:rPr>
          <w:sz w:val="20"/>
          <w:szCs w:val="20"/>
        </w:rPr>
        <w:t>s</w:t>
      </w:r>
      <w:r w:rsidR="00CD3E0E">
        <w:rPr>
          <w:sz w:val="20"/>
          <w:szCs w:val="20"/>
        </w:rPr>
        <w:t xml:space="preserve">upport </w:t>
      </w:r>
      <w:r w:rsidR="006553A5">
        <w:rPr>
          <w:sz w:val="20"/>
          <w:szCs w:val="20"/>
        </w:rPr>
        <w:t xml:space="preserve">to serve </w:t>
      </w:r>
      <w:r w:rsidR="007214B2">
        <w:rPr>
          <w:sz w:val="20"/>
          <w:szCs w:val="20"/>
        </w:rPr>
        <w:t xml:space="preserve">24 </w:t>
      </w:r>
      <w:r w:rsidR="00CD3E0E">
        <w:rPr>
          <w:sz w:val="20"/>
          <w:szCs w:val="20"/>
        </w:rPr>
        <w:t xml:space="preserve">eligible </w:t>
      </w:r>
      <w:r w:rsidR="007214B2">
        <w:rPr>
          <w:sz w:val="20"/>
          <w:szCs w:val="20"/>
        </w:rPr>
        <w:t xml:space="preserve">census blocks. </w:t>
      </w:r>
      <w:r w:rsidR="00D43963">
        <w:rPr>
          <w:sz w:val="20"/>
          <w:szCs w:val="20"/>
        </w:rPr>
        <w:t xml:space="preserve"> </w:t>
      </w:r>
      <w:r w:rsidRPr="002E426F" w:rsidR="00D43963">
        <w:rPr>
          <w:sz w:val="20"/>
          <w:szCs w:val="20"/>
        </w:rPr>
        <w:t xml:space="preserve">Nova also participates in the Lifeline program in Illinois.  </w:t>
      </w:r>
      <w:r w:rsidR="00D43963">
        <w:rPr>
          <w:sz w:val="20"/>
          <w:szCs w:val="20"/>
        </w:rPr>
        <w:t>Application at 3</w:t>
      </w:r>
      <w:r w:rsidRPr="002E426F" w:rsidR="00D43963">
        <w:rPr>
          <w:sz w:val="20"/>
          <w:szCs w:val="20"/>
        </w:rPr>
        <w:t xml:space="preserve">. </w:t>
      </w:r>
      <w:r w:rsidR="00D43963">
        <w:rPr>
          <w:sz w:val="20"/>
          <w:szCs w:val="20"/>
        </w:rPr>
        <w:t xml:space="preserve"> </w:t>
      </w:r>
    </w:p>
  </w:footnote>
  <w:footnote w:id="8">
    <w:p w:rsidR="00177BFA" w:rsidRPr="002E426F" w:rsidP="00580328" w14:paraId="02E56120" w14:textId="0DC16C96">
      <w:pPr>
        <w:pStyle w:val="FootnoteText"/>
        <w:spacing w:after="120"/>
        <w:rPr>
          <w:sz w:val="20"/>
          <w:szCs w:val="20"/>
        </w:rPr>
      </w:pPr>
      <w:r w:rsidRPr="002E426F">
        <w:rPr>
          <w:rStyle w:val="FootnoteReference"/>
          <w:sz w:val="20"/>
          <w:szCs w:val="20"/>
        </w:rPr>
        <w:footnoteRef/>
      </w:r>
      <w:r w:rsidRPr="002E426F">
        <w:rPr>
          <w:sz w:val="20"/>
          <w:szCs w:val="20"/>
        </w:rPr>
        <w:t xml:space="preserve"> </w:t>
      </w:r>
      <w:r w:rsidR="00BA700E">
        <w:rPr>
          <w:sz w:val="20"/>
          <w:szCs w:val="20"/>
        </w:rPr>
        <w:t xml:space="preserve">Nov. </w:t>
      </w:r>
      <w:r w:rsidRPr="002E426F">
        <w:rPr>
          <w:sz w:val="20"/>
          <w:szCs w:val="20"/>
        </w:rPr>
        <w:t>Supplement at 3.</w:t>
      </w:r>
    </w:p>
  </w:footnote>
  <w:footnote w:id="9">
    <w:p w:rsidR="00177BFA" w:rsidRPr="002E426F" w:rsidP="00580328" w14:paraId="34CBB13D"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Application at 9. </w:t>
      </w:r>
    </w:p>
  </w:footnote>
  <w:footnote w:id="10">
    <w:p w:rsidR="00177BFA" w:rsidRPr="002E426F" w:rsidP="00580328" w14:paraId="055B35E0"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at 2.</w:t>
      </w:r>
    </w:p>
  </w:footnote>
  <w:footnote w:id="11">
    <w:p w:rsidR="00177BFA" w:rsidRPr="002E426F" w:rsidP="00BE7777" w14:paraId="172E8C26" w14:textId="57749308">
      <w:pPr>
        <w:pStyle w:val="FootnoteText"/>
        <w:spacing w:after="120"/>
        <w:rPr>
          <w:sz w:val="20"/>
          <w:szCs w:val="20"/>
        </w:rPr>
      </w:pPr>
      <w:r w:rsidRPr="002E426F">
        <w:rPr>
          <w:rStyle w:val="FootnoteReference"/>
          <w:sz w:val="20"/>
          <w:szCs w:val="20"/>
        </w:rPr>
        <w:footnoteRef/>
      </w:r>
      <w:r w:rsidRPr="002E426F">
        <w:rPr>
          <w:sz w:val="20"/>
          <w:szCs w:val="20"/>
        </w:rPr>
        <w:t xml:space="preserve"> In addition to VoIP LLC, the other wholly-owned subsidiaries of Cable One are:  Fidelity Telephone, LLC (Fidelity Telephone ) (incumbent local exchange carrier (LEC)); Fidelity Cablevision, LLC (Fidelity Cablevision) (competitive LEC); CoBridge Communications LLC; CoBridge Broadband, LLC; Hargray Telephone Company, LLC (Hargray Telephone) (incumbent LEC); Bluffton Telephone Company, LLC (Bluffton) (incumbent LEC); Hargray, LLC; Hargray of Alabama, LLC; ComSouth Telecommunications, LLC (ComSouth) (incumbent LEC); and ComSouth Telenet, LLC.  Application at 2; </w:t>
      </w:r>
      <w:r w:rsidR="002637B7">
        <w:rPr>
          <w:sz w:val="20"/>
          <w:szCs w:val="20"/>
        </w:rPr>
        <w:t xml:space="preserve">Nov. </w:t>
      </w:r>
      <w:r w:rsidRPr="002E426F">
        <w:rPr>
          <w:sz w:val="20"/>
          <w:szCs w:val="20"/>
        </w:rPr>
        <w:t xml:space="preserve">Supplement at 1-2.  </w:t>
      </w:r>
      <w:r w:rsidR="001641C9">
        <w:rPr>
          <w:sz w:val="20"/>
          <w:szCs w:val="20"/>
        </w:rPr>
        <w:t xml:space="preserve">All affiliates of </w:t>
      </w:r>
      <w:r w:rsidR="00392A9C">
        <w:rPr>
          <w:sz w:val="20"/>
          <w:szCs w:val="20"/>
        </w:rPr>
        <w:t>Cable</w:t>
      </w:r>
      <w:r w:rsidR="00B618D2">
        <w:rPr>
          <w:sz w:val="20"/>
          <w:szCs w:val="20"/>
        </w:rPr>
        <w:t xml:space="preserve"> </w:t>
      </w:r>
      <w:r w:rsidR="00392A9C">
        <w:rPr>
          <w:sz w:val="20"/>
          <w:szCs w:val="20"/>
        </w:rPr>
        <w:t xml:space="preserve">One </w:t>
      </w:r>
      <w:r w:rsidR="001B5A2C">
        <w:rPr>
          <w:sz w:val="20"/>
          <w:szCs w:val="20"/>
        </w:rPr>
        <w:t xml:space="preserve">that receive high-cost universal service </w:t>
      </w:r>
      <w:r w:rsidR="000D425E">
        <w:rPr>
          <w:sz w:val="20"/>
          <w:szCs w:val="20"/>
        </w:rPr>
        <w:t xml:space="preserve">support </w:t>
      </w:r>
      <w:r w:rsidR="001B5A2C">
        <w:rPr>
          <w:sz w:val="20"/>
          <w:szCs w:val="20"/>
        </w:rPr>
        <w:t xml:space="preserve">receive model-based support.  </w:t>
      </w:r>
      <w:r w:rsidR="00BA700E">
        <w:rPr>
          <w:sz w:val="20"/>
          <w:szCs w:val="20"/>
        </w:rPr>
        <w:t xml:space="preserve">Nov. </w:t>
      </w:r>
      <w:r w:rsidR="001B5A2C">
        <w:rPr>
          <w:sz w:val="20"/>
          <w:szCs w:val="20"/>
        </w:rPr>
        <w:t xml:space="preserve">Supplement at </w:t>
      </w:r>
      <w:r w:rsidR="002C1911">
        <w:rPr>
          <w:sz w:val="20"/>
          <w:szCs w:val="20"/>
        </w:rPr>
        <w:t>1-2.</w:t>
      </w:r>
    </w:p>
  </w:footnote>
  <w:footnote w:id="12">
    <w:p w:rsidR="00177BFA" w:rsidRPr="002E426F" w:rsidP="000D425E" w14:paraId="6FC34300" w14:textId="72D37F02">
      <w:pPr>
        <w:autoSpaceDE w:val="0"/>
        <w:autoSpaceDN w:val="0"/>
        <w:adjustRightInd w:val="0"/>
        <w:spacing w:after="120"/>
        <w:rPr>
          <w:sz w:val="20"/>
          <w:szCs w:val="20"/>
        </w:rPr>
      </w:pPr>
      <w:r w:rsidRPr="002E426F">
        <w:rPr>
          <w:rStyle w:val="FootnoteReference"/>
          <w:sz w:val="20"/>
          <w:szCs w:val="20"/>
        </w:rPr>
        <w:footnoteRef/>
      </w:r>
      <w:r w:rsidRPr="002E426F">
        <w:rPr>
          <w:sz w:val="20"/>
          <w:szCs w:val="20"/>
        </w:rPr>
        <w:t xml:space="preserve"> Application at 2.  These states are: Alabama, Arizona, Arkansas, Georgia, Idaho, Illinois, Indiana, Iowa, Kansas, Louisiana, Minnesota, Mississippi, Missouri, Nebraska, New Mexico, North Dakota, Oklahoma, Oregon, South Carolina, South Dakota, Tennessee, Texas, and Washington.  </w:t>
      </w:r>
      <w:r w:rsidRPr="002E426F">
        <w:rPr>
          <w:i/>
          <w:iCs/>
          <w:sz w:val="20"/>
          <w:szCs w:val="20"/>
        </w:rPr>
        <w:t>Id</w:t>
      </w:r>
      <w:r w:rsidRPr="002E426F">
        <w:rPr>
          <w:sz w:val="20"/>
          <w:szCs w:val="20"/>
        </w:rPr>
        <w:t>.</w:t>
      </w:r>
    </w:p>
  </w:footnote>
  <w:footnote w:id="13">
    <w:p w:rsidR="00177BFA" w:rsidRPr="002E426F" w:rsidP="00BE7777" w14:paraId="30EE55DB" w14:textId="4DFE4D9D">
      <w:pPr>
        <w:pStyle w:val="FootnoteText"/>
        <w:spacing w:after="120"/>
        <w:rPr>
          <w:sz w:val="20"/>
          <w:szCs w:val="20"/>
        </w:rPr>
      </w:pPr>
      <w:r w:rsidRPr="002E426F">
        <w:rPr>
          <w:rStyle w:val="FootnoteReference"/>
          <w:sz w:val="20"/>
          <w:szCs w:val="20"/>
        </w:rPr>
        <w:footnoteRef/>
      </w:r>
      <w:r w:rsidRPr="002E426F">
        <w:rPr>
          <w:sz w:val="20"/>
          <w:szCs w:val="20"/>
        </w:rPr>
        <w:t xml:space="preserve"> </w:t>
      </w:r>
      <w:r w:rsidR="002637B7">
        <w:rPr>
          <w:sz w:val="20"/>
          <w:szCs w:val="20"/>
        </w:rPr>
        <w:t xml:space="preserve">Nov. </w:t>
      </w:r>
      <w:r w:rsidRPr="002E426F">
        <w:rPr>
          <w:sz w:val="20"/>
          <w:szCs w:val="20"/>
        </w:rPr>
        <w:t xml:space="preserve">Supplement at 1.  Fidelity Cablevision also participates in the Lifeline program in Missouri and Oklahoma.  </w:t>
      </w:r>
      <w:r w:rsidRPr="002E426F">
        <w:rPr>
          <w:i/>
          <w:iCs/>
          <w:sz w:val="20"/>
          <w:szCs w:val="20"/>
        </w:rPr>
        <w:t>Id</w:t>
      </w:r>
      <w:r w:rsidR="001B5A2C">
        <w:rPr>
          <w:sz w:val="20"/>
          <w:szCs w:val="20"/>
        </w:rPr>
        <w:t>.</w:t>
      </w:r>
    </w:p>
  </w:footnote>
  <w:footnote w:id="14">
    <w:p w:rsidR="00177BFA" w:rsidRPr="002E426F" w:rsidP="00BE7777" w14:paraId="426079F7" w14:textId="2B783531">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at 2.  </w:t>
      </w:r>
    </w:p>
  </w:footnote>
  <w:footnote w:id="15">
    <w:p w:rsidR="00177BFA" w:rsidRPr="002E426F" w:rsidP="00BE7777" w14:paraId="0A33D68B" w14:textId="4C671139">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w:t>
      </w:r>
      <w:r w:rsidRPr="002E426F" w:rsidR="007B03CB">
        <w:rPr>
          <w:sz w:val="20"/>
          <w:szCs w:val="20"/>
        </w:rPr>
        <w:t xml:space="preserve">Fidelity Telephone and ComSouth also participate in the Lifeline program in the states in which they receive </w:t>
      </w:r>
      <w:r w:rsidRPr="002E426F" w:rsidR="00062817">
        <w:rPr>
          <w:sz w:val="20"/>
          <w:szCs w:val="20"/>
        </w:rPr>
        <w:t>high-cost universal service</w:t>
      </w:r>
      <w:r w:rsidRPr="002E426F" w:rsidR="007B03CB">
        <w:rPr>
          <w:sz w:val="20"/>
          <w:szCs w:val="20"/>
        </w:rPr>
        <w:t xml:space="preserve"> support.  </w:t>
      </w:r>
      <w:r w:rsidRPr="002E426F" w:rsidR="007B03CB">
        <w:rPr>
          <w:i/>
          <w:iCs/>
          <w:sz w:val="20"/>
          <w:szCs w:val="20"/>
        </w:rPr>
        <w:t>Id</w:t>
      </w:r>
      <w:r w:rsidRPr="002E426F" w:rsidR="007B03CB">
        <w:rPr>
          <w:sz w:val="20"/>
          <w:szCs w:val="20"/>
        </w:rPr>
        <w:t>.</w:t>
      </w:r>
    </w:p>
  </w:footnote>
  <w:footnote w:id="16">
    <w:p w:rsidR="007B03CB" w:rsidRPr="002E426F" w:rsidP="00BE7777" w14:paraId="3E28478C"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Bluffton and Hargray Telephone also participate in the Lifeline program in the South Carolina.</w:t>
      </w:r>
    </w:p>
  </w:footnote>
  <w:footnote w:id="17">
    <w:p w:rsidR="00177BFA" w:rsidRPr="002E426F" w:rsidP="00580328" w14:paraId="1AD50334"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Application at 2.</w:t>
      </w:r>
    </w:p>
  </w:footnote>
  <w:footnote w:id="18">
    <w:p w:rsidR="00177BFA" w:rsidRPr="002E426F" w:rsidP="00580328" w14:paraId="78E8A373"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w:t>
      </w:r>
    </w:p>
  </w:footnote>
  <w:footnote w:id="19">
    <w:p w:rsidR="00177BFA" w:rsidRPr="002E426F" w:rsidP="00580328" w14:paraId="0FD37083" w14:textId="77777777">
      <w:pPr>
        <w:autoSpaceDE w:val="0"/>
        <w:autoSpaceDN w:val="0"/>
        <w:adjustRightInd w:val="0"/>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VoIP LLC also participates in the Lifeline program in Idaho and Louisiana.  </w:t>
      </w:r>
      <w:r w:rsidRPr="002E426F">
        <w:rPr>
          <w:i/>
          <w:iCs/>
          <w:sz w:val="20"/>
          <w:szCs w:val="20"/>
        </w:rPr>
        <w:t>Id</w:t>
      </w:r>
      <w:r w:rsidRPr="002E426F">
        <w:rPr>
          <w:sz w:val="20"/>
          <w:szCs w:val="20"/>
        </w:rPr>
        <w:t>.</w:t>
      </w:r>
    </w:p>
  </w:footnote>
  <w:footnote w:id="20">
    <w:p w:rsidR="00177BFA" w:rsidRPr="002E426F" w:rsidP="00580328" w14:paraId="3D8FFD46" w14:textId="77777777">
      <w:pPr>
        <w:tabs>
          <w:tab w:val="left" w:pos="1285"/>
        </w:tabs>
        <w:autoSpaceDE w:val="0"/>
        <w:autoSpaceDN w:val="0"/>
        <w:adjustRightInd w:val="0"/>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at 2-3. </w:t>
      </w:r>
    </w:p>
  </w:footnote>
  <w:footnote w:id="21">
    <w:p w:rsidR="00177BFA" w:rsidRPr="002E426F" w:rsidP="00580328" w14:paraId="57F43C4C" w14:textId="77777777">
      <w:pPr>
        <w:autoSpaceDE w:val="0"/>
        <w:autoSpaceDN w:val="0"/>
        <w:adjustRightInd w:val="0"/>
        <w:spacing w:after="120"/>
        <w:rPr>
          <w:i/>
          <w:iCs/>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r w:rsidRPr="002E426F">
        <w:rPr>
          <w:sz w:val="20"/>
          <w:szCs w:val="20"/>
        </w:rPr>
        <w:t xml:space="preserve">at 11.  The states in which MBI operates are: Alabama; Arkansas; California; Colorado; Georgia; Idaho; Kansas; Louisiana; Nebraska; North Carolina; Oklahoma; South Carolina; Tennessee; Texas; Washington; and Wyoming.  </w:t>
      </w:r>
      <w:r w:rsidRPr="002E426F">
        <w:rPr>
          <w:i/>
          <w:iCs/>
          <w:sz w:val="20"/>
          <w:szCs w:val="20"/>
        </w:rPr>
        <w:t xml:space="preserve">Id.  </w:t>
      </w:r>
    </w:p>
  </w:footnote>
  <w:footnote w:id="22">
    <w:p w:rsidR="00177BFA" w:rsidRPr="002E426F" w:rsidP="00580328" w14:paraId="4FBA0F98"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at 10-11.</w:t>
      </w:r>
    </w:p>
  </w:footnote>
  <w:footnote w:id="23">
    <w:p w:rsidR="00177BFA" w:rsidRPr="002E426F" w:rsidP="00BE7777" w14:paraId="2FF507D9"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r w:rsidRPr="002E426F">
        <w:rPr>
          <w:sz w:val="20"/>
          <w:szCs w:val="20"/>
        </w:rPr>
        <w:t xml:space="preserve">at 10. </w:t>
      </w:r>
    </w:p>
  </w:footnote>
  <w:footnote w:id="24">
    <w:p w:rsidR="00177BFA" w:rsidRPr="002E426F" w:rsidP="00BE7777" w14:paraId="663ACA33" w14:textId="0751CA26">
      <w:pPr>
        <w:pStyle w:val="FootnoteText"/>
        <w:spacing w:after="120"/>
        <w:rPr>
          <w:sz w:val="20"/>
          <w:szCs w:val="20"/>
        </w:rPr>
      </w:pPr>
      <w:r w:rsidRPr="002E426F">
        <w:rPr>
          <w:rStyle w:val="FootnoteReference"/>
          <w:sz w:val="20"/>
          <w:szCs w:val="20"/>
        </w:rPr>
        <w:footnoteRef/>
      </w:r>
      <w:r w:rsidRPr="002E426F">
        <w:rPr>
          <w:sz w:val="20"/>
          <w:szCs w:val="20"/>
        </w:rPr>
        <w:t xml:space="preserve"> </w:t>
      </w:r>
      <w:r w:rsidR="002637B7">
        <w:rPr>
          <w:sz w:val="20"/>
          <w:szCs w:val="20"/>
        </w:rPr>
        <w:t xml:space="preserve">Nov. </w:t>
      </w:r>
      <w:r w:rsidRPr="002E426F">
        <w:rPr>
          <w:sz w:val="20"/>
          <w:szCs w:val="20"/>
        </w:rPr>
        <w:t xml:space="preserve">Supplement at 2.  Delta also participates in the Lifeline program in Illinois.  </w:t>
      </w:r>
      <w:r w:rsidRPr="002E426F">
        <w:rPr>
          <w:i/>
          <w:iCs/>
          <w:sz w:val="20"/>
          <w:szCs w:val="20"/>
        </w:rPr>
        <w:t>Id</w:t>
      </w:r>
      <w:r w:rsidRPr="002E426F">
        <w:rPr>
          <w:sz w:val="20"/>
          <w:szCs w:val="20"/>
        </w:rPr>
        <w:t xml:space="preserve">.  </w:t>
      </w:r>
    </w:p>
  </w:footnote>
  <w:footnote w:id="25">
    <w:p w:rsidR="00177BFA" w:rsidRPr="002E426F" w:rsidP="00BE7777" w14:paraId="786BF378"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Application at 10.  </w:t>
      </w:r>
    </w:p>
  </w:footnote>
  <w:footnote w:id="26">
    <w:p w:rsidR="00177BFA" w:rsidRPr="002E426F" w:rsidP="00BE7777" w14:paraId="606846D7"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w:t>
      </w:r>
    </w:p>
  </w:footnote>
  <w:footnote w:id="27">
    <w:p w:rsidR="00177BFA" w:rsidRPr="002E426F" w:rsidP="00BE7777" w14:paraId="1B7296E0" w14:textId="77777777">
      <w:pPr>
        <w:pStyle w:val="FootnoteText"/>
        <w:spacing w:after="120"/>
        <w:rPr>
          <w:i/>
          <w:iCs/>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p>
  </w:footnote>
  <w:footnote w:id="28">
    <w:p w:rsidR="00177BFA" w:rsidRPr="002E426F" w:rsidP="00580328" w14:paraId="1612D104"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w:t>
      </w:r>
    </w:p>
  </w:footnote>
  <w:footnote w:id="29">
    <w:p w:rsidR="00177BFA" w:rsidRPr="002E426F" w:rsidP="00BE7777" w14:paraId="6AE93E6C"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at 11.</w:t>
      </w:r>
    </w:p>
  </w:footnote>
  <w:footnote w:id="30">
    <w:p w:rsidR="005815B8" w:rsidRPr="002E426F" w:rsidP="00580328" w14:paraId="551D676F"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Application at 3.</w:t>
      </w:r>
    </w:p>
  </w:footnote>
  <w:footnote w:id="31">
    <w:p w:rsidR="009E1F25" w:rsidRPr="002E426F" w:rsidP="009E1F25" w14:paraId="72F58A09" w14:textId="7694D1D2">
      <w:pPr>
        <w:pStyle w:val="FootnoteText"/>
        <w:spacing w:after="120"/>
        <w:rPr>
          <w:sz w:val="20"/>
          <w:szCs w:val="20"/>
        </w:rPr>
      </w:pPr>
      <w:r w:rsidRPr="002E426F">
        <w:rPr>
          <w:rStyle w:val="FootnoteReference"/>
          <w:sz w:val="20"/>
          <w:szCs w:val="20"/>
        </w:rPr>
        <w:footnoteRef/>
      </w:r>
      <w:r w:rsidRPr="002E426F">
        <w:rPr>
          <w:sz w:val="20"/>
          <w:szCs w:val="20"/>
        </w:rPr>
        <w:t xml:space="preserve"> </w:t>
      </w:r>
      <w:r>
        <w:rPr>
          <w:sz w:val="20"/>
          <w:szCs w:val="20"/>
        </w:rPr>
        <w:t xml:space="preserve">Application at 3.  </w:t>
      </w:r>
      <w:r w:rsidRPr="00907B0E">
        <w:rPr>
          <w:sz w:val="20"/>
          <w:szCs w:val="20"/>
        </w:rPr>
        <w:t xml:space="preserve">Applicants explain that upon consummation of the proposed transaction, Nova will relinquish its ETC designation and will no longer receive any RDOF support.  </w:t>
      </w:r>
      <w:r w:rsidRPr="00907B0E">
        <w:rPr>
          <w:i/>
          <w:iCs/>
          <w:sz w:val="20"/>
          <w:szCs w:val="20"/>
        </w:rPr>
        <w:t>Id</w:t>
      </w:r>
      <w:r w:rsidRPr="00907B0E">
        <w:rPr>
          <w:sz w:val="20"/>
          <w:szCs w:val="20"/>
        </w:rPr>
        <w:t xml:space="preserve">. </w:t>
      </w:r>
      <w:r>
        <w:rPr>
          <w:sz w:val="20"/>
          <w:szCs w:val="20"/>
        </w:rPr>
        <w:t>at 4.</w:t>
      </w:r>
      <w:r w:rsidRPr="00907B0E">
        <w:rPr>
          <w:sz w:val="20"/>
          <w:szCs w:val="20"/>
        </w:rPr>
        <w:t xml:space="preserve"> </w:t>
      </w:r>
    </w:p>
  </w:footnote>
  <w:footnote w:id="32">
    <w:p w:rsidR="005815B8" w:rsidRPr="002E426F" w:rsidP="00580328" w14:paraId="6415F58C" w14:textId="20979168">
      <w:pPr>
        <w:pStyle w:val="FootnoteText"/>
        <w:spacing w:after="120"/>
        <w:rPr>
          <w:sz w:val="20"/>
          <w:szCs w:val="20"/>
        </w:rPr>
      </w:pPr>
      <w:r w:rsidRPr="002E426F">
        <w:rPr>
          <w:rStyle w:val="FootnoteReference"/>
          <w:sz w:val="20"/>
          <w:szCs w:val="20"/>
        </w:rPr>
        <w:footnoteRef/>
      </w:r>
      <w:r w:rsidRPr="002E426F">
        <w:rPr>
          <w:sz w:val="20"/>
          <w:szCs w:val="20"/>
        </w:rPr>
        <w:t xml:space="preserve"> </w:t>
      </w:r>
      <w:r w:rsidR="00EB0FE7">
        <w:rPr>
          <w:sz w:val="20"/>
          <w:szCs w:val="20"/>
        </w:rPr>
        <w:t>Apr</w:t>
      </w:r>
      <w:r w:rsidR="00F14BBF">
        <w:rPr>
          <w:sz w:val="20"/>
          <w:szCs w:val="20"/>
        </w:rPr>
        <w:t>.</w:t>
      </w:r>
      <w:r w:rsidR="00B2630C">
        <w:rPr>
          <w:sz w:val="20"/>
          <w:szCs w:val="20"/>
        </w:rPr>
        <w:t xml:space="preserve"> </w:t>
      </w:r>
      <w:r w:rsidR="00EB0FE7">
        <w:rPr>
          <w:sz w:val="20"/>
          <w:szCs w:val="20"/>
        </w:rPr>
        <w:t xml:space="preserve">Supplement at 1. </w:t>
      </w:r>
    </w:p>
  </w:footnote>
  <w:footnote w:id="33">
    <w:p w:rsidR="005815B8" w:rsidRPr="00325D36" w:rsidP="00580328" w14:paraId="600DB65A" w14:textId="3F0914F8">
      <w:pPr>
        <w:pStyle w:val="FootnoteText"/>
        <w:spacing w:after="120"/>
        <w:rPr>
          <w:sz w:val="20"/>
          <w:szCs w:val="20"/>
        </w:rPr>
      </w:pPr>
      <w:r w:rsidRPr="002E426F">
        <w:rPr>
          <w:rStyle w:val="FootnoteReference"/>
          <w:sz w:val="20"/>
          <w:szCs w:val="20"/>
        </w:rPr>
        <w:footnoteRef/>
      </w:r>
      <w:r w:rsidRPr="002E426F">
        <w:rPr>
          <w:sz w:val="20"/>
          <w:szCs w:val="20"/>
        </w:rPr>
        <w:t xml:space="preserve"> </w:t>
      </w:r>
      <w:r w:rsidR="00E902E1">
        <w:rPr>
          <w:sz w:val="20"/>
          <w:szCs w:val="20"/>
        </w:rPr>
        <w:t>Application</w:t>
      </w:r>
      <w:r w:rsidR="00671ADF">
        <w:rPr>
          <w:sz w:val="20"/>
          <w:szCs w:val="20"/>
        </w:rPr>
        <w:t xml:space="preserve"> at 4</w:t>
      </w:r>
      <w:r w:rsidR="00F337D8">
        <w:rPr>
          <w:sz w:val="20"/>
          <w:szCs w:val="20"/>
        </w:rPr>
        <w:t xml:space="preserve">; </w:t>
      </w:r>
      <w:r w:rsidR="00F337D8">
        <w:rPr>
          <w:i/>
          <w:iCs/>
          <w:sz w:val="20"/>
          <w:szCs w:val="20"/>
        </w:rPr>
        <w:t>s</w:t>
      </w:r>
      <w:r w:rsidR="0051352A">
        <w:rPr>
          <w:i/>
          <w:iCs/>
          <w:sz w:val="20"/>
          <w:szCs w:val="20"/>
        </w:rPr>
        <w:t xml:space="preserve">ee </w:t>
      </w:r>
      <w:r w:rsidR="00F337D8">
        <w:rPr>
          <w:i/>
          <w:iCs/>
          <w:sz w:val="20"/>
          <w:szCs w:val="20"/>
        </w:rPr>
        <w:t xml:space="preserve">also </w:t>
      </w:r>
      <w:r w:rsidRPr="002275A4" w:rsidR="0051352A">
        <w:rPr>
          <w:i/>
          <w:iCs/>
          <w:sz w:val="20"/>
          <w:szCs w:val="20"/>
        </w:rPr>
        <w:t>Rural Digital Opportunity Fund Support Authorized for 513 Winning Bids; Bid Defaults Announced</w:t>
      </w:r>
      <w:r w:rsidRPr="00550841" w:rsidR="0051352A">
        <w:rPr>
          <w:sz w:val="20"/>
          <w:szCs w:val="20"/>
        </w:rPr>
        <w:t xml:space="preserve">, </w:t>
      </w:r>
      <w:r w:rsidR="00892C9F">
        <w:rPr>
          <w:sz w:val="20"/>
          <w:szCs w:val="20"/>
        </w:rPr>
        <w:t>WC Docket</w:t>
      </w:r>
      <w:r w:rsidR="003F73FD">
        <w:rPr>
          <w:sz w:val="20"/>
          <w:szCs w:val="20"/>
        </w:rPr>
        <w:t xml:space="preserve"> No</w:t>
      </w:r>
      <w:r w:rsidR="00907B0E">
        <w:rPr>
          <w:sz w:val="20"/>
          <w:szCs w:val="20"/>
        </w:rPr>
        <w:t>. 19-126</w:t>
      </w:r>
      <w:r w:rsidR="003F73FD">
        <w:rPr>
          <w:sz w:val="20"/>
          <w:szCs w:val="20"/>
        </w:rPr>
        <w:t xml:space="preserve"> et al., </w:t>
      </w:r>
      <w:r w:rsidR="00217F4F">
        <w:rPr>
          <w:sz w:val="20"/>
          <w:szCs w:val="20"/>
        </w:rPr>
        <w:t xml:space="preserve">Public Notice, </w:t>
      </w:r>
      <w:r w:rsidRPr="00550841" w:rsidR="0051352A">
        <w:rPr>
          <w:sz w:val="20"/>
          <w:szCs w:val="20"/>
        </w:rPr>
        <w:t>37 FCC Rcd 7271</w:t>
      </w:r>
      <w:r w:rsidR="0051352A">
        <w:rPr>
          <w:sz w:val="20"/>
          <w:szCs w:val="20"/>
        </w:rPr>
        <w:t>, Attach</w:t>
      </w:r>
      <w:r w:rsidR="005452B7">
        <w:rPr>
          <w:sz w:val="20"/>
          <w:szCs w:val="20"/>
        </w:rPr>
        <w:t>.</w:t>
      </w:r>
      <w:r w:rsidR="0051352A">
        <w:rPr>
          <w:sz w:val="20"/>
          <w:szCs w:val="20"/>
        </w:rPr>
        <w:t xml:space="preserve"> at 6-7 (WCB/OEA 2022) (authorizing VoIP LLC to receive </w:t>
      </w:r>
      <w:r w:rsidRPr="002275A4" w:rsidR="0051352A">
        <w:rPr>
          <w:sz w:val="20"/>
          <w:szCs w:val="20"/>
        </w:rPr>
        <w:t>$3,225,68</w:t>
      </w:r>
      <w:r w:rsidR="0051352A">
        <w:rPr>
          <w:sz w:val="20"/>
          <w:szCs w:val="20"/>
        </w:rPr>
        <w:t xml:space="preserve">4 in RDOF support to serve 270 </w:t>
      </w:r>
      <w:r w:rsidR="004B52E5">
        <w:rPr>
          <w:sz w:val="20"/>
          <w:szCs w:val="20"/>
        </w:rPr>
        <w:t>census</w:t>
      </w:r>
      <w:r w:rsidR="0051352A">
        <w:rPr>
          <w:sz w:val="20"/>
          <w:szCs w:val="20"/>
        </w:rPr>
        <w:t xml:space="preserve"> blocks in Idaho and </w:t>
      </w:r>
      <w:r w:rsidRPr="002275A4" w:rsidR="0051352A">
        <w:rPr>
          <w:sz w:val="20"/>
          <w:szCs w:val="20"/>
        </w:rPr>
        <w:t>$3,615</w:t>
      </w:r>
      <w:r w:rsidR="0051352A">
        <w:rPr>
          <w:sz w:val="20"/>
          <w:szCs w:val="20"/>
        </w:rPr>
        <w:t xml:space="preserve"> in RDOF support </w:t>
      </w:r>
      <w:r w:rsidR="00741172">
        <w:rPr>
          <w:sz w:val="20"/>
          <w:szCs w:val="20"/>
        </w:rPr>
        <w:t>t</w:t>
      </w:r>
      <w:r w:rsidR="0051352A">
        <w:rPr>
          <w:sz w:val="20"/>
          <w:szCs w:val="20"/>
        </w:rPr>
        <w:t>o serve 4 eligible census blocks in Louisiana).</w:t>
      </w:r>
      <w:r w:rsidR="003A0662">
        <w:rPr>
          <w:sz w:val="20"/>
          <w:szCs w:val="20"/>
        </w:rPr>
        <w:t xml:space="preserve"> </w:t>
      </w:r>
    </w:p>
  </w:footnote>
  <w:footnote w:id="34">
    <w:p w:rsidR="00511058" w:rsidRPr="00325D36" w:rsidP="00511058" w14:paraId="1111BCC1" w14:textId="0D1BB85E">
      <w:pPr>
        <w:pStyle w:val="FootnoteText"/>
        <w:spacing w:after="120"/>
        <w:rPr>
          <w:sz w:val="20"/>
          <w:szCs w:val="20"/>
        </w:rPr>
      </w:pPr>
      <w:r w:rsidRPr="002E426F">
        <w:rPr>
          <w:rStyle w:val="FootnoteReference"/>
          <w:sz w:val="20"/>
          <w:szCs w:val="20"/>
        </w:rPr>
        <w:footnoteRef/>
      </w:r>
      <w:r w:rsidRPr="002E426F">
        <w:rPr>
          <w:sz w:val="20"/>
          <w:szCs w:val="20"/>
        </w:rPr>
        <w:t xml:space="preserve"> </w:t>
      </w:r>
      <w:r w:rsidR="00927A34">
        <w:rPr>
          <w:sz w:val="20"/>
          <w:szCs w:val="20"/>
        </w:rPr>
        <w:t xml:space="preserve">Application at </w:t>
      </w:r>
      <w:r w:rsidR="001B05DD">
        <w:rPr>
          <w:sz w:val="20"/>
          <w:szCs w:val="20"/>
        </w:rPr>
        <w:t>4</w:t>
      </w:r>
      <w:r w:rsidR="00927A34">
        <w:rPr>
          <w:sz w:val="20"/>
          <w:szCs w:val="20"/>
        </w:rPr>
        <w:t>.</w:t>
      </w:r>
    </w:p>
  </w:footnote>
  <w:footnote w:id="35">
    <w:p w:rsidR="005815B8" w:rsidRPr="002E426F" w:rsidP="00580328" w14:paraId="091974D6"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r w:rsidRPr="002E426F">
        <w:rPr>
          <w:sz w:val="20"/>
          <w:szCs w:val="20"/>
        </w:rPr>
        <w:t xml:space="preserve"> </w:t>
      </w:r>
    </w:p>
  </w:footnote>
  <w:footnote w:id="36">
    <w:p w:rsidR="005815B8" w:rsidRPr="002E426F" w:rsidP="00580328" w14:paraId="30A3FCED"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p>
  </w:footnote>
  <w:footnote w:id="37">
    <w:p w:rsidR="00314F53" w:rsidRPr="002E426F" w:rsidP="00BE7777" w14:paraId="60790D51"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sz w:val="20"/>
          <w:szCs w:val="20"/>
        </w:rPr>
        <w:t>See, e.g.</w:t>
      </w:r>
      <w:r w:rsidRPr="002E426F">
        <w:rPr>
          <w:sz w:val="20"/>
          <w:szCs w:val="20"/>
        </w:rPr>
        <w:t xml:space="preserve">, </w:t>
      </w:r>
      <w:r w:rsidRPr="002E426F">
        <w:rPr>
          <w:i/>
          <w:iCs/>
          <w:sz w:val="20"/>
          <w:szCs w:val="20"/>
        </w:rPr>
        <w:t xml:space="preserve">Application of Verizon Communications Inc. and América </w:t>
      </w:r>
      <w:r w:rsidRPr="002E426F">
        <w:rPr>
          <w:i/>
          <w:iCs/>
          <w:sz w:val="20"/>
          <w:szCs w:val="20"/>
        </w:rPr>
        <w:t>Móvil</w:t>
      </w:r>
      <w:r w:rsidRPr="002E426F">
        <w:rPr>
          <w:i/>
          <w:iCs/>
          <w:sz w:val="20"/>
          <w:szCs w:val="20"/>
        </w:rPr>
        <w:t xml:space="preserve"> S.A.B. de C.V for Consent to Transfer Control of International Section 214 Authorization</w:t>
      </w:r>
      <w:r w:rsidRPr="002E426F">
        <w:rPr>
          <w:sz w:val="20"/>
          <w:szCs w:val="20"/>
        </w:rPr>
        <w:t xml:space="preserve">, GN Docket No. 21-112, IBFS File No. ITC-T/C-20200930-00173, Memorandum Opinion and Order, </w:t>
      </w:r>
      <w:r w:rsidRPr="002E426F">
        <w:rPr>
          <w:color w:val="212529"/>
          <w:sz w:val="20"/>
          <w:szCs w:val="20"/>
          <w:shd w:val="clear" w:color="auto" w:fill="FFFFFF"/>
        </w:rPr>
        <w:t>36 FCC Rcd 16994</w:t>
      </w:r>
      <w:r w:rsidRPr="002E426F">
        <w:rPr>
          <w:sz w:val="20"/>
          <w:szCs w:val="20"/>
        </w:rPr>
        <w:t>, 17001, para. 21 (2021) (</w:t>
      </w:r>
      <w:r w:rsidRPr="002E426F">
        <w:rPr>
          <w:i/>
          <w:iCs/>
          <w:sz w:val="20"/>
          <w:szCs w:val="20"/>
        </w:rPr>
        <w:t>Verizon-TracFone Order</w:t>
      </w:r>
      <w:r w:rsidRPr="002E426F">
        <w:rPr>
          <w:sz w:val="20"/>
          <w:szCs w:val="20"/>
        </w:rPr>
        <w:t xml:space="preserve">) (citing </w:t>
      </w:r>
      <w:r w:rsidRPr="002E426F">
        <w:rPr>
          <w:i/>
          <w:sz w:val="20"/>
          <w:szCs w:val="20"/>
        </w:rPr>
        <w:t>China Mobile International (USA) Inc., Application for Global Facilities-Based and Global Resale International Telecommunications Authority Pursuant to Section 214 of the Communications Act of 1934, as Amended</w:t>
      </w:r>
      <w:r w:rsidRPr="002E426F">
        <w:rPr>
          <w:sz w:val="20"/>
          <w:szCs w:val="20"/>
        </w:rPr>
        <w:t xml:space="preserve">, ITC-214-20110901-00289, Memorandum Opinion and Order, 34 FCC Rcd 3361, 3366, para. 9 (2019); </w:t>
      </w:r>
      <w:r w:rsidRPr="002E426F">
        <w:rPr>
          <w:i/>
          <w:sz w:val="20"/>
          <w:szCs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2E426F">
        <w:rPr>
          <w:sz w:val="20"/>
          <w:szCs w:val="20"/>
        </w:rPr>
        <w:t>., MB Docket No. 05-192, Memorandum Opinion and Order, 21 FCC Rcd 8203, 8219-21, paras. 27-28 (2006) (</w:t>
      </w:r>
      <w:r w:rsidRPr="002E426F">
        <w:rPr>
          <w:i/>
          <w:iCs/>
          <w:sz w:val="20"/>
          <w:szCs w:val="20"/>
        </w:rPr>
        <w:t>Adelphia-TWC Order</w:t>
      </w:r>
      <w:r w:rsidRPr="002E426F">
        <w:rPr>
          <w:sz w:val="20"/>
          <w:szCs w:val="20"/>
        </w:rPr>
        <w:t>)).</w:t>
      </w:r>
    </w:p>
  </w:footnote>
  <w:footnote w:id="38">
    <w:p w:rsidR="00314F53" w:rsidRPr="002E426F" w:rsidP="00BE7777" w14:paraId="1F00D73C"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sz w:val="20"/>
          <w:szCs w:val="20"/>
        </w:rPr>
        <w:t>See Verizon-TracFone Order</w:t>
      </w:r>
      <w:r w:rsidRPr="002E426F">
        <w:rPr>
          <w:iCs/>
          <w:sz w:val="20"/>
          <w:szCs w:val="20"/>
        </w:rPr>
        <w:t xml:space="preserve">, 36 FCC Rcd at 17001, para. 21 (citing </w:t>
      </w:r>
      <w:r w:rsidRPr="002E426F">
        <w:rPr>
          <w:i/>
          <w:sz w:val="20"/>
          <w:szCs w:val="20"/>
        </w:rPr>
        <w:t xml:space="preserve">Applications of </w:t>
      </w:r>
      <w:r w:rsidRPr="002E426F">
        <w:rPr>
          <w:i/>
          <w:iCs/>
          <w:sz w:val="20"/>
          <w:szCs w:val="20"/>
        </w:rPr>
        <w:t>AT&amp;T</w:t>
      </w:r>
      <w:r w:rsidRPr="002E426F">
        <w:rPr>
          <w:i/>
          <w:sz w:val="20"/>
          <w:szCs w:val="20"/>
        </w:rPr>
        <w:t xml:space="preserve"> Inc. and </w:t>
      </w:r>
      <w:r w:rsidRPr="002E426F">
        <w:rPr>
          <w:i/>
          <w:iCs/>
          <w:sz w:val="20"/>
          <w:szCs w:val="20"/>
        </w:rPr>
        <w:t xml:space="preserve">DIRECTV </w:t>
      </w:r>
      <w:r w:rsidRPr="002E426F">
        <w:rPr>
          <w:i/>
          <w:sz w:val="20"/>
          <w:szCs w:val="20"/>
        </w:rPr>
        <w:t>for Consent to Assign or Transfer Control of Licenses and Authorizations</w:t>
      </w:r>
      <w:r w:rsidRPr="002E426F">
        <w:rPr>
          <w:sz w:val="20"/>
          <w:szCs w:val="20"/>
        </w:rPr>
        <w:t xml:space="preserve">, MB Docket No. 14-90, Memorandum Opinion and Order, 30 </w:t>
      </w:r>
      <w:r w:rsidRPr="002E426F">
        <w:rPr>
          <w:iCs/>
          <w:sz w:val="20"/>
          <w:szCs w:val="20"/>
        </w:rPr>
        <w:t xml:space="preserve">FCC Rcd </w:t>
      </w:r>
      <w:r w:rsidRPr="002E426F">
        <w:rPr>
          <w:sz w:val="20"/>
          <w:szCs w:val="20"/>
        </w:rPr>
        <w:t>9131,</w:t>
      </w:r>
      <w:r w:rsidRPr="002E426F">
        <w:rPr>
          <w:iCs/>
          <w:sz w:val="20"/>
          <w:szCs w:val="20"/>
        </w:rPr>
        <w:t xml:space="preserve"> 9140, para. 18</w:t>
      </w:r>
      <w:r w:rsidRPr="002E426F">
        <w:rPr>
          <w:sz w:val="20"/>
          <w:szCs w:val="20"/>
        </w:rPr>
        <w:t xml:space="preserve"> (2015) (</w:t>
      </w:r>
      <w:r w:rsidRPr="002E426F">
        <w:rPr>
          <w:i/>
          <w:iCs/>
          <w:sz w:val="20"/>
          <w:szCs w:val="20"/>
        </w:rPr>
        <w:t>AT&amp;T-DIRECTV Order</w:t>
      </w:r>
      <w:r w:rsidRPr="002E426F">
        <w:rPr>
          <w:iCs/>
          <w:sz w:val="20"/>
          <w:szCs w:val="20"/>
        </w:rPr>
        <w:t>)) (further citations omitted).</w:t>
      </w:r>
    </w:p>
  </w:footnote>
  <w:footnote w:id="39">
    <w:p w:rsidR="00314F53" w:rsidRPr="002E426F" w:rsidP="00BE7777" w14:paraId="7E4DE778"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sz w:val="20"/>
          <w:szCs w:val="20"/>
        </w:rPr>
        <w:t>See Verizon-TracFone Order</w:t>
      </w:r>
      <w:r w:rsidRPr="002E426F">
        <w:rPr>
          <w:iCs/>
          <w:sz w:val="20"/>
          <w:szCs w:val="20"/>
        </w:rPr>
        <w:t>, 36 FCC Rcd at 17001, para. 21 (citing</w:t>
      </w:r>
      <w:r w:rsidRPr="002E426F">
        <w:rPr>
          <w:sz w:val="20"/>
          <w:szCs w:val="20"/>
        </w:rPr>
        <w:t xml:space="preserve"> </w:t>
      </w:r>
      <w:r w:rsidRPr="002E426F">
        <w:rPr>
          <w:i/>
          <w:iCs/>
          <w:sz w:val="20"/>
          <w:szCs w:val="20"/>
        </w:rPr>
        <w:t>AT&amp;T-DIRECTV Order</w:t>
      </w:r>
      <w:r w:rsidRPr="002E426F">
        <w:rPr>
          <w:iCs/>
          <w:sz w:val="20"/>
          <w:szCs w:val="20"/>
        </w:rPr>
        <w:t xml:space="preserve">, </w:t>
      </w:r>
      <w:r w:rsidRPr="002E426F">
        <w:rPr>
          <w:sz w:val="20"/>
          <w:szCs w:val="20"/>
        </w:rPr>
        <w:t xml:space="preserve">30 </w:t>
      </w:r>
      <w:r w:rsidRPr="002E426F">
        <w:rPr>
          <w:iCs/>
          <w:sz w:val="20"/>
          <w:szCs w:val="20"/>
        </w:rPr>
        <w:t xml:space="preserve">FCC Rcd at 9140, para. 18; </w:t>
      </w:r>
      <w:r w:rsidRPr="002E426F">
        <w:rPr>
          <w:i/>
          <w:sz w:val="20"/>
          <w:szCs w:val="20"/>
        </w:rPr>
        <w:t>Adelphia-TWC Order</w:t>
      </w:r>
      <w:r w:rsidRPr="002E426F">
        <w:rPr>
          <w:sz w:val="20"/>
          <w:szCs w:val="20"/>
        </w:rPr>
        <w:t xml:space="preserve">, 21 FCC Rcd at 8217, para. 23; </w:t>
      </w:r>
      <w:r w:rsidRPr="002E426F">
        <w:rPr>
          <w:i/>
          <w:sz w:val="20"/>
          <w:szCs w:val="20"/>
        </w:rPr>
        <w:t>Application of EchoStar Communications Corp., General Motors Corp., and Hughes Electronics Corp., Transferors, and EchoStar Communications Corp., Transferee</w:t>
      </w:r>
      <w:r w:rsidRPr="002E426F">
        <w:rPr>
          <w:sz w:val="20"/>
          <w:szCs w:val="20"/>
        </w:rPr>
        <w:t xml:space="preserve">, CS Docket No. 01-348, Hearing Designation Order, 17 FCC Rcd 20559, </w:t>
      </w:r>
      <w:r w:rsidRPr="002E426F">
        <w:rPr>
          <w:snapToGrid w:val="0"/>
          <w:sz w:val="20"/>
          <w:szCs w:val="20"/>
        </w:rPr>
        <w:t>20574, para.</w:t>
      </w:r>
      <w:r w:rsidRPr="002E426F">
        <w:rPr>
          <w:sz w:val="20"/>
          <w:szCs w:val="20"/>
        </w:rPr>
        <w:t xml:space="preserve"> 25 (2002)) </w:t>
      </w:r>
      <w:r w:rsidRPr="002E426F">
        <w:rPr>
          <w:iCs/>
          <w:sz w:val="20"/>
          <w:szCs w:val="20"/>
        </w:rPr>
        <w:t>(further citations omitted)</w:t>
      </w:r>
      <w:r w:rsidRPr="002E426F">
        <w:rPr>
          <w:sz w:val="20"/>
          <w:szCs w:val="20"/>
        </w:rPr>
        <w:t>.</w:t>
      </w:r>
    </w:p>
  </w:footnote>
  <w:footnote w:id="40">
    <w:p w:rsidR="00BD3419" w:rsidRPr="002E426F" w:rsidP="00BE7777" w14:paraId="093548D2" w14:textId="11F5C720">
      <w:pPr>
        <w:pStyle w:val="FootnoteText"/>
        <w:spacing w:after="120"/>
        <w:rPr>
          <w:sz w:val="20"/>
          <w:szCs w:val="20"/>
        </w:rPr>
      </w:pPr>
      <w:r w:rsidRPr="002E426F">
        <w:rPr>
          <w:rStyle w:val="FootnoteReference"/>
          <w:sz w:val="20"/>
          <w:szCs w:val="20"/>
        </w:rPr>
        <w:footnoteRef/>
      </w:r>
      <w:r w:rsidRPr="002E426F">
        <w:rPr>
          <w:sz w:val="20"/>
          <w:szCs w:val="20"/>
        </w:rPr>
        <w:t xml:space="preserve"> Application at </w:t>
      </w:r>
      <w:r w:rsidRPr="002E426F" w:rsidR="00396971">
        <w:rPr>
          <w:sz w:val="20"/>
          <w:szCs w:val="20"/>
        </w:rPr>
        <w:t>8</w:t>
      </w:r>
      <w:r w:rsidRPr="002E426F">
        <w:rPr>
          <w:sz w:val="20"/>
          <w:szCs w:val="20"/>
        </w:rPr>
        <w:t xml:space="preserve">. </w:t>
      </w:r>
    </w:p>
  </w:footnote>
  <w:footnote w:id="41">
    <w:p w:rsidR="00092422" w:rsidRPr="002E426F" w:rsidP="00BE7777" w14:paraId="6CAD6228" w14:textId="31DC30C2">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sidR="00311A7C">
        <w:rPr>
          <w:i/>
          <w:iCs/>
          <w:sz w:val="20"/>
          <w:szCs w:val="20"/>
        </w:rPr>
        <w:t>Id</w:t>
      </w:r>
      <w:r w:rsidRPr="002E426F" w:rsidR="00311A7C">
        <w:rPr>
          <w:sz w:val="20"/>
          <w:szCs w:val="20"/>
        </w:rPr>
        <w:t>.</w:t>
      </w:r>
      <w:r w:rsidRPr="002E426F">
        <w:rPr>
          <w:sz w:val="20"/>
          <w:szCs w:val="20"/>
        </w:rPr>
        <w:t xml:space="preserve"> at </w:t>
      </w:r>
      <w:r w:rsidRPr="002E426F" w:rsidR="00311A7C">
        <w:rPr>
          <w:sz w:val="20"/>
          <w:szCs w:val="20"/>
        </w:rPr>
        <w:t>8</w:t>
      </w:r>
      <w:r w:rsidRPr="002E426F">
        <w:rPr>
          <w:sz w:val="20"/>
          <w:szCs w:val="20"/>
        </w:rPr>
        <w:t>.</w:t>
      </w:r>
    </w:p>
  </w:footnote>
  <w:footnote w:id="42">
    <w:p w:rsidR="00BD3419" w:rsidRPr="002E426F" w:rsidP="00BE7777" w14:paraId="5C3766B8" w14:textId="53F965A1">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sidR="000A6082">
        <w:rPr>
          <w:i/>
          <w:iCs/>
          <w:sz w:val="20"/>
          <w:szCs w:val="20"/>
        </w:rPr>
        <w:t>Id</w:t>
      </w:r>
      <w:r w:rsidRPr="002E426F" w:rsidR="000A6082">
        <w:rPr>
          <w:sz w:val="20"/>
          <w:szCs w:val="20"/>
        </w:rPr>
        <w:t xml:space="preserve">. </w:t>
      </w:r>
      <w:bookmarkStart w:id="6" w:name="_Hlk155260885"/>
      <w:r w:rsidRPr="002E426F" w:rsidR="004437FE">
        <w:rPr>
          <w:sz w:val="20"/>
          <w:szCs w:val="20"/>
        </w:rPr>
        <w:t xml:space="preserve">at </w:t>
      </w:r>
      <w:r w:rsidRPr="002E426F" w:rsidR="005643F0">
        <w:rPr>
          <w:sz w:val="20"/>
          <w:szCs w:val="20"/>
        </w:rPr>
        <w:t xml:space="preserve">3, </w:t>
      </w:r>
      <w:r w:rsidRPr="002E426F" w:rsidR="004437FE">
        <w:rPr>
          <w:sz w:val="20"/>
          <w:szCs w:val="20"/>
        </w:rPr>
        <w:t>5</w:t>
      </w:r>
      <w:r w:rsidRPr="002E426F" w:rsidR="00E061D5">
        <w:rPr>
          <w:sz w:val="20"/>
          <w:szCs w:val="20"/>
        </w:rPr>
        <w:t>, 7-8</w:t>
      </w:r>
      <w:r w:rsidRPr="002E426F" w:rsidR="004437FE">
        <w:rPr>
          <w:sz w:val="20"/>
          <w:szCs w:val="20"/>
        </w:rPr>
        <w:t>.</w:t>
      </w:r>
      <w:bookmarkEnd w:id="6"/>
    </w:p>
  </w:footnote>
  <w:footnote w:id="43">
    <w:p w:rsidR="00154256" w:rsidRPr="002E426F" w:rsidP="00BE7777" w14:paraId="2C5A4E5C" w14:textId="17204E49">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sidR="000A6082">
        <w:rPr>
          <w:i/>
          <w:iCs/>
          <w:sz w:val="20"/>
          <w:szCs w:val="20"/>
        </w:rPr>
        <w:t>Id</w:t>
      </w:r>
      <w:r w:rsidRPr="002E426F" w:rsidR="000A6082">
        <w:rPr>
          <w:sz w:val="20"/>
          <w:szCs w:val="20"/>
        </w:rPr>
        <w:t>.</w:t>
      </w:r>
      <w:r w:rsidRPr="002E426F" w:rsidR="005643F0">
        <w:rPr>
          <w:sz w:val="20"/>
          <w:szCs w:val="20"/>
        </w:rPr>
        <w:t xml:space="preserve"> at 5, 7-8.</w:t>
      </w:r>
    </w:p>
  </w:footnote>
  <w:footnote w:id="44">
    <w:p w:rsidR="00154256" w:rsidRPr="002E426F" w:rsidP="00BE7777" w14:paraId="1F7CE63B" w14:textId="5B2879E8">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sidR="00926DB5">
        <w:rPr>
          <w:i/>
          <w:iCs/>
          <w:sz w:val="20"/>
          <w:szCs w:val="20"/>
        </w:rPr>
        <w:t>Id</w:t>
      </w:r>
      <w:r w:rsidRPr="002E426F" w:rsidR="00926DB5">
        <w:rPr>
          <w:sz w:val="20"/>
          <w:szCs w:val="20"/>
        </w:rPr>
        <w:t>.</w:t>
      </w:r>
    </w:p>
  </w:footnote>
  <w:footnote w:id="45">
    <w:p w:rsidR="00643BA8" w:rsidRPr="00580328" w:rsidP="00580328" w14:paraId="682AEC9A" w14:textId="22292D25">
      <w:pPr>
        <w:pStyle w:val="FootnoteText"/>
        <w:spacing w:after="120"/>
        <w:rPr>
          <w:sz w:val="20"/>
          <w:szCs w:val="20"/>
        </w:rPr>
      </w:pPr>
      <w:r w:rsidRPr="00580328">
        <w:rPr>
          <w:rStyle w:val="FootnoteReference"/>
          <w:sz w:val="20"/>
          <w:szCs w:val="20"/>
        </w:rPr>
        <w:footnoteRef/>
      </w:r>
      <w:r w:rsidRPr="00580328">
        <w:rPr>
          <w:sz w:val="20"/>
          <w:szCs w:val="20"/>
        </w:rPr>
        <w:t xml:space="preserve"> </w:t>
      </w:r>
      <w:r w:rsidRPr="002E426F" w:rsidR="00B43F84">
        <w:rPr>
          <w:i/>
          <w:iCs/>
          <w:sz w:val="20"/>
          <w:szCs w:val="20"/>
        </w:rPr>
        <w:t>Id</w:t>
      </w:r>
      <w:r w:rsidRPr="002E426F" w:rsidR="00B43F84">
        <w:rPr>
          <w:sz w:val="20"/>
          <w:szCs w:val="20"/>
        </w:rPr>
        <w:t>. at 5.</w:t>
      </w:r>
    </w:p>
  </w:footnote>
  <w:footnote w:id="46">
    <w:p w:rsidR="00B43F84" w:rsidRPr="000D425E" w:rsidP="00580328" w14:paraId="4CC0FFF1" w14:textId="442E16A5">
      <w:pPr>
        <w:pStyle w:val="FootnoteText"/>
        <w:spacing w:after="120"/>
        <w:rPr>
          <w:sz w:val="20"/>
          <w:szCs w:val="20"/>
        </w:rPr>
      </w:pPr>
      <w:r w:rsidRPr="00580328">
        <w:rPr>
          <w:rStyle w:val="FootnoteReference"/>
          <w:sz w:val="20"/>
          <w:szCs w:val="20"/>
        </w:rPr>
        <w:footnoteRef/>
      </w:r>
      <w:r w:rsidRPr="00580328">
        <w:rPr>
          <w:sz w:val="20"/>
          <w:szCs w:val="20"/>
        </w:rPr>
        <w:t xml:space="preserve"> </w:t>
      </w:r>
      <w:r w:rsidRPr="002E426F">
        <w:rPr>
          <w:i/>
          <w:iCs/>
          <w:sz w:val="20"/>
          <w:szCs w:val="20"/>
        </w:rPr>
        <w:t>Id</w:t>
      </w:r>
      <w:r w:rsidRPr="002E426F">
        <w:rPr>
          <w:sz w:val="20"/>
          <w:szCs w:val="20"/>
        </w:rPr>
        <w:t>.</w:t>
      </w:r>
    </w:p>
  </w:footnote>
  <w:footnote w:id="47">
    <w:p w:rsidR="00926DB5" w:rsidRPr="002E426F" w:rsidP="00BE7777" w14:paraId="487B62FD" w14:textId="3EA1450C">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w:t>
      </w:r>
      <w:r w:rsidRPr="002E426F" w:rsidR="00C00ADD">
        <w:rPr>
          <w:sz w:val="20"/>
          <w:szCs w:val="20"/>
        </w:rPr>
        <w:t xml:space="preserve"> at 5, </w:t>
      </w:r>
      <w:r w:rsidRPr="002E426F" w:rsidR="008856CB">
        <w:rPr>
          <w:sz w:val="20"/>
          <w:szCs w:val="20"/>
        </w:rPr>
        <w:t>7-8.</w:t>
      </w:r>
    </w:p>
  </w:footnote>
  <w:footnote w:id="48">
    <w:p w:rsidR="005100CA" w:rsidRPr="002E426F" w:rsidP="00BE7777" w14:paraId="784FD068"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See AT&amp;T/DIRECTV Order</w:t>
      </w:r>
      <w:r w:rsidRPr="002E426F">
        <w:rPr>
          <w:sz w:val="20"/>
          <w:szCs w:val="20"/>
        </w:rPr>
        <w:t>, 30 FCC Rcd at 9237, paras. 273-74.</w:t>
      </w:r>
    </w:p>
  </w:footnote>
  <w:footnote w:id="49">
    <w:p w:rsidR="005100CA" w:rsidRPr="002E426F" w:rsidP="00BE7777" w14:paraId="28FB1B1F"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See id</w:t>
      </w:r>
      <w:r w:rsidRPr="002E426F">
        <w:rPr>
          <w:sz w:val="20"/>
          <w:szCs w:val="20"/>
        </w:rPr>
        <w:t>. at 9237-38, paras. 275-76.</w:t>
      </w:r>
    </w:p>
  </w:footnote>
  <w:footnote w:id="50">
    <w:p w:rsidR="005100CA" w:rsidRPr="002E426F" w:rsidP="00BE7777" w14:paraId="444C391F"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See id</w:t>
      </w:r>
      <w:r w:rsidRPr="002E426F">
        <w:rPr>
          <w:sz w:val="20"/>
          <w:szCs w:val="20"/>
        </w:rPr>
        <w:t>.</w:t>
      </w:r>
    </w:p>
  </w:footnote>
  <w:footnote w:id="51">
    <w:p w:rsidR="005100CA" w:rsidRPr="002E426F" w:rsidP="00BE7777" w14:paraId="3B383154" w14:textId="62B9615E">
      <w:pPr>
        <w:pStyle w:val="FootnoteText"/>
        <w:spacing w:after="120"/>
        <w:rPr>
          <w:sz w:val="20"/>
          <w:szCs w:val="20"/>
        </w:rPr>
      </w:pPr>
      <w:r w:rsidRPr="002E426F">
        <w:rPr>
          <w:rStyle w:val="FootnoteReference"/>
          <w:sz w:val="20"/>
          <w:szCs w:val="20"/>
        </w:rPr>
        <w:footnoteRef/>
      </w:r>
      <w:r w:rsidRPr="002E426F">
        <w:rPr>
          <w:sz w:val="20"/>
          <w:szCs w:val="20"/>
        </w:rPr>
        <w:t xml:space="preserve"> Application at </w:t>
      </w:r>
      <w:r w:rsidRPr="002E426F" w:rsidR="00EE37A2">
        <w:rPr>
          <w:sz w:val="20"/>
          <w:szCs w:val="20"/>
        </w:rPr>
        <w:t>7</w:t>
      </w:r>
      <w:r w:rsidRPr="002E426F">
        <w:rPr>
          <w:sz w:val="20"/>
          <w:szCs w:val="20"/>
        </w:rPr>
        <w:t xml:space="preserve">. </w:t>
      </w:r>
    </w:p>
  </w:footnote>
  <w:footnote w:id="52">
    <w:p w:rsidR="00EE37A2" w:rsidRPr="002E426F" w:rsidP="000D425E" w14:paraId="223850BD" w14:textId="20B7E944">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 xml:space="preserve">. </w:t>
      </w:r>
    </w:p>
  </w:footnote>
  <w:footnote w:id="53">
    <w:p w:rsidR="00B61E8A" w:rsidRPr="002E426F" w:rsidP="000D425E" w14:paraId="3A0EF91D" w14:textId="061A5776">
      <w:pPr>
        <w:pStyle w:val="FootnoteText"/>
        <w:spacing w:after="120"/>
        <w:rPr>
          <w:i/>
          <w:iCs/>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p>
  </w:footnote>
  <w:footnote w:id="54">
    <w:p w:rsidR="00EE37A2" w:rsidRPr="002E426F" w:rsidP="000D425E" w14:paraId="7A00CB68" w14:textId="6FA34C33">
      <w:pPr>
        <w:pStyle w:val="FootnoteText"/>
        <w:spacing w:after="120"/>
        <w:rPr>
          <w:i/>
          <w:iCs/>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Id. </w:t>
      </w:r>
    </w:p>
  </w:footnote>
  <w:footnote w:id="55">
    <w:p w:rsidR="00B4233E" w:rsidRPr="000D425E" w:rsidP="000D425E" w14:paraId="45C72BC5" w14:textId="28BD9FC9">
      <w:pPr>
        <w:pStyle w:val="FootnoteText"/>
        <w:spacing w:after="120"/>
        <w:rPr>
          <w:i/>
          <w:iCs/>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p>
  </w:footnote>
  <w:footnote w:id="56">
    <w:p w:rsidR="005100CA" w:rsidRPr="002E426F" w:rsidP="00BE7777" w14:paraId="038B9D8A"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See, e.g.</w:t>
      </w:r>
      <w:r w:rsidRPr="002E426F">
        <w:rPr>
          <w:sz w:val="20"/>
          <w:szCs w:val="20"/>
        </w:rPr>
        <w:t>,</w:t>
      </w:r>
      <w:r w:rsidRPr="002E426F">
        <w:rPr>
          <w:i/>
          <w:iCs/>
          <w:sz w:val="20"/>
          <w:szCs w:val="20"/>
        </w:rPr>
        <w:t xml:space="preserve"> AT&amp;T-DIRECTV Order</w:t>
      </w:r>
      <w:r w:rsidRPr="002E426F">
        <w:rPr>
          <w:iCs/>
          <w:sz w:val="20"/>
          <w:szCs w:val="20"/>
        </w:rPr>
        <w:t xml:space="preserve">, </w:t>
      </w:r>
      <w:r w:rsidRPr="002E426F">
        <w:rPr>
          <w:sz w:val="20"/>
          <w:szCs w:val="20"/>
        </w:rPr>
        <w:t xml:space="preserve">30 </w:t>
      </w:r>
      <w:r w:rsidRPr="002E426F">
        <w:rPr>
          <w:iCs/>
          <w:sz w:val="20"/>
          <w:szCs w:val="20"/>
        </w:rPr>
        <w:t>FCC Rcd at 9140, para. 19.</w:t>
      </w:r>
    </w:p>
  </w:footnote>
  <w:footnote w:id="57">
    <w:p w:rsidR="005100CA" w:rsidRPr="002E426F" w:rsidP="00BE7777" w14:paraId="1E277912"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sz w:val="20"/>
          <w:szCs w:val="20"/>
        </w:rPr>
        <w:t>See Verizon-TracFone Order</w:t>
      </w:r>
      <w:r w:rsidRPr="002E426F">
        <w:rPr>
          <w:iCs/>
          <w:sz w:val="20"/>
          <w:szCs w:val="20"/>
        </w:rPr>
        <w:t xml:space="preserve">, 36 FCC Rcd at 17002, para. 22 (citing </w:t>
      </w:r>
      <w:r w:rsidRPr="002E426F">
        <w:rPr>
          <w:sz w:val="20"/>
          <w:szCs w:val="20"/>
        </w:rPr>
        <w:t>47 U.S.C. §§ 254, 332(c)(7), 1302; Telecommunications Act of 1996, Pub. L. No. 104-104, Preamble, 110 Stat. 56 (1996) (one purpose of the Act is to “accelerate rapidly private sector deployment of advanced telecommunications and information technologies and services”)).</w:t>
      </w:r>
    </w:p>
  </w:footnote>
  <w:footnote w:id="58">
    <w:p w:rsidR="003F0380" w:rsidRPr="002E426F" w:rsidP="00BE7777" w14:paraId="5ACF3E5A" w14:textId="25A125A7">
      <w:pPr>
        <w:pStyle w:val="FootnoteText"/>
        <w:spacing w:after="120"/>
        <w:rPr>
          <w:sz w:val="20"/>
          <w:szCs w:val="20"/>
        </w:rPr>
      </w:pPr>
      <w:r w:rsidRPr="002E426F">
        <w:rPr>
          <w:rStyle w:val="FootnoteReference"/>
          <w:sz w:val="20"/>
          <w:szCs w:val="20"/>
        </w:rPr>
        <w:footnoteRef/>
      </w:r>
      <w:r w:rsidRPr="002E426F">
        <w:rPr>
          <w:sz w:val="20"/>
          <w:szCs w:val="20"/>
        </w:rPr>
        <w:t xml:space="preserve"> Application at </w:t>
      </w:r>
      <w:r w:rsidRPr="002E426F" w:rsidR="005F3F7D">
        <w:rPr>
          <w:sz w:val="20"/>
          <w:szCs w:val="20"/>
        </w:rPr>
        <w:t xml:space="preserve">5, </w:t>
      </w:r>
      <w:r w:rsidRPr="002E426F" w:rsidR="00CD5AF2">
        <w:rPr>
          <w:sz w:val="20"/>
          <w:szCs w:val="20"/>
        </w:rPr>
        <w:t>7</w:t>
      </w:r>
      <w:r w:rsidRPr="002E426F" w:rsidR="005F3F7D">
        <w:rPr>
          <w:sz w:val="20"/>
          <w:szCs w:val="20"/>
        </w:rPr>
        <w:t>, 13</w:t>
      </w:r>
      <w:r w:rsidRPr="002E426F">
        <w:rPr>
          <w:sz w:val="20"/>
          <w:szCs w:val="20"/>
        </w:rPr>
        <w:t>.</w:t>
      </w:r>
    </w:p>
  </w:footnote>
  <w:footnote w:id="59">
    <w:p w:rsidR="003F0380" w:rsidRPr="002E426F" w:rsidP="00BE7777" w14:paraId="5B97F556" w14:textId="31441D54">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Id</w:t>
      </w:r>
      <w:r w:rsidRPr="002E426F">
        <w:rPr>
          <w:sz w:val="20"/>
          <w:szCs w:val="20"/>
        </w:rPr>
        <w:t>.</w:t>
      </w:r>
      <w:r w:rsidRPr="002E426F" w:rsidR="005F3F7D">
        <w:rPr>
          <w:sz w:val="20"/>
          <w:szCs w:val="20"/>
        </w:rPr>
        <w:t xml:space="preserve"> at 7.</w:t>
      </w:r>
    </w:p>
  </w:footnote>
  <w:footnote w:id="60">
    <w:p w:rsidR="00ED5B89" w:rsidRPr="004960E1" w:rsidP="00ED5B89" w14:paraId="683411AA" w14:textId="76B0226E">
      <w:pPr>
        <w:pStyle w:val="FootnoteText"/>
        <w:spacing w:after="120"/>
        <w:rPr>
          <w:sz w:val="20"/>
          <w:szCs w:val="20"/>
        </w:rPr>
      </w:pPr>
      <w:r>
        <w:rPr>
          <w:rStyle w:val="FootnoteReference"/>
        </w:rPr>
        <w:footnoteRef/>
      </w:r>
      <w:r>
        <w:t xml:space="preserve"> </w:t>
      </w:r>
      <w:r w:rsidR="00CC43FE">
        <w:rPr>
          <w:i/>
          <w:iCs/>
          <w:sz w:val="20"/>
          <w:szCs w:val="20"/>
        </w:rPr>
        <w:t>Id</w:t>
      </w:r>
      <w:r w:rsidR="00CC43FE">
        <w:rPr>
          <w:sz w:val="20"/>
          <w:szCs w:val="20"/>
        </w:rPr>
        <w:t>.</w:t>
      </w:r>
      <w:r w:rsidRPr="004960E1">
        <w:rPr>
          <w:sz w:val="20"/>
          <w:szCs w:val="20"/>
        </w:rPr>
        <w:t xml:space="preserve"> at 4 (stating that after consummation of the transaction,</w:t>
      </w:r>
      <w:r>
        <w:rPr>
          <w:sz w:val="20"/>
          <w:szCs w:val="20"/>
        </w:rPr>
        <w:t xml:space="preserve"> </w:t>
      </w:r>
      <w:r w:rsidRPr="004960E1">
        <w:rPr>
          <w:sz w:val="20"/>
          <w:szCs w:val="20"/>
        </w:rPr>
        <w:t>“all of the obligations associated with the RDOF support originally awarded to Nova will be fulfilled by VoIP LLC”)</w:t>
      </w:r>
      <w:r>
        <w:rPr>
          <w:sz w:val="20"/>
          <w:szCs w:val="20"/>
        </w:rPr>
        <w:t>.</w:t>
      </w:r>
    </w:p>
  </w:footnote>
  <w:footnote w:id="61">
    <w:p w:rsidR="00ED5B89" w:rsidP="00ED5B89" w14:paraId="3096985A" w14:textId="0DD4A8BE">
      <w:pPr>
        <w:pStyle w:val="FootnoteText"/>
        <w:spacing w:after="120"/>
      </w:pPr>
      <w:r w:rsidRPr="004960E1">
        <w:rPr>
          <w:rStyle w:val="FootnoteReference"/>
          <w:sz w:val="20"/>
          <w:szCs w:val="20"/>
        </w:rPr>
        <w:footnoteRef/>
      </w:r>
      <w:r w:rsidRPr="003240A6">
        <w:rPr>
          <w:sz w:val="20"/>
          <w:szCs w:val="20"/>
        </w:rPr>
        <w:t xml:space="preserve"> A specific list of </w:t>
      </w:r>
      <w:r w:rsidRPr="000A7803">
        <w:rPr>
          <w:sz w:val="20"/>
          <w:szCs w:val="20"/>
        </w:rPr>
        <w:t>the census block identifiers for each of these 24 c</w:t>
      </w:r>
      <w:r>
        <w:rPr>
          <w:sz w:val="20"/>
          <w:szCs w:val="20"/>
        </w:rPr>
        <w:t>en</w:t>
      </w:r>
      <w:r w:rsidRPr="000A7803">
        <w:rPr>
          <w:sz w:val="20"/>
          <w:szCs w:val="20"/>
        </w:rPr>
        <w:t xml:space="preserve">sus blocks </w:t>
      </w:r>
      <w:r w:rsidRPr="004960E1">
        <w:rPr>
          <w:sz w:val="20"/>
          <w:szCs w:val="20"/>
        </w:rPr>
        <w:t xml:space="preserve">is available at </w:t>
      </w:r>
      <w:r w:rsidR="00F9139E">
        <w:rPr>
          <w:sz w:val="20"/>
          <w:szCs w:val="20"/>
        </w:rPr>
        <w:t xml:space="preserve">Results, </w:t>
      </w:r>
      <w:r w:rsidRPr="004960E1">
        <w:rPr>
          <w:sz w:val="20"/>
          <w:szCs w:val="20"/>
        </w:rPr>
        <w:t xml:space="preserve">Auction 904 Long-Form Applicants (updated </w:t>
      </w:r>
      <w:r w:rsidR="004A0363">
        <w:rPr>
          <w:sz w:val="20"/>
          <w:szCs w:val="20"/>
        </w:rPr>
        <w:t>Jan.</w:t>
      </w:r>
      <w:r w:rsidR="0070733F">
        <w:rPr>
          <w:sz w:val="20"/>
          <w:szCs w:val="20"/>
        </w:rPr>
        <w:t xml:space="preserve"> 13, 2023</w:t>
      </w:r>
      <w:r w:rsidRPr="004960E1">
        <w:rPr>
          <w:sz w:val="20"/>
          <w:szCs w:val="20"/>
        </w:rPr>
        <w:t xml:space="preserve">), https://www.fcc.gov/auction/904.  </w:t>
      </w:r>
    </w:p>
  </w:footnote>
  <w:footnote w:id="62">
    <w:p w:rsidR="00ED5B89" w:rsidRPr="002E426F" w:rsidP="00ED5B89" w14:paraId="1C5F7643" w14:textId="325A3BB2">
      <w:pPr>
        <w:tabs>
          <w:tab w:val="left" w:pos="1710"/>
          <w:tab w:val="left" w:pos="2120"/>
        </w:tabs>
        <w:spacing w:after="120"/>
        <w:rPr>
          <w:sz w:val="20"/>
          <w:szCs w:val="20"/>
        </w:rPr>
      </w:pPr>
      <w:r w:rsidRPr="002E426F">
        <w:rPr>
          <w:rStyle w:val="FootnoteReference"/>
          <w:sz w:val="20"/>
          <w:szCs w:val="20"/>
        </w:rPr>
        <w:footnoteRef/>
      </w:r>
      <w:r w:rsidRPr="002E426F">
        <w:rPr>
          <w:sz w:val="20"/>
          <w:szCs w:val="20"/>
        </w:rPr>
        <w:t xml:space="preserve"> If the </w:t>
      </w:r>
      <w:r>
        <w:rPr>
          <w:sz w:val="20"/>
          <w:szCs w:val="20"/>
        </w:rPr>
        <w:t>Applicants</w:t>
      </w:r>
      <w:r w:rsidRPr="002E426F">
        <w:rPr>
          <w:sz w:val="20"/>
          <w:szCs w:val="20"/>
        </w:rPr>
        <w:t xml:space="preserve"> do not consummate the transaction </w:t>
      </w:r>
      <w:r>
        <w:rPr>
          <w:sz w:val="20"/>
          <w:szCs w:val="20"/>
        </w:rPr>
        <w:t>and/or</w:t>
      </w:r>
      <w:r w:rsidRPr="002E426F">
        <w:rPr>
          <w:sz w:val="20"/>
          <w:szCs w:val="20"/>
        </w:rPr>
        <w:t xml:space="preserve"> </w:t>
      </w:r>
      <w:r>
        <w:rPr>
          <w:sz w:val="20"/>
          <w:szCs w:val="20"/>
        </w:rPr>
        <w:t xml:space="preserve">VoIP LLC fails to </w:t>
      </w:r>
      <w:r w:rsidRPr="002E426F">
        <w:rPr>
          <w:sz w:val="20"/>
          <w:szCs w:val="20"/>
        </w:rPr>
        <w:t xml:space="preserve">meet all prerequisites for </w:t>
      </w:r>
      <w:r>
        <w:rPr>
          <w:sz w:val="20"/>
          <w:szCs w:val="20"/>
        </w:rPr>
        <w:t xml:space="preserve">this conditional RDOF </w:t>
      </w:r>
      <w:r w:rsidRPr="002E426F">
        <w:rPr>
          <w:sz w:val="20"/>
          <w:szCs w:val="20"/>
        </w:rPr>
        <w:t xml:space="preserve">authorization within the timeframes specified above, </w:t>
      </w:r>
      <w:r>
        <w:rPr>
          <w:sz w:val="20"/>
          <w:szCs w:val="20"/>
        </w:rPr>
        <w:t xml:space="preserve">VoIP LLC </w:t>
      </w:r>
      <w:r w:rsidRPr="002E426F">
        <w:rPr>
          <w:sz w:val="20"/>
          <w:szCs w:val="20"/>
        </w:rPr>
        <w:t xml:space="preserve">will no longer qualify for a conditional </w:t>
      </w:r>
      <w:r>
        <w:rPr>
          <w:sz w:val="20"/>
          <w:szCs w:val="20"/>
        </w:rPr>
        <w:t xml:space="preserve">RDOF </w:t>
      </w:r>
      <w:r w:rsidRPr="002E426F">
        <w:rPr>
          <w:sz w:val="20"/>
          <w:szCs w:val="20"/>
        </w:rPr>
        <w:t xml:space="preserve">authorization.  </w:t>
      </w:r>
      <w:r w:rsidRPr="00822F4C">
        <w:rPr>
          <w:sz w:val="20"/>
          <w:szCs w:val="20"/>
        </w:rPr>
        <w:t xml:space="preserve">If Applicants fail to consummate the transaction within the two-month timeframe specified above for conditional authorization, </w:t>
      </w:r>
      <w:r w:rsidR="007D7496">
        <w:rPr>
          <w:sz w:val="20"/>
          <w:szCs w:val="20"/>
        </w:rPr>
        <w:t>they</w:t>
      </w:r>
      <w:r w:rsidRPr="00822F4C">
        <w:rPr>
          <w:sz w:val="20"/>
          <w:szCs w:val="20"/>
        </w:rPr>
        <w:t xml:space="preserve"> must file notice of the failure within 10</w:t>
      </w:r>
      <w:r>
        <w:rPr>
          <w:sz w:val="20"/>
          <w:szCs w:val="20"/>
        </w:rPr>
        <w:t xml:space="preserve"> calendar </w:t>
      </w:r>
      <w:r w:rsidRPr="00822F4C">
        <w:rPr>
          <w:sz w:val="20"/>
          <w:szCs w:val="20"/>
        </w:rPr>
        <w:t>days of the end of such time fram</w:t>
      </w:r>
      <w:r>
        <w:rPr>
          <w:sz w:val="20"/>
          <w:szCs w:val="20"/>
        </w:rPr>
        <w:t>e in the</w:t>
      </w:r>
      <w:r w:rsidRPr="00822F4C">
        <w:rPr>
          <w:sz w:val="20"/>
          <w:szCs w:val="20"/>
        </w:rPr>
        <w:t xml:space="preserve"> Commission’s Electronic Comment Filing System (ECFS) under WC Docket No. 23-353</w:t>
      </w:r>
      <w:r w:rsidR="00A22637">
        <w:rPr>
          <w:sz w:val="20"/>
          <w:szCs w:val="20"/>
        </w:rPr>
        <w:t xml:space="preserve"> and WC Docket No. 10-90</w:t>
      </w:r>
      <w:r w:rsidRPr="00822F4C">
        <w:rPr>
          <w:sz w:val="20"/>
          <w:szCs w:val="20"/>
        </w:rPr>
        <w:t xml:space="preserve">.  </w:t>
      </w:r>
      <w:r>
        <w:rPr>
          <w:sz w:val="20"/>
          <w:szCs w:val="20"/>
        </w:rPr>
        <w:t xml:space="preserve">If subsequent to the timeframes specified above, </w:t>
      </w:r>
      <w:r w:rsidRPr="002E426F">
        <w:rPr>
          <w:sz w:val="20"/>
          <w:szCs w:val="20"/>
        </w:rPr>
        <w:t xml:space="preserve">the Bureau finds </w:t>
      </w:r>
      <w:r>
        <w:rPr>
          <w:sz w:val="20"/>
          <w:szCs w:val="20"/>
        </w:rPr>
        <w:t>that VoIP</w:t>
      </w:r>
      <w:r w:rsidRPr="002E426F">
        <w:rPr>
          <w:sz w:val="20"/>
          <w:szCs w:val="20"/>
        </w:rPr>
        <w:t xml:space="preserve"> </w:t>
      </w:r>
      <w:r>
        <w:rPr>
          <w:sz w:val="20"/>
          <w:szCs w:val="20"/>
        </w:rPr>
        <w:t xml:space="preserve">LLC </w:t>
      </w:r>
      <w:r w:rsidRPr="002E426F">
        <w:rPr>
          <w:sz w:val="20"/>
          <w:szCs w:val="20"/>
        </w:rPr>
        <w:t>ha</w:t>
      </w:r>
      <w:r>
        <w:rPr>
          <w:sz w:val="20"/>
          <w:szCs w:val="20"/>
        </w:rPr>
        <w:t>s</w:t>
      </w:r>
      <w:r w:rsidRPr="002E426F">
        <w:rPr>
          <w:sz w:val="20"/>
          <w:szCs w:val="20"/>
        </w:rPr>
        <w:t xml:space="preserve"> met all conditions</w:t>
      </w:r>
      <w:r>
        <w:rPr>
          <w:sz w:val="20"/>
          <w:szCs w:val="20"/>
        </w:rPr>
        <w:t xml:space="preserve"> for authorization</w:t>
      </w:r>
      <w:r w:rsidRPr="002E426F">
        <w:rPr>
          <w:sz w:val="20"/>
          <w:szCs w:val="20"/>
        </w:rPr>
        <w:t xml:space="preserve">, it will issue a separate </w:t>
      </w:r>
      <w:r>
        <w:rPr>
          <w:sz w:val="20"/>
          <w:szCs w:val="20"/>
        </w:rPr>
        <w:t xml:space="preserve">final </w:t>
      </w:r>
      <w:r w:rsidRPr="002E426F">
        <w:rPr>
          <w:sz w:val="20"/>
          <w:szCs w:val="20"/>
        </w:rPr>
        <w:t xml:space="preserve">authorization.  </w:t>
      </w:r>
    </w:p>
  </w:footnote>
  <w:footnote w:id="63">
    <w:p w:rsidR="00ED5B89" w:rsidRPr="00580328" w:rsidP="00ED5B89" w14:paraId="15489959" w14:textId="2E6EB252">
      <w:pPr>
        <w:pStyle w:val="FootnoteText"/>
        <w:spacing w:after="120"/>
        <w:rPr>
          <w:sz w:val="20"/>
          <w:szCs w:val="20"/>
        </w:rPr>
      </w:pPr>
      <w:r w:rsidRPr="00580328">
        <w:rPr>
          <w:rStyle w:val="FootnoteReference"/>
          <w:sz w:val="20"/>
          <w:szCs w:val="20"/>
        </w:rPr>
        <w:footnoteRef/>
      </w:r>
      <w:r w:rsidRPr="00580328">
        <w:rPr>
          <w:sz w:val="20"/>
          <w:szCs w:val="20"/>
        </w:rPr>
        <w:t xml:space="preserve"> </w:t>
      </w:r>
      <w:r w:rsidRPr="002E426F">
        <w:rPr>
          <w:i/>
          <w:iCs/>
          <w:sz w:val="20"/>
          <w:szCs w:val="20"/>
        </w:rPr>
        <w:t xml:space="preserve">See Rural Digital Opportunity Fund et al., </w:t>
      </w:r>
      <w:r w:rsidRPr="002E426F">
        <w:rPr>
          <w:sz w:val="20"/>
          <w:szCs w:val="20"/>
        </w:rPr>
        <w:t>WC Docket No. 19-126 et al., Report and Order, 35 FCC Rcd 686, 713-16, paras. 58-64 (2020) (</w:t>
      </w:r>
      <w:r w:rsidRPr="002E426F">
        <w:rPr>
          <w:i/>
          <w:iCs/>
          <w:sz w:val="20"/>
          <w:szCs w:val="20"/>
        </w:rPr>
        <w:t>RDOF Report and Order</w:t>
      </w:r>
      <w:r w:rsidRPr="002E426F">
        <w:rPr>
          <w:sz w:val="20"/>
          <w:szCs w:val="20"/>
        </w:rPr>
        <w:t xml:space="preserve">) (adopting non-compliance measures); </w:t>
      </w:r>
      <w:r w:rsidRPr="002E426F">
        <w:rPr>
          <w:i/>
          <w:iCs/>
          <w:sz w:val="20"/>
          <w:szCs w:val="20"/>
        </w:rPr>
        <w:t>id</w:t>
      </w:r>
      <w:r w:rsidRPr="002E426F">
        <w:rPr>
          <w:sz w:val="20"/>
          <w:szCs w:val="20"/>
        </w:rPr>
        <w:t>. at 715-16, para. 63 (stating that in addition to default consequences, RDOF support recipients are subject to sanctions “including but not limited to the Commission's existing enforcement procedures and penalties, reductions in support amounts, potential revocation of ETC designations, and suspension or debarment”)</w:t>
      </w:r>
      <w:r>
        <w:rPr>
          <w:sz w:val="20"/>
          <w:szCs w:val="20"/>
        </w:rPr>
        <w:t>;</w:t>
      </w:r>
      <w:r w:rsidRPr="002E426F">
        <w:rPr>
          <w:sz w:val="20"/>
          <w:szCs w:val="20"/>
        </w:rPr>
        <w:t xml:space="preserve"> </w:t>
      </w:r>
      <w:r>
        <w:rPr>
          <w:i/>
          <w:iCs/>
          <w:sz w:val="20"/>
          <w:szCs w:val="20"/>
        </w:rPr>
        <w:t>s</w:t>
      </w:r>
      <w:r w:rsidRPr="002E426F">
        <w:rPr>
          <w:i/>
          <w:iCs/>
          <w:sz w:val="20"/>
          <w:szCs w:val="20"/>
        </w:rPr>
        <w:t>ee</w:t>
      </w:r>
      <w:r>
        <w:rPr>
          <w:i/>
          <w:iCs/>
          <w:sz w:val="20"/>
          <w:szCs w:val="20"/>
        </w:rPr>
        <w:t xml:space="preserve"> also</w:t>
      </w:r>
      <w:r w:rsidRPr="002E426F">
        <w:rPr>
          <w:i/>
          <w:iCs/>
          <w:sz w:val="20"/>
          <w:szCs w:val="20"/>
        </w:rPr>
        <w:t xml:space="preserve"> </w:t>
      </w:r>
      <w:r w:rsidRPr="002E426F">
        <w:rPr>
          <w:sz w:val="20"/>
          <w:szCs w:val="20"/>
        </w:rPr>
        <w:t>47 CFR §§ 54.320(c)-(d), 54.804(c)(4), 54.806(c).</w:t>
      </w:r>
    </w:p>
  </w:footnote>
  <w:footnote w:id="64">
    <w:p w:rsidR="00ED5B89" w:rsidRPr="00580328" w:rsidP="00ED5B89" w14:paraId="1D2F96DE" w14:textId="37A8F7A5">
      <w:pPr>
        <w:pStyle w:val="FootnoteText"/>
        <w:spacing w:after="120"/>
        <w:rPr>
          <w:sz w:val="20"/>
          <w:szCs w:val="20"/>
        </w:rPr>
      </w:pPr>
      <w:r w:rsidRPr="000D425E">
        <w:rPr>
          <w:rStyle w:val="FootnoteReference"/>
          <w:sz w:val="20"/>
          <w:szCs w:val="20"/>
        </w:rPr>
        <w:footnoteRef/>
      </w:r>
      <w:r w:rsidRPr="000D425E">
        <w:rPr>
          <w:sz w:val="20"/>
          <w:szCs w:val="20"/>
        </w:rPr>
        <w:t xml:space="preserve"> 47 CFR §§ 54.802-806; </w:t>
      </w:r>
      <w:r w:rsidRPr="000D425E">
        <w:rPr>
          <w:i/>
          <w:iCs/>
          <w:sz w:val="20"/>
          <w:szCs w:val="20"/>
        </w:rPr>
        <w:t>see</w:t>
      </w:r>
      <w:r>
        <w:rPr>
          <w:i/>
          <w:iCs/>
          <w:sz w:val="20"/>
          <w:szCs w:val="20"/>
        </w:rPr>
        <w:t xml:space="preserve"> also</w:t>
      </w:r>
      <w:r w:rsidRPr="000D425E">
        <w:rPr>
          <w:i/>
          <w:iCs/>
          <w:sz w:val="20"/>
          <w:szCs w:val="20"/>
        </w:rPr>
        <w:t xml:space="preserve"> generally</w:t>
      </w:r>
      <w:r w:rsidRPr="000D425E">
        <w:rPr>
          <w:sz w:val="20"/>
          <w:szCs w:val="20"/>
        </w:rPr>
        <w:t xml:space="preserve"> </w:t>
      </w:r>
      <w:r w:rsidRPr="002E426F">
        <w:rPr>
          <w:i/>
          <w:iCs/>
          <w:sz w:val="20"/>
          <w:szCs w:val="20"/>
        </w:rPr>
        <w:t>RDOF Report and Order</w:t>
      </w:r>
      <w:r w:rsidRPr="002E426F">
        <w:rPr>
          <w:sz w:val="20"/>
          <w:szCs w:val="20"/>
        </w:rPr>
        <w:t>, 35 FCC Rcd 686.</w:t>
      </w:r>
      <w:r w:rsidRPr="000D425E">
        <w:rPr>
          <w:sz w:val="20"/>
          <w:szCs w:val="20"/>
        </w:rPr>
        <w:t xml:space="preserve">  The Bureau has provided a summary of the various obligations of authorized RDOF support recipients in prior authorization public notices, including in the public notice authorizing the support recipient to receive the relevant RDOF support.  As stated in these public notices, the list is not intended to be comprehensive</w:t>
      </w:r>
      <w:r>
        <w:rPr>
          <w:sz w:val="20"/>
          <w:szCs w:val="20"/>
        </w:rPr>
        <w:t>,</w:t>
      </w:r>
      <w:r w:rsidRPr="000D425E">
        <w:rPr>
          <w:sz w:val="20"/>
          <w:szCs w:val="20"/>
        </w:rPr>
        <w:t xml:space="preserve"> and all authorized parties are responsible for conducting the due diligence required to comply with universal service fund requirements and the Commission’s rules. </w:t>
      </w:r>
      <w:r w:rsidRPr="002E426F">
        <w:rPr>
          <w:sz w:val="20"/>
          <w:szCs w:val="20"/>
        </w:rPr>
        <w:t xml:space="preserve"> </w:t>
      </w:r>
      <w:r w:rsidRPr="000D425E">
        <w:rPr>
          <w:i/>
          <w:iCs/>
          <w:sz w:val="20"/>
          <w:szCs w:val="20"/>
        </w:rPr>
        <w:t xml:space="preserve">See </w:t>
      </w:r>
      <w:r w:rsidRPr="002E426F">
        <w:rPr>
          <w:i/>
          <w:iCs/>
          <w:sz w:val="20"/>
          <w:szCs w:val="20"/>
        </w:rPr>
        <w:t>RDOF</w:t>
      </w:r>
      <w:r w:rsidRPr="000D425E">
        <w:rPr>
          <w:i/>
          <w:iCs/>
          <w:sz w:val="20"/>
          <w:szCs w:val="20"/>
        </w:rPr>
        <w:t xml:space="preserve"> Support Authorized for 1,345 Winning Bids</w:t>
      </w:r>
      <w:r w:rsidRPr="000D425E">
        <w:rPr>
          <w:sz w:val="20"/>
          <w:szCs w:val="20"/>
        </w:rPr>
        <w:t xml:space="preserve">, AU Docket No. 20-34 et al., Public Notice, </w:t>
      </w:r>
      <w:r>
        <w:rPr>
          <w:sz w:val="20"/>
          <w:szCs w:val="20"/>
        </w:rPr>
        <w:t>37 FCC Rcd 4897,</w:t>
      </w:r>
      <w:r w:rsidRPr="000D425E">
        <w:rPr>
          <w:sz w:val="20"/>
          <w:szCs w:val="20"/>
        </w:rPr>
        <w:t xml:space="preserve"> </w:t>
      </w:r>
      <w:r>
        <w:rPr>
          <w:sz w:val="20"/>
          <w:szCs w:val="20"/>
        </w:rPr>
        <w:t>4897</w:t>
      </w:r>
      <w:r w:rsidRPr="000D425E">
        <w:rPr>
          <w:sz w:val="20"/>
          <w:szCs w:val="20"/>
        </w:rPr>
        <w:t xml:space="preserve"> (WCB/OEA/RBATF 2022).  We note that in addition to the requirements and rules specified in the public notices, RDOF support recipients must test and certify compliance with the relevant performance requirements in accordance with the uniform framework that has been adopted for measuring and reporting on high-cost performance requirements.  </w:t>
      </w:r>
      <w:r w:rsidRPr="000D425E">
        <w:rPr>
          <w:i/>
          <w:iCs/>
          <w:sz w:val="20"/>
          <w:szCs w:val="20"/>
        </w:rPr>
        <w:t xml:space="preserve">See </w:t>
      </w:r>
      <w:r w:rsidRPr="002E426F">
        <w:rPr>
          <w:i/>
          <w:iCs/>
          <w:sz w:val="20"/>
          <w:szCs w:val="20"/>
        </w:rPr>
        <w:t>RDOF</w:t>
      </w:r>
      <w:r w:rsidRPr="000D425E">
        <w:rPr>
          <w:i/>
          <w:iCs/>
          <w:sz w:val="20"/>
          <w:szCs w:val="20"/>
        </w:rPr>
        <w:t xml:space="preserve"> Phase I Auction Scheduled for October 29, 2020; Notice and Filing Requirements and Other Procedures for Auction 904</w:t>
      </w:r>
      <w:r w:rsidRPr="00580328">
        <w:rPr>
          <w:sz w:val="20"/>
          <w:szCs w:val="20"/>
        </w:rPr>
        <w:t xml:space="preserve">, AU Docket No. 20-34 et al., Public Notice, 35 FCC Rcd 6077, 6083, para.15 (2020); </w:t>
      </w:r>
      <w:r w:rsidRPr="00580328">
        <w:rPr>
          <w:i/>
          <w:iCs/>
          <w:sz w:val="20"/>
          <w:szCs w:val="20"/>
        </w:rPr>
        <w:t>Connect America Fund</w:t>
      </w:r>
      <w:r w:rsidRPr="00580328">
        <w:rPr>
          <w:sz w:val="20"/>
          <w:szCs w:val="20"/>
        </w:rPr>
        <w:t>, WC Docket No. 10-90, Order, 33 FCC Rcd 6509, 6530-33, paras. 56-67 (WCB 2018</w:t>
      </w:r>
      <w:r w:rsidRPr="00580328">
        <w:rPr>
          <w:i/>
          <w:iCs/>
          <w:sz w:val="20"/>
          <w:szCs w:val="20"/>
        </w:rPr>
        <w:t>); Connect America Fund</w:t>
      </w:r>
      <w:r w:rsidRPr="00580328">
        <w:rPr>
          <w:sz w:val="20"/>
          <w:szCs w:val="20"/>
        </w:rPr>
        <w:t xml:space="preserve">, WC Docket No. 10-90, Order on Reconsideration, 34 FCC Rcd 10109, 10110, para. 4 (2019) (expanding performance measure testing requirements); </w:t>
      </w:r>
      <w:r w:rsidRPr="00580328">
        <w:rPr>
          <w:i/>
          <w:iCs/>
          <w:sz w:val="20"/>
          <w:szCs w:val="20"/>
        </w:rPr>
        <w:t>Connect America Fund</w:t>
      </w:r>
      <w:r w:rsidRPr="00580328">
        <w:rPr>
          <w:sz w:val="20"/>
          <w:szCs w:val="20"/>
        </w:rPr>
        <w:t xml:space="preserve">, WC Docket No. 10-90, Order, 35 FCC Rcd 14658 (2020) (clarifying certain performance measure requirements); </w:t>
      </w:r>
      <w:r w:rsidRPr="00580328">
        <w:rPr>
          <w:i/>
          <w:iCs/>
          <w:sz w:val="20"/>
          <w:szCs w:val="20"/>
        </w:rPr>
        <w:t>Connect America Fund et al</w:t>
      </w:r>
      <w:r w:rsidRPr="00580328">
        <w:rPr>
          <w:sz w:val="20"/>
          <w:szCs w:val="20"/>
        </w:rPr>
        <w:t>., WC Docket No. 10-90 et al.</w:t>
      </w:r>
      <w:r>
        <w:rPr>
          <w:sz w:val="20"/>
          <w:szCs w:val="20"/>
        </w:rPr>
        <w:t>,</w:t>
      </w:r>
      <w:r w:rsidRPr="00580328">
        <w:rPr>
          <w:sz w:val="20"/>
          <w:szCs w:val="20"/>
        </w:rPr>
        <w:t xml:space="preserve"> WT Docket No. 10-208, Notice of Proposed Rulemaking and Report and Order, FCC 23-87 at 62-63, paras. 136-140 (Oct. 20, 2023) (modifying certain performance measure requirements).</w:t>
      </w:r>
    </w:p>
  </w:footnote>
  <w:footnote w:id="65">
    <w:p w:rsidR="00ED5B89" w:rsidRPr="00580328" w:rsidP="00ED5B89" w14:paraId="45BB8A94" w14:textId="7647B4F2">
      <w:pPr>
        <w:pStyle w:val="FootnoteText"/>
        <w:spacing w:after="120"/>
        <w:rPr>
          <w:sz w:val="20"/>
          <w:szCs w:val="20"/>
        </w:rPr>
      </w:pPr>
      <w:r w:rsidRPr="00580328">
        <w:rPr>
          <w:rStyle w:val="FootnoteReference"/>
          <w:sz w:val="20"/>
          <w:szCs w:val="20"/>
        </w:rPr>
        <w:footnoteRef/>
      </w:r>
      <w:r w:rsidRPr="00580328">
        <w:rPr>
          <w:sz w:val="20"/>
          <w:szCs w:val="20"/>
        </w:rPr>
        <w:t xml:space="preserve"> Specifically, RDOF support recipients must deploy service to an increasing percentage of the CAM-estimated number of locations as of December 31st of each year</w:t>
      </w:r>
      <w:r>
        <w:rPr>
          <w:sz w:val="20"/>
          <w:szCs w:val="20"/>
        </w:rPr>
        <w:t>,</w:t>
      </w:r>
      <w:r w:rsidRPr="00580328">
        <w:rPr>
          <w:sz w:val="20"/>
          <w:szCs w:val="20"/>
        </w:rPr>
        <w:t xml:space="preserve"> beginning with a 40% milestone as of the third year of receiving support (2025), 60% as of the fourth year (2026), 80% as of the fifth year (2027), and 100% as of the sixth year (2028).  47 CFR § 54.802(c); </w:t>
      </w:r>
      <w:r w:rsidRPr="002E426F">
        <w:rPr>
          <w:i/>
          <w:iCs/>
          <w:sz w:val="20"/>
          <w:szCs w:val="20"/>
        </w:rPr>
        <w:t>RDOF Report and Order</w:t>
      </w:r>
      <w:r w:rsidRPr="00580328">
        <w:rPr>
          <w:sz w:val="20"/>
          <w:szCs w:val="20"/>
        </w:rPr>
        <w:t xml:space="preserve">, 35 FCC Rcd at 709-12, paras. 45-55.  The Commission will then adjust the initial defined deployment obligation assigned to each RDOF support recipient based on its determination of the number of locations within the supported area. </w:t>
      </w:r>
      <w:r w:rsidRPr="002E426F">
        <w:rPr>
          <w:sz w:val="20"/>
          <w:szCs w:val="20"/>
        </w:rPr>
        <w:t xml:space="preserve"> </w:t>
      </w:r>
      <w:r w:rsidRPr="00580328">
        <w:rPr>
          <w:sz w:val="20"/>
          <w:szCs w:val="20"/>
        </w:rPr>
        <w:t>In addition, the support recipient must serve, upon reasonable request, newly qualifying locations until the end of the eighth year of support</w:t>
      </w:r>
      <w:r w:rsidRPr="002E426F">
        <w:rPr>
          <w:sz w:val="20"/>
          <w:szCs w:val="20"/>
        </w:rPr>
        <w:t xml:space="preserve"> (</w:t>
      </w:r>
      <w:r w:rsidRPr="00580328">
        <w:rPr>
          <w:sz w:val="20"/>
          <w:szCs w:val="20"/>
        </w:rPr>
        <w:t xml:space="preserve">2030).  </w:t>
      </w:r>
      <w:r w:rsidRPr="00580328">
        <w:rPr>
          <w:i/>
          <w:iCs/>
          <w:sz w:val="20"/>
          <w:szCs w:val="20"/>
        </w:rPr>
        <w:t xml:space="preserve">See RDOF Report </w:t>
      </w:r>
      <w:r w:rsidRPr="000D425E">
        <w:rPr>
          <w:i/>
          <w:iCs/>
          <w:sz w:val="20"/>
          <w:szCs w:val="20"/>
        </w:rPr>
        <w:t>Order</w:t>
      </w:r>
      <w:r w:rsidRPr="00580328">
        <w:rPr>
          <w:sz w:val="20"/>
          <w:szCs w:val="20"/>
        </w:rPr>
        <w:t>, 35 FCC Rcd at 710-11, paras. 49-50; 47 CFR § 54.802(c).</w:t>
      </w:r>
    </w:p>
  </w:footnote>
  <w:footnote w:id="66">
    <w:p w:rsidR="00ED5B89" w:rsidRPr="002E426F" w:rsidP="00ED5B89" w14:paraId="46C037FE" w14:textId="7777777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See RDOF Report and Order</w:t>
      </w:r>
      <w:r w:rsidRPr="002E426F">
        <w:rPr>
          <w:sz w:val="20"/>
          <w:szCs w:val="20"/>
        </w:rPr>
        <w:t>, 35 FCC Rcd at 745, para. 139.</w:t>
      </w:r>
    </w:p>
  </w:footnote>
  <w:footnote w:id="67">
    <w:p w:rsidR="00991F3F" w:rsidRPr="00F84A4D" w:rsidP="00BE7777" w14:paraId="47D149C2" w14:textId="2405C237">
      <w:pPr>
        <w:pStyle w:val="FootnoteText"/>
        <w:spacing w:after="120"/>
        <w:rPr>
          <w:sz w:val="20"/>
          <w:szCs w:val="20"/>
        </w:rPr>
      </w:pPr>
      <w:r w:rsidRPr="002E426F">
        <w:rPr>
          <w:rStyle w:val="FootnoteReference"/>
          <w:sz w:val="20"/>
          <w:szCs w:val="20"/>
        </w:rPr>
        <w:footnoteRef/>
      </w:r>
      <w:r w:rsidRPr="002E426F">
        <w:rPr>
          <w:sz w:val="20"/>
          <w:szCs w:val="20"/>
        </w:rPr>
        <w:t xml:space="preserve"> </w:t>
      </w:r>
      <w:r w:rsidRPr="002E426F">
        <w:rPr>
          <w:i/>
          <w:iCs/>
          <w:sz w:val="20"/>
          <w:szCs w:val="20"/>
        </w:rPr>
        <w:t xml:space="preserve">See </w:t>
      </w:r>
      <w:r w:rsidRPr="002E426F">
        <w:rPr>
          <w:sz w:val="20"/>
          <w:szCs w:val="20"/>
        </w:rPr>
        <w:t>47 U.S.C. § 214(a); 47 CFR § 63.03</w:t>
      </w:r>
      <w:r w:rsidRPr="002E426F" w:rsidR="002649DD">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C07123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BCDABB4" w14:textId="77777777">
                <w:pPr>
                  <w:rPr>
                    <w:rFonts w:ascii="Arial" w:hAnsi="Arial"/>
                    <w:b/>
                  </w:rPr>
                </w:pPr>
                <w:r>
                  <w:rPr>
                    <w:rFonts w:ascii="Arial" w:hAnsi="Arial"/>
                    <w:b/>
                  </w:rPr>
                  <w:t>Federal Communications Commission</w:t>
                </w:r>
              </w:p>
              <w:p w:rsidR="005E21F5" w14:paraId="1C411CCB" w14:textId="77777777">
                <w:pPr>
                  <w:rPr>
                    <w:rFonts w:ascii="Arial" w:hAnsi="Arial"/>
                    <w:b/>
                  </w:rPr>
                </w:pPr>
                <w:r>
                  <w:rPr>
                    <w:rFonts w:ascii="Arial" w:hAnsi="Arial"/>
                    <w:b/>
                  </w:rPr>
                  <w:t>45 L St., N.E.</w:t>
                </w:r>
              </w:p>
              <w:p w:rsidR="005E21F5" w14:paraId="08FA49BA"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rsidRPr="00A86FBB" w:rsidP="00A86FBB" w14:paraId="6ABACB19" w14:textId="2DB0D4A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AE96BD0" w14:textId="77777777">
                <w:pPr>
                  <w:spacing w:before="40"/>
                  <w:jc w:val="right"/>
                  <w:rPr>
                    <w:rFonts w:ascii="Arial" w:hAnsi="Arial"/>
                    <w:b/>
                    <w:sz w:val="16"/>
                  </w:rPr>
                </w:pPr>
                <w:r>
                  <w:rPr>
                    <w:rFonts w:ascii="Arial" w:hAnsi="Arial"/>
                    <w:b/>
                    <w:sz w:val="16"/>
                  </w:rPr>
                  <w:t>News Media Information 202 / 418-0500</w:t>
                </w:r>
              </w:p>
              <w:p w:rsidR="005E21F5" w14:paraId="77D9F7A8"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FFED3D9" w14:textId="77777777">
                <w:pPr>
                  <w:jc w:val="right"/>
                  <w:rPr>
                    <w:rFonts w:ascii="Arial" w:hAnsi="Arial"/>
                    <w:b/>
                    <w:sz w:val="16"/>
                  </w:rPr>
                </w:pPr>
              </w:p>
              <w:p w:rsidR="005E21F5" w14:paraId="6E123AB8" w14:textId="77777777">
                <w:pPr>
                  <w:jc w:val="right"/>
                  <w:rPr>
                    <w:rFonts w:ascii="Arial" w:hAnsi="Arial"/>
                    <w:b/>
                    <w:sz w:val="16"/>
                  </w:rPr>
                </w:pPr>
              </w:p>
              <w:p w:rsidR="005E21F5" w14:paraId="4C638DAB" w14:textId="77777777">
                <w:pPr>
                  <w:jc w:val="right"/>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B1A418"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1BEE"/>
    <w:rsid w:val="0000228F"/>
    <w:rsid w:val="0000399A"/>
    <w:rsid w:val="00003D15"/>
    <w:rsid w:val="00004311"/>
    <w:rsid w:val="00004B29"/>
    <w:rsid w:val="0000521E"/>
    <w:rsid w:val="000064CD"/>
    <w:rsid w:val="000069B5"/>
    <w:rsid w:val="00006D81"/>
    <w:rsid w:val="0001023F"/>
    <w:rsid w:val="000103C1"/>
    <w:rsid w:val="0001135F"/>
    <w:rsid w:val="00011AC4"/>
    <w:rsid w:val="0001280D"/>
    <w:rsid w:val="00012E14"/>
    <w:rsid w:val="00015C00"/>
    <w:rsid w:val="0001608E"/>
    <w:rsid w:val="0001667B"/>
    <w:rsid w:val="00016CCC"/>
    <w:rsid w:val="000173AE"/>
    <w:rsid w:val="00017A3A"/>
    <w:rsid w:val="0002084C"/>
    <w:rsid w:val="00020AC1"/>
    <w:rsid w:val="00020FC6"/>
    <w:rsid w:val="0002354E"/>
    <w:rsid w:val="00024494"/>
    <w:rsid w:val="000250EB"/>
    <w:rsid w:val="0002566C"/>
    <w:rsid w:val="000257CC"/>
    <w:rsid w:val="00025A42"/>
    <w:rsid w:val="0002667A"/>
    <w:rsid w:val="000266F6"/>
    <w:rsid w:val="00026F70"/>
    <w:rsid w:val="00027342"/>
    <w:rsid w:val="0002798F"/>
    <w:rsid w:val="00027A51"/>
    <w:rsid w:val="0003099A"/>
    <w:rsid w:val="00030BE7"/>
    <w:rsid w:val="00031C8B"/>
    <w:rsid w:val="00032A4A"/>
    <w:rsid w:val="000330E3"/>
    <w:rsid w:val="00035419"/>
    <w:rsid w:val="00035CA1"/>
    <w:rsid w:val="00035F32"/>
    <w:rsid w:val="00040610"/>
    <w:rsid w:val="00040B01"/>
    <w:rsid w:val="00040BA0"/>
    <w:rsid w:val="00040DAF"/>
    <w:rsid w:val="00041608"/>
    <w:rsid w:val="00041B38"/>
    <w:rsid w:val="00041C01"/>
    <w:rsid w:val="00042BBA"/>
    <w:rsid w:val="00043692"/>
    <w:rsid w:val="00045584"/>
    <w:rsid w:val="0004575B"/>
    <w:rsid w:val="0004648D"/>
    <w:rsid w:val="000465A5"/>
    <w:rsid w:val="00046943"/>
    <w:rsid w:val="00047439"/>
    <w:rsid w:val="000502FA"/>
    <w:rsid w:val="00050A3A"/>
    <w:rsid w:val="00050C70"/>
    <w:rsid w:val="00050CF8"/>
    <w:rsid w:val="00051460"/>
    <w:rsid w:val="00052FCA"/>
    <w:rsid w:val="000534AC"/>
    <w:rsid w:val="000537E3"/>
    <w:rsid w:val="0005382D"/>
    <w:rsid w:val="00055AB3"/>
    <w:rsid w:val="0005673F"/>
    <w:rsid w:val="00056D54"/>
    <w:rsid w:val="0005716E"/>
    <w:rsid w:val="000575E7"/>
    <w:rsid w:val="00057881"/>
    <w:rsid w:val="00057E12"/>
    <w:rsid w:val="00060124"/>
    <w:rsid w:val="00060B41"/>
    <w:rsid w:val="00060CB6"/>
    <w:rsid w:val="00062817"/>
    <w:rsid w:val="000629CF"/>
    <w:rsid w:val="0006344E"/>
    <w:rsid w:val="000639C7"/>
    <w:rsid w:val="00063CA5"/>
    <w:rsid w:val="00064092"/>
    <w:rsid w:val="0006461A"/>
    <w:rsid w:val="00064C7D"/>
    <w:rsid w:val="00064D0A"/>
    <w:rsid w:val="00064E16"/>
    <w:rsid w:val="000656F9"/>
    <w:rsid w:val="0006624C"/>
    <w:rsid w:val="0006686A"/>
    <w:rsid w:val="00066D12"/>
    <w:rsid w:val="000677D9"/>
    <w:rsid w:val="00070648"/>
    <w:rsid w:val="000721D3"/>
    <w:rsid w:val="000730AF"/>
    <w:rsid w:val="00073173"/>
    <w:rsid w:val="000735C8"/>
    <w:rsid w:val="000746B6"/>
    <w:rsid w:val="000755E1"/>
    <w:rsid w:val="00075703"/>
    <w:rsid w:val="00075935"/>
    <w:rsid w:val="00075D57"/>
    <w:rsid w:val="000771DE"/>
    <w:rsid w:val="00077E64"/>
    <w:rsid w:val="00080055"/>
    <w:rsid w:val="000803DD"/>
    <w:rsid w:val="00080822"/>
    <w:rsid w:val="00080F60"/>
    <w:rsid w:val="0008109E"/>
    <w:rsid w:val="00082551"/>
    <w:rsid w:val="0008360C"/>
    <w:rsid w:val="0008381D"/>
    <w:rsid w:val="00084E6A"/>
    <w:rsid w:val="00084FF2"/>
    <w:rsid w:val="0008650F"/>
    <w:rsid w:val="00086D16"/>
    <w:rsid w:val="00087074"/>
    <w:rsid w:val="00087205"/>
    <w:rsid w:val="000902E2"/>
    <w:rsid w:val="00092422"/>
    <w:rsid w:val="00092A4E"/>
    <w:rsid w:val="00092A56"/>
    <w:rsid w:val="00093F29"/>
    <w:rsid w:val="000946FB"/>
    <w:rsid w:val="0009534A"/>
    <w:rsid w:val="0009720D"/>
    <w:rsid w:val="00097AB0"/>
    <w:rsid w:val="000A11A0"/>
    <w:rsid w:val="000A24AA"/>
    <w:rsid w:val="000A2EEF"/>
    <w:rsid w:val="000A3019"/>
    <w:rsid w:val="000A32B0"/>
    <w:rsid w:val="000A3469"/>
    <w:rsid w:val="000A3E05"/>
    <w:rsid w:val="000A523D"/>
    <w:rsid w:val="000A5FD3"/>
    <w:rsid w:val="000A6082"/>
    <w:rsid w:val="000A61E5"/>
    <w:rsid w:val="000A65C4"/>
    <w:rsid w:val="000A671D"/>
    <w:rsid w:val="000A7803"/>
    <w:rsid w:val="000B0795"/>
    <w:rsid w:val="000B1AEF"/>
    <w:rsid w:val="000B1C31"/>
    <w:rsid w:val="000B2362"/>
    <w:rsid w:val="000B3146"/>
    <w:rsid w:val="000B390D"/>
    <w:rsid w:val="000B48A6"/>
    <w:rsid w:val="000B4EDD"/>
    <w:rsid w:val="000B5269"/>
    <w:rsid w:val="000B5635"/>
    <w:rsid w:val="000B571C"/>
    <w:rsid w:val="000B6839"/>
    <w:rsid w:val="000B72D7"/>
    <w:rsid w:val="000B74E9"/>
    <w:rsid w:val="000B7792"/>
    <w:rsid w:val="000C004F"/>
    <w:rsid w:val="000C095D"/>
    <w:rsid w:val="000C1460"/>
    <w:rsid w:val="000C3AA6"/>
    <w:rsid w:val="000C3F39"/>
    <w:rsid w:val="000C4EB0"/>
    <w:rsid w:val="000C5299"/>
    <w:rsid w:val="000C5DC6"/>
    <w:rsid w:val="000C7CA4"/>
    <w:rsid w:val="000D0AE7"/>
    <w:rsid w:val="000D0AE8"/>
    <w:rsid w:val="000D2383"/>
    <w:rsid w:val="000D2DB2"/>
    <w:rsid w:val="000D2F41"/>
    <w:rsid w:val="000D3A8B"/>
    <w:rsid w:val="000D425E"/>
    <w:rsid w:val="000D4629"/>
    <w:rsid w:val="000D513C"/>
    <w:rsid w:val="000D52C6"/>
    <w:rsid w:val="000D5D1F"/>
    <w:rsid w:val="000D7E4D"/>
    <w:rsid w:val="000E14B7"/>
    <w:rsid w:val="000E1546"/>
    <w:rsid w:val="000E2FCF"/>
    <w:rsid w:val="000E35A7"/>
    <w:rsid w:val="000E476E"/>
    <w:rsid w:val="000E4938"/>
    <w:rsid w:val="000E538C"/>
    <w:rsid w:val="000E5413"/>
    <w:rsid w:val="000E5955"/>
    <w:rsid w:val="000E753E"/>
    <w:rsid w:val="000E7D34"/>
    <w:rsid w:val="000F02F7"/>
    <w:rsid w:val="000F0B81"/>
    <w:rsid w:val="000F233E"/>
    <w:rsid w:val="000F26C2"/>
    <w:rsid w:val="000F361C"/>
    <w:rsid w:val="000F3E39"/>
    <w:rsid w:val="000F467E"/>
    <w:rsid w:val="000F46E6"/>
    <w:rsid w:val="000F4B1F"/>
    <w:rsid w:val="000F5E94"/>
    <w:rsid w:val="000F7F5F"/>
    <w:rsid w:val="00100ED3"/>
    <w:rsid w:val="001019E2"/>
    <w:rsid w:val="00101D0B"/>
    <w:rsid w:val="001049BD"/>
    <w:rsid w:val="00105E4C"/>
    <w:rsid w:val="001064B9"/>
    <w:rsid w:val="00106F5A"/>
    <w:rsid w:val="00111353"/>
    <w:rsid w:val="00112EDC"/>
    <w:rsid w:val="001150BA"/>
    <w:rsid w:val="0011590C"/>
    <w:rsid w:val="0011599F"/>
    <w:rsid w:val="00115F39"/>
    <w:rsid w:val="00116026"/>
    <w:rsid w:val="00117529"/>
    <w:rsid w:val="00117D06"/>
    <w:rsid w:val="00120396"/>
    <w:rsid w:val="00120DE5"/>
    <w:rsid w:val="0012174F"/>
    <w:rsid w:val="001226CB"/>
    <w:rsid w:val="0012299B"/>
    <w:rsid w:val="0012329A"/>
    <w:rsid w:val="0012437D"/>
    <w:rsid w:val="001255E4"/>
    <w:rsid w:val="00125E05"/>
    <w:rsid w:val="00125FEA"/>
    <w:rsid w:val="00126DDB"/>
    <w:rsid w:val="0012701E"/>
    <w:rsid w:val="00131952"/>
    <w:rsid w:val="0013222E"/>
    <w:rsid w:val="00132529"/>
    <w:rsid w:val="00132C89"/>
    <w:rsid w:val="0013405D"/>
    <w:rsid w:val="00134928"/>
    <w:rsid w:val="00134FDC"/>
    <w:rsid w:val="00134FFC"/>
    <w:rsid w:val="001356E5"/>
    <w:rsid w:val="00135910"/>
    <w:rsid w:val="00135941"/>
    <w:rsid w:val="0014084C"/>
    <w:rsid w:val="00140FAF"/>
    <w:rsid w:val="00141388"/>
    <w:rsid w:val="00142ED5"/>
    <w:rsid w:val="00142F77"/>
    <w:rsid w:val="001449F9"/>
    <w:rsid w:val="00144E61"/>
    <w:rsid w:val="00146483"/>
    <w:rsid w:val="00146BD7"/>
    <w:rsid w:val="001470F0"/>
    <w:rsid w:val="00147352"/>
    <w:rsid w:val="001474FD"/>
    <w:rsid w:val="0014AF87"/>
    <w:rsid w:val="001513B4"/>
    <w:rsid w:val="0015217F"/>
    <w:rsid w:val="00152CF6"/>
    <w:rsid w:val="001538C4"/>
    <w:rsid w:val="00153E17"/>
    <w:rsid w:val="00154256"/>
    <w:rsid w:val="001551A7"/>
    <w:rsid w:val="00155CC3"/>
    <w:rsid w:val="00156EA3"/>
    <w:rsid w:val="00161A99"/>
    <w:rsid w:val="00162C2D"/>
    <w:rsid w:val="00163C1D"/>
    <w:rsid w:val="001641C9"/>
    <w:rsid w:val="00164C67"/>
    <w:rsid w:val="00164EA1"/>
    <w:rsid w:val="00165FDC"/>
    <w:rsid w:val="00166629"/>
    <w:rsid w:val="00171181"/>
    <w:rsid w:val="001712E7"/>
    <w:rsid w:val="00172E19"/>
    <w:rsid w:val="001736D0"/>
    <w:rsid w:val="00174243"/>
    <w:rsid w:val="001744E6"/>
    <w:rsid w:val="00175E50"/>
    <w:rsid w:val="00176953"/>
    <w:rsid w:val="00176BD0"/>
    <w:rsid w:val="00177BFA"/>
    <w:rsid w:val="00181AD1"/>
    <w:rsid w:val="00182B27"/>
    <w:rsid w:val="00184378"/>
    <w:rsid w:val="0018581D"/>
    <w:rsid w:val="00187617"/>
    <w:rsid w:val="00187DED"/>
    <w:rsid w:val="00187F8A"/>
    <w:rsid w:val="00190745"/>
    <w:rsid w:val="001916C0"/>
    <w:rsid w:val="001922A7"/>
    <w:rsid w:val="001922C8"/>
    <w:rsid w:val="00193234"/>
    <w:rsid w:val="00194510"/>
    <w:rsid w:val="001947E9"/>
    <w:rsid w:val="00194865"/>
    <w:rsid w:val="00194E1E"/>
    <w:rsid w:val="0019751B"/>
    <w:rsid w:val="001A00A7"/>
    <w:rsid w:val="001A0563"/>
    <w:rsid w:val="001A0C7A"/>
    <w:rsid w:val="001A2DFA"/>
    <w:rsid w:val="001A3813"/>
    <w:rsid w:val="001A3E67"/>
    <w:rsid w:val="001A47EC"/>
    <w:rsid w:val="001A5568"/>
    <w:rsid w:val="001A66BC"/>
    <w:rsid w:val="001A76B4"/>
    <w:rsid w:val="001A7BDD"/>
    <w:rsid w:val="001A7CD2"/>
    <w:rsid w:val="001B05DD"/>
    <w:rsid w:val="001B0DF4"/>
    <w:rsid w:val="001B1B08"/>
    <w:rsid w:val="001B1E25"/>
    <w:rsid w:val="001B2C26"/>
    <w:rsid w:val="001B2FBB"/>
    <w:rsid w:val="001B402B"/>
    <w:rsid w:val="001B441B"/>
    <w:rsid w:val="001B4C2F"/>
    <w:rsid w:val="001B57A4"/>
    <w:rsid w:val="001B5A2C"/>
    <w:rsid w:val="001B607D"/>
    <w:rsid w:val="001B69F9"/>
    <w:rsid w:val="001B6EFA"/>
    <w:rsid w:val="001B7520"/>
    <w:rsid w:val="001C091E"/>
    <w:rsid w:val="001C115C"/>
    <w:rsid w:val="001C2314"/>
    <w:rsid w:val="001C372A"/>
    <w:rsid w:val="001C3C98"/>
    <w:rsid w:val="001C5D07"/>
    <w:rsid w:val="001C7810"/>
    <w:rsid w:val="001C78FB"/>
    <w:rsid w:val="001C792F"/>
    <w:rsid w:val="001C7CD1"/>
    <w:rsid w:val="001D0B9A"/>
    <w:rsid w:val="001D10A0"/>
    <w:rsid w:val="001D3770"/>
    <w:rsid w:val="001D3F27"/>
    <w:rsid w:val="001D7CFD"/>
    <w:rsid w:val="001E0E21"/>
    <w:rsid w:val="001E103F"/>
    <w:rsid w:val="001E1210"/>
    <w:rsid w:val="001E16CA"/>
    <w:rsid w:val="001E2274"/>
    <w:rsid w:val="001E382D"/>
    <w:rsid w:val="001E4744"/>
    <w:rsid w:val="001E659B"/>
    <w:rsid w:val="001E75B5"/>
    <w:rsid w:val="001E7604"/>
    <w:rsid w:val="001E7EC1"/>
    <w:rsid w:val="001F01A3"/>
    <w:rsid w:val="001F024C"/>
    <w:rsid w:val="001F1508"/>
    <w:rsid w:val="001F33B5"/>
    <w:rsid w:val="001F4031"/>
    <w:rsid w:val="001F5774"/>
    <w:rsid w:val="001F5F81"/>
    <w:rsid w:val="001F6762"/>
    <w:rsid w:val="001F71B4"/>
    <w:rsid w:val="001F7F7C"/>
    <w:rsid w:val="002006C4"/>
    <w:rsid w:val="00201025"/>
    <w:rsid w:val="0020342F"/>
    <w:rsid w:val="00203CDE"/>
    <w:rsid w:val="002057AC"/>
    <w:rsid w:val="00205C17"/>
    <w:rsid w:val="0020699F"/>
    <w:rsid w:val="002073D2"/>
    <w:rsid w:val="00207926"/>
    <w:rsid w:val="00210341"/>
    <w:rsid w:val="00210404"/>
    <w:rsid w:val="00210407"/>
    <w:rsid w:val="002106D5"/>
    <w:rsid w:val="00211CCB"/>
    <w:rsid w:val="0021244A"/>
    <w:rsid w:val="00212920"/>
    <w:rsid w:val="00213D04"/>
    <w:rsid w:val="00214441"/>
    <w:rsid w:val="00214EB4"/>
    <w:rsid w:val="00215A5A"/>
    <w:rsid w:val="00215D21"/>
    <w:rsid w:val="00215F1D"/>
    <w:rsid w:val="002164E1"/>
    <w:rsid w:val="00216787"/>
    <w:rsid w:val="0021680F"/>
    <w:rsid w:val="00217F4F"/>
    <w:rsid w:val="002217F0"/>
    <w:rsid w:val="00221E35"/>
    <w:rsid w:val="002223D3"/>
    <w:rsid w:val="002224A9"/>
    <w:rsid w:val="00222993"/>
    <w:rsid w:val="0022329B"/>
    <w:rsid w:val="002233EF"/>
    <w:rsid w:val="00223E8C"/>
    <w:rsid w:val="0022449B"/>
    <w:rsid w:val="002245C3"/>
    <w:rsid w:val="002248B7"/>
    <w:rsid w:val="00225BB0"/>
    <w:rsid w:val="00225C33"/>
    <w:rsid w:val="00225F62"/>
    <w:rsid w:val="00226656"/>
    <w:rsid w:val="0022673B"/>
    <w:rsid w:val="00226C9D"/>
    <w:rsid w:val="00226CC3"/>
    <w:rsid w:val="002275A4"/>
    <w:rsid w:val="00227693"/>
    <w:rsid w:val="0022790A"/>
    <w:rsid w:val="002305B5"/>
    <w:rsid w:val="002308A9"/>
    <w:rsid w:val="00230D61"/>
    <w:rsid w:val="0023144D"/>
    <w:rsid w:val="002325AF"/>
    <w:rsid w:val="00233C14"/>
    <w:rsid w:val="002344E7"/>
    <w:rsid w:val="00234B75"/>
    <w:rsid w:val="00234F46"/>
    <w:rsid w:val="00235C65"/>
    <w:rsid w:val="002364F9"/>
    <w:rsid w:val="00236625"/>
    <w:rsid w:val="00236650"/>
    <w:rsid w:val="00240B49"/>
    <w:rsid w:val="002410AD"/>
    <w:rsid w:val="00241845"/>
    <w:rsid w:val="00241CB2"/>
    <w:rsid w:val="002422AB"/>
    <w:rsid w:val="00242E97"/>
    <w:rsid w:val="0024326F"/>
    <w:rsid w:val="0024336B"/>
    <w:rsid w:val="00243A90"/>
    <w:rsid w:val="00243CF1"/>
    <w:rsid w:val="002449F3"/>
    <w:rsid w:val="0024663D"/>
    <w:rsid w:val="00247ABA"/>
    <w:rsid w:val="00251346"/>
    <w:rsid w:val="002519DF"/>
    <w:rsid w:val="0025247F"/>
    <w:rsid w:val="00252856"/>
    <w:rsid w:val="00252F4A"/>
    <w:rsid w:val="00253247"/>
    <w:rsid w:val="00253608"/>
    <w:rsid w:val="00253AB2"/>
    <w:rsid w:val="00253FD5"/>
    <w:rsid w:val="00255351"/>
    <w:rsid w:val="002573E7"/>
    <w:rsid w:val="00257DD2"/>
    <w:rsid w:val="002606A8"/>
    <w:rsid w:val="0026090D"/>
    <w:rsid w:val="00260A43"/>
    <w:rsid w:val="00260C62"/>
    <w:rsid w:val="002610D0"/>
    <w:rsid w:val="00262C25"/>
    <w:rsid w:val="00262E65"/>
    <w:rsid w:val="00263433"/>
    <w:rsid w:val="0026356E"/>
    <w:rsid w:val="002637B7"/>
    <w:rsid w:val="00263928"/>
    <w:rsid w:val="002642D0"/>
    <w:rsid w:val="002649DD"/>
    <w:rsid w:val="00266135"/>
    <w:rsid w:val="002666BC"/>
    <w:rsid w:val="00266D63"/>
    <w:rsid w:val="00267BF2"/>
    <w:rsid w:val="00270797"/>
    <w:rsid w:val="00272142"/>
    <w:rsid w:val="0028021F"/>
    <w:rsid w:val="00280574"/>
    <w:rsid w:val="00280873"/>
    <w:rsid w:val="00280FCE"/>
    <w:rsid w:val="002810C2"/>
    <w:rsid w:val="0028149F"/>
    <w:rsid w:val="00281DC6"/>
    <w:rsid w:val="0028397D"/>
    <w:rsid w:val="0028534C"/>
    <w:rsid w:val="0028555C"/>
    <w:rsid w:val="00286187"/>
    <w:rsid w:val="00287090"/>
    <w:rsid w:val="00287432"/>
    <w:rsid w:val="00287FB9"/>
    <w:rsid w:val="00290856"/>
    <w:rsid w:val="002908A7"/>
    <w:rsid w:val="0029098D"/>
    <w:rsid w:val="002914B5"/>
    <w:rsid w:val="00291800"/>
    <w:rsid w:val="002923BD"/>
    <w:rsid w:val="0029298F"/>
    <w:rsid w:val="00292B6B"/>
    <w:rsid w:val="00293AC2"/>
    <w:rsid w:val="00293C23"/>
    <w:rsid w:val="00293D83"/>
    <w:rsid w:val="00293F99"/>
    <w:rsid w:val="00295608"/>
    <w:rsid w:val="0029631A"/>
    <w:rsid w:val="00296A2B"/>
    <w:rsid w:val="00297F1D"/>
    <w:rsid w:val="002A1793"/>
    <w:rsid w:val="002A1D13"/>
    <w:rsid w:val="002A30D9"/>
    <w:rsid w:val="002A4254"/>
    <w:rsid w:val="002A5055"/>
    <w:rsid w:val="002A6C2D"/>
    <w:rsid w:val="002A6C40"/>
    <w:rsid w:val="002A7BD3"/>
    <w:rsid w:val="002B10EB"/>
    <w:rsid w:val="002B1206"/>
    <w:rsid w:val="002B16FA"/>
    <w:rsid w:val="002B1848"/>
    <w:rsid w:val="002B1948"/>
    <w:rsid w:val="002B1EF7"/>
    <w:rsid w:val="002B26A1"/>
    <w:rsid w:val="002B34DB"/>
    <w:rsid w:val="002B430C"/>
    <w:rsid w:val="002B43BC"/>
    <w:rsid w:val="002B527F"/>
    <w:rsid w:val="002B58DE"/>
    <w:rsid w:val="002B5D0C"/>
    <w:rsid w:val="002B61D5"/>
    <w:rsid w:val="002B6649"/>
    <w:rsid w:val="002B6B43"/>
    <w:rsid w:val="002B705C"/>
    <w:rsid w:val="002B7287"/>
    <w:rsid w:val="002B7DB8"/>
    <w:rsid w:val="002C0122"/>
    <w:rsid w:val="002C0339"/>
    <w:rsid w:val="002C0EF2"/>
    <w:rsid w:val="002C1911"/>
    <w:rsid w:val="002C1AA9"/>
    <w:rsid w:val="002C203E"/>
    <w:rsid w:val="002C22F3"/>
    <w:rsid w:val="002C27B9"/>
    <w:rsid w:val="002C27C6"/>
    <w:rsid w:val="002C27F4"/>
    <w:rsid w:val="002C2AC7"/>
    <w:rsid w:val="002C3F26"/>
    <w:rsid w:val="002C41BB"/>
    <w:rsid w:val="002C57D2"/>
    <w:rsid w:val="002C5A4C"/>
    <w:rsid w:val="002C7401"/>
    <w:rsid w:val="002D09E2"/>
    <w:rsid w:val="002D0D5C"/>
    <w:rsid w:val="002D0D75"/>
    <w:rsid w:val="002D11BE"/>
    <w:rsid w:val="002D156C"/>
    <w:rsid w:val="002D16A6"/>
    <w:rsid w:val="002D1CB8"/>
    <w:rsid w:val="002D2955"/>
    <w:rsid w:val="002D4A00"/>
    <w:rsid w:val="002D4CB4"/>
    <w:rsid w:val="002D65CC"/>
    <w:rsid w:val="002D6F61"/>
    <w:rsid w:val="002D7589"/>
    <w:rsid w:val="002E012F"/>
    <w:rsid w:val="002E03B2"/>
    <w:rsid w:val="002E0BAF"/>
    <w:rsid w:val="002E28F5"/>
    <w:rsid w:val="002E2A6F"/>
    <w:rsid w:val="002E363F"/>
    <w:rsid w:val="002E426F"/>
    <w:rsid w:val="002E4894"/>
    <w:rsid w:val="002E4E73"/>
    <w:rsid w:val="002E4EFC"/>
    <w:rsid w:val="002E67A5"/>
    <w:rsid w:val="002E7F2D"/>
    <w:rsid w:val="002F0EA1"/>
    <w:rsid w:val="002F264E"/>
    <w:rsid w:val="002F2901"/>
    <w:rsid w:val="002F4375"/>
    <w:rsid w:val="002F4E17"/>
    <w:rsid w:val="002F5354"/>
    <w:rsid w:val="002F58CA"/>
    <w:rsid w:val="002F5D5B"/>
    <w:rsid w:val="002F5E18"/>
    <w:rsid w:val="002F5F38"/>
    <w:rsid w:val="002F62EF"/>
    <w:rsid w:val="002F68FE"/>
    <w:rsid w:val="003022E8"/>
    <w:rsid w:val="00303480"/>
    <w:rsid w:val="0030523C"/>
    <w:rsid w:val="00305856"/>
    <w:rsid w:val="00305D86"/>
    <w:rsid w:val="00306AAD"/>
    <w:rsid w:val="0030700E"/>
    <w:rsid w:val="0031156F"/>
    <w:rsid w:val="00311A7C"/>
    <w:rsid w:val="00312CE1"/>
    <w:rsid w:val="00313466"/>
    <w:rsid w:val="00313546"/>
    <w:rsid w:val="00313F3F"/>
    <w:rsid w:val="00314CFD"/>
    <w:rsid w:val="00314F53"/>
    <w:rsid w:val="00315206"/>
    <w:rsid w:val="00315390"/>
    <w:rsid w:val="00315BA9"/>
    <w:rsid w:val="00315D50"/>
    <w:rsid w:val="00315FCD"/>
    <w:rsid w:val="0031636F"/>
    <w:rsid w:val="0031721C"/>
    <w:rsid w:val="0032179C"/>
    <w:rsid w:val="00321F97"/>
    <w:rsid w:val="00322BE2"/>
    <w:rsid w:val="003240A6"/>
    <w:rsid w:val="0032474C"/>
    <w:rsid w:val="00324F41"/>
    <w:rsid w:val="00325988"/>
    <w:rsid w:val="00325D36"/>
    <w:rsid w:val="00325E35"/>
    <w:rsid w:val="0032625B"/>
    <w:rsid w:val="0032678E"/>
    <w:rsid w:val="00327D16"/>
    <w:rsid w:val="00330201"/>
    <w:rsid w:val="00334355"/>
    <w:rsid w:val="003344B9"/>
    <w:rsid w:val="003345B2"/>
    <w:rsid w:val="00334E5E"/>
    <w:rsid w:val="00334E6C"/>
    <w:rsid w:val="00334FEC"/>
    <w:rsid w:val="003356C5"/>
    <w:rsid w:val="003357F4"/>
    <w:rsid w:val="00335BB5"/>
    <w:rsid w:val="00336311"/>
    <w:rsid w:val="0033631D"/>
    <w:rsid w:val="00340881"/>
    <w:rsid w:val="003416E5"/>
    <w:rsid w:val="0034323A"/>
    <w:rsid w:val="003453C5"/>
    <w:rsid w:val="00345818"/>
    <w:rsid w:val="00345CA2"/>
    <w:rsid w:val="00346569"/>
    <w:rsid w:val="00346634"/>
    <w:rsid w:val="00346DB3"/>
    <w:rsid w:val="003471AE"/>
    <w:rsid w:val="003479C9"/>
    <w:rsid w:val="00351689"/>
    <w:rsid w:val="00351D1D"/>
    <w:rsid w:val="00351E34"/>
    <w:rsid w:val="0035279B"/>
    <w:rsid w:val="00353CB5"/>
    <w:rsid w:val="003542A3"/>
    <w:rsid w:val="0035476F"/>
    <w:rsid w:val="0035663A"/>
    <w:rsid w:val="003570A6"/>
    <w:rsid w:val="00360A78"/>
    <w:rsid w:val="003632CF"/>
    <w:rsid w:val="00364590"/>
    <w:rsid w:val="00364DFB"/>
    <w:rsid w:val="00365194"/>
    <w:rsid w:val="00366BC6"/>
    <w:rsid w:val="00367E50"/>
    <w:rsid w:val="00370164"/>
    <w:rsid w:val="00370538"/>
    <w:rsid w:val="00370A7F"/>
    <w:rsid w:val="00371142"/>
    <w:rsid w:val="0037155B"/>
    <w:rsid w:val="00372A2D"/>
    <w:rsid w:val="00372CA2"/>
    <w:rsid w:val="00372FF6"/>
    <w:rsid w:val="00374651"/>
    <w:rsid w:val="003749F3"/>
    <w:rsid w:val="00374FB0"/>
    <w:rsid w:val="003768D4"/>
    <w:rsid w:val="00376CB9"/>
    <w:rsid w:val="0037705C"/>
    <w:rsid w:val="003771C5"/>
    <w:rsid w:val="00377259"/>
    <w:rsid w:val="00380ED9"/>
    <w:rsid w:val="003811C7"/>
    <w:rsid w:val="003817EB"/>
    <w:rsid w:val="003834A0"/>
    <w:rsid w:val="003855A0"/>
    <w:rsid w:val="00386F41"/>
    <w:rsid w:val="00387294"/>
    <w:rsid w:val="003879D0"/>
    <w:rsid w:val="00387BBE"/>
    <w:rsid w:val="0039175A"/>
    <w:rsid w:val="00392A9C"/>
    <w:rsid w:val="00393D58"/>
    <w:rsid w:val="00394D08"/>
    <w:rsid w:val="00395294"/>
    <w:rsid w:val="003954A4"/>
    <w:rsid w:val="00395794"/>
    <w:rsid w:val="00395A7A"/>
    <w:rsid w:val="00395BFA"/>
    <w:rsid w:val="00396971"/>
    <w:rsid w:val="00396D92"/>
    <w:rsid w:val="003A0227"/>
    <w:rsid w:val="003A04F5"/>
    <w:rsid w:val="003A052A"/>
    <w:rsid w:val="003A0662"/>
    <w:rsid w:val="003A06AA"/>
    <w:rsid w:val="003A0E99"/>
    <w:rsid w:val="003A18A0"/>
    <w:rsid w:val="003A1DFF"/>
    <w:rsid w:val="003A253D"/>
    <w:rsid w:val="003A29B5"/>
    <w:rsid w:val="003A2BEF"/>
    <w:rsid w:val="003A2CE0"/>
    <w:rsid w:val="003A34A3"/>
    <w:rsid w:val="003A580D"/>
    <w:rsid w:val="003A61B5"/>
    <w:rsid w:val="003A796B"/>
    <w:rsid w:val="003A7B39"/>
    <w:rsid w:val="003B01B9"/>
    <w:rsid w:val="003B0573"/>
    <w:rsid w:val="003B08F2"/>
    <w:rsid w:val="003B097D"/>
    <w:rsid w:val="003B122D"/>
    <w:rsid w:val="003B13BE"/>
    <w:rsid w:val="003B26B4"/>
    <w:rsid w:val="003B28CE"/>
    <w:rsid w:val="003B3E60"/>
    <w:rsid w:val="003B43C3"/>
    <w:rsid w:val="003B5CEE"/>
    <w:rsid w:val="003B5FAC"/>
    <w:rsid w:val="003B64C7"/>
    <w:rsid w:val="003C18DA"/>
    <w:rsid w:val="003C2000"/>
    <w:rsid w:val="003C23FE"/>
    <w:rsid w:val="003C36DE"/>
    <w:rsid w:val="003C4A02"/>
    <w:rsid w:val="003C4FEF"/>
    <w:rsid w:val="003C5CAA"/>
    <w:rsid w:val="003C7229"/>
    <w:rsid w:val="003D08D8"/>
    <w:rsid w:val="003D08F3"/>
    <w:rsid w:val="003D0E6A"/>
    <w:rsid w:val="003D0F71"/>
    <w:rsid w:val="003D0F8F"/>
    <w:rsid w:val="003D16AB"/>
    <w:rsid w:val="003D2C1D"/>
    <w:rsid w:val="003D4085"/>
    <w:rsid w:val="003D4119"/>
    <w:rsid w:val="003D4F94"/>
    <w:rsid w:val="003D4FC7"/>
    <w:rsid w:val="003D5091"/>
    <w:rsid w:val="003D6E6E"/>
    <w:rsid w:val="003E0297"/>
    <w:rsid w:val="003E0F14"/>
    <w:rsid w:val="003E14F3"/>
    <w:rsid w:val="003E1739"/>
    <w:rsid w:val="003E1784"/>
    <w:rsid w:val="003E187A"/>
    <w:rsid w:val="003E2442"/>
    <w:rsid w:val="003E30EC"/>
    <w:rsid w:val="003E3AD7"/>
    <w:rsid w:val="003E54F4"/>
    <w:rsid w:val="003E5630"/>
    <w:rsid w:val="003E58EC"/>
    <w:rsid w:val="003E6571"/>
    <w:rsid w:val="003E6B4E"/>
    <w:rsid w:val="003E7CA1"/>
    <w:rsid w:val="003F0380"/>
    <w:rsid w:val="003F0ECD"/>
    <w:rsid w:val="003F16BE"/>
    <w:rsid w:val="003F1D04"/>
    <w:rsid w:val="003F2AD8"/>
    <w:rsid w:val="003F2CD4"/>
    <w:rsid w:val="003F398A"/>
    <w:rsid w:val="003F4A07"/>
    <w:rsid w:val="003F58EA"/>
    <w:rsid w:val="003F5E44"/>
    <w:rsid w:val="003F73FD"/>
    <w:rsid w:val="00401B7B"/>
    <w:rsid w:val="004045FC"/>
    <w:rsid w:val="0040580F"/>
    <w:rsid w:val="00405CC1"/>
    <w:rsid w:val="00406B49"/>
    <w:rsid w:val="00406D59"/>
    <w:rsid w:val="004076BA"/>
    <w:rsid w:val="004077D0"/>
    <w:rsid w:val="004108A0"/>
    <w:rsid w:val="00410FCF"/>
    <w:rsid w:val="00412BCB"/>
    <w:rsid w:val="00412C94"/>
    <w:rsid w:val="00413845"/>
    <w:rsid w:val="00413A62"/>
    <w:rsid w:val="0041523F"/>
    <w:rsid w:val="00417052"/>
    <w:rsid w:val="00420914"/>
    <w:rsid w:val="00420995"/>
    <w:rsid w:val="004228A8"/>
    <w:rsid w:val="00422B16"/>
    <w:rsid w:val="00422B62"/>
    <w:rsid w:val="004251BF"/>
    <w:rsid w:val="004255D9"/>
    <w:rsid w:val="004257FC"/>
    <w:rsid w:val="0042593D"/>
    <w:rsid w:val="00425FAF"/>
    <w:rsid w:val="00425FF2"/>
    <w:rsid w:val="0042603C"/>
    <w:rsid w:val="00426931"/>
    <w:rsid w:val="00426DA5"/>
    <w:rsid w:val="004272E4"/>
    <w:rsid w:val="00430AC0"/>
    <w:rsid w:val="00430E1C"/>
    <w:rsid w:val="004317D6"/>
    <w:rsid w:val="00431E30"/>
    <w:rsid w:val="004331D7"/>
    <w:rsid w:val="004331E4"/>
    <w:rsid w:val="00433D8C"/>
    <w:rsid w:val="00434899"/>
    <w:rsid w:val="00434C96"/>
    <w:rsid w:val="00434F45"/>
    <w:rsid w:val="004354F6"/>
    <w:rsid w:val="0043596D"/>
    <w:rsid w:val="00436B4A"/>
    <w:rsid w:val="0044009A"/>
    <w:rsid w:val="00440989"/>
    <w:rsid w:val="00441EC3"/>
    <w:rsid w:val="004435EE"/>
    <w:rsid w:val="004437FE"/>
    <w:rsid w:val="00444548"/>
    <w:rsid w:val="00446342"/>
    <w:rsid w:val="004503EA"/>
    <w:rsid w:val="00452843"/>
    <w:rsid w:val="00453514"/>
    <w:rsid w:val="0045717F"/>
    <w:rsid w:val="00457574"/>
    <w:rsid w:val="00460914"/>
    <w:rsid w:val="004609A4"/>
    <w:rsid w:val="00462373"/>
    <w:rsid w:val="004627B7"/>
    <w:rsid w:val="00462D8F"/>
    <w:rsid w:val="004633D9"/>
    <w:rsid w:val="00464B40"/>
    <w:rsid w:val="00464B4D"/>
    <w:rsid w:val="00464E8A"/>
    <w:rsid w:val="00465520"/>
    <w:rsid w:val="00465BCE"/>
    <w:rsid w:val="00466B9F"/>
    <w:rsid w:val="00466BA2"/>
    <w:rsid w:val="00466E9C"/>
    <w:rsid w:val="00471EC5"/>
    <w:rsid w:val="00472D5A"/>
    <w:rsid w:val="00473955"/>
    <w:rsid w:val="0047474F"/>
    <w:rsid w:val="00476000"/>
    <w:rsid w:val="00476E90"/>
    <w:rsid w:val="00476EFB"/>
    <w:rsid w:val="00477F84"/>
    <w:rsid w:val="004808FC"/>
    <w:rsid w:val="00481610"/>
    <w:rsid w:val="004825AC"/>
    <w:rsid w:val="00482EB0"/>
    <w:rsid w:val="00483B1B"/>
    <w:rsid w:val="004859CF"/>
    <w:rsid w:val="00485BBB"/>
    <w:rsid w:val="00485D13"/>
    <w:rsid w:val="00490C2B"/>
    <w:rsid w:val="00490F6A"/>
    <w:rsid w:val="004913FF"/>
    <w:rsid w:val="00492290"/>
    <w:rsid w:val="004925E8"/>
    <w:rsid w:val="00492A28"/>
    <w:rsid w:val="00494AF1"/>
    <w:rsid w:val="004951AE"/>
    <w:rsid w:val="004960E1"/>
    <w:rsid w:val="00496BA1"/>
    <w:rsid w:val="004A0363"/>
    <w:rsid w:val="004A0BCB"/>
    <w:rsid w:val="004A2D78"/>
    <w:rsid w:val="004A372D"/>
    <w:rsid w:val="004A3A3C"/>
    <w:rsid w:val="004A4D05"/>
    <w:rsid w:val="004A51C9"/>
    <w:rsid w:val="004A59CA"/>
    <w:rsid w:val="004A684C"/>
    <w:rsid w:val="004A7049"/>
    <w:rsid w:val="004A721A"/>
    <w:rsid w:val="004A7357"/>
    <w:rsid w:val="004A75B4"/>
    <w:rsid w:val="004A7E1B"/>
    <w:rsid w:val="004B1221"/>
    <w:rsid w:val="004B24F3"/>
    <w:rsid w:val="004B26DD"/>
    <w:rsid w:val="004B2919"/>
    <w:rsid w:val="004B49CC"/>
    <w:rsid w:val="004B52AF"/>
    <w:rsid w:val="004B52E5"/>
    <w:rsid w:val="004B666C"/>
    <w:rsid w:val="004C003D"/>
    <w:rsid w:val="004C0850"/>
    <w:rsid w:val="004C0C77"/>
    <w:rsid w:val="004C0CEF"/>
    <w:rsid w:val="004C0D88"/>
    <w:rsid w:val="004C1A0D"/>
    <w:rsid w:val="004C219F"/>
    <w:rsid w:val="004C22B8"/>
    <w:rsid w:val="004C2516"/>
    <w:rsid w:val="004C268D"/>
    <w:rsid w:val="004C3331"/>
    <w:rsid w:val="004C3DB0"/>
    <w:rsid w:val="004C41D8"/>
    <w:rsid w:val="004C712F"/>
    <w:rsid w:val="004C76B9"/>
    <w:rsid w:val="004C7AEA"/>
    <w:rsid w:val="004D1B26"/>
    <w:rsid w:val="004D2626"/>
    <w:rsid w:val="004D3274"/>
    <w:rsid w:val="004D3BAF"/>
    <w:rsid w:val="004D4610"/>
    <w:rsid w:val="004D53C3"/>
    <w:rsid w:val="004D5A7C"/>
    <w:rsid w:val="004D5D78"/>
    <w:rsid w:val="004D62E5"/>
    <w:rsid w:val="004D67B7"/>
    <w:rsid w:val="004D74A5"/>
    <w:rsid w:val="004D7AF3"/>
    <w:rsid w:val="004E0B49"/>
    <w:rsid w:val="004E2081"/>
    <w:rsid w:val="004E323B"/>
    <w:rsid w:val="004E39D3"/>
    <w:rsid w:val="004E40EE"/>
    <w:rsid w:val="004E4F81"/>
    <w:rsid w:val="004E544C"/>
    <w:rsid w:val="004E5AE8"/>
    <w:rsid w:val="004E6AC6"/>
    <w:rsid w:val="004E6E45"/>
    <w:rsid w:val="004E718B"/>
    <w:rsid w:val="004E74EE"/>
    <w:rsid w:val="004F0DA8"/>
    <w:rsid w:val="004F14E3"/>
    <w:rsid w:val="004F1C11"/>
    <w:rsid w:val="004F2447"/>
    <w:rsid w:val="004F260B"/>
    <w:rsid w:val="004F2A32"/>
    <w:rsid w:val="004F3603"/>
    <w:rsid w:val="004F3CEC"/>
    <w:rsid w:val="004F4764"/>
    <w:rsid w:val="004F515D"/>
    <w:rsid w:val="004F5C8D"/>
    <w:rsid w:val="004F6490"/>
    <w:rsid w:val="004F686B"/>
    <w:rsid w:val="004F6F64"/>
    <w:rsid w:val="00500BD0"/>
    <w:rsid w:val="00501D17"/>
    <w:rsid w:val="00501F06"/>
    <w:rsid w:val="00503F45"/>
    <w:rsid w:val="00504505"/>
    <w:rsid w:val="00504BF5"/>
    <w:rsid w:val="00505A03"/>
    <w:rsid w:val="00505DA1"/>
    <w:rsid w:val="0050614C"/>
    <w:rsid w:val="0050627A"/>
    <w:rsid w:val="00507F41"/>
    <w:rsid w:val="005100CA"/>
    <w:rsid w:val="00510716"/>
    <w:rsid w:val="005107DF"/>
    <w:rsid w:val="00510B1C"/>
    <w:rsid w:val="00511058"/>
    <w:rsid w:val="00511E11"/>
    <w:rsid w:val="00512562"/>
    <w:rsid w:val="005133F8"/>
    <w:rsid w:val="0051352A"/>
    <w:rsid w:val="00513996"/>
    <w:rsid w:val="005139C9"/>
    <w:rsid w:val="00515202"/>
    <w:rsid w:val="0051681C"/>
    <w:rsid w:val="00516AD7"/>
    <w:rsid w:val="00520AFF"/>
    <w:rsid w:val="00521FBD"/>
    <w:rsid w:val="00521FEA"/>
    <w:rsid w:val="005226C6"/>
    <w:rsid w:val="00522D66"/>
    <w:rsid w:val="00523F87"/>
    <w:rsid w:val="00524C23"/>
    <w:rsid w:val="00524D79"/>
    <w:rsid w:val="00526561"/>
    <w:rsid w:val="00526D2F"/>
    <w:rsid w:val="005273AB"/>
    <w:rsid w:val="0052778F"/>
    <w:rsid w:val="005320B5"/>
    <w:rsid w:val="005336D7"/>
    <w:rsid w:val="00533917"/>
    <w:rsid w:val="00533E5A"/>
    <w:rsid w:val="00535877"/>
    <w:rsid w:val="00536ED2"/>
    <w:rsid w:val="0053732F"/>
    <w:rsid w:val="00537E45"/>
    <w:rsid w:val="005400AA"/>
    <w:rsid w:val="00540E25"/>
    <w:rsid w:val="00541C8F"/>
    <w:rsid w:val="00541D22"/>
    <w:rsid w:val="00542146"/>
    <w:rsid w:val="005424F4"/>
    <w:rsid w:val="005431A6"/>
    <w:rsid w:val="00544562"/>
    <w:rsid w:val="00544681"/>
    <w:rsid w:val="00544931"/>
    <w:rsid w:val="005452B7"/>
    <w:rsid w:val="00545BDD"/>
    <w:rsid w:val="005460B2"/>
    <w:rsid w:val="0054677E"/>
    <w:rsid w:val="005473A6"/>
    <w:rsid w:val="005505CE"/>
    <w:rsid w:val="00550841"/>
    <w:rsid w:val="00551202"/>
    <w:rsid w:val="00551ADB"/>
    <w:rsid w:val="005524B6"/>
    <w:rsid w:val="00554D90"/>
    <w:rsid w:val="00554E17"/>
    <w:rsid w:val="0055505D"/>
    <w:rsid w:val="00555844"/>
    <w:rsid w:val="0055684E"/>
    <w:rsid w:val="00557269"/>
    <w:rsid w:val="005601A7"/>
    <w:rsid w:val="0056058F"/>
    <w:rsid w:val="005643F0"/>
    <w:rsid w:val="0056467B"/>
    <w:rsid w:val="005655C7"/>
    <w:rsid w:val="00565D86"/>
    <w:rsid w:val="00566C47"/>
    <w:rsid w:val="00567286"/>
    <w:rsid w:val="00567D4C"/>
    <w:rsid w:val="0057033A"/>
    <w:rsid w:val="00570DA8"/>
    <w:rsid w:val="00573AF8"/>
    <w:rsid w:val="00573CA8"/>
    <w:rsid w:val="00573ECC"/>
    <w:rsid w:val="00575688"/>
    <w:rsid w:val="00576EDE"/>
    <w:rsid w:val="00580328"/>
    <w:rsid w:val="005809FD"/>
    <w:rsid w:val="00580C0A"/>
    <w:rsid w:val="00580DBD"/>
    <w:rsid w:val="00580EDF"/>
    <w:rsid w:val="005815B8"/>
    <w:rsid w:val="00581792"/>
    <w:rsid w:val="00583639"/>
    <w:rsid w:val="00585266"/>
    <w:rsid w:val="00585D57"/>
    <w:rsid w:val="005900DC"/>
    <w:rsid w:val="0059084B"/>
    <w:rsid w:val="0059095F"/>
    <w:rsid w:val="00591C54"/>
    <w:rsid w:val="00592F09"/>
    <w:rsid w:val="005932BA"/>
    <w:rsid w:val="00594A46"/>
    <w:rsid w:val="00594DDD"/>
    <w:rsid w:val="00594E8C"/>
    <w:rsid w:val="0059540D"/>
    <w:rsid w:val="00595B3E"/>
    <w:rsid w:val="00597ABB"/>
    <w:rsid w:val="005A0D19"/>
    <w:rsid w:val="005A13D0"/>
    <w:rsid w:val="005A172C"/>
    <w:rsid w:val="005A2101"/>
    <w:rsid w:val="005A24CD"/>
    <w:rsid w:val="005A256B"/>
    <w:rsid w:val="005A2927"/>
    <w:rsid w:val="005A3E2A"/>
    <w:rsid w:val="005A3EC2"/>
    <w:rsid w:val="005A56D4"/>
    <w:rsid w:val="005A64A7"/>
    <w:rsid w:val="005B1915"/>
    <w:rsid w:val="005B2105"/>
    <w:rsid w:val="005B2E8A"/>
    <w:rsid w:val="005B376F"/>
    <w:rsid w:val="005B3D27"/>
    <w:rsid w:val="005B4CA6"/>
    <w:rsid w:val="005B51F0"/>
    <w:rsid w:val="005B54CC"/>
    <w:rsid w:val="005B57F1"/>
    <w:rsid w:val="005B5985"/>
    <w:rsid w:val="005B5B84"/>
    <w:rsid w:val="005B64C1"/>
    <w:rsid w:val="005B6EE0"/>
    <w:rsid w:val="005B7621"/>
    <w:rsid w:val="005B7CB5"/>
    <w:rsid w:val="005C0073"/>
    <w:rsid w:val="005C0AE1"/>
    <w:rsid w:val="005C1679"/>
    <w:rsid w:val="005C2ADB"/>
    <w:rsid w:val="005C342C"/>
    <w:rsid w:val="005C3E2F"/>
    <w:rsid w:val="005C403A"/>
    <w:rsid w:val="005C44C6"/>
    <w:rsid w:val="005C4752"/>
    <w:rsid w:val="005C5C55"/>
    <w:rsid w:val="005C62B1"/>
    <w:rsid w:val="005C740F"/>
    <w:rsid w:val="005C7DC4"/>
    <w:rsid w:val="005C7EF5"/>
    <w:rsid w:val="005D0D56"/>
    <w:rsid w:val="005D1C91"/>
    <w:rsid w:val="005D2C37"/>
    <w:rsid w:val="005D4020"/>
    <w:rsid w:val="005D4B5E"/>
    <w:rsid w:val="005D55CB"/>
    <w:rsid w:val="005D5B08"/>
    <w:rsid w:val="005D5BB7"/>
    <w:rsid w:val="005D5ED9"/>
    <w:rsid w:val="005D64C0"/>
    <w:rsid w:val="005D6BD0"/>
    <w:rsid w:val="005D709C"/>
    <w:rsid w:val="005D7189"/>
    <w:rsid w:val="005D7F49"/>
    <w:rsid w:val="005E0442"/>
    <w:rsid w:val="005E0C2E"/>
    <w:rsid w:val="005E0CDC"/>
    <w:rsid w:val="005E1BF3"/>
    <w:rsid w:val="005E21F5"/>
    <w:rsid w:val="005E38A2"/>
    <w:rsid w:val="005E3FF4"/>
    <w:rsid w:val="005E40DD"/>
    <w:rsid w:val="005E4129"/>
    <w:rsid w:val="005E4E54"/>
    <w:rsid w:val="005E6383"/>
    <w:rsid w:val="005E65C4"/>
    <w:rsid w:val="005E6782"/>
    <w:rsid w:val="005E6C34"/>
    <w:rsid w:val="005E7A72"/>
    <w:rsid w:val="005E7C21"/>
    <w:rsid w:val="005F0281"/>
    <w:rsid w:val="005F05A4"/>
    <w:rsid w:val="005F06C4"/>
    <w:rsid w:val="005F090A"/>
    <w:rsid w:val="005F189F"/>
    <w:rsid w:val="005F2071"/>
    <w:rsid w:val="005F21E5"/>
    <w:rsid w:val="005F2812"/>
    <w:rsid w:val="005F2D60"/>
    <w:rsid w:val="005F3F7D"/>
    <w:rsid w:val="005F56BC"/>
    <w:rsid w:val="005F73CF"/>
    <w:rsid w:val="005F76FA"/>
    <w:rsid w:val="00600B5F"/>
    <w:rsid w:val="0060105E"/>
    <w:rsid w:val="0060106A"/>
    <w:rsid w:val="0060110D"/>
    <w:rsid w:val="00601476"/>
    <w:rsid w:val="00601534"/>
    <w:rsid w:val="006015C1"/>
    <w:rsid w:val="00601A57"/>
    <w:rsid w:val="006034FD"/>
    <w:rsid w:val="00603880"/>
    <w:rsid w:val="00603E1E"/>
    <w:rsid w:val="00604A3C"/>
    <w:rsid w:val="00604A4E"/>
    <w:rsid w:val="00604CFF"/>
    <w:rsid w:val="006104DA"/>
    <w:rsid w:val="0061117C"/>
    <w:rsid w:val="0061137C"/>
    <w:rsid w:val="00611B99"/>
    <w:rsid w:val="00611BF2"/>
    <w:rsid w:val="00611CD9"/>
    <w:rsid w:val="00611E7B"/>
    <w:rsid w:val="0061241F"/>
    <w:rsid w:val="00615BB7"/>
    <w:rsid w:val="00616221"/>
    <w:rsid w:val="00616757"/>
    <w:rsid w:val="00617093"/>
    <w:rsid w:val="00617F31"/>
    <w:rsid w:val="00620112"/>
    <w:rsid w:val="00621011"/>
    <w:rsid w:val="00621DFB"/>
    <w:rsid w:val="00622967"/>
    <w:rsid w:val="0062424B"/>
    <w:rsid w:val="006242D9"/>
    <w:rsid w:val="00624454"/>
    <w:rsid w:val="006244B8"/>
    <w:rsid w:val="006255EF"/>
    <w:rsid w:val="0062600E"/>
    <w:rsid w:val="00626468"/>
    <w:rsid w:val="00626C82"/>
    <w:rsid w:val="00626D16"/>
    <w:rsid w:val="00630A5B"/>
    <w:rsid w:val="006311C4"/>
    <w:rsid w:val="00633290"/>
    <w:rsid w:val="00635062"/>
    <w:rsid w:val="0063611E"/>
    <w:rsid w:val="00636679"/>
    <w:rsid w:val="00637D75"/>
    <w:rsid w:val="00637ECE"/>
    <w:rsid w:val="00641F60"/>
    <w:rsid w:val="006420D0"/>
    <w:rsid w:val="00642643"/>
    <w:rsid w:val="00642F32"/>
    <w:rsid w:val="00643BA8"/>
    <w:rsid w:val="00646CF2"/>
    <w:rsid w:val="0064748A"/>
    <w:rsid w:val="00647C67"/>
    <w:rsid w:val="00647D84"/>
    <w:rsid w:val="00650544"/>
    <w:rsid w:val="00652D13"/>
    <w:rsid w:val="0065301A"/>
    <w:rsid w:val="00653610"/>
    <w:rsid w:val="00654B1F"/>
    <w:rsid w:val="00654DB0"/>
    <w:rsid w:val="006553A5"/>
    <w:rsid w:val="00656777"/>
    <w:rsid w:val="0065693D"/>
    <w:rsid w:val="00657BF4"/>
    <w:rsid w:val="006601BC"/>
    <w:rsid w:val="006619A7"/>
    <w:rsid w:val="00661D82"/>
    <w:rsid w:val="00662D82"/>
    <w:rsid w:val="00663300"/>
    <w:rsid w:val="00663519"/>
    <w:rsid w:val="0066387D"/>
    <w:rsid w:val="00663975"/>
    <w:rsid w:val="006639BB"/>
    <w:rsid w:val="00663BEF"/>
    <w:rsid w:val="00665C2A"/>
    <w:rsid w:val="00666344"/>
    <w:rsid w:val="00667736"/>
    <w:rsid w:val="006703D5"/>
    <w:rsid w:val="0067115F"/>
    <w:rsid w:val="00671ADF"/>
    <w:rsid w:val="00672446"/>
    <w:rsid w:val="00673F1B"/>
    <w:rsid w:val="006760BE"/>
    <w:rsid w:val="006768CC"/>
    <w:rsid w:val="00676D16"/>
    <w:rsid w:val="0067759D"/>
    <w:rsid w:val="00677DF3"/>
    <w:rsid w:val="0068014F"/>
    <w:rsid w:val="0068067C"/>
    <w:rsid w:val="00680868"/>
    <w:rsid w:val="00681A83"/>
    <w:rsid w:val="00683084"/>
    <w:rsid w:val="00683A5D"/>
    <w:rsid w:val="006845ED"/>
    <w:rsid w:val="00684AB3"/>
    <w:rsid w:val="00685F62"/>
    <w:rsid w:val="00687456"/>
    <w:rsid w:val="006876EF"/>
    <w:rsid w:val="00690EA9"/>
    <w:rsid w:val="00691832"/>
    <w:rsid w:val="00691E16"/>
    <w:rsid w:val="00692449"/>
    <w:rsid w:val="006925E9"/>
    <w:rsid w:val="00693776"/>
    <w:rsid w:val="00693C2C"/>
    <w:rsid w:val="0069455A"/>
    <w:rsid w:val="00694634"/>
    <w:rsid w:val="00695785"/>
    <w:rsid w:val="00696393"/>
    <w:rsid w:val="006968C0"/>
    <w:rsid w:val="00696C1B"/>
    <w:rsid w:val="00697832"/>
    <w:rsid w:val="006A138C"/>
    <w:rsid w:val="006A156E"/>
    <w:rsid w:val="006A19A2"/>
    <w:rsid w:val="006A1C8E"/>
    <w:rsid w:val="006A1F64"/>
    <w:rsid w:val="006A2E77"/>
    <w:rsid w:val="006A2F6D"/>
    <w:rsid w:val="006A7768"/>
    <w:rsid w:val="006A7FA4"/>
    <w:rsid w:val="006B163B"/>
    <w:rsid w:val="006B3480"/>
    <w:rsid w:val="006B36F1"/>
    <w:rsid w:val="006B391F"/>
    <w:rsid w:val="006B579E"/>
    <w:rsid w:val="006B5A70"/>
    <w:rsid w:val="006B5C06"/>
    <w:rsid w:val="006B630C"/>
    <w:rsid w:val="006B6400"/>
    <w:rsid w:val="006B7804"/>
    <w:rsid w:val="006C0891"/>
    <w:rsid w:val="006C146A"/>
    <w:rsid w:val="006C16D5"/>
    <w:rsid w:val="006C1F0D"/>
    <w:rsid w:val="006C211E"/>
    <w:rsid w:val="006C277B"/>
    <w:rsid w:val="006C2830"/>
    <w:rsid w:val="006C2DC7"/>
    <w:rsid w:val="006C3208"/>
    <w:rsid w:val="006C32C8"/>
    <w:rsid w:val="006C3309"/>
    <w:rsid w:val="006C4F3D"/>
    <w:rsid w:val="006C5160"/>
    <w:rsid w:val="006C5912"/>
    <w:rsid w:val="006C591C"/>
    <w:rsid w:val="006C6FE0"/>
    <w:rsid w:val="006C7CFA"/>
    <w:rsid w:val="006D1D23"/>
    <w:rsid w:val="006D22C2"/>
    <w:rsid w:val="006D3591"/>
    <w:rsid w:val="006D49DF"/>
    <w:rsid w:val="006D4FB7"/>
    <w:rsid w:val="006D6C35"/>
    <w:rsid w:val="006D7697"/>
    <w:rsid w:val="006E099D"/>
    <w:rsid w:val="006E1CE2"/>
    <w:rsid w:val="006E27D5"/>
    <w:rsid w:val="006E37FC"/>
    <w:rsid w:val="006E39E7"/>
    <w:rsid w:val="006E3B3B"/>
    <w:rsid w:val="006E3C11"/>
    <w:rsid w:val="006E3E11"/>
    <w:rsid w:val="006E3F62"/>
    <w:rsid w:val="006E443A"/>
    <w:rsid w:val="006E4EF0"/>
    <w:rsid w:val="006E61ED"/>
    <w:rsid w:val="006E620D"/>
    <w:rsid w:val="006E643F"/>
    <w:rsid w:val="006E67A0"/>
    <w:rsid w:val="006E7452"/>
    <w:rsid w:val="006E77B7"/>
    <w:rsid w:val="006F0700"/>
    <w:rsid w:val="006F1EDD"/>
    <w:rsid w:val="006F1F1D"/>
    <w:rsid w:val="006F2F1F"/>
    <w:rsid w:val="006F3441"/>
    <w:rsid w:val="006F4359"/>
    <w:rsid w:val="006F4360"/>
    <w:rsid w:val="006F4B1B"/>
    <w:rsid w:val="006F4D60"/>
    <w:rsid w:val="006F5EE9"/>
    <w:rsid w:val="006F6DFC"/>
    <w:rsid w:val="006F7D60"/>
    <w:rsid w:val="00701332"/>
    <w:rsid w:val="00701711"/>
    <w:rsid w:val="00701DC9"/>
    <w:rsid w:val="00702B72"/>
    <w:rsid w:val="00702B9D"/>
    <w:rsid w:val="00703543"/>
    <w:rsid w:val="00703AEA"/>
    <w:rsid w:val="0070412E"/>
    <w:rsid w:val="007049BE"/>
    <w:rsid w:val="0070514A"/>
    <w:rsid w:val="007052BE"/>
    <w:rsid w:val="00705D59"/>
    <w:rsid w:val="007067E2"/>
    <w:rsid w:val="00706D49"/>
    <w:rsid w:val="0070733F"/>
    <w:rsid w:val="00707411"/>
    <w:rsid w:val="0070755C"/>
    <w:rsid w:val="0071041E"/>
    <w:rsid w:val="00710722"/>
    <w:rsid w:val="00710965"/>
    <w:rsid w:val="00710BAB"/>
    <w:rsid w:val="00710E57"/>
    <w:rsid w:val="0071176B"/>
    <w:rsid w:val="007124C8"/>
    <w:rsid w:val="00712BB0"/>
    <w:rsid w:val="0071302B"/>
    <w:rsid w:val="00713580"/>
    <w:rsid w:val="00713F99"/>
    <w:rsid w:val="00714887"/>
    <w:rsid w:val="00715689"/>
    <w:rsid w:val="007200B3"/>
    <w:rsid w:val="00721062"/>
    <w:rsid w:val="00721165"/>
    <w:rsid w:val="007214B2"/>
    <w:rsid w:val="00721AA0"/>
    <w:rsid w:val="00722247"/>
    <w:rsid w:val="007223A9"/>
    <w:rsid w:val="00722BDC"/>
    <w:rsid w:val="00723416"/>
    <w:rsid w:val="00724722"/>
    <w:rsid w:val="00725249"/>
    <w:rsid w:val="0072586C"/>
    <w:rsid w:val="0072750E"/>
    <w:rsid w:val="00727F90"/>
    <w:rsid w:val="007313F7"/>
    <w:rsid w:val="00732002"/>
    <w:rsid w:val="00733B9B"/>
    <w:rsid w:val="007349C4"/>
    <w:rsid w:val="007355D2"/>
    <w:rsid w:val="00736201"/>
    <w:rsid w:val="00740E9F"/>
    <w:rsid w:val="00741172"/>
    <w:rsid w:val="007413DA"/>
    <w:rsid w:val="00741682"/>
    <w:rsid w:val="0074294F"/>
    <w:rsid w:val="007439AC"/>
    <w:rsid w:val="00744022"/>
    <w:rsid w:val="00744E0C"/>
    <w:rsid w:val="00745559"/>
    <w:rsid w:val="00746278"/>
    <w:rsid w:val="007469F4"/>
    <w:rsid w:val="00746FDA"/>
    <w:rsid w:val="007513D8"/>
    <w:rsid w:val="00751608"/>
    <w:rsid w:val="00753889"/>
    <w:rsid w:val="0075392E"/>
    <w:rsid w:val="007540E1"/>
    <w:rsid w:val="0075626D"/>
    <w:rsid w:val="00756775"/>
    <w:rsid w:val="007569C5"/>
    <w:rsid w:val="00760269"/>
    <w:rsid w:val="00760302"/>
    <w:rsid w:val="00760571"/>
    <w:rsid w:val="00761520"/>
    <w:rsid w:val="007631B9"/>
    <w:rsid w:val="0076331F"/>
    <w:rsid w:val="0076359A"/>
    <w:rsid w:val="007638A6"/>
    <w:rsid w:val="007640BE"/>
    <w:rsid w:val="00764625"/>
    <w:rsid w:val="00766B00"/>
    <w:rsid w:val="00766D64"/>
    <w:rsid w:val="00767682"/>
    <w:rsid w:val="0077017E"/>
    <w:rsid w:val="007710ED"/>
    <w:rsid w:val="00771214"/>
    <w:rsid w:val="00771376"/>
    <w:rsid w:val="00771BA7"/>
    <w:rsid w:val="00772162"/>
    <w:rsid w:val="00772453"/>
    <w:rsid w:val="0077396E"/>
    <w:rsid w:val="00773FDE"/>
    <w:rsid w:val="00774DA7"/>
    <w:rsid w:val="00774E30"/>
    <w:rsid w:val="00774F8B"/>
    <w:rsid w:val="007758B4"/>
    <w:rsid w:val="00775CD4"/>
    <w:rsid w:val="00776827"/>
    <w:rsid w:val="00776D7B"/>
    <w:rsid w:val="00777B41"/>
    <w:rsid w:val="00777F32"/>
    <w:rsid w:val="00780610"/>
    <w:rsid w:val="00780F55"/>
    <w:rsid w:val="00782549"/>
    <w:rsid w:val="00784078"/>
    <w:rsid w:val="0078492B"/>
    <w:rsid w:val="00784ED5"/>
    <w:rsid w:val="0078629F"/>
    <w:rsid w:val="00786A30"/>
    <w:rsid w:val="007904D9"/>
    <w:rsid w:val="00790DDF"/>
    <w:rsid w:val="00791010"/>
    <w:rsid w:val="00791441"/>
    <w:rsid w:val="007915C7"/>
    <w:rsid w:val="00791A6C"/>
    <w:rsid w:val="00791E13"/>
    <w:rsid w:val="00792832"/>
    <w:rsid w:val="007928DC"/>
    <w:rsid w:val="007946E6"/>
    <w:rsid w:val="00796E19"/>
    <w:rsid w:val="00796E54"/>
    <w:rsid w:val="007976EF"/>
    <w:rsid w:val="00797794"/>
    <w:rsid w:val="00797B74"/>
    <w:rsid w:val="007A0A24"/>
    <w:rsid w:val="007A0C8A"/>
    <w:rsid w:val="007A2155"/>
    <w:rsid w:val="007A2E8C"/>
    <w:rsid w:val="007A41CD"/>
    <w:rsid w:val="007A45BE"/>
    <w:rsid w:val="007A4B45"/>
    <w:rsid w:val="007A5096"/>
    <w:rsid w:val="007A5BDB"/>
    <w:rsid w:val="007A6272"/>
    <w:rsid w:val="007A63BD"/>
    <w:rsid w:val="007A6E5A"/>
    <w:rsid w:val="007B03CB"/>
    <w:rsid w:val="007B05D8"/>
    <w:rsid w:val="007B1DE6"/>
    <w:rsid w:val="007B1EAE"/>
    <w:rsid w:val="007B2637"/>
    <w:rsid w:val="007B2A94"/>
    <w:rsid w:val="007B3649"/>
    <w:rsid w:val="007B4269"/>
    <w:rsid w:val="007B430F"/>
    <w:rsid w:val="007B44C7"/>
    <w:rsid w:val="007B4683"/>
    <w:rsid w:val="007B4BEA"/>
    <w:rsid w:val="007B4C67"/>
    <w:rsid w:val="007B4D1E"/>
    <w:rsid w:val="007B4DB8"/>
    <w:rsid w:val="007B5662"/>
    <w:rsid w:val="007B5F97"/>
    <w:rsid w:val="007B7204"/>
    <w:rsid w:val="007B758A"/>
    <w:rsid w:val="007B770C"/>
    <w:rsid w:val="007C06D5"/>
    <w:rsid w:val="007C16EE"/>
    <w:rsid w:val="007C2014"/>
    <w:rsid w:val="007C2521"/>
    <w:rsid w:val="007C263F"/>
    <w:rsid w:val="007C26E9"/>
    <w:rsid w:val="007C291B"/>
    <w:rsid w:val="007C3975"/>
    <w:rsid w:val="007C4108"/>
    <w:rsid w:val="007C411C"/>
    <w:rsid w:val="007C4AB9"/>
    <w:rsid w:val="007C4D2F"/>
    <w:rsid w:val="007C6C89"/>
    <w:rsid w:val="007D0108"/>
    <w:rsid w:val="007D03E3"/>
    <w:rsid w:val="007D1A4D"/>
    <w:rsid w:val="007D2657"/>
    <w:rsid w:val="007D27E1"/>
    <w:rsid w:val="007D2E71"/>
    <w:rsid w:val="007D31F7"/>
    <w:rsid w:val="007D3B6A"/>
    <w:rsid w:val="007D3B8F"/>
    <w:rsid w:val="007D5068"/>
    <w:rsid w:val="007D7496"/>
    <w:rsid w:val="007E0464"/>
    <w:rsid w:val="007E051A"/>
    <w:rsid w:val="007E09B4"/>
    <w:rsid w:val="007E0EE9"/>
    <w:rsid w:val="007E44C2"/>
    <w:rsid w:val="007E47B5"/>
    <w:rsid w:val="007E4BCE"/>
    <w:rsid w:val="007E4D72"/>
    <w:rsid w:val="007E4DA9"/>
    <w:rsid w:val="007E50EA"/>
    <w:rsid w:val="007E64BB"/>
    <w:rsid w:val="007E6693"/>
    <w:rsid w:val="007E6CDA"/>
    <w:rsid w:val="007E6E73"/>
    <w:rsid w:val="007F0274"/>
    <w:rsid w:val="007F1109"/>
    <w:rsid w:val="007F1C0E"/>
    <w:rsid w:val="007F1CE8"/>
    <w:rsid w:val="007F23AB"/>
    <w:rsid w:val="007F3103"/>
    <w:rsid w:val="007F3D5A"/>
    <w:rsid w:val="007F469C"/>
    <w:rsid w:val="007F55F8"/>
    <w:rsid w:val="007F6E7B"/>
    <w:rsid w:val="007F7E7B"/>
    <w:rsid w:val="0080023C"/>
    <w:rsid w:val="0080055D"/>
    <w:rsid w:val="008005C6"/>
    <w:rsid w:val="00800CE2"/>
    <w:rsid w:val="00801CE9"/>
    <w:rsid w:val="00802483"/>
    <w:rsid w:val="00802DE3"/>
    <w:rsid w:val="008031D2"/>
    <w:rsid w:val="00803625"/>
    <w:rsid w:val="00804B53"/>
    <w:rsid w:val="008052CD"/>
    <w:rsid w:val="00805DF1"/>
    <w:rsid w:val="00806E02"/>
    <w:rsid w:val="00807040"/>
    <w:rsid w:val="0081108D"/>
    <w:rsid w:val="00811A5C"/>
    <w:rsid w:val="0081203F"/>
    <w:rsid w:val="00812D5F"/>
    <w:rsid w:val="00813C6D"/>
    <w:rsid w:val="0081531F"/>
    <w:rsid w:val="00815618"/>
    <w:rsid w:val="00817059"/>
    <w:rsid w:val="008177D0"/>
    <w:rsid w:val="00817B2E"/>
    <w:rsid w:val="00817CEC"/>
    <w:rsid w:val="00821491"/>
    <w:rsid w:val="0082271C"/>
    <w:rsid w:val="00822F4C"/>
    <w:rsid w:val="00824E65"/>
    <w:rsid w:val="0082798B"/>
    <w:rsid w:val="00830915"/>
    <w:rsid w:val="00831D30"/>
    <w:rsid w:val="0083237E"/>
    <w:rsid w:val="00832385"/>
    <w:rsid w:val="00834374"/>
    <w:rsid w:val="00834540"/>
    <w:rsid w:val="00835164"/>
    <w:rsid w:val="008351F3"/>
    <w:rsid w:val="008360B9"/>
    <w:rsid w:val="0083618B"/>
    <w:rsid w:val="00837B07"/>
    <w:rsid w:val="00837BDA"/>
    <w:rsid w:val="00840199"/>
    <w:rsid w:val="00841143"/>
    <w:rsid w:val="0084125A"/>
    <w:rsid w:val="00842411"/>
    <w:rsid w:val="00842821"/>
    <w:rsid w:val="00842A37"/>
    <w:rsid w:val="00843299"/>
    <w:rsid w:val="0084563E"/>
    <w:rsid w:val="008470BA"/>
    <w:rsid w:val="0084778A"/>
    <w:rsid w:val="0085022C"/>
    <w:rsid w:val="008507EF"/>
    <w:rsid w:val="00850955"/>
    <w:rsid w:val="00850A62"/>
    <w:rsid w:val="0085101A"/>
    <w:rsid w:val="00851095"/>
    <w:rsid w:val="0085302E"/>
    <w:rsid w:val="00853114"/>
    <w:rsid w:val="00853ACD"/>
    <w:rsid w:val="00854F05"/>
    <w:rsid w:val="0085536D"/>
    <w:rsid w:val="0085579D"/>
    <w:rsid w:val="00855F1C"/>
    <w:rsid w:val="0085681C"/>
    <w:rsid w:val="00856944"/>
    <w:rsid w:val="0085789D"/>
    <w:rsid w:val="00860AC7"/>
    <w:rsid w:val="00864B4D"/>
    <w:rsid w:val="008650A4"/>
    <w:rsid w:val="00865744"/>
    <w:rsid w:val="008657E7"/>
    <w:rsid w:val="00866706"/>
    <w:rsid w:val="0086691C"/>
    <w:rsid w:val="00866E3F"/>
    <w:rsid w:val="008675C7"/>
    <w:rsid w:val="00870E07"/>
    <w:rsid w:val="0087102F"/>
    <w:rsid w:val="0087167E"/>
    <w:rsid w:val="00872D12"/>
    <w:rsid w:val="00872FDE"/>
    <w:rsid w:val="00872FEE"/>
    <w:rsid w:val="00873C90"/>
    <w:rsid w:val="00874232"/>
    <w:rsid w:val="0087554B"/>
    <w:rsid w:val="0087643B"/>
    <w:rsid w:val="0087649F"/>
    <w:rsid w:val="00876629"/>
    <w:rsid w:val="0087685F"/>
    <w:rsid w:val="00876BE1"/>
    <w:rsid w:val="00877951"/>
    <w:rsid w:val="00877AEC"/>
    <w:rsid w:val="00877D35"/>
    <w:rsid w:val="00880735"/>
    <w:rsid w:val="00882CDB"/>
    <w:rsid w:val="00883F7D"/>
    <w:rsid w:val="0088408E"/>
    <w:rsid w:val="008850A3"/>
    <w:rsid w:val="008856CB"/>
    <w:rsid w:val="00885BBC"/>
    <w:rsid w:val="0088770F"/>
    <w:rsid w:val="00890CFD"/>
    <w:rsid w:val="00892C9F"/>
    <w:rsid w:val="00893308"/>
    <w:rsid w:val="008940F4"/>
    <w:rsid w:val="00894B20"/>
    <w:rsid w:val="008950DE"/>
    <w:rsid w:val="008954D0"/>
    <w:rsid w:val="00895561"/>
    <w:rsid w:val="00895892"/>
    <w:rsid w:val="00895EC3"/>
    <w:rsid w:val="0089612B"/>
    <w:rsid w:val="00896536"/>
    <w:rsid w:val="0089666B"/>
    <w:rsid w:val="00897CFE"/>
    <w:rsid w:val="008A103A"/>
    <w:rsid w:val="008A16BE"/>
    <w:rsid w:val="008A1768"/>
    <w:rsid w:val="008A2C82"/>
    <w:rsid w:val="008A3AA2"/>
    <w:rsid w:val="008A4305"/>
    <w:rsid w:val="008A500C"/>
    <w:rsid w:val="008A545C"/>
    <w:rsid w:val="008A5AB2"/>
    <w:rsid w:val="008A5E93"/>
    <w:rsid w:val="008A65A6"/>
    <w:rsid w:val="008A6CDA"/>
    <w:rsid w:val="008B3126"/>
    <w:rsid w:val="008B3835"/>
    <w:rsid w:val="008C0750"/>
    <w:rsid w:val="008C1C7C"/>
    <w:rsid w:val="008C294A"/>
    <w:rsid w:val="008C2965"/>
    <w:rsid w:val="008C297A"/>
    <w:rsid w:val="008C2DCD"/>
    <w:rsid w:val="008C3B0F"/>
    <w:rsid w:val="008C40BA"/>
    <w:rsid w:val="008C42D3"/>
    <w:rsid w:val="008C58D7"/>
    <w:rsid w:val="008C5968"/>
    <w:rsid w:val="008C679F"/>
    <w:rsid w:val="008C6E6C"/>
    <w:rsid w:val="008C7583"/>
    <w:rsid w:val="008C7CA7"/>
    <w:rsid w:val="008D060D"/>
    <w:rsid w:val="008D0829"/>
    <w:rsid w:val="008D11F6"/>
    <w:rsid w:val="008D16FB"/>
    <w:rsid w:val="008D196D"/>
    <w:rsid w:val="008D2804"/>
    <w:rsid w:val="008D29D5"/>
    <w:rsid w:val="008D3851"/>
    <w:rsid w:val="008D3DD9"/>
    <w:rsid w:val="008D44B3"/>
    <w:rsid w:val="008D4B5C"/>
    <w:rsid w:val="008D51DE"/>
    <w:rsid w:val="008D55E0"/>
    <w:rsid w:val="008D59E6"/>
    <w:rsid w:val="008D5CEF"/>
    <w:rsid w:val="008E0514"/>
    <w:rsid w:val="008E1F2B"/>
    <w:rsid w:val="008E1F98"/>
    <w:rsid w:val="008E27B4"/>
    <w:rsid w:val="008E3218"/>
    <w:rsid w:val="008E416A"/>
    <w:rsid w:val="008E52AC"/>
    <w:rsid w:val="008E6160"/>
    <w:rsid w:val="008E6F5B"/>
    <w:rsid w:val="008E7011"/>
    <w:rsid w:val="008E7322"/>
    <w:rsid w:val="008F0219"/>
    <w:rsid w:val="008F05E1"/>
    <w:rsid w:val="008F18E8"/>
    <w:rsid w:val="008F1B26"/>
    <w:rsid w:val="008F1B9F"/>
    <w:rsid w:val="008F232D"/>
    <w:rsid w:val="008F438E"/>
    <w:rsid w:val="008F4B15"/>
    <w:rsid w:val="008F4D2D"/>
    <w:rsid w:val="008F61EA"/>
    <w:rsid w:val="008F67DB"/>
    <w:rsid w:val="008F6981"/>
    <w:rsid w:val="008F7948"/>
    <w:rsid w:val="009004A5"/>
    <w:rsid w:val="0090059F"/>
    <w:rsid w:val="00903154"/>
    <w:rsid w:val="00903330"/>
    <w:rsid w:val="00903D35"/>
    <w:rsid w:val="00903DE0"/>
    <w:rsid w:val="0090548F"/>
    <w:rsid w:val="009075DA"/>
    <w:rsid w:val="00907AC8"/>
    <w:rsid w:val="00907AE5"/>
    <w:rsid w:val="00907B0E"/>
    <w:rsid w:val="009101A4"/>
    <w:rsid w:val="00910BA5"/>
    <w:rsid w:val="00910F0A"/>
    <w:rsid w:val="00912D13"/>
    <w:rsid w:val="0091368C"/>
    <w:rsid w:val="00913852"/>
    <w:rsid w:val="00914B62"/>
    <w:rsid w:val="009161AD"/>
    <w:rsid w:val="00916B1C"/>
    <w:rsid w:val="009211C4"/>
    <w:rsid w:val="009225B1"/>
    <w:rsid w:val="009229C0"/>
    <w:rsid w:val="009236BF"/>
    <w:rsid w:val="009238CA"/>
    <w:rsid w:val="00923E94"/>
    <w:rsid w:val="0092426C"/>
    <w:rsid w:val="00924CD0"/>
    <w:rsid w:val="00926390"/>
    <w:rsid w:val="00926847"/>
    <w:rsid w:val="00926DB5"/>
    <w:rsid w:val="00927A34"/>
    <w:rsid w:val="00932658"/>
    <w:rsid w:val="0093445F"/>
    <w:rsid w:val="0093491F"/>
    <w:rsid w:val="00935B15"/>
    <w:rsid w:val="00935F5A"/>
    <w:rsid w:val="009375A4"/>
    <w:rsid w:val="00937EBE"/>
    <w:rsid w:val="0094117D"/>
    <w:rsid w:val="009416A6"/>
    <w:rsid w:val="00942491"/>
    <w:rsid w:val="00943C56"/>
    <w:rsid w:val="00950639"/>
    <w:rsid w:val="009518FF"/>
    <w:rsid w:val="009519CA"/>
    <w:rsid w:val="00951B8C"/>
    <w:rsid w:val="0095318C"/>
    <w:rsid w:val="00953412"/>
    <w:rsid w:val="009558A7"/>
    <w:rsid w:val="00956255"/>
    <w:rsid w:val="009564D0"/>
    <w:rsid w:val="00960857"/>
    <w:rsid w:val="009613BC"/>
    <w:rsid w:val="0096339B"/>
    <w:rsid w:val="00963A06"/>
    <w:rsid w:val="00963EF4"/>
    <w:rsid w:val="00963F91"/>
    <w:rsid w:val="00964963"/>
    <w:rsid w:val="00965807"/>
    <w:rsid w:val="00965889"/>
    <w:rsid w:val="00966264"/>
    <w:rsid w:val="00966DF5"/>
    <w:rsid w:val="00966EE1"/>
    <w:rsid w:val="00967B3C"/>
    <w:rsid w:val="0097049D"/>
    <w:rsid w:val="00970B15"/>
    <w:rsid w:val="00970E3E"/>
    <w:rsid w:val="0097409F"/>
    <w:rsid w:val="00974374"/>
    <w:rsid w:val="0097560B"/>
    <w:rsid w:val="00975CEA"/>
    <w:rsid w:val="00976736"/>
    <w:rsid w:val="0097746C"/>
    <w:rsid w:val="00977479"/>
    <w:rsid w:val="00977B5C"/>
    <w:rsid w:val="0098015F"/>
    <w:rsid w:val="00980592"/>
    <w:rsid w:val="009808AD"/>
    <w:rsid w:val="009809FC"/>
    <w:rsid w:val="00980EF3"/>
    <w:rsid w:val="0098437F"/>
    <w:rsid w:val="0098561B"/>
    <w:rsid w:val="00985809"/>
    <w:rsid w:val="00986C26"/>
    <w:rsid w:val="00990455"/>
    <w:rsid w:val="00991F3F"/>
    <w:rsid w:val="009924D8"/>
    <w:rsid w:val="00992AB7"/>
    <w:rsid w:val="00992C03"/>
    <w:rsid w:val="0099352F"/>
    <w:rsid w:val="009947C8"/>
    <w:rsid w:val="00995176"/>
    <w:rsid w:val="009956D5"/>
    <w:rsid w:val="0099649F"/>
    <w:rsid w:val="00997AF1"/>
    <w:rsid w:val="00997F00"/>
    <w:rsid w:val="009A068F"/>
    <w:rsid w:val="009A0D7F"/>
    <w:rsid w:val="009A124E"/>
    <w:rsid w:val="009A1423"/>
    <w:rsid w:val="009A15E9"/>
    <w:rsid w:val="009A338B"/>
    <w:rsid w:val="009A3972"/>
    <w:rsid w:val="009A41E5"/>
    <w:rsid w:val="009A483F"/>
    <w:rsid w:val="009A503B"/>
    <w:rsid w:val="009A5201"/>
    <w:rsid w:val="009A53C3"/>
    <w:rsid w:val="009A74F5"/>
    <w:rsid w:val="009A7B5B"/>
    <w:rsid w:val="009B0128"/>
    <w:rsid w:val="009B0757"/>
    <w:rsid w:val="009B097E"/>
    <w:rsid w:val="009B18C4"/>
    <w:rsid w:val="009B1CCF"/>
    <w:rsid w:val="009B2319"/>
    <w:rsid w:val="009B2852"/>
    <w:rsid w:val="009B2ACA"/>
    <w:rsid w:val="009B43E1"/>
    <w:rsid w:val="009B469B"/>
    <w:rsid w:val="009B5191"/>
    <w:rsid w:val="009B605D"/>
    <w:rsid w:val="009B6797"/>
    <w:rsid w:val="009B6B9B"/>
    <w:rsid w:val="009B705E"/>
    <w:rsid w:val="009B7836"/>
    <w:rsid w:val="009C078D"/>
    <w:rsid w:val="009C1329"/>
    <w:rsid w:val="009C175B"/>
    <w:rsid w:val="009C1999"/>
    <w:rsid w:val="009C209E"/>
    <w:rsid w:val="009C27E9"/>
    <w:rsid w:val="009C2C26"/>
    <w:rsid w:val="009C3304"/>
    <w:rsid w:val="009C3EC2"/>
    <w:rsid w:val="009C4538"/>
    <w:rsid w:val="009C53C4"/>
    <w:rsid w:val="009C5CEB"/>
    <w:rsid w:val="009C6F4D"/>
    <w:rsid w:val="009C71DE"/>
    <w:rsid w:val="009C74BE"/>
    <w:rsid w:val="009C75F3"/>
    <w:rsid w:val="009C7BE4"/>
    <w:rsid w:val="009D0956"/>
    <w:rsid w:val="009D0C5A"/>
    <w:rsid w:val="009D1D4A"/>
    <w:rsid w:val="009D1FB3"/>
    <w:rsid w:val="009D25CE"/>
    <w:rsid w:val="009D4D3E"/>
    <w:rsid w:val="009D65EB"/>
    <w:rsid w:val="009D7781"/>
    <w:rsid w:val="009E0BB8"/>
    <w:rsid w:val="009E1797"/>
    <w:rsid w:val="009E1F25"/>
    <w:rsid w:val="009E235A"/>
    <w:rsid w:val="009E24D9"/>
    <w:rsid w:val="009E2B70"/>
    <w:rsid w:val="009E312D"/>
    <w:rsid w:val="009E32B3"/>
    <w:rsid w:val="009E32BA"/>
    <w:rsid w:val="009E40EA"/>
    <w:rsid w:val="009E4467"/>
    <w:rsid w:val="009E5CC6"/>
    <w:rsid w:val="009E5EB3"/>
    <w:rsid w:val="009E6213"/>
    <w:rsid w:val="009E68A0"/>
    <w:rsid w:val="009E7194"/>
    <w:rsid w:val="009E75AC"/>
    <w:rsid w:val="009F0BC2"/>
    <w:rsid w:val="009F1222"/>
    <w:rsid w:val="009F2C14"/>
    <w:rsid w:val="009F4216"/>
    <w:rsid w:val="009F4470"/>
    <w:rsid w:val="009F46A8"/>
    <w:rsid w:val="009F4F63"/>
    <w:rsid w:val="009F52E2"/>
    <w:rsid w:val="009F6914"/>
    <w:rsid w:val="009F7A8D"/>
    <w:rsid w:val="009F7A8F"/>
    <w:rsid w:val="00A00CAA"/>
    <w:rsid w:val="00A0216B"/>
    <w:rsid w:val="00A02787"/>
    <w:rsid w:val="00A03807"/>
    <w:rsid w:val="00A03917"/>
    <w:rsid w:val="00A03B5B"/>
    <w:rsid w:val="00A04BF5"/>
    <w:rsid w:val="00A06F74"/>
    <w:rsid w:val="00A076AD"/>
    <w:rsid w:val="00A07B00"/>
    <w:rsid w:val="00A07DE6"/>
    <w:rsid w:val="00A07DEE"/>
    <w:rsid w:val="00A11865"/>
    <w:rsid w:val="00A11E3D"/>
    <w:rsid w:val="00A12D6B"/>
    <w:rsid w:val="00A132F3"/>
    <w:rsid w:val="00A14824"/>
    <w:rsid w:val="00A14FAC"/>
    <w:rsid w:val="00A15248"/>
    <w:rsid w:val="00A15364"/>
    <w:rsid w:val="00A16F64"/>
    <w:rsid w:val="00A177BB"/>
    <w:rsid w:val="00A17A00"/>
    <w:rsid w:val="00A17A0D"/>
    <w:rsid w:val="00A20B58"/>
    <w:rsid w:val="00A21A77"/>
    <w:rsid w:val="00A22637"/>
    <w:rsid w:val="00A229F0"/>
    <w:rsid w:val="00A232AD"/>
    <w:rsid w:val="00A23E6C"/>
    <w:rsid w:val="00A25AB6"/>
    <w:rsid w:val="00A25C41"/>
    <w:rsid w:val="00A26754"/>
    <w:rsid w:val="00A268CF"/>
    <w:rsid w:val="00A30580"/>
    <w:rsid w:val="00A30C04"/>
    <w:rsid w:val="00A31456"/>
    <w:rsid w:val="00A31F4F"/>
    <w:rsid w:val="00A326BD"/>
    <w:rsid w:val="00A32D57"/>
    <w:rsid w:val="00A349DF"/>
    <w:rsid w:val="00A34DD7"/>
    <w:rsid w:val="00A3528D"/>
    <w:rsid w:val="00A3545A"/>
    <w:rsid w:val="00A36DEA"/>
    <w:rsid w:val="00A377B0"/>
    <w:rsid w:val="00A37CD0"/>
    <w:rsid w:val="00A37D27"/>
    <w:rsid w:val="00A406D0"/>
    <w:rsid w:val="00A430B1"/>
    <w:rsid w:val="00A435AF"/>
    <w:rsid w:val="00A4505F"/>
    <w:rsid w:val="00A4540E"/>
    <w:rsid w:val="00A46729"/>
    <w:rsid w:val="00A47815"/>
    <w:rsid w:val="00A47EA1"/>
    <w:rsid w:val="00A50A0C"/>
    <w:rsid w:val="00A52A19"/>
    <w:rsid w:val="00A5431A"/>
    <w:rsid w:val="00A5561E"/>
    <w:rsid w:val="00A55996"/>
    <w:rsid w:val="00A55BA1"/>
    <w:rsid w:val="00A55F2F"/>
    <w:rsid w:val="00A569E4"/>
    <w:rsid w:val="00A60BDB"/>
    <w:rsid w:val="00A6120F"/>
    <w:rsid w:val="00A64935"/>
    <w:rsid w:val="00A658A3"/>
    <w:rsid w:val="00A660E4"/>
    <w:rsid w:val="00A673B4"/>
    <w:rsid w:val="00A67F16"/>
    <w:rsid w:val="00A7098D"/>
    <w:rsid w:val="00A70C46"/>
    <w:rsid w:val="00A70D24"/>
    <w:rsid w:val="00A71724"/>
    <w:rsid w:val="00A72385"/>
    <w:rsid w:val="00A72A78"/>
    <w:rsid w:val="00A72E4B"/>
    <w:rsid w:val="00A73317"/>
    <w:rsid w:val="00A8041F"/>
    <w:rsid w:val="00A80983"/>
    <w:rsid w:val="00A813B9"/>
    <w:rsid w:val="00A824AF"/>
    <w:rsid w:val="00A826F0"/>
    <w:rsid w:val="00A845DF"/>
    <w:rsid w:val="00A84CAB"/>
    <w:rsid w:val="00A85921"/>
    <w:rsid w:val="00A86386"/>
    <w:rsid w:val="00A86FBB"/>
    <w:rsid w:val="00A878E1"/>
    <w:rsid w:val="00A90194"/>
    <w:rsid w:val="00A90845"/>
    <w:rsid w:val="00A91559"/>
    <w:rsid w:val="00A91CD6"/>
    <w:rsid w:val="00A9224C"/>
    <w:rsid w:val="00A92C9E"/>
    <w:rsid w:val="00A930EF"/>
    <w:rsid w:val="00A93776"/>
    <w:rsid w:val="00A93D5C"/>
    <w:rsid w:val="00A93D6C"/>
    <w:rsid w:val="00A94D7F"/>
    <w:rsid w:val="00A955EB"/>
    <w:rsid w:val="00A95B96"/>
    <w:rsid w:val="00A964BE"/>
    <w:rsid w:val="00A96CD4"/>
    <w:rsid w:val="00A9705F"/>
    <w:rsid w:val="00A97BDC"/>
    <w:rsid w:val="00A97DB9"/>
    <w:rsid w:val="00AA04BA"/>
    <w:rsid w:val="00AA061D"/>
    <w:rsid w:val="00AA1CE3"/>
    <w:rsid w:val="00AA2293"/>
    <w:rsid w:val="00AA2EBE"/>
    <w:rsid w:val="00AA2F73"/>
    <w:rsid w:val="00AA351D"/>
    <w:rsid w:val="00AA461C"/>
    <w:rsid w:val="00AA4CB5"/>
    <w:rsid w:val="00AA50FB"/>
    <w:rsid w:val="00AA662F"/>
    <w:rsid w:val="00AA6867"/>
    <w:rsid w:val="00AA758F"/>
    <w:rsid w:val="00AA79C4"/>
    <w:rsid w:val="00AA7BA7"/>
    <w:rsid w:val="00AA7F93"/>
    <w:rsid w:val="00AB0519"/>
    <w:rsid w:val="00AB23AF"/>
    <w:rsid w:val="00AB2573"/>
    <w:rsid w:val="00AB2964"/>
    <w:rsid w:val="00AB2A9E"/>
    <w:rsid w:val="00AB3466"/>
    <w:rsid w:val="00AB3D89"/>
    <w:rsid w:val="00AB3DBE"/>
    <w:rsid w:val="00AB4CD5"/>
    <w:rsid w:val="00AB582C"/>
    <w:rsid w:val="00AB583F"/>
    <w:rsid w:val="00AB6787"/>
    <w:rsid w:val="00AC0D2B"/>
    <w:rsid w:val="00AC23B5"/>
    <w:rsid w:val="00AC2691"/>
    <w:rsid w:val="00AC3237"/>
    <w:rsid w:val="00AC4842"/>
    <w:rsid w:val="00AC4A40"/>
    <w:rsid w:val="00AC4CEF"/>
    <w:rsid w:val="00AC7FFC"/>
    <w:rsid w:val="00AD0360"/>
    <w:rsid w:val="00AD111A"/>
    <w:rsid w:val="00AD1183"/>
    <w:rsid w:val="00AD2147"/>
    <w:rsid w:val="00AD23E5"/>
    <w:rsid w:val="00AD2D5F"/>
    <w:rsid w:val="00AD440B"/>
    <w:rsid w:val="00AD5ABD"/>
    <w:rsid w:val="00AD6360"/>
    <w:rsid w:val="00AD68EA"/>
    <w:rsid w:val="00AD690B"/>
    <w:rsid w:val="00AD6AEC"/>
    <w:rsid w:val="00AD6E6B"/>
    <w:rsid w:val="00AD7183"/>
    <w:rsid w:val="00AE0619"/>
    <w:rsid w:val="00AE0E59"/>
    <w:rsid w:val="00AE10B2"/>
    <w:rsid w:val="00AE16BD"/>
    <w:rsid w:val="00AE1CC3"/>
    <w:rsid w:val="00AE3054"/>
    <w:rsid w:val="00AE3AC2"/>
    <w:rsid w:val="00AE4EB4"/>
    <w:rsid w:val="00AE6105"/>
    <w:rsid w:val="00AE69B5"/>
    <w:rsid w:val="00AF04F4"/>
    <w:rsid w:val="00AF16FC"/>
    <w:rsid w:val="00AF1A8C"/>
    <w:rsid w:val="00AF26B2"/>
    <w:rsid w:val="00AF3506"/>
    <w:rsid w:val="00AF3BF4"/>
    <w:rsid w:val="00AF43D8"/>
    <w:rsid w:val="00AF4837"/>
    <w:rsid w:val="00AF6905"/>
    <w:rsid w:val="00AF692A"/>
    <w:rsid w:val="00B001EF"/>
    <w:rsid w:val="00B00CBF"/>
    <w:rsid w:val="00B00F51"/>
    <w:rsid w:val="00B0101B"/>
    <w:rsid w:val="00B019E5"/>
    <w:rsid w:val="00B01C67"/>
    <w:rsid w:val="00B02029"/>
    <w:rsid w:val="00B02CE4"/>
    <w:rsid w:val="00B03055"/>
    <w:rsid w:val="00B04549"/>
    <w:rsid w:val="00B04DDD"/>
    <w:rsid w:val="00B054F9"/>
    <w:rsid w:val="00B05B23"/>
    <w:rsid w:val="00B06A1D"/>
    <w:rsid w:val="00B0703B"/>
    <w:rsid w:val="00B07676"/>
    <w:rsid w:val="00B07DCE"/>
    <w:rsid w:val="00B10892"/>
    <w:rsid w:val="00B113B7"/>
    <w:rsid w:val="00B11E8B"/>
    <w:rsid w:val="00B13AC2"/>
    <w:rsid w:val="00B14192"/>
    <w:rsid w:val="00B160C6"/>
    <w:rsid w:val="00B16BB3"/>
    <w:rsid w:val="00B17A14"/>
    <w:rsid w:val="00B20813"/>
    <w:rsid w:val="00B21192"/>
    <w:rsid w:val="00B216BD"/>
    <w:rsid w:val="00B21EFC"/>
    <w:rsid w:val="00B22142"/>
    <w:rsid w:val="00B231E7"/>
    <w:rsid w:val="00B252B2"/>
    <w:rsid w:val="00B25DD6"/>
    <w:rsid w:val="00B2630C"/>
    <w:rsid w:val="00B26819"/>
    <w:rsid w:val="00B26F72"/>
    <w:rsid w:val="00B30941"/>
    <w:rsid w:val="00B3095D"/>
    <w:rsid w:val="00B309DB"/>
    <w:rsid w:val="00B31896"/>
    <w:rsid w:val="00B31D8A"/>
    <w:rsid w:val="00B321DE"/>
    <w:rsid w:val="00B32670"/>
    <w:rsid w:val="00B32A8C"/>
    <w:rsid w:val="00B33058"/>
    <w:rsid w:val="00B335D6"/>
    <w:rsid w:val="00B33B8A"/>
    <w:rsid w:val="00B3405E"/>
    <w:rsid w:val="00B34556"/>
    <w:rsid w:val="00B353BC"/>
    <w:rsid w:val="00B356B4"/>
    <w:rsid w:val="00B35EBF"/>
    <w:rsid w:val="00B41507"/>
    <w:rsid w:val="00B41B3D"/>
    <w:rsid w:val="00B4233E"/>
    <w:rsid w:val="00B42553"/>
    <w:rsid w:val="00B427E6"/>
    <w:rsid w:val="00B43A08"/>
    <w:rsid w:val="00B43F84"/>
    <w:rsid w:val="00B446D0"/>
    <w:rsid w:val="00B4482C"/>
    <w:rsid w:val="00B44F40"/>
    <w:rsid w:val="00B45B64"/>
    <w:rsid w:val="00B45F81"/>
    <w:rsid w:val="00B468C9"/>
    <w:rsid w:val="00B46FA7"/>
    <w:rsid w:val="00B47D9D"/>
    <w:rsid w:val="00B500E9"/>
    <w:rsid w:val="00B506FC"/>
    <w:rsid w:val="00B50FF2"/>
    <w:rsid w:val="00B52C92"/>
    <w:rsid w:val="00B52FB5"/>
    <w:rsid w:val="00B54EDE"/>
    <w:rsid w:val="00B55310"/>
    <w:rsid w:val="00B5576C"/>
    <w:rsid w:val="00B55A93"/>
    <w:rsid w:val="00B565D8"/>
    <w:rsid w:val="00B5694B"/>
    <w:rsid w:val="00B56AE2"/>
    <w:rsid w:val="00B56E1B"/>
    <w:rsid w:val="00B57D2A"/>
    <w:rsid w:val="00B604CE"/>
    <w:rsid w:val="00B607DF"/>
    <w:rsid w:val="00B618D2"/>
    <w:rsid w:val="00B61E8A"/>
    <w:rsid w:val="00B621AB"/>
    <w:rsid w:val="00B63B58"/>
    <w:rsid w:val="00B64CF1"/>
    <w:rsid w:val="00B64D59"/>
    <w:rsid w:val="00B6681C"/>
    <w:rsid w:val="00B66A71"/>
    <w:rsid w:val="00B7010C"/>
    <w:rsid w:val="00B704BD"/>
    <w:rsid w:val="00B7138A"/>
    <w:rsid w:val="00B71C43"/>
    <w:rsid w:val="00B7279C"/>
    <w:rsid w:val="00B729D7"/>
    <w:rsid w:val="00B72F45"/>
    <w:rsid w:val="00B73211"/>
    <w:rsid w:val="00B73AED"/>
    <w:rsid w:val="00B75239"/>
    <w:rsid w:val="00B75467"/>
    <w:rsid w:val="00B761F2"/>
    <w:rsid w:val="00B76896"/>
    <w:rsid w:val="00B81BFF"/>
    <w:rsid w:val="00B81C9F"/>
    <w:rsid w:val="00B81E63"/>
    <w:rsid w:val="00B82819"/>
    <w:rsid w:val="00B83A8F"/>
    <w:rsid w:val="00B84642"/>
    <w:rsid w:val="00B856DD"/>
    <w:rsid w:val="00B871B0"/>
    <w:rsid w:val="00B908C9"/>
    <w:rsid w:val="00B91444"/>
    <w:rsid w:val="00B91ACA"/>
    <w:rsid w:val="00B92871"/>
    <w:rsid w:val="00B934A6"/>
    <w:rsid w:val="00B9373D"/>
    <w:rsid w:val="00B93BD0"/>
    <w:rsid w:val="00B9401D"/>
    <w:rsid w:val="00B951D6"/>
    <w:rsid w:val="00B958E7"/>
    <w:rsid w:val="00B95DF0"/>
    <w:rsid w:val="00B97629"/>
    <w:rsid w:val="00B977B5"/>
    <w:rsid w:val="00BA0D9C"/>
    <w:rsid w:val="00BA3108"/>
    <w:rsid w:val="00BA42C4"/>
    <w:rsid w:val="00BA45FE"/>
    <w:rsid w:val="00BA47A9"/>
    <w:rsid w:val="00BA496C"/>
    <w:rsid w:val="00BA4FB9"/>
    <w:rsid w:val="00BA513A"/>
    <w:rsid w:val="00BA5CCA"/>
    <w:rsid w:val="00BA6803"/>
    <w:rsid w:val="00BA700E"/>
    <w:rsid w:val="00BB0A71"/>
    <w:rsid w:val="00BB0D72"/>
    <w:rsid w:val="00BB1216"/>
    <w:rsid w:val="00BB16F2"/>
    <w:rsid w:val="00BB24EB"/>
    <w:rsid w:val="00BB2FD3"/>
    <w:rsid w:val="00BB45CF"/>
    <w:rsid w:val="00BB6396"/>
    <w:rsid w:val="00BB64A1"/>
    <w:rsid w:val="00BB67DA"/>
    <w:rsid w:val="00BB72E9"/>
    <w:rsid w:val="00BB7CEB"/>
    <w:rsid w:val="00BC0F23"/>
    <w:rsid w:val="00BC136F"/>
    <w:rsid w:val="00BC1394"/>
    <w:rsid w:val="00BC3B7F"/>
    <w:rsid w:val="00BC4DD0"/>
    <w:rsid w:val="00BC6A51"/>
    <w:rsid w:val="00BC7555"/>
    <w:rsid w:val="00BD0367"/>
    <w:rsid w:val="00BD0FE0"/>
    <w:rsid w:val="00BD2520"/>
    <w:rsid w:val="00BD2B38"/>
    <w:rsid w:val="00BD3278"/>
    <w:rsid w:val="00BD3419"/>
    <w:rsid w:val="00BD380F"/>
    <w:rsid w:val="00BD3C65"/>
    <w:rsid w:val="00BD5AFA"/>
    <w:rsid w:val="00BD5E0A"/>
    <w:rsid w:val="00BD5F83"/>
    <w:rsid w:val="00BD6631"/>
    <w:rsid w:val="00BD7996"/>
    <w:rsid w:val="00BD7FA2"/>
    <w:rsid w:val="00BE0364"/>
    <w:rsid w:val="00BE063A"/>
    <w:rsid w:val="00BE09A9"/>
    <w:rsid w:val="00BE1FC9"/>
    <w:rsid w:val="00BE22A0"/>
    <w:rsid w:val="00BE2657"/>
    <w:rsid w:val="00BE3851"/>
    <w:rsid w:val="00BE4C7C"/>
    <w:rsid w:val="00BE6C84"/>
    <w:rsid w:val="00BE7777"/>
    <w:rsid w:val="00BF0215"/>
    <w:rsid w:val="00BF0B00"/>
    <w:rsid w:val="00BF0DA2"/>
    <w:rsid w:val="00BF2351"/>
    <w:rsid w:val="00BF3E2A"/>
    <w:rsid w:val="00BF44F1"/>
    <w:rsid w:val="00BF4558"/>
    <w:rsid w:val="00BF4B10"/>
    <w:rsid w:val="00BF4C5A"/>
    <w:rsid w:val="00BF52D7"/>
    <w:rsid w:val="00BF54A4"/>
    <w:rsid w:val="00BF741B"/>
    <w:rsid w:val="00BF7F05"/>
    <w:rsid w:val="00C001B0"/>
    <w:rsid w:val="00C001B1"/>
    <w:rsid w:val="00C0054D"/>
    <w:rsid w:val="00C00ADD"/>
    <w:rsid w:val="00C02209"/>
    <w:rsid w:val="00C022BF"/>
    <w:rsid w:val="00C03C64"/>
    <w:rsid w:val="00C07B9D"/>
    <w:rsid w:val="00C100C9"/>
    <w:rsid w:val="00C10776"/>
    <w:rsid w:val="00C117C2"/>
    <w:rsid w:val="00C11939"/>
    <w:rsid w:val="00C11C1B"/>
    <w:rsid w:val="00C13988"/>
    <w:rsid w:val="00C13A6E"/>
    <w:rsid w:val="00C13CE1"/>
    <w:rsid w:val="00C13CFD"/>
    <w:rsid w:val="00C13E00"/>
    <w:rsid w:val="00C15025"/>
    <w:rsid w:val="00C152B5"/>
    <w:rsid w:val="00C16A22"/>
    <w:rsid w:val="00C16F28"/>
    <w:rsid w:val="00C212CD"/>
    <w:rsid w:val="00C219A5"/>
    <w:rsid w:val="00C229D8"/>
    <w:rsid w:val="00C24812"/>
    <w:rsid w:val="00C25B38"/>
    <w:rsid w:val="00C26098"/>
    <w:rsid w:val="00C2710F"/>
    <w:rsid w:val="00C3133D"/>
    <w:rsid w:val="00C324E6"/>
    <w:rsid w:val="00C32867"/>
    <w:rsid w:val="00C33102"/>
    <w:rsid w:val="00C33788"/>
    <w:rsid w:val="00C35C48"/>
    <w:rsid w:val="00C3643D"/>
    <w:rsid w:val="00C365DD"/>
    <w:rsid w:val="00C3705B"/>
    <w:rsid w:val="00C37D69"/>
    <w:rsid w:val="00C404CF"/>
    <w:rsid w:val="00C405A1"/>
    <w:rsid w:val="00C4294A"/>
    <w:rsid w:val="00C42D1B"/>
    <w:rsid w:val="00C4446E"/>
    <w:rsid w:val="00C4607F"/>
    <w:rsid w:val="00C4620F"/>
    <w:rsid w:val="00C46DE7"/>
    <w:rsid w:val="00C500B8"/>
    <w:rsid w:val="00C501C3"/>
    <w:rsid w:val="00C5267A"/>
    <w:rsid w:val="00C53953"/>
    <w:rsid w:val="00C53E5E"/>
    <w:rsid w:val="00C57444"/>
    <w:rsid w:val="00C60F32"/>
    <w:rsid w:val="00C612F3"/>
    <w:rsid w:val="00C612FD"/>
    <w:rsid w:val="00C61AD5"/>
    <w:rsid w:val="00C62D84"/>
    <w:rsid w:val="00C6357D"/>
    <w:rsid w:val="00C644C8"/>
    <w:rsid w:val="00C64B14"/>
    <w:rsid w:val="00C64C79"/>
    <w:rsid w:val="00C64DFC"/>
    <w:rsid w:val="00C64F55"/>
    <w:rsid w:val="00C6534E"/>
    <w:rsid w:val="00C65747"/>
    <w:rsid w:val="00C6619D"/>
    <w:rsid w:val="00C66C4F"/>
    <w:rsid w:val="00C676AD"/>
    <w:rsid w:val="00C67FE7"/>
    <w:rsid w:val="00C70494"/>
    <w:rsid w:val="00C71E47"/>
    <w:rsid w:val="00C72423"/>
    <w:rsid w:val="00C72456"/>
    <w:rsid w:val="00C744C3"/>
    <w:rsid w:val="00C749BC"/>
    <w:rsid w:val="00C75DF3"/>
    <w:rsid w:val="00C76B61"/>
    <w:rsid w:val="00C76BE7"/>
    <w:rsid w:val="00C76C0E"/>
    <w:rsid w:val="00C76CCF"/>
    <w:rsid w:val="00C76DC9"/>
    <w:rsid w:val="00C80742"/>
    <w:rsid w:val="00C81DA7"/>
    <w:rsid w:val="00C81FFE"/>
    <w:rsid w:val="00C82A4A"/>
    <w:rsid w:val="00C82D34"/>
    <w:rsid w:val="00C84A4A"/>
    <w:rsid w:val="00C8695F"/>
    <w:rsid w:val="00C8763B"/>
    <w:rsid w:val="00C9095A"/>
    <w:rsid w:val="00C9136C"/>
    <w:rsid w:val="00C91EB7"/>
    <w:rsid w:val="00C930E0"/>
    <w:rsid w:val="00C93CC8"/>
    <w:rsid w:val="00C9414E"/>
    <w:rsid w:val="00C950B4"/>
    <w:rsid w:val="00C9578D"/>
    <w:rsid w:val="00C97E87"/>
    <w:rsid w:val="00CA068C"/>
    <w:rsid w:val="00CA1B12"/>
    <w:rsid w:val="00CA1CD1"/>
    <w:rsid w:val="00CA1EAA"/>
    <w:rsid w:val="00CA3644"/>
    <w:rsid w:val="00CA373F"/>
    <w:rsid w:val="00CA41FD"/>
    <w:rsid w:val="00CA4AFD"/>
    <w:rsid w:val="00CA5169"/>
    <w:rsid w:val="00CA5D1A"/>
    <w:rsid w:val="00CB08EA"/>
    <w:rsid w:val="00CB1CBB"/>
    <w:rsid w:val="00CB1FD6"/>
    <w:rsid w:val="00CB5540"/>
    <w:rsid w:val="00CB5689"/>
    <w:rsid w:val="00CB56E5"/>
    <w:rsid w:val="00CB5D7D"/>
    <w:rsid w:val="00CB5D96"/>
    <w:rsid w:val="00CB60D0"/>
    <w:rsid w:val="00CB6B4E"/>
    <w:rsid w:val="00CB772F"/>
    <w:rsid w:val="00CC0B7D"/>
    <w:rsid w:val="00CC1E31"/>
    <w:rsid w:val="00CC3327"/>
    <w:rsid w:val="00CC3DC6"/>
    <w:rsid w:val="00CC43FE"/>
    <w:rsid w:val="00CC45A6"/>
    <w:rsid w:val="00CC5807"/>
    <w:rsid w:val="00CC70CB"/>
    <w:rsid w:val="00CC72A1"/>
    <w:rsid w:val="00CC7E97"/>
    <w:rsid w:val="00CD20C1"/>
    <w:rsid w:val="00CD323B"/>
    <w:rsid w:val="00CD3CBE"/>
    <w:rsid w:val="00CD3E0E"/>
    <w:rsid w:val="00CD3FFD"/>
    <w:rsid w:val="00CD45BB"/>
    <w:rsid w:val="00CD5614"/>
    <w:rsid w:val="00CD5AF2"/>
    <w:rsid w:val="00CD6760"/>
    <w:rsid w:val="00CD6BDE"/>
    <w:rsid w:val="00CD711A"/>
    <w:rsid w:val="00CE012D"/>
    <w:rsid w:val="00CE03DE"/>
    <w:rsid w:val="00CE052F"/>
    <w:rsid w:val="00CE1759"/>
    <w:rsid w:val="00CE2115"/>
    <w:rsid w:val="00CE2E3C"/>
    <w:rsid w:val="00CE3D85"/>
    <w:rsid w:val="00CE3E70"/>
    <w:rsid w:val="00CE49B4"/>
    <w:rsid w:val="00CE637D"/>
    <w:rsid w:val="00CE7BD3"/>
    <w:rsid w:val="00CF02D3"/>
    <w:rsid w:val="00CF03F6"/>
    <w:rsid w:val="00CF05E3"/>
    <w:rsid w:val="00CF1452"/>
    <w:rsid w:val="00CF2540"/>
    <w:rsid w:val="00CF2AC9"/>
    <w:rsid w:val="00CF2BC7"/>
    <w:rsid w:val="00CF569B"/>
    <w:rsid w:val="00CF5C74"/>
    <w:rsid w:val="00CF6822"/>
    <w:rsid w:val="00CF6960"/>
    <w:rsid w:val="00D00C1F"/>
    <w:rsid w:val="00D00C86"/>
    <w:rsid w:val="00D00DB1"/>
    <w:rsid w:val="00D01A62"/>
    <w:rsid w:val="00D02269"/>
    <w:rsid w:val="00D03943"/>
    <w:rsid w:val="00D03E65"/>
    <w:rsid w:val="00D04381"/>
    <w:rsid w:val="00D04743"/>
    <w:rsid w:val="00D04963"/>
    <w:rsid w:val="00D04D1F"/>
    <w:rsid w:val="00D04DB0"/>
    <w:rsid w:val="00D05475"/>
    <w:rsid w:val="00D05644"/>
    <w:rsid w:val="00D11127"/>
    <w:rsid w:val="00D111DF"/>
    <w:rsid w:val="00D121A2"/>
    <w:rsid w:val="00D12826"/>
    <w:rsid w:val="00D130E3"/>
    <w:rsid w:val="00D13449"/>
    <w:rsid w:val="00D13A95"/>
    <w:rsid w:val="00D13CB0"/>
    <w:rsid w:val="00D1422E"/>
    <w:rsid w:val="00D14BB5"/>
    <w:rsid w:val="00D1510A"/>
    <w:rsid w:val="00D1542F"/>
    <w:rsid w:val="00D16BB8"/>
    <w:rsid w:val="00D16D1B"/>
    <w:rsid w:val="00D175FA"/>
    <w:rsid w:val="00D207EC"/>
    <w:rsid w:val="00D209FB"/>
    <w:rsid w:val="00D20D70"/>
    <w:rsid w:val="00D218FF"/>
    <w:rsid w:val="00D22738"/>
    <w:rsid w:val="00D2383B"/>
    <w:rsid w:val="00D23CB9"/>
    <w:rsid w:val="00D252B2"/>
    <w:rsid w:val="00D25A5D"/>
    <w:rsid w:val="00D25F2A"/>
    <w:rsid w:val="00D261C4"/>
    <w:rsid w:val="00D300FE"/>
    <w:rsid w:val="00D30DAA"/>
    <w:rsid w:val="00D313A3"/>
    <w:rsid w:val="00D331E9"/>
    <w:rsid w:val="00D33677"/>
    <w:rsid w:val="00D33FC7"/>
    <w:rsid w:val="00D343D8"/>
    <w:rsid w:val="00D347E0"/>
    <w:rsid w:val="00D34AD8"/>
    <w:rsid w:val="00D359B7"/>
    <w:rsid w:val="00D373A0"/>
    <w:rsid w:val="00D42D5A"/>
    <w:rsid w:val="00D4304C"/>
    <w:rsid w:val="00D43850"/>
    <w:rsid w:val="00D43963"/>
    <w:rsid w:val="00D443D8"/>
    <w:rsid w:val="00D44484"/>
    <w:rsid w:val="00D4618E"/>
    <w:rsid w:val="00D47245"/>
    <w:rsid w:val="00D47918"/>
    <w:rsid w:val="00D47F8E"/>
    <w:rsid w:val="00D51D8A"/>
    <w:rsid w:val="00D553EC"/>
    <w:rsid w:val="00D558D0"/>
    <w:rsid w:val="00D55FB1"/>
    <w:rsid w:val="00D566DE"/>
    <w:rsid w:val="00D56FEF"/>
    <w:rsid w:val="00D57071"/>
    <w:rsid w:val="00D57598"/>
    <w:rsid w:val="00D57FBF"/>
    <w:rsid w:val="00D601BB"/>
    <w:rsid w:val="00D605CB"/>
    <w:rsid w:val="00D64667"/>
    <w:rsid w:val="00D64788"/>
    <w:rsid w:val="00D6662E"/>
    <w:rsid w:val="00D66672"/>
    <w:rsid w:val="00D668AD"/>
    <w:rsid w:val="00D674A6"/>
    <w:rsid w:val="00D7063B"/>
    <w:rsid w:val="00D7145A"/>
    <w:rsid w:val="00D74088"/>
    <w:rsid w:val="00D75D2C"/>
    <w:rsid w:val="00D75D75"/>
    <w:rsid w:val="00D767D0"/>
    <w:rsid w:val="00D81CDC"/>
    <w:rsid w:val="00D82F0A"/>
    <w:rsid w:val="00D83395"/>
    <w:rsid w:val="00D83B71"/>
    <w:rsid w:val="00D845CB"/>
    <w:rsid w:val="00D845D0"/>
    <w:rsid w:val="00D84FE8"/>
    <w:rsid w:val="00D8507B"/>
    <w:rsid w:val="00D852FE"/>
    <w:rsid w:val="00D8568B"/>
    <w:rsid w:val="00D85A2E"/>
    <w:rsid w:val="00D85F12"/>
    <w:rsid w:val="00D86D36"/>
    <w:rsid w:val="00D90B6C"/>
    <w:rsid w:val="00D90D36"/>
    <w:rsid w:val="00D918DB"/>
    <w:rsid w:val="00D937FF"/>
    <w:rsid w:val="00D94518"/>
    <w:rsid w:val="00D94C3B"/>
    <w:rsid w:val="00D94FDC"/>
    <w:rsid w:val="00D955BE"/>
    <w:rsid w:val="00D9573F"/>
    <w:rsid w:val="00D9655B"/>
    <w:rsid w:val="00D969BC"/>
    <w:rsid w:val="00D96A59"/>
    <w:rsid w:val="00DA0E11"/>
    <w:rsid w:val="00DA1392"/>
    <w:rsid w:val="00DA1E1B"/>
    <w:rsid w:val="00DA2683"/>
    <w:rsid w:val="00DA26DF"/>
    <w:rsid w:val="00DA2A23"/>
    <w:rsid w:val="00DA2C92"/>
    <w:rsid w:val="00DA375C"/>
    <w:rsid w:val="00DA4620"/>
    <w:rsid w:val="00DA4F34"/>
    <w:rsid w:val="00DA55A8"/>
    <w:rsid w:val="00DA55F8"/>
    <w:rsid w:val="00DA57E7"/>
    <w:rsid w:val="00DB0CA1"/>
    <w:rsid w:val="00DB15FB"/>
    <w:rsid w:val="00DB1A74"/>
    <w:rsid w:val="00DB3385"/>
    <w:rsid w:val="00DB3F8F"/>
    <w:rsid w:val="00DB4B1D"/>
    <w:rsid w:val="00DB5601"/>
    <w:rsid w:val="00DB57AA"/>
    <w:rsid w:val="00DB59FD"/>
    <w:rsid w:val="00DB632F"/>
    <w:rsid w:val="00DB6614"/>
    <w:rsid w:val="00DC0024"/>
    <w:rsid w:val="00DC063D"/>
    <w:rsid w:val="00DC097A"/>
    <w:rsid w:val="00DC1A7C"/>
    <w:rsid w:val="00DC24AD"/>
    <w:rsid w:val="00DC24C3"/>
    <w:rsid w:val="00DC27D3"/>
    <w:rsid w:val="00DC3A1A"/>
    <w:rsid w:val="00DC4045"/>
    <w:rsid w:val="00DC4257"/>
    <w:rsid w:val="00DC441A"/>
    <w:rsid w:val="00DC4F26"/>
    <w:rsid w:val="00DC5921"/>
    <w:rsid w:val="00DC5BDD"/>
    <w:rsid w:val="00DC6D92"/>
    <w:rsid w:val="00DD0493"/>
    <w:rsid w:val="00DD0968"/>
    <w:rsid w:val="00DD10F5"/>
    <w:rsid w:val="00DD1676"/>
    <w:rsid w:val="00DD17EF"/>
    <w:rsid w:val="00DD2629"/>
    <w:rsid w:val="00DD2715"/>
    <w:rsid w:val="00DD31D5"/>
    <w:rsid w:val="00DD3CA9"/>
    <w:rsid w:val="00DD46A1"/>
    <w:rsid w:val="00DD7445"/>
    <w:rsid w:val="00DE03F3"/>
    <w:rsid w:val="00DE0770"/>
    <w:rsid w:val="00DE10E3"/>
    <w:rsid w:val="00DE12DE"/>
    <w:rsid w:val="00DE1DB8"/>
    <w:rsid w:val="00DE2494"/>
    <w:rsid w:val="00DE3447"/>
    <w:rsid w:val="00DE39A5"/>
    <w:rsid w:val="00DE3FF0"/>
    <w:rsid w:val="00DE4457"/>
    <w:rsid w:val="00DE4AE2"/>
    <w:rsid w:val="00DE4EC0"/>
    <w:rsid w:val="00DE5033"/>
    <w:rsid w:val="00DE684E"/>
    <w:rsid w:val="00DE74F2"/>
    <w:rsid w:val="00DE79C9"/>
    <w:rsid w:val="00DF1394"/>
    <w:rsid w:val="00DF18C1"/>
    <w:rsid w:val="00DF1AD9"/>
    <w:rsid w:val="00DF1B7A"/>
    <w:rsid w:val="00DF21BA"/>
    <w:rsid w:val="00DF21C9"/>
    <w:rsid w:val="00DF2A03"/>
    <w:rsid w:val="00DF3C71"/>
    <w:rsid w:val="00DF44F7"/>
    <w:rsid w:val="00DF4802"/>
    <w:rsid w:val="00DF538D"/>
    <w:rsid w:val="00DF55EE"/>
    <w:rsid w:val="00DF5722"/>
    <w:rsid w:val="00DF635A"/>
    <w:rsid w:val="00DF6BB3"/>
    <w:rsid w:val="00E00914"/>
    <w:rsid w:val="00E00DB4"/>
    <w:rsid w:val="00E015C4"/>
    <w:rsid w:val="00E028C6"/>
    <w:rsid w:val="00E042F4"/>
    <w:rsid w:val="00E04732"/>
    <w:rsid w:val="00E05096"/>
    <w:rsid w:val="00E061D5"/>
    <w:rsid w:val="00E070E9"/>
    <w:rsid w:val="00E07248"/>
    <w:rsid w:val="00E07376"/>
    <w:rsid w:val="00E07B1B"/>
    <w:rsid w:val="00E100F3"/>
    <w:rsid w:val="00E10C0C"/>
    <w:rsid w:val="00E11748"/>
    <w:rsid w:val="00E11A1D"/>
    <w:rsid w:val="00E12C12"/>
    <w:rsid w:val="00E1390B"/>
    <w:rsid w:val="00E13A67"/>
    <w:rsid w:val="00E13B4E"/>
    <w:rsid w:val="00E15BC9"/>
    <w:rsid w:val="00E16412"/>
    <w:rsid w:val="00E16D19"/>
    <w:rsid w:val="00E17DCE"/>
    <w:rsid w:val="00E201EE"/>
    <w:rsid w:val="00E20DF3"/>
    <w:rsid w:val="00E21A69"/>
    <w:rsid w:val="00E21D8E"/>
    <w:rsid w:val="00E22E53"/>
    <w:rsid w:val="00E23AF4"/>
    <w:rsid w:val="00E27A40"/>
    <w:rsid w:val="00E27AAE"/>
    <w:rsid w:val="00E27C41"/>
    <w:rsid w:val="00E30C1D"/>
    <w:rsid w:val="00E31619"/>
    <w:rsid w:val="00E316E5"/>
    <w:rsid w:val="00E32877"/>
    <w:rsid w:val="00E33EEC"/>
    <w:rsid w:val="00E34FAC"/>
    <w:rsid w:val="00E35B8E"/>
    <w:rsid w:val="00E36408"/>
    <w:rsid w:val="00E36925"/>
    <w:rsid w:val="00E36A37"/>
    <w:rsid w:val="00E4004B"/>
    <w:rsid w:val="00E40B35"/>
    <w:rsid w:val="00E417E3"/>
    <w:rsid w:val="00E41837"/>
    <w:rsid w:val="00E4201B"/>
    <w:rsid w:val="00E4294B"/>
    <w:rsid w:val="00E42B6C"/>
    <w:rsid w:val="00E42EE6"/>
    <w:rsid w:val="00E435AA"/>
    <w:rsid w:val="00E43799"/>
    <w:rsid w:val="00E43A72"/>
    <w:rsid w:val="00E43F64"/>
    <w:rsid w:val="00E44585"/>
    <w:rsid w:val="00E44B95"/>
    <w:rsid w:val="00E44BCC"/>
    <w:rsid w:val="00E478CC"/>
    <w:rsid w:val="00E50DE0"/>
    <w:rsid w:val="00E51A47"/>
    <w:rsid w:val="00E54085"/>
    <w:rsid w:val="00E54722"/>
    <w:rsid w:val="00E547F0"/>
    <w:rsid w:val="00E552FC"/>
    <w:rsid w:val="00E55847"/>
    <w:rsid w:val="00E55A96"/>
    <w:rsid w:val="00E57184"/>
    <w:rsid w:val="00E577F2"/>
    <w:rsid w:val="00E57EA3"/>
    <w:rsid w:val="00E62C9C"/>
    <w:rsid w:val="00E63C52"/>
    <w:rsid w:val="00E64254"/>
    <w:rsid w:val="00E658DA"/>
    <w:rsid w:val="00E6637B"/>
    <w:rsid w:val="00E66A7D"/>
    <w:rsid w:val="00E66D30"/>
    <w:rsid w:val="00E67D1E"/>
    <w:rsid w:val="00E7033D"/>
    <w:rsid w:val="00E7095F"/>
    <w:rsid w:val="00E70C10"/>
    <w:rsid w:val="00E7119A"/>
    <w:rsid w:val="00E71252"/>
    <w:rsid w:val="00E729AE"/>
    <w:rsid w:val="00E73330"/>
    <w:rsid w:val="00E7393A"/>
    <w:rsid w:val="00E7412B"/>
    <w:rsid w:val="00E74981"/>
    <w:rsid w:val="00E7601A"/>
    <w:rsid w:val="00E76148"/>
    <w:rsid w:val="00E77553"/>
    <w:rsid w:val="00E77C88"/>
    <w:rsid w:val="00E81312"/>
    <w:rsid w:val="00E8193E"/>
    <w:rsid w:val="00E825DA"/>
    <w:rsid w:val="00E83C18"/>
    <w:rsid w:val="00E8472C"/>
    <w:rsid w:val="00E84DF2"/>
    <w:rsid w:val="00E84F99"/>
    <w:rsid w:val="00E85128"/>
    <w:rsid w:val="00E86FCB"/>
    <w:rsid w:val="00E87A1A"/>
    <w:rsid w:val="00E902E1"/>
    <w:rsid w:val="00E90A56"/>
    <w:rsid w:val="00E90D4A"/>
    <w:rsid w:val="00E918BD"/>
    <w:rsid w:val="00E927B6"/>
    <w:rsid w:val="00E92833"/>
    <w:rsid w:val="00E92F16"/>
    <w:rsid w:val="00E94F15"/>
    <w:rsid w:val="00E95E2E"/>
    <w:rsid w:val="00E95FCB"/>
    <w:rsid w:val="00E97EEF"/>
    <w:rsid w:val="00EA02F6"/>
    <w:rsid w:val="00EA04DD"/>
    <w:rsid w:val="00EA1863"/>
    <w:rsid w:val="00EA27A2"/>
    <w:rsid w:val="00EA28AA"/>
    <w:rsid w:val="00EA37A1"/>
    <w:rsid w:val="00EA4948"/>
    <w:rsid w:val="00EA4DBF"/>
    <w:rsid w:val="00EA5089"/>
    <w:rsid w:val="00EA5434"/>
    <w:rsid w:val="00EA5DC9"/>
    <w:rsid w:val="00EA7E6E"/>
    <w:rsid w:val="00EA7EFB"/>
    <w:rsid w:val="00EB0DD8"/>
    <w:rsid w:val="00EB0FE7"/>
    <w:rsid w:val="00EB28DD"/>
    <w:rsid w:val="00EB29C0"/>
    <w:rsid w:val="00EB2E3F"/>
    <w:rsid w:val="00EB2EFC"/>
    <w:rsid w:val="00EB2F45"/>
    <w:rsid w:val="00EB30DB"/>
    <w:rsid w:val="00EB3FD5"/>
    <w:rsid w:val="00EB4B17"/>
    <w:rsid w:val="00EB7973"/>
    <w:rsid w:val="00EC0FDA"/>
    <w:rsid w:val="00EC1724"/>
    <w:rsid w:val="00EC3BF9"/>
    <w:rsid w:val="00EC3CCE"/>
    <w:rsid w:val="00EC4B1A"/>
    <w:rsid w:val="00EC4D3D"/>
    <w:rsid w:val="00EC5A1B"/>
    <w:rsid w:val="00EC66D6"/>
    <w:rsid w:val="00EC75BD"/>
    <w:rsid w:val="00EC7ADB"/>
    <w:rsid w:val="00EC7DF9"/>
    <w:rsid w:val="00ED01B7"/>
    <w:rsid w:val="00ED18F5"/>
    <w:rsid w:val="00ED2A13"/>
    <w:rsid w:val="00ED2E37"/>
    <w:rsid w:val="00ED3DDA"/>
    <w:rsid w:val="00ED40B2"/>
    <w:rsid w:val="00ED4E9F"/>
    <w:rsid w:val="00ED51D0"/>
    <w:rsid w:val="00ED5B56"/>
    <w:rsid w:val="00ED5B89"/>
    <w:rsid w:val="00ED5ECC"/>
    <w:rsid w:val="00ED5F9A"/>
    <w:rsid w:val="00ED6A08"/>
    <w:rsid w:val="00ED6E8F"/>
    <w:rsid w:val="00ED6EC4"/>
    <w:rsid w:val="00ED729D"/>
    <w:rsid w:val="00ED7DFD"/>
    <w:rsid w:val="00EE0450"/>
    <w:rsid w:val="00EE069F"/>
    <w:rsid w:val="00EE28C4"/>
    <w:rsid w:val="00EE37A2"/>
    <w:rsid w:val="00EE37C8"/>
    <w:rsid w:val="00EE47A3"/>
    <w:rsid w:val="00EE53CD"/>
    <w:rsid w:val="00EE59BC"/>
    <w:rsid w:val="00EE61E6"/>
    <w:rsid w:val="00EE64B5"/>
    <w:rsid w:val="00EE6BDD"/>
    <w:rsid w:val="00EE7518"/>
    <w:rsid w:val="00EE77DF"/>
    <w:rsid w:val="00EE7A85"/>
    <w:rsid w:val="00EF03E8"/>
    <w:rsid w:val="00EF20E3"/>
    <w:rsid w:val="00EF23BE"/>
    <w:rsid w:val="00EF27A4"/>
    <w:rsid w:val="00EF3113"/>
    <w:rsid w:val="00EF3E1F"/>
    <w:rsid w:val="00EF40DE"/>
    <w:rsid w:val="00EF45D4"/>
    <w:rsid w:val="00EF58C0"/>
    <w:rsid w:val="00EF59CB"/>
    <w:rsid w:val="00EF5A0A"/>
    <w:rsid w:val="00EF5F23"/>
    <w:rsid w:val="00EF7CDD"/>
    <w:rsid w:val="00F0047B"/>
    <w:rsid w:val="00F005CF"/>
    <w:rsid w:val="00F00F10"/>
    <w:rsid w:val="00F016FA"/>
    <w:rsid w:val="00F02029"/>
    <w:rsid w:val="00F02173"/>
    <w:rsid w:val="00F02FD1"/>
    <w:rsid w:val="00F0333B"/>
    <w:rsid w:val="00F0398A"/>
    <w:rsid w:val="00F03D72"/>
    <w:rsid w:val="00F03FBE"/>
    <w:rsid w:val="00F04342"/>
    <w:rsid w:val="00F048D9"/>
    <w:rsid w:val="00F04906"/>
    <w:rsid w:val="00F04C0B"/>
    <w:rsid w:val="00F04E22"/>
    <w:rsid w:val="00F051E9"/>
    <w:rsid w:val="00F05755"/>
    <w:rsid w:val="00F0698D"/>
    <w:rsid w:val="00F072F1"/>
    <w:rsid w:val="00F0788E"/>
    <w:rsid w:val="00F07E2A"/>
    <w:rsid w:val="00F10690"/>
    <w:rsid w:val="00F107E8"/>
    <w:rsid w:val="00F117D5"/>
    <w:rsid w:val="00F11C99"/>
    <w:rsid w:val="00F11DE0"/>
    <w:rsid w:val="00F125FF"/>
    <w:rsid w:val="00F12675"/>
    <w:rsid w:val="00F12E9C"/>
    <w:rsid w:val="00F13E8E"/>
    <w:rsid w:val="00F140D2"/>
    <w:rsid w:val="00F149F6"/>
    <w:rsid w:val="00F14BBF"/>
    <w:rsid w:val="00F151DB"/>
    <w:rsid w:val="00F1665D"/>
    <w:rsid w:val="00F21624"/>
    <w:rsid w:val="00F226AC"/>
    <w:rsid w:val="00F22A55"/>
    <w:rsid w:val="00F23F94"/>
    <w:rsid w:val="00F24030"/>
    <w:rsid w:val="00F242B0"/>
    <w:rsid w:val="00F242B2"/>
    <w:rsid w:val="00F24470"/>
    <w:rsid w:val="00F244C2"/>
    <w:rsid w:val="00F257E5"/>
    <w:rsid w:val="00F25C6B"/>
    <w:rsid w:val="00F25E0D"/>
    <w:rsid w:val="00F264D2"/>
    <w:rsid w:val="00F270D4"/>
    <w:rsid w:val="00F27ED0"/>
    <w:rsid w:val="00F27F09"/>
    <w:rsid w:val="00F3027E"/>
    <w:rsid w:val="00F3092F"/>
    <w:rsid w:val="00F30D8F"/>
    <w:rsid w:val="00F30EA4"/>
    <w:rsid w:val="00F31537"/>
    <w:rsid w:val="00F337D8"/>
    <w:rsid w:val="00F3488E"/>
    <w:rsid w:val="00F35294"/>
    <w:rsid w:val="00F35D70"/>
    <w:rsid w:val="00F36FF9"/>
    <w:rsid w:val="00F370AB"/>
    <w:rsid w:val="00F3762F"/>
    <w:rsid w:val="00F378E8"/>
    <w:rsid w:val="00F37AB1"/>
    <w:rsid w:val="00F40B1D"/>
    <w:rsid w:val="00F417BE"/>
    <w:rsid w:val="00F41DFE"/>
    <w:rsid w:val="00F43CCF"/>
    <w:rsid w:val="00F4490B"/>
    <w:rsid w:val="00F451CB"/>
    <w:rsid w:val="00F454AE"/>
    <w:rsid w:val="00F46680"/>
    <w:rsid w:val="00F47038"/>
    <w:rsid w:val="00F51F08"/>
    <w:rsid w:val="00F52571"/>
    <w:rsid w:val="00F526F8"/>
    <w:rsid w:val="00F5498C"/>
    <w:rsid w:val="00F54AF5"/>
    <w:rsid w:val="00F57A04"/>
    <w:rsid w:val="00F6048C"/>
    <w:rsid w:val="00F621B4"/>
    <w:rsid w:val="00F639B0"/>
    <w:rsid w:val="00F644CD"/>
    <w:rsid w:val="00F65523"/>
    <w:rsid w:val="00F6649D"/>
    <w:rsid w:val="00F6664A"/>
    <w:rsid w:val="00F674FB"/>
    <w:rsid w:val="00F67F20"/>
    <w:rsid w:val="00F7052D"/>
    <w:rsid w:val="00F70744"/>
    <w:rsid w:val="00F737C1"/>
    <w:rsid w:val="00F73CC4"/>
    <w:rsid w:val="00F768B9"/>
    <w:rsid w:val="00F80D9C"/>
    <w:rsid w:val="00F819FB"/>
    <w:rsid w:val="00F82461"/>
    <w:rsid w:val="00F825B6"/>
    <w:rsid w:val="00F83075"/>
    <w:rsid w:val="00F845AF"/>
    <w:rsid w:val="00F84A4D"/>
    <w:rsid w:val="00F84F1C"/>
    <w:rsid w:val="00F859AF"/>
    <w:rsid w:val="00F86A89"/>
    <w:rsid w:val="00F8765E"/>
    <w:rsid w:val="00F904EC"/>
    <w:rsid w:val="00F9114E"/>
    <w:rsid w:val="00F91337"/>
    <w:rsid w:val="00F9139E"/>
    <w:rsid w:val="00F91423"/>
    <w:rsid w:val="00F935DF"/>
    <w:rsid w:val="00F9392A"/>
    <w:rsid w:val="00F9478D"/>
    <w:rsid w:val="00F95865"/>
    <w:rsid w:val="00F96CF8"/>
    <w:rsid w:val="00F979AE"/>
    <w:rsid w:val="00FA093F"/>
    <w:rsid w:val="00FA0C5F"/>
    <w:rsid w:val="00FA32B6"/>
    <w:rsid w:val="00FA3E37"/>
    <w:rsid w:val="00FA4131"/>
    <w:rsid w:val="00FA453A"/>
    <w:rsid w:val="00FA546C"/>
    <w:rsid w:val="00FA5A1E"/>
    <w:rsid w:val="00FA68BC"/>
    <w:rsid w:val="00FA76F1"/>
    <w:rsid w:val="00FA7FF5"/>
    <w:rsid w:val="00FB0F4A"/>
    <w:rsid w:val="00FB15A3"/>
    <w:rsid w:val="00FB2DB4"/>
    <w:rsid w:val="00FB5ACA"/>
    <w:rsid w:val="00FB6CC3"/>
    <w:rsid w:val="00FB729A"/>
    <w:rsid w:val="00FC310F"/>
    <w:rsid w:val="00FC356C"/>
    <w:rsid w:val="00FC3E30"/>
    <w:rsid w:val="00FC45DC"/>
    <w:rsid w:val="00FC4B01"/>
    <w:rsid w:val="00FC4C9C"/>
    <w:rsid w:val="00FC4D63"/>
    <w:rsid w:val="00FC55AB"/>
    <w:rsid w:val="00FC5FD7"/>
    <w:rsid w:val="00FC6288"/>
    <w:rsid w:val="00FC6A56"/>
    <w:rsid w:val="00FC6F01"/>
    <w:rsid w:val="00FC74B1"/>
    <w:rsid w:val="00FD07BF"/>
    <w:rsid w:val="00FD0D52"/>
    <w:rsid w:val="00FD107E"/>
    <w:rsid w:val="00FD40F2"/>
    <w:rsid w:val="00FD5090"/>
    <w:rsid w:val="00FD56ED"/>
    <w:rsid w:val="00FD5B3C"/>
    <w:rsid w:val="00FD5B6B"/>
    <w:rsid w:val="00FD6447"/>
    <w:rsid w:val="00FD7085"/>
    <w:rsid w:val="00FD7099"/>
    <w:rsid w:val="00FE0832"/>
    <w:rsid w:val="00FE122A"/>
    <w:rsid w:val="00FE2544"/>
    <w:rsid w:val="00FE2888"/>
    <w:rsid w:val="00FE2FF6"/>
    <w:rsid w:val="00FE3C87"/>
    <w:rsid w:val="00FE41D5"/>
    <w:rsid w:val="00FE43B3"/>
    <w:rsid w:val="00FE446B"/>
    <w:rsid w:val="00FE48E3"/>
    <w:rsid w:val="00FE4B56"/>
    <w:rsid w:val="00FE6F2D"/>
    <w:rsid w:val="00FE7A2A"/>
    <w:rsid w:val="00FF0927"/>
    <w:rsid w:val="00FF0A72"/>
    <w:rsid w:val="00FF1466"/>
    <w:rsid w:val="00FF1A55"/>
    <w:rsid w:val="00FF23CF"/>
    <w:rsid w:val="00FF29DC"/>
    <w:rsid w:val="00FF30FF"/>
    <w:rsid w:val="00FF3115"/>
    <w:rsid w:val="00FF411B"/>
    <w:rsid w:val="00FF437B"/>
    <w:rsid w:val="00FF44B1"/>
    <w:rsid w:val="00FF4D79"/>
    <w:rsid w:val="00FF6AD9"/>
    <w:rsid w:val="00FF700D"/>
    <w:rsid w:val="00FF764A"/>
    <w:rsid w:val="00FF789C"/>
    <w:rsid w:val="0A167B5D"/>
    <w:rsid w:val="0A1D24A5"/>
    <w:rsid w:val="0E6F413B"/>
    <w:rsid w:val="11B30D88"/>
    <w:rsid w:val="11DDBCC1"/>
    <w:rsid w:val="1EEECB5B"/>
    <w:rsid w:val="2703E6D9"/>
    <w:rsid w:val="2F1E1918"/>
    <w:rsid w:val="2FA6D830"/>
    <w:rsid w:val="308EFF1C"/>
    <w:rsid w:val="33FD4886"/>
    <w:rsid w:val="37782AC5"/>
    <w:rsid w:val="48A7DC98"/>
    <w:rsid w:val="4AFC32F1"/>
    <w:rsid w:val="4B793CEB"/>
    <w:rsid w:val="4C8224CF"/>
    <w:rsid w:val="6162782D"/>
    <w:rsid w:val="6476B844"/>
    <w:rsid w:val="64B6090B"/>
    <w:rsid w:val="66FD397C"/>
    <w:rsid w:val="6BE8D2C7"/>
    <w:rsid w:val="753FD4B9"/>
    <w:rsid w:val="796003DE"/>
    <w:rsid w:val="7AA29B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4BDBB692"/>
  <w15:docId w15:val="{53AF5ADD-C9AE-4ECF-BCF4-DEA4B101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2"/>
      <w:szCs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val="0"/>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bCs/>
      <w:sz w:val="22"/>
      <w:szCs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bCs/>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bCs/>
      <w:sz w:val="22"/>
      <w:szCs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 w:type="character" w:styleId="Mention">
    <w:name w:val="Mention"/>
    <w:rsid w:val="001064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egan.danner@fcc.gov" TargetMode="External" /><Relationship Id="rId9" Type="http://schemas.openxmlformats.org/officeDocument/2006/relationships/hyperlink" Target="mailto:Nissa.Laughner@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