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00560436">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400CD94B">
            <w:pPr>
              <w:pStyle w:val="TOAHeading"/>
              <w:rPr>
                <w:szCs w:val="22"/>
              </w:rPr>
            </w:pPr>
            <w:r>
              <w:rPr>
                <w:szCs w:val="22"/>
              </w:rPr>
              <w:t>Complaint No</w:t>
            </w:r>
            <w:r w:rsidRPr="00EF2C5A">
              <w:rPr>
                <w:szCs w:val="22"/>
              </w:rPr>
              <w:t>.</w:t>
            </w:r>
            <w:r w:rsidR="006F2F56">
              <w:rPr>
                <w:szCs w:val="22"/>
              </w:rPr>
              <w:t xml:space="preserve"> </w:t>
            </w:r>
            <w:r w:rsidR="006E6740">
              <w:rPr>
                <w:szCs w:val="22"/>
              </w:rPr>
              <w:t>6</w:t>
            </w:r>
            <w:r w:rsidR="00AC5C43">
              <w:rPr>
                <w:szCs w:val="22"/>
              </w:rPr>
              <w:t>961047</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6D69D863">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6E6740">
        <w:rPr>
          <w:b/>
          <w:spacing w:val="-2"/>
        </w:rPr>
        <w:t>April</w:t>
      </w:r>
      <w:r w:rsidR="00AD4917">
        <w:rPr>
          <w:b/>
          <w:spacing w:val="-2"/>
        </w:rPr>
        <w:t xml:space="preserve"> </w:t>
      </w:r>
      <w:r w:rsidR="00F3305F">
        <w:rPr>
          <w:b/>
          <w:spacing w:val="-2"/>
        </w:rPr>
        <w:t xml:space="preserve">24, </w:t>
      </w:r>
      <w:r w:rsidRPr="00142D97">
        <w:rPr>
          <w:b/>
          <w:spacing w:val="-2"/>
        </w:rPr>
        <w:t>20</w:t>
      </w:r>
      <w:r w:rsidR="006D6CC3">
        <w:rPr>
          <w:b/>
          <w:spacing w:val="-2"/>
        </w:rPr>
        <w:t>2</w:t>
      </w:r>
      <w:r w:rsidR="0042275B">
        <w:rPr>
          <w:b/>
          <w:spacing w:val="-2"/>
        </w:rPr>
        <w:t>4</w:t>
      </w:r>
      <w:r w:rsidRPr="00142D97">
        <w:rPr>
          <w:b/>
          <w:spacing w:val="-2"/>
        </w:rPr>
        <w:tab/>
        <w:t xml:space="preserve">Released: </w:t>
      </w:r>
      <w:r w:rsidR="00442324">
        <w:rPr>
          <w:b/>
          <w:spacing w:val="-2"/>
        </w:rPr>
        <w:t xml:space="preserve"> </w:t>
      </w:r>
      <w:r w:rsidR="006E6740">
        <w:rPr>
          <w:b/>
          <w:spacing w:val="-2"/>
        </w:rPr>
        <w:t>April</w:t>
      </w:r>
      <w:r w:rsidR="00AF783A">
        <w:rPr>
          <w:b/>
          <w:spacing w:val="-2"/>
        </w:rPr>
        <w:t xml:space="preserve"> </w:t>
      </w:r>
      <w:r w:rsidR="00F3305F">
        <w:rPr>
          <w:b/>
          <w:spacing w:val="-2"/>
        </w:rPr>
        <w:t>25</w:t>
      </w:r>
      <w:r w:rsidRPr="00142D97">
        <w:rPr>
          <w:b/>
          <w:spacing w:val="-2"/>
        </w:rPr>
        <w:t>, 20</w:t>
      </w:r>
      <w:r w:rsidR="006D6CC3">
        <w:rPr>
          <w:b/>
          <w:spacing w:val="-2"/>
        </w:rPr>
        <w:t>2</w:t>
      </w:r>
      <w:r w:rsidR="0042275B">
        <w:rPr>
          <w:b/>
          <w:spacing w:val="-2"/>
        </w:rPr>
        <w:t>4</w:t>
      </w:r>
    </w:p>
    <w:p w:rsidR="00E87EC4" w:rsidRPr="00142D97" w:rsidP="00E87EC4" w14:paraId="11E45323" w14:textId="77777777"/>
    <w:p w:rsidR="00E87EC4" w:rsidRPr="00142D97" w:rsidP="00440166" w14:paraId="27E2BE03" w14:textId="6346CD91">
      <w:pPr>
        <w:spacing w:after="120"/>
      </w:pPr>
      <w:r w:rsidRPr="00142D97">
        <w:t xml:space="preserve">By the </w:t>
      </w:r>
      <w:r w:rsidR="006635FF">
        <w:t xml:space="preserve">Associate Division </w:t>
      </w:r>
      <w:r w:rsidRPr="00142D97">
        <w:t xml:space="preserve">Chief, Consumer Policy Division, Consumer </w:t>
      </w:r>
      <w:r>
        <w:t>and</w:t>
      </w:r>
      <w:r w:rsidRPr="00142D97">
        <w:t xml:space="preserve"> Governmental Affairs Bureau:</w:t>
      </w:r>
    </w:p>
    <w:p w:rsidR="00E87EC4" w:rsidRPr="00142D97" w:rsidP="00440166" w14:paraId="40A053FA" w14:textId="3EC73E54">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2781DD90">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00D91F4C">
        <w:rPr>
          <w:szCs w:val="22"/>
        </w:rPr>
        <w:t xml:space="preserve"> </w:t>
      </w:r>
      <w:r w:rsidRPr="00B82B45" w:rsidR="00B82B45">
        <w:rPr>
          <w:szCs w:val="22"/>
        </w:rPr>
        <w:t xml:space="preserve"> Under the rule</w:t>
      </w:r>
      <w:r>
        <w:rPr>
          <w:szCs w:val="22"/>
        </w:rPr>
        <w:t>s</w:t>
      </w:r>
      <w:r w:rsidRPr="00B82B45" w:rsidR="00B82B45">
        <w:rPr>
          <w:szCs w:val="22"/>
        </w:rPr>
        <w:t>, upon a finding of material misrepresentation during 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B00263" w:rsidP="00A23350" w14:paraId="1379FBE2" w14:textId="4C77DAA4">
      <w:pPr>
        <w:pStyle w:val="ListParagraph"/>
        <w:widowControl/>
        <w:numPr>
          <w:ilvl w:val="0"/>
          <w:numId w:val="7"/>
        </w:numPr>
        <w:tabs>
          <w:tab w:val="clear" w:pos="1440"/>
        </w:tabs>
        <w:snapToGrid w:val="0"/>
        <w:spacing w:after="120"/>
        <w:ind w:left="0" w:firstLine="720"/>
        <w:contextualSpacing w:val="0"/>
        <w:rPr>
          <w:szCs w:val="22"/>
        </w:rPr>
      </w:pPr>
      <w:r w:rsidRPr="00B00263">
        <w:rPr>
          <w:szCs w:val="22"/>
        </w:rPr>
        <w:t>We received Complainant’</w:t>
      </w:r>
      <w:r w:rsidRPr="00B00263" w:rsidR="004B41C6">
        <w:rPr>
          <w:szCs w:val="22"/>
        </w:rPr>
        <w:t>s</w:t>
      </w:r>
      <w:r w:rsidRPr="00B00263">
        <w:rPr>
          <w:szCs w:val="22"/>
        </w:rPr>
        <w:t xml:space="preserve"> complaint alleging that Complainant’</w:t>
      </w:r>
      <w:r w:rsidRPr="00B00263" w:rsidR="004B41C6">
        <w:rPr>
          <w:szCs w:val="22"/>
        </w:rPr>
        <w:t>s</w:t>
      </w:r>
      <w:r w:rsidRPr="00B00263">
        <w:rPr>
          <w:szCs w:val="22"/>
        </w:rPr>
        <w:t xml:space="preserve"> telecommunications service provider had been changed </w:t>
      </w:r>
      <w:r w:rsidR="002C5564">
        <w:rPr>
          <w:szCs w:val="22"/>
        </w:rPr>
        <w:t xml:space="preserve">from </w:t>
      </w:r>
      <w:r w:rsidR="00AC5C43">
        <w:rPr>
          <w:szCs w:val="22"/>
        </w:rPr>
        <w:t>AT&amp;T</w:t>
      </w:r>
      <w:r w:rsidR="002C5564">
        <w:rPr>
          <w:szCs w:val="22"/>
        </w:rPr>
        <w:t xml:space="preserve"> </w:t>
      </w:r>
      <w:r w:rsidR="006635FF">
        <w:rPr>
          <w:szCs w:val="22"/>
        </w:rPr>
        <w:t xml:space="preserve">to Clear Rate </w:t>
      </w:r>
      <w:r w:rsidRPr="00B00263">
        <w:rPr>
          <w:szCs w:val="22"/>
        </w:rPr>
        <w:t>without</w:t>
      </w:r>
      <w:r w:rsidRPr="00B00263" w:rsidR="00F74AF2">
        <w:rPr>
          <w:szCs w:val="22"/>
        </w:rPr>
        <w:t xml:space="preserve"> </w:t>
      </w:r>
      <w:r w:rsidRPr="00B00263" w:rsidR="006F62BA">
        <w:rPr>
          <w:szCs w:val="22"/>
        </w:rPr>
        <w:t>h</w:t>
      </w:r>
      <w:r w:rsidR="00D91F4C">
        <w:rPr>
          <w:szCs w:val="22"/>
        </w:rPr>
        <w:t>er</w:t>
      </w:r>
      <w:r w:rsidRPr="00B00263">
        <w:rPr>
          <w:szCs w:val="22"/>
        </w:rPr>
        <w:t xml:space="preserve"> authorization.</w:t>
      </w:r>
      <w:r>
        <w:rPr>
          <w:rStyle w:val="FootnoteReference"/>
          <w:sz w:val="22"/>
          <w:szCs w:val="22"/>
        </w:rPr>
        <w:footnoteReference w:id="11"/>
      </w:r>
      <w:r w:rsidRPr="00B00263">
        <w:rPr>
          <w:szCs w:val="22"/>
        </w:rPr>
        <w:t xml:space="preserve">  </w:t>
      </w:r>
      <w:r w:rsidR="00BA76AA">
        <w:rPr>
          <w:szCs w:val="22"/>
        </w:rPr>
        <w:t xml:space="preserve">Complainant explained that </w:t>
      </w:r>
      <w:r w:rsidR="00AC5C43">
        <w:rPr>
          <w:szCs w:val="22"/>
        </w:rPr>
        <w:t>she and her mother</w:t>
      </w:r>
      <w:r w:rsidR="005B7705">
        <w:rPr>
          <w:szCs w:val="22"/>
        </w:rPr>
        <w:t>,</w:t>
      </w:r>
      <w:r w:rsidR="00AC5C43">
        <w:rPr>
          <w:szCs w:val="22"/>
        </w:rPr>
        <w:t xml:space="preserve"> who is 92 years old</w:t>
      </w:r>
      <w:r w:rsidR="005B7705">
        <w:rPr>
          <w:szCs w:val="22"/>
        </w:rPr>
        <w:t>,</w:t>
      </w:r>
      <w:r w:rsidR="00AC5C43">
        <w:rPr>
          <w:szCs w:val="22"/>
        </w:rPr>
        <w:t xml:space="preserve"> set up a new account with AT&amp;T </w:t>
      </w:r>
      <w:r w:rsidR="00F86978">
        <w:rPr>
          <w:szCs w:val="22"/>
        </w:rPr>
        <w:t xml:space="preserve">in December 2023 </w:t>
      </w:r>
      <w:r w:rsidR="00AC5C43">
        <w:rPr>
          <w:szCs w:val="22"/>
        </w:rPr>
        <w:t>and w</w:t>
      </w:r>
      <w:r w:rsidR="005B7705">
        <w:rPr>
          <w:szCs w:val="22"/>
        </w:rPr>
        <w:t>ere</w:t>
      </w:r>
      <w:r w:rsidR="00AC5C43">
        <w:rPr>
          <w:szCs w:val="22"/>
        </w:rPr>
        <w:t xml:space="preserve"> told they would receive </w:t>
      </w:r>
      <w:r w:rsidR="001D0F97">
        <w:rPr>
          <w:szCs w:val="22"/>
        </w:rPr>
        <w:t>the same</w:t>
      </w:r>
      <w:r w:rsidR="00AC5C43">
        <w:rPr>
          <w:szCs w:val="22"/>
        </w:rPr>
        <w:t xml:space="preserve"> services they had with their previous carrier.</w:t>
      </w:r>
      <w:r w:rsidR="001D0F97">
        <w:rPr>
          <w:szCs w:val="22"/>
        </w:rPr>
        <w:t xml:space="preserve">  Complainant stated that her mother “</w:t>
      </w:r>
      <w:r w:rsidRPr="00044645" w:rsidR="00044645">
        <w:rPr>
          <w:szCs w:val="22"/>
        </w:rPr>
        <w:t xml:space="preserve">received a call from Clear Rate Communications a few days after transferring her number to AT&amp;T. </w:t>
      </w:r>
      <w:r w:rsidR="005B7705">
        <w:rPr>
          <w:szCs w:val="22"/>
        </w:rPr>
        <w:t xml:space="preserve"> </w:t>
      </w:r>
      <w:r w:rsidRPr="00044645" w:rsidR="00044645">
        <w:rPr>
          <w:szCs w:val="22"/>
        </w:rPr>
        <w:t xml:space="preserve">The person who called led her to believe she was speaking with someone from AT&amp;T. </w:t>
      </w:r>
      <w:r w:rsidR="005B7705">
        <w:rPr>
          <w:szCs w:val="22"/>
        </w:rPr>
        <w:t xml:space="preserve"> </w:t>
      </w:r>
      <w:r w:rsidRPr="00044645" w:rsidR="00044645">
        <w:rPr>
          <w:szCs w:val="22"/>
        </w:rPr>
        <w:t>With that said, she erroneously agreed to the services.</w:t>
      </w:r>
      <w:r w:rsidR="001D0F97">
        <w:rPr>
          <w:szCs w:val="22"/>
        </w:rPr>
        <w:t>”</w:t>
      </w:r>
      <w:r>
        <w:rPr>
          <w:rStyle w:val="FootnoteReference"/>
          <w:szCs w:val="22"/>
        </w:rPr>
        <w:footnoteReference w:id="12"/>
      </w:r>
      <w:r w:rsidR="00FD1C84">
        <w:rPr>
          <w:color w:val="2F3941"/>
          <w:szCs w:val="22"/>
          <w:shd w:val="clear" w:color="auto" w:fill="FFFFFF"/>
        </w:rPr>
        <w:t xml:space="preserve">  </w:t>
      </w:r>
      <w:r w:rsidR="00FB78C6">
        <w:rPr>
          <w:szCs w:val="22"/>
        </w:rPr>
        <w:t xml:space="preserve">Complainant </w:t>
      </w:r>
      <w:r w:rsidR="009725BF">
        <w:rPr>
          <w:szCs w:val="22"/>
        </w:rPr>
        <w:t>stated</w:t>
      </w:r>
      <w:r w:rsidR="00FB78C6">
        <w:rPr>
          <w:szCs w:val="22"/>
        </w:rPr>
        <w:t xml:space="preserve"> that </w:t>
      </w:r>
      <w:r w:rsidR="00F86978">
        <w:rPr>
          <w:szCs w:val="22"/>
        </w:rPr>
        <w:t xml:space="preserve">a Clear Rate’s representative stated </w:t>
      </w:r>
      <w:r w:rsidR="00D75627">
        <w:rPr>
          <w:szCs w:val="22"/>
        </w:rPr>
        <w:t xml:space="preserve">to her that </w:t>
      </w:r>
      <w:r w:rsidR="00FB78C6">
        <w:rPr>
          <w:szCs w:val="22"/>
        </w:rPr>
        <w:t>“</w:t>
      </w:r>
      <w:r w:rsidR="00F86978">
        <w:rPr>
          <w:szCs w:val="22"/>
        </w:rPr>
        <w:t>her mother’s number will not be released until the past due balance is paid</w:t>
      </w:r>
      <w:r w:rsidR="009725BF">
        <w:rPr>
          <w:szCs w:val="22"/>
        </w:rPr>
        <w:t>.</w:t>
      </w:r>
      <w:r w:rsidR="00FB78C6">
        <w:rPr>
          <w:szCs w:val="22"/>
        </w:rPr>
        <w:t>”</w:t>
      </w:r>
      <w:r>
        <w:rPr>
          <w:rStyle w:val="FootnoteReference"/>
          <w:szCs w:val="22"/>
        </w:rPr>
        <w:footnoteReference w:id="13"/>
      </w:r>
      <w:r w:rsidR="00D75627">
        <w:rPr>
          <w:szCs w:val="22"/>
        </w:rPr>
        <w:t xml:space="preserve">  </w:t>
      </w:r>
      <w:r w:rsidR="00044645">
        <w:rPr>
          <w:szCs w:val="22"/>
        </w:rPr>
        <w:t xml:space="preserve">Complainant explained that in her attempts to </w:t>
      </w:r>
      <w:r w:rsidRPr="00044645" w:rsidR="00044645">
        <w:rPr>
          <w:szCs w:val="22"/>
        </w:rPr>
        <w:t xml:space="preserve">cancel the account, </w:t>
      </w:r>
      <w:r w:rsidR="00044645">
        <w:rPr>
          <w:szCs w:val="22"/>
        </w:rPr>
        <w:t>“</w:t>
      </w:r>
      <w:r w:rsidRPr="00044645" w:rsidR="00044645">
        <w:rPr>
          <w:szCs w:val="22"/>
        </w:rPr>
        <w:t xml:space="preserve">I have been lied to and hung up on. </w:t>
      </w:r>
      <w:r w:rsidR="005B7705">
        <w:rPr>
          <w:szCs w:val="22"/>
        </w:rPr>
        <w:t xml:space="preserve"> </w:t>
      </w:r>
      <w:r w:rsidRPr="00044645" w:rsidR="00044645">
        <w:rPr>
          <w:szCs w:val="22"/>
        </w:rPr>
        <w:t>My concerns and request for cancellation have been ignored.</w:t>
      </w:r>
      <w:r w:rsidR="00044645">
        <w:rPr>
          <w:szCs w:val="22"/>
        </w:rPr>
        <w:t xml:space="preserve"> . . . [M]</w:t>
      </w:r>
      <w:r w:rsidRPr="00044645" w:rsidR="00044645">
        <w:rPr>
          <w:szCs w:val="22"/>
        </w:rPr>
        <w:t>y mother is 92 years old, and not being able to call family and/or friends for help if needed could be detrimental.</w:t>
      </w:r>
      <w:r w:rsidR="00044645">
        <w:rPr>
          <w:szCs w:val="22"/>
        </w:rPr>
        <w:t>”</w:t>
      </w:r>
      <w:r>
        <w:rPr>
          <w:rStyle w:val="FootnoteReference"/>
          <w:szCs w:val="22"/>
        </w:rPr>
        <w:footnoteReference w:id="14"/>
      </w:r>
      <w:r w:rsidR="00044645">
        <w:rPr>
          <w:szCs w:val="22"/>
        </w:rPr>
        <w:t xml:space="preserve"> </w:t>
      </w:r>
      <w:r w:rsidRPr="00044645" w:rsidR="00044645">
        <w:rPr>
          <w:szCs w:val="22"/>
        </w:rPr>
        <w:t xml:space="preserve"> </w:t>
      </w:r>
      <w:r w:rsidR="00D75627">
        <w:rPr>
          <w:szCs w:val="22"/>
        </w:rPr>
        <w:t xml:space="preserve">Complainant </w:t>
      </w:r>
      <w:r w:rsidR="00044645">
        <w:rPr>
          <w:szCs w:val="22"/>
        </w:rPr>
        <w:t>stated that</w:t>
      </w:r>
      <w:r w:rsidR="00D75627">
        <w:rPr>
          <w:szCs w:val="22"/>
        </w:rPr>
        <w:t xml:space="preserve"> “she wants her mother’s telephone number released without being forced to pay for services that never should have been with [Clear Rate] in the first place.”</w:t>
      </w:r>
      <w:r>
        <w:rPr>
          <w:rStyle w:val="FootnoteReference"/>
          <w:szCs w:val="22"/>
        </w:rPr>
        <w:footnoteReference w:id="15"/>
      </w:r>
      <w:r w:rsidR="00194017">
        <w:rPr>
          <w:szCs w:val="22"/>
        </w:rPr>
        <w:t xml:space="preserve"> </w:t>
      </w:r>
    </w:p>
    <w:p w:rsidR="000C39CD" w:rsidRPr="000C39CD" w:rsidP="00A23350" w14:paraId="10163473" w14:textId="50BF40D2">
      <w:pPr>
        <w:pStyle w:val="ListParagraph"/>
        <w:widowControl/>
        <w:numPr>
          <w:ilvl w:val="0"/>
          <w:numId w:val="7"/>
        </w:numPr>
        <w:tabs>
          <w:tab w:val="clear" w:pos="1440"/>
        </w:tabs>
        <w:snapToGrid w:val="0"/>
        <w:spacing w:after="120"/>
        <w:ind w:left="0" w:firstLine="720"/>
        <w:contextualSpacing w:val="0"/>
      </w:pPr>
      <w:r w:rsidRPr="009306F2">
        <w:t xml:space="preserve">Pursuant </w:t>
      </w:r>
      <w:r w:rsidRPr="00126D53">
        <w:t xml:space="preserve">to our rules, we notified </w:t>
      </w:r>
      <w:r w:rsidRPr="00126D53" w:rsidR="00104663">
        <w:t>Clear Rate</w:t>
      </w:r>
      <w:r w:rsidRPr="00126D53">
        <w:t xml:space="preserve"> of the complaint</w:t>
      </w:r>
      <w:r w:rsidR="00B00263">
        <w:t>, directing the company to address the allegation of misrepresentation and to provide evidence to rebut the claim.</w:t>
      </w:r>
      <w:r>
        <w:rPr>
          <w:rStyle w:val="FootnoteReference"/>
        </w:rPr>
        <w:footnoteReference w:id="16"/>
      </w:r>
      <w:r w:rsidRPr="00126D53">
        <w:t xml:space="preserve">  </w:t>
      </w:r>
      <w:r w:rsidR="00AC2250">
        <w:t>Clear Rate responded, stating t</w:t>
      </w:r>
      <w:r w:rsidR="0088338D">
        <w:t>hat they do not disclose any information to individuals who are not the account holder.  It did not, however, provide the recording or any other evidence of authorization.</w:t>
      </w:r>
      <w:r>
        <w:rPr>
          <w:rStyle w:val="FootnoteReference"/>
        </w:rPr>
        <w:footnoteReference w:id="17"/>
      </w:r>
      <w:r w:rsidR="00AC2250">
        <w:t xml:space="preserve">  </w:t>
      </w:r>
      <w:r w:rsidR="0088338D">
        <w:t>The failure of Clear Rate</w:t>
      </w:r>
      <w:r w:rsidRPr="006D6CC3" w:rsidR="0088338D">
        <w:t xml:space="preserve"> </w:t>
      </w:r>
      <w:r w:rsidR="0088338D">
        <w:t>to provide proof of verification is presumed to be clear and convincing evidence of a violation.</w:t>
      </w:r>
      <w:r>
        <w:rPr>
          <w:rStyle w:val="FootnoteReference"/>
        </w:rPr>
        <w:footnoteReference w:id="18"/>
      </w:r>
      <w:r w:rsidR="0088338D">
        <w:t xml:space="preserve">  </w:t>
      </w:r>
      <w:r w:rsidR="00AC2250">
        <w:t xml:space="preserve">Clear Rate did not </w:t>
      </w:r>
      <w:r w:rsidR="00B00263">
        <w:t xml:space="preserve">address </w:t>
      </w:r>
      <w:r w:rsidR="00524F87">
        <w:t>Complainant’s</w:t>
      </w:r>
      <w:r w:rsidR="00B00263">
        <w:t xml:space="preserve"> misrepresentation </w:t>
      </w:r>
      <w:r w:rsidR="00524F87">
        <w:t>claim</w:t>
      </w:r>
      <w:r w:rsidR="00B00263">
        <w:t xml:space="preserve"> and did not </w:t>
      </w:r>
      <w:r w:rsidR="00AC2250">
        <w:t>provide a recording of the sales call or any other evidence related to the sales call.</w:t>
      </w:r>
    </w:p>
    <w:p w:rsidR="00E87EC4" w:rsidP="00A23350" w14:paraId="7E5B2A35" w14:textId="1B9F2B7C">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9"/>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provider, as defined by the rules, and we discuss </w:t>
      </w:r>
      <w:r w:rsidR="00104663">
        <w:rPr>
          <w:szCs w:val="22"/>
        </w:rPr>
        <w:t>Clear Rate</w:t>
      </w:r>
      <w:r w:rsidRPr="00CB7D2F">
        <w:rPr>
          <w:szCs w:val="22"/>
        </w:rPr>
        <w:t>’s liability below.</w:t>
      </w:r>
      <w:r>
        <w:rPr>
          <w:rStyle w:val="FootnoteReference"/>
          <w:szCs w:val="22"/>
        </w:rPr>
        <w:footnoteReference w:id="20"/>
      </w:r>
      <w:r w:rsidRPr="00A23350" w:rsidR="00FD5F16">
        <w:rPr>
          <w:szCs w:val="24"/>
        </w:rPr>
        <w:t xml:space="preserve">  </w:t>
      </w:r>
    </w:p>
    <w:p w:rsidR="00E87EC4" w:rsidP="004A1870" w14:paraId="0A6F2D17" w14:textId="2610BB7F">
      <w:pPr>
        <w:widowControl/>
        <w:numPr>
          <w:ilvl w:val="0"/>
          <w:numId w:val="7"/>
        </w:numPr>
        <w:tabs>
          <w:tab w:val="clear" w:pos="1440"/>
        </w:tabs>
        <w:spacing w:after="120"/>
        <w:ind w:left="0" w:firstLine="720"/>
      </w:pPr>
      <w:r>
        <w:t>Clear Rate</w:t>
      </w:r>
      <w:r>
        <w:t xml:space="preserve"> must remove all charges incurred for service provided to Complainant for the first </w:t>
      </w:r>
      <w:r w:rsidR="002301FA">
        <w:t>30</w:t>
      </w:r>
      <w:r>
        <w:t xml:space="preserve"> days after the alleged unauthorized change in accordance with the Commission’s liability rules.</w:t>
      </w:r>
      <w:r>
        <w:rPr>
          <w:rStyle w:val="FootnoteReference"/>
        </w:rPr>
        <w:footnoteReference w:id="21"/>
      </w:r>
      <w:r>
        <w:t xml:space="preserve">  We have determined that Complainant </w:t>
      </w:r>
      <w:r w:rsidR="004B41C6">
        <w:t>is</w:t>
      </w:r>
      <w:r>
        <w:t xml:space="preserve"> entitled to absolution for the charges incurred during the first </w:t>
      </w:r>
      <w:r w:rsidR="002301FA">
        <w:t>30</w:t>
      </w:r>
      <w:r>
        <w:t xml:space="preserve">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22"/>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3"/>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1CEBF67D">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w:t>
      </w:r>
      <w:r w:rsidR="002301FA">
        <w:rPr>
          <w:szCs w:val="22"/>
        </w:rPr>
        <w:t>30</w:t>
      </w:r>
      <w:r w:rsidRPr="00C525ED">
        <w:rPr>
          <w:szCs w:val="22"/>
        </w:rPr>
        <w:t xml:space="preserve">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6544F9E7">
      <w:pPr>
        <w:ind w:left="3600" w:right="270" w:firstLine="720"/>
        <w:outlineLvl w:val="0"/>
        <w:rPr>
          <w:szCs w:val="22"/>
        </w:rPr>
      </w:pPr>
      <w:r>
        <w:t>Dana Bowers</w:t>
      </w:r>
      <w:r w:rsidR="003D262D">
        <w:tab/>
      </w:r>
      <w:r w:rsidRPr="00EF2C5A">
        <w:rPr>
          <w:szCs w:val="22"/>
        </w:rPr>
        <w:t xml:space="preserve"> </w:t>
      </w:r>
    </w:p>
    <w:p w:rsidR="00E87EC4" w:rsidRPr="00142D97" w:rsidP="0037166F" w14:paraId="2CC72A68" w14:textId="223404A9">
      <w:pPr>
        <w:ind w:left="3600" w:right="270" w:firstLine="720"/>
      </w:pPr>
      <w:r>
        <w:t>Associate Division</w:t>
      </w:r>
      <w:r w:rsidR="003D262D">
        <w:t xml:space="preserve">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BB5E68">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5E68" w14:paraId="160EA1DB" w14:textId="77777777">
      <w:r>
        <w:separator/>
      </w:r>
    </w:p>
  </w:footnote>
  <w:footnote w:type="continuationSeparator" w:id="1">
    <w:p w:rsidR="00BB5E68" w:rsidP="00C721AC" w14:paraId="7AD137E0" w14:textId="77777777">
      <w:pPr>
        <w:spacing w:before="120"/>
        <w:rPr>
          <w:sz w:val="20"/>
        </w:rPr>
      </w:pPr>
      <w:r>
        <w:rPr>
          <w:sz w:val="20"/>
        </w:rPr>
        <w:t xml:space="preserve">(Continued from previous page)  </w:t>
      </w:r>
      <w:r>
        <w:rPr>
          <w:sz w:val="20"/>
        </w:rPr>
        <w:separator/>
      </w:r>
    </w:p>
  </w:footnote>
  <w:footnote w:type="continuationNotice" w:id="2">
    <w:p w:rsidR="00BB5E68" w:rsidRPr="00B91DEB" w:rsidP="00B91DEB" w14:paraId="523EF268" w14:textId="77777777">
      <w:pPr>
        <w:pStyle w:val="Footer"/>
      </w:pPr>
    </w:p>
  </w:footnote>
  <w:footnote w:id="3">
    <w:p w:rsidR="004A7371" w:rsidRPr="006F2F56" w:rsidP="004A7371" w14:paraId="167A3D51" w14:textId="4B51C01E">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6E6740">
        <w:t>6</w:t>
      </w:r>
      <w:r w:rsidR="00AC5C43">
        <w:t>961047</w:t>
      </w:r>
      <w:r>
        <w:t xml:space="preserve"> (</w:t>
      </w:r>
      <w:r w:rsidR="00AC5C43">
        <w:t>Apr</w:t>
      </w:r>
      <w:r w:rsidR="006F62BA">
        <w:t xml:space="preserve">. </w:t>
      </w:r>
      <w:r w:rsidR="00AC5C43">
        <w:t>12</w:t>
      </w:r>
      <w:r>
        <w:t>, 202</w:t>
      </w:r>
      <w:r w:rsidR="001C3CC1">
        <w:t>4</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33 FCC Rcd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Rcd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BD3B1D" w14:paraId="4618C70C" w14:textId="15FC0F70">
      <w:pPr>
        <w:pStyle w:val="FootnoteText"/>
      </w:pPr>
      <w:r>
        <w:rPr>
          <w:rStyle w:val="FootnoteReference"/>
        </w:rPr>
        <w:footnoteRef/>
      </w:r>
      <w:r>
        <w:t xml:space="preserve"> </w:t>
      </w:r>
      <w:r w:rsidRPr="000C7E88">
        <w:rPr>
          <w:i/>
          <w:iCs/>
        </w:rPr>
        <w:t>See</w:t>
      </w:r>
      <w:r>
        <w:t xml:space="preserve"> Informal Complaint No. </w:t>
      </w:r>
      <w:r w:rsidR="006E6740">
        <w:t>6</w:t>
      </w:r>
      <w:r w:rsidR="00AC5C43">
        <w:t>961047</w:t>
      </w:r>
      <w:r>
        <w:t>.</w:t>
      </w:r>
    </w:p>
  </w:footnote>
  <w:footnote w:id="12">
    <w:p w:rsidR="00FD1C84" w:rsidP="00FD1C84" w14:paraId="02BCF333" w14:textId="77777777">
      <w:pPr>
        <w:pStyle w:val="FootnoteText"/>
      </w:pPr>
      <w:r>
        <w:rPr>
          <w:rStyle w:val="FootnoteReference"/>
        </w:rPr>
        <w:footnoteRef/>
      </w:r>
      <w:r>
        <w:t xml:space="preserve"> </w:t>
      </w:r>
      <w:r w:rsidRPr="005C4A8D">
        <w:rPr>
          <w:i/>
          <w:iCs/>
        </w:rPr>
        <w:t>Id</w:t>
      </w:r>
      <w:r>
        <w:t>.</w:t>
      </w:r>
    </w:p>
  </w:footnote>
  <w:footnote w:id="13">
    <w:p w:rsidR="005B7705" w:rsidP="005B7705" w14:paraId="6CFDCEE0" w14:textId="77777777">
      <w:pPr>
        <w:pStyle w:val="FootnoteText"/>
      </w:pPr>
      <w:r>
        <w:rPr>
          <w:rStyle w:val="FootnoteReference"/>
        </w:rPr>
        <w:footnoteRef/>
      </w:r>
      <w:r>
        <w:t xml:space="preserve"> </w:t>
      </w:r>
      <w:r w:rsidRPr="005C4A8D">
        <w:rPr>
          <w:i/>
          <w:iCs/>
        </w:rPr>
        <w:t>Id</w:t>
      </w:r>
      <w:r>
        <w:t>.</w:t>
      </w:r>
    </w:p>
  </w:footnote>
  <w:footnote w:id="14">
    <w:p w:rsidR="005B7705" w:rsidP="005B7705" w14:paraId="0C9A4BE2" w14:textId="77777777">
      <w:pPr>
        <w:pStyle w:val="FootnoteText"/>
      </w:pPr>
      <w:r>
        <w:rPr>
          <w:rStyle w:val="FootnoteReference"/>
        </w:rPr>
        <w:footnoteRef/>
      </w:r>
      <w:r>
        <w:t xml:space="preserve"> </w:t>
      </w:r>
      <w:r w:rsidRPr="005C4A8D">
        <w:rPr>
          <w:i/>
          <w:iCs/>
        </w:rPr>
        <w:t>Id</w:t>
      </w:r>
      <w:r>
        <w:t>.</w:t>
      </w:r>
    </w:p>
  </w:footnote>
  <w:footnote w:id="15">
    <w:p w:rsidR="00E372E3" w14:paraId="25054747" w14:textId="1846C708">
      <w:pPr>
        <w:pStyle w:val="FootnoteText"/>
      </w:pPr>
      <w:r>
        <w:rPr>
          <w:rStyle w:val="FootnoteReference"/>
        </w:rPr>
        <w:footnoteRef/>
      </w:r>
      <w:r>
        <w:t xml:space="preserve"> </w:t>
      </w:r>
      <w:r w:rsidRPr="005C4A8D">
        <w:rPr>
          <w:i/>
          <w:iCs/>
        </w:rPr>
        <w:t>Id</w:t>
      </w:r>
      <w:r>
        <w:t>.</w:t>
      </w:r>
    </w:p>
  </w:footnote>
  <w:footnote w:id="16">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7">
    <w:p w:rsidR="00AC2250" w:rsidP="00AC2250" w14:paraId="14984A76" w14:textId="700EA9AD">
      <w:pPr>
        <w:pStyle w:val="FootnoteText"/>
      </w:pPr>
      <w:r>
        <w:rPr>
          <w:rStyle w:val="FootnoteReference"/>
        </w:rPr>
        <w:footnoteRef/>
      </w:r>
      <w:r>
        <w:rPr>
          <w:i/>
        </w:rPr>
        <w:t xml:space="preserve"> See </w:t>
      </w:r>
      <w:r>
        <w:t xml:space="preserve">Clear Rate Response to Informal Complaint No. </w:t>
      </w:r>
      <w:r w:rsidR="00197FB2">
        <w:t>6</w:t>
      </w:r>
      <w:r w:rsidR="00AC5C43">
        <w:t>961047</w:t>
      </w:r>
      <w:r>
        <w:t xml:space="preserve"> (</w:t>
      </w:r>
      <w:r w:rsidR="00AC5C43">
        <w:t>Apr</w:t>
      </w:r>
      <w:r w:rsidR="00FF7692">
        <w:t xml:space="preserve">. </w:t>
      </w:r>
      <w:r w:rsidR="00AC5C43">
        <w:t>15</w:t>
      </w:r>
      <w:r>
        <w:t>, 202</w:t>
      </w:r>
      <w:r w:rsidR="00830FC5">
        <w:t>4</w:t>
      </w:r>
      <w:r>
        <w:t xml:space="preserve">); </w:t>
      </w:r>
      <w:r w:rsidRPr="00504345">
        <w:rPr>
          <w:i/>
        </w:rPr>
        <w:t>see also</w:t>
      </w:r>
      <w:r>
        <w:t xml:space="preserve"> 47 CFR § 64.1160.</w:t>
      </w:r>
      <w:r w:rsidR="00692492">
        <w:t xml:space="preserve"> </w:t>
      </w:r>
    </w:p>
  </w:footnote>
  <w:footnote w:id="18">
    <w:p w:rsidR="0088338D" w:rsidRPr="003D1861" w:rsidP="0088338D" w14:paraId="1C925892" w14:textId="77777777">
      <w:pPr>
        <w:pStyle w:val="FootnoteText"/>
      </w:pPr>
      <w:r>
        <w:rPr>
          <w:rStyle w:val="FootnoteReference"/>
        </w:rPr>
        <w:footnoteRef/>
      </w:r>
      <w:r>
        <w:t xml:space="preserve"> </w:t>
      </w:r>
      <w:bookmarkStart w:id="1" w:name="_Hlk514147807"/>
      <w:r w:rsidRPr="003D1861">
        <w:rPr>
          <w:i/>
        </w:rPr>
        <w:t>See</w:t>
      </w:r>
      <w:r>
        <w:rPr>
          <w:iCs/>
        </w:rPr>
        <w:t xml:space="preserve"> 47 CFR</w:t>
      </w:r>
      <w:r>
        <w:t xml:space="preserve"> </w:t>
      </w:r>
      <w:bookmarkStart w:id="2" w:name="_Hlk514147961"/>
      <w:r>
        <w:t>§</w:t>
      </w:r>
      <w:bookmarkEnd w:id="2"/>
      <w:r>
        <w:t xml:space="preserve"> 64.1150(d)</w:t>
      </w:r>
      <w:bookmarkEnd w:id="1"/>
      <w:r>
        <w:t>.</w:t>
      </w:r>
    </w:p>
  </w:footnote>
  <w:footnote w:id="19">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Rcd at 5779, para. 18 (citing </w:t>
      </w:r>
      <w:r w:rsidRPr="002F09DF">
        <w:rPr>
          <w:i/>
        </w:rPr>
        <w:t>Advantage Forfeiture Order</w:t>
      </w:r>
      <w:r>
        <w:t xml:space="preserve">, 32 FCC Rcd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20">
    <w:p w:rsidR="006D7D9E" w:rsidP="006D7D9E" w14:paraId="76F398F1" w14:textId="6618E0FB">
      <w:pPr>
        <w:pStyle w:val="FootnoteText"/>
      </w:pPr>
      <w:r>
        <w:rPr>
          <w:rStyle w:val="FootnoteReference"/>
        </w:rPr>
        <w:footnoteRef/>
      </w:r>
      <w:r>
        <w:t xml:space="preserve"> If Complainant is unsatisfied with the resolution of the complaint, Complainant may file a formal complaint with the Commission pursuant to </w:t>
      </w:r>
      <w:r w:rsidR="00B45AC0">
        <w:t>s</w:t>
      </w:r>
      <w:r>
        <w:t xml:space="preserve">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21">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22">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3">
    <w:p w:rsidR="00E87EC4" w:rsidP="00E87EC4" w14:paraId="719BF8DA" w14:textId="3C713DAB">
      <w:pPr>
        <w:pStyle w:val="FootnoteText"/>
      </w:pPr>
      <w:r>
        <w:rPr>
          <w:rStyle w:val="FootnoteReference"/>
        </w:rPr>
        <w:footnoteRef/>
      </w:r>
      <w:r>
        <w:t xml:space="preserve"> </w:t>
      </w:r>
      <w:r w:rsidRPr="003D1861">
        <w:rPr>
          <w:i/>
        </w:rPr>
        <w:t>See</w:t>
      </w:r>
      <w:r>
        <w:rPr>
          <w:i/>
        </w:rPr>
        <w:t xml:space="preserve"> id.</w:t>
      </w:r>
      <w:r>
        <w:t xml:space="preserve"> §</w:t>
      </w:r>
      <w:r w:rsidR="00175594">
        <w:t>§</w:t>
      </w:r>
      <w:r>
        <w:t xml:space="preserve">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05F" w14:paraId="471141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1EB286BD">
    <w:pPr>
      <w:pStyle w:val="Header"/>
      <w:rPr>
        <w:b w:val="0"/>
      </w:rPr>
    </w:pPr>
    <w:r>
      <w:tab/>
      <w:t>Federal Communications Commission</w:t>
    </w:r>
    <w:r>
      <w:tab/>
    </w:r>
    <w:r w:rsidR="00AE241C">
      <w:t xml:space="preserve">DA </w:t>
    </w:r>
    <w:r w:rsidR="003D262D">
      <w:t>2</w:t>
    </w:r>
    <w:r w:rsidR="0042275B">
      <w:t>4</w:t>
    </w:r>
    <w:r w:rsidR="003D262D">
      <w:t>-</w:t>
    </w:r>
    <w:r w:rsidR="00F3305F">
      <w:t>392</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6032A0F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42275B">
      <w:rPr>
        <w:spacing w:val="-2"/>
      </w:rPr>
      <w:t>4</w:t>
    </w:r>
    <w:r w:rsidR="003D262D">
      <w:rPr>
        <w:spacing w:val="-2"/>
      </w:rPr>
      <w:t>-</w:t>
    </w:r>
    <w:r w:rsidR="00F3305F">
      <w:rPr>
        <w:spacing w:val="-2"/>
      </w:rPr>
      <w:t>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1AAC"/>
    <w:rsid w:val="000237AB"/>
    <w:rsid w:val="000267DE"/>
    <w:rsid w:val="00031165"/>
    <w:rsid w:val="00036039"/>
    <w:rsid w:val="00037F90"/>
    <w:rsid w:val="000409FA"/>
    <w:rsid w:val="00044645"/>
    <w:rsid w:val="0004688D"/>
    <w:rsid w:val="00056089"/>
    <w:rsid w:val="00056F0B"/>
    <w:rsid w:val="000875BF"/>
    <w:rsid w:val="0009329C"/>
    <w:rsid w:val="00096D8C"/>
    <w:rsid w:val="000A1D19"/>
    <w:rsid w:val="000B28EE"/>
    <w:rsid w:val="000C0B65"/>
    <w:rsid w:val="000C39CD"/>
    <w:rsid w:val="000C7E88"/>
    <w:rsid w:val="000D107D"/>
    <w:rsid w:val="000D2670"/>
    <w:rsid w:val="000E05FE"/>
    <w:rsid w:val="000E2BB7"/>
    <w:rsid w:val="000E3D42"/>
    <w:rsid w:val="000E436C"/>
    <w:rsid w:val="000E7D6C"/>
    <w:rsid w:val="001023DE"/>
    <w:rsid w:val="00104663"/>
    <w:rsid w:val="00111B4F"/>
    <w:rsid w:val="0011207E"/>
    <w:rsid w:val="001211C2"/>
    <w:rsid w:val="00122BD5"/>
    <w:rsid w:val="00126D53"/>
    <w:rsid w:val="00133F79"/>
    <w:rsid w:val="00142D97"/>
    <w:rsid w:val="00175594"/>
    <w:rsid w:val="00185C9A"/>
    <w:rsid w:val="001937E1"/>
    <w:rsid w:val="00194017"/>
    <w:rsid w:val="00194A66"/>
    <w:rsid w:val="0019523B"/>
    <w:rsid w:val="00197FB2"/>
    <w:rsid w:val="001B0806"/>
    <w:rsid w:val="001B7B64"/>
    <w:rsid w:val="001C1F54"/>
    <w:rsid w:val="001C3CC1"/>
    <w:rsid w:val="001C7134"/>
    <w:rsid w:val="001D0F97"/>
    <w:rsid w:val="001D51E5"/>
    <w:rsid w:val="001D6BCF"/>
    <w:rsid w:val="001E01CA"/>
    <w:rsid w:val="001E09ED"/>
    <w:rsid w:val="001F3959"/>
    <w:rsid w:val="00210356"/>
    <w:rsid w:val="0022382B"/>
    <w:rsid w:val="002270D6"/>
    <w:rsid w:val="002301FA"/>
    <w:rsid w:val="00271226"/>
    <w:rsid w:val="00275CF5"/>
    <w:rsid w:val="0028301F"/>
    <w:rsid w:val="0028304E"/>
    <w:rsid w:val="00285017"/>
    <w:rsid w:val="002968C8"/>
    <w:rsid w:val="002A2D2E"/>
    <w:rsid w:val="002A44BB"/>
    <w:rsid w:val="002C00E8"/>
    <w:rsid w:val="002C43CB"/>
    <w:rsid w:val="002C5564"/>
    <w:rsid w:val="002F09DF"/>
    <w:rsid w:val="002F77BE"/>
    <w:rsid w:val="00305DCB"/>
    <w:rsid w:val="003321D0"/>
    <w:rsid w:val="00343749"/>
    <w:rsid w:val="003525A4"/>
    <w:rsid w:val="0035531F"/>
    <w:rsid w:val="003605AE"/>
    <w:rsid w:val="003660ED"/>
    <w:rsid w:val="0037166F"/>
    <w:rsid w:val="00384F89"/>
    <w:rsid w:val="003A7686"/>
    <w:rsid w:val="003B0550"/>
    <w:rsid w:val="003B341C"/>
    <w:rsid w:val="003B694F"/>
    <w:rsid w:val="003D1861"/>
    <w:rsid w:val="003D262D"/>
    <w:rsid w:val="003E4834"/>
    <w:rsid w:val="003F171C"/>
    <w:rsid w:val="003F2424"/>
    <w:rsid w:val="00412FC5"/>
    <w:rsid w:val="00421865"/>
    <w:rsid w:val="00422276"/>
    <w:rsid w:val="0042275B"/>
    <w:rsid w:val="004242F1"/>
    <w:rsid w:val="00424582"/>
    <w:rsid w:val="00440166"/>
    <w:rsid w:val="00442324"/>
    <w:rsid w:val="00443805"/>
    <w:rsid w:val="004447DD"/>
    <w:rsid w:val="0044528B"/>
    <w:rsid w:val="00445A00"/>
    <w:rsid w:val="00451B0F"/>
    <w:rsid w:val="00466997"/>
    <w:rsid w:val="00484334"/>
    <w:rsid w:val="004A1870"/>
    <w:rsid w:val="004A7371"/>
    <w:rsid w:val="004B41C6"/>
    <w:rsid w:val="004C2EE3"/>
    <w:rsid w:val="004E4A22"/>
    <w:rsid w:val="00504345"/>
    <w:rsid w:val="00511968"/>
    <w:rsid w:val="00512514"/>
    <w:rsid w:val="00524F87"/>
    <w:rsid w:val="0055614C"/>
    <w:rsid w:val="00566D06"/>
    <w:rsid w:val="005734DB"/>
    <w:rsid w:val="00585569"/>
    <w:rsid w:val="0059509C"/>
    <w:rsid w:val="005B3C00"/>
    <w:rsid w:val="005B5252"/>
    <w:rsid w:val="005B7705"/>
    <w:rsid w:val="005C4A8D"/>
    <w:rsid w:val="005D7497"/>
    <w:rsid w:val="005E0755"/>
    <w:rsid w:val="005E14C2"/>
    <w:rsid w:val="005F2EEE"/>
    <w:rsid w:val="005F3ED0"/>
    <w:rsid w:val="005F7CD1"/>
    <w:rsid w:val="00607BA5"/>
    <w:rsid w:val="0061180A"/>
    <w:rsid w:val="00626EB6"/>
    <w:rsid w:val="00653ADB"/>
    <w:rsid w:val="00655D03"/>
    <w:rsid w:val="006635FF"/>
    <w:rsid w:val="0067269C"/>
    <w:rsid w:val="00683388"/>
    <w:rsid w:val="00683F84"/>
    <w:rsid w:val="00692492"/>
    <w:rsid w:val="006A6A81"/>
    <w:rsid w:val="006D6CC3"/>
    <w:rsid w:val="006D7D9E"/>
    <w:rsid w:val="006E1632"/>
    <w:rsid w:val="006E6740"/>
    <w:rsid w:val="006F2F56"/>
    <w:rsid w:val="006F62BA"/>
    <w:rsid w:val="006F7393"/>
    <w:rsid w:val="0070224F"/>
    <w:rsid w:val="007115F7"/>
    <w:rsid w:val="007205C9"/>
    <w:rsid w:val="007257B8"/>
    <w:rsid w:val="00732BED"/>
    <w:rsid w:val="00733103"/>
    <w:rsid w:val="00763B1E"/>
    <w:rsid w:val="00766B85"/>
    <w:rsid w:val="00785689"/>
    <w:rsid w:val="0079754B"/>
    <w:rsid w:val="007A1BC6"/>
    <w:rsid w:val="007A1E6D"/>
    <w:rsid w:val="007B0EB2"/>
    <w:rsid w:val="007D5686"/>
    <w:rsid w:val="008036CD"/>
    <w:rsid w:val="00803B99"/>
    <w:rsid w:val="00810B6F"/>
    <w:rsid w:val="00820AE3"/>
    <w:rsid w:val="00822CE0"/>
    <w:rsid w:val="00830FC5"/>
    <w:rsid w:val="00841AB1"/>
    <w:rsid w:val="00846B1A"/>
    <w:rsid w:val="00855334"/>
    <w:rsid w:val="00856985"/>
    <w:rsid w:val="0088338D"/>
    <w:rsid w:val="00886D2F"/>
    <w:rsid w:val="008A178E"/>
    <w:rsid w:val="008A1A4F"/>
    <w:rsid w:val="008A32BF"/>
    <w:rsid w:val="008A4A8D"/>
    <w:rsid w:val="008B5281"/>
    <w:rsid w:val="008C1FEC"/>
    <w:rsid w:val="008C68F1"/>
    <w:rsid w:val="008D56F0"/>
    <w:rsid w:val="009040A3"/>
    <w:rsid w:val="00906332"/>
    <w:rsid w:val="00910DFB"/>
    <w:rsid w:val="00917D3A"/>
    <w:rsid w:val="00921803"/>
    <w:rsid w:val="00923668"/>
    <w:rsid w:val="00925418"/>
    <w:rsid w:val="00926503"/>
    <w:rsid w:val="009306F2"/>
    <w:rsid w:val="00945720"/>
    <w:rsid w:val="00955FC0"/>
    <w:rsid w:val="009725BF"/>
    <w:rsid w:val="009726D8"/>
    <w:rsid w:val="00990DB6"/>
    <w:rsid w:val="00996AA4"/>
    <w:rsid w:val="009D7308"/>
    <w:rsid w:val="009F0064"/>
    <w:rsid w:val="009F497D"/>
    <w:rsid w:val="009F6F0E"/>
    <w:rsid w:val="009F76DB"/>
    <w:rsid w:val="00A02C6E"/>
    <w:rsid w:val="00A15D6E"/>
    <w:rsid w:val="00A23350"/>
    <w:rsid w:val="00A32C3B"/>
    <w:rsid w:val="00A45F4F"/>
    <w:rsid w:val="00A600A9"/>
    <w:rsid w:val="00A61727"/>
    <w:rsid w:val="00A8283A"/>
    <w:rsid w:val="00A92978"/>
    <w:rsid w:val="00AA55B7"/>
    <w:rsid w:val="00AA5B9E"/>
    <w:rsid w:val="00AB2407"/>
    <w:rsid w:val="00AB53DF"/>
    <w:rsid w:val="00AC2250"/>
    <w:rsid w:val="00AC5C43"/>
    <w:rsid w:val="00AD4917"/>
    <w:rsid w:val="00AE241C"/>
    <w:rsid w:val="00AF783A"/>
    <w:rsid w:val="00B00263"/>
    <w:rsid w:val="00B06C6D"/>
    <w:rsid w:val="00B07680"/>
    <w:rsid w:val="00B07E5C"/>
    <w:rsid w:val="00B205BD"/>
    <w:rsid w:val="00B30D69"/>
    <w:rsid w:val="00B45AC0"/>
    <w:rsid w:val="00B469CE"/>
    <w:rsid w:val="00B61F70"/>
    <w:rsid w:val="00B6399A"/>
    <w:rsid w:val="00B64743"/>
    <w:rsid w:val="00B811F7"/>
    <w:rsid w:val="00B82B45"/>
    <w:rsid w:val="00B841CA"/>
    <w:rsid w:val="00B91DEB"/>
    <w:rsid w:val="00B97103"/>
    <w:rsid w:val="00BA5DC6"/>
    <w:rsid w:val="00BA6196"/>
    <w:rsid w:val="00BA76AA"/>
    <w:rsid w:val="00BB5E68"/>
    <w:rsid w:val="00BC6D8C"/>
    <w:rsid w:val="00BD3B1D"/>
    <w:rsid w:val="00C021CE"/>
    <w:rsid w:val="00C34006"/>
    <w:rsid w:val="00C36B4C"/>
    <w:rsid w:val="00C426B1"/>
    <w:rsid w:val="00C525ED"/>
    <w:rsid w:val="00C652D1"/>
    <w:rsid w:val="00C66160"/>
    <w:rsid w:val="00C721AC"/>
    <w:rsid w:val="00C849DD"/>
    <w:rsid w:val="00C90D6A"/>
    <w:rsid w:val="00C956A1"/>
    <w:rsid w:val="00CA247E"/>
    <w:rsid w:val="00CA3F31"/>
    <w:rsid w:val="00CA6D21"/>
    <w:rsid w:val="00CB7D2F"/>
    <w:rsid w:val="00CC72B6"/>
    <w:rsid w:val="00CE1F45"/>
    <w:rsid w:val="00CE5BF4"/>
    <w:rsid w:val="00CF10D8"/>
    <w:rsid w:val="00D0218D"/>
    <w:rsid w:val="00D0591E"/>
    <w:rsid w:val="00D22481"/>
    <w:rsid w:val="00D24EA4"/>
    <w:rsid w:val="00D25FB5"/>
    <w:rsid w:val="00D26C2C"/>
    <w:rsid w:val="00D44223"/>
    <w:rsid w:val="00D60674"/>
    <w:rsid w:val="00D64893"/>
    <w:rsid w:val="00D75627"/>
    <w:rsid w:val="00D764F1"/>
    <w:rsid w:val="00D91F4C"/>
    <w:rsid w:val="00DA2529"/>
    <w:rsid w:val="00DA4AA4"/>
    <w:rsid w:val="00DA523B"/>
    <w:rsid w:val="00DB130A"/>
    <w:rsid w:val="00DB2EBB"/>
    <w:rsid w:val="00DC10A1"/>
    <w:rsid w:val="00DC655F"/>
    <w:rsid w:val="00DD0B59"/>
    <w:rsid w:val="00DD7EBD"/>
    <w:rsid w:val="00DF42CC"/>
    <w:rsid w:val="00DF62B6"/>
    <w:rsid w:val="00E07225"/>
    <w:rsid w:val="00E11906"/>
    <w:rsid w:val="00E32F24"/>
    <w:rsid w:val="00E333F8"/>
    <w:rsid w:val="00E372E3"/>
    <w:rsid w:val="00E40707"/>
    <w:rsid w:val="00E5409F"/>
    <w:rsid w:val="00E86D82"/>
    <w:rsid w:val="00E87EC4"/>
    <w:rsid w:val="00EB0A91"/>
    <w:rsid w:val="00EB0D42"/>
    <w:rsid w:val="00ED0DB7"/>
    <w:rsid w:val="00ED509D"/>
    <w:rsid w:val="00EE6488"/>
    <w:rsid w:val="00EF2C5A"/>
    <w:rsid w:val="00EF7528"/>
    <w:rsid w:val="00F021FA"/>
    <w:rsid w:val="00F2035B"/>
    <w:rsid w:val="00F212A6"/>
    <w:rsid w:val="00F31493"/>
    <w:rsid w:val="00F3305F"/>
    <w:rsid w:val="00F41465"/>
    <w:rsid w:val="00F54F20"/>
    <w:rsid w:val="00F56086"/>
    <w:rsid w:val="00F62E97"/>
    <w:rsid w:val="00F64209"/>
    <w:rsid w:val="00F74AF2"/>
    <w:rsid w:val="00F86978"/>
    <w:rsid w:val="00F86B2C"/>
    <w:rsid w:val="00F93BF5"/>
    <w:rsid w:val="00F93F38"/>
    <w:rsid w:val="00FA1C98"/>
    <w:rsid w:val="00FA75A5"/>
    <w:rsid w:val="00FB0DCD"/>
    <w:rsid w:val="00FB78C6"/>
    <w:rsid w:val="00FC7284"/>
    <w:rsid w:val="00FD1C84"/>
    <w:rsid w:val="00FD40F6"/>
    <w:rsid w:val="00FD5F16"/>
    <w:rsid w:val="00FF76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 w:type="paragraph" w:styleId="Revision">
    <w:name w:val="Revision"/>
    <w:hidden/>
    <w:uiPriority w:val="99"/>
    <w:semiHidden/>
    <w:rsid w:val="006635F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