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60AD3" w:rsidP="00D60AD3" w14:paraId="566BBC9C" w14:textId="77777777">
      <w:pPr>
        <w:jc w:val="center"/>
        <w:rPr>
          <w:b/>
        </w:rPr>
      </w:pPr>
      <w:r w:rsidRPr="0070224F">
        <w:rPr>
          <w:rFonts w:ascii="Times New Roman Bold" w:hAnsi="Times New Roman Bold"/>
          <w:b/>
          <w:kern w:val="0"/>
          <w:szCs w:val="22"/>
        </w:rPr>
        <w:t>Before</w:t>
      </w:r>
      <w:r>
        <w:rPr>
          <w:b/>
        </w:rPr>
        <w:t xml:space="preserve"> the</w:t>
      </w:r>
    </w:p>
    <w:p w:rsidR="00D60AD3" w:rsidP="00D60AD3" w14:paraId="7E2F95CB" w14:textId="77777777">
      <w:pPr>
        <w:pStyle w:val="StyleBoldCentered"/>
      </w:pPr>
      <w:r>
        <w:t>F</w:t>
      </w:r>
      <w:r>
        <w:rPr>
          <w:caps w:val="0"/>
        </w:rPr>
        <w:t>ederal Communications Commission</w:t>
      </w:r>
    </w:p>
    <w:p w:rsidR="00D60AD3" w:rsidP="00D60AD3" w14:paraId="029286E2" w14:textId="77777777">
      <w:pPr>
        <w:pStyle w:val="StyleBoldCentered"/>
      </w:pPr>
      <w:r>
        <w:rPr>
          <w:caps w:val="0"/>
        </w:rPr>
        <w:t>Washington, D.C. 20554</w:t>
      </w:r>
    </w:p>
    <w:p w:rsidR="00D60AD3" w:rsidP="00D60AD3" w14:paraId="4A4D4293" w14:textId="77777777"/>
    <w:p w:rsidR="00D60AD3" w:rsidP="00D60AD3" w14:paraId="10FFDD45" w14:textId="77777777"/>
    <w:tbl>
      <w:tblPr>
        <w:tblW w:w="0" w:type="auto"/>
        <w:tblLayout w:type="fixed"/>
        <w:tblLook w:val="0000"/>
      </w:tblPr>
      <w:tblGrid>
        <w:gridCol w:w="4698"/>
        <w:gridCol w:w="630"/>
        <w:gridCol w:w="4248"/>
      </w:tblGrid>
      <w:tr w14:paraId="122D44ED" w14:textId="77777777" w:rsidTr="00930225">
        <w:tblPrEx>
          <w:tblW w:w="0" w:type="auto"/>
          <w:tblLayout w:type="fixed"/>
          <w:tblLook w:val="0000"/>
        </w:tblPrEx>
        <w:tc>
          <w:tcPr>
            <w:tcW w:w="4698" w:type="dxa"/>
          </w:tcPr>
          <w:p w:rsidR="00BA2867" w:rsidP="00930225" w14:paraId="6336D56A" w14:textId="77777777">
            <w:pPr>
              <w:tabs>
                <w:tab w:val="center" w:pos="4680"/>
              </w:tabs>
              <w:suppressAutoHyphens/>
              <w:rPr>
                <w:spacing w:val="-2"/>
              </w:rPr>
            </w:pPr>
            <w:r>
              <w:rPr>
                <w:spacing w:val="-2"/>
              </w:rPr>
              <w:t xml:space="preserve">In </w:t>
            </w:r>
            <w:r>
              <w:rPr>
                <w:spacing w:val="-2"/>
              </w:rPr>
              <w:t>the Matter of</w:t>
            </w:r>
          </w:p>
          <w:p w:rsidR="00BA2867" w:rsidP="00930225" w14:paraId="0A49D140" w14:textId="77777777">
            <w:pPr>
              <w:tabs>
                <w:tab w:val="center" w:pos="4680"/>
              </w:tabs>
              <w:suppressAutoHyphens/>
              <w:rPr>
                <w:spacing w:val="-2"/>
              </w:rPr>
            </w:pPr>
          </w:p>
          <w:p w:rsidR="00613102" w:rsidP="00930225" w14:paraId="00A52B7E" w14:textId="77777777">
            <w:pPr>
              <w:tabs>
                <w:tab w:val="center" w:pos="4680"/>
              </w:tabs>
              <w:suppressAutoHyphens/>
              <w:rPr>
                <w:spacing w:val="-2"/>
              </w:rPr>
            </w:pPr>
            <w:r>
              <w:rPr>
                <w:spacing w:val="-2"/>
              </w:rPr>
              <w:t xml:space="preserve">Cumulus </w:t>
            </w:r>
            <w:r w:rsidR="00881DB4">
              <w:rPr>
                <w:spacing w:val="-2"/>
              </w:rPr>
              <w:t>Licensing</w:t>
            </w:r>
            <w:r>
              <w:rPr>
                <w:spacing w:val="-2"/>
              </w:rPr>
              <w:t xml:space="preserve"> LLC (Assignor)</w:t>
            </w:r>
          </w:p>
          <w:p w:rsidR="00613102" w:rsidP="00930225" w14:paraId="68F71091" w14:textId="7460668B">
            <w:pPr>
              <w:tabs>
                <w:tab w:val="center" w:pos="4680"/>
              </w:tabs>
              <w:suppressAutoHyphens/>
              <w:rPr>
                <w:spacing w:val="-2"/>
              </w:rPr>
            </w:pPr>
            <w:r>
              <w:rPr>
                <w:spacing w:val="-2"/>
              </w:rPr>
              <w:t>and</w:t>
            </w:r>
          </w:p>
          <w:p w:rsidR="00D30656" w:rsidP="00930225" w14:paraId="051463AF" w14:textId="77777777">
            <w:pPr>
              <w:tabs>
                <w:tab w:val="center" w:pos="4680"/>
              </w:tabs>
              <w:suppressAutoHyphens/>
              <w:rPr>
                <w:spacing w:val="-2"/>
              </w:rPr>
            </w:pPr>
            <w:r>
              <w:rPr>
                <w:spacing w:val="-2"/>
              </w:rPr>
              <w:t>Cumulus Licensing Holding Company II LLC (Assignee)</w:t>
            </w:r>
          </w:p>
          <w:p w:rsidR="00D30656" w:rsidP="00930225" w14:paraId="288D6079" w14:textId="77777777">
            <w:pPr>
              <w:tabs>
                <w:tab w:val="center" w:pos="4680"/>
              </w:tabs>
              <w:suppressAutoHyphens/>
              <w:rPr>
                <w:spacing w:val="-2"/>
              </w:rPr>
            </w:pPr>
          </w:p>
          <w:p w:rsidR="00D30656" w:rsidP="00930225" w14:paraId="6BF5BBC8" w14:textId="77777777">
            <w:pPr>
              <w:tabs>
                <w:tab w:val="center" w:pos="4680"/>
              </w:tabs>
              <w:suppressAutoHyphens/>
              <w:rPr>
                <w:spacing w:val="-2"/>
              </w:rPr>
            </w:pPr>
            <w:r>
              <w:rPr>
                <w:spacing w:val="-2"/>
              </w:rPr>
              <w:t>For Consent to Pro Forma Assignment of Licenses</w:t>
            </w:r>
          </w:p>
          <w:p w:rsidR="00D30656" w:rsidP="00930225" w14:paraId="0CA48B2D" w14:textId="77777777">
            <w:pPr>
              <w:tabs>
                <w:tab w:val="center" w:pos="4680"/>
              </w:tabs>
              <w:suppressAutoHyphens/>
              <w:rPr>
                <w:spacing w:val="-2"/>
              </w:rPr>
            </w:pPr>
          </w:p>
          <w:p w:rsidR="00D30656" w:rsidP="00930225" w14:paraId="719B6BE8" w14:textId="77777777">
            <w:pPr>
              <w:tabs>
                <w:tab w:val="center" w:pos="4680"/>
              </w:tabs>
              <w:suppressAutoHyphens/>
              <w:rPr>
                <w:spacing w:val="-2"/>
              </w:rPr>
            </w:pPr>
            <w:r>
              <w:rPr>
                <w:spacing w:val="-2"/>
              </w:rPr>
              <w:t>Radio License Holding CBC, LLC (Assignor)</w:t>
            </w:r>
          </w:p>
          <w:p w:rsidR="00D30656" w:rsidP="00930225" w14:paraId="464C59F3" w14:textId="43EF3779">
            <w:pPr>
              <w:tabs>
                <w:tab w:val="center" w:pos="4680"/>
              </w:tabs>
              <w:suppressAutoHyphens/>
              <w:rPr>
                <w:spacing w:val="-2"/>
              </w:rPr>
            </w:pPr>
            <w:r>
              <w:rPr>
                <w:spacing w:val="-2"/>
              </w:rPr>
              <w:t>and</w:t>
            </w:r>
          </w:p>
          <w:p w:rsidR="00CD26AA" w:rsidP="00930225" w14:paraId="635E6B5A" w14:textId="77777777">
            <w:pPr>
              <w:tabs>
                <w:tab w:val="center" w:pos="4680"/>
              </w:tabs>
              <w:suppressAutoHyphens/>
              <w:rPr>
                <w:spacing w:val="-2"/>
              </w:rPr>
            </w:pPr>
            <w:r>
              <w:rPr>
                <w:spacing w:val="-2"/>
              </w:rPr>
              <w:t>Cumulus Licensing Holding Company II LLC</w:t>
            </w:r>
          </w:p>
          <w:p w:rsidR="00CD26AA" w:rsidP="00930225" w14:paraId="7023C610" w14:textId="77777777">
            <w:pPr>
              <w:tabs>
                <w:tab w:val="center" w:pos="4680"/>
              </w:tabs>
              <w:suppressAutoHyphens/>
              <w:rPr>
                <w:spacing w:val="-2"/>
              </w:rPr>
            </w:pPr>
          </w:p>
          <w:p w:rsidR="00CD26AA" w:rsidP="00930225" w14:paraId="07472AFF" w14:textId="77777777">
            <w:pPr>
              <w:tabs>
                <w:tab w:val="center" w:pos="4680"/>
              </w:tabs>
              <w:suppressAutoHyphens/>
              <w:rPr>
                <w:spacing w:val="-2"/>
              </w:rPr>
            </w:pPr>
            <w:r>
              <w:rPr>
                <w:spacing w:val="-2"/>
              </w:rPr>
              <w:t>For Consent to Pro Forma Assignment of Licenses</w:t>
            </w:r>
          </w:p>
          <w:p w:rsidR="00CD26AA" w:rsidP="00930225" w14:paraId="23EE9209" w14:textId="77777777">
            <w:pPr>
              <w:tabs>
                <w:tab w:val="center" w:pos="4680"/>
              </w:tabs>
              <w:suppressAutoHyphens/>
              <w:rPr>
                <w:spacing w:val="-2"/>
              </w:rPr>
            </w:pPr>
          </w:p>
          <w:p w:rsidR="003F690A" w:rsidP="00930225" w14:paraId="4A26C360" w14:textId="77777777">
            <w:pPr>
              <w:tabs>
                <w:tab w:val="center" w:pos="4680"/>
              </w:tabs>
              <w:suppressAutoHyphens/>
              <w:rPr>
                <w:spacing w:val="-2"/>
              </w:rPr>
            </w:pPr>
            <w:r>
              <w:rPr>
                <w:spacing w:val="-2"/>
              </w:rPr>
              <w:t>Radio License Holdings LLC (Assignor)</w:t>
            </w:r>
          </w:p>
          <w:p w:rsidR="003F690A" w:rsidP="00930225" w14:paraId="32EE2D3D" w14:textId="47FEB546">
            <w:pPr>
              <w:tabs>
                <w:tab w:val="center" w:pos="4680"/>
              </w:tabs>
              <w:suppressAutoHyphens/>
              <w:rPr>
                <w:spacing w:val="-2"/>
              </w:rPr>
            </w:pPr>
            <w:r>
              <w:rPr>
                <w:spacing w:val="-2"/>
              </w:rPr>
              <w:t>and</w:t>
            </w:r>
          </w:p>
          <w:p w:rsidR="00E4030D" w:rsidP="00930225" w14:paraId="7224397D" w14:textId="77777777">
            <w:pPr>
              <w:tabs>
                <w:tab w:val="center" w:pos="4680"/>
              </w:tabs>
              <w:suppressAutoHyphens/>
              <w:rPr>
                <w:spacing w:val="-2"/>
              </w:rPr>
            </w:pPr>
            <w:r>
              <w:rPr>
                <w:spacing w:val="-2"/>
              </w:rPr>
              <w:t>Cumulus Licensing Holding Company II LLC (Assignee)</w:t>
            </w:r>
          </w:p>
          <w:p w:rsidR="00E4030D" w:rsidP="00930225" w14:paraId="0BF94B22" w14:textId="77777777">
            <w:pPr>
              <w:tabs>
                <w:tab w:val="center" w:pos="4680"/>
              </w:tabs>
              <w:suppressAutoHyphens/>
              <w:rPr>
                <w:spacing w:val="-2"/>
              </w:rPr>
            </w:pPr>
          </w:p>
          <w:p w:rsidR="00D60AD3" w:rsidRPr="007115F7" w:rsidP="00930225" w14:paraId="6A96CE63" w14:textId="56CA51F4">
            <w:pPr>
              <w:tabs>
                <w:tab w:val="center" w:pos="4680"/>
              </w:tabs>
              <w:suppressAutoHyphens/>
              <w:rPr>
                <w:spacing w:val="-2"/>
              </w:rPr>
            </w:pPr>
            <w:r>
              <w:rPr>
                <w:spacing w:val="-2"/>
              </w:rPr>
              <w:t>For Consent to Pro Forma Assignment of Licenses</w:t>
            </w:r>
          </w:p>
        </w:tc>
        <w:tc>
          <w:tcPr>
            <w:tcW w:w="630" w:type="dxa"/>
          </w:tcPr>
          <w:p w:rsidR="00D60AD3" w:rsidP="00930225" w14:paraId="3678A3C7" w14:textId="77777777">
            <w:pPr>
              <w:tabs>
                <w:tab w:val="center" w:pos="4680"/>
              </w:tabs>
              <w:suppressAutoHyphens/>
              <w:rPr>
                <w:b/>
                <w:spacing w:val="-2"/>
              </w:rPr>
            </w:pPr>
            <w:r>
              <w:rPr>
                <w:b/>
                <w:spacing w:val="-2"/>
              </w:rPr>
              <w:t>)</w:t>
            </w:r>
          </w:p>
          <w:p w:rsidR="00D60AD3" w:rsidP="00930225" w14:paraId="4D2FCDC7" w14:textId="77777777">
            <w:pPr>
              <w:tabs>
                <w:tab w:val="center" w:pos="4680"/>
              </w:tabs>
              <w:suppressAutoHyphens/>
              <w:rPr>
                <w:b/>
                <w:spacing w:val="-2"/>
              </w:rPr>
            </w:pPr>
            <w:r>
              <w:rPr>
                <w:b/>
                <w:spacing w:val="-2"/>
              </w:rPr>
              <w:t>)</w:t>
            </w:r>
          </w:p>
          <w:p w:rsidR="00D60AD3" w:rsidP="00930225" w14:paraId="3DF625E2" w14:textId="77777777">
            <w:pPr>
              <w:tabs>
                <w:tab w:val="center" w:pos="4680"/>
              </w:tabs>
              <w:suppressAutoHyphens/>
              <w:rPr>
                <w:b/>
                <w:spacing w:val="-2"/>
              </w:rPr>
            </w:pPr>
            <w:r>
              <w:rPr>
                <w:b/>
                <w:spacing w:val="-2"/>
              </w:rPr>
              <w:t>)</w:t>
            </w:r>
          </w:p>
          <w:p w:rsidR="00D60AD3" w:rsidP="00930225" w14:paraId="271819BB" w14:textId="77777777">
            <w:pPr>
              <w:tabs>
                <w:tab w:val="center" w:pos="4680"/>
              </w:tabs>
              <w:suppressAutoHyphens/>
              <w:rPr>
                <w:b/>
                <w:spacing w:val="-2"/>
              </w:rPr>
            </w:pPr>
            <w:r>
              <w:rPr>
                <w:b/>
                <w:spacing w:val="-2"/>
              </w:rPr>
              <w:t>)</w:t>
            </w:r>
          </w:p>
          <w:p w:rsidR="00D60AD3" w:rsidP="00930225" w14:paraId="629FF179" w14:textId="77777777">
            <w:pPr>
              <w:tabs>
                <w:tab w:val="center" w:pos="4680"/>
              </w:tabs>
              <w:suppressAutoHyphens/>
              <w:rPr>
                <w:b/>
                <w:spacing w:val="-2"/>
              </w:rPr>
            </w:pPr>
            <w:r>
              <w:rPr>
                <w:b/>
                <w:spacing w:val="-2"/>
              </w:rPr>
              <w:t>)</w:t>
            </w:r>
          </w:p>
          <w:p w:rsidR="00D60AD3" w:rsidP="00930225" w14:paraId="2CFFA74B" w14:textId="77777777">
            <w:pPr>
              <w:tabs>
                <w:tab w:val="center" w:pos="4680"/>
              </w:tabs>
              <w:suppressAutoHyphens/>
              <w:rPr>
                <w:b/>
                <w:spacing w:val="-2"/>
              </w:rPr>
            </w:pPr>
            <w:r>
              <w:rPr>
                <w:b/>
                <w:spacing w:val="-2"/>
              </w:rPr>
              <w:t>)</w:t>
            </w:r>
          </w:p>
          <w:p w:rsidR="00D60AD3" w:rsidP="00930225" w14:paraId="66C1B725" w14:textId="77777777">
            <w:pPr>
              <w:tabs>
                <w:tab w:val="center" w:pos="4680"/>
              </w:tabs>
              <w:suppressAutoHyphens/>
              <w:rPr>
                <w:b/>
                <w:spacing w:val="-2"/>
              </w:rPr>
            </w:pPr>
            <w:r>
              <w:rPr>
                <w:b/>
                <w:spacing w:val="-2"/>
              </w:rPr>
              <w:t>)</w:t>
            </w:r>
          </w:p>
          <w:p w:rsidR="00D60AD3" w:rsidP="00930225" w14:paraId="309BEA8C" w14:textId="77777777">
            <w:pPr>
              <w:tabs>
                <w:tab w:val="center" w:pos="4680"/>
              </w:tabs>
              <w:suppressAutoHyphens/>
              <w:rPr>
                <w:b/>
                <w:spacing w:val="-2"/>
              </w:rPr>
            </w:pPr>
            <w:r>
              <w:rPr>
                <w:b/>
                <w:spacing w:val="-2"/>
              </w:rPr>
              <w:t>)</w:t>
            </w:r>
          </w:p>
          <w:p w:rsidR="00D60AD3" w:rsidP="00930225" w14:paraId="6881CA1C" w14:textId="77777777">
            <w:pPr>
              <w:tabs>
                <w:tab w:val="center" w:pos="4680"/>
              </w:tabs>
              <w:suppressAutoHyphens/>
              <w:rPr>
                <w:b/>
                <w:spacing w:val="-2"/>
              </w:rPr>
            </w:pPr>
            <w:r>
              <w:rPr>
                <w:b/>
                <w:spacing w:val="-2"/>
              </w:rPr>
              <w:t>)</w:t>
            </w:r>
          </w:p>
          <w:p w:rsidR="00D60AD3" w:rsidP="00930225" w14:paraId="5633786D" w14:textId="77777777">
            <w:pPr>
              <w:tabs>
                <w:tab w:val="center" w:pos="4680"/>
              </w:tabs>
              <w:suppressAutoHyphens/>
              <w:rPr>
                <w:b/>
                <w:spacing w:val="-2"/>
              </w:rPr>
            </w:pPr>
            <w:r>
              <w:rPr>
                <w:b/>
                <w:spacing w:val="-2"/>
              </w:rPr>
              <w:t>)</w:t>
            </w:r>
          </w:p>
          <w:p w:rsidR="00D60AD3" w:rsidP="00930225" w14:paraId="0F9FC8CA" w14:textId="77777777">
            <w:pPr>
              <w:tabs>
                <w:tab w:val="center" w:pos="4680"/>
              </w:tabs>
              <w:suppressAutoHyphens/>
              <w:rPr>
                <w:b/>
                <w:spacing w:val="-2"/>
              </w:rPr>
            </w:pPr>
            <w:r>
              <w:rPr>
                <w:b/>
                <w:spacing w:val="-2"/>
              </w:rPr>
              <w:t>)</w:t>
            </w:r>
          </w:p>
          <w:p w:rsidR="00D60AD3" w:rsidP="00930225" w14:paraId="7FE6A307" w14:textId="77777777">
            <w:pPr>
              <w:tabs>
                <w:tab w:val="center" w:pos="4680"/>
              </w:tabs>
              <w:suppressAutoHyphens/>
              <w:rPr>
                <w:b/>
                <w:spacing w:val="-2"/>
              </w:rPr>
            </w:pPr>
            <w:r>
              <w:rPr>
                <w:b/>
                <w:spacing w:val="-2"/>
              </w:rPr>
              <w:t>)</w:t>
            </w:r>
          </w:p>
          <w:p w:rsidR="00D60AD3" w:rsidP="00930225" w14:paraId="4E0945D8" w14:textId="77777777">
            <w:pPr>
              <w:tabs>
                <w:tab w:val="center" w:pos="4680"/>
              </w:tabs>
              <w:suppressAutoHyphens/>
              <w:rPr>
                <w:b/>
                <w:spacing w:val="-2"/>
              </w:rPr>
            </w:pPr>
            <w:r>
              <w:rPr>
                <w:b/>
                <w:spacing w:val="-2"/>
              </w:rPr>
              <w:t>)</w:t>
            </w:r>
          </w:p>
          <w:p w:rsidR="00D60AD3" w:rsidP="00930225" w14:paraId="54C94483" w14:textId="77777777">
            <w:pPr>
              <w:tabs>
                <w:tab w:val="center" w:pos="4680"/>
              </w:tabs>
              <w:suppressAutoHyphens/>
              <w:rPr>
                <w:b/>
                <w:spacing w:val="-2"/>
              </w:rPr>
            </w:pPr>
            <w:r>
              <w:rPr>
                <w:b/>
                <w:spacing w:val="-2"/>
              </w:rPr>
              <w:t>)</w:t>
            </w:r>
          </w:p>
          <w:p w:rsidR="00D60AD3" w:rsidP="00930225" w14:paraId="485635A6" w14:textId="77777777">
            <w:pPr>
              <w:tabs>
                <w:tab w:val="center" w:pos="4680"/>
              </w:tabs>
              <w:suppressAutoHyphens/>
              <w:rPr>
                <w:b/>
                <w:spacing w:val="-2"/>
              </w:rPr>
            </w:pPr>
            <w:r>
              <w:rPr>
                <w:b/>
                <w:spacing w:val="-2"/>
              </w:rPr>
              <w:t>)</w:t>
            </w:r>
          </w:p>
          <w:p w:rsidR="00D60AD3" w:rsidP="00930225" w14:paraId="2E54F5E6" w14:textId="77777777">
            <w:pPr>
              <w:tabs>
                <w:tab w:val="center" w:pos="4680"/>
              </w:tabs>
              <w:suppressAutoHyphens/>
              <w:rPr>
                <w:b/>
                <w:spacing w:val="-2"/>
              </w:rPr>
            </w:pPr>
            <w:r>
              <w:rPr>
                <w:b/>
                <w:spacing w:val="-2"/>
              </w:rPr>
              <w:t>)</w:t>
            </w:r>
          </w:p>
          <w:p w:rsidR="00D60AD3" w:rsidP="00930225" w14:paraId="0C6A552B" w14:textId="77777777">
            <w:pPr>
              <w:tabs>
                <w:tab w:val="center" w:pos="4680"/>
              </w:tabs>
              <w:suppressAutoHyphens/>
              <w:rPr>
                <w:b/>
                <w:spacing w:val="-2"/>
              </w:rPr>
            </w:pPr>
            <w:r>
              <w:rPr>
                <w:b/>
                <w:spacing w:val="-2"/>
              </w:rPr>
              <w:t>)</w:t>
            </w:r>
          </w:p>
          <w:p w:rsidR="00D60AD3" w:rsidP="00930225" w14:paraId="66521994" w14:textId="77777777">
            <w:pPr>
              <w:tabs>
                <w:tab w:val="center" w:pos="4680"/>
              </w:tabs>
              <w:suppressAutoHyphens/>
              <w:rPr>
                <w:b/>
                <w:spacing w:val="-2"/>
              </w:rPr>
            </w:pPr>
            <w:r>
              <w:rPr>
                <w:b/>
                <w:spacing w:val="-2"/>
              </w:rPr>
              <w:t>)</w:t>
            </w:r>
          </w:p>
          <w:p w:rsidR="00D60AD3" w:rsidP="00930225" w14:paraId="76AC1D20" w14:textId="77777777">
            <w:pPr>
              <w:tabs>
                <w:tab w:val="center" w:pos="4680"/>
              </w:tabs>
              <w:suppressAutoHyphens/>
              <w:rPr>
                <w:b/>
                <w:spacing w:val="-2"/>
              </w:rPr>
            </w:pPr>
            <w:r>
              <w:rPr>
                <w:b/>
                <w:spacing w:val="-2"/>
              </w:rPr>
              <w:t>)</w:t>
            </w:r>
          </w:p>
          <w:p w:rsidR="00D60AD3" w:rsidP="00930225" w14:paraId="43E65713" w14:textId="77777777">
            <w:pPr>
              <w:tabs>
                <w:tab w:val="center" w:pos="4680"/>
              </w:tabs>
              <w:suppressAutoHyphens/>
              <w:rPr>
                <w:b/>
                <w:spacing w:val="-2"/>
              </w:rPr>
            </w:pPr>
            <w:r>
              <w:rPr>
                <w:b/>
                <w:spacing w:val="-2"/>
              </w:rPr>
              <w:t>)</w:t>
            </w:r>
          </w:p>
          <w:p w:rsidR="00D60AD3" w:rsidP="00930225" w14:paraId="76A756E1" w14:textId="77777777">
            <w:pPr>
              <w:tabs>
                <w:tab w:val="center" w:pos="4680"/>
              </w:tabs>
              <w:suppressAutoHyphens/>
              <w:rPr>
                <w:b/>
                <w:spacing w:val="-2"/>
              </w:rPr>
            </w:pPr>
            <w:r>
              <w:rPr>
                <w:b/>
                <w:spacing w:val="-2"/>
              </w:rPr>
              <w:t>)</w:t>
            </w:r>
          </w:p>
          <w:p w:rsidR="00D60AD3" w:rsidRPr="00872848" w:rsidP="00930225" w14:paraId="2936587E" w14:textId="2C60ED9C">
            <w:pPr>
              <w:tabs>
                <w:tab w:val="center" w:pos="4680"/>
              </w:tabs>
              <w:suppressAutoHyphens/>
              <w:rPr>
                <w:b/>
                <w:spacing w:val="-2"/>
              </w:rPr>
            </w:pPr>
            <w:r>
              <w:rPr>
                <w:b/>
                <w:spacing w:val="-2"/>
              </w:rPr>
              <w:t>)</w:t>
            </w:r>
          </w:p>
        </w:tc>
        <w:tc>
          <w:tcPr>
            <w:tcW w:w="4248" w:type="dxa"/>
          </w:tcPr>
          <w:p w:rsidR="00D60AD3" w:rsidP="00930225" w14:paraId="24ED92A5" w14:textId="77777777">
            <w:pPr>
              <w:tabs>
                <w:tab w:val="center" w:pos="4680"/>
              </w:tabs>
              <w:suppressAutoHyphens/>
              <w:rPr>
                <w:spacing w:val="-2"/>
              </w:rPr>
            </w:pPr>
          </w:p>
          <w:p w:rsidR="00D60AD3" w:rsidP="00930225" w14:paraId="491F989C" w14:textId="77777777">
            <w:pPr>
              <w:pStyle w:val="TOAHeading"/>
              <w:tabs>
                <w:tab w:val="center" w:pos="4680"/>
                <w:tab w:val="clear" w:pos="9360"/>
              </w:tabs>
              <w:rPr>
                <w:spacing w:val="-2"/>
              </w:rPr>
            </w:pPr>
          </w:p>
          <w:p w:rsidR="00D05569" w:rsidP="00930225" w14:paraId="473B2FE7" w14:textId="77777777">
            <w:pPr>
              <w:tabs>
                <w:tab w:val="center" w:pos="4680"/>
              </w:tabs>
              <w:suppressAutoHyphens/>
              <w:rPr>
                <w:spacing w:val="-2"/>
              </w:rPr>
            </w:pPr>
          </w:p>
          <w:p w:rsidR="00D05569" w:rsidP="00930225" w14:paraId="36A1CD22" w14:textId="77777777">
            <w:pPr>
              <w:tabs>
                <w:tab w:val="center" w:pos="4680"/>
              </w:tabs>
              <w:suppressAutoHyphens/>
              <w:rPr>
                <w:spacing w:val="-2"/>
              </w:rPr>
            </w:pPr>
          </w:p>
          <w:p w:rsidR="00D407B1" w:rsidP="00930225" w14:paraId="6C0AD6F5" w14:textId="77777777">
            <w:pPr>
              <w:tabs>
                <w:tab w:val="center" w:pos="4680"/>
              </w:tabs>
              <w:suppressAutoHyphens/>
              <w:rPr>
                <w:spacing w:val="-2"/>
              </w:rPr>
            </w:pPr>
          </w:p>
          <w:p w:rsidR="00D407B1" w:rsidP="00930225" w14:paraId="5A2A96E2" w14:textId="77777777">
            <w:pPr>
              <w:tabs>
                <w:tab w:val="center" w:pos="4680"/>
              </w:tabs>
              <w:suppressAutoHyphens/>
              <w:rPr>
                <w:spacing w:val="-2"/>
              </w:rPr>
            </w:pPr>
          </w:p>
          <w:p w:rsidR="00D407B1" w:rsidP="00930225" w14:paraId="0FAC79CC" w14:textId="77777777">
            <w:pPr>
              <w:tabs>
                <w:tab w:val="center" w:pos="4680"/>
              </w:tabs>
              <w:suppressAutoHyphens/>
              <w:rPr>
                <w:spacing w:val="-2"/>
              </w:rPr>
            </w:pPr>
          </w:p>
          <w:p w:rsidR="00D60AD3" w:rsidP="00930225" w14:paraId="5C2E7C40" w14:textId="34624F46">
            <w:pPr>
              <w:tabs>
                <w:tab w:val="center" w:pos="4680"/>
              </w:tabs>
              <w:suppressAutoHyphens/>
              <w:rPr>
                <w:spacing w:val="-2"/>
              </w:rPr>
            </w:pPr>
            <w:r>
              <w:rPr>
                <w:spacing w:val="-2"/>
              </w:rPr>
              <w:t xml:space="preserve">Application </w:t>
            </w:r>
            <w:r>
              <w:rPr>
                <w:spacing w:val="-2"/>
              </w:rPr>
              <w:t xml:space="preserve">File No. </w:t>
            </w:r>
            <w:r w:rsidR="006748FC">
              <w:rPr>
                <w:spacing w:val="-2"/>
              </w:rPr>
              <w:t>0000</w:t>
            </w:r>
            <w:r w:rsidR="000B0F62">
              <w:rPr>
                <w:spacing w:val="-2"/>
              </w:rPr>
              <w:t>240</w:t>
            </w:r>
            <w:r w:rsidR="00343DA2">
              <w:rPr>
                <w:spacing w:val="-2"/>
              </w:rPr>
              <w:t>0</w:t>
            </w:r>
            <w:r w:rsidR="000B0F62">
              <w:rPr>
                <w:spacing w:val="-2"/>
              </w:rPr>
              <w:t>99</w:t>
            </w:r>
            <w:r>
              <w:rPr>
                <w:spacing w:val="-2"/>
              </w:rPr>
              <w:t xml:space="preserve"> et al.</w:t>
            </w:r>
          </w:p>
          <w:p w:rsidR="00D60AD3" w:rsidP="00930225" w14:paraId="3D91F536" w14:textId="77777777">
            <w:pPr>
              <w:tabs>
                <w:tab w:val="center" w:pos="4680"/>
              </w:tabs>
              <w:suppressAutoHyphens/>
              <w:rPr>
                <w:spacing w:val="-2"/>
              </w:rPr>
            </w:pPr>
          </w:p>
          <w:p w:rsidR="00D60AD3" w:rsidP="00930225" w14:paraId="2378F6BB" w14:textId="77777777">
            <w:pPr>
              <w:tabs>
                <w:tab w:val="center" w:pos="4680"/>
              </w:tabs>
              <w:suppressAutoHyphens/>
              <w:rPr>
                <w:spacing w:val="-2"/>
              </w:rPr>
            </w:pPr>
          </w:p>
          <w:p w:rsidR="00D60AD3" w:rsidP="00930225" w14:paraId="729E1CCD" w14:textId="77777777">
            <w:pPr>
              <w:tabs>
                <w:tab w:val="center" w:pos="4680"/>
              </w:tabs>
              <w:suppressAutoHyphens/>
              <w:rPr>
                <w:spacing w:val="-2"/>
              </w:rPr>
            </w:pPr>
          </w:p>
          <w:p w:rsidR="00D60AD3" w:rsidP="00930225" w14:paraId="13623B99" w14:textId="77777777">
            <w:pPr>
              <w:tabs>
                <w:tab w:val="center" w:pos="4680"/>
              </w:tabs>
              <w:suppressAutoHyphens/>
              <w:rPr>
                <w:spacing w:val="-2"/>
              </w:rPr>
            </w:pPr>
          </w:p>
          <w:p w:rsidR="00D60AD3" w:rsidP="00930225" w14:paraId="3A9506FE" w14:textId="77777777">
            <w:pPr>
              <w:tabs>
                <w:tab w:val="center" w:pos="4680"/>
              </w:tabs>
              <w:suppressAutoHyphens/>
              <w:rPr>
                <w:spacing w:val="-2"/>
              </w:rPr>
            </w:pPr>
          </w:p>
          <w:p w:rsidR="00D60AD3" w:rsidP="00930225" w14:paraId="50ED5B5C" w14:textId="028280DB">
            <w:pPr>
              <w:tabs>
                <w:tab w:val="center" w:pos="4680"/>
              </w:tabs>
              <w:suppressAutoHyphens/>
              <w:rPr>
                <w:spacing w:val="-2"/>
              </w:rPr>
            </w:pPr>
            <w:r>
              <w:rPr>
                <w:spacing w:val="-2"/>
              </w:rPr>
              <w:t>Application File No. 000024</w:t>
            </w:r>
            <w:r w:rsidR="00315D32">
              <w:rPr>
                <w:spacing w:val="-2"/>
              </w:rPr>
              <w:t>0</w:t>
            </w:r>
            <w:r>
              <w:rPr>
                <w:spacing w:val="-2"/>
              </w:rPr>
              <w:t>103 et al.</w:t>
            </w:r>
          </w:p>
          <w:p w:rsidR="00D60AD3" w:rsidP="00930225" w14:paraId="3CD6BF4A" w14:textId="77777777">
            <w:pPr>
              <w:tabs>
                <w:tab w:val="center" w:pos="4680"/>
              </w:tabs>
              <w:suppressAutoHyphens/>
              <w:rPr>
                <w:spacing w:val="-2"/>
              </w:rPr>
            </w:pPr>
          </w:p>
          <w:p w:rsidR="00D60AD3" w:rsidP="00930225" w14:paraId="15755380" w14:textId="77777777">
            <w:pPr>
              <w:tabs>
                <w:tab w:val="center" w:pos="4680"/>
              </w:tabs>
              <w:suppressAutoHyphens/>
              <w:rPr>
                <w:spacing w:val="-2"/>
              </w:rPr>
            </w:pPr>
          </w:p>
          <w:p w:rsidR="00D60AD3" w:rsidP="00930225" w14:paraId="51111244" w14:textId="6395F0E0">
            <w:pPr>
              <w:tabs>
                <w:tab w:val="center" w:pos="4680"/>
              </w:tabs>
              <w:suppressAutoHyphens/>
              <w:rPr>
                <w:spacing w:val="-2"/>
              </w:rPr>
            </w:pPr>
          </w:p>
          <w:p w:rsidR="00D60AD3" w:rsidP="00930225" w14:paraId="16F6A075" w14:textId="77777777">
            <w:pPr>
              <w:tabs>
                <w:tab w:val="center" w:pos="4680"/>
              </w:tabs>
              <w:suppressAutoHyphens/>
              <w:rPr>
                <w:spacing w:val="-2"/>
              </w:rPr>
            </w:pPr>
          </w:p>
          <w:p w:rsidR="00D60AD3" w:rsidP="00930225" w14:paraId="0E76759C" w14:textId="77777777">
            <w:pPr>
              <w:tabs>
                <w:tab w:val="center" w:pos="4680"/>
              </w:tabs>
              <w:suppressAutoHyphens/>
              <w:rPr>
                <w:spacing w:val="-2"/>
              </w:rPr>
            </w:pPr>
          </w:p>
          <w:p w:rsidR="00D60AD3" w:rsidP="00930225" w14:paraId="718A91A0" w14:textId="77777777">
            <w:pPr>
              <w:tabs>
                <w:tab w:val="center" w:pos="4680"/>
              </w:tabs>
              <w:suppressAutoHyphens/>
              <w:rPr>
                <w:spacing w:val="-2"/>
              </w:rPr>
            </w:pPr>
          </w:p>
          <w:p w:rsidR="00D60AD3" w:rsidP="00930225" w14:paraId="6C018A8D" w14:textId="7B097EE2">
            <w:pPr>
              <w:tabs>
                <w:tab w:val="center" w:pos="4680"/>
              </w:tabs>
              <w:suppressAutoHyphens/>
              <w:rPr>
                <w:spacing w:val="-2"/>
              </w:rPr>
            </w:pPr>
            <w:r>
              <w:rPr>
                <w:spacing w:val="-2"/>
              </w:rPr>
              <w:t>Application File No. 000024142 et al.</w:t>
            </w:r>
          </w:p>
        </w:tc>
      </w:tr>
    </w:tbl>
    <w:p w:rsidR="00D60AD3" w:rsidP="00D60AD3" w14:paraId="6DB9FBC1" w14:textId="77777777"/>
    <w:p w:rsidR="00D60AD3" w:rsidP="00D60AD3" w14:paraId="12FC1C25" w14:textId="77777777">
      <w:pPr>
        <w:pStyle w:val="StyleBoldCentered"/>
      </w:pPr>
      <w:r>
        <w:t>memorandum opinion and order</w:t>
      </w:r>
    </w:p>
    <w:p w:rsidR="00D60AD3" w:rsidP="00D60AD3" w14:paraId="6CD062D3" w14:textId="77777777">
      <w:pPr>
        <w:tabs>
          <w:tab w:val="left" w:pos="-720"/>
        </w:tabs>
        <w:suppressAutoHyphens/>
        <w:spacing w:line="227" w:lineRule="auto"/>
        <w:rPr>
          <w:spacing w:val="-2"/>
        </w:rPr>
      </w:pPr>
    </w:p>
    <w:p w:rsidR="00D60AD3" w:rsidP="00D60AD3" w14:paraId="116C1903" w14:textId="70CDEF01">
      <w:pPr>
        <w:tabs>
          <w:tab w:val="left" w:pos="720"/>
          <w:tab w:val="right" w:pos="9360"/>
        </w:tabs>
        <w:suppressAutoHyphens/>
        <w:spacing w:line="227" w:lineRule="auto"/>
        <w:rPr>
          <w:spacing w:val="-2"/>
        </w:rPr>
      </w:pPr>
      <w:r>
        <w:rPr>
          <w:b/>
          <w:spacing w:val="-2"/>
        </w:rPr>
        <w:t xml:space="preserve">Adopted:  </w:t>
      </w:r>
      <w:r w:rsidR="00DB5112">
        <w:rPr>
          <w:b/>
          <w:spacing w:val="-2"/>
        </w:rPr>
        <w:t>April 26</w:t>
      </w:r>
      <w:r>
        <w:rPr>
          <w:b/>
          <w:spacing w:val="-2"/>
        </w:rPr>
        <w:t>, 202</w:t>
      </w:r>
      <w:r w:rsidR="00C45FE8">
        <w:rPr>
          <w:b/>
          <w:spacing w:val="-2"/>
        </w:rPr>
        <w:t>4</w:t>
      </w:r>
      <w:r>
        <w:rPr>
          <w:b/>
          <w:spacing w:val="-2"/>
        </w:rPr>
        <w:tab/>
        <w:t xml:space="preserve">Released:  </w:t>
      </w:r>
      <w:r w:rsidR="00DB5112">
        <w:rPr>
          <w:b/>
          <w:spacing w:val="-2"/>
        </w:rPr>
        <w:t>April 26</w:t>
      </w:r>
      <w:r>
        <w:rPr>
          <w:b/>
          <w:spacing w:val="-2"/>
        </w:rPr>
        <w:t>, 202</w:t>
      </w:r>
      <w:r w:rsidR="00C45FE8">
        <w:rPr>
          <w:b/>
          <w:spacing w:val="-2"/>
        </w:rPr>
        <w:t>4</w:t>
      </w:r>
    </w:p>
    <w:p w:rsidR="00D60AD3" w:rsidP="00D60AD3" w14:paraId="7B085257" w14:textId="77777777"/>
    <w:p w:rsidR="00D60AD3" w:rsidP="00D60AD3" w14:paraId="094BD409" w14:textId="77777777">
      <w:pPr>
        <w:rPr>
          <w:spacing w:val="-2"/>
        </w:rPr>
      </w:pPr>
      <w:r>
        <w:t xml:space="preserve">By the Chief, Audio Division, </w:t>
      </w:r>
      <w:r>
        <w:rPr>
          <w:spacing w:val="-2"/>
        </w:rPr>
        <w:t>Media Bureau:</w:t>
      </w:r>
    </w:p>
    <w:p w:rsidR="00D60AD3" w:rsidP="00D60AD3" w14:paraId="3D121DA2" w14:textId="77777777">
      <w:pPr>
        <w:rPr>
          <w:spacing w:val="-2"/>
        </w:rPr>
      </w:pPr>
    </w:p>
    <w:p w:rsidR="00D60AD3" w:rsidP="00D60AD3" w14:paraId="7B07AAD0" w14:textId="532619EE">
      <w:pPr>
        <w:pStyle w:val="ParaNum"/>
      </w:pPr>
      <w:r>
        <w:t xml:space="preserve">The Media Bureau (Bureau) has under consideration the above-captioned </w:t>
      </w:r>
      <w:r w:rsidR="00C45FE8">
        <w:t>uncontested applications</w:t>
      </w:r>
      <w:r w:rsidR="00341E1C">
        <w:t xml:space="preserve"> (Applications)</w:t>
      </w:r>
      <w:r w:rsidR="00C45FE8">
        <w:t xml:space="preserve"> for pro forma assignment </w:t>
      </w:r>
      <w:r w:rsidR="005C4410">
        <w:t xml:space="preserve">of broadcast station licenses </w:t>
      </w:r>
      <w:r w:rsidR="005602BA">
        <w:t xml:space="preserve">from </w:t>
      </w:r>
      <w:r w:rsidR="00CD65A9">
        <w:t>three</w:t>
      </w:r>
      <w:r w:rsidR="005C4410">
        <w:t xml:space="preserve"> </w:t>
      </w:r>
      <w:r w:rsidR="00D9041A">
        <w:t xml:space="preserve">wholly owned subsidiaries </w:t>
      </w:r>
      <w:r w:rsidR="00CD65A9">
        <w:t>of Cumulus Media, Inc.</w:t>
      </w:r>
      <w:r w:rsidR="009A77CD">
        <w:t xml:space="preserve"> (Cumulus)</w:t>
      </w:r>
      <w:r w:rsidR="00CD65A9">
        <w:t xml:space="preserve">, to </w:t>
      </w:r>
      <w:r w:rsidR="00451B27">
        <w:t xml:space="preserve">a new wholly owned subsidiary, </w:t>
      </w:r>
      <w:r w:rsidR="007E0ED4">
        <w:t xml:space="preserve">Cumulus </w:t>
      </w:r>
      <w:r w:rsidR="00341E1C">
        <w:t>Licensing Holding Company II LLC</w:t>
      </w:r>
      <w:r>
        <w:t>.</w:t>
      </w:r>
      <w:bookmarkStart w:id="0" w:name="_Ref67484869"/>
      <w:r>
        <w:rPr>
          <w:rStyle w:val="FootnoteReference"/>
        </w:rPr>
        <w:footnoteReference w:id="3"/>
      </w:r>
      <w:bookmarkEnd w:id="0"/>
      <w:r>
        <w:t xml:space="preserve">  In addition, </w:t>
      </w:r>
      <w:r w:rsidR="00875375">
        <w:t>Cumulus</w:t>
      </w:r>
      <w:r>
        <w:t xml:space="preserve"> recently filed a remedial petition for declaratory ruling (</w:t>
      </w:r>
      <w:r w:rsidR="00F63125">
        <w:t xml:space="preserve">2024 </w:t>
      </w:r>
      <w:r>
        <w:t xml:space="preserve">PDR) to seek specific approval for certain named foreign investors to hold more than 5% of the equity and/or voting interests in </w:t>
      </w:r>
      <w:r w:rsidR="00875375">
        <w:t>Cumulus</w:t>
      </w:r>
      <w:r>
        <w:t xml:space="preserve"> and advance approval for those foreign investors to increase their equity and/or voting interests in </w:t>
      </w:r>
      <w:r w:rsidR="00F252FC">
        <w:t>Cumulus</w:t>
      </w:r>
      <w:r>
        <w:t xml:space="preserve"> up to any non-controlling amount not to exceed </w:t>
      </w:r>
      <w:r w:rsidR="00F63125">
        <w:t>14</w:t>
      </w:r>
      <w:r>
        <w:t>.99%.</w:t>
      </w:r>
      <w:bookmarkStart w:id="1" w:name="_Ref67479987"/>
      <w:r>
        <w:rPr>
          <w:rStyle w:val="FootnoteReference"/>
        </w:rPr>
        <w:footnoteReference w:id="4"/>
      </w:r>
      <w:bookmarkEnd w:id="1"/>
      <w:r>
        <w:t xml:space="preserve">  </w:t>
      </w:r>
      <w:r w:rsidR="006203AC">
        <w:t>B</w:t>
      </w:r>
      <w:r>
        <w:t>ased upon our review of the specific facts and circumstances of this case,</w:t>
      </w:r>
      <w:r w:rsidR="006203AC">
        <w:t xml:space="preserve"> </w:t>
      </w:r>
      <w:r w:rsidR="006F3B41">
        <w:t xml:space="preserve">and for the reasons discussed below, </w:t>
      </w:r>
      <w:r w:rsidR="006203AC">
        <w:t>we</w:t>
      </w:r>
      <w:r>
        <w:t xml:space="preserve"> find that grant of the Applications, with the conditions set forth below, is in the public interest.  We plan to release a public notice seeking comment on the </w:t>
      </w:r>
      <w:r w:rsidR="006203AC">
        <w:t>2024</w:t>
      </w:r>
      <w:r>
        <w:t xml:space="preserve"> PDR.</w:t>
      </w:r>
    </w:p>
    <w:p w:rsidR="00D60AD3" w:rsidP="00D60AD3" w14:paraId="7030DB08" w14:textId="77777777">
      <w:pPr>
        <w:pStyle w:val="Heading1"/>
      </w:pPr>
      <w:r>
        <w:t>background</w:t>
      </w:r>
    </w:p>
    <w:p w:rsidR="00D60AD3" w:rsidP="00D60AD3" w14:paraId="1D4FAA49" w14:textId="4498D588">
      <w:pPr>
        <w:pStyle w:val="ParaNum"/>
      </w:pPr>
      <w:bookmarkStart w:id="2" w:name="_Ref67483397"/>
      <w:r>
        <w:rPr>
          <w:i/>
          <w:iCs/>
        </w:rPr>
        <w:t>Foreign Ownership</w:t>
      </w:r>
      <w:r>
        <w:t xml:space="preserve">.  </w:t>
      </w:r>
      <w:r w:rsidR="00D15BE3">
        <w:t>O</w:t>
      </w:r>
      <w:r>
        <w:t xml:space="preserve">n </w:t>
      </w:r>
      <w:r w:rsidR="00A061C5">
        <w:t xml:space="preserve">May </w:t>
      </w:r>
      <w:r w:rsidR="00FB3156">
        <w:t>29</w:t>
      </w:r>
      <w:r>
        <w:t xml:space="preserve">, 2020, the Bureau released the </w:t>
      </w:r>
      <w:r>
        <w:rPr>
          <w:i/>
          <w:iCs/>
        </w:rPr>
        <w:t>2020</w:t>
      </w:r>
      <w:r>
        <w:t xml:space="preserve"> </w:t>
      </w:r>
      <w:r>
        <w:rPr>
          <w:i/>
          <w:iCs/>
        </w:rPr>
        <w:t>Declaratory Ruling</w:t>
      </w:r>
      <w:r>
        <w:t xml:space="preserve"> </w:t>
      </w:r>
      <w:r w:rsidR="00D15BE3">
        <w:t xml:space="preserve">granting Cumulus’s previous petition for declaratory ruling and </w:t>
      </w:r>
      <w:r>
        <w:t xml:space="preserve">permitting the aggregate direct and/or indirect foreign equity and voting interests in </w:t>
      </w:r>
      <w:r w:rsidR="00DF6E8A">
        <w:t>Cumulus</w:t>
      </w:r>
      <w:r>
        <w:t xml:space="preserve"> to exceed the 25% statutory benchmark and to increase up to and including 100%.</w:t>
      </w:r>
      <w:r>
        <w:rPr>
          <w:rStyle w:val="FootnoteReference"/>
        </w:rPr>
        <w:footnoteReference w:id="5"/>
      </w:r>
      <w:r>
        <w:t xml:space="preserve">  </w:t>
      </w:r>
      <w:r w:rsidR="000F05AB">
        <w:t>T</w:t>
      </w:r>
      <w:r>
        <w:t xml:space="preserve">he ruling was subject to conditions that require </w:t>
      </w:r>
      <w:r w:rsidR="000F05AB">
        <w:t>Cumulus</w:t>
      </w:r>
      <w:r>
        <w:t xml:space="preserve"> to comply with the standard terms and conditions set forth in section 1.5004 of the Commission’s rules</w:t>
      </w:r>
      <w:r w:rsidR="00C2115C">
        <w:t>, including the requirement that Cumulus obtain specific approval for any foreign investor that holds, or would hold, directly and/or indirectly, more than 5% (or more than 10% for certain institutional investors) of the equity and/or voting interests, or a controlling interest, in the company</w:t>
      </w:r>
      <w:r>
        <w:t>.</w:t>
      </w:r>
      <w:r>
        <w:rPr>
          <w:rStyle w:val="FootnoteReference"/>
        </w:rPr>
        <w:footnoteReference w:id="6"/>
      </w:r>
      <w:r>
        <w:t xml:space="preserve">  </w:t>
      </w:r>
      <w:r w:rsidR="00C2115C">
        <w:t xml:space="preserve">Among other things, </w:t>
      </w:r>
      <w:r w:rsidR="00075794">
        <w:t>the</w:t>
      </w:r>
      <w:r w:rsidR="00C2115C">
        <w:t xml:space="preserve"> terms and conditions </w:t>
      </w:r>
      <w:r w:rsidR="00075794">
        <w:t xml:space="preserve">also </w:t>
      </w:r>
      <w:r w:rsidR="00C2115C">
        <w:t xml:space="preserve">require that Cumulus </w:t>
      </w:r>
      <w:r w:rsidR="005A1CF8">
        <w:t>file a statement with</w:t>
      </w:r>
      <w:r>
        <w:t xml:space="preserve"> the Commission </w:t>
      </w:r>
      <w:r w:rsidR="00030683">
        <w:t xml:space="preserve">explaining the circumstances </w:t>
      </w:r>
      <w:r>
        <w:t xml:space="preserve">within 30 days of knowing or having reason to know that the company is no longer in compliance with the </w:t>
      </w:r>
      <w:r>
        <w:rPr>
          <w:i/>
          <w:iCs/>
        </w:rPr>
        <w:t>2020 Declaratory Ruling</w:t>
      </w:r>
      <w:r>
        <w:t>, section 310(b) of the Act, or the Commission’s foreign ownership rules.</w:t>
      </w:r>
      <w:r>
        <w:rPr>
          <w:rStyle w:val="FootnoteReference"/>
        </w:rPr>
        <w:footnoteReference w:id="7"/>
      </w:r>
      <w:bookmarkEnd w:id="2"/>
      <w:r>
        <w:t xml:space="preserve">  </w:t>
      </w:r>
    </w:p>
    <w:p w:rsidR="00D60AD3" w:rsidP="00D60AD3" w14:paraId="1444670C" w14:textId="10ADEFB5">
      <w:pPr>
        <w:pStyle w:val="ParaNum"/>
      </w:pPr>
      <w:r w:rsidRPr="0009081C">
        <w:t xml:space="preserve">On February </w:t>
      </w:r>
      <w:r w:rsidR="00974830">
        <w:t>2, 2024</w:t>
      </w:r>
      <w:r>
        <w:t xml:space="preserve">, </w:t>
      </w:r>
      <w:r w:rsidR="00974830">
        <w:t>Cumulus</w:t>
      </w:r>
      <w:r w:rsidRPr="0009081C">
        <w:t xml:space="preserve"> notified the Audio Division</w:t>
      </w:r>
      <w:r>
        <w:t xml:space="preserve"> (Division) that the company learned</w:t>
      </w:r>
      <w:r w:rsidRPr="0009081C">
        <w:t xml:space="preserve"> of an</w:t>
      </w:r>
      <w:r>
        <w:t xml:space="preserve"> </w:t>
      </w:r>
      <w:r w:rsidRPr="0009081C">
        <w:t xml:space="preserve">investment that rendered </w:t>
      </w:r>
      <w:r w:rsidR="00485DE4">
        <w:t>Cumulus</w:t>
      </w:r>
      <w:r w:rsidRPr="0009081C">
        <w:t xml:space="preserve"> non-compliant with </w:t>
      </w:r>
      <w:r>
        <w:t xml:space="preserve">the terms of the </w:t>
      </w:r>
      <w:r>
        <w:rPr>
          <w:i/>
          <w:iCs/>
        </w:rPr>
        <w:t>2020 Declaratory Ruling</w:t>
      </w:r>
      <w:r>
        <w:t>.</w:t>
      </w:r>
      <w:r>
        <w:rPr>
          <w:rStyle w:val="FootnoteReference"/>
        </w:rPr>
        <w:footnoteReference w:id="8"/>
      </w:r>
      <w:r>
        <w:t xml:space="preserve">  Specifically, on </w:t>
      </w:r>
      <w:r w:rsidR="00C21C08">
        <w:t xml:space="preserve">January </w:t>
      </w:r>
      <w:r w:rsidR="00F4517C">
        <w:t>24</w:t>
      </w:r>
      <w:r>
        <w:t>, 202</w:t>
      </w:r>
      <w:r w:rsidR="00F4517C">
        <w:t>4</w:t>
      </w:r>
      <w:r>
        <w:t xml:space="preserve">, </w:t>
      </w:r>
      <w:r w:rsidR="00F4517C">
        <w:t>Renew Group Private</w:t>
      </w:r>
      <w:r>
        <w:t xml:space="preserve"> Ltd</w:t>
      </w:r>
      <w:r w:rsidR="000B3CFD">
        <w:t>.</w:t>
      </w:r>
      <w:r>
        <w:t xml:space="preserve"> (</w:t>
      </w:r>
      <w:r w:rsidR="000B3CFD">
        <w:t>Renew</w:t>
      </w:r>
      <w:r>
        <w:t xml:space="preserve">), a </w:t>
      </w:r>
      <w:r w:rsidR="000B3CFD">
        <w:t>Singapore</w:t>
      </w:r>
      <w:r w:rsidR="003E669D">
        <w:t>an</w:t>
      </w:r>
      <w:r>
        <w:t xml:space="preserve"> entity, filed a Schedule 13D with the U.S. Securities and Exchange Commission (SEC) to report its ownership of approximately </w:t>
      </w:r>
      <w:r w:rsidR="00FC7EB5">
        <w:t>9.8</w:t>
      </w:r>
      <w:r>
        <w:t xml:space="preserve">% of the equity and </w:t>
      </w:r>
      <w:r w:rsidR="00935B32">
        <w:t>10.</w:t>
      </w:r>
      <w:r w:rsidR="00FC7EB5">
        <w:t>0</w:t>
      </w:r>
      <w:r w:rsidR="00935B32">
        <w:t>1</w:t>
      </w:r>
      <w:r>
        <w:t xml:space="preserve">% of the voting interests in </w:t>
      </w:r>
      <w:r w:rsidR="0066418C">
        <w:t>Cumulus</w:t>
      </w:r>
      <w:r>
        <w:t xml:space="preserve"> through </w:t>
      </w:r>
      <w:r w:rsidR="0066418C">
        <w:t>Renew’s</w:t>
      </w:r>
      <w:r>
        <w:t xml:space="preserve"> ownership of </w:t>
      </w:r>
      <w:r w:rsidR="00781F29">
        <w:t>1,621,426</w:t>
      </w:r>
      <w:r>
        <w:t xml:space="preserve"> shares of </w:t>
      </w:r>
      <w:r w:rsidR="00DD348E">
        <w:t>Cumulus</w:t>
      </w:r>
      <w:r>
        <w:t>’s Class A Common Stock.</w:t>
      </w:r>
      <w:r>
        <w:rPr>
          <w:rStyle w:val="FootnoteReference"/>
        </w:rPr>
        <w:footnoteReference w:id="9"/>
      </w:r>
      <w:r>
        <w:t xml:space="preserve">  Pursuant to section 1.5004(f)(3) of the Commission’s rules,</w:t>
      </w:r>
      <w:r>
        <w:rPr>
          <w:rStyle w:val="FootnoteReference"/>
        </w:rPr>
        <w:footnoteReference w:id="10"/>
      </w:r>
      <w:r>
        <w:t xml:space="preserve"> </w:t>
      </w:r>
      <w:r w:rsidR="00CE0226">
        <w:t>Cumulus</w:t>
      </w:r>
      <w:r>
        <w:t xml:space="preserve"> informed the Division that </w:t>
      </w:r>
      <w:r w:rsidR="00F252FC">
        <w:t>Cumulus</w:t>
      </w:r>
      <w:r>
        <w:t xml:space="preserve"> intended to file a remedial PDR within 30 days of the date the company learned of the non-complaint foreign interests.</w:t>
      </w:r>
      <w:r>
        <w:rPr>
          <w:rStyle w:val="FootnoteReference"/>
        </w:rPr>
        <w:footnoteReference w:id="11"/>
      </w:r>
      <w:r>
        <w:t xml:space="preserve">  </w:t>
      </w:r>
    </w:p>
    <w:p w:rsidR="00D60AD3" w:rsidP="00D60AD3" w14:paraId="1F31F780" w14:textId="0D329CEE">
      <w:pPr>
        <w:pStyle w:val="ParaNum"/>
      </w:pPr>
      <w:r>
        <w:t xml:space="preserve">On </w:t>
      </w:r>
      <w:r w:rsidR="008A0FF0">
        <w:t>February 23, 2024</w:t>
      </w:r>
      <w:r>
        <w:t>,</w:t>
      </w:r>
      <w:r w:rsidRPr="0009081C">
        <w:t xml:space="preserve"> </w:t>
      </w:r>
      <w:r w:rsidR="006A0F8B">
        <w:t>Cumulus</w:t>
      </w:r>
      <w:r>
        <w:t xml:space="preserve"> timely</w:t>
      </w:r>
      <w:r w:rsidRPr="0009081C">
        <w:t xml:space="preserve"> file</w:t>
      </w:r>
      <w:r>
        <w:t>d</w:t>
      </w:r>
      <w:r w:rsidRPr="0009081C">
        <w:t xml:space="preserve"> </w:t>
      </w:r>
      <w:r w:rsidR="006A0F8B">
        <w:t>the 2024 PDR</w:t>
      </w:r>
      <w:r w:rsidRPr="0009081C">
        <w:t xml:space="preserve"> seeking </w:t>
      </w:r>
      <w:r>
        <w:t xml:space="preserve">specific </w:t>
      </w:r>
      <w:r w:rsidRPr="0009081C">
        <w:t xml:space="preserve">approval </w:t>
      </w:r>
      <w:r>
        <w:t>for</w:t>
      </w:r>
      <w:r w:rsidRPr="0009081C">
        <w:t xml:space="preserve"> </w:t>
      </w:r>
      <w:r>
        <w:t xml:space="preserve">the non-compliant foreign equity and voting interests acquired by </w:t>
      </w:r>
      <w:r w:rsidR="00DD5024">
        <w:t>Renew</w:t>
      </w:r>
      <w:r>
        <w:t xml:space="preserve"> and its beneficial owners and equity interest holders.</w:t>
      </w:r>
      <w:r>
        <w:rPr>
          <w:rStyle w:val="FootnoteReference"/>
        </w:rPr>
        <w:footnoteReference w:id="12"/>
      </w:r>
      <w:r w:rsidRPr="0009081C">
        <w:t xml:space="preserve"> </w:t>
      </w:r>
      <w:r>
        <w:t xml:space="preserve"> Pursuant to section 1.5004(f)(3) of the Commission’s rules,</w:t>
      </w:r>
      <w:r>
        <w:rPr>
          <w:rStyle w:val="FootnoteReference"/>
        </w:rPr>
        <w:footnoteReference w:id="13"/>
      </w:r>
      <w:r>
        <w:t xml:space="preserve"> </w:t>
      </w:r>
      <w:r w:rsidR="00880313">
        <w:t>Cumulus</w:t>
      </w:r>
      <w:r>
        <w:t xml:space="preserve"> </w:t>
      </w:r>
      <w:r w:rsidRPr="009058B0">
        <w:t>certified</w:t>
      </w:r>
      <w:r>
        <w:t xml:space="preserve"> that </w:t>
      </w:r>
      <w:r w:rsidR="00880313">
        <w:t>Renew’s</w:t>
      </w:r>
      <w:r>
        <w:t xml:space="preserve"> acquisition of interests exceeding the 5% threshold requiring specific approval under the </w:t>
      </w:r>
      <w:r>
        <w:t xml:space="preserve">Commission’s rules was an independent investment decision that occurred on the NASDAQ Stock Exchange and was wholly </w:t>
      </w:r>
      <w:r w:rsidR="0096214A">
        <w:t>beyond Cumulus’s</w:t>
      </w:r>
      <w:r>
        <w:t xml:space="preserve"> control, was not reasonably foreseeable to </w:t>
      </w:r>
      <w:r w:rsidR="0096214A">
        <w:t>Cumulus</w:t>
      </w:r>
      <w:r>
        <w:t xml:space="preserve">, and was not known </w:t>
      </w:r>
      <w:r w:rsidR="00486EDE">
        <w:t>to</w:t>
      </w:r>
      <w:r>
        <w:t xml:space="preserve"> </w:t>
      </w:r>
      <w:r w:rsidR="00486EDE">
        <w:t>Cumulus</w:t>
      </w:r>
      <w:r>
        <w:t xml:space="preserve"> </w:t>
      </w:r>
      <w:r w:rsidR="00486EDE">
        <w:t xml:space="preserve">before Renew </w:t>
      </w:r>
      <w:r w:rsidR="004507D2">
        <w:t xml:space="preserve">reported </w:t>
      </w:r>
      <w:r w:rsidR="00FB0807">
        <w:t>the acquisition</w:t>
      </w:r>
      <w:r w:rsidR="007C2FD4">
        <w:t xml:space="preserve"> to the SEC</w:t>
      </w:r>
      <w:r w:rsidR="003D7359">
        <w:t xml:space="preserve"> on</w:t>
      </w:r>
      <w:r w:rsidR="00486EDE">
        <w:t xml:space="preserve"> </w:t>
      </w:r>
      <w:r>
        <w:t xml:space="preserve">the Schedule 13D </w:t>
      </w:r>
      <w:r w:rsidR="007C2FD4">
        <w:t>filing</w:t>
      </w:r>
      <w:r>
        <w:t>.</w:t>
      </w:r>
      <w:r>
        <w:rPr>
          <w:rStyle w:val="FootnoteReference"/>
        </w:rPr>
        <w:footnoteReference w:id="14"/>
      </w:r>
      <w:r>
        <w:t xml:space="preserve">  </w:t>
      </w:r>
    </w:p>
    <w:p w:rsidR="00D60AD3" w:rsidP="00D60AD3" w14:paraId="5E8BD46B" w14:textId="77777777">
      <w:pPr>
        <w:pStyle w:val="Heading1"/>
      </w:pPr>
      <w:r>
        <w:t>discussion</w:t>
      </w:r>
    </w:p>
    <w:p w:rsidR="00D60AD3" w:rsidP="00D60AD3" w14:paraId="3560F40C" w14:textId="38DDD46B">
      <w:pPr>
        <w:pStyle w:val="ParaNum"/>
      </w:pPr>
      <w:r>
        <w:t xml:space="preserve">We find that the public interest will be served by grant of the Applications with conditions that, as discussed below, are designed to insulate, to the extent possible, the non-compliant foreign interests pending action on </w:t>
      </w:r>
      <w:r w:rsidR="00726FB5">
        <w:t>the 2024</w:t>
      </w:r>
      <w:r>
        <w:t xml:space="preserve"> PDR seeking specific approval of those interests.  We also find that the record raises no substantial and material question of fact as to whether </w:t>
      </w:r>
      <w:r w:rsidR="00A425AE">
        <w:t>Cumulus</w:t>
      </w:r>
      <w:r>
        <w:t xml:space="preserve"> is qualified to be a licensee of broadcast stations and whether grant of the Applications is in the public interest.  </w:t>
      </w:r>
    </w:p>
    <w:p w:rsidR="00D60AD3" w:rsidP="00D60AD3" w14:paraId="1061B140" w14:textId="7C4C36EB">
      <w:pPr>
        <w:pStyle w:val="ParaNum"/>
      </w:pPr>
      <w:r>
        <w:t>We also find that grant of the Applications is consistent with section 310(b)(4) of the Act.</w:t>
      </w:r>
      <w:r>
        <w:rPr>
          <w:rStyle w:val="FootnoteReference"/>
        </w:rPr>
        <w:footnoteReference w:id="15"/>
      </w:r>
      <w:r>
        <w:t xml:space="preserve">  Section 310(b)(4)</w:t>
      </w:r>
      <w:r w:rsidRPr="009F2C81">
        <w:t xml:space="preserve"> of the </w:t>
      </w:r>
      <w:r w:rsidR="00A8173C">
        <w:t xml:space="preserve">Communications </w:t>
      </w:r>
      <w:r w:rsidRPr="009F2C81">
        <w:t>Act</w:t>
      </w:r>
      <w:r w:rsidR="00A8173C">
        <w:t xml:space="preserve"> of 1934, as amended (Act),</w:t>
      </w:r>
      <w:r w:rsidRPr="009F2C81">
        <w:t xml:space="preserve"> states that “[n]o broadcast </w:t>
      </w:r>
      <w:r>
        <w:t>. . .</w:t>
      </w:r>
      <w:r w:rsidRPr="009F2C81">
        <w:t xml:space="preserve"> license shall be granted to or held by </w:t>
      </w:r>
      <w:r>
        <w:t>. . .</w:t>
      </w:r>
      <w:r w:rsidRPr="009F2C81">
        <w:t xml:space="preserve">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sz w:val="22"/>
          <w:szCs w:val="22"/>
        </w:rPr>
        <w:footnoteReference w:id="16"/>
      </w:r>
      <w:r>
        <w:t xml:space="preserve">  </w:t>
      </w:r>
      <w:r w:rsidRPr="00026F61">
        <w:t>This section of the Act also</w:t>
      </w:r>
      <w:r>
        <w:t xml:space="preserve"> </w:t>
      </w:r>
      <w:r>
        <w:rPr>
          <w:snapToGrid/>
          <w:kern w:val="0"/>
        </w:rPr>
        <w:t>grants the Commission discretion</w:t>
      </w:r>
      <w:r w:rsidRPr="006A2976">
        <w:rPr>
          <w:kern w:val="0"/>
        </w:rPr>
        <w:t xml:space="preserve"> to </w:t>
      </w:r>
      <w:r>
        <w:rPr>
          <w:snapToGrid/>
          <w:kern w:val="0"/>
        </w:rPr>
        <w:t xml:space="preserve">allow higher levels of foreign investment in a licensee’s controlling </w:t>
      </w:r>
      <w:r w:rsidRPr="006A2976">
        <w:rPr>
          <w:kern w:val="0"/>
        </w:rPr>
        <w:t xml:space="preserve">U.S.-organized </w:t>
      </w:r>
      <w:r>
        <w:rPr>
          <w:snapToGrid/>
          <w:kern w:val="0"/>
        </w:rPr>
        <w:t>parent</w:t>
      </w:r>
      <w:r w:rsidRPr="002959B6">
        <w:rPr>
          <w:kern w:val="0"/>
        </w:rPr>
        <w:t xml:space="preserve"> unless the Commission finds that the public interest </w:t>
      </w:r>
      <w:r>
        <w:rPr>
          <w:snapToGrid/>
          <w:kern w:val="0"/>
        </w:rPr>
        <w:t>would</w:t>
      </w:r>
      <w:r w:rsidRPr="002959B6">
        <w:rPr>
          <w:kern w:val="0"/>
        </w:rPr>
        <w:t xml:space="preserve"> be served by refusing to permit such foreign </w:t>
      </w:r>
      <w:r>
        <w:rPr>
          <w:snapToGrid/>
          <w:kern w:val="0"/>
        </w:rPr>
        <w:t>investment</w:t>
      </w:r>
      <w:r w:rsidRPr="002959B6">
        <w:rPr>
          <w:kern w:val="0"/>
        </w:rPr>
        <w:t>.</w:t>
      </w:r>
      <w:r>
        <w:rPr>
          <w:rStyle w:val="FootnoteReference"/>
          <w:kern w:val="0"/>
        </w:rPr>
        <w:footnoteReference w:id="17"/>
      </w:r>
      <w:r>
        <w:t xml:space="preserve">  As discussed above, the </w:t>
      </w:r>
      <w:r>
        <w:rPr>
          <w:i/>
          <w:iCs/>
        </w:rPr>
        <w:t>2020</w:t>
      </w:r>
      <w:r>
        <w:t xml:space="preserve"> </w:t>
      </w:r>
      <w:r>
        <w:rPr>
          <w:i/>
          <w:iCs/>
        </w:rPr>
        <w:t xml:space="preserve">Declaratory Ruling </w:t>
      </w:r>
      <w:r>
        <w:t xml:space="preserve">found that it is in the public interest to permit the aggregate direct and/or indirect foreign equity and voting interests in </w:t>
      </w:r>
      <w:r w:rsidR="00AE387D">
        <w:t>Cumulus</w:t>
      </w:r>
      <w:r>
        <w:t xml:space="preserve"> to exceed the 25% statutory benchmark and to increase up to and including 100%, subject to terms and conditions of the ruling.</w:t>
      </w:r>
      <w:r>
        <w:rPr>
          <w:rStyle w:val="FootnoteReference"/>
        </w:rPr>
        <w:footnoteReference w:id="18"/>
      </w:r>
      <w:r>
        <w:t xml:space="preserve">  While the </w:t>
      </w:r>
      <w:r w:rsidR="008D488C">
        <w:t>Renew</w:t>
      </w:r>
      <w:r>
        <w:t xml:space="preserve"> investment renders </w:t>
      </w:r>
      <w:r w:rsidR="008D488C">
        <w:t>Cumulus</w:t>
      </w:r>
      <w:r>
        <w:t xml:space="preserve"> non-compliant with the </w:t>
      </w:r>
      <w:r>
        <w:rPr>
          <w:i/>
          <w:iCs/>
        </w:rPr>
        <w:t>2020 Declaratory Ruling</w:t>
      </w:r>
      <w:r>
        <w:t>,</w:t>
      </w:r>
      <w:r>
        <w:rPr>
          <w:rStyle w:val="FootnoteReference"/>
        </w:rPr>
        <w:footnoteReference w:id="19"/>
      </w:r>
      <w:r>
        <w:t xml:space="preserve"> section 1.5004(f)(3) of the rules permits </w:t>
      </w:r>
      <w:r w:rsidR="008D488C">
        <w:t>Cumulus</w:t>
      </w:r>
      <w:r>
        <w:t xml:space="preserve"> to file, and the Commission to grant, a remedial PDR without the Commission taking enforcement action for the non-compliance, subject to the requirements specified in section 1.5004(f)(3)(</w:t>
      </w:r>
      <w:r>
        <w:t>i</w:t>
      </w:r>
      <w:r>
        <w:t>) and (ii)</w:t>
      </w:r>
      <w:r w:rsidR="008D488C">
        <w:t>,</w:t>
      </w:r>
      <w:r>
        <w:t xml:space="preserve"> and except as otherwise provided in section 1.5004(f)(3)(iii).</w:t>
      </w:r>
      <w:r>
        <w:rPr>
          <w:rStyle w:val="FootnoteReference"/>
        </w:rPr>
        <w:footnoteReference w:id="20"/>
      </w:r>
      <w:r>
        <w:t xml:space="preserve">  </w:t>
      </w:r>
    </w:p>
    <w:p w:rsidR="00D60AD3" w:rsidP="00D60AD3" w14:paraId="0ED9A2F8" w14:textId="5AB710BC">
      <w:pPr>
        <w:pStyle w:val="ParaNum"/>
      </w:pPr>
      <w:r>
        <w:t xml:space="preserve">The Bureau’s practice has been to delay action on pending assignment applications while the proposed assignee is out of compliance with the Commission’s foreign ownership rules.  However, as discussed above, section 1.5004(f)(3) provides for the filing and grant of remedial PDRs.  Section 1.5004(f)(3) does not address how such remedial PDRs should be handled in the context of pending </w:t>
      </w:r>
      <w:r>
        <w:t>assignment applications,</w:t>
      </w:r>
      <w:r>
        <w:rPr>
          <w:rStyle w:val="FootnoteReference"/>
        </w:rPr>
        <w:footnoteReference w:id="21"/>
      </w:r>
      <w:r>
        <w:t xml:space="preserve"> and we find that neither the Act nor the rules prevents us from granting the Applications if we are able to make the requisite public interest findings.</w:t>
      </w:r>
      <w:r>
        <w:rPr>
          <w:rStyle w:val="FootnoteReference"/>
        </w:rPr>
        <w:footnoteReference w:id="22"/>
      </w:r>
      <w:r>
        <w:t xml:space="preserve">  Because </w:t>
      </w:r>
      <w:r w:rsidR="008D488C">
        <w:t>Cumulus</w:t>
      </w:r>
      <w:r>
        <w:t xml:space="preserve"> has previously been found qualified to be the licensee of over </w:t>
      </w:r>
      <w:r w:rsidR="00BC632E">
        <w:t>400</w:t>
      </w:r>
      <w:r>
        <w:t xml:space="preserve"> full-service radio stations,</w:t>
      </w:r>
      <w:r>
        <w:rPr>
          <w:rStyle w:val="FootnoteReference"/>
        </w:rPr>
        <w:footnoteReference w:id="23"/>
      </w:r>
      <w:r>
        <w:t xml:space="preserve"> did not solicit the non-compliant foreign </w:t>
      </w:r>
      <w:r w:rsidRPr="0009081C">
        <w:t xml:space="preserve">investment </w:t>
      </w:r>
      <w:r>
        <w:t xml:space="preserve">and was not even aware of it until </w:t>
      </w:r>
      <w:r w:rsidR="002E2DA9">
        <w:t>Renew’s</w:t>
      </w:r>
      <w:r>
        <w:t xml:space="preserve"> SEC filing,</w:t>
      </w:r>
      <w:r>
        <w:rPr>
          <w:rStyle w:val="FootnoteReference"/>
        </w:rPr>
        <w:footnoteReference w:id="24"/>
      </w:r>
      <w:r>
        <w:t xml:space="preserve"> and complied with the Commission’s rules for notifying the Commission upon learning about the unsolicited investment,</w:t>
      </w:r>
      <w:r>
        <w:rPr>
          <w:rStyle w:val="FootnoteReference"/>
        </w:rPr>
        <w:footnoteReference w:id="25"/>
      </w:r>
      <w:r>
        <w:t xml:space="preserve"> we conclude that the public interest will be served by grant of the Applications with the following conditions, which are designed to insulate, to the extent possible, the new foreign interests </w:t>
      </w:r>
      <w:r w:rsidRPr="0009081C">
        <w:t>while the remedial PDR</w:t>
      </w:r>
      <w:r>
        <w:t xml:space="preserve"> seeking specific approval</w:t>
      </w:r>
      <w:r w:rsidRPr="0009081C">
        <w:t xml:space="preserve"> </w:t>
      </w:r>
      <w:r>
        <w:t xml:space="preserve">of such interests </w:t>
      </w:r>
      <w:r w:rsidRPr="0009081C">
        <w:t>is pending</w:t>
      </w:r>
      <w:r>
        <w:t>:</w:t>
      </w:r>
      <w:r>
        <w:rPr>
          <w:rStyle w:val="FootnoteReference"/>
        </w:rPr>
        <w:footnoteReference w:id="26"/>
      </w:r>
    </w:p>
    <w:p w:rsidR="00D60AD3" w:rsidRPr="00387BB6" w:rsidP="00D60AD3" w14:paraId="4E4DB8D8" w14:textId="0E292083">
      <w:pPr>
        <w:numPr>
          <w:ilvl w:val="0"/>
          <w:numId w:val="8"/>
        </w:numPr>
        <w:spacing w:after="120"/>
      </w:pPr>
      <w:bookmarkStart w:id="3" w:name="_Hlk67476675"/>
      <w:r>
        <w:t>Cumulus</w:t>
      </w:r>
      <w:r w:rsidRPr="00387BB6">
        <w:t xml:space="preserve"> must </w:t>
      </w:r>
      <w:r w:rsidR="005B3B93">
        <w:t>suspend</w:t>
      </w:r>
      <w:r w:rsidR="0042674E">
        <w:t xml:space="preserve"> </w:t>
      </w:r>
      <w:r w:rsidR="00317FA8">
        <w:t>all</w:t>
      </w:r>
      <w:r w:rsidRPr="00387BB6">
        <w:t xml:space="preserve"> voting rights associated with any stock held in </w:t>
      </w:r>
      <w:r>
        <w:t>Cumulus</w:t>
      </w:r>
      <w:r w:rsidR="00AE5FAA">
        <w:t xml:space="preserve"> that woul</w:t>
      </w:r>
      <w:r w:rsidR="00330F92">
        <w:t>d</w:t>
      </w:r>
      <w:r w:rsidR="002F6BE5">
        <w:t xml:space="preserve"> permit the voting</w:t>
      </w:r>
      <w:r w:rsidRPr="00387BB6">
        <w:t xml:space="preserve">, directly and/or indirectly, </w:t>
      </w:r>
      <w:r w:rsidR="00C26345">
        <w:t xml:space="preserve">of more than 5% of Cumulus’s outstanding voting stock </w:t>
      </w:r>
      <w:r w:rsidRPr="00387BB6">
        <w:t xml:space="preserve">by </w:t>
      </w:r>
      <w:r>
        <w:t>Renew</w:t>
      </w:r>
      <w:r w:rsidR="00CF4E87">
        <w:t xml:space="preserve"> Group Private Limited;</w:t>
      </w:r>
      <w:r w:rsidRPr="00387BB6">
        <w:t xml:space="preserve"> </w:t>
      </w:r>
      <w:r w:rsidR="00CF4E87">
        <w:t>IR Investments, LP</w:t>
      </w:r>
      <w:r w:rsidR="008931E8">
        <w:t>; the IR Charitable Trust; and</w:t>
      </w:r>
      <w:r w:rsidRPr="00387BB6">
        <w:t xml:space="preserve"> </w:t>
      </w:r>
      <w:r w:rsidR="00CF4E87">
        <w:t>Indu Rawat</w:t>
      </w:r>
      <w:r w:rsidRPr="00387BB6">
        <w:t xml:space="preserve">, or any of their affiliates or third parties to whom they may assign or transfer any of their rights or interests (collectively, the </w:t>
      </w:r>
      <w:r w:rsidR="00B02180">
        <w:t>Renew</w:t>
      </w:r>
      <w:r w:rsidRPr="00387BB6">
        <w:t xml:space="preserve"> Investors), until and unless the Commission releases a declaratory ruling granting specific approval for each of the </w:t>
      </w:r>
      <w:r w:rsidR="00B02180">
        <w:t>Renew</w:t>
      </w:r>
      <w:r w:rsidRPr="00387BB6">
        <w:t xml:space="preserve"> Investors to hold, directly and/or indirectly, more than 5% of the equity and/or voting interests in </w:t>
      </w:r>
      <w:r w:rsidR="00B02180">
        <w:t>Cumulus</w:t>
      </w:r>
      <w:r w:rsidR="00941614">
        <w:t xml:space="preserve">.  This restriction shall apply to </w:t>
      </w:r>
      <w:r w:rsidR="00AE2CF0">
        <w:t xml:space="preserve">the aggregate of </w:t>
      </w:r>
      <w:r w:rsidR="00941614">
        <w:t xml:space="preserve">all </w:t>
      </w:r>
      <w:r w:rsidR="00877EC6">
        <w:t>interests</w:t>
      </w:r>
      <w:r w:rsidR="00542381">
        <w:t xml:space="preserve"> in Cumulus</w:t>
      </w:r>
      <w:r w:rsidR="00EF6ABD">
        <w:t xml:space="preserve"> that the Renew Investors hold </w:t>
      </w:r>
      <w:r w:rsidR="00542381">
        <w:t>collectively</w:t>
      </w:r>
      <w:r w:rsidRPr="00387BB6">
        <w:t>.</w:t>
      </w:r>
    </w:p>
    <w:p w:rsidR="00D60AD3" w:rsidRPr="00387BB6" w:rsidP="00D60AD3" w14:paraId="16B90B84" w14:textId="42937A19">
      <w:pPr>
        <w:numPr>
          <w:ilvl w:val="0"/>
          <w:numId w:val="8"/>
        </w:numPr>
        <w:spacing w:after="120"/>
      </w:pPr>
      <w:r w:rsidRPr="00387BB6">
        <w:t xml:space="preserve">No </w:t>
      </w:r>
      <w:r w:rsidR="00B02180">
        <w:t>Renew</w:t>
      </w:r>
      <w:r w:rsidRPr="00387BB6">
        <w:t xml:space="preserve"> Investor shall have the right to do any of the following, and </w:t>
      </w:r>
      <w:r w:rsidR="00B02180">
        <w:t>Cumulus</w:t>
      </w:r>
      <w:r w:rsidRPr="00387BB6">
        <w:t xml:space="preserve"> shall not allow any </w:t>
      </w:r>
      <w:r w:rsidR="00B02180">
        <w:t>Renew</w:t>
      </w:r>
      <w:r w:rsidRPr="00387BB6">
        <w:t xml:space="preserve"> Investor to do any of the following, until and unless the Commission releases a declaratory ruling granting specific approval for each of the </w:t>
      </w:r>
      <w:r w:rsidR="00B02180">
        <w:t>Renew</w:t>
      </w:r>
      <w:r w:rsidRPr="00387BB6">
        <w:t xml:space="preserve"> Investors to hold, directly and/or indirectly, more than 5% of the equity and/or voting interests in </w:t>
      </w:r>
      <w:r w:rsidR="00B02180">
        <w:t>Cumulus</w:t>
      </w:r>
      <w:r w:rsidRPr="00387BB6">
        <w:t>:</w:t>
      </w:r>
    </w:p>
    <w:p w:rsidR="00D60AD3" w:rsidRPr="00387BB6" w:rsidP="00D60AD3" w14:paraId="53FB80A6" w14:textId="0A4B581A">
      <w:pPr>
        <w:numPr>
          <w:ilvl w:val="1"/>
          <w:numId w:val="8"/>
        </w:numPr>
        <w:spacing w:after="120"/>
      </w:pPr>
      <w:r w:rsidRPr="00387BB6">
        <w:t xml:space="preserve">Designate, appoint, nominate, or serve as a member of the board of directors of </w:t>
      </w:r>
      <w:r w:rsidR="00B02180">
        <w:t>Cumulus</w:t>
      </w:r>
      <w:r w:rsidRPr="00387BB6">
        <w:t>;</w:t>
      </w:r>
    </w:p>
    <w:p w:rsidR="00D60AD3" w:rsidRPr="00387BB6" w:rsidP="00D60AD3" w14:paraId="728334E5" w14:textId="35DC4B8A">
      <w:pPr>
        <w:numPr>
          <w:ilvl w:val="1"/>
          <w:numId w:val="8"/>
        </w:numPr>
        <w:spacing w:after="120"/>
      </w:pPr>
      <w:r w:rsidRPr="00387BB6">
        <w:t xml:space="preserve">Attend any meeting of the board of directors of </w:t>
      </w:r>
      <w:r w:rsidR="00B02180">
        <w:t>Cumulus</w:t>
      </w:r>
      <w:r w:rsidRPr="00387BB6">
        <w:t>;</w:t>
      </w:r>
    </w:p>
    <w:p w:rsidR="00D60AD3" w:rsidRPr="00387BB6" w:rsidP="00D60AD3" w14:paraId="2E91382B" w14:textId="596C09F0">
      <w:pPr>
        <w:numPr>
          <w:ilvl w:val="1"/>
          <w:numId w:val="8"/>
        </w:numPr>
        <w:spacing w:after="120"/>
      </w:pPr>
      <w:r w:rsidRPr="00387BB6">
        <w:t xml:space="preserve">Receive any non-public materials from </w:t>
      </w:r>
      <w:r w:rsidR="00B02180">
        <w:t>Cumulus</w:t>
      </w:r>
      <w:r w:rsidRPr="00387BB6">
        <w:t xml:space="preserve">, including any non-public materials distributed to the board of directors of </w:t>
      </w:r>
      <w:r w:rsidR="00B02180">
        <w:t>Cumulus</w:t>
      </w:r>
      <w:r w:rsidRPr="00387BB6">
        <w:t>;</w:t>
      </w:r>
    </w:p>
    <w:p w:rsidR="00D60AD3" w:rsidRPr="00387BB6" w:rsidP="00D60AD3" w14:paraId="14249095" w14:textId="4ED9B9DF">
      <w:pPr>
        <w:numPr>
          <w:ilvl w:val="1"/>
          <w:numId w:val="8"/>
        </w:numPr>
        <w:spacing w:after="120"/>
      </w:pPr>
      <w:r w:rsidRPr="00387BB6">
        <w:t xml:space="preserve">Have any role in or communicate with </w:t>
      </w:r>
      <w:r w:rsidR="00B02180">
        <w:t>Cumulus</w:t>
      </w:r>
      <w:r w:rsidRPr="00387BB6">
        <w:t xml:space="preserve"> concerning the day-to-day management or operations of </w:t>
      </w:r>
      <w:r w:rsidR="00B02180">
        <w:t>Cumulus’s</w:t>
      </w:r>
      <w:r w:rsidRPr="00387BB6">
        <w:t xml:space="preserve"> radio stations; or</w:t>
      </w:r>
    </w:p>
    <w:p w:rsidR="00D60AD3" w:rsidRPr="00387BB6" w:rsidP="00D60AD3" w14:paraId="59CB5821" w14:textId="77777777">
      <w:pPr>
        <w:numPr>
          <w:ilvl w:val="1"/>
          <w:numId w:val="8"/>
        </w:numPr>
        <w:spacing w:after="120"/>
      </w:pPr>
      <w:r w:rsidRPr="00387BB6">
        <w:t>Have any role in or veto right with respect to a decision to buy or sell a radio station.</w:t>
      </w:r>
    </w:p>
    <w:p w:rsidR="00D60AD3" w:rsidRPr="00387BB6" w:rsidP="00D60AD3" w14:paraId="6900C613" w14:textId="3FA8FDBA">
      <w:pPr>
        <w:widowControl/>
        <w:numPr>
          <w:ilvl w:val="0"/>
          <w:numId w:val="8"/>
        </w:numPr>
        <w:spacing w:after="120"/>
      </w:pPr>
      <w:r w:rsidRPr="00387BB6">
        <w:t xml:space="preserve">No employee, agent, or affiliate of the </w:t>
      </w:r>
      <w:r w:rsidR="00B02180">
        <w:t>Renew</w:t>
      </w:r>
      <w:r w:rsidRPr="00387BB6">
        <w:t xml:space="preserve"> Investors shall be an officer, director, employee, or consultant of </w:t>
      </w:r>
      <w:r w:rsidR="00B02180">
        <w:t>Cumulus</w:t>
      </w:r>
      <w:r w:rsidRPr="00387BB6">
        <w:t xml:space="preserve"> (including subsidiaries and affiliates of </w:t>
      </w:r>
      <w:r w:rsidR="00B02180">
        <w:t>Cumulus</w:t>
      </w:r>
      <w:r w:rsidRPr="00387BB6">
        <w:t xml:space="preserve">) until and unless the Commission releases a declaratory ruling granting specific approval for each of the </w:t>
      </w:r>
      <w:r w:rsidR="00B02180">
        <w:t>Renew</w:t>
      </w:r>
      <w:r w:rsidRPr="00387BB6">
        <w:t xml:space="preserve"> Investors to hold, directly and/or indirectly, more than 5% of the equity and/or voting interests in </w:t>
      </w:r>
      <w:r w:rsidR="00B02180">
        <w:t>Cumulus</w:t>
      </w:r>
      <w:r w:rsidRPr="00387BB6">
        <w:t xml:space="preserve">.  </w:t>
      </w:r>
      <w:r w:rsidR="00B02180">
        <w:t>Cumulus</w:t>
      </w:r>
      <w:r w:rsidRPr="00387BB6">
        <w:t xml:space="preserve"> shall not permit any employee, agent, or affiliate of the </w:t>
      </w:r>
      <w:r w:rsidR="00B02180">
        <w:t>Renew</w:t>
      </w:r>
      <w:r w:rsidRPr="00387BB6">
        <w:t xml:space="preserve"> Investors to </w:t>
      </w:r>
      <w:r w:rsidRPr="00387BB6">
        <w:t xml:space="preserve">be an officer, director, employee, or consultant of </w:t>
      </w:r>
      <w:r w:rsidR="00B02180">
        <w:t>Cumulus</w:t>
      </w:r>
      <w:r w:rsidRPr="00387BB6">
        <w:t xml:space="preserve"> (including subsidiaries and affiliates of </w:t>
      </w:r>
      <w:r w:rsidR="00B02180">
        <w:t>Cumulus</w:t>
      </w:r>
      <w:r w:rsidRPr="00387BB6">
        <w:t xml:space="preserve">) until and unless the Commission releases a declaratory ruling granting specific approval for each of the </w:t>
      </w:r>
      <w:r w:rsidR="00B02180">
        <w:t>Renew</w:t>
      </w:r>
      <w:r w:rsidRPr="00387BB6">
        <w:t xml:space="preserve"> Investors to hold, directly and/or indirectly, more than 5% of the equity and/or voting interests in </w:t>
      </w:r>
      <w:r w:rsidR="00B02180">
        <w:t>Cumulus</w:t>
      </w:r>
      <w:r w:rsidRPr="00387BB6">
        <w:t>.</w:t>
      </w:r>
    </w:p>
    <w:p w:rsidR="00D60AD3" w:rsidRPr="00387BB6" w:rsidP="00D60AD3" w14:paraId="5DBBA9CE" w14:textId="6315E9D0">
      <w:pPr>
        <w:widowControl/>
        <w:numPr>
          <w:ilvl w:val="0"/>
          <w:numId w:val="8"/>
        </w:numPr>
        <w:spacing w:after="120"/>
      </w:pPr>
      <w:r>
        <w:t>Cumulus</w:t>
      </w:r>
      <w:r w:rsidRPr="00387BB6">
        <w:t xml:space="preserve"> must ensure that any and all dividends and/or distributions payable to the </w:t>
      </w:r>
      <w:r>
        <w:t>Renew</w:t>
      </w:r>
      <w:r w:rsidRPr="00387BB6">
        <w:t xml:space="preserve"> Investors are placed in escrow and that no such dividend or distribution is made to the </w:t>
      </w:r>
      <w:r>
        <w:t>Renew</w:t>
      </w:r>
      <w:r w:rsidRPr="00387BB6">
        <w:t xml:space="preserve"> Investors until and unless the Commission releases a declaratory ruling granting specific approval for each of the </w:t>
      </w:r>
      <w:r>
        <w:t>Renew</w:t>
      </w:r>
      <w:r w:rsidRPr="00387BB6">
        <w:t xml:space="preserve"> Investors to hold, directly and/or indirectly, more than 5% of the equity and/or voting interests in </w:t>
      </w:r>
      <w:r>
        <w:t>Cumulus</w:t>
      </w:r>
      <w:r w:rsidRPr="00387BB6">
        <w:t>.</w:t>
      </w:r>
    </w:p>
    <w:p w:rsidR="00D60AD3" w:rsidRPr="00387BB6" w:rsidP="00D60AD3" w14:paraId="036E3B0D" w14:textId="5D3ABB30">
      <w:pPr>
        <w:numPr>
          <w:ilvl w:val="0"/>
          <w:numId w:val="8"/>
        </w:numPr>
        <w:spacing w:after="120"/>
      </w:pPr>
      <w:r w:rsidRPr="00387BB6">
        <w:t xml:space="preserve">Within seven days of the date of grant of the assignment application, </w:t>
      </w:r>
      <w:r w:rsidR="006059D4">
        <w:t>Cumulus</w:t>
      </w:r>
      <w:r w:rsidRPr="00387BB6">
        <w:t xml:space="preserve"> shall submit a declaration to the Chief, Audio Division, Media Bureau, confirming that </w:t>
      </w:r>
      <w:r w:rsidR="006059D4">
        <w:t>Cumulus</w:t>
      </w:r>
      <w:r w:rsidRPr="00387BB6">
        <w:t xml:space="preserve"> is in compliance with each of the preceding conditions and that </w:t>
      </w:r>
      <w:r w:rsidR="006059D4">
        <w:t>Cumulus</w:t>
      </w:r>
      <w:r w:rsidRPr="00387BB6">
        <w:t xml:space="preserve"> will exercise its rights under its organizational documents to remain in compliance with each of the preceding conditions until and unless the Commission releases a declaratory ruling granting specific approval for each of the </w:t>
      </w:r>
      <w:r w:rsidR="006059D4">
        <w:t>Renew</w:t>
      </w:r>
      <w:r w:rsidRPr="00387BB6">
        <w:t xml:space="preserve"> Investors to hold, directly and/or indirectly, more than 5% of the equity and/or voting interests in </w:t>
      </w:r>
      <w:r w:rsidR="006059D4">
        <w:t>Cumulus</w:t>
      </w:r>
      <w:r w:rsidRPr="00387BB6">
        <w:t>.</w:t>
      </w:r>
    </w:p>
    <w:p w:rsidR="00D60AD3" w:rsidP="00D60AD3" w14:paraId="36DC14D3" w14:textId="11281694">
      <w:pPr>
        <w:numPr>
          <w:ilvl w:val="0"/>
          <w:numId w:val="8"/>
        </w:numPr>
        <w:spacing w:after="120"/>
      </w:pPr>
      <w:r w:rsidRPr="00387BB6">
        <w:t xml:space="preserve">Pursuant to Section 1.5004(f)(3)(iii) of the Commission’s rules, if the </w:t>
      </w:r>
      <w:r w:rsidR="00EB7902">
        <w:t>2024 PDR</w:t>
      </w:r>
      <w:r>
        <w:rPr>
          <w:rStyle w:val="FootnoteReference"/>
        </w:rPr>
        <w:footnoteReference w:id="27"/>
      </w:r>
      <w:r w:rsidRPr="00387BB6">
        <w:t xml:space="preserve"> is</w:t>
      </w:r>
      <w:r>
        <w:t xml:space="preserve"> not granted in full</w:t>
      </w:r>
      <w:r w:rsidRPr="00387BB6">
        <w:t xml:space="preserve">, </w:t>
      </w:r>
      <w:r w:rsidR="00EB7902">
        <w:t>Cumulus</w:t>
      </w:r>
      <w:r w:rsidRPr="00387BB6">
        <w:t xml:space="preserve"> must come into compliance no later than 30 days following the Commission’s decision, unless the Commission determines under such rule that immediate remedial action is required.</w:t>
      </w:r>
      <w:r>
        <w:rPr>
          <w:rStyle w:val="FootnoteReference"/>
        </w:rPr>
        <w:footnoteReference w:id="28"/>
      </w:r>
      <w:r w:rsidRPr="00387BB6">
        <w:t xml:space="preserve">  </w:t>
      </w:r>
    </w:p>
    <w:bookmarkEnd w:id="3"/>
    <w:p w:rsidR="00D60AD3" w:rsidP="00D60AD3" w14:paraId="3417B7D9" w14:textId="13DF9657">
      <w:pPr>
        <w:pStyle w:val="ParaNum"/>
      </w:pPr>
      <w:r>
        <w:t xml:space="preserve">We emphasize that the conditions set forth above, which relate only to the specific facts of this case, do not convert the non-compliant foreign interests held by </w:t>
      </w:r>
      <w:r w:rsidR="000B5744">
        <w:t>Renew</w:t>
      </w:r>
      <w:r>
        <w:t>, its beneficial owners, and equity interest holders, into something other than “</w:t>
      </w:r>
      <w:r>
        <w:rPr>
          <w:shd w:val="clear" w:color="auto" w:fill="FFFFFF"/>
        </w:rPr>
        <w:t>capital stock [] owned of record”</w:t>
      </w:r>
      <w:r>
        <w:t xml:space="preserve"> and that the </w:t>
      </w:r>
      <w:r w:rsidR="000B5744">
        <w:t>Renew</w:t>
      </w:r>
      <w:r>
        <w:t xml:space="preserve"> interests remain subject to section 310(b)(4) of the Act.</w:t>
      </w:r>
      <w:r>
        <w:rPr>
          <w:rStyle w:val="FootnoteReference"/>
        </w:rPr>
        <w:footnoteReference w:id="29"/>
      </w:r>
      <w:r>
        <w:t xml:space="preserve">  While the conditions are designed to limit the ability of the non-compliant foreign investors to control or influence </w:t>
      </w:r>
      <w:r w:rsidR="000B5744">
        <w:t>Cumulus</w:t>
      </w:r>
      <w:r>
        <w:t>, we note that the foreign ownership restrictions in section 310(b)(4) extend beyond interests that confer control or influence.</w:t>
      </w:r>
      <w:r>
        <w:rPr>
          <w:rStyle w:val="FootnoteReference"/>
        </w:rPr>
        <w:footnoteReference w:id="30"/>
      </w:r>
      <w:r>
        <w:t xml:space="preserve">  </w:t>
      </w:r>
    </w:p>
    <w:p w:rsidR="00D60AD3" w:rsidRPr="001025A7" w:rsidP="00D60AD3" w14:paraId="0CF4C778" w14:textId="5F774E4F">
      <w:pPr>
        <w:pStyle w:val="ParaNum"/>
      </w:pPr>
      <w:r>
        <w:t xml:space="preserve">Our decision to grant the Applications with conditions is based on our findings under sections 310(b)(4) and 310(d) of the Act that the public interest will be served by grant of the Applications (subject to the conditions enumerated herein), despite the non-compliant foreign investment, based on the specific facts of this case.  We note that </w:t>
      </w:r>
      <w:r w:rsidR="000B5744">
        <w:t>Cumulus</w:t>
      </w:r>
      <w:r>
        <w:t xml:space="preserve"> is the publicly traded controlling U.S. parent of broadcast licensees and that the company’s existing declaratory ruling authorizes up to and including 100% aggregate direct and/or indirect foreign investment (equity and voting interests) in </w:t>
      </w:r>
      <w:r w:rsidR="00B22B64">
        <w:t>Cumulus</w:t>
      </w:r>
      <w:r>
        <w:t>.</w:t>
      </w:r>
      <w:r>
        <w:rPr>
          <w:rStyle w:val="FootnoteReference"/>
        </w:rPr>
        <w:footnoteReference w:id="31"/>
      </w:r>
      <w:r>
        <w:t xml:space="preserve">  We also note that </w:t>
      </w:r>
      <w:r w:rsidR="00B22B64">
        <w:t>Renew</w:t>
      </w:r>
      <w:r>
        <w:t xml:space="preserve"> is a </w:t>
      </w:r>
      <w:r w:rsidR="00B22B64">
        <w:t>Singaporean</w:t>
      </w:r>
      <w:r>
        <w:t xml:space="preserve"> entity owned</w:t>
      </w:r>
      <w:r w:rsidR="00A47A3C">
        <w:t xml:space="preserve"> by Bahamian entities</w:t>
      </w:r>
      <w:r w:rsidR="00BD3950">
        <w:t xml:space="preserve">, a </w:t>
      </w:r>
      <w:r w:rsidR="00901753">
        <w:t xml:space="preserve">United States </w:t>
      </w:r>
      <w:r w:rsidR="00BD3950">
        <w:t xml:space="preserve">citizen, and a </w:t>
      </w:r>
      <w:r w:rsidR="00901753">
        <w:t xml:space="preserve">Canadian </w:t>
      </w:r>
      <w:r w:rsidR="003965BC">
        <w:t xml:space="preserve">citizen </w:t>
      </w:r>
      <w:r w:rsidR="005B5989">
        <w:t>who</w:t>
      </w:r>
      <w:r w:rsidR="00D3055C">
        <w:t>se direct and indirect interests in Renew</w:t>
      </w:r>
      <w:r w:rsidR="005B5989">
        <w:t xml:space="preserve"> </w:t>
      </w:r>
      <w:r w:rsidR="00713187">
        <w:t>amount to</w:t>
      </w:r>
      <w:r w:rsidR="005B5989">
        <w:t xml:space="preserve"> </w:t>
      </w:r>
      <w:r w:rsidR="00A3535C">
        <w:t xml:space="preserve">more than 99% of </w:t>
      </w:r>
      <w:r w:rsidR="00713187">
        <w:t>Renew’s</w:t>
      </w:r>
      <w:r w:rsidR="00A3535C">
        <w:t xml:space="preserve"> </w:t>
      </w:r>
      <w:r w:rsidR="001D009F">
        <w:t>equity and voting interest</w:t>
      </w:r>
      <w:r w:rsidR="000F225E">
        <w:t>s</w:t>
      </w:r>
      <w:r w:rsidR="00713187">
        <w:t xml:space="preserve">.  </w:t>
      </w:r>
      <w:r w:rsidR="00DC359D">
        <w:t>A</w:t>
      </w:r>
      <w:r>
        <w:t xml:space="preserve">ccording to </w:t>
      </w:r>
      <w:r w:rsidR="00DF7AD8">
        <w:t>Cumulus</w:t>
      </w:r>
      <w:r>
        <w:t xml:space="preserve">, </w:t>
      </w:r>
      <w:r w:rsidR="00DF7AD8">
        <w:t>Renew’s</w:t>
      </w:r>
      <w:r>
        <w:t xml:space="preserve"> acquisition of </w:t>
      </w:r>
      <w:r w:rsidR="00DF7AD8">
        <w:t>Cumulus’s</w:t>
      </w:r>
      <w:r>
        <w:t xml:space="preserve"> class A common stock on the NASDAQ Stock Exchange was an independent investment decision by </w:t>
      </w:r>
      <w:r w:rsidR="00DF7AD8">
        <w:t>Renew</w:t>
      </w:r>
      <w:r>
        <w:t xml:space="preserve"> and </w:t>
      </w:r>
      <w:r>
        <w:t xml:space="preserve">was wholly outside of </w:t>
      </w:r>
      <w:r w:rsidR="00DF7AD8">
        <w:t>Cumulus’s</w:t>
      </w:r>
      <w:r>
        <w:t xml:space="preserve"> control and not reasonably foreseeable or known to </w:t>
      </w:r>
      <w:r w:rsidR="00DF7AD8">
        <w:t>Cumulus</w:t>
      </w:r>
      <w:r>
        <w:t xml:space="preserve"> before or at the time the investment occurred.</w:t>
      </w:r>
      <w:r>
        <w:rPr>
          <w:rStyle w:val="FootnoteReference"/>
        </w:rPr>
        <w:footnoteReference w:id="32"/>
      </w:r>
      <w:r>
        <w:t xml:space="preserve">  In addition, we note that the Applications </w:t>
      </w:r>
      <w:r w:rsidR="00753D36">
        <w:t>are</w:t>
      </w:r>
      <w:r w:rsidR="00ED4A0E">
        <w:t xml:space="preserve"> for pro forma </w:t>
      </w:r>
      <w:r w:rsidR="00FA49AA">
        <w:t>assignments</w:t>
      </w:r>
      <w:r w:rsidR="00ED4A0E">
        <w:t xml:space="preserve"> </w:t>
      </w:r>
      <w:r w:rsidR="00690B19">
        <w:t>to effect a planned corporate</w:t>
      </w:r>
      <w:r w:rsidR="00753D36">
        <w:t xml:space="preserve"> </w:t>
      </w:r>
      <w:r w:rsidR="00BC2974">
        <w:t xml:space="preserve">reorganization </w:t>
      </w:r>
      <w:r w:rsidR="00E86C26">
        <w:t xml:space="preserve">and </w:t>
      </w:r>
      <w:r w:rsidR="00BC2974">
        <w:t xml:space="preserve">restructuring </w:t>
      </w:r>
      <w:r w:rsidR="00753D36">
        <w:t>of</w:t>
      </w:r>
      <w:r w:rsidR="00E86C26">
        <w:t xml:space="preserve"> Cumulus’s debt</w:t>
      </w:r>
      <w:r w:rsidR="007A27B0">
        <w:t>, and as such they do</w:t>
      </w:r>
      <w:r w:rsidR="00CE3044">
        <w:t xml:space="preserve"> not involve</w:t>
      </w:r>
      <w:r w:rsidR="00D8266A">
        <w:t xml:space="preserve"> a </w:t>
      </w:r>
      <w:r w:rsidR="00FE2920">
        <w:t xml:space="preserve">substantial change in </w:t>
      </w:r>
      <w:r w:rsidR="00D8266A">
        <w:t>ownership or control</w:t>
      </w:r>
      <w:r>
        <w:t>.</w:t>
      </w:r>
      <w:r>
        <w:rPr>
          <w:rStyle w:val="FootnoteReference"/>
        </w:rPr>
        <w:footnoteReference w:id="33"/>
      </w:r>
      <w:r>
        <w:t xml:space="preserve">  And, as discussed above, pending action on the </w:t>
      </w:r>
      <w:r w:rsidR="00024846">
        <w:t>2024</w:t>
      </w:r>
      <w:r>
        <w:t xml:space="preserve"> PDR, we require that </w:t>
      </w:r>
      <w:r w:rsidR="00024846">
        <w:t>Cumulus</w:t>
      </w:r>
      <w:r>
        <w:t xml:space="preserve"> comply with the conditions specified herein, which are designed to limit the ability of </w:t>
      </w:r>
      <w:r w:rsidR="00024846">
        <w:t>Renew</w:t>
      </w:r>
      <w:r>
        <w:t xml:space="preserve">, including its beneficial owners and equity interest holders, to control or influence </w:t>
      </w:r>
      <w:r w:rsidR="009A37F4">
        <w:t>Cumulus</w:t>
      </w:r>
      <w:r>
        <w:t xml:space="preserve">.  </w:t>
      </w:r>
    </w:p>
    <w:p w:rsidR="00D60AD3" w:rsidP="00D60AD3" w14:paraId="2594EC96" w14:textId="77777777">
      <w:pPr>
        <w:pStyle w:val="Heading1"/>
      </w:pPr>
      <w:r>
        <w:t>ordering clauses</w:t>
      </w:r>
      <w:r w:rsidRPr="0074566D">
        <w:t xml:space="preserve">  </w:t>
      </w:r>
    </w:p>
    <w:p w:rsidR="00D60AD3" w:rsidRPr="00CC1239" w:rsidP="00D60AD3" w14:paraId="3857BAB0" w14:textId="5C639CB1">
      <w:pPr>
        <w:pStyle w:val="ParaNum"/>
        <w:rPr>
          <w:bCs/>
        </w:rPr>
      </w:pPr>
      <w:r w:rsidRPr="0074566D">
        <w:t xml:space="preserve">Accordingly, IT IS ORDERED </w:t>
      </w:r>
      <w:bookmarkStart w:id="4" w:name="_Ref67487112"/>
      <w:r>
        <w:t>that, pursuant to sections 4(</w:t>
      </w:r>
      <w:r>
        <w:t>i</w:t>
      </w:r>
      <w:r>
        <w:t>), 4(j), 309, 310(b)(4) and 310(d) of the Act, 47 U.S.C. §§ </w:t>
      </w:r>
      <w:r w:rsidRPr="00590AFD">
        <w:t>154(</w:t>
      </w:r>
      <w:r w:rsidRPr="00590AFD">
        <w:t>i</w:t>
      </w:r>
      <w:r w:rsidRPr="00590AFD">
        <w:t xml:space="preserve">), </w:t>
      </w:r>
      <w:r>
        <w:t>154</w:t>
      </w:r>
      <w:r w:rsidRPr="00590AFD">
        <w:t>(</w:t>
      </w:r>
      <w:r>
        <w:t>j</w:t>
      </w:r>
      <w:r w:rsidRPr="00590AFD">
        <w:t>)</w:t>
      </w:r>
      <w:r>
        <w:t xml:space="preserve">, 309, 310(b)(4), (d), and sections 0.61(a) and 0.283 of the Commission’s rules, 47 CFR §§ 0.61(a) and 0.283, </w:t>
      </w:r>
      <w:r w:rsidRPr="0074566D">
        <w:t>the application</w:t>
      </w:r>
      <w:r>
        <w:t>s</w:t>
      </w:r>
      <w:r w:rsidR="00AB0866">
        <w:t xml:space="preserve"> for pro forma assignment of licenses from Cumulus Licensing LLC</w:t>
      </w:r>
      <w:r w:rsidR="00886440">
        <w:t>, Radio License Holding CBC, LLC, and Radio License Holdings LLC</w:t>
      </w:r>
      <w:r w:rsidR="00C07D69">
        <w:t>,</w:t>
      </w:r>
      <w:r w:rsidR="00AB0866">
        <w:t xml:space="preserve"> to Cumulus Licensing Holding Company II LLC</w:t>
      </w:r>
      <w:r w:rsidR="00C07D69">
        <w:t>, listed in the Appendix</w:t>
      </w:r>
      <w:r w:rsidR="002C1ACF">
        <w:t>, or as otherwise listed previously in the Commission’s public notices</w:t>
      </w:r>
      <w:r>
        <w:t>,</w:t>
      </w:r>
      <w:r w:rsidRPr="0074566D">
        <w:t xml:space="preserve"> </w:t>
      </w:r>
      <w:r>
        <w:t>ARE</w:t>
      </w:r>
      <w:r w:rsidRPr="0074566D">
        <w:t xml:space="preserve"> GRANTED</w:t>
      </w:r>
      <w:r>
        <w:t xml:space="preserve">, SUBJECT TO THE </w:t>
      </w:r>
      <w:r w:rsidR="001E1984">
        <w:t xml:space="preserve">FOLLOWING </w:t>
      </w:r>
      <w:r>
        <w:t>CONDITION</w:t>
      </w:r>
      <w:r w:rsidR="001E1984">
        <w:t>S:</w:t>
      </w:r>
      <w:bookmarkEnd w:id="4"/>
    </w:p>
    <w:p w:rsidR="00D60AD3" w:rsidRPr="00257C9F" w:rsidP="00D60AD3" w14:paraId="1B50F834" w14:textId="4A9CD5EB">
      <w:pPr>
        <w:numPr>
          <w:ilvl w:val="0"/>
          <w:numId w:val="7"/>
        </w:numPr>
        <w:spacing w:after="120"/>
      </w:pPr>
      <w:bookmarkStart w:id="5" w:name="_Hlk67495849"/>
      <w:r>
        <w:t>Cumulus</w:t>
      </w:r>
      <w:r w:rsidRPr="00257C9F">
        <w:t xml:space="preserve"> must suspend all voting rights associated with any stock held in </w:t>
      </w:r>
      <w:r>
        <w:t>Cumulus</w:t>
      </w:r>
      <w:r w:rsidRPr="00317FA8" w:rsidR="00317FA8">
        <w:t xml:space="preserve"> </w:t>
      </w:r>
      <w:r w:rsidR="00317FA8">
        <w:t>that would permit the voting</w:t>
      </w:r>
      <w:r w:rsidRPr="00257C9F">
        <w:t xml:space="preserve">, directly and/or indirectly, </w:t>
      </w:r>
      <w:r w:rsidR="00317FA8">
        <w:t xml:space="preserve">of more than 5% of Cumulus’s outstanding voting stock </w:t>
      </w:r>
      <w:r w:rsidRPr="00257C9F">
        <w:t xml:space="preserve">by </w:t>
      </w:r>
      <w:r>
        <w:t>Renew Group Private Limited;</w:t>
      </w:r>
      <w:r w:rsidRPr="00387BB6">
        <w:t xml:space="preserve"> </w:t>
      </w:r>
      <w:r>
        <w:t>IR Investments, LP; the IR Charitable Trust; and</w:t>
      </w:r>
      <w:r w:rsidRPr="00387BB6">
        <w:t xml:space="preserve"> </w:t>
      </w:r>
      <w:r>
        <w:t>Indu Rawat</w:t>
      </w:r>
      <w:r w:rsidRPr="00257C9F">
        <w:t xml:space="preserve">, or any of their affiliates or third parties to whom they may assign or transfer any of their rights or interests (collectively, the </w:t>
      </w:r>
      <w:r w:rsidR="001B00D0">
        <w:t>Renew</w:t>
      </w:r>
      <w:r w:rsidRPr="00257C9F">
        <w:t xml:space="preserve"> Investors), until and unless the Commission releases a declaratory ruling granting specific approval for the </w:t>
      </w:r>
      <w:r w:rsidR="00BD57F6">
        <w:t>Renew</w:t>
      </w:r>
      <w:r w:rsidRPr="00257C9F">
        <w:t xml:space="preserve"> Investors to hold, directly and/or indirectly, more than 5% of the equity and/or voting interests in </w:t>
      </w:r>
      <w:r w:rsidR="00994B1C">
        <w:t>Cumulus</w:t>
      </w:r>
      <w:r w:rsidR="00B628DF">
        <w:t>.  This restriction shall apply to the aggregate of all interests in Cumulus that the Renew Investors hold collectively</w:t>
      </w:r>
      <w:r w:rsidRPr="00257C9F">
        <w:t>.</w:t>
      </w:r>
    </w:p>
    <w:p w:rsidR="00D60AD3" w:rsidRPr="00257C9F" w:rsidP="00D60AD3" w14:paraId="0C4EA8BA" w14:textId="71F9146C">
      <w:pPr>
        <w:numPr>
          <w:ilvl w:val="0"/>
          <w:numId w:val="7"/>
        </w:numPr>
        <w:spacing w:after="120"/>
      </w:pPr>
      <w:r w:rsidRPr="00257C9F">
        <w:t xml:space="preserve">No </w:t>
      </w:r>
      <w:r w:rsidR="00994B1C">
        <w:t>Renew</w:t>
      </w:r>
      <w:r w:rsidRPr="00257C9F">
        <w:t xml:space="preserve"> Investor shall have the right to do any of the following, and </w:t>
      </w:r>
      <w:r w:rsidR="00994B1C">
        <w:t>Cumulus</w:t>
      </w:r>
      <w:r w:rsidRPr="00257C9F">
        <w:t xml:space="preserve"> shall not allow any </w:t>
      </w:r>
      <w:r w:rsidR="00994B1C">
        <w:t>Renew</w:t>
      </w:r>
      <w:r w:rsidRPr="00257C9F">
        <w:t xml:space="preserve"> Investor to do any of the following, until and unless the Commission releases a declaratory ruling granting specific approval for the </w:t>
      </w:r>
      <w:r w:rsidR="00994B1C">
        <w:t>Renew</w:t>
      </w:r>
      <w:r w:rsidRPr="00257C9F">
        <w:t xml:space="preserve"> Investors to hold, directly and/or indirectly, more than 5% of the equity and/or voting interests in </w:t>
      </w:r>
      <w:r w:rsidR="00994B1C">
        <w:t>Cumulus</w:t>
      </w:r>
      <w:r w:rsidRPr="00257C9F">
        <w:t>:</w:t>
      </w:r>
    </w:p>
    <w:p w:rsidR="00D60AD3" w:rsidRPr="00257C9F" w:rsidP="00D60AD3" w14:paraId="40ABA623" w14:textId="5B7B4E57">
      <w:pPr>
        <w:numPr>
          <w:ilvl w:val="1"/>
          <w:numId w:val="7"/>
        </w:numPr>
        <w:spacing w:after="120"/>
      </w:pPr>
      <w:r w:rsidRPr="00257C9F">
        <w:t xml:space="preserve">Designate, appoint, nominate, or serve as a member of the board of directors of </w:t>
      </w:r>
      <w:r w:rsidR="00994B1C">
        <w:t>Cumulus</w:t>
      </w:r>
      <w:r w:rsidRPr="00257C9F">
        <w:t>;</w:t>
      </w:r>
    </w:p>
    <w:p w:rsidR="00D60AD3" w:rsidRPr="00257C9F" w:rsidP="00D60AD3" w14:paraId="141159E5" w14:textId="481A1089">
      <w:pPr>
        <w:numPr>
          <w:ilvl w:val="1"/>
          <w:numId w:val="7"/>
        </w:numPr>
        <w:spacing w:after="120"/>
      </w:pPr>
      <w:r w:rsidRPr="00257C9F">
        <w:t xml:space="preserve">Attend any meeting of the board of directors of </w:t>
      </w:r>
      <w:r w:rsidR="00994B1C">
        <w:t>Cumulus</w:t>
      </w:r>
      <w:r w:rsidRPr="00257C9F">
        <w:t>;</w:t>
      </w:r>
    </w:p>
    <w:p w:rsidR="00D60AD3" w:rsidRPr="00257C9F" w:rsidP="00D60AD3" w14:paraId="78B25D1C" w14:textId="3EF3B1DF">
      <w:pPr>
        <w:numPr>
          <w:ilvl w:val="1"/>
          <w:numId w:val="7"/>
        </w:numPr>
        <w:spacing w:after="120"/>
      </w:pPr>
      <w:r w:rsidRPr="00257C9F">
        <w:t xml:space="preserve">Receive any non-public materials from </w:t>
      </w:r>
      <w:r w:rsidR="00994B1C">
        <w:t>Cumulus</w:t>
      </w:r>
      <w:r w:rsidRPr="00257C9F">
        <w:t xml:space="preserve">, including any non-public materials distributed to the board of directors of </w:t>
      </w:r>
      <w:r w:rsidR="00994B1C">
        <w:t>Cumulus</w:t>
      </w:r>
      <w:r w:rsidRPr="00257C9F">
        <w:t>;</w:t>
      </w:r>
    </w:p>
    <w:p w:rsidR="00D60AD3" w:rsidRPr="00257C9F" w:rsidP="00D60AD3" w14:paraId="6DAB00D7" w14:textId="2F3DEC46">
      <w:pPr>
        <w:numPr>
          <w:ilvl w:val="1"/>
          <w:numId w:val="7"/>
        </w:numPr>
        <w:spacing w:after="120"/>
      </w:pPr>
      <w:r w:rsidRPr="00257C9F">
        <w:t xml:space="preserve">Have any role in or communicate with </w:t>
      </w:r>
      <w:r w:rsidR="00994B1C">
        <w:t>Cumulus</w:t>
      </w:r>
      <w:r w:rsidRPr="00257C9F">
        <w:t xml:space="preserve"> concerning the day-to-day management or operations of </w:t>
      </w:r>
      <w:r w:rsidR="00994B1C">
        <w:t>Cumulus’s</w:t>
      </w:r>
      <w:r w:rsidRPr="00257C9F">
        <w:t xml:space="preserve"> radio stations; or</w:t>
      </w:r>
    </w:p>
    <w:p w:rsidR="00D60AD3" w:rsidRPr="00257C9F" w:rsidP="00D60AD3" w14:paraId="544C3A1B" w14:textId="77777777">
      <w:pPr>
        <w:numPr>
          <w:ilvl w:val="1"/>
          <w:numId w:val="7"/>
        </w:numPr>
        <w:spacing w:after="120"/>
      </w:pPr>
      <w:r w:rsidRPr="00257C9F">
        <w:t>Have any role in or veto right with respect to a decision to buy or sell a radio station.</w:t>
      </w:r>
    </w:p>
    <w:p w:rsidR="00D60AD3" w:rsidRPr="00257C9F" w:rsidP="00D60AD3" w14:paraId="0B5DFD59" w14:textId="10EBD77E">
      <w:pPr>
        <w:numPr>
          <w:ilvl w:val="0"/>
          <w:numId w:val="7"/>
        </w:numPr>
        <w:spacing w:after="120"/>
      </w:pPr>
      <w:r w:rsidRPr="00257C9F">
        <w:t xml:space="preserve">No employee, agent, or affiliate of the </w:t>
      </w:r>
      <w:r w:rsidR="00994B1C">
        <w:t>Renew</w:t>
      </w:r>
      <w:r w:rsidRPr="00257C9F">
        <w:t xml:space="preserve"> Investors shall be an officer, director, employee, or consultant of </w:t>
      </w:r>
      <w:r w:rsidR="00994B1C">
        <w:t>Cumulus</w:t>
      </w:r>
      <w:r w:rsidRPr="00257C9F">
        <w:t xml:space="preserve"> (including subsidiaries and affiliates of </w:t>
      </w:r>
      <w:r w:rsidR="00994B1C">
        <w:t>Cumulus</w:t>
      </w:r>
      <w:r w:rsidRPr="00257C9F">
        <w:t xml:space="preserve">) until and unless the Commission releases a declaratory ruling granting specific approval for the </w:t>
      </w:r>
      <w:r w:rsidR="00994B1C">
        <w:t>Renew</w:t>
      </w:r>
      <w:r w:rsidRPr="00257C9F">
        <w:t xml:space="preserve"> Investors to hold, directly and/or indirectly, more than 5% of the equity and/or voting interests in </w:t>
      </w:r>
      <w:r w:rsidR="00994B1C">
        <w:t>Cumulus</w:t>
      </w:r>
      <w:r w:rsidRPr="00257C9F">
        <w:t xml:space="preserve">.  </w:t>
      </w:r>
      <w:r w:rsidR="00994B1C">
        <w:t>Cumulus</w:t>
      </w:r>
      <w:r w:rsidRPr="00257C9F">
        <w:t xml:space="preserve"> shall not permit any employee, agent, or affiliate of the </w:t>
      </w:r>
      <w:r w:rsidR="00994B1C">
        <w:t>Renew</w:t>
      </w:r>
      <w:r w:rsidRPr="00257C9F">
        <w:t xml:space="preserve"> Investors to be an </w:t>
      </w:r>
      <w:r w:rsidRPr="00257C9F">
        <w:t xml:space="preserve">officer, director, employee, or consultant of </w:t>
      </w:r>
      <w:r w:rsidR="00994B1C">
        <w:t>Cumulus</w:t>
      </w:r>
      <w:r w:rsidRPr="00257C9F">
        <w:t xml:space="preserve"> (including subsidiaries and affiliates of </w:t>
      </w:r>
      <w:r w:rsidR="00994B1C">
        <w:t>Cumulus</w:t>
      </w:r>
      <w:r w:rsidRPr="00257C9F">
        <w:t xml:space="preserve">) until and unless the Commission releases a declaratory ruling granting specific approval for the </w:t>
      </w:r>
      <w:r w:rsidR="00994B1C">
        <w:t>Cumulus</w:t>
      </w:r>
      <w:r w:rsidRPr="00257C9F">
        <w:t xml:space="preserve"> Investors to hold, directly and/or indirectly, more than 5% of the equity and/or voting interests in </w:t>
      </w:r>
      <w:r w:rsidR="00994B1C">
        <w:t>Cumulus</w:t>
      </w:r>
      <w:r w:rsidRPr="00257C9F">
        <w:t>.</w:t>
      </w:r>
    </w:p>
    <w:p w:rsidR="00D60AD3" w:rsidRPr="00257C9F" w:rsidP="00D60AD3" w14:paraId="2FCCE326" w14:textId="58C9CF5A">
      <w:pPr>
        <w:numPr>
          <w:ilvl w:val="0"/>
          <w:numId w:val="7"/>
        </w:numPr>
        <w:spacing w:after="120"/>
      </w:pPr>
      <w:r>
        <w:t>Cumulus</w:t>
      </w:r>
      <w:r w:rsidRPr="00257C9F">
        <w:t xml:space="preserve"> must ensure that any and all dividends and/or distributions payable to the </w:t>
      </w:r>
      <w:r>
        <w:t>Renew</w:t>
      </w:r>
      <w:r w:rsidRPr="00257C9F">
        <w:t xml:space="preserve"> Investors are placed in escrow and that no such dividend or distribution is made to the </w:t>
      </w:r>
      <w:r>
        <w:t>Renew</w:t>
      </w:r>
      <w:r w:rsidRPr="00257C9F">
        <w:t xml:space="preserve"> Investors until and unless the Commission releases a declaratory ruling granting specific approval for the </w:t>
      </w:r>
      <w:r>
        <w:t>Renew</w:t>
      </w:r>
      <w:r w:rsidRPr="00257C9F">
        <w:t xml:space="preserve"> Investors to hold, directly and/or indirectly, more than 5% of the equity and/or voting interests in </w:t>
      </w:r>
      <w:r>
        <w:t>Cumulus</w:t>
      </w:r>
      <w:r w:rsidRPr="00257C9F">
        <w:t>.</w:t>
      </w:r>
    </w:p>
    <w:p w:rsidR="00D60AD3" w:rsidRPr="00257C9F" w:rsidP="00D60AD3" w14:paraId="6232FBE6" w14:textId="7CBA6CA4">
      <w:pPr>
        <w:numPr>
          <w:ilvl w:val="0"/>
          <w:numId w:val="7"/>
        </w:numPr>
        <w:spacing w:after="120"/>
      </w:pPr>
      <w:r w:rsidRPr="00257C9F">
        <w:t xml:space="preserve">Within seven days of the date of grant of the assignment application, </w:t>
      </w:r>
      <w:r w:rsidR="00994B1C">
        <w:t>Cumulus</w:t>
      </w:r>
      <w:r w:rsidRPr="00257C9F">
        <w:t xml:space="preserve"> shall submit a declaration to the Chief, Audio Division, Media Bureau, confirming that </w:t>
      </w:r>
      <w:r w:rsidR="00994B1C">
        <w:t>Cumulus</w:t>
      </w:r>
      <w:r w:rsidRPr="00257C9F">
        <w:t xml:space="preserve"> is in compliance with each of the preceding conditions and that </w:t>
      </w:r>
      <w:r w:rsidR="00994B1C">
        <w:t>Cumulus</w:t>
      </w:r>
      <w:r w:rsidRPr="00257C9F">
        <w:t xml:space="preserve"> will exercise its rights under its organizational documents to remain in compliance with each of the preceding conditions until and unless the Commission releases a declaratory ruling granting specific approval for the </w:t>
      </w:r>
      <w:r w:rsidR="00994B1C">
        <w:t>Renew</w:t>
      </w:r>
      <w:r w:rsidRPr="00257C9F">
        <w:t xml:space="preserve"> Investors to hold, directly and/or indirectly, more than 5% of the equity and/or voting interests in </w:t>
      </w:r>
      <w:r w:rsidR="00994B1C">
        <w:t>Cumulus</w:t>
      </w:r>
      <w:r w:rsidRPr="00257C9F">
        <w:t>.</w:t>
      </w:r>
    </w:p>
    <w:p w:rsidR="00D60AD3" w:rsidP="00D60AD3" w14:paraId="58F69140" w14:textId="38D74B24">
      <w:pPr>
        <w:numPr>
          <w:ilvl w:val="0"/>
          <w:numId w:val="7"/>
        </w:numPr>
        <w:spacing w:after="120"/>
      </w:pPr>
      <w:r w:rsidRPr="00257C9F">
        <w:t xml:space="preserve">Pursuant to </w:t>
      </w:r>
      <w:r>
        <w:t>s</w:t>
      </w:r>
      <w:r w:rsidRPr="00257C9F">
        <w:t xml:space="preserve">ection 1.5004(f)(3)(iii) of the Commission’s rules, if the petition is denied, </w:t>
      </w:r>
      <w:r w:rsidR="00994B1C">
        <w:t>Cumulus</w:t>
      </w:r>
      <w:r w:rsidRPr="00257C9F">
        <w:t xml:space="preserve"> must come into compliance no later than 30 days following the Commission’s decision, unless the Commission determines under such rule that immediate remedial action is required.</w:t>
      </w:r>
      <w:bookmarkEnd w:id="5"/>
    </w:p>
    <w:p w:rsidR="00D60AD3" w:rsidP="00D60AD3" w14:paraId="062F3745" w14:textId="77777777">
      <w:pPr>
        <w:pStyle w:val="ParaNum"/>
        <w:numPr>
          <w:ilvl w:val="0"/>
          <w:numId w:val="0"/>
        </w:numPr>
        <w:ind w:firstLine="720"/>
      </w:pPr>
    </w:p>
    <w:p w:rsidR="00D60AD3" w:rsidP="00D60AD3" w14:paraId="5C67FE93" w14:textId="77777777">
      <w:pPr>
        <w:pStyle w:val="ParaNum"/>
        <w:numPr>
          <w:ilvl w:val="0"/>
          <w:numId w:val="0"/>
        </w:numPr>
        <w:ind w:left="3600" w:firstLine="720"/>
      </w:pPr>
      <w:r>
        <w:t>FEDERAL COMMUNICATIONS COMMISSION</w:t>
      </w:r>
    </w:p>
    <w:p w:rsidR="00D60AD3" w:rsidP="00D60AD3" w14:paraId="1C9E2333" w14:textId="77777777">
      <w:pPr>
        <w:pStyle w:val="ParaNum"/>
        <w:numPr>
          <w:ilvl w:val="0"/>
          <w:numId w:val="0"/>
        </w:numPr>
        <w:ind w:firstLine="720"/>
      </w:pPr>
    </w:p>
    <w:p w:rsidR="00D60AD3" w:rsidP="00D60AD3" w14:paraId="79B90E2D" w14:textId="77777777">
      <w:pPr>
        <w:pStyle w:val="ParaNum"/>
        <w:numPr>
          <w:ilvl w:val="0"/>
          <w:numId w:val="0"/>
        </w:numPr>
        <w:ind w:firstLine="720"/>
      </w:pPr>
    </w:p>
    <w:p w:rsidR="00D60AD3" w:rsidP="00D60AD3" w14:paraId="4B61CC75" w14:textId="77777777">
      <w:pPr>
        <w:pStyle w:val="ParaNum"/>
        <w:widowControl/>
        <w:numPr>
          <w:ilvl w:val="0"/>
          <w:numId w:val="0"/>
        </w:numPr>
        <w:tabs>
          <w:tab w:val="left" w:pos="0"/>
        </w:tabs>
        <w:spacing w:after="0"/>
      </w:pPr>
      <w:r>
        <w:tab/>
      </w:r>
      <w:r>
        <w:tab/>
      </w:r>
      <w:r>
        <w:tab/>
      </w:r>
      <w:r>
        <w:tab/>
      </w:r>
      <w:r>
        <w:tab/>
      </w:r>
      <w:r>
        <w:tab/>
        <w:t>Albert Shuldiner</w:t>
      </w:r>
    </w:p>
    <w:p w:rsidR="00D60AD3" w:rsidP="00D60AD3" w14:paraId="01ED84F1" w14:textId="77777777">
      <w:pPr>
        <w:pStyle w:val="ParaNum"/>
        <w:widowControl/>
        <w:numPr>
          <w:ilvl w:val="0"/>
          <w:numId w:val="0"/>
        </w:numPr>
        <w:tabs>
          <w:tab w:val="left" w:pos="0"/>
        </w:tabs>
        <w:spacing w:after="0"/>
      </w:pPr>
      <w:r>
        <w:tab/>
      </w:r>
      <w:r>
        <w:tab/>
      </w:r>
      <w:r>
        <w:tab/>
      </w:r>
      <w:r>
        <w:tab/>
      </w:r>
      <w:r>
        <w:tab/>
      </w:r>
      <w:r>
        <w:tab/>
        <w:t xml:space="preserve">Chief, Audio Division </w:t>
      </w:r>
    </w:p>
    <w:p w:rsidR="00D60AD3" w:rsidRPr="00257C9F" w:rsidP="00D60AD3" w14:paraId="1011BC43" w14:textId="77777777">
      <w:pPr>
        <w:pStyle w:val="ParaNum"/>
        <w:widowControl/>
        <w:numPr>
          <w:ilvl w:val="0"/>
          <w:numId w:val="0"/>
        </w:numPr>
        <w:tabs>
          <w:tab w:val="left" w:pos="0"/>
        </w:tabs>
        <w:spacing w:after="0"/>
      </w:pPr>
      <w:r>
        <w:tab/>
      </w:r>
      <w:r>
        <w:tab/>
      </w:r>
      <w:r>
        <w:tab/>
      </w:r>
      <w:r>
        <w:tab/>
      </w:r>
      <w:r>
        <w:tab/>
      </w:r>
      <w:r>
        <w:tab/>
        <w:t>Media Bureau</w:t>
      </w:r>
    </w:p>
    <w:p w:rsidR="001E0908" w:rsidP="00D60AD3" w14:paraId="294FE459" w14:textId="77777777">
      <w:pPr>
        <w:sectPr w:rsidSect="006D70F2">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412FC5" w:rsidP="00362D6F" w14:paraId="6A32AAB8" w14:textId="08512A97">
      <w:pPr>
        <w:pStyle w:val="StyleBoldCentered"/>
      </w:pPr>
      <w:r w:rsidRPr="006C1749">
        <w:t>Appendix A</w:t>
      </w:r>
    </w:p>
    <w:p w:rsidR="005E1A67" w:rsidP="00EE6B62" w14:paraId="4AA1BC9F" w14:textId="77777777">
      <w:pPr>
        <w:jc w:val="center"/>
      </w:pPr>
    </w:p>
    <w:p w:rsidR="00362D6F" w:rsidP="00EE6B62" w14:paraId="6A7A5253" w14:textId="2CC2DCEA">
      <w:pPr>
        <w:jc w:val="center"/>
        <w:rPr>
          <w:rFonts w:ascii="Times New Roman Bold" w:hAnsi="Times New Roman Bold"/>
          <w:b/>
          <w:bCs/>
          <w:caps/>
        </w:rPr>
      </w:pPr>
      <w:r w:rsidRPr="0023695A">
        <w:rPr>
          <w:rFonts w:ascii="Times New Roman Bold" w:hAnsi="Times New Roman Bold"/>
          <w:b/>
          <w:bCs/>
          <w:caps/>
        </w:rPr>
        <w:t>Cumulus Media, Inc., Stat</w:t>
      </w:r>
      <w:r w:rsidRPr="0023695A" w:rsidR="006113EE">
        <w:rPr>
          <w:rFonts w:ascii="Times New Roman Bold" w:hAnsi="Times New Roman Bold"/>
          <w:b/>
          <w:bCs/>
          <w:caps/>
        </w:rPr>
        <w:t>i</w:t>
      </w:r>
      <w:r w:rsidRPr="0023695A">
        <w:rPr>
          <w:rFonts w:ascii="Times New Roman Bold" w:hAnsi="Times New Roman Bold"/>
          <w:b/>
          <w:bCs/>
          <w:caps/>
        </w:rPr>
        <w:t xml:space="preserve">ons Subject to </w:t>
      </w:r>
      <w:r w:rsidRPr="0023695A" w:rsidR="005E1A67">
        <w:rPr>
          <w:rFonts w:ascii="Times New Roman Bold" w:hAnsi="Times New Roman Bold"/>
          <w:b/>
          <w:bCs/>
          <w:caps/>
        </w:rPr>
        <w:t xml:space="preserve">Pro Forma </w:t>
      </w:r>
      <w:r w:rsidRPr="0023695A">
        <w:rPr>
          <w:rFonts w:ascii="Times New Roman Bold" w:hAnsi="Times New Roman Bold"/>
          <w:b/>
          <w:bCs/>
          <w:caps/>
        </w:rPr>
        <w:t>Assignments</w:t>
      </w:r>
    </w:p>
    <w:p w:rsidR="0023695A" w:rsidRPr="0023695A" w:rsidP="00EE6B62" w14:paraId="6B788C49" w14:textId="77777777">
      <w:pPr>
        <w:jc w:val="center"/>
        <w:rPr>
          <w:rFonts w:ascii="Times New Roman Bold" w:hAnsi="Times New Roman Bold"/>
          <w:b/>
          <w:bCs/>
          <w:caps/>
        </w:rPr>
      </w:pPr>
    </w:p>
    <w:p w:rsidR="001C425D" w:rsidP="00EE6B62" w14:paraId="229B7B93" w14:textId="77777777">
      <w:pPr>
        <w:jc w:val="center"/>
        <w:rPr>
          <w:b/>
          <w:bCs/>
        </w:rPr>
      </w:pPr>
    </w:p>
    <w:p w:rsidR="001C425D" w:rsidP="001C425D" w14:paraId="5DCB5A8D" w14:textId="4CA60F95">
      <w:pPr>
        <w:pStyle w:val="Heading1"/>
        <w:numPr>
          <w:ilvl w:val="0"/>
          <w:numId w:val="9"/>
        </w:numPr>
      </w:pPr>
      <w:r>
        <w:t>Cumulus licensing LLC</w:t>
      </w:r>
      <w:r w:rsidR="001C7CDD">
        <w:t xml:space="preserve"> </w:t>
      </w:r>
      <w:r w:rsidR="00361762">
        <w:t>to Cumulus licensing holding company ii LLC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297"/>
        <w:gridCol w:w="2432"/>
        <w:gridCol w:w="1297"/>
        <w:gridCol w:w="1297"/>
        <w:gridCol w:w="1735"/>
      </w:tblGrid>
      <w:tr w14:paraId="5489F55A" w14:textId="7777777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793" w:type="pct"/>
            <w:shd w:val="clear" w:color="auto" w:fill="auto"/>
            <w:vAlign w:val="center"/>
            <w:hideMark/>
          </w:tcPr>
          <w:p w:rsidR="00D867C6" w:rsidP="00D867C6" w14:paraId="070F46C2" w14:textId="77777777">
            <w:pPr>
              <w:rPr>
                <w:b/>
                <w:bCs/>
                <w:snapToGrid/>
              </w:rPr>
            </w:pPr>
            <w:r>
              <w:rPr>
                <w:b/>
                <w:bCs/>
                <w:snapToGrid/>
              </w:rPr>
              <w:t>Call Sign</w:t>
            </w:r>
          </w:p>
        </w:tc>
        <w:tc>
          <w:tcPr>
            <w:tcW w:w="677" w:type="pct"/>
            <w:shd w:val="clear" w:color="auto" w:fill="auto"/>
            <w:vAlign w:val="center"/>
          </w:tcPr>
          <w:p w:rsidR="00D867C6" w:rsidP="00D867C6" w14:paraId="2FC53CB2" w14:textId="24E20C5D">
            <w:pPr>
              <w:rPr>
                <w:b/>
                <w:bCs/>
                <w:snapToGrid/>
              </w:rPr>
            </w:pPr>
            <w:r>
              <w:rPr>
                <w:b/>
                <w:bCs/>
                <w:snapToGrid/>
              </w:rPr>
              <w:t>Service</w:t>
            </w:r>
          </w:p>
        </w:tc>
        <w:tc>
          <w:tcPr>
            <w:tcW w:w="1270" w:type="pct"/>
            <w:shd w:val="clear" w:color="auto" w:fill="auto"/>
            <w:vAlign w:val="center"/>
          </w:tcPr>
          <w:p w:rsidR="00D867C6" w:rsidP="00D867C6" w14:paraId="69FDC311" w14:textId="5D1B9FE3">
            <w:pPr>
              <w:rPr>
                <w:b/>
                <w:bCs/>
                <w:snapToGrid/>
              </w:rPr>
            </w:pPr>
            <w:r>
              <w:rPr>
                <w:b/>
                <w:bCs/>
                <w:snapToGrid/>
              </w:rPr>
              <w:t>City</w:t>
            </w:r>
          </w:p>
        </w:tc>
        <w:tc>
          <w:tcPr>
            <w:tcW w:w="677" w:type="pct"/>
            <w:shd w:val="clear" w:color="auto" w:fill="auto"/>
            <w:vAlign w:val="center"/>
          </w:tcPr>
          <w:p w:rsidR="00D867C6" w:rsidP="00D867C6" w14:paraId="595700DE" w14:textId="6E747428">
            <w:pPr>
              <w:rPr>
                <w:b/>
                <w:bCs/>
                <w:snapToGrid/>
              </w:rPr>
            </w:pPr>
            <w:r>
              <w:rPr>
                <w:b/>
                <w:bCs/>
                <w:snapToGrid/>
              </w:rPr>
              <w:t>State</w:t>
            </w:r>
          </w:p>
        </w:tc>
        <w:tc>
          <w:tcPr>
            <w:tcW w:w="677" w:type="pct"/>
            <w:shd w:val="clear" w:color="auto" w:fill="auto"/>
            <w:vAlign w:val="center"/>
            <w:hideMark/>
          </w:tcPr>
          <w:p w:rsidR="00D867C6" w:rsidP="00D867C6" w14:paraId="701A37B2" w14:textId="2E2B243F">
            <w:pPr>
              <w:rPr>
                <w:b/>
                <w:bCs/>
                <w:snapToGrid/>
              </w:rPr>
            </w:pPr>
            <w:r>
              <w:rPr>
                <w:b/>
                <w:bCs/>
                <w:snapToGrid/>
              </w:rPr>
              <w:t>Facility ID</w:t>
            </w:r>
          </w:p>
        </w:tc>
        <w:tc>
          <w:tcPr>
            <w:tcW w:w="906" w:type="pct"/>
            <w:shd w:val="clear" w:color="auto" w:fill="auto"/>
            <w:vAlign w:val="center"/>
            <w:hideMark/>
          </w:tcPr>
          <w:p w:rsidR="00D867C6" w:rsidP="00D867C6" w14:paraId="38D7A2D9" w14:textId="77777777">
            <w:pPr>
              <w:rPr>
                <w:b/>
                <w:bCs/>
                <w:snapToGrid/>
              </w:rPr>
            </w:pPr>
            <w:r>
              <w:rPr>
                <w:b/>
                <w:bCs/>
                <w:snapToGrid/>
              </w:rPr>
              <w:t>File Number</w:t>
            </w:r>
          </w:p>
        </w:tc>
      </w:tr>
      <w:tr w14:paraId="239A9839" w14:textId="77777777">
        <w:tblPrEx>
          <w:tblW w:w="5000" w:type="pct"/>
          <w:tblLook w:val="04A0"/>
        </w:tblPrEx>
        <w:trPr>
          <w:trHeight w:val="288"/>
        </w:trPr>
        <w:tc>
          <w:tcPr>
            <w:tcW w:w="793" w:type="pct"/>
            <w:shd w:val="clear" w:color="auto" w:fill="auto"/>
            <w:vAlign w:val="center"/>
            <w:hideMark/>
          </w:tcPr>
          <w:p w:rsidR="00D867C6" w:rsidP="00D867C6" w14:paraId="4B964F38" w14:textId="77777777">
            <w:pPr>
              <w:rPr>
                <w:snapToGrid/>
              </w:rPr>
            </w:pPr>
            <w:r>
              <w:rPr>
                <w:snapToGrid/>
              </w:rPr>
              <w:t>WHGB</w:t>
            </w:r>
          </w:p>
        </w:tc>
        <w:tc>
          <w:tcPr>
            <w:tcW w:w="677" w:type="pct"/>
            <w:shd w:val="clear" w:color="auto" w:fill="auto"/>
            <w:vAlign w:val="center"/>
          </w:tcPr>
          <w:p w:rsidR="00D867C6" w:rsidP="00D867C6" w14:paraId="0144304F" w14:textId="0F01045C">
            <w:pPr>
              <w:rPr>
                <w:snapToGrid/>
              </w:rPr>
            </w:pPr>
            <w:r>
              <w:rPr>
                <w:snapToGrid/>
              </w:rPr>
              <w:t>AM</w:t>
            </w:r>
          </w:p>
        </w:tc>
        <w:tc>
          <w:tcPr>
            <w:tcW w:w="1270" w:type="pct"/>
            <w:shd w:val="clear" w:color="auto" w:fill="auto"/>
            <w:vAlign w:val="center"/>
          </w:tcPr>
          <w:p w:rsidR="00D867C6" w:rsidP="00D867C6" w14:paraId="26C25C17" w14:textId="4431D080">
            <w:pPr>
              <w:rPr>
                <w:snapToGrid/>
              </w:rPr>
            </w:pPr>
            <w:r>
              <w:rPr>
                <w:snapToGrid/>
              </w:rPr>
              <w:t>HARRISBURG</w:t>
            </w:r>
          </w:p>
        </w:tc>
        <w:tc>
          <w:tcPr>
            <w:tcW w:w="677" w:type="pct"/>
            <w:shd w:val="clear" w:color="auto" w:fill="auto"/>
            <w:vAlign w:val="center"/>
          </w:tcPr>
          <w:p w:rsidR="00D867C6" w:rsidP="00D867C6" w14:paraId="7A46CEA8" w14:textId="10551BD0">
            <w:pPr>
              <w:rPr>
                <w:snapToGrid/>
              </w:rPr>
            </w:pPr>
            <w:r>
              <w:rPr>
                <w:snapToGrid/>
              </w:rPr>
              <w:t>PA</w:t>
            </w:r>
          </w:p>
        </w:tc>
        <w:tc>
          <w:tcPr>
            <w:tcW w:w="677" w:type="pct"/>
            <w:shd w:val="clear" w:color="auto" w:fill="auto"/>
            <w:vAlign w:val="center"/>
            <w:hideMark/>
          </w:tcPr>
          <w:p w:rsidR="00D867C6" w:rsidP="00D867C6" w14:paraId="6069E2CB" w14:textId="34342FAB">
            <w:pPr>
              <w:rPr>
                <w:snapToGrid/>
              </w:rPr>
            </w:pPr>
            <w:r>
              <w:rPr>
                <w:snapToGrid/>
              </w:rPr>
              <w:t>32944</w:t>
            </w:r>
          </w:p>
        </w:tc>
        <w:tc>
          <w:tcPr>
            <w:tcW w:w="906" w:type="pct"/>
            <w:shd w:val="clear" w:color="auto" w:fill="auto"/>
            <w:vAlign w:val="center"/>
            <w:hideMark/>
          </w:tcPr>
          <w:p w:rsidR="00D867C6" w:rsidP="00D867C6" w14:paraId="592E8293" w14:textId="77777777">
            <w:pPr>
              <w:rPr>
                <w:snapToGrid/>
              </w:rPr>
            </w:pPr>
            <w:r>
              <w:rPr>
                <w:snapToGrid/>
              </w:rPr>
              <w:t>0000240099</w:t>
            </w:r>
          </w:p>
        </w:tc>
      </w:tr>
      <w:tr w14:paraId="1CCFAE62" w14:textId="77777777">
        <w:tblPrEx>
          <w:tblW w:w="5000" w:type="pct"/>
          <w:tblLook w:val="04A0"/>
        </w:tblPrEx>
        <w:trPr>
          <w:trHeight w:val="288"/>
        </w:trPr>
        <w:tc>
          <w:tcPr>
            <w:tcW w:w="793" w:type="pct"/>
            <w:shd w:val="clear" w:color="auto" w:fill="auto"/>
            <w:vAlign w:val="center"/>
            <w:hideMark/>
          </w:tcPr>
          <w:p w:rsidR="00D867C6" w:rsidP="00D867C6" w14:paraId="7CCE937A" w14:textId="77777777">
            <w:pPr>
              <w:rPr>
                <w:snapToGrid/>
              </w:rPr>
            </w:pPr>
            <w:r>
              <w:rPr>
                <w:snapToGrid/>
              </w:rPr>
              <w:t>WNNK-FM</w:t>
            </w:r>
          </w:p>
        </w:tc>
        <w:tc>
          <w:tcPr>
            <w:tcW w:w="677" w:type="pct"/>
            <w:shd w:val="clear" w:color="auto" w:fill="auto"/>
            <w:vAlign w:val="center"/>
          </w:tcPr>
          <w:p w:rsidR="00D867C6" w:rsidP="00D867C6" w14:paraId="24CD4D2C" w14:textId="3510F638">
            <w:pPr>
              <w:rPr>
                <w:snapToGrid/>
              </w:rPr>
            </w:pPr>
            <w:r>
              <w:rPr>
                <w:snapToGrid/>
              </w:rPr>
              <w:t>FM</w:t>
            </w:r>
          </w:p>
        </w:tc>
        <w:tc>
          <w:tcPr>
            <w:tcW w:w="1270" w:type="pct"/>
            <w:shd w:val="clear" w:color="auto" w:fill="auto"/>
            <w:vAlign w:val="center"/>
          </w:tcPr>
          <w:p w:rsidR="00D867C6" w:rsidP="00D867C6" w14:paraId="5175C0E4" w14:textId="7B6C136B">
            <w:pPr>
              <w:rPr>
                <w:snapToGrid/>
              </w:rPr>
            </w:pPr>
            <w:r>
              <w:rPr>
                <w:snapToGrid/>
              </w:rPr>
              <w:t>HARRISBURG</w:t>
            </w:r>
          </w:p>
        </w:tc>
        <w:tc>
          <w:tcPr>
            <w:tcW w:w="677" w:type="pct"/>
            <w:shd w:val="clear" w:color="auto" w:fill="auto"/>
            <w:vAlign w:val="center"/>
          </w:tcPr>
          <w:p w:rsidR="00D867C6" w:rsidP="00D867C6" w14:paraId="3F9415A0" w14:textId="517DEBAA">
            <w:pPr>
              <w:rPr>
                <w:snapToGrid/>
              </w:rPr>
            </w:pPr>
            <w:r>
              <w:rPr>
                <w:snapToGrid/>
              </w:rPr>
              <w:t>PA</w:t>
            </w:r>
          </w:p>
        </w:tc>
        <w:tc>
          <w:tcPr>
            <w:tcW w:w="677" w:type="pct"/>
            <w:shd w:val="clear" w:color="auto" w:fill="auto"/>
            <w:vAlign w:val="center"/>
            <w:hideMark/>
          </w:tcPr>
          <w:p w:rsidR="00D867C6" w:rsidP="00D867C6" w14:paraId="1BFCB3AF" w14:textId="5916EB85">
            <w:pPr>
              <w:rPr>
                <w:snapToGrid/>
              </w:rPr>
            </w:pPr>
            <w:r>
              <w:rPr>
                <w:snapToGrid/>
              </w:rPr>
              <w:t>32945</w:t>
            </w:r>
          </w:p>
        </w:tc>
        <w:tc>
          <w:tcPr>
            <w:tcW w:w="906" w:type="pct"/>
            <w:shd w:val="clear" w:color="auto" w:fill="auto"/>
            <w:vAlign w:val="center"/>
            <w:hideMark/>
          </w:tcPr>
          <w:p w:rsidR="00D867C6" w:rsidP="00D867C6" w14:paraId="48860249" w14:textId="77777777">
            <w:pPr>
              <w:rPr>
                <w:snapToGrid/>
              </w:rPr>
            </w:pPr>
            <w:r>
              <w:rPr>
                <w:snapToGrid/>
              </w:rPr>
              <w:t>0000240100</w:t>
            </w:r>
          </w:p>
        </w:tc>
      </w:tr>
      <w:tr w14:paraId="28DEF96E" w14:textId="77777777">
        <w:tblPrEx>
          <w:tblW w:w="5000" w:type="pct"/>
          <w:tblLook w:val="04A0"/>
        </w:tblPrEx>
        <w:trPr>
          <w:trHeight w:val="288"/>
        </w:trPr>
        <w:tc>
          <w:tcPr>
            <w:tcW w:w="793" w:type="pct"/>
            <w:shd w:val="clear" w:color="auto" w:fill="auto"/>
            <w:vAlign w:val="center"/>
            <w:hideMark/>
          </w:tcPr>
          <w:p w:rsidR="00D867C6" w:rsidP="00D867C6" w14:paraId="6661A06B" w14:textId="77777777">
            <w:pPr>
              <w:rPr>
                <w:snapToGrid/>
              </w:rPr>
            </w:pPr>
            <w:r>
              <w:rPr>
                <w:snapToGrid/>
              </w:rPr>
              <w:t>W237DE</w:t>
            </w:r>
          </w:p>
        </w:tc>
        <w:tc>
          <w:tcPr>
            <w:tcW w:w="677" w:type="pct"/>
            <w:shd w:val="clear" w:color="auto" w:fill="auto"/>
            <w:vAlign w:val="center"/>
          </w:tcPr>
          <w:p w:rsidR="00D867C6" w:rsidP="00D867C6" w14:paraId="4D9D8612" w14:textId="66C2900B">
            <w:pPr>
              <w:rPr>
                <w:snapToGrid/>
              </w:rPr>
            </w:pPr>
            <w:r>
              <w:rPr>
                <w:snapToGrid/>
              </w:rPr>
              <w:t>FX</w:t>
            </w:r>
          </w:p>
        </w:tc>
        <w:tc>
          <w:tcPr>
            <w:tcW w:w="1270" w:type="pct"/>
            <w:shd w:val="clear" w:color="auto" w:fill="auto"/>
            <w:vAlign w:val="center"/>
          </w:tcPr>
          <w:p w:rsidR="00D867C6" w:rsidP="00D867C6" w14:paraId="73DED50A" w14:textId="5943CCD9">
            <w:pPr>
              <w:rPr>
                <w:snapToGrid/>
              </w:rPr>
            </w:pPr>
            <w:r>
              <w:rPr>
                <w:snapToGrid/>
              </w:rPr>
              <w:t>HARRISBURG</w:t>
            </w:r>
          </w:p>
        </w:tc>
        <w:tc>
          <w:tcPr>
            <w:tcW w:w="677" w:type="pct"/>
            <w:shd w:val="clear" w:color="auto" w:fill="auto"/>
            <w:vAlign w:val="center"/>
          </w:tcPr>
          <w:p w:rsidR="00D867C6" w:rsidP="00D867C6" w14:paraId="7FC6FBA1" w14:textId="74D2BAD4">
            <w:pPr>
              <w:rPr>
                <w:snapToGrid/>
              </w:rPr>
            </w:pPr>
            <w:r>
              <w:rPr>
                <w:snapToGrid/>
              </w:rPr>
              <w:t>PA</w:t>
            </w:r>
          </w:p>
        </w:tc>
        <w:tc>
          <w:tcPr>
            <w:tcW w:w="677" w:type="pct"/>
            <w:shd w:val="clear" w:color="auto" w:fill="auto"/>
            <w:vAlign w:val="center"/>
            <w:hideMark/>
          </w:tcPr>
          <w:p w:rsidR="00D867C6" w:rsidP="00D867C6" w14:paraId="4A541943" w14:textId="349C8032">
            <w:pPr>
              <w:rPr>
                <w:snapToGrid/>
              </w:rPr>
            </w:pPr>
            <w:r>
              <w:rPr>
                <w:snapToGrid/>
              </w:rPr>
              <w:t>158598</w:t>
            </w:r>
          </w:p>
        </w:tc>
        <w:tc>
          <w:tcPr>
            <w:tcW w:w="906" w:type="pct"/>
            <w:shd w:val="clear" w:color="auto" w:fill="auto"/>
            <w:vAlign w:val="center"/>
            <w:hideMark/>
          </w:tcPr>
          <w:p w:rsidR="00D867C6" w:rsidP="00D867C6" w14:paraId="175A0ADD" w14:textId="77777777">
            <w:pPr>
              <w:rPr>
                <w:snapToGrid/>
              </w:rPr>
            </w:pPr>
            <w:r>
              <w:rPr>
                <w:snapToGrid/>
              </w:rPr>
              <w:t>0000240101</w:t>
            </w:r>
          </w:p>
        </w:tc>
      </w:tr>
      <w:tr w14:paraId="602F907D" w14:textId="77777777">
        <w:tblPrEx>
          <w:tblW w:w="5000" w:type="pct"/>
          <w:tblLook w:val="04A0"/>
        </w:tblPrEx>
        <w:trPr>
          <w:trHeight w:val="288"/>
        </w:trPr>
        <w:tc>
          <w:tcPr>
            <w:tcW w:w="793" w:type="pct"/>
            <w:shd w:val="clear" w:color="auto" w:fill="auto"/>
            <w:vAlign w:val="center"/>
            <w:hideMark/>
          </w:tcPr>
          <w:p w:rsidR="00D867C6" w:rsidP="00D867C6" w14:paraId="0D13AA36" w14:textId="77777777">
            <w:pPr>
              <w:rPr>
                <w:snapToGrid/>
              </w:rPr>
            </w:pPr>
            <w:r>
              <w:rPr>
                <w:snapToGrid/>
              </w:rPr>
              <w:t>WTPA-FM</w:t>
            </w:r>
          </w:p>
        </w:tc>
        <w:tc>
          <w:tcPr>
            <w:tcW w:w="677" w:type="pct"/>
            <w:shd w:val="clear" w:color="auto" w:fill="auto"/>
            <w:vAlign w:val="center"/>
          </w:tcPr>
          <w:p w:rsidR="00D867C6" w:rsidP="00D867C6" w14:paraId="2323E52D" w14:textId="511CDDB2">
            <w:pPr>
              <w:rPr>
                <w:snapToGrid/>
              </w:rPr>
            </w:pPr>
            <w:r>
              <w:rPr>
                <w:snapToGrid/>
              </w:rPr>
              <w:t>FM</w:t>
            </w:r>
          </w:p>
        </w:tc>
        <w:tc>
          <w:tcPr>
            <w:tcW w:w="1270" w:type="pct"/>
            <w:shd w:val="clear" w:color="auto" w:fill="auto"/>
            <w:vAlign w:val="center"/>
          </w:tcPr>
          <w:p w:rsidR="00D867C6" w:rsidP="00D867C6" w14:paraId="68738AC7" w14:textId="778197A1">
            <w:pPr>
              <w:rPr>
                <w:snapToGrid/>
              </w:rPr>
            </w:pPr>
            <w:r>
              <w:rPr>
                <w:snapToGrid/>
              </w:rPr>
              <w:t>MECHANICSBURG</w:t>
            </w:r>
          </w:p>
        </w:tc>
        <w:tc>
          <w:tcPr>
            <w:tcW w:w="677" w:type="pct"/>
            <w:shd w:val="clear" w:color="auto" w:fill="auto"/>
            <w:vAlign w:val="center"/>
          </w:tcPr>
          <w:p w:rsidR="00D867C6" w:rsidP="00D867C6" w14:paraId="10DC7BD6" w14:textId="3B9AF097">
            <w:pPr>
              <w:rPr>
                <w:snapToGrid/>
              </w:rPr>
            </w:pPr>
            <w:r>
              <w:rPr>
                <w:snapToGrid/>
              </w:rPr>
              <w:t>PA</w:t>
            </w:r>
          </w:p>
        </w:tc>
        <w:tc>
          <w:tcPr>
            <w:tcW w:w="677" w:type="pct"/>
            <w:shd w:val="clear" w:color="auto" w:fill="auto"/>
            <w:vAlign w:val="center"/>
            <w:hideMark/>
          </w:tcPr>
          <w:p w:rsidR="00D867C6" w:rsidP="00D867C6" w14:paraId="46758467" w14:textId="28C94BAF">
            <w:pPr>
              <w:rPr>
                <w:snapToGrid/>
              </w:rPr>
            </w:pPr>
            <w:r>
              <w:rPr>
                <w:snapToGrid/>
              </w:rPr>
              <w:t>54021</w:t>
            </w:r>
          </w:p>
        </w:tc>
        <w:tc>
          <w:tcPr>
            <w:tcW w:w="906" w:type="pct"/>
            <w:shd w:val="clear" w:color="auto" w:fill="auto"/>
            <w:vAlign w:val="center"/>
            <w:hideMark/>
          </w:tcPr>
          <w:p w:rsidR="00D867C6" w:rsidP="00D867C6" w14:paraId="25653265" w14:textId="77777777">
            <w:pPr>
              <w:rPr>
                <w:snapToGrid/>
              </w:rPr>
            </w:pPr>
            <w:r>
              <w:rPr>
                <w:snapToGrid/>
              </w:rPr>
              <w:t>0000240102</w:t>
            </w:r>
          </w:p>
        </w:tc>
      </w:tr>
    </w:tbl>
    <w:p w:rsidR="001C7CDD" w:rsidP="001C7CDD" w14:paraId="0647D19A" w14:textId="77777777"/>
    <w:p w:rsidR="001C7CDD" w:rsidP="001C7CDD" w14:paraId="29FD1D68" w14:textId="51795BA6">
      <w:pPr>
        <w:pStyle w:val="Heading1"/>
      </w:pPr>
      <w:r>
        <w:t>Radio LIcense Holding CBC, LLC, Stations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2"/>
        <w:gridCol w:w="1299"/>
        <w:gridCol w:w="2476"/>
        <w:gridCol w:w="1335"/>
        <w:gridCol w:w="1276"/>
        <w:gridCol w:w="1728"/>
      </w:tblGrid>
      <w:tr w14:paraId="04F18DDD" w14:textId="7777777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764" w:type="pct"/>
            <w:shd w:val="clear" w:color="auto" w:fill="auto"/>
            <w:vAlign w:val="center"/>
            <w:hideMark/>
          </w:tcPr>
          <w:p w:rsidR="005A1390" w:rsidP="005A1390" w14:paraId="7FA1BEC7" w14:textId="77777777">
            <w:pPr>
              <w:rPr>
                <w:b/>
                <w:bCs/>
                <w:snapToGrid/>
              </w:rPr>
            </w:pPr>
            <w:r>
              <w:rPr>
                <w:b/>
                <w:bCs/>
                <w:snapToGrid/>
              </w:rPr>
              <w:t>Call Sign</w:t>
            </w:r>
          </w:p>
        </w:tc>
        <w:tc>
          <w:tcPr>
            <w:tcW w:w="678" w:type="pct"/>
            <w:shd w:val="clear" w:color="auto" w:fill="auto"/>
            <w:vAlign w:val="center"/>
          </w:tcPr>
          <w:p w:rsidR="005A1390" w:rsidP="005A1390" w14:paraId="3CD7FBD3" w14:textId="0F3E776D">
            <w:pPr>
              <w:rPr>
                <w:b/>
                <w:bCs/>
                <w:snapToGrid/>
              </w:rPr>
            </w:pPr>
            <w:r>
              <w:rPr>
                <w:b/>
                <w:bCs/>
                <w:snapToGrid/>
              </w:rPr>
              <w:t>Service</w:t>
            </w:r>
          </w:p>
        </w:tc>
        <w:tc>
          <w:tcPr>
            <w:tcW w:w="1293" w:type="pct"/>
            <w:shd w:val="clear" w:color="auto" w:fill="auto"/>
            <w:vAlign w:val="center"/>
          </w:tcPr>
          <w:p w:rsidR="005A1390" w:rsidP="005A1390" w14:paraId="375A83A9" w14:textId="77777777">
            <w:pPr>
              <w:rPr>
                <w:b/>
                <w:bCs/>
                <w:snapToGrid/>
              </w:rPr>
            </w:pPr>
            <w:r>
              <w:rPr>
                <w:b/>
                <w:bCs/>
                <w:snapToGrid/>
              </w:rPr>
              <w:t>City</w:t>
            </w:r>
          </w:p>
        </w:tc>
        <w:tc>
          <w:tcPr>
            <w:tcW w:w="697" w:type="pct"/>
            <w:shd w:val="clear" w:color="auto" w:fill="auto"/>
            <w:vAlign w:val="center"/>
          </w:tcPr>
          <w:p w:rsidR="005A1390" w:rsidP="005A1390" w14:paraId="2679AB82" w14:textId="77777777">
            <w:pPr>
              <w:rPr>
                <w:b/>
                <w:bCs/>
                <w:snapToGrid/>
              </w:rPr>
            </w:pPr>
            <w:r>
              <w:rPr>
                <w:b/>
                <w:bCs/>
                <w:snapToGrid/>
              </w:rPr>
              <w:t>State</w:t>
            </w:r>
          </w:p>
        </w:tc>
        <w:tc>
          <w:tcPr>
            <w:tcW w:w="666" w:type="pct"/>
            <w:shd w:val="clear" w:color="auto" w:fill="auto"/>
            <w:vAlign w:val="center"/>
            <w:hideMark/>
          </w:tcPr>
          <w:p w:rsidR="005A1390" w:rsidP="005A1390" w14:paraId="24B56E26" w14:textId="77777777">
            <w:pPr>
              <w:rPr>
                <w:b/>
                <w:bCs/>
                <w:snapToGrid/>
              </w:rPr>
            </w:pPr>
            <w:r>
              <w:rPr>
                <w:b/>
                <w:bCs/>
                <w:snapToGrid/>
              </w:rPr>
              <w:t>Facility ID</w:t>
            </w:r>
          </w:p>
        </w:tc>
        <w:tc>
          <w:tcPr>
            <w:tcW w:w="902" w:type="pct"/>
            <w:shd w:val="clear" w:color="auto" w:fill="auto"/>
            <w:vAlign w:val="center"/>
            <w:hideMark/>
          </w:tcPr>
          <w:p w:rsidR="005A1390" w:rsidP="005A1390" w14:paraId="5F4F6C10" w14:textId="77777777">
            <w:pPr>
              <w:rPr>
                <w:b/>
                <w:bCs/>
                <w:snapToGrid/>
              </w:rPr>
            </w:pPr>
            <w:r>
              <w:rPr>
                <w:b/>
                <w:bCs/>
                <w:snapToGrid/>
              </w:rPr>
              <w:t>File Number</w:t>
            </w:r>
          </w:p>
        </w:tc>
      </w:tr>
      <w:tr w14:paraId="75D5D359" w14:textId="77777777">
        <w:tblPrEx>
          <w:tblW w:w="5000" w:type="pct"/>
          <w:tblLook w:val="04A0"/>
        </w:tblPrEx>
        <w:trPr>
          <w:trHeight w:val="288"/>
        </w:trPr>
        <w:tc>
          <w:tcPr>
            <w:tcW w:w="764" w:type="pct"/>
            <w:shd w:val="clear" w:color="auto" w:fill="auto"/>
            <w:vAlign w:val="center"/>
            <w:hideMark/>
          </w:tcPr>
          <w:p w:rsidR="005A1390" w:rsidP="005A1390" w14:paraId="41DC07EA" w14:textId="3C68241D">
            <w:pPr>
              <w:rPr>
                <w:snapToGrid/>
                <w:szCs w:val="22"/>
              </w:rPr>
            </w:pPr>
            <w:r>
              <w:rPr>
                <w:color w:val="333333"/>
                <w:szCs w:val="22"/>
              </w:rPr>
              <w:t>WCTO</w:t>
            </w:r>
          </w:p>
        </w:tc>
        <w:tc>
          <w:tcPr>
            <w:tcW w:w="678" w:type="pct"/>
            <w:shd w:val="clear" w:color="auto" w:fill="auto"/>
            <w:vAlign w:val="center"/>
          </w:tcPr>
          <w:p w:rsidR="005A1390" w:rsidP="005A1390" w14:paraId="62F28BBB" w14:textId="77D471FC">
            <w:pPr>
              <w:rPr>
                <w:color w:val="333333"/>
                <w:szCs w:val="22"/>
              </w:rPr>
            </w:pPr>
            <w:r>
              <w:rPr>
                <w:color w:val="333333"/>
                <w:szCs w:val="22"/>
              </w:rPr>
              <w:t>FM</w:t>
            </w:r>
          </w:p>
        </w:tc>
        <w:tc>
          <w:tcPr>
            <w:tcW w:w="1293" w:type="pct"/>
            <w:shd w:val="clear" w:color="auto" w:fill="auto"/>
            <w:vAlign w:val="center"/>
          </w:tcPr>
          <w:p w:rsidR="005A1390" w:rsidP="005A1390" w14:paraId="77943F22" w14:textId="552849D4">
            <w:pPr>
              <w:rPr>
                <w:snapToGrid/>
                <w:szCs w:val="22"/>
              </w:rPr>
            </w:pPr>
            <w:r>
              <w:rPr>
                <w:color w:val="333333"/>
                <w:szCs w:val="22"/>
              </w:rPr>
              <w:t>EASTON</w:t>
            </w:r>
          </w:p>
        </w:tc>
        <w:tc>
          <w:tcPr>
            <w:tcW w:w="697" w:type="pct"/>
            <w:shd w:val="clear" w:color="auto" w:fill="auto"/>
            <w:vAlign w:val="center"/>
          </w:tcPr>
          <w:p w:rsidR="005A1390" w:rsidP="005A1390" w14:paraId="0D46E1B5" w14:textId="4423D5FF">
            <w:pPr>
              <w:rPr>
                <w:snapToGrid/>
                <w:szCs w:val="22"/>
              </w:rPr>
            </w:pPr>
            <w:r>
              <w:rPr>
                <w:color w:val="333333"/>
                <w:szCs w:val="22"/>
              </w:rPr>
              <w:t>PA</w:t>
            </w:r>
          </w:p>
        </w:tc>
        <w:tc>
          <w:tcPr>
            <w:tcW w:w="666" w:type="pct"/>
            <w:shd w:val="clear" w:color="auto" w:fill="auto"/>
            <w:vAlign w:val="center"/>
          </w:tcPr>
          <w:p w:rsidR="005A1390" w:rsidP="005A1390" w14:paraId="734D9506" w14:textId="20C498C0">
            <w:pPr>
              <w:rPr>
                <w:snapToGrid/>
                <w:szCs w:val="22"/>
              </w:rPr>
            </w:pPr>
            <w:r>
              <w:rPr>
                <w:color w:val="333333"/>
                <w:szCs w:val="22"/>
              </w:rPr>
              <w:t>36997</w:t>
            </w:r>
          </w:p>
        </w:tc>
        <w:tc>
          <w:tcPr>
            <w:tcW w:w="902" w:type="pct"/>
            <w:shd w:val="clear" w:color="auto" w:fill="auto"/>
            <w:vAlign w:val="center"/>
          </w:tcPr>
          <w:p w:rsidR="005A1390" w:rsidP="005A1390" w14:paraId="025AF0D5" w14:textId="1D7C2F5A">
            <w:pPr>
              <w:rPr>
                <w:snapToGrid/>
                <w:szCs w:val="22"/>
              </w:rPr>
            </w:pPr>
            <w:r>
              <w:rPr>
                <w:color w:val="333333"/>
                <w:szCs w:val="22"/>
              </w:rPr>
              <w:t>0000240103</w:t>
            </w:r>
          </w:p>
        </w:tc>
      </w:tr>
      <w:tr w14:paraId="3284C0F1" w14:textId="77777777">
        <w:tblPrEx>
          <w:tblW w:w="5000" w:type="pct"/>
          <w:tblLook w:val="04A0"/>
        </w:tblPrEx>
        <w:trPr>
          <w:trHeight w:val="288"/>
        </w:trPr>
        <w:tc>
          <w:tcPr>
            <w:tcW w:w="764" w:type="pct"/>
            <w:shd w:val="clear" w:color="auto" w:fill="auto"/>
            <w:vAlign w:val="center"/>
            <w:hideMark/>
          </w:tcPr>
          <w:p w:rsidR="005A1390" w:rsidP="005A1390" w14:paraId="2719F17A" w14:textId="6F7E5E95">
            <w:pPr>
              <w:rPr>
                <w:snapToGrid/>
                <w:szCs w:val="22"/>
              </w:rPr>
            </w:pPr>
            <w:r>
              <w:rPr>
                <w:color w:val="333333"/>
                <w:szCs w:val="22"/>
              </w:rPr>
              <w:t>KOBQ</w:t>
            </w:r>
          </w:p>
        </w:tc>
        <w:tc>
          <w:tcPr>
            <w:tcW w:w="678" w:type="pct"/>
            <w:shd w:val="clear" w:color="auto" w:fill="auto"/>
            <w:vAlign w:val="center"/>
          </w:tcPr>
          <w:p w:rsidR="005A1390" w:rsidP="005A1390" w14:paraId="604725F7" w14:textId="2C25BC72">
            <w:pPr>
              <w:rPr>
                <w:color w:val="333333"/>
                <w:szCs w:val="22"/>
              </w:rPr>
            </w:pPr>
            <w:r>
              <w:rPr>
                <w:color w:val="333333"/>
                <w:szCs w:val="22"/>
              </w:rPr>
              <w:t>FM</w:t>
            </w:r>
          </w:p>
        </w:tc>
        <w:tc>
          <w:tcPr>
            <w:tcW w:w="1293" w:type="pct"/>
            <w:shd w:val="clear" w:color="auto" w:fill="auto"/>
            <w:vAlign w:val="center"/>
          </w:tcPr>
          <w:p w:rsidR="005A1390" w:rsidP="005A1390" w14:paraId="38CE8236" w14:textId="74808892">
            <w:pPr>
              <w:rPr>
                <w:snapToGrid/>
                <w:szCs w:val="22"/>
              </w:rPr>
            </w:pPr>
            <w:r>
              <w:rPr>
                <w:color w:val="333333"/>
                <w:szCs w:val="22"/>
              </w:rPr>
              <w:t>ALBUQUERQUE</w:t>
            </w:r>
          </w:p>
        </w:tc>
        <w:tc>
          <w:tcPr>
            <w:tcW w:w="697" w:type="pct"/>
            <w:shd w:val="clear" w:color="auto" w:fill="auto"/>
            <w:vAlign w:val="center"/>
          </w:tcPr>
          <w:p w:rsidR="005A1390" w:rsidP="005A1390" w14:paraId="65662CF4" w14:textId="6DAA8A46">
            <w:pPr>
              <w:rPr>
                <w:snapToGrid/>
                <w:szCs w:val="22"/>
              </w:rPr>
            </w:pPr>
            <w:r>
              <w:rPr>
                <w:color w:val="333333"/>
                <w:szCs w:val="22"/>
              </w:rPr>
              <w:t>NM</w:t>
            </w:r>
          </w:p>
        </w:tc>
        <w:tc>
          <w:tcPr>
            <w:tcW w:w="666" w:type="pct"/>
            <w:shd w:val="clear" w:color="auto" w:fill="auto"/>
            <w:vAlign w:val="center"/>
          </w:tcPr>
          <w:p w:rsidR="005A1390" w:rsidP="005A1390" w14:paraId="1BD77697" w14:textId="3124B7AC">
            <w:pPr>
              <w:rPr>
                <w:snapToGrid/>
                <w:szCs w:val="22"/>
              </w:rPr>
            </w:pPr>
            <w:r>
              <w:rPr>
                <w:color w:val="333333"/>
                <w:szCs w:val="22"/>
              </w:rPr>
              <w:t>11250</w:t>
            </w:r>
          </w:p>
        </w:tc>
        <w:tc>
          <w:tcPr>
            <w:tcW w:w="902" w:type="pct"/>
            <w:shd w:val="clear" w:color="auto" w:fill="auto"/>
            <w:vAlign w:val="center"/>
          </w:tcPr>
          <w:p w:rsidR="005A1390" w:rsidP="005A1390" w14:paraId="33ED528D" w14:textId="403149EA">
            <w:pPr>
              <w:rPr>
                <w:snapToGrid/>
                <w:szCs w:val="22"/>
              </w:rPr>
            </w:pPr>
            <w:r>
              <w:rPr>
                <w:color w:val="333333"/>
                <w:szCs w:val="22"/>
              </w:rPr>
              <w:t>0000240104</w:t>
            </w:r>
          </w:p>
        </w:tc>
      </w:tr>
      <w:tr w14:paraId="6F4620F2" w14:textId="77777777">
        <w:tblPrEx>
          <w:tblW w:w="5000" w:type="pct"/>
          <w:tblLook w:val="04A0"/>
        </w:tblPrEx>
        <w:trPr>
          <w:trHeight w:val="288"/>
        </w:trPr>
        <w:tc>
          <w:tcPr>
            <w:tcW w:w="764" w:type="pct"/>
            <w:shd w:val="clear" w:color="auto" w:fill="auto"/>
            <w:vAlign w:val="center"/>
            <w:hideMark/>
          </w:tcPr>
          <w:p w:rsidR="005A1390" w:rsidP="005A1390" w14:paraId="29EAAF99" w14:textId="085ECE55">
            <w:pPr>
              <w:rPr>
                <w:snapToGrid/>
                <w:szCs w:val="22"/>
              </w:rPr>
            </w:pPr>
            <w:r>
              <w:rPr>
                <w:color w:val="333333"/>
                <w:szCs w:val="22"/>
              </w:rPr>
              <w:t>KATT-FM</w:t>
            </w:r>
          </w:p>
        </w:tc>
        <w:tc>
          <w:tcPr>
            <w:tcW w:w="678" w:type="pct"/>
            <w:shd w:val="clear" w:color="auto" w:fill="auto"/>
            <w:vAlign w:val="center"/>
          </w:tcPr>
          <w:p w:rsidR="005A1390" w:rsidP="005A1390" w14:paraId="6479381E" w14:textId="3EBB2A78">
            <w:pPr>
              <w:rPr>
                <w:color w:val="333333"/>
                <w:szCs w:val="22"/>
              </w:rPr>
            </w:pPr>
            <w:r>
              <w:rPr>
                <w:color w:val="333333"/>
                <w:szCs w:val="22"/>
              </w:rPr>
              <w:t>FM</w:t>
            </w:r>
          </w:p>
        </w:tc>
        <w:tc>
          <w:tcPr>
            <w:tcW w:w="1293" w:type="pct"/>
            <w:shd w:val="clear" w:color="auto" w:fill="auto"/>
            <w:vAlign w:val="center"/>
          </w:tcPr>
          <w:p w:rsidR="005A1390" w:rsidP="005A1390" w14:paraId="038459C4" w14:textId="352A0F6D">
            <w:pPr>
              <w:rPr>
                <w:snapToGrid/>
                <w:szCs w:val="22"/>
              </w:rPr>
            </w:pPr>
            <w:r>
              <w:rPr>
                <w:color w:val="333333"/>
                <w:szCs w:val="22"/>
              </w:rPr>
              <w:t>OKLAHOMA CITY</w:t>
            </w:r>
          </w:p>
        </w:tc>
        <w:tc>
          <w:tcPr>
            <w:tcW w:w="697" w:type="pct"/>
            <w:shd w:val="clear" w:color="auto" w:fill="auto"/>
            <w:vAlign w:val="center"/>
          </w:tcPr>
          <w:p w:rsidR="005A1390" w:rsidP="005A1390" w14:paraId="07745B78" w14:textId="25576FF4">
            <w:pPr>
              <w:rPr>
                <w:snapToGrid/>
                <w:szCs w:val="22"/>
              </w:rPr>
            </w:pPr>
            <w:r>
              <w:rPr>
                <w:color w:val="333333"/>
                <w:szCs w:val="22"/>
              </w:rPr>
              <w:t>OK</w:t>
            </w:r>
          </w:p>
        </w:tc>
        <w:tc>
          <w:tcPr>
            <w:tcW w:w="666" w:type="pct"/>
            <w:shd w:val="clear" w:color="auto" w:fill="auto"/>
            <w:vAlign w:val="center"/>
          </w:tcPr>
          <w:p w:rsidR="005A1390" w:rsidP="005A1390" w14:paraId="15E5C4F7" w14:textId="68A7049E">
            <w:pPr>
              <w:rPr>
                <w:snapToGrid/>
                <w:szCs w:val="22"/>
              </w:rPr>
            </w:pPr>
            <w:r>
              <w:rPr>
                <w:color w:val="333333"/>
                <w:szCs w:val="22"/>
              </w:rPr>
              <w:t>8797</w:t>
            </w:r>
          </w:p>
        </w:tc>
        <w:tc>
          <w:tcPr>
            <w:tcW w:w="902" w:type="pct"/>
            <w:shd w:val="clear" w:color="auto" w:fill="auto"/>
            <w:vAlign w:val="center"/>
          </w:tcPr>
          <w:p w:rsidR="005A1390" w:rsidP="005A1390" w14:paraId="2AC1FE51" w14:textId="3DED7504">
            <w:pPr>
              <w:rPr>
                <w:snapToGrid/>
                <w:szCs w:val="22"/>
              </w:rPr>
            </w:pPr>
            <w:r>
              <w:rPr>
                <w:color w:val="333333"/>
                <w:szCs w:val="22"/>
              </w:rPr>
              <w:t>0000240105</w:t>
            </w:r>
          </w:p>
        </w:tc>
      </w:tr>
      <w:tr w14:paraId="6C0B2692" w14:textId="77777777">
        <w:tblPrEx>
          <w:tblW w:w="5000" w:type="pct"/>
          <w:tblLook w:val="04A0"/>
        </w:tblPrEx>
        <w:trPr>
          <w:trHeight w:val="288"/>
        </w:trPr>
        <w:tc>
          <w:tcPr>
            <w:tcW w:w="764" w:type="pct"/>
            <w:shd w:val="clear" w:color="auto" w:fill="auto"/>
            <w:vAlign w:val="center"/>
            <w:hideMark/>
          </w:tcPr>
          <w:p w:rsidR="005A1390" w:rsidP="005A1390" w14:paraId="706AD49B" w14:textId="6510B702">
            <w:pPr>
              <w:rPr>
                <w:snapToGrid/>
                <w:szCs w:val="22"/>
              </w:rPr>
            </w:pPr>
            <w:r>
              <w:rPr>
                <w:color w:val="333333"/>
                <w:szCs w:val="22"/>
              </w:rPr>
              <w:t>WLEV</w:t>
            </w:r>
          </w:p>
        </w:tc>
        <w:tc>
          <w:tcPr>
            <w:tcW w:w="678" w:type="pct"/>
            <w:shd w:val="clear" w:color="auto" w:fill="auto"/>
            <w:vAlign w:val="center"/>
          </w:tcPr>
          <w:p w:rsidR="005A1390" w:rsidP="005A1390" w14:paraId="054E32ED" w14:textId="2D591B41">
            <w:pPr>
              <w:rPr>
                <w:color w:val="333333"/>
                <w:szCs w:val="22"/>
              </w:rPr>
            </w:pPr>
            <w:r>
              <w:rPr>
                <w:color w:val="333333"/>
                <w:szCs w:val="22"/>
              </w:rPr>
              <w:t>FM</w:t>
            </w:r>
          </w:p>
        </w:tc>
        <w:tc>
          <w:tcPr>
            <w:tcW w:w="1293" w:type="pct"/>
            <w:shd w:val="clear" w:color="auto" w:fill="auto"/>
            <w:vAlign w:val="center"/>
          </w:tcPr>
          <w:p w:rsidR="005A1390" w:rsidP="005A1390" w14:paraId="219E2F23" w14:textId="6D0E5B9A">
            <w:pPr>
              <w:rPr>
                <w:snapToGrid/>
                <w:szCs w:val="22"/>
              </w:rPr>
            </w:pPr>
            <w:r>
              <w:rPr>
                <w:color w:val="333333"/>
                <w:szCs w:val="22"/>
              </w:rPr>
              <w:t>ALLENTOWN</w:t>
            </w:r>
          </w:p>
        </w:tc>
        <w:tc>
          <w:tcPr>
            <w:tcW w:w="697" w:type="pct"/>
            <w:shd w:val="clear" w:color="auto" w:fill="auto"/>
            <w:vAlign w:val="center"/>
          </w:tcPr>
          <w:p w:rsidR="005A1390" w:rsidP="005A1390" w14:paraId="4C832615" w14:textId="2CBC3B2A">
            <w:pPr>
              <w:rPr>
                <w:snapToGrid/>
                <w:szCs w:val="22"/>
              </w:rPr>
            </w:pPr>
            <w:r>
              <w:rPr>
                <w:color w:val="333333"/>
                <w:szCs w:val="22"/>
              </w:rPr>
              <w:t>PA</w:t>
            </w:r>
          </w:p>
        </w:tc>
        <w:tc>
          <w:tcPr>
            <w:tcW w:w="666" w:type="pct"/>
            <w:shd w:val="clear" w:color="auto" w:fill="auto"/>
            <w:vAlign w:val="center"/>
          </w:tcPr>
          <w:p w:rsidR="005A1390" w:rsidP="005A1390" w14:paraId="5E58E1B2" w14:textId="6A691802">
            <w:pPr>
              <w:rPr>
                <w:snapToGrid/>
                <w:szCs w:val="22"/>
              </w:rPr>
            </w:pPr>
            <w:r>
              <w:rPr>
                <w:color w:val="333333"/>
                <w:szCs w:val="22"/>
              </w:rPr>
              <w:t>39875</w:t>
            </w:r>
          </w:p>
        </w:tc>
        <w:tc>
          <w:tcPr>
            <w:tcW w:w="902" w:type="pct"/>
            <w:shd w:val="clear" w:color="auto" w:fill="auto"/>
            <w:vAlign w:val="center"/>
          </w:tcPr>
          <w:p w:rsidR="005A1390" w:rsidP="005A1390" w14:paraId="12D7635A" w14:textId="59AF0094">
            <w:pPr>
              <w:rPr>
                <w:snapToGrid/>
                <w:szCs w:val="22"/>
              </w:rPr>
            </w:pPr>
            <w:r>
              <w:rPr>
                <w:color w:val="333333"/>
                <w:szCs w:val="22"/>
              </w:rPr>
              <w:t>0000240106</w:t>
            </w:r>
          </w:p>
        </w:tc>
      </w:tr>
      <w:tr w14:paraId="3FCE812F" w14:textId="77777777">
        <w:tblPrEx>
          <w:tblW w:w="5000" w:type="pct"/>
          <w:tblLook w:val="04A0"/>
        </w:tblPrEx>
        <w:trPr>
          <w:trHeight w:val="288"/>
        </w:trPr>
        <w:tc>
          <w:tcPr>
            <w:tcW w:w="764" w:type="pct"/>
            <w:shd w:val="clear" w:color="auto" w:fill="auto"/>
            <w:vAlign w:val="center"/>
          </w:tcPr>
          <w:p w:rsidR="005A1390" w:rsidP="005A1390" w14:paraId="0A5A63ED" w14:textId="51862F95">
            <w:pPr>
              <w:rPr>
                <w:snapToGrid/>
                <w:szCs w:val="22"/>
              </w:rPr>
            </w:pPr>
            <w:r>
              <w:rPr>
                <w:color w:val="333333"/>
                <w:szCs w:val="22"/>
              </w:rPr>
              <w:t>KWPN</w:t>
            </w:r>
          </w:p>
        </w:tc>
        <w:tc>
          <w:tcPr>
            <w:tcW w:w="678" w:type="pct"/>
            <w:shd w:val="clear" w:color="auto" w:fill="auto"/>
            <w:vAlign w:val="center"/>
          </w:tcPr>
          <w:p w:rsidR="005A1390" w:rsidP="005A1390" w14:paraId="5D91F43A" w14:textId="4E776866">
            <w:pPr>
              <w:rPr>
                <w:color w:val="333333"/>
                <w:szCs w:val="22"/>
              </w:rPr>
            </w:pPr>
            <w:r>
              <w:rPr>
                <w:color w:val="333333"/>
                <w:szCs w:val="22"/>
              </w:rPr>
              <w:t>AM</w:t>
            </w:r>
          </w:p>
        </w:tc>
        <w:tc>
          <w:tcPr>
            <w:tcW w:w="1293" w:type="pct"/>
            <w:shd w:val="clear" w:color="auto" w:fill="auto"/>
            <w:vAlign w:val="center"/>
          </w:tcPr>
          <w:p w:rsidR="005A1390" w:rsidP="005A1390" w14:paraId="5CBA30C1" w14:textId="1E912C6F">
            <w:pPr>
              <w:rPr>
                <w:snapToGrid/>
                <w:szCs w:val="22"/>
              </w:rPr>
            </w:pPr>
            <w:r>
              <w:rPr>
                <w:color w:val="333333"/>
                <w:szCs w:val="22"/>
              </w:rPr>
              <w:t>MOORE</w:t>
            </w:r>
          </w:p>
        </w:tc>
        <w:tc>
          <w:tcPr>
            <w:tcW w:w="697" w:type="pct"/>
            <w:shd w:val="clear" w:color="auto" w:fill="auto"/>
            <w:vAlign w:val="center"/>
          </w:tcPr>
          <w:p w:rsidR="005A1390" w:rsidP="005A1390" w14:paraId="6DED44B6" w14:textId="06817C96">
            <w:pPr>
              <w:rPr>
                <w:snapToGrid/>
                <w:szCs w:val="22"/>
              </w:rPr>
            </w:pPr>
            <w:r>
              <w:rPr>
                <w:color w:val="333333"/>
                <w:szCs w:val="22"/>
              </w:rPr>
              <w:t>OK</w:t>
            </w:r>
          </w:p>
        </w:tc>
        <w:tc>
          <w:tcPr>
            <w:tcW w:w="666" w:type="pct"/>
            <w:shd w:val="clear" w:color="auto" w:fill="auto"/>
            <w:vAlign w:val="center"/>
          </w:tcPr>
          <w:p w:rsidR="005A1390" w:rsidP="005A1390" w14:paraId="4271E9D6" w14:textId="5CCAF32B">
            <w:pPr>
              <w:rPr>
                <w:snapToGrid/>
                <w:szCs w:val="22"/>
              </w:rPr>
            </w:pPr>
            <w:r>
              <w:rPr>
                <w:color w:val="333333"/>
                <w:szCs w:val="22"/>
              </w:rPr>
              <w:t>22190</w:t>
            </w:r>
          </w:p>
        </w:tc>
        <w:tc>
          <w:tcPr>
            <w:tcW w:w="902" w:type="pct"/>
            <w:shd w:val="clear" w:color="auto" w:fill="auto"/>
            <w:vAlign w:val="center"/>
          </w:tcPr>
          <w:p w:rsidR="005A1390" w:rsidP="005A1390" w14:paraId="272489FD" w14:textId="29B61DB6">
            <w:pPr>
              <w:rPr>
                <w:snapToGrid/>
                <w:szCs w:val="22"/>
              </w:rPr>
            </w:pPr>
            <w:r>
              <w:rPr>
                <w:color w:val="333333"/>
                <w:szCs w:val="22"/>
              </w:rPr>
              <w:t>0000240107</w:t>
            </w:r>
          </w:p>
        </w:tc>
      </w:tr>
      <w:tr w14:paraId="54E56BEC" w14:textId="77777777">
        <w:tblPrEx>
          <w:tblW w:w="5000" w:type="pct"/>
          <w:tblLook w:val="04A0"/>
        </w:tblPrEx>
        <w:trPr>
          <w:trHeight w:val="288"/>
        </w:trPr>
        <w:tc>
          <w:tcPr>
            <w:tcW w:w="764" w:type="pct"/>
            <w:shd w:val="clear" w:color="auto" w:fill="auto"/>
            <w:vAlign w:val="center"/>
          </w:tcPr>
          <w:p w:rsidR="005A1390" w:rsidP="005A1390" w14:paraId="703EAC7B" w14:textId="0D809791">
            <w:pPr>
              <w:rPr>
                <w:snapToGrid/>
                <w:szCs w:val="22"/>
              </w:rPr>
            </w:pPr>
            <w:r>
              <w:rPr>
                <w:color w:val="333333"/>
                <w:szCs w:val="22"/>
              </w:rPr>
              <w:t>KMGA</w:t>
            </w:r>
          </w:p>
        </w:tc>
        <w:tc>
          <w:tcPr>
            <w:tcW w:w="678" w:type="pct"/>
            <w:shd w:val="clear" w:color="auto" w:fill="auto"/>
            <w:vAlign w:val="center"/>
          </w:tcPr>
          <w:p w:rsidR="005A1390" w:rsidP="005A1390" w14:paraId="6C375101" w14:textId="55ECFE73">
            <w:pPr>
              <w:rPr>
                <w:color w:val="333333"/>
                <w:szCs w:val="22"/>
              </w:rPr>
            </w:pPr>
            <w:r>
              <w:rPr>
                <w:color w:val="333333"/>
                <w:szCs w:val="22"/>
              </w:rPr>
              <w:t>FM</w:t>
            </w:r>
          </w:p>
        </w:tc>
        <w:tc>
          <w:tcPr>
            <w:tcW w:w="1293" w:type="pct"/>
            <w:shd w:val="clear" w:color="auto" w:fill="auto"/>
            <w:vAlign w:val="center"/>
          </w:tcPr>
          <w:p w:rsidR="005A1390" w:rsidP="005A1390" w14:paraId="593042DF" w14:textId="156FB562">
            <w:pPr>
              <w:rPr>
                <w:snapToGrid/>
                <w:szCs w:val="22"/>
              </w:rPr>
            </w:pPr>
            <w:r>
              <w:rPr>
                <w:color w:val="333333"/>
                <w:szCs w:val="22"/>
              </w:rPr>
              <w:t>ALBUQUERQUE</w:t>
            </w:r>
          </w:p>
        </w:tc>
        <w:tc>
          <w:tcPr>
            <w:tcW w:w="697" w:type="pct"/>
            <w:shd w:val="clear" w:color="auto" w:fill="auto"/>
            <w:vAlign w:val="center"/>
          </w:tcPr>
          <w:p w:rsidR="005A1390" w:rsidP="005A1390" w14:paraId="2B823B2E" w14:textId="22D89A03">
            <w:pPr>
              <w:rPr>
                <w:snapToGrid/>
                <w:szCs w:val="22"/>
              </w:rPr>
            </w:pPr>
            <w:r>
              <w:rPr>
                <w:color w:val="333333"/>
                <w:szCs w:val="22"/>
              </w:rPr>
              <w:t>NM</w:t>
            </w:r>
          </w:p>
        </w:tc>
        <w:tc>
          <w:tcPr>
            <w:tcW w:w="666" w:type="pct"/>
            <w:shd w:val="clear" w:color="auto" w:fill="auto"/>
            <w:vAlign w:val="center"/>
          </w:tcPr>
          <w:p w:rsidR="005A1390" w:rsidP="005A1390" w14:paraId="3E252934" w14:textId="70DFAEC8">
            <w:pPr>
              <w:rPr>
                <w:snapToGrid/>
                <w:szCs w:val="22"/>
              </w:rPr>
            </w:pPr>
            <w:r>
              <w:rPr>
                <w:color w:val="333333"/>
                <w:szCs w:val="22"/>
              </w:rPr>
              <w:t>11231</w:t>
            </w:r>
          </w:p>
        </w:tc>
        <w:tc>
          <w:tcPr>
            <w:tcW w:w="902" w:type="pct"/>
            <w:shd w:val="clear" w:color="auto" w:fill="auto"/>
            <w:vAlign w:val="center"/>
          </w:tcPr>
          <w:p w:rsidR="005A1390" w:rsidP="005A1390" w14:paraId="32AA9366" w14:textId="4A9E90D4">
            <w:pPr>
              <w:rPr>
                <w:snapToGrid/>
                <w:szCs w:val="22"/>
              </w:rPr>
            </w:pPr>
            <w:r>
              <w:rPr>
                <w:color w:val="333333"/>
                <w:szCs w:val="22"/>
              </w:rPr>
              <w:t>0000240108</w:t>
            </w:r>
          </w:p>
        </w:tc>
      </w:tr>
      <w:tr w14:paraId="7925119A" w14:textId="77777777">
        <w:tblPrEx>
          <w:tblW w:w="5000" w:type="pct"/>
          <w:tblLook w:val="04A0"/>
        </w:tblPrEx>
        <w:trPr>
          <w:trHeight w:val="288"/>
        </w:trPr>
        <w:tc>
          <w:tcPr>
            <w:tcW w:w="764" w:type="pct"/>
            <w:shd w:val="clear" w:color="auto" w:fill="auto"/>
            <w:vAlign w:val="center"/>
          </w:tcPr>
          <w:p w:rsidR="005A1390" w:rsidP="005A1390" w14:paraId="006A1B99" w14:textId="17D0B948">
            <w:pPr>
              <w:rPr>
                <w:snapToGrid/>
                <w:szCs w:val="22"/>
              </w:rPr>
            </w:pPr>
            <w:r>
              <w:rPr>
                <w:color w:val="333333"/>
                <w:szCs w:val="22"/>
              </w:rPr>
              <w:t>WPRV</w:t>
            </w:r>
          </w:p>
        </w:tc>
        <w:tc>
          <w:tcPr>
            <w:tcW w:w="678" w:type="pct"/>
            <w:shd w:val="clear" w:color="auto" w:fill="auto"/>
            <w:vAlign w:val="center"/>
          </w:tcPr>
          <w:p w:rsidR="005A1390" w:rsidP="005A1390" w14:paraId="156EBF5F" w14:textId="7FEA631B">
            <w:pPr>
              <w:rPr>
                <w:color w:val="333333"/>
                <w:szCs w:val="22"/>
              </w:rPr>
            </w:pPr>
            <w:r>
              <w:rPr>
                <w:color w:val="333333"/>
                <w:szCs w:val="22"/>
              </w:rPr>
              <w:t>AM</w:t>
            </w:r>
          </w:p>
        </w:tc>
        <w:tc>
          <w:tcPr>
            <w:tcW w:w="1293" w:type="pct"/>
            <w:shd w:val="clear" w:color="auto" w:fill="auto"/>
            <w:vAlign w:val="center"/>
          </w:tcPr>
          <w:p w:rsidR="005A1390" w:rsidP="005A1390" w14:paraId="0EE583F9" w14:textId="77EA086E">
            <w:pPr>
              <w:rPr>
                <w:snapToGrid/>
                <w:szCs w:val="22"/>
              </w:rPr>
            </w:pPr>
            <w:r>
              <w:rPr>
                <w:color w:val="333333"/>
                <w:szCs w:val="22"/>
              </w:rPr>
              <w:t>PROVIDENCE</w:t>
            </w:r>
          </w:p>
        </w:tc>
        <w:tc>
          <w:tcPr>
            <w:tcW w:w="697" w:type="pct"/>
            <w:shd w:val="clear" w:color="auto" w:fill="auto"/>
            <w:vAlign w:val="center"/>
          </w:tcPr>
          <w:p w:rsidR="005A1390" w:rsidP="005A1390" w14:paraId="16048D8F" w14:textId="600B1BAE">
            <w:pPr>
              <w:rPr>
                <w:snapToGrid/>
                <w:szCs w:val="22"/>
              </w:rPr>
            </w:pPr>
            <w:r>
              <w:rPr>
                <w:color w:val="333333"/>
                <w:szCs w:val="22"/>
              </w:rPr>
              <w:t>RI</w:t>
            </w:r>
          </w:p>
        </w:tc>
        <w:tc>
          <w:tcPr>
            <w:tcW w:w="666" w:type="pct"/>
            <w:shd w:val="clear" w:color="auto" w:fill="auto"/>
            <w:vAlign w:val="center"/>
          </w:tcPr>
          <w:p w:rsidR="005A1390" w:rsidP="005A1390" w14:paraId="47B76494" w14:textId="504119A7">
            <w:pPr>
              <w:rPr>
                <w:snapToGrid/>
                <w:szCs w:val="22"/>
              </w:rPr>
            </w:pPr>
            <w:r>
              <w:rPr>
                <w:color w:val="333333"/>
                <w:szCs w:val="22"/>
              </w:rPr>
              <w:t>64840</w:t>
            </w:r>
          </w:p>
        </w:tc>
        <w:tc>
          <w:tcPr>
            <w:tcW w:w="902" w:type="pct"/>
            <w:shd w:val="clear" w:color="auto" w:fill="auto"/>
            <w:vAlign w:val="center"/>
          </w:tcPr>
          <w:p w:rsidR="005A1390" w:rsidP="005A1390" w14:paraId="619A57BE" w14:textId="4026FA52">
            <w:pPr>
              <w:rPr>
                <w:snapToGrid/>
                <w:szCs w:val="22"/>
              </w:rPr>
            </w:pPr>
            <w:r>
              <w:rPr>
                <w:color w:val="333333"/>
                <w:szCs w:val="22"/>
              </w:rPr>
              <w:t>0000240109</w:t>
            </w:r>
          </w:p>
        </w:tc>
      </w:tr>
      <w:tr w14:paraId="2E12FB2B" w14:textId="77777777">
        <w:tblPrEx>
          <w:tblW w:w="5000" w:type="pct"/>
          <w:tblLook w:val="04A0"/>
        </w:tblPrEx>
        <w:trPr>
          <w:trHeight w:val="288"/>
        </w:trPr>
        <w:tc>
          <w:tcPr>
            <w:tcW w:w="764" w:type="pct"/>
            <w:shd w:val="clear" w:color="auto" w:fill="auto"/>
            <w:vAlign w:val="center"/>
          </w:tcPr>
          <w:p w:rsidR="005A1390" w:rsidP="005A1390" w14:paraId="1E212B45" w14:textId="219B2A93">
            <w:pPr>
              <w:rPr>
                <w:snapToGrid/>
                <w:szCs w:val="22"/>
              </w:rPr>
            </w:pPr>
            <w:r>
              <w:rPr>
                <w:color w:val="333333"/>
                <w:szCs w:val="22"/>
              </w:rPr>
              <w:t>WODE-FM</w:t>
            </w:r>
          </w:p>
        </w:tc>
        <w:tc>
          <w:tcPr>
            <w:tcW w:w="678" w:type="pct"/>
            <w:shd w:val="clear" w:color="auto" w:fill="auto"/>
            <w:vAlign w:val="center"/>
          </w:tcPr>
          <w:p w:rsidR="005A1390" w:rsidP="005A1390" w14:paraId="648D2088" w14:textId="5DE90123">
            <w:pPr>
              <w:rPr>
                <w:color w:val="333333"/>
                <w:szCs w:val="22"/>
              </w:rPr>
            </w:pPr>
            <w:r>
              <w:rPr>
                <w:color w:val="333333"/>
                <w:szCs w:val="22"/>
              </w:rPr>
              <w:t>FM</w:t>
            </w:r>
          </w:p>
        </w:tc>
        <w:tc>
          <w:tcPr>
            <w:tcW w:w="1293" w:type="pct"/>
            <w:shd w:val="clear" w:color="auto" w:fill="auto"/>
            <w:vAlign w:val="center"/>
          </w:tcPr>
          <w:p w:rsidR="005A1390" w:rsidP="005A1390" w14:paraId="1C15D982" w14:textId="5E99ED84">
            <w:pPr>
              <w:rPr>
                <w:snapToGrid/>
                <w:szCs w:val="22"/>
              </w:rPr>
            </w:pPr>
            <w:r>
              <w:rPr>
                <w:color w:val="333333"/>
                <w:szCs w:val="22"/>
              </w:rPr>
              <w:t>EASTON</w:t>
            </w:r>
          </w:p>
        </w:tc>
        <w:tc>
          <w:tcPr>
            <w:tcW w:w="697" w:type="pct"/>
            <w:shd w:val="clear" w:color="auto" w:fill="auto"/>
            <w:vAlign w:val="center"/>
          </w:tcPr>
          <w:p w:rsidR="005A1390" w:rsidP="005A1390" w14:paraId="0D46202E" w14:textId="25ECC848">
            <w:pPr>
              <w:rPr>
                <w:snapToGrid/>
                <w:szCs w:val="22"/>
              </w:rPr>
            </w:pPr>
            <w:r>
              <w:rPr>
                <w:color w:val="333333"/>
                <w:szCs w:val="22"/>
              </w:rPr>
              <w:t>PA</w:t>
            </w:r>
          </w:p>
        </w:tc>
        <w:tc>
          <w:tcPr>
            <w:tcW w:w="666" w:type="pct"/>
            <w:shd w:val="clear" w:color="auto" w:fill="auto"/>
            <w:vAlign w:val="center"/>
          </w:tcPr>
          <w:p w:rsidR="005A1390" w:rsidP="005A1390" w14:paraId="564D30EB" w14:textId="6C820431">
            <w:pPr>
              <w:rPr>
                <w:snapToGrid/>
                <w:szCs w:val="22"/>
              </w:rPr>
            </w:pPr>
            <w:r>
              <w:rPr>
                <w:color w:val="333333"/>
                <w:szCs w:val="22"/>
              </w:rPr>
              <w:t>8595</w:t>
            </w:r>
          </w:p>
        </w:tc>
        <w:tc>
          <w:tcPr>
            <w:tcW w:w="902" w:type="pct"/>
            <w:shd w:val="clear" w:color="auto" w:fill="auto"/>
            <w:vAlign w:val="center"/>
          </w:tcPr>
          <w:p w:rsidR="005A1390" w:rsidP="005A1390" w14:paraId="6A5A87A7" w14:textId="325DE572">
            <w:pPr>
              <w:rPr>
                <w:snapToGrid/>
                <w:szCs w:val="22"/>
              </w:rPr>
            </w:pPr>
            <w:r>
              <w:rPr>
                <w:color w:val="333333"/>
                <w:szCs w:val="22"/>
              </w:rPr>
              <w:t>0000240110</w:t>
            </w:r>
          </w:p>
        </w:tc>
      </w:tr>
      <w:tr w14:paraId="107F7F93" w14:textId="77777777">
        <w:tblPrEx>
          <w:tblW w:w="5000" w:type="pct"/>
          <w:tblLook w:val="04A0"/>
        </w:tblPrEx>
        <w:trPr>
          <w:trHeight w:val="288"/>
        </w:trPr>
        <w:tc>
          <w:tcPr>
            <w:tcW w:w="764" w:type="pct"/>
            <w:shd w:val="clear" w:color="auto" w:fill="auto"/>
            <w:vAlign w:val="center"/>
          </w:tcPr>
          <w:p w:rsidR="005A1390" w:rsidP="005A1390" w14:paraId="52F6C9FF" w14:textId="3FCEDC34">
            <w:pPr>
              <w:rPr>
                <w:snapToGrid/>
                <w:szCs w:val="22"/>
              </w:rPr>
            </w:pPr>
            <w:r>
              <w:rPr>
                <w:color w:val="333333"/>
                <w:szCs w:val="22"/>
              </w:rPr>
              <w:t>KDJK</w:t>
            </w:r>
          </w:p>
        </w:tc>
        <w:tc>
          <w:tcPr>
            <w:tcW w:w="678" w:type="pct"/>
            <w:shd w:val="clear" w:color="auto" w:fill="auto"/>
            <w:vAlign w:val="center"/>
          </w:tcPr>
          <w:p w:rsidR="005A1390" w:rsidP="005A1390" w14:paraId="74BCAADA" w14:textId="4EDD7F25">
            <w:pPr>
              <w:rPr>
                <w:color w:val="333333"/>
                <w:szCs w:val="22"/>
              </w:rPr>
            </w:pPr>
            <w:r>
              <w:rPr>
                <w:color w:val="333333"/>
                <w:szCs w:val="22"/>
              </w:rPr>
              <w:t>FM</w:t>
            </w:r>
          </w:p>
        </w:tc>
        <w:tc>
          <w:tcPr>
            <w:tcW w:w="1293" w:type="pct"/>
            <w:shd w:val="clear" w:color="auto" w:fill="auto"/>
            <w:vAlign w:val="center"/>
          </w:tcPr>
          <w:p w:rsidR="005A1390" w:rsidP="005A1390" w14:paraId="61BB5262" w14:textId="004A8022">
            <w:pPr>
              <w:rPr>
                <w:snapToGrid/>
                <w:szCs w:val="22"/>
              </w:rPr>
            </w:pPr>
            <w:r>
              <w:rPr>
                <w:color w:val="333333"/>
                <w:szCs w:val="22"/>
              </w:rPr>
              <w:t>MARIPOSA</w:t>
            </w:r>
          </w:p>
        </w:tc>
        <w:tc>
          <w:tcPr>
            <w:tcW w:w="697" w:type="pct"/>
            <w:shd w:val="clear" w:color="auto" w:fill="auto"/>
            <w:vAlign w:val="center"/>
          </w:tcPr>
          <w:p w:rsidR="005A1390" w:rsidP="005A1390" w14:paraId="6A545D54" w14:textId="72EBAF85">
            <w:pPr>
              <w:rPr>
                <w:snapToGrid/>
                <w:szCs w:val="22"/>
              </w:rPr>
            </w:pPr>
            <w:r>
              <w:rPr>
                <w:color w:val="333333"/>
                <w:szCs w:val="22"/>
              </w:rPr>
              <w:t>CA</w:t>
            </w:r>
          </w:p>
        </w:tc>
        <w:tc>
          <w:tcPr>
            <w:tcW w:w="666" w:type="pct"/>
            <w:shd w:val="clear" w:color="auto" w:fill="auto"/>
            <w:vAlign w:val="center"/>
          </w:tcPr>
          <w:p w:rsidR="005A1390" w:rsidP="005A1390" w14:paraId="418D56A7" w14:textId="52E7B48D">
            <w:pPr>
              <w:rPr>
                <w:snapToGrid/>
                <w:szCs w:val="22"/>
              </w:rPr>
            </w:pPr>
            <w:r>
              <w:rPr>
                <w:color w:val="333333"/>
                <w:szCs w:val="22"/>
              </w:rPr>
              <w:t>11241</w:t>
            </w:r>
          </w:p>
        </w:tc>
        <w:tc>
          <w:tcPr>
            <w:tcW w:w="902" w:type="pct"/>
            <w:shd w:val="clear" w:color="auto" w:fill="auto"/>
            <w:vAlign w:val="center"/>
          </w:tcPr>
          <w:p w:rsidR="005A1390" w:rsidP="005A1390" w14:paraId="66421729" w14:textId="57380F18">
            <w:pPr>
              <w:rPr>
                <w:snapToGrid/>
                <w:szCs w:val="22"/>
              </w:rPr>
            </w:pPr>
            <w:r>
              <w:rPr>
                <w:color w:val="333333"/>
                <w:szCs w:val="22"/>
              </w:rPr>
              <w:t>0000240111</w:t>
            </w:r>
          </w:p>
        </w:tc>
      </w:tr>
      <w:tr w14:paraId="7E926616" w14:textId="77777777">
        <w:tblPrEx>
          <w:tblW w:w="5000" w:type="pct"/>
          <w:tblLook w:val="04A0"/>
        </w:tblPrEx>
        <w:trPr>
          <w:trHeight w:val="288"/>
        </w:trPr>
        <w:tc>
          <w:tcPr>
            <w:tcW w:w="764" w:type="pct"/>
            <w:shd w:val="clear" w:color="auto" w:fill="auto"/>
            <w:vAlign w:val="center"/>
          </w:tcPr>
          <w:p w:rsidR="005A1390" w:rsidP="005A1390" w14:paraId="064DF1AA" w14:textId="2AB09D1C">
            <w:pPr>
              <w:rPr>
                <w:snapToGrid/>
                <w:szCs w:val="22"/>
              </w:rPr>
            </w:pPr>
            <w:r>
              <w:rPr>
                <w:color w:val="333333"/>
                <w:szCs w:val="22"/>
              </w:rPr>
              <w:t>K233CG</w:t>
            </w:r>
          </w:p>
        </w:tc>
        <w:tc>
          <w:tcPr>
            <w:tcW w:w="678" w:type="pct"/>
            <w:shd w:val="clear" w:color="auto" w:fill="auto"/>
            <w:vAlign w:val="center"/>
          </w:tcPr>
          <w:p w:rsidR="005A1390" w:rsidP="005A1390" w14:paraId="5791F3CF" w14:textId="226389B5">
            <w:pPr>
              <w:rPr>
                <w:color w:val="333333"/>
                <w:szCs w:val="22"/>
              </w:rPr>
            </w:pPr>
            <w:r>
              <w:rPr>
                <w:color w:val="333333"/>
                <w:szCs w:val="22"/>
              </w:rPr>
              <w:t>FX</w:t>
            </w:r>
          </w:p>
        </w:tc>
        <w:tc>
          <w:tcPr>
            <w:tcW w:w="1293" w:type="pct"/>
            <w:shd w:val="clear" w:color="auto" w:fill="auto"/>
            <w:vAlign w:val="center"/>
          </w:tcPr>
          <w:p w:rsidR="005A1390" w:rsidP="005A1390" w14:paraId="6E4312AB" w14:textId="5D481D77">
            <w:pPr>
              <w:rPr>
                <w:snapToGrid/>
                <w:szCs w:val="22"/>
              </w:rPr>
            </w:pPr>
            <w:r>
              <w:rPr>
                <w:color w:val="333333"/>
                <w:szCs w:val="22"/>
              </w:rPr>
              <w:t>SANDIA</w:t>
            </w:r>
          </w:p>
        </w:tc>
        <w:tc>
          <w:tcPr>
            <w:tcW w:w="697" w:type="pct"/>
            <w:shd w:val="clear" w:color="auto" w:fill="auto"/>
            <w:vAlign w:val="center"/>
          </w:tcPr>
          <w:p w:rsidR="005A1390" w:rsidP="005A1390" w14:paraId="1E300E9A" w14:textId="194F5DB9">
            <w:pPr>
              <w:rPr>
                <w:snapToGrid/>
                <w:szCs w:val="22"/>
              </w:rPr>
            </w:pPr>
            <w:r>
              <w:rPr>
                <w:color w:val="333333"/>
                <w:szCs w:val="22"/>
              </w:rPr>
              <w:t>NM</w:t>
            </w:r>
          </w:p>
        </w:tc>
        <w:tc>
          <w:tcPr>
            <w:tcW w:w="666" w:type="pct"/>
            <w:shd w:val="clear" w:color="auto" w:fill="auto"/>
            <w:vAlign w:val="center"/>
          </w:tcPr>
          <w:p w:rsidR="005A1390" w:rsidP="005A1390" w14:paraId="34ACF3C0" w14:textId="1E065CAB">
            <w:pPr>
              <w:rPr>
                <w:snapToGrid/>
                <w:szCs w:val="22"/>
              </w:rPr>
            </w:pPr>
            <w:r>
              <w:rPr>
                <w:color w:val="333333"/>
                <w:szCs w:val="22"/>
              </w:rPr>
              <w:t>88468</w:t>
            </w:r>
          </w:p>
        </w:tc>
        <w:tc>
          <w:tcPr>
            <w:tcW w:w="902" w:type="pct"/>
            <w:shd w:val="clear" w:color="auto" w:fill="auto"/>
            <w:vAlign w:val="center"/>
          </w:tcPr>
          <w:p w:rsidR="005A1390" w:rsidP="005A1390" w14:paraId="6A0FE35D" w14:textId="1CA7ECE7">
            <w:pPr>
              <w:rPr>
                <w:snapToGrid/>
                <w:szCs w:val="22"/>
              </w:rPr>
            </w:pPr>
            <w:r>
              <w:rPr>
                <w:color w:val="333333"/>
                <w:szCs w:val="22"/>
              </w:rPr>
              <w:t>0000240112</w:t>
            </w:r>
          </w:p>
        </w:tc>
      </w:tr>
      <w:tr w14:paraId="794B2982" w14:textId="77777777">
        <w:tblPrEx>
          <w:tblW w:w="5000" w:type="pct"/>
          <w:tblLook w:val="04A0"/>
        </w:tblPrEx>
        <w:trPr>
          <w:trHeight w:val="288"/>
        </w:trPr>
        <w:tc>
          <w:tcPr>
            <w:tcW w:w="764" w:type="pct"/>
            <w:shd w:val="clear" w:color="auto" w:fill="auto"/>
            <w:vAlign w:val="center"/>
          </w:tcPr>
          <w:p w:rsidR="005A1390" w:rsidP="005A1390" w14:paraId="51634B22" w14:textId="2A8D7277">
            <w:pPr>
              <w:rPr>
                <w:snapToGrid/>
                <w:szCs w:val="22"/>
              </w:rPr>
            </w:pPr>
            <w:r>
              <w:rPr>
                <w:color w:val="333333"/>
                <w:szCs w:val="22"/>
              </w:rPr>
              <w:t>KKWD</w:t>
            </w:r>
          </w:p>
        </w:tc>
        <w:tc>
          <w:tcPr>
            <w:tcW w:w="678" w:type="pct"/>
            <w:shd w:val="clear" w:color="auto" w:fill="auto"/>
            <w:vAlign w:val="center"/>
          </w:tcPr>
          <w:p w:rsidR="005A1390" w:rsidP="005A1390" w14:paraId="0BBF1A00" w14:textId="5FA6A15F">
            <w:pPr>
              <w:rPr>
                <w:color w:val="333333"/>
                <w:szCs w:val="22"/>
              </w:rPr>
            </w:pPr>
            <w:r>
              <w:rPr>
                <w:color w:val="333333"/>
                <w:szCs w:val="22"/>
              </w:rPr>
              <w:t>FM</w:t>
            </w:r>
          </w:p>
        </w:tc>
        <w:tc>
          <w:tcPr>
            <w:tcW w:w="1293" w:type="pct"/>
            <w:shd w:val="clear" w:color="auto" w:fill="auto"/>
            <w:vAlign w:val="center"/>
          </w:tcPr>
          <w:p w:rsidR="005A1390" w:rsidP="005A1390" w14:paraId="4677E3DA" w14:textId="5C0CEC23">
            <w:pPr>
              <w:rPr>
                <w:snapToGrid/>
                <w:szCs w:val="22"/>
              </w:rPr>
            </w:pPr>
            <w:r>
              <w:rPr>
                <w:color w:val="333333"/>
                <w:szCs w:val="22"/>
              </w:rPr>
              <w:t>BETHANY</w:t>
            </w:r>
          </w:p>
        </w:tc>
        <w:tc>
          <w:tcPr>
            <w:tcW w:w="697" w:type="pct"/>
            <w:shd w:val="clear" w:color="auto" w:fill="auto"/>
            <w:vAlign w:val="center"/>
          </w:tcPr>
          <w:p w:rsidR="005A1390" w:rsidP="005A1390" w14:paraId="006CE99B" w14:textId="309638E1">
            <w:pPr>
              <w:rPr>
                <w:snapToGrid/>
                <w:szCs w:val="22"/>
              </w:rPr>
            </w:pPr>
            <w:r>
              <w:rPr>
                <w:color w:val="333333"/>
                <w:szCs w:val="22"/>
              </w:rPr>
              <w:t>OK</w:t>
            </w:r>
          </w:p>
        </w:tc>
        <w:tc>
          <w:tcPr>
            <w:tcW w:w="666" w:type="pct"/>
            <w:shd w:val="clear" w:color="auto" w:fill="auto"/>
            <w:vAlign w:val="center"/>
          </w:tcPr>
          <w:p w:rsidR="005A1390" w:rsidP="005A1390" w14:paraId="6D4A96C1" w14:textId="751DBE9F">
            <w:pPr>
              <w:rPr>
                <w:snapToGrid/>
                <w:szCs w:val="22"/>
              </w:rPr>
            </w:pPr>
            <w:r>
              <w:rPr>
                <w:color w:val="333333"/>
                <w:szCs w:val="22"/>
              </w:rPr>
              <w:t>6509</w:t>
            </w:r>
          </w:p>
        </w:tc>
        <w:tc>
          <w:tcPr>
            <w:tcW w:w="902" w:type="pct"/>
            <w:shd w:val="clear" w:color="auto" w:fill="auto"/>
            <w:vAlign w:val="center"/>
          </w:tcPr>
          <w:p w:rsidR="005A1390" w:rsidP="005A1390" w14:paraId="618653D6" w14:textId="713823F2">
            <w:pPr>
              <w:rPr>
                <w:snapToGrid/>
                <w:szCs w:val="22"/>
              </w:rPr>
            </w:pPr>
            <w:r>
              <w:rPr>
                <w:color w:val="333333"/>
                <w:szCs w:val="22"/>
              </w:rPr>
              <w:t>0000240113</w:t>
            </w:r>
          </w:p>
        </w:tc>
      </w:tr>
      <w:tr w14:paraId="58116119" w14:textId="77777777">
        <w:tblPrEx>
          <w:tblW w:w="5000" w:type="pct"/>
          <w:tblLook w:val="04A0"/>
        </w:tblPrEx>
        <w:trPr>
          <w:trHeight w:val="288"/>
        </w:trPr>
        <w:tc>
          <w:tcPr>
            <w:tcW w:w="764" w:type="pct"/>
            <w:shd w:val="clear" w:color="auto" w:fill="auto"/>
            <w:vAlign w:val="center"/>
          </w:tcPr>
          <w:p w:rsidR="005A1390" w:rsidP="005A1390" w14:paraId="5384483A" w14:textId="22DDEAFB">
            <w:pPr>
              <w:rPr>
                <w:snapToGrid/>
                <w:szCs w:val="22"/>
              </w:rPr>
            </w:pPr>
            <w:r>
              <w:rPr>
                <w:color w:val="333333"/>
                <w:szCs w:val="22"/>
              </w:rPr>
              <w:t>KRST</w:t>
            </w:r>
          </w:p>
        </w:tc>
        <w:tc>
          <w:tcPr>
            <w:tcW w:w="678" w:type="pct"/>
            <w:shd w:val="clear" w:color="auto" w:fill="auto"/>
            <w:vAlign w:val="center"/>
          </w:tcPr>
          <w:p w:rsidR="005A1390" w:rsidP="005A1390" w14:paraId="3B3F0F26" w14:textId="16899155">
            <w:pPr>
              <w:rPr>
                <w:color w:val="333333"/>
                <w:szCs w:val="22"/>
              </w:rPr>
            </w:pPr>
            <w:r>
              <w:rPr>
                <w:color w:val="333333"/>
                <w:szCs w:val="22"/>
              </w:rPr>
              <w:t>FM</w:t>
            </w:r>
          </w:p>
        </w:tc>
        <w:tc>
          <w:tcPr>
            <w:tcW w:w="1293" w:type="pct"/>
            <w:shd w:val="clear" w:color="auto" w:fill="auto"/>
            <w:vAlign w:val="center"/>
          </w:tcPr>
          <w:p w:rsidR="005A1390" w:rsidP="005A1390" w14:paraId="192FDE8F" w14:textId="701F8D3F">
            <w:pPr>
              <w:rPr>
                <w:snapToGrid/>
                <w:szCs w:val="22"/>
              </w:rPr>
            </w:pPr>
            <w:r>
              <w:rPr>
                <w:color w:val="333333"/>
                <w:szCs w:val="22"/>
              </w:rPr>
              <w:t>ALBUQUERQUE</w:t>
            </w:r>
          </w:p>
        </w:tc>
        <w:tc>
          <w:tcPr>
            <w:tcW w:w="697" w:type="pct"/>
            <w:shd w:val="clear" w:color="auto" w:fill="auto"/>
            <w:vAlign w:val="center"/>
          </w:tcPr>
          <w:p w:rsidR="005A1390" w:rsidP="005A1390" w14:paraId="5C79DC41" w14:textId="38A673D0">
            <w:pPr>
              <w:rPr>
                <w:snapToGrid/>
                <w:szCs w:val="22"/>
              </w:rPr>
            </w:pPr>
            <w:r>
              <w:rPr>
                <w:color w:val="333333"/>
                <w:szCs w:val="22"/>
              </w:rPr>
              <w:t>NM</w:t>
            </w:r>
          </w:p>
        </w:tc>
        <w:tc>
          <w:tcPr>
            <w:tcW w:w="666" w:type="pct"/>
            <w:shd w:val="clear" w:color="auto" w:fill="auto"/>
            <w:vAlign w:val="center"/>
          </w:tcPr>
          <w:p w:rsidR="005A1390" w:rsidP="005A1390" w14:paraId="4A038E51" w14:textId="1126C3F0">
            <w:pPr>
              <w:rPr>
                <w:snapToGrid/>
                <w:szCs w:val="22"/>
              </w:rPr>
            </w:pPr>
            <w:r>
              <w:rPr>
                <w:color w:val="333333"/>
                <w:szCs w:val="22"/>
              </w:rPr>
              <w:t>12584</w:t>
            </w:r>
          </w:p>
        </w:tc>
        <w:tc>
          <w:tcPr>
            <w:tcW w:w="902" w:type="pct"/>
            <w:shd w:val="clear" w:color="auto" w:fill="auto"/>
            <w:vAlign w:val="center"/>
          </w:tcPr>
          <w:p w:rsidR="005A1390" w:rsidP="005A1390" w14:paraId="05779810" w14:textId="11C7E670">
            <w:pPr>
              <w:rPr>
                <w:snapToGrid/>
                <w:szCs w:val="22"/>
              </w:rPr>
            </w:pPr>
            <w:r>
              <w:rPr>
                <w:color w:val="333333"/>
                <w:szCs w:val="22"/>
              </w:rPr>
              <w:t>0000240114</w:t>
            </w:r>
          </w:p>
        </w:tc>
      </w:tr>
      <w:tr w14:paraId="2D659885" w14:textId="77777777">
        <w:tblPrEx>
          <w:tblW w:w="5000" w:type="pct"/>
          <w:tblLook w:val="04A0"/>
        </w:tblPrEx>
        <w:trPr>
          <w:trHeight w:val="288"/>
        </w:trPr>
        <w:tc>
          <w:tcPr>
            <w:tcW w:w="764" w:type="pct"/>
            <w:shd w:val="clear" w:color="auto" w:fill="auto"/>
            <w:vAlign w:val="center"/>
          </w:tcPr>
          <w:p w:rsidR="005A1390" w:rsidP="005A1390" w14:paraId="0A949743" w14:textId="6C823C53">
            <w:pPr>
              <w:rPr>
                <w:snapToGrid/>
                <w:szCs w:val="22"/>
              </w:rPr>
            </w:pPr>
            <w:r>
              <w:rPr>
                <w:color w:val="333333"/>
                <w:szCs w:val="22"/>
              </w:rPr>
              <w:t>WOKI</w:t>
            </w:r>
          </w:p>
        </w:tc>
        <w:tc>
          <w:tcPr>
            <w:tcW w:w="678" w:type="pct"/>
            <w:shd w:val="clear" w:color="auto" w:fill="auto"/>
            <w:vAlign w:val="center"/>
          </w:tcPr>
          <w:p w:rsidR="005A1390" w:rsidP="005A1390" w14:paraId="2775E210" w14:textId="369918DC">
            <w:pPr>
              <w:rPr>
                <w:color w:val="333333"/>
                <w:szCs w:val="22"/>
              </w:rPr>
            </w:pPr>
            <w:r>
              <w:rPr>
                <w:color w:val="333333"/>
                <w:szCs w:val="22"/>
              </w:rPr>
              <w:t>FM</w:t>
            </w:r>
          </w:p>
        </w:tc>
        <w:tc>
          <w:tcPr>
            <w:tcW w:w="1293" w:type="pct"/>
            <w:shd w:val="clear" w:color="auto" w:fill="auto"/>
            <w:vAlign w:val="center"/>
          </w:tcPr>
          <w:p w:rsidR="005A1390" w:rsidP="005A1390" w14:paraId="7FAD840F" w14:textId="79DB289A">
            <w:pPr>
              <w:rPr>
                <w:snapToGrid/>
                <w:szCs w:val="22"/>
              </w:rPr>
            </w:pPr>
            <w:r>
              <w:rPr>
                <w:color w:val="333333"/>
                <w:szCs w:val="22"/>
              </w:rPr>
              <w:t>OLIVER SPRINGS</w:t>
            </w:r>
          </w:p>
        </w:tc>
        <w:tc>
          <w:tcPr>
            <w:tcW w:w="697" w:type="pct"/>
            <w:shd w:val="clear" w:color="auto" w:fill="auto"/>
            <w:vAlign w:val="center"/>
          </w:tcPr>
          <w:p w:rsidR="005A1390" w:rsidP="005A1390" w14:paraId="3EB01E13" w14:textId="4160CE23">
            <w:pPr>
              <w:rPr>
                <w:snapToGrid/>
                <w:szCs w:val="22"/>
              </w:rPr>
            </w:pPr>
            <w:r>
              <w:rPr>
                <w:color w:val="333333"/>
                <w:szCs w:val="22"/>
              </w:rPr>
              <w:t>TN</w:t>
            </w:r>
          </w:p>
        </w:tc>
        <w:tc>
          <w:tcPr>
            <w:tcW w:w="666" w:type="pct"/>
            <w:shd w:val="clear" w:color="auto" w:fill="auto"/>
            <w:vAlign w:val="center"/>
          </w:tcPr>
          <w:p w:rsidR="005A1390" w:rsidP="005A1390" w14:paraId="057E9034" w14:textId="17379080">
            <w:pPr>
              <w:rPr>
                <w:snapToGrid/>
                <w:szCs w:val="22"/>
              </w:rPr>
            </w:pPr>
            <w:r>
              <w:rPr>
                <w:color w:val="333333"/>
                <w:szCs w:val="22"/>
              </w:rPr>
              <w:t>10457</w:t>
            </w:r>
          </w:p>
        </w:tc>
        <w:tc>
          <w:tcPr>
            <w:tcW w:w="902" w:type="pct"/>
            <w:shd w:val="clear" w:color="auto" w:fill="auto"/>
            <w:vAlign w:val="center"/>
          </w:tcPr>
          <w:p w:rsidR="005A1390" w:rsidP="005A1390" w14:paraId="636ED170" w14:textId="3CE02357">
            <w:pPr>
              <w:rPr>
                <w:snapToGrid/>
                <w:szCs w:val="22"/>
              </w:rPr>
            </w:pPr>
            <w:r>
              <w:rPr>
                <w:color w:val="333333"/>
                <w:szCs w:val="22"/>
              </w:rPr>
              <w:t>0000240115</w:t>
            </w:r>
          </w:p>
        </w:tc>
      </w:tr>
      <w:tr w14:paraId="7C68AB40" w14:textId="77777777">
        <w:tblPrEx>
          <w:tblW w:w="5000" w:type="pct"/>
          <w:tblLook w:val="04A0"/>
        </w:tblPrEx>
        <w:trPr>
          <w:trHeight w:val="288"/>
        </w:trPr>
        <w:tc>
          <w:tcPr>
            <w:tcW w:w="764" w:type="pct"/>
            <w:shd w:val="clear" w:color="auto" w:fill="auto"/>
            <w:vAlign w:val="center"/>
          </w:tcPr>
          <w:p w:rsidR="005A1390" w:rsidP="005A1390" w14:paraId="2D98F032" w14:textId="38FA1B43">
            <w:pPr>
              <w:rPr>
                <w:snapToGrid/>
                <w:szCs w:val="22"/>
              </w:rPr>
            </w:pPr>
            <w:r>
              <w:rPr>
                <w:color w:val="333333"/>
                <w:szCs w:val="22"/>
              </w:rPr>
              <w:t>WPRO-FM</w:t>
            </w:r>
          </w:p>
        </w:tc>
        <w:tc>
          <w:tcPr>
            <w:tcW w:w="678" w:type="pct"/>
            <w:shd w:val="clear" w:color="auto" w:fill="auto"/>
            <w:vAlign w:val="center"/>
          </w:tcPr>
          <w:p w:rsidR="005A1390" w:rsidP="005A1390" w14:paraId="51D5E303" w14:textId="2A5B857E">
            <w:pPr>
              <w:rPr>
                <w:color w:val="333333"/>
                <w:szCs w:val="22"/>
              </w:rPr>
            </w:pPr>
            <w:r>
              <w:rPr>
                <w:color w:val="333333"/>
                <w:szCs w:val="22"/>
              </w:rPr>
              <w:t>FM</w:t>
            </w:r>
          </w:p>
        </w:tc>
        <w:tc>
          <w:tcPr>
            <w:tcW w:w="1293" w:type="pct"/>
            <w:shd w:val="clear" w:color="auto" w:fill="auto"/>
            <w:vAlign w:val="center"/>
          </w:tcPr>
          <w:p w:rsidR="005A1390" w:rsidP="005A1390" w14:paraId="3D551992" w14:textId="6CC3A975">
            <w:pPr>
              <w:rPr>
                <w:snapToGrid/>
                <w:szCs w:val="22"/>
              </w:rPr>
            </w:pPr>
            <w:r>
              <w:rPr>
                <w:color w:val="333333"/>
                <w:szCs w:val="22"/>
              </w:rPr>
              <w:t>PROVIDENCE</w:t>
            </w:r>
          </w:p>
        </w:tc>
        <w:tc>
          <w:tcPr>
            <w:tcW w:w="697" w:type="pct"/>
            <w:shd w:val="clear" w:color="auto" w:fill="auto"/>
            <w:vAlign w:val="center"/>
          </w:tcPr>
          <w:p w:rsidR="005A1390" w:rsidP="005A1390" w14:paraId="04C2C132" w14:textId="59B7A37E">
            <w:pPr>
              <w:rPr>
                <w:snapToGrid/>
                <w:szCs w:val="22"/>
              </w:rPr>
            </w:pPr>
            <w:r>
              <w:rPr>
                <w:color w:val="333333"/>
                <w:szCs w:val="22"/>
              </w:rPr>
              <w:t>RI</w:t>
            </w:r>
          </w:p>
        </w:tc>
        <w:tc>
          <w:tcPr>
            <w:tcW w:w="666" w:type="pct"/>
            <w:shd w:val="clear" w:color="auto" w:fill="auto"/>
            <w:vAlign w:val="center"/>
          </w:tcPr>
          <w:p w:rsidR="005A1390" w:rsidP="005A1390" w14:paraId="3E7A55C2" w14:textId="49AF4ED3">
            <w:pPr>
              <w:rPr>
                <w:snapToGrid/>
                <w:szCs w:val="22"/>
              </w:rPr>
            </w:pPr>
            <w:r>
              <w:rPr>
                <w:color w:val="333333"/>
                <w:szCs w:val="22"/>
              </w:rPr>
              <w:t>64841</w:t>
            </w:r>
          </w:p>
        </w:tc>
        <w:tc>
          <w:tcPr>
            <w:tcW w:w="902" w:type="pct"/>
            <w:shd w:val="clear" w:color="auto" w:fill="auto"/>
            <w:vAlign w:val="center"/>
          </w:tcPr>
          <w:p w:rsidR="005A1390" w:rsidP="005A1390" w14:paraId="7638CEF6" w14:textId="7DB89379">
            <w:pPr>
              <w:rPr>
                <w:snapToGrid/>
                <w:szCs w:val="22"/>
              </w:rPr>
            </w:pPr>
            <w:r>
              <w:rPr>
                <w:color w:val="333333"/>
                <w:szCs w:val="22"/>
              </w:rPr>
              <w:t>0000240116</w:t>
            </w:r>
          </w:p>
        </w:tc>
      </w:tr>
      <w:tr w14:paraId="33D1A8B7" w14:textId="77777777">
        <w:tblPrEx>
          <w:tblW w:w="5000" w:type="pct"/>
          <w:tblLook w:val="04A0"/>
        </w:tblPrEx>
        <w:trPr>
          <w:trHeight w:val="288"/>
        </w:trPr>
        <w:tc>
          <w:tcPr>
            <w:tcW w:w="764" w:type="pct"/>
            <w:shd w:val="clear" w:color="auto" w:fill="auto"/>
            <w:vAlign w:val="center"/>
          </w:tcPr>
          <w:p w:rsidR="005A1390" w:rsidP="005A1390" w14:paraId="567EA811" w14:textId="6556CB25">
            <w:pPr>
              <w:rPr>
                <w:snapToGrid/>
                <w:szCs w:val="22"/>
              </w:rPr>
            </w:pPr>
            <w:r>
              <w:rPr>
                <w:color w:val="333333"/>
                <w:szCs w:val="22"/>
              </w:rPr>
              <w:t>WNML-FM</w:t>
            </w:r>
          </w:p>
        </w:tc>
        <w:tc>
          <w:tcPr>
            <w:tcW w:w="678" w:type="pct"/>
            <w:shd w:val="clear" w:color="auto" w:fill="auto"/>
            <w:vAlign w:val="center"/>
          </w:tcPr>
          <w:p w:rsidR="005A1390" w:rsidP="005A1390" w14:paraId="1F591FC5" w14:textId="141CF6E3">
            <w:pPr>
              <w:rPr>
                <w:color w:val="333333"/>
                <w:szCs w:val="22"/>
              </w:rPr>
            </w:pPr>
            <w:r>
              <w:rPr>
                <w:color w:val="333333"/>
                <w:szCs w:val="22"/>
              </w:rPr>
              <w:t>FM</w:t>
            </w:r>
          </w:p>
        </w:tc>
        <w:tc>
          <w:tcPr>
            <w:tcW w:w="1293" w:type="pct"/>
            <w:shd w:val="clear" w:color="auto" w:fill="auto"/>
            <w:vAlign w:val="center"/>
          </w:tcPr>
          <w:p w:rsidR="005A1390" w:rsidP="005A1390" w14:paraId="7BC4E6D0" w14:textId="6258BA88">
            <w:pPr>
              <w:rPr>
                <w:snapToGrid/>
                <w:szCs w:val="22"/>
              </w:rPr>
            </w:pPr>
            <w:r>
              <w:rPr>
                <w:color w:val="333333"/>
                <w:szCs w:val="22"/>
              </w:rPr>
              <w:t>FRIENDSVILLE</w:t>
            </w:r>
          </w:p>
        </w:tc>
        <w:tc>
          <w:tcPr>
            <w:tcW w:w="697" w:type="pct"/>
            <w:shd w:val="clear" w:color="auto" w:fill="auto"/>
            <w:vAlign w:val="center"/>
          </w:tcPr>
          <w:p w:rsidR="005A1390" w:rsidP="005A1390" w14:paraId="4BD7AED3" w14:textId="61415FB7">
            <w:pPr>
              <w:rPr>
                <w:snapToGrid/>
                <w:szCs w:val="22"/>
              </w:rPr>
            </w:pPr>
            <w:r>
              <w:rPr>
                <w:color w:val="333333"/>
                <w:szCs w:val="22"/>
              </w:rPr>
              <w:t>TN</w:t>
            </w:r>
          </w:p>
        </w:tc>
        <w:tc>
          <w:tcPr>
            <w:tcW w:w="666" w:type="pct"/>
            <w:shd w:val="clear" w:color="auto" w:fill="auto"/>
            <w:vAlign w:val="center"/>
          </w:tcPr>
          <w:p w:rsidR="005A1390" w:rsidP="005A1390" w14:paraId="2C5AB8D5" w14:textId="656FC3B3">
            <w:pPr>
              <w:rPr>
                <w:snapToGrid/>
                <w:szCs w:val="22"/>
              </w:rPr>
            </w:pPr>
            <w:r>
              <w:rPr>
                <w:color w:val="333333"/>
                <w:szCs w:val="22"/>
              </w:rPr>
              <w:t>7998</w:t>
            </w:r>
          </w:p>
        </w:tc>
        <w:tc>
          <w:tcPr>
            <w:tcW w:w="902" w:type="pct"/>
            <w:shd w:val="clear" w:color="auto" w:fill="auto"/>
            <w:vAlign w:val="center"/>
          </w:tcPr>
          <w:p w:rsidR="005A1390" w:rsidP="005A1390" w14:paraId="2F71979A" w14:textId="2CFE851D">
            <w:pPr>
              <w:rPr>
                <w:snapToGrid/>
                <w:szCs w:val="22"/>
              </w:rPr>
            </w:pPr>
            <w:r>
              <w:rPr>
                <w:color w:val="333333"/>
                <w:szCs w:val="22"/>
              </w:rPr>
              <w:t>0000240117</w:t>
            </w:r>
          </w:p>
        </w:tc>
      </w:tr>
      <w:tr w14:paraId="6E6691CE" w14:textId="77777777">
        <w:tblPrEx>
          <w:tblW w:w="5000" w:type="pct"/>
          <w:tblLook w:val="04A0"/>
        </w:tblPrEx>
        <w:trPr>
          <w:trHeight w:val="288"/>
        </w:trPr>
        <w:tc>
          <w:tcPr>
            <w:tcW w:w="764" w:type="pct"/>
            <w:shd w:val="clear" w:color="auto" w:fill="auto"/>
            <w:vAlign w:val="center"/>
          </w:tcPr>
          <w:p w:rsidR="005A1390" w:rsidP="005A1390" w14:paraId="0D42500C" w14:textId="4AFE2C02">
            <w:pPr>
              <w:rPr>
                <w:snapToGrid/>
                <w:szCs w:val="22"/>
              </w:rPr>
            </w:pPr>
            <w:r>
              <w:rPr>
                <w:color w:val="333333"/>
                <w:szCs w:val="22"/>
              </w:rPr>
              <w:t>KNML</w:t>
            </w:r>
          </w:p>
        </w:tc>
        <w:tc>
          <w:tcPr>
            <w:tcW w:w="678" w:type="pct"/>
            <w:shd w:val="clear" w:color="auto" w:fill="auto"/>
            <w:vAlign w:val="center"/>
          </w:tcPr>
          <w:p w:rsidR="005A1390" w:rsidP="005A1390" w14:paraId="0C3D9D00" w14:textId="36381A36">
            <w:pPr>
              <w:rPr>
                <w:color w:val="333333"/>
                <w:szCs w:val="22"/>
              </w:rPr>
            </w:pPr>
            <w:r>
              <w:rPr>
                <w:color w:val="333333"/>
                <w:szCs w:val="22"/>
              </w:rPr>
              <w:t>AM</w:t>
            </w:r>
          </w:p>
        </w:tc>
        <w:tc>
          <w:tcPr>
            <w:tcW w:w="1293" w:type="pct"/>
            <w:shd w:val="clear" w:color="auto" w:fill="auto"/>
            <w:vAlign w:val="center"/>
          </w:tcPr>
          <w:p w:rsidR="005A1390" w:rsidP="005A1390" w14:paraId="243818BE" w14:textId="713A7A0C">
            <w:pPr>
              <w:rPr>
                <w:snapToGrid/>
                <w:szCs w:val="22"/>
              </w:rPr>
            </w:pPr>
            <w:r>
              <w:rPr>
                <w:color w:val="333333"/>
                <w:szCs w:val="22"/>
              </w:rPr>
              <w:t>ALBUQUERQUE</w:t>
            </w:r>
          </w:p>
        </w:tc>
        <w:tc>
          <w:tcPr>
            <w:tcW w:w="697" w:type="pct"/>
            <w:shd w:val="clear" w:color="auto" w:fill="auto"/>
            <w:vAlign w:val="center"/>
          </w:tcPr>
          <w:p w:rsidR="005A1390" w:rsidP="005A1390" w14:paraId="171A07DE" w14:textId="41E18FEB">
            <w:pPr>
              <w:rPr>
                <w:snapToGrid/>
                <w:szCs w:val="22"/>
              </w:rPr>
            </w:pPr>
            <w:r>
              <w:rPr>
                <w:color w:val="333333"/>
                <w:szCs w:val="22"/>
              </w:rPr>
              <w:t>NM</w:t>
            </w:r>
          </w:p>
        </w:tc>
        <w:tc>
          <w:tcPr>
            <w:tcW w:w="666" w:type="pct"/>
            <w:shd w:val="clear" w:color="auto" w:fill="auto"/>
            <w:vAlign w:val="center"/>
          </w:tcPr>
          <w:p w:rsidR="005A1390" w:rsidP="005A1390" w14:paraId="5CAC9721" w14:textId="0BB39C12">
            <w:pPr>
              <w:rPr>
                <w:snapToGrid/>
                <w:szCs w:val="22"/>
              </w:rPr>
            </w:pPr>
            <w:r>
              <w:rPr>
                <w:color w:val="333333"/>
                <w:szCs w:val="22"/>
              </w:rPr>
              <w:t>68608</w:t>
            </w:r>
          </w:p>
        </w:tc>
        <w:tc>
          <w:tcPr>
            <w:tcW w:w="902" w:type="pct"/>
            <w:shd w:val="clear" w:color="auto" w:fill="auto"/>
            <w:vAlign w:val="center"/>
          </w:tcPr>
          <w:p w:rsidR="005A1390" w:rsidP="005A1390" w14:paraId="642EB1C4" w14:textId="3B4582A0">
            <w:pPr>
              <w:rPr>
                <w:snapToGrid/>
                <w:szCs w:val="22"/>
              </w:rPr>
            </w:pPr>
            <w:r>
              <w:rPr>
                <w:color w:val="333333"/>
                <w:szCs w:val="22"/>
              </w:rPr>
              <w:t>0000240118</w:t>
            </w:r>
          </w:p>
        </w:tc>
      </w:tr>
      <w:tr w14:paraId="7D5218F2" w14:textId="77777777">
        <w:tblPrEx>
          <w:tblW w:w="5000" w:type="pct"/>
          <w:tblLook w:val="04A0"/>
        </w:tblPrEx>
        <w:trPr>
          <w:trHeight w:val="288"/>
        </w:trPr>
        <w:tc>
          <w:tcPr>
            <w:tcW w:w="764" w:type="pct"/>
            <w:shd w:val="clear" w:color="auto" w:fill="auto"/>
            <w:vAlign w:val="center"/>
          </w:tcPr>
          <w:p w:rsidR="005A1390" w:rsidP="005A1390" w14:paraId="2BDAB883" w14:textId="794C53CE">
            <w:pPr>
              <w:rPr>
                <w:snapToGrid/>
                <w:szCs w:val="22"/>
              </w:rPr>
            </w:pPr>
            <w:r>
              <w:rPr>
                <w:color w:val="333333"/>
                <w:szCs w:val="22"/>
              </w:rPr>
              <w:t>WEEX</w:t>
            </w:r>
          </w:p>
        </w:tc>
        <w:tc>
          <w:tcPr>
            <w:tcW w:w="678" w:type="pct"/>
            <w:shd w:val="clear" w:color="auto" w:fill="auto"/>
            <w:vAlign w:val="center"/>
          </w:tcPr>
          <w:p w:rsidR="005A1390" w:rsidP="005A1390" w14:paraId="23B0A750" w14:textId="215268DA">
            <w:pPr>
              <w:rPr>
                <w:color w:val="333333"/>
                <w:szCs w:val="22"/>
              </w:rPr>
            </w:pPr>
            <w:r>
              <w:rPr>
                <w:color w:val="333333"/>
                <w:szCs w:val="22"/>
              </w:rPr>
              <w:t>AM</w:t>
            </w:r>
          </w:p>
        </w:tc>
        <w:tc>
          <w:tcPr>
            <w:tcW w:w="1293" w:type="pct"/>
            <w:shd w:val="clear" w:color="auto" w:fill="auto"/>
            <w:vAlign w:val="center"/>
          </w:tcPr>
          <w:p w:rsidR="005A1390" w:rsidP="005A1390" w14:paraId="776E23C3" w14:textId="3FE83B56">
            <w:pPr>
              <w:rPr>
                <w:snapToGrid/>
                <w:szCs w:val="22"/>
              </w:rPr>
            </w:pPr>
            <w:r>
              <w:rPr>
                <w:color w:val="333333"/>
                <w:szCs w:val="22"/>
              </w:rPr>
              <w:t>EASTON</w:t>
            </w:r>
          </w:p>
        </w:tc>
        <w:tc>
          <w:tcPr>
            <w:tcW w:w="697" w:type="pct"/>
            <w:shd w:val="clear" w:color="auto" w:fill="auto"/>
            <w:vAlign w:val="center"/>
          </w:tcPr>
          <w:p w:rsidR="005A1390" w:rsidP="005A1390" w14:paraId="575EDF09" w14:textId="5274A9BF">
            <w:pPr>
              <w:rPr>
                <w:snapToGrid/>
                <w:szCs w:val="22"/>
              </w:rPr>
            </w:pPr>
            <w:r>
              <w:rPr>
                <w:color w:val="333333"/>
                <w:szCs w:val="22"/>
              </w:rPr>
              <w:t>PA</w:t>
            </w:r>
          </w:p>
        </w:tc>
        <w:tc>
          <w:tcPr>
            <w:tcW w:w="666" w:type="pct"/>
            <w:shd w:val="clear" w:color="auto" w:fill="auto"/>
            <w:vAlign w:val="center"/>
          </w:tcPr>
          <w:p w:rsidR="005A1390" w:rsidP="005A1390" w14:paraId="6D9F3090" w14:textId="0477238D">
            <w:pPr>
              <w:rPr>
                <w:snapToGrid/>
                <w:szCs w:val="22"/>
              </w:rPr>
            </w:pPr>
            <w:r>
              <w:rPr>
                <w:color w:val="333333"/>
                <w:szCs w:val="22"/>
              </w:rPr>
              <w:t>8596</w:t>
            </w:r>
          </w:p>
        </w:tc>
        <w:tc>
          <w:tcPr>
            <w:tcW w:w="902" w:type="pct"/>
            <w:shd w:val="clear" w:color="auto" w:fill="auto"/>
            <w:vAlign w:val="center"/>
          </w:tcPr>
          <w:p w:rsidR="005A1390" w:rsidP="005A1390" w14:paraId="0F16EB6B" w14:textId="74B10CD6">
            <w:pPr>
              <w:rPr>
                <w:snapToGrid/>
                <w:szCs w:val="22"/>
              </w:rPr>
            </w:pPr>
            <w:r>
              <w:rPr>
                <w:color w:val="333333"/>
                <w:szCs w:val="22"/>
              </w:rPr>
              <w:t>0000240119</w:t>
            </w:r>
          </w:p>
        </w:tc>
      </w:tr>
      <w:tr w14:paraId="1473CAFC" w14:textId="77777777">
        <w:tblPrEx>
          <w:tblW w:w="5000" w:type="pct"/>
          <w:tblLook w:val="04A0"/>
        </w:tblPrEx>
        <w:trPr>
          <w:trHeight w:val="288"/>
        </w:trPr>
        <w:tc>
          <w:tcPr>
            <w:tcW w:w="764" w:type="pct"/>
            <w:shd w:val="clear" w:color="auto" w:fill="auto"/>
            <w:vAlign w:val="center"/>
          </w:tcPr>
          <w:p w:rsidR="005A1390" w:rsidP="005A1390" w14:paraId="5193FB24" w14:textId="6BA26EBA">
            <w:pPr>
              <w:rPr>
                <w:snapToGrid/>
                <w:szCs w:val="22"/>
              </w:rPr>
            </w:pPr>
            <w:r>
              <w:rPr>
                <w:color w:val="333333"/>
                <w:szCs w:val="22"/>
              </w:rPr>
              <w:t>KDRF</w:t>
            </w:r>
          </w:p>
        </w:tc>
        <w:tc>
          <w:tcPr>
            <w:tcW w:w="678" w:type="pct"/>
            <w:shd w:val="clear" w:color="auto" w:fill="auto"/>
            <w:vAlign w:val="center"/>
          </w:tcPr>
          <w:p w:rsidR="005A1390" w:rsidP="005A1390" w14:paraId="651CC790" w14:textId="718D47DD">
            <w:pPr>
              <w:rPr>
                <w:color w:val="333333"/>
                <w:szCs w:val="22"/>
              </w:rPr>
            </w:pPr>
            <w:r>
              <w:rPr>
                <w:color w:val="333333"/>
                <w:szCs w:val="22"/>
              </w:rPr>
              <w:t>FM</w:t>
            </w:r>
          </w:p>
        </w:tc>
        <w:tc>
          <w:tcPr>
            <w:tcW w:w="1293" w:type="pct"/>
            <w:shd w:val="clear" w:color="auto" w:fill="auto"/>
            <w:vAlign w:val="center"/>
          </w:tcPr>
          <w:p w:rsidR="005A1390" w:rsidP="005A1390" w14:paraId="3AFC0598" w14:textId="1A9DAD5C">
            <w:pPr>
              <w:rPr>
                <w:snapToGrid/>
                <w:szCs w:val="22"/>
              </w:rPr>
            </w:pPr>
            <w:r>
              <w:rPr>
                <w:color w:val="333333"/>
                <w:szCs w:val="22"/>
              </w:rPr>
              <w:t>ALBUQUERQUE</w:t>
            </w:r>
          </w:p>
        </w:tc>
        <w:tc>
          <w:tcPr>
            <w:tcW w:w="697" w:type="pct"/>
            <w:shd w:val="clear" w:color="auto" w:fill="auto"/>
            <w:vAlign w:val="center"/>
          </w:tcPr>
          <w:p w:rsidR="005A1390" w:rsidP="005A1390" w14:paraId="716F5954" w14:textId="2D1902CB">
            <w:pPr>
              <w:rPr>
                <w:snapToGrid/>
                <w:szCs w:val="22"/>
              </w:rPr>
            </w:pPr>
            <w:r>
              <w:rPr>
                <w:color w:val="333333"/>
                <w:szCs w:val="22"/>
              </w:rPr>
              <w:t>NM</w:t>
            </w:r>
          </w:p>
        </w:tc>
        <w:tc>
          <w:tcPr>
            <w:tcW w:w="666" w:type="pct"/>
            <w:shd w:val="clear" w:color="auto" w:fill="auto"/>
            <w:vAlign w:val="center"/>
          </w:tcPr>
          <w:p w:rsidR="005A1390" w:rsidP="005A1390" w14:paraId="57C2E5CC" w14:textId="699B96DC">
            <w:pPr>
              <w:rPr>
                <w:snapToGrid/>
                <w:szCs w:val="22"/>
              </w:rPr>
            </w:pPr>
            <w:r>
              <w:rPr>
                <w:color w:val="333333"/>
                <w:szCs w:val="22"/>
              </w:rPr>
              <w:t>55052</w:t>
            </w:r>
          </w:p>
        </w:tc>
        <w:tc>
          <w:tcPr>
            <w:tcW w:w="902" w:type="pct"/>
            <w:shd w:val="clear" w:color="auto" w:fill="auto"/>
            <w:vAlign w:val="center"/>
          </w:tcPr>
          <w:p w:rsidR="005A1390" w:rsidP="005A1390" w14:paraId="6AF6ADBB" w14:textId="47467058">
            <w:pPr>
              <w:rPr>
                <w:snapToGrid/>
                <w:szCs w:val="22"/>
              </w:rPr>
            </w:pPr>
            <w:r>
              <w:rPr>
                <w:color w:val="333333"/>
                <w:szCs w:val="22"/>
              </w:rPr>
              <w:t>0000240120</w:t>
            </w:r>
          </w:p>
        </w:tc>
      </w:tr>
      <w:tr w14:paraId="0C7E146D" w14:textId="77777777">
        <w:tblPrEx>
          <w:tblW w:w="5000" w:type="pct"/>
          <w:tblLook w:val="04A0"/>
        </w:tblPrEx>
        <w:trPr>
          <w:trHeight w:val="288"/>
        </w:trPr>
        <w:tc>
          <w:tcPr>
            <w:tcW w:w="764" w:type="pct"/>
            <w:shd w:val="clear" w:color="auto" w:fill="auto"/>
            <w:vAlign w:val="center"/>
          </w:tcPr>
          <w:p w:rsidR="005A1390" w:rsidP="005A1390" w14:paraId="393ED653" w14:textId="20E5D709">
            <w:pPr>
              <w:rPr>
                <w:snapToGrid/>
                <w:szCs w:val="22"/>
              </w:rPr>
            </w:pPr>
            <w:r>
              <w:rPr>
                <w:color w:val="333333"/>
                <w:szCs w:val="22"/>
              </w:rPr>
              <w:t>KHKK</w:t>
            </w:r>
          </w:p>
        </w:tc>
        <w:tc>
          <w:tcPr>
            <w:tcW w:w="678" w:type="pct"/>
            <w:shd w:val="clear" w:color="auto" w:fill="auto"/>
            <w:vAlign w:val="center"/>
          </w:tcPr>
          <w:p w:rsidR="005A1390" w:rsidP="005A1390" w14:paraId="2BCB6DBB" w14:textId="540ACCDD">
            <w:pPr>
              <w:rPr>
                <w:color w:val="333333"/>
                <w:szCs w:val="22"/>
              </w:rPr>
            </w:pPr>
            <w:r>
              <w:rPr>
                <w:color w:val="333333"/>
                <w:szCs w:val="22"/>
              </w:rPr>
              <w:t>FM</w:t>
            </w:r>
          </w:p>
        </w:tc>
        <w:tc>
          <w:tcPr>
            <w:tcW w:w="1293" w:type="pct"/>
            <w:shd w:val="clear" w:color="auto" w:fill="auto"/>
            <w:vAlign w:val="center"/>
          </w:tcPr>
          <w:p w:rsidR="005A1390" w:rsidP="005A1390" w14:paraId="35F97C86" w14:textId="18192135">
            <w:pPr>
              <w:rPr>
                <w:snapToGrid/>
                <w:szCs w:val="22"/>
              </w:rPr>
            </w:pPr>
            <w:r>
              <w:rPr>
                <w:color w:val="333333"/>
                <w:szCs w:val="22"/>
              </w:rPr>
              <w:t>MODESTO</w:t>
            </w:r>
          </w:p>
        </w:tc>
        <w:tc>
          <w:tcPr>
            <w:tcW w:w="697" w:type="pct"/>
            <w:shd w:val="clear" w:color="auto" w:fill="auto"/>
            <w:vAlign w:val="center"/>
          </w:tcPr>
          <w:p w:rsidR="005A1390" w:rsidP="005A1390" w14:paraId="3F2AE16B" w14:textId="5D922937">
            <w:pPr>
              <w:rPr>
                <w:snapToGrid/>
                <w:szCs w:val="22"/>
              </w:rPr>
            </w:pPr>
            <w:r>
              <w:rPr>
                <w:color w:val="333333"/>
                <w:szCs w:val="22"/>
              </w:rPr>
              <w:t>CA</w:t>
            </w:r>
          </w:p>
        </w:tc>
        <w:tc>
          <w:tcPr>
            <w:tcW w:w="666" w:type="pct"/>
            <w:shd w:val="clear" w:color="auto" w:fill="auto"/>
            <w:vAlign w:val="center"/>
          </w:tcPr>
          <w:p w:rsidR="005A1390" w:rsidP="005A1390" w14:paraId="6B169D4F" w14:textId="10F7706F">
            <w:pPr>
              <w:rPr>
                <w:snapToGrid/>
                <w:szCs w:val="22"/>
              </w:rPr>
            </w:pPr>
            <w:r>
              <w:rPr>
                <w:color w:val="333333"/>
                <w:szCs w:val="22"/>
              </w:rPr>
              <w:t>11240</w:t>
            </w:r>
          </w:p>
        </w:tc>
        <w:tc>
          <w:tcPr>
            <w:tcW w:w="902" w:type="pct"/>
            <w:shd w:val="clear" w:color="auto" w:fill="auto"/>
            <w:vAlign w:val="center"/>
          </w:tcPr>
          <w:p w:rsidR="005A1390" w:rsidP="005A1390" w14:paraId="5D9DDEED" w14:textId="7450AA85">
            <w:pPr>
              <w:rPr>
                <w:snapToGrid/>
                <w:szCs w:val="22"/>
              </w:rPr>
            </w:pPr>
            <w:r>
              <w:rPr>
                <w:color w:val="333333"/>
                <w:szCs w:val="22"/>
              </w:rPr>
              <w:t>0000240121</w:t>
            </w:r>
          </w:p>
        </w:tc>
      </w:tr>
      <w:tr w14:paraId="2CF62B2D" w14:textId="77777777">
        <w:tblPrEx>
          <w:tblW w:w="5000" w:type="pct"/>
          <w:tblLook w:val="04A0"/>
        </w:tblPrEx>
        <w:trPr>
          <w:trHeight w:val="288"/>
        </w:trPr>
        <w:tc>
          <w:tcPr>
            <w:tcW w:w="764" w:type="pct"/>
            <w:shd w:val="clear" w:color="auto" w:fill="auto"/>
            <w:vAlign w:val="center"/>
          </w:tcPr>
          <w:p w:rsidR="005A1390" w:rsidP="005A1390" w14:paraId="5BE24368" w14:textId="018D0E10">
            <w:pPr>
              <w:rPr>
                <w:snapToGrid/>
                <w:szCs w:val="22"/>
              </w:rPr>
            </w:pPr>
            <w:r>
              <w:rPr>
                <w:color w:val="333333"/>
                <w:szCs w:val="22"/>
              </w:rPr>
              <w:t>WWKX</w:t>
            </w:r>
          </w:p>
        </w:tc>
        <w:tc>
          <w:tcPr>
            <w:tcW w:w="678" w:type="pct"/>
            <w:shd w:val="clear" w:color="auto" w:fill="auto"/>
            <w:vAlign w:val="center"/>
          </w:tcPr>
          <w:p w:rsidR="005A1390" w:rsidP="005A1390" w14:paraId="76FE9B10" w14:textId="3D62238F">
            <w:pPr>
              <w:rPr>
                <w:color w:val="333333"/>
                <w:szCs w:val="22"/>
              </w:rPr>
            </w:pPr>
            <w:r>
              <w:rPr>
                <w:color w:val="333333"/>
                <w:szCs w:val="22"/>
              </w:rPr>
              <w:t>FM</w:t>
            </w:r>
          </w:p>
        </w:tc>
        <w:tc>
          <w:tcPr>
            <w:tcW w:w="1293" w:type="pct"/>
            <w:shd w:val="clear" w:color="auto" w:fill="auto"/>
            <w:vAlign w:val="center"/>
          </w:tcPr>
          <w:p w:rsidR="005A1390" w:rsidP="005A1390" w14:paraId="5C1BBBE5" w14:textId="2F3C3833">
            <w:pPr>
              <w:rPr>
                <w:snapToGrid/>
                <w:szCs w:val="22"/>
              </w:rPr>
            </w:pPr>
            <w:r>
              <w:rPr>
                <w:color w:val="333333"/>
                <w:szCs w:val="22"/>
              </w:rPr>
              <w:t>WOONSOCKET</w:t>
            </w:r>
          </w:p>
        </w:tc>
        <w:tc>
          <w:tcPr>
            <w:tcW w:w="697" w:type="pct"/>
            <w:shd w:val="clear" w:color="auto" w:fill="auto"/>
            <w:vAlign w:val="center"/>
          </w:tcPr>
          <w:p w:rsidR="005A1390" w:rsidP="005A1390" w14:paraId="2F042AD1" w14:textId="7D6E47A2">
            <w:pPr>
              <w:rPr>
                <w:snapToGrid/>
                <w:szCs w:val="22"/>
              </w:rPr>
            </w:pPr>
            <w:r>
              <w:rPr>
                <w:color w:val="333333"/>
                <w:szCs w:val="22"/>
              </w:rPr>
              <w:t>RI</w:t>
            </w:r>
          </w:p>
        </w:tc>
        <w:tc>
          <w:tcPr>
            <w:tcW w:w="666" w:type="pct"/>
            <w:shd w:val="clear" w:color="auto" w:fill="auto"/>
            <w:vAlign w:val="center"/>
          </w:tcPr>
          <w:p w:rsidR="005A1390" w:rsidP="005A1390" w14:paraId="4DEB599C" w14:textId="7FA1051F">
            <w:pPr>
              <w:rPr>
                <w:snapToGrid/>
                <w:szCs w:val="22"/>
              </w:rPr>
            </w:pPr>
            <w:r>
              <w:rPr>
                <w:color w:val="333333"/>
                <w:szCs w:val="22"/>
              </w:rPr>
              <w:t>65198</w:t>
            </w:r>
          </w:p>
        </w:tc>
        <w:tc>
          <w:tcPr>
            <w:tcW w:w="902" w:type="pct"/>
            <w:shd w:val="clear" w:color="auto" w:fill="auto"/>
            <w:vAlign w:val="center"/>
          </w:tcPr>
          <w:p w:rsidR="005A1390" w:rsidP="005A1390" w14:paraId="58D98CAA" w14:textId="55AAA641">
            <w:pPr>
              <w:rPr>
                <w:snapToGrid/>
                <w:szCs w:val="22"/>
              </w:rPr>
            </w:pPr>
            <w:r>
              <w:rPr>
                <w:color w:val="333333"/>
                <w:szCs w:val="22"/>
              </w:rPr>
              <w:t>0000240122</w:t>
            </w:r>
          </w:p>
        </w:tc>
      </w:tr>
      <w:tr w14:paraId="1C3F0981" w14:textId="77777777">
        <w:tblPrEx>
          <w:tblW w:w="5000" w:type="pct"/>
          <w:tblLook w:val="04A0"/>
        </w:tblPrEx>
        <w:trPr>
          <w:trHeight w:val="288"/>
        </w:trPr>
        <w:tc>
          <w:tcPr>
            <w:tcW w:w="764" w:type="pct"/>
            <w:shd w:val="clear" w:color="auto" w:fill="auto"/>
            <w:vAlign w:val="center"/>
          </w:tcPr>
          <w:p w:rsidR="005A1390" w:rsidP="005A1390" w14:paraId="1449302E" w14:textId="2BDB7D26">
            <w:pPr>
              <w:rPr>
                <w:snapToGrid/>
                <w:szCs w:val="22"/>
              </w:rPr>
            </w:pPr>
            <w:r>
              <w:rPr>
                <w:color w:val="333333"/>
                <w:szCs w:val="22"/>
              </w:rPr>
              <w:t>KKOB</w:t>
            </w:r>
          </w:p>
        </w:tc>
        <w:tc>
          <w:tcPr>
            <w:tcW w:w="678" w:type="pct"/>
            <w:shd w:val="clear" w:color="auto" w:fill="auto"/>
            <w:vAlign w:val="center"/>
          </w:tcPr>
          <w:p w:rsidR="005A1390" w:rsidP="005A1390" w14:paraId="44192DDC" w14:textId="78FB06A7">
            <w:pPr>
              <w:rPr>
                <w:color w:val="333333"/>
                <w:szCs w:val="22"/>
              </w:rPr>
            </w:pPr>
            <w:r>
              <w:rPr>
                <w:color w:val="333333"/>
                <w:szCs w:val="22"/>
              </w:rPr>
              <w:t>AM</w:t>
            </w:r>
          </w:p>
        </w:tc>
        <w:tc>
          <w:tcPr>
            <w:tcW w:w="1293" w:type="pct"/>
            <w:shd w:val="clear" w:color="auto" w:fill="auto"/>
            <w:vAlign w:val="center"/>
          </w:tcPr>
          <w:p w:rsidR="005A1390" w:rsidP="005A1390" w14:paraId="1F69ADF5" w14:textId="3963A449">
            <w:pPr>
              <w:rPr>
                <w:snapToGrid/>
                <w:szCs w:val="22"/>
              </w:rPr>
            </w:pPr>
            <w:r>
              <w:rPr>
                <w:color w:val="333333"/>
                <w:szCs w:val="22"/>
              </w:rPr>
              <w:t>ALBUQUERQUE</w:t>
            </w:r>
          </w:p>
        </w:tc>
        <w:tc>
          <w:tcPr>
            <w:tcW w:w="697" w:type="pct"/>
            <w:shd w:val="clear" w:color="auto" w:fill="auto"/>
            <w:vAlign w:val="center"/>
          </w:tcPr>
          <w:p w:rsidR="005A1390" w:rsidP="005A1390" w14:paraId="344350F8" w14:textId="2D60E2D3">
            <w:pPr>
              <w:rPr>
                <w:snapToGrid/>
                <w:szCs w:val="22"/>
              </w:rPr>
            </w:pPr>
            <w:r>
              <w:rPr>
                <w:color w:val="333333"/>
                <w:szCs w:val="22"/>
              </w:rPr>
              <w:t>NM</w:t>
            </w:r>
          </w:p>
        </w:tc>
        <w:tc>
          <w:tcPr>
            <w:tcW w:w="666" w:type="pct"/>
            <w:shd w:val="clear" w:color="auto" w:fill="auto"/>
            <w:vAlign w:val="center"/>
          </w:tcPr>
          <w:p w:rsidR="005A1390" w:rsidP="005A1390" w14:paraId="15860014" w14:textId="5F4E7C4F">
            <w:pPr>
              <w:rPr>
                <w:snapToGrid/>
                <w:szCs w:val="22"/>
              </w:rPr>
            </w:pPr>
            <w:r>
              <w:rPr>
                <w:color w:val="333333"/>
                <w:szCs w:val="22"/>
              </w:rPr>
              <w:t>11251</w:t>
            </w:r>
          </w:p>
        </w:tc>
        <w:tc>
          <w:tcPr>
            <w:tcW w:w="902" w:type="pct"/>
            <w:shd w:val="clear" w:color="auto" w:fill="auto"/>
            <w:vAlign w:val="center"/>
          </w:tcPr>
          <w:p w:rsidR="005A1390" w:rsidP="005A1390" w14:paraId="50BDCBC4" w14:textId="0EB8E1DC">
            <w:pPr>
              <w:rPr>
                <w:snapToGrid/>
                <w:szCs w:val="22"/>
              </w:rPr>
            </w:pPr>
            <w:r>
              <w:rPr>
                <w:color w:val="333333"/>
                <w:szCs w:val="22"/>
              </w:rPr>
              <w:t>0000240123</w:t>
            </w:r>
          </w:p>
        </w:tc>
      </w:tr>
      <w:tr w14:paraId="336A4E64" w14:textId="77777777">
        <w:tblPrEx>
          <w:tblW w:w="5000" w:type="pct"/>
          <w:tblLook w:val="04A0"/>
        </w:tblPrEx>
        <w:trPr>
          <w:trHeight w:val="288"/>
        </w:trPr>
        <w:tc>
          <w:tcPr>
            <w:tcW w:w="764" w:type="pct"/>
            <w:shd w:val="clear" w:color="auto" w:fill="auto"/>
            <w:vAlign w:val="center"/>
          </w:tcPr>
          <w:p w:rsidR="005A1390" w:rsidP="005A1390" w14:paraId="395C5189" w14:textId="22C2CADE">
            <w:pPr>
              <w:rPr>
                <w:snapToGrid/>
                <w:szCs w:val="22"/>
              </w:rPr>
            </w:pPr>
            <w:r>
              <w:rPr>
                <w:color w:val="333333"/>
                <w:szCs w:val="22"/>
              </w:rPr>
              <w:t>WWLS-FM</w:t>
            </w:r>
          </w:p>
        </w:tc>
        <w:tc>
          <w:tcPr>
            <w:tcW w:w="678" w:type="pct"/>
            <w:shd w:val="clear" w:color="auto" w:fill="auto"/>
            <w:vAlign w:val="center"/>
          </w:tcPr>
          <w:p w:rsidR="005A1390" w:rsidP="005A1390" w14:paraId="3E0D8C44" w14:textId="513B2F7A">
            <w:pPr>
              <w:rPr>
                <w:color w:val="333333"/>
                <w:szCs w:val="22"/>
              </w:rPr>
            </w:pPr>
            <w:r>
              <w:rPr>
                <w:color w:val="333333"/>
                <w:szCs w:val="22"/>
              </w:rPr>
              <w:t>FM</w:t>
            </w:r>
          </w:p>
        </w:tc>
        <w:tc>
          <w:tcPr>
            <w:tcW w:w="1293" w:type="pct"/>
            <w:shd w:val="clear" w:color="auto" w:fill="auto"/>
            <w:vAlign w:val="center"/>
          </w:tcPr>
          <w:p w:rsidR="005A1390" w:rsidP="005A1390" w14:paraId="0AB6AB10" w14:textId="5E150A1B">
            <w:pPr>
              <w:rPr>
                <w:snapToGrid/>
                <w:szCs w:val="22"/>
              </w:rPr>
            </w:pPr>
            <w:r>
              <w:rPr>
                <w:color w:val="333333"/>
                <w:szCs w:val="22"/>
              </w:rPr>
              <w:t>THE VILLAGE</w:t>
            </w:r>
          </w:p>
        </w:tc>
        <w:tc>
          <w:tcPr>
            <w:tcW w:w="697" w:type="pct"/>
            <w:shd w:val="clear" w:color="auto" w:fill="auto"/>
            <w:vAlign w:val="center"/>
          </w:tcPr>
          <w:p w:rsidR="005A1390" w:rsidP="005A1390" w14:paraId="1CCD41A8" w14:textId="68A222EA">
            <w:pPr>
              <w:rPr>
                <w:snapToGrid/>
                <w:szCs w:val="22"/>
              </w:rPr>
            </w:pPr>
            <w:r>
              <w:rPr>
                <w:color w:val="333333"/>
                <w:szCs w:val="22"/>
              </w:rPr>
              <w:t>OK</w:t>
            </w:r>
          </w:p>
        </w:tc>
        <w:tc>
          <w:tcPr>
            <w:tcW w:w="666" w:type="pct"/>
            <w:shd w:val="clear" w:color="auto" w:fill="auto"/>
            <w:vAlign w:val="center"/>
          </w:tcPr>
          <w:p w:rsidR="005A1390" w:rsidP="005A1390" w14:paraId="095C9065" w14:textId="6103BAE3">
            <w:pPr>
              <w:rPr>
                <w:snapToGrid/>
                <w:szCs w:val="22"/>
              </w:rPr>
            </w:pPr>
            <w:r>
              <w:rPr>
                <w:color w:val="333333"/>
                <w:szCs w:val="22"/>
              </w:rPr>
              <w:t>37435</w:t>
            </w:r>
          </w:p>
        </w:tc>
        <w:tc>
          <w:tcPr>
            <w:tcW w:w="902" w:type="pct"/>
            <w:shd w:val="clear" w:color="auto" w:fill="auto"/>
            <w:vAlign w:val="center"/>
          </w:tcPr>
          <w:p w:rsidR="005A1390" w:rsidP="005A1390" w14:paraId="3F1C154F" w14:textId="65BD6B05">
            <w:pPr>
              <w:rPr>
                <w:snapToGrid/>
                <w:szCs w:val="22"/>
              </w:rPr>
            </w:pPr>
            <w:r>
              <w:rPr>
                <w:color w:val="333333"/>
                <w:szCs w:val="22"/>
              </w:rPr>
              <w:t>0000240124</w:t>
            </w:r>
          </w:p>
        </w:tc>
      </w:tr>
      <w:tr w14:paraId="6F4014F4" w14:textId="77777777">
        <w:tblPrEx>
          <w:tblW w:w="5000" w:type="pct"/>
          <w:tblLook w:val="04A0"/>
        </w:tblPrEx>
        <w:trPr>
          <w:trHeight w:val="288"/>
        </w:trPr>
        <w:tc>
          <w:tcPr>
            <w:tcW w:w="764" w:type="pct"/>
            <w:shd w:val="clear" w:color="auto" w:fill="auto"/>
            <w:vAlign w:val="center"/>
          </w:tcPr>
          <w:p w:rsidR="005A1390" w:rsidP="005A1390" w14:paraId="104E323D" w14:textId="6F5F619A">
            <w:pPr>
              <w:rPr>
                <w:snapToGrid/>
                <w:szCs w:val="22"/>
              </w:rPr>
            </w:pPr>
            <w:r>
              <w:rPr>
                <w:color w:val="333333"/>
                <w:szCs w:val="22"/>
              </w:rPr>
              <w:t>KTBL</w:t>
            </w:r>
          </w:p>
        </w:tc>
        <w:tc>
          <w:tcPr>
            <w:tcW w:w="678" w:type="pct"/>
            <w:shd w:val="clear" w:color="auto" w:fill="auto"/>
            <w:vAlign w:val="center"/>
          </w:tcPr>
          <w:p w:rsidR="005A1390" w:rsidP="005A1390" w14:paraId="53B8FE74" w14:textId="66992A11">
            <w:pPr>
              <w:rPr>
                <w:color w:val="333333"/>
                <w:szCs w:val="22"/>
              </w:rPr>
            </w:pPr>
            <w:r>
              <w:rPr>
                <w:color w:val="333333"/>
                <w:szCs w:val="22"/>
              </w:rPr>
              <w:t>AM</w:t>
            </w:r>
          </w:p>
        </w:tc>
        <w:tc>
          <w:tcPr>
            <w:tcW w:w="1293" w:type="pct"/>
            <w:shd w:val="clear" w:color="auto" w:fill="auto"/>
            <w:vAlign w:val="center"/>
          </w:tcPr>
          <w:p w:rsidR="005A1390" w:rsidP="005A1390" w14:paraId="092D7AC8" w14:textId="38835A02">
            <w:pPr>
              <w:rPr>
                <w:snapToGrid/>
                <w:szCs w:val="22"/>
              </w:rPr>
            </w:pPr>
            <w:r>
              <w:rPr>
                <w:color w:val="333333"/>
                <w:szCs w:val="22"/>
              </w:rPr>
              <w:t>LOS RANCHOS</w:t>
            </w:r>
          </w:p>
        </w:tc>
        <w:tc>
          <w:tcPr>
            <w:tcW w:w="697" w:type="pct"/>
            <w:shd w:val="clear" w:color="auto" w:fill="auto"/>
            <w:vAlign w:val="center"/>
          </w:tcPr>
          <w:p w:rsidR="005A1390" w:rsidP="005A1390" w14:paraId="30CC10DE" w14:textId="010C2CD1">
            <w:pPr>
              <w:rPr>
                <w:snapToGrid/>
                <w:szCs w:val="22"/>
              </w:rPr>
            </w:pPr>
            <w:r>
              <w:rPr>
                <w:color w:val="333333"/>
                <w:szCs w:val="22"/>
              </w:rPr>
              <w:t>NM</w:t>
            </w:r>
          </w:p>
        </w:tc>
        <w:tc>
          <w:tcPr>
            <w:tcW w:w="666" w:type="pct"/>
            <w:shd w:val="clear" w:color="auto" w:fill="auto"/>
            <w:vAlign w:val="center"/>
          </w:tcPr>
          <w:p w:rsidR="005A1390" w:rsidP="005A1390" w14:paraId="1FAFCFB2" w14:textId="67258EA6">
            <w:pPr>
              <w:rPr>
                <w:snapToGrid/>
                <w:szCs w:val="22"/>
              </w:rPr>
            </w:pPr>
            <w:r>
              <w:rPr>
                <w:color w:val="333333"/>
                <w:szCs w:val="22"/>
              </w:rPr>
              <w:t>48604</w:t>
            </w:r>
          </w:p>
        </w:tc>
        <w:tc>
          <w:tcPr>
            <w:tcW w:w="902" w:type="pct"/>
            <w:shd w:val="clear" w:color="auto" w:fill="auto"/>
            <w:vAlign w:val="center"/>
          </w:tcPr>
          <w:p w:rsidR="005A1390" w:rsidP="005A1390" w14:paraId="36BF983C" w14:textId="2EBF7E34">
            <w:pPr>
              <w:rPr>
                <w:snapToGrid/>
                <w:szCs w:val="22"/>
              </w:rPr>
            </w:pPr>
            <w:r>
              <w:rPr>
                <w:color w:val="333333"/>
                <w:szCs w:val="22"/>
              </w:rPr>
              <w:t>0000240125</w:t>
            </w:r>
          </w:p>
        </w:tc>
      </w:tr>
      <w:tr w14:paraId="476B8669" w14:textId="77777777">
        <w:tblPrEx>
          <w:tblW w:w="5000" w:type="pct"/>
          <w:tblLook w:val="04A0"/>
        </w:tblPrEx>
        <w:trPr>
          <w:trHeight w:val="288"/>
        </w:trPr>
        <w:tc>
          <w:tcPr>
            <w:tcW w:w="764" w:type="pct"/>
            <w:shd w:val="clear" w:color="auto" w:fill="auto"/>
            <w:vAlign w:val="center"/>
          </w:tcPr>
          <w:p w:rsidR="005A1390" w:rsidP="005A1390" w14:paraId="0870C8B5" w14:textId="24DEA363">
            <w:pPr>
              <w:rPr>
                <w:snapToGrid/>
                <w:szCs w:val="22"/>
              </w:rPr>
            </w:pPr>
            <w:r>
              <w:rPr>
                <w:color w:val="333333"/>
                <w:szCs w:val="22"/>
              </w:rPr>
              <w:t>WKY</w:t>
            </w:r>
          </w:p>
        </w:tc>
        <w:tc>
          <w:tcPr>
            <w:tcW w:w="678" w:type="pct"/>
            <w:shd w:val="clear" w:color="auto" w:fill="auto"/>
            <w:vAlign w:val="center"/>
          </w:tcPr>
          <w:p w:rsidR="005A1390" w:rsidP="005A1390" w14:paraId="07E8221D" w14:textId="1CEFCAB6">
            <w:pPr>
              <w:rPr>
                <w:color w:val="333333"/>
                <w:szCs w:val="22"/>
              </w:rPr>
            </w:pPr>
            <w:r>
              <w:rPr>
                <w:color w:val="333333"/>
                <w:szCs w:val="22"/>
              </w:rPr>
              <w:t>AM</w:t>
            </w:r>
          </w:p>
        </w:tc>
        <w:tc>
          <w:tcPr>
            <w:tcW w:w="1293" w:type="pct"/>
            <w:shd w:val="clear" w:color="auto" w:fill="auto"/>
            <w:vAlign w:val="center"/>
          </w:tcPr>
          <w:p w:rsidR="005A1390" w:rsidP="005A1390" w14:paraId="002B000E" w14:textId="531EF3ED">
            <w:pPr>
              <w:rPr>
                <w:snapToGrid/>
                <w:szCs w:val="22"/>
              </w:rPr>
            </w:pPr>
            <w:r>
              <w:rPr>
                <w:color w:val="333333"/>
                <w:szCs w:val="22"/>
              </w:rPr>
              <w:t>OKLAHOMA CITY</w:t>
            </w:r>
          </w:p>
        </w:tc>
        <w:tc>
          <w:tcPr>
            <w:tcW w:w="697" w:type="pct"/>
            <w:shd w:val="clear" w:color="auto" w:fill="auto"/>
            <w:vAlign w:val="center"/>
          </w:tcPr>
          <w:p w:rsidR="005A1390" w:rsidP="005A1390" w14:paraId="0CADCCDD" w14:textId="61FFC853">
            <w:pPr>
              <w:rPr>
                <w:snapToGrid/>
                <w:szCs w:val="22"/>
              </w:rPr>
            </w:pPr>
            <w:r>
              <w:rPr>
                <w:color w:val="333333"/>
                <w:szCs w:val="22"/>
              </w:rPr>
              <w:t>OK</w:t>
            </w:r>
          </w:p>
        </w:tc>
        <w:tc>
          <w:tcPr>
            <w:tcW w:w="666" w:type="pct"/>
            <w:shd w:val="clear" w:color="auto" w:fill="auto"/>
            <w:vAlign w:val="center"/>
          </w:tcPr>
          <w:p w:rsidR="005A1390" w:rsidP="005A1390" w14:paraId="02990179" w14:textId="26DE5DA2">
            <w:pPr>
              <w:rPr>
                <w:snapToGrid/>
                <w:szCs w:val="22"/>
              </w:rPr>
            </w:pPr>
            <w:r>
              <w:rPr>
                <w:color w:val="333333"/>
                <w:szCs w:val="22"/>
              </w:rPr>
              <w:t>23418</w:t>
            </w:r>
          </w:p>
        </w:tc>
        <w:tc>
          <w:tcPr>
            <w:tcW w:w="902" w:type="pct"/>
            <w:shd w:val="clear" w:color="auto" w:fill="auto"/>
            <w:vAlign w:val="center"/>
          </w:tcPr>
          <w:p w:rsidR="005A1390" w:rsidP="005A1390" w14:paraId="42DA2FE0" w14:textId="03594D23">
            <w:pPr>
              <w:rPr>
                <w:snapToGrid/>
                <w:szCs w:val="22"/>
              </w:rPr>
            </w:pPr>
            <w:r>
              <w:rPr>
                <w:color w:val="333333"/>
                <w:szCs w:val="22"/>
              </w:rPr>
              <w:t>0000240126</w:t>
            </w:r>
          </w:p>
        </w:tc>
      </w:tr>
      <w:tr w14:paraId="1D5F4C3F" w14:textId="77777777">
        <w:tblPrEx>
          <w:tblW w:w="5000" w:type="pct"/>
          <w:tblLook w:val="04A0"/>
        </w:tblPrEx>
        <w:trPr>
          <w:trHeight w:val="288"/>
        </w:trPr>
        <w:tc>
          <w:tcPr>
            <w:tcW w:w="764" w:type="pct"/>
            <w:shd w:val="clear" w:color="auto" w:fill="auto"/>
            <w:vAlign w:val="center"/>
          </w:tcPr>
          <w:p w:rsidR="005A1390" w:rsidP="005A1390" w14:paraId="7A1981D4" w14:textId="408FC1D3">
            <w:pPr>
              <w:rPr>
                <w:snapToGrid/>
                <w:szCs w:val="22"/>
              </w:rPr>
            </w:pPr>
            <w:r>
              <w:rPr>
                <w:color w:val="333333"/>
                <w:szCs w:val="22"/>
              </w:rPr>
              <w:t>W234AX</w:t>
            </w:r>
          </w:p>
        </w:tc>
        <w:tc>
          <w:tcPr>
            <w:tcW w:w="678" w:type="pct"/>
            <w:shd w:val="clear" w:color="auto" w:fill="auto"/>
            <w:vAlign w:val="center"/>
          </w:tcPr>
          <w:p w:rsidR="005A1390" w:rsidP="005A1390" w14:paraId="44F8682F" w14:textId="3640573F">
            <w:pPr>
              <w:rPr>
                <w:color w:val="333333"/>
                <w:szCs w:val="22"/>
              </w:rPr>
            </w:pPr>
            <w:r>
              <w:rPr>
                <w:color w:val="333333"/>
                <w:szCs w:val="22"/>
              </w:rPr>
              <w:t>FX</w:t>
            </w:r>
          </w:p>
        </w:tc>
        <w:tc>
          <w:tcPr>
            <w:tcW w:w="1293" w:type="pct"/>
            <w:shd w:val="clear" w:color="auto" w:fill="auto"/>
            <w:vAlign w:val="center"/>
          </w:tcPr>
          <w:p w:rsidR="005A1390" w:rsidP="005A1390" w14:paraId="0E33AE9D" w14:textId="660CEA8E">
            <w:pPr>
              <w:rPr>
                <w:snapToGrid/>
                <w:szCs w:val="22"/>
              </w:rPr>
            </w:pPr>
            <w:r>
              <w:rPr>
                <w:color w:val="333333"/>
                <w:szCs w:val="22"/>
              </w:rPr>
              <w:t>ALLENTOWN</w:t>
            </w:r>
          </w:p>
        </w:tc>
        <w:tc>
          <w:tcPr>
            <w:tcW w:w="697" w:type="pct"/>
            <w:shd w:val="clear" w:color="auto" w:fill="auto"/>
            <w:vAlign w:val="center"/>
          </w:tcPr>
          <w:p w:rsidR="005A1390" w:rsidP="005A1390" w14:paraId="6FBE8484" w14:textId="5A5A3151">
            <w:pPr>
              <w:rPr>
                <w:snapToGrid/>
                <w:szCs w:val="22"/>
              </w:rPr>
            </w:pPr>
            <w:r>
              <w:rPr>
                <w:color w:val="333333"/>
                <w:szCs w:val="22"/>
              </w:rPr>
              <w:t>PA</w:t>
            </w:r>
          </w:p>
        </w:tc>
        <w:tc>
          <w:tcPr>
            <w:tcW w:w="666" w:type="pct"/>
            <w:shd w:val="clear" w:color="auto" w:fill="auto"/>
            <w:vAlign w:val="center"/>
          </w:tcPr>
          <w:p w:rsidR="005A1390" w:rsidP="005A1390" w14:paraId="7AEEA0BA" w14:textId="3BBAD5D6">
            <w:pPr>
              <w:rPr>
                <w:snapToGrid/>
                <w:szCs w:val="22"/>
              </w:rPr>
            </w:pPr>
            <w:r>
              <w:rPr>
                <w:color w:val="333333"/>
                <w:szCs w:val="22"/>
              </w:rPr>
              <w:t>157407</w:t>
            </w:r>
          </w:p>
        </w:tc>
        <w:tc>
          <w:tcPr>
            <w:tcW w:w="902" w:type="pct"/>
            <w:shd w:val="clear" w:color="auto" w:fill="auto"/>
            <w:vAlign w:val="center"/>
          </w:tcPr>
          <w:p w:rsidR="005A1390" w:rsidP="005A1390" w14:paraId="2F990B9D" w14:textId="13F0ECB1">
            <w:pPr>
              <w:rPr>
                <w:snapToGrid/>
                <w:szCs w:val="22"/>
              </w:rPr>
            </w:pPr>
            <w:r>
              <w:rPr>
                <w:color w:val="333333"/>
                <w:szCs w:val="22"/>
              </w:rPr>
              <w:t>0000240127</w:t>
            </w:r>
          </w:p>
        </w:tc>
      </w:tr>
      <w:tr w14:paraId="35EF084C" w14:textId="77777777">
        <w:tblPrEx>
          <w:tblW w:w="5000" w:type="pct"/>
          <w:tblLook w:val="04A0"/>
        </w:tblPrEx>
        <w:trPr>
          <w:trHeight w:val="288"/>
        </w:trPr>
        <w:tc>
          <w:tcPr>
            <w:tcW w:w="764" w:type="pct"/>
            <w:shd w:val="clear" w:color="auto" w:fill="auto"/>
            <w:vAlign w:val="center"/>
          </w:tcPr>
          <w:p w:rsidR="005A1390" w:rsidP="005A1390" w14:paraId="6BFCC7EE" w14:textId="15695242">
            <w:pPr>
              <w:rPr>
                <w:snapToGrid/>
                <w:szCs w:val="22"/>
              </w:rPr>
            </w:pPr>
            <w:r>
              <w:rPr>
                <w:color w:val="333333"/>
                <w:szCs w:val="22"/>
              </w:rPr>
              <w:t>KWNN</w:t>
            </w:r>
          </w:p>
        </w:tc>
        <w:tc>
          <w:tcPr>
            <w:tcW w:w="678" w:type="pct"/>
            <w:shd w:val="clear" w:color="auto" w:fill="auto"/>
            <w:vAlign w:val="center"/>
          </w:tcPr>
          <w:p w:rsidR="005A1390" w:rsidP="005A1390" w14:paraId="6ACDCD6C" w14:textId="5D5FEF64">
            <w:pPr>
              <w:rPr>
                <w:color w:val="333333"/>
                <w:szCs w:val="22"/>
              </w:rPr>
            </w:pPr>
            <w:r>
              <w:rPr>
                <w:color w:val="333333"/>
                <w:szCs w:val="22"/>
              </w:rPr>
              <w:t>FM</w:t>
            </w:r>
          </w:p>
        </w:tc>
        <w:tc>
          <w:tcPr>
            <w:tcW w:w="1293" w:type="pct"/>
            <w:shd w:val="clear" w:color="auto" w:fill="auto"/>
            <w:vAlign w:val="center"/>
          </w:tcPr>
          <w:p w:rsidR="005A1390" w:rsidP="005A1390" w14:paraId="117705EE" w14:textId="357358C9">
            <w:pPr>
              <w:rPr>
                <w:snapToGrid/>
                <w:szCs w:val="22"/>
              </w:rPr>
            </w:pPr>
            <w:r>
              <w:rPr>
                <w:color w:val="333333"/>
                <w:szCs w:val="22"/>
              </w:rPr>
              <w:t>TURLOCK</w:t>
            </w:r>
          </w:p>
        </w:tc>
        <w:tc>
          <w:tcPr>
            <w:tcW w:w="697" w:type="pct"/>
            <w:shd w:val="clear" w:color="auto" w:fill="auto"/>
            <w:vAlign w:val="center"/>
          </w:tcPr>
          <w:p w:rsidR="005A1390" w:rsidP="005A1390" w14:paraId="1E2B29C5" w14:textId="0857B21A">
            <w:pPr>
              <w:rPr>
                <w:snapToGrid/>
                <w:szCs w:val="22"/>
              </w:rPr>
            </w:pPr>
            <w:r>
              <w:rPr>
                <w:color w:val="333333"/>
                <w:szCs w:val="22"/>
              </w:rPr>
              <w:t>CA</w:t>
            </w:r>
          </w:p>
        </w:tc>
        <w:tc>
          <w:tcPr>
            <w:tcW w:w="666" w:type="pct"/>
            <w:shd w:val="clear" w:color="auto" w:fill="auto"/>
            <w:vAlign w:val="center"/>
          </w:tcPr>
          <w:p w:rsidR="005A1390" w:rsidP="005A1390" w14:paraId="78EE27C8" w14:textId="09AA3F3F">
            <w:pPr>
              <w:rPr>
                <w:snapToGrid/>
                <w:szCs w:val="22"/>
              </w:rPr>
            </w:pPr>
            <w:r>
              <w:rPr>
                <w:color w:val="333333"/>
                <w:szCs w:val="22"/>
              </w:rPr>
              <w:t>60427</w:t>
            </w:r>
          </w:p>
        </w:tc>
        <w:tc>
          <w:tcPr>
            <w:tcW w:w="902" w:type="pct"/>
            <w:shd w:val="clear" w:color="auto" w:fill="auto"/>
            <w:vAlign w:val="center"/>
          </w:tcPr>
          <w:p w:rsidR="005A1390" w:rsidP="005A1390" w14:paraId="63790CDB" w14:textId="1CB505E3">
            <w:pPr>
              <w:rPr>
                <w:snapToGrid/>
                <w:szCs w:val="22"/>
              </w:rPr>
            </w:pPr>
            <w:r>
              <w:rPr>
                <w:color w:val="333333"/>
                <w:szCs w:val="22"/>
              </w:rPr>
              <w:t>0000240128</w:t>
            </w:r>
          </w:p>
        </w:tc>
      </w:tr>
      <w:tr w14:paraId="17905DDA" w14:textId="77777777">
        <w:tblPrEx>
          <w:tblW w:w="5000" w:type="pct"/>
          <w:tblLook w:val="04A0"/>
        </w:tblPrEx>
        <w:trPr>
          <w:trHeight w:val="288"/>
        </w:trPr>
        <w:tc>
          <w:tcPr>
            <w:tcW w:w="764" w:type="pct"/>
            <w:shd w:val="clear" w:color="auto" w:fill="auto"/>
            <w:vAlign w:val="center"/>
          </w:tcPr>
          <w:p w:rsidR="005A1390" w:rsidP="005A1390" w14:paraId="2E1E242D" w14:textId="14CB0530">
            <w:pPr>
              <w:rPr>
                <w:snapToGrid/>
                <w:szCs w:val="22"/>
              </w:rPr>
            </w:pPr>
            <w:r>
              <w:rPr>
                <w:color w:val="333333"/>
                <w:szCs w:val="22"/>
              </w:rPr>
              <w:t>WWLI</w:t>
            </w:r>
          </w:p>
        </w:tc>
        <w:tc>
          <w:tcPr>
            <w:tcW w:w="678" w:type="pct"/>
            <w:shd w:val="clear" w:color="auto" w:fill="auto"/>
            <w:vAlign w:val="center"/>
          </w:tcPr>
          <w:p w:rsidR="005A1390" w:rsidP="005A1390" w14:paraId="4983A3C0" w14:textId="446FB18F">
            <w:pPr>
              <w:rPr>
                <w:color w:val="333333"/>
                <w:szCs w:val="22"/>
              </w:rPr>
            </w:pPr>
            <w:r>
              <w:rPr>
                <w:color w:val="333333"/>
                <w:szCs w:val="22"/>
              </w:rPr>
              <w:t>FM</w:t>
            </w:r>
          </w:p>
        </w:tc>
        <w:tc>
          <w:tcPr>
            <w:tcW w:w="1293" w:type="pct"/>
            <w:shd w:val="clear" w:color="auto" w:fill="auto"/>
            <w:vAlign w:val="center"/>
          </w:tcPr>
          <w:p w:rsidR="005A1390" w:rsidP="005A1390" w14:paraId="2A45D307" w14:textId="12563AD0">
            <w:pPr>
              <w:rPr>
                <w:snapToGrid/>
                <w:szCs w:val="22"/>
              </w:rPr>
            </w:pPr>
            <w:r>
              <w:rPr>
                <w:color w:val="333333"/>
                <w:szCs w:val="22"/>
              </w:rPr>
              <w:t>PROVIDENCE</w:t>
            </w:r>
          </w:p>
        </w:tc>
        <w:tc>
          <w:tcPr>
            <w:tcW w:w="697" w:type="pct"/>
            <w:shd w:val="clear" w:color="auto" w:fill="auto"/>
            <w:vAlign w:val="center"/>
          </w:tcPr>
          <w:p w:rsidR="005A1390" w:rsidP="005A1390" w14:paraId="53BD7B66" w14:textId="29960C36">
            <w:pPr>
              <w:rPr>
                <w:snapToGrid/>
                <w:szCs w:val="22"/>
              </w:rPr>
            </w:pPr>
            <w:r>
              <w:rPr>
                <w:color w:val="333333"/>
                <w:szCs w:val="22"/>
              </w:rPr>
              <w:t>RI</w:t>
            </w:r>
          </w:p>
        </w:tc>
        <w:tc>
          <w:tcPr>
            <w:tcW w:w="666" w:type="pct"/>
            <w:shd w:val="clear" w:color="auto" w:fill="auto"/>
            <w:vAlign w:val="center"/>
          </w:tcPr>
          <w:p w:rsidR="005A1390" w:rsidP="005A1390" w14:paraId="2733D950" w14:textId="634918D2">
            <w:pPr>
              <w:rPr>
                <w:snapToGrid/>
                <w:szCs w:val="22"/>
              </w:rPr>
            </w:pPr>
            <w:r>
              <w:rPr>
                <w:color w:val="333333"/>
                <w:szCs w:val="22"/>
              </w:rPr>
              <w:t>64838</w:t>
            </w:r>
          </w:p>
        </w:tc>
        <w:tc>
          <w:tcPr>
            <w:tcW w:w="902" w:type="pct"/>
            <w:shd w:val="clear" w:color="auto" w:fill="auto"/>
            <w:vAlign w:val="center"/>
          </w:tcPr>
          <w:p w:rsidR="005A1390" w:rsidP="005A1390" w14:paraId="0B24A310" w14:textId="67AFA928">
            <w:pPr>
              <w:rPr>
                <w:snapToGrid/>
                <w:szCs w:val="22"/>
              </w:rPr>
            </w:pPr>
            <w:r>
              <w:rPr>
                <w:color w:val="333333"/>
                <w:szCs w:val="22"/>
              </w:rPr>
              <w:t>0000240129</w:t>
            </w:r>
          </w:p>
        </w:tc>
      </w:tr>
      <w:tr w14:paraId="62A2DC8E" w14:textId="77777777">
        <w:tblPrEx>
          <w:tblW w:w="5000" w:type="pct"/>
          <w:tblLook w:val="04A0"/>
        </w:tblPrEx>
        <w:trPr>
          <w:trHeight w:val="288"/>
        </w:trPr>
        <w:tc>
          <w:tcPr>
            <w:tcW w:w="764" w:type="pct"/>
            <w:shd w:val="clear" w:color="auto" w:fill="auto"/>
            <w:vAlign w:val="center"/>
          </w:tcPr>
          <w:p w:rsidR="005A1390" w:rsidP="005A1390" w14:paraId="186D4126" w14:textId="4E96E08E">
            <w:pPr>
              <w:rPr>
                <w:snapToGrid/>
                <w:szCs w:val="22"/>
              </w:rPr>
            </w:pPr>
            <w:r>
              <w:rPr>
                <w:color w:val="333333"/>
                <w:szCs w:val="22"/>
              </w:rPr>
              <w:t>WIVK-FM</w:t>
            </w:r>
          </w:p>
        </w:tc>
        <w:tc>
          <w:tcPr>
            <w:tcW w:w="678" w:type="pct"/>
            <w:shd w:val="clear" w:color="auto" w:fill="auto"/>
            <w:vAlign w:val="center"/>
          </w:tcPr>
          <w:p w:rsidR="005A1390" w:rsidP="005A1390" w14:paraId="409FAA44" w14:textId="0BFB99D0">
            <w:pPr>
              <w:rPr>
                <w:color w:val="333333"/>
                <w:szCs w:val="22"/>
              </w:rPr>
            </w:pPr>
            <w:r>
              <w:rPr>
                <w:color w:val="333333"/>
                <w:szCs w:val="22"/>
              </w:rPr>
              <w:t>FM</w:t>
            </w:r>
          </w:p>
        </w:tc>
        <w:tc>
          <w:tcPr>
            <w:tcW w:w="1293" w:type="pct"/>
            <w:shd w:val="clear" w:color="auto" w:fill="auto"/>
            <w:vAlign w:val="center"/>
          </w:tcPr>
          <w:p w:rsidR="005A1390" w:rsidP="005A1390" w14:paraId="04AB51C0" w14:textId="0AAE9374">
            <w:pPr>
              <w:rPr>
                <w:snapToGrid/>
                <w:szCs w:val="22"/>
              </w:rPr>
            </w:pPr>
            <w:r>
              <w:rPr>
                <w:color w:val="333333"/>
                <w:szCs w:val="22"/>
              </w:rPr>
              <w:t>KNOXVILLE</w:t>
            </w:r>
          </w:p>
        </w:tc>
        <w:tc>
          <w:tcPr>
            <w:tcW w:w="697" w:type="pct"/>
            <w:shd w:val="clear" w:color="auto" w:fill="auto"/>
            <w:vAlign w:val="center"/>
          </w:tcPr>
          <w:p w:rsidR="005A1390" w:rsidP="005A1390" w14:paraId="3B6BE6E7" w14:textId="4EF0D59C">
            <w:pPr>
              <w:rPr>
                <w:snapToGrid/>
                <w:szCs w:val="22"/>
              </w:rPr>
            </w:pPr>
            <w:r>
              <w:rPr>
                <w:color w:val="333333"/>
                <w:szCs w:val="22"/>
              </w:rPr>
              <w:t>TN</w:t>
            </w:r>
          </w:p>
        </w:tc>
        <w:tc>
          <w:tcPr>
            <w:tcW w:w="666" w:type="pct"/>
            <w:shd w:val="clear" w:color="auto" w:fill="auto"/>
            <w:vAlign w:val="center"/>
          </w:tcPr>
          <w:p w:rsidR="005A1390" w:rsidP="005A1390" w14:paraId="3585EF94" w14:textId="064A0E54">
            <w:pPr>
              <w:rPr>
                <w:snapToGrid/>
                <w:szCs w:val="22"/>
              </w:rPr>
            </w:pPr>
            <w:r>
              <w:rPr>
                <w:color w:val="333333"/>
                <w:szCs w:val="22"/>
              </w:rPr>
              <w:t>16890</w:t>
            </w:r>
          </w:p>
        </w:tc>
        <w:tc>
          <w:tcPr>
            <w:tcW w:w="902" w:type="pct"/>
            <w:shd w:val="clear" w:color="auto" w:fill="auto"/>
            <w:vAlign w:val="center"/>
          </w:tcPr>
          <w:p w:rsidR="005A1390" w:rsidP="005A1390" w14:paraId="6E44DB6D" w14:textId="58F95F9C">
            <w:pPr>
              <w:rPr>
                <w:snapToGrid/>
                <w:szCs w:val="22"/>
              </w:rPr>
            </w:pPr>
            <w:r>
              <w:rPr>
                <w:color w:val="333333"/>
                <w:szCs w:val="22"/>
              </w:rPr>
              <w:t>0000240130</w:t>
            </w:r>
          </w:p>
        </w:tc>
      </w:tr>
      <w:tr w14:paraId="1F5E9D87" w14:textId="77777777">
        <w:tblPrEx>
          <w:tblW w:w="5000" w:type="pct"/>
          <w:tblLook w:val="04A0"/>
        </w:tblPrEx>
        <w:trPr>
          <w:trHeight w:val="288"/>
        </w:trPr>
        <w:tc>
          <w:tcPr>
            <w:tcW w:w="764" w:type="pct"/>
            <w:shd w:val="clear" w:color="auto" w:fill="auto"/>
            <w:vAlign w:val="center"/>
          </w:tcPr>
          <w:p w:rsidR="005A1390" w:rsidP="005A1390" w14:paraId="2BC0A7D6" w14:textId="3D5D82EB">
            <w:pPr>
              <w:rPr>
                <w:snapToGrid/>
                <w:szCs w:val="22"/>
              </w:rPr>
            </w:pPr>
            <w:r>
              <w:rPr>
                <w:color w:val="333333"/>
                <w:szCs w:val="22"/>
              </w:rPr>
              <w:t>KKOB-FM</w:t>
            </w:r>
          </w:p>
        </w:tc>
        <w:tc>
          <w:tcPr>
            <w:tcW w:w="678" w:type="pct"/>
            <w:shd w:val="clear" w:color="auto" w:fill="auto"/>
            <w:vAlign w:val="center"/>
          </w:tcPr>
          <w:p w:rsidR="005A1390" w:rsidP="005A1390" w14:paraId="68CF047D" w14:textId="4E487264">
            <w:pPr>
              <w:rPr>
                <w:color w:val="333333"/>
                <w:szCs w:val="22"/>
              </w:rPr>
            </w:pPr>
            <w:r>
              <w:rPr>
                <w:color w:val="333333"/>
                <w:szCs w:val="22"/>
              </w:rPr>
              <w:t>FM</w:t>
            </w:r>
          </w:p>
        </w:tc>
        <w:tc>
          <w:tcPr>
            <w:tcW w:w="1293" w:type="pct"/>
            <w:shd w:val="clear" w:color="auto" w:fill="auto"/>
            <w:vAlign w:val="center"/>
          </w:tcPr>
          <w:p w:rsidR="005A1390" w:rsidP="005A1390" w14:paraId="52FBCE46" w14:textId="2A2A2E27">
            <w:pPr>
              <w:rPr>
                <w:snapToGrid/>
                <w:szCs w:val="22"/>
              </w:rPr>
            </w:pPr>
            <w:r>
              <w:rPr>
                <w:color w:val="333333"/>
                <w:szCs w:val="22"/>
              </w:rPr>
              <w:t>ALBUQUERQUE</w:t>
            </w:r>
          </w:p>
        </w:tc>
        <w:tc>
          <w:tcPr>
            <w:tcW w:w="697" w:type="pct"/>
            <w:shd w:val="clear" w:color="auto" w:fill="auto"/>
            <w:vAlign w:val="center"/>
          </w:tcPr>
          <w:p w:rsidR="005A1390" w:rsidP="005A1390" w14:paraId="212547B8" w14:textId="1514B0A6">
            <w:pPr>
              <w:rPr>
                <w:snapToGrid/>
                <w:szCs w:val="22"/>
              </w:rPr>
            </w:pPr>
            <w:r>
              <w:rPr>
                <w:color w:val="333333"/>
                <w:szCs w:val="22"/>
              </w:rPr>
              <w:t>NM</w:t>
            </w:r>
          </w:p>
        </w:tc>
        <w:tc>
          <w:tcPr>
            <w:tcW w:w="666" w:type="pct"/>
            <w:shd w:val="clear" w:color="auto" w:fill="auto"/>
            <w:vAlign w:val="center"/>
          </w:tcPr>
          <w:p w:rsidR="005A1390" w:rsidP="005A1390" w14:paraId="2E3D3416" w14:textId="62145E6B">
            <w:pPr>
              <w:rPr>
                <w:snapToGrid/>
                <w:szCs w:val="22"/>
              </w:rPr>
            </w:pPr>
            <w:r>
              <w:rPr>
                <w:color w:val="333333"/>
                <w:szCs w:val="22"/>
              </w:rPr>
              <w:t>48596</w:t>
            </w:r>
          </w:p>
        </w:tc>
        <w:tc>
          <w:tcPr>
            <w:tcW w:w="902" w:type="pct"/>
            <w:shd w:val="clear" w:color="auto" w:fill="auto"/>
            <w:vAlign w:val="center"/>
          </w:tcPr>
          <w:p w:rsidR="005A1390" w:rsidP="005A1390" w14:paraId="7D040C73" w14:textId="71D5DC14">
            <w:pPr>
              <w:rPr>
                <w:snapToGrid/>
                <w:szCs w:val="22"/>
              </w:rPr>
            </w:pPr>
            <w:r>
              <w:rPr>
                <w:color w:val="333333"/>
                <w:szCs w:val="22"/>
              </w:rPr>
              <w:t>0000240131</w:t>
            </w:r>
          </w:p>
        </w:tc>
      </w:tr>
      <w:tr w14:paraId="7F0226A9" w14:textId="77777777">
        <w:tblPrEx>
          <w:tblW w:w="5000" w:type="pct"/>
          <w:tblLook w:val="04A0"/>
        </w:tblPrEx>
        <w:trPr>
          <w:trHeight w:val="288"/>
        </w:trPr>
        <w:tc>
          <w:tcPr>
            <w:tcW w:w="764" w:type="pct"/>
            <w:shd w:val="clear" w:color="auto" w:fill="auto"/>
            <w:vAlign w:val="center"/>
          </w:tcPr>
          <w:p w:rsidR="005A1390" w:rsidP="005A1390" w14:paraId="0BCE005D" w14:textId="58787BC0">
            <w:pPr>
              <w:rPr>
                <w:snapToGrid/>
                <w:szCs w:val="22"/>
              </w:rPr>
            </w:pPr>
            <w:r>
              <w:rPr>
                <w:color w:val="333333"/>
                <w:szCs w:val="22"/>
              </w:rPr>
              <w:t>KHOP</w:t>
            </w:r>
          </w:p>
        </w:tc>
        <w:tc>
          <w:tcPr>
            <w:tcW w:w="678" w:type="pct"/>
            <w:shd w:val="clear" w:color="auto" w:fill="auto"/>
            <w:vAlign w:val="center"/>
          </w:tcPr>
          <w:p w:rsidR="005A1390" w:rsidP="005A1390" w14:paraId="7030D197" w14:textId="4C593826">
            <w:pPr>
              <w:rPr>
                <w:color w:val="333333"/>
                <w:szCs w:val="22"/>
              </w:rPr>
            </w:pPr>
            <w:r>
              <w:rPr>
                <w:color w:val="333333"/>
                <w:szCs w:val="22"/>
              </w:rPr>
              <w:t>FM</w:t>
            </w:r>
          </w:p>
        </w:tc>
        <w:tc>
          <w:tcPr>
            <w:tcW w:w="1293" w:type="pct"/>
            <w:shd w:val="clear" w:color="auto" w:fill="auto"/>
            <w:vAlign w:val="center"/>
          </w:tcPr>
          <w:p w:rsidR="005A1390" w:rsidP="005A1390" w14:paraId="43F8E466" w14:textId="3DC700FC">
            <w:pPr>
              <w:rPr>
                <w:snapToGrid/>
                <w:szCs w:val="22"/>
              </w:rPr>
            </w:pPr>
            <w:r>
              <w:rPr>
                <w:color w:val="333333"/>
                <w:szCs w:val="22"/>
              </w:rPr>
              <w:t>OAKDALE</w:t>
            </w:r>
          </w:p>
        </w:tc>
        <w:tc>
          <w:tcPr>
            <w:tcW w:w="697" w:type="pct"/>
            <w:shd w:val="clear" w:color="auto" w:fill="auto"/>
            <w:vAlign w:val="center"/>
          </w:tcPr>
          <w:p w:rsidR="005A1390" w:rsidP="005A1390" w14:paraId="3E5EF133" w14:textId="0BB1373F">
            <w:pPr>
              <w:rPr>
                <w:snapToGrid/>
                <w:szCs w:val="22"/>
              </w:rPr>
            </w:pPr>
            <w:r>
              <w:rPr>
                <w:color w:val="333333"/>
                <w:szCs w:val="22"/>
              </w:rPr>
              <w:t>CA</w:t>
            </w:r>
          </w:p>
        </w:tc>
        <w:tc>
          <w:tcPr>
            <w:tcW w:w="666" w:type="pct"/>
            <w:shd w:val="clear" w:color="auto" w:fill="auto"/>
            <w:vAlign w:val="center"/>
          </w:tcPr>
          <w:p w:rsidR="005A1390" w:rsidP="005A1390" w14:paraId="5B580AB1" w14:textId="427707A9">
            <w:pPr>
              <w:rPr>
                <w:snapToGrid/>
                <w:szCs w:val="22"/>
              </w:rPr>
            </w:pPr>
            <w:r>
              <w:rPr>
                <w:color w:val="333333"/>
                <w:szCs w:val="22"/>
              </w:rPr>
              <w:t>52528</w:t>
            </w:r>
          </w:p>
        </w:tc>
        <w:tc>
          <w:tcPr>
            <w:tcW w:w="902" w:type="pct"/>
            <w:shd w:val="clear" w:color="auto" w:fill="auto"/>
            <w:vAlign w:val="center"/>
          </w:tcPr>
          <w:p w:rsidR="005A1390" w:rsidP="005A1390" w14:paraId="5B9F07FC" w14:textId="3468E77F">
            <w:pPr>
              <w:rPr>
                <w:snapToGrid/>
                <w:szCs w:val="22"/>
              </w:rPr>
            </w:pPr>
            <w:r>
              <w:rPr>
                <w:color w:val="333333"/>
                <w:szCs w:val="22"/>
              </w:rPr>
              <w:t>0000240132</w:t>
            </w:r>
          </w:p>
        </w:tc>
      </w:tr>
      <w:tr w14:paraId="0611C435" w14:textId="77777777">
        <w:tblPrEx>
          <w:tblW w:w="5000" w:type="pct"/>
          <w:tblLook w:val="04A0"/>
        </w:tblPrEx>
        <w:trPr>
          <w:trHeight w:val="288"/>
        </w:trPr>
        <w:tc>
          <w:tcPr>
            <w:tcW w:w="764" w:type="pct"/>
            <w:shd w:val="clear" w:color="auto" w:fill="auto"/>
            <w:vAlign w:val="center"/>
          </w:tcPr>
          <w:p w:rsidR="005A1390" w:rsidP="005A1390" w14:paraId="1092129D" w14:textId="4C7096F2">
            <w:pPr>
              <w:rPr>
                <w:snapToGrid/>
                <w:szCs w:val="22"/>
              </w:rPr>
            </w:pPr>
            <w:r>
              <w:rPr>
                <w:color w:val="333333"/>
                <w:szCs w:val="22"/>
              </w:rPr>
              <w:t>WPRO</w:t>
            </w:r>
          </w:p>
        </w:tc>
        <w:tc>
          <w:tcPr>
            <w:tcW w:w="678" w:type="pct"/>
            <w:shd w:val="clear" w:color="auto" w:fill="auto"/>
            <w:vAlign w:val="center"/>
          </w:tcPr>
          <w:p w:rsidR="005A1390" w:rsidP="005A1390" w14:paraId="126E7E7A" w14:textId="15CBF122">
            <w:pPr>
              <w:rPr>
                <w:color w:val="333333"/>
                <w:szCs w:val="22"/>
              </w:rPr>
            </w:pPr>
            <w:r>
              <w:rPr>
                <w:color w:val="333333"/>
                <w:szCs w:val="22"/>
              </w:rPr>
              <w:t>AM</w:t>
            </w:r>
          </w:p>
        </w:tc>
        <w:tc>
          <w:tcPr>
            <w:tcW w:w="1293" w:type="pct"/>
            <w:shd w:val="clear" w:color="auto" w:fill="auto"/>
            <w:vAlign w:val="center"/>
          </w:tcPr>
          <w:p w:rsidR="005A1390" w:rsidP="005A1390" w14:paraId="228608BE" w14:textId="4A1C2EB8">
            <w:pPr>
              <w:rPr>
                <w:snapToGrid/>
                <w:szCs w:val="22"/>
              </w:rPr>
            </w:pPr>
            <w:r>
              <w:rPr>
                <w:color w:val="333333"/>
                <w:szCs w:val="22"/>
              </w:rPr>
              <w:t>PROVIDENCE</w:t>
            </w:r>
          </w:p>
        </w:tc>
        <w:tc>
          <w:tcPr>
            <w:tcW w:w="697" w:type="pct"/>
            <w:shd w:val="clear" w:color="auto" w:fill="auto"/>
            <w:vAlign w:val="center"/>
          </w:tcPr>
          <w:p w:rsidR="005A1390" w:rsidP="005A1390" w14:paraId="0B0A2CEE" w14:textId="57A82145">
            <w:pPr>
              <w:rPr>
                <w:snapToGrid/>
                <w:szCs w:val="22"/>
              </w:rPr>
            </w:pPr>
            <w:r>
              <w:rPr>
                <w:color w:val="333333"/>
                <w:szCs w:val="22"/>
              </w:rPr>
              <w:t>RI</w:t>
            </w:r>
          </w:p>
        </w:tc>
        <w:tc>
          <w:tcPr>
            <w:tcW w:w="666" w:type="pct"/>
            <w:shd w:val="clear" w:color="auto" w:fill="auto"/>
            <w:vAlign w:val="center"/>
          </w:tcPr>
          <w:p w:rsidR="005A1390" w:rsidP="005A1390" w14:paraId="206A5A04" w14:textId="6B6DC199">
            <w:pPr>
              <w:rPr>
                <w:snapToGrid/>
                <w:szCs w:val="22"/>
              </w:rPr>
            </w:pPr>
            <w:r>
              <w:rPr>
                <w:color w:val="333333"/>
                <w:szCs w:val="22"/>
              </w:rPr>
              <w:t>64843</w:t>
            </w:r>
          </w:p>
        </w:tc>
        <w:tc>
          <w:tcPr>
            <w:tcW w:w="902" w:type="pct"/>
            <w:shd w:val="clear" w:color="auto" w:fill="auto"/>
            <w:vAlign w:val="center"/>
          </w:tcPr>
          <w:p w:rsidR="005A1390" w:rsidP="005A1390" w14:paraId="2B0BFDBB" w14:textId="3785D345">
            <w:pPr>
              <w:rPr>
                <w:snapToGrid/>
                <w:szCs w:val="22"/>
              </w:rPr>
            </w:pPr>
            <w:r>
              <w:rPr>
                <w:color w:val="333333"/>
                <w:szCs w:val="22"/>
              </w:rPr>
              <w:t>0000240133</w:t>
            </w:r>
          </w:p>
        </w:tc>
      </w:tr>
      <w:tr w14:paraId="0C9E8B58" w14:textId="77777777">
        <w:tblPrEx>
          <w:tblW w:w="5000" w:type="pct"/>
          <w:tblLook w:val="04A0"/>
        </w:tblPrEx>
        <w:trPr>
          <w:trHeight w:val="288"/>
        </w:trPr>
        <w:tc>
          <w:tcPr>
            <w:tcW w:w="764" w:type="pct"/>
            <w:shd w:val="clear" w:color="auto" w:fill="auto"/>
            <w:vAlign w:val="center"/>
          </w:tcPr>
          <w:p w:rsidR="005A1390" w:rsidP="005A1390" w14:paraId="72A0CD7D" w14:textId="37B93236">
            <w:pPr>
              <w:rPr>
                <w:snapToGrid/>
                <w:szCs w:val="22"/>
              </w:rPr>
            </w:pPr>
            <w:r>
              <w:rPr>
                <w:color w:val="333333"/>
                <w:szCs w:val="22"/>
              </w:rPr>
              <w:t>WWKL</w:t>
            </w:r>
          </w:p>
        </w:tc>
        <w:tc>
          <w:tcPr>
            <w:tcW w:w="678" w:type="pct"/>
            <w:shd w:val="clear" w:color="auto" w:fill="auto"/>
            <w:vAlign w:val="center"/>
          </w:tcPr>
          <w:p w:rsidR="005A1390" w:rsidP="005A1390" w14:paraId="70EBEBF0" w14:textId="4BEE6B56">
            <w:pPr>
              <w:rPr>
                <w:color w:val="333333"/>
                <w:szCs w:val="22"/>
              </w:rPr>
            </w:pPr>
            <w:r>
              <w:rPr>
                <w:color w:val="333333"/>
                <w:szCs w:val="22"/>
              </w:rPr>
              <w:t>FM</w:t>
            </w:r>
          </w:p>
        </w:tc>
        <w:tc>
          <w:tcPr>
            <w:tcW w:w="1293" w:type="pct"/>
            <w:shd w:val="clear" w:color="auto" w:fill="auto"/>
            <w:vAlign w:val="center"/>
          </w:tcPr>
          <w:p w:rsidR="005A1390" w:rsidP="005A1390" w14:paraId="5363BB19" w14:textId="43637FD2">
            <w:pPr>
              <w:rPr>
                <w:snapToGrid/>
                <w:szCs w:val="22"/>
              </w:rPr>
            </w:pPr>
            <w:r>
              <w:rPr>
                <w:color w:val="333333"/>
                <w:szCs w:val="22"/>
              </w:rPr>
              <w:t>HERSHEY</w:t>
            </w:r>
          </w:p>
        </w:tc>
        <w:tc>
          <w:tcPr>
            <w:tcW w:w="697" w:type="pct"/>
            <w:shd w:val="clear" w:color="auto" w:fill="auto"/>
            <w:vAlign w:val="center"/>
          </w:tcPr>
          <w:p w:rsidR="005A1390" w:rsidP="005A1390" w14:paraId="340D90D7" w14:textId="0B7174DF">
            <w:pPr>
              <w:rPr>
                <w:snapToGrid/>
                <w:szCs w:val="22"/>
              </w:rPr>
            </w:pPr>
            <w:r>
              <w:rPr>
                <w:color w:val="333333"/>
                <w:szCs w:val="22"/>
              </w:rPr>
              <w:t>PA</w:t>
            </w:r>
          </w:p>
        </w:tc>
        <w:tc>
          <w:tcPr>
            <w:tcW w:w="666" w:type="pct"/>
            <w:shd w:val="clear" w:color="auto" w:fill="auto"/>
            <w:vAlign w:val="center"/>
          </w:tcPr>
          <w:p w:rsidR="005A1390" w:rsidP="005A1390" w14:paraId="077A4B05" w14:textId="6CA8F74D">
            <w:pPr>
              <w:rPr>
                <w:snapToGrid/>
                <w:szCs w:val="22"/>
              </w:rPr>
            </w:pPr>
            <w:r>
              <w:rPr>
                <w:color w:val="333333"/>
                <w:szCs w:val="22"/>
              </w:rPr>
              <w:t>64842</w:t>
            </w:r>
          </w:p>
        </w:tc>
        <w:tc>
          <w:tcPr>
            <w:tcW w:w="902" w:type="pct"/>
            <w:shd w:val="clear" w:color="auto" w:fill="auto"/>
            <w:vAlign w:val="center"/>
          </w:tcPr>
          <w:p w:rsidR="005A1390" w:rsidP="005A1390" w14:paraId="799CBA28" w14:textId="2406D9A1">
            <w:pPr>
              <w:rPr>
                <w:snapToGrid/>
                <w:szCs w:val="22"/>
              </w:rPr>
            </w:pPr>
            <w:r>
              <w:rPr>
                <w:color w:val="333333"/>
                <w:szCs w:val="22"/>
              </w:rPr>
              <w:t>0000240134</w:t>
            </w:r>
          </w:p>
        </w:tc>
      </w:tr>
      <w:tr w14:paraId="4E72B543" w14:textId="77777777">
        <w:tblPrEx>
          <w:tblW w:w="5000" w:type="pct"/>
          <w:tblLook w:val="04A0"/>
        </w:tblPrEx>
        <w:trPr>
          <w:trHeight w:val="288"/>
        </w:trPr>
        <w:tc>
          <w:tcPr>
            <w:tcW w:w="764" w:type="pct"/>
            <w:shd w:val="clear" w:color="auto" w:fill="auto"/>
            <w:vAlign w:val="center"/>
          </w:tcPr>
          <w:p w:rsidR="005A1390" w:rsidP="005A1390" w14:paraId="2D947EB9" w14:textId="29CE18C0">
            <w:pPr>
              <w:rPr>
                <w:snapToGrid/>
                <w:szCs w:val="22"/>
              </w:rPr>
            </w:pPr>
            <w:r>
              <w:rPr>
                <w:color w:val="333333"/>
                <w:szCs w:val="22"/>
              </w:rPr>
              <w:t>WWYY</w:t>
            </w:r>
          </w:p>
        </w:tc>
        <w:tc>
          <w:tcPr>
            <w:tcW w:w="678" w:type="pct"/>
            <w:shd w:val="clear" w:color="auto" w:fill="auto"/>
            <w:vAlign w:val="center"/>
          </w:tcPr>
          <w:p w:rsidR="005A1390" w:rsidP="005A1390" w14:paraId="5246293D" w14:textId="14988EBF">
            <w:pPr>
              <w:rPr>
                <w:color w:val="333333"/>
                <w:szCs w:val="22"/>
              </w:rPr>
            </w:pPr>
            <w:r>
              <w:rPr>
                <w:color w:val="333333"/>
                <w:szCs w:val="22"/>
              </w:rPr>
              <w:t>FM</w:t>
            </w:r>
          </w:p>
        </w:tc>
        <w:tc>
          <w:tcPr>
            <w:tcW w:w="1293" w:type="pct"/>
            <w:shd w:val="clear" w:color="auto" w:fill="auto"/>
            <w:vAlign w:val="center"/>
          </w:tcPr>
          <w:p w:rsidR="005A1390" w:rsidP="005A1390" w14:paraId="698046F2" w14:textId="344C5626">
            <w:pPr>
              <w:rPr>
                <w:snapToGrid/>
                <w:szCs w:val="22"/>
              </w:rPr>
            </w:pPr>
            <w:r>
              <w:rPr>
                <w:color w:val="333333"/>
                <w:szCs w:val="22"/>
              </w:rPr>
              <w:t>BELVIDERE</w:t>
            </w:r>
          </w:p>
        </w:tc>
        <w:tc>
          <w:tcPr>
            <w:tcW w:w="697" w:type="pct"/>
            <w:shd w:val="clear" w:color="auto" w:fill="auto"/>
            <w:vAlign w:val="center"/>
          </w:tcPr>
          <w:p w:rsidR="005A1390" w:rsidP="005A1390" w14:paraId="792EA021" w14:textId="33085877">
            <w:pPr>
              <w:rPr>
                <w:snapToGrid/>
                <w:szCs w:val="22"/>
              </w:rPr>
            </w:pPr>
            <w:r>
              <w:rPr>
                <w:color w:val="333333"/>
                <w:szCs w:val="22"/>
              </w:rPr>
              <w:t>NJ</w:t>
            </w:r>
          </w:p>
        </w:tc>
        <w:tc>
          <w:tcPr>
            <w:tcW w:w="666" w:type="pct"/>
            <w:shd w:val="clear" w:color="auto" w:fill="auto"/>
            <w:vAlign w:val="center"/>
          </w:tcPr>
          <w:p w:rsidR="005A1390" w:rsidP="005A1390" w14:paraId="0CC2199D" w14:textId="29243465">
            <w:pPr>
              <w:rPr>
                <w:snapToGrid/>
                <w:szCs w:val="22"/>
              </w:rPr>
            </w:pPr>
            <w:r>
              <w:rPr>
                <w:color w:val="333333"/>
                <w:szCs w:val="22"/>
              </w:rPr>
              <w:t>54689</w:t>
            </w:r>
          </w:p>
        </w:tc>
        <w:tc>
          <w:tcPr>
            <w:tcW w:w="902" w:type="pct"/>
            <w:shd w:val="clear" w:color="auto" w:fill="auto"/>
            <w:vAlign w:val="center"/>
          </w:tcPr>
          <w:p w:rsidR="005A1390" w:rsidP="005A1390" w14:paraId="0D5D46D3" w14:textId="35D7CDFB">
            <w:pPr>
              <w:rPr>
                <w:snapToGrid/>
                <w:szCs w:val="22"/>
              </w:rPr>
            </w:pPr>
            <w:r>
              <w:rPr>
                <w:color w:val="333333"/>
                <w:szCs w:val="22"/>
              </w:rPr>
              <w:t>0000240135</w:t>
            </w:r>
          </w:p>
        </w:tc>
      </w:tr>
      <w:tr w14:paraId="08432D44" w14:textId="77777777">
        <w:tblPrEx>
          <w:tblW w:w="5000" w:type="pct"/>
          <w:tblLook w:val="04A0"/>
        </w:tblPrEx>
        <w:trPr>
          <w:trHeight w:val="288"/>
        </w:trPr>
        <w:tc>
          <w:tcPr>
            <w:tcW w:w="764" w:type="pct"/>
            <w:shd w:val="clear" w:color="auto" w:fill="auto"/>
            <w:vAlign w:val="center"/>
          </w:tcPr>
          <w:p w:rsidR="005A1390" w:rsidP="005A1390" w14:paraId="21A0B66A" w14:textId="193AD309">
            <w:pPr>
              <w:rPr>
                <w:snapToGrid/>
                <w:szCs w:val="22"/>
              </w:rPr>
            </w:pPr>
            <w:r>
              <w:rPr>
                <w:color w:val="333333"/>
                <w:szCs w:val="22"/>
              </w:rPr>
              <w:t>WEAN-FM</w:t>
            </w:r>
          </w:p>
        </w:tc>
        <w:tc>
          <w:tcPr>
            <w:tcW w:w="678" w:type="pct"/>
            <w:shd w:val="clear" w:color="auto" w:fill="auto"/>
            <w:vAlign w:val="center"/>
          </w:tcPr>
          <w:p w:rsidR="005A1390" w:rsidP="005A1390" w14:paraId="3CAE9E87" w14:textId="3BA8FA52">
            <w:pPr>
              <w:rPr>
                <w:color w:val="333333"/>
                <w:szCs w:val="22"/>
              </w:rPr>
            </w:pPr>
            <w:r>
              <w:rPr>
                <w:color w:val="333333"/>
                <w:szCs w:val="22"/>
              </w:rPr>
              <w:t>FM</w:t>
            </w:r>
          </w:p>
        </w:tc>
        <w:tc>
          <w:tcPr>
            <w:tcW w:w="1293" w:type="pct"/>
            <w:shd w:val="clear" w:color="auto" w:fill="auto"/>
            <w:vAlign w:val="center"/>
          </w:tcPr>
          <w:p w:rsidR="005A1390" w:rsidP="005A1390" w14:paraId="0D7E56D9" w14:textId="574DA402">
            <w:pPr>
              <w:rPr>
                <w:snapToGrid/>
                <w:szCs w:val="22"/>
              </w:rPr>
            </w:pPr>
            <w:r>
              <w:rPr>
                <w:color w:val="333333"/>
                <w:szCs w:val="22"/>
              </w:rPr>
              <w:t>WAKEFIELD-PEACEDALE</w:t>
            </w:r>
          </w:p>
        </w:tc>
        <w:tc>
          <w:tcPr>
            <w:tcW w:w="697" w:type="pct"/>
            <w:shd w:val="clear" w:color="auto" w:fill="auto"/>
            <w:vAlign w:val="center"/>
          </w:tcPr>
          <w:p w:rsidR="005A1390" w:rsidP="005A1390" w14:paraId="42D67423" w14:textId="4BF89236">
            <w:pPr>
              <w:rPr>
                <w:snapToGrid/>
                <w:szCs w:val="22"/>
              </w:rPr>
            </w:pPr>
            <w:r>
              <w:rPr>
                <w:color w:val="333333"/>
                <w:szCs w:val="22"/>
              </w:rPr>
              <w:t>RI</w:t>
            </w:r>
          </w:p>
        </w:tc>
        <w:tc>
          <w:tcPr>
            <w:tcW w:w="666" w:type="pct"/>
            <w:shd w:val="clear" w:color="auto" w:fill="auto"/>
            <w:vAlign w:val="center"/>
          </w:tcPr>
          <w:p w:rsidR="005A1390" w:rsidP="005A1390" w14:paraId="38322A1F" w14:textId="6CFABE10">
            <w:pPr>
              <w:rPr>
                <w:snapToGrid/>
                <w:szCs w:val="22"/>
              </w:rPr>
            </w:pPr>
            <w:r>
              <w:rPr>
                <w:color w:val="333333"/>
                <w:szCs w:val="22"/>
              </w:rPr>
              <w:t>4376</w:t>
            </w:r>
          </w:p>
        </w:tc>
        <w:tc>
          <w:tcPr>
            <w:tcW w:w="902" w:type="pct"/>
            <w:shd w:val="clear" w:color="auto" w:fill="auto"/>
            <w:vAlign w:val="center"/>
          </w:tcPr>
          <w:p w:rsidR="005A1390" w:rsidP="005A1390" w14:paraId="7786C512" w14:textId="3305DD84">
            <w:pPr>
              <w:rPr>
                <w:snapToGrid/>
                <w:szCs w:val="22"/>
              </w:rPr>
            </w:pPr>
            <w:r>
              <w:rPr>
                <w:color w:val="333333"/>
                <w:szCs w:val="22"/>
              </w:rPr>
              <w:t>0000240136</w:t>
            </w:r>
          </w:p>
        </w:tc>
      </w:tr>
      <w:tr w14:paraId="598375A6" w14:textId="77777777">
        <w:tblPrEx>
          <w:tblW w:w="5000" w:type="pct"/>
          <w:tblLook w:val="04A0"/>
        </w:tblPrEx>
        <w:trPr>
          <w:trHeight w:val="288"/>
        </w:trPr>
        <w:tc>
          <w:tcPr>
            <w:tcW w:w="764" w:type="pct"/>
            <w:shd w:val="clear" w:color="auto" w:fill="auto"/>
            <w:vAlign w:val="center"/>
          </w:tcPr>
          <w:p w:rsidR="005A1390" w:rsidP="005A1390" w14:paraId="142C4892" w14:textId="666AC6C8">
            <w:pPr>
              <w:rPr>
                <w:snapToGrid/>
                <w:szCs w:val="22"/>
              </w:rPr>
            </w:pPr>
            <w:r>
              <w:rPr>
                <w:color w:val="333333"/>
                <w:szCs w:val="22"/>
              </w:rPr>
              <w:t>KATM</w:t>
            </w:r>
          </w:p>
        </w:tc>
        <w:tc>
          <w:tcPr>
            <w:tcW w:w="678" w:type="pct"/>
            <w:shd w:val="clear" w:color="auto" w:fill="auto"/>
            <w:vAlign w:val="center"/>
          </w:tcPr>
          <w:p w:rsidR="005A1390" w:rsidP="005A1390" w14:paraId="475B15A5" w14:textId="5C97F9D3">
            <w:pPr>
              <w:rPr>
                <w:color w:val="333333"/>
                <w:szCs w:val="22"/>
              </w:rPr>
            </w:pPr>
            <w:r>
              <w:rPr>
                <w:color w:val="333333"/>
                <w:szCs w:val="22"/>
              </w:rPr>
              <w:t>FM</w:t>
            </w:r>
          </w:p>
        </w:tc>
        <w:tc>
          <w:tcPr>
            <w:tcW w:w="1293" w:type="pct"/>
            <w:shd w:val="clear" w:color="auto" w:fill="auto"/>
            <w:vAlign w:val="center"/>
          </w:tcPr>
          <w:p w:rsidR="005A1390" w:rsidP="005A1390" w14:paraId="5ADC6B5F" w14:textId="5ED8F2F0">
            <w:pPr>
              <w:rPr>
                <w:snapToGrid/>
                <w:szCs w:val="22"/>
              </w:rPr>
            </w:pPr>
            <w:r>
              <w:rPr>
                <w:color w:val="333333"/>
                <w:szCs w:val="22"/>
              </w:rPr>
              <w:t>MODESTO</w:t>
            </w:r>
          </w:p>
        </w:tc>
        <w:tc>
          <w:tcPr>
            <w:tcW w:w="697" w:type="pct"/>
            <w:shd w:val="clear" w:color="auto" w:fill="auto"/>
            <w:vAlign w:val="center"/>
          </w:tcPr>
          <w:p w:rsidR="005A1390" w:rsidP="005A1390" w14:paraId="550FFC52" w14:textId="749EF4A5">
            <w:pPr>
              <w:rPr>
                <w:snapToGrid/>
                <w:szCs w:val="22"/>
              </w:rPr>
            </w:pPr>
            <w:r>
              <w:rPr>
                <w:color w:val="333333"/>
                <w:szCs w:val="22"/>
              </w:rPr>
              <w:t>CA</w:t>
            </w:r>
          </w:p>
        </w:tc>
        <w:tc>
          <w:tcPr>
            <w:tcW w:w="666" w:type="pct"/>
            <w:shd w:val="clear" w:color="auto" w:fill="auto"/>
            <w:vAlign w:val="center"/>
          </w:tcPr>
          <w:p w:rsidR="005A1390" w:rsidP="005A1390" w14:paraId="614FBA57" w14:textId="6A5A4E91">
            <w:pPr>
              <w:rPr>
                <w:snapToGrid/>
                <w:szCs w:val="22"/>
              </w:rPr>
            </w:pPr>
            <w:r>
              <w:rPr>
                <w:color w:val="333333"/>
                <w:szCs w:val="22"/>
              </w:rPr>
              <w:t>11239</w:t>
            </w:r>
          </w:p>
        </w:tc>
        <w:tc>
          <w:tcPr>
            <w:tcW w:w="902" w:type="pct"/>
            <w:shd w:val="clear" w:color="auto" w:fill="auto"/>
            <w:vAlign w:val="center"/>
          </w:tcPr>
          <w:p w:rsidR="005A1390" w:rsidP="005A1390" w14:paraId="4AAC92AB" w14:textId="030FE7CD">
            <w:pPr>
              <w:rPr>
                <w:snapToGrid/>
                <w:szCs w:val="22"/>
              </w:rPr>
            </w:pPr>
            <w:r>
              <w:rPr>
                <w:color w:val="333333"/>
                <w:szCs w:val="22"/>
              </w:rPr>
              <w:t>0000240137</w:t>
            </w:r>
          </w:p>
        </w:tc>
      </w:tr>
      <w:tr w14:paraId="27C0E66D" w14:textId="77777777">
        <w:tblPrEx>
          <w:tblW w:w="5000" w:type="pct"/>
          <w:tblLook w:val="04A0"/>
        </w:tblPrEx>
        <w:trPr>
          <w:trHeight w:val="288"/>
        </w:trPr>
        <w:tc>
          <w:tcPr>
            <w:tcW w:w="764" w:type="pct"/>
            <w:shd w:val="clear" w:color="auto" w:fill="auto"/>
            <w:vAlign w:val="center"/>
          </w:tcPr>
          <w:p w:rsidR="005A1390" w:rsidP="005A1390" w14:paraId="23453EBE" w14:textId="08C8DE23">
            <w:pPr>
              <w:rPr>
                <w:snapToGrid/>
                <w:szCs w:val="22"/>
              </w:rPr>
            </w:pPr>
            <w:r>
              <w:rPr>
                <w:color w:val="333333"/>
                <w:szCs w:val="22"/>
              </w:rPr>
              <w:t>KESP</w:t>
            </w:r>
          </w:p>
        </w:tc>
        <w:tc>
          <w:tcPr>
            <w:tcW w:w="678" w:type="pct"/>
            <w:shd w:val="clear" w:color="auto" w:fill="auto"/>
            <w:vAlign w:val="center"/>
          </w:tcPr>
          <w:p w:rsidR="005A1390" w:rsidP="005A1390" w14:paraId="767DCBA2" w14:textId="4D57EBEB">
            <w:pPr>
              <w:rPr>
                <w:color w:val="333333"/>
                <w:szCs w:val="22"/>
              </w:rPr>
            </w:pPr>
            <w:r>
              <w:rPr>
                <w:color w:val="333333"/>
                <w:szCs w:val="22"/>
              </w:rPr>
              <w:t>AM</w:t>
            </w:r>
          </w:p>
        </w:tc>
        <w:tc>
          <w:tcPr>
            <w:tcW w:w="1293" w:type="pct"/>
            <w:shd w:val="clear" w:color="auto" w:fill="auto"/>
            <w:vAlign w:val="center"/>
          </w:tcPr>
          <w:p w:rsidR="005A1390" w:rsidP="005A1390" w14:paraId="2AA928AE" w14:textId="7C21A086">
            <w:pPr>
              <w:rPr>
                <w:snapToGrid/>
                <w:szCs w:val="22"/>
              </w:rPr>
            </w:pPr>
            <w:r>
              <w:rPr>
                <w:color w:val="333333"/>
                <w:szCs w:val="22"/>
              </w:rPr>
              <w:t>MODESTO</w:t>
            </w:r>
          </w:p>
        </w:tc>
        <w:tc>
          <w:tcPr>
            <w:tcW w:w="697" w:type="pct"/>
            <w:shd w:val="clear" w:color="auto" w:fill="auto"/>
            <w:vAlign w:val="center"/>
          </w:tcPr>
          <w:p w:rsidR="005A1390" w:rsidP="005A1390" w14:paraId="368A550E" w14:textId="75DB6A0B">
            <w:pPr>
              <w:rPr>
                <w:snapToGrid/>
                <w:szCs w:val="22"/>
              </w:rPr>
            </w:pPr>
            <w:r>
              <w:rPr>
                <w:color w:val="333333"/>
                <w:szCs w:val="22"/>
              </w:rPr>
              <w:t>CA</w:t>
            </w:r>
          </w:p>
        </w:tc>
        <w:tc>
          <w:tcPr>
            <w:tcW w:w="666" w:type="pct"/>
            <w:shd w:val="clear" w:color="auto" w:fill="auto"/>
            <w:vAlign w:val="center"/>
          </w:tcPr>
          <w:p w:rsidR="005A1390" w:rsidP="005A1390" w14:paraId="73EDDC9D" w14:textId="2584FA1A">
            <w:pPr>
              <w:rPr>
                <w:snapToGrid/>
                <w:szCs w:val="22"/>
              </w:rPr>
            </w:pPr>
            <w:r>
              <w:rPr>
                <w:color w:val="333333"/>
                <w:szCs w:val="22"/>
              </w:rPr>
              <w:t>11233</w:t>
            </w:r>
          </w:p>
        </w:tc>
        <w:tc>
          <w:tcPr>
            <w:tcW w:w="902" w:type="pct"/>
            <w:shd w:val="clear" w:color="auto" w:fill="auto"/>
            <w:vAlign w:val="center"/>
          </w:tcPr>
          <w:p w:rsidR="005A1390" w:rsidP="005A1390" w14:paraId="07356DC6" w14:textId="143C4498">
            <w:pPr>
              <w:rPr>
                <w:snapToGrid/>
                <w:szCs w:val="22"/>
              </w:rPr>
            </w:pPr>
            <w:r>
              <w:rPr>
                <w:color w:val="333333"/>
                <w:szCs w:val="22"/>
              </w:rPr>
              <w:t>0000240138</w:t>
            </w:r>
          </w:p>
        </w:tc>
      </w:tr>
      <w:tr w14:paraId="1284FA07" w14:textId="77777777">
        <w:tblPrEx>
          <w:tblW w:w="5000" w:type="pct"/>
          <w:tblLook w:val="04A0"/>
        </w:tblPrEx>
        <w:trPr>
          <w:trHeight w:val="288"/>
        </w:trPr>
        <w:tc>
          <w:tcPr>
            <w:tcW w:w="764" w:type="pct"/>
            <w:shd w:val="clear" w:color="auto" w:fill="auto"/>
            <w:vAlign w:val="center"/>
          </w:tcPr>
          <w:p w:rsidR="005A1390" w:rsidP="005A1390" w14:paraId="26BA9F66" w14:textId="509C1A58">
            <w:pPr>
              <w:rPr>
                <w:snapToGrid/>
                <w:szCs w:val="22"/>
              </w:rPr>
            </w:pPr>
            <w:r>
              <w:rPr>
                <w:color w:val="333333"/>
                <w:szCs w:val="22"/>
              </w:rPr>
              <w:t>WQXA-FM</w:t>
            </w:r>
          </w:p>
        </w:tc>
        <w:tc>
          <w:tcPr>
            <w:tcW w:w="678" w:type="pct"/>
            <w:shd w:val="clear" w:color="auto" w:fill="auto"/>
            <w:vAlign w:val="center"/>
          </w:tcPr>
          <w:p w:rsidR="005A1390" w:rsidP="005A1390" w14:paraId="60766F71" w14:textId="41026F29">
            <w:pPr>
              <w:rPr>
                <w:color w:val="333333"/>
                <w:szCs w:val="22"/>
              </w:rPr>
            </w:pPr>
            <w:r>
              <w:rPr>
                <w:color w:val="333333"/>
                <w:szCs w:val="22"/>
              </w:rPr>
              <w:t>FM</w:t>
            </w:r>
          </w:p>
        </w:tc>
        <w:tc>
          <w:tcPr>
            <w:tcW w:w="1293" w:type="pct"/>
            <w:shd w:val="clear" w:color="auto" w:fill="auto"/>
            <w:vAlign w:val="center"/>
          </w:tcPr>
          <w:p w:rsidR="005A1390" w:rsidP="005A1390" w14:paraId="6DAEA9CA" w14:textId="0923FCD5">
            <w:pPr>
              <w:rPr>
                <w:snapToGrid/>
                <w:szCs w:val="22"/>
              </w:rPr>
            </w:pPr>
            <w:r>
              <w:rPr>
                <w:color w:val="333333"/>
                <w:szCs w:val="22"/>
              </w:rPr>
              <w:t>YORK</w:t>
            </w:r>
          </w:p>
        </w:tc>
        <w:tc>
          <w:tcPr>
            <w:tcW w:w="697" w:type="pct"/>
            <w:shd w:val="clear" w:color="auto" w:fill="auto"/>
            <w:vAlign w:val="center"/>
          </w:tcPr>
          <w:p w:rsidR="005A1390" w:rsidP="005A1390" w14:paraId="60B4A244" w14:textId="5DF0668D">
            <w:pPr>
              <w:rPr>
                <w:snapToGrid/>
                <w:szCs w:val="22"/>
              </w:rPr>
            </w:pPr>
            <w:r>
              <w:rPr>
                <w:color w:val="333333"/>
                <w:szCs w:val="22"/>
              </w:rPr>
              <w:t>PA</w:t>
            </w:r>
          </w:p>
        </w:tc>
        <w:tc>
          <w:tcPr>
            <w:tcW w:w="666" w:type="pct"/>
            <w:shd w:val="clear" w:color="auto" w:fill="auto"/>
            <w:vAlign w:val="center"/>
          </w:tcPr>
          <w:p w:rsidR="005A1390" w:rsidP="005A1390" w14:paraId="0CC1FC86" w14:textId="797B80B9">
            <w:pPr>
              <w:rPr>
                <w:snapToGrid/>
                <w:szCs w:val="22"/>
              </w:rPr>
            </w:pPr>
            <w:r>
              <w:rPr>
                <w:color w:val="333333"/>
                <w:szCs w:val="22"/>
              </w:rPr>
              <w:t>52169</w:t>
            </w:r>
          </w:p>
        </w:tc>
        <w:tc>
          <w:tcPr>
            <w:tcW w:w="902" w:type="pct"/>
            <w:shd w:val="clear" w:color="auto" w:fill="auto"/>
            <w:vAlign w:val="center"/>
          </w:tcPr>
          <w:p w:rsidR="005A1390" w:rsidP="005A1390" w14:paraId="090150CA" w14:textId="672039A2">
            <w:pPr>
              <w:rPr>
                <w:snapToGrid/>
                <w:szCs w:val="22"/>
              </w:rPr>
            </w:pPr>
            <w:r>
              <w:rPr>
                <w:color w:val="333333"/>
                <w:szCs w:val="22"/>
              </w:rPr>
              <w:t>0000240139</w:t>
            </w:r>
          </w:p>
        </w:tc>
      </w:tr>
      <w:tr w14:paraId="08760CAF" w14:textId="77777777">
        <w:tblPrEx>
          <w:tblW w:w="5000" w:type="pct"/>
          <w:tblLook w:val="04A0"/>
        </w:tblPrEx>
        <w:trPr>
          <w:trHeight w:val="288"/>
        </w:trPr>
        <w:tc>
          <w:tcPr>
            <w:tcW w:w="764" w:type="pct"/>
            <w:shd w:val="clear" w:color="auto" w:fill="auto"/>
            <w:vAlign w:val="center"/>
          </w:tcPr>
          <w:p w:rsidR="005A1390" w:rsidP="005A1390" w14:paraId="12788B34" w14:textId="08F1F9B6">
            <w:pPr>
              <w:rPr>
                <w:snapToGrid/>
                <w:szCs w:val="22"/>
              </w:rPr>
            </w:pPr>
            <w:r>
              <w:rPr>
                <w:color w:val="333333"/>
                <w:szCs w:val="22"/>
              </w:rPr>
              <w:t>KYIS</w:t>
            </w:r>
          </w:p>
        </w:tc>
        <w:tc>
          <w:tcPr>
            <w:tcW w:w="678" w:type="pct"/>
            <w:shd w:val="clear" w:color="auto" w:fill="auto"/>
            <w:vAlign w:val="center"/>
          </w:tcPr>
          <w:p w:rsidR="005A1390" w:rsidP="005A1390" w14:paraId="5B5AD952" w14:textId="156F5B1A">
            <w:pPr>
              <w:rPr>
                <w:color w:val="333333"/>
                <w:szCs w:val="22"/>
              </w:rPr>
            </w:pPr>
            <w:r>
              <w:rPr>
                <w:color w:val="333333"/>
                <w:szCs w:val="22"/>
              </w:rPr>
              <w:t>FM</w:t>
            </w:r>
          </w:p>
        </w:tc>
        <w:tc>
          <w:tcPr>
            <w:tcW w:w="1293" w:type="pct"/>
            <w:shd w:val="clear" w:color="auto" w:fill="auto"/>
            <w:vAlign w:val="center"/>
          </w:tcPr>
          <w:p w:rsidR="005A1390" w:rsidP="005A1390" w14:paraId="32003FC0" w14:textId="7342EB7A">
            <w:pPr>
              <w:rPr>
                <w:snapToGrid/>
                <w:szCs w:val="22"/>
              </w:rPr>
            </w:pPr>
            <w:r>
              <w:rPr>
                <w:color w:val="333333"/>
                <w:szCs w:val="22"/>
              </w:rPr>
              <w:t>OKLAHOMA CITY</w:t>
            </w:r>
          </w:p>
        </w:tc>
        <w:tc>
          <w:tcPr>
            <w:tcW w:w="697" w:type="pct"/>
            <w:shd w:val="clear" w:color="auto" w:fill="auto"/>
            <w:vAlign w:val="center"/>
          </w:tcPr>
          <w:p w:rsidR="005A1390" w:rsidP="005A1390" w14:paraId="4E9A7B3F" w14:textId="1266BDE9">
            <w:pPr>
              <w:rPr>
                <w:snapToGrid/>
                <w:szCs w:val="22"/>
              </w:rPr>
            </w:pPr>
            <w:r>
              <w:rPr>
                <w:color w:val="333333"/>
                <w:szCs w:val="22"/>
              </w:rPr>
              <w:t>OK</w:t>
            </w:r>
          </w:p>
        </w:tc>
        <w:tc>
          <w:tcPr>
            <w:tcW w:w="666" w:type="pct"/>
            <w:shd w:val="clear" w:color="auto" w:fill="auto"/>
            <w:vAlign w:val="center"/>
          </w:tcPr>
          <w:p w:rsidR="005A1390" w:rsidP="005A1390" w14:paraId="1776F934" w14:textId="12062BC7">
            <w:pPr>
              <w:rPr>
                <w:snapToGrid/>
                <w:szCs w:val="22"/>
              </w:rPr>
            </w:pPr>
            <w:r>
              <w:rPr>
                <w:color w:val="333333"/>
                <w:szCs w:val="22"/>
              </w:rPr>
              <w:t>8798</w:t>
            </w:r>
          </w:p>
        </w:tc>
        <w:tc>
          <w:tcPr>
            <w:tcW w:w="902" w:type="pct"/>
            <w:shd w:val="clear" w:color="auto" w:fill="auto"/>
            <w:vAlign w:val="center"/>
          </w:tcPr>
          <w:p w:rsidR="005A1390" w:rsidP="005A1390" w14:paraId="4A430726" w14:textId="5A4FF875">
            <w:pPr>
              <w:rPr>
                <w:snapToGrid/>
                <w:szCs w:val="22"/>
              </w:rPr>
            </w:pPr>
            <w:r>
              <w:rPr>
                <w:color w:val="333333"/>
                <w:szCs w:val="22"/>
              </w:rPr>
              <w:t>0000240140</w:t>
            </w:r>
          </w:p>
        </w:tc>
      </w:tr>
      <w:tr w14:paraId="2E8AD743" w14:textId="77777777">
        <w:tblPrEx>
          <w:tblW w:w="5000" w:type="pct"/>
          <w:tblLook w:val="04A0"/>
        </w:tblPrEx>
        <w:trPr>
          <w:trHeight w:val="288"/>
        </w:trPr>
        <w:tc>
          <w:tcPr>
            <w:tcW w:w="764" w:type="pct"/>
            <w:shd w:val="clear" w:color="auto" w:fill="auto"/>
            <w:vAlign w:val="center"/>
          </w:tcPr>
          <w:p w:rsidR="005A1390" w:rsidP="005A1390" w14:paraId="33D13AD1" w14:textId="45603AB0">
            <w:pPr>
              <w:rPr>
                <w:snapToGrid/>
                <w:szCs w:val="22"/>
              </w:rPr>
            </w:pPr>
            <w:r>
              <w:rPr>
                <w:color w:val="333333"/>
                <w:szCs w:val="22"/>
              </w:rPr>
              <w:t>WNML</w:t>
            </w:r>
          </w:p>
        </w:tc>
        <w:tc>
          <w:tcPr>
            <w:tcW w:w="678" w:type="pct"/>
            <w:shd w:val="clear" w:color="auto" w:fill="auto"/>
            <w:vAlign w:val="center"/>
          </w:tcPr>
          <w:p w:rsidR="005A1390" w:rsidP="005A1390" w14:paraId="76DCFB1C" w14:textId="6C06BACD">
            <w:pPr>
              <w:rPr>
                <w:color w:val="333333"/>
                <w:szCs w:val="22"/>
              </w:rPr>
            </w:pPr>
            <w:r>
              <w:rPr>
                <w:color w:val="333333"/>
                <w:szCs w:val="22"/>
              </w:rPr>
              <w:t>AM</w:t>
            </w:r>
          </w:p>
        </w:tc>
        <w:tc>
          <w:tcPr>
            <w:tcW w:w="1293" w:type="pct"/>
            <w:shd w:val="clear" w:color="auto" w:fill="auto"/>
            <w:vAlign w:val="center"/>
          </w:tcPr>
          <w:p w:rsidR="005A1390" w:rsidP="005A1390" w14:paraId="7185E9DA" w14:textId="410750D5">
            <w:pPr>
              <w:rPr>
                <w:snapToGrid/>
                <w:szCs w:val="22"/>
              </w:rPr>
            </w:pPr>
            <w:r>
              <w:rPr>
                <w:color w:val="333333"/>
                <w:szCs w:val="22"/>
              </w:rPr>
              <w:t>KNOXVILLE</w:t>
            </w:r>
          </w:p>
        </w:tc>
        <w:tc>
          <w:tcPr>
            <w:tcW w:w="697" w:type="pct"/>
            <w:shd w:val="clear" w:color="auto" w:fill="auto"/>
            <w:vAlign w:val="center"/>
          </w:tcPr>
          <w:p w:rsidR="005A1390" w:rsidP="005A1390" w14:paraId="39694A67" w14:textId="5C8C66C0">
            <w:pPr>
              <w:rPr>
                <w:snapToGrid/>
                <w:szCs w:val="22"/>
              </w:rPr>
            </w:pPr>
            <w:r>
              <w:rPr>
                <w:color w:val="333333"/>
                <w:szCs w:val="22"/>
              </w:rPr>
              <w:t>TN</w:t>
            </w:r>
          </w:p>
        </w:tc>
        <w:tc>
          <w:tcPr>
            <w:tcW w:w="666" w:type="pct"/>
            <w:shd w:val="clear" w:color="auto" w:fill="auto"/>
            <w:vAlign w:val="center"/>
          </w:tcPr>
          <w:p w:rsidR="005A1390" w:rsidP="005A1390" w14:paraId="17583526" w14:textId="11CA1A6F">
            <w:pPr>
              <w:rPr>
                <w:snapToGrid/>
                <w:szCs w:val="22"/>
              </w:rPr>
            </w:pPr>
            <w:r>
              <w:rPr>
                <w:color w:val="333333"/>
                <w:szCs w:val="22"/>
              </w:rPr>
              <w:t>16894</w:t>
            </w:r>
          </w:p>
        </w:tc>
        <w:tc>
          <w:tcPr>
            <w:tcW w:w="902" w:type="pct"/>
            <w:shd w:val="clear" w:color="auto" w:fill="auto"/>
            <w:vAlign w:val="center"/>
          </w:tcPr>
          <w:p w:rsidR="005A1390" w:rsidP="005A1390" w14:paraId="2DFBC394" w14:textId="48FB7CF7">
            <w:pPr>
              <w:rPr>
                <w:snapToGrid/>
                <w:szCs w:val="22"/>
              </w:rPr>
            </w:pPr>
            <w:r>
              <w:rPr>
                <w:color w:val="333333"/>
                <w:szCs w:val="22"/>
              </w:rPr>
              <w:t>0000240141</w:t>
            </w:r>
          </w:p>
        </w:tc>
      </w:tr>
    </w:tbl>
    <w:p w:rsidR="001C7CDD" w:rsidP="001C7CDD" w14:paraId="08B1CCE8" w14:textId="77777777"/>
    <w:p w:rsidR="001C7CDD" w:rsidP="001C7CDD" w14:paraId="54697293" w14:textId="7DB2E4F1">
      <w:pPr>
        <w:pStyle w:val="Heading1"/>
      </w:pPr>
      <w:r>
        <w:t>Radio License Holdings LLC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383"/>
        <w:gridCol w:w="2430"/>
        <w:gridCol w:w="1350"/>
        <w:gridCol w:w="1258"/>
        <w:gridCol w:w="1728"/>
      </w:tblGrid>
      <w:tr w14:paraId="148BE3BF" w14:textId="7777777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745" w:type="pct"/>
            <w:shd w:val="clear" w:color="auto" w:fill="auto"/>
            <w:vAlign w:val="center"/>
            <w:hideMark/>
          </w:tcPr>
          <w:p w:rsidR="00553D4D" w:rsidP="00EC2709" w14:paraId="4467CD47" w14:textId="77777777">
            <w:pPr>
              <w:rPr>
                <w:b/>
                <w:bCs/>
                <w:snapToGrid/>
              </w:rPr>
            </w:pPr>
            <w:r>
              <w:rPr>
                <w:b/>
                <w:bCs/>
                <w:snapToGrid/>
              </w:rPr>
              <w:t>Call Sign</w:t>
            </w:r>
          </w:p>
        </w:tc>
        <w:tc>
          <w:tcPr>
            <w:tcW w:w="722" w:type="pct"/>
            <w:shd w:val="clear" w:color="auto" w:fill="auto"/>
            <w:vAlign w:val="center"/>
          </w:tcPr>
          <w:p w:rsidR="00553D4D" w:rsidP="00EC2709" w14:paraId="5D3AFAD4" w14:textId="77777777">
            <w:pPr>
              <w:rPr>
                <w:b/>
                <w:bCs/>
                <w:snapToGrid/>
              </w:rPr>
            </w:pPr>
            <w:r>
              <w:rPr>
                <w:b/>
                <w:bCs/>
                <w:snapToGrid/>
              </w:rPr>
              <w:t>Service</w:t>
            </w:r>
          </w:p>
        </w:tc>
        <w:tc>
          <w:tcPr>
            <w:tcW w:w="1269" w:type="pct"/>
            <w:shd w:val="clear" w:color="auto" w:fill="auto"/>
            <w:vAlign w:val="center"/>
          </w:tcPr>
          <w:p w:rsidR="00553D4D" w:rsidP="00EC2709" w14:paraId="3AB56F48" w14:textId="77777777">
            <w:pPr>
              <w:rPr>
                <w:b/>
                <w:bCs/>
                <w:snapToGrid/>
              </w:rPr>
            </w:pPr>
            <w:r>
              <w:rPr>
                <w:b/>
                <w:bCs/>
                <w:snapToGrid/>
              </w:rPr>
              <w:t>City</w:t>
            </w:r>
          </w:p>
        </w:tc>
        <w:tc>
          <w:tcPr>
            <w:tcW w:w="705" w:type="pct"/>
            <w:shd w:val="clear" w:color="auto" w:fill="auto"/>
            <w:vAlign w:val="center"/>
          </w:tcPr>
          <w:p w:rsidR="00553D4D" w:rsidP="00EC2709" w14:paraId="5D7AF5F2" w14:textId="77777777">
            <w:pPr>
              <w:rPr>
                <w:b/>
                <w:bCs/>
                <w:snapToGrid/>
              </w:rPr>
            </w:pPr>
            <w:r>
              <w:rPr>
                <w:b/>
                <w:bCs/>
                <w:snapToGrid/>
              </w:rPr>
              <w:t>State</w:t>
            </w:r>
          </w:p>
        </w:tc>
        <w:tc>
          <w:tcPr>
            <w:tcW w:w="657" w:type="pct"/>
            <w:shd w:val="clear" w:color="auto" w:fill="auto"/>
            <w:vAlign w:val="center"/>
            <w:hideMark/>
          </w:tcPr>
          <w:p w:rsidR="00553D4D" w:rsidP="00EC2709" w14:paraId="513A281E" w14:textId="77777777">
            <w:pPr>
              <w:rPr>
                <w:b/>
                <w:bCs/>
                <w:snapToGrid/>
              </w:rPr>
            </w:pPr>
            <w:r>
              <w:rPr>
                <w:b/>
                <w:bCs/>
                <w:snapToGrid/>
              </w:rPr>
              <w:t>Facility ID</w:t>
            </w:r>
          </w:p>
        </w:tc>
        <w:tc>
          <w:tcPr>
            <w:tcW w:w="902" w:type="pct"/>
            <w:shd w:val="clear" w:color="auto" w:fill="auto"/>
            <w:vAlign w:val="center"/>
            <w:hideMark/>
          </w:tcPr>
          <w:p w:rsidR="00553D4D" w:rsidP="00EC2709" w14:paraId="3F21F39F" w14:textId="77777777">
            <w:pPr>
              <w:rPr>
                <w:b/>
                <w:bCs/>
                <w:snapToGrid/>
              </w:rPr>
            </w:pPr>
            <w:r>
              <w:rPr>
                <w:b/>
                <w:bCs/>
                <w:snapToGrid/>
              </w:rPr>
              <w:t>File Number</w:t>
            </w:r>
          </w:p>
        </w:tc>
      </w:tr>
      <w:tr w14:paraId="39D90474" w14:textId="77777777">
        <w:tblPrEx>
          <w:tblW w:w="5000" w:type="pct"/>
          <w:tblLook w:val="04A0"/>
        </w:tblPrEx>
        <w:trPr>
          <w:trHeight w:val="288"/>
        </w:trPr>
        <w:tc>
          <w:tcPr>
            <w:tcW w:w="745" w:type="pct"/>
            <w:shd w:val="clear" w:color="auto" w:fill="auto"/>
            <w:hideMark/>
          </w:tcPr>
          <w:p w:rsidR="008A3B75" w:rsidP="008A3B75" w14:paraId="55ACC6B7" w14:textId="1ABBD1A0">
            <w:pPr>
              <w:rPr>
                <w:snapToGrid/>
                <w:szCs w:val="22"/>
              </w:rPr>
            </w:pPr>
            <w:r>
              <w:rPr>
                <w:color w:val="333333"/>
                <w:szCs w:val="22"/>
              </w:rPr>
              <w:t>KQRS-FM</w:t>
            </w:r>
          </w:p>
        </w:tc>
        <w:tc>
          <w:tcPr>
            <w:tcW w:w="722" w:type="pct"/>
            <w:shd w:val="clear" w:color="auto" w:fill="auto"/>
          </w:tcPr>
          <w:p w:rsidR="008A3B75" w:rsidP="008A3B75" w14:paraId="60503A63" w14:textId="76139C78">
            <w:pPr>
              <w:rPr>
                <w:snapToGrid/>
                <w:szCs w:val="22"/>
              </w:rPr>
            </w:pPr>
            <w:r>
              <w:rPr>
                <w:color w:val="333333"/>
                <w:szCs w:val="22"/>
              </w:rPr>
              <w:t>FM</w:t>
            </w:r>
          </w:p>
        </w:tc>
        <w:tc>
          <w:tcPr>
            <w:tcW w:w="1269" w:type="pct"/>
            <w:shd w:val="clear" w:color="auto" w:fill="auto"/>
          </w:tcPr>
          <w:p w:rsidR="008A3B75" w:rsidP="008A3B75" w14:paraId="00DCD4FD" w14:textId="7BB01508">
            <w:pPr>
              <w:rPr>
                <w:snapToGrid/>
                <w:szCs w:val="22"/>
              </w:rPr>
            </w:pPr>
            <w:r>
              <w:rPr>
                <w:color w:val="333333"/>
                <w:szCs w:val="22"/>
              </w:rPr>
              <w:t>GOLDEN VALLEY</w:t>
            </w:r>
          </w:p>
        </w:tc>
        <w:tc>
          <w:tcPr>
            <w:tcW w:w="705" w:type="pct"/>
            <w:shd w:val="clear" w:color="auto" w:fill="auto"/>
          </w:tcPr>
          <w:p w:rsidR="008A3B75" w:rsidP="008A3B75" w14:paraId="32E3AC67" w14:textId="5764BDEC">
            <w:pPr>
              <w:rPr>
                <w:snapToGrid/>
                <w:szCs w:val="22"/>
              </w:rPr>
            </w:pPr>
            <w:r>
              <w:rPr>
                <w:color w:val="333333"/>
                <w:szCs w:val="22"/>
              </w:rPr>
              <w:t>MN</w:t>
            </w:r>
          </w:p>
        </w:tc>
        <w:tc>
          <w:tcPr>
            <w:tcW w:w="657" w:type="pct"/>
            <w:shd w:val="clear" w:color="auto" w:fill="auto"/>
          </w:tcPr>
          <w:p w:rsidR="008A3B75" w:rsidP="008A3B75" w14:paraId="6359B1A0" w14:textId="31C8492D">
            <w:pPr>
              <w:rPr>
                <w:snapToGrid/>
                <w:szCs w:val="22"/>
              </w:rPr>
            </w:pPr>
            <w:r>
              <w:rPr>
                <w:color w:val="333333"/>
                <w:szCs w:val="22"/>
              </w:rPr>
              <w:t>35505</w:t>
            </w:r>
          </w:p>
        </w:tc>
        <w:tc>
          <w:tcPr>
            <w:tcW w:w="902" w:type="pct"/>
            <w:shd w:val="clear" w:color="auto" w:fill="auto"/>
            <w:hideMark/>
          </w:tcPr>
          <w:p w:rsidR="008A3B75" w:rsidP="008A3B75" w14:paraId="0300340A" w14:textId="7CC76018">
            <w:pPr>
              <w:rPr>
                <w:snapToGrid/>
                <w:szCs w:val="22"/>
              </w:rPr>
            </w:pPr>
            <w:r>
              <w:rPr>
                <w:color w:val="333333"/>
                <w:szCs w:val="22"/>
              </w:rPr>
              <w:t>0000240142</w:t>
            </w:r>
          </w:p>
        </w:tc>
      </w:tr>
      <w:tr w14:paraId="7143C120" w14:textId="77777777">
        <w:tblPrEx>
          <w:tblW w:w="5000" w:type="pct"/>
          <w:tblLook w:val="04A0"/>
        </w:tblPrEx>
        <w:trPr>
          <w:trHeight w:val="288"/>
        </w:trPr>
        <w:tc>
          <w:tcPr>
            <w:tcW w:w="745" w:type="pct"/>
            <w:shd w:val="clear" w:color="auto" w:fill="auto"/>
            <w:hideMark/>
          </w:tcPr>
          <w:p w:rsidR="008A3B75" w:rsidP="008A3B75" w14:paraId="558C9F0C" w14:textId="2B81AFD6">
            <w:pPr>
              <w:rPr>
                <w:snapToGrid/>
                <w:szCs w:val="22"/>
              </w:rPr>
            </w:pPr>
            <w:r>
              <w:rPr>
                <w:color w:val="333333"/>
                <w:szCs w:val="22"/>
              </w:rPr>
              <w:t>WGVX</w:t>
            </w:r>
          </w:p>
        </w:tc>
        <w:tc>
          <w:tcPr>
            <w:tcW w:w="722" w:type="pct"/>
            <w:shd w:val="clear" w:color="auto" w:fill="auto"/>
          </w:tcPr>
          <w:p w:rsidR="008A3B75" w:rsidP="008A3B75" w14:paraId="0EBE7617" w14:textId="6966A193">
            <w:pPr>
              <w:rPr>
                <w:snapToGrid/>
                <w:szCs w:val="22"/>
              </w:rPr>
            </w:pPr>
            <w:r>
              <w:rPr>
                <w:color w:val="333333"/>
                <w:szCs w:val="22"/>
              </w:rPr>
              <w:t>FM</w:t>
            </w:r>
          </w:p>
        </w:tc>
        <w:tc>
          <w:tcPr>
            <w:tcW w:w="1269" w:type="pct"/>
            <w:shd w:val="clear" w:color="auto" w:fill="auto"/>
          </w:tcPr>
          <w:p w:rsidR="008A3B75" w:rsidP="008A3B75" w14:paraId="3BC504F5" w14:textId="1A5B2858">
            <w:pPr>
              <w:rPr>
                <w:snapToGrid/>
                <w:szCs w:val="22"/>
              </w:rPr>
            </w:pPr>
            <w:r>
              <w:rPr>
                <w:color w:val="333333"/>
                <w:szCs w:val="22"/>
              </w:rPr>
              <w:t>LAKEVILLE</w:t>
            </w:r>
          </w:p>
        </w:tc>
        <w:tc>
          <w:tcPr>
            <w:tcW w:w="705" w:type="pct"/>
            <w:shd w:val="clear" w:color="auto" w:fill="auto"/>
          </w:tcPr>
          <w:p w:rsidR="008A3B75" w:rsidP="008A3B75" w14:paraId="105BF21D" w14:textId="07A79B9A">
            <w:pPr>
              <w:rPr>
                <w:snapToGrid/>
                <w:szCs w:val="22"/>
              </w:rPr>
            </w:pPr>
            <w:r>
              <w:rPr>
                <w:color w:val="333333"/>
                <w:szCs w:val="22"/>
              </w:rPr>
              <w:t>MN</w:t>
            </w:r>
          </w:p>
        </w:tc>
        <w:tc>
          <w:tcPr>
            <w:tcW w:w="657" w:type="pct"/>
            <w:shd w:val="clear" w:color="auto" w:fill="auto"/>
          </w:tcPr>
          <w:p w:rsidR="008A3B75" w:rsidP="008A3B75" w14:paraId="32640479" w14:textId="6BABFF96">
            <w:pPr>
              <w:rPr>
                <w:snapToGrid/>
                <w:szCs w:val="22"/>
              </w:rPr>
            </w:pPr>
            <w:r>
              <w:rPr>
                <w:color w:val="333333"/>
                <w:szCs w:val="22"/>
              </w:rPr>
              <w:t>61379</w:t>
            </w:r>
          </w:p>
        </w:tc>
        <w:tc>
          <w:tcPr>
            <w:tcW w:w="902" w:type="pct"/>
            <w:shd w:val="clear" w:color="auto" w:fill="auto"/>
            <w:hideMark/>
          </w:tcPr>
          <w:p w:rsidR="008A3B75" w:rsidP="008A3B75" w14:paraId="420C69CD" w14:textId="2F771B66">
            <w:pPr>
              <w:rPr>
                <w:snapToGrid/>
                <w:szCs w:val="22"/>
              </w:rPr>
            </w:pPr>
            <w:r>
              <w:rPr>
                <w:color w:val="333333"/>
                <w:szCs w:val="22"/>
              </w:rPr>
              <w:t>0000240143</w:t>
            </w:r>
          </w:p>
        </w:tc>
      </w:tr>
      <w:tr w14:paraId="21C210D8" w14:textId="77777777">
        <w:tblPrEx>
          <w:tblW w:w="5000" w:type="pct"/>
          <w:tblLook w:val="04A0"/>
        </w:tblPrEx>
        <w:trPr>
          <w:trHeight w:val="288"/>
        </w:trPr>
        <w:tc>
          <w:tcPr>
            <w:tcW w:w="745" w:type="pct"/>
            <w:shd w:val="clear" w:color="auto" w:fill="auto"/>
            <w:hideMark/>
          </w:tcPr>
          <w:p w:rsidR="008A3B75" w:rsidP="008A3B75" w14:paraId="4F54D8CB" w14:textId="2FDF6802">
            <w:pPr>
              <w:rPr>
                <w:snapToGrid/>
                <w:szCs w:val="22"/>
              </w:rPr>
            </w:pPr>
            <w:r>
              <w:rPr>
                <w:color w:val="333333"/>
                <w:szCs w:val="22"/>
              </w:rPr>
              <w:t>KXXR</w:t>
            </w:r>
          </w:p>
        </w:tc>
        <w:tc>
          <w:tcPr>
            <w:tcW w:w="722" w:type="pct"/>
            <w:shd w:val="clear" w:color="auto" w:fill="auto"/>
          </w:tcPr>
          <w:p w:rsidR="008A3B75" w:rsidP="008A3B75" w14:paraId="050DBA71" w14:textId="21517984">
            <w:pPr>
              <w:rPr>
                <w:snapToGrid/>
                <w:szCs w:val="22"/>
              </w:rPr>
            </w:pPr>
            <w:r>
              <w:rPr>
                <w:color w:val="333333"/>
                <w:szCs w:val="22"/>
              </w:rPr>
              <w:t>FM</w:t>
            </w:r>
          </w:p>
        </w:tc>
        <w:tc>
          <w:tcPr>
            <w:tcW w:w="1269" w:type="pct"/>
            <w:shd w:val="clear" w:color="auto" w:fill="auto"/>
          </w:tcPr>
          <w:p w:rsidR="008A3B75" w:rsidP="008A3B75" w14:paraId="7AB63A98" w14:textId="24DF6CFA">
            <w:pPr>
              <w:rPr>
                <w:snapToGrid/>
                <w:szCs w:val="22"/>
              </w:rPr>
            </w:pPr>
            <w:r>
              <w:rPr>
                <w:color w:val="333333"/>
                <w:szCs w:val="22"/>
              </w:rPr>
              <w:t>MINNEAPOLIS</w:t>
            </w:r>
          </w:p>
        </w:tc>
        <w:tc>
          <w:tcPr>
            <w:tcW w:w="705" w:type="pct"/>
            <w:shd w:val="clear" w:color="auto" w:fill="auto"/>
          </w:tcPr>
          <w:p w:rsidR="008A3B75" w:rsidP="008A3B75" w14:paraId="3BF2C63D" w14:textId="13FF3C1C">
            <w:pPr>
              <w:rPr>
                <w:snapToGrid/>
                <w:szCs w:val="22"/>
              </w:rPr>
            </w:pPr>
            <w:r>
              <w:rPr>
                <w:color w:val="333333"/>
                <w:szCs w:val="22"/>
              </w:rPr>
              <w:t>MN</w:t>
            </w:r>
          </w:p>
        </w:tc>
        <w:tc>
          <w:tcPr>
            <w:tcW w:w="657" w:type="pct"/>
            <w:shd w:val="clear" w:color="auto" w:fill="auto"/>
          </w:tcPr>
          <w:p w:rsidR="008A3B75" w:rsidP="008A3B75" w14:paraId="6BABF716" w14:textId="40791F32">
            <w:pPr>
              <w:rPr>
                <w:snapToGrid/>
                <w:szCs w:val="22"/>
              </w:rPr>
            </w:pPr>
            <w:r>
              <w:rPr>
                <w:color w:val="333333"/>
                <w:szCs w:val="22"/>
              </w:rPr>
              <w:t>35506</w:t>
            </w:r>
          </w:p>
        </w:tc>
        <w:tc>
          <w:tcPr>
            <w:tcW w:w="902" w:type="pct"/>
            <w:shd w:val="clear" w:color="auto" w:fill="auto"/>
            <w:hideMark/>
          </w:tcPr>
          <w:p w:rsidR="008A3B75" w:rsidP="008A3B75" w14:paraId="3F32FA88" w14:textId="784022DF">
            <w:pPr>
              <w:rPr>
                <w:snapToGrid/>
                <w:szCs w:val="22"/>
              </w:rPr>
            </w:pPr>
            <w:r>
              <w:rPr>
                <w:color w:val="333333"/>
                <w:szCs w:val="22"/>
              </w:rPr>
              <w:t>0000240144</w:t>
            </w:r>
          </w:p>
        </w:tc>
      </w:tr>
      <w:tr w14:paraId="4A6220E2" w14:textId="77777777">
        <w:tblPrEx>
          <w:tblW w:w="5000" w:type="pct"/>
          <w:tblLook w:val="04A0"/>
        </w:tblPrEx>
        <w:trPr>
          <w:trHeight w:val="288"/>
        </w:trPr>
        <w:tc>
          <w:tcPr>
            <w:tcW w:w="745" w:type="pct"/>
            <w:shd w:val="clear" w:color="auto" w:fill="auto"/>
            <w:hideMark/>
          </w:tcPr>
          <w:p w:rsidR="008A3B75" w:rsidP="008A3B75" w14:paraId="2D0CF55A" w14:textId="0E178D3E">
            <w:pPr>
              <w:rPr>
                <w:snapToGrid/>
                <w:szCs w:val="22"/>
              </w:rPr>
            </w:pPr>
            <w:r>
              <w:rPr>
                <w:color w:val="333333"/>
                <w:szCs w:val="22"/>
              </w:rPr>
              <w:t>WWWM-FM</w:t>
            </w:r>
          </w:p>
        </w:tc>
        <w:tc>
          <w:tcPr>
            <w:tcW w:w="722" w:type="pct"/>
            <w:shd w:val="clear" w:color="auto" w:fill="auto"/>
          </w:tcPr>
          <w:p w:rsidR="008A3B75" w:rsidP="008A3B75" w14:paraId="652D5117" w14:textId="4DAF931F">
            <w:pPr>
              <w:rPr>
                <w:snapToGrid/>
                <w:szCs w:val="22"/>
              </w:rPr>
            </w:pPr>
            <w:r>
              <w:rPr>
                <w:color w:val="333333"/>
                <w:szCs w:val="22"/>
              </w:rPr>
              <w:t>FM</w:t>
            </w:r>
          </w:p>
        </w:tc>
        <w:tc>
          <w:tcPr>
            <w:tcW w:w="1269" w:type="pct"/>
            <w:shd w:val="clear" w:color="auto" w:fill="auto"/>
          </w:tcPr>
          <w:p w:rsidR="008A3B75" w:rsidP="008A3B75" w14:paraId="168CBF91" w14:textId="7E73EA9A">
            <w:pPr>
              <w:rPr>
                <w:snapToGrid/>
                <w:szCs w:val="22"/>
              </w:rPr>
            </w:pPr>
            <w:r>
              <w:rPr>
                <w:color w:val="333333"/>
                <w:szCs w:val="22"/>
              </w:rPr>
              <w:t>EDEN PRARIE</w:t>
            </w:r>
          </w:p>
        </w:tc>
        <w:tc>
          <w:tcPr>
            <w:tcW w:w="705" w:type="pct"/>
            <w:shd w:val="clear" w:color="auto" w:fill="auto"/>
          </w:tcPr>
          <w:p w:rsidR="008A3B75" w:rsidP="008A3B75" w14:paraId="309DD9D8" w14:textId="60C56727">
            <w:pPr>
              <w:rPr>
                <w:snapToGrid/>
                <w:szCs w:val="22"/>
              </w:rPr>
            </w:pPr>
            <w:r>
              <w:rPr>
                <w:color w:val="333333"/>
                <w:szCs w:val="22"/>
              </w:rPr>
              <w:t>MN</w:t>
            </w:r>
          </w:p>
        </w:tc>
        <w:tc>
          <w:tcPr>
            <w:tcW w:w="657" w:type="pct"/>
            <w:shd w:val="clear" w:color="auto" w:fill="auto"/>
          </w:tcPr>
          <w:p w:rsidR="008A3B75" w:rsidP="008A3B75" w14:paraId="32BB07D7" w14:textId="01AE84D4">
            <w:pPr>
              <w:rPr>
                <w:snapToGrid/>
                <w:szCs w:val="22"/>
              </w:rPr>
            </w:pPr>
            <w:r>
              <w:rPr>
                <w:color w:val="333333"/>
                <w:szCs w:val="22"/>
              </w:rPr>
              <w:t>61541</w:t>
            </w:r>
          </w:p>
        </w:tc>
        <w:tc>
          <w:tcPr>
            <w:tcW w:w="902" w:type="pct"/>
            <w:shd w:val="clear" w:color="auto" w:fill="auto"/>
            <w:hideMark/>
          </w:tcPr>
          <w:p w:rsidR="008A3B75" w:rsidP="008A3B75" w14:paraId="4C288AD0" w14:textId="7F03CF6A">
            <w:pPr>
              <w:rPr>
                <w:snapToGrid/>
                <w:szCs w:val="22"/>
              </w:rPr>
            </w:pPr>
            <w:r>
              <w:rPr>
                <w:color w:val="333333"/>
                <w:szCs w:val="22"/>
              </w:rPr>
              <w:t>0000240145</w:t>
            </w:r>
          </w:p>
        </w:tc>
      </w:tr>
      <w:tr w14:paraId="6D4E6B23" w14:textId="77777777">
        <w:tblPrEx>
          <w:tblW w:w="5000" w:type="pct"/>
          <w:tblLook w:val="04A0"/>
        </w:tblPrEx>
        <w:trPr>
          <w:trHeight w:val="288"/>
        </w:trPr>
        <w:tc>
          <w:tcPr>
            <w:tcW w:w="745" w:type="pct"/>
            <w:shd w:val="clear" w:color="auto" w:fill="auto"/>
          </w:tcPr>
          <w:p w:rsidR="00DA1B3E" w:rsidP="00DA1B3E" w14:paraId="287C8535" w14:textId="30198339">
            <w:pPr>
              <w:rPr>
                <w:color w:val="333333"/>
                <w:szCs w:val="22"/>
              </w:rPr>
            </w:pPr>
            <w:r>
              <w:rPr>
                <w:color w:val="333333"/>
                <w:szCs w:val="22"/>
              </w:rPr>
              <w:t>WLUP</w:t>
            </w:r>
          </w:p>
        </w:tc>
        <w:tc>
          <w:tcPr>
            <w:tcW w:w="722" w:type="pct"/>
            <w:shd w:val="clear" w:color="auto" w:fill="auto"/>
          </w:tcPr>
          <w:p w:rsidR="00DA1B3E" w:rsidP="00DA1B3E" w14:paraId="4C0F14AD" w14:textId="20FDEFF9">
            <w:pPr>
              <w:rPr>
                <w:color w:val="333333"/>
                <w:szCs w:val="22"/>
              </w:rPr>
            </w:pPr>
            <w:r>
              <w:rPr>
                <w:color w:val="333333"/>
                <w:szCs w:val="22"/>
              </w:rPr>
              <w:t>FM</w:t>
            </w:r>
          </w:p>
        </w:tc>
        <w:tc>
          <w:tcPr>
            <w:tcW w:w="1269" w:type="pct"/>
            <w:shd w:val="clear" w:color="auto" w:fill="auto"/>
          </w:tcPr>
          <w:p w:rsidR="00DA1B3E" w:rsidP="00DA1B3E" w14:paraId="79990331" w14:textId="09F08A5B">
            <w:pPr>
              <w:rPr>
                <w:color w:val="333333"/>
                <w:szCs w:val="22"/>
              </w:rPr>
            </w:pPr>
            <w:r>
              <w:rPr>
                <w:color w:val="333333"/>
                <w:szCs w:val="22"/>
              </w:rPr>
              <w:t>CAMBRIDGE</w:t>
            </w:r>
          </w:p>
        </w:tc>
        <w:tc>
          <w:tcPr>
            <w:tcW w:w="705" w:type="pct"/>
            <w:shd w:val="clear" w:color="auto" w:fill="auto"/>
          </w:tcPr>
          <w:p w:rsidR="00DA1B3E" w:rsidP="00DA1B3E" w14:paraId="7E1C608A" w14:textId="233C811C">
            <w:pPr>
              <w:rPr>
                <w:color w:val="333333"/>
                <w:szCs w:val="22"/>
              </w:rPr>
            </w:pPr>
            <w:r>
              <w:rPr>
                <w:color w:val="333333"/>
                <w:szCs w:val="22"/>
              </w:rPr>
              <w:t>MN</w:t>
            </w:r>
          </w:p>
        </w:tc>
        <w:tc>
          <w:tcPr>
            <w:tcW w:w="657" w:type="pct"/>
            <w:shd w:val="clear" w:color="auto" w:fill="auto"/>
          </w:tcPr>
          <w:p w:rsidR="00DA1B3E" w:rsidP="00DA1B3E" w14:paraId="21B08426" w14:textId="3F0E4D16">
            <w:pPr>
              <w:rPr>
                <w:color w:val="333333"/>
                <w:szCs w:val="22"/>
              </w:rPr>
            </w:pPr>
            <w:r>
              <w:rPr>
                <w:color w:val="333333"/>
                <w:szCs w:val="22"/>
              </w:rPr>
              <w:t>54838</w:t>
            </w:r>
          </w:p>
        </w:tc>
        <w:tc>
          <w:tcPr>
            <w:tcW w:w="902" w:type="pct"/>
            <w:shd w:val="clear" w:color="auto" w:fill="auto"/>
          </w:tcPr>
          <w:p w:rsidR="00DA1B3E" w:rsidP="00DA1B3E" w14:paraId="0BCA5C95" w14:textId="3275FD96">
            <w:pPr>
              <w:rPr>
                <w:color w:val="333333"/>
                <w:szCs w:val="22"/>
              </w:rPr>
            </w:pPr>
            <w:r>
              <w:rPr>
                <w:color w:val="333333"/>
                <w:szCs w:val="22"/>
              </w:rPr>
              <w:t>0000240146</w:t>
            </w:r>
          </w:p>
        </w:tc>
      </w:tr>
    </w:tbl>
    <w:p w:rsidR="00553D4D" w:rsidRPr="00553D4D" w:rsidP="00553D4D" w14:paraId="07AAF438" w14:textId="77777777"/>
    <w:sectPr w:rsidSect="006D70F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1FA79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6D58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5192D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1FBD1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EAD30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70F2" w14:paraId="459DC760" w14:textId="77777777">
      <w:r>
        <w:separator/>
      </w:r>
    </w:p>
  </w:footnote>
  <w:footnote w:type="continuationSeparator" w:id="1">
    <w:p w:rsidR="006D70F2" w:rsidP="00C721AC" w14:paraId="1A6B640E" w14:textId="77777777">
      <w:pPr>
        <w:spacing w:before="120"/>
        <w:rPr>
          <w:sz w:val="20"/>
        </w:rPr>
      </w:pPr>
      <w:r>
        <w:rPr>
          <w:sz w:val="20"/>
        </w:rPr>
        <w:t xml:space="preserve">(Continued from previous page)  </w:t>
      </w:r>
      <w:r>
        <w:rPr>
          <w:sz w:val="20"/>
        </w:rPr>
        <w:separator/>
      </w:r>
    </w:p>
  </w:footnote>
  <w:footnote w:type="continuationNotice" w:id="2">
    <w:p w:rsidR="006D70F2" w:rsidP="00C721AC" w14:paraId="46D8B000" w14:textId="77777777">
      <w:pPr>
        <w:jc w:val="right"/>
        <w:rPr>
          <w:sz w:val="20"/>
        </w:rPr>
      </w:pPr>
      <w:r>
        <w:rPr>
          <w:sz w:val="20"/>
        </w:rPr>
        <w:t>(continued….)</w:t>
      </w:r>
    </w:p>
  </w:footnote>
  <w:footnote w:id="3">
    <w:p w:rsidR="00D60AD3" w:rsidRPr="00C949AB" w:rsidP="00D60AD3" w14:paraId="13701E5A" w14:textId="5D340F4D">
      <w:pPr>
        <w:pStyle w:val="FootnoteText"/>
      </w:pPr>
      <w:r>
        <w:rPr>
          <w:rStyle w:val="FootnoteReference"/>
        </w:rPr>
        <w:footnoteRef/>
      </w:r>
      <w:r>
        <w:t xml:space="preserve"> The Application</w:t>
      </w:r>
      <w:r w:rsidR="00005D64">
        <w:t>s</w:t>
      </w:r>
      <w:r>
        <w:t xml:space="preserve"> </w:t>
      </w:r>
      <w:r w:rsidR="00AA34A7">
        <w:t>were</w:t>
      </w:r>
      <w:r>
        <w:t xml:space="preserve"> filed on </w:t>
      </w:r>
      <w:r w:rsidR="00AA34A7">
        <w:t>February 29, 2024</w:t>
      </w:r>
      <w:r>
        <w:t xml:space="preserve">, and accepted for filing on </w:t>
      </w:r>
      <w:r w:rsidR="004E4320">
        <w:t>March 5, 2024</w:t>
      </w:r>
      <w:r>
        <w:t xml:space="preserve">.  </w:t>
      </w:r>
      <w:r>
        <w:rPr>
          <w:i/>
          <w:iCs/>
        </w:rPr>
        <w:t>See Applications</w:t>
      </w:r>
      <w:r>
        <w:t xml:space="preserve">, Public Notice, Report No. </w:t>
      </w:r>
      <w:r w:rsidRPr="004E4320" w:rsidR="004E4320">
        <w:t>PN-1-240305-01</w:t>
      </w:r>
      <w:r>
        <w:t xml:space="preserve"> (</w:t>
      </w:r>
      <w:r w:rsidR="004E4320">
        <w:t>Mar. 5, 2024</w:t>
      </w:r>
      <w:r>
        <w:t xml:space="preserve">).  </w:t>
      </w:r>
    </w:p>
  </w:footnote>
  <w:footnote w:id="4">
    <w:p w:rsidR="00D60AD3" w:rsidP="00D60AD3" w14:paraId="686A88AC" w14:textId="7712C3C7">
      <w:pPr>
        <w:pStyle w:val="FootnoteText"/>
      </w:pPr>
      <w:r>
        <w:rPr>
          <w:rStyle w:val="FootnoteReference"/>
        </w:rPr>
        <w:footnoteRef/>
      </w:r>
      <w:r>
        <w:t xml:space="preserve"> Petition for Declaratory Ruling of </w:t>
      </w:r>
      <w:r w:rsidR="00F63125">
        <w:t>Cumulus</w:t>
      </w:r>
      <w:r>
        <w:t xml:space="preserve"> (filed </w:t>
      </w:r>
      <w:r w:rsidR="00EC34D3">
        <w:t>Feb. 23, 2024</w:t>
      </w:r>
      <w:r>
        <w:t>) (</w:t>
      </w:r>
      <w:r w:rsidR="00F63125">
        <w:t>2024</w:t>
      </w:r>
      <w:r>
        <w:t xml:space="preserve"> PDR)</w:t>
      </w:r>
      <w:r w:rsidR="006D61B1">
        <w:t xml:space="preserve">; Supplement to Petition for </w:t>
      </w:r>
      <w:r w:rsidR="001C49BF">
        <w:t>Declaratory Ruling of Cumulus (filed Mar. 21, 2024) (2024 PDR Supplement)</w:t>
      </w:r>
      <w:r>
        <w:t xml:space="preserve">.  A public notice seeking comment on the </w:t>
      </w:r>
      <w:r w:rsidR="00EC34D3">
        <w:t>2024</w:t>
      </w:r>
      <w:r>
        <w:t xml:space="preserve"> PDR is forthcoming.</w:t>
      </w:r>
    </w:p>
  </w:footnote>
  <w:footnote w:id="5">
    <w:p w:rsidR="00D60AD3" w:rsidP="00D60AD3" w14:paraId="5A0A1AAE" w14:textId="36C564FB">
      <w:pPr>
        <w:pStyle w:val="FootnoteText"/>
      </w:pPr>
      <w:r>
        <w:rPr>
          <w:rStyle w:val="FootnoteReference"/>
        </w:rPr>
        <w:footnoteRef/>
      </w:r>
      <w:r>
        <w:t xml:space="preserve"> </w:t>
      </w:r>
      <w:r w:rsidR="00DF6E8A">
        <w:rPr>
          <w:i/>
          <w:iCs/>
        </w:rPr>
        <w:t>Cumulus</w:t>
      </w:r>
      <w:r w:rsidRPr="00DE32B5">
        <w:rPr>
          <w:i/>
          <w:iCs/>
        </w:rPr>
        <w:t xml:space="preserve"> Media, Inc., Petition for Declaratory Ruling Under Section 310(b)(4) of the Communications Act of 1934, as Amended</w:t>
      </w:r>
      <w:r w:rsidRPr="00DE32B5">
        <w:t xml:space="preserve">, MB Docket No. </w:t>
      </w:r>
      <w:r w:rsidR="008B1F70">
        <w:t>19-143</w:t>
      </w:r>
      <w:r w:rsidRPr="00DE32B5">
        <w:t xml:space="preserve">, Declaratory Ruling, 35 FCC Rcd </w:t>
      </w:r>
      <w:r w:rsidR="00CB1D9D">
        <w:t>5461</w:t>
      </w:r>
      <w:r w:rsidR="0016548C">
        <w:t xml:space="preserve">, </w:t>
      </w:r>
      <w:r w:rsidRPr="0016548C" w:rsidR="0016548C">
        <w:t>2020 WL 2830372</w:t>
      </w:r>
      <w:r w:rsidR="000B72B7">
        <w:t>, at *</w:t>
      </w:r>
      <w:r w:rsidR="007458D9">
        <w:t>3</w:t>
      </w:r>
      <w:r w:rsidR="00E60B4D">
        <w:t>, paras. 8-11</w:t>
      </w:r>
      <w:r w:rsidRPr="00DE32B5">
        <w:t xml:space="preserve"> (MB 2020) (</w:t>
      </w:r>
      <w:r>
        <w:rPr>
          <w:i/>
          <w:iCs/>
        </w:rPr>
        <w:t>2020</w:t>
      </w:r>
      <w:r w:rsidRPr="00DE32B5">
        <w:rPr>
          <w:i/>
          <w:iCs/>
        </w:rPr>
        <w:t xml:space="preserve"> Declaratory Ruling</w:t>
      </w:r>
      <w:r w:rsidRPr="00DE32B5">
        <w:t>).</w:t>
      </w:r>
    </w:p>
  </w:footnote>
  <w:footnote w:id="6">
    <w:p w:rsidR="00D60AD3" w:rsidRPr="00EA44DC" w:rsidP="00D60AD3" w14:paraId="4E2AB441" w14:textId="31646B6C">
      <w:pPr>
        <w:pStyle w:val="FootnoteText"/>
      </w:pPr>
      <w:r>
        <w:rPr>
          <w:rStyle w:val="FootnoteReference"/>
        </w:rPr>
        <w:footnoteRef/>
      </w:r>
      <w:r>
        <w:t xml:space="preserve"> </w:t>
      </w:r>
      <w:r w:rsidR="00EA44DC">
        <w:t>47 CFR § 1.5004(</w:t>
      </w:r>
      <w:r w:rsidR="00075794">
        <w:t xml:space="preserve">a)(1); </w:t>
      </w:r>
      <w:r w:rsidR="00075794">
        <w:rPr>
          <w:i/>
          <w:iCs/>
        </w:rPr>
        <w:t>2020 Declaratory Ruling</w:t>
      </w:r>
      <w:r w:rsidR="00E60B4D">
        <w:t>, 2020 WL 2830372, at *3, para. 11</w:t>
      </w:r>
      <w:r>
        <w:rPr>
          <w:i/>
          <w:iCs/>
        </w:rPr>
        <w:t>.</w:t>
      </w:r>
    </w:p>
  </w:footnote>
  <w:footnote w:id="7">
    <w:p w:rsidR="00D60AD3" w:rsidRPr="00485DE4" w:rsidP="00D60AD3" w14:paraId="5751FEE6" w14:textId="6B7513EB">
      <w:pPr>
        <w:pStyle w:val="FootnoteText"/>
      </w:pPr>
      <w:r>
        <w:rPr>
          <w:rStyle w:val="FootnoteReference"/>
        </w:rPr>
        <w:footnoteRef/>
      </w:r>
      <w:r>
        <w:t xml:space="preserve"> 47 CFR § 1.5004(f)</w:t>
      </w:r>
      <w:r w:rsidR="00485DE4">
        <w:t xml:space="preserve">; </w:t>
      </w:r>
      <w:r w:rsidR="00485DE4">
        <w:rPr>
          <w:i/>
          <w:iCs/>
        </w:rPr>
        <w:t>2020 Declaratory Ruling</w:t>
      </w:r>
      <w:r w:rsidR="00631FCA">
        <w:t>, 2020 WL 2830372, at *3, para. 11</w:t>
      </w:r>
      <w:r w:rsidR="00485DE4">
        <w:t>.</w:t>
      </w:r>
    </w:p>
  </w:footnote>
  <w:footnote w:id="8">
    <w:p w:rsidR="00D60AD3" w:rsidP="00D60AD3" w14:paraId="7FAC9CDC" w14:textId="1947309D">
      <w:pPr>
        <w:pStyle w:val="FootnoteText"/>
      </w:pPr>
      <w:r>
        <w:rPr>
          <w:rStyle w:val="FootnoteReference"/>
        </w:rPr>
        <w:footnoteRef/>
      </w:r>
      <w:r>
        <w:t xml:space="preserve"> Letter from </w:t>
      </w:r>
      <w:r w:rsidR="00EA760F">
        <w:t>David D. Burns</w:t>
      </w:r>
      <w:r>
        <w:t xml:space="preserve">, Counsel to </w:t>
      </w:r>
      <w:r w:rsidR="00EA760F">
        <w:t>Cumulus</w:t>
      </w:r>
      <w:r>
        <w:t xml:space="preserve">, to </w:t>
      </w:r>
      <w:r w:rsidR="00EA760F">
        <w:t>Holly Saurer</w:t>
      </w:r>
      <w:r>
        <w:t xml:space="preserve">, Chief, FCC Media Bureau (Feb. </w:t>
      </w:r>
      <w:r w:rsidR="00C21C08">
        <w:t>2</w:t>
      </w:r>
      <w:r>
        <w:t>, 202</w:t>
      </w:r>
      <w:r w:rsidR="00C21C08">
        <w:t>4</w:t>
      </w:r>
      <w:r>
        <w:t>) (February Letter).</w:t>
      </w:r>
    </w:p>
  </w:footnote>
  <w:footnote w:id="9">
    <w:p w:rsidR="00D60AD3" w:rsidP="00D60AD3" w14:paraId="1C0AA5ED" w14:textId="182AE888">
      <w:pPr>
        <w:pStyle w:val="FootnoteText"/>
      </w:pPr>
      <w:r>
        <w:rPr>
          <w:rStyle w:val="FootnoteReference"/>
        </w:rPr>
        <w:footnoteRef/>
      </w:r>
      <w:r>
        <w:t xml:space="preserve"> February Letter at 1</w:t>
      </w:r>
      <w:r w:rsidR="00CE0226">
        <w:t>-2</w:t>
      </w:r>
      <w:r>
        <w:t xml:space="preserve">; </w:t>
      </w:r>
      <w:r w:rsidR="002A57C2">
        <w:t xml:space="preserve">Applications Attach., </w:t>
      </w:r>
      <w:r w:rsidR="00CA6787">
        <w:t>Comprehensive Exhibit</w:t>
      </w:r>
      <w:r w:rsidR="00B01E1F">
        <w:t xml:space="preserve"> to Form 31</w:t>
      </w:r>
      <w:r w:rsidR="00193BAF">
        <w:t>6 (Feb. 29, 2024</w:t>
      </w:r>
      <w:r w:rsidR="002A57C2">
        <w:t>)</w:t>
      </w:r>
      <w:r w:rsidR="008B2C7D">
        <w:t xml:space="preserve"> (Comprehensive Exhibit)</w:t>
      </w:r>
      <w:r>
        <w:t xml:space="preserve">. </w:t>
      </w:r>
    </w:p>
  </w:footnote>
  <w:footnote w:id="10">
    <w:p w:rsidR="00D60AD3" w:rsidP="00D60AD3" w14:paraId="5F8C2E44" w14:textId="4A589329">
      <w:pPr>
        <w:pStyle w:val="FootnoteText"/>
      </w:pPr>
      <w:r>
        <w:rPr>
          <w:rStyle w:val="FootnoteReference"/>
        </w:rPr>
        <w:footnoteRef/>
      </w:r>
      <w:r>
        <w:t xml:space="preserve"> 47 CFR § 1.5004(f)(3)(</w:t>
      </w:r>
      <w:r>
        <w:t>i</w:t>
      </w:r>
      <w:r>
        <w:t>) (“T</w:t>
      </w:r>
      <w:r w:rsidRPr="009B1638">
        <w:t>he licensee shall notify the relevant Bureau by letter no later than 10 days after learning of the investment(s) that rendered the licensee non-compliant with its foreign ownership ruling or the Commission</w:t>
      </w:r>
      <w:r w:rsidR="0055282A">
        <w:t>’</w:t>
      </w:r>
      <w:r w:rsidRPr="009B1638">
        <w:t>s rules relating to foreign ownership and specify in the letter that it will file a petition for declaratory ruling under §1.5000(a)(1) or, alternatively, take remedial action to come into compliance within 30 days of the date it learned of the non-compliant foreign interest(s).</w:t>
      </w:r>
      <w:r>
        <w:t>”).</w:t>
      </w:r>
    </w:p>
  </w:footnote>
  <w:footnote w:id="11">
    <w:p w:rsidR="00D60AD3" w:rsidP="00D60AD3" w14:paraId="1FD7D73F" w14:textId="77777777">
      <w:pPr>
        <w:pStyle w:val="FootnoteText"/>
      </w:pPr>
      <w:r>
        <w:rPr>
          <w:rStyle w:val="FootnoteReference"/>
        </w:rPr>
        <w:footnoteRef/>
      </w:r>
      <w:r>
        <w:t xml:space="preserve"> February Letter at 2.</w:t>
      </w:r>
    </w:p>
  </w:footnote>
  <w:footnote w:id="12">
    <w:p w:rsidR="00D60AD3" w:rsidRPr="007962E3" w:rsidP="00D60AD3" w14:paraId="36695EFC" w14:textId="152642D8">
      <w:pPr>
        <w:pStyle w:val="FootnoteText"/>
      </w:pPr>
      <w:r>
        <w:rPr>
          <w:rStyle w:val="FootnoteReference"/>
        </w:rPr>
        <w:footnoteRef/>
      </w:r>
      <w:r>
        <w:t xml:space="preserve"> </w:t>
      </w:r>
      <w:r>
        <w:rPr>
          <w:i/>
          <w:iCs/>
        </w:rPr>
        <w:t xml:space="preserve">See supra </w:t>
      </w:r>
      <w:r>
        <w:t xml:space="preserve">note </w:t>
      </w:r>
      <w:r>
        <w:fldChar w:fldCharType="begin"/>
      </w:r>
      <w:r>
        <w:instrText xml:space="preserve"> NOTEREF _Ref67479987 \h </w:instrText>
      </w:r>
      <w:r>
        <w:fldChar w:fldCharType="separate"/>
      </w:r>
      <w:r w:rsidR="00880313">
        <w:t>2</w:t>
      </w:r>
      <w:r>
        <w:fldChar w:fldCharType="end"/>
      </w:r>
      <w:r>
        <w:t>.</w:t>
      </w:r>
    </w:p>
  </w:footnote>
  <w:footnote w:id="13">
    <w:p w:rsidR="00D60AD3" w:rsidP="00D60AD3" w14:paraId="036DADE3" w14:textId="77777777">
      <w:pPr>
        <w:pStyle w:val="FootnoteText"/>
      </w:pPr>
      <w:r>
        <w:rPr>
          <w:rStyle w:val="FootnoteReference"/>
        </w:rPr>
        <w:footnoteRef/>
      </w:r>
      <w:r>
        <w:t xml:space="preserve"> 47 CFR § 1.5004(f)(3)(ii) (“</w:t>
      </w:r>
      <w:r w:rsidRPr="000D0275">
        <w:t>The licensee shall demonstrate in its petition for declaratory ruling (or in a letter notifying the relevant Bureau that the non-compliance has been timely remedied) that the licensee's non-compliance with the terms of the licensee's existing foreign ownership ruling or the foreign ownership rules was due solely to circumstances beyond the licensee's control that were not reasonably foreseeable to or known by the licensee with the exercise of the required due diligence.</w:t>
      </w:r>
      <w:r>
        <w:t>”).</w:t>
      </w:r>
    </w:p>
  </w:footnote>
  <w:footnote w:id="14">
    <w:p w:rsidR="00D60AD3" w:rsidP="00D60AD3" w14:paraId="21B483C1" w14:textId="0BEF56AA">
      <w:pPr>
        <w:pStyle w:val="FootnoteText"/>
      </w:pPr>
      <w:r>
        <w:rPr>
          <w:rStyle w:val="FootnoteReference"/>
        </w:rPr>
        <w:footnoteRef/>
      </w:r>
      <w:r>
        <w:t xml:space="preserve"> </w:t>
      </w:r>
      <w:r w:rsidR="009E0828">
        <w:t>2024</w:t>
      </w:r>
      <w:r>
        <w:t xml:space="preserve"> PDR at </w:t>
      </w:r>
      <w:r w:rsidR="00726FB5">
        <w:t>3-</w:t>
      </w:r>
      <w:r>
        <w:t>4;</w:t>
      </w:r>
      <w:r w:rsidR="001C49BF">
        <w:t xml:space="preserve"> 2024 PDR  Supplement;</w:t>
      </w:r>
      <w:r>
        <w:t xml:space="preserve"> February Letter at 1-2.</w:t>
      </w:r>
    </w:p>
  </w:footnote>
  <w:footnote w:id="15">
    <w:p w:rsidR="00D60AD3" w:rsidP="00D60AD3" w14:paraId="26A786EF" w14:textId="77777777">
      <w:pPr>
        <w:pStyle w:val="FootnoteText"/>
      </w:pPr>
      <w:r>
        <w:rPr>
          <w:rStyle w:val="FootnoteReference"/>
        </w:rPr>
        <w:footnoteRef/>
      </w:r>
      <w:r>
        <w:t xml:space="preserve"> 47 U.S.C. § 310(b)(4) (“No broadcast . . . license shall be granted to or held by . . . any corporation directly or indirectly </w:t>
      </w:r>
      <w:r w:rsidRPr="000E23FD">
        <w:t>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t>”).</w:t>
      </w:r>
    </w:p>
  </w:footnote>
  <w:footnote w:id="16">
    <w:p w:rsidR="00D60AD3" w:rsidP="00D60AD3" w14:paraId="03F0361B" w14:textId="77777777">
      <w:pPr>
        <w:pStyle w:val="FootnoteText"/>
      </w:pPr>
      <w:r>
        <w:rPr>
          <w:rStyle w:val="FootnoteReference"/>
        </w:rPr>
        <w:footnoteRef/>
      </w:r>
      <w:r>
        <w:t xml:space="preserve"> 47 U.S.C. § 310(b)(4).</w:t>
      </w:r>
    </w:p>
  </w:footnote>
  <w:footnote w:id="17">
    <w:p w:rsidR="00D60AD3" w:rsidP="00D60AD3" w14:paraId="3158671A" w14:textId="77777777">
      <w:pPr>
        <w:pStyle w:val="FootnoteText"/>
      </w:pPr>
      <w:r>
        <w:rPr>
          <w:rStyle w:val="FootnoteReference"/>
        </w:rPr>
        <w:footnoteRef/>
      </w:r>
      <w:r>
        <w:t xml:space="preserve"> </w:t>
      </w:r>
      <w:r w:rsidRPr="001B2BDE">
        <w:rPr>
          <w:i/>
          <w:iCs/>
        </w:rPr>
        <w:t>Id</w:t>
      </w:r>
      <w:r>
        <w:t>.</w:t>
      </w:r>
    </w:p>
  </w:footnote>
  <w:footnote w:id="18">
    <w:p w:rsidR="00D60AD3" w:rsidRPr="00F31DB4" w:rsidP="00D60AD3" w14:paraId="27781A40" w14:textId="77777777">
      <w:pPr>
        <w:pStyle w:val="FootnoteText"/>
      </w:pPr>
      <w:r>
        <w:rPr>
          <w:rStyle w:val="FootnoteReference"/>
        </w:rPr>
        <w:footnoteRef/>
      </w:r>
      <w:r>
        <w:t xml:space="preserve"> </w:t>
      </w:r>
      <w:r>
        <w:rPr>
          <w:i/>
          <w:iCs/>
        </w:rPr>
        <w:t xml:space="preserve">See supra </w:t>
      </w:r>
      <w:r>
        <w:t xml:space="preserve">para. </w:t>
      </w:r>
      <w:r>
        <w:rPr>
          <w:highlight w:val="yellow"/>
        </w:rPr>
        <w:fldChar w:fldCharType="begin"/>
      </w:r>
      <w:r>
        <w:instrText xml:space="preserve"> PAGEREF _Ref67483397 \h </w:instrText>
      </w:r>
      <w:r>
        <w:rPr>
          <w:highlight w:val="yellow"/>
        </w:rPr>
        <w:fldChar w:fldCharType="separate"/>
      </w:r>
      <w:r>
        <w:rPr>
          <w:noProof/>
        </w:rPr>
        <w:t>2</w:t>
      </w:r>
      <w:r>
        <w:rPr>
          <w:highlight w:val="yellow"/>
        </w:rPr>
        <w:fldChar w:fldCharType="end"/>
      </w:r>
      <w:r>
        <w:t>.</w:t>
      </w:r>
    </w:p>
  </w:footnote>
  <w:footnote w:id="19">
    <w:p w:rsidR="00D60AD3" w:rsidRPr="00BB7B13" w:rsidP="00D60AD3" w14:paraId="55002096" w14:textId="2B0894E5">
      <w:pPr>
        <w:pStyle w:val="FootnoteText"/>
      </w:pPr>
      <w:r>
        <w:rPr>
          <w:rStyle w:val="FootnoteReference"/>
        </w:rPr>
        <w:footnoteRef/>
      </w:r>
      <w:r>
        <w:t xml:space="preserve"> </w:t>
      </w:r>
      <w:r>
        <w:rPr>
          <w:i/>
          <w:iCs/>
        </w:rPr>
        <w:t>See 2020 Declaratory Ruling</w:t>
      </w:r>
      <w:r>
        <w:t xml:space="preserve">, </w:t>
      </w:r>
      <w:r w:rsidR="001C1EB6">
        <w:t>, 2020 WL 2830372, at *3, para. 11</w:t>
      </w:r>
      <w:r>
        <w:t xml:space="preserve"> (“[T]he ruling is subject to the requirement that </w:t>
      </w:r>
      <w:r w:rsidR="00885C63">
        <w:t>Cumulus</w:t>
      </w:r>
      <w:r>
        <w:t xml:space="preserve"> obtain </w:t>
      </w:r>
      <w:r w:rsidR="00885C63">
        <w:t>specific</w:t>
      </w:r>
      <w:r>
        <w:t xml:space="preserve"> approval for any new or additional foreign individual, entity, or group of such individuals or entities </w:t>
      </w:r>
      <w:r w:rsidR="00E262F4">
        <w:t>that</w:t>
      </w:r>
      <w:r>
        <w:t xml:space="preserve"> hold</w:t>
      </w:r>
      <w:r w:rsidR="00E262F4">
        <w:t>s, or would hold</w:t>
      </w:r>
      <w:r>
        <w:t xml:space="preserve">, directly and/or indirectly, more than </w:t>
      </w:r>
      <w:r w:rsidR="00FA1C03">
        <w:t>five percent</w:t>
      </w:r>
      <w:r>
        <w:t xml:space="preserve"> (or more than 10</w:t>
      </w:r>
      <w:r w:rsidR="00FA1C03">
        <w:t xml:space="preserve"> percent</w:t>
      </w:r>
      <w:r>
        <w:t xml:space="preserve"> for certain institutional investors) of the equity and/or voting interests, or a controlling interest, in the company.” (citing 47 CFR §§ 1.5001(</w:t>
      </w:r>
      <w:r>
        <w:t>i</w:t>
      </w:r>
      <w:r>
        <w:t>), 1.5004(a)(1))).</w:t>
      </w:r>
    </w:p>
  </w:footnote>
  <w:footnote w:id="20">
    <w:p w:rsidR="00D60AD3" w:rsidP="00D60AD3" w14:paraId="00EF0BA3" w14:textId="77777777">
      <w:pPr>
        <w:pStyle w:val="FootnoteText"/>
      </w:pPr>
      <w:r>
        <w:rPr>
          <w:rStyle w:val="FootnoteReference"/>
        </w:rPr>
        <w:footnoteRef/>
      </w:r>
      <w:r>
        <w:t xml:space="preserve"> 47 CFR § 1.5004(f)(3).</w:t>
      </w:r>
    </w:p>
  </w:footnote>
  <w:footnote w:id="21">
    <w:p w:rsidR="00D60AD3" w:rsidRPr="00A967CA" w:rsidP="00D60AD3" w14:paraId="6D9E2A54" w14:textId="77777777">
      <w:pPr>
        <w:pStyle w:val="FootnoteText"/>
      </w:pPr>
      <w:r>
        <w:rPr>
          <w:rStyle w:val="FootnoteReference"/>
        </w:rPr>
        <w:footnoteRef/>
      </w:r>
      <w:r>
        <w:t xml:space="preserve"> </w:t>
      </w:r>
      <w:r>
        <w:rPr>
          <w:i/>
          <w:iCs/>
        </w:rPr>
        <w:t>Id.</w:t>
      </w:r>
    </w:p>
  </w:footnote>
  <w:footnote w:id="22">
    <w:p w:rsidR="00D60AD3" w:rsidP="00D60AD3" w14:paraId="67CAC89B" w14:textId="1ABE17C3">
      <w:pPr>
        <w:pStyle w:val="FootnoteText"/>
      </w:pPr>
      <w:r>
        <w:rPr>
          <w:rStyle w:val="FootnoteReference"/>
        </w:rPr>
        <w:footnoteRef/>
      </w:r>
      <w:r>
        <w:t xml:space="preserve"> </w:t>
      </w:r>
      <w:r>
        <w:rPr>
          <w:i/>
          <w:iCs/>
        </w:rPr>
        <w:t xml:space="preserve">See </w:t>
      </w:r>
      <w:r>
        <w:t xml:space="preserve">47 U.S.C. § 310(b)(4); 47 CFR </w:t>
      </w:r>
      <w:r w:rsidRPr="00656E62">
        <w:t>§</w:t>
      </w:r>
      <w:r>
        <w:t xml:space="preserve"> 1.5000 </w:t>
      </w:r>
      <w:r>
        <w:rPr>
          <w:i/>
          <w:iCs/>
        </w:rPr>
        <w:t>et seq.</w:t>
      </w:r>
      <w:r>
        <w:t xml:space="preserve">  </w:t>
      </w:r>
      <w:r w:rsidRPr="00C33CBD">
        <w:t>We note that</w:t>
      </w:r>
      <w:r>
        <w:t xml:space="preserve"> the </w:t>
      </w:r>
      <w:r>
        <w:rPr>
          <w:i/>
          <w:iCs/>
        </w:rPr>
        <w:t>2020 Declaratory Ruling</w:t>
      </w:r>
      <w:r w:rsidRPr="00C33CBD">
        <w:t xml:space="preserve"> authorizes up to and including 100% aggregate direct and/or indirect foreign investment (equity and voting interests) in </w:t>
      </w:r>
      <w:r w:rsidR="006059D4">
        <w:t>Cumulus</w:t>
      </w:r>
      <w:r>
        <w:t xml:space="preserve">, subject to the terms and conditions specified in the ruling.  </w:t>
      </w:r>
      <w:r>
        <w:rPr>
          <w:i/>
          <w:iCs/>
        </w:rPr>
        <w:t>See 2020 Declaratory Ruling</w:t>
      </w:r>
      <w:r w:rsidR="007522E0">
        <w:t>, 2020 WL 2830372, at *3, para</w:t>
      </w:r>
      <w:r w:rsidR="000B5744">
        <w:t>s</w:t>
      </w:r>
      <w:r w:rsidR="007522E0">
        <w:t xml:space="preserve">. </w:t>
      </w:r>
      <w:r w:rsidR="000B5744">
        <w:t>8-</w:t>
      </w:r>
      <w:r w:rsidR="007522E0">
        <w:t>11</w:t>
      </w:r>
      <w:r>
        <w:t>.</w:t>
      </w:r>
    </w:p>
  </w:footnote>
  <w:footnote w:id="23">
    <w:p w:rsidR="00D60AD3" w:rsidRPr="00881839" w:rsidP="00D60AD3" w14:paraId="697EE3DB" w14:textId="64DBF994">
      <w:pPr>
        <w:pStyle w:val="FootnoteText"/>
      </w:pPr>
      <w:r>
        <w:rPr>
          <w:rStyle w:val="FootnoteReference"/>
        </w:rPr>
        <w:footnoteRef/>
      </w:r>
      <w:r>
        <w:t xml:space="preserve"> </w:t>
      </w:r>
      <w:r>
        <w:rPr>
          <w:i/>
          <w:iCs/>
        </w:rPr>
        <w:t xml:space="preserve">See </w:t>
      </w:r>
      <w:r w:rsidR="00577644">
        <w:t>2024</w:t>
      </w:r>
      <w:r>
        <w:t xml:space="preserve"> PDR at 2 &amp; </w:t>
      </w:r>
      <w:r>
        <w:t>Exh</w:t>
      </w:r>
      <w:r>
        <w:t>. A, Subsidiaries and Licenses.</w:t>
      </w:r>
    </w:p>
  </w:footnote>
  <w:footnote w:id="24">
    <w:p w:rsidR="00D60AD3" w:rsidP="00D60AD3" w14:paraId="43F84AEF" w14:textId="297D0315">
      <w:pPr>
        <w:pStyle w:val="FootnoteText"/>
      </w:pPr>
      <w:r>
        <w:rPr>
          <w:rStyle w:val="FootnoteReference"/>
        </w:rPr>
        <w:footnoteRef/>
      </w:r>
      <w:r>
        <w:t xml:space="preserve"> </w:t>
      </w:r>
      <w:r w:rsidR="00577644">
        <w:rPr>
          <w:i/>
          <w:iCs/>
        </w:rPr>
        <w:t>Id.</w:t>
      </w:r>
      <w:r>
        <w:t xml:space="preserve"> at 4.</w:t>
      </w:r>
    </w:p>
  </w:footnote>
  <w:footnote w:id="25">
    <w:p w:rsidR="00D60AD3" w:rsidP="00D60AD3" w14:paraId="275F8EC3" w14:textId="77777777">
      <w:pPr>
        <w:pStyle w:val="FootnoteText"/>
      </w:pPr>
      <w:r>
        <w:rPr>
          <w:rStyle w:val="FootnoteReference"/>
        </w:rPr>
        <w:footnoteRef/>
      </w:r>
      <w:r>
        <w:t xml:space="preserve"> </w:t>
      </w:r>
      <w:r w:rsidRPr="00984699">
        <w:rPr>
          <w:i/>
          <w:iCs/>
        </w:rPr>
        <w:t>See supra</w:t>
      </w:r>
      <w:r>
        <w:t xml:space="preserve"> paras. 2-4.</w:t>
      </w:r>
    </w:p>
  </w:footnote>
  <w:footnote w:id="26">
    <w:p w:rsidR="00E2309E" w:rsidRPr="004F29D9" w14:paraId="3C09E1C0" w14:textId="5883E4F9">
      <w:pPr>
        <w:pStyle w:val="FootnoteText"/>
      </w:pPr>
      <w:r>
        <w:rPr>
          <w:rStyle w:val="FootnoteReference"/>
        </w:rPr>
        <w:footnoteRef/>
      </w:r>
      <w:r>
        <w:t xml:space="preserve"> </w:t>
      </w:r>
      <w:r>
        <w:rPr>
          <w:i/>
          <w:iCs/>
        </w:rPr>
        <w:t xml:space="preserve">See </w:t>
      </w:r>
      <w:r w:rsidR="004F29D9">
        <w:rPr>
          <w:i/>
          <w:iCs/>
        </w:rPr>
        <w:t>Applications of Mortenson Broadcasting Co. of Texas, Inc., et al.</w:t>
      </w:r>
      <w:r w:rsidR="004F29D9">
        <w:t xml:space="preserve">, </w:t>
      </w:r>
      <w:r w:rsidR="00686EE3">
        <w:t>Application File No. 0000</w:t>
      </w:r>
      <w:r w:rsidRPr="00686EE3" w:rsidR="00686EE3">
        <w:t>129304 et al.</w:t>
      </w:r>
      <w:r w:rsidR="00686EE3">
        <w:t xml:space="preserve">, </w:t>
      </w:r>
      <w:r w:rsidR="004F29D9">
        <w:t>Memorandum Opinion and Order</w:t>
      </w:r>
      <w:r w:rsidR="00287B54">
        <w:t xml:space="preserve">, </w:t>
      </w:r>
      <w:r w:rsidR="008B204B">
        <w:t>35 FCC Rcd 5935</w:t>
      </w:r>
      <w:r w:rsidR="004F4CA6">
        <w:t>, 5939</w:t>
      </w:r>
      <w:r w:rsidR="000063D2">
        <w:t>-42</w:t>
      </w:r>
      <w:r w:rsidR="004F4CA6">
        <w:t xml:space="preserve"> paras.</w:t>
      </w:r>
      <w:r w:rsidR="000063D2">
        <w:t xml:space="preserve"> 9-12</w:t>
      </w:r>
      <w:r w:rsidR="008B204B">
        <w:t xml:space="preserve"> (MB 2021)</w:t>
      </w:r>
      <w:r w:rsidR="000063D2">
        <w:t xml:space="preserve"> </w:t>
      </w:r>
      <w:r w:rsidR="00A103A2">
        <w:t xml:space="preserve">(granting applications </w:t>
      </w:r>
      <w:r w:rsidR="00A41AD8">
        <w:t>for</w:t>
      </w:r>
      <w:r w:rsidR="003667F8">
        <w:t xml:space="preserve"> assignment </w:t>
      </w:r>
      <w:r w:rsidR="003D59E1">
        <w:t xml:space="preserve">of </w:t>
      </w:r>
      <w:r w:rsidR="00A41AD8">
        <w:t xml:space="preserve">licenses to </w:t>
      </w:r>
      <w:r w:rsidR="003D59E1">
        <w:t>iHM</w:t>
      </w:r>
      <w:r w:rsidR="003D59E1">
        <w:t xml:space="preserve"> Licenses</w:t>
      </w:r>
      <w:r w:rsidR="00171F77">
        <w:t>, LLC</w:t>
      </w:r>
      <w:r w:rsidR="003667F8">
        <w:t xml:space="preserve">, </w:t>
      </w:r>
      <w:r w:rsidR="007E436A">
        <w:t xml:space="preserve">with conditions designed to insulate, to the extent possible, new foreign interests </w:t>
      </w:r>
      <w:r w:rsidR="0000147E">
        <w:t>in iHeart Media, Inc., while remedial PDR seeking specific approval of such interests was pending)</w:t>
      </w:r>
      <w:r w:rsidR="008B204B">
        <w:t>.</w:t>
      </w:r>
    </w:p>
  </w:footnote>
  <w:footnote w:id="27">
    <w:p w:rsidR="00D60AD3" w:rsidRPr="0038446A" w:rsidP="00D60AD3" w14:paraId="17F4A3D0" w14:textId="0BE0DDF5">
      <w:pPr>
        <w:pStyle w:val="FootnoteText"/>
      </w:pPr>
      <w:r>
        <w:rPr>
          <w:rStyle w:val="FootnoteReference"/>
        </w:rPr>
        <w:footnoteRef/>
      </w:r>
      <w:r>
        <w:t xml:space="preserve"> </w:t>
      </w:r>
      <w:r>
        <w:rPr>
          <w:i/>
          <w:iCs/>
        </w:rPr>
        <w:t xml:space="preserve">See </w:t>
      </w:r>
      <w:r w:rsidR="00EB7902">
        <w:t>2024</w:t>
      </w:r>
      <w:r>
        <w:t xml:space="preserve"> PDR </w:t>
      </w:r>
      <w:r>
        <w:rPr>
          <w:i/>
          <w:iCs/>
        </w:rPr>
        <w:t xml:space="preserve">supra </w:t>
      </w:r>
      <w:r>
        <w:t xml:space="preserve">note </w:t>
      </w:r>
      <w:r>
        <w:rPr>
          <w:highlight w:val="yellow"/>
        </w:rPr>
        <w:fldChar w:fldCharType="begin"/>
      </w:r>
      <w:r>
        <w:instrText xml:space="preserve"> NOTEREF _Ref67479987 \h </w:instrText>
      </w:r>
      <w:r>
        <w:rPr>
          <w:highlight w:val="yellow"/>
        </w:rPr>
        <w:fldChar w:fldCharType="separate"/>
      </w:r>
      <w:r w:rsidR="00880313">
        <w:t>2</w:t>
      </w:r>
      <w:r>
        <w:rPr>
          <w:highlight w:val="yellow"/>
        </w:rPr>
        <w:fldChar w:fldCharType="end"/>
      </w:r>
      <w:r>
        <w:t>.</w:t>
      </w:r>
    </w:p>
  </w:footnote>
  <w:footnote w:id="28">
    <w:p w:rsidR="00D60AD3" w:rsidP="00D60AD3" w14:paraId="1F3D154B" w14:textId="77777777">
      <w:pPr>
        <w:pStyle w:val="FootnoteText"/>
      </w:pPr>
      <w:r>
        <w:rPr>
          <w:rStyle w:val="FootnoteReference"/>
        </w:rPr>
        <w:footnoteRef/>
      </w:r>
      <w:r>
        <w:t xml:space="preserve"> 47 CFR § 1.5004(f)(3)(iii).</w:t>
      </w:r>
    </w:p>
  </w:footnote>
  <w:footnote w:id="29">
    <w:p w:rsidR="00D60AD3" w:rsidP="00D60AD3" w14:paraId="0566909A" w14:textId="77777777">
      <w:pPr>
        <w:pStyle w:val="FootnoteText"/>
      </w:pPr>
      <w:r>
        <w:rPr>
          <w:rStyle w:val="FootnoteReference"/>
        </w:rPr>
        <w:footnoteRef/>
      </w:r>
      <w:r>
        <w:t xml:space="preserve"> 47 U.S.C. § 310(b)(4).</w:t>
      </w:r>
    </w:p>
  </w:footnote>
  <w:footnote w:id="30">
    <w:p w:rsidR="00D60AD3" w:rsidP="00D60AD3" w14:paraId="4AC619D2" w14:textId="77777777">
      <w:pPr>
        <w:pStyle w:val="FootnoteText"/>
      </w:pPr>
      <w:r>
        <w:rPr>
          <w:rStyle w:val="FootnoteReference"/>
        </w:rPr>
        <w:footnoteRef/>
      </w:r>
      <w:r>
        <w:t xml:space="preserve"> </w:t>
      </w:r>
      <w:r w:rsidRPr="00A968C9">
        <w:rPr>
          <w:i/>
          <w:iCs/>
        </w:rPr>
        <w:t>Request for Declaratory Ruling Concerning the Citizenship Requirements of Sections 310(b)(3) and (4) of the Communications Act of 1934, as amended</w:t>
      </w:r>
      <w:r w:rsidRPr="00A968C9">
        <w:t>, Memorandum Opinion and Order, 1 FCC Rcd 12,</w:t>
      </w:r>
      <w:r>
        <w:t xml:space="preserve"> 13,</w:t>
      </w:r>
      <w:r w:rsidRPr="00A968C9">
        <w:t xml:space="preserve"> para. </w:t>
      </w:r>
      <w:r>
        <w:t>7</w:t>
      </w:r>
      <w:r w:rsidRPr="00A968C9">
        <w:t xml:space="preserve"> (1986) (“The adoption of the equity benchmarks in Section 310(b) reflects congressional concern over substantial alien ownership . . . even where the alien’s ownership interest is noninfluential in nature.”). </w:t>
      </w:r>
    </w:p>
  </w:footnote>
  <w:footnote w:id="31">
    <w:p w:rsidR="00D60AD3" w:rsidRPr="000B58BF" w:rsidP="00D60AD3" w14:paraId="2CD957C5" w14:textId="0DFACDAF">
      <w:pPr>
        <w:pStyle w:val="FootnoteText"/>
      </w:pPr>
      <w:r>
        <w:rPr>
          <w:rStyle w:val="FootnoteReference"/>
        </w:rPr>
        <w:footnoteRef/>
      </w:r>
      <w:r>
        <w:t xml:space="preserve"> </w:t>
      </w:r>
      <w:r>
        <w:rPr>
          <w:i/>
          <w:iCs/>
        </w:rPr>
        <w:t>2020 Declaratory Ruling</w:t>
      </w:r>
      <w:r w:rsidR="000B5744">
        <w:t>, 2020 WL 2830372, at *3, paras. 8-11</w:t>
      </w:r>
      <w:r>
        <w:t xml:space="preserve">.  </w:t>
      </w:r>
      <w:r w:rsidRPr="000B58BF">
        <w:t xml:space="preserve">The ruling </w:t>
      </w:r>
      <w:r>
        <w:t>is</w:t>
      </w:r>
      <w:r w:rsidRPr="000B58BF">
        <w:t xml:space="preserve"> subject to conditions that require </w:t>
      </w:r>
      <w:r w:rsidR="00F252FC">
        <w:t>Cumulus</w:t>
      </w:r>
      <w:r w:rsidRPr="000B58BF">
        <w:t xml:space="preserve"> to comply with the standard terms and conditions set forth in section 1.5004 of the Commission’s rules.</w:t>
      </w:r>
      <w:r>
        <w:t xml:space="preserve">  </w:t>
      </w:r>
      <w:r>
        <w:rPr>
          <w:i/>
          <w:iCs/>
        </w:rPr>
        <w:t>Id.</w:t>
      </w:r>
      <w:r>
        <w:t xml:space="preserve"> at </w:t>
      </w:r>
      <w:r w:rsidR="00F252FC">
        <w:t>*3</w:t>
      </w:r>
      <w:r>
        <w:t xml:space="preserve">, para. </w:t>
      </w:r>
      <w:r w:rsidR="00F252FC">
        <w:t>11</w:t>
      </w:r>
      <w:r>
        <w:t>.</w:t>
      </w:r>
    </w:p>
  </w:footnote>
  <w:footnote w:id="32">
    <w:p w:rsidR="00D60AD3" w:rsidRPr="009B1FF5" w:rsidP="00D60AD3" w14:paraId="2908E92C" w14:textId="66898D24">
      <w:pPr>
        <w:pStyle w:val="FootnoteText"/>
      </w:pPr>
      <w:r>
        <w:rPr>
          <w:rStyle w:val="FootnoteReference"/>
        </w:rPr>
        <w:footnoteRef/>
      </w:r>
      <w:r>
        <w:t xml:space="preserve"> </w:t>
      </w:r>
      <w:r w:rsidR="00DE47BA">
        <w:t>2024</w:t>
      </w:r>
      <w:r>
        <w:t xml:space="preserve"> PDR at 3-</w:t>
      </w:r>
      <w:r w:rsidR="00DE47BA">
        <w:t>4</w:t>
      </w:r>
      <w:r>
        <w:t>.</w:t>
      </w:r>
    </w:p>
  </w:footnote>
  <w:footnote w:id="33">
    <w:p w:rsidR="00D60AD3" w:rsidP="00D60AD3" w14:paraId="55E61732" w14:textId="675B2A81">
      <w:pPr>
        <w:pStyle w:val="FootnoteText"/>
      </w:pPr>
      <w:r>
        <w:rPr>
          <w:rStyle w:val="FootnoteReference"/>
        </w:rPr>
        <w:footnoteRef/>
      </w:r>
      <w:r>
        <w:t xml:space="preserve"> </w:t>
      </w:r>
      <w:r w:rsidR="008B2C7D">
        <w:t>Comprehensive Exhibit</w:t>
      </w:r>
      <w:r w:rsidR="00C85712">
        <w:t xml:space="preserve"> at 1-2 &amp; </w:t>
      </w:r>
      <w:r w:rsidR="00C85712">
        <w:t>Exh</w:t>
      </w:r>
      <w:r w:rsidR="00F063CB">
        <w:t>s</w:t>
      </w:r>
      <w:r w:rsidR="00C85712">
        <w:t xml:space="preserve">. </w:t>
      </w:r>
      <w:r w:rsidR="00F063CB">
        <w:t>B (Pre-Transaction Structure), C (Post-Transaction Structure), and D (Form of Instruments of Assignment/Transfer</w:t>
      </w:r>
      <w:r w:rsidR="00106AF2">
        <w:t>)</w:t>
      </w:r>
      <w:r w:rsidR="004D4581">
        <w:t xml:space="preserve">; </w:t>
      </w:r>
      <w:r w:rsidR="00554C42">
        <w:t xml:space="preserve">Press Release, Cumulus, </w:t>
      </w:r>
      <w:r w:rsidR="0097517F">
        <w:t xml:space="preserve">Cumulus Media Announces Exchange Offer and Consent Solicitation Relating to </w:t>
      </w:r>
      <w:r w:rsidR="00CC1239">
        <w:t xml:space="preserve">6.750% Senior Secured First-Lien Notes due 2026 (Feb. 27, 2024), </w:t>
      </w:r>
      <w:hyperlink r:id="rId1" w:history="1">
        <w:r w:rsidRPr="00DA6D56" w:rsidR="00CC1239">
          <w:rPr>
            <w:rStyle w:val="Hyperlink"/>
          </w:rPr>
          <w:t>https://www.cumulusmedia.com/2024/02/27/cumulus-media-announces-exchange-offer-and-consent-solicitation-relating-to-6-750-senior-secured-first-lien-notes-due-2026/</w:t>
        </w:r>
      </w:hyperlink>
      <w:r w:rsidRPr="00151534">
        <w:t>.</w:t>
      </w:r>
      <w:r w:rsidR="00CC1239">
        <w:t xml:space="preserve"> </w:t>
      </w:r>
      <w:r w:rsidRPr="0015153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5EBD47" w14:textId="3AC3DC3A">
    <w:pPr>
      <w:pStyle w:val="Header"/>
      <w:rPr>
        <w:b w:val="0"/>
      </w:rPr>
    </w:pPr>
    <w:r>
      <w:tab/>
      <w:t>Federal Communications Commission</w:t>
    </w:r>
    <w:r>
      <w:tab/>
    </w:r>
    <w:r w:rsidR="00C45FE8">
      <w:t>DA 24</w:t>
    </w:r>
    <w:r w:rsidR="00E179C1">
      <w:t>-400</w:t>
    </w:r>
  </w:p>
  <w:p w:rsidR="00D25FB5" w14:paraId="719038C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4DE874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1B3F8C" w14:textId="7608158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3AD6">
      <w:rPr>
        <w:spacing w:val="-2"/>
      </w:rPr>
      <w:t>DA 24</w:t>
    </w:r>
    <w:r>
      <w:rPr>
        <w:spacing w:val="-2"/>
      </w:rPr>
      <w:t>-400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D84890"/>
    <w:multiLevelType w:val="hybridMultilevel"/>
    <w:tmpl w:val="226C15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2FC0985"/>
    <w:multiLevelType w:val="hybridMultilevel"/>
    <w:tmpl w:val="DB3E76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D3"/>
    <w:rsid w:val="0000147E"/>
    <w:rsid w:val="00005D64"/>
    <w:rsid w:val="000063D2"/>
    <w:rsid w:val="00011F07"/>
    <w:rsid w:val="00024846"/>
    <w:rsid w:val="00026F61"/>
    <w:rsid w:val="00030683"/>
    <w:rsid w:val="00036039"/>
    <w:rsid w:val="00037F90"/>
    <w:rsid w:val="00047D3E"/>
    <w:rsid w:val="00073398"/>
    <w:rsid w:val="00075794"/>
    <w:rsid w:val="000875BF"/>
    <w:rsid w:val="0009081C"/>
    <w:rsid w:val="00096D8C"/>
    <w:rsid w:val="000B0F62"/>
    <w:rsid w:val="000B3CFD"/>
    <w:rsid w:val="000B5744"/>
    <w:rsid w:val="000B58BF"/>
    <w:rsid w:val="000B72B7"/>
    <w:rsid w:val="000C0B65"/>
    <w:rsid w:val="000D0275"/>
    <w:rsid w:val="000E05FE"/>
    <w:rsid w:val="000E23FD"/>
    <w:rsid w:val="000E3D42"/>
    <w:rsid w:val="000F05AB"/>
    <w:rsid w:val="000F225E"/>
    <w:rsid w:val="001025A7"/>
    <w:rsid w:val="00106AF2"/>
    <w:rsid w:val="00122BD5"/>
    <w:rsid w:val="00122BFF"/>
    <w:rsid w:val="00133F79"/>
    <w:rsid w:val="00151534"/>
    <w:rsid w:val="0016548C"/>
    <w:rsid w:val="00171F77"/>
    <w:rsid w:val="00193BAF"/>
    <w:rsid w:val="00194A66"/>
    <w:rsid w:val="001B00D0"/>
    <w:rsid w:val="001B2BDE"/>
    <w:rsid w:val="001C1EB6"/>
    <w:rsid w:val="001C24EB"/>
    <w:rsid w:val="001C425D"/>
    <w:rsid w:val="001C49BF"/>
    <w:rsid w:val="001C7A59"/>
    <w:rsid w:val="001C7CDD"/>
    <w:rsid w:val="001D009F"/>
    <w:rsid w:val="001D1A20"/>
    <w:rsid w:val="001D6BCF"/>
    <w:rsid w:val="001D6EE6"/>
    <w:rsid w:val="001E01CA"/>
    <w:rsid w:val="001E0908"/>
    <w:rsid w:val="001E1984"/>
    <w:rsid w:val="00217932"/>
    <w:rsid w:val="0023234F"/>
    <w:rsid w:val="0023695A"/>
    <w:rsid w:val="00257C9F"/>
    <w:rsid w:val="0027542D"/>
    <w:rsid w:val="00275CF5"/>
    <w:rsid w:val="0028301F"/>
    <w:rsid w:val="00285017"/>
    <w:rsid w:val="00287B54"/>
    <w:rsid w:val="002908FE"/>
    <w:rsid w:val="002959B6"/>
    <w:rsid w:val="002A2D2E"/>
    <w:rsid w:val="002A57C2"/>
    <w:rsid w:val="002B523E"/>
    <w:rsid w:val="002C00E8"/>
    <w:rsid w:val="002C1ACF"/>
    <w:rsid w:val="002C4163"/>
    <w:rsid w:val="002E0A99"/>
    <w:rsid w:val="002E2DA9"/>
    <w:rsid w:val="002F5411"/>
    <w:rsid w:val="002F6BE5"/>
    <w:rsid w:val="0031571F"/>
    <w:rsid w:val="00315D32"/>
    <w:rsid w:val="00317FA8"/>
    <w:rsid w:val="003257D7"/>
    <w:rsid w:val="00330F92"/>
    <w:rsid w:val="00341E1C"/>
    <w:rsid w:val="00343749"/>
    <w:rsid w:val="00343DA2"/>
    <w:rsid w:val="00361762"/>
    <w:rsid w:val="00362D6F"/>
    <w:rsid w:val="003660ED"/>
    <w:rsid w:val="003667F8"/>
    <w:rsid w:val="00382175"/>
    <w:rsid w:val="0038446A"/>
    <w:rsid w:val="00387BB6"/>
    <w:rsid w:val="003965BC"/>
    <w:rsid w:val="003B0550"/>
    <w:rsid w:val="003B694F"/>
    <w:rsid w:val="003C42C4"/>
    <w:rsid w:val="003D59E1"/>
    <w:rsid w:val="003D7359"/>
    <w:rsid w:val="003E669D"/>
    <w:rsid w:val="003F171C"/>
    <w:rsid w:val="003F690A"/>
    <w:rsid w:val="00412FC5"/>
    <w:rsid w:val="00413061"/>
    <w:rsid w:val="00422276"/>
    <w:rsid w:val="004242F1"/>
    <w:rsid w:val="0042674E"/>
    <w:rsid w:val="004370E3"/>
    <w:rsid w:val="00445A00"/>
    <w:rsid w:val="004507D2"/>
    <w:rsid w:val="00451B0F"/>
    <w:rsid w:val="00451B27"/>
    <w:rsid w:val="00475134"/>
    <w:rsid w:val="00485DE4"/>
    <w:rsid w:val="00486EDE"/>
    <w:rsid w:val="004C2EE3"/>
    <w:rsid w:val="004D4581"/>
    <w:rsid w:val="004E4320"/>
    <w:rsid w:val="004E4A22"/>
    <w:rsid w:val="004F29D9"/>
    <w:rsid w:val="004F4CA6"/>
    <w:rsid w:val="00501150"/>
    <w:rsid w:val="00511968"/>
    <w:rsid w:val="00542381"/>
    <w:rsid w:val="0055282A"/>
    <w:rsid w:val="00553D4D"/>
    <w:rsid w:val="00554C42"/>
    <w:rsid w:val="0055614C"/>
    <w:rsid w:val="005602BA"/>
    <w:rsid w:val="00566D06"/>
    <w:rsid w:val="00577644"/>
    <w:rsid w:val="00590AFD"/>
    <w:rsid w:val="005A1390"/>
    <w:rsid w:val="005A1CF8"/>
    <w:rsid w:val="005A6AE5"/>
    <w:rsid w:val="005B3B93"/>
    <w:rsid w:val="005B5989"/>
    <w:rsid w:val="005C4410"/>
    <w:rsid w:val="005E14C2"/>
    <w:rsid w:val="005E1A67"/>
    <w:rsid w:val="005E66DA"/>
    <w:rsid w:val="006059D4"/>
    <w:rsid w:val="0060690C"/>
    <w:rsid w:val="00607BA5"/>
    <w:rsid w:val="006113EE"/>
    <w:rsid w:val="0061180A"/>
    <w:rsid w:val="00613102"/>
    <w:rsid w:val="006158D2"/>
    <w:rsid w:val="006203AC"/>
    <w:rsid w:val="00626EB6"/>
    <w:rsid w:val="00631FCA"/>
    <w:rsid w:val="00633584"/>
    <w:rsid w:val="00655D03"/>
    <w:rsid w:val="00656E62"/>
    <w:rsid w:val="00657299"/>
    <w:rsid w:val="0066418C"/>
    <w:rsid w:val="006658BB"/>
    <w:rsid w:val="006748FC"/>
    <w:rsid w:val="00683388"/>
    <w:rsid w:val="00683F84"/>
    <w:rsid w:val="00686EE3"/>
    <w:rsid w:val="00690B19"/>
    <w:rsid w:val="006A0F8B"/>
    <w:rsid w:val="006A2976"/>
    <w:rsid w:val="006A6A81"/>
    <w:rsid w:val="006C1749"/>
    <w:rsid w:val="006D61B1"/>
    <w:rsid w:val="006D70F2"/>
    <w:rsid w:val="006F3B41"/>
    <w:rsid w:val="006F4994"/>
    <w:rsid w:val="006F7393"/>
    <w:rsid w:val="0070224F"/>
    <w:rsid w:val="007115F7"/>
    <w:rsid w:val="00711E02"/>
    <w:rsid w:val="00713187"/>
    <w:rsid w:val="00714AFC"/>
    <w:rsid w:val="00714D9C"/>
    <w:rsid w:val="00726FB5"/>
    <w:rsid w:val="0074566D"/>
    <w:rsid w:val="007458D9"/>
    <w:rsid w:val="007522E0"/>
    <w:rsid w:val="00753D36"/>
    <w:rsid w:val="00781F29"/>
    <w:rsid w:val="00785689"/>
    <w:rsid w:val="00790D85"/>
    <w:rsid w:val="007962E3"/>
    <w:rsid w:val="0079754B"/>
    <w:rsid w:val="007A0E49"/>
    <w:rsid w:val="007A1E6D"/>
    <w:rsid w:val="007A27B0"/>
    <w:rsid w:val="007B0EB2"/>
    <w:rsid w:val="007C0472"/>
    <w:rsid w:val="007C2FD4"/>
    <w:rsid w:val="007E0ED4"/>
    <w:rsid w:val="007E436A"/>
    <w:rsid w:val="008002B5"/>
    <w:rsid w:val="00810B6F"/>
    <w:rsid w:val="00822CE0"/>
    <w:rsid w:val="00841AB1"/>
    <w:rsid w:val="00872848"/>
    <w:rsid w:val="00875375"/>
    <w:rsid w:val="00877EC6"/>
    <w:rsid w:val="00880313"/>
    <w:rsid w:val="00881839"/>
    <w:rsid w:val="00881DB4"/>
    <w:rsid w:val="00882812"/>
    <w:rsid w:val="00885C63"/>
    <w:rsid w:val="00886440"/>
    <w:rsid w:val="008931E8"/>
    <w:rsid w:val="008A0FF0"/>
    <w:rsid w:val="008A3B75"/>
    <w:rsid w:val="008B1F70"/>
    <w:rsid w:val="008B204B"/>
    <w:rsid w:val="008B2C7D"/>
    <w:rsid w:val="008B3EA9"/>
    <w:rsid w:val="008C68F1"/>
    <w:rsid w:val="008D488C"/>
    <w:rsid w:val="008F20A6"/>
    <w:rsid w:val="00901753"/>
    <w:rsid w:val="009058B0"/>
    <w:rsid w:val="00912F2C"/>
    <w:rsid w:val="00921803"/>
    <w:rsid w:val="00926503"/>
    <w:rsid w:val="00930225"/>
    <w:rsid w:val="009302F0"/>
    <w:rsid w:val="00935B32"/>
    <w:rsid w:val="00941614"/>
    <w:rsid w:val="00956DE4"/>
    <w:rsid w:val="0096214A"/>
    <w:rsid w:val="009726D8"/>
    <w:rsid w:val="00974830"/>
    <w:rsid w:val="0097517F"/>
    <w:rsid w:val="00984699"/>
    <w:rsid w:val="00994B1C"/>
    <w:rsid w:val="009955A6"/>
    <w:rsid w:val="009A37F4"/>
    <w:rsid w:val="009A3A71"/>
    <w:rsid w:val="009A77CD"/>
    <w:rsid w:val="009B1638"/>
    <w:rsid w:val="009B1FF5"/>
    <w:rsid w:val="009C3824"/>
    <w:rsid w:val="009D7308"/>
    <w:rsid w:val="009D7F7E"/>
    <w:rsid w:val="009E0828"/>
    <w:rsid w:val="009F2C81"/>
    <w:rsid w:val="009F76DB"/>
    <w:rsid w:val="00A061C5"/>
    <w:rsid w:val="00A103A2"/>
    <w:rsid w:val="00A1792A"/>
    <w:rsid w:val="00A32C3B"/>
    <w:rsid w:val="00A3535C"/>
    <w:rsid w:val="00A41AD8"/>
    <w:rsid w:val="00A425AE"/>
    <w:rsid w:val="00A45F4F"/>
    <w:rsid w:val="00A47A3C"/>
    <w:rsid w:val="00A50949"/>
    <w:rsid w:val="00A52CC6"/>
    <w:rsid w:val="00A600A9"/>
    <w:rsid w:val="00A8173C"/>
    <w:rsid w:val="00A8631F"/>
    <w:rsid w:val="00A9456A"/>
    <w:rsid w:val="00A967CA"/>
    <w:rsid w:val="00A968C9"/>
    <w:rsid w:val="00AA2CFE"/>
    <w:rsid w:val="00AA34A7"/>
    <w:rsid w:val="00AA55B7"/>
    <w:rsid w:val="00AA5B9E"/>
    <w:rsid w:val="00AB0866"/>
    <w:rsid w:val="00AB2407"/>
    <w:rsid w:val="00AB53DF"/>
    <w:rsid w:val="00AB5990"/>
    <w:rsid w:val="00AB6201"/>
    <w:rsid w:val="00AC7FF5"/>
    <w:rsid w:val="00AE2CF0"/>
    <w:rsid w:val="00AE387D"/>
    <w:rsid w:val="00AE38A3"/>
    <w:rsid w:val="00AE5FAA"/>
    <w:rsid w:val="00B01E1F"/>
    <w:rsid w:val="00B02180"/>
    <w:rsid w:val="00B07E5C"/>
    <w:rsid w:val="00B22B64"/>
    <w:rsid w:val="00B36F13"/>
    <w:rsid w:val="00B628DF"/>
    <w:rsid w:val="00B811F7"/>
    <w:rsid w:val="00B86E10"/>
    <w:rsid w:val="00BA2867"/>
    <w:rsid w:val="00BA5DC6"/>
    <w:rsid w:val="00BA6196"/>
    <w:rsid w:val="00BB7B13"/>
    <w:rsid w:val="00BC2974"/>
    <w:rsid w:val="00BC632E"/>
    <w:rsid w:val="00BC6D8C"/>
    <w:rsid w:val="00BD3950"/>
    <w:rsid w:val="00BD57F6"/>
    <w:rsid w:val="00BE5B5B"/>
    <w:rsid w:val="00BF0E55"/>
    <w:rsid w:val="00C00204"/>
    <w:rsid w:val="00C07D69"/>
    <w:rsid w:val="00C2115C"/>
    <w:rsid w:val="00C21C08"/>
    <w:rsid w:val="00C26345"/>
    <w:rsid w:val="00C26798"/>
    <w:rsid w:val="00C3328B"/>
    <w:rsid w:val="00C33CBD"/>
    <w:rsid w:val="00C34006"/>
    <w:rsid w:val="00C36B4C"/>
    <w:rsid w:val="00C426B1"/>
    <w:rsid w:val="00C45FE8"/>
    <w:rsid w:val="00C66160"/>
    <w:rsid w:val="00C721AC"/>
    <w:rsid w:val="00C85712"/>
    <w:rsid w:val="00C90D6A"/>
    <w:rsid w:val="00C949AB"/>
    <w:rsid w:val="00CA247E"/>
    <w:rsid w:val="00CA6787"/>
    <w:rsid w:val="00CA6D21"/>
    <w:rsid w:val="00CB1D9D"/>
    <w:rsid w:val="00CC1239"/>
    <w:rsid w:val="00CC3AD6"/>
    <w:rsid w:val="00CC72B6"/>
    <w:rsid w:val="00CD26AA"/>
    <w:rsid w:val="00CD462E"/>
    <w:rsid w:val="00CD65A9"/>
    <w:rsid w:val="00CE0226"/>
    <w:rsid w:val="00CE3044"/>
    <w:rsid w:val="00CE3C43"/>
    <w:rsid w:val="00CF478E"/>
    <w:rsid w:val="00CF4E87"/>
    <w:rsid w:val="00D0218D"/>
    <w:rsid w:val="00D05569"/>
    <w:rsid w:val="00D102C9"/>
    <w:rsid w:val="00D15BE3"/>
    <w:rsid w:val="00D25FB5"/>
    <w:rsid w:val="00D3055C"/>
    <w:rsid w:val="00D30656"/>
    <w:rsid w:val="00D31E64"/>
    <w:rsid w:val="00D407B1"/>
    <w:rsid w:val="00D44223"/>
    <w:rsid w:val="00D53770"/>
    <w:rsid w:val="00D60AD3"/>
    <w:rsid w:val="00D61882"/>
    <w:rsid w:val="00D8266A"/>
    <w:rsid w:val="00D867C6"/>
    <w:rsid w:val="00D9041A"/>
    <w:rsid w:val="00DA1B3E"/>
    <w:rsid w:val="00DA2529"/>
    <w:rsid w:val="00DA6D56"/>
    <w:rsid w:val="00DB130A"/>
    <w:rsid w:val="00DB2EBB"/>
    <w:rsid w:val="00DB5112"/>
    <w:rsid w:val="00DC10A1"/>
    <w:rsid w:val="00DC359D"/>
    <w:rsid w:val="00DC655F"/>
    <w:rsid w:val="00DD0B59"/>
    <w:rsid w:val="00DD348E"/>
    <w:rsid w:val="00DD5024"/>
    <w:rsid w:val="00DD7EBD"/>
    <w:rsid w:val="00DE32B5"/>
    <w:rsid w:val="00DE47BA"/>
    <w:rsid w:val="00DF62B6"/>
    <w:rsid w:val="00DF6E8A"/>
    <w:rsid w:val="00DF7AD8"/>
    <w:rsid w:val="00E04D49"/>
    <w:rsid w:val="00E07225"/>
    <w:rsid w:val="00E179C1"/>
    <w:rsid w:val="00E2309E"/>
    <w:rsid w:val="00E262F4"/>
    <w:rsid w:val="00E4030D"/>
    <w:rsid w:val="00E5409F"/>
    <w:rsid w:val="00E60B4D"/>
    <w:rsid w:val="00E81EE3"/>
    <w:rsid w:val="00E86C26"/>
    <w:rsid w:val="00E912E0"/>
    <w:rsid w:val="00EA0CCF"/>
    <w:rsid w:val="00EA44DC"/>
    <w:rsid w:val="00EA760F"/>
    <w:rsid w:val="00EB7902"/>
    <w:rsid w:val="00EC2709"/>
    <w:rsid w:val="00EC34D3"/>
    <w:rsid w:val="00ED4A0E"/>
    <w:rsid w:val="00EE6488"/>
    <w:rsid w:val="00EE6B62"/>
    <w:rsid w:val="00EF6ABD"/>
    <w:rsid w:val="00F021FA"/>
    <w:rsid w:val="00F063CB"/>
    <w:rsid w:val="00F252FC"/>
    <w:rsid w:val="00F31DB4"/>
    <w:rsid w:val="00F4517C"/>
    <w:rsid w:val="00F5649C"/>
    <w:rsid w:val="00F62E97"/>
    <w:rsid w:val="00F63125"/>
    <w:rsid w:val="00F64209"/>
    <w:rsid w:val="00F93BF5"/>
    <w:rsid w:val="00FA0C72"/>
    <w:rsid w:val="00FA1C03"/>
    <w:rsid w:val="00FA49AA"/>
    <w:rsid w:val="00FA6AAC"/>
    <w:rsid w:val="00FB0807"/>
    <w:rsid w:val="00FB3156"/>
    <w:rsid w:val="00FC7EB5"/>
    <w:rsid w:val="00FE2920"/>
    <w:rsid w:val="00FF25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24AE8E"/>
  <w15:chartTrackingRefBased/>
  <w15:docId w15:val="{DB56EBEE-4EFF-4886-B397-A0AADFE7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AD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D60AD3"/>
  </w:style>
  <w:style w:type="character" w:customStyle="1" w:styleId="ParaNumChar">
    <w:name w:val="ParaNum Char"/>
    <w:link w:val="ParaNum"/>
    <w:locked/>
    <w:rsid w:val="00D60AD3"/>
    <w:rPr>
      <w:snapToGrid w:val="0"/>
      <w:kern w:val="28"/>
      <w:sz w:val="22"/>
    </w:rPr>
  </w:style>
  <w:style w:type="character" w:styleId="UnresolvedMention">
    <w:name w:val="Unresolved Mention"/>
    <w:uiPriority w:val="99"/>
    <w:semiHidden/>
    <w:unhideWhenUsed/>
    <w:rsid w:val="00CC1239"/>
    <w:rPr>
      <w:color w:val="605E5C"/>
      <w:shd w:val="clear" w:color="auto" w:fill="E1DFDD"/>
    </w:rPr>
  </w:style>
  <w:style w:type="character" w:styleId="CommentReference">
    <w:name w:val="annotation reference"/>
    <w:rsid w:val="00E81EE3"/>
    <w:rPr>
      <w:sz w:val="16"/>
      <w:szCs w:val="16"/>
    </w:rPr>
  </w:style>
  <w:style w:type="paragraph" w:styleId="CommentText">
    <w:name w:val="annotation text"/>
    <w:basedOn w:val="Normal"/>
    <w:link w:val="CommentTextChar"/>
    <w:rsid w:val="00E81EE3"/>
    <w:rPr>
      <w:sz w:val="20"/>
    </w:rPr>
  </w:style>
  <w:style w:type="character" w:customStyle="1" w:styleId="CommentTextChar">
    <w:name w:val="Comment Text Char"/>
    <w:link w:val="CommentText"/>
    <w:rsid w:val="00E81EE3"/>
    <w:rPr>
      <w:snapToGrid w:val="0"/>
      <w:kern w:val="28"/>
    </w:rPr>
  </w:style>
  <w:style w:type="paragraph" w:styleId="CommentSubject">
    <w:name w:val="annotation subject"/>
    <w:basedOn w:val="CommentText"/>
    <w:next w:val="CommentText"/>
    <w:link w:val="CommentSubjectChar"/>
    <w:rsid w:val="00E81EE3"/>
    <w:rPr>
      <w:b/>
      <w:bCs/>
    </w:rPr>
  </w:style>
  <w:style w:type="character" w:customStyle="1" w:styleId="CommentSubjectChar">
    <w:name w:val="Comment Subject Char"/>
    <w:link w:val="CommentSubject"/>
    <w:rsid w:val="00E81EE3"/>
    <w:rPr>
      <w:b/>
      <w:bCs/>
      <w:snapToGrid w:val="0"/>
      <w:kern w:val="28"/>
    </w:rPr>
  </w:style>
  <w:style w:type="table" w:styleId="TableGrid">
    <w:name w:val="Table Grid"/>
    <w:basedOn w:val="TableNormal"/>
    <w:rsid w:val="00FF2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3DA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umulusmedia.com/2024/02/27/cumulus-media-announces-exchange-offer-and-consent-solicitation-relating-to-6-750-senior-secured-first-lien-notes-due-2026/"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hristopher.clark\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