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901" w:rsidRPr="005C1A65" w:rsidP="006F2901" w14:paraId="76004994" w14:textId="2287994F">
      <w:pPr>
        <w:spacing w:after="0" w:line="240" w:lineRule="auto"/>
        <w:rPr>
          <w:rFonts w:ascii="Times New Roman" w:hAnsi="Times New Roman" w:cs="Times New Roman"/>
        </w:rPr>
      </w:pPr>
    </w:p>
    <w:p w:rsidR="000E4E16" w:rsidRPr="005C1A65" w:rsidP="00511023" w14:paraId="02752977" w14:textId="57C7EC67">
      <w:pPr>
        <w:spacing w:after="0"/>
        <w:jc w:val="right"/>
        <w:rPr>
          <w:rFonts w:ascii="Times New Roman" w:hAnsi="Times New Roman" w:cs="Times New Roman"/>
          <w:b/>
          <w:sz w:val="24"/>
          <w:szCs w:val="24"/>
        </w:rPr>
      </w:pPr>
      <w:r w:rsidRPr="005C1A65">
        <w:rPr>
          <w:rFonts w:ascii="Times New Roman" w:hAnsi="Times New Roman" w:cs="Times New Roman"/>
        </w:rPr>
        <w:t xml:space="preserve">                                                                                                                    </w:t>
      </w:r>
      <w:r w:rsidRPr="005C1A65" w:rsidR="00121A4A">
        <w:rPr>
          <w:rFonts w:ascii="Times New Roman" w:hAnsi="Times New Roman" w:cs="Times New Roman"/>
        </w:rPr>
        <w:tab/>
      </w:r>
      <w:r w:rsidRPr="005C1A65">
        <w:rPr>
          <w:rFonts w:ascii="Times New Roman" w:hAnsi="Times New Roman" w:cs="Times New Roman"/>
        </w:rPr>
        <w:t xml:space="preserve"> </w:t>
      </w:r>
      <w:r w:rsidRPr="005C1A65" w:rsidR="00F4281B">
        <w:rPr>
          <w:rFonts w:ascii="Times New Roman" w:hAnsi="Times New Roman" w:cs="Times New Roman"/>
        </w:rPr>
        <w:t xml:space="preserve">        </w:t>
      </w:r>
      <w:r w:rsidRPr="005C1A65" w:rsidR="00F4281B">
        <w:rPr>
          <w:rFonts w:ascii="Times New Roman" w:hAnsi="Times New Roman" w:cs="Times New Roman"/>
          <w:sz w:val="24"/>
          <w:szCs w:val="24"/>
        </w:rPr>
        <w:t xml:space="preserve"> </w:t>
      </w:r>
      <w:r w:rsidRPr="004478EE">
        <w:rPr>
          <w:rFonts w:ascii="Times New Roman" w:hAnsi="Times New Roman" w:cs="Times New Roman"/>
          <w:b/>
          <w:sz w:val="24"/>
          <w:szCs w:val="24"/>
        </w:rPr>
        <w:t xml:space="preserve">DA </w:t>
      </w:r>
      <w:r w:rsidRPr="004478EE" w:rsidR="009D74D3">
        <w:rPr>
          <w:rFonts w:ascii="Times New Roman" w:hAnsi="Times New Roman" w:cs="Times New Roman"/>
          <w:b/>
          <w:sz w:val="24"/>
          <w:szCs w:val="24"/>
        </w:rPr>
        <w:t>2</w:t>
      </w:r>
      <w:r w:rsidR="00D4663E">
        <w:rPr>
          <w:rFonts w:ascii="Times New Roman" w:hAnsi="Times New Roman" w:cs="Times New Roman"/>
          <w:b/>
          <w:sz w:val="24"/>
          <w:szCs w:val="24"/>
        </w:rPr>
        <w:t>4</w:t>
      </w:r>
      <w:r w:rsidRPr="004478EE" w:rsidR="00F4281B">
        <w:rPr>
          <w:rFonts w:ascii="Times New Roman" w:hAnsi="Times New Roman" w:cs="Times New Roman"/>
          <w:b/>
          <w:sz w:val="24"/>
          <w:szCs w:val="24"/>
        </w:rPr>
        <w:t>-</w:t>
      </w:r>
      <w:r w:rsidR="00F16D3B">
        <w:rPr>
          <w:rFonts w:ascii="Times New Roman" w:hAnsi="Times New Roman" w:cs="Times New Roman"/>
          <w:b/>
          <w:sz w:val="24"/>
          <w:szCs w:val="24"/>
        </w:rPr>
        <w:t>406</w:t>
      </w:r>
    </w:p>
    <w:p w:rsidR="008256B5" w:rsidRPr="005C1A65" w:rsidP="008256B5" w14:paraId="3FEB6206" w14:textId="77777777">
      <w:pPr>
        <w:spacing w:after="0"/>
        <w:rPr>
          <w:rFonts w:ascii="Times New Roman" w:hAnsi="Times New Roman" w:cs="Times New Roman"/>
          <w:sz w:val="24"/>
          <w:szCs w:val="24"/>
        </w:rPr>
      </w:pPr>
    </w:p>
    <w:p w:rsidR="000E4E16" w:rsidRPr="004478EE" w:rsidP="008256B5" w14:paraId="02B71EAA" w14:textId="2A134283">
      <w:pPr>
        <w:spacing w:after="0"/>
        <w:jc w:val="center"/>
        <w:rPr>
          <w:rFonts w:ascii="Times New Roman" w:hAnsi="Times New Roman" w:cs="Times New Roman"/>
          <w:b/>
        </w:rPr>
      </w:pPr>
      <w:r w:rsidRPr="004478EE">
        <w:rPr>
          <w:rFonts w:ascii="Times New Roman" w:hAnsi="Times New Roman" w:cs="Times New Roman"/>
          <w:b/>
          <w:sz w:val="28"/>
          <w:szCs w:val="28"/>
        </w:rPr>
        <w:t>SMALL ENTITY COMPLIANCE GUIDE</w:t>
      </w:r>
    </w:p>
    <w:p w:rsidR="008256B5" w:rsidRPr="004478EE" w:rsidP="008256B5" w14:paraId="0D3AD490" w14:textId="77777777">
      <w:pPr>
        <w:spacing w:after="0"/>
        <w:ind w:hanging="90"/>
        <w:rPr>
          <w:rFonts w:ascii="Times New Roman" w:hAnsi="Times New Roman" w:cs="Times New Roman"/>
          <w:b/>
        </w:rPr>
      </w:pPr>
    </w:p>
    <w:p w:rsidR="00F87392" w:rsidRPr="004478EE" w:rsidP="008256B5" w14:paraId="089E200F" w14:textId="5308109D">
      <w:pPr>
        <w:spacing w:after="0"/>
        <w:ind w:hanging="90"/>
        <w:jc w:val="center"/>
        <w:rPr>
          <w:rFonts w:ascii="Times New Roman" w:hAnsi="Times New Roman" w:cs="Times New Roman"/>
          <w:b/>
        </w:rPr>
      </w:pPr>
      <w:bookmarkStart w:id="0" w:name="_Hlk133824600"/>
      <w:r w:rsidRPr="004478EE">
        <w:rPr>
          <w:rFonts w:ascii="Times New Roman" w:hAnsi="Times New Roman" w:cs="Times New Roman"/>
          <w:b/>
        </w:rPr>
        <w:t>A</w:t>
      </w:r>
      <w:r w:rsidRPr="004478EE" w:rsidR="006F2901">
        <w:rPr>
          <w:rFonts w:ascii="Times New Roman" w:hAnsi="Times New Roman" w:cs="Times New Roman"/>
          <w:b/>
        </w:rPr>
        <w:t xml:space="preserve">mendment of </w:t>
      </w:r>
      <w:r w:rsidRPr="004478EE" w:rsidR="009D74D3">
        <w:rPr>
          <w:rFonts w:ascii="Times New Roman" w:hAnsi="Times New Roman" w:cs="Times New Roman"/>
          <w:b/>
        </w:rPr>
        <w:t>Part 7</w:t>
      </w:r>
      <w:r w:rsidRPr="004478EE" w:rsidR="00177E28">
        <w:rPr>
          <w:rFonts w:ascii="Times New Roman" w:hAnsi="Times New Roman" w:cs="Times New Roman"/>
          <w:b/>
        </w:rPr>
        <w:t>3</w:t>
      </w:r>
      <w:r w:rsidRPr="004478EE" w:rsidR="009D74D3">
        <w:rPr>
          <w:rFonts w:ascii="Times New Roman" w:hAnsi="Times New Roman" w:cs="Times New Roman"/>
          <w:b/>
        </w:rPr>
        <w:t xml:space="preserve"> of </w:t>
      </w:r>
      <w:r w:rsidRPr="004478EE" w:rsidR="006F2901">
        <w:rPr>
          <w:rFonts w:ascii="Times New Roman" w:hAnsi="Times New Roman" w:cs="Times New Roman"/>
          <w:b/>
        </w:rPr>
        <w:t xml:space="preserve">the Commission’s Rules </w:t>
      </w:r>
      <w:r w:rsidRPr="004478EE" w:rsidR="009D74D3">
        <w:rPr>
          <w:rFonts w:ascii="Times New Roman" w:hAnsi="Times New Roman" w:cs="Times New Roman"/>
          <w:b/>
        </w:rPr>
        <w:t>Related to</w:t>
      </w:r>
      <w:r w:rsidRPr="004478EE" w:rsidR="008256B5">
        <w:rPr>
          <w:rFonts w:ascii="Times New Roman" w:hAnsi="Times New Roman" w:cs="Times New Roman"/>
          <w:b/>
        </w:rPr>
        <w:t xml:space="preserve"> </w:t>
      </w:r>
    </w:p>
    <w:p w:rsidR="008256B5" w:rsidP="008256B5" w14:paraId="547E4325" w14:textId="020AFEC8">
      <w:pPr>
        <w:spacing w:after="0"/>
        <w:ind w:hanging="90"/>
        <w:jc w:val="center"/>
        <w:rPr>
          <w:rFonts w:ascii="Times New Roman" w:hAnsi="Times New Roman" w:cs="Times New Roman"/>
          <w:b/>
        </w:rPr>
      </w:pPr>
      <w:r w:rsidRPr="004478EE">
        <w:rPr>
          <w:rFonts w:ascii="Times New Roman" w:hAnsi="Times New Roman" w:cs="Times New Roman"/>
          <w:b/>
        </w:rPr>
        <w:t>Full</w:t>
      </w:r>
      <w:r w:rsidRPr="004478EE" w:rsidR="00F46B49">
        <w:rPr>
          <w:rFonts w:ascii="Times New Roman" w:hAnsi="Times New Roman" w:cs="Times New Roman"/>
          <w:b/>
        </w:rPr>
        <w:t xml:space="preserve"> Power Television and </w:t>
      </w:r>
      <w:r w:rsidRPr="004478EE">
        <w:rPr>
          <w:rFonts w:ascii="Times New Roman" w:hAnsi="Times New Roman" w:cs="Times New Roman"/>
          <w:b/>
        </w:rPr>
        <w:t>Class A</w:t>
      </w:r>
      <w:r w:rsidRPr="004478EE" w:rsidR="00F46B49">
        <w:rPr>
          <w:rFonts w:ascii="Times New Roman" w:hAnsi="Times New Roman" w:cs="Times New Roman"/>
          <w:b/>
        </w:rPr>
        <w:t xml:space="preserve"> </w:t>
      </w:r>
      <w:r w:rsidRPr="004478EE">
        <w:rPr>
          <w:rFonts w:ascii="Times New Roman" w:hAnsi="Times New Roman" w:cs="Times New Roman"/>
          <w:b/>
        </w:rPr>
        <w:t>Television</w:t>
      </w:r>
      <w:r w:rsidRPr="004478EE" w:rsidR="00F46B49">
        <w:rPr>
          <w:rFonts w:ascii="Times New Roman" w:hAnsi="Times New Roman" w:cs="Times New Roman"/>
          <w:b/>
        </w:rPr>
        <w:t xml:space="preserve"> Stations</w:t>
      </w:r>
      <w:bookmarkEnd w:id="0"/>
    </w:p>
    <w:p w:rsidR="00DD1058" w:rsidRPr="004478EE" w:rsidP="008256B5" w14:paraId="78188C9C" w14:textId="77777777">
      <w:pPr>
        <w:spacing w:after="0"/>
        <w:ind w:hanging="90"/>
        <w:jc w:val="center"/>
        <w:rPr>
          <w:rFonts w:ascii="Times New Roman" w:hAnsi="Times New Roman" w:cs="Times New Roman"/>
          <w:b/>
        </w:rPr>
      </w:pPr>
    </w:p>
    <w:p w:rsidR="008256B5" w:rsidRPr="005C1A65" w:rsidP="008256B5" w14:paraId="2CC1788B" w14:textId="3BA6A615">
      <w:pPr>
        <w:spacing w:after="0"/>
        <w:ind w:hanging="90"/>
        <w:jc w:val="center"/>
        <w:rPr>
          <w:rFonts w:ascii="Times New Roman" w:hAnsi="Times New Roman" w:cs="Times New Roman"/>
          <w:b/>
        </w:rPr>
      </w:pPr>
      <w:bookmarkStart w:id="1" w:name="_Hlk133824887"/>
      <w:r w:rsidRPr="004478EE">
        <w:rPr>
          <w:rFonts w:ascii="Times New Roman" w:hAnsi="Times New Roman" w:cs="Times New Roman"/>
          <w:b/>
        </w:rPr>
        <w:t xml:space="preserve">FCC </w:t>
      </w:r>
      <w:r w:rsidRPr="004478EE" w:rsidR="009D74D3">
        <w:rPr>
          <w:rFonts w:ascii="Times New Roman" w:hAnsi="Times New Roman" w:cs="Times New Roman"/>
          <w:b/>
        </w:rPr>
        <w:t>23</w:t>
      </w:r>
      <w:r w:rsidRPr="004478EE" w:rsidR="00C37AC8">
        <w:rPr>
          <w:rFonts w:ascii="Times New Roman" w:hAnsi="Times New Roman" w:cs="Times New Roman"/>
          <w:b/>
        </w:rPr>
        <w:t>-</w:t>
      </w:r>
      <w:r w:rsidR="00F76963">
        <w:rPr>
          <w:rFonts w:ascii="Times New Roman" w:hAnsi="Times New Roman" w:cs="Times New Roman"/>
          <w:b/>
        </w:rPr>
        <w:t>72</w:t>
      </w:r>
    </w:p>
    <w:p w:rsidR="008256B5" w:rsidRPr="004478EE" w:rsidP="008256B5" w14:paraId="5C9BCDCA" w14:textId="27B0C7FB">
      <w:pPr>
        <w:spacing w:after="0"/>
        <w:ind w:hanging="90"/>
        <w:jc w:val="center"/>
        <w:rPr>
          <w:rFonts w:ascii="Times New Roman" w:hAnsi="Times New Roman" w:cs="Times New Roman"/>
          <w:b/>
        </w:rPr>
      </w:pPr>
      <w:r w:rsidRPr="004478EE">
        <w:rPr>
          <w:rFonts w:ascii="Times New Roman" w:hAnsi="Times New Roman" w:cs="Times New Roman"/>
          <w:b/>
        </w:rPr>
        <w:t>MB</w:t>
      </w:r>
      <w:r w:rsidRPr="004478EE" w:rsidR="00C37AC8">
        <w:rPr>
          <w:rFonts w:ascii="Times New Roman" w:hAnsi="Times New Roman" w:cs="Times New Roman"/>
          <w:b/>
        </w:rPr>
        <w:t xml:space="preserve"> Docket No</w:t>
      </w:r>
      <w:r w:rsidRPr="004478EE">
        <w:rPr>
          <w:rFonts w:ascii="Times New Roman" w:hAnsi="Times New Roman" w:cs="Times New Roman"/>
          <w:b/>
        </w:rPr>
        <w:t>s</w:t>
      </w:r>
      <w:r w:rsidR="00F16D3B">
        <w:rPr>
          <w:rFonts w:ascii="Times New Roman" w:hAnsi="Times New Roman" w:cs="Times New Roman"/>
          <w:b/>
        </w:rPr>
        <w:t>40</w:t>
      </w:r>
      <w:r w:rsidRPr="004478EE" w:rsidR="00C37AC8">
        <w:rPr>
          <w:rFonts w:ascii="Times New Roman" w:hAnsi="Times New Roman" w:cs="Times New Roman"/>
          <w:b/>
        </w:rPr>
        <w:t xml:space="preserve">. </w:t>
      </w:r>
      <w:r w:rsidRPr="004478EE" w:rsidR="00177E28">
        <w:rPr>
          <w:rFonts w:ascii="Times New Roman" w:hAnsi="Times New Roman" w:cs="Times New Roman"/>
          <w:b/>
        </w:rPr>
        <w:t>22</w:t>
      </w:r>
      <w:r w:rsidRPr="004478EE">
        <w:rPr>
          <w:rFonts w:ascii="Times New Roman" w:hAnsi="Times New Roman" w:cs="Times New Roman"/>
          <w:b/>
        </w:rPr>
        <w:t>-</w:t>
      </w:r>
      <w:r w:rsidRPr="004478EE" w:rsidR="00177E28">
        <w:rPr>
          <w:rFonts w:ascii="Times New Roman" w:hAnsi="Times New Roman" w:cs="Times New Roman"/>
          <w:b/>
        </w:rPr>
        <w:t>227</w:t>
      </w:r>
      <w:r w:rsidRPr="004478EE">
        <w:rPr>
          <w:rFonts w:ascii="Times New Roman" w:hAnsi="Times New Roman" w:cs="Times New Roman"/>
          <w:b/>
        </w:rPr>
        <w:t xml:space="preserve"> </w:t>
      </w:r>
      <w:bookmarkEnd w:id="1"/>
    </w:p>
    <w:p w:rsidR="006F2901" w:rsidRPr="005C1A65" w:rsidP="008256B5" w14:paraId="2FE15FB2" w14:textId="1D58D2F9">
      <w:pPr>
        <w:spacing w:after="0"/>
        <w:ind w:hanging="90"/>
        <w:jc w:val="center"/>
        <w:rPr>
          <w:rFonts w:ascii="Times New Roman" w:hAnsi="Times New Roman" w:cs="Times New Roman"/>
          <w:b/>
        </w:rPr>
      </w:pPr>
      <w:r>
        <w:rPr>
          <w:rFonts w:ascii="Times New Roman" w:hAnsi="Times New Roman" w:cs="Times New Roman"/>
          <w:b/>
        </w:rPr>
        <w:t xml:space="preserve">Released </w:t>
      </w:r>
      <w:r w:rsidRPr="004478EE" w:rsidR="00177E28">
        <w:rPr>
          <w:rFonts w:ascii="Times New Roman" w:hAnsi="Times New Roman" w:cs="Times New Roman"/>
          <w:b/>
        </w:rPr>
        <w:t>September</w:t>
      </w:r>
      <w:r w:rsidR="004F7F37">
        <w:rPr>
          <w:rFonts w:ascii="Times New Roman" w:hAnsi="Times New Roman" w:cs="Times New Roman"/>
          <w:b/>
        </w:rPr>
        <w:t xml:space="preserve"> </w:t>
      </w:r>
      <w:r w:rsidR="006B5E57">
        <w:rPr>
          <w:rFonts w:ascii="Times New Roman" w:hAnsi="Times New Roman" w:cs="Times New Roman"/>
          <w:b/>
        </w:rPr>
        <w:t>18</w:t>
      </w:r>
      <w:r w:rsidRPr="005C1A65" w:rsidR="00C37AC8">
        <w:rPr>
          <w:rFonts w:ascii="Times New Roman" w:hAnsi="Times New Roman" w:cs="Times New Roman"/>
          <w:b/>
        </w:rPr>
        <w:t xml:space="preserve">, </w:t>
      </w:r>
      <w:r w:rsidRPr="004478EE" w:rsidR="00C37AC8">
        <w:rPr>
          <w:rFonts w:ascii="Times New Roman" w:hAnsi="Times New Roman" w:cs="Times New Roman"/>
          <w:b/>
        </w:rPr>
        <w:t>20</w:t>
      </w:r>
      <w:r w:rsidRPr="004478EE" w:rsidR="009D74D3">
        <w:rPr>
          <w:rFonts w:ascii="Times New Roman" w:hAnsi="Times New Roman" w:cs="Times New Roman"/>
          <w:b/>
        </w:rPr>
        <w:t>23</w:t>
      </w:r>
      <w:r w:rsidRPr="005C1A65" w:rsidR="00A159FF">
        <w:rPr>
          <w:rFonts w:ascii="Times New Roman" w:hAnsi="Times New Roman" w:cs="Times New Roman"/>
          <w:b/>
        </w:rPr>
        <w:t xml:space="preserve"> </w:t>
      </w:r>
    </w:p>
    <w:p w:rsidR="000E4E16" w:rsidRPr="005C1A65" w:rsidP="000E4E16" w14:paraId="7420EAC8" w14:textId="77777777">
      <w:pPr>
        <w:spacing w:after="0"/>
        <w:rPr>
          <w:rFonts w:ascii="Times New Roman" w:hAnsi="Times New Roman" w:cs="Times New Roman"/>
        </w:rPr>
      </w:pPr>
    </w:p>
    <w:p w:rsidR="006F2901" w:rsidRPr="004478EE" w:rsidP="003950F5" w14:paraId="25270ABA" w14:textId="3CF64997">
      <w:pPr>
        <w:spacing w:after="0"/>
        <w:ind w:left="446"/>
        <w:jc w:val="both"/>
        <w:rPr>
          <w:rFonts w:ascii="Times New Roman" w:hAnsi="Times New Roman" w:cs="Times New Roman"/>
          <w:bCs/>
        </w:rPr>
      </w:pPr>
      <w:r>
        <w:rPr>
          <w:rFonts w:ascii="Times New Roman" w:hAnsi="Times New Roman" w:cs="Times New Roman"/>
          <w:bCs/>
        </w:rPr>
        <w:t>I</w:t>
      </w:r>
      <w:r w:rsidRPr="004478EE" w:rsidR="00F46B49">
        <w:rPr>
          <w:rFonts w:ascii="Times New Roman" w:hAnsi="Times New Roman" w:cs="Times New Roman"/>
          <w:bCs/>
        </w:rPr>
        <w:t>n accordance with Section 212 of the Small Business Regulatory Enforcement Fairness Act of 1996</w:t>
      </w:r>
      <w:r>
        <w:rPr>
          <w:rFonts w:ascii="Times New Roman" w:hAnsi="Times New Roman" w:cs="Times New Roman"/>
          <w:bCs/>
        </w:rPr>
        <w:t xml:space="preserve">, this </w:t>
      </w:r>
      <w:r w:rsidR="00E46ECC">
        <w:rPr>
          <w:rFonts w:ascii="Times New Roman" w:hAnsi="Times New Roman" w:cs="Times New Roman"/>
          <w:bCs/>
        </w:rPr>
        <w:t xml:space="preserve">Small Entity Compliance </w:t>
      </w:r>
      <w:r>
        <w:rPr>
          <w:rFonts w:ascii="Times New Roman" w:hAnsi="Times New Roman" w:cs="Times New Roman"/>
          <w:bCs/>
        </w:rPr>
        <w:t>Guide</w:t>
      </w:r>
      <w:r w:rsidR="00E46ECC">
        <w:rPr>
          <w:rFonts w:ascii="Times New Roman" w:hAnsi="Times New Roman" w:cs="Times New Roman"/>
          <w:bCs/>
        </w:rPr>
        <w:t xml:space="preserve"> (Guide)</w:t>
      </w:r>
      <w:r w:rsidRPr="004478EE" w:rsidR="00F46B49">
        <w:rPr>
          <w:rFonts w:ascii="Times New Roman" w:hAnsi="Times New Roman" w:cs="Times New Roman"/>
          <w:bCs/>
        </w:rPr>
        <w:t xml:space="preserve"> is intended to help small entities—small businesses, small organizations (non-profits), and small governmental jurisdictions—comply with the </w:t>
      </w:r>
      <w:r w:rsidRPr="004478EE" w:rsidR="00C47CEF">
        <w:rPr>
          <w:rFonts w:ascii="Times New Roman" w:hAnsi="Times New Roman" w:cs="Times New Roman"/>
          <w:bCs/>
        </w:rPr>
        <w:t xml:space="preserve">revised </w:t>
      </w:r>
      <w:r w:rsidRPr="004478EE" w:rsidR="00F46B49">
        <w:rPr>
          <w:rFonts w:ascii="Times New Roman" w:hAnsi="Times New Roman" w:cs="Times New Roman"/>
          <w:bCs/>
        </w:rPr>
        <w:t xml:space="preserve">rules adopted in the above-referenced </w:t>
      </w:r>
      <w:r w:rsidRPr="004478EE" w:rsidR="00C47CEF">
        <w:rPr>
          <w:rFonts w:ascii="Times New Roman" w:hAnsi="Times New Roman" w:cs="Times New Roman"/>
          <w:bCs/>
        </w:rPr>
        <w:t>Federal Communications Commission (</w:t>
      </w:r>
      <w:r w:rsidRPr="004478EE" w:rsidR="00F46B49">
        <w:rPr>
          <w:rFonts w:ascii="Times New Roman" w:hAnsi="Times New Roman" w:cs="Times New Roman"/>
          <w:bCs/>
        </w:rPr>
        <w:t>FCC</w:t>
      </w:r>
      <w:r w:rsidRPr="004478EE" w:rsidR="00C47CEF">
        <w:rPr>
          <w:rFonts w:ascii="Times New Roman" w:hAnsi="Times New Roman" w:cs="Times New Roman"/>
          <w:bCs/>
        </w:rPr>
        <w:t xml:space="preserve"> or Commission)</w:t>
      </w:r>
      <w:r w:rsidRPr="004478EE" w:rsidR="00F46B49">
        <w:rPr>
          <w:rFonts w:ascii="Times New Roman" w:hAnsi="Times New Roman" w:cs="Times New Roman"/>
          <w:bCs/>
        </w:rPr>
        <w:t xml:space="preserve"> rulemaking dockets.  This Guide is not intended to replace </w:t>
      </w:r>
      <w:r w:rsidRPr="004478EE" w:rsidR="00C47CEF">
        <w:rPr>
          <w:rFonts w:ascii="Times New Roman" w:hAnsi="Times New Roman" w:cs="Times New Roman"/>
          <w:bCs/>
        </w:rPr>
        <w:t xml:space="preserve">or supersede </w:t>
      </w:r>
      <w:r w:rsidRPr="004478EE" w:rsidR="00F46B49">
        <w:rPr>
          <w:rFonts w:ascii="Times New Roman" w:hAnsi="Times New Roman" w:cs="Times New Roman"/>
          <w:bCs/>
        </w:rPr>
        <w:t>the</w:t>
      </w:r>
      <w:r w:rsidRPr="004478EE" w:rsidR="00C47CEF">
        <w:rPr>
          <w:rFonts w:ascii="Times New Roman" w:hAnsi="Times New Roman" w:cs="Times New Roman"/>
          <w:bCs/>
        </w:rPr>
        <w:t>se</w:t>
      </w:r>
      <w:r w:rsidRPr="004478EE" w:rsidR="00F46B49">
        <w:rPr>
          <w:rFonts w:ascii="Times New Roman" w:hAnsi="Times New Roman" w:cs="Times New Roman"/>
          <w:bCs/>
        </w:rPr>
        <w:t xml:space="preserve"> rules</w:t>
      </w:r>
      <w:r w:rsidRPr="004478EE" w:rsidR="00C47CEF">
        <w:rPr>
          <w:rFonts w:ascii="Times New Roman" w:hAnsi="Times New Roman" w:cs="Times New Roman"/>
          <w:bCs/>
        </w:rPr>
        <w:t xml:space="preserve">, but to facilitate compliance with the rules. </w:t>
      </w:r>
      <w:r w:rsidRPr="004478EE" w:rsidR="00F46B49">
        <w:rPr>
          <w:rFonts w:ascii="Times New Roman" w:hAnsi="Times New Roman" w:cs="Times New Roman"/>
          <w:bCs/>
        </w:rPr>
        <w:t xml:space="preserve"> Although </w:t>
      </w:r>
      <w:r w:rsidRPr="004478EE" w:rsidR="00D31AF2">
        <w:rPr>
          <w:rFonts w:ascii="Times New Roman" w:hAnsi="Times New Roman" w:cs="Times New Roman"/>
          <w:bCs/>
        </w:rPr>
        <w:t xml:space="preserve">the Commission has </w:t>
      </w:r>
      <w:r w:rsidRPr="004478EE" w:rsidR="00F46B49">
        <w:rPr>
          <w:rFonts w:ascii="Times New Roman" w:hAnsi="Times New Roman" w:cs="Times New Roman"/>
          <w:bCs/>
        </w:rPr>
        <w:t xml:space="preserve">attempted to cover all parts of the rules that might be especially important to small entities, the coverage may not be exhaustive.  This Guide </w:t>
      </w:r>
      <w:r w:rsidRPr="004478EE" w:rsidR="00B629FE">
        <w:rPr>
          <w:rFonts w:ascii="Times New Roman" w:hAnsi="Times New Roman" w:cs="Times New Roman"/>
          <w:bCs/>
        </w:rPr>
        <w:t xml:space="preserve">cannot anticipate all situations in which the rules apply.  Furthermore, the Commission </w:t>
      </w:r>
      <w:r w:rsidRPr="004478EE" w:rsidR="00F46B49">
        <w:rPr>
          <w:rFonts w:ascii="Times New Roman" w:hAnsi="Times New Roman" w:cs="Times New Roman"/>
          <w:bCs/>
        </w:rPr>
        <w:t xml:space="preserve">retains the discretion to adopt </w:t>
      </w:r>
      <w:r w:rsidRPr="004478EE" w:rsidR="00B629FE">
        <w:rPr>
          <w:rFonts w:ascii="Times New Roman" w:hAnsi="Times New Roman" w:cs="Times New Roman"/>
          <w:bCs/>
        </w:rPr>
        <w:t xml:space="preserve">case-by-case </w:t>
      </w:r>
      <w:r w:rsidRPr="004478EE" w:rsidR="00F46B49">
        <w:rPr>
          <w:rFonts w:ascii="Times New Roman" w:hAnsi="Times New Roman" w:cs="Times New Roman"/>
          <w:bCs/>
        </w:rPr>
        <w:t>approaches</w:t>
      </w:r>
      <w:r w:rsidRPr="004478EE" w:rsidR="00B629FE">
        <w:rPr>
          <w:rFonts w:ascii="Times New Roman" w:hAnsi="Times New Roman" w:cs="Times New Roman"/>
          <w:bCs/>
        </w:rPr>
        <w:t>, where appropriate,</w:t>
      </w:r>
      <w:r w:rsidRPr="004478EE" w:rsidR="00F46B49">
        <w:rPr>
          <w:rFonts w:ascii="Times New Roman" w:hAnsi="Times New Roman" w:cs="Times New Roman"/>
          <w:bCs/>
        </w:rPr>
        <w:t xml:space="preserve"> that may differ from this Guide.  Any decision regarding a particular small entity will be based on the statute and</w:t>
      </w:r>
      <w:r w:rsidRPr="004478EE" w:rsidR="008E2841">
        <w:rPr>
          <w:rFonts w:ascii="Times New Roman" w:hAnsi="Times New Roman" w:cs="Times New Roman"/>
          <w:bCs/>
        </w:rPr>
        <w:t xml:space="preserve"> any relevant rules</w:t>
      </w:r>
      <w:r w:rsidRPr="004478EE" w:rsidR="00F46B49">
        <w:rPr>
          <w:rFonts w:ascii="Times New Roman" w:hAnsi="Times New Roman" w:cs="Times New Roman"/>
          <w:bCs/>
        </w:rPr>
        <w:t xml:space="preserve">. </w:t>
      </w:r>
    </w:p>
    <w:p w:rsidR="00DC47B8" w:rsidRPr="004478EE" w:rsidP="00627EF2" w14:paraId="197C1DCC" w14:textId="77777777">
      <w:pPr>
        <w:spacing w:after="0"/>
        <w:jc w:val="both"/>
        <w:rPr>
          <w:rFonts w:ascii="Times New Roman" w:hAnsi="Times New Roman" w:cs="Times New Roman"/>
          <w:bCs/>
        </w:rPr>
      </w:pPr>
    </w:p>
    <w:p w:rsidR="006F2901" w:rsidRPr="004478EE" w:rsidP="000D0B19" w14:paraId="65D355CA" w14:textId="42BE3D49">
      <w:pPr>
        <w:spacing w:after="0"/>
        <w:ind w:left="446"/>
        <w:jc w:val="both"/>
        <w:rPr>
          <w:rFonts w:ascii="Times New Roman" w:hAnsi="Times New Roman" w:cs="Times New Roman"/>
          <w:bCs/>
        </w:rPr>
      </w:pPr>
      <w:r w:rsidRPr="004478EE">
        <w:rPr>
          <w:rFonts w:ascii="Times New Roman" w:hAnsi="Times New Roman" w:cs="Times New Roman"/>
          <w:bCs/>
        </w:rPr>
        <w:t>In any civil or administrative action against a small entity for a violation of rules, the content of the Guide may be considered as evidence of the reasonableness or appropriateness of proposed fines, penalties or damages.  Interested parties are free to file comments regarding this Guide and the appropriateness of its application to a particular situation</w:t>
      </w:r>
      <w:r w:rsidRPr="004478EE" w:rsidR="00B47D0B">
        <w:rPr>
          <w:rFonts w:ascii="Times New Roman" w:hAnsi="Times New Roman" w:cs="Times New Roman"/>
          <w:bCs/>
        </w:rPr>
        <w:t xml:space="preserve">. </w:t>
      </w:r>
      <w:r w:rsidRPr="004478EE" w:rsidR="00736CEF">
        <w:rPr>
          <w:rFonts w:ascii="Times New Roman" w:hAnsi="Times New Roman" w:cs="Times New Roman"/>
          <w:bCs/>
        </w:rPr>
        <w:t xml:space="preserve"> </w:t>
      </w:r>
      <w:r w:rsidRPr="004478EE" w:rsidR="00B47D0B">
        <w:rPr>
          <w:rFonts w:ascii="Times New Roman" w:hAnsi="Times New Roman" w:cs="Times New Roman"/>
          <w:bCs/>
        </w:rPr>
        <w:t>T</w:t>
      </w:r>
      <w:r w:rsidRPr="004478EE">
        <w:rPr>
          <w:rFonts w:ascii="Times New Roman" w:hAnsi="Times New Roman" w:cs="Times New Roman"/>
          <w:bCs/>
        </w:rPr>
        <w:t xml:space="preserve">he FCC will </w:t>
      </w:r>
      <w:r w:rsidRPr="004478EE" w:rsidR="00FE30EB">
        <w:rPr>
          <w:rFonts w:ascii="Times New Roman" w:hAnsi="Times New Roman" w:cs="Times New Roman"/>
          <w:bCs/>
        </w:rPr>
        <w:t xml:space="preserve">then </w:t>
      </w:r>
      <w:r w:rsidRPr="004478EE">
        <w:rPr>
          <w:rFonts w:ascii="Times New Roman" w:hAnsi="Times New Roman" w:cs="Times New Roman"/>
          <w:bCs/>
        </w:rPr>
        <w:t xml:space="preserve">consider whether the recommendations or interpretations in the Guide are appropriate in that situation.  The FCC may decide to revise this Guide without public notice to reflect changes in the FCC’s approach to implementing a rule, or </w:t>
      </w:r>
      <w:r w:rsidRPr="004478EE" w:rsidR="00B47D0B">
        <w:rPr>
          <w:rFonts w:ascii="Times New Roman" w:hAnsi="Times New Roman" w:cs="Times New Roman"/>
          <w:bCs/>
        </w:rPr>
        <w:t>i</w:t>
      </w:r>
      <w:r w:rsidRPr="004478EE">
        <w:rPr>
          <w:rFonts w:ascii="Times New Roman" w:hAnsi="Times New Roman" w:cs="Times New Roman"/>
          <w:bCs/>
        </w:rPr>
        <w:t>t</w:t>
      </w:r>
      <w:r w:rsidRPr="004478EE" w:rsidR="00B47D0B">
        <w:rPr>
          <w:rFonts w:ascii="Times New Roman" w:hAnsi="Times New Roman" w:cs="Times New Roman"/>
          <w:bCs/>
        </w:rPr>
        <w:t xml:space="preserve"> may</w:t>
      </w:r>
      <w:r w:rsidRPr="004478EE">
        <w:rPr>
          <w:rFonts w:ascii="Times New Roman" w:hAnsi="Times New Roman" w:cs="Times New Roman"/>
          <w:bCs/>
        </w:rPr>
        <w:t xml:space="preserve"> clarify or update the text of the Guide.  Direct your comments and recommendations, or calls for further assistance, to the FCC’s Consumer Center:</w:t>
      </w:r>
      <w:r w:rsidRPr="004478EE" w:rsidR="00A8692F">
        <w:rPr>
          <w:rFonts w:ascii="Times New Roman" w:hAnsi="Times New Roman" w:cs="Times New Roman"/>
          <w:bCs/>
        </w:rPr>
        <w:t xml:space="preserve"> </w:t>
      </w:r>
    </w:p>
    <w:p w:rsidR="000E4E16" w:rsidRPr="004478EE" w:rsidP="000E4E16" w14:paraId="44F9D184" w14:textId="77777777">
      <w:pPr>
        <w:pStyle w:val="ListParagraph"/>
        <w:ind w:left="1080"/>
        <w:rPr>
          <w:rFonts w:ascii="Times New Roman" w:hAnsi="Times New Roman" w:cs="Times New Roman"/>
          <w:b/>
        </w:rPr>
      </w:pPr>
    </w:p>
    <w:p w:rsidR="0095132F" w:rsidRPr="004478EE" w:rsidP="000E4E00" w14:paraId="4A1DEB02" w14:textId="646DC9EB">
      <w:pPr>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4478EE">
        <w:rPr>
          <w:rFonts w:ascii="Times New Roman" w:hAnsi="Times New Roman" w:cs="Times New Roman"/>
          <w:b/>
        </w:rPr>
        <w:t>1-888-CALL-FCC (1-888-225-5322)</w:t>
      </w:r>
      <w:r w:rsidRPr="004478EE" w:rsidR="000E4E00">
        <w:rPr>
          <w:rFonts w:ascii="Times New Roman" w:hAnsi="Times New Roman" w:cs="Times New Roman"/>
          <w:b/>
        </w:rPr>
        <w:br/>
      </w:r>
      <w:r w:rsidRPr="004478EE" w:rsidR="00B47D0B">
        <w:rPr>
          <w:rFonts w:ascii="Times New Roman" w:hAnsi="Times New Roman" w:cs="Times New Roman"/>
          <w:b/>
        </w:rPr>
        <w:t>Videophone: 1-844-4-FCC-ASL (1-844-432-2275)</w:t>
      </w:r>
      <w:r w:rsidRPr="004478EE" w:rsidR="000E4E00">
        <w:rPr>
          <w:rFonts w:ascii="Times New Roman" w:hAnsi="Times New Roman" w:cs="Times New Roman"/>
          <w:b/>
        </w:rPr>
        <w:br/>
      </w:r>
      <w:r w:rsidRPr="004478EE">
        <w:rPr>
          <w:rFonts w:ascii="Times New Roman" w:hAnsi="Times New Roman" w:cs="Times New Roman"/>
          <w:b/>
        </w:rPr>
        <w:t>Fax: 1-866-418-0232</w:t>
      </w:r>
    </w:p>
    <w:p w:rsidR="00CD624E" w:rsidRPr="004478EE" w:rsidP="00CD624E" w14:paraId="25301E88" w14:textId="77777777">
      <w:pPr>
        <w:jc w:val="center"/>
        <w:rPr>
          <w:rFonts w:ascii="Times New Roman" w:hAnsi="Times New Roman" w:cs="Times New Roman"/>
          <w:b/>
          <w:u w:val="single"/>
        </w:rPr>
      </w:pPr>
      <w:r w:rsidRPr="004478EE">
        <w:rPr>
          <w:rFonts w:ascii="Times New Roman" w:hAnsi="Times New Roman" w:cs="Times New Roman"/>
          <w:b/>
          <w:u w:val="single"/>
        </w:rPr>
        <w:t>TABLE OF CONTENTS</w:t>
      </w:r>
    </w:p>
    <w:p w:rsidR="00CD624E" w:rsidRPr="004478EE" w:rsidP="00CD624E" w14:paraId="0B3562B8" w14:textId="77777777">
      <w:pPr>
        <w:rPr>
          <w:rFonts w:ascii="Times New Roman" w:hAnsi="Times New Roman" w:cs="Times New Roman"/>
        </w:rPr>
      </w:pPr>
    </w:p>
    <w:p w:rsidR="00CD624E" w:rsidRPr="004478EE" w:rsidP="00A83CAA" w14:paraId="1A18EB69" w14:textId="3B3C9B4E">
      <w:pPr>
        <w:tabs>
          <w:tab w:val="right" w:leader="dot" w:pos="8640"/>
        </w:tabs>
        <w:spacing w:after="0"/>
        <w:rPr>
          <w:rFonts w:ascii="Times New Roman" w:hAnsi="Times New Roman" w:cs="Times New Roman"/>
          <w:bCs/>
        </w:rPr>
      </w:pPr>
      <w:r w:rsidRPr="004478EE">
        <w:rPr>
          <w:rFonts w:ascii="Times New Roman" w:hAnsi="Times New Roman" w:cs="Times New Roman"/>
          <w:bCs/>
        </w:rPr>
        <w:t xml:space="preserve">I.          OBJECTIVES OF THE PROCEEDING </w:t>
      </w:r>
      <w:r w:rsidRPr="004478EE">
        <w:rPr>
          <w:rFonts w:ascii="Times New Roman" w:hAnsi="Times New Roman" w:cs="Times New Roman"/>
          <w:bCs/>
        </w:rPr>
        <w:tab/>
      </w:r>
      <w:r w:rsidRPr="004478EE" w:rsidR="00071E6A">
        <w:rPr>
          <w:rFonts w:ascii="Times New Roman" w:hAnsi="Times New Roman" w:cs="Times New Roman"/>
          <w:bCs/>
        </w:rPr>
        <w:t>1</w:t>
      </w:r>
    </w:p>
    <w:p w:rsidR="00CD624E" w:rsidRPr="004478EE" w:rsidP="00A83CAA" w14:paraId="490BE852" w14:textId="3EC30B58">
      <w:pPr>
        <w:tabs>
          <w:tab w:val="right" w:leader="dot" w:pos="8640"/>
        </w:tabs>
        <w:spacing w:after="0"/>
        <w:rPr>
          <w:rFonts w:ascii="Times New Roman" w:hAnsi="Times New Roman" w:cs="Times New Roman"/>
          <w:bCs/>
        </w:rPr>
      </w:pPr>
      <w:r w:rsidRPr="004478EE">
        <w:rPr>
          <w:rFonts w:ascii="Times New Roman" w:hAnsi="Times New Roman" w:cs="Times New Roman"/>
          <w:bCs/>
        </w:rPr>
        <w:t xml:space="preserve">II.         COMPLIANCE REQUIREMENTS </w:t>
      </w:r>
      <w:r w:rsidRPr="004478EE">
        <w:rPr>
          <w:rFonts w:ascii="Times New Roman" w:hAnsi="Times New Roman" w:cs="Times New Roman"/>
          <w:bCs/>
        </w:rPr>
        <w:tab/>
      </w:r>
      <w:r w:rsidRPr="004478EE" w:rsidR="00A5047F">
        <w:rPr>
          <w:rFonts w:ascii="Times New Roman" w:hAnsi="Times New Roman" w:cs="Times New Roman"/>
          <w:bCs/>
        </w:rPr>
        <w:t>1</w:t>
      </w:r>
    </w:p>
    <w:p w:rsidR="00BB6722" w:rsidRPr="004478EE" w:rsidP="00BB6722" w14:paraId="1AADA333" w14:textId="1924F4FD">
      <w:pPr>
        <w:pStyle w:val="ListParagraph"/>
        <w:numPr>
          <w:ilvl w:val="0"/>
          <w:numId w:val="25"/>
        </w:numPr>
        <w:tabs>
          <w:tab w:val="right" w:leader="dot" w:pos="8640"/>
        </w:tabs>
        <w:rPr>
          <w:rFonts w:ascii="Times New Roman" w:hAnsi="Times New Roman" w:cs="Times New Roman"/>
          <w:bCs/>
        </w:rPr>
      </w:pPr>
      <w:r w:rsidRPr="004478EE">
        <w:rPr>
          <w:rFonts w:ascii="Times New Roman" w:hAnsi="Times New Roman" w:cs="Times New Roman"/>
          <w:bCs/>
          <w:iCs/>
        </w:rPr>
        <w:t xml:space="preserve">Clarifications Made as Part of the </w:t>
      </w:r>
      <w:r w:rsidRPr="004478EE" w:rsidR="00721821">
        <w:rPr>
          <w:rFonts w:ascii="Times New Roman" w:hAnsi="Times New Roman" w:cs="Times New Roman"/>
          <w:bCs/>
          <w:iCs/>
        </w:rPr>
        <w:t xml:space="preserve">Reorganization of the Commission’s Broadcast </w:t>
      </w:r>
      <w:r w:rsidRPr="004478EE">
        <w:rPr>
          <w:rFonts w:ascii="Times New Roman" w:hAnsi="Times New Roman" w:cs="Times New Roman"/>
          <w:bCs/>
          <w:iCs/>
        </w:rPr>
        <w:t xml:space="preserve">    </w:t>
      </w:r>
      <w:r w:rsidRPr="004478EE" w:rsidR="00721821">
        <w:rPr>
          <w:rFonts w:ascii="Times New Roman" w:hAnsi="Times New Roman" w:cs="Times New Roman"/>
          <w:bCs/>
          <w:iCs/>
        </w:rPr>
        <w:t>Television Rules</w:t>
      </w:r>
      <w:r w:rsidRPr="004478EE" w:rsidR="00F46B49">
        <w:rPr>
          <w:rFonts w:ascii="Times New Roman" w:hAnsi="Times New Roman" w:cs="Times New Roman"/>
          <w:bCs/>
        </w:rPr>
        <w:tab/>
      </w:r>
      <w:r w:rsidRPr="004478EE" w:rsidR="00A5047F">
        <w:rPr>
          <w:rFonts w:ascii="Times New Roman" w:hAnsi="Times New Roman" w:cs="Times New Roman"/>
          <w:bCs/>
        </w:rPr>
        <w:t>1</w:t>
      </w:r>
    </w:p>
    <w:p w:rsidR="00BB6722" w:rsidRPr="004478EE" w:rsidP="00A83CAA" w14:paraId="70B783BE" w14:textId="55554A71">
      <w:pPr>
        <w:pStyle w:val="ListParagraph"/>
        <w:numPr>
          <w:ilvl w:val="0"/>
          <w:numId w:val="25"/>
        </w:numPr>
        <w:tabs>
          <w:tab w:val="right" w:leader="dot" w:pos="8640"/>
        </w:tabs>
        <w:spacing w:before="160"/>
        <w:rPr>
          <w:rFonts w:ascii="Times New Roman" w:hAnsi="Times New Roman" w:cs="Times New Roman"/>
          <w:bCs/>
        </w:rPr>
      </w:pPr>
      <w:r w:rsidRPr="004478EE">
        <w:rPr>
          <w:rFonts w:ascii="Times New Roman" w:hAnsi="Times New Roman" w:cs="Times New Roman"/>
          <w:bCs/>
          <w:iCs/>
        </w:rPr>
        <w:t>Protection of Land Mobile Radio Service</w:t>
      </w:r>
      <w:r w:rsidRPr="004478EE">
        <w:rPr>
          <w:rFonts w:ascii="Times New Roman" w:hAnsi="Times New Roman" w:cs="Times New Roman"/>
          <w:bCs/>
        </w:rPr>
        <w:tab/>
      </w:r>
      <w:r w:rsidR="00142DAF">
        <w:rPr>
          <w:rFonts w:ascii="Times New Roman" w:hAnsi="Times New Roman" w:cs="Times New Roman"/>
          <w:bCs/>
        </w:rPr>
        <w:t>3</w:t>
      </w:r>
    </w:p>
    <w:p w:rsidR="00BB6722" w:rsidRPr="004478EE" w:rsidP="00BB6722" w14:paraId="35682CD1" w14:textId="5439CBC5">
      <w:pPr>
        <w:pStyle w:val="ListParagraph"/>
        <w:numPr>
          <w:ilvl w:val="0"/>
          <w:numId w:val="25"/>
        </w:numPr>
        <w:tabs>
          <w:tab w:val="right" w:leader="dot" w:pos="8640"/>
        </w:tabs>
        <w:rPr>
          <w:rFonts w:ascii="Times New Roman" w:hAnsi="Times New Roman" w:cs="Times New Roman"/>
        </w:rPr>
      </w:pPr>
      <w:r w:rsidRPr="004478EE">
        <w:rPr>
          <w:rFonts w:ascii="Times New Roman" w:hAnsi="Times New Roman" w:cs="Times New Roman"/>
          <w:bCs/>
        </w:rPr>
        <w:t>Technical Modification</w:t>
      </w:r>
      <w:r w:rsidRPr="004478EE" w:rsidR="00C3078D">
        <w:rPr>
          <w:rFonts w:ascii="Times New Roman" w:hAnsi="Times New Roman" w:cs="Times New Roman"/>
          <w:bCs/>
        </w:rPr>
        <w:t>s</w:t>
      </w:r>
      <w:r w:rsidRPr="004478EE" w:rsidR="00F46B49">
        <w:rPr>
          <w:rFonts w:ascii="Times New Roman" w:hAnsi="Times New Roman" w:cs="Times New Roman"/>
          <w:bCs/>
        </w:rPr>
        <w:tab/>
      </w:r>
      <w:r w:rsidR="00142DAF">
        <w:rPr>
          <w:rFonts w:ascii="Times New Roman" w:hAnsi="Times New Roman" w:cs="Times New Roman"/>
          <w:bCs/>
        </w:rPr>
        <w:t>3</w:t>
      </w:r>
    </w:p>
    <w:p w:rsidR="00C3078D" w:rsidRPr="004478EE" w:rsidP="00C3078D" w14:paraId="0B741304" w14:textId="0883FBA8">
      <w:pPr>
        <w:pStyle w:val="ListParagraph"/>
        <w:numPr>
          <w:ilvl w:val="1"/>
          <w:numId w:val="25"/>
        </w:numPr>
        <w:tabs>
          <w:tab w:val="right" w:leader="dot" w:pos="8640"/>
        </w:tabs>
        <w:rPr>
          <w:rFonts w:ascii="Times New Roman" w:hAnsi="Times New Roman" w:cs="Times New Roman"/>
        </w:rPr>
      </w:pPr>
      <w:r w:rsidRPr="004478EE">
        <w:rPr>
          <w:rFonts w:ascii="Times New Roman" w:hAnsi="Times New Roman" w:cs="Times New Roman"/>
          <w:bCs/>
        </w:rPr>
        <w:t>Coverage Area</w:t>
      </w:r>
      <w:r w:rsidRPr="004478EE" w:rsidR="00F46B49">
        <w:rPr>
          <w:rFonts w:ascii="Times New Roman" w:hAnsi="Times New Roman" w:cs="Times New Roman"/>
          <w:bCs/>
        </w:rPr>
        <w:tab/>
      </w:r>
      <w:r w:rsidR="00142DAF">
        <w:rPr>
          <w:rFonts w:ascii="Times New Roman" w:hAnsi="Times New Roman" w:cs="Times New Roman"/>
          <w:bCs/>
        </w:rPr>
        <w:t>3</w:t>
      </w:r>
    </w:p>
    <w:p w:rsidR="00A5047F" w:rsidRPr="004478EE" w:rsidP="00A5047F" w14:paraId="7458CC9F" w14:textId="00D82285">
      <w:pPr>
        <w:pStyle w:val="ListParagraph"/>
        <w:numPr>
          <w:ilvl w:val="1"/>
          <w:numId w:val="25"/>
        </w:numPr>
        <w:tabs>
          <w:tab w:val="right" w:leader="dot" w:pos="8640"/>
        </w:tabs>
        <w:rPr>
          <w:rFonts w:ascii="Times New Roman" w:hAnsi="Times New Roman" w:cs="Times New Roman"/>
          <w:bCs/>
        </w:rPr>
      </w:pPr>
      <w:r w:rsidRPr="004478EE">
        <w:rPr>
          <w:rFonts w:ascii="Times New Roman" w:hAnsi="Times New Roman" w:cs="Times New Roman"/>
          <w:bCs/>
        </w:rPr>
        <w:t>Antenna Patterns</w:t>
      </w:r>
      <w:r w:rsidRPr="004478EE">
        <w:rPr>
          <w:rFonts w:ascii="Times New Roman" w:hAnsi="Times New Roman" w:cs="Times New Roman"/>
          <w:bCs/>
        </w:rPr>
        <w:tab/>
      </w:r>
      <w:r w:rsidR="00142DAF">
        <w:rPr>
          <w:rFonts w:ascii="Times New Roman" w:hAnsi="Times New Roman" w:cs="Times New Roman"/>
          <w:bCs/>
        </w:rPr>
        <w:t>3</w:t>
      </w:r>
    </w:p>
    <w:p w:rsidR="006101BD" w:rsidRPr="004478EE" w:rsidP="006101BD" w14:paraId="094B6B86" w14:textId="3C35926F">
      <w:pPr>
        <w:pStyle w:val="ListParagraph"/>
        <w:numPr>
          <w:ilvl w:val="1"/>
          <w:numId w:val="25"/>
        </w:numPr>
        <w:tabs>
          <w:tab w:val="right" w:leader="dot" w:pos="8640"/>
        </w:tabs>
        <w:rPr>
          <w:rFonts w:ascii="Times New Roman" w:hAnsi="Times New Roman" w:cs="Times New Roman"/>
          <w:bCs/>
        </w:rPr>
      </w:pPr>
      <w:r w:rsidRPr="004478EE">
        <w:rPr>
          <w:rFonts w:ascii="Times New Roman" w:hAnsi="Times New Roman" w:cs="Times New Roman"/>
          <w:bCs/>
        </w:rPr>
        <w:t>Distributed Transmission System Rule</w:t>
      </w:r>
      <w:r w:rsidRPr="004478EE">
        <w:rPr>
          <w:rFonts w:ascii="Times New Roman" w:hAnsi="Times New Roman" w:cs="Times New Roman"/>
          <w:bCs/>
        </w:rPr>
        <w:tab/>
        <w:t>3</w:t>
      </w:r>
    </w:p>
    <w:p w:rsidR="00AC5C96" w:rsidRPr="004478EE" w:rsidP="00AC5C96" w14:paraId="046506FB" w14:textId="1E6B096B">
      <w:pPr>
        <w:pStyle w:val="ListParagraph"/>
        <w:numPr>
          <w:ilvl w:val="1"/>
          <w:numId w:val="25"/>
        </w:numPr>
        <w:tabs>
          <w:tab w:val="right" w:leader="dot" w:pos="8640"/>
        </w:tabs>
        <w:rPr>
          <w:rFonts w:ascii="Times New Roman" w:hAnsi="Times New Roman" w:cs="Times New Roman"/>
          <w:bCs/>
        </w:rPr>
      </w:pPr>
      <w:r w:rsidRPr="004478EE">
        <w:rPr>
          <w:rFonts w:ascii="Times New Roman" w:hAnsi="Times New Roman" w:cs="Times New Roman"/>
          <w:bCs/>
        </w:rPr>
        <w:t>Transport Stream ID</w:t>
      </w:r>
      <w:r w:rsidRPr="004478EE">
        <w:rPr>
          <w:rFonts w:ascii="Times New Roman" w:hAnsi="Times New Roman" w:cs="Times New Roman"/>
          <w:bCs/>
        </w:rPr>
        <w:tab/>
        <w:t>3</w:t>
      </w:r>
    </w:p>
    <w:p w:rsidR="004C0D03" w:rsidRPr="004478EE" w:rsidP="004C0D03" w14:paraId="665DEF7B" w14:textId="33D116DB">
      <w:pPr>
        <w:pStyle w:val="ListParagraph"/>
        <w:numPr>
          <w:ilvl w:val="1"/>
          <w:numId w:val="25"/>
        </w:numPr>
        <w:tabs>
          <w:tab w:val="right" w:leader="dot" w:pos="8640"/>
        </w:tabs>
        <w:rPr>
          <w:rFonts w:ascii="Times New Roman" w:hAnsi="Times New Roman" w:cs="Times New Roman"/>
          <w:bCs/>
        </w:rPr>
      </w:pPr>
      <w:r w:rsidRPr="004478EE">
        <w:rPr>
          <w:rFonts w:ascii="Times New Roman" w:hAnsi="Times New Roman" w:cs="Times New Roman"/>
          <w:bCs/>
        </w:rPr>
        <w:t>Class A Television U.S.-Mexico Border Zone</w:t>
      </w:r>
      <w:r w:rsidRPr="004478EE">
        <w:rPr>
          <w:rFonts w:ascii="Times New Roman" w:hAnsi="Times New Roman" w:cs="Times New Roman"/>
          <w:bCs/>
        </w:rPr>
        <w:tab/>
      </w:r>
      <w:r w:rsidR="00142DAF">
        <w:rPr>
          <w:rFonts w:ascii="Times New Roman" w:hAnsi="Times New Roman" w:cs="Times New Roman"/>
          <w:bCs/>
        </w:rPr>
        <w:t>4</w:t>
      </w:r>
    </w:p>
    <w:p w:rsidR="004C0D03" w:rsidRPr="004478EE" w:rsidP="004C0D03" w14:paraId="70315666" w14:textId="4C009DF6">
      <w:pPr>
        <w:pStyle w:val="ListParagraph"/>
        <w:numPr>
          <w:ilvl w:val="1"/>
          <w:numId w:val="25"/>
        </w:numPr>
        <w:tabs>
          <w:tab w:val="right" w:leader="dot" w:pos="8640"/>
        </w:tabs>
        <w:rPr>
          <w:rFonts w:ascii="Times New Roman" w:hAnsi="Times New Roman" w:cs="Times New Roman"/>
          <w:bCs/>
        </w:rPr>
      </w:pPr>
      <w:r w:rsidRPr="004478EE">
        <w:rPr>
          <w:rFonts w:ascii="Times New Roman" w:hAnsi="Times New Roman" w:cs="Times New Roman"/>
          <w:bCs/>
        </w:rPr>
        <w:t>Minimum Video Program Requirements</w:t>
      </w:r>
      <w:r w:rsidRPr="004478EE">
        <w:rPr>
          <w:rFonts w:ascii="Times New Roman" w:hAnsi="Times New Roman" w:cs="Times New Roman"/>
          <w:bCs/>
        </w:rPr>
        <w:tab/>
      </w:r>
      <w:r w:rsidR="00142DAF">
        <w:rPr>
          <w:rFonts w:ascii="Times New Roman" w:hAnsi="Times New Roman" w:cs="Times New Roman"/>
          <w:bCs/>
        </w:rPr>
        <w:t>4</w:t>
      </w:r>
    </w:p>
    <w:p w:rsidR="00C3078D" w:rsidRPr="004478EE" w:rsidP="00F91288" w14:paraId="65B412C9" w14:textId="41A1CECA">
      <w:pPr>
        <w:pStyle w:val="ListParagraph"/>
        <w:numPr>
          <w:ilvl w:val="1"/>
          <w:numId w:val="25"/>
        </w:numPr>
        <w:tabs>
          <w:tab w:val="right" w:leader="dot" w:pos="8640"/>
        </w:tabs>
        <w:spacing w:after="0"/>
        <w:rPr>
          <w:rFonts w:ascii="Times New Roman" w:hAnsi="Times New Roman" w:cs="Times New Roman"/>
        </w:rPr>
      </w:pPr>
      <w:r w:rsidRPr="004478EE">
        <w:rPr>
          <w:rFonts w:ascii="Times New Roman" w:hAnsi="Times New Roman" w:cs="Times New Roman"/>
          <w:bCs/>
        </w:rPr>
        <w:t>Electronic Filing and Submissions</w:t>
      </w:r>
      <w:r w:rsidRPr="004478EE" w:rsidR="004C0D03">
        <w:rPr>
          <w:rFonts w:ascii="Times New Roman" w:hAnsi="Times New Roman" w:cs="Times New Roman"/>
          <w:bCs/>
        </w:rPr>
        <w:tab/>
      </w:r>
      <w:r w:rsidR="00142DAF">
        <w:rPr>
          <w:rFonts w:ascii="Times New Roman" w:hAnsi="Times New Roman" w:cs="Times New Roman"/>
          <w:bCs/>
        </w:rPr>
        <w:t>4</w:t>
      </w:r>
    </w:p>
    <w:p w:rsidR="00CD624E" w:rsidRPr="004478EE" w:rsidP="00A83CAA" w14:paraId="68DC6F13" w14:textId="4CB19E8F">
      <w:pPr>
        <w:tabs>
          <w:tab w:val="right" w:leader="dot" w:pos="8640"/>
        </w:tabs>
        <w:spacing w:after="0"/>
        <w:rPr>
          <w:rFonts w:ascii="Times New Roman" w:hAnsi="Times New Roman" w:cs="Times New Roman"/>
          <w:bCs/>
        </w:rPr>
      </w:pPr>
      <w:r w:rsidRPr="004478EE">
        <w:rPr>
          <w:rFonts w:ascii="Times New Roman" w:hAnsi="Times New Roman" w:cs="Times New Roman"/>
          <w:bCs/>
        </w:rPr>
        <w:t xml:space="preserve">III.        RECORDKEEPING AND REPORTING REQUIREMENTS </w:t>
      </w:r>
      <w:r w:rsidRPr="004478EE">
        <w:rPr>
          <w:rFonts w:ascii="Times New Roman" w:hAnsi="Times New Roman" w:cs="Times New Roman"/>
          <w:bCs/>
        </w:rPr>
        <w:tab/>
      </w:r>
      <w:r w:rsidR="00142DAF">
        <w:rPr>
          <w:rFonts w:ascii="Times New Roman" w:hAnsi="Times New Roman" w:cs="Times New Roman"/>
          <w:bCs/>
        </w:rPr>
        <w:t>5</w:t>
      </w:r>
    </w:p>
    <w:p w:rsidR="00CD624E" w:rsidRPr="004478EE" w:rsidP="00A83CAA" w14:paraId="6B9E0B35" w14:textId="545E0CEC">
      <w:pPr>
        <w:tabs>
          <w:tab w:val="right" w:leader="dot" w:pos="8640"/>
        </w:tabs>
        <w:spacing w:after="0"/>
        <w:rPr>
          <w:rFonts w:ascii="Times New Roman" w:hAnsi="Times New Roman" w:cs="Times New Roman"/>
          <w:bCs/>
        </w:rPr>
      </w:pPr>
      <w:r w:rsidRPr="004478EE">
        <w:rPr>
          <w:rFonts w:ascii="Times New Roman" w:hAnsi="Times New Roman" w:cs="Times New Roman"/>
          <w:bCs/>
        </w:rPr>
        <w:t xml:space="preserve">IV.        IMPLEMENTATION DATE </w:t>
      </w:r>
      <w:r w:rsidRPr="004478EE">
        <w:rPr>
          <w:rFonts w:ascii="Times New Roman" w:hAnsi="Times New Roman" w:cs="Times New Roman"/>
          <w:bCs/>
        </w:rPr>
        <w:tab/>
      </w:r>
      <w:r w:rsidR="00142DAF">
        <w:rPr>
          <w:rFonts w:ascii="Times New Roman" w:hAnsi="Times New Roman" w:cs="Times New Roman"/>
          <w:bCs/>
        </w:rPr>
        <w:t>5</w:t>
      </w:r>
    </w:p>
    <w:p w:rsidR="00CD624E" w:rsidRPr="00AF3BA8" w:rsidP="00F91288" w14:paraId="2920F242" w14:textId="3BB8664B">
      <w:pPr>
        <w:tabs>
          <w:tab w:val="right" w:leader="dot" w:pos="8640"/>
        </w:tabs>
        <w:spacing w:after="0"/>
        <w:rPr>
          <w:rFonts w:ascii="Times New Roman" w:hAnsi="Times New Roman" w:cs="Times New Roman"/>
          <w:bCs/>
        </w:rPr>
      </w:pPr>
      <w:r w:rsidRPr="004478EE">
        <w:rPr>
          <w:rFonts w:ascii="Times New Roman" w:hAnsi="Times New Roman" w:cs="Times New Roman"/>
          <w:bCs/>
        </w:rPr>
        <w:t xml:space="preserve">V.         INTERNET LINKS </w:t>
      </w:r>
      <w:r w:rsidRPr="004478EE">
        <w:rPr>
          <w:rFonts w:ascii="Times New Roman" w:hAnsi="Times New Roman" w:cs="Times New Roman"/>
          <w:bCs/>
        </w:rPr>
        <w:tab/>
      </w:r>
      <w:r w:rsidR="00142DAF">
        <w:rPr>
          <w:rFonts w:ascii="Times New Roman" w:hAnsi="Times New Roman" w:cs="Times New Roman"/>
          <w:bCs/>
        </w:rPr>
        <w:t>5</w:t>
      </w:r>
    </w:p>
    <w:p w:rsidR="00CD624E" w:rsidRPr="005C1A65" w:rsidP="00074CA4" w14:paraId="4688C0B6" w14:textId="77777777">
      <w:pPr>
        <w:pStyle w:val="ListParagraph"/>
        <w:spacing w:after="0"/>
        <w:ind w:left="0"/>
        <w:rPr>
          <w:rFonts w:ascii="Times New Roman" w:hAnsi="Times New Roman" w:cs="Times New Roman"/>
          <w:b/>
        </w:rPr>
      </w:pPr>
    </w:p>
    <w:p w:rsidR="008D4AA5" w:rsidRPr="005C1A65" w:rsidP="00074CA4" w14:paraId="2364AF40" w14:textId="77777777">
      <w:pPr>
        <w:rPr>
          <w:rFonts w:ascii="Times New Roman" w:hAnsi="Times New Roman" w:cs="Times New Roman"/>
          <w:b/>
        </w:rPr>
      </w:pPr>
    </w:p>
    <w:p w:rsidR="00463A2A" w:rsidRPr="005C1A65" w:rsidP="00E97A21" w14:paraId="2A40148F" w14:textId="77777777">
      <w:pPr>
        <w:rPr>
          <w:rFonts w:ascii="Times New Roman" w:hAnsi="Times New Roman" w:cs="Times New Roman"/>
          <w:b/>
        </w:rPr>
      </w:pPr>
    </w:p>
    <w:p w:rsidR="001743EF" w:rsidRPr="005C1A65"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E97A21" w:rsidRPr="004478EE" w:rsidP="00286EA8" w14:paraId="003F6D71" w14:textId="026D6B29">
      <w:pPr>
        <w:tabs>
          <w:tab w:val="left" w:pos="720"/>
        </w:tabs>
        <w:rPr>
          <w:rFonts w:ascii="Times New Roman" w:hAnsi="Times New Roman" w:cs="Times New Roman"/>
          <w:b/>
        </w:rPr>
      </w:pPr>
      <w:r w:rsidRPr="004478EE">
        <w:rPr>
          <w:rFonts w:ascii="Times New Roman" w:hAnsi="Times New Roman" w:cs="Times New Roman"/>
          <w:b/>
        </w:rPr>
        <w:t>I.</w:t>
      </w:r>
      <w:r w:rsidRPr="004478EE" w:rsidR="00A620B9">
        <w:rPr>
          <w:rFonts w:ascii="Times New Roman" w:hAnsi="Times New Roman" w:cs="Times New Roman"/>
          <w:b/>
        </w:rPr>
        <w:tab/>
      </w:r>
      <w:r w:rsidRPr="004478EE" w:rsidR="001A1EAC">
        <w:rPr>
          <w:rFonts w:ascii="Times New Roman" w:hAnsi="Times New Roman" w:cs="Times New Roman"/>
          <w:b/>
        </w:rPr>
        <w:t>OBJECTIVES OF THE PROCEEDING</w:t>
      </w:r>
    </w:p>
    <w:p w:rsidR="005A7857" w:rsidRPr="004478EE" w:rsidP="00730409" w14:paraId="039F54C3" w14:textId="5FFCAE83">
      <w:pPr>
        <w:pStyle w:val="ParaNum"/>
        <w:numPr>
          <w:ilvl w:val="0"/>
          <w:numId w:val="0"/>
        </w:numPr>
        <w:spacing w:before="120"/>
        <w:ind w:firstLine="720"/>
      </w:pPr>
      <w:r w:rsidRPr="004478EE">
        <w:rPr>
          <w:szCs w:val="22"/>
        </w:rPr>
        <w:t xml:space="preserve">The </w:t>
      </w:r>
      <w:r w:rsidRPr="004478EE" w:rsidR="00A620B9">
        <w:rPr>
          <w:i/>
          <w:iCs/>
          <w:szCs w:val="22"/>
        </w:rPr>
        <w:t>Report and Order</w:t>
      </w:r>
      <w:r>
        <w:rPr>
          <w:rStyle w:val="FootnoteReference"/>
          <w:szCs w:val="22"/>
        </w:rPr>
        <w:footnoteReference w:id="3"/>
      </w:r>
      <w:r w:rsidRPr="004478EE">
        <w:rPr>
          <w:szCs w:val="22"/>
        </w:rPr>
        <w:t xml:space="preserve"> reflects the Commission’s effort to u</w:t>
      </w:r>
      <w:bookmarkStart w:id="2" w:name="_Hlk160442028"/>
      <w:r w:rsidRPr="004478EE">
        <w:rPr>
          <w:szCs w:val="22"/>
        </w:rPr>
        <w:t xml:space="preserve">pdate </w:t>
      </w:r>
      <w:r w:rsidRPr="004478EE" w:rsidR="00F2612D">
        <w:rPr>
          <w:szCs w:val="22"/>
        </w:rPr>
        <w:t>its rules for full power and Class A television stations to reflect the current operating environment following the transition from analog to digital-only operations and the post-incentive auction transition to a smaller television band with fewer channels.</w:t>
      </w:r>
      <w:bookmarkEnd w:id="2"/>
      <w:r w:rsidRPr="004478EE" w:rsidR="00F2612D">
        <w:rPr>
          <w:szCs w:val="22"/>
        </w:rPr>
        <w:t xml:space="preserve">  </w:t>
      </w:r>
      <w:r w:rsidRPr="004478EE" w:rsidR="009A08D9">
        <w:t xml:space="preserve">Largely consistent with the proposals set forth in the </w:t>
      </w:r>
      <w:r w:rsidRPr="004478EE" w:rsidR="009A08D9">
        <w:rPr>
          <w:i/>
          <w:iCs/>
        </w:rPr>
        <w:t>Notice of Proposed Rulemaking</w:t>
      </w:r>
      <w:r w:rsidRPr="004478EE" w:rsidR="009A08D9">
        <w:t xml:space="preserve"> </w:t>
      </w:r>
      <w:r w:rsidRPr="004478EE" w:rsidR="00DB04EE">
        <w:t>(</w:t>
      </w:r>
      <w:r w:rsidRPr="004478EE" w:rsidR="00DB04EE">
        <w:rPr>
          <w:i/>
          <w:iCs/>
        </w:rPr>
        <w:t>NPRM</w:t>
      </w:r>
      <w:r w:rsidRPr="004478EE" w:rsidR="00DB04EE">
        <w:t xml:space="preserve">) </w:t>
      </w:r>
      <w:r w:rsidRPr="004478EE" w:rsidR="009A08D9">
        <w:t xml:space="preserve">adopted in </w:t>
      </w:r>
      <w:r w:rsidRPr="004478EE" w:rsidR="00F2612D">
        <w:t>September</w:t>
      </w:r>
      <w:r w:rsidRPr="004478EE" w:rsidR="009A08D9">
        <w:t xml:space="preserve"> 2022,</w:t>
      </w:r>
      <w:r>
        <w:rPr>
          <w:rStyle w:val="FootnoteReference"/>
        </w:rPr>
        <w:footnoteReference w:id="4"/>
      </w:r>
      <w:r w:rsidRPr="004478EE" w:rsidR="009A08D9">
        <w:t xml:space="preserve"> the </w:t>
      </w:r>
      <w:r w:rsidRPr="004478EE" w:rsidR="009A08D9">
        <w:rPr>
          <w:i/>
          <w:iCs/>
        </w:rPr>
        <w:t xml:space="preserve">Report and Order </w:t>
      </w:r>
      <w:r w:rsidRPr="004478EE" w:rsidR="009A08D9">
        <w:t xml:space="preserve">adopts rules </w:t>
      </w:r>
      <w:r w:rsidRPr="004478EE" w:rsidR="009D4458">
        <w:t xml:space="preserve">to </w:t>
      </w:r>
      <w:r w:rsidRPr="004478EE" w:rsidR="001A65C7">
        <w:t xml:space="preserve">simplify, streamline, and modernize existing rules and procedures, which should reduce compliance costs, and make compliance with the Commission’s licensing requirements easier for full power and Class A television stations.  </w:t>
      </w:r>
      <w:r w:rsidRPr="004478EE" w:rsidR="00FF32F7">
        <w:rPr>
          <w:szCs w:val="22"/>
        </w:rPr>
        <w:t xml:space="preserve">The </w:t>
      </w:r>
      <w:r w:rsidRPr="004478EE" w:rsidR="00FF32F7">
        <w:rPr>
          <w:i/>
          <w:iCs/>
          <w:szCs w:val="22"/>
        </w:rPr>
        <w:t>Report and Order</w:t>
      </w:r>
      <w:r w:rsidRPr="004478EE" w:rsidR="00FF32F7">
        <w:rPr>
          <w:szCs w:val="22"/>
        </w:rPr>
        <w:t xml:space="preserve"> seeks to f</w:t>
      </w:r>
      <w:r w:rsidRPr="004478EE" w:rsidR="001A65C7">
        <w:rPr>
          <w:szCs w:val="22"/>
        </w:rPr>
        <w:t xml:space="preserve">urther the Commission’s goal of ensuring that its rules clearly reflect the Commission’s requirements, and are understandable to all stakeholders.  </w:t>
      </w:r>
    </w:p>
    <w:p w:rsidR="00C71FF5" w:rsidRPr="004478EE" w:rsidP="00841A28" w14:paraId="4D50E0DA" w14:textId="6680DC70">
      <w:pPr>
        <w:pStyle w:val="ParaNum"/>
        <w:numPr>
          <w:ilvl w:val="0"/>
          <w:numId w:val="0"/>
        </w:numPr>
        <w:ind w:firstLine="720"/>
      </w:pPr>
      <w:r w:rsidRPr="004478EE">
        <w:t xml:space="preserve">The </w:t>
      </w:r>
      <w:r w:rsidRPr="004478EE">
        <w:rPr>
          <w:i/>
          <w:iCs/>
        </w:rPr>
        <w:t>Report and Order</w:t>
      </w:r>
      <w:r w:rsidRPr="004478EE">
        <w:t xml:space="preserve"> </w:t>
      </w:r>
      <w:bookmarkStart w:id="3" w:name="_Hlk160442109"/>
      <w:r w:rsidRPr="004478EE">
        <w:t>deletes outdated rules that are no longer valid given changes in Commission-adopted policy, such as the elimination of the comparative hearing process to award and renew broadcast licenses</w:t>
      </w:r>
      <w:bookmarkEnd w:id="3"/>
      <w:r w:rsidRPr="004478EE">
        <w:t xml:space="preserve">.  Other non-substantive, technical revisions the </w:t>
      </w:r>
      <w:r w:rsidRPr="004478EE">
        <w:rPr>
          <w:i/>
          <w:iCs/>
        </w:rPr>
        <w:t>Report and Order</w:t>
      </w:r>
      <w:r w:rsidRPr="004478EE">
        <w:t xml:space="preserve"> makes include updating previously-adopted station license periods, deleting obsolete rules governing the post-incentive auction transition period, and correcting or updating section headings, spelling, contact information, and rule cross-references, or language inadvertently omitted from a rule. </w:t>
      </w:r>
      <w:r w:rsidRPr="004478EE" w:rsidR="00841A28">
        <w:t xml:space="preserve"> </w:t>
      </w:r>
      <w:r w:rsidRPr="004478EE" w:rsidR="00DB3499">
        <w:t xml:space="preserve">As part of this comprehensive update, the </w:t>
      </w:r>
      <w:r w:rsidRPr="004478EE" w:rsidR="00DB3499">
        <w:rPr>
          <w:i/>
          <w:iCs/>
        </w:rPr>
        <w:t>Report and Order</w:t>
      </w:r>
      <w:r w:rsidRPr="004478EE" w:rsidR="00DB3499">
        <w:t xml:space="preserve"> </w:t>
      </w:r>
      <w:r w:rsidRPr="004478EE" w:rsidR="002863B5">
        <w:t xml:space="preserve">also </w:t>
      </w:r>
      <w:r w:rsidRPr="004478EE" w:rsidR="00DB3499">
        <w:t>restructures a portion of the Commission’s rules primarily consisting of the technical licensing, operating, and interference rules for television</w:t>
      </w:r>
      <w:r w:rsidR="00A3112B">
        <w:t>,</w:t>
      </w:r>
      <w:r w:rsidRPr="004478EE" w:rsidR="00B30974">
        <w:t xml:space="preserve"> </w:t>
      </w:r>
      <w:r w:rsidRPr="004478EE" w:rsidR="002863B5">
        <w:t>and</w:t>
      </w:r>
      <w:r w:rsidRPr="004478EE" w:rsidR="001E6812">
        <w:t xml:space="preserve"> mak</w:t>
      </w:r>
      <w:r w:rsidRPr="004478EE" w:rsidR="002863B5">
        <w:t>es</w:t>
      </w:r>
      <w:r w:rsidRPr="004478EE" w:rsidR="001E6812">
        <w:t xml:space="preserve"> some minor clarifications and amendments</w:t>
      </w:r>
      <w:r w:rsidRPr="004478EE" w:rsidR="00DB3499">
        <w:t>.</w:t>
      </w:r>
    </w:p>
    <w:p w:rsidR="008C7703" w:rsidRPr="004478EE" w:rsidP="00C71FF5" w14:paraId="25CA2169" w14:textId="5EA54121">
      <w:pPr>
        <w:pStyle w:val="ParaNum"/>
        <w:numPr>
          <w:ilvl w:val="0"/>
          <w:numId w:val="0"/>
        </w:numPr>
        <w:ind w:firstLine="720"/>
      </w:pPr>
      <w:r w:rsidRPr="004478EE">
        <w:rPr>
          <w:szCs w:val="22"/>
        </w:rPr>
        <w:t xml:space="preserve">The </w:t>
      </w:r>
      <w:r w:rsidRPr="004478EE">
        <w:rPr>
          <w:i/>
          <w:iCs/>
          <w:szCs w:val="22"/>
        </w:rPr>
        <w:t xml:space="preserve">Report and Order </w:t>
      </w:r>
      <w:r w:rsidRPr="004478EE">
        <w:rPr>
          <w:szCs w:val="22"/>
        </w:rPr>
        <w:t xml:space="preserve">also adopts updates to the coordinates </w:t>
      </w:r>
      <w:r w:rsidRPr="004478EE" w:rsidR="00023724">
        <w:rPr>
          <w:szCs w:val="22"/>
        </w:rPr>
        <w:t xml:space="preserve">previously </w:t>
      </w:r>
      <w:r w:rsidRPr="004478EE">
        <w:rPr>
          <w:szCs w:val="22"/>
        </w:rPr>
        <w:t>found throughout section 73.623(e)</w:t>
      </w:r>
      <w:r w:rsidRPr="004478EE" w:rsidR="00023724">
        <w:rPr>
          <w:szCs w:val="22"/>
        </w:rPr>
        <w:t xml:space="preserve"> (w</w:t>
      </w:r>
      <w:r w:rsidRPr="004478EE">
        <w:rPr>
          <w:szCs w:val="22"/>
        </w:rPr>
        <w:t xml:space="preserve">hich </w:t>
      </w:r>
      <w:r w:rsidRPr="004478EE" w:rsidR="00023724">
        <w:rPr>
          <w:szCs w:val="22"/>
        </w:rPr>
        <w:t xml:space="preserve">the </w:t>
      </w:r>
      <w:r w:rsidRPr="004478EE" w:rsidR="00023724">
        <w:rPr>
          <w:i/>
          <w:iCs/>
          <w:szCs w:val="22"/>
        </w:rPr>
        <w:t>Report and Order</w:t>
      </w:r>
      <w:r w:rsidRPr="004478EE" w:rsidR="00023724">
        <w:rPr>
          <w:szCs w:val="22"/>
        </w:rPr>
        <w:t xml:space="preserve"> </w:t>
      </w:r>
      <w:r w:rsidRPr="004478EE">
        <w:rPr>
          <w:szCs w:val="22"/>
        </w:rPr>
        <w:t>reorganiz</w:t>
      </w:r>
      <w:r w:rsidRPr="004478EE" w:rsidR="00023724">
        <w:rPr>
          <w:szCs w:val="22"/>
        </w:rPr>
        <w:t>es</w:t>
      </w:r>
      <w:r w:rsidRPr="004478EE">
        <w:rPr>
          <w:szCs w:val="22"/>
        </w:rPr>
        <w:t xml:space="preserve"> into section 73.617(a)</w:t>
      </w:r>
      <w:r w:rsidRPr="004478EE" w:rsidR="00023724">
        <w:rPr>
          <w:szCs w:val="22"/>
        </w:rPr>
        <w:t>)</w:t>
      </w:r>
      <w:r w:rsidRPr="004478EE">
        <w:rPr>
          <w:szCs w:val="22"/>
        </w:rPr>
        <w:t xml:space="preserve">, from NAD 27 to NAD 83 and otherwise conforms the values </w:t>
      </w:r>
      <w:r w:rsidRPr="004478EE" w:rsidR="009F6227">
        <w:rPr>
          <w:szCs w:val="22"/>
        </w:rPr>
        <w:t xml:space="preserve">previously found </w:t>
      </w:r>
      <w:r w:rsidRPr="004478EE">
        <w:rPr>
          <w:szCs w:val="22"/>
        </w:rPr>
        <w:t xml:space="preserve">in section 73.623(e) with those found in section 90.303.  These coordinates are used only to determine where the Commission will or will not grant applications.  </w:t>
      </w:r>
      <w:r w:rsidRPr="004478EE" w:rsidR="00DB3499">
        <w:t xml:space="preserve"> </w:t>
      </w:r>
    </w:p>
    <w:p w:rsidR="008C7703" w:rsidRPr="004478EE" w:rsidP="007122E1" w14:paraId="32DB77BC" w14:textId="7A28346A">
      <w:pPr>
        <w:pStyle w:val="ParaNum"/>
        <w:numPr>
          <w:ilvl w:val="0"/>
          <w:numId w:val="0"/>
        </w:numPr>
        <w:ind w:firstLine="720"/>
      </w:pPr>
      <w:r w:rsidRPr="004478EE">
        <w:t>Finally, t</w:t>
      </w:r>
      <w:r w:rsidRPr="004478EE" w:rsidR="00E41958">
        <w:t xml:space="preserve">he </w:t>
      </w:r>
      <w:r w:rsidRPr="004478EE" w:rsidR="00E41958">
        <w:rPr>
          <w:i/>
          <w:iCs/>
        </w:rPr>
        <w:t>Report and Order</w:t>
      </w:r>
      <w:r w:rsidRPr="004478EE" w:rsidR="00E41958">
        <w:t xml:space="preserve"> </w:t>
      </w:r>
      <w:r w:rsidRPr="004478EE" w:rsidR="00E74CA8">
        <w:t>update</w:t>
      </w:r>
      <w:r w:rsidRPr="004478EE" w:rsidR="00E41958">
        <w:t>s</w:t>
      </w:r>
      <w:r w:rsidRPr="004478EE" w:rsidR="00E74CA8">
        <w:t xml:space="preserve"> </w:t>
      </w:r>
      <w:r w:rsidRPr="004478EE" w:rsidR="00E41958">
        <w:t>the Commission’s</w:t>
      </w:r>
      <w:r w:rsidRPr="004478EE" w:rsidR="00E74CA8">
        <w:t xml:space="preserve"> rules to reference the current designation for form numbers (e.g., FCC Form 2100)</w:t>
      </w:r>
      <w:r w:rsidR="00A3112B">
        <w:t>,</w:t>
      </w:r>
      <w:r w:rsidRPr="004478EE" w:rsidR="00E74CA8">
        <w:t xml:space="preserve"> and </w:t>
      </w:r>
      <w:bookmarkStart w:id="4" w:name="_Hlk160442217"/>
      <w:r w:rsidRPr="004478EE" w:rsidR="00E74CA8">
        <w:t>to require electronic filing in the Commission’s Licensing and Management System (LMS)</w:t>
      </w:r>
      <w:r w:rsidRPr="004478EE" w:rsidR="00845CC6">
        <w:t xml:space="preserve"> where applicable</w:t>
      </w:r>
      <w:r w:rsidRPr="004478EE" w:rsidR="00EB2EA1">
        <w:t>, or otherwise through electronic submission</w:t>
      </w:r>
      <w:r w:rsidRPr="004478EE" w:rsidR="007122E1">
        <w:t>,</w:t>
      </w:r>
      <w:r w:rsidRPr="004478EE" w:rsidR="00EB2EA1">
        <w:t xml:space="preserve"> </w:t>
      </w:r>
      <w:r w:rsidRPr="004478EE" w:rsidR="00F46B49">
        <w:rPr>
          <w:szCs w:val="22"/>
        </w:rPr>
        <w:t xml:space="preserve">and clarifies what documentation is required when applications are submitted with various kinds of directional patterns. </w:t>
      </w:r>
      <w:r w:rsidRPr="004478EE" w:rsidR="00F46B49">
        <w:rPr>
          <w:snapToGrid/>
          <w:kern w:val="0"/>
          <w:szCs w:val="22"/>
        </w:rPr>
        <w:t xml:space="preserve"> </w:t>
      </w:r>
    </w:p>
    <w:bookmarkEnd w:id="4"/>
    <w:p w:rsidR="00EF4B82" w:rsidRPr="004478EE" w:rsidP="00107C8E" w14:paraId="2676F6DC" w14:textId="7549C6E7">
      <w:pPr>
        <w:spacing w:before="120" w:after="120" w:line="240" w:lineRule="auto"/>
        <w:contextualSpacing/>
        <w:rPr>
          <w:rFonts w:ascii="Times New Roman" w:hAnsi="Times New Roman" w:cs="Times New Roman"/>
          <w:b/>
        </w:rPr>
      </w:pPr>
      <w:r w:rsidRPr="004478EE">
        <w:rPr>
          <w:rFonts w:ascii="Times New Roman" w:hAnsi="Times New Roman" w:cs="Times New Roman"/>
          <w:b/>
        </w:rPr>
        <w:t xml:space="preserve">II. </w:t>
      </w:r>
      <w:r w:rsidRPr="004478EE" w:rsidR="00286EA8">
        <w:rPr>
          <w:rFonts w:ascii="Times New Roman" w:hAnsi="Times New Roman" w:cs="Times New Roman"/>
          <w:b/>
        </w:rPr>
        <w:tab/>
      </w:r>
      <w:r w:rsidRPr="004478EE">
        <w:rPr>
          <w:rFonts w:ascii="Times New Roman" w:hAnsi="Times New Roman" w:cs="Times New Roman"/>
          <w:b/>
        </w:rPr>
        <w:t>COMPLIANCE REQUIREMENTS</w:t>
      </w:r>
    </w:p>
    <w:p w:rsidR="00EA685C" w:rsidRPr="004478EE" w:rsidP="00EA685C" w14:paraId="0E977FC2" w14:textId="5CB536F6">
      <w:pPr>
        <w:pStyle w:val="ListParagraph"/>
        <w:numPr>
          <w:ilvl w:val="0"/>
          <w:numId w:val="15"/>
        </w:numPr>
        <w:spacing w:after="120" w:line="240" w:lineRule="auto"/>
        <w:jc w:val="both"/>
        <w:rPr>
          <w:rFonts w:ascii="Times New Roman" w:hAnsi="Times New Roman" w:cs="Times New Roman"/>
          <w:iCs/>
        </w:rPr>
      </w:pPr>
      <w:r w:rsidRPr="004478EE">
        <w:rPr>
          <w:rFonts w:ascii="Times New Roman" w:hAnsi="Times New Roman" w:cs="Times New Roman"/>
          <w:b/>
          <w:iCs/>
        </w:rPr>
        <w:t xml:space="preserve">Clarifications Made as Part of the </w:t>
      </w:r>
      <w:r w:rsidRPr="004478EE">
        <w:rPr>
          <w:rFonts w:ascii="Times New Roman" w:hAnsi="Times New Roman" w:cs="Times New Roman"/>
          <w:b/>
          <w:iCs/>
        </w:rPr>
        <w:t xml:space="preserve">Reorganization of </w:t>
      </w:r>
      <w:r w:rsidRPr="004478EE" w:rsidR="006E3EB0">
        <w:rPr>
          <w:rFonts w:ascii="Times New Roman" w:hAnsi="Times New Roman" w:cs="Times New Roman"/>
          <w:b/>
          <w:iCs/>
        </w:rPr>
        <w:t xml:space="preserve">the Commission’s </w:t>
      </w:r>
      <w:r w:rsidRPr="004478EE">
        <w:rPr>
          <w:rFonts w:ascii="Times New Roman" w:hAnsi="Times New Roman" w:cs="Times New Roman"/>
          <w:b/>
          <w:iCs/>
        </w:rPr>
        <w:t xml:space="preserve">Broadcast Television Rules </w:t>
      </w:r>
    </w:p>
    <w:p w:rsidR="00831A18" w:rsidRPr="004478EE" w:rsidP="0087542A" w14:paraId="37D50F0C" w14:textId="39A044A9">
      <w:pPr>
        <w:pStyle w:val="Default"/>
        <w:ind w:firstLine="720"/>
        <w:rPr>
          <w:sz w:val="22"/>
          <w:szCs w:val="22"/>
        </w:rPr>
      </w:pPr>
      <w:r w:rsidRPr="004478EE">
        <w:rPr>
          <w:sz w:val="22"/>
          <w:szCs w:val="22"/>
        </w:rPr>
        <w:t xml:space="preserve">The </w:t>
      </w:r>
      <w:r w:rsidRPr="004478EE">
        <w:rPr>
          <w:i/>
          <w:iCs/>
          <w:sz w:val="22"/>
          <w:szCs w:val="22"/>
        </w:rPr>
        <w:t>Report and Order</w:t>
      </w:r>
      <w:r w:rsidRPr="004478EE">
        <w:rPr>
          <w:sz w:val="22"/>
          <w:szCs w:val="22"/>
        </w:rPr>
        <w:t xml:space="preserve"> reorganizes a portion of the Commission’s television rules and also offers some clarifications and amendments.  </w:t>
      </w:r>
      <w:r w:rsidRPr="004478EE" w:rsidR="00C352F5">
        <w:rPr>
          <w:sz w:val="22"/>
          <w:szCs w:val="22"/>
        </w:rPr>
        <w:t>With respect to the rule clarifications</w:t>
      </w:r>
      <w:r w:rsidRPr="004478EE" w:rsidR="00C209CC">
        <w:rPr>
          <w:sz w:val="22"/>
          <w:szCs w:val="22"/>
        </w:rPr>
        <w:t>,</w:t>
      </w:r>
      <w:r w:rsidRPr="004478EE">
        <w:rPr>
          <w:sz w:val="22"/>
          <w:szCs w:val="22"/>
        </w:rPr>
        <w:t xml:space="preserve"> the </w:t>
      </w:r>
      <w:r w:rsidRPr="004478EE">
        <w:rPr>
          <w:i/>
          <w:iCs/>
          <w:sz w:val="22"/>
          <w:szCs w:val="22"/>
        </w:rPr>
        <w:t>Report and Order</w:t>
      </w:r>
      <w:r w:rsidRPr="004478EE" w:rsidR="005D101A">
        <w:rPr>
          <w:sz w:val="22"/>
          <w:szCs w:val="22"/>
        </w:rPr>
        <w:t xml:space="preserve"> </w:t>
      </w:r>
      <w:r w:rsidRPr="004478EE" w:rsidR="0011397F">
        <w:rPr>
          <w:sz w:val="22"/>
          <w:szCs w:val="22"/>
        </w:rPr>
        <w:t>clarifies in section 73.614(b) that all applications for new full power television stations, applications for changes in authorized full power television stations, and petitions for changes to the Table of TV Allotments must comply with the</w:t>
      </w:r>
      <w:r w:rsidRPr="004478EE" w:rsidR="00835F3C">
        <w:rPr>
          <w:sz w:val="22"/>
          <w:szCs w:val="22"/>
        </w:rPr>
        <w:t xml:space="preserve"> digital power limits</w:t>
      </w:r>
      <w:r w:rsidRPr="004478EE" w:rsidR="0011397F">
        <w:rPr>
          <w:sz w:val="22"/>
          <w:szCs w:val="22"/>
        </w:rPr>
        <w:t xml:space="preserve"> </w:t>
      </w:r>
      <w:r w:rsidRPr="004478EE" w:rsidR="00B62EE3">
        <w:rPr>
          <w:sz w:val="22"/>
          <w:szCs w:val="22"/>
        </w:rPr>
        <w:t xml:space="preserve">that were previously found </w:t>
      </w:r>
      <w:r w:rsidRPr="004478EE" w:rsidR="00680C5C">
        <w:rPr>
          <w:sz w:val="22"/>
          <w:szCs w:val="22"/>
        </w:rPr>
        <w:t xml:space="preserve">in </w:t>
      </w:r>
      <w:r w:rsidRPr="004478EE" w:rsidR="00835F3C">
        <w:rPr>
          <w:sz w:val="22"/>
          <w:szCs w:val="22"/>
        </w:rPr>
        <w:t>section 73.622(f)(5)-(8)</w:t>
      </w:r>
      <w:r w:rsidRPr="004478EE" w:rsidR="0011397F">
        <w:rPr>
          <w:sz w:val="22"/>
          <w:szCs w:val="22"/>
        </w:rPr>
        <w:t>.</w:t>
      </w:r>
      <w:r w:rsidRPr="004478EE" w:rsidR="00413338">
        <w:rPr>
          <w:sz w:val="22"/>
          <w:szCs w:val="22"/>
        </w:rPr>
        <w:t xml:space="preserve">  For stations requesting </w:t>
      </w:r>
      <w:r w:rsidRPr="004478EE" w:rsidR="00C37FD5">
        <w:rPr>
          <w:sz w:val="22"/>
          <w:szCs w:val="22"/>
        </w:rPr>
        <w:t>distributed transmissions system (DTS)</w:t>
      </w:r>
      <w:r w:rsidRPr="004478EE" w:rsidR="00413338">
        <w:rPr>
          <w:sz w:val="22"/>
          <w:szCs w:val="22"/>
        </w:rPr>
        <w:t xml:space="preserve"> operation pursuant to section 73.626, the </w:t>
      </w:r>
      <w:r w:rsidRPr="004478EE" w:rsidR="00413338">
        <w:rPr>
          <w:i/>
          <w:iCs/>
          <w:sz w:val="22"/>
          <w:szCs w:val="22"/>
        </w:rPr>
        <w:t>Report and Order</w:t>
      </w:r>
      <w:r w:rsidRPr="004478EE" w:rsidR="00413338">
        <w:rPr>
          <w:sz w:val="22"/>
          <w:szCs w:val="22"/>
        </w:rPr>
        <w:t xml:space="preserve"> clarifies that the 100 watt minimum</w:t>
      </w:r>
      <w:r w:rsidRPr="004478EE" w:rsidR="00D60973">
        <w:rPr>
          <w:sz w:val="22"/>
          <w:szCs w:val="22"/>
        </w:rPr>
        <w:t xml:space="preserve"> effective radiated power</w:t>
      </w:r>
      <w:r w:rsidRPr="004478EE" w:rsidR="00413338">
        <w:rPr>
          <w:sz w:val="22"/>
          <w:szCs w:val="22"/>
        </w:rPr>
        <w:t xml:space="preserve"> </w:t>
      </w:r>
      <w:r w:rsidRPr="004478EE" w:rsidR="00D60973">
        <w:rPr>
          <w:sz w:val="22"/>
          <w:szCs w:val="22"/>
        </w:rPr>
        <w:t>(</w:t>
      </w:r>
      <w:r w:rsidRPr="004478EE" w:rsidR="00413338">
        <w:rPr>
          <w:sz w:val="22"/>
          <w:szCs w:val="22"/>
        </w:rPr>
        <w:t>ERP</w:t>
      </w:r>
      <w:r w:rsidRPr="004478EE" w:rsidR="00D60973">
        <w:rPr>
          <w:sz w:val="22"/>
          <w:szCs w:val="22"/>
        </w:rPr>
        <w:t>)</w:t>
      </w:r>
      <w:r w:rsidRPr="004478EE" w:rsidR="00413338">
        <w:rPr>
          <w:sz w:val="22"/>
          <w:szCs w:val="22"/>
        </w:rPr>
        <w:t xml:space="preserve"> requirement applies to at least one site in the DTS.</w:t>
      </w:r>
    </w:p>
    <w:p w:rsidR="0011397F" w:rsidRPr="004478EE" w:rsidP="00F32710" w14:paraId="672BCE3F" w14:textId="77777777">
      <w:pPr>
        <w:pStyle w:val="Default"/>
        <w:ind w:firstLine="720"/>
        <w:rPr>
          <w:sz w:val="22"/>
          <w:szCs w:val="22"/>
        </w:rPr>
      </w:pPr>
    </w:p>
    <w:p w:rsidR="003E0EB1" w:rsidRPr="004478EE" w:rsidP="0076793A" w14:paraId="49580575" w14:textId="1CB5CFB4">
      <w:pPr>
        <w:pStyle w:val="Default"/>
        <w:ind w:firstLine="720"/>
        <w:contextualSpacing/>
        <w:rPr>
          <w:sz w:val="22"/>
          <w:szCs w:val="22"/>
        </w:rPr>
      </w:pPr>
      <w:r w:rsidRPr="004478EE">
        <w:rPr>
          <w:sz w:val="22"/>
          <w:szCs w:val="22"/>
        </w:rPr>
        <w:t xml:space="preserve">The </w:t>
      </w:r>
      <w:r w:rsidRPr="004478EE" w:rsidR="00243D06">
        <w:rPr>
          <w:sz w:val="22"/>
          <w:szCs w:val="22"/>
        </w:rPr>
        <w:t>amended rules</w:t>
      </w:r>
      <w:r w:rsidRPr="004478EE">
        <w:rPr>
          <w:sz w:val="22"/>
          <w:szCs w:val="22"/>
        </w:rPr>
        <w:t xml:space="preserve"> also include a new paragraph 73.617(e) to codify a long</w:t>
      </w:r>
      <w:r w:rsidRPr="004478EE" w:rsidR="00AA27BF">
        <w:rPr>
          <w:sz w:val="22"/>
          <w:szCs w:val="22"/>
        </w:rPr>
        <w:t>-</w:t>
      </w:r>
      <w:r w:rsidRPr="004478EE">
        <w:rPr>
          <w:sz w:val="22"/>
          <w:szCs w:val="22"/>
        </w:rPr>
        <w:t>standing Commission practice to place a condition on all television broadcast station authorizations that result in a change in coverage area, including all authorizations for new stations, which requires TV broadcasters to identify and notify hospital and other health care facilities within the station’s coverage area to avoid interference to medical telemetry devices.</w:t>
      </w:r>
      <w:r w:rsidRPr="004478EE" w:rsidR="00D727C2">
        <w:rPr>
          <w:sz w:val="22"/>
          <w:szCs w:val="22"/>
        </w:rPr>
        <w:t xml:space="preserve">  </w:t>
      </w:r>
      <w:r w:rsidR="0076793A">
        <w:rPr>
          <w:sz w:val="22"/>
          <w:szCs w:val="22"/>
        </w:rPr>
        <w:br/>
      </w:r>
    </w:p>
    <w:p w:rsidR="001C57C3" w:rsidP="0076793A" w14:paraId="16909867" w14:textId="05EDF78C">
      <w:pPr>
        <w:spacing w:after="120" w:line="240" w:lineRule="auto"/>
        <w:ind w:firstLine="720"/>
        <w:contextualSpacing/>
        <w:rPr>
          <w:rFonts w:ascii="Times New Roman" w:hAnsi="Times New Roman" w:cs="Times New Roman"/>
        </w:rPr>
      </w:pPr>
      <w:r w:rsidRPr="004478EE">
        <w:rPr>
          <w:rFonts w:ascii="Times New Roman" w:hAnsi="Times New Roman" w:cs="Times New Roman"/>
        </w:rPr>
        <w:t>In addition, in section 73.622(a)</w:t>
      </w:r>
      <w:r w:rsidRPr="004478EE" w:rsidR="008160B4">
        <w:rPr>
          <w:rFonts w:ascii="Times New Roman" w:hAnsi="Times New Roman" w:cs="Times New Roman"/>
        </w:rPr>
        <w:t xml:space="preserve">, </w:t>
      </w:r>
      <w:r w:rsidRPr="004478EE">
        <w:rPr>
          <w:rFonts w:ascii="Times New Roman" w:hAnsi="Times New Roman" w:cs="Times New Roman"/>
        </w:rPr>
        <w:t xml:space="preserve">the </w:t>
      </w:r>
      <w:r w:rsidRPr="004478EE">
        <w:rPr>
          <w:rFonts w:ascii="Times New Roman" w:hAnsi="Times New Roman" w:cs="Times New Roman"/>
          <w:i/>
          <w:iCs/>
        </w:rPr>
        <w:t>Report and Order</w:t>
      </w:r>
      <w:r w:rsidRPr="004478EE">
        <w:rPr>
          <w:rFonts w:ascii="Times New Roman" w:hAnsi="Times New Roman" w:cs="Times New Roman"/>
        </w:rPr>
        <w:t xml:space="preserve"> modifies the language to clarify the rule sections specific to petitions to modify the Table of TV Allotments</w:t>
      </w:r>
      <w:r w:rsidRPr="004478EE" w:rsidR="00B61AFE">
        <w:rPr>
          <w:rFonts w:ascii="Times New Roman" w:hAnsi="Times New Roman" w:cs="Times New Roman"/>
        </w:rPr>
        <w:t xml:space="preserve">.  </w:t>
      </w:r>
      <w:r w:rsidRPr="004478EE" w:rsidR="0006521A">
        <w:rPr>
          <w:rFonts w:ascii="Times New Roman" w:hAnsi="Times New Roman" w:cs="Times New Roman"/>
        </w:rPr>
        <w:t xml:space="preserve">The </w:t>
      </w:r>
      <w:r w:rsidRPr="004478EE" w:rsidR="0006521A">
        <w:rPr>
          <w:rFonts w:ascii="Times New Roman" w:hAnsi="Times New Roman" w:cs="Times New Roman"/>
          <w:i/>
          <w:iCs/>
        </w:rPr>
        <w:t>Report and Order</w:t>
      </w:r>
      <w:r w:rsidRPr="004478EE" w:rsidR="00B61AFE">
        <w:rPr>
          <w:rFonts w:ascii="Times New Roman" w:hAnsi="Times New Roman" w:cs="Times New Roman"/>
        </w:rPr>
        <w:t xml:space="preserve"> redesignate</w:t>
      </w:r>
      <w:r w:rsidRPr="004478EE" w:rsidR="0006521A">
        <w:rPr>
          <w:rFonts w:ascii="Times New Roman" w:hAnsi="Times New Roman" w:cs="Times New Roman"/>
        </w:rPr>
        <w:t>s</w:t>
      </w:r>
      <w:r w:rsidRPr="004478EE" w:rsidR="00B61AFE">
        <w:rPr>
          <w:rFonts w:ascii="Times New Roman" w:hAnsi="Times New Roman" w:cs="Times New Roman"/>
        </w:rPr>
        <w:t xml:space="preserve"> the language in section 73.622(d)(2) as section 73.622(d), clarif</w:t>
      </w:r>
      <w:r w:rsidRPr="004478EE" w:rsidR="0006521A">
        <w:rPr>
          <w:rFonts w:ascii="Times New Roman" w:hAnsi="Times New Roman" w:cs="Times New Roman"/>
        </w:rPr>
        <w:t>ies</w:t>
      </w:r>
      <w:r w:rsidRPr="004478EE" w:rsidR="00B61AFE">
        <w:rPr>
          <w:rFonts w:ascii="Times New Roman" w:hAnsi="Times New Roman" w:cs="Times New Roman"/>
        </w:rPr>
        <w:t xml:space="preserve"> the rule text to indicate this subsection applies to all allotments, and clarif</w:t>
      </w:r>
      <w:r w:rsidRPr="004478EE" w:rsidR="0006521A">
        <w:rPr>
          <w:rFonts w:ascii="Times New Roman" w:hAnsi="Times New Roman" w:cs="Times New Roman"/>
        </w:rPr>
        <w:t xml:space="preserve">ies </w:t>
      </w:r>
      <w:r w:rsidRPr="004478EE" w:rsidR="00B61AFE">
        <w:rPr>
          <w:rFonts w:ascii="Times New Roman" w:hAnsi="Times New Roman" w:cs="Times New Roman"/>
        </w:rPr>
        <w:t xml:space="preserve">that the “reference coordinates” for each allotment are those of the authorized facility (or for new allotments, the coordinates given in the order amending the Table of TV Allotments). </w:t>
      </w:r>
      <w:r w:rsidRPr="004478EE" w:rsidR="008319D3">
        <w:rPr>
          <w:rFonts w:ascii="Times New Roman" w:hAnsi="Times New Roman" w:cs="Times New Roman"/>
        </w:rPr>
        <w:t xml:space="preserve"> </w:t>
      </w:r>
      <w:r w:rsidRPr="004478EE" w:rsidR="0006521A">
        <w:rPr>
          <w:rFonts w:ascii="Times New Roman" w:hAnsi="Times New Roman" w:cs="Times New Roman"/>
        </w:rPr>
        <w:t xml:space="preserve">The </w:t>
      </w:r>
      <w:r w:rsidRPr="004478EE" w:rsidR="0006521A">
        <w:rPr>
          <w:rFonts w:ascii="Times New Roman" w:hAnsi="Times New Roman" w:cs="Times New Roman"/>
          <w:i/>
          <w:iCs/>
        </w:rPr>
        <w:t>Report and Order</w:t>
      </w:r>
      <w:r w:rsidRPr="004478EE" w:rsidR="0006521A">
        <w:rPr>
          <w:rFonts w:ascii="Times New Roman" w:hAnsi="Times New Roman" w:cs="Times New Roman"/>
        </w:rPr>
        <w:t xml:space="preserve"> </w:t>
      </w:r>
      <w:r w:rsidRPr="004478EE" w:rsidR="00B61AFE">
        <w:rPr>
          <w:rFonts w:ascii="Times New Roman" w:hAnsi="Times New Roman" w:cs="Times New Roman"/>
        </w:rPr>
        <w:t>relocate</w:t>
      </w:r>
      <w:r w:rsidRPr="004478EE" w:rsidR="0006521A">
        <w:rPr>
          <w:rFonts w:ascii="Times New Roman" w:hAnsi="Times New Roman" w:cs="Times New Roman"/>
        </w:rPr>
        <w:t>s</w:t>
      </w:r>
      <w:r w:rsidRPr="004478EE" w:rsidR="00B61AFE">
        <w:rPr>
          <w:rFonts w:ascii="Times New Roman" w:hAnsi="Times New Roman" w:cs="Times New Roman"/>
        </w:rPr>
        <w:t xml:space="preserve"> text relating to the minimum distance separations for new TV allotments from section 73.623(d) to a new section 73.622(k).  In section 73.623(a), </w:t>
      </w:r>
      <w:r w:rsidRPr="004478EE" w:rsidR="0006521A">
        <w:rPr>
          <w:rFonts w:ascii="Times New Roman" w:hAnsi="Times New Roman" w:cs="Times New Roman"/>
        </w:rPr>
        <w:t xml:space="preserve">the </w:t>
      </w:r>
      <w:r w:rsidRPr="004478EE" w:rsidR="0006521A">
        <w:rPr>
          <w:rFonts w:ascii="Times New Roman" w:hAnsi="Times New Roman" w:cs="Times New Roman"/>
          <w:i/>
          <w:iCs/>
        </w:rPr>
        <w:t>Report and Order</w:t>
      </w:r>
      <w:r w:rsidRPr="004478EE" w:rsidR="0006521A">
        <w:rPr>
          <w:rFonts w:ascii="Times New Roman" w:hAnsi="Times New Roman" w:cs="Times New Roman"/>
        </w:rPr>
        <w:t xml:space="preserve"> </w:t>
      </w:r>
      <w:r w:rsidRPr="004478EE" w:rsidR="00B61AFE">
        <w:rPr>
          <w:rFonts w:ascii="Times New Roman" w:hAnsi="Times New Roman" w:cs="Times New Roman"/>
        </w:rPr>
        <w:t>modif</w:t>
      </w:r>
      <w:r w:rsidRPr="004478EE" w:rsidR="0006521A">
        <w:rPr>
          <w:rFonts w:ascii="Times New Roman" w:hAnsi="Times New Roman" w:cs="Times New Roman"/>
        </w:rPr>
        <w:t>ies</w:t>
      </w:r>
      <w:r w:rsidRPr="004478EE" w:rsidR="00B61AFE">
        <w:rPr>
          <w:rFonts w:ascii="Times New Roman" w:hAnsi="Times New Roman" w:cs="Times New Roman"/>
        </w:rPr>
        <w:t xml:space="preserve"> the language to clarify the rule sections specific to application processing and remove</w:t>
      </w:r>
      <w:r w:rsidRPr="004478EE" w:rsidR="0006521A">
        <w:rPr>
          <w:rFonts w:ascii="Times New Roman" w:hAnsi="Times New Roman" w:cs="Times New Roman"/>
        </w:rPr>
        <w:t>s</w:t>
      </w:r>
      <w:r w:rsidRPr="004478EE" w:rsidR="00B61AFE">
        <w:rPr>
          <w:rFonts w:ascii="Times New Roman" w:hAnsi="Times New Roman" w:cs="Times New Roman"/>
        </w:rPr>
        <w:t xml:space="preserve"> discussion of modifications to the Table of TV Allotments. </w:t>
      </w:r>
      <w:r w:rsidR="0076793A">
        <w:rPr>
          <w:rFonts w:ascii="Times New Roman" w:hAnsi="Times New Roman" w:cs="Times New Roman"/>
        </w:rPr>
        <w:br/>
      </w:r>
    </w:p>
    <w:p w:rsidR="00ED148A" w:rsidP="005E1D28" w14:paraId="3051446E" w14:textId="64C45CDD">
      <w:pPr>
        <w:spacing w:after="120" w:line="240" w:lineRule="auto"/>
        <w:ind w:firstLine="720"/>
        <w:rPr>
          <w:rFonts w:ascii="Times New Roman" w:hAnsi="Times New Roman" w:cs="Times New Roman"/>
          <w:iCs/>
        </w:rPr>
      </w:pPr>
      <w:r>
        <w:rPr>
          <w:rFonts w:ascii="Times New Roman" w:hAnsi="Times New Roman" w:cs="Times New Roman"/>
          <w:iCs/>
        </w:rPr>
        <w:t>With respect to the reorganization o</w:t>
      </w:r>
      <w:r w:rsidR="00FA315A">
        <w:rPr>
          <w:rFonts w:ascii="Times New Roman" w:hAnsi="Times New Roman" w:cs="Times New Roman"/>
          <w:iCs/>
        </w:rPr>
        <w:t>f the television rules</w:t>
      </w:r>
      <w:r w:rsidR="00E907C8">
        <w:rPr>
          <w:rFonts w:ascii="Times New Roman" w:hAnsi="Times New Roman" w:cs="Times New Roman"/>
          <w:iCs/>
        </w:rPr>
        <w:t xml:space="preserve">, the </w:t>
      </w:r>
      <w:r w:rsidRPr="00B345F6" w:rsidR="00E907C8">
        <w:rPr>
          <w:rFonts w:ascii="Times New Roman" w:hAnsi="Times New Roman" w:cs="Times New Roman"/>
          <w:i/>
        </w:rPr>
        <w:t>Report and Order</w:t>
      </w:r>
      <w:r w:rsidR="00E907C8">
        <w:rPr>
          <w:rFonts w:ascii="Times New Roman" w:hAnsi="Times New Roman" w:cs="Times New Roman"/>
          <w:iCs/>
        </w:rPr>
        <w:t xml:space="preserve"> </w:t>
      </w:r>
      <w:r w:rsidR="00F04D48">
        <w:rPr>
          <w:rFonts w:ascii="Times New Roman" w:hAnsi="Times New Roman" w:cs="Times New Roman"/>
          <w:iCs/>
        </w:rPr>
        <w:t>includes</w:t>
      </w:r>
      <w:r w:rsidR="00B345F6">
        <w:rPr>
          <w:rFonts w:ascii="Times New Roman" w:hAnsi="Times New Roman" w:cs="Times New Roman"/>
          <w:iCs/>
        </w:rPr>
        <w:t xml:space="preserve"> a table of c</w:t>
      </w:r>
      <w:r w:rsidR="00714D54">
        <w:rPr>
          <w:rFonts w:ascii="Times New Roman" w:hAnsi="Times New Roman" w:cs="Times New Roman"/>
          <w:iCs/>
        </w:rPr>
        <w:t>ross-references</w:t>
      </w:r>
      <w:r w:rsidR="00CD4F61">
        <w:rPr>
          <w:rFonts w:ascii="Times New Roman" w:hAnsi="Times New Roman" w:cs="Times New Roman"/>
          <w:iCs/>
        </w:rPr>
        <w:t xml:space="preserve"> so that </w:t>
      </w:r>
      <w:r w:rsidR="00520C6A">
        <w:rPr>
          <w:rFonts w:ascii="Times New Roman" w:hAnsi="Times New Roman" w:cs="Times New Roman"/>
          <w:iCs/>
        </w:rPr>
        <w:t>users of our rules</w:t>
      </w:r>
      <w:r w:rsidR="00DD7CC3">
        <w:rPr>
          <w:rFonts w:ascii="Times New Roman" w:hAnsi="Times New Roman" w:cs="Times New Roman"/>
          <w:iCs/>
        </w:rPr>
        <w:t xml:space="preserve"> can more easily locate the new location of rules.  </w:t>
      </w:r>
      <w:r w:rsidR="000820B8">
        <w:rPr>
          <w:rFonts w:ascii="Times New Roman" w:hAnsi="Times New Roman" w:cs="Times New Roman"/>
          <w:iCs/>
        </w:rPr>
        <w:t xml:space="preserve">A copy of the table found in the </w:t>
      </w:r>
      <w:r w:rsidRPr="00D1215C" w:rsidR="000820B8">
        <w:rPr>
          <w:rFonts w:ascii="Times New Roman" w:hAnsi="Times New Roman" w:cs="Times New Roman"/>
          <w:i/>
        </w:rPr>
        <w:t>Report and Order</w:t>
      </w:r>
      <w:r w:rsidR="000820B8">
        <w:rPr>
          <w:rFonts w:ascii="Times New Roman" w:hAnsi="Times New Roman" w:cs="Times New Roman"/>
          <w:iCs/>
        </w:rPr>
        <w:t xml:space="preserve"> is included below for ease of reference.</w:t>
      </w:r>
    </w:p>
    <w:tbl>
      <w:tblPr>
        <w:tblStyle w:val="TableGrid"/>
        <w:tblW w:w="0" w:type="auto"/>
        <w:jc w:val="center"/>
        <w:tblLook w:val="04A0"/>
      </w:tblPr>
      <w:tblGrid>
        <w:gridCol w:w="3235"/>
        <w:gridCol w:w="4050"/>
      </w:tblGrid>
      <w:tr w14:paraId="395552B3" w14:textId="77777777" w:rsidTr="00ED3646">
        <w:tblPrEx>
          <w:tblW w:w="0" w:type="auto"/>
          <w:jc w:val="center"/>
          <w:tblLook w:val="04A0"/>
        </w:tblPrEx>
        <w:trPr>
          <w:jc w:val="center"/>
        </w:trPr>
        <w:tc>
          <w:tcPr>
            <w:tcW w:w="7285" w:type="dxa"/>
            <w:gridSpan w:val="2"/>
          </w:tcPr>
          <w:p w:rsidR="001930EB" w:rsidRPr="00920369" w:rsidP="00ED3646" w14:paraId="0AF37828" w14:textId="77777777">
            <w:pPr>
              <w:spacing w:after="120"/>
              <w:ind w:firstLine="720"/>
              <w:contextualSpacing/>
              <w:rPr>
                <w:rFonts w:ascii="Times New Roman" w:eastAsia="Times New Roman" w:hAnsi="Times New Roman" w:cs="Times New Roman"/>
                <w:b/>
                <w:bCs/>
                <w:sz w:val="20"/>
                <w:szCs w:val="20"/>
              </w:rPr>
            </w:pPr>
            <w:r w:rsidRPr="00920369">
              <w:rPr>
                <w:rFonts w:ascii="Times New Roman" w:eastAsia="Times New Roman" w:hAnsi="Times New Roman" w:cs="Times New Roman"/>
                <w:b/>
                <w:bCs/>
                <w:sz w:val="20"/>
                <w:szCs w:val="20"/>
              </w:rPr>
              <w:t>Table 1: Cross-references</w:t>
            </w:r>
          </w:p>
        </w:tc>
      </w:tr>
      <w:tr w14:paraId="2CE39529" w14:textId="77777777" w:rsidTr="00ED3646">
        <w:tblPrEx>
          <w:tblW w:w="0" w:type="auto"/>
          <w:jc w:val="center"/>
          <w:tblLook w:val="04A0"/>
        </w:tblPrEx>
        <w:trPr>
          <w:jc w:val="center"/>
        </w:trPr>
        <w:tc>
          <w:tcPr>
            <w:tcW w:w="3235" w:type="dxa"/>
          </w:tcPr>
          <w:p w:rsidR="001930EB" w:rsidRPr="00920369" w:rsidP="00ED3646" w14:paraId="19527166" w14:textId="77777777">
            <w:pPr>
              <w:spacing w:after="120"/>
              <w:ind w:firstLine="720"/>
              <w:contextualSpacing/>
              <w:rPr>
                <w:rFonts w:ascii="Times New Roman" w:eastAsia="Times New Roman" w:hAnsi="Times New Roman" w:cs="Times New Roman"/>
                <w:b/>
                <w:bCs/>
                <w:sz w:val="20"/>
                <w:szCs w:val="20"/>
              </w:rPr>
            </w:pPr>
            <w:r w:rsidRPr="00920369">
              <w:rPr>
                <w:rFonts w:ascii="Times New Roman" w:eastAsia="Times New Roman" w:hAnsi="Times New Roman" w:cs="Times New Roman"/>
                <w:b/>
                <w:bCs/>
                <w:sz w:val="20"/>
                <w:szCs w:val="20"/>
              </w:rPr>
              <w:t>Instead of referencing…</w:t>
            </w:r>
          </w:p>
        </w:tc>
        <w:tc>
          <w:tcPr>
            <w:tcW w:w="4050" w:type="dxa"/>
          </w:tcPr>
          <w:p w:rsidR="001930EB" w:rsidRPr="00920369" w:rsidP="00ED3646" w14:paraId="0AD51DC4" w14:textId="77777777">
            <w:pPr>
              <w:spacing w:after="120"/>
              <w:ind w:firstLine="720"/>
              <w:contextualSpacing/>
              <w:rPr>
                <w:rFonts w:ascii="Times New Roman" w:eastAsia="Times New Roman" w:hAnsi="Times New Roman" w:cs="Times New Roman"/>
                <w:b/>
                <w:bCs/>
                <w:sz w:val="20"/>
                <w:szCs w:val="20"/>
              </w:rPr>
            </w:pPr>
            <w:r w:rsidRPr="00920369">
              <w:rPr>
                <w:rFonts w:ascii="Times New Roman" w:eastAsia="Times New Roman" w:hAnsi="Times New Roman" w:cs="Times New Roman"/>
                <w:b/>
                <w:bCs/>
                <w:sz w:val="20"/>
                <w:szCs w:val="20"/>
              </w:rPr>
              <w:t>Reference…</w:t>
            </w:r>
          </w:p>
        </w:tc>
      </w:tr>
      <w:tr w14:paraId="61B9F45B" w14:textId="77777777" w:rsidTr="00ED3646">
        <w:tblPrEx>
          <w:tblW w:w="0" w:type="auto"/>
          <w:jc w:val="center"/>
          <w:tblLook w:val="04A0"/>
        </w:tblPrEx>
        <w:trPr>
          <w:jc w:val="center"/>
        </w:trPr>
        <w:tc>
          <w:tcPr>
            <w:tcW w:w="3235" w:type="dxa"/>
          </w:tcPr>
          <w:p w:rsidR="001930EB" w:rsidRPr="00920369" w:rsidP="00ED3646" w14:paraId="31DE1F2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73.614(b)(7) . . .</w:t>
            </w:r>
          </w:p>
        </w:tc>
        <w:tc>
          <w:tcPr>
            <w:tcW w:w="4050" w:type="dxa"/>
          </w:tcPr>
          <w:p w:rsidR="001930EB" w:rsidRPr="00920369" w:rsidP="00ED3646" w14:paraId="315D420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73.625(c)(1).</w:t>
            </w:r>
          </w:p>
        </w:tc>
      </w:tr>
      <w:tr w14:paraId="31E34ECD" w14:textId="77777777" w:rsidTr="00ED3646">
        <w:tblPrEx>
          <w:tblW w:w="0" w:type="auto"/>
          <w:jc w:val="center"/>
          <w:tblLook w:val="04A0"/>
        </w:tblPrEx>
        <w:trPr>
          <w:jc w:val="center"/>
        </w:trPr>
        <w:tc>
          <w:tcPr>
            <w:tcW w:w="3235" w:type="dxa"/>
          </w:tcPr>
          <w:p w:rsidR="001930EB" w:rsidRPr="00920369" w:rsidP="00ED3646" w14:paraId="35E038A7"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73.616(a) . . .</w:t>
            </w:r>
          </w:p>
        </w:tc>
        <w:tc>
          <w:tcPr>
            <w:tcW w:w="4050" w:type="dxa"/>
          </w:tcPr>
          <w:p w:rsidR="001930EB" w:rsidRPr="00920369" w:rsidP="00ED3646" w14:paraId="75EA203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73.622(a).</w:t>
            </w:r>
          </w:p>
        </w:tc>
      </w:tr>
      <w:tr w14:paraId="1B84FF36" w14:textId="77777777" w:rsidTr="00ED3646">
        <w:tblPrEx>
          <w:tblW w:w="0" w:type="auto"/>
          <w:jc w:val="center"/>
          <w:tblLook w:val="04A0"/>
        </w:tblPrEx>
        <w:trPr>
          <w:jc w:val="center"/>
        </w:trPr>
        <w:tc>
          <w:tcPr>
            <w:tcW w:w="3235" w:type="dxa"/>
          </w:tcPr>
          <w:p w:rsidR="001930EB" w:rsidRPr="00920369" w:rsidP="00ED3646" w14:paraId="7852E084"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73.616(b) . . .</w:t>
            </w:r>
          </w:p>
        </w:tc>
        <w:tc>
          <w:tcPr>
            <w:tcW w:w="4050" w:type="dxa"/>
          </w:tcPr>
          <w:p w:rsidR="001930EB" w:rsidRPr="00920369" w:rsidP="00ED3646" w14:paraId="1E7C2430"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73.622(d).</w:t>
            </w:r>
          </w:p>
        </w:tc>
      </w:tr>
      <w:tr w14:paraId="78253933" w14:textId="77777777" w:rsidTr="00ED3646">
        <w:tblPrEx>
          <w:tblW w:w="0" w:type="auto"/>
          <w:jc w:val="center"/>
          <w:tblLook w:val="04A0"/>
        </w:tblPrEx>
        <w:trPr>
          <w:jc w:val="center"/>
        </w:trPr>
        <w:tc>
          <w:tcPr>
            <w:tcW w:w="3235" w:type="dxa"/>
          </w:tcPr>
          <w:p w:rsidR="001930EB" w:rsidRPr="00920369" w:rsidP="00ED3646" w14:paraId="583F6FD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73.616(c) . . .</w:t>
            </w:r>
          </w:p>
        </w:tc>
        <w:tc>
          <w:tcPr>
            <w:tcW w:w="4050" w:type="dxa"/>
          </w:tcPr>
          <w:p w:rsidR="001930EB" w:rsidRPr="00920369" w:rsidP="00ED3646" w14:paraId="14B17D6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73.619(d).</w:t>
            </w:r>
          </w:p>
        </w:tc>
      </w:tr>
      <w:tr w14:paraId="127163F2" w14:textId="77777777" w:rsidTr="00ED3646">
        <w:tblPrEx>
          <w:tblW w:w="0" w:type="auto"/>
          <w:jc w:val="center"/>
          <w:tblLook w:val="04A0"/>
        </w:tblPrEx>
        <w:trPr>
          <w:jc w:val="center"/>
        </w:trPr>
        <w:tc>
          <w:tcPr>
            <w:tcW w:w="3235" w:type="dxa"/>
          </w:tcPr>
          <w:p w:rsidR="001930EB" w:rsidRPr="00920369" w:rsidP="00ED3646" w14:paraId="471056B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73.616(d) . . .</w:t>
            </w:r>
          </w:p>
        </w:tc>
        <w:tc>
          <w:tcPr>
            <w:tcW w:w="4050" w:type="dxa"/>
          </w:tcPr>
          <w:p w:rsidR="001930EB" w:rsidRPr="00920369" w:rsidP="00ED3646" w14:paraId="58DC31D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73.620(c).</w:t>
            </w:r>
          </w:p>
        </w:tc>
      </w:tr>
      <w:tr w14:paraId="5824BE3C" w14:textId="77777777" w:rsidTr="00ED3646">
        <w:tblPrEx>
          <w:tblW w:w="0" w:type="auto"/>
          <w:jc w:val="center"/>
          <w:tblLook w:val="04A0"/>
        </w:tblPrEx>
        <w:trPr>
          <w:jc w:val="center"/>
        </w:trPr>
        <w:tc>
          <w:tcPr>
            <w:tcW w:w="3235" w:type="dxa"/>
          </w:tcPr>
          <w:p w:rsidR="001930EB" w:rsidRPr="00920369" w:rsidP="00ED3646" w14:paraId="2313F609"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73.616(d)(2) . . .</w:t>
            </w:r>
          </w:p>
        </w:tc>
        <w:tc>
          <w:tcPr>
            <w:tcW w:w="4050" w:type="dxa"/>
          </w:tcPr>
          <w:p w:rsidR="001930EB" w:rsidRPr="00920369" w:rsidP="00ED3646" w14:paraId="4FD276CF"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73.620(a).</w:t>
            </w:r>
          </w:p>
        </w:tc>
      </w:tr>
      <w:tr w14:paraId="3E97C00A" w14:textId="77777777" w:rsidTr="00ED3646">
        <w:tblPrEx>
          <w:tblW w:w="0" w:type="auto"/>
          <w:jc w:val="center"/>
          <w:tblLook w:val="04A0"/>
        </w:tblPrEx>
        <w:trPr>
          <w:jc w:val="center"/>
        </w:trPr>
        <w:tc>
          <w:tcPr>
            <w:tcW w:w="3235" w:type="dxa"/>
          </w:tcPr>
          <w:p w:rsidR="001930EB" w:rsidRPr="00920369" w:rsidP="00ED3646" w14:paraId="14A2F83D"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73.616(e) . . .</w:t>
            </w:r>
          </w:p>
        </w:tc>
        <w:tc>
          <w:tcPr>
            <w:tcW w:w="4050" w:type="dxa"/>
          </w:tcPr>
          <w:p w:rsidR="001930EB" w:rsidRPr="00920369" w:rsidP="00ED3646" w14:paraId="4B19F9F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73.620(d).</w:t>
            </w:r>
          </w:p>
        </w:tc>
      </w:tr>
      <w:tr w14:paraId="007FA0B3" w14:textId="77777777" w:rsidTr="00ED3646">
        <w:tblPrEx>
          <w:tblW w:w="0" w:type="auto"/>
          <w:jc w:val="center"/>
          <w:tblLook w:val="04A0"/>
        </w:tblPrEx>
        <w:trPr>
          <w:jc w:val="center"/>
        </w:trPr>
        <w:tc>
          <w:tcPr>
            <w:tcW w:w="3235" w:type="dxa"/>
          </w:tcPr>
          <w:p w:rsidR="001930EB" w:rsidRPr="00920369" w:rsidP="00ED3646" w14:paraId="5EAF1FC4"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73.616(g) . . .</w:t>
            </w:r>
          </w:p>
        </w:tc>
        <w:tc>
          <w:tcPr>
            <w:tcW w:w="4050" w:type="dxa"/>
          </w:tcPr>
          <w:p w:rsidR="001930EB" w:rsidRPr="00920369" w:rsidP="00ED3646" w14:paraId="7F627DC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73.620(f).</w:t>
            </w:r>
          </w:p>
        </w:tc>
      </w:tr>
      <w:tr w14:paraId="553DCF85" w14:textId="77777777" w:rsidTr="00ED3646">
        <w:tblPrEx>
          <w:tblW w:w="0" w:type="auto"/>
          <w:jc w:val="center"/>
          <w:tblLook w:val="04A0"/>
        </w:tblPrEx>
        <w:trPr>
          <w:jc w:val="center"/>
        </w:trPr>
        <w:tc>
          <w:tcPr>
            <w:tcW w:w="3235" w:type="dxa"/>
          </w:tcPr>
          <w:p w:rsidR="001930EB" w:rsidRPr="00920369" w:rsidP="00ED3646" w14:paraId="3B449412"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73.622(b) . . .</w:t>
            </w:r>
          </w:p>
        </w:tc>
        <w:tc>
          <w:tcPr>
            <w:tcW w:w="4050" w:type="dxa"/>
          </w:tcPr>
          <w:p w:rsidR="001930EB" w:rsidRPr="00920369" w:rsidP="00ED3646" w14:paraId="50F1545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73.622(j).</w:t>
            </w:r>
          </w:p>
        </w:tc>
      </w:tr>
      <w:tr w14:paraId="79367A77" w14:textId="77777777" w:rsidTr="00ED3646">
        <w:tblPrEx>
          <w:tblW w:w="0" w:type="auto"/>
          <w:jc w:val="center"/>
          <w:tblLook w:val="04A0"/>
        </w:tblPrEx>
        <w:trPr>
          <w:jc w:val="center"/>
        </w:trPr>
        <w:tc>
          <w:tcPr>
            <w:tcW w:w="3235" w:type="dxa"/>
          </w:tcPr>
          <w:p w:rsidR="001930EB" w:rsidRPr="00920369" w:rsidP="00ED3646" w14:paraId="3F4EFE74"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73.622(c) . . .</w:t>
            </w:r>
          </w:p>
        </w:tc>
        <w:tc>
          <w:tcPr>
            <w:tcW w:w="4050" w:type="dxa"/>
          </w:tcPr>
          <w:p w:rsidR="001930EB" w:rsidRPr="00920369" w:rsidP="00ED3646" w14:paraId="5484798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73.623(b).</w:t>
            </w:r>
          </w:p>
        </w:tc>
      </w:tr>
      <w:tr w14:paraId="48AF58EB" w14:textId="77777777" w:rsidTr="00ED3646">
        <w:tblPrEx>
          <w:tblW w:w="0" w:type="auto"/>
          <w:jc w:val="center"/>
          <w:tblLook w:val="04A0"/>
        </w:tblPrEx>
        <w:trPr>
          <w:jc w:val="center"/>
        </w:trPr>
        <w:tc>
          <w:tcPr>
            <w:tcW w:w="3235" w:type="dxa"/>
          </w:tcPr>
          <w:p w:rsidR="001930EB" w:rsidRPr="00920369" w:rsidP="00920369" w14:paraId="3A052C4E"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73.622(e) . . .</w:t>
            </w:r>
          </w:p>
        </w:tc>
        <w:tc>
          <w:tcPr>
            <w:tcW w:w="4050" w:type="dxa"/>
          </w:tcPr>
          <w:p w:rsidR="001930EB" w:rsidRPr="00920369" w:rsidP="00920369" w14:paraId="73817696"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73.619(c).</w:t>
            </w:r>
          </w:p>
        </w:tc>
      </w:tr>
      <w:tr w14:paraId="180CCB78" w14:textId="77777777" w:rsidTr="00ED3646">
        <w:tblPrEx>
          <w:tblW w:w="0" w:type="auto"/>
          <w:jc w:val="center"/>
          <w:tblLook w:val="04A0"/>
        </w:tblPrEx>
        <w:trPr>
          <w:jc w:val="center"/>
        </w:trPr>
        <w:tc>
          <w:tcPr>
            <w:tcW w:w="3235" w:type="dxa"/>
          </w:tcPr>
          <w:p w:rsidR="001930EB" w:rsidRPr="00920369" w:rsidP="00ED3646" w14:paraId="09F3161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73.622(f)(5) . . .</w:t>
            </w:r>
          </w:p>
        </w:tc>
        <w:tc>
          <w:tcPr>
            <w:tcW w:w="4050" w:type="dxa"/>
          </w:tcPr>
          <w:p w:rsidR="001930EB" w:rsidRPr="00920369" w:rsidP="00ED3646" w14:paraId="4DA3980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73.614(b)(6).</w:t>
            </w:r>
          </w:p>
        </w:tc>
      </w:tr>
      <w:tr w14:paraId="2B8817E8" w14:textId="77777777" w:rsidTr="00ED3646">
        <w:tblPrEx>
          <w:tblW w:w="0" w:type="auto"/>
          <w:jc w:val="center"/>
          <w:tblLook w:val="04A0"/>
        </w:tblPrEx>
        <w:trPr>
          <w:jc w:val="center"/>
        </w:trPr>
        <w:tc>
          <w:tcPr>
            <w:tcW w:w="3235" w:type="dxa"/>
          </w:tcPr>
          <w:p w:rsidR="001930EB" w:rsidRPr="00920369" w:rsidP="00ED3646" w14:paraId="3DE67C8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73.622(f)(6) . . .</w:t>
            </w:r>
          </w:p>
        </w:tc>
        <w:tc>
          <w:tcPr>
            <w:tcW w:w="4050" w:type="dxa"/>
          </w:tcPr>
          <w:p w:rsidR="001930EB" w:rsidRPr="00920369" w:rsidP="00ED3646" w14:paraId="4E444140"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73.614(b)(1).</w:t>
            </w:r>
          </w:p>
        </w:tc>
      </w:tr>
      <w:tr w14:paraId="5BD9849C" w14:textId="77777777" w:rsidTr="00ED3646">
        <w:tblPrEx>
          <w:tblW w:w="0" w:type="auto"/>
          <w:jc w:val="center"/>
          <w:tblLook w:val="04A0"/>
        </w:tblPrEx>
        <w:trPr>
          <w:jc w:val="center"/>
        </w:trPr>
        <w:tc>
          <w:tcPr>
            <w:tcW w:w="3235" w:type="dxa"/>
          </w:tcPr>
          <w:p w:rsidR="001930EB" w:rsidRPr="00920369" w:rsidP="00ED3646" w14:paraId="1F09E917"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73.622(f)(7) . . .</w:t>
            </w:r>
          </w:p>
        </w:tc>
        <w:tc>
          <w:tcPr>
            <w:tcW w:w="4050" w:type="dxa"/>
          </w:tcPr>
          <w:p w:rsidR="001930EB" w:rsidRPr="00920369" w:rsidP="00ED3646" w14:paraId="5A3FC79C"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73.614(b)(2).</w:t>
            </w:r>
          </w:p>
        </w:tc>
      </w:tr>
      <w:tr w14:paraId="19206CBA" w14:textId="77777777" w:rsidTr="00ED3646">
        <w:tblPrEx>
          <w:tblW w:w="0" w:type="auto"/>
          <w:jc w:val="center"/>
          <w:tblLook w:val="04A0"/>
        </w:tblPrEx>
        <w:trPr>
          <w:jc w:val="center"/>
        </w:trPr>
        <w:tc>
          <w:tcPr>
            <w:tcW w:w="3235" w:type="dxa"/>
          </w:tcPr>
          <w:p w:rsidR="001930EB" w:rsidRPr="00920369" w:rsidP="00ED3646" w14:paraId="42C145D0"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73.622(f)(8) . . .</w:t>
            </w:r>
          </w:p>
        </w:tc>
        <w:tc>
          <w:tcPr>
            <w:tcW w:w="4050" w:type="dxa"/>
          </w:tcPr>
          <w:p w:rsidR="001930EB" w:rsidRPr="00920369" w:rsidP="00ED3646" w14:paraId="0BA0210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73.614(b)(3).</w:t>
            </w:r>
          </w:p>
        </w:tc>
      </w:tr>
      <w:tr w14:paraId="5CA1802F" w14:textId="77777777" w:rsidTr="00ED3646">
        <w:tblPrEx>
          <w:tblW w:w="0" w:type="auto"/>
          <w:jc w:val="center"/>
          <w:tblLook w:val="04A0"/>
        </w:tblPrEx>
        <w:trPr>
          <w:jc w:val="center"/>
        </w:trPr>
        <w:tc>
          <w:tcPr>
            <w:tcW w:w="3235" w:type="dxa"/>
          </w:tcPr>
          <w:p w:rsidR="001930EB" w:rsidRPr="00920369" w:rsidP="00ED3646" w14:paraId="0BF7EB39"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73.622(h) . . .</w:t>
            </w:r>
          </w:p>
        </w:tc>
        <w:tc>
          <w:tcPr>
            <w:tcW w:w="4050" w:type="dxa"/>
          </w:tcPr>
          <w:p w:rsidR="001930EB" w:rsidRPr="00920369" w:rsidP="00ED3646" w14:paraId="4107A06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73.611.</w:t>
            </w:r>
          </w:p>
        </w:tc>
      </w:tr>
      <w:tr w14:paraId="0A2DB7F0" w14:textId="77777777" w:rsidTr="00ED3646">
        <w:tblPrEx>
          <w:tblW w:w="0" w:type="auto"/>
          <w:jc w:val="center"/>
          <w:tblLook w:val="04A0"/>
        </w:tblPrEx>
        <w:trPr>
          <w:jc w:val="center"/>
        </w:trPr>
        <w:tc>
          <w:tcPr>
            <w:tcW w:w="3235" w:type="dxa"/>
          </w:tcPr>
          <w:p w:rsidR="001930EB" w:rsidRPr="00920369" w:rsidP="00ED3646" w14:paraId="3ABF731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73.622(</w:t>
            </w:r>
            <w:r w:rsidRPr="00920369">
              <w:rPr>
                <w:rFonts w:ascii="Times New Roman" w:eastAsia="Times New Roman" w:hAnsi="Times New Roman" w:cs="Times New Roman"/>
                <w:sz w:val="20"/>
                <w:szCs w:val="20"/>
              </w:rPr>
              <w:t>i</w:t>
            </w:r>
            <w:r w:rsidRPr="00920369">
              <w:rPr>
                <w:rFonts w:ascii="Times New Roman" w:eastAsia="Times New Roman" w:hAnsi="Times New Roman" w:cs="Times New Roman"/>
                <w:sz w:val="20"/>
                <w:szCs w:val="20"/>
              </w:rPr>
              <w:t>) . . .</w:t>
            </w:r>
          </w:p>
        </w:tc>
        <w:tc>
          <w:tcPr>
            <w:tcW w:w="4050" w:type="dxa"/>
          </w:tcPr>
          <w:p w:rsidR="001930EB" w:rsidRPr="00920369" w:rsidP="00ED3646" w14:paraId="5DAE7E3C"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73.622(j).</w:t>
            </w:r>
          </w:p>
        </w:tc>
      </w:tr>
      <w:tr w14:paraId="43339EF4" w14:textId="77777777" w:rsidTr="00ED3646">
        <w:tblPrEx>
          <w:tblW w:w="0" w:type="auto"/>
          <w:jc w:val="center"/>
          <w:tblLook w:val="04A0"/>
        </w:tblPrEx>
        <w:trPr>
          <w:jc w:val="center"/>
        </w:trPr>
        <w:tc>
          <w:tcPr>
            <w:tcW w:w="3235" w:type="dxa"/>
          </w:tcPr>
          <w:p w:rsidR="001930EB" w:rsidRPr="00920369" w:rsidP="00ED3646" w14:paraId="16F63A7F"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73.623(c)(1) . . .</w:t>
            </w:r>
          </w:p>
        </w:tc>
        <w:tc>
          <w:tcPr>
            <w:tcW w:w="4050" w:type="dxa"/>
          </w:tcPr>
          <w:p w:rsidR="001930EB" w:rsidRPr="00920369" w:rsidP="00ED3646" w14:paraId="7F2ED879"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73.618(a).</w:t>
            </w:r>
          </w:p>
        </w:tc>
      </w:tr>
      <w:tr w14:paraId="33C4BD45" w14:textId="77777777" w:rsidTr="00ED3646">
        <w:tblPrEx>
          <w:tblW w:w="0" w:type="auto"/>
          <w:jc w:val="center"/>
          <w:tblLook w:val="04A0"/>
        </w:tblPrEx>
        <w:trPr>
          <w:jc w:val="center"/>
        </w:trPr>
        <w:tc>
          <w:tcPr>
            <w:tcW w:w="3235" w:type="dxa"/>
          </w:tcPr>
          <w:p w:rsidR="001930EB" w:rsidRPr="00920369" w:rsidP="00ED3646" w14:paraId="2E65E05E"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73.623(c)(2) . . .</w:t>
            </w:r>
          </w:p>
        </w:tc>
        <w:tc>
          <w:tcPr>
            <w:tcW w:w="4050" w:type="dxa"/>
          </w:tcPr>
          <w:p w:rsidR="001930EB" w:rsidRPr="00920369" w:rsidP="00ED3646" w14:paraId="155D34F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w:t>
            </w:r>
          </w:p>
        </w:tc>
      </w:tr>
      <w:tr w14:paraId="7A01B30A" w14:textId="77777777" w:rsidTr="00ED3646">
        <w:tblPrEx>
          <w:tblW w:w="0" w:type="auto"/>
          <w:jc w:val="center"/>
          <w:tblLook w:val="04A0"/>
        </w:tblPrEx>
        <w:trPr>
          <w:jc w:val="center"/>
        </w:trPr>
        <w:tc>
          <w:tcPr>
            <w:tcW w:w="3235" w:type="dxa"/>
          </w:tcPr>
          <w:p w:rsidR="001930EB" w:rsidRPr="00920369" w:rsidP="00ED3646" w14:paraId="1D9DD0FE"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73.623(c)(3) . . .</w:t>
            </w:r>
          </w:p>
        </w:tc>
        <w:tc>
          <w:tcPr>
            <w:tcW w:w="4050" w:type="dxa"/>
          </w:tcPr>
          <w:p w:rsidR="001930EB" w:rsidRPr="00920369" w:rsidP="00ED3646" w14:paraId="4A675A5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73.620(b).</w:t>
            </w:r>
          </w:p>
        </w:tc>
      </w:tr>
      <w:tr w14:paraId="10AED6CB" w14:textId="77777777" w:rsidTr="00ED3646">
        <w:tblPrEx>
          <w:tblW w:w="0" w:type="auto"/>
          <w:jc w:val="center"/>
          <w:tblLook w:val="04A0"/>
        </w:tblPrEx>
        <w:trPr>
          <w:jc w:val="center"/>
        </w:trPr>
        <w:tc>
          <w:tcPr>
            <w:tcW w:w="3235" w:type="dxa"/>
          </w:tcPr>
          <w:p w:rsidR="001930EB" w:rsidRPr="00920369" w:rsidP="00ED3646" w14:paraId="2E3E750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73.623(c)(4) . . .</w:t>
            </w:r>
          </w:p>
        </w:tc>
        <w:tc>
          <w:tcPr>
            <w:tcW w:w="4050" w:type="dxa"/>
          </w:tcPr>
          <w:p w:rsidR="001930EB" w:rsidRPr="00920369" w:rsidP="00ED3646" w14:paraId="2D1B7045"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73.620(a).</w:t>
            </w:r>
          </w:p>
        </w:tc>
      </w:tr>
      <w:tr w14:paraId="4B4694C2" w14:textId="77777777" w:rsidTr="00ED3646">
        <w:tblPrEx>
          <w:tblW w:w="0" w:type="auto"/>
          <w:jc w:val="center"/>
          <w:tblLook w:val="04A0"/>
        </w:tblPrEx>
        <w:trPr>
          <w:jc w:val="center"/>
        </w:trPr>
        <w:tc>
          <w:tcPr>
            <w:tcW w:w="3235" w:type="dxa"/>
          </w:tcPr>
          <w:p w:rsidR="001930EB" w:rsidRPr="00920369" w:rsidP="00ED3646" w14:paraId="1E72E76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73.623(c)(5) . . .</w:t>
            </w:r>
          </w:p>
        </w:tc>
        <w:tc>
          <w:tcPr>
            <w:tcW w:w="4050" w:type="dxa"/>
          </w:tcPr>
          <w:p w:rsidR="001930EB" w:rsidRPr="00920369" w:rsidP="00ED3646" w14:paraId="392493C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73.620(d).</w:t>
            </w:r>
          </w:p>
        </w:tc>
      </w:tr>
      <w:tr w14:paraId="343A2A20" w14:textId="77777777" w:rsidTr="00ED3646">
        <w:tblPrEx>
          <w:tblW w:w="0" w:type="auto"/>
          <w:jc w:val="center"/>
          <w:tblLook w:val="04A0"/>
        </w:tblPrEx>
        <w:trPr>
          <w:jc w:val="center"/>
        </w:trPr>
        <w:tc>
          <w:tcPr>
            <w:tcW w:w="3235" w:type="dxa"/>
          </w:tcPr>
          <w:p w:rsidR="001930EB" w:rsidRPr="00920369" w:rsidP="00ED3646" w14:paraId="6DC5B14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73.623(d) . . .</w:t>
            </w:r>
          </w:p>
        </w:tc>
        <w:tc>
          <w:tcPr>
            <w:tcW w:w="4050" w:type="dxa"/>
          </w:tcPr>
          <w:p w:rsidR="001930EB" w:rsidRPr="00920369" w:rsidP="00ED3646" w14:paraId="542F436A"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73.622(k).</w:t>
            </w:r>
          </w:p>
        </w:tc>
      </w:tr>
      <w:tr w14:paraId="436761FB" w14:textId="77777777" w:rsidTr="00ED3646">
        <w:tblPrEx>
          <w:tblW w:w="0" w:type="auto"/>
          <w:jc w:val="center"/>
          <w:tblLook w:val="04A0"/>
        </w:tblPrEx>
        <w:trPr>
          <w:jc w:val="center"/>
        </w:trPr>
        <w:tc>
          <w:tcPr>
            <w:tcW w:w="3235" w:type="dxa"/>
          </w:tcPr>
          <w:p w:rsidR="001930EB" w:rsidRPr="00920369" w:rsidP="00ED3646" w14:paraId="366EE7B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73.623(e) . . .</w:t>
            </w:r>
          </w:p>
        </w:tc>
        <w:tc>
          <w:tcPr>
            <w:tcW w:w="4050" w:type="dxa"/>
          </w:tcPr>
          <w:p w:rsidR="001930EB" w:rsidRPr="00920369" w:rsidP="00ED3646" w14:paraId="57BB318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73.617(a).</w:t>
            </w:r>
          </w:p>
        </w:tc>
      </w:tr>
      <w:tr w14:paraId="17186B0B" w14:textId="77777777" w:rsidTr="00ED3646">
        <w:tblPrEx>
          <w:tblW w:w="0" w:type="auto"/>
          <w:jc w:val="center"/>
          <w:tblLook w:val="04A0"/>
        </w:tblPrEx>
        <w:trPr>
          <w:jc w:val="center"/>
        </w:trPr>
        <w:tc>
          <w:tcPr>
            <w:tcW w:w="3235" w:type="dxa"/>
          </w:tcPr>
          <w:p w:rsidR="001930EB" w:rsidRPr="00920369" w:rsidP="00ED3646" w14:paraId="7026A98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73.623(f) . . .</w:t>
            </w:r>
          </w:p>
        </w:tc>
        <w:tc>
          <w:tcPr>
            <w:tcW w:w="4050" w:type="dxa"/>
          </w:tcPr>
          <w:p w:rsidR="001930EB" w:rsidRPr="00920369" w:rsidP="00ED3646" w14:paraId="1642ADF6"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73.617(c).</w:t>
            </w:r>
          </w:p>
        </w:tc>
      </w:tr>
      <w:tr w14:paraId="6E251010" w14:textId="77777777" w:rsidTr="00ED3646">
        <w:tblPrEx>
          <w:tblW w:w="0" w:type="auto"/>
          <w:jc w:val="center"/>
          <w:tblLook w:val="04A0"/>
        </w:tblPrEx>
        <w:trPr>
          <w:jc w:val="center"/>
        </w:trPr>
        <w:tc>
          <w:tcPr>
            <w:tcW w:w="3235" w:type="dxa"/>
          </w:tcPr>
          <w:p w:rsidR="001930EB" w:rsidRPr="00920369" w:rsidP="00ED3646" w14:paraId="1ECF531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73.623(g) . . .</w:t>
            </w:r>
          </w:p>
        </w:tc>
        <w:tc>
          <w:tcPr>
            <w:tcW w:w="4050" w:type="dxa"/>
          </w:tcPr>
          <w:p w:rsidR="001930EB" w:rsidRPr="00920369" w:rsidP="00ED3646" w14:paraId="12B2BDB9"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73.620(e).</w:t>
            </w:r>
          </w:p>
        </w:tc>
      </w:tr>
      <w:tr w14:paraId="11BBC0AF" w14:textId="77777777" w:rsidTr="00ED3646">
        <w:tblPrEx>
          <w:tblW w:w="0" w:type="auto"/>
          <w:jc w:val="center"/>
          <w:tblLook w:val="04A0"/>
        </w:tblPrEx>
        <w:trPr>
          <w:jc w:val="center"/>
        </w:trPr>
        <w:tc>
          <w:tcPr>
            <w:tcW w:w="3235" w:type="dxa"/>
          </w:tcPr>
          <w:p w:rsidR="001930EB" w:rsidRPr="00920369" w:rsidP="00ED3646" w14:paraId="1EE615F3"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73.625(a) . . .</w:t>
            </w:r>
          </w:p>
        </w:tc>
        <w:tc>
          <w:tcPr>
            <w:tcW w:w="4050" w:type="dxa"/>
          </w:tcPr>
          <w:p w:rsidR="001930EB" w:rsidRPr="00920369" w:rsidP="00ED3646" w14:paraId="7BE4C08C"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73.618.</w:t>
            </w:r>
          </w:p>
        </w:tc>
      </w:tr>
      <w:tr w14:paraId="1B14B60E" w14:textId="77777777" w:rsidTr="00ED3646">
        <w:tblPrEx>
          <w:tblW w:w="0" w:type="auto"/>
          <w:jc w:val="center"/>
          <w:tblLook w:val="04A0"/>
        </w:tblPrEx>
        <w:trPr>
          <w:jc w:val="center"/>
        </w:trPr>
        <w:tc>
          <w:tcPr>
            <w:tcW w:w="3235" w:type="dxa"/>
          </w:tcPr>
          <w:p w:rsidR="001930EB" w:rsidRPr="00920369" w:rsidP="00ED3646" w14:paraId="6ADBBCEF"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73.625(b) . . .</w:t>
            </w:r>
          </w:p>
        </w:tc>
        <w:tc>
          <w:tcPr>
            <w:tcW w:w="4050" w:type="dxa"/>
          </w:tcPr>
          <w:p w:rsidR="001930EB" w:rsidRPr="00920369" w:rsidP="00ED3646" w14:paraId="0AEC01F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73.619(b).</w:t>
            </w:r>
          </w:p>
        </w:tc>
      </w:tr>
      <w:tr w14:paraId="04EEBE9D" w14:textId="77777777" w:rsidTr="00ED3646">
        <w:tblPrEx>
          <w:tblW w:w="0" w:type="auto"/>
          <w:jc w:val="center"/>
          <w:tblLook w:val="04A0"/>
        </w:tblPrEx>
        <w:trPr>
          <w:jc w:val="center"/>
        </w:trPr>
        <w:tc>
          <w:tcPr>
            <w:tcW w:w="3235" w:type="dxa"/>
          </w:tcPr>
          <w:p w:rsidR="001930EB" w:rsidRPr="00920369" w:rsidP="00ED3646" w14:paraId="0498EF96"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73.683(c) . . .</w:t>
            </w:r>
          </w:p>
        </w:tc>
        <w:tc>
          <w:tcPr>
            <w:tcW w:w="4050" w:type="dxa"/>
          </w:tcPr>
          <w:p w:rsidR="001930EB" w:rsidRPr="00920369" w:rsidP="00ED3646" w14:paraId="7A2BFF51"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73.619(a).</w:t>
            </w:r>
          </w:p>
        </w:tc>
      </w:tr>
      <w:tr w14:paraId="5BD25F0C" w14:textId="77777777" w:rsidTr="00ED3646">
        <w:tblPrEx>
          <w:tblW w:w="0" w:type="auto"/>
          <w:jc w:val="center"/>
          <w:tblLook w:val="04A0"/>
        </w:tblPrEx>
        <w:trPr>
          <w:jc w:val="center"/>
        </w:trPr>
        <w:tc>
          <w:tcPr>
            <w:tcW w:w="3235" w:type="dxa"/>
          </w:tcPr>
          <w:p w:rsidR="001930EB" w:rsidRPr="00920369" w:rsidP="00ED3646" w14:paraId="56134DFF"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73.685(b) . . .</w:t>
            </w:r>
          </w:p>
        </w:tc>
        <w:tc>
          <w:tcPr>
            <w:tcW w:w="4050" w:type="dxa"/>
          </w:tcPr>
          <w:p w:rsidR="001930EB" w:rsidRPr="00920369" w:rsidP="00ED3646" w14:paraId="3DA41BFC"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73.618(b).</w:t>
            </w:r>
          </w:p>
        </w:tc>
      </w:tr>
      <w:tr w14:paraId="347FED71" w14:textId="77777777" w:rsidTr="00ED3646">
        <w:tblPrEx>
          <w:tblW w:w="0" w:type="auto"/>
          <w:jc w:val="center"/>
          <w:tblLook w:val="04A0"/>
        </w:tblPrEx>
        <w:trPr>
          <w:jc w:val="center"/>
        </w:trPr>
        <w:tc>
          <w:tcPr>
            <w:tcW w:w="3235" w:type="dxa"/>
          </w:tcPr>
          <w:p w:rsidR="001930EB" w:rsidRPr="00920369" w:rsidP="00ED3646" w14:paraId="30953AA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73.685(d) . . .</w:t>
            </w:r>
          </w:p>
        </w:tc>
        <w:tc>
          <w:tcPr>
            <w:tcW w:w="4050" w:type="dxa"/>
          </w:tcPr>
          <w:p w:rsidR="001930EB" w:rsidRPr="00920369" w:rsidP="00ED3646" w14:paraId="67F81D10"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73.617(d).</w:t>
            </w:r>
          </w:p>
        </w:tc>
      </w:tr>
      <w:tr w14:paraId="3A71726C" w14:textId="77777777" w:rsidTr="00ED3646">
        <w:tblPrEx>
          <w:tblW w:w="0" w:type="auto"/>
          <w:jc w:val="center"/>
          <w:tblLook w:val="04A0"/>
        </w:tblPrEx>
        <w:trPr>
          <w:jc w:val="center"/>
        </w:trPr>
        <w:tc>
          <w:tcPr>
            <w:tcW w:w="3235" w:type="dxa"/>
          </w:tcPr>
          <w:p w:rsidR="001930EB" w:rsidRPr="00920369" w:rsidP="00ED3646" w14:paraId="2AC4E0D8"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73.685(f) . . .</w:t>
            </w:r>
          </w:p>
        </w:tc>
        <w:tc>
          <w:tcPr>
            <w:tcW w:w="4050" w:type="dxa"/>
          </w:tcPr>
          <w:p w:rsidR="001930EB" w:rsidRPr="00920369" w:rsidP="00ED3646" w14:paraId="5DF27B4F"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73.625(c).</w:t>
            </w:r>
          </w:p>
        </w:tc>
      </w:tr>
      <w:tr w14:paraId="02E4DC66" w14:textId="77777777" w:rsidTr="00ED3646">
        <w:tblPrEx>
          <w:tblW w:w="0" w:type="auto"/>
          <w:jc w:val="center"/>
          <w:tblLook w:val="04A0"/>
        </w:tblPrEx>
        <w:trPr>
          <w:jc w:val="center"/>
        </w:trPr>
        <w:tc>
          <w:tcPr>
            <w:tcW w:w="3235" w:type="dxa"/>
          </w:tcPr>
          <w:p w:rsidR="001930EB" w:rsidRPr="00920369" w:rsidP="00ED3646" w14:paraId="2D3F6237"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73.687(e) . . .</w:t>
            </w:r>
          </w:p>
        </w:tc>
        <w:tc>
          <w:tcPr>
            <w:tcW w:w="4050" w:type="dxa"/>
          </w:tcPr>
          <w:p w:rsidR="001930EB" w:rsidRPr="00920369" w:rsidP="00ED3646" w14:paraId="73A7AEAB" w14:textId="77777777">
            <w:pPr>
              <w:spacing w:after="120"/>
              <w:ind w:firstLine="720"/>
              <w:contextualSpacing/>
              <w:rPr>
                <w:rFonts w:ascii="Times New Roman" w:eastAsia="Times New Roman" w:hAnsi="Times New Roman" w:cs="Times New Roman"/>
                <w:sz w:val="20"/>
                <w:szCs w:val="20"/>
              </w:rPr>
            </w:pPr>
            <w:r w:rsidRPr="00920369">
              <w:rPr>
                <w:rFonts w:ascii="Times New Roman" w:eastAsia="Times New Roman" w:hAnsi="Times New Roman" w:cs="Times New Roman"/>
                <w:sz w:val="20"/>
                <w:szCs w:val="20"/>
              </w:rPr>
              <w:t>. . . § 73.617(b).</w:t>
            </w:r>
          </w:p>
        </w:tc>
      </w:tr>
    </w:tbl>
    <w:p w:rsidR="0091577A" w:rsidRPr="004478EE" w:rsidP="005E1D28" w14:paraId="778797F3" w14:textId="77777777">
      <w:pPr>
        <w:spacing w:after="120" w:line="240" w:lineRule="auto"/>
        <w:ind w:firstLine="720"/>
        <w:rPr>
          <w:rFonts w:ascii="Times New Roman" w:hAnsi="Times New Roman" w:cs="Times New Roman"/>
          <w:iCs/>
        </w:rPr>
      </w:pPr>
    </w:p>
    <w:p w:rsidR="006E1585" w:rsidRPr="004478EE" w:rsidP="0023157E" w14:paraId="35C2A73F" w14:textId="7F887025">
      <w:pPr>
        <w:pStyle w:val="ListParagraph"/>
        <w:numPr>
          <w:ilvl w:val="0"/>
          <w:numId w:val="15"/>
        </w:numPr>
        <w:spacing w:after="120" w:line="240" w:lineRule="auto"/>
        <w:jc w:val="both"/>
        <w:rPr>
          <w:rFonts w:ascii="Times New Roman" w:hAnsi="Times New Roman" w:cs="Times New Roman"/>
          <w:iCs/>
        </w:rPr>
      </w:pPr>
      <w:r w:rsidRPr="004478EE">
        <w:rPr>
          <w:rFonts w:ascii="Times New Roman" w:hAnsi="Times New Roman" w:cs="Times New Roman"/>
          <w:b/>
          <w:iCs/>
        </w:rPr>
        <w:t>Protection of Land Mobile Radio Service</w:t>
      </w:r>
      <w:r w:rsidRPr="004478EE" w:rsidR="00AC3639">
        <w:rPr>
          <w:rFonts w:ascii="Times New Roman" w:hAnsi="Times New Roman" w:cs="Times New Roman"/>
          <w:b/>
          <w:iCs/>
        </w:rPr>
        <w:t xml:space="preserve"> </w:t>
      </w:r>
      <w:r w:rsidR="007E20DE">
        <w:rPr>
          <w:rFonts w:ascii="Times New Roman" w:hAnsi="Times New Roman" w:cs="Times New Roman"/>
          <w:b/>
          <w:iCs/>
        </w:rPr>
        <w:t>(</w:t>
      </w:r>
      <w:r w:rsidRPr="004478EE" w:rsidR="00AC3639">
        <w:rPr>
          <w:rFonts w:ascii="Times New Roman" w:hAnsi="Times New Roman" w:cs="Times New Roman"/>
          <w:b/>
          <w:bCs/>
        </w:rPr>
        <w:t>47 CFR § 73.</w:t>
      </w:r>
      <w:r w:rsidRPr="004478EE" w:rsidR="00651E7C">
        <w:rPr>
          <w:rFonts w:ascii="Times New Roman" w:hAnsi="Times New Roman" w:cs="Times New Roman"/>
          <w:b/>
          <w:bCs/>
        </w:rPr>
        <w:t>617(a)</w:t>
      </w:r>
      <w:r w:rsidR="007E20DE">
        <w:rPr>
          <w:rFonts w:ascii="Times New Roman" w:hAnsi="Times New Roman" w:cs="Times New Roman"/>
          <w:b/>
          <w:bCs/>
        </w:rPr>
        <w:t>)</w:t>
      </w:r>
    </w:p>
    <w:p w:rsidR="006E1585" w:rsidRPr="004478EE" w:rsidP="0023157E" w14:paraId="0AA4B38C" w14:textId="34DDAC3C">
      <w:pPr>
        <w:spacing w:after="120" w:line="240" w:lineRule="auto"/>
        <w:ind w:firstLine="720"/>
        <w:rPr>
          <w:rFonts w:ascii="Times New Roman" w:hAnsi="Times New Roman" w:cs="Times New Roman"/>
        </w:rPr>
      </w:pPr>
      <w:r w:rsidRPr="004478EE">
        <w:rPr>
          <w:rFonts w:ascii="Times New Roman" w:hAnsi="Times New Roman" w:cs="Times New Roman"/>
        </w:rPr>
        <w:t>New section 73.617</w:t>
      </w:r>
      <w:r w:rsidRPr="004478EE" w:rsidR="009F186C">
        <w:rPr>
          <w:rFonts w:ascii="Times New Roman" w:hAnsi="Times New Roman" w:cs="Times New Roman"/>
        </w:rPr>
        <w:t>(a)</w:t>
      </w:r>
      <w:r w:rsidRPr="004478EE" w:rsidR="00865E21">
        <w:rPr>
          <w:rFonts w:ascii="Times New Roman" w:hAnsi="Times New Roman" w:cs="Times New Roman"/>
        </w:rPr>
        <w:t xml:space="preserve">, which </w:t>
      </w:r>
      <w:r w:rsidRPr="004478EE" w:rsidR="00075F0D">
        <w:rPr>
          <w:rFonts w:ascii="Times New Roman" w:hAnsi="Times New Roman" w:cs="Times New Roman"/>
        </w:rPr>
        <w:t>supersedes</w:t>
      </w:r>
      <w:r w:rsidRPr="004478EE" w:rsidR="00865E21">
        <w:rPr>
          <w:rFonts w:ascii="Times New Roman" w:hAnsi="Times New Roman" w:cs="Times New Roman"/>
        </w:rPr>
        <w:t xml:space="preserve"> </w:t>
      </w:r>
      <w:r w:rsidRPr="004478EE" w:rsidR="005B3285">
        <w:rPr>
          <w:rFonts w:ascii="Times New Roman" w:hAnsi="Times New Roman" w:cs="Times New Roman"/>
        </w:rPr>
        <w:t>s</w:t>
      </w:r>
      <w:r w:rsidRPr="004478EE" w:rsidR="00D414A1">
        <w:rPr>
          <w:rFonts w:ascii="Times New Roman" w:hAnsi="Times New Roman" w:cs="Times New Roman"/>
        </w:rPr>
        <w:t>ection 7</w:t>
      </w:r>
      <w:r w:rsidRPr="004478EE" w:rsidR="002255DD">
        <w:rPr>
          <w:rFonts w:ascii="Times New Roman" w:hAnsi="Times New Roman" w:cs="Times New Roman"/>
        </w:rPr>
        <w:t>3</w:t>
      </w:r>
      <w:r w:rsidRPr="004478EE" w:rsidR="00D414A1">
        <w:rPr>
          <w:rFonts w:ascii="Times New Roman" w:hAnsi="Times New Roman" w:cs="Times New Roman"/>
        </w:rPr>
        <w:t>.</w:t>
      </w:r>
      <w:r w:rsidRPr="004478EE" w:rsidR="002255DD">
        <w:rPr>
          <w:rFonts w:ascii="Times New Roman" w:hAnsi="Times New Roman" w:cs="Times New Roman"/>
        </w:rPr>
        <w:t>623(e)</w:t>
      </w:r>
      <w:r w:rsidRPr="004478EE" w:rsidR="00865E21">
        <w:rPr>
          <w:rFonts w:ascii="Times New Roman" w:hAnsi="Times New Roman" w:cs="Times New Roman"/>
        </w:rPr>
        <w:t>,</w:t>
      </w:r>
      <w:r w:rsidRPr="004478EE" w:rsidR="00D414A1">
        <w:rPr>
          <w:rFonts w:ascii="Times New Roman" w:hAnsi="Times New Roman" w:cs="Times New Roman"/>
        </w:rPr>
        <w:t xml:space="preserve"> replace</w:t>
      </w:r>
      <w:r w:rsidRPr="004478EE" w:rsidR="00F46B49">
        <w:rPr>
          <w:rFonts w:ascii="Times New Roman" w:hAnsi="Times New Roman" w:cs="Times New Roman"/>
        </w:rPr>
        <w:t>s</w:t>
      </w:r>
      <w:r w:rsidRPr="004478EE" w:rsidR="00D414A1">
        <w:rPr>
          <w:rFonts w:ascii="Times New Roman" w:hAnsi="Times New Roman" w:cs="Times New Roman"/>
        </w:rPr>
        <w:t xml:space="preserve"> geographic coordinates that use the 1927 North American Datum with the current 1983 North American Datum and otherwise conform</w:t>
      </w:r>
      <w:r w:rsidRPr="004478EE" w:rsidR="00C61713">
        <w:rPr>
          <w:rFonts w:ascii="Times New Roman" w:hAnsi="Times New Roman" w:cs="Times New Roman"/>
        </w:rPr>
        <w:t>s</w:t>
      </w:r>
      <w:r w:rsidRPr="004478EE" w:rsidR="00D414A1">
        <w:rPr>
          <w:rFonts w:ascii="Times New Roman" w:hAnsi="Times New Roman" w:cs="Times New Roman"/>
        </w:rPr>
        <w:t xml:space="preserve"> the values with those found in </w:t>
      </w:r>
      <w:r w:rsidRPr="004478EE" w:rsidR="00C61713">
        <w:rPr>
          <w:rFonts w:ascii="Times New Roman" w:hAnsi="Times New Roman" w:cs="Times New Roman"/>
        </w:rPr>
        <w:t>p</w:t>
      </w:r>
      <w:r w:rsidRPr="004478EE" w:rsidR="00D414A1">
        <w:rPr>
          <w:rFonts w:ascii="Times New Roman" w:hAnsi="Times New Roman" w:cs="Times New Roman"/>
        </w:rPr>
        <w:t xml:space="preserve">art 90 of the Commission’s rules.  These updates </w:t>
      </w:r>
      <w:r w:rsidRPr="004478EE" w:rsidR="00C61713">
        <w:rPr>
          <w:rFonts w:ascii="Times New Roman" w:hAnsi="Times New Roman" w:cs="Times New Roman"/>
        </w:rPr>
        <w:t>do</w:t>
      </w:r>
      <w:r w:rsidRPr="004478EE" w:rsidR="00D414A1">
        <w:rPr>
          <w:rFonts w:ascii="Times New Roman" w:hAnsi="Times New Roman" w:cs="Times New Roman"/>
        </w:rPr>
        <w:t xml:space="preserve"> not change the required amount of interference protection between </w:t>
      </w:r>
      <w:r w:rsidRPr="004478EE" w:rsidR="009E6537">
        <w:rPr>
          <w:rFonts w:ascii="Times New Roman" w:hAnsi="Times New Roman" w:cs="Times New Roman"/>
        </w:rPr>
        <w:t xml:space="preserve">full power </w:t>
      </w:r>
      <w:r w:rsidRPr="004478EE" w:rsidR="00D414A1">
        <w:rPr>
          <w:rFonts w:ascii="Times New Roman" w:hAnsi="Times New Roman" w:cs="Times New Roman"/>
        </w:rPr>
        <w:t xml:space="preserve">and land mobile operations. </w:t>
      </w:r>
      <w:r w:rsidRPr="004478EE" w:rsidR="000D65CC">
        <w:rPr>
          <w:rFonts w:ascii="Times New Roman" w:hAnsi="Times New Roman" w:cs="Times New Roman"/>
        </w:rPr>
        <w:t xml:space="preserve"> Absent any actual interference, </w:t>
      </w:r>
      <w:r w:rsidRPr="004478EE" w:rsidR="005B3285">
        <w:rPr>
          <w:rFonts w:ascii="Times New Roman" w:hAnsi="Times New Roman" w:cs="Times New Roman"/>
        </w:rPr>
        <w:t xml:space="preserve">the Commission </w:t>
      </w:r>
      <w:r w:rsidRPr="004478EE" w:rsidR="00DA7308">
        <w:rPr>
          <w:rFonts w:ascii="Times New Roman" w:hAnsi="Times New Roman" w:cs="Times New Roman"/>
        </w:rPr>
        <w:t>will not r</w:t>
      </w:r>
      <w:r w:rsidRPr="004478EE" w:rsidR="000D65CC">
        <w:rPr>
          <w:rFonts w:ascii="Times New Roman" w:hAnsi="Times New Roman" w:cs="Times New Roman"/>
        </w:rPr>
        <w:t>equir</w:t>
      </w:r>
      <w:r w:rsidRPr="004478EE" w:rsidR="00DA7308">
        <w:rPr>
          <w:rFonts w:ascii="Times New Roman" w:hAnsi="Times New Roman" w:cs="Times New Roman"/>
        </w:rPr>
        <w:t>e</w:t>
      </w:r>
      <w:r w:rsidRPr="004478EE" w:rsidR="000D65CC">
        <w:rPr>
          <w:rFonts w:ascii="Times New Roman" w:hAnsi="Times New Roman" w:cs="Times New Roman"/>
        </w:rPr>
        <w:t xml:space="preserve"> </w:t>
      </w:r>
      <w:r w:rsidRPr="004478EE" w:rsidR="00DA7308">
        <w:rPr>
          <w:rFonts w:ascii="Times New Roman" w:hAnsi="Times New Roman" w:cs="Times New Roman"/>
        </w:rPr>
        <w:t>existing full power television</w:t>
      </w:r>
      <w:r w:rsidRPr="004478EE" w:rsidR="000D65CC">
        <w:rPr>
          <w:rFonts w:ascii="Times New Roman" w:hAnsi="Times New Roman" w:cs="Times New Roman"/>
        </w:rPr>
        <w:t xml:space="preserve"> station</w:t>
      </w:r>
      <w:r w:rsidRPr="004478EE" w:rsidR="00DA7308">
        <w:rPr>
          <w:rFonts w:ascii="Times New Roman" w:hAnsi="Times New Roman" w:cs="Times New Roman"/>
        </w:rPr>
        <w:t>s</w:t>
      </w:r>
      <w:r w:rsidRPr="004478EE" w:rsidR="000D65CC">
        <w:rPr>
          <w:rFonts w:ascii="Times New Roman" w:hAnsi="Times New Roman" w:cs="Times New Roman"/>
        </w:rPr>
        <w:t xml:space="preserve"> to make any relocation </w:t>
      </w:r>
      <w:r w:rsidRPr="004478EE" w:rsidR="001A3307">
        <w:rPr>
          <w:rFonts w:ascii="Times New Roman" w:hAnsi="Times New Roman" w:cs="Times New Roman"/>
        </w:rPr>
        <w:t xml:space="preserve">or other technical </w:t>
      </w:r>
      <w:r w:rsidRPr="004478EE" w:rsidR="000D65CC">
        <w:rPr>
          <w:rFonts w:ascii="Times New Roman" w:hAnsi="Times New Roman" w:cs="Times New Roman"/>
        </w:rPr>
        <w:t>changes solely due to these coordinate updates.</w:t>
      </w:r>
    </w:p>
    <w:p w:rsidR="005849E1" w:rsidRPr="004478EE" w:rsidP="007839FF" w14:paraId="0B991DB1" w14:textId="70D1726A">
      <w:pPr>
        <w:pStyle w:val="ListParagraph"/>
        <w:numPr>
          <w:ilvl w:val="0"/>
          <w:numId w:val="15"/>
        </w:numPr>
        <w:spacing w:after="120"/>
        <w:contextualSpacing w:val="0"/>
        <w:jc w:val="both"/>
        <w:rPr>
          <w:rFonts w:ascii="Times New Roman" w:hAnsi="Times New Roman" w:cs="Times New Roman"/>
          <w:iCs/>
        </w:rPr>
      </w:pPr>
      <w:r w:rsidRPr="004478EE">
        <w:rPr>
          <w:rFonts w:ascii="Times New Roman" w:hAnsi="Times New Roman" w:cs="Times New Roman"/>
          <w:b/>
          <w:iCs/>
        </w:rPr>
        <w:t>Technical Modifications</w:t>
      </w:r>
      <w:r w:rsidRPr="004478EE">
        <w:rPr>
          <w:rFonts w:ascii="Times New Roman" w:hAnsi="Times New Roman" w:cs="Times New Roman"/>
          <w:b/>
          <w:iCs/>
          <w:spacing w:val="-2"/>
        </w:rPr>
        <w:t xml:space="preserve"> </w:t>
      </w:r>
    </w:p>
    <w:p w:rsidR="00AE2FCF" w:rsidRPr="004478EE" w:rsidP="007839FF" w14:paraId="37657912" w14:textId="1C832EB3">
      <w:pPr>
        <w:pStyle w:val="ListParagraph"/>
        <w:numPr>
          <w:ilvl w:val="0"/>
          <w:numId w:val="24"/>
        </w:numPr>
        <w:spacing w:after="120"/>
        <w:rPr>
          <w:b/>
        </w:rPr>
      </w:pPr>
      <w:r w:rsidRPr="004478EE">
        <w:rPr>
          <w:rFonts w:ascii="Times New Roman" w:hAnsi="Times New Roman" w:cs="Times New Roman"/>
          <w:b/>
        </w:rPr>
        <w:t>Coverage Area – Determining Coverage</w:t>
      </w:r>
      <w:r w:rsidRPr="004478EE" w:rsidR="0051131E">
        <w:rPr>
          <w:rFonts w:ascii="Times New Roman" w:hAnsi="Times New Roman" w:cs="Times New Roman"/>
          <w:b/>
          <w:bCs/>
        </w:rPr>
        <w:t xml:space="preserve"> </w:t>
      </w:r>
      <w:r w:rsidR="007E20DE">
        <w:rPr>
          <w:rFonts w:ascii="Times New Roman" w:hAnsi="Times New Roman" w:cs="Times New Roman"/>
          <w:b/>
          <w:bCs/>
        </w:rPr>
        <w:t>(</w:t>
      </w:r>
      <w:r w:rsidRPr="004478EE" w:rsidR="0051131E">
        <w:rPr>
          <w:rFonts w:ascii="Times New Roman" w:hAnsi="Times New Roman" w:cs="Times New Roman"/>
          <w:b/>
          <w:bCs/>
        </w:rPr>
        <w:t>47 CFR § 73.625</w:t>
      </w:r>
      <w:r w:rsidR="007E20DE">
        <w:rPr>
          <w:rFonts w:ascii="Times New Roman" w:hAnsi="Times New Roman" w:cs="Times New Roman"/>
          <w:b/>
          <w:bCs/>
        </w:rPr>
        <w:t>)</w:t>
      </w:r>
    </w:p>
    <w:p w:rsidR="00203309" w:rsidRPr="004478EE" w:rsidP="00203309" w14:paraId="68981BEE" w14:textId="77777777">
      <w:pPr>
        <w:spacing w:after="0" w:line="240" w:lineRule="auto"/>
        <w:ind w:left="720"/>
        <w:rPr>
          <w:rFonts w:ascii="Times New Roman" w:hAnsi="Times New Roman" w:cs="Times New Roman"/>
        </w:rPr>
      </w:pPr>
      <w:r w:rsidRPr="004478EE">
        <w:rPr>
          <w:rFonts w:ascii="Times New Roman" w:hAnsi="Times New Roman" w:cs="Times New Roman"/>
        </w:rPr>
        <w:t>In determining how coverage and height above average terrain (HAAT) are to be calculated or</w:t>
      </w:r>
    </w:p>
    <w:p w:rsidR="00147EA8" w:rsidRPr="004478EE" w:rsidP="00203309" w14:paraId="1E401B55" w14:textId="34FF4B98">
      <w:pPr>
        <w:spacing w:after="0" w:line="240" w:lineRule="auto"/>
        <w:rPr>
          <w:rFonts w:ascii="Times New Roman" w:hAnsi="Times New Roman" w:cs="Times New Roman"/>
        </w:rPr>
      </w:pPr>
      <w:r w:rsidRPr="004478EE">
        <w:rPr>
          <w:rFonts w:ascii="Times New Roman" w:hAnsi="Times New Roman" w:cs="Times New Roman"/>
        </w:rPr>
        <w:t>d</w:t>
      </w:r>
      <w:r w:rsidRPr="004478EE" w:rsidR="001A315D">
        <w:rPr>
          <w:rFonts w:ascii="Times New Roman" w:hAnsi="Times New Roman" w:cs="Times New Roman"/>
        </w:rPr>
        <w:t>etermined</w:t>
      </w:r>
      <w:r w:rsidRPr="004478EE">
        <w:rPr>
          <w:rFonts w:ascii="Times New Roman" w:hAnsi="Times New Roman" w:cs="Times New Roman"/>
        </w:rPr>
        <w:t xml:space="preserve"> in full power </w:t>
      </w:r>
      <w:r w:rsidRPr="004478EE" w:rsidR="00B17173">
        <w:rPr>
          <w:rFonts w:ascii="Times New Roman" w:hAnsi="Times New Roman" w:cs="Times New Roman"/>
        </w:rPr>
        <w:t>and Class A television licensing, the amended rules</w:t>
      </w:r>
      <w:r w:rsidRPr="004478EE" w:rsidR="005A2184">
        <w:rPr>
          <w:rFonts w:ascii="Times New Roman" w:hAnsi="Times New Roman" w:cs="Times New Roman"/>
        </w:rPr>
        <w:t xml:space="preserve"> remove the second sentence of section 73.625(b)(2), which indicates that when the relative field strength at a depression angle is 90% or greater, the 100% value should be used.  In addition, the amended rules remove references</w:t>
      </w:r>
      <w:r w:rsidRPr="004478EE" w:rsidR="000070DD">
        <w:rPr>
          <w:rFonts w:ascii="Times New Roman" w:hAnsi="Times New Roman" w:cs="Times New Roman"/>
        </w:rPr>
        <w:t xml:space="preserve"> in section</w:t>
      </w:r>
      <w:r w:rsidRPr="004478EE" w:rsidR="005C6D16">
        <w:rPr>
          <w:rFonts w:ascii="Times New Roman" w:hAnsi="Times New Roman" w:cs="Times New Roman"/>
        </w:rPr>
        <w:t xml:space="preserve"> 73.625</w:t>
      </w:r>
      <w:r w:rsidRPr="004478EE" w:rsidR="005A2184">
        <w:rPr>
          <w:rFonts w:ascii="Times New Roman" w:hAnsi="Times New Roman" w:cs="Times New Roman"/>
        </w:rPr>
        <w:t xml:space="preserve"> to outmoded paper maps</w:t>
      </w:r>
      <w:r w:rsidR="00F971FE">
        <w:rPr>
          <w:rFonts w:ascii="Times New Roman" w:hAnsi="Times New Roman" w:cs="Times New Roman"/>
        </w:rPr>
        <w:t>,</w:t>
      </w:r>
      <w:r w:rsidRPr="004478EE" w:rsidR="005A2184">
        <w:rPr>
          <w:rFonts w:ascii="Times New Roman" w:hAnsi="Times New Roman" w:cs="Times New Roman"/>
        </w:rPr>
        <w:t xml:space="preserve"> and replace them with a reference to the National Ele</w:t>
      </w:r>
      <w:r w:rsidRPr="004478EE" w:rsidR="00BA0B1E">
        <w:rPr>
          <w:rFonts w:ascii="Times New Roman" w:hAnsi="Times New Roman" w:cs="Times New Roman"/>
        </w:rPr>
        <w:t>vation Dataset</w:t>
      </w:r>
      <w:r w:rsidRPr="004478EE" w:rsidR="000070DD">
        <w:rPr>
          <w:rFonts w:ascii="Times New Roman" w:hAnsi="Times New Roman" w:cs="Times New Roman"/>
        </w:rPr>
        <w:t xml:space="preserve"> and other similar bald earth terrain datasets that are currently used by the Commission and industry</w:t>
      </w:r>
      <w:r w:rsidRPr="004478EE" w:rsidR="003A44B2">
        <w:rPr>
          <w:rFonts w:ascii="Times New Roman" w:hAnsi="Times New Roman" w:cs="Times New Roman"/>
        </w:rPr>
        <w:t>.</w:t>
      </w:r>
      <w:r w:rsidRPr="004478EE" w:rsidR="00BE14A7">
        <w:rPr>
          <w:rFonts w:ascii="Times New Roman" w:hAnsi="Times New Roman" w:cs="Times New Roman"/>
        </w:rPr>
        <w:t xml:space="preserve">  In section 73.625(b)(6), the Commission clarifies that such calculations are to be done by computer </w:t>
      </w:r>
      <w:r w:rsidRPr="004478EE" w:rsidR="00672F00">
        <w:rPr>
          <w:rFonts w:ascii="Times New Roman" w:hAnsi="Times New Roman" w:cs="Times New Roman"/>
        </w:rPr>
        <w:t>rather than by paper calculation</w:t>
      </w:r>
      <w:r w:rsidR="00F971FE">
        <w:rPr>
          <w:rFonts w:ascii="Times New Roman" w:hAnsi="Times New Roman" w:cs="Times New Roman"/>
        </w:rPr>
        <w:t>,</w:t>
      </w:r>
      <w:r w:rsidRPr="004478EE" w:rsidR="00672F00">
        <w:rPr>
          <w:rFonts w:ascii="Times New Roman" w:hAnsi="Times New Roman" w:cs="Times New Roman"/>
        </w:rPr>
        <w:t xml:space="preserve"> and that to the extent a submission to the Commission uses sources different from those reflected in the Commission’s rules, those sources should be clearly identified in the submission.</w:t>
      </w:r>
      <w:r w:rsidRPr="004478EE" w:rsidR="00373ABA">
        <w:rPr>
          <w:rFonts w:ascii="Times New Roman" w:hAnsi="Times New Roman" w:cs="Times New Roman"/>
        </w:rPr>
        <w:t xml:space="preserve">  </w:t>
      </w:r>
      <w:r w:rsidRPr="004478EE" w:rsidR="00B661C7">
        <w:rPr>
          <w:rFonts w:ascii="Times New Roman" w:hAnsi="Times New Roman" w:cs="Times New Roman"/>
        </w:rPr>
        <w:t>The</w:t>
      </w:r>
      <w:r w:rsidRPr="004478EE" w:rsidR="00512DDA">
        <w:rPr>
          <w:rFonts w:ascii="Times New Roman" w:hAnsi="Times New Roman" w:cs="Times New Roman"/>
        </w:rPr>
        <w:t xml:space="preserve"> Commission provides its </w:t>
      </w:r>
      <w:r w:rsidRPr="004478EE" w:rsidR="00512DDA">
        <w:rPr>
          <w:rFonts w:ascii="Times New Roman" w:hAnsi="Times New Roman" w:cs="Times New Roman"/>
          <w:i/>
          <w:iCs/>
        </w:rPr>
        <w:t>TVStudy</w:t>
      </w:r>
      <w:r w:rsidRPr="004478EE" w:rsidR="00512DDA">
        <w:rPr>
          <w:rFonts w:ascii="Times New Roman" w:hAnsi="Times New Roman" w:cs="Times New Roman"/>
          <w:i/>
          <w:iCs/>
        </w:rPr>
        <w:t xml:space="preserve"> </w:t>
      </w:r>
      <w:r w:rsidRPr="004478EE" w:rsidR="00D92E39">
        <w:rPr>
          <w:rFonts w:ascii="Times New Roman" w:hAnsi="Times New Roman" w:cs="Times New Roman"/>
        </w:rPr>
        <w:t xml:space="preserve">software </w:t>
      </w:r>
      <w:r w:rsidRPr="004478EE" w:rsidR="00512DDA">
        <w:rPr>
          <w:rFonts w:ascii="Times New Roman" w:hAnsi="Times New Roman" w:cs="Times New Roman"/>
        </w:rPr>
        <w:t>free of charge for this purpose.</w:t>
      </w:r>
      <w:r>
        <w:rPr>
          <w:rStyle w:val="FootnoteReference"/>
          <w:rFonts w:ascii="Times New Roman" w:hAnsi="Times New Roman" w:cs="Times New Roman"/>
        </w:rPr>
        <w:footnoteReference w:id="5"/>
      </w:r>
      <w:r w:rsidRPr="004478EE" w:rsidR="00373ABA">
        <w:rPr>
          <w:rFonts w:ascii="Times New Roman" w:hAnsi="Times New Roman" w:cs="Times New Roman"/>
        </w:rPr>
        <w:t xml:space="preserve">  The Commission also clarifies that it will allow stations to continue to use a historic HAAT calculation for a given location if one was previously used to comply with the rules regarding power limits.</w:t>
      </w:r>
      <w:r w:rsidRPr="004478EE">
        <w:rPr>
          <w:rFonts w:ascii="Times New Roman" w:hAnsi="Times New Roman" w:cs="Times New Roman"/>
        </w:rPr>
        <w:br/>
      </w:r>
    </w:p>
    <w:p w:rsidR="008B610F" w:rsidRPr="004478EE" w:rsidP="00147EA8" w14:paraId="32088E74" w14:textId="53336871">
      <w:pPr>
        <w:pStyle w:val="ListParagraph"/>
        <w:numPr>
          <w:ilvl w:val="0"/>
          <w:numId w:val="24"/>
        </w:numPr>
        <w:spacing w:after="0" w:line="240" w:lineRule="auto"/>
        <w:rPr>
          <w:rFonts w:ascii="Times New Roman" w:hAnsi="Times New Roman" w:cs="Times New Roman"/>
          <w:b/>
          <w:bCs/>
        </w:rPr>
      </w:pPr>
      <w:r w:rsidRPr="004478EE">
        <w:rPr>
          <w:rFonts w:ascii="Times New Roman" w:hAnsi="Times New Roman" w:cs="Times New Roman"/>
          <w:b/>
          <w:bCs/>
        </w:rPr>
        <w:t>Antenna Patterns</w:t>
      </w:r>
      <w:r w:rsidRPr="004478EE" w:rsidR="00375115">
        <w:rPr>
          <w:rFonts w:ascii="Times New Roman" w:hAnsi="Times New Roman" w:cs="Times New Roman"/>
          <w:b/>
          <w:bCs/>
        </w:rPr>
        <w:t xml:space="preserve"> </w:t>
      </w:r>
      <w:r w:rsidR="007E20DE">
        <w:rPr>
          <w:rFonts w:ascii="Times New Roman" w:hAnsi="Times New Roman" w:cs="Times New Roman"/>
          <w:b/>
          <w:bCs/>
        </w:rPr>
        <w:t>(</w:t>
      </w:r>
      <w:r w:rsidRPr="004478EE" w:rsidR="00375115">
        <w:rPr>
          <w:rFonts w:ascii="Times New Roman" w:hAnsi="Times New Roman" w:cs="Times New Roman"/>
          <w:b/>
          <w:bCs/>
        </w:rPr>
        <w:t>47 CFR § 73.625</w:t>
      </w:r>
      <w:r w:rsidR="007E20DE">
        <w:rPr>
          <w:rFonts w:ascii="Times New Roman" w:hAnsi="Times New Roman" w:cs="Times New Roman"/>
          <w:b/>
          <w:bCs/>
        </w:rPr>
        <w:t>)</w:t>
      </w:r>
    </w:p>
    <w:p w:rsidR="008B610F" w:rsidRPr="004478EE" w:rsidP="008B610F" w14:paraId="340AB6C9" w14:textId="77777777">
      <w:pPr>
        <w:spacing w:after="0" w:line="240" w:lineRule="auto"/>
        <w:rPr>
          <w:rFonts w:ascii="Times New Roman" w:hAnsi="Times New Roman" w:cs="Times New Roman"/>
          <w:b/>
          <w:bCs/>
        </w:rPr>
      </w:pPr>
    </w:p>
    <w:p w:rsidR="00707A20" w:rsidRPr="004478EE" w:rsidP="00C06A96" w14:paraId="72C771F6" w14:textId="77777777">
      <w:pPr>
        <w:spacing w:after="0" w:line="240" w:lineRule="auto"/>
        <w:ind w:left="720"/>
        <w:rPr>
          <w:rFonts w:ascii="Times New Roman" w:hAnsi="Times New Roman" w:cs="Times New Roman"/>
        </w:rPr>
      </w:pPr>
      <w:r w:rsidRPr="004478EE">
        <w:rPr>
          <w:rFonts w:ascii="Times New Roman" w:hAnsi="Times New Roman" w:cs="Times New Roman"/>
        </w:rPr>
        <w:t>Regarding antenna patterns,</w:t>
      </w:r>
      <w:r w:rsidRPr="004478EE" w:rsidR="00746A63">
        <w:rPr>
          <w:rFonts w:ascii="Times New Roman" w:hAnsi="Times New Roman" w:cs="Times New Roman"/>
        </w:rPr>
        <w:t xml:space="preserve"> the amended rules clarify in section 73.625(</w:t>
      </w:r>
      <w:r w:rsidRPr="004478EE" w:rsidR="00804110">
        <w:rPr>
          <w:rFonts w:ascii="Times New Roman" w:hAnsi="Times New Roman" w:cs="Times New Roman"/>
        </w:rPr>
        <w:t>c)(3)(ii)</w:t>
      </w:r>
      <w:r w:rsidRPr="004478EE">
        <w:rPr>
          <w:rFonts w:ascii="Times New Roman" w:hAnsi="Times New Roman" w:cs="Times New Roman"/>
        </w:rPr>
        <w:t xml:space="preserve"> that the</w:t>
      </w:r>
    </w:p>
    <w:p w:rsidR="00DD5E7B" w:rsidP="00707A20" w14:paraId="1B556333" w14:textId="4B8AC1A9">
      <w:pPr>
        <w:spacing w:after="0" w:line="240" w:lineRule="auto"/>
        <w:rPr>
          <w:rFonts w:ascii="Times New Roman" w:hAnsi="Times New Roman" w:cs="Times New Roman"/>
        </w:rPr>
      </w:pPr>
      <w:r w:rsidRPr="004478EE">
        <w:rPr>
          <w:rFonts w:ascii="Times New Roman" w:hAnsi="Times New Roman" w:cs="Times New Roman"/>
        </w:rPr>
        <w:t>horizontal power is to be higher than or equal to the vertical power in all directions, and require documentation that the antenna meets this requirement.</w:t>
      </w:r>
      <w:r w:rsidRPr="004478EE" w:rsidR="00D378E8">
        <w:rPr>
          <w:rFonts w:ascii="Times New Roman" w:hAnsi="Times New Roman" w:cs="Times New Roman"/>
        </w:rPr>
        <w:t xml:space="preserve">  </w:t>
      </w:r>
      <w:r w:rsidRPr="004478EE" w:rsidR="00EA3DFD">
        <w:rPr>
          <w:rFonts w:ascii="Times New Roman" w:hAnsi="Times New Roman" w:cs="Times New Roman"/>
        </w:rPr>
        <w:t xml:space="preserve">Commission staff can ask a station for additional documentation for the purpose </w:t>
      </w:r>
      <w:r w:rsidRPr="004478EE" w:rsidR="00BD0D3B">
        <w:rPr>
          <w:rFonts w:ascii="Times New Roman" w:hAnsi="Times New Roman" w:cs="Times New Roman"/>
        </w:rPr>
        <w:t xml:space="preserve">of </w:t>
      </w:r>
      <w:r w:rsidRPr="004478EE" w:rsidR="00EA3DFD">
        <w:rPr>
          <w:rFonts w:ascii="Times New Roman" w:hAnsi="Times New Roman" w:cs="Times New Roman"/>
        </w:rPr>
        <w:t>coordination with Mexico or Canada should it be requested.</w:t>
      </w:r>
      <w:r w:rsidRPr="004478EE" w:rsidR="008400A6">
        <w:rPr>
          <w:rFonts w:ascii="Times New Roman" w:hAnsi="Times New Roman" w:cs="Times New Roman"/>
        </w:rPr>
        <w:t xml:space="preserve">  In addition</w:t>
      </w:r>
      <w:r w:rsidRPr="004478EE" w:rsidR="00200103">
        <w:rPr>
          <w:rFonts w:ascii="Times New Roman" w:hAnsi="Times New Roman" w:cs="Times New Roman"/>
        </w:rPr>
        <w:t>, revised section 73.625(c)(3)(v) now requires licensees to submit antenna patterns in the form of a .pdf attachment to an application</w:t>
      </w:r>
      <w:r w:rsidRPr="004478EE" w:rsidR="00A619FB">
        <w:rPr>
          <w:rFonts w:ascii="Times New Roman" w:hAnsi="Times New Roman" w:cs="Times New Roman"/>
        </w:rPr>
        <w:t xml:space="preserve"> filed in LMS, and </w:t>
      </w:r>
      <w:r w:rsidRPr="004478EE" w:rsidR="008A74E8">
        <w:rPr>
          <w:rFonts w:ascii="Times New Roman" w:hAnsi="Times New Roman" w:cs="Times New Roman"/>
        </w:rPr>
        <w:t>clarifies that similar plots are required for elevation or matrix patterns submitted in the LMS form.</w:t>
      </w:r>
      <w:r w:rsidRPr="004478EE" w:rsidR="00291A65">
        <w:rPr>
          <w:rFonts w:ascii="Times New Roman" w:hAnsi="Times New Roman" w:cs="Times New Roman"/>
        </w:rPr>
        <w:t xml:space="preserve">  With respect to</w:t>
      </w:r>
      <w:r w:rsidRPr="004478EE" w:rsidR="00E4757D">
        <w:rPr>
          <w:rFonts w:ascii="Times New Roman" w:hAnsi="Times New Roman" w:cs="Times New Roman"/>
        </w:rPr>
        <w:t xml:space="preserve"> matrix antenna patterns described in</w:t>
      </w:r>
      <w:r w:rsidRPr="004478EE" w:rsidR="00291A65">
        <w:rPr>
          <w:rFonts w:ascii="Times New Roman" w:hAnsi="Times New Roman" w:cs="Times New Roman"/>
        </w:rPr>
        <w:t xml:space="preserve"> revised section 73.625(c)(3)(viii), the Commission will now require only one</w:t>
      </w:r>
      <w:r w:rsidRPr="004478EE" w:rsidR="00E4757D">
        <w:rPr>
          <w:rFonts w:ascii="Times New Roman" w:hAnsi="Times New Roman" w:cs="Times New Roman"/>
        </w:rPr>
        <w:t xml:space="preserve"> </w:t>
      </w:r>
      <w:r w:rsidRPr="004478EE">
        <w:rPr>
          <w:rFonts w:ascii="Times New Roman" w:hAnsi="Times New Roman" w:cs="Times New Roman"/>
        </w:rPr>
        <w:t>or two representative azimuth and elevation patterns be supplied in a .pdf attachment and if additional visualizations are needed, the tabular spreadsheet data can be used in spreadsheet software to produce them.</w:t>
      </w:r>
    </w:p>
    <w:p w:rsidR="007441CE" w:rsidRPr="007441CE" w:rsidP="007441CE" w14:paraId="2F95C82F" w14:textId="77777777">
      <w:pPr>
        <w:spacing w:after="0" w:line="240" w:lineRule="auto"/>
        <w:rPr>
          <w:rFonts w:ascii="Times New Roman" w:hAnsi="Times New Roman" w:cs="Times New Roman"/>
          <w:b/>
          <w:bCs/>
        </w:rPr>
      </w:pPr>
    </w:p>
    <w:p w:rsidR="00DD5E7B" w:rsidRPr="004478EE" w:rsidP="00DD5E7B" w14:paraId="735665D4" w14:textId="18133750">
      <w:pPr>
        <w:pStyle w:val="ListParagraph"/>
        <w:numPr>
          <w:ilvl w:val="0"/>
          <w:numId w:val="24"/>
        </w:numPr>
        <w:spacing w:after="0" w:line="240" w:lineRule="auto"/>
        <w:rPr>
          <w:rFonts w:ascii="Times New Roman" w:hAnsi="Times New Roman" w:cs="Times New Roman"/>
          <w:b/>
          <w:bCs/>
        </w:rPr>
      </w:pPr>
      <w:r w:rsidRPr="004478EE">
        <w:rPr>
          <w:rFonts w:ascii="Times New Roman" w:hAnsi="Times New Roman" w:cs="Times New Roman"/>
          <w:b/>
          <w:bCs/>
        </w:rPr>
        <w:t>Distributed Transmission System Rul</w:t>
      </w:r>
      <w:r w:rsidRPr="004478EE" w:rsidR="007A229F">
        <w:rPr>
          <w:rFonts w:ascii="Times New Roman" w:hAnsi="Times New Roman" w:cs="Times New Roman"/>
          <w:b/>
          <w:bCs/>
        </w:rPr>
        <w:t>e</w:t>
      </w:r>
      <w:r w:rsidRPr="004478EE" w:rsidR="00375115">
        <w:rPr>
          <w:rFonts w:ascii="Times New Roman" w:hAnsi="Times New Roman" w:cs="Times New Roman"/>
          <w:b/>
          <w:bCs/>
        </w:rPr>
        <w:t xml:space="preserve"> </w:t>
      </w:r>
      <w:r w:rsidR="007E20DE">
        <w:rPr>
          <w:rFonts w:ascii="Times New Roman" w:hAnsi="Times New Roman" w:cs="Times New Roman"/>
          <w:b/>
          <w:bCs/>
        </w:rPr>
        <w:t>(</w:t>
      </w:r>
      <w:r w:rsidRPr="004478EE" w:rsidR="00375115">
        <w:rPr>
          <w:rFonts w:ascii="Times New Roman" w:hAnsi="Times New Roman" w:cs="Times New Roman"/>
          <w:b/>
          <w:bCs/>
        </w:rPr>
        <w:t>47 CFR § 73.626</w:t>
      </w:r>
      <w:r w:rsidR="007E20DE">
        <w:rPr>
          <w:rFonts w:ascii="Times New Roman" w:hAnsi="Times New Roman" w:cs="Times New Roman"/>
          <w:b/>
          <w:bCs/>
        </w:rPr>
        <w:t>)</w:t>
      </w:r>
      <w:r w:rsidRPr="004478EE" w:rsidR="002C1F91">
        <w:rPr>
          <w:rFonts w:ascii="Times New Roman" w:hAnsi="Times New Roman" w:cs="Times New Roman"/>
          <w:b/>
          <w:bCs/>
        </w:rPr>
        <w:br/>
      </w:r>
    </w:p>
    <w:p w:rsidR="007A229F" w:rsidRPr="004478EE" w:rsidP="00BE0BDD" w14:paraId="2A8245DC" w14:textId="1889B78D">
      <w:pPr>
        <w:spacing w:after="0" w:line="240" w:lineRule="auto"/>
        <w:ind w:firstLine="720"/>
        <w:rPr>
          <w:rFonts w:ascii="Times New Roman" w:hAnsi="Times New Roman" w:cs="Times New Roman"/>
        </w:rPr>
      </w:pPr>
      <w:r w:rsidRPr="004478EE">
        <w:rPr>
          <w:rFonts w:ascii="Times New Roman" w:hAnsi="Times New Roman" w:cs="Times New Roman"/>
        </w:rPr>
        <w:t>The Commission amended its DTS rule</w:t>
      </w:r>
      <w:r w:rsidRPr="004478EE" w:rsidR="008E0684">
        <w:rPr>
          <w:rFonts w:ascii="Times New Roman" w:hAnsi="Times New Roman" w:cs="Times New Roman"/>
        </w:rPr>
        <w:t>, section 73.626</w:t>
      </w:r>
      <w:r w:rsidRPr="004478EE" w:rsidR="008F0AE0">
        <w:rPr>
          <w:rFonts w:ascii="Times New Roman" w:hAnsi="Times New Roman" w:cs="Times New Roman"/>
        </w:rPr>
        <w:t>,</w:t>
      </w:r>
      <w:r w:rsidRPr="004478EE" w:rsidR="00F279C0">
        <w:rPr>
          <w:rFonts w:ascii="Times New Roman" w:hAnsi="Times New Roman" w:cs="Times New Roman"/>
        </w:rPr>
        <w:t xml:space="preserve"> to</w:t>
      </w:r>
      <w:r w:rsidRPr="004478EE" w:rsidR="00BE0BDD">
        <w:rPr>
          <w:rFonts w:ascii="Times New Roman" w:hAnsi="Times New Roman" w:cs="Times New Roman"/>
        </w:rPr>
        <w:t xml:space="preserve"> </w:t>
      </w:r>
      <w:r w:rsidRPr="004478EE" w:rsidR="00F279C0">
        <w:rPr>
          <w:rFonts w:ascii="Times New Roman" w:hAnsi="Times New Roman" w:cs="Times New Roman"/>
        </w:rPr>
        <w:t>make the intent and application of the rule less ambiguous</w:t>
      </w:r>
      <w:r w:rsidRPr="004478EE" w:rsidR="00905A68">
        <w:rPr>
          <w:rFonts w:ascii="Times New Roman" w:hAnsi="Times New Roman" w:cs="Times New Roman"/>
        </w:rPr>
        <w:t xml:space="preserve"> by defining the term “authorized facility</w:t>
      </w:r>
      <w:r w:rsidR="00BB3759">
        <w:rPr>
          <w:rFonts w:ascii="Times New Roman" w:hAnsi="Times New Roman" w:cs="Times New Roman"/>
        </w:rPr>
        <w:t>,</w:t>
      </w:r>
      <w:r w:rsidRPr="004478EE" w:rsidR="00905A68">
        <w:rPr>
          <w:rFonts w:ascii="Times New Roman" w:hAnsi="Times New Roman" w:cs="Times New Roman"/>
        </w:rPr>
        <w:t xml:space="preserve">” replacing all uses of the term “reference facility” with the term “authorized facility” </w:t>
      </w:r>
      <w:r w:rsidRPr="004478EE" w:rsidR="00F279C0">
        <w:rPr>
          <w:rFonts w:ascii="Times New Roman" w:hAnsi="Times New Roman" w:cs="Times New Roman"/>
        </w:rPr>
        <w:t>in the appropriate locations, and replacing the term “reference point” with “site of its authorized facility” in places where the term “reference point” was improperly used.  The amended rule also makes clear when the Table of Distances values should be applied.</w:t>
      </w:r>
      <w:r w:rsidRPr="004478EE" w:rsidR="00BE0BDD">
        <w:rPr>
          <w:rFonts w:ascii="Times New Roman" w:hAnsi="Times New Roman" w:cs="Times New Roman"/>
        </w:rPr>
        <w:t xml:space="preserve"> </w:t>
      </w:r>
    </w:p>
    <w:p w:rsidR="007A229F" w:rsidRPr="008432A3" w:rsidP="007A229F" w14:paraId="2B8AAC66" w14:textId="77777777">
      <w:pPr>
        <w:spacing w:after="0" w:line="240" w:lineRule="auto"/>
        <w:rPr>
          <w:rFonts w:ascii="Times New Roman" w:hAnsi="Times New Roman" w:cs="Times New Roman"/>
        </w:rPr>
      </w:pPr>
    </w:p>
    <w:p w:rsidR="00DD5E7B" w:rsidRPr="004478EE" w:rsidP="00DD5E7B" w14:paraId="0FAAF845" w14:textId="29650305">
      <w:pPr>
        <w:pStyle w:val="ListParagraph"/>
        <w:numPr>
          <w:ilvl w:val="0"/>
          <w:numId w:val="24"/>
        </w:numPr>
        <w:spacing w:after="0" w:line="240" w:lineRule="auto"/>
        <w:rPr>
          <w:rFonts w:ascii="Times New Roman" w:hAnsi="Times New Roman" w:cs="Times New Roman"/>
          <w:b/>
          <w:bCs/>
        </w:rPr>
      </w:pPr>
      <w:r w:rsidRPr="004478EE">
        <w:rPr>
          <w:rFonts w:ascii="Times New Roman" w:hAnsi="Times New Roman" w:cs="Times New Roman"/>
          <w:b/>
          <w:bCs/>
        </w:rPr>
        <w:t>Transport Stream ID</w:t>
      </w:r>
      <w:r w:rsidRPr="004478EE" w:rsidR="007F0C49">
        <w:rPr>
          <w:rFonts w:ascii="Times New Roman" w:hAnsi="Times New Roman" w:cs="Times New Roman"/>
          <w:b/>
          <w:bCs/>
        </w:rPr>
        <w:t xml:space="preserve"> </w:t>
      </w:r>
      <w:r w:rsidR="007E20DE">
        <w:rPr>
          <w:rFonts w:ascii="Times New Roman" w:hAnsi="Times New Roman" w:cs="Times New Roman"/>
          <w:b/>
          <w:bCs/>
        </w:rPr>
        <w:t>(</w:t>
      </w:r>
      <w:r w:rsidRPr="004478EE" w:rsidR="007F0C49">
        <w:rPr>
          <w:rFonts w:ascii="Times New Roman" w:hAnsi="Times New Roman" w:cs="Times New Roman"/>
          <w:b/>
          <w:bCs/>
        </w:rPr>
        <w:t>47 CFR § 73.1201</w:t>
      </w:r>
      <w:r w:rsidR="007E20DE">
        <w:rPr>
          <w:rFonts w:ascii="Times New Roman" w:hAnsi="Times New Roman" w:cs="Times New Roman"/>
          <w:b/>
          <w:bCs/>
        </w:rPr>
        <w:t>)</w:t>
      </w:r>
    </w:p>
    <w:p w:rsidR="00A46B68" w:rsidP="00E17ECD" w14:paraId="4AC7EB0F" w14:textId="36FFE62A">
      <w:pPr>
        <w:spacing w:after="0" w:line="240" w:lineRule="auto"/>
        <w:rPr>
          <w:rFonts w:ascii="Times New Roman" w:hAnsi="Times New Roman" w:cs="Times New Roman"/>
        </w:rPr>
      </w:pPr>
    </w:p>
    <w:p w:rsidR="00CF4FD6" w:rsidRPr="004478EE" w:rsidP="008432A3" w14:paraId="13965E21" w14:textId="7BCEE22E">
      <w:pPr>
        <w:spacing w:after="0" w:line="240" w:lineRule="auto"/>
        <w:ind w:firstLine="720"/>
        <w:rPr>
          <w:rFonts w:ascii="Times New Roman" w:hAnsi="Times New Roman" w:cs="Times New Roman"/>
        </w:rPr>
      </w:pPr>
      <w:r w:rsidRPr="004478EE">
        <w:rPr>
          <w:rFonts w:ascii="Times New Roman" w:hAnsi="Times New Roman" w:cs="Times New Roman"/>
        </w:rPr>
        <w:t>The Commission’s amended rules require that all full-power and Class A television stations broadcast with their assigned transport stream ID (TSID) or bit stream ID (BSID) in the ATSC 3.0 context.</w:t>
      </w:r>
      <w:r w:rsidRPr="004478EE" w:rsidR="0004798C">
        <w:rPr>
          <w:rFonts w:ascii="Times New Roman" w:hAnsi="Times New Roman" w:cs="Times New Roman"/>
        </w:rPr>
        <w:t xml:space="preserve">  All stations must broadcast with their assigned TSID</w:t>
      </w:r>
      <w:r w:rsidRPr="004478EE" w:rsidR="00053D83">
        <w:rPr>
          <w:rFonts w:ascii="Times New Roman" w:hAnsi="Times New Roman" w:cs="Times New Roman"/>
        </w:rPr>
        <w:t xml:space="preserve">, or BSID as applicable, </w:t>
      </w:r>
      <w:r w:rsidRPr="004478EE" w:rsidR="0004798C">
        <w:rPr>
          <w:rFonts w:ascii="Times New Roman" w:hAnsi="Times New Roman" w:cs="Times New Roman"/>
        </w:rPr>
        <w:t xml:space="preserve">during their hours of operation.  </w:t>
      </w:r>
    </w:p>
    <w:p w:rsidR="00CF4FD6" w:rsidRPr="004478EE" w:rsidP="00CF4FD6" w14:paraId="4D74C09E" w14:textId="77777777">
      <w:pPr>
        <w:spacing w:after="0" w:line="240" w:lineRule="auto"/>
        <w:rPr>
          <w:rFonts w:ascii="Times New Roman" w:hAnsi="Times New Roman" w:cs="Times New Roman"/>
          <w:b/>
          <w:bCs/>
        </w:rPr>
      </w:pPr>
    </w:p>
    <w:p w:rsidR="00DD5E7B" w:rsidRPr="004478EE" w:rsidP="00DD5E7B" w14:paraId="6CB29028" w14:textId="4FE39C3C">
      <w:pPr>
        <w:pStyle w:val="ListParagraph"/>
        <w:numPr>
          <w:ilvl w:val="0"/>
          <w:numId w:val="24"/>
        </w:numPr>
        <w:spacing w:after="0" w:line="240" w:lineRule="auto"/>
        <w:rPr>
          <w:rFonts w:ascii="Times New Roman" w:hAnsi="Times New Roman" w:cs="Times New Roman"/>
          <w:b/>
          <w:bCs/>
        </w:rPr>
      </w:pPr>
      <w:r w:rsidRPr="004478EE">
        <w:rPr>
          <w:rFonts w:ascii="Times New Roman" w:hAnsi="Times New Roman" w:cs="Times New Roman"/>
          <w:b/>
          <w:bCs/>
        </w:rPr>
        <w:t xml:space="preserve">Class A </w:t>
      </w:r>
      <w:r w:rsidRPr="004478EE" w:rsidR="00464DE5">
        <w:rPr>
          <w:rFonts w:ascii="Times New Roman" w:hAnsi="Times New Roman" w:cs="Times New Roman"/>
          <w:b/>
          <w:bCs/>
        </w:rPr>
        <w:t xml:space="preserve">Television </w:t>
      </w:r>
      <w:r w:rsidRPr="004478EE">
        <w:rPr>
          <w:rFonts w:ascii="Times New Roman" w:hAnsi="Times New Roman" w:cs="Times New Roman"/>
          <w:b/>
          <w:bCs/>
        </w:rPr>
        <w:t>U</w:t>
      </w:r>
      <w:r w:rsidRPr="004478EE" w:rsidR="00464DE5">
        <w:rPr>
          <w:rFonts w:ascii="Times New Roman" w:hAnsi="Times New Roman" w:cs="Times New Roman"/>
          <w:b/>
          <w:bCs/>
        </w:rPr>
        <w:t>.</w:t>
      </w:r>
      <w:r w:rsidRPr="004478EE">
        <w:rPr>
          <w:rFonts w:ascii="Times New Roman" w:hAnsi="Times New Roman" w:cs="Times New Roman"/>
          <w:b/>
          <w:bCs/>
        </w:rPr>
        <w:t>S</w:t>
      </w:r>
      <w:r w:rsidRPr="004478EE" w:rsidR="00464DE5">
        <w:rPr>
          <w:rFonts w:ascii="Times New Roman" w:hAnsi="Times New Roman" w:cs="Times New Roman"/>
          <w:b/>
          <w:bCs/>
        </w:rPr>
        <w:t>.</w:t>
      </w:r>
      <w:r w:rsidRPr="004478EE">
        <w:rPr>
          <w:rFonts w:ascii="Times New Roman" w:hAnsi="Times New Roman" w:cs="Times New Roman"/>
          <w:b/>
          <w:bCs/>
        </w:rPr>
        <w:t>-Mexico Border Zone</w:t>
      </w:r>
      <w:r w:rsidRPr="004478EE" w:rsidR="00D636C6">
        <w:rPr>
          <w:rFonts w:ascii="Times New Roman" w:hAnsi="Times New Roman" w:cs="Times New Roman"/>
          <w:b/>
          <w:bCs/>
        </w:rPr>
        <w:t xml:space="preserve"> </w:t>
      </w:r>
      <w:r w:rsidR="007E20DE">
        <w:rPr>
          <w:rFonts w:ascii="Times New Roman" w:hAnsi="Times New Roman" w:cs="Times New Roman"/>
          <w:b/>
          <w:bCs/>
        </w:rPr>
        <w:t>(</w:t>
      </w:r>
      <w:r w:rsidRPr="004478EE" w:rsidR="00D636C6">
        <w:rPr>
          <w:rFonts w:ascii="Times New Roman" w:hAnsi="Times New Roman" w:cs="Times New Roman"/>
          <w:b/>
          <w:bCs/>
        </w:rPr>
        <w:t>47 CFR § 73.6024</w:t>
      </w:r>
      <w:r w:rsidR="007E20DE">
        <w:rPr>
          <w:rFonts w:ascii="Times New Roman" w:hAnsi="Times New Roman" w:cs="Times New Roman"/>
          <w:b/>
          <w:bCs/>
        </w:rPr>
        <w:t>)</w:t>
      </w:r>
    </w:p>
    <w:p w:rsidR="00F45BE4" w:rsidRPr="004478EE" w:rsidP="00F45BE4" w14:paraId="17A49325" w14:textId="77777777">
      <w:pPr>
        <w:spacing w:after="0" w:line="240" w:lineRule="auto"/>
        <w:rPr>
          <w:rFonts w:ascii="Times New Roman" w:hAnsi="Times New Roman" w:cs="Times New Roman"/>
          <w:b/>
          <w:bCs/>
        </w:rPr>
      </w:pPr>
    </w:p>
    <w:p w:rsidR="00F45BE4" w:rsidRPr="004478EE" w:rsidP="00A46B68" w14:paraId="0DA9F3B9" w14:textId="77777777">
      <w:pPr>
        <w:spacing w:after="0" w:line="240" w:lineRule="auto"/>
        <w:ind w:firstLine="720"/>
        <w:rPr>
          <w:rFonts w:ascii="Times New Roman" w:hAnsi="Times New Roman" w:cs="Times New Roman"/>
        </w:rPr>
      </w:pPr>
      <w:r w:rsidRPr="004478EE">
        <w:rPr>
          <w:rFonts w:ascii="Times New Roman" w:hAnsi="Times New Roman" w:cs="Times New Roman"/>
        </w:rPr>
        <w:t>Revised section 73.6024(d) requires Class A television stations within 275 kilometers of the U.S.-</w:t>
      </w:r>
    </w:p>
    <w:p w:rsidR="00DF6ACE" w:rsidRPr="004478EE" w:rsidP="00DD224E" w14:paraId="6294C9CC" w14:textId="303D8A8C">
      <w:pPr>
        <w:spacing w:after="0" w:line="240" w:lineRule="auto"/>
        <w:rPr>
          <w:rFonts w:ascii="Times New Roman" w:hAnsi="Times New Roman" w:cs="Times New Roman"/>
        </w:rPr>
      </w:pPr>
      <w:r w:rsidRPr="004478EE">
        <w:rPr>
          <w:rFonts w:ascii="Times New Roman" w:hAnsi="Times New Roman" w:cs="Times New Roman"/>
        </w:rPr>
        <w:t>Mexico</w:t>
      </w:r>
      <w:r w:rsidRPr="004478EE" w:rsidR="00D636C6">
        <w:rPr>
          <w:rFonts w:ascii="Times New Roman" w:hAnsi="Times New Roman" w:cs="Times New Roman"/>
        </w:rPr>
        <w:t xml:space="preserve"> border to specify a full-service emission mask in any modification application.</w:t>
      </w:r>
      <w:r w:rsidRPr="004478EE" w:rsidR="00DD224E">
        <w:rPr>
          <w:rFonts w:ascii="Times New Roman" w:hAnsi="Times New Roman" w:cs="Times New Roman"/>
        </w:rPr>
        <w:br/>
      </w:r>
    </w:p>
    <w:p w:rsidR="00DD5E7B" w:rsidRPr="004478EE" w:rsidP="00DD5E7B" w14:paraId="34E9C6B9" w14:textId="07BA3F47">
      <w:pPr>
        <w:pStyle w:val="ListParagraph"/>
        <w:numPr>
          <w:ilvl w:val="0"/>
          <w:numId w:val="24"/>
        </w:numPr>
        <w:spacing w:after="0" w:line="240" w:lineRule="auto"/>
        <w:rPr>
          <w:rFonts w:ascii="Times New Roman" w:hAnsi="Times New Roman" w:cs="Times New Roman"/>
          <w:b/>
          <w:bCs/>
        </w:rPr>
      </w:pPr>
      <w:r w:rsidRPr="004478EE">
        <w:rPr>
          <w:rFonts w:ascii="Times New Roman" w:hAnsi="Times New Roman" w:cs="Times New Roman"/>
          <w:b/>
          <w:bCs/>
        </w:rPr>
        <w:t>Minimum Video Program Requirements</w:t>
      </w:r>
      <w:r w:rsidRPr="004478EE" w:rsidR="00C07BC3">
        <w:rPr>
          <w:rFonts w:ascii="Times New Roman" w:hAnsi="Times New Roman" w:cs="Times New Roman"/>
          <w:b/>
          <w:bCs/>
        </w:rPr>
        <w:t xml:space="preserve"> </w:t>
      </w:r>
      <w:r w:rsidR="007E20DE">
        <w:rPr>
          <w:rFonts w:ascii="Times New Roman" w:hAnsi="Times New Roman" w:cs="Times New Roman"/>
          <w:b/>
          <w:bCs/>
        </w:rPr>
        <w:t>(</w:t>
      </w:r>
      <w:r w:rsidRPr="004478EE" w:rsidR="00C07BC3">
        <w:rPr>
          <w:rFonts w:ascii="Times New Roman" w:hAnsi="Times New Roman" w:cs="Times New Roman"/>
          <w:b/>
          <w:bCs/>
        </w:rPr>
        <w:t>47 CFR § 73.624(b)</w:t>
      </w:r>
      <w:r w:rsidR="007E20DE">
        <w:rPr>
          <w:rFonts w:ascii="Times New Roman" w:hAnsi="Times New Roman" w:cs="Times New Roman"/>
          <w:b/>
          <w:bCs/>
        </w:rPr>
        <w:t>)</w:t>
      </w:r>
    </w:p>
    <w:p w:rsidR="008E49E4" w:rsidRPr="00552FA7" w:rsidP="008E49E4" w14:paraId="3D378F93" w14:textId="77777777">
      <w:pPr>
        <w:spacing w:after="0" w:line="240" w:lineRule="auto"/>
        <w:rPr>
          <w:rFonts w:ascii="Times New Roman" w:hAnsi="Times New Roman" w:cs="Times New Roman"/>
        </w:rPr>
      </w:pPr>
    </w:p>
    <w:p w:rsidR="008762A4" w:rsidRPr="00552FA7" w:rsidP="00552FA7" w14:paraId="6322BB93" w14:textId="6AD038F3">
      <w:pPr>
        <w:spacing w:after="0" w:line="240" w:lineRule="auto"/>
        <w:ind w:firstLine="720"/>
        <w:rPr>
          <w:rFonts w:ascii="Times New Roman" w:hAnsi="Times New Roman" w:cs="Times New Roman"/>
        </w:rPr>
      </w:pPr>
      <w:r w:rsidRPr="004478EE">
        <w:rPr>
          <w:rFonts w:ascii="Times New Roman" w:hAnsi="Times New Roman" w:cs="Times New Roman"/>
        </w:rPr>
        <w:t xml:space="preserve">The </w:t>
      </w:r>
      <w:r w:rsidRPr="004478EE">
        <w:rPr>
          <w:rFonts w:ascii="Times New Roman" w:hAnsi="Times New Roman" w:cs="Times New Roman"/>
          <w:i/>
          <w:iCs/>
        </w:rPr>
        <w:t>Report and Order</w:t>
      </w:r>
      <w:r w:rsidRPr="004478EE" w:rsidR="00DB5507">
        <w:rPr>
          <w:rFonts w:ascii="Times New Roman" w:hAnsi="Times New Roman" w:cs="Times New Roman"/>
        </w:rPr>
        <w:t xml:space="preserve"> </w:t>
      </w:r>
      <w:r w:rsidRPr="004478EE" w:rsidR="001547C8">
        <w:rPr>
          <w:rFonts w:ascii="Times New Roman" w:hAnsi="Times New Roman" w:cs="Times New Roman"/>
        </w:rPr>
        <w:t xml:space="preserve">updates a Class A television rule to conform the rule </w:t>
      </w:r>
      <w:r w:rsidRPr="004478EE" w:rsidR="00964DB3">
        <w:rPr>
          <w:rFonts w:ascii="Times New Roman" w:hAnsi="Times New Roman" w:cs="Times New Roman"/>
        </w:rPr>
        <w:t xml:space="preserve">with requirements for full power and low power and television translator stations.  Specifically, Class A stations must </w:t>
      </w:r>
      <w:r w:rsidRPr="004478EE" w:rsidR="007C36CC">
        <w:rPr>
          <w:rFonts w:ascii="Times New Roman" w:hAnsi="Times New Roman" w:cs="Times New Roman"/>
        </w:rPr>
        <w:t>use a minimum 480i video resolution</w:t>
      </w:r>
      <w:r w:rsidRPr="004478EE" w:rsidR="00C07BC3">
        <w:rPr>
          <w:rFonts w:ascii="Times New Roman" w:hAnsi="Times New Roman" w:cs="Times New Roman"/>
        </w:rPr>
        <w:t>.</w:t>
      </w:r>
      <w:r w:rsidRPr="004478EE" w:rsidR="00203309">
        <w:rPr>
          <w:rFonts w:ascii="Times New Roman" w:hAnsi="Times New Roman" w:cs="Times New Roman"/>
          <w:b/>
          <w:bCs/>
        </w:rPr>
        <w:br/>
      </w:r>
    </w:p>
    <w:p w:rsidR="007413A9" w:rsidRPr="004478EE" w:rsidP="00436733" w14:paraId="3803FE00" w14:textId="7C387100">
      <w:pPr>
        <w:pStyle w:val="ListParagraph"/>
        <w:numPr>
          <w:ilvl w:val="0"/>
          <w:numId w:val="24"/>
        </w:numPr>
        <w:spacing w:after="120"/>
        <w:rPr>
          <w:rFonts w:ascii="Times New Roman" w:hAnsi="Times New Roman" w:cs="Times New Roman"/>
          <w:b/>
        </w:rPr>
      </w:pPr>
      <w:r w:rsidRPr="004478EE">
        <w:rPr>
          <w:rFonts w:ascii="Times New Roman" w:hAnsi="Times New Roman" w:cs="Times New Roman"/>
          <w:b/>
        </w:rPr>
        <w:t xml:space="preserve">Electronic </w:t>
      </w:r>
      <w:r w:rsidRPr="004478EE" w:rsidR="00C3078D">
        <w:rPr>
          <w:rFonts w:ascii="Times New Roman" w:hAnsi="Times New Roman" w:cs="Times New Roman"/>
          <w:b/>
        </w:rPr>
        <w:t xml:space="preserve">Filing and </w:t>
      </w:r>
      <w:r w:rsidRPr="004478EE">
        <w:rPr>
          <w:rFonts w:ascii="Times New Roman" w:hAnsi="Times New Roman" w:cs="Times New Roman"/>
          <w:b/>
        </w:rPr>
        <w:t>Submissions</w:t>
      </w:r>
      <w:r>
        <w:rPr>
          <w:rStyle w:val="FootnoteReference"/>
          <w:rFonts w:ascii="Times New Roman" w:hAnsi="Times New Roman" w:cs="Times New Roman"/>
          <w:b/>
        </w:rPr>
        <w:footnoteReference w:id="6"/>
      </w:r>
      <w:r w:rsidR="0024607E">
        <w:rPr>
          <w:rFonts w:ascii="Times New Roman" w:hAnsi="Times New Roman" w:cs="Times New Roman"/>
          <w:b/>
        </w:rPr>
        <w:t xml:space="preserve"> </w:t>
      </w:r>
    </w:p>
    <w:p w:rsidR="00EA18E8" w:rsidP="00436733" w14:paraId="57B7BFB9" w14:textId="4A4EBCD8">
      <w:pPr>
        <w:spacing w:after="120" w:line="240" w:lineRule="auto"/>
        <w:ind w:firstLine="720"/>
        <w:rPr>
          <w:rFonts w:ascii="Times New Roman" w:hAnsi="Times New Roman" w:cs="Times New Roman"/>
          <w:bCs/>
        </w:rPr>
      </w:pPr>
      <w:bookmarkStart w:id="5" w:name="_Hlk135741924"/>
      <w:r w:rsidRPr="004478EE">
        <w:rPr>
          <w:rFonts w:ascii="Times New Roman" w:hAnsi="Times New Roman" w:cs="Times New Roman"/>
          <w:bCs/>
        </w:rPr>
        <w:t xml:space="preserve">The </w:t>
      </w:r>
      <w:r w:rsidRPr="004478EE">
        <w:rPr>
          <w:rFonts w:ascii="Times New Roman" w:hAnsi="Times New Roman" w:cs="Times New Roman"/>
        </w:rPr>
        <w:t>Commission</w:t>
      </w:r>
      <w:r w:rsidRPr="004478EE">
        <w:rPr>
          <w:rFonts w:ascii="Times New Roman" w:hAnsi="Times New Roman" w:cs="Times New Roman"/>
          <w:bCs/>
        </w:rPr>
        <w:t xml:space="preserve"> also updates</w:t>
      </w:r>
      <w:r w:rsidRPr="004478EE" w:rsidR="00C24883">
        <w:rPr>
          <w:rFonts w:ascii="Times New Roman" w:hAnsi="Times New Roman" w:cs="Times New Roman"/>
          <w:bCs/>
        </w:rPr>
        <w:t xml:space="preserve"> its rules to provide full power and Class A licensees and permittees with accurate information about current Commission forms and filing procedures, including the removal of obsolete forms</w:t>
      </w:r>
      <w:r w:rsidRPr="004478EE">
        <w:rPr>
          <w:rFonts w:ascii="Times New Roman" w:hAnsi="Times New Roman" w:cs="Times New Roman"/>
          <w:bCs/>
        </w:rPr>
        <w:t xml:space="preserve">.  </w:t>
      </w:r>
      <w:bookmarkEnd w:id="5"/>
      <w:r w:rsidRPr="004478EE">
        <w:rPr>
          <w:rFonts w:ascii="Times New Roman" w:hAnsi="Times New Roman" w:cs="Times New Roman"/>
          <w:bCs/>
        </w:rPr>
        <w:t xml:space="preserve">The following rules </w:t>
      </w:r>
      <w:r w:rsidRPr="004478EE" w:rsidR="005600D0">
        <w:rPr>
          <w:rFonts w:ascii="Times New Roman" w:hAnsi="Times New Roman" w:cs="Times New Roman"/>
          <w:bCs/>
        </w:rPr>
        <w:t xml:space="preserve">update application </w:t>
      </w:r>
      <w:r w:rsidRPr="004478EE" w:rsidR="007F4A2E">
        <w:rPr>
          <w:rFonts w:ascii="Times New Roman" w:hAnsi="Times New Roman" w:cs="Times New Roman"/>
          <w:bCs/>
        </w:rPr>
        <w:t xml:space="preserve">LMS </w:t>
      </w:r>
      <w:r w:rsidRPr="004478EE" w:rsidR="005600D0">
        <w:rPr>
          <w:rFonts w:ascii="Times New Roman" w:hAnsi="Times New Roman" w:cs="Times New Roman"/>
          <w:bCs/>
        </w:rPr>
        <w:t>form numbers</w:t>
      </w:r>
      <w:r w:rsidR="0090622B">
        <w:rPr>
          <w:rFonts w:ascii="Times New Roman" w:hAnsi="Times New Roman" w:cs="Times New Roman"/>
          <w:bCs/>
        </w:rPr>
        <w:t>,</w:t>
      </w:r>
      <w:r w:rsidRPr="004478EE" w:rsidR="00B46406">
        <w:rPr>
          <w:rFonts w:ascii="Times New Roman" w:hAnsi="Times New Roman" w:cs="Times New Roman"/>
          <w:bCs/>
        </w:rPr>
        <w:t xml:space="preserve"> </w:t>
      </w:r>
      <w:r w:rsidRPr="004478EE" w:rsidR="007F4A2E">
        <w:rPr>
          <w:rFonts w:ascii="Times New Roman" w:hAnsi="Times New Roman" w:cs="Times New Roman"/>
          <w:bCs/>
        </w:rPr>
        <w:t xml:space="preserve">or </w:t>
      </w:r>
      <w:r w:rsidRPr="004478EE" w:rsidR="00CE505E">
        <w:rPr>
          <w:rFonts w:ascii="Times New Roman" w:hAnsi="Times New Roman" w:cs="Times New Roman"/>
          <w:bCs/>
        </w:rPr>
        <w:t xml:space="preserve">will now </w:t>
      </w:r>
      <w:r w:rsidRPr="004478EE" w:rsidR="007F4A2E">
        <w:rPr>
          <w:rFonts w:ascii="Times New Roman" w:hAnsi="Times New Roman" w:cs="Times New Roman"/>
          <w:bCs/>
        </w:rPr>
        <w:t>require submission in LMS</w:t>
      </w:r>
      <w:r w:rsidRPr="004478EE" w:rsidR="00E55C30">
        <w:rPr>
          <w:rFonts w:ascii="Times New Roman" w:hAnsi="Times New Roman" w:cs="Times New Roman"/>
          <w:bCs/>
        </w:rPr>
        <w:t xml:space="preserve">: </w:t>
      </w:r>
    </w:p>
    <w:p w:rsidR="00EA18E8" w:rsidP="00436733" w14:paraId="39144AC9" w14:textId="4E2AF970">
      <w:pPr>
        <w:spacing w:after="120" w:line="240" w:lineRule="auto"/>
        <w:ind w:firstLine="720"/>
        <w:rPr>
          <w:rFonts w:ascii="Times New Roman" w:hAnsi="Times New Roman" w:cs="Times New Roman"/>
        </w:rPr>
      </w:pPr>
      <w:r w:rsidRPr="004478EE">
        <w:rPr>
          <w:rFonts w:ascii="Times New Roman" w:hAnsi="Times New Roman" w:cs="Times New Roman"/>
        </w:rPr>
        <w:t xml:space="preserve">47 CFR § 73.1350(h) (Transmission system operation); </w:t>
      </w:r>
    </w:p>
    <w:p w:rsidR="00EA18E8" w:rsidP="00436733" w14:paraId="6AB80A47" w14:textId="23B744F8">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812DAB">
        <w:rPr>
          <w:rFonts w:ascii="Times New Roman" w:hAnsi="Times New Roman" w:cs="Times New Roman"/>
          <w:bCs/>
        </w:rPr>
        <w:t>73.1560(a)(1)</w:t>
      </w:r>
      <w:r w:rsidRPr="004478EE" w:rsidR="00E22AFA">
        <w:rPr>
          <w:rFonts w:ascii="Times New Roman" w:hAnsi="Times New Roman" w:cs="Times New Roman"/>
          <w:bCs/>
        </w:rPr>
        <w:t xml:space="preserve"> </w:t>
      </w:r>
      <w:r w:rsidRPr="004478EE" w:rsidR="007F4A2E">
        <w:rPr>
          <w:rFonts w:ascii="Times New Roman" w:hAnsi="Times New Roman" w:cs="Times New Roman"/>
          <w:bCs/>
        </w:rPr>
        <w:t xml:space="preserve">and (d) </w:t>
      </w:r>
      <w:r w:rsidRPr="004478EE" w:rsidR="00E22AFA">
        <w:rPr>
          <w:rFonts w:ascii="Times New Roman" w:hAnsi="Times New Roman" w:cs="Times New Roman"/>
          <w:bCs/>
        </w:rPr>
        <w:t>(Operating power and mode tolerances)</w:t>
      </w:r>
      <w:r w:rsidRPr="004478EE" w:rsidR="007F4A2E">
        <w:rPr>
          <w:rFonts w:ascii="Times New Roman" w:hAnsi="Times New Roman" w:cs="Times New Roman"/>
          <w:bCs/>
        </w:rPr>
        <w:t xml:space="preserve">; </w:t>
      </w:r>
    </w:p>
    <w:p w:rsidR="00EA18E8" w:rsidP="00436733" w14:paraId="4B77320C" w14:textId="22821C16">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E217FF">
        <w:rPr>
          <w:rFonts w:ascii="Times New Roman" w:hAnsi="Times New Roman" w:cs="Times New Roman"/>
          <w:bCs/>
        </w:rPr>
        <w:t>73.1615(c) (Operating during modification of facilities);</w:t>
      </w:r>
      <w:r w:rsidRPr="004478EE" w:rsidR="008F3583">
        <w:rPr>
          <w:rFonts w:ascii="Times New Roman" w:hAnsi="Times New Roman" w:cs="Times New Roman"/>
          <w:bCs/>
        </w:rPr>
        <w:t xml:space="preserve"> </w:t>
      </w:r>
    </w:p>
    <w:p w:rsidR="00EA18E8" w:rsidP="00436733" w14:paraId="5AC0BF29" w14:textId="318D5710">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8F3583">
        <w:rPr>
          <w:rFonts w:ascii="Times New Roman" w:hAnsi="Times New Roman" w:cs="Times New Roman"/>
          <w:bCs/>
        </w:rPr>
        <w:t>73.1620</w:t>
      </w:r>
      <w:r w:rsidRPr="004478EE" w:rsidR="00796695">
        <w:rPr>
          <w:rFonts w:ascii="Times New Roman" w:hAnsi="Times New Roman" w:cs="Times New Roman"/>
          <w:bCs/>
        </w:rPr>
        <w:t>(a)(1)-(3) (Program tests);</w:t>
      </w:r>
      <w:r w:rsidRPr="004478EE" w:rsidR="00032B03">
        <w:rPr>
          <w:rFonts w:ascii="Times New Roman" w:hAnsi="Times New Roman" w:cs="Times New Roman"/>
          <w:bCs/>
        </w:rPr>
        <w:t xml:space="preserve"> </w:t>
      </w:r>
    </w:p>
    <w:p w:rsidR="00EA18E8" w:rsidP="00436733" w14:paraId="05F75A83" w14:textId="2B945121">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032B03">
        <w:rPr>
          <w:rFonts w:ascii="Times New Roman" w:hAnsi="Times New Roman" w:cs="Times New Roman"/>
          <w:bCs/>
        </w:rPr>
        <w:t>73.1635(a)(2) (Special temporary authorizations (STA));</w:t>
      </w:r>
      <w:r w:rsidRPr="004478EE" w:rsidR="00A131A0">
        <w:rPr>
          <w:rFonts w:ascii="Times New Roman" w:hAnsi="Times New Roman" w:cs="Times New Roman"/>
          <w:bCs/>
        </w:rPr>
        <w:t xml:space="preserve"> </w:t>
      </w:r>
    </w:p>
    <w:p w:rsidR="00EA18E8" w:rsidP="00436733" w14:paraId="5AAA54A1" w14:textId="143820F0">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A131A0">
        <w:rPr>
          <w:rFonts w:ascii="Times New Roman" w:hAnsi="Times New Roman" w:cs="Times New Roman"/>
          <w:bCs/>
        </w:rPr>
        <w:t>73.1675(b) (Auxiliary antennas);</w:t>
      </w:r>
      <w:r w:rsidRPr="004478EE" w:rsidR="006862F1">
        <w:rPr>
          <w:rFonts w:ascii="Times New Roman" w:hAnsi="Times New Roman" w:cs="Times New Roman"/>
          <w:bCs/>
        </w:rPr>
        <w:t xml:space="preserve"> </w:t>
      </w:r>
    </w:p>
    <w:p w:rsidR="0090622B" w:rsidP="0090622B" w14:paraId="3FEB5865" w14:textId="77777777">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6862F1">
        <w:rPr>
          <w:rFonts w:ascii="Times New Roman" w:hAnsi="Times New Roman" w:cs="Times New Roman"/>
          <w:bCs/>
        </w:rPr>
        <w:t>73.1690(b) and (c)(3)</w:t>
      </w:r>
      <w:r w:rsidRPr="004478EE" w:rsidR="00D82616">
        <w:rPr>
          <w:rFonts w:ascii="Times New Roman" w:hAnsi="Times New Roman" w:cs="Times New Roman"/>
          <w:bCs/>
        </w:rPr>
        <w:t xml:space="preserve"> (Modification of transmission systems);</w:t>
      </w:r>
      <w:r w:rsidRPr="004478EE" w:rsidR="00804B69">
        <w:rPr>
          <w:rFonts w:ascii="Times New Roman" w:hAnsi="Times New Roman" w:cs="Times New Roman"/>
          <w:bCs/>
        </w:rPr>
        <w:t xml:space="preserve"> </w:t>
      </w:r>
    </w:p>
    <w:p w:rsidR="00EA18E8" w:rsidP="0090622B" w14:paraId="4ABA2B92" w14:textId="0D504F52">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804B69">
        <w:rPr>
          <w:rFonts w:ascii="Times New Roman" w:hAnsi="Times New Roman" w:cs="Times New Roman"/>
          <w:bCs/>
        </w:rPr>
        <w:t>73.1740(a)(4) (Minimum operating schedule);</w:t>
      </w:r>
      <w:r w:rsidRPr="004478EE" w:rsidR="00342DA5">
        <w:rPr>
          <w:rFonts w:ascii="Times New Roman" w:hAnsi="Times New Roman" w:cs="Times New Roman"/>
          <w:bCs/>
        </w:rPr>
        <w:t xml:space="preserve"> </w:t>
      </w:r>
    </w:p>
    <w:p w:rsidR="00EA18E8" w:rsidP="00436733" w14:paraId="01621B35" w14:textId="2CD86618">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342DA5">
        <w:rPr>
          <w:rFonts w:ascii="Times New Roman" w:hAnsi="Times New Roman" w:cs="Times New Roman"/>
          <w:bCs/>
        </w:rPr>
        <w:t>73.1750</w:t>
      </w:r>
      <w:r w:rsidRPr="004478EE" w:rsidR="00B61E2B">
        <w:rPr>
          <w:rFonts w:ascii="Times New Roman" w:hAnsi="Times New Roman" w:cs="Times New Roman"/>
          <w:bCs/>
        </w:rPr>
        <w:t xml:space="preserve"> (Discontinuance of operation);</w:t>
      </w:r>
      <w:r w:rsidRPr="004478EE" w:rsidR="00B20620">
        <w:rPr>
          <w:rFonts w:ascii="Times New Roman" w:hAnsi="Times New Roman" w:cs="Times New Roman"/>
          <w:bCs/>
        </w:rPr>
        <w:t xml:space="preserve"> </w:t>
      </w:r>
    </w:p>
    <w:p w:rsidR="00EA18E8" w:rsidP="00436733" w14:paraId="1125986F" w14:textId="1B1E3815">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712FDD">
        <w:rPr>
          <w:rFonts w:ascii="Times New Roman" w:hAnsi="Times New Roman" w:cs="Times New Roman"/>
          <w:bCs/>
        </w:rPr>
        <w:t>73.2080(c)(6) and (f) (Equal employment opportunities (EEO));</w:t>
      </w:r>
      <w:r w:rsidRPr="004478EE" w:rsidR="00A12BA9">
        <w:rPr>
          <w:rFonts w:ascii="Times New Roman" w:hAnsi="Times New Roman" w:cs="Times New Roman"/>
          <w:bCs/>
        </w:rPr>
        <w:t xml:space="preserve"> </w:t>
      </w:r>
    </w:p>
    <w:p w:rsidR="00EA18E8" w:rsidP="00436733" w14:paraId="08BBCA1F" w14:textId="4F6EF5E4">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7252C0">
        <w:rPr>
          <w:rFonts w:ascii="Times New Roman" w:hAnsi="Times New Roman" w:cs="Times New Roman"/>
          <w:bCs/>
        </w:rPr>
        <w:t xml:space="preserve">73.3500 (Application and report forms); </w:t>
      </w:r>
    </w:p>
    <w:p w:rsidR="00EA18E8" w:rsidP="00436733" w14:paraId="224E59F5" w14:textId="40D457D0">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A12BA9">
        <w:rPr>
          <w:rFonts w:ascii="Times New Roman" w:hAnsi="Times New Roman" w:cs="Times New Roman"/>
          <w:bCs/>
        </w:rPr>
        <w:t>73.3533</w:t>
      </w:r>
      <w:r w:rsidRPr="004478EE" w:rsidR="00277FA4">
        <w:rPr>
          <w:rFonts w:ascii="Times New Roman" w:hAnsi="Times New Roman" w:cs="Times New Roman"/>
          <w:bCs/>
        </w:rPr>
        <w:t>(a)(1) and (a)(4)-(8) (Application for construction permit or modification of construction permit);</w:t>
      </w:r>
      <w:r w:rsidRPr="004478EE" w:rsidR="00C731DD">
        <w:rPr>
          <w:rFonts w:ascii="Times New Roman" w:hAnsi="Times New Roman" w:cs="Times New Roman"/>
          <w:bCs/>
        </w:rPr>
        <w:t xml:space="preserve"> </w:t>
      </w:r>
    </w:p>
    <w:p w:rsidR="00EA18E8" w:rsidP="00436733" w14:paraId="63E2ADF2" w14:textId="6442EEC9">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C731DD">
        <w:rPr>
          <w:rFonts w:ascii="Times New Roman" w:hAnsi="Times New Roman" w:cs="Times New Roman"/>
          <w:bCs/>
        </w:rPr>
        <w:t>73.3536</w:t>
      </w:r>
      <w:r w:rsidRPr="004478EE" w:rsidR="00105D73">
        <w:rPr>
          <w:rFonts w:ascii="Times New Roman" w:hAnsi="Times New Roman" w:cs="Times New Roman"/>
          <w:bCs/>
        </w:rPr>
        <w:t>(b)-(c)</w:t>
      </w:r>
      <w:r w:rsidRPr="004478EE" w:rsidR="00C731DD">
        <w:rPr>
          <w:rFonts w:ascii="Times New Roman" w:hAnsi="Times New Roman" w:cs="Times New Roman"/>
          <w:bCs/>
        </w:rPr>
        <w:t xml:space="preserve"> (Application for license to cover construction permit)</w:t>
      </w:r>
      <w:r w:rsidRPr="004478EE" w:rsidR="00BD5E8B">
        <w:rPr>
          <w:rFonts w:ascii="Times New Roman" w:hAnsi="Times New Roman" w:cs="Times New Roman"/>
          <w:bCs/>
        </w:rPr>
        <w:t xml:space="preserve">; </w:t>
      </w:r>
    </w:p>
    <w:p w:rsidR="00EA18E8" w:rsidP="00436733" w14:paraId="63485F46" w14:textId="65C91F4A">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BD5E8B">
        <w:rPr>
          <w:rFonts w:ascii="Times New Roman" w:hAnsi="Times New Roman" w:cs="Times New Roman"/>
          <w:bCs/>
        </w:rPr>
        <w:t>73.3540</w:t>
      </w:r>
      <w:r w:rsidRPr="004478EE" w:rsidR="00577FEA">
        <w:rPr>
          <w:rFonts w:ascii="Times New Roman" w:hAnsi="Times New Roman" w:cs="Times New Roman"/>
          <w:bCs/>
        </w:rPr>
        <w:t>(c)-(f)</w:t>
      </w:r>
      <w:r w:rsidRPr="004478EE" w:rsidR="00BD5E8B">
        <w:rPr>
          <w:rFonts w:ascii="Times New Roman" w:hAnsi="Times New Roman" w:cs="Times New Roman"/>
          <w:bCs/>
        </w:rPr>
        <w:t xml:space="preserve"> (Application for voluntary assignment or transfer of control)</w:t>
      </w:r>
      <w:r w:rsidRPr="004478EE" w:rsidR="0079439D">
        <w:rPr>
          <w:rFonts w:ascii="Times New Roman" w:hAnsi="Times New Roman" w:cs="Times New Roman"/>
          <w:bCs/>
        </w:rPr>
        <w:t xml:space="preserve">; </w:t>
      </w:r>
    </w:p>
    <w:p w:rsidR="00EA18E8" w:rsidP="00436733" w14:paraId="6F0F7A47" w14:textId="6F5D0B78">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79439D">
        <w:rPr>
          <w:rFonts w:ascii="Times New Roman" w:hAnsi="Times New Roman" w:cs="Times New Roman"/>
          <w:bCs/>
        </w:rPr>
        <w:t>73.3541</w:t>
      </w:r>
      <w:r w:rsidRPr="004478EE" w:rsidR="00EC3A73">
        <w:rPr>
          <w:rFonts w:ascii="Times New Roman" w:hAnsi="Times New Roman" w:cs="Times New Roman"/>
          <w:bCs/>
        </w:rPr>
        <w:t>(b)</w:t>
      </w:r>
      <w:r w:rsidRPr="004478EE" w:rsidR="0079439D">
        <w:rPr>
          <w:rFonts w:ascii="Times New Roman" w:hAnsi="Times New Roman" w:cs="Times New Roman"/>
          <w:bCs/>
        </w:rPr>
        <w:t xml:space="preserve"> (Application for involuntary assignment of license or transfer of control);</w:t>
      </w:r>
      <w:r w:rsidRPr="004478EE" w:rsidR="00332447">
        <w:rPr>
          <w:rFonts w:ascii="Times New Roman" w:hAnsi="Times New Roman" w:cs="Times New Roman"/>
          <w:bCs/>
        </w:rPr>
        <w:t xml:space="preserve"> </w:t>
      </w:r>
    </w:p>
    <w:p w:rsidR="0090622B" w:rsidP="00436733" w14:paraId="78B5F9C2" w14:textId="77777777">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332447">
        <w:rPr>
          <w:rFonts w:ascii="Times New Roman" w:hAnsi="Times New Roman" w:cs="Times New Roman"/>
          <w:bCs/>
        </w:rPr>
        <w:t>73.3544</w:t>
      </w:r>
      <w:r w:rsidRPr="004478EE" w:rsidR="00BD7FC5">
        <w:rPr>
          <w:rFonts w:ascii="Times New Roman" w:hAnsi="Times New Roman" w:cs="Times New Roman"/>
          <w:bCs/>
        </w:rPr>
        <w:t>(b)-(c)</w:t>
      </w:r>
      <w:r w:rsidRPr="004478EE" w:rsidR="00332447">
        <w:rPr>
          <w:rFonts w:ascii="Times New Roman" w:hAnsi="Times New Roman" w:cs="Times New Roman"/>
          <w:bCs/>
        </w:rPr>
        <w:t xml:space="preserve"> (Application to obtain a modified station license);</w:t>
      </w:r>
      <w:r w:rsidRPr="004478EE" w:rsidR="00BD7FC5">
        <w:rPr>
          <w:rFonts w:ascii="Times New Roman" w:hAnsi="Times New Roman" w:cs="Times New Roman"/>
          <w:bCs/>
        </w:rPr>
        <w:t xml:space="preserve"> </w:t>
      </w:r>
    </w:p>
    <w:p w:rsidR="00EA18E8" w:rsidP="00436733" w14:paraId="4BDEC3B1" w14:textId="7F0B1EB2">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BD7FC5">
        <w:rPr>
          <w:rFonts w:ascii="Times New Roman" w:hAnsi="Times New Roman" w:cs="Times New Roman"/>
          <w:bCs/>
        </w:rPr>
        <w:t>73.3549 (Requests for extension of time to operate without required monitors, indicating instruments, and EAS encoders and decoders);</w:t>
      </w:r>
      <w:r w:rsidRPr="004478EE" w:rsidR="00CA31C0">
        <w:rPr>
          <w:rFonts w:ascii="Times New Roman" w:hAnsi="Times New Roman" w:cs="Times New Roman"/>
          <w:bCs/>
        </w:rPr>
        <w:t xml:space="preserve"> </w:t>
      </w:r>
    </w:p>
    <w:p w:rsidR="00EA18E8" w:rsidP="00436733" w14:paraId="1719655C" w14:textId="79FD6E8F">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bCs/>
        </w:rPr>
        <w:t xml:space="preserve"> </w:t>
      </w:r>
      <w:r w:rsidRPr="004478EE" w:rsidR="00CA31C0">
        <w:rPr>
          <w:rFonts w:ascii="Times New Roman" w:hAnsi="Times New Roman" w:cs="Times New Roman"/>
          <w:bCs/>
        </w:rPr>
        <w:t>73.3550</w:t>
      </w:r>
      <w:r w:rsidRPr="004478EE" w:rsidR="005E52ED">
        <w:rPr>
          <w:rFonts w:ascii="Times New Roman" w:hAnsi="Times New Roman" w:cs="Times New Roman"/>
          <w:bCs/>
        </w:rPr>
        <w:t>(a) and (j)</w:t>
      </w:r>
      <w:r w:rsidRPr="004478EE" w:rsidR="00CA31C0">
        <w:rPr>
          <w:rFonts w:ascii="Times New Roman" w:hAnsi="Times New Roman" w:cs="Times New Roman"/>
          <w:bCs/>
        </w:rPr>
        <w:t xml:space="preserve"> (Requests for new or modified call sign assignments);</w:t>
      </w:r>
      <w:r w:rsidRPr="004478EE" w:rsidR="005E52ED">
        <w:rPr>
          <w:rFonts w:ascii="Times New Roman" w:hAnsi="Times New Roman" w:cs="Times New Roman"/>
          <w:bCs/>
        </w:rPr>
        <w:t xml:space="preserve"> </w:t>
      </w:r>
    </w:p>
    <w:p w:rsidR="00EA18E8" w:rsidP="00436733" w14:paraId="7890BDB4" w14:textId="6934B53E">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bCs/>
        </w:rPr>
        <w:t xml:space="preserve"> </w:t>
      </w:r>
      <w:r w:rsidRPr="004478EE" w:rsidR="005E4F0C">
        <w:rPr>
          <w:rFonts w:ascii="Times New Roman" w:hAnsi="Times New Roman" w:cs="Times New Roman"/>
          <w:bCs/>
        </w:rPr>
        <w:t>73.3578</w:t>
      </w:r>
      <w:r w:rsidRPr="004478EE" w:rsidR="00F20E71">
        <w:rPr>
          <w:rFonts w:ascii="Times New Roman" w:hAnsi="Times New Roman" w:cs="Times New Roman"/>
          <w:bCs/>
        </w:rPr>
        <w:t>(b)</w:t>
      </w:r>
      <w:r w:rsidRPr="004478EE" w:rsidR="005E4F0C">
        <w:rPr>
          <w:rFonts w:ascii="Times New Roman" w:hAnsi="Times New Roman" w:cs="Times New Roman"/>
          <w:bCs/>
        </w:rPr>
        <w:t xml:space="preserve"> (Amendments to applications for renewal, assignment or transfer of control);</w:t>
      </w:r>
      <w:r w:rsidRPr="004478EE" w:rsidR="00C239C1">
        <w:rPr>
          <w:rFonts w:ascii="Times New Roman" w:hAnsi="Times New Roman" w:cs="Times New Roman"/>
          <w:bCs/>
        </w:rPr>
        <w:t xml:space="preserve"> </w:t>
      </w:r>
    </w:p>
    <w:p w:rsidR="0090622B" w:rsidP="00436733" w14:paraId="20E62642" w14:textId="19891EE1">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C239C1">
        <w:rPr>
          <w:rFonts w:ascii="Times New Roman" w:hAnsi="Times New Roman" w:cs="Times New Roman"/>
          <w:bCs/>
        </w:rPr>
        <w:t>73.3587 (Procedure for filing informal objections);</w:t>
      </w:r>
    </w:p>
    <w:p w:rsidR="00EA18E8" w:rsidP="00436733" w14:paraId="0AD01B98" w14:textId="791F5FE4">
      <w:pPr>
        <w:spacing w:after="120" w:line="240" w:lineRule="auto"/>
        <w:ind w:firstLine="720"/>
        <w:rPr>
          <w:rFonts w:ascii="Times New Roman" w:hAnsi="Times New Roman" w:cs="Times New Roman"/>
          <w:bCs/>
        </w:rPr>
      </w:pPr>
      <w:r w:rsidRPr="004478EE">
        <w:rPr>
          <w:rFonts w:ascii="Times New Roman" w:hAnsi="Times New Roman" w:cs="Times New Roman"/>
        </w:rPr>
        <w:t>47 CFR §</w:t>
      </w:r>
      <w:r w:rsidRPr="004478EE" w:rsidR="008F2AE5">
        <w:rPr>
          <w:rFonts w:ascii="Times New Roman" w:hAnsi="Times New Roman" w:cs="Times New Roman"/>
          <w:bCs/>
        </w:rPr>
        <w:t xml:space="preserve"> 73.3598(c) (Period of construction);</w:t>
      </w:r>
      <w:r w:rsidRPr="004478EE" w:rsidR="00DE4066">
        <w:rPr>
          <w:rFonts w:ascii="Times New Roman" w:hAnsi="Times New Roman" w:cs="Times New Roman"/>
          <w:bCs/>
        </w:rPr>
        <w:t xml:space="preserve"> </w:t>
      </w:r>
    </w:p>
    <w:p w:rsidR="00EA18E8" w:rsidP="00436733" w14:paraId="29214C11" w14:textId="6679E25C">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DE4066">
        <w:rPr>
          <w:rFonts w:ascii="Times New Roman" w:hAnsi="Times New Roman" w:cs="Times New Roman"/>
          <w:bCs/>
        </w:rPr>
        <w:t>73.5005(a) (Filing of long-form applications);</w:t>
      </w:r>
      <w:r w:rsidRPr="004478EE" w:rsidR="0014287B">
        <w:rPr>
          <w:rFonts w:ascii="Times New Roman" w:hAnsi="Times New Roman" w:cs="Times New Roman"/>
          <w:bCs/>
        </w:rPr>
        <w:t xml:space="preserve"> </w:t>
      </w:r>
      <w:r>
        <w:rPr>
          <w:rFonts w:ascii="Times New Roman" w:hAnsi="Times New Roman" w:cs="Times New Roman"/>
          <w:bCs/>
        </w:rPr>
        <w:t xml:space="preserve">and </w:t>
      </w:r>
    </w:p>
    <w:p w:rsidR="00EA18E8" w:rsidP="00436733" w14:paraId="79237393" w14:textId="5C973D70">
      <w:pPr>
        <w:spacing w:after="120" w:line="240" w:lineRule="auto"/>
        <w:ind w:firstLine="720"/>
        <w:rPr>
          <w:rFonts w:ascii="Times New Roman" w:hAnsi="Times New Roman" w:cs="Times New Roman"/>
          <w:bCs/>
        </w:rPr>
      </w:pPr>
      <w:r w:rsidRPr="004478EE">
        <w:rPr>
          <w:rFonts w:ascii="Times New Roman" w:hAnsi="Times New Roman" w:cs="Times New Roman"/>
        </w:rPr>
        <w:t>47 CFR §</w:t>
      </w:r>
      <w:r>
        <w:rPr>
          <w:rFonts w:ascii="Times New Roman" w:hAnsi="Times New Roman" w:cs="Times New Roman"/>
        </w:rPr>
        <w:t xml:space="preserve"> </w:t>
      </w:r>
      <w:r w:rsidRPr="004478EE" w:rsidR="0014287B">
        <w:rPr>
          <w:rFonts w:ascii="Times New Roman" w:hAnsi="Times New Roman" w:cs="Times New Roman"/>
          <w:bCs/>
        </w:rPr>
        <w:t xml:space="preserve">73.5006(b) (Filing of petitions to deny against long-form applications).  </w:t>
      </w:r>
    </w:p>
    <w:p w:rsidR="005B3285" w:rsidRPr="004478EE" w:rsidP="00436733" w14:paraId="377AD582" w14:textId="303D0835">
      <w:pPr>
        <w:spacing w:after="120" w:line="240" w:lineRule="auto"/>
        <w:ind w:firstLine="720"/>
        <w:rPr>
          <w:rFonts w:ascii="Times New Roman" w:hAnsi="Times New Roman" w:cs="Times New Roman"/>
          <w:bCs/>
        </w:rPr>
      </w:pPr>
      <w:r w:rsidRPr="004478EE">
        <w:rPr>
          <w:rFonts w:ascii="Times New Roman" w:hAnsi="Times New Roman" w:cs="Times New Roman"/>
          <w:bCs/>
        </w:rPr>
        <w:t>In addition,</w:t>
      </w:r>
      <w:r w:rsidRPr="004478EE">
        <w:rPr>
          <w:rFonts w:ascii="Times New Roman" w:hAnsi="Times New Roman" w:cs="Times New Roman"/>
        </w:rPr>
        <w:t xml:space="preserve"> </w:t>
      </w:r>
      <w:r w:rsidRPr="004478EE" w:rsidR="0090622B">
        <w:rPr>
          <w:rFonts w:ascii="Times New Roman" w:hAnsi="Times New Roman" w:cs="Times New Roman"/>
        </w:rPr>
        <w:t>47 CFR §</w:t>
      </w:r>
      <w:r w:rsidR="0090622B">
        <w:rPr>
          <w:rFonts w:ascii="Times New Roman" w:hAnsi="Times New Roman" w:cs="Times New Roman"/>
        </w:rPr>
        <w:t xml:space="preserve"> </w:t>
      </w:r>
      <w:r w:rsidRPr="004478EE" w:rsidR="00AF2C90">
        <w:rPr>
          <w:rFonts w:ascii="Times New Roman" w:hAnsi="Times New Roman" w:cs="Times New Roman"/>
        </w:rPr>
        <w:t>73.1250(e)</w:t>
      </w:r>
      <w:r w:rsidRPr="004478EE" w:rsidR="00E22AFA">
        <w:rPr>
          <w:rFonts w:ascii="Times New Roman" w:hAnsi="Times New Roman" w:cs="Times New Roman"/>
        </w:rPr>
        <w:t xml:space="preserve"> (Broadcasting emergency information)</w:t>
      </w:r>
      <w:r w:rsidRPr="004478EE" w:rsidR="00AF2C90">
        <w:rPr>
          <w:rFonts w:ascii="Times New Roman" w:hAnsi="Times New Roman" w:cs="Times New Roman"/>
        </w:rPr>
        <w:t xml:space="preserve"> now requires a report in letter form to </w:t>
      </w:r>
      <w:r w:rsidRPr="004478EE" w:rsidR="009A11A0">
        <w:rPr>
          <w:rFonts w:ascii="Times New Roman" w:hAnsi="Times New Roman" w:cs="Times New Roman"/>
        </w:rPr>
        <w:t>the Commission’s main office indicated in section 0.401(a) of the Commission’s rules.</w:t>
      </w:r>
    </w:p>
    <w:p w:rsidR="00DE567B" w:rsidRPr="004478EE" w:rsidP="00436733" w14:paraId="1759BBF7" w14:textId="59C85934">
      <w:pPr>
        <w:tabs>
          <w:tab w:val="left" w:pos="720"/>
        </w:tabs>
        <w:spacing w:after="120"/>
        <w:rPr>
          <w:rFonts w:ascii="Times New Roman" w:hAnsi="Times New Roman" w:cs="Times New Roman"/>
          <w:b/>
        </w:rPr>
      </w:pPr>
      <w:r w:rsidRPr="004478EE">
        <w:rPr>
          <w:rFonts w:ascii="Times New Roman" w:hAnsi="Times New Roman" w:cs="Times New Roman"/>
          <w:b/>
        </w:rPr>
        <w:t>I</w:t>
      </w:r>
      <w:r w:rsidRPr="004478EE" w:rsidR="00BA1697">
        <w:rPr>
          <w:rFonts w:ascii="Times New Roman" w:hAnsi="Times New Roman" w:cs="Times New Roman"/>
          <w:b/>
        </w:rPr>
        <w:t>II.</w:t>
      </w:r>
      <w:r w:rsidRPr="004478EE" w:rsidR="00286EA8">
        <w:rPr>
          <w:rFonts w:ascii="Times New Roman" w:hAnsi="Times New Roman" w:cs="Times New Roman"/>
          <w:b/>
        </w:rPr>
        <w:tab/>
      </w:r>
      <w:r w:rsidRPr="004478EE">
        <w:rPr>
          <w:rFonts w:ascii="Times New Roman" w:hAnsi="Times New Roman" w:cs="Times New Roman"/>
          <w:b/>
        </w:rPr>
        <w:t xml:space="preserve">RECORDKEEPING </w:t>
      </w:r>
      <w:r w:rsidRPr="004478EE" w:rsidR="00292357">
        <w:rPr>
          <w:rFonts w:ascii="Times New Roman" w:hAnsi="Times New Roman" w:cs="Times New Roman"/>
          <w:b/>
        </w:rPr>
        <w:t xml:space="preserve">AND REPORTING </w:t>
      </w:r>
      <w:r w:rsidRPr="004478EE">
        <w:rPr>
          <w:rFonts w:ascii="Times New Roman" w:hAnsi="Times New Roman" w:cs="Times New Roman"/>
          <w:b/>
        </w:rPr>
        <w:t>REQUIREMENTS</w:t>
      </w:r>
    </w:p>
    <w:p w:rsidR="003E14C1" w:rsidRPr="004478EE" w:rsidP="00103C57" w14:paraId="68A08943" w14:textId="5E18A4B2">
      <w:pPr>
        <w:pStyle w:val="ParaNumCharChar"/>
        <w:tabs>
          <w:tab w:val="clear" w:pos="1080"/>
          <w:tab w:val="clear" w:pos="1440"/>
        </w:tabs>
        <w:spacing w:after="120"/>
        <w:jc w:val="left"/>
      </w:pPr>
      <w:r w:rsidRPr="004478EE">
        <w:t xml:space="preserve">The </w:t>
      </w:r>
      <w:r w:rsidRPr="004478EE" w:rsidR="00020020">
        <w:t xml:space="preserve">amended and revised rules </w:t>
      </w:r>
      <w:r w:rsidRPr="004478EE">
        <w:t>contain new inform</w:t>
      </w:r>
      <w:r w:rsidRPr="004478EE" w:rsidR="00DA6B99">
        <w:t>ation collection requirements</w:t>
      </w:r>
      <w:r w:rsidRPr="004478EE" w:rsidR="00173AB8">
        <w:t xml:space="preserve"> </w:t>
      </w:r>
      <w:r w:rsidRPr="004478EE">
        <w:t>for</w:t>
      </w:r>
      <w:r w:rsidRPr="004478EE" w:rsidR="000141C4">
        <w:t xml:space="preserve"> </w:t>
      </w:r>
      <w:r w:rsidRPr="004478EE" w:rsidR="00992440">
        <w:t>full power television and Class A</w:t>
      </w:r>
      <w:r w:rsidRPr="004478EE">
        <w:t xml:space="preserve"> stations.  </w:t>
      </w:r>
      <w:r w:rsidRPr="004478EE" w:rsidR="00176F7E">
        <w:t xml:space="preserve">The details of the reporting and recordkeeping requirements adopted in the </w:t>
      </w:r>
      <w:r w:rsidRPr="004478EE" w:rsidR="00176F7E">
        <w:rPr>
          <w:i/>
        </w:rPr>
        <w:t>Report and Order</w:t>
      </w:r>
      <w:r w:rsidRPr="004478EE" w:rsidR="00176F7E">
        <w:t xml:space="preserve"> are discussed in Section II of this guide under the Compliance Requirements.</w:t>
      </w:r>
    </w:p>
    <w:p w:rsidR="00066CB4" w:rsidRPr="00814815" w:rsidP="00D54875" w14:paraId="2F69183C" w14:textId="7612FBF9">
      <w:pPr>
        <w:tabs>
          <w:tab w:val="left" w:pos="720"/>
        </w:tabs>
        <w:spacing w:after="120"/>
        <w:rPr>
          <w:rFonts w:ascii="Times New Roman" w:hAnsi="Times New Roman" w:cs="Times New Roman"/>
          <w:b/>
        </w:rPr>
      </w:pPr>
      <w:r w:rsidRPr="004478EE">
        <w:rPr>
          <w:rFonts w:ascii="Times New Roman" w:hAnsi="Times New Roman" w:cs="Times New Roman"/>
          <w:b/>
        </w:rPr>
        <w:t xml:space="preserve">IV. </w:t>
      </w:r>
      <w:r w:rsidRPr="004478EE" w:rsidR="00286EA8">
        <w:rPr>
          <w:rFonts w:ascii="Times New Roman" w:hAnsi="Times New Roman" w:cs="Times New Roman"/>
          <w:b/>
        </w:rPr>
        <w:tab/>
      </w:r>
      <w:r w:rsidRPr="004478EE">
        <w:rPr>
          <w:rFonts w:ascii="Times New Roman" w:hAnsi="Times New Roman" w:cs="Times New Roman"/>
          <w:b/>
        </w:rPr>
        <w:t>IMPLEMENTATION</w:t>
      </w:r>
      <w:r w:rsidRPr="004478EE" w:rsidR="00716724">
        <w:rPr>
          <w:rFonts w:ascii="Times New Roman" w:hAnsi="Times New Roman" w:cs="Times New Roman"/>
          <w:b/>
        </w:rPr>
        <w:t xml:space="preserve"> DATE</w:t>
      </w:r>
    </w:p>
    <w:p w:rsidR="005B7FD2" w:rsidRPr="004478EE" w:rsidP="00F708FE" w14:paraId="20CD4FD1" w14:textId="591FEB95">
      <w:pPr>
        <w:pStyle w:val="ParaNum"/>
        <w:numPr>
          <w:ilvl w:val="0"/>
          <w:numId w:val="0"/>
        </w:numPr>
        <w:ind w:firstLine="720"/>
      </w:pPr>
      <w:r w:rsidRPr="004478EE">
        <w:t>T</w:t>
      </w:r>
      <w:r w:rsidRPr="004478EE" w:rsidR="00491F77">
        <w:t xml:space="preserve">he </w:t>
      </w:r>
      <w:r w:rsidR="00BA0D9C">
        <w:t>amendment</w:t>
      </w:r>
      <w:r w:rsidR="001B0A7C">
        <w:t>s</w:t>
      </w:r>
      <w:r w:rsidR="00BA0D9C">
        <w:t xml:space="preserve"> to </w:t>
      </w:r>
      <w:bookmarkStart w:id="6" w:name="_Hlk160443156"/>
      <w:r w:rsidR="00BA0D9C">
        <w:t xml:space="preserve">the </w:t>
      </w:r>
      <w:r w:rsidRPr="004478EE" w:rsidR="00491F77">
        <w:t xml:space="preserve">rules in the </w:t>
      </w:r>
      <w:r w:rsidRPr="00F708FE" w:rsidR="00491F77">
        <w:rPr>
          <w:i/>
        </w:rPr>
        <w:t>Report and Order</w:t>
      </w:r>
      <w:r w:rsidRPr="004478EE" w:rsidR="00491F77">
        <w:t xml:space="preserve"> bec</w:t>
      </w:r>
      <w:r w:rsidR="002B584B">
        <w:t>a</w:t>
      </w:r>
      <w:r w:rsidRPr="004478EE" w:rsidR="00491F77">
        <w:t>me effective</w:t>
      </w:r>
      <w:r w:rsidR="00A56F43">
        <w:t xml:space="preserve"> March 4, 2024</w:t>
      </w:r>
      <w:r w:rsidRPr="005C1A65" w:rsidR="00B33825">
        <w:t xml:space="preserve">, </w:t>
      </w:r>
      <w:r w:rsidR="00063997">
        <w:t xml:space="preserve">including the </w:t>
      </w:r>
      <w:r w:rsidRPr="004478EE" w:rsidR="001338B0">
        <w:t>following</w:t>
      </w:r>
      <w:r w:rsidRPr="00F708FE" w:rsidR="001338B0">
        <w:rPr>
          <w:b/>
        </w:rPr>
        <w:t xml:space="preserve"> </w:t>
      </w:r>
      <w:r w:rsidRPr="004478EE" w:rsidR="001338B0">
        <w:t xml:space="preserve">rules </w:t>
      </w:r>
      <w:r w:rsidRPr="004478EE" w:rsidR="00B33825">
        <w:t xml:space="preserve">that </w:t>
      </w:r>
      <w:r w:rsidRPr="004478EE" w:rsidR="001338B0">
        <w:t>require</w:t>
      </w:r>
      <w:r w:rsidR="00063997">
        <w:t>d</w:t>
      </w:r>
      <w:r w:rsidRPr="004478EE" w:rsidR="001338B0">
        <w:t xml:space="preserve"> approval by the Office of Management and Budget (OMB) under the Paperwork Reduction Act: </w:t>
      </w:r>
      <w:r w:rsidRPr="00F04B9B" w:rsidR="00F708FE">
        <w:t xml:space="preserve">sections </w:t>
      </w:r>
      <w:r w:rsidRPr="00F04B9B" w:rsidR="00CE64DB">
        <w:t>73.619; 73.625; 73.1250; 73.1350; 73.1560; 73.1615; 73.1620; 73.1635; 73.1675; 73.1690; 73.1740; 73.1750; 73.2080; 73.3540; 73.3544; 73.3549; 73.3550; 73.3598; 73.5006; 73.6024; and 73.6025</w:t>
      </w:r>
      <w:bookmarkEnd w:id="6"/>
      <w:r w:rsidRPr="00F04B9B" w:rsidR="001338B0">
        <w:t>.</w:t>
      </w:r>
      <w:r w:rsidRPr="004478EE" w:rsidR="001338B0">
        <w:t xml:space="preserve"> </w:t>
      </w:r>
      <w:r w:rsidRPr="004478EE" w:rsidR="003544A5">
        <w:t xml:space="preserve"> </w:t>
      </w:r>
    </w:p>
    <w:p w:rsidR="00C5062A" w:rsidRPr="004478EE" w:rsidP="00D54875" w14:paraId="79679D59" w14:textId="5FC232EB">
      <w:pPr>
        <w:tabs>
          <w:tab w:val="left" w:pos="720"/>
        </w:tabs>
        <w:spacing w:after="120"/>
        <w:rPr>
          <w:rFonts w:ascii="Times New Roman" w:hAnsi="Times New Roman" w:cs="Times New Roman"/>
          <w:b/>
        </w:rPr>
      </w:pPr>
      <w:r w:rsidRPr="004478EE">
        <w:rPr>
          <w:rFonts w:ascii="Times New Roman" w:hAnsi="Times New Roman" w:cs="Times New Roman"/>
          <w:b/>
        </w:rPr>
        <w:t>V.</w:t>
      </w:r>
      <w:r w:rsidRPr="004478EE">
        <w:rPr>
          <w:rFonts w:ascii="Times New Roman" w:hAnsi="Times New Roman" w:cs="Times New Roman"/>
          <w:b/>
        </w:rPr>
        <w:tab/>
        <w:t>INTERNET LINKS</w:t>
      </w:r>
    </w:p>
    <w:p w:rsidR="00C5062A" w:rsidP="00D54875" w14:paraId="502FE2B9" w14:textId="4ED69E55">
      <w:pPr>
        <w:spacing w:after="0" w:line="240" w:lineRule="auto"/>
        <w:ind w:firstLine="720"/>
        <w:rPr>
          <w:rFonts w:ascii="Times New Roman" w:hAnsi="Times New Roman" w:cs="Times New Roman"/>
          <w:bCs/>
        </w:rPr>
      </w:pPr>
      <w:r w:rsidRPr="004478EE">
        <w:rPr>
          <w:rFonts w:ascii="Times New Roman" w:hAnsi="Times New Roman" w:cs="Times New Roman"/>
          <w:bCs/>
        </w:rPr>
        <w:t xml:space="preserve">A copy of the </w:t>
      </w:r>
      <w:r w:rsidRPr="004478EE" w:rsidR="00044C3B">
        <w:rPr>
          <w:rFonts w:ascii="Times New Roman" w:hAnsi="Times New Roman" w:cs="Times New Roman"/>
          <w:bCs/>
          <w:i/>
        </w:rPr>
        <w:t>Report and Order</w:t>
      </w:r>
      <w:r w:rsidRPr="004478EE">
        <w:rPr>
          <w:rFonts w:ascii="Times New Roman" w:hAnsi="Times New Roman" w:cs="Times New Roman"/>
          <w:bCs/>
        </w:rPr>
        <w:t xml:space="preserve"> is available at</w:t>
      </w:r>
      <w:r w:rsidRPr="004478EE" w:rsidR="005D74ED">
        <w:rPr>
          <w:rFonts w:ascii="Times New Roman" w:hAnsi="Times New Roman" w:cs="Times New Roman"/>
          <w:bCs/>
        </w:rPr>
        <w:t>:</w:t>
      </w:r>
      <w:r w:rsidR="005D74ED">
        <w:rPr>
          <w:rFonts w:ascii="Times New Roman" w:hAnsi="Times New Roman" w:cs="Times New Roman"/>
          <w:bCs/>
        </w:rPr>
        <w:t xml:space="preserve"> </w:t>
      </w:r>
      <w:hyperlink r:id="rId8" w:history="1">
        <w:r w:rsidRPr="00B33D57" w:rsidR="002B584B">
          <w:rPr>
            <w:rStyle w:val="Hyperlink"/>
            <w:rFonts w:ascii="Times New Roman" w:hAnsi="Times New Roman" w:cs="Times New Roman"/>
            <w:bCs/>
          </w:rPr>
          <w:t>https://www.fcc.gov/document/fcc-updates-rules-television-and-class-television-stations</w:t>
        </w:r>
      </w:hyperlink>
      <w:r w:rsidR="005D74ED">
        <w:rPr>
          <w:rFonts w:ascii="Times New Roman" w:hAnsi="Times New Roman" w:cs="Times New Roman"/>
          <w:bCs/>
        </w:rPr>
        <w:t>.</w:t>
      </w:r>
    </w:p>
    <w:p w:rsidR="002B584B" w:rsidP="00D54875" w14:paraId="21AF0D8E" w14:textId="77777777">
      <w:pPr>
        <w:spacing w:after="0" w:line="240" w:lineRule="auto"/>
        <w:ind w:firstLine="720"/>
        <w:rPr>
          <w:rFonts w:ascii="Times New Roman" w:hAnsi="Times New Roman" w:cs="Times New Roman"/>
          <w:bCs/>
        </w:rPr>
      </w:pPr>
    </w:p>
    <w:p w:rsidR="00F04B9B" w:rsidP="00F04B9B" w14:paraId="63B50DE6" w14:textId="75DFF5B4">
      <w:pPr>
        <w:spacing w:after="120" w:line="240" w:lineRule="auto"/>
        <w:ind w:firstLine="720"/>
        <w:rPr>
          <w:rFonts w:ascii="Times New Roman" w:hAnsi="Times New Roman" w:cs="Times New Roman"/>
          <w:bCs/>
        </w:rPr>
      </w:pPr>
      <w:r>
        <w:rPr>
          <w:rFonts w:ascii="Times New Roman" w:hAnsi="Times New Roman" w:cs="Times New Roman"/>
          <w:bCs/>
        </w:rPr>
        <w:t>A copy of the Federal Register publication</w:t>
      </w:r>
      <w:r>
        <w:rPr>
          <w:rFonts w:ascii="Times New Roman" w:hAnsi="Times New Roman" w:cs="Times New Roman"/>
          <w:bCs/>
        </w:rPr>
        <w:t>s</w:t>
      </w:r>
      <w:r>
        <w:rPr>
          <w:rFonts w:ascii="Times New Roman" w:hAnsi="Times New Roman" w:cs="Times New Roman"/>
          <w:bCs/>
        </w:rPr>
        <w:t xml:space="preserve"> </w:t>
      </w:r>
      <w:r>
        <w:rPr>
          <w:rFonts w:ascii="Times New Roman" w:hAnsi="Times New Roman" w:cs="Times New Roman"/>
          <w:bCs/>
        </w:rPr>
        <w:t>are available at:</w:t>
      </w:r>
    </w:p>
    <w:p w:rsidR="004008B8" w:rsidP="00A952D1" w14:paraId="76D7AB80" w14:textId="1448E138">
      <w:pPr>
        <w:spacing w:after="0" w:line="240" w:lineRule="auto"/>
        <w:ind w:firstLine="720"/>
        <w:rPr>
          <w:rFonts w:ascii="Times New Roman" w:hAnsi="Times New Roman" w:cs="Times New Roman"/>
          <w:bCs/>
        </w:rPr>
      </w:pPr>
      <w:hyperlink r:id="rId9" w:history="1">
        <w:r w:rsidRPr="00B33D57" w:rsidR="00054285">
          <w:rPr>
            <w:rStyle w:val="Hyperlink"/>
            <w:rFonts w:ascii="Times New Roman" w:hAnsi="Times New Roman" w:cs="Times New Roman"/>
            <w:bCs/>
          </w:rPr>
          <w:t>https://www.federalregister.gov/documents/2024/02/01/2023-24626/establishing-rules-for-full-power-television-and-class-a-television-stations</w:t>
        </w:r>
      </w:hyperlink>
      <w:r w:rsidR="00F04B9B">
        <w:rPr>
          <w:rFonts w:ascii="Times New Roman" w:hAnsi="Times New Roman" w:cs="Times New Roman"/>
          <w:bCs/>
        </w:rPr>
        <w:t>,</w:t>
      </w:r>
      <w:r w:rsidR="00054285">
        <w:rPr>
          <w:rFonts w:ascii="Times New Roman" w:hAnsi="Times New Roman" w:cs="Times New Roman"/>
          <w:bCs/>
        </w:rPr>
        <w:t xml:space="preserve"> </w:t>
      </w:r>
    </w:p>
    <w:p w:rsidR="001F5D9F" w:rsidP="00A952D1" w14:paraId="7A187AB9" w14:textId="77777777">
      <w:pPr>
        <w:spacing w:after="0" w:line="240" w:lineRule="auto"/>
        <w:ind w:firstLine="720"/>
        <w:rPr>
          <w:rFonts w:ascii="Times New Roman" w:hAnsi="Times New Roman" w:cs="Times New Roman"/>
          <w:bCs/>
        </w:rPr>
      </w:pPr>
    </w:p>
    <w:p w:rsidR="00A54640" w:rsidRPr="00A952D1" w:rsidP="00A952D1" w14:paraId="54C65346" w14:textId="78482A9B">
      <w:pPr>
        <w:spacing w:after="0" w:line="240" w:lineRule="auto"/>
        <w:ind w:firstLine="720"/>
        <w:rPr>
          <w:rFonts w:ascii="Times New Roman" w:hAnsi="Times New Roman" w:cs="Times New Roman"/>
          <w:bCs/>
        </w:rPr>
      </w:pPr>
      <w:hyperlink r:id="rId10" w:history="1">
        <w:r w:rsidRPr="00B33D57">
          <w:rPr>
            <w:rStyle w:val="Hyperlink"/>
            <w:rFonts w:ascii="Times New Roman" w:hAnsi="Times New Roman" w:cs="Times New Roman"/>
            <w:bCs/>
          </w:rPr>
          <w:t>https://www.federalregister.gov/documents/2024/02/29/2024-03956/establishing-rules-for-full-power-television-and-class-a-television-stations</w:t>
        </w:r>
      </w:hyperlink>
      <w:r w:rsidR="00F04B9B">
        <w:rPr>
          <w:rFonts w:ascii="Times New Roman" w:hAnsi="Times New Roman" w:cs="Times New Roman"/>
          <w:bCs/>
        </w:rPr>
        <w:t>.</w:t>
      </w:r>
    </w:p>
    <w:sectPr w:rsidSect="001743EF">
      <w:headerReference w:type="default" r:id="rId11"/>
      <w:footerReference w:type="default" r:id="rId12"/>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RPr="00327BCC" w:rsidP="00D63A97" w14:paraId="35027477" w14:textId="169366B5">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498F" w:rsidP="00034878" w14:paraId="283BE1E5" w14:textId="77777777">
      <w:pPr>
        <w:spacing w:after="0" w:line="240" w:lineRule="auto"/>
      </w:pPr>
      <w:r>
        <w:separator/>
      </w:r>
    </w:p>
  </w:footnote>
  <w:footnote w:type="continuationSeparator" w:id="1">
    <w:p w:rsidR="00CA498F" w:rsidP="00034878" w14:paraId="22917C2C" w14:textId="77777777">
      <w:pPr>
        <w:spacing w:after="0" w:line="240" w:lineRule="auto"/>
      </w:pPr>
      <w:r>
        <w:continuationSeparator/>
      </w:r>
    </w:p>
  </w:footnote>
  <w:footnote w:type="continuationNotice" w:id="2">
    <w:p w:rsidR="00CA498F" w14:paraId="6205B923" w14:textId="77777777">
      <w:pPr>
        <w:spacing w:after="0" w:line="240" w:lineRule="auto"/>
      </w:pPr>
    </w:p>
  </w:footnote>
  <w:footnote w:id="3">
    <w:p w:rsidR="00362454" w:rsidRPr="004478EE" w:rsidP="00345445" w14:paraId="3D15BF48" w14:textId="79EDE68D">
      <w:pPr>
        <w:pStyle w:val="FootnoteText"/>
        <w:spacing w:after="120"/>
        <w:rPr>
          <w:rFonts w:ascii="Times New Roman" w:hAnsi="Times New Roman" w:cs="Times New Roman"/>
        </w:rPr>
      </w:pPr>
      <w:r w:rsidRPr="004478EE">
        <w:rPr>
          <w:rStyle w:val="FootnoteReference"/>
          <w:rFonts w:ascii="Times New Roman" w:hAnsi="Times New Roman" w:cs="Times New Roman"/>
        </w:rPr>
        <w:footnoteRef/>
      </w:r>
      <w:r w:rsidRPr="004478EE">
        <w:rPr>
          <w:rFonts w:ascii="Times New Roman" w:hAnsi="Times New Roman" w:cs="Times New Roman"/>
        </w:rPr>
        <w:t xml:space="preserve"> </w:t>
      </w:r>
      <w:r w:rsidRPr="004478EE" w:rsidR="001047A3">
        <w:rPr>
          <w:rFonts w:ascii="Times New Roman" w:hAnsi="Times New Roman" w:cs="Times New Roman"/>
          <w:i/>
          <w:iCs/>
        </w:rPr>
        <w:t>Amendment of Part 73 of the Commission’s Rules to Update Television and Class A Television Broadcast Station Rules, and Rules Applicable to All Broadcast Stations</w:t>
      </w:r>
      <w:r w:rsidRPr="004478EE" w:rsidR="001047A3">
        <w:rPr>
          <w:rFonts w:ascii="Times New Roman" w:hAnsi="Times New Roman" w:cs="Times New Roman"/>
        </w:rPr>
        <w:t>, MB Docket No. 22-227, Report and Order, FCC 2</w:t>
      </w:r>
      <w:r w:rsidRPr="004478EE" w:rsidR="00294C54">
        <w:rPr>
          <w:rFonts w:ascii="Times New Roman" w:hAnsi="Times New Roman" w:cs="Times New Roman"/>
        </w:rPr>
        <w:t>3</w:t>
      </w:r>
      <w:r w:rsidRPr="004478EE" w:rsidR="001047A3">
        <w:rPr>
          <w:rFonts w:ascii="Times New Roman" w:hAnsi="Times New Roman" w:cs="Times New Roman"/>
        </w:rPr>
        <w:t>-</w:t>
      </w:r>
      <w:r w:rsidR="00C019B2">
        <w:rPr>
          <w:rFonts w:ascii="Times New Roman" w:hAnsi="Times New Roman" w:cs="Times New Roman"/>
        </w:rPr>
        <w:t>72</w:t>
      </w:r>
      <w:r w:rsidRPr="004478EE" w:rsidR="001047A3">
        <w:rPr>
          <w:rFonts w:ascii="Times New Roman" w:hAnsi="Times New Roman" w:cs="Times New Roman"/>
        </w:rPr>
        <w:t xml:space="preserve"> (Sept. </w:t>
      </w:r>
      <w:r w:rsidR="00C019B2">
        <w:rPr>
          <w:rFonts w:ascii="Times New Roman" w:hAnsi="Times New Roman" w:cs="Times New Roman"/>
        </w:rPr>
        <w:t>19</w:t>
      </w:r>
      <w:r w:rsidRPr="004478EE" w:rsidR="001047A3">
        <w:rPr>
          <w:rFonts w:ascii="Times New Roman" w:hAnsi="Times New Roman" w:cs="Times New Roman"/>
        </w:rPr>
        <w:t>, 2023) (</w:t>
      </w:r>
      <w:r w:rsidRPr="004478EE" w:rsidR="001047A3">
        <w:rPr>
          <w:rFonts w:ascii="Times New Roman" w:hAnsi="Times New Roman" w:cs="Times New Roman"/>
          <w:i/>
          <w:iCs/>
        </w:rPr>
        <w:t>Report and Order</w:t>
      </w:r>
      <w:r w:rsidRPr="004478EE" w:rsidR="001047A3">
        <w:rPr>
          <w:rFonts w:ascii="Times New Roman" w:hAnsi="Times New Roman" w:cs="Times New Roman"/>
        </w:rPr>
        <w:t>).</w:t>
      </w:r>
    </w:p>
  </w:footnote>
  <w:footnote w:id="4">
    <w:p w:rsidR="006C5BD2" w:rsidRPr="0079593C" w14:paraId="5722D42D" w14:textId="7ABBDF53">
      <w:pPr>
        <w:pStyle w:val="FootnoteText"/>
        <w:rPr>
          <w:rFonts w:ascii="Times New Roman" w:hAnsi="Times New Roman" w:cs="Times New Roman"/>
        </w:rPr>
      </w:pPr>
      <w:r w:rsidRPr="004478EE">
        <w:rPr>
          <w:rStyle w:val="FootnoteReference"/>
          <w:rFonts w:ascii="Times New Roman" w:hAnsi="Times New Roman" w:cs="Times New Roman"/>
        </w:rPr>
        <w:footnoteRef/>
      </w:r>
      <w:r w:rsidRPr="004478EE">
        <w:rPr>
          <w:rFonts w:ascii="Times New Roman" w:hAnsi="Times New Roman" w:cs="Times New Roman"/>
        </w:rPr>
        <w:t xml:space="preserve"> </w:t>
      </w:r>
      <w:r w:rsidRPr="004478EE" w:rsidR="0079593C">
        <w:rPr>
          <w:rFonts w:ascii="Times New Roman" w:hAnsi="Times New Roman" w:cs="Times New Roman"/>
          <w:i/>
          <w:iCs/>
        </w:rPr>
        <w:t>Amendment of Part 73 of the Commission’s Rules to Update Television and Class A Television Broadcast Station Rules, and Rules Applicable to All Broadcast Stations</w:t>
      </w:r>
      <w:r w:rsidRPr="004478EE" w:rsidR="0079593C">
        <w:rPr>
          <w:rFonts w:ascii="Times New Roman" w:hAnsi="Times New Roman" w:cs="Times New Roman"/>
        </w:rPr>
        <w:t>, MB Docket No. 22-227, Notice of Proposed Rulemaking, FCC 22-73 (Sept. 29, 2022) (</w:t>
      </w:r>
      <w:r w:rsidRPr="004478EE" w:rsidR="0079593C">
        <w:rPr>
          <w:rFonts w:ascii="Times New Roman" w:hAnsi="Times New Roman" w:cs="Times New Roman"/>
          <w:i/>
          <w:iCs/>
        </w:rPr>
        <w:t>NPRM</w:t>
      </w:r>
      <w:r w:rsidRPr="004478EE" w:rsidR="0079593C">
        <w:rPr>
          <w:rFonts w:ascii="Times New Roman" w:hAnsi="Times New Roman" w:cs="Times New Roman"/>
        </w:rPr>
        <w:t>).</w:t>
      </w:r>
    </w:p>
  </w:footnote>
  <w:footnote w:id="5">
    <w:p w:rsidR="0026270C" w:rsidRPr="00217E72" w14:paraId="03AD63B7" w14:textId="50DEA13C">
      <w:pPr>
        <w:pStyle w:val="FootnoteText"/>
        <w:rPr>
          <w:rFonts w:ascii="Times New Roman" w:hAnsi="Times New Roman" w:cs="Times New Roman"/>
        </w:rPr>
      </w:pPr>
      <w:r w:rsidRPr="004478EE">
        <w:rPr>
          <w:rStyle w:val="FootnoteReference"/>
          <w:rFonts w:ascii="Times New Roman" w:hAnsi="Times New Roman" w:cs="Times New Roman"/>
        </w:rPr>
        <w:footnoteRef/>
      </w:r>
      <w:r w:rsidRPr="004478EE">
        <w:rPr>
          <w:rFonts w:ascii="Times New Roman" w:hAnsi="Times New Roman" w:cs="Times New Roman"/>
        </w:rPr>
        <w:t xml:space="preserve"> See </w:t>
      </w:r>
      <w:r w:rsidRPr="003656DD" w:rsidR="003656DD">
        <w:rPr>
          <w:rFonts w:ascii="Times New Roman" w:hAnsi="Times New Roman" w:cs="Times New Roman"/>
        </w:rPr>
        <w:t>https://www.fcc.gov/oet/tvstudy</w:t>
      </w:r>
      <w:r w:rsidR="007E20DE">
        <w:rPr>
          <w:rFonts w:ascii="Times New Roman" w:hAnsi="Times New Roman" w:cs="Times New Roman"/>
        </w:rPr>
        <w:t xml:space="preserve"> </w:t>
      </w:r>
      <w:r w:rsidRPr="004478EE" w:rsidR="00DD1DE9">
        <w:rPr>
          <w:rFonts w:ascii="Times New Roman" w:hAnsi="Times New Roman" w:cs="Times New Roman"/>
        </w:rPr>
        <w:t>to obtain the software and documentation.</w:t>
      </w:r>
    </w:p>
  </w:footnote>
  <w:footnote w:id="6">
    <w:p w:rsidR="0024607E" w:rsidRPr="00534FE8" w:rsidP="0024607E" w14:paraId="2F4B03B7" w14:textId="2361376E">
      <w:pPr>
        <w:rPr>
          <w:rFonts w:ascii="Times New Roman" w:hAnsi="Times New Roman" w:cs="Times New Roman"/>
          <w:sz w:val="20"/>
          <w:szCs w:val="20"/>
        </w:rPr>
      </w:pPr>
      <w:r w:rsidRPr="00534FE8">
        <w:rPr>
          <w:rStyle w:val="FootnoteReference"/>
          <w:rFonts w:ascii="Times New Roman" w:hAnsi="Times New Roman" w:cs="Times New Roman"/>
          <w:sz w:val="20"/>
          <w:szCs w:val="20"/>
        </w:rPr>
        <w:footnoteRef/>
      </w:r>
      <w:r w:rsidRPr="00534FE8">
        <w:rPr>
          <w:rFonts w:ascii="Times New Roman" w:hAnsi="Times New Roman" w:cs="Times New Roman"/>
          <w:sz w:val="20"/>
          <w:szCs w:val="20"/>
        </w:rPr>
        <w:t xml:space="preserve"> 47 CFR §§ 73.1250(e); 73.1350(h); 73.1560(a)(1) and (d); 73.1615(c); 73.1620(a)(1)-(3); 73.1635(a)(2); 73.1675(b); 73.1690(b) and (c)(3); 73.1740(a)(4); 73.1750; 73.2080(c)(6) and (f); 73.3500; 73.3533(a)(1) and (a)(4)-(8); 73.3536(b)-(c); 73.3540(c)-(f); 73.3541(b); 73.3544(b)-(c); 73.3549; 73.3550(a) and (j); 73.3578(b); 73.3587; 73.3598(c); 73.5005(a); and 73.5006(b).</w:t>
      </w:r>
    </w:p>
    <w:p w:rsidR="0024607E" w14:paraId="1C540437" w14:textId="6BDA5B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CC1ACA" w14:paraId="0B5C5E41" w14:textId="43A25AA4">
    <w:pPr>
      <w:pStyle w:val="Header"/>
      <w:spacing w:before="360" w:line="228" w:lineRule="auto"/>
    </w:pPr>
    <w:r>
      <w:rPr>
        <w:noProof/>
      </w:rPr>
      <w:drawing>
        <wp:anchor distT="0" distB="0" distL="114300" distR="114300" simplePos="0" relativeHeight="251658240" behindDoc="0" locked="0" layoutInCell="1" allowOverlap="1">
          <wp:simplePos x="0" y="0"/>
          <wp:positionH relativeFrom="column">
            <wp:posOffset>-387350</wp:posOffset>
          </wp:positionH>
          <wp:positionV relativeFrom="paragraph">
            <wp:posOffset>76200</wp:posOffset>
          </wp:positionV>
          <wp:extent cx="844550" cy="844550"/>
          <wp:effectExtent l="0" t="0" r="0" b="0"/>
          <wp:wrapNone/>
          <wp:docPr id="88119849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198493"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44550" cy="844550"/>
                  </a:xfrm>
                  <a:prstGeom prst="rect">
                    <a:avLst/>
                  </a:prstGeom>
                  <a:noFill/>
                  <a:ln>
                    <a:noFill/>
                  </a:ln>
                </pic:spPr>
              </pic:pic>
            </a:graphicData>
          </a:graphic>
        </wp:anchor>
      </w:drawing>
    </w:r>
    <w:r>
      <w:rPr>
        <w:rFonts w:ascii="CG Times (W1)" w:hAnsi="CG Times (W1)"/>
        <w:sz w:val="28"/>
      </w:rPr>
      <w:tab/>
    </w:r>
    <w:r w:rsidR="00F46B49">
      <w:rPr>
        <w:rFonts w:ascii="CG Times (W1)" w:hAnsi="CG Times (W1)"/>
        <w:sz w:val="28"/>
      </w:rPr>
      <w:t>Federal Communications Commission</w:t>
    </w:r>
  </w:p>
  <w:p w:rsidR="00121A4A" w:rsidP="00121A4A" w14:paraId="71989AC2" w14:textId="522EC4EC">
    <w:pPr>
      <w:jc w:val="center"/>
      <w:rPr>
        <w:rFonts w:ascii="CG Times (W1)" w:hAnsi="CG Times (W1)"/>
        <w:sz w:val="28"/>
      </w:rPr>
    </w:pPr>
    <w:r>
      <w:rPr>
        <w:rFonts w:ascii="CG Times (W1)" w:hAnsi="CG Times (W1)"/>
        <w:sz w:val="28"/>
      </w:rPr>
      <w:t>Washington, D.C. 20554</w:t>
    </w:r>
  </w:p>
  <w:p w:rsidR="00121A4A" w:rsidRPr="003172B5" w:rsidP="00511023" w14:paraId="0675F8B2" w14:textId="20A766A9">
    <w:pPr>
      <w:jc w:val="center"/>
      <w:rPr>
        <w:sz w:val="24"/>
        <w:szCs w:val="24"/>
      </w:rPr>
    </w:pPr>
    <w:r>
      <w:rPr>
        <w:rFonts w:ascii="CG Times (W1)" w:hAnsi="CG Times (W1)"/>
        <w:sz w:val="24"/>
        <w:szCs w:val="24"/>
      </w:rPr>
      <w:t xml:space="preserve">April </w:t>
    </w:r>
    <w:r w:rsidR="00F16D3B">
      <w:rPr>
        <w:rFonts w:ascii="CG Times (W1)" w:hAnsi="CG Times (W1)"/>
        <w:sz w:val="24"/>
        <w:szCs w:val="24"/>
      </w:rPr>
      <w:t>30</w:t>
    </w:r>
    <w:r w:rsidRPr="00BD506F" w:rsidR="00F46B49">
      <w:rPr>
        <w:rFonts w:ascii="CG Times (W1)" w:hAnsi="CG Times (W1)"/>
        <w:sz w:val="24"/>
        <w:szCs w:val="24"/>
      </w:rPr>
      <w:t>, 20</w:t>
    </w:r>
    <w:r w:rsidRPr="00BD506F" w:rsidR="008256B5">
      <w:rPr>
        <w:rFonts w:ascii="CG Times (W1)" w:hAnsi="CG Times (W1)"/>
        <w:sz w:val="24"/>
        <w:szCs w:val="24"/>
      </w:rPr>
      <w:t>2</w:t>
    </w:r>
    <w:r w:rsidR="00F04B9B">
      <w:rPr>
        <w:rFonts w:ascii="CG Times (W1)" w:hAnsi="CG Times (W1)"/>
        <w:sz w:val="24"/>
        <w:szCs w:val="24"/>
      </w:rPr>
      <w:t>4</w:t>
    </w:r>
    <w:r w:rsidRPr="003172B5" w:rsidR="00F46B49">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71733"/>
    <w:multiLevelType w:val="hybridMultilevel"/>
    <w:tmpl w:val="151A079E"/>
    <w:lvl w:ilvl="0">
      <w:start w:val="1"/>
      <w:numFmt w:val="upperLetter"/>
      <w:lvlText w:val="%1."/>
      <w:lvlJc w:val="left"/>
      <w:pPr>
        <w:ind w:left="720" w:hanging="36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D0235"/>
    <w:multiLevelType w:val="hybridMultilevel"/>
    <w:tmpl w:val="4BA2FBF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2367158"/>
    <w:multiLevelType w:val="hybridMultilevel"/>
    <w:tmpl w:val="2D7AFE92"/>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11E58D2"/>
    <w:multiLevelType w:val="hybridMultilevel"/>
    <w:tmpl w:val="4AF87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1743D4B"/>
    <w:multiLevelType w:val="hybridMultilevel"/>
    <w:tmpl w:val="4C62A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191C2B"/>
    <w:multiLevelType w:val="hybridMultilevel"/>
    <w:tmpl w:val="929C070A"/>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6D97FF9"/>
    <w:multiLevelType w:val="hybridMultilevel"/>
    <w:tmpl w:val="F300F01E"/>
    <w:lvl w:ilvl="0">
      <w:start w:val="1"/>
      <w:numFmt w:val="upperLetter"/>
      <w:lvlText w:val="%1."/>
      <w:lvlJc w:val="left"/>
      <w:pPr>
        <w:ind w:left="720" w:hanging="36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A74466"/>
    <w:multiLevelType w:val="hybridMultilevel"/>
    <w:tmpl w:val="675226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C597F4B"/>
    <w:multiLevelType w:val="hybridMultilevel"/>
    <w:tmpl w:val="8774E85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84A20FF"/>
    <w:multiLevelType w:val="hybridMultilevel"/>
    <w:tmpl w:val="3240401C"/>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EA17479"/>
    <w:multiLevelType w:val="hybridMultilevel"/>
    <w:tmpl w:val="56069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5"/>
  </w:num>
  <w:num w:numId="3">
    <w:abstractNumId w:val="16"/>
  </w:num>
  <w:num w:numId="4">
    <w:abstractNumId w:val="4"/>
  </w:num>
  <w:num w:numId="5">
    <w:abstractNumId w:val="21"/>
  </w:num>
  <w:num w:numId="6">
    <w:abstractNumId w:val="9"/>
  </w:num>
  <w:num w:numId="7">
    <w:abstractNumId w:val="2"/>
  </w:num>
  <w:num w:numId="8">
    <w:abstractNumId w:val="18"/>
  </w:num>
  <w:num w:numId="9">
    <w:abstractNumId w:val="12"/>
  </w:num>
  <w:num w:numId="10">
    <w:abstractNumId w:val="3"/>
  </w:num>
  <w:num w:numId="11">
    <w:abstractNumId w:val="10"/>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22"/>
  </w:num>
  <w:num w:numId="15">
    <w:abstractNumId w:val="0"/>
  </w:num>
  <w:num w:numId="16">
    <w:abstractNumId w:val="18"/>
    <w:lvlOverride w:ilvl="0">
      <w:startOverride w:val="1"/>
    </w:lvlOverride>
  </w:num>
  <w:num w:numId="17">
    <w:abstractNumId w:val="20"/>
  </w:num>
  <w:num w:numId="18">
    <w:abstractNumId w:val="13"/>
  </w:num>
  <w:num w:numId="19">
    <w:abstractNumId w:val="8"/>
  </w:num>
  <w:num w:numId="20">
    <w:abstractNumId w:val="15"/>
  </w:num>
  <w:num w:numId="21">
    <w:abstractNumId w:val="14"/>
  </w:num>
  <w:num w:numId="22">
    <w:abstractNumId w:val="6"/>
  </w:num>
  <w:num w:numId="23">
    <w:abstractNumId w:val="1"/>
  </w:num>
  <w:num w:numId="24">
    <w:abstractNumId w:val="11"/>
  </w:num>
  <w:num w:numId="25">
    <w:abstractNumId w:val="1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05A"/>
    <w:rsid w:val="00001744"/>
    <w:rsid w:val="00002151"/>
    <w:rsid w:val="0000705E"/>
    <w:rsid w:val="000070DD"/>
    <w:rsid w:val="000078F6"/>
    <w:rsid w:val="0001158E"/>
    <w:rsid w:val="00013982"/>
    <w:rsid w:val="000141C4"/>
    <w:rsid w:val="0001453A"/>
    <w:rsid w:val="00020020"/>
    <w:rsid w:val="00023724"/>
    <w:rsid w:val="00025AB0"/>
    <w:rsid w:val="0002791C"/>
    <w:rsid w:val="00030469"/>
    <w:rsid w:val="00030FD2"/>
    <w:rsid w:val="0003145A"/>
    <w:rsid w:val="0003195B"/>
    <w:rsid w:val="000320CC"/>
    <w:rsid w:val="00032B03"/>
    <w:rsid w:val="00034878"/>
    <w:rsid w:val="00035E75"/>
    <w:rsid w:val="0004059A"/>
    <w:rsid w:val="000429BB"/>
    <w:rsid w:val="00044C3B"/>
    <w:rsid w:val="0004614E"/>
    <w:rsid w:val="00046CB1"/>
    <w:rsid w:val="0004798C"/>
    <w:rsid w:val="00050413"/>
    <w:rsid w:val="000516CA"/>
    <w:rsid w:val="000523EA"/>
    <w:rsid w:val="000539F2"/>
    <w:rsid w:val="00053D83"/>
    <w:rsid w:val="00054285"/>
    <w:rsid w:val="000565D9"/>
    <w:rsid w:val="000601FD"/>
    <w:rsid w:val="000609E2"/>
    <w:rsid w:val="00063997"/>
    <w:rsid w:val="0006447F"/>
    <w:rsid w:val="0006521A"/>
    <w:rsid w:val="00066CB4"/>
    <w:rsid w:val="00071E6A"/>
    <w:rsid w:val="00072221"/>
    <w:rsid w:val="0007381C"/>
    <w:rsid w:val="000739AA"/>
    <w:rsid w:val="00074B8B"/>
    <w:rsid w:val="00074CA4"/>
    <w:rsid w:val="00075F0D"/>
    <w:rsid w:val="00077E15"/>
    <w:rsid w:val="000820B8"/>
    <w:rsid w:val="00082120"/>
    <w:rsid w:val="00087BBD"/>
    <w:rsid w:val="0009036A"/>
    <w:rsid w:val="000928BA"/>
    <w:rsid w:val="00092E70"/>
    <w:rsid w:val="000937B4"/>
    <w:rsid w:val="0009430B"/>
    <w:rsid w:val="00097A3A"/>
    <w:rsid w:val="000A0214"/>
    <w:rsid w:val="000A1465"/>
    <w:rsid w:val="000A1F2C"/>
    <w:rsid w:val="000A3CC0"/>
    <w:rsid w:val="000A3EF6"/>
    <w:rsid w:val="000A43F4"/>
    <w:rsid w:val="000A6CB5"/>
    <w:rsid w:val="000A7098"/>
    <w:rsid w:val="000B396B"/>
    <w:rsid w:val="000B5D88"/>
    <w:rsid w:val="000B7049"/>
    <w:rsid w:val="000B7E9D"/>
    <w:rsid w:val="000C1A7A"/>
    <w:rsid w:val="000C1FA6"/>
    <w:rsid w:val="000D0241"/>
    <w:rsid w:val="000D0584"/>
    <w:rsid w:val="000D0B19"/>
    <w:rsid w:val="000D17B0"/>
    <w:rsid w:val="000D21D7"/>
    <w:rsid w:val="000D2F0F"/>
    <w:rsid w:val="000D49C5"/>
    <w:rsid w:val="000D65CC"/>
    <w:rsid w:val="000D7704"/>
    <w:rsid w:val="000D790A"/>
    <w:rsid w:val="000E1905"/>
    <w:rsid w:val="000E1A54"/>
    <w:rsid w:val="000E1A74"/>
    <w:rsid w:val="000E3188"/>
    <w:rsid w:val="000E4E00"/>
    <w:rsid w:val="000E4E16"/>
    <w:rsid w:val="000F0C0D"/>
    <w:rsid w:val="000F1838"/>
    <w:rsid w:val="000F1EF0"/>
    <w:rsid w:val="000F616D"/>
    <w:rsid w:val="000F68DD"/>
    <w:rsid w:val="000F7BE7"/>
    <w:rsid w:val="00103C57"/>
    <w:rsid w:val="001047A3"/>
    <w:rsid w:val="00105D73"/>
    <w:rsid w:val="00107C8E"/>
    <w:rsid w:val="00111CDB"/>
    <w:rsid w:val="0011397F"/>
    <w:rsid w:val="00113E11"/>
    <w:rsid w:val="001141A7"/>
    <w:rsid w:val="00115515"/>
    <w:rsid w:val="00121A4A"/>
    <w:rsid w:val="0012407B"/>
    <w:rsid w:val="00124788"/>
    <w:rsid w:val="00126D93"/>
    <w:rsid w:val="00131CCC"/>
    <w:rsid w:val="001338B0"/>
    <w:rsid w:val="00133D08"/>
    <w:rsid w:val="00142728"/>
    <w:rsid w:val="0014287B"/>
    <w:rsid w:val="00142DAF"/>
    <w:rsid w:val="0014726D"/>
    <w:rsid w:val="00147AD5"/>
    <w:rsid w:val="00147EA8"/>
    <w:rsid w:val="00147EC7"/>
    <w:rsid w:val="00152599"/>
    <w:rsid w:val="00152909"/>
    <w:rsid w:val="001544BD"/>
    <w:rsid w:val="001547C8"/>
    <w:rsid w:val="00160261"/>
    <w:rsid w:val="00163595"/>
    <w:rsid w:val="001715C5"/>
    <w:rsid w:val="00171DF8"/>
    <w:rsid w:val="00173AB8"/>
    <w:rsid w:val="001743EF"/>
    <w:rsid w:val="0017687A"/>
    <w:rsid w:val="00176F7E"/>
    <w:rsid w:val="00177E28"/>
    <w:rsid w:val="00183E28"/>
    <w:rsid w:val="00183E3F"/>
    <w:rsid w:val="00186705"/>
    <w:rsid w:val="00187E6A"/>
    <w:rsid w:val="001930EB"/>
    <w:rsid w:val="001961AA"/>
    <w:rsid w:val="001A1EAC"/>
    <w:rsid w:val="001A315D"/>
    <w:rsid w:val="001A3307"/>
    <w:rsid w:val="001A465D"/>
    <w:rsid w:val="001A65C7"/>
    <w:rsid w:val="001B0A7C"/>
    <w:rsid w:val="001B2D3D"/>
    <w:rsid w:val="001C0B24"/>
    <w:rsid w:val="001C57C3"/>
    <w:rsid w:val="001C6EF6"/>
    <w:rsid w:val="001C70BE"/>
    <w:rsid w:val="001D6690"/>
    <w:rsid w:val="001D7C54"/>
    <w:rsid w:val="001D7C81"/>
    <w:rsid w:val="001E0E0F"/>
    <w:rsid w:val="001E2C83"/>
    <w:rsid w:val="001E6812"/>
    <w:rsid w:val="001E7258"/>
    <w:rsid w:val="001F29E9"/>
    <w:rsid w:val="001F2F71"/>
    <w:rsid w:val="001F3846"/>
    <w:rsid w:val="001F4D42"/>
    <w:rsid w:val="001F5D9F"/>
    <w:rsid w:val="00200103"/>
    <w:rsid w:val="0020057A"/>
    <w:rsid w:val="00203309"/>
    <w:rsid w:val="0020661E"/>
    <w:rsid w:val="00213983"/>
    <w:rsid w:val="00215071"/>
    <w:rsid w:val="00217804"/>
    <w:rsid w:val="00217E72"/>
    <w:rsid w:val="00220912"/>
    <w:rsid w:val="00221653"/>
    <w:rsid w:val="002255DD"/>
    <w:rsid w:val="00227DD5"/>
    <w:rsid w:val="00230205"/>
    <w:rsid w:val="0023157E"/>
    <w:rsid w:val="00233B90"/>
    <w:rsid w:val="00235732"/>
    <w:rsid w:val="00237D5A"/>
    <w:rsid w:val="00242194"/>
    <w:rsid w:val="00243CE9"/>
    <w:rsid w:val="00243D06"/>
    <w:rsid w:val="0024607E"/>
    <w:rsid w:val="0024722B"/>
    <w:rsid w:val="00247E1B"/>
    <w:rsid w:val="00250BCB"/>
    <w:rsid w:val="00252340"/>
    <w:rsid w:val="00252E7F"/>
    <w:rsid w:val="0025534A"/>
    <w:rsid w:val="002617CE"/>
    <w:rsid w:val="0026270C"/>
    <w:rsid w:val="00266358"/>
    <w:rsid w:val="002738E5"/>
    <w:rsid w:val="00273A0D"/>
    <w:rsid w:val="0027644F"/>
    <w:rsid w:val="00277FA4"/>
    <w:rsid w:val="002807C4"/>
    <w:rsid w:val="00282849"/>
    <w:rsid w:val="00283D0E"/>
    <w:rsid w:val="00285319"/>
    <w:rsid w:val="002863B5"/>
    <w:rsid w:val="0028646F"/>
    <w:rsid w:val="00286EA8"/>
    <w:rsid w:val="00287640"/>
    <w:rsid w:val="0029044F"/>
    <w:rsid w:val="00291A65"/>
    <w:rsid w:val="00292357"/>
    <w:rsid w:val="00294C54"/>
    <w:rsid w:val="00296532"/>
    <w:rsid w:val="002973BD"/>
    <w:rsid w:val="002A4C0B"/>
    <w:rsid w:val="002A4D7C"/>
    <w:rsid w:val="002A57BD"/>
    <w:rsid w:val="002A73FE"/>
    <w:rsid w:val="002B11B3"/>
    <w:rsid w:val="002B584B"/>
    <w:rsid w:val="002B6E51"/>
    <w:rsid w:val="002B6FD0"/>
    <w:rsid w:val="002B7AF0"/>
    <w:rsid w:val="002B7EB9"/>
    <w:rsid w:val="002C1EA9"/>
    <w:rsid w:val="002C1F91"/>
    <w:rsid w:val="002C3586"/>
    <w:rsid w:val="002C4375"/>
    <w:rsid w:val="002C614F"/>
    <w:rsid w:val="002C6868"/>
    <w:rsid w:val="002C77E4"/>
    <w:rsid w:val="002D0DED"/>
    <w:rsid w:val="002D3B50"/>
    <w:rsid w:val="002E3E1A"/>
    <w:rsid w:val="002F4398"/>
    <w:rsid w:val="002F683E"/>
    <w:rsid w:val="002F7376"/>
    <w:rsid w:val="003017A1"/>
    <w:rsid w:val="003026B8"/>
    <w:rsid w:val="003029DE"/>
    <w:rsid w:val="003073F3"/>
    <w:rsid w:val="00311599"/>
    <w:rsid w:val="00312BD9"/>
    <w:rsid w:val="003149AB"/>
    <w:rsid w:val="003172B5"/>
    <w:rsid w:val="0031790F"/>
    <w:rsid w:val="00320D58"/>
    <w:rsid w:val="0032186A"/>
    <w:rsid w:val="00327BCC"/>
    <w:rsid w:val="00327D21"/>
    <w:rsid w:val="00330450"/>
    <w:rsid w:val="00330480"/>
    <w:rsid w:val="00331C5E"/>
    <w:rsid w:val="003322AF"/>
    <w:rsid w:val="00332447"/>
    <w:rsid w:val="00334EB4"/>
    <w:rsid w:val="003417CA"/>
    <w:rsid w:val="003423E5"/>
    <w:rsid w:val="00342DA5"/>
    <w:rsid w:val="0034361D"/>
    <w:rsid w:val="00345445"/>
    <w:rsid w:val="0034659A"/>
    <w:rsid w:val="0035265A"/>
    <w:rsid w:val="003533B5"/>
    <w:rsid w:val="003544A5"/>
    <w:rsid w:val="00361288"/>
    <w:rsid w:val="00361DBF"/>
    <w:rsid w:val="00362454"/>
    <w:rsid w:val="00362503"/>
    <w:rsid w:val="0036419C"/>
    <w:rsid w:val="003643EC"/>
    <w:rsid w:val="00364D35"/>
    <w:rsid w:val="003656DD"/>
    <w:rsid w:val="00367590"/>
    <w:rsid w:val="00367858"/>
    <w:rsid w:val="0037326B"/>
    <w:rsid w:val="003733F4"/>
    <w:rsid w:val="00373ABA"/>
    <w:rsid w:val="00374AF2"/>
    <w:rsid w:val="00375115"/>
    <w:rsid w:val="00376FA1"/>
    <w:rsid w:val="00381C0A"/>
    <w:rsid w:val="003837F4"/>
    <w:rsid w:val="00386411"/>
    <w:rsid w:val="00387972"/>
    <w:rsid w:val="0039295C"/>
    <w:rsid w:val="003950F5"/>
    <w:rsid w:val="003A44B2"/>
    <w:rsid w:val="003A79BC"/>
    <w:rsid w:val="003A7A17"/>
    <w:rsid w:val="003B2D54"/>
    <w:rsid w:val="003D1B5B"/>
    <w:rsid w:val="003D226E"/>
    <w:rsid w:val="003D22A2"/>
    <w:rsid w:val="003D2765"/>
    <w:rsid w:val="003E0EB1"/>
    <w:rsid w:val="003E14C1"/>
    <w:rsid w:val="003E20A4"/>
    <w:rsid w:val="003E344A"/>
    <w:rsid w:val="003E62D2"/>
    <w:rsid w:val="003F071C"/>
    <w:rsid w:val="003F1DFC"/>
    <w:rsid w:val="003F25E7"/>
    <w:rsid w:val="003F2873"/>
    <w:rsid w:val="003F5CB7"/>
    <w:rsid w:val="003F6BB8"/>
    <w:rsid w:val="004008B8"/>
    <w:rsid w:val="0040311E"/>
    <w:rsid w:val="00404DB7"/>
    <w:rsid w:val="004063DA"/>
    <w:rsid w:val="004126D5"/>
    <w:rsid w:val="00413338"/>
    <w:rsid w:val="0041380C"/>
    <w:rsid w:val="004141BF"/>
    <w:rsid w:val="0041434E"/>
    <w:rsid w:val="0042637B"/>
    <w:rsid w:val="004303D6"/>
    <w:rsid w:val="0043117C"/>
    <w:rsid w:val="00431896"/>
    <w:rsid w:val="00433CEF"/>
    <w:rsid w:val="004340DB"/>
    <w:rsid w:val="00435890"/>
    <w:rsid w:val="00436733"/>
    <w:rsid w:val="00437998"/>
    <w:rsid w:val="00440752"/>
    <w:rsid w:val="00444656"/>
    <w:rsid w:val="00446D77"/>
    <w:rsid w:val="004478EE"/>
    <w:rsid w:val="00454115"/>
    <w:rsid w:val="00454EAB"/>
    <w:rsid w:val="00455A4E"/>
    <w:rsid w:val="00463A2A"/>
    <w:rsid w:val="004647A3"/>
    <w:rsid w:val="00464AA1"/>
    <w:rsid w:val="00464DE5"/>
    <w:rsid w:val="004653BD"/>
    <w:rsid w:val="00470308"/>
    <w:rsid w:val="004740BF"/>
    <w:rsid w:val="00474597"/>
    <w:rsid w:val="00474955"/>
    <w:rsid w:val="004749A4"/>
    <w:rsid w:val="0047677D"/>
    <w:rsid w:val="00476CA1"/>
    <w:rsid w:val="0047753D"/>
    <w:rsid w:val="00480FD5"/>
    <w:rsid w:val="004810CB"/>
    <w:rsid w:val="00482F0B"/>
    <w:rsid w:val="004849D7"/>
    <w:rsid w:val="00485B77"/>
    <w:rsid w:val="00486119"/>
    <w:rsid w:val="00491D54"/>
    <w:rsid w:val="00491F77"/>
    <w:rsid w:val="00492380"/>
    <w:rsid w:val="0049314E"/>
    <w:rsid w:val="004973CD"/>
    <w:rsid w:val="004B6491"/>
    <w:rsid w:val="004B7242"/>
    <w:rsid w:val="004C0D03"/>
    <w:rsid w:val="004C2137"/>
    <w:rsid w:val="004C3D30"/>
    <w:rsid w:val="004C5E8D"/>
    <w:rsid w:val="004C63DA"/>
    <w:rsid w:val="004C6C30"/>
    <w:rsid w:val="004D0608"/>
    <w:rsid w:val="004E1D54"/>
    <w:rsid w:val="004E203A"/>
    <w:rsid w:val="004E5898"/>
    <w:rsid w:val="004E7773"/>
    <w:rsid w:val="004F0511"/>
    <w:rsid w:val="004F3108"/>
    <w:rsid w:val="004F444A"/>
    <w:rsid w:val="004F68F6"/>
    <w:rsid w:val="004F7F37"/>
    <w:rsid w:val="005008FB"/>
    <w:rsid w:val="00503578"/>
    <w:rsid w:val="00504A11"/>
    <w:rsid w:val="0050544C"/>
    <w:rsid w:val="00506E38"/>
    <w:rsid w:val="00507135"/>
    <w:rsid w:val="00511023"/>
    <w:rsid w:val="00511187"/>
    <w:rsid w:val="0051131E"/>
    <w:rsid w:val="00512DDA"/>
    <w:rsid w:val="00514667"/>
    <w:rsid w:val="005179C3"/>
    <w:rsid w:val="00520C6A"/>
    <w:rsid w:val="00521D3E"/>
    <w:rsid w:val="00524CDB"/>
    <w:rsid w:val="005275C1"/>
    <w:rsid w:val="00527F85"/>
    <w:rsid w:val="00531363"/>
    <w:rsid w:val="00534FE8"/>
    <w:rsid w:val="00536CE9"/>
    <w:rsid w:val="00537043"/>
    <w:rsid w:val="005449FD"/>
    <w:rsid w:val="00547CE7"/>
    <w:rsid w:val="005504E0"/>
    <w:rsid w:val="00552FA7"/>
    <w:rsid w:val="005600D0"/>
    <w:rsid w:val="005601AF"/>
    <w:rsid w:val="0056505D"/>
    <w:rsid w:val="00566057"/>
    <w:rsid w:val="00566D58"/>
    <w:rsid w:val="005717FB"/>
    <w:rsid w:val="00574B99"/>
    <w:rsid w:val="005751DE"/>
    <w:rsid w:val="00577FEA"/>
    <w:rsid w:val="00580069"/>
    <w:rsid w:val="00582EEB"/>
    <w:rsid w:val="005838EB"/>
    <w:rsid w:val="005849E1"/>
    <w:rsid w:val="005869BB"/>
    <w:rsid w:val="0059025C"/>
    <w:rsid w:val="005A2184"/>
    <w:rsid w:val="005A592B"/>
    <w:rsid w:val="005A7849"/>
    <w:rsid w:val="005A7857"/>
    <w:rsid w:val="005B3285"/>
    <w:rsid w:val="005B3852"/>
    <w:rsid w:val="005B3F01"/>
    <w:rsid w:val="005B5116"/>
    <w:rsid w:val="005B7FD2"/>
    <w:rsid w:val="005C1817"/>
    <w:rsid w:val="005C1A65"/>
    <w:rsid w:val="005C5B15"/>
    <w:rsid w:val="005C6094"/>
    <w:rsid w:val="005C6D16"/>
    <w:rsid w:val="005C74EB"/>
    <w:rsid w:val="005D069D"/>
    <w:rsid w:val="005D101A"/>
    <w:rsid w:val="005D21E8"/>
    <w:rsid w:val="005D41A3"/>
    <w:rsid w:val="005D5284"/>
    <w:rsid w:val="005D74ED"/>
    <w:rsid w:val="005D760F"/>
    <w:rsid w:val="005E188B"/>
    <w:rsid w:val="005E1D28"/>
    <w:rsid w:val="005E4F0C"/>
    <w:rsid w:val="005E52ED"/>
    <w:rsid w:val="005E70B7"/>
    <w:rsid w:val="005F0308"/>
    <w:rsid w:val="005F4126"/>
    <w:rsid w:val="005F5978"/>
    <w:rsid w:val="005F5FE4"/>
    <w:rsid w:val="005F72DA"/>
    <w:rsid w:val="00601FCF"/>
    <w:rsid w:val="00603B1F"/>
    <w:rsid w:val="006048F1"/>
    <w:rsid w:val="006079AB"/>
    <w:rsid w:val="006101BD"/>
    <w:rsid w:val="00610B56"/>
    <w:rsid w:val="00611D1A"/>
    <w:rsid w:val="0061528A"/>
    <w:rsid w:val="00616CE8"/>
    <w:rsid w:val="006175DB"/>
    <w:rsid w:val="00620306"/>
    <w:rsid w:val="0062217B"/>
    <w:rsid w:val="00625F3D"/>
    <w:rsid w:val="00627EF2"/>
    <w:rsid w:val="00631BAA"/>
    <w:rsid w:val="006341CD"/>
    <w:rsid w:val="00634367"/>
    <w:rsid w:val="00637613"/>
    <w:rsid w:val="00640D3B"/>
    <w:rsid w:val="00643031"/>
    <w:rsid w:val="00643C58"/>
    <w:rsid w:val="00650D94"/>
    <w:rsid w:val="00651E7C"/>
    <w:rsid w:val="006544F2"/>
    <w:rsid w:val="00657EA8"/>
    <w:rsid w:val="00663EF3"/>
    <w:rsid w:val="00665480"/>
    <w:rsid w:val="00665930"/>
    <w:rsid w:val="0067121F"/>
    <w:rsid w:val="0067127A"/>
    <w:rsid w:val="006720D2"/>
    <w:rsid w:val="006727E2"/>
    <w:rsid w:val="00672F00"/>
    <w:rsid w:val="00674982"/>
    <w:rsid w:val="00677244"/>
    <w:rsid w:val="00680C5C"/>
    <w:rsid w:val="006818E2"/>
    <w:rsid w:val="00681949"/>
    <w:rsid w:val="00682148"/>
    <w:rsid w:val="00682489"/>
    <w:rsid w:val="00683C2E"/>
    <w:rsid w:val="006862F1"/>
    <w:rsid w:val="00690269"/>
    <w:rsid w:val="00691E25"/>
    <w:rsid w:val="00693AE2"/>
    <w:rsid w:val="00697E33"/>
    <w:rsid w:val="006A0193"/>
    <w:rsid w:val="006A020E"/>
    <w:rsid w:val="006A1228"/>
    <w:rsid w:val="006A274D"/>
    <w:rsid w:val="006A4BD9"/>
    <w:rsid w:val="006A6611"/>
    <w:rsid w:val="006B1B15"/>
    <w:rsid w:val="006B4F31"/>
    <w:rsid w:val="006B55D9"/>
    <w:rsid w:val="006B5E57"/>
    <w:rsid w:val="006B6DCD"/>
    <w:rsid w:val="006C120A"/>
    <w:rsid w:val="006C15AD"/>
    <w:rsid w:val="006C36E9"/>
    <w:rsid w:val="006C5BD2"/>
    <w:rsid w:val="006D27AA"/>
    <w:rsid w:val="006D5788"/>
    <w:rsid w:val="006E1585"/>
    <w:rsid w:val="006E3BD7"/>
    <w:rsid w:val="006E3EB0"/>
    <w:rsid w:val="006E50A3"/>
    <w:rsid w:val="006E542F"/>
    <w:rsid w:val="006F117F"/>
    <w:rsid w:val="006F22B8"/>
    <w:rsid w:val="006F2901"/>
    <w:rsid w:val="006F3907"/>
    <w:rsid w:val="006F411B"/>
    <w:rsid w:val="006F773D"/>
    <w:rsid w:val="00701319"/>
    <w:rsid w:val="007024FA"/>
    <w:rsid w:val="00702BC4"/>
    <w:rsid w:val="007044A5"/>
    <w:rsid w:val="00707A20"/>
    <w:rsid w:val="007122E1"/>
    <w:rsid w:val="007126EE"/>
    <w:rsid w:val="00712FDD"/>
    <w:rsid w:val="00714D54"/>
    <w:rsid w:val="007164F9"/>
    <w:rsid w:val="00716724"/>
    <w:rsid w:val="00721821"/>
    <w:rsid w:val="00723273"/>
    <w:rsid w:val="007234AB"/>
    <w:rsid w:val="00723D84"/>
    <w:rsid w:val="007252C0"/>
    <w:rsid w:val="00727A62"/>
    <w:rsid w:val="00730409"/>
    <w:rsid w:val="007315C1"/>
    <w:rsid w:val="00732238"/>
    <w:rsid w:val="0073414C"/>
    <w:rsid w:val="00734B5A"/>
    <w:rsid w:val="00735330"/>
    <w:rsid w:val="007355C4"/>
    <w:rsid w:val="00736CEF"/>
    <w:rsid w:val="00740ED6"/>
    <w:rsid w:val="007413A9"/>
    <w:rsid w:val="00741D87"/>
    <w:rsid w:val="00743BC1"/>
    <w:rsid w:val="007441CE"/>
    <w:rsid w:val="0074496D"/>
    <w:rsid w:val="00746A63"/>
    <w:rsid w:val="00751192"/>
    <w:rsid w:val="007553EF"/>
    <w:rsid w:val="0075740B"/>
    <w:rsid w:val="00765ABD"/>
    <w:rsid w:val="007675B7"/>
    <w:rsid w:val="0076793A"/>
    <w:rsid w:val="00767B3A"/>
    <w:rsid w:val="00767DA4"/>
    <w:rsid w:val="007736AF"/>
    <w:rsid w:val="0077497E"/>
    <w:rsid w:val="00780D67"/>
    <w:rsid w:val="0078299A"/>
    <w:rsid w:val="007839FF"/>
    <w:rsid w:val="00791348"/>
    <w:rsid w:val="00791E44"/>
    <w:rsid w:val="007924C5"/>
    <w:rsid w:val="00792F50"/>
    <w:rsid w:val="0079439D"/>
    <w:rsid w:val="0079593C"/>
    <w:rsid w:val="00796358"/>
    <w:rsid w:val="00796695"/>
    <w:rsid w:val="007A11C5"/>
    <w:rsid w:val="007A229F"/>
    <w:rsid w:val="007A59AA"/>
    <w:rsid w:val="007A7E26"/>
    <w:rsid w:val="007B4652"/>
    <w:rsid w:val="007B63FA"/>
    <w:rsid w:val="007C36CC"/>
    <w:rsid w:val="007C7BA5"/>
    <w:rsid w:val="007D12EE"/>
    <w:rsid w:val="007D3C1D"/>
    <w:rsid w:val="007D471E"/>
    <w:rsid w:val="007D5155"/>
    <w:rsid w:val="007D5C1E"/>
    <w:rsid w:val="007E20DE"/>
    <w:rsid w:val="007E24D9"/>
    <w:rsid w:val="007E64DB"/>
    <w:rsid w:val="007E74F2"/>
    <w:rsid w:val="007F0A80"/>
    <w:rsid w:val="007F0C49"/>
    <w:rsid w:val="007F1BA0"/>
    <w:rsid w:val="007F4A2E"/>
    <w:rsid w:val="007F5AC9"/>
    <w:rsid w:val="00804110"/>
    <w:rsid w:val="008043A8"/>
    <w:rsid w:val="00804B69"/>
    <w:rsid w:val="00805AEE"/>
    <w:rsid w:val="008104E2"/>
    <w:rsid w:val="00812DAB"/>
    <w:rsid w:val="00814815"/>
    <w:rsid w:val="008160B4"/>
    <w:rsid w:val="0081772F"/>
    <w:rsid w:val="008178D8"/>
    <w:rsid w:val="00821520"/>
    <w:rsid w:val="0082330D"/>
    <w:rsid w:val="00824E3F"/>
    <w:rsid w:val="00825368"/>
    <w:rsid w:val="008256B5"/>
    <w:rsid w:val="00826CE3"/>
    <w:rsid w:val="008311FD"/>
    <w:rsid w:val="00831688"/>
    <w:rsid w:val="008319D3"/>
    <w:rsid w:val="00831A18"/>
    <w:rsid w:val="00831E2C"/>
    <w:rsid w:val="00835F3C"/>
    <w:rsid w:val="00837624"/>
    <w:rsid w:val="008400A6"/>
    <w:rsid w:val="00840E0E"/>
    <w:rsid w:val="00841A28"/>
    <w:rsid w:val="00842B7A"/>
    <w:rsid w:val="008432A3"/>
    <w:rsid w:val="008456BF"/>
    <w:rsid w:val="00845CC6"/>
    <w:rsid w:val="00857B2B"/>
    <w:rsid w:val="00862FE9"/>
    <w:rsid w:val="00864203"/>
    <w:rsid w:val="00865C62"/>
    <w:rsid w:val="00865E21"/>
    <w:rsid w:val="00866C7E"/>
    <w:rsid w:val="00871C51"/>
    <w:rsid w:val="00872190"/>
    <w:rsid w:val="008723CB"/>
    <w:rsid w:val="00873F8C"/>
    <w:rsid w:val="00874A2C"/>
    <w:rsid w:val="0087542A"/>
    <w:rsid w:val="008762A4"/>
    <w:rsid w:val="00880F24"/>
    <w:rsid w:val="00882BDF"/>
    <w:rsid w:val="00882FC4"/>
    <w:rsid w:val="00885622"/>
    <w:rsid w:val="008868D5"/>
    <w:rsid w:val="00887BCD"/>
    <w:rsid w:val="00895179"/>
    <w:rsid w:val="00896763"/>
    <w:rsid w:val="008A74E8"/>
    <w:rsid w:val="008B0315"/>
    <w:rsid w:val="008B0B1B"/>
    <w:rsid w:val="008B2F54"/>
    <w:rsid w:val="008B610F"/>
    <w:rsid w:val="008B765D"/>
    <w:rsid w:val="008C1363"/>
    <w:rsid w:val="008C3B06"/>
    <w:rsid w:val="008C3BE4"/>
    <w:rsid w:val="008C710F"/>
    <w:rsid w:val="008C7703"/>
    <w:rsid w:val="008D2052"/>
    <w:rsid w:val="008D4AA5"/>
    <w:rsid w:val="008D5879"/>
    <w:rsid w:val="008D66BC"/>
    <w:rsid w:val="008E0684"/>
    <w:rsid w:val="008E2841"/>
    <w:rsid w:val="008E2858"/>
    <w:rsid w:val="008E49E4"/>
    <w:rsid w:val="008E5B5D"/>
    <w:rsid w:val="008E5FBA"/>
    <w:rsid w:val="008E6F42"/>
    <w:rsid w:val="008F02BA"/>
    <w:rsid w:val="008F0511"/>
    <w:rsid w:val="008F0AE0"/>
    <w:rsid w:val="008F2AE5"/>
    <w:rsid w:val="008F3583"/>
    <w:rsid w:val="008F61AC"/>
    <w:rsid w:val="008F6FE7"/>
    <w:rsid w:val="00902948"/>
    <w:rsid w:val="0090355D"/>
    <w:rsid w:val="00905A68"/>
    <w:rsid w:val="0090622B"/>
    <w:rsid w:val="009100A2"/>
    <w:rsid w:val="009127DC"/>
    <w:rsid w:val="00912807"/>
    <w:rsid w:val="009135BA"/>
    <w:rsid w:val="00914773"/>
    <w:rsid w:val="0091577A"/>
    <w:rsid w:val="00915B6E"/>
    <w:rsid w:val="00917F43"/>
    <w:rsid w:val="00920369"/>
    <w:rsid w:val="00924A38"/>
    <w:rsid w:val="00927882"/>
    <w:rsid w:val="00931770"/>
    <w:rsid w:val="00935751"/>
    <w:rsid w:val="009402D3"/>
    <w:rsid w:val="0094186A"/>
    <w:rsid w:val="009464B8"/>
    <w:rsid w:val="0095028B"/>
    <w:rsid w:val="0095132F"/>
    <w:rsid w:val="00951C24"/>
    <w:rsid w:val="0095453E"/>
    <w:rsid w:val="0096115C"/>
    <w:rsid w:val="00964DB3"/>
    <w:rsid w:val="00966CE1"/>
    <w:rsid w:val="0097056A"/>
    <w:rsid w:val="00972776"/>
    <w:rsid w:val="00972B46"/>
    <w:rsid w:val="0098078E"/>
    <w:rsid w:val="009827AD"/>
    <w:rsid w:val="009827ED"/>
    <w:rsid w:val="00985702"/>
    <w:rsid w:val="00992440"/>
    <w:rsid w:val="00996275"/>
    <w:rsid w:val="00996590"/>
    <w:rsid w:val="0099690D"/>
    <w:rsid w:val="009A08D9"/>
    <w:rsid w:val="009A11A0"/>
    <w:rsid w:val="009A22CE"/>
    <w:rsid w:val="009A3305"/>
    <w:rsid w:val="009A4B6A"/>
    <w:rsid w:val="009A5BF1"/>
    <w:rsid w:val="009A61EC"/>
    <w:rsid w:val="009B2CFA"/>
    <w:rsid w:val="009B3815"/>
    <w:rsid w:val="009B41FC"/>
    <w:rsid w:val="009B462A"/>
    <w:rsid w:val="009B62CD"/>
    <w:rsid w:val="009B77F4"/>
    <w:rsid w:val="009C2DDC"/>
    <w:rsid w:val="009C5AF7"/>
    <w:rsid w:val="009C787E"/>
    <w:rsid w:val="009C7F6E"/>
    <w:rsid w:val="009D144B"/>
    <w:rsid w:val="009D20EA"/>
    <w:rsid w:val="009D4458"/>
    <w:rsid w:val="009D74D3"/>
    <w:rsid w:val="009E2A6F"/>
    <w:rsid w:val="009E55EC"/>
    <w:rsid w:val="009E6537"/>
    <w:rsid w:val="009E74A1"/>
    <w:rsid w:val="009F186C"/>
    <w:rsid w:val="009F2078"/>
    <w:rsid w:val="009F6227"/>
    <w:rsid w:val="00A027FC"/>
    <w:rsid w:val="00A12BA9"/>
    <w:rsid w:val="00A131A0"/>
    <w:rsid w:val="00A159FF"/>
    <w:rsid w:val="00A17470"/>
    <w:rsid w:val="00A22DE2"/>
    <w:rsid w:val="00A24889"/>
    <w:rsid w:val="00A25138"/>
    <w:rsid w:val="00A3112B"/>
    <w:rsid w:val="00A319CF"/>
    <w:rsid w:val="00A35A30"/>
    <w:rsid w:val="00A375B8"/>
    <w:rsid w:val="00A419D8"/>
    <w:rsid w:val="00A422B6"/>
    <w:rsid w:val="00A45D24"/>
    <w:rsid w:val="00A46B68"/>
    <w:rsid w:val="00A5047F"/>
    <w:rsid w:val="00A54640"/>
    <w:rsid w:val="00A54C89"/>
    <w:rsid w:val="00A56F43"/>
    <w:rsid w:val="00A61706"/>
    <w:rsid w:val="00A619FB"/>
    <w:rsid w:val="00A620B9"/>
    <w:rsid w:val="00A63C1A"/>
    <w:rsid w:val="00A74323"/>
    <w:rsid w:val="00A75BB6"/>
    <w:rsid w:val="00A77E4B"/>
    <w:rsid w:val="00A81D59"/>
    <w:rsid w:val="00A82D6A"/>
    <w:rsid w:val="00A83CAA"/>
    <w:rsid w:val="00A84477"/>
    <w:rsid w:val="00A8692F"/>
    <w:rsid w:val="00A952D1"/>
    <w:rsid w:val="00AA07E1"/>
    <w:rsid w:val="00AA135D"/>
    <w:rsid w:val="00AA1817"/>
    <w:rsid w:val="00AA27BF"/>
    <w:rsid w:val="00AA34B7"/>
    <w:rsid w:val="00AA4679"/>
    <w:rsid w:val="00AA4E7E"/>
    <w:rsid w:val="00AA7D23"/>
    <w:rsid w:val="00AB1D1E"/>
    <w:rsid w:val="00AB1E95"/>
    <w:rsid w:val="00AB1FF0"/>
    <w:rsid w:val="00AB368C"/>
    <w:rsid w:val="00AB38C5"/>
    <w:rsid w:val="00AB3C72"/>
    <w:rsid w:val="00AC170C"/>
    <w:rsid w:val="00AC1A95"/>
    <w:rsid w:val="00AC1DAE"/>
    <w:rsid w:val="00AC3639"/>
    <w:rsid w:val="00AC5039"/>
    <w:rsid w:val="00AC5C96"/>
    <w:rsid w:val="00AC6470"/>
    <w:rsid w:val="00AC6478"/>
    <w:rsid w:val="00AD0BD0"/>
    <w:rsid w:val="00AD0CFB"/>
    <w:rsid w:val="00AD4049"/>
    <w:rsid w:val="00AD4773"/>
    <w:rsid w:val="00AD6809"/>
    <w:rsid w:val="00AD7A25"/>
    <w:rsid w:val="00AE035A"/>
    <w:rsid w:val="00AE0ACF"/>
    <w:rsid w:val="00AE2FCF"/>
    <w:rsid w:val="00AE3E72"/>
    <w:rsid w:val="00AE78D2"/>
    <w:rsid w:val="00AF150A"/>
    <w:rsid w:val="00AF1C29"/>
    <w:rsid w:val="00AF2C90"/>
    <w:rsid w:val="00AF3BA8"/>
    <w:rsid w:val="00AF7703"/>
    <w:rsid w:val="00AF78E3"/>
    <w:rsid w:val="00B0554E"/>
    <w:rsid w:val="00B0585E"/>
    <w:rsid w:val="00B0624D"/>
    <w:rsid w:val="00B06D94"/>
    <w:rsid w:val="00B10798"/>
    <w:rsid w:val="00B1105A"/>
    <w:rsid w:val="00B12C82"/>
    <w:rsid w:val="00B1387B"/>
    <w:rsid w:val="00B13B9D"/>
    <w:rsid w:val="00B13D91"/>
    <w:rsid w:val="00B15ED8"/>
    <w:rsid w:val="00B17173"/>
    <w:rsid w:val="00B17201"/>
    <w:rsid w:val="00B1771A"/>
    <w:rsid w:val="00B20620"/>
    <w:rsid w:val="00B20F3F"/>
    <w:rsid w:val="00B22E5D"/>
    <w:rsid w:val="00B30974"/>
    <w:rsid w:val="00B32085"/>
    <w:rsid w:val="00B32553"/>
    <w:rsid w:val="00B33825"/>
    <w:rsid w:val="00B33D57"/>
    <w:rsid w:val="00B345F6"/>
    <w:rsid w:val="00B36935"/>
    <w:rsid w:val="00B40EAC"/>
    <w:rsid w:val="00B44D9A"/>
    <w:rsid w:val="00B45D1A"/>
    <w:rsid w:val="00B4635C"/>
    <w:rsid w:val="00B46406"/>
    <w:rsid w:val="00B47D0B"/>
    <w:rsid w:val="00B53D5D"/>
    <w:rsid w:val="00B5641E"/>
    <w:rsid w:val="00B61AFE"/>
    <w:rsid w:val="00B61E2B"/>
    <w:rsid w:val="00B629FE"/>
    <w:rsid w:val="00B62EE3"/>
    <w:rsid w:val="00B63D0C"/>
    <w:rsid w:val="00B63E0D"/>
    <w:rsid w:val="00B64B57"/>
    <w:rsid w:val="00B64D74"/>
    <w:rsid w:val="00B64F38"/>
    <w:rsid w:val="00B661C7"/>
    <w:rsid w:val="00B668EF"/>
    <w:rsid w:val="00B7401E"/>
    <w:rsid w:val="00B74E93"/>
    <w:rsid w:val="00B75AEE"/>
    <w:rsid w:val="00B8024D"/>
    <w:rsid w:val="00B81F96"/>
    <w:rsid w:val="00B8238C"/>
    <w:rsid w:val="00B82AB2"/>
    <w:rsid w:val="00B849ED"/>
    <w:rsid w:val="00B877AC"/>
    <w:rsid w:val="00B90848"/>
    <w:rsid w:val="00B93FC5"/>
    <w:rsid w:val="00BA0948"/>
    <w:rsid w:val="00BA0B1E"/>
    <w:rsid w:val="00BA0D9C"/>
    <w:rsid w:val="00BA1697"/>
    <w:rsid w:val="00BA4E48"/>
    <w:rsid w:val="00BB0D5F"/>
    <w:rsid w:val="00BB1633"/>
    <w:rsid w:val="00BB3759"/>
    <w:rsid w:val="00BB594E"/>
    <w:rsid w:val="00BB6722"/>
    <w:rsid w:val="00BC061D"/>
    <w:rsid w:val="00BC0D07"/>
    <w:rsid w:val="00BC43FA"/>
    <w:rsid w:val="00BC46ED"/>
    <w:rsid w:val="00BC7C0A"/>
    <w:rsid w:val="00BD0D3B"/>
    <w:rsid w:val="00BD20C5"/>
    <w:rsid w:val="00BD2E6C"/>
    <w:rsid w:val="00BD38BE"/>
    <w:rsid w:val="00BD506F"/>
    <w:rsid w:val="00BD5E8B"/>
    <w:rsid w:val="00BD7FC5"/>
    <w:rsid w:val="00BE0BDD"/>
    <w:rsid w:val="00BE14A7"/>
    <w:rsid w:val="00BE5623"/>
    <w:rsid w:val="00BE5D34"/>
    <w:rsid w:val="00BE5D48"/>
    <w:rsid w:val="00BF0C42"/>
    <w:rsid w:val="00BF2391"/>
    <w:rsid w:val="00BF51F0"/>
    <w:rsid w:val="00BF56C5"/>
    <w:rsid w:val="00C019B2"/>
    <w:rsid w:val="00C02518"/>
    <w:rsid w:val="00C02D5F"/>
    <w:rsid w:val="00C050C2"/>
    <w:rsid w:val="00C06A96"/>
    <w:rsid w:val="00C07BC3"/>
    <w:rsid w:val="00C159CB"/>
    <w:rsid w:val="00C209CC"/>
    <w:rsid w:val="00C20C0D"/>
    <w:rsid w:val="00C20E53"/>
    <w:rsid w:val="00C2136A"/>
    <w:rsid w:val="00C21A38"/>
    <w:rsid w:val="00C2291D"/>
    <w:rsid w:val="00C235FA"/>
    <w:rsid w:val="00C239C1"/>
    <w:rsid w:val="00C24883"/>
    <w:rsid w:val="00C24EEC"/>
    <w:rsid w:val="00C26D95"/>
    <w:rsid w:val="00C3078D"/>
    <w:rsid w:val="00C30C41"/>
    <w:rsid w:val="00C337AE"/>
    <w:rsid w:val="00C352F5"/>
    <w:rsid w:val="00C3746A"/>
    <w:rsid w:val="00C37AC8"/>
    <w:rsid w:val="00C37FD5"/>
    <w:rsid w:val="00C421D8"/>
    <w:rsid w:val="00C4366F"/>
    <w:rsid w:val="00C468FF"/>
    <w:rsid w:val="00C47CEF"/>
    <w:rsid w:val="00C5062A"/>
    <w:rsid w:val="00C566FB"/>
    <w:rsid w:val="00C6059E"/>
    <w:rsid w:val="00C61713"/>
    <w:rsid w:val="00C632DC"/>
    <w:rsid w:val="00C66CE8"/>
    <w:rsid w:val="00C67CA7"/>
    <w:rsid w:val="00C71E2A"/>
    <w:rsid w:val="00C71FF5"/>
    <w:rsid w:val="00C731DD"/>
    <w:rsid w:val="00C761AF"/>
    <w:rsid w:val="00C83599"/>
    <w:rsid w:val="00C849A1"/>
    <w:rsid w:val="00C850D8"/>
    <w:rsid w:val="00C854FB"/>
    <w:rsid w:val="00C86628"/>
    <w:rsid w:val="00C87488"/>
    <w:rsid w:val="00C87B4C"/>
    <w:rsid w:val="00C90917"/>
    <w:rsid w:val="00C92858"/>
    <w:rsid w:val="00C92D37"/>
    <w:rsid w:val="00C94213"/>
    <w:rsid w:val="00CA028D"/>
    <w:rsid w:val="00CA31C0"/>
    <w:rsid w:val="00CA498F"/>
    <w:rsid w:val="00CA6128"/>
    <w:rsid w:val="00CB19CA"/>
    <w:rsid w:val="00CB2A78"/>
    <w:rsid w:val="00CB6508"/>
    <w:rsid w:val="00CB7195"/>
    <w:rsid w:val="00CC1ACA"/>
    <w:rsid w:val="00CC1EC9"/>
    <w:rsid w:val="00CC4288"/>
    <w:rsid w:val="00CC608D"/>
    <w:rsid w:val="00CC7802"/>
    <w:rsid w:val="00CC7874"/>
    <w:rsid w:val="00CD319C"/>
    <w:rsid w:val="00CD3865"/>
    <w:rsid w:val="00CD4F61"/>
    <w:rsid w:val="00CD59E5"/>
    <w:rsid w:val="00CD624E"/>
    <w:rsid w:val="00CE505E"/>
    <w:rsid w:val="00CE64DB"/>
    <w:rsid w:val="00CF4FD6"/>
    <w:rsid w:val="00CF6374"/>
    <w:rsid w:val="00D0565D"/>
    <w:rsid w:val="00D108EB"/>
    <w:rsid w:val="00D1215C"/>
    <w:rsid w:val="00D155D8"/>
    <w:rsid w:val="00D24AFE"/>
    <w:rsid w:val="00D24E5A"/>
    <w:rsid w:val="00D31AF2"/>
    <w:rsid w:val="00D32E77"/>
    <w:rsid w:val="00D3573A"/>
    <w:rsid w:val="00D359AF"/>
    <w:rsid w:val="00D378E8"/>
    <w:rsid w:val="00D414A1"/>
    <w:rsid w:val="00D4241E"/>
    <w:rsid w:val="00D4618C"/>
    <w:rsid w:val="00D4663E"/>
    <w:rsid w:val="00D47DB5"/>
    <w:rsid w:val="00D50177"/>
    <w:rsid w:val="00D54875"/>
    <w:rsid w:val="00D54E5C"/>
    <w:rsid w:val="00D6071C"/>
    <w:rsid w:val="00D60973"/>
    <w:rsid w:val="00D636C6"/>
    <w:rsid w:val="00D63A97"/>
    <w:rsid w:val="00D67F99"/>
    <w:rsid w:val="00D70456"/>
    <w:rsid w:val="00D727C2"/>
    <w:rsid w:val="00D7674E"/>
    <w:rsid w:val="00D82616"/>
    <w:rsid w:val="00D83FBA"/>
    <w:rsid w:val="00D85CB1"/>
    <w:rsid w:val="00D87A86"/>
    <w:rsid w:val="00D90155"/>
    <w:rsid w:val="00D90287"/>
    <w:rsid w:val="00D926D4"/>
    <w:rsid w:val="00D92E39"/>
    <w:rsid w:val="00D97438"/>
    <w:rsid w:val="00DA19F9"/>
    <w:rsid w:val="00DA3F2E"/>
    <w:rsid w:val="00DA51FF"/>
    <w:rsid w:val="00DA673B"/>
    <w:rsid w:val="00DA6A7B"/>
    <w:rsid w:val="00DA6B99"/>
    <w:rsid w:val="00DA7308"/>
    <w:rsid w:val="00DA744F"/>
    <w:rsid w:val="00DA7C1D"/>
    <w:rsid w:val="00DB04EE"/>
    <w:rsid w:val="00DB3499"/>
    <w:rsid w:val="00DB3DED"/>
    <w:rsid w:val="00DB4D1A"/>
    <w:rsid w:val="00DB5507"/>
    <w:rsid w:val="00DB60EB"/>
    <w:rsid w:val="00DB784D"/>
    <w:rsid w:val="00DC07BB"/>
    <w:rsid w:val="00DC444F"/>
    <w:rsid w:val="00DC47B8"/>
    <w:rsid w:val="00DC5B9C"/>
    <w:rsid w:val="00DD0A80"/>
    <w:rsid w:val="00DD1058"/>
    <w:rsid w:val="00DD1CA1"/>
    <w:rsid w:val="00DD1DE9"/>
    <w:rsid w:val="00DD224E"/>
    <w:rsid w:val="00DD2774"/>
    <w:rsid w:val="00DD2D1E"/>
    <w:rsid w:val="00DD31E9"/>
    <w:rsid w:val="00DD466B"/>
    <w:rsid w:val="00DD5E7B"/>
    <w:rsid w:val="00DD5F4F"/>
    <w:rsid w:val="00DD6C49"/>
    <w:rsid w:val="00DD6CC6"/>
    <w:rsid w:val="00DD7CC3"/>
    <w:rsid w:val="00DE0657"/>
    <w:rsid w:val="00DE2AA9"/>
    <w:rsid w:val="00DE2E18"/>
    <w:rsid w:val="00DE3F37"/>
    <w:rsid w:val="00DE3FBD"/>
    <w:rsid w:val="00DE4066"/>
    <w:rsid w:val="00DE567B"/>
    <w:rsid w:val="00DE61D6"/>
    <w:rsid w:val="00DE653F"/>
    <w:rsid w:val="00DF0450"/>
    <w:rsid w:val="00DF1BF8"/>
    <w:rsid w:val="00DF1EB5"/>
    <w:rsid w:val="00DF693A"/>
    <w:rsid w:val="00DF6ACE"/>
    <w:rsid w:val="00E0053A"/>
    <w:rsid w:val="00E061D7"/>
    <w:rsid w:val="00E110DB"/>
    <w:rsid w:val="00E154FC"/>
    <w:rsid w:val="00E17ECD"/>
    <w:rsid w:val="00E2092F"/>
    <w:rsid w:val="00E217FF"/>
    <w:rsid w:val="00E22AFA"/>
    <w:rsid w:val="00E30747"/>
    <w:rsid w:val="00E30E1C"/>
    <w:rsid w:val="00E37E57"/>
    <w:rsid w:val="00E413D4"/>
    <w:rsid w:val="00E41958"/>
    <w:rsid w:val="00E446F0"/>
    <w:rsid w:val="00E46ECC"/>
    <w:rsid w:val="00E4757D"/>
    <w:rsid w:val="00E47D90"/>
    <w:rsid w:val="00E50841"/>
    <w:rsid w:val="00E51783"/>
    <w:rsid w:val="00E55C30"/>
    <w:rsid w:val="00E56411"/>
    <w:rsid w:val="00E56A46"/>
    <w:rsid w:val="00E72BF7"/>
    <w:rsid w:val="00E74CA8"/>
    <w:rsid w:val="00E75851"/>
    <w:rsid w:val="00E808A1"/>
    <w:rsid w:val="00E845F2"/>
    <w:rsid w:val="00E874F1"/>
    <w:rsid w:val="00E879CA"/>
    <w:rsid w:val="00E87BA8"/>
    <w:rsid w:val="00E907C8"/>
    <w:rsid w:val="00E92E95"/>
    <w:rsid w:val="00E97883"/>
    <w:rsid w:val="00E97A21"/>
    <w:rsid w:val="00EA1755"/>
    <w:rsid w:val="00EA18E8"/>
    <w:rsid w:val="00EA2D1F"/>
    <w:rsid w:val="00EA3142"/>
    <w:rsid w:val="00EA3DFD"/>
    <w:rsid w:val="00EA4C82"/>
    <w:rsid w:val="00EA4DD4"/>
    <w:rsid w:val="00EA6444"/>
    <w:rsid w:val="00EA685C"/>
    <w:rsid w:val="00EB1591"/>
    <w:rsid w:val="00EB2EA1"/>
    <w:rsid w:val="00EB4DB8"/>
    <w:rsid w:val="00EB64E6"/>
    <w:rsid w:val="00EC30F1"/>
    <w:rsid w:val="00EC3A73"/>
    <w:rsid w:val="00EC58FF"/>
    <w:rsid w:val="00EC723E"/>
    <w:rsid w:val="00ED02EC"/>
    <w:rsid w:val="00ED148A"/>
    <w:rsid w:val="00ED1B90"/>
    <w:rsid w:val="00ED3646"/>
    <w:rsid w:val="00ED4667"/>
    <w:rsid w:val="00ED5EC2"/>
    <w:rsid w:val="00ED7745"/>
    <w:rsid w:val="00EE0996"/>
    <w:rsid w:val="00EE261D"/>
    <w:rsid w:val="00EE3240"/>
    <w:rsid w:val="00EF3272"/>
    <w:rsid w:val="00EF4B82"/>
    <w:rsid w:val="00EF6563"/>
    <w:rsid w:val="00F02C49"/>
    <w:rsid w:val="00F0469C"/>
    <w:rsid w:val="00F04B9B"/>
    <w:rsid w:val="00F04D48"/>
    <w:rsid w:val="00F053E9"/>
    <w:rsid w:val="00F05FE3"/>
    <w:rsid w:val="00F129DF"/>
    <w:rsid w:val="00F1379B"/>
    <w:rsid w:val="00F144B5"/>
    <w:rsid w:val="00F16D3B"/>
    <w:rsid w:val="00F20E71"/>
    <w:rsid w:val="00F212DF"/>
    <w:rsid w:val="00F23BC5"/>
    <w:rsid w:val="00F25963"/>
    <w:rsid w:val="00F2612D"/>
    <w:rsid w:val="00F279C0"/>
    <w:rsid w:val="00F31129"/>
    <w:rsid w:val="00F32710"/>
    <w:rsid w:val="00F33C2B"/>
    <w:rsid w:val="00F3498A"/>
    <w:rsid w:val="00F40B25"/>
    <w:rsid w:val="00F41273"/>
    <w:rsid w:val="00F426F6"/>
    <w:rsid w:val="00F4281B"/>
    <w:rsid w:val="00F42F23"/>
    <w:rsid w:val="00F43FAD"/>
    <w:rsid w:val="00F445A1"/>
    <w:rsid w:val="00F4551F"/>
    <w:rsid w:val="00F45BE4"/>
    <w:rsid w:val="00F46B49"/>
    <w:rsid w:val="00F5478B"/>
    <w:rsid w:val="00F56F01"/>
    <w:rsid w:val="00F638DD"/>
    <w:rsid w:val="00F6507E"/>
    <w:rsid w:val="00F708FE"/>
    <w:rsid w:val="00F7110F"/>
    <w:rsid w:val="00F75BD2"/>
    <w:rsid w:val="00F760BA"/>
    <w:rsid w:val="00F76963"/>
    <w:rsid w:val="00F7725B"/>
    <w:rsid w:val="00F773DC"/>
    <w:rsid w:val="00F77530"/>
    <w:rsid w:val="00F83857"/>
    <w:rsid w:val="00F870F8"/>
    <w:rsid w:val="00F87392"/>
    <w:rsid w:val="00F876B4"/>
    <w:rsid w:val="00F91288"/>
    <w:rsid w:val="00F91AD6"/>
    <w:rsid w:val="00F91B12"/>
    <w:rsid w:val="00F94145"/>
    <w:rsid w:val="00F971FE"/>
    <w:rsid w:val="00FA14A3"/>
    <w:rsid w:val="00FA20E7"/>
    <w:rsid w:val="00FA315A"/>
    <w:rsid w:val="00FA6849"/>
    <w:rsid w:val="00FB2AE1"/>
    <w:rsid w:val="00FB30D1"/>
    <w:rsid w:val="00FB7FAE"/>
    <w:rsid w:val="00FC0889"/>
    <w:rsid w:val="00FC2C77"/>
    <w:rsid w:val="00FC3A87"/>
    <w:rsid w:val="00FC4B3C"/>
    <w:rsid w:val="00FD0B1F"/>
    <w:rsid w:val="00FD2733"/>
    <w:rsid w:val="00FD2B9F"/>
    <w:rsid w:val="00FD70BB"/>
    <w:rsid w:val="00FE21FD"/>
    <w:rsid w:val="00FE26BF"/>
    <w:rsid w:val="00FE2CA0"/>
    <w:rsid w:val="00FE30EB"/>
    <w:rsid w:val="00FE346F"/>
    <w:rsid w:val="00FE4500"/>
    <w:rsid w:val="00FF32F7"/>
    <w:rsid w:val="00FF70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9464A98C-2F68-4682-B28A-6249500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444656"/>
    <w:rPr>
      <w:color w:val="605E5C"/>
      <w:shd w:val="clear" w:color="auto" w:fill="E1DFDD"/>
    </w:rPr>
  </w:style>
  <w:style w:type="character" w:customStyle="1" w:styleId="cf01">
    <w:name w:val="cf01"/>
    <w:basedOn w:val="DefaultParagraphFont"/>
    <w:rsid w:val="00361DBF"/>
    <w:rPr>
      <w:rFonts w:ascii="Segoe UI" w:hAnsi="Segoe UI" w:cs="Segoe UI" w:hint="default"/>
      <w:sz w:val="18"/>
      <w:szCs w:val="18"/>
    </w:rPr>
  </w:style>
  <w:style w:type="paragraph" w:styleId="Revision">
    <w:name w:val="Revision"/>
    <w:hidden/>
    <w:uiPriority w:val="99"/>
    <w:semiHidden/>
    <w:rsid w:val="00435890"/>
    <w:pPr>
      <w:spacing w:after="0" w:line="240" w:lineRule="auto"/>
    </w:pPr>
  </w:style>
  <w:style w:type="character" w:styleId="FollowedHyperlink">
    <w:name w:val="FollowedHyperlink"/>
    <w:basedOn w:val="DefaultParagraphFont"/>
    <w:uiPriority w:val="99"/>
    <w:semiHidden/>
    <w:unhideWhenUsed/>
    <w:rsid w:val="002A4C0B"/>
    <w:rPr>
      <w:color w:val="954F72" w:themeColor="followedHyperlink"/>
      <w:u w:val="single"/>
    </w:rPr>
  </w:style>
  <w:style w:type="paragraph" w:customStyle="1" w:styleId="Default">
    <w:name w:val="Default"/>
    <w:rsid w:val="00C209C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1930E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4/02/29/2024-03956/establishing-rules-for-full-power-television-and-class-a-television-stations" TargetMode="Externa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www.fcc.gov/document/fcc-updates-rules-television-and-class-television-stations" TargetMode="External" /><Relationship Id="rId9" Type="http://schemas.openxmlformats.org/officeDocument/2006/relationships/hyperlink" Target="https://www.federalregister.gov/documents/2024/02/01/2023-24626/establishing-rules-for-full-power-television-and-class-a-television-station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