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25156" w:rsidP="004E76AD" w14:paraId="0D64D39C" w14:textId="77777777">
      <w:pPr>
        <w:pStyle w:val="PN-DANumber"/>
        <w:rPr>
          <w:snapToGrid w:val="0"/>
          <w:sz w:val="22"/>
          <w:szCs w:val="22"/>
        </w:rPr>
      </w:pPr>
    </w:p>
    <w:p w:rsidR="000F3DAF" w:rsidRPr="00360312" w:rsidP="004E76AD" w14:paraId="6E0E7042" w14:textId="4072F5A7">
      <w:pPr>
        <w:pStyle w:val="PN-DANumber"/>
        <w:rPr>
          <w:snapToGrid w:val="0"/>
          <w:sz w:val="22"/>
          <w:szCs w:val="22"/>
        </w:rPr>
      </w:pPr>
      <w:r w:rsidRPr="00360312">
        <w:rPr>
          <w:snapToGrid w:val="0"/>
          <w:sz w:val="22"/>
          <w:szCs w:val="22"/>
        </w:rPr>
        <w:t>DA 24-</w:t>
      </w:r>
      <w:r w:rsidR="00C34557">
        <w:rPr>
          <w:snapToGrid w:val="0"/>
          <w:sz w:val="22"/>
          <w:szCs w:val="22"/>
        </w:rPr>
        <w:t>412</w:t>
      </w:r>
    </w:p>
    <w:p w:rsidR="000F3DAF" w:rsidRPr="00360312" w:rsidP="000F3DAF" w14:paraId="3AF5789B" w14:textId="162EC200">
      <w:pPr>
        <w:pStyle w:val="PNDA-Release"/>
        <w:rPr>
          <w:snapToGrid w:val="0"/>
          <w:sz w:val="22"/>
          <w:szCs w:val="22"/>
        </w:rPr>
      </w:pPr>
      <w:r w:rsidRPr="00360312">
        <w:rPr>
          <w:snapToGrid w:val="0"/>
          <w:sz w:val="22"/>
          <w:szCs w:val="22"/>
        </w:rPr>
        <w:t xml:space="preserve">Released:  </w:t>
      </w:r>
      <w:r w:rsidR="00A42029">
        <w:rPr>
          <w:snapToGrid w:val="0"/>
          <w:sz w:val="22"/>
          <w:szCs w:val="22"/>
        </w:rPr>
        <w:t>May 2,</w:t>
      </w:r>
      <w:r w:rsidRPr="00360312" w:rsidR="00405A39">
        <w:rPr>
          <w:snapToGrid w:val="0"/>
          <w:sz w:val="22"/>
          <w:szCs w:val="22"/>
        </w:rPr>
        <w:t xml:space="preserve"> 2024</w:t>
      </w:r>
    </w:p>
    <w:p w:rsidR="000F3DAF" w:rsidRPr="00360312" w:rsidP="00B9311D" w14:paraId="5E288319" w14:textId="29900C7E">
      <w:pPr>
        <w:pStyle w:val="PN-Title"/>
        <w:spacing w:before="480"/>
        <w:rPr>
          <w:snapToGrid w:val="0"/>
          <w:sz w:val="22"/>
        </w:rPr>
      </w:pPr>
      <w:r w:rsidRPr="00360312">
        <w:rPr>
          <w:snapToGrid w:val="0"/>
          <w:sz w:val="22"/>
        </w:rPr>
        <w:t>SPACE BUREAU SEEKS TO REFRESH THE RECORD ON PROPOSED RULE</w:t>
      </w:r>
      <w:r w:rsidR="00360312">
        <w:rPr>
          <w:snapToGrid w:val="0"/>
          <w:sz w:val="22"/>
        </w:rPr>
        <w:t xml:space="preserve">S </w:t>
      </w:r>
      <w:r w:rsidRPr="00360312">
        <w:rPr>
          <w:snapToGrid w:val="0"/>
          <w:sz w:val="22"/>
        </w:rPr>
        <w:t>PERTAINING TO ORBITAL DEBRIS MITIGATION</w:t>
      </w:r>
    </w:p>
    <w:p w:rsidR="002D2820" w:rsidRPr="00360312" w:rsidP="00DF236A" w14:paraId="6A6C08F0" w14:textId="0E6E7CA2">
      <w:pPr>
        <w:pStyle w:val="PN-Subtitle"/>
        <w:rPr>
          <w:snapToGrid w:val="0"/>
          <w:sz w:val="22"/>
        </w:rPr>
      </w:pPr>
      <w:r w:rsidRPr="00360312">
        <w:rPr>
          <w:snapToGrid w:val="0"/>
          <w:sz w:val="22"/>
        </w:rPr>
        <w:t>IB Docket Nos. 18-313 and 22-271</w:t>
      </w:r>
    </w:p>
    <w:p w:rsidR="00405A39" w:rsidRPr="00360312" w:rsidP="00405A39" w14:paraId="4E2D66AD" w14:textId="3C164532">
      <w:pPr>
        <w:pStyle w:val="PN-Subtitle"/>
        <w:jc w:val="left"/>
        <w:rPr>
          <w:snapToGrid w:val="0"/>
          <w:sz w:val="22"/>
        </w:rPr>
      </w:pPr>
      <w:r w:rsidRPr="00360312">
        <w:rPr>
          <w:snapToGrid w:val="0"/>
          <w:sz w:val="22"/>
        </w:rPr>
        <w:t xml:space="preserve">Comments Due: </w:t>
      </w:r>
      <w:r w:rsidR="002D602E">
        <w:rPr>
          <w:snapToGrid w:val="0"/>
          <w:sz w:val="22"/>
        </w:rPr>
        <w:t>[</w:t>
      </w:r>
      <w:r w:rsidR="00A42029">
        <w:rPr>
          <w:snapToGrid w:val="0"/>
          <w:sz w:val="22"/>
        </w:rPr>
        <w:t>30 days after publication in the Federal Register]</w:t>
      </w:r>
      <w:r w:rsidRPr="00360312">
        <w:rPr>
          <w:snapToGrid w:val="0"/>
          <w:sz w:val="22"/>
        </w:rPr>
        <w:br/>
        <w:t>Reply Comments Due:</w:t>
      </w:r>
      <w:r w:rsidR="002D602E">
        <w:rPr>
          <w:snapToGrid w:val="0"/>
          <w:sz w:val="22"/>
        </w:rPr>
        <w:t xml:space="preserve"> [</w:t>
      </w:r>
      <w:r w:rsidR="00A42029">
        <w:rPr>
          <w:snapToGrid w:val="0"/>
          <w:sz w:val="22"/>
        </w:rPr>
        <w:t>4</w:t>
      </w:r>
      <w:r w:rsidR="00CF30DD">
        <w:rPr>
          <w:snapToGrid w:val="0"/>
          <w:sz w:val="22"/>
        </w:rPr>
        <w:t>5</w:t>
      </w:r>
      <w:r w:rsidR="00A42029">
        <w:rPr>
          <w:snapToGrid w:val="0"/>
          <w:sz w:val="22"/>
        </w:rPr>
        <w:t xml:space="preserve"> days after publication in the Federal Register]</w:t>
      </w:r>
    </w:p>
    <w:p w:rsidR="00CC013D" w:rsidRPr="00360312" w:rsidP="002D602E" w14:paraId="4FAFDE44" w14:textId="4EAA1E3A">
      <w:pPr>
        <w:autoSpaceDE w:val="0"/>
        <w:autoSpaceDN w:val="0"/>
        <w:adjustRightInd w:val="0"/>
        <w:ind w:firstLine="720"/>
        <w:rPr>
          <w:sz w:val="22"/>
        </w:rPr>
      </w:pPr>
      <w:r w:rsidRPr="00360312">
        <w:rPr>
          <w:sz w:val="22"/>
        </w:rPr>
        <w:t>With this Public Notice, the Space Bureau seeks to refresh the record on rule</w:t>
      </w:r>
      <w:r w:rsidR="002D602E">
        <w:rPr>
          <w:sz w:val="22"/>
        </w:rPr>
        <w:t xml:space="preserve"> changes</w:t>
      </w:r>
      <w:r w:rsidRPr="00360312">
        <w:rPr>
          <w:sz w:val="22"/>
        </w:rPr>
        <w:t xml:space="preserve"> pertaining to orbital debris mitigation</w:t>
      </w:r>
      <w:r w:rsidR="0081453C">
        <w:rPr>
          <w:sz w:val="22"/>
        </w:rPr>
        <w:t xml:space="preserve"> previously proposed by the Commission</w:t>
      </w:r>
      <w:r w:rsidR="00600A38">
        <w:rPr>
          <w:sz w:val="22"/>
        </w:rPr>
        <w:t>.</w:t>
      </w:r>
      <w:r w:rsidR="002D602E">
        <w:rPr>
          <w:sz w:val="22"/>
        </w:rPr>
        <w:t xml:space="preserve"> </w:t>
      </w:r>
      <w:r w:rsidR="00600A38">
        <w:rPr>
          <w:sz w:val="22"/>
        </w:rPr>
        <w:t xml:space="preserve"> The Commission </w:t>
      </w:r>
      <w:r w:rsidR="00DD1F5F">
        <w:rPr>
          <w:sz w:val="22"/>
        </w:rPr>
        <w:t xml:space="preserve">continues to </w:t>
      </w:r>
      <w:r w:rsidR="00600A38">
        <w:rPr>
          <w:sz w:val="22"/>
        </w:rPr>
        <w:t xml:space="preserve">seek </w:t>
      </w:r>
      <w:r w:rsidR="002D602E">
        <w:rPr>
          <w:sz w:val="22"/>
        </w:rPr>
        <w:t xml:space="preserve">to improve and clarify </w:t>
      </w:r>
      <w:r w:rsidR="0048368A">
        <w:rPr>
          <w:sz w:val="22"/>
        </w:rPr>
        <w:t xml:space="preserve">its </w:t>
      </w:r>
      <w:r w:rsidR="002D602E">
        <w:rPr>
          <w:sz w:val="22"/>
        </w:rPr>
        <w:t xml:space="preserve">rules </w:t>
      </w:r>
      <w:r w:rsidR="00D422E8">
        <w:rPr>
          <w:sz w:val="22"/>
        </w:rPr>
        <w:t>taking into account</w:t>
      </w:r>
      <w:r w:rsidR="00767A92">
        <w:rPr>
          <w:sz w:val="22"/>
        </w:rPr>
        <w:t xml:space="preserve"> </w:t>
      </w:r>
      <w:r w:rsidR="002D602E">
        <w:rPr>
          <w:sz w:val="22"/>
        </w:rPr>
        <w:t>the Commission’s experience gained in the satellite licensing process</w:t>
      </w:r>
      <w:r w:rsidR="00C6028D">
        <w:rPr>
          <w:sz w:val="22"/>
        </w:rPr>
        <w:t xml:space="preserve">, </w:t>
      </w:r>
      <w:r w:rsidR="002D602E">
        <w:rPr>
          <w:sz w:val="22"/>
        </w:rPr>
        <w:t>improvements in mitigation guidelines and practices</w:t>
      </w:r>
      <w:r w:rsidR="00C6028D">
        <w:rPr>
          <w:sz w:val="22"/>
        </w:rPr>
        <w:t>,</w:t>
      </w:r>
      <w:r w:rsidR="002D602E">
        <w:rPr>
          <w:sz w:val="22"/>
        </w:rPr>
        <w:t xml:space="preserve"> and in light of various market developments</w:t>
      </w:r>
      <w:r w:rsidRPr="00360312">
        <w:rPr>
          <w:sz w:val="22"/>
        </w:rPr>
        <w:t>.</w:t>
      </w:r>
      <w:r w:rsidR="002D602E">
        <w:rPr>
          <w:sz w:val="22"/>
        </w:rPr>
        <w:t xml:space="preserve">  The Commission sought comment in 2020 on various proposals for amending the Commission’s orbital debris mitigation rules.</w:t>
      </w:r>
      <w:r>
        <w:rPr>
          <w:rStyle w:val="FootnoteReference"/>
        </w:rPr>
        <w:footnoteReference w:id="3"/>
      </w:r>
      <w:r w:rsidR="002D602E">
        <w:rPr>
          <w:sz w:val="22"/>
        </w:rPr>
        <w:t xml:space="preserve">  The comment period closed over three years ago.</w:t>
      </w:r>
      <w:r>
        <w:rPr>
          <w:rStyle w:val="FootnoteReference"/>
        </w:rPr>
        <w:footnoteReference w:id="4"/>
      </w:r>
      <w:r w:rsidR="002D602E">
        <w:rPr>
          <w:sz w:val="22"/>
        </w:rPr>
        <w:t xml:space="preserve">  To ensure that the Commission has the benefit of current information, including any developments relating to these issues since the release of the underlying </w:t>
      </w:r>
      <w:r w:rsidRPr="00C920AC" w:rsidR="008F527A">
        <w:rPr>
          <w:i/>
          <w:iCs/>
          <w:sz w:val="22"/>
        </w:rPr>
        <w:t>Further Notice of Proposed Rulemaking</w:t>
      </w:r>
      <w:r w:rsidR="008F527A">
        <w:rPr>
          <w:sz w:val="22"/>
        </w:rPr>
        <w:t xml:space="preserve"> (</w:t>
      </w:r>
      <w:r w:rsidR="002D602E">
        <w:rPr>
          <w:i/>
          <w:iCs/>
          <w:sz w:val="22"/>
        </w:rPr>
        <w:t>FNPRM</w:t>
      </w:r>
      <w:r w:rsidRPr="00D43737" w:rsidR="003F3205">
        <w:rPr>
          <w:sz w:val="22"/>
        </w:rPr>
        <w:t>)</w:t>
      </w:r>
      <w:r w:rsidR="002D602E">
        <w:rPr>
          <w:sz w:val="22"/>
        </w:rPr>
        <w:t>, we invite interested parties to update the record as discussed below.</w:t>
      </w:r>
    </w:p>
    <w:p w:rsidR="007B1170" w:rsidRPr="00360312" w:rsidP="00005B99" w14:paraId="23FEF2D5" w14:textId="2461FB62">
      <w:pPr>
        <w:autoSpaceDE w:val="0"/>
        <w:autoSpaceDN w:val="0"/>
        <w:adjustRightInd w:val="0"/>
        <w:ind w:firstLine="720"/>
        <w:rPr>
          <w:sz w:val="22"/>
        </w:rPr>
      </w:pPr>
      <w:r w:rsidRPr="00360312">
        <w:rPr>
          <w:i/>
          <w:iCs/>
          <w:sz w:val="22"/>
        </w:rPr>
        <w:t>Background.</w:t>
      </w:r>
      <w:r w:rsidRPr="00360312">
        <w:rPr>
          <w:sz w:val="22"/>
        </w:rPr>
        <w:t xml:space="preserve">  </w:t>
      </w:r>
      <w:r w:rsidRPr="00360312" w:rsidR="00005B99">
        <w:rPr>
          <w:sz w:val="22"/>
        </w:rPr>
        <w:t>In 20</w:t>
      </w:r>
      <w:r w:rsidRPr="00360312" w:rsidR="004715A1">
        <w:rPr>
          <w:sz w:val="22"/>
        </w:rPr>
        <w:t>20</w:t>
      </w:r>
      <w:r w:rsidRPr="00360312" w:rsidR="00005B99">
        <w:rPr>
          <w:sz w:val="22"/>
        </w:rPr>
        <w:t xml:space="preserve">, the Commission </w:t>
      </w:r>
      <w:r w:rsidRPr="00360312" w:rsidR="004715A1">
        <w:rPr>
          <w:sz w:val="22"/>
        </w:rPr>
        <w:t xml:space="preserve">adopted a </w:t>
      </w:r>
      <w:r w:rsidRPr="00360312" w:rsidR="004715A1">
        <w:rPr>
          <w:i/>
          <w:iCs/>
          <w:sz w:val="22"/>
        </w:rPr>
        <w:t>Report and Order</w:t>
      </w:r>
      <w:r w:rsidR="00F07838">
        <w:rPr>
          <w:i/>
          <w:iCs/>
          <w:sz w:val="22"/>
        </w:rPr>
        <w:t xml:space="preserve"> </w:t>
      </w:r>
      <w:r w:rsidRPr="00360312" w:rsidR="004715A1">
        <w:rPr>
          <w:sz w:val="22"/>
        </w:rPr>
        <w:t>comprehensively updating its</w:t>
      </w:r>
      <w:r w:rsidRPr="00360312" w:rsidR="00005B99">
        <w:rPr>
          <w:sz w:val="22"/>
        </w:rPr>
        <w:t xml:space="preserve"> rules on orbital debris mitigation</w:t>
      </w:r>
      <w:r w:rsidRPr="00360312" w:rsidR="00CC013D">
        <w:rPr>
          <w:sz w:val="22"/>
        </w:rPr>
        <w:t xml:space="preserve">.  </w:t>
      </w:r>
      <w:r w:rsidRPr="00360312" w:rsidR="004715A1">
        <w:rPr>
          <w:sz w:val="22"/>
        </w:rPr>
        <w:t>At the same time, the Commission adopted a</w:t>
      </w:r>
      <w:r w:rsidR="00C920AC">
        <w:rPr>
          <w:sz w:val="22"/>
        </w:rPr>
        <w:t xml:space="preserve">n </w:t>
      </w:r>
      <w:r w:rsidR="00C920AC">
        <w:rPr>
          <w:i/>
          <w:iCs/>
          <w:sz w:val="22"/>
        </w:rPr>
        <w:t xml:space="preserve">FNPRM </w:t>
      </w:r>
      <w:r w:rsidRPr="00360312" w:rsidR="004715A1">
        <w:rPr>
          <w:sz w:val="22"/>
        </w:rPr>
        <w:t>which sought comment on additional rule amendments and proposals related to the probability of accidental explosions, collision risk for multi-satellite systems, maneuverability requirements, and casualty risk, among other issues.</w:t>
      </w:r>
      <w:r>
        <w:rPr>
          <w:rStyle w:val="FootnoteReference"/>
        </w:rPr>
        <w:footnoteReference w:id="5"/>
      </w:r>
      <w:r w:rsidRPr="00360312">
        <w:rPr>
          <w:sz w:val="22"/>
        </w:rPr>
        <w:t xml:space="preserve"> </w:t>
      </w:r>
      <w:r w:rsidRPr="00360312" w:rsidR="00360312">
        <w:rPr>
          <w:sz w:val="22"/>
        </w:rPr>
        <w:t xml:space="preserve"> </w:t>
      </w:r>
      <w:r w:rsidR="0023719E">
        <w:rPr>
          <w:sz w:val="22"/>
        </w:rPr>
        <w:t>In the</w:t>
      </w:r>
      <w:r w:rsidRPr="00360312" w:rsidR="00CC013D">
        <w:rPr>
          <w:sz w:val="22"/>
        </w:rPr>
        <w:t xml:space="preserve"> </w:t>
      </w:r>
      <w:r w:rsidRPr="00D43737" w:rsidR="004E60A9">
        <w:rPr>
          <w:i/>
          <w:iCs/>
          <w:sz w:val="22"/>
        </w:rPr>
        <w:t>2020</w:t>
      </w:r>
      <w:r w:rsidR="004E60A9">
        <w:rPr>
          <w:sz w:val="22"/>
        </w:rPr>
        <w:t xml:space="preserve"> </w:t>
      </w:r>
      <w:r w:rsidRPr="00360312" w:rsidR="00CC013D">
        <w:rPr>
          <w:i/>
          <w:iCs/>
          <w:sz w:val="22"/>
        </w:rPr>
        <w:t>Order</w:t>
      </w:r>
      <w:r w:rsidR="0023719E">
        <w:rPr>
          <w:sz w:val="22"/>
        </w:rPr>
        <w:t>, the Commission</w:t>
      </w:r>
      <w:r w:rsidRPr="00360312" w:rsidR="00CC013D">
        <w:rPr>
          <w:i/>
          <w:iCs/>
          <w:sz w:val="22"/>
        </w:rPr>
        <w:t xml:space="preserve"> </w:t>
      </w:r>
      <w:r w:rsidRPr="00360312" w:rsidR="00CC013D">
        <w:rPr>
          <w:sz w:val="22"/>
        </w:rPr>
        <w:t xml:space="preserve">discussed the pace </w:t>
      </w:r>
      <w:r w:rsidRPr="00360312" w:rsidR="00360312">
        <w:rPr>
          <w:sz w:val="22"/>
        </w:rPr>
        <w:t>at</w:t>
      </w:r>
      <w:r w:rsidRPr="00360312" w:rsidR="00CC013D">
        <w:rPr>
          <w:sz w:val="22"/>
        </w:rPr>
        <w:t xml:space="preserve"> which the industry </w:t>
      </w:r>
      <w:r w:rsidRPr="00360312" w:rsidR="00360312">
        <w:rPr>
          <w:sz w:val="22"/>
        </w:rPr>
        <w:t>is growing, noting that it expected that the regulation of orbital debris would be an iterative process as new research becomes available and new policies are developed based on experience and the evolving commercial space landscape.</w:t>
      </w:r>
      <w:r>
        <w:rPr>
          <w:rStyle w:val="FootnoteReference"/>
          <w:sz w:val="22"/>
        </w:rPr>
        <w:footnoteReference w:id="6"/>
      </w:r>
    </w:p>
    <w:p w:rsidR="00E66691" w:rsidP="451560E4" w14:paraId="13847333" w14:textId="2607E2FE">
      <w:pPr>
        <w:autoSpaceDE w:val="0"/>
        <w:autoSpaceDN w:val="0"/>
        <w:adjustRightInd w:val="0"/>
        <w:ind w:firstLine="720"/>
        <w:rPr>
          <w:sz w:val="22"/>
        </w:rPr>
      </w:pPr>
      <w:r w:rsidRPr="451560E4">
        <w:rPr>
          <w:sz w:val="22"/>
        </w:rPr>
        <w:t xml:space="preserve">Since the Commission last sought comment on its orbital debris mitigation rules, </w:t>
      </w:r>
      <w:r w:rsidR="00D452E7">
        <w:rPr>
          <w:sz w:val="22"/>
        </w:rPr>
        <w:t xml:space="preserve">NASA and other </w:t>
      </w:r>
      <w:r w:rsidR="00BE0448">
        <w:rPr>
          <w:sz w:val="22"/>
        </w:rPr>
        <w:t xml:space="preserve">standards-setting bodies </w:t>
      </w:r>
      <w:r w:rsidR="00D452E7">
        <w:rPr>
          <w:sz w:val="22"/>
        </w:rPr>
        <w:t>have made</w:t>
      </w:r>
      <w:r w:rsidRPr="451560E4" w:rsidR="00D452E7">
        <w:rPr>
          <w:sz w:val="22"/>
        </w:rPr>
        <w:t xml:space="preserve"> </w:t>
      </w:r>
      <w:r w:rsidRPr="451560E4" w:rsidR="00AC4C13">
        <w:rPr>
          <w:sz w:val="22"/>
        </w:rPr>
        <w:t xml:space="preserve">a number of technical and policy updates to </w:t>
      </w:r>
      <w:r w:rsidR="002035EF">
        <w:rPr>
          <w:sz w:val="22"/>
        </w:rPr>
        <w:t xml:space="preserve">their </w:t>
      </w:r>
      <w:r w:rsidRPr="451560E4" w:rsidR="00AC4C13">
        <w:rPr>
          <w:sz w:val="22"/>
        </w:rPr>
        <w:t>orbital debris mitigation standards and guidance documents</w:t>
      </w:r>
      <w:r w:rsidRPr="451560E4" w:rsidR="009B513A">
        <w:rPr>
          <w:sz w:val="22"/>
        </w:rPr>
        <w:t>,</w:t>
      </w:r>
      <w:r>
        <w:rPr>
          <w:rStyle w:val="FootnoteReference"/>
        </w:rPr>
        <w:footnoteReference w:id="7"/>
      </w:r>
      <w:r w:rsidRPr="451560E4" w:rsidR="000D52B6">
        <w:rPr>
          <w:sz w:val="22"/>
        </w:rPr>
        <w:t xml:space="preserve"> and industry has gained substantial experience in this area, potentially leading to the development or refinement of new industry standards and practices</w:t>
      </w:r>
      <w:r w:rsidR="004F0AC6">
        <w:rPr>
          <w:sz w:val="22"/>
        </w:rPr>
        <w:t xml:space="preserve"> in the future</w:t>
      </w:r>
      <w:r w:rsidRPr="451560E4" w:rsidR="000D52B6">
        <w:rPr>
          <w:sz w:val="22"/>
        </w:rPr>
        <w:t>.</w:t>
      </w:r>
      <w:r w:rsidRPr="451560E4" w:rsidR="00234374">
        <w:rPr>
          <w:sz w:val="22"/>
        </w:rPr>
        <w:t xml:space="preserve">  </w:t>
      </w:r>
      <w:r w:rsidRPr="1AAC0EDB" w:rsidR="00CA7100">
        <w:rPr>
          <w:sz w:val="22"/>
        </w:rPr>
        <w:t>In addition</w:t>
      </w:r>
      <w:r w:rsidRPr="1AAC0EDB" w:rsidR="008C6D89">
        <w:rPr>
          <w:sz w:val="22"/>
        </w:rPr>
        <w:t xml:space="preserve">, </w:t>
      </w:r>
      <w:r w:rsidRPr="1AAC0EDB" w:rsidR="002044E4">
        <w:rPr>
          <w:sz w:val="22"/>
        </w:rPr>
        <w:t>in order to maintain U</w:t>
      </w:r>
      <w:r w:rsidRPr="1AAC0EDB" w:rsidR="559F2A3E">
        <w:rPr>
          <w:sz w:val="22"/>
        </w:rPr>
        <w:t>.</w:t>
      </w:r>
      <w:r w:rsidRPr="1AAC0EDB" w:rsidR="002044E4">
        <w:rPr>
          <w:sz w:val="22"/>
        </w:rPr>
        <w:t>S</w:t>
      </w:r>
      <w:r w:rsidRPr="1AAC0EDB" w:rsidR="27FCE859">
        <w:rPr>
          <w:sz w:val="22"/>
        </w:rPr>
        <w:t>.</w:t>
      </w:r>
      <w:r w:rsidRPr="1AAC0EDB" w:rsidR="002044E4">
        <w:rPr>
          <w:sz w:val="22"/>
        </w:rPr>
        <w:t xml:space="preserve"> leadership in the space economy, </w:t>
      </w:r>
      <w:r w:rsidRPr="1AAC0EDB" w:rsidR="008C6D89">
        <w:rPr>
          <w:sz w:val="22"/>
        </w:rPr>
        <w:t xml:space="preserve">the Commission has </w:t>
      </w:r>
      <w:r w:rsidRPr="1AAC0EDB" w:rsidR="00D21EFA">
        <w:rPr>
          <w:sz w:val="22"/>
        </w:rPr>
        <w:t>opened a new docket for Space</w:t>
      </w:r>
      <w:r w:rsidRPr="1AAC0EDB" w:rsidR="006F7BD1">
        <w:rPr>
          <w:sz w:val="22"/>
        </w:rPr>
        <w:t xml:space="preserve"> </w:t>
      </w:r>
      <w:r w:rsidRPr="1AAC0EDB" w:rsidR="00D21EFA">
        <w:rPr>
          <w:sz w:val="22"/>
        </w:rPr>
        <w:t>Innovation</w:t>
      </w:r>
      <w:r w:rsidRPr="1AAC0EDB" w:rsidR="006F7BD1">
        <w:rPr>
          <w:sz w:val="22"/>
        </w:rPr>
        <w:t xml:space="preserve">, IB Docket 22-271, </w:t>
      </w:r>
      <w:r w:rsidRPr="1AAC0EDB" w:rsidR="00FC0B8E">
        <w:rPr>
          <w:sz w:val="22"/>
        </w:rPr>
        <w:t xml:space="preserve">recognizing </w:t>
      </w:r>
      <w:r w:rsidRPr="1AAC0EDB" w:rsidR="005E6759">
        <w:rPr>
          <w:sz w:val="22"/>
        </w:rPr>
        <w:t xml:space="preserve">that the </w:t>
      </w:r>
      <w:r w:rsidRPr="1AAC0EDB" w:rsidR="00D21EFA">
        <w:rPr>
          <w:sz w:val="22"/>
        </w:rPr>
        <w:t>new space age needs new rule</w:t>
      </w:r>
      <w:r w:rsidRPr="1AAC0EDB" w:rsidR="000C50E3">
        <w:rPr>
          <w:sz w:val="22"/>
        </w:rPr>
        <w:t>s</w:t>
      </w:r>
      <w:r w:rsidRPr="1AAC0EDB" w:rsidR="00FE3C75">
        <w:rPr>
          <w:sz w:val="22"/>
        </w:rPr>
        <w:t>, including for orbital debris mitigation,</w:t>
      </w:r>
      <w:r w:rsidRPr="1AAC0EDB" w:rsidR="00EF2A6D">
        <w:rPr>
          <w:sz w:val="22"/>
        </w:rPr>
        <w:t xml:space="preserve"> that reflect the</w:t>
      </w:r>
      <w:r w:rsidRPr="1AAC0EDB" w:rsidR="00D73B74">
        <w:rPr>
          <w:sz w:val="22"/>
        </w:rPr>
        <w:t xml:space="preserve"> </w:t>
      </w:r>
      <w:r w:rsidRPr="1AAC0EDB" w:rsidR="00F84B69">
        <w:rPr>
          <w:sz w:val="22"/>
        </w:rPr>
        <w:t xml:space="preserve">expanding proliferation of satellites </w:t>
      </w:r>
      <w:r w:rsidRPr="1AAC0EDB" w:rsidR="00D73B74">
        <w:rPr>
          <w:sz w:val="22"/>
        </w:rPr>
        <w:t>and innovations in th</w:t>
      </w:r>
      <w:r w:rsidRPr="1AAC0EDB" w:rsidR="00F84B69">
        <w:rPr>
          <w:sz w:val="22"/>
        </w:rPr>
        <w:t>e space</w:t>
      </w:r>
      <w:r w:rsidRPr="1AAC0EDB" w:rsidR="00D73B74">
        <w:rPr>
          <w:sz w:val="22"/>
        </w:rPr>
        <w:t xml:space="preserve"> industry</w:t>
      </w:r>
      <w:r w:rsidRPr="1AAC0EDB" w:rsidR="00D21EFA">
        <w:rPr>
          <w:sz w:val="22"/>
        </w:rPr>
        <w:t>.</w:t>
      </w:r>
      <w:r>
        <w:rPr>
          <w:rStyle w:val="FootnoteReference"/>
        </w:rPr>
        <w:footnoteReference w:id="8"/>
      </w:r>
      <w:r w:rsidRPr="1AAC0EDB" w:rsidR="00D21EFA">
        <w:rPr>
          <w:sz w:val="22"/>
        </w:rPr>
        <w:t xml:space="preserve"> </w:t>
      </w:r>
      <w:r w:rsidRPr="1AAC0EDB" w:rsidR="006E6A45">
        <w:rPr>
          <w:sz w:val="22"/>
        </w:rPr>
        <w:t xml:space="preserve"> Finally, t</w:t>
      </w:r>
      <w:r w:rsidRPr="1AAC0EDB" w:rsidR="00234374">
        <w:rPr>
          <w:sz w:val="22"/>
        </w:rPr>
        <w:t>he</w:t>
      </w:r>
      <w:r w:rsidRPr="451560E4" w:rsidR="00234374">
        <w:rPr>
          <w:sz w:val="22"/>
        </w:rPr>
        <w:t xml:space="preserve"> </w:t>
      </w:r>
      <w:r w:rsidRPr="451560E4">
        <w:rPr>
          <w:sz w:val="22"/>
        </w:rPr>
        <w:t xml:space="preserve">Space Bureau’s </w:t>
      </w:r>
      <w:r w:rsidRPr="451560E4" w:rsidR="0027431D">
        <w:rPr>
          <w:sz w:val="22"/>
        </w:rPr>
        <w:t xml:space="preserve">own </w:t>
      </w:r>
      <w:r w:rsidRPr="451560E4">
        <w:rPr>
          <w:sz w:val="22"/>
        </w:rPr>
        <w:t>experience in</w:t>
      </w:r>
      <w:r w:rsidRPr="451560E4" w:rsidR="003D1F1D">
        <w:rPr>
          <w:sz w:val="22"/>
        </w:rPr>
        <w:t xml:space="preserve"> satellite</w:t>
      </w:r>
      <w:r w:rsidRPr="451560E4">
        <w:rPr>
          <w:sz w:val="22"/>
        </w:rPr>
        <w:t xml:space="preserve"> licensing</w:t>
      </w:r>
      <w:r w:rsidRPr="451560E4" w:rsidR="003D1F1D">
        <w:rPr>
          <w:sz w:val="22"/>
        </w:rPr>
        <w:t xml:space="preserve"> </w:t>
      </w:r>
      <w:r w:rsidRPr="451560E4" w:rsidR="0027431D">
        <w:rPr>
          <w:sz w:val="22"/>
        </w:rPr>
        <w:t xml:space="preserve">and </w:t>
      </w:r>
      <w:r w:rsidRPr="451560E4" w:rsidR="009B513A">
        <w:rPr>
          <w:sz w:val="22"/>
        </w:rPr>
        <w:t>addressing associated orbital debris concerns</w:t>
      </w:r>
      <w:r w:rsidRPr="451560E4">
        <w:rPr>
          <w:sz w:val="22"/>
        </w:rPr>
        <w:t xml:space="preserve"> ha</w:t>
      </w:r>
      <w:r w:rsidRPr="451560E4" w:rsidR="63DC56B6">
        <w:rPr>
          <w:sz w:val="22"/>
        </w:rPr>
        <w:t>s also advanced and parties have provided additional views in spec</w:t>
      </w:r>
      <w:r w:rsidR="00605CA3">
        <w:rPr>
          <w:sz w:val="22"/>
        </w:rPr>
        <w:t>i</w:t>
      </w:r>
      <w:r w:rsidRPr="451560E4" w:rsidR="63DC56B6">
        <w:rPr>
          <w:sz w:val="22"/>
        </w:rPr>
        <w:t>fi</w:t>
      </w:r>
      <w:r w:rsidRPr="451560E4" w:rsidR="3B727015">
        <w:rPr>
          <w:sz w:val="22"/>
        </w:rPr>
        <w:t>c licensing proceedings on approaches to debris mitigation, particularly for large constellations</w:t>
      </w:r>
      <w:r w:rsidRPr="451560E4" w:rsidR="63DC56B6">
        <w:rPr>
          <w:sz w:val="22"/>
        </w:rPr>
        <w:t>.</w:t>
      </w:r>
      <w:r>
        <w:rPr>
          <w:rStyle w:val="FootnoteReference"/>
        </w:rPr>
        <w:footnoteReference w:id="9"/>
      </w:r>
      <w:r w:rsidR="00436B69">
        <w:rPr>
          <w:sz w:val="22"/>
        </w:rPr>
        <w:t xml:space="preserve"> </w:t>
      </w:r>
    </w:p>
    <w:p w:rsidR="00605CA3" w:rsidRPr="00444114" w:rsidP="00605CA3" w14:paraId="63C7E726" w14:textId="361BEC86">
      <w:pPr>
        <w:autoSpaceDE w:val="0"/>
        <w:autoSpaceDN w:val="0"/>
        <w:adjustRightInd w:val="0"/>
        <w:ind w:firstLine="720"/>
        <w:rPr>
          <w:sz w:val="22"/>
        </w:rPr>
      </w:pPr>
      <w:r w:rsidRPr="00360312">
        <w:rPr>
          <w:sz w:val="22"/>
        </w:rPr>
        <w:t xml:space="preserve">Based on these considerations, the Space Bureau </w:t>
      </w:r>
      <w:r w:rsidR="00825F14">
        <w:rPr>
          <w:sz w:val="22"/>
        </w:rPr>
        <w:t>is providing an opportunity for additional comments in order to ensure an up</w:t>
      </w:r>
      <w:r w:rsidR="009F3838">
        <w:rPr>
          <w:sz w:val="22"/>
        </w:rPr>
        <w:t>-</w:t>
      </w:r>
      <w:r w:rsidR="00825F14">
        <w:rPr>
          <w:sz w:val="22"/>
        </w:rPr>
        <w:t>to</w:t>
      </w:r>
      <w:r w:rsidR="009F3838">
        <w:rPr>
          <w:sz w:val="22"/>
        </w:rPr>
        <w:t>-</w:t>
      </w:r>
      <w:r w:rsidR="00825F14">
        <w:rPr>
          <w:sz w:val="22"/>
        </w:rPr>
        <w:t>date record.</w:t>
      </w:r>
      <w:r w:rsidRPr="00360312" w:rsidR="00825F14">
        <w:rPr>
          <w:sz w:val="22"/>
        </w:rPr>
        <w:t xml:space="preserve"> </w:t>
      </w:r>
    </w:p>
    <w:p w:rsidR="00D47945" w:rsidRPr="00444114" w:rsidP="00372B46" w14:paraId="7A16D078" w14:textId="27BEE42B">
      <w:pPr>
        <w:autoSpaceDE w:val="0"/>
        <w:autoSpaceDN w:val="0"/>
        <w:adjustRightInd w:val="0"/>
        <w:ind w:firstLine="720"/>
        <w:rPr>
          <w:sz w:val="22"/>
        </w:rPr>
      </w:pPr>
      <w:r w:rsidRPr="00444114">
        <w:rPr>
          <w:i/>
          <w:sz w:val="22"/>
        </w:rPr>
        <w:t xml:space="preserve">Request for Additional Comment. </w:t>
      </w:r>
      <w:r w:rsidRPr="00444114">
        <w:rPr>
          <w:sz w:val="22"/>
        </w:rPr>
        <w:t xml:space="preserve"> </w:t>
      </w:r>
      <w:r w:rsidRPr="00444114" w:rsidR="00360312">
        <w:rPr>
          <w:sz w:val="22"/>
        </w:rPr>
        <w:t>Accordingly, the Space Bureau invites stakeholders to update the record after reviewing the specific proposals, underlying analysis, and question</w:t>
      </w:r>
      <w:r w:rsidRPr="00444114">
        <w:rPr>
          <w:sz w:val="22"/>
        </w:rPr>
        <w:t>s</w:t>
      </w:r>
      <w:r w:rsidRPr="00444114" w:rsidR="00360312">
        <w:rPr>
          <w:sz w:val="22"/>
        </w:rPr>
        <w:t xml:space="preserve"> contained in the </w:t>
      </w:r>
      <w:r w:rsidRPr="00444114" w:rsidR="00360312">
        <w:rPr>
          <w:i/>
          <w:sz w:val="22"/>
        </w:rPr>
        <w:t>FNPRM</w:t>
      </w:r>
      <w:r w:rsidRPr="00444114" w:rsidR="00360312">
        <w:rPr>
          <w:sz w:val="22"/>
        </w:rPr>
        <w:t>, as well as the existing record in this proceeding.</w:t>
      </w:r>
      <w:r w:rsidRPr="00444114" w:rsidR="002B7FDE">
        <w:rPr>
          <w:sz w:val="22"/>
        </w:rPr>
        <w:t xml:space="preserve">  </w:t>
      </w:r>
      <w:r w:rsidRPr="00444114" w:rsidR="00262D31">
        <w:rPr>
          <w:sz w:val="22"/>
        </w:rPr>
        <w:t>In particular, t</w:t>
      </w:r>
      <w:r w:rsidRPr="00444114" w:rsidR="00360312">
        <w:rPr>
          <w:sz w:val="22"/>
        </w:rPr>
        <w:t xml:space="preserve">he </w:t>
      </w:r>
      <w:r w:rsidRPr="00444114" w:rsidR="00360312">
        <w:rPr>
          <w:i/>
          <w:sz w:val="22"/>
        </w:rPr>
        <w:t>FNPRM</w:t>
      </w:r>
      <w:r w:rsidRPr="00444114" w:rsidR="00360312">
        <w:rPr>
          <w:sz w:val="22"/>
        </w:rPr>
        <w:t xml:space="preserve"> presented a number of questions</w:t>
      </w:r>
      <w:r w:rsidRPr="00444114">
        <w:rPr>
          <w:sz w:val="22"/>
        </w:rPr>
        <w:t xml:space="preserve"> and proposals</w:t>
      </w:r>
      <w:r w:rsidRPr="00444114" w:rsidR="00360312">
        <w:rPr>
          <w:sz w:val="22"/>
        </w:rPr>
        <w:t xml:space="preserve"> </w:t>
      </w:r>
      <w:r w:rsidRPr="00444114" w:rsidR="000F5649">
        <w:rPr>
          <w:sz w:val="22"/>
        </w:rPr>
        <w:t xml:space="preserve">regarding </w:t>
      </w:r>
      <w:r w:rsidRPr="00444114" w:rsidR="00360312">
        <w:rPr>
          <w:sz w:val="22"/>
        </w:rPr>
        <w:t xml:space="preserve">the </w:t>
      </w:r>
      <w:r w:rsidR="000F3322">
        <w:rPr>
          <w:sz w:val="22"/>
        </w:rPr>
        <w:t>debris mitigation practices for constellations,</w:t>
      </w:r>
      <w:r w:rsidRPr="00444114">
        <w:rPr>
          <w:sz w:val="22"/>
        </w:rPr>
        <w:t xml:space="preserve"> including</w:t>
      </w:r>
      <w:r w:rsidRPr="00444114" w:rsidR="00131E11">
        <w:rPr>
          <w:sz w:val="22"/>
        </w:rPr>
        <w:t xml:space="preserve"> </w:t>
      </w:r>
      <w:r w:rsidRPr="00444114" w:rsidR="00873C4D">
        <w:rPr>
          <w:sz w:val="22"/>
        </w:rPr>
        <w:t>specific considerations</w:t>
      </w:r>
      <w:r w:rsidRPr="00444114" w:rsidR="00F55610">
        <w:rPr>
          <w:sz w:val="22"/>
        </w:rPr>
        <w:t xml:space="preserve"> related</w:t>
      </w:r>
      <w:r w:rsidRPr="00444114" w:rsidR="00131E11">
        <w:rPr>
          <w:sz w:val="22"/>
        </w:rPr>
        <w:t xml:space="preserve"> to the t</w:t>
      </w:r>
      <w:r w:rsidRPr="00444114">
        <w:rPr>
          <w:sz w:val="22"/>
        </w:rPr>
        <w:t xml:space="preserve">otal </w:t>
      </w:r>
      <w:r w:rsidRPr="00444114" w:rsidR="00131E11">
        <w:rPr>
          <w:sz w:val="22"/>
        </w:rPr>
        <w:t>p</w:t>
      </w:r>
      <w:r w:rsidRPr="00444114">
        <w:rPr>
          <w:sz w:val="22"/>
        </w:rPr>
        <w:t xml:space="preserve">robability of </w:t>
      </w:r>
      <w:r w:rsidRPr="00444114" w:rsidR="00131E11">
        <w:rPr>
          <w:sz w:val="22"/>
        </w:rPr>
        <w:t>c</w:t>
      </w:r>
      <w:r w:rsidRPr="00444114">
        <w:rPr>
          <w:sz w:val="22"/>
        </w:rPr>
        <w:t xml:space="preserve">ollisions with </w:t>
      </w:r>
      <w:r w:rsidRPr="00444114" w:rsidR="00131E11">
        <w:rPr>
          <w:sz w:val="22"/>
        </w:rPr>
        <w:t>l</w:t>
      </w:r>
      <w:r w:rsidRPr="00444114">
        <w:rPr>
          <w:sz w:val="22"/>
        </w:rPr>
        <w:t xml:space="preserve">arge </w:t>
      </w:r>
      <w:r w:rsidRPr="00444114" w:rsidR="00C62F06">
        <w:rPr>
          <w:sz w:val="22"/>
        </w:rPr>
        <w:t>o</w:t>
      </w:r>
      <w:r w:rsidRPr="00444114">
        <w:rPr>
          <w:sz w:val="22"/>
        </w:rPr>
        <w:t>bjects</w:t>
      </w:r>
      <w:r w:rsidRPr="00444114" w:rsidR="00C62F06">
        <w:rPr>
          <w:sz w:val="22"/>
        </w:rPr>
        <w:t>.</w:t>
      </w:r>
    </w:p>
    <w:p w:rsidR="008B6FA0" w:rsidP="008B6FA0" w14:paraId="452032C7" w14:textId="6143FDBE">
      <w:pPr>
        <w:autoSpaceDE w:val="0"/>
        <w:autoSpaceDN w:val="0"/>
        <w:adjustRightInd w:val="0"/>
        <w:ind w:firstLine="720"/>
        <w:rPr>
          <w:sz w:val="22"/>
        </w:rPr>
      </w:pPr>
      <w:r w:rsidRPr="00444114">
        <w:rPr>
          <w:sz w:val="22"/>
        </w:rPr>
        <w:t>In this context, the</w:t>
      </w:r>
      <w:r w:rsidRPr="00444114" w:rsidR="003D2634">
        <w:rPr>
          <w:sz w:val="22"/>
        </w:rPr>
        <w:t xml:space="preserve"> Commission </w:t>
      </w:r>
      <w:r w:rsidRPr="00444114" w:rsidR="00AC6A88">
        <w:rPr>
          <w:sz w:val="22"/>
        </w:rPr>
        <w:t xml:space="preserve">sought comment on whether it should analyze collision risks based on the entire system (system-wide, or in the aggregate) or on individual satellites (per-satellite) within a multi-satellite </w:t>
      </w:r>
      <w:r w:rsidR="003D67E5">
        <w:rPr>
          <w:sz w:val="22"/>
        </w:rPr>
        <w:t>non-geostationary orbit (</w:t>
      </w:r>
      <w:r w:rsidRPr="00444114" w:rsidR="00AC6A88">
        <w:rPr>
          <w:sz w:val="22"/>
        </w:rPr>
        <w:t>NGSO</w:t>
      </w:r>
      <w:r w:rsidR="003D67E5">
        <w:rPr>
          <w:sz w:val="22"/>
        </w:rPr>
        <w:t>)</w:t>
      </w:r>
      <w:r w:rsidRPr="00444114" w:rsidR="00AC6A88">
        <w:rPr>
          <w:sz w:val="22"/>
        </w:rPr>
        <w:t xml:space="preserve"> system.</w:t>
      </w:r>
      <w:r>
        <w:rPr>
          <w:rStyle w:val="FootnoteReference"/>
          <w:sz w:val="22"/>
        </w:rPr>
        <w:footnoteReference w:id="10"/>
      </w:r>
      <w:r w:rsidRPr="00444114" w:rsidR="00AC6A88">
        <w:rPr>
          <w:sz w:val="22"/>
        </w:rPr>
        <w:t xml:space="preserve">  If the Commission </w:t>
      </w:r>
      <w:r w:rsidRPr="00444114">
        <w:rPr>
          <w:sz w:val="22"/>
        </w:rPr>
        <w:t>were to</w:t>
      </w:r>
      <w:r w:rsidRPr="00444114" w:rsidR="00AC6A88">
        <w:rPr>
          <w:sz w:val="22"/>
        </w:rPr>
        <w:t xml:space="preserve"> opt for a system-wi</w:t>
      </w:r>
      <w:r w:rsidRPr="00444114" w:rsidR="00F34CA4">
        <w:rPr>
          <w:sz w:val="22"/>
        </w:rPr>
        <w:t>d</w:t>
      </w:r>
      <w:r w:rsidRPr="00444114" w:rsidR="00AC6A88">
        <w:rPr>
          <w:sz w:val="22"/>
        </w:rPr>
        <w:t>e approach, it sought comment on the process through which such collision risks should be considered and what factors would be relevant in performing such an analysis.</w:t>
      </w:r>
      <w:r>
        <w:rPr>
          <w:rStyle w:val="FootnoteReference"/>
          <w:sz w:val="22"/>
        </w:rPr>
        <w:footnoteReference w:id="11"/>
      </w:r>
      <w:r w:rsidRPr="00444114" w:rsidR="00AC6A88">
        <w:rPr>
          <w:sz w:val="22"/>
        </w:rPr>
        <w:t xml:space="preserve">  </w:t>
      </w:r>
      <w:r w:rsidR="000F2C23">
        <w:rPr>
          <w:sz w:val="22"/>
        </w:rPr>
        <w:t>The Commission noted that if it adopted</w:t>
      </w:r>
      <w:r w:rsidR="00AF6F76">
        <w:rPr>
          <w:sz w:val="22"/>
        </w:rPr>
        <w:t xml:space="preserve"> </w:t>
      </w:r>
      <w:r w:rsidR="000F2C23">
        <w:rPr>
          <w:sz w:val="22"/>
        </w:rPr>
        <w:t>a system-wide</w:t>
      </w:r>
      <w:r w:rsidRPr="00444114" w:rsidR="000F2C23">
        <w:rPr>
          <w:sz w:val="22"/>
        </w:rPr>
        <w:t xml:space="preserve"> </w:t>
      </w:r>
      <w:r w:rsidRPr="00444114">
        <w:rPr>
          <w:sz w:val="22"/>
        </w:rPr>
        <w:t xml:space="preserve">safe harbor approach, systems that are able to demonstrate that they meet </w:t>
      </w:r>
      <w:r w:rsidRPr="00444114" w:rsidR="00AC6A88">
        <w:rPr>
          <w:sz w:val="22"/>
        </w:rPr>
        <w:t>a system-wide collision probability metric (or another suitable risk indicator)</w:t>
      </w:r>
      <w:r w:rsidRPr="00444114">
        <w:rPr>
          <w:sz w:val="22"/>
        </w:rPr>
        <w:t xml:space="preserve"> would be considered</w:t>
      </w:r>
      <w:r w:rsidR="000F3322">
        <w:rPr>
          <w:sz w:val="22"/>
        </w:rPr>
        <w:t xml:space="preserve"> as adequately addressing this aspect of debris mitigation, </w:t>
      </w:r>
      <w:r w:rsidRPr="00444114">
        <w:rPr>
          <w:sz w:val="22"/>
        </w:rPr>
        <w:t>but systems that exceed</w:t>
      </w:r>
      <w:r>
        <w:rPr>
          <w:sz w:val="22"/>
        </w:rPr>
        <w:t xml:space="preserve"> the threshold would be subject to further review.</w:t>
      </w:r>
      <w:r>
        <w:rPr>
          <w:rStyle w:val="FootnoteReference"/>
        </w:rPr>
        <w:footnoteReference w:id="12"/>
      </w:r>
      <w:r>
        <w:rPr>
          <w:sz w:val="22"/>
        </w:rPr>
        <w:t xml:space="preserve">  The Commission </w:t>
      </w:r>
      <w:r w:rsidR="001D6ED8">
        <w:rPr>
          <w:sz w:val="22"/>
        </w:rPr>
        <w:t xml:space="preserve">sought comment on </w:t>
      </w:r>
      <w:r>
        <w:rPr>
          <w:sz w:val="22"/>
        </w:rPr>
        <w:t xml:space="preserve">using the </w:t>
      </w:r>
      <w:r w:rsidR="001450D0">
        <w:rPr>
          <w:sz w:val="22"/>
        </w:rPr>
        <w:t xml:space="preserve">U.S. </w:t>
      </w:r>
      <w:r>
        <w:rPr>
          <w:sz w:val="22"/>
        </w:rPr>
        <w:t>O</w:t>
      </w:r>
      <w:r w:rsidR="001450D0">
        <w:rPr>
          <w:sz w:val="22"/>
        </w:rPr>
        <w:t>rbital Debris Mitigation Standard Practices</w:t>
      </w:r>
      <w:r w:rsidR="00626B66">
        <w:rPr>
          <w:sz w:val="22"/>
        </w:rPr>
        <w:t>’</w:t>
      </w:r>
      <w:r w:rsidR="00D152F0">
        <w:rPr>
          <w:sz w:val="22"/>
        </w:rPr>
        <w:t xml:space="preserve"> (ODMSP)</w:t>
      </w:r>
      <w:r>
        <w:rPr>
          <w:sz w:val="22"/>
        </w:rPr>
        <w:t xml:space="preserve"> 0.001 probability of collision metric as a threshold or safe harbor as a means of identifying systems that may need further review.</w:t>
      </w:r>
      <w:r>
        <w:rPr>
          <w:rStyle w:val="FootnoteReference"/>
        </w:rPr>
        <w:footnoteReference w:id="13"/>
      </w:r>
      <w:r>
        <w:rPr>
          <w:sz w:val="22"/>
        </w:rPr>
        <w:t xml:space="preserve">  The Commission sought comment on </w:t>
      </w:r>
      <w:r>
        <w:rPr>
          <w:sz w:val="22"/>
        </w:rPr>
        <w:t>whether a safe harbor approach like the one described above or a bright-line rule would be preferable in this context and asked for specific metrics or thresholds that would be appropriate for each scenario.</w:t>
      </w:r>
      <w:r>
        <w:rPr>
          <w:rStyle w:val="FootnoteReference"/>
        </w:rPr>
        <w:footnoteReference w:id="14"/>
      </w:r>
      <w:r>
        <w:rPr>
          <w:sz w:val="22"/>
        </w:rPr>
        <w:t xml:space="preserve"> </w:t>
      </w:r>
    </w:p>
    <w:p w:rsidR="007D7928" w:rsidP="008B6FA0" w14:paraId="28FAAC21" w14:textId="1E81797A">
      <w:pPr>
        <w:autoSpaceDE w:val="0"/>
        <w:autoSpaceDN w:val="0"/>
        <w:adjustRightInd w:val="0"/>
        <w:ind w:firstLine="720"/>
        <w:rPr>
          <w:sz w:val="22"/>
        </w:rPr>
      </w:pPr>
      <w:r>
        <w:rPr>
          <w:sz w:val="22"/>
        </w:rPr>
        <w:t>The Commission also identified several factors that could be relevant in establishing a safe harbor or bright-line rule</w:t>
      </w:r>
      <w:r w:rsidR="002B3BA7">
        <w:rPr>
          <w:sz w:val="22"/>
        </w:rPr>
        <w:t xml:space="preserve">, </w:t>
      </w:r>
      <w:r>
        <w:rPr>
          <w:sz w:val="22"/>
        </w:rPr>
        <w:t>the maneuvering capabilities and reliability of the satellite(s), orbital lifetime, the number of satellites in the system (possibly including constellation replenishment rate</w:t>
      </w:r>
      <w:r>
        <w:rPr>
          <w:rStyle w:val="FootnoteReference"/>
        </w:rPr>
        <w:footnoteReference w:id="15"/>
      </w:r>
      <w:r>
        <w:rPr>
          <w:sz w:val="22"/>
        </w:rPr>
        <w:t xml:space="preserve"> and replacement satellites over some specific time period), and the size of individual satellites.</w:t>
      </w:r>
      <w:r>
        <w:rPr>
          <w:rStyle w:val="FootnoteReference"/>
        </w:rPr>
        <w:footnoteReference w:id="16"/>
      </w:r>
      <w:r>
        <w:rPr>
          <w:sz w:val="22"/>
        </w:rPr>
        <w:t xml:space="preserve">  The Commission sought comment on if these factors were relevant for consideration in this regard, how these factors should be evaluated, </w:t>
      </w:r>
      <w:r w:rsidR="00DB4000">
        <w:rPr>
          <w:sz w:val="22"/>
        </w:rPr>
        <w:t xml:space="preserve">and </w:t>
      </w:r>
      <w:r>
        <w:rPr>
          <w:sz w:val="22"/>
        </w:rPr>
        <w:t>whether there were any more</w:t>
      </w:r>
      <w:r w:rsidR="00B3478C">
        <w:rPr>
          <w:sz w:val="22"/>
        </w:rPr>
        <w:t xml:space="preserve"> factors</w:t>
      </w:r>
      <w:r>
        <w:rPr>
          <w:sz w:val="22"/>
        </w:rPr>
        <w:t xml:space="preserve"> that should be considered.</w:t>
      </w:r>
      <w:r>
        <w:rPr>
          <w:rStyle w:val="FootnoteReference"/>
        </w:rPr>
        <w:footnoteReference w:id="17"/>
      </w:r>
      <w:r>
        <w:rPr>
          <w:sz w:val="22"/>
        </w:rPr>
        <w:t xml:space="preserve">  </w:t>
      </w:r>
      <w:r w:rsidR="00D47945">
        <w:rPr>
          <w:sz w:val="22"/>
        </w:rPr>
        <w:t>As it pertains to large constellations, the Commission asked for input on whether it should make a bright-line distinction between large constellations and small</w:t>
      </w:r>
      <w:r>
        <w:rPr>
          <w:sz w:val="22"/>
        </w:rPr>
        <w:t>er</w:t>
      </w:r>
      <w:r w:rsidR="00D47945">
        <w:rPr>
          <w:sz w:val="22"/>
        </w:rPr>
        <w:t xml:space="preserve"> systems </w:t>
      </w:r>
      <w:r>
        <w:rPr>
          <w:sz w:val="22"/>
        </w:rPr>
        <w:t>in terms of the applicable metrics for collision risk assessment</w:t>
      </w:r>
      <w:r w:rsidR="00D47945">
        <w:rPr>
          <w:sz w:val="22"/>
        </w:rPr>
        <w:t xml:space="preserve">, or should it attempt to specify a scalable metric for both </w:t>
      </w:r>
      <w:r>
        <w:rPr>
          <w:sz w:val="22"/>
        </w:rPr>
        <w:t>types of systems</w:t>
      </w:r>
      <w:r w:rsidR="00D47945">
        <w:rPr>
          <w:sz w:val="22"/>
        </w:rPr>
        <w:t>.</w:t>
      </w:r>
      <w:r>
        <w:rPr>
          <w:rStyle w:val="FootnoteReference"/>
        </w:rPr>
        <w:footnoteReference w:id="18"/>
      </w:r>
      <w:r>
        <w:rPr>
          <w:sz w:val="22"/>
        </w:rPr>
        <w:t xml:space="preserve">  </w:t>
      </w:r>
    </w:p>
    <w:p w:rsidR="00F31184" w:rsidP="451560E4" w14:paraId="4B512DD8" w14:textId="1F330DAA">
      <w:pPr>
        <w:autoSpaceDE w:val="0"/>
        <w:autoSpaceDN w:val="0"/>
        <w:adjustRightInd w:val="0"/>
        <w:ind w:firstLine="720"/>
        <w:rPr>
          <w:sz w:val="22"/>
        </w:rPr>
      </w:pPr>
      <w:r w:rsidRPr="3207FAC1">
        <w:rPr>
          <w:sz w:val="22"/>
        </w:rPr>
        <w:t>We seek to refresh the record on these</w:t>
      </w:r>
      <w:r w:rsidRPr="3207FAC1" w:rsidR="00507ABB">
        <w:rPr>
          <w:sz w:val="22"/>
        </w:rPr>
        <w:t xml:space="preserve"> points</w:t>
      </w:r>
      <w:r w:rsidRPr="3207FAC1" w:rsidR="00C22E67">
        <w:rPr>
          <w:sz w:val="22"/>
        </w:rPr>
        <w:t>.</w:t>
      </w:r>
      <w:r w:rsidRPr="3207FAC1" w:rsidR="0007199A">
        <w:rPr>
          <w:sz w:val="22"/>
        </w:rPr>
        <w:t xml:space="preserve">  In particular, </w:t>
      </w:r>
      <w:r w:rsidR="006F4757">
        <w:rPr>
          <w:sz w:val="22"/>
        </w:rPr>
        <w:t>in</w:t>
      </w:r>
      <w:r w:rsidR="00430272">
        <w:rPr>
          <w:i/>
          <w:iCs/>
          <w:sz w:val="22"/>
        </w:rPr>
        <w:t xml:space="preserve"> </w:t>
      </w:r>
      <w:r w:rsidR="00430272">
        <w:rPr>
          <w:sz w:val="22"/>
        </w:rPr>
        <w:t xml:space="preserve">several </w:t>
      </w:r>
      <w:r w:rsidRPr="00D97826" w:rsidR="00430272">
        <w:rPr>
          <w:i/>
          <w:iCs/>
          <w:sz w:val="22"/>
        </w:rPr>
        <w:t>ex parte</w:t>
      </w:r>
      <w:r w:rsidR="00430272">
        <w:rPr>
          <w:sz w:val="22"/>
        </w:rPr>
        <w:t xml:space="preserve"> presentations</w:t>
      </w:r>
      <w:r w:rsidR="00D97826">
        <w:rPr>
          <w:sz w:val="22"/>
        </w:rPr>
        <w:t>,</w:t>
      </w:r>
      <w:r w:rsidR="0064133C">
        <w:t xml:space="preserve"> </w:t>
      </w:r>
      <w:r w:rsidR="0064133C">
        <w:rPr>
          <w:sz w:val="22"/>
        </w:rPr>
        <w:t xml:space="preserve"> </w:t>
      </w:r>
      <w:r w:rsidR="00F57EB5">
        <w:rPr>
          <w:sz w:val="22"/>
        </w:rPr>
        <w:t xml:space="preserve">commenters </w:t>
      </w:r>
      <w:r w:rsidR="001D2FDC">
        <w:rPr>
          <w:sz w:val="22"/>
        </w:rPr>
        <w:t xml:space="preserve">addressed </w:t>
      </w:r>
      <w:r w:rsidRPr="3207FAC1" w:rsidR="0046064C">
        <w:rPr>
          <w:sz w:val="22"/>
        </w:rPr>
        <w:t>a</w:t>
      </w:r>
      <w:r w:rsidR="00430272">
        <w:rPr>
          <w:sz w:val="22"/>
        </w:rPr>
        <w:t xml:space="preserve"> possible metric of</w:t>
      </w:r>
      <w:r w:rsidR="00E80A8D">
        <w:rPr>
          <w:sz w:val="22"/>
        </w:rPr>
        <w:t xml:space="preserve"> 100</w:t>
      </w:r>
      <w:r w:rsidRPr="3207FAC1" w:rsidR="0046064C">
        <w:rPr>
          <w:sz w:val="22"/>
        </w:rPr>
        <w:t xml:space="preserve"> “object-years”</w:t>
      </w:r>
      <w:r w:rsidR="00623FBF">
        <w:rPr>
          <w:sz w:val="22"/>
        </w:rPr>
        <w:t xml:space="preserve"> </w:t>
      </w:r>
      <w:r w:rsidR="00430272">
        <w:rPr>
          <w:sz w:val="22"/>
        </w:rPr>
        <w:t xml:space="preserve">for assessing the risks </w:t>
      </w:r>
      <w:r w:rsidR="00287201">
        <w:rPr>
          <w:sz w:val="22"/>
        </w:rPr>
        <w:t>that may arise</w:t>
      </w:r>
      <w:r w:rsidR="00430272">
        <w:rPr>
          <w:sz w:val="22"/>
        </w:rPr>
        <w:t xml:space="preserve"> if satellites  fail to complete planned disposal.</w:t>
      </w:r>
      <w:r>
        <w:rPr>
          <w:rStyle w:val="FootnoteReference"/>
        </w:rPr>
        <w:footnoteReference w:id="19"/>
      </w:r>
      <w:r w:rsidR="00313FC7">
        <w:rPr>
          <w:sz w:val="22"/>
        </w:rPr>
        <w:t xml:space="preserve">  </w:t>
      </w:r>
      <w:r w:rsidR="00E80A8D">
        <w:rPr>
          <w:sz w:val="22"/>
        </w:rPr>
        <w:t xml:space="preserve">“Object-years” refers to the number of years </w:t>
      </w:r>
      <w:r w:rsidR="00EE277E">
        <w:rPr>
          <w:sz w:val="22"/>
        </w:rPr>
        <w:t>each</w:t>
      </w:r>
      <w:r w:rsidR="00E80A8D">
        <w:rPr>
          <w:sz w:val="22"/>
        </w:rPr>
        <w:t xml:space="preserve"> failed satellite would remain in orbit, summed across a</w:t>
      </w:r>
      <w:r w:rsidR="00EE277E">
        <w:rPr>
          <w:sz w:val="22"/>
        </w:rPr>
        <w:t>ny other</w:t>
      </w:r>
      <w:r w:rsidR="00E80A8D">
        <w:rPr>
          <w:sz w:val="22"/>
        </w:rPr>
        <w:t xml:space="preserve"> failed satellites</w:t>
      </w:r>
      <w:r w:rsidR="00EE277E">
        <w:rPr>
          <w:sz w:val="22"/>
        </w:rPr>
        <w:t xml:space="preserve"> that were part of the satellite system</w:t>
      </w:r>
      <w:r w:rsidR="00E80A8D">
        <w:rPr>
          <w:sz w:val="22"/>
        </w:rPr>
        <w:t xml:space="preserve">.  </w:t>
      </w:r>
      <w:r w:rsidR="00D01057">
        <w:rPr>
          <w:sz w:val="22"/>
        </w:rPr>
        <w:t>We seek comment on this and other</w:t>
      </w:r>
      <w:r w:rsidRPr="3207FAC1" w:rsidR="005A12FD">
        <w:rPr>
          <w:sz w:val="22"/>
        </w:rPr>
        <w:t xml:space="preserve"> approach</w:t>
      </w:r>
      <w:r w:rsidR="00D01057">
        <w:rPr>
          <w:sz w:val="22"/>
        </w:rPr>
        <w:t>es</w:t>
      </w:r>
      <w:r w:rsidRPr="3207FAC1" w:rsidR="005A12FD">
        <w:rPr>
          <w:sz w:val="22"/>
        </w:rPr>
        <w:t xml:space="preserve"> </w:t>
      </w:r>
      <w:r w:rsidRPr="3207FAC1" w:rsidR="00FA386E">
        <w:rPr>
          <w:sz w:val="22"/>
        </w:rPr>
        <w:t>for</w:t>
      </w:r>
      <w:r w:rsidRPr="3207FAC1" w:rsidR="005A12FD">
        <w:rPr>
          <w:sz w:val="22"/>
        </w:rPr>
        <w:t xml:space="preserve"> </w:t>
      </w:r>
      <w:r w:rsidRPr="3207FAC1" w:rsidR="00BD4914">
        <w:rPr>
          <w:sz w:val="22"/>
        </w:rPr>
        <w:t>addre</w:t>
      </w:r>
      <w:r w:rsidRPr="3207FAC1" w:rsidR="63846703">
        <w:rPr>
          <w:sz w:val="22"/>
        </w:rPr>
        <w:t>ssing the reliability of post mission disposal</w:t>
      </w:r>
      <w:r w:rsidR="00A21D87">
        <w:rPr>
          <w:sz w:val="22"/>
        </w:rPr>
        <w:t>, especially</w:t>
      </w:r>
      <w:r w:rsidRPr="3207FAC1" w:rsidR="63846703">
        <w:rPr>
          <w:sz w:val="22"/>
        </w:rPr>
        <w:t xml:space="preserve"> for constellations</w:t>
      </w:r>
      <w:r w:rsidRPr="3207FAC1" w:rsidR="0431F46B">
        <w:rPr>
          <w:sz w:val="22"/>
        </w:rPr>
        <w:t>.</w:t>
      </w:r>
      <w:r w:rsidRPr="3207FAC1" w:rsidR="00696911">
        <w:rPr>
          <w:sz w:val="22"/>
        </w:rPr>
        <w:t xml:space="preserve">  </w:t>
      </w:r>
      <w:r w:rsidRPr="3207FAC1" w:rsidR="009E505E">
        <w:rPr>
          <w:sz w:val="22"/>
        </w:rPr>
        <w:t xml:space="preserve">Is an object-years </w:t>
      </w:r>
      <w:r w:rsidR="003F3936">
        <w:rPr>
          <w:sz w:val="22"/>
        </w:rPr>
        <w:t>metric</w:t>
      </w:r>
      <w:r w:rsidRPr="3207FAC1" w:rsidR="009E505E">
        <w:rPr>
          <w:sz w:val="22"/>
        </w:rPr>
        <w:t xml:space="preserve"> suitable for this type of analysis, and if so, what threshold should be applied?</w:t>
      </w:r>
      <w:r>
        <w:rPr>
          <w:rStyle w:val="FootnoteReference"/>
        </w:rPr>
        <w:footnoteReference w:id="20"/>
      </w:r>
      <w:r w:rsidR="00987AFC">
        <w:rPr>
          <w:sz w:val="22"/>
        </w:rPr>
        <w:t xml:space="preserve">  </w:t>
      </w:r>
      <w:r w:rsidR="00C5252C">
        <w:rPr>
          <w:sz w:val="22"/>
        </w:rPr>
        <w:t xml:space="preserve">The </w:t>
      </w:r>
      <w:r w:rsidR="00ED196E">
        <w:rPr>
          <w:sz w:val="22"/>
        </w:rPr>
        <w:t xml:space="preserve">Space Bureau </w:t>
      </w:r>
      <w:r w:rsidR="00C5252C">
        <w:rPr>
          <w:sz w:val="22"/>
        </w:rPr>
        <w:t>has used a</w:t>
      </w:r>
      <w:r w:rsidRPr="3207FAC1" w:rsidR="04CAA2FD">
        <w:rPr>
          <w:sz w:val="22"/>
        </w:rPr>
        <w:t xml:space="preserve"> </w:t>
      </w:r>
      <w:r w:rsidRPr="3207FAC1" w:rsidR="009E505E">
        <w:rPr>
          <w:sz w:val="22"/>
        </w:rPr>
        <w:t>100 object-ye</w:t>
      </w:r>
      <w:r w:rsidRPr="3207FAC1" w:rsidR="1438B959">
        <w:rPr>
          <w:sz w:val="22"/>
        </w:rPr>
        <w:t xml:space="preserve">ars metric in some licenses as a trigger for cases in which disposal failures would warrant additional Commission review of the execution of debris mitigation </w:t>
      </w:r>
      <w:r w:rsidRPr="3207FAC1" w:rsidR="6A8FF2B2">
        <w:rPr>
          <w:sz w:val="22"/>
        </w:rPr>
        <w:t xml:space="preserve">measures, and we seek comment on whether this approach </w:t>
      </w:r>
      <w:r w:rsidR="000F74D5">
        <w:rPr>
          <w:sz w:val="22"/>
        </w:rPr>
        <w:t>should</w:t>
      </w:r>
      <w:r w:rsidRPr="3207FAC1" w:rsidR="6A8FF2B2">
        <w:rPr>
          <w:sz w:val="22"/>
        </w:rPr>
        <w:t xml:space="preserve"> be utilized more </w:t>
      </w:r>
      <w:r w:rsidR="00754D1B">
        <w:rPr>
          <w:sz w:val="22"/>
        </w:rPr>
        <w:t xml:space="preserve">or less </w:t>
      </w:r>
      <w:r w:rsidRPr="3207FAC1" w:rsidR="6A8FF2B2">
        <w:rPr>
          <w:sz w:val="22"/>
        </w:rPr>
        <w:t>widely, and in which types of cases</w:t>
      </w:r>
      <w:r w:rsidR="00206B9F">
        <w:rPr>
          <w:sz w:val="22"/>
        </w:rPr>
        <w:t xml:space="preserve">. </w:t>
      </w:r>
      <w:r w:rsidRPr="3207FAC1" w:rsidR="000B269F">
        <w:rPr>
          <w:sz w:val="22"/>
        </w:rPr>
        <w:t xml:space="preserve"> </w:t>
      </w:r>
      <w:r w:rsidRPr="3207FAC1" w:rsidR="00624E61">
        <w:rPr>
          <w:sz w:val="22"/>
        </w:rPr>
        <w:t>Are there alternative approaches for identifying which systems ma</w:t>
      </w:r>
      <w:r w:rsidRPr="3207FAC1" w:rsidR="00843F35">
        <w:rPr>
          <w:sz w:val="22"/>
        </w:rPr>
        <w:t>y</w:t>
      </w:r>
      <w:r w:rsidRPr="3207FAC1" w:rsidR="00624E61">
        <w:rPr>
          <w:sz w:val="22"/>
        </w:rPr>
        <w:t xml:space="preserve"> pose more </w:t>
      </w:r>
      <w:r w:rsidR="008116B6">
        <w:rPr>
          <w:sz w:val="22"/>
        </w:rPr>
        <w:t xml:space="preserve">collision </w:t>
      </w:r>
      <w:r w:rsidRPr="3207FAC1" w:rsidR="00624E61">
        <w:rPr>
          <w:sz w:val="22"/>
        </w:rPr>
        <w:t>risk than others?  We ask for comment on such approaches, as</w:t>
      </w:r>
      <w:r w:rsidRPr="3207FAC1" w:rsidR="00A10827">
        <w:rPr>
          <w:sz w:val="22"/>
        </w:rPr>
        <w:t xml:space="preserve"> well as any </w:t>
      </w:r>
      <w:r w:rsidRPr="3207FAC1" w:rsidR="00A70F0A">
        <w:rPr>
          <w:sz w:val="22"/>
        </w:rPr>
        <w:t>potential alternative</w:t>
      </w:r>
      <w:r w:rsidRPr="3207FAC1" w:rsidR="00291C46">
        <w:rPr>
          <w:sz w:val="22"/>
        </w:rPr>
        <w:t xml:space="preserve"> </w:t>
      </w:r>
      <w:r w:rsidRPr="3207FAC1" w:rsidR="00A70F0A">
        <w:rPr>
          <w:sz w:val="22"/>
        </w:rPr>
        <w:t xml:space="preserve">metrics, </w:t>
      </w:r>
      <w:r w:rsidRPr="3207FAC1" w:rsidR="00291C46">
        <w:rPr>
          <w:sz w:val="22"/>
        </w:rPr>
        <w:t>methods for risk analysis,</w:t>
      </w:r>
      <w:r w:rsidRPr="3207FAC1" w:rsidR="00A70F0A">
        <w:rPr>
          <w:sz w:val="22"/>
        </w:rPr>
        <w:t xml:space="preserve"> or implementation strategies for managing </w:t>
      </w:r>
      <w:r w:rsidRPr="3207FAC1" w:rsidR="00FF7951">
        <w:rPr>
          <w:sz w:val="22"/>
        </w:rPr>
        <w:t xml:space="preserve">these </w:t>
      </w:r>
      <w:r w:rsidRPr="3207FAC1" w:rsidR="00A70F0A">
        <w:rPr>
          <w:sz w:val="22"/>
        </w:rPr>
        <w:t>collision risks, especially as it pertains to larger systems.</w:t>
      </w:r>
      <w:r>
        <w:rPr>
          <w:rStyle w:val="FootnoteReference"/>
        </w:rPr>
        <w:footnoteReference w:id="21"/>
      </w:r>
      <w:r w:rsidRPr="3207FAC1" w:rsidR="00461168">
        <w:rPr>
          <w:sz w:val="22"/>
        </w:rPr>
        <w:t xml:space="preserve">  </w:t>
      </w:r>
      <w:r w:rsidRPr="3207FAC1" w:rsidR="13849FE7">
        <w:rPr>
          <w:sz w:val="22"/>
        </w:rPr>
        <w:t xml:space="preserve">Additionally, we seek comment on appropriate </w:t>
      </w:r>
      <w:r w:rsidR="00430272">
        <w:rPr>
          <w:sz w:val="22"/>
        </w:rPr>
        <w:t>actions</w:t>
      </w:r>
      <w:r w:rsidRPr="3207FAC1" w:rsidR="001B552F">
        <w:rPr>
          <w:sz w:val="22"/>
        </w:rPr>
        <w:t xml:space="preserve"> </w:t>
      </w:r>
      <w:r w:rsidRPr="3207FAC1" w:rsidR="13849FE7">
        <w:rPr>
          <w:sz w:val="22"/>
        </w:rPr>
        <w:t xml:space="preserve">should an operator </w:t>
      </w:r>
      <w:r w:rsidR="00D64DEF">
        <w:rPr>
          <w:sz w:val="22"/>
        </w:rPr>
        <w:t xml:space="preserve">be granted a license and then </w:t>
      </w:r>
      <w:r w:rsidRPr="3207FAC1" w:rsidR="13849FE7">
        <w:rPr>
          <w:sz w:val="22"/>
        </w:rPr>
        <w:t>exceed a 100 object-</w:t>
      </w:r>
      <w:r w:rsidRPr="3207FAC1" w:rsidR="13849FE7">
        <w:rPr>
          <w:sz w:val="22"/>
        </w:rPr>
        <w:t xml:space="preserve">year threshold, or any other metric that may be adopted.  </w:t>
      </w:r>
      <w:r w:rsidR="00030AAE">
        <w:rPr>
          <w:sz w:val="22"/>
        </w:rPr>
        <w:t>For example, s</w:t>
      </w:r>
      <w:r w:rsidRPr="3207FAC1" w:rsidR="13849FE7">
        <w:rPr>
          <w:sz w:val="22"/>
        </w:rPr>
        <w:t>hould the operator be re</w:t>
      </w:r>
      <w:r w:rsidRPr="3207FAC1" w:rsidR="471810D2">
        <w:rPr>
          <w:sz w:val="22"/>
        </w:rPr>
        <w:t>quired to cea</w:t>
      </w:r>
      <w:r w:rsidR="00E7317F">
        <w:rPr>
          <w:sz w:val="22"/>
        </w:rPr>
        <w:t>se satellite deployment</w:t>
      </w:r>
      <w:r w:rsidRPr="3207FAC1" w:rsidR="471810D2">
        <w:rPr>
          <w:sz w:val="22"/>
        </w:rPr>
        <w:t xml:space="preserve"> until </w:t>
      </w:r>
      <w:r w:rsidR="00430272">
        <w:rPr>
          <w:sz w:val="22"/>
        </w:rPr>
        <w:t>the causes of the disposal failure have been identified and addressed sufficiently</w:t>
      </w:r>
      <w:r w:rsidR="00D42EB4">
        <w:rPr>
          <w:sz w:val="22"/>
        </w:rPr>
        <w:t xml:space="preserve">? </w:t>
      </w:r>
      <w:r w:rsidRPr="3207FAC1" w:rsidR="471810D2">
        <w:rPr>
          <w:sz w:val="22"/>
        </w:rPr>
        <w:t xml:space="preserve"> </w:t>
      </w:r>
      <w:r w:rsidR="00EB0122">
        <w:rPr>
          <w:sz w:val="22"/>
        </w:rPr>
        <w:t xml:space="preserve">If a cause and solution have been identified and successfully implemented, should the count of object years be re-set by removing object-years for those satellites from the operator’s total object years? </w:t>
      </w:r>
      <w:r w:rsidR="000A512F">
        <w:rPr>
          <w:sz w:val="22"/>
        </w:rPr>
        <w:t xml:space="preserve"> </w:t>
      </w:r>
      <w:r w:rsidRPr="3207FAC1" w:rsidR="0D4486F4">
        <w:rPr>
          <w:sz w:val="22"/>
        </w:rPr>
        <w:t>Are there</w:t>
      </w:r>
      <w:r w:rsidR="00430272">
        <w:rPr>
          <w:sz w:val="22"/>
        </w:rPr>
        <w:t xml:space="preserve"> other</w:t>
      </w:r>
      <w:r w:rsidRPr="3207FAC1" w:rsidR="0D4486F4">
        <w:rPr>
          <w:sz w:val="22"/>
        </w:rPr>
        <w:t xml:space="preserve"> reporting conditions that could be </w:t>
      </w:r>
      <w:r w:rsidR="00430272">
        <w:rPr>
          <w:sz w:val="22"/>
        </w:rPr>
        <w:t xml:space="preserve">used to address </w:t>
      </w:r>
      <w:r w:rsidR="00030AAE">
        <w:rPr>
          <w:sz w:val="22"/>
        </w:rPr>
        <w:t>collision</w:t>
      </w:r>
      <w:r w:rsidRPr="3207FAC1" w:rsidR="00030AAE">
        <w:rPr>
          <w:sz w:val="22"/>
        </w:rPr>
        <w:t xml:space="preserve"> </w:t>
      </w:r>
      <w:r w:rsidRPr="3207FAC1" w:rsidR="0D4486F4">
        <w:rPr>
          <w:sz w:val="22"/>
        </w:rPr>
        <w:t>risks</w:t>
      </w:r>
      <w:r w:rsidR="000A512F">
        <w:rPr>
          <w:sz w:val="22"/>
        </w:rPr>
        <w:t>?</w:t>
      </w:r>
      <w:r w:rsidR="00EB0122">
        <w:rPr>
          <w:sz w:val="22"/>
        </w:rPr>
        <w:t xml:space="preserve"> </w:t>
      </w:r>
    </w:p>
    <w:p w:rsidR="008B6FA0" w:rsidP="008B6FA0" w14:paraId="068E7E5A" w14:textId="01BD7A0F">
      <w:pPr>
        <w:autoSpaceDE w:val="0"/>
        <w:autoSpaceDN w:val="0"/>
        <w:adjustRightInd w:val="0"/>
        <w:ind w:firstLine="720"/>
        <w:rPr>
          <w:sz w:val="22"/>
        </w:rPr>
      </w:pPr>
      <w:r>
        <w:rPr>
          <w:sz w:val="22"/>
        </w:rPr>
        <w:t>W</w:t>
      </w:r>
      <w:r w:rsidR="002A62B0">
        <w:rPr>
          <w:sz w:val="22"/>
        </w:rPr>
        <w:t xml:space="preserve">e recognize that </w:t>
      </w:r>
      <w:r w:rsidR="004F1F70">
        <w:rPr>
          <w:sz w:val="22"/>
        </w:rPr>
        <w:t>many factors, including orbital altitude and maneuvering capabilities,</w:t>
      </w:r>
      <w:r w:rsidR="002A62B0">
        <w:rPr>
          <w:sz w:val="22"/>
        </w:rPr>
        <w:t xml:space="preserve"> </w:t>
      </w:r>
      <w:r w:rsidR="002F7BEE">
        <w:rPr>
          <w:sz w:val="22"/>
        </w:rPr>
        <w:t>may</w:t>
      </w:r>
      <w:r w:rsidR="0005228A">
        <w:rPr>
          <w:sz w:val="22"/>
        </w:rPr>
        <w:t xml:space="preserve"> </w:t>
      </w:r>
      <w:r w:rsidR="002A62B0">
        <w:rPr>
          <w:sz w:val="22"/>
        </w:rPr>
        <w:t>impact</w:t>
      </w:r>
      <w:r w:rsidR="004F1F70">
        <w:rPr>
          <w:sz w:val="22"/>
        </w:rPr>
        <w:t xml:space="preserve"> collision risk analyses</w:t>
      </w:r>
      <w:r w:rsidR="00383EB0">
        <w:rPr>
          <w:sz w:val="22"/>
        </w:rPr>
        <w:t>.</w:t>
      </w:r>
      <w:r w:rsidR="002A62B0">
        <w:rPr>
          <w:sz w:val="22"/>
        </w:rPr>
        <w:t xml:space="preserve"> </w:t>
      </w:r>
      <w:r w:rsidR="005D76AD">
        <w:rPr>
          <w:sz w:val="22"/>
        </w:rPr>
        <w:t xml:space="preserve"> </w:t>
      </w:r>
      <w:r w:rsidR="002F1586">
        <w:rPr>
          <w:sz w:val="22"/>
        </w:rPr>
        <w:t xml:space="preserve">In </w:t>
      </w:r>
      <w:r w:rsidR="009858A0">
        <w:rPr>
          <w:sz w:val="22"/>
        </w:rPr>
        <w:t xml:space="preserve">the </w:t>
      </w:r>
      <w:r w:rsidR="009858A0">
        <w:rPr>
          <w:i/>
          <w:iCs/>
          <w:sz w:val="22"/>
        </w:rPr>
        <w:t xml:space="preserve">FNPRM, </w:t>
      </w:r>
      <w:r w:rsidR="009858A0">
        <w:rPr>
          <w:sz w:val="22"/>
        </w:rPr>
        <w:t>t</w:t>
      </w:r>
      <w:r>
        <w:rPr>
          <w:sz w:val="22"/>
        </w:rPr>
        <w:t>he Commission was</w:t>
      </w:r>
      <w:r w:rsidR="005D76AD">
        <w:rPr>
          <w:sz w:val="22"/>
        </w:rPr>
        <w:t xml:space="preserve"> specifically</w:t>
      </w:r>
      <w:r>
        <w:rPr>
          <w:sz w:val="22"/>
        </w:rPr>
        <w:t xml:space="preserve"> interested in understanding the role of maneuvering capabilities in mitigating collision risk and the extent to which their reliability should be factored into</w:t>
      </w:r>
      <w:r w:rsidR="00836447">
        <w:rPr>
          <w:sz w:val="22"/>
        </w:rPr>
        <w:t xml:space="preserve"> collision risk</w:t>
      </w:r>
      <w:r>
        <w:rPr>
          <w:sz w:val="22"/>
        </w:rPr>
        <w:t xml:space="preserve"> assessment</w:t>
      </w:r>
      <w:r w:rsidR="008E66CD">
        <w:rPr>
          <w:sz w:val="22"/>
        </w:rPr>
        <w:t>s</w:t>
      </w:r>
      <w:r>
        <w:rPr>
          <w:sz w:val="22"/>
        </w:rPr>
        <w:t xml:space="preserve">.  </w:t>
      </w:r>
      <w:r w:rsidR="00507419">
        <w:rPr>
          <w:sz w:val="22"/>
        </w:rPr>
        <w:t xml:space="preserve">The Commission </w:t>
      </w:r>
      <w:r>
        <w:rPr>
          <w:sz w:val="22"/>
        </w:rPr>
        <w:t>sought comment on how to evaluate the likelihood of individual satellite maneuvering failures within a multi-satellite system.</w:t>
      </w:r>
      <w:r>
        <w:rPr>
          <w:rStyle w:val="FootnoteReference"/>
        </w:rPr>
        <w:footnoteReference w:id="22"/>
      </w:r>
      <w:r>
        <w:rPr>
          <w:sz w:val="22"/>
        </w:rPr>
        <w:t xml:space="preserve">  Additionally, the Commission requested input on how to assess the collision risk associated with failed satellites, including what the assumed location of the maneuvering failure should be (i.e., in the deployment orbit, the worst-case collision risk orbit, a combination of both, or a range of orbits representing the expected range and duration of satellite operations)</w:t>
      </w:r>
      <w:r w:rsidR="0033174E">
        <w:rPr>
          <w:sz w:val="22"/>
        </w:rPr>
        <w:t>,</w:t>
      </w:r>
      <w:r>
        <w:rPr>
          <w:sz w:val="22"/>
        </w:rPr>
        <w:t xml:space="preserve"> and if there are any methods by which the Commission could apply historical data concerning the typical point in a satellite mission where failures occur in order to refine the analysis.</w:t>
      </w:r>
      <w:r>
        <w:rPr>
          <w:rStyle w:val="FootnoteReference"/>
        </w:rPr>
        <w:footnoteReference w:id="23"/>
      </w:r>
      <w:r>
        <w:rPr>
          <w:sz w:val="22"/>
        </w:rPr>
        <w:t xml:space="preserve">  The Commission</w:t>
      </w:r>
      <w:r w:rsidRPr="003D2634">
        <w:rPr>
          <w:sz w:val="22"/>
        </w:rPr>
        <w:t xml:space="preserve"> </w:t>
      </w:r>
      <w:r>
        <w:rPr>
          <w:sz w:val="22"/>
        </w:rPr>
        <w:t>requested</w:t>
      </w:r>
      <w:r w:rsidRPr="003D2634">
        <w:rPr>
          <w:sz w:val="22"/>
        </w:rPr>
        <w:t xml:space="preserve"> comment on this approach and on other alternatives for assessing an expected failure rate on a more detailed basis.</w:t>
      </w:r>
      <w:r>
        <w:rPr>
          <w:rStyle w:val="FootnoteReference"/>
        </w:rPr>
        <w:footnoteReference w:id="24"/>
      </w:r>
      <w:r>
        <w:rPr>
          <w:sz w:val="22"/>
        </w:rPr>
        <w:t xml:space="preserve"> </w:t>
      </w:r>
      <w:r w:rsidR="002F7BEE">
        <w:rPr>
          <w:sz w:val="22"/>
        </w:rPr>
        <w:t xml:space="preserve"> </w:t>
      </w:r>
      <w:r w:rsidR="0005228A">
        <w:rPr>
          <w:sz w:val="22"/>
        </w:rPr>
        <w:t xml:space="preserve">We request additional comment </w:t>
      </w:r>
      <w:r w:rsidR="00ED53CD">
        <w:rPr>
          <w:sz w:val="22"/>
        </w:rPr>
        <w:t>on these issues</w:t>
      </w:r>
      <w:r w:rsidR="0005228A">
        <w:rPr>
          <w:sz w:val="22"/>
        </w:rPr>
        <w:t>, especially ho</w:t>
      </w:r>
      <w:r w:rsidR="00ED53CD">
        <w:rPr>
          <w:sz w:val="22"/>
        </w:rPr>
        <w:t xml:space="preserve">w they relate to mitigating collision risks </w:t>
      </w:r>
      <w:r w:rsidR="0082603D">
        <w:rPr>
          <w:sz w:val="22"/>
        </w:rPr>
        <w:t>with</w:t>
      </w:r>
      <w:r w:rsidR="00ED53CD">
        <w:rPr>
          <w:sz w:val="22"/>
        </w:rPr>
        <w:t xml:space="preserve"> large objects. </w:t>
      </w:r>
    </w:p>
    <w:p w:rsidR="008B6FA0" w:rsidP="008B6FA0" w14:paraId="796B431A" w14:textId="049FE424">
      <w:pPr>
        <w:autoSpaceDE w:val="0"/>
        <w:autoSpaceDN w:val="0"/>
        <w:adjustRightInd w:val="0"/>
        <w:ind w:firstLine="720"/>
        <w:rPr>
          <w:sz w:val="22"/>
        </w:rPr>
      </w:pPr>
      <w:r>
        <w:rPr>
          <w:sz w:val="22"/>
        </w:rPr>
        <w:t xml:space="preserve">In the event a safe harbor approach </w:t>
      </w:r>
      <w:r w:rsidR="00FA28EA">
        <w:rPr>
          <w:sz w:val="22"/>
        </w:rPr>
        <w:t xml:space="preserve">is </w:t>
      </w:r>
      <w:r>
        <w:rPr>
          <w:sz w:val="22"/>
        </w:rPr>
        <w:t>adopted, the Commission sought comment on the review process for systems that did not meet the established safe harbor criteria.</w:t>
      </w:r>
      <w:r>
        <w:rPr>
          <w:rStyle w:val="FootnoteReference"/>
        </w:rPr>
        <w:footnoteReference w:id="25"/>
      </w:r>
      <w:r>
        <w:rPr>
          <w:sz w:val="22"/>
        </w:rPr>
        <w:t xml:space="preserve">  The Commission </w:t>
      </w:r>
      <w:r w:rsidR="00451DD8">
        <w:rPr>
          <w:sz w:val="22"/>
        </w:rPr>
        <w:t>invited comment on</w:t>
      </w:r>
      <w:r>
        <w:rPr>
          <w:sz w:val="22"/>
        </w:rPr>
        <w:t xml:space="preserve"> options such as allowing applicants to demonstrate a lower actual failure rate for their maneuvering capabilities than the assumed rate used in the safe harbor assessment.</w:t>
      </w:r>
      <w:r>
        <w:rPr>
          <w:rStyle w:val="FootnoteReference"/>
        </w:rPr>
        <w:footnoteReference w:id="26"/>
      </w:r>
      <w:r>
        <w:rPr>
          <w:sz w:val="22"/>
        </w:rPr>
        <w:t xml:space="preserve">  For larger systems with multiple deployments, the Commission also </w:t>
      </w:r>
      <w:r w:rsidR="00465F61">
        <w:rPr>
          <w:sz w:val="22"/>
        </w:rPr>
        <w:t>asked commenters to</w:t>
      </w:r>
      <w:r w:rsidR="005E7E69">
        <w:rPr>
          <w:sz w:val="22"/>
        </w:rPr>
        <w:t xml:space="preserve"> provide feedback on</w:t>
      </w:r>
      <w:r w:rsidR="00465F61">
        <w:rPr>
          <w:sz w:val="22"/>
        </w:rPr>
        <w:t xml:space="preserve"> </w:t>
      </w:r>
      <w:r>
        <w:rPr>
          <w:sz w:val="22"/>
        </w:rPr>
        <w:t>the possibility of implementing a license condition requiring the applicant to provide additional demonstrations if the actual failure rate for the initial deployments is substantially higher than the expected failure rate expressed in its application.</w:t>
      </w:r>
      <w:r>
        <w:rPr>
          <w:rStyle w:val="FootnoteReference"/>
        </w:rPr>
        <w:footnoteReference w:id="27"/>
      </w:r>
      <w:r>
        <w:rPr>
          <w:sz w:val="22"/>
        </w:rPr>
        <w:t xml:space="preserve">   </w:t>
      </w:r>
    </w:p>
    <w:p w:rsidR="00B921CA" w:rsidRPr="00B921CA" w:rsidP="00605CA3" w14:paraId="66213DC5" w14:textId="54EAB4B6">
      <w:pPr>
        <w:autoSpaceDE w:val="0"/>
        <w:autoSpaceDN w:val="0"/>
        <w:adjustRightInd w:val="0"/>
        <w:ind w:firstLine="720"/>
        <w:rPr>
          <w:sz w:val="22"/>
        </w:rPr>
      </w:pPr>
      <w:r>
        <w:rPr>
          <w:sz w:val="22"/>
        </w:rPr>
        <w:t>For NGSO systems that c</w:t>
      </w:r>
      <w:r w:rsidR="00A23F7E">
        <w:rPr>
          <w:sz w:val="22"/>
        </w:rPr>
        <w:t xml:space="preserve">ould </w:t>
      </w:r>
      <w:r>
        <w:rPr>
          <w:sz w:val="22"/>
        </w:rPr>
        <w:t>not meet the safe harbor</w:t>
      </w:r>
      <w:r w:rsidR="00A23F7E">
        <w:rPr>
          <w:sz w:val="22"/>
        </w:rPr>
        <w:t>, if adopted</w:t>
      </w:r>
      <w:r>
        <w:rPr>
          <w:sz w:val="22"/>
        </w:rPr>
        <w:t>, the Commission also sought comment on other aspects of a more detailed review process, such as asking operators to provide additional detail on alternative satellite designs that were considered during development or additional measures that will be taken to reduce the total collision risk.</w:t>
      </w:r>
      <w:r>
        <w:rPr>
          <w:rStyle w:val="FootnoteReference"/>
        </w:rPr>
        <w:footnoteReference w:id="28"/>
      </w:r>
      <w:r>
        <w:rPr>
          <w:sz w:val="22"/>
        </w:rPr>
        <w:t xml:space="preserve">  To this end, the Commission sought input on what additional measures may correlate with lower risk and if there were specific measures that can be specified with a goal of minimizing the need for a case-by-case approach.</w:t>
      </w:r>
      <w:r>
        <w:rPr>
          <w:rStyle w:val="FootnoteReference"/>
        </w:rPr>
        <w:footnoteReference w:id="29"/>
      </w:r>
    </w:p>
    <w:p w:rsidR="00D47945" w:rsidRPr="00D47945" w:rsidP="002B2884" w14:paraId="6C2CBF96" w14:textId="2F4B9CB7">
      <w:pPr>
        <w:autoSpaceDE w:val="0"/>
        <w:autoSpaceDN w:val="0"/>
        <w:adjustRightInd w:val="0"/>
        <w:ind w:firstLine="720"/>
        <w:rPr>
          <w:sz w:val="22"/>
        </w:rPr>
      </w:pPr>
      <w:r w:rsidRPr="7E77EBCC">
        <w:rPr>
          <w:sz w:val="22"/>
        </w:rPr>
        <w:t xml:space="preserve">We encourage interested parties to submit new or additional relevant information related to these and other questions laid out in the </w:t>
      </w:r>
      <w:r w:rsidRPr="7E77EBCC">
        <w:rPr>
          <w:i/>
          <w:iCs/>
          <w:sz w:val="22"/>
        </w:rPr>
        <w:t>FNPRM</w:t>
      </w:r>
      <w:r w:rsidRPr="7E77EBCC">
        <w:rPr>
          <w:sz w:val="22"/>
        </w:rPr>
        <w:t xml:space="preserve">, as well as information about the present state of the orbital debris environment and the satellite industry at large, including the types of mission profiles or additional considerations that may have </w:t>
      </w:r>
      <w:r w:rsidRPr="7E77EBCC" w:rsidR="386BD567">
        <w:rPr>
          <w:sz w:val="22"/>
        </w:rPr>
        <w:t>arisen</w:t>
      </w:r>
      <w:r w:rsidRPr="7E77EBCC">
        <w:rPr>
          <w:sz w:val="22"/>
        </w:rPr>
        <w:t xml:space="preserve"> with more prominence since the </w:t>
      </w:r>
      <w:r w:rsidRPr="7E77EBCC">
        <w:rPr>
          <w:i/>
          <w:iCs/>
          <w:sz w:val="22"/>
        </w:rPr>
        <w:t>FNPRM</w:t>
      </w:r>
      <w:r w:rsidRPr="7E77EBCC">
        <w:rPr>
          <w:sz w:val="22"/>
        </w:rPr>
        <w:t xml:space="preserve"> was first adopted.  We recognize that </w:t>
      </w:r>
      <w:r w:rsidR="00CE2CD8">
        <w:rPr>
          <w:sz w:val="22"/>
        </w:rPr>
        <w:t>the satellite industry is</w:t>
      </w:r>
      <w:r w:rsidRPr="7E77EBCC">
        <w:rPr>
          <w:sz w:val="22"/>
        </w:rPr>
        <w:t xml:space="preserve"> rapidly evolving</w:t>
      </w:r>
      <w:r w:rsidR="00CE2CD8">
        <w:rPr>
          <w:sz w:val="22"/>
        </w:rPr>
        <w:t xml:space="preserve"> and that </w:t>
      </w:r>
      <w:r w:rsidRPr="7E77EBCC">
        <w:rPr>
          <w:sz w:val="22"/>
        </w:rPr>
        <w:t>issues or concerns</w:t>
      </w:r>
      <w:r w:rsidR="00CE2CD8">
        <w:rPr>
          <w:sz w:val="22"/>
        </w:rPr>
        <w:t xml:space="preserve"> may have arisen that </w:t>
      </w:r>
      <w:r w:rsidR="00CE2CD8">
        <w:rPr>
          <w:sz w:val="22"/>
        </w:rPr>
        <w:t>were</w:t>
      </w:r>
      <w:r w:rsidRPr="7E77EBCC">
        <w:rPr>
          <w:sz w:val="22"/>
        </w:rPr>
        <w:t xml:space="preserve"> not</w:t>
      </w:r>
      <w:r w:rsidR="00CE2CD8">
        <w:rPr>
          <w:sz w:val="22"/>
        </w:rPr>
        <w:t xml:space="preserve"> expressly</w:t>
      </w:r>
      <w:r w:rsidRPr="7E77EBCC">
        <w:rPr>
          <w:sz w:val="22"/>
        </w:rPr>
        <w:t xml:space="preserve"> considered at the time the </w:t>
      </w:r>
      <w:r w:rsidRPr="7E77EBCC">
        <w:rPr>
          <w:i/>
          <w:iCs/>
          <w:sz w:val="22"/>
        </w:rPr>
        <w:t>FNPRM</w:t>
      </w:r>
      <w:r w:rsidRPr="7E77EBCC">
        <w:rPr>
          <w:sz w:val="22"/>
        </w:rPr>
        <w:t xml:space="preserve"> was adopted</w:t>
      </w:r>
      <w:r w:rsidR="00DA6BB2">
        <w:rPr>
          <w:sz w:val="22"/>
        </w:rPr>
        <w:t>,</w:t>
      </w:r>
      <w:r w:rsidRPr="7E77EBCC">
        <w:rPr>
          <w:sz w:val="22"/>
        </w:rPr>
        <w:t xml:space="preserve"> or</w:t>
      </w:r>
      <w:r w:rsidR="00DA6BB2">
        <w:rPr>
          <w:sz w:val="22"/>
        </w:rPr>
        <w:t xml:space="preserve"> that stakeholders now feel have </w:t>
      </w:r>
      <w:r w:rsidRPr="7E77EBCC">
        <w:rPr>
          <w:sz w:val="22"/>
        </w:rPr>
        <w:t xml:space="preserve">otherwise rendered some of the initial considerations and proposals in the </w:t>
      </w:r>
      <w:r w:rsidRPr="7E77EBCC">
        <w:rPr>
          <w:i/>
          <w:iCs/>
          <w:sz w:val="22"/>
        </w:rPr>
        <w:t>FNPRM</w:t>
      </w:r>
      <w:r w:rsidRPr="7E77EBCC">
        <w:rPr>
          <w:sz w:val="22"/>
        </w:rPr>
        <w:t xml:space="preserve"> obsolete or infeasible.  Accordingly, we invite interested parties to provide additional specific recommendations or alternative proposals, supported by relevant experience and source material that may not have been available prior to this public notice, as it pertains to the issues </w:t>
      </w:r>
      <w:r w:rsidRPr="7E77EBCC" w:rsidR="003F1E04">
        <w:rPr>
          <w:sz w:val="22"/>
        </w:rPr>
        <w:t xml:space="preserve">raised here and </w:t>
      </w:r>
      <w:r w:rsidRPr="7E77EBCC">
        <w:rPr>
          <w:sz w:val="22"/>
        </w:rPr>
        <w:t xml:space="preserve">presented in the </w:t>
      </w:r>
      <w:r w:rsidRPr="7E77EBCC">
        <w:rPr>
          <w:i/>
          <w:iCs/>
          <w:sz w:val="22"/>
        </w:rPr>
        <w:t>FNPRM.</w:t>
      </w:r>
    </w:p>
    <w:p w:rsidR="00405A39" w:rsidRPr="00360312" w:rsidP="00360312" w14:paraId="7996FDB2" w14:textId="04FFE118">
      <w:pPr>
        <w:autoSpaceDE w:val="0"/>
        <w:autoSpaceDN w:val="0"/>
        <w:adjustRightInd w:val="0"/>
        <w:ind w:firstLine="720"/>
        <w:rPr>
          <w:sz w:val="22"/>
        </w:rPr>
      </w:pPr>
      <w:r w:rsidRPr="00360312">
        <w:rPr>
          <w:i/>
          <w:iCs/>
          <w:sz w:val="22"/>
        </w:rPr>
        <w:t>Regulatory Flexibility Analysis.</w:t>
      </w:r>
      <w:r w:rsidRPr="00360312">
        <w:rPr>
          <w:sz w:val="22"/>
        </w:rPr>
        <w:t xml:space="preserve">  </w:t>
      </w:r>
      <w:r w:rsidRPr="00360312" w:rsidR="00360312">
        <w:rPr>
          <w:sz w:val="22"/>
        </w:rPr>
        <w:t xml:space="preserve">The </w:t>
      </w:r>
      <w:r w:rsidRPr="00360312" w:rsidR="00360312">
        <w:rPr>
          <w:i/>
          <w:iCs/>
          <w:sz w:val="22"/>
        </w:rPr>
        <w:t xml:space="preserve">FNPRM </w:t>
      </w:r>
      <w:r w:rsidRPr="00360312" w:rsidR="00360312">
        <w:rPr>
          <w:sz w:val="22"/>
        </w:rPr>
        <w:t>included an Initial Regulatory Flexibility Analysis (“IRFA”) pursuant to 5 U.S.C. § 603, exploring the potential impact on small entities of the Commission’s proposals.</w:t>
      </w:r>
      <w:r>
        <w:rPr>
          <w:rStyle w:val="FootnoteReference"/>
        </w:rPr>
        <w:footnoteReference w:id="30"/>
      </w:r>
      <w:r w:rsidRPr="00360312" w:rsidR="00360312">
        <w:rPr>
          <w:sz w:val="22"/>
        </w:rPr>
        <w:t xml:space="preserve">  We invite parties to file</w:t>
      </w:r>
      <w:r w:rsidR="0082730A">
        <w:rPr>
          <w:sz w:val="22"/>
        </w:rPr>
        <w:t xml:space="preserve"> suppl</w:t>
      </w:r>
      <w:r w:rsidR="00EA7666">
        <w:rPr>
          <w:sz w:val="22"/>
        </w:rPr>
        <w:t>e</w:t>
      </w:r>
      <w:r w:rsidR="0082730A">
        <w:rPr>
          <w:sz w:val="22"/>
        </w:rPr>
        <w:t>mental</w:t>
      </w:r>
      <w:r w:rsidRPr="00360312" w:rsidR="00360312">
        <w:rPr>
          <w:sz w:val="22"/>
        </w:rPr>
        <w:t xml:space="preserve"> comments on the IRFA in light of this request to refresh the record.</w:t>
      </w:r>
    </w:p>
    <w:p w:rsidR="00405A39" w:rsidRPr="00360312" w:rsidP="00405A39" w14:paraId="436A18DF" w14:textId="2828C574">
      <w:pPr>
        <w:autoSpaceDE w:val="0"/>
        <w:autoSpaceDN w:val="0"/>
        <w:adjustRightInd w:val="0"/>
        <w:ind w:firstLine="720"/>
        <w:rPr>
          <w:sz w:val="22"/>
        </w:rPr>
      </w:pPr>
      <w:r w:rsidRPr="00360312">
        <w:rPr>
          <w:i/>
          <w:iCs/>
          <w:sz w:val="22"/>
        </w:rPr>
        <w:t>Ex Parte Rules.</w:t>
      </w:r>
      <w:r w:rsidRPr="00360312">
        <w:rPr>
          <w:sz w:val="22"/>
        </w:rPr>
        <w:t xml:space="preserve">  This proceeding has been designated as a “permit-but-disclose” proceeding in accordance with the Commission’s ex parte rules.</w:t>
      </w:r>
      <w:r>
        <w:rPr>
          <w:rStyle w:val="FootnoteReference"/>
          <w:sz w:val="22"/>
        </w:rPr>
        <w:footnoteReference w:id="31"/>
      </w:r>
      <w:r w:rsidRPr="00360312">
        <w:rPr>
          <w:sz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405A39" w:rsidRPr="00360312" w:rsidP="00405A39" w14:paraId="431F03A1" w14:textId="77777777">
      <w:pPr>
        <w:pStyle w:val="ParaNum"/>
        <w:numPr>
          <w:ilvl w:val="0"/>
          <w:numId w:val="0"/>
        </w:numPr>
        <w:ind w:firstLine="720"/>
        <w:rPr>
          <w:sz w:val="22"/>
        </w:rPr>
      </w:pPr>
      <w:r w:rsidRPr="00360312">
        <w:rPr>
          <w:i/>
          <w:iCs/>
          <w:sz w:val="22"/>
        </w:rPr>
        <w:t xml:space="preserve">Filing Requirements. </w:t>
      </w:r>
      <w:r w:rsidRPr="00360312">
        <w:rPr>
          <w:sz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p>
    <w:p w:rsidR="00405A39" w:rsidRPr="00360312" w:rsidP="00405A39" w14:paraId="17DB00C5" w14:textId="77777777">
      <w:pPr>
        <w:pStyle w:val="ListParagraph"/>
        <w:widowControl w:val="0"/>
        <w:numPr>
          <w:ilvl w:val="0"/>
          <w:numId w:val="40"/>
        </w:numPr>
        <w:contextualSpacing w:val="0"/>
        <w:rPr>
          <w:sz w:val="22"/>
        </w:rPr>
      </w:pPr>
      <w:r w:rsidRPr="00360312">
        <w:rPr>
          <w:i/>
          <w:iCs/>
          <w:sz w:val="22"/>
        </w:rPr>
        <w:t>Electronic Filers</w:t>
      </w:r>
      <w:r w:rsidRPr="00360312">
        <w:rPr>
          <w:sz w:val="22"/>
        </w:rPr>
        <w:t>:  Comments may be filed electronically using the Internet by accessing the ECFS:  http://www.fcc.gov/ecfs/.</w:t>
      </w:r>
    </w:p>
    <w:p w:rsidR="00405A39" w:rsidRPr="00360312" w:rsidP="00405A39" w14:paraId="47B951C5" w14:textId="77777777">
      <w:pPr>
        <w:pStyle w:val="ListParagraph"/>
        <w:widowControl w:val="0"/>
        <w:numPr>
          <w:ilvl w:val="0"/>
          <w:numId w:val="40"/>
        </w:numPr>
        <w:contextualSpacing w:val="0"/>
        <w:rPr>
          <w:sz w:val="22"/>
        </w:rPr>
      </w:pPr>
      <w:r w:rsidRPr="00360312">
        <w:rPr>
          <w:i/>
          <w:iCs/>
          <w:sz w:val="22"/>
        </w:rPr>
        <w:t>Paper Filers</w:t>
      </w:r>
      <w:r w:rsidRPr="00360312">
        <w:rPr>
          <w:sz w:val="22"/>
        </w:rPr>
        <w:t>:  Parties who choose to file by paper must file an original and one copy of each filing.</w:t>
      </w:r>
    </w:p>
    <w:p w:rsidR="00405A39" w:rsidRPr="00360312" w:rsidP="00405A39" w14:paraId="2B82C1FE" w14:textId="77777777">
      <w:pPr>
        <w:pStyle w:val="ListParagraph"/>
        <w:widowControl w:val="0"/>
        <w:numPr>
          <w:ilvl w:val="0"/>
          <w:numId w:val="40"/>
        </w:numPr>
        <w:contextualSpacing w:val="0"/>
        <w:rPr>
          <w:sz w:val="22"/>
        </w:rPr>
      </w:pPr>
      <w:r w:rsidRPr="00360312">
        <w:rPr>
          <w:sz w:val="22"/>
        </w:rPr>
        <w:t>Filings can be sent by commercial overnight courier, or by first-class or overnight U.S. Postal Service mail.  All filings must be addressed to the Commission’s Secretary, Office of the Secretary, Federal Communications Commission.</w:t>
      </w:r>
    </w:p>
    <w:p w:rsidR="00405A39" w:rsidRPr="00360312" w:rsidP="00405A39" w14:paraId="5258F56E" w14:textId="77777777">
      <w:pPr>
        <w:pStyle w:val="ListParagraph"/>
        <w:widowControl w:val="0"/>
        <w:numPr>
          <w:ilvl w:val="0"/>
          <w:numId w:val="40"/>
        </w:numPr>
        <w:contextualSpacing w:val="0"/>
        <w:rPr>
          <w:sz w:val="22"/>
        </w:rPr>
      </w:pPr>
      <w:r w:rsidRPr="00360312">
        <w:rPr>
          <w:sz w:val="22"/>
        </w:rPr>
        <w:t>Commercial overnight mail (other than U.S. Postal Service Express Mail and Priority Mail) must be sent to 9050 Junction Drive, Annapolis Junction, MD 20701.</w:t>
      </w:r>
    </w:p>
    <w:p w:rsidR="00405A39" w:rsidRPr="00360312" w:rsidP="00405A39" w14:paraId="39CC53BB" w14:textId="77777777">
      <w:pPr>
        <w:pStyle w:val="ListParagraph"/>
        <w:numPr>
          <w:ilvl w:val="0"/>
          <w:numId w:val="40"/>
        </w:numPr>
        <w:contextualSpacing w:val="0"/>
        <w:rPr>
          <w:sz w:val="22"/>
        </w:rPr>
      </w:pPr>
      <w:r w:rsidRPr="00360312">
        <w:rPr>
          <w:sz w:val="22"/>
        </w:rPr>
        <w:t>U.S. Postal Service first-class, Express, and Priority mail must be addressed to 45 L Street NE Washington, DC 20554.</w:t>
      </w:r>
    </w:p>
    <w:p w:rsidR="00405A39" w:rsidRPr="00360312" w:rsidP="00405A39" w14:paraId="728A10B7" w14:textId="3CEB00AB">
      <w:pPr>
        <w:autoSpaceDE w:val="0"/>
        <w:autoSpaceDN w:val="0"/>
        <w:adjustRightInd w:val="0"/>
        <w:rPr>
          <w:sz w:val="22"/>
        </w:rPr>
      </w:pPr>
      <w:r w:rsidRPr="00360312">
        <w:rPr>
          <w:sz w:val="22"/>
        </w:rPr>
        <w:t xml:space="preserve">Effective March 19, 2020, and until further notice, the Commission no longer accepts any hand or messenger delivered filings. </w:t>
      </w:r>
      <w:r w:rsidRPr="3D5C8F1E" w:rsidR="349CDC8C">
        <w:rPr>
          <w:sz w:val="22"/>
        </w:rPr>
        <w:t xml:space="preserve"> </w:t>
      </w:r>
      <w:r w:rsidRPr="00360312">
        <w:rPr>
          <w:sz w:val="22"/>
        </w:rPr>
        <w:t xml:space="preserve">This is a temporary measure taken to help protect the health and safety of individuals, and to mitigate the transmission of COVID-19.  </w:t>
      </w:r>
      <w:r w:rsidRPr="00360312">
        <w:rPr>
          <w:i/>
          <w:iCs/>
          <w:sz w:val="22"/>
        </w:rPr>
        <w:t>See</w:t>
      </w:r>
      <w:r w:rsidRPr="00360312">
        <w:rPr>
          <w:sz w:val="22"/>
        </w:rPr>
        <w:t xml:space="preserve"> FCC Announces Closure of FCC Headquarters Open Window and Change in Hand-Delivery Policy, Public Notice, 35 FCC </w:t>
      </w:r>
      <w:r w:rsidRPr="00360312">
        <w:rPr>
          <w:sz w:val="22"/>
        </w:rPr>
        <w:t>Rcd</w:t>
      </w:r>
      <w:r w:rsidRPr="00360312">
        <w:rPr>
          <w:sz w:val="22"/>
        </w:rPr>
        <w:t xml:space="preserve"> 2788, 2788-89 (OS 2020), </w:t>
      </w:r>
      <w:hyperlink r:id="rId5">
        <w:r w:rsidRPr="3D5C8F1E">
          <w:rPr>
            <w:rStyle w:val="Hyperlink"/>
            <w:sz w:val="22"/>
          </w:rPr>
          <w:t>https://www.fcc.gov/document/fcc-closes-headquarters-open-window-and-changes-hand-delivery-policy</w:t>
        </w:r>
      </w:hyperlink>
      <w:r w:rsidRPr="00360312">
        <w:rPr>
          <w:sz w:val="22"/>
        </w:rPr>
        <w:t>.</w:t>
      </w:r>
    </w:p>
    <w:p w:rsidR="00405A39" w:rsidRPr="00360312" w:rsidP="00405A39" w14:paraId="5B355155" w14:textId="75FCD614">
      <w:pPr>
        <w:autoSpaceDE w:val="0"/>
        <w:autoSpaceDN w:val="0"/>
        <w:adjustRightInd w:val="0"/>
        <w:ind w:firstLine="720"/>
        <w:rPr>
          <w:sz w:val="22"/>
        </w:rPr>
      </w:pPr>
      <w:r w:rsidRPr="00360312">
        <w:rPr>
          <w:i/>
          <w:iCs/>
          <w:sz w:val="22"/>
        </w:rPr>
        <w:t>People with Disabilities</w:t>
      </w:r>
      <w:r w:rsidRPr="00360312">
        <w:rPr>
          <w:sz w:val="22"/>
        </w:rPr>
        <w:t xml:space="preserve">.  To request materials in accessible formats for people with disabilities (braille, large print, electronic files, audio format), send an e-mail to </w:t>
      </w:r>
      <w:hyperlink r:id="rId6" w:history="1">
        <w:r w:rsidRPr="00360312">
          <w:rPr>
            <w:rStyle w:val="Hyperlink"/>
            <w:sz w:val="22"/>
          </w:rPr>
          <w:t>fcc504@fcc.gov</w:t>
        </w:r>
      </w:hyperlink>
      <w:r w:rsidRPr="00360312">
        <w:rPr>
          <w:sz w:val="22"/>
        </w:rPr>
        <w:t xml:space="preserve"> or call the FCC’s Consumer and Governmental Affairs Bureau at (202) 418-0530 (voice).</w:t>
      </w:r>
    </w:p>
    <w:p w:rsidR="00405A39" w:rsidRPr="00360312" w:rsidP="00405A39" w14:paraId="459E09A6" w14:textId="4A25DF03">
      <w:pPr>
        <w:autoSpaceDE w:val="0"/>
        <w:autoSpaceDN w:val="0"/>
        <w:adjustRightInd w:val="0"/>
        <w:ind w:firstLine="720"/>
        <w:rPr>
          <w:sz w:val="22"/>
        </w:rPr>
      </w:pPr>
      <w:r w:rsidRPr="00360312">
        <w:rPr>
          <w:i/>
          <w:iCs/>
          <w:sz w:val="22"/>
        </w:rPr>
        <w:t>Availability of Documents</w:t>
      </w:r>
      <w:r w:rsidRPr="00360312">
        <w:rPr>
          <w:sz w:val="22"/>
        </w:rPr>
        <w:t xml:space="preserve">.  Comments, reply comments, and ex parte submissions will be available via ECFS. </w:t>
      </w:r>
      <w:r w:rsidRPr="3D5C8F1E" w:rsidR="7303989E">
        <w:rPr>
          <w:sz w:val="22"/>
        </w:rPr>
        <w:t xml:space="preserve"> </w:t>
      </w:r>
      <w:r w:rsidRPr="00360312">
        <w:rPr>
          <w:sz w:val="22"/>
        </w:rPr>
        <w:t>Documents will be available electronically in ASCII, Microsoft Word, and/or Adobe Acrobat.</w:t>
      </w:r>
    </w:p>
    <w:p w:rsidR="00405A39" w:rsidRPr="00360312" w:rsidP="00405A39" w14:paraId="4761A7E2" w14:textId="4D9DBF5A">
      <w:pPr>
        <w:autoSpaceDE w:val="0"/>
        <w:autoSpaceDN w:val="0"/>
        <w:adjustRightInd w:val="0"/>
        <w:ind w:firstLine="720"/>
        <w:rPr>
          <w:sz w:val="22"/>
        </w:rPr>
      </w:pPr>
      <w:r w:rsidRPr="00360312">
        <w:rPr>
          <w:i/>
          <w:iCs/>
          <w:sz w:val="22"/>
        </w:rPr>
        <w:t>Additional Information</w:t>
      </w:r>
      <w:r w:rsidRPr="00360312">
        <w:rPr>
          <w:sz w:val="22"/>
        </w:rPr>
        <w:t xml:space="preserve">.  For additional information, contact Alexandra Horn, </w:t>
      </w:r>
      <w:hyperlink r:id="rId7" w:history="1">
        <w:r w:rsidR="00003503">
          <w:rPr>
            <w:rStyle w:val="Hyperlink"/>
            <w:sz w:val="22"/>
          </w:rPr>
          <w:t>a</w:t>
        </w:r>
        <w:r w:rsidRPr="00360312">
          <w:rPr>
            <w:rStyle w:val="Hyperlink"/>
            <w:sz w:val="22"/>
          </w:rPr>
          <w:t>lexandra.horn@fcc.gov</w:t>
        </w:r>
      </w:hyperlink>
      <w:r w:rsidRPr="00360312">
        <w:rPr>
          <w:sz w:val="22"/>
        </w:rPr>
        <w:t xml:space="preserve">, Space Bureau, Satellite Programs and Policy Division. </w:t>
      </w:r>
    </w:p>
    <w:p w:rsidR="00BC2E58" w:rsidP="00BC2E58" w14:paraId="76C12A07" w14:textId="77777777">
      <w:pPr>
        <w:pStyle w:val="ListParagraph"/>
      </w:pPr>
    </w:p>
    <w:p w:rsidR="00E47ACA" w:rsidRPr="00D43737" w:rsidP="00394CD2" w14:paraId="074A1CCB" w14:textId="2D552E7E">
      <w:pPr>
        <w:jc w:val="center"/>
        <w:rPr>
          <w:sz w:val="22"/>
        </w:rPr>
      </w:pPr>
      <w:r w:rsidRPr="004F3F44">
        <w:rPr>
          <w:b/>
        </w:rPr>
        <w:t xml:space="preserve">– FCC </w:t>
      </w:r>
      <w:r w:rsidRPr="004F3F44">
        <w:rPr>
          <w:b/>
          <w:bCs/>
        </w:rPr>
        <w:t>–</w:t>
      </w:r>
    </w:p>
    <w:p w:rsidR="00E47ACA" w:rsidRPr="00D43737" w:rsidP="00E47ACA" w14:paraId="352150C6" w14:textId="77777777">
      <w:pPr>
        <w:rPr>
          <w:sz w:val="22"/>
        </w:rPr>
      </w:pPr>
    </w:p>
    <w:p w:rsidR="00E47ACA" w:rsidRPr="00D43737" w:rsidP="00E47ACA" w14:paraId="499AEC57" w14:textId="77777777">
      <w:pPr>
        <w:rPr>
          <w:sz w:val="22"/>
        </w:rPr>
      </w:pPr>
    </w:p>
    <w:p w:rsidR="00E47ACA" w:rsidRPr="00D43737" w:rsidP="00E47ACA" w14:paraId="0AB1E31B" w14:textId="77777777">
      <w:pPr>
        <w:rPr>
          <w:sz w:val="22"/>
        </w:rPr>
      </w:pPr>
    </w:p>
    <w:p w:rsidR="00E47ACA" w:rsidRPr="00D43737" w:rsidP="00E47ACA" w14:paraId="04DD53C8" w14:textId="77777777">
      <w:pPr>
        <w:rPr>
          <w:sz w:val="22"/>
        </w:rPr>
      </w:pPr>
    </w:p>
    <w:p w:rsidR="00E47ACA" w:rsidRPr="00D43737" w:rsidP="00E47ACA" w14:paraId="724A667D" w14:textId="77777777">
      <w:pPr>
        <w:rPr>
          <w:sz w:val="22"/>
        </w:rPr>
      </w:pPr>
    </w:p>
    <w:p w:rsidR="00E47ACA" w:rsidRPr="00D43737" w:rsidP="00E47ACA" w14:paraId="6E1CE9AD" w14:textId="77777777">
      <w:pPr>
        <w:rPr>
          <w:sz w:val="22"/>
        </w:rPr>
      </w:pPr>
    </w:p>
    <w:p w:rsidR="00E47ACA" w:rsidRPr="00D43737" w:rsidP="00E47ACA" w14:paraId="63666B0D" w14:textId="77777777">
      <w:pPr>
        <w:rPr>
          <w:sz w:val="22"/>
        </w:rPr>
      </w:pPr>
    </w:p>
    <w:p w:rsidR="00E47ACA" w:rsidRPr="00D43737" w:rsidP="00E47ACA" w14:paraId="21CB871D" w14:textId="77777777">
      <w:pPr>
        <w:rPr>
          <w:sz w:val="22"/>
        </w:rPr>
      </w:pPr>
    </w:p>
    <w:p w:rsidR="00E47ACA" w:rsidRPr="00D43737" w:rsidP="00E47ACA" w14:paraId="7D81541E" w14:textId="77777777">
      <w:pPr>
        <w:rPr>
          <w:sz w:val="22"/>
        </w:rPr>
      </w:pPr>
    </w:p>
    <w:p w:rsidR="00E47ACA" w:rsidRPr="00D43737" w:rsidP="00E47ACA" w14:paraId="3CAC38FC" w14:textId="77777777">
      <w:pPr>
        <w:rPr>
          <w:sz w:val="22"/>
        </w:rPr>
      </w:pPr>
    </w:p>
    <w:p w:rsidR="00E47ACA" w:rsidRPr="00D43737" w:rsidP="00E47ACA" w14:paraId="0DCA6641" w14:textId="77777777">
      <w:pPr>
        <w:rPr>
          <w:sz w:val="22"/>
        </w:rPr>
      </w:pPr>
    </w:p>
    <w:p w:rsidR="00E47ACA" w:rsidRPr="00D43737" w:rsidP="00E47ACA" w14:paraId="2596A01A" w14:textId="77777777">
      <w:pPr>
        <w:rPr>
          <w:sz w:val="22"/>
        </w:rPr>
      </w:pPr>
    </w:p>
    <w:p w:rsidR="00E47ACA" w:rsidRPr="00D43737" w:rsidP="00E47ACA" w14:paraId="01EDFC16" w14:textId="77777777">
      <w:pPr>
        <w:rPr>
          <w:sz w:val="22"/>
        </w:rPr>
      </w:pPr>
    </w:p>
    <w:p w:rsidR="00E47ACA" w:rsidRPr="00D43737" w:rsidP="00E47ACA" w14:paraId="0AB22C24" w14:textId="77777777">
      <w:pPr>
        <w:rPr>
          <w:sz w:val="22"/>
        </w:rPr>
      </w:pPr>
    </w:p>
    <w:p w:rsidR="00E47ACA" w:rsidRPr="00D43737" w:rsidP="00E47ACA" w14:paraId="67687D71" w14:textId="77777777">
      <w:pPr>
        <w:rPr>
          <w:sz w:val="22"/>
        </w:rPr>
      </w:pPr>
    </w:p>
    <w:p w:rsidR="00E47ACA" w:rsidRPr="00D43737" w:rsidP="00E47ACA" w14:paraId="7C3FA440" w14:textId="77777777">
      <w:pPr>
        <w:rPr>
          <w:sz w:val="22"/>
        </w:rPr>
      </w:pPr>
    </w:p>
    <w:p w:rsidR="00E47ACA" w:rsidRPr="00D43737" w:rsidP="00E47ACA" w14:paraId="33138F87" w14:textId="77777777">
      <w:pPr>
        <w:rPr>
          <w:sz w:val="22"/>
        </w:rPr>
      </w:pPr>
    </w:p>
    <w:p w:rsidR="00E47ACA" w:rsidRPr="00D43737" w:rsidP="00E47ACA" w14:paraId="17844408" w14:textId="77777777">
      <w:pPr>
        <w:rPr>
          <w:sz w:val="22"/>
        </w:rPr>
      </w:pPr>
    </w:p>
    <w:p w:rsidR="00E47ACA" w:rsidRPr="00D43737" w:rsidP="00E47ACA" w14:paraId="59D20255" w14:textId="77777777">
      <w:pPr>
        <w:rPr>
          <w:sz w:val="22"/>
        </w:rPr>
      </w:pPr>
    </w:p>
    <w:p w:rsidR="00E47ACA" w:rsidRPr="00D43737" w:rsidP="00D43737" w14:paraId="4E99DA13" w14:textId="77777777">
      <w:pPr>
        <w:jc w:val="center"/>
        <w:rPr>
          <w:sz w:val="22"/>
        </w:rPr>
      </w:pPr>
    </w:p>
    <w:sectPr w:rsidSect="003236E9">
      <w:headerReference w:type="default" r:id="rId8"/>
      <w:footerReference w:type="default" r:id="rId9"/>
      <w:headerReference w:type="first" r:id="rId10"/>
      <w:footnotePr>
        <w:numRestart w:val="eachSect"/>
      </w:footnotePr>
      <w:endnotePr>
        <w:numFmt w:val="decimal"/>
      </w:endnotePr>
      <w:type w:val="continuous"/>
      <w:pgSz w:w="12240" w:h="15840" w:code="1"/>
      <w:pgMar w:top="1440" w:right="1440" w:bottom="720" w:left="1440" w:header="720" w:footer="720" w:gutter="0"/>
      <w:pgBorders w:offsetFrom="page">
        <w:top w:val="single" w:sz="4" w:space="24" w:color="FFFFFF" w:themeColor="background1"/>
        <w:left w:val="single" w:sz="4" w:space="24" w:color="FFFFFF" w:themeColor="background1"/>
        <w:right w:val="single" w:sz="4" w:space="24" w:color="FFFFFF" w:themeColor="background1"/>
      </w:pgBorders>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C7C" w:rsidRPr="00D43737" w:rsidP="00CF2522" w14:paraId="229AA844" w14:textId="6F10323F">
    <w:pPr>
      <w:pStyle w:val="Footer"/>
      <w:rPr>
        <w:sz w:val="22"/>
      </w:rPr>
    </w:pPr>
    <w:r w:rsidRPr="00D43737">
      <w:rPr>
        <w:sz w:val="22"/>
      </w:rPr>
      <w:fldChar w:fldCharType="begin"/>
    </w:r>
    <w:r w:rsidRPr="00D43737">
      <w:rPr>
        <w:sz w:val="22"/>
      </w:rPr>
      <w:instrText xml:space="preserve"> PAGE   \* MERGEFORMAT </w:instrText>
    </w:r>
    <w:r w:rsidRPr="00D43737">
      <w:rPr>
        <w:sz w:val="22"/>
      </w:rPr>
      <w:fldChar w:fldCharType="separate"/>
    </w:r>
    <w:r w:rsidRPr="00D43737" w:rsidR="006826DF">
      <w:rPr>
        <w:noProof/>
        <w:sz w:val="22"/>
      </w:rPr>
      <w:t>2</w:t>
    </w:r>
    <w:r w:rsidRPr="00D43737">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36E9" w14:paraId="431A6A18" w14:textId="77777777">
      <w:pPr>
        <w:spacing w:after="0"/>
      </w:pPr>
      <w:r>
        <w:separator/>
      </w:r>
    </w:p>
  </w:footnote>
  <w:footnote w:type="continuationSeparator" w:id="1">
    <w:p w:rsidR="003236E9" w14:paraId="24B99E23" w14:textId="77777777">
      <w:pPr>
        <w:spacing w:after="0"/>
      </w:pPr>
      <w:r>
        <w:continuationSeparator/>
      </w:r>
    </w:p>
  </w:footnote>
  <w:footnote w:type="continuationNotice" w:id="2">
    <w:p w:rsidR="003236E9" w14:paraId="5BF680D3" w14:textId="77777777">
      <w:pPr>
        <w:spacing w:after="0"/>
      </w:pPr>
    </w:p>
  </w:footnote>
  <w:footnote w:id="3">
    <w:p w:rsidR="0050172D" w:rsidRPr="00DD7A2B" w14:paraId="561F6600" w14:textId="1765F4AE">
      <w:pPr>
        <w:pStyle w:val="FootnoteText"/>
        <w:rPr>
          <w:szCs w:val="20"/>
        </w:rPr>
      </w:pPr>
      <w:r w:rsidRPr="00206B9F">
        <w:rPr>
          <w:rStyle w:val="FootnoteReference"/>
          <w:szCs w:val="20"/>
        </w:rPr>
        <w:footnoteRef/>
      </w:r>
      <w:r w:rsidRPr="00206B9F">
        <w:rPr>
          <w:szCs w:val="20"/>
        </w:rPr>
        <w:t xml:space="preserve"> </w:t>
      </w:r>
      <w:r w:rsidRPr="00206B9F" w:rsidR="00811DC6">
        <w:rPr>
          <w:i/>
          <w:iCs/>
          <w:szCs w:val="20"/>
        </w:rPr>
        <w:t>Orbital Debris in the New Space Age</w:t>
      </w:r>
      <w:r w:rsidRPr="00206B9F" w:rsidR="00811DC6">
        <w:rPr>
          <w:szCs w:val="20"/>
        </w:rPr>
        <w:t xml:space="preserve">, IB Docket No. 18-313, Report and Order and Further Notice of Proposed Rulemaking, 35 FCC </w:t>
      </w:r>
      <w:r w:rsidRPr="00206B9F" w:rsidR="00811DC6">
        <w:rPr>
          <w:szCs w:val="20"/>
        </w:rPr>
        <w:t>Rcd</w:t>
      </w:r>
      <w:r w:rsidRPr="00206B9F" w:rsidR="00811DC6">
        <w:rPr>
          <w:szCs w:val="20"/>
        </w:rPr>
        <w:t xml:space="preserve"> 4156 (2020) (</w:t>
      </w:r>
      <w:r w:rsidRPr="001107AC" w:rsidR="00744E4B">
        <w:rPr>
          <w:i/>
          <w:iCs/>
          <w:szCs w:val="20"/>
        </w:rPr>
        <w:t>2020</w:t>
      </w:r>
      <w:r w:rsidR="00744E4B">
        <w:rPr>
          <w:szCs w:val="20"/>
        </w:rPr>
        <w:t xml:space="preserve"> </w:t>
      </w:r>
      <w:r w:rsidRPr="00206B9F" w:rsidR="00811DC6">
        <w:rPr>
          <w:i/>
          <w:iCs/>
          <w:szCs w:val="20"/>
        </w:rPr>
        <w:t>Order</w:t>
      </w:r>
      <w:r w:rsidRPr="00206B9F" w:rsidR="00811DC6">
        <w:rPr>
          <w:szCs w:val="20"/>
        </w:rPr>
        <w:t xml:space="preserve"> or </w:t>
      </w:r>
      <w:r w:rsidRPr="001107AC" w:rsidR="00744E4B">
        <w:rPr>
          <w:i/>
          <w:iCs/>
          <w:szCs w:val="20"/>
        </w:rPr>
        <w:t>2020</w:t>
      </w:r>
      <w:r w:rsidR="00744E4B">
        <w:rPr>
          <w:szCs w:val="20"/>
        </w:rPr>
        <w:t xml:space="preserve"> </w:t>
      </w:r>
      <w:r w:rsidRPr="00206B9F" w:rsidR="00811DC6">
        <w:rPr>
          <w:i/>
          <w:iCs/>
          <w:szCs w:val="20"/>
        </w:rPr>
        <w:t>FNPRM</w:t>
      </w:r>
      <w:r w:rsidRPr="00D43737" w:rsidR="00811DC6">
        <w:rPr>
          <w:szCs w:val="20"/>
        </w:rPr>
        <w:t>)</w:t>
      </w:r>
      <w:r w:rsidR="005A22DD">
        <w:rPr>
          <w:szCs w:val="20"/>
        </w:rPr>
        <w:t xml:space="preserve">; </w:t>
      </w:r>
      <w:r w:rsidR="00853CEE">
        <w:rPr>
          <w:i/>
          <w:iCs/>
          <w:szCs w:val="20"/>
        </w:rPr>
        <w:t>s</w:t>
      </w:r>
      <w:r w:rsidR="005A22DD">
        <w:rPr>
          <w:i/>
          <w:iCs/>
          <w:szCs w:val="20"/>
        </w:rPr>
        <w:t>ee also Mitigation of Orbital Debris in the New Space Age</w:t>
      </w:r>
      <w:r w:rsidR="005A22DD">
        <w:rPr>
          <w:szCs w:val="20"/>
        </w:rPr>
        <w:t xml:space="preserve">, IB Docket No. 18-313, Order on Reconsideration, FCC-24-6 (Jan. 26, 2024) (affirming the </w:t>
      </w:r>
      <w:r w:rsidRPr="00D43737" w:rsidR="005A22DD">
        <w:rPr>
          <w:i/>
          <w:iCs/>
          <w:szCs w:val="20"/>
        </w:rPr>
        <w:t>2020 Order</w:t>
      </w:r>
      <w:r w:rsidR="005A22DD">
        <w:rPr>
          <w:szCs w:val="20"/>
        </w:rPr>
        <w:t>).</w:t>
      </w:r>
      <w:r w:rsidR="00853CEE">
        <w:rPr>
          <w:szCs w:val="20"/>
        </w:rPr>
        <w:t xml:space="preserve"> </w:t>
      </w:r>
      <w:r w:rsidR="00647CDD">
        <w:rPr>
          <w:szCs w:val="20"/>
        </w:rPr>
        <w:t xml:space="preserve"> </w:t>
      </w:r>
    </w:p>
  </w:footnote>
  <w:footnote w:id="4">
    <w:p w:rsidR="002D602E" w:rsidRPr="00206B9F" w14:paraId="134FA5CC" w14:textId="2C1AF7AE">
      <w:pPr>
        <w:pStyle w:val="FootnoteText"/>
        <w:rPr>
          <w:szCs w:val="20"/>
        </w:rPr>
      </w:pPr>
      <w:r w:rsidRPr="00206B9F">
        <w:rPr>
          <w:rStyle w:val="FootnoteReference"/>
          <w:szCs w:val="20"/>
        </w:rPr>
        <w:footnoteRef/>
      </w:r>
      <w:r w:rsidRPr="00206B9F">
        <w:rPr>
          <w:szCs w:val="20"/>
        </w:rPr>
        <w:t xml:space="preserve"> </w:t>
      </w:r>
      <w:r w:rsidRPr="00206B9F" w:rsidR="008C035F">
        <w:rPr>
          <w:i/>
          <w:iCs/>
          <w:szCs w:val="20"/>
        </w:rPr>
        <w:t xml:space="preserve">See </w:t>
      </w:r>
      <w:r w:rsidR="005A22DD">
        <w:rPr>
          <w:i/>
          <w:iCs/>
          <w:szCs w:val="20"/>
        </w:rPr>
        <w:t xml:space="preserve">2020 </w:t>
      </w:r>
      <w:r w:rsidRPr="00206B9F" w:rsidR="008C035F">
        <w:rPr>
          <w:i/>
          <w:iCs/>
          <w:szCs w:val="20"/>
        </w:rPr>
        <w:t>FNPRM</w:t>
      </w:r>
      <w:r w:rsidRPr="00206B9F" w:rsidR="008C035F">
        <w:rPr>
          <w:szCs w:val="20"/>
        </w:rPr>
        <w:t xml:space="preserve">; </w:t>
      </w:r>
      <w:r w:rsidRPr="00206B9F" w:rsidR="008C035F">
        <w:rPr>
          <w:i/>
          <w:iCs/>
          <w:szCs w:val="20"/>
        </w:rPr>
        <w:t xml:space="preserve">see also </w:t>
      </w:r>
      <w:r w:rsidRPr="00206B9F" w:rsidR="008C035F">
        <w:rPr>
          <w:szCs w:val="20"/>
        </w:rPr>
        <w:t>Federal Communications Commission, Mitigation of Orbital Debris in the New Space Age, 85 Fed. Reg. 52455 (Augus</w:t>
      </w:r>
      <w:r w:rsidR="00FE548F">
        <w:rPr>
          <w:szCs w:val="20"/>
        </w:rPr>
        <w:t>t</w:t>
      </w:r>
      <w:r w:rsidRPr="00206B9F" w:rsidR="008C035F">
        <w:rPr>
          <w:szCs w:val="20"/>
        </w:rPr>
        <w:t xml:space="preserve"> 25, 2020) (announcing the comment period ending on October 9, 2020, and the reply comment period ending on November 9, </w:t>
      </w:r>
      <w:r w:rsidRPr="00206B9F" w:rsidR="00D95D70">
        <w:rPr>
          <w:szCs w:val="20"/>
        </w:rPr>
        <w:t xml:space="preserve">2020). </w:t>
      </w:r>
    </w:p>
  </w:footnote>
  <w:footnote w:id="5">
    <w:p w:rsidR="002B7FDE" w:rsidRPr="00206B9F" w14:paraId="721F6355" w14:textId="676B090B">
      <w:pPr>
        <w:pStyle w:val="FootnoteText"/>
        <w:rPr>
          <w:szCs w:val="20"/>
        </w:rPr>
      </w:pPr>
      <w:r w:rsidRPr="00206B9F">
        <w:rPr>
          <w:rStyle w:val="FootnoteReference"/>
          <w:szCs w:val="20"/>
        </w:rPr>
        <w:footnoteRef/>
      </w:r>
      <w:r w:rsidRPr="00206B9F">
        <w:rPr>
          <w:szCs w:val="20"/>
        </w:rPr>
        <w:t xml:space="preserve"> </w:t>
      </w:r>
      <w:r w:rsidRPr="00206B9F" w:rsidR="00D95D70">
        <w:rPr>
          <w:i/>
          <w:iCs/>
          <w:szCs w:val="20"/>
        </w:rPr>
        <w:t xml:space="preserve">See, generally, </w:t>
      </w:r>
      <w:r w:rsidR="005A22DD">
        <w:rPr>
          <w:i/>
          <w:iCs/>
          <w:szCs w:val="20"/>
        </w:rPr>
        <w:t xml:space="preserve">2020 </w:t>
      </w:r>
      <w:r w:rsidRPr="00206B9F" w:rsidR="00D95D70">
        <w:rPr>
          <w:i/>
          <w:iCs/>
          <w:szCs w:val="20"/>
        </w:rPr>
        <w:t>FNPRM</w:t>
      </w:r>
      <w:r w:rsidRPr="00D43737" w:rsidR="00DA4D07">
        <w:rPr>
          <w:szCs w:val="20"/>
        </w:rPr>
        <w:t>,</w:t>
      </w:r>
      <w:r w:rsidRPr="00206B9F" w:rsidR="00D95D70">
        <w:rPr>
          <w:szCs w:val="20"/>
        </w:rPr>
        <w:t xml:space="preserve"> </w:t>
      </w:r>
      <w:r w:rsidRPr="00206B9F" w:rsidR="00DA4D07">
        <w:rPr>
          <w:szCs w:val="20"/>
        </w:rPr>
        <w:t xml:space="preserve">35 FCC </w:t>
      </w:r>
      <w:r w:rsidRPr="00206B9F" w:rsidR="00DA4D07">
        <w:rPr>
          <w:szCs w:val="20"/>
        </w:rPr>
        <w:t>Rcd</w:t>
      </w:r>
      <w:r w:rsidRPr="00206B9F" w:rsidR="00DA4D07">
        <w:rPr>
          <w:szCs w:val="20"/>
        </w:rPr>
        <w:t xml:space="preserve"> </w:t>
      </w:r>
      <w:r w:rsidR="00845F78">
        <w:rPr>
          <w:szCs w:val="20"/>
        </w:rPr>
        <w:t>at 4226</w:t>
      </w:r>
      <w:r w:rsidR="001B0053">
        <w:rPr>
          <w:szCs w:val="20"/>
        </w:rPr>
        <w:t>-49</w:t>
      </w:r>
      <w:r w:rsidRPr="00206B9F" w:rsidR="00DA4D07">
        <w:rPr>
          <w:szCs w:val="20"/>
        </w:rPr>
        <w:t xml:space="preserve">.  </w:t>
      </w:r>
      <w:r w:rsidRPr="00206B9F" w:rsidR="00324B39">
        <w:rPr>
          <w:szCs w:val="20"/>
        </w:rPr>
        <w:t xml:space="preserve">On September 29, 2022, the Commission adopted </w:t>
      </w:r>
      <w:r w:rsidRPr="00206B9F" w:rsidR="004D7E75">
        <w:rPr>
          <w:szCs w:val="20"/>
        </w:rPr>
        <w:t xml:space="preserve">a </w:t>
      </w:r>
      <w:r w:rsidRPr="00206B9F" w:rsidR="00133C0C">
        <w:rPr>
          <w:szCs w:val="20"/>
        </w:rPr>
        <w:t>Second</w:t>
      </w:r>
      <w:r w:rsidRPr="00206B9F" w:rsidR="004D7E75">
        <w:rPr>
          <w:szCs w:val="20"/>
        </w:rPr>
        <w:t xml:space="preserve"> Report and Order addressing the post-mission disposal lifetime issues raised in the </w:t>
      </w:r>
      <w:r w:rsidRPr="00206B9F" w:rsidR="004D7E75">
        <w:rPr>
          <w:i/>
          <w:iCs/>
          <w:szCs w:val="20"/>
        </w:rPr>
        <w:t>FNPRM</w:t>
      </w:r>
      <w:r w:rsidRPr="00206B9F" w:rsidR="002C1746">
        <w:rPr>
          <w:szCs w:val="20"/>
        </w:rPr>
        <w:t xml:space="preserve">, resulting in the adoption of a rule requiring satellite operators </w:t>
      </w:r>
      <w:r w:rsidRPr="00206B9F" w:rsidR="00E72E0E">
        <w:rPr>
          <w:szCs w:val="20"/>
        </w:rPr>
        <w:t xml:space="preserve">ending their mission in, or passing through </w:t>
      </w:r>
      <w:r w:rsidR="00193B90">
        <w:rPr>
          <w:szCs w:val="20"/>
        </w:rPr>
        <w:t>low Earth orbit (</w:t>
      </w:r>
      <w:r w:rsidRPr="00206B9F" w:rsidR="00E72E0E">
        <w:rPr>
          <w:szCs w:val="20"/>
        </w:rPr>
        <w:t>LEO</w:t>
      </w:r>
      <w:r w:rsidR="00193B90">
        <w:rPr>
          <w:szCs w:val="20"/>
        </w:rPr>
        <w:t>)</w:t>
      </w:r>
      <w:r w:rsidRPr="00206B9F" w:rsidR="00E72E0E">
        <w:rPr>
          <w:szCs w:val="20"/>
        </w:rPr>
        <w:t>,</w:t>
      </w:r>
      <w:r w:rsidRPr="00206B9F" w:rsidR="002C1746">
        <w:rPr>
          <w:szCs w:val="20"/>
        </w:rPr>
        <w:t xml:space="preserve"> to dispose of their satellites as soon as practicable, but no more than 5 years after</w:t>
      </w:r>
      <w:r w:rsidRPr="00206B9F" w:rsidR="00E72E0E">
        <w:rPr>
          <w:szCs w:val="20"/>
        </w:rPr>
        <w:t xml:space="preserve"> the end of the mission. </w:t>
      </w:r>
      <w:r w:rsidRPr="00206B9F" w:rsidR="00133C0C">
        <w:rPr>
          <w:szCs w:val="20"/>
        </w:rPr>
        <w:t xml:space="preserve"> </w:t>
      </w:r>
      <w:r w:rsidRPr="00206B9F" w:rsidR="00E72E0E">
        <w:rPr>
          <w:i/>
          <w:iCs/>
          <w:szCs w:val="20"/>
        </w:rPr>
        <w:t xml:space="preserve">See </w:t>
      </w:r>
      <w:r w:rsidR="00D66E56">
        <w:rPr>
          <w:i/>
          <w:iCs/>
          <w:szCs w:val="20"/>
        </w:rPr>
        <w:t>Space Innovation</w:t>
      </w:r>
      <w:r w:rsidR="00CF659D">
        <w:rPr>
          <w:i/>
          <w:iCs/>
          <w:szCs w:val="20"/>
        </w:rPr>
        <w:t>;</w:t>
      </w:r>
      <w:r w:rsidR="00D66E56">
        <w:rPr>
          <w:i/>
          <w:iCs/>
          <w:szCs w:val="20"/>
        </w:rPr>
        <w:t xml:space="preserve"> </w:t>
      </w:r>
      <w:r w:rsidRPr="00206B9F" w:rsidR="00D66E56">
        <w:rPr>
          <w:i/>
          <w:iCs/>
          <w:szCs w:val="20"/>
        </w:rPr>
        <w:t>Orbital Debris in the New Space Age</w:t>
      </w:r>
      <w:r w:rsidRPr="00D43737" w:rsidR="006F3C23">
        <w:rPr>
          <w:szCs w:val="20"/>
        </w:rPr>
        <w:t xml:space="preserve">, </w:t>
      </w:r>
      <w:r w:rsidRPr="00D43737" w:rsidR="001C6424">
        <w:rPr>
          <w:szCs w:val="20"/>
        </w:rPr>
        <w:t xml:space="preserve">IB Docket </w:t>
      </w:r>
      <w:r w:rsidRPr="00D43737" w:rsidR="00834569">
        <w:rPr>
          <w:szCs w:val="20"/>
        </w:rPr>
        <w:t>N</w:t>
      </w:r>
      <w:r w:rsidRPr="00D43737" w:rsidR="001C6424">
        <w:rPr>
          <w:szCs w:val="20"/>
        </w:rPr>
        <w:t>o</w:t>
      </w:r>
      <w:r w:rsidRPr="00D43737" w:rsidR="00834569">
        <w:rPr>
          <w:szCs w:val="20"/>
        </w:rPr>
        <w:t>s</w:t>
      </w:r>
      <w:r w:rsidRPr="00D43737" w:rsidR="001C6424">
        <w:rPr>
          <w:szCs w:val="20"/>
        </w:rPr>
        <w:t>. 18-313</w:t>
      </w:r>
      <w:r w:rsidRPr="00D43737" w:rsidR="00834569">
        <w:rPr>
          <w:szCs w:val="20"/>
        </w:rPr>
        <w:t xml:space="preserve"> and 22-271</w:t>
      </w:r>
      <w:r w:rsidRPr="00206B9F" w:rsidR="00FC7A0F">
        <w:rPr>
          <w:szCs w:val="20"/>
        </w:rPr>
        <w:t xml:space="preserve">, </w:t>
      </w:r>
      <w:r w:rsidRPr="00206B9F" w:rsidR="00C81931">
        <w:rPr>
          <w:szCs w:val="20"/>
        </w:rPr>
        <w:t xml:space="preserve">Second Report and Order, 37 FCC </w:t>
      </w:r>
      <w:r w:rsidR="00D66E56">
        <w:rPr>
          <w:szCs w:val="20"/>
        </w:rPr>
        <w:t>Rcd</w:t>
      </w:r>
      <w:r w:rsidR="00D66E56">
        <w:rPr>
          <w:szCs w:val="20"/>
        </w:rPr>
        <w:t xml:space="preserve"> </w:t>
      </w:r>
      <w:r w:rsidRPr="00206B9F" w:rsidR="00C81931">
        <w:rPr>
          <w:szCs w:val="20"/>
        </w:rPr>
        <w:t>11818 (2022).</w:t>
      </w:r>
    </w:p>
  </w:footnote>
  <w:footnote w:id="6">
    <w:p w:rsidR="00360312" w:rsidRPr="00206B9F" w14:paraId="40C4856C" w14:textId="1046D519">
      <w:pPr>
        <w:pStyle w:val="FootnoteText"/>
        <w:rPr>
          <w:szCs w:val="20"/>
        </w:rPr>
      </w:pPr>
      <w:r w:rsidRPr="00206B9F">
        <w:rPr>
          <w:rStyle w:val="FootnoteReference"/>
          <w:szCs w:val="20"/>
        </w:rPr>
        <w:footnoteRef/>
      </w:r>
      <w:r w:rsidRPr="00206B9F">
        <w:rPr>
          <w:szCs w:val="20"/>
        </w:rPr>
        <w:t xml:space="preserve"> </w:t>
      </w:r>
      <w:r w:rsidRPr="001107AC" w:rsidR="005A22DD">
        <w:rPr>
          <w:i/>
          <w:iCs/>
          <w:szCs w:val="20"/>
        </w:rPr>
        <w:t xml:space="preserve">2020 </w:t>
      </w:r>
      <w:r w:rsidRPr="00206B9F" w:rsidR="001D35A9">
        <w:rPr>
          <w:i/>
          <w:iCs/>
          <w:szCs w:val="20"/>
        </w:rPr>
        <w:t>Order</w:t>
      </w:r>
      <w:r w:rsidRPr="00206B9F" w:rsidR="001D35A9">
        <w:rPr>
          <w:szCs w:val="20"/>
        </w:rPr>
        <w:t>, 35 FCC</w:t>
      </w:r>
      <w:r w:rsidR="00E47ACA">
        <w:rPr>
          <w:szCs w:val="20"/>
        </w:rPr>
        <w:t xml:space="preserve"> </w:t>
      </w:r>
      <w:r w:rsidR="00E47ACA">
        <w:rPr>
          <w:szCs w:val="20"/>
        </w:rPr>
        <w:t>Rcd</w:t>
      </w:r>
      <w:r w:rsidR="00E47ACA">
        <w:rPr>
          <w:szCs w:val="20"/>
        </w:rPr>
        <w:t xml:space="preserve"> at</w:t>
      </w:r>
      <w:r w:rsidRPr="00206B9F" w:rsidR="001D35A9">
        <w:rPr>
          <w:szCs w:val="20"/>
        </w:rPr>
        <w:t xml:space="preserve"> 41</w:t>
      </w:r>
      <w:r w:rsidRPr="00206B9F" w:rsidR="00CD22E3">
        <w:rPr>
          <w:szCs w:val="20"/>
        </w:rPr>
        <w:t>66-67, para. 21.</w:t>
      </w:r>
    </w:p>
  </w:footnote>
  <w:footnote w:id="7">
    <w:p w:rsidR="004F3A0E" w:rsidRPr="00206B9F" w14:paraId="404A995B" w14:textId="7ACCDC5B">
      <w:pPr>
        <w:pStyle w:val="FootnoteText"/>
        <w:rPr>
          <w:szCs w:val="20"/>
        </w:rPr>
      </w:pPr>
      <w:r w:rsidRPr="00206B9F">
        <w:rPr>
          <w:rStyle w:val="FootnoteReference"/>
          <w:szCs w:val="20"/>
        </w:rPr>
        <w:footnoteRef/>
      </w:r>
      <w:r w:rsidRPr="00206B9F">
        <w:rPr>
          <w:szCs w:val="20"/>
        </w:rPr>
        <w:t xml:space="preserve"> </w:t>
      </w:r>
      <w:r w:rsidRPr="00206B9F" w:rsidR="00D3711C">
        <w:rPr>
          <w:i/>
          <w:iCs/>
          <w:szCs w:val="20"/>
        </w:rPr>
        <w:t xml:space="preserve">See, e.g., </w:t>
      </w:r>
      <w:r w:rsidRPr="00206B9F" w:rsidR="00D3711C">
        <w:rPr>
          <w:szCs w:val="20"/>
        </w:rPr>
        <w:t xml:space="preserve">NASA Spacecraft Conjunction Assessment and Collision Avoidance Best Practices Handbook, (Rev 1, updated February 2023), </w:t>
      </w:r>
      <w:hyperlink r:id="rId1" w:history="1">
        <w:r w:rsidRPr="00206B9F" w:rsidR="00D3711C">
          <w:rPr>
            <w:rStyle w:val="Hyperlink"/>
            <w:szCs w:val="20"/>
          </w:rPr>
          <w:t>https://nodis3.gsfc.nasa.gov/OCE_docs/OCE_51.pdf</w:t>
        </w:r>
      </w:hyperlink>
      <w:r w:rsidRPr="00206B9F" w:rsidR="00D3711C">
        <w:rPr>
          <w:szCs w:val="20"/>
        </w:rPr>
        <w:t xml:space="preserve">; </w:t>
      </w:r>
      <w:r w:rsidRPr="00206B9F" w:rsidR="00705E8E">
        <w:rPr>
          <w:szCs w:val="20"/>
        </w:rPr>
        <w:t xml:space="preserve">The Orbital Debris Interagency Working Group, Subcommittee on Space Weather, Security, and Hazards, of the National Science and Technology Council, </w:t>
      </w:r>
      <w:r w:rsidRPr="00206B9F" w:rsidR="00705E8E">
        <w:rPr>
          <w:i/>
          <w:iCs/>
          <w:szCs w:val="20"/>
        </w:rPr>
        <w:t>National Orbital Debris Implementation Plan</w:t>
      </w:r>
      <w:r w:rsidRPr="00206B9F" w:rsidR="00705E8E">
        <w:rPr>
          <w:szCs w:val="20"/>
        </w:rPr>
        <w:t xml:space="preserve"> (2022), </w:t>
      </w:r>
      <w:hyperlink r:id="rId2" w:history="1">
        <w:r w:rsidRPr="00206B9F" w:rsidR="00705E8E">
          <w:rPr>
            <w:rStyle w:val="Hyperlink"/>
            <w:szCs w:val="20"/>
          </w:rPr>
          <w:t>https://www.whitehouse.gov/wp-content/uploads/2022/07/07-2022-NATIONAL-ORBITAL-DEBRIS-IMPLEMENTATION-PLAN.pdf</w:t>
        </w:r>
      </w:hyperlink>
      <w:r w:rsidRPr="00206B9F" w:rsidR="00370FC0">
        <w:rPr>
          <w:rStyle w:val="Hyperlink"/>
          <w:szCs w:val="20"/>
          <w:u w:val="none"/>
        </w:rPr>
        <w:t xml:space="preserve">.  </w:t>
      </w:r>
      <w:r w:rsidRPr="00206B9F" w:rsidR="00370FC0">
        <w:rPr>
          <w:rStyle w:val="Hyperlink"/>
          <w:color w:val="auto"/>
          <w:szCs w:val="20"/>
          <w:u w:val="none"/>
        </w:rPr>
        <w:t xml:space="preserve">Additionally, </w:t>
      </w:r>
      <w:r w:rsidRPr="00206B9F" w:rsidR="00C74F81">
        <w:rPr>
          <w:rStyle w:val="Hyperlink"/>
          <w:color w:val="auto"/>
          <w:szCs w:val="20"/>
          <w:u w:val="none"/>
        </w:rPr>
        <w:t>many conferences, workshops, and working groups</w:t>
      </w:r>
      <w:r w:rsidRPr="00206B9F" w:rsidR="0023312C">
        <w:rPr>
          <w:rStyle w:val="Hyperlink"/>
          <w:color w:val="auto"/>
          <w:szCs w:val="20"/>
          <w:u w:val="none"/>
        </w:rPr>
        <w:t xml:space="preserve"> that published research and recommendations</w:t>
      </w:r>
      <w:r w:rsidRPr="00206B9F" w:rsidR="00C74F81">
        <w:rPr>
          <w:rStyle w:val="Hyperlink"/>
          <w:color w:val="auto"/>
          <w:szCs w:val="20"/>
          <w:u w:val="none"/>
        </w:rPr>
        <w:t xml:space="preserve"> pertaining to orbital debris mitigation and space sustainability have been held, </w:t>
      </w:r>
      <w:r w:rsidRPr="00206B9F" w:rsidR="0023312C">
        <w:rPr>
          <w:rStyle w:val="Hyperlink"/>
          <w:color w:val="auto"/>
          <w:szCs w:val="20"/>
          <w:u w:val="none"/>
        </w:rPr>
        <w:t xml:space="preserve">such as </w:t>
      </w:r>
      <w:r w:rsidRPr="00206B9F" w:rsidR="00370FC0">
        <w:rPr>
          <w:rStyle w:val="Hyperlink"/>
          <w:color w:val="auto"/>
          <w:szCs w:val="20"/>
          <w:u w:val="none"/>
        </w:rPr>
        <w:t>the Second International Orbital Debris Conference (IOC II) on Dec. 4-7, 2023</w:t>
      </w:r>
      <w:r w:rsidRPr="00206B9F" w:rsidR="00657F17">
        <w:rPr>
          <w:rStyle w:val="Hyperlink"/>
          <w:color w:val="auto"/>
          <w:szCs w:val="20"/>
          <w:u w:val="none"/>
        </w:rPr>
        <w:t>,</w:t>
      </w:r>
      <w:r w:rsidRPr="00206B9F" w:rsidR="00184560">
        <w:rPr>
          <w:rStyle w:val="Hyperlink"/>
          <w:color w:val="auto"/>
          <w:szCs w:val="20"/>
          <w:u w:val="none"/>
        </w:rPr>
        <w:t xml:space="preserve"> </w:t>
      </w:r>
      <w:hyperlink r:id="rId3" w:history="1">
        <w:r w:rsidRPr="00206B9F" w:rsidR="007A4EE0">
          <w:rPr>
            <w:rStyle w:val="Hyperlink"/>
            <w:szCs w:val="20"/>
          </w:rPr>
          <w:t>https://www.hou.usra.edu/meetings/orbitaldebris2023/</w:t>
        </w:r>
      </w:hyperlink>
      <w:r w:rsidRPr="00206B9F" w:rsidR="006804DB">
        <w:rPr>
          <w:rStyle w:val="Hyperlink"/>
          <w:color w:val="auto"/>
          <w:szCs w:val="20"/>
          <w:u w:val="none"/>
        </w:rPr>
        <w:t>.</w:t>
      </w:r>
    </w:p>
  </w:footnote>
  <w:footnote w:id="8">
    <w:p w:rsidR="00350E60" w14:paraId="62744B2E" w14:textId="7C17ACF6">
      <w:pPr>
        <w:pStyle w:val="FootnoteText"/>
      </w:pPr>
      <w:r>
        <w:rPr>
          <w:rStyle w:val="FootnoteReference"/>
        </w:rPr>
        <w:footnoteRef/>
      </w:r>
      <w:r w:rsidRPr="00350E60">
        <w:t xml:space="preserve"> </w:t>
      </w:r>
      <w:r w:rsidR="00341784">
        <w:rPr>
          <w:i/>
          <w:iCs/>
        </w:rPr>
        <w:t xml:space="preserve">See, </w:t>
      </w:r>
      <w:r w:rsidR="00E627C6">
        <w:rPr>
          <w:i/>
          <w:iCs/>
        </w:rPr>
        <w:t>e.g.,</w:t>
      </w:r>
      <w:r w:rsidRPr="00350E60">
        <w:t xml:space="preserve"> Space Innovation; Facilitating Capabilities for In-space Servicing, Assembly, and Manufacturing, Notice of Inquiry, </w:t>
      </w:r>
      <w:r w:rsidR="00E9022C">
        <w:t xml:space="preserve">IB Dockets </w:t>
      </w:r>
      <w:r w:rsidR="00F97E63">
        <w:t xml:space="preserve">22-271 and 22-272, </w:t>
      </w:r>
      <w:r w:rsidRPr="00350E60">
        <w:t xml:space="preserve">37 FCC </w:t>
      </w:r>
      <w:r w:rsidRPr="00350E60">
        <w:t>Rcd</w:t>
      </w:r>
      <w:r w:rsidRPr="00350E60">
        <w:t xml:space="preserve"> 10022 (2022) (</w:t>
      </w:r>
      <w:r w:rsidR="00E9022C">
        <w:t xml:space="preserve">Chairwoman </w:t>
      </w:r>
      <w:r w:rsidR="00E9022C">
        <w:t>Rosenworcel’s</w:t>
      </w:r>
      <w:r w:rsidR="00E9022C">
        <w:t xml:space="preserve"> statement</w:t>
      </w:r>
      <w:r w:rsidRPr="00350E60">
        <w:t>)</w:t>
      </w:r>
      <w:r w:rsidR="00806A57">
        <w:t>.</w:t>
      </w:r>
    </w:p>
  </w:footnote>
  <w:footnote w:id="9">
    <w:p w:rsidR="00B65D25" w:rsidRPr="007E04CC" w14:paraId="4D95AE5D" w14:textId="626F0E29">
      <w:pPr>
        <w:pStyle w:val="FootnoteText"/>
      </w:pPr>
      <w:r w:rsidRPr="00206B9F">
        <w:rPr>
          <w:rStyle w:val="FootnoteReference"/>
          <w:szCs w:val="20"/>
        </w:rPr>
        <w:footnoteRef/>
      </w:r>
      <w:r w:rsidRPr="00206B9F" w:rsidR="00A316F6">
        <w:rPr>
          <w:i/>
          <w:iCs/>
          <w:szCs w:val="20"/>
        </w:rPr>
        <w:t xml:space="preserve"> </w:t>
      </w:r>
      <w:r w:rsidRPr="00206B9F" w:rsidR="451560E4">
        <w:rPr>
          <w:i/>
          <w:iCs/>
          <w:szCs w:val="20"/>
        </w:rPr>
        <w:t>See, e.g.</w:t>
      </w:r>
      <w:r w:rsidR="00156109">
        <w:rPr>
          <w:i/>
          <w:iCs/>
          <w:szCs w:val="20"/>
        </w:rPr>
        <w:t>,</w:t>
      </w:r>
      <w:r w:rsidRPr="00206B9F" w:rsidR="451560E4">
        <w:rPr>
          <w:i/>
          <w:iCs/>
          <w:szCs w:val="20"/>
        </w:rPr>
        <w:t xml:space="preserve"> </w:t>
      </w:r>
      <w:r w:rsidR="00156109">
        <w:rPr>
          <w:i/>
          <w:iCs/>
          <w:szCs w:val="20"/>
        </w:rPr>
        <w:t>Exploration Holdings, LLC</w:t>
      </w:r>
      <w:r w:rsidR="00156109">
        <w:rPr>
          <w:szCs w:val="20"/>
        </w:rPr>
        <w:t>, Request for Orbital Deployment and Operating Authority for the SpaceX Gen2 NGSO Satellite System</w:t>
      </w:r>
      <w:r w:rsidR="00747C7E">
        <w:rPr>
          <w:szCs w:val="20"/>
        </w:rPr>
        <w:t>, Order and Authorization</w:t>
      </w:r>
      <w:r w:rsidR="00052C49">
        <w:rPr>
          <w:szCs w:val="20"/>
        </w:rPr>
        <w:t xml:space="preserve">, 37 FCC </w:t>
      </w:r>
      <w:r w:rsidR="00052C49">
        <w:rPr>
          <w:szCs w:val="20"/>
        </w:rPr>
        <w:t>Rcd</w:t>
      </w:r>
      <w:r w:rsidR="00052C49">
        <w:rPr>
          <w:szCs w:val="20"/>
        </w:rPr>
        <w:t xml:space="preserve"> 14882, </w:t>
      </w:r>
      <w:r w:rsidR="00933630">
        <w:rPr>
          <w:szCs w:val="20"/>
        </w:rPr>
        <w:t>14924-25</w:t>
      </w:r>
      <w:r w:rsidR="000B2AF4">
        <w:rPr>
          <w:szCs w:val="20"/>
        </w:rPr>
        <w:t>,</w:t>
      </w:r>
      <w:r w:rsidR="00933630">
        <w:rPr>
          <w:szCs w:val="20"/>
        </w:rPr>
        <w:t xml:space="preserve"> paras. 84</w:t>
      </w:r>
      <w:r w:rsidR="00F17197">
        <w:rPr>
          <w:szCs w:val="20"/>
        </w:rPr>
        <w:t>-</w:t>
      </w:r>
      <w:r w:rsidR="002A79D1">
        <w:rPr>
          <w:szCs w:val="20"/>
        </w:rPr>
        <w:t>8</w:t>
      </w:r>
      <w:r w:rsidR="00933630">
        <w:rPr>
          <w:szCs w:val="20"/>
        </w:rPr>
        <w:t xml:space="preserve">5 </w:t>
      </w:r>
      <w:r w:rsidR="005D67FA">
        <w:rPr>
          <w:szCs w:val="20"/>
        </w:rPr>
        <w:t>(2022)</w:t>
      </w:r>
      <w:r w:rsidR="00080709">
        <w:rPr>
          <w:szCs w:val="20"/>
        </w:rPr>
        <w:t>;</w:t>
      </w:r>
      <w:r w:rsidRPr="00080709" w:rsidR="00080709">
        <w:rPr>
          <w:i/>
          <w:iCs/>
          <w:szCs w:val="20"/>
        </w:rPr>
        <w:t xml:space="preserve"> </w:t>
      </w:r>
      <w:r w:rsidR="00080709">
        <w:rPr>
          <w:i/>
          <w:iCs/>
          <w:szCs w:val="20"/>
        </w:rPr>
        <w:t>Kuiper Systems LLC</w:t>
      </w:r>
      <w:r w:rsidR="00080709">
        <w:rPr>
          <w:szCs w:val="20"/>
        </w:rPr>
        <w:t xml:space="preserve">, Request for Modification of the Authorization for the Kuiper NGSO Satellite System, Order and Authorization, 38 FCC </w:t>
      </w:r>
      <w:r w:rsidR="00080709">
        <w:rPr>
          <w:szCs w:val="20"/>
        </w:rPr>
        <w:t>Rcd</w:t>
      </w:r>
      <w:r w:rsidR="00080709">
        <w:rPr>
          <w:szCs w:val="20"/>
        </w:rPr>
        <w:t xml:space="preserve"> 1112, 1115-16</w:t>
      </w:r>
      <w:r w:rsidR="000B2AF4">
        <w:rPr>
          <w:szCs w:val="20"/>
        </w:rPr>
        <w:t>,</w:t>
      </w:r>
      <w:r w:rsidR="00080709">
        <w:rPr>
          <w:szCs w:val="20"/>
        </w:rPr>
        <w:t xml:space="preserve"> paras. 12</w:t>
      </w:r>
      <w:r w:rsidR="00F17197">
        <w:rPr>
          <w:szCs w:val="20"/>
        </w:rPr>
        <w:t>-</w:t>
      </w:r>
      <w:r w:rsidR="00080709">
        <w:rPr>
          <w:szCs w:val="20"/>
        </w:rPr>
        <w:t xml:space="preserve">13 (2023). </w:t>
      </w:r>
      <w:r w:rsidR="004C0513">
        <w:rPr>
          <w:szCs w:val="20"/>
        </w:rPr>
        <w:t xml:space="preserve"> </w:t>
      </w:r>
      <w:r w:rsidR="00080709">
        <w:rPr>
          <w:i/>
          <w:iCs/>
          <w:szCs w:val="20"/>
        </w:rPr>
        <w:t>See also</w:t>
      </w:r>
      <w:r w:rsidR="007E04CC">
        <w:rPr>
          <w:i/>
          <w:iCs/>
        </w:rPr>
        <w:t xml:space="preserve"> </w:t>
      </w:r>
      <w:r w:rsidR="007E04CC">
        <w:t>Kuiper Systems LLC, Request for Modification of the Authorization for the Kuiper NGSO Satellite System, Order and Authorization,</w:t>
      </w:r>
      <w:r w:rsidR="009541CF">
        <w:t xml:space="preserve"> ICFS File No</w:t>
      </w:r>
      <w:r w:rsidR="004C0513">
        <w:t>s. SAT-MOD-20230228-00043, SAT-AMD-20230613-00140,</w:t>
      </w:r>
      <w:r w:rsidR="007E04CC">
        <w:t xml:space="preserve"> </w:t>
      </w:r>
      <w:r w:rsidR="003D2729">
        <w:t>DA</w:t>
      </w:r>
      <w:r w:rsidR="005264EE">
        <w:t xml:space="preserve"> 24-224</w:t>
      </w:r>
      <w:r w:rsidR="00F17197">
        <w:t>,</w:t>
      </w:r>
      <w:r w:rsidR="0034663A">
        <w:t xml:space="preserve"> paras. 15-18 </w:t>
      </w:r>
      <w:r w:rsidR="003D2729">
        <w:t xml:space="preserve">(SB </w:t>
      </w:r>
      <w:r w:rsidR="005264EE">
        <w:t xml:space="preserve">Mar. 8, 2024). </w:t>
      </w:r>
    </w:p>
  </w:footnote>
  <w:footnote w:id="10">
    <w:p w:rsidR="00AC6A88" w:rsidRPr="00206B9F" w14:paraId="29065BBD" w14:textId="7EFCF76B">
      <w:pPr>
        <w:pStyle w:val="FootnoteText"/>
        <w:rPr>
          <w:szCs w:val="20"/>
        </w:rPr>
      </w:pPr>
      <w:r w:rsidRPr="00206B9F">
        <w:rPr>
          <w:rStyle w:val="FootnoteReference"/>
          <w:szCs w:val="20"/>
        </w:rPr>
        <w:footnoteRef/>
      </w:r>
      <w:r w:rsidRPr="00206B9F">
        <w:rPr>
          <w:szCs w:val="20"/>
        </w:rPr>
        <w:t xml:space="preserve"> </w:t>
      </w:r>
      <w:r w:rsidR="00967E60">
        <w:rPr>
          <w:i/>
          <w:iCs/>
          <w:szCs w:val="20"/>
        </w:rPr>
        <w:t xml:space="preserve">2020 </w:t>
      </w:r>
      <w:r w:rsidR="00F65435">
        <w:rPr>
          <w:i/>
          <w:iCs/>
          <w:szCs w:val="20"/>
        </w:rPr>
        <w:t>FNPRM</w:t>
      </w:r>
      <w:r w:rsidRPr="00206B9F" w:rsidR="0034663A">
        <w:rPr>
          <w:szCs w:val="20"/>
        </w:rPr>
        <w:t xml:space="preserve">, 35 FCC </w:t>
      </w:r>
      <w:r w:rsidR="0044191B">
        <w:rPr>
          <w:szCs w:val="20"/>
        </w:rPr>
        <w:t>Rcd</w:t>
      </w:r>
      <w:r w:rsidR="0044191B">
        <w:rPr>
          <w:szCs w:val="20"/>
        </w:rPr>
        <w:t xml:space="preserve"> at </w:t>
      </w:r>
      <w:r w:rsidRPr="00206B9F" w:rsidR="0034663A">
        <w:rPr>
          <w:szCs w:val="20"/>
        </w:rPr>
        <w:t>4</w:t>
      </w:r>
      <w:r w:rsidR="00F65435">
        <w:rPr>
          <w:szCs w:val="20"/>
        </w:rPr>
        <w:t>226-27,</w:t>
      </w:r>
      <w:r w:rsidRPr="00206B9F" w:rsidR="0023665B">
        <w:rPr>
          <w:i/>
          <w:iCs/>
          <w:szCs w:val="20"/>
        </w:rPr>
        <w:t xml:space="preserve"> </w:t>
      </w:r>
      <w:r w:rsidRPr="00206B9F" w:rsidR="00A35B24">
        <w:rPr>
          <w:szCs w:val="20"/>
        </w:rPr>
        <w:t>para</w:t>
      </w:r>
      <w:r w:rsidR="0044191B">
        <w:rPr>
          <w:szCs w:val="20"/>
        </w:rPr>
        <w:t>s</w:t>
      </w:r>
      <w:r w:rsidRPr="00206B9F" w:rsidR="00A35B24">
        <w:rPr>
          <w:szCs w:val="20"/>
        </w:rPr>
        <w:t>. 155</w:t>
      </w:r>
      <w:r w:rsidR="00446380">
        <w:rPr>
          <w:szCs w:val="20"/>
        </w:rPr>
        <w:t>-</w:t>
      </w:r>
      <w:r w:rsidR="00730B90">
        <w:rPr>
          <w:szCs w:val="20"/>
        </w:rPr>
        <w:t>1</w:t>
      </w:r>
      <w:r w:rsidR="00446380">
        <w:rPr>
          <w:szCs w:val="20"/>
        </w:rPr>
        <w:t>57</w:t>
      </w:r>
      <w:r w:rsidRPr="00206B9F" w:rsidR="00A35B24">
        <w:rPr>
          <w:szCs w:val="20"/>
        </w:rPr>
        <w:t>.</w:t>
      </w:r>
    </w:p>
  </w:footnote>
  <w:footnote w:id="11">
    <w:p w:rsidR="00AC6A88" w:rsidRPr="00206B9F" w14:paraId="01B0E3FA" w14:textId="0FD16024">
      <w:pPr>
        <w:pStyle w:val="FootnoteText"/>
        <w:rPr>
          <w:szCs w:val="20"/>
        </w:rPr>
      </w:pPr>
      <w:r w:rsidRPr="00206B9F">
        <w:rPr>
          <w:rStyle w:val="FootnoteReference"/>
          <w:szCs w:val="20"/>
        </w:rPr>
        <w:footnoteRef/>
      </w:r>
      <w:r w:rsidRPr="00206B9F">
        <w:rPr>
          <w:szCs w:val="20"/>
        </w:rPr>
        <w:t xml:space="preserve"> </w:t>
      </w:r>
      <w:r w:rsidRPr="00206B9F" w:rsidR="0023665B">
        <w:rPr>
          <w:i/>
          <w:iCs/>
          <w:szCs w:val="20"/>
        </w:rPr>
        <w:t xml:space="preserve">Id. </w:t>
      </w:r>
      <w:r w:rsidRPr="00206B9F" w:rsidR="0023665B">
        <w:rPr>
          <w:szCs w:val="20"/>
        </w:rPr>
        <w:t>at</w:t>
      </w:r>
      <w:r w:rsidRPr="00206B9F" w:rsidR="00A35B24">
        <w:rPr>
          <w:szCs w:val="20"/>
        </w:rPr>
        <w:t xml:space="preserve"> </w:t>
      </w:r>
      <w:r w:rsidR="00AF1BF1">
        <w:rPr>
          <w:szCs w:val="20"/>
        </w:rPr>
        <w:t>422</w:t>
      </w:r>
      <w:r w:rsidR="00D93F6B">
        <w:rPr>
          <w:szCs w:val="20"/>
        </w:rPr>
        <w:t xml:space="preserve">7, </w:t>
      </w:r>
      <w:r w:rsidRPr="00206B9F" w:rsidR="00A35B24">
        <w:rPr>
          <w:szCs w:val="20"/>
        </w:rPr>
        <w:t>para. 157.</w:t>
      </w:r>
    </w:p>
  </w:footnote>
  <w:footnote w:id="12">
    <w:p w:rsidR="008B6FA0" w:rsidRPr="00206B9F" w14:paraId="6F25DB92" w14:textId="19B9B41A">
      <w:pPr>
        <w:pStyle w:val="FootnoteText"/>
        <w:rPr>
          <w:i/>
          <w:iCs/>
          <w:szCs w:val="20"/>
        </w:rPr>
      </w:pPr>
      <w:r w:rsidRPr="00206B9F">
        <w:rPr>
          <w:rStyle w:val="FootnoteReference"/>
          <w:szCs w:val="20"/>
        </w:rPr>
        <w:footnoteRef/>
      </w:r>
      <w:r w:rsidRPr="00206B9F">
        <w:rPr>
          <w:szCs w:val="20"/>
        </w:rPr>
        <w:t xml:space="preserve"> </w:t>
      </w:r>
      <w:r w:rsidRPr="00206B9F" w:rsidR="0023665B">
        <w:rPr>
          <w:i/>
          <w:iCs/>
          <w:szCs w:val="20"/>
        </w:rPr>
        <w:t>Id.</w:t>
      </w:r>
    </w:p>
  </w:footnote>
  <w:footnote w:id="13">
    <w:p w:rsidR="008B6FA0" w:rsidRPr="00206B9F" w:rsidP="008B6FA0" w14:paraId="74A77DE7" w14:textId="55FEA88C">
      <w:pPr>
        <w:pStyle w:val="FootnoteText"/>
        <w:rPr>
          <w:szCs w:val="20"/>
        </w:rPr>
      </w:pPr>
      <w:r w:rsidRPr="00206B9F">
        <w:rPr>
          <w:rStyle w:val="FootnoteReference"/>
          <w:szCs w:val="20"/>
        </w:rPr>
        <w:footnoteRef/>
      </w:r>
      <w:r w:rsidRPr="00206B9F">
        <w:rPr>
          <w:szCs w:val="20"/>
        </w:rPr>
        <w:t xml:space="preserve"> </w:t>
      </w:r>
      <w:r w:rsidRPr="00206B9F" w:rsidR="0034105C">
        <w:rPr>
          <w:i/>
          <w:iCs/>
          <w:szCs w:val="20"/>
        </w:rPr>
        <w:t xml:space="preserve">Id. </w:t>
      </w:r>
      <w:r w:rsidRPr="00206B9F" w:rsidR="0034105C">
        <w:rPr>
          <w:szCs w:val="20"/>
        </w:rPr>
        <w:t xml:space="preserve">at </w:t>
      </w:r>
      <w:r w:rsidR="00D93F6B">
        <w:rPr>
          <w:szCs w:val="20"/>
        </w:rPr>
        <w:t xml:space="preserve">4226, </w:t>
      </w:r>
      <w:r w:rsidRPr="00206B9F" w:rsidR="0034105C">
        <w:rPr>
          <w:szCs w:val="20"/>
        </w:rPr>
        <w:t xml:space="preserve">para. </w:t>
      </w:r>
      <w:r w:rsidR="004F1ABD">
        <w:rPr>
          <w:szCs w:val="20"/>
        </w:rPr>
        <w:t xml:space="preserve">154, </w:t>
      </w:r>
      <w:r w:rsidR="00D93F6B">
        <w:rPr>
          <w:szCs w:val="20"/>
        </w:rPr>
        <w:t>4</w:t>
      </w:r>
      <w:r w:rsidR="002D6924">
        <w:rPr>
          <w:szCs w:val="20"/>
        </w:rPr>
        <w:t xml:space="preserve">228-29, para. </w:t>
      </w:r>
      <w:r w:rsidRPr="00206B9F" w:rsidR="0034105C">
        <w:rPr>
          <w:szCs w:val="20"/>
        </w:rPr>
        <w:t>159.</w:t>
      </w:r>
    </w:p>
  </w:footnote>
  <w:footnote w:id="14">
    <w:p w:rsidR="008B6FA0" w:rsidRPr="00206B9F" w14:paraId="56D370E6" w14:textId="484714DB">
      <w:pPr>
        <w:pStyle w:val="FootnoteText"/>
        <w:rPr>
          <w:szCs w:val="20"/>
        </w:rPr>
      </w:pPr>
      <w:r w:rsidRPr="00206B9F">
        <w:rPr>
          <w:rStyle w:val="FootnoteReference"/>
          <w:szCs w:val="20"/>
        </w:rPr>
        <w:footnoteRef/>
      </w:r>
      <w:r w:rsidRPr="00206B9F">
        <w:rPr>
          <w:szCs w:val="20"/>
        </w:rPr>
        <w:t xml:space="preserve"> </w:t>
      </w:r>
      <w:bookmarkStart w:id="0" w:name="_Hlk160027965"/>
      <w:r w:rsidRPr="00206B9F" w:rsidR="0034105C">
        <w:rPr>
          <w:i/>
          <w:iCs/>
          <w:szCs w:val="20"/>
        </w:rPr>
        <w:t xml:space="preserve">Id. </w:t>
      </w:r>
      <w:r w:rsidRPr="00206B9F" w:rsidR="0034105C">
        <w:rPr>
          <w:szCs w:val="20"/>
        </w:rPr>
        <w:t xml:space="preserve">at </w:t>
      </w:r>
      <w:r w:rsidR="002D6924">
        <w:rPr>
          <w:szCs w:val="20"/>
        </w:rPr>
        <w:t xml:space="preserve">4228-29, </w:t>
      </w:r>
      <w:r w:rsidRPr="00206B9F" w:rsidR="0034105C">
        <w:rPr>
          <w:szCs w:val="20"/>
        </w:rPr>
        <w:t>para</w:t>
      </w:r>
      <w:r w:rsidR="002D6924">
        <w:rPr>
          <w:szCs w:val="20"/>
        </w:rPr>
        <w:t>s</w:t>
      </w:r>
      <w:r w:rsidRPr="00206B9F" w:rsidR="0034105C">
        <w:rPr>
          <w:szCs w:val="20"/>
        </w:rPr>
        <w:t xml:space="preserve">. </w:t>
      </w:r>
      <w:bookmarkEnd w:id="0"/>
      <w:r w:rsidRPr="00206B9F">
        <w:rPr>
          <w:szCs w:val="20"/>
        </w:rPr>
        <w:t>157</w:t>
      </w:r>
      <w:r w:rsidR="001940A2">
        <w:rPr>
          <w:szCs w:val="20"/>
        </w:rPr>
        <w:t>-158</w:t>
      </w:r>
      <w:r w:rsidRPr="00206B9F" w:rsidR="0034105C">
        <w:rPr>
          <w:szCs w:val="20"/>
        </w:rPr>
        <w:t>.</w:t>
      </w:r>
    </w:p>
  </w:footnote>
  <w:footnote w:id="15">
    <w:p w:rsidR="005A22DD" w14:paraId="4B3AFC70" w14:textId="00004B62">
      <w:pPr>
        <w:pStyle w:val="FootnoteText"/>
      </w:pPr>
      <w:r>
        <w:rPr>
          <w:rStyle w:val="FootnoteReference"/>
        </w:rPr>
        <w:footnoteRef/>
      </w:r>
      <w:r>
        <w:t xml:space="preserve"> </w:t>
      </w:r>
      <w:r w:rsidRPr="005A22DD">
        <w:t>The satellite replenishment rate refers to the rate at which new satellites are launched and deployed to replace aging or defunct satellites</w:t>
      </w:r>
      <w:r w:rsidR="007D2640">
        <w:t>.</w:t>
      </w:r>
      <w:r>
        <w:t xml:space="preserve"> </w:t>
      </w:r>
    </w:p>
  </w:footnote>
  <w:footnote w:id="16">
    <w:p w:rsidR="008B6FA0" w:rsidRPr="00206B9F" w14:paraId="3E023C3E" w14:textId="178B2366">
      <w:pPr>
        <w:pStyle w:val="FootnoteText"/>
        <w:rPr>
          <w:szCs w:val="20"/>
        </w:rPr>
      </w:pPr>
      <w:r w:rsidRPr="00206B9F">
        <w:rPr>
          <w:rStyle w:val="FootnoteReference"/>
          <w:szCs w:val="20"/>
        </w:rPr>
        <w:footnoteRef/>
      </w:r>
      <w:r w:rsidRPr="00206B9F">
        <w:rPr>
          <w:szCs w:val="20"/>
        </w:rPr>
        <w:t xml:space="preserve"> </w:t>
      </w:r>
      <w:r w:rsidRPr="00206B9F" w:rsidR="0034105C">
        <w:rPr>
          <w:i/>
          <w:iCs/>
          <w:szCs w:val="20"/>
        </w:rPr>
        <w:t xml:space="preserve">Id. </w:t>
      </w:r>
      <w:r w:rsidRPr="00206B9F" w:rsidR="0034105C">
        <w:rPr>
          <w:szCs w:val="20"/>
        </w:rPr>
        <w:t xml:space="preserve">at </w:t>
      </w:r>
      <w:r w:rsidR="002D6924">
        <w:rPr>
          <w:szCs w:val="20"/>
        </w:rPr>
        <w:t xml:space="preserve">4229, </w:t>
      </w:r>
      <w:r w:rsidRPr="00206B9F" w:rsidR="0034105C">
        <w:rPr>
          <w:szCs w:val="20"/>
        </w:rPr>
        <w:t xml:space="preserve">para. </w:t>
      </w:r>
      <w:r w:rsidRPr="00206B9F">
        <w:rPr>
          <w:szCs w:val="20"/>
        </w:rPr>
        <w:t>158</w:t>
      </w:r>
      <w:r w:rsidRPr="00206B9F" w:rsidR="0034105C">
        <w:rPr>
          <w:szCs w:val="20"/>
        </w:rPr>
        <w:t>.</w:t>
      </w:r>
    </w:p>
  </w:footnote>
  <w:footnote w:id="17">
    <w:p w:rsidR="008B6FA0" w:rsidRPr="00206B9F" w14:paraId="392F6A76" w14:textId="0E9F7DEA">
      <w:pPr>
        <w:pStyle w:val="FootnoteText"/>
        <w:rPr>
          <w:szCs w:val="20"/>
        </w:rPr>
      </w:pPr>
      <w:r w:rsidRPr="00206B9F">
        <w:rPr>
          <w:rStyle w:val="FootnoteReference"/>
          <w:szCs w:val="20"/>
        </w:rPr>
        <w:footnoteRef/>
      </w:r>
      <w:r w:rsidRPr="00206B9F">
        <w:rPr>
          <w:szCs w:val="20"/>
        </w:rPr>
        <w:t xml:space="preserve"> </w:t>
      </w:r>
      <w:r w:rsidRPr="00206B9F" w:rsidR="0034105C">
        <w:rPr>
          <w:i/>
          <w:iCs/>
          <w:szCs w:val="20"/>
        </w:rPr>
        <w:t xml:space="preserve">Id. </w:t>
      </w:r>
    </w:p>
  </w:footnote>
  <w:footnote w:id="18">
    <w:p w:rsidR="00D47945" w:rsidRPr="00206B9F" w14:paraId="2772592C" w14:textId="49ACB683">
      <w:pPr>
        <w:pStyle w:val="FootnoteText"/>
        <w:rPr>
          <w:szCs w:val="20"/>
        </w:rPr>
      </w:pPr>
      <w:r w:rsidRPr="00206B9F">
        <w:rPr>
          <w:rStyle w:val="FootnoteReference"/>
          <w:szCs w:val="20"/>
        </w:rPr>
        <w:footnoteRef/>
      </w:r>
      <w:r w:rsidRPr="00206B9F">
        <w:rPr>
          <w:szCs w:val="20"/>
        </w:rPr>
        <w:t xml:space="preserve"> </w:t>
      </w:r>
      <w:r w:rsidRPr="00206B9F" w:rsidR="0034105C">
        <w:rPr>
          <w:i/>
          <w:iCs/>
          <w:szCs w:val="20"/>
        </w:rPr>
        <w:t xml:space="preserve">Id. </w:t>
      </w:r>
      <w:r w:rsidRPr="00206B9F" w:rsidR="0034105C">
        <w:rPr>
          <w:szCs w:val="20"/>
        </w:rPr>
        <w:t xml:space="preserve"> </w:t>
      </w:r>
      <w:r w:rsidRPr="00206B9F" w:rsidR="00FA3F2F">
        <w:rPr>
          <w:szCs w:val="20"/>
        </w:rPr>
        <w:t xml:space="preserve">Similarly, </w:t>
      </w:r>
      <w:r w:rsidRPr="00206B9F" w:rsidR="0034105C">
        <w:rPr>
          <w:szCs w:val="20"/>
        </w:rPr>
        <w:t xml:space="preserve">the </w:t>
      </w:r>
      <w:r w:rsidRPr="00206B9F" w:rsidR="0034105C">
        <w:rPr>
          <w:i/>
          <w:iCs/>
          <w:szCs w:val="20"/>
        </w:rPr>
        <w:t>FNPRM</w:t>
      </w:r>
      <w:r w:rsidRPr="00206B9F" w:rsidR="0034105C">
        <w:rPr>
          <w:szCs w:val="20"/>
        </w:rPr>
        <w:t xml:space="preserve"> </w:t>
      </w:r>
      <w:r w:rsidRPr="00206B9F" w:rsidR="00FA3F2F">
        <w:rPr>
          <w:szCs w:val="20"/>
        </w:rPr>
        <w:t xml:space="preserve">also asked whether </w:t>
      </w:r>
      <w:r w:rsidR="007741A2">
        <w:rPr>
          <w:szCs w:val="20"/>
        </w:rPr>
        <w:t>the Commission</w:t>
      </w:r>
      <w:r w:rsidRPr="00206B9F" w:rsidR="007741A2">
        <w:rPr>
          <w:szCs w:val="20"/>
        </w:rPr>
        <w:t xml:space="preserve"> </w:t>
      </w:r>
      <w:r w:rsidRPr="00206B9F" w:rsidR="00FA3F2F">
        <w:rPr>
          <w:szCs w:val="20"/>
        </w:rPr>
        <w:t xml:space="preserve">should establish a separate process for evaluation of system-wide collision risk for satellites that operate in </w:t>
      </w:r>
      <w:r w:rsidR="00BA24F5">
        <w:rPr>
          <w:szCs w:val="20"/>
        </w:rPr>
        <w:t>Medium Earth orbit (MEO)</w:t>
      </w:r>
      <w:r w:rsidR="00AE1F34">
        <w:rPr>
          <w:szCs w:val="20"/>
        </w:rPr>
        <w:t xml:space="preserve">, </w:t>
      </w:r>
      <w:r w:rsidRPr="00F07838" w:rsidR="00AE1F34">
        <w:rPr>
          <w:i/>
          <w:iCs/>
          <w:szCs w:val="20"/>
        </w:rPr>
        <w:t>i.e</w:t>
      </w:r>
      <w:r w:rsidR="00AE1F34">
        <w:rPr>
          <w:szCs w:val="20"/>
        </w:rPr>
        <w:t>.</w:t>
      </w:r>
      <w:r w:rsidR="00F07838">
        <w:rPr>
          <w:szCs w:val="20"/>
        </w:rPr>
        <w:t xml:space="preserve"> </w:t>
      </w:r>
      <w:r w:rsidR="002066E5">
        <w:rPr>
          <w:szCs w:val="20"/>
        </w:rPr>
        <w:t>between 2,000 and 35,786 kilo</w:t>
      </w:r>
      <w:r w:rsidR="00D964E8">
        <w:rPr>
          <w:szCs w:val="20"/>
        </w:rPr>
        <w:t>meters above the Earth</w:t>
      </w:r>
      <w:r w:rsidRPr="00206B9F" w:rsidR="00FA3F2F">
        <w:rPr>
          <w:szCs w:val="20"/>
        </w:rPr>
        <w:t>.</w:t>
      </w:r>
      <w:r w:rsidR="00A1390A">
        <w:rPr>
          <w:szCs w:val="20"/>
        </w:rPr>
        <w:t xml:space="preserve">  </w:t>
      </w:r>
      <w:r w:rsidRPr="00D43737" w:rsidR="00A1390A">
        <w:rPr>
          <w:i/>
          <w:iCs/>
          <w:szCs w:val="20"/>
        </w:rPr>
        <w:t>Id</w:t>
      </w:r>
      <w:r w:rsidR="00A1390A">
        <w:rPr>
          <w:szCs w:val="20"/>
        </w:rPr>
        <w:t>.</w:t>
      </w:r>
    </w:p>
  </w:footnote>
  <w:footnote w:id="19">
    <w:p w:rsidR="0064133C" w14:paraId="3FA49C2C" w14:textId="56DB44CD">
      <w:pPr>
        <w:pStyle w:val="FootnoteText"/>
      </w:pPr>
      <w:r>
        <w:rPr>
          <w:rStyle w:val="FootnoteReference"/>
        </w:rPr>
        <w:footnoteRef/>
      </w:r>
      <w:r>
        <w:t xml:space="preserve"> </w:t>
      </w:r>
      <w:r>
        <w:rPr>
          <w:i/>
          <w:iCs/>
          <w:szCs w:val="20"/>
        </w:rPr>
        <w:t xml:space="preserve">See, e.g., </w:t>
      </w:r>
      <w:r w:rsidRPr="001107AC">
        <w:rPr>
          <w:szCs w:val="20"/>
        </w:rPr>
        <w:t xml:space="preserve">Letter from Darren McKnight, </w:t>
      </w:r>
      <w:r w:rsidRPr="001107AC">
        <w:rPr>
          <w:szCs w:val="20"/>
        </w:rPr>
        <w:t>LeoLabs</w:t>
      </w:r>
      <w:r w:rsidRPr="001107AC">
        <w:rPr>
          <w:szCs w:val="20"/>
        </w:rPr>
        <w:t>, to Karl A. Kensinger, Chief, Satellite Division, FCC, IBFS File Nos. SAT-LOA-20200526-00055 and SAT-AMD-20210818-00105, IB Docket No. 18-313 (dated Mar</w:t>
      </w:r>
      <w:r>
        <w:rPr>
          <w:szCs w:val="20"/>
        </w:rPr>
        <w:t>.</w:t>
      </w:r>
      <w:r w:rsidRPr="001107AC">
        <w:rPr>
          <w:szCs w:val="20"/>
        </w:rPr>
        <w:t xml:space="preserve"> 29, 2022); </w:t>
      </w:r>
      <w:r>
        <w:rPr>
          <w:i/>
          <w:iCs/>
          <w:szCs w:val="20"/>
        </w:rPr>
        <w:t xml:space="preserve">Ex Parte </w:t>
      </w:r>
      <w:r>
        <w:rPr>
          <w:szCs w:val="20"/>
        </w:rPr>
        <w:t xml:space="preserve">Presentation of </w:t>
      </w:r>
      <w:r>
        <w:rPr>
          <w:szCs w:val="20"/>
        </w:rPr>
        <w:t>Astroscale</w:t>
      </w:r>
      <w:r>
        <w:rPr>
          <w:szCs w:val="20"/>
        </w:rPr>
        <w:t xml:space="preserve"> U.S., ICFS File Nos. SAT-LOA-20200526-00055, SAT-AMD-20210818-00105, IB Docket 18-313 (filed Jan. 13, 2023); </w:t>
      </w:r>
      <w:r>
        <w:rPr>
          <w:i/>
          <w:iCs/>
          <w:szCs w:val="20"/>
        </w:rPr>
        <w:t xml:space="preserve">Ex Parte </w:t>
      </w:r>
      <w:r>
        <w:rPr>
          <w:szCs w:val="20"/>
        </w:rPr>
        <w:t xml:space="preserve">Presentation of </w:t>
      </w:r>
      <w:r>
        <w:rPr>
          <w:szCs w:val="20"/>
        </w:rPr>
        <w:t>Telesat</w:t>
      </w:r>
      <w:r>
        <w:rPr>
          <w:szCs w:val="20"/>
        </w:rPr>
        <w:t xml:space="preserve"> LEO Inc., ICFS File Nos. SAT-MPL-2020526-00053, SAT-APL-20210104-00002, SAT-APL-20220616-00059, SAT-PPL-20211104-00138, IB Docket No. 18-313 (dated Apr. 28, 2023); </w:t>
      </w:r>
      <w:r>
        <w:rPr>
          <w:i/>
          <w:iCs/>
          <w:szCs w:val="20"/>
        </w:rPr>
        <w:t xml:space="preserve">Ex Parte </w:t>
      </w:r>
      <w:r>
        <w:rPr>
          <w:szCs w:val="20"/>
        </w:rPr>
        <w:t xml:space="preserve">Presentation of </w:t>
      </w:r>
      <w:r>
        <w:rPr>
          <w:szCs w:val="20"/>
        </w:rPr>
        <w:t>WorldVu</w:t>
      </w:r>
      <w:r>
        <w:rPr>
          <w:szCs w:val="20"/>
        </w:rPr>
        <w:t xml:space="preserve"> Satellites Limited, ICFS File Nos. SAT-MPL-20220921-00115, SAT-MPL-20211104-00144, SAT-MPL-20220921-00116, IB Docket No. 18-313 (dated Apr. 7, 2023); </w:t>
      </w:r>
      <w:r>
        <w:rPr>
          <w:i/>
          <w:iCs/>
          <w:szCs w:val="20"/>
        </w:rPr>
        <w:t xml:space="preserve">Ex Parte </w:t>
      </w:r>
      <w:r>
        <w:rPr>
          <w:szCs w:val="20"/>
        </w:rPr>
        <w:t xml:space="preserve">Presentation of </w:t>
      </w:r>
      <w:r>
        <w:rPr>
          <w:szCs w:val="20"/>
        </w:rPr>
        <w:t>BlackSky</w:t>
      </w:r>
      <w:r>
        <w:rPr>
          <w:szCs w:val="20"/>
        </w:rPr>
        <w:t xml:space="preserve">, Hawkeye360, ICEYE US, Inc., Planet Labs PBC, Spire Global, Inc., Tomorrow.io, IB Docket No. 18-313 (filed Mar. 15, 2023); </w:t>
      </w:r>
      <w:r>
        <w:rPr>
          <w:i/>
          <w:iCs/>
          <w:szCs w:val="20"/>
        </w:rPr>
        <w:t xml:space="preserve">Ex </w:t>
      </w:r>
      <w:r w:rsidRPr="00F91E4D">
        <w:rPr>
          <w:i/>
          <w:iCs/>
          <w:szCs w:val="20"/>
        </w:rPr>
        <w:t xml:space="preserve">Parte </w:t>
      </w:r>
      <w:r>
        <w:rPr>
          <w:szCs w:val="20"/>
        </w:rPr>
        <w:t>Presentation of Space Exploration Holdings, LLC, IB Docket No. 18-313 (filed Jun. 28, 2023).</w:t>
      </w:r>
    </w:p>
  </w:footnote>
  <w:footnote w:id="20">
    <w:p w:rsidR="00987AFC" w:rsidRPr="00206B9F" w14:paraId="658E3F14" w14:textId="6A763A01">
      <w:pPr>
        <w:pStyle w:val="FootnoteText"/>
        <w:rPr>
          <w:szCs w:val="20"/>
        </w:rPr>
      </w:pPr>
      <w:r w:rsidRPr="00206B9F">
        <w:rPr>
          <w:rStyle w:val="FootnoteReference"/>
          <w:szCs w:val="20"/>
        </w:rPr>
        <w:footnoteRef/>
      </w:r>
      <w:r w:rsidRPr="00206B9F">
        <w:rPr>
          <w:szCs w:val="20"/>
        </w:rPr>
        <w:t xml:space="preserve"> We note that the ODMSP, in a somewhat different context, suggests a threshold of 100 object-years per spacecraft for all planned debris released in LEO that is larger than 5 mm. </w:t>
      </w:r>
      <w:r w:rsidRPr="00206B9F" w:rsidR="00206B9F">
        <w:rPr>
          <w:szCs w:val="20"/>
        </w:rPr>
        <w:t xml:space="preserve"> </w:t>
      </w:r>
      <w:r w:rsidRPr="00206B9F">
        <w:rPr>
          <w:i/>
          <w:iCs/>
          <w:szCs w:val="20"/>
        </w:rPr>
        <w:t xml:space="preserve">See </w:t>
      </w:r>
      <w:r w:rsidRPr="00206B9F">
        <w:rPr>
          <w:szCs w:val="20"/>
        </w:rPr>
        <w:t>ODMSP 1-1.</w:t>
      </w:r>
    </w:p>
  </w:footnote>
  <w:footnote w:id="21">
    <w:p w:rsidR="000B79E2" w:rsidRPr="00206B9F" w14:paraId="17D35EC2" w14:textId="0A19FB93">
      <w:pPr>
        <w:pStyle w:val="FootnoteText"/>
        <w:rPr>
          <w:szCs w:val="20"/>
        </w:rPr>
      </w:pPr>
      <w:r w:rsidRPr="00206B9F">
        <w:rPr>
          <w:rStyle w:val="FootnoteReference"/>
          <w:szCs w:val="20"/>
        </w:rPr>
        <w:footnoteRef/>
      </w:r>
      <w:r w:rsidRPr="00206B9F">
        <w:rPr>
          <w:szCs w:val="20"/>
        </w:rPr>
        <w:t xml:space="preserve"> To the extent possible, we ask that commenters supporting or disagreeing with particular metrics provide analysis that includes sample constellation sizes, satellite area-to-mass ration, deployment altitudes, and other potentially relevant considerations</w:t>
      </w:r>
      <w:r w:rsidRPr="00206B9F" w:rsidR="00DC02CD">
        <w:rPr>
          <w:szCs w:val="20"/>
        </w:rPr>
        <w:t>.</w:t>
      </w:r>
    </w:p>
  </w:footnote>
  <w:footnote w:id="22">
    <w:p w:rsidR="008B6FA0" w:rsidRPr="00206B9F" w14:paraId="408FEDAE" w14:textId="63CBDED3">
      <w:pPr>
        <w:pStyle w:val="FootnoteText"/>
        <w:rPr>
          <w:szCs w:val="20"/>
        </w:rPr>
      </w:pPr>
      <w:r w:rsidRPr="00206B9F">
        <w:rPr>
          <w:rStyle w:val="FootnoteReference"/>
          <w:szCs w:val="20"/>
        </w:rPr>
        <w:footnoteRef/>
      </w:r>
      <w:r w:rsidRPr="00206B9F">
        <w:rPr>
          <w:szCs w:val="20"/>
        </w:rPr>
        <w:t xml:space="preserve"> </w:t>
      </w:r>
      <w:r w:rsidR="001D121A">
        <w:rPr>
          <w:i/>
          <w:iCs/>
          <w:szCs w:val="20"/>
        </w:rPr>
        <w:t xml:space="preserve">2020 </w:t>
      </w:r>
      <w:r w:rsidR="00F65435">
        <w:rPr>
          <w:i/>
          <w:iCs/>
          <w:szCs w:val="20"/>
        </w:rPr>
        <w:t>FNPRM</w:t>
      </w:r>
      <w:r w:rsidRPr="00206B9F" w:rsidR="00F65435">
        <w:rPr>
          <w:szCs w:val="20"/>
        </w:rPr>
        <w:t xml:space="preserve">, 35 FCC </w:t>
      </w:r>
      <w:r w:rsidR="0073045A">
        <w:rPr>
          <w:szCs w:val="20"/>
        </w:rPr>
        <w:t>Rcd</w:t>
      </w:r>
      <w:r w:rsidR="0073045A">
        <w:rPr>
          <w:szCs w:val="20"/>
        </w:rPr>
        <w:t xml:space="preserve"> at </w:t>
      </w:r>
      <w:r w:rsidRPr="00206B9F" w:rsidR="00F65435">
        <w:rPr>
          <w:szCs w:val="20"/>
        </w:rPr>
        <w:t>4</w:t>
      </w:r>
      <w:r w:rsidR="00F65435">
        <w:rPr>
          <w:szCs w:val="20"/>
        </w:rPr>
        <w:t>229-30</w:t>
      </w:r>
      <w:r w:rsidR="00F65435">
        <w:rPr>
          <w:i/>
          <w:iCs/>
          <w:szCs w:val="20"/>
        </w:rPr>
        <w:t>,</w:t>
      </w:r>
      <w:r w:rsidRPr="00206B9F" w:rsidR="00331D61">
        <w:rPr>
          <w:szCs w:val="20"/>
        </w:rPr>
        <w:t xml:space="preserve"> para. </w:t>
      </w:r>
      <w:r w:rsidRPr="00206B9F">
        <w:rPr>
          <w:szCs w:val="20"/>
        </w:rPr>
        <w:t>160</w:t>
      </w:r>
      <w:r w:rsidRPr="00206B9F" w:rsidR="00331D61">
        <w:rPr>
          <w:szCs w:val="20"/>
        </w:rPr>
        <w:t>.</w:t>
      </w:r>
    </w:p>
  </w:footnote>
  <w:footnote w:id="23">
    <w:p w:rsidR="008B6FA0" w:rsidRPr="00206B9F" w:rsidP="008B6FA0" w14:paraId="65B8A7F8" w14:textId="4A87E5D7">
      <w:pPr>
        <w:pStyle w:val="FootnoteText"/>
        <w:rPr>
          <w:szCs w:val="20"/>
        </w:rPr>
      </w:pPr>
      <w:r w:rsidRPr="00206B9F">
        <w:rPr>
          <w:rStyle w:val="FootnoteReference"/>
          <w:szCs w:val="20"/>
        </w:rPr>
        <w:footnoteRef/>
      </w:r>
      <w:r w:rsidRPr="00206B9F">
        <w:rPr>
          <w:szCs w:val="20"/>
        </w:rPr>
        <w:t xml:space="preserve"> </w:t>
      </w:r>
      <w:r w:rsidRPr="00206B9F" w:rsidR="00331D61">
        <w:rPr>
          <w:i/>
          <w:iCs/>
          <w:szCs w:val="20"/>
        </w:rPr>
        <w:t xml:space="preserve">Id. </w:t>
      </w:r>
    </w:p>
  </w:footnote>
  <w:footnote w:id="24">
    <w:p w:rsidR="008B6FA0" w:rsidRPr="00206B9F" w:rsidP="008B6FA0" w14:paraId="7A0A6A3C" w14:textId="01E29623">
      <w:pPr>
        <w:pStyle w:val="FootnoteText"/>
        <w:rPr>
          <w:szCs w:val="20"/>
        </w:rPr>
      </w:pPr>
      <w:r w:rsidRPr="00206B9F">
        <w:rPr>
          <w:rStyle w:val="FootnoteReference"/>
          <w:szCs w:val="20"/>
        </w:rPr>
        <w:footnoteRef/>
      </w:r>
      <w:r w:rsidRPr="00206B9F">
        <w:rPr>
          <w:szCs w:val="20"/>
        </w:rPr>
        <w:t xml:space="preserve"> </w:t>
      </w:r>
      <w:r w:rsidRPr="00206B9F" w:rsidR="00331D61">
        <w:rPr>
          <w:i/>
          <w:iCs/>
          <w:szCs w:val="20"/>
        </w:rPr>
        <w:t xml:space="preserve">Id. </w:t>
      </w:r>
      <w:r w:rsidRPr="00206B9F" w:rsidR="00331D61">
        <w:rPr>
          <w:szCs w:val="20"/>
        </w:rPr>
        <w:t xml:space="preserve">at </w:t>
      </w:r>
      <w:r w:rsidR="006A1D39">
        <w:rPr>
          <w:szCs w:val="20"/>
        </w:rPr>
        <w:t xml:space="preserve">4229-30, </w:t>
      </w:r>
      <w:r w:rsidRPr="00206B9F" w:rsidR="00331D61">
        <w:rPr>
          <w:szCs w:val="20"/>
        </w:rPr>
        <w:t xml:space="preserve">paras. </w:t>
      </w:r>
      <w:r w:rsidRPr="00206B9F">
        <w:rPr>
          <w:szCs w:val="20"/>
        </w:rPr>
        <w:t>160</w:t>
      </w:r>
      <w:r w:rsidR="006A1D39">
        <w:rPr>
          <w:szCs w:val="20"/>
        </w:rPr>
        <w:t>-</w:t>
      </w:r>
      <w:r w:rsidRPr="00206B9F">
        <w:rPr>
          <w:szCs w:val="20"/>
        </w:rPr>
        <w:t>61.</w:t>
      </w:r>
    </w:p>
  </w:footnote>
  <w:footnote w:id="25">
    <w:p w:rsidR="008B6FA0" w:rsidRPr="00206B9F" w14:paraId="72C9D30D" w14:textId="4DB128F9">
      <w:pPr>
        <w:pStyle w:val="FootnoteText"/>
        <w:rPr>
          <w:szCs w:val="20"/>
        </w:rPr>
      </w:pPr>
      <w:r w:rsidRPr="00206B9F">
        <w:rPr>
          <w:rStyle w:val="FootnoteReference"/>
          <w:szCs w:val="20"/>
        </w:rPr>
        <w:footnoteRef/>
      </w:r>
      <w:r w:rsidRPr="00206B9F">
        <w:rPr>
          <w:szCs w:val="20"/>
        </w:rPr>
        <w:t xml:space="preserve"> </w:t>
      </w:r>
      <w:r w:rsidRPr="00206B9F" w:rsidR="00331D61">
        <w:rPr>
          <w:i/>
          <w:iCs/>
          <w:szCs w:val="20"/>
        </w:rPr>
        <w:t xml:space="preserve">Id. </w:t>
      </w:r>
      <w:r w:rsidRPr="00206B9F" w:rsidR="00331D61">
        <w:rPr>
          <w:szCs w:val="20"/>
        </w:rPr>
        <w:t xml:space="preserve">at </w:t>
      </w:r>
      <w:r w:rsidR="006A1D39">
        <w:rPr>
          <w:szCs w:val="20"/>
        </w:rPr>
        <w:t xml:space="preserve">4230, </w:t>
      </w:r>
      <w:r w:rsidRPr="00206B9F" w:rsidR="00331D61">
        <w:rPr>
          <w:szCs w:val="20"/>
        </w:rPr>
        <w:t xml:space="preserve">para. </w:t>
      </w:r>
      <w:r w:rsidRPr="00206B9F">
        <w:rPr>
          <w:szCs w:val="20"/>
        </w:rPr>
        <w:t>161</w:t>
      </w:r>
      <w:r w:rsidRPr="00206B9F" w:rsidR="00331D61">
        <w:rPr>
          <w:szCs w:val="20"/>
        </w:rPr>
        <w:t>.</w:t>
      </w:r>
    </w:p>
  </w:footnote>
  <w:footnote w:id="26">
    <w:p w:rsidR="008B6FA0" w:rsidRPr="00206B9F" w14:paraId="63845C9B" w14:textId="1571A9A0">
      <w:pPr>
        <w:pStyle w:val="FootnoteText"/>
        <w:rPr>
          <w:i/>
          <w:iCs/>
          <w:szCs w:val="20"/>
        </w:rPr>
      </w:pPr>
      <w:r w:rsidRPr="00206B9F">
        <w:rPr>
          <w:rStyle w:val="FootnoteReference"/>
          <w:szCs w:val="20"/>
        </w:rPr>
        <w:footnoteRef/>
      </w:r>
      <w:r w:rsidRPr="00206B9F">
        <w:rPr>
          <w:szCs w:val="20"/>
        </w:rPr>
        <w:t xml:space="preserve"> </w:t>
      </w:r>
      <w:r w:rsidRPr="00206B9F" w:rsidR="00331D61">
        <w:rPr>
          <w:i/>
          <w:iCs/>
          <w:szCs w:val="20"/>
        </w:rPr>
        <w:t>Id.</w:t>
      </w:r>
    </w:p>
  </w:footnote>
  <w:footnote w:id="27">
    <w:p w:rsidR="008B6FA0" w:rsidRPr="00206B9F" w14:paraId="7926B3FD" w14:textId="7A37B655">
      <w:pPr>
        <w:pStyle w:val="FootnoteText"/>
        <w:rPr>
          <w:i/>
          <w:iCs/>
          <w:szCs w:val="20"/>
        </w:rPr>
      </w:pPr>
      <w:r w:rsidRPr="00206B9F">
        <w:rPr>
          <w:rStyle w:val="FootnoteReference"/>
          <w:szCs w:val="20"/>
        </w:rPr>
        <w:footnoteRef/>
      </w:r>
      <w:r w:rsidRPr="00206B9F">
        <w:rPr>
          <w:szCs w:val="20"/>
        </w:rPr>
        <w:t xml:space="preserve"> </w:t>
      </w:r>
      <w:r w:rsidRPr="00206B9F" w:rsidR="00331D61">
        <w:rPr>
          <w:i/>
          <w:iCs/>
          <w:szCs w:val="20"/>
        </w:rPr>
        <w:t>Id.</w:t>
      </w:r>
    </w:p>
  </w:footnote>
  <w:footnote w:id="28">
    <w:p w:rsidR="008B6FA0" w:rsidRPr="00206B9F" w14:paraId="48A34497" w14:textId="4925EBFB">
      <w:pPr>
        <w:pStyle w:val="FootnoteText"/>
        <w:rPr>
          <w:szCs w:val="20"/>
        </w:rPr>
      </w:pPr>
      <w:r w:rsidRPr="00206B9F">
        <w:rPr>
          <w:rStyle w:val="FootnoteReference"/>
          <w:szCs w:val="20"/>
        </w:rPr>
        <w:footnoteRef/>
      </w:r>
      <w:r w:rsidRPr="00206B9F">
        <w:rPr>
          <w:szCs w:val="20"/>
        </w:rPr>
        <w:t xml:space="preserve"> </w:t>
      </w:r>
      <w:r w:rsidRPr="00206B9F" w:rsidR="00331D61">
        <w:rPr>
          <w:i/>
          <w:iCs/>
          <w:szCs w:val="20"/>
        </w:rPr>
        <w:t xml:space="preserve">Id. </w:t>
      </w:r>
      <w:r w:rsidRPr="00206B9F" w:rsidR="00331D61">
        <w:rPr>
          <w:szCs w:val="20"/>
        </w:rPr>
        <w:t xml:space="preserve">at </w:t>
      </w:r>
      <w:r w:rsidR="00BE4585">
        <w:rPr>
          <w:szCs w:val="20"/>
        </w:rPr>
        <w:t xml:space="preserve">4231, </w:t>
      </w:r>
      <w:r w:rsidRPr="00206B9F" w:rsidR="00331D61">
        <w:rPr>
          <w:szCs w:val="20"/>
        </w:rPr>
        <w:t>para. 162.</w:t>
      </w:r>
    </w:p>
  </w:footnote>
  <w:footnote w:id="29">
    <w:p w:rsidR="008B6FA0" w:rsidRPr="00206B9F" w14:paraId="25A322C3" w14:textId="78E46A0B">
      <w:pPr>
        <w:pStyle w:val="FootnoteText"/>
        <w:rPr>
          <w:i/>
          <w:iCs/>
          <w:szCs w:val="20"/>
        </w:rPr>
      </w:pPr>
      <w:r w:rsidRPr="00206B9F">
        <w:rPr>
          <w:rStyle w:val="FootnoteReference"/>
          <w:szCs w:val="20"/>
        </w:rPr>
        <w:footnoteRef/>
      </w:r>
      <w:r w:rsidRPr="00206B9F">
        <w:rPr>
          <w:szCs w:val="20"/>
        </w:rPr>
        <w:t xml:space="preserve"> </w:t>
      </w:r>
      <w:r w:rsidRPr="00206B9F" w:rsidR="00331D61">
        <w:rPr>
          <w:i/>
          <w:iCs/>
          <w:szCs w:val="20"/>
        </w:rPr>
        <w:t>Id.</w:t>
      </w:r>
    </w:p>
  </w:footnote>
  <w:footnote w:id="30">
    <w:p w:rsidR="007F608E" w14:paraId="2C00426D" w14:textId="7D63C2A6">
      <w:pPr>
        <w:pStyle w:val="FootnoteText"/>
      </w:pPr>
      <w:r>
        <w:rPr>
          <w:rStyle w:val="FootnoteReference"/>
        </w:rPr>
        <w:footnoteRef/>
      </w:r>
      <w:r>
        <w:t xml:space="preserve"> </w:t>
      </w:r>
      <w:r w:rsidRPr="00D43737">
        <w:rPr>
          <w:i/>
          <w:iCs/>
        </w:rPr>
        <w:t>Id</w:t>
      </w:r>
      <w:r>
        <w:t xml:space="preserve">. at 4250, para. </w:t>
      </w:r>
      <w:r w:rsidR="00082FE4">
        <w:t xml:space="preserve">209, </w:t>
      </w:r>
      <w:r w:rsidR="00206A30">
        <w:t>42</w:t>
      </w:r>
      <w:r w:rsidR="005C6250">
        <w:t>80-</w:t>
      </w:r>
      <w:r w:rsidR="00206A30">
        <w:t>85</w:t>
      </w:r>
      <w:r w:rsidR="005C6250">
        <w:t xml:space="preserve">, </w:t>
      </w:r>
      <w:r w:rsidR="00082FE4">
        <w:t>Appendix E.</w:t>
      </w:r>
    </w:p>
  </w:footnote>
  <w:footnote w:id="31">
    <w:p w:rsidR="00405A39" w:rsidRPr="00206B9F" w:rsidP="00405A39" w14:paraId="743E115B" w14:textId="720834EC">
      <w:pPr>
        <w:pStyle w:val="FootnoteText"/>
        <w:rPr>
          <w:szCs w:val="20"/>
        </w:rPr>
      </w:pPr>
      <w:r w:rsidRPr="00206B9F">
        <w:rPr>
          <w:rStyle w:val="FootnoteReference"/>
          <w:szCs w:val="20"/>
        </w:rPr>
        <w:footnoteRef/>
      </w:r>
      <w:r w:rsidRPr="00206B9F">
        <w:rPr>
          <w:i/>
          <w:iCs/>
          <w:szCs w:val="20"/>
        </w:rPr>
        <w:t xml:space="preserve"> See </w:t>
      </w:r>
      <w:r w:rsidR="00F65435">
        <w:rPr>
          <w:i/>
          <w:iCs/>
          <w:szCs w:val="20"/>
        </w:rPr>
        <w:t>id.</w:t>
      </w:r>
      <w:r w:rsidRPr="00206B9F" w:rsidR="00A1407C">
        <w:rPr>
          <w:i/>
          <w:iCs/>
          <w:szCs w:val="20"/>
        </w:rPr>
        <w:t xml:space="preserve"> </w:t>
      </w:r>
      <w:r w:rsidRPr="00206B9F" w:rsidR="00A1407C">
        <w:rPr>
          <w:szCs w:val="20"/>
        </w:rPr>
        <w:t xml:space="preserve">at </w:t>
      </w:r>
      <w:r w:rsidR="002A3924">
        <w:rPr>
          <w:szCs w:val="20"/>
        </w:rPr>
        <w:t xml:space="preserve">4249, </w:t>
      </w:r>
      <w:r w:rsidRPr="00206B9F" w:rsidR="00A1407C">
        <w:rPr>
          <w:szCs w:val="20"/>
        </w:rPr>
        <w:t>para. 206</w:t>
      </w:r>
      <w:r w:rsidRPr="00206B9F" w:rsidR="00A1407C">
        <w:rPr>
          <w:i/>
          <w:iCs/>
          <w:szCs w:val="20"/>
        </w:rPr>
        <w:t>;</w:t>
      </w:r>
      <w:r w:rsidRPr="00206B9F" w:rsidR="00E95F7B">
        <w:rPr>
          <w:i/>
          <w:iCs/>
          <w:szCs w:val="20"/>
        </w:rPr>
        <w:t xml:space="preserve"> </w:t>
      </w:r>
      <w:r w:rsidRPr="00206B9F">
        <w:rPr>
          <w:szCs w:val="20"/>
        </w:rPr>
        <w:t xml:space="preserve">47 CFR § 1.1200 </w:t>
      </w:r>
      <w:r w:rsidRPr="00206B9F">
        <w:rPr>
          <w:i/>
          <w:iCs/>
          <w:szCs w:val="20"/>
        </w:rPr>
        <w:t>et seq</w:t>
      </w:r>
      <w:r w:rsidRPr="00206B9F">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1C7C" w:rsidRPr="00D43737" w:rsidP="002D2820" w14:paraId="0AA8A689" w14:textId="73A73B15">
    <w:pPr>
      <w:pStyle w:val="Header"/>
      <w:pBdr>
        <w:bottom w:val="single" w:sz="4" w:space="1" w:color="auto"/>
      </w:pBdr>
      <w:tabs>
        <w:tab w:val="clear" w:pos="4680"/>
        <w:tab w:val="clear" w:pos="9360"/>
      </w:tabs>
      <w:rPr>
        <w:b/>
        <w:bCs/>
        <w:sz w:val="22"/>
      </w:rPr>
    </w:pPr>
    <w:r>
      <w:ptab w:relativeTo="margin" w:alignment="center" w:leader="none"/>
    </w:r>
    <w:r w:rsidRPr="00D43737">
      <w:rPr>
        <w:b/>
        <w:bCs/>
        <w:sz w:val="22"/>
      </w:rPr>
      <w:t>Federal Communications Commission</w:t>
    </w:r>
    <w:r>
      <w:ptab w:relativeTo="margin" w:alignment="right" w:leader="none"/>
    </w:r>
    <w:r w:rsidRPr="00D43737">
      <w:rPr>
        <w:b/>
        <w:bCs/>
        <w:sz w:val="22"/>
      </w:rPr>
      <w:fldChar w:fldCharType="begin"/>
    </w:r>
    <w:r w:rsidRPr="00D43737">
      <w:rPr>
        <w:b/>
        <w:bCs/>
        <w:sz w:val="22"/>
      </w:rPr>
      <w:instrText xml:space="preserve"> STYLEREF  "PN-DA Number"  \* MERGEFORMAT </w:instrText>
    </w:r>
    <w:r w:rsidRPr="00D43737">
      <w:rPr>
        <w:b/>
        <w:bCs/>
        <w:sz w:val="22"/>
      </w:rPr>
      <w:fldChar w:fldCharType="separate"/>
    </w:r>
    <w:r w:rsidR="00B226E6">
      <w:rPr>
        <w:b/>
        <w:bCs/>
        <w:noProof/>
        <w:sz w:val="22"/>
      </w:rPr>
      <w:t>DA 24-412</w:t>
    </w:r>
    <w:r w:rsidRPr="00D43737">
      <w:rPr>
        <w:b/>
        <w:bCs/>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6AD" w14:paraId="31BC11B5" w14:textId="12A86FD7">
    <w:pPr>
      <w:pStyle w:val="Header"/>
    </w:pPr>
    <w:r>
      <w:rPr>
        <w:noProof/>
      </w:rPr>
      <w:drawing>
        <wp:inline distT="0" distB="0" distL="0" distR="0">
          <wp:extent cx="5962650" cy="14478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265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C4411A"/>
    <w:multiLevelType w:val="hybridMultilevel"/>
    <w:tmpl w:val="7F4E3C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3F0CDD"/>
    <w:multiLevelType w:val="multilevel"/>
    <w:tmpl w:val="FD2C1B58"/>
    <w:lvl w:ilvl="0">
      <w:start w:val="1"/>
      <w:numFmt w:val="decimal"/>
      <w:pStyle w:val="NIList"/>
      <w:lvlText w:val="(%1)"/>
      <w:lvlJc w:val="left"/>
      <w:pPr>
        <w:tabs>
          <w:tab w:val="num" w:pos="1440"/>
        </w:tabs>
        <w:ind w:left="1080" w:hanging="360"/>
      </w:pPr>
      <w:rPr>
        <w:rFonts w:hint="default"/>
      </w:rPr>
    </w:lvl>
    <w:lvl w:ilvl="1">
      <w:start w:val="1"/>
      <w:numFmt w:val="lowerLetter"/>
      <w:pStyle w:val="NIList2"/>
      <w:lvlText w:val="(%2)"/>
      <w:lvlJc w:val="left"/>
      <w:pPr>
        <w:tabs>
          <w:tab w:val="num" w:pos="1800"/>
        </w:tabs>
        <w:ind w:left="1440" w:hanging="360"/>
      </w:pPr>
      <w:rPr>
        <w:rFonts w:hint="default"/>
      </w:rPr>
    </w:lvl>
    <w:lvl w:ilvl="2">
      <w:start w:val="1"/>
      <w:numFmt w:val="lowerRoman"/>
      <w:pStyle w:val="NIList3"/>
      <w:lvlText w:val="%3."/>
      <w:lvlJc w:val="left"/>
      <w:pPr>
        <w:tabs>
          <w:tab w:val="num" w:pos="2160"/>
        </w:tabs>
        <w:ind w:left="1800" w:hanging="360"/>
      </w:pPr>
      <w:rPr>
        <w:rFonts w:hint="default"/>
      </w:rPr>
    </w:lvl>
    <w:lvl w:ilvl="3">
      <w:start w:val="1"/>
      <w:numFmt w:val="lowerLetter"/>
      <w:pStyle w:val="NIList4"/>
      <w:lvlText w:val="%4."/>
      <w:lvlJc w:val="left"/>
      <w:pPr>
        <w:tabs>
          <w:tab w:val="num" w:pos="2520"/>
        </w:tabs>
        <w:ind w:left="2160" w:hanging="360"/>
      </w:pPr>
      <w:rPr>
        <w:rFonts w:hint="default"/>
      </w:rPr>
    </w:lvl>
    <w:lvl w:ilvl="4">
      <w:start w:val="1"/>
      <w:numFmt w:val="decimal"/>
      <w:pStyle w:val="NIList5"/>
      <w:lvlText w:val="(%5)"/>
      <w:lvlJc w:val="left"/>
      <w:pPr>
        <w:tabs>
          <w:tab w:val="num" w:pos="2880"/>
        </w:tabs>
        <w:ind w:left="2520" w:hanging="360"/>
      </w:pPr>
      <w:rPr>
        <w:rFonts w:hint="default"/>
      </w:rPr>
    </w:lvl>
    <w:lvl w:ilvl="5">
      <w:start w:val="1"/>
      <w:numFmt w:val="lowerLetter"/>
      <w:pStyle w:val="NIList6"/>
      <w:lvlText w:val="(%6)"/>
      <w:lvlJc w:val="left"/>
      <w:pPr>
        <w:tabs>
          <w:tab w:val="num" w:pos="3240"/>
        </w:tabs>
        <w:ind w:left="2880" w:hanging="360"/>
      </w:pPr>
      <w:rPr>
        <w:rFonts w:hint="default"/>
      </w:rPr>
    </w:lvl>
    <w:lvl w:ilvl="6">
      <w:start w:val="1"/>
      <w:numFmt w:val="lowerRoman"/>
      <w:pStyle w:val="NIList7"/>
      <w:lvlText w:val="(%7)"/>
      <w:lvlJc w:val="left"/>
      <w:pPr>
        <w:tabs>
          <w:tab w:val="num" w:pos="3600"/>
        </w:tabs>
        <w:ind w:left="3240" w:hanging="360"/>
      </w:pPr>
      <w:rPr>
        <w:rFonts w:hint="default"/>
      </w:rPr>
    </w:lvl>
    <w:lvl w:ilvl="7">
      <w:start w:val="1"/>
      <w:numFmt w:val="lowerLetter"/>
      <w:pStyle w:val="NIList8"/>
      <w:lvlText w:val="%8."/>
      <w:lvlJc w:val="left"/>
      <w:pPr>
        <w:tabs>
          <w:tab w:val="num" w:pos="3960"/>
        </w:tabs>
        <w:ind w:left="3600" w:hanging="360"/>
      </w:pPr>
      <w:rPr>
        <w:rFonts w:hint="default"/>
      </w:rPr>
    </w:lvl>
    <w:lvl w:ilvl="8">
      <w:start w:val="1"/>
      <w:numFmt w:val="decimal"/>
      <w:pStyle w:val="NIList9"/>
      <w:lvlText w:val="%9."/>
      <w:lvlJc w:val="left"/>
      <w:pPr>
        <w:tabs>
          <w:tab w:val="num" w:pos="4320"/>
        </w:tabs>
        <w:ind w:left="3960" w:hanging="360"/>
      </w:pPr>
      <w:rPr>
        <w:rFont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E105C4"/>
    <w:multiLevelType w:val="hybridMultilevel"/>
    <w:tmpl w:val="D3261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E06CBB"/>
    <w:multiLevelType w:val="multilevel"/>
    <w:tmpl w:val="7764A49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0E2263"/>
    <w:multiLevelType w:val="multilevel"/>
    <w:tmpl w:val="815C31AA"/>
    <w:lvl w:ilvl="0">
      <w:start w:val="0"/>
      <w:numFmt w:val="bullet"/>
      <w:pStyle w:val="NIBullet"/>
      <w:lvlText w:val="•"/>
      <w:lvlJc w:val="left"/>
      <w:pPr>
        <w:ind w:left="1080" w:hanging="360"/>
      </w:pPr>
      <w:rPr>
        <w:rFonts w:ascii="Calibri" w:hAnsi="Calibri" w:hint="default"/>
      </w:rPr>
    </w:lvl>
    <w:lvl w:ilvl="1">
      <w:start w:val="1"/>
      <w:numFmt w:val="bullet"/>
      <w:pStyle w:val="NIBullet2"/>
      <w:lvlText w:val="o"/>
      <w:lvlJc w:val="left"/>
      <w:pPr>
        <w:ind w:left="1440" w:hanging="360"/>
      </w:pPr>
      <w:rPr>
        <w:rFonts w:ascii="Courier New" w:hAnsi="Courier New" w:hint="default"/>
      </w:rPr>
    </w:lvl>
    <w:lvl w:ilvl="2">
      <w:start w:val="1"/>
      <w:numFmt w:val="bullet"/>
      <w:pStyle w:val="NIBullet3"/>
      <w:lvlText w:val=""/>
      <w:lvlJc w:val="left"/>
      <w:pPr>
        <w:ind w:left="1800" w:hanging="360"/>
      </w:pPr>
      <w:rPr>
        <w:rFonts w:ascii="Wingdings" w:hAnsi="Wingdings" w:hint="default"/>
      </w:rPr>
    </w:lvl>
    <w:lvl w:ilvl="3">
      <w:start w:val="1"/>
      <w:numFmt w:val="bullet"/>
      <w:pStyle w:val="NIBullet4"/>
      <w:lvlText w:val=""/>
      <w:lvlJc w:val="left"/>
      <w:pPr>
        <w:ind w:left="2160" w:hanging="360"/>
      </w:pPr>
      <w:rPr>
        <w:rFonts w:ascii="Symbol" w:hAnsi="Symbol" w:hint="default"/>
      </w:rPr>
    </w:lvl>
    <w:lvl w:ilvl="4">
      <w:start w:val="1"/>
      <w:numFmt w:val="bullet"/>
      <w:pStyle w:val="NIBullet5"/>
      <w:lvlText w:val="o"/>
      <w:lvlJc w:val="left"/>
      <w:pPr>
        <w:ind w:left="2520" w:hanging="360"/>
      </w:pPr>
      <w:rPr>
        <w:rFonts w:ascii="Courier New" w:hAnsi="Courier New" w:hint="default"/>
      </w:rPr>
    </w:lvl>
    <w:lvl w:ilvl="5">
      <w:start w:val="1"/>
      <w:numFmt w:val="bullet"/>
      <w:pStyle w:val="NIBullet6"/>
      <w:lvlText w:val=""/>
      <w:lvlJc w:val="left"/>
      <w:pPr>
        <w:ind w:left="2880" w:hanging="360"/>
      </w:pPr>
      <w:rPr>
        <w:rFonts w:ascii="Wingdings" w:hAnsi="Wingdings" w:hint="default"/>
      </w:rPr>
    </w:lvl>
    <w:lvl w:ilvl="6">
      <w:start w:val="1"/>
      <w:numFmt w:val="bullet"/>
      <w:pStyle w:val="NIBullet7"/>
      <w:lvlText w:val=""/>
      <w:lvlJc w:val="left"/>
      <w:pPr>
        <w:ind w:left="3240" w:hanging="360"/>
      </w:pPr>
      <w:rPr>
        <w:rFonts w:ascii="Symbol" w:hAnsi="Symbol" w:hint="default"/>
      </w:rPr>
    </w:lvl>
    <w:lvl w:ilvl="7">
      <w:start w:val="1"/>
      <w:numFmt w:val="bullet"/>
      <w:pStyle w:val="NIBullet8"/>
      <w:lvlText w:val="o"/>
      <w:lvlJc w:val="left"/>
      <w:pPr>
        <w:ind w:left="3600" w:hanging="360"/>
      </w:pPr>
      <w:rPr>
        <w:rFonts w:ascii="Courier New" w:hAnsi="Courier New" w:hint="default"/>
      </w:rPr>
    </w:lvl>
    <w:lvl w:ilvl="8">
      <w:start w:val="1"/>
      <w:numFmt w:val="bullet"/>
      <w:pStyle w:val="NIBullet9"/>
      <w:lvlText w:val=""/>
      <w:lvlJc w:val="left"/>
      <w:pPr>
        <w:ind w:left="3960" w:hanging="360"/>
      </w:pPr>
      <w:rPr>
        <w:rFonts w:ascii="Wingdings" w:hAnsi="Wingdings" w:hint="default"/>
      </w:rPr>
    </w:lvl>
  </w:abstractNum>
  <w:abstractNum w:abstractNumId="6">
    <w:nsid w:val="2E024E21"/>
    <w:multiLevelType w:val="multilevel"/>
    <w:tmpl w:val="5C742F5E"/>
    <w:lvl w:ilvl="0">
      <w:start w:val="1"/>
      <w:numFmt w:val="bullet"/>
      <w:pStyle w:val="ParaNumBullet"/>
      <w:lvlText w:val=""/>
      <w:lvlJc w:val="left"/>
      <w:pPr>
        <w:tabs>
          <w:tab w:val="num" w:pos="1800"/>
        </w:tabs>
        <w:ind w:left="1800" w:hanging="360"/>
      </w:pPr>
      <w:rPr>
        <w:rFonts w:ascii="Symbol" w:hAnsi="Symbol" w:hint="default"/>
      </w:rPr>
    </w:lvl>
    <w:lvl w:ilvl="1">
      <w:start w:val="1"/>
      <w:numFmt w:val="bullet"/>
      <w:pStyle w:val="ParaNumBullet2"/>
      <w:lvlText w:val="o"/>
      <w:lvlJc w:val="left"/>
      <w:pPr>
        <w:tabs>
          <w:tab w:val="num" w:pos="1872"/>
        </w:tabs>
        <w:ind w:left="2160" w:hanging="360"/>
      </w:pPr>
      <w:rPr>
        <w:rFonts w:ascii="Courier New" w:hAnsi="Courier New" w:hint="default"/>
      </w:rPr>
    </w:lvl>
    <w:lvl w:ilvl="2">
      <w:start w:val="1"/>
      <w:numFmt w:val="bullet"/>
      <w:pStyle w:val="ParaNumBullet3"/>
      <w:lvlText w:val=""/>
      <w:lvlJc w:val="left"/>
      <w:pPr>
        <w:ind w:left="2520" w:hanging="360"/>
      </w:pPr>
      <w:rPr>
        <w:rFonts w:ascii="Wingdings" w:hAnsi="Wingdings" w:hint="default"/>
      </w:rPr>
    </w:lvl>
    <w:lvl w:ilvl="3">
      <w:start w:val="1"/>
      <w:numFmt w:val="bullet"/>
      <w:pStyle w:val="ParaNumBullet4"/>
      <w:lvlText w:val=""/>
      <w:lvlJc w:val="left"/>
      <w:pPr>
        <w:ind w:left="3240" w:hanging="360"/>
      </w:pPr>
      <w:rPr>
        <w:rFonts w:ascii="Symbol" w:hAnsi="Symbol" w:hint="default"/>
      </w:rPr>
    </w:lvl>
    <w:lvl w:ilvl="4">
      <w:start w:val="1"/>
      <w:numFmt w:val="bullet"/>
      <w:pStyle w:val="ParaNumBullet5"/>
      <w:lvlText w:val="o"/>
      <w:lvlJc w:val="left"/>
      <w:pPr>
        <w:ind w:left="3960" w:hanging="360"/>
      </w:pPr>
      <w:rPr>
        <w:rFonts w:ascii="Courier New" w:hAnsi="Courier New" w:hint="default"/>
      </w:rPr>
    </w:lvl>
    <w:lvl w:ilvl="5">
      <w:start w:val="1"/>
      <w:numFmt w:val="bullet"/>
      <w:pStyle w:val="ParaNumBullet6"/>
      <w:lvlText w:val=""/>
      <w:lvlJc w:val="left"/>
      <w:pPr>
        <w:ind w:left="4320" w:hanging="360"/>
      </w:pPr>
      <w:rPr>
        <w:rFonts w:ascii="Wingdings" w:hAnsi="Wingdings" w:hint="default"/>
      </w:rPr>
    </w:lvl>
    <w:lvl w:ilvl="6">
      <w:start w:val="1"/>
      <w:numFmt w:val="bullet"/>
      <w:pStyle w:val="ParaNumBullet7"/>
      <w:lvlText w:val=""/>
      <w:lvlJc w:val="left"/>
      <w:pPr>
        <w:ind w:left="5040" w:hanging="360"/>
      </w:pPr>
      <w:rPr>
        <w:rFonts w:ascii="Symbol" w:hAnsi="Symbol" w:hint="default"/>
      </w:rPr>
    </w:lvl>
    <w:lvl w:ilvl="7">
      <w:start w:val="1"/>
      <w:numFmt w:val="bullet"/>
      <w:pStyle w:val="ParaNumBullet8"/>
      <w:lvlText w:val="o"/>
      <w:lvlJc w:val="left"/>
      <w:pPr>
        <w:ind w:left="5760" w:hanging="360"/>
      </w:pPr>
      <w:rPr>
        <w:rFonts w:ascii="Courier New" w:hAnsi="Courier New" w:hint="default"/>
      </w:rPr>
    </w:lvl>
    <w:lvl w:ilvl="8">
      <w:start w:val="1"/>
      <w:numFmt w:val="bullet"/>
      <w:pStyle w:val="ParaNumBullet9"/>
      <w:lvlText w:val=""/>
      <w:lvlJc w:val="left"/>
      <w:pPr>
        <w:ind w:left="6480" w:hanging="360"/>
      </w:pPr>
      <w:rPr>
        <w:rFonts w:ascii="Wingdings" w:hAnsi="Wingdings" w:hint="default"/>
      </w:rPr>
    </w:lvl>
  </w:abstractNum>
  <w:abstractNum w:abstractNumId="7">
    <w:nsid w:val="35647378"/>
    <w:multiLevelType w:val="hybridMultilevel"/>
    <w:tmpl w:val="C804B5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8FF409B"/>
    <w:multiLevelType w:val="multilevel"/>
    <w:tmpl w:val="8A903D64"/>
    <w:styleLink w:val="Appendices"/>
    <w:lvl w:ilvl="0">
      <w:start w:val="1"/>
      <w:numFmt w:val="upperLetter"/>
      <w:suff w:val="space"/>
      <w:lvlText w:val="Appendix %1: "/>
      <w:lvlJc w:val="center"/>
      <w:pPr>
        <w:ind w:left="0" w:firstLine="0"/>
      </w:pPr>
      <w:rPr>
        <w:rFonts w:hint="default"/>
      </w:rPr>
    </w:lvl>
    <w:lvl w:ilvl="1">
      <w:start w:val="1"/>
      <w:numFmt w:val="upperLetter"/>
      <w:pStyle w:val="AppendixHeading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2F57BE"/>
    <w:multiLevelType w:val="multilevel"/>
    <w:tmpl w:val="F312A238"/>
    <w:lvl w:ilvl="0">
      <w:start w:val="1"/>
      <w:numFmt w:val="decimal"/>
      <w:pStyle w:val="AttachmentParaNum"/>
      <w:lvlText w:val="%1."/>
      <w:lvlJc w:val="center"/>
      <w:pPr>
        <w:tabs>
          <w:tab w:val="num" w:pos="1440"/>
        </w:tabs>
        <w:ind w:left="0" w:firstLine="720"/>
      </w:pPr>
      <w:rPr>
        <w:rFonts w:hint="default"/>
      </w:rPr>
    </w:lvl>
    <w:lvl w:ilvl="1">
      <w:start w:val="1"/>
      <w:numFmt w:val="lowerLetter"/>
      <w:lvlText w:val="%2."/>
      <w:lvlJc w:val="left"/>
      <w:pPr>
        <w:ind w:left="0" w:firstLine="1440"/>
      </w:pPr>
      <w:rPr>
        <w:rFonts w:hint="default"/>
        <w:b w:val="0"/>
      </w:rPr>
    </w:lvl>
    <w:lvl w:ilvl="2">
      <w:start w:val="1"/>
      <w:numFmt w:val="lowerRoman"/>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Restart w:val="1"/>
      <w:lvlText w:val="%7."/>
      <w:lvlJc w:val="left"/>
      <w:pPr>
        <w:ind w:left="4320" w:firstLine="0"/>
      </w:pPr>
      <w:rPr>
        <w:rFonts w:hint="default"/>
        <w:b w:val="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464C1501"/>
    <w:multiLevelType w:val="multilevel"/>
    <w:tmpl w:val="0C78C348"/>
    <w:styleLink w:val="AttachmentList"/>
    <w:lvl w:ilvl="0">
      <w:start w:val="1"/>
      <w:numFmt w:val="upperLetter"/>
      <w:lvlText w:val="ATTACHMENT %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8EF4214"/>
    <w:multiLevelType w:val="multilevel"/>
    <w:tmpl w:val="70669302"/>
    <w:styleLink w:val="Style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94941A1"/>
    <w:multiLevelType w:val="multilevel"/>
    <w:tmpl w:val="5CC4427E"/>
    <w:styleLink w:val="PNOrderedList"/>
    <w:lvl w:ilvl="0">
      <w:start w:val="1"/>
      <w:numFmt w:val="decimal"/>
      <w:pStyle w:val="ParaNum"/>
      <w:lvlText w:val="%1."/>
      <w:lvlJc w:val="left"/>
      <w:pPr>
        <w:ind w:left="0" w:firstLine="720"/>
      </w:pPr>
      <w:rPr>
        <w:rFonts w:hint="default"/>
      </w:rPr>
    </w:lvl>
    <w:lvl w:ilvl="1">
      <w:start w:val="1"/>
      <w:numFmt w:val="lowerLetter"/>
      <w:pStyle w:val="ParaNumLevel2"/>
      <w:lvlText w:val="%2."/>
      <w:lvlJc w:val="left"/>
      <w:pPr>
        <w:ind w:left="1800" w:hanging="360"/>
      </w:pPr>
      <w:rPr>
        <w:rFonts w:hint="default"/>
      </w:rPr>
    </w:lvl>
    <w:lvl w:ilvl="2">
      <w:start w:val="1"/>
      <w:numFmt w:val="lowerRoman"/>
      <w:pStyle w:val="ParaNumLevel3"/>
      <w:lvlText w:val="%3."/>
      <w:lvlJc w:val="left"/>
      <w:pPr>
        <w:ind w:left="2160" w:hanging="360"/>
      </w:pPr>
      <w:rPr>
        <w:rFonts w:hint="default"/>
      </w:rPr>
    </w:lvl>
    <w:lvl w:ilvl="3">
      <w:start w:val="1"/>
      <w:numFmt w:val="decimal"/>
      <w:pStyle w:val="ParaNumLevel4"/>
      <w:lvlText w:val="(%4)"/>
      <w:lvlJc w:val="left"/>
      <w:pPr>
        <w:ind w:left="2520" w:hanging="360"/>
      </w:pPr>
      <w:rPr>
        <w:rFonts w:hint="default"/>
      </w:rPr>
    </w:lvl>
    <w:lvl w:ilvl="4">
      <w:start w:val="1"/>
      <w:numFmt w:val="lowerLetter"/>
      <w:pStyle w:val="ParaNumLevel5"/>
      <w:lvlText w:val="%5."/>
      <w:lvlJc w:val="left"/>
      <w:pPr>
        <w:ind w:left="2880" w:hanging="360"/>
      </w:pPr>
      <w:rPr>
        <w:rFonts w:hint="default"/>
      </w:rPr>
    </w:lvl>
    <w:lvl w:ilvl="5">
      <w:start w:val="1"/>
      <w:numFmt w:val="lowerRoman"/>
      <w:pStyle w:val="ParaNumLevel6"/>
      <w:lvlText w:val="%6."/>
      <w:lvlJc w:val="left"/>
      <w:pPr>
        <w:ind w:left="3240" w:hanging="360"/>
      </w:pPr>
      <w:rPr>
        <w:rFonts w:hint="default"/>
      </w:rPr>
    </w:lvl>
    <w:lvl w:ilvl="6">
      <w:start w:val="1"/>
      <w:numFmt w:val="decimal"/>
      <w:pStyle w:val="ParaNumLevel7"/>
      <w:lvlText w:val="%7."/>
      <w:lvlJc w:val="left"/>
      <w:pPr>
        <w:ind w:left="3600" w:hanging="360"/>
      </w:pPr>
      <w:rPr>
        <w:rFonts w:hint="default"/>
      </w:rPr>
    </w:lvl>
    <w:lvl w:ilvl="7">
      <w:start w:val="1"/>
      <w:numFmt w:val="lowerLetter"/>
      <w:pStyle w:val="ParaNumLevel8"/>
      <w:lvlText w:val="%8."/>
      <w:lvlJc w:val="left"/>
      <w:pPr>
        <w:tabs>
          <w:tab w:val="num" w:pos="7200"/>
        </w:tabs>
        <w:ind w:left="3960" w:hanging="360"/>
      </w:pPr>
      <w:rPr>
        <w:rFonts w:hint="default"/>
      </w:rPr>
    </w:lvl>
    <w:lvl w:ilvl="8">
      <w:start w:val="1"/>
      <w:numFmt w:val="lowerRoman"/>
      <w:pStyle w:val="ParaNumLevel9"/>
      <w:lvlText w:val="%9."/>
      <w:lvlJc w:val="left"/>
      <w:pPr>
        <w:ind w:left="4320" w:hanging="360"/>
      </w:pPr>
      <w:rPr>
        <w:rFonts w:hint="default"/>
      </w:rPr>
    </w:lvl>
  </w:abstractNum>
  <w:abstractNum w:abstractNumId="13">
    <w:nsid w:val="49C42BB6"/>
    <w:multiLevelType w:val="hybridMultilevel"/>
    <w:tmpl w:val="0204983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4E4757F"/>
    <w:multiLevelType w:val="hybridMultilevel"/>
    <w:tmpl w:val="D79AB5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53D3FE9"/>
    <w:multiLevelType w:val="multilevel"/>
    <w:tmpl w:val="8A903D64"/>
    <w:numStyleLink w:val="Appendices"/>
  </w:abstractNum>
  <w:abstractNum w:abstractNumId="16">
    <w:nsid w:val="58CF3656"/>
    <w:multiLevelType w:val="hybridMultilevel"/>
    <w:tmpl w:val="88745008"/>
    <w:lvl w:ilvl="0">
      <w:start w:val="1"/>
      <w:numFmt w:val="upperLetter"/>
      <w:pStyle w:val="Attachment"/>
      <w:lvlText w:val="Attachment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9667483"/>
    <w:multiLevelType w:val="hybridMultilevel"/>
    <w:tmpl w:val="F6723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9EE43DF"/>
    <w:multiLevelType w:val="hybridMultilevel"/>
    <w:tmpl w:val="F81A8A4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54F5C26"/>
    <w:multiLevelType w:val="hybridMultilevel"/>
    <w:tmpl w:val="41ACC36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B281033"/>
    <w:multiLevelType w:val="multilevel"/>
    <w:tmpl w:val="C212A1AC"/>
    <w:styleLink w:val="Style1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1872"/>
        </w:tabs>
        <w:ind w:left="216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1"/>
  </w:num>
  <w:num w:numId="5">
    <w:abstractNumId w:val="20"/>
  </w:num>
  <w:num w:numId="6">
    <w:abstractNumId w:val="6"/>
  </w:num>
  <w:num w:numId="7">
    <w:abstractNumId w:val="12"/>
    <w:lvlOverride w:ilvl="0">
      <w:lvl w:ilvl="0">
        <w:start w:val="1"/>
        <w:numFmt w:val="decimal"/>
        <w:pStyle w:val="ParaNum"/>
        <w:lvlText w:val="%1."/>
        <w:lvlJc w:val="left"/>
        <w:pPr>
          <w:ind w:left="0" w:firstLine="720"/>
        </w:pPr>
        <w:rPr>
          <w:rFonts w:hint="default"/>
          <w:b w:val="0"/>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17"/>
  </w:num>
  <w:num w:numId="12">
    <w:abstractNumId w:val="3"/>
  </w:num>
  <w:num w:numId="13">
    <w:abstractNumId w:val="18"/>
  </w:num>
  <w:num w:numId="14">
    <w:abstractNumId w:val="13"/>
  </w:num>
  <w:num w:numId="15">
    <w:abstractNumId w:val="10"/>
  </w:num>
  <w:num w:numId="16">
    <w:abstractNumId w:val="12"/>
  </w:num>
  <w:num w:numId="17">
    <w:abstractNumId w:val="5"/>
  </w:num>
  <w:num w:numId="18">
    <w:abstractNumId w:val="1"/>
  </w:num>
  <w:num w:numId="19">
    <w:abstractNumId w:val="14"/>
  </w:num>
  <w:num w:numId="20">
    <w:abstractNumId w:val="12"/>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2"/>
  </w:num>
  <w:num w:numId="40">
    <w:abstractNumId w:val="0"/>
  </w:num>
  <w:num w:numId="41">
    <w:abstractNumId w:val="7"/>
  </w:num>
  <w:num w:numId="4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808" w:allStyles="0" w:alternateStyleNames="0" w:clearFormatting="1" w:customStyles="0" w:directFormattingOnNumbering="0" w:directFormattingOnParagraphs="0" w:directFormattingOnRuns="0" w:directFormattingOnTables="1" w:headingStyles="0" w:latentStyles="0" w:numberingStyles="0" w:stylesInUse="1" w:tableStyles="0" w:top3HeadingStyles="1" w:visibleStyles="0"/>
  <w:stylePaneSortMethod w:val="name"/>
  <w:defaultTabStop w:val="720"/>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89"/>
    <w:rsid w:val="00000355"/>
    <w:rsid w:val="00003503"/>
    <w:rsid w:val="00005B99"/>
    <w:rsid w:val="000065F2"/>
    <w:rsid w:val="00006886"/>
    <w:rsid w:val="00011734"/>
    <w:rsid w:val="0001531C"/>
    <w:rsid w:val="000213D8"/>
    <w:rsid w:val="00030AAE"/>
    <w:rsid w:val="00030C92"/>
    <w:rsid w:val="00034041"/>
    <w:rsid w:val="00034386"/>
    <w:rsid w:val="00036398"/>
    <w:rsid w:val="00041ACC"/>
    <w:rsid w:val="0005228A"/>
    <w:rsid w:val="000523A2"/>
    <w:rsid w:val="00052C49"/>
    <w:rsid w:val="000539B2"/>
    <w:rsid w:val="00053FF0"/>
    <w:rsid w:val="00054BA2"/>
    <w:rsid w:val="00060402"/>
    <w:rsid w:val="00062DE8"/>
    <w:rsid w:val="00067098"/>
    <w:rsid w:val="0006724C"/>
    <w:rsid w:val="00067262"/>
    <w:rsid w:val="0007199A"/>
    <w:rsid w:val="00076130"/>
    <w:rsid w:val="00077701"/>
    <w:rsid w:val="00080709"/>
    <w:rsid w:val="00081310"/>
    <w:rsid w:val="00082FE4"/>
    <w:rsid w:val="00091436"/>
    <w:rsid w:val="000A3624"/>
    <w:rsid w:val="000A4899"/>
    <w:rsid w:val="000A512F"/>
    <w:rsid w:val="000A624B"/>
    <w:rsid w:val="000B2300"/>
    <w:rsid w:val="000B269F"/>
    <w:rsid w:val="000B2AF4"/>
    <w:rsid w:val="000B79E2"/>
    <w:rsid w:val="000C05CC"/>
    <w:rsid w:val="000C38AA"/>
    <w:rsid w:val="000C50E3"/>
    <w:rsid w:val="000D3651"/>
    <w:rsid w:val="000D3E50"/>
    <w:rsid w:val="000D4E0D"/>
    <w:rsid w:val="000D52B6"/>
    <w:rsid w:val="000D6C80"/>
    <w:rsid w:val="000E3B77"/>
    <w:rsid w:val="000E5194"/>
    <w:rsid w:val="000F2C23"/>
    <w:rsid w:val="000F3322"/>
    <w:rsid w:val="000F3DAF"/>
    <w:rsid w:val="000F464D"/>
    <w:rsid w:val="000F5649"/>
    <w:rsid w:val="000F73EE"/>
    <w:rsid w:val="000F74D5"/>
    <w:rsid w:val="000F78E8"/>
    <w:rsid w:val="00101522"/>
    <w:rsid w:val="00101E06"/>
    <w:rsid w:val="00103E2F"/>
    <w:rsid w:val="00104F48"/>
    <w:rsid w:val="001107AC"/>
    <w:rsid w:val="001133D3"/>
    <w:rsid w:val="001254D8"/>
    <w:rsid w:val="00131E11"/>
    <w:rsid w:val="00132421"/>
    <w:rsid w:val="001328AC"/>
    <w:rsid w:val="00133407"/>
    <w:rsid w:val="00133C0C"/>
    <w:rsid w:val="0013636A"/>
    <w:rsid w:val="0014233E"/>
    <w:rsid w:val="001430BB"/>
    <w:rsid w:val="00143CE5"/>
    <w:rsid w:val="001450D0"/>
    <w:rsid w:val="00150E96"/>
    <w:rsid w:val="00151856"/>
    <w:rsid w:val="0015195C"/>
    <w:rsid w:val="00151DED"/>
    <w:rsid w:val="00152017"/>
    <w:rsid w:val="001542B2"/>
    <w:rsid w:val="001550C3"/>
    <w:rsid w:val="00155CCA"/>
    <w:rsid w:val="00156109"/>
    <w:rsid w:val="0015746A"/>
    <w:rsid w:val="00161D87"/>
    <w:rsid w:val="001620EF"/>
    <w:rsid w:val="00162672"/>
    <w:rsid w:val="00164C9A"/>
    <w:rsid w:val="001767AB"/>
    <w:rsid w:val="00184560"/>
    <w:rsid w:val="00184F3E"/>
    <w:rsid w:val="001859D7"/>
    <w:rsid w:val="00186670"/>
    <w:rsid w:val="001920FD"/>
    <w:rsid w:val="0019379F"/>
    <w:rsid w:val="00193B90"/>
    <w:rsid w:val="001940A2"/>
    <w:rsid w:val="001A402E"/>
    <w:rsid w:val="001A4175"/>
    <w:rsid w:val="001A734E"/>
    <w:rsid w:val="001A7395"/>
    <w:rsid w:val="001B0053"/>
    <w:rsid w:val="001B0F90"/>
    <w:rsid w:val="001B4277"/>
    <w:rsid w:val="001B49DC"/>
    <w:rsid w:val="001B552F"/>
    <w:rsid w:val="001B6730"/>
    <w:rsid w:val="001B72DB"/>
    <w:rsid w:val="001C2560"/>
    <w:rsid w:val="001C6210"/>
    <w:rsid w:val="001C6424"/>
    <w:rsid w:val="001C7FEC"/>
    <w:rsid w:val="001D09AC"/>
    <w:rsid w:val="001D11F5"/>
    <w:rsid w:val="001D121A"/>
    <w:rsid w:val="001D2FDC"/>
    <w:rsid w:val="001D35A9"/>
    <w:rsid w:val="001D4201"/>
    <w:rsid w:val="001D4AE8"/>
    <w:rsid w:val="001D6ED8"/>
    <w:rsid w:val="001D7167"/>
    <w:rsid w:val="001E774A"/>
    <w:rsid w:val="001E7B9D"/>
    <w:rsid w:val="001F71B7"/>
    <w:rsid w:val="001F77EE"/>
    <w:rsid w:val="001F7DF1"/>
    <w:rsid w:val="002035EF"/>
    <w:rsid w:val="002044E4"/>
    <w:rsid w:val="002050EB"/>
    <w:rsid w:val="002052D4"/>
    <w:rsid w:val="002066E5"/>
    <w:rsid w:val="00206A30"/>
    <w:rsid w:val="00206B9F"/>
    <w:rsid w:val="00207649"/>
    <w:rsid w:val="002108D8"/>
    <w:rsid w:val="00211E74"/>
    <w:rsid w:val="00212BA6"/>
    <w:rsid w:val="002149C9"/>
    <w:rsid w:val="00214C2D"/>
    <w:rsid w:val="0021671C"/>
    <w:rsid w:val="0022218A"/>
    <w:rsid w:val="00223F85"/>
    <w:rsid w:val="002252C4"/>
    <w:rsid w:val="0022568D"/>
    <w:rsid w:val="0022733E"/>
    <w:rsid w:val="0023312C"/>
    <w:rsid w:val="00234374"/>
    <w:rsid w:val="00234678"/>
    <w:rsid w:val="0023665B"/>
    <w:rsid w:val="0023719E"/>
    <w:rsid w:val="0023775D"/>
    <w:rsid w:val="00240C84"/>
    <w:rsid w:val="00240F2A"/>
    <w:rsid w:val="00241C96"/>
    <w:rsid w:val="00241CEF"/>
    <w:rsid w:val="00247B65"/>
    <w:rsid w:val="00251523"/>
    <w:rsid w:val="00253051"/>
    <w:rsid w:val="002614EA"/>
    <w:rsid w:val="00261B77"/>
    <w:rsid w:val="00262D31"/>
    <w:rsid w:val="00270E01"/>
    <w:rsid w:val="00273C82"/>
    <w:rsid w:val="0027431D"/>
    <w:rsid w:val="00276CD2"/>
    <w:rsid w:val="00277961"/>
    <w:rsid w:val="00277EAF"/>
    <w:rsid w:val="00287201"/>
    <w:rsid w:val="00291C46"/>
    <w:rsid w:val="00293F2D"/>
    <w:rsid w:val="002A04DF"/>
    <w:rsid w:val="002A3924"/>
    <w:rsid w:val="002A61A0"/>
    <w:rsid w:val="002A62B0"/>
    <w:rsid w:val="002A67D1"/>
    <w:rsid w:val="002A79D1"/>
    <w:rsid w:val="002B1093"/>
    <w:rsid w:val="002B1B89"/>
    <w:rsid w:val="002B1F15"/>
    <w:rsid w:val="002B2884"/>
    <w:rsid w:val="002B3BA7"/>
    <w:rsid w:val="002B5415"/>
    <w:rsid w:val="002B7FDE"/>
    <w:rsid w:val="002C0256"/>
    <w:rsid w:val="002C1746"/>
    <w:rsid w:val="002C2996"/>
    <w:rsid w:val="002C3EA2"/>
    <w:rsid w:val="002D2820"/>
    <w:rsid w:val="002D4044"/>
    <w:rsid w:val="002D41D5"/>
    <w:rsid w:val="002D602E"/>
    <w:rsid w:val="002D6924"/>
    <w:rsid w:val="002E3B1E"/>
    <w:rsid w:val="002E65CF"/>
    <w:rsid w:val="002F0FA8"/>
    <w:rsid w:val="002F1586"/>
    <w:rsid w:val="002F5F2C"/>
    <w:rsid w:val="002F78C5"/>
    <w:rsid w:val="002F7BEE"/>
    <w:rsid w:val="00300C49"/>
    <w:rsid w:val="003030F1"/>
    <w:rsid w:val="00304C0A"/>
    <w:rsid w:val="00304F48"/>
    <w:rsid w:val="003064A1"/>
    <w:rsid w:val="003076A5"/>
    <w:rsid w:val="00313FC7"/>
    <w:rsid w:val="00316723"/>
    <w:rsid w:val="0031786D"/>
    <w:rsid w:val="00317FA6"/>
    <w:rsid w:val="0032181E"/>
    <w:rsid w:val="003236E9"/>
    <w:rsid w:val="00324B39"/>
    <w:rsid w:val="0032565A"/>
    <w:rsid w:val="00327778"/>
    <w:rsid w:val="00331522"/>
    <w:rsid w:val="0033174E"/>
    <w:rsid w:val="00331D61"/>
    <w:rsid w:val="00335219"/>
    <w:rsid w:val="0034007E"/>
    <w:rsid w:val="003406EE"/>
    <w:rsid w:val="0034105C"/>
    <w:rsid w:val="00341784"/>
    <w:rsid w:val="0034663A"/>
    <w:rsid w:val="00350B76"/>
    <w:rsid w:val="00350C72"/>
    <w:rsid w:val="00350D4B"/>
    <w:rsid w:val="00350E60"/>
    <w:rsid w:val="00352190"/>
    <w:rsid w:val="00357B2D"/>
    <w:rsid w:val="00360312"/>
    <w:rsid w:val="00363437"/>
    <w:rsid w:val="00367AC4"/>
    <w:rsid w:val="00370FC0"/>
    <w:rsid w:val="00371C82"/>
    <w:rsid w:val="003725BE"/>
    <w:rsid w:val="0037295F"/>
    <w:rsid w:val="00372B46"/>
    <w:rsid w:val="003801E1"/>
    <w:rsid w:val="00383EB0"/>
    <w:rsid w:val="0039134A"/>
    <w:rsid w:val="003929F4"/>
    <w:rsid w:val="00394CD2"/>
    <w:rsid w:val="003A247F"/>
    <w:rsid w:val="003A3D6F"/>
    <w:rsid w:val="003A64BD"/>
    <w:rsid w:val="003B1012"/>
    <w:rsid w:val="003B2579"/>
    <w:rsid w:val="003B310F"/>
    <w:rsid w:val="003B644B"/>
    <w:rsid w:val="003C5A22"/>
    <w:rsid w:val="003D1F1D"/>
    <w:rsid w:val="003D2634"/>
    <w:rsid w:val="003D2729"/>
    <w:rsid w:val="003D50C1"/>
    <w:rsid w:val="003D67E5"/>
    <w:rsid w:val="003F1E04"/>
    <w:rsid w:val="003F3205"/>
    <w:rsid w:val="003F3653"/>
    <w:rsid w:val="003F3936"/>
    <w:rsid w:val="003F64E4"/>
    <w:rsid w:val="00405A39"/>
    <w:rsid w:val="00411100"/>
    <w:rsid w:val="00411BCA"/>
    <w:rsid w:val="0041421B"/>
    <w:rsid w:val="00422429"/>
    <w:rsid w:val="00423ACE"/>
    <w:rsid w:val="004240FF"/>
    <w:rsid w:val="0042444D"/>
    <w:rsid w:val="00430272"/>
    <w:rsid w:val="004304F1"/>
    <w:rsid w:val="004333FB"/>
    <w:rsid w:val="00433D36"/>
    <w:rsid w:val="00433FFF"/>
    <w:rsid w:val="00436B69"/>
    <w:rsid w:val="0044191B"/>
    <w:rsid w:val="0044359B"/>
    <w:rsid w:val="0044372D"/>
    <w:rsid w:val="00444114"/>
    <w:rsid w:val="004451BE"/>
    <w:rsid w:val="00446380"/>
    <w:rsid w:val="00446EAD"/>
    <w:rsid w:val="004512AA"/>
    <w:rsid w:val="00451DD8"/>
    <w:rsid w:val="004539E5"/>
    <w:rsid w:val="00455E95"/>
    <w:rsid w:val="0046064C"/>
    <w:rsid w:val="00461168"/>
    <w:rsid w:val="00465F61"/>
    <w:rsid w:val="004715A1"/>
    <w:rsid w:val="0048368A"/>
    <w:rsid w:val="00483E91"/>
    <w:rsid w:val="00491CD0"/>
    <w:rsid w:val="00495C5B"/>
    <w:rsid w:val="004964B9"/>
    <w:rsid w:val="004A1AAB"/>
    <w:rsid w:val="004B4A6F"/>
    <w:rsid w:val="004C0513"/>
    <w:rsid w:val="004C08C7"/>
    <w:rsid w:val="004C69C5"/>
    <w:rsid w:val="004D39E9"/>
    <w:rsid w:val="004D4750"/>
    <w:rsid w:val="004D601B"/>
    <w:rsid w:val="004D7E75"/>
    <w:rsid w:val="004E11BB"/>
    <w:rsid w:val="004E4FEC"/>
    <w:rsid w:val="004E5DC8"/>
    <w:rsid w:val="004E60A9"/>
    <w:rsid w:val="004E73FA"/>
    <w:rsid w:val="004E76AD"/>
    <w:rsid w:val="004F0AC6"/>
    <w:rsid w:val="004F1ABD"/>
    <w:rsid w:val="004F1F70"/>
    <w:rsid w:val="004F208F"/>
    <w:rsid w:val="004F3A0E"/>
    <w:rsid w:val="004F3F44"/>
    <w:rsid w:val="004F57B9"/>
    <w:rsid w:val="00500549"/>
    <w:rsid w:val="0050172D"/>
    <w:rsid w:val="00501AC5"/>
    <w:rsid w:val="00504F49"/>
    <w:rsid w:val="005058AA"/>
    <w:rsid w:val="00506374"/>
    <w:rsid w:val="00507419"/>
    <w:rsid w:val="00507ABB"/>
    <w:rsid w:val="00510268"/>
    <w:rsid w:val="00510508"/>
    <w:rsid w:val="0051080F"/>
    <w:rsid w:val="0051343D"/>
    <w:rsid w:val="00515A01"/>
    <w:rsid w:val="00516311"/>
    <w:rsid w:val="00516CBD"/>
    <w:rsid w:val="00517C87"/>
    <w:rsid w:val="00525156"/>
    <w:rsid w:val="005264EE"/>
    <w:rsid w:val="0053234E"/>
    <w:rsid w:val="00536560"/>
    <w:rsid w:val="00536DFD"/>
    <w:rsid w:val="00536FED"/>
    <w:rsid w:val="00541730"/>
    <w:rsid w:val="00544405"/>
    <w:rsid w:val="0054730C"/>
    <w:rsid w:val="005544CA"/>
    <w:rsid w:val="0055645B"/>
    <w:rsid w:val="00561439"/>
    <w:rsid w:val="005635E6"/>
    <w:rsid w:val="00570CDF"/>
    <w:rsid w:val="005748C9"/>
    <w:rsid w:val="00577929"/>
    <w:rsid w:val="00583790"/>
    <w:rsid w:val="00586EC8"/>
    <w:rsid w:val="0059261F"/>
    <w:rsid w:val="00592FF7"/>
    <w:rsid w:val="00593A97"/>
    <w:rsid w:val="005A12FD"/>
    <w:rsid w:val="005A222C"/>
    <w:rsid w:val="005A22DD"/>
    <w:rsid w:val="005A294C"/>
    <w:rsid w:val="005A4C1C"/>
    <w:rsid w:val="005A6161"/>
    <w:rsid w:val="005A6505"/>
    <w:rsid w:val="005B0430"/>
    <w:rsid w:val="005B075D"/>
    <w:rsid w:val="005C081A"/>
    <w:rsid w:val="005C1602"/>
    <w:rsid w:val="005C6250"/>
    <w:rsid w:val="005D16DA"/>
    <w:rsid w:val="005D30D3"/>
    <w:rsid w:val="005D67FA"/>
    <w:rsid w:val="005D7309"/>
    <w:rsid w:val="005D76AD"/>
    <w:rsid w:val="005E3CC6"/>
    <w:rsid w:val="005E6691"/>
    <w:rsid w:val="005E6759"/>
    <w:rsid w:val="005E75E2"/>
    <w:rsid w:val="005E7E69"/>
    <w:rsid w:val="005F01EE"/>
    <w:rsid w:val="005F1949"/>
    <w:rsid w:val="005F1B39"/>
    <w:rsid w:val="005F256E"/>
    <w:rsid w:val="005F7D58"/>
    <w:rsid w:val="00600A38"/>
    <w:rsid w:val="00605CA3"/>
    <w:rsid w:val="00612472"/>
    <w:rsid w:val="00615067"/>
    <w:rsid w:val="00620559"/>
    <w:rsid w:val="00620A5B"/>
    <w:rsid w:val="006225D2"/>
    <w:rsid w:val="00623515"/>
    <w:rsid w:val="006239ED"/>
    <w:rsid w:val="00623FBF"/>
    <w:rsid w:val="00624E61"/>
    <w:rsid w:val="00625083"/>
    <w:rsid w:val="00626B66"/>
    <w:rsid w:val="0063205E"/>
    <w:rsid w:val="0063281D"/>
    <w:rsid w:val="0064133C"/>
    <w:rsid w:val="00647CDD"/>
    <w:rsid w:val="00652323"/>
    <w:rsid w:val="00656B94"/>
    <w:rsid w:val="00657F17"/>
    <w:rsid w:val="006649C3"/>
    <w:rsid w:val="00674FFE"/>
    <w:rsid w:val="006768B0"/>
    <w:rsid w:val="00676B49"/>
    <w:rsid w:val="006804DB"/>
    <w:rsid w:val="006826DF"/>
    <w:rsid w:val="00692ECD"/>
    <w:rsid w:val="0069437B"/>
    <w:rsid w:val="00696911"/>
    <w:rsid w:val="00697601"/>
    <w:rsid w:val="006A0FED"/>
    <w:rsid w:val="006A1D39"/>
    <w:rsid w:val="006A2784"/>
    <w:rsid w:val="006A38D2"/>
    <w:rsid w:val="006B1332"/>
    <w:rsid w:val="006B6C64"/>
    <w:rsid w:val="006B7103"/>
    <w:rsid w:val="006E6A45"/>
    <w:rsid w:val="006E7AB8"/>
    <w:rsid w:val="006F068B"/>
    <w:rsid w:val="006F3C23"/>
    <w:rsid w:val="006F40E2"/>
    <w:rsid w:val="006F4757"/>
    <w:rsid w:val="006F7BD1"/>
    <w:rsid w:val="007005DF"/>
    <w:rsid w:val="0070186E"/>
    <w:rsid w:val="00702EDE"/>
    <w:rsid w:val="00703B8D"/>
    <w:rsid w:val="0070402D"/>
    <w:rsid w:val="00705E8E"/>
    <w:rsid w:val="00706842"/>
    <w:rsid w:val="00707C18"/>
    <w:rsid w:val="00715C0A"/>
    <w:rsid w:val="00717AE0"/>
    <w:rsid w:val="00717E4E"/>
    <w:rsid w:val="007243DA"/>
    <w:rsid w:val="0073045A"/>
    <w:rsid w:val="00730B90"/>
    <w:rsid w:val="0073152C"/>
    <w:rsid w:val="0073161F"/>
    <w:rsid w:val="00737153"/>
    <w:rsid w:val="00740BB0"/>
    <w:rsid w:val="00741681"/>
    <w:rsid w:val="00741B5C"/>
    <w:rsid w:val="00744E4B"/>
    <w:rsid w:val="00747523"/>
    <w:rsid w:val="00747C7E"/>
    <w:rsid w:val="00750A3C"/>
    <w:rsid w:val="00754D1B"/>
    <w:rsid w:val="00756D29"/>
    <w:rsid w:val="00762BB4"/>
    <w:rsid w:val="00764C11"/>
    <w:rsid w:val="0076556C"/>
    <w:rsid w:val="00767A92"/>
    <w:rsid w:val="00772EBD"/>
    <w:rsid w:val="00773800"/>
    <w:rsid w:val="007741A2"/>
    <w:rsid w:val="0077600A"/>
    <w:rsid w:val="00777C08"/>
    <w:rsid w:val="00777CC7"/>
    <w:rsid w:val="00781954"/>
    <w:rsid w:val="00783630"/>
    <w:rsid w:val="00791D1D"/>
    <w:rsid w:val="007A25FB"/>
    <w:rsid w:val="007A4EE0"/>
    <w:rsid w:val="007B1170"/>
    <w:rsid w:val="007B2620"/>
    <w:rsid w:val="007B2766"/>
    <w:rsid w:val="007C1A60"/>
    <w:rsid w:val="007C38DF"/>
    <w:rsid w:val="007C6389"/>
    <w:rsid w:val="007D2640"/>
    <w:rsid w:val="007D740C"/>
    <w:rsid w:val="007D7928"/>
    <w:rsid w:val="007D7C24"/>
    <w:rsid w:val="007E04CC"/>
    <w:rsid w:val="007E7A50"/>
    <w:rsid w:val="007F254B"/>
    <w:rsid w:val="007F608E"/>
    <w:rsid w:val="00800AD2"/>
    <w:rsid w:val="008021EA"/>
    <w:rsid w:val="00806A57"/>
    <w:rsid w:val="008116B6"/>
    <w:rsid w:val="00811DC6"/>
    <w:rsid w:val="00813D70"/>
    <w:rsid w:val="0081453C"/>
    <w:rsid w:val="008215C1"/>
    <w:rsid w:val="00821637"/>
    <w:rsid w:val="008225FA"/>
    <w:rsid w:val="00825F14"/>
    <w:rsid w:val="0082603D"/>
    <w:rsid w:val="00826B7A"/>
    <w:rsid w:val="0082730A"/>
    <w:rsid w:val="00834569"/>
    <w:rsid w:val="008352E3"/>
    <w:rsid w:val="00836447"/>
    <w:rsid w:val="00837AFA"/>
    <w:rsid w:val="00840B0E"/>
    <w:rsid w:val="008433D9"/>
    <w:rsid w:val="00843F35"/>
    <w:rsid w:val="00845F78"/>
    <w:rsid w:val="0085178F"/>
    <w:rsid w:val="00852869"/>
    <w:rsid w:val="00853CEE"/>
    <w:rsid w:val="00853F58"/>
    <w:rsid w:val="00854CC4"/>
    <w:rsid w:val="00855B0D"/>
    <w:rsid w:val="0086087D"/>
    <w:rsid w:val="00862C64"/>
    <w:rsid w:val="00873C4D"/>
    <w:rsid w:val="008835A2"/>
    <w:rsid w:val="00887CF2"/>
    <w:rsid w:val="008A1DB0"/>
    <w:rsid w:val="008A6142"/>
    <w:rsid w:val="008A787C"/>
    <w:rsid w:val="008B17AE"/>
    <w:rsid w:val="008B2530"/>
    <w:rsid w:val="008B4510"/>
    <w:rsid w:val="008B6FA0"/>
    <w:rsid w:val="008B7E01"/>
    <w:rsid w:val="008C035F"/>
    <w:rsid w:val="008C2773"/>
    <w:rsid w:val="008C4562"/>
    <w:rsid w:val="008C6D89"/>
    <w:rsid w:val="008C7827"/>
    <w:rsid w:val="008D0685"/>
    <w:rsid w:val="008D1929"/>
    <w:rsid w:val="008E0ECD"/>
    <w:rsid w:val="008E66CD"/>
    <w:rsid w:val="008F527A"/>
    <w:rsid w:val="0090729C"/>
    <w:rsid w:val="00912EE6"/>
    <w:rsid w:val="00917D66"/>
    <w:rsid w:val="00921EA9"/>
    <w:rsid w:val="00924F65"/>
    <w:rsid w:val="00925458"/>
    <w:rsid w:val="0092564D"/>
    <w:rsid w:val="009314D2"/>
    <w:rsid w:val="00932028"/>
    <w:rsid w:val="00933630"/>
    <w:rsid w:val="00936088"/>
    <w:rsid w:val="00940D1E"/>
    <w:rsid w:val="0094276C"/>
    <w:rsid w:val="0094426E"/>
    <w:rsid w:val="009461BF"/>
    <w:rsid w:val="009506B2"/>
    <w:rsid w:val="009541CF"/>
    <w:rsid w:val="00957713"/>
    <w:rsid w:val="00965A0B"/>
    <w:rsid w:val="009668B2"/>
    <w:rsid w:val="00966F22"/>
    <w:rsid w:val="00967E60"/>
    <w:rsid w:val="00972630"/>
    <w:rsid w:val="00973DE7"/>
    <w:rsid w:val="0097478C"/>
    <w:rsid w:val="0098198B"/>
    <w:rsid w:val="00982F9A"/>
    <w:rsid w:val="009858A0"/>
    <w:rsid w:val="00986DF3"/>
    <w:rsid w:val="00987AFC"/>
    <w:rsid w:val="00991A94"/>
    <w:rsid w:val="00991D32"/>
    <w:rsid w:val="00996E48"/>
    <w:rsid w:val="009A1B74"/>
    <w:rsid w:val="009A2225"/>
    <w:rsid w:val="009A2EF2"/>
    <w:rsid w:val="009A74E0"/>
    <w:rsid w:val="009B220E"/>
    <w:rsid w:val="009B36C4"/>
    <w:rsid w:val="009B3DCC"/>
    <w:rsid w:val="009B513A"/>
    <w:rsid w:val="009C65D9"/>
    <w:rsid w:val="009D3B21"/>
    <w:rsid w:val="009E019B"/>
    <w:rsid w:val="009E1E90"/>
    <w:rsid w:val="009E2FEC"/>
    <w:rsid w:val="009E4814"/>
    <w:rsid w:val="009E505E"/>
    <w:rsid w:val="009F1E06"/>
    <w:rsid w:val="009F3838"/>
    <w:rsid w:val="009F5A32"/>
    <w:rsid w:val="009F62E8"/>
    <w:rsid w:val="009F71E0"/>
    <w:rsid w:val="00A04511"/>
    <w:rsid w:val="00A10827"/>
    <w:rsid w:val="00A10D97"/>
    <w:rsid w:val="00A116B0"/>
    <w:rsid w:val="00A12D2D"/>
    <w:rsid w:val="00A1390A"/>
    <w:rsid w:val="00A1407C"/>
    <w:rsid w:val="00A17AFB"/>
    <w:rsid w:val="00A216F8"/>
    <w:rsid w:val="00A21D87"/>
    <w:rsid w:val="00A23AFB"/>
    <w:rsid w:val="00A23F7E"/>
    <w:rsid w:val="00A26772"/>
    <w:rsid w:val="00A3114D"/>
    <w:rsid w:val="00A3145F"/>
    <w:rsid w:val="00A316F6"/>
    <w:rsid w:val="00A3388D"/>
    <w:rsid w:val="00A35B24"/>
    <w:rsid w:val="00A379AA"/>
    <w:rsid w:val="00A42029"/>
    <w:rsid w:val="00A436CB"/>
    <w:rsid w:val="00A542A2"/>
    <w:rsid w:val="00A54D54"/>
    <w:rsid w:val="00A6062C"/>
    <w:rsid w:val="00A616B4"/>
    <w:rsid w:val="00A61926"/>
    <w:rsid w:val="00A642BC"/>
    <w:rsid w:val="00A70F0A"/>
    <w:rsid w:val="00A71079"/>
    <w:rsid w:val="00A7237A"/>
    <w:rsid w:val="00A81593"/>
    <w:rsid w:val="00A83820"/>
    <w:rsid w:val="00A8764C"/>
    <w:rsid w:val="00A910CA"/>
    <w:rsid w:val="00A917BB"/>
    <w:rsid w:val="00A9415E"/>
    <w:rsid w:val="00A94321"/>
    <w:rsid w:val="00A97968"/>
    <w:rsid w:val="00AA6132"/>
    <w:rsid w:val="00AB17DD"/>
    <w:rsid w:val="00AC206D"/>
    <w:rsid w:val="00AC4C13"/>
    <w:rsid w:val="00AC5267"/>
    <w:rsid w:val="00AC6A88"/>
    <w:rsid w:val="00AC703D"/>
    <w:rsid w:val="00AD0D30"/>
    <w:rsid w:val="00AE09B5"/>
    <w:rsid w:val="00AE0C8B"/>
    <w:rsid w:val="00AE1F34"/>
    <w:rsid w:val="00AE5D9A"/>
    <w:rsid w:val="00AE736E"/>
    <w:rsid w:val="00AF1BF1"/>
    <w:rsid w:val="00AF44B6"/>
    <w:rsid w:val="00AF6F76"/>
    <w:rsid w:val="00B00818"/>
    <w:rsid w:val="00B009C6"/>
    <w:rsid w:val="00B016AF"/>
    <w:rsid w:val="00B02643"/>
    <w:rsid w:val="00B10CEE"/>
    <w:rsid w:val="00B12141"/>
    <w:rsid w:val="00B126DC"/>
    <w:rsid w:val="00B1436E"/>
    <w:rsid w:val="00B167E0"/>
    <w:rsid w:val="00B17B32"/>
    <w:rsid w:val="00B226E6"/>
    <w:rsid w:val="00B25A9D"/>
    <w:rsid w:val="00B339EA"/>
    <w:rsid w:val="00B3478C"/>
    <w:rsid w:val="00B35AA3"/>
    <w:rsid w:val="00B423BE"/>
    <w:rsid w:val="00B429E4"/>
    <w:rsid w:val="00B43808"/>
    <w:rsid w:val="00B44582"/>
    <w:rsid w:val="00B44F29"/>
    <w:rsid w:val="00B472C5"/>
    <w:rsid w:val="00B53624"/>
    <w:rsid w:val="00B556B7"/>
    <w:rsid w:val="00B577DB"/>
    <w:rsid w:val="00B61298"/>
    <w:rsid w:val="00B614B7"/>
    <w:rsid w:val="00B65D25"/>
    <w:rsid w:val="00B66A03"/>
    <w:rsid w:val="00B66B20"/>
    <w:rsid w:val="00B66DE3"/>
    <w:rsid w:val="00B733E4"/>
    <w:rsid w:val="00B75ECD"/>
    <w:rsid w:val="00B81782"/>
    <w:rsid w:val="00B921CA"/>
    <w:rsid w:val="00B9311D"/>
    <w:rsid w:val="00B94035"/>
    <w:rsid w:val="00B95FA7"/>
    <w:rsid w:val="00BA1FAA"/>
    <w:rsid w:val="00BA24F5"/>
    <w:rsid w:val="00BA5773"/>
    <w:rsid w:val="00BA5A53"/>
    <w:rsid w:val="00BA65A8"/>
    <w:rsid w:val="00BA795D"/>
    <w:rsid w:val="00BB2FE9"/>
    <w:rsid w:val="00BB4646"/>
    <w:rsid w:val="00BB4D3F"/>
    <w:rsid w:val="00BC16BE"/>
    <w:rsid w:val="00BC2E58"/>
    <w:rsid w:val="00BC4725"/>
    <w:rsid w:val="00BC5B58"/>
    <w:rsid w:val="00BD1428"/>
    <w:rsid w:val="00BD3E25"/>
    <w:rsid w:val="00BD4914"/>
    <w:rsid w:val="00BE0448"/>
    <w:rsid w:val="00BE11B5"/>
    <w:rsid w:val="00BE4585"/>
    <w:rsid w:val="00BE63CD"/>
    <w:rsid w:val="00BE6C9A"/>
    <w:rsid w:val="00BF20A1"/>
    <w:rsid w:val="00BF501B"/>
    <w:rsid w:val="00C05EA7"/>
    <w:rsid w:val="00C06D03"/>
    <w:rsid w:val="00C12032"/>
    <w:rsid w:val="00C121E5"/>
    <w:rsid w:val="00C13074"/>
    <w:rsid w:val="00C144C5"/>
    <w:rsid w:val="00C16543"/>
    <w:rsid w:val="00C17A7B"/>
    <w:rsid w:val="00C21E9B"/>
    <w:rsid w:val="00C22E67"/>
    <w:rsid w:val="00C2603E"/>
    <w:rsid w:val="00C27961"/>
    <w:rsid w:val="00C30B87"/>
    <w:rsid w:val="00C330A1"/>
    <w:rsid w:val="00C34557"/>
    <w:rsid w:val="00C4439D"/>
    <w:rsid w:val="00C44636"/>
    <w:rsid w:val="00C475D6"/>
    <w:rsid w:val="00C50E0B"/>
    <w:rsid w:val="00C51A04"/>
    <w:rsid w:val="00C5252C"/>
    <w:rsid w:val="00C53C16"/>
    <w:rsid w:val="00C53F6A"/>
    <w:rsid w:val="00C545CB"/>
    <w:rsid w:val="00C570E0"/>
    <w:rsid w:val="00C6028D"/>
    <w:rsid w:val="00C618FB"/>
    <w:rsid w:val="00C62F06"/>
    <w:rsid w:val="00C65D41"/>
    <w:rsid w:val="00C669E7"/>
    <w:rsid w:val="00C74F81"/>
    <w:rsid w:val="00C77047"/>
    <w:rsid w:val="00C81931"/>
    <w:rsid w:val="00C87857"/>
    <w:rsid w:val="00C9188B"/>
    <w:rsid w:val="00C920AC"/>
    <w:rsid w:val="00C95E53"/>
    <w:rsid w:val="00C96C9B"/>
    <w:rsid w:val="00CA1023"/>
    <w:rsid w:val="00CA59D2"/>
    <w:rsid w:val="00CA7100"/>
    <w:rsid w:val="00CB0993"/>
    <w:rsid w:val="00CB3C4C"/>
    <w:rsid w:val="00CC013D"/>
    <w:rsid w:val="00CC1BC3"/>
    <w:rsid w:val="00CC5D4A"/>
    <w:rsid w:val="00CD163A"/>
    <w:rsid w:val="00CD22E3"/>
    <w:rsid w:val="00CE19DA"/>
    <w:rsid w:val="00CE2CD8"/>
    <w:rsid w:val="00CE4B27"/>
    <w:rsid w:val="00CE6CD9"/>
    <w:rsid w:val="00CE76AA"/>
    <w:rsid w:val="00CF05A2"/>
    <w:rsid w:val="00CF2522"/>
    <w:rsid w:val="00CF30DD"/>
    <w:rsid w:val="00CF3CE3"/>
    <w:rsid w:val="00CF659D"/>
    <w:rsid w:val="00D01057"/>
    <w:rsid w:val="00D02479"/>
    <w:rsid w:val="00D0331D"/>
    <w:rsid w:val="00D125AB"/>
    <w:rsid w:val="00D12C7D"/>
    <w:rsid w:val="00D12E80"/>
    <w:rsid w:val="00D13175"/>
    <w:rsid w:val="00D13302"/>
    <w:rsid w:val="00D13C04"/>
    <w:rsid w:val="00D1529F"/>
    <w:rsid w:val="00D152F0"/>
    <w:rsid w:val="00D2079D"/>
    <w:rsid w:val="00D21E25"/>
    <w:rsid w:val="00D21EFA"/>
    <w:rsid w:val="00D266E8"/>
    <w:rsid w:val="00D27F77"/>
    <w:rsid w:val="00D327B4"/>
    <w:rsid w:val="00D36B9A"/>
    <w:rsid w:val="00D3711C"/>
    <w:rsid w:val="00D422E8"/>
    <w:rsid w:val="00D42941"/>
    <w:rsid w:val="00D42EB4"/>
    <w:rsid w:val="00D43737"/>
    <w:rsid w:val="00D452E7"/>
    <w:rsid w:val="00D47945"/>
    <w:rsid w:val="00D47D71"/>
    <w:rsid w:val="00D51C7C"/>
    <w:rsid w:val="00D525F2"/>
    <w:rsid w:val="00D55BB2"/>
    <w:rsid w:val="00D60C31"/>
    <w:rsid w:val="00D64DEF"/>
    <w:rsid w:val="00D660EC"/>
    <w:rsid w:val="00D66E56"/>
    <w:rsid w:val="00D67632"/>
    <w:rsid w:val="00D73903"/>
    <w:rsid w:val="00D73B74"/>
    <w:rsid w:val="00D759DC"/>
    <w:rsid w:val="00D85CCE"/>
    <w:rsid w:val="00D87064"/>
    <w:rsid w:val="00D9303B"/>
    <w:rsid w:val="00D93F6B"/>
    <w:rsid w:val="00D9443F"/>
    <w:rsid w:val="00D95D70"/>
    <w:rsid w:val="00D964E8"/>
    <w:rsid w:val="00D97826"/>
    <w:rsid w:val="00DA0606"/>
    <w:rsid w:val="00DA1B6B"/>
    <w:rsid w:val="00DA4D07"/>
    <w:rsid w:val="00DA5175"/>
    <w:rsid w:val="00DA696B"/>
    <w:rsid w:val="00DA6BB2"/>
    <w:rsid w:val="00DB4000"/>
    <w:rsid w:val="00DB6140"/>
    <w:rsid w:val="00DB6C31"/>
    <w:rsid w:val="00DC02CD"/>
    <w:rsid w:val="00DC052C"/>
    <w:rsid w:val="00DC0B77"/>
    <w:rsid w:val="00DC673D"/>
    <w:rsid w:val="00DD1F5F"/>
    <w:rsid w:val="00DD42C2"/>
    <w:rsid w:val="00DD7384"/>
    <w:rsid w:val="00DD7A2B"/>
    <w:rsid w:val="00DE0AA3"/>
    <w:rsid w:val="00DE35E3"/>
    <w:rsid w:val="00DE362D"/>
    <w:rsid w:val="00DF0EEC"/>
    <w:rsid w:val="00DF103D"/>
    <w:rsid w:val="00DF236A"/>
    <w:rsid w:val="00DF4B52"/>
    <w:rsid w:val="00E03DE6"/>
    <w:rsid w:val="00E10183"/>
    <w:rsid w:val="00E1366A"/>
    <w:rsid w:val="00E13E68"/>
    <w:rsid w:val="00E16FBB"/>
    <w:rsid w:val="00E1715D"/>
    <w:rsid w:val="00E224C0"/>
    <w:rsid w:val="00E234BC"/>
    <w:rsid w:val="00E25A3A"/>
    <w:rsid w:val="00E264AA"/>
    <w:rsid w:val="00E31166"/>
    <w:rsid w:val="00E31E0F"/>
    <w:rsid w:val="00E31F68"/>
    <w:rsid w:val="00E349D3"/>
    <w:rsid w:val="00E40EC8"/>
    <w:rsid w:val="00E43DA4"/>
    <w:rsid w:val="00E47ACA"/>
    <w:rsid w:val="00E52C27"/>
    <w:rsid w:val="00E53740"/>
    <w:rsid w:val="00E5761A"/>
    <w:rsid w:val="00E62041"/>
    <w:rsid w:val="00E627C6"/>
    <w:rsid w:val="00E63ACB"/>
    <w:rsid w:val="00E6407D"/>
    <w:rsid w:val="00E64C59"/>
    <w:rsid w:val="00E66691"/>
    <w:rsid w:val="00E67047"/>
    <w:rsid w:val="00E71B34"/>
    <w:rsid w:val="00E72E0E"/>
    <w:rsid w:val="00E7317F"/>
    <w:rsid w:val="00E73EDD"/>
    <w:rsid w:val="00E778C0"/>
    <w:rsid w:val="00E7793B"/>
    <w:rsid w:val="00E77B18"/>
    <w:rsid w:val="00E80A8D"/>
    <w:rsid w:val="00E811DD"/>
    <w:rsid w:val="00E825A1"/>
    <w:rsid w:val="00E830E7"/>
    <w:rsid w:val="00E873F8"/>
    <w:rsid w:val="00E87866"/>
    <w:rsid w:val="00E9022C"/>
    <w:rsid w:val="00E91662"/>
    <w:rsid w:val="00E91DEC"/>
    <w:rsid w:val="00E91E14"/>
    <w:rsid w:val="00E95F7B"/>
    <w:rsid w:val="00E96735"/>
    <w:rsid w:val="00E96E61"/>
    <w:rsid w:val="00EA030C"/>
    <w:rsid w:val="00EA3719"/>
    <w:rsid w:val="00EA40AB"/>
    <w:rsid w:val="00EA5163"/>
    <w:rsid w:val="00EA7666"/>
    <w:rsid w:val="00EB0122"/>
    <w:rsid w:val="00EC00C2"/>
    <w:rsid w:val="00EC20AF"/>
    <w:rsid w:val="00EC2E75"/>
    <w:rsid w:val="00EC5B29"/>
    <w:rsid w:val="00EC7AEF"/>
    <w:rsid w:val="00ED196E"/>
    <w:rsid w:val="00ED53CD"/>
    <w:rsid w:val="00EE0568"/>
    <w:rsid w:val="00EE0ACA"/>
    <w:rsid w:val="00EE277E"/>
    <w:rsid w:val="00EE2818"/>
    <w:rsid w:val="00EE34D7"/>
    <w:rsid w:val="00EE4619"/>
    <w:rsid w:val="00EE5093"/>
    <w:rsid w:val="00EE5592"/>
    <w:rsid w:val="00EE6A1E"/>
    <w:rsid w:val="00EE7288"/>
    <w:rsid w:val="00EF154D"/>
    <w:rsid w:val="00EF2A6D"/>
    <w:rsid w:val="00EF57F2"/>
    <w:rsid w:val="00EF69EF"/>
    <w:rsid w:val="00F019C7"/>
    <w:rsid w:val="00F04ECF"/>
    <w:rsid w:val="00F05350"/>
    <w:rsid w:val="00F07838"/>
    <w:rsid w:val="00F11ACE"/>
    <w:rsid w:val="00F138F1"/>
    <w:rsid w:val="00F16FB4"/>
    <w:rsid w:val="00F17197"/>
    <w:rsid w:val="00F17E86"/>
    <w:rsid w:val="00F20CCB"/>
    <w:rsid w:val="00F245D1"/>
    <w:rsid w:val="00F25EB1"/>
    <w:rsid w:val="00F31184"/>
    <w:rsid w:val="00F34CA4"/>
    <w:rsid w:val="00F5021E"/>
    <w:rsid w:val="00F52C88"/>
    <w:rsid w:val="00F53B47"/>
    <w:rsid w:val="00F55610"/>
    <w:rsid w:val="00F566E5"/>
    <w:rsid w:val="00F56CAA"/>
    <w:rsid w:val="00F56CE1"/>
    <w:rsid w:val="00F57EB5"/>
    <w:rsid w:val="00F60DFD"/>
    <w:rsid w:val="00F6243E"/>
    <w:rsid w:val="00F65435"/>
    <w:rsid w:val="00F669AD"/>
    <w:rsid w:val="00F73C38"/>
    <w:rsid w:val="00F775F4"/>
    <w:rsid w:val="00F77870"/>
    <w:rsid w:val="00F78CAC"/>
    <w:rsid w:val="00F82F45"/>
    <w:rsid w:val="00F83D5D"/>
    <w:rsid w:val="00F84B69"/>
    <w:rsid w:val="00F86269"/>
    <w:rsid w:val="00F91E4D"/>
    <w:rsid w:val="00F94E8D"/>
    <w:rsid w:val="00F967D3"/>
    <w:rsid w:val="00F97E63"/>
    <w:rsid w:val="00FA28EA"/>
    <w:rsid w:val="00FA2DBC"/>
    <w:rsid w:val="00FA386E"/>
    <w:rsid w:val="00FA3F2F"/>
    <w:rsid w:val="00FA5E09"/>
    <w:rsid w:val="00FA73A4"/>
    <w:rsid w:val="00FA7FA2"/>
    <w:rsid w:val="00FB16E0"/>
    <w:rsid w:val="00FB411D"/>
    <w:rsid w:val="00FC0B8E"/>
    <w:rsid w:val="00FC1337"/>
    <w:rsid w:val="00FC1744"/>
    <w:rsid w:val="00FC2CE6"/>
    <w:rsid w:val="00FC3565"/>
    <w:rsid w:val="00FC7A0F"/>
    <w:rsid w:val="00FD0C5D"/>
    <w:rsid w:val="00FD2D42"/>
    <w:rsid w:val="00FD61A5"/>
    <w:rsid w:val="00FD71DC"/>
    <w:rsid w:val="00FE09A0"/>
    <w:rsid w:val="00FE3C75"/>
    <w:rsid w:val="00FE402F"/>
    <w:rsid w:val="00FE548F"/>
    <w:rsid w:val="00FE656A"/>
    <w:rsid w:val="00FF1B22"/>
    <w:rsid w:val="00FF3637"/>
    <w:rsid w:val="00FF51CB"/>
    <w:rsid w:val="00FF7951"/>
    <w:rsid w:val="010E115A"/>
    <w:rsid w:val="0431F46B"/>
    <w:rsid w:val="04CAA2FD"/>
    <w:rsid w:val="060F4A48"/>
    <w:rsid w:val="0B8DBE61"/>
    <w:rsid w:val="0D4486F4"/>
    <w:rsid w:val="0D84E04B"/>
    <w:rsid w:val="0EA1FF4B"/>
    <w:rsid w:val="103EEE5E"/>
    <w:rsid w:val="13849FE7"/>
    <w:rsid w:val="1438B959"/>
    <w:rsid w:val="15D9A715"/>
    <w:rsid w:val="1AAC0EDB"/>
    <w:rsid w:val="1E23639E"/>
    <w:rsid w:val="24A3811F"/>
    <w:rsid w:val="27A19E3E"/>
    <w:rsid w:val="27FCE859"/>
    <w:rsid w:val="2900564E"/>
    <w:rsid w:val="3207FAC1"/>
    <w:rsid w:val="349CDC8C"/>
    <w:rsid w:val="366B1A71"/>
    <w:rsid w:val="36929567"/>
    <w:rsid w:val="386BD567"/>
    <w:rsid w:val="3A64C5D2"/>
    <w:rsid w:val="3B727015"/>
    <w:rsid w:val="3D5C8F1E"/>
    <w:rsid w:val="3EC51D49"/>
    <w:rsid w:val="40C1F7AB"/>
    <w:rsid w:val="4308CB02"/>
    <w:rsid w:val="451560E4"/>
    <w:rsid w:val="457ED61F"/>
    <w:rsid w:val="46440952"/>
    <w:rsid w:val="471810D2"/>
    <w:rsid w:val="4A42FFAC"/>
    <w:rsid w:val="4AEB39C4"/>
    <w:rsid w:val="4AFAB48A"/>
    <w:rsid w:val="4C9684EB"/>
    <w:rsid w:val="4EC12904"/>
    <w:rsid w:val="559F2A3E"/>
    <w:rsid w:val="57312A24"/>
    <w:rsid w:val="577FC556"/>
    <w:rsid w:val="586A56B6"/>
    <w:rsid w:val="59DE5FAD"/>
    <w:rsid w:val="6085EED1"/>
    <w:rsid w:val="63846703"/>
    <w:rsid w:val="63DC56B6"/>
    <w:rsid w:val="64DAA052"/>
    <w:rsid w:val="6794B89E"/>
    <w:rsid w:val="67B6CDBE"/>
    <w:rsid w:val="69AE1175"/>
    <w:rsid w:val="6A549004"/>
    <w:rsid w:val="6A8FF2B2"/>
    <w:rsid w:val="6F492F87"/>
    <w:rsid w:val="7044C105"/>
    <w:rsid w:val="7303989E"/>
    <w:rsid w:val="7DE57DEF"/>
    <w:rsid w:val="7E77EBCC"/>
    <w:rsid w:val="7FB14A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469E40"/>
  <w15:chartTrackingRefBased/>
  <w15:docId w15:val="{94DB13FC-63E7-4DFD-9902-9C39CEC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6EE"/>
    <w:pPr>
      <w:spacing w:after="120"/>
    </w:pPr>
    <w:rPr>
      <w:sz w:val="24"/>
    </w:rPr>
  </w:style>
  <w:style w:type="paragraph" w:styleId="Heading1">
    <w:name w:val="heading 1"/>
    <w:basedOn w:val="Normal"/>
    <w:next w:val="Normal"/>
    <w:link w:val="Heading1Char"/>
    <w:qFormat/>
    <w:rsid w:val="00AF44B6"/>
    <w:pPr>
      <w:keepNext/>
      <w:numPr>
        <w:numId w:val="3"/>
      </w:numPr>
      <w:suppressAutoHyphens/>
      <w:outlineLvl w:val="0"/>
    </w:pPr>
    <w:rPr>
      <w:b/>
      <w:caps/>
    </w:rPr>
  </w:style>
  <w:style w:type="paragraph" w:styleId="Heading2">
    <w:name w:val="heading 2"/>
    <w:basedOn w:val="Normal"/>
    <w:next w:val="Normal"/>
    <w:link w:val="Heading2Char"/>
    <w:qFormat/>
    <w:rsid w:val="00AF44B6"/>
    <w:pPr>
      <w:keepNext/>
      <w:numPr>
        <w:ilvl w:val="1"/>
        <w:numId w:val="3"/>
      </w:numPr>
      <w:outlineLvl w:val="1"/>
    </w:pPr>
    <w:rPr>
      <w:b/>
    </w:rPr>
  </w:style>
  <w:style w:type="paragraph" w:styleId="Heading3">
    <w:name w:val="heading 3"/>
    <w:basedOn w:val="Normal"/>
    <w:next w:val="Normal"/>
    <w:link w:val="Heading3Char"/>
    <w:qFormat/>
    <w:rsid w:val="00AF44B6"/>
    <w:pPr>
      <w:numPr>
        <w:ilvl w:val="2"/>
        <w:numId w:val="3"/>
      </w:numPr>
      <w:tabs>
        <w:tab w:val="left" w:pos="2160"/>
      </w:tabs>
      <w:outlineLvl w:val="2"/>
    </w:pPr>
    <w:rPr>
      <w:b/>
    </w:rPr>
  </w:style>
  <w:style w:type="paragraph" w:styleId="Heading4">
    <w:name w:val="heading 4"/>
    <w:basedOn w:val="Normal"/>
    <w:next w:val="Normal"/>
    <w:link w:val="Heading4Char"/>
    <w:qFormat/>
    <w:rsid w:val="00AF44B6"/>
    <w:pPr>
      <w:numPr>
        <w:ilvl w:val="3"/>
        <w:numId w:val="3"/>
      </w:numPr>
      <w:tabs>
        <w:tab w:val="left" w:pos="2880"/>
      </w:tabs>
      <w:outlineLvl w:val="3"/>
    </w:pPr>
    <w:rPr>
      <w:b/>
    </w:rPr>
  </w:style>
  <w:style w:type="paragraph" w:styleId="Heading5">
    <w:name w:val="heading 5"/>
    <w:basedOn w:val="Normal"/>
    <w:next w:val="Normal"/>
    <w:link w:val="Heading5Char"/>
    <w:qFormat/>
    <w:rsid w:val="00AF44B6"/>
    <w:pPr>
      <w:numPr>
        <w:ilvl w:val="4"/>
        <w:numId w:val="3"/>
      </w:numPr>
      <w:tabs>
        <w:tab w:val="left" w:pos="3600"/>
      </w:tabs>
      <w:suppressAutoHyphens/>
      <w:outlineLvl w:val="4"/>
    </w:pPr>
    <w:rPr>
      <w:b/>
    </w:rPr>
  </w:style>
  <w:style w:type="paragraph" w:styleId="Heading6">
    <w:name w:val="heading 6"/>
    <w:basedOn w:val="Normal"/>
    <w:next w:val="Normal"/>
    <w:link w:val="Heading6Char"/>
    <w:uiPriority w:val="95"/>
    <w:qFormat/>
    <w:rsid w:val="00AF44B6"/>
    <w:pPr>
      <w:numPr>
        <w:ilvl w:val="5"/>
        <w:numId w:val="3"/>
      </w:numPr>
      <w:tabs>
        <w:tab w:val="left" w:pos="4320"/>
      </w:tabs>
      <w:outlineLvl w:val="5"/>
    </w:pPr>
    <w:rPr>
      <w:b/>
    </w:rPr>
  </w:style>
  <w:style w:type="paragraph" w:styleId="Heading7">
    <w:name w:val="heading 7"/>
    <w:basedOn w:val="Normal"/>
    <w:next w:val="Normal"/>
    <w:link w:val="Heading7Char"/>
    <w:uiPriority w:val="95"/>
    <w:qFormat/>
    <w:rsid w:val="00AF44B6"/>
    <w:pPr>
      <w:numPr>
        <w:ilvl w:val="6"/>
        <w:numId w:val="3"/>
      </w:numPr>
      <w:tabs>
        <w:tab w:val="left" w:pos="5040"/>
      </w:tabs>
      <w:outlineLvl w:val="6"/>
    </w:pPr>
    <w:rPr>
      <w:b/>
    </w:rPr>
  </w:style>
  <w:style w:type="paragraph" w:styleId="Heading8">
    <w:name w:val="heading 8"/>
    <w:basedOn w:val="Normal"/>
    <w:next w:val="Normal"/>
    <w:link w:val="Heading8Char"/>
    <w:uiPriority w:val="95"/>
    <w:qFormat/>
    <w:rsid w:val="00AF44B6"/>
    <w:pPr>
      <w:numPr>
        <w:ilvl w:val="7"/>
        <w:numId w:val="3"/>
      </w:numPr>
      <w:tabs>
        <w:tab w:val="left" w:pos="5760"/>
      </w:tabs>
      <w:outlineLvl w:val="7"/>
    </w:pPr>
    <w:rPr>
      <w:b/>
    </w:rPr>
  </w:style>
  <w:style w:type="paragraph" w:styleId="Heading9">
    <w:name w:val="heading 9"/>
    <w:basedOn w:val="Normal"/>
    <w:next w:val="Normal"/>
    <w:link w:val="Heading9Char"/>
    <w:uiPriority w:val="95"/>
    <w:qFormat/>
    <w:rsid w:val="00AF44B6"/>
    <w:pPr>
      <w:numPr>
        <w:ilvl w:val="8"/>
        <w:numId w:val="3"/>
      </w:numPr>
      <w:tabs>
        <w:tab w:val="left" w:pos="6480"/>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semiHidden/>
    <w:rsid w:val="00AF44B6"/>
    <w:rPr>
      <w:rFonts w:ascii="Calibri" w:hAnsi="Calibri"/>
    </w:rPr>
  </w:style>
  <w:style w:type="paragraph" w:customStyle="1" w:styleId="TitleCenteredBold">
    <w:name w:val="Title Centered Bold"/>
    <w:basedOn w:val="Normal"/>
    <w:next w:val="Normal"/>
    <w:uiPriority w:val="99"/>
    <w:semiHidden/>
    <w:rsid w:val="00AF44B6"/>
    <w:pPr>
      <w:suppressAutoHyphens/>
      <w:spacing w:after="0"/>
      <w:jc w:val="center"/>
    </w:pPr>
    <w:rPr>
      <w:b/>
    </w:rPr>
  </w:style>
  <w:style w:type="paragraph" w:styleId="Header">
    <w:name w:val="header"/>
    <w:basedOn w:val="Normal"/>
    <w:link w:val="HeaderChar"/>
    <w:unhideWhenUsed/>
    <w:rsid w:val="003064A1"/>
    <w:pPr>
      <w:tabs>
        <w:tab w:val="center" w:pos="4680"/>
        <w:tab w:val="right" w:pos="9360"/>
      </w:tabs>
      <w:spacing w:after="0"/>
    </w:pPr>
  </w:style>
  <w:style w:type="numbering" w:customStyle="1" w:styleId="Appendices">
    <w:name w:val="Appendices"/>
    <w:uiPriority w:val="99"/>
    <w:rsid w:val="00F73C38"/>
    <w:pPr>
      <w:numPr>
        <w:numId w:val="1"/>
      </w:numPr>
    </w:pPr>
  </w:style>
  <w:style w:type="paragraph" w:customStyle="1" w:styleId="TitleCAPSCenteredBold">
    <w:name w:val="Title CAPS Centered Bold"/>
    <w:basedOn w:val="TitleCenteredBold"/>
    <w:next w:val="Normal"/>
    <w:uiPriority w:val="96"/>
    <w:qFormat/>
    <w:rsid w:val="00AF44B6"/>
    <w:rPr>
      <w:caps/>
    </w:rPr>
  </w:style>
  <w:style w:type="paragraph" w:customStyle="1" w:styleId="Appendix">
    <w:name w:val="Appendix"/>
    <w:basedOn w:val="TitleCAPSCenteredBold"/>
    <w:next w:val="NormalIndent"/>
    <w:qFormat/>
    <w:rsid w:val="00CF2522"/>
    <w:pPr>
      <w:spacing w:after="120"/>
    </w:pPr>
  </w:style>
  <w:style w:type="paragraph" w:styleId="NormalIndent">
    <w:name w:val="Normal Indent"/>
    <w:basedOn w:val="Normal"/>
    <w:qFormat/>
    <w:rsid w:val="00AF44B6"/>
    <w:pPr>
      <w:ind w:firstLine="720"/>
    </w:pPr>
  </w:style>
  <w:style w:type="paragraph" w:customStyle="1" w:styleId="TitleCenteredCapsBoldUnderline">
    <w:name w:val="Title Centered Caps Bold Underline"/>
    <w:basedOn w:val="Normal"/>
    <w:next w:val="Normal"/>
    <w:uiPriority w:val="99"/>
    <w:semiHidden/>
    <w:qFormat/>
    <w:rsid w:val="00AF44B6"/>
    <w:pPr>
      <w:jc w:val="center"/>
    </w:pPr>
    <w:rPr>
      <w:rFonts w:eastAsia="Calibri"/>
      <w:b/>
      <w:bCs/>
      <w:caps/>
      <w:snapToGrid w:val="0"/>
      <w:u w:val="single"/>
    </w:rPr>
  </w:style>
  <w:style w:type="paragraph" w:customStyle="1" w:styleId="Attachment">
    <w:name w:val="Attachment"/>
    <w:basedOn w:val="TitleCenteredCapsBoldUnderline"/>
    <w:next w:val="Normal"/>
    <w:uiPriority w:val="99"/>
    <w:semiHidden/>
    <w:qFormat/>
    <w:rsid w:val="00C4439D"/>
    <w:pPr>
      <w:numPr>
        <w:numId w:val="10"/>
      </w:numPr>
      <w:spacing w:after="0"/>
    </w:pPr>
    <w:rPr>
      <w:u w:val="none"/>
    </w:rPr>
  </w:style>
  <w:style w:type="character" w:styleId="CommentReference">
    <w:name w:val="annotation reference"/>
    <w:uiPriority w:val="99"/>
    <w:semiHidden/>
    <w:rsid w:val="00AF44B6"/>
    <w:rPr>
      <w:sz w:val="16"/>
      <w:szCs w:val="16"/>
    </w:rPr>
  </w:style>
  <w:style w:type="paragraph" w:styleId="CommentText">
    <w:name w:val="annotation text"/>
    <w:basedOn w:val="Normal"/>
    <w:link w:val="CommentTextChar"/>
    <w:uiPriority w:val="99"/>
    <w:semiHidden/>
    <w:rsid w:val="00AF44B6"/>
    <w:rPr>
      <w:sz w:val="20"/>
    </w:rPr>
  </w:style>
  <w:style w:type="character" w:customStyle="1" w:styleId="CommentTextChar">
    <w:name w:val="Comment Text Char"/>
    <w:link w:val="CommentText"/>
    <w:uiPriority w:val="99"/>
    <w:semiHidden/>
    <w:rsid w:val="00AF44B6"/>
    <w:rPr>
      <w:rFonts w:ascii="Calibri" w:eastAsia="Times New Roman" w:hAnsi="Calibri"/>
      <w:snapToGrid w:val="0"/>
      <w:kern w:val="28"/>
    </w:rPr>
  </w:style>
  <w:style w:type="paragraph" w:styleId="CommentSubject">
    <w:name w:val="annotation subject"/>
    <w:basedOn w:val="CommentText"/>
    <w:next w:val="CommentText"/>
    <w:link w:val="CommentSubjectChar"/>
    <w:uiPriority w:val="99"/>
    <w:semiHidden/>
    <w:rsid w:val="00AF44B6"/>
    <w:rPr>
      <w:b/>
      <w:bCs/>
    </w:rPr>
  </w:style>
  <w:style w:type="character" w:customStyle="1" w:styleId="CommentSubjectChar">
    <w:name w:val="Comment Subject Char"/>
    <w:link w:val="CommentSubject"/>
    <w:uiPriority w:val="99"/>
    <w:semiHidden/>
    <w:rsid w:val="00AF44B6"/>
    <w:rPr>
      <w:rFonts w:ascii="Calibri" w:eastAsia="Times New Roman" w:hAnsi="Calibri"/>
      <w:b/>
      <w:bCs/>
      <w:snapToGrid w:val="0"/>
      <w:kern w:val="28"/>
    </w:rPr>
  </w:style>
  <w:style w:type="character" w:customStyle="1" w:styleId="HeaderChar">
    <w:name w:val="Header Char"/>
    <w:basedOn w:val="DefaultParagraphFont"/>
    <w:link w:val="Header"/>
    <w:rsid w:val="003064A1"/>
    <w:rPr>
      <w:rFonts w:ascii="Calibri" w:eastAsia="Times New Roman" w:hAnsi="Calibri"/>
      <w:snapToGrid w:val="0"/>
      <w:kern w:val="28"/>
      <w:sz w:val="22"/>
    </w:rPr>
  </w:style>
  <w:style w:type="character" w:styleId="EndnoteReference">
    <w:name w:val="endnote reference"/>
    <w:semiHidden/>
    <w:rsid w:val="00AF44B6"/>
    <w:rPr>
      <w:vertAlign w:val="superscript"/>
    </w:rPr>
  </w:style>
  <w:style w:type="paragraph" w:styleId="EndnoteText">
    <w:name w:val="endnote text"/>
    <w:basedOn w:val="Normal"/>
    <w:link w:val="EndnoteTextChar"/>
    <w:semiHidden/>
    <w:rsid w:val="00AF44B6"/>
    <w:rPr>
      <w:sz w:val="20"/>
    </w:rPr>
  </w:style>
  <w:style w:type="character" w:customStyle="1" w:styleId="EndnoteTextChar">
    <w:name w:val="Endnote Text Char"/>
    <w:basedOn w:val="DefaultParagraphFont"/>
    <w:link w:val="EndnoteText"/>
    <w:semiHidden/>
    <w:rsid w:val="00AF44B6"/>
    <w:rPr>
      <w:rFonts w:ascii="Calibri" w:eastAsia="Times New Roman" w:hAnsi="Calibri"/>
      <w:snapToGrid w:val="0"/>
      <w:kern w:val="28"/>
    </w:rPr>
  </w:style>
  <w:style w:type="paragraph" w:styleId="Footer">
    <w:name w:val="footer"/>
    <w:basedOn w:val="Normal"/>
    <w:link w:val="FooterChar"/>
    <w:uiPriority w:val="99"/>
    <w:semiHidden/>
    <w:rsid w:val="00AF44B6"/>
    <w:pPr>
      <w:jc w:val="center"/>
    </w:pPr>
  </w:style>
  <w:style w:type="character" w:customStyle="1" w:styleId="FooterChar">
    <w:name w:val="Footer Char"/>
    <w:link w:val="Footer"/>
    <w:uiPriority w:val="99"/>
    <w:semiHidden/>
    <w:rsid w:val="00AF44B6"/>
    <w:rPr>
      <w:rFonts w:ascii="Calibri" w:eastAsia="Times New Roman" w:hAnsi="Calibri"/>
      <w:snapToGrid w:val="0"/>
      <w:kern w:val="28"/>
      <w:sz w:val="22"/>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6649C3"/>
    <w:rPr>
      <w:rFonts w:ascii="Times New Roman" w:hAnsi="Times New Roman"/>
      <w:dstrike w:val="0"/>
      <w:color w:val="auto"/>
      <w:sz w:val="20"/>
      <w:vertAlign w:val="superscript"/>
    </w:rPr>
  </w:style>
  <w:style w:type="character" w:customStyle="1" w:styleId="FootnoteReferenceNECG">
    <w:name w:val="Footnote Reference(NECG)"/>
    <w:uiPriority w:val="99"/>
    <w:semiHidden/>
    <w:rsid w:val="006649C3"/>
    <w:rPr>
      <w:rFonts w:ascii="Times New Roman" w:hAnsi="Times New Roman"/>
      <w:dstrike w:val="0"/>
      <w:color w:val="auto"/>
      <w:sz w:val="20"/>
      <w:vertAlign w:val="superscript"/>
    </w:rPr>
  </w:style>
  <w:style w:type="paragraph" w:styleId="FootnoteText">
    <w:name w:val="footnote text"/>
    <w:aliases w:val="ALTS FOOTNO,ALTS FOOTNOTE,Footnote Text Char Char1 Char Char,Footnote Text Char Char1 Char Char Char Char,Footnote Text Char Char2,Footnote Text Char2,Footnote Text Char2 Char Char Char Char,Footnote Text Char3 Char Char,f,fn,fn Ch,fn Char"/>
    <w:basedOn w:val="Normal"/>
    <w:link w:val="FootnoteTextChar"/>
    <w:rsid w:val="006649C3"/>
    <w:rPr>
      <w:sz w:val="20"/>
    </w:rPr>
  </w:style>
  <w:style w:type="character" w:customStyle="1" w:styleId="FootnoteTextChar">
    <w:name w:val="Footnote Text Char"/>
    <w:aliases w:val="ALTS FOOTNO Char,ALTS FOOTNOTE Char,Footnote Text Char Char1 Char Char Char,Footnote Text Char Char1 Char Char Char Char Char,Footnote Text Char Char2 Char,Footnote Text Char2 Char,Footnote Text Char2 Char Char Char Char Char,f Char"/>
    <w:link w:val="FootnoteText"/>
    <w:rsid w:val="006649C3"/>
    <w:rPr>
      <w:sz w:val="20"/>
    </w:rPr>
  </w:style>
  <w:style w:type="paragraph" w:customStyle="1" w:styleId="FootnoteTextFCC">
    <w:name w:val="Footnote Text FCC"/>
    <w:basedOn w:val="Normal"/>
    <w:uiPriority w:val="99"/>
    <w:semiHidden/>
    <w:rsid w:val="006649C3"/>
    <w:rPr>
      <w:sz w:val="20"/>
    </w:rPr>
  </w:style>
  <w:style w:type="character" w:customStyle="1" w:styleId="Heading1Char">
    <w:name w:val="Heading 1 Char"/>
    <w:basedOn w:val="DefaultParagraphFont"/>
    <w:link w:val="Heading1"/>
    <w:rsid w:val="00AF44B6"/>
    <w:rPr>
      <w:b/>
      <w:caps/>
    </w:rPr>
  </w:style>
  <w:style w:type="character" w:customStyle="1" w:styleId="Heading2Char">
    <w:name w:val="Heading 2 Char"/>
    <w:basedOn w:val="DefaultParagraphFont"/>
    <w:link w:val="Heading2"/>
    <w:rsid w:val="00AF44B6"/>
    <w:rPr>
      <w:b/>
    </w:rPr>
  </w:style>
  <w:style w:type="character" w:customStyle="1" w:styleId="Heading3Char">
    <w:name w:val="Heading 3 Char"/>
    <w:basedOn w:val="DefaultParagraphFont"/>
    <w:link w:val="Heading3"/>
    <w:rsid w:val="00AF44B6"/>
    <w:rPr>
      <w:b/>
    </w:rPr>
  </w:style>
  <w:style w:type="character" w:customStyle="1" w:styleId="Heading4Char">
    <w:name w:val="Heading 4 Char"/>
    <w:basedOn w:val="DefaultParagraphFont"/>
    <w:link w:val="Heading4"/>
    <w:rsid w:val="00AF44B6"/>
    <w:rPr>
      <w:b/>
    </w:rPr>
  </w:style>
  <w:style w:type="character" w:customStyle="1" w:styleId="Heading5Char">
    <w:name w:val="Heading 5 Char"/>
    <w:basedOn w:val="DefaultParagraphFont"/>
    <w:link w:val="Heading5"/>
    <w:rsid w:val="00AF44B6"/>
    <w:rPr>
      <w:b/>
    </w:rPr>
  </w:style>
  <w:style w:type="character" w:customStyle="1" w:styleId="Heading6Char">
    <w:name w:val="Heading 6 Char"/>
    <w:basedOn w:val="DefaultParagraphFont"/>
    <w:link w:val="Heading6"/>
    <w:uiPriority w:val="95"/>
    <w:rsid w:val="00164C9A"/>
    <w:rPr>
      <w:b/>
    </w:rPr>
  </w:style>
  <w:style w:type="character" w:customStyle="1" w:styleId="Heading7Char">
    <w:name w:val="Heading 7 Char"/>
    <w:basedOn w:val="DefaultParagraphFont"/>
    <w:link w:val="Heading7"/>
    <w:uiPriority w:val="95"/>
    <w:rsid w:val="00164C9A"/>
    <w:rPr>
      <w:b/>
    </w:rPr>
  </w:style>
  <w:style w:type="character" w:customStyle="1" w:styleId="Heading8Char">
    <w:name w:val="Heading 8 Char"/>
    <w:basedOn w:val="DefaultParagraphFont"/>
    <w:link w:val="Heading8"/>
    <w:uiPriority w:val="95"/>
    <w:rsid w:val="00164C9A"/>
    <w:rPr>
      <w:b/>
    </w:rPr>
  </w:style>
  <w:style w:type="character" w:customStyle="1" w:styleId="Heading9Char">
    <w:name w:val="Heading 9 Char"/>
    <w:basedOn w:val="DefaultParagraphFont"/>
    <w:link w:val="Heading9"/>
    <w:uiPriority w:val="95"/>
    <w:rsid w:val="00164C9A"/>
    <w:rPr>
      <w:b/>
    </w:rPr>
  </w:style>
  <w:style w:type="character" w:styleId="Hyperlink">
    <w:name w:val="Hyperlink"/>
    <w:rsid w:val="00AF44B6"/>
    <w:rPr>
      <w:color w:val="0000FF"/>
      <w:u w:val="single"/>
    </w:rPr>
  </w:style>
  <w:style w:type="paragraph" w:customStyle="1" w:styleId="NormalTextIndent">
    <w:name w:val="Normal Text Indent"/>
    <w:basedOn w:val="Normal"/>
    <w:uiPriority w:val="3"/>
    <w:semiHidden/>
    <w:rsid w:val="00AF44B6"/>
    <w:pPr>
      <w:spacing w:after="220"/>
      <w:ind w:firstLine="720"/>
    </w:pPr>
  </w:style>
  <w:style w:type="paragraph" w:customStyle="1" w:styleId="NIBullet">
    <w:name w:val="NI Bullet"/>
    <w:basedOn w:val="NormalTextIndent"/>
    <w:uiPriority w:val="4"/>
    <w:qFormat/>
    <w:rsid w:val="00B10CEE"/>
    <w:pPr>
      <w:numPr>
        <w:numId w:val="17"/>
      </w:numPr>
      <w:spacing w:after="120"/>
      <w:jc w:val="both"/>
    </w:pPr>
  </w:style>
  <w:style w:type="paragraph" w:customStyle="1" w:styleId="NIBullet2">
    <w:name w:val="NI Bullet 2"/>
    <w:basedOn w:val="NIBullet"/>
    <w:uiPriority w:val="98"/>
    <w:rsid w:val="00B10CEE"/>
    <w:pPr>
      <w:numPr>
        <w:ilvl w:val="1"/>
      </w:numPr>
    </w:pPr>
  </w:style>
  <w:style w:type="paragraph" w:customStyle="1" w:styleId="NIBullet3">
    <w:name w:val="NI Bullet 3"/>
    <w:basedOn w:val="NIBullet"/>
    <w:uiPriority w:val="98"/>
    <w:rsid w:val="00B10CEE"/>
    <w:pPr>
      <w:numPr>
        <w:ilvl w:val="2"/>
      </w:numPr>
    </w:pPr>
  </w:style>
  <w:style w:type="paragraph" w:customStyle="1" w:styleId="NIBullet4">
    <w:name w:val="NI Bullet 4"/>
    <w:basedOn w:val="NIBullet"/>
    <w:uiPriority w:val="98"/>
    <w:unhideWhenUsed/>
    <w:rsid w:val="00B10CEE"/>
    <w:pPr>
      <w:numPr>
        <w:ilvl w:val="3"/>
      </w:numPr>
    </w:pPr>
  </w:style>
  <w:style w:type="paragraph" w:customStyle="1" w:styleId="NIBullet5">
    <w:name w:val="NI Bullet 5"/>
    <w:basedOn w:val="NIBullet4"/>
    <w:uiPriority w:val="98"/>
    <w:unhideWhenUsed/>
    <w:rsid w:val="00B10CEE"/>
    <w:pPr>
      <w:numPr>
        <w:ilvl w:val="4"/>
      </w:numPr>
    </w:pPr>
  </w:style>
  <w:style w:type="paragraph" w:customStyle="1" w:styleId="NIBullet6">
    <w:name w:val="NI Bullet 6"/>
    <w:basedOn w:val="NIBullet5"/>
    <w:uiPriority w:val="98"/>
    <w:unhideWhenUsed/>
    <w:rsid w:val="00B10CEE"/>
    <w:pPr>
      <w:numPr>
        <w:ilvl w:val="5"/>
      </w:numPr>
    </w:pPr>
  </w:style>
  <w:style w:type="paragraph" w:customStyle="1" w:styleId="NIBullet7">
    <w:name w:val="NI Bullet 7"/>
    <w:basedOn w:val="NIBullet6"/>
    <w:uiPriority w:val="98"/>
    <w:unhideWhenUsed/>
    <w:rsid w:val="00B10CEE"/>
    <w:pPr>
      <w:numPr>
        <w:ilvl w:val="6"/>
      </w:numPr>
    </w:pPr>
  </w:style>
  <w:style w:type="paragraph" w:customStyle="1" w:styleId="NIBullet8">
    <w:name w:val="NI Bullet 8"/>
    <w:basedOn w:val="NIBullet7"/>
    <w:uiPriority w:val="98"/>
    <w:unhideWhenUsed/>
    <w:rsid w:val="00B10CEE"/>
    <w:pPr>
      <w:numPr>
        <w:ilvl w:val="7"/>
      </w:numPr>
    </w:pPr>
  </w:style>
  <w:style w:type="paragraph" w:customStyle="1" w:styleId="NIBullet9">
    <w:name w:val="NI Bullet 9"/>
    <w:basedOn w:val="NIBullet8"/>
    <w:uiPriority w:val="98"/>
    <w:unhideWhenUsed/>
    <w:rsid w:val="00B10CEE"/>
    <w:pPr>
      <w:numPr>
        <w:ilvl w:val="8"/>
      </w:numPr>
    </w:pPr>
  </w:style>
  <w:style w:type="paragraph" w:customStyle="1" w:styleId="NIList">
    <w:name w:val="NI List"/>
    <w:basedOn w:val="NormalIndent"/>
    <w:uiPriority w:val="2"/>
    <w:rsid w:val="00B10CEE"/>
    <w:pPr>
      <w:numPr>
        <w:numId w:val="18"/>
      </w:numPr>
      <w:jc w:val="both"/>
    </w:pPr>
  </w:style>
  <w:style w:type="paragraph" w:customStyle="1" w:styleId="NIList2">
    <w:name w:val="NI List 2"/>
    <w:basedOn w:val="NIList"/>
    <w:uiPriority w:val="98"/>
    <w:rsid w:val="00B10CEE"/>
    <w:pPr>
      <w:numPr>
        <w:ilvl w:val="1"/>
      </w:numPr>
      <w:tabs>
        <w:tab w:val="left" w:pos="2250"/>
      </w:tabs>
    </w:pPr>
  </w:style>
  <w:style w:type="paragraph" w:customStyle="1" w:styleId="NIList3">
    <w:name w:val="NI List 3"/>
    <w:basedOn w:val="NIList"/>
    <w:uiPriority w:val="98"/>
    <w:rsid w:val="00B10CEE"/>
    <w:pPr>
      <w:numPr>
        <w:ilvl w:val="2"/>
      </w:numPr>
    </w:pPr>
  </w:style>
  <w:style w:type="paragraph" w:customStyle="1" w:styleId="NIList4">
    <w:name w:val="NI List 4"/>
    <w:basedOn w:val="NIList3"/>
    <w:uiPriority w:val="98"/>
    <w:unhideWhenUsed/>
    <w:rsid w:val="00B10CEE"/>
    <w:pPr>
      <w:numPr>
        <w:ilvl w:val="3"/>
      </w:numPr>
    </w:pPr>
  </w:style>
  <w:style w:type="paragraph" w:customStyle="1" w:styleId="NIList5">
    <w:name w:val="NI List 5"/>
    <w:basedOn w:val="NIList4"/>
    <w:uiPriority w:val="98"/>
    <w:unhideWhenUsed/>
    <w:rsid w:val="00B10CEE"/>
    <w:pPr>
      <w:numPr>
        <w:ilvl w:val="4"/>
      </w:numPr>
    </w:pPr>
  </w:style>
  <w:style w:type="paragraph" w:customStyle="1" w:styleId="NIList6">
    <w:name w:val="NI List 6"/>
    <w:basedOn w:val="NIList5"/>
    <w:uiPriority w:val="98"/>
    <w:unhideWhenUsed/>
    <w:rsid w:val="00B10CEE"/>
    <w:pPr>
      <w:numPr>
        <w:ilvl w:val="5"/>
      </w:numPr>
    </w:pPr>
  </w:style>
  <w:style w:type="paragraph" w:customStyle="1" w:styleId="NIList7">
    <w:name w:val="NI List 7"/>
    <w:basedOn w:val="NIList6"/>
    <w:uiPriority w:val="98"/>
    <w:unhideWhenUsed/>
    <w:rsid w:val="00B10CEE"/>
    <w:pPr>
      <w:numPr>
        <w:ilvl w:val="6"/>
      </w:numPr>
    </w:pPr>
  </w:style>
  <w:style w:type="paragraph" w:customStyle="1" w:styleId="NIList8">
    <w:name w:val="NI List 8"/>
    <w:basedOn w:val="NIList7"/>
    <w:uiPriority w:val="98"/>
    <w:unhideWhenUsed/>
    <w:rsid w:val="00B10CEE"/>
    <w:pPr>
      <w:numPr>
        <w:ilvl w:val="7"/>
      </w:numPr>
    </w:pPr>
  </w:style>
  <w:style w:type="paragraph" w:customStyle="1" w:styleId="NIList9">
    <w:name w:val="NI List 9"/>
    <w:basedOn w:val="NIList8"/>
    <w:uiPriority w:val="98"/>
    <w:unhideWhenUsed/>
    <w:rsid w:val="00B10CEE"/>
    <w:pPr>
      <w:numPr>
        <w:ilvl w:val="8"/>
      </w:numPr>
    </w:pPr>
  </w:style>
  <w:style w:type="paragraph" w:customStyle="1" w:styleId="NormalBold">
    <w:name w:val="Normal Bold"/>
    <w:basedOn w:val="Normal"/>
    <w:next w:val="Normal"/>
    <w:uiPriority w:val="1"/>
    <w:semiHidden/>
    <w:qFormat/>
    <w:rsid w:val="00AF44B6"/>
    <w:rPr>
      <w:b/>
    </w:rPr>
  </w:style>
  <w:style w:type="paragraph" w:customStyle="1" w:styleId="NormalCenteredBold">
    <w:name w:val="Normal Centered Bold"/>
    <w:basedOn w:val="Normal"/>
    <w:next w:val="Normal"/>
    <w:uiPriority w:val="1"/>
    <w:semiHidden/>
    <w:qFormat/>
    <w:rsid w:val="00AF44B6"/>
    <w:pPr>
      <w:jc w:val="center"/>
    </w:pPr>
    <w:rPr>
      <w:rFonts w:eastAsia="Calibri"/>
      <w:b/>
    </w:rPr>
  </w:style>
  <w:style w:type="character" w:styleId="PageNumber">
    <w:name w:val="page number"/>
    <w:uiPriority w:val="1"/>
    <w:semiHidden/>
    <w:rsid w:val="006649C3"/>
    <w:rPr>
      <w:rFonts w:ascii="Times New Roman" w:hAnsi="Times New Roman"/>
      <w:b w:val="0"/>
      <w:i w:val="0"/>
      <w:sz w:val="22"/>
    </w:rPr>
  </w:style>
  <w:style w:type="paragraph" w:customStyle="1" w:styleId="ParaText">
    <w:name w:val="Para Text"/>
    <w:basedOn w:val="Normal"/>
    <w:next w:val="Normal"/>
    <w:uiPriority w:val="99"/>
    <w:semiHidden/>
    <w:qFormat/>
    <w:rsid w:val="00AF44B6"/>
    <w:pPr>
      <w:ind w:left="720" w:right="720"/>
    </w:pPr>
  </w:style>
  <w:style w:type="paragraph" w:customStyle="1" w:styleId="ParaNum">
    <w:name w:val="ParaNum"/>
    <w:basedOn w:val="Normal"/>
    <w:link w:val="ParaNumChar"/>
    <w:qFormat/>
    <w:rsid w:val="008B7E01"/>
    <w:pPr>
      <w:numPr>
        <w:numId w:val="38"/>
      </w:numPr>
    </w:pPr>
  </w:style>
  <w:style w:type="character" w:customStyle="1" w:styleId="ParaNumChar">
    <w:name w:val="ParaNum Char"/>
    <w:link w:val="ParaNum"/>
    <w:rsid w:val="008B7E01"/>
  </w:style>
  <w:style w:type="paragraph" w:customStyle="1" w:styleId="ParaNumBullet">
    <w:name w:val="ParaNum Bullet"/>
    <w:basedOn w:val="ParaNum"/>
    <w:uiPriority w:val="1"/>
    <w:qFormat/>
    <w:rsid w:val="008B7E01"/>
    <w:pPr>
      <w:numPr>
        <w:numId w:val="29"/>
      </w:numPr>
    </w:pPr>
  </w:style>
  <w:style w:type="paragraph" w:customStyle="1" w:styleId="ReferenceLine">
    <w:name w:val="Reference Line"/>
    <w:basedOn w:val="Normal"/>
    <w:next w:val="NormalIndent"/>
    <w:uiPriority w:val="96"/>
    <w:rsid w:val="00AF44B6"/>
  </w:style>
  <w:style w:type="paragraph" w:customStyle="1" w:styleId="SeparateStatementHeading">
    <w:name w:val="Separate Statement Heading"/>
    <w:basedOn w:val="TitleCAPSCenteredBold"/>
    <w:next w:val="Normal"/>
    <w:uiPriority w:val="96"/>
    <w:rsid w:val="00AF44B6"/>
  </w:style>
  <w:style w:type="paragraph" w:customStyle="1" w:styleId="SeparateStatementPosition">
    <w:name w:val="Separate Statement Position"/>
    <w:basedOn w:val="TitleCAPSCenteredBold"/>
    <w:next w:val="ReferenceLine"/>
    <w:uiPriority w:val="96"/>
    <w:qFormat/>
    <w:rsid w:val="00D13C04"/>
    <w:pPr>
      <w:spacing w:after="120"/>
    </w:pPr>
  </w:style>
  <w:style w:type="paragraph" w:customStyle="1" w:styleId="Signature-AgencyName">
    <w:name w:val="Signature - Agency Name"/>
    <w:basedOn w:val="Normal"/>
    <w:uiPriority w:val="95"/>
    <w:rsid w:val="00BB4646"/>
    <w:pPr>
      <w:spacing w:after="0"/>
    </w:pPr>
    <w:rPr>
      <w:rFonts w:eastAsia="Calibri"/>
      <w:caps/>
    </w:rPr>
  </w:style>
  <w:style w:type="paragraph" w:customStyle="1" w:styleId="SignatureFCC">
    <w:name w:val="Signature FCC"/>
    <w:basedOn w:val="Normal"/>
    <w:next w:val="Normal"/>
    <w:uiPriority w:val="99"/>
    <w:semiHidden/>
    <w:rsid w:val="00AF44B6"/>
    <w:pPr>
      <w:widowControl w:val="0"/>
      <w:ind w:left="4320"/>
    </w:pPr>
    <w:rPr>
      <w:caps/>
    </w:rPr>
  </w:style>
  <w:style w:type="paragraph" w:customStyle="1" w:styleId="SignatureLines">
    <w:name w:val="Signature Lines"/>
    <w:basedOn w:val="Normal"/>
    <w:uiPriority w:val="95"/>
    <w:rsid w:val="00F73C38"/>
    <w:pPr>
      <w:spacing w:after="0"/>
    </w:pPr>
    <w:rPr>
      <w:rFonts w:eastAsia="Calibri"/>
    </w:rPr>
  </w:style>
  <w:style w:type="paragraph" w:customStyle="1" w:styleId="Space6">
    <w:name w:val="Space 6"/>
    <w:basedOn w:val="Normal"/>
    <w:uiPriority w:val="1"/>
    <w:semiHidden/>
    <w:rsid w:val="003064A1"/>
    <w:rPr>
      <w:sz w:val="12"/>
    </w:rPr>
  </w:style>
  <w:style w:type="numbering" w:customStyle="1" w:styleId="Style10">
    <w:name w:val="Style1"/>
    <w:uiPriority w:val="99"/>
    <w:rsid w:val="00AF44B6"/>
    <w:pPr>
      <w:numPr>
        <w:numId w:val="5"/>
      </w:numPr>
    </w:pPr>
  </w:style>
  <w:style w:type="numbering" w:customStyle="1" w:styleId="Style2">
    <w:name w:val="Style2"/>
    <w:uiPriority w:val="99"/>
    <w:rsid w:val="00AF44B6"/>
    <w:pPr>
      <w:numPr>
        <w:numId w:val="4"/>
      </w:numPr>
    </w:pPr>
  </w:style>
  <w:style w:type="table" w:styleId="TableGrid">
    <w:name w:val="Table Grid"/>
    <w:basedOn w:val="TableNormal"/>
    <w:uiPriority w:val="39"/>
    <w:rsid w:val="006649C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rmat">
    <w:name w:val="TableFormat"/>
    <w:basedOn w:val="Normal"/>
    <w:uiPriority w:val="99"/>
    <w:semiHidden/>
    <w:rsid w:val="00AF44B6"/>
    <w:pPr>
      <w:tabs>
        <w:tab w:val="left" w:pos="5040"/>
      </w:tabs>
      <w:spacing w:after="220"/>
      <w:ind w:left="5040" w:hanging="3600"/>
    </w:pPr>
  </w:style>
  <w:style w:type="paragraph" w:customStyle="1" w:styleId="TitleBold">
    <w:name w:val="Title Bold"/>
    <w:basedOn w:val="Normal"/>
    <w:next w:val="Normal"/>
    <w:uiPriority w:val="99"/>
    <w:semiHidden/>
    <w:qFormat/>
    <w:rsid w:val="00AF44B6"/>
    <w:pPr>
      <w:tabs>
        <w:tab w:val="left" w:pos="720"/>
        <w:tab w:val="right" w:pos="9360"/>
      </w:tabs>
      <w:suppressAutoHyphens/>
    </w:pPr>
    <w:rPr>
      <w:b/>
      <w:spacing w:val="-2"/>
    </w:rPr>
  </w:style>
  <w:style w:type="paragraph" w:customStyle="1" w:styleId="TitleBoldRight">
    <w:name w:val="Title Bold Right"/>
    <w:basedOn w:val="Normal"/>
    <w:next w:val="Normal"/>
    <w:uiPriority w:val="99"/>
    <w:semiHidden/>
    <w:rsid w:val="00AF44B6"/>
    <w:pPr>
      <w:tabs>
        <w:tab w:val="left" w:pos="720"/>
        <w:tab w:val="right" w:pos="9360"/>
      </w:tabs>
      <w:suppressAutoHyphens/>
      <w:jc w:val="center"/>
    </w:pPr>
    <w:rPr>
      <w:b/>
      <w:spacing w:val="-2"/>
    </w:rPr>
  </w:style>
  <w:style w:type="paragraph" w:styleId="TOAHeading">
    <w:name w:val="toa heading"/>
    <w:basedOn w:val="Normal"/>
    <w:next w:val="Normal"/>
    <w:semiHidden/>
    <w:rsid w:val="00AF44B6"/>
    <w:pPr>
      <w:tabs>
        <w:tab w:val="right" w:pos="9360"/>
      </w:tabs>
      <w:suppressAutoHyphens/>
    </w:pPr>
  </w:style>
  <w:style w:type="paragraph" w:styleId="TOC1">
    <w:name w:val="toc 1"/>
    <w:basedOn w:val="Normal"/>
    <w:next w:val="Normal"/>
    <w:uiPriority w:val="39"/>
    <w:rsid w:val="00AF44B6"/>
    <w:pPr>
      <w:tabs>
        <w:tab w:val="right" w:leader="dot" w:pos="9360"/>
      </w:tabs>
      <w:suppressAutoHyphens/>
      <w:spacing w:after="0"/>
      <w:ind w:left="504" w:right="720" w:hanging="504"/>
    </w:pPr>
    <w:rPr>
      <w:noProof/>
    </w:rPr>
  </w:style>
  <w:style w:type="paragraph" w:styleId="TOC2">
    <w:name w:val="toc 2"/>
    <w:basedOn w:val="Normal"/>
    <w:next w:val="Normal"/>
    <w:uiPriority w:val="39"/>
    <w:rsid w:val="00AF44B6"/>
    <w:pPr>
      <w:tabs>
        <w:tab w:val="right" w:leader="dot" w:pos="9360"/>
      </w:tabs>
      <w:suppressAutoHyphens/>
      <w:spacing w:after="0"/>
      <w:ind w:left="1008" w:right="720" w:hanging="504"/>
    </w:pPr>
    <w:rPr>
      <w:noProof/>
    </w:rPr>
  </w:style>
  <w:style w:type="paragraph" w:styleId="TOC3">
    <w:name w:val="toc 3"/>
    <w:basedOn w:val="Normal"/>
    <w:next w:val="Normal"/>
    <w:uiPriority w:val="39"/>
    <w:rsid w:val="00AF44B6"/>
    <w:pPr>
      <w:tabs>
        <w:tab w:val="right" w:leader="dot" w:pos="9360"/>
      </w:tabs>
      <w:suppressAutoHyphens/>
      <w:spacing w:after="0"/>
      <w:ind w:left="1368" w:right="720" w:hanging="504"/>
    </w:pPr>
    <w:rPr>
      <w:noProof/>
    </w:rPr>
  </w:style>
  <w:style w:type="paragraph" w:styleId="TOC4">
    <w:name w:val="toc 4"/>
    <w:basedOn w:val="Normal"/>
    <w:next w:val="Normal"/>
    <w:autoRedefine/>
    <w:semiHidden/>
    <w:rsid w:val="00AF44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44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44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44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44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44B6"/>
    <w:pPr>
      <w:tabs>
        <w:tab w:val="left" w:pos="3240"/>
        <w:tab w:val="right" w:leader="dot" w:pos="9360"/>
      </w:tabs>
      <w:suppressAutoHyphens/>
      <w:ind w:left="3240" w:hanging="360"/>
    </w:pPr>
    <w:rPr>
      <w:noProof/>
    </w:rPr>
  </w:style>
  <w:style w:type="paragraph" w:customStyle="1" w:styleId="TOCAppendix">
    <w:name w:val="TOC Appendix"/>
    <w:basedOn w:val="Normal"/>
    <w:uiPriority w:val="99"/>
    <w:semiHidden/>
    <w:rsid w:val="006649C3"/>
    <w:pPr>
      <w:widowControl w:val="0"/>
      <w:tabs>
        <w:tab w:val="center" w:pos="9270"/>
      </w:tabs>
    </w:pPr>
    <w:rPr>
      <w:spacing w:val="-2"/>
    </w:rPr>
  </w:style>
  <w:style w:type="paragraph" w:styleId="TOCHeading">
    <w:name w:val="TOC Heading"/>
    <w:basedOn w:val="Heading1"/>
    <w:next w:val="Normal"/>
    <w:uiPriority w:val="39"/>
    <w:semiHidden/>
    <w:rsid w:val="006649C3"/>
    <w:pPr>
      <w:keepLines/>
      <w:numPr>
        <w:numId w:val="0"/>
      </w:numPr>
      <w:suppressAutoHyphens w:val="0"/>
      <w:spacing w:before="240" w:after="0" w:line="259" w:lineRule="auto"/>
      <w:outlineLvl w:val="9"/>
    </w:pPr>
    <w:rPr>
      <w:rFonts w:eastAsiaTheme="majorEastAsia" w:cstheme="majorBidi"/>
      <w:b w:val="0"/>
      <w:caps w:val="0"/>
      <w:snapToGrid w:val="0"/>
      <w:color w:val="2E74B5" w:themeColor="accent1" w:themeShade="BF"/>
      <w:sz w:val="32"/>
      <w:szCs w:val="32"/>
    </w:rPr>
  </w:style>
  <w:style w:type="paragraph" w:customStyle="1" w:styleId="TOCParaTitle">
    <w:name w:val="TOC Para Title"/>
    <w:basedOn w:val="Normal"/>
    <w:next w:val="Normal"/>
    <w:uiPriority w:val="99"/>
    <w:semiHidden/>
    <w:rsid w:val="006649C3"/>
    <w:pPr>
      <w:widowControl w:val="0"/>
      <w:tabs>
        <w:tab w:val="center" w:pos="9270"/>
      </w:tabs>
      <w:spacing w:after="240"/>
    </w:pPr>
    <w:rPr>
      <w:spacing w:val="-2"/>
    </w:rPr>
  </w:style>
  <w:style w:type="paragraph" w:customStyle="1" w:styleId="TOCSubtitlePlain">
    <w:name w:val="TOC Subtitle Plain"/>
    <w:basedOn w:val="Normal"/>
    <w:next w:val="Normal"/>
    <w:uiPriority w:val="99"/>
    <w:semiHidden/>
    <w:rsid w:val="00AF44B6"/>
    <w:pPr>
      <w:tabs>
        <w:tab w:val="center" w:pos="9270"/>
      </w:tabs>
    </w:pPr>
    <w:rPr>
      <w:spacing w:val="-2"/>
    </w:rPr>
  </w:style>
  <w:style w:type="paragraph" w:customStyle="1" w:styleId="TOCTitle">
    <w:name w:val="TOC Title"/>
    <w:basedOn w:val="TitleCAPSCenteredBold"/>
    <w:uiPriority w:val="99"/>
    <w:semiHidden/>
    <w:rsid w:val="00AF44B6"/>
  </w:style>
  <w:style w:type="paragraph" w:customStyle="1" w:styleId="AppendixHeading1">
    <w:name w:val="Appendix Heading 1"/>
    <w:basedOn w:val="Heading2"/>
    <w:next w:val="Normal"/>
    <w:rsid w:val="00AC5267"/>
    <w:pPr>
      <w:numPr>
        <w:numId w:val="9"/>
      </w:numPr>
    </w:pPr>
  </w:style>
  <w:style w:type="paragraph" w:customStyle="1" w:styleId="AppendixParaNum">
    <w:name w:val="Appendix ParaNum"/>
    <w:basedOn w:val="ParaNum"/>
    <w:qFormat/>
    <w:rsid w:val="0039134A"/>
    <w:pPr>
      <w:widowControl w:val="0"/>
      <w:numPr>
        <w:numId w:val="0"/>
      </w:numPr>
    </w:pPr>
  </w:style>
  <w:style w:type="paragraph" w:customStyle="1" w:styleId="ParaNumBullet2">
    <w:name w:val="ParaNum Bullet 2"/>
    <w:basedOn w:val="ParaNumBullet"/>
    <w:uiPriority w:val="97"/>
    <w:rsid w:val="008B7E01"/>
    <w:pPr>
      <w:numPr>
        <w:ilvl w:val="1"/>
      </w:numPr>
    </w:pPr>
  </w:style>
  <w:style w:type="paragraph" w:customStyle="1" w:styleId="ParaNumBullet3">
    <w:name w:val="ParaNum Bullet 3"/>
    <w:basedOn w:val="ParaNumBullet"/>
    <w:uiPriority w:val="97"/>
    <w:rsid w:val="008B7E01"/>
    <w:pPr>
      <w:numPr>
        <w:ilvl w:val="2"/>
      </w:numPr>
    </w:pPr>
  </w:style>
  <w:style w:type="paragraph" w:customStyle="1" w:styleId="ParaNumBullet4">
    <w:name w:val="ParaNum Bullet 4"/>
    <w:basedOn w:val="ParaNumBullet"/>
    <w:uiPriority w:val="97"/>
    <w:rsid w:val="008B7E01"/>
    <w:pPr>
      <w:numPr>
        <w:ilvl w:val="3"/>
      </w:numPr>
    </w:pPr>
  </w:style>
  <w:style w:type="paragraph" w:customStyle="1" w:styleId="ParaNumBullet5">
    <w:name w:val="ParaNum Bullet 5"/>
    <w:basedOn w:val="ParaNumBullet4"/>
    <w:uiPriority w:val="97"/>
    <w:rsid w:val="008B7E01"/>
    <w:pPr>
      <w:numPr>
        <w:ilvl w:val="4"/>
      </w:numPr>
    </w:pPr>
  </w:style>
  <w:style w:type="paragraph" w:customStyle="1" w:styleId="ParaNumBullet6">
    <w:name w:val="ParaNum Bullet 6"/>
    <w:basedOn w:val="ParaNumBullet5"/>
    <w:uiPriority w:val="97"/>
    <w:rsid w:val="008B7E01"/>
    <w:pPr>
      <w:numPr>
        <w:ilvl w:val="5"/>
      </w:numPr>
    </w:pPr>
  </w:style>
  <w:style w:type="paragraph" w:customStyle="1" w:styleId="ParaNumBullet7">
    <w:name w:val="ParaNum Bullet 7"/>
    <w:basedOn w:val="ParaNumBullet6"/>
    <w:uiPriority w:val="97"/>
    <w:rsid w:val="008B7E01"/>
    <w:pPr>
      <w:numPr>
        <w:ilvl w:val="6"/>
      </w:numPr>
    </w:pPr>
  </w:style>
  <w:style w:type="paragraph" w:customStyle="1" w:styleId="ParaNumBullet8">
    <w:name w:val="ParaNum Bullet 8"/>
    <w:basedOn w:val="ParaNumBullet7"/>
    <w:uiPriority w:val="97"/>
    <w:rsid w:val="008B7E01"/>
    <w:pPr>
      <w:numPr>
        <w:ilvl w:val="7"/>
      </w:numPr>
    </w:pPr>
  </w:style>
  <w:style w:type="paragraph" w:customStyle="1" w:styleId="ParaNumBullet9">
    <w:name w:val="ParaNum Bullet 9"/>
    <w:basedOn w:val="ParaNumBullet"/>
    <w:uiPriority w:val="97"/>
    <w:rsid w:val="008B7E01"/>
    <w:pPr>
      <w:numPr>
        <w:ilvl w:val="8"/>
      </w:numPr>
    </w:pPr>
  </w:style>
  <w:style w:type="paragraph" w:customStyle="1" w:styleId="ParaNumLevel2">
    <w:name w:val="ParaNum Level 2"/>
    <w:basedOn w:val="ParaNum"/>
    <w:rsid w:val="008B7E01"/>
    <w:pPr>
      <w:numPr>
        <w:ilvl w:val="1"/>
      </w:numPr>
    </w:pPr>
  </w:style>
  <w:style w:type="paragraph" w:customStyle="1" w:styleId="ParaNumLevel3">
    <w:name w:val="ParaNum Level 3"/>
    <w:basedOn w:val="ParaNum"/>
    <w:uiPriority w:val="97"/>
    <w:rsid w:val="008B7E01"/>
    <w:pPr>
      <w:numPr>
        <w:ilvl w:val="2"/>
      </w:numPr>
    </w:pPr>
  </w:style>
  <w:style w:type="paragraph" w:customStyle="1" w:styleId="ParaNumLevel4">
    <w:name w:val="ParaNum Level 4"/>
    <w:basedOn w:val="ParaNum"/>
    <w:uiPriority w:val="97"/>
    <w:rsid w:val="008B7E01"/>
    <w:pPr>
      <w:numPr>
        <w:ilvl w:val="3"/>
      </w:numPr>
    </w:pPr>
  </w:style>
  <w:style w:type="paragraph" w:customStyle="1" w:styleId="ParaNumLevel5">
    <w:name w:val="ParaNum Level 5"/>
    <w:basedOn w:val="ParaNum"/>
    <w:uiPriority w:val="97"/>
    <w:rsid w:val="008B7E01"/>
    <w:pPr>
      <w:numPr>
        <w:ilvl w:val="4"/>
      </w:numPr>
    </w:pPr>
  </w:style>
  <w:style w:type="paragraph" w:customStyle="1" w:styleId="ParaNumLevel6">
    <w:name w:val="ParaNum Level 6"/>
    <w:basedOn w:val="ParaNum"/>
    <w:uiPriority w:val="97"/>
    <w:rsid w:val="008B7E01"/>
    <w:pPr>
      <w:numPr>
        <w:ilvl w:val="5"/>
      </w:numPr>
    </w:pPr>
  </w:style>
  <w:style w:type="paragraph" w:customStyle="1" w:styleId="ParaNumLevel7">
    <w:name w:val="ParaNum Level 7"/>
    <w:basedOn w:val="ParaNum"/>
    <w:uiPriority w:val="97"/>
    <w:rsid w:val="008B7E01"/>
    <w:pPr>
      <w:numPr>
        <w:ilvl w:val="6"/>
      </w:numPr>
    </w:pPr>
  </w:style>
  <w:style w:type="paragraph" w:customStyle="1" w:styleId="ParaNumLevel8">
    <w:name w:val="ParaNum Level 8"/>
    <w:basedOn w:val="ParaNum"/>
    <w:uiPriority w:val="97"/>
    <w:rsid w:val="008B7E01"/>
    <w:pPr>
      <w:numPr>
        <w:ilvl w:val="7"/>
      </w:numPr>
    </w:pPr>
  </w:style>
  <w:style w:type="paragraph" w:customStyle="1" w:styleId="ParaNumLevel9">
    <w:name w:val="ParaNum Level 9"/>
    <w:basedOn w:val="ParaNum"/>
    <w:uiPriority w:val="97"/>
    <w:rsid w:val="008B7E01"/>
    <w:pPr>
      <w:numPr>
        <w:ilvl w:val="8"/>
      </w:numPr>
    </w:pPr>
  </w:style>
  <w:style w:type="numbering" w:customStyle="1" w:styleId="PNOrderedList">
    <w:name w:val="PN Ordered List"/>
    <w:uiPriority w:val="99"/>
    <w:rsid w:val="008B7E01"/>
    <w:pPr>
      <w:numPr>
        <w:numId w:val="16"/>
      </w:numPr>
    </w:pPr>
  </w:style>
  <w:style w:type="paragraph" w:customStyle="1" w:styleId="PN-Header">
    <w:name w:val="PN-Header"/>
    <w:qFormat/>
    <w:rsid w:val="002A04DF"/>
    <w:rPr>
      <w:rFonts w:ascii="Arial" w:eastAsia="Times New Roman" w:hAnsi="Arial"/>
      <w:b/>
      <w:snapToGrid w:val="0"/>
      <w:kern w:val="28"/>
      <w:sz w:val="96"/>
    </w:rPr>
  </w:style>
  <w:style w:type="paragraph" w:customStyle="1" w:styleId="FCCAddress">
    <w:name w:val="FCC Address"/>
    <w:basedOn w:val="Normal"/>
    <w:qFormat/>
    <w:rsid w:val="003064A1"/>
    <w:pPr>
      <w:suppressAutoHyphens/>
      <w:spacing w:after="0"/>
    </w:pPr>
    <w:rPr>
      <w:rFonts w:ascii="Arial" w:hAnsi="Arial" w:cs="Arial"/>
      <w:b/>
    </w:rPr>
  </w:style>
  <w:style w:type="character" w:customStyle="1" w:styleId="UnresolvedMention1">
    <w:name w:val="Unresolved Mention1"/>
    <w:basedOn w:val="DefaultParagraphFont"/>
    <w:uiPriority w:val="99"/>
    <w:semiHidden/>
    <w:unhideWhenUsed/>
    <w:rsid w:val="00965A0B"/>
    <w:rPr>
      <w:color w:val="605E5C"/>
      <w:shd w:val="clear" w:color="auto" w:fill="E1DFDD"/>
    </w:rPr>
  </w:style>
  <w:style w:type="paragraph" w:customStyle="1" w:styleId="FCCMedia">
    <w:name w:val="FCC Media"/>
    <w:basedOn w:val="FCCAddress"/>
    <w:qFormat/>
    <w:rsid w:val="003030F1"/>
    <w:pPr>
      <w:spacing w:before="60" w:after="60"/>
      <w:jc w:val="right"/>
    </w:pPr>
    <w:rPr>
      <w:sz w:val="16"/>
    </w:rPr>
  </w:style>
  <w:style w:type="paragraph" w:customStyle="1" w:styleId="PNReportNumber">
    <w:name w:val="PN Report Number"/>
    <w:basedOn w:val="Normal"/>
    <w:rsid w:val="00D67632"/>
    <w:pPr>
      <w:spacing w:before="120"/>
    </w:pPr>
    <w:rPr>
      <w:b/>
      <w:szCs w:val="24"/>
    </w:rPr>
  </w:style>
  <w:style w:type="paragraph" w:customStyle="1" w:styleId="PNDA-Release">
    <w:name w:val="PN DA-Release"/>
    <w:basedOn w:val="PNReportNumber"/>
    <w:qFormat/>
    <w:rsid w:val="007E7A50"/>
    <w:pPr>
      <w:spacing w:before="0" w:after="240"/>
      <w:jc w:val="right"/>
    </w:pPr>
  </w:style>
  <w:style w:type="paragraph" w:customStyle="1" w:styleId="PN-Title">
    <w:name w:val="PN-Title"/>
    <w:basedOn w:val="Normal"/>
    <w:qFormat/>
    <w:rsid w:val="008E0ECD"/>
    <w:pPr>
      <w:spacing w:after="240"/>
      <w:jc w:val="center"/>
    </w:pPr>
    <w:rPr>
      <w:b/>
      <w:caps/>
    </w:rPr>
  </w:style>
  <w:style w:type="paragraph" w:customStyle="1" w:styleId="PN-Subtitle">
    <w:name w:val="PN-Subtitle"/>
    <w:basedOn w:val="PN-Title"/>
    <w:qFormat/>
    <w:rsid w:val="00CE19DA"/>
    <w:rPr>
      <w:caps w:val="0"/>
    </w:rPr>
  </w:style>
  <w:style w:type="paragraph" w:customStyle="1" w:styleId="NormalCentered">
    <w:name w:val="Normal Centered"/>
    <w:basedOn w:val="Normal"/>
    <w:next w:val="Normal"/>
    <w:qFormat/>
    <w:rsid w:val="0044359B"/>
    <w:pPr>
      <w:spacing w:after="0"/>
      <w:jc w:val="center"/>
    </w:pPr>
  </w:style>
  <w:style w:type="paragraph" w:customStyle="1" w:styleId="AttachmentHeading1">
    <w:name w:val="Attachment Heading 1"/>
    <w:basedOn w:val="Normal"/>
    <w:next w:val="NormalCentered"/>
    <w:qFormat/>
    <w:rsid w:val="00777CC7"/>
    <w:pPr>
      <w:spacing w:after="240"/>
      <w:jc w:val="center"/>
    </w:pPr>
    <w:rPr>
      <w:rFonts w:ascii="Times New Roman Bold" w:hAnsi="Times New Roman Bold"/>
      <w:b/>
      <w:caps/>
    </w:rPr>
  </w:style>
  <w:style w:type="paragraph" w:customStyle="1" w:styleId="AttachmentSubtitle">
    <w:name w:val="Attachment Subtitle"/>
    <w:basedOn w:val="AttachmentHeading1"/>
    <w:next w:val="Normal"/>
    <w:qFormat/>
    <w:rsid w:val="00777CC7"/>
    <w:rPr>
      <w:caps w:val="0"/>
    </w:rPr>
  </w:style>
  <w:style w:type="paragraph" w:customStyle="1" w:styleId="PN-TOCTitle">
    <w:name w:val="PN-TOC Title"/>
    <w:basedOn w:val="NormalCentered"/>
    <w:next w:val="Normal"/>
    <w:qFormat/>
    <w:rsid w:val="00CE19DA"/>
    <w:rPr>
      <w:b/>
      <w:caps/>
    </w:rPr>
  </w:style>
  <w:style w:type="paragraph" w:styleId="BlockText">
    <w:name w:val="Block Text"/>
    <w:basedOn w:val="Normal"/>
    <w:uiPriority w:val="99"/>
    <w:semiHidden/>
    <w:unhideWhenUsed/>
    <w:rsid w:val="006649C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EnvelopeAddress">
    <w:name w:val="envelope address"/>
    <w:basedOn w:val="Normal"/>
    <w:uiPriority w:val="99"/>
    <w:semiHidden/>
    <w:unhideWhenUsed/>
    <w:rsid w:val="006649C3"/>
    <w:pPr>
      <w:framePr w:w="7920" w:h="1980" w:hRule="exact" w:hSpace="180" w:wrap="auto" w:hAnchor="page" w:xAlign="center" w:yAlign="bottom"/>
      <w:spacing w:after="0"/>
      <w:ind w:left="2880"/>
    </w:pPr>
    <w:rPr>
      <w:rFonts w:eastAsiaTheme="majorEastAsia" w:cstheme="majorBidi"/>
      <w:szCs w:val="24"/>
    </w:rPr>
  </w:style>
  <w:style w:type="paragraph" w:styleId="EnvelopeReturn">
    <w:name w:val="envelope return"/>
    <w:basedOn w:val="Normal"/>
    <w:uiPriority w:val="99"/>
    <w:semiHidden/>
    <w:unhideWhenUsed/>
    <w:rsid w:val="006649C3"/>
    <w:pPr>
      <w:spacing w:after="0"/>
    </w:pPr>
    <w:rPr>
      <w:rFonts w:eastAsiaTheme="majorEastAsia" w:cstheme="majorBidi"/>
      <w:sz w:val="20"/>
      <w:szCs w:val="20"/>
    </w:rPr>
  </w:style>
  <w:style w:type="character" w:styleId="HTMLCode">
    <w:name w:val="HTML Code"/>
    <w:basedOn w:val="DefaultParagraphFont"/>
    <w:uiPriority w:val="99"/>
    <w:semiHidden/>
    <w:unhideWhenUsed/>
    <w:rsid w:val="006649C3"/>
    <w:rPr>
      <w:rFonts w:ascii="Times New Roman" w:hAnsi="Times New Roman"/>
      <w:sz w:val="20"/>
      <w:szCs w:val="20"/>
    </w:rPr>
  </w:style>
  <w:style w:type="character" w:styleId="HTMLKeyboard">
    <w:name w:val="HTML Keyboard"/>
    <w:basedOn w:val="DefaultParagraphFont"/>
    <w:uiPriority w:val="99"/>
    <w:semiHidden/>
    <w:unhideWhenUsed/>
    <w:rsid w:val="006649C3"/>
    <w:rPr>
      <w:rFonts w:ascii="Times New Roman" w:hAnsi="Times New Roman"/>
      <w:sz w:val="20"/>
      <w:szCs w:val="20"/>
    </w:rPr>
  </w:style>
  <w:style w:type="paragraph" w:styleId="HTMLPreformatted">
    <w:name w:val="HTML Preformatted"/>
    <w:basedOn w:val="Normal"/>
    <w:link w:val="HTMLPreformattedChar"/>
    <w:uiPriority w:val="99"/>
    <w:semiHidden/>
    <w:unhideWhenUsed/>
    <w:rsid w:val="006649C3"/>
    <w:pPr>
      <w:spacing w:after="0"/>
    </w:pPr>
    <w:rPr>
      <w:sz w:val="20"/>
      <w:szCs w:val="20"/>
    </w:rPr>
  </w:style>
  <w:style w:type="character" w:customStyle="1" w:styleId="HTMLPreformattedChar">
    <w:name w:val="HTML Preformatted Char"/>
    <w:basedOn w:val="DefaultParagraphFont"/>
    <w:link w:val="HTMLPreformatted"/>
    <w:uiPriority w:val="99"/>
    <w:semiHidden/>
    <w:rsid w:val="006649C3"/>
    <w:rPr>
      <w:sz w:val="20"/>
      <w:szCs w:val="20"/>
    </w:rPr>
  </w:style>
  <w:style w:type="character" w:styleId="HTMLSample">
    <w:name w:val="HTML Sample"/>
    <w:basedOn w:val="DefaultParagraphFont"/>
    <w:uiPriority w:val="99"/>
    <w:semiHidden/>
    <w:unhideWhenUsed/>
    <w:rsid w:val="006649C3"/>
    <w:rPr>
      <w:rFonts w:ascii="Times New Roman" w:hAnsi="Times New Roman"/>
      <w:sz w:val="24"/>
      <w:szCs w:val="24"/>
    </w:rPr>
  </w:style>
  <w:style w:type="character" w:styleId="HTMLTypewriter">
    <w:name w:val="HTML Typewriter"/>
    <w:basedOn w:val="DefaultParagraphFont"/>
    <w:uiPriority w:val="99"/>
    <w:semiHidden/>
    <w:unhideWhenUsed/>
    <w:rsid w:val="006649C3"/>
    <w:rPr>
      <w:rFonts w:ascii="Times New Roman" w:hAnsi="Times New Roman"/>
      <w:sz w:val="20"/>
      <w:szCs w:val="20"/>
    </w:rPr>
  </w:style>
  <w:style w:type="paragraph" w:styleId="Index1">
    <w:name w:val="index 1"/>
    <w:basedOn w:val="Normal"/>
    <w:next w:val="Normal"/>
    <w:autoRedefine/>
    <w:uiPriority w:val="99"/>
    <w:semiHidden/>
    <w:unhideWhenUsed/>
    <w:rsid w:val="006649C3"/>
    <w:pPr>
      <w:spacing w:after="0"/>
      <w:ind w:left="220" w:hanging="220"/>
    </w:pPr>
  </w:style>
  <w:style w:type="paragraph" w:styleId="IndexHeading">
    <w:name w:val="index heading"/>
    <w:basedOn w:val="Normal"/>
    <w:next w:val="Index1"/>
    <w:uiPriority w:val="99"/>
    <w:semiHidden/>
    <w:unhideWhenUsed/>
    <w:rsid w:val="006649C3"/>
    <w:rPr>
      <w:rFonts w:eastAsiaTheme="majorEastAsia" w:cstheme="majorBidi"/>
      <w:b/>
      <w:bCs/>
    </w:rPr>
  </w:style>
  <w:style w:type="paragraph" w:styleId="Macro">
    <w:name w:val="macro"/>
    <w:link w:val="MacroTextChar"/>
    <w:uiPriority w:val="99"/>
    <w:semiHidden/>
    <w:unhideWhenUsed/>
    <w:rsid w:val="006649C3"/>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99"/>
    <w:semiHidden/>
    <w:rsid w:val="006649C3"/>
    <w:rPr>
      <w:sz w:val="20"/>
      <w:szCs w:val="20"/>
    </w:rPr>
  </w:style>
  <w:style w:type="table" w:styleId="MediumGrid2">
    <w:name w:val="Medium Grid 2"/>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9C3"/>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9C3"/>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6649C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6649C3"/>
    <w:rPr>
      <w:rFonts w:eastAsiaTheme="majorEastAsia" w:cstheme="majorBidi"/>
      <w:sz w:val="24"/>
      <w:szCs w:val="24"/>
      <w:shd w:val="pct20" w:color="auto" w:fill="auto"/>
    </w:rPr>
  </w:style>
  <w:style w:type="paragraph" w:styleId="PlainText">
    <w:name w:val="Plain Text"/>
    <w:basedOn w:val="Normal"/>
    <w:link w:val="PlainTextChar"/>
    <w:uiPriority w:val="99"/>
    <w:semiHidden/>
    <w:unhideWhenUsed/>
    <w:rsid w:val="006649C3"/>
    <w:pPr>
      <w:spacing w:after="0"/>
    </w:pPr>
    <w:rPr>
      <w:sz w:val="21"/>
      <w:szCs w:val="21"/>
    </w:rPr>
  </w:style>
  <w:style w:type="character" w:customStyle="1" w:styleId="PlainTextChar">
    <w:name w:val="Plain Text Char"/>
    <w:basedOn w:val="DefaultParagraphFont"/>
    <w:link w:val="PlainText"/>
    <w:uiPriority w:val="99"/>
    <w:semiHidden/>
    <w:rsid w:val="006649C3"/>
    <w:rPr>
      <w:sz w:val="21"/>
      <w:szCs w:val="21"/>
    </w:rPr>
  </w:style>
  <w:style w:type="paragraph" w:styleId="Subtitle">
    <w:name w:val="Subtitle"/>
    <w:basedOn w:val="Normal"/>
    <w:next w:val="Normal"/>
    <w:link w:val="SubtitleChar"/>
    <w:uiPriority w:val="99"/>
    <w:semiHidden/>
    <w:qFormat/>
    <w:rsid w:val="006649C3"/>
    <w:pPr>
      <w:numPr>
        <w:ilvl w:val="1"/>
      </w:numPr>
      <w:spacing w:after="160"/>
    </w:pPr>
    <w:rPr>
      <w:rFonts w:eastAsiaTheme="minorEastAsia" w:cstheme="minorBidi"/>
      <w:spacing w:val="15"/>
    </w:rPr>
  </w:style>
  <w:style w:type="character" w:customStyle="1" w:styleId="SubtitleChar">
    <w:name w:val="Subtitle Char"/>
    <w:basedOn w:val="DefaultParagraphFont"/>
    <w:link w:val="Subtitle"/>
    <w:uiPriority w:val="99"/>
    <w:semiHidden/>
    <w:rsid w:val="006649C3"/>
    <w:rPr>
      <w:rFonts w:eastAsiaTheme="minorEastAsia" w:cstheme="minorBidi"/>
      <w:spacing w:val="15"/>
    </w:rPr>
  </w:style>
  <w:style w:type="paragraph" w:styleId="Title">
    <w:name w:val="Title"/>
    <w:basedOn w:val="Normal"/>
    <w:next w:val="Normal"/>
    <w:link w:val="TitleChar"/>
    <w:uiPriority w:val="99"/>
    <w:semiHidden/>
    <w:rsid w:val="006649C3"/>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99"/>
    <w:semiHidden/>
    <w:rsid w:val="006649C3"/>
    <w:rPr>
      <w:rFonts w:eastAsiaTheme="majorEastAsia" w:cstheme="majorBidi"/>
      <w:spacing w:val="-10"/>
      <w:kern w:val="28"/>
      <w:sz w:val="56"/>
      <w:szCs w:val="56"/>
    </w:rPr>
  </w:style>
  <w:style w:type="paragraph" w:styleId="ListParagraph">
    <w:name w:val="List Paragraph"/>
    <w:basedOn w:val="Normal"/>
    <w:uiPriority w:val="34"/>
    <w:qFormat/>
    <w:rsid w:val="00E873F8"/>
    <w:pPr>
      <w:ind w:left="720"/>
      <w:contextualSpacing/>
    </w:pPr>
  </w:style>
  <w:style w:type="paragraph" w:customStyle="1" w:styleId="PN-DANumber">
    <w:name w:val="PN-DA Number"/>
    <w:basedOn w:val="PNDA-Release"/>
    <w:qFormat/>
    <w:rsid w:val="007E7A50"/>
    <w:pPr>
      <w:spacing w:after="0"/>
    </w:pPr>
  </w:style>
  <w:style w:type="paragraph" w:customStyle="1" w:styleId="Template-About">
    <w:name w:val="Template - About"/>
    <w:basedOn w:val="PN-Title"/>
    <w:rsid w:val="00EA030C"/>
    <w:rPr>
      <w:rFonts w:ascii="Times New Roman Bold" w:hAnsi="Times New Roman Bold"/>
      <w:caps w:val="0"/>
      <w:u w:val="single"/>
    </w:rPr>
  </w:style>
  <w:style w:type="paragraph" w:customStyle="1" w:styleId="AttachmentParaNum">
    <w:name w:val="Attachment ParaNum"/>
    <w:basedOn w:val="AppendixParaNum"/>
    <w:qFormat/>
    <w:rsid w:val="006239ED"/>
    <w:pPr>
      <w:numPr>
        <w:numId w:val="2"/>
      </w:numPr>
    </w:pPr>
  </w:style>
  <w:style w:type="numbering" w:customStyle="1" w:styleId="AttachmentList">
    <w:name w:val="Attachment List"/>
    <w:uiPriority w:val="99"/>
    <w:rsid w:val="003725BE"/>
    <w:pPr>
      <w:numPr>
        <w:numId w:val="15"/>
      </w:numPr>
    </w:pPr>
  </w:style>
  <w:style w:type="paragraph" w:customStyle="1" w:styleId="HeadingNon-Numbered">
    <w:name w:val="Heading (Non-Numbered)"/>
    <w:basedOn w:val="Normal"/>
    <w:next w:val="NormalIndent"/>
    <w:qFormat/>
    <w:rsid w:val="00C16543"/>
    <w:pPr>
      <w:keepNext/>
    </w:pPr>
    <w:rPr>
      <w:rFonts w:ascii="Times New Roman Bold" w:hAnsi="Times New Roman Bold"/>
      <w:b/>
      <w:u w:val="single"/>
    </w:rPr>
  </w:style>
  <w:style w:type="paragraph" w:customStyle="1" w:styleId="SubheadingNon-Numbered">
    <w:name w:val="Subheading (Non-Numbered)"/>
    <w:basedOn w:val="HeadingNon-Numbered"/>
    <w:qFormat/>
    <w:rsid w:val="00C16543"/>
    <w:rPr>
      <w:u w:val="none"/>
    </w:rPr>
  </w:style>
  <w:style w:type="paragraph" w:customStyle="1" w:styleId="FCCTagLine">
    <w:name w:val="FCC Tag Line"/>
    <w:basedOn w:val="PN-Subtitle"/>
    <w:rsid w:val="00D51C7C"/>
  </w:style>
  <w:style w:type="numbering" w:customStyle="1" w:styleId="NIOrderedList">
    <w:name w:val="NI Ordered List"/>
    <w:uiPriority w:val="99"/>
    <w:rsid w:val="00B10CEE"/>
  </w:style>
  <w:style w:type="paragraph" w:customStyle="1" w:styleId="Bullet">
    <w:name w:val="Bullet"/>
    <w:basedOn w:val="Normal"/>
    <w:rsid w:val="00405A39"/>
    <w:pPr>
      <w:widowControl w:val="0"/>
      <w:numPr>
        <w:numId w:val="39"/>
      </w:numPr>
      <w:tabs>
        <w:tab w:val="clear" w:pos="360"/>
        <w:tab w:val="left" w:pos="2160"/>
      </w:tabs>
      <w:spacing w:after="220"/>
      <w:ind w:left="2160" w:hanging="720"/>
    </w:pPr>
    <w:rPr>
      <w:rFonts w:eastAsia="Times New Roman"/>
      <w:snapToGrid w:val="0"/>
      <w:kern w:val="28"/>
      <w:sz w:val="22"/>
      <w:szCs w:val="20"/>
    </w:rPr>
  </w:style>
  <w:style w:type="character" w:customStyle="1" w:styleId="ParaNumChar1">
    <w:name w:val="ParaNum Char1"/>
    <w:locked/>
    <w:rsid w:val="00405A39"/>
    <w:rPr>
      <w:snapToGrid w:val="0"/>
      <w:kern w:val="28"/>
      <w:sz w:val="22"/>
    </w:rPr>
  </w:style>
  <w:style w:type="character" w:styleId="UnresolvedMention">
    <w:name w:val="Unresolved Mention"/>
    <w:basedOn w:val="DefaultParagraphFont"/>
    <w:uiPriority w:val="99"/>
    <w:semiHidden/>
    <w:unhideWhenUsed/>
    <w:rsid w:val="00405A39"/>
    <w:rPr>
      <w:color w:val="605E5C"/>
      <w:shd w:val="clear" w:color="auto" w:fill="E1DFDD"/>
    </w:rPr>
  </w:style>
  <w:style w:type="paragraph" w:styleId="Revision">
    <w:name w:val="Revision"/>
    <w:hidden/>
    <w:uiPriority w:val="99"/>
    <w:semiHidden/>
    <w:rsid w:val="007819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fcc504@fcc.gov" TargetMode="External" /><Relationship Id="rId7" Type="http://schemas.openxmlformats.org/officeDocument/2006/relationships/hyperlink" Target="mailto:Alexandra.hor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nodis3.gsfc.nasa.gov/OCE_docs/OCE_51.pdf" TargetMode="External" /><Relationship Id="rId2" Type="http://schemas.openxmlformats.org/officeDocument/2006/relationships/hyperlink" Target="https://www.whitehouse.gov/wp-content/uploads/2022/07/07-2022-NATIONAL-ORBITAL-DEBRIS-IMPLEMENTATION-PLAN.pdf" TargetMode="External" /><Relationship Id="rId3" Type="http://schemas.openxmlformats.org/officeDocument/2006/relationships/hyperlink" Target="https://www.hou.usra.edu/meetings/orbitaldebris2023/"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