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5DA05D1A" w14:textId="77777777">
      <w:pPr>
        <w:jc w:val="right"/>
        <w:rPr>
          <w:sz w:val="24"/>
        </w:rPr>
      </w:pPr>
    </w:p>
    <w:p w:rsidR="00EE1112" w:rsidP="00EE1112" w14:paraId="6C208AAE" w14:textId="5A71F0E1">
      <w:pPr>
        <w:jc w:val="right"/>
        <w:rPr>
          <w:b/>
          <w:sz w:val="24"/>
        </w:rPr>
      </w:pPr>
      <w:r>
        <w:rPr>
          <w:b/>
          <w:sz w:val="24"/>
        </w:rPr>
        <w:t>DA 24-</w:t>
      </w:r>
      <w:r w:rsidR="004507E6">
        <w:rPr>
          <w:b/>
          <w:sz w:val="24"/>
        </w:rPr>
        <w:t>426</w:t>
      </w:r>
    </w:p>
    <w:p w:rsidR="00EE1112" w:rsidP="00EE1112" w14:paraId="3775260E" w14:textId="77777777">
      <w:pPr>
        <w:spacing w:before="60"/>
        <w:jc w:val="right"/>
        <w:rPr>
          <w:b/>
          <w:sz w:val="24"/>
        </w:rPr>
      </w:pPr>
      <w:r>
        <w:rPr>
          <w:b/>
          <w:sz w:val="24"/>
        </w:rPr>
        <w:t xml:space="preserve">Released:  </w:t>
      </w:r>
      <w:r w:rsidR="00520B8F">
        <w:rPr>
          <w:b/>
          <w:sz w:val="24"/>
        </w:rPr>
        <w:t>May 6</w:t>
      </w:r>
      <w:r>
        <w:rPr>
          <w:b/>
          <w:sz w:val="24"/>
        </w:rPr>
        <w:t>, 2024</w:t>
      </w:r>
    </w:p>
    <w:p w:rsidR="00013A8B" w:rsidP="00013A8B" w14:paraId="2441AFD8" w14:textId="77777777">
      <w:pPr>
        <w:jc w:val="right"/>
        <w:rPr>
          <w:sz w:val="24"/>
        </w:rPr>
      </w:pPr>
    </w:p>
    <w:p w:rsidR="00520B8F" w:rsidRPr="00520B8F" w:rsidP="00520B8F" w14:paraId="0703B342" w14:textId="77777777">
      <w:pPr>
        <w:ind w:firstLine="720"/>
        <w:jc w:val="center"/>
        <w:rPr>
          <w:rFonts w:eastAsia="Times New Roman Bold"/>
          <w:b/>
          <w:bCs/>
          <w:szCs w:val="22"/>
        </w:rPr>
      </w:pPr>
      <w:r w:rsidRPr="00520B8F">
        <w:rPr>
          <w:rFonts w:eastAsia="Times New Roman Bold"/>
          <w:b/>
          <w:bCs/>
          <w:szCs w:val="22"/>
        </w:rPr>
        <w:t>MEDIA BUREAU ANNOUNCES PUBLICATION OF FORM 395-B</w:t>
      </w:r>
    </w:p>
    <w:p w:rsidR="00520B8F" w:rsidRPr="00520B8F" w:rsidP="00520B8F" w14:paraId="3400B0E3" w14:textId="77777777">
      <w:pPr>
        <w:ind w:firstLine="720"/>
        <w:jc w:val="center"/>
        <w:rPr>
          <w:rFonts w:eastAsia="Times New Roman Bold"/>
          <w:b/>
          <w:bCs/>
          <w:szCs w:val="22"/>
        </w:rPr>
      </w:pPr>
      <w:r w:rsidRPr="00520B8F">
        <w:rPr>
          <w:rFonts w:eastAsia="Times New Roman Bold"/>
          <w:b/>
          <w:bCs/>
          <w:szCs w:val="22"/>
        </w:rPr>
        <w:t>FOURTH REPORT AND ORDER AND ORDER ON RECONSIDERATION</w:t>
      </w:r>
    </w:p>
    <w:p w:rsidR="00520B8F" w:rsidRPr="00520B8F" w:rsidP="00520B8F" w14:paraId="198EBA00" w14:textId="77777777">
      <w:pPr>
        <w:spacing w:after="120"/>
        <w:ind w:firstLine="720"/>
        <w:jc w:val="center"/>
        <w:rPr>
          <w:rFonts w:eastAsia="Times New Roman Bold"/>
          <w:b/>
          <w:bCs/>
          <w:szCs w:val="22"/>
        </w:rPr>
      </w:pPr>
    </w:p>
    <w:p w:rsidR="00520B8F" w:rsidRPr="00520B8F" w:rsidP="00520B8F" w14:paraId="13825B0F" w14:textId="77777777">
      <w:pPr>
        <w:spacing w:after="120"/>
        <w:jc w:val="center"/>
        <w:rPr>
          <w:rFonts w:eastAsia="Times New Roman Bold"/>
          <w:b/>
          <w:bCs/>
          <w:szCs w:val="22"/>
        </w:rPr>
      </w:pPr>
      <w:r w:rsidRPr="00520B8F">
        <w:rPr>
          <w:rFonts w:eastAsia="Times New Roman Bold"/>
          <w:b/>
          <w:bCs/>
          <w:szCs w:val="22"/>
        </w:rPr>
        <w:t>MB Docket No. 98-204</w:t>
      </w:r>
    </w:p>
    <w:p w:rsidR="00520B8F" w:rsidP="00520B8F" w14:paraId="0AEC05C0" w14:textId="77777777">
      <w:pPr>
        <w:spacing w:after="120"/>
        <w:ind w:firstLine="720"/>
        <w:rPr>
          <w:rFonts w:eastAsia="Times New Roman Bold"/>
          <w:szCs w:val="22"/>
        </w:rPr>
      </w:pPr>
    </w:p>
    <w:p w:rsidR="00520B8F" w:rsidRPr="00520B8F" w:rsidP="00520B8F" w14:paraId="1BA54C2D" w14:textId="77777777">
      <w:pPr>
        <w:spacing w:after="120"/>
        <w:ind w:firstLine="720"/>
        <w:rPr>
          <w:rFonts w:eastAsia="Times New Roman Bold"/>
          <w:szCs w:val="22"/>
        </w:rPr>
      </w:pPr>
      <w:r w:rsidRPr="00520B8F">
        <w:rPr>
          <w:rFonts w:eastAsia="Times New Roman Bold"/>
          <w:szCs w:val="22"/>
        </w:rPr>
        <w:t>On February 22, 2024, the Commission released the Form 395-B Fourth Report and Order (</w:t>
      </w:r>
      <w:r w:rsidRPr="00520B8F">
        <w:rPr>
          <w:rFonts w:eastAsia="Times New Roman Bold"/>
          <w:i/>
          <w:iCs/>
          <w:szCs w:val="22"/>
        </w:rPr>
        <w:t>Fourth Report and Order</w:t>
      </w:r>
      <w:r w:rsidRPr="00520B8F">
        <w:rPr>
          <w:rFonts w:eastAsia="Times New Roman Bold"/>
          <w:szCs w:val="22"/>
        </w:rPr>
        <w:t>) and Order on Reconsideration (</w:t>
      </w:r>
      <w:r w:rsidRPr="00520B8F">
        <w:rPr>
          <w:rFonts w:eastAsia="Times New Roman Bold"/>
          <w:i/>
          <w:iCs/>
          <w:szCs w:val="22"/>
        </w:rPr>
        <w:t>Order on Reconsideration</w:t>
      </w:r>
      <w:r w:rsidRPr="00520B8F">
        <w:rPr>
          <w:rFonts w:eastAsia="Times New Roman Bold"/>
          <w:szCs w:val="22"/>
        </w:rPr>
        <w:t>).</w:t>
      </w:r>
      <w:r>
        <w:rPr>
          <w:rFonts w:eastAsia="Times New Roman Bold"/>
          <w:szCs w:val="22"/>
          <w:vertAlign w:val="superscript"/>
        </w:rPr>
        <w:footnoteReference w:id="3"/>
      </w:r>
      <w:r w:rsidRPr="00520B8F">
        <w:rPr>
          <w:rFonts w:eastAsia="Times New Roman Bold"/>
          <w:szCs w:val="22"/>
        </w:rPr>
        <w:t xml:space="preserve">  The </w:t>
      </w:r>
      <w:r w:rsidRPr="00520B8F">
        <w:rPr>
          <w:rFonts w:eastAsia="Times New Roman Bold"/>
          <w:i/>
          <w:iCs/>
          <w:szCs w:val="22"/>
        </w:rPr>
        <w:t>Fourth Report and Order</w:t>
      </w:r>
      <w:r w:rsidRPr="00520B8F">
        <w:rPr>
          <w:rFonts w:eastAsia="Times New Roman Bold"/>
          <w:szCs w:val="22"/>
        </w:rPr>
        <w:t xml:space="preserve"> reinstates the Form 395-B data collection for broadcast licensees, requiring them to report race, ethnicity, and gender information about employees within specified job categories on an annual basis</w:t>
      </w:r>
      <w:r>
        <w:rPr>
          <w:rFonts w:eastAsia="Times New Roman Bold"/>
          <w:szCs w:val="22"/>
        </w:rPr>
        <w:t xml:space="preserve">, as required by the Communications Act of 1934, as amended. </w:t>
      </w:r>
      <w:r w:rsidRPr="00520B8F">
        <w:rPr>
          <w:rFonts w:eastAsia="Times New Roman Bold"/>
          <w:szCs w:val="22"/>
        </w:rPr>
        <w:t xml:space="preserve"> The </w:t>
      </w:r>
      <w:r w:rsidRPr="00520B8F">
        <w:rPr>
          <w:rFonts w:eastAsia="Times New Roman Bold"/>
          <w:i/>
          <w:iCs/>
          <w:szCs w:val="22"/>
        </w:rPr>
        <w:t>Order on Reconsideration</w:t>
      </w:r>
      <w:r w:rsidRPr="00520B8F">
        <w:rPr>
          <w:rFonts w:eastAsia="Times New Roman Bold"/>
          <w:szCs w:val="22"/>
        </w:rPr>
        <w:t xml:space="preserve"> amends section 73.3612 of the Commission’s rules to incorporate language prohibiting use of this collected data for assessing compliance with the nondiscrimination or equal employment opportunity requirements of section 73.2080 of the Commission’s rules.  </w:t>
      </w:r>
    </w:p>
    <w:p w:rsidR="00520B8F" w:rsidRPr="00520B8F" w:rsidP="00520B8F" w14:paraId="2F682162" w14:textId="77777777">
      <w:pPr>
        <w:spacing w:after="120"/>
        <w:ind w:firstLine="720"/>
        <w:rPr>
          <w:rFonts w:eastAsia="Times New Roman Bold"/>
          <w:szCs w:val="22"/>
        </w:rPr>
      </w:pPr>
      <w:r w:rsidRPr="00520B8F">
        <w:rPr>
          <w:rFonts w:eastAsia="Times New Roman Bold"/>
          <w:szCs w:val="22"/>
        </w:rPr>
        <w:t xml:space="preserve">By this Public Notice, the Media Bureau (Bureau) announces that the </w:t>
      </w:r>
      <w:r w:rsidRPr="00520B8F">
        <w:rPr>
          <w:rFonts w:eastAsia="Times New Roman Bold"/>
          <w:i/>
          <w:iCs/>
          <w:szCs w:val="22"/>
        </w:rPr>
        <w:t xml:space="preserve">Fourth Report </w:t>
      </w:r>
      <w:r w:rsidRPr="00520B8F">
        <w:rPr>
          <w:rFonts w:eastAsia="Times New Roman Bold"/>
          <w:szCs w:val="22"/>
        </w:rPr>
        <w:t>and</w:t>
      </w:r>
      <w:r w:rsidRPr="00520B8F">
        <w:rPr>
          <w:rFonts w:eastAsia="Times New Roman Bold"/>
          <w:i/>
          <w:iCs/>
          <w:szCs w:val="22"/>
        </w:rPr>
        <w:t xml:space="preserve"> Order </w:t>
      </w:r>
      <w:r w:rsidRPr="00520B8F">
        <w:rPr>
          <w:rFonts w:eastAsia="Times New Roman Bold"/>
          <w:szCs w:val="22"/>
        </w:rPr>
        <w:t xml:space="preserve">and </w:t>
      </w:r>
      <w:r w:rsidRPr="00520B8F">
        <w:rPr>
          <w:rFonts w:eastAsia="Times New Roman Bold"/>
          <w:i/>
          <w:iCs/>
          <w:szCs w:val="22"/>
        </w:rPr>
        <w:t>Order on Reconsideration</w:t>
      </w:r>
      <w:r w:rsidRPr="00520B8F">
        <w:rPr>
          <w:rFonts w:eastAsia="Times New Roman Bold"/>
          <w:szCs w:val="22"/>
        </w:rPr>
        <w:t xml:space="preserve"> were published in the Federal Register on May 3, 2024, and shall be effective as of June 3, 2024.</w:t>
      </w:r>
      <w:r>
        <w:rPr>
          <w:rFonts w:eastAsia="Times New Roman Bold"/>
          <w:szCs w:val="22"/>
          <w:vertAlign w:val="superscript"/>
        </w:rPr>
        <w:footnoteReference w:id="4"/>
      </w:r>
    </w:p>
    <w:p w:rsidR="00520B8F" w:rsidRPr="00520B8F" w:rsidP="00520B8F" w14:paraId="48D56792" w14:textId="77777777">
      <w:pPr>
        <w:spacing w:after="120"/>
        <w:ind w:firstLine="720"/>
        <w:rPr>
          <w:rFonts w:eastAsia="Times New Roman Bold"/>
          <w:szCs w:val="22"/>
        </w:rPr>
      </w:pPr>
      <w:r w:rsidRPr="00520B8F">
        <w:rPr>
          <w:rFonts w:eastAsia="Times New Roman Bold"/>
          <w:szCs w:val="22"/>
        </w:rPr>
        <w:t xml:space="preserve">Compliance with portions of the </w:t>
      </w:r>
      <w:r w:rsidRPr="00520B8F">
        <w:rPr>
          <w:rFonts w:eastAsia="Times New Roman Bold"/>
          <w:i/>
          <w:iCs/>
          <w:szCs w:val="22"/>
        </w:rPr>
        <w:t>Fourth Report and Order</w:t>
      </w:r>
      <w:r w:rsidRPr="00520B8F">
        <w:rPr>
          <w:rFonts w:eastAsia="Times New Roman Bold"/>
          <w:szCs w:val="22"/>
        </w:rPr>
        <w:t xml:space="preserve"> and </w:t>
      </w:r>
      <w:r w:rsidRPr="00520B8F">
        <w:rPr>
          <w:rFonts w:eastAsia="Times New Roman Bold"/>
          <w:i/>
          <w:iCs/>
          <w:szCs w:val="22"/>
        </w:rPr>
        <w:t>Order on Reconsideration</w:t>
      </w:r>
      <w:r w:rsidRPr="00520B8F">
        <w:rPr>
          <w:rFonts w:eastAsia="Times New Roman Bold"/>
          <w:szCs w:val="22"/>
        </w:rPr>
        <w:t>, which may contain new or modified information collection requirements will not be required until the Office of Management and Budget (OMB) completes review of any information collections that OMB determines is required under the Paperwork Reduction Act.</w:t>
      </w:r>
      <w:r>
        <w:rPr>
          <w:rFonts w:eastAsia="Times New Roman Bold"/>
          <w:szCs w:val="22"/>
        </w:rPr>
        <w:t xml:space="preserve">  </w:t>
      </w:r>
      <w:r w:rsidRPr="00520B8F">
        <w:rPr>
          <w:rFonts w:eastAsia="Times New Roman Bold"/>
          <w:szCs w:val="22"/>
        </w:rPr>
        <w:t xml:space="preserve">The Bureau </w:t>
      </w:r>
      <w:r>
        <w:rPr>
          <w:rFonts w:eastAsia="Times New Roman Bold"/>
          <w:szCs w:val="22"/>
        </w:rPr>
        <w:t xml:space="preserve">will </w:t>
      </w:r>
      <w:r w:rsidRPr="00520B8F">
        <w:rPr>
          <w:rFonts w:eastAsia="Times New Roman Bold"/>
          <w:szCs w:val="22"/>
        </w:rPr>
        <w:t xml:space="preserve">publish a subsequent Public Notice announcing the compliance date for the </w:t>
      </w:r>
      <w:r w:rsidRPr="00520B8F">
        <w:rPr>
          <w:rFonts w:eastAsia="Times New Roman Bold"/>
          <w:i/>
          <w:iCs/>
          <w:szCs w:val="22"/>
        </w:rPr>
        <w:t>Fourth Report and Order</w:t>
      </w:r>
      <w:r w:rsidRPr="00520B8F">
        <w:rPr>
          <w:rFonts w:eastAsia="Times New Roman Bold"/>
          <w:szCs w:val="22"/>
        </w:rPr>
        <w:t xml:space="preserve"> and </w:t>
      </w:r>
      <w:r w:rsidRPr="00520B8F">
        <w:rPr>
          <w:rFonts w:eastAsia="Times New Roman Bold"/>
          <w:i/>
          <w:iCs/>
          <w:szCs w:val="22"/>
        </w:rPr>
        <w:t>Order on Reconsideration</w:t>
      </w:r>
      <w:r w:rsidRPr="00520B8F">
        <w:rPr>
          <w:rFonts w:eastAsia="Times New Roman Bold"/>
          <w:szCs w:val="22"/>
        </w:rPr>
        <w:t xml:space="preserve">.   </w:t>
      </w:r>
    </w:p>
    <w:p w:rsidR="00520B8F" w:rsidRPr="00520B8F" w:rsidP="00520B8F" w14:paraId="3DF32401" w14:textId="77777777">
      <w:pPr>
        <w:spacing w:after="120"/>
        <w:rPr>
          <w:rFonts w:eastAsia="Times New Roman Bold"/>
          <w:szCs w:val="22"/>
        </w:rPr>
      </w:pPr>
    </w:p>
    <w:p w:rsidR="00EE1112" w:rsidRPr="00616518" w:rsidP="00EE1112" w14:paraId="33B91DA5" w14:textId="77777777">
      <w:pPr>
        <w:spacing w:after="120"/>
        <w:ind w:firstLine="720"/>
        <w:rPr>
          <w:rStyle w:val="Hyperlink"/>
          <w:rFonts w:eastAsia="Times New Roman Bold"/>
          <w:color w:val="auto"/>
          <w:szCs w:val="22"/>
          <w:u w:val="none"/>
        </w:rPr>
      </w:pPr>
    </w:p>
    <w:p w:rsidR="00EE1112" w:rsidP="00EE1112" w14:paraId="5FB31044" w14:textId="77777777">
      <w:pPr>
        <w:spacing w:after="120"/>
        <w:jc w:val="center"/>
      </w:pPr>
      <w:r>
        <w:rPr>
          <w:rStyle w:val="Hyperlink"/>
          <w:rFonts w:eastAsia="Times New Roman Bold"/>
          <w:b/>
          <w:bCs/>
          <w:color w:val="auto"/>
          <w:szCs w:val="22"/>
          <w:u w:val="none"/>
        </w:rPr>
        <w:t>- FCC -</w:t>
      </w:r>
      <w:r>
        <w:rPr>
          <w:b/>
          <w:bCs/>
          <w:sz w:val="24"/>
        </w:rPr>
        <w:t xml:space="preserve"> </w:t>
      </w:r>
    </w:p>
    <w:p w:rsidR="00F96F63" w:rsidP="00F96F63" w14:paraId="7383EBEC" w14:textId="77777777">
      <w:pPr>
        <w:rPr>
          <w:sz w:val="24"/>
        </w:rPr>
      </w:pPr>
    </w:p>
    <w:p w:rsidR="00930ECF" w:rsidRPr="00930ECF" w:rsidP="00F96F63" w14:paraId="26FEBA2B" w14:textId="77777777">
      <w:pPr>
        <w:rPr>
          <w:sz w:val="24"/>
        </w:rPr>
      </w:pPr>
    </w:p>
    <w:sectPr w:rsidSect="00761DA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D1DFAF5" w14:textId="77777777">
    <w:pPr>
      <w:pStyle w:val="Footer"/>
      <w:framePr w:wrap="around" w:vAnchor="text" w:hAnchor="margin" w:xAlign="center" w:y="1"/>
    </w:pPr>
    <w:r>
      <w:fldChar w:fldCharType="begin"/>
    </w:r>
    <w:r>
      <w:instrText xml:space="preserve">PAGE  </w:instrText>
    </w:r>
    <w:r w:rsidR="004507E6">
      <w:fldChar w:fldCharType="separate"/>
    </w:r>
    <w:r>
      <w:fldChar w:fldCharType="end"/>
    </w:r>
  </w:p>
  <w:p w:rsidR="006F7393" w14:paraId="72315A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A7E2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AE5F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DAC" w14:paraId="3C3C8719" w14:textId="77777777">
      <w:r>
        <w:separator/>
      </w:r>
    </w:p>
  </w:footnote>
  <w:footnote w:type="continuationSeparator" w:id="1">
    <w:p w:rsidR="00761DAC" w14:paraId="1BAA9E64" w14:textId="77777777">
      <w:pPr>
        <w:rPr>
          <w:sz w:val="20"/>
        </w:rPr>
      </w:pPr>
      <w:r>
        <w:rPr>
          <w:sz w:val="20"/>
        </w:rPr>
        <w:t xml:space="preserve">(Continued from previous page)  </w:t>
      </w:r>
      <w:r>
        <w:rPr>
          <w:sz w:val="20"/>
        </w:rPr>
        <w:separator/>
      </w:r>
    </w:p>
  </w:footnote>
  <w:footnote w:type="continuationNotice" w:id="2">
    <w:p w:rsidR="00761DAC" w:rsidP="00910F12" w14:paraId="23B33BC8" w14:textId="77777777">
      <w:pPr>
        <w:jc w:val="right"/>
        <w:rPr>
          <w:sz w:val="20"/>
        </w:rPr>
      </w:pPr>
      <w:r>
        <w:rPr>
          <w:sz w:val="20"/>
        </w:rPr>
        <w:t>(continued….)</w:t>
      </w:r>
    </w:p>
  </w:footnote>
  <w:footnote w:id="3">
    <w:p w:rsidR="00520B8F" w:rsidRPr="00E37575" w:rsidP="00520B8F" w14:paraId="6C6BF9D2" w14:textId="77777777">
      <w:pPr>
        <w:pStyle w:val="FootnoteText"/>
      </w:pPr>
      <w:r w:rsidRPr="00E37575">
        <w:rPr>
          <w:rStyle w:val="FootnoteReference"/>
        </w:rPr>
        <w:footnoteRef/>
      </w:r>
      <w:r w:rsidRPr="00E37575">
        <w:t xml:space="preserve"> </w:t>
      </w:r>
      <w:r w:rsidRPr="00E37575">
        <w:rPr>
          <w:i/>
          <w:iCs/>
        </w:rPr>
        <w:t>Review of the Commission’s Broadcast and Cable Equal Opportunity Rules and Policies</w:t>
      </w:r>
      <w:r w:rsidRPr="00E37575">
        <w:t>, MB Docket No. 98-204, Fourth Report and Order and Order on Reconsideration, FCC 24-18 (rel. Feb. 22, 2024) (</w:t>
      </w:r>
      <w:r w:rsidRPr="00E37575">
        <w:rPr>
          <w:i/>
          <w:iCs/>
        </w:rPr>
        <w:t>Fourth Report and Order and Order on Reconsideration</w:t>
      </w:r>
      <w:r w:rsidRPr="00E37575">
        <w:t>).</w:t>
      </w:r>
    </w:p>
  </w:footnote>
  <w:footnote w:id="4">
    <w:p w:rsidR="00520B8F" w:rsidRPr="00E37575" w:rsidP="00520B8F" w14:paraId="055BEBC6" w14:textId="77777777">
      <w:pPr>
        <w:pStyle w:val="FootnoteText"/>
      </w:pPr>
      <w:r w:rsidRPr="00E37575">
        <w:rPr>
          <w:rStyle w:val="FootnoteReference"/>
        </w:rPr>
        <w:footnoteRef/>
      </w:r>
      <w:r w:rsidRPr="00E37575">
        <w:t xml:space="preserve"> Federal Communications Commission, </w:t>
      </w:r>
      <w:r w:rsidRPr="00E37575">
        <w:rPr>
          <w:i/>
          <w:iCs/>
        </w:rPr>
        <w:t>Review of the Commission’s Broadcast and Cable Equal Opportunity Rules and Policies</w:t>
      </w:r>
      <w:r w:rsidRPr="00E37575">
        <w:t>,</w:t>
      </w:r>
      <w:r w:rsidRPr="00CC7714">
        <w:rPr>
          <w:sz w:val="22"/>
          <w:szCs w:val="22"/>
        </w:rPr>
        <w:t xml:space="preserve"> </w:t>
      </w:r>
      <w:r w:rsidRPr="00CC7714">
        <w:t>89 FR 36705</w:t>
      </w:r>
      <w:r>
        <w:t xml:space="preserve"> (May 3, 2024).</w:t>
      </w:r>
      <w:r w:rsidRPr="00E375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112" w:rsidP="00EE1112" w14:paraId="20298A33" w14:textId="77777777">
    <w:pPr>
      <w:tabs>
        <w:tab w:val="center" w:pos="4680"/>
        <w:tab w:val="right" w:pos="9360"/>
      </w:tabs>
    </w:pPr>
    <w:r w:rsidRPr="009838BC">
      <w:rPr>
        <w:b/>
      </w:rPr>
      <w:tab/>
      <w:t>Federal Communications Commission</w:t>
    </w:r>
    <w:r w:rsidRPr="009838BC">
      <w:rPr>
        <w:b/>
      </w:rPr>
      <w:tab/>
    </w:r>
    <w:r>
      <w:rPr>
        <w:b/>
      </w:rPr>
      <w:t>DA 24-57</w:t>
    </w:r>
  </w:p>
  <w:p w:rsidR="009838BC" w:rsidRPr="009838BC" w:rsidP="009838BC" w14:paraId="74A799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5087169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1B2423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091658411"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paraId="28068752" w14:textId="77777777">
                          <w:pPr>
                            <w:rPr>
                              <w:rFonts w:ascii="Arial" w:hAnsi="Arial"/>
                              <w:b/>
                              <w:snapToGrid/>
                            </w:rPr>
                          </w:pPr>
                          <w:r>
                            <w:rPr>
                              <w:rFonts w:ascii="Arial" w:hAnsi="Arial"/>
                              <w:b/>
                            </w:rPr>
                            <w:t>Federal Communications Commission</w:t>
                          </w:r>
                        </w:p>
                        <w:p w:rsidR="00DE0AB8" w:rsidP="00DE0AB8" w14:paraId="1D821A66" w14:textId="77777777">
                          <w:pPr>
                            <w:rPr>
                              <w:rFonts w:ascii="Arial" w:hAnsi="Arial"/>
                              <w:b/>
                            </w:rPr>
                          </w:pPr>
                          <w:r>
                            <w:rPr>
                              <w:rFonts w:ascii="Arial" w:hAnsi="Arial"/>
                              <w:b/>
                            </w:rPr>
                            <w:t>45 L Street NE</w:t>
                          </w:r>
                        </w:p>
                        <w:p w:rsidR="009838BC" w:rsidP="00DE0AB8" w14:paraId="233B8B1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35DA293A" w14:textId="77777777">
                    <w:pPr>
                      <w:rPr>
                        <w:rFonts w:ascii="Arial" w:hAnsi="Arial"/>
                        <w:b/>
                        <w:snapToGrid/>
                      </w:rPr>
                    </w:pPr>
                    <w:r>
                      <w:rPr>
                        <w:rFonts w:ascii="Arial" w:hAnsi="Arial"/>
                        <w:b/>
                      </w:rPr>
                      <w:t>Federal Communications Commission</w:t>
                    </w:r>
                  </w:p>
                  <w:p w:rsidR="00DE0AB8" w:rsidP="00DE0AB8" w14:paraId="0D6C7588" w14:textId="77777777">
                    <w:pPr>
                      <w:rPr>
                        <w:rFonts w:ascii="Arial" w:hAnsi="Arial"/>
                        <w:b/>
                      </w:rPr>
                    </w:pPr>
                    <w:r>
                      <w:rPr>
                        <w:rFonts w:ascii="Arial" w:hAnsi="Arial"/>
                        <w:b/>
                      </w:rPr>
                      <w:t>45 L Street NE</w:t>
                    </w:r>
                  </w:p>
                  <w:p w:rsidR="009838BC" w:rsidP="00DE0AB8" w14:paraId="14E5A59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A34F04">
      <w:rPr>
        <w:rFonts w:ascii="Arial" w:hAnsi="Arial" w:cs="Arial"/>
        <w:b/>
        <w:sz w:val="96"/>
      </w:rPr>
      <w:t>PUBLIC NOTICE</w:t>
    </w:r>
  </w:p>
  <w:p w:rsidR="009838BC" w:rsidRPr="00357D50" w:rsidP="009838BC" w14:paraId="6EA3DEB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198514406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12763465"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E5C5600" w14:textId="77777777">
                          <w:pPr>
                            <w:spacing w:before="40"/>
                            <w:jc w:val="right"/>
                            <w:rPr>
                              <w:rFonts w:ascii="Arial" w:hAnsi="Arial"/>
                              <w:b/>
                              <w:sz w:val="16"/>
                            </w:rPr>
                          </w:pPr>
                          <w:r>
                            <w:rPr>
                              <w:rFonts w:ascii="Arial" w:hAnsi="Arial"/>
                              <w:b/>
                              <w:sz w:val="16"/>
                            </w:rPr>
                            <w:t>News Media Information 202 / 418-0500</w:t>
                          </w:r>
                        </w:p>
                        <w:p w:rsidR="009838BC" w:rsidP="009838BC" w14:paraId="575C0182"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1A18398" w14:textId="77777777">
                    <w:pPr>
                      <w:spacing w:before="40"/>
                      <w:jc w:val="right"/>
                      <w:rPr>
                        <w:rFonts w:ascii="Arial" w:hAnsi="Arial"/>
                        <w:b/>
                        <w:sz w:val="16"/>
                      </w:rPr>
                    </w:pPr>
                    <w:r>
                      <w:rPr>
                        <w:rFonts w:ascii="Arial" w:hAnsi="Arial"/>
                        <w:b/>
                        <w:sz w:val="16"/>
                      </w:rPr>
                      <w:t xml:space="preserve">News Media Information 202 / </w:t>
                    </w:r>
                    <w:r>
                      <w:rPr>
                        <w:rFonts w:ascii="Arial" w:hAnsi="Arial"/>
                        <w:b/>
                        <w:sz w:val="16"/>
                      </w:rPr>
                      <w:t>418-0500</w:t>
                    </w:r>
                  </w:p>
                  <w:p w:rsidR="009838BC" w:rsidP="009838BC" w14:paraId="5C4245D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txbxContent>
              </v:textbox>
            </v:shape>
          </w:pict>
        </mc:Fallback>
      </mc:AlternateContent>
    </w:r>
  </w:p>
  <w:p w:rsidR="006F7393" w:rsidRPr="009838BC" w:rsidP="009838BC" w14:paraId="1FA5354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12"/>
    <w:rsid w:val="000072CE"/>
    <w:rsid w:val="00013A8B"/>
    <w:rsid w:val="00021445"/>
    <w:rsid w:val="00034162"/>
    <w:rsid w:val="00036039"/>
    <w:rsid w:val="00037F90"/>
    <w:rsid w:val="0006428C"/>
    <w:rsid w:val="000822D3"/>
    <w:rsid w:val="000875BF"/>
    <w:rsid w:val="00096D8C"/>
    <w:rsid w:val="000A0620"/>
    <w:rsid w:val="000C0B65"/>
    <w:rsid w:val="000E3D42"/>
    <w:rsid w:val="000E5884"/>
    <w:rsid w:val="000F14CB"/>
    <w:rsid w:val="001050A8"/>
    <w:rsid w:val="00120A46"/>
    <w:rsid w:val="00122BD5"/>
    <w:rsid w:val="001979D9"/>
    <w:rsid w:val="001D6BCF"/>
    <w:rsid w:val="001E01CA"/>
    <w:rsid w:val="001F11BA"/>
    <w:rsid w:val="002060D9"/>
    <w:rsid w:val="00226822"/>
    <w:rsid w:val="0023765F"/>
    <w:rsid w:val="00246A3D"/>
    <w:rsid w:val="00260594"/>
    <w:rsid w:val="00285017"/>
    <w:rsid w:val="002A2D2E"/>
    <w:rsid w:val="002F4078"/>
    <w:rsid w:val="00312EE1"/>
    <w:rsid w:val="00343749"/>
    <w:rsid w:val="00357D50"/>
    <w:rsid w:val="003925DC"/>
    <w:rsid w:val="003944F1"/>
    <w:rsid w:val="003B0550"/>
    <w:rsid w:val="003B694F"/>
    <w:rsid w:val="003E3DB4"/>
    <w:rsid w:val="003F171C"/>
    <w:rsid w:val="003F451C"/>
    <w:rsid w:val="00405318"/>
    <w:rsid w:val="00412FC5"/>
    <w:rsid w:val="00422276"/>
    <w:rsid w:val="004242F1"/>
    <w:rsid w:val="00426630"/>
    <w:rsid w:val="00445A00"/>
    <w:rsid w:val="004507E6"/>
    <w:rsid w:val="00451B0F"/>
    <w:rsid w:val="0046125F"/>
    <w:rsid w:val="004704CB"/>
    <w:rsid w:val="00487524"/>
    <w:rsid w:val="00491F17"/>
    <w:rsid w:val="00496106"/>
    <w:rsid w:val="004C12D0"/>
    <w:rsid w:val="004C2EE3"/>
    <w:rsid w:val="004E4A22"/>
    <w:rsid w:val="00511968"/>
    <w:rsid w:val="005131CD"/>
    <w:rsid w:val="00520B8F"/>
    <w:rsid w:val="0054075F"/>
    <w:rsid w:val="0055614C"/>
    <w:rsid w:val="005673C3"/>
    <w:rsid w:val="00591B66"/>
    <w:rsid w:val="005B2031"/>
    <w:rsid w:val="005E2510"/>
    <w:rsid w:val="00607BA5"/>
    <w:rsid w:val="00616518"/>
    <w:rsid w:val="006211B8"/>
    <w:rsid w:val="00626EB6"/>
    <w:rsid w:val="006353A3"/>
    <w:rsid w:val="00655D03"/>
    <w:rsid w:val="00670EC4"/>
    <w:rsid w:val="00683F84"/>
    <w:rsid w:val="006A6A81"/>
    <w:rsid w:val="006E26AF"/>
    <w:rsid w:val="006F7393"/>
    <w:rsid w:val="0070224F"/>
    <w:rsid w:val="007115F7"/>
    <w:rsid w:val="007317F6"/>
    <w:rsid w:val="007348B4"/>
    <w:rsid w:val="00761DAC"/>
    <w:rsid w:val="00764D0D"/>
    <w:rsid w:val="00785689"/>
    <w:rsid w:val="0079754B"/>
    <w:rsid w:val="007A1E6D"/>
    <w:rsid w:val="007C4789"/>
    <w:rsid w:val="007F696D"/>
    <w:rsid w:val="008006CB"/>
    <w:rsid w:val="0081320B"/>
    <w:rsid w:val="00822CE0"/>
    <w:rsid w:val="00837C62"/>
    <w:rsid w:val="00840B53"/>
    <w:rsid w:val="00841AB1"/>
    <w:rsid w:val="008549D8"/>
    <w:rsid w:val="008733D5"/>
    <w:rsid w:val="0089512C"/>
    <w:rsid w:val="008C22FD"/>
    <w:rsid w:val="008E58B9"/>
    <w:rsid w:val="008E71BA"/>
    <w:rsid w:val="00905941"/>
    <w:rsid w:val="00910F12"/>
    <w:rsid w:val="00914368"/>
    <w:rsid w:val="00926503"/>
    <w:rsid w:val="00930ECF"/>
    <w:rsid w:val="009838BC"/>
    <w:rsid w:val="00A243D8"/>
    <w:rsid w:val="00A34F04"/>
    <w:rsid w:val="00A45F4F"/>
    <w:rsid w:val="00A600A9"/>
    <w:rsid w:val="00A6025A"/>
    <w:rsid w:val="00A72718"/>
    <w:rsid w:val="00A73FC6"/>
    <w:rsid w:val="00A866AC"/>
    <w:rsid w:val="00AA55B7"/>
    <w:rsid w:val="00AA5B9E"/>
    <w:rsid w:val="00AB2407"/>
    <w:rsid w:val="00AB53DF"/>
    <w:rsid w:val="00AE0EB3"/>
    <w:rsid w:val="00AE12B3"/>
    <w:rsid w:val="00AF6886"/>
    <w:rsid w:val="00B07E5C"/>
    <w:rsid w:val="00B20363"/>
    <w:rsid w:val="00B326E3"/>
    <w:rsid w:val="00B36D32"/>
    <w:rsid w:val="00B808BC"/>
    <w:rsid w:val="00B811F7"/>
    <w:rsid w:val="00BA5DC6"/>
    <w:rsid w:val="00BA6196"/>
    <w:rsid w:val="00BC16F6"/>
    <w:rsid w:val="00BC2D12"/>
    <w:rsid w:val="00BC6D8C"/>
    <w:rsid w:val="00BE7B81"/>
    <w:rsid w:val="00C0594F"/>
    <w:rsid w:val="00C16AF2"/>
    <w:rsid w:val="00C24309"/>
    <w:rsid w:val="00C31B9B"/>
    <w:rsid w:val="00C332B5"/>
    <w:rsid w:val="00C34006"/>
    <w:rsid w:val="00C426B1"/>
    <w:rsid w:val="00C77470"/>
    <w:rsid w:val="00C82B6B"/>
    <w:rsid w:val="00C90D6A"/>
    <w:rsid w:val="00CA1323"/>
    <w:rsid w:val="00CC72B6"/>
    <w:rsid w:val="00CC7714"/>
    <w:rsid w:val="00CE075D"/>
    <w:rsid w:val="00D0218D"/>
    <w:rsid w:val="00D16A9D"/>
    <w:rsid w:val="00D216CD"/>
    <w:rsid w:val="00D5596F"/>
    <w:rsid w:val="00DA2529"/>
    <w:rsid w:val="00DB130A"/>
    <w:rsid w:val="00DC10A1"/>
    <w:rsid w:val="00DC655F"/>
    <w:rsid w:val="00DD7EBD"/>
    <w:rsid w:val="00DE0AB8"/>
    <w:rsid w:val="00DF62B6"/>
    <w:rsid w:val="00E07225"/>
    <w:rsid w:val="00E155B7"/>
    <w:rsid w:val="00E37575"/>
    <w:rsid w:val="00E45591"/>
    <w:rsid w:val="00E5409F"/>
    <w:rsid w:val="00E921D8"/>
    <w:rsid w:val="00EC0185"/>
    <w:rsid w:val="00EE1112"/>
    <w:rsid w:val="00EF7829"/>
    <w:rsid w:val="00F021FA"/>
    <w:rsid w:val="00F55EBD"/>
    <w:rsid w:val="00F57ACA"/>
    <w:rsid w:val="00F62E97"/>
    <w:rsid w:val="00F64209"/>
    <w:rsid w:val="00F77BBC"/>
    <w:rsid w:val="00F86E0D"/>
    <w:rsid w:val="00F93BF5"/>
    <w:rsid w:val="00F96F63"/>
    <w:rsid w:val="00FA7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437222"/>
  <w15:chartTrackingRefBased/>
  <w15:docId w15:val="{69A87120-D8A3-4F7D-9CC0-1EA56F8E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EE1112"/>
  </w:style>
  <w:style w:type="character" w:customStyle="1" w:styleId="Style12pt">
    <w:name w:val="Style 12 pt"/>
    <w:rsid w:val="00EE1112"/>
    <w:rPr>
      <w:sz w:val="22"/>
    </w:rPr>
  </w:style>
  <w:style w:type="paragraph" w:styleId="Revision">
    <w:name w:val="Revision"/>
    <w:hidden/>
    <w:uiPriority w:val="99"/>
    <w:semiHidden/>
    <w:rsid w:val="0091436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