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C44F4" w:rsidRPr="006F5F4F" w:rsidP="00655FD5" w14:paraId="75BCF3EB" w14:textId="7E1A41AB">
      <w:pPr>
        <w:jc w:val="center"/>
        <w:rPr>
          <w:b/>
        </w:rPr>
      </w:pPr>
      <w:r w:rsidRPr="006F5F4F">
        <w:rPr>
          <w:b/>
        </w:rPr>
        <w:softHyphen/>
      </w:r>
      <w:r w:rsidRPr="006F5F4F">
        <w:rPr>
          <w:b/>
        </w:rPr>
        <w:softHyphen/>
      </w:r>
      <w:r w:rsidRPr="006F5F4F">
        <w:rPr>
          <w:b/>
        </w:rPr>
        <w:t>Before the</w:t>
      </w:r>
    </w:p>
    <w:p w:rsidR="006C44F4" w:rsidRPr="006F5F4F" w:rsidP="00655FD5" w14:paraId="6CE6725C" w14:textId="77777777">
      <w:pPr>
        <w:pStyle w:val="StyleBoldCentered"/>
        <w:rPr>
          <w:rFonts w:ascii="Times New Roman" w:hAnsi="Times New Roman"/>
        </w:rPr>
      </w:pPr>
      <w:r w:rsidRPr="006F5F4F">
        <w:rPr>
          <w:rFonts w:ascii="Times New Roman" w:hAnsi="Times New Roman"/>
        </w:rPr>
        <w:t>F</w:t>
      </w:r>
      <w:r w:rsidRPr="006F5F4F">
        <w:rPr>
          <w:rFonts w:ascii="Times New Roman" w:hAnsi="Times New Roman"/>
          <w:caps w:val="0"/>
        </w:rPr>
        <w:t>ederal Communications Commission</w:t>
      </w:r>
    </w:p>
    <w:p w:rsidR="006C44F4" w:rsidRPr="006F5F4F" w:rsidP="00655FD5" w14:paraId="5FBE1427" w14:textId="77777777">
      <w:pPr>
        <w:jc w:val="center"/>
        <w:rPr>
          <w:b/>
        </w:rPr>
      </w:pPr>
      <w:r w:rsidRPr="006F5F4F">
        <w:rPr>
          <w:b/>
        </w:rPr>
        <w:t xml:space="preserve">Washington, D.C. 20554 </w:t>
      </w:r>
    </w:p>
    <w:p w:rsidR="006C44F4" w:rsidRPr="006F5F4F" w:rsidP="00655FD5" w14:paraId="1A180931" w14:textId="77777777">
      <w:pPr>
        <w:jc w:val="center"/>
        <w:rPr>
          <w:b/>
        </w:rPr>
      </w:pPr>
    </w:p>
    <w:p w:rsidR="00655FD5" w:rsidRPr="006F5F4F" w:rsidP="00655FD5" w14:paraId="666D8222" w14:textId="77777777">
      <w:pPr>
        <w:jc w:val="center"/>
        <w:rPr>
          <w:b/>
        </w:rPr>
      </w:pPr>
    </w:p>
    <w:tbl>
      <w:tblPr>
        <w:tblW w:w="0" w:type="auto"/>
        <w:tblLayout w:type="fixed"/>
        <w:tblLook w:val="0000"/>
      </w:tblPr>
      <w:tblGrid>
        <w:gridCol w:w="4495"/>
        <w:gridCol w:w="626"/>
        <w:gridCol w:w="4226"/>
      </w:tblGrid>
      <w:tr w14:paraId="6250BD20" w14:textId="77777777" w:rsidTr="00D843EE">
        <w:tblPrEx>
          <w:tblW w:w="0" w:type="auto"/>
          <w:tblLayout w:type="fixed"/>
          <w:tblLook w:val="0000"/>
        </w:tblPrEx>
        <w:trPr>
          <w:trHeight w:val="2430"/>
        </w:trPr>
        <w:tc>
          <w:tcPr>
            <w:tcW w:w="4495" w:type="dxa"/>
          </w:tcPr>
          <w:p w:rsidR="006C44F4" w:rsidRPr="006F5F4F" w:rsidP="00655FD5" w14:paraId="27255B4B" w14:textId="77777777">
            <w:pPr>
              <w:tabs>
                <w:tab w:val="center" w:pos="4680"/>
              </w:tabs>
              <w:suppressAutoHyphens/>
              <w:rPr>
                <w:spacing w:val="-2"/>
              </w:rPr>
            </w:pPr>
          </w:p>
          <w:p w:rsidR="006C44F4" w:rsidRPr="006F5F4F" w:rsidP="00655FD5" w14:paraId="5F2C1274" w14:textId="77777777">
            <w:pPr>
              <w:tabs>
                <w:tab w:val="center" w:pos="4680"/>
              </w:tabs>
              <w:suppressAutoHyphens/>
              <w:rPr>
                <w:spacing w:val="-2"/>
              </w:rPr>
            </w:pPr>
            <w:r w:rsidRPr="006F5F4F">
              <w:rPr>
                <w:spacing w:val="-2"/>
              </w:rPr>
              <w:t>In the Matter of</w:t>
            </w:r>
          </w:p>
          <w:p w:rsidR="006C44F4" w:rsidRPr="006F5F4F" w:rsidP="00655FD5" w14:paraId="38CCCD8C" w14:textId="77777777">
            <w:pPr>
              <w:tabs>
                <w:tab w:val="center" w:pos="4680"/>
              </w:tabs>
              <w:suppressAutoHyphens/>
              <w:rPr>
                <w:spacing w:val="-2"/>
              </w:rPr>
            </w:pPr>
          </w:p>
          <w:p w:rsidR="00EC1F5F" w:rsidRPr="00EC1F5F" w:rsidP="00EC1F5F" w14:paraId="3FDDBAE0" w14:textId="77777777">
            <w:pPr>
              <w:tabs>
                <w:tab w:val="center" w:pos="4680"/>
              </w:tabs>
              <w:suppressAutoHyphens/>
              <w:rPr>
                <w:color w:val="000000" w:themeColor="text1"/>
                <w:spacing w:val="-2"/>
              </w:rPr>
            </w:pPr>
            <w:r w:rsidRPr="00EC1F5F">
              <w:rPr>
                <w:color w:val="000000" w:themeColor="text1"/>
                <w:spacing w:val="-2"/>
              </w:rPr>
              <w:t>City Communications, Inc.</w:t>
            </w:r>
          </w:p>
          <w:p w:rsidR="006C44F4" w:rsidRPr="006F5F4F" w:rsidP="00655FD5" w14:paraId="23F652CC" w14:textId="4769C600">
            <w:pPr>
              <w:tabs>
                <w:tab w:val="center" w:pos="4680"/>
              </w:tabs>
              <w:suppressAutoHyphens/>
              <w:rPr>
                <w:spacing w:val="-2"/>
              </w:rPr>
            </w:pPr>
          </w:p>
          <w:p w:rsidR="006C44F4" w:rsidRPr="006F5F4F" w:rsidP="00655FD5" w14:paraId="3BD314E8" w14:textId="77777777">
            <w:pPr>
              <w:tabs>
                <w:tab w:val="center" w:pos="4680"/>
              </w:tabs>
              <w:suppressAutoHyphens/>
              <w:rPr>
                <w:spacing w:val="-2"/>
              </w:rPr>
            </w:pPr>
          </w:p>
        </w:tc>
        <w:tc>
          <w:tcPr>
            <w:tcW w:w="626" w:type="dxa"/>
          </w:tcPr>
          <w:p w:rsidR="006C44F4" w:rsidRPr="006F5F4F" w:rsidP="00655FD5" w14:paraId="2BD5D5FC" w14:textId="77777777">
            <w:pPr>
              <w:tabs>
                <w:tab w:val="center" w:pos="4680"/>
              </w:tabs>
              <w:suppressAutoHyphens/>
              <w:rPr>
                <w:b/>
                <w:spacing w:val="-2"/>
              </w:rPr>
            </w:pPr>
          </w:p>
          <w:p w:rsidR="006C44F4" w:rsidRPr="006F5F4F" w:rsidP="00655FD5" w14:paraId="457EE5E2" w14:textId="77777777">
            <w:pPr>
              <w:tabs>
                <w:tab w:val="center" w:pos="4680"/>
              </w:tabs>
              <w:suppressAutoHyphens/>
              <w:rPr>
                <w:b/>
                <w:spacing w:val="-2"/>
              </w:rPr>
            </w:pPr>
            <w:r w:rsidRPr="006F5F4F">
              <w:rPr>
                <w:b/>
                <w:spacing w:val="-2"/>
              </w:rPr>
              <w:t xml:space="preserve">  )</w:t>
            </w:r>
          </w:p>
          <w:p w:rsidR="006C44F4" w:rsidRPr="006F5F4F" w:rsidP="00655FD5" w14:paraId="3045F7ED" w14:textId="77777777">
            <w:pPr>
              <w:tabs>
                <w:tab w:val="center" w:pos="4680"/>
              </w:tabs>
              <w:suppressAutoHyphens/>
              <w:rPr>
                <w:b/>
                <w:spacing w:val="-2"/>
              </w:rPr>
            </w:pPr>
            <w:r w:rsidRPr="006F5F4F">
              <w:rPr>
                <w:b/>
                <w:spacing w:val="-2"/>
              </w:rPr>
              <w:t xml:space="preserve">  )</w:t>
            </w:r>
          </w:p>
          <w:p w:rsidR="006C44F4" w:rsidRPr="006F5F4F" w:rsidP="00655FD5" w14:paraId="07451D5C" w14:textId="77777777">
            <w:pPr>
              <w:tabs>
                <w:tab w:val="center" w:pos="4680"/>
              </w:tabs>
              <w:suppressAutoHyphens/>
              <w:rPr>
                <w:b/>
                <w:spacing w:val="-2"/>
              </w:rPr>
            </w:pPr>
            <w:r w:rsidRPr="006F5F4F">
              <w:rPr>
                <w:b/>
                <w:spacing w:val="-2"/>
              </w:rPr>
              <w:t xml:space="preserve">  )</w:t>
            </w:r>
          </w:p>
          <w:p w:rsidR="006C44F4" w:rsidRPr="006F5F4F" w:rsidP="00655FD5" w14:paraId="0184193C" w14:textId="77777777">
            <w:pPr>
              <w:tabs>
                <w:tab w:val="center" w:pos="4680"/>
              </w:tabs>
              <w:suppressAutoHyphens/>
              <w:rPr>
                <w:b/>
                <w:spacing w:val="-2"/>
              </w:rPr>
            </w:pPr>
            <w:r w:rsidRPr="006F5F4F">
              <w:rPr>
                <w:b/>
                <w:spacing w:val="-2"/>
              </w:rPr>
              <w:t xml:space="preserve">  )</w:t>
            </w:r>
          </w:p>
          <w:p w:rsidR="006C44F4" w:rsidRPr="006F5F4F" w:rsidP="00655FD5" w14:paraId="43C8B8DC" w14:textId="77777777">
            <w:pPr>
              <w:tabs>
                <w:tab w:val="center" w:pos="4680"/>
              </w:tabs>
              <w:suppressAutoHyphens/>
              <w:rPr>
                <w:b/>
                <w:spacing w:val="-2"/>
              </w:rPr>
            </w:pPr>
            <w:r w:rsidRPr="006F5F4F">
              <w:rPr>
                <w:b/>
                <w:spacing w:val="-2"/>
              </w:rPr>
              <w:t xml:space="preserve">  )</w:t>
            </w:r>
          </w:p>
          <w:p w:rsidR="006C44F4" w:rsidP="00655FD5" w14:paraId="60F8F730" w14:textId="77777777">
            <w:pPr>
              <w:tabs>
                <w:tab w:val="center" w:pos="4680"/>
              </w:tabs>
              <w:suppressAutoHyphens/>
              <w:rPr>
                <w:b/>
                <w:spacing w:val="-2"/>
              </w:rPr>
            </w:pPr>
            <w:r w:rsidRPr="006F5F4F">
              <w:rPr>
                <w:b/>
                <w:spacing w:val="-2"/>
              </w:rPr>
              <w:t xml:space="preserve"> </w:t>
            </w:r>
            <w:r w:rsidR="00D843EE">
              <w:rPr>
                <w:b/>
                <w:spacing w:val="-2"/>
              </w:rPr>
              <w:t xml:space="preserve"> )</w:t>
            </w:r>
          </w:p>
          <w:p w:rsidR="00D843EE" w:rsidRPr="006F5F4F" w:rsidP="00655FD5" w14:paraId="0668B442" w14:textId="0165AEF0">
            <w:pPr>
              <w:tabs>
                <w:tab w:val="center" w:pos="4680"/>
              </w:tabs>
              <w:suppressAutoHyphens/>
              <w:rPr>
                <w:b/>
                <w:spacing w:val="-2"/>
              </w:rPr>
            </w:pPr>
            <w:r>
              <w:rPr>
                <w:b/>
                <w:spacing w:val="-2"/>
              </w:rPr>
              <w:t xml:space="preserve">  )</w:t>
            </w:r>
          </w:p>
        </w:tc>
        <w:tc>
          <w:tcPr>
            <w:tcW w:w="4226" w:type="dxa"/>
          </w:tcPr>
          <w:p w:rsidR="006C44F4" w:rsidRPr="006F5F4F" w:rsidP="00655FD5" w14:paraId="00630A39" w14:textId="046DBCA1">
            <w:pPr>
              <w:rPr>
                <w:spacing w:val="-2"/>
              </w:rPr>
            </w:pPr>
          </w:p>
          <w:p w:rsidR="00EC4CB0" w:rsidRPr="006F5F4F" w:rsidP="00D843EE" w14:paraId="30381FA5" w14:textId="6808CD6D">
            <w:pPr>
              <w:ind w:left="612"/>
              <w:rPr>
                <w:spacing w:val="-2"/>
              </w:rPr>
            </w:pPr>
            <w:r w:rsidRPr="006F5F4F">
              <w:rPr>
                <w:spacing w:val="-2"/>
              </w:rPr>
              <w:t>WC Docket No. 21-450</w:t>
            </w:r>
          </w:p>
          <w:p w:rsidR="00D843EE" w:rsidP="00655FD5" w14:paraId="793B0856" w14:textId="77777777">
            <w:pPr>
              <w:ind w:left="612"/>
              <w:rPr>
                <w:spacing w:val="-2"/>
              </w:rPr>
            </w:pPr>
          </w:p>
          <w:p w:rsidR="00D843EE" w:rsidP="00655FD5" w14:paraId="03DB0FCF" w14:textId="77777777">
            <w:pPr>
              <w:ind w:left="612"/>
              <w:rPr>
                <w:spacing w:val="-2"/>
              </w:rPr>
            </w:pPr>
          </w:p>
          <w:p w:rsidR="006C44F4" w:rsidRPr="006F5F4F" w:rsidP="00655FD5" w14:paraId="728BD265" w14:textId="68BBB351">
            <w:pPr>
              <w:ind w:left="612"/>
              <w:rPr>
                <w:spacing w:val="-2"/>
              </w:rPr>
            </w:pPr>
            <w:r w:rsidRPr="006F5F4F">
              <w:rPr>
                <w:spacing w:val="-2"/>
              </w:rPr>
              <w:t>File No.:  EB-FD-22-0003422</w:t>
            </w:r>
            <w:r w:rsidR="00EC1F5F">
              <w:rPr>
                <w:spacing w:val="-2"/>
              </w:rPr>
              <w:t>2</w:t>
            </w:r>
          </w:p>
          <w:p w:rsidR="006C44F4" w:rsidRPr="006F5F4F" w:rsidP="00655FD5" w14:paraId="7913548A" w14:textId="54134C99">
            <w:pPr>
              <w:ind w:left="612"/>
              <w:rPr>
                <w:spacing w:val="-2"/>
              </w:rPr>
            </w:pPr>
            <w:r w:rsidRPr="006F5F4F">
              <w:rPr>
                <w:spacing w:val="-2"/>
              </w:rPr>
              <w:t>NAL</w:t>
            </w:r>
            <w:r w:rsidR="007F69AA">
              <w:rPr>
                <w:spacing w:val="-2"/>
              </w:rPr>
              <w:t xml:space="preserve"> </w:t>
            </w:r>
            <w:r w:rsidRPr="006F5F4F">
              <w:rPr>
                <w:spacing w:val="-2"/>
              </w:rPr>
              <w:t xml:space="preserve">Acct. No.:  </w:t>
            </w:r>
            <w:r w:rsidRPr="006F5F4F">
              <w:t>20243220000</w:t>
            </w:r>
            <w:r w:rsidR="00EC1F5F">
              <w:t>1</w:t>
            </w:r>
          </w:p>
          <w:p w:rsidR="006C44F4" w:rsidRPr="006F5F4F" w:rsidP="00655FD5" w14:paraId="759F3747" w14:textId="77E280A2">
            <w:pPr>
              <w:ind w:left="612"/>
              <w:rPr>
                <w:spacing w:val="-2"/>
              </w:rPr>
            </w:pPr>
            <w:r w:rsidRPr="006F5F4F">
              <w:rPr>
                <w:spacing w:val="-2"/>
              </w:rPr>
              <w:t xml:space="preserve">FRN:  </w:t>
            </w:r>
            <w:r w:rsidRPr="00EC1F5F" w:rsidR="00EC1F5F">
              <w:rPr>
                <w:color w:val="000000" w:themeColor="text1"/>
                <w:spacing w:val="-2"/>
              </w:rPr>
              <w:t>0023589245</w:t>
            </w:r>
          </w:p>
          <w:p w:rsidR="006C44F4" w:rsidRPr="006F5F4F" w:rsidP="00655FD5" w14:paraId="78189673" w14:textId="4E3C07A4"/>
        </w:tc>
      </w:tr>
    </w:tbl>
    <w:p w:rsidR="006C44F4" w:rsidRPr="006F5F4F" w:rsidP="00D843EE" w14:paraId="4E745E80" w14:textId="5F6CFFA8">
      <w:pPr>
        <w:pStyle w:val="StyleBoldCentered"/>
        <w:rPr>
          <w:rFonts w:ascii="Times New Roman" w:hAnsi="Times New Roman"/>
        </w:rPr>
      </w:pPr>
      <w:r w:rsidRPr="006F5F4F">
        <w:rPr>
          <w:rFonts w:ascii="Times New Roman" w:hAnsi="Times New Roman"/>
        </w:rPr>
        <w:t>REMOVAL order</w:t>
      </w:r>
    </w:p>
    <w:p w:rsidR="006C44F4" w:rsidRPr="006F5F4F" w:rsidP="006C44F4" w14:paraId="615A213A" w14:textId="77777777">
      <w:pPr>
        <w:pStyle w:val="BodyText"/>
        <w:tabs>
          <w:tab w:val="left" w:pos="4680"/>
        </w:tabs>
        <w:rPr>
          <w:szCs w:val="22"/>
          <w:u w:val="none"/>
        </w:rPr>
      </w:pPr>
    </w:p>
    <w:p w:rsidR="006C44F4" w:rsidRPr="006F5F4F" w:rsidP="006C44F4" w14:paraId="59B987E8" w14:textId="2B72FD12">
      <w:pPr>
        <w:tabs>
          <w:tab w:val="left" w:pos="720"/>
          <w:tab w:val="right" w:pos="9360"/>
        </w:tabs>
        <w:suppressAutoHyphens/>
        <w:spacing w:line="227" w:lineRule="auto"/>
        <w:rPr>
          <w:spacing w:val="-2"/>
        </w:rPr>
      </w:pPr>
      <w:r w:rsidRPr="006F5F4F">
        <w:rPr>
          <w:b/>
          <w:spacing w:val="-2"/>
        </w:rPr>
        <w:t>Adopted:</w:t>
      </w:r>
      <w:r w:rsidR="00D843EE">
        <w:rPr>
          <w:b/>
          <w:spacing w:val="-2"/>
        </w:rPr>
        <w:t xml:space="preserve">  May </w:t>
      </w:r>
      <w:r w:rsidR="004460AA">
        <w:rPr>
          <w:b/>
          <w:spacing w:val="-2"/>
        </w:rPr>
        <w:t>9</w:t>
      </w:r>
      <w:r w:rsidR="00D843EE">
        <w:rPr>
          <w:b/>
          <w:spacing w:val="-2"/>
        </w:rPr>
        <w:t>, 2024</w:t>
      </w:r>
      <w:r w:rsidRPr="006F5F4F">
        <w:rPr>
          <w:b/>
          <w:spacing w:val="-2"/>
        </w:rPr>
        <w:tab/>
        <w:t>Released:</w:t>
      </w:r>
      <w:r w:rsidR="00D843EE">
        <w:rPr>
          <w:b/>
          <w:spacing w:val="-2"/>
        </w:rPr>
        <w:t xml:space="preserve">  May </w:t>
      </w:r>
      <w:r w:rsidR="004460AA">
        <w:rPr>
          <w:b/>
          <w:spacing w:val="-2"/>
        </w:rPr>
        <w:t>9</w:t>
      </w:r>
      <w:r w:rsidR="00D843EE">
        <w:rPr>
          <w:b/>
          <w:spacing w:val="-2"/>
        </w:rPr>
        <w:t>, 2024</w:t>
      </w:r>
    </w:p>
    <w:p w:rsidR="006C44F4" w:rsidRPr="006F5F4F" w:rsidP="006C44F4" w14:paraId="3D9FC751" w14:textId="77777777">
      <w:pPr>
        <w:pStyle w:val="BodyText"/>
        <w:tabs>
          <w:tab w:val="left" w:pos="4680"/>
        </w:tabs>
        <w:rPr>
          <w:szCs w:val="22"/>
          <w:u w:val="none"/>
        </w:rPr>
      </w:pPr>
    </w:p>
    <w:p w:rsidR="006C44F4" w:rsidP="006C44F4" w14:paraId="7A05EB26" w14:textId="122631D0">
      <w:pPr>
        <w:tabs>
          <w:tab w:val="left" w:pos="720"/>
          <w:tab w:val="left" w:pos="5760"/>
        </w:tabs>
        <w:suppressAutoHyphens/>
        <w:spacing w:line="227" w:lineRule="auto"/>
        <w:jc w:val="both"/>
        <w:rPr>
          <w:spacing w:val="-2"/>
        </w:rPr>
      </w:pPr>
      <w:r w:rsidRPr="00DE3442">
        <w:rPr>
          <w:spacing w:val="-2"/>
        </w:rPr>
        <w:t xml:space="preserve">By the </w:t>
      </w:r>
      <w:r w:rsidRPr="00DE3442">
        <w:t>Chief, Enforcement Bureau</w:t>
      </w:r>
      <w:r w:rsidRPr="00DE3442">
        <w:rPr>
          <w:spacing w:val="-2"/>
        </w:rPr>
        <w:t>:</w:t>
      </w:r>
    </w:p>
    <w:p w:rsidR="002E21E7" w:rsidRPr="00DE3442" w:rsidP="006C44F4" w14:paraId="2ADAFD2B" w14:textId="77777777">
      <w:pPr>
        <w:tabs>
          <w:tab w:val="left" w:pos="720"/>
          <w:tab w:val="left" w:pos="5760"/>
        </w:tabs>
        <w:suppressAutoHyphens/>
        <w:spacing w:line="227" w:lineRule="auto"/>
        <w:jc w:val="both"/>
        <w:rPr>
          <w:spacing w:val="-2"/>
        </w:rPr>
      </w:pPr>
    </w:p>
    <w:p w:rsidR="005C4E52" w:rsidRPr="00DE3442" w:rsidP="005C4E52" w14:paraId="6B2F126D" w14:textId="58660A20">
      <w:pPr>
        <w:pStyle w:val="ParaNum"/>
      </w:pPr>
      <w:r w:rsidRPr="00DE3442">
        <w:t>The Enforcement Bureau (Bureau) of the Federal Communications Commission (FCC or Commission) issues this Order pursuant to section 54.1801(e)(2)(</w:t>
      </w:r>
      <w:r w:rsidRPr="00DE3442" w:rsidR="00B9381E">
        <w:t>iii</w:t>
      </w:r>
      <w:r w:rsidRPr="00DE3442">
        <w:t>)(</w:t>
      </w:r>
      <w:r w:rsidRPr="00DE3442" w:rsidR="00030523">
        <w:t>D</w:t>
      </w:r>
      <w:r w:rsidRPr="00DE3442">
        <w:t xml:space="preserve">) </w:t>
      </w:r>
      <w:r w:rsidRPr="00DE3442" w:rsidR="00DE3442">
        <w:t>of the Commission’s rules</w:t>
      </w:r>
      <w:r>
        <w:rPr>
          <w:rStyle w:val="FootnoteReference"/>
          <w:sz w:val="22"/>
        </w:rPr>
        <w:footnoteReference w:id="3"/>
      </w:r>
      <w:r w:rsidRPr="00DE3442" w:rsidR="00DE3442">
        <w:t xml:space="preserve"> </w:t>
      </w:r>
      <w:r w:rsidRPr="00DE3442" w:rsidR="007B5854">
        <w:t>t</w:t>
      </w:r>
      <w:r w:rsidRPr="00DE3442">
        <w:t xml:space="preserve">o provide written notice to </w:t>
      </w:r>
      <w:r w:rsidRPr="00DE3442" w:rsidR="00F66452">
        <w:t>City Communications, Inc.</w:t>
      </w:r>
      <w:r w:rsidRPr="00DE3442" w:rsidR="00655FD5">
        <w:t xml:space="preserve"> (</w:t>
      </w:r>
      <w:r w:rsidRPr="00DE3442" w:rsidR="00F66452">
        <w:t>City Communications</w:t>
      </w:r>
      <w:r w:rsidRPr="00DE3442" w:rsidR="00655FD5">
        <w:t xml:space="preserve"> or</w:t>
      </w:r>
      <w:r w:rsidRPr="00DE3442" w:rsidR="00F66452">
        <w:t xml:space="preserve"> City</w:t>
      </w:r>
      <w:r w:rsidRPr="00DE3442" w:rsidR="00655FD5">
        <w:t>)</w:t>
      </w:r>
      <w:r w:rsidRPr="00DE3442">
        <w:t xml:space="preserve"> that the Bureau has considered </w:t>
      </w:r>
      <w:r w:rsidRPr="00DE3442" w:rsidR="00655FD5">
        <w:t>its</w:t>
      </w:r>
      <w:r w:rsidRPr="00DE3442">
        <w:t xml:space="preserve"> response to the </w:t>
      </w:r>
      <w:r w:rsidRPr="00DE3442" w:rsidR="00AA600A">
        <w:t xml:space="preserve">Commission’s </w:t>
      </w:r>
      <w:r w:rsidRPr="00DE3442">
        <w:t>Order Initiating Removal Proceeding</w:t>
      </w:r>
      <w:r>
        <w:rPr>
          <w:rStyle w:val="FootnoteReference"/>
          <w:sz w:val="22"/>
        </w:rPr>
        <w:footnoteReference w:id="4"/>
      </w:r>
      <w:r w:rsidRPr="00DE3442" w:rsidR="00EC4CB0">
        <w:t>,</w:t>
      </w:r>
      <w:r w:rsidRPr="00DE3442">
        <w:t xml:space="preserve"> </w:t>
      </w:r>
      <w:r w:rsidRPr="00DE3442" w:rsidR="00AA600A">
        <w:t>that</w:t>
      </w:r>
      <w:r w:rsidRPr="00DE3442">
        <w:t xml:space="preserve"> </w:t>
      </w:r>
      <w:r w:rsidRPr="00DE3442" w:rsidR="00F66452">
        <w:t>City</w:t>
      </w:r>
      <w:r w:rsidRPr="00DE3442" w:rsidR="00AA600A">
        <w:t>’s</w:t>
      </w:r>
      <w:r w:rsidRPr="00DE3442">
        <w:t xml:space="preserve"> request</w:t>
      </w:r>
      <w:r w:rsidRPr="00DE3442" w:rsidR="00583F7F">
        <w:t xml:space="preserve"> </w:t>
      </w:r>
      <w:r w:rsidRPr="00DE3442" w:rsidR="0005430A">
        <w:t xml:space="preserve">to not be permanently removed from </w:t>
      </w:r>
      <w:r w:rsidRPr="00DE3442" w:rsidR="00507EBE">
        <w:t xml:space="preserve">the </w:t>
      </w:r>
      <w:r w:rsidRPr="00DE3442" w:rsidR="0005430A">
        <w:t>Affordable Connectivity Program (ACP)</w:t>
      </w:r>
      <w:r w:rsidRPr="00DE3442" w:rsidR="00583F7F">
        <w:rPr>
          <w:rStyle w:val="FootnoteReference"/>
          <w:sz w:val="22"/>
        </w:rPr>
        <w:t xml:space="preserve"> </w:t>
      </w:r>
      <w:r>
        <w:rPr>
          <w:rStyle w:val="FootnoteReference"/>
          <w:sz w:val="22"/>
        </w:rPr>
        <w:footnoteReference w:id="5"/>
      </w:r>
      <w:r w:rsidRPr="00DE3442" w:rsidR="00507EBE">
        <w:t xml:space="preserve"> </w:t>
      </w:r>
      <w:r w:rsidRPr="00DE3442">
        <w:t xml:space="preserve">has been </w:t>
      </w:r>
      <w:r w:rsidRPr="00DE3442">
        <w:rPr>
          <w:b/>
        </w:rPr>
        <w:t>DENIED</w:t>
      </w:r>
      <w:r w:rsidRPr="00DE3442" w:rsidR="00AA600A">
        <w:t xml:space="preserve">, and that </w:t>
      </w:r>
      <w:r w:rsidRPr="00DE3442" w:rsidR="00F66452">
        <w:t>City</w:t>
      </w:r>
      <w:r w:rsidRPr="00DE3442" w:rsidR="00AA600A">
        <w:t xml:space="preserve"> is hereby </w:t>
      </w:r>
      <w:r w:rsidRPr="00DE3442" w:rsidR="00AA600A">
        <w:rPr>
          <w:b/>
        </w:rPr>
        <w:t>ORDERED</w:t>
      </w:r>
      <w:r w:rsidRPr="00DE3442" w:rsidR="00AA600A">
        <w:t xml:space="preserve"> removed f</w:t>
      </w:r>
      <w:r w:rsidRPr="00DE3442" w:rsidR="00507EBE">
        <w:t xml:space="preserve">rom </w:t>
      </w:r>
      <w:r w:rsidRPr="00DE3442" w:rsidR="006F5F4F">
        <w:t xml:space="preserve">the </w:t>
      </w:r>
      <w:r w:rsidRPr="00DE3442" w:rsidR="00AA600A">
        <w:t>ACP</w:t>
      </w:r>
      <w:r w:rsidRPr="00DE3442">
        <w:t>.</w:t>
      </w:r>
    </w:p>
    <w:p w:rsidR="00B23B4B" w:rsidRPr="00DE3442" w:rsidP="00B23B4B" w14:paraId="6CD93B6B" w14:textId="0271661D">
      <w:pPr>
        <w:pStyle w:val="Heading1"/>
        <w:rPr>
          <w:rFonts w:ascii="Times New Roman" w:hAnsi="Times New Roman"/>
        </w:rPr>
      </w:pPr>
      <w:bookmarkStart w:id="1" w:name="_Toc379288999"/>
      <w:bookmarkStart w:id="2" w:name="_Toc379365500"/>
      <w:r w:rsidRPr="00DE3442">
        <w:rPr>
          <w:rFonts w:ascii="Times New Roman" w:hAnsi="Times New Roman"/>
        </w:rPr>
        <w:t>BACKGROUND</w:t>
      </w:r>
      <w:bookmarkEnd w:id="1"/>
      <w:bookmarkEnd w:id="2"/>
    </w:p>
    <w:p w:rsidR="00690385" w:rsidP="00191E18" w14:paraId="1FD0DEDA" w14:textId="64269D09">
      <w:pPr>
        <w:pStyle w:val="ParaNum"/>
      </w:pPr>
      <w:r w:rsidRPr="00DE3442">
        <w:t>On January 26, 2024</w:t>
      </w:r>
      <w:r w:rsidRPr="00DE3442" w:rsidR="00655FD5">
        <w:t>,</w:t>
      </w:r>
      <w:r w:rsidRPr="00DE3442">
        <w:t xml:space="preserve"> </w:t>
      </w:r>
      <w:r w:rsidRPr="00DE3442" w:rsidR="00F3562E">
        <w:t>following an extensive investigation by the Bur</w:t>
      </w:r>
      <w:r w:rsidRPr="00DE3442" w:rsidR="00AB56F6">
        <w:t>eau</w:t>
      </w:r>
      <w:r w:rsidRPr="00DE3442" w:rsidR="00F3562E">
        <w:t xml:space="preserve">, </w:t>
      </w:r>
      <w:r w:rsidRPr="00DE3442">
        <w:t xml:space="preserve">the </w:t>
      </w:r>
      <w:r w:rsidRPr="00DE3442" w:rsidR="00B23B4B">
        <w:t>Commission</w:t>
      </w:r>
      <w:r w:rsidRPr="00DE3442">
        <w:t xml:space="preserve"> released a Notice of Apparent Liability </w:t>
      </w:r>
      <w:r w:rsidRPr="00DE3442" w:rsidR="00B23B4B">
        <w:t>(</w:t>
      </w:r>
      <w:r w:rsidRPr="00B1232B" w:rsidR="00B23B4B">
        <w:t>NAL</w:t>
      </w:r>
      <w:r w:rsidRPr="00DE3442" w:rsidR="00B23B4B">
        <w:t xml:space="preserve">) </w:t>
      </w:r>
      <w:r w:rsidRPr="00DE3442">
        <w:t xml:space="preserve">and Order Initiating Removal Proceeding alleging </w:t>
      </w:r>
      <w:r w:rsidRPr="00DE3442" w:rsidR="00B23B4B">
        <w:t xml:space="preserve">that </w:t>
      </w:r>
      <w:r w:rsidRPr="00DE3442" w:rsidR="00F66452">
        <w:t>City</w:t>
      </w:r>
      <w:r w:rsidRPr="00DE3442">
        <w:t xml:space="preserve"> Communication</w:t>
      </w:r>
      <w:r w:rsidRPr="00DE3442" w:rsidR="00F66452">
        <w:t>s</w:t>
      </w:r>
      <w:r w:rsidRPr="00DE3442">
        <w:t xml:space="preserve"> engaged in serious, willful misconduct in violation of multiple ACP rules</w:t>
      </w:r>
      <w:r w:rsidRPr="00DE3442" w:rsidR="00B23B4B">
        <w:t>,</w:t>
      </w:r>
      <w:r w:rsidRPr="00DE3442">
        <w:t xml:space="preserve"> and explaining that this misconduct harms ACP and its participants and warrants removal from the program</w:t>
      </w:r>
      <w:r w:rsidRPr="00DE3442" w:rsidR="00B23B4B">
        <w:t xml:space="preserve"> under the ACP removal procedures in section 54.1801(e)(2)(iii)</w:t>
      </w:r>
      <w:r w:rsidRPr="00DE3442" w:rsidR="00DE3442">
        <w:t xml:space="preserve"> of the Commission’s rules</w:t>
      </w:r>
      <w:r w:rsidRPr="00DE3442">
        <w:t>.</w:t>
      </w:r>
      <w:r>
        <w:rPr>
          <w:rStyle w:val="FootnoteReference"/>
          <w:sz w:val="22"/>
        </w:rPr>
        <w:footnoteReference w:id="6"/>
      </w:r>
      <w:r w:rsidRPr="00DE3442">
        <w:t xml:space="preserve">  </w:t>
      </w:r>
      <w:r w:rsidR="00320FFE">
        <w:t xml:space="preserve">This action </w:t>
      </w:r>
      <w:r w:rsidR="00530137">
        <w:t xml:space="preserve">triggered </w:t>
      </w:r>
      <w:r w:rsidR="005C04FA">
        <w:t xml:space="preserve">additional </w:t>
      </w:r>
      <w:r w:rsidR="00213486">
        <w:t xml:space="preserve">interim </w:t>
      </w:r>
      <w:r w:rsidR="00320FFE">
        <w:t xml:space="preserve">steps taken by the </w:t>
      </w:r>
      <w:r w:rsidR="00A61826">
        <w:t>Commission</w:t>
      </w:r>
      <w:r w:rsidR="00320FFE">
        <w:t xml:space="preserve"> to protect the integrity of the ACP by </w:t>
      </w:r>
      <w:r w:rsidR="009F5DB2">
        <w:t>directing the Universal Service Administration Company (USAC) to place a hold on any</w:t>
      </w:r>
      <w:r w:rsidR="005C04FA">
        <w:t xml:space="preserve"> disbursements to City pending the removal proceedings, </w:t>
      </w:r>
      <w:r w:rsidR="00213486">
        <w:t>suspen</w:t>
      </w:r>
      <w:r w:rsidR="00033821">
        <w:t>d</w:t>
      </w:r>
      <w:r w:rsidR="00213486">
        <w:t xml:space="preserve"> City’s</w:t>
      </w:r>
      <w:r w:rsidR="00125CEA">
        <w:t xml:space="preserve"> ability to</w:t>
      </w:r>
      <w:r w:rsidR="005C04FA">
        <w:t xml:space="preserve"> enroll </w:t>
      </w:r>
      <w:r w:rsidR="00213486">
        <w:t>and/or transfer</w:t>
      </w:r>
      <w:r w:rsidR="005C04FA">
        <w:t xml:space="preserve"> </w:t>
      </w:r>
      <w:r w:rsidR="00125CEA">
        <w:t>new subscribers, and remov</w:t>
      </w:r>
      <w:r w:rsidR="00033821">
        <w:t>e City from the Commission’s list of providers and USAC’s Companies Near Me to</w:t>
      </w:r>
      <w:r w:rsidRPr="00125853" w:rsidR="00033821">
        <w:rPr>
          <w:szCs w:val="22"/>
        </w:rPr>
        <w:t>ol.</w:t>
      </w:r>
      <w:r>
        <w:rPr>
          <w:rStyle w:val="FootnoteReference"/>
          <w:sz w:val="22"/>
          <w:szCs w:val="22"/>
        </w:rPr>
        <w:footnoteReference w:id="7"/>
      </w:r>
      <w:r w:rsidR="00033821">
        <w:t xml:space="preserve">  </w:t>
      </w:r>
    </w:p>
    <w:p w:rsidR="007B5854" w:rsidRPr="00DE3442" w:rsidP="002E5533" w14:paraId="4B604033" w14:textId="69D8501C">
      <w:pPr>
        <w:pStyle w:val="ParaNum"/>
        <w:widowControl/>
      </w:pPr>
      <w:r>
        <w:t>In the NAL, t</w:t>
      </w:r>
      <w:r w:rsidRPr="00DE3442" w:rsidR="00AA600A">
        <w:t xml:space="preserve">he Commission proposed a </w:t>
      </w:r>
      <w:r w:rsidRPr="00DE3442">
        <w:t>forfeiture penalty of $</w:t>
      </w:r>
      <w:r w:rsidRPr="00DE3442" w:rsidR="009F7555">
        <w:t>16,971,253</w:t>
      </w:r>
      <w:r w:rsidRPr="00DE3442">
        <w:t xml:space="preserve"> for apparently willful and repeated violati</w:t>
      </w:r>
      <w:r w:rsidRPr="00DE3442" w:rsidR="00AA600A">
        <w:t>ons</w:t>
      </w:r>
      <w:r w:rsidRPr="00DE3442">
        <w:t xml:space="preserve"> </w:t>
      </w:r>
      <w:r w:rsidRPr="00DE3442" w:rsidR="00AA600A">
        <w:t xml:space="preserve">of </w:t>
      </w:r>
      <w:r w:rsidRPr="00DE3442" w:rsidR="00655FD5">
        <w:t>FCC</w:t>
      </w:r>
      <w:r w:rsidRPr="00DE3442">
        <w:t xml:space="preserve"> rules relating to the ACP and the federal wire fraud statute.</w:t>
      </w:r>
      <w:r>
        <w:rPr>
          <w:rStyle w:val="FootnoteReference"/>
          <w:sz w:val="22"/>
        </w:rPr>
        <w:footnoteReference w:id="8"/>
      </w:r>
      <w:r w:rsidRPr="00DE3442">
        <w:t xml:space="preserve">  </w:t>
      </w:r>
      <w:r w:rsidR="00C01417">
        <w:t>T</w:t>
      </w:r>
      <w:r w:rsidRPr="00DE3442">
        <w:t xml:space="preserve">he Commission identified substantial evidence showing </w:t>
      </w:r>
      <w:r w:rsidRPr="00DE3442" w:rsidR="00F66452">
        <w:t>City</w:t>
      </w:r>
      <w:r w:rsidRPr="00DE3442">
        <w:t xml:space="preserve"> apparently violated ACP rules and took actions indicating </w:t>
      </w:r>
      <w:r w:rsidRPr="00DE3442" w:rsidR="00C81C41">
        <w:t>“</w:t>
      </w:r>
      <w:r w:rsidRPr="00DE3442">
        <w:t xml:space="preserve">a lack of business integrity </w:t>
      </w:r>
      <w:r w:rsidRPr="00DE3442" w:rsidR="00C81C41">
        <w:t>or</w:t>
      </w:r>
      <w:r w:rsidRPr="00DE3442">
        <w:t xml:space="preserve"> business honesty that seriously and directly affects the </w:t>
      </w:r>
      <w:r w:rsidRPr="006F5F4F">
        <w:t xml:space="preserve">company’s </w:t>
      </w:r>
      <w:r w:rsidRPr="00DE3442">
        <w:t>responsibilities</w:t>
      </w:r>
      <w:r w:rsidRPr="00DE3442" w:rsidR="00C81C41">
        <w:t>”</w:t>
      </w:r>
      <w:r w:rsidRPr="00DE3442">
        <w:t xml:space="preserve"> under </w:t>
      </w:r>
      <w:r w:rsidR="00473FAA">
        <w:t xml:space="preserve">the </w:t>
      </w:r>
      <w:r w:rsidRPr="00DE3442">
        <w:t>ACP and harms prospective and existing program participants.</w:t>
      </w:r>
      <w:r>
        <w:rPr>
          <w:rStyle w:val="FootnoteReference"/>
          <w:sz w:val="22"/>
        </w:rPr>
        <w:footnoteReference w:id="9"/>
      </w:r>
      <w:r w:rsidRPr="00DE3442">
        <w:t xml:space="preserve"> </w:t>
      </w:r>
      <w:r w:rsidRPr="00DE3442" w:rsidR="00934334">
        <w:t xml:space="preserve"> </w:t>
      </w:r>
      <w:r w:rsidRPr="00DE3442">
        <w:t>Specifically, as described in the NAL, the Bureau’s investigation developed evidence that</w:t>
      </w:r>
      <w:r w:rsidRPr="00DE3442" w:rsidR="00747CBD">
        <w:t xml:space="preserve">, from at least </w:t>
      </w:r>
      <w:r w:rsidRPr="00DE3442" w:rsidR="002B3355">
        <w:t>March 2022 through July 2023</w:t>
      </w:r>
      <w:r w:rsidRPr="00DE3442" w:rsidR="00747CBD">
        <w:t xml:space="preserve">, </w:t>
      </w:r>
      <w:r w:rsidRPr="00DE3442" w:rsidR="00F66452">
        <w:t>City</w:t>
      </w:r>
      <w:r w:rsidRPr="00DE3442" w:rsidR="00747CBD">
        <w:t xml:space="preserve"> repeatedly sought and received ACP funding for at least </w:t>
      </w:r>
      <w:r w:rsidRPr="00DE3442" w:rsidR="002B3355">
        <w:t>1,837</w:t>
      </w:r>
      <w:r w:rsidRPr="00DE3442" w:rsidR="00747CBD">
        <w:t xml:space="preserve"> subscribers who were improperly enrolled in the program.</w:t>
      </w:r>
      <w:r>
        <w:rPr>
          <w:rStyle w:val="FootnoteReference"/>
          <w:sz w:val="22"/>
        </w:rPr>
        <w:footnoteReference w:id="10"/>
      </w:r>
      <w:r w:rsidRPr="00DE3442" w:rsidR="00DF775D">
        <w:t xml:space="preserve">  </w:t>
      </w:r>
      <w:r w:rsidRPr="00DE3442" w:rsidR="00F66452">
        <w:t>City</w:t>
      </w:r>
      <w:r w:rsidRPr="00DE3442" w:rsidR="00DF775D">
        <w:t xml:space="preserve"> submitted </w:t>
      </w:r>
      <w:r w:rsidRPr="00DE3442" w:rsidR="00191E18">
        <w:t xml:space="preserve">these </w:t>
      </w:r>
      <w:r w:rsidRPr="00DE3442" w:rsidR="00DF775D">
        <w:t>1</w:t>
      </w:r>
      <w:r w:rsidRPr="00DE3442" w:rsidR="009955B1">
        <w:t>,837</w:t>
      </w:r>
      <w:r w:rsidRPr="00DE3442" w:rsidR="00DF775D">
        <w:t xml:space="preserve"> enrollments </w:t>
      </w:r>
      <w:r w:rsidRPr="00DE3442" w:rsidR="00191E18">
        <w:t>by repeatedly using only</w:t>
      </w:r>
      <w:r w:rsidRPr="00DE3442" w:rsidR="00DF775D">
        <w:t xml:space="preserve"> </w:t>
      </w:r>
      <w:r w:rsidRPr="00DE3442" w:rsidR="00191E18">
        <w:t>three</w:t>
      </w:r>
      <w:r w:rsidRPr="00DE3442" w:rsidR="00DF775D">
        <w:t xml:space="preserve"> non-subscriber benefit qualifying persons (BQPs)</w:t>
      </w:r>
      <w:r w:rsidRPr="00DE3442" w:rsidR="00F3562E">
        <w:t xml:space="preserve"> as the basis for ACP eligibility</w:t>
      </w:r>
      <w:r w:rsidRPr="00DE3442" w:rsidR="00DF775D">
        <w:t>.</w:t>
      </w:r>
      <w:r>
        <w:rPr>
          <w:rStyle w:val="FootnoteReference"/>
          <w:sz w:val="22"/>
        </w:rPr>
        <w:footnoteReference w:id="11"/>
      </w:r>
      <w:r w:rsidRPr="00DE3442" w:rsidR="00DF775D">
        <w:t xml:space="preserve">  </w:t>
      </w:r>
      <w:r w:rsidRPr="00DE3442" w:rsidR="002B3355">
        <w:t xml:space="preserve">Of the 1,837 subscribers City enrolled using only </w:t>
      </w:r>
      <w:r w:rsidR="00EE2BB5">
        <w:t>four</w:t>
      </w:r>
      <w:r w:rsidRPr="00DE3442" w:rsidR="002B3355">
        <w:t xml:space="preserve"> non-subscriber BQPs, the Bureau’s analysis of a sample of 185 of those subscribers was able to verify that </w:t>
      </w:r>
      <w:r w:rsidR="00DB06D4">
        <w:t xml:space="preserve">only </w:t>
      </w:r>
      <w:r w:rsidR="00EE2BB5">
        <w:t>one</w:t>
      </w:r>
      <w:r w:rsidRPr="00DE3442" w:rsidR="002B3355">
        <w:t xml:space="preserve"> of the 185 subscribers had an address that matched the address listed in the enrollment information.</w:t>
      </w:r>
      <w:r>
        <w:rPr>
          <w:rStyle w:val="FootnoteReference"/>
          <w:sz w:val="22"/>
        </w:rPr>
        <w:footnoteReference w:id="12"/>
      </w:r>
      <w:r w:rsidRPr="00DE3442" w:rsidR="00DF775D">
        <w:t xml:space="preserve">  </w:t>
      </w:r>
      <w:r w:rsidRPr="00DE3442" w:rsidR="005B67E2">
        <w:t>The Bureau was</w:t>
      </w:r>
      <w:r w:rsidR="00DB06D4">
        <w:t xml:space="preserve"> further</w:t>
      </w:r>
      <w:r w:rsidRPr="00DE3442" w:rsidR="005B67E2">
        <w:t xml:space="preserve"> unable to locate </w:t>
      </w:r>
      <w:r w:rsidR="00DB06D4">
        <w:t>two</w:t>
      </w:r>
      <w:r w:rsidRPr="00DE3442" w:rsidR="005B67E2">
        <w:t xml:space="preserve"> of the 185 subscribers (meaning the subscribers could not be found </w:t>
      </w:r>
      <w:r w:rsidR="00DB06D4">
        <w:t xml:space="preserve">in any online searches </w:t>
      </w:r>
      <w:r w:rsidRPr="00DE3442" w:rsidR="005B67E2">
        <w:t>using the name, date of birth, and Social Security number provided in the enrollment data)</w:t>
      </w:r>
      <w:r w:rsidR="00DB06D4">
        <w:t>.</w:t>
      </w:r>
      <w:r>
        <w:rPr>
          <w:rStyle w:val="FootnoteReference"/>
          <w:sz w:val="22"/>
        </w:rPr>
        <w:footnoteReference w:id="13"/>
      </w:r>
      <w:r w:rsidRPr="00DE3442" w:rsidR="00DF775D">
        <w:t xml:space="preserve"> </w:t>
      </w:r>
      <w:r w:rsidRPr="00DE3442" w:rsidR="005B67E2">
        <w:t xml:space="preserve"> </w:t>
      </w:r>
      <w:r w:rsidRPr="00DE3442" w:rsidR="00747CBD">
        <w:t xml:space="preserve">Despite these improper enrollments, </w:t>
      </w:r>
      <w:r w:rsidRPr="00DE3442" w:rsidR="00F66452">
        <w:t>City</w:t>
      </w:r>
      <w:r w:rsidRPr="00DE3442" w:rsidR="00747CBD">
        <w:t xml:space="preserve"> repeatedly falsely certified in its reimbursement requests to the FCC and USAC that it was in compliance with the Commission’s rules;</w:t>
      </w:r>
      <w:r>
        <w:rPr>
          <w:rStyle w:val="FootnoteReference"/>
          <w:sz w:val="22"/>
        </w:rPr>
        <w:footnoteReference w:id="14"/>
      </w:r>
      <w:r w:rsidRPr="00DE3442" w:rsidR="00747CBD">
        <w:t xml:space="preserve"> based on these misrepresentations made under penalty of perjury, </w:t>
      </w:r>
      <w:r w:rsidRPr="00DE3442" w:rsidR="00F66452">
        <w:t>City</w:t>
      </w:r>
      <w:r w:rsidRPr="00DE3442" w:rsidR="00747CBD">
        <w:t xml:space="preserve"> received funding from </w:t>
      </w:r>
      <w:r w:rsidR="00473FAA">
        <w:t xml:space="preserve">the </w:t>
      </w:r>
      <w:r w:rsidRPr="00DE3442" w:rsidR="00747CBD">
        <w:t>ACP.</w:t>
      </w:r>
      <w:r>
        <w:rPr>
          <w:rStyle w:val="FootnoteReference"/>
          <w:sz w:val="22"/>
        </w:rPr>
        <w:footnoteReference w:id="15"/>
      </w:r>
      <w:r w:rsidRPr="00DE3442" w:rsidR="00747CBD">
        <w:t xml:space="preserve"> </w:t>
      </w:r>
      <w:r w:rsidRPr="00DE3442" w:rsidR="00DF775D">
        <w:t xml:space="preserve"> </w:t>
      </w:r>
      <w:r w:rsidRPr="00DE3442" w:rsidR="00F66452">
        <w:t>City</w:t>
      </w:r>
      <w:r w:rsidRPr="00DE3442" w:rsidR="00747CBD">
        <w:t xml:space="preserve"> submitted these reimbursement requests via interstate wires in apparent violation of the federal wire fraud statute.</w:t>
      </w:r>
      <w:r>
        <w:rPr>
          <w:rStyle w:val="FootnoteReference"/>
          <w:sz w:val="22"/>
        </w:rPr>
        <w:footnoteReference w:id="16"/>
      </w:r>
      <w:r w:rsidRPr="00DE3442" w:rsidR="00747CBD">
        <w:t xml:space="preserve"> </w:t>
      </w:r>
      <w:r w:rsidRPr="00DE3442" w:rsidR="00AC4427">
        <w:t xml:space="preserve"> </w:t>
      </w:r>
      <w:r w:rsidRPr="00DE3442" w:rsidR="00747CBD">
        <w:t xml:space="preserve">This </w:t>
      </w:r>
      <w:r w:rsidRPr="00DE3442">
        <w:t xml:space="preserve">conduct apparently violated </w:t>
      </w:r>
      <w:r w:rsidRPr="00DE3442" w:rsidR="00747CBD">
        <w:t xml:space="preserve">multiple </w:t>
      </w:r>
      <w:r w:rsidRPr="00DE3442">
        <w:t xml:space="preserve">ACP rules (including, but not limited to, </w:t>
      </w:r>
      <w:r w:rsidRPr="00DE3442" w:rsidR="00B23B4B">
        <w:t>sections</w:t>
      </w:r>
      <w:r w:rsidRPr="00DE3442" w:rsidR="00655FD5">
        <w:t> </w:t>
      </w:r>
      <w:r w:rsidRPr="00DE3442">
        <w:t>54.1805, 54.1806(b), 54.1808(e)(3), and 54.1810(</w:t>
      </w:r>
      <w:r w:rsidRPr="00DE3442">
        <w:t>i</w:t>
      </w:r>
      <w:r w:rsidRPr="00DE3442">
        <w:t>))</w:t>
      </w:r>
      <w:r>
        <w:rPr>
          <w:rStyle w:val="FootnoteReference"/>
          <w:sz w:val="22"/>
        </w:rPr>
        <w:footnoteReference w:id="17"/>
      </w:r>
      <w:r w:rsidRPr="00DE3442" w:rsidR="00747CBD">
        <w:t xml:space="preserve"> designed to ensure only eligible subscribers receive the ACP benefit, that the ACP benefit is limited to one per eligible household, and to prevent </w:t>
      </w:r>
      <w:r w:rsidRPr="00DE3442" w:rsidR="00DF775D">
        <w:t xml:space="preserve">fraud, </w:t>
      </w:r>
      <w:r w:rsidRPr="00DE3442" w:rsidR="00747CBD">
        <w:t xml:space="preserve">waste and abuse in the program. </w:t>
      </w:r>
      <w:r w:rsidRPr="00DE3442">
        <w:t xml:space="preserve"> </w:t>
      </w:r>
      <w:r w:rsidRPr="00DE3442" w:rsidR="006F0C01">
        <w:t xml:space="preserve"> </w:t>
      </w:r>
    </w:p>
    <w:p w:rsidR="005B67E2" w:rsidRPr="00DE3442" w:rsidP="005B67E2" w14:paraId="3D24E065" w14:textId="6DC72FD0">
      <w:pPr>
        <w:pStyle w:val="ParaNum"/>
      </w:pPr>
      <w:r w:rsidRPr="00DE3442">
        <w:rPr>
          <w:rStyle w:val="normaltextrun"/>
        </w:rPr>
        <w:t xml:space="preserve">During its investigation, the Bureau attempted to contact a sample of purported </w:t>
      </w:r>
      <w:r w:rsidRPr="00DE3442" w:rsidR="00F66452">
        <w:rPr>
          <w:rStyle w:val="normaltextrun"/>
        </w:rPr>
        <w:t>City</w:t>
      </w:r>
      <w:r w:rsidRPr="00DE3442" w:rsidR="0046309A">
        <w:rPr>
          <w:rStyle w:val="normaltextrun"/>
        </w:rPr>
        <w:t xml:space="preserve"> ACP</w:t>
      </w:r>
      <w:r w:rsidRPr="00DE3442">
        <w:rPr>
          <w:rStyle w:val="normaltextrun"/>
        </w:rPr>
        <w:t xml:space="preserve"> customers</w:t>
      </w:r>
      <w:r w:rsidRPr="00DE3442" w:rsidR="00C4045F">
        <w:rPr>
          <w:rStyle w:val="normaltextrun"/>
        </w:rPr>
        <w:t xml:space="preserve"> to verify their receipt of service and the ACP benefit</w:t>
      </w:r>
      <w:r w:rsidRPr="00DE3442">
        <w:rPr>
          <w:rStyle w:val="normaltextrun"/>
        </w:rPr>
        <w:t>.</w:t>
      </w:r>
      <w:r>
        <w:rPr>
          <w:rStyle w:val="FootnoteReference"/>
          <w:sz w:val="22"/>
        </w:rPr>
        <w:footnoteReference w:id="18"/>
      </w:r>
      <w:r w:rsidRPr="00DE3442">
        <w:rPr>
          <w:rStyle w:val="normaltextrun"/>
        </w:rPr>
        <w:t xml:space="preserve"> </w:t>
      </w:r>
      <w:r w:rsidRPr="00DE3442" w:rsidR="00A35ADD">
        <w:rPr>
          <w:rStyle w:val="normaltextrun"/>
        </w:rPr>
        <w:t xml:space="preserve"> </w:t>
      </w:r>
      <w:r w:rsidRPr="00DE3442">
        <w:t xml:space="preserve">Out of the </w:t>
      </w:r>
      <w:r w:rsidR="0092644B">
        <w:t>fifteen</w:t>
      </w:r>
      <w:r w:rsidRPr="00DE3442">
        <w:t xml:space="preserve"> subscribers</w:t>
      </w:r>
      <w:r w:rsidRPr="00DE3442" w:rsidR="00896DAA">
        <w:t xml:space="preserve"> the Bur</w:t>
      </w:r>
      <w:r w:rsidRPr="00DE3442" w:rsidR="009955B1">
        <w:t>e</w:t>
      </w:r>
      <w:r w:rsidRPr="00DE3442" w:rsidR="00896DAA">
        <w:t>au attempted to reach by phone</w:t>
      </w:r>
      <w:r w:rsidRPr="00DE3442">
        <w:t xml:space="preserve">, the Bureau was unable to reach any purported subscribers, and </w:t>
      </w:r>
      <w:r w:rsidR="0092644B">
        <w:t xml:space="preserve">six </w:t>
      </w:r>
      <w:r w:rsidRPr="00DE3442">
        <w:t>of the cellular phone numbers were no longer in service</w:t>
      </w:r>
      <w:r w:rsidR="0092644B">
        <w:t xml:space="preserve"> at the time of the Bureau’s calls</w:t>
      </w:r>
      <w:r w:rsidRPr="00DE3442">
        <w:t>.</w:t>
      </w:r>
      <w:r>
        <w:rPr>
          <w:rStyle w:val="FootnoteReference"/>
          <w:sz w:val="22"/>
        </w:rPr>
        <w:footnoteReference w:id="19"/>
      </w:r>
      <w:r w:rsidRPr="00DE3442">
        <w:t xml:space="preserve"> </w:t>
      </w:r>
      <w:r w:rsidRPr="00DE3442" w:rsidR="00896DAA">
        <w:t xml:space="preserve"> The Bureau also attempted to contact more than 200 purported City subscribers via email.  Only one subscriber responded, stating that they had begun the</w:t>
      </w:r>
      <w:r w:rsidR="00DB06D4">
        <w:t xml:space="preserve"> ACP</w:t>
      </w:r>
      <w:r w:rsidRPr="00DE3442" w:rsidR="00896DAA">
        <w:t xml:space="preserve"> application process with City, but never completed it.</w:t>
      </w:r>
      <w:r>
        <w:rPr>
          <w:rStyle w:val="FootnoteReference"/>
          <w:sz w:val="22"/>
        </w:rPr>
        <w:footnoteReference w:id="20"/>
      </w:r>
      <w:r w:rsidRPr="00DE3442" w:rsidR="00896DAA">
        <w:t xml:space="preserve">  City claimed this individual as a subscriber in reimbursement requests</w:t>
      </w:r>
      <w:r w:rsidR="0092644B">
        <w:t xml:space="preserve"> and received ACP reimbursement for them for two months</w:t>
      </w:r>
      <w:r w:rsidRPr="00DE3442" w:rsidR="00896DAA">
        <w:t>.</w:t>
      </w:r>
      <w:r>
        <w:rPr>
          <w:rStyle w:val="FootnoteReference"/>
          <w:sz w:val="22"/>
        </w:rPr>
        <w:footnoteReference w:id="21"/>
      </w:r>
    </w:p>
    <w:p w:rsidR="00DF775D" w:rsidRPr="00DE3442" w:rsidP="002E5533" w14:paraId="66C13BB4" w14:textId="39FF5F47">
      <w:pPr>
        <w:pStyle w:val="ParaNum"/>
        <w:widowControl/>
      </w:pPr>
      <w:r w:rsidRPr="00DE3442">
        <w:t xml:space="preserve">The </w:t>
      </w:r>
      <w:r w:rsidRPr="00DE3442" w:rsidR="0046309A">
        <w:t>Bureau</w:t>
      </w:r>
      <w:r w:rsidRPr="00DE3442">
        <w:t xml:space="preserve"> also found evidence of large payments </w:t>
      </w:r>
      <w:r w:rsidRPr="00DE3442" w:rsidR="00191E18">
        <w:t xml:space="preserve">made </w:t>
      </w:r>
      <w:r w:rsidRPr="00DE3442">
        <w:t xml:space="preserve">by check and electronic transfer </w:t>
      </w:r>
      <w:r w:rsidR="00DE3442">
        <w:t xml:space="preserve">to individuals and other companies </w:t>
      </w:r>
      <w:r w:rsidRPr="00DE3442">
        <w:t xml:space="preserve">from the bank account </w:t>
      </w:r>
      <w:r w:rsidRPr="00DE3442" w:rsidR="00F66452">
        <w:t>City</w:t>
      </w:r>
      <w:r w:rsidRPr="00DE3442">
        <w:t xml:space="preserve"> </w:t>
      </w:r>
      <w:r w:rsidR="00DE3442">
        <w:t xml:space="preserve">used </w:t>
      </w:r>
      <w:r w:rsidRPr="00DE3442">
        <w:t xml:space="preserve">to receive ACP reimbursements to individuals and other </w:t>
      </w:r>
      <w:r w:rsidRPr="00DE3442" w:rsidR="00191E18">
        <w:t>companies</w:t>
      </w:r>
      <w:r w:rsidRPr="00DE3442">
        <w:t>, without identification of a business purpose.</w:t>
      </w:r>
      <w:r>
        <w:rPr>
          <w:rStyle w:val="FootnoteReference"/>
          <w:sz w:val="22"/>
        </w:rPr>
        <w:footnoteReference w:id="22"/>
      </w:r>
      <w:r w:rsidRPr="00DE3442">
        <w:t xml:space="preserve"> </w:t>
      </w:r>
      <w:r w:rsidRPr="00DE3442" w:rsidR="00191E18">
        <w:t xml:space="preserve"> These included</w:t>
      </w:r>
      <w:r w:rsidRPr="00DE3442" w:rsidR="00F3562E">
        <w:t xml:space="preserve"> multiple</w:t>
      </w:r>
      <w:r w:rsidRPr="00DE3442" w:rsidR="00191E18">
        <w:t xml:space="preserve"> transfers to Ashar Syed, </w:t>
      </w:r>
      <w:r w:rsidRPr="00DE3442" w:rsidR="00F66452">
        <w:t>City</w:t>
      </w:r>
      <w:r w:rsidRPr="00DE3442" w:rsidR="00191E18">
        <w:t xml:space="preserve">’s </w:t>
      </w:r>
      <w:r w:rsidRPr="00DE3442" w:rsidR="00F3562E">
        <w:t xml:space="preserve">owner and </w:t>
      </w:r>
      <w:r w:rsidRPr="00DE3442" w:rsidR="00191E18">
        <w:t>CEO</w:t>
      </w:r>
      <w:r w:rsidRPr="00DE3442" w:rsidR="00F3562E">
        <w:t>.</w:t>
      </w:r>
      <w:r>
        <w:rPr>
          <w:rStyle w:val="FootnoteReference"/>
          <w:sz w:val="22"/>
        </w:rPr>
        <w:footnoteReference w:id="23"/>
      </w:r>
    </w:p>
    <w:p w:rsidR="002B549D" w:rsidRPr="00DE3442" w:rsidP="00872A7F" w14:paraId="2DA2A77B" w14:textId="71DE1FD7">
      <w:pPr>
        <w:pStyle w:val="ParaNum"/>
      </w:pPr>
      <w:r w:rsidRPr="00DE3442">
        <w:t xml:space="preserve">Based on the above evidence of </w:t>
      </w:r>
      <w:r w:rsidRPr="00DE3442" w:rsidR="00B003FF">
        <w:t>fraudulent enrollments in ACP</w:t>
      </w:r>
      <w:r w:rsidRPr="00DE3442" w:rsidR="00FB1AA3">
        <w:t xml:space="preserve"> and </w:t>
      </w:r>
      <w:r w:rsidRPr="00DE3442" w:rsidR="00913CAB">
        <w:t>fraudulent receipt of federal funds</w:t>
      </w:r>
      <w:r w:rsidRPr="00DE3442" w:rsidR="00FB1AA3">
        <w:t>, the Commission</w:t>
      </w:r>
      <w:r w:rsidRPr="00DE3442" w:rsidR="00D363E0">
        <w:t xml:space="preserve"> found </w:t>
      </w:r>
      <w:r w:rsidRPr="00DE3442" w:rsidR="005C37BC">
        <w:t xml:space="preserve">cause to initiate proceedings to remove </w:t>
      </w:r>
      <w:r w:rsidRPr="00DE3442" w:rsidR="00F66452">
        <w:t>City</w:t>
      </w:r>
      <w:r w:rsidRPr="00DE3442" w:rsidR="005C37BC">
        <w:t xml:space="preserve"> from participating in </w:t>
      </w:r>
      <w:r w:rsidR="008C2926">
        <w:t xml:space="preserve">the </w:t>
      </w:r>
      <w:r w:rsidRPr="00DE3442" w:rsidR="005C37BC">
        <w:t>ACP</w:t>
      </w:r>
      <w:r w:rsidRPr="00DE3442" w:rsidR="00462FE3">
        <w:t>,</w:t>
      </w:r>
      <w:r w:rsidRPr="00DE3442" w:rsidR="00044512">
        <w:t xml:space="preserve"> in accordance</w:t>
      </w:r>
      <w:r w:rsidRPr="00DE3442" w:rsidR="00462FE3">
        <w:t xml:space="preserve"> with ACP removal rules in section 54.1801(e)(2)</w:t>
      </w:r>
      <w:r w:rsidR="005C5259">
        <w:t xml:space="preserve"> of the Commission’s ACP rules</w:t>
      </w:r>
      <w:r w:rsidRPr="00BD139A" w:rsidR="005C5259">
        <w:t>.</w:t>
      </w:r>
      <w:r>
        <w:rPr>
          <w:rStyle w:val="FootnoteReference"/>
        </w:rPr>
        <w:footnoteReference w:id="24"/>
      </w:r>
      <w:r w:rsidR="0092644B">
        <w:t xml:space="preserve">  </w:t>
      </w:r>
      <w:r w:rsidRPr="00DE3442">
        <w:t xml:space="preserve">Section 54.1801(e)(2)(ii) of the ACP rules permits removal of a participating provider </w:t>
      </w:r>
      <w:r w:rsidRPr="00DE3442">
        <w:rPr>
          <w:rStyle w:val="normaltextrun"/>
        </w:rPr>
        <w:t xml:space="preserve">from </w:t>
      </w:r>
      <w:r w:rsidR="008864BF">
        <w:rPr>
          <w:rStyle w:val="normaltextrun"/>
        </w:rPr>
        <w:t xml:space="preserve">the </w:t>
      </w:r>
      <w:r w:rsidRPr="00DE3442">
        <w:rPr>
          <w:rStyle w:val="normaltextrun"/>
        </w:rPr>
        <w:t>ACP for “[v]</w:t>
      </w:r>
      <w:r w:rsidRPr="00DE3442">
        <w:rPr>
          <w:rStyle w:val="spellingerror"/>
        </w:rPr>
        <w:t>iolations</w:t>
      </w:r>
      <w:r w:rsidRPr="00DE3442">
        <w:rPr>
          <w:rStyle w:val="normaltextrun"/>
        </w:rPr>
        <w:t xml:space="preserve"> of the rules or requirements of the Affordable Connectivity Program [or] the Emergency Broadband Benefit Program . . . [or for committing] [</w:t>
      </w:r>
      <w:r w:rsidRPr="00DE3442">
        <w:t>a]</w:t>
      </w:r>
      <w:r w:rsidRPr="00DE3442">
        <w:rPr>
          <w:shd w:val="clear" w:color="auto" w:fill="FFFFFF"/>
        </w:rPr>
        <w:t>ny</w:t>
      </w:r>
      <w:r w:rsidRPr="00DE3442">
        <w:rPr>
          <w:shd w:val="clear" w:color="auto" w:fill="FFFFFF"/>
        </w:rPr>
        <w:t xml:space="preserve"> action that indicates a lack of business integrity or business honesty that seriously and directly affects the provider's responsibilities under the Affordable Connectivity Program, that undermines the integrity of the Affordable Connectivity Program, or that harms or threatens to harm prospective or existing program participants, including without limitation fraudulent enrollments.”</w:t>
      </w:r>
      <w:r>
        <w:rPr>
          <w:rStyle w:val="FootnoteReference"/>
          <w:sz w:val="22"/>
          <w:shd w:val="clear" w:color="auto" w:fill="FFFFFF"/>
        </w:rPr>
        <w:footnoteReference w:id="25"/>
      </w:r>
      <w:r w:rsidRPr="00DE3442">
        <w:t xml:space="preserve"> </w:t>
      </w:r>
      <w:r w:rsidRPr="00DE3442" w:rsidR="000C56E7">
        <w:t xml:space="preserve"> </w:t>
      </w:r>
      <w:r w:rsidRPr="00DE3442" w:rsidR="001C5B40">
        <w:rPr>
          <w:rStyle w:val="normaltextrun"/>
        </w:rPr>
        <w:t>The</w:t>
      </w:r>
      <w:r w:rsidR="009932B7">
        <w:rPr>
          <w:rStyle w:val="normaltextrun"/>
        </w:rPr>
        <w:t xml:space="preserve"> </w:t>
      </w:r>
      <w:r w:rsidRPr="00DE3442" w:rsidR="001C5B40">
        <w:rPr>
          <w:rStyle w:val="normaltextrun"/>
        </w:rPr>
        <w:t>Bureau and/or the Wireline Competition Bureau may initiate a removal proceeding “[</w:t>
      </w:r>
      <w:r w:rsidRPr="00DE3442" w:rsidR="001C5B40">
        <w:rPr>
          <w:rStyle w:val="spellingerror"/>
        </w:rPr>
        <w:t>i</w:t>
      </w:r>
      <w:r w:rsidRPr="00DE3442" w:rsidR="001C5B40">
        <w:rPr>
          <w:rStyle w:val="normaltextrun"/>
        </w:rPr>
        <w:t>]f the Commission develops information from Commission-led or sponsored investigations . . . or from other credible sources that yields credible allegations of misconduct[.]”</w:t>
      </w:r>
      <w:r>
        <w:rPr>
          <w:rStyle w:val="FootnoteReference"/>
          <w:sz w:val="22"/>
        </w:rPr>
        <w:footnoteReference w:id="26"/>
      </w:r>
      <w:r w:rsidRPr="00DE3442" w:rsidR="001C5B40">
        <w:rPr>
          <w:rStyle w:val="normaltextrun"/>
        </w:rPr>
        <w:t xml:space="preserve"> </w:t>
      </w:r>
      <w:r w:rsidR="006D0B03">
        <w:rPr>
          <w:rStyle w:val="normaltextrun"/>
        </w:rPr>
        <w:t xml:space="preserve"> </w:t>
      </w:r>
      <w:r w:rsidRPr="00DE3442" w:rsidR="000F2E8D">
        <w:t>As described above, the</w:t>
      </w:r>
      <w:r w:rsidRPr="00DE3442" w:rsidR="000C56E7">
        <w:t xml:space="preserve"> Bureau’s investigation, as presented in the NAL, developed </w:t>
      </w:r>
      <w:r w:rsidRPr="00DE3442" w:rsidR="001C5B40">
        <w:t>allegations</w:t>
      </w:r>
      <w:r w:rsidRPr="00DE3442" w:rsidR="000C56E7">
        <w:t xml:space="preserve"> </w:t>
      </w:r>
      <w:r w:rsidRPr="00DE3442" w:rsidR="000F2E8D">
        <w:t>of</w:t>
      </w:r>
      <w:r w:rsidRPr="00DE3442" w:rsidR="000C56E7">
        <w:t xml:space="preserve"> </w:t>
      </w:r>
      <w:r w:rsidRPr="00DE3442" w:rsidR="000F2E8D">
        <w:t xml:space="preserve">violations of the Commission’s ACP rules and also </w:t>
      </w:r>
      <w:r w:rsidRPr="00DE3442" w:rsidR="002D1967">
        <w:t xml:space="preserve">conduct </w:t>
      </w:r>
      <w:r w:rsidRPr="00DE3442" w:rsidR="000F2E8D">
        <w:t xml:space="preserve">by </w:t>
      </w:r>
      <w:r w:rsidRPr="00DE3442" w:rsidR="00F66452">
        <w:t>City</w:t>
      </w:r>
      <w:r w:rsidRPr="00DE3442" w:rsidR="000F2E8D">
        <w:t xml:space="preserve"> indicating a lack of business integrity and honesty that</w:t>
      </w:r>
      <w:r w:rsidRPr="00DE3442" w:rsidR="0066650C">
        <w:t xml:space="preserve"> harms the program. </w:t>
      </w:r>
      <w:r w:rsidRPr="00DE3442" w:rsidR="000F2E8D">
        <w:t xml:space="preserve"> </w:t>
      </w:r>
      <w:r w:rsidRPr="00DE3442">
        <w:t xml:space="preserve">  </w:t>
      </w:r>
    </w:p>
    <w:p w:rsidR="00105158" w:rsidRPr="00DE3442" w:rsidP="00507EBE" w14:paraId="74F48C8C" w14:textId="3B9A00D0">
      <w:pPr>
        <w:pStyle w:val="ParaNum"/>
      </w:pPr>
      <w:r w:rsidRPr="00DE3442">
        <w:t>The</w:t>
      </w:r>
      <w:r w:rsidRPr="00DE3442" w:rsidR="007B5854">
        <w:t xml:space="preserve"> NAL provided </w:t>
      </w:r>
      <w:r w:rsidRPr="00DE3442" w:rsidR="00F66452">
        <w:t>City</w:t>
      </w:r>
      <w:r w:rsidRPr="00DE3442" w:rsidR="007B5854">
        <w:t xml:space="preserve"> with notice that the Commission </w:t>
      </w:r>
      <w:r w:rsidRPr="00DE3442" w:rsidR="000D2147">
        <w:t>was commencing</w:t>
      </w:r>
      <w:r w:rsidRPr="00DE3442" w:rsidR="007B5854">
        <w:t xml:space="preserve"> proceedings to remove </w:t>
      </w:r>
      <w:r w:rsidRPr="00DE3442" w:rsidR="00F66452">
        <w:t>City</w:t>
      </w:r>
      <w:r w:rsidRPr="00DE3442" w:rsidR="007B5854">
        <w:t xml:space="preserve"> from participating in </w:t>
      </w:r>
      <w:r w:rsidR="00E02E3A">
        <w:t xml:space="preserve">the </w:t>
      </w:r>
      <w:r w:rsidRPr="00DE3442" w:rsidR="007B5854">
        <w:t xml:space="preserve">ACP and ordered </w:t>
      </w:r>
      <w:r w:rsidRPr="00DE3442" w:rsidR="00F66452">
        <w:t>City</w:t>
      </w:r>
      <w:r w:rsidRPr="00DE3442" w:rsidR="007B5854">
        <w:t xml:space="preserve"> to respond within 30 days with any relevant evidence demonstrating that a rule violation or other conduct warranting removal had not in fact occurred, and that </w:t>
      </w:r>
      <w:r w:rsidRPr="00DE3442" w:rsidR="00F66452">
        <w:t>City</w:t>
      </w:r>
      <w:r w:rsidRPr="00DE3442" w:rsidR="007B5854">
        <w:t xml:space="preserve"> should not be removed from the program.</w:t>
      </w:r>
      <w:r>
        <w:rPr>
          <w:rStyle w:val="FootnoteReference"/>
          <w:sz w:val="22"/>
        </w:rPr>
        <w:footnoteReference w:id="27"/>
      </w:r>
      <w:r w:rsidRPr="00DE3442" w:rsidR="007B5854">
        <w:t xml:space="preserve"> </w:t>
      </w:r>
      <w:r w:rsidRPr="00DE3442" w:rsidR="006F0C01">
        <w:t xml:space="preserve"> </w:t>
      </w:r>
      <w:r w:rsidRPr="00DE3442" w:rsidR="007B5854">
        <w:t xml:space="preserve">The NAL also served as notice to </w:t>
      </w:r>
      <w:r w:rsidRPr="00DE3442" w:rsidR="00F66452">
        <w:t>City</w:t>
      </w:r>
      <w:r w:rsidRPr="00DE3442" w:rsidR="007B5854">
        <w:t xml:space="preserve"> that, as provided in section 54.1801(e)(2)(iii)(B) of the Commission’s rules,</w:t>
      </w:r>
      <w:r>
        <w:rPr>
          <w:rStyle w:val="FootnoteReference"/>
        </w:rPr>
        <w:footnoteReference w:id="28"/>
      </w:r>
      <w:r w:rsidRPr="00DE3442" w:rsidR="007B5854">
        <w:t xml:space="preserve"> the Bureau and/or Wireline Competition Bureau would take interim measures authorized under the ACP rules</w:t>
      </w:r>
      <w:r w:rsidRPr="00DE3442" w:rsidR="00B23B4B">
        <w:t xml:space="preserve"> pending the outcome of the removal process</w:t>
      </w:r>
      <w:r w:rsidRPr="00DE3442" w:rsidR="007B5854">
        <w:t>.</w:t>
      </w:r>
      <w:r>
        <w:rPr>
          <w:rStyle w:val="FootnoteReference"/>
          <w:sz w:val="22"/>
        </w:rPr>
        <w:footnoteReference w:id="29"/>
      </w:r>
      <w:r w:rsidRPr="00DE3442" w:rsidR="00FF0BE0">
        <w:t xml:space="preserve">  </w:t>
      </w:r>
    </w:p>
    <w:p w:rsidR="00FF6DA6" w:rsidRPr="00DE3442" w:rsidP="00FF6DA6" w14:paraId="47F77F91" w14:textId="7A3FB66F">
      <w:pPr>
        <w:pStyle w:val="ParaNum"/>
      </w:pPr>
      <w:r w:rsidRPr="00DE3442">
        <w:t>On February 20, 2024</w:t>
      </w:r>
      <w:r w:rsidRPr="00DE3442" w:rsidR="00EB4827">
        <w:t>, t</w:t>
      </w:r>
      <w:r w:rsidRPr="00DE3442">
        <w:t xml:space="preserve">he Commission </w:t>
      </w:r>
      <w:r w:rsidRPr="00DE3442" w:rsidR="00872A7F">
        <w:t>directed</w:t>
      </w:r>
      <w:r w:rsidRPr="00DE3442">
        <w:t xml:space="preserve"> </w:t>
      </w:r>
      <w:r w:rsidR="00DB06D4">
        <w:t>USAC</w:t>
      </w:r>
      <w:r w:rsidRPr="00DE3442" w:rsidR="00872A7F">
        <w:t xml:space="preserve"> </w:t>
      </w:r>
      <w:r w:rsidRPr="00DE3442">
        <w:t xml:space="preserve">to place </w:t>
      </w:r>
      <w:r w:rsidRPr="00DE3442" w:rsidR="00872A7F">
        <w:t xml:space="preserve">an interim hold on any ACP disbursements to </w:t>
      </w:r>
      <w:r w:rsidRPr="00DE3442" w:rsidR="00F66452">
        <w:t>City</w:t>
      </w:r>
      <w:r w:rsidRPr="00DE3442" w:rsidR="00872A7F">
        <w:t xml:space="preserve"> pending the </w:t>
      </w:r>
      <w:r w:rsidRPr="00DE3442" w:rsidR="001616D9">
        <w:t>removal</w:t>
      </w:r>
      <w:r w:rsidRPr="00DE3442" w:rsidR="00872A7F">
        <w:t xml:space="preserve"> proceedings.</w:t>
      </w:r>
      <w:r>
        <w:rPr>
          <w:rStyle w:val="FootnoteReference"/>
          <w:sz w:val="22"/>
        </w:rPr>
        <w:footnoteReference w:id="30"/>
      </w:r>
      <w:r w:rsidRPr="00DE3442" w:rsidR="00872A7F">
        <w:t xml:space="preserve">  </w:t>
      </w:r>
      <w:r w:rsidRPr="00DE3442" w:rsidR="00B23B4B">
        <w:t>USAC sent a</w:t>
      </w:r>
      <w:r w:rsidRPr="00DE3442" w:rsidR="001616D9">
        <w:t xml:space="preserve"> </w:t>
      </w:r>
      <w:r w:rsidRPr="00DE3442" w:rsidR="007937E1">
        <w:t>D</w:t>
      </w:r>
      <w:r w:rsidRPr="00DE3442" w:rsidR="001616D9">
        <w:t xml:space="preserve">elay of </w:t>
      </w:r>
      <w:r w:rsidRPr="00DE3442" w:rsidR="007937E1">
        <w:t>D</w:t>
      </w:r>
      <w:r w:rsidRPr="00DE3442" w:rsidR="001616D9">
        <w:t xml:space="preserve">isbursement </w:t>
      </w:r>
      <w:r w:rsidRPr="00DE3442" w:rsidR="007937E1">
        <w:t>N</w:t>
      </w:r>
      <w:r w:rsidRPr="00DE3442" w:rsidR="001616D9">
        <w:t xml:space="preserve">otification </w:t>
      </w:r>
      <w:r w:rsidRPr="00DE3442" w:rsidR="00B23B4B">
        <w:t>to</w:t>
      </w:r>
      <w:r w:rsidRPr="00DE3442" w:rsidR="001616D9">
        <w:t xml:space="preserve"> </w:t>
      </w:r>
      <w:r w:rsidRPr="00DE3442" w:rsidR="00F66452">
        <w:t>City</w:t>
      </w:r>
      <w:r w:rsidRPr="00DE3442" w:rsidR="007937E1">
        <w:t xml:space="preserve"> </w:t>
      </w:r>
      <w:r w:rsidRPr="00DE3442" w:rsidR="001616D9">
        <w:t>on February 28, 2024.</w:t>
      </w:r>
      <w:r>
        <w:rPr>
          <w:rStyle w:val="FootnoteReference"/>
          <w:sz w:val="22"/>
        </w:rPr>
        <w:footnoteReference w:id="31"/>
      </w:r>
      <w:r w:rsidRPr="00DE3442" w:rsidR="00940DD1">
        <w:t xml:space="preserve">  </w:t>
      </w:r>
    </w:p>
    <w:p w:rsidR="00FD1A87" w:rsidRPr="00DE3442" w:rsidP="00FD1A87" w14:paraId="6234E43F" w14:textId="1CD85BDB">
      <w:pPr>
        <w:pStyle w:val="ParaNum"/>
      </w:pPr>
      <w:r w:rsidRPr="00DE3442">
        <w:t>City</w:t>
      </w:r>
      <w:r w:rsidRPr="00DE3442" w:rsidR="00BB493A">
        <w:t xml:space="preserve"> </w:t>
      </w:r>
      <w:r w:rsidRPr="00DE3442" w:rsidR="00AA600A">
        <w:t xml:space="preserve">requested and received a 45-day extension and timely </w:t>
      </w:r>
      <w:r w:rsidRPr="00DE3442" w:rsidR="00BB493A">
        <w:t xml:space="preserve">responded to </w:t>
      </w:r>
      <w:r w:rsidRPr="00DE3442">
        <w:t xml:space="preserve">the NAL </w:t>
      </w:r>
      <w:r w:rsidRPr="00DE3442" w:rsidR="00AA600A">
        <w:t xml:space="preserve">and </w:t>
      </w:r>
      <w:r w:rsidRPr="00DE3442" w:rsidR="00B23B4B">
        <w:t>Order Initiating Removal Proceeding</w:t>
      </w:r>
      <w:r w:rsidRPr="00DE3442" w:rsidR="00AA600A">
        <w:t xml:space="preserve"> </w:t>
      </w:r>
      <w:r w:rsidRPr="00DE3442" w:rsidR="00A64D94">
        <w:t xml:space="preserve">on </w:t>
      </w:r>
      <w:r w:rsidRPr="00DE3442">
        <w:t>April 11, 2024</w:t>
      </w:r>
      <w:r w:rsidRPr="00DE3442" w:rsidR="00A64D94">
        <w:t>.</w:t>
      </w:r>
      <w:r>
        <w:rPr>
          <w:rStyle w:val="FootnoteReference"/>
          <w:sz w:val="22"/>
        </w:rPr>
        <w:footnoteReference w:id="32"/>
      </w:r>
      <w:r w:rsidRPr="00DE3442" w:rsidR="00D53E13">
        <w:t xml:space="preserve">  </w:t>
      </w:r>
      <w:r w:rsidRPr="00DE3442">
        <w:t>City</w:t>
      </w:r>
      <w:r w:rsidRPr="00DE3442" w:rsidR="00B23B4B">
        <w:t xml:space="preserve"> </w:t>
      </w:r>
      <w:r w:rsidRPr="00DE3442">
        <w:t>argue</w:t>
      </w:r>
      <w:r w:rsidRPr="00DE3442" w:rsidR="00AA600A">
        <w:t>s the following in its response</w:t>
      </w:r>
      <w:r w:rsidRPr="00DE3442" w:rsidR="00D75627">
        <w:t xml:space="preserve"> to the NAL and </w:t>
      </w:r>
      <w:r w:rsidRPr="00DE3442" w:rsidR="0078038C">
        <w:t xml:space="preserve">Order Initiating </w:t>
      </w:r>
      <w:r w:rsidRPr="00DE3442" w:rsidR="00D75627">
        <w:t>Removal</w:t>
      </w:r>
      <w:r w:rsidRPr="00DE3442" w:rsidR="0078038C">
        <w:t xml:space="preserve"> Proceeding</w:t>
      </w:r>
      <w:r w:rsidRPr="00DE3442" w:rsidR="00AA600A">
        <w:t xml:space="preserve">: (1) </w:t>
      </w:r>
      <w:r w:rsidRPr="00DE3442" w:rsidR="005C369E">
        <w:t xml:space="preserve">that the improper enrollments were conducted by </w:t>
      </w:r>
      <w:r w:rsidRPr="00DE3442" w:rsidR="005C369E">
        <w:t xml:space="preserve">agents without any knowledge by </w:t>
      </w:r>
      <w:r w:rsidRPr="00DE3442">
        <w:t>City</w:t>
      </w:r>
      <w:r w:rsidRPr="00DE3442" w:rsidR="005C369E">
        <w:t xml:space="preserve">; (2) </w:t>
      </w:r>
      <w:r w:rsidRPr="00DE3442" w:rsidR="00AA600A">
        <w:t xml:space="preserve">that </w:t>
      </w:r>
      <w:r w:rsidRPr="00DE3442" w:rsidR="00B23B4B">
        <w:t xml:space="preserve">because </w:t>
      </w:r>
      <w:r w:rsidRPr="00DE3442">
        <w:t>City</w:t>
      </w:r>
      <w:r w:rsidRPr="00DE3442" w:rsidR="00B23B4B">
        <w:t xml:space="preserve"> relied on the National Verifier for its ACP enrollments, it is shielded from liability under the ACP “safe harbor” provision;</w:t>
      </w:r>
      <w:r>
        <w:rPr>
          <w:rStyle w:val="FootnoteReference"/>
          <w:sz w:val="22"/>
        </w:rPr>
        <w:footnoteReference w:id="33"/>
      </w:r>
      <w:r w:rsidRPr="00DE3442" w:rsidR="00B23B4B">
        <w:t xml:space="preserve"> </w:t>
      </w:r>
      <w:r w:rsidRPr="00DE3442" w:rsidR="009A3CD0">
        <w:t>and</w:t>
      </w:r>
      <w:r w:rsidRPr="00DE3442" w:rsidR="00AA600A">
        <w:t xml:space="preserve"> (3) that</w:t>
      </w:r>
      <w:r w:rsidRPr="00DE3442">
        <w:t xml:space="preserve"> the Commission’s </w:t>
      </w:r>
      <w:r w:rsidRPr="00DE3442" w:rsidR="00AA600A">
        <w:t xml:space="preserve">proposed </w:t>
      </w:r>
      <w:r w:rsidRPr="00DE3442">
        <w:t xml:space="preserve">forfeiture was unlawful </w:t>
      </w:r>
      <w:r w:rsidRPr="00DE3442" w:rsidR="00C56BF3">
        <w:t xml:space="preserve">and </w:t>
      </w:r>
      <w:r w:rsidRPr="00DE3442">
        <w:t>incorrect</w:t>
      </w:r>
      <w:r w:rsidRPr="00DE3442" w:rsidR="00AA600A">
        <w:t>ly calculated</w:t>
      </w:r>
      <w:r w:rsidRPr="00DE3442">
        <w:t>.</w:t>
      </w:r>
      <w:r>
        <w:rPr>
          <w:rStyle w:val="FootnoteReference"/>
          <w:sz w:val="22"/>
        </w:rPr>
        <w:footnoteReference w:id="34"/>
      </w:r>
    </w:p>
    <w:p w:rsidR="00E273E3" w:rsidRPr="00DE3442" w:rsidP="004024B5" w14:paraId="324FFDB5" w14:textId="3A99CFEB">
      <w:pPr>
        <w:pStyle w:val="Heading1"/>
        <w:rPr>
          <w:rFonts w:ascii="Times New Roman" w:hAnsi="Times New Roman"/>
        </w:rPr>
      </w:pPr>
      <w:r w:rsidRPr="00DE3442">
        <w:rPr>
          <w:rFonts w:ascii="Times New Roman" w:hAnsi="Times New Roman"/>
        </w:rPr>
        <w:t>NOTIFICATION AND ORDER</w:t>
      </w:r>
    </w:p>
    <w:p w:rsidR="00105158" w:rsidRPr="00DE3442" w:rsidP="00507EBE" w14:paraId="6C628E64" w14:textId="24D0864A">
      <w:pPr>
        <w:pStyle w:val="ParaNum"/>
        <w:rPr>
          <w:rStyle w:val="normaltextrun"/>
        </w:rPr>
      </w:pPr>
      <w:bookmarkStart w:id="6" w:name="_Hlk154561709"/>
      <w:r w:rsidRPr="00DE3442">
        <w:rPr>
          <w:rStyle w:val="normaltextrun"/>
        </w:rPr>
        <w:t xml:space="preserve">After fully considering </w:t>
      </w:r>
      <w:r w:rsidRPr="00DE3442" w:rsidR="00F66452">
        <w:rPr>
          <w:rStyle w:val="normaltextrun"/>
        </w:rPr>
        <w:t>City</w:t>
      </w:r>
      <w:r w:rsidRPr="00DE3442">
        <w:rPr>
          <w:rStyle w:val="normaltextrun"/>
        </w:rPr>
        <w:t xml:space="preserve">’s response to the NAL and Order Initiating Removal Proceeding, we find that </w:t>
      </w:r>
      <w:r w:rsidRPr="00DE3442" w:rsidR="00F66452">
        <w:rPr>
          <w:rStyle w:val="normaltextrun"/>
        </w:rPr>
        <w:t>City</w:t>
      </w:r>
      <w:r w:rsidRPr="00DE3442">
        <w:rPr>
          <w:rStyle w:val="normaltextrun"/>
        </w:rPr>
        <w:t xml:space="preserve"> has not provided relevant evidence</w:t>
      </w:r>
      <w:r>
        <w:rPr>
          <w:rStyle w:val="FootnoteReference"/>
          <w:sz w:val="22"/>
        </w:rPr>
        <w:footnoteReference w:id="35"/>
      </w:r>
      <w:r w:rsidRPr="00DE3442">
        <w:rPr>
          <w:rStyle w:val="normaltextrun"/>
        </w:rPr>
        <w:t xml:space="preserve"> demonstrating that a rule violation or other conduct warranting removal has not occurred.  </w:t>
      </w:r>
    </w:p>
    <w:bookmarkEnd w:id="6"/>
    <w:p w:rsidR="00741564" w:rsidRPr="00DE3442" w:rsidP="001D3328" w14:paraId="6677C709" w14:textId="18DCA302">
      <w:pPr>
        <w:pStyle w:val="ParaNum"/>
        <w:rPr>
          <w:kern w:val="0"/>
        </w:rPr>
      </w:pPr>
      <w:r w:rsidRPr="00DE3442">
        <w:t>City</w:t>
      </w:r>
      <w:r w:rsidRPr="00DE3442" w:rsidR="001D3328">
        <w:t xml:space="preserve"> does not refute the</w:t>
      </w:r>
      <w:r w:rsidRPr="00DE3442" w:rsidR="007A7EBB">
        <w:t xml:space="preserve"> Commission’s</w:t>
      </w:r>
      <w:r w:rsidRPr="00DE3442" w:rsidR="001D3328">
        <w:t xml:space="preserve"> </w:t>
      </w:r>
      <w:r w:rsidR="004E1B42">
        <w:t>evidence</w:t>
      </w:r>
      <w:r w:rsidRPr="00DE3442" w:rsidR="001D3328">
        <w:t xml:space="preserve"> </w:t>
      </w:r>
      <w:r w:rsidRPr="00DE3442" w:rsidR="007A7EBB">
        <w:t xml:space="preserve">that it </w:t>
      </w:r>
      <w:r w:rsidRPr="00DE3442" w:rsidR="00CB61D9">
        <w:t xml:space="preserve">improperly enrolled subscribers with duplicate BQP information and/or false address information. </w:t>
      </w:r>
      <w:r w:rsidRPr="00DE3442" w:rsidR="003A5D94">
        <w:t xml:space="preserve"> </w:t>
      </w:r>
      <w:r w:rsidRPr="00DE3442" w:rsidR="00CB61D9">
        <w:t>In</w:t>
      </w:r>
      <w:r w:rsidRPr="00DE3442" w:rsidR="00C156F3">
        <w:t>stead</w:t>
      </w:r>
      <w:r w:rsidRPr="00DE3442" w:rsidR="00CB61D9">
        <w:t xml:space="preserve">, </w:t>
      </w:r>
      <w:r w:rsidRPr="00DE3442">
        <w:t>City</w:t>
      </w:r>
      <w:r w:rsidRPr="00DE3442" w:rsidR="00CB61D9">
        <w:t xml:space="preserve"> admits that </w:t>
      </w:r>
      <w:r w:rsidRPr="00DE3442" w:rsidR="00C156F3">
        <w:t xml:space="preserve">agents </w:t>
      </w:r>
      <w:r w:rsidRPr="00DE3442" w:rsidR="00017B72">
        <w:t>and sub-</w:t>
      </w:r>
      <w:r w:rsidRPr="00DE3442" w:rsidR="00A86F7F">
        <w:t>agents</w:t>
      </w:r>
      <w:r w:rsidRPr="00DE3442" w:rsidR="00017B72">
        <w:t xml:space="preserve"> </w:t>
      </w:r>
      <w:r w:rsidRPr="00DE3442" w:rsidR="00C156F3">
        <w:t xml:space="preserve">it contracted to enroll subscribers in </w:t>
      </w:r>
      <w:r w:rsidR="00E04F9F">
        <w:t xml:space="preserve">the </w:t>
      </w:r>
      <w:r w:rsidRPr="00DE3442" w:rsidR="00C156F3">
        <w:t xml:space="preserve">ACP on its behalf did in fact repeatedly </w:t>
      </w:r>
      <w:r w:rsidR="004E1B42">
        <w:t>enroll</w:t>
      </w:r>
      <w:r w:rsidRPr="00DE3442" w:rsidR="00C156F3">
        <w:t xml:space="preserve"> multiple customers using a single BQP</w:t>
      </w:r>
      <w:r w:rsidR="00CF6F5C">
        <w:t>,</w:t>
      </w:r>
      <w:r>
        <w:rPr>
          <w:rStyle w:val="FootnoteReference"/>
          <w:sz w:val="22"/>
        </w:rPr>
        <w:footnoteReference w:id="36"/>
      </w:r>
      <w:r w:rsidRPr="00DE3442" w:rsidR="003A5D94">
        <w:t xml:space="preserve"> and that </w:t>
      </w:r>
      <w:r w:rsidRPr="00DE3442">
        <w:t>City</w:t>
      </w:r>
      <w:r w:rsidRPr="00DE3442" w:rsidR="003A5D94">
        <w:t xml:space="preserve"> subsequently sought ACP funding for those subscribers.</w:t>
      </w:r>
      <w:r>
        <w:rPr>
          <w:rStyle w:val="FootnoteReference"/>
          <w:sz w:val="22"/>
        </w:rPr>
        <w:footnoteReference w:id="37"/>
      </w:r>
      <w:r w:rsidRPr="00DE3442" w:rsidR="00C156F3">
        <w:t xml:space="preserve">  </w:t>
      </w:r>
      <w:r w:rsidRPr="00DE3442">
        <w:rPr>
          <w:rStyle w:val="normaltextrun"/>
        </w:rPr>
        <w:t>City</w:t>
      </w:r>
      <w:r w:rsidRPr="00DE3442" w:rsidR="007F40CD">
        <w:rPr>
          <w:rStyle w:val="normaltextrun"/>
        </w:rPr>
        <w:t xml:space="preserve"> attempts to </w:t>
      </w:r>
      <w:r w:rsidRPr="00DE3442" w:rsidR="00397656">
        <w:rPr>
          <w:rStyle w:val="normaltextrun"/>
        </w:rPr>
        <w:t xml:space="preserve">disclaim liability based on its agents’ conduct, but </w:t>
      </w:r>
      <w:r w:rsidRPr="00DE3442" w:rsidR="00397656">
        <w:t xml:space="preserve">the Commission has consistently </w:t>
      </w:r>
      <w:r w:rsidRPr="004E1B42" w:rsidR="004E1B42">
        <w:t xml:space="preserve">held regulated parties responsible for violations of the Commission’s rules committed by agents and </w:t>
      </w:r>
      <w:r w:rsidRPr="00DE3442" w:rsidR="00397656">
        <w:t>found that “[l]</w:t>
      </w:r>
      <w:r w:rsidRPr="00DE3442" w:rsidR="00397656">
        <w:t>icensees</w:t>
      </w:r>
      <w:r w:rsidRPr="00DE3442" w:rsidR="00397656">
        <w:t xml:space="preserve"> and other Commission </w:t>
      </w:r>
      <w:r w:rsidRPr="00DE3442" w:rsidR="00397656">
        <w:t>regulatees</w:t>
      </w:r>
      <w:r w:rsidRPr="00DE3442" w:rsidR="00397656">
        <w:t xml:space="preserve"> are responsible for the acts and omissions of their employees and independent contractors</w:t>
      </w:r>
      <w:r w:rsidR="00E04F9F">
        <w:t>.</w:t>
      </w:r>
      <w:r w:rsidRPr="00DE3442" w:rsidR="00397656">
        <w:t>”</w:t>
      </w:r>
      <w:r>
        <w:rPr>
          <w:rStyle w:val="FootnoteReference"/>
          <w:sz w:val="22"/>
        </w:rPr>
        <w:footnoteReference w:id="38"/>
      </w:r>
      <w:r w:rsidRPr="00DE3442" w:rsidR="00397656">
        <w:t xml:space="preserve"> </w:t>
      </w:r>
      <w:r w:rsidRPr="00DE3442" w:rsidR="00397656">
        <w:rPr>
          <w:rStyle w:val="normaltextrun"/>
        </w:rPr>
        <w:t xml:space="preserve"> </w:t>
      </w:r>
      <w:r w:rsidRPr="00DE3442" w:rsidR="00017B72">
        <w:rPr>
          <w:rStyle w:val="normaltextrun"/>
        </w:rPr>
        <w:t xml:space="preserve">In addition, </w:t>
      </w:r>
      <w:r w:rsidRPr="00DE3442">
        <w:rPr>
          <w:rStyle w:val="normaltextrun"/>
        </w:rPr>
        <w:t xml:space="preserve">ACP rules make clear that </w:t>
      </w:r>
      <w:r w:rsidRPr="00DE3442">
        <w:rPr>
          <w:rStyle w:val="normaltextrun"/>
        </w:rPr>
        <w:t>City</w:t>
      </w:r>
      <w:r w:rsidRPr="00DE3442">
        <w:rPr>
          <w:rStyle w:val="normaltextrun"/>
        </w:rPr>
        <w:t xml:space="preserve"> is responsible for the conduct of its agents and sub-agents.  </w:t>
      </w:r>
      <w:r w:rsidRPr="00DE3442" w:rsidR="017A58D7">
        <w:rPr>
          <w:rStyle w:val="normaltextrun"/>
        </w:rPr>
        <w:t xml:space="preserve">Section 54.1801(f)(3)(ii) </w:t>
      </w:r>
      <w:r w:rsidR="00913A2D">
        <w:rPr>
          <w:rStyle w:val="normaltextrun"/>
        </w:rPr>
        <w:t xml:space="preserve">of the Commission’s rules </w:t>
      </w:r>
      <w:r w:rsidRPr="00DE3442" w:rsidR="017A58D7">
        <w:rPr>
          <w:rStyle w:val="normaltextrun"/>
        </w:rPr>
        <w:t>states that</w:t>
      </w:r>
      <w:r w:rsidRPr="00DE3442" w:rsidR="040F235D">
        <w:rPr>
          <w:rStyle w:val="normaltextrun"/>
        </w:rPr>
        <w:t xml:space="preserve"> </w:t>
      </w:r>
      <w:r w:rsidRPr="00DE3442" w:rsidR="34F36C9C">
        <w:rPr>
          <w:rStyle w:val="normaltextrun"/>
        </w:rPr>
        <w:t xml:space="preserve">a participating provider “is liable for violations of the Affordable Connectivity Program rules and </w:t>
      </w:r>
      <w:r w:rsidRPr="00DE3442" w:rsidR="00A869F6">
        <w:rPr>
          <w:rStyle w:val="normaltextrun"/>
        </w:rPr>
        <w:t xml:space="preserve">that </w:t>
      </w:r>
      <w:r w:rsidRPr="00DE3442" w:rsidR="34F36C9C">
        <w:rPr>
          <w:rStyle w:val="normaltextrun"/>
        </w:rPr>
        <w:t xml:space="preserve">its liability </w:t>
      </w:r>
      <w:r w:rsidRPr="00DE3442" w:rsidR="78AA5D30">
        <w:rPr>
          <w:rStyle w:val="normaltextrun"/>
        </w:rPr>
        <w:t>extends to violations by its agents, contractors, and representatives</w:t>
      </w:r>
      <w:r w:rsidRPr="00DE3442" w:rsidR="00A869F6">
        <w:rPr>
          <w:rStyle w:val="normaltextrun"/>
        </w:rPr>
        <w:t>[</w:t>
      </w:r>
      <w:r w:rsidRPr="00DE3442" w:rsidR="78AA5D30">
        <w:rPr>
          <w:rStyle w:val="normaltextrun"/>
        </w:rPr>
        <w:t>.</w:t>
      </w:r>
      <w:r w:rsidRPr="00DE3442" w:rsidR="00A869F6">
        <w:rPr>
          <w:rStyle w:val="normaltextrun"/>
        </w:rPr>
        <w:t>]</w:t>
      </w:r>
      <w:r w:rsidRPr="00DE3442" w:rsidR="05F0C665">
        <w:rPr>
          <w:rStyle w:val="normaltextrun"/>
        </w:rPr>
        <w:t>”</w:t>
      </w:r>
      <w:r>
        <w:rPr>
          <w:rStyle w:val="FootnoteReference"/>
          <w:sz w:val="22"/>
        </w:rPr>
        <w:footnoteReference w:id="39"/>
      </w:r>
      <w:r w:rsidRPr="00DE3442" w:rsidR="00A869F6">
        <w:rPr>
          <w:rStyle w:val="normaltextrun"/>
        </w:rPr>
        <w:t xml:space="preserve"> </w:t>
      </w:r>
      <w:r w:rsidRPr="00DE3442" w:rsidR="017A58D7">
        <w:rPr>
          <w:rStyle w:val="normaltextrun"/>
        </w:rPr>
        <w:t xml:space="preserve"> </w:t>
      </w:r>
      <w:r w:rsidRPr="00DE3442" w:rsidR="623FEDAF">
        <w:rPr>
          <w:rStyle w:val="normaltextrun"/>
        </w:rPr>
        <w:t>Further, s</w:t>
      </w:r>
      <w:r w:rsidRPr="00DE3442">
        <w:rPr>
          <w:rStyle w:val="normaltextrun"/>
        </w:rPr>
        <w:t xml:space="preserve">ection </w:t>
      </w:r>
      <w:r w:rsidRPr="00DE3442">
        <w:t xml:space="preserve">54.1801(f)(3)(iii) states </w:t>
      </w:r>
      <w:r w:rsidR="004E1B42">
        <w:t xml:space="preserve">that </w:t>
      </w:r>
      <w:r w:rsidRPr="00DE3442">
        <w:t>“[f]</w:t>
      </w:r>
      <w:r w:rsidRPr="00DE3442">
        <w:t>ailure</w:t>
      </w:r>
      <w:r w:rsidRPr="00DE3442">
        <w:t xml:space="preserve"> to be in compliance and remain in compliance with the Affordable Connectivity Program rules and orders, or for its agents, contractors, or representatives to fail to be in compliance, may result in the denial of funding, cancellation of funding commitments, and the recoupment of past disbursements[.]”</w:t>
      </w:r>
      <w:r>
        <w:rPr>
          <w:rStyle w:val="FootnoteReference"/>
          <w:sz w:val="22"/>
        </w:rPr>
        <w:footnoteReference w:id="40"/>
      </w:r>
      <w:r w:rsidRPr="00DE3442">
        <w:t xml:space="preserve">  </w:t>
      </w:r>
    </w:p>
    <w:p w:rsidR="00AE1557" w:rsidRPr="00DE3442" w:rsidP="001D3328" w14:paraId="59DEE615" w14:textId="24E34BDD">
      <w:pPr>
        <w:pStyle w:val="ParaNum"/>
        <w:rPr>
          <w:kern w:val="0"/>
        </w:rPr>
      </w:pPr>
      <w:r w:rsidRPr="00DE3442">
        <w:t>City</w:t>
      </w:r>
      <w:r w:rsidRPr="00DE3442">
        <w:t xml:space="preserve"> </w:t>
      </w:r>
      <w:r w:rsidRPr="00DE3442" w:rsidR="00A72811">
        <w:t xml:space="preserve">also </w:t>
      </w:r>
      <w:r w:rsidRPr="00DE3442">
        <w:t>argues against removal by invoking the safe harbor provision of the Consolidated Appropriations Act</w:t>
      </w:r>
      <w:r w:rsidR="00083793">
        <w:t>,</w:t>
      </w:r>
      <w:r w:rsidRPr="00DE3442">
        <w:t xml:space="preserve"> 202</w:t>
      </w:r>
      <w:r w:rsidRPr="00DE3442" w:rsidR="00AC4427">
        <w:t>1</w:t>
      </w:r>
      <w:r w:rsidR="00083793">
        <w:t>;</w:t>
      </w:r>
      <w:r>
        <w:rPr>
          <w:rStyle w:val="FootnoteReference"/>
          <w:sz w:val="22"/>
        </w:rPr>
        <w:footnoteReference w:id="41"/>
      </w:r>
      <w:r w:rsidR="004E1B42">
        <w:t xml:space="preserve"> however,</w:t>
      </w:r>
      <w:r w:rsidRPr="00DE3442">
        <w:t xml:space="preserve"> that narrow provision is inapplicable here.  The Infrastructure Investment and Jobs Act </w:t>
      </w:r>
      <w:r w:rsidR="007E73BE">
        <w:t xml:space="preserve">of 2021 </w:t>
      </w:r>
      <w:r w:rsidRPr="00DE3442">
        <w:t>(Infrastructure Act),</w:t>
      </w:r>
      <w:r w:rsidRPr="00DE3442" w:rsidR="00583F7F">
        <w:t xml:space="preserve"> </w:t>
      </w:r>
      <w:r w:rsidRPr="00DE3442">
        <w:t xml:space="preserve">under which ACP was established, left unchanged the safe harbor provision in the Consolidated Appropriations Act stating that the Commission may not enforce a violation of the Act </w:t>
      </w:r>
      <w:r w:rsidRPr="009B40D5">
        <w:rPr>
          <w:i/>
          <w:iCs/>
        </w:rPr>
        <w:t>using sections 501, 502, or 503 of the Communications Act</w:t>
      </w:r>
      <w:r w:rsidR="004E1B42">
        <w:t xml:space="preserve">, </w:t>
      </w:r>
      <w:r w:rsidRPr="00DE3442">
        <w:t xml:space="preserve">or any rules promulgated under those sections, if a participating provider can demonstrate good faith reliance on information it obtains to make any verification required by </w:t>
      </w:r>
      <w:r w:rsidR="007F3C4C">
        <w:t>s</w:t>
      </w:r>
      <w:r w:rsidRPr="00DE3442">
        <w:t>ection 904(b)(2) of the Consolidated Appropriations Act.</w:t>
      </w:r>
      <w:r>
        <w:rPr>
          <w:rStyle w:val="FootnoteReference"/>
          <w:sz w:val="22"/>
        </w:rPr>
        <w:footnoteReference w:id="42"/>
      </w:r>
      <w:r w:rsidRPr="00DE3442">
        <w:t xml:space="preserve">  Significantly, this safe harbor is limited </w:t>
      </w:r>
      <w:r w:rsidRPr="00DE3442">
        <w:rPr>
          <w:i/>
          <w:iCs/>
        </w:rPr>
        <w:t>exclusively</w:t>
      </w:r>
      <w:r w:rsidRPr="00DE3442">
        <w:t xml:space="preserve"> to enforcement actions under sections 501, 502, or 503 of the Communications Act</w:t>
      </w:r>
      <w:r w:rsidR="00D74AF7">
        <w:t>, as amended</w:t>
      </w:r>
      <w:r w:rsidRPr="00DE3442">
        <w:t>.</w:t>
      </w:r>
      <w:r>
        <w:rPr>
          <w:rStyle w:val="FootnoteReference"/>
        </w:rPr>
        <w:footnoteReference w:id="43"/>
      </w:r>
      <w:r w:rsidRPr="00DE3442">
        <w:t xml:space="preserve">  But the removal provisions that the Commission invoked in its Order Initiating Removal Proceeding are independent of sections 501 through 503 of the Communications Act. </w:t>
      </w:r>
      <w:r w:rsidRPr="00DE3442" w:rsidR="00583F7F">
        <w:t xml:space="preserve"> </w:t>
      </w:r>
      <w:r w:rsidRPr="00DE3442">
        <w:t>The authority for the ACP involuntary removal provisions under section 1801(e) of the Commission’s rules</w:t>
      </w:r>
      <w:r>
        <w:rPr>
          <w:rStyle w:val="FootnoteReference"/>
          <w:sz w:val="22"/>
        </w:rPr>
        <w:footnoteReference w:id="44"/>
      </w:r>
      <w:r w:rsidRPr="00DE3442">
        <w:t xml:space="preserve"> is the Infrastructure Act that authorized the Affordable Connectivity Program and </w:t>
      </w:r>
      <w:r w:rsidRPr="00846D2D">
        <w:t>not</w:t>
      </w:r>
      <w:r w:rsidRPr="00DE3442">
        <w:t xml:space="preserve"> sections 501, 502 or 503 of the Communications Act.</w:t>
      </w:r>
      <w:r>
        <w:rPr>
          <w:rStyle w:val="FootnoteReference"/>
        </w:rPr>
        <w:footnoteReference w:id="45"/>
      </w:r>
      <w:r w:rsidRPr="00DE3442">
        <w:t xml:space="preserve">  Therefore, the safe harbor provisions on which </w:t>
      </w:r>
      <w:r w:rsidRPr="00DE3442">
        <w:t>City</w:t>
      </w:r>
      <w:r w:rsidRPr="00DE3442">
        <w:t xml:space="preserve"> seeks to rely are not triggered in this proceeding in which the Commission seeks to remove </w:t>
      </w:r>
      <w:r w:rsidRPr="00DE3442">
        <w:t>City</w:t>
      </w:r>
      <w:r w:rsidRPr="00DE3442">
        <w:t xml:space="preserve"> under the ACP rules.  While such safe harbor provisions may be applicable to </w:t>
      </w:r>
      <w:r w:rsidRPr="00DE3442">
        <w:t>City</w:t>
      </w:r>
      <w:r w:rsidRPr="00DE3442">
        <w:t xml:space="preserve">’s defense of the forfeiture proposed in the Commission’s </w:t>
      </w:r>
      <w:r w:rsidRPr="00DE3442" w:rsidR="00AC4427">
        <w:t>NAL</w:t>
      </w:r>
      <w:r w:rsidRPr="00DE3442">
        <w:t xml:space="preserve">, which arises under </w:t>
      </w:r>
      <w:r w:rsidR="000676AB">
        <w:t>s</w:t>
      </w:r>
      <w:r w:rsidRPr="00DE3442">
        <w:t xml:space="preserve">ection </w:t>
      </w:r>
      <w:r w:rsidRPr="00DE3442" w:rsidR="007B3027">
        <w:t>502</w:t>
      </w:r>
      <w:r w:rsidRPr="00DE3442">
        <w:t xml:space="preserve"> of the Communications Act, those possible safe harbor defenses are unavailing here because the safe harbor provision itself is not applicable.</w:t>
      </w:r>
      <w:r>
        <w:rPr>
          <w:rStyle w:val="FootnoteReference"/>
        </w:rPr>
        <w:footnoteReference w:id="46"/>
      </w:r>
    </w:p>
    <w:p w:rsidR="00583F7F" w:rsidRPr="00DE3442" w:rsidP="00583F7F" w14:paraId="349E270F" w14:textId="2DF2F762">
      <w:pPr>
        <w:pStyle w:val="ParaNum"/>
      </w:pPr>
      <w:r w:rsidRPr="00DE3442">
        <w:t>Further, even if these safe harbor provisions did apply to removal proceeding</w:t>
      </w:r>
      <w:r w:rsidRPr="00DE3442" w:rsidR="00AC4427">
        <w:t>s—</w:t>
      </w:r>
      <w:r w:rsidRPr="00DE3442">
        <w:t>which they do not</w:t>
      </w:r>
      <w:r w:rsidRPr="00DE3442" w:rsidR="00AC4427">
        <w:t>—</w:t>
      </w:r>
      <w:r w:rsidRPr="00DE3442" w:rsidR="00F66452">
        <w:t>City</w:t>
      </w:r>
      <w:r w:rsidRPr="00DE3442">
        <w:t xml:space="preserve"> has failed to present evidence to demonstrate that the company acted in good faith sufficient to fall within the protection of any safe harbor provisions.  As the Commission explained in the </w:t>
      </w:r>
      <w:r w:rsidRPr="00846D2D">
        <w:rPr>
          <w:i/>
          <w:iCs/>
        </w:rPr>
        <w:t>ACP Order</w:t>
      </w:r>
      <w:r w:rsidRPr="00DE3442">
        <w:t xml:space="preserve">, “the safe harbor applies to providers who act in </w:t>
      </w:r>
      <w:r w:rsidRPr="00DE3442">
        <w:rPr>
          <w:i/>
          <w:iCs/>
        </w:rPr>
        <w:t>good faith</w:t>
      </w:r>
      <w:r w:rsidRPr="00DE3442">
        <w:t xml:space="preserve"> with respect to the eligibility verification processes…”</w:t>
      </w:r>
      <w:r>
        <w:rPr>
          <w:rStyle w:val="FootnoteReference"/>
          <w:sz w:val="22"/>
        </w:rPr>
        <w:footnoteReference w:id="47"/>
      </w:r>
      <w:r w:rsidRPr="00DE3442">
        <w:t xml:space="preserve">  </w:t>
      </w:r>
      <w:r w:rsidRPr="00DE3442">
        <w:t>Good faith has generally been defined as “honesty in fact in the conduct or transaction concerned.”</w:t>
      </w:r>
      <w:r>
        <w:rPr>
          <w:rStyle w:val="FootnoteReference"/>
          <w:sz w:val="22"/>
        </w:rPr>
        <w:footnoteReference w:id="48"/>
      </w:r>
      <w:r w:rsidRPr="00DE3442">
        <w:t xml:space="preserve">  The Commission stated in its E</w:t>
      </w:r>
      <w:r w:rsidRPr="00DE3442" w:rsidR="00CA04A1">
        <w:t xml:space="preserve">mergency </w:t>
      </w:r>
      <w:r w:rsidRPr="00DE3442">
        <w:t>B</w:t>
      </w:r>
      <w:r w:rsidRPr="00DE3442" w:rsidR="00CA04A1">
        <w:t xml:space="preserve">roadband </w:t>
      </w:r>
      <w:r w:rsidRPr="00DE3442">
        <w:t>B</w:t>
      </w:r>
      <w:r w:rsidRPr="00DE3442" w:rsidR="00CA04A1">
        <w:t>enefit (EBB)</w:t>
      </w:r>
      <w:r w:rsidRPr="00DE3442">
        <w:t xml:space="preserve"> and ACP orders that, in determining whether the safe harbor applies, “[g]</w:t>
      </w:r>
      <w:r w:rsidRPr="00DE3442">
        <w:t>ood</w:t>
      </w:r>
      <w:r w:rsidRPr="00DE3442">
        <w:t xml:space="preserve"> faith will be determined on the totality of the circumstances surrounding the participating providers actions or statements.”</w:t>
      </w:r>
      <w:r>
        <w:rPr>
          <w:rStyle w:val="FootnoteReference"/>
          <w:sz w:val="22"/>
        </w:rPr>
        <w:footnoteReference w:id="49"/>
      </w:r>
      <w:r w:rsidRPr="00DE3442">
        <w:t xml:space="preserve">  </w:t>
      </w:r>
    </w:p>
    <w:p w:rsidR="00C17ED4" w:rsidRPr="00DE3442" w:rsidP="001F7B7C" w14:paraId="45F54A38" w14:textId="6408E0FD">
      <w:pPr>
        <w:pStyle w:val="ParaNum"/>
      </w:pPr>
      <w:r w:rsidRPr="00DE3442">
        <w:t>City</w:t>
      </w:r>
      <w:r w:rsidRPr="00DE3442" w:rsidR="000267B4">
        <w:t xml:space="preserve">, by its own admission, failed to implement the policies, procedures, and internal checks that the Commission’s rules require as part of the </w:t>
      </w:r>
      <w:r w:rsidRPr="00DE3442" w:rsidR="00AC4427">
        <w:t xml:space="preserve">eligibility </w:t>
      </w:r>
      <w:r w:rsidRPr="00DE3442" w:rsidR="000267B4">
        <w:t xml:space="preserve">verification process under </w:t>
      </w:r>
      <w:r w:rsidR="00F11C16">
        <w:t>s</w:t>
      </w:r>
      <w:r w:rsidRPr="00DE3442" w:rsidR="000267B4">
        <w:t>ection 54.1806(a)(4) and (b) of our rules.</w:t>
      </w:r>
      <w:r>
        <w:rPr>
          <w:rStyle w:val="FootnoteReference"/>
          <w:sz w:val="22"/>
        </w:rPr>
        <w:footnoteReference w:id="50"/>
      </w:r>
      <w:r w:rsidRPr="00DE3442" w:rsidR="000267B4">
        <w:t xml:space="preserve"> </w:t>
      </w:r>
      <w:r w:rsidRPr="00DE3442" w:rsidR="00897057">
        <w:t xml:space="preserve"> </w:t>
      </w:r>
      <w:r w:rsidRPr="00DE3442" w:rsidR="000267B4">
        <w:t xml:space="preserve">These admitted rule violations undercut its allegations of good faith.  </w:t>
      </w:r>
      <w:r w:rsidR="00F11C16">
        <w:t>Section</w:t>
      </w:r>
      <w:r w:rsidRPr="00DE3442" w:rsidR="000267B4">
        <w:t xml:space="preserve"> 54.1806(b) requires carriers to “implement policies and procedures for ensuring that their ACP households are eligible.”  Rather than implement any form of oversight policies or internal procedures, as </w:t>
      </w:r>
      <w:r w:rsidR="00F11C16">
        <w:t xml:space="preserve">section </w:t>
      </w:r>
      <w:r w:rsidRPr="00DE3442" w:rsidR="000267B4">
        <w:t xml:space="preserve">54.1806(b) requires, </w:t>
      </w:r>
      <w:r w:rsidRPr="00DE3442">
        <w:t>City</w:t>
      </w:r>
      <w:r w:rsidRPr="00DE3442" w:rsidR="000267B4">
        <w:t xml:space="preserve"> instead states that its “policy” was to simply rely on the </w:t>
      </w:r>
      <w:r w:rsidRPr="00DE3442">
        <w:t xml:space="preserve">National </w:t>
      </w:r>
      <w:r w:rsidRPr="00DE3442" w:rsidR="000267B4">
        <w:t>Verifier to ensure eligibility.  But the evident purpose of this rule was to provide for oversight in addition to the National Verifier, including requirements that providers implement their own policies and procedures to ensure that subscribers are eligible to receive support</w:t>
      </w:r>
      <w:r w:rsidR="00C15208">
        <w:t>,</w:t>
      </w:r>
      <w:r>
        <w:rPr>
          <w:rStyle w:val="FootnoteReference"/>
          <w:sz w:val="22"/>
        </w:rPr>
        <w:footnoteReference w:id="51"/>
      </w:r>
      <w:r w:rsidRPr="00DE3442" w:rsidR="000267B4">
        <w:t xml:space="preserve"> and </w:t>
      </w:r>
      <w:r w:rsidRPr="00DE3442">
        <w:t>City</w:t>
      </w:r>
      <w:r w:rsidRPr="00DE3442" w:rsidR="000267B4">
        <w:t xml:space="preserve">’s self-serving interpretation would vitiate if not nullify </w:t>
      </w:r>
      <w:r w:rsidR="00F11C16">
        <w:t xml:space="preserve">section </w:t>
      </w:r>
      <w:r w:rsidRPr="00DE3442" w:rsidR="000267B4">
        <w:t xml:space="preserve">54.1806(b).  Its conduct demonstrates a conscious decision by </w:t>
      </w:r>
      <w:r w:rsidRPr="00DE3442">
        <w:t>City</w:t>
      </w:r>
      <w:r w:rsidRPr="00DE3442" w:rsidR="000267B4">
        <w:t xml:space="preserve"> to abdicate its responsibilities to provide sufficient oversight through internal policies and procedures to identify eligibility problems or ensure compliance with eligibility requirements. </w:t>
      </w:r>
    </w:p>
    <w:p w:rsidR="009B76D4" w:rsidRPr="00DE3442" w:rsidP="001F7B7C" w14:paraId="1BC5E5BC" w14:textId="66345D5E">
      <w:pPr>
        <w:pStyle w:val="ParaNum"/>
        <w:rPr>
          <w:rStyle w:val="normaltextrun"/>
        </w:rPr>
      </w:pPr>
      <w:r w:rsidRPr="00DE3442">
        <w:t xml:space="preserve">Similarly, </w:t>
      </w:r>
      <w:r w:rsidRPr="00DE3442" w:rsidR="00F66452">
        <w:t>City</w:t>
      </w:r>
      <w:r w:rsidRPr="00DE3442">
        <w:t xml:space="preserve"> concedes that it failed to “[c]heck [its] own electronic systems . . . to confirm that the household is not already receiving another affordable connectivity benefit from that participating provider,” as required by </w:t>
      </w:r>
      <w:r w:rsidR="00F11C16">
        <w:t>section</w:t>
      </w:r>
      <w:r w:rsidRPr="00DE3442">
        <w:t xml:space="preserve"> 54.1806(a)(4).</w:t>
      </w:r>
      <w:r>
        <w:rPr>
          <w:rStyle w:val="FootnoteReference"/>
          <w:sz w:val="22"/>
        </w:rPr>
        <w:footnoteReference w:id="52"/>
      </w:r>
      <w:r w:rsidRPr="00DE3442">
        <w:t xml:space="preserve"> </w:t>
      </w:r>
      <w:r w:rsidRPr="00DE3442" w:rsidR="00F72E06">
        <w:t xml:space="preserve"> </w:t>
      </w:r>
      <w:r w:rsidRPr="00DE3442" w:rsidR="00F66452">
        <w:t>City</w:t>
      </w:r>
      <w:r w:rsidRPr="00DE3442">
        <w:t xml:space="preserve"> suggests that it would be liable only if it had conducted those checks, identified problems, and still filed for reimbursement.  This demonstrates bad faith and a complete disregard for </w:t>
      </w:r>
      <w:r w:rsidRPr="00DE3442" w:rsidR="00F66452">
        <w:t>City</w:t>
      </w:r>
      <w:r w:rsidRPr="00DE3442">
        <w:t xml:space="preserve">’s obligations as a provider.  </w:t>
      </w:r>
      <w:r w:rsidRPr="00DE3442" w:rsidR="00F66452">
        <w:t>City</w:t>
      </w:r>
      <w:r w:rsidRPr="00DE3442">
        <w:t xml:space="preserve"> first violates the requirement to conduct oversight checks, despite its clear obligation to do so, and then tries to benefit from that failure by claiming a </w:t>
      </w:r>
      <w:r w:rsidRPr="00DE3442">
        <w:rPr>
          <w:i/>
          <w:iCs/>
        </w:rPr>
        <w:t>self-imposed ignorance</w:t>
      </w:r>
      <w:r w:rsidRPr="00DE3442">
        <w:t xml:space="preserve"> of eligibility violations as the basis for its good faith. </w:t>
      </w:r>
      <w:r w:rsidRPr="00DE3442" w:rsidR="00AE2348">
        <w:t xml:space="preserve"> </w:t>
      </w:r>
      <w:r w:rsidRPr="00DE3442">
        <w:t>Th</w:t>
      </w:r>
      <w:r w:rsidRPr="00DE3442" w:rsidR="00583F7F">
        <w:t>is</w:t>
      </w:r>
      <w:r w:rsidRPr="00DE3442">
        <w:t xml:space="preserve"> argument suggests that </w:t>
      </w:r>
      <w:r w:rsidRPr="00DE3442" w:rsidR="00F66452">
        <w:t>City</w:t>
      </w:r>
      <w:r w:rsidRPr="00DE3442">
        <w:t xml:space="preserve"> failed to perform the internal checks the Commission’s rules require for one reason alone:  </w:t>
      </w:r>
      <w:r w:rsidR="00F11C16">
        <w:t>it</w:t>
      </w:r>
      <w:r w:rsidRPr="00DE3442">
        <w:t xml:space="preserve"> did not want to find any problems with eligibility.  And if a provider abdicates its oversight responsibilities and fails to look for problems, it will not find them.  This conduct, in blatant violation of the Commission’s rules, undercuts any claims that </w:t>
      </w:r>
      <w:r w:rsidRPr="00DE3442" w:rsidR="00F66452">
        <w:t>City</w:t>
      </w:r>
      <w:r w:rsidRPr="00DE3442">
        <w:t xml:space="preserve"> acted in “good faith.”  </w:t>
      </w:r>
      <w:r w:rsidRPr="00DE3442" w:rsidR="005938B4">
        <w:t xml:space="preserve">To the contrary, </w:t>
      </w:r>
      <w:r w:rsidRPr="00DE3442" w:rsidR="00F66452">
        <w:t>City</w:t>
      </w:r>
      <w:r w:rsidRPr="00DE3442" w:rsidR="005938B4">
        <w:t xml:space="preserve">’s actions demonstrate the “lack of business integrity or business honesty that seriously and directly affects the provider’s responsibility under the Affordable Connectivity Program” and justifies its removal for cause under </w:t>
      </w:r>
      <w:r w:rsidR="0023741C">
        <w:t>s</w:t>
      </w:r>
      <w:r w:rsidRPr="00DE3442" w:rsidR="005938B4">
        <w:t xml:space="preserve">ection 54.1801(e)(2)(ii) </w:t>
      </w:r>
      <w:r w:rsidR="0023741C">
        <w:t>of the Commission’s</w:t>
      </w:r>
      <w:r w:rsidRPr="00DE3442" w:rsidR="005938B4">
        <w:t xml:space="preserve"> rules.</w:t>
      </w:r>
    </w:p>
    <w:p w:rsidR="0052461F" w:rsidRPr="00DE3442" w:rsidP="009B76D4" w14:paraId="628ED1DD" w14:textId="1DC4E0FD">
      <w:pPr>
        <w:pStyle w:val="ParaNum"/>
        <w:rPr>
          <w:rStyle w:val="normaltextrun"/>
        </w:rPr>
      </w:pPr>
      <w:r w:rsidRPr="00DE3442">
        <w:rPr>
          <w:rStyle w:val="normaltextrun"/>
        </w:rPr>
        <w:t>In addition</w:t>
      </w:r>
      <w:r w:rsidRPr="00DE3442" w:rsidR="0068452D">
        <w:rPr>
          <w:rStyle w:val="normaltextrun"/>
        </w:rPr>
        <w:t xml:space="preserve"> to </w:t>
      </w:r>
      <w:r w:rsidRPr="00DE3442" w:rsidR="00F66452">
        <w:rPr>
          <w:rStyle w:val="normaltextrun"/>
        </w:rPr>
        <w:t>City</w:t>
      </w:r>
      <w:r w:rsidRPr="00DE3442" w:rsidR="00C17ED4">
        <w:rPr>
          <w:rStyle w:val="normaltextrun"/>
        </w:rPr>
        <w:t>’s failure to implement the policies</w:t>
      </w:r>
      <w:r w:rsidRPr="00DE3442" w:rsidR="00CD3596">
        <w:rPr>
          <w:rStyle w:val="normaltextrun"/>
        </w:rPr>
        <w:t>, procedures, and oversight required by ACP rules and designed to ensure ACP benefits are provided only to eligible households</w:t>
      </w:r>
      <w:r w:rsidRPr="00DE3442" w:rsidR="00C17ED4">
        <w:rPr>
          <w:rStyle w:val="normaltextrun"/>
        </w:rPr>
        <w:t xml:space="preserve">, </w:t>
      </w:r>
      <w:r w:rsidRPr="00DE3442" w:rsidR="00F66452">
        <w:rPr>
          <w:rStyle w:val="normaltextrun"/>
        </w:rPr>
        <w:t>City</w:t>
      </w:r>
      <w:r w:rsidRPr="00DE3442" w:rsidR="00C17ED4">
        <w:rPr>
          <w:rStyle w:val="normaltextrun"/>
        </w:rPr>
        <w:t xml:space="preserve">’s </w:t>
      </w:r>
      <w:r w:rsidRPr="00DE3442" w:rsidR="00C90D19">
        <w:rPr>
          <w:rStyle w:val="normaltextrun"/>
        </w:rPr>
        <w:t xml:space="preserve">actions and statements throughout its participation in </w:t>
      </w:r>
      <w:r w:rsidRPr="00DE3442" w:rsidR="00CD3596">
        <w:rPr>
          <w:rStyle w:val="normaltextrun"/>
        </w:rPr>
        <w:t xml:space="preserve">the program </w:t>
      </w:r>
      <w:r w:rsidRPr="00DE3442" w:rsidR="00C90D19">
        <w:rPr>
          <w:rStyle w:val="normaltextrun"/>
        </w:rPr>
        <w:t>suggest a lack of good faith</w:t>
      </w:r>
      <w:r w:rsidRPr="00DE3442" w:rsidR="00CD3596">
        <w:rPr>
          <w:rStyle w:val="normaltextrun"/>
        </w:rPr>
        <w:t xml:space="preserve"> in its conduct before the Commission</w:t>
      </w:r>
      <w:r w:rsidRPr="00DE3442" w:rsidR="00C90D19">
        <w:rPr>
          <w:rStyle w:val="normaltextrun"/>
        </w:rPr>
        <w:t>.</w:t>
      </w:r>
      <w:r w:rsidRPr="00DE3442" w:rsidR="0047532D">
        <w:rPr>
          <w:rStyle w:val="normaltextrun"/>
        </w:rPr>
        <w:t xml:space="preserve">  As described in the </w:t>
      </w:r>
      <w:r w:rsidRPr="00B1232B" w:rsidR="0047532D">
        <w:rPr>
          <w:rStyle w:val="normaltextrun"/>
        </w:rPr>
        <w:t>NAL</w:t>
      </w:r>
      <w:r w:rsidRPr="00DE3442" w:rsidR="0047532D">
        <w:rPr>
          <w:rStyle w:val="normaltextrun"/>
        </w:rPr>
        <w:t xml:space="preserve">, </w:t>
      </w:r>
      <w:r w:rsidRPr="00DE3442" w:rsidR="00F66452">
        <w:rPr>
          <w:rStyle w:val="normaltextrun"/>
        </w:rPr>
        <w:t>City</w:t>
      </w:r>
      <w:r w:rsidRPr="00DE3442" w:rsidR="0047532D">
        <w:rPr>
          <w:rStyle w:val="normaltextrun"/>
        </w:rPr>
        <w:t xml:space="preserve"> made repeated misrepresentations</w:t>
      </w:r>
      <w:r w:rsidRPr="00DE3442" w:rsidR="00AD7F66">
        <w:rPr>
          <w:rStyle w:val="normaltextrun"/>
        </w:rPr>
        <w:t>,</w:t>
      </w:r>
      <w:r>
        <w:rPr>
          <w:rStyle w:val="FootnoteReference"/>
          <w:sz w:val="22"/>
        </w:rPr>
        <w:footnoteReference w:id="53"/>
      </w:r>
      <w:r w:rsidRPr="00DE3442" w:rsidR="00AD7F66">
        <w:rPr>
          <w:rStyle w:val="normaltextrun"/>
        </w:rPr>
        <w:t xml:space="preserve"> including</w:t>
      </w:r>
      <w:r w:rsidRPr="00DE3442" w:rsidR="00CD3596">
        <w:rPr>
          <w:rStyle w:val="normaltextrun"/>
        </w:rPr>
        <w:t xml:space="preserve"> providing a false</w:t>
      </w:r>
      <w:r w:rsidRPr="00DE3442" w:rsidR="00AD7F66">
        <w:rPr>
          <w:rStyle w:val="normaltextrun"/>
        </w:rPr>
        <w:t xml:space="preserve"> location </w:t>
      </w:r>
      <w:r w:rsidRPr="00DE3442" w:rsidR="00CD3596">
        <w:rPr>
          <w:rStyle w:val="normaltextrun"/>
        </w:rPr>
        <w:t>as its</w:t>
      </w:r>
      <w:r w:rsidRPr="00DE3442" w:rsidR="00AD7F66">
        <w:rPr>
          <w:rStyle w:val="normaltextrun"/>
        </w:rPr>
        <w:t xml:space="preserve"> business address,</w:t>
      </w:r>
      <w:r w:rsidRPr="00DE3442" w:rsidR="0047532D">
        <w:rPr>
          <w:rStyle w:val="normaltextrun"/>
        </w:rPr>
        <w:t xml:space="preserve"> to the Commis</w:t>
      </w:r>
      <w:r w:rsidRPr="00DE3442" w:rsidR="00DE12B2">
        <w:rPr>
          <w:rStyle w:val="normaltextrun"/>
        </w:rPr>
        <w:t>s</w:t>
      </w:r>
      <w:r w:rsidRPr="00DE3442" w:rsidR="0047532D">
        <w:rPr>
          <w:rStyle w:val="normaltextrun"/>
        </w:rPr>
        <w:t>ion</w:t>
      </w:r>
      <w:r w:rsidRPr="00DE3442" w:rsidR="00CD3596">
        <w:rPr>
          <w:rStyle w:val="normaltextrun"/>
        </w:rPr>
        <w:t>,</w:t>
      </w:r>
      <w:r w:rsidRPr="00DE3442" w:rsidR="0047532D">
        <w:rPr>
          <w:rStyle w:val="normaltextrun"/>
        </w:rPr>
        <w:t xml:space="preserve"> </w:t>
      </w:r>
      <w:r w:rsidRPr="00DE3442" w:rsidR="00DE12B2">
        <w:rPr>
          <w:rStyle w:val="normaltextrun"/>
        </w:rPr>
        <w:t xml:space="preserve">both in its applications to participate in EBB and </w:t>
      </w:r>
      <w:r w:rsidR="00A74366">
        <w:rPr>
          <w:rStyle w:val="normaltextrun"/>
        </w:rPr>
        <w:t xml:space="preserve">the </w:t>
      </w:r>
      <w:r w:rsidRPr="00DE3442" w:rsidR="00DE12B2">
        <w:rPr>
          <w:rStyle w:val="normaltextrun"/>
        </w:rPr>
        <w:t>ACP, and also when responding to the Bureau during its investigation.</w:t>
      </w:r>
      <w:r>
        <w:rPr>
          <w:rStyle w:val="FootnoteReference"/>
          <w:sz w:val="22"/>
        </w:rPr>
        <w:footnoteReference w:id="54"/>
      </w:r>
      <w:r w:rsidRPr="00DE3442" w:rsidR="00DE12B2">
        <w:rPr>
          <w:rStyle w:val="normaltextrun"/>
        </w:rPr>
        <w:t xml:space="preserve"> </w:t>
      </w:r>
      <w:r w:rsidRPr="00DE3442">
        <w:rPr>
          <w:rStyle w:val="normaltextrun"/>
        </w:rPr>
        <w:t xml:space="preserve"> These misrepresentations demonstrate a “lac</w:t>
      </w:r>
      <w:r w:rsidRPr="00DE3442" w:rsidR="00EC18F2">
        <w:rPr>
          <w:rStyle w:val="normaltextrun"/>
        </w:rPr>
        <w:t xml:space="preserve">k of candor” in </w:t>
      </w:r>
      <w:r w:rsidRPr="00DE3442" w:rsidR="00F66452">
        <w:rPr>
          <w:rStyle w:val="normaltextrun"/>
        </w:rPr>
        <w:t>City</w:t>
      </w:r>
      <w:r w:rsidRPr="00DE3442" w:rsidR="00EC18F2">
        <w:rPr>
          <w:rStyle w:val="normaltextrun"/>
        </w:rPr>
        <w:t>’s dealings with the Commission</w:t>
      </w:r>
      <w:r>
        <w:rPr>
          <w:rStyle w:val="FootnoteReference"/>
          <w:sz w:val="22"/>
        </w:rPr>
        <w:footnoteReference w:id="55"/>
      </w:r>
      <w:r w:rsidRPr="00DE3442" w:rsidR="00EC18F2">
        <w:rPr>
          <w:rStyle w:val="normaltextrun"/>
        </w:rPr>
        <w:t xml:space="preserve"> and served as the basis for </w:t>
      </w:r>
      <w:r w:rsidRPr="00DE3442" w:rsidR="002C503F">
        <w:rPr>
          <w:rStyle w:val="normaltextrun"/>
        </w:rPr>
        <w:t xml:space="preserve">the NAL’s </w:t>
      </w:r>
      <w:r w:rsidRPr="00DE3442" w:rsidR="00EC18F2">
        <w:rPr>
          <w:rStyle w:val="normaltextrun"/>
        </w:rPr>
        <w:t xml:space="preserve">proposed forfeiture </w:t>
      </w:r>
      <w:r w:rsidRPr="00DE3442" w:rsidR="002C503F">
        <w:rPr>
          <w:rStyle w:val="normaltextrun"/>
        </w:rPr>
        <w:t xml:space="preserve">for violation of </w:t>
      </w:r>
      <w:r w:rsidR="0023741C">
        <w:rPr>
          <w:rStyle w:val="normaltextrun"/>
        </w:rPr>
        <w:t xml:space="preserve">section </w:t>
      </w:r>
      <w:r w:rsidRPr="00DE3442" w:rsidR="002C503F">
        <w:rPr>
          <w:rStyle w:val="normaltextrun"/>
        </w:rPr>
        <w:t>1.17</w:t>
      </w:r>
      <w:r w:rsidR="0023741C">
        <w:rPr>
          <w:rStyle w:val="normaltextrun"/>
        </w:rPr>
        <w:t xml:space="preserve"> of the Commission’s rules</w:t>
      </w:r>
      <w:r w:rsidRPr="00DE3442" w:rsidR="002C503F">
        <w:rPr>
          <w:rStyle w:val="normaltextrun"/>
        </w:rPr>
        <w:t>.</w:t>
      </w:r>
      <w:r>
        <w:rPr>
          <w:rStyle w:val="FootnoteReference"/>
          <w:sz w:val="22"/>
        </w:rPr>
        <w:footnoteReference w:id="56"/>
      </w:r>
      <w:r w:rsidRPr="00DE3442" w:rsidR="002C503F">
        <w:rPr>
          <w:rStyle w:val="normaltextrun"/>
        </w:rPr>
        <w:t xml:space="preserve"> </w:t>
      </w:r>
      <w:r w:rsidRPr="00DE3442" w:rsidR="00EB77F3">
        <w:rPr>
          <w:rStyle w:val="normaltextrun"/>
        </w:rPr>
        <w:t xml:space="preserve"> </w:t>
      </w:r>
      <w:r w:rsidRPr="00DE3442" w:rsidR="00F66452">
        <w:rPr>
          <w:rStyle w:val="normaltextrun"/>
        </w:rPr>
        <w:t>City</w:t>
      </w:r>
      <w:r w:rsidRPr="00DE3442" w:rsidR="00262DBF">
        <w:rPr>
          <w:rStyle w:val="normaltextrun"/>
        </w:rPr>
        <w:t xml:space="preserve"> </w:t>
      </w:r>
      <w:r w:rsidRPr="00DE3442" w:rsidR="00436D9D">
        <w:rPr>
          <w:rStyle w:val="normaltextrun"/>
        </w:rPr>
        <w:t>never corrected these statements and does not address or offer any</w:t>
      </w:r>
      <w:r w:rsidRPr="00DE3442" w:rsidR="00A76296">
        <w:rPr>
          <w:rStyle w:val="normaltextrun"/>
        </w:rPr>
        <w:t xml:space="preserve"> explanation</w:t>
      </w:r>
      <w:r w:rsidRPr="00DE3442" w:rsidR="00262DBF">
        <w:rPr>
          <w:rStyle w:val="normaltextrun"/>
        </w:rPr>
        <w:t xml:space="preserve"> in its </w:t>
      </w:r>
      <w:r w:rsidRPr="00DE3442" w:rsidR="00CD3596">
        <w:rPr>
          <w:rStyle w:val="normaltextrun"/>
        </w:rPr>
        <w:t xml:space="preserve">NAL </w:t>
      </w:r>
      <w:r w:rsidRPr="00DE3442" w:rsidR="00262DBF">
        <w:rPr>
          <w:rStyle w:val="normaltextrun"/>
        </w:rPr>
        <w:t>response.</w:t>
      </w:r>
      <w:r w:rsidRPr="00DE3442" w:rsidR="00206EAE">
        <w:rPr>
          <w:rStyle w:val="normaltextrun"/>
        </w:rPr>
        <w:t xml:space="preserve">  Based on the “totality</w:t>
      </w:r>
      <w:r w:rsidRPr="00DE3442" w:rsidR="00A037C5">
        <w:rPr>
          <w:rStyle w:val="normaltextrun"/>
        </w:rPr>
        <w:t xml:space="preserve"> </w:t>
      </w:r>
      <w:r w:rsidRPr="00DE3442" w:rsidR="00206EAE">
        <w:t xml:space="preserve">of the circumstances surrounding </w:t>
      </w:r>
      <w:r w:rsidRPr="00DE3442" w:rsidR="00A037C5">
        <w:t>[</w:t>
      </w:r>
      <w:r w:rsidRPr="00DE3442" w:rsidR="00F66452">
        <w:t>City</w:t>
      </w:r>
      <w:r w:rsidRPr="00DE3442" w:rsidR="00A037C5">
        <w:t>’s]</w:t>
      </w:r>
      <w:r w:rsidRPr="00DE3442" w:rsidR="00206EAE">
        <w:t xml:space="preserve"> actions or statements</w:t>
      </w:r>
      <w:r w:rsidRPr="00DE3442" w:rsidR="00A037C5">
        <w:t>,”</w:t>
      </w:r>
      <w:r>
        <w:rPr>
          <w:rStyle w:val="FootnoteReference"/>
          <w:sz w:val="22"/>
        </w:rPr>
        <w:footnoteReference w:id="57"/>
      </w:r>
      <w:r w:rsidRPr="00DE3442" w:rsidR="00A037C5">
        <w:t xml:space="preserve"> we </w:t>
      </w:r>
      <w:r w:rsidRPr="00DE3442" w:rsidR="00566531">
        <w:t xml:space="preserve">find that </w:t>
      </w:r>
      <w:r w:rsidRPr="00DE3442" w:rsidR="00F66452">
        <w:t>City</w:t>
      </w:r>
      <w:r w:rsidRPr="00DE3442" w:rsidR="00566531">
        <w:t xml:space="preserve"> has not acted in good faith in its parti</w:t>
      </w:r>
      <w:r w:rsidRPr="00DE3442" w:rsidR="00FA64CA">
        <w:t xml:space="preserve">cipation in </w:t>
      </w:r>
      <w:r w:rsidR="009F7CED">
        <w:t xml:space="preserve">the </w:t>
      </w:r>
      <w:r w:rsidRPr="00DE3442" w:rsidR="00FA64CA">
        <w:t>ACP</w:t>
      </w:r>
      <w:r w:rsidRPr="00DE3442" w:rsidR="00A72811">
        <w:t>,</w:t>
      </w:r>
      <w:r w:rsidRPr="00DE3442" w:rsidR="001F7B7C">
        <w:t xml:space="preserve"> </w:t>
      </w:r>
      <w:r w:rsidRPr="00DE3442" w:rsidR="004C66D5">
        <w:t xml:space="preserve">did not </w:t>
      </w:r>
      <w:r w:rsidRPr="00DE3442" w:rsidR="00C3303B">
        <w:t>“reasonably rely” on the</w:t>
      </w:r>
      <w:r w:rsidRPr="00DE3442" w:rsidR="006E649E">
        <w:t xml:space="preserve"> National Verifier</w:t>
      </w:r>
      <w:r w:rsidRPr="00DE3442" w:rsidR="00A72811">
        <w:t>,</w:t>
      </w:r>
      <w:r w:rsidRPr="00DE3442" w:rsidR="00FA64CA">
        <w:t xml:space="preserve"> and therefore </w:t>
      </w:r>
      <w:r w:rsidRPr="00DE3442" w:rsidR="00A037C5">
        <w:t xml:space="preserve">cannot </w:t>
      </w:r>
      <w:r w:rsidRPr="00DE3442" w:rsidR="00414E93">
        <w:t>avail itself of the ACP safe harbor</w:t>
      </w:r>
      <w:r w:rsidRPr="00DE3442" w:rsidR="003D04DB">
        <w:t>.</w:t>
      </w:r>
    </w:p>
    <w:p w:rsidR="00741564" w:rsidRPr="00DE3442" w:rsidP="008001AE" w14:paraId="4B06B86A" w14:textId="504F0026">
      <w:pPr>
        <w:pStyle w:val="ParaNum"/>
        <w:rPr>
          <w:rStyle w:val="normaltextrun"/>
        </w:rPr>
      </w:pPr>
      <w:r w:rsidRPr="00DE3442">
        <w:rPr>
          <w:rStyle w:val="normaltextrun"/>
        </w:rPr>
        <w:t>Finally</w:t>
      </w:r>
      <w:r w:rsidRPr="00DE3442">
        <w:rPr>
          <w:rStyle w:val="normaltextrun"/>
        </w:rPr>
        <w:t xml:space="preserve">, </w:t>
      </w:r>
      <w:r w:rsidRPr="00DE3442">
        <w:rPr>
          <w:rStyle w:val="normaltextrun"/>
        </w:rPr>
        <w:t xml:space="preserve">we note that </w:t>
      </w:r>
      <w:r w:rsidRPr="00DE3442" w:rsidR="00F66452">
        <w:t>City</w:t>
      </w:r>
      <w:r w:rsidRPr="00DE3442" w:rsidR="00AB115C">
        <w:t>’s response focuses primarily on the duplicate non-subscriber BQP issue and ignores the many other</w:t>
      </w:r>
      <w:r w:rsidRPr="00DE3442" w:rsidR="00E52D1D">
        <w:t xml:space="preserve"> violations </w:t>
      </w:r>
      <w:r w:rsidRPr="00DE3442" w:rsidR="00AB115C">
        <w:t xml:space="preserve">raised in the NAL that support the conclusion that </w:t>
      </w:r>
      <w:r w:rsidRPr="00DE3442" w:rsidR="00F66452">
        <w:t>City</w:t>
      </w:r>
      <w:r w:rsidRPr="00DE3442" w:rsidR="00AB115C">
        <w:t xml:space="preserve"> acted without business integrity or business honesty.</w:t>
      </w:r>
      <w:r w:rsidRPr="00DE3442" w:rsidR="0092488D">
        <w:t xml:space="preserve">  The</w:t>
      </w:r>
      <w:r w:rsidRPr="00DE3442">
        <w:t>se include the following</w:t>
      </w:r>
      <w:r w:rsidRPr="00DE3442">
        <w:t xml:space="preserve"> allegations</w:t>
      </w:r>
      <w:r w:rsidRPr="00DE3442">
        <w:t>:</w:t>
      </w:r>
      <w:r w:rsidRPr="00DE3442" w:rsidR="00E3459D">
        <w:t xml:space="preserve">  </w:t>
      </w:r>
      <w:r w:rsidRPr="00DE3442" w:rsidR="00981441">
        <w:t xml:space="preserve">(1) </w:t>
      </w:r>
      <w:r w:rsidRPr="00DE3442" w:rsidR="00BB4F5B">
        <w:t xml:space="preserve">that </w:t>
      </w:r>
      <w:r w:rsidRPr="00DE3442" w:rsidR="00683BE9">
        <w:t xml:space="preserve">a </w:t>
      </w:r>
      <w:r w:rsidRPr="00DE3442" w:rsidR="0092488D">
        <w:t xml:space="preserve">subscriber </w:t>
      </w:r>
      <w:r w:rsidRPr="00DE3442" w:rsidR="00F66452">
        <w:t>City</w:t>
      </w:r>
      <w:r w:rsidRPr="00DE3442" w:rsidR="0092488D">
        <w:t xml:space="preserve"> claimed</w:t>
      </w:r>
      <w:r w:rsidRPr="00DE3442" w:rsidR="00AB115C">
        <w:t xml:space="preserve"> </w:t>
      </w:r>
      <w:r w:rsidRPr="00DE3442" w:rsidR="0092488D">
        <w:t xml:space="preserve">for reimbursement told the Bureau that they </w:t>
      </w:r>
      <w:r w:rsidRPr="00DE3442" w:rsidR="00913F4E">
        <w:t xml:space="preserve">had </w:t>
      </w:r>
      <w:r w:rsidRPr="00DE3442" w:rsidR="00683BE9">
        <w:t xml:space="preserve">started the ACP application with City, did not complete it, </w:t>
      </w:r>
      <w:r w:rsidRPr="00DE3442" w:rsidR="0092488D">
        <w:t xml:space="preserve">never enrolled with </w:t>
      </w:r>
      <w:r w:rsidRPr="00DE3442" w:rsidR="00F66452">
        <w:t>City</w:t>
      </w:r>
      <w:r w:rsidRPr="00DE3442" w:rsidR="006B2F78">
        <w:t>,</w:t>
      </w:r>
      <w:r w:rsidRPr="00DE3442" w:rsidR="0092488D">
        <w:t xml:space="preserve"> </w:t>
      </w:r>
      <w:r w:rsidRPr="00DE3442" w:rsidR="00913F4E">
        <w:t>and had n</w:t>
      </w:r>
      <w:r w:rsidRPr="00DE3442" w:rsidR="00F436AB">
        <w:t>ever</w:t>
      </w:r>
      <w:r w:rsidRPr="00DE3442" w:rsidR="00913F4E">
        <w:t xml:space="preserve"> </w:t>
      </w:r>
      <w:r w:rsidRPr="00DE3442" w:rsidR="0092488D">
        <w:t xml:space="preserve">received service from </w:t>
      </w:r>
      <w:r w:rsidRPr="00DE3442" w:rsidR="00F66452">
        <w:t>City</w:t>
      </w:r>
      <w:r w:rsidRPr="00DE3442" w:rsidR="00701C81">
        <w:t>;</w:t>
      </w:r>
      <w:r w:rsidRPr="00DE3442" w:rsidR="00F1531E">
        <w:t xml:space="preserve"> (2) </w:t>
      </w:r>
      <w:r w:rsidRPr="00DE3442" w:rsidR="00F436AB">
        <w:t xml:space="preserve">that bank records show </w:t>
      </w:r>
      <w:r w:rsidRPr="00DE3442" w:rsidR="00F66452">
        <w:t>City</w:t>
      </w:r>
      <w:r w:rsidRPr="00DE3442" w:rsidR="0090275B">
        <w:t xml:space="preserve"> made large transfers from its account </w:t>
      </w:r>
      <w:r w:rsidRPr="00DE3442" w:rsidR="008001AE">
        <w:t xml:space="preserve">used </w:t>
      </w:r>
      <w:r w:rsidRPr="00DE3442">
        <w:t xml:space="preserve">to receive ACP reimbursement </w:t>
      </w:r>
      <w:r w:rsidRPr="00DE3442" w:rsidR="0092488D">
        <w:t>to various individuals and companies</w:t>
      </w:r>
      <w:r w:rsidRPr="00DE3442" w:rsidR="0090275B">
        <w:t xml:space="preserve">, without </w:t>
      </w:r>
      <w:r w:rsidRPr="00DE3442" w:rsidR="00E40830">
        <w:t>any apparent business justification</w:t>
      </w:r>
      <w:r w:rsidRPr="00DE3442" w:rsidR="00701C81">
        <w:t>;</w:t>
      </w:r>
      <w:r w:rsidRPr="00DE3442" w:rsidR="00E40830">
        <w:t xml:space="preserve"> (3) that </w:t>
      </w:r>
      <w:r w:rsidRPr="00DE3442" w:rsidR="00F66452">
        <w:t>City</w:t>
      </w:r>
      <w:r w:rsidRPr="00DE3442" w:rsidR="00E40830">
        <w:t xml:space="preserve"> repeatedly </w:t>
      </w:r>
      <w:r w:rsidRPr="00DE3442" w:rsidR="006E5E9C">
        <w:t xml:space="preserve">reported in its filings to the Commission </w:t>
      </w:r>
      <w:r w:rsidRPr="00DE3442" w:rsidR="0092488D">
        <w:t xml:space="preserve">business addresses </w:t>
      </w:r>
      <w:r w:rsidRPr="00DE3442" w:rsidR="00913F4E">
        <w:t xml:space="preserve">where </w:t>
      </w:r>
      <w:r w:rsidRPr="00DE3442" w:rsidR="00F66452">
        <w:t>City</w:t>
      </w:r>
      <w:r w:rsidRPr="00DE3442" w:rsidR="0092488D">
        <w:t xml:space="preserve"> did not actually operate</w:t>
      </w:r>
      <w:r w:rsidRPr="00DE3442" w:rsidR="00701C81">
        <w:t>;</w:t>
      </w:r>
      <w:r w:rsidRPr="00DE3442" w:rsidR="0092488D">
        <w:t xml:space="preserve"> and </w:t>
      </w:r>
      <w:r w:rsidRPr="00DE3442" w:rsidR="006E5E9C">
        <w:t xml:space="preserve">(4) that </w:t>
      </w:r>
      <w:r w:rsidRPr="00DE3442" w:rsidR="00CD3596">
        <w:t xml:space="preserve">the </w:t>
      </w:r>
      <w:r w:rsidRPr="00DE3442">
        <w:t xml:space="preserve">Bureau </w:t>
      </w:r>
      <w:r w:rsidRPr="00DE3442" w:rsidR="00CD3596">
        <w:t xml:space="preserve">identified </w:t>
      </w:r>
      <w:r w:rsidRPr="00DE3442" w:rsidR="00F66452">
        <w:t>City</w:t>
      </w:r>
      <w:r w:rsidRPr="00DE3442" w:rsidR="00CD3596">
        <w:t xml:space="preserve"> subscribers who</w:t>
      </w:r>
      <w:r w:rsidRPr="00DE3442" w:rsidR="0092488D">
        <w:t xml:space="preserve"> were never associated with their purported enrollment address</w:t>
      </w:r>
      <w:r w:rsidRPr="00DE3442" w:rsidR="006B2F78">
        <w:t>es</w:t>
      </w:r>
      <w:r w:rsidRPr="00DE3442" w:rsidR="0092488D">
        <w:t>.</w:t>
      </w:r>
      <w:r>
        <w:rPr>
          <w:rStyle w:val="FootnoteReference"/>
          <w:sz w:val="22"/>
        </w:rPr>
        <w:footnoteReference w:id="58"/>
      </w:r>
      <w:r w:rsidRPr="00DE3442" w:rsidR="0092488D">
        <w:t xml:space="preserve"> </w:t>
      </w:r>
      <w:r w:rsidRPr="00DE3442" w:rsidR="00AB115C">
        <w:t xml:space="preserve"> </w:t>
      </w:r>
      <w:r w:rsidRPr="00DE3442">
        <w:t xml:space="preserve">This evidence, which </w:t>
      </w:r>
      <w:r w:rsidRPr="00DE3442" w:rsidR="00F66452">
        <w:t>City</w:t>
      </w:r>
      <w:r w:rsidRPr="00DE3442">
        <w:t xml:space="preserve"> does not dispute in its response, all indicates </w:t>
      </w:r>
      <w:r w:rsidRPr="00DE3442" w:rsidR="00617025">
        <w:t>a lack of</w:t>
      </w:r>
      <w:r w:rsidRPr="00DE3442" w:rsidR="00617025">
        <w:rPr>
          <w:shd w:val="clear" w:color="auto" w:fill="FFFFFF"/>
        </w:rPr>
        <w:t xml:space="preserve"> good faith and </w:t>
      </w:r>
      <w:r w:rsidRPr="00DE3442">
        <w:rPr>
          <w:shd w:val="clear" w:color="auto" w:fill="FFFFFF"/>
        </w:rPr>
        <w:t>“a lack of business integrity or business honesty that seriously and directly affects the provider's responsibilities under the Affordable Connectivity Program.”</w:t>
      </w:r>
      <w:r>
        <w:rPr>
          <w:rStyle w:val="FootnoteReference"/>
          <w:sz w:val="22"/>
          <w:shd w:val="clear" w:color="auto" w:fill="FFFFFF"/>
        </w:rPr>
        <w:footnoteReference w:id="59"/>
      </w:r>
      <w:r w:rsidRPr="00DE3442">
        <w:t xml:space="preserve"> </w:t>
      </w:r>
      <w:r w:rsidRPr="00DE3442" w:rsidR="008001AE">
        <w:t xml:space="preserve"> </w:t>
      </w:r>
      <w:r w:rsidRPr="00DE3442" w:rsidR="006B2F78">
        <w:rPr>
          <w:rStyle w:val="normaltextrun"/>
        </w:rPr>
        <w:t>For these and all the other reasons discussed in the NAL</w:t>
      </w:r>
      <w:r w:rsidRPr="00DE3442" w:rsidR="00AF5CC1">
        <w:rPr>
          <w:rStyle w:val="normaltextrun"/>
        </w:rPr>
        <w:t xml:space="preserve"> and above</w:t>
      </w:r>
      <w:r w:rsidRPr="00DE3442" w:rsidR="006B2F78">
        <w:rPr>
          <w:rStyle w:val="normaltextrun"/>
        </w:rPr>
        <w:t xml:space="preserve">, </w:t>
      </w:r>
      <w:r w:rsidRPr="00DE3442" w:rsidR="00F66452">
        <w:rPr>
          <w:rStyle w:val="normaltextrun"/>
        </w:rPr>
        <w:t>City</w:t>
      </w:r>
      <w:r w:rsidRPr="00DE3442" w:rsidR="00932885">
        <w:rPr>
          <w:rStyle w:val="normaltextrun"/>
        </w:rPr>
        <w:t>’s response fails to</w:t>
      </w:r>
      <w:r w:rsidRPr="00DE3442" w:rsidR="00183694">
        <w:rPr>
          <w:rStyle w:val="normaltextrun"/>
        </w:rPr>
        <w:t xml:space="preserve"> “</w:t>
      </w:r>
      <w:r w:rsidRPr="00DE3442" w:rsidR="00183694">
        <w:t>demonstrate[e] that a rule violation or other conduct warranting removal has not in fact occurred and that the provider should not be removed from the Affordable Connectivity Program.”</w:t>
      </w:r>
      <w:r>
        <w:rPr>
          <w:rStyle w:val="FootnoteReference"/>
          <w:sz w:val="22"/>
        </w:rPr>
        <w:footnoteReference w:id="60"/>
      </w:r>
      <w:r w:rsidRPr="00DE3442" w:rsidR="00932885">
        <w:rPr>
          <w:rStyle w:val="normaltextrun"/>
        </w:rPr>
        <w:t xml:space="preserve"> </w:t>
      </w:r>
      <w:r w:rsidRPr="00DE3442" w:rsidR="006B2F78">
        <w:rPr>
          <w:rStyle w:val="normaltextrun"/>
        </w:rPr>
        <w:t xml:space="preserve"> </w:t>
      </w:r>
    </w:p>
    <w:p w:rsidR="004C6C23" w:rsidP="00B40AE7" w14:paraId="69C0D9F9" w14:textId="1A549055">
      <w:pPr>
        <w:pStyle w:val="ParaNum"/>
        <w:rPr>
          <w:rStyle w:val="normaltextrun"/>
        </w:rPr>
      </w:pPr>
      <w:r w:rsidRPr="00DE3442">
        <w:rPr>
          <w:rStyle w:val="normaltextrun"/>
        </w:rPr>
        <w:t xml:space="preserve">Based on the findings in the Bureau’s investigation, as described in the NAL, </w:t>
      </w:r>
      <w:r w:rsidRPr="00DE3442" w:rsidR="00741564">
        <w:rPr>
          <w:rStyle w:val="normaltextrun"/>
        </w:rPr>
        <w:t xml:space="preserve">a </w:t>
      </w:r>
      <w:r w:rsidRPr="00DE3442">
        <w:rPr>
          <w:rStyle w:val="normaltextrun"/>
        </w:rPr>
        <w:t>preponderance of the evidence</w:t>
      </w:r>
      <w:r>
        <w:rPr>
          <w:rStyle w:val="FootnoteReference"/>
          <w:sz w:val="22"/>
        </w:rPr>
        <w:footnoteReference w:id="61"/>
      </w:r>
      <w:r w:rsidRPr="00DE3442">
        <w:rPr>
          <w:rStyle w:val="normaltextrun"/>
        </w:rPr>
        <w:t xml:space="preserve"> </w:t>
      </w:r>
      <w:r w:rsidRPr="00DE3442" w:rsidR="000F1586">
        <w:rPr>
          <w:rStyle w:val="normaltextrun"/>
        </w:rPr>
        <w:t xml:space="preserve">demonstrates </w:t>
      </w:r>
      <w:r w:rsidRPr="00DE3442" w:rsidR="00B47FAA">
        <w:rPr>
          <w:rStyle w:val="normaltextrun"/>
        </w:rPr>
        <w:t xml:space="preserve">that </w:t>
      </w:r>
      <w:r w:rsidRPr="00DE3442" w:rsidR="00F66452">
        <w:rPr>
          <w:rStyle w:val="normaltextrun"/>
        </w:rPr>
        <w:t>City</w:t>
      </w:r>
      <w:r w:rsidRPr="00DE3442">
        <w:rPr>
          <w:rStyle w:val="normaltextrun"/>
        </w:rPr>
        <w:t xml:space="preserve"> violated ACP rules and took actions indicating a lack of business integrity and business honesty that seriously and directly affects </w:t>
      </w:r>
      <w:r w:rsidR="0023741C">
        <w:rPr>
          <w:rStyle w:val="normaltextrun"/>
        </w:rPr>
        <w:t>its</w:t>
      </w:r>
      <w:r w:rsidRPr="00DE3442">
        <w:rPr>
          <w:rStyle w:val="normaltextrun"/>
        </w:rPr>
        <w:t xml:space="preserve"> responsibilities under </w:t>
      </w:r>
      <w:r w:rsidR="009F7CED">
        <w:rPr>
          <w:rStyle w:val="normaltextrun"/>
        </w:rPr>
        <w:t xml:space="preserve">the </w:t>
      </w:r>
      <w:r w:rsidRPr="00DE3442">
        <w:rPr>
          <w:rStyle w:val="normaltextrun"/>
        </w:rPr>
        <w:t xml:space="preserve">ACP and harms prospective and existing program participants.  </w:t>
      </w:r>
      <w:r w:rsidRPr="00DE3442">
        <w:rPr>
          <w:rStyle w:val="normaltextrun"/>
          <w:shd w:val="clear" w:color="auto" w:fill="FFFFFF"/>
        </w:rPr>
        <w:t xml:space="preserve">Accordingly, </w:t>
      </w:r>
      <w:r w:rsidRPr="00DE3442">
        <w:rPr>
          <w:rStyle w:val="normaltextrun"/>
        </w:rPr>
        <w:t>the evidence warrants removal</w:t>
      </w:r>
      <w:r w:rsidRPr="00DE3442" w:rsidR="00AB115C">
        <w:rPr>
          <w:rStyle w:val="normaltextrun"/>
        </w:rPr>
        <w:t xml:space="preserve"> of </w:t>
      </w:r>
      <w:r w:rsidRPr="00DE3442" w:rsidR="00F66452">
        <w:rPr>
          <w:rStyle w:val="normaltextrun"/>
        </w:rPr>
        <w:t>City</w:t>
      </w:r>
      <w:r w:rsidRPr="00DE3442" w:rsidR="00AB115C">
        <w:rPr>
          <w:rStyle w:val="normaltextrun"/>
        </w:rPr>
        <w:t xml:space="preserve"> from </w:t>
      </w:r>
      <w:r w:rsidR="009F7CED">
        <w:rPr>
          <w:rStyle w:val="normaltextrun"/>
        </w:rPr>
        <w:t xml:space="preserve">the </w:t>
      </w:r>
      <w:r w:rsidRPr="00DE3442" w:rsidR="00AB115C">
        <w:rPr>
          <w:rStyle w:val="normaltextrun"/>
        </w:rPr>
        <w:t>ACP and</w:t>
      </w:r>
      <w:r w:rsidRPr="00DE3442" w:rsidR="008001AE">
        <w:rPr>
          <w:rStyle w:val="normaltextrun"/>
        </w:rPr>
        <w:t xml:space="preserve"> </w:t>
      </w:r>
      <w:r w:rsidRPr="00DE3442" w:rsidR="00C111B5">
        <w:rPr>
          <w:rStyle w:val="normaltextrun"/>
        </w:rPr>
        <w:t xml:space="preserve">any </w:t>
      </w:r>
      <w:r w:rsidRPr="00DE3442" w:rsidR="00AB115C">
        <w:rPr>
          <w:rStyle w:val="normaltextrun"/>
        </w:rPr>
        <w:t>successor programs</w:t>
      </w:r>
      <w:r w:rsidRPr="00DE3442" w:rsidR="00C111B5">
        <w:rPr>
          <w:rStyle w:val="normaltextrun"/>
        </w:rPr>
        <w:t>.</w:t>
      </w:r>
    </w:p>
    <w:p w:rsidR="00212FEA" w:rsidRPr="00212FEA" w:rsidP="00212FEA" w14:paraId="017EE6FB" w14:textId="383B2562">
      <w:pPr>
        <w:pStyle w:val="Heading1"/>
        <w:rPr>
          <w:rStyle w:val="normaltextrun"/>
          <w:rFonts w:ascii="Times New Roman" w:hAnsi="Times New Roman"/>
          <w:color w:val="000000" w:themeColor="text1"/>
          <w:spacing w:val="-2"/>
        </w:rPr>
      </w:pPr>
      <w:r w:rsidRPr="00B01FDC">
        <w:rPr>
          <w:rFonts w:ascii="Times New Roman" w:hAnsi="Times New Roman"/>
          <w:color w:val="000000" w:themeColor="text1"/>
        </w:rPr>
        <w:t>ORDERING CLAUSES</w:t>
      </w:r>
    </w:p>
    <w:p w:rsidR="00DF4C4D" w:rsidRPr="00DE3442" w:rsidP="00FE2597" w14:paraId="020514DF" w14:textId="66ED774A">
      <w:pPr>
        <w:pStyle w:val="ParaNum"/>
      </w:pPr>
      <w:r>
        <w:rPr>
          <w:rStyle w:val="normaltextrun"/>
        </w:rPr>
        <w:t xml:space="preserve">Accordingly, </w:t>
      </w:r>
      <w:r w:rsidRPr="00E06D5C" w:rsidR="00E06D5C">
        <w:rPr>
          <w:rStyle w:val="normaltextrun"/>
          <w:b/>
          <w:bCs/>
        </w:rPr>
        <w:t>IT IS</w:t>
      </w:r>
      <w:r w:rsidR="00E06D5C">
        <w:rPr>
          <w:rStyle w:val="normaltextrun"/>
        </w:rPr>
        <w:t xml:space="preserve"> </w:t>
      </w:r>
      <w:r w:rsidRPr="00DE3442" w:rsidR="00B40AE7">
        <w:rPr>
          <w:rStyle w:val="normaltextrun"/>
          <w:b/>
        </w:rPr>
        <w:t xml:space="preserve">ORDERED </w:t>
      </w:r>
      <w:r w:rsidRPr="00DE3442" w:rsidR="00F23AFF">
        <w:rPr>
          <w:rStyle w:val="normaltextrun"/>
        </w:rPr>
        <w:t>that</w:t>
      </w:r>
      <w:r w:rsidRPr="00DE3442" w:rsidR="00B40AE7">
        <w:rPr>
          <w:rStyle w:val="normaltextrun"/>
        </w:rPr>
        <w:t xml:space="preserve">, </w:t>
      </w:r>
      <w:r>
        <w:rPr>
          <w:rStyle w:val="normaltextrun"/>
        </w:rPr>
        <w:t xml:space="preserve">pursuant </w:t>
      </w:r>
      <w:r w:rsidRPr="00DE3442" w:rsidR="00B40AE7">
        <w:rPr>
          <w:rStyle w:val="normaltextrun"/>
        </w:rPr>
        <w:t xml:space="preserve">to </w:t>
      </w:r>
      <w:r w:rsidRPr="00DE3442" w:rsidR="00030523">
        <w:rPr>
          <w:rStyle w:val="normaltextrun"/>
        </w:rPr>
        <w:t>s</w:t>
      </w:r>
      <w:r w:rsidRPr="00DE3442" w:rsidR="00B40AE7">
        <w:rPr>
          <w:rStyle w:val="normaltextrun"/>
        </w:rPr>
        <w:t>ection</w:t>
      </w:r>
      <w:r w:rsidRPr="00DE3442" w:rsidR="00B40AE7">
        <w:rPr>
          <w:rStyle w:val="normaltextrun"/>
          <w:b/>
        </w:rPr>
        <w:t xml:space="preserve"> </w:t>
      </w:r>
      <w:r w:rsidRPr="00DE3442" w:rsidR="00030523">
        <w:t>54.1801(e)(2)(iii)(</w:t>
      </w:r>
      <w:r w:rsidRPr="00DE3442" w:rsidR="00F23AFF">
        <w:t>D</w:t>
      </w:r>
      <w:r w:rsidRPr="00DE3442" w:rsidR="00030523">
        <w:t>),</w:t>
      </w:r>
      <w:r w:rsidRPr="00DE3442" w:rsidR="00B40AE7">
        <w:rPr>
          <w:rStyle w:val="normaltextrun"/>
        </w:rPr>
        <w:t xml:space="preserve"> </w:t>
      </w:r>
      <w:r w:rsidRPr="00BD139A" w:rsidR="00001718">
        <w:rPr>
          <w:rStyle w:val="ui-provider"/>
        </w:rPr>
        <w:t>47 CFR § 54.1801(e)(2)(iii)(D)</w:t>
      </w:r>
      <w:r w:rsidR="00001718">
        <w:rPr>
          <w:rStyle w:val="ui-provider"/>
        </w:rPr>
        <w:t>,</w:t>
      </w:r>
      <w:r w:rsidR="00495ABD">
        <w:rPr>
          <w:rStyle w:val="ui-provider"/>
        </w:rPr>
        <w:t xml:space="preserve"> </w:t>
      </w:r>
      <w:r w:rsidRPr="00DE3442" w:rsidR="00495ABD">
        <w:t>City Communications, Inc.</w:t>
      </w:r>
      <w:r w:rsidR="00495ABD">
        <w:t>’s</w:t>
      </w:r>
      <w:r w:rsidRPr="00DE3442" w:rsidR="00495ABD">
        <w:t xml:space="preserve"> </w:t>
      </w:r>
      <w:r w:rsidRPr="00DE3442" w:rsidR="00B40AE7">
        <w:rPr>
          <w:shd w:val="clear" w:color="auto" w:fill="FFFFFF"/>
        </w:rPr>
        <w:t xml:space="preserve">authorization to participate in the Affordable Connectivity Program </w:t>
      </w:r>
      <w:r w:rsidRPr="00DE3442">
        <w:rPr>
          <w:shd w:val="clear" w:color="auto" w:fill="FFFFFF"/>
        </w:rPr>
        <w:t>is</w:t>
      </w:r>
      <w:r w:rsidRPr="00DE3442" w:rsidR="00B40AE7">
        <w:rPr>
          <w:shd w:val="clear" w:color="auto" w:fill="FFFFFF"/>
        </w:rPr>
        <w:t xml:space="preserve"> revoked, and </w:t>
      </w:r>
      <w:r w:rsidRPr="00DE3442" w:rsidR="00495ABD">
        <w:t>City Communications, Inc.</w:t>
      </w:r>
      <w:r w:rsidRPr="00DE3442">
        <w:rPr>
          <w:shd w:val="clear" w:color="auto" w:fill="FFFFFF"/>
        </w:rPr>
        <w:t xml:space="preserve"> is</w:t>
      </w:r>
      <w:r w:rsidRPr="00DE3442" w:rsidR="00B40AE7">
        <w:rPr>
          <w:shd w:val="clear" w:color="auto" w:fill="FFFFFF"/>
        </w:rPr>
        <w:t xml:space="preserve"> immediately removed from the program.</w:t>
      </w:r>
      <w:r>
        <w:rPr>
          <w:rStyle w:val="FootnoteReference"/>
          <w:sz w:val="22"/>
          <w:shd w:val="clear" w:color="auto" w:fill="FFFFFF"/>
        </w:rPr>
        <w:footnoteReference w:id="62"/>
      </w:r>
      <w:r w:rsidRPr="00DE3442" w:rsidR="001B640C">
        <w:t xml:space="preserve"> </w:t>
      </w:r>
      <w:r w:rsidRPr="00DE3442" w:rsidR="00B40AE7">
        <w:t xml:space="preserve"> </w:t>
      </w:r>
      <w:r w:rsidRPr="00DE3442" w:rsidR="00495ABD">
        <w:t>City Communications, Inc.</w:t>
      </w:r>
      <w:r w:rsidRPr="00DE3442" w:rsidR="00B40AE7">
        <w:rPr>
          <w:shd w:val="clear" w:color="auto" w:fill="FFFFFF"/>
        </w:rPr>
        <w:t xml:space="preserve"> </w:t>
      </w:r>
      <w:r w:rsidRPr="00DE3442">
        <w:rPr>
          <w:shd w:val="clear" w:color="auto" w:fill="FFFFFF"/>
        </w:rPr>
        <w:t>is</w:t>
      </w:r>
      <w:r w:rsidRPr="00DE3442" w:rsidR="00B40AE7">
        <w:rPr>
          <w:shd w:val="clear" w:color="auto" w:fill="FFFFFF"/>
        </w:rPr>
        <w:t xml:space="preserve"> barred from seeking to rejoin, and from participating in, the Affordable Connectivity Program for five</w:t>
      </w:r>
      <w:r w:rsidRPr="00DE3442">
        <w:rPr>
          <w:shd w:val="clear" w:color="auto" w:fill="FFFFFF"/>
        </w:rPr>
        <w:t xml:space="preserve"> (5)</w:t>
      </w:r>
      <w:r w:rsidRPr="00DE3442" w:rsidR="00B40AE7">
        <w:rPr>
          <w:shd w:val="clear" w:color="auto" w:fill="FFFFFF"/>
        </w:rPr>
        <w:t xml:space="preserve"> years</w:t>
      </w:r>
      <w:r w:rsidRPr="00DE3442" w:rsidR="00945C10">
        <w:rPr>
          <w:shd w:val="clear" w:color="auto" w:fill="FFFFFF"/>
        </w:rPr>
        <w:t xml:space="preserve">. </w:t>
      </w:r>
      <w:r w:rsidRPr="00DE3442" w:rsidR="006C3C45">
        <w:rPr>
          <w:shd w:val="clear" w:color="auto" w:fill="FFFFFF"/>
        </w:rPr>
        <w:t xml:space="preserve"> </w:t>
      </w:r>
      <w:r w:rsidRPr="00DE3442" w:rsidR="00495ABD">
        <w:t>City Communications, Inc.</w:t>
      </w:r>
      <w:r w:rsidRPr="00DE3442" w:rsidR="00967F20">
        <w:rPr>
          <w:shd w:val="clear" w:color="auto" w:fill="FFFFFF"/>
        </w:rPr>
        <w:t xml:space="preserve"> </w:t>
      </w:r>
      <w:r w:rsidRPr="00DE3442">
        <w:rPr>
          <w:shd w:val="clear" w:color="auto" w:fill="FFFFFF"/>
        </w:rPr>
        <w:t xml:space="preserve">is </w:t>
      </w:r>
      <w:r w:rsidRPr="00DE3442" w:rsidR="00B40AE7">
        <w:rPr>
          <w:shd w:val="clear" w:color="auto" w:fill="FFFFFF"/>
        </w:rPr>
        <w:t xml:space="preserve">similarly barred from participation in any Affordable Connectivity Program successor program </w:t>
      </w:r>
      <w:r w:rsidRPr="00DE3442" w:rsidR="00945C10">
        <w:rPr>
          <w:shd w:val="clear" w:color="auto" w:fill="FFFFFF"/>
        </w:rPr>
        <w:t>for five</w:t>
      </w:r>
      <w:r w:rsidRPr="00DE3442">
        <w:rPr>
          <w:shd w:val="clear" w:color="auto" w:fill="FFFFFF"/>
        </w:rPr>
        <w:t xml:space="preserve"> (5)</w:t>
      </w:r>
      <w:r w:rsidRPr="00DE3442" w:rsidR="00945C10">
        <w:rPr>
          <w:shd w:val="clear" w:color="auto" w:fill="FFFFFF"/>
        </w:rPr>
        <w:t xml:space="preserve"> years</w:t>
      </w:r>
      <w:r w:rsidRPr="00DE3442" w:rsidR="00B40AE7">
        <w:rPr>
          <w:shd w:val="clear" w:color="auto" w:fill="FFFFFF"/>
        </w:rPr>
        <w:t>.</w:t>
      </w:r>
      <w:r w:rsidRPr="00DE3442" w:rsidR="00FE2597">
        <w:rPr>
          <w:shd w:val="clear" w:color="auto" w:fill="FFFFFF"/>
        </w:rPr>
        <w:t xml:space="preserve">  </w:t>
      </w:r>
      <w:r w:rsidRPr="00DE3442" w:rsidR="00495ABD">
        <w:t xml:space="preserve">City </w:t>
      </w:r>
      <w:r w:rsidRPr="00DE3442" w:rsidR="00F23AFF">
        <w:rPr>
          <w:rStyle w:val="normaltextrun"/>
        </w:rPr>
        <w:t xml:space="preserve">may seek reconsideration or a stay of this determination as provided under section </w:t>
      </w:r>
      <w:r w:rsidRPr="00DE3442">
        <w:t>54.1801(e)(2)(iii)(</w:t>
      </w:r>
      <w:r w:rsidRPr="00DE3442" w:rsidR="00967F20">
        <w:t>E</w:t>
      </w:r>
      <w:r w:rsidRPr="00DE3442">
        <w:t>)</w:t>
      </w:r>
      <w:r w:rsidR="00001718">
        <w:t xml:space="preserve">, </w:t>
      </w:r>
      <w:r w:rsidRPr="00BD139A" w:rsidR="00001718">
        <w:rPr>
          <w:rStyle w:val="ui-provider"/>
        </w:rPr>
        <w:t>47 CFR § 54.1801(e)(2)(iii)</w:t>
      </w:r>
      <w:r w:rsidR="00001718">
        <w:rPr>
          <w:rStyle w:val="ui-provider"/>
        </w:rPr>
        <w:t>(E),</w:t>
      </w:r>
      <w:r w:rsidRPr="00DE3442" w:rsidR="00F23AFF">
        <w:t xml:space="preserve"> of the</w:t>
      </w:r>
      <w:r w:rsidRPr="00DE3442">
        <w:t xml:space="preserve"> </w:t>
      </w:r>
      <w:r w:rsidRPr="00DE3442" w:rsidR="00967F20">
        <w:t>Commissi</w:t>
      </w:r>
      <w:r w:rsidRPr="00DE3442" w:rsidR="00CD38CF">
        <w:t>on’s</w:t>
      </w:r>
      <w:r w:rsidRPr="00DE3442">
        <w:t xml:space="preserve"> rules.</w:t>
      </w:r>
    </w:p>
    <w:p w:rsidR="00412B3D" w:rsidRPr="00412B3D" w:rsidP="00412B3D" w14:paraId="6F139815" w14:textId="6D952CD8">
      <w:pPr>
        <w:pStyle w:val="ParaNum"/>
        <w:rPr>
          <w:snapToGrid/>
        </w:rPr>
      </w:pPr>
      <w:r>
        <w:rPr>
          <w:b/>
          <w:bCs/>
        </w:rPr>
        <w:t>IT IS FURTHER ORDERED</w:t>
      </w:r>
      <w:r>
        <w:t xml:space="preserve"> that copies of this Order shall be filed in WC Docket No. 21-450 and sent by email and first class mail to:  Jennifer Bagg, HWG LLP, Counsel for City Communications, Inc., 1919 M Street NW Washington, DC 20036, jbagg@hwglaw.com.</w:t>
      </w:r>
    </w:p>
    <w:p w:rsidR="003343CA" w:rsidP="002E5533" w14:paraId="673BA901" w14:textId="6B9FDDF9">
      <w:pPr>
        <w:pStyle w:val="ParaNum"/>
        <w:keepNext/>
        <w:keepLines/>
      </w:pPr>
      <w:r w:rsidRPr="00DE3442">
        <w:rPr>
          <w:shd w:val="clear" w:color="auto" w:fill="FFFFFF"/>
        </w:rPr>
        <w:t>Any</w:t>
      </w:r>
      <w:r w:rsidRPr="00DE3442">
        <w:rPr>
          <w:rStyle w:val="normaltextrun"/>
        </w:rPr>
        <w:t xml:space="preserve"> questions may be directed to </w:t>
      </w:r>
      <w:r w:rsidRPr="00DE3442">
        <w:t>Meghan Ingrisano, Chief, Fraud Division, Enforcement Bureau</w:t>
      </w:r>
      <w:r w:rsidR="00846D2D">
        <w:t>,</w:t>
      </w:r>
      <w:r w:rsidRPr="00DE3442">
        <w:t xml:space="preserve"> at </w:t>
      </w:r>
      <w:r w:rsidRPr="00DE3442" w:rsidR="001C1512">
        <w:t xml:space="preserve">meghan.ingrisano@fcc.gov </w:t>
      </w:r>
      <w:r w:rsidRPr="00DE3442" w:rsidR="00595D29">
        <w:t>and/or Noah Stein</w:t>
      </w:r>
      <w:r w:rsidRPr="00DE3442" w:rsidR="00967F20">
        <w:t>,</w:t>
      </w:r>
      <w:r w:rsidRPr="00DE3442" w:rsidR="00595D29">
        <w:t xml:space="preserve"> </w:t>
      </w:r>
      <w:r w:rsidRPr="00DE3442" w:rsidR="00967F20">
        <w:t>D</w:t>
      </w:r>
      <w:r w:rsidRPr="00DE3442" w:rsidR="00595D29">
        <w:t>eputy Bureau Chief, Wireline Co</w:t>
      </w:r>
      <w:r w:rsidRPr="00DE3442" w:rsidR="00967F20">
        <w:t>mpetition</w:t>
      </w:r>
      <w:r w:rsidRPr="00DE3442" w:rsidR="00595D29">
        <w:t xml:space="preserve"> Bureau</w:t>
      </w:r>
      <w:r w:rsidR="0001296D">
        <w:t xml:space="preserve">, </w:t>
      </w:r>
      <w:r w:rsidRPr="00DE3442" w:rsidR="0001296D">
        <w:t>at noah.stein@fcc.gov</w:t>
      </w:r>
      <w:r w:rsidRPr="00DE3442" w:rsidR="00595D29">
        <w:t>.</w:t>
      </w:r>
    </w:p>
    <w:p w:rsidR="002E21E7" w:rsidP="002E5533" w14:paraId="6AF1909D" w14:textId="77777777">
      <w:pPr>
        <w:pStyle w:val="ParaNum"/>
        <w:keepNext/>
        <w:keepLines/>
        <w:numPr>
          <w:ilvl w:val="0"/>
          <w:numId w:val="0"/>
        </w:numPr>
      </w:pPr>
    </w:p>
    <w:p w:rsidR="00F760AF" w:rsidRPr="00344C0B" w:rsidP="002E5533" w14:paraId="49A8010F" w14:textId="77777777">
      <w:pPr>
        <w:keepNext/>
        <w:keepLines/>
        <w:widowControl/>
        <w:ind w:left="4410"/>
      </w:pPr>
      <w:r w:rsidRPr="00344C0B">
        <w:t>FEDERAL COMMUNICATIONS COMMISSION</w:t>
      </w:r>
    </w:p>
    <w:p w:rsidR="00F760AF" w:rsidRPr="00344C0B" w:rsidP="00F760AF" w14:paraId="4D3D84AD" w14:textId="77777777">
      <w:pPr>
        <w:widowControl/>
        <w:ind w:left="4410"/>
      </w:pPr>
    </w:p>
    <w:p w:rsidR="00F760AF" w:rsidRPr="00344C0B" w:rsidP="00F760AF" w14:paraId="4C17ADB9" w14:textId="77777777">
      <w:pPr>
        <w:widowControl/>
        <w:ind w:left="4410"/>
      </w:pPr>
    </w:p>
    <w:p w:rsidR="00F760AF" w:rsidRPr="00344C0B" w:rsidP="00F760AF" w14:paraId="437079FC" w14:textId="77777777">
      <w:pPr>
        <w:widowControl/>
        <w:ind w:left="4410"/>
      </w:pPr>
    </w:p>
    <w:p w:rsidR="00F760AF" w:rsidRPr="00344C0B" w:rsidP="00F760AF" w14:paraId="4D0481FA" w14:textId="77777777">
      <w:pPr>
        <w:widowControl/>
        <w:ind w:left="4410"/>
      </w:pPr>
    </w:p>
    <w:p w:rsidR="00F760AF" w:rsidP="00F760AF" w14:paraId="40FB2DF6" w14:textId="213F1402">
      <w:pPr>
        <w:widowControl/>
        <w:ind w:left="4410"/>
        <w:rPr>
          <w:szCs w:val="22"/>
        </w:rPr>
      </w:pPr>
      <w:r>
        <w:rPr>
          <w:szCs w:val="22"/>
        </w:rPr>
        <w:t>Loyaan A. Egal</w:t>
      </w:r>
    </w:p>
    <w:p w:rsidR="00F760AF" w:rsidP="00F760AF" w14:paraId="7668A16E" w14:textId="63B363CD">
      <w:pPr>
        <w:widowControl/>
        <w:ind w:left="4410"/>
        <w:rPr>
          <w:szCs w:val="22"/>
        </w:rPr>
      </w:pPr>
      <w:r>
        <w:rPr>
          <w:szCs w:val="22"/>
        </w:rPr>
        <w:t>Chief</w:t>
      </w:r>
    </w:p>
    <w:p w:rsidR="00F760AF" w:rsidRPr="006D73F2" w:rsidP="00F760AF" w14:paraId="0666154A" w14:textId="4153372C">
      <w:pPr>
        <w:widowControl/>
        <w:ind w:left="4410"/>
        <w:rPr>
          <w:szCs w:val="22"/>
        </w:rPr>
      </w:pPr>
      <w:r>
        <w:rPr>
          <w:szCs w:val="22"/>
        </w:rPr>
        <w:t>Enforcement Bureau</w:t>
      </w:r>
    </w:p>
    <w:p w:rsidR="00E273E3" w:rsidRPr="00DE3442" w:rsidP="000A3ECE" w14:paraId="724C3850" w14:textId="3EC34ADC">
      <w:pPr>
        <w:ind w:left="4320" w:firstLine="86"/>
      </w:pPr>
    </w:p>
    <w:sectPr w:rsidSect="008802B1">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71B341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E273E3" w14:paraId="04D7F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583F7F" w14:paraId="575F2CE1" w14:textId="77777777">
    <w:pPr>
      <w:pStyle w:val="Footer"/>
      <w:framePr w:wrap="around" w:vAnchor="text" w:hAnchor="margin" w:xAlign="center" w:y="1"/>
    </w:pPr>
    <w:r w:rsidRPr="00583F7F">
      <w:fldChar w:fldCharType="begin"/>
    </w:r>
    <w:r w:rsidRPr="00583F7F">
      <w:instrText xml:space="preserve">PAGE  </w:instrText>
    </w:r>
    <w:r w:rsidRPr="00583F7F">
      <w:fldChar w:fldCharType="separate"/>
    </w:r>
    <w:r w:rsidRPr="00583F7F" w:rsidR="004C7C5C">
      <w:t>2</w:t>
    </w:r>
    <w:r w:rsidRPr="00583F7F">
      <w:fldChar w:fldCharType="end"/>
    </w:r>
  </w:p>
  <w:p w:rsidR="00E273E3" w14:paraId="7949A70D"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02B1" w14:paraId="721A4A1F" w14:textId="77777777">
      <w:r>
        <w:separator/>
      </w:r>
    </w:p>
  </w:footnote>
  <w:footnote w:type="continuationSeparator" w:id="1">
    <w:p w:rsidR="008802B1" w14:paraId="44C48379" w14:textId="77777777">
      <w:pPr>
        <w:rPr>
          <w:sz w:val="20"/>
        </w:rPr>
      </w:pPr>
      <w:r>
        <w:rPr>
          <w:sz w:val="20"/>
        </w:rPr>
        <w:t xml:space="preserve">(Continued from previous page)  </w:t>
      </w:r>
      <w:r>
        <w:rPr>
          <w:sz w:val="20"/>
        </w:rPr>
        <w:separator/>
      </w:r>
    </w:p>
  </w:footnote>
  <w:footnote w:type="continuationNotice" w:id="2">
    <w:p w:rsidR="008802B1" w14:paraId="6014DDBE" w14:textId="77777777">
      <w:pPr>
        <w:rPr>
          <w:sz w:val="20"/>
        </w:rPr>
      </w:pPr>
      <w:r>
        <w:rPr>
          <w:sz w:val="20"/>
        </w:rPr>
        <w:t>(continued….)</w:t>
      </w:r>
    </w:p>
  </w:footnote>
  <w:footnote w:id="3">
    <w:p w:rsidR="00DE3442" w:rsidRPr="00BD139A" w:rsidP="00CC4C62" w14:paraId="41C208C0" w14:textId="77777777">
      <w:pPr>
        <w:pStyle w:val="FootnoteText"/>
      </w:pPr>
      <w:r w:rsidRPr="00267932">
        <w:rPr>
          <w:rStyle w:val="FootnoteReference"/>
        </w:rPr>
        <w:footnoteRef/>
      </w:r>
      <w:r w:rsidRPr="00BD139A">
        <w:t xml:space="preserve"> 47 CFR § 54.1801(e)(2)(iii)(D).</w:t>
      </w:r>
    </w:p>
  </w:footnote>
  <w:footnote w:id="4">
    <w:p w:rsidR="005C4E52" w:rsidRPr="000A3ECE" w:rsidP="00CC4C62" w14:paraId="26D64F9B" w14:textId="14DAD2FF">
      <w:pPr>
        <w:pStyle w:val="FootnoteText"/>
      </w:pPr>
      <w:r w:rsidRPr="00E3459D">
        <w:rPr>
          <w:rStyle w:val="FootnoteReference"/>
        </w:rPr>
        <w:footnoteRef/>
      </w:r>
      <w:r w:rsidRPr="000A3ECE">
        <w:t xml:space="preserve"> </w:t>
      </w:r>
      <w:r w:rsidRPr="00ED3641" w:rsidR="009F7555">
        <w:rPr>
          <w:i/>
          <w:iCs/>
          <w:color w:val="000000" w:themeColor="text1"/>
          <w:spacing w:val="-2"/>
        </w:rPr>
        <w:t>City Communications, Inc</w:t>
      </w:r>
      <w:r w:rsidR="00E437B9">
        <w:rPr>
          <w:i/>
          <w:iCs/>
          <w:color w:val="000000" w:themeColor="text1"/>
          <w:spacing w:val="-2"/>
        </w:rPr>
        <w:t>.</w:t>
      </w:r>
      <w:r w:rsidRPr="00ED3641" w:rsidR="007B5854">
        <w:t>,</w:t>
      </w:r>
      <w:r w:rsidRPr="000A3ECE" w:rsidR="007B5854">
        <w:t xml:space="preserve"> Notice of Apparent Liability for Forfeiture and Order Initiating Removal Proceeding, FCC 24-1</w:t>
      </w:r>
      <w:r w:rsidR="009F7555">
        <w:t>3</w:t>
      </w:r>
      <w:r w:rsidRPr="000A3ECE" w:rsidR="007B5854">
        <w:t>, para. 9</w:t>
      </w:r>
      <w:r w:rsidR="009F7555">
        <w:t>8</w:t>
      </w:r>
      <w:r w:rsidRPr="000A3ECE" w:rsidR="007B5854">
        <w:t xml:space="preserve"> (Jan. 26, 2024)</w:t>
      </w:r>
      <w:r w:rsidRPr="000A3ECE" w:rsidR="00C97FFC">
        <w:t xml:space="preserve"> (</w:t>
      </w:r>
      <w:r w:rsidR="009F7555">
        <w:t>City</w:t>
      </w:r>
      <w:r w:rsidRPr="000A3ECE" w:rsidR="00C97FFC">
        <w:t xml:space="preserve"> NAL)</w:t>
      </w:r>
      <w:r w:rsidRPr="000A3ECE" w:rsidR="004C6C23">
        <w:t>.</w:t>
      </w:r>
    </w:p>
  </w:footnote>
  <w:footnote w:id="5">
    <w:p w:rsidR="00583F7F" w:rsidRPr="004E12DF" w:rsidP="00CC4C62" w14:paraId="304202AB" w14:textId="19406619">
      <w:pPr>
        <w:pStyle w:val="FootnoteText"/>
      </w:pPr>
      <w:r w:rsidRPr="00E3459D">
        <w:rPr>
          <w:rStyle w:val="FootnoteReference"/>
        </w:rPr>
        <w:footnoteRef/>
      </w:r>
      <w:r w:rsidRPr="000A3ECE">
        <w:t xml:space="preserve"> </w:t>
      </w:r>
      <w:r w:rsidR="009F7555">
        <w:t>City</w:t>
      </w:r>
      <w:r w:rsidRPr="000A3ECE">
        <w:t xml:space="preserve"> Communication</w:t>
      </w:r>
      <w:r w:rsidR="009955B1">
        <w:t>s, Inc.’s</w:t>
      </w:r>
      <w:r w:rsidRPr="004E12DF">
        <w:t xml:space="preserve"> Written Statement Seeking Reduction or Cancellation of Proposed Forfeiture and Opposing Removal (Apr. 11, 2024) (</w:t>
      </w:r>
      <w:r w:rsidR="009F7555">
        <w:t>City</w:t>
      </w:r>
      <w:r w:rsidRPr="004E12DF">
        <w:t xml:space="preserve"> Response).</w:t>
      </w:r>
      <w:r w:rsidR="00CC4C62">
        <w:t xml:space="preserve">  </w:t>
      </w:r>
      <w:bookmarkStart w:id="0" w:name="_Hlk165983377"/>
      <w:r w:rsidR="00CC4C62">
        <w:t xml:space="preserve">City filed a public version of its response </w:t>
      </w:r>
      <w:r w:rsidR="00EE2BB5">
        <w:t xml:space="preserve">in WC Docket No. 21-450, </w:t>
      </w:r>
      <w:r w:rsidR="00CC4C62">
        <w:t>as required by the NAL</w:t>
      </w:r>
      <w:r w:rsidR="00EE2BB5">
        <w:t>,</w:t>
      </w:r>
      <w:r w:rsidR="00CC4C62">
        <w:t xml:space="preserve"> on May 6, 2024.  </w:t>
      </w:r>
      <w:bookmarkEnd w:id="0"/>
    </w:p>
  </w:footnote>
  <w:footnote w:id="6">
    <w:p w:rsidR="007B5854" w:rsidRPr="000A3ECE" w:rsidP="00CC4C62" w14:paraId="20184CD3" w14:textId="2CE56176">
      <w:pPr>
        <w:pStyle w:val="FootnoteText"/>
      </w:pPr>
      <w:r w:rsidRPr="004E12DF">
        <w:rPr>
          <w:rStyle w:val="FootnoteReference"/>
        </w:rPr>
        <w:footnoteRef/>
      </w:r>
      <w:r w:rsidRPr="004E12DF">
        <w:t xml:space="preserve"> </w:t>
      </w:r>
      <w:r w:rsidRPr="004E12DF" w:rsidR="00655FD5">
        <w:rPr>
          <w:i/>
        </w:rPr>
        <w:t>S</w:t>
      </w:r>
      <w:r w:rsidRPr="004E12DF" w:rsidR="00AE5B1C">
        <w:rPr>
          <w:i/>
        </w:rPr>
        <w:t xml:space="preserve">ee generally </w:t>
      </w:r>
      <w:r w:rsidR="009F7555">
        <w:t>City</w:t>
      </w:r>
      <w:r w:rsidRPr="004E12DF" w:rsidR="00595D29">
        <w:t xml:space="preserve"> NAL</w:t>
      </w:r>
      <w:r w:rsidR="007D33BA">
        <w:t>.</w:t>
      </w:r>
    </w:p>
  </w:footnote>
  <w:footnote w:id="7">
    <w:p w:rsidR="00033821" w14:paraId="21ED80B1" w14:textId="1F25A66C">
      <w:pPr>
        <w:pStyle w:val="FootnoteText"/>
      </w:pPr>
      <w:r>
        <w:rPr>
          <w:rStyle w:val="FootnoteReference"/>
        </w:rPr>
        <w:footnoteRef/>
      </w:r>
      <w:r>
        <w:t xml:space="preserve"> </w:t>
      </w:r>
      <w:r w:rsidR="00125853">
        <w:rPr>
          <w:i/>
          <w:iCs/>
        </w:rPr>
        <w:t>Id.</w:t>
      </w:r>
      <w:r w:rsidR="00125853">
        <w:t xml:space="preserve"> at para. 96; </w:t>
      </w:r>
      <w:r w:rsidRPr="000A3ECE" w:rsidR="00846D2D">
        <w:t xml:space="preserve">Letter from </w:t>
      </w:r>
      <w:r w:rsidRPr="007C2EA5" w:rsidR="00846D2D">
        <w:t xml:space="preserve">Loyaan A. Egal, Chief, Enforcement Bureau, Jae Seong, Chief Financial Officer, Office of </w:t>
      </w:r>
      <w:r w:rsidR="00846D2D">
        <w:t xml:space="preserve">the </w:t>
      </w:r>
      <w:r w:rsidRPr="007C2EA5" w:rsidR="00846D2D">
        <w:t>Managing Director, Trent Harkrader, Chief, Wireline Competition Bureau</w:t>
      </w:r>
      <w:r w:rsidR="00846D2D">
        <w:t xml:space="preserve">, </w:t>
      </w:r>
      <w:r w:rsidRPr="000A3ECE" w:rsidR="00846D2D">
        <w:t>F</w:t>
      </w:r>
      <w:r w:rsidR="00846D2D">
        <w:t>ed. Commc’ns Comm’n</w:t>
      </w:r>
      <w:r w:rsidRPr="000A3ECE" w:rsidR="00846D2D">
        <w:t xml:space="preserve"> to </w:t>
      </w:r>
      <w:r w:rsidRPr="007C2EA5" w:rsidR="00846D2D">
        <w:t xml:space="preserve">Michelle Garber, Vice President of </w:t>
      </w:r>
      <w:r w:rsidRPr="00EF371D" w:rsidR="00846D2D">
        <w:t>Finance and Chief Financial Officer, Universal Service Admin. Co. (Feb. 20, 2024)</w:t>
      </w:r>
      <w:r w:rsidR="00846D2D">
        <w:t xml:space="preserve"> (</w:t>
      </w:r>
      <w:r w:rsidR="00125853">
        <w:t>FCC</w:t>
      </w:r>
      <w:r w:rsidR="00846D2D">
        <w:t xml:space="preserve"> Letter</w:t>
      </w:r>
      <w:r w:rsidR="00125853">
        <w:t xml:space="preserve"> to USAC</w:t>
      </w:r>
      <w:r w:rsidR="00846D2D">
        <w:t>)</w:t>
      </w:r>
      <w:r w:rsidRPr="00EF371D" w:rsidR="00846D2D">
        <w:t>.</w:t>
      </w:r>
    </w:p>
  </w:footnote>
  <w:footnote w:id="8">
    <w:p w:rsidR="001616D9" w:rsidRPr="000A3ECE" w:rsidP="00CC4C62" w14:paraId="0D239914" w14:textId="1E7D027A">
      <w:pPr>
        <w:pStyle w:val="FootnoteText"/>
      </w:pPr>
      <w:r w:rsidRPr="00E3459D">
        <w:rPr>
          <w:rStyle w:val="FootnoteReference"/>
        </w:rPr>
        <w:footnoteRef/>
      </w:r>
      <w:r w:rsidRPr="000A3ECE">
        <w:t xml:space="preserve"> </w:t>
      </w:r>
      <w:r w:rsidR="00125853">
        <w:rPr>
          <w:iCs/>
        </w:rPr>
        <w:t xml:space="preserve">City NAL, </w:t>
      </w:r>
      <w:r w:rsidR="00125853">
        <w:rPr>
          <w:i/>
        </w:rPr>
        <w:t>supra</w:t>
      </w:r>
      <w:r w:rsidR="00125853">
        <w:rPr>
          <w:iCs/>
        </w:rPr>
        <w:t xml:space="preserve"> note 2, </w:t>
      </w:r>
      <w:r w:rsidRPr="000A3ECE" w:rsidR="00B40AE7">
        <w:t>a</w:t>
      </w:r>
      <w:r w:rsidRPr="000A3ECE" w:rsidR="00AE5B1C">
        <w:t>t</w:t>
      </w:r>
      <w:r w:rsidRPr="000A3ECE" w:rsidR="00AE5B1C">
        <w:rPr>
          <w:i/>
        </w:rPr>
        <w:t xml:space="preserve"> </w:t>
      </w:r>
      <w:r w:rsidRPr="000A3ECE" w:rsidR="00AE5B1C">
        <w:t xml:space="preserve">para. </w:t>
      </w:r>
      <w:r w:rsidR="007C0147">
        <w:t>91</w:t>
      </w:r>
      <w:r w:rsidRPr="000A3ECE" w:rsidR="00AE5B1C">
        <w:t>.</w:t>
      </w:r>
    </w:p>
  </w:footnote>
  <w:footnote w:id="9">
    <w:p w:rsidR="001616D9" w:rsidRPr="000A3ECE" w:rsidP="00CC4C62" w14:paraId="5547DA9E" w14:textId="41CA1274">
      <w:pPr>
        <w:pStyle w:val="FootnoteText"/>
      </w:pPr>
      <w:r w:rsidRPr="00E3459D">
        <w:rPr>
          <w:rStyle w:val="FootnoteReference"/>
        </w:rPr>
        <w:footnoteRef/>
      </w:r>
      <w:r w:rsidRPr="000A3ECE">
        <w:t xml:space="preserve"> </w:t>
      </w:r>
      <w:r w:rsidRPr="000A3ECE" w:rsidR="00DF4C4D">
        <w:rPr>
          <w:i/>
        </w:rPr>
        <w:t>S</w:t>
      </w:r>
      <w:r w:rsidRPr="000A3ECE" w:rsidR="00AE5B1C">
        <w:rPr>
          <w:i/>
        </w:rPr>
        <w:t xml:space="preserve">ee generally id. </w:t>
      </w:r>
      <w:r w:rsidRPr="000A3ECE" w:rsidR="00AE5B1C">
        <w:t xml:space="preserve"> </w:t>
      </w:r>
    </w:p>
  </w:footnote>
  <w:footnote w:id="10">
    <w:p w:rsidR="00191E18" w:rsidRPr="000A3ECE" w:rsidP="00CC4C62" w14:paraId="79540938" w14:textId="700DC66A">
      <w:pPr>
        <w:pStyle w:val="FootnoteText"/>
      </w:pPr>
      <w:r w:rsidRPr="00E3459D">
        <w:rPr>
          <w:rStyle w:val="FootnoteReference"/>
        </w:rPr>
        <w:footnoteRef/>
      </w:r>
      <w:r w:rsidRPr="000A3ECE">
        <w:t xml:space="preserve"> </w:t>
      </w:r>
      <w:r w:rsidRPr="000A3ECE">
        <w:rPr>
          <w:i/>
        </w:rPr>
        <w:t xml:space="preserve">Id. </w:t>
      </w:r>
      <w:r w:rsidRPr="000A3ECE">
        <w:t>at para. 7</w:t>
      </w:r>
      <w:r w:rsidR="002B3355">
        <w:t>4</w:t>
      </w:r>
      <w:r w:rsidRPr="000A3ECE">
        <w:t>.</w:t>
      </w:r>
    </w:p>
  </w:footnote>
  <w:footnote w:id="11">
    <w:p w:rsidR="00191E18" w:rsidRPr="000A3ECE" w:rsidP="00CC4C62" w14:paraId="34C9D943" w14:textId="4605787F">
      <w:pPr>
        <w:pStyle w:val="FootnoteText"/>
      </w:pPr>
      <w:r w:rsidRPr="00E3459D">
        <w:rPr>
          <w:rStyle w:val="FootnoteReference"/>
        </w:rPr>
        <w:footnoteRef/>
      </w:r>
      <w:r w:rsidRPr="000A3ECE">
        <w:t xml:space="preserve"> </w:t>
      </w:r>
      <w:r w:rsidRPr="000A3ECE">
        <w:rPr>
          <w:i/>
        </w:rPr>
        <w:t xml:space="preserve">Id. </w:t>
      </w:r>
      <w:r w:rsidRPr="000A3ECE">
        <w:t>at para.</w:t>
      </w:r>
      <w:r w:rsidR="004E12DF">
        <w:t xml:space="preserve"> </w:t>
      </w:r>
      <w:r w:rsidRPr="000A3ECE">
        <w:t>42.</w:t>
      </w:r>
    </w:p>
  </w:footnote>
  <w:footnote w:id="12">
    <w:p w:rsidR="00191E18" w:rsidRPr="000A3ECE" w:rsidP="00CC4C62" w14:paraId="2AAE2709" w14:textId="4D9C1608">
      <w:pPr>
        <w:pStyle w:val="FootnoteText"/>
      </w:pPr>
      <w:r w:rsidRPr="00E3459D">
        <w:rPr>
          <w:rStyle w:val="FootnoteReference"/>
        </w:rPr>
        <w:footnoteRef/>
      </w:r>
      <w:r w:rsidRPr="000A3ECE">
        <w:t xml:space="preserve"> </w:t>
      </w:r>
      <w:r w:rsidRPr="000A3ECE">
        <w:rPr>
          <w:i/>
        </w:rPr>
        <w:t xml:space="preserve">Id. </w:t>
      </w:r>
      <w:r w:rsidRPr="000A3ECE">
        <w:t>at para.</w:t>
      </w:r>
      <w:r w:rsidR="004E12DF">
        <w:t xml:space="preserve"> </w:t>
      </w:r>
      <w:r w:rsidRPr="000A3ECE">
        <w:t>4</w:t>
      </w:r>
      <w:r w:rsidR="002B3355">
        <w:t>6</w:t>
      </w:r>
      <w:r w:rsidRPr="000A3ECE">
        <w:t>.</w:t>
      </w:r>
    </w:p>
  </w:footnote>
  <w:footnote w:id="13">
    <w:p w:rsidR="00191E18" w:rsidRPr="000A3ECE" w:rsidP="00CC4C62" w14:paraId="11FA6E9D" w14:textId="300D74DF">
      <w:pPr>
        <w:pStyle w:val="FootnoteText"/>
      </w:pPr>
      <w:r w:rsidRPr="00E3459D">
        <w:rPr>
          <w:rStyle w:val="FootnoteReference"/>
        </w:rPr>
        <w:footnoteRef/>
      </w:r>
      <w:r w:rsidRPr="000A3ECE">
        <w:t xml:space="preserve"> </w:t>
      </w:r>
      <w:r w:rsidRPr="000A3ECE">
        <w:rPr>
          <w:i/>
        </w:rPr>
        <w:t>Id.</w:t>
      </w:r>
    </w:p>
  </w:footnote>
  <w:footnote w:id="14">
    <w:p w:rsidR="00DF775D" w:rsidRPr="000A3ECE" w:rsidP="00CC4C62" w14:paraId="5ED29A1A" w14:textId="60A51A69">
      <w:pPr>
        <w:pStyle w:val="FootnoteText"/>
      </w:pPr>
      <w:r w:rsidRPr="00E3459D">
        <w:rPr>
          <w:rStyle w:val="FootnoteReference"/>
        </w:rPr>
        <w:footnoteRef/>
      </w:r>
      <w:r w:rsidRPr="000A3ECE">
        <w:t xml:space="preserve"> </w:t>
      </w:r>
      <w:r w:rsidRPr="000A3ECE">
        <w:rPr>
          <w:i/>
        </w:rPr>
        <w:t xml:space="preserve">Id. </w:t>
      </w:r>
      <w:r w:rsidRPr="000A3ECE">
        <w:t>at para</w:t>
      </w:r>
      <w:r w:rsidR="00927E07">
        <w:t>s</w:t>
      </w:r>
      <w:r w:rsidRPr="000A3ECE">
        <w:t>. 71</w:t>
      </w:r>
      <w:r w:rsidR="005B67E2">
        <w:t>-74</w:t>
      </w:r>
      <w:r w:rsidRPr="000A3ECE">
        <w:t>.</w:t>
      </w:r>
    </w:p>
  </w:footnote>
  <w:footnote w:id="15">
    <w:p w:rsidR="00DF775D" w:rsidRPr="000A3ECE" w:rsidP="00CC4C62" w14:paraId="7E546BA3" w14:textId="4AEB7F26">
      <w:pPr>
        <w:pStyle w:val="FootnoteText"/>
      </w:pPr>
      <w:r w:rsidRPr="00E3459D">
        <w:rPr>
          <w:rStyle w:val="FootnoteReference"/>
        </w:rPr>
        <w:footnoteRef/>
      </w:r>
      <w:r w:rsidRPr="000A3ECE">
        <w:t xml:space="preserve"> </w:t>
      </w:r>
      <w:r w:rsidRPr="000A3ECE">
        <w:rPr>
          <w:i/>
        </w:rPr>
        <w:t xml:space="preserve">Id. </w:t>
      </w:r>
      <w:r w:rsidRPr="000A3ECE">
        <w:t>at para. 37.</w:t>
      </w:r>
    </w:p>
  </w:footnote>
  <w:footnote w:id="16">
    <w:p w:rsidR="00DF775D" w:rsidRPr="000A3ECE" w:rsidP="00CC4C62" w14:paraId="10064250" w14:textId="36D4EA69">
      <w:pPr>
        <w:pStyle w:val="FootnoteText"/>
      </w:pPr>
      <w:r w:rsidRPr="00E3459D">
        <w:rPr>
          <w:rStyle w:val="FootnoteReference"/>
        </w:rPr>
        <w:footnoteRef/>
      </w:r>
      <w:r w:rsidRPr="000A3ECE">
        <w:t xml:space="preserve"> </w:t>
      </w:r>
      <w:r w:rsidRPr="000A3ECE">
        <w:rPr>
          <w:i/>
        </w:rPr>
        <w:t xml:space="preserve">Id. </w:t>
      </w:r>
      <w:r w:rsidRPr="000A3ECE">
        <w:t>at para</w:t>
      </w:r>
      <w:r w:rsidR="00927E07">
        <w:t>s</w:t>
      </w:r>
      <w:r w:rsidRPr="000A3ECE">
        <w:t>. 6</w:t>
      </w:r>
      <w:r w:rsidR="005B67E2">
        <w:t>6</w:t>
      </w:r>
      <w:r w:rsidRPr="000A3ECE">
        <w:t>-</w:t>
      </w:r>
      <w:r w:rsidR="005B67E2">
        <w:t>70</w:t>
      </w:r>
      <w:r w:rsidRPr="000A3ECE">
        <w:t>.</w:t>
      </w:r>
    </w:p>
  </w:footnote>
  <w:footnote w:id="17">
    <w:p w:rsidR="003677E1" w:rsidRPr="000A3ECE" w:rsidP="00CC4C62" w14:paraId="5CE03A0F" w14:textId="5F5B5B89">
      <w:pPr>
        <w:pStyle w:val="FootnoteText"/>
      </w:pPr>
      <w:r w:rsidRPr="00E3459D">
        <w:rPr>
          <w:rStyle w:val="FootnoteReference"/>
        </w:rPr>
        <w:footnoteRef/>
      </w:r>
      <w:r w:rsidRPr="000A3ECE" w:rsidR="009F45E9">
        <w:rPr>
          <w:i/>
        </w:rPr>
        <w:t xml:space="preserve"> Id</w:t>
      </w:r>
      <w:r w:rsidRPr="000A3ECE" w:rsidR="007937E1">
        <w:rPr>
          <w:i/>
        </w:rPr>
        <w:t>.</w:t>
      </w:r>
      <w:r w:rsidRPr="000A3ECE" w:rsidR="009F45E9">
        <w:rPr>
          <w:i/>
        </w:rPr>
        <w:t xml:space="preserve"> </w:t>
      </w:r>
      <w:r w:rsidRPr="000A3ECE" w:rsidR="009F45E9">
        <w:t>at para. 9</w:t>
      </w:r>
      <w:r w:rsidR="005B67E2">
        <w:t>5</w:t>
      </w:r>
      <w:r w:rsidRPr="000A3ECE" w:rsidR="009F45E9">
        <w:t>.</w:t>
      </w:r>
      <w:r w:rsidRPr="000A3ECE" w:rsidR="00AE5B1C">
        <w:rPr>
          <w:i/>
        </w:rPr>
        <w:t xml:space="preserve"> </w:t>
      </w:r>
      <w:r w:rsidRPr="000A3ECE" w:rsidR="00AE5B1C">
        <w:t xml:space="preserve"> </w:t>
      </w:r>
    </w:p>
  </w:footnote>
  <w:footnote w:id="18">
    <w:p w:rsidR="00A35ADD" w:rsidRPr="00E3459D" w:rsidP="00CC4C62" w14:paraId="29492501" w14:textId="6C5D8BF5">
      <w:pPr>
        <w:pStyle w:val="FootnoteText"/>
      </w:pPr>
      <w:r w:rsidRPr="00E3459D">
        <w:rPr>
          <w:rStyle w:val="FootnoteReference"/>
        </w:rPr>
        <w:footnoteRef/>
      </w:r>
      <w:r w:rsidRPr="00E3459D">
        <w:t xml:space="preserve"> </w:t>
      </w:r>
      <w:r w:rsidRPr="00E3459D">
        <w:rPr>
          <w:i/>
        </w:rPr>
        <w:t xml:space="preserve">Id. </w:t>
      </w:r>
      <w:r w:rsidRPr="00E3459D">
        <w:t xml:space="preserve">at para. </w:t>
      </w:r>
      <w:r w:rsidR="005B67E2">
        <w:t>51</w:t>
      </w:r>
      <w:r w:rsidRPr="00E3459D">
        <w:t>.</w:t>
      </w:r>
      <w:r w:rsidRPr="00E3459D">
        <w:rPr>
          <w:i/>
        </w:rPr>
        <w:t xml:space="preserve"> </w:t>
      </w:r>
      <w:r w:rsidRPr="00E3459D">
        <w:t xml:space="preserve"> </w:t>
      </w:r>
    </w:p>
  </w:footnote>
  <w:footnote w:id="19">
    <w:p w:rsidR="005B67E2" w:rsidRPr="00896DAA" w:rsidP="00CC4C62" w14:paraId="77103EB0" w14:textId="77777777">
      <w:pPr>
        <w:pStyle w:val="FootnoteText"/>
      </w:pPr>
      <w:r w:rsidRPr="00896DAA">
        <w:rPr>
          <w:rStyle w:val="FootnoteReference"/>
        </w:rPr>
        <w:footnoteRef/>
      </w:r>
      <w:r w:rsidRPr="00896DAA">
        <w:t xml:space="preserve"> </w:t>
      </w:r>
      <w:bookmarkStart w:id="3" w:name="_Hlk141362908"/>
      <w:r w:rsidRPr="00896DAA">
        <w:rPr>
          <w:i/>
          <w:iCs/>
        </w:rPr>
        <w:t>Id.</w:t>
      </w:r>
      <w:r w:rsidRPr="00896DAA">
        <w:t xml:space="preserve">  </w:t>
      </w:r>
      <w:bookmarkEnd w:id="3"/>
    </w:p>
  </w:footnote>
  <w:footnote w:id="20">
    <w:p w:rsidR="00896DAA" w:rsidRPr="00D36792" w:rsidP="00CC4C62" w14:paraId="0A840AD8" w14:textId="7F98B3AE">
      <w:pPr>
        <w:pStyle w:val="FootnoteText"/>
      </w:pPr>
      <w:r w:rsidRPr="00896DAA">
        <w:rPr>
          <w:rStyle w:val="FootnoteReference"/>
        </w:rPr>
        <w:footnoteRef/>
      </w:r>
      <w:r w:rsidRPr="00896DAA">
        <w:t xml:space="preserve"> </w:t>
      </w:r>
      <w:r w:rsidRPr="00896DAA">
        <w:rPr>
          <w:i/>
          <w:iCs/>
        </w:rPr>
        <w:t>Id.</w:t>
      </w:r>
      <w:r>
        <w:t xml:space="preserve"> at para</w:t>
      </w:r>
      <w:r w:rsidR="00AC4530">
        <w:t>.</w:t>
      </w:r>
      <w:r>
        <w:t xml:space="preserve"> 52.</w:t>
      </w:r>
      <w:r w:rsidRPr="00896DAA">
        <w:t xml:space="preserve">  </w:t>
      </w:r>
    </w:p>
  </w:footnote>
  <w:footnote w:id="21">
    <w:p w:rsidR="00D74C80" w:rsidP="00CC4C62" w14:paraId="0EF97338" w14:textId="1360EC64">
      <w:pPr>
        <w:pStyle w:val="FootnoteText"/>
      </w:pPr>
      <w:r>
        <w:rPr>
          <w:rStyle w:val="FootnoteReference"/>
        </w:rPr>
        <w:footnoteRef/>
      </w:r>
      <w:r>
        <w:t xml:space="preserve"> </w:t>
      </w:r>
      <w:r w:rsidRPr="00896DAA">
        <w:rPr>
          <w:i/>
          <w:iCs/>
        </w:rPr>
        <w:t>Id</w:t>
      </w:r>
      <w:r>
        <w:rPr>
          <w:i/>
          <w:iCs/>
        </w:rPr>
        <w:t>.</w:t>
      </w:r>
    </w:p>
  </w:footnote>
  <w:footnote w:id="22">
    <w:p w:rsidR="00DF775D" w:rsidRPr="00E3459D" w:rsidP="00CC4C62" w14:paraId="1E1C648D" w14:textId="2A5122B8">
      <w:pPr>
        <w:pStyle w:val="FootnoteText"/>
      </w:pPr>
      <w:r w:rsidRPr="00E3459D">
        <w:rPr>
          <w:rStyle w:val="FootnoteReference"/>
        </w:rPr>
        <w:footnoteRef/>
      </w:r>
      <w:r w:rsidRPr="00E3459D">
        <w:t xml:space="preserve"> </w:t>
      </w:r>
      <w:r w:rsidRPr="00E3459D">
        <w:rPr>
          <w:i/>
          <w:iCs/>
        </w:rPr>
        <w:t xml:space="preserve">Id. </w:t>
      </w:r>
      <w:r w:rsidRPr="00E3459D">
        <w:t>at para</w:t>
      </w:r>
      <w:r w:rsidR="00927E07">
        <w:t>s</w:t>
      </w:r>
      <w:r w:rsidRPr="00E3459D">
        <w:t>. 33-34.</w:t>
      </w:r>
    </w:p>
  </w:footnote>
  <w:footnote w:id="23">
    <w:p w:rsidR="00F3562E" w:rsidRPr="00E3459D" w:rsidP="00CC4C62" w14:paraId="424A27E0" w14:textId="77777777">
      <w:pPr>
        <w:pStyle w:val="FootnoteText"/>
      </w:pPr>
      <w:r w:rsidRPr="00E3459D">
        <w:rPr>
          <w:rStyle w:val="FootnoteReference"/>
        </w:rPr>
        <w:footnoteRef/>
      </w:r>
      <w:r w:rsidRPr="00E3459D">
        <w:t xml:space="preserve"> </w:t>
      </w:r>
      <w:r w:rsidRPr="00E3459D">
        <w:rPr>
          <w:i/>
          <w:iCs/>
        </w:rPr>
        <w:t xml:space="preserve">Id. </w:t>
      </w:r>
      <w:r w:rsidRPr="00E3459D">
        <w:t xml:space="preserve">at para. 34.  </w:t>
      </w:r>
      <w:r w:rsidRPr="00E3459D">
        <w:rPr>
          <w:i/>
          <w:iCs/>
        </w:rPr>
        <w:t>See also</w:t>
      </w:r>
      <w:r w:rsidRPr="00E3459D">
        <w:t xml:space="preserve"> Declaration of Ashar Syed at para. 2.</w:t>
      </w:r>
    </w:p>
  </w:footnote>
  <w:footnote w:id="24">
    <w:p w:rsidR="005C5259" w:rsidP="00CC4C62" w14:paraId="3238C1AC" w14:textId="77777777">
      <w:pPr>
        <w:pStyle w:val="FootnoteText"/>
      </w:pPr>
      <w:r>
        <w:rPr>
          <w:rStyle w:val="FootnoteReference"/>
        </w:rPr>
        <w:footnoteRef/>
      </w:r>
      <w:r>
        <w:t xml:space="preserve"> </w:t>
      </w:r>
      <w:r w:rsidRPr="00E3459D">
        <w:t>47 CFR § </w:t>
      </w:r>
      <w:r>
        <w:t>54.1801(e)(2).</w:t>
      </w:r>
    </w:p>
  </w:footnote>
  <w:footnote w:id="25">
    <w:p w:rsidR="002B549D" w:rsidRPr="000A3ECE" w:rsidP="00CC4C62" w14:paraId="46FF5D58" w14:textId="610C67AD">
      <w:pPr>
        <w:pStyle w:val="FootnoteText"/>
      </w:pPr>
      <w:r w:rsidRPr="00E3459D">
        <w:rPr>
          <w:rStyle w:val="FootnoteReference"/>
        </w:rPr>
        <w:footnoteRef/>
      </w:r>
      <w:r w:rsidRPr="00E3459D">
        <w:t xml:space="preserve"> </w:t>
      </w:r>
      <w:r w:rsidRPr="005C5259" w:rsidR="005C5259">
        <w:rPr>
          <w:i/>
          <w:iCs/>
        </w:rPr>
        <w:t>Id.</w:t>
      </w:r>
      <w:r w:rsidR="005E33D6">
        <w:rPr>
          <w:i/>
          <w:iCs/>
        </w:rPr>
        <w:t xml:space="preserve"> </w:t>
      </w:r>
      <w:r w:rsidRPr="00E3459D">
        <w:t>§ 54.1801(e)(2)(ii)(A)-(B).</w:t>
      </w:r>
    </w:p>
  </w:footnote>
  <w:footnote w:id="26">
    <w:p w:rsidR="001C5B40" w:rsidRPr="000A3ECE" w:rsidP="00CC4C62" w14:paraId="479F1B08" w14:textId="7D99592D">
      <w:pPr>
        <w:pStyle w:val="FootnoteText"/>
      </w:pPr>
      <w:r w:rsidRPr="00E3459D">
        <w:rPr>
          <w:rStyle w:val="FootnoteReference"/>
        </w:rPr>
        <w:footnoteRef/>
      </w:r>
      <w:r w:rsidRPr="00E3459D">
        <w:t xml:space="preserve"> </w:t>
      </w:r>
      <w:r w:rsidRPr="00E3459D" w:rsidR="005D77E1">
        <w:rPr>
          <w:i/>
          <w:iCs/>
        </w:rPr>
        <w:t>Affordable Connectivity Program</w:t>
      </w:r>
      <w:r w:rsidRPr="00E3459D" w:rsidR="005D77E1">
        <w:t xml:space="preserve">, WC Docket No. 21-450, Report and Order and Further Notice of Proposed Rulemaking, 37 FCC </w:t>
      </w:r>
      <w:r w:rsidRPr="00E3459D" w:rsidR="005D77E1">
        <w:t>Rcd</w:t>
      </w:r>
      <w:r w:rsidRPr="00E3459D" w:rsidR="005D77E1">
        <w:t xml:space="preserve"> 484, 596, para. 242 (2022) (</w:t>
      </w:r>
      <w:r w:rsidRPr="00E3459D" w:rsidR="005D77E1">
        <w:rPr>
          <w:i/>
          <w:iCs/>
        </w:rPr>
        <w:t>ACP Order</w:t>
      </w:r>
      <w:r w:rsidRPr="00E3459D" w:rsidR="005D77E1">
        <w:t>)</w:t>
      </w:r>
      <w:r w:rsidRPr="00E3459D">
        <w:rPr>
          <w:rStyle w:val="normaltextrun"/>
        </w:rPr>
        <w:t>.</w:t>
      </w:r>
    </w:p>
  </w:footnote>
  <w:footnote w:id="27">
    <w:p w:rsidR="00B9381E" w:rsidRPr="000A3ECE" w:rsidP="00CC4C62" w14:paraId="6390E8AC" w14:textId="2E4FFF37">
      <w:pPr>
        <w:pStyle w:val="FootnoteText"/>
      </w:pPr>
      <w:r w:rsidRPr="00E3459D">
        <w:rPr>
          <w:rStyle w:val="FootnoteReference"/>
        </w:rPr>
        <w:footnoteRef/>
      </w:r>
      <w:r w:rsidRPr="000A3ECE">
        <w:t xml:space="preserve"> </w:t>
      </w:r>
      <w:r w:rsidR="00FB7842">
        <w:t>City</w:t>
      </w:r>
      <w:r w:rsidRPr="000A3ECE" w:rsidR="005C369E">
        <w:t xml:space="preserve"> NAL</w:t>
      </w:r>
      <w:r w:rsidR="004E12DF">
        <w:t xml:space="preserve">, </w:t>
      </w:r>
      <w:r w:rsidRPr="004E12DF" w:rsidR="004E12DF">
        <w:rPr>
          <w:i/>
          <w:iCs/>
        </w:rPr>
        <w:t xml:space="preserve">supra </w:t>
      </w:r>
      <w:r w:rsidRPr="004E12DF" w:rsidR="004E12DF">
        <w:t xml:space="preserve">note </w:t>
      </w:r>
      <w:r w:rsidR="005C5259">
        <w:t>2</w:t>
      </w:r>
      <w:r w:rsidR="004E12DF">
        <w:t>,</w:t>
      </w:r>
      <w:r w:rsidRPr="000A3ECE" w:rsidR="00EB4827">
        <w:rPr>
          <w:i/>
        </w:rPr>
        <w:t xml:space="preserve"> </w:t>
      </w:r>
      <w:r w:rsidRPr="000A3ECE" w:rsidR="00EB4827">
        <w:t>at</w:t>
      </w:r>
      <w:r w:rsidRPr="000A3ECE" w:rsidR="00AE5B1C">
        <w:rPr>
          <w:i/>
        </w:rPr>
        <w:t xml:space="preserve"> </w:t>
      </w:r>
      <w:r w:rsidRPr="000A3ECE" w:rsidR="00AE5B1C">
        <w:t>paras. 9</w:t>
      </w:r>
      <w:r w:rsidR="003C28CA">
        <w:t>3</w:t>
      </w:r>
      <w:r w:rsidRPr="000A3ECE" w:rsidR="00AE5B1C">
        <w:t>-9</w:t>
      </w:r>
      <w:r w:rsidR="003C28CA">
        <w:t>7</w:t>
      </w:r>
      <w:r w:rsidRPr="000A3ECE">
        <w:t>.</w:t>
      </w:r>
    </w:p>
  </w:footnote>
  <w:footnote w:id="28">
    <w:p w:rsidR="005C5259" w:rsidRPr="00BD139A" w:rsidP="00CC4C62" w14:paraId="5451D6F4" w14:textId="77777777">
      <w:pPr>
        <w:pStyle w:val="FootnoteText"/>
      </w:pPr>
      <w:r>
        <w:rPr>
          <w:rStyle w:val="FootnoteReference"/>
        </w:rPr>
        <w:footnoteRef/>
      </w:r>
      <w:r>
        <w:t xml:space="preserve"> </w:t>
      </w:r>
      <w:r w:rsidRPr="00E3459D">
        <w:t>47 CFR § </w:t>
      </w:r>
      <w:r>
        <w:t>54.1801(e)(2)(iii)(B).</w:t>
      </w:r>
    </w:p>
  </w:footnote>
  <w:footnote w:id="29">
    <w:p w:rsidR="003677E1" w:rsidRPr="000A3ECE" w:rsidP="00CC4C62" w14:paraId="0B001726" w14:textId="6726DA94">
      <w:pPr>
        <w:pStyle w:val="FootnoteText"/>
      </w:pPr>
      <w:r w:rsidRPr="00E3459D">
        <w:rPr>
          <w:rStyle w:val="FootnoteReference"/>
        </w:rPr>
        <w:footnoteRef/>
      </w:r>
      <w:r w:rsidRPr="000A3ECE">
        <w:t xml:space="preserve"> </w:t>
      </w:r>
      <w:r w:rsidR="002A0999">
        <w:t>City</w:t>
      </w:r>
      <w:r w:rsidRPr="000A3ECE" w:rsidR="002A0999">
        <w:t xml:space="preserve"> NAL</w:t>
      </w:r>
      <w:r w:rsidR="002A0999">
        <w:t xml:space="preserve">, </w:t>
      </w:r>
      <w:r w:rsidRPr="004E12DF" w:rsidR="002A0999">
        <w:rPr>
          <w:i/>
          <w:iCs/>
        </w:rPr>
        <w:t xml:space="preserve">supra </w:t>
      </w:r>
      <w:r w:rsidRPr="004E12DF" w:rsidR="002A0999">
        <w:t xml:space="preserve">note </w:t>
      </w:r>
      <w:r w:rsidR="002A0999">
        <w:t>2,</w:t>
      </w:r>
      <w:r w:rsidRPr="000A3ECE" w:rsidR="002A0999">
        <w:rPr>
          <w:i/>
        </w:rPr>
        <w:t xml:space="preserve"> </w:t>
      </w:r>
      <w:r w:rsidRPr="000A3ECE" w:rsidR="002A0999">
        <w:t>at</w:t>
      </w:r>
      <w:r w:rsidRPr="000A3ECE" w:rsidR="002A0999">
        <w:rPr>
          <w:i/>
        </w:rPr>
        <w:t xml:space="preserve"> </w:t>
      </w:r>
      <w:r w:rsidRPr="000A3ECE" w:rsidR="002A0999">
        <w:t>para</w:t>
      </w:r>
      <w:r w:rsidR="002A0999">
        <w:t>. 96.</w:t>
      </w:r>
    </w:p>
  </w:footnote>
  <w:footnote w:id="30">
    <w:p w:rsidR="007937E1" w:rsidRPr="00EF371D" w:rsidP="00CC4C62" w14:paraId="58575C7F" w14:textId="47D2C2C3">
      <w:pPr>
        <w:pStyle w:val="FootnoteText"/>
      </w:pPr>
      <w:r w:rsidRPr="00E3459D">
        <w:rPr>
          <w:rStyle w:val="FootnoteReference"/>
        </w:rPr>
        <w:footnoteRef/>
      </w:r>
      <w:r w:rsidRPr="000A3ECE">
        <w:t xml:space="preserve"> </w:t>
      </w:r>
      <w:r w:rsidR="00125853">
        <w:t>FCC</w:t>
      </w:r>
      <w:r w:rsidR="00846D2D">
        <w:t xml:space="preserve"> Letter</w:t>
      </w:r>
      <w:r w:rsidR="00125853">
        <w:t xml:space="preserve"> to USAC</w:t>
      </w:r>
      <w:r w:rsidR="00846D2D">
        <w:t xml:space="preserve">, </w:t>
      </w:r>
      <w:r w:rsidR="00846D2D">
        <w:rPr>
          <w:i/>
          <w:iCs/>
        </w:rPr>
        <w:t>supra</w:t>
      </w:r>
      <w:r w:rsidR="00846D2D">
        <w:t xml:space="preserve"> note 5</w:t>
      </w:r>
      <w:r w:rsidRPr="00EF371D" w:rsidR="00EF371D">
        <w:t>.</w:t>
      </w:r>
    </w:p>
  </w:footnote>
  <w:footnote w:id="31">
    <w:p w:rsidR="001616D9" w:rsidRPr="00EF371D" w:rsidP="002A0999" w14:paraId="0A971B6F" w14:textId="55992E91">
      <w:pPr>
        <w:pStyle w:val="Default"/>
        <w:spacing w:after="120"/>
        <w:rPr>
          <w:rFonts w:eastAsiaTheme="minorHAnsi"/>
          <w:sz w:val="23"/>
          <w:szCs w:val="23"/>
        </w:rPr>
      </w:pPr>
      <w:r w:rsidRPr="00EF371D">
        <w:rPr>
          <w:rStyle w:val="FootnoteReference"/>
          <w:szCs w:val="20"/>
        </w:rPr>
        <w:footnoteRef/>
      </w:r>
      <w:r w:rsidRPr="00EF371D">
        <w:rPr>
          <w:sz w:val="20"/>
          <w:szCs w:val="20"/>
        </w:rPr>
        <w:t xml:space="preserve"> </w:t>
      </w:r>
      <w:bookmarkStart w:id="4" w:name="_Hlk165985087"/>
      <w:r w:rsidRPr="00EF371D" w:rsidR="005C5259">
        <w:rPr>
          <w:sz w:val="20"/>
          <w:szCs w:val="20"/>
        </w:rPr>
        <w:t xml:space="preserve">Letter from </w:t>
      </w:r>
      <w:r w:rsidRPr="00EF371D" w:rsidR="00EF371D">
        <w:rPr>
          <w:sz w:val="20"/>
          <w:szCs w:val="20"/>
        </w:rPr>
        <w:t>Tim O’Brien</w:t>
      </w:r>
      <w:r w:rsidRPr="00EF371D" w:rsidR="00EF371D">
        <w:rPr>
          <w:rFonts w:eastAsiaTheme="minorHAnsi"/>
          <w:sz w:val="20"/>
          <w:szCs w:val="20"/>
        </w:rPr>
        <w:t>,</w:t>
      </w:r>
      <w:r w:rsidR="00EF371D">
        <w:rPr>
          <w:rFonts w:eastAsiaTheme="minorHAnsi"/>
          <w:sz w:val="20"/>
          <w:szCs w:val="20"/>
        </w:rPr>
        <w:t xml:space="preserve"> </w:t>
      </w:r>
      <w:r w:rsidRPr="00EF371D" w:rsidR="00EF371D">
        <w:rPr>
          <w:sz w:val="20"/>
          <w:szCs w:val="20"/>
        </w:rPr>
        <w:t xml:space="preserve">Vice President of Lifeline and Affordable Connectivity Program, </w:t>
      </w:r>
      <w:r w:rsidRPr="00EF371D" w:rsidR="005C5259">
        <w:rPr>
          <w:sz w:val="20"/>
          <w:szCs w:val="20"/>
        </w:rPr>
        <w:t xml:space="preserve">Universal Service Admin. Co. to </w:t>
      </w:r>
      <w:r w:rsidRPr="00EF371D" w:rsidR="00EF371D">
        <w:rPr>
          <w:sz w:val="20"/>
          <w:szCs w:val="20"/>
        </w:rPr>
        <w:t>Faraz Mobeen, City Commc’ns</w:t>
      </w:r>
      <w:r w:rsidRPr="00EF371D" w:rsidR="00EF371D">
        <w:rPr>
          <w:rFonts w:eastAsiaTheme="minorHAnsi"/>
          <w:sz w:val="20"/>
          <w:szCs w:val="20"/>
        </w:rPr>
        <w:t xml:space="preserve"> </w:t>
      </w:r>
      <w:r w:rsidRPr="00EF371D" w:rsidR="005C5259">
        <w:rPr>
          <w:sz w:val="20"/>
          <w:szCs w:val="20"/>
        </w:rPr>
        <w:t>(Feb. 28, 2024)</w:t>
      </w:r>
      <w:r w:rsidRPr="00EF371D">
        <w:rPr>
          <w:sz w:val="20"/>
          <w:szCs w:val="20"/>
        </w:rPr>
        <w:t>.</w:t>
      </w:r>
      <w:bookmarkEnd w:id="4"/>
    </w:p>
  </w:footnote>
  <w:footnote w:id="32">
    <w:p w:rsidR="00FD1A87" w:rsidRPr="000A3ECE" w:rsidP="002A0999" w14:paraId="46B73F37" w14:textId="060835F8">
      <w:pPr>
        <w:pStyle w:val="FootnoteText"/>
      </w:pPr>
      <w:r w:rsidRPr="00E3459D">
        <w:rPr>
          <w:rStyle w:val="FootnoteReference"/>
        </w:rPr>
        <w:footnoteRef/>
      </w:r>
      <w:r w:rsidRPr="000A3ECE">
        <w:t xml:space="preserve"> </w:t>
      </w:r>
      <w:r w:rsidR="00FB7842">
        <w:t>City</w:t>
      </w:r>
      <w:r w:rsidRPr="000A3ECE" w:rsidR="009A01DD">
        <w:t xml:space="preserve"> Response</w:t>
      </w:r>
      <w:r w:rsidR="004E12DF">
        <w:t xml:space="preserve">, </w:t>
      </w:r>
      <w:r w:rsidRPr="004E12DF" w:rsidR="004E12DF">
        <w:rPr>
          <w:i/>
          <w:iCs/>
        </w:rPr>
        <w:t xml:space="preserve">supra </w:t>
      </w:r>
      <w:r w:rsidRPr="004E12DF" w:rsidR="004E12DF">
        <w:t xml:space="preserve">note </w:t>
      </w:r>
      <w:r w:rsidR="005C5259">
        <w:t>3</w:t>
      </w:r>
      <w:r w:rsidR="004E12DF">
        <w:t>.</w:t>
      </w:r>
      <w:r w:rsidR="00EE2BB5">
        <w:t xml:space="preserve">  </w:t>
      </w:r>
      <w:bookmarkStart w:id="5" w:name="_Hlk165983353"/>
      <w:r w:rsidR="00EE2BB5">
        <w:t xml:space="preserve">While City emailed its response to the Commission on April 11, 2024, it filed a public version of the response in WC Docket No. 21-450, as required by </w:t>
      </w:r>
      <w:r w:rsidR="00EF371D">
        <w:t xml:space="preserve">the </w:t>
      </w:r>
      <w:r w:rsidR="00EE2BB5">
        <w:t xml:space="preserve">NAL, on May 6, 2024. </w:t>
      </w:r>
      <w:bookmarkEnd w:id="5"/>
    </w:p>
  </w:footnote>
  <w:footnote w:id="33">
    <w:p w:rsidR="00FD1A87" w:rsidRPr="000A3ECE" w:rsidP="00CC4C62" w14:paraId="4F73D578" w14:textId="1F1144F2">
      <w:pPr>
        <w:pStyle w:val="FootnoteText"/>
      </w:pPr>
      <w:r w:rsidRPr="00E3459D">
        <w:rPr>
          <w:rStyle w:val="FootnoteReference"/>
        </w:rPr>
        <w:footnoteRef/>
      </w:r>
      <w:r w:rsidRPr="000A3ECE">
        <w:t xml:space="preserve"> </w:t>
      </w:r>
      <w:r w:rsidRPr="001F7B7C" w:rsidR="001F7B7C">
        <w:t>The</w:t>
      </w:r>
      <w:r w:rsidRPr="001F7B7C" w:rsidR="00CF55CC">
        <w:t xml:space="preserve"> </w:t>
      </w:r>
      <w:r w:rsidRPr="000A3ECE" w:rsidR="00CF55CC">
        <w:t xml:space="preserve">ACP safe harbor provision states that the Commission may not enforce an ACP violation where the provider has used the National Verifier for eligibility determinations and has acted “in </w:t>
      </w:r>
      <w:r w:rsidRPr="000A3ECE" w:rsidR="00CF55CC">
        <w:rPr>
          <w:i/>
        </w:rPr>
        <w:t>good faith</w:t>
      </w:r>
      <w:r w:rsidRPr="000A3ECE" w:rsidR="00CF55CC">
        <w:t xml:space="preserve"> with respect to the eligibility verification processes…” </w:t>
      </w:r>
      <w:r w:rsidR="00AE2348">
        <w:t xml:space="preserve"> </w:t>
      </w:r>
      <w:r w:rsidR="001F7B7C">
        <w:rPr>
          <w:i/>
        </w:rPr>
        <w:t xml:space="preserve">ACP </w:t>
      </w:r>
      <w:r w:rsidRPr="00E3459D" w:rsidR="001F7B7C">
        <w:rPr>
          <w:i/>
          <w:iCs/>
        </w:rPr>
        <w:t>Order</w:t>
      </w:r>
      <w:r w:rsidRPr="000A3ECE" w:rsidR="001F7B7C">
        <w:t xml:space="preserve">, </w:t>
      </w:r>
      <w:r w:rsidRPr="004E12DF" w:rsidR="001F7B7C">
        <w:rPr>
          <w:i/>
          <w:iCs/>
        </w:rPr>
        <w:t xml:space="preserve">supra </w:t>
      </w:r>
      <w:r w:rsidRPr="004E12DF" w:rsidR="001F7B7C">
        <w:t xml:space="preserve">note </w:t>
      </w:r>
      <w:r w:rsidR="001F7B7C">
        <w:t>2</w:t>
      </w:r>
      <w:r w:rsidR="007A5F2B">
        <w:t>3</w:t>
      </w:r>
      <w:r w:rsidR="001F7B7C">
        <w:t xml:space="preserve">, </w:t>
      </w:r>
      <w:r w:rsidRPr="00E3459D" w:rsidR="001F7B7C">
        <w:t>at</w:t>
      </w:r>
      <w:r w:rsidRPr="000A3ECE" w:rsidR="001F7B7C">
        <w:t xml:space="preserve"> 594, para. 238</w:t>
      </w:r>
      <w:r w:rsidRPr="00E3459D" w:rsidR="001F7B7C">
        <w:t>;</w:t>
      </w:r>
      <w:r w:rsidRPr="000A3ECE" w:rsidR="001F7B7C">
        <w:t xml:space="preserve"> </w:t>
      </w:r>
      <w:r w:rsidRPr="000A3ECE" w:rsidR="001F7B7C">
        <w:rPr>
          <w:i/>
        </w:rPr>
        <w:t xml:space="preserve">see </w:t>
      </w:r>
      <w:r w:rsidRPr="000A3ECE" w:rsidR="001F7B7C">
        <w:t>47 U.S.C. §</w:t>
      </w:r>
      <w:r w:rsidR="00450C5B">
        <w:t> </w:t>
      </w:r>
      <w:r w:rsidRPr="000A3ECE" w:rsidR="001F7B7C">
        <w:t xml:space="preserve">1752(j) (ACP safe harbor provision). </w:t>
      </w:r>
    </w:p>
  </w:footnote>
  <w:footnote w:id="34">
    <w:p w:rsidR="00FD1A87" w:rsidRPr="000A3ECE" w:rsidP="00CC4C62" w14:paraId="5F05F3E7" w14:textId="0EAFF319">
      <w:pPr>
        <w:pStyle w:val="FootnoteText"/>
      </w:pPr>
      <w:r w:rsidRPr="00E3459D">
        <w:rPr>
          <w:rStyle w:val="FootnoteReference"/>
        </w:rPr>
        <w:footnoteRef/>
      </w:r>
      <w:r w:rsidRPr="000A3ECE">
        <w:t xml:space="preserve"> </w:t>
      </w:r>
      <w:r w:rsidRPr="000A3ECE">
        <w:rPr>
          <w:i/>
        </w:rPr>
        <w:t xml:space="preserve">See </w:t>
      </w:r>
      <w:r w:rsidR="00FB7842">
        <w:t>City</w:t>
      </w:r>
      <w:r w:rsidRPr="000A3ECE">
        <w:t xml:space="preserve"> Response</w:t>
      </w:r>
      <w:r w:rsidR="004E12DF">
        <w:t xml:space="preserve">, </w:t>
      </w:r>
      <w:r w:rsidRPr="004E12DF" w:rsidR="004E12DF">
        <w:rPr>
          <w:i/>
          <w:iCs/>
        </w:rPr>
        <w:t xml:space="preserve">supra </w:t>
      </w:r>
      <w:r w:rsidRPr="004E12DF" w:rsidR="004E12DF">
        <w:t xml:space="preserve">note </w:t>
      </w:r>
      <w:r w:rsidR="004E12DF">
        <w:t>2</w:t>
      </w:r>
      <w:r w:rsidRPr="000A3ECE">
        <w:t>.</w:t>
      </w:r>
      <w:r w:rsidRPr="000A3ECE" w:rsidR="00D231D9">
        <w:t xml:space="preserve">  We note that the NAL’s proposed forfeiture is not at issue for the removal proceeding and shall be addressed separately by the Commission. </w:t>
      </w:r>
    </w:p>
  </w:footnote>
  <w:footnote w:id="35">
    <w:p w:rsidR="00105158" w:rsidRPr="00E3459D" w:rsidP="00CC4C62" w14:paraId="2DBF334A" w14:textId="77777777">
      <w:pPr>
        <w:pStyle w:val="FootnoteText"/>
      </w:pPr>
      <w:r w:rsidRPr="00E3459D">
        <w:rPr>
          <w:rStyle w:val="FootnoteReference"/>
        </w:rPr>
        <w:footnoteRef/>
      </w:r>
      <w:r w:rsidRPr="00E3459D">
        <w:t xml:space="preserve"> </w:t>
      </w:r>
      <w:r w:rsidRPr="00E3459D">
        <w:rPr>
          <w:lang w:val="es-MX"/>
        </w:rPr>
        <w:t xml:space="preserve">47 CFR </w:t>
      </w:r>
      <w:r w:rsidRPr="00E3459D">
        <w:rPr>
          <w:snapToGrid w:val="0"/>
          <w:lang w:val="es-MX"/>
        </w:rPr>
        <w:t>§ 54.1801(e)(2)(</w:t>
      </w:r>
      <w:r w:rsidRPr="00E3459D">
        <w:rPr>
          <w:snapToGrid w:val="0"/>
          <w:lang w:val="es-MX"/>
        </w:rPr>
        <w:t>iii</w:t>
      </w:r>
      <w:r w:rsidRPr="00E3459D">
        <w:rPr>
          <w:snapToGrid w:val="0"/>
          <w:lang w:val="es-MX"/>
        </w:rPr>
        <w:t>)(C).</w:t>
      </w:r>
    </w:p>
  </w:footnote>
  <w:footnote w:id="36">
    <w:p w:rsidR="00C156F3" w:rsidRPr="000A3ECE" w:rsidP="00CC4C62" w14:paraId="700C57B8" w14:textId="17C5D482">
      <w:pPr>
        <w:pStyle w:val="FootnoteText"/>
      </w:pPr>
      <w:r w:rsidRPr="00E3459D">
        <w:rPr>
          <w:rStyle w:val="FootnoteReference"/>
        </w:rPr>
        <w:footnoteRef/>
      </w:r>
      <w:r w:rsidRPr="000A3ECE">
        <w:t xml:space="preserve"> </w:t>
      </w:r>
      <w:r w:rsidR="00FB7842">
        <w:t>City</w:t>
      </w:r>
      <w:r w:rsidRPr="000A3ECE" w:rsidR="00355D30">
        <w:t xml:space="preserve"> Response</w:t>
      </w:r>
      <w:r w:rsidR="001F7B7C">
        <w:t xml:space="preserve">, </w:t>
      </w:r>
      <w:r w:rsidRPr="004E12DF" w:rsidR="001F7B7C">
        <w:rPr>
          <w:i/>
          <w:iCs/>
        </w:rPr>
        <w:t xml:space="preserve">supra </w:t>
      </w:r>
      <w:r w:rsidRPr="004E12DF" w:rsidR="001F7B7C">
        <w:t xml:space="preserve">note </w:t>
      </w:r>
      <w:r w:rsidR="007A5F2B">
        <w:t>3</w:t>
      </w:r>
      <w:r w:rsidR="001F7B7C">
        <w:t>,</w:t>
      </w:r>
      <w:r w:rsidRPr="000A3ECE" w:rsidR="00355D30">
        <w:t xml:space="preserve"> at </w:t>
      </w:r>
      <w:r w:rsidR="00EB2CAC">
        <w:t>4</w:t>
      </w:r>
      <w:r w:rsidRPr="000A3ECE" w:rsidR="003A5D94">
        <w:t>-</w:t>
      </w:r>
      <w:r w:rsidR="00C15208">
        <w:t>5;</w:t>
      </w:r>
      <w:r w:rsidRPr="000A3ECE" w:rsidR="00DD7203">
        <w:t xml:space="preserve"> </w:t>
      </w:r>
      <w:r w:rsidRPr="000A3ECE" w:rsidR="00D5045C">
        <w:t xml:space="preserve">Ashar Syed Declaration at </w:t>
      </w:r>
      <w:r w:rsidRPr="000A3ECE" w:rsidR="00333601">
        <w:t>para</w:t>
      </w:r>
      <w:r w:rsidR="00927E07">
        <w:t>s</w:t>
      </w:r>
      <w:r w:rsidRPr="000A3ECE" w:rsidR="00333601">
        <w:t xml:space="preserve">. </w:t>
      </w:r>
      <w:r w:rsidR="00D36FCF">
        <w:t>6-12</w:t>
      </w:r>
      <w:r w:rsidRPr="000A3ECE" w:rsidR="00333601">
        <w:t xml:space="preserve">. </w:t>
      </w:r>
    </w:p>
  </w:footnote>
  <w:footnote w:id="37">
    <w:p w:rsidR="003A5D94" w:rsidRPr="000A3ECE" w:rsidP="00CC4C62" w14:paraId="5696ADFF" w14:textId="6A0EAEBB">
      <w:pPr>
        <w:pStyle w:val="FootnoteText"/>
      </w:pPr>
      <w:r w:rsidRPr="00E3459D">
        <w:rPr>
          <w:rStyle w:val="FootnoteReference"/>
        </w:rPr>
        <w:footnoteRef/>
      </w:r>
      <w:r w:rsidRPr="000A3ECE">
        <w:t xml:space="preserve"> </w:t>
      </w:r>
      <w:r w:rsidR="00FB7842">
        <w:t>City</w:t>
      </w:r>
      <w:r w:rsidRPr="000A3ECE" w:rsidR="00BA2260">
        <w:t xml:space="preserve"> Response</w:t>
      </w:r>
      <w:r w:rsidR="001F7B7C">
        <w:t xml:space="preserve">, </w:t>
      </w:r>
      <w:r w:rsidRPr="004E12DF" w:rsidR="001F7B7C">
        <w:rPr>
          <w:i/>
          <w:iCs/>
        </w:rPr>
        <w:t xml:space="preserve">supra </w:t>
      </w:r>
      <w:r w:rsidRPr="004E12DF" w:rsidR="001F7B7C">
        <w:t xml:space="preserve">note </w:t>
      </w:r>
      <w:r w:rsidR="007A5F2B">
        <w:t>3</w:t>
      </w:r>
      <w:r w:rsidR="001F7B7C">
        <w:t>,</w:t>
      </w:r>
      <w:r w:rsidRPr="000A3ECE">
        <w:t xml:space="preserve"> at </w:t>
      </w:r>
      <w:r w:rsidR="00C15208">
        <w:t>5</w:t>
      </w:r>
      <w:r w:rsidRPr="000A3ECE">
        <w:t>.</w:t>
      </w:r>
    </w:p>
  </w:footnote>
  <w:footnote w:id="38">
    <w:p w:rsidR="00397656" w:rsidRPr="000A3ECE" w:rsidP="00CC4C62" w14:paraId="7A73FF70" w14:textId="347174B5">
      <w:pPr>
        <w:autoSpaceDE w:val="0"/>
        <w:autoSpaceDN w:val="0"/>
        <w:adjustRightInd w:val="0"/>
        <w:spacing w:after="120"/>
        <w:jc w:val="both"/>
        <w:rPr>
          <w:sz w:val="20"/>
        </w:rPr>
      </w:pPr>
      <w:r w:rsidRPr="00E3459D">
        <w:rPr>
          <w:rStyle w:val="FootnoteReference"/>
        </w:rPr>
        <w:footnoteRef/>
      </w:r>
      <w:r w:rsidRPr="00E3459D">
        <w:rPr>
          <w:sz w:val="20"/>
        </w:rPr>
        <w:t xml:space="preserve"> </w:t>
      </w:r>
      <w:r w:rsidRPr="00E3459D">
        <w:rPr>
          <w:i/>
          <w:sz w:val="20"/>
        </w:rPr>
        <w:t>Lifeline and Link Up Reform and Modernization</w:t>
      </w:r>
      <w:r w:rsidRPr="00E3459D">
        <w:rPr>
          <w:sz w:val="20"/>
        </w:rPr>
        <w:t xml:space="preserve">, </w:t>
      </w:r>
      <w:r w:rsidR="00846D2D">
        <w:rPr>
          <w:sz w:val="20"/>
        </w:rPr>
        <w:t>WC Docket No. 11-42</w:t>
      </w:r>
      <w:r w:rsidR="00C201BF">
        <w:rPr>
          <w:sz w:val="20"/>
        </w:rPr>
        <w:t xml:space="preserve">, </w:t>
      </w:r>
      <w:r w:rsidRPr="00E3459D">
        <w:rPr>
          <w:sz w:val="20"/>
        </w:rPr>
        <w:t xml:space="preserve">Report and Order and Further Notice of Proposed Rulemaking, 27 FCC </w:t>
      </w:r>
      <w:r w:rsidRPr="00E3459D">
        <w:rPr>
          <w:sz w:val="20"/>
        </w:rPr>
        <w:t>Rcd</w:t>
      </w:r>
      <w:r w:rsidRPr="00E3459D">
        <w:rPr>
          <w:sz w:val="20"/>
        </w:rPr>
        <w:t xml:space="preserve"> 6656, 6709, para. 110 (2012)</w:t>
      </w:r>
      <w:r w:rsidR="00E57E9A">
        <w:rPr>
          <w:sz w:val="20"/>
        </w:rPr>
        <w:t>.</w:t>
      </w:r>
      <w:r w:rsidRPr="000A3ECE">
        <w:rPr>
          <w:sz w:val="20"/>
        </w:rPr>
        <w:t xml:space="preserve"> </w:t>
      </w:r>
      <w:r w:rsidR="00E57E9A">
        <w:rPr>
          <w:sz w:val="20"/>
        </w:rPr>
        <w:t xml:space="preserve"> </w:t>
      </w:r>
      <w:r w:rsidR="00E57E9A">
        <w:rPr>
          <w:i/>
          <w:iCs/>
          <w:sz w:val="20"/>
        </w:rPr>
        <w:t>S</w:t>
      </w:r>
      <w:r w:rsidRPr="007D33BA" w:rsidR="007D33BA">
        <w:rPr>
          <w:i/>
          <w:iCs/>
          <w:sz w:val="20"/>
        </w:rPr>
        <w:t>ee also</w:t>
      </w:r>
      <w:r w:rsidR="007D33BA">
        <w:rPr>
          <w:sz w:val="20"/>
        </w:rPr>
        <w:t xml:space="preserve"> </w:t>
      </w:r>
      <w:hyperlink r:id="rId1" w:anchor="co_pp_sp_4493_4515" w:history="1">
        <w:r w:rsidRPr="000A3ECE">
          <w:rPr>
            <w:i/>
            <w:sz w:val="20"/>
          </w:rPr>
          <w:t>Bethune-Cookman College, Inc.</w:t>
        </w:r>
        <w:r w:rsidRPr="000A3ECE">
          <w:rPr>
            <w:sz w:val="20"/>
          </w:rPr>
          <w:t>,</w:t>
        </w:r>
        <w:r w:rsidR="00E95E3E">
          <w:rPr>
            <w:sz w:val="20"/>
          </w:rPr>
          <w:t xml:space="preserve"> </w:t>
        </w:r>
        <w:r w:rsidRPr="000A3ECE">
          <w:rPr>
            <w:sz w:val="20"/>
          </w:rPr>
          <w:t xml:space="preserve">Forfeiture Order, 24 FCC </w:t>
        </w:r>
        <w:r w:rsidRPr="000A3ECE">
          <w:rPr>
            <w:sz w:val="20"/>
          </w:rPr>
          <w:t>Rcd</w:t>
        </w:r>
        <w:r w:rsidRPr="000A3ECE">
          <w:rPr>
            <w:sz w:val="20"/>
          </w:rPr>
          <w:t xml:space="preserve"> 4513, 4515, para. 8 (EB 2009)</w:t>
        </w:r>
      </w:hyperlink>
      <w:r w:rsidRPr="000A3ECE">
        <w:rPr>
          <w:sz w:val="20"/>
        </w:rPr>
        <w:t xml:space="preserve"> (citing </w:t>
      </w:r>
      <w:hyperlink r:id="rId2" w:anchor="co_pp_sp_4493_21863" w:history="1">
        <w:r w:rsidRPr="000A3ECE">
          <w:rPr>
            <w:i/>
            <w:sz w:val="20"/>
          </w:rPr>
          <w:t>Eure Family Limited Partnership</w:t>
        </w:r>
        <w:r w:rsidRPr="000A3ECE">
          <w:rPr>
            <w:sz w:val="20"/>
          </w:rPr>
          <w:t xml:space="preserve">, Memorandum Opinion and Order, 17 FCC </w:t>
        </w:r>
        <w:r w:rsidRPr="000A3ECE">
          <w:rPr>
            <w:sz w:val="20"/>
          </w:rPr>
          <w:t>Rcd</w:t>
        </w:r>
        <w:r w:rsidRPr="000A3ECE">
          <w:rPr>
            <w:sz w:val="20"/>
          </w:rPr>
          <w:t xml:space="preserve"> 21861, 21863-64, para. 7 (2002)</w:t>
        </w:r>
      </w:hyperlink>
      <w:r w:rsidRPr="000A3ECE">
        <w:rPr>
          <w:sz w:val="20"/>
        </w:rPr>
        <w:t xml:space="preserve">); </w:t>
      </w:r>
      <w:hyperlink r:id="rId3" w:history="1">
        <w:r w:rsidRPr="000A3ECE">
          <w:rPr>
            <w:i/>
            <w:sz w:val="20"/>
          </w:rPr>
          <w:t>MTD, Inc.</w:t>
        </w:r>
        <w:r w:rsidRPr="000A3ECE">
          <w:rPr>
            <w:sz w:val="20"/>
          </w:rPr>
          <w:t xml:space="preserve">, Memorandum Opinion and Order, 6 FCC </w:t>
        </w:r>
        <w:r w:rsidRPr="000A3ECE">
          <w:rPr>
            <w:sz w:val="20"/>
          </w:rPr>
          <w:t>Rcd</w:t>
        </w:r>
        <w:r w:rsidRPr="000A3ECE">
          <w:rPr>
            <w:sz w:val="20"/>
          </w:rPr>
          <w:t xml:space="preserve"> 34 (1991)</w:t>
        </w:r>
      </w:hyperlink>
      <w:r w:rsidRPr="000A3ECE">
        <w:rPr>
          <w:sz w:val="20"/>
        </w:rPr>
        <w:t xml:space="preserve"> (holding that a company’s reliance on an independent contractor to construct a tower in compliance of FCC rules does not excuse that company from a forfeiture); </w:t>
      </w:r>
      <w:hyperlink r:id="rId4" w:history="1">
        <w:r w:rsidRPr="000A3ECE">
          <w:rPr>
            <w:i/>
            <w:sz w:val="20"/>
          </w:rPr>
          <w:t>Wagenvoord</w:t>
        </w:r>
        <w:r w:rsidRPr="000A3ECE">
          <w:rPr>
            <w:i/>
            <w:sz w:val="20"/>
          </w:rPr>
          <w:t xml:space="preserve"> Broadcasting Co.</w:t>
        </w:r>
        <w:r w:rsidRPr="000A3ECE">
          <w:rPr>
            <w:sz w:val="20"/>
          </w:rPr>
          <w:t>, Memorandum Opinion and Order, 35 FCC 2d 361 (1972)</w:t>
        </w:r>
      </w:hyperlink>
      <w:r w:rsidRPr="000A3ECE">
        <w:rPr>
          <w:sz w:val="20"/>
        </w:rPr>
        <w:t xml:space="preserve"> (holding a licensee responsible for violations of FCC rules despite its reliance on a consulting engineer); </w:t>
      </w:r>
      <w:hyperlink r:id="rId5" w:history="1">
        <w:r w:rsidRPr="000A3ECE">
          <w:rPr>
            <w:i/>
            <w:sz w:val="20"/>
          </w:rPr>
          <w:t>Petracom</w:t>
        </w:r>
        <w:r w:rsidRPr="000A3ECE">
          <w:rPr>
            <w:i/>
            <w:sz w:val="20"/>
          </w:rPr>
          <w:t xml:space="preserve"> of Joplin, L.L.C.</w:t>
        </w:r>
        <w:r w:rsidRPr="000A3ECE">
          <w:rPr>
            <w:sz w:val="20"/>
          </w:rPr>
          <w:t xml:space="preserve">, 19 FCC </w:t>
        </w:r>
        <w:r w:rsidRPr="000A3ECE">
          <w:rPr>
            <w:sz w:val="20"/>
          </w:rPr>
          <w:t>Rcd</w:t>
        </w:r>
        <w:r w:rsidRPr="000A3ECE">
          <w:rPr>
            <w:sz w:val="20"/>
          </w:rPr>
          <w:t xml:space="preserve"> 6248 (EB 2004)</w:t>
        </w:r>
      </w:hyperlink>
      <w:r w:rsidRPr="000A3ECE">
        <w:rPr>
          <w:sz w:val="20"/>
        </w:rPr>
        <w:t xml:space="preserve"> (holding a licensee liable for its employee’s failure to conduct weekly EAS tests and to maintain the “issues/programs” list)</w:t>
      </w:r>
      <w:r w:rsidRPr="000A3ECE" w:rsidR="008D749C">
        <w:rPr>
          <w:sz w:val="20"/>
        </w:rPr>
        <w:t xml:space="preserve">; </w:t>
      </w:r>
      <w:r w:rsidRPr="00E3459D" w:rsidR="008D749C">
        <w:rPr>
          <w:i/>
          <w:sz w:val="20"/>
        </w:rPr>
        <w:t>Total Call Mobile, Inc.</w:t>
      </w:r>
      <w:r w:rsidRPr="00E3459D" w:rsidR="008D749C">
        <w:rPr>
          <w:sz w:val="20"/>
        </w:rPr>
        <w:t xml:space="preserve">, Notice of Apparent Liability for Forfeiture and Order, 31 FCC </w:t>
      </w:r>
      <w:r w:rsidRPr="00E3459D" w:rsidR="008D749C">
        <w:rPr>
          <w:sz w:val="20"/>
        </w:rPr>
        <w:t>Rcd</w:t>
      </w:r>
      <w:r w:rsidRPr="00E3459D" w:rsidR="008D749C">
        <w:rPr>
          <w:sz w:val="20"/>
        </w:rPr>
        <w:t xml:space="preserve"> 4191 (2016) (</w:t>
      </w:r>
      <w:r w:rsidRPr="00E3459D" w:rsidR="007C199F">
        <w:rPr>
          <w:sz w:val="20"/>
        </w:rPr>
        <w:t>proposing a forfeiture against the provider based on duplicate and inel</w:t>
      </w:r>
      <w:r w:rsidRPr="00E3459D" w:rsidR="004E3CFD">
        <w:rPr>
          <w:sz w:val="20"/>
        </w:rPr>
        <w:t xml:space="preserve">igible </w:t>
      </w:r>
      <w:r w:rsidRPr="00E3459D" w:rsidR="00563E94">
        <w:rPr>
          <w:sz w:val="20"/>
        </w:rPr>
        <w:t xml:space="preserve">Lifeline </w:t>
      </w:r>
      <w:r w:rsidRPr="00E3459D" w:rsidR="004E3CFD">
        <w:rPr>
          <w:sz w:val="20"/>
        </w:rPr>
        <w:t xml:space="preserve">enrollments </w:t>
      </w:r>
      <w:r w:rsidRPr="00E3459D" w:rsidR="00563E94">
        <w:rPr>
          <w:sz w:val="20"/>
        </w:rPr>
        <w:t>submitted by agents</w:t>
      </w:r>
      <w:r w:rsidRPr="00E3459D" w:rsidR="004E3CFD">
        <w:rPr>
          <w:sz w:val="20"/>
        </w:rPr>
        <w:t>)</w:t>
      </w:r>
      <w:r w:rsidRPr="00E3459D" w:rsidR="00027057">
        <w:rPr>
          <w:sz w:val="20"/>
        </w:rPr>
        <w:t xml:space="preserve">; </w:t>
      </w:r>
      <w:r w:rsidRPr="00E3459D" w:rsidR="006E6255">
        <w:rPr>
          <w:i/>
          <w:sz w:val="20"/>
        </w:rPr>
        <w:t xml:space="preserve">Am. Broadband &amp; </w:t>
      </w:r>
      <w:r w:rsidRPr="00E3459D" w:rsidR="006E6255">
        <w:rPr>
          <w:i/>
          <w:sz w:val="20"/>
        </w:rPr>
        <w:t>Telecomms</w:t>
      </w:r>
      <w:r w:rsidRPr="00E3459D" w:rsidR="006E6255">
        <w:rPr>
          <w:i/>
          <w:sz w:val="20"/>
        </w:rPr>
        <w:t>. Co.; Jeffrey S. Ansted</w:t>
      </w:r>
      <w:r w:rsidRPr="00E3459D" w:rsidR="006E6255">
        <w:rPr>
          <w:sz w:val="20"/>
        </w:rPr>
        <w:t xml:space="preserve">, Notice of Apparent Liability for Forfeiture and Order, 33 FCC </w:t>
      </w:r>
      <w:r w:rsidRPr="00E3459D" w:rsidR="006E6255">
        <w:rPr>
          <w:sz w:val="20"/>
        </w:rPr>
        <w:t>Rcd</w:t>
      </w:r>
      <w:r w:rsidRPr="00E3459D" w:rsidR="006E6255">
        <w:rPr>
          <w:sz w:val="20"/>
        </w:rPr>
        <w:t xml:space="preserve"> 10308 (2018) </w:t>
      </w:r>
      <w:r w:rsidRPr="00E3459D" w:rsidR="00462CD5">
        <w:rPr>
          <w:sz w:val="20"/>
        </w:rPr>
        <w:t xml:space="preserve">(finding the provider </w:t>
      </w:r>
      <w:r w:rsidRPr="00E3459D" w:rsidR="007B0DF4">
        <w:rPr>
          <w:sz w:val="20"/>
        </w:rPr>
        <w:t>“responsible for [its]</w:t>
      </w:r>
      <w:r w:rsidRPr="00E3459D" w:rsidR="00DB2BD2">
        <w:rPr>
          <w:sz w:val="20"/>
        </w:rPr>
        <w:t xml:space="preserve"> </w:t>
      </w:r>
      <w:r w:rsidRPr="00E3459D" w:rsidR="007B0DF4">
        <w:rPr>
          <w:sz w:val="20"/>
        </w:rPr>
        <w:t xml:space="preserve">agents and any of their conduct that violates the Commission’s rules” and proposing a forfeiture against the provider based on </w:t>
      </w:r>
      <w:r w:rsidRPr="00E3459D" w:rsidR="00DB2BD2">
        <w:rPr>
          <w:sz w:val="20"/>
        </w:rPr>
        <w:t>agents</w:t>
      </w:r>
      <w:r w:rsidRPr="00E3459D" w:rsidR="002D5C2D">
        <w:rPr>
          <w:sz w:val="20"/>
        </w:rPr>
        <w:t xml:space="preserve"> and subagents</w:t>
      </w:r>
      <w:r w:rsidRPr="00E3459D" w:rsidR="00DB2BD2">
        <w:rPr>
          <w:sz w:val="20"/>
        </w:rPr>
        <w:t>’ improper Lifeline enrollments).</w:t>
      </w:r>
    </w:p>
  </w:footnote>
  <w:footnote w:id="39">
    <w:p w:rsidR="00A869F6" w:rsidRPr="00E3459D" w:rsidP="00CC4C62" w14:paraId="21579658" w14:textId="44ED51B4">
      <w:pPr>
        <w:pStyle w:val="FootnoteText"/>
      </w:pPr>
      <w:r w:rsidRPr="00E3459D">
        <w:rPr>
          <w:rStyle w:val="FootnoteReference"/>
        </w:rPr>
        <w:footnoteRef/>
      </w:r>
      <w:r w:rsidRPr="00E3459D">
        <w:t xml:space="preserve"> </w:t>
      </w:r>
      <w:r w:rsidRPr="00E3459D">
        <w:rPr>
          <w:lang w:val="es-MX"/>
        </w:rPr>
        <w:t xml:space="preserve">47 CFR </w:t>
      </w:r>
      <w:r w:rsidRPr="00E3459D">
        <w:rPr>
          <w:snapToGrid w:val="0"/>
          <w:lang w:val="es-MX"/>
        </w:rPr>
        <w:t>§ 54.1801(f)(3)(</w:t>
      </w:r>
      <w:r w:rsidRPr="00E3459D">
        <w:rPr>
          <w:snapToGrid w:val="0"/>
          <w:lang w:val="es-MX"/>
        </w:rPr>
        <w:t>ii</w:t>
      </w:r>
      <w:r w:rsidRPr="00E3459D">
        <w:rPr>
          <w:snapToGrid w:val="0"/>
          <w:lang w:val="es-MX"/>
        </w:rPr>
        <w:t>).</w:t>
      </w:r>
    </w:p>
  </w:footnote>
  <w:footnote w:id="40">
    <w:p w:rsidR="00A869F6" w:rsidRPr="00E3459D" w:rsidP="00CC4C62" w14:paraId="1FF42C9D" w14:textId="1A43A385">
      <w:pPr>
        <w:pStyle w:val="FootnoteText"/>
      </w:pPr>
      <w:r w:rsidRPr="00E3459D">
        <w:rPr>
          <w:rStyle w:val="FootnoteReference"/>
        </w:rPr>
        <w:footnoteRef/>
      </w:r>
      <w:r w:rsidRPr="00E3459D">
        <w:t xml:space="preserve"> </w:t>
      </w:r>
      <w:r w:rsidRPr="004E1B42" w:rsidR="004E1B42">
        <w:rPr>
          <w:i/>
          <w:iCs/>
          <w:lang w:val="es-MX"/>
        </w:rPr>
        <w:t>Id.</w:t>
      </w:r>
      <w:r w:rsidR="004E1B42">
        <w:rPr>
          <w:lang w:val="es-MX"/>
        </w:rPr>
        <w:t xml:space="preserve"> </w:t>
      </w:r>
      <w:r w:rsidRPr="00E3459D">
        <w:rPr>
          <w:snapToGrid w:val="0"/>
          <w:lang w:val="es-MX"/>
        </w:rPr>
        <w:t>§ 54.1801(f)(3)(</w:t>
      </w:r>
      <w:r w:rsidRPr="00E3459D">
        <w:rPr>
          <w:snapToGrid w:val="0"/>
          <w:lang w:val="es-MX"/>
        </w:rPr>
        <w:t>iii</w:t>
      </w:r>
      <w:r w:rsidRPr="00E3459D">
        <w:rPr>
          <w:snapToGrid w:val="0"/>
          <w:lang w:val="es-MX"/>
        </w:rPr>
        <w:t xml:space="preserve">). </w:t>
      </w:r>
    </w:p>
  </w:footnote>
  <w:footnote w:id="41">
    <w:p w:rsidR="00AE1557" w:rsidRPr="00E3459D" w:rsidP="00CC4C62" w14:paraId="02BE699E" w14:textId="30C23F62">
      <w:pPr>
        <w:pStyle w:val="FootnoteText"/>
      </w:pPr>
      <w:r w:rsidRPr="00E3459D">
        <w:rPr>
          <w:rStyle w:val="FootnoteReference"/>
        </w:rPr>
        <w:footnoteRef/>
      </w:r>
      <w:r w:rsidRPr="00E3459D">
        <w:t xml:space="preserve"> </w:t>
      </w:r>
      <w:r w:rsidR="00FB7842">
        <w:t>City</w:t>
      </w:r>
      <w:r w:rsidRPr="00E3459D">
        <w:t xml:space="preserve"> Response</w:t>
      </w:r>
      <w:r w:rsidR="001F7B7C">
        <w:t xml:space="preserve">, </w:t>
      </w:r>
      <w:r w:rsidRPr="004E12DF" w:rsidR="001F7B7C">
        <w:rPr>
          <w:i/>
          <w:iCs/>
        </w:rPr>
        <w:t xml:space="preserve">supra </w:t>
      </w:r>
      <w:r w:rsidRPr="004E12DF" w:rsidR="001F7B7C">
        <w:t xml:space="preserve">note </w:t>
      </w:r>
      <w:r w:rsidR="004E1B42">
        <w:t>3</w:t>
      </w:r>
      <w:r w:rsidR="001F7B7C">
        <w:t>,</w:t>
      </w:r>
      <w:r w:rsidRPr="00E3459D">
        <w:t xml:space="preserve"> at </w:t>
      </w:r>
      <w:r w:rsidR="00C15208">
        <w:t>7-9</w:t>
      </w:r>
      <w:r w:rsidRPr="00E3459D">
        <w:t xml:space="preserve">. </w:t>
      </w:r>
      <w:r w:rsidR="006F5F4F">
        <w:t xml:space="preserve"> </w:t>
      </w:r>
      <w:r w:rsidRPr="00E3459D">
        <w:rPr>
          <w:i/>
          <w:iCs/>
        </w:rPr>
        <w:t>See also</w:t>
      </w:r>
      <w:r w:rsidR="001F7B7C">
        <w:rPr>
          <w:i/>
          <w:iCs/>
        </w:rPr>
        <w:t xml:space="preserve"> </w:t>
      </w:r>
      <w:r w:rsidRPr="00E3459D">
        <w:t>Consolidated Appropriations Act, Pub. L. No. 116-260, 134 Stat. 1182, 2129-63 (2020) (codified at 47 U.S.C. § 1752), available at https://www.congress.gov/bill/116th-congress/house-bill/133/text (Consolidated Appropriations Act); 47 U.S.C. § 1752(j).</w:t>
      </w:r>
    </w:p>
  </w:footnote>
  <w:footnote w:id="42">
    <w:p w:rsidR="00AE1557" w:rsidRPr="00E3459D" w:rsidP="00CC4C62" w14:paraId="5DE69709" w14:textId="6422BF5B">
      <w:pPr>
        <w:pStyle w:val="FootnoteText"/>
      </w:pPr>
      <w:r w:rsidRPr="00E3459D">
        <w:rPr>
          <w:rStyle w:val="FootnoteReference"/>
        </w:rPr>
        <w:footnoteRef/>
      </w:r>
      <w:r w:rsidRPr="00E3459D">
        <w:t xml:space="preserve"> </w:t>
      </w:r>
      <w:r w:rsidRPr="00947880">
        <w:rPr>
          <w:i/>
          <w:iCs/>
        </w:rPr>
        <w:t>See</w:t>
      </w:r>
      <w:r w:rsidRPr="00E3459D">
        <w:t xml:space="preserve"> discussion at</w:t>
      </w:r>
      <w:r w:rsidR="001F7B7C">
        <w:t xml:space="preserve"> </w:t>
      </w:r>
      <w:r w:rsidRPr="001F7B7C" w:rsidR="001F7B7C">
        <w:rPr>
          <w:i/>
          <w:iCs/>
        </w:rPr>
        <w:t>ACP Order</w:t>
      </w:r>
      <w:r w:rsidR="001F7B7C">
        <w:t>,</w:t>
      </w:r>
      <w:r w:rsidRPr="00E3459D">
        <w:t xml:space="preserve"> </w:t>
      </w:r>
      <w:r w:rsidRPr="004E12DF" w:rsidR="001F7B7C">
        <w:rPr>
          <w:i/>
          <w:iCs/>
        </w:rPr>
        <w:t xml:space="preserve">supra </w:t>
      </w:r>
      <w:r w:rsidRPr="004E12DF" w:rsidR="001F7B7C">
        <w:t xml:space="preserve">note </w:t>
      </w:r>
      <w:r w:rsidR="001F7B7C">
        <w:t>2</w:t>
      </w:r>
      <w:r w:rsidR="007A5F2B">
        <w:t>3</w:t>
      </w:r>
      <w:r w:rsidR="001F7B7C">
        <w:t xml:space="preserve">, </w:t>
      </w:r>
      <w:r w:rsidRPr="00E3459D" w:rsidR="001F7B7C">
        <w:t>at</w:t>
      </w:r>
      <w:r w:rsidRPr="000A3ECE" w:rsidR="001F7B7C">
        <w:t xml:space="preserve"> 594, para. 238</w:t>
      </w:r>
      <w:r w:rsidR="00927E07">
        <w:t>.</w:t>
      </w:r>
    </w:p>
  </w:footnote>
  <w:footnote w:id="43">
    <w:p w:rsidR="00D74AF7" w:rsidP="00CC4C62" w14:paraId="62740EFB" w14:textId="0D666864">
      <w:pPr>
        <w:pStyle w:val="FootnoteText"/>
      </w:pPr>
      <w:r>
        <w:rPr>
          <w:rStyle w:val="FootnoteReference"/>
        </w:rPr>
        <w:footnoteRef/>
      </w:r>
      <w:r>
        <w:t xml:space="preserve"> </w:t>
      </w:r>
      <w:r w:rsidRPr="00110EB3" w:rsidR="000676AB">
        <w:rPr>
          <w:i/>
        </w:rPr>
        <w:t>Id</w:t>
      </w:r>
      <w:r w:rsidR="00D83459">
        <w:rPr>
          <w:i/>
        </w:rPr>
        <w:t>.</w:t>
      </w:r>
      <w:r w:rsidRPr="00E3459D" w:rsidR="000676AB">
        <w:t>;</w:t>
      </w:r>
      <w:r w:rsidRPr="000A3ECE" w:rsidR="000676AB">
        <w:t xml:space="preserve"> 47 U.S.C. § 1752(j)</w:t>
      </w:r>
      <w:r w:rsidR="000676AB">
        <w:t>.</w:t>
      </w:r>
    </w:p>
  </w:footnote>
  <w:footnote w:id="44">
    <w:p w:rsidR="00AE1557" w:rsidRPr="00E3459D" w:rsidP="00CC4C62" w14:paraId="723D0D6D" w14:textId="732FE986">
      <w:pPr>
        <w:pStyle w:val="FootnoteText"/>
      </w:pPr>
      <w:r w:rsidRPr="00E3459D">
        <w:rPr>
          <w:rStyle w:val="FootnoteReference"/>
        </w:rPr>
        <w:footnoteRef/>
      </w:r>
      <w:r w:rsidRPr="00E3459D" w:rsidR="00507EBE">
        <w:t xml:space="preserve"> </w:t>
      </w:r>
      <w:r w:rsidRPr="00E3459D">
        <w:t>47 CFR § 54.1801(e)</w:t>
      </w:r>
      <w:r w:rsidR="00AC4427">
        <w:t xml:space="preserve">; </w:t>
      </w:r>
      <w:r w:rsidRPr="00E3459D" w:rsidR="00AC4427">
        <w:t>Infrastructure Investment and Jobs Act, Pub. L. No. 117-58, 135 Stat 429, div. F, tit. V (2021).</w:t>
      </w:r>
    </w:p>
  </w:footnote>
  <w:footnote w:id="45">
    <w:p w:rsidR="009B40D5" w:rsidP="00CC4C62" w14:paraId="413CFA60" w14:textId="0EDD8EFC">
      <w:pPr>
        <w:pStyle w:val="FootnoteText"/>
      </w:pPr>
      <w:r>
        <w:rPr>
          <w:rStyle w:val="FootnoteReference"/>
        </w:rPr>
        <w:footnoteRef/>
      </w:r>
      <w:r>
        <w:t xml:space="preserve"> </w:t>
      </w:r>
      <w:r w:rsidRPr="00CA5626">
        <w:t>Infrastructure Investment and Jobs Act, Pub. L. No. 117-58, 135 Stat 429, div. F, tit. V (2021).</w:t>
      </w:r>
    </w:p>
  </w:footnote>
  <w:footnote w:id="46">
    <w:p w:rsidR="00E27B2A" w14:paraId="49DC47E8" w14:textId="6C5D9D21">
      <w:pPr>
        <w:pStyle w:val="FootnoteText"/>
      </w:pPr>
      <w:r>
        <w:rPr>
          <w:rStyle w:val="FootnoteReference"/>
        </w:rPr>
        <w:footnoteRef/>
      </w:r>
      <w:r>
        <w:t xml:space="preserve"> </w:t>
      </w:r>
      <w:bookmarkStart w:id="7" w:name="_Hlk166078652"/>
      <w:r w:rsidRPr="000A3ECE">
        <w:t xml:space="preserve">We note that </w:t>
      </w:r>
      <w:r>
        <w:t xml:space="preserve">we are not considering or </w:t>
      </w:r>
      <w:r w:rsidR="004460AA">
        <w:t>making any determination on</w:t>
      </w:r>
      <w:r>
        <w:t xml:space="preserve"> any defense to the NAL or its</w:t>
      </w:r>
      <w:r w:rsidRPr="000A3ECE">
        <w:t xml:space="preserve"> proposed forfeiture</w:t>
      </w:r>
      <w:r>
        <w:t xml:space="preserve"> in this Order.</w:t>
      </w:r>
      <w:bookmarkEnd w:id="7"/>
    </w:p>
  </w:footnote>
  <w:footnote w:id="47">
    <w:p w:rsidR="000267B4" w:rsidRPr="00E3459D" w:rsidP="00CC4C62" w14:paraId="653B347F" w14:textId="26DF6B43">
      <w:pPr>
        <w:pStyle w:val="FootnoteText"/>
      </w:pPr>
      <w:r w:rsidRPr="00E3459D">
        <w:rPr>
          <w:rStyle w:val="FootnoteReference"/>
        </w:rPr>
        <w:footnoteRef/>
      </w:r>
      <w:r w:rsidRPr="00E3459D">
        <w:t xml:space="preserve"> </w:t>
      </w:r>
      <w:r w:rsidRPr="001F7B7C" w:rsidR="001F7B7C">
        <w:rPr>
          <w:i/>
          <w:iCs/>
        </w:rPr>
        <w:t>ACP Order</w:t>
      </w:r>
      <w:r w:rsidR="001F7B7C">
        <w:t>,</w:t>
      </w:r>
      <w:r w:rsidRPr="00E3459D" w:rsidR="001F7B7C">
        <w:t xml:space="preserve"> </w:t>
      </w:r>
      <w:r w:rsidRPr="004E12DF" w:rsidR="001F7B7C">
        <w:rPr>
          <w:i/>
          <w:iCs/>
        </w:rPr>
        <w:t xml:space="preserve">supra </w:t>
      </w:r>
      <w:r w:rsidRPr="004E12DF" w:rsidR="001F7B7C">
        <w:t xml:space="preserve">note </w:t>
      </w:r>
      <w:r w:rsidR="001F7B7C">
        <w:t>2</w:t>
      </w:r>
      <w:r w:rsidR="007A5F2B">
        <w:t>3</w:t>
      </w:r>
      <w:r w:rsidR="001F7B7C">
        <w:t xml:space="preserve">, </w:t>
      </w:r>
      <w:r w:rsidRPr="00E3459D" w:rsidR="001F7B7C">
        <w:t>at</w:t>
      </w:r>
      <w:r w:rsidRPr="000A3ECE" w:rsidR="001F7B7C">
        <w:t xml:space="preserve"> 594, para. 238</w:t>
      </w:r>
      <w:r w:rsidR="001F7B7C">
        <w:t>.</w:t>
      </w:r>
    </w:p>
  </w:footnote>
  <w:footnote w:id="48">
    <w:p w:rsidR="00583F7F" w:rsidRPr="00E3459D" w:rsidP="00CC4C62" w14:paraId="1A4F4055" w14:textId="77777777">
      <w:pPr>
        <w:pStyle w:val="FootnoteText"/>
      </w:pPr>
      <w:r w:rsidRPr="00E3459D">
        <w:rPr>
          <w:rStyle w:val="FootnoteReference"/>
        </w:rPr>
        <w:footnoteRef/>
      </w:r>
      <w:r w:rsidRPr="00E3459D">
        <w:t xml:space="preserve"> </w:t>
      </w:r>
      <w:r w:rsidRPr="00E3459D">
        <w:rPr>
          <w:i/>
        </w:rPr>
        <w:t>Armstrong World Indus., Inc. v. Robert Levin Carpet Co</w:t>
      </w:r>
      <w:r w:rsidRPr="00E3459D">
        <w:t>., 1999 U.S. Dist. LEXIS 7743, *15 (E.D. Pa. May 19, 1999).</w:t>
      </w:r>
    </w:p>
  </w:footnote>
  <w:footnote w:id="49">
    <w:p w:rsidR="00583F7F" w:rsidRPr="00E3459D" w:rsidP="00CC4C62" w14:paraId="6D63CDCD" w14:textId="040B18E1">
      <w:pPr>
        <w:pStyle w:val="FootnoteText"/>
      </w:pPr>
      <w:r w:rsidRPr="00E3459D">
        <w:rPr>
          <w:rStyle w:val="FootnoteReference"/>
        </w:rPr>
        <w:footnoteRef/>
      </w:r>
      <w:r w:rsidRPr="00E3459D">
        <w:t xml:space="preserve"> Emergency Broadband Benefit Program, WC Docket No. 20-445, Report and Order, 36 FCC </w:t>
      </w:r>
      <w:r w:rsidRPr="00E3459D">
        <w:t>Rcd</w:t>
      </w:r>
      <w:r w:rsidRPr="00E3459D">
        <w:t xml:space="preserve"> 4612, 4629-30 para. 40 (2021) (</w:t>
      </w:r>
      <w:r w:rsidRPr="00E3459D">
        <w:rPr>
          <w:i/>
        </w:rPr>
        <w:t>EBB Order</w:t>
      </w:r>
      <w:r w:rsidRPr="00E3459D">
        <w:t xml:space="preserve">); </w:t>
      </w:r>
      <w:r w:rsidRPr="001F7B7C" w:rsidR="001F7B7C">
        <w:rPr>
          <w:i/>
          <w:iCs/>
        </w:rPr>
        <w:t>ACP Order</w:t>
      </w:r>
      <w:r w:rsidR="001F7B7C">
        <w:t>,</w:t>
      </w:r>
      <w:r w:rsidRPr="00E3459D" w:rsidR="001F7B7C">
        <w:t xml:space="preserve"> </w:t>
      </w:r>
      <w:r w:rsidRPr="004E12DF" w:rsidR="001F7B7C">
        <w:rPr>
          <w:i/>
          <w:iCs/>
        </w:rPr>
        <w:t xml:space="preserve">supra </w:t>
      </w:r>
      <w:r w:rsidRPr="004E12DF" w:rsidR="001F7B7C">
        <w:t xml:space="preserve">note </w:t>
      </w:r>
      <w:r w:rsidR="001F7B7C">
        <w:t>2</w:t>
      </w:r>
      <w:r w:rsidR="007A5F2B">
        <w:t>3</w:t>
      </w:r>
      <w:r w:rsidR="001F7B7C">
        <w:t xml:space="preserve">, </w:t>
      </w:r>
      <w:r w:rsidRPr="00E3459D" w:rsidR="001F7B7C">
        <w:t>at</w:t>
      </w:r>
      <w:r w:rsidRPr="000A3ECE" w:rsidR="001F7B7C">
        <w:t xml:space="preserve"> 594, para. 238</w:t>
      </w:r>
      <w:r w:rsidR="001F7B7C">
        <w:t>.</w:t>
      </w:r>
    </w:p>
  </w:footnote>
  <w:footnote w:id="50">
    <w:p w:rsidR="000267B4" w:rsidRPr="00E3459D" w:rsidP="00CC4C62" w14:paraId="2B59DB8F" w14:textId="553A61A9">
      <w:pPr>
        <w:pStyle w:val="FootnoteText"/>
      </w:pPr>
      <w:r w:rsidRPr="00E3459D">
        <w:rPr>
          <w:rStyle w:val="FootnoteReference"/>
        </w:rPr>
        <w:footnoteRef/>
      </w:r>
      <w:r w:rsidRPr="00E3459D">
        <w:t xml:space="preserve"> </w:t>
      </w:r>
      <w:r w:rsidR="00FB7842">
        <w:t>City</w:t>
      </w:r>
      <w:r w:rsidRPr="00E3459D">
        <w:t xml:space="preserve"> Response</w:t>
      </w:r>
      <w:r w:rsidR="00AC4427">
        <w:t xml:space="preserve">, </w:t>
      </w:r>
      <w:r w:rsidR="00AC4427">
        <w:rPr>
          <w:i/>
          <w:iCs/>
        </w:rPr>
        <w:t xml:space="preserve">supra </w:t>
      </w:r>
      <w:r w:rsidR="00AC4427">
        <w:t xml:space="preserve">note </w:t>
      </w:r>
      <w:r w:rsidR="0023741C">
        <w:t>3</w:t>
      </w:r>
      <w:r w:rsidR="00AC4427">
        <w:t>,</w:t>
      </w:r>
      <w:r w:rsidRPr="00E3459D">
        <w:t xml:space="preserve"> at</w:t>
      </w:r>
      <w:r w:rsidR="00C15208">
        <w:t xml:space="preserve"> 9-10</w:t>
      </w:r>
      <w:r w:rsidR="008D6D39">
        <w:t>, 13-14</w:t>
      </w:r>
      <w:r w:rsidRPr="00E3459D">
        <w:t>.</w:t>
      </w:r>
    </w:p>
  </w:footnote>
  <w:footnote w:id="51">
    <w:p w:rsidR="000267B4" w:rsidRPr="00E3459D" w:rsidP="00CC4C62" w14:paraId="62AF8A03" w14:textId="715632B1">
      <w:pPr>
        <w:pStyle w:val="FootnoteText"/>
      </w:pPr>
      <w:r w:rsidRPr="00E3459D">
        <w:rPr>
          <w:rStyle w:val="FootnoteReference"/>
        </w:rPr>
        <w:footnoteRef/>
      </w:r>
      <w:r w:rsidRPr="00E3459D">
        <w:t xml:space="preserve"> </w:t>
      </w:r>
      <w:r w:rsidRPr="00E3459D">
        <w:rPr>
          <w:i/>
          <w:iCs/>
        </w:rPr>
        <w:t>See</w:t>
      </w:r>
      <w:r w:rsidR="00927E07">
        <w:rPr>
          <w:i/>
          <w:iCs/>
        </w:rPr>
        <w:t>,</w:t>
      </w:r>
      <w:r w:rsidRPr="00E3459D">
        <w:rPr>
          <w:i/>
          <w:iCs/>
        </w:rPr>
        <w:t xml:space="preserve"> e.g.</w:t>
      </w:r>
      <w:r w:rsidRPr="00E3459D">
        <w:t xml:space="preserve">, </w:t>
      </w:r>
      <w:r w:rsidRPr="001F7B7C">
        <w:rPr>
          <w:i/>
          <w:iCs/>
        </w:rPr>
        <w:t>ACP Order</w:t>
      </w:r>
      <w:r w:rsidRPr="00E3459D">
        <w:t>,</w:t>
      </w:r>
      <w:r w:rsidR="001F7B7C">
        <w:t xml:space="preserve"> </w:t>
      </w:r>
      <w:r w:rsidRPr="001F7B7C" w:rsidR="001F7B7C">
        <w:rPr>
          <w:i/>
          <w:iCs/>
        </w:rPr>
        <w:t>supra</w:t>
      </w:r>
      <w:r w:rsidR="001F7B7C">
        <w:t xml:space="preserve"> note 2</w:t>
      </w:r>
      <w:r w:rsidR="007A5F2B">
        <w:t>3</w:t>
      </w:r>
      <w:r w:rsidR="001F7B7C">
        <w:t>,</w:t>
      </w:r>
      <w:r w:rsidRPr="00E3459D">
        <w:t xml:space="preserve"> at</w:t>
      </w:r>
      <w:r w:rsidR="006F5F4F">
        <w:t xml:space="preserve"> 508,</w:t>
      </w:r>
      <w:r w:rsidRPr="00E3459D">
        <w:t xml:space="preserve"> para. 48 (“The ACP Public Notice sought comment on whether the Commission should make clear that participating service providers are required to check their internal records for potential household and individual duplicates. </w:t>
      </w:r>
      <w:r w:rsidR="00B1232B">
        <w:t xml:space="preserve"> </w:t>
      </w:r>
      <w:r w:rsidRPr="00E3459D">
        <w:t>For the Lifeline program, the Commission has previously made clear that</w:t>
      </w:r>
      <w:r w:rsidRPr="00E3459D" w:rsidR="00825948">
        <w:t xml:space="preserve"> </w:t>
      </w:r>
      <w:r w:rsidRPr="00E3459D">
        <w:t>providers must search their internal records for potential intra-company duplicates before enrolling a</w:t>
      </w:r>
      <w:r w:rsidRPr="00E3459D" w:rsidR="00825948">
        <w:t xml:space="preserve"> </w:t>
      </w:r>
      <w:r w:rsidRPr="00E3459D">
        <w:t xml:space="preserve">subscriber in the Lifeline program. </w:t>
      </w:r>
      <w:r w:rsidR="00B1232B">
        <w:t xml:space="preserve"> </w:t>
      </w:r>
      <w:r w:rsidRPr="00E3459D">
        <w:t>The record does not contain opposition to this requirement, and we</w:t>
      </w:r>
      <w:r w:rsidRPr="00E3459D" w:rsidR="00825948">
        <w:t xml:space="preserve"> </w:t>
      </w:r>
      <w:r w:rsidRPr="00E3459D">
        <w:t>adopt this requirement for service providers participating in the Affordable Connectivity Program.”)</w:t>
      </w:r>
      <w:r w:rsidR="00940DD1">
        <w:t xml:space="preserve"> </w:t>
      </w:r>
      <w:r w:rsidRPr="00E3459D">
        <w:t>(internal citations omitted), and</w:t>
      </w:r>
      <w:r w:rsidR="006F5F4F">
        <w:t xml:space="preserve"> at 603,</w:t>
      </w:r>
      <w:r w:rsidRPr="00E3459D">
        <w:t xml:space="preserve"> para. 260 (“Additionally, we require all participating providers to implement policies and</w:t>
      </w:r>
      <w:r w:rsidRPr="00E3459D" w:rsidR="00825948">
        <w:t xml:space="preserve"> </w:t>
      </w:r>
      <w:r w:rsidRPr="00E3459D">
        <w:t>procedures for ensuring that their ACP households are eligible to receive the affordable connectivity</w:t>
      </w:r>
      <w:r w:rsidRPr="00E3459D" w:rsidR="00825948">
        <w:t xml:space="preserve"> </w:t>
      </w:r>
      <w:r w:rsidRPr="00E3459D">
        <w:t xml:space="preserve">program benefit.”) </w:t>
      </w:r>
    </w:p>
  </w:footnote>
  <w:footnote w:id="52">
    <w:p w:rsidR="000267B4" w:rsidRPr="00E3459D" w:rsidP="00CC4C62" w14:paraId="034E84A9" w14:textId="1871D30E">
      <w:pPr>
        <w:pStyle w:val="FootnoteText"/>
      </w:pPr>
      <w:r w:rsidRPr="00E3459D">
        <w:rPr>
          <w:rStyle w:val="FootnoteReference"/>
        </w:rPr>
        <w:footnoteRef/>
      </w:r>
      <w:r w:rsidRPr="00E3459D">
        <w:t xml:space="preserve"> </w:t>
      </w:r>
      <w:r w:rsidR="00FB7842">
        <w:t>City</w:t>
      </w:r>
      <w:r w:rsidRPr="00E3459D">
        <w:t xml:space="preserve"> Response</w:t>
      </w:r>
      <w:r w:rsidR="001F7B7C">
        <w:t xml:space="preserve">, </w:t>
      </w:r>
      <w:r w:rsidR="001F7B7C">
        <w:rPr>
          <w:i/>
          <w:iCs/>
        </w:rPr>
        <w:t xml:space="preserve">supra </w:t>
      </w:r>
      <w:r w:rsidR="001F7B7C">
        <w:t xml:space="preserve">note </w:t>
      </w:r>
      <w:r w:rsidR="0023741C">
        <w:t>3</w:t>
      </w:r>
      <w:r w:rsidR="001F7B7C">
        <w:t>,</w:t>
      </w:r>
      <w:r w:rsidRPr="00E3459D">
        <w:t xml:space="preserve"> at </w:t>
      </w:r>
      <w:r w:rsidR="00C15208">
        <w:t>14</w:t>
      </w:r>
      <w:r w:rsidRPr="00E3459D">
        <w:t>.</w:t>
      </w:r>
    </w:p>
  </w:footnote>
  <w:footnote w:id="53">
    <w:p w:rsidR="00CE4EDE" w:rsidRPr="00E3459D" w:rsidP="00CC4C62" w14:paraId="4EC81D01" w14:textId="661CAB99">
      <w:pPr>
        <w:pStyle w:val="FootnoteText"/>
      </w:pPr>
      <w:r w:rsidRPr="00E3459D">
        <w:rPr>
          <w:rStyle w:val="FootnoteReference"/>
        </w:rPr>
        <w:footnoteRef/>
      </w:r>
      <w:r w:rsidRPr="00E3459D">
        <w:t xml:space="preserve"> </w:t>
      </w:r>
      <w:r w:rsidR="00FB7842">
        <w:t>City</w:t>
      </w:r>
      <w:r w:rsidRPr="00E3459D">
        <w:t xml:space="preserve"> NAL</w:t>
      </w:r>
      <w:r w:rsidR="001F7B7C">
        <w:t xml:space="preserve">, </w:t>
      </w:r>
      <w:r w:rsidRPr="001F7B7C" w:rsidR="001F7B7C">
        <w:rPr>
          <w:i/>
          <w:iCs/>
        </w:rPr>
        <w:t>supra</w:t>
      </w:r>
      <w:r w:rsidR="001F7B7C">
        <w:t xml:space="preserve"> note </w:t>
      </w:r>
      <w:r w:rsidR="0023741C">
        <w:t>2</w:t>
      </w:r>
      <w:r w:rsidR="001F7B7C">
        <w:t>,</w:t>
      </w:r>
      <w:r w:rsidRPr="00E3459D">
        <w:t xml:space="preserve"> at para</w:t>
      </w:r>
      <w:r w:rsidR="00683BE9">
        <w:t>s</w:t>
      </w:r>
      <w:r w:rsidRPr="00E3459D">
        <w:t>. 7</w:t>
      </w:r>
      <w:r w:rsidR="003B5FCF">
        <w:t>5</w:t>
      </w:r>
      <w:r w:rsidRPr="00E3459D">
        <w:t>-</w:t>
      </w:r>
      <w:r w:rsidR="003B5FCF">
        <w:t>81</w:t>
      </w:r>
      <w:r w:rsidRPr="00E3459D">
        <w:t>.</w:t>
      </w:r>
    </w:p>
  </w:footnote>
  <w:footnote w:id="54">
    <w:p w:rsidR="00DE12B2" w:rsidRPr="000A3ECE" w:rsidP="00CC4C62" w14:paraId="087DC020" w14:textId="6A5FB945">
      <w:pPr>
        <w:pStyle w:val="FootnoteText"/>
      </w:pPr>
      <w:r w:rsidRPr="00E3459D">
        <w:rPr>
          <w:rStyle w:val="FootnoteReference"/>
        </w:rPr>
        <w:footnoteRef/>
      </w:r>
      <w:r w:rsidRPr="000A3ECE">
        <w:t xml:space="preserve"> </w:t>
      </w:r>
      <w:r w:rsidRPr="000A3ECE" w:rsidR="000143D4">
        <w:rPr>
          <w:i/>
        </w:rPr>
        <w:t>Id</w:t>
      </w:r>
      <w:r w:rsidRPr="000A3ECE" w:rsidR="000143D4">
        <w:t>. at para</w:t>
      </w:r>
      <w:r w:rsidR="00683BE9">
        <w:t>s</w:t>
      </w:r>
      <w:r w:rsidRPr="000A3ECE" w:rsidR="000143D4">
        <w:t xml:space="preserve">. </w:t>
      </w:r>
      <w:r w:rsidR="00114B31">
        <w:t>75-76</w:t>
      </w:r>
      <w:r w:rsidRPr="000A3ECE" w:rsidR="000143D4">
        <w:t>.</w:t>
      </w:r>
    </w:p>
  </w:footnote>
  <w:footnote w:id="55">
    <w:p w:rsidR="00EC5CC5" w:rsidRPr="000A3ECE" w:rsidP="00CC4C62" w14:paraId="196BC829" w14:textId="7804E992">
      <w:pPr>
        <w:pStyle w:val="FootnoteText"/>
      </w:pPr>
      <w:r w:rsidRPr="00E3459D">
        <w:rPr>
          <w:rStyle w:val="FootnoteReference"/>
        </w:rPr>
        <w:footnoteRef/>
      </w:r>
      <w:r w:rsidRPr="000A3ECE">
        <w:rPr>
          <w:i/>
        </w:rPr>
        <w:t xml:space="preserve"> </w:t>
      </w:r>
      <w:r w:rsidRPr="000A3ECE" w:rsidR="004B21FF">
        <w:rPr>
          <w:i/>
        </w:rPr>
        <w:t>Id</w:t>
      </w:r>
      <w:r w:rsidRPr="000A3ECE" w:rsidR="004B21FF">
        <w:t>. at</w:t>
      </w:r>
      <w:r w:rsidRPr="00E3459D" w:rsidR="004B21FF">
        <w:t xml:space="preserve"> </w:t>
      </w:r>
      <w:r w:rsidRPr="00E3459D" w:rsidR="00BC2D8A">
        <w:t>para.</w:t>
      </w:r>
      <w:r w:rsidRPr="000A3ECE" w:rsidR="00BC2D8A">
        <w:t xml:space="preserve"> </w:t>
      </w:r>
      <w:r w:rsidRPr="000A3ECE" w:rsidR="004B21FF">
        <w:t xml:space="preserve">19; </w:t>
      </w:r>
      <w:r w:rsidRPr="000A3ECE" w:rsidR="004B21FF">
        <w:rPr>
          <w:i/>
        </w:rPr>
        <w:t>see</w:t>
      </w:r>
      <w:r w:rsidRPr="000A3ECE" w:rsidR="004B21FF">
        <w:t xml:space="preserve"> </w:t>
      </w:r>
      <w:r w:rsidRPr="000A3ECE" w:rsidR="004B21FF">
        <w:rPr>
          <w:i/>
        </w:rPr>
        <w:t>Swan Creek Commc’ns, Inc. v. FCC</w:t>
      </w:r>
      <w:r w:rsidRPr="000A3ECE" w:rsidR="004B21FF">
        <w:t xml:space="preserve">, 39 F.3d 1217, 1221-22 (D.C. Cir. 1994) (quoting </w:t>
      </w:r>
      <w:r w:rsidRPr="000A3ECE" w:rsidR="004B21FF">
        <w:rPr>
          <w:i/>
        </w:rPr>
        <w:t>Policy Regarding Character Qualifications in Broadcast Licensing</w:t>
      </w:r>
      <w:r w:rsidRPr="000A3ECE" w:rsidR="004B21FF">
        <w:t>, 102 FCC 2d 1179, 1211 (1986)).</w:t>
      </w:r>
    </w:p>
  </w:footnote>
  <w:footnote w:id="56">
    <w:p w:rsidR="00D35B93" w:rsidRPr="000A3ECE" w:rsidP="00CC4C62" w14:paraId="0C0849A8" w14:textId="284036F9">
      <w:pPr>
        <w:pStyle w:val="FootnoteText"/>
      </w:pPr>
      <w:r w:rsidRPr="00E3459D">
        <w:rPr>
          <w:rStyle w:val="FootnoteReference"/>
        </w:rPr>
        <w:footnoteRef/>
      </w:r>
      <w:r w:rsidRPr="000A3ECE">
        <w:t xml:space="preserve"> </w:t>
      </w:r>
      <w:r w:rsidR="00094986">
        <w:t>City</w:t>
      </w:r>
      <w:r w:rsidRPr="000A3ECE" w:rsidR="00040DEF">
        <w:t xml:space="preserve"> NAL</w:t>
      </w:r>
      <w:r w:rsidR="00AC4427">
        <w:t>,</w:t>
      </w:r>
      <w:r w:rsidR="00AC4427">
        <w:rPr>
          <w:i/>
          <w:iCs/>
        </w:rPr>
        <w:t xml:space="preserve"> supra </w:t>
      </w:r>
      <w:r w:rsidR="00AC4427">
        <w:t xml:space="preserve">note </w:t>
      </w:r>
      <w:r w:rsidR="0023741C">
        <w:t>2</w:t>
      </w:r>
      <w:r w:rsidR="00AC4427">
        <w:t>,</w:t>
      </w:r>
      <w:r w:rsidRPr="000A3ECE" w:rsidR="00040DEF">
        <w:t xml:space="preserve"> at para. 8</w:t>
      </w:r>
      <w:r w:rsidR="00F222D9">
        <w:t>9</w:t>
      </w:r>
      <w:r w:rsidR="0023741C">
        <w:t xml:space="preserve">; </w:t>
      </w:r>
      <w:r w:rsidRPr="00BD139A" w:rsidR="0023741C">
        <w:rPr>
          <w:i/>
          <w:iCs/>
        </w:rPr>
        <w:t>see also</w:t>
      </w:r>
      <w:r w:rsidR="0023741C">
        <w:t xml:space="preserve"> 47 CFR </w:t>
      </w:r>
      <w:r w:rsidRPr="000A3ECE" w:rsidR="0023741C">
        <w:t>§</w:t>
      </w:r>
      <w:r w:rsidR="0023741C">
        <w:t xml:space="preserve"> 1.17</w:t>
      </w:r>
      <w:r w:rsidRPr="000A3ECE" w:rsidR="0023741C">
        <w:t>.</w:t>
      </w:r>
    </w:p>
  </w:footnote>
  <w:footnote w:id="57">
    <w:p w:rsidR="00054467" w:rsidRPr="000A3ECE" w:rsidP="00CC4C62" w14:paraId="2E7C9126" w14:textId="38B6AF1F">
      <w:pPr>
        <w:pStyle w:val="FootnoteText"/>
        <w:rPr>
          <w:i/>
        </w:rPr>
      </w:pPr>
      <w:r w:rsidRPr="00E3459D">
        <w:rPr>
          <w:rStyle w:val="FootnoteReference"/>
        </w:rPr>
        <w:footnoteRef/>
      </w:r>
      <w:r w:rsidRPr="000A3ECE">
        <w:t xml:space="preserve"> </w:t>
      </w:r>
      <w:r w:rsidRPr="000A3ECE">
        <w:rPr>
          <w:i/>
        </w:rPr>
        <w:t>EBB Order</w:t>
      </w:r>
      <w:r w:rsidRPr="00E3459D" w:rsidR="005D77E1">
        <w:t>,</w:t>
      </w:r>
      <w:r w:rsidRPr="00E3459D" w:rsidR="005914E9">
        <w:t xml:space="preserve"> </w:t>
      </w:r>
      <w:r w:rsidR="001F7B7C">
        <w:rPr>
          <w:i/>
          <w:iCs/>
        </w:rPr>
        <w:t xml:space="preserve">supra </w:t>
      </w:r>
      <w:r w:rsidR="001F7B7C">
        <w:t>note 4</w:t>
      </w:r>
      <w:r w:rsidR="007A5F2B">
        <w:t>5</w:t>
      </w:r>
      <w:r w:rsidR="001F7B7C">
        <w:t xml:space="preserve">, </w:t>
      </w:r>
      <w:r w:rsidR="006F5F4F">
        <w:t>4629-30,</w:t>
      </w:r>
      <w:r w:rsidRPr="000A3ECE" w:rsidR="005914E9">
        <w:t xml:space="preserve"> para. 40; </w:t>
      </w:r>
      <w:r w:rsidRPr="000A3ECE" w:rsidR="005914E9">
        <w:rPr>
          <w:i/>
        </w:rPr>
        <w:t>ACP Order</w:t>
      </w:r>
      <w:r w:rsidRPr="00E3459D" w:rsidR="005D77E1">
        <w:t>,</w:t>
      </w:r>
      <w:r w:rsidRPr="00E3459D" w:rsidR="005914E9">
        <w:t xml:space="preserve"> </w:t>
      </w:r>
      <w:r w:rsidR="001F7B7C">
        <w:rPr>
          <w:i/>
          <w:iCs/>
        </w:rPr>
        <w:t xml:space="preserve">supra </w:t>
      </w:r>
      <w:r w:rsidR="001F7B7C">
        <w:t>note 2</w:t>
      </w:r>
      <w:r w:rsidR="007A5F2B">
        <w:t>3</w:t>
      </w:r>
      <w:r w:rsidR="001F7B7C">
        <w:t xml:space="preserve">, at </w:t>
      </w:r>
      <w:r w:rsidRPr="00E3459D" w:rsidR="005D77E1">
        <w:t>594,</w:t>
      </w:r>
      <w:r w:rsidRPr="00E3459D" w:rsidR="005914E9">
        <w:t xml:space="preserve"> </w:t>
      </w:r>
      <w:r w:rsidRPr="000A3ECE" w:rsidR="005914E9">
        <w:t xml:space="preserve">para. 238; </w:t>
      </w:r>
      <w:r w:rsidRPr="000A3ECE" w:rsidR="005914E9">
        <w:rPr>
          <w:i/>
        </w:rPr>
        <w:t>see also DIRECTV, LLC and AT&amp;T Services, Inc. vs. Deerfield Media, Inc., et al</w:t>
      </w:r>
      <w:r w:rsidR="00E437B9">
        <w:rPr>
          <w:i/>
        </w:rPr>
        <w:t>.</w:t>
      </w:r>
      <w:r w:rsidRPr="000A3ECE" w:rsidR="005914E9">
        <w:t xml:space="preserve">, 35 FCC </w:t>
      </w:r>
      <w:r w:rsidRPr="000A3ECE" w:rsidR="005914E9">
        <w:t>Rcd</w:t>
      </w:r>
      <w:r w:rsidRPr="000A3ECE" w:rsidR="005914E9">
        <w:t xml:space="preserve"> 10695, 2020 FCC Lexis 3529 (2020) (explaining that the Commission will apply an objective standard and consider the “totality of the circumstances” when assessing good faith in the negotiation of retransmission consent).</w:t>
      </w:r>
    </w:p>
  </w:footnote>
  <w:footnote w:id="58">
    <w:p w:rsidR="006B2F78" w:rsidRPr="000A3ECE" w:rsidP="00CC4C62" w14:paraId="4CCBA187" w14:textId="70228AA9">
      <w:pPr>
        <w:pStyle w:val="FootnoteText"/>
      </w:pPr>
      <w:r w:rsidRPr="00E3459D">
        <w:rPr>
          <w:rStyle w:val="FootnoteReference"/>
        </w:rPr>
        <w:footnoteRef/>
      </w:r>
      <w:r w:rsidRPr="000A3ECE">
        <w:t xml:space="preserve"> </w:t>
      </w:r>
      <w:r w:rsidRPr="000A3ECE" w:rsidR="006518B5">
        <w:rPr>
          <w:i/>
        </w:rPr>
        <w:t xml:space="preserve">See generally </w:t>
      </w:r>
      <w:r w:rsidR="00FB7842">
        <w:t>City</w:t>
      </w:r>
      <w:r w:rsidRPr="000A3ECE">
        <w:t xml:space="preserve"> NAL</w:t>
      </w:r>
      <w:r w:rsidR="001F7B7C">
        <w:t xml:space="preserve">, </w:t>
      </w:r>
      <w:r w:rsidR="001F7B7C">
        <w:rPr>
          <w:i/>
          <w:iCs/>
        </w:rPr>
        <w:t xml:space="preserve">supra </w:t>
      </w:r>
      <w:r w:rsidR="001F7B7C">
        <w:t xml:space="preserve">note </w:t>
      </w:r>
      <w:r w:rsidR="007A5F2B">
        <w:t>2</w:t>
      </w:r>
      <w:r w:rsidRPr="000A3ECE" w:rsidR="006518B5">
        <w:t>.</w:t>
      </w:r>
    </w:p>
  </w:footnote>
  <w:footnote w:id="59">
    <w:p w:rsidR="00741564" w:rsidRPr="000A3ECE" w:rsidP="00CC4C62" w14:paraId="46F4E501" w14:textId="5E9AFBCA">
      <w:pPr>
        <w:pStyle w:val="FootnoteText"/>
      </w:pPr>
      <w:r w:rsidRPr="00E3459D">
        <w:rPr>
          <w:rStyle w:val="FootnoteReference"/>
        </w:rPr>
        <w:footnoteRef/>
      </w:r>
      <w:r w:rsidRPr="000A3ECE">
        <w:t xml:space="preserve"> 47 CFR § 54.1801(e)(2)(ii)(</w:t>
      </w:r>
      <w:r w:rsidRPr="000A3ECE" w:rsidR="008001AE">
        <w:t>B</w:t>
      </w:r>
      <w:r w:rsidRPr="000A3ECE">
        <w:t>).</w:t>
      </w:r>
    </w:p>
  </w:footnote>
  <w:footnote w:id="60">
    <w:p w:rsidR="00183694" w:rsidRPr="000A3ECE" w:rsidP="00CC4C62" w14:paraId="3539655B" w14:textId="69737C82">
      <w:pPr>
        <w:pStyle w:val="FootnoteText"/>
        <w:rPr>
          <w:lang w:val="es-MX"/>
        </w:rPr>
      </w:pPr>
      <w:r w:rsidRPr="00E3459D">
        <w:rPr>
          <w:rStyle w:val="FootnoteReference"/>
        </w:rPr>
        <w:footnoteRef/>
      </w:r>
      <w:r w:rsidR="0023741C">
        <w:rPr>
          <w:lang w:val="es-MX"/>
        </w:rPr>
        <w:t xml:space="preserve"> </w:t>
      </w:r>
      <w:r w:rsidRPr="0023741C" w:rsidR="0023741C">
        <w:rPr>
          <w:i/>
          <w:iCs/>
          <w:lang w:val="es-MX"/>
        </w:rPr>
        <w:t>Id.</w:t>
      </w:r>
      <w:r w:rsidRPr="000A3ECE" w:rsidR="007F4410">
        <w:rPr>
          <w:lang w:val="es-MX"/>
        </w:rPr>
        <w:t xml:space="preserve"> § 54.1801(e)(2)(</w:t>
      </w:r>
      <w:r w:rsidRPr="000A3ECE" w:rsidR="007F4410">
        <w:rPr>
          <w:lang w:val="es-MX"/>
        </w:rPr>
        <w:t>iii</w:t>
      </w:r>
      <w:r w:rsidRPr="000A3ECE" w:rsidR="007F4410">
        <w:rPr>
          <w:lang w:val="es-MX"/>
        </w:rPr>
        <w:t>)(C).</w:t>
      </w:r>
    </w:p>
  </w:footnote>
  <w:footnote w:id="61">
    <w:p w:rsidR="001C1512" w:rsidRPr="000A3ECE" w:rsidP="00CC4C62" w14:paraId="16307C98" w14:textId="4560962C">
      <w:pPr>
        <w:pStyle w:val="FootnoteText"/>
        <w:rPr>
          <w:lang w:val="es-MX"/>
        </w:rPr>
      </w:pPr>
      <w:r w:rsidRPr="00E3459D">
        <w:rPr>
          <w:rStyle w:val="FootnoteReference"/>
        </w:rPr>
        <w:footnoteRef/>
      </w:r>
      <w:r w:rsidRPr="000A3ECE">
        <w:rPr>
          <w:lang w:val="es-MX"/>
        </w:rPr>
        <w:t xml:space="preserve"> </w:t>
      </w:r>
      <w:r w:rsidRPr="0023741C" w:rsidR="0023741C">
        <w:rPr>
          <w:i/>
          <w:iCs/>
          <w:lang w:val="es-MX"/>
        </w:rPr>
        <w:t>Id.</w:t>
      </w:r>
      <w:r w:rsidR="0023741C">
        <w:rPr>
          <w:i/>
          <w:iCs/>
          <w:lang w:val="es-MX"/>
        </w:rPr>
        <w:t xml:space="preserve"> </w:t>
      </w:r>
      <w:r w:rsidRPr="000A3ECE">
        <w:rPr>
          <w:lang w:val="es-MX"/>
        </w:rPr>
        <w:t>§ 54.1801(e)(2)(</w:t>
      </w:r>
      <w:r w:rsidRPr="000A3ECE">
        <w:rPr>
          <w:lang w:val="es-MX"/>
        </w:rPr>
        <w:t>iii</w:t>
      </w:r>
      <w:r w:rsidRPr="000A3ECE">
        <w:rPr>
          <w:lang w:val="es-MX"/>
        </w:rPr>
        <w:t>)(D).</w:t>
      </w:r>
    </w:p>
  </w:footnote>
  <w:footnote w:id="62">
    <w:p w:rsidR="00F431A4" w:rsidRPr="00E3459D" w:rsidP="00CC4C62" w14:paraId="17D8913E" w14:textId="53648DFE">
      <w:pPr>
        <w:pStyle w:val="FootnoteText"/>
      </w:pPr>
      <w:r w:rsidRPr="00E3459D">
        <w:rPr>
          <w:rStyle w:val="FootnoteReference"/>
        </w:rPr>
        <w:footnoteRef/>
      </w:r>
      <w:r w:rsidRPr="00E3459D">
        <w:t xml:space="preserve"> </w:t>
      </w:r>
      <w:r w:rsidRPr="00E3459D" w:rsidR="003E3E39">
        <w:t>A</w:t>
      </w:r>
      <w:r w:rsidRPr="00E3459D" w:rsidR="00723E8F">
        <w:t xml:space="preserve"> provider must issue notices to its existing subscribers regarding its removal from the program. </w:t>
      </w:r>
      <w:r w:rsidRPr="00E3459D" w:rsidR="006C3C45">
        <w:t xml:space="preserve"> </w:t>
      </w:r>
      <w:r w:rsidRPr="0023741C" w:rsidR="0023741C">
        <w:rPr>
          <w:i/>
          <w:iCs/>
        </w:rPr>
        <w:t>See</w:t>
      </w:r>
      <w:r w:rsidR="0023741C">
        <w:t xml:space="preserve"> </w:t>
      </w:r>
      <w:r w:rsidRPr="00E3459D" w:rsidR="00723E8F">
        <w:t>47</w:t>
      </w:r>
      <w:r w:rsidRPr="00E3459D" w:rsidR="003E3E39">
        <w:t xml:space="preserve"> </w:t>
      </w:r>
      <w:r w:rsidRPr="00E3459D" w:rsidR="00723E8F">
        <w:t xml:space="preserve">CFR § 54.1801(e)(4)(ii). </w:t>
      </w:r>
      <w:r w:rsidRPr="00E3459D" w:rsidR="00A869F6">
        <w:t xml:space="preserve"> </w:t>
      </w:r>
      <w:r w:rsidRPr="00E3459D" w:rsidR="00723E8F">
        <w:t xml:space="preserve">The first notice must be issued within 30 days of the removal determination and the second notice at least 15 days prior to the effective date of the provider’s removal from ACP. </w:t>
      </w:r>
      <w:r w:rsidRPr="00E3459D" w:rsidR="00A869F6">
        <w:t xml:space="preserve"> </w:t>
      </w:r>
      <w:r w:rsidRPr="0023741C" w:rsidR="0023741C">
        <w:rPr>
          <w:i/>
          <w:iCs/>
        </w:rPr>
        <w:t>See</w:t>
      </w:r>
      <w:r w:rsidRPr="00E3459D" w:rsidR="0023741C">
        <w:t xml:space="preserve"> </w:t>
      </w:r>
      <w:r w:rsidRPr="00E3459D" w:rsidR="00723E8F">
        <w:t>47 CFR § 54.1801(e)(4)(ii)(A).  However, the Commission announced the wind-down of the Affordable Connectivity Program due to a lack of additional funding from Congress.</w:t>
      </w:r>
      <w:r w:rsidRPr="00E3459D" w:rsidR="00A869F6">
        <w:t xml:space="preserve"> </w:t>
      </w:r>
      <w:r w:rsidRPr="00E3459D" w:rsidR="00723E8F">
        <w:t xml:space="preserve"> </w:t>
      </w:r>
      <w:r w:rsidRPr="0023741C" w:rsidR="0023741C">
        <w:rPr>
          <w:i/>
          <w:iCs/>
        </w:rPr>
        <w:t>See</w:t>
      </w:r>
      <w:r w:rsidRPr="00E3459D" w:rsidR="0023741C">
        <w:rPr>
          <w:i/>
          <w:iCs/>
        </w:rPr>
        <w:t xml:space="preserve"> </w:t>
      </w:r>
      <w:r w:rsidRPr="00E3459D" w:rsidR="00723E8F">
        <w:rPr>
          <w:i/>
          <w:iCs/>
        </w:rPr>
        <w:t>Affordable Connectivity Program</w:t>
      </w:r>
      <w:r w:rsidRPr="00E3459D" w:rsidR="00723E8F">
        <w:t>, WC Docket No. 21-450, Order, DA 24-23 (WCB Jan. 11, 2024). </w:t>
      </w:r>
      <w:r w:rsidRPr="00E3459D" w:rsidR="003E3E39">
        <w:t xml:space="preserve"> T</w:t>
      </w:r>
      <w:r w:rsidRPr="00E3459D" w:rsidR="006C3C45">
        <w:t xml:space="preserve">o the extent </w:t>
      </w:r>
      <w:r w:rsidR="00FB7842">
        <w:t>City</w:t>
      </w:r>
      <w:r w:rsidRPr="00E3459D" w:rsidR="006C3C45">
        <w:t xml:space="preserve"> did not issue such notices, </w:t>
      </w:r>
      <w:r w:rsidRPr="00E3459D" w:rsidR="00723E8F">
        <w:t xml:space="preserve">should </w:t>
      </w:r>
      <w:r w:rsidR="0001296D">
        <w:t xml:space="preserve">the </w:t>
      </w:r>
      <w:r w:rsidRPr="00E3459D" w:rsidR="00723E8F">
        <w:t xml:space="preserve">ACP be extended, </w:t>
      </w:r>
      <w:r w:rsidR="00F66452">
        <w:t>City</w:t>
      </w:r>
      <w:r w:rsidRPr="00E3459D" w:rsidR="00723E8F">
        <w:t xml:space="preserve"> is required to abide by the notice requirements outlined in 47 CFR § 54.1801(e)(4).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00A0" w:rsidRPr="001B048F" w:rsidP="00940DD1" w14:paraId="18CB0A95" w14:textId="1C4E3BD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E273E3">
      <w:tab/>
      <w:t>Federal Communications Commission</w:t>
    </w:r>
    <w:r w:rsidR="00E273E3">
      <w:tab/>
    </w:r>
    <w:r w:rsidR="00F17A5A">
      <w:t>DA</w:t>
    </w:r>
    <w:r w:rsidR="006C560C">
      <w:t xml:space="preserve"> </w:t>
    </w:r>
    <w:r w:rsidR="002227A1">
      <w:t>24-438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86D" w:rsidP="003E086D" w14:paraId="3F26F8E9" w14:textId="3592E9C7">
    <w:pPr>
      <w:pStyle w:val="Header"/>
    </w:pPr>
    <w:r>
      <w:t xml:space="preserve"> </w:t>
    </w:r>
  </w:p>
  <w:p w:rsidR="009E00A0" w:rsidRPr="00A869F6" w:rsidP="00940DD1" w14:paraId="66916BD2" w14:textId="58B02C54">
    <w:pPr>
      <w:pStyle w:val="Header"/>
    </w:pPr>
    <w:r w:rsidRPr="00A869F6">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A869F6" w:rsidR="00E273E3">
      <w:tab/>
      <w:t>Federal Communications Commission</w:t>
    </w:r>
    <w:r w:rsidRPr="00A869F6" w:rsidR="00E273E3">
      <w:tab/>
    </w:r>
    <w:r w:rsidR="00940DD1">
      <w:t xml:space="preserve">DA </w:t>
    </w:r>
    <w:r w:rsidR="002227A1">
      <w:t>24-438</w:t>
    </w:r>
    <w:r w:rsidRPr="00940DD1" w:rsidR="00940D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4"/>
  </w:num>
  <w:num w:numId="2">
    <w:abstractNumId w:val="8"/>
  </w:num>
  <w:num w:numId="3">
    <w:abstractNumId w:val="3"/>
  </w:num>
  <w:num w:numId="4">
    <w:abstractNumId w:val="10"/>
  </w:num>
  <w:num w:numId="5">
    <w:abstractNumId w:val="2"/>
  </w:num>
  <w:num w:numId="6">
    <w:abstractNumId w:val="9"/>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3"/>
  </w:num>
  <w:num w:numId="9">
    <w:abstractNumId w:val="12"/>
  </w:num>
  <w:num w:numId="10">
    <w:abstractNumId w:val="1"/>
  </w:num>
  <w:num w:numId="11">
    <w:abstractNumId w:val="5"/>
  </w:num>
  <w:num w:numId="12">
    <w:abstractNumId w:val="6"/>
  </w:num>
  <w:num w:numId="13">
    <w:abstractNumId w:val="11"/>
  </w:num>
  <w:num w:numId="14">
    <w:abstractNumId w:val="7"/>
  </w:num>
  <w:num w:numId="15">
    <w:abstractNumId w:val="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5"/>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num>
  <w:num w:numId="38">
    <w:abstractNumId w:val="14"/>
    <w:lvlOverride w:ilvl="0">
      <w:startOverride w:val="1"/>
    </w:lvlOverride>
  </w:num>
  <w:num w:numId="39">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1718"/>
    <w:rsid w:val="000024CA"/>
    <w:rsid w:val="00003E50"/>
    <w:rsid w:val="00005148"/>
    <w:rsid w:val="00005C58"/>
    <w:rsid w:val="0000624E"/>
    <w:rsid w:val="000114E2"/>
    <w:rsid w:val="000117F4"/>
    <w:rsid w:val="0001296D"/>
    <w:rsid w:val="00014057"/>
    <w:rsid w:val="000143D4"/>
    <w:rsid w:val="00014462"/>
    <w:rsid w:val="000145C6"/>
    <w:rsid w:val="00016B15"/>
    <w:rsid w:val="000174F9"/>
    <w:rsid w:val="00017B72"/>
    <w:rsid w:val="000228D3"/>
    <w:rsid w:val="0002501E"/>
    <w:rsid w:val="00025FF2"/>
    <w:rsid w:val="000264B4"/>
    <w:rsid w:val="000267B4"/>
    <w:rsid w:val="00027057"/>
    <w:rsid w:val="00030523"/>
    <w:rsid w:val="00030919"/>
    <w:rsid w:val="00031AE8"/>
    <w:rsid w:val="000328C5"/>
    <w:rsid w:val="00033821"/>
    <w:rsid w:val="000340E1"/>
    <w:rsid w:val="00036D58"/>
    <w:rsid w:val="00040661"/>
    <w:rsid w:val="00040DEF"/>
    <w:rsid w:val="00041184"/>
    <w:rsid w:val="00043C9B"/>
    <w:rsid w:val="0004417E"/>
    <w:rsid w:val="0004432E"/>
    <w:rsid w:val="00044512"/>
    <w:rsid w:val="00044575"/>
    <w:rsid w:val="00046444"/>
    <w:rsid w:val="00046801"/>
    <w:rsid w:val="000529D5"/>
    <w:rsid w:val="0005430A"/>
    <w:rsid w:val="00054467"/>
    <w:rsid w:val="000604EB"/>
    <w:rsid w:val="00062C44"/>
    <w:rsid w:val="000649FE"/>
    <w:rsid w:val="000676AB"/>
    <w:rsid w:val="00070E5B"/>
    <w:rsid w:val="00071899"/>
    <w:rsid w:val="00071E3F"/>
    <w:rsid w:val="00072D7D"/>
    <w:rsid w:val="00074717"/>
    <w:rsid w:val="0007571D"/>
    <w:rsid w:val="0007738A"/>
    <w:rsid w:val="00080535"/>
    <w:rsid w:val="000834D2"/>
    <w:rsid w:val="00083793"/>
    <w:rsid w:val="000853AD"/>
    <w:rsid w:val="00086824"/>
    <w:rsid w:val="00091612"/>
    <w:rsid w:val="00091AE4"/>
    <w:rsid w:val="00092506"/>
    <w:rsid w:val="0009411E"/>
    <w:rsid w:val="00094986"/>
    <w:rsid w:val="00094AF8"/>
    <w:rsid w:val="0009610D"/>
    <w:rsid w:val="000962DF"/>
    <w:rsid w:val="00097F82"/>
    <w:rsid w:val="000A3E68"/>
    <w:rsid w:val="000A3ECE"/>
    <w:rsid w:val="000A4776"/>
    <w:rsid w:val="000A5107"/>
    <w:rsid w:val="000A7091"/>
    <w:rsid w:val="000B08D4"/>
    <w:rsid w:val="000B14C3"/>
    <w:rsid w:val="000B1C2B"/>
    <w:rsid w:val="000B29ED"/>
    <w:rsid w:val="000B6942"/>
    <w:rsid w:val="000B7657"/>
    <w:rsid w:val="000C092B"/>
    <w:rsid w:val="000C378A"/>
    <w:rsid w:val="000C56E7"/>
    <w:rsid w:val="000C6050"/>
    <w:rsid w:val="000C6DBC"/>
    <w:rsid w:val="000C73E8"/>
    <w:rsid w:val="000C7E14"/>
    <w:rsid w:val="000D03AE"/>
    <w:rsid w:val="000D1391"/>
    <w:rsid w:val="000D2147"/>
    <w:rsid w:val="000D645A"/>
    <w:rsid w:val="000D7736"/>
    <w:rsid w:val="000D7C8D"/>
    <w:rsid w:val="000D7FE7"/>
    <w:rsid w:val="000E00DB"/>
    <w:rsid w:val="000E1951"/>
    <w:rsid w:val="000E2707"/>
    <w:rsid w:val="000E28B8"/>
    <w:rsid w:val="000E43FB"/>
    <w:rsid w:val="000E5629"/>
    <w:rsid w:val="000E5A18"/>
    <w:rsid w:val="000F1155"/>
    <w:rsid w:val="000F1586"/>
    <w:rsid w:val="000F2768"/>
    <w:rsid w:val="000F27AF"/>
    <w:rsid w:val="000F2E8D"/>
    <w:rsid w:val="000F4E04"/>
    <w:rsid w:val="00100646"/>
    <w:rsid w:val="00105158"/>
    <w:rsid w:val="00105A35"/>
    <w:rsid w:val="001067B6"/>
    <w:rsid w:val="00107CC4"/>
    <w:rsid w:val="00107F3F"/>
    <w:rsid w:val="001108B2"/>
    <w:rsid w:val="00110EB3"/>
    <w:rsid w:val="001110D6"/>
    <w:rsid w:val="0011337B"/>
    <w:rsid w:val="00114B31"/>
    <w:rsid w:val="001166DB"/>
    <w:rsid w:val="001167B6"/>
    <w:rsid w:val="0011687C"/>
    <w:rsid w:val="001205FE"/>
    <w:rsid w:val="0012427E"/>
    <w:rsid w:val="00124A05"/>
    <w:rsid w:val="00125853"/>
    <w:rsid w:val="00125CEA"/>
    <w:rsid w:val="00126C88"/>
    <w:rsid w:val="00135399"/>
    <w:rsid w:val="00135B02"/>
    <w:rsid w:val="00135F7F"/>
    <w:rsid w:val="00136048"/>
    <w:rsid w:val="00136476"/>
    <w:rsid w:val="001378F9"/>
    <w:rsid w:val="00140ABB"/>
    <w:rsid w:val="001426F0"/>
    <w:rsid w:val="00145A25"/>
    <w:rsid w:val="00145E08"/>
    <w:rsid w:val="00150E0A"/>
    <w:rsid w:val="001514EF"/>
    <w:rsid w:val="001532B1"/>
    <w:rsid w:val="00153904"/>
    <w:rsid w:val="00153A29"/>
    <w:rsid w:val="00153CE0"/>
    <w:rsid w:val="00153E22"/>
    <w:rsid w:val="001541D2"/>
    <w:rsid w:val="00154A5C"/>
    <w:rsid w:val="0015666A"/>
    <w:rsid w:val="001616D9"/>
    <w:rsid w:val="00162161"/>
    <w:rsid w:val="00164578"/>
    <w:rsid w:val="00164D9B"/>
    <w:rsid w:val="001671DF"/>
    <w:rsid w:val="001715BD"/>
    <w:rsid w:val="00172581"/>
    <w:rsid w:val="00173571"/>
    <w:rsid w:val="001740BB"/>
    <w:rsid w:val="00175790"/>
    <w:rsid w:val="0017744F"/>
    <w:rsid w:val="00180026"/>
    <w:rsid w:val="001817B2"/>
    <w:rsid w:val="001819AF"/>
    <w:rsid w:val="00182F94"/>
    <w:rsid w:val="00183694"/>
    <w:rsid w:val="001837DE"/>
    <w:rsid w:val="00185075"/>
    <w:rsid w:val="0018709B"/>
    <w:rsid w:val="0019180E"/>
    <w:rsid w:val="00191A4B"/>
    <w:rsid w:val="00191E18"/>
    <w:rsid w:val="00196E93"/>
    <w:rsid w:val="001A007C"/>
    <w:rsid w:val="001A29EF"/>
    <w:rsid w:val="001A2F40"/>
    <w:rsid w:val="001A3AB7"/>
    <w:rsid w:val="001A69BA"/>
    <w:rsid w:val="001A79FB"/>
    <w:rsid w:val="001B048F"/>
    <w:rsid w:val="001B393A"/>
    <w:rsid w:val="001B3A9B"/>
    <w:rsid w:val="001B3C13"/>
    <w:rsid w:val="001B3EFC"/>
    <w:rsid w:val="001B6330"/>
    <w:rsid w:val="001B640C"/>
    <w:rsid w:val="001C1512"/>
    <w:rsid w:val="001C1DB2"/>
    <w:rsid w:val="001C3156"/>
    <w:rsid w:val="001C3B35"/>
    <w:rsid w:val="001C41CC"/>
    <w:rsid w:val="001C42B3"/>
    <w:rsid w:val="001C53FC"/>
    <w:rsid w:val="001C5B40"/>
    <w:rsid w:val="001D1A89"/>
    <w:rsid w:val="001D1CEF"/>
    <w:rsid w:val="001D3328"/>
    <w:rsid w:val="001D47CD"/>
    <w:rsid w:val="001D5C66"/>
    <w:rsid w:val="001E135C"/>
    <w:rsid w:val="001E1906"/>
    <w:rsid w:val="001E20A3"/>
    <w:rsid w:val="001E401B"/>
    <w:rsid w:val="001E62B8"/>
    <w:rsid w:val="001E719B"/>
    <w:rsid w:val="001E7921"/>
    <w:rsid w:val="001F2B76"/>
    <w:rsid w:val="001F3946"/>
    <w:rsid w:val="001F5AA4"/>
    <w:rsid w:val="001F5B9C"/>
    <w:rsid w:val="001F6BF6"/>
    <w:rsid w:val="001F7B7C"/>
    <w:rsid w:val="001F7EE0"/>
    <w:rsid w:val="002001C4"/>
    <w:rsid w:val="002037C2"/>
    <w:rsid w:val="002037CA"/>
    <w:rsid w:val="002053F7"/>
    <w:rsid w:val="00205F70"/>
    <w:rsid w:val="00206EAE"/>
    <w:rsid w:val="00212326"/>
    <w:rsid w:val="0021293E"/>
    <w:rsid w:val="00212FEA"/>
    <w:rsid w:val="0021315C"/>
    <w:rsid w:val="00213486"/>
    <w:rsid w:val="002146E2"/>
    <w:rsid w:val="00216B3B"/>
    <w:rsid w:val="0022231A"/>
    <w:rsid w:val="002227A1"/>
    <w:rsid w:val="00223173"/>
    <w:rsid w:val="0022440F"/>
    <w:rsid w:val="00225854"/>
    <w:rsid w:val="002260D7"/>
    <w:rsid w:val="00226191"/>
    <w:rsid w:val="0022665A"/>
    <w:rsid w:val="00231D81"/>
    <w:rsid w:val="00236820"/>
    <w:rsid w:val="0023741C"/>
    <w:rsid w:val="00243255"/>
    <w:rsid w:val="00246222"/>
    <w:rsid w:val="00246818"/>
    <w:rsid w:val="00247C06"/>
    <w:rsid w:val="00250EDF"/>
    <w:rsid w:val="002523B2"/>
    <w:rsid w:val="00252799"/>
    <w:rsid w:val="00252AC5"/>
    <w:rsid w:val="00256904"/>
    <w:rsid w:val="00256B42"/>
    <w:rsid w:val="00256D21"/>
    <w:rsid w:val="00262DBF"/>
    <w:rsid w:val="002659F3"/>
    <w:rsid w:val="00265FC9"/>
    <w:rsid w:val="00270CD1"/>
    <w:rsid w:val="002710C5"/>
    <w:rsid w:val="002718D7"/>
    <w:rsid w:val="002722DC"/>
    <w:rsid w:val="002724EE"/>
    <w:rsid w:val="0027374B"/>
    <w:rsid w:val="002769D3"/>
    <w:rsid w:val="00282044"/>
    <w:rsid w:val="002836A3"/>
    <w:rsid w:val="00283E59"/>
    <w:rsid w:val="00287564"/>
    <w:rsid w:val="00290EFD"/>
    <w:rsid w:val="00293A9E"/>
    <w:rsid w:val="00293ACC"/>
    <w:rsid w:val="002966A1"/>
    <w:rsid w:val="00297424"/>
    <w:rsid w:val="002A08E9"/>
    <w:rsid w:val="002A0999"/>
    <w:rsid w:val="002A1963"/>
    <w:rsid w:val="002A3A01"/>
    <w:rsid w:val="002A64E0"/>
    <w:rsid w:val="002B17E2"/>
    <w:rsid w:val="002B2521"/>
    <w:rsid w:val="002B3355"/>
    <w:rsid w:val="002B49A0"/>
    <w:rsid w:val="002B549D"/>
    <w:rsid w:val="002B7493"/>
    <w:rsid w:val="002B7F24"/>
    <w:rsid w:val="002C079C"/>
    <w:rsid w:val="002C12AD"/>
    <w:rsid w:val="002C44DC"/>
    <w:rsid w:val="002C503F"/>
    <w:rsid w:val="002C66A2"/>
    <w:rsid w:val="002D1967"/>
    <w:rsid w:val="002D3A88"/>
    <w:rsid w:val="002D4CD9"/>
    <w:rsid w:val="002D5C2D"/>
    <w:rsid w:val="002D6A81"/>
    <w:rsid w:val="002D74C4"/>
    <w:rsid w:val="002E046E"/>
    <w:rsid w:val="002E1671"/>
    <w:rsid w:val="002E21E7"/>
    <w:rsid w:val="002E3B75"/>
    <w:rsid w:val="002E43B6"/>
    <w:rsid w:val="002E5533"/>
    <w:rsid w:val="002E6027"/>
    <w:rsid w:val="002F2ACB"/>
    <w:rsid w:val="002F7C04"/>
    <w:rsid w:val="00302571"/>
    <w:rsid w:val="00306C34"/>
    <w:rsid w:val="00306C50"/>
    <w:rsid w:val="003140C6"/>
    <w:rsid w:val="003170FE"/>
    <w:rsid w:val="0032053D"/>
    <w:rsid w:val="00320FFE"/>
    <w:rsid w:val="0032244D"/>
    <w:rsid w:val="003225C0"/>
    <w:rsid w:val="00325463"/>
    <w:rsid w:val="00330468"/>
    <w:rsid w:val="00331588"/>
    <w:rsid w:val="00331B47"/>
    <w:rsid w:val="00331D4E"/>
    <w:rsid w:val="0033219C"/>
    <w:rsid w:val="00333601"/>
    <w:rsid w:val="003343CA"/>
    <w:rsid w:val="00335814"/>
    <w:rsid w:val="003368A3"/>
    <w:rsid w:val="003368E2"/>
    <w:rsid w:val="003400E9"/>
    <w:rsid w:val="00340246"/>
    <w:rsid w:val="003405D0"/>
    <w:rsid w:val="00340E96"/>
    <w:rsid w:val="003425DD"/>
    <w:rsid w:val="0034478E"/>
    <w:rsid w:val="00344871"/>
    <w:rsid w:val="00344C0B"/>
    <w:rsid w:val="00345333"/>
    <w:rsid w:val="00345F40"/>
    <w:rsid w:val="00346DCB"/>
    <w:rsid w:val="003472A7"/>
    <w:rsid w:val="00347397"/>
    <w:rsid w:val="00353E9D"/>
    <w:rsid w:val="00355D30"/>
    <w:rsid w:val="003563C1"/>
    <w:rsid w:val="00361B43"/>
    <w:rsid w:val="003623B1"/>
    <w:rsid w:val="00362550"/>
    <w:rsid w:val="00363077"/>
    <w:rsid w:val="003633DD"/>
    <w:rsid w:val="003677E1"/>
    <w:rsid w:val="003679DE"/>
    <w:rsid w:val="0037079B"/>
    <w:rsid w:val="0037463D"/>
    <w:rsid w:val="0038136A"/>
    <w:rsid w:val="003917E3"/>
    <w:rsid w:val="00397656"/>
    <w:rsid w:val="0039768C"/>
    <w:rsid w:val="003A07BF"/>
    <w:rsid w:val="003A0DC2"/>
    <w:rsid w:val="003A4346"/>
    <w:rsid w:val="003A4646"/>
    <w:rsid w:val="003A4767"/>
    <w:rsid w:val="003A5530"/>
    <w:rsid w:val="003A5D94"/>
    <w:rsid w:val="003A64A6"/>
    <w:rsid w:val="003A6F0A"/>
    <w:rsid w:val="003B059C"/>
    <w:rsid w:val="003B23B7"/>
    <w:rsid w:val="003B4544"/>
    <w:rsid w:val="003B5341"/>
    <w:rsid w:val="003B5EF6"/>
    <w:rsid w:val="003B5FCF"/>
    <w:rsid w:val="003B6421"/>
    <w:rsid w:val="003B6F75"/>
    <w:rsid w:val="003C0BCF"/>
    <w:rsid w:val="003C1D26"/>
    <w:rsid w:val="003C28CA"/>
    <w:rsid w:val="003C2D35"/>
    <w:rsid w:val="003C452E"/>
    <w:rsid w:val="003C47C6"/>
    <w:rsid w:val="003C5EF1"/>
    <w:rsid w:val="003C6559"/>
    <w:rsid w:val="003D04DB"/>
    <w:rsid w:val="003D30D6"/>
    <w:rsid w:val="003D45DD"/>
    <w:rsid w:val="003D5B63"/>
    <w:rsid w:val="003D5BD6"/>
    <w:rsid w:val="003D7BD0"/>
    <w:rsid w:val="003E07C0"/>
    <w:rsid w:val="003E086D"/>
    <w:rsid w:val="003E30AF"/>
    <w:rsid w:val="003E36EC"/>
    <w:rsid w:val="003E3E39"/>
    <w:rsid w:val="003E4BA1"/>
    <w:rsid w:val="003E5CB1"/>
    <w:rsid w:val="003E7003"/>
    <w:rsid w:val="003E71DD"/>
    <w:rsid w:val="003F02BC"/>
    <w:rsid w:val="003F2F66"/>
    <w:rsid w:val="003F74F1"/>
    <w:rsid w:val="00400AE5"/>
    <w:rsid w:val="004016AD"/>
    <w:rsid w:val="004024B5"/>
    <w:rsid w:val="00403291"/>
    <w:rsid w:val="00403B86"/>
    <w:rsid w:val="00404E2C"/>
    <w:rsid w:val="00412B3D"/>
    <w:rsid w:val="00412ECF"/>
    <w:rsid w:val="00414E93"/>
    <w:rsid w:val="00416F51"/>
    <w:rsid w:val="004200CE"/>
    <w:rsid w:val="0042056B"/>
    <w:rsid w:val="00424B54"/>
    <w:rsid w:val="00426EAA"/>
    <w:rsid w:val="00427939"/>
    <w:rsid w:val="00431572"/>
    <w:rsid w:val="00434A17"/>
    <w:rsid w:val="00436A9E"/>
    <w:rsid w:val="00436D9D"/>
    <w:rsid w:val="004405A5"/>
    <w:rsid w:val="00441CED"/>
    <w:rsid w:val="00443760"/>
    <w:rsid w:val="004460AA"/>
    <w:rsid w:val="00450C5B"/>
    <w:rsid w:val="0045126C"/>
    <w:rsid w:val="00451634"/>
    <w:rsid w:val="00452C14"/>
    <w:rsid w:val="00453436"/>
    <w:rsid w:val="00453BBC"/>
    <w:rsid w:val="00454EFD"/>
    <w:rsid w:val="004553B0"/>
    <w:rsid w:val="004573E6"/>
    <w:rsid w:val="00457AE7"/>
    <w:rsid w:val="004612AA"/>
    <w:rsid w:val="00462CD5"/>
    <w:rsid w:val="00462FE3"/>
    <w:rsid w:val="0046309A"/>
    <w:rsid w:val="004636A0"/>
    <w:rsid w:val="00466CC6"/>
    <w:rsid w:val="00472CDD"/>
    <w:rsid w:val="004736A1"/>
    <w:rsid w:val="00473FAA"/>
    <w:rsid w:val="0047482A"/>
    <w:rsid w:val="0047532D"/>
    <w:rsid w:val="00477EDF"/>
    <w:rsid w:val="00480EC3"/>
    <w:rsid w:val="00481269"/>
    <w:rsid w:val="004824FE"/>
    <w:rsid w:val="0048286F"/>
    <w:rsid w:val="00485522"/>
    <w:rsid w:val="00493B9B"/>
    <w:rsid w:val="00493EB0"/>
    <w:rsid w:val="00495ABD"/>
    <w:rsid w:val="00496198"/>
    <w:rsid w:val="004A1F9A"/>
    <w:rsid w:val="004A45EF"/>
    <w:rsid w:val="004B21FF"/>
    <w:rsid w:val="004B2E0C"/>
    <w:rsid w:val="004B7F54"/>
    <w:rsid w:val="004C0831"/>
    <w:rsid w:val="004C1903"/>
    <w:rsid w:val="004C2340"/>
    <w:rsid w:val="004C3EDB"/>
    <w:rsid w:val="004C4957"/>
    <w:rsid w:val="004C66D5"/>
    <w:rsid w:val="004C6C23"/>
    <w:rsid w:val="004C7C5C"/>
    <w:rsid w:val="004D2600"/>
    <w:rsid w:val="004D3A79"/>
    <w:rsid w:val="004D48E7"/>
    <w:rsid w:val="004E12DF"/>
    <w:rsid w:val="004E1B42"/>
    <w:rsid w:val="004E218D"/>
    <w:rsid w:val="004E3CFD"/>
    <w:rsid w:val="004E4FD9"/>
    <w:rsid w:val="004E5D01"/>
    <w:rsid w:val="004E6388"/>
    <w:rsid w:val="004F0990"/>
    <w:rsid w:val="004F0EA9"/>
    <w:rsid w:val="004F41AB"/>
    <w:rsid w:val="004F5E5E"/>
    <w:rsid w:val="005021D7"/>
    <w:rsid w:val="00504D1C"/>
    <w:rsid w:val="00505616"/>
    <w:rsid w:val="0050593F"/>
    <w:rsid w:val="00506949"/>
    <w:rsid w:val="00507EBE"/>
    <w:rsid w:val="00512A5C"/>
    <w:rsid w:val="0051325F"/>
    <w:rsid w:val="00514466"/>
    <w:rsid w:val="00514B5F"/>
    <w:rsid w:val="005214C9"/>
    <w:rsid w:val="00522727"/>
    <w:rsid w:val="0052461F"/>
    <w:rsid w:val="00526086"/>
    <w:rsid w:val="00526174"/>
    <w:rsid w:val="00530137"/>
    <w:rsid w:val="00531A30"/>
    <w:rsid w:val="005325F2"/>
    <w:rsid w:val="00535D18"/>
    <w:rsid w:val="00536670"/>
    <w:rsid w:val="00537EE6"/>
    <w:rsid w:val="005415C8"/>
    <w:rsid w:val="0054220C"/>
    <w:rsid w:val="005440C1"/>
    <w:rsid w:val="00545EF8"/>
    <w:rsid w:val="00547654"/>
    <w:rsid w:val="00552923"/>
    <w:rsid w:val="00552950"/>
    <w:rsid w:val="00553EDE"/>
    <w:rsid w:val="00557BF1"/>
    <w:rsid w:val="00560703"/>
    <w:rsid w:val="00560875"/>
    <w:rsid w:val="005637EE"/>
    <w:rsid w:val="00563E94"/>
    <w:rsid w:val="00566531"/>
    <w:rsid w:val="0056704D"/>
    <w:rsid w:val="0056760E"/>
    <w:rsid w:val="00567C95"/>
    <w:rsid w:val="00567D8D"/>
    <w:rsid w:val="005726BF"/>
    <w:rsid w:val="00574DD5"/>
    <w:rsid w:val="00575D1D"/>
    <w:rsid w:val="00583F7F"/>
    <w:rsid w:val="00585230"/>
    <w:rsid w:val="00586FCF"/>
    <w:rsid w:val="0059139A"/>
    <w:rsid w:val="005914E9"/>
    <w:rsid w:val="005938B4"/>
    <w:rsid w:val="00595D29"/>
    <w:rsid w:val="0059732E"/>
    <w:rsid w:val="005A1B54"/>
    <w:rsid w:val="005A32E4"/>
    <w:rsid w:val="005A6843"/>
    <w:rsid w:val="005A72DD"/>
    <w:rsid w:val="005B151E"/>
    <w:rsid w:val="005B238A"/>
    <w:rsid w:val="005B23E2"/>
    <w:rsid w:val="005B3158"/>
    <w:rsid w:val="005B4782"/>
    <w:rsid w:val="005B4CEA"/>
    <w:rsid w:val="005B57EF"/>
    <w:rsid w:val="005B67E2"/>
    <w:rsid w:val="005B67ED"/>
    <w:rsid w:val="005B7541"/>
    <w:rsid w:val="005C04FA"/>
    <w:rsid w:val="005C0698"/>
    <w:rsid w:val="005C2A5A"/>
    <w:rsid w:val="005C30D4"/>
    <w:rsid w:val="005C369E"/>
    <w:rsid w:val="005C37BC"/>
    <w:rsid w:val="005C4E52"/>
    <w:rsid w:val="005C5259"/>
    <w:rsid w:val="005C64B7"/>
    <w:rsid w:val="005D2318"/>
    <w:rsid w:val="005D250F"/>
    <w:rsid w:val="005D364B"/>
    <w:rsid w:val="005D4F7D"/>
    <w:rsid w:val="005D5F0E"/>
    <w:rsid w:val="005D77E1"/>
    <w:rsid w:val="005E33D6"/>
    <w:rsid w:val="005E3D9F"/>
    <w:rsid w:val="005E7EDA"/>
    <w:rsid w:val="005F2F66"/>
    <w:rsid w:val="005F3560"/>
    <w:rsid w:val="005F47D8"/>
    <w:rsid w:val="005F5E2C"/>
    <w:rsid w:val="005F6059"/>
    <w:rsid w:val="005F7514"/>
    <w:rsid w:val="006020E8"/>
    <w:rsid w:val="00603106"/>
    <w:rsid w:val="00603C46"/>
    <w:rsid w:val="00603E82"/>
    <w:rsid w:val="0060429A"/>
    <w:rsid w:val="00606927"/>
    <w:rsid w:val="006168A4"/>
    <w:rsid w:val="00617025"/>
    <w:rsid w:val="00617CB0"/>
    <w:rsid w:val="00621199"/>
    <w:rsid w:val="00622396"/>
    <w:rsid w:val="00624EEA"/>
    <w:rsid w:val="0062794C"/>
    <w:rsid w:val="0063038A"/>
    <w:rsid w:val="0063166B"/>
    <w:rsid w:val="00631734"/>
    <w:rsid w:val="00634F84"/>
    <w:rsid w:val="006354DF"/>
    <w:rsid w:val="00635BE6"/>
    <w:rsid w:val="006378EA"/>
    <w:rsid w:val="00637D3F"/>
    <w:rsid w:val="00640D2E"/>
    <w:rsid w:val="00640EAA"/>
    <w:rsid w:val="006437A8"/>
    <w:rsid w:val="00644983"/>
    <w:rsid w:val="0064498D"/>
    <w:rsid w:val="006472F4"/>
    <w:rsid w:val="00650C92"/>
    <w:rsid w:val="006518B5"/>
    <w:rsid w:val="00652B90"/>
    <w:rsid w:val="00653DFB"/>
    <w:rsid w:val="006545F2"/>
    <w:rsid w:val="006557D7"/>
    <w:rsid w:val="00655B5D"/>
    <w:rsid w:val="00655FD5"/>
    <w:rsid w:val="0065677C"/>
    <w:rsid w:val="00657624"/>
    <w:rsid w:val="006606A3"/>
    <w:rsid w:val="006607B3"/>
    <w:rsid w:val="00661730"/>
    <w:rsid w:val="00661DE5"/>
    <w:rsid w:val="00663C5A"/>
    <w:rsid w:val="0066537F"/>
    <w:rsid w:val="0066650C"/>
    <w:rsid w:val="00667963"/>
    <w:rsid w:val="00670AF6"/>
    <w:rsid w:val="00671666"/>
    <w:rsid w:val="00672014"/>
    <w:rsid w:val="006733A8"/>
    <w:rsid w:val="00673674"/>
    <w:rsid w:val="00674B18"/>
    <w:rsid w:val="00680CD8"/>
    <w:rsid w:val="00681DB7"/>
    <w:rsid w:val="00683BE9"/>
    <w:rsid w:val="00683E53"/>
    <w:rsid w:val="0068452D"/>
    <w:rsid w:val="00686968"/>
    <w:rsid w:val="006877E7"/>
    <w:rsid w:val="00690385"/>
    <w:rsid w:val="00693D6A"/>
    <w:rsid w:val="006A018B"/>
    <w:rsid w:val="006A18C3"/>
    <w:rsid w:val="006A1DBE"/>
    <w:rsid w:val="006A6FD0"/>
    <w:rsid w:val="006B080E"/>
    <w:rsid w:val="006B1819"/>
    <w:rsid w:val="006B1A8C"/>
    <w:rsid w:val="006B1BFA"/>
    <w:rsid w:val="006B2F78"/>
    <w:rsid w:val="006B685D"/>
    <w:rsid w:val="006C2CA4"/>
    <w:rsid w:val="006C3C45"/>
    <w:rsid w:val="006C44F4"/>
    <w:rsid w:val="006C560C"/>
    <w:rsid w:val="006D0B03"/>
    <w:rsid w:val="006D1B4A"/>
    <w:rsid w:val="006D2212"/>
    <w:rsid w:val="006D5177"/>
    <w:rsid w:val="006D550A"/>
    <w:rsid w:val="006D73F2"/>
    <w:rsid w:val="006D7FF3"/>
    <w:rsid w:val="006E1A28"/>
    <w:rsid w:val="006E368C"/>
    <w:rsid w:val="006E3B0D"/>
    <w:rsid w:val="006E40BB"/>
    <w:rsid w:val="006E5E9C"/>
    <w:rsid w:val="006E6255"/>
    <w:rsid w:val="006E649E"/>
    <w:rsid w:val="006E6868"/>
    <w:rsid w:val="006E728E"/>
    <w:rsid w:val="006E78FA"/>
    <w:rsid w:val="006F02B1"/>
    <w:rsid w:val="006F0C01"/>
    <w:rsid w:val="006F31C6"/>
    <w:rsid w:val="006F4245"/>
    <w:rsid w:val="006F4A05"/>
    <w:rsid w:val="006F5105"/>
    <w:rsid w:val="006F5986"/>
    <w:rsid w:val="006F5F4F"/>
    <w:rsid w:val="007006C2"/>
    <w:rsid w:val="00701C81"/>
    <w:rsid w:val="007039FD"/>
    <w:rsid w:val="00704843"/>
    <w:rsid w:val="00707284"/>
    <w:rsid w:val="00711111"/>
    <w:rsid w:val="007112FE"/>
    <w:rsid w:val="007115F7"/>
    <w:rsid w:val="00714FD7"/>
    <w:rsid w:val="00715666"/>
    <w:rsid w:val="00721CAB"/>
    <w:rsid w:val="00723E8F"/>
    <w:rsid w:val="00726939"/>
    <w:rsid w:val="0072776E"/>
    <w:rsid w:val="00731211"/>
    <w:rsid w:val="007325C3"/>
    <w:rsid w:val="0073326F"/>
    <w:rsid w:val="00734C7D"/>
    <w:rsid w:val="00741564"/>
    <w:rsid w:val="00743885"/>
    <w:rsid w:val="00743CDB"/>
    <w:rsid w:val="00745AB4"/>
    <w:rsid w:val="007470E1"/>
    <w:rsid w:val="007479D6"/>
    <w:rsid w:val="00747CBD"/>
    <w:rsid w:val="007529C2"/>
    <w:rsid w:val="00752D0E"/>
    <w:rsid w:val="007549EB"/>
    <w:rsid w:val="00755564"/>
    <w:rsid w:val="00757E63"/>
    <w:rsid w:val="0076086D"/>
    <w:rsid w:val="0076466E"/>
    <w:rsid w:val="00765619"/>
    <w:rsid w:val="00765BAF"/>
    <w:rsid w:val="007677DC"/>
    <w:rsid w:val="0077103F"/>
    <w:rsid w:val="007712EB"/>
    <w:rsid w:val="00772966"/>
    <w:rsid w:val="00772AB6"/>
    <w:rsid w:val="0078038C"/>
    <w:rsid w:val="007804EB"/>
    <w:rsid w:val="0078069C"/>
    <w:rsid w:val="00780DFE"/>
    <w:rsid w:val="007812C5"/>
    <w:rsid w:val="00781BFC"/>
    <w:rsid w:val="00782257"/>
    <w:rsid w:val="0078248E"/>
    <w:rsid w:val="00784155"/>
    <w:rsid w:val="00785772"/>
    <w:rsid w:val="0078649E"/>
    <w:rsid w:val="007875AA"/>
    <w:rsid w:val="00787DBC"/>
    <w:rsid w:val="00787E51"/>
    <w:rsid w:val="00790B4B"/>
    <w:rsid w:val="00791577"/>
    <w:rsid w:val="00792AD9"/>
    <w:rsid w:val="007937E1"/>
    <w:rsid w:val="00793F25"/>
    <w:rsid w:val="00795BC2"/>
    <w:rsid w:val="007A1584"/>
    <w:rsid w:val="007A18AD"/>
    <w:rsid w:val="007A2AF2"/>
    <w:rsid w:val="007A400F"/>
    <w:rsid w:val="007A42B0"/>
    <w:rsid w:val="007A4900"/>
    <w:rsid w:val="007A5D3A"/>
    <w:rsid w:val="007A5F2B"/>
    <w:rsid w:val="007A6488"/>
    <w:rsid w:val="007A7EBB"/>
    <w:rsid w:val="007B0DF4"/>
    <w:rsid w:val="007B1B20"/>
    <w:rsid w:val="007B25BE"/>
    <w:rsid w:val="007B28B7"/>
    <w:rsid w:val="007B3027"/>
    <w:rsid w:val="007B358E"/>
    <w:rsid w:val="007B4643"/>
    <w:rsid w:val="007B5854"/>
    <w:rsid w:val="007B6080"/>
    <w:rsid w:val="007C0147"/>
    <w:rsid w:val="007C197B"/>
    <w:rsid w:val="007C199F"/>
    <w:rsid w:val="007C2EA5"/>
    <w:rsid w:val="007C3802"/>
    <w:rsid w:val="007C3FB4"/>
    <w:rsid w:val="007C416C"/>
    <w:rsid w:val="007D01B0"/>
    <w:rsid w:val="007D33BA"/>
    <w:rsid w:val="007D5A19"/>
    <w:rsid w:val="007D5BA0"/>
    <w:rsid w:val="007D77B7"/>
    <w:rsid w:val="007E10B6"/>
    <w:rsid w:val="007E39BB"/>
    <w:rsid w:val="007E500B"/>
    <w:rsid w:val="007E73BE"/>
    <w:rsid w:val="007E76E0"/>
    <w:rsid w:val="007F1D00"/>
    <w:rsid w:val="007F29BF"/>
    <w:rsid w:val="007F3C22"/>
    <w:rsid w:val="007F3C4C"/>
    <w:rsid w:val="007F40CD"/>
    <w:rsid w:val="007F4410"/>
    <w:rsid w:val="007F69AA"/>
    <w:rsid w:val="008001AE"/>
    <w:rsid w:val="008008E7"/>
    <w:rsid w:val="00801146"/>
    <w:rsid w:val="0080144D"/>
    <w:rsid w:val="00804AA7"/>
    <w:rsid w:val="00806AEF"/>
    <w:rsid w:val="008111B6"/>
    <w:rsid w:val="00811374"/>
    <w:rsid w:val="00813177"/>
    <w:rsid w:val="00813F43"/>
    <w:rsid w:val="00814150"/>
    <w:rsid w:val="0081471D"/>
    <w:rsid w:val="00817123"/>
    <w:rsid w:val="008218CC"/>
    <w:rsid w:val="00823395"/>
    <w:rsid w:val="00825948"/>
    <w:rsid w:val="0082608B"/>
    <w:rsid w:val="00826A8D"/>
    <w:rsid w:val="00833C07"/>
    <w:rsid w:val="00836DF6"/>
    <w:rsid w:val="008424E3"/>
    <w:rsid w:val="0084320C"/>
    <w:rsid w:val="00846D2D"/>
    <w:rsid w:val="00854197"/>
    <w:rsid w:val="008548FD"/>
    <w:rsid w:val="00855FB6"/>
    <w:rsid w:val="00856A6B"/>
    <w:rsid w:val="00862B6D"/>
    <w:rsid w:val="008635E6"/>
    <w:rsid w:val="0086623F"/>
    <w:rsid w:val="008666BC"/>
    <w:rsid w:val="00867A33"/>
    <w:rsid w:val="00867E50"/>
    <w:rsid w:val="00870CBF"/>
    <w:rsid w:val="00872A7F"/>
    <w:rsid w:val="00872BC6"/>
    <w:rsid w:val="008742A5"/>
    <w:rsid w:val="00874CFC"/>
    <w:rsid w:val="00876AC2"/>
    <w:rsid w:val="008802B1"/>
    <w:rsid w:val="0088204C"/>
    <w:rsid w:val="008864BF"/>
    <w:rsid w:val="00890DC3"/>
    <w:rsid w:val="008915D1"/>
    <w:rsid w:val="00892A3B"/>
    <w:rsid w:val="00894835"/>
    <w:rsid w:val="00896DAA"/>
    <w:rsid w:val="00897057"/>
    <w:rsid w:val="008A0B16"/>
    <w:rsid w:val="008A1300"/>
    <w:rsid w:val="008A1A2C"/>
    <w:rsid w:val="008A2E6D"/>
    <w:rsid w:val="008A5E30"/>
    <w:rsid w:val="008A6D84"/>
    <w:rsid w:val="008B036F"/>
    <w:rsid w:val="008B1964"/>
    <w:rsid w:val="008B21DE"/>
    <w:rsid w:val="008B27BA"/>
    <w:rsid w:val="008B655E"/>
    <w:rsid w:val="008C2926"/>
    <w:rsid w:val="008D03C5"/>
    <w:rsid w:val="008D0B2F"/>
    <w:rsid w:val="008D115E"/>
    <w:rsid w:val="008D1BE7"/>
    <w:rsid w:val="008D236A"/>
    <w:rsid w:val="008D43DC"/>
    <w:rsid w:val="008D6AFE"/>
    <w:rsid w:val="008D6D39"/>
    <w:rsid w:val="008D749C"/>
    <w:rsid w:val="008E0D87"/>
    <w:rsid w:val="008E18A7"/>
    <w:rsid w:val="008E1A45"/>
    <w:rsid w:val="008E76EA"/>
    <w:rsid w:val="008F0F79"/>
    <w:rsid w:val="008F59C4"/>
    <w:rsid w:val="008F7BA7"/>
    <w:rsid w:val="00900196"/>
    <w:rsid w:val="009012DC"/>
    <w:rsid w:val="00901EA9"/>
    <w:rsid w:val="0090275B"/>
    <w:rsid w:val="00905079"/>
    <w:rsid w:val="00905617"/>
    <w:rsid w:val="0090719A"/>
    <w:rsid w:val="00910008"/>
    <w:rsid w:val="00910E0F"/>
    <w:rsid w:val="00913674"/>
    <w:rsid w:val="00913A2D"/>
    <w:rsid w:val="00913CAB"/>
    <w:rsid w:val="00913F4E"/>
    <w:rsid w:val="00914C00"/>
    <w:rsid w:val="009150E9"/>
    <w:rsid w:val="009154E2"/>
    <w:rsid w:val="00916CA2"/>
    <w:rsid w:val="00920FB9"/>
    <w:rsid w:val="00922BC7"/>
    <w:rsid w:val="00924198"/>
    <w:rsid w:val="009244F0"/>
    <w:rsid w:val="0092488D"/>
    <w:rsid w:val="0092596F"/>
    <w:rsid w:val="0092644B"/>
    <w:rsid w:val="00927E07"/>
    <w:rsid w:val="00930167"/>
    <w:rsid w:val="00930DCE"/>
    <w:rsid w:val="009317D9"/>
    <w:rsid w:val="00932885"/>
    <w:rsid w:val="009328FD"/>
    <w:rsid w:val="00932FF9"/>
    <w:rsid w:val="00934334"/>
    <w:rsid w:val="0093638C"/>
    <w:rsid w:val="00936F6C"/>
    <w:rsid w:val="00937A4E"/>
    <w:rsid w:val="00940DD1"/>
    <w:rsid w:val="009455A3"/>
    <w:rsid w:val="00945C10"/>
    <w:rsid w:val="00947065"/>
    <w:rsid w:val="00947880"/>
    <w:rsid w:val="00953619"/>
    <w:rsid w:val="00955661"/>
    <w:rsid w:val="00956307"/>
    <w:rsid w:val="00956BAC"/>
    <w:rsid w:val="00957948"/>
    <w:rsid w:val="00963F17"/>
    <w:rsid w:val="009643F1"/>
    <w:rsid w:val="0096511C"/>
    <w:rsid w:val="00966093"/>
    <w:rsid w:val="00967F20"/>
    <w:rsid w:val="009708B5"/>
    <w:rsid w:val="009714F0"/>
    <w:rsid w:val="009732B1"/>
    <w:rsid w:val="009739E7"/>
    <w:rsid w:val="00973CA8"/>
    <w:rsid w:val="00974A8A"/>
    <w:rsid w:val="0097633D"/>
    <w:rsid w:val="0097683E"/>
    <w:rsid w:val="00980AA0"/>
    <w:rsid w:val="00981441"/>
    <w:rsid w:val="00981A39"/>
    <w:rsid w:val="00983C89"/>
    <w:rsid w:val="0098474D"/>
    <w:rsid w:val="009847FB"/>
    <w:rsid w:val="00985084"/>
    <w:rsid w:val="00985286"/>
    <w:rsid w:val="00985EE1"/>
    <w:rsid w:val="00987655"/>
    <w:rsid w:val="00990196"/>
    <w:rsid w:val="009901D6"/>
    <w:rsid w:val="00992A29"/>
    <w:rsid w:val="009932B7"/>
    <w:rsid w:val="009935AF"/>
    <w:rsid w:val="009942DB"/>
    <w:rsid w:val="009955B1"/>
    <w:rsid w:val="00997FA3"/>
    <w:rsid w:val="009A01DD"/>
    <w:rsid w:val="009A0884"/>
    <w:rsid w:val="009A09C6"/>
    <w:rsid w:val="009A2403"/>
    <w:rsid w:val="009A323D"/>
    <w:rsid w:val="009A3AE5"/>
    <w:rsid w:val="009A3CD0"/>
    <w:rsid w:val="009A4C09"/>
    <w:rsid w:val="009A7DDF"/>
    <w:rsid w:val="009B0223"/>
    <w:rsid w:val="009B1061"/>
    <w:rsid w:val="009B2C59"/>
    <w:rsid w:val="009B3E58"/>
    <w:rsid w:val="009B40D5"/>
    <w:rsid w:val="009B4707"/>
    <w:rsid w:val="009B59EA"/>
    <w:rsid w:val="009B6F55"/>
    <w:rsid w:val="009B76D4"/>
    <w:rsid w:val="009B7BFF"/>
    <w:rsid w:val="009C012E"/>
    <w:rsid w:val="009C2411"/>
    <w:rsid w:val="009C3321"/>
    <w:rsid w:val="009C46AB"/>
    <w:rsid w:val="009C6AD9"/>
    <w:rsid w:val="009D0C63"/>
    <w:rsid w:val="009D2692"/>
    <w:rsid w:val="009D5355"/>
    <w:rsid w:val="009E00A0"/>
    <w:rsid w:val="009E2976"/>
    <w:rsid w:val="009E44EE"/>
    <w:rsid w:val="009E708F"/>
    <w:rsid w:val="009F45E9"/>
    <w:rsid w:val="009F5DB2"/>
    <w:rsid w:val="009F7278"/>
    <w:rsid w:val="009F7555"/>
    <w:rsid w:val="009F7CED"/>
    <w:rsid w:val="009F7F20"/>
    <w:rsid w:val="00A002F4"/>
    <w:rsid w:val="00A00AE0"/>
    <w:rsid w:val="00A01D1A"/>
    <w:rsid w:val="00A020A9"/>
    <w:rsid w:val="00A02148"/>
    <w:rsid w:val="00A037C5"/>
    <w:rsid w:val="00A037D0"/>
    <w:rsid w:val="00A047AF"/>
    <w:rsid w:val="00A0567A"/>
    <w:rsid w:val="00A10079"/>
    <w:rsid w:val="00A10460"/>
    <w:rsid w:val="00A113D1"/>
    <w:rsid w:val="00A13260"/>
    <w:rsid w:val="00A14E35"/>
    <w:rsid w:val="00A15A8E"/>
    <w:rsid w:val="00A174D4"/>
    <w:rsid w:val="00A204BA"/>
    <w:rsid w:val="00A20570"/>
    <w:rsid w:val="00A20C70"/>
    <w:rsid w:val="00A20F44"/>
    <w:rsid w:val="00A22204"/>
    <w:rsid w:val="00A22284"/>
    <w:rsid w:val="00A223C9"/>
    <w:rsid w:val="00A230E1"/>
    <w:rsid w:val="00A23362"/>
    <w:rsid w:val="00A24336"/>
    <w:rsid w:val="00A24BA0"/>
    <w:rsid w:val="00A24CD1"/>
    <w:rsid w:val="00A25E08"/>
    <w:rsid w:val="00A26948"/>
    <w:rsid w:val="00A26C54"/>
    <w:rsid w:val="00A3386E"/>
    <w:rsid w:val="00A35680"/>
    <w:rsid w:val="00A35ADD"/>
    <w:rsid w:val="00A3796D"/>
    <w:rsid w:val="00A41565"/>
    <w:rsid w:val="00A41D14"/>
    <w:rsid w:val="00A42341"/>
    <w:rsid w:val="00A4254B"/>
    <w:rsid w:val="00A45420"/>
    <w:rsid w:val="00A5015F"/>
    <w:rsid w:val="00A52CEE"/>
    <w:rsid w:val="00A5799A"/>
    <w:rsid w:val="00A61826"/>
    <w:rsid w:val="00A626C3"/>
    <w:rsid w:val="00A64875"/>
    <w:rsid w:val="00A64D94"/>
    <w:rsid w:val="00A664D2"/>
    <w:rsid w:val="00A72811"/>
    <w:rsid w:val="00A73970"/>
    <w:rsid w:val="00A74366"/>
    <w:rsid w:val="00A76296"/>
    <w:rsid w:val="00A84103"/>
    <w:rsid w:val="00A84BED"/>
    <w:rsid w:val="00A869F6"/>
    <w:rsid w:val="00A86F7F"/>
    <w:rsid w:val="00A95983"/>
    <w:rsid w:val="00AA040C"/>
    <w:rsid w:val="00AA0C25"/>
    <w:rsid w:val="00AA1637"/>
    <w:rsid w:val="00AA19E7"/>
    <w:rsid w:val="00AA1C42"/>
    <w:rsid w:val="00AA26DE"/>
    <w:rsid w:val="00AA321A"/>
    <w:rsid w:val="00AA41C4"/>
    <w:rsid w:val="00AA5776"/>
    <w:rsid w:val="00AA600A"/>
    <w:rsid w:val="00AA614F"/>
    <w:rsid w:val="00AA73C9"/>
    <w:rsid w:val="00AB0658"/>
    <w:rsid w:val="00AB115C"/>
    <w:rsid w:val="00AB203D"/>
    <w:rsid w:val="00AB23CE"/>
    <w:rsid w:val="00AB2A81"/>
    <w:rsid w:val="00AB368F"/>
    <w:rsid w:val="00AB3FF0"/>
    <w:rsid w:val="00AB56F6"/>
    <w:rsid w:val="00AB5E10"/>
    <w:rsid w:val="00AC08EF"/>
    <w:rsid w:val="00AC0A30"/>
    <w:rsid w:val="00AC1CD2"/>
    <w:rsid w:val="00AC38DA"/>
    <w:rsid w:val="00AC4427"/>
    <w:rsid w:val="00AC4530"/>
    <w:rsid w:val="00AC57C5"/>
    <w:rsid w:val="00AC7682"/>
    <w:rsid w:val="00AC7905"/>
    <w:rsid w:val="00AD35D3"/>
    <w:rsid w:val="00AD525D"/>
    <w:rsid w:val="00AD6282"/>
    <w:rsid w:val="00AD7F66"/>
    <w:rsid w:val="00AE1557"/>
    <w:rsid w:val="00AE2348"/>
    <w:rsid w:val="00AE2809"/>
    <w:rsid w:val="00AE2C28"/>
    <w:rsid w:val="00AE4955"/>
    <w:rsid w:val="00AE4E71"/>
    <w:rsid w:val="00AE5B1C"/>
    <w:rsid w:val="00AE6CDF"/>
    <w:rsid w:val="00AE6E71"/>
    <w:rsid w:val="00AF2483"/>
    <w:rsid w:val="00AF5CC1"/>
    <w:rsid w:val="00AF6122"/>
    <w:rsid w:val="00AF6A50"/>
    <w:rsid w:val="00B003FF"/>
    <w:rsid w:val="00B01FDC"/>
    <w:rsid w:val="00B02F4C"/>
    <w:rsid w:val="00B046DF"/>
    <w:rsid w:val="00B0601B"/>
    <w:rsid w:val="00B06F72"/>
    <w:rsid w:val="00B102D9"/>
    <w:rsid w:val="00B106C6"/>
    <w:rsid w:val="00B1088C"/>
    <w:rsid w:val="00B1232B"/>
    <w:rsid w:val="00B146B1"/>
    <w:rsid w:val="00B17B14"/>
    <w:rsid w:val="00B20811"/>
    <w:rsid w:val="00B21753"/>
    <w:rsid w:val="00B239CA"/>
    <w:rsid w:val="00B23B4B"/>
    <w:rsid w:val="00B246DD"/>
    <w:rsid w:val="00B26603"/>
    <w:rsid w:val="00B307A4"/>
    <w:rsid w:val="00B3167A"/>
    <w:rsid w:val="00B35FDF"/>
    <w:rsid w:val="00B40AE7"/>
    <w:rsid w:val="00B42988"/>
    <w:rsid w:val="00B47FAA"/>
    <w:rsid w:val="00B5182F"/>
    <w:rsid w:val="00B518A9"/>
    <w:rsid w:val="00B52F5E"/>
    <w:rsid w:val="00B61EC7"/>
    <w:rsid w:val="00B639B9"/>
    <w:rsid w:val="00B661C1"/>
    <w:rsid w:val="00B66CF2"/>
    <w:rsid w:val="00B7067F"/>
    <w:rsid w:val="00B70A0B"/>
    <w:rsid w:val="00B7385F"/>
    <w:rsid w:val="00B75327"/>
    <w:rsid w:val="00B77485"/>
    <w:rsid w:val="00B81E9E"/>
    <w:rsid w:val="00B83192"/>
    <w:rsid w:val="00B84DAA"/>
    <w:rsid w:val="00B85919"/>
    <w:rsid w:val="00B85F64"/>
    <w:rsid w:val="00B86B94"/>
    <w:rsid w:val="00B90AA5"/>
    <w:rsid w:val="00B9381E"/>
    <w:rsid w:val="00B95405"/>
    <w:rsid w:val="00B955E2"/>
    <w:rsid w:val="00B95CE6"/>
    <w:rsid w:val="00BA0DEA"/>
    <w:rsid w:val="00BA2260"/>
    <w:rsid w:val="00BA2286"/>
    <w:rsid w:val="00BA2BC1"/>
    <w:rsid w:val="00BA302D"/>
    <w:rsid w:val="00BA4C7B"/>
    <w:rsid w:val="00BA6EE7"/>
    <w:rsid w:val="00BA7A76"/>
    <w:rsid w:val="00BA7DDC"/>
    <w:rsid w:val="00BA7EE5"/>
    <w:rsid w:val="00BB0594"/>
    <w:rsid w:val="00BB18C9"/>
    <w:rsid w:val="00BB1ACD"/>
    <w:rsid w:val="00BB2B10"/>
    <w:rsid w:val="00BB4888"/>
    <w:rsid w:val="00BB493A"/>
    <w:rsid w:val="00BB4F5B"/>
    <w:rsid w:val="00BB6D6F"/>
    <w:rsid w:val="00BB7436"/>
    <w:rsid w:val="00BC2D8A"/>
    <w:rsid w:val="00BC3C88"/>
    <w:rsid w:val="00BC3FB6"/>
    <w:rsid w:val="00BC623A"/>
    <w:rsid w:val="00BC7A1C"/>
    <w:rsid w:val="00BD139A"/>
    <w:rsid w:val="00BD4325"/>
    <w:rsid w:val="00BD5970"/>
    <w:rsid w:val="00BD5C10"/>
    <w:rsid w:val="00BD747D"/>
    <w:rsid w:val="00BF0CB5"/>
    <w:rsid w:val="00BF1750"/>
    <w:rsid w:val="00BF689C"/>
    <w:rsid w:val="00BF6A0D"/>
    <w:rsid w:val="00C01417"/>
    <w:rsid w:val="00C0256C"/>
    <w:rsid w:val="00C02572"/>
    <w:rsid w:val="00C063BE"/>
    <w:rsid w:val="00C11117"/>
    <w:rsid w:val="00C111B5"/>
    <w:rsid w:val="00C11CF4"/>
    <w:rsid w:val="00C127FC"/>
    <w:rsid w:val="00C135FF"/>
    <w:rsid w:val="00C138D9"/>
    <w:rsid w:val="00C14EBB"/>
    <w:rsid w:val="00C15208"/>
    <w:rsid w:val="00C15447"/>
    <w:rsid w:val="00C156F3"/>
    <w:rsid w:val="00C1626E"/>
    <w:rsid w:val="00C16C03"/>
    <w:rsid w:val="00C17ED4"/>
    <w:rsid w:val="00C201BF"/>
    <w:rsid w:val="00C211BD"/>
    <w:rsid w:val="00C23262"/>
    <w:rsid w:val="00C23391"/>
    <w:rsid w:val="00C2400C"/>
    <w:rsid w:val="00C2483C"/>
    <w:rsid w:val="00C25ACE"/>
    <w:rsid w:val="00C25BB9"/>
    <w:rsid w:val="00C25EAE"/>
    <w:rsid w:val="00C26770"/>
    <w:rsid w:val="00C26850"/>
    <w:rsid w:val="00C27D4F"/>
    <w:rsid w:val="00C30B5C"/>
    <w:rsid w:val="00C32B5E"/>
    <w:rsid w:val="00C3303B"/>
    <w:rsid w:val="00C339C4"/>
    <w:rsid w:val="00C35E5C"/>
    <w:rsid w:val="00C37DEA"/>
    <w:rsid w:val="00C4045F"/>
    <w:rsid w:val="00C467C7"/>
    <w:rsid w:val="00C46D31"/>
    <w:rsid w:val="00C47072"/>
    <w:rsid w:val="00C52BD4"/>
    <w:rsid w:val="00C544B1"/>
    <w:rsid w:val="00C5575E"/>
    <w:rsid w:val="00C56BF3"/>
    <w:rsid w:val="00C57601"/>
    <w:rsid w:val="00C61EB4"/>
    <w:rsid w:val="00C62DE8"/>
    <w:rsid w:val="00C63CEB"/>
    <w:rsid w:val="00C63F0E"/>
    <w:rsid w:val="00C663C7"/>
    <w:rsid w:val="00C710A4"/>
    <w:rsid w:val="00C7574F"/>
    <w:rsid w:val="00C7583B"/>
    <w:rsid w:val="00C7593B"/>
    <w:rsid w:val="00C76B4E"/>
    <w:rsid w:val="00C76C6B"/>
    <w:rsid w:val="00C771F0"/>
    <w:rsid w:val="00C800AD"/>
    <w:rsid w:val="00C80AB7"/>
    <w:rsid w:val="00C810D7"/>
    <w:rsid w:val="00C81248"/>
    <w:rsid w:val="00C81B07"/>
    <w:rsid w:val="00C81C41"/>
    <w:rsid w:val="00C81DFC"/>
    <w:rsid w:val="00C8203B"/>
    <w:rsid w:val="00C82A24"/>
    <w:rsid w:val="00C835A2"/>
    <w:rsid w:val="00C855E5"/>
    <w:rsid w:val="00C863C2"/>
    <w:rsid w:val="00C90207"/>
    <w:rsid w:val="00C90D19"/>
    <w:rsid w:val="00C92D1A"/>
    <w:rsid w:val="00C94C85"/>
    <w:rsid w:val="00C9559E"/>
    <w:rsid w:val="00C9561D"/>
    <w:rsid w:val="00C95B56"/>
    <w:rsid w:val="00C9673A"/>
    <w:rsid w:val="00C97F25"/>
    <w:rsid w:val="00C97FFC"/>
    <w:rsid w:val="00CA04A1"/>
    <w:rsid w:val="00CA4637"/>
    <w:rsid w:val="00CA5626"/>
    <w:rsid w:val="00CA60E2"/>
    <w:rsid w:val="00CA74A0"/>
    <w:rsid w:val="00CB12B6"/>
    <w:rsid w:val="00CB36D7"/>
    <w:rsid w:val="00CB61D9"/>
    <w:rsid w:val="00CB6E37"/>
    <w:rsid w:val="00CC3CDA"/>
    <w:rsid w:val="00CC3E7E"/>
    <w:rsid w:val="00CC48B6"/>
    <w:rsid w:val="00CC4C62"/>
    <w:rsid w:val="00CC660D"/>
    <w:rsid w:val="00CC6B2D"/>
    <w:rsid w:val="00CD01AA"/>
    <w:rsid w:val="00CD067C"/>
    <w:rsid w:val="00CD3596"/>
    <w:rsid w:val="00CD38CF"/>
    <w:rsid w:val="00CD571D"/>
    <w:rsid w:val="00CD7A1B"/>
    <w:rsid w:val="00CE0561"/>
    <w:rsid w:val="00CE2475"/>
    <w:rsid w:val="00CE3B9C"/>
    <w:rsid w:val="00CE4102"/>
    <w:rsid w:val="00CE4EDE"/>
    <w:rsid w:val="00CE57A9"/>
    <w:rsid w:val="00CE6251"/>
    <w:rsid w:val="00CF0BCD"/>
    <w:rsid w:val="00CF2340"/>
    <w:rsid w:val="00CF314D"/>
    <w:rsid w:val="00CF537E"/>
    <w:rsid w:val="00CF55CC"/>
    <w:rsid w:val="00CF6B67"/>
    <w:rsid w:val="00CF6F5C"/>
    <w:rsid w:val="00CF74A9"/>
    <w:rsid w:val="00D01D45"/>
    <w:rsid w:val="00D04EDF"/>
    <w:rsid w:val="00D10777"/>
    <w:rsid w:val="00D125DD"/>
    <w:rsid w:val="00D12617"/>
    <w:rsid w:val="00D137D5"/>
    <w:rsid w:val="00D15C2F"/>
    <w:rsid w:val="00D162F4"/>
    <w:rsid w:val="00D231D9"/>
    <w:rsid w:val="00D238C8"/>
    <w:rsid w:val="00D23943"/>
    <w:rsid w:val="00D24936"/>
    <w:rsid w:val="00D249F3"/>
    <w:rsid w:val="00D2772F"/>
    <w:rsid w:val="00D27781"/>
    <w:rsid w:val="00D31CAC"/>
    <w:rsid w:val="00D33049"/>
    <w:rsid w:val="00D34B8A"/>
    <w:rsid w:val="00D35993"/>
    <w:rsid w:val="00D35B93"/>
    <w:rsid w:val="00D35BF8"/>
    <w:rsid w:val="00D363E0"/>
    <w:rsid w:val="00D36792"/>
    <w:rsid w:val="00D36FCF"/>
    <w:rsid w:val="00D417DA"/>
    <w:rsid w:val="00D429E5"/>
    <w:rsid w:val="00D4526D"/>
    <w:rsid w:val="00D46B6D"/>
    <w:rsid w:val="00D5045C"/>
    <w:rsid w:val="00D52C37"/>
    <w:rsid w:val="00D53E13"/>
    <w:rsid w:val="00D55192"/>
    <w:rsid w:val="00D5520B"/>
    <w:rsid w:val="00D56DF9"/>
    <w:rsid w:val="00D570C8"/>
    <w:rsid w:val="00D60712"/>
    <w:rsid w:val="00D64385"/>
    <w:rsid w:val="00D64929"/>
    <w:rsid w:val="00D64AEC"/>
    <w:rsid w:val="00D70FC6"/>
    <w:rsid w:val="00D74AF7"/>
    <w:rsid w:val="00D74C80"/>
    <w:rsid w:val="00D75627"/>
    <w:rsid w:val="00D75D1C"/>
    <w:rsid w:val="00D76156"/>
    <w:rsid w:val="00D77881"/>
    <w:rsid w:val="00D8165C"/>
    <w:rsid w:val="00D83459"/>
    <w:rsid w:val="00D843EE"/>
    <w:rsid w:val="00D868C3"/>
    <w:rsid w:val="00D86DF1"/>
    <w:rsid w:val="00D94B5A"/>
    <w:rsid w:val="00D96566"/>
    <w:rsid w:val="00D9796F"/>
    <w:rsid w:val="00DA16F6"/>
    <w:rsid w:val="00DA1B88"/>
    <w:rsid w:val="00DA28C2"/>
    <w:rsid w:val="00DA4A80"/>
    <w:rsid w:val="00DA4ACA"/>
    <w:rsid w:val="00DA67BE"/>
    <w:rsid w:val="00DB03E4"/>
    <w:rsid w:val="00DB04B0"/>
    <w:rsid w:val="00DB06D4"/>
    <w:rsid w:val="00DB082E"/>
    <w:rsid w:val="00DB110F"/>
    <w:rsid w:val="00DB209B"/>
    <w:rsid w:val="00DB2BD2"/>
    <w:rsid w:val="00DB614C"/>
    <w:rsid w:val="00DC2F03"/>
    <w:rsid w:val="00DC2FCB"/>
    <w:rsid w:val="00DC68F5"/>
    <w:rsid w:val="00DD066D"/>
    <w:rsid w:val="00DD0E13"/>
    <w:rsid w:val="00DD17B4"/>
    <w:rsid w:val="00DD2704"/>
    <w:rsid w:val="00DD355E"/>
    <w:rsid w:val="00DD39A5"/>
    <w:rsid w:val="00DD7203"/>
    <w:rsid w:val="00DD7B34"/>
    <w:rsid w:val="00DE12B2"/>
    <w:rsid w:val="00DE3442"/>
    <w:rsid w:val="00DF21A2"/>
    <w:rsid w:val="00DF2FC3"/>
    <w:rsid w:val="00DF3333"/>
    <w:rsid w:val="00DF35BE"/>
    <w:rsid w:val="00DF49C5"/>
    <w:rsid w:val="00DF4C4D"/>
    <w:rsid w:val="00DF5B08"/>
    <w:rsid w:val="00DF74A2"/>
    <w:rsid w:val="00DF775D"/>
    <w:rsid w:val="00E02E3A"/>
    <w:rsid w:val="00E03C5E"/>
    <w:rsid w:val="00E03D76"/>
    <w:rsid w:val="00E0401A"/>
    <w:rsid w:val="00E04F9F"/>
    <w:rsid w:val="00E050A6"/>
    <w:rsid w:val="00E06D5C"/>
    <w:rsid w:val="00E136B4"/>
    <w:rsid w:val="00E16D78"/>
    <w:rsid w:val="00E20614"/>
    <w:rsid w:val="00E216B3"/>
    <w:rsid w:val="00E273E3"/>
    <w:rsid w:val="00E27B2A"/>
    <w:rsid w:val="00E32B89"/>
    <w:rsid w:val="00E3459D"/>
    <w:rsid w:val="00E349D9"/>
    <w:rsid w:val="00E370F5"/>
    <w:rsid w:val="00E40344"/>
    <w:rsid w:val="00E4061C"/>
    <w:rsid w:val="00E40830"/>
    <w:rsid w:val="00E41348"/>
    <w:rsid w:val="00E43283"/>
    <w:rsid w:val="00E437B9"/>
    <w:rsid w:val="00E4476C"/>
    <w:rsid w:val="00E44BA5"/>
    <w:rsid w:val="00E47BCF"/>
    <w:rsid w:val="00E51553"/>
    <w:rsid w:val="00E51F9F"/>
    <w:rsid w:val="00E5201D"/>
    <w:rsid w:val="00E52D1D"/>
    <w:rsid w:val="00E537A5"/>
    <w:rsid w:val="00E57358"/>
    <w:rsid w:val="00E57BC4"/>
    <w:rsid w:val="00E57E9A"/>
    <w:rsid w:val="00E57ED1"/>
    <w:rsid w:val="00E6009E"/>
    <w:rsid w:val="00E61780"/>
    <w:rsid w:val="00E650AE"/>
    <w:rsid w:val="00E65F08"/>
    <w:rsid w:val="00E6792A"/>
    <w:rsid w:val="00E67EC0"/>
    <w:rsid w:val="00E73DEC"/>
    <w:rsid w:val="00E74600"/>
    <w:rsid w:val="00E75D08"/>
    <w:rsid w:val="00E7693A"/>
    <w:rsid w:val="00E8568A"/>
    <w:rsid w:val="00E85E97"/>
    <w:rsid w:val="00E8754D"/>
    <w:rsid w:val="00E91239"/>
    <w:rsid w:val="00E9402D"/>
    <w:rsid w:val="00E9406D"/>
    <w:rsid w:val="00E95342"/>
    <w:rsid w:val="00E95A4E"/>
    <w:rsid w:val="00E95E3E"/>
    <w:rsid w:val="00EA7BC5"/>
    <w:rsid w:val="00EB24FB"/>
    <w:rsid w:val="00EB2CAC"/>
    <w:rsid w:val="00EB3480"/>
    <w:rsid w:val="00EB366E"/>
    <w:rsid w:val="00EB4827"/>
    <w:rsid w:val="00EB50D0"/>
    <w:rsid w:val="00EB5C8E"/>
    <w:rsid w:val="00EB77F3"/>
    <w:rsid w:val="00EC01C8"/>
    <w:rsid w:val="00EC18F2"/>
    <w:rsid w:val="00EC1F5F"/>
    <w:rsid w:val="00EC20EA"/>
    <w:rsid w:val="00EC389E"/>
    <w:rsid w:val="00EC4CB0"/>
    <w:rsid w:val="00EC59F7"/>
    <w:rsid w:val="00EC5CC5"/>
    <w:rsid w:val="00EC6192"/>
    <w:rsid w:val="00ED001A"/>
    <w:rsid w:val="00ED2535"/>
    <w:rsid w:val="00ED3641"/>
    <w:rsid w:val="00ED3D2F"/>
    <w:rsid w:val="00ED42D3"/>
    <w:rsid w:val="00ED50F4"/>
    <w:rsid w:val="00ED7F11"/>
    <w:rsid w:val="00EE0596"/>
    <w:rsid w:val="00EE05DB"/>
    <w:rsid w:val="00EE0E2F"/>
    <w:rsid w:val="00EE194C"/>
    <w:rsid w:val="00EE2BB5"/>
    <w:rsid w:val="00EE3B76"/>
    <w:rsid w:val="00EE582C"/>
    <w:rsid w:val="00EE7218"/>
    <w:rsid w:val="00EF23E9"/>
    <w:rsid w:val="00EF2D22"/>
    <w:rsid w:val="00EF3412"/>
    <w:rsid w:val="00EF371D"/>
    <w:rsid w:val="00EF49F0"/>
    <w:rsid w:val="00EF5B91"/>
    <w:rsid w:val="00F0262C"/>
    <w:rsid w:val="00F03DF9"/>
    <w:rsid w:val="00F06D64"/>
    <w:rsid w:val="00F07C8E"/>
    <w:rsid w:val="00F11C16"/>
    <w:rsid w:val="00F122FD"/>
    <w:rsid w:val="00F1531E"/>
    <w:rsid w:val="00F156C3"/>
    <w:rsid w:val="00F15E74"/>
    <w:rsid w:val="00F16485"/>
    <w:rsid w:val="00F1680C"/>
    <w:rsid w:val="00F17A5A"/>
    <w:rsid w:val="00F210F9"/>
    <w:rsid w:val="00F21DEF"/>
    <w:rsid w:val="00F222D9"/>
    <w:rsid w:val="00F23AFF"/>
    <w:rsid w:val="00F23F1E"/>
    <w:rsid w:val="00F336AF"/>
    <w:rsid w:val="00F3562E"/>
    <w:rsid w:val="00F35991"/>
    <w:rsid w:val="00F368C8"/>
    <w:rsid w:val="00F431A4"/>
    <w:rsid w:val="00F436AB"/>
    <w:rsid w:val="00F44B34"/>
    <w:rsid w:val="00F51AF3"/>
    <w:rsid w:val="00F53A50"/>
    <w:rsid w:val="00F54738"/>
    <w:rsid w:val="00F56C84"/>
    <w:rsid w:val="00F618D6"/>
    <w:rsid w:val="00F62E55"/>
    <w:rsid w:val="00F62F5E"/>
    <w:rsid w:val="00F66452"/>
    <w:rsid w:val="00F72DE2"/>
    <w:rsid w:val="00F72E06"/>
    <w:rsid w:val="00F73ECA"/>
    <w:rsid w:val="00F74632"/>
    <w:rsid w:val="00F760AF"/>
    <w:rsid w:val="00F774CD"/>
    <w:rsid w:val="00F8092E"/>
    <w:rsid w:val="00F80BCB"/>
    <w:rsid w:val="00F83951"/>
    <w:rsid w:val="00F84343"/>
    <w:rsid w:val="00F8613C"/>
    <w:rsid w:val="00F868E5"/>
    <w:rsid w:val="00F87A48"/>
    <w:rsid w:val="00F90362"/>
    <w:rsid w:val="00F922C6"/>
    <w:rsid w:val="00F93126"/>
    <w:rsid w:val="00F9326A"/>
    <w:rsid w:val="00F968BB"/>
    <w:rsid w:val="00FA1A8B"/>
    <w:rsid w:val="00FA2B6B"/>
    <w:rsid w:val="00FA2BC9"/>
    <w:rsid w:val="00FA3463"/>
    <w:rsid w:val="00FA509E"/>
    <w:rsid w:val="00FA581C"/>
    <w:rsid w:val="00FA64CA"/>
    <w:rsid w:val="00FA707A"/>
    <w:rsid w:val="00FA7881"/>
    <w:rsid w:val="00FB0D99"/>
    <w:rsid w:val="00FB1AA3"/>
    <w:rsid w:val="00FB2681"/>
    <w:rsid w:val="00FB4458"/>
    <w:rsid w:val="00FB450C"/>
    <w:rsid w:val="00FB7842"/>
    <w:rsid w:val="00FC01BE"/>
    <w:rsid w:val="00FC15A8"/>
    <w:rsid w:val="00FC1C58"/>
    <w:rsid w:val="00FC51F9"/>
    <w:rsid w:val="00FC5E51"/>
    <w:rsid w:val="00FD1A87"/>
    <w:rsid w:val="00FD2585"/>
    <w:rsid w:val="00FD64CB"/>
    <w:rsid w:val="00FE20A2"/>
    <w:rsid w:val="00FE2597"/>
    <w:rsid w:val="00FE3A47"/>
    <w:rsid w:val="00FE74AF"/>
    <w:rsid w:val="00FF0865"/>
    <w:rsid w:val="00FF0BE0"/>
    <w:rsid w:val="00FF10F5"/>
    <w:rsid w:val="00FF5CE3"/>
    <w:rsid w:val="00FF6DA6"/>
    <w:rsid w:val="017A58D7"/>
    <w:rsid w:val="040F235D"/>
    <w:rsid w:val="05F0C665"/>
    <w:rsid w:val="09BC9164"/>
    <w:rsid w:val="0FEA4874"/>
    <w:rsid w:val="169D2EF0"/>
    <w:rsid w:val="1B4893AD"/>
    <w:rsid w:val="26BF3BCB"/>
    <w:rsid w:val="34F36C9C"/>
    <w:rsid w:val="389BD3BB"/>
    <w:rsid w:val="57E081B2"/>
    <w:rsid w:val="5827C439"/>
    <w:rsid w:val="58BD5359"/>
    <w:rsid w:val="6057FAA7"/>
    <w:rsid w:val="623FEDAF"/>
    <w:rsid w:val="6A14BDB5"/>
    <w:rsid w:val="6F2DD69D"/>
    <w:rsid w:val="712DBA61"/>
    <w:rsid w:val="78AA5D30"/>
    <w:rsid w:val="7B8A7003"/>
    <w:rsid w:val="7FB02D0F"/>
    <w:rsid w:val="7FD8F06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6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72F"/>
    <w:pPr>
      <w:widowControl w:val="0"/>
    </w:pPr>
    <w:rPr>
      <w:snapToGrid w:val="0"/>
      <w:kern w:val="28"/>
      <w:szCs w:val="20"/>
    </w:rPr>
  </w:style>
  <w:style w:type="paragraph" w:styleId="Heading1">
    <w:name w:val="heading 1"/>
    <w:basedOn w:val="Normal"/>
    <w:next w:val="ParaNum"/>
    <w:link w:val="Heading1Char"/>
    <w:qFormat/>
    <w:rsid w:val="00D2772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2772F"/>
    <w:pPr>
      <w:keepNext/>
      <w:numPr>
        <w:ilvl w:val="1"/>
        <w:numId w:val="2"/>
      </w:numPr>
      <w:spacing w:after="120"/>
      <w:outlineLvl w:val="1"/>
    </w:pPr>
    <w:rPr>
      <w:b/>
    </w:rPr>
  </w:style>
  <w:style w:type="paragraph" w:styleId="Heading3">
    <w:name w:val="heading 3"/>
    <w:basedOn w:val="Normal"/>
    <w:next w:val="ParaNum"/>
    <w:link w:val="Heading3Char"/>
    <w:qFormat/>
    <w:rsid w:val="00D2772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2772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2772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2772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2772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2772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2772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77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72F"/>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D2772F"/>
    <w:pPr>
      <w:numPr>
        <w:numId w:val="1"/>
      </w:numPr>
      <w:tabs>
        <w:tab w:val="clear" w:pos="1080"/>
        <w:tab w:val="num" w:pos="1440"/>
      </w:tabs>
      <w:spacing w:after="120"/>
    </w:pPr>
  </w:style>
  <w:style w:type="paragraph" w:styleId="EndnoteText">
    <w:name w:val="endnote text"/>
    <w:basedOn w:val="Normal"/>
    <w:link w:val="EndnoteTextChar"/>
    <w:semiHidden/>
    <w:rsid w:val="00D2772F"/>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D2772F"/>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D2772F"/>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C,FR,Footnote Reference/,Footnote Reference1,Re,Style 12,Style 124,Style 13,Style 17,Style 20,Style 3,Style 30,Style 34,Style 4,Style 6,Style 7,Style 9,callout,fr,o"/>
    <w:rsid w:val="00D2772F"/>
    <w:rPr>
      <w:rFonts w:ascii="Times New Roman" w:hAnsi="Times New Roman"/>
      <w:dstrike w:val="0"/>
      <w:color w:val="auto"/>
      <w:sz w:val="20"/>
      <w:vertAlign w:val="superscript"/>
    </w:rPr>
  </w:style>
  <w:style w:type="paragraph" w:styleId="TOC1">
    <w:name w:val="toc 1"/>
    <w:basedOn w:val="Normal"/>
    <w:next w:val="Normal"/>
    <w:rsid w:val="00D277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772F"/>
    <w:pPr>
      <w:tabs>
        <w:tab w:val="left" w:pos="720"/>
        <w:tab w:val="right" w:leader="dot" w:pos="9360"/>
      </w:tabs>
      <w:suppressAutoHyphens/>
      <w:ind w:left="720" w:right="720" w:hanging="360"/>
    </w:pPr>
    <w:rPr>
      <w:noProof/>
    </w:rPr>
  </w:style>
  <w:style w:type="paragraph" w:styleId="TOC3">
    <w:name w:val="toc 3"/>
    <w:basedOn w:val="Normal"/>
    <w:next w:val="Normal"/>
    <w:semiHidden/>
    <w:rsid w:val="00D277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77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77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77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77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77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77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772F"/>
    <w:pPr>
      <w:tabs>
        <w:tab w:val="right" w:pos="9360"/>
      </w:tabs>
      <w:suppressAutoHyphens/>
    </w:pPr>
  </w:style>
  <w:style w:type="character" w:customStyle="1" w:styleId="EquationCaption">
    <w:name w:val="_Equation Caption"/>
    <w:rsid w:val="00D2772F"/>
  </w:style>
  <w:style w:type="paragraph" w:styleId="Header">
    <w:name w:val="header"/>
    <w:basedOn w:val="Normal"/>
    <w:link w:val="HeaderChar"/>
    <w:autoRedefine/>
    <w:rsid w:val="00D2772F"/>
    <w:pPr>
      <w:tabs>
        <w:tab w:val="center" w:pos="4680"/>
        <w:tab w:val="right" w:pos="9360"/>
      </w:tabs>
    </w:pPr>
    <w:rPr>
      <w:b/>
    </w:rPr>
  </w:style>
  <w:style w:type="character" w:customStyle="1" w:styleId="HeaderChar">
    <w:name w:val="Header Char"/>
    <w:basedOn w:val="DefaultParagraphFont"/>
    <w:link w:val="Header"/>
    <w:locked/>
    <w:rsid w:val="00940DD1"/>
    <w:rPr>
      <w:b/>
      <w:snapToGrid w:val="0"/>
      <w:kern w:val="28"/>
      <w:szCs w:val="20"/>
    </w:rPr>
  </w:style>
  <w:style w:type="paragraph" w:styleId="Footer">
    <w:name w:val="footer"/>
    <w:basedOn w:val="Normal"/>
    <w:link w:val="FooterChar"/>
    <w:uiPriority w:val="99"/>
    <w:rsid w:val="00D2772F"/>
    <w:pPr>
      <w:tabs>
        <w:tab w:val="center" w:pos="4320"/>
        <w:tab w:val="right" w:pos="8640"/>
      </w:tabs>
    </w:pPr>
  </w:style>
  <w:style w:type="character" w:customStyle="1" w:styleId="FooterChar">
    <w:name w:val="Footer Char"/>
    <w:link w:val="Footer"/>
    <w:uiPriority w:val="99"/>
    <w:locked/>
    <w:rsid w:val="00D2772F"/>
    <w:rPr>
      <w:snapToGrid w:val="0"/>
      <w:kern w:val="28"/>
      <w:szCs w:val="20"/>
    </w:rPr>
  </w:style>
  <w:style w:type="character" w:styleId="PageNumber">
    <w:name w:val="page number"/>
    <w:basedOn w:val="DefaultParagraphFont"/>
    <w:rsid w:val="00D2772F"/>
  </w:style>
  <w:style w:type="paragraph" w:styleId="BlockText">
    <w:name w:val="Block Text"/>
    <w:basedOn w:val="Normal"/>
    <w:rsid w:val="00D2772F"/>
    <w:pPr>
      <w:spacing w:after="240"/>
      <w:ind w:left="1440" w:right="1440"/>
    </w:pPr>
  </w:style>
  <w:style w:type="paragraph" w:customStyle="1" w:styleId="Paratitle">
    <w:name w:val="Para title"/>
    <w:basedOn w:val="Normal"/>
    <w:rsid w:val="00D2772F"/>
    <w:pPr>
      <w:tabs>
        <w:tab w:val="center" w:pos="9270"/>
      </w:tabs>
      <w:spacing w:after="240"/>
    </w:pPr>
    <w:rPr>
      <w:spacing w:val="-2"/>
    </w:rPr>
  </w:style>
  <w:style w:type="paragraph" w:customStyle="1" w:styleId="Bullet">
    <w:name w:val="Bullet"/>
    <w:basedOn w:val="Normal"/>
    <w:rsid w:val="00D2772F"/>
    <w:pPr>
      <w:tabs>
        <w:tab w:val="left" w:pos="2160"/>
      </w:tabs>
      <w:spacing w:after="220"/>
      <w:ind w:left="2160" w:hanging="720"/>
    </w:pPr>
  </w:style>
  <w:style w:type="paragraph" w:customStyle="1" w:styleId="TableFormat">
    <w:name w:val="TableFormat"/>
    <w:basedOn w:val="Bullet"/>
    <w:rsid w:val="00D2772F"/>
    <w:pPr>
      <w:tabs>
        <w:tab w:val="clear" w:pos="2160"/>
        <w:tab w:val="left" w:pos="5040"/>
      </w:tabs>
      <w:ind w:left="5040" w:hanging="3600"/>
    </w:pPr>
  </w:style>
  <w:style w:type="paragraph" w:customStyle="1" w:styleId="TOCTitle">
    <w:name w:val="TOC Title"/>
    <w:basedOn w:val="Normal"/>
    <w:rsid w:val="00D277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772F"/>
    <w:pPr>
      <w:jc w:val="center"/>
    </w:pPr>
    <w:rPr>
      <w:rFonts w:ascii="Times New Roman Bold" w:hAnsi="Times New Roman Bold"/>
      <w:b/>
      <w:bCs/>
      <w:caps/>
      <w:szCs w:val="22"/>
    </w:rPr>
  </w:style>
  <w:style w:type="character" w:styleId="Hyperlink">
    <w:name w:val="Hyperlink"/>
    <w:rsid w:val="00D2772F"/>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UnresolvedMention">
    <w:name w:val="Unresolved Mention"/>
    <w:basedOn w:val="DefaultParagraphFont"/>
    <w:uiPriority w:val="99"/>
    <w:semiHidden/>
    <w:unhideWhenUsed/>
    <w:rsid w:val="00930DCE"/>
    <w:rPr>
      <w:color w:val="605E5C"/>
      <w:shd w:val="clear" w:color="auto" w:fill="E1DFDD"/>
    </w:rPr>
  </w:style>
  <w:style w:type="character" w:styleId="Emphasis">
    <w:name w:val="Emphasis"/>
    <w:uiPriority w:val="20"/>
    <w:qFormat/>
    <w:locked/>
    <w:rsid w:val="007F1D00"/>
    <w:rPr>
      <w:i/>
      <w:iCs/>
    </w:rPr>
  </w:style>
  <w:style w:type="character" w:customStyle="1" w:styleId="rrfootnoteCharCharChar">
    <w:name w:val="rrfootnote Char Char Char"/>
    <w:aliases w:val="Style 5 Char Char Char,fn Char"/>
    <w:locked/>
    <w:rsid w:val="008B27BA"/>
  </w:style>
  <w:style w:type="paragraph" w:customStyle="1" w:styleId="Paranum0">
    <w:name w:val="Paranum"/>
    <w:uiPriority w:val="99"/>
    <w:rsid w:val="00030919"/>
    <w:pPr>
      <w:numPr>
        <w:numId w:val="33"/>
      </w:numPr>
      <w:tabs>
        <w:tab w:val="left" w:pos="1440"/>
      </w:tabs>
      <w:spacing w:after="240"/>
      <w:jc w:val="both"/>
    </w:pPr>
    <w:rPr>
      <w:szCs w:val="20"/>
    </w:rPr>
  </w:style>
  <w:style w:type="paragraph" w:styleId="BodyText">
    <w:name w:val="Body Text"/>
    <w:aliases w:val="b"/>
    <w:basedOn w:val="Normal"/>
    <w:link w:val="BodyTextChar"/>
    <w:uiPriority w:val="99"/>
    <w:locked/>
    <w:rsid w:val="006C44F4"/>
    <w:rPr>
      <w:b/>
      <w:snapToGrid/>
      <w:kern w:val="0"/>
      <w:u w:val="single"/>
    </w:rPr>
  </w:style>
  <w:style w:type="character" w:customStyle="1" w:styleId="BodyTextChar">
    <w:name w:val="Body Text Char"/>
    <w:aliases w:val="b Char"/>
    <w:basedOn w:val="DefaultParagraphFont"/>
    <w:link w:val="BodyText"/>
    <w:uiPriority w:val="99"/>
    <w:rsid w:val="006C44F4"/>
    <w:rPr>
      <w:b/>
      <w:snapToGrid w:val="0"/>
      <w:sz w:val="24"/>
      <w:szCs w:val="20"/>
      <w:u w:val="single"/>
    </w:rPr>
  </w:style>
  <w:style w:type="paragraph" w:customStyle="1" w:styleId="Default">
    <w:name w:val="Default"/>
    <w:rsid w:val="00872A7F"/>
    <w:pPr>
      <w:autoSpaceDE w:val="0"/>
      <w:autoSpaceDN w:val="0"/>
      <w:adjustRightInd w:val="0"/>
    </w:pPr>
    <w:rPr>
      <w:color w:val="000000"/>
      <w:sz w:val="24"/>
      <w:szCs w:val="24"/>
    </w:rPr>
  </w:style>
  <w:style w:type="character" w:customStyle="1" w:styleId="normaltextrun">
    <w:name w:val="normaltextrun"/>
    <w:basedOn w:val="DefaultParagraphFont"/>
    <w:rsid w:val="00D429E5"/>
  </w:style>
  <w:style w:type="character" w:customStyle="1" w:styleId="spellingerror">
    <w:name w:val="spellingerror"/>
    <w:basedOn w:val="DefaultParagraphFont"/>
    <w:rsid w:val="00D429E5"/>
  </w:style>
  <w:style w:type="paragraph" w:customStyle="1" w:styleId="psection-3">
    <w:name w:val="psection-3"/>
    <w:basedOn w:val="Normal"/>
    <w:rsid w:val="00427939"/>
    <w:pPr>
      <w:spacing w:before="100" w:beforeAutospacing="1" w:after="100" w:afterAutospacing="1"/>
    </w:pPr>
    <w:rPr>
      <w:rFonts w:ascii="Aptos" w:hAnsi="Aptos" w:cs="Aptos"/>
      <w:kern w:val="0"/>
    </w:rPr>
  </w:style>
  <w:style w:type="character" w:customStyle="1" w:styleId="enumxml">
    <w:name w:val="enumxml"/>
    <w:basedOn w:val="DefaultParagraphFont"/>
    <w:rsid w:val="00DF4C4D"/>
  </w:style>
  <w:style w:type="character" w:customStyle="1" w:styleId="et03">
    <w:name w:val="et03"/>
    <w:basedOn w:val="DefaultParagraphFont"/>
    <w:rsid w:val="00DF4C4D"/>
  </w:style>
  <w:style w:type="character" w:styleId="Mention">
    <w:name w:val="Mention"/>
    <w:basedOn w:val="DefaultParagraphFont"/>
    <w:uiPriority w:val="99"/>
    <w:unhideWhenUsed/>
    <w:rsid w:val="007E76E0"/>
    <w:rPr>
      <w:color w:val="2B579A"/>
      <w:shd w:val="clear" w:color="auto" w:fill="E1DFDD"/>
    </w:rPr>
  </w:style>
  <w:style w:type="character" w:customStyle="1" w:styleId="ui-provider">
    <w:name w:val="ui-provider"/>
    <w:basedOn w:val="DefaultParagraphFont"/>
    <w:rsid w:val="00F4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westlaw.com/Link/Document/FullText?findType=Y&amp;serNum=2018589186&amp;pubNum=4493&amp;originatingDoc=I0f42693f529911e1bd1192eddc2af8cc&amp;refType=CA&amp;fi=co_pp_sp_4493_4515&amp;originationContext=document&amp;vr=3.0&amp;rs=cblt1.0&amp;transitionType=DocumentItem&amp;contextData=(sc.History*oc.Default)" TargetMode="External" /><Relationship Id="rId2" Type="http://schemas.openxmlformats.org/officeDocument/2006/relationships/hyperlink" Target="https://www.westlaw.com/Link/Document/FullText?findType=Y&amp;serNum=2002693890&amp;pubNum=4493&amp;originatingDoc=I0f42693f529911e1bd1192eddc2af8cc&amp;refType=CA&amp;fi=co_pp_sp_4493_21863&amp;originationContext=document&amp;vr=3.0&amp;rs=cblt1.0&amp;transitionType=DocumentItem&amp;contextData=(sc.History*oc.Default)" TargetMode="External" /><Relationship Id="rId3" Type="http://schemas.openxmlformats.org/officeDocument/2006/relationships/hyperlink" Target="https://www.westlaw.com/Link/Document/FullText?findType=Y&amp;serNum=1991222900&amp;pubNum=0004493&amp;originatingDoc=I0f42693f529911e1bd1192eddc2af8cc&amp;refType=CA&amp;originationContext=document&amp;vr=3.0&amp;rs=cblt1.0&amp;transitionType=DocumentItem&amp;contextData=(sc.History*oc.Default)" TargetMode="External" /><Relationship Id="rId4" Type="http://schemas.openxmlformats.org/officeDocument/2006/relationships/hyperlink" Target="https://www.westlaw.com/Link/Document/FullText?findType=Y&amp;serNum=1972024145&amp;pubNum=0001017&amp;originatingDoc=I0f42693f529911e1bd1192eddc2af8cc&amp;refType=CA&amp;originationContext=document&amp;vr=3.0&amp;rs=cblt1.0&amp;transitionType=DocumentItem&amp;contextData=(sc.History*oc.Default)" TargetMode="External" /><Relationship Id="rId5" Type="http://schemas.openxmlformats.org/officeDocument/2006/relationships/hyperlink" Target="https://www.westlaw.com/Link/Document/FullText?findType=Y&amp;serNum=2004293860&amp;pubNum=0004493&amp;originatingDoc=I0f42693f529911e1bd1192eddc2af8cc&amp;refType=CA&amp;originationContext=document&amp;vr=3.0&amp;rs=cblt1.0&amp;transitionType=DocumentItem&amp;contextData=(sc.History*oc.Defaul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