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41008" w:rsidRPr="00254D78" w:rsidP="00A53B03" w14:paraId="28AEE11D" w14:textId="77777777">
      <w:pPr>
        <w:jc w:val="center"/>
        <w:rPr>
          <w:b/>
          <w:szCs w:val="22"/>
        </w:rPr>
      </w:pPr>
      <w:r w:rsidRPr="00254D78">
        <w:rPr>
          <w:b/>
          <w:szCs w:val="22"/>
        </w:rPr>
        <w:t>Before the</w:t>
      </w:r>
    </w:p>
    <w:p w:rsidR="00441008" w:rsidRPr="00254D78" w:rsidP="00A53B03" w14:paraId="57FED8E5" w14:textId="77777777">
      <w:pPr>
        <w:jc w:val="center"/>
        <w:rPr>
          <w:b/>
          <w:szCs w:val="22"/>
        </w:rPr>
      </w:pPr>
      <w:r w:rsidRPr="00254D78">
        <w:rPr>
          <w:b/>
          <w:szCs w:val="22"/>
        </w:rPr>
        <w:t>Federal Communications Commission</w:t>
      </w:r>
    </w:p>
    <w:p w:rsidR="00441008" w:rsidRPr="00254D78" w:rsidP="00A53B03" w14:paraId="66D3AE58" w14:textId="77777777">
      <w:pPr>
        <w:jc w:val="center"/>
        <w:rPr>
          <w:b/>
          <w:szCs w:val="22"/>
        </w:rPr>
      </w:pPr>
      <w:r w:rsidRPr="00254D78">
        <w:rPr>
          <w:b/>
          <w:szCs w:val="22"/>
        </w:rPr>
        <w:t>Washington, D.C. 20554</w:t>
      </w:r>
    </w:p>
    <w:p w:rsidR="00441008" w:rsidRPr="00254D78" w:rsidP="00A53B03" w14:paraId="61D4480C" w14:textId="77777777">
      <w:pPr>
        <w:rPr>
          <w:szCs w:val="22"/>
        </w:rPr>
      </w:pPr>
    </w:p>
    <w:tbl>
      <w:tblPr>
        <w:tblW w:w="9648" w:type="dxa"/>
        <w:tblLayout w:type="fixed"/>
        <w:tblLook w:val="0000"/>
      </w:tblPr>
      <w:tblGrid>
        <w:gridCol w:w="4698"/>
        <w:gridCol w:w="720"/>
        <w:gridCol w:w="4230"/>
      </w:tblGrid>
      <w:tr w14:paraId="15156262" w14:textId="77777777">
        <w:tblPrEx>
          <w:tblW w:w="9648" w:type="dxa"/>
          <w:tblLayout w:type="fixed"/>
          <w:tblLook w:val="0000"/>
        </w:tblPrEx>
        <w:tc>
          <w:tcPr>
            <w:tcW w:w="4698" w:type="dxa"/>
          </w:tcPr>
          <w:p w:rsidR="00441008" w:rsidRPr="00254D78" w:rsidP="00A53B03" w14:paraId="27DCEBA6" w14:textId="77777777">
            <w:pPr>
              <w:ind w:right="-18"/>
              <w:rPr>
                <w:szCs w:val="22"/>
              </w:rPr>
            </w:pPr>
            <w:r w:rsidRPr="00254D78">
              <w:rPr>
                <w:szCs w:val="22"/>
              </w:rPr>
              <w:t xml:space="preserve">In the Matter of    </w:t>
            </w:r>
          </w:p>
          <w:p w:rsidR="00441008" w:rsidRPr="00254D78" w:rsidP="00A53B03" w14:paraId="6148F95F" w14:textId="77777777">
            <w:pPr>
              <w:ind w:right="-18"/>
              <w:rPr>
                <w:szCs w:val="22"/>
              </w:rPr>
            </w:pPr>
          </w:p>
          <w:p w:rsidR="009B4B74" w:rsidRPr="00254D78" w:rsidP="00A53B03" w14:paraId="4793A8F3" w14:textId="77777777">
            <w:pPr>
              <w:tabs>
                <w:tab w:val="left" w:pos="0"/>
              </w:tabs>
              <w:suppressAutoHyphens/>
              <w:ind w:left="5040" w:hanging="5040"/>
              <w:rPr>
                <w:b/>
                <w:szCs w:val="22"/>
              </w:rPr>
            </w:pPr>
            <w:r w:rsidRPr="00254D78">
              <w:rPr>
                <w:b/>
                <w:szCs w:val="22"/>
              </w:rPr>
              <w:t xml:space="preserve">SHELBY BROADCAST ASSOCIATES, LLC </w:t>
            </w:r>
          </w:p>
          <w:p w:rsidR="00441008" w:rsidRPr="00254D78" w:rsidP="00A53B03" w14:paraId="06C53A4A" w14:textId="77777777">
            <w:pPr>
              <w:tabs>
                <w:tab w:val="left" w:pos="0"/>
              </w:tabs>
              <w:suppressAutoHyphens/>
              <w:ind w:left="5040" w:hanging="5040"/>
              <w:rPr>
                <w:szCs w:val="22"/>
              </w:rPr>
            </w:pPr>
          </w:p>
          <w:p w:rsidR="00441008" w:rsidRPr="00254D78" w:rsidP="00A53B03" w14:paraId="5759CB59" w14:textId="77777777">
            <w:pPr>
              <w:ind w:right="-18"/>
              <w:rPr>
                <w:b/>
                <w:szCs w:val="22"/>
              </w:rPr>
            </w:pPr>
            <w:r w:rsidRPr="00254D78">
              <w:rPr>
                <w:szCs w:val="22"/>
              </w:rPr>
              <w:t xml:space="preserve">Licensee of Station </w:t>
            </w:r>
            <w:r w:rsidRPr="00254D78" w:rsidR="009B4B74">
              <w:rPr>
                <w:szCs w:val="22"/>
              </w:rPr>
              <w:t>W252BE</w:t>
            </w:r>
            <w:r w:rsidRPr="00254D78">
              <w:rPr>
                <w:b/>
                <w:szCs w:val="22"/>
              </w:rPr>
              <w:t xml:space="preserve"> </w:t>
            </w:r>
          </w:p>
          <w:p w:rsidR="00441008" w:rsidRPr="00254D78" w:rsidP="00A53B03" w14:paraId="2ADB0474" w14:textId="77777777">
            <w:pPr>
              <w:ind w:right="-18"/>
              <w:rPr>
                <w:szCs w:val="22"/>
              </w:rPr>
            </w:pPr>
            <w:r w:rsidRPr="00254D78">
              <w:rPr>
                <w:szCs w:val="22"/>
              </w:rPr>
              <w:t>Tarrant, Alabama</w:t>
            </w:r>
          </w:p>
        </w:tc>
        <w:tc>
          <w:tcPr>
            <w:tcW w:w="720" w:type="dxa"/>
          </w:tcPr>
          <w:p w:rsidR="00441008" w:rsidRPr="00254D78" w:rsidP="00A53B03" w14:paraId="2F4697EE" w14:textId="77777777">
            <w:pPr>
              <w:rPr>
                <w:b/>
                <w:szCs w:val="22"/>
              </w:rPr>
            </w:pPr>
            <w:r w:rsidRPr="00254D78">
              <w:rPr>
                <w:b/>
                <w:szCs w:val="22"/>
              </w:rPr>
              <w:t>)</w:t>
            </w:r>
          </w:p>
          <w:p w:rsidR="00441008" w:rsidRPr="00254D78" w:rsidP="00A53B03" w14:paraId="423F4B5F" w14:textId="77777777">
            <w:pPr>
              <w:rPr>
                <w:b/>
                <w:szCs w:val="22"/>
              </w:rPr>
            </w:pPr>
            <w:r w:rsidRPr="00254D78">
              <w:rPr>
                <w:b/>
                <w:szCs w:val="22"/>
              </w:rPr>
              <w:t>)</w:t>
            </w:r>
          </w:p>
          <w:p w:rsidR="00441008" w:rsidRPr="00254D78" w:rsidP="00A53B03" w14:paraId="113B410C" w14:textId="77777777">
            <w:pPr>
              <w:rPr>
                <w:b/>
                <w:szCs w:val="22"/>
              </w:rPr>
            </w:pPr>
            <w:r w:rsidRPr="00254D78">
              <w:rPr>
                <w:b/>
                <w:szCs w:val="22"/>
              </w:rPr>
              <w:t>)</w:t>
            </w:r>
          </w:p>
          <w:p w:rsidR="00441008" w:rsidRPr="00254D78" w:rsidP="00A53B03" w14:paraId="293B326B" w14:textId="77777777">
            <w:pPr>
              <w:rPr>
                <w:b/>
                <w:szCs w:val="22"/>
              </w:rPr>
            </w:pPr>
            <w:r w:rsidRPr="00254D78">
              <w:rPr>
                <w:b/>
                <w:szCs w:val="22"/>
              </w:rPr>
              <w:t>)</w:t>
            </w:r>
          </w:p>
          <w:p w:rsidR="00441008" w:rsidRPr="00254D78" w:rsidP="00A53B03" w14:paraId="5F09EA2B" w14:textId="77777777">
            <w:pPr>
              <w:rPr>
                <w:b/>
                <w:szCs w:val="22"/>
              </w:rPr>
            </w:pPr>
            <w:r w:rsidRPr="00254D78">
              <w:rPr>
                <w:b/>
                <w:szCs w:val="22"/>
              </w:rPr>
              <w:t>)</w:t>
            </w:r>
          </w:p>
          <w:p w:rsidR="00441008" w:rsidRPr="00254D78" w:rsidP="00A53B03" w14:paraId="1A694F69" w14:textId="77777777">
            <w:pPr>
              <w:rPr>
                <w:b/>
                <w:szCs w:val="22"/>
              </w:rPr>
            </w:pPr>
            <w:r w:rsidRPr="00254D78">
              <w:rPr>
                <w:b/>
                <w:szCs w:val="22"/>
              </w:rPr>
              <w:t>)</w:t>
            </w:r>
          </w:p>
          <w:p w:rsidR="00441008" w:rsidRPr="00254D78" w:rsidP="00A53B03" w14:paraId="5518362D" w14:textId="77777777">
            <w:pPr>
              <w:rPr>
                <w:b/>
                <w:szCs w:val="22"/>
              </w:rPr>
            </w:pPr>
            <w:r w:rsidRPr="00254D78">
              <w:rPr>
                <w:b/>
                <w:szCs w:val="22"/>
              </w:rPr>
              <w:t>)</w:t>
            </w:r>
          </w:p>
        </w:tc>
        <w:tc>
          <w:tcPr>
            <w:tcW w:w="4230" w:type="dxa"/>
          </w:tcPr>
          <w:p w:rsidR="00441008" w:rsidRPr="00254D78" w:rsidP="00A53B03" w14:paraId="1CE33DAF" w14:textId="77777777">
            <w:pPr>
              <w:rPr>
                <w:szCs w:val="22"/>
              </w:rPr>
            </w:pPr>
          </w:p>
          <w:p w:rsidR="00441008" w:rsidRPr="00254D78" w:rsidP="00A53B03" w14:paraId="54C2142D" w14:textId="77777777">
            <w:pPr>
              <w:rPr>
                <w:szCs w:val="22"/>
              </w:rPr>
            </w:pPr>
          </w:p>
          <w:p w:rsidR="00441008" w:rsidRPr="00254D78" w:rsidP="00A53B03" w14:paraId="348CE5A1" w14:textId="6536CCE3">
            <w:pPr>
              <w:rPr>
                <w:szCs w:val="22"/>
              </w:rPr>
            </w:pPr>
            <w:r w:rsidRPr="00254D78">
              <w:rPr>
                <w:szCs w:val="22"/>
              </w:rPr>
              <w:t xml:space="preserve">NAL/Acct. No. </w:t>
            </w:r>
            <w:r w:rsidRPr="00B0345A" w:rsidR="0062679F">
              <w:rPr>
                <w:szCs w:val="22"/>
              </w:rPr>
              <w:t>MB-202441410005</w:t>
            </w:r>
          </w:p>
          <w:p w:rsidR="00441008" w:rsidRPr="00254D78" w:rsidP="00A53B03" w14:paraId="1C521ED1" w14:textId="77777777">
            <w:pPr>
              <w:rPr>
                <w:szCs w:val="22"/>
              </w:rPr>
            </w:pPr>
            <w:r w:rsidRPr="00254D78">
              <w:rPr>
                <w:szCs w:val="22"/>
              </w:rPr>
              <w:t xml:space="preserve">FRN: </w:t>
            </w:r>
            <w:r w:rsidRPr="00254D78" w:rsidR="009B4B74">
              <w:rPr>
                <w:szCs w:val="22"/>
              </w:rPr>
              <w:t>0018897223</w:t>
            </w:r>
          </w:p>
          <w:p w:rsidR="00441008" w:rsidRPr="00254D78" w:rsidP="00A53B03" w14:paraId="1574FCCA" w14:textId="77777777">
            <w:pPr>
              <w:rPr>
                <w:szCs w:val="22"/>
              </w:rPr>
            </w:pPr>
            <w:r w:rsidRPr="00254D78">
              <w:rPr>
                <w:szCs w:val="22"/>
              </w:rPr>
              <w:t xml:space="preserve">Facility ID No. </w:t>
            </w:r>
            <w:r w:rsidRPr="00254D78" w:rsidR="009B4B74">
              <w:rPr>
                <w:szCs w:val="22"/>
              </w:rPr>
              <w:t>141124</w:t>
            </w:r>
          </w:p>
          <w:p w:rsidR="00441008" w:rsidRPr="00254D78" w:rsidP="00A53B03" w14:paraId="44128216" w14:textId="1677C22B">
            <w:pPr>
              <w:rPr>
                <w:szCs w:val="22"/>
              </w:rPr>
            </w:pPr>
            <w:r w:rsidRPr="00254D78">
              <w:rPr>
                <w:szCs w:val="22"/>
              </w:rPr>
              <w:t xml:space="preserve">File Nos.  </w:t>
            </w:r>
            <w:r w:rsidRPr="00254D78" w:rsidR="009B4B74">
              <w:rPr>
                <w:szCs w:val="22"/>
              </w:rPr>
              <w:t>0000091616, BALFT-20200608AAG</w:t>
            </w:r>
            <w:r w:rsidR="00A516FD">
              <w:rPr>
                <w:szCs w:val="22"/>
              </w:rPr>
              <w:t xml:space="preserve">, </w:t>
            </w:r>
            <w:r w:rsidRPr="006E2D8A" w:rsidR="00D14743">
              <w:rPr>
                <w:szCs w:val="22"/>
              </w:rPr>
              <w:t>BLFT-20181016ABE, BSTA-2018</w:t>
            </w:r>
            <w:r w:rsidRPr="006E2D8A" w:rsidR="00EF77DC">
              <w:rPr>
                <w:szCs w:val="22"/>
              </w:rPr>
              <w:t>0720AAR</w:t>
            </w:r>
          </w:p>
        </w:tc>
      </w:tr>
    </w:tbl>
    <w:p w:rsidR="00441008" w:rsidRPr="00254D78" w:rsidP="00A53B03" w14:paraId="706BFBA7" w14:textId="77777777">
      <w:pPr>
        <w:rPr>
          <w:szCs w:val="22"/>
        </w:rPr>
      </w:pPr>
    </w:p>
    <w:p w:rsidR="00441008" w:rsidRPr="00254D78" w:rsidP="00A53B03" w14:paraId="79A21C64" w14:textId="77777777">
      <w:pPr>
        <w:jc w:val="center"/>
        <w:rPr>
          <w:b/>
          <w:spacing w:val="-2"/>
          <w:szCs w:val="22"/>
        </w:rPr>
      </w:pPr>
      <w:r w:rsidRPr="00254D78">
        <w:rPr>
          <w:b/>
          <w:spacing w:val="-2"/>
          <w:szCs w:val="22"/>
        </w:rPr>
        <w:t xml:space="preserve">MEMORANDUM OPINION AND ORDER </w:t>
      </w:r>
    </w:p>
    <w:p w:rsidR="00441008" w:rsidRPr="00254D78" w:rsidP="00A53B03" w14:paraId="5B2829BA" w14:textId="77777777">
      <w:pPr>
        <w:jc w:val="center"/>
        <w:rPr>
          <w:b/>
          <w:spacing w:val="-2"/>
          <w:szCs w:val="22"/>
        </w:rPr>
      </w:pPr>
      <w:r w:rsidRPr="00254D78">
        <w:rPr>
          <w:b/>
          <w:spacing w:val="-2"/>
          <w:szCs w:val="22"/>
        </w:rPr>
        <w:t>AND</w:t>
      </w:r>
    </w:p>
    <w:p w:rsidR="00441008" w:rsidRPr="00254D78" w:rsidP="00A53B03" w14:paraId="2ED5B916" w14:textId="77777777">
      <w:pPr>
        <w:jc w:val="center"/>
        <w:rPr>
          <w:b/>
          <w:szCs w:val="22"/>
        </w:rPr>
      </w:pPr>
      <w:r w:rsidRPr="00254D78">
        <w:rPr>
          <w:b/>
          <w:spacing w:val="-2"/>
          <w:szCs w:val="22"/>
        </w:rPr>
        <w:t>NOTICE OF APPARENT LIABILITY FOR FORFEITURE</w:t>
      </w:r>
    </w:p>
    <w:p w:rsidR="00441008" w:rsidRPr="00254D78" w:rsidP="00AE464F" w14:paraId="582A45C6" w14:textId="77777777">
      <w:pPr>
        <w:spacing w:after="120"/>
        <w:rPr>
          <w:szCs w:val="22"/>
        </w:rPr>
      </w:pPr>
    </w:p>
    <w:p w:rsidR="00441008" w:rsidP="00AE464F" w14:paraId="36C5E3D6" w14:textId="7BC86B1E">
      <w:pPr>
        <w:tabs>
          <w:tab w:val="left" w:pos="5760"/>
        </w:tabs>
        <w:spacing w:after="120"/>
        <w:rPr>
          <w:b/>
          <w:szCs w:val="22"/>
        </w:rPr>
      </w:pPr>
      <w:r w:rsidRPr="00254D78">
        <w:rPr>
          <w:b/>
          <w:szCs w:val="22"/>
        </w:rPr>
        <w:t xml:space="preserve">Adopted:  </w:t>
      </w:r>
      <w:r w:rsidR="00005719">
        <w:rPr>
          <w:b/>
          <w:szCs w:val="22"/>
        </w:rPr>
        <w:t>January 17, 2024</w:t>
      </w:r>
      <w:r w:rsidRPr="00254D78">
        <w:rPr>
          <w:b/>
          <w:szCs w:val="22"/>
        </w:rPr>
        <w:tab/>
        <w:t xml:space="preserve">Released:  </w:t>
      </w:r>
      <w:r w:rsidR="00005719">
        <w:rPr>
          <w:b/>
          <w:szCs w:val="22"/>
        </w:rPr>
        <w:t>January 17, 2024</w:t>
      </w:r>
    </w:p>
    <w:p w:rsidR="00A53B03" w:rsidRPr="00254D78" w:rsidP="00AE464F" w14:paraId="65FA99F0" w14:textId="77777777">
      <w:pPr>
        <w:tabs>
          <w:tab w:val="left" w:pos="5760"/>
        </w:tabs>
        <w:spacing w:after="120"/>
        <w:rPr>
          <w:b/>
          <w:szCs w:val="22"/>
        </w:rPr>
      </w:pPr>
    </w:p>
    <w:p w:rsidR="00441008" w:rsidRPr="00A53B03" w:rsidP="00AE464F" w14:paraId="1C07C2E8" w14:textId="10D57EF0">
      <w:pPr>
        <w:tabs>
          <w:tab w:val="left" w:pos="5760"/>
        </w:tabs>
        <w:spacing w:after="120"/>
        <w:rPr>
          <w:spacing w:val="-2"/>
          <w:szCs w:val="22"/>
        </w:rPr>
      </w:pPr>
      <w:r w:rsidRPr="00254D78">
        <w:rPr>
          <w:szCs w:val="22"/>
        </w:rPr>
        <w:t>By the Chief, Audio Division, Media Bureau</w:t>
      </w:r>
      <w:r w:rsidRPr="00254D78">
        <w:rPr>
          <w:spacing w:val="-2"/>
          <w:szCs w:val="22"/>
        </w:rPr>
        <w:t>:</w:t>
      </w:r>
    </w:p>
    <w:p w:rsidR="00441008" w:rsidRPr="00254D78" w:rsidP="00AE464F" w14:paraId="04A50BA6" w14:textId="0985C48C">
      <w:pPr>
        <w:tabs>
          <w:tab w:val="left" w:pos="5760"/>
        </w:tabs>
        <w:spacing w:after="120"/>
        <w:rPr>
          <w:b/>
          <w:szCs w:val="22"/>
        </w:rPr>
      </w:pPr>
      <w:r w:rsidRPr="00254D78">
        <w:rPr>
          <w:b/>
          <w:szCs w:val="22"/>
        </w:rPr>
        <w:t>I.           INTRODUCTION</w:t>
      </w:r>
    </w:p>
    <w:p w:rsidR="00A91E25" w:rsidRPr="00237004" w:rsidP="00907867" w14:paraId="776457F0" w14:textId="2B786722">
      <w:pPr>
        <w:pStyle w:val="ParaNum"/>
        <w:spacing w:after="120"/>
        <w:jc w:val="left"/>
        <w:rPr>
          <w:szCs w:val="22"/>
        </w:rPr>
      </w:pPr>
      <w:r w:rsidRPr="00237004">
        <w:rPr>
          <w:szCs w:val="22"/>
        </w:rPr>
        <w:t xml:space="preserve">We have before us </w:t>
      </w:r>
      <w:r w:rsidRPr="00237004" w:rsidR="00241561">
        <w:rPr>
          <w:szCs w:val="22"/>
        </w:rPr>
        <w:t xml:space="preserve">the </w:t>
      </w:r>
      <w:r w:rsidR="00403E3C">
        <w:rPr>
          <w:szCs w:val="22"/>
        </w:rPr>
        <w:t>captioned</w:t>
      </w:r>
      <w:r w:rsidRPr="00237004" w:rsidR="00241561">
        <w:rPr>
          <w:szCs w:val="22"/>
        </w:rPr>
        <w:t xml:space="preserve"> application for renewal of license (Renewal Application) filed by Shelby Broadcast Associates, LLC (Shelby) for FM </w:t>
      </w:r>
      <w:r w:rsidR="00403E3C">
        <w:rPr>
          <w:szCs w:val="22"/>
        </w:rPr>
        <w:t>t</w:t>
      </w:r>
      <w:r w:rsidRPr="00237004" w:rsidR="00241561">
        <w:rPr>
          <w:szCs w:val="22"/>
        </w:rPr>
        <w:t xml:space="preserve">ranslator </w:t>
      </w:r>
      <w:r w:rsidR="00403E3C">
        <w:rPr>
          <w:szCs w:val="22"/>
        </w:rPr>
        <w:t>s</w:t>
      </w:r>
      <w:r w:rsidRPr="00237004" w:rsidR="00241561">
        <w:rPr>
          <w:szCs w:val="22"/>
        </w:rPr>
        <w:t>tation W252BE, Tarrant, Alabama</w:t>
      </w:r>
      <w:r w:rsidR="00237004">
        <w:rPr>
          <w:szCs w:val="22"/>
        </w:rPr>
        <w:t xml:space="preserve"> (Station)</w:t>
      </w:r>
      <w:r w:rsidRPr="00237004" w:rsidR="00241561">
        <w:rPr>
          <w:szCs w:val="22"/>
        </w:rPr>
        <w:t>.</w:t>
      </w:r>
      <w:r>
        <w:rPr>
          <w:rStyle w:val="FootnoteReference"/>
          <w:szCs w:val="22"/>
        </w:rPr>
        <w:footnoteReference w:id="3"/>
      </w:r>
      <w:r w:rsidRPr="00237004" w:rsidR="00241561">
        <w:rPr>
          <w:szCs w:val="22"/>
        </w:rPr>
        <w:t xml:space="preserve">  We also have before us </w:t>
      </w:r>
      <w:r w:rsidRPr="00237004">
        <w:rPr>
          <w:szCs w:val="22"/>
        </w:rPr>
        <w:t>a Petition for Reconsideration (</w:t>
      </w:r>
      <w:r w:rsidRPr="00237004" w:rsidR="0042068C">
        <w:rPr>
          <w:szCs w:val="22"/>
        </w:rPr>
        <w:t>Renewal Petition)</w:t>
      </w:r>
      <w:r w:rsidRPr="00237004">
        <w:rPr>
          <w:szCs w:val="22"/>
        </w:rPr>
        <w:t xml:space="preserve"> filed by Marble City Media, LLC (Marble City) on April 16, 2020</w:t>
      </w:r>
      <w:r w:rsidRPr="00237004" w:rsidR="008A516A">
        <w:rPr>
          <w:szCs w:val="22"/>
        </w:rPr>
        <w:t>,</w:t>
      </w:r>
      <w:r>
        <w:rPr>
          <w:rStyle w:val="FootnoteReference"/>
          <w:szCs w:val="22"/>
        </w:rPr>
        <w:footnoteReference w:id="4"/>
      </w:r>
      <w:r w:rsidRPr="00237004">
        <w:rPr>
          <w:szCs w:val="22"/>
        </w:rPr>
        <w:t xml:space="preserve"> seek</w:t>
      </w:r>
      <w:r w:rsidRPr="00237004" w:rsidR="008A516A">
        <w:rPr>
          <w:szCs w:val="22"/>
        </w:rPr>
        <w:t>ing</w:t>
      </w:r>
      <w:r w:rsidRPr="00237004">
        <w:rPr>
          <w:szCs w:val="22"/>
        </w:rPr>
        <w:t xml:space="preserve"> reconsideration of the Media Bureau (Bureau)’s March 19, 2020, grant of</w:t>
      </w:r>
      <w:r w:rsidRPr="00237004" w:rsidR="00241561">
        <w:rPr>
          <w:szCs w:val="22"/>
        </w:rPr>
        <w:t xml:space="preserve"> the Renewal Application,</w:t>
      </w:r>
      <w:r>
        <w:rPr>
          <w:rStyle w:val="FootnoteReference"/>
          <w:szCs w:val="22"/>
        </w:rPr>
        <w:footnoteReference w:id="5"/>
      </w:r>
      <w:r w:rsidRPr="00237004">
        <w:rPr>
          <w:szCs w:val="22"/>
        </w:rPr>
        <w:t xml:space="preserve"> </w:t>
      </w:r>
      <w:r w:rsidRPr="00237004" w:rsidR="00241561">
        <w:rPr>
          <w:szCs w:val="22"/>
        </w:rPr>
        <w:t>and</w:t>
      </w:r>
      <w:r w:rsidRPr="00237004">
        <w:rPr>
          <w:szCs w:val="22"/>
        </w:rPr>
        <w:t xml:space="preserve"> related responsive pleadings.</w:t>
      </w:r>
      <w:r>
        <w:rPr>
          <w:rStyle w:val="FootnoteReference"/>
          <w:szCs w:val="22"/>
        </w:rPr>
        <w:footnoteReference w:id="6"/>
      </w:r>
      <w:r w:rsidRPr="00237004">
        <w:rPr>
          <w:szCs w:val="22"/>
        </w:rPr>
        <w:t xml:space="preserve">  </w:t>
      </w:r>
      <w:r w:rsidRPr="00237004" w:rsidR="00437804">
        <w:rPr>
          <w:szCs w:val="22"/>
        </w:rPr>
        <w:t xml:space="preserve">Also </w:t>
      </w:r>
      <w:r w:rsidRPr="00237004">
        <w:rPr>
          <w:szCs w:val="22"/>
        </w:rPr>
        <w:t>before us is</w:t>
      </w:r>
      <w:r w:rsidRPr="00237004" w:rsidR="00F8718F">
        <w:rPr>
          <w:szCs w:val="22"/>
        </w:rPr>
        <w:t xml:space="preserve"> </w:t>
      </w:r>
      <w:r w:rsidRPr="00237004" w:rsidR="002B1BD0">
        <w:rPr>
          <w:szCs w:val="22"/>
        </w:rPr>
        <w:t xml:space="preserve">the </w:t>
      </w:r>
      <w:r w:rsidR="00403E3C">
        <w:rPr>
          <w:szCs w:val="22"/>
        </w:rPr>
        <w:t>captioned</w:t>
      </w:r>
      <w:r w:rsidRPr="00237004" w:rsidR="002B1BD0">
        <w:rPr>
          <w:szCs w:val="22"/>
        </w:rPr>
        <w:t xml:space="preserve"> application (Assignment Application) filed by Shelby for consent to assign the Station license to Rivera Communications, LLC (Rivera).</w:t>
      </w:r>
      <w:r>
        <w:rPr>
          <w:rStyle w:val="FootnoteReference"/>
          <w:szCs w:val="22"/>
        </w:rPr>
        <w:footnoteReference w:id="7"/>
      </w:r>
      <w:r w:rsidRPr="00237004" w:rsidR="002B1BD0">
        <w:rPr>
          <w:szCs w:val="22"/>
        </w:rPr>
        <w:t xml:space="preserve"> </w:t>
      </w:r>
      <w:r w:rsidRPr="00237004" w:rsidR="00D75315">
        <w:rPr>
          <w:szCs w:val="22"/>
        </w:rPr>
        <w:t xml:space="preserve"> </w:t>
      </w:r>
      <w:r w:rsidRPr="00237004" w:rsidR="002B1BD0">
        <w:rPr>
          <w:szCs w:val="22"/>
        </w:rPr>
        <w:t xml:space="preserve">We also have before us </w:t>
      </w:r>
      <w:r w:rsidRPr="00237004" w:rsidR="00F8718F">
        <w:rPr>
          <w:szCs w:val="22"/>
        </w:rPr>
        <w:t>a Petition to Deny</w:t>
      </w:r>
      <w:r w:rsidRPr="00237004" w:rsidR="00A54ECE">
        <w:rPr>
          <w:szCs w:val="22"/>
        </w:rPr>
        <w:t xml:space="preserve"> the</w:t>
      </w:r>
      <w:r w:rsidRPr="00237004" w:rsidR="00F8718F">
        <w:rPr>
          <w:szCs w:val="22"/>
        </w:rPr>
        <w:t xml:space="preserve"> </w:t>
      </w:r>
      <w:r w:rsidRPr="00237004" w:rsidR="00AF1848">
        <w:rPr>
          <w:szCs w:val="22"/>
        </w:rPr>
        <w:t xml:space="preserve">Assignment </w:t>
      </w:r>
      <w:r w:rsidRPr="00237004" w:rsidR="002B1BD0">
        <w:rPr>
          <w:szCs w:val="22"/>
        </w:rPr>
        <w:t xml:space="preserve">Application </w:t>
      </w:r>
      <w:r w:rsidRPr="00237004" w:rsidR="00AF1848">
        <w:rPr>
          <w:szCs w:val="22"/>
        </w:rPr>
        <w:t>(</w:t>
      </w:r>
      <w:r w:rsidRPr="00237004" w:rsidR="0042068C">
        <w:rPr>
          <w:szCs w:val="22"/>
        </w:rPr>
        <w:t>Assignment Petition</w:t>
      </w:r>
      <w:r w:rsidRPr="00237004" w:rsidR="00AF1848">
        <w:rPr>
          <w:szCs w:val="22"/>
        </w:rPr>
        <w:t xml:space="preserve">) </w:t>
      </w:r>
      <w:r w:rsidRPr="00237004" w:rsidR="008A737D">
        <w:rPr>
          <w:szCs w:val="22"/>
        </w:rPr>
        <w:t xml:space="preserve">filed </w:t>
      </w:r>
      <w:r w:rsidRPr="00237004" w:rsidR="002B1BD0">
        <w:rPr>
          <w:szCs w:val="22"/>
        </w:rPr>
        <w:t>by Marble City,</w:t>
      </w:r>
      <w:r>
        <w:rPr>
          <w:rStyle w:val="FootnoteReference"/>
          <w:szCs w:val="22"/>
        </w:rPr>
        <w:footnoteReference w:id="8"/>
      </w:r>
      <w:r w:rsidRPr="00237004" w:rsidR="002B1BD0">
        <w:rPr>
          <w:szCs w:val="22"/>
        </w:rPr>
        <w:t xml:space="preserve"> and</w:t>
      </w:r>
      <w:r w:rsidRPr="00237004">
        <w:rPr>
          <w:szCs w:val="22"/>
        </w:rPr>
        <w:t xml:space="preserve"> related responsive pleadings.</w:t>
      </w:r>
      <w:r>
        <w:rPr>
          <w:rStyle w:val="FootnoteReference"/>
          <w:szCs w:val="22"/>
        </w:rPr>
        <w:footnoteReference w:id="9"/>
      </w:r>
      <w:r w:rsidRPr="00237004">
        <w:rPr>
          <w:szCs w:val="22"/>
        </w:rPr>
        <w:t xml:space="preserve">  </w:t>
      </w:r>
      <w:r w:rsidRPr="00237004">
        <w:rPr>
          <w:szCs w:val="22"/>
        </w:rPr>
        <w:t xml:space="preserve">Finally, we have before us the </w:t>
      </w:r>
      <w:r w:rsidR="00403E3C">
        <w:rPr>
          <w:szCs w:val="22"/>
        </w:rPr>
        <w:t xml:space="preserve">captioned </w:t>
      </w:r>
      <w:r w:rsidRPr="00237004">
        <w:rPr>
          <w:szCs w:val="22"/>
        </w:rPr>
        <w:t>license to cover application</w:t>
      </w:r>
      <w:r w:rsidRPr="00237004" w:rsidR="007C17D9">
        <w:rPr>
          <w:szCs w:val="22"/>
        </w:rPr>
        <w:t xml:space="preserve"> (2018 License Application)</w:t>
      </w:r>
      <w:r>
        <w:rPr>
          <w:rStyle w:val="FootnoteReference"/>
          <w:szCs w:val="22"/>
        </w:rPr>
        <w:footnoteReference w:id="10"/>
      </w:r>
      <w:r w:rsidRPr="00237004">
        <w:rPr>
          <w:szCs w:val="22"/>
        </w:rPr>
        <w:t xml:space="preserve"> </w:t>
      </w:r>
      <w:r w:rsidRPr="00237004" w:rsidR="008E2F14">
        <w:rPr>
          <w:szCs w:val="22"/>
        </w:rPr>
        <w:t xml:space="preserve">and </w:t>
      </w:r>
      <w:r w:rsidRPr="00237004" w:rsidR="002B1BD0">
        <w:rPr>
          <w:szCs w:val="22"/>
        </w:rPr>
        <w:t xml:space="preserve">application for Special Temporary Authority </w:t>
      </w:r>
      <w:r w:rsidRPr="00237004" w:rsidR="007C17D9">
        <w:rPr>
          <w:szCs w:val="22"/>
        </w:rPr>
        <w:t xml:space="preserve">(2018 STA Application) </w:t>
      </w:r>
      <w:r w:rsidRPr="00237004" w:rsidR="002B1BD0">
        <w:rPr>
          <w:szCs w:val="22"/>
        </w:rPr>
        <w:t>filed by Shelby.</w:t>
      </w:r>
      <w:r>
        <w:rPr>
          <w:rStyle w:val="FootnoteReference"/>
          <w:szCs w:val="22"/>
        </w:rPr>
        <w:footnoteReference w:id="11"/>
      </w:r>
    </w:p>
    <w:p w:rsidR="00441008" w:rsidRPr="00254D78" w:rsidP="003A1713" w14:paraId="785EB516" w14:textId="63CE41D8">
      <w:pPr>
        <w:pStyle w:val="ParaNum"/>
        <w:keepNext/>
        <w:widowControl/>
        <w:spacing w:after="120"/>
        <w:jc w:val="left"/>
        <w:rPr>
          <w:szCs w:val="22"/>
        </w:rPr>
      </w:pPr>
      <w:r w:rsidRPr="00254D78">
        <w:rPr>
          <w:szCs w:val="22"/>
        </w:rPr>
        <w:t xml:space="preserve">In this </w:t>
      </w:r>
      <w:r w:rsidRPr="00254D78">
        <w:rPr>
          <w:i/>
          <w:szCs w:val="22"/>
        </w:rPr>
        <w:t xml:space="preserve">Memorandum Opinion and Order and Notice of Apparent Liability for Forfeiture </w:t>
      </w:r>
      <w:r w:rsidRPr="00537AFB">
        <w:rPr>
          <w:iCs/>
          <w:szCs w:val="22"/>
        </w:rPr>
        <w:t>(</w:t>
      </w:r>
      <w:r w:rsidRPr="00254D78">
        <w:rPr>
          <w:i/>
          <w:szCs w:val="22"/>
        </w:rPr>
        <w:t>NAL</w:t>
      </w:r>
      <w:r w:rsidRPr="00537AFB">
        <w:rPr>
          <w:iCs/>
          <w:szCs w:val="22"/>
        </w:rPr>
        <w:t>)</w:t>
      </w:r>
      <w:r w:rsidRPr="00254D78">
        <w:rPr>
          <w:i/>
          <w:szCs w:val="22"/>
        </w:rPr>
        <w:t>,</w:t>
      </w:r>
      <w:r>
        <w:rPr>
          <w:rStyle w:val="FootnoteReference"/>
          <w:szCs w:val="22"/>
        </w:rPr>
        <w:footnoteReference w:id="12"/>
      </w:r>
      <w:r w:rsidRPr="00254D78">
        <w:rPr>
          <w:szCs w:val="22"/>
        </w:rPr>
        <w:t xml:space="preserve"> we find, as discussed below, that </w:t>
      </w:r>
      <w:r w:rsidR="00A91E25">
        <w:rPr>
          <w:szCs w:val="22"/>
        </w:rPr>
        <w:t>Shelby</w:t>
      </w:r>
      <w:r w:rsidRPr="00254D78" w:rsidR="00A91E25">
        <w:rPr>
          <w:szCs w:val="22"/>
        </w:rPr>
        <w:t xml:space="preserve"> </w:t>
      </w:r>
      <w:r w:rsidRPr="00254D78">
        <w:rPr>
          <w:szCs w:val="22"/>
        </w:rPr>
        <w:t>apparently has willfully and repeatedly operated the Station at variance from its license without Commission authorization</w:t>
      </w:r>
      <w:r w:rsidR="00F702ED">
        <w:rPr>
          <w:szCs w:val="22"/>
        </w:rPr>
        <w:t>,</w:t>
      </w:r>
      <w:r w:rsidRPr="00254D78">
        <w:rPr>
          <w:szCs w:val="22"/>
        </w:rPr>
        <w:t xml:space="preserve"> in violation of </w:t>
      </w:r>
      <w:r w:rsidRPr="00254D78" w:rsidR="00937F71">
        <w:rPr>
          <w:szCs w:val="22"/>
        </w:rPr>
        <w:t>s</w:t>
      </w:r>
      <w:r w:rsidRPr="00254D78">
        <w:rPr>
          <w:szCs w:val="22"/>
        </w:rPr>
        <w:t>ection 301 of the Act</w:t>
      </w:r>
      <w:r>
        <w:rPr>
          <w:rStyle w:val="FootnoteReference"/>
          <w:szCs w:val="22"/>
        </w:rPr>
        <w:footnoteReference w:id="13"/>
      </w:r>
      <w:r w:rsidRPr="00254D78">
        <w:rPr>
          <w:szCs w:val="22"/>
        </w:rPr>
        <w:t xml:space="preserve"> and </w:t>
      </w:r>
      <w:r w:rsidRPr="00254D78" w:rsidR="00937F71">
        <w:rPr>
          <w:szCs w:val="22"/>
        </w:rPr>
        <w:t>s</w:t>
      </w:r>
      <w:r w:rsidRPr="00254D78">
        <w:rPr>
          <w:szCs w:val="22"/>
        </w:rPr>
        <w:t>ection 73.1745(a)</w:t>
      </w:r>
      <w:r>
        <w:rPr>
          <w:rStyle w:val="FootnoteReference"/>
          <w:szCs w:val="22"/>
        </w:rPr>
        <w:footnoteReference w:id="14"/>
      </w:r>
      <w:r w:rsidRPr="00254D78">
        <w:rPr>
          <w:szCs w:val="22"/>
        </w:rPr>
        <w:t xml:space="preserve"> of the</w:t>
      </w:r>
      <w:r w:rsidRPr="00254D78" w:rsidR="001403E4">
        <w:rPr>
          <w:szCs w:val="22"/>
        </w:rPr>
        <w:t xml:space="preserve"> Rules</w:t>
      </w:r>
      <w:r w:rsidR="00403E3C">
        <w:rPr>
          <w:szCs w:val="22"/>
        </w:rPr>
        <w:t>,</w:t>
      </w:r>
      <w:r w:rsidRPr="00254D78">
        <w:rPr>
          <w:szCs w:val="22"/>
        </w:rPr>
        <w:t xml:space="preserve"> willfully failed to timely file for special temporary authorization </w:t>
      </w:r>
      <w:r w:rsidR="00403E3C">
        <w:rPr>
          <w:szCs w:val="22"/>
        </w:rPr>
        <w:t xml:space="preserve">(STA) </w:t>
      </w:r>
      <w:r w:rsidRPr="00254D78">
        <w:rPr>
          <w:szCs w:val="22"/>
        </w:rPr>
        <w:t xml:space="preserve">to operate with its nonconforming technical facilities in violation of </w:t>
      </w:r>
      <w:r w:rsidRPr="00254D78" w:rsidR="00937F71">
        <w:rPr>
          <w:szCs w:val="22"/>
        </w:rPr>
        <w:t>s</w:t>
      </w:r>
      <w:r w:rsidRPr="00254D78">
        <w:rPr>
          <w:szCs w:val="22"/>
        </w:rPr>
        <w:t>ection 73.1635(a)(1)</w:t>
      </w:r>
      <w:r>
        <w:rPr>
          <w:rStyle w:val="FootnoteReference"/>
          <w:szCs w:val="22"/>
        </w:rPr>
        <w:footnoteReference w:id="15"/>
      </w:r>
      <w:r w:rsidRPr="00254D78">
        <w:rPr>
          <w:szCs w:val="22"/>
        </w:rPr>
        <w:t xml:space="preserve"> of the Rules</w:t>
      </w:r>
      <w:r w:rsidR="00403E3C">
        <w:rPr>
          <w:szCs w:val="22"/>
        </w:rPr>
        <w:t>,</w:t>
      </w:r>
      <w:r w:rsidRPr="00254D78">
        <w:rPr>
          <w:szCs w:val="22"/>
        </w:rPr>
        <w:t xml:space="preserve"> and willfully failed to disclose material information regarding </w:t>
      </w:r>
      <w:r w:rsidR="00696690">
        <w:rPr>
          <w:szCs w:val="22"/>
        </w:rPr>
        <w:t>such</w:t>
      </w:r>
      <w:r w:rsidRPr="00254D78">
        <w:rPr>
          <w:szCs w:val="22"/>
        </w:rPr>
        <w:t xml:space="preserve"> unauthorized operation</w:t>
      </w:r>
      <w:r w:rsidR="00696690">
        <w:rPr>
          <w:szCs w:val="22"/>
        </w:rPr>
        <w:t>,</w:t>
      </w:r>
      <w:r w:rsidRPr="00254D78">
        <w:rPr>
          <w:szCs w:val="22"/>
        </w:rPr>
        <w:t xml:space="preserve"> in violation of </w:t>
      </w:r>
      <w:r w:rsidRPr="00254D78" w:rsidR="00937F71">
        <w:rPr>
          <w:szCs w:val="22"/>
        </w:rPr>
        <w:t>s</w:t>
      </w:r>
      <w:r w:rsidRPr="00254D78">
        <w:rPr>
          <w:szCs w:val="22"/>
        </w:rPr>
        <w:t>ection 1.17</w:t>
      </w:r>
      <w:r>
        <w:rPr>
          <w:rStyle w:val="FootnoteReference"/>
          <w:szCs w:val="22"/>
        </w:rPr>
        <w:footnoteReference w:id="16"/>
      </w:r>
      <w:r w:rsidRPr="00254D78">
        <w:rPr>
          <w:szCs w:val="22"/>
        </w:rPr>
        <w:t xml:space="preserve"> of the Rules.  Based on our review of the </w:t>
      </w:r>
      <w:r w:rsidRPr="00A35F25">
        <w:rPr>
          <w:szCs w:val="22"/>
        </w:rPr>
        <w:t xml:space="preserve">record before us, we conclude that </w:t>
      </w:r>
      <w:r w:rsidR="00D0047F">
        <w:rPr>
          <w:szCs w:val="22"/>
        </w:rPr>
        <w:t>Shelby</w:t>
      </w:r>
      <w:r w:rsidRPr="00A35F25" w:rsidR="00D0047F">
        <w:rPr>
          <w:szCs w:val="22"/>
        </w:rPr>
        <w:t xml:space="preserve"> </w:t>
      </w:r>
      <w:r w:rsidRPr="00A35F25">
        <w:rPr>
          <w:szCs w:val="22"/>
        </w:rPr>
        <w:t xml:space="preserve">is apparently liable for a monetary forfeiture in the amount of </w:t>
      </w:r>
      <w:r w:rsidR="000017FB">
        <w:rPr>
          <w:szCs w:val="22"/>
        </w:rPr>
        <w:t>sixteen</w:t>
      </w:r>
      <w:r w:rsidRPr="00A35F25" w:rsidR="000017FB">
        <w:rPr>
          <w:szCs w:val="22"/>
        </w:rPr>
        <w:t xml:space="preserve"> </w:t>
      </w:r>
      <w:r w:rsidRPr="00A35F25">
        <w:rPr>
          <w:szCs w:val="22"/>
        </w:rPr>
        <w:t>thousand</w:t>
      </w:r>
      <w:r w:rsidR="00FF385E">
        <w:rPr>
          <w:szCs w:val="22"/>
        </w:rPr>
        <w:t xml:space="preserve"> five hundred</w:t>
      </w:r>
      <w:r w:rsidRPr="00A35F25">
        <w:rPr>
          <w:szCs w:val="22"/>
        </w:rPr>
        <w:t xml:space="preserve"> dollars ($</w:t>
      </w:r>
      <w:r w:rsidR="000017FB">
        <w:rPr>
          <w:szCs w:val="22"/>
        </w:rPr>
        <w:t>16</w:t>
      </w:r>
      <w:r w:rsidR="003611D1">
        <w:rPr>
          <w:szCs w:val="22"/>
        </w:rPr>
        <w:t>,5</w:t>
      </w:r>
      <w:r w:rsidRPr="00A35F25">
        <w:rPr>
          <w:szCs w:val="22"/>
        </w:rPr>
        <w:t>00)</w:t>
      </w:r>
      <w:r w:rsidRPr="00254D78">
        <w:rPr>
          <w:szCs w:val="22"/>
        </w:rPr>
        <w:t xml:space="preserve"> for these violations.  </w:t>
      </w:r>
      <w:r w:rsidR="00FD3638">
        <w:rPr>
          <w:szCs w:val="22"/>
        </w:rPr>
        <w:t>For these reasons</w:t>
      </w:r>
      <w:r w:rsidRPr="00254D78">
        <w:rPr>
          <w:szCs w:val="22"/>
        </w:rPr>
        <w:t xml:space="preserve">, we will </w:t>
      </w:r>
      <w:r w:rsidR="00FD3638">
        <w:rPr>
          <w:szCs w:val="22"/>
        </w:rPr>
        <w:t>grant</w:t>
      </w:r>
      <w:r w:rsidRPr="00254D78">
        <w:rPr>
          <w:szCs w:val="22"/>
        </w:rPr>
        <w:t xml:space="preserve"> </w:t>
      </w:r>
      <w:r w:rsidR="00020220">
        <w:rPr>
          <w:szCs w:val="22"/>
        </w:rPr>
        <w:t xml:space="preserve">in part and otherwise deny the </w:t>
      </w:r>
      <w:r w:rsidR="00A91E25">
        <w:rPr>
          <w:szCs w:val="22"/>
        </w:rPr>
        <w:t xml:space="preserve">Renewal </w:t>
      </w:r>
      <w:r w:rsidR="00020220">
        <w:rPr>
          <w:szCs w:val="22"/>
        </w:rPr>
        <w:t>Petition</w:t>
      </w:r>
      <w:r w:rsidR="00A91E25">
        <w:rPr>
          <w:szCs w:val="22"/>
        </w:rPr>
        <w:t xml:space="preserve"> and </w:t>
      </w:r>
      <w:r w:rsidR="00020220">
        <w:rPr>
          <w:szCs w:val="22"/>
        </w:rPr>
        <w:t xml:space="preserve">deny the </w:t>
      </w:r>
      <w:r w:rsidR="00A91E25">
        <w:rPr>
          <w:szCs w:val="22"/>
        </w:rPr>
        <w:t xml:space="preserve">Assignment </w:t>
      </w:r>
      <w:r w:rsidR="00020220">
        <w:rPr>
          <w:szCs w:val="22"/>
        </w:rPr>
        <w:t>Petition</w:t>
      </w:r>
      <w:r w:rsidR="009C091F">
        <w:rPr>
          <w:szCs w:val="22"/>
        </w:rPr>
        <w:t xml:space="preserve">. </w:t>
      </w:r>
    </w:p>
    <w:p w:rsidR="00441008" w:rsidRPr="00254D78" w:rsidP="003A1713" w14:paraId="538FF0FC" w14:textId="54740FC9">
      <w:pPr>
        <w:spacing w:after="120"/>
        <w:rPr>
          <w:b/>
          <w:szCs w:val="22"/>
        </w:rPr>
      </w:pPr>
      <w:r w:rsidRPr="00254D78">
        <w:rPr>
          <w:b/>
          <w:szCs w:val="22"/>
        </w:rPr>
        <w:t>II.         BACKGROUND</w:t>
      </w:r>
    </w:p>
    <w:p w:rsidR="002E6848" w:rsidRPr="00254D78" w:rsidP="003A1713" w14:paraId="575E16DF" w14:textId="702D5291">
      <w:pPr>
        <w:pStyle w:val="ParaNum"/>
        <w:spacing w:after="120"/>
        <w:jc w:val="left"/>
        <w:rPr>
          <w:szCs w:val="22"/>
        </w:rPr>
      </w:pPr>
      <w:r w:rsidRPr="00254D78">
        <w:rPr>
          <w:bCs/>
          <w:szCs w:val="22"/>
        </w:rPr>
        <w:t>On November 17, 2015, Valleydale Broadcasting, LLC (Valleydale), the Station’s</w:t>
      </w:r>
      <w:r w:rsidR="005E1FF4">
        <w:rPr>
          <w:bCs/>
          <w:szCs w:val="22"/>
        </w:rPr>
        <w:t xml:space="preserve"> former licensee</w:t>
      </w:r>
      <w:r w:rsidRPr="00254D78">
        <w:rPr>
          <w:bCs/>
          <w:szCs w:val="22"/>
        </w:rPr>
        <w:t>, filed a</w:t>
      </w:r>
      <w:r w:rsidR="00835A62">
        <w:rPr>
          <w:bCs/>
          <w:szCs w:val="22"/>
        </w:rPr>
        <w:t xml:space="preserve">n application for </w:t>
      </w:r>
      <w:r w:rsidRPr="00254D78">
        <w:rPr>
          <w:bCs/>
          <w:szCs w:val="22"/>
        </w:rPr>
        <w:t>Special Temporary Authority (STA) (2015 STA</w:t>
      </w:r>
      <w:r w:rsidR="003B7B15">
        <w:rPr>
          <w:bCs/>
          <w:szCs w:val="22"/>
        </w:rPr>
        <w:t xml:space="preserve"> Application</w:t>
      </w:r>
      <w:r w:rsidRPr="00254D78">
        <w:rPr>
          <w:bCs/>
          <w:szCs w:val="22"/>
        </w:rPr>
        <w:t xml:space="preserve">), to operate from a lower antenna height </w:t>
      </w:r>
      <w:r w:rsidR="00241561">
        <w:rPr>
          <w:bCs/>
          <w:szCs w:val="22"/>
        </w:rPr>
        <w:t xml:space="preserve">and </w:t>
      </w:r>
      <w:r w:rsidRPr="00254D78">
        <w:rPr>
          <w:bCs/>
          <w:szCs w:val="22"/>
        </w:rPr>
        <w:t xml:space="preserve">at a higher </w:t>
      </w:r>
      <w:r w:rsidRPr="00254D78" w:rsidR="00E8668A">
        <w:rPr>
          <w:bCs/>
          <w:szCs w:val="22"/>
        </w:rPr>
        <w:t>effective radiated power (ERP)</w:t>
      </w:r>
      <w:r w:rsidR="00E8668A">
        <w:rPr>
          <w:bCs/>
          <w:szCs w:val="22"/>
        </w:rPr>
        <w:t xml:space="preserve"> </w:t>
      </w:r>
      <w:r w:rsidR="00241561">
        <w:rPr>
          <w:bCs/>
          <w:szCs w:val="22"/>
        </w:rPr>
        <w:t xml:space="preserve">than authorized in its license </w:t>
      </w:r>
      <w:r w:rsidRPr="00254D78">
        <w:rPr>
          <w:bCs/>
          <w:szCs w:val="22"/>
        </w:rPr>
        <w:t>because the Station’s coaxial cable was severed.</w:t>
      </w:r>
      <w:r>
        <w:rPr>
          <w:rStyle w:val="FootnoteReference"/>
          <w:bCs/>
          <w:szCs w:val="22"/>
        </w:rPr>
        <w:footnoteReference w:id="17"/>
      </w:r>
      <w:r w:rsidRPr="00254D78">
        <w:rPr>
          <w:bCs/>
          <w:szCs w:val="22"/>
        </w:rPr>
        <w:t xml:space="preserve">  </w:t>
      </w:r>
      <w:r w:rsidRPr="00254D78">
        <w:rPr>
          <w:szCs w:val="22"/>
        </w:rPr>
        <w:t xml:space="preserve">Bureau staff granted the </w:t>
      </w:r>
      <w:r w:rsidR="008E6F61">
        <w:rPr>
          <w:szCs w:val="22"/>
        </w:rPr>
        <w:t xml:space="preserve">2015 </w:t>
      </w:r>
      <w:r w:rsidRPr="00254D78">
        <w:rPr>
          <w:szCs w:val="22"/>
        </w:rPr>
        <w:t xml:space="preserve">STA </w:t>
      </w:r>
      <w:r w:rsidR="008E6F61">
        <w:rPr>
          <w:szCs w:val="22"/>
        </w:rPr>
        <w:t xml:space="preserve">Application </w:t>
      </w:r>
      <w:r w:rsidRPr="00254D78">
        <w:rPr>
          <w:szCs w:val="22"/>
        </w:rPr>
        <w:t>on November 20, 2015, with an expiration of May 19, 2016.</w:t>
      </w:r>
      <w:r w:rsidRPr="00254D78">
        <w:rPr>
          <w:bCs/>
          <w:szCs w:val="22"/>
        </w:rPr>
        <w:t xml:space="preserve"> </w:t>
      </w:r>
      <w:r w:rsidRPr="00254D78">
        <w:rPr>
          <w:szCs w:val="22"/>
        </w:rPr>
        <w:t xml:space="preserve"> </w:t>
      </w:r>
      <w:r w:rsidRPr="00254D78">
        <w:rPr>
          <w:bCs/>
          <w:szCs w:val="22"/>
        </w:rPr>
        <w:t xml:space="preserve">On May 19, 2016, Valleydale filed a </w:t>
      </w:r>
      <w:r w:rsidRPr="00254D78" w:rsidR="002F194E">
        <w:rPr>
          <w:bCs/>
          <w:szCs w:val="22"/>
        </w:rPr>
        <w:t xml:space="preserve">request </w:t>
      </w:r>
      <w:r w:rsidRPr="00254D78">
        <w:rPr>
          <w:bCs/>
          <w:szCs w:val="22"/>
        </w:rPr>
        <w:t xml:space="preserve">to extend the </w:t>
      </w:r>
      <w:r w:rsidRPr="00254D78" w:rsidR="003A0A48">
        <w:rPr>
          <w:bCs/>
          <w:szCs w:val="22"/>
        </w:rPr>
        <w:t>2015 STA</w:t>
      </w:r>
      <w:r w:rsidRPr="00254D78">
        <w:rPr>
          <w:bCs/>
          <w:szCs w:val="22"/>
        </w:rPr>
        <w:t xml:space="preserve"> (</w:t>
      </w:r>
      <w:r w:rsidR="008E6F61">
        <w:rPr>
          <w:bCs/>
          <w:szCs w:val="22"/>
        </w:rPr>
        <w:t xml:space="preserve">2015 </w:t>
      </w:r>
      <w:r w:rsidRPr="00254D78">
        <w:rPr>
          <w:bCs/>
          <w:szCs w:val="22"/>
        </w:rPr>
        <w:t>STA Extension</w:t>
      </w:r>
      <w:r w:rsidRPr="00254D78" w:rsidR="002F194E">
        <w:rPr>
          <w:bCs/>
          <w:szCs w:val="22"/>
        </w:rPr>
        <w:t xml:space="preserve"> Application</w:t>
      </w:r>
      <w:r w:rsidRPr="00254D78">
        <w:rPr>
          <w:bCs/>
          <w:szCs w:val="22"/>
        </w:rPr>
        <w:t>), to continue operating from the lower antenna height and higher ERP.</w:t>
      </w:r>
      <w:r>
        <w:rPr>
          <w:rStyle w:val="FootnoteReference"/>
          <w:bCs/>
          <w:szCs w:val="22"/>
        </w:rPr>
        <w:footnoteReference w:id="18"/>
      </w:r>
      <w:r w:rsidRPr="00254D78">
        <w:rPr>
          <w:bCs/>
          <w:szCs w:val="22"/>
        </w:rPr>
        <w:t xml:space="preserve">  </w:t>
      </w:r>
      <w:r w:rsidRPr="00254D78">
        <w:rPr>
          <w:szCs w:val="22"/>
        </w:rPr>
        <w:t xml:space="preserve">Bureau staff granted the </w:t>
      </w:r>
      <w:r w:rsidR="00D74D9C">
        <w:rPr>
          <w:szCs w:val="22"/>
        </w:rPr>
        <w:t xml:space="preserve">2015 </w:t>
      </w:r>
      <w:r w:rsidRPr="00254D78">
        <w:rPr>
          <w:szCs w:val="22"/>
        </w:rPr>
        <w:t xml:space="preserve">STA Extension </w:t>
      </w:r>
      <w:r w:rsidRPr="00254D78" w:rsidR="002F194E">
        <w:rPr>
          <w:szCs w:val="22"/>
        </w:rPr>
        <w:t xml:space="preserve">Application </w:t>
      </w:r>
      <w:r w:rsidRPr="00254D78">
        <w:rPr>
          <w:szCs w:val="22"/>
        </w:rPr>
        <w:t>on May 23, 2016, with an expiration of November 19, 2016</w:t>
      </w:r>
      <w:r w:rsidR="006B12A6">
        <w:rPr>
          <w:szCs w:val="22"/>
        </w:rPr>
        <w:t xml:space="preserve"> (2015 STA Extension)</w:t>
      </w:r>
      <w:r w:rsidRPr="00254D78">
        <w:rPr>
          <w:szCs w:val="22"/>
        </w:rPr>
        <w:t>.</w:t>
      </w:r>
      <w:r w:rsidRPr="00254D78">
        <w:rPr>
          <w:bCs/>
          <w:szCs w:val="22"/>
        </w:rPr>
        <w:t xml:space="preserve"> </w:t>
      </w:r>
      <w:r w:rsidRPr="00254D78">
        <w:rPr>
          <w:szCs w:val="22"/>
        </w:rPr>
        <w:t xml:space="preserve"> </w:t>
      </w:r>
    </w:p>
    <w:p w:rsidR="00A800A6" w:rsidRPr="00254D78" w:rsidP="00D90FA7" w14:paraId="68135A31" w14:textId="16B73ACA">
      <w:pPr>
        <w:pStyle w:val="ParaNum"/>
        <w:spacing w:after="120"/>
        <w:jc w:val="left"/>
        <w:rPr>
          <w:szCs w:val="22"/>
        </w:rPr>
      </w:pPr>
      <w:r>
        <w:rPr>
          <w:szCs w:val="22"/>
        </w:rPr>
        <w:t>On April 7, 2017, Valleydale file</w:t>
      </w:r>
      <w:r w:rsidR="004573A3">
        <w:rPr>
          <w:szCs w:val="22"/>
        </w:rPr>
        <w:t>d</w:t>
      </w:r>
      <w:r>
        <w:rPr>
          <w:szCs w:val="22"/>
        </w:rPr>
        <w:t xml:space="preserve"> an application </w:t>
      </w:r>
      <w:r w:rsidR="00403E3C">
        <w:rPr>
          <w:szCs w:val="22"/>
        </w:rPr>
        <w:t xml:space="preserve">for consent </w:t>
      </w:r>
      <w:r>
        <w:rPr>
          <w:szCs w:val="22"/>
        </w:rPr>
        <w:t xml:space="preserve">to assign the </w:t>
      </w:r>
      <w:r w:rsidR="00403E3C">
        <w:rPr>
          <w:szCs w:val="22"/>
        </w:rPr>
        <w:t>S</w:t>
      </w:r>
      <w:r>
        <w:rPr>
          <w:szCs w:val="22"/>
        </w:rPr>
        <w:t>tation’s license to Shelby.</w:t>
      </w:r>
      <w:r>
        <w:rPr>
          <w:rStyle w:val="FootnoteReference"/>
          <w:szCs w:val="22"/>
        </w:rPr>
        <w:footnoteReference w:id="19"/>
      </w:r>
      <w:r>
        <w:rPr>
          <w:szCs w:val="22"/>
        </w:rPr>
        <w:t xml:space="preserve">  While that application was pending, o</w:t>
      </w:r>
      <w:r w:rsidRPr="00254D78">
        <w:rPr>
          <w:szCs w:val="22"/>
        </w:rPr>
        <w:t>n May 12, 2017, Valleydale filed a</w:t>
      </w:r>
      <w:r w:rsidR="006F4BC2">
        <w:rPr>
          <w:szCs w:val="22"/>
        </w:rPr>
        <w:t xml:space="preserve">n application </w:t>
      </w:r>
      <w:r w:rsidR="002F4A06">
        <w:rPr>
          <w:szCs w:val="22"/>
        </w:rPr>
        <w:t>for</w:t>
      </w:r>
      <w:r w:rsidRPr="00254D78">
        <w:rPr>
          <w:szCs w:val="22"/>
        </w:rPr>
        <w:t xml:space="preserve"> minor change to a licensed facility application to </w:t>
      </w:r>
      <w:r>
        <w:rPr>
          <w:szCs w:val="22"/>
        </w:rPr>
        <w:t>modify</w:t>
      </w:r>
      <w:r w:rsidRPr="00254D78">
        <w:rPr>
          <w:szCs w:val="22"/>
        </w:rPr>
        <w:t xml:space="preserve"> </w:t>
      </w:r>
      <w:r w:rsidRPr="00254D78">
        <w:rPr>
          <w:szCs w:val="22"/>
        </w:rPr>
        <w:t xml:space="preserve">the </w:t>
      </w:r>
      <w:r>
        <w:rPr>
          <w:szCs w:val="22"/>
        </w:rPr>
        <w:t xml:space="preserve">Station’s </w:t>
      </w:r>
      <w:r w:rsidRPr="00254D78">
        <w:rPr>
          <w:szCs w:val="22"/>
        </w:rPr>
        <w:t xml:space="preserve">ERP and antenna pattern and to resolve alleged interference caused to </w:t>
      </w:r>
      <w:r w:rsidR="002B739E">
        <w:rPr>
          <w:szCs w:val="22"/>
        </w:rPr>
        <w:t>Marble City’s</w:t>
      </w:r>
      <w:r w:rsidRPr="00254D78">
        <w:rPr>
          <w:szCs w:val="22"/>
        </w:rPr>
        <w:t xml:space="preserve"> full-service FM station, WFXO(FM)</w:t>
      </w:r>
      <w:r w:rsidR="007024B8">
        <w:rPr>
          <w:szCs w:val="22"/>
        </w:rPr>
        <w:t>, Alexander City, Alabama</w:t>
      </w:r>
      <w:r w:rsidR="006F4BC2">
        <w:rPr>
          <w:szCs w:val="22"/>
        </w:rPr>
        <w:t xml:space="preserve"> </w:t>
      </w:r>
      <w:r w:rsidRPr="00254D78" w:rsidR="006F4BC2">
        <w:rPr>
          <w:szCs w:val="22"/>
        </w:rPr>
        <w:t>(Modification Application)</w:t>
      </w:r>
      <w:r w:rsidRPr="00254D78">
        <w:rPr>
          <w:szCs w:val="22"/>
        </w:rPr>
        <w:t>.</w:t>
      </w:r>
      <w:r>
        <w:rPr>
          <w:rStyle w:val="FootnoteReference"/>
          <w:bCs/>
          <w:szCs w:val="22"/>
        </w:rPr>
        <w:footnoteReference w:id="20"/>
      </w:r>
      <w:r w:rsidRPr="00254D78">
        <w:rPr>
          <w:szCs w:val="22"/>
        </w:rPr>
        <w:t xml:space="preserve">  Bureau staff granted the Modification Application on June 21, </w:t>
      </w:r>
      <w:r w:rsidRPr="00254D78">
        <w:rPr>
          <w:szCs w:val="22"/>
        </w:rPr>
        <w:t>2017.</w:t>
      </w:r>
      <w:r>
        <w:rPr>
          <w:rStyle w:val="FootnoteReference"/>
          <w:szCs w:val="22"/>
        </w:rPr>
        <w:footnoteReference w:id="21"/>
      </w:r>
      <w:r w:rsidRPr="00254D78">
        <w:rPr>
          <w:szCs w:val="22"/>
        </w:rPr>
        <w:t xml:space="preserve">  On Jul</w:t>
      </w:r>
      <w:r>
        <w:rPr>
          <w:szCs w:val="22"/>
        </w:rPr>
        <w:t>y</w:t>
      </w:r>
      <w:r w:rsidRPr="00254D78">
        <w:rPr>
          <w:szCs w:val="22"/>
        </w:rPr>
        <w:t xml:space="preserve"> 6, 2018, Marble City </w:t>
      </w:r>
      <w:r>
        <w:rPr>
          <w:szCs w:val="22"/>
        </w:rPr>
        <w:t>again raised</w:t>
      </w:r>
      <w:r w:rsidRPr="00254D78">
        <w:rPr>
          <w:szCs w:val="22"/>
        </w:rPr>
        <w:t xml:space="preserve"> allegations of interference and argued </w:t>
      </w:r>
      <w:r>
        <w:rPr>
          <w:szCs w:val="22"/>
        </w:rPr>
        <w:t>Shelby</w:t>
      </w:r>
      <w:r w:rsidR="006F4BC2">
        <w:rPr>
          <w:szCs w:val="22"/>
        </w:rPr>
        <w:t>, now the licensee of the Station,</w:t>
      </w:r>
      <w:r w:rsidRPr="00254D78">
        <w:rPr>
          <w:szCs w:val="22"/>
        </w:rPr>
        <w:t xml:space="preserve"> </w:t>
      </w:r>
      <w:r w:rsidRPr="00254D78">
        <w:rPr>
          <w:szCs w:val="22"/>
        </w:rPr>
        <w:t xml:space="preserve">lacked </w:t>
      </w:r>
      <w:r>
        <w:rPr>
          <w:szCs w:val="22"/>
        </w:rPr>
        <w:t>a</w:t>
      </w:r>
      <w:r w:rsidRPr="00254D78">
        <w:rPr>
          <w:szCs w:val="22"/>
        </w:rPr>
        <w:t xml:space="preserve"> </w:t>
      </w:r>
      <w:r w:rsidRPr="00254D78">
        <w:rPr>
          <w:szCs w:val="22"/>
        </w:rPr>
        <w:t xml:space="preserve">valid license because the </w:t>
      </w:r>
      <w:r w:rsidR="000D5B43">
        <w:rPr>
          <w:szCs w:val="22"/>
        </w:rPr>
        <w:t xml:space="preserve">Station was not modified to </w:t>
      </w:r>
      <w:r w:rsidR="00403E3C">
        <w:rPr>
          <w:szCs w:val="22"/>
        </w:rPr>
        <w:t xml:space="preserve">operate with the </w:t>
      </w:r>
      <w:r w:rsidRPr="00254D78">
        <w:rPr>
          <w:szCs w:val="22"/>
        </w:rPr>
        <w:t xml:space="preserve">technical specifications </w:t>
      </w:r>
      <w:r w:rsidR="000D5B43">
        <w:rPr>
          <w:szCs w:val="22"/>
        </w:rPr>
        <w:t>authorized in</w:t>
      </w:r>
      <w:r w:rsidR="00E8273D">
        <w:rPr>
          <w:szCs w:val="22"/>
        </w:rPr>
        <w:t xml:space="preserve"> </w:t>
      </w:r>
      <w:r w:rsidR="007024B8">
        <w:rPr>
          <w:szCs w:val="22"/>
        </w:rPr>
        <w:t xml:space="preserve">the </w:t>
      </w:r>
      <w:r w:rsidRPr="00254D78">
        <w:rPr>
          <w:szCs w:val="22"/>
        </w:rPr>
        <w:t>Modification Application.</w:t>
      </w:r>
      <w:r>
        <w:rPr>
          <w:rStyle w:val="FootnoteReference"/>
          <w:szCs w:val="22"/>
        </w:rPr>
        <w:footnoteReference w:id="22"/>
      </w:r>
      <w:r w:rsidRPr="00254D78" w:rsidR="00341AF4">
        <w:rPr>
          <w:szCs w:val="22"/>
        </w:rPr>
        <w:t xml:space="preserve"> </w:t>
      </w:r>
      <w:r w:rsidRPr="00254D78">
        <w:rPr>
          <w:szCs w:val="22"/>
        </w:rPr>
        <w:t xml:space="preserve"> </w:t>
      </w:r>
    </w:p>
    <w:p w:rsidR="00441008" w:rsidRPr="00254D78" w:rsidP="00D90FA7" w14:paraId="778F3245" w14:textId="2F995504">
      <w:pPr>
        <w:pStyle w:val="ParaNum"/>
        <w:spacing w:after="120"/>
        <w:jc w:val="left"/>
        <w:rPr>
          <w:szCs w:val="22"/>
        </w:rPr>
      </w:pPr>
      <w:r w:rsidRPr="00254D78">
        <w:rPr>
          <w:szCs w:val="22"/>
        </w:rPr>
        <w:t xml:space="preserve">On July 19, 2018, </w:t>
      </w:r>
      <w:r w:rsidR="00B83F1B">
        <w:rPr>
          <w:szCs w:val="22"/>
        </w:rPr>
        <w:t>Shelby</w:t>
      </w:r>
      <w:r w:rsidRPr="00254D78" w:rsidR="00B83F1B">
        <w:rPr>
          <w:szCs w:val="22"/>
        </w:rPr>
        <w:t xml:space="preserve"> </w:t>
      </w:r>
      <w:r w:rsidRPr="00254D78">
        <w:rPr>
          <w:szCs w:val="22"/>
        </w:rPr>
        <w:t>once again filed for an engineering STA</w:t>
      </w:r>
      <w:r w:rsidRPr="00254D78" w:rsidR="00E6399C">
        <w:rPr>
          <w:szCs w:val="22"/>
        </w:rPr>
        <w:t xml:space="preserve"> (Dismissed STA</w:t>
      </w:r>
      <w:r w:rsidRPr="00254D78" w:rsidR="00B129B9">
        <w:rPr>
          <w:szCs w:val="22"/>
        </w:rPr>
        <w:t xml:space="preserve"> Application</w:t>
      </w:r>
      <w:r w:rsidRPr="00254D78" w:rsidR="00061906">
        <w:rPr>
          <w:szCs w:val="22"/>
        </w:rPr>
        <w:t>)</w:t>
      </w:r>
      <w:r w:rsidRPr="00254D78">
        <w:rPr>
          <w:szCs w:val="22"/>
        </w:rPr>
        <w:t xml:space="preserve"> to operate the Station from </w:t>
      </w:r>
      <w:r w:rsidR="0084439E">
        <w:rPr>
          <w:szCs w:val="22"/>
        </w:rPr>
        <w:t xml:space="preserve">its </w:t>
      </w:r>
      <w:r w:rsidRPr="00254D78">
        <w:rPr>
          <w:szCs w:val="22"/>
        </w:rPr>
        <w:t xml:space="preserve">licensed site with </w:t>
      </w:r>
      <w:r w:rsidR="0084439E">
        <w:rPr>
          <w:szCs w:val="22"/>
        </w:rPr>
        <w:t>a lower</w:t>
      </w:r>
      <w:r w:rsidRPr="00254D78" w:rsidR="0084439E">
        <w:rPr>
          <w:szCs w:val="22"/>
        </w:rPr>
        <w:t xml:space="preserve"> </w:t>
      </w:r>
      <w:r w:rsidRPr="00254D78">
        <w:rPr>
          <w:szCs w:val="22"/>
        </w:rPr>
        <w:t>antenna height and a new directional antenna pattern, but it was dismissed the same day for failure to state a reason for the request.</w:t>
      </w:r>
      <w:r>
        <w:rPr>
          <w:rStyle w:val="FootnoteReference"/>
          <w:szCs w:val="22"/>
        </w:rPr>
        <w:footnoteReference w:id="23"/>
      </w:r>
      <w:r w:rsidRPr="00254D78">
        <w:rPr>
          <w:szCs w:val="22"/>
        </w:rPr>
        <w:t xml:space="preserve">  On July 23, 2018, </w:t>
      </w:r>
      <w:r w:rsidR="00B83F1B">
        <w:rPr>
          <w:szCs w:val="22"/>
        </w:rPr>
        <w:t>Shelby</w:t>
      </w:r>
      <w:r w:rsidRPr="00254D78" w:rsidR="00B83F1B">
        <w:rPr>
          <w:szCs w:val="22"/>
        </w:rPr>
        <w:t xml:space="preserve"> </w:t>
      </w:r>
      <w:r w:rsidRPr="00254D78">
        <w:rPr>
          <w:szCs w:val="22"/>
        </w:rPr>
        <w:t xml:space="preserve">filed </w:t>
      </w:r>
      <w:r w:rsidR="00E94356">
        <w:rPr>
          <w:szCs w:val="22"/>
        </w:rPr>
        <w:t xml:space="preserve">the </w:t>
      </w:r>
      <w:r w:rsidRPr="00254D78" w:rsidR="00F44C28">
        <w:rPr>
          <w:szCs w:val="22"/>
        </w:rPr>
        <w:t>2018 STA Application</w:t>
      </w:r>
      <w:r w:rsidRPr="00254D78">
        <w:rPr>
          <w:szCs w:val="22"/>
        </w:rPr>
        <w:t xml:space="preserve">, </w:t>
      </w:r>
      <w:r w:rsidR="000D5B43">
        <w:rPr>
          <w:szCs w:val="22"/>
        </w:rPr>
        <w:t xml:space="preserve">which </w:t>
      </w:r>
      <w:r w:rsidR="0084439E">
        <w:rPr>
          <w:szCs w:val="22"/>
        </w:rPr>
        <w:t>provided the same justification for STA as the 2015 STA—that the Station’s cable was severed.</w:t>
      </w:r>
      <w:r w:rsidR="000D5B43">
        <w:rPr>
          <w:szCs w:val="22"/>
        </w:rPr>
        <w:t xml:space="preserve"> </w:t>
      </w:r>
      <w:r w:rsidRPr="00254D78">
        <w:rPr>
          <w:szCs w:val="22"/>
        </w:rPr>
        <w:t xml:space="preserve">Marble City promptly filed an Informal Objection against </w:t>
      </w:r>
      <w:r w:rsidR="0084439E">
        <w:rPr>
          <w:szCs w:val="22"/>
        </w:rPr>
        <w:t xml:space="preserve">the 2018 STA Application </w:t>
      </w:r>
      <w:r w:rsidRPr="00254D78">
        <w:rPr>
          <w:szCs w:val="22"/>
        </w:rPr>
        <w:t>on July 24, 2018.</w:t>
      </w:r>
      <w:r>
        <w:rPr>
          <w:rStyle w:val="FootnoteReference"/>
          <w:szCs w:val="22"/>
        </w:rPr>
        <w:footnoteReference w:id="24"/>
      </w:r>
      <w:r w:rsidRPr="00254D78">
        <w:rPr>
          <w:szCs w:val="22"/>
        </w:rPr>
        <w:t xml:space="preserve">  Marble City objected to </w:t>
      </w:r>
      <w:r w:rsidR="00B83F1B">
        <w:rPr>
          <w:szCs w:val="22"/>
        </w:rPr>
        <w:t>Shelby’s</w:t>
      </w:r>
      <w:r w:rsidRPr="00254D78" w:rsidR="00B83F1B">
        <w:rPr>
          <w:szCs w:val="22"/>
        </w:rPr>
        <w:t xml:space="preserve"> </w:t>
      </w:r>
      <w:r w:rsidRPr="00254D78">
        <w:rPr>
          <w:szCs w:val="22"/>
        </w:rPr>
        <w:t>reliance on the same explanation put forth in the 2015 STA</w:t>
      </w:r>
      <w:r w:rsidR="003B7B15">
        <w:rPr>
          <w:szCs w:val="22"/>
        </w:rPr>
        <w:t xml:space="preserve"> Application</w:t>
      </w:r>
      <w:r w:rsidRPr="00254D78">
        <w:rPr>
          <w:szCs w:val="22"/>
        </w:rPr>
        <w:t>, and argued that since the Station has been operating with unauthorized facilities at the authorized location since</w:t>
      </w:r>
      <w:r w:rsidR="00B83F1B">
        <w:rPr>
          <w:szCs w:val="22"/>
        </w:rPr>
        <w:t xml:space="preserve"> November 19, 2016, when</w:t>
      </w:r>
      <w:r w:rsidRPr="00254D78">
        <w:rPr>
          <w:szCs w:val="22"/>
        </w:rPr>
        <w:t xml:space="preserve"> the </w:t>
      </w:r>
      <w:r w:rsidR="00B83F1B">
        <w:rPr>
          <w:szCs w:val="22"/>
        </w:rPr>
        <w:t xml:space="preserve">2015 </w:t>
      </w:r>
      <w:r w:rsidRPr="00254D78">
        <w:rPr>
          <w:szCs w:val="22"/>
        </w:rPr>
        <w:t xml:space="preserve">STA Extension expired, </w:t>
      </w:r>
      <w:r w:rsidR="00B83F1B">
        <w:rPr>
          <w:szCs w:val="22"/>
        </w:rPr>
        <w:t>the Station’s</w:t>
      </w:r>
      <w:r w:rsidRPr="00254D78" w:rsidR="00B83F1B">
        <w:rPr>
          <w:szCs w:val="22"/>
        </w:rPr>
        <w:t xml:space="preserve"> </w:t>
      </w:r>
      <w:r w:rsidRPr="00254D78">
        <w:rPr>
          <w:szCs w:val="22"/>
        </w:rPr>
        <w:t>license is expired under section 312(g).</w:t>
      </w:r>
      <w:r>
        <w:rPr>
          <w:rStyle w:val="FootnoteReference"/>
          <w:szCs w:val="22"/>
        </w:rPr>
        <w:footnoteReference w:id="25"/>
      </w:r>
      <w:r w:rsidRPr="00254D78">
        <w:rPr>
          <w:szCs w:val="22"/>
        </w:rPr>
        <w:t xml:space="preserve">  </w:t>
      </w:r>
      <w:r w:rsidRPr="00254D78">
        <w:rPr>
          <w:szCs w:val="22"/>
        </w:rPr>
        <w:t xml:space="preserve"> </w:t>
      </w:r>
    </w:p>
    <w:p w:rsidR="00496C0C" w:rsidRPr="00254D78" w:rsidP="00D90FA7" w14:paraId="3D7D8029" w14:textId="4EF5CAAA">
      <w:pPr>
        <w:pStyle w:val="ParaNum"/>
        <w:spacing w:after="120"/>
        <w:jc w:val="left"/>
        <w:rPr>
          <w:szCs w:val="22"/>
        </w:rPr>
      </w:pPr>
      <w:r>
        <w:rPr>
          <w:i/>
          <w:iCs/>
          <w:szCs w:val="22"/>
        </w:rPr>
        <w:t xml:space="preserve">License </w:t>
      </w:r>
      <w:r w:rsidRPr="007C17D9">
        <w:rPr>
          <w:i/>
          <w:iCs/>
          <w:szCs w:val="22"/>
        </w:rPr>
        <w:t>Application</w:t>
      </w:r>
      <w:r>
        <w:rPr>
          <w:szCs w:val="22"/>
        </w:rPr>
        <w:t xml:space="preserve">.  </w:t>
      </w:r>
      <w:r w:rsidRPr="007C17D9" w:rsidR="00332F8A">
        <w:rPr>
          <w:szCs w:val="22"/>
        </w:rPr>
        <w:t>On</w:t>
      </w:r>
      <w:r w:rsidRPr="00254D78" w:rsidR="00332F8A">
        <w:rPr>
          <w:szCs w:val="22"/>
        </w:rPr>
        <w:t xml:space="preserve"> October 17, 2018, </w:t>
      </w:r>
      <w:r w:rsidR="00514F4D">
        <w:rPr>
          <w:szCs w:val="22"/>
        </w:rPr>
        <w:t>Shelby</w:t>
      </w:r>
      <w:r w:rsidRPr="00254D78" w:rsidR="00514F4D">
        <w:rPr>
          <w:szCs w:val="22"/>
        </w:rPr>
        <w:t xml:space="preserve"> </w:t>
      </w:r>
      <w:r w:rsidRPr="00254D78" w:rsidR="00332F8A">
        <w:rPr>
          <w:szCs w:val="22"/>
        </w:rPr>
        <w:t xml:space="preserve">filed </w:t>
      </w:r>
      <w:r w:rsidR="00DD486C">
        <w:rPr>
          <w:szCs w:val="22"/>
        </w:rPr>
        <w:t>the 2018 License Application</w:t>
      </w:r>
      <w:r w:rsidR="00C51459">
        <w:rPr>
          <w:szCs w:val="22"/>
        </w:rPr>
        <w:t xml:space="preserve"> </w:t>
      </w:r>
      <w:r w:rsidRPr="00254D78" w:rsidR="00332F8A">
        <w:rPr>
          <w:szCs w:val="22"/>
        </w:rPr>
        <w:t xml:space="preserve">to cover the Modification Application.  On October 19, 2018, Marble City filed an informal objection, </w:t>
      </w:r>
      <w:r w:rsidR="00287FD2">
        <w:rPr>
          <w:szCs w:val="22"/>
        </w:rPr>
        <w:t>stating that Shelby was not operating the Station</w:t>
      </w:r>
      <w:r w:rsidR="001C0CFF">
        <w:rPr>
          <w:szCs w:val="22"/>
        </w:rPr>
        <w:t xml:space="preserve"> with the authorized </w:t>
      </w:r>
      <w:r w:rsidR="00D26DB3">
        <w:rPr>
          <w:szCs w:val="22"/>
        </w:rPr>
        <w:t>antenna</w:t>
      </w:r>
      <w:r w:rsidR="009402C3">
        <w:rPr>
          <w:szCs w:val="22"/>
        </w:rPr>
        <w:t xml:space="preserve"> height, power, or </w:t>
      </w:r>
      <w:r w:rsidR="00A96274">
        <w:rPr>
          <w:szCs w:val="22"/>
        </w:rPr>
        <w:t>orientation</w:t>
      </w:r>
      <w:r w:rsidRPr="00254D78" w:rsidR="00332F8A">
        <w:rPr>
          <w:szCs w:val="22"/>
        </w:rPr>
        <w:t xml:space="preserve">, and </w:t>
      </w:r>
      <w:r w:rsidR="009A7A92">
        <w:rPr>
          <w:szCs w:val="22"/>
        </w:rPr>
        <w:t>asserting</w:t>
      </w:r>
      <w:r w:rsidRPr="00254D78" w:rsidR="00332F8A">
        <w:rPr>
          <w:szCs w:val="22"/>
        </w:rPr>
        <w:t xml:space="preserve"> that there is no license to modify because it expired under section 312(g)</w:t>
      </w:r>
      <w:r w:rsidR="009A5EB0">
        <w:rPr>
          <w:szCs w:val="22"/>
        </w:rPr>
        <w:t xml:space="preserve"> after </w:t>
      </w:r>
      <w:r w:rsidR="00A96274">
        <w:rPr>
          <w:szCs w:val="22"/>
        </w:rPr>
        <w:t xml:space="preserve">more </w:t>
      </w:r>
      <w:r w:rsidR="003B4300">
        <w:rPr>
          <w:szCs w:val="22"/>
        </w:rPr>
        <w:t xml:space="preserve">than </w:t>
      </w:r>
      <w:r w:rsidR="009A5EB0">
        <w:rPr>
          <w:szCs w:val="22"/>
        </w:rPr>
        <w:t>one year of unauthorized operation</w:t>
      </w:r>
      <w:r w:rsidRPr="00254D78" w:rsidR="00332F8A">
        <w:rPr>
          <w:szCs w:val="22"/>
        </w:rPr>
        <w:t>.</w:t>
      </w:r>
      <w:r>
        <w:rPr>
          <w:rStyle w:val="FootnoteReference"/>
          <w:szCs w:val="22"/>
        </w:rPr>
        <w:footnoteReference w:id="26"/>
      </w:r>
    </w:p>
    <w:p w:rsidR="004751EA" w:rsidRPr="00254D78" w:rsidP="00D90FA7" w14:paraId="40DC1AEF" w14:textId="313E5267">
      <w:pPr>
        <w:pStyle w:val="ParaNum"/>
        <w:spacing w:after="120"/>
        <w:jc w:val="left"/>
        <w:rPr>
          <w:szCs w:val="22"/>
        </w:rPr>
      </w:pPr>
      <w:r>
        <w:rPr>
          <w:szCs w:val="22"/>
        </w:rPr>
        <w:t xml:space="preserve">  </w:t>
      </w:r>
      <w:r>
        <w:rPr>
          <w:i/>
          <w:iCs/>
          <w:szCs w:val="22"/>
        </w:rPr>
        <w:t xml:space="preserve">Renewal Application.  </w:t>
      </w:r>
      <w:r w:rsidRPr="00254D78">
        <w:rPr>
          <w:szCs w:val="22"/>
        </w:rPr>
        <w:t xml:space="preserve">In </w:t>
      </w:r>
      <w:r w:rsidRPr="00254D78" w:rsidR="00D01FB6">
        <w:rPr>
          <w:szCs w:val="22"/>
        </w:rPr>
        <w:t>the</w:t>
      </w:r>
      <w:r w:rsidRPr="00254D78">
        <w:rPr>
          <w:szCs w:val="22"/>
        </w:rPr>
        <w:t xml:space="preserve"> </w:t>
      </w:r>
      <w:r w:rsidR="008D4288">
        <w:rPr>
          <w:szCs w:val="22"/>
        </w:rPr>
        <w:t>Renewal Petition</w:t>
      </w:r>
      <w:r w:rsidRPr="00254D78">
        <w:rPr>
          <w:szCs w:val="22"/>
        </w:rPr>
        <w:t xml:space="preserve">, Marble City requests reconsideration of the Bureau’s grant of the Station’s </w:t>
      </w:r>
      <w:r w:rsidR="00F72AEA">
        <w:rPr>
          <w:szCs w:val="22"/>
        </w:rPr>
        <w:t>R</w:t>
      </w:r>
      <w:r w:rsidRPr="00254D78">
        <w:rPr>
          <w:szCs w:val="22"/>
        </w:rPr>
        <w:t xml:space="preserve">enewal </w:t>
      </w:r>
      <w:r w:rsidR="00F72AEA">
        <w:rPr>
          <w:szCs w:val="22"/>
        </w:rPr>
        <w:t>A</w:t>
      </w:r>
      <w:r w:rsidRPr="00254D78">
        <w:rPr>
          <w:szCs w:val="22"/>
        </w:rPr>
        <w:t xml:space="preserve">pplication.  Marble City incorporates by reference its history of pleadings filed from 2017 to the present </w:t>
      </w:r>
      <w:r w:rsidRPr="00254D78" w:rsidR="00EA357A">
        <w:rPr>
          <w:szCs w:val="22"/>
        </w:rPr>
        <w:t>and reiterates allegations regarding</w:t>
      </w:r>
      <w:r w:rsidRPr="00254D78">
        <w:rPr>
          <w:szCs w:val="22"/>
        </w:rPr>
        <w:t xml:space="preserve"> the status of </w:t>
      </w:r>
      <w:r w:rsidR="00514F4D">
        <w:rPr>
          <w:szCs w:val="22"/>
        </w:rPr>
        <w:t>Shelby’s</w:t>
      </w:r>
      <w:r w:rsidRPr="00254D78" w:rsidR="00514F4D">
        <w:rPr>
          <w:szCs w:val="22"/>
        </w:rPr>
        <w:t xml:space="preserve"> </w:t>
      </w:r>
      <w:r w:rsidRPr="00254D78">
        <w:rPr>
          <w:szCs w:val="22"/>
        </w:rPr>
        <w:t>license</w:t>
      </w:r>
      <w:r w:rsidRPr="00254D78" w:rsidR="003C345E">
        <w:rPr>
          <w:szCs w:val="22"/>
        </w:rPr>
        <w:t xml:space="preserve"> and </w:t>
      </w:r>
      <w:r w:rsidR="00514F4D">
        <w:rPr>
          <w:szCs w:val="22"/>
        </w:rPr>
        <w:t>Shelby’s</w:t>
      </w:r>
      <w:r w:rsidRPr="00254D78" w:rsidR="00514F4D">
        <w:rPr>
          <w:szCs w:val="22"/>
        </w:rPr>
        <w:t xml:space="preserve"> </w:t>
      </w:r>
      <w:r w:rsidRPr="00254D78" w:rsidR="003C345E">
        <w:rPr>
          <w:szCs w:val="22"/>
        </w:rPr>
        <w:t>character qualifications</w:t>
      </w:r>
      <w:r w:rsidRPr="00254D78">
        <w:rPr>
          <w:szCs w:val="22"/>
        </w:rPr>
        <w:t>.</w:t>
      </w:r>
      <w:r>
        <w:rPr>
          <w:rStyle w:val="FootnoteReference"/>
          <w:szCs w:val="22"/>
        </w:rPr>
        <w:footnoteReference w:id="27"/>
      </w:r>
      <w:r w:rsidRPr="00254D78">
        <w:rPr>
          <w:szCs w:val="22"/>
        </w:rPr>
        <w:t xml:space="preserve">  </w:t>
      </w:r>
      <w:r w:rsidR="00C7609A">
        <w:rPr>
          <w:szCs w:val="22"/>
        </w:rPr>
        <w:t xml:space="preserve">Specifically, </w:t>
      </w:r>
      <w:r w:rsidRPr="00254D78">
        <w:rPr>
          <w:szCs w:val="22"/>
        </w:rPr>
        <w:t xml:space="preserve">Marble City alleges that:  1) </w:t>
      </w:r>
      <w:r w:rsidR="00511920">
        <w:rPr>
          <w:szCs w:val="22"/>
        </w:rPr>
        <w:t>Shelby</w:t>
      </w:r>
      <w:r w:rsidRPr="00254D78" w:rsidR="00511920">
        <w:rPr>
          <w:szCs w:val="22"/>
        </w:rPr>
        <w:t xml:space="preserve"> </w:t>
      </w:r>
      <w:r w:rsidRPr="00254D78" w:rsidR="008F5E7C">
        <w:rPr>
          <w:szCs w:val="22"/>
        </w:rPr>
        <w:t xml:space="preserve">lacks a license </w:t>
      </w:r>
      <w:r w:rsidRPr="00254D78" w:rsidR="008F5E7C">
        <w:rPr>
          <w:szCs w:val="22"/>
        </w:rPr>
        <w:t>to operate the Station because the</w:t>
      </w:r>
      <w:r w:rsidRPr="00254D78">
        <w:rPr>
          <w:szCs w:val="22"/>
        </w:rPr>
        <w:t xml:space="preserve"> STA Extension expired on November 1</w:t>
      </w:r>
      <w:r w:rsidR="008624EA">
        <w:rPr>
          <w:szCs w:val="22"/>
        </w:rPr>
        <w:t>9</w:t>
      </w:r>
      <w:r w:rsidRPr="00254D78">
        <w:rPr>
          <w:szCs w:val="22"/>
        </w:rPr>
        <w:t>, 2016</w:t>
      </w:r>
      <w:r w:rsidR="00056191">
        <w:rPr>
          <w:szCs w:val="22"/>
        </w:rPr>
        <w:t>,</w:t>
      </w:r>
      <w:r w:rsidRPr="00254D78">
        <w:rPr>
          <w:szCs w:val="22"/>
        </w:rPr>
        <w:t xml:space="preserve"> and </w:t>
      </w:r>
      <w:r w:rsidR="00511920">
        <w:rPr>
          <w:szCs w:val="22"/>
        </w:rPr>
        <w:t>Shelby</w:t>
      </w:r>
      <w:r w:rsidRPr="00254D78" w:rsidR="00511920">
        <w:rPr>
          <w:szCs w:val="22"/>
        </w:rPr>
        <w:t xml:space="preserve"> </w:t>
      </w:r>
      <w:r w:rsidRPr="00254D78">
        <w:rPr>
          <w:szCs w:val="22"/>
        </w:rPr>
        <w:t xml:space="preserve">took no further action, </w:t>
      </w:r>
      <w:r w:rsidR="00403E3C">
        <w:rPr>
          <w:szCs w:val="22"/>
        </w:rPr>
        <w:t xml:space="preserve">which meant that </w:t>
      </w:r>
      <w:r w:rsidRPr="00254D78">
        <w:rPr>
          <w:szCs w:val="22"/>
        </w:rPr>
        <w:t>the Station operated at variance from the specifications in its license</w:t>
      </w:r>
      <w:r w:rsidR="00403E3C">
        <w:rPr>
          <w:szCs w:val="22"/>
        </w:rPr>
        <w:t xml:space="preserve"> for more than a year, triggering</w:t>
      </w:r>
      <w:r w:rsidRPr="00254D78" w:rsidR="00187B48">
        <w:rPr>
          <w:szCs w:val="22"/>
        </w:rPr>
        <w:t xml:space="preserve"> license </w:t>
      </w:r>
      <w:r w:rsidR="004765E1">
        <w:rPr>
          <w:szCs w:val="22"/>
        </w:rPr>
        <w:t>expiration</w:t>
      </w:r>
      <w:r w:rsidRPr="00254D78" w:rsidR="004765E1">
        <w:rPr>
          <w:szCs w:val="22"/>
        </w:rPr>
        <w:t xml:space="preserve"> </w:t>
      </w:r>
      <w:r w:rsidRPr="00254D78" w:rsidR="00187B48">
        <w:rPr>
          <w:szCs w:val="22"/>
        </w:rPr>
        <w:t>under section 312(g)</w:t>
      </w:r>
      <w:r w:rsidR="00403E3C">
        <w:rPr>
          <w:szCs w:val="22"/>
        </w:rPr>
        <w:t xml:space="preserve"> of the Act</w:t>
      </w:r>
      <w:r w:rsidRPr="00254D78">
        <w:rPr>
          <w:szCs w:val="22"/>
        </w:rPr>
        <w:t>;</w:t>
      </w:r>
      <w:r>
        <w:rPr>
          <w:rStyle w:val="FootnoteReference"/>
          <w:szCs w:val="22"/>
        </w:rPr>
        <w:footnoteReference w:id="28"/>
      </w:r>
      <w:r w:rsidRPr="00254D78">
        <w:rPr>
          <w:szCs w:val="22"/>
        </w:rPr>
        <w:t xml:space="preserve"> 2) in response to Marble City’s 2018 </w:t>
      </w:r>
      <w:r w:rsidR="008E5ACB">
        <w:rPr>
          <w:szCs w:val="22"/>
        </w:rPr>
        <w:t>Complaint</w:t>
      </w:r>
      <w:r w:rsidRPr="00254D78">
        <w:rPr>
          <w:szCs w:val="22"/>
        </w:rPr>
        <w:t xml:space="preserve">, </w:t>
      </w:r>
      <w:r w:rsidR="00511920">
        <w:rPr>
          <w:szCs w:val="22"/>
        </w:rPr>
        <w:t>Shelby</w:t>
      </w:r>
      <w:r w:rsidRPr="00254D78" w:rsidR="00511920">
        <w:rPr>
          <w:szCs w:val="22"/>
        </w:rPr>
        <w:t xml:space="preserve"> </w:t>
      </w:r>
      <w:r w:rsidRPr="00254D78">
        <w:rPr>
          <w:szCs w:val="22"/>
        </w:rPr>
        <w:t>admit</w:t>
      </w:r>
      <w:r w:rsidRPr="00254D78" w:rsidR="002B649A">
        <w:rPr>
          <w:szCs w:val="22"/>
        </w:rPr>
        <w:t>ted</w:t>
      </w:r>
      <w:r w:rsidRPr="00254D78">
        <w:rPr>
          <w:szCs w:val="22"/>
        </w:rPr>
        <w:t xml:space="preserve"> that the </w:t>
      </w:r>
      <w:r w:rsidRPr="00254D78" w:rsidR="00E83458">
        <w:rPr>
          <w:szCs w:val="22"/>
        </w:rPr>
        <w:t>S</w:t>
      </w:r>
      <w:r w:rsidRPr="00254D78">
        <w:rPr>
          <w:szCs w:val="22"/>
        </w:rPr>
        <w:t>tation operated at parameters at variance from its license</w:t>
      </w:r>
      <w:r w:rsidRPr="00254D78" w:rsidR="002B649A">
        <w:rPr>
          <w:szCs w:val="22"/>
        </w:rPr>
        <w:t xml:space="preserve"> for </w:t>
      </w:r>
      <w:r w:rsidR="00403E3C">
        <w:rPr>
          <w:szCs w:val="22"/>
        </w:rPr>
        <w:t xml:space="preserve">more than </w:t>
      </w:r>
      <w:r w:rsidRPr="00254D78" w:rsidR="002B649A">
        <w:rPr>
          <w:szCs w:val="22"/>
        </w:rPr>
        <w:t>one year</w:t>
      </w:r>
      <w:r w:rsidRPr="00254D78">
        <w:rPr>
          <w:szCs w:val="22"/>
        </w:rPr>
        <w:t>;</w:t>
      </w:r>
      <w:r>
        <w:rPr>
          <w:rStyle w:val="FootnoteReference"/>
          <w:szCs w:val="22"/>
        </w:rPr>
        <w:footnoteReference w:id="29"/>
      </w:r>
      <w:r w:rsidRPr="00254D78" w:rsidR="00DF7BFF">
        <w:rPr>
          <w:szCs w:val="22"/>
        </w:rPr>
        <w:t xml:space="preserve"> </w:t>
      </w:r>
      <w:r w:rsidRPr="00254D78" w:rsidR="00D77B31">
        <w:rPr>
          <w:szCs w:val="22"/>
        </w:rPr>
        <w:t>and</w:t>
      </w:r>
      <w:r w:rsidRPr="00254D78">
        <w:rPr>
          <w:szCs w:val="22"/>
        </w:rPr>
        <w:t xml:space="preserve"> 3)</w:t>
      </w:r>
      <w:r w:rsidRPr="00254D78" w:rsidR="009463F4">
        <w:rPr>
          <w:szCs w:val="22"/>
        </w:rPr>
        <w:t xml:space="preserve"> </w:t>
      </w:r>
      <w:r w:rsidR="00511920">
        <w:rPr>
          <w:szCs w:val="22"/>
        </w:rPr>
        <w:t>Shelby</w:t>
      </w:r>
      <w:r w:rsidRPr="00254D78" w:rsidR="00511920">
        <w:rPr>
          <w:szCs w:val="22"/>
        </w:rPr>
        <w:t xml:space="preserve"> </w:t>
      </w:r>
      <w:r w:rsidRPr="00254D78" w:rsidR="00EC1EC6">
        <w:rPr>
          <w:szCs w:val="22"/>
        </w:rPr>
        <w:t xml:space="preserve">improperly answered character </w:t>
      </w:r>
      <w:r w:rsidR="005A706B">
        <w:rPr>
          <w:szCs w:val="22"/>
        </w:rPr>
        <w:t>certifications</w:t>
      </w:r>
      <w:r w:rsidRPr="00254D78" w:rsidR="005A706B">
        <w:rPr>
          <w:szCs w:val="22"/>
        </w:rPr>
        <w:t xml:space="preserve"> </w:t>
      </w:r>
      <w:r w:rsidRPr="00254D78" w:rsidR="00EC1EC6">
        <w:rPr>
          <w:szCs w:val="22"/>
        </w:rPr>
        <w:t>in the Renewal Application when it certified that it does not have any unresolved or adverse character issues</w:t>
      </w:r>
      <w:r w:rsidR="009210E1">
        <w:rPr>
          <w:szCs w:val="22"/>
        </w:rPr>
        <w:t xml:space="preserve">, </w:t>
      </w:r>
      <w:r w:rsidR="000809F1">
        <w:rPr>
          <w:szCs w:val="22"/>
        </w:rPr>
        <w:t>because</w:t>
      </w:r>
      <w:r w:rsidR="009210E1">
        <w:rPr>
          <w:szCs w:val="22"/>
        </w:rPr>
        <w:t xml:space="preserve"> </w:t>
      </w:r>
      <w:r w:rsidR="000809F1">
        <w:rPr>
          <w:szCs w:val="22"/>
        </w:rPr>
        <w:t xml:space="preserve">(a) </w:t>
      </w:r>
      <w:r w:rsidR="001D14BB">
        <w:rPr>
          <w:szCs w:val="22"/>
        </w:rPr>
        <w:t>Marble City’s</w:t>
      </w:r>
      <w:r w:rsidR="002C4C2A">
        <w:rPr>
          <w:szCs w:val="22"/>
        </w:rPr>
        <w:t xml:space="preserve"> prior</w:t>
      </w:r>
      <w:r w:rsidR="001D14BB">
        <w:rPr>
          <w:szCs w:val="22"/>
        </w:rPr>
        <w:t xml:space="preserve"> pl</w:t>
      </w:r>
      <w:r w:rsidR="005056B0">
        <w:rPr>
          <w:szCs w:val="22"/>
        </w:rPr>
        <w:t>eading</w:t>
      </w:r>
      <w:r w:rsidR="004477EE">
        <w:rPr>
          <w:szCs w:val="22"/>
        </w:rPr>
        <w:t>s allege a history of operating the Station without authorization</w:t>
      </w:r>
      <w:r w:rsidR="000809F1">
        <w:rPr>
          <w:szCs w:val="22"/>
        </w:rPr>
        <w:t>, (b) there were</w:t>
      </w:r>
      <w:r w:rsidR="004477EE">
        <w:rPr>
          <w:szCs w:val="22"/>
        </w:rPr>
        <w:t xml:space="preserve"> </w:t>
      </w:r>
      <w:r w:rsidR="005056B0">
        <w:rPr>
          <w:szCs w:val="22"/>
        </w:rPr>
        <w:t xml:space="preserve">instances where Shelby </w:t>
      </w:r>
      <w:r w:rsidR="000809F1">
        <w:rPr>
          <w:szCs w:val="22"/>
        </w:rPr>
        <w:t xml:space="preserve">apparently </w:t>
      </w:r>
      <w:r w:rsidR="005056B0">
        <w:rPr>
          <w:szCs w:val="22"/>
        </w:rPr>
        <w:t>submitted inaccurate information to the Bureau</w:t>
      </w:r>
      <w:r w:rsidR="00556817">
        <w:rPr>
          <w:szCs w:val="22"/>
        </w:rPr>
        <w:t xml:space="preserve"> regarding the Station’s operational status</w:t>
      </w:r>
      <w:r w:rsidR="000809F1">
        <w:rPr>
          <w:szCs w:val="22"/>
        </w:rPr>
        <w:t>,</w:t>
      </w:r>
      <w:r w:rsidR="005056B0">
        <w:rPr>
          <w:szCs w:val="22"/>
        </w:rPr>
        <w:t xml:space="preserve"> </w:t>
      </w:r>
      <w:r w:rsidR="00556817">
        <w:rPr>
          <w:szCs w:val="22"/>
        </w:rPr>
        <w:t xml:space="preserve">and </w:t>
      </w:r>
      <w:r w:rsidR="000809F1">
        <w:rPr>
          <w:szCs w:val="22"/>
        </w:rPr>
        <w:t>(c)</w:t>
      </w:r>
      <w:r w:rsidR="004477EE">
        <w:rPr>
          <w:szCs w:val="22"/>
        </w:rPr>
        <w:t xml:space="preserve"> </w:t>
      </w:r>
      <w:r w:rsidR="000809F1">
        <w:rPr>
          <w:szCs w:val="22"/>
        </w:rPr>
        <w:t>Shelby’s</w:t>
      </w:r>
      <w:r w:rsidR="00556817">
        <w:rPr>
          <w:szCs w:val="22"/>
        </w:rPr>
        <w:t xml:space="preserve"> principals </w:t>
      </w:r>
      <w:r w:rsidR="00BD458C">
        <w:rPr>
          <w:szCs w:val="22"/>
        </w:rPr>
        <w:t>were licensees of two cancelled</w:t>
      </w:r>
      <w:r w:rsidR="00556817">
        <w:rPr>
          <w:szCs w:val="22"/>
        </w:rPr>
        <w:t xml:space="preserve"> stations </w:t>
      </w:r>
      <w:r w:rsidR="000809F1">
        <w:rPr>
          <w:szCs w:val="22"/>
        </w:rPr>
        <w:t xml:space="preserve">involved in cases </w:t>
      </w:r>
      <w:r w:rsidR="00556817">
        <w:rPr>
          <w:szCs w:val="22"/>
        </w:rPr>
        <w:t xml:space="preserve">in which </w:t>
      </w:r>
      <w:r w:rsidR="000809F1">
        <w:rPr>
          <w:szCs w:val="22"/>
        </w:rPr>
        <w:t>those principals</w:t>
      </w:r>
      <w:r w:rsidR="00556817">
        <w:rPr>
          <w:szCs w:val="22"/>
        </w:rPr>
        <w:t xml:space="preserve"> were found to have </w:t>
      </w:r>
      <w:r w:rsidR="002E1236">
        <w:rPr>
          <w:szCs w:val="22"/>
        </w:rPr>
        <w:t>made false statements and operated with unauthorized facilities</w:t>
      </w:r>
      <w:r w:rsidRPr="00254D78" w:rsidR="00D77B31">
        <w:rPr>
          <w:szCs w:val="22"/>
        </w:rPr>
        <w:t>.</w:t>
      </w:r>
      <w:r>
        <w:rPr>
          <w:rStyle w:val="FootnoteReference"/>
          <w:szCs w:val="22"/>
        </w:rPr>
        <w:footnoteReference w:id="30"/>
      </w:r>
    </w:p>
    <w:p w:rsidR="00441008" w:rsidRPr="00254D78" w:rsidP="00D90FA7" w14:paraId="45390239" w14:textId="50685816">
      <w:pPr>
        <w:pStyle w:val="ParaNum"/>
        <w:spacing w:after="120"/>
        <w:jc w:val="left"/>
        <w:rPr>
          <w:szCs w:val="22"/>
        </w:rPr>
      </w:pPr>
      <w:r w:rsidRPr="00254D78">
        <w:rPr>
          <w:szCs w:val="22"/>
        </w:rPr>
        <w:t xml:space="preserve">In its </w:t>
      </w:r>
      <w:r w:rsidR="00AE5406">
        <w:rPr>
          <w:szCs w:val="22"/>
        </w:rPr>
        <w:t xml:space="preserve">Renewal </w:t>
      </w:r>
      <w:r w:rsidRPr="00254D78">
        <w:rPr>
          <w:szCs w:val="22"/>
        </w:rPr>
        <w:t>Oppositio</w:t>
      </w:r>
      <w:r w:rsidRPr="00254D78" w:rsidR="0005717C">
        <w:rPr>
          <w:szCs w:val="22"/>
        </w:rPr>
        <w:t xml:space="preserve">n, </w:t>
      </w:r>
      <w:r w:rsidR="008D4288">
        <w:rPr>
          <w:szCs w:val="22"/>
        </w:rPr>
        <w:t>Shelby</w:t>
      </w:r>
      <w:r w:rsidRPr="00254D78" w:rsidR="008D4288">
        <w:rPr>
          <w:szCs w:val="22"/>
        </w:rPr>
        <w:t xml:space="preserve"> </w:t>
      </w:r>
      <w:r w:rsidRPr="00254D78" w:rsidR="00084858">
        <w:rPr>
          <w:szCs w:val="22"/>
        </w:rPr>
        <w:t>counters that:  1)</w:t>
      </w:r>
      <w:r w:rsidRPr="00254D78" w:rsidR="00B62435">
        <w:rPr>
          <w:szCs w:val="22"/>
        </w:rPr>
        <w:t xml:space="preserve"> </w:t>
      </w:r>
      <w:r w:rsidRPr="00254D78" w:rsidR="007F13D4">
        <w:rPr>
          <w:szCs w:val="22"/>
        </w:rPr>
        <w:t xml:space="preserve">the </w:t>
      </w:r>
      <w:r w:rsidR="008D4288">
        <w:rPr>
          <w:szCs w:val="22"/>
        </w:rPr>
        <w:t xml:space="preserve">Renewal </w:t>
      </w:r>
      <w:r w:rsidRPr="00254D78" w:rsidR="0094277C">
        <w:rPr>
          <w:szCs w:val="22"/>
        </w:rPr>
        <w:t>Petition should be dismissed becaus</w:t>
      </w:r>
      <w:r w:rsidRPr="00254D78" w:rsidR="00534057">
        <w:rPr>
          <w:szCs w:val="22"/>
        </w:rPr>
        <w:t>e</w:t>
      </w:r>
      <w:r w:rsidR="00AC7171">
        <w:rPr>
          <w:szCs w:val="22"/>
        </w:rPr>
        <w:t>,</w:t>
      </w:r>
      <w:r w:rsidRPr="00254D78" w:rsidR="005D0BC3">
        <w:rPr>
          <w:szCs w:val="22"/>
        </w:rPr>
        <w:t xml:space="preserve"> in the </w:t>
      </w:r>
      <w:r w:rsidR="000809F1">
        <w:rPr>
          <w:szCs w:val="22"/>
        </w:rPr>
        <w:t>more than</w:t>
      </w:r>
      <w:r w:rsidRPr="00254D78" w:rsidR="005D0BC3">
        <w:rPr>
          <w:szCs w:val="22"/>
        </w:rPr>
        <w:t xml:space="preserve"> one hundred days </w:t>
      </w:r>
      <w:r w:rsidR="00FD6FB9">
        <w:rPr>
          <w:szCs w:val="22"/>
        </w:rPr>
        <w:t>that</w:t>
      </w:r>
      <w:r w:rsidRPr="00254D78" w:rsidR="00A231B2">
        <w:rPr>
          <w:szCs w:val="22"/>
        </w:rPr>
        <w:t xml:space="preserve"> </w:t>
      </w:r>
      <w:r w:rsidR="008D4288">
        <w:rPr>
          <w:szCs w:val="22"/>
        </w:rPr>
        <w:t>the</w:t>
      </w:r>
      <w:r w:rsidRPr="00254D78" w:rsidR="008D4288">
        <w:rPr>
          <w:szCs w:val="22"/>
        </w:rPr>
        <w:t xml:space="preserve"> </w:t>
      </w:r>
      <w:r w:rsidRPr="00254D78" w:rsidR="00A231B2">
        <w:rPr>
          <w:szCs w:val="22"/>
        </w:rPr>
        <w:t>Renewal Application was pending</w:t>
      </w:r>
      <w:r w:rsidRPr="00254D78" w:rsidR="005D0BC3">
        <w:rPr>
          <w:szCs w:val="22"/>
        </w:rPr>
        <w:t>,</w:t>
      </w:r>
      <w:r w:rsidRPr="00254D78" w:rsidR="00A231B2">
        <w:rPr>
          <w:szCs w:val="22"/>
        </w:rPr>
        <w:t xml:space="preserve"> </w:t>
      </w:r>
      <w:r w:rsidRPr="00254D78" w:rsidR="00534057">
        <w:rPr>
          <w:szCs w:val="22"/>
        </w:rPr>
        <w:t>Marble City failed to file any pleading against the Renewal Application</w:t>
      </w:r>
      <w:r w:rsidRPr="00254D78" w:rsidR="005D0BC3">
        <w:rPr>
          <w:szCs w:val="22"/>
        </w:rPr>
        <w:t xml:space="preserve"> and has not shown good cause why it was unable to participate</w:t>
      </w:r>
      <w:r w:rsidR="008D4288">
        <w:rPr>
          <w:szCs w:val="22"/>
        </w:rPr>
        <w:t xml:space="preserve"> before the application was granted</w:t>
      </w:r>
      <w:r w:rsidRPr="00254D78" w:rsidR="00B4296C">
        <w:rPr>
          <w:szCs w:val="22"/>
        </w:rPr>
        <w:t>;</w:t>
      </w:r>
      <w:r>
        <w:rPr>
          <w:rStyle w:val="FootnoteReference"/>
          <w:szCs w:val="22"/>
        </w:rPr>
        <w:footnoteReference w:id="31"/>
      </w:r>
      <w:r w:rsidRPr="00254D78" w:rsidR="00B4296C">
        <w:rPr>
          <w:szCs w:val="22"/>
        </w:rPr>
        <w:t xml:space="preserve"> </w:t>
      </w:r>
      <w:r w:rsidRPr="00254D78" w:rsidR="00865D3C">
        <w:rPr>
          <w:szCs w:val="22"/>
        </w:rPr>
        <w:t xml:space="preserve">2) </w:t>
      </w:r>
      <w:r w:rsidR="008D4288">
        <w:rPr>
          <w:szCs w:val="22"/>
        </w:rPr>
        <w:t xml:space="preserve">Shelby </w:t>
      </w:r>
      <w:r w:rsidRPr="00254D78" w:rsidR="0040539C">
        <w:rPr>
          <w:szCs w:val="22"/>
        </w:rPr>
        <w:t xml:space="preserve">incorporates by reference </w:t>
      </w:r>
      <w:r w:rsidRPr="00254D78" w:rsidR="00A034EB">
        <w:rPr>
          <w:szCs w:val="22"/>
        </w:rPr>
        <w:t xml:space="preserve">its </w:t>
      </w:r>
      <w:r w:rsidR="00C179DF">
        <w:rPr>
          <w:szCs w:val="22"/>
        </w:rPr>
        <w:t xml:space="preserve">2018 </w:t>
      </w:r>
      <w:r w:rsidR="008D4288">
        <w:rPr>
          <w:szCs w:val="22"/>
        </w:rPr>
        <w:t>Complaint</w:t>
      </w:r>
      <w:r w:rsidRPr="00254D78" w:rsidR="008D4288">
        <w:rPr>
          <w:szCs w:val="22"/>
        </w:rPr>
        <w:t xml:space="preserve"> </w:t>
      </w:r>
      <w:r w:rsidRPr="00254D78" w:rsidR="00F25355">
        <w:rPr>
          <w:szCs w:val="22"/>
        </w:rPr>
        <w:t>Opposition</w:t>
      </w:r>
      <w:r w:rsidRPr="00254D78" w:rsidR="00065E60">
        <w:rPr>
          <w:szCs w:val="22"/>
        </w:rPr>
        <w:t xml:space="preserve">, </w:t>
      </w:r>
      <w:r w:rsidRPr="00254D78" w:rsidR="007E19DE">
        <w:rPr>
          <w:szCs w:val="22"/>
        </w:rPr>
        <w:t xml:space="preserve">in which </w:t>
      </w:r>
      <w:r w:rsidR="008D4288">
        <w:rPr>
          <w:szCs w:val="22"/>
        </w:rPr>
        <w:t>Shelby</w:t>
      </w:r>
      <w:r w:rsidRPr="00254D78" w:rsidR="008D4288">
        <w:rPr>
          <w:szCs w:val="22"/>
        </w:rPr>
        <w:t xml:space="preserve"> </w:t>
      </w:r>
      <w:r w:rsidRPr="00254D78" w:rsidR="007E19DE">
        <w:rPr>
          <w:szCs w:val="22"/>
        </w:rPr>
        <w:t xml:space="preserve">maintains </w:t>
      </w:r>
      <w:r w:rsidRPr="00254D78" w:rsidR="008E2657">
        <w:rPr>
          <w:szCs w:val="22"/>
        </w:rPr>
        <w:t xml:space="preserve">that </w:t>
      </w:r>
      <w:r w:rsidRPr="00254D78" w:rsidR="00BC633F">
        <w:rPr>
          <w:szCs w:val="22"/>
        </w:rPr>
        <w:t>the Station’s</w:t>
      </w:r>
      <w:r w:rsidRPr="00254D78" w:rsidR="006C4DAE">
        <w:rPr>
          <w:szCs w:val="22"/>
        </w:rPr>
        <w:t xml:space="preserve"> unauthorized operation </w:t>
      </w:r>
      <w:r w:rsidR="008D4288">
        <w:rPr>
          <w:szCs w:val="22"/>
        </w:rPr>
        <w:t>does not result in a</w:t>
      </w:r>
      <w:r w:rsidRPr="00254D78" w:rsidR="006C4DAE">
        <w:rPr>
          <w:szCs w:val="22"/>
        </w:rPr>
        <w:t xml:space="preserve"> </w:t>
      </w:r>
      <w:r w:rsidR="00C179DF">
        <w:rPr>
          <w:szCs w:val="22"/>
        </w:rPr>
        <w:t xml:space="preserve">section </w:t>
      </w:r>
      <w:r w:rsidRPr="00254D78" w:rsidR="006C4DAE">
        <w:rPr>
          <w:szCs w:val="22"/>
        </w:rPr>
        <w:t xml:space="preserve">312(g) </w:t>
      </w:r>
      <w:r w:rsidRPr="00254D78" w:rsidR="00CB6E94">
        <w:rPr>
          <w:szCs w:val="22"/>
        </w:rPr>
        <w:t>expiration</w:t>
      </w:r>
      <w:r w:rsidRPr="00254D78" w:rsidR="000B4872">
        <w:rPr>
          <w:szCs w:val="22"/>
        </w:rPr>
        <w:t xml:space="preserve"> because</w:t>
      </w:r>
      <w:r w:rsidR="008D4288">
        <w:rPr>
          <w:szCs w:val="22"/>
        </w:rPr>
        <w:t>,</w:t>
      </w:r>
      <w:r w:rsidRPr="00254D78" w:rsidR="000B4872">
        <w:rPr>
          <w:szCs w:val="22"/>
        </w:rPr>
        <w:t xml:space="preserve"> </w:t>
      </w:r>
      <w:r w:rsidRPr="00254D78" w:rsidR="00F54053">
        <w:rPr>
          <w:szCs w:val="22"/>
        </w:rPr>
        <w:t>although</w:t>
      </w:r>
      <w:r w:rsidRPr="00254D78" w:rsidR="008E5FA4">
        <w:rPr>
          <w:szCs w:val="22"/>
        </w:rPr>
        <w:t xml:space="preserve"> the Stati</w:t>
      </w:r>
      <w:r w:rsidRPr="00254D78" w:rsidR="00F54053">
        <w:rPr>
          <w:szCs w:val="22"/>
        </w:rPr>
        <w:t>on</w:t>
      </w:r>
      <w:r w:rsidRPr="00254D78" w:rsidR="000B4872">
        <w:rPr>
          <w:szCs w:val="22"/>
        </w:rPr>
        <w:t xml:space="preserve"> </w:t>
      </w:r>
      <w:r w:rsidRPr="00254D78" w:rsidR="00673ABC">
        <w:rPr>
          <w:szCs w:val="22"/>
        </w:rPr>
        <w:t xml:space="preserve">operated </w:t>
      </w:r>
      <w:r w:rsidRPr="00254D78" w:rsidR="00D70C5B">
        <w:rPr>
          <w:szCs w:val="22"/>
        </w:rPr>
        <w:t xml:space="preserve">with a lower antenna height and higher </w:t>
      </w:r>
      <w:r w:rsidRPr="00254D78" w:rsidR="0024013A">
        <w:rPr>
          <w:szCs w:val="22"/>
        </w:rPr>
        <w:t>ERP</w:t>
      </w:r>
      <w:r w:rsidRPr="00254D78" w:rsidR="007E19DE">
        <w:rPr>
          <w:szCs w:val="22"/>
        </w:rPr>
        <w:t xml:space="preserve">, </w:t>
      </w:r>
      <w:r w:rsidRPr="00254D78" w:rsidR="00CA74E5">
        <w:rPr>
          <w:szCs w:val="22"/>
        </w:rPr>
        <w:t>the Station remained</w:t>
      </w:r>
      <w:r w:rsidRPr="00254D78" w:rsidR="00673ABC">
        <w:rPr>
          <w:szCs w:val="22"/>
        </w:rPr>
        <w:t xml:space="preserve"> </w:t>
      </w:r>
      <w:r w:rsidRPr="00254D78" w:rsidR="007937AA">
        <w:rPr>
          <w:szCs w:val="22"/>
        </w:rPr>
        <w:t>at its authorized site and was never silent</w:t>
      </w:r>
      <w:r w:rsidRPr="00254D78" w:rsidR="00065E60">
        <w:rPr>
          <w:szCs w:val="22"/>
        </w:rPr>
        <w:t>;</w:t>
      </w:r>
      <w:r>
        <w:rPr>
          <w:rStyle w:val="FootnoteReference"/>
          <w:szCs w:val="22"/>
        </w:rPr>
        <w:footnoteReference w:id="32"/>
      </w:r>
      <w:r w:rsidRPr="00254D78" w:rsidR="00065E60">
        <w:rPr>
          <w:szCs w:val="22"/>
        </w:rPr>
        <w:t xml:space="preserve"> </w:t>
      </w:r>
      <w:r w:rsidRPr="00254D78" w:rsidR="00BA51D2">
        <w:rPr>
          <w:szCs w:val="22"/>
        </w:rPr>
        <w:t xml:space="preserve">and </w:t>
      </w:r>
      <w:r w:rsidRPr="00254D78" w:rsidR="00865D3C">
        <w:rPr>
          <w:szCs w:val="22"/>
        </w:rPr>
        <w:t>3</w:t>
      </w:r>
      <w:r w:rsidRPr="00254D78" w:rsidR="00B4296C">
        <w:rPr>
          <w:szCs w:val="22"/>
        </w:rPr>
        <w:t xml:space="preserve">) </w:t>
      </w:r>
      <w:r w:rsidRPr="00254D78" w:rsidR="0037221C">
        <w:rPr>
          <w:szCs w:val="22"/>
        </w:rPr>
        <w:t xml:space="preserve">in the cases Marble City cites, </w:t>
      </w:r>
      <w:r w:rsidR="00825B95">
        <w:rPr>
          <w:szCs w:val="22"/>
        </w:rPr>
        <w:t>character issues</w:t>
      </w:r>
      <w:r w:rsidRPr="00254D78" w:rsidR="00B42F85">
        <w:rPr>
          <w:szCs w:val="22"/>
        </w:rPr>
        <w:t xml:space="preserve"> </w:t>
      </w:r>
      <w:r w:rsidRPr="00254D78" w:rsidR="00BA51D2">
        <w:rPr>
          <w:szCs w:val="22"/>
        </w:rPr>
        <w:t xml:space="preserve">were </w:t>
      </w:r>
      <w:r w:rsidRPr="00254D78" w:rsidR="00E20E5F">
        <w:rPr>
          <w:szCs w:val="22"/>
        </w:rPr>
        <w:t>not left unresolved or adversely resolved</w:t>
      </w:r>
      <w:r w:rsidRPr="00254D78" w:rsidR="0037221C">
        <w:rPr>
          <w:szCs w:val="22"/>
        </w:rPr>
        <w:t>,</w:t>
      </w:r>
      <w:r w:rsidRPr="00254D78" w:rsidR="00E20E5F">
        <w:rPr>
          <w:szCs w:val="22"/>
        </w:rPr>
        <w:t xml:space="preserve"> </w:t>
      </w:r>
      <w:r w:rsidRPr="00254D78" w:rsidR="00B30EEF">
        <w:rPr>
          <w:szCs w:val="22"/>
        </w:rPr>
        <w:t xml:space="preserve">and </w:t>
      </w:r>
      <w:r w:rsidR="00174E15">
        <w:rPr>
          <w:szCs w:val="22"/>
        </w:rPr>
        <w:t xml:space="preserve">in any event, </w:t>
      </w:r>
      <w:r w:rsidR="00C603FF">
        <w:rPr>
          <w:szCs w:val="22"/>
        </w:rPr>
        <w:t>Shelby</w:t>
      </w:r>
      <w:r w:rsidRPr="00254D78" w:rsidR="00C603FF">
        <w:rPr>
          <w:szCs w:val="22"/>
        </w:rPr>
        <w:t xml:space="preserve"> </w:t>
      </w:r>
      <w:r w:rsidRPr="00254D78" w:rsidR="00027E63">
        <w:rPr>
          <w:szCs w:val="22"/>
        </w:rPr>
        <w:t xml:space="preserve">amended the Renewal Application to include </w:t>
      </w:r>
      <w:r w:rsidRPr="00254D78" w:rsidR="00B7469E">
        <w:rPr>
          <w:szCs w:val="22"/>
        </w:rPr>
        <w:t>those</w:t>
      </w:r>
      <w:r w:rsidRPr="00254D78" w:rsidR="00027E63">
        <w:rPr>
          <w:szCs w:val="22"/>
        </w:rPr>
        <w:t xml:space="preserve"> </w:t>
      </w:r>
      <w:r w:rsidRPr="00254D78" w:rsidR="001A7269">
        <w:rPr>
          <w:szCs w:val="22"/>
        </w:rPr>
        <w:t>decisions and</w:t>
      </w:r>
      <w:r w:rsidRPr="00254D78" w:rsidR="002633DF">
        <w:rPr>
          <w:szCs w:val="22"/>
        </w:rPr>
        <w:t xml:space="preserve"> </w:t>
      </w:r>
      <w:r w:rsidRPr="00254D78" w:rsidR="00B7469E">
        <w:rPr>
          <w:szCs w:val="22"/>
        </w:rPr>
        <w:t>update</w:t>
      </w:r>
      <w:r w:rsidR="00320546">
        <w:rPr>
          <w:szCs w:val="22"/>
        </w:rPr>
        <w:t>d</w:t>
      </w:r>
      <w:r w:rsidRPr="00254D78" w:rsidR="0037221C">
        <w:rPr>
          <w:szCs w:val="22"/>
        </w:rPr>
        <w:t xml:space="preserve"> its responses in</w:t>
      </w:r>
      <w:r w:rsidRPr="00254D78" w:rsidR="00B7469E">
        <w:rPr>
          <w:szCs w:val="22"/>
        </w:rPr>
        <w:t xml:space="preserve"> the character issues section.</w:t>
      </w:r>
      <w:r>
        <w:rPr>
          <w:rStyle w:val="FootnoteReference"/>
          <w:szCs w:val="22"/>
        </w:rPr>
        <w:footnoteReference w:id="33"/>
      </w:r>
    </w:p>
    <w:p w:rsidR="00441008" w:rsidP="00D90FA7" w14:paraId="37171D7F" w14:textId="6CB4DE38">
      <w:pPr>
        <w:pStyle w:val="ParaNum"/>
        <w:spacing w:after="120"/>
        <w:jc w:val="left"/>
        <w:rPr>
          <w:szCs w:val="22"/>
        </w:rPr>
      </w:pPr>
      <w:r w:rsidRPr="00254D78">
        <w:rPr>
          <w:szCs w:val="22"/>
        </w:rPr>
        <w:t xml:space="preserve"> </w:t>
      </w:r>
      <w:r w:rsidRPr="00254D78" w:rsidR="00B862A7">
        <w:rPr>
          <w:szCs w:val="22"/>
        </w:rPr>
        <w:t xml:space="preserve">In its </w:t>
      </w:r>
      <w:r w:rsidR="00F73B72">
        <w:rPr>
          <w:szCs w:val="22"/>
        </w:rPr>
        <w:t xml:space="preserve">Renewal </w:t>
      </w:r>
      <w:r w:rsidRPr="00254D78" w:rsidR="00B862A7">
        <w:rPr>
          <w:szCs w:val="22"/>
        </w:rPr>
        <w:t>Reply</w:t>
      </w:r>
      <w:r w:rsidRPr="00254D78" w:rsidR="005F5EEB">
        <w:rPr>
          <w:szCs w:val="22"/>
        </w:rPr>
        <w:t>, Marble City</w:t>
      </w:r>
      <w:r w:rsidRPr="00254D78" w:rsidR="002822E6">
        <w:rPr>
          <w:szCs w:val="22"/>
        </w:rPr>
        <w:t xml:space="preserve"> </w:t>
      </w:r>
      <w:r w:rsidRPr="00254D78" w:rsidR="008B1F8C">
        <w:rPr>
          <w:szCs w:val="22"/>
        </w:rPr>
        <w:t>contends</w:t>
      </w:r>
      <w:r w:rsidRPr="00254D78" w:rsidR="00AD533E">
        <w:rPr>
          <w:szCs w:val="22"/>
        </w:rPr>
        <w:t xml:space="preserve"> that:  1)</w:t>
      </w:r>
      <w:r w:rsidRPr="00254D78" w:rsidR="00B53A31">
        <w:rPr>
          <w:szCs w:val="22"/>
        </w:rPr>
        <w:t xml:space="preserve"> </w:t>
      </w:r>
      <w:r w:rsidR="00C179DF">
        <w:rPr>
          <w:szCs w:val="22"/>
        </w:rPr>
        <w:t>Shelby’s</w:t>
      </w:r>
      <w:r w:rsidRPr="00254D78" w:rsidR="00C179DF">
        <w:rPr>
          <w:szCs w:val="22"/>
        </w:rPr>
        <w:t xml:space="preserve"> </w:t>
      </w:r>
      <w:r w:rsidRPr="00254D78" w:rsidR="00B53A31">
        <w:rPr>
          <w:szCs w:val="22"/>
        </w:rPr>
        <w:t xml:space="preserve">procedural </w:t>
      </w:r>
      <w:r w:rsidRPr="00254D78" w:rsidR="00B902F4">
        <w:rPr>
          <w:szCs w:val="22"/>
        </w:rPr>
        <w:t xml:space="preserve">argument to dismiss the </w:t>
      </w:r>
      <w:r w:rsidR="00C179DF">
        <w:rPr>
          <w:szCs w:val="22"/>
        </w:rPr>
        <w:t xml:space="preserve">Renewal </w:t>
      </w:r>
      <w:r w:rsidRPr="00254D78" w:rsidR="00B902F4">
        <w:rPr>
          <w:szCs w:val="22"/>
        </w:rPr>
        <w:t>Petition does not outweigh the Commission’s public interest in considering the Petition</w:t>
      </w:r>
      <w:r w:rsidR="00320546">
        <w:rPr>
          <w:szCs w:val="22"/>
        </w:rPr>
        <w:t xml:space="preserve"> for Reconsideration</w:t>
      </w:r>
      <w:r w:rsidRPr="00254D78" w:rsidR="00B902F4">
        <w:rPr>
          <w:szCs w:val="22"/>
        </w:rPr>
        <w:t xml:space="preserve"> </w:t>
      </w:r>
      <w:r w:rsidRPr="00254D78" w:rsidR="00086B84">
        <w:rPr>
          <w:szCs w:val="22"/>
        </w:rPr>
        <w:t>due to the seriousness of the allegations</w:t>
      </w:r>
      <w:r w:rsidRPr="00254D78" w:rsidR="00823E08">
        <w:rPr>
          <w:szCs w:val="22"/>
        </w:rPr>
        <w:t>;</w:t>
      </w:r>
      <w:r>
        <w:rPr>
          <w:rStyle w:val="FootnoteReference"/>
          <w:szCs w:val="22"/>
        </w:rPr>
        <w:footnoteReference w:id="34"/>
      </w:r>
      <w:r w:rsidRPr="00254D78" w:rsidR="00642EA7">
        <w:rPr>
          <w:szCs w:val="22"/>
        </w:rPr>
        <w:t xml:space="preserve"> 2) </w:t>
      </w:r>
      <w:r w:rsidR="00C179DF">
        <w:rPr>
          <w:szCs w:val="22"/>
        </w:rPr>
        <w:t>Shelby</w:t>
      </w:r>
      <w:r w:rsidRPr="00254D78" w:rsidR="00C179DF">
        <w:rPr>
          <w:szCs w:val="22"/>
        </w:rPr>
        <w:t xml:space="preserve"> </w:t>
      </w:r>
      <w:r w:rsidRPr="00254D78" w:rsidR="008801C3">
        <w:rPr>
          <w:szCs w:val="22"/>
        </w:rPr>
        <w:t>mischaracterizes prior Marble City pleadings as interference complaints when their focus was on the validity of the Station’s license</w:t>
      </w:r>
      <w:r w:rsidRPr="00254D78" w:rsidR="0097011F">
        <w:rPr>
          <w:szCs w:val="22"/>
        </w:rPr>
        <w:t>;</w:t>
      </w:r>
      <w:r>
        <w:rPr>
          <w:rStyle w:val="FootnoteReference"/>
          <w:szCs w:val="22"/>
        </w:rPr>
        <w:footnoteReference w:id="35"/>
      </w:r>
      <w:r w:rsidRPr="00254D78" w:rsidR="00CC5DFB">
        <w:rPr>
          <w:szCs w:val="22"/>
        </w:rPr>
        <w:t xml:space="preserve"> 3) </w:t>
      </w:r>
      <w:r w:rsidR="00C179DF">
        <w:rPr>
          <w:szCs w:val="22"/>
        </w:rPr>
        <w:t>Shelby</w:t>
      </w:r>
      <w:r w:rsidRPr="00254D78" w:rsidR="00C179DF">
        <w:rPr>
          <w:szCs w:val="22"/>
        </w:rPr>
        <w:t xml:space="preserve"> </w:t>
      </w:r>
      <w:r w:rsidRPr="00254D78" w:rsidR="00CC5DFB">
        <w:rPr>
          <w:szCs w:val="22"/>
        </w:rPr>
        <w:t xml:space="preserve">still has not </w:t>
      </w:r>
      <w:r w:rsidR="000809F1">
        <w:rPr>
          <w:szCs w:val="22"/>
        </w:rPr>
        <w:t>rebutted the claim involving the Station’s</w:t>
      </w:r>
      <w:r w:rsidRPr="00254D78" w:rsidR="00CC5DFB">
        <w:rPr>
          <w:szCs w:val="22"/>
        </w:rPr>
        <w:t xml:space="preserve"> unauthorized operations</w:t>
      </w:r>
      <w:r w:rsidR="000809F1">
        <w:rPr>
          <w:szCs w:val="22"/>
        </w:rPr>
        <w:t>,</w:t>
      </w:r>
      <w:r w:rsidRPr="00254D78" w:rsidR="00CC5DFB">
        <w:rPr>
          <w:szCs w:val="22"/>
        </w:rPr>
        <w:t xml:space="preserve"> which are equivalent to </w:t>
      </w:r>
      <w:r w:rsidRPr="00254D78" w:rsidR="00764080">
        <w:rPr>
          <w:szCs w:val="22"/>
        </w:rPr>
        <w:t xml:space="preserve">no operation under </w:t>
      </w:r>
      <w:r w:rsidR="00C179DF">
        <w:rPr>
          <w:szCs w:val="22"/>
        </w:rPr>
        <w:t xml:space="preserve">section </w:t>
      </w:r>
      <w:r w:rsidRPr="00254D78" w:rsidR="00764080">
        <w:rPr>
          <w:szCs w:val="22"/>
        </w:rPr>
        <w:t>312(g);</w:t>
      </w:r>
      <w:r>
        <w:rPr>
          <w:rStyle w:val="FootnoteReference"/>
          <w:szCs w:val="22"/>
        </w:rPr>
        <w:footnoteReference w:id="36"/>
      </w:r>
      <w:r w:rsidRPr="00254D78" w:rsidR="00764080">
        <w:rPr>
          <w:szCs w:val="22"/>
        </w:rPr>
        <w:t xml:space="preserve"> </w:t>
      </w:r>
      <w:r w:rsidRPr="00254D78" w:rsidR="00E63D08">
        <w:rPr>
          <w:szCs w:val="22"/>
        </w:rPr>
        <w:t xml:space="preserve">and 4) </w:t>
      </w:r>
      <w:r w:rsidR="00C179DF">
        <w:rPr>
          <w:szCs w:val="22"/>
        </w:rPr>
        <w:t>Shelby</w:t>
      </w:r>
      <w:r w:rsidRPr="00254D78" w:rsidR="00C179DF">
        <w:rPr>
          <w:szCs w:val="22"/>
        </w:rPr>
        <w:t xml:space="preserve"> </w:t>
      </w:r>
      <w:r w:rsidRPr="00254D78" w:rsidR="006B5B09">
        <w:rPr>
          <w:szCs w:val="22"/>
        </w:rPr>
        <w:t xml:space="preserve">ignores </w:t>
      </w:r>
      <w:r w:rsidRPr="00254D78" w:rsidR="00631064">
        <w:rPr>
          <w:szCs w:val="22"/>
        </w:rPr>
        <w:t xml:space="preserve">or </w:t>
      </w:r>
      <w:r w:rsidRPr="00254D78" w:rsidR="00703833">
        <w:rPr>
          <w:szCs w:val="22"/>
        </w:rPr>
        <w:t>mischaracterizes</w:t>
      </w:r>
      <w:r w:rsidRPr="00254D78" w:rsidR="00631064">
        <w:rPr>
          <w:szCs w:val="22"/>
        </w:rPr>
        <w:t xml:space="preserve"> </w:t>
      </w:r>
      <w:r w:rsidRPr="00254D78" w:rsidR="00B53170">
        <w:rPr>
          <w:szCs w:val="22"/>
        </w:rPr>
        <w:t xml:space="preserve">critical facts and Commission actions related to </w:t>
      </w:r>
      <w:r w:rsidRPr="00254D78" w:rsidR="00BD0769">
        <w:rPr>
          <w:szCs w:val="22"/>
        </w:rPr>
        <w:t xml:space="preserve">its </w:t>
      </w:r>
      <w:r w:rsidRPr="00254D78" w:rsidR="00B53170">
        <w:rPr>
          <w:szCs w:val="22"/>
        </w:rPr>
        <w:t>character qualifications.</w:t>
      </w:r>
      <w:r>
        <w:rPr>
          <w:rStyle w:val="FootnoteReference"/>
          <w:szCs w:val="22"/>
        </w:rPr>
        <w:footnoteReference w:id="37"/>
      </w:r>
    </w:p>
    <w:p w:rsidR="00EA6BC0" w:rsidRPr="00254D78" w:rsidP="00722EE5" w14:paraId="1CD630DD" w14:textId="0D9368E5">
      <w:pPr>
        <w:pStyle w:val="ParaNum"/>
        <w:widowControl/>
        <w:spacing w:after="120"/>
        <w:jc w:val="left"/>
        <w:rPr>
          <w:szCs w:val="22"/>
        </w:rPr>
      </w:pPr>
      <w:r>
        <w:rPr>
          <w:i/>
          <w:iCs/>
          <w:szCs w:val="22"/>
        </w:rPr>
        <w:t>Assignment Application</w:t>
      </w:r>
      <w:r w:rsidRPr="00EA6BC0">
        <w:rPr>
          <w:szCs w:val="22"/>
        </w:rPr>
        <w:t xml:space="preserve">.  </w:t>
      </w:r>
      <w:r w:rsidRPr="00254D78">
        <w:rPr>
          <w:iCs/>
          <w:szCs w:val="22"/>
        </w:rPr>
        <w:t xml:space="preserve">In its </w:t>
      </w:r>
      <w:r>
        <w:rPr>
          <w:iCs/>
          <w:szCs w:val="22"/>
        </w:rPr>
        <w:t xml:space="preserve">Assignment </w:t>
      </w:r>
      <w:r w:rsidRPr="00254D78">
        <w:rPr>
          <w:iCs/>
          <w:szCs w:val="22"/>
        </w:rPr>
        <w:t xml:space="preserve">Petition, </w:t>
      </w:r>
      <w:r>
        <w:rPr>
          <w:iCs/>
          <w:szCs w:val="22"/>
        </w:rPr>
        <w:t>Marble City</w:t>
      </w:r>
      <w:r w:rsidRPr="00254D78">
        <w:rPr>
          <w:iCs/>
          <w:szCs w:val="22"/>
        </w:rPr>
        <w:t xml:space="preserve"> argues that the Bureau should not act on the Assignment Application until determin</w:t>
      </w:r>
      <w:r>
        <w:rPr>
          <w:iCs/>
          <w:szCs w:val="22"/>
        </w:rPr>
        <w:t>ing</w:t>
      </w:r>
      <w:r w:rsidRPr="00254D78">
        <w:rPr>
          <w:iCs/>
          <w:szCs w:val="22"/>
        </w:rPr>
        <w:t xml:space="preserve"> whether the </w:t>
      </w:r>
      <w:r>
        <w:rPr>
          <w:iCs/>
          <w:szCs w:val="22"/>
        </w:rPr>
        <w:t>S</w:t>
      </w:r>
      <w:r w:rsidRPr="00254D78">
        <w:rPr>
          <w:iCs/>
          <w:szCs w:val="22"/>
        </w:rPr>
        <w:t>tation license is valid and assignable, and questions of character qualifications are resolved.</w:t>
      </w:r>
      <w:r>
        <w:rPr>
          <w:rStyle w:val="FootnoteReference"/>
          <w:iCs/>
          <w:szCs w:val="22"/>
        </w:rPr>
        <w:footnoteReference w:id="38"/>
      </w:r>
      <w:r w:rsidRPr="00254D78">
        <w:rPr>
          <w:iCs/>
          <w:szCs w:val="22"/>
        </w:rPr>
        <w:t xml:space="preserve"> </w:t>
      </w:r>
    </w:p>
    <w:p w:rsidR="00EA6BC0" w:rsidP="00EA6BC0" w14:paraId="601D3FA9" w14:textId="6059298F">
      <w:pPr>
        <w:pStyle w:val="ParaNum"/>
        <w:widowControl/>
        <w:spacing w:after="120"/>
        <w:jc w:val="left"/>
        <w:rPr>
          <w:szCs w:val="22"/>
        </w:rPr>
      </w:pPr>
      <w:r w:rsidRPr="00254D78">
        <w:rPr>
          <w:szCs w:val="22"/>
        </w:rPr>
        <w:t xml:space="preserve">Both </w:t>
      </w:r>
      <w:r>
        <w:rPr>
          <w:szCs w:val="22"/>
        </w:rPr>
        <w:t>Shelby</w:t>
      </w:r>
      <w:r w:rsidRPr="00254D78">
        <w:rPr>
          <w:szCs w:val="22"/>
        </w:rPr>
        <w:t xml:space="preserve"> and Rivera, the proposed assignee, filed Oppositions to the </w:t>
      </w:r>
      <w:r>
        <w:rPr>
          <w:szCs w:val="22"/>
        </w:rPr>
        <w:t xml:space="preserve">Assignment </w:t>
      </w:r>
      <w:r w:rsidRPr="00254D78">
        <w:rPr>
          <w:szCs w:val="22"/>
        </w:rPr>
        <w:t xml:space="preserve">Petition.  In </w:t>
      </w:r>
      <w:r>
        <w:rPr>
          <w:szCs w:val="22"/>
        </w:rPr>
        <w:t>its</w:t>
      </w:r>
      <w:r w:rsidRPr="00254D78">
        <w:rPr>
          <w:szCs w:val="22"/>
        </w:rPr>
        <w:t xml:space="preserve"> Opposition, </w:t>
      </w:r>
      <w:r>
        <w:rPr>
          <w:szCs w:val="22"/>
        </w:rPr>
        <w:t>Shelby</w:t>
      </w:r>
      <w:r w:rsidRPr="00254D78">
        <w:rPr>
          <w:szCs w:val="22"/>
        </w:rPr>
        <w:t xml:space="preserve"> references its responses to the license </w:t>
      </w:r>
      <w:r w:rsidR="00722EE5">
        <w:rPr>
          <w:szCs w:val="22"/>
        </w:rPr>
        <w:t xml:space="preserve">expiration </w:t>
      </w:r>
      <w:r w:rsidRPr="00254D78">
        <w:rPr>
          <w:szCs w:val="22"/>
        </w:rPr>
        <w:t xml:space="preserve">allegations in the Renewal Application proceeding, and maintains that the decisions cited by </w:t>
      </w:r>
      <w:r>
        <w:rPr>
          <w:szCs w:val="22"/>
        </w:rPr>
        <w:t>Marble City</w:t>
      </w:r>
      <w:r w:rsidRPr="00254D78">
        <w:rPr>
          <w:szCs w:val="22"/>
        </w:rPr>
        <w:t xml:space="preserve"> do not include character issues that were left unresolved or resolved adversely, and in any event</w:t>
      </w:r>
      <w:r>
        <w:rPr>
          <w:szCs w:val="22"/>
        </w:rPr>
        <w:t>,</w:t>
      </w:r>
      <w:r w:rsidRPr="00254D78">
        <w:rPr>
          <w:szCs w:val="22"/>
        </w:rPr>
        <w:t xml:space="preserve"> the </w:t>
      </w:r>
      <w:r w:rsidR="00722EE5">
        <w:rPr>
          <w:szCs w:val="22"/>
        </w:rPr>
        <w:t>Assignment A</w:t>
      </w:r>
      <w:r w:rsidRPr="00254D78">
        <w:rPr>
          <w:szCs w:val="22"/>
        </w:rPr>
        <w:t>pplication reflects updated responses to the character certifications.</w:t>
      </w:r>
      <w:r>
        <w:rPr>
          <w:rStyle w:val="FootnoteReference"/>
          <w:szCs w:val="22"/>
        </w:rPr>
        <w:footnoteReference w:id="39"/>
      </w:r>
      <w:r w:rsidRPr="00254D78">
        <w:rPr>
          <w:szCs w:val="22"/>
        </w:rPr>
        <w:t xml:space="preserve">  </w:t>
      </w:r>
    </w:p>
    <w:p w:rsidR="00EA6BC0" w:rsidRPr="001312C8" w:rsidP="00EA6BC0" w14:paraId="5D202B22" w14:textId="7092DA1D">
      <w:pPr>
        <w:pStyle w:val="ParaNum"/>
        <w:widowControl/>
        <w:spacing w:after="120"/>
        <w:jc w:val="left"/>
        <w:rPr>
          <w:szCs w:val="22"/>
        </w:rPr>
      </w:pPr>
      <w:r w:rsidRPr="00254D78">
        <w:rPr>
          <w:szCs w:val="22"/>
        </w:rPr>
        <w:t xml:space="preserve">In </w:t>
      </w:r>
      <w:r>
        <w:rPr>
          <w:szCs w:val="22"/>
        </w:rPr>
        <w:t>its</w:t>
      </w:r>
      <w:r w:rsidRPr="00254D78">
        <w:rPr>
          <w:szCs w:val="22"/>
        </w:rPr>
        <w:t xml:space="preserve"> </w:t>
      </w:r>
      <w:r>
        <w:rPr>
          <w:szCs w:val="22"/>
        </w:rPr>
        <w:t xml:space="preserve">Reply to </w:t>
      </w:r>
      <w:r w:rsidR="00A5375B">
        <w:rPr>
          <w:szCs w:val="22"/>
        </w:rPr>
        <w:t>Shelby</w:t>
      </w:r>
      <w:r w:rsidRPr="00254D78">
        <w:rPr>
          <w:szCs w:val="22"/>
        </w:rPr>
        <w:t xml:space="preserve">, </w:t>
      </w:r>
      <w:r>
        <w:rPr>
          <w:szCs w:val="22"/>
        </w:rPr>
        <w:t>Marble City</w:t>
      </w:r>
      <w:r w:rsidRPr="00254D78">
        <w:rPr>
          <w:szCs w:val="22"/>
        </w:rPr>
        <w:t xml:space="preserve"> maintains that </w:t>
      </w:r>
      <w:r>
        <w:rPr>
          <w:szCs w:val="22"/>
        </w:rPr>
        <w:t>Shelby</w:t>
      </w:r>
      <w:r w:rsidRPr="00254D78">
        <w:rPr>
          <w:szCs w:val="22"/>
        </w:rPr>
        <w:t xml:space="preserve"> does not address the substance of its </w:t>
      </w:r>
      <w:r>
        <w:rPr>
          <w:szCs w:val="22"/>
        </w:rPr>
        <w:t>Assignment Petition</w:t>
      </w:r>
      <w:r w:rsidRPr="00254D78">
        <w:rPr>
          <w:szCs w:val="22"/>
        </w:rPr>
        <w:t xml:space="preserve">, and further, grant of the </w:t>
      </w:r>
      <w:r w:rsidR="00A44DC0">
        <w:rPr>
          <w:szCs w:val="22"/>
        </w:rPr>
        <w:t>Assignment A</w:t>
      </w:r>
      <w:r w:rsidRPr="00254D78" w:rsidR="00A44DC0">
        <w:rPr>
          <w:szCs w:val="22"/>
        </w:rPr>
        <w:t xml:space="preserve">pplication </w:t>
      </w:r>
      <w:r w:rsidRPr="00254D78">
        <w:rPr>
          <w:szCs w:val="22"/>
        </w:rPr>
        <w:t>is not in the public interest and refers to its prior filings demonstrating</w:t>
      </w:r>
      <w:r>
        <w:rPr>
          <w:szCs w:val="22"/>
        </w:rPr>
        <w:t xml:space="preserve">, it claims, </w:t>
      </w:r>
      <w:r w:rsidRPr="00254D78">
        <w:rPr>
          <w:szCs w:val="22"/>
        </w:rPr>
        <w:t>that the license has expired under section 312(g) and therefore should not be assignable.</w:t>
      </w:r>
      <w:r>
        <w:rPr>
          <w:rStyle w:val="FootnoteReference"/>
          <w:szCs w:val="22"/>
        </w:rPr>
        <w:footnoteReference w:id="40"/>
      </w:r>
      <w:r w:rsidRPr="00254D78">
        <w:rPr>
          <w:szCs w:val="22"/>
        </w:rPr>
        <w:t xml:space="preserve">  </w:t>
      </w:r>
      <w:r w:rsidR="00A44DC0">
        <w:rPr>
          <w:szCs w:val="22"/>
        </w:rPr>
        <w:t>Marble City</w:t>
      </w:r>
      <w:r w:rsidRPr="00254D78" w:rsidR="00A44DC0">
        <w:rPr>
          <w:szCs w:val="22"/>
        </w:rPr>
        <w:t xml:space="preserve"> </w:t>
      </w:r>
      <w:r w:rsidRPr="00254D78">
        <w:rPr>
          <w:szCs w:val="22"/>
        </w:rPr>
        <w:t>also maintains that character qualifications were at issue in the 2017 Letters, the WZNN Letter should have been filed with the Assignment Application, and a hearing is warranted.</w:t>
      </w:r>
      <w:r>
        <w:rPr>
          <w:rStyle w:val="FootnoteReference"/>
          <w:szCs w:val="22"/>
        </w:rPr>
        <w:footnoteReference w:id="41"/>
      </w:r>
    </w:p>
    <w:p w:rsidR="00EA6BC0" w:rsidRPr="00254D78" w:rsidP="00EA6BC0" w14:paraId="3623910B" w14:textId="69FFD064">
      <w:pPr>
        <w:pStyle w:val="ParaNum"/>
        <w:widowControl/>
        <w:spacing w:after="120"/>
        <w:jc w:val="left"/>
        <w:rPr>
          <w:szCs w:val="22"/>
        </w:rPr>
      </w:pPr>
      <w:r w:rsidRPr="00254D78">
        <w:rPr>
          <w:szCs w:val="22"/>
        </w:rPr>
        <w:t xml:space="preserve">In </w:t>
      </w:r>
      <w:r>
        <w:rPr>
          <w:szCs w:val="22"/>
        </w:rPr>
        <w:t>its</w:t>
      </w:r>
      <w:r w:rsidRPr="00254D78">
        <w:rPr>
          <w:szCs w:val="22"/>
        </w:rPr>
        <w:t xml:space="preserve"> Opposition, Rivera explains that:  1) there are only three stations providing Spanish language programming in the Birmingham, Alabama market; 2) if assigned, the Station would be the only Spanish language FM station</w:t>
      </w:r>
      <w:r w:rsidR="00E355A6">
        <w:rPr>
          <w:szCs w:val="22"/>
        </w:rPr>
        <w:t xml:space="preserve">, </w:t>
      </w:r>
      <w:r w:rsidR="0082747C">
        <w:rPr>
          <w:szCs w:val="22"/>
        </w:rPr>
        <w:t>since it</w:t>
      </w:r>
      <w:r w:rsidR="0054747C">
        <w:rPr>
          <w:szCs w:val="22"/>
        </w:rPr>
        <w:t xml:space="preserve"> would rebroadcast the </w:t>
      </w:r>
      <w:r w:rsidR="0082747C">
        <w:rPr>
          <w:szCs w:val="22"/>
        </w:rPr>
        <w:t>Spanish language programming</w:t>
      </w:r>
      <w:r w:rsidR="0054747C">
        <w:rPr>
          <w:szCs w:val="22"/>
        </w:rPr>
        <w:t xml:space="preserve"> from its primary AM station</w:t>
      </w:r>
      <w:r w:rsidRPr="00254D78">
        <w:rPr>
          <w:szCs w:val="22"/>
        </w:rPr>
        <w:t>;</w:t>
      </w:r>
      <w:r>
        <w:rPr>
          <w:rStyle w:val="FootnoteReference"/>
          <w:szCs w:val="22"/>
        </w:rPr>
        <w:footnoteReference w:id="42"/>
      </w:r>
      <w:r w:rsidRPr="00254D78">
        <w:rPr>
          <w:szCs w:val="22"/>
        </w:rPr>
        <w:t xml:space="preserve"> 3) the Birmingham terrain is hilly</w:t>
      </w:r>
      <w:r w:rsidR="000809F1">
        <w:rPr>
          <w:szCs w:val="22"/>
        </w:rPr>
        <w:t>,</w:t>
      </w:r>
      <w:r w:rsidRPr="00254D78">
        <w:rPr>
          <w:szCs w:val="22"/>
        </w:rPr>
        <w:t xml:space="preserve"> so the FM translator would provide the most effective </w:t>
      </w:r>
      <w:r w:rsidR="005F1A12">
        <w:rPr>
          <w:szCs w:val="22"/>
        </w:rPr>
        <w:t xml:space="preserve">coverage </w:t>
      </w:r>
      <w:r w:rsidRPr="00254D78">
        <w:rPr>
          <w:szCs w:val="22"/>
        </w:rPr>
        <w:t>of Rivera’s three station signals to the Birmingham market;</w:t>
      </w:r>
      <w:r>
        <w:rPr>
          <w:rStyle w:val="FootnoteReference"/>
          <w:szCs w:val="22"/>
        </w:rPr>
        <w:footnoteReference w:id="43"/>
      </w:r>
      <w:r w:rsidRPr="00254D78">
        <w:rPr>
          <w:szCs w:val="22"/>
        </w:rPr>
        <w:t xml:space="preserve"> 4) the Station reduced ERP from 90 watts to 65 watts </w:t>
      </w:r>
      <w:r w:rsidR="000809F1">
        <w:rPr>
          <w:szCs w:val="22"/>
        </w:rPr>
        <w:t>in response</w:t>
      </w:r>
      <w:r w:rsidRPr="00254D78">
        <w:rPr>
          <w:szCs w:val="22"/>
        </w:rPr>
        <w:t xml:space="preserve"> to prior interference complaints from </w:t>
      </w:r>
      <w:r>
        <w:rPr>
          <w:szCs w:val="22"/>
        </w:rPr>
        <w:t>Marble City</w:t>
      </w:r>
      <w:r w:rsidRPr="00254D78">
        <w:rPr>
          <w:szCs w:val="22"/>
        </w:rPr>
        <w:t>;</w:t>
      </w:r>
      <w:r>
        <w:rPr>
          <w:rStyle w:val="FootnoteReference"/>
          <w:szCs w:val="22"/>
        </w:rPr>
        <w:footnoteReference w:id="44"/>
      </w:r>
      <w:r w:rsidRPr="00254D78">
        <w:rPr>
          <w:szCs w:val="22"/>
        </w:rPr>
        <w:t xml:space="preserve"> and 5) assignment to Rivera will help eliminate issues between </w:t>
      </w:r>
      <w:r>
        <w:rPr>
          <w:szCs w:val="22"/>
        </w:rPr>
        <w:t>Shelby</w:t>
      </w:r>
      <w:r w:rsidRPr="00254D78">
        <w:rPr>
          <w:szCs w:val="22"/>
        </w:rPr>
        <w:t xml:space="preserve"> and </w:t>
      </w:r>
      <w:r>
        <w:rPr>
          <w:szCs w:val="22"/>
        </w:rPr>
        <w:t>Marble City</w:t>
      </w:r>
      <w:r w:rsidRPr="00254D78">
        <w:rPr>
          <w:szCs w:val="22"/>
        </w:rPr>
        <w:t xml:space="preserve">, and Rivera has a history of operation without objection from the public and fully met its own obligations to </w:t>
      </w:r>
      <w:r w:rsidR="000809F1">
        <w:rPr>
          <w:szCs w:val="22"/>
        </w:rPr>
        <w:t xml:space="preserve">comply with </w:t>
      </w:r>
      <w:r w:rsidRPr="00254D78">
        <w:rPr>
          <w:szCs w:val="22"/>
        </w:rPr>
        <w:t>the Rules.</w:t>
      </w:r>
      <w:r>
        <w:rPr>
          <w:rStyle w:val="FootnoteReference"/>
          <w:szCs w:val="22"/>
        </w:rPr>
        <w:footnoteReference w:id="45"/>
      </w:r>
      <w:r w:rsidRPr="00254D78">
        <w:rPr>
          <w:szCs w:val="22"/>
        </w:rPr>
        <w:t xml:space="preserve"> </w:t>
      </w:r>
    </w:p>
    <w:p w:rsidR="00381B08" w:rsidRPr="008624EA" w:rsidP="008624EA" w14:paraId="1A6635E9" w14:textId="3D56C416">
      <w:pPr>
        <w:pStyle w:val="ParaNum"/>
        <w:widowControl/>
        <w:spacing w:after="120"/>
        <w:jc w:val="left"/>
        <w:rPr>
          <w:szCs w:val="22"/>
        </w:rPr>
      </w:pPr>
      <w:r w:rsidRPr="00254D78">
        <w:rPr>
          <w:szCs w:val="22"/>
        </w:rPr>
        <w:t xml:space="preserve">In </w:t>
      </w:r>
      <w:r>
        <w:rPr>
          <w:szCs w:val="22"/>
        </w:rPr>
        <w:t xml:space="preserve">its </w:t>
      </w:r>
      <w:r w:rsidRPr="00254D78">
        <w:rPr>
          <w:szCs w:val="22"/>
        </w:rPr>
        <w:t>Reply</w:t>
      </w:r>
      <w:r>
        <w:rPr>
          <w:szCs w:val="22"/>
        </w:rPr>
        <w:t xml:space="preserve"> to Rivera</w:t>
      </w:r>
      <w:r w:rsidRPr="00254D78">
        <w:rPr>
          <w:szCs w:val="22"/>
        </w:rPr>
        <w:t xml:space="preserve">, </w:t>
      </w:r>
      <w:r>
        <w:rPr>
          <w:szCs w:val="22"/>
        </w:rPr>
        <w:t>Marble City</w:t>
      </w:r>
      <w:r w:rsidRPr="00254D78">
        <w:rPr>
          <w:szCs w:val="22"/>
        </w:rPr>
        <w:t xml:space="preserve"> explains that it does not believe </w:t>
      </w:r>
      <w:r>
        <w:rPr>
          <w:szCs w:val="22"/>
        </w:rPr>
        <w:t>Shelby</w:t>
      </w:r>
      <w:r w:rsidRPr="00254D78">
        <w:rPr>
          <w:szCs w:val="22"/>
        </w:rPr>
        <w:t xml:space="preserve"> is operating at the STA parameters, but instead is likely operating at the parameters reflected in the </w:t>
      </w:r>
      <w:r>
        <w:rPr>
          <w:szCs w:val="22"/>
        </w:rPr>
        <w:t>Modification Application and the License Application</w:t>
      </w:r>
      <w:r w:rsidR="005F1A12">
        <w:rPr>
          <w:szCs w:val="22"/>
        </w:rPr>
        <w:t>.</w:t>
      </w:r>
      <w:r>
        <w:rPr>
          <w:rStyle w:val="FootnoteReference"/>
          <w:szCs w:val="22"/>
        </w:rPr>
        <w:footnoteReference w:id="46"/>
      </w:r>
      <w:r w:rsidRPr="00254D78">
        <w:rPr>
          <w:szCs w:val="22"/>
        </w:rPr>
        <w:t xml:space="preserve">  </w:t>
      </w:r>
      <w:r>
        <w:rPr>
          <w:szCs w:val="22"/>
        </w:rPr>
        <w:t>Marble City</w:t>
      </w:r>
      <w:r w:rsidRPr="00254D78">
        <w:rPr>
          <w:szCs w:val="22"/>
        </w:rPr>
        <w:t xml:space="preserve"> reiterates that the license expiration, not interference, is its primary objection, but </w:t>
      </w:r>
      <w:r w:rsidR="005F1A12">
        <w:rPr>
          <w:szCs w:val="22"/>
        </w:rPr>
        <w:t xml:space="preserve">it </w:t>
      </w:r>
      <w:r w:rsidRPr="00254D78">
        <w:rPr>
          <w:szCs w:val="22"/>
        </w:rPr>
        <w:t>also hired a</w:t>
      </w:r>
      <w:r>
        <w:rPr>
          <w:szCs w:val="22"/>
        </w:rPr>
        <w:t xml:space="preserve"> professional</w:t>
      </w:r>
      <w:r w:rsidRPr="00254D78">
        <w:rPr>
          <w:szCs w:val="22"/>
        </w:rPr>
        <w:t xml:space="preserve"> engineer who conclude</w:t>
      </w:r>
      <w:r>
        <w:rPr>
          <w:szCs w:val="22"/>
        </w:rPr>
        <w:t>d</w:t>
      </w:r>
      <w:r w:rsidRPr="00254D78">
        <w:rPr>
          <w:szCs w:val="22"/>
        </w:rPr>
        <w:t xml:space="preserve"> that interference is still likely to continue.</w:t>
      </w:r>
      <w:r>
        <w:rPr>
          <w:rStyle w:val="FootnoteReference"/>
          <w:szCs w:val="22"/>
        </w:rPr>
        <w:footnoteReference w:id="47"/>
      </w:r>
      <w:r w:rsidRPr="00254D78">
        <w:rPr>
          <w:szCs w:val="22"/>
        </w:rPr>
        <w:t xml:space="preserve"> </w:t>
      </w:r>
    </w:p>
    <w:p w:rsidR="00441008" w:rsidRPr="00207208" w:rsidP="00D90FA7" w14:paraId="27231A54" w14:textId="627E6C0F">
      <w:pPr>
        <w:spacing w:after="120"/>
        <w:rPr>
          <w:b/>
          <w:szCs w:val="22"/>
        </w:rPr>
      </w:pPr>
      <w:r w:rsidRPr="00254D78">
        <w:rPr>
          <w:b/>
          <w:szCs w:val="22"/>
        </w:rPr>
        <w:t>III.        DISCUSSION</w:t>
      </w:r>
    </w:p>
    <w:p w:rsidR="006B6781" w:rsidRPr="00254D78" w:rsidP="00D90FA7" w14:paraId="6644751B" w14:textId="7BA12AEE">
      <w:pPr>
        <w:pStyle w:val="Heading2"/>
        <w:spacing w:after="120"/>
        <w:jc w:val="left"/>
        <w:rPr>
          <w:szCs w:val="22"/>
        </w:rPr>
      </w:pPr>
      <w:r>
        <w:rPr>
          <w:szCs w:val="22"/>
        </w:rPr>
        <w:t>Renewal</w:t>
      </w:r>
      <w:r w:rsidRPr="00254D78">
        <w:rPr>
          <w:szCs w:val="22"/>
        </w:rPr>
        <w:t xml:space="preserve"> Application</w:t>
      </w:r>
      <w:r w:rsidRPr="00254D78" w:rsidR="00BD0D85">
        <w:rPr>
          <w:i/>
          <w:iCs/>
          <w:szCs w:val="22"/>
        </w:rPr>
        <w:t xml:space="preserve"> </w:t>
      </w:r>
    </w:p>
    <w:p w:rsidR="007E1BB7" w:rsidRPr="00C179DF" w:rsidP="00C179DF" w14:paraId="5211B6A6" w14:textId="4E50827B">
      <w:pPr>
        <w:pStyle w:val="ParaNum"/>
        <w:spacing w:after="120"/>
        <w:jc w:val="left"/>
        <w:rPr>
          <w:szCs w:val="22"/>
        </w:rPr>
      </w:pPr>
      <w:r w:rsidRPr="00C179DF">
        <w:rPr>
          <w:i/>
          <w:iCs/>
          <w:szCs w:val="22"/>
        </w:rPr>
        <w:t xml:space="preserve">Procedural </w:t>
      </w:r>
      <w:r w:rsidRPr="00C179DF" w:rsidR="00027BD7">
        <w:rPr>
          <w:i/>
          <w:iCs/>
          <w:szCs w:val="22"/>
        </w:rPr>
        <w:t>Issue.</w:t>
      </w:r>
      <w:r w:rsidRPr="00C179DF" w:rsidR="00BD0D85">
        <w:rPr>
          <w:szCs w:val="22"/>
        </w:rPr>
        <w:t xml:space="preserve">  </w:t>
      </w:r>
      <w:r w:rsidRPr="00C179DF" w:rsidR="00473124">
        <w:rPr>
          <w:szCs w:val="22"/>
        </w:rPr>
        <w:t xml:space="preserve">Section 1.106(b)(1) of the Rules provides that if </w:t>
      </w:r>
      <w:r w:rsidR="00D70827">
        <w:rPr>
          <w:szCs w:val="22"/>
        </w:rPr>
        <w:t>a</w:t>
      </w:r>
      <w:r w:rsidRPr="00C179DF" w:rsidR="00D70827">
        <w:rPr>
          <w:szCs w:val="22"/>
        </w:rPr>
        <w:t xml:space="preserve"> </w:t>
      </w:r>
      <w:r w:rsidRPr="00C179DF" w:rsidR="00473124">
        <w:rPr>
          <w:szCs w:val="22"/>
        </w:rPr>
        <w:t xml:space="preserve">petition </w:t>
      </w:r>
      <w:r w:rsidR="00D70827">
        <w:rPr>
          <w:szCs w:val="22"/>
        </w:rPr>
        <w:t xml:space="preserve">for reconsideration </w:t>
      </w:r>
      <w:r w:rsidRPr="00C179DF" w:rsidR="00473124">
        <w:rPr>
          <w:szCs w:val="22"/>
        </w:rPr>
        <w:t>is filed by a person who is not a party to the original proceeding, it must show good reason why it was not possible for petitioner to participate in the earlier stages of the proceeding.</w:t>
      </w:r>
      <w:r>
        <w:rPr>
          <w:szCs w:val="22"/>
          <w:vertAlign w:val="superscript"/>
        </w:rPr>
        <w:footnoteReference w:id="48"/>
      </w:r>
      <w:r w:rsidRPr="00C179DF" w:rsidR="00473124">
        <w:rPr>
          <w:szCs w:val="22"/>
        </w:rPr>
        <w:t xml:space="preserve">  </w:t>
      </w:r>
      <w:r w:rsidRPr="00C179DF" w:rsidR="00F87459">
        <w:rPr>
          <w:szCs w:val="22"/>
        </w:rPr>
        <w:t>Section 1.106(c)(1) of the Rules</w:t>
      </w:r>
      <w:r>
        <w:rPr>
          <w:szCs w:val="22"/>
          <w:vertAlign w:val="superscript"/>
        </w:rPr>
        <w:footnoteReference w:id="49"/>
      </w:r>
      <w:r w:rsidRPr="00C179DF" w:rsidR="00F87459">
        <w:rPr>
          <w:szCs w:val="22"/>
        </w:rPr>
        <w:t xml:space="preserve"> provides that the Bureau will only accept a petition for reconsideration relying on facts not previously presented to the Commission if:  (1) the petition relies on facts relating to </w:t>
      </w:r>
      <w:r w:rsidRPr="00C179DF" w:rsidR="00F87459">
        <w:rPr>
          <w:szCs w:val="22"/>
        </w:rPr>
        <w:t>events which have occurred, or circumstances which have changed since the last opportunity to present such matters; (2) the petition relies on facts unknown to petitioner until after his last opportunity to present such matters, which could not, through the exercise of ordinary diligence, have been learned prior to such opportunity; or (3) the designated authority determines that consideration of the facts relied on is required in the public interest.</w:t>
      </w:r>
      <w:r>
        <w:rPr>
          <w:szCs w:val="22"/>
          <w:vertAlign w:val="superscript"/>
        </w:rPr>
        <w:footnoteReference w:id="50"/>
      </w:r>
      <w:r w:rsidRPr="00C179DF" w:rsidR="003A026C">
        <w:rPr>
          <w:szCs w:val="22"/>
        </w:rPr>
        <w:t xml:space="preserve">  </w:t>
      </w:r>
    </w:p>
    <w:p w:rsidR="00BD0D85" w:rsidRPr="00254D78" w:rsidP="00D90FA7" w14:paraId="5525E799" w14:textId="5F57457C">
      <w:pPr>
        <w:pStyle w:val="ParaNum"/>
        <w:spacing w:after="120"/>
        <w:jc w:val="left"/>
        <w:rPr>
          <w:szCs w:val="22"/>
        </w:rPr>
      </w:pPr>
      <w:r>
        <w:rPr>
          <w:szCs w:val="22"/>
        </w:rPr>
        <w:t>Marble City</w:t>
      </w:r>
      <w:r w:rsidRPr="00254D78" w:rsidR="007E1BB7">
        <w:rPr>
          <w:szCs w:val="22"/>
        </w:rPr>
        <w:t xml:space="preserve"> was not a party to the original proceeding and has not </w:t>
      </w:r>
      <w:r w:rsidRPr="00254D78" w:rsidR="00EE7EF1">
        <w:rPr>
          <w:szCs w:val="22"/>
        </w:rPr>
        <w:t>demonstrated why</w:t>
      </w:r>
      <w:r w:rsidRPr="00254D78" w:rsidR="007E1BB7">
        <w:rPr>
          <w:szCs w:val="22"/>
        </w:rPr>
        <w:t xml:space="preserve"> participation in the </w:t>
      </w:r>
      <w:r w:rsidRPr="00254D78" w:rsidR="00264F6A">
        <w:rPr>
          <w:szCs w:val="22"/>
        </w:rPr>
        <w:t xml:space="preserve">earlier stages of the proceeding </w:t>
      </w:r>
      <w:r w:rsidRPr="00254D78" w:rsidR="007E1BB7">
        <w:rPr>
          <w:szCs w:val="22"/>
        </w:rPr>
        <w:t xml:space="preserve">was not possible.  </w:t>
      </w:r>
      <w:r>
        <w:rPr>
          <w:szCs w:val="22"/>
        </w:rPr>
        <w:t xml:space="preserve">Marble City </w:t>
      </w:r>
      <w:r w:rsidR="00824363">
        <w:rPr>
          <w:szCs w:val="22"/>
        </w:rPr>
        <w:t xml:space="preserve">has </w:t>
      </w:r>
      <w:r w:rsidR="003820E1">
        <w:rPr>
          <w:szCs w:val="22"/>
        </w:rPr>
        <w:t>likewise</w:t>
      </w:r>
      <w:r w:rsidR="00824363">
        <w:rPr>
          <w:szCs w:val="22"/>
        </w:rPr>
        <w:t xml:space="preserve"> not demonstrated that new information </w:t>
      </w:r>
      <w:r w:rsidR="003820E1">
        <w:rPr>
          <w:szCs w:val="22"/>
        </w:rPr>
        <w:t xml:space="preserve">or changed circumstances prevented earlier participation.  </w:t>
      </w:r>
      <w:r w:rsidR="00630611">
        <w:rPr>
          <w:szCs w:val="22"/>
        </w:rPr>
        <w:t>Shelby</w:t>
      </w:r>
      <w:r w:rsidRPr="00254D78" w:rsidR="00630611">
        <w:rPr>
          <w:szCs w:val="22"/>
        </w:rPr>
        <w:t xml:space="preserve"> </w:t>
      </w:r>
      <w:r w:rsidRPr="00254D78" w:rsidR="007E1BB7">
        <w:rPr>
          <w:szCs w:val="22"/>
        </w:rPr>
        <w:t>filed the Renewal Application on November 27, 2019, and Bureau staff granted the Renewal Application</w:t>
      </w:r>
      <w:r w:rsidRPr="00254D78" w:rsidR="00E83B24">
        <w:rPr>
          <w:szCs w:val="22"/>
        </w:rPr>
        <w:t xml:space="preserve"> </w:t>
      </w:r>
      <w:r w:rsidR="000809F1">
        <w:rPr>
          <w:szCs w:val="22"/>
        </w:rPr>
        <w:t>more than</w:t>
      </w:r>
      <w:r w:rsidRPr="00254D78" w:rsidR="00E83B24">
        <w:rPr>
          <w:szCs w:val="22"/>
        </w:rPr>
        <w:t xml:space="preserve"> one hundred days </w:t>
      </w:r>
      <w:r w:rsidRPr="00254D78" w:rsidR="00560F24">
        <w:rPr>
          <w:szCs w:val="22"/>
        </w:rPr>
        <w:t>later</w:t>
      </w:r>
      <w:r w:rsidRPr="00254D78" w:rsidR="007E1BB7">
        <w:rPr>
          <w:szCs w:val="22"/>
        </w:rPr>
        <w:t xml:space="preserve"> </w:t>
      </w:r>
      <w:r w:rsidRPr="00254D78" w:rsidR="00560F24">
        <w:rPr>
          <w:szCs w:val="22"/>
        </w:rPr>
        <w:t xml:space="preserve">on </w:t>
      </w:r>
      <w:r w:rsidRPr="00254D78" w:rsidR="007E1BB7">
        <w:rPr>
          <w:szCs w:val="22"/>
        </w:rPr>
        <w:t>March 19, 2020</w:t>
      </w:r>
      <w:r w:rsidRPr="00254D78" w:rsidR="00E83B24">
        <w:rPr>
          <w:szCs w:val="22"/>
        </w:rPr>
        <w:t xml:space="preserve">.  </w:t>
      </w:r>
      <w:r>
        <w:rPr>
          <w:szCs w:val="22"/>
        </w:rPr>
        <w:t>Marble City</w:t>
      </w:r>
      <w:r w:rsidRPr="00254D78">
        <w:rPr>
          <w:szCs w:val="22"/>
        </w:rPr>
        <w:t xml:space="preserve"> </w:t>
      </w:r>
      <w:r w:rsidRPr="00254D78" w:rsidR="007E1BB7">
        <w:rPr>
          <w:szCs w:val="22"/>
        </w:rPr>
        <w:t>had ample opportunity to object to the Renewal Application prior to grant but did not do so.</w:t>
      </w:r>
      <w:r w:rsidRPr="00254D78" w:rsidR="00647F00">
        <w:rPr>
          <w:szCs w:val="22"/>
        </w:rPr>
        <w:t xml:space="preserve"> </w:t>
      </w:r>
      <w:r w:rsidRPr="00254D78" w:rsidR="007E1BB7">
        <w:rPr>
          <w:szCs w:val="22"/>
        </w:rPr>
        <w:t xml:space="preserve"> </w:t>
      </w:r>
      <w:r w:rsidRPr="00254D78" w:rsidR="00F32830">
        <w:rPr>
          <w:szCs w:val="22"/>
        </w:rPr>
        <w:t>However,</w:t>
      </w:r>
      <w:r w:rsidRPr="00254D78" w:rsidR="00194EE1">
        <w:rPr>
          <w:szCs w:val="22"/>
        </w:rPr>
        <w:t xml:space="preserve"> we will not dismiss the </w:t>
      </w:r>
      <w:r w:rsidR="00CC101D">
        <w:rPr>
          <w:szCs w:val="22"/>
        </w:rPr>
        <w:t xml:space="preserve">Renewal </w:t>
      </w:r>
      <w:r w:rsidRPr="00254D78" w:rsidR="00CA6305">
        <w:rPr>
          <w:szCs w:val="22"/>
        </w:rPr>
        <w:t xml:space="preserve">Petition </w:t>
      </w:r>
      <w:r w:rsidRPr="00254D78" w:rsidR="00651273">
        <w:rPr>
          <w:szCs w:val="22"/>
        </w:rPr>
        <w:t xml:space="preserve">because </w:t>
      </w:r>
      <w:r w:rsidR="00C179DF">
        <w:rPr>
          <w:szCs w:val="22"/>
        </w:rPr>
        <w:t>Marble City</w:t>
      </w:r>
      <w:r w:rsidRPr="00254D78" w:rsidR="00C179DF">
        <w:rPr>
          <w:szCs w:val="22"/>
        </w:rPr>
        <w:t xml:space="preserve">’s </w:t>
      </w:r>
      <w:r w:rsidRPr="00254D78" w:rsidR="006B0B8D">
        <w:rPr>
          <w:szCs w:val="22"/>
        </w:rPr>
        <w:t xml:space="preserve">allegations </w:t>
      </w:r>
      <w:r w:rsidR="008F0003">
        <w:rPr>
          <w:szCs w:val="22"/>
        </w:rPr>
        <w:t xml:space="preserve">in this matter </w:t>
      </w:r>
      <w:r w:rsidRPr="00254D78" w:rsidR="006B0B8D">
        <w:rPr>
          <w:szCs w:val="22"/>
        </w:rPr>
        <w:t xml:space="preserve">remain unresolved in </w:t>
      </w:r>
      <w:r w:rsidR="00630611">
        <w:rPr>
          <w:szCs w:val="22"/>
        </w:rPr>
        <w:t>Shelby’s</w:t>
      </w:r>
      <w:r w:rsidRPr="00254D78" w:rsidR="00630611">
        <w:rPr>
          <w:szCs w:val="22"/>
        </w:rPr>
        <w:t xml:space="preserve"> </w:t>
      </w:r>
      <w:r w:rsidR="00B81A77">
        <w:rPr>
          <w:szCs w:val="22"/>
        </w:rPr>
        <w:t xml:space="preserve">other </w:t>
      </w:r>
      <w:r w:rsidRPr="00254D78" w:rsidR="009F0214">
        <w:rPr>
          <w:szCs w:val="22"/>
        </w:rPr>
        <w:t xml:space="preserve">pending </w:t>
      </w:r>
      <w:r w:rsidRPr="00254D78" w:rsidR="00397B3E">
        <w:rPr>
          <w:szCs w:val="22"/>
        </w:rPr>
        <w:t>applications</w:t>
      </w:r>
      <w:r w:rsidR="00C179DF">
        <w:rPr>
          <w:szCs w:val="22"/>
        </w:rPr>
        <w:t>, and the Bureau erred in granting the Renewal Application while those applications remained pending</w:t>
      </w:r>
      <w:r w:rsidRPr="00254D78" w:rsidR="009F21FB">
        <w:rPr>
          <w:szCs w:val="22"/>
        </w:rPr>
        <w:t>.</w:t>
      </w:r>
      <w:r w:rsidRPr="00254D78" w:rsidR="00397B3E">
        <w:rPr>
          <w:szCs w:val="22"/>
        </w:rPr>
        <w:t xml:space="preserve"> </w:t>
      </w:r>
      <w:r w:rsidRPr="00254D78" w:rsidR="009F21FB">
        <w:rPr>
          <w:szCs w:val="22"/>
        </w:rPr>
        <w:t xml:space="preserve"> W</w:t>
      </w:r>
      <w:r w:rsidRPr="00254D78" w:rsidR="00397B3E">
        <w:rPr>
          <w:szCs w:val="22"/>
        </w:rPr>
        <w:t>e find the public interest</w:t>
      </w:r>
      <w:r w:rsidRPr="00254D78" w:rsidR="003E2FD0">
        <w:rPr>
          <w:szCs w:val="22"/>
        </w:rPr>
        <w:t xml:space="preserve"> would be best served by </w:t>
      </w:r>
      <w:r w:rsidR="000809F1">
        <w:rPr>
          <w:szCs w:val="22"/>
        </w:rPr>
        <w:t>treating the Renewal Petition as an informal objection to the Renewal Application</w:t>
      </w:r>
      <w:r w:rsidRPr="00254D78" w:rsidR="00CF4242">
        <w:rPr>
          <w:szCs w:val="22"/>
        </w:rPr>
        <w:t>.</w:t>
      </w:r>
      <w:r>
        <w:rPr>
          <w:rStyle w:val="FootnoteReference"/>
          <w:szCs w:val="22"/>
        </w:rPr>
        <w:footnoteReference w:id="51"/>
      </w:r>
    </w:p>
    <w:p w:rsidR="00441008" w:rsidRPr="00254D78" w:rsidP="00D90FA7" w14:paraId="08B5D180" w14:textId="67777433">
      <w:pPr>
        <w:pStyle w:val="ParaNum"/>
        <w:spacing w:after="120"/>
        <w:jc w:val="left"/>
        <w:rPr>
          <w:szCs w:val="22"/>
        </w:rPr>
      </w:pPr>
      <w:r w:rsidRPr="00254D78">
        <w:rPr>
          <w:i/>
          <w:iCs/>
          <w:szCs w:val="22"/>
        </w:rPr>
        <w:t>Substantive Issues.</w:t>
      </w:r>
      <w:r w:rsidRPr="00254D78" w:rsidR="00BD0D85">
        <w:rPr>
          <w:szCs w:val="22"/>
        </w:rPr>
        <w:t xml:space="preserve">  </w:t>
      </w:r>
      <w:r w:rsidRPr="00254D78">
        <w:rPr>
          <w:szCs w:val="22"/>
        </w:rPr>
        <w:t xml:space="preserve">In evaluating an application for license renewal, the Commission’s decision is governed by </w:t>
      </w:r>
      <w:r w:rsidRPr="00254D78" w:rsidR="006B0B8D">
        <w:rPr>
          <w:szCs w:val="22"/>
        </w:rPr>
        <w:t>s</w:t>
      </w:r>
      <w:r w:rsidRPr="00254D78">
        <w:rPr>
          <w:szCs w:val="22"/>
        </w:rPr>
        <w:t>ection 309(k) of the Act.</w:t>
      </w:r>
      <w:r>
        <w:rPr>
          <w:rStyle w:val="FootnoteReference"/>
          <w:szCs w:val="22"/>
        </w:rPr>
        <w:footnoteReference w:id="52"/>
      </w:r>
      <w:r w:rsidRPr="00254D78">
        <w:rPr>
          <w:szCs w:val="22"/>
        </w:rPr>
        <w:t xml:space="preserve">  That </w:t>
      </w:r>
      <w:r w:rsidRPr="00254D78" w:rsidR="006E2FD6">
        <w:rPr>
          <w:szCs w:val="22"/>
        </w:rPr>
        <w:t>s</w:t>
      </w:r>
      <w:r w:rsidRPr="00254D78">
        <w:rPr>
          <w:szCs w:val="22"/>
        </w:rPr>
        <w:t>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53"/>
      </w:r>
      <w:r w:rsidRPr="00254D78">
        <w:rPr>
          <w:szCs w:val="22"/>
        </w:rPr>
        <w:t xml:space="preserve"> </w:t>
      </w:r>
      <w:r w:rsidRPr="00254D78">
        <w:rPr>
          <w:i/>
          <w:szCs w:val="22"/>
        </w:rPr>
        <w:t xml:space="preserve"> </w:t>
      </w:r>
      <w:r w:rsidRPr="00254D78">
        <w:rPr>
          <w:szCs w:val="22"/>
        </w:rPr>
        <w:t xml:space="preserve">If, however, the licensee fails to meet that standard, the Commission may deny the application – after notice and opportunity for a hearing under </w:t>
      </w:r>
      <w:r w:rsidRPr="00254D78" w:rsidR="004C1BBC">
        <w:rPr>
          <w:szCs w:val="22"/>
        </w:rPr>
        <w:t>s</w:t>
      </w:r>
      <w:r w:rsidRPr="00254D78">
        <w:rPr>
          <w:szCs w:val="22"/>
        </w:rPr>
        <w:t>ection 309(e) of the Act – or grant the application “on terms and conditions that are appropriate, including a renewal for a term less than the maximum otherwise permitted.”</w:t>
      </w:r>
      <w:r>
        <w:rPr>
          <w:rStyle w:val="FootnoteReference"/>
          <w:szCs w:val="22"/>
        </w:rPr>
        <w:footnoteReference w:id="54"/>
      </w:r>
    </w:p>
    <w:p w:rsidR="00441008" w:rsidRPr="00254D78" w:rsidP="00D90FA7" w14:paraId="4232CBD4" w14:textId="2EDB9BEF">
      <w:pPr>
        <w:pStyle w:val="ParaNum"/>
        <w:spacing w:after="120"/>
        <w:jc w:val="left"/>
        <w:rPr>
          <w:szCs w:val="22"/>
        </w:rPr>
      </w:pPr>
      <w:r w:rsidRPr="00254D78">
        <w:rPr>
          <w:i/>
          <w:szCs w:val="22"/>
        </w:rPr>
        <w:t xml:space="preserve"> </w:t>
      </w:r>
      <w:r w:rsidR="003A77DD">
        <w:rPr>
          <w:i/>
          <w:szCs w:val="22"/>
        </w:rPr>
        <w:t>Section 312(g) Expiration</w:t>
      </w:r>
      <w:r w:rsidR="003A77DD">
        <w:rPr>
          <w:iCs/>
          <w:szCs w:val="22"/>
        </w:rPr>
        <w:t xml:space="preserve">. </w:t>
      </w:r>
      <w:r w:rsidRPr="00254D78">
        <w:rPr>
          <w:i/>
          <w:szCs w:val="22"/>
        </w:rPr>
        <w:t xml:space="preserve"> </w:t>
      </w:r>
      <w:r w:rsidR="003314FD">
        <w:rPr>
          <w:iCs/>
          <w:szCs w:val="22"/>
        </w:rPr>
        <w:t xml:space="preserve">We reject Marble City’s claim </w:t>
      </w:r>
      <w:r w:rsidR="00890770">
        <w:rPr>
          <w:iCs/>
          <w:szCs w:val="22"/>
        </w:rPr>
        <w:t>that the Station’s unauthorized operation triggers automatic expiration</w:t>
      </w:r>
      <w:r w:rsidR="00F50009">
        <w:rPr>
          <w:iCs/>
          <w:szCs w:val="22"/>
        </w:rPr>
        <w:t xml:space="preserve"> of the Station’s license under </w:t>
      </w:r>
      <w:r w:rsidR="00DF724D">
        <w:rPr>
          <w:iCs/>
          <w:szCs w:val="22"/>
        </w:rPr>
        <w:t>s</w:t>
      </w:r>
      <w:r w:rsidR="00F50009">
        <w:rPr>
          <w:iCs/>
          <w:szCs w:val="22"/>
        </w:rPr>
        <w:t>ection 312(g) of the Act</w:t>
      </w:r>
      <w:r w:rsidR="00890770">
        <w:rPr>
          <w:iCs/>
          <w:szCs w:val="22"/>
        </w:rPr>
        <w:t xml:space="preserve">.  </w:t>
      </w:r>
      <w:r w:rsidRPr="009445C5" w:rsidR="001535BE">
        <w:t xml:space="preserve">Section 312(g) </w:t>
      </w:r>
      <w:bookmarkStart w:id="1" w:name="_Hlk120808476"/>
      <w:r w:rsidRPr="009445C5" w:rsidR="001535BE">
        <w:t>provides that if a broadcast station fails to transmit broadcast signals for any consecutive 12-month period, then the station license granted for the operation of that broadcast station expires at the end of that period</w:t>
      </w:r>
      <w:bookmarkEnd w:id="1"/>
      <w:r w:rsidRPr="009445C5" w:rsidR="001535BE">
        <w:t>, notwithstanding any provision, term, or condition of the license to the contrary, except that the Commission may extend or reinstate such station license to promote equity and fairness.</w:t>
      </w:r>
      <w:r>
        <w:rPr>
          <w:szCs w:val="22"/>
          <w:vertAlign w:val="superscript"/>
        </w:rPr>
        <w:footnoteReference w:id="55"/>
      </w:r>
      <w:r w:rsidRPr="00254D78">
        <w:rPr>
          <w:szCs w:val="22"/>
        </w:rPr>
        <w:t xml:space="preserve">  </w:t>
      </w:r>
      <w:r w:rsidRPr="009445C5" w:rsidR="00A37362">
        <w:t xml:space="preserve">The Commission has </w:t>
      </w:r>
      <w:r w:rsidR="00905FC0">
        <w:t xml:space="preserve">also </w:t>
      </w:r>
      <w:r w:rsidRPr="009445C5" w:rsidR="00A37362">
        <w:t>held that</w:t>
      </w:r>
      <w:r w:rsidR="00F50009">
        <w:t>, in cases involving operation from an unauthorized site or on an unauthorized frequency, such</w:t>
      </w:r>
      <w:r w:rsidRPr="009445C5" w:rsidR="00A37362">
        <w:t xml:space="preserve"> operation is “no better than silence” for section 312(g) purposes; therefore, consecutive periods of both silence and operation </w:t>
      </w:r>
      <w:r w:rsidR="00F50009">
        <w:t xml:space="preserve">from an unauthorized site or on an unauthorized frequency </w:t>
      </w:r>
      <w:r w:rsidRPr="009445C5" w:rsidR="00A37362">
        <w:t xml:space="preserve">are considered in the aggregate when calculating a consecutive 12-month period under the </w:t>
      </w:r>
      <w:r w:rsidRPr="009445C5" w:rsidR="00A37362">
        <w:t>Act</w:t>
      </w:r>
      <w:r w:rsidRPr="00254D78">
        <w:rPr>
          <w:szCs w:val="22"/>
        </w:rPr>
        <w:t>.</w:t>
      </w:r>
      <w:r>
        <w:rPr>
          <w:szCs w:val="22"/>
          <w:vertAlign w:val="superscript"/>
        </w:rPr>
        <w:footnoteReference w:id="56"/>
      </w:r>
      <w:r w:rsidRPr="00254D78">
        <w:rPr>
          <w:szCs w:val="22"/>
        </w:rPr>
        <w:t xml:space="preserve">  </w:t>
      </w:r>
    </w:p>
    <w:p w:rsidR="00073999" w:rsidRPr="00254D78" w:rsidP="00D90FA7" w14:paraId="4BE43A5E" w14:textId="5E910738">
      <w:pPr>
        <w:pStyle w:val="ParaNum"/>
        <w:spacing w:after="120"/>
        <w:jc w:val="left"/>
        <w:rPr>
          <w:szCs w:val="22"/>
        </w:rPr>
      </w:pPr>
      <w:r>
        <w:rPr>
          <w:szCs w:val="22"/>
        </w:rPr>
        <w:t>Marble City</w:t>
      </w:r>
      <w:r w:rsidRPr="00254D78">
        <w:rPr>
          <w:szCs w:val="22"/>
        </w:rPr>
        <w:t xml:space="preserve"> </w:t>
      </w:r>
      <w:r w:rsidRPr="00254D78" w:rsidR="00DC1EB1">
        <w:rPr>
          <w:szCs w:val="22"/>
        </w:rPr>
        <w:t xml:space="preserve">has not </w:t>
      </w:r>
      <w:r w:rsidRPr="00254D78" w:rsidR="00047FF5">
        <w:rPr>
          <w:szCs w:val="22"/>
        </w:rPr>
        <w:t>demonstrated</w:t>
      </w:r>
      <w:r w:rsidRPr="00254D78" w:rsidR="00DC1EB1">
        <w:rPr>
          <w:szCs w:val="22"/>
        </w:rPr>
        <w:t xml:space="preserve"> that the Station’s operations at the authorized location with </w:t>
      </w:r>
      <w:r w:rsidR="00B42D7F">
        <w:rPr>
          <w:szCs w:val="22"/>
        </w:rPr>
        <w:t xml:space="preserve">unauthorized parameters, </w:t>
      </w:r>
      <w:r w:rsidRPr="00537AFB" w:rsidR="00B42D7F">
        <w:rPr>
          <w:i/>
          <w:iCs/>
          <w:szCs w:val="22"/>
        </w:rPr>
        <w:t>i.e.</w:t>
      </w:r>
      <w:r w:rsidR="00F50009">
        <w:rPr>
          <w:i/>
          <w:iCs/>
          <w:szCs w:val="22"/>
        </w:rPr>
        <w:t>,</w:t>
      </w:r>
      <w:r w:rsidR="00B42D7F">
        <w:rPr>
          <w:szCs w:val="22"/>
        </w:rPr>
        <w:t xml:space="preserve"> </w:t>
      </w:r>
      <w:r w:rsidRPr="00254D78" w:rsidR="00DC1EB1">
        <w:rPr>
          <w:szCs w:val="22"/>
        </w:rPr>
        <w:t>lower antenna height and higher ERP output</w:t>
      </w:r>
      <w:r w:rsidR="00B42D7F">
        <w:rPr>
          <w:szCs w:val="22"/>
        </w:rPr>
        <w:t>,</w:t>
      </w:r>
      <w:r w:rsidRPr="00254D78" w:rsidR="00DC1EB1">
        <w:rPr>
          <w:szCs w:val="22"/>
        </w:rPr>
        <w:t xml:space="preserve"> </w:t>
      </w:r>
      <w:r w:rsidR="00482280">
        <w:rPr>
          <w:szCs w:val="22"/>
        </w:rPr>
        <w:t>triggered expiration</w:t>
      </w:r>
      <w:r w:rsidRPr="00254D78" w:rsidR="00DC1EB1">
        <w:rPr>
          <w:szCs w:val="22"/>
        </w:rPr>
        <w:t xml:space="preserve"> of the Station’s license under section 312(g).  </w:t>
      </w:r>
      <w:r w:rsidRPr="00254D78" w:rsidR="00047FF5">
        <w:rPr>
          <w:szCs w:val="22"/>
        </w:rPr>
        <w:t xml:space="preserve">Both </w:t>
      </w:r>
      <w:r>
        <w:rPr>
          <w:szCs w:val="22"/>
        </w:rPr>
        <w:t>Marble City</w:t>
      </w:r>
      <w:r w:rsidRPr="00254D78">
        <w:rPr>
          <w:szCs w:val="22"/>
        </w:rPr>
        <w:t xml:space="preserve"> </w:t>
      </w:r>
      <w:r w:rsidRPr="00254D78" w:rsidR="00047FF5">
        <w:rPr>
          <w:szCs w:val="22"/>
        </w:rPr>
        <w:t xml:space="preserve">and </w:t>
      </w:r>
      <w:r w:rsidR="00630611">
        <w:rPr>
          <w:szCs w:val="22"/>
        </w:rPr>
        <w:t>Shelby</w:t>
      </w:r>
      <w:r w:rsidRPr="00254D78" w:rsidR="00630611">
        <w:rPr>
          <w:szCs w:val="22"/>
        </w:rPr>
        <w:t xml:space="preserve"> </w:t>
      </w:r>
      <w:r w:rsidRPr="00254D78" w:rsidR="0003145E">
        <w:rPr>
          <w:szCs w:val="22"/>
        </w:rPr>
        <w:t>have</w:t>
      </w:r>
      <w:r w:rsidRPr="00254D78" w:rsidR="00441008">
        <w:rPr>
          <w:szCs w:val="22"/>
        </w:rPr>
        <w:t xml:space="preserve"> submitted document</w:t>
      </w:r>
      <w:r w:rsidR="00F50009">
        <w:rPr>
          <w:szCs w:val="22"/>
        </w:rPr>
        <w:t>ation showing</w:t>
      </w:r>
      <w:r w:rsidRPr="00254D78" w:rsidR="00441008">
        <w:rPr>
          <w:szCs w:val="22"/>
        </w:rPr>
        <w:t xml:space="preserve"> that, after </w:t>
      </w:r>
      <w:r w:rsidRPr="00254D78" w:rsidR="00563E94">
        <w:rPr>
          <w:szCs w:val="22"/>
        </w:rPr>
        <w:t xml:space="preserve">the Station’s </w:t>
      </w:r>
      <w:r w:rsidRPr="00254D78" w:rsidR="00404BB8">
        <w:rPr>
          <w:szCs w:val="22"/>
        </w:rPr>
        <w:t>coaxial cable</w:t>
      </w:r>
      <w:r w:rsidRPr="00254D78" w:rsidR="00B922AD">
        <w:rPr>
          <w:szCs w:val="22"/>
        </w:rPr>
        <w:t xml:space="preserve"> connecting the transmitter to the antenna</w:t>
      </w:r>
      <w:r w:rsidRPr="00254D78" w:rsidR="00563E94">
        <w:rPr>
          <w:szCs w:val="22"/>
        </w:rPr>
        <w:t xml:space="preserve"> was severed</w:t>
      </w:r>
      <w:r w:rsidRPr="00254D78" w:rsidR="00CF0C9A">
        <w:rPr>
          <w:szCs w:val="22"/>
        </w:rPr>
        <w:t xml:space="preserve">, </w:t>
      </w:r>
      <w:r w:rsidRPr="00254D78" w:rsidR="00441008">
        <w:rPr>
          <w:szCs w:val="22"/>
        </w:rPr>
        <w:t xml:space="preserve">the Station resumed operation </w:t>
      </w:r>
      <w:r w:rsidRPr="00254D78" w:rsidR="00563E94">
        <w:rPr>
          <w:szCs w:val="22"/>
        </w:rPr>
        <w:t>at the</w:t>
      </w:r>
      <w:r w:rsidRPr="00254D78" w:rsidR="00441008">
        <w:rPr>
          <w:szCs w:val="22"/>
        </w:rPr>
        <w:t xml:space="preserve"> authorized </w:t>
      </w:r>
      <w:r w:rsidRPr="00254D78" w:rsidR="00563E94">
        <w:rPr>
          <w:szCs w:val="22"/>
        </w:rPr>
        <w:t xml:space="preserve">location </w:t>
      </w:r>
      <w:r w:rsidRPr="00254D78">
        <w:rPr>
          <w:szCs w:val="22"/>
        </w:rPr>
        <w:t>with the authorized antenna</w:t>
      </w:r>
      <w:r w:rsidR="00F50009">
        <w:rPr>
          <w:szCs w:val="22"/>
        </w:rPr>
        <w:t xml:space="preserve"> and frequency</w:t>
      </w:r>
      <w:r w:rsidRPr="00254D78">
        <w:rPr>
          <w:szCs w:val="22"/>
        </w:rPr>
        <w:t>, at a lower height and higher ERP.</w:t>
      </w:r>
      <w:r>
        <w:rPr>
          <w:rStyle w:val="FootnoteReference"/>
          <w:szCs w:val="22"/>
        </w:rPr>
        <w:footnoteReference w:id="57"/>
      </w:r>
      <w:r w:rsidRPr="00254D78" w:rsidR="00441008">
        <w:rPr>
          <w:szCs w:val="22"/>
        </w:rPr>
        <w:t xml:space="preserve">  </w:t>
      </w:r>
      <w:r w:rsidRPr="00254D78" w:rsidR="00DA5A8A">
        <w:rPr>
          <w:szCs w:val="22"/>
        </w:rPr>
        <w:t xml:space="preserve">In past </w:t>
      </w:r>
      <w:r w:rsidRPr="00254D78" w:rsidR="00FC43A2">
        <w:rPr>
          <w:szCs w:val="22"/>
        </w:rPr>
        <w:t>cases</w:t>
      </w:r>
      <w:r w:rsidR="00D07A5A">
        <w:rPr>
          <w:szCs w:val="22"/>
        </w:rPr>
        <w:t xml:space="preserve">, </w:t>
      </w:r>
      <w:r w:rsidRPr="00254D78" w:rsidR="00035A19">
        <w:rPr>
          <w:szCs w:val="22"/>
        </w:rPr>
        <w:t xml:space="preserve">we have held that </w:t>
      </w:r>
      <w:r w:rsidRPr="00254D78" w:rsidR="004918E7">
        <w:rPr>
          <w:szCs w:val="22"/>
        </w:rPr>
        <w:t xml:space="preserve">when a licensee </w:t>
      </w:r>
      <w:r w:rsidRPr="00254D78" w:rsidR="00844D9B">
        <w:rPr>
          <w:szCs w:val="22"/>
        </w:rPr>
        <w:t>engages in unauthorized operations</w:t>
      </w:r>
      <w:r w:rsidRPr="00254D78" w:rsidR="0043624D">
        <w:rPr>
          <w:szCs w:val="22"/>
        </w:rPr>
        <w:t xml:space="preserve"> including unauthorized antenna height or </w:t>
      </w:r>
      <w:r w:rsidRPr="00254D78" w:rsidR="0041371C">
        <w:rPr>
          <w:szCs w:val="22"/>
        </w:rPr>
        <w:t xml:space="preserve">output at variance from its license, </w:t>
      </w:r>
      <w:r w:rsidRPr="00254D78" w:rsidR="007B77DB">
        <w:rPr>
          <w:szCs w:val="22"/>
        </w:rPr>
        <w:t xml:space="preserve">but the </w:t>
      </w:r>
      <w:r w:rsidR="00F50009">
        <w:rPr>
          <w:szCs w:val="22"/>
        </w:rPr>
        <w:t>station operates on its authorized frequency</w:t>
      </w:r>
      <w:r w:rsidRPr="00254D78" w:rsidR="004918E7">
        <w:rPr>
          <w:szCs w:val="22"/>
        </w:rPr>
        <w:t xml:space="preserve"> at its authorized site, </w:t>
      </w:r>
      <w:r w:rsidRPr="00254D78" w:rsidR="007B77DB">
        <w:rPr>
          <w:szCs w:val="22"/>
        </w:rPr>
        <w:t xml:space="preserve">the violations do not </w:t>
      </w:r>
      <w:r w:rsidRPr="00254D78" w:rsidR="006A5348">
        <w:rPr>
          <w:szCs w:val="22"/>
        </w:rPr>
        <w:t>support a finding of license</w:t>
      </w:r>
      <w:r w:rsidRPr="00254D78" w:rsidR="00022974">
        <w:rPr>
          <w:szCs w:val="22"/>
        </w:rPr>
        <w:t xml:space="preserve"> cancellation under </w:t>
      </w:r>
      <w:r w:rsidRPr="001A2CF5" w:rsidR="00022974">
        <w:rPr>
          <w:szCs w:val="22"/>
        </w:rPr>
        <w:t>section 312(g).</w:t>
      </w:r>
      <w:r>
        <w:rPr>
          <w:rStyle w:val="FootnoteReference"/>
          <w:szCs w:val="22"/>
        </w:rPr>
        <w:footnoteReference w:id="58"/>
      </w:r>
      <w:r w:rsidRPr="001A2CF5" w:rsidR="00022974">
        <w:rPr>
          <w:szCs w:val="22"/>
        </w:rPr>
        <w:t xml:space="preserve"> </w:t>
      </w:r>
      <w:r w:rsidRPr="001A2CF5" w:rsidR="0085285E">
        <w:rPr>
          <w:szCs w:val="22"/>
        </w:rPr>
        <w:t xml:space="preserve"> Instead, </w:t>
      </w:r>
      <w:r w:rsidRPr="001A2CF5" w:rsidR="00F425A0">
        <w:rPr>
          <w:szCs w:val="22"/>
        </w:rPr>
        <w:t xml:space="preserve">for </w:t>
      </w:r>
      <w:r w:rsidRPr="001A2CF5" w:rsidR="00360E5E">
        <w:rPr>
          <w:szCs w:val="22"/>
        </w:rPr>
        <w:t>nonconforming operations not involving an unauthorized location or</w:t>
      </w:r>
      <w:r w:rsidRPr="00360E5E" w:rsidR="00360E5E">
        <w:rPr>
          <w:szCs w:val="22"/>
        </w:rPr>
        <w:t xml:space="preserve"> frequency, even if the violation lasted longer than a year, the Bureau has typically entered into a consent decree or imposed a forfeiture under </w:t>
      </w:r>
      <w:r w:rsidR="00C94642">
        <w:rPr>
          <w:szCs w:val="22"/>
        </w:rPr>
        <w:t>s</w:t>
      </w:r>
      <w:r w:rsidRPr="00360E5E" w:rsidR="00360E5E">
        <w:rPr>
          <w:szCs w:val="22"/>
        </w:rPr>
        <w:t>ection 503(b)(1) of the Act.</w:t>
      </w:r>
      <w:r>
        <w:rPr>
          <w:rStyle w:val="FootnoteReference"/>
          <w:szCs w:val="22"/>
        </w:rPr>
        <w:footnoteReference w:id="59"/>
      </w:r>
      <w:r w:rsidRPr="00360E5E" w:rsidR="00360E5E">
        <w:rPr>
          <w:szCs w:val="22"/>
        </w:rPr>
        <w:t xml:space="preserve">  </w:t>
      </w:r>
      <w:r w:rsidR="00533018">
        <w:rPr>
          <w:szCs w:val="22"/>
        </w:rPr>
        <w:t>Accordingly, we deny the Petition for Reconsideration in part</w:t>
      </w:r>
      <w:r w:rsidR="00892141">
        <w:rPr>
          <w:szCs w:val="22"/>
        </w:rPr>
        <w:t xml:space="preserve">, as it relates to claims of </w:t>
      </w:r>
      <w:r w:rsidR="00D37D48">
        <w:rPr>
          <w:szCs w:val="22"/>
        </w:rPr>
        <w:t xml:space="preserve">section </w:t>
      </w:r>
      <w:r w:rsidR="00892141">
        <w:rPr>
          <w:szCs w:val="22"/>
        </w:rPr>
        <w:t>312(g) license expiration.</w:t>
      </w:r>
    </w:p>
    <w:p w:rsidR="00441008" w:rsidRPr="0069667D" w:rsidP="0069667D" w14:paraId="18676DF8" w14:textId="51869664">
      <w:pPr>
        <w:pStyle w:val="ParaNum"/>
        <w:spacing w:after="120"/>
        <w:jc w:val="left"/>
        <w:rPr>
          <w:szCs w:val="22"/>
        </w:rPr>
      </w:pPr>
      <w:r w:rsidRPr="00254D78">
        <w:rPr>
          <w:i/>
          <w:szCs w:val="22"/>
        </w:rPr>
        <w:t xml:space="preserve"> Unauthorized Operations and Material Factual Information</w:t>
      </w:r>
      <w:r w:rsidRPr="00254D78">
        <w:rPr>
          <w:szCs w:val="22"/>
        </w:rPr>
        <w:t xml:space="preserve">.  Section 301 of the Act and </w:t>
      </w:r>
      <w:r w:rsidRPr="00254D78" w:rsidR="005E7799">
        <w:rPr>
          <w:szCs w:val="22"/>
        </w:rPr>
        <w:t>s</w:t>
      </w:r>
      <w:r w:rsidRPr="00254D78">
        <w:rPr>
          <w:szCs w:val="22"/>
        </w:rPr>
        <w:t>ection 73.1350 of the Rules prohibit the operation of a broadcast station except under, and in accordance with, a Commission-granted authorization.</w:t>
      </w:r>
      <w:r>
        <w:rPr>
          <w:rStyle w:val="FootnoteReference"/>
          <w:szCs w:val="22"/>
        </w:rPr>
        <w:footnoteReference w:id="60"/>
      </w:r>
      <w:r w:rsidRPr="00254D78">
        <w:rPr>
          <w:szCs w:val="22"/>
        </w:rPr>
        <w:t xml:space="preserve">  Section 73.1745(a)</w:t>
      </w:r>
      <w:r>
        <w:rPr>
          <w:rStyle w:val="FootnoteReference"/>
          <w:szCs w:val="22"/>
        </w:rPr>
        <w:footnoteReference w:id="61"/>
      </w:r>
      <w:r w:rsidRPr="00254D78">
        <w:rPr>
          <w:szCs w:val="22"/>
        </w:rPr>
        <w:t xml:space="preserve"> further prohibits the operation of a broadcast station at variance from the terms of the Station’s authorization.  Pursuant to </w:t>
      </w:r>
      <w:r w:rsidRPr="00254D78" w:rsidR="005E7799">
        <w:rPr>
          <w:szCs w:val="22"/>
        </w:rPr>
        <w:t>s</w:t>
      </w:r>
      <w:r w:rsidRPr="00254D78">
        <w:rPr>
          <w:szCs w:val="22"/>
        </w:rPr>
        <w:t xml:space="preserve">ection </w:t>
      </w:r>
      <w:r w:rsidRPr="00AD39EA" w:rsidR="00AD39EA">
        <w:rPr>
          <w:szCs w:val="22"/>
        </w:rPr>
        <w:t>73.1635</w:t>
      </w:r>
      <w:r w:rsidRPr="00254D78">
        <w:rPr>
          <w:szCs w:val="22"/>
        </w:rPr>
        <w:t>,</w:t>
      </w:r>
      <w:r>
        <w:rPr>
          <w:rStyle w:val="FootnoteReference"/>
          <w:szCs w:val="22"/>
        </w:rPr>
        <w:footnoteReference w:id="62"/>
      </w:r>
      <w:r w:rsidRPr="00254D78">
        <w:rPr>
          <w:szCs w:val="22"/>
        </w:rPr>
        <w:t xml:space="preserve"> a licensee may request special temporary authority to operate for a limited time at variance from the terms of its authorization.  However, the licensee must request STA ten days prior to beginning operation at variance from the terms of its authorization.</w:t>
      </w:r>
      <w:r>
        <w:rPr>
          <w:rStyle w:val="FootnoteReference"/>
          <w:szCs w:val="22"/>
        </w:rPr>
        <w:footnoteReference w:id="63"/>
      </w:r>
    </w:p>
    <w:p w:rsidR="006B12A6" w:rsidP="00D90FA7" w14:paraId="0CFC8D07" w14:textId="2B43D9C9">
      <w:pPr>
        <w:pStyle w:val="ParaNum"/>
        <w:spacing w:after="120"/>
        <w:jc w:val="left"/>
        <w:rPr>
          <w:szCs w:val="22"/>
        </w:rPr>
      </w:pPr>
      <w:r w:rsidRPr="00254D78">
        <w:rPr>
          <w:szCs w:val="22"/>
        </w:rPr>
        <w:t xml:space="preserve">  We find that the Station has </w:t>
      </w:r>
      <w:r w:rsidR="002C6E80">
        <w:rPr>
          <w:szCs w:val="22"/>
        </w:rPr>
        <w:t>operated</w:t>
      </w:r>
      <w:r w:rsidRPr="00254D78">
        <w:rPr>
          <w:szCs w:val="22"/>
        </w:rPr>
        <w:t xml:space="preserve"> </w:t>
      </w:r>
      <w:r w:rsidR="002C6E80">
        <w:rPr>
          <w:szCs w:val="22"/>
        </w:rPr>
        <w:t xml:space="preserve">with </w:t>
      </w:r>
      <w:r w:rsidR="00E06F02">
        <w:rPr>
          <w:szCs w:val="22"/>
        </w:rPr>
        <w:t>parameters</w:t>
      </w:r>
      <w:r w:rsidR="002C6E80">
        <w:rPr>
          <w:szCs w:val="22"/>
        </w:rPr>
        <w:t xml:space="preserve"> at variance from its authorization,</w:t>
      </w:r>
      <w:r w:rsidRPr="00254D78">
        <w:rPr>
          <w:szCs w:val="22"/>
        </w:rPr>
        <w:t xml:space="preserve"> at its authorized </w:t>
      </w:r>
      <w:r w:rsidR="00BC3CD7">
        <w:rPr>
          <w:szCs w:val="22"/>
        </w:rPr>
        <w:t>location</w:t>
      </w:r>
      <w:r w:rsidRPr="00254D78">
        <w:rPr>
          <w:szCs w:val="22"/>
        </w:rPr>
        <w:t xml:space="preserve"> since </w:t>
      </w:r>
      <w:r w:rsidRPr="00254D78" w:rsidR="00902625">
        <w:rPr>
          <w:szCs w:val="22"/>
        </w:rPr>
        <w:t xml:space="preserve">November </w:t>
      </w:r>
      <w:r w:rsidRPr="00254D78" w:rsidR="00F73701">
        <w:rPr>
          <w:szCs w:val="22"/>
        </w:rPr>
        <w:t>8</w:t>
      </w:r>
      <w:r w:rsidRPr="00254D78" w:rsidR="00B92602">
        <w:rPr>
          <w:szCs w:val="22"/>
        </w:rPr>
        <w:t>, 2015</w:t>
      </w:r>
      <w:r w:rsidRPr="00254D78" w:rsidR="007F4D29">
        <w:rPr>
          <w:szCs w:val="22"/>
        </w:rPr>
        <w:t>,</w:t>
      </w:r>
      <w:r w:rsidRPr="00254D78" w:rsidR="005013B9">
        <w:rPr>
          <w:szCs w:val="22"/>
        </w:rPr>
        <w:t xml:space="preserve"> when it</w:t>
      </w:r>
      <w:r w:rsidRPr="00254D78" w:rsidR="008B0D2B">
        <w:rPr>
          <w:szCs w:val="22"/>
        </w:rPr>
        <w:t xml:space="preserve"> suffered damage, adjusted its parameters, and</w:t>
      </w:r>
      <w:r w:rsidRPr="00254D78" w:rsidR="005013B9">
        <w:rPr>
          <w:szCs w:val="22"/>
        </w:rPr>
        <w:t xml:space="preserve"> applied for the 2015 STA Application</w:t>
      </w:r>
      <w:r w:rsidRPr="00254D78" w:rsidR="00A07CEB">
        <w:rPr>
          <w:szCs w:val="22"/>
        </w:rPr>
        <w:t>.</w:t>
      </w:r>
      <w:r>
        <w:rPr>
          <w:rStyle w:val="FootnoteReference"/>
          <w:szCs w:val="22"/>
        </w:rPr>
        <w:footnoteReference w:id="64"/>
      </w:r>
      <w:r w:rsidRPr="00254D78" w:rsidR="007F4D29">
        <w:rPr>
          <w:szCs w:val="22"/>
        </w:rPr>
        <w:t xml:space="preserve">  </w:t>
      </w:r>
      <w:r w:rsidR="007F2462">
        <w:rPr>
          <w:szCs w:val="22"/>
        </w:rPr>
        <w:t>However, these operations have been unauthorized since</w:t>
      </w:r>
      <w:r w:rsidRPr="00254D78" w:rsidR="007F4D29">
        <w:rPr>
          <w:szCs w:val="22"/>
        </w:rPr>
        <w:t xml:space="preserve"> </w:t>
      </w:r>
      <w:r w:rsidRPr="00254D78" w:rsidR="008E67A2">
        <w:rPr>
          <w:szCs w:val="22"/>
        </w:rPr>
        <w:t xml:space="preserve">the </w:t>
      </w:r>
      <w:r>
        <w:rPr>
          <w:szCs w:val="22"/>
        </w:rPr>
        <w:t xml:space="preserve">2015 </w:t>
      </w:r>
      <w:r w:rsidRPr="00254D78" w:rsidR="009E3C61">
        <w:rPr>
          <w:szCs w:val="22"/>
        </w:rPr>
        <w:t xml:space="preserve">STA </w:t>
      </w:r>
      <w:r w:rsidRPr="00254D78" w:rsidR="008E67A2">
        <w:rPr>
          <w:szCs w:val="22"/>
        </w:rPr>
        <w:t xml:space="preserve">Extension </w:t>
      </w:r>
      <w:r w:rsidRPr="00254D78" w:rsidR="009E3C61">
        <w:rPr>
          <w:szCs w:val="22"/>
        </w:rPr>
        <w:t>expired on November 19, 2016</w:t>
      </w:r>
      <w:r w:rsidR="007F2462">
        <w:rPr>
          <w:szCs w:val="22"/>
        </w:rPr>
        <w:t>.</w:t>
      </w:r>
      <w:r w:rsidRPr="00254D78">
        <w:rPr>
          <w:szCs w:val="22"/>
        </w:rPr>
        <w:t xml:space="preserve"> </w:t>
      </w:r>
      <w:r w:rsidR="00EA6C7C">
        <w:rPr>
          <w:szCs w:val="22"/>
        </w:rPr>
        <w:t xml:space="preserve"> </w:t>
      </w:r>
      <w:r>
        <w:rPr>
          <w:szCs w:val="22"/>
        </w:rPr>
        <w:t xml:space="preserve">Shelby </w:t>
      </w:r>
      <w:r w:rsidRPr="00254D78" w:rsidR="001B6AC5">
        <w:rPr>
          <w:szCs w:val="22"/>
        </w:rPr>
        <w:t>continued operating at variance from its license</w:t>
      </w:r>
      <w:r w:rsidR="007F2462">
        <w:rPr>
          <w:szCs w:val="22"/>
        </w:rPr>
        <w:t>, without authorization,</w:t>
      </w:r>
      <w:r w:rsidRPr="00254D78" w:rsidR="001B6AC5">
        <w:rPr>
          <w:szCs w:val="22"/>
        </w:rPr>
        <w:t xml:space="preserve"> and </w:t>
      </w:r>
      <w:r w:rsidRPr="00254D78">
        <w:rPr>
          <w:szCs w:val="22"/>
        </w:rPr>
        <w:t xml:space="preserve">made no attempt to address this issue until </w:t>
      </w:r>
      <w:r w:rsidRPr="00254D78" w:rsidR="00B55B7C">
        <w:rPr>
          <w:szCs w:val="22"/>
        </w:rPr>
        <w:t>July 1</w:t>
      </w:r>
      <w:r w:rsidRPr="00254D78" w:rsidR="0026661A">
        <w:rPr>
          <w:szCs w:val="22"/>
        </w:rPr>
        <w:t>9</w:t>
      </w:r>
      <w:r w:rsidRPr="00254D78" w:rsidR="00B55B7C">
        <w:rPr>
          <w:szCs w:val="22"/>
        </w:rPr>
        <w:t>, 2018</w:t>
      </w:r>
      <w:r w:rsidRPr="00254D78">
        <w:rPr>
          <w:szCs w:val="22"/>
        </w:rPr>
        <w:t xml:space="preserve">, when </w:t>
      </w:r>
      <w:r>
        <w:rPr>
          <w:szCs w:val="22"/>
        </w:rPr>
        <w:t>Shelby</w:t>
      </w:r>
      <w:r w:rsidRPr="00254D78">
        <w:rPr>
          <w:szCs w:val="22"/>
        </w:rPr>
        <w:t xml:space="preserve"> </w:t>
      </w:r>
      <w:r w:rsidRPr="00254D78">
        <w:rPr>
          <w:szCs w:val="22"/>
        </w:rPr>
        <w:t xml:space="preserve">filed the </w:t>
      </w:r>
      <w:r w:rsidRPr="00254D78" w:rsidR="00AA309A">
        <w:rPr>
          <w:szCs w:val="22"/>
        </w:rPr>
        <w:t xml:space="preserve">Dismissed </w:t>
      </w:r>
      <w:r w:rsidR="00004215">
        <w:rPr>
          <w:szCs w:val="22"/>
        </w:rPr>
        <w:t xml:space="preserve">STA Application </w:t>
      </w:r>
      <w:r w:rsidRPr="00254D78" w:rsidR="00AA309A">
        <w:rPr>
          <w:szCs w:val="22"/>
        </w:rPr>
        <w:t>and 2018</w:t>
      </w:r>
      <w:r w:rsidRPr="00254D78">
        <w:rPr>
          <w:szCs w:val="22"/>
        </w:rPr>
        <w:t xml:space="preserve"> STA</w:t>
      </w:r>
      <w:r w:rsidRPr="00254D78" w:rsidR="00797D41">
        <w:rPr>
          <w:szCs w:val="22"/>
        </w:rPr>
        <w:t xml:space="preserve"> Application</w:t>
      </w:r>
      <w:r w:rsidRPr="00254D78">
        <w:rPr>
          <w:szCs w:val="22"/>
        </w:rPr>
        <w:t>.</w:t>
      </w:r>
      <w:r w:rsidRPr="00254D78" w:rsidR="00020B4F">
        <w:rPr>
          <w:szCs w:val="22"/>
        </w:rPr>
        <w:t xml:space="preserve">  </w:t>
      </w:r>
      <w:r w:rsidR="00B92270">
        <w:rPr>
          <w:szCs w:val="22"/>
        </w:rPr>
        <w:t>Moreover, w</w:t>
      </w:r>
      <w:r w:rsidRPr="00254D78" w:rsidR="003B2B71">
        <w:rPr>
          <w:szCs w:val="22"/>
        </w:rPr>
        <w:t>hen</w:t>
      </w:r>
      <w:r w:rsidRPr="00254D78" w:rsidR="00DE5EA4">
        <w:rPr>
          <w:szCs w:val="22"/>
        </w:rPr>
        <w:t xml:space="preserve"> </w:t>
      </w:r>
      <w:r w:rsidR="00F33E0C">
        <w:rPr>
          <w:szCs w:val="22"/>
        </w:rPr>
        <w:t>Valleydale</w:t>
      </w:r>
      <w:r w:rsidRPr="00254D78" w:rsidR="00DE5EA4">
        <w:rPr>
          <w:szCs w:val="22"/>
        </w:rPr>
        <w:t xml:space="preserve"> filed the </w:t>
      </w:r>
      <w:r w:rsidRPr="00254D78" w:rsidR="00AC479C">
        <w:rPr>
          <w:szCs w:val="22"/>
        </w:rPr>
        <w:t>2015</w:t>
      </w:r>
      <w:r w:rsidRPr="00254D78" w:rsidR="00DE5EA4">
        <w:rPr>
          <w:szCs w:val="22"/>
        </w:rPr>
        <w:t xml:space="preserve"> STA</w:t>
      </w:r>
      <w:r w:rsidRPr="00254D78" w:rsidR="00797D41">
        <w:rPr>
          <w:szCs w:val="22"/>
        </w:rPr>
        <w:t xml:space="preserve"> Application</w:t>
      </w:r>
      <w:r w:rsidRPr="00254D78" w:rsidR="00766354">
        <w:rPr>
          <w:szCs w:val="22"/>
        </w:rPr>
        <w:t xml:space="preserve">, </w:t>
      </w:r>
      <w:r w:rsidR="00F33E0C">
        <w:rPr>
          <w:szCs w:val="22"/>
        </w:rPr>
        <w:t>it</w:t>
      </w:r>
      <w:r w:rsidRPr="00254D78" w:rsidR="00B24E38">
        <w:rPr>
          <w:szCs w:val="22"/>
        </w:rPr>
        <w:t xml:space="preserve"> explained that </w:t>
      </w:r>
      <w:r w:rsidRPr="00254D78" w:rsidR="00887007">
        <w:rPr>
          <w:szCs w:val="22"/>
        </w:rPr>
        <w:t>“[</w:t>
      </w:r>
      <w:r w:rsidRPr="00254D78" w:rsidR="00B24E38">
        <w:rPr>
          <w:szCs w:val="22"/>
        </w:rPr>
        <w:t>o</w:t>
      </w:r>
      <w:r w:rsidRPr="00254D78" w:rsidR="00887007">
        <w:rPr>
          <w:szCs w:val="22"/>
        </w:rPr>
        <w:t>]</w:t>
      </w:r>
      <w:r w:rsidRPr="00254D78" w:rsidR="00B24E38">
        <w:rPr>
          <w:szCs w:val="22"/>
        </w:rPr>
        <w:t xml:space="preserve">n </w:t>
      </w:r>
      <w:r w:rsidRPr="00254D78" w:rsidR="00887007">
        <w:rPr>
          <w:szCs w:val="22"/>
        </w:rPr>
        <w:t xml:space="preserve">Sunday </w:t>
      </w:r>
      <w:r w:rsidRPr="00254D78" w:rsidR="00B24E38">
        <w:rPr>
          <w:szCs w:val="22"/>
        </w:rPr>
        <w:t>November 8, 2015</w:t>
      </w:r>
      <w:r w:rsidRPr="00254D78" w:rsidR="00887007">
        <w:rPr>
          <w:szCs w:val="22"/>
        </w:rPr>
        <w:t xml:space="preserve"> the W252BE coaxial cable suffered catastrophic damage</w:t>
      </w:r>
      <w:r w:rsidRPr="00254D78" w:rsidR="00B223D7">
        <w:rPr>
          <w:szCs w:val="22"/>
        </w:rPr>
        <w:t xml:space="preserve"> . . . the cable was completely severed . . . </w:t>
      </w:r>
      <w:r w:rsidRPr="00254D78" w:rsidR="00975284">
        <w:rPr>
          <w:szCs w:val="22"/>
        </w:rPr>
        <w:t>[and] to recommence broadcasting, climbers lowered the current antenna to the location of the cut</w:t>
      </w:r>
      <w:r w:rsidRPr="00254D78" w:rsidR="00FF0CDD">
        <w:rPr>
          <w:szCs w:val="22"/>
        </w:rPr>
        <w:t xml:space="preserve"> . . . </w:t>
      </w:r>
      <w:r w:rsidRPr="00254D78" w:rsidR="00032242">
        <w:rPr>
          <w:szCs w:val="22"/>
        </w:rPr>
        <w:t>to</w:t>
      </w:r>
      <w:r w:rsidRPr="00254D78" w:rsidR="00F104DD">
        <w:rPr>
          <w:szCs w:val="22"/>
        </w:rPr>
        <w:t xml:space="preserve"> </w:t>
      </w:r>
      <w:r w:rsidRPr="00254D78" w:rsidR="00032242">
        <w:rPr>
          <w:szCs w:val="22"/>
        </w:rPr>
        <w:t>increase its ERP from</w:t>
      </w:r>
      <w:r w:rsidRPr="00254D78" w:rsidR="00DE5EA4">
        <w:rPr>
          <w:szCs w:val="22"/>
        </w:rPr>
        <w:t xml:space="preserve"> 90 watts to 112 watts.</w:t>
      </w:r>
      <w:r w:rsidRPr="00254D78" w:rsidR="00766354">
        <w:rPr>
          <w:szCs w:val="22"/>
        </w:rPr>
        <w:t>”</w:t>
      </w:r>
      <w:r>
        <w:rPr>
          <w:rStyle w:val="FootnoteReference"/>
          <w:szCs w:val="22"/>
        </w:rPr>
        <w:footnoteReference w:id="65"/>
      </w:r>
      <w:r w:rsidRPr="00254D78" w:rsidR="00766354">
        <w:rPr>
          <w:szCs w:val="22"/>
        </w:rPr>
        <w:t xml:space="preserve">  </w:t>
      </w:r>
      <w:r w:rsidR="004F1D5E">
        <w:rPr>
          <w:szCs w:val="22"/>
        </w:rPr>
        <w:t>Valleydale</w:t>
      </w:r>
      <w:r w:rsidRPr="00254D78" w:rsidR="00A77F35">
        <w:rPr>
          <w:szCs w:val="22"/>
        </w:rPr>
        <w:t xml:space="preserve"> </w:t>
      </w:r>
      <w:r w:rsidRPr="00254D78" w:rsidR="00B24E38">
        <w:rPr>
          <w:szCs w:val="22"/>
        </w:rPr>
        <w:t xml:space="preserve">further </w:t>
      </w:r>
      <w:r w:rsidRPr="00254D78" w:rsidR="009A11C5">
        <w:rPr>
          <w:szCs w:val="22"/>
        </w:rPr>
        <w:t>stated</w:t>
      </w:r>
      <w:r w:rsidRPr="00254D78" w:rsidR="005C2F26">
        <w:rPr>
          <w:szCs w:val="22"/>
        </w:rPr>
        <w:t xml:space="preserve"> that “the facility remains on the same tower that supports the licensed facility of W252BE</w:t>
      </w:r>
      <w:r w:rsidRPr="00254D78" w:rsidR="00AA796E">
        <w:rPr>
          <w:szCs w:val="22"/>
        </w:rPr>
        <w:t>.”</w:t>
      </w:r>
      <w:r>
        <w:rPr>
          <w:rStyle w:val="FootnoteReference"/>
          <w:szCs w:val="22"/>
        </w:rPr>
        <w:footnoteReference w:id="66"/>
      </w:r>
      <w:r w:rsidRPr="00254D78" w:rsidR="009A11C5">
        <w:rPr>
          <w:szCs w:val="22"/>
        </w:rPr>
        <w:t xml:space="preserve">  </w:t>
      </w:r>
      <w:r w:rsidRPr="00254D78" w:rsidR="002760BE">
        <w:rPr>
          <w:szCs w:val="22"/>
        </w:rPr>
        <w:t xml:space="preserve">Subsequently, </w:t>
      </w:r>
      <w:r w:rsidRPr="00254D78" w:rsidR="00C93459">
        <w:rPr>
          <w:szCs w:val="22"/>
        </w:rPr>
        <w:t xml:space="preserve">in its 2018 </w:t>
      </w:r>
      <w:r w:rsidR="00946A0A">
        <w:rPr>
          <w:szCs w:val="22"/>
        </w:rPr>
        <w:t>Complaint</w:t>
      </w:r>
      <w:r w:rsidRPr="00254D78" w:rsidR="00946A0A">
        <w:rPr>
          <w:szCs w:val="22"/>
        </w:rPr>
        <w:t xml:space="preserve"> </w:t>
      </w:r>
      <w:r w:rsidRPr="00254D78" w:rsidR="00C93459">
        <w:rPr>
          <w:szCs w:val="22"/>
        </w:rPr>
        <w:t xml:space="preserve">pleading, </w:t>
      </w:r>
      <w:r w:rsidR="00BF2C29">
        <w:rPr>
          <w:szCs w:val="22"/>
        </w:rPr>
        <w:t>Marble City</w:t>
      </w:r>
      <w:r w:rsidRPr="00254D78" w:rsidR="00BF2C29">
        <w:rPr>
          <w:szCs w:val="22"/>
        </w:rPr>
        <w:t xml:space="preserve"> </w:t>
      </w:r>
      <w:r w:rsidRPr="00254D78" w:rsidR="002760BE">
        <w:rPr>
          <w:szCs w:val="22"/>
        </w:rPr>
        <w:t xml:space="preserve">submitted documentation from two engineers who inspected the site and confirmed the Station was operating at variance from </w:t>
      </w:r>
      <w:r w:rsidRPr="00254D78" w:rsidR="00B13219">
        <w:rPr>
          <w:szCs w:val="22"/>
        </w:rPr>
        <w:t>both its</w:t>
      </w:r>
      <w:r w:rsidRPr="00254D78" w:rsidR="002760BE">
        <w:rPr>
          <w:szCs w:val="22"/>
        </w:rPr>
        <w:t xml:space="preserve"> license</w:t>
      </w:r>
      <w:r w:rsidRPr="00254D78" w:rsidR="00B13219">
        <w:rPr>
          <w:szCs w:val="22"/>
        </w:rPr>
        <w:t xml:space="preserve"> </w:t>
      </w:r>
      <w:r w:rsidRPr="006E640B" w:rsidR="00B13219">
        <w:rPr>
          <w:i/>
          <w:iCs/>
          <w:szCs w:val="22"/>
        </w:rPr>
        <w:t>and</w:t>
      </w:r>
      <w:r w:rsidRPr="00254D78" w:rsidR="00B13219">
        <w:rPr>
          <w:szCs w:val="22"/>
        </w:rPr>
        <w:t xml:space="preserve"> </w:t>
      </w:r>
      <w:r w:rsidRPr="00254D78" w:rsidR="00772334">
        <w:rPr>
          <w:szCs w:val="22"/>
        </w:rPr>
        <w:t>the 2015 STA</w:t>
      </w:r>
      <w:r w:rsidR="00FA7745">
        <w:rPr>
          <w:szCs w:val="22"/>
        </w:rPr>
        <w:t xml:space="preserve"> Application</w:t>
      </w:r>
      <w:r w:rsidRPr="00254D78" w:rsidR="002760BE">
        <w:rPr>
          <w:szCs w:val="22"/>
        </w:rPr>
        <w:t>.</w:t>
      </w:r>
      <w:r>
        <w:rPr>
          <w:rStyle w:val="FootnoteReference"/>
          <w:szCs w:val="22"/>
        </w:rPr>
        <w:footnoteReference w:id="67"/>
      </w:r>
      <w:r w:rsidRPr="00254D78" w:rsidR="00C93459">
        <w:rPr>
          <w:szCs w:val="22"/>
        </w:rPr>
        <w:t xml:space="preserve">  </w:t>
      </w:r>
    </w:p>
    <w:p w:rsidR="00441008" w:rsidRPr="00254D78" w:rsidP="00D90FA7" w14:paraId="52F2894D" w14:textId="7485962B">
      <w:pPr>
        <w:pStyle w:val="ParaNum"/>
        <w:spacing w:after="120"/>
        <w:jc w:val="left"/>
        <w:rPr>
          <w:szCs w:val="22"/>
        </w:rPr>
      </w:pPr>
      <w:r>
        <w:rPr>
          <w:szCs w:val="22"/>
        </w:rPr>
        <w:t>In</w:t>
      </w:r>
      <w:r w:rsidRPr="00254D78" w:rsidR="00284A35">
        <w:rPr>
          <w:szCs w:val="22"/>
        </w:rPr>
        <w:t xml:space="preserve"> its </w:t>
      </w:r>
      <w:r w:rsidR="006B12A6">
        <w:rPr>
          <w:szCs w:val="22"/>
        </w:rPr>
        <w:t>201</w:t>
      </w:r>
      <w:r w:rsidR="0054594D">
        <w:rPr>
          <w:szCs w:val="22"/>
        </w:rPr>
        <w:t>8</w:t>
      </w:r>
      <w:r w:rsidR="006B12A6">
        <w:rPr>
          <w:szCs w:val="22"/>
        </w:rPr>
        <w:t xml:space="preserve"> Complain</w:t>
      </w:r>
      <w:r w:rsidR="0054594D">
        <w:rPr>
          <w:szCs w:val="22"/>
        </w:rPr>
        <w:t>t</w:t>
      </w:r>
      <w:r w:rsidRPr="00254D78" w:rsidR="006B12A6">
        <w:rPr>
          <w:szCs w:val="22"/>
        </w:rPr>
        <w:t xml:space="preserve"> </w:t>
      </w:r>
      <w:r w:rsidRPr="00254D78" w:rsidR="00284A35">
        <w:rPr>
          <w:szCs w:val="22"/>
        </w:rPr>
        <w:t>Opposition</w:t>
      </w:r>
      <w:r w:rsidRPr="00254D78" w:rsidR="00F95560">
        <w:rPr>
          <w:szCs w:val="22"/>
        </w:rPr>
        <w:t>,</w:t>
      </w:r>
      <w:r w:rsidRPr="00254D78" w:rsidR="00C93459">
        <w:rPr>
          <w:szCs w:val="22"/>
        </w:rPr>
        <w:t xml:space="preserve"> </w:t>
      </w:r>
      <w:r w:rsidR="006B12A6">
        <w:rPr>
          <w:szCs w:val="22"/>
        </w:rPr>
        <w:t>Shelby</w:t>
      </w:r>
      <w:r w:rsidRPr="00254D78" w:rsidR="006B12A6">
        <w:rPr>
          <w:szCs w:val="22"/>
        </w:rPr>
        <w:t xml:space="preserve"> </w:t>
      </w:r>
      <w:r w:rsidRPr="00254D78" w:rsidR="00C93459">
        <w:rPr>
          <w:szCs w:val="22"/>
        </w:rPr>
        <w:t>admit</w:t>
      </w:r>
      <w:r w:rsidRPr="00254D78" w:rsidR="00794E2C">
        <w:rPr>
          <w:szCs w:val="22"/>
        </w:rPr>
        <w:t xml:space="preserve">ted that the </w:t>
      </w:r>
      <w:r w:rsidR="005E3C85">
        <w:rPr>
          <w:szCs w:val="22"/>
        </w:rPr>
        <w:t>S</w:t>
      </w:r>
      <w:r w:rsidRPr="00254D78" w:rsidR="005E3C85">
        <w:rPr>
          <w:szCs w:val="22"/>
        </w:rPr>
        <w:t xml:space="preserve">tation </w:t>
      </w:r>
      <w:r w:rsidRPr="00254D78" w:rsidR="004837EF">
        <w:rPr>
          <w:szCs w:val="22"/>
        </w:rPr>
        <w:t>previously operated and continued to</w:t>
      </w:r>
      <w:r w:rsidRPr="00254D78" w:rsidR="00794E2C">
        <w:rPr>
          <w:szCs w:val="22"/>
        </w:rPr>
        <w:t xml:space="preserve"> opera</w:t>
      </w:r>
      <w:r w:rsidRPr="00254D78" w:rsidR="004837EF">
        <w:rPr>
          <w:szCs w:val="22"/>
        </w:rPr>
        <w:t>te</w:t>
      </w:r>
      <w:r w:rsidRPr="00254D78" w:rsidR="00794E2C">
        <w:rPr>
          <w:szCs w:val="22"/>
        </w:rPr>
        <w:t xml:space="preserve"> at variance from its license</w:t>
      </w:r>
      <w:r w:rsidR="00004215">
        <w:rPr>
          <w:szCs w:val="22"/>
        </w:rPr>
        <w:t>,</w:t>
      </w:r>
      <w:r w:rsidRPr="00254D78" w:rsidR="00794E2C">
        <w:rPr>
          <w:szCs w:val="22"/>
        </w:rPr>
        <w:t xml:space="preserve"> </w:t>
      </w:r>
      <w:r w:rsidRPr="00254D78" w:rsidR="00284A35">
        <w:rPr>
          <w:szCs w:val="22"/>
        </w:rPr>
        <w:t>stating “W252BE is still</w:t>
      </w:r>
      <w:r w:rsidRPr="00254D78" w:rsidR="00794E2C">
        <w:rPr>
          <w:szCs w:val="22"/>
        </w:rPr>
        <w:t xml:space="preserve"> </w:t>
      </w:r>
      <w:r w:rsidRPr="00254D78" w:rsidR="008D7306">
        <w:rPr>
          <w:szCs w:val="22"/>
        </w:rPr>
        <w:t xml:space="preserve">operating [at] parameters </w:t>
      </w:r>
      <w:r w:rsidRPr="00254D78" w:rsidR="00DC609C">
        <w:rPr>
          <w:szCs w:val="22"/>
        </w:rPr>
        <w:t>at variance from its license. The failure to extend the STA on November 19, 2016 was simply an oversight of Mr. Reynolds.”</w:t>
      </w:r>
      <w:r>
        <w:rPr>
          <w:rStyle w:val="FootnoteReference"/>
          <w:szCs w:val="22"/>
        </w:rPr>
        <w:footnoteReference w:id="68"/>
      </w:r>
      <w:r w:rsidRPr="00254D78" w:rsidR="006D6C3E">
        <w:rPr>
          <w:szCs w:val="22"/>
        </w:rPr>
        <w:t xml:space="preserve"> </w:t>
      </w:r>
      <w:r w:rsidRPr="00254D78" w:rsidR="00B87591">
        <w:rPr>
          <w:szCs w:val="22"/>
        </w:rPr>
        <w:t xml:space="preserve"> </w:t>
      </w:r>
      <w:r w:rsidR="005E3C85">
        <w:rPr>
          <w:szCs w:val="22"/>
        </w:rPr>
        <w:t>Shelby</w:t>
      </w:r>
      <w:r w:rsidRPr="00254D78" w:rsidR="005E3C85">
        <w:rPr>
          <w:szCs w:val="22"/>
        </w:rPr>
        <w:t xml:space="preserve"> </w:t>
      </w:r>
      <w:r w:rsidRPr="00254D78" w:rsidR="00B87591">
        <w:rPr>
          <w:szCs w:val="22"/>
        </w:rPr>
        <w:t>also admit</w:t>
      </w:r>
      <w:r w:rsidRPr="00254D78" w:rsidR="00C769CB">
        <w:rPr>
          <w:szCs w:val="22"/>
        </w:rPr>
        <w:t>ted</w:t>
      </w:r>
      <w:r w:rsidRPr="00254D78" w:rsidR="00B87591">
        <w:rPr>
          <w:szCs w:val="22"/>
        </w:rPr>
        <w:t xml:space="preserve"> t</w:t>
      </w:r>
      <w:r w:rsidR="006E37E6">
        <w:rPr>
          <w:szCs w:val="22"/>
        </w:rPr>
        <w:t xml:space="preserve">hat the </w:t>
      </w:r>
      <w:r w:rsidRPr="00254D78" w:rsidR="00B87591">
        <w:rPr>
          <w:szCs w:val="22"/>
        </w:rPr>
        <w:t>2015 STA</w:t>
      </w:r>
      <w:r w:rsidRPr="00254D78" w:rsidR="00F8361B">
        <w:rPr>
          <w:szCs w:val="22"/>
        </w:rPr>
        <w:t xml:space="preserve"> Application</w:t>
      </w:r>
      <w:r w:rsidRPr="00254D78" w:rsidR="00B87591">
        <w:rPr>
          <w:szCs w:val="22"/>
        </w:rPr>
        <w:t xml:space="preserve"> </w:t>
      </w:r>
      <w:r w:rsidR="006E37E6">
        <w:rPr>
          <w:szCs w:val="22"/>
        </w:rPr>
        <w:t xml:space="preserve">was filed </w:t>
      </w:r>
      <w:r w:rsidRPr="00254D78" w:rsidR="00B87591">
        <w:rPr>
          <w:szCs w:val="22"/>
        </w:rPr>
        <w:t xml:space="preserve">with </w:t>
      </w:r>
      <w:r w:rsidRPr="00254D78" w:rsidR="00C30BB4">
        <w:rPr>
          <w:szCs w:val="22"/>
        </w:rPr>
        <w:t>“</w:t>
      </w:r>
      <w:r w:rsidRPr="00254D78" w:rsidR="00B87591">
        <w:rPr>
          <w:szCs w:val="22"/>
        </w:rPr>
        <w:t>inaccurate te</w:t>
      </w:r>
      <w:r w:rsidRPr="00254D78" w:rsidR="00C30BB4">
        <w:rPr>
          <w:szCs w:val="22"/>
        </w:rPr>
        <w:t>chnical information.”</w:t>
      </w:r>
      <w:r>
        <w:rPr>
          <w:rStyle w:val="FootnoteReference"/>
          <w:szCs w:val="22"/>
        </w:rPr>
        <w:footnoteReference w:id="69"/>
      </w:r>
      <w:r w:rsidRPr="00254D78" w:rsidR="006D6C3E">
        <w:rPr>
          <w:szCs w:val="22"/>
        </w:rPr>
        <w:t xml:space="preserve"> </w:t>
      </w:r>
      <w:r w:rsidRPr="00254D78" w:rsidR="00C769CB">
        <w:rPr>
          <w:szCs w:val="22"/>
        </w:rPr>
        <w:t xml:space="preserve"> </w:t>
      </w:r>
      <w:r w:rsidRPr="00254D78" w:rsidR="00D86509">
        <w:rPr>
          <w:szCs w:val="22"/>
        </w:rPr>
        <w:t xml:space="preserve">We </w:t>
      </w:r>
      <w:r w:rsidR="00CB47A4">
        <w:rPr>
          <w:szCs w:val="22"/>
        </w:rPr>
        <w:t>further</w:t>
      </w:r>
      <w:r w:rsidRPr="00254D78" w:rsidR="00D86509">
        <w:rPr>
          <w:szCs w:val="22"/>
        </w:rPr>
        <w:t xml:space="preserve"> find that</w:t>
      </w:r>
      <w:r w:rsidRPr="00254D78" w:rsidR="006D6C3E">
        <w:rPr>
          <w:szCs w:val="22"/>
        </w:rPr>
        <w:t xml:space="preserve"> </w:t>
      </w:r>
      <w:r w:rsidR="005E3C85">
        <w:rPr>
          <w:szCs w:val="22"/>
        </w:rPr>
        <w:t>Shelby</w:t>
      </w:r>
      <w:r w:rsidRPr="00254D78" w:rsidR="005E3C85">
        <w:rPr>
          <w:szCs w:val="22"/>
        </w:rPr>
        <w:t xml:space="preserve"> </w:t>
      </w:r>
      <w:r w:rsidRPr="00254D78" w:rsidR="00D86509">
        <w:rPr>
          <w:szCs w:val="22"/>
        </w:rPr>
        <w:t xml:space="preserve">failed to timely </w:t>
      </w:r>
      <w:r w:rsidRPr="00254D78" w:rsidR="00766CC4">
        <w:rPr>
          <w:szCs w:val="22"/>
        </w:rPr>
        <w:t xml:space="preserve">request STA to operate from the lower </w:t>
      </w:r>
      <w:r w:rsidRPr="00254D78" w:rsidR="0074318B">
        <w:rPr>
          <w:szCs w:val="22"/>
        </w:rPr>
        <w:t xml:space="preserve">antenna </w:t>
      </w:r>
      <w:r w:rsidRPr="00254D78" w:rsidR="00766CC4">
        <w:rPr>
          <w:szCs w:val="22"/>
        </w:rPr>
        <w:t xml:space="preserve">height and </w:t>
      </w:r>
      <w:r w:rsidRPr="00254D78" w:rsidR="0074318B">
        <w:rPr>
          <w:szCs w:val="22"/>
        </w:rPr>
        <w:t>increased</w:t>
      </w:r>
      <w:r w:rsidRPr="00254D78" w:rsidR="00766CC4">
        <w:rPr>
          <w:szCs w:val="22"/>
        </w:rPr>
        <w:t xml:space="preserve"> </w:t>
      </w:r>
      <w:r w:rsidRPr="00254D78" w:rsidR="0024013A">
        <w:rPr>
          <w:szCs w:val="22"/>
        </w:rPr>
        <w:t>ERP</w:t>
      </w:r>
      <w:r w:rsidRPr="00254D78" w:rsidR="0096768C">
        <w:rPr>
          <w:szCs w:val="22"/>
        </w:rPr>
        <w:t>,</w:t>
      </w:r>
      <w:r w:rsidRPr="00254D78" w:rsidR="00C87F93">
        <w:rPr>
          <w:szCs w:val="22"/>
        </w:rPr>
        <w:t xml:space="preserve"> as </w:t>
      </w:r>
      <w:r w:rsidR="005E3C85">
        <w:rPr>
          <w:szCs w:val="22"/>
        </w:rPr>
        <w:t>Shelby</w:t>
      </w:r>
      <w:r w:rsidRPr="00254D78" w:rsidR="005E3C85">
        <w:rPr>
          <w:szCs w:val="22"/>
        </w:rPr>
        <w:t xml:space="preserve"> </w:t>
      </w:r>
      <w:r w:rsidRPr="00254D78" w:rsidR="00C87F93">
        <w:rPr>
          <w:szCs w:val="22"/>
        </w:rPr>
        <w:t xml:space="preserve">waited </w:t>
      </w:r>
      <w:r w:rsidRPr="00254D78" w:rsidR="00FF4194">
        <w:rPr>
          <w:szCs w:val="22"/>
        </w:rPr>
        <w:t xml:space="preserve">roughly </w:t>
      </w:r>
      <w:r w:rsidRPr="00254D78" w:rsidR="00FF4F58">
        <w:rPr>
          <w:szCs w:val="22"/>
        </w:rPr>
        <w:t>twenty months after the Station proceeded with unauthorized operations,</w:t>
      </w:r>
      <w:r w:rsidRPr="00254D78" w:rsidR="006D6C3E">
        <w:rPr>
          <w:szCs w:val="22"/>
        </w:rPr>
        <w:t xml:space="preserve"> </w:t>
      </w:r>
      <w:r w:rsidRPr="00254D78" w:rsidR="00AF4F1C">
        <w:rPr>
          <w:szCs w:val="22"/>
        </w:rPr>
        <w:t>until July 19</w:t>
      </w:r>
      <w:r w:rsidRPr="00254D78" w:rsidR="008C3684">
        <w:rPr>
          <w:szCs w:val="22"/>
        </w:rPr>
        <w:t>, 2018,</w:t>
      </w:r>
      <w:r w:rsidRPr="00254D78" w:rsidR="002E0FC0">
        <w:rPr>
          <w:szCs w:val="22"/>
        </w:rPr>
        <w:t xml:space="preserve"> and July </w:t>
      </w:r>
      <w:r w:rsidRPr="00254D78" w:rsidR="00EB580A">
        <w:rPr>
          <w:szCs w:val="22"/>
        </w:rPr>
        <w:t>23, 2018</w:t>
      </w:r>
      <w:r w:rsidRPr="00254D78" w:rsidR="008C3684">
        <w:rPr>
          <w:szCs w:val="22"/>
        </w:rPr>
        <w:t>,</w:t>
      </w:r>
      <w:r w:rsidRPr="00254D78" w:rsidR="00AF4F1C">
        <w:rPr>
          <w:szCs w:val="22"/>
        </w:rPr>
        <w:t xml:space="preserve"> </w:t>
      </w:r>
      <w:r w:rsidRPr="00254D78" w:rsidR="003313AE">
        <w:rPr>
          <w:szCs w:val="22"/>
        </w:rPr>
        <w:t>to file the Dismissed STA</w:t>
      </w:r>
      <w:r w:rsidRPr="00254D78" w:rsidR="00FD5A66">
        <w:rPr>
          <w:szCs w:val="22"/>
        </w:rPr>
        <w:t xml:space="preserve"> Application</w:t>
      </w:r>
      <w:r w:rsidRPr="00254D78" w:rsidR="00A61132">
        <w:rPr>
          <w:szCs w:val="22"/>
        </w:rPr>
        <w:t xml:space="preserve">, </w:t>
      </w:r>
      <w:r w:rsidRPr="00254D78" w:rsidR="00AF4F1C">
        <w:rPr>
          <w:szCs w:val="22"/>
        </w:rPr>
        <w:t>which lacked a reason</w:t>
      </w:r>
      <w:r w:rsidRPr="00254D78" w:rsidR="00A61132">
        <w:rPr>
          <w:szCs w:val="22"/>
        </w:rPr>
        <w:t xml:space="preserve"> for the request</w:t>
      </w:r>
      <w:r w:rsidRPr="00254D78" w:rsidR="008C3684">
        <w:rPr>
          <w:szCs w:val="22"/>
        </w:rPr>
        <w:t xml:space="preserve">, and </w:t>
      </w:r>
      <w:r w:rsidRPr="00254D78" w:rsidR="009D31E7">
        <w:rPr>
          <w:szCs w:val="22"/>
        </w:rPr>
        <w:t>the 2018 STA</w:t>
      </w:r>
      <w:r w:rsidRPr="00254D78" w:rsidR="00FD5A66">
        <w:rPr>
          <w:szCs w:val="22"/>
        </w:rPr>
        <w:t xml:space="preserve"> Application</w:t>
      </w:r>
      <w:r w:rsidR="003B3A46">
        <w:rPr>
          <w:szCs w:val="22"/>
        </w:rPr>
        <w:t>,</w:t>
      </w:r>
      <w:r w:rsidRPr="00254D78" w:rsidR="009D31E7">
        <w:rPr>
          <w:szCs w:val="22"/>
        </w:rPr>
        <w:t xml:space="preserve"> both of which were</w:t>
      </w:r>
      <w:r w:rsidR="002C4C2A">
        <w:rPr>
          <w:szCs w:val="22"/>
        </w:rPr>
        <w:t xml:space="preserve"> filed</w:t>
      </w:r>
      <w:r w:rsidRPr="00254D78" w:rsidR="008D5811">
        <w:rPr>
          <w:szCs w:val="22"/>
        </w:rPr>
        <w:t xml:space="preserve"> </w:t>
      </w:r>
      <w:r w:rsidR="005E3C85">
        <w:rPr>
          <w:szCs w:val="22"/>
        </w:rPr>
        <w:t>after</w:t>
      </w:r>
      <w:r w:rsidRPr="00254D78" w:rsidR="001857C7">
        <w:rPr>
          <w:szCs w:val="22"/>
        </w:rPr>
        <w:t xml:space="preserve"> </w:t>
      </w:r>
      <w:r w:rsidR="00BF2C29">
        <w:rPr>
          <w:szCs w:val="22"/>
        </w:rPr>
        <w:t>Marble City</w:t>
      </w:r>
      <w:r w:rsidR="005E3C85">
        <w:rPr>
          <w:szCs w:val="22"/>
        </w:rPr>
        <w:t xml:space="preserve"> filed the</w:t>
      </w:r>
      <w:r w:rsidRPr="00254D78" w:rsidR="00BF2C29">
        <w:rPr>
          <w:szCs w:val="22"/>
        </w:rPr>
        <w:t xml:space="preserve"> </w:t>
      </w:r>
      <w:r w:rsidRPr="00254D78" w:rsidR="008D5811">
        <w:rPr>
          <w:szCs w:val="22"/>
        </w:rPr>
        <w:t xml:space="preserve">2018 </w:t>
      </w:r>
      <w:r w:rsidR="005E3C85">
        <w:rPr>
          <w:szCs w:val="22"/>
        </w:rPr>
        <w:t>Complaint</w:t>
      </w:r>
      <w:r w:rsidRPr="00254D78" w:rsidR="008D5811">
        <w:rPr>
          <w:szCs w:val="22"/>
        </w:rPr>
        <w:t>.</w:t>
      </w:r>
      <w:r w:rsidRPr="00254D78" w:rsidR="00F24637">
        <w:rPr>
          <w:szCs w:val="22"/>
        </w:rPr>
        <w:t xml:space="preserve"> </w:t>
      </w:r>
      <w:r w:rsidRPr="00254D78" w:rsidR="008D5811">
        <w:rPr>
          <w:szCs w:val="22"/>
        </w:rPr>
        <w:t xml:space="preserve"> </w:t>
      </w:r>
      <w:r w:rsidRPr="00254D78">
        <w:rPr>
          <w:szCs w:val="22"/>
        </w:rPr>
        <w:t xml:space="preserve">In </w:t>
      </w:r>
      <w:r w:rsidR="006F135E">
        <w:rPr>
          <w:szCs w:val="22"/>
        </w:rPr>
        <w:t>light of these</w:t>
      </w:r>
      <w:r w:rsidRPr="00254D78">
        <w:rPr>
          <w:szCs w:val="22"/>
        </w:rPr>
        <w:t xml:space="preserve"> </w:t>
      </w:r>
      <w:r w:rsidR="006F135E">
        <w:rPr>
          <w:szCs w:val="22"/>
        </w:rPr>
        <w:t xml:space="preserve">admissions and </w:t>
      </w:r>
      <w:r w:rsidRPr="00254D78">
        <w:rPr>
          <w:szCs w:val="22"/>
        </w:rPr>
        <w:t xml:space="preserve">findings, we </w:t>
      </w:r>
      <w:r w:rsidR="00892141">
        <w:rPr>
          <w:szCs w:val="22"/>
        </w:rPr>
        <w:t xml:space="preserve">grant the </w:t>
      </w:r>
      <w:r w:rsidR="005E3C85">
        <w:rPr>
          <w:szCs w:val="22"/>
        </w:rPr>
        <w:t xml:space="preserve">Renewal </w:t>
      </w:r>
      <w:r w:rsidR="00892141">
        <w:rPr>
          <w:szCs w:val="22"/>
        </w:rPr>
        <w:t xml:space="preserve">Petition in part, and </w:t>
      </w:r>
      <w:r w:rsidR="00FC6FED">
        <w:rPr>
          <w:szCs w:val="22"/>
        </w:rPr>
        <w:t>find</w:t>
      </w:r>
      <w:r w:rsidRPr="00254D78">
        <w:rPr>
          <w:szCs w:val="22"/>
        </w:rPr>
        <w:t xml:space="preserve"> that a</w:t>
      </w:r>
      <w:r w:rsidR="00FC6FED">
        <w:rPr>
          <w:szCs w:val="22"/>
        </w:rPr>
        <w:t xml:space="preserve"> monetary</w:t>
      </w:r>
      <w:r w:rsidRPr="00254D78">
        <w:rPr>
          <w:szCs w:val="22"/>
        </w:rPr>
        <w:t xml:space="preserve"> forfeiture is</w:t>
      </w:r>
      <w:r w:rsidR="00FC6FED">
        <w:rPr>
          <w:szCs w:val="22"/>
        </w:rPr>
        <w:t xml:space="preserve"> an</w:t>
      </w:r>
      <w:r w:rsidRPr="00254D78">
        <w:rPr>
          <w:szCs w:val="22"/>
        </w:rPr>
        <w:t xml:space="preserve"> appropriate</w:t>
      </w:r>
      <w:r w:rsidR="00FC6FED">
        <w:rPr>
          <w:szCs w:val="22"/>
        </w:rPr>
        <w:t xml:space="preserve"> penalty</w:t>
      </w:r>
      <w:r w:rsidRPr="00254D78">
        <w:rPr>
          <w:szCs w:val="22"/>
        </w:rPr>
        <w:t>.</w:t>
      </w:r>
      <w:r>
        <w:rPr>
          <w:rStyle w:val="FootnoteReference"/>
          <w:szCs w:val="22"/>
        </w:rPr>
        <w:footnoteReference w:id="70"/>
      </w:r>
    </w:p>
    <w:p w:rsidR="00946A0A" w:rsidRPr="00946A0A" w:rsidP="00D90FA7" w14:paraId="5E257A1B" w14:textId="74F6E0D1">
      <w:pPr>
        <w:pStyle w:val="ParaNum"/>
        <w:spacing w:after="120"/>
        <w:jc w:val="left"/>
        <w:rPr>
          <w:szCs w:val="22"/>
        </w:rPr>
      </w:pPr>
      <w:r>
        <w:rPr>
          <w:i/>
          <w:szCs w:val="22"/>
        </w:rPr>
        <w:t>False Certification</w:t>
      </w:r>
      <w:r>
        <w:rPr>
          <w:iCs/>
          <w:szCs w:val="22"/>
        </w:rPr>
        <w:t xml:space="preserve">.  </w:t>
      </w:r>
      <w:r w:rsidRPr="000B67CE" w:rsidR="00016403">
        <w:t>Section 1.17(a</w:t>
      </w:r>
      <w:r w:rsidR="00016403">
        <w:t>)</w:t>
      </w:r>
      <w:r w:rsidRPr="000B67CE" w:rsidR="00016403">
        <w:t xml:space="preserve">(2) of the </w:t>
      </w:r>
      <w:r w:rsidR="00016403">
        <w:t>Rules</w:t>
      </w:r>
      <w:r w:rsidRPr="000B67CE" w:rsidR="00016403">
        <w:t xml:space="preserve"> provides that no person may provide, in any written statement of fact, “material factual information that is incorrect or omit material information that is necessary to prevent any material </w:t>
      </w:r>
      <w:r w:rsidRPr="009827A6" w:rsidR="00016403">
        <w:t>factual statement that is made from being incorrect or misleading without a reasonable basis for believing that any such material factual statement is correct and not misleading.”</w:t>
      </w:r>
      <w:r>
        <w:rPr>
          <w:rStyle w:val="FootnoteReference"/>
        </w:rPr>
        <w:footnoteReference w:id="71"/>
      </w:r>
      <w:r w:rsidRPr="000B67CE" w:rsidR="00016403">
        <w:t xml:space="preserve"> </w:t>
      </w:r>
      <w:r w:rsidR="00016403">
        <w:t xml:space="preserve"> </w:t>
      </w:r>
      <w:r w:rsidRPr="000B67CE" w:rsidR="00016403">
        <w:t xml:space="preserve">Even absent an intent to deceive, a false statement may constitute an actionable violation of </w:t>
      </w:r>
      <w:r w:rsidR="001C4D13">
        <w:t>s</w:t>
      </w:r>
      <w:r w:rsidRPr="000B67CE" w:rsidR="00016403">
        <w:t>ection 1.17(a</w:t>
      </w:r>
      <w:r w:rsidR="00016403">
        <w:t>)</w:t>
      </w:r>
      <w:r w:rsidRPr="000B67CE" w:rsidR="00016403">
        <w:t xml:space="preserve">(2) if it is </w:t>
      </w:r>
      <w:r w:rsidR="00016403">
        <w:t>submitted</w:t>
      </w:r>
      <w:r w:rsidRPr="000B67CE" w:rsidR="00016403">
        <w:t xml:space="preserve"> without a reasonable basis for believing that the statement is correct and not misleading.</w:t>
      </w:r>
      <w:r>
        <w:rPr>
          <w:rStyle w:val="FootnoteReference"/>
          <w:u w:val="single"/>
        </w:rPr>
        <w:footnoteReference w:id="72"/>
      </w:r>
      <w:r w:rsidRPr="000B67CE" w:rsidR="00016403">
        <w:t xml:space="preserve">  </w:t>
      </w:r>
    </w:p>
    <w:p w:rsidR="0088511D" w:rsidRPr="00946A0A" w:rsidP="00946A0A" w14:paraId="0379DA7F" w14:textId="4EDCE7FA">
      <w:pPr>
        <w:pStyle w:val="ParaNum"/>
        <w:spacing w:after="120"/>
        <w:jc w:val="left"/>
        <w:rPr>
          <w:szCs w:val="22"/>
        </w:rPr>
      </w:pPr>
      <w:r>
        <w:t>Shel</w:t>
      </w:r>
      <w:r w:rsidR="00C560F5">
        <w:t>b</w:t>
      </w:r>
      <w:r>
        <w:t xml:space="preserve">y </w:t>
      </w:r>
      <w:r w:rsidRPr="000B67CE">
        <w:t xml:space="preserve">certified </w:t>
      </w:r>
      <w:r w:rsidR="00946A0A">
        <w:t>“Yes” in</w:t>
      </w:r>
      <w:r w:rsidRPr="000B67CE">
        <w:t xml:space="preserve"> </w:t>
      </w:r>
      <w:r>
        <w:t>the Renewal A</w:t>
      </w:r>
      <w:r w:rsidRPr="000B67CE">
        <w:t xml:space="preserve">pplication that </w:t>
      </w:r>
      <w:r>
        <w:t>“there had been no violations by the licensee of the</w:t>
      </w:r>
      <w:r w:rsidR="00946A0A">
        <w:t xml:space="preserve"> Communications Act of 1934, as amended, or the rules or regulation of the Commission during the preceding license term.”</w:t>
      </w:r>
      <w:r>
        <w:rPr>
          <w:rStyle w:val="FootnoteReference"/>
        </w:rPr>
        <w:footnoteReference w:id="73"/>
      </w:r>
      <w:r w:rsidR="00946A0A">
        <w:rPr>
          <w:szCs w:val="22"/>
        </w:rPr>
        <w:t xml:space="preserve">  </w:t>
      </w:r>
      <w:r w:rsidR="00946A0A">
        <w:t>W</w:t>
      </w:r>
      <w:r w:rsidRPr="00566EBF">
        <w:t xml:space="preserve">e find that </w:t>
      </w:r>
      <w:r w:rsidR="00946A0A">
        <w:t>Shel</w:t>
      </w:r>
      <w:r w:rsidR="00C560F5">
        <w:t>b</w:t>
      </w:r>
      <w:r w:rsidR="00946A0A">
        <w:t xml:space="preserve">y </w:t>
      </w:r>
      <w:r>
        <w:t>apparently lacked a reasonable basis for this certification because</w:t>
      </w:r>
      <w:r w:rsidR="00946A0A">
        <w:t>, at the time the Renewal Application was filed in 2020,</w:t>
      </w:r>
      <w:r>
        <w:t xml:space="preserve"> </w:t>
      </w:r>
      <w:r w:rsidR="00946A0A">
        <w:t>Shel</w:t>
      </w:r>
      <w:r w:rsidR="001C4D13">
        <w:t>b</w:t>
      </w:r>
      <w:r w:rsidR="00946A0A">
        <w:t>y</w:t>
      </w:r>
      <w:r>
        <w:t xml:space="preserve"> </w:t>
      </w:r>
      <w:r w:rsidR="00946A0A">
        <w:t xml:space="preserve">was aware that the </w:t>
      </w:r>
      <w:r w:rsidR="00946A0A">
        <w:t xml:space="preserve">Station was operating with an incorrect antenna height. </w:t>
      </w:r>
      <w:r w:rsidR="00E263D6">
        <w:t xml:space="preserve"> M</w:t>
      </w:r>
      <w:r w:rsidR="00E263D6">
        <w:rPr>
          <w:szCs w:val="22"/>
        </w:rPr>
        <w:t>oreover, while Shelby amended its application certifications regarding unresolved character issues, it should not have certified that there were no prior violations during the license term, and Shelby has yet to amend its application, or otherwise attach an explanatory exhibit detailing its violations.</w:t>
      </w:r>
      <w:r w:rsidR="00E263D6">
        <w:t xml:space="preserve"> </w:t>
      </w:r>
      <w:r w:rsidR="00C46BE7">
        <w:t xml:space="preserve"> </w:t>
      </w:r>
      <w:r>
        <w:t>We accordingly issue this</w:t>
      </w:r>
      <w:r w:rsidRPr="00946A0A">
        <w:rPr>
          <w:i/>
        </w:rPr>
        <w:t xml:space="preserve"> NAL</w:t>
      </w:r>
      <w:r>
        <w:t xml:space="preserve"> to </w:t>
      </w:r>
      <w:r w:rsidR="001C4D13">
        <w:t>Shelby</w:t>
      </w:r>
      <w:r>
        <w:t xml:space="preserve"> for this apparent violation of </w:t>
      </w:r>
      <w:r w:rsidR="00946A0A">
        <w:t>s</w:t>
      </w:r>
      <w:r>
        <w:t xml:space="preserve">ection 1.17(a)(2) of the </w:t>
      </w:r>
      <w:r w:rsidR="00946A0A">
        <w:t>R</w:t>
      </w:r>
      <w:r>
        <w:t>ules.</w:t>
      </w:r>
      <w:r w:rsidRPr="00946A0A" w:rsidR="00441008">
        <w:rPr>
          <w:i/>
          <w:szCs w:val="22"/>
        </w:rPr>
        <w:t xml:space="preserve">  </w:t>
      </w:r>
    </w:p>
    <w:p w:rsidR="00441008" w:rsidRPr="00E263D6" w:rsidP="00E263D6" w14:paraId="3D8A3061" w14:textId="2876E3E7">
      <w:pPr>
        <w:pStyle w:val="ParaNum"/>
        <w:spacing w:after="120"/>
        <w:jc w:val="left"/>
        <w:rPr>
          <w:szCs w:val="22"/>
        </w:rPr>
      </w:pPr>
      <w:r w:rsidRPr="00254D78">
        <w:rPr>
          <w:i/>
          <w:szCs w:val="22"/>
        </w:rPr>
        <w:t>Proposed Forfeiture.</w:t>
      </w:r>
      <w:r w:rsidRPr="00254D78">
        <w:rPr>
          <w:szCs w:val="22"/>
        </w:rPr>
        <w:t xml:space="preserve">  We find that </w:t>
      </w:r>
      <w:r w:rsidR="005E3C85">
        <w:rPr>
          <w:szCs w:val="22"/>
        </w:rPr>
        <w:t>Shelby</w:t>
      </w:r>
      <w:r w:rsidRPr="00254D78" w:rsidR="005E3C85">
        <w:rPr>
          <w:szCs w:val="22"/>
        </w:rPr>
        <w:t xml:space="preserve"> </w:t>
      </w:r>
      <w:r w:rsidRPr="00254D78">
        <w:rPr>
          <w:szCs w:val="22"/>
        </w:rPr>
        <w:t xml:space="preserve">has apparently willfully and repeatedly violated </w:t>
      </w:r>
      <w:r w:rsidRPr="00254D78" w:rsidR="000B70A8">
        <w:rPr>
          <w:szCs w:val="22"/>
        </w:rPr>
        <w:t>s</w:t>
      </w:r>
      <w:r w:rsidRPr="00254D78">
        <w:rPr>
          <w:szCs w:val="22"/>
        </w:rPr>
        <w:t xml:space="preserve">ection 301 of the Act and </w:t>
      </w:r>
      <w:r w:rsidRPr="00254D78" w:rsidR="000B70A8">
        <w:rPr>
          <w:szCs w:val="22"/>
        </w:rPr>
        <w:t>s</w:t>
      </w:r>
      <w:r w:rsidRPr="00254D78">
        <w:rPr>
          <w:szCs w:val="22"/>
        </w:rPr>
        <w:t xml:space="preserve">ection 73.1745 of the Rules by engaging in unauthorized operation of the Station </w:t>
      </w:r>
      <w:r w:rsidRPr="00C86ACE">
        <w:rPr>
          <w:szCs w:val="22"/>
        </w:rPr>
        <w:t xml:space="preserve">from </w:t>
      </w:r>
      <w:r w:rsidRPr="00C86ACE" w:rsidR="0016299A">
        <w:rPr>
          <w:szCs w:val="22"/>
        </w:rPr>
        <w:t>June 20, 2017,</w:t>
      </w:r>
      <w:r w:rsidR="0016299A">
        <w:rPr>
          <w:szCs w:val="22"/>
        </w:rPr>
        <w:t xml:space="preserve"> when it became the licensee of the Translator</w:t>
      </w:r>
      <w:r w:rsidRPr="00254D78" w:rsidR="00946414">
        <w:rPr>
          <w:szCs w:val="22"/>
        </w:rPr>
        <w:t>,</w:t>
      </w:r>
      <w:r w:rsidRPr="00254D78">
        <w:rPr>
          <w:szCs w:val="22"/>
        </w:rPr>
        <w:t xml:space="preserve"> to the present.  We also find that </w:t>
      </w:r>
      <w:r w:rsidR="005E3C85">
        <w:rPr>
          <w:szCs w:val="22"/>
        </w:rPr>
        <w:t>Shelby</w:t>
      </w:r>
      <w:r w:rsidRPr="00254D78" w:rsidR="005E3C85">
        <w:rPr>
          <w:szCs w:val="22"/>
        </w:rPr>
        <w:t xml:space="preserve"> </w:t>
      </w:r>
      <w:r w:rsidRPr="00254D78">
        <w:rPr>
          <w:szCs w:val="22"/>
        </w:rPr>
        <w:t xml:space="preserve">apparently willfully violated </w:t>
      </w:r>
      <w:r w:rsidRPr="00254D78" w:rsidR="00860A36">
        <w:rPr>
          <w:szCs w:val="22"/>
        </w:rPr>
        <w:t>s</w:t>
      </w:r>
      <w:r w:rsidRPr="00254D78">
        <w:rPr>
          <w:szCs w:val="22"/>
        </w:rPr>
        <w:t xml:space="preserve">ection 73.1635(a)(1) of the Rules by failing to timely file the </w:t>
      </w:r>
      <w:r w:rsidRPr="00254D78" w:rsidR="00CA2B5E">
        <w:rPr>
          <w:szCs w:val="22"/>
        </w:rPr>
        <w:t>Dismissed and 2018</w:t>
      </w:r>
      <w:r w:rsidRPr="00254D78">
        <w:rPr>
          <w:szCs w:val="22"/>
        </w:rPr>
        <w:t xml:space="preserve"> STA</w:t>
      </w:r>
      <w:r w:rsidRPr="00254D78" w:rsidR="00CA2B5E">
        <w:rPr>
          <w:szCs w:val="22"/>
        </w:rPr>
        <w:t>s</w:t>
      </w:r>
      <w:r w:rsidR="00232B94">
        <w:rPr>
          <w:szCs w:val="22"/>
        </w:rPr>
        <w:t>.</w:t>
      </w:r>
      <w:r w:rsidR="00C560F5">
        <w:rPr>
          <w:szCs w:val="22"/>
        </w:rPr>
        <w:t xml:space="preserve">  </w:t>
      </w:r>
      <w:r w:rsidR="00232B94">
        <w:rPr>
          <w:szCs w:val="22"/>
        </w:rPr>
        <w:t>W</w:t>
      </w:r>
      <w:r w:rsidRPr="00254D78">
        <w:rPr>
          <w:szCs w:val="22"/>
        </w:rPr>
        <w:t xml:space="preserve">e further find that </w:t>
      </w:r>
      <w:r w:rsidR="0016299A">
        <w:rPr>
          <w:szCs w:val="22"/>
        </w:rPr>
        <w:t>Shelby</w:t>
      </w:r>
      <w:r w:rsidRPr="00254D78" w:rsidR="0016299A">
        <w:rPr>
          <w:szCs w:val="22"/>
        </w:rPr>
        <w:t xml:space="preserve"> </w:t>
      </w:r>
      <w:r w:rsidRPr="00254D78">
        <w:rPr>
          <w:szCs w:val="22"/>
        </w:rPr>
        <w:t xml:space="preserve">apparently willfully violated </w:t>
      </w:r>
      <w:r w:rsidRPr="00254D78" w:rsidR="00860A36">
        <w:rPr>
          <w:szCs w:val="22"/>
        </w:rPr>
        <w:t>s</w:t>
      </w:r>
      <w:r w:rsidRPr="00254D78">
        <w:rPr>
          <w:szCs w:val="22"/>
        </w:rPr>
        <w:t xml:space="preserve">ection 1.17 of the Rules by failing to </w:t>
      </w:r>
      <w:r w:rsidRPr="00254D78" w:rsidR="00142E31">
        <w:rPr>
          <w:szCs w:val="22"/>
        </w:rPr>
        <w:t>provide</w:t>
      </w:r>
      <w:r w:rsidRPr="00254D78" w:rsidR="00186BB7">
        <w:rPr>
          <w:szCs w:val="22"/>
        </w:rPr>
        <w:t xml:space="preserve"> accurate technic</w:t>
      </w:r>
      <w:r w:rsidRPr="00254D78" w:rsidR="00DD335B">
        <w:rPr>
          <w:szCs w:val="22"/>
        </w:rPr>
        <w:t>al specifications in the 2015</w:t>
      </w:r>
      <w:r w:rsidRPr="00254D78">
        <w:rPr>
          <w:szCs w:val="22"/>
        </w:rPr>
        <w:t xml:space="preserve"> STA Application</w:t>
      </w:r>
      <w:r w:rsidR="00232B94">
        <w:rPr>
          <w:szCs w:val="22"/>
        </w:rPr>
        <w:t xml:space="preserve"> and by not disclosing it</w:t>
      </w:r>
      <w:r w:rsidR="00C560F5">
        <w:rPr>
          <w:szCs w:val="22"/>
        </w:rPr>
        <w:t>s</w:t>
      </w:r>
      <w:r w:rsidR="00232B94">
        <w:rPr>
          <w:szCs w:val="22"/>
        </w:rPr>
        <w:t xml:space="preserve"> violation of section 301 of the Act and sections 73.1745 and 73.1635(a)(1) of the Rules</w:t>
      </w:r>
      <w:r w:rsidR="00C560F5">
        <w:rPr>
          <w:szCs w:val="22"/>
        </w:rPr>
        <w:t xml:space="preserve"> in the Renewal Application</w:t>
      </w:r>
      <w:r w:rsidRPr="00254D78">
        <w:rPr>
          <w:szCs w:val="22"/>
        </w:rPr>
        <w:t>.</w:t>
      </w:r>
      <w:r w:rsidR="00E263D6">
        <w:rPr>
          <w:szCs w:val="22"/>
        </w:rPr>
        <w:t xml:space="preserve">  </w:t>
      </w:r>
      <w:r w:rsidRPr="00E263D6">
        <w:rPr>
          <w:szCs w:val="22"/>
        </w:rPr>
        <w:t xml:space="preserve">Under </w:t>
      </w:r>
      <w:r w:rsidRPr="00E263D6" w:rsidR="00860A36">
        <w:rPr>
          <w:szCs w:val="22"/>
        </w:rPr>
        <w:t>s</w:t>
      </w:r>
      <w:r w:rsidRPr="00E263D6">
        <w:rPr>
          <w:szCs w:val="22"/>
        </w:rPr>
        <w:t>ection 503(b)(1)(B) of the Act, a person who is found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74"/>
      </w:r>
      <w:r w:rsidRPr="00E263D6">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75"/>
      </w:r>
      <w:r w:rsidRPr="00E263D6">
        <w:rPr>
          <w:szCs w:val="22"/>
        </w:rPr>
        <w:t xml:space="preserve">  The legislative history to </w:t>
      </w:r>
      <w:r w:rsidRPr="00E263D6" w:rsidR="00860A36">
        <w:rPr>
          <w:szCs w:val="22"/>
        </w:rPr>
        <w:t>s</w:t>
      </w:r>
      <w:r w:rsidRPr="00E263D6">
        <w:rPr>
          <w:szCs w:val="22"/>
        </w:rPr>
        <w:t xml:space="preserve">ection 312(f)(1) of the Act clarifies that this definition of willful applies to both </w:t>
      </w:r>
      <w:r w:rsidRPr="00E263D6" w:rsidR="00860A36">
        <w:rPr>
          <w:szCs w:val="22"/>
        </w:rPr>
        <w:t>s</w:t>
      </w:r>
      <w:r w:rsidRPr="00E263D6">
        <w:rPr>
          <w:szCs w:val="22"/>
        </w:rPr>
        <w:t>ections 312 and 503(b) of the Act,</w:t>
      </w:r>
      <w:r>
        <w:rPr>
          <w:rStyle w:val="FootnoteReference"/>
          <w:szCs w:val="22"/>
        </w:rPr>
        <w:footnoteReference w:id="76"/>
      </w:r>
      <w:r w:rsidRPr="00E263D6">
        <w:rPr>
          <w:szCs w:val="22"/>
        </w:rPr>
        <w:t xml:space="preserve"> and the Commission has so interpreted the term in the </w:t>
      </w:r>
      <w:r w:rsidRPr="00E263D6" w:rsidR="00860A36">
        <w:rPr>
          <w:szCs w:val="22"/>
        </w:rPr>
        <w:t>s</w:t>
      </w:r>
      <w:r w:rsidRPr="00E263D6">
        <w:rPr>
          <w:szCs w:val="22"/>
        </w:rPr>
        <w:t>ection 503(b) context.</w:t>
      </w:r>
      <w:r>
        <w:rPr>
          <w:rStyle w:val="FootnoteReference"/>
          <w:szCs w:val="22"/>
        </w:rPr>
        <w:footnoteReference w:id="77"/>
      </w:r>
      <w:r w:rsidRPr="00E263D6">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78"/>
      </w:r>
      <w:r w:rsidRPr="00E263D6">
        <w:rPr>
          <w:szCs w:val="22"/>
        </w:rPr>
        <w:t xml:space="preserve">  </w:t>
      </w:r>
    </w:p>
    <w:p w:rsidR="00441008" w:rsidRPr="00254D78" w:rsidP="00D90FA7" w14:paraId="796ED82B" w14:textId="648B0093">
      <w:pPr>
        <w:pStyle w:val="ParaNum"/>
        <w:spacing w:after="120"/>
        <w:jc w:val="left"/>
        <w:rPr>
          <w:szCs w:val="22"/>
        </w:rPr>
      </w:pPr>
      <w:r w:rsidRPr="00254D78">
        <w:rPr>
          <w:szCs w:val="22"/>
        </w:rPr>
        <w:t>The</w:t>
      </w:r>
      <w:r w:rsidRPr="00254D78">
        <w:rPr>
          <w:i/>
          <w:szCs w:val="22"/>
        </w:rPr>
        <w:t xml:space="preserve"> </w:t>
      </w:r>
      <w:r w:rsidRPr="00254D78">
        <w:rPr>
          <w:szCs w:val="22"/>
        </w:rPr>
        <w:t>Commission’s</w:t>
      </w:r>
      <w:r w:rsidRPr="00254D78">
        <w:rPr>
          <w:i/>
          <w:szCs w:val="22"/>
        </w:rPr>
        <w:t xml:space="preserve"> Forfeiture Policy Statement</w:t>
      </w:r>
      <w:r w:rsidRPr="00254D78">
        <w:rPr>
          <w:szCs w:val="22"/>
        </w:rPr>
        <w:t xml:space="preserve"> and </w:t>
      </w:r>
      <w:r w:rsidR="00B952F8">
        <w:rPr>
          <w:szCs w:val="22"/>
        </w:rPr>
        <w:t>s</w:t>
      </w:r>
      <w:r w:rsidRPr="00254D78">
        <w:rPr>
          <w:szCs w:val="22"/>
        </w:rPr>
        <w:t xml:space="preserve">ection </w:t>
      </w:r>
      <w:r w:rsidRPr="005B5F94">
        <w:rPr>
          <w:szCs w:val="22"/>
        </w:rPr>
        <w:t>1.80(b)(</w:t>
      </w:r>
      <w:r w:rsidRPr="005B5F94" w:rsidR="00D4537A">
        <w:rPr>
          <w:szCs w:val="22"/>
        </w:rPr>
        <w:t>1</w:t>
      </w:r>
      <w:r w:rsidRPr="005B5F94" w:rsidR="005B5F94">
        <w:rPr>
          <w:szCs w:val="22"/>
        </w:rPr>
        <w:t>1</w:t>
      </w:r>
      <w:r w:rsidRPr="005B5F94">
        <w:rPr>
          <w:szCs w:val="22"/>
        </w:rPr>
        <w:t>)</w:t>
      </w:r>
      <w:r w:rsidRPr="00254D78">
        <w:rPr>
          <w:szCs w:val="22"/>
        </w:rPr>
        <w:t xml:space="preserve"> of the Rules establish a base forfeiture amount of $10,000 for operation without an instrument of authorization for the service</w:t>
      </w:r>
      <w:r w:rsidR="006355BE">
        <w:rPr>
          <w:szCs w:val="22"/>
        </w:rPr>
        <w:t>,</w:t>
      </w:r>
      <w:r w:rsidRPr="00254D78">
        <w:rPr>
          <w:szCs w:val="22"/>
        </w:rPr>
        <w:t xml:space="preserve"> </w:t>
      </w:r>
      <w:r w:rsidRPr="00254D78" w:rsidR="007A66CA">
        <w:rPr>
          <w:szCs w:val="22"/>
        </w:rPr>
        <w:t xml:space="preserve">and </w:t>
      </w:r>
      <w:r w:rsidRPr="00254D78">
        <w:rPr>
          <w:szCs w:val="22"/>
        </w:rPr>
        <w:t>$</w:t>
      </w:r>
      <w:r w:rsidRPr="00254D78" w:rsidR="001A47A7">
        <w:rPr>
          <w:szCs w:val="22"/>
        </w:rPr>
        <w:t>3</w:t>
      </w:r>
      <w:r w:rsidRPr="00254D78">
        <w:rPr>
          <w:szCs w:val="22"/>
        </w:rPr>
        <w:t>,000 for failure to file a required form</w:t>
      </w:r>
      <w:r w:rsidR="006355BE">
        <w:rPr>
          <w:szCs w:val="22"/>
        </w:rPr>
        <w:t xml:space="preserve"> or information</w:t>
      </w:r>
      <w:r w:rsidRPr="00632FB4">
        <w:rPr>
          <w:bCs/>
          <w:szCs w:val="22"/>
        </w:rPr>
        <w:t>.</w:t>
      </w:r>
      <w:r>
        <w:rPr>
          <w:rStyle w:val="FootnoteReference"/>
          <w:szCs w:val="22"/>
        </w:rPr>
        <w:footnoteReference w:id="79"/>
      </w:r>
      <w:r w:rsidRPr="00254D78">
        <w:rPr>
          <w:szCs w:val="22"/>
        </w:rPr>
        <w:t xml:space="preserve"> </w:t>
      </w:r>
      <w:r w:rsidR="002C0598">
        <w:rPr>
          <w:szCs w:val="22"/>
        </w:rPr>
        <w:t xml:space="preserve"> </w:t>
      </w:r>
      <w:r w:rsidRPr="00254D78">
        <w:rPr>
          <w:szCs w:val="22"/>
        </w:rPr>
        <w:t xml:space="preserve">In determining the appropriate forfeiture amount, we may adjust the base amount upward or downward by considering the factors enumerated in </w:t>
      </w:r>
      <w:r w:rsidR="001C16C1">
        <w:rPr>
          <w:szCs w:val="22"/>
        </w:rPr>
        <w:t>s</w:t>
      </w:r>
      <w:r w:rsidRPr="00254D78">
        <w:rPr>
          <w:szCs w:val="22"/>
        </w:rPr>
        <w:t>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80"/>
      </w:r>
    </w:p>
    <w:p w:rsidR="00972BAC" w:rsidRPr="00254D78" w:rsidP="00D90FA7" w14:paraId="646C1F6B" w14:textId="68CB1577">
      <w:pPr>
        <w:pStyle w:val="ParaNum"/>
        <w:spacing w:after="120"/>
        <w:ind w:right="-90"/>
        <w:jc w:val="left"/>
        <w:rPr>
          <w:szCs w:val="22"/>
        </w:rPr>
      </w:pPr>
      <w:r w:rsidRPr="00254D78">
        <w:rPr>
          <w:szCs w:val="22"/>
        </w:rPr>
        <w:t xml:space="preserve">Here, </w:t>
      </w:r>
      <w:r w:rsidR="007373BF">
        <w:rPr>
          <w:szCs w:val="22"/>
        </w:rPr>
        <w:t>the Station</w:t>
      </w:r>
      <w:r w:rsidRPr="00254D78">
        <w:rPr>
          <w:szCs w:val="22"/>
        </w:rPr>
        <w:t xml:space="preserve"> has apparently been operating at variance from the terms of its authorization since </w:t>
      </w:r>
      <w:r w:rsidRPr="00254D78" w:rsidR="00E8151A">
        <w:rPr>
          <w:szCs w:val="22"/>
        </w:rPr>
        <w:t xml:space="preserve">November </w:t>
      </w:r>
      <w:r w:rsidRPr="00254D78" w:rsidR="00F73701">
        <w:rPr>
          <w:szCs w:val="22"/>
        </w:rPr>
        <w:t>8</w:t>
      </w:r>
      <w:r w:rsidRPr="00254D78" w:rsidR="00E8151A">
        <w:rPr>
          <w:szCs w:val="22"/>
        </w:rPr>
        <w:t>, 201</w:t>
      </w:r>
      <w:r w:rsidRPr="00254D78" w:rsidR="00E23BF0">
        <w:rPr>
          <w:szCs w:val="22"/>
        </w:rPr>
        <w:t>5</w:t>
      </w:r>
      <w:r w:rsidR="00E87334">
        <w:rPr>
          <w:szCs w:val="22"/>
        </w:rPr>
        <w:t xml:space="preserve">, despite the filing </w:t>
      </w:r>
      <w:r w:rsidR="004813BD">
        <w:rPr>
          <w:szCs w:val="22"/>
        </w:rPr>
        <w:t xml:space="preserve">and grant </w:t>
      </w:r>
      <w:r w:rsidR="00E87334">
        <w:rPr>
          <w:szCs w:val="22"/>
        </w:rPr>
        <w:t xml:space="preserve">of the 2015 STA </w:t>
      </w:r>
      <w:r w:rsidR="00432D96">
        <w:rPr>
          <w:szCs w:val="22"/>
        </w:rPr>
        <w:t xml:space="preserve">Application </w:t>
      </w:r>
      <w:r w:rsidR="00E87334">
        <w:rPr>
          <w:szCs w:val="22"/>
        </w:rPr>
        <w:t>and STA Extension</w:t>
      </w:r>
      <w:r w:rsidR="00780F79">
        <w:rPr>
          <w:szCs w:val="22"/>
        </w:rPr>
        <w:t xml:space="preserve"> Application</w:t>
      </w:r>
      <w:r w:rsidR="001C4D13">
        <w:rPr>
          <w:szCs w:val="22"/>
        </w:rPr>
        <w:t>.</w:t>
      </w:r>
      <w:r w:rsidR="00ED122F">
        <w:rPr>
          <w:szCs w:val="22"/>
        </w:rPr>
        <w:t xml:space="preserve"> </w:t>
      </w:r>
      <w:r w:rsidR="001C4D13">
        <w:rPr>
          <w:szCs w:val="22"/>
        </w:rPr>
        <w:t xml:space="preserve"> </w:t>
      </w:r>
      <w:r w:rsidR="001C6F60">
        <w:rPr>
          <w:szCs w:val="22"/>
        </w:rPr>
        <w:t>Shelby</w:t>
      </w:r>
      <w:r w:rsidRPr="00254D78" w:rsidR="001C6F60">
        <w:rPr>
          <w:szCs w:val="22"/>
        </w:rPr>
        <w:t xml:space="preserve"> </w:t>
      </w:r>
      <w:r w:rsidRPr="00254D78">
        <w:rPr>
          <w:szCs w:val="22"/>
        </w:rPr>
        <w:t xml:space="preserve">has since taken corrective action to come into compliance with the Act and our Rules, by filing the </w:t>
      </w:r>
      <w:r w:rsidR="00CF7714">
        <w:rPr>
          <w:szCs w:val="22"/>
        </w:rPr>
        <w:t xml:space="preserve">Modification Application and the </w:t>
      </w:r>
      <w:r w:rsidRPr="00254D78" w:rsidR="00401BCC">
        <w:rPr>
          <w:szCs w:val="22"/>
        </w:rPr>
        <w:t>2018</w:t>
      </w:r>
      <w:r w:rsidRPr="00254D78">
        <w:rPr>
          <w:szCs w:val="22"/>
        </w:rPr>
        <w:t xml:space="preserve"> STA Application.  However, this corrective action is expected and does not nullify or mitigate the violations.</w:t>
      </w:r>
      <w:r>
        <w:rPr>
          <w:rStyle w:val="FootnoteReference"/>
          <w:szCs w:val="22"/>
        </w:rPr>
        <w:footnoteReference w:id="81"/>
      </w:r>
      <w:r w:rsidRPr="00254D78">
        <w:rPr>
          <w:szCs w:val="22"/>
        </w:rPr>
        <w:t xml:space="preserve">  For the unauthorized operations, extensive </w:t>
      </w:r>
      <w:r w:rsidRPr="00254D78">
        <w:rPr>
          <w:szCs w:val="22"/>
        </w:rPr>
        <w:t>period of time</w:t>
      </w:r>
      <w:r w:rsidRPr="00254D78" w:rsidR="00E92948">
        <w:rPr>
          <w:szCs w:val="22"/>
        </w:rPr>
        <w:t>,</w:t>
      </w:r>
      <w:r w:rsidRPr="00254D78">
        <w:rPr>
          <w:szCs w:val="22"/>
        </w:rPr>
        <w:t xml:space="preserve"> and ongoing nature of the violation</w:t>
      </w:r>
      <w:r w:rsidRPr="00254D78" w:rsidR="00E92948">
        <w:rPr>
          <w:szCs w:val="22"/>
        </w:rPr>
        <w:t>s</w:t>
      </w:r>
      <w:r w:rsidR="00AE5CEF">
        <w:rPr>
          <w:szCs w:val="22"/>
        </w:rPr>
        <w:t>,</w:t>
      </w:r>
      <w:r w:rsidRPr="00254D78">
        <w:rPr>
          <w:szCs w:val="22"/>
        </w:rPr>
        <w:t xml:space="preserve"> a forfeiture in the base amount of $10,000 is appropriate.</w:t>
      </w:r>
      <w:r>
        <w:rPr>
          <w:rStyle w:val="FootnoteReference"/>
          <w:szCs w:val="22"/>
        </w:rPr>
        <w:footnoteReference w:id="82"/>
      </w:r>
      <w:r w:rsidRPr="00254D78">
        <w:rPr>
          <w:szCs w:val="22"/>
        </w:rPr>
        <w:t xml:space="preserve">  </w:t>
      </w:r>
      <w:r w:rsidRPr="00254D78" w:rsidR="005D1790">
        <w:rPr>
          <w:szCs w:val="22"/>
        </w:rPr>
        <w:t>Regarding</w:t>
      </w:r>
      <w:r w:rsidRPr="00254D78">
        <w:rPr>
          <w:szCs w:val="22"/>
        </w:rPr>
        <w:t xml:space="preserve"> </w:t>
      </w:r>
      <w:r w:rsidR="0016299A">
        <w:rPr>
          <w:szCs w:val="22"/>
        </w:rPr>
        <w:t>Shelby</w:t>
      </w:r>
      <w:r w:rsidRPr="00254D78" w:rsidR="0016299A">
        <w:rPr>
          <w:szCs w:val="22"/>
        </w:rPr>
        <w:t xml:space="preserve">’s </w:t>
      </w:r>
      <w:r w:rsidRPr="00254D78">
        <w:rPr>
          <w:szCs w:val="22"/>
        </w:rPr>
        <w:t>failure to timely file the required STA</w:t>
      </w:r>
      <w:r w:rsidR="00A5284C">
        <w:rPr>
          <w:szCs w:val="22"/>
        </w:rPr>
        <w:t xml:space="preserve"> and corresponding technical information</w:t>
      </w:r>
      <w:r w:rsidRPr="00254D78">
        <w:rPr>
          <w:szCs w:val="22"/>
        </w:rPr>
        <w:t>, a forfeiture in the base amount of $3,000 is appropriate.</w:t>
      </w:r>
      <w:r>
        <w:rPr>
          <w:rStyle w:val="FootnoteReference"/>
          <w:szCs w:val="22"/>
        </w:rPr>
        <w:footnoteReference w:id="83"/>
      </w:r>
      <w:r w:rsidRPr="00254D78">
        <w:rPr>
          <w:szCs w:val="22"/>
        </w:rPr>
        <w:t xml:space="preserve"> </w:t>
      </w:r>
      <w:r w:rsidR="00B6154B">
        <w:rPr>
          <w:szCs w:val="22"/>
        </w:rPr>
        <w:t xml:space="preserve"> </w:t>
      </w:r>
      <w:r w:rsidR="00300E02">
        <w:rPr>
          <w:szCs w:val="22"/>
        </w:rPr>
        <w:t xml:space="preserve">Taking into consideration all of the factors required by section 503(b)(2)(E) of the Act and </w:t>
      </w:r>
      <w:r w:rsidRPr="001803D0" w:rsidR="00300E02">
        <w:rPr>
          <w:szCs w:val="22"/>
        </w:rPr>
        <w:t xml:space="preserve">the </w:t>
      </w:r>
      <w:r w:rsidRPr="003409D0" w:rsidR="00300E02">
        <w:rPr>
          <w:i/>
          <w:iCs/>
          <w:szCs w:val="22"/>
        </w:rPr>
        <w:t>Forfeiture Policy Statement</w:t>
      </w:r>
      <w:r w:rsidRPr="001803D0" w:rsidR="00300E02">
        <w:rPr>
          <w:szCs w:val="22"/>
        </w:rPr>
        <w:t xml:space="preserve">, </w:t>
      </w:r>
      <w:r w:rsidR="00300E02">
        <w:rPr>
          <w:rStyle w:val="normaltextrun"/>
          <w:szCs w:val="22"/>
        </w:rPr>
        <w:t>we will reduce the forfeiture for these apparent violations from the base amount of $10,000 for unauthorized service to $5,000</w:t>
      </w:r>
      <w:r w:rsidR="004D5940">
        <w:rPr>
          <w:rStyle w:val="normaltextrun"/>
          <w:szCs w:val="22"/>
        </w:rPr>
        <w:t>,</w:t>
      </w:r>
      <w:r w:rsidR="00300E02">
        <w:rPr>
          <w:rStyle w:val="normaltextrun"/>
          <w:szCs w:val="22"/>
        </w:rPr>
        <w:t xml:space="preserve"> and from $3,000 for </w:t>
      </w:r>
      <w:r w:rsidR="003C0F5C">
        <w:rPr>
          <w:rStyle w:val="normaltextrun"/>
          <w:szCs w:val="22"/>
        </w:rPr>
        <w:t xml:space="preserve">the </w:t>
      </w:r>
      <w:r w:rsidR="00300E02">
        <w:rPr>
          <w:rStyle w:val="normaltextrun"/>
          <w:szCs w:val="22"/>
        </w:rPr>
        <w:t xml:space="preserve">late-filed </w:t>
      </w:r>
      <w:r w:rsidR="003C0F5C">
        <w:rPr>
          <w:rStyle w:val="normaltextrun"/>
          <w:szCs w:val="22"/>
        </w:rPr>
        <w:t xml:space="preserve">STA </w:t>
      </w:r>
      <w:r w:rsidR="00300E02">
        <w:rPr>
          <w:rStyle w:val="normaltextrun"/>
          <w:szCs w:val="22"/>
        </w:rPr>
        <w:t>applications, to $1,500</w:t>
      </w:r>
      <w:r w:rsidR="005F11C4">
        <w:rPr>
          <w:rStyle w:val="normaltextrun"/>
          <w:szCs w:val="22"/>
        </w:rPr>
        <w:t xml:space="preserve"> </w:t>
      </w:r>
      <w:r w:rsidR="00300E02">
        <w:rPr>
          <w:rStyle w:val="normaltextrun"/>
          <w:szCs w:val="22"/>
        </w:rPr>
        <w:t>because, as a</w:t>
      </w:r>
      <w:r w:rsidR="00432D96">
        <w:rPr>
          <w:rStyle w:val="normaltextrun"/>
          <w:szCs w:val="22"/>
        </w:rPr>
        <w:t xml:space="preserve"> translator</w:t>
      </w:r>
      <w:r w:rsidR="00300E02">
        <w:rPr>
          <w:rStyle w:val="normaltextrun"/>
          <w:szCs w:val="22"/>
        </w:rPr>
        <w:t xml:space="preserve"> station, the Station is providing a secondary service.</w:t>
      </w:r>
      <w:r>
        <w:rPr>
          <w:rStyle w:val="FootnoteReference"/>
          <w:szCs w:val="22"/>
        </w:rPr>
        <w:footnoteReference w:id="84"/>
      </w:r>
      <w:r w:rsidR="00300E02">
        <w:rPr>
          <w:rStyle w:val="normaltextrun"/>
          <w:szCs w:val="22"/>
        </w:rPr>
        <w:t xml:space="preserve">  </w:t>
      </w:r>
      <w:r w:rsidR="0088511D">
        <w:rPr>
          <w:rStyle w:val="normaltextrun"/>
          <w:szCs w:val="22"/>
        </w:rPr>
        <w:t>Finally, b</w:t>
      </w:r>
      <w:r w:rsidR="0088511D">
        <w:rPr>
          <w:szCs w:val="22"/>
        </w:rPr>
        <w:t xml:space="preserve">ased on the gravity of </w:t>
      </w:r>
      <w:r w:rsidR="00C560F5">
        <w:rPr>
          <w:szCs w:val="22"/>
        </w:rPr>
        <w:t xml:space="preserve">the </w:t>
      </w:r>
      <w:r w:rsidR="0088511D">
        <w:rPr>
          <w:szCs w:val="22"/>
        </w:rPr>
        <w:t>section 1.17(a)(2) violations, and Shelby’s history or prior offenses, we propose a forfeiture amount of $10,000 for submitting false certifications in its Renewal Application.</w:t>
      </w:r>
      <w:r>
        <w:rPr>
          <w:rStyle w:val="FootnoteReference"/>
          <w:szCs w:val="22"/>
        </w:rPr>
        <w:footnoteReference w:id="85"/>
      </w:r>
      <w:r w:rsidR="0088511D">
        <w:rPr>
          <w:szCs w:val="22"/>
        </w:rPr>
        <w:t xml:space="preserve">  </w:t>
      </w:r>
      <w:r w:rsidRPr="00254D78">
        <w:rPr>
          <w:szCs w:val="22"/>
        </w:rPr>
        <w:t>Considering the record as a whole, we propose a total forfeiture of $</w:t>
      </w:r>
      <w:r w:rsidR="00A46FB7">
        <w:rPr>
          <w:szCs w:val="22"/>
        </w:rPr>
        <w:t>16,500.</w:t>
      </w:r>
      <w:r w:rsidRPr="00254D78">
        <w:rPr>
          <w:szCs w:val="22"/>
        </w:rPr>
        <w:t xml:space="preserve"> </w:t>
      </w:r>
    </w:p>
    <w:p w:rsidR="008A5633" w:rsidRPr="00254D78" w:rsidP="00D90FA7" w14:paraId="22DABD96" w14:textId="4E02454B">
      <w:pPr>
        <w:pStyle w:val="ParaNum"/>
        <w:spacing w:after="120"/>
        <w:ind w:right="-90"/>
        <w:jc w:val="left"/>
        <w:rPr>
          <w:szCs w:val="22"/>
        </w:rPr>
      </w:pPr>
      <w:r w:rsidRPr="00254D78">
        <w:rPr>
          <w:i/>
          <w:iCs/>
          <w:szCs w:val="22"/>
        </w:rPr>
        <w:t>Character Issues</w:t>
      </w:r>
      <w:r w:rsidRPr="00254D78" w:rsidR="00441008">
        <w:rPr>
          <w:i/>
          <w:iCs/>
          <w:szCs w:val="22"/>
        </w:rPr>
        <w:t>.</w:t>
      </w:r>
      <w:r w:rsidRPr="00254D78" w:rsidR="00441008">
        <w:rPr>
          <w:szCs w:val="22"/>
        </w:rPr>
        <w:t xml:space="preserve">  </w:t>
      </w:r>
      <w:r w:rsidR="00BF2C29">
        <w:rPr>
          <w:szCs w:val="22"/>
        </w:rPr>
        <w:t>Marble City</w:t>
      </w:r>
      <w:r w:rsidRPr="00254D78" w:rsidR="00BF2C29">
        <w:rPr>
          <w:szCs w:val="22"/>
        </w:rPr>
        <w:t xml:space="preserve"> </w:t>
      </w:r>
      <w:r w:rsidRPr="00254D78" w:rsidR="00433F3F">
        <w:rPr>
          <w:szCs w:val="22"/>
        </w:rPr>
        <w:t xml:space="preserve">has not </w:t>
      </w:r>
      <w:r w:rsidRPr="00254D78" w:rsidR="002657FD">
        <w:rPr>
          <w:szCs w:val="22"/>
        </w:rPr>
        <w:t>established</w:t>
      </w:r>
      <w:r w:rsidRPr="00254D78" w:rsidR="00433F3F">
        <w:rPr>
          <w:szCs w:val="22"/>
        </w:rPr>
        <w:t xml:space="preserve"> that </w:t>
      </w:r>
      <w:r w:rsidR="0016299A">
        <w:rPr>
          <w:szCs w:val="22"/>
        </w:rPr>
        <w:t>Shelby</w:t>
      </w:r>
      <w:r w:rsidRPr="00254D78" w:rsidR="0016299A">
        <w:rPr>
          <w:szCs w:val="22"/>
        </w:rPr>
        <w:t xml:space="preserve"> </w:t>
      </w:r>
      <w:r w:rsidRPr="00254D78" w:rsidR="00433F3F">
        <w:rPr>
          <w:szCs w:val="22"/>
        </w:rPr>
        <w:t>lacks the character qualifications necessary to be a Commission licensee.</w:t>
      </w:r>
      <w:r w:rsidRPr="00254D78" w:rsidR="007114A4">
        <w:rPr>
          <w:szCs w:val="22"/>
        </w:rPr>
        <w:t xml:space="preserve">  </w:t>
      </w:r>
      <w:r w:rsidR="00BF2C29">
        <w:rPr>
          <w:szCs w:val="22"/>
        </w:rPr>
        <w:t>Marble City</w:t>
      </w:r>
      <w:r w:rsidRPr="00254D78" w:rsidR="00BF2C29">
        <w:rPr>
          <w:szCs w:val="22"/>
        </w:rPr>
        <w:t xml:space="preserve"> </w:t>
      </w:r>
      <w:r w:rsidRPr="00254D78" w:rsidR="007114A4">
        <w:rPr>
          <w:szCs w:val="22"/>
        </w:rPr>
        <w:t xml:space="preserve">has not made a </w:t>
      </w:r>
      <w:r w:rsidRPr="00254D78" w:rsidR="007114A4">
        <w:rPr>
          <w:i/>
          <w:iCs/>
          <w:szCs w:val="22"/>
        </w:rPr>
        <w:t>prima facie</w:t>
      </w:r>
      <w:r w:rsidRPr="00254D78" w:rsidR="007114A4">
        <w:rPr>
          <w:szCs w:val="22"/>
        </w:rPr>
        <w:t xml:space="preserve"> case that </w:t>
      </w:r>
      <w:r w:rsidR="0016299A">
        <w:rPr>
          <w:szCs w:val="22"/>
        </w:rPr>
        <w:t>Shelby</w:t>
      </w:r>
      <w:r w:rsidRPr="00254D78" w:rsidR="0016299A">
        <w:rPr>
          <w:szCs w:val="22"/>
        </w:rPr>
        <w:t xml:space="preserve"> </w:t>
      </w:r>
      <w:r w:rsidR="00DA748C">
        <w:rPr>
          <w:szCs w:val="22"/>
        </w:rPr>
        <w:t>submitted</w:t>
      </w:r>
      <w:r w:rsidRPr="00254D78" w:rsidR="00DA748C">
        <w:rPr>
          <w:szCs w:val="22"/>
        </w:rPr>
        <w:t xml:space="preserve"> </w:t>
      </w:r>
      <w:r w:rsidRPr="00254D78" w:rsidR="007114A4">
        <w:rPr>
          <w:szCs w:val="22"/>
        </w:rPr>
        <w:t>misrepresent</w:t>
      </w:r>
      <w:r w:rsidRPr="00254D78" w:rsidR="00916B98">
        <w:rPr>
          <w:szCs w:val="22"/>
        </w:rPr>
        <w:t>at</w:t>
      </w:r>
      <w:r w:rsidRPr="00254D78" w:rsidR="007114A4">
        <w:rPr>
          <w:szCs w:val="22"/>
        </w:rPr>
        <w:t>ions</w:t>
      </w:r>
      <w:r>
        <w:rPr>
          <w:rStyle w:val="FootnoteReference"/>
          <w:szCs w:val="22"/>
        </w:rPr>
        <w:footnoteReference w:id="86"/>
      </w:r>
      <w:r w:rsidRPr="00254D78" w:rsidR="007114A4">
        <w:rPr>
          <w:rStyle w:val="FootnoteReference"/>
          <w:szCs w:val="22"/>
        </w:rPr>
        <w:t xml:space="preserve"> </w:t>
      </w:r>
      <w:r w:rsidRPr="00254D78" w:rsidR="007114A4">
        <w:rPr>
          <w:szCs w:val="22"/>
        </w:rPr>
        <w:t>in the form of false statements to the Commission regarding the Station’s operational status.</w:t>
      </w:r>
      <w:r w:rsidRPr="00254D78" w:rsidR="0041568B">
        <w:rPr>
          <w:szCs w:val="22"/>
        </w:rPr>
        <w:t xml:space="preserve">  We also conclude that </w:t>
      </w:r>
      <w:r w:rsidR="00BF2C29">
        <w:rPr>
          <w:szCs w:val="22"/>
        </w:rPr>
        <w:t>Marble City</w:t>
      </w:r>
      <w:r w:rsidRPr="00254D78" w:rsidR="00BF2C29">
        <w:rPr>
          <w:szCs w:val="22"/>
        </w:rPr>
        <w:t xml:space="preserve"> </w:t>
      </w:r>
      <w:r w:rsidRPr="00254D78" w:rsidR="0041568B">
        <w:rPr>
          <w:szCs w:val="22"/>
        </w:rPr>
        <w:t xml:space="preserve">has not made a </w:t>
      </w:r>
      <w:r w:rsidRPr="00696DAD" w:rsidR="0041568B">
        <w:rPr>
          <w:i/>
          <w:iCs/>
          <w:szCs w:val="22"/>
        </w:rPr>
        <w:t>prima facie</w:t>
      </w:r>
      <w:r w:rsidRPr="00254D78" w:rsidR="0041568B">
        <w:rPr>
          <w:szCs w:val="22"/>
        </w:rPr>
        <w:t xml:space="preserve"> case that </w:t>
      </w:r>
      <w:r w:rsidR="001922C1">
        <w:rPr>
          <w:szCs w:val="22"/>
        </w:rPr>
        <w:t>Shelby</w:t>
      </w:r>
      <w:r w:rsidRPr="00254D78" w:rsidR="001922C1">
        <w:rPr>
          <w:szCs w:val="22"/>
        </w:rPr>
        <w:t xml:space="preserve"> </w:t>
      </w:r>
      <w:r w:rsidRPr="00254D78" w:rsidR="0041568B">
        <w:rPr>
          <w:szCs w:val="22"/>
        </w:rPr>
        <w:t xml:space="preserve">made a false certification regarding “character issues” in </w:t>
      </w:r>
      <w:r w:rsidR="00E36650">
        <w:rPr>
          <w:szCs w:val="22"/>
        </w:rPr>
        <w:t>the</w:t>
      </w:r>
      <w:r w:rsidRPr="00254D78" w:rsidR="0041568B">
        <w:rPr>
          <w:szCs w:val="22"/>
        </w:rPr>
        <w:t xml:space="preserve"> </w:t>
      </w:r>
      <w:r w:rsidRPr="00254D78" w:rsidR="00E97174">
        <w:rPr>
          <w:szCs w:val="22"/>
        </w:rPr>
        <w:t>Renewal Application or the</w:t>
      </w:r>
      <w:r w:rsidRPr="00254D78" w:rsidR="0041568B">
        <w:rPr>
          <w:szCs w:val="22"/>
        </w:rPr>
        <w:t xml:space="preserve"> Assignment Application when it indicated that it was not a party to a broadcast application “where character issues were left unresolved or were resolved adversely against the applicant.”</w:t>
      </w:r>
      <w:r>
        <w:rPr>
          <w:rStyle w:val="FootnoteReference"/>
          <w:szCs w:val="22"/>
        </w:rPr>
        <w:footnoteReference w:id="87"/>
      </w:r>
      <w:r w:rsidRPr="00254D78" w:rsidR="0041568B">
        <w:rPr>
          <w:szCs w:val="22"/>
        </w:rPr>
        <w:t xml:space="preserve"> </w:t>
      </w:r>
      <w:r w:rsidRPr="00254D78" w:rsidR="00E97174">
        <w:rPr>
          <w:szCs w:val="22"/>
        </w:rPr>
        <w:t xml:space="preserve"> </w:t>
      </w:r>
    </w:p>
    <w:p w:rsidR="00F10DAD" w:rsidRPr="00254D78" w:rsidP="00D90FA7" w14:paraId="25FD3D0A" w14:textId="6F5126BF">
      <w:pPr>
        <w:pStyle w:val="ParaNum"/>
        <w:spacing w:after="120"/>
        <w:ind w:right="-90"/>
        <w:jc w:val="left"/>
        <w:rPr>
          <w:szCs w:val="22"/>
        </w:rPr>
      </w:pPr>
      <w:r w:rsidRPr="00254D78">
        <w:rPr>
          <w:szCs w:val="22"/>
        </w:rPr>
        <w:t xml:space="preserve">In support of its claim, </w:t>
      </w:r>
      <w:r w:rsidR="00BF2C29">
        <w:rPr>
          <w:szCs w:val="22"/>
        </w:rPr>
        <w:t>Marble City</w:t>
      </w:r>
      <w:r w:rsidRPr="00254D78" w:rsidR="00BF2C29">
        <w:rPr>
          <w:szCs w:val="22"/>
        </w:rPr>
        <w:t xml:space="preserve"> </w:t>
      </w:r>
      <w:r w:rsidRPr="00254D78">
        <w:rPr>
          <w:szCs w:val="22"/>
        </w:rPr>
        <w:t>cites</w:t>
      </w:r>
      <w:r w:rsidRPr="00254D78" w:rsidR="00445330">
        <w:rPr>
          <w:szCs w:val="22"/>
        </w:rPr>
        <w:t xml:space="preserve"> two letter decisions </w:t>
      </w:r>
      <w:r w:rsidRPr="00254D78" w:rsidR="003B5716">
        <w:rPr>
          <w:szCs w:val="22"/>
        </w:rPr>
        <w:t>in which</w:t>
      </w:r>
      <w:r w:rsidRPr="00254D78" w:rsidR="00654617">
        <w:rPr>
          <w:szCs w:val="22"/>
        </w:rPr>
        <w:t xml:space="preserve"> Bureau staff issued a notice of license expiration</w:t>
      </w:r>
      <w:r w:rsidRPr="00254D78" w:rsidR="00E45772">
        <w:rPr>
          <w:szCs w:val="22"/>
        </w:rPr>
        <w:t xml:space="preserve"> under section 312(g)</w:t>
      </w:r>
      <w:r w:rsidRPr="00254D78" w:rsidR="00654617">
        <w:rPr>
          <w:szCs w:val="22"/>
        </w:rPr>
        <w:t xml:space="preserve"> against</w:t>
      </w:r>
      <w:r w:rsidRPr="00254D78" w:rsidR="003B5716">
        <w:rPr>
          <w:szCs w:val="22"/>
        </w:rPr>
        <w:t xml:space="preserve"> </w:t>
      </w:r>
      <w:r w:rsidRPr="00254D78" w:rsidR="004A23D3">
        <w:rPr>
          <w:szCs w:val="22"/>
        </w:rPr>
        <w:t>stations WZNN(FM)</w:t>
      </w:r>
      <w:r w:rsidRPr="00254D78" w:rsidR="00702461">
        <w:rPr>
          <w:szCs w:val="22"/>
        </w:rPr>
        <w:t>, Maplesville, Alabama,</w:t>
      </w:r>
      <w:r w:rsidRPr="00254D78" w:rsidR="004A23D3">
        <w:rPr>
          <w:szCs w:val="22"/>
        </w:rPr>
        <w:t xml:space="preserve"> and </w:t>
      </w:r>
      <w:r w:rsidRPr="00254D78" w:rsidR="00702461">
        <w:rPr>
          <w:szCs w:val="22"/>
        </w:rPr>
        <w:t>W243AP, Mooresville, Alabama</w:t>
      </w:r>
      <w:r w:rsidRPr="00254D78" w:rsidR="003C3E05">
        <w:rPr>
          <w:szCs w:val="22"/>
        </w:rPr>
        <w:t xml:space="preserve">, licensed to Valleydale and </w:t>
      </w:r>
      <w:r w:rsidR="00BC2EE3">
        <w:rPr>
          <w:szCs w:val="22"/>
        </w:rPr>
        <w:t>Shelby</w:t>
      </w:r>
      <w:r w:rsidRPr="00254D78" w:rsidR="003C3E05">
        <w:rPr>
          <w:szCs w:val="22"/>
        </w:rPr>
        <w:t xml:space="preserve"> respectively</w:t>
      </w:r>
      <w:r w:rsidRPr="00254D78">
        <w:rPr>
          <w:szCs w:val="22"/>
        </w:rPr>
        <w:t>.</w:t>
      </w:r>
      <w:r>
        <w:rPr>
          <w:rStyle w:val="FootnoteReference"/>
          <w:szCs w:val="22"/>
        </w:rPr>
        <w:footnoteReference w:id="88"/>
      </w:r>
      <w:r w:rsidRPr="00254D78">
        <w:rPr>
          <w:szCs w:val="22"/>
        </w:rPr>
        <w:t xml:space="preserve">  The 20</w:t>
      </w:r>
      <w:r w:rsidRPr="00254D78" w:rsidR="00AC1F49">
        <w:rPr>
          <w:szCs w:val="22"/>
        </w:rPr>
        <w:t xml:space="preserve">17 </w:t>
      </w:r>
      <w:r w:rsidRPr="00254D78" w:rsidR="002D7F58">
        <w:rPr>
          <w:szCs w:val="22"/>
        </w:rPr>
        <w:t>L</w:t>
      </w:r>
      <w:r w:rsidRPr="00254D78" w:rsidR="00C262C4">
        <w:rPr>
          <w:szCs w:val="22"/>
        </w:rPr>
        <w:t>etter</w:t>
      </w:r>
      <w:r w:rsidR="002A084E">
        <w:rPr>
          <w:szCs w:val="22"/>
        </w:rPr>
        <w:t>s</w:t>
      </w:r>
      <w:r w:rsidRPr="00254D78">
        <w:rPr>
          <w:szCs w:val="22"/>
        </w:rPr>
        <w:t xml:space="preserve">, however, </w:t>
      </w:r>
      <w:r w:rsidRPr="00254D78" w:rsidR="00C262C4">
        <w:rPr>
          <w:szCs w:val="22"/>
        </w:rPr>
        <w:t>do not make findings of</w:t>
      </w:r>
      <w:r w:rsidRPr="00254D78">
        <w:rPr>
          <w:szCs w:val="22"/>
        </w:rPr>
        <w:t xml:space="preserve"> character issues, </w:t>
      </w:r>
      <w:r w:rsidRPr="00254D78" w:rsidR="009F0DD2">
        <w:rPr>
          <w:szCs w:val="22"/>
        </w:rPr>
        <w:t>do</w:t>
      </w:r>
      <w:r w:rsidRPr="00254D78">
        <w:rPr>
          <w:szCs w:val="22"/>
        </w:rPr>
        <w:t xml:space="preserve"> not conclude that </w:t>
      </w:r>
      <w:r w:rsidR="0074103A">
        <w:rPr>
          <w:szCs w:val="22"/>
        </w:rPr>
        <w:t>Shelby</w:t>
      </w:r>
      <w:r w:rsidRPr="00254D78" w:rsidR="003D51CA">
        <w:rPr>
          <w:szCs w:val="22"/>
        </w:rPr>
        <w:t>, Valleydale, or their principals</w:t>
      </w:r>
      <w:r w:rsidRPr="00254D78">
        <w:rPr>
          <w:szCs w:val="22"/>
        </w:rPr>
        <w:t xml:space="preserve"> lack the character qualifications to be a Commission licensee, and do not leave character qualification issues unresolved.</w:t>
      </w:r>
      <w:r>
        <w:rPr>
          <w:rStyle w:val="FootnoteReference"/>
          <w:szCs w:val="22"/>
        </w:rPr>
        <w:footnoteReference w:id="89"/>
      </w:r>
      <w:r w:rsidRPr="00254D78" w:rsidR="003D51CA">
        <w:rPr>
          <w:szCs w:val="22"/>
        </w:rPr>
        <w:t xml:space="preserve">  The </w:t>
      </w:r>
      <w:r w:rsidRPr="001876A8" w:rsidR="00540B15">
        <w:rPr>
          <w:i/>
          <w:iCs/>
          <w:szCs w:val="22"/>
        </w:rPr>
        <w:t xml:space="preserve">WZNN(FM) </w:t>
      </w:r>
      <w:r w:rsidRPr="001876A8" w:rsidR="00F16BF0">
        <w:rPr>
          <w:i/>
          <w:iCs/>
          <w:szCs w:val="22"/>
        </w:rPr>
        <w:t>L</w:t>
      </w:r>
      <w:r w:rsidRPr="001876A8" w:rsidR="00540B15">
        <w:rPr>
          <w:i/>
          <w:iCs/>
          <w:szCs w:val="22"/>
        </w:rPr>
        <w:t>etter</w:t>
      </w:r>
      <w:r w:rsidRPr="00254D78" w:rsidR="00540B15">
        <w:rPr>
          <w:szCs w:val="22"/>
        </w:rPr>
        <w:t xml:space="preserve"> require</w:t>
      </w:r>
      <w:r w:rsidR="00432D96">
        <w:rPr>
          <w:szCs w:val="22"/>
        </w:rPr>
        <w:t>d</w:t>
      </w:r>
      <w:r w:rsidRPr="00254D78" w:rsidR="00540B15">
        <w:rPr>
          <w:szCs w:val="22"/>
        </w:rPr>
        <w:t xml:space="preserve"> that a copy be attached to</w:t>
      </w:r>
      <w:r w:rsidRPr="00254D78" w:rsidR="002166AD">
        <w:rPr>
          <w:szCs w:val="22"/>
        </w:rPr>
        <w:t xml:space="preserve"> every facilities application filed by </w:t>
      </w:r>
      <w:r w:rsidRPr="00254D78" w:rsidR="003317D9">
        <w:rPr>
          <w:szCs w:val="22"/>
        </w:rPr>
        <w:t>Valleydale, its principals, and stations in which they hold an interest under section 1.2112 of the Rules.</w:t>
      </w:r>
      <w:r>
        <w:rPr>
          <w:rStyle w:val="FootnoteReference"/>
          <w:szCs w:val="22"/>
        </w:rPr>
        <w:footnoteReference w:id="90"/>
      </w:r>
      <w:r w:rsidRPr="00254D78" w:rsidR="00816708">
        <w:rPr>
          <w:szCs w:val="22"/>
        </w:rPr>
        <w:t xml:space="preserve">  </w:t>
      </w:r>
      <w:r w:rsidRPr="00254D78" w:rsidR="009D0C1C">
        <w:rPr>
          <w:szCs w:val="22"/>
        </w:rPr>
        <w:t>While not specifically enumerated in the ordering clauses</w:t>
      </w:r>
      <w:r w:rsidRPr="00254D78">
        <w:rPr>
          <w:szCs w:val="22"/>
        </w:rPr>
        <w:t xml:space="preserve">, </w:t>
      </w:r>
      <w:r w:rsidR="00A26DAE">
        <w:rPr>
          <w:szCs w:val="22"/>
        </w:rPr>
        <w:t>Shelby</w:t>
      </w:r>
      <w:r w:rsidR="00BF2C29">
        <w:rPr>
          <w:szCs w:val="22"/>
        </w:rPr>
        <w:t xml:space="preserve"> </w:t>
      </w:r>
      <w:r w:rsidR="0002031B">
        <w:rPr>
          <w:szCs w:val="22"/>
        </w:rPr>
        <w:t>should</w:t>
      </w:r>
      <w:r w:rsidRPr="00254D78" w:rsidR="00F80A71">
        <w:rPr>
          <w:szCs w:val="22"/>
        </w:rPr>
        <w:t xml:space="preserve"> have</w:t>
      </w:r>
      <w:r w:rsidRPr="00254D78">
        <w:rPr>
          <w:szCs w:val="22"/>
        </w:rPr>
        <w:t xml:space="preserve"> </w:t>
      </w:r>
      <w:r w:rsidRPr="00254D78" w:rsidR="00F80A71">
        <w:rPr>
          <w:szCs w:val="22"/>
        </w:rPr>
        <w:t>disclosed the WZNN Letter</w:t>
      </w:r>
      <w:r w:rsidRPr="00254D78">
        <w:rPr>
          <w:szCs w:val="22"/>
        </w:rPr>
        <w:t xml:space="preserve"> in its responses to the character-related </w:t>
      </w:r>
      <w:r w:rsidRPr="00254D78" w:rsidR="00E61C1D">
        <w:rPr>
          <w:szCs w:val="22"/>
        </w:rPr>
        <w:t>certifications</w:t>
      </w:r>
      <w:r w:rsidRPr="00254D78">
        <w:rPr>
          <w:szCs w:val="22"/>
        </w:rPr>
        <w:t xml:space="preserve"> in the</w:t>
      </w:r>
      <w:r w:rsidRPr="00254D78" w:rsidR="00F80A71">
        <w:rPr>
          <w:szCs w:val="22"/>
        </w:rPr>
        <w:t xml:space="preserve"> Renewal Application and </w:t>
      </w:r>
      <w:r w:rsidRPr="00254D78" w:rsidR="007822A7">
        <w:rPr>
          <w:szCs w:val="22"/>
        </w:rPr>
        <w:t>answered the certifications correspondingly</w:t>
      </w:r>
      <w:r w:rsidRPr="00254D78">
        <w:rPr>
          <w:szCs w:val="22"/>
        </w:rPr>
        <w:t>.</w:t>
      </w:r>
      <w:r w:rsidRPr="00254D78" w:rsidR="007822A7">
        <w:rPr>
          <w:szCs w:val="22"/>
        </w:rPr>
        <w:t xml:space="preserve">  </w:t>
      </w:r>
      <w:r w:rsidR="00A26DAE">
        <w:rPr>
          <w:szCs w:val="22"/>
        </w:rPr>
        <w:t>Shelby</w:t>
      </w:r>
      <w:r w:rsidRPr="00254D78" w:rsidR="007822A7">
        <w:rPr>
          <w:szCs w:val="22"/>
        </w:rPr>
        <w:t xml:space="preserve"> </w:t>
      </w:r>
      <w:r w:rsidR="00143108">
        <w:rPr>
          <w:szCs w:val="22"/>
        </w:rPr>
        <w:t>has since amended the Renewal Application to include</w:t>
      </w:r>
      <w:r w:rsidRPr="00254D78" w:rsidR="00143108">
        <w:rPr>
          <w:szCs w:val="22"/>
        </w:rPr>
        <w:t xml:space="preserve"> </w:t>
      </w:r>
      <w:r w:rsidRPr="00254D78" w:rsidR="007822A7">
        <w:rPr>
          <w:szCs w:val="22"/>
        </w:rPr>
        <w:t xml:space="preserve">the </w:t>
      </w:r>
      <w:r w:rsidR="00857ECB">
        <w:rPr>
          <w:szCs w:val="22"/>
        </w:rPr>
        <w:t>2017 Letter</w:t>
      </w:r>
      <w:r w:rsidR="002A084E">
        <w:rPr>
          <w:szCs w:val="22"/>
        </w:rPr>
        <w:t>s</w:t>
      </w:r>
      <w:r w:rsidRPr="00254D78" w:rsidR="007822A7">
        <w:rPr>
          <w:szCs w:val="22"/>
        </w:rPr>
        <w:t xml:space="preserve"> and </w:t>
      </w:r>
      <w:r w:rsidR="00F1536A">
        <w:rPr>
          <w:szCs w:val="22"/>
        </w:rPr>
        <w:t>reversed</w:t>
      </w:r>
      <w:r w:rsidRPr="00254D78" w:rsidR="004D2F33">
        <w:rPr>
          <w:szCs w:val="22"/>
        </w:rPr>
        <w:t xml:space="preserve"> its responses </w:t>
      </w:r>
      <w:r w:rsidR="00A116BB">
        <w:rPr>
          <w:szCs w:val="22"/>
        </w:rPr>
        <w:t>to the</w:t>
      </w:r>
      <w:r w:rsidRPr="00254D78" w:rsidR="007822A7">
        <w:rPr>
          <w:szCs w:val="22"/>
        </w:rPr>
        <w:t xml:space="preserve"> </w:t>
      </w:r>
      <w:r w:rsidRPr="00254D78" w:rsidR="005C451A">
        <w:rPr>
          <w:szCs w:val="22"/>
        </w:rPr>
        <w:t xml:space="preserve">certifications. </w:t>
      </w:r>
      <w:r w:rsidRPr="00254D78" w:rsidR="00BF780E">
        <w:rPr>
          <w:szCs w:val="22"/>
        </w:rPr>
        <w:t xml:space="preserve"> </w:t>
      </w:r>
      <w:r w:rsidR="00282164">
        <w:rPr>
          <w:szCs w:val="22"/>
        </w:rPr>
        <w:t xml:space="preserve">The </w:t>
      </w:r>
      <w:r w:rsidRPr="00254D78" w:rsidR="00D36905">
        <w:rPr>
          <w:szCs w:val="22"/>
        </w:rPr>
        <w:t xml:space="preserve">Assignment Application </w:t>
      </w:r>
      <w:r w:rsidR="00BD0AF9">
        <w:rPr>
          <w:szCs w:val="22"/>
        </w:rPr>
        <w:t xml:space="preserve">does not certify </w:t>
      </w:r>
      <w:r w:rsidRPr="00254D78" w:rsidR="00431AAF">
        <w:rPr>
          <w:szCs w:val="22"/>
        </w:rPr>
        <w:t xml:space="preserve">that </w:t>
      </w:r>
      <w:r w:rsidRPr="00254D78" w:rsidR="00D36905">
        <w:rPr>
          <w:szCs w:val="22"/>
        </w:rPr>
        <w:t xml:space="preserve">are </w:t>
      </w:r>
      <w:r w:rsidRPr="00254D78" w:rsidR="00CA3CAF">
        <w:rPr>
          <w:szCs w:val="22"/>
        </w:rPr>
        <w:t>no pending or unresolved character issues</w:t>
      </w:r>
      <w:r w:rsidR="008662C6">
        <w:rPr>
          <w:szCs w:val="22"/>
        </w:rPr>
        <w:t xml:space="preserve"> and </w:t>
      </w:r>
      <w:r w:rsidR="00857ECB">
        <w:rPr>
          <w:szCs w:val="22"/>
        </w:rPr>
        <w:t>includes the 2017 Letters</w:t>
      </w:r>
      <w:r w:rsidRPr="00254D78" w:rsidR="00CA3CAF">
        <w:rPr>
          <w:szCs w:val="22"/>
        </w:rPr>
        <w:t xml:space="preserve">.  </w:t>
      </w:r>
      <w:r w:rsidRPr="00254D78" w:rsidR="004D2F33">
        <w:rPr>
          <w:szCs w:val="22"/>
        </w:rPr>
        <w:t>As such</w:t>
      </w:r>
      <w:r w:rsidRPr="00254D78" w:rsidR="005C451A">
        <w:rPr>
          <w:szCs w:val="22"/>
        </w:rPr>
        <w:t xml:space="preserve">, </w:t>
      </w:r>
      <w:r w:rsidR="00BF2C29">
        <w:rPr>
          <w:szCs w:val="22"/>
        </w:rPr>
        <w:t>Marble City’s</w:t>
      </w:r>
      <w:r w:rsidRPr="00254D78" w:rsidR="00BF2C29">
        <w:rPr>
          <w:szCs w:val="22"/>
        </w:rPr>
        <w:t xml:space="preserve"> </w:t>
      </w:r>
      <w:r w:rsidRPr="00254D78" w:rsidR="004D2F33">
        <w:rPr>
          <w:szCs w:val="22"/>
        </w:rPr>
        <w:t>argume</w:t>
      </w:r>
      <w:r w:rsidRPr="00254D78" w:rsidR="00AC0009">
        <w:rPr>
          <w:szCs w:val="22"/>
        </w:rPr>
        <w:t>nt regarding the certifications is now moot.</w:t>
      </w:r>
      <w:r w:rsidRPr="00254D78" w:rsidR="0084159E">
        <w:rPr>
          <w:szCs w:val="22"/>
        </w:rPr>
        <w:t xml:space="preserve">  While </w:t>
      </w:r>
      <w:r w:rsidR="00BF2C29">
        <w:rPr>
          <w:szCs w:val="22"/>
        </w:rPr>
        <w:t>Marble City</w:t>
      </w:r>
      <w:r w:rsidRPr="00254D78" w:rsidR="00BF2C29">
        <w:rPr>
          <w:szCs w:val="22"/>
        </w:rPr>
        <w:t xml:space="preserve"> </w:t>
      </w:r>
      <w:r w:rsidRPr="00254D78" w:rsidR="007F3C0B">
        <w:rPr>
          <w:szCs w:val="22"/>
        </w:rPr>
        <w:t xml:space="preserve">has </w:t>
      </w:r>
      <w:r w:rsidRPr="00254D78" w:rsidR="00CC522A">
        <w:rPr>
          <w:szCs w:val="22"/>
        </w:rPr>
        <w:t xml:space="preserve">raised allegations related to </w:t>
      </w:r>
      <w:r w:rsidR="00A26DAE">
        <w:rPr>
          <w:szCs w:val="22"/>
        </w:rPr>
        <w:t>Shelby’s</w:t>
      </w:r>
      <w:r w:rsidRPr="00254D78" w:rsidR="00455734">
        <w:rPr>
          <w:szCs w:val="22"/>
        </w:rPr>
        <w:t xml:space="preserve"> </w:t>
      </w:r>
      <w:r w:rsidRPr="00254D78" w:rsidR="007F3C0B">
        <w:rPr>
          <w:szCs w:val="22"/>
        </w:rPr>
        <w:t xml:space="preserve">character </w:t>
      </w:r>
      <w:r w:rsidRPr="00254D78" w:rsidR="00455734">
        <w:rPr>
          <w:szCs w:val="22"/>
        </w:rPr>
        <w:t>qualification</w:t>
      </w:r>
      <w:r w:rsidRPr="00254D78" w:rsidR="00CC522A">
        <w:rPr>
          <w:szCs w:val="22"/>
        </w:rPr>
        <w:t xml:space="preserve">s, it has not made a </w:t>
      </w:r>
      <w:r w:rsidRPr="00254D78" w:rsidR="00CC522A">
        <w:rPr>
          <w:i/>
          <w:iCs/>
          <w:szCs w:val="22"/>
        </w:rPr>
        <w:t>prima facie</w:t>
      </w:r>
      <w:r w:rsidRPr="00254D78" w:rsidR="00CC522A">
        <w:rPr>
          <w:szCs w:val="22"/>
        </w:rPr>
        <w:t xml:space="preserve"> </w:t>
      </w:r>
      <w:r w:rsidRPr="00254D78" w:rsidR="00BE2B79">
        <w:rPr>
          <w:szCs w:val="22"/>
        </w:rPr>
        <w:t xml:space="preserve">case that </w:t>
      </w:r>
      <w:r w:rsidR="00A26DAE">
        <w:rPr>
          <w:szCs w:val="22"/>
        </w:rPr>
        <w:t>Shelby</w:t>
      </w:r>
      <w:r w:rsidRPr="00254D78" w:rsidR="00105BD1">
        <w:rPr>
          <w:szCs w:val="22"/>
        </w:rPr>
        <w:t xml:space="preserve"> </w:t>
      </w:r>
      <w:r w:rsidRPr="00254D78" w:rsidR="00BE2B79">
        <w:rPr>
          <w:szCs w:val="22"/>
        </w:rPr>
        <w:t xml:space="preserve">or Valleydale possessed the intent to deceive necessary for a </w:t>
      </w:r>
      <w:r w:rsidRPr="00254D78" w:rsidR="007B0AF5">
        <w:rPr>
          <w:szCs w:val="22"/>
        </w:rPr>
        <w:t>false certification</w:t>
      </w:r>
      <w:r w:rsidRPr="00254D78" w:rsidR="00BE2B79">
        <w:rPr>
          <w:szCs w:val="22"/>
        </w:rPr>
        <w:t xml:space="preserve"> finding</w:t>
      </w:r>
      <w:r>
        <w:rPr>
          <w:rStyle w:val="FootnoteReference"/>
          <w:szCs w:val="22"/>
        </w:rPr>
        <w:footnoteReference w:id="91"/>
      </w:r>
      <w:r w:rsidRPr="00254D78" w:rsidR="00B20742">
        <w:rPr>
          <w:szCs w:val="22"/>
        </w:rPr>
        <w:t xml:space="preserve"> and therefore has not demonstrated that </w:t>
      </w:r>
      <w:r w:rsidR="00A26DAE">
        <w:rPr>
          <w:szCs w:val="22"/>
        </w:rPr>
        <w:t>Shelby</w:t>
      </w:r>
      <w:r w:rsidRPr="00254D78" w:rsidR="00B20742">
        <w:rPr>
          <w:szCs w:val="22"/>
        </w:rPr>
        <w:t xml:space="preserve"> lacks the character qualifications needed to be a Commission licensee.</w:t>
      </w:r>
      <w:r w:rsidRPr="00254D78" w:rsidR="008D38DA">
        <w:rPr>
          <w:szCs w:val="22"/>
        </w:rPr>
        <w:t xml:space="preserve">  Moreover, </w:t>
      </w:r>
      <w:r w:rsidRPr="00254D78" w:rsidR="00441008">
        <w:rPr>
          <w:szCs w:val="22"/>
        </w:rPr>
        <w:t xml:space="preserve">we note that </w:t>
      </w:r>
      <w:r w:rsidR="00D26A9A">
        <w:rPr>
          <w:szCs w:val="22"/>
        </w:rPr>
        <w:t>s</w:t>
      </w:r>
      <w:r w:rsidRPr="00254D78" w:rsidR="00441008">
        <w:rPr>
          <w:szCs w:val="22"/>
        </w:rPr>
        <w:t>ection 309(k)(1) of the Act limits the scope of our review to the station for which license </w:t>
      </w:r>
      <w:r w:rsidRPr="00254D78" w:rsidR="00441008">
        <w:rPr>
          <w:rStyle w:val="cosearchterm"/>
          <w:bCs/>
          <w:szCs w:val="22"/>
        </w:rPr>
        <w:t>renewal</w:t>
      </w:r>
      <w:r w:rsidRPr="00254D78" w:rsidR="00441008">
        <w:rPr>
          <w:szCs w:val="22"/>
        </w:rPr>
        <w:t> is being considered.</w:t>
      </w:r>
      <w:r>
        <w:rPr>
          <w:rStyle w:val="FootnoteReference"/>
          <w:szCs w:val="22"/>
        </w:rPr>
        <w:footnoteReference w:id="92"/>
      </w:r>
      <w:r w:rsidRPr="00254D78" w:rsidR="00441008">
        <w:rPr>
          <w:szCs w:val="22"/>
        </w:rPr>
        <w:t xml:space="preserve">  Thus, </w:t>
      </w:r>
      <w:r w:rsidR="00BC2EE3">
        <w:rPr>
          <w:szCs w:val="22"/>
        </w:rPr>
        <w:t>Shelby</w:t>
      </w:r>
      <w:r w:rsidRPr="00254D78" w:rsidR="00BC2EE3">
        <w:rPr>
          <w:szCs w:val="22"/>
        </w:rPr>
        <w:t xml:space="preserve">’s </w:t>
      </w:r>
      <w:r w:rsidRPr="00254D78" w:rsidR="00441008">
        <w:rPr>
          <w:szCs w:val="22"/>
        </w:rPr>
        <w:t xml:space="preserve">purported behavior </w:t>
      </w:r>
      <w:r w:rsidR="00225DE8">
        <w:rPr>
          <w:szCs w:val="22"/>
        </w:rPr>
        <w:t>involving</w:t>
      </w:r>
      <w:r w:rsidRPr="00254D78" w:rsidR="00441008">
        <w:rPr>
          <w:szCs w:val="22"/>
        </w:rPr>
        <w:t xml:space="preserve"> other stations is not germane to our consideration of the Renewal Application. </w:t>
      </w:r>
    </w:p>
    <w:p w:rsidR="00761B8E" w:rsidRPr="00254D78" w:rsidP="00D90FA7" w14:paraId="1E15C2F8" w14:textId="65068122">
      <w:pPr>
        <w:pStyle w:val="Heading2"/>
        <w:spacing w:after="120"/>
        <w:jc w:val="left"/>
        <w:rPr>
          <w:szCs w:val="22"/>
        </w:rPr>
      </w:pPr>
      <w:r w:rsidRPr="00254D78">
        <w:rPr>
          <w:szCs w:val="22"/>
        </w:rPr>
        <w:t>Assignment Application</w:t>
      </w:r>
    </w:p>
    <w:p w:rsidR="002A28FC" w:rsidRPr="00254D78" w:rsidP="00D90FA7" w14:paraId="1CDB06A2" w14:textId="37F5A9DD">
      <w:pPr>
        <w:pStyle w:val="ParaNum"/>
        <w:widowControl/>
        <w:spacing w:after="120"/>
        <w:jc w:val="left"/>
        <w:rPr>
          <w:szCs w:val="22"/>
        </w:rPr>
      </w:pPr>
      <w:r w:rsidRPr="00254D78">
        <w:rPr>
          <w:rStyle w:val="documentbody1"/>
          <w:rFonts w:ascii="Times New Roman" w:hAnsi="Times New Roman"/>
          <w:i/>
          <w:iCs/>
          <w:sz w:val="22"/>
          <w:szCs w:val="22"/>
        </w:rPr>
        <w:t xml:space="preserve">Discussion.  </w:t>
      </w:r>
      <w:r w:rsidRPr="00254D78">
        <w:rPr>
          <w:rStyle w:val="documentbody1"/>
          <w:rFonts w:ascii="Times New Roman" w:hAnsi="Times New Roman"/>
          <w:sz w:val="22"/>
          <w:szCs w:val="22"/>
        </w:rPr>
        <w:t xml:space="preserve">Section 310(d) of the </w:t>
      </w:r>
      <w:r w:rsidRPr="00254D78">
        <w:rPr>
          <w:szCs w:val="22"/>
        </w:rPr>
        <w:t>Act</w:t>
      </w:r>
      <w:r>
        <w:rPr>
          <w:rStyle w:val="FootnoteReference"/>
          <w:szCs w:val="22"/>
        </w:rPr>
        <w:footnoteReference w:id="93"/>
      </w:r>
      <w:r w:rsidRPr="00254D78">
        <w:rPr>
          <w:szCs w:val="22"/>
        </w:rPr>
        <w:t xml:space="preserve"> </w:t>
      </w:r>
      <w:r w:rsidRPr="00254D78">
        <w:rPr>
          <w:rStyle w:val="documentbody1"/>
          <w:rFonts w:ascii="Times New Roman" w:hAnsi="Times New Roman"/>
          <w:sz w:val="22"/>
          <w:szCs w:val="22"/>
        </w:rPr>
        <w:t>requires the Commission to determine whether the proposed assignment of a broadcast license would be in the public interest.  I</w:t>
      </w:r>
      <w:r w:rsidRPr="00254D78">
        <w:rPr>
          <w:szCs w:val="22"/>
          <w:shd w:val="clear" w:color="auto" w:fill="FFFFFF"/>
        </w:rPr>
        <w:t xml:space="preserve">nformal objections, like petitions to deny, must provide properly supported allegations of fact that, if true, would establish a substantial and material question of fact that grant of the application would be </w:t>
      </w:r>
      <w:r w:rsidRPr="00254D78">
        <w:rPr>
          <w:i/>
          <w:iCs/>
          <w:szCs w:val="22"/>
          <w:shd w:val="clear" w:color="auto" w:fill="FFFFFF"/>
        </w:rPr>
        <w:t>prima facie</w:t>
      </w:r>
      <w:r w:rsidRPr="00254D78">
        <w:rPr>
          <w:szCs w:val="22"/>
          <w:shd w:val="clear" w:color="auto" w:fill="FFFFFF"/>
        </w:rPr>
        <w:t xml:space="preserve"> inconsistent with the public interest, convenience, and necessity.</w:t>
      </w:r>
      <w:r>
        <w:rPr>
          <w:szCs w:val="22"/>
          <w:shd w:val="clear" w:color="auto" w:fill="FFFFFF"/>
          <w:vertAlign w:val="superscript"/>
        </w:rPr>
        <w:footnoteReference w:id="94"/>
      </w:r>
      <w:r w:rsidRPr="00254D78">
        <w:rPr>
          <w:szCs w:val="22"/>
          <w:shd w:val="clear" w:color="auto" w:fill="FFFFFF"/>
        </w:rPr>
        <w:t xml:space="preserve">  For the reasons discussed </w:t>
      </w:r>
      <w:r w:rsidRPr="00254D78" w:rsidR="007A512B">
        <w:rPr>
          <w:szCs w:val="22"/>
          <w:shd w:val="clear" w:color="auto" w:fill="FFFFFF"/>
        </w:rPr>
        <w:t>above</w:t>
      </w:r>
      <w:r w:rsidRPr="00254D78">
        <w:rPr>
          <w:szCs w:val="22"/>
          <w:shd w:val="clear" w:color="auto" w:fill="FFFFFF"/>
        </w:rPr>
        <w:t xml:space="preserve">, </w:t>
      </w:r>
      <w:r w:rsidRPr="00254D78" w:rsidR="00E91422">
        <w:rPr>
          <w:szCs w:val="22"/>
          <w:shd w:val="clear" w:color="auto" w:fill="FFFFFF"/>
        </w:rPr>
        <w:t>Petitioner</w:t>
      </w:r>
      <w:r w:rsidRPr="00254D78">
        <w:rPr>
          <w:szCs w:val="22"/>
          <w:shd w:val="clear" w:color="auto" w:fill="FFFFFF"/>
        </w:rPr>
        <w:t xml:space="preserve"> has not satisfied this threshold requirement.</w:t>
      </w:r>
    </w:p>
    <w:p w:rsidR="00101EE9" w:rsidRPr="00254D78" w:rsidP="00D90FA7" w14:paraId="17745111" w14:textId="278EFA56">
      <w:pPr>
        <w:pStyle w:val="ParaNum"/>
        <w:widowControl/>
        <w:spacing w:after="120"/>
        <w:jc w:val="left"/>
        <w:rPr>
          <w:szCs w:val="22"/>
        </w:rPr>
      </w:pPr>
      <w:r>
        <w:rPr>
          <w:szCs w:val="22"/>
        </w:rPr>
        <w:t>Marble City</w:t>
      </w:r>
      <w:r>
        <w:rPr>
          <w:rFonts w:eastAsia="Calibri"/>
          <w:szCs w:val="22"/>
        </w:rPr>
        <w:t xml:space="preserve"> </w:t>
      </w:r>
      <w:r w:rsidR="00A7354F">
        <w:rPr>
          <w:rFonts w:eastAsia="Calibri"/>
          <w:szCs w:val="22"/>
        </w:rPr>
        <w:t>makes no argument</w:t>
      </w:r>
      <w:r w:rsidRPr="00254D78" w:rsidR="006E57EA">
        <w:rPr>
          <w:rFonts w:eastAsia="Calibri"/>
          <w:szCs w:val="22"/>
        </w:rPr>
        <w:t xml:space="preserve"> that Rivera is </w:t>
      </w:r>
      <w:r w:rsidR="002F40BE">
        <w:rPr>
          <w:rFonts w:eastAsia="Calibri"/>
          <w:szCs w:val="22"/>
        </w:rPr>
        <w:t>un</w:t>
      </w:r>
      <w:r w:rsidRPr="00254D78" w:rsidR="006E57EA">
        <w:rPr>
          <w:rFonts w:eastAsia="Calibri"/>
          <w:szCs w:val="22"/>
        </w:rPr>
        <w:t>qualified to become the new licensee of the Station</w:t>
      </w:r>
      <w:r w:rsidR="004907E1">
        <w:rPr>
          <w:rFonts w:eastAsia="Calibri"/>
          <w:szCs w:val="22"/>
        </w:rPr>
        <w:t>.</w:t>
      </w:r>
      <w:r w:rsidRPr="00254D78" w:rsidR="008D24F1">
        <w:rPr>
          <w:rFonts w:eastAsia="Calibri"/>
          <w:szCs w:val="22"/>
        </w:rPr>
        <w:t xml:space="preserve"> </w:t>
      </w:r>
      <w:r w:rsidR="004907E1">
        <w:rPr>
          <w:rFonts w:eastAsia="Calibri"/>
          <w:szCs w:val="22"/>
        </w:rPr>
        <w:t xml:space="preserve"> </w:t>
      </w:r>
      <w:r w:rsidR="002F40BE">
        <w:rPr>
          <w:rFonts w:eastAsia="Calibri"/>
          <w:szCs w:val="22"/>
        </w:rPr>
        <w:t xml:space="preserve">Moreover, </w:t>
      </w:r>
      <w:r w:rsidRPr="00254D78" w:rsidR="008D24F1">
        <w:rPr>
          <w:rFonts w:eastAsia="Calibri"/>
          <w:szCs w:val="22"/>
        </w:rPr>
        <w:t xml:space="preserve">Rivera </w:t>
      </w:r>
      <w:r w:rsidR="004907E1">
        <w:rPr>
          <w:rFonts w:eastAsia="Calibri"/>
          <w:szCs w:val="22"/>
        </w:rPr>
        <w:t>currently holds two</w:t>
      </w:r>
      <w:r w:rsidRPr="00254D78" w:rsidR="00D83C85">
        <w:rPr>
          <w:rFonts w:eastAsia="Calibri"/>
          <w:szCs w:val="22"/>
        </w:rPr>
        <w:t xml:space="preserve"> broadcast licenses</w:t>
      </w:r>
      <w:r w:rsidR="004907E1">
        <w:rPr>
          <w:rFonts w:eastAsia="Calibri"/>
          <w:szCs w:val="22"/>
        </w:rPr>
        <w:t xml:space="preserve"> in the Birmingham m</w:t>
      </w:r>
      <w:r w:rsidR="00BC5DCB">
        <w:rPr>
          <w:rFonts w:eastAsia="Calibri"/>
          <w:szCs w:val="22"/>
        </w:rPr>
        <w:t>a</w:t>
      </w:r>
      <w:r w:rsidR="004907E1">
        <w:rPr>
          <w:rFonts w:eastAsia="Calibri"/>
          <w:szCs w:val="22"/>
        </w:rPr>
        <w:t>rket</w:t>
      </w:r>
      <w:r w:rsidRPr="00254D78" w:rsidR="00D83C85">
        <w:rPr>
          <w:rFonts w:eastAsia="Calibri"/>
          <w:szCs w:val="22"/>
        </w:rPr>
        <w:t xml:space="preserve"> without issue</w:t>
      </w:r>
      <w:r w:rsidRPr="00254D78" w:rsidR="00F828BA">
        <w:rPr>
          <w:rFonts w:eastAsia="Calibri"/>
          <w:szCs w:val="22"/>
        </w:rPr>
        <w:t xml:space="preserve">. </w:t>
      </w:r>
      <w:r w:rsidRPr="00254D78" w:rsidR="00B67954">
        <w:rPr>
          <w:rFonts w:eastAsia="Calibri"/>
          <w:szCs w:val="22"/>
        </w:rPr>
        <w:t xml:space="preserve"> </w:t>
      </w:r>
      <w:r w:rsidR="002F40BE">
        <w:rPr>
          <w:rFonts w:eastAsia="Calibri"/>
          <w:szCs w:val="22"/>
        </w:rPr>
        <w:t>While</w:t>
      </w:r>
      <w:r w:rsidRPr="00254D78" w:rsidR="003B2520">
        <w:rPr>
          <w:rFonts w:eastAsia="Calibri"/>
          <w:szCs w:val="22"/>
        </w:rPr>
        <w:t xml:space="preserve"> </w:t>
      </w:r>
      <w:r>
        <w:rPr>
          <w:szCs w:val="22"/>
        </w:rPr>
        <w:t>Marble City</w:t>
      </w:r>
      <w:r w:rsidRPr="00254D78">
        <w:rPr>
          <w:rFonts w:eastAsia="Calibri"/>
          <w:szCs w:val="22"/>
        </w:rPr>
        <w:t xml:space="preserve"> </w:t>
      </w:r>
      <w:r w:rsidRPr="00254D78" w:rsidR="006E57EA">
        <w:rPr>
          <w:rFonts w:eastAsia="Calibri"/>
          <w:szCs w:val="22"/>
        </w:rPr>
        <w:t xml:space="preserve">has </w:t>
      </w:r>
      <w:r w:rsidRPr="00254D78" w:rsidR="00CF5057">
        <w:rPr>
          <w:rFonts w:eastAsia="Calibri"/>
          <w:szCs w:val="22"/>
        </w:rPr>
        <w:t>referenced and filed</w:t>
      </w:r>
      <w:r w:rsidRPr="00254D78" w:rsidR="006E57EA">
        <w:rPr>
          <w:rFonts w:eastAsia="Calibri"/>
          <w:szCs w:val="22"/>
        </w:rPr>
        <w:t xml:space="preserve"> </w:t>
      </w:r>
      <w:r w:rsidRPr="00254D78" w:rsidR="00704FD5">
        <w:rPr>
          <w:rFonts w:eastAsia="Calibri"/>
          <w:szCs w:val="22"/>
        </w:rPr>
        <w:t xml:space="preserve">voluminous </w:t>
      </w:r>
      <w:r w:rsidRPr="00254D78" w:rsidR="00F828BA">
        <w:rPr>
          <w:rFonts w:eastAsia="Calibri"/>
          <w:szCs w:val="22"/>
        </w:rPr>
        <w:t xml:space="preserve">pleadings and arguments related to </w:t>
      </w:r>
      <w:r w:rsidR="00A26DAE">
        <w:rPr>
          <w:rFonts w:eastAsia="Calibri"/>
          <w:szCs w:val="22"/>
        </w:rPr>
        <w:t>Shelby’s</w:t>
      </w:r>
      <w:r w:rsidRPr="00254D78" w:rsidR="00F828BA">
        <w:rPr>
          <w:rFonts w:eastAsia="Calibri"/>
          <w:szCs w:val="22"/>
        </w:rPr>
        <w:t xml:space="preserve"> </w:t>
      </w:r>
      <w:r w:rsidRPr="00254D78" w:rsidR="00A2775C">
        <w:rPr>
          <w:rFonts w:eastAsia="Calibri"/>
          <w:szCs w:val="22"/>
        </w:rPr>
        <w:t>unauthorized operations</w:t>
      </w:r>
      <w:r w:rsidRPr="00254D78" w:rsidR="004D69A3">
        <w:rPr>
          <w:rFonts w:eastAsia="Calibri"/>
          <w:szCs w:val="22"/>
        </w:rPr>
        <w:t xml:space="preserve"> and </w:t>
      </w:r>
      <w:r w:rsidRPr="00254D78" w:rsidR="00704FD5">
        <w:rPr>
          <w:rFonts w:eastAsia="Calibri"/>
          <w:szCs w:val="22"/>
        </w:rPr>
        <w:t>character qualifications</w:t>
      </w:r>
      <w:r w:rsidRPr="00254D78" w:rsidR="00A2775C">
        <w:rPr>
          <w:rFonts w:eastAsia="Calibri"/>
          <w:szCs w:val="22"/>
        </w:rPr>
        <w:t>, for the reasons discussed above</w:t>
      </w:r>
      <w:r w:rsidRPr="00254D78" w:rsidR="00704FD5">
        <w:rPr>
          <w:rFonts w:eastAsia="Calibri"/>
          <w:szCs w:val="22"/>
        </w:rPr>
        <w:t xml:space="preserve"> in reference to the Renewal Application</w:t>
      </w:r>
      <w:r w:rsidRPr="00254D78" w:rsidR="00A2775C">
        <w:rPr>
          <w:rFonts w:eastAsia="Calibri"/>
          <w:szCs w:val="22"/>
        </w:rPr>
        <w:t xml:space="preserve">, we do not </w:t>
      </w:r>
      <w:r w:rsidRPr="00254D78" w:rsidR="0050341E">
        <w:rPr>
          <w:rFonts w:eastAsia="Calibri"/>
          <w:szCs w:val="22"/>
        </w:rPr>
        <w:t>find</w:t>
      </w:r>
      <w:r w:rsidRPr="00254D78" w:rsidR="00A2775C">
        <w:rPr>
          <w:rFonts w:eastAsia="Calibri"/>
          <w:szCs w:val="22"/>
        </w:rPr>
        <w:t xml:space="preserve"> </w:t>
      </w:r>
      <w:r w:rsidR="004A2F2F">
        <w:rPr>
          <w:rFonts w:eastAsia="Calibri"/>
          <w:szCs w:val="22"/>
        </w:rPr>
        <w:t xml:space="preserve">that </w:t>
      </w:r>
      <w:r w:rsidRPr="00254D78" w:rsidR="00A2775C">
        <w:rPr>
          <w:rFonts w:eastAsia="Calibri"/>
          <w:szCs w:val="22"/>
        </w:rPr>
        <w:t xml:space="preserve">these violations </w:t>
      </w:r>
      <w:r w:rsidR="00432D96">
        <w:rPr>
          <w:rFonts w:eastAsia="Calibri"/>
          <w:szCs w:val="22"/>
        </w:rPr>
        <w:t xml:space="preserve">resulted in </w:t>
      </w:r>
      <w:r w:rsidR="0050556D">
        <w:rPr>
          <w:rFonts w:eastAsia="Calibri"/>
          <w:szCs w:val="22"/>
        </w:rPr>
        <w:t>license</w:t>
      </w:r>
      <w:r w:rsidRPr="00254D78" w:rsidR="00A2775C">
        <w:rPr>
          <w:rFonts w:eastAsia="Calibri"/>
          <w:szCs w:val="22"/>
        </w:rPr>
        <w:t xml:space="preserve"> </w:t>
      </w:r>
      <w:r w:rsidR="0050556D">
        <w:rPr>
          <w:rFonts w:eastAsia="Calibri"/>
          <w:szCs w:val="22"/>
        </w:rPr>
        <w:t>expiration</w:t>
      </w:r>
      <w:r w:rsidR="00432D96">
        <w:rPr>
          <w:rFonts w:eastAsia="Calibri"/>
          <w:szCs w:val="22"/>
        </w:rPr>
        <w:t xml:space="preserve"> </w:t>
      </w:r>
      <w:r w:rsidR="00432D96">
        <w:rPr>
          <w:rFonts w:eastAsia="Calibri"/>
          <w:szCs w:val="22"/>
        </w:rPr>
        <w:t>pursuant to Section 312(g)</w:t>
      </w:r>
      <w:r w:rsidRPr="00254D78" w:rsidR="00A2775C">
        <w:rPr>
          <w:rFonts w:eastAsia="Calibri"/>
          <w:szCs w:val="22"/>
        </w:rPr>
        <w:t xml:space="preserve">.  </w:t>
      </w:r>
      <w:r w:rsidRPr="00254D78" w:rsidR="0050341E">
        <w:rPr>
          <w:rFonts w:eastAsia="Calibri"/>
          <w:szCs w:val="22"/>
        </w:rPr>
        <w:t xml:space="preserve">We also </w:t>
      </w:r>
      <w:r w:rsidRPr="00254D78" w:rsidR="00C84C1C">
        <w:rPr>
          <w:rFonts w:eastAsia="Calibri"/>
          <w:szCs w:val="22"/>
        </w:rPr>
        <w:t xml:space="preserve">find that </w:t>
      </w:r>
      <w:r>
        <w:rPr>
          <w:szCs w:val="22"/>
        </w:rPr>
        <w:t>Marble City</w:t>
      </w:r>
      <w:r w:rsidRPr="00254D78">
        <w:rPr>
          <w:szCs w:val="22"/>
        </w:rPr>
        <w:t xml:space="preserve"> </w:t>
      </w:r>
      <w:r w:rsidRPr="00254D78" w:rsidR="00C84C1C">
        <w:rPr>
          <w:szCs w:val="22"/>
        </w:rPr>
        <w:t xml:space="preserve">has not made a </w:t>
      </w:r>
      <w:r w:rsidRPr="00254D78" w:rsidR="00C84C1C">
        <w:rPr>
          <w:i/>
          <w:iCs/>
          <w:szCs w:val="22"/>
        </w:rPr>
        <w:t>prima facie</w:t>
      </w:r>
      <w:r w:rsidRPr="00254D78" w:rsidR="00C84C1C">
        <w:rPr>
          <w:szCs w:val="22"/>
        </w:rPr>
        <w:t xml:space="preserve"> case that </w:t>
      </w:r>
      <w:r w:rsidR="00A26DAE">
        <w:rPr>
          <w:szCs w:val="22"/>
        </w:rPr>
        <w:t>Shelby</w:t>
      </w:r>
      <w:r w:rsidRPr="00254D78" w:rsidR="00C84C1C">
        <w:rPr>
          <w:szCs w:val="22"/>
        </w:rPr>
        <w:t xml:space="preserve"> lacks the character qualifications necessary to be a Commission licensee</w:t>
      </w:r>
      <w:r w:rsidR="00B11D3B">
        <w:rPr>
          <w:szCs w:val="22"/>
        </w:rPr>
        <w:t>, or to assign the license it holds.</w:t>
      </w:r>
      <w:r w:rsidRPr="00254D78" w:rsidR="00C84C1C">
        <w:rPr>
          <w:szCs w:val="22"/>
        </w:rPr>
        <w:t xml:space="preserve">  </w:t>
      </w:r>
    </w:p>
    <w:p w:rsidR="00441008" w:rsidRPr="00254D78" w:rsidP="00D90FA7" w14:paraId="4681B6E6" w14:textId="4F88C0F1">
      <w:pPr>
        <w:pStyle w:val="ParaNum"/>
        <w:widowControl/>
        <w:spacing w:after="120"/>
        <w:jc w:val="left"/>
        <w:rPr>
          <w:szCs w:val="22"/>
          <w:shd w:val="clear" w:color="auto" w:fill="FFFFFF"/>
        </w:rPr>
      </w:pPr>
      <w:r w:rsidRPr="00254D78">
        <w:rPr>
          <w:i/>
          <w:iCs/>
          <w:color w:val="212121"/>
          <w:szCs w:val="22"/>
        </w:rPr>
        <w:t xml:space="preserve">Conclusions/Actions. </w:t>
      </w:r>
      <w:r w:rsidRPr="00254D78" w:rsidR="0051288B">
        <w:rPr>
          <w:szCs w:val="22"/>
          <w:shd w:val="clear" w:color="auto" w:fill="FFFFFF"/>
        </w:rPr>
        <w:t xml:space="preserve"> C</w:t>
      </w:r>
      <w:r w:rsidRPr="00254D78">
        <w:rPr>
          <w:szCs w:val="22"/>
          <w:shd w:val="clear" w:color="auto" w:fill="FFFFFF"/>
        </w:rPr>
        <w:t>onsidering the entire record in this proceeding, we</w:t>
      </w:r>
      <w:r w:rsidRPr="00254D78">
        <w:rPr>
          <w:szCs w:val="22"/>
        </w:rPr>
        <w:t xml:space="preserve"> find that </w:t>
      </w:r>
      <w:r w:rsidR="00A26DAE">
        <w:rPr>
          <w:szCs w:val="22"/>
        </w:rPr>
        <w:t>Shelby’s</w:t>
      </w:r>
      <w:r w:rsidRPr="00254D78" w:rsidR="00E04F8A">
        <w:rPr>
          <w:szCs w:val="22"/>
        </w:rPr>
        <w:t xml:space="preserve"> </w:t>
      </w:r>
      <w:r w:rsidRPr="00254D78">
        <w:rPr>
          <w:szCs w:val="22"/>
        </w:rPr>
        <w:t xml:space="preserve">apparent violations </w:t>
      </w:r>
      <w:r w:rsidR="00432D96">
        <w:rPr>
          <w:szCs w:val="22"/>
        </w:rPr>
        <w:t xml:space="preserve">of </w:t>
      </w:r>
      <w:r w:rsidRPr="00254D78">
        <w:rPr>
          <w:szCs w:val="22"/>
        </w:rPr>
        <w:t>the Act and the Rules do not constitute “serious violations,”</w:t>
      </w:r>
      <w:r>
        <w:rPr>
          <w:szCs w:val="22"/>
          <w:vertAlign w:val="superscript"/>
        </w:rPr>
        <w:footnoteReference w:id="95"/>
      </w:r>
      <w:r w:rsidRPr="00254D78">
        <w:rPr>
          <w:szCs w:val="22"/>
        </w:rPr>
        <w:t xml:space="preserve"> warranting designation for evidentiary hearing and that the proposed forfeiture constitutes a sufficient penalty for these apparent violations.  Moreover, we find no evidence of violations that, when considered together, evidence a pattern of abuse.</w:t>
      </w:r>
      <w:r>
        <w:rPr>
          <w:szCs w:val="22"/>
          <w:vertAlign w:val="superscript"/>
        </w:rPr>
        <w:footnoteReference w:id="96"/>
      </w:r>
      <w:r w:rsidRPr="00254D78">
        <w:rPr>
          <w:szCs w:val="22"/>
        </w:rPr>
        <w:t xml:space="preserve">  </w:t>
      </w:r>
      <w:r w:rsidR="00BC2EE3">
        <w:rPr>
          <w:szCs w:val="22"/>
        </w:rPr>
        <w:t xml:space="preserve"> We therefore deny the Renewal Petition.</w:t>
      </w:r>
    </w:p>
    <w:p w:rsidR="00C33EA4" w:rsidRPr="00254D78" w:rsidP="00D90FA7" w14:paraId="141265EE" w14:textId="3D54C045">
      <w:pPr>
        <w:pStyle w:val="ParaNum"/>
        <w:widowControl/>
        <w:spacing w:after="120"/>
        <w:jc w:val="left"/>
        <w:rPr>
          <w:szCs w:val="22"/>
        </w:rPr>
      </w:pPr>
      <w:r w:rsidRPr="00254D78">
        <w:rPr>
          <w:rFonts w:eastAsia="Calibri"/>
          <w:szCs w:val="22"/>
        </w:rPr>
        <w:t xml:space="preserve">Concerning the Assignment Application, we find that </w:t>
      </w:r>
      <w:r w:rsidR="00560285">
        <w:rPr>
          <w:rFonts w:eastAsia="Calibri"/>
          <w:szCs w:val="22"/>
        </w:rPr>
        <w:t>Marble City</w:t>
      </w:r>
      <w:r w:rsidRPr="00254D78">
        <w:rPr>
          <w:rFonts w:eastAsia="Calibri"/>
          <w:szCs w:val="22"/>
        </w:rPr>
        <w:t xml:space="preserve"> has failed to raise a substantial and material question of fact calling for further inquiry regarding the Assignment Application.  </w:t>
      </w:r>
      <w:r w:rsidR="00F6723E">
        <w:rPr>
          <w:rFonts w:eastAsia="Calibri"/>
          <w:szCs w:val="22"/>
        </w:rPr>
        <w:t>We therefore deny the Assignment Petition.</w:t>
      </w:r>
    </w:p>
    <w:p w:rsidR="00441008" w:rsidRPr="00254D78" w:rsidP="00D90FA7" w14:paraId="79527490" w14:textId="77777777">
      <w:pPr>
        <w:pStyle w:val="ParaNum"/>
        <w:widowControl/>
        <w:numPr>
          <w:ilvl w:val="0"/>
          <w:numId w:val="0"/>
        </w:numPr>
        <w:spacing w:after="120"/>
        <w:jc w:val="left"/>
        <w:rPr>
          <w:szCs w:val="22"/>
        </w:rPr>
      </w:pPr>
      <w:r w:rsidRPr="00254D78">
        <w:rPr>
          <w:b/>
          <w:szCs w:val="22"/>
        </w:rPr>
        <w:t>IV.        ORDERING CLAUSES</w:t>
      </w:r>
    </w:p>
    <w:p w:rsidR="00441008" w:rsidRPr="00254D78" w:rsidP="00D90FA7" w14:paraId="6B4E9E70" w14:textId="0C038B94">
      <w:pPr>
        <w:pStyle w:val="ParaNum"/>
        <w:spacing w:after="120"/>
        <w:jc w:val="left"/>
        <w:rPr>
          <w:szCs w:val="22"/>
        </w:rPr>
      </w:pPr>
      <w:r w:rsidRPr="00254D78">
        <w:rPr>
          <w:szCs w:val="22"/>
        </w:rPr>
        <w:t xml:space="preserve">Accordingly, </w:t>
      </w:r>
      <w:r w:rsidRPr="00DC7F2A">
        <w:rPr>
          <w:b/>
          <w:bCs/>
          <w:szCs w:val="22"/>
        </w:rPr>
        <w:t>IT IS ORDERED</w:t>
      </w:r>
      <w:r w:rsidRPr="00254D78">
        <w:rPr>
          <w:szCs w:val="22"/>
        </w:rPr>
        <w:t xml:space="preserve">, pursuant to </w:t>
      </w:r>
      <w:r w:rsidR="007626DC">
        <w:rPr>
          <w:szCs w:val="22"/>
        </w:rPr>
        <w:t>s</w:t>
      </w:r>
      <w:r w:rsidRPr="00254D78">
        <w:rPr>
          <w:szCs w:val="22"/>
        </w:rPr>
        <w:t xml:space="preserve">ection 503(b) of the Communications Act of 1934, as amended, and </w:t>
      </w:r>
      <w:r w:rsidR="007626DC">
        <w:rPr>
          <w:szCs w:val="22"/>
        </w:rPr>
        <w:t>s</w:t>
      </w:r>
      <w:r w:rsidRPr="00254D78">
        <w:rPr>
          <w:szCs w:val="22"/>
        </w:rPr>
        <w:t xml:space="preserve">ection 1.80 of the Commission’s </w:t>
      </w:r>
      <w:r w:rsidR="00F6723E">
        <w:rPr>
          <w:szCs w:val="22"/>
        </w:rPr>
        <w:t>r</w:t>
      </w:r>
      <w:r w:rsidRPr="00254D78" w:rsidR="00F6723E">
        <w:rPr>
          <w:szCs w:val="22"/>
        </w:rPr>
        <w:t>ules</w:t>
      </w:r>
      <w:r w:rsidRPr="00254D78">
        <w:rPr>
          <w:szCs w:val="22"/>
        </w:rPr>
        <w:t xml:space="preserve">, that </w:t>
      </w:r>
      <w:r w:rsidRPr="00254D78" w:rsidR="004043A6">
        <w:rPr>
          <w:szCs w:val="22"/>
        </w:rPr>
        <w:t xml:space="preserve">Shelby Broadcast </w:t>
      </w:r>
      <w:r w:rsidRPr="00254D78" w:rsidR="00816433">
        <w:rPr>
          <w:szCs w:val="22"/>
        </w:rPr>
        <w:t>Associates, LLC</w:t>
      </w:r>
      <w:r w:rsidRPr="00254D78">
        <w:rPr>
          <w:szCs w:val="22"/>
        </w:rPr>
        <w:t xml:space="preserve">, is hereby </w:t>
      </w:r>
      <w:r w:rsidRPr="00DC7F2A">
        <w:rPr>
          <w:b/>
          <w:bCs/>
          <w:szCs w:val="22"/>
        </w:rPr>
        <w:t>NOTIFIED</w:t>
      </w:r>
      <w:r w:rsidRPr="00254D78">
        <w:rPr>
          <w:szCs w:val="22"/>
        </w:rPr>
        <w:t xml:space="preserve"> of his </w:t>
      </w:r>
      <w:r w:rsidRPr="00DC7F2A">
        <w:rPr>
          <w:b/>
          <w:bCs/>
          <w:szCs w:val="22"/>
        </w:rPr>
        <w:t>APPARENT LIABILITY FOR FORFEITURE</w:t>
      </w:r>
      <w:r w:rsidRPr="00A81A7A">
        <w:rPr>
          <w:szCs w:val="22"/>
        </w:rPr>
        <w:t xml:space="preserve"> in the amount of </w:t>
      </w:r>
      <w:r w:rsidRPr="00A81A7A" w:rsidR="00EF7EEC">
        <w:rPr>
          <w:szCs w:val="22"/>
        </w:rPr>
        <w:t>sixteen</w:t>
      </w:r>
      <w:r w:rsidRPr="000309E5" w:rsidR="00EF7EEC">
        <w:t xml:space="preserve"> </w:t>
      </w:r>
      <w:r w:rsidRPr="000309E5">
        <w:t xml:space="preserve">thousand </w:t>
      </w:r>
      <w:r w:rsidRPr="000309E5" w:rsidR="003235DC">
        <w:t>five</w:t>
      </w:r>
      <w:r w:rsidRPr="000309E5" w:rsidR="00FF385E">
        <w:t xml:space="preserve"> </w:t>
      </w:r>
      <w:r w:rsidRPr="000309E5" w:rsidR="00BD55A3">
        <w:t xml:space="preserve">hundred </w:t>
      </w:r>
      <w:r w:rsidRPr="000309E5">
        <w:t>dollars ($</w:t>
      </w:r>
      <w:r w:rsidRPr="00A81A7A" w:rsidR="00EF7EEC">
        <w:rPr>
          <w:szCs w:val="22"/>
        </w:rPr>
        <w:t>16</w:t>
      </w:r>
      <w:r w:rsidRPr="000309E5" w:rsidR="00FF385E">
        <w:t>,5</w:t>
      </w:r>
      <w:r w:rsidRPr="000309E5">
        <w:t>00)</w:t>
      </w:r>
      <w:r w:rsidRPr="00254D78">
        <w:rPr>
          <w:szCs w:val="22"/>
        </w:rPr>
        <w:t xml:space="preserve"> for apparent willful and repeated violation of </w:t>
      </w:r>
      <w:r w:rsidR="0095334F">
        <w:rPr>
          <w:szCs w:val="22"/>
        </w:rPr>
        <w:t>s</w:t>
      </w:r>
      <w:r w:rsidRPr="00254D78">
        <w:rPr>
          <w:szCs w:val="22"/>
        </w:rPr>
        <w:t xml:space="preserve">ection 301 of the Act and </w:t>
      </w:r>
      <w:r w:rsidR="001C16C1">
        <w:rPr>
          <w:szCs w:val="22"/>
        </w:rPr>
        <w:t>s</w:t>
      </w:r>
      <w:r w:rsidRPr="00254D78">
        <w:rPr>
          <w:szCs w:val="22"/>
        </w:rPr>
        <w:t xml:space="preserve">ections 73.1745(a), </w:t>
      </w:r>
      <w:r w:rsidRPr="00725BF0" w:rsidR="00725BF0">
        <w:rPr>
          <w:szCs w:val="22"/>
        </w:rPr>
        <w:t>73.1635</w:t>
      </w:r>
      <w:r w:rsidRPr="00254D78">
        <w:rPr>
          <w:szCs w:val="22"/>
        </w:rPr>
        <w:t xml:space="preserve">, </w:t>
      </w:r>
      <w:r w:rsidR="00CD0BD2">
        <w:rPr>
          <w:szCs w:val="22"/>
        </w:rPr>
        <w:t xml:space="preserve">and </w:t>
      </w:r>
      <w:r w:rsidRPr="00254D78">
        <w:rPr>
          <w:szCs w:val="22"/>
        </w:rPr>
        <w:t>1.17</w:t>
      </w:r>
      <w:r w:rsidR="00CD0BD2">
        <w:rPr>
          <w:szCs w:val="22"/>
        </w:rPr>
        <w:t>(a)(2)</w:t>
      </w:r>
      <w:r w:rsidR="00725BF0">
        <w:rPr>
          <w:szCs w:val="22"/>
        </w:rPr>
        <w:t>,</w:t>
      </w:r>
      <w:r w:rsidRPr="00254D78">
        <w:rPr>
          <w:szCs w:val="22"/>
        </w:rPr>
        <w:t xml:space="preserve">of the </w:t>
      </w:r>
      <w:r w:rsidR="00F6723E">
        <w:rPr>
          <w:szCs w:val="22"/>
        </w:rPr>
        <w:t>Commission</w:t>
      </w:r>
      <w:r w:rsidRPr="00254D78" w:rsidR="00F6723E">
        <w:rPr>
          <w:szCs w:val="22"/>
        </w:rPr>
        <w:t xml:space="preserve">’s </w:t>
      </w:r>
      <w:r w:rsidRPr="00254D78">
        <w:rPr>
          <w:szCs w:val="22"/>
        </w:rPr>
        <w:t>rules.</w:t>
      </w:r>
    </w:p>
    <w:p w:rsidR="00441008" w:rsidRPr="00254D78" w:rsidP="00D90FA7" w14:paraId="42211EB5" w14:textId="16A342E0">
      <w:pPr>
        <w:pStyle w:val="ParaNum"/>
        <w:spacing w:after="120"/>
        <w:jc w:val="left"/>
        <w:rPr>
          <w:szCs w:val="22"/>
        </w:rPr>
      </w:pPr>
      <w:r w:rsidRPr="00DC7F2A">
        <w:rPr>
          <w:b/>
          <w:bCs/>
          <w:szCs w:val="22"/>
        </w:rPr>
        <w:t>IT IS FURTHER ORDERED</w:t>
      </w:r>
      <w:r w:rsidRPr="00254D78">
        <w:rPr>
          <w:szCs w:val="22"/>
        </w:rPr>
        <w:t xml:space="preserve">, pursuant to </w:t>
      </w:r>
      <w:r w:rsidR="0095334F">
        <w:rPr>
          <w:szCs w:val="22"/>
        </w:rPr>
        <w:t>s</w:t>
      </w:r>
      <w:r w:rsidRPr="00254D78">
        <w:rPr>
          <w:szCs w:val="22"/>
        </w:rPr>
        <w:t xml:space="preserve">ection 1.80 of the </w:t>
      </w:r>
      <w:r w:rsidR="00F6723E">
        <w:rPr>
          <w:szCs w:val="22"/>
        </w:rPr>
        <w:t>Commission</w:t>
      </w:r>
      <w:r w:rsidRPr="00254D78" w:rsidR="00F6723E">
        <w:rPr>
          <w:szCs w:val="22"/>
        </w:rPr>
        <w:t xml:space="preserve">’s </w:t>
      </w:r>
      <w:r w:rsidR="00F6723E">
        <w:rPr>
          <w:szCs w:val="22"/>
        </w:rPr>
        <w:t>r</w:t>
      </w:r>
      <w:r w:rsidRPr="00254D78">
        <w:rPr>
          <w:szCs w:val="22"/>
        </w:rPr>
        <w:t xml:space="preserve">ules, that, within thirty (30) days of the release date of this </w:t>
      </w:r>
      <w:r w:rsidRPr="00254D78">
        <w:rPr>
          <w:i/>
          <w:szCs w:val="22"/>
        </w:rPr>
        <w:t>NAL,</w:t>
      </w:r>
      <w:r w:rsidRPr="00254D78">
        <w:rPr>
          <w:szCs w:val="22"/>
        </w:rPr>
        <w:t xml:space="preserve"> that </w:t>
      </w:r>
      <w:r w:rsidRPr="00254D78" w:rsidR="0081475A">
        <w:rPr>
          <w:szCs w:val="22"/>
        </w:rPr>
        <w:t>Shelby Broadcast Associates, LLC</w:t>
      </w:r>
      <w:r w:rsidRPr="00254D78">
        <w:rPr>
          <w:szCs w:val="22"/>
        </w:rPr>
        <w:t xml:space="preserve">, </w:t>
      </w:r>
      <w:r w:rsidRPr="00DC7F2A">
        <w:rPr>
          <w:b/>
          <w:bCs/>
          <w:szCs w:val="22"/>
        </w:rPr>
        <w:t>SHALL PAY</w:t>
      </w:r>
      <w:r w:rsidRPr="00254D78">
        <w:rPr>
          <w:szCs w:val="22"/>
        </w:rPr>
        <w:t xml:space="preserve"> the full amount of the proposed forfeiture or </w:t>
      </w:r>
      <w:r w:rsidRPr="00DC7F2A">
        <w:rPr>
          <w:b/>
          <w:bCs/>
          <w:szCs w:val="22"/>
        </w:rPr>
        <w:t>SHALL FILE</w:t>
      </w:r>
      <w:r w:rsidRPr="00254D78">
        <w:rPr>
          <w:szCs w:val="22"/>
        </w:rPr>
        <w:t xml:space="preserve"> a written statement seeking reduction or cancellation of the proposed forfeiture.</w:t>
      </w:r>
    </w:p>
    <w:p w:rsidR="007E139F" w:rsidP="00BC2EE3" w14:paraId="13EB1F0B" w14:textId="5E88F615">
      <w:pPr>
        <w:pStyle w:val="ParaNum"/>
      </w:pPr>
      <w:r>
        <w:t>P</w:t>
      </w:r>
      <w:r w:rsidRPr="00424086">
        <w:t xml:space="preserve">ayment </w:t>
      </w:r>
      <w:r>
        <w:t>of the Civil Penalty must</w:t>
      </w:r>
      <w:r w:rsidRPr="00424086">
        <w:t xml:space="preserve"> be made</w:t>
      </w:r>
      <w:r>
        <w:t xml:space="preserve"> </w:t>
      </w:r>
      <w:r w:rsidRPr="00424086">
        <w:t xml:space="preserve">by </w:t>
      </w:r>
      <w:r w:rsidRPr="000E5C6D">
        <w:t xml:space="preserve">credit card, ACH (Automated Clearing House) debit from a bank account using </w:t>
      </w:r>
      <w:r>
        <w:t>CORES</w:t>
      </w:r>
      <w:r w:rsidRPr="000E5C6D">
        <w:t xml:space="preserve"> (the Commission’s online payment system),</w:t>
      </w:r>
      <w:r>
        <w:rPr>
          <w:rStyle w:val="FootnoteReference"/>
          <w:szCs w:val="22"/>
        </w:rPr>
        <w:footnoteReference w:id="97"/>
      </w:r>
      <w:r w:rsidRPr="000E5C6D">
        <w:t xml:space="preserve"> or by wire transfer.  </w:t>
      </w:r>
      <w:r w:rsidRPr="009715BF">
        <w:rPr>
          <w:szCs w:val="22"/>
        </w:rPr>
        <w:t xml:space="preserve">Payments by check or money order to pay a </w:t>
      </w:r>
      <w:r>
        <w:rPr>
          <w:szCs w:val="22"/>
        </w:rPr>
        <w:t>civil penalty</w:t>
      </w:r>
      <w:r w:rsidRPr="009715BF">
        <w:rPr>
          <w:szCs w:val="22"/>
        </w:rPr>
        <w:t xml:space="preserve"> are no longer accepted.  Below are instructions that payors should follow based on the form of payment selected:</w:t>
      </w:r>
      <w:r>
        <w:rPr>
          <w:rStyle w:val="FootnoteReference"/>
          <w:szCs w:val="22"/>
        </w:rPr>
        <w:footnoteReference w:id="98"/>
      </w:r>
    </w:p>
    <w:p w:rsidR="007E139F" w:rsidP="007E139F" w14:paraId="3E129282" w14:textId="77777777">
      <w:pPr>
        <w:pStyle w:val="ParaNum"/>
        <w:widowControl/>
        <w:numPr>
          <w:ilvl w:val="0"/>
          <w:numId w:val="28"/>
        </w:numPr>
        <w:tabs>
          <w:tab w:val="clear" w:pos="1440"/>
        </w:tabs>
        <w:spacing w:after="120" w:line="259" w:lineRule="auto"/>
        <w:ind w:hanging="720"/>
        <w:jc w:val="left"/>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w:t>
      </w:r>
      <w:r w:rsidRPr="00514C8E">
        <w:rPr>
          <w:szCs w:val="22"/>
        </w:rPr>
        <w:t>captioned above (Payor FRN).</w:t>
      </w:r>
      <w:r>
        <w:rPr>
          <w:rStyle w:val="FootnoteReference"/>
          <w:szCs w:val="22"/>
        </w:rPr>
        <w:footnoteReference w:id="99"/>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7E139F" w:rsidP="007E139F" w14:paraId="698B50D4" w14:textId="77777777">
      <w:pPr>
        <w:pStyle w:val="ParaNum"/>
        <w:widowControl/>
        <w:numPr>
          <w:ilvl w:val="0"/>
          <w:numId w:val="28"/>
        </w:numPr>
        <w:tabs>
          <w:tab w:val="clear" w:pos="1440"/>
        </w:tabs>
        <w:spacing w:after="120" w:line="259" w:lineRule="auto"/>
        <w:jc w:val="left"/>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7E139F" w:rsidRPr="007E139F" w:rsidP="00976FA7" w14:paraId="4A684874" w14:textId="0C185E57">
      <w:pPr>
        <w:pStyle w:val="ParaNum"/>
        <w:widowControl/>
        <w:numPr>
          <w:ilvl w:val="0"/>
          <w:numId w:val="28"/>
        </w:numPr>
        <w:tabs>
          <w:tab w:val="clear" w:pos="1440"/>
        </w:tabs>
        <w:spacing w:after="120" w:line="259" w:lineRule="auto"/>
        <w:jc w:val="left"/>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 xml:space="preserve">Please contact the appropriate financial institution to confirm the correct Routing Number and the correct account number from which payment will be made and verify with that financial institution that the designated </w:t>
      </w:r>
      <w:r w:rsidRPr="00272F4D">
        <w:rPr>
          <w:szCs w:val="22"/>
        </w:rPr>
        <w:t>account has authorization to accept ACH transactions.</w:t>
      </w:r>
    </w:p>
    <w:p w:rsidR="001C36F7" w:rsidRPr="001C36F7" w:rsidP="00D90FA7" w14:paraId="11E6CE3A" w14:textId="681E8CC6">
      <w:pPr>
        <w:pStyle w:val="ParaNum"/>
        <w:spacing w:after="120"/>
        <w:jc w:val="left"/>
        <w:rPr>
          <w:snapToGrid w:val="0"/>
        </w:rPr>
      </w:pPr>
      <w:r w:rsidRPr="001C36F7">
        <w:rPr>
          <w:snapToGrid w:val="0"/>
        </w:rPr>
        <w:t>Any request for making full payment over time under an installment plan should be sent to:  Associate Managing Director—Financial Operations, Federal Communications Commission, 45 L Street, N.E., Washington, DC 20554.</w:t>
      </w:r>
      <w:r>
        <w:rPr>
          <w:snapToGrid w:val="0"/>
          <w:vertAlign w:val="superscript"/>
        </w:rPr>
        <w:footnoteReference w:id="100"/>
      </w:r>
      <w:r w:rsidRPr="001C36F7">
        <w:rPr>
          <w:snapToGrid w:val="0"/>
        </w:rPr>
        <w:t xml:space="preserve">  Questions regarding payment procedures should be directed to the Financial Operations Group Help Desk by phone, 1-877-480-3201 (option #6), or by e-mail at </w:t>
      </w:r>
      <w:hyperlink r:id="rId9" w:history="1">
        <w:r w:rsidRPr="001C36F7">
          <w:rPr>
            <w:snapToGrid w:val="0"/>
            <w:color w:val="0000FF"/>
            <w:u w:val="single"/>
          </w:rPr>
          <w:t>ARINQUIRIES@fcc.gov</w:t>
        </w:r>
      </w:hyperlink>
      <w:r w:rsidRPr="001C36F7">
        <w:rPr>
          <w:snapToGrid w:val="0"/>
        </w:rPr>
        <w:t>.</w:t>
      </w:r>
    </w:p>
    <w:p w:rsidR="00441008" w:rsidRPr="00254D78" w:rsidP="00D90FA7" w14:paraId="27D431AA" w14:textId="4D6A6234">
      <w:pPr>
        <w:pStyle w:val="ParaNum"/>
        <w:spacing w:after="120"/>
        <w:jc w:val="left"/>
        <w:rPr>
          <w:szCs w:val="22"/>
        </w:rPr>
      </w:pPr>
      <w:r w:rsidRPr="00254D78">
        <w:rPr>
          <w:szCs w:val="22"/>
        </w:rPr>
        <w:t>The response, if any, must be mailed to Office of the Secretary, Federal Communications Commission, 445 12</w:t>
      </w:r>
      <w:r w:rsidRPr="00254D78">
        <w:rPr>
          <w:szCs w:val="22"/>
          <w:vertAlign w:val="superscript"/>
        </w:rPr>
        <w:t>th</w:t>
      </w:r>
      <w:r w:rsidRPr="00254D78">
        <w:rPr>
          <w:szCs w:val="22"/>
        </w:rPr>
        <w:t xml:space="preserve"> Street, S.W., Washington DC 20554, ATTN: Albert Shuldiner, Chief, Audio Division, Media Bureau, and </w:t>
      </w:r>
      <w:r w:rsidRPr="001772A8">
        <w:rPr>
          <w:b/>
          <w:bCs/>
          <w:szCs w:val="22"/>
        </w:rPr>
        <w:t xml:space="preserve">MUST INCLUDE </w:t>
      </w:r>
      <w:r w:rsidRPr="00254D78">
        <w:rPr>
          <w:szCs w:val="22"/>
        </w:rPr>
        <w:t>the NAL/Acct. No. referenced above.</w:t>
      </w:r>
      <w:r w:rsidR="007E139F">
        <w:rPr>
          <w:szCs w:val="22"/>
        </w:rPr>
        <w:t xml:space="preserve">  A copy must be emailed to Alex</w:t>
      </w:r>
      <w:r w:rsidR="00EA6945">
        <w:rPr>
          <w:szCs w:val="22"/>
        </w:rPr>
        <w:t>a</w:t>
      </w:r>
      <w:r w:rsidR="00AB4BBC">
        <w:rPr>
          <w:szCs w:val="22"/>
        </w:rPr>
        <w:t>n</w:t>
      </w:r>
      <w:r w:rsidR="007E139F">
        <w:rPr>
          <w:szCs w:val="22"/>
        </w:rPr>
        <w:t>der Sanjenis (</w:t>
      </w:r>
      <w:hyperlink r:id="rId10" w:history="1">
        <w:r w:rsidRPr="00470AA5" w:rsidR="007E139F">
          <w:rPr>
            <w:rStyle w:val="Hyperlink"/>
            <w:szCs w:val="22"/>
          </w:rPr>
          <w:t>alexander.sanjenis@fcc.gov</w:t>
        </w:r>
      </w:hyperlink>
      <w:r w:rsidR="007E139F">
        <w:rPr>
          <w:szCs w:val="22"/>
        </w:rPr>
        <w:t>) and Olivia Hill (olivia.hill@fcc.gov).</w:t>
      </w:r>
    </w:p>
    <w:p w:rsidR="00441008" w:rsidRPr="00254D78" w:rsidP="00D90FA7" w14:paraId="1281FE0F" w14:textId="5B7FAF70">
      <w:pPr>
        <w:pStyle w:val="ParaNum"/>
        <w:spacing w:after="120"/>
        <w:jc w:val="left"/>
        <w:rPr>
          <w:szCs w:val="22"/>
        </w:rPr>
      </w:pPr>
      <w:r w:rsidRPr="00254D78">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441008" w:rsidRPr="00254D78" w:rsidP="00D90FA7" w14:paraId="2A6B6A69" w14:textId="45282ADB">
      <w:pPr>
        <w:pStyle w:val="ParaNum"/>
        <w:widowControl/>
        <w:spacing w:after="120"/>
        <w:jc w:val="left"/>
        <w:rPr>
          <w:szCs w:val="22"/>
        </w:rPr>
      </w:pPr>
      <w:r w:rsidRPr="0084097A">
        <w:rPr>
          <w:b/>
          <w:bCs/>
          <w:szCs w:val="22"/>
        </w:rPr>
        <w:t xml:space="preserve">IT IS FURTHER </w:t>
      </w:r>
      <w:r w:rsidRPr="0084097A" w:rsidR="004D3AC2">
        <w:rPr>
          <w:b/>
          <w:bCs/>
          <w:szCs w:val="22"/>
        </w:rPr>
        <w:t>ORDERED</w:t>
      </w:r>
      <w:r w:rsidRPr="00254D78">
        <w:rPr>
          <w:szCs w:val="22"/>
        </w:rPr>
        <w:t xml:space="preserve"> that the </w:t>
      </w:r>
      <w:r w:rsidRPr="00254D78" w:rsidR="00A7467C">
        <w:rPr>
          <w:szCs w:val="22"/>
        </w:rPr>
        <w:t>Petition for Reconsideration</w:t>
      </w:r>
      <w:r w:rsidR="004A68DD">
        <w:rPr>
          <w:szCs w:val="22"/>
        </w:rPr>
        <w:t>,</w:t>
      </w:r>
      <w:r w:rsidRPr="00254D78">
        <w:rPr>
          <w:szCs w:val="22"/>
        </w:rPr>
        <w:t xml:space="preserve"> filed on </w:t>
      </w:r>
      <w:r w:rsidRPr="00254D78" w:rsidR="00452E36">
        <w:rPr>
          <w:szCs w:val="22"/>
        </w:rPr>
        <w:t>April 16, 2020</w:t>
      </w:r>
      <w:r w:rsidRPr="00254D78">
        <w:rPr>
          <w:szCs w:val="22"/>
        </w:rPr>
        <w:t xml:space="preserve">, by </w:t>
      </w:r>
      <w:r w:rsidRPr="00254D78" w:rsidR="00452E36">
        <w:rPr>
          <w:noProof/>
          <w:szCs w:val="22"/>
        </w:rPr>
        <w:t xml:space="preserve">Marble City Media, LLC </w:t>
      </w:r>
      <w:r w:rsidRPr="0084097A">
        <w:rPr>
          <w:b/>
          <w:bCs/>
          <w:noProof/>
          <w:szCs w:val="22"/>
        </w:rPr>
        <w:t>IS</w:t>
      </w:r>
      <w:r w:rsidRPr="0084097A" w:rsidR="00B8601E">
        <w:rPr>
          <w:b/>
          <w:bCs/>
          <w:noProof/>
          <w:szCs w:val="22"/>
        </w:rPr>
        <w:t xml:space="preserve"> GRANTED IN PART </w:t>
      </w:r>
      <w:r w:rsidRPr="0084097A" w:rsidR="0007130C">
        <w:rPr>
          <w:b/>
          <w:bCs/>
          <w:noProof/>
          <w:szCs w:val="22"/>
        </w:rPr>
        <w:t xml:space="preserve">AND </w:t>
      </w:r>
      <w:r w:rsidRPr="0084097A">
        <w:rPr>
          <w:b/>
          <w:bCs/>
          <w:noProof/>
          <w:szCs w:val="22"/>
        </w:rPr>
        <w:t>DENIED</w:t>
      </w:r>
      <w:r w:rsidR="00811A28">
        <w:rPr>
          <w:b/>
          <w:bCs/>
          <w:noProof/>
          <w:szCs w:val="22"/>
        </w:rPr>
        <w:t xml:space="preserve"> IN PART</w:t>
      </w:r>
      <w:r w:rsidRPr="00254D78">
        <w:rPr>
          <w:noProof/>
          <w:szCs w:val="22"/>
        </w:rPr>
        <w:t>.</w:t>
      </w:r>
    </w:p>
    <w:p w:rsidR="0069346C" w:rsidRPr="007556D6" w:rsidP="00D90FA7" w14:paraId="4ABA0D4F" w14:textId="0491CC8C">
      <w:pPr>
        <w:pStyle w:val="ParaNum"/>
        <w:widowControl/>
        <w:spacing w:after="120"/>
        <w:jc w:val="left"/>
        <w:rPr>
          <w:szCs w:val="22"/>
        </w:rPr>
      </w:pPr>
      <w:r w:rsidRPr="0084097A">
        <w:rPr>
          <w:b/>
          <w:bCs/>
          <w:szCs w:val="22"/>
        </w:rPr>
        <w:t>IT IS FURTHER ORDERED</w:t>
      </w:r>
      <w:r w:rsidRPr="00254D78">
        <w:rPr>
          <w:szCs w:val="22"/>
        </w:rPr>
        <w:t xml:space="preserve"> that the Petition to Deny </w:t>
      </w:r>
      <w:r w:rsidR="008163EC">
        <w:rPr>
          <w:szCs w:val="22"/>
        </w:rPr>
        <w:t>the Assignment Application,</w:t>
      </w:r>
      <w:r w:rsidRPr="00254D78">
        <w:rPr>
          <w:szCs w:val="22"/>
        </w:rPr>
        <w:t xml:space="preserve"> filed on </w:t>
      </w:r>
      <w:r w:rsidR="007237E4">
        <w:rPr>
          <w:szCs w:val="22"/>
        </w:rPr>
        <w:t>July</w:t>
      </w:r>
      <w:r w:rsidRPr="00254D78">
        <w:rPr>
          <w:szCs w:val="22"/>
        </w:rPr>
        <w:t xml:space="preserve"> 10, 2020, by </w:t>
      </w:r>
      <w:r w:rsidRPr="00254D78">
        <w:rPr>
          <w:noProof/>
          <w:szCs w:val="22"/>
        </w:rPr>
        <w:t>Marble City Media, LLC</w:t>
      </w:r>
      <w:r w:rsidR="00BF608C">
        <w:rPr>
          <w:noProof/>
          <w:szCs w:val="22"/>
        </w:rPr>
        <w:t>,</w:t>
      </w:r>
      <w:r w:rsidRPr="00254D78">
        <w:rPr>
          <w:noProof/>
          <w:szCs w:val="22"/>
        </w:rPr>
        <w:t xml:space="preserve"> </w:t>
      </w:r>
      <w:r w:rsidRPr="0084097A">
        <w:rPr>
          <w:b/>
          <w:bCs/>
          <w:noProof/>
          <w:szCs w:val="22"/>
        </w:rPr>
        <w:t>IS DENIED</w:t>
      </w:r>
      <w:r w:rsidRPr="00254D78">
        <w:rPr>
          <w:noProof/>
          <w:szCs w:val="22"/>
        </w:rPr>
        <w:t>.</w:t>
      </w:r>
    </w:p>
    <w:p w:rsidR="00AA2FE6" w:rsidRPr="00D514E4" w:rsidP="00D90FA7" w14:paraId="44AB168B" w14:textId="3B3BB28F">
      <w:pPr>
        <w:pStyle w:val="ParaNum"/>
        <w:widowControl/>
        <w:spacing w:after="120"/>
        <w:jc w:val="left"/>
        <w:rPr>
          <w:szCs w:val="22"/>
        </w:rPr>
      </w:pPr>
      <w:r w:rsidRPr="0084097A">
        <w:rPr>
          <w:b/>
          <w:bCs/>
          <w:szCs w:val="22"/>
        </w:rPr>
        <w:t>IT IS FURTHER ORDERED</w:t>
      </w:r>
      <w:r w:rsidRPr="00D514E4">
        <w:rPr>
          <w:szCs w:val="22"/>
        </w:rPr>
        <w:t xml:space="preserve"> that copies of this </w:t>
      </w:r>
      <w:r w:rsidRPr="00D514E4">
        <w:rPr>
          <w:i/>
          <w:szCs w:val="22"/>
        </w:rPr>
        <w:t>NAL</w:t>
      </w:r>
      <w:r w:rsidRPr="00D514E4">
        <w:rPr>
          <w:szCs w:val="22"/>
        </w:rPr>
        <w:t xml:space="preserve"> shall be sent, by First Class and Certified Mail, Return Receipt Requested, to </w:t>
      </w:r>
      <w:r w:rsidRPr="00D514E4" w:rsidR="00FB5307">
        <w:rPr>
          <w:szCs w:val="22"/>
        </w:rPr>
        <w:t>Shelby Broadcast Associates, LLC</w:t>
      </w:r>
      <w:r w:rsidRPr="00D514E4">
        <w:rPr>
          <w:szCs w:val="22"/>
        </w:rPr>
        <w:t xml:space="preserve">, </w:t>
      </w:r>
      <w:r w:rsidRPr="00D514E4" w:rsidR="00B26CBC">
        <w:rPr>
          <w:szCs w:val="22"/>
        </w:rPr>
        <w:t xml:space="preserve">c/o </w:t>
      </w:r>
      <w:r w:rsidRPr="00D514E4" w:rsidR="000C02AA">
        <w:rPr>
          <w:szCs w:val="22"/>
        </w:rPr>
        <w:t>Lee Reynolds</w:t>
      </w:r>
      <w:r w:rsidRPr="00D514E4">
        <w:rPr>
          <w:szCs w:val="22"/>
        </w:rPr>
        <w:t>,</w:t>
      </w:r>
      <w:r w:rsidRPr="00D514E4" w:rsidR="000C02AA">
        <w:rPr>
          <w:szCs w:val="22"/>
        </w:rPr>
        <w:t xml:space="preserve"> 5256 Valleyb</w:t>
      </w:r>
      <w:r w:rsidRPr="00D514E4" w:rsidR="008239FE">
        <w:rPr>
          <w:szCs w:val="22"/>
        </w:rPr>
        <w:t>r</w:t>
      </w:r>
      <w:r w:rsidRPr="00D514E4" w:rsidR="000C02AA">
        <w:rPr>
          <w:szCs w:val="22"/>
        </w:rPr>
        <w:t>ook Trace, Birmingham, A</w:t>
      </w:r>
      <w:r w:rsidRPr="00D514E4" w:rsidR="00DF0AD8">
        <w:rPr>
          <w:szCs w:val="22"/>
        </w:rPr>
        <w:t>L 35244, (</w:t>
      </w:r>
      <w:r w:rsidR="007E139F">
        <w:rPr>
          <w:szCs w:val="22"/>
        </w:rPr>
        <w:t xml:space="preserve">and </w:t>
      </w:r>
      <w:r w:rsidRPr="00D514E4" w:rsidR="00DF0AD8">
        <w:rPr>
          <w:szCs w:val="22"/>
        </w:rPr>
        <w:t>via email to:</w:t>
      </w:r>
      <w:r w:rsidRPr="00D514E4" w:rsidR="00E41F99">
        <w:rPr>
          <w:szCs w:val="22"/>
        </w:rPr>
        <w:t xml:space="preserve"> </w:t>
      </w:r>
      <w:r w:rsidRPr="00181F75" w:rsidR="00181F75">
        <w:rPr>
          <w:szCs w:val="22"/>
        </w:rPr>
        <w:t>LEER@REYNOLDSTECHNICAL.COM</w:t>
      </w:r>
      <w:r w:rsidRPr="00D514E4" w:rsidR="00CB6E90">
        <w:rPr>
          <w:szCs w:val="22"/>
        </w:rPr>
        <w:t>)</w:t>
      </w:r>
      <w:r w:rsidRPr="00D514E4" w:rsidR="004330B9">
        <w:rPr>
          <w:szCs w:val="22"/>
        </w:rPr>
        <w:t>,</w:t>
      </w:r>
      <w:r w:rsidRPr="00D514E4" w:rsidR="00DF0AD8">
        <w:rPr>
          <w:szCs w:val="22"/>
        </w:rPr>
        <w:t xml:space="preserve"> </w:t>
      </w:r>
      <w:r w:rsidRPr="00D514E4">
        <w:rPr>
          <w:szCs w:val="22"/>
        </w:rPr>
        <w:t xml:space="preserve">and to </w:t>
      </w:r>
      <w:r w:rsidRPr="00D514E4" w:rsidR="0073684D">
        <w:rPr>
          <w:szCs w:val="22"/>
        </w:rPr>
        <w:t>its</w:t>
      </w:r>
      <w:r w:rsidRPr="00D514E4">
        <w:rPr>
          <w:szCs w:val="22"/>
        </w:rPr>
        <w:t xml:space="preserve"> counsel, </w:t>
      </w:r>
      <w:r w:rsidRPr="00D514E4" w:rsidR="008523F3">
        <w:rPr>
          <w:szCs w:val="22"/>
        </w:rPr>
        <w:t xml:space="preserve">Scott Woodworth, Esq., </w:t>
      </w:r>
      <w:r w:rsidRPr="00D514E4" w:rsidR="003A1D84">
        <w:rPr>
          <w:szCs w:val="22"/>
        </w:rPr>
        <w:t>Edinger Associates PLLC</w:t>
      </w:r>
      <w:r w:rsidRPr="00D514E4">
        <w:rPr>
          <w:szCs w:val="22"/>
        </w:rPr>
        <w:t xml:space="preserve">, </w:t>
      </w:r>
      <w:r w:rsidRPr="00D514E4" w:rsidR="001045CF">
        <w:rPr>
          <w:szCs w:val="22"/>
        </w:rPr>
        <w:t>1725 I Street N.W., Suite 300</w:t>
      </w:r>
      <w:r w:rsidRPr="00D514E4">
        <w:rPr>
          <w:szCs w:val="22"/>
        </w:rPr>
        <w:t xml:space="preserve">, </w:t>
      </w:r>
      <w:r w:rsidRPr="00D514E4" w:rsidR="00C55785">
        <w:rPr>
          <w:szCs w:val="22"/>
        </w:rPr>
        <w:t>Washington, DC 20006</w:t>
      </w:r>
      <w:r w:rsidRPr="00D514E4">
        <w:rPr>
          <w:szCs w:val="22"/>
        </w:rPr>
        <w:t xml:space="preserve">, </w:t>
      </w:r>
      <w:r w:rsidRPr="00D514E4" w:rsidR="003A0745">
        <w:rPr>
          <w:szCs w:val="22"/>
        </w:rPr>
        <w:t>(</w:t>
      </w:r>
      <w:r w:rsidR="007E139F">
        <w:rPr>
          <w:szCs w:val="22"/>
        </w:rPr>
        <w:t xml:space="preserve">and </w:t>
      </w:r>
      <w:r w:rsidRPr="00D514E4" w:rsidR="003A0745">
        <w:rPr>
          <w:szCs w:val="22"/>
        </w:rPr>
        <w:t xml:space="preserve">via email to: </w:t>
      </w:r>
      <w:r w:rsidRPr="00D514E4" w:rsidR="00E41F99">
        <w:rPr>
          <w:szCs w:val="22"/>
        </w:rPr>
        <w:t>swoodworth@edingerlaw.net</w:t>
      </w:r>
      <w:r w:rsidRPr="00D514E4" w:rsidR="003A0745">
        <w:rPr>
          <w:szCs w:val="22"/>
        </w:rPr>
        <w:t>),</w:t>
      </w:r>
      <w:r w:rsidRPr="00D514E4" w:rsidR="00E41F99">
        <w:rPr>
          <w:szCs w:val="22"/>
        </w:rPr>
        <w:t xml:space="preserve"> </w:t>
      </w:r>
      <w:r w:rsidRPr="00D514E4">
        <w:rPr>
          <w:szCs w:val="22"/>
        </w:rPr>
        <w:t xml:space="preserve">and to </w:t>
      </w:r>
      <w:r w:rsidRPr="00D514E4" w:rsidR="0069711A">
        <w:rPr>
          <w:szCs w:val="22"/>
        </w:rPr>
        <w:t>Marble City Media, LLC</w:t>
      </w:r>
      <w:r w:rsidRPr="00D514E4">
        <w:rPr>
          <w:szCs w:val="22"/>
        </w:rPr>
        <w:t xml:space="preserve">, </w:t>
      </w:r>
      <w:r w:rsidRPr="00D514E4" w:rsidR="00D67F64">
        <w:rPr>
          <w:szCs w:val="22"/>
        </w:rPr>
        <w:t xml:space="preserve">c/o M. Scott Johnson, Esq., </w:t>
      </w:r>
      <w:r w:rsidRPr="00D514E4" w:rsidR="000A610D">
        <w:rPr>
          <w:szCs w:val="22"/>
        </w:rPr>
        <w:t xml:space="preserve">Smithwick and Belendiuk, P.C., </w:t>
      </w:r>
      <w:r w:rsidRPr="00D514E4">
        <w:rPr>
          <w:szCs w:val="22"/>
        </w:rPr>
        <w:t xml:space="preserve">5028 Wisconsin Avenue, Suite 301, Washington, DC 20016 </w:t>
      </w:r>
      <w:r w:rsidRPr="00D514E4" w:rsidR="00AE5FE3">
        <w:rPr>
          <w:szCs w:val="22"/>
        </w:rPr>
        <w:t>(</w:t>
      </w:r>
      <w:r w:rsidR="007E139F">
        <w:rPr>
          <w:szCs w:val="22"/>
        </w:rPr>
        <w:t xml:space="preserve">and </w:t>
      </w:r>
      <w:r w:rsidRPr="00D514E4" w:rsidR="00AE5FE3">
        <w:rPr>
          <w:szCs w:val="22"/>
        </w:rPr>
        <w:t xml:space="preserve">via email to: </w:t>
      </w:r>
      <w:r w:rsidRPr="00D514E4" w:rsidR="001F54F6">
        <w:rPr>
          <w:szCs w:val="22"/>
        </w:rPr>
        <w:t>sjohnson@fhhlaw.com</w:t>
      </w:r>
      <w:r w:rsidRPr="00D514E4" w:rsidR="00AE5FE3">
        <w:rPr>
          <w:szCs w:val="22"/>
        </w:rPr>
        <w:t>)</w:t>
      </w:r>
      <w:r w:rsidRPr="00D514E4" w:rsidR="001F54F6">
        <w:rPr>
          <w:szCs w:val="22"/>
        </w:rPr>
        <w:t xml:space="preserve">, and to Rivera Communications, </w:t>
      </w:r>
      <w:r w:rsidRPr="00D514E4" w:rsidR="00B931D1">
        <w:rPr>
          <w:szCs w:val="22"/>
        </w:rPr>
        <w:t>c/o Larry Perry, Esq., 11464 Saga Lane, Ste. 400, Knoxville, TN 37931 (</w:t>
      </w:r>
      <w:r w:rsidR="007E139F">
        <w:rPr>
          <w:szCs w:val="22"/>
        </w:rPr>
        <w:t xml:space="preserve">and </w:t>
      </w:r>
      <w:r w:rsidRPr="00D514E4" w:rsidR="00B931D1">
        <w:rPr>
          <w:szCs w:val="22"/>
        </w:rPr>
        <w:t>via email to: larryperry@att.net).</w:t>
      </w:r>
    </w:p>
    <w:p w:rsidR="00441008" w:rsidRPr="00254D78" w:rsidP="00D90FA7" w14:paraId="75DDF91C" w14:textId="728CB28D">
      <w:pPr>
        <w:spacing w:after="120"/>
        <w:rPr>
          <w:szCs w:val="22"/>
        </w:rPr>
      </w:pPr>
    </w:p>
    <w:p w:rsidR="00441008" w:rsidRPr="00254D78" w:rsidP="00AE464F" w14:paraId="5FAAA580" w14:textId="77777777">
      <w:pPr>
        <w:tabs>
          <w:tab w:val="left" w:pos="0"/>
        </w:tabs>
        <w:suppressAutoHyphens/>
        <w:spacing w:after="120"/>
        <w:rPr>
          <w:szCs w:val="22"/>
        </w:rPr>
      </w:pPr>
    </w:p>
    <w:p w:rsidR="00441008" w:rsidRPr="00254D78" w:rsidP="00AE464F" w14:paraId="309C02EE" w14:textId="77777777">
      <w:pPr>
        <w:tabs>
          <w:tab w:val="left" w:pos="0"/>
        </w:tabs>
        <w:suppressAutoHyphens/>
        <w:spacing w:after="120"/>
        <w:rPr>
          <w:szCs w:val="22"/>
        </w:rPr>
      </w:pPr>
      <w:r w:rsidRPr="00254D78">
        <w:rPr>
          <w:szCs w:val="22"/>
        </w:rPr>
        <w:tab/>
      </w:r>
      <w:r w:rsidRPr="00254D78">
        <w:rPr>
          <w:szCs w:val="22"/>
        </w:rPr>
        <w:tab/>
      </w:r>
      <w:r w:rsidRPr="00254D78">
        <w:rPr>
          <w:szCs w:val="22"/>
        </w:rPr>
        <w:tab/>
      </w:r>
      <w:r w:rsidRPr="00254D78">
        <w:rPr>
          <w:szCs w:val="22"/>
        </w:rPr>
        <w:tab/>
      </w:r>
      <w:r w:rsidRPr="00254D78">
        <w:rPr>
          <w:szCs w:val="22"/>
        </w:rPr>
        <w:tab/>
      </w:r>
      <w:r w:rsidRPr="00254D78">
        <w:rPr>
          <w:szCs w:val="22"/>
        </w:rPr>
        <w:tab/>
        <w:t xml:space="preserve"> FEDERAL COMMUNICATIONS COMMISSION</w:t>
      </w:r>
    </w:p>
    <w:p w:rsidR="00441008" w:rsidRPr="00254D78" w:rsidP="00AE464F" w14:paraId="60E22C54" w14:textId="77777777">
      <w:pPr>
        <w:tabs>
          <w:tab w:val="left" w:pos="0"/>
        </w:tabs>
        <w:suppressAutoHyphens/>
        <w:spacing w:after="120"/>
        <w:rPr>
          <w:szCs w:val="22"/>
        </w:rPr>
      </w:pPr>
    </w:p>
    <w:p w:rsidR="00441008" w:rsidRPr="00254D78" w:rsidP="0084097A" w14:paraId="5FCB6ED3" w14:textId="77777777">
      <w:pPr>
        <w:spacing w:after="120"/>
        <w:contextualSpacing/>
        <w:rPr>
          <w:szCs w:val="22"/>
        </w:rPr>
      </w:pPr>
      <w:r w:rsidRPr="00254D78">
        <w:rPr>
          <w:szCs w:val="22"/>
        </w:rPr>
        <w:tab/>
      </w:r>
      <w:r w:rsidRPr="00254D78">
        <w:rPr>
          <w:szCs w:val="22"/>
        </w:rPr>
        <w:tab/>
      </w:r>
      <w:r w:rsidRPr="00254D78">
        <w:rPr>
          <w:szCs w:val="22"/>
        </w:rPr>
        <w:tab/>
      </w:r>
      <w:r w:rsidRPr="00254D78">
        <w:rPr>
          <w:szCs w:val="22"/>
        </w:rPr>
        <w:tab/>
      </w:r>
      <w:r w:rsidRPr="00254D78">
        <w:rPr>
          <w:szCs w:val="22"/>
        </w:rPr>
        <w:tab/>
      </w:r>
      <w:r w:rsidRPr="00254D78">
        <w:rPr>
          <w:szCs w:val="22"/>
        </w:rPr>
        <w:tab/>
        <w:t xml:space="preserve"> Albert Shuldiner</w:t>
      </w:r>
    </w:p>
    <w:p w:rsidR="00441008" w:rsidRPr="00254D78" w:rsidP="0084097A" w14:paraId="1A678C77" w14:textId="77777777">
      <w:pPr>
        <w:spacing w:after="120"/>
        <w:contextualSpacing/>
        <w:rPr>
          <w:szCs w:val="22"/>
        </w:rPr>
      </w:pPr>
      <w:r w:rsidRPr="00254D78">
        <w:rPr>
          <w:szCs w:val="22"/>
        </w:rPr>
        <w:tab/>
      </w:r>
      <w:r w:rsidRPr="00254D78">
        <w:rPr>
          <w:szCs w:val="22"/>
        </w:rPr>
        <w:tab/>
      </w:r>
      <w:r w:rsidRPr="00254D78">
        <w:rPr>
          <w:szCs w:val="22"/>
        </w:rPr>
        <w:tab/>
      </w:r>
      <w:r w:rsidRPr="00254D78">
        <w:rPr>
          <w:szCs w:val="22"/>
        </w:rPr>
        <w:tab/>
      </w:r>
      <w:r w:rsidRPr="00254D78">
        <w:rPr>
          <w:szCs w:val="22"/>
        </w:rPr>
        <w:tab/>
      </w:r>
      <w:r w:rsidRPr="00254D78">
        <w:rPr>
          <w:szCs w:val="22"/>
        </w:rPr>
        <w:tab/>
        <w:t xml:space="preserve"> Chief, Audio Division</w:t>
      </w:r>
    </w:p>
    <w:p w:rsidR="00441008" w:rsidRPr="00254D78" w:rsidP="0084097A" w14:paraId="118475B8" w14:textId="77777777">
      <w:pPr>
        <w:spacing w:after="120"/>
        <w:ind w:left="3600" w:firstLine="720"/>
        <w:contextualSpacing/>
        <w:rPr>
          <w:szCs w:val="22"/>
        </w:rPr>
      </w:pPr>
      <w:r w:rsidRPr="00254D78">
        <w:rPr>
          <w:szCs w:val="22"/>
        </w:rPr>
        <w:t xml:space="preserve"> Media Bureau</w:t>
      </w:r>
    </w:p>
    <w:p w:rsidR="00441008" w:rsidRPr="00254D78" w:rsidP="00AE464F" w14:paraId="21A4C812" w14:textId="77777777">
      <w:pPr>
        <w:tabs>
          <w:tab w:val="left" w:pos="0"/>
        </w:tabs>
        <w:suppressAutoHyphens/>
        <w:spacing w:after="120"/>
        <w:rPr>
          <w:szCs w:val="22"/>
        </w:rPr>
      </w:pPr>
    </w:p>
    <w:sectPr>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008" w:rsidP="00441008" w14:paraId="2D52014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41008" w:rsidP="00441008" w14:paraId="3E081D7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008" w:rsidP="00441008" w14:paraId="5C9FC68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w:t>
    </w:r>
    <w:r>
      <w:rPr>
        <w:rStyle w:val="PageNumber"/>
      </w:rPr>
      <w:fldChar w:fldCharType="end"/>
    </w:r>
  </w:p>
  <w:p w:rsidR="00441008" w:rsidRPr="000C2EFA" w:rsidP="00441008" w14:paraId="789085A1"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008" w:rsidRPr="00642433" w:rsidP="00441008" w14:paraId="18C2F82D"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65B2" w14:paraId="1EAED219" w14:textId="77777777">
      <w:pPr>
        <w:rPr>
          <w:sz w:val="20"/>
        </w:rPr>
      </w:pPr>
      <w:r>
        <w:rPr>
          <w:sz w:val="20"/>
        </w:rPr>
        <w:separator/>
      </w:r>
    </w:p>
  </w:footnote>
  <w:footnote w:type="continuationSeparator" w:id="1">
    <w:p w:rsidR="00C665B2" w14:paraId="37C4A694" w14:textId="77777777">
      <w:pPr>
        <w:rPr>
          <w:sz w:val="20"/>
        </w:rPr>
      </w:pPr>
      <w:r>
        <w:rPr>
          <w:sz w:val="20"/>
        </w:rPr>
        <w:separator/>
      </w:r>
    </w:p>
    <w:p w:rsidR="00C665B2" w14:paraId="0E374DE4" w14:textId="77777777">
      <w:pPr>
        <w:rPr>
          <w:sz w:val="20"/>
        </w:rPr>
      </w:pPr>
      <w:r>
        <w:rPr>
          <w:sz w:val="20"/>
        </w:rPr>
        <w:t>(...continued from previous page)</w:t>
      </w:r>
    </w:p>
  </w:footnote>
  <w:footnote w:type="continuationNotice" w:id="2">
    <w:p w:rsidR="00C665B2" w14:paraId="60CA97D5" w14:textId="77777777">
      <w:pPr>
        <w:jc w:val="right"/>
        <w:rPr>
          <w:sz w:val="20"/>
        </w:rPr>
      </w:pPr>
      <w:r>
        <w:rPr>
          <w:sz w:val="20"/>
        </w:rPr>
        <w:t>(continued....)</w:t>
      </w:r>
    </w:p>
  </w:footnote>
  <w:footnote w:id="3">
    <w:p w:rsidR="002B1BD0" w14:paraId="609C9A5D" w14:textId="3F809035">
      <w:pPr>
        <w:pStyle w:val="FootnoteText"/>
      </w:pPr>
      <w:r>
        <w:rPr>
          <w:rStyle w:val="FootnoteReference"/>
        </w:rPr>
        <w:footnoteRef/>
      </w:r>
      <w:r>
        <w:t xml:space="preserve"> Application File No. 0000091616 (filed Nov</w:t>
      </w:r>
      <w:r w:rsidR="00403E3C">
        <w:t>.</w:t>
      </w:r>
      <w:r>
        <w:t xml:space="preserve"> 27, 2019</w:t>
      </w:r>
      <w:r w:rsidR="00237004">
        <w:t>)</w:t>
      </w:r>
      <w:r>
        <w:t xml:space="preserve">. </w:t>
      </w:r>
    </w:p>
  </w:footnote>
  <w:footnote w:id="4">
    <w:p w:rsidR="001703B2" w:rsidRPr="00674FAC" w:rsidP="00E23ACA" w14:paraId="6B488173" w14:textId="15009DD8">
      <w:pPr>
        <w:pStyle w:val="FootnoteText"/>
        <w:jc w:val="left"/>
      </w:pPr>
      <w:r w:rsidRPr="00674FAC">
        <w:rPr>
          <w:rStyle w:val="FootnoteReference"/>
        </w:rPr>
        <w:footnoteRef/>
      </w:r>
      <w:r w:rsidRPr="00674FAC">
        <w:t xml:space="preserve"> </w:t>
      </w:r>
      <w:r w:rsidR="008E4B74">
        <w:t>Petition</w:t>
      </w:r>
      <w:r w:rsidR="00491BA4">
        <w:t xml:space="preserve"> for Reconsideration</w:t>
      </w:r>
      <w:r w:rsidR="008E4B74">
        <w:t xml:space="preserve">, </w:t>
      </w:r>
      <w:r w:rsidRPr="00674FAC" w:rsidR="00554867">
        <w:t xml:space="preserve">Pleading </w:t>
      </w:r>
      <w:r w:rsidR="00E34544">
        <w:t xml:space="preserve">File </w:t>
      </w:r>
      <w:r w:rsidRPr="00674FAC" w:rsidR="00554867">
        <w:t>No. 0000112328</w:t>
      </w:r>
      <w:r w:rsidRPr="00674FAC" w:rsidR="004C740C">
        <w:t xml:space="preserve"> (filed Apr. 16, 2020)</w:t>
      </w:r>
      <w:r w:rsidRPr="00674FAC" w:rsidR="00554867">
        <w:t>.</w:t>
      </w:r>
    </w:p>
  </w:footnote>
  <w:footnote w:id="5">
    <w:p w:rsidR="009B4B74" w:rsidRPr="00674FAC" w:rsidP="00E23ACA" w14:paraId="13FF990D" w14:textId="7BC7335E">
      <w:pPr>
        <w:pStyle w:val="FootnoteText"/>
        <w:jc w:val="left"/>
      </w:pPr>
      <w:r w:rsidRPr="00674FAC">
        <w:rPr>
          <w:rStyle w:val="FootnoteReference"/>
        </w:rPr>
        <w:footnoteRef/>
      </w:r>
      <w:r w:rsidRPr="00674FAC">
        <w:t xml:space="preserve"> Bureau staff granted the Renewal Application on March 19, 2020.  On April 16</w:t>
      </w:r>
      <w:r w:rsidR="00805D29">
        <w:t>, 2020</w:t>
      </w:r>
      <w:r w:rsidRPr="00674FAC">
        <w:t xml:space="preserve">, Bureau staff rescinded </w:t>
      </w:r>
      <w:r w:rsidR="00403E3C">
        <w:t xml:space="preserve">the </w:t>
      </w:r>
      <w:r w:rsidRPr="00674FAC">
        <w:t>grant and returned the Renewal Application to pending status.</w:t>
      </w:r>
      <w:r w:rsidR="00DF0DE6">
        <w:t xml:space="preserve">  </w:t>
      </w:r>
      <w:r w:rsidRPr="00674FAC">
        <w:rPr>
          <w:i/>
        </w:rPr>
        <w:t>See Broadcast Actions</w:t>
      </w:r>
      <w:r w:rsidRPr="00674FAC">
        <w:t xml:space="preserve">, Public Notice, Report No. </w:t>
      </w:r>
      <w:r w:rsidRPr="007D20DB" w:rsidR="007D20DB">
        <w:t xml:space="preserve">PN-2-200420-01 </w:t>
      </w:r>
      <w:r w:rsidRPr="00674FAC">
        <w:t>(</w:t>
      </w:r>
      <w:r w:rsidR="00A91E25">
        <w:t xml:space="preserve">MB </w:t>
      </w:r>
      <w:r w:rsidRPr="00674FAC">
        <w:t>Apr. 20, 2020).</w:t>
      </w:r>
      <w:r w:rsidRPr="00674FAC" w:rsidR="00EA3BF2">
        <w:t xml:space="preserve">  </w:t>
      </w:r>
      <w:r w:rsidR="00241561">
        <w:t>Accordingly, we will treat the Petition for Reconsideration as an Informal Objection to the Renewal Application.</w:t>
      </w:r>
    </w:p>
  </w:footnote>
  <w:footnote w:id="6">
    <w:p w:rsidR="009B4B74" w:rsidRPr="00674FAC" w:rsidP="00E23ACA" w14:paraId="4F9F3B1F" w14:textId="63523068">
      <w:pPr>
        <w:pStyle w:val="FootnoteText"/>
        <w:jc w:val="left"/>
      </w:pPr>
      <w:r w:rsidRPr="00674FAC">
        <w:rPr>
          <w:rStyle w:val="FootnoteReference"/>
        </w:rPr>
        <w:footnoteRef/>
      </w:r>
      <w:r w:rsidRPr="00674FAC">
        <w:t xml:space="preserve"> </w:t>
      </w:r>
      <w:r w:rsidR="00A26DAE">
        <w:rPr>
          <w:szCs w:val="22"/>
        </w:rPr>
        <w:t>Shelby</w:t>
      </w:r>
      <w:r w:rsidRPr="00254D78" w:rsidR="00E04F8A">
        <w:rPr>
          <w:szCs w:val="22"/>
        </w:rPr>
        <w:t xml:space="preserve"> </w:t>
      </w:r>
      <w:r w:rsidRPr="00674FAC">
        <w:t xml:space="preserve">filed an Opposition to </w:t>
      </w:r>
      <w:r w:rsidR="000F67CE">
        <w:t xml:space="preserve">the Renewal </w:t>
      </w:r>
      <w:r w:rsidRPr="00674FAC">
        <w:t>Petition</w:t>
      </w:r>
      <w:r w:rsidR="008E4B74">
        <w:t>,</w:t>
      </w:r>
      <w:r w:rsidRPr="00674FAC">
        <w:t xml:space="preserve"> </w:t>
      </w:r>
      <w:r w:rsidRPr="00674FAC" w:rsidR="005055C6">
        <w:t>Pleading</w:t>
      </w:r>
      <w:r w:rsidR="008E4B74">
        <w:t xml:space="preserve"> File</w:t>
      </w:r>
      <w:r w:rsidRPr="00674FAC" w:rsidR="005055C6">
        <w:t xml:space="preserve"> No. </w:t>
      </w:r>
      <w:r w:rsidRPr="00674FAC" w:rsidR="0063060F">
        <w:t xml:space="preserve">0000112903 </w:t>
      </w:r>
      <w:r w:rsidRPr="00674FAC" w:rsidR="005055C6">
        <w:t>(filed Apr. 29, 2020)</w:t>
      </w:r>
      <w:r w:rsidRPr="00674FAC" w:rsidR="000464B9">
        <w:t xml:space="preserve"> (Renewal Opposition)</w:t>
      </w:r>
      <w:r w:rsidRPr="00674FAC">
        <w:t>.  Marble City filed a Reply to Opposition to Petition for Reconsideration</w:t>
      </w:r>
      <w:r w:rsidR="00CF0603">
        <w:t>,</w:t>
      </w:r>
      <w:r w:rsidRPr="00674FAC" w:rsidR="00F204BD">
        <w:t xml:space="preserve"> </w:t>
      </w:r>
      <w:r w:rsidRPr="00674FAC" w:rsidR="0095763A">
        <w:t xml:space="preserve">Pleading </w:t>
      </w:r>
      <w:r w:rsidR="00CF0603">
        <w:t xml:space="preserve">File </w:t>
      </w:r>
      <w:r w:rsidRPr="00674FAC" w:rsidR="0095763A">
        <w:t xml:space="preserve">No. </w:t>
      </w:r>
      <w:r w:rsidRPr="00674FAC" w:rsidR="008D15F3">
        <w:t xml:space="preserve">0000113432 </w:t>
      </w:r>
      <w:r w:rsidRPr="00674FAC" w:rsidR="0095763A">
        <w:t xml:space="preserve">(filed </w:t>
      </w:r>
      <w:r w:rsidRPr="00674FAC" w:rsidR="008D15F3">
        <w:t>May</w:t>
      </w:r>
      <w:r w:rsidRPr="00674FAC" w:rsidR="0095763A">
        <w:t xml:space="preserve"> </w:t>
      </w:r>
      <w:r w:rsidRPr="00674FAC" w:rsidR="008D15F3">
        <w:t>8</w:t>
      </w:r>
      <w:r w:rsidRPr="00674FAC" w:rsidR="0095763A">
        <w:t>, 2020)</w:t>
      </w:r>
      <w:r w:rsidRPr="00674FAC" w:rsidR="000464B9">
        <w:t xml:space="preserve"> (Renewal Reply)</w:t>
      </w:r>
      <w:r w:rsidRPr="00674FAC">
        <w:t xml:space="preserve">. </w:t>
      </w:r>
      <w:r w:rsidRPr="00674FAC" w:rsidR="00C252CA">
        <w:t xml:space="preserve"> </w:t>
      </w:r>
    </w:p>
  </w:footnote>
  <w:footnote w:id="7">
    <w:p w:rsidR="002B1BD0" w14:paraId="61577D51" w14:textId="10B0239B">
      <w:pPr>
        <w:pStyle w:val="FootnoteText"/>
      </w:pPr>
      <w:r>
        <w:rPr>
          <w:rStyle w:val="FootnoteReference"/>
        </w:rPr>
        <w:footnoteRef/>
      </w:r>
      <w:r>
        <w:t xml:space="preserve"> Application File No. BALFT-20200608AAG (filed June 10, 2020).</w:t>
      </w:r>
    </w:p>
  </w:footnote>
  <w:footnote w:id="8">
    <w:p w:rsidR="009736A9" w:rsidRPr="00674FAC" w:rsidP="00E23ACA" w14:paraId="380341B0" w14:textId="6B3CB3E1">
      <w:pPr>
        <w:pStyle w:val="FootnoteText"/>
        <w:jc w:val="left"/>
      </w:pPr>
      <w:r w:rsidRPr="00674FAC">
        <w:rPr>
          <w:rStyle w:val="FootnoteReference"/>
        </w:rPr>
        <w:footnoteRef/>
      </w:r>
      <w:r w:rsidRPr="00674FAC">
        <w:t xml:space="preserve"> Marble City Petition to Deny </w:t>
      </w:r>
      <w:r w:rsidRPr="00674FAC" w:rsidR="00842F69">
        <w:t>(filed</w:t>
      </w:r>
      <w:r w:rsidRPr="00674FAC" w:rsidR="0056795C">
        <w:t xml:space="preserve"> Jul</w:t>
      </w:r>
      <w:r w:rsidRPr="00674FAC" w:rsidR="00842F69">
        <w:t>.</w:t>
      </w:r>
      <w:r w:rsidRPr="00674FAC" w:rsidR="0056795C">
        <w:t xml:space="preserve"> 10, 2020</w:t>
      </w:r>
      <w:r w:rsidRPr="00674FAC" w:rsidR="00842F69">
        <w:t>)</w:t>
      </w:r>
      <w:r w:rsidRPr="00674FAC" w:rsidR="0056795C">
        <w:t>.</w:t>
      </w:r>
    </w:p>
  </w:footnote>
  <w:footnote w:id="9">
    <w:p w:rsidR="003F559D" w:rsidRPr="00674FAC" w:rsidP="00E23ACA" w14:paraId="24554507" w14:textId="516319C1">
      <w:pPr>
        <w:pStyle w:val="FootnoteText"/>
        <w:jc w:val="left"/>
      </w:pPr>
      <w:r w:rsidRPr="00674FAC">
        <w:rPr>
          <w:rStyle w:val="FootnoteReference"/>
        </w:rPr>
        <w:footnoteRef/>
      </w:r>
      <w:r w:rsidRPr="00674FAC">
        <w:t xml:space="preserve"> </w:t>
      </w:r>
      <w:r w:rsidR="00BC2EE3">
        <w:t>Shelby</w:t>
      </w:r>
      <w:r w:rsidRPr="00674FAC" w:rsidR="00BC2EE3">
        <w:t xml:space="preserve"> </w:t>
      </w:r>
      <w:r w:rsidRPr="00674FAC">
        <w:t xml:space="preserve">filed an Opposition to Petition to Deny </w:t>
      </w:r>
      <w:r w:rsidRPr="00674FAC" w:rsidR="00477394">
        <w:t>(filed Jul. 23, 2020)</w:t>
      </w:r>
      <w:r w:rsidRPr="00674FAC" w:rsidR="00AC7803">
        <w:t xml:space="preserve"> (</w:t>
      </w:r>
      <w:r w:rsidR="00BC2EE3">
        <w:t xml:space="preserve">Shelby </w:t>
      </w:r>
      <w:r w:rsidR="00D45D09">
        <w:t>Assignment</w:t>
      </w:r>
      <w:r w:rsidRPr="00674FAC" w:rsidR="00AC7803">
        <w:t xml:space="preserve"> Opposition)</w:t>
      </w:r>
      <w:r w:rsidRPr="00674FAC">
        <w:t>.  Rivera</w:t>
      </w:r>
      <w:r w:rsidR="001070B1">
        <w:t>, the proposed assignee,</w:t>
      </w:r>
      <w:r w:rsidRPr="00674FAC" w:rsidR="00477394">
        <w:t xml:space="preserve"> also</w:t>
      </w:r>
      <w:r w:rsidRPr="00674FAC">
        <w:t xml:space="preserve"> filed an Opposition to Petition to Deny </w:t>
      </w:r>
      <w:r w:rsidRPr="00674FAC" w:rsidR="00477394">
        <w:t>(filed Jul. 23, 2020)</w:t>
      </w:r>
      <w:r w:rsidRPr="00674FAC" w:rsidR="001A2792">
        <w:t xml:space="preserve"> (Rivera</w:t>
      </w:r>
      <w:r w:rsidR="00CA35DE">
        <w:t xml:space="preserve"> Assignment</w:t>
      </w:r>
      <w:r w:rsidRPr="00674FAC" w:rsidR="001A2792">
        <w:t xml:space="preserve"> Opposition)</w:t>
      </w:r>
      <w:r w:rsidRPr="00674FAC" w:rsidR="000336D2">
        <w:t xml:space="preserve">. </w:t>
      </w:r>
      <w:r w:rsidRPr="00674FAC" w:rsidR="00477394">
        <w:t xml:space="preserve"> </w:t>
      </w:r>
      <w:r w:rsidRPr="00674FAC" w:rsidR="00CD75C7">
        <w:t>Marble City</w:t>
      </w:r>
      <w:r w:rsidRPr="00674FAC" w:rsidR="00EA4F71">
        <w:t xml:space="preserve"> filed a</w:t>
      </w:r>
      <w:r w:rsidRPr="00674FAC" w:rsidR="00CD75C7">
        <w:t xml:space="preserve"> Reply to </w:t>
      </w:r>
      <w:r w:rsidR="00BC2EE3">
        <w:rPr>
          <w:szCs w:val="22"/>
        </w:rPr>
        <w:t>Shelby</w:t>
      </w:r>
      <w:r w:rsidRPr="00674FAC" w:rsidR="00BC2EE3">
        <w:t xml:space="preserve">’s </w:t>
      </w:r>
      <w:r w:rsidRPr="00674FAC" w:rsidR="00CD75C7">
        <w:t>Opposition to Petition</w:t>
      </w:r>
      <w:r w:rsidR="00D75315">
        <w:t xml:space="preserve"> </w:t>
      </w:r>
      <w:r w:rsidRPr="00674FAC" w:rsidR="00D75315">
        <w:t xml:space="preserve">(filed Aug. 4, 2020) </w:t>
      </w:r>
      <w:r w:rsidR="00D75315">
        <w:t>(Assignment Reply to Shelby)</w:t>
      </w:r>
      <w:r w:rsidRPr="00674FAC" w:rsidR="00CD75C7">
        <w:t xml:space="preserve"> </w:t>
      </w:r>
      <w:r w:rsidRPr="00674FAC" w:rsidR="00EA4F71">
        <w:t xml:space="preserve">and a </w:t>
      </w:r>
      <w:r w:rsidRPr="00674FAC" w:rsidR="007A5A15">
        <w:t xml:space="preserve">Reply to Rivera’s Opposition to Petition </w:t>
      </w:r>
      <w:r w:rsidRPr="00674FAC" w:rsidR="008C2D86">
        <w:t>(filed Aug. 4, 2020)</w:t>
      </w:r>
      <w:r w:rsidRPr="00674FAC" w:rsidR="001A2792">
        <w:t xml:space="preserve"> (</w:t>
      </w:r>
      <w:r w:rsidRPr="00D75315" w:rsidR="00D85DC4">
        <w:t xml:space="preserve">Assignment Reply to </w:t>
      </w:r>
      <w:r w:rsidRPr="00D75315" w:rsidR="001A2792">
        <w:t>Rivera)</w:t>
      </w:r>
      <w:r w:rsidRPr="00D75315" w:rsidR="000E207D">
        <w:t>.</w:t>
      </w:r>
      <w:r w:rsidRPr="00674FAC" w:rsidR="00491BF2">
        <w:t xml:space="preserve"> </w:t>
      </w:r>
    </w:p>
  </w:footnote>
  <w:footnote w:id="10">
    <w:p w:rsidR="007C17D9" w14:paraId="5CF8824A" w14:textId="06D231E0">
      <w:pPr>
        <w:pStyle w:val="FootnoteText"/>
      </w:pPr>
      <w:r>
        <w:rPr>
          <w:rStyle w:val="FootnoteReference"/>
        </w:rPr>
        <w:footnoteRef/>
      </w:r>
      <w:r>
        <w:t xml:space="preserve"> Application File No. </w:t>
      </w:r>
      <w:r w:rsidRPr="006E2D8A">
        <w:rPr>
          <w:szCs w:val="22"/>
        </w:rPr>
        <w:t>BLFT-20181016ABE</w:t>
      </w:r>
      <w:r>
        <w:rPr>
          <w:szCs w:val="22"/>
        </w:rPr>
        <w:t xml:space="preserve"> (filed Oct. 16, 2018).</w:t>
      </w:r>
    </w:p>
  </w:footnote>
  <w:footnote w:id="11">
    <w:p w:rsidR="007C17D9" w14:paraId="32668B9F" w14:textId="52F2593C">
      <w:pPr>
        <w:pStyle w:val="FootnoteText"/>
      </w:pPr>
      <w:r>
        <w:rPr>
          <w:rStyle w:val="FootnoteReference"/>
        </w:rPr>
        <w:footnoteRef/>
      </w:r>
      <w:r>
        <w:t xml:space="preserve"> Application File No. </w:t>
      </w:r>
      <w:r w:rsidRPr="00FE028E">
        <w:t>BSTA-20180720AAR</w:t>
      </w:r>
      <w:r>
        <w:t xml:space="preserve"> (filed Jul. 20, 2018).</w:t>
      </w:r>
    </w:p>
  </w:footnote>
  <w:footnote w:id="12">
    <w:p w:rsidR="00441008" w:rsidRPr="00674FAC" w:rsidP="00E23ACA" w14:paraId="7645EB64" w14:textId="49B827E2">
      <w:pPr>
        <w:pStyle w:val="FootnoteText"/>
        <w:jc w:val="left"/>
      </w:pPr>
      <w:r w:rsidRPr="00674FAC">
        <w:rPr>
          <w:rStyle w:val="FootnoteReference"/>
        </w:rPr>
        <w:footnoteRef/>
      </w:r>
      <w:r w:rsidRPr="00674FAC">
        <w:t xml:space="preserve"> This </w:t>
      </w:r>
      <w:r w:rsidRPr="00674FAC">
        <w:rPr>
          <w:i/>
        </w:rPr>
        <w:t>NAL</w:t>
      </w:r>
      <w:r w:rsidRPr="00674FAC">
        <w:t xml:space="preserve"> is issued pursuant to </w:t>
      </w:r>
      <w:r w:rsidRPr="00674FAC" w:rsidR="00067315">
        <w:t>s</w:t>
      </w:r>
      <w:r w:rsidRPr="00674FAC">
        <w:t xml:space="preserve">ections 309(k) and 503(b) of the Communications Act of 1934, as amended (Act), and </w:t>
      </w:r>
      <w:r w:rsidR="009A0BC4">
        <w:t>s</w:t>
      </w:r>
      <w:r w:rsidRPr="00674FAC">
        <w:t xml:space="preserve">ection 1.80 of the FCC’s rules (Rules).  </w:t>
      </w:r>
      <w:r w:rsidRPr="00674FAC">
        <w:rPr>
          <w:i/>
        </w:rPr>
        <w:t>See</w:t>
      </w:r>
      <w:r w:rsidRPr="00674FAC">
        <w:t xml:space="preserve"> 47 U.S.C. §§ 309(k), 503(b); 47 CFR § 1.80.  The Bureau has delegated authority to issue the </w:t>
      </w:r>
      <w:r w:rsidRPr="00674FAC">
        <w:rPr>
          <w:i/>
        </w:rPr>
        <w:t>NAL</w:t>
      </w:r>
      <w:r w:rsidRPr="00674FAC">
        <w:t xml:space="preserve"> under </w:t>
      </w:r>
      <w:r w:rsidR="009A0BC4">
        <w:t>s</w:t>
      </w:r>
      <w:r w:rsidRPr="00674FAC">
        <w:t xml:space="preserve">ection 0.283 of the Rules.  </w:t>
      </w:r>
      <w:r w:rsidRPr="00674FAC">
        <w:rPr>
          <w:i/>
        </w:rPr>
        <w:t>See</w:t>
      </w:r>
      <w:r w:rsidRPr="00674FAC">
        <w:t xml:space="preserve"> 47 CFR § 0.283.</w:t>
      </w:r>
    </w:p>
  </w:footnote>
  <w:footnote w:id="13">
    <w:p w:rsidR="00441008" w:rsidRPr="00674FAC" w:rsidP="00E23ACA" w14:paraId="736450F6" w14:textId="77777777">
      <w:pPr>
        <w:pStyle w:val="FootnoteText"/>
        <w:jc w:val="left"/>
      </w:pPr>
      <w:r w:rsidRPr="00674FAC">
        <w:rPr>
          <w:rStyle w:val="FootnoteReference"/>
        </w:rPr>
        <w:footnoteRef/>
      </w:r>
      <w:r w:rsidRPr="00674FAC">
        <w:t xml:space="preserve"> 47 U.S.C. § 301.</w:t>
      </w:r>
    </w:p>
  </w:footnote>
  <w:footnote w:id="14">
    <w:p w:rsidR="00441008" w:rsidRPr="00674FAC" w:rsidP="00E23ACA" w14:paraId="6A82F476" w14:textId="77777777">
      <w:pPr>
        <w:pStyle w:val="FootnoteText"/>
        <w:jc w:val="left"/>
      </w:pPr>
      <w:r w:rsidRPr="00674FAC">
        <w:rPr>
          <w:rStyle w:val="FootnoteReference"/>
        </w:rPr>
        <w:footnoteRef/>
      </w:r>
      <w:r w:rsidRPr="00674FAC">
        <w:t xml:space="preserve"> 47 CFR § 73.1745(a).</w:t>
      </w:r>
    </w:p>
  </w:footnote>
  <w:footnote w:id="15">
    <w:p w:rsidR="00441008" w:rsidRPr="00674FAC" w:rsidP="00E23ACA" w14:paraId="3CE93FE3" w14:textId="77777777">
      <w:pPr>
        <w:pStyle w:val="FootnoteText"/>
        <w:jc w:val="left"/>
      </w:pPr>
      <w:r w:rsidRPr="00674FAC">
        <w:rPr>
          <w:rStyle w:val="FootnoteReference"/>
        </w:rPr>
        <w:footnoteRef/>
      </w:r>
      <w:r w:rsidRPr="00674FAC">
        <w:t xml:space="preserve"> 47 CFR § 73.1635(a)(1).</w:t>
      </w:r>
    </w:p>
  </w:footnote>
  <w:footnote w:id="16">
    <w:p w:rsidR="00441008" w:rsidRPr="00674FAC" w:rsidP="00E23ACA" w14:paraId="5B44CC51" w14:textId="77777777">
      <w:pPr>
        <w:pStyle w:val="FootnoteText"/>
        <w:jc w:val="left"/>
      </w:pPr>
      <w:r w:rsidRPr="00674FAC">
        <w:rPr>
          <w:rStyle w:val="FootnoteReference"/>
        </w:rPr>
        <w:footnoteRef/>
      </w:r>
      <w:r w:rsidRPr="00674FAC">
        <w:t xml:space="preserve"> 47 CFR § 1.17.</w:t>
      </w:r>
    </w:p>
  </w:footnote>
  <w:footnote w:id="17">
    <w:p w:rsidR="00DA672C" w:rsidRPr="00674FAC" w:rsidP="00E23ACA" w14:paraId="73A8902E" w14:textId="0EC87827">
      <w:pPr>
        <w:pStyle w:val="FootnoteText"/>
        <w:jc w:val="left"/>
      </w:pPr>
      <w:r w:rsidRPr="00674FAC">
        <w:rPr>
          <w:rStyle w:val="FootnoteReference"/>
        </w:rPr>
        <w:footnoteRef/>
      </w:r>
      <w:r w:rsidRPr="00674FAC">
        <w:t xml:space="preserve"> </w:t>
      </w:r>
      <w:r w:rsidRPr="00674FAC">
        <w:rPr>
          <w:i/>
          <w:iCs/>
        </w:rPr>
        <w:t>See</w:t>
      </w:r>
      <w:r w:rsidRPr="00674FAC">
        <w:t xml:space="preserve"> </w:t>
      </w:r>
      <w:r w:rsidR="003A1BD1">
        <w:t xml:space="preserve">Application File No. </w:t>
      </w:r>
      <w:r w:rsidRPr="00674FAC">
        <w:t>BSTA-20151116ASH</w:t>
      </w:r>
      <w:r w:rsidR="003A1BD1">
        <w:t xml:space="preserve"> (filed Nov. 16, 2015)</w:t>
      </w:r>
      <w:r w:rsidR="00DF0A10">
        <w:t>.</w:t>
      </w:r>
      <w:r w:rsidRPr="00674FAC">
        <w:t xml:space="preserve"> </w:t>
      </w:r>
    </w:p>
  </w:footnote>
  <w:footnote w:id="18">
    <w:p w:rsidR="00DA672C" w:rsidRPr="00674FAC" w:rsidP="00E23ACA" w14:paraId="55FEE2CB" w14:textId="25F794B5">
      <w:pPr>
        <w:pStyle w:val="FootnoteText"/>
        <w:jc w:val="left"/>
      </w:pPr>
      <w:r w:rsidRPr="00674FAC">
        <w:rPr>
          <w:rStyle w:val="FootnoteReference"/>
        </w:rPr>
        <w:footnoteRef/>
      </w:r>
      <w:r w:rsidRPr="00674FAC">
        <w:t xml:space="preserve"> </w:t>
      </w:r>
      <w:r w:rsidRPr="00674FAC">
        <w:rPr>
          <w:i/>
          <w:iCs/>
        </w:rPr>
        <w:t>See</w:t>
      </w:r>
      <w:r w:rsidRPr="00674FAC">
        <w:t xml:space="preserve"> </w:t>
      </w:r>
      <w:r w:rsidR="002C7FA1">
        <w:t xml:space="preserve">Application File No. </w:t>
      </w:r>
      <w:r w:rsidRPr="00674FAC">
        <w:t>BESTA-20160518ACE</w:t>
      </w:r>
      <w:r w:rsidR="002C7FA1">
        <w:t xml:space="preserve"> (filed </w:t>
      </w:r>
      <w:r w:rsidR="0053356E">
        <w:t>May 18, 2016)</w:t>
      </w:r>
      <w:r w:rsidRPr="00674FAC">
        <w:t xml:space="preserve">.  </w:t>
      </w:r>
    </w:p>
  </w:footnote>
  <w:footnote w:id="19">
    <w:p w:rsidR="008E2F14" w14:paraId="73F463FA" w14:textId="77605352">
      <w:pPr>
        <w:pStyle w:val="FootnoteText"/>
      </w:pPr>
      <w:r>
        <w:rPr>
          <w:rStyle w:val="FootnoteReference"/>
        </w:rPr>
        <w:footnoteRef/>
      </w:r>
      <w:r>
        <w:t xml:space="preserve"> Application File No. BALFT-20170406ABR (granted June 20, 2017)</w:t>
      </w:r>
      <w:r w:rsidR="0016299A">
        <w:t>; Notice of Consummation (filed June 21, 2017) (stating consummation of assignment took place on June 20, 2017).</w:t>
      </w:r>
    </w:p>
  </w:footnote>
  <w:footnote w:id="20">
    <w:p w:rsidR="00A800A6" w:rsidRPr="00674FAC" w:rsidP="00E23ACA" w14:paraId="4977FF5D" w14:textId="65A3AC11">
      <w:pPr>
        <w:pStyle w:val="FootnoteText"/>
        <w:jc w:val="left"/>
      </w:pPr>
      <w:r w:rsidRPr="00674FAC">
        <w:rPr>
          <w:rStyle w:val="FootnoteReference"/>
        </w:rPr>
        <w:footnoteRef/>
      </w:r>
      <w:r w:rsidRPr="00674FAC">
        <w:t xml:space="preserve"> </w:t>
      </w:r>
      <w:r w:rsidRPr="00674FAC">
        <w:rPr>
          <w:i/>
          <w:iCs/>
        </w:rPr>
        <w:t xml:space="preserve">See </w:t>
      </w:r>
      <w:r w:rsidR="004343A6">
        <w:t xml:space="preserve">Application File No. </w:t>
      </w:r>
      <w:r w:rsidRPr="00674FAC">
        <w:t>BPFT-20170511AAL</w:t>
      </w:r>
      <w:r w:rsidR="00721CD3">
        <w:t xml:space="preserve"> (filed May 11, 2017)</w:t>
      </w:r>
      <w:r w:rsidRPr="00674FAC">
        <w:t xml:space="preserve">. </w:t>
      </w:r>
      <w:r w:rsidRPr="00674FAC" w:rsidR="005C68BE">
        <w:t xml:space="preserve"> </w:t>
      </w:r>
      <w:r w:rsidRPr="00674FAC">
        <w:rPr>
          <w:bCs/>
        </w:rPr>
        <w:t xml:space="preserve">Since February 10, 2017, </w:t>
      </w:r>
      <w:r w:rsidR="00F6096C">
        <w:rPr>
          <w:bCs/>
        </w:rPr>
        <w:t>Marble City</w:t>
      </w:r>
      <w:r w:rsidRPr="00674FAC">
        <w:rPr>
          <w:bCs/>
        </w:rPr>
        <w:t xml:space="preserve"> has filed numerous pleadings related to interference complaints against the Station, alleging that W252BE caused co-channel interference to WFXO(FM).  </w:t>
      </w:r>
      <w:r w:rsidRPr="00674FAC">
        <w:rPr>
          <w:i/>
          <w:iCs/>
        </w:rPr>
        <w:t>See</w:t>
      </w:r>
      <w:r w:rsidRPr="00674FAC">
        <w:t xml:space="preserve"> License Application, </w:t>
      </w:r>
      <w:r w:rsidR="007C713B">
        <w:t xml:space="preserve">Application </w:t>
      </w:r>
      <w:r w:rsidRPr="00674FAC">
        <w:t>File No. BLFT-20140411AAT</w:t>
      </w:r>
      <w:r w:rsidR="007C713B">
        <w:t xml:space="preserve"> (filed Apr. 11, 2014)</w:t>
      </w:r>
      <w:r w:rsidRPr="00674FAC">
        <w:t xml:space="preserve">; Complaint Regarding Co-Channel Interference Caused By Transmissions of FM Translator Station W252BE, </w:t>
      </w:r>
      <w:r w:rsidRPr="00674FAC" w:rsidR="005C68BE">
        <w:t>(</w:t>
      </w:r>
      <w:r w:rsidRPr="00674FAC">
        <w:t>filed Feb</w:t>
      </w:r>
      <w:r w:rsidRPr="00674FAC" w:rsidR="005C68BE">
        <w:t>.</w:t>
      </w:r>
      <w:r w:rsidRPr="00674FAC">
        <w:t xml:space="preserve"> 10, 2017</w:t>
      </w:r>
      <w:r w:rsidRPr="00674FAC" w:rsidR="005C68BE">
        <w:t>)</w:t>
      </w:r>
      <w:r w:rsidRPr="00674FAC">
        <w:t xml:space="preserve"> and Amendment </w:t>
      </w:r>
      <w:r w:rsidRPr="00674FAC" w:rsidR="0076372D">
        <w:t>(</w:t>
      </w:r>
      <w:r w:rsidRPr="00674FAC">
        <w:t>filed Mar</w:t>
      </w:r>
      <w:r w:rsidRPr="00674FAC" w:rsidR="0076372D">
        <w:t>.</w:t>
      </w:r>
      <w:r w:rsidRPr="00674FAC">
        <w:t xml:space="preserve"> 9, 2017</w:t>
      </w:r>
      <w:r w:rsidRPr="00674FAC" w:rsidR="0076372D">
        <w:t>)</w:t>
      </w:r>
      <w:r w:rsidRPr="00674FAC">
        <w:t xml:space="preserve">.  Bureau staff issued a Letter on March 29, 2017, requiring </w:t>
      </w:r>
      <w:r w:rsidR="007024B8">
        <w:t>Shelby</w:t>
      </w:r>
      <w:r w:rsidRPr="00674FAC" w:rsidR="007024B8">
        <w:t xml:space="preserve"> </w:t>
      </w:r>
      <w:r w:rsidRPr="00674FAC">
        <w:t>to resolve all interference complaints or risk suspension of operations</w:t>
      </w:r>
      <w:r w:rsidR="007024B8">
        <w:t xml:space="preserve"> of the Station</w:t>
      </w:r>
      <w:r w:rsidRPr="00674FAC">
        <w:t>.</w:t>
      </w:r>
      <w:r w:rsidR="00D856DC">
        <w:t xml:space="preserve"> </w:t>
      </w:r>
      <w:r w:rsidRPr="00674FAC">
        <w:t xml:space="preserve"> </w:t>
      </w:r>
      <w:r w:rsidR="006F4BC2">
        <w:t>Shelby</w:t>
      </w:r>
      <w:r w:rsidRPr="00674FAC">
        <w:t xml:space="preserve"> filed a Response to Complaint Regarding Interference By Marble City Media and FCC Letter of Inquiry </w:t>
      </w:r>
      <w:r w:rsidRPr="00674FAC" w:rsidR="00C80B31">
        <w:t>(filed</w:t>
      </w:r>
      <w:r w:rsidRPr="00674FAC">
        <w:t xml:space="preserve"> May 12, 2017</w:t>
      </w:r>
      <w:r w:rsidRPr="00674FAC" w:rsidR="00C80B31">
        <w:t>)</w:t>
      </w:r>
      <w:r w:rsidRPr="00674FAC">
        <w:t xml:space="preserve">.  </w:t>
      </w:r>
      <w:r w:rsidR="00A922C2">
        <w:t>Marble City</w:t>
      </w:r>
      <w:r w:rsidRPr="00674FAC">
        <w:t xml:space="preserve"> filed a Reply to Response to Interference Complaint and FCC Letter of Inquiry and Opposition to W252BE Modification Application</w:t>
      </w:r>
      <w:r w:rsidRPr="00674FAC" w:rsidR="00737FD2">
        <w:t xml:space="preserve"> (filed </w:t>
      </w:r>
      <w:r w:rsidRPr="00674FAC" w:rsidR="00D408C9">
        <w:t>May 18, 2017)</w:t>
      </w:r>
      <w:r w:rsidRPr="00674FAC">
        <w:t xml:space="preserve">.  </w:t>
      </w:r>
      <w:r w:rsidRPr="00674FAC" w:rsidR="009A68AF">
        <w:rPr>
          <w:bCs/>
        </w:rPr>
        <w:t>Ultimately</w:t>
      </w:r>
      <w:r w:rsidRPr="00674FAC">
        <w:rPr>
          <w:bCs/>
        </w:rPr>
        <w:t xml:space="preserve">, in response to a Bureau inquiry letter, on November 6, 2019, </w:t>
      </w:r>
      <w:r w:rsidR="00A922C2">
        <w:rPr>
          <w:bCs/>
        </w:rPr>
        <w:t>Marble City</w:t>
      </w:r>
      <w:r w:rsidRPr="00674FAC">
        <w:rPr>
          <w:bCs/>
        </w:rPr>
        <w:t xml:space="preserve"> stated that since its original interference complaint in 2017, WFXO(FM) and </w:t>
      </w:r>
      <w:r w:rsidR="007024B8">
        <w:rPr>
          <w:bCs/>
        </w:rPr>
        <w:t>the Station</w:t>
      </w:r>
      <w:r w:rsidRPr="00674FAC" w:rsidR="007024B8">
        <w:rPr>
          <w:bCs/>
        </w:rPr>
        <w:t xml:space="preserve"> </w:t>
      </w:r>
      <w:r w:rsidRPr="00674FAC">
        <w:rPr>
          <w:bCs/>
        </w:rPr>
        <w:t>have both modified their technical operations, and the specifications in the original</w:t>
      </w:r>
      <w:r w:rsidR="005170AC">
        <w:rPr>
          <w:bCs/>
        </w:rPr>
        <w:t xml:space="preserve"> 2017</w:t>
      </w:r>
      <w:r w:rsidRPr="00674FAC">
        <w:rPr>
          <w:bCs/>
        </w:rPr>
        <w:t xml:space="preserve"> complaint are no longer valid.</w:t>
      </w:r>
      <w:r w:rsidRPr="00674FAC" w:rsidR="00F81E12">
        <w:rPr>
          <w:bCs/>
        </w:rPr>
        <w:t xml:space="preserve">  Marble City also </w:t>
      </w:r>
      <w:r w:rsidR="007024B8">
        <w:rPr>
          <w:bCs/>
        </w:rPr>
        <w:t>argued</w:t>
      </w:r>
      <w:r w:rsidRPr="00674FAC" w:rsidR="007024B8">
        <w:rPr>
          <w:bCs/>
        </w:rPr>
        <w:t xml:space="preserve"> </w:t>
      </w:r>
      <w:r w:rsidRPr="00674FAC" w:rsidR="00A927F6">
        <w:rPr>
          <w:bCs/>
        </w:rPr>
        <w:t xml:space="preserve">that because it alleges the Station’s license expired under </w:t>
      </w:r>
      <w:r w:rsidR="00B83F1B">
        <w:rPr>
          <w:bCs/>
        </w:rPr>
        <w:t xml:space="preserve">section </w:t>
      </w:r>
      <w:r w:rsidRPr="00674FAC" w:rsidR="00A927F6">
        <w:rPr>
          <w:bCs/>
        </w:rPr>
        <w:t>312(g)</w:t>
      </w:r>
      <w:r w:rsidR="00B83F1B">
        <w:rPr>
          <w:bCs/>
        </w:rPr>
        <w:t xml:space="preserve"> of the Communications Act of 1934, as amended (47 U.S.C. </w:t>
      </w:r>
      <w:r w:rsidRPr="00674FAC" w:rsidR="00B83F1B">
        <w:t>§</w:t>
      </w:r>
      <w:r w:rsidR="00B83F1B">
        <w:t xml:space="preserve"> 312(g))</w:t>
      </w:r>
      <w:r w:rsidRPr="00674FAC" w:rsidR="00A927F6">
        <w:rPr>
          <w:bCs/>
        </w:rPr>
        <w:t>, the interference complaint is moot.</w:t>
      </w:r>
      <w:r w:rsidRPr="00674FAC">
        <w:rPr>
          <w:bCs/>
        </w:rPr>
        <w:t xml:space="preserve">  </w:t>
      </w:r>
      <w:r w:rsidRPr="00674FAC">
        <w:rPr>
          <w:i/>
          <w:iCs/>
        </w:rPr>
        <w:t xml:space="preserve">See </w:t>
      </w:r>
      <w:r w:rsidRPr="00674FAC">
        <w:rPr>
          <w:i/>
        </w:rPr>
        <w:t>Letter from James D. Bradshaw, Deputy Chief, Audio Division, Media Bureau to Marble City Media, LLC</w:t>
      </w:r>
      <w:r w:rsidRPr="00674FAC">
        <w:t xml:space="preserve"> (Oct.</w:t>
      </w:r>
      <w:r w:rsidR="00CA1555">
        <w:t xml:space="preserve"> </w:t>
      </w:r>
      <w:r w:rsidRPr="00674FAC">
        <w:t>7, 2019)</w:t>
      </w:r>
      <w:r w:rsidR="004F18EC">
        <w:t xml:space="preserve"> (</w:t>
      </w:r>
      <w:r w:rsidRPr="00A5375B" w:rsidR="004F18EC">
        <w:t>citing</w:t>
      </w:r>
      <w:r w:rsidRPr="00674FAC">
        <w:t xml:space="preserve"> </w:t>
      </w:r>
      <w:r w:rsidRPr="00674FAC">
        <w:rPr>
          <w:i/>
          <w:iCs/>
        </w:rPr>
        <w:t>Amendment of Part 74 of the Commission’s Rules Regarding FM Translator Interference</w:t>
      </w:r>
      <w:r w:rsidRPr="00674FAC">
        <w:t>, Report and Order, FCC 19-40, 34 FCC Rcd 3457</w:t>
      </w:r>
      <w:r w:rsidR="00B83F1B">
        <w:t xml:space="preserve"> </w:t>
      </w:r>
      <w:r w:rsidRPr="00674FAC">
        <w:t>(2019)</w:t>
      </w:r>
      <w:r w:rsidR="002C4C2A">
        <w:t>)</w:t>
      </w:r>
      <w:r w:rsidRPr="00674FAC">
        <w:t xml:space="preserve">; </w:t>
      </w:r>
      <w:r w:rsidRPr="00674FAC">
        <w:rPr>
          <w:i/>
          <w:iCs/>
        </w:rPr>
        <w:t>Reply to James D. Bradshaw, from Marble City Media, LLC</w:t>
      </w:r>
      <w:r w:rsidRPr="00674FAC">
        <w:t xml:space="preserve">, </w:t>
      </w:r>
      <w:r w:rsidRPr="00674FAC" w:rsidR="003F1AC9">
        <w:t>(</w:t>
      </w:r>
      <w:r w:rsidRPr="00674FAC">
        <w:t>No</w:t>
      </w:r>
      <w:r w:rsidRPr="00674FAC" w:rsidR="003F1AC9">
        <w:t>v.</w:t>
      </w:r>
      <w:r w:rsidRPr="00674FAC">
        <w:t xml:space="preserve"> 6, 2019</w:t>
      </w:r>
      <w:r w:rsidRPr="00674FAC" w:rsidR="003F1AC9">
        <w:t>)</w:t>
      </w:r>
      <w:r w:rsidRPr="00674FAC">
        <w:t xml:space="preserve">.  </w:t>
      </w:r>
      <w:r w:rsidR="00BF00C3">
        <w:t>However, i</w:t>
      </w:r>
      <w:r w:rsidR="000106F6">
        <w:t xml:space="preserve">n </w:t>
      </w:r>
      <w:r w:rsidR="005C34C2">
        <w:t>Marble City’s</w:t>
      </w:r>
      <w:r w:rsidR="00863C1E">
        <w:t xml:space="preserve"> most recent filing, the Rivera Reply, </w:t>
      </w:r>
      <w:r w:rsidR="009E2EB7">
        <w:t>Marble City stated it</w:t>
      </w:r>
      <w:r w:rsidR="00863C1E">
        <w:t xml:space="preserve"> hired a professional engineer who </w:t>
      </w:r>
      <w:r w:rsidR="002771C3">
        <w:t>determined</w:t>
      </w:r>
      <w:r w:rsidR="00FF1FD7">
        <w:t xml:space="preserve"> that the </w:t>
      </w:r>
      <w:r w:rsidR="006E6092">
        <w:t>S</w:t>
      </w:r>
      <w:r w:rsidR="00FF1FD7">
        <w:t xml:space="preserve">tation, at its most recently proposed parameters </w:t>
      </w:r>
      <w:r w:rsidR="00A43E34">
        <w:t xml:space="preserve">in the </w:t>
      </w:r>
      <w:r w:rsidR="006F4BC2">
        <w:t>Modification Application</w:t>
      </w:r>
      <w:r w:rsidRPr="003A031B" w:rsidR="003A031B">
        <w:t xml:space="preserve">, covered by the pending license application </w:t>
      </w:r>
      <w:r w:rsidR="006F4BC2">
        <w:t xml:space="preserve">(Application </w:t>
      </w:r>
      <w:r w:rsidR="00D35C09">
        <w:t xml:space="preserve">File No. </w:t>
      </w:r>
      <w:r w:rsidRPr="003A031B" w:rsidR="003A031B">
        <w:t>BLFT-20181016BE</w:t>
      </w:r>
      <w:r w:rsidR="006F4BC2">
        <w:t>)</w:t>
      </w:r>
      <w:r w:rsidR="005C5B6B">
        <w:t>,</w:t>
      </w:r>
      <w:r w:rsidRPr="003A031B" w:rsidR="003A031B">
        <w:t xml:space="preserve"> </w:t>
      </w:r>
      <w:r w:rsidR="006E6092">
        <w:t>is</w:t>
      </w:r>
      <w:r w:rsidR="00697751">
        <w:t xml:space="preserve"> still</w:t>
      </w:r>
      <w:r w:rsidR="00A43E34">
        <w:t xml:space="preserve"> likely to cause interference to WFXO</w:t>
      </w:r>
      <w:r w:rsidR="0047032F">
        <w:t>(FM).</w:t>
      </w:r>
      <w:r w:rsidR="003A031B">
        <w:t xml:space="preserve">  Rivera Reply at </w:t>
      </w:r>
      <w:r w:rsidR="00F545DE">
        <w:t>2 and Exh</w:t>
      </w:r>
      <w:r w:rsidR="00790346">
        <w:t>.</w:t>
      </w:r>
      <w:r w:rsidR="00F545DE">
        <w:t xml:space="preserve"> A.</w:t>
      </w:r>
    </w:p>
  </w:footnote>
  <w:footnote w:id="21">
    <w:p w:rsidR="00A800A6" w:rsidRPr="00674FAC" w:rsidP="00E23ACA" w14:paraId="1B8C6C67" w14:textId="5DD7D3C2">
      <w:pPr>
        <w:pStyle w:val="FootnoteText"/>
        <w:jc w:val="left"/>
      </w:pPr>
      <w:r w:rsidRPr="00674FAC">
        <w:rPr>
          <w:rStyle w:val="FootnoteReference"/>
        </w:rPr>
        <w:footnoteRef/>
      </w:r>
      <w:r w:rsidRPr="00674FAC">
        <w:t xml:space="preserve"> </w:t>
      </w:r>
      <w:r w:rsidRPr="00040B3C" w:rsidR="0062084A">
        <w:rPr>
          <w:i/>
        </w:rPr>
        <w:t>Broadcast Applications</w:t>
      </w:r>
      <w:r w:rsidRPr="00040B3C" w:rsidR="0062084A">
        <w:t xml:space="preserve">, Public Notice, Report No. </w:t>
      </w:r>
      <w:r w:rsidRPr="002E015F" w:rsidR="002E015F">
        <w:t xml:space="preserve">49014 </w:t>
      </w:r>
      <w:r w:rsidRPr="00040B3C" w:rsidR="0062084A">
        <w:t>(MB</w:t>
      </w:r>
      <w:r w:rsidR="002E015F">
        <w:t xml:space="preserve"> June</w:t>
      </w:r>
      <w:r w:rsidRPr="00040B3C" w:rsidR="0062084A">
        <w:t xml:space="preserve"> 2</w:t>
      </w:r>
      <w:r w:rsidR="002E015F">
        <w:t>6</w:t>
      </w:r>
      <w:r w:rsidRPr="00040B3C" w:rsidR="0062084A">
        <w:t>, 201</w:t>
      </w:r>
      <w:r w:rsidR="00793253">
        <w:t>7</w:t>
      </w:r>
      <w:r w:rsidRPr="00040B3C" w:rsidR="0062084A">
        <w:t>)</w:t>
      </w:r>
      <w:r w:rsidR="00793253">
        <w:t>.</w:t>
      </w:r>
      <w:r w:rsidRPr="00A5375B" w:rsidR="0062084A">
        <w:rPr>
          <w:i/>
          <w:iCs/>
        </w:rPr>
        <w:t xml:space="preserve"> </w:t>
      </w:r>
    </w:p>
  </w:footnote>
  <w:footnote w:id="22">
    <w:p w:rsidR="00A800A6" w:rsidRPr="00674FAC" w:rsidP="00E23ACA" w14:paraId="7527682F" w14:textId="3840C6BA">
      <w:pPr>
        <w:pStyle w:val="FootnoteText"/>
        <w:jc w:val="left"/>
      </w:pPr>
      <w:r w:rsidRPr="00674FAC">
        <w:rPr>
          <w:rStyle w:val="FootnoteReference"/>
        </w:rPr>
        <w:footnoteRef/>
      </w:r>
      <w:r w:rsidRPr="00674FAC">
        <w:t xml:space="preserve"> </w:t>
      </w:r>
      <w:r w:rsidRPr="00674FAC">
        <w:rPr>
          <w:i/>
          <w:iCs/>
        </w:rPr>
        <w:t xml:space="preserve">See </w:t>
      </w:r>
      <w:r w:rsidR="007B6C09">
        <w:t>Modification Application</w:t>
      </w:r>
      <w:r w:rsidRPr="00674FAC" w:rsidR="00B27EBE">
        <w:t xml:space="preserve">, </w:t>
      </w:r>
      <w:r w:rsidRPr="00674FAC" w:rsidR="0052374E">
        <w:t xml:space="preserve">Marble City </w:t>
      </w:r>
      <w:r w:rsidRPr="00674FAC">
        <w:t>Revival of Complaint and Petition for Cancellation of W252BE License</w:t>
      </w:r>
      <w:r w:rsidRPr="00674FAC" w:rsidR="00691DF2">
        <w:t xml:space="preserve"> (filed </w:t>
      </w:r>
      <w:r w:rsidRPr="00674FAC" w:rsidR="00F54020">
        <w:t>Jul. 6</w:t>
      </w:r>
      <w:r w:rsidRPr="00674FAC" w:rsidR="00EE5578">
        <w:t>,</w:t>
      </w:r>
      <w:r w:rsidRPr="00674FAC" w:rsidR="00F54020">
        <w:t xml:space="preserve"> 2018)</w:t>
      </w:r>
      <w:r w:rsidRPr="00674FAC">
        <w:t xml:space="preserve"> (2018 </w:t>
      </w:r>
      <w:r w:rsidR="008D4288">
        <w:t>Complaint</w:t>
      </w:r>
      <w:r w:rsidRPr="00674FAC">
        <w:t>).</w:t>
      </w:r>
    </w:p>
  </w:footnote>
  <w:footnote w:id="23">
    <w:p w:rsidR="002A7FC1" w:rsidRPr="00674FAC" w:rsidP="00E23ACA" w14:paraId="5D6D50ED" w14:textId="675C58E9">
      <w:pPr>
        <w:pStyle w:val="FootnoteText"/>
        <w:jc w:val="left"/>
      </w:pPr>
      <w:r w:rsidRPr="00674FAC">
        <w:rPr>
          <w:rStyle w:val="FootnoteReference"/>
        </w:rPr>
        <w:footnoteRef/>
      </w:r>
      <w:r w:rsidRPr="00674FAC">
        <w:t xml:space="preserve"> </w:t>
      </w:r>
      <w:r w:rsidRPr="00674FAC">
        <w:rPr>
          <w:i/>
          <w:iCs/>
        </w:rPr>
        <w:t>See</w:t>
      </w:r>
      <w:r w:rsidRPr="00674FAC">
        <w:t xml:space="preserve"> </w:t>
      </w:r>
      <w:r w:rsidR="000168B2">
        <w:t xml:space="preserve">Application File No. </w:t>
      </w:r>
      <w:r w:rsidRPr="00674FAC">
        <w:t>BSTA-20180718AAD</w:t>
      </w:r>
      <w:r w:rsidR="003167BE">
        <w:t xml:space="preserve"> (filed Jul. 18, 2018)</w:t>
      </w:r>
      <w:r w:rsidR="000D5B43">
        <w:t>;</w:t>
      </w:r>
      <w:r w:rsidRPr="00674FAC" w:rsidR="000D5B43">
        <w:rPr>
          <w:i/>
          <w:iCs/>
        </w:rPr>
        <w:t xml:space="preserve"> </w:t>
      </w:r>
      <w:r w:rsidRPr="00674FAC" w:rsidR="000D5B43">
        <w:rPr>
          <w:i/>
        </w:rPr>
        <w:t xml:space="preserve">Letter from </w:t>
      </w:r>
      <w:r w:rsidR="000D5B43">
        <w:rPr>
          <w:i/>
        </w:rPr>
        <w:t>Dale Bickel</w:t>
      </w:r>
      <w:r w:rsidRPr="00674FAC" w:rsidR="000D5B43">
        <w:rPr>
          <w:i/>
        </w:rPr>
        <w:t xml:space="preserve">, </w:t>
      </w:r>
      <w:r w:rsidR="000D5B43">
        <w:rPr>
          <w:i/>
        </w:rPr>
        <w:t>Senior Engineer</w:t>
      </w:r>
      <w:r w:rsidRPr="00674FAC" w:rsidR="000D5B43">
        <w:rPr>
          <w:i/>
        </w:rPr>
        <w:t>, Audio Division, Media Bureau</w:t>
      </w:r>
      <w:r w:rsidR="000D5B43">
        <w:rPr>
          <w:i/>
        </w:rPr>
        <w:t>,</w:t>
      </w:r>
      <w:r w:rsidRPr="00674FAC" w:rsidR="000D5B43">
        <w:rPr>
          <w:i/>
        </w:rPr>
        <w:t xml:space="preserve"> to </w:t>
      </w:r>
      <w:r w:rsidRPr="002F4A06" w:rsidR="000D5B43">
        <w:rPr>
          <w:i/>
        </w:rPr>
        <w:t xml:space="preserve">Shelby Broadcast Associates, LLC </w:t>
      </w:r>
      <w:r w:rsidRPr="00674FAC" w:rsidR="000D5B43">
        <w:t>(dated</w:t>
      </w:r>
      <w:r w:rsidR="000D5B43">
        <w:t xml:space="preserve"> July 19</w:t>
      </w:r>
      <w:r w:rsidRPr="00674FAC" w:rsidR="000D5B43">
        <w:t>, 201</w:t>
      </w:r>
      <w:r w:rsidR="000D5B43">
        <w:t>8</w:t>
      </w:r>
      <w:r w:rsidRPr="00674FAC" w:rsidR="000D5B43">
        <w:t>)</w:t>
      </w:r>
      <w:r w:rsidR="000D5B43">
        <w:t xml:space="preserve"> (“We </w:t>
      </w:r>
      <w:r w:rsidR="002C4C2A">
        <w:t>discern</w:t>
      </w:r>
      <w:r w:rsidR="000D5B43">
        <w:t xml:space="preserve"> no reason for this STA other than the broadcaster’s convenience.”).  </w:t>
      </w:r>
      <w:r w:rsidRPr="00674FAC">
        <w:t xml:space="preserve">The Bureau’s Letter dismissing this STA application also cautioned </w:t>
      </w:r>
      <w:r w:rsidR="00A26DAE">
        <w:rPr>
          <w:szCs w:val="22"/>
        </w:rPr>
        <w:t>Shelby</w:t>
      </w:r>
      <w:r w:rsidRPr="00254D78" w:rsidR="000030EC">
        <w:rPr>
          <w:szCs w:val="22"/>
        </w:rPr>
        <w:t xml:space="preserve"> </w:t>
      </w:r>
      <w:r w:rsidRPr="00674FAC">
        <w:t>that it must file an FCC Form 349 construction permit application before modifying the facilities to make the requested changes.</w:t>
      </w:r>
      <w:r w:rsidRPr="005E3C85" w:rsidR="005E3C85">
        <w:rPr>
          <w:color w:val="000000"/>
          <w:szCs w:val="22"/>
        </w:rPr>
        <w:t xml:space="preserve"> </w:t>
      </w:r>
      <w:r w:rsidR="005E3C85">
        <w:rPr>
          <w:color w:val="000000"/>
          <w:szCs w:val="22"/>
        </w:rPr>
        <w:t>All permittees and licensees of FM translators are required to file a</w:t>
      </w:r>
      <w:r w:rsidRPr="00B82DF8" w:rsidR="005E3C85">
        <w:rPr>
          <w:color w:val="000000"/>
          <w:szCs w:val="22"/>
        </w:rPr>
        <w:t xml:space="preserve"> formal application on FCC Form 349 </w:t>
      </w:r>
      <w:r w:rsidR="005E3C85">
        <w:rPr>
          <w:color w:val="000000"/>
          <w:szCs w:val="22"/>
        </w:rPr>
        <w:t xml:space="preserve">to make equipment modifications including, </w:t>
      </w:r>
      <w:r w:rsidR="005E3C85">
        <w:rPr>
          <w:i/>
          <w:iCs/>
          <w:color w:val="000000"/>
          <w:szCs w:val="22"/>
        </w:rPr>
        <w:t>inter alia,</w:t>
      </w:r>
      <w:r w:rsidRPr="00976A05" w:rsidR="005E3C85">
        <w:t xml:space="preserve"> </w:t>
      </w:r>
      <w:r w:rsidR="005E3C85">
        <w:t xml:space="preserve">a change in the transmitting antenna system, a change in the overall height of the antenna, and </w:t>
      </w:r>
      <w:r w:rsidRPr="00976A05" w:rsidR="005E3C85">
        <w:rPr>
          <w:color w:val="000000"/>
          <w:szCs w:val="22"/>
        </w:rPr>
        <w:t xml:space="preserve">any increase of authorized </w:t>
      </w:r>
      <w:r w:rsidR="005E3C85">
        <w:rPr>
          <w:color w:val="000000"/>
          <w:szCs w:val="22"/>
        </w:rPr>
        <w:t xml:space="preserve">ERP.  </w:t>
      </w:r>
      <w:r w:rsidR="005E3C85">
        <w:rPr>
          <w:i/>
          <w:iCs/>
          <w:color w:val="000000"/>
          <w:szCs w:val="22"/>
        </w:rPr>
        <w:t xml:space="preserve">See </w:t>
      </w:r>
      <w:r w:rsidR="005E3C85">
        <w:rPr>
          <w:color w:val="000000"/>
          <w:szCs w:val="22"/>
        </w:rPr>
        <w:t xml:space="preserve">47 CFR </w:t>
      </w:r>
      <w:r w:rsidRPr="00615060" w:rsidR="005E3C85">
        <w:t>§§</w:t>
      </w:r>
      <w:r w:rsidR="005E3C85">
        <w:t xml:space="preserve"> 74.1251 (b)(2), (b)(3), and (b)(7).</w:t>
      </w:r>
      <w:r w:rsidR="005E3C85">
        <w:rPr>
          <w:color w:val="000000"/>
          <w:szCs w:val="22"/>
        </w:rPr>
        <w:t xml:space="preserve">  </w:t>
      </w:r>
    </w:p>
  </w:footnote>
  <w:footnote w:id="24">
    <w:p w:rsidR="002A7FC1" w:rsidRPr="00674FAC" w:rsidP="00E23ACA" w14:paraId="45C67F65" w14:textId="1B101BC3">
      <w:pPr>
        <w:pStyle w:val="FootnoteText"/>
        <w:jc w:val="left"/>
      </w:pPr>
      <w:r w:rsidRPr="00674FAC">
        <w:rPr>
          <w:rStyle w:val="FootnoteReference"/>
        </w:rPr>
        <w:footnoteRef/>
      </w:r>
      <w:r w:rsidRPr="00674FAC">
        <w:t xml:space="preserve"> </w:t>
      </w:r>
      <w:r w:rsidRPr="00674FAC">
        <w:rPr>
          <w:i/>
          <w:iCs/>
        </w:rPr>
        <w:t>See</w:t>
      </w:r>
      <w:r w:rsidRPr="00674FAC">
        <w:t xml:space="preserve"> </w:t>
      </w:r>
      <w:r w:rsidRPr="00254D78" w:rsidR="00F508BA">
        <w:rPr>
          <w:szCs w:val="22"/>
        </w:rPr>
        <w:t>2018 STA Application</w:t>
      </w:r>
      <w:r w:rsidRPr="00674FAC">
        <w:t>.</w:t>
      </w:r>
      <w:r w:rsidR="00A10048">
        <w:t xml:space="preserve">  </w:t>
      </w:r>
      <w:r w:rsidR="00A26DAE">
        <w:t>Shelby</w:t>
      </w:r>
      <w:r w:rsidR="00A10048">
        <w:t xml:space="preserve"> </w:t>
      </w:r>
      <w:r w:rsidR="00A131B9">
        <w:t>requested STA</w:t>
      </w:r>
      <w:r w:rsidR="00A10048">
        <w:t xml:space="preserve"> to </w:t>
      </w:r>
      <w:r w:rsidR="00A131B9">
        <w:t xml:space="preserve">operate at </w:t>
      </w:r>
      <w:r w:rsidR="000008C2">
        <w:t>reduc</w:t>
      </w:r>
      <w:r w:rsidR="00A131B9">
        <w:t>ed</w:t>
      </w:r>
      <w:r w:rsidR="000008C2">
        <w:t xml:space="preserve"> </w:t>
      </w:r>
      <w:r w:rsidR="00B727B4">
        <w:t>ERP</w:t>
      </w:r>
      <w:r w:rsidR="000008C2">
        <w:t xml:space="preserve"> from 90 watts to 65 watts.</w:t>
      </w:r>
      <w:r w:rsidRPr="00674FAC" w:rsidR="000E738A">
        <w:t xml:space="preserve"> </w:t>
      </w:r>
    </w:p>
  </w:footnote>
  <w:footnote w:id="25">
    <w:p w:rsidR="0073744C" w:rsidRPr="00B53465" w:rsidP="00E23ACA" w14:paraId="77CF01C4" w14:textId="78D4A122">
      <w:pPr>
        <w:pStyle w:val="FootnoteText"/>
        <w:jc w:val="left"/>
      </w:pPr>
      <w:r>
        <w:rPr>
          <w:rStyle w:val="FootnoteReference"/>
        </w:rPr>
        <w:footnoteRef/>
      </w:r>
      <w:r>
        <w:t xml:space="preserve"> </w:t>
      </w:r>
      <w:r w:rsidR="00B53465">
        <w:rPr>
          <w:i/>
          <w:iCs/>
        </w:rPr>
        <w:t>See</w:t>
      </w:r>
      <w:r w:rsidR="00B53465">
        <w:t xml:space="preserve"> </w:t>
      </w:r>
      <w:r w:rsidRPr="00254D78" w:rsidR="00F508BA">
        <w:rPr>
          <w:szCs w:val="22"/>
        </w:rPr>
        <w:t>2018 STA Application</w:t>
      </w:r>
      <w:r w:rsidR="00B53465">
        <w:t xml:space="preserve">, Marble City Informal Objection (filed </w:t>
      </w:r>
      <w:r w:rsidRPr="00B53465" w:rsidR="00B53465">
        <w:t>Jul</w:t>
      </w:r>
      <w:r w:rsidR="00B53465">
        <w:t>.</w:t>
      </w:r>
      <w:r w:rsidRPr="00B53465" w:rsidR="00B53465">
        <w:t xml:space="preserve"> 24</w:t>
      </w:r>
      <w:r w:rsidR="00B53465">
        <w:t>,</w:t>
      </w:r>
      <w:r w:rsidRPr="00B53465" w:rsidR="00B53465">
        <w:t xml:space="preserve"> 2018</w:t>
      </w:r>
      <w:r w:rsidR="00B53465">
        <w:t>).</w:t>
      </w:r>
    </w:p>
  </w:footnote>
  <w:footnote w:id="26">
    <w:p w:rsidR="00332F8A" w:rsidRPr="00674FAC" w:rsidP="00E23ACA" w14:paraId="4D733C1E" w14:textId="4975A7D3">
      <w:pPr>
        <w:pStyle w:val="FootnoteText"/>
        <w:jc w:val="left"/>
      </w:pPr>
      <w:r w:rsidRPr="00674FAC">
        <w:rPr>
          <w:rStyle w:val="FootnoteReference"/>
        </w:rPr>
        <w:footnoteRef/>
      </w:r>
      <w:r w:rsidRPr="00674FAC">
        <w:t xml:space="preserve"> </w:t>
      </w:r>
      <w:r w:rsidRPr="00674FAC">
        <w:rPr>
          <w:i/>
          <w:iCs/>
        </w:rPr>
        <w:t xml:space="preserve">See </w:t>
      </w:r>
      <w:r w:rsidR="006B4AAF">
        <w:rPr>
          <w:szCs w:val="22"/>
        </w:rPr>
        <w:t>2018 License to Cover Application</w:t>
      </w:r>
      <w:r w:rsidRPr="00674FAC">
        <w:t xml:space="preserve">, </w:t>
      </w:r>
      <w:r w:rsidRPr="00674FAC" w:rsidR="005D3EFB">
        <w:t xml:space="preserve">Marble City </w:t>
      </w:r>
      <w:r w:rsidRPr="00674FAC">
        <w:t>Comments on Application for License</w:t>
      </w:r>
      <w:r w:rsidRPr="00674FAC" w:rsidR="004B7AE3">
        <w:t xml:space="preserve"> </w:t>
      </w:r>
      <w:r w:rsidRPr="00674FAC" w:rsidR="00971B08">
        <w:t xml:space="preserve">(filed </w:t>
      </w:r>
      <w:r w:rsidRPr="00674FAC">
        <w:t>Oct</w:t>
      </w:r>
      <w:r w:rsidRPr="00674FAC" w:rsidR="00971B08">
        <w:t>.</w:t>
      </w:r>
      <w:r w:rsidRPr="00674FAC">
        <w:t xml:space="preserve"> 19, 201</w:t>
      </w:r>
      <w:r w:rsidRPr="00674FAC" w:rsidR="00971B08">
        <w:t>8)</w:t>
      </w:r>
      <w:r w:rsidRPr="00674FAC" w:rsidR="004B7AE3">
        <w:t xml:space="preserve"> (2018 Comments).</w:t>
      </w:r>
    </w:p>
  </w:footnote>
  <w:footnote w:id="27">
    <w:p w:rsidR="004751EA" w:rsidRPr="00674FAC" w:rsidP="00E23ACA" w14:paraId="52FAF19D" w14:textId="640C3C38">
      <w:pPr>
        <w:pStyle w:val="FootnoteText"/>
        <w:jc w:val="left"/>
      </w:pPr>
      <w:r w:rsidRPr="00674FAC">
        <w:rPr>
          <w:rStyle w:val="FootnoteReference"/>
        </w:rPr>
        <w:footnoteRef/>
      </w:r>
      <w:r w:rsidRPr="00674FAC">
        <w:t xml:space="preserve"> </w:t>
      </w:r>
      <w:r w:rsidR="00B4685A">
        <w:t>Renewal Petition</w:t>
      </w:r>
      <w:r w:rsidRPr="00674FAC">
        <w:t xml:space="preserve"> at 1-2.</w:t>
      </w:r>
      <w:r w:rsidRPr="00674FAC" w:rsidR="00AD4141">
        <w:t xml:space="preserve">  Marble City incorporates by reference ten pleadings </w:t>
      </w:r>
      <w:r w:rsidRPr="00674FAC" w:rsidR="003A2E11">
        <w:t xml:space="preserve">it has filed against the Station’s licensee since February </w:t>
      </w:r>
      <w:r w:rsidRPr="00674FAC" w:rsidR="00800D64">
        <w:t>10, 2017.</w:t>
      </w:r>
      <w:r w:rsidRPr="00674FAC" w:rsidR="00FE34DE">
        <w:t xml:space="preserve">  </w:t>
      </w:r>
      <w:r w:rsidRPr="00674FAC" w:rsidR="00B27EBE">
        <w:rPr>
          <w:i/>
          <w:iCs/>
        </w:rPr>
        <w:t xml:space="preserve">See also </w:t>
      </w:r>
      <w:r w:rsidRPr="00674FAC" w:rsidR="00B27EBE">
        <w:t xml:space="preserve">2018 </w:t>
      </w:r>
      <w:r w:rsidR="00946A0A">
        <w:t>Complaint</w:t>
      </w:r>
      <w:r w:rsidRPr="00674FAC" w:rsidR="00946A0A">
        <w:t xml:space="preserve"> </w:t>
      </w:r>
      <w:r w:rsidRPr="00674FAC" w:rsidR="00C94E96">
        <w:t xml:space="preserve">and </w:t>
      </w:r>
      <w:r w:rsidRPr="00674FAC" w:rsidR="004004D7">
        <w:t>2018 Comments</w:t>
      </w:r>
      <w:r w:rsidRPr="00674FAC" w:rsidR="00B27EBE">
        <w:t>.</w:t>
      </w:r>
    </w:p>
  </w:footnote>
  <w:footnote w:id="28">
    <w:p w:rsidR="004751EA" w:rsidRPr="00674FAC" w:rsidP="00E23ACA" w14:paraId="0013E5C0" w14:textId="77777777">
      <w:pPr>
        <w:pStyle w:val="FootnoteText"/>
        <w:jc w:val="left"/>
      </w:pPr>
      <w:r w:rsidRPr="00674FAC">
        <w:rPr>
          <w:rStyle w:val="FootnoteReference"/>
        </w:rPr>
        <w:footnoteRef/>
      </w:r>
      <w:r w:rsidRPr="00674FAC">
        <w:t xml:space="preserve"> </w:t>
      </w:r>
      <w:r w:rsidRPr="00674FAC">
        <w:rPr>
          <w:i/>
          <w:iCs/>
        </w:rPr>
        <w:t xml:space="preserve">Id. </w:t>
      </w:r>
      <w:r w:rsidRPr="00674FAC">
        <w:t xml:space="preserve">at 4, </w:t>
      </w:r>
      <w:r w:rsidRPr="00674FAC">
        <w:rPr>
          <w:i/>
          <w:iCs/>
        </w:rPr>
        <w:t>citing</w:t>
      </w:r>
      <w:r w:rsidRPr="00674FAC">
        <w:t xml:space="preserve"> 2018 Comments.</w:t>
      </w:r>
    </w:p>
  </w:footnote>
  <w:footnote w:id="29">
    <w:p w:rsidR="004751EA" w:rsidRPr="00674FAC" w:rsidP="00E23ACA" w14:paraId="16619A1E" w14:textId="5A9FC931">
      <w:pPr>
        <w:pStyle w:val="FootnoteText"/>
        <w:jc w:val="left"/>
      </w:pPr>
      <w:r w:rsidRPr="00674FAC">
        <w:rPr>
          <w:rStyle w:val="FootnoteReference"/>
        </w:rPr>
        <w:footnoteRef/>
      </w:r>
      <w:r w:rsidRPr="00674FAC">
        <w:t xml:space="preserve"> </w:t>
      </w:r>
      <w:r w:rsidRPr="00674FAC">
        <w:rPr>
          <w:i/>
          <w:iCs/>
        </w:rPr>
        <w:t>Id.</w:t>
      </w:r>
      <w:r w:rsidRPr="00674FAC">
        <w:t xml:space="preserve"> </w:t>
      </w:r>
      <w:r w:rsidR="002C4C2A">
        <w:t>(</w:t>
      </w:r>
      <w:r w:rsidRPr="00A5375B" w:rsidR="006975DB">
        <w:t>citing</w:t>
      </w:r>
      <w:r w:rsidRPr="00674FAC">
        <w:rPr>
          <w:i/>
          <w:iCs/>
        </w:rPr>
        <w:t xml:space="preserve"> </w:t>
      </w:r>
      <w:r w:rsidRPr="00F07FA4">
        <w:t>BMLFT-20140520ALM</w:t>
      </w:r>
      <w:r w:rsidRPr="00674FAC">
        <w:t>, Opposition to Revival (</w:t>
      </w:r>
      <w:r w:rsidR="00695049">
        <w:t>2018 Complaint</w:t>
      </w:r>
      <w:r w:rsidRPr="00674FAC" w:rsidR="00695049">
        <w:t xml:space="preserve"> </w:t>
      </w:r>
      <w:r w:rsidRPr="00674FAC">
        <w:t>Opposition), at 2</w:t>
      </w:r>
      <w:r w:rsidR="005F7723">
        <w:t>, para. 2</w:t>
      </w:r>
      <w:r w:rsidRPr="00674FAC">
        <w:t xml:space="preserve"> and Ex. 1 Decl. of Lee Reynolds</w:t>
      </w:r>
      <w:r w:rsidRPr="00674FAC" w:rsidR="00CF76F3">
        <w:t xml:space="preserve"> (</w:t>
      </w:r>
      <w:r w:rsidRPr="00674FAC" w:rsidR="0076271A">
        <w:t>f</w:t>
      </w:r>
      <w:r w:rsidRPr="00674FAC" w:rsidR="0040624E">
        <w:t xml:space="preserve">iled </w:t>
      </w:r>
      <w:r w:rsidRPr="00674FAC" w:rsidR="00CF76F3">
        <w:t>Aug</w:t>
      </w:r>
      <w:r w:rsidRPr="00674FAC" w:rsidR="0076271A">
        <w:t>.</w:t>
      </w:r>
      <w:r w:rsidRPr="00674FAC" w:rsidR="00CF76F3">
        <w:t xml:space="preserve"> 6, 2018</w:t>
      </w:r>
      <w:r w:rsidRPr="00674FAC" w:rsidR="0076271A">
        <w:t>)</w:t>
      </w:r>
      <w:r w:rsidR="002C4C2A">
        <w:t>)</w:t>
      </w:r>
      <w:r w:rsidRPr="00674FAC" w:rsidR="0076271A">
        <w:t>.</w:t>
      </w:r>
    </w:p>
  </w:footnote>
  <w:footnote w:id="30">
    <w:p w:rsidR="00EC1EC6" w:rsidRPr="00674FAC" w:rsidP="00E23ACA" w14:paraId="06A71CBE" w14:textId="6669889E">
      <w:pPr>
        <w:pStyle w:val="FootnoteText"/>
        <w:jc w:val="left"/>
      </w:pPr>
      <w:r w:rsidRPr="00674FAC">
        <w:rPr>
          <w:rStyle w:val="FootnoteReference"/>
        </w:rPr>
        <w:footnoteRef/>
      </w:r>
      <w:r w:rsidRPr="00674FAC">
        <w:t xml:space="preserve"> </w:t>
      </w:r>
      <w:r w:rsidR="002C4C2A">
        <w:t>Renewal Petition</w:t>
      </w:r>
      <w:r w:rsidR="00B67B74">
        <w:t xml:space="preserve"> </w:t>
      </w:r>
      <w:r w:rsidRPr="00674FAC">
        <w:t>at 7</w:t>
      </w:r>
      <w:r w:rsidR="00695049">
        <w:rPr>
          <w:i/>
          <w:iCs/>
        </w:rPr>
        <w:t xml:space="preserve"> </w:t>
      </w:r>
      <w:r w:rsidR="00695049">
        <w:t>(citing</w:t>
      </w:r>
      <w:r w:rsidRPr="00674FAC" w:rsidR="00695049">
        <w:rPr>
          <w:i/>
          <w:iCs/>
        </w:rPr>
        <w:t xml:space="preserve"> </w:t>
      </w:r>
      <w:r w:rsidRPr="00674FAC" w:rsidR="004822A3">
        <w:rPr>
          <w:i/>
          <w:iCs/>
        </w:rPr>
        <w:t>Shelby Broad</w:t>
      </w:r>
      <w:r w:rsidRPr="00674FAC" w:rsidR="00612592">
        <w:rPr>
          <w:i/>
          <w:iCs/>
        </w:rPr>
        <w:t>.</w:t>
      </w:r>
      <w:r w:rsidRPr="00674FAC" w:rsidR="004822A3">
        <w:rPr>
          <w:i/>
          <w:iCs/>
        </w:rPr>
        <w:t xml:space="preserve"> Assoc., LLC</w:t>
      </w:r>
      <w:r w:rsidRPr="00674FAC" w:rsidR="004822A3">
        <w:t>,</w:t>
      </w:r>
      <w:r w:rsidRPr="00674FAC" w:rsidR="004822A3">
        <w:rPr>
          <w:i/>
          <w:iCs/>
        </w:rPr>
        <w:t xml:space="preserve"> </w:t>
      </w:r>
      <w:r w:rsidRPr="00674FAC" w:rsidR="004822A3">
        <w:t>Letter Orde</w:t>
      </w:r>
      <w:r w:rsidRPr="00674FAC" w:rsidR="00084041">
        <w:t xml:space="preserve">r (MB </w:t>
      </w:r>
      <w:r w:rsidRPr="00674FAC" w:rsidR="00DA74D3">
        <w:t>Nov. 29, 2018</w:t>
      </w:r>
      <w:r w:rsidRPr="00674FAC" w:rsidR="00612592">
        <w:t>)</w:t>
      </w:r>
      <w:r w:rsidR="001E5D18">
        <w:t xml:space="preserve"> (</w:t>
      </w:r>
      <w:r w:rsidRPr="00A5375B" w:rsidR="00086806">
        <w:rPr>
          <w:i/>
          <w:iCs/>
        </w:rPr>
        <w:t>W243AP Letter</w:t>
      </w:r>
      <w:r w:rsidR="00086806">
        <w:t>)</w:t>
      </w:r>
      <w:r w:rsidRPr="00674FAC" w:rsidR="00612592">
        <w:t xml:space="preserve">; </w:t>
      </w:r>
      <w:r w:rsidRPr="00674FAC" w:rsidR="00612592">
        <w:rPr>
          <w:i/>
          <w:iCs/>
        </w:rPr>
        <w:t>Valleydale Broad., LLC</w:t>
      </w:r>
      <w:r w:rsidRPr="00674FAC" w:rsidR="00612592">
        <w:t xml:space="preserve">, </w:t>
      </w:r>
      <w:r w:rsidRPr="00674FAC" w:rsidR="00B836A1">
        <w:t>Letter Order (MB Nov. 15, 2017)</w:t>
      </w:r>
      <w:r w:rsidR="00086806">
        <w:t xml:space="preserve"> (</w:t>
      </w:r>
      <w:r w:rsidRPr="00A5375B" w:rsidR="00086806">
        <w:rPr>
          <w:i/>
          <w:iCs/>
        </w:rPr>
        <w:t>WZNN Letter</w:t>
      </w:r>
      <w:r w:rsidR="00086806">
        <w:t>) (together, 2017 Letters)</w:t>
      </w:r>
      <w:r w:rsidR="00695049">
        <w:t xml:space="preserve"> (finding that licenses held by Shelby or its princip</w:t>
      </w:r>
      <w:r w:rsidR="000809F1">
        <w:t>a</w:t>
      </w:r>
      <w:r w:rsidR="00695049">
        <w:t>ls had expired under section 312(g))</w:t>
      </w:r>
      <w:r w:rsidRPr="00674FAC" w:rsidR="00B836A1">
        <w:t>.</w:t>
      </w:r>
    </w:p>
  </w:footnote>
  <w:footnote w:id="31">
    <w:p w:rsidR="00832354" w:rsidRPr="00674FAC" w:rsidP="00E23ACA" w14:paraId="10DCD295" w14:textId="42F6B82A">
      <w:pPr>
        <w:pStyle w:val="FootnoteText"/>
        <w:jc w:val="left"/>
      </w:pPr>
      <w:r w:rsidRPr="00674FAC">
        <w:rPr>
          <w:rStyle w:val="FootnoteReference"/>
        </w:rPr>
        <w:footnoteRef/>
      </w:r>
      <w:r w:rsidRPr="00674FAC">
        <w:t xml:space="preserve"> </w:t>
      </w:r>
      <w:r w:rsidR="00EC7A95">
        <w:t xml:space="preserve">Renewal </w:t>
      </w:r>
      <w:r w:rsidRPr="00674FAC">
        <w:t xml:space="preserve">Opposition at 1-2.  </w:t>
      </w:r>
      <w:r w:rsidRPr="00674FAC">
        <w:rPr>
          <w:i/>
          <w:iCs/>
        </w:rPr>
        <w:t>See</w:t>
      </w:r>
      <w:r w:rsidRPr="00674FAC">
        <w:t xml:space="preserve"> 47 CFR </w:t>
      </w:r>
      <w:r w:rsidRPr="00674FAC" w:rsidR="000E272F">
        <w:t>§ 1.106</w:t>
      </w:r>
      <w:r w:rsidRPr="00674FAC" w:rsidR="00CC34B1">
        <w:t>(b)(1).</w:t>
      </w:r>
    </w:p>
  </w:footnote>
  <w:footnote w:id="32">
    <w:p w:rsidR="003D6C57" w:rsidRPr="00674FAC" w:rsidP="00E23ACA" w14:paraId="6A257C36" w14:textId="6E8CF021">
      <w:pPr>
        <w:pStyle w:val="FootnoteText"/>
        <w:jc w:val="left"/>
      </w:pPr>
      <w:r w:rsidRPr="00674FAC">
        <w:rPr>
          <w:rStyle w:val="FootnoteReference"/>
        </w:rPr>
        <w:footnoteRef/>
      </w:r>
      <w:r w:rsidRPr="00674FAC">
        <w:t xml:space="preserve"> </w:t>
      </w:r>
      <w:r w:rsidR="00EC7A95">
        <w:t xml:space="preserve">Renewal </w:t>
      </w:r>
      <w:r w:rsidRPr="00674FAC">
        <w:t xml:space="preserve">Opposition at </w:t>
      </w:r>
      <w:r w:rsidRPr="00674FAC" w:rsidR="00DF16AA">
        <w:t xml:space="preserve">3; </w:t>
      </w:r>
      <w:r w:rsidR="00695049">
        <w:t>2018 Complaint</w:t>
      </w:r>
      <w:r w:rsidRPr="00674FAC" w:rsidR="00695049">
        <w:t xml:space="preserve"> </w:t>
      </w:r>
      <w:r w:rsidRPr="00674FAC" w:rsidR="00DF16AA">
        <w:t>Opposition</w:t>
      </w:r>
      <w:r w:rsidRPr="00674FAC" w:rsidR="000B1BA1">
        <w:t xml:space="preserve"> at 3-4.</w:t>
      </w:r>
    </w:p>
  </w:footnote>
  <w:footnote w:id="33">
    <w:p w:rsidR="00F32DBE" w:rsidRPr="00674FAC" w:rsidP="00E23ACA" w14:paraId="061B6119" w14:textId="7F94DE89">
      <w:pPr>
        <w:pStyle w:val="FootnoteText"/>
        <w:jc w:val="left"/>
      </w:pPr>
      <w:r w:rsidRPr="00674FAC">
        <w:rPr>
          <w:rStyle w:val="FootnoteReference"/>
        </w:rPr>
        <w:footnoteRef/>
      </w:r>
      <w:r w:rsidRPr="00674FAC">
        <w:t xml:space="preserve"> </w:t>
      </w:r>
      <w:r w:rsidRPr="00674FAC">
        <w:rPr>
          <w:i/>
          <w:iCs/>
        </w:rPr>
        <w:t>Id.</w:t>
      </w:r>
      <w:r w:rsidRPr="00674FAC">
        <w:t xml:space="preserve"> at 3-4.</w:t>
      </w:r>
    </w:p>
  </w:footnote>
  <w:footnote w:id="34">
    <w:p w:rsidR="00823E08" w:rsidRPr="00674FAC" w:rsidP="00E23ACA" w14:paraId="5DA30DB6" w14:textId="45BD4C3A">
      <w:pPr>
        <w:pStyle w:val="FootnoteText"/>
        <w:jc w:val="left"/>
      </w:pPr>
      <w:r w:rsidRPr="00674FAC">
        <w:rPr>
          <w:rStyle w:val="FootnoteReference"/>
        </w:rPr>
        <w:footnoteRef/>
      </w:r>
      <w:r w:rsidRPr="00674FAC">
        <w:t xml:space="preserve"> </w:t>
      </w:r>
      <w:r w:rsidR="00EC7A95">
        <w:t xml:space="preserve">Renewal </w:t>
      </w:r>
      <w:r w:rsidRPr="00674FAC">
        <w:t xml:space="preserve">Reply at </w:t>
      </w:r>
      <w:r w:rsidRPr="00674FAC" w:rsidR="009E05C8">
        <w:t>1-2, citing 47 U.S.C. §§ 309(a) and 309(k).</w:t>
      </w:r>
    </w:p>
  </w:footnote>
  <w:footnote w:id="35">
    <w:p w:rsidR="0097011F" w:rsidRPr="00674FAC" w:rsidP="00E23ACA" w14:paraId="7FD0293E" w14:textId="32702367">
      <w:pPr>
        <w:pStyle w:val="FootnoteText"/>
        <w:jc w:val="left"/>
      </w:pPr>
      <w:r w:rsidRPr="00674FAC">
        <w:rPr>
          <w:rStyle w:val="FootnoteReference"/>
        </w:rPr>
        <w:footnoteRef/>
      </w:r>
      <w:r w:rsidRPr="00674FAC">
        <w:t xml:space="preserve"> </w:t>
      </w:r>
      <w:r w:rsidR="00EC7A95">
        <w:t xml:space="preserve">Renewal </w:t>
      </w:r>
      <w:r w:rsidRPr="00674FAC">
        <w:t>Reply at 2.</w:t>
      </w:r>
    </w:p>
  </w:footnote>
  <w:footnote w:id="36">
    <w:p w:rsidR="00764080" w:rsidRPr="00674FAC" w:rsidP="00E23ACA" w14:paraId="12349942" w14:textId="14937C24">
      <w:pPr>
        <w:pStyle w:val="FootnoteText"/>
        <w:jc w:val="left"/>
      </w:pPr>
      <w:r w:rsidRPr="00674FAC">
        <w:rPr>
          <w:rStyle w:val="FootnoteReference"/>
        </w:rPr>
        <w:footnoteRef/>
      </w:r>
      <w:r w:rsidRPr="00674FAC">
        <w:t xml:space="preserve"> </w:t>
      </w:r>
      <w:r w:rsidRPr="00674FAC" w:rsidR="008E609F">
        <w:rPr>
          <w:i/>
          <w:iCs/>
        </w:rPr>
        <w:t>Id.</w:t>
      </w:r>
    </w:p>
  </w:footnote>
  <w:footnote w:id="37">
    <w:p w:rsidR="00B53170" w:rsidRPr="00674FAC" w:rsidP="00E23ACA" w14:paraId="35965BBB" w14:textId="2AEF349D">
      <w:pPr>
        <w:pStyle w:val="FootnoteText"/>
        <w:jc w:val="left"/>
      </w:pPr>
      <w:r w:rsidRPr="00674FAC">
        <w:rPr>
          <w:rStyle w:val="FootnoteReference"/>
        </w:rPr>
        <w:footnoteRef/>
      </w:r>
      <w:r w:rsidRPr="00674FAC">
        <w:t xml:space="preserve"> </w:t>
      </w:r>
      <w:r w:rsidRPr="00674FAC">
        <w:rPr>
          <w:i/>
          <w:iCs/>
        </w:rPr>
        <w:t>Id.</w:t>
      </w:r>
      <w:r w:rsidRPr="00674FAC">
        <w:t xml:space="preserve"> at 3</w:t>
      </w:r>
      <w:r w:rsidRPr="00674FAC" w:rsidR="009C7743">
        <w:t>-6</w:t>
      </w:r>
      <w:r w:rsidRPr="00674FAC">
        <w:t>.</w:t>
      </w:r>
    </w:p>
  </w:footnote>
  <w:footnote w:id="38">
    <w:p w:rsidR="00EA6BC0" w:rsidRPr="0018144E" w:rsidP="00EA6BC0" w14:paraId="2A6AD58F" w14:textId="77777777">
      <w:pPr>
        <w:pStyle w:val="FootnoteText"/>
        <w:jc w:val="left"/>
      </w:pPr>
      <w:r>
        <w:rPr>
          <w:rStyle w:val="FootnoteReference"/>
        </w:rPr>
        <w:footnoteRef/>
      </w:r>
      <w:r>
        <w:t xml:space="preserve"> Assignment Petition at 1.  </w:t>
      </w:r>
      <w:r>
        <w:rPr>
          <w:szCs w:val="22"/>
        </w:rPr>
        <w:t>Marble City</w:t>
      </w:r>
      <w:r>
        <w:t xml:space="preserve"> also incorporates by reference eleven pleadings against Shelby’s filings.  </w:t>
      </w:r>
      <w:r>
        <w:rPr>
          <w:i/>
          <w:iCs/>
        </w:rPr>
        <w:t>Id.</w:t>
      </w:r>
      <w:r>
        <w:t xml:space="preserve"> at 1-2.</w:t>
      </w:r>
    </w:p>
  </w:footnote>
  <w:footnote w:id="39">
    <w:p w:rsidR="00EA6BC0" w:rsidP="00EA6BC0" w14:paraId="5F8F85B8" w14:textId="48B9CD73">
      <w:pPr>
        <w:pStyle w:val="FootnoteText"/>
      </w:pPr>
      <w:r>
        <w:rPr>
          <w:rStyle w:val="FootnoteReference"/>
        </w:rPr>
        <w:footnoteRef/>
      </w:r>
      <w:r>
        <w:t xml:space="preserve"> </w:t>
      </w:r>
      <w:r w:rsidR="00A433C6">
        <w:t>Shelby</w:t>
      </w:r>
      <w:r>
        <w:t xml:space="preserve"> Assignment Opposition at 1. </w:t>
      </w:r>
    </w:p>
  </w:footnote>
  <w:footnote w:id="40">
    <w:p w:rsidR="00EA6BC0" w:rsidP="00EA6BC0" w14:paraId="2009DB95" w14:textId="701FFFFE">
      <w:pPr>
        <w:pStyle w:val="FootnoteText"/>
        <w:jc w:val="left"/>
      </w:pPr>
      <w:r>
        <w:rPr>
          <w:rStyle w:val="FootnoteReference"/>
        </w:rPr>
        <w:footnoteRef/>
      </w:r>
      <w:r>
        <w:t xml:space="preserve"> Assignment Reply to </w:t>
      </w:r>
      <w:r w:rsidR="00A433C6">
        <w:t>Shelby</w:t>
      </w:r>
      <w:r>
        <w:t xml:space="preserve"> at 1-3.</w:t>
      </w:r>
    </w:p>
  </w:footnote>
  <w:footnote w:id="41">
    <w:p w:rsidR="00EA6BC0" w:rsidRPr="00643FAA" w:rsidP="00EA6BC0" w14:paraId="3539A0A5" w14:textId="77777777">
      <w:pPr>
        <w:pStyle w:val="FootnoteText"/>
        <w:jc w:val="left"/>
      </w:pPr>
      <w:r>
        <w:rPr>
          <w:rStyle w:val="FootnoteReference"/>
        </w:rPr>
        <w:footnoteRef/>
      </w:r>
      <w:r>
        <w:t xml:space="preserve"> </w:t>
      </w:r>
      <w:r>
        <w:rPr>
          <w:i/>
          <w:iCs/>
        </w:rPr>
        <w:t xml:space="preserve">Id. </w:t>
      </w:r>
      <w:r>
        <w:t>at 3-7.</w:t>
      </w:r>
    </w:p>
  </w:footnote>
  <w:footnote w:id="42">
    <w:p w:rsidR="00EA6BC0" w:rsidP="00EA6BC0" w14:paraId="7ED4B8A6" w14:textId="77777777">
      <w:pPr>
        <w:pStyle w:val="FootnoteText"/>
        <w:jc w:val="left"/>
      </w:pPr>
      <w:r>
        <w:rPr>
          <w:rStyle w:val="FootnoteReference"/>
        </w:rPr>
        <w:footnoteRef/>
      </w:r>
      <w:r>
        <w:t xml:space="preserve"> Rivera Assignment Opposition at 1 and Exh. 1.</w:t>
      </w:r>
    </w:p>
  </w:footnote>
  <w:footnote w:id="43">
    <w:p w:rsidR="00EA6BC0" w:rsidRPr="00626398" w:rsidP="00EA6BC0" w14:paraId="41BCA8EC" w14:textId="77777777">
      <w:pPr>
        <w:pStyle w:val="FootnoteText"/>
        <w:jc w:val="left"/>
      </w:pPr>
      <w:r>
        <w:rPr>
          <w:rStyle w:val="FootnoteReference"/>
        </w:rPr>
        <w:footnoteRef/>
      </w:r>
      <w:r>
        <w:t xml:space="preserve"> </w:t>
      </w:r>
      <w:r>
        <w:rPr>
          <w:i/>
          <w:iCs/>
        </w:rPr>
        <w:t>Id.</w:t>
      </w:r>
      <w:r>
        <w:t xml:space="preserve"> at 2.</w:t>
      </w:r>
    </w:p>
  </w:footnote>
  <w:footnote w:id="44">
    <w:p w:rsidR="00EA6BC0" w:rsidRPr="00354095" w:rsidP="00EA6BC0" w14:paraId="7DA93FDF" w14:textId="77777777">
      <w:pPr>
        <w:pStyle w:val="FootnoteText"/>
        <w:jc w:val="left"/>
      </w:pPr>
      <w:r>
        <w:rPr>
          <w:rStyle w:val="FootnoteReference"/>
        </w:rPr>
        <w:footnoteRef/>
      </w:r>
      <w:r>
        <w:t xml:space="preserve"> </w:t>
      </w:r>
      <w:r>
        <w:rPr>
          <w:i/>
          <w:iCs/>
        </w:rPr>
        <w:t xml:space="preserve">Id. </w:t>
      </w:r>
      <w:r>
        <w:t xml:space="preserve">at 2 and Exh. 2.  </w:t>
      </w:r>
      <w:r>
        <w:rPr>
          <w:i/>
          <w:iCs/>
        </w:rPr>
        <w:t xml:space="preserve">See also </w:t>
      </w:r>
      <w:r>
        <w:t>BSTA-20180720AAR.</w:t>
      </w:r>
    </w:p>
  </w:footnote>
  <w:footnote w:id="45">
    <w:p w:rsidR="00EA6BC0" w:rsidRPr="00A73594" w:rsidP="00EA6BC0" w14:paraId="61043B8E" w14:textId="77777777">
      <w:pPr>
        <w:pStyle w:val="FootnoteText"/>
        <w:jc w:val="left"/>
      </w:pPr>
      <w:r>
        <w:rPr>
          <w:rStyle w:val="FootnoteReference"/>
        </w:rPr>
        <w:footnoteRef/>
      </w:r>
      <w:r>
        <w:t xml:space="preserve"> </w:t>
      </w:r>
      <w:r>
        <w:rPr>
          <w:i/>
          <w:iCs/>
        </w:rPr>
        <w:t xml:space="preserve">Id. </w:t>
      </w:r>
      <w:r>
        <w:t>at 2.</w:t>
      </w:r>
    </w:p>
  </w:footnote>
  <w:footnote w:id="46">
    <w:p w:rsidR="00EA6BC0" w:rsidP="00EA6BC0" w14:paraId="7A6DA600" w14:textId="77777777">
      <w:pPr>
        <w:pStyle w:val="FootnoteText"/>
        <w:jc w:val="left"/>
      </w:pPr>
      <w:r>
        <w:rPr>
          <w:rStyle w:val="FootnoteReference"/>
        </w:rPr>
        <w:footnoteRef/>
      </w:r>
      <w:r>
        <w:t xml:space="preserve"> Assignment Reply to Rivera at 1-2.</w:t>
      </w:r>
    </w:p>
  </w:footnote>
  <w:footnote w:id="47">
    <w:p w:rsidR="00EA6BC0" w:rsidRPr="004E5382" w:rsidP="00EA6BC0" w14:paraId="5B865206" w14:textId="77777777">
      <w:pPr>
        <w:pStyle w:val="FootnoteText"/>
        <w:jc w:val="left"/>
      </w:pPr>
      <w:r>
        <w:rPr>
          <w:rStyle w:val="FootnoteReference"/>
        </w:rPr>
        <w:footnoteRef/>
      </w:r>
      <w:r>
        <w:t xml:space="preserve"> </w:t>
      </w:r>
      <w:r>
        <w:rPr>
          <w:i/>
          <w:iCs/>
        </w:rPr>
        <w:t xml:space="preserve">Id. </w:t>
      </w:r>
      <w:r>
        <w:t>at 2 and Exh. A.</w:t>
      </w:r>
    </w:p>
  </w:footnote>
  <w:footnote w:id="48">
    <w:p w:rsidR="00473124" w:rsidRPr="00674FAC" w:rsidP="00E23ACA" w14:paraId="57F1FB8E" w14:textId="77777777">
      <w:pPr>
        <w:pStyle w:val="FootnoteText"/>
        <w:jc w:val="left"/>
      </w:pPr>
      <w:r w:rsidRPr="00674FAC">
        <w:rPr>
          <w:rStyle w:val="FootnoteReference"/>
        </w:rPr>
        <w:footnoteRef/>
      </w:r>
      <w:r w:rsidRPr="00674FAC">
        <w:t xml:space="preserve"> 47 CFR § 1.106(b)(1).</w:t>
      </w:r>
    </w:p>
  </w:footnote>
  <w:footnote w:id="49">
    <w:p w:rsidR="00F87459" w:rsidRPr="00674FAC" w:rsidP="00E23ACA" w14:paraId="7838FF36" w14:textId="17775A45">
      <w:pPr>
        <w:pStyle w:val="FootnoteText"/>
        <w:jc w:val="left"/>
      </w:pPr>
      <w:r w:rsidRPr="00674FAC">
        <w:rPr>
          <w:rStyle w:val="FootnoteReference"/>
        </w:rPr>
        <w:footnoteRef/>
      </w:r>
      <w:r w:rsidRPr="00674FAC">
        <w:t xml:space="preserve"> 47 CFR </w:t>
      </w:r>
      <w:bookmarkStart w:id="0" w:name="_Hlk10208488"/>
      <w:r w:rsidRPr="00674FAC">
        <w:t>§</w:t>
      </w:r>
      <w:bookmarkEnd w:id="0"/>
      <w:r w:rsidRPr="00674FAC">
        <w:t xml:space="preserve"> 1.106(c)(1) (“In the case of any order other than an order denying an application for review, a petition for reconsideration . . . may be granted only [if] . . . the facts or arguments fall within one or more of the categories set forth in § 1.106(b)(2) . . .”).  </w:t>
      </w:r>
    </w:p>
  </w:footnote>
  <w:footnote w:id="50">
    <w:p w:rsidR="00F87459" w:rsidRPr="00674FAC" w:rsidP="00E23ACA" w14:paraId="3DA3B98C" w14:textId="1058F25E">
      <w:pPr>
        <w:spacing w:after="120"/>
        <w:rPr>
          <w:sz w:val="20"/>
        </w:rPr>
      </w:pPr>
      <w:r w:rsidRPr="00674FAC">
        <w:rPr>
          <w:rStyle w:val="FootnoteReference"/>
          <w:sz w:val="20"/>
        </w:rPr>
        <w:footnoteRef/>
      </w:r>
      <w:r w:rsidRPr="00674FAC">
        <w:rPr>
          <w:sz w:val="20"/>
        </w:rPr>
        <w:t xml:space="preserve"> 47 CFR § 1.106(b); s</w:t>
      </w:r>
      <w:r w:rsidRPr="00674FAC">
        <w:rPr>
          <w:i/>
          <w:sz w:val="20"/>
        </w:rPr>
        <w:t xml:space="preserve">ee also Coosa Valley News, Inc., c/o Mr. Thom Holt, Mr. Howard C. Toole, </w:t>
      </w:r>
      <w:r w:rsidRPr="00674FAC">
        <w:rPr>
          <w:sz w:val="20"/>
        </w:rPr>
        <w:t xml:space="preserve">Letter Order, 23 FCC Rcd 17310, 17313 (MB 2008); </w:t>
      </w:r>
      <w:r w:rsidRPr="00674FAC">
        <w:rPr>
          <w:i/>
          <w:iCs/>
          <w:sz w:val="20"/>
        </w:rPr>
        <w:t>WWIZ, Inc.</w:t>
      </w:r>
      <w:r w:rsidRPr="00674FAC">
        <w:rPr>
          <w:sz w:val="20"/>
        </w:rPr>
        <w:t xml:space="preserve">, Memorandum Opinion and Order, </w:t>
      </w:r>
      <w:hyperlink r:id="rId1" w:anchor="co_pp_sp_1016_686" w:history="1">
        <w:r w:rsidRPr="00674FAC">
          <w:rPr>
            <w:sz w:val="20"/>
          </w:rPr>
          <w:t>37 FCC Rcd 685, 686, para. 2 (1964)</w:t>
        </w:r>
      </w:hyperlink>
      <w:r w:rsidRPr="00674FAC">
        <w:rPr>
          <w:sz w:val="20"/>
        </w:rPr>
        <w:t xml:space="preserve">, </w:t>
      </w:r>
      <w:r w:rsidRPr="00674FAC">
        <w:rPr>
          <w:i/>
          <w:iCs/>
          <w:sz w:val="20"/>
        </w:rPr>
        <w:t xml:space="preserve">aff'd sub nom. </w:t>
      </w:r>
      <w:hyperlink r:id="rId2" w:history="1">
        <w:r w:rsidRPr="00674FAC">
          <w:rPr>
            <w:i/>
            <w:iCs/>
            <w:sz w:val="20"/>
          </w:rPr>
          <w:t>Lorain Journal Co. v. FCC</w:t>
        </w:r>
        <w:r w:rsidRPr="00674FAC">
          <w:rPr>
            <w:sz w:val="20"/>
          </w:rPr>
          <w:t>, 351 F.2d 824 (D.C. Cir. 1965)</w:t>
        </w:r>
      </w:hyperlink>
      <w:r w:rsidRPr="00674FAC">
        <w:rPr>
          <w:sz w:val="20"/>
        </w:rPr>
        <w:t xml:space="preserve">, </w:t>
      </w:r>
      <w:r w:rsidRPr="00674FAC">
        <w:rPr>
          <w:i/>
          <w:iCs/>
          <w:sz w:val="20"/>
        </w:rPr>
        <w:t>cert</w:t>
      </w:r>
      <w:r w:rsidR="000809F1">
        <w:rPr>
          <w:i/>
          <w:iCs/>
          <w:sz w:val="20"/>
        </w:rPr>
        <w:t>.</w:t>
      </w:r>
      <w:r w:rsidRPr="00674FAC">
        <w:rPr>
          <w:i/>
          <w:iCs/>
          <w:sz w:val="20"/>
        </w:rPr>
        <w:t xml:space="preserve"> denied</w:t>
      </w:r>
      <w:r w:rsidRPr="00674FAC">
        <w:rPr>
          <w:sz w:val="20"/>
        </w:rPr>
        <w:t>, 387 U.S. 967 (1966).</w:t>
      </w:r>
    </w:p>
  </w:footnote>
  <w:footnote w:id="51">
    <w:p w:rsidR="00CF4242" w:rsidRPr="00674FAC" w:rsidP="00E23ACA" w14:paraId="4F3B9A4E" w14:textId="5A5CFF7F">
      <w:pPr>
        <w:pStyle w:val="FootnoteText"/>
        <w:jc w:val="left"/>
      </w:pPr>
      <w:r w:rsidRPr="00674FAC">
        <w:rPr>
          <w:rStyle w:val="FootnoteReference"/>
        </w:rPr>
        <w:footnoteRef/>
      </w:r>
      <w:r w:rsidRPr="00674FAC">
        <w:t xml:space="preserve"> </w:t>
      </w:r>
      <w:r w:rsidR="000809F1">
        <w:rPr>
          <w:i/>
          <w:iCs/>
        </w:rPr>
        <w:t>Cf</w:t>
      </w:r>
      <w:r w:rsidRPr="00674FAC">
        <w:rPr>
          <w:i/>
          <w:iCs/>
        </w:rPr>
        <w:t>. New York Telephone Co</w:t>
      </w:r>
      <w:r w:rsidR="000809F1">
        <w:rPr>
          <w:i/>
          <w:iCs/>
        </w:rPr>
        <w:t>.</w:t>
      </w:r>
      <w:r w:rsidRPr="00674FAC">
        <w:t xml:space="preserve">, Memorandum Opinion and Order on Reconsideration, 6 FCC Rcd 3303, 3304 (1991), </w:t>
      </w:r>
      <w:r w:rsidRPr="00674FAC">
        <w:rPr>
          <w:i/>
          <w:iCs/>
        </w:rPr>
        <w:t>aff'd sub nom. New York State Department of Law v. FCC</w:t>
      </w:r>
      <w:r w:rsidRPr="00674FAC">
        <w:t xml:space="preserve">, 984 F.2d 1209 (D.C. Cir. 1993) (declining to dismiss a petition for reconsideration that did not satisfy the requirements of </w:t>
      </w:r>
      <w:r w:rsidR="00C179DF">
        <w:t>s</w:t>
      </w:r>
      <w:r w:rsidRPr="00674FAC">
        <w:t xml:space="preserve">ection 1.106(b)(1) because the public interest would be best served by “exercising our discretion to address petitioners' claims and clarify our action in this proceeding”); </w:t>
      </w:r>
      <w:r w:rsidRPr="00674FAC">
        <w:rPr>
          <w:i/>
          <w:iCs/>
        </w:rPr>
        <w:t>see generally</w:t>
      </w:r>
      <w:r w:rsidRPr="00674FAC">
        <w:t xml:space="preserve"> 47 CFR § 1.106(c)(2) (A procedurally-defective petition for reconsideration may be granted “if the Commission or the designated authority determines that consideration of the facts or arguments relied on is required in the public interest”).</w:t>
      </w:r>
      <w:r w:rsidR="00F50009">
        <w:t xml:space="preserve">  As shown above in note 3, the Renewal Application was returned to pending status in 2020.</w:t>
      </w:r>
    </w:p>
  </w:footnote>
  <w:footnote w:id="52">
    <w:p w:rsidR="00441008" w:rsidRPr="00674FAC" w:rsidP="00E23ACA" w14:paraId="646965B3" w14:textId="77777777">
      <w:pPr>
        <w:pStyle w:val="FootnoteText"/>
        <w:jc w:val="left"/>
      </w:pPr>
      <w:r w:rsidRPr="00674FAC">
        <w:rPr>
          <w:rStyle w:val="FootnoteReference"/>
        </w:rPr>
        <w:footnoteRef/>
      </w:r>
      <w:r w:rsidRPr="00674FAC">
        <w:rPr>
          <w:i/>
        </w:rPr>
        <w:t xml:space="preserve"> </w:t>
      </w:r>
      <w:r w:rsidRPr="00674FAC">
        <w:t>47 U.S.C. § 309(k).</w:t>
      </w:r>
    </w:p>
  </w:footnote>
  <w:footnote w:id="53">
    <w:p w:rsidR="00441008" w:rsidRPr="00674FAC" w:rsidP="00E23ACA" w14:paraId="3A6F6908" w14:textId="77777777">
      <w:pPr>
        <w:pStyle w:val="FootnoteText"/>
        <w:jc w:val="left"/>
      </w:pPr>
      <w:r w:rsidRPr="00674FAC">
        <w:rPr>
          <w:rStyle w:val="FootnoteReference"/>
        </w:rPr>
        <w:footnoteRef/>
      </w:r>
      <w:r w:rsidRPr="00674FAC">
        <w:t xml:space="preserve"> 47 U.S.C. § 309(k)(1).  </w:t>
      </w:r>
    </w:p>
  </w:footnote>
  <w:footnote w:id="54">
    <w:p w:rsidR="00441008" w:rsidRPr="00674FAC" w:rsidP="00E23ACA" w14:paraId="5F1D2C0D" w14:textId="77777777">
      <w:pPr>
        <w:pStyle w:val="FootnoteText"/>
        <w:jc w:val="left"/>
      </w:pPr>
      <w:r w:rsidRPr="00674FAC">
        <w:rPr>
          <w:rStyle w:val="FootnoteReference"/>
        </w:rPr>
        <w:footnoteRef/>
      </w:r>
      <w:r w:rsidRPr="00674FAC">
        <w:t xml:space="preserve"> 47 U.S.C. §§ 309(k)(2), 309(k)(3).</w:t>
      </w:r>
    </w:p>
  </w:footnote>
  <w:footnote w:id="55">
    <w:p w:rsidR="00441008" w:rsidRPr="00674FAC" w:rsidP="00E23ACA" w14:paraId="7D2FC7E2" w14:textId="77777777">
      <w:pPr>
        <w:pStyle w:val="FootnoteText"/>
        <w:jc w:val="left"/>
      </w:pPr>
      <w:r w:rsidRPr="00674FAC">
        <w:rPr>
          <w:rStyle w:val="FootnoteReference"/>
        </w:rPr>
        <w:footnoteRef/>
      </w:r>
      <w:r w:rsidRPr="00674FAC">
        <w:t xml:space="preserve"> 47 U.S.C. § 312(g).</w:t>
      </w:r>
    </w:p>
  </w:footnote>
  <w:footnote w:id="56">
    <w:p w:rsidR="00441008" w:rsidRPr="00674FAC" w:rsidP="00E23ACA" w14:paraId="2D142F26" w14:textId="77E26473">
      <w:pPr>
        <w:pStyle w:val="FootnoteText"/>
        <w:jc w:val="left"/>
      </w:pPr>
      <w:r w:rsidRPr="00674FAC">
        <w:rPr>
          <w:rStyle w:val="FootnoteReference"/>
        </w:rPr>
        <w:footnoteRef/>
      </w:r>
      <w:r w:rsidRPr="00674FAC">
        <w:t xml:space="preserve"> </w:t>
      </w:r>
      <w:r w:rsidRPr="00674FAC">
        <w:rPr>
          <w:i/>
        </w:rPr>
        <w:t xml:space="preserve">See </w:t>
      </w:r>
      <w:r w:rsidRPr="008C7255" w:rsidR="00355683">
        <w:rPr>
          <w:i/>
          <w:iCs/>
        </w:rPr>
        <w:t>Eagle Broad</w:t>
      </w:r>
      <w:r w:rsidR="00355683">
        <w:rPr>
          <w:i/>
          <w:iCs/>
        </w:rPr>
        <w:t>.</w:t>
      </w:r>
      <w:r w:rsidRPr="008C7255" w:rsidR="00355683">
        <w:rPr>
          <w:i/>
          <w:iCs/>
        </w:rPr>
        <w:t xml:space="preserve"> Group, Ltd.</w:t>
      </w:r>
      <w:r w:rsidRPr="008C7255" w:rsidR="00355683">
        <w:t>, Memorandum Opinion and Order, 23 FCC Rcd 588, 592, para. 9 (2008)</w:t>
      </w:r>
      <w:r w:rsidR="00355683">
        <w:t xml:space="preserve"> (</w:t>
      </w:r>
      <w:r w:rsidR="00355683">
        <w:rPr>
          <w:i/>
          <w:iCs/>
        </w:rPr>
        <w:t>Eagle</w:t>
      </w:r>
      <w:r w:rsidR="00355683">
        <w:t>)</w:t>
      </w:r>
      <w:r w:rsidRPr="008C7255" w:rsidR="00355683">
        <w:t xml:space="preserve">, </w:t>
      </w:r>
      <w:r w:rsidRPr="008C7255" w:rsidR="00355683">
        <w:rPr>
          <w:i/>
          <w:iCs/>
        </w:rPr>
        <w:t>aff’d by Eagle Broad</w:t>
      </w:r>
      <w:r w:rsidR="00355683">
        <w:rPr>
          <w:i/>
          <w:iCs/>
        </w:rPr>
        <w:t>.</w:t>
      </w:r>
      <w:r w:rsidRPr="008C7255" w:rsidR="00355683">
        <w:rPr>
          <w:i/>
          <w:iCs/>
        </w:rPr>
        <w:t xml:space="preserve"> Group, Ltd. v. FCC</w:t>
      </w:r>
      <w:r w:rsidRPr="008C7255" w:rsidR="00355683">
        <w:t>, 563 F.3d 543 (D.C. Cir. 2009)</w:t>
      </w:r>
      <w:r w:rsidRPr="00674FAC">
        <w:t xml:space="preserve"> (“Under the statute, unauthorized and unlicensed transmissions are no better than silence”)</w:t>
      </w:r>
      <w:r w:rsidRPr="00674FAC">
        <w:rPr>
          <w:i/>
        </w:rPr>
        <w:t xml:space="preserve">; </w:t>
      </w:r>
      <w:r w:rsidRPr="000E2199" w:rsidR="00E635F3">
        <w:rPr>
          <w:i/>
          <w:iCs/>
        </w:rPr>
        <w:t>Absolute Broad. LLC</w:t>
      </w:r>
      <w:r w:rsidRPr="000E2199" w:rsidR="00E635F3">
        <w:t>, Memorandum Opinion and Order, FCC-23-38 at 8, para. 18 (2023)</w:t>
      </w:r>
      <w:r w:rsidR="00F425A0">
        <w:t xml:space="preserve"> (</w:t>
      </w:r>
      <w:r w:rsidR="00F425A0">
        <w:rPr>
          <w:i/>
          <w:iCs/>
        </w:rPr>
        <w:t>Absolute</w:t>
      </w:r>
      <w:r w:rsidR="00564537">
        <w:t>)</w:t>
      </w:r>
      <w:r w:rsidRPr="000E2199" w:rsidR="00E635F3">
        <w:t>.</w:t>
      </w:r>
    </w:p>
  </w:footnote>
  <w:footnote w:id="57">
    <w:p w:rsidR="008F187E" w:rsidRPr="00674FAC" w:rsidP="00E23ACA" w14:paraId="26D7A8D9" w14:textId="68D89F2D">
      <w:pPr>
        <w:pStyle w:val="FootnoteText"/>
        <w:jc w:val="left"/>
      </w:pPr>
      <w:r w:rsidRPr="00674FAC">
        <w:rPr>
          <w:rStyle w:val="FootnoteReference"/>
        </w:rPr>
        <w:footnoteRef/>
      </w:r>
      <w:r w:rsidRPr="00674FAC">
        <w:t xml:space="preserve"> </w:t>
      </w:r>
      <w:r w:rsidRPr="00674FAC">
        <w:rPr>
          <w:i/>
          <w:iCs/>
        </w:rPr>
        <w:t xml:space="preserve">See </w:t>
      </w:r>
      <w:r w:rsidR="00CF5797">
        <w:t xml:space="preserve">2018 Complaint </w:t>
      </w:r>
      <w:r w:rsidRPr="00674FAC" w:rsidR="00BF503D">
        <w:t xml:space="preserve">Opposition at </w:t>
      </w:r>
      <w:r w:rsidRPr="00674FAC" w:rsidR="00A73575">
        <w:t xml:space="preserve">2 and </w:t>
      </w:r>
      <w:r w:rsidR="00DD086D">
        <w:t>Exh.</w:t>
      </w:r>
      <w:r w:rsidRPr="00674FAC" w:rsidR="00A73575">
        <w:t xml:space="preserve"> 1 Decl. of Lee Reynolds.  </w:t>
      </w:r>
      <w:r w:rsidRPr="00674FAC" w:rsidR="00A73575">
        <w:rPr>
          <w:i/>
          <w:iCs/>
        </w:rPr>
        <w:t xml:space="preserve">See also </w:t>
      </w:r>
      <w:r w:rsidRPr="00674FAC" w:rsidR="006C2419">
        <w:t xml:space="preserve">2018 </w:t>
      </w:r>
      <w:r w:rsidR="00946A0A">
        <w:t>Complaint</w:t>
      </w:r>
      <w:r w:rsidRPr="00674FAC" w:rsidR="00946A0A">
        <w:t xml:space="preserve"> </w:t>
      </w:r>
      <w:r w:rsidRPr="00674FAC" w:rsidR="00267CB0">
        <w:t>at 4-6</w:t>
      </w:r>
      <w:r w:rsidRPr="00674FAC" w:rsidR="006C2419">
        <w:t>,</w:t>
      </w:r>
      <w:r w:rsidRPr="00674FAC" w:rsidR="00CE17C7">
        <w:t xml:space="preserve"> </w:t>
      </w:r>
      <w:r w:rsidR="00DD086D">
        <w:t>Exh</w:t>
      </w:r>
      <w:r w:rsidR="00DD086D">
        <w:t>.</w:t>
      </w:r>
      <w:r w:rsidRPr="00674FAC" w:rsidR="007341F4">
        <w:t xml:space="preserve"> 2 Statement of Frank L. Giardina</w:t>
      </w:r>
      <w:r w:rsidRPr="00674FAC" w:rsidR="005C3EB4">
        <w:t>,</w:t>
      </w:r>
      <w:r w:rsidRPr="00674FAC" w:rsidR="00627F83">
        <w:t xml:space="preserve"> and </w:t>
      </w:r>
      <w:r w:rsidR="00DD086D">
        <w:t>Exh.</w:t>
      </w:r>
      <w:r w:rsidRPr="00674FAC" w:rsidR="00627F83">
        <w:t xml:space="preserve"> 3 Statement of Larry Wilkins.</w:t>
      </w:r>
    </w:p>
  </w:footnote>
  <w:footnote w:id="58">
    <w:p w:rsidR="00022974" w:rsidRPr="00674FAC" w:rsidP="00E23ACA" w14:paraId="6E7FE49C" w14:textId="209ED578">
      <w:pPr>
        <w:shd w:val="clear" w:color="auto" w:fill="FFFFFF"/>
        <w:spacing w:after="120"/>
        <w:textAlignment w:val="baseline"/>
        <w:rPr>
          <w:i/>
          <w:iCs/>
          <w:sz w:val="20"/>
        </w:rPr>
      </w:pPr>
      <w:r w:rsidRPr="00674FAC">
        <w:rPr>
          <w:rStyle w:val="FootnoteReference"/>
          <w:sz w:val="20"/>
        </w:rPr>
        <w:footnoteRef/>
      </w:r>
      <w:r w:rsidRPr="00674FAC">
        <w:rPr>
          <w:sz w:val="20"/>
        </w:rPr>
        <w:t xml:space="preserve"> </w:t>
      </w:r>
      <w:r w:rsidRPr="00722EE5" w:rsidR="005915D2">
        <w:rPr>
          <w:i/>
          <w:iCs/>
          <w:sz w:val="20"/>
        </w:rPr>
        <w:t xml:space="preserve">See Absolute, </w:t>
      </w:r>
      <w:r w:rsidRPr="00722EE5" w:rsidR="005915D2">
        <w:rPr>
          <w:sz w:val="20"/>
        </w:rPr>
        <w:t xml:space="preserve">FCC 23-38 at 8-9, para. 19 (citing </w:t>
      </w:r>
      <w:r w:rsidRPr="00722EE5" w:rsidR="005915D2">
        <w:rPr>
          <w:i/>
          <w:iCs/>
          <w:sz w:val="20"/>
        </w:rPr>
        <w:t>Zwerling Broad. System, Ltd</w:t>
      </w:r>
      <w:r w:rsidRPr="00722EE5" w:rsidR="005915D2">
        <w:rPr>
          <w:sz w:val="20"/>
        </w:rPr>
        <w:t xml:space="preserve">, Forfeiture Order, DA 22-1318 (MB Dec. 15, 2022) (imposing a forfeiture on an AM station for years of “non-conforming operations,” including exceeding its authorized nighttime power limit)); </w:t>
      </w:r>
      <w:r w:rsidRPr="00722EE5" w:rsidR="005915D2">
        <w:rPr>
          <w:i/>
          <w:iCs/>
          <w:sz w:val="20"/>
        </w:rPr>
        <w:t>Low Power Television Stations KRLB-LD, Richland, WA, et al.</w:t>
      </w:r>
      <w:r w:rsidRPr="00722EE5" w:rsidR="005915D2">
        <w:rPr>
          <w:sz w:val="20"/>
        </w:rPr>
        <w:t xml:space="preserve">, Memorandum Opinion and Order and Notice of Apparent Liability for Forfeiture, DA 22-1058 (MB Oct. 4, 2022) (imposing a forfeiture on low power TV stations for years of “unauthorized operation” after failing to file applications for licenses to cover after the expiration of the underlying construction permits); </w:t>
      </w:r>
      <w:r w:rsidRPr="00722EE5" w:rsidR="005915D2">
        <w:rPr>
          <w:i/>
          <w:iCs/>
          <w:sz w:val="20"/>
        </w:rPr>
        <w:t>Roy E. Henderson</w:t>
      </w:r>
      <w:r w:rsidRPr="00722EE5" w:rsidR="005915D2">
        <w:rPr>
          <w:sz w:val="20"/>
        </w:rPr>
        <w:t>, Forfeiture Order, Memorandum Opinion and Order and Notice of Apparent Liability for Forfeiture, 33 FCC Rcd 5223 (MB 2018) (</w:t>
      </w:r>
      <w:r w:rsidRPr="00722EE5" w:rsidR="005915D2">
        <w:rPr>
          <w:i/>
          <w:iCs/>
          <w:sz w:val="20"/>
        </w:rPr>
        <w:t>Henderson</w:t>
      </w:r>
      <w:r w:rsidRPr="00722EE5" w:rsidR="005915D2">
        <w:rPr>
          <w:sz w:val="20"/>
        </w:rPr>
        <w:t xml:space="preserve">) (imposing a forfeiture on an FM licensee for “unauthorized operation with non-conforming facilities” for more than a year, specifically, an unauthorized power reduction, while finding that the station had not expired under </w:t>
      </w:r>
      <w:r w:rsidR="009A0BC4">
        <w:rPr>
          <w:sz w:val="20"/>
        </w:rPr>
        <w:t>s</w:t>
      </w:r>
      <w:r w:rsidRPr="00722EE5" w:rsidR="005915D2">
        <w:rPr>
          <w:sz w:val="20"/>
        </w:rPr>
        <w:t>ection 312(g)).</w:t>
      </w:r>
      <w:r w:rsidRPr="00047D42" w:rsidR="005915D2">
        <w:t xml:space="preserve">  </w:t>
      </w:r>
      <w:r w:rsidR="00163B1C">
        <w:rPr>
          <w:sz w:val="20"/>
        </w:rPr>
        <w:t xml:space="preserve"> </w:t>
      </w:r>
      <w:r w:rsidR="00460B8F">
        <w:rPr>
          <w:sz w:val="20"/>
        </w:rPr>
        <w:t xml:space="preserve"> </w:t>
      </w:r>
    </w:p>
  </w:footnote>
  <w:footnote w:id="59">
    <w:p w:rsidR="00360E5E" w:rsidP="006D0591" w14:paraId="4BDE1408" w14:textId="30ABE56A">
      <w:pPr>
        <w:shd w:val="clear" w:color="auto" w:fill="FFFFFF"/>
        <w:spacing w:after="120"/>
        <w:textAlignment w:val="baseline"/>
      </w:pPr>
      <w:r>
        <w:rPr>
          <w:rStyle w:val="FootnoteReference"/>
        </w:rPr>
        <w:footnoteRef/>
      </w:r>
      <w:r>
        <w:t xml:space="preserve"> </w:t>
      </w:r>
      <w:r w:rsidRPr="00004215" w:rsidR="005915D2">
        <w:rPr>
          <w:i/>
          <w:iCs/>
          <w:sz w:val="20"/>
        </w:rPr>
        <w:t xml:space="preserve">Compare </w:t>
      </w:r>
      <w:r w:rsidRPr="00004215" w:rsidR="005915D2">
        <w:rPr>
          <w:i/>
          <w:iCs/>
          <w:sz w:val="20"/>
          <w:bdr w:val="none" w:sz="0" w:space="0" w:color="auto" w:frame="1"/>
        </w:rPr>
        <w:t>Henderson</w:t>
      </w:r>
      <w:r w:rsidRPr="00004215" w:rsidR="005915D2">
        <w:rPr>
          <w:sz w:val="20"/>
        </w:rPr>
        <w:t xml:space="preserve"> (finding monetary forfeiture, not license cancellation, was warranted for unauthorized operations at variance from the station license where, </w:t>
      </w:r>
      <w:r w:rsidRPr="00004215" w:rsidR="005915D2">
        <w:rPr>
          <w:i/>
          <w:sz w:val="20"/>
        </w:rPr>
        <w:t>inter alia</w:t>
      </w:r>
      <w:r w:rsidRPr="00004215" w:rsidR="005915D2">
        <w:rPr>
          <w:sz w:val="20"/>
        </w:rPr>
        <w:t xml:space="preserve">, licensee remained at its authorized site) </w:t>
      </w:r>
      <w:r w:rsidRPr="00004215" w:rsidR="005915D2">
        <w:rPr>
          <w:i/>
          <w:iCs/>
          <w:sz w:val="20"/>
        </w:rPr>
        <w:t xml:space="preserve">and </w:t>
      </w:r>
      <w:r w:rsidRPr="00004215" w:rsidR="005915D2">
        <w:rPr>
          <w:i/>
          <w:sz w:val="20"/>
        </w:rPr>
        <w:t>John L. White,</w:t>
      </w:r>
      <w:r w:rsidRPr="00004215" w:rsidR="005915D2">
        <w:rPr>
          <w:sz w:val="20"/>
        </w:rPr>
        <w:t xml:space="preserve"> Notice of Apparent </w:t>
      </w:r>
      <w:r w:rsidRPr="009011D4" w:rsidR="005915D2">
        <w:rPr>
          <w:sz w:val="20"/>
        </w:rPr>
        <w:t>Liability</w:t>
      </w:r>
      <w:r w:rsidRPr="00004215" w:rsidR="005915D2">
        <w:rPr>
          <w:sz w:val="20"/>
        </w:rPr>
        <w:t xml:space="preserve"> for Forfeiture and Order, 24 FCC Rcd 12541 (MB 2009) (</w:t>
      </w:r>
      <w:r w:rsidRPr="00004215" w:rsidR="005915D2">
        <w:rPr>
          <w:i/>
          <w:iCs/>
          <w:sz w:val="20"/>
        </w:rPr>
        <w:t>White</w:t>
      </w:r>
      <w:r w:rsidRPr="00004215" w:rsidR="005915D2">
        <w:rPr>
          <w:sz w:val="20"/>
        </w:rPr>
        <w:t xml:space="preserve">), </w:t>
      </w:r>
      <w:r w:rsidRPr="00004215" w:rsidR="005915D2">
        <w:rPr>
          <w:i/>
          <w:iCs/>
          <w:sz w:val="20"/>
        </w:rPr>
        <w:t>with</w:t>
      </w:r>
      <w:r w:rsidRPr="00004215" w:rsidR="005915D2">
        <w:rPr>
          <w:i/>
          <w:iCs/>
          <w:sz w:val="20"/>
          <w:bdr w:val="none" w:sz="0" w:space="0" w:color="auto" w:frame="1"/>
          <w:shd w:val="clear" w:color="auto" w:fill="FFFFFF"/>
        </w:rPr>
        <w:t xml:space="preserve"> Great Lakes Community Broad</w:t>
      </w:r>
      <w:r w:rsidRPr="00004215" w:rsidR="00004215">
        <w:rPr>
          <w:i/>
          <w:iCs/>
          <w:sz w:val="20"/>
          <w:bdr w:val="none" w:sz="0" w:space="0" w:color="auto" w:frame="1"/>
          <w:shd w:val="clear" w:color="auto" w:fill="FFFFFF"/>
        </w:rPr>
        <w:t>.</w:t>
      </w:r>
      <w:r w:rsidRPr="00004215" w:rsidR="005915D2">
        <w:rPr>
          <w:i/>
          <w:iCs/>
          <w:sz w:val="20"/>
          <w:bdr w:val="none" w:sz="0" w:space="0" w:color="auto" w:frame="1"/>
          <w:shd w:val="clear" w:color="auto" w:fill="FFFFFF"/>
        </w:rPr>
        <w:t>, Inc.</w:t>
      </w:r>
      <w:r w:rsidRPr="00004215" w:rsidR="005915D2">
        <w:rPr>
          <w:sz w:val="20"/>
          <w:shd w:val="clear" w:color="auto" w:fill="FFFFFF"/>
        </w:rPr>
        <w:t>, Memorandum Opinion and Order, </w:t>
      </w:r>
      <w:r w:rsidRPr="00004215" w:rsidR="005915D2">
        <w:rPr>
          <w:sz w:val="20"/>
          <w:bdr w:val="none" w:sz="0" w:space="0" w:color="auto" w:frame="1"/>
          <w:shd w:val="clear" w:color="auto" w:fill="FFFFFF"/>
        </w:rPr>
        <w:t>24 FCC Rcd 8239 (MB 2009)</w:t>
      </w:r>
      <w:r w:rsidR="00004215">
        <w:rPr>
          <w:sz w:val="20"/>
          <w:bdr w:val="none" w:sz="0" w:space="0" w:color="auto" w:frame="1"/>
          <w:shd w:val="clear" w:color="auto" w:fill="FFFFFF"/>
        </w:rPr>
        <w:t>,</w:t>
      </w:r>
      <w:r w:rsidRPr="00004215" w:rsidR="005915D2">
        <w:rPr>
          <w:sz w:val="20"/>
          <w:bdr w:val="none" w:sz="0" w:space="0" w:color="auto" w:frame="1"/>
          <w:shd w:val="clear" w:color="auto" w:fill="FFFFFF"/>
        </w:rPr>
        <w:t xml:space="preserve"> </w:t>
      </w:r>
      <w:r w:rsidRPr="00004215" w:rsidR="005915D2">
        <w:rPr>
          <w:i/>
          <w:iCs/>
          <w:sz w:val="20"/>
          <w:bdr w:val="none" w:sz="0" w:space="0" w:color="auto" w:frame="1"/>
          <w:shd w:val="clear" w:color="auto" w:fill="FFFFFF"/>
        </w:rPr>
        <w:t xml:space="preserve">and </w:t>
      </w:r>
      <w:r w:rsidRPr="00004215" w:rsidR="005915D2">
        <w:rPr>
          <w:rStyle w:val="Emphasis"/>
          <w:sz w:val="20"/>
          <w:bdr w:val="none" w:sz="0" w:space="0" w:color="auto" w:frame="1"/>
          <w:shd w:val="clear" w:color="auto" w:fill="FFFFFF"/>
        </w:rPr>
        <w:t>A-O Broad</w:t>
      </w:r>
      <w:r w:rsidRPr="00004215" w:rsidR="00004215">
        <w:rPr>
          <w:rStyle w:val="Emphasis"/>
          <w:sz w:val="20"/>
          <w:bdr w:val="none" w:sz="0" w:space="0" w:color="auto" w:frame="1"/>
          <w:shd w:val="clear" w:color="auto" w:fill="FFFFFF"/>
        </w:rPr>
        <w:t>.</w:t>
      </w:r>
      <w:r w:rsidRPr="00004215" w:rsidR="005915D2">
        <w:rPr>
          <w:rStyle w:val="Emphasis"/>
          <w:sz w:val="20"/>
          <w:bdr w:val="none" w:sz="0" w:space="0" w:color="auto" w:frame="1"/>
          <w:shd w:val="clear" w:color="auto" w:fill="FFFFFF"/>
        </w:rPr>
        <w:t xml:space="preserve"> Corp.</w:t>
      </w:r>
      <w:r w:rsidRPr="00004215" w:rsidR="005915D2">
        <w:rPr>
          <w:sz w:val="20"/>
          <w:shd w:val="clear" w:color="auto" w:fill="FFFFFF"/>
        </w:rPr>
        <w:t>, Memorandum Opinion and Order, </w:t>
      </w:r>
      <w:hyperlink r:id="rId3" w:history="1">
        <w:r w:rsidRPr="00004215" w:rsidR="005915D2">
          <w:rPr>
            <w:rStyle w:val="Hyperlink"/>
            <w:color w:val="auto"/>
            <w:sz w:val="20"/>
            <w:u w:val="none"/>
            <w:bdr w:val="none" w:sz="0" w:space="0" w:color="auto" w:frame="1"/>
            <w:shd w:val="clear" w:color="auto" w:fill="FFFFFF"/>
          </w:rPr>
          <w:t>23 FCC Rcd 603 (2008)</w:t>
        </w:r>
      </w:hyperlink>
      <w:r w:rsidRPr="00EA1B73" w:rsidR="005915D2">
        <w:rPr>
          <w:rFonts w:ascii="Source Sans Pro" w:hAnsi="Source Sans Pro"/>
          <w:sz w:val="20"/>
          <w:shd w:val="clear" w:color="auto" w:fill="FFFFFF"/>
        </w:rPr>
        <w:t> </w:t>
      </w:r>
      <w:r w:rsidRPr="00004215" w:rsidR="005915D2">
        <w:rPr>
          <w:sz w:val="20"/>
        </w:rPr>
        <w:t xml:space="preserve">(finding cancellation appropriate when unauthorized operations at variance from the station license were, </w:t>
      </w:r>
      <w:r w:rsidRPr="00004215" w:rsidR="005915D2">
        <w:rPr>
          <w:i/>
          <w:iCs/>
          <w:sz w:val="20"/>
        </w:rPr>
        <w:t>inter alia</w:t>
      </w:r>
      <w:r w:rsidRPr="00004215" w:rsidR="005915D2">
        <w:rPr>
          <w:sz w:val="20"/>
        </w:rPr>
        <w:t>, at a different location than the authorized site).</w:t>
      </w:r>
    </w:p>
  </w:footnote>
  <w:footnote w:id="60">
    <w:p w:rsidR="00441008" w:rsidRPr="00674FAC" w:rsidP="00E23ACA" w14:paraId="4DAC02A4" w14:textId="52E74668">
      <w:pPr>
        <w:pStyle w:val="FootnoteText"/>
        <w:jc w:val="left"/>
      </w:pPr>
      <w:r w:rsidRPr="00674FAC">
        <w:rPr>
          <w:rStyle w:val="FootnoteReference"/>
        </w:rPr>
        <w:footnoteRef/>
      </w:r>
      <w:r w:rsidRPr="00674FAC">
        <w:t xml:space="preserve"> </w:t>
      </w:r>
      <w:r w:rsidRPr="00674FAC">
        <w:rPr>
          <w:i/>
        </w:rPr>
        <w:t xml:space="preserve">See </w:t>
      </w:r>
      <w:r w:rsidRPr="00674FAC">
        <w:t xml:space="preserve">47 U.S.C. </w:t>
      </w:r>
      <w:r w:rsidRPr="00674FAC" w:rsidR="00722EE5">
        <w:t>§</w:t>
      </w:r>
      <w:r w:rsidR="00722EE5">
        <w:t xml:space="preserve"> </w:t>
      </w:r>
      <w:r w:rsidRPr="00674FAC">
        <w:t xml:space="preserve">301; 47 CFR § 73.1350. </w:t>
      </w:r>
    </w:p>
  </w:footnote>
  <w:footnote w:id="61">
    <w:p w:rsidR="00441008" w:rsidRPr="00674FAC" w:rsidP="00E23ACA" w14:paraId="5AEE30C8" w14:textId="77777777">
      <w:pPr>
        <w:pStyle w:val="FootnoteText"/>
        <w:jc w:val="left"/>
      </w:pPr>
      <w:r w:rsidRPr="00674FAC">
        <w:rPr>
          <w:rStyle w:val="FootnoteReference"/>
        </w:rPr>
        <w:footnoteRef/>
      </w:r>
      <w:r w:rsidRPr="00674FAC">
        <w:t xml:space="preserve"> 47 CFR § 73.1745(a).</w:t>
      </w:r>
    </w:p>
  </w:footnote>
  <w:footnote w:id="62">
    <w:p w:rsidR="00441008" w:rsidRPr="00674FAC" w:rsidP="00E23ACA" w14:paraId="7ED25560" w14:textId="30D39694">
      <w:pPr>
        <w:pStyle w:val="FootnoteText"/>
        <w:jc w:val="left"/>
      </w:pPr>
      <w:r w:rsidRPr="00674FAC">
        <w:rPr>
          <w:rStyle w:val="FootnoteReference"/>
        </w:rPr>
        <w:footnoteRef/>
      </w:r>
      <w:r w:rsidRPr="00674FAC">
        <w:t xml:space="preserve"> 47 CFR § </w:t>
      </w:r>
      <w:r w:rsidRPr="00725BF0" w:rsidR="00725BF0">
        <w:t>73.1635</w:t>
      </w:r>
      <w:r w:rsidRPr="00674FAC">
        <w:t>.</w:t>
      </w:r>
    </w:p>
  </w:footnote>
  <w:footnote w:id="63">
    <w:p w:rsidR="00441008" w:rsidRPr="00674FAC" w:rsidP="00E23ACA" w14:paraId="66223337" w14:textId="2D2AC1D9">
      <w:pPr>
        <w:pStyle w:val="FootnoteText"/>
        <w:jc w:val="left"/>
      </w:pPr>
      <w:r w:rsidRPr="00674FAC">
        <w:rPr>
          <w:rStyle w:val="FootnoteReference"/>
        </w:rPr>
        <w:footnoteRef/>
      </w:r>
      <w:r w:rsidRPr="00674FAC">
        <w:t xml:space="preserve"> </w:t>
      </w:r>
      <w:r w:rsidR="007A677F">
        <w:rPr>
          <w:szCs w:val="22"/>
        </w:rPr>
        <w:t xml:space="preserve">47 CFR </w:t>
      </w:r>
      <w:r w:rsidRPr="00BE16BC" w:rsidR="007A677F">
        <w:rPr>
          <w:szCs w:val="22"/>
        </w:rPr>
        <w:t>73.1740(a)(4</w:t>
      </w:r>
      <w:r w:rsidR="007A677F">
        <w:rPr>
          <w:szCs w:val="22"/>
        </w:rPr>
        <w:t>);</w:t>
      </w:r>
      <w:r w:rsidRPr="0069667D" w:rsidR="007A677F">
        <w:t xml:space="preserve"> </w:t>
      </w:r>
      <w:r w:rsidRPr="00674FAC">
        <w:rPr>
          <w:i/>
        </w:rPr>
        <w:t>South Seas Broad. Inc</w:t>
      </w:r>
      <w:r w:rsidRPr="00674FAC">
        <w:t>., Memorandum Opinion and Order and Notice of Apparent Liability, 23 FCC Rcd 6474, para 2. (MB 2008).</w:t>
      </w:r>
    </w:p>
  </w:footnote>
  <w:footnote w:id="64">
    <w:p w:rsidR="007E0579" w:rsidP="00E23ACA" w14:paraId="584D46D6" w14:textId="4AA3D7B9">
      <w:pPr>
        <w:pStyle w:val="FootnoteText"/>
        <w:jc w:val="left"/>
      </w:pPr>
      <w:r>
        <w:rPr>
          <w:rStyle w:val="FootnoteReference"/>
        </w:rPr>
        <w:footnoteRef/>
      </w:r>
      <w:r>
        <w:t xml:space="preserve"> </w:t>
      </w:r>
      <w:r w:rsidR="0016299A">
        <w:t xml:space="preserve">2018 Complaint </w:t>
      </w:r>
      <w:r w:rsidR="0065224C">
        <w:t>Opposition</w:t>
      </w:r>
      <w:r>
        <w:t xml:space="preserve"> at 3, para. 3.</w:t>
      </w:r>
    </w:p>
  </w:footnote>
  <w:footnote w:id="65">
    <w:p w:rsidR="00766354" w:rsidP="00E23ACA" w14:paraId="10658E2C" w14:textId="5D4EF462">
      <w:pPr>
        <w:pStyle w:val="FootnoteText"/>
        <w:jc w:val="left"/>
      </w:pPr>
      <w:r>
        <w:rPr>
          <w:rStyle w:val="FootnoteReference"/>
        </w:rPr>
        <w:footnoteRef/>
      </w:r>
      <w:r>
        <w:t xml:space="preserve"> </w:t>
      </w:r>
      <w:r w:rsidR="00917F9C">
        <w:t>2015 STA Application</w:t>
      </w:r>
      <w:r>
        <w:t xml:space="preserve">, </w:t>
      </w:r>
      <w:r w:rsidR="00DD086D">
        <w:t>Exh.</w:t>
      </w:r>
      <w:r>
        <w:t xml:space="preserve"> 12.</w:t>
      </w:r>
      <w:r w:rsidR="00C57ABA">
        <w:t xml:space="preserve">  </w:t>
      </w:r>
    </w:p>
  </w:footnote>
  <w:footnote w:id="66">
    <w:p w:rsidR="00AA796E" w:rsidRPr="00F62116" w:rsidP="00E23ACA" w14:paraId="5542DA7B" w14:textId="3037A8B0">
      <w:pPr>
        <w:pStyle w:val="FootnoteText"/>
        <w:jc w:val="left"/>
      </w:pPr>
      <w:r>
        <w:rPr>
          <w:rStyle w:val="FootnoteReference"/>
        </w:rPr>
        <w:footnoteRef/>
      </w:r>
      <w:r>
        <w:t xml:space="preserve"> </w:t>
      </w:r>
      <w:r w:rsidR="00766354">
        <w:rPr>
          <w:i/>
          <w:iCs/>
        </w:rPr>
        <w:t>Id.</w:t>
      </w:r>
      <w:r w:rsidR="009A11C5">
        <w:t xml:space="preserve"> </w:t>
      </w:r>
      <w:r w:rsidR="00766354">
        <w:t xml:space="preserve">at </w:t>
      </w:r>
      <w:r w:rsidR="006F6F51">
        <w:t>Exh.</w:t>
      </w:r>
      <w:r w:rsidR="009A11C5">
        <w:t xml:space="preserve"> 11.</w:t>
      </w:r>
    </w:p>
  </w:footnote>
  <w:footnote w:id="67">
    <w:p w:rsidR="002760BE" w:rsidP="00E23ACA" w14:paraId="14B34315" w14:textId="7A24C59D">
      <w:pPr>
        <w:pStyle w:val="FootnoteText"/>
        <w:jc w:val="left"/>
      </w:pPr>
      <w:r>
        <w:rPr>
          <w:rStyle w:val="FootnoteReference"/>
        </w:rPr>
        <w:footnoteRef/>
      </w:r>
      <w:r>
        <w:t xml:space="preserve"> </w:t>
      </w:r>
      <w:r w:rsidR="00907A9B">
        <w:rPr>
          <w:i/>
          <w:iCs/>
        </w:rPr>
        <w:t>See</w:t>
      </w:r>
      <w:r w:rsidR="00633D07">
        <w:t xml:space="preserve"> 2018 </w:t>
      </w:r>
      <w:r w:rsidR="0016299A">
        <w:t xml:space="preserve">Complaint </w:t>
      </w:r>
      <w:r w:rsidR="00633D07">
        <w:t>at</w:t>
      </w:r>
      <w:r w:rsidR="00907A9B">
        <w:rPr>
          <w:i/>
          <w:iCs/>
        </w:rPr>
        <w:t xml:space="preserve"> </w:t>
      </w:r>
      <w:r w:rsidRPr="00674FAC" w:rsidR="00907A9B">
        <w:t xml:space="preserve">4-6, </w:t>
      </w:r>
      <w:r w:rsidR="00DD086D">
        <w:t>Exh.</w:t>
      </w:r>
      <w:r w:rsidRPr="00674FAC" w:rsidR="00907A9B">
        <w:t xml:space="preserve"> 2 Statement of Frank L. Giardina, and </w:t>
      </w:r>
      <w:r w:rsidR="00DD086D">
        <w:t>Exh.</w:t>
      </w:r>
      <w:r w:rsidRPr="00674FAC" w:rsidR="00907A9B">
        <w:t xml:space="preserve"> 3 Statement of Larry Wilkins.</w:t>
      </w:r>
    </w:p>
  </w:footnote>
  <w:footnote w:id="68">
    <w:p w:rsidR="006067E6" w:rsidP="00E23ACA" w14:paraId="331085DE" w14:textId="6FBE19F5">
      <w:pPr>
        <w:pStyle w:val="FootnoteText"/>
        <w:jc w:val="left"/>
      </w:pPr>
      <w:r>
        <w:rPr>
          <w:rStyle w:val="FootnoteReference"/>
        </w:rPr>
        <w:footnoteRef/>
      </w:r>
      <w:r>
        <w:t xml:space="preserve"> </w:t>
      </w:r>
      <w:r>
        <w:rPr>
          <w:i/>
          <w:iCs/>
        </w:rPr>
        <w:t xml:space="preserve">See </w:t>
      </w:r>
      <w:r w:rsidR="0016299A">
        <w:t xml:space="preserve">2018 Complaint </w:t>
      </w:r>
      <w:r>
        <w:t>Opposition at 2</w:t>
      </w:r>
      <w:r w:rsidR="0065224C">
        <w:t>, para. 2</w:t>
      </w:r>
      <w:r>
        <w:t xml:space="preserve"> and Exh</w:t>
      </w:r>
      <w:r w:rsidR="00DD086D">
        <w:t>.</w:t>
      </w:r>
      <w:r>
        <w:t xml:space="preserve"> 1</w:t>
      </w:r>
      <w:r w:rsidR="00957199">
        <w:t xml:space="preserve"> Decl. of Lee Reynolds.</w:t>
      </w:r>
    </w:p>
  </w:footnote>
  <w:footnote w:id="69">
    <w:p w:rsidR="00C30BB4" w:rsidRPr="00644B6A" w:rsidP="00E23ACA" w14:paraId="2599D8B4" w14:textId="61F630FD">
      <w:pPr>
        <w:pStyle w:val="FootnoteText"/>
        <w:jc w:val="left"/>
      </w:pPr>
      <w:r>
        <w:rPr>
          <w:rStyle w:val="FootnoteReference"/>
        </w:rPr>
        <w:footnoteRef/>
      </w:r>
      <w:r>
        <w:t xml:space="preserve"> </w:t>
      </w:r>
      <w:r w:rsidR="00644B6A">
        <w:rPr>
          <w:i/>
          <w:iCs/>
        </w:rPr>
        <w:t>Id.</w:t>
      </w:r>
      <w:r w:rsidR="00644B6A">
        <w:t xml:space="preserve"> at </w:t>
      </w:r>
      <w:r w:rsidR="00C769CB">
        <w:t>3.</w:t>
      </w:r>
    </w:p>
  </w:footnote>
  <w:footnote w:id="70">
    <w:p w:rsidR="00441008" w:rsidRPr="00674FAC" w:rsidP="00E23ACA" w14:paraId="44BC403A" w14:textId="621E0472">
      <w:pPr>
        <w:pStyle w:val="FootnoteText"/>
        <w:jc w:val="left"/>
      </w:pPr>
      <w:r w:rsidRPr="00674FAC">
        <w:rPr>
          <w:rStyle w:val="FootnoteReference"/>
        </w:rPr>
        <w:footnoteRef/>
      </w:r>
      <w:r w:rsidRPr="00674FAC">
        <w:t xml:space="preserve"> </w:t>
      </w:r>
      <w:r w:rsidR="00563903">
        <w:t xml:space="preserve">Because the </w:t>
      </w:r>
      <w:r w:rsidR="00F67A60">
        <w:t>Station has</w:t>
      </w:r>
      <w:r w:rsidR="00934D2C">
        <w:t xml:space="preserve"> operated </w:t>
      </w:r>
      <w:r w:rsidR="001957F8">
        <w:t xml:space="preserve">continuously </w:t>
      </w:r>
      <w:r w:rsidR="00934D2C">
        <w:t>from its authorized site</w:t>
      </w:r>
      <w:r w:rsidR="00563903">
        <w:t>,</w:t>
      </w:r>
      <w:r w:rsidR="00934D2C">
        <w:t xml:space="preserve"> we find that </w:t>
      </w:r>
      <w:r w:rsidRPr="00674FAC">
        <w:t>monetary forfeiture</w:t>
      </w:r>
      <w:r w:rsidR="005E3C85">
        <w:t xml:space="preserve">, rather </w:t>
      </w:r>
      <w:r w:rsidR="00AC7339">
        <w:t xml:space="preserve">than </w:t>
      </w:r>
      <w:r w:rsidR="005E3C85">
        <w:t>cancellation of the Station’s license pursuant to section 312(g),</w:t>
      </w:r>
      <w:r w:rsidR="00BE4940">
        <w:t xml:space="preserve"> </w:t>
      </w:r>
      <w:r w:rsidR="00934D2C">
        <w:t>is appropriate</w:t>
      </w:r>
      <w:r w:rsidR="003B49EA">
        <w:t xml:space="preserve">.  </w:t>
      </w:r>
      <w:r w:rsidR="003B49EA">
        <w:rPr>
          <w:i/>
          <w:iCs/>
        </w:rPr>
        <w:t>See</w:t>
      </w:r>
      <w:r w:rsidR="003B49EA">
        <w:t xml:space="preserve"> </w:t>
      </w:r>
      <w:r w:rsidR="00487E54">
        <w:rPr>
          <w:i/>
          <w:iCs/>
        </w:rPr>
        <w:t xml:space="preserve">supra </w:t>
      </w:r>
      <w:r w:rsidR="003B49EA">
        <w:t>note</w:t>
      </w:r>
      <w:r w:rsidRPr="00674FAC">
        <w:t xml:space="preserve"> </w:t>
      </w:r>
      <w:r w:rsidR="00AC7339">
        <w:t>5</w:t>
      </w:r>
      <w:r w:rsidR="00963B31">
        <w:t>7</w:t>
      </w:r>
      <w:r w:rsidR="00AC7339">
        <w:t>.</w:t>
      </w:r>
    </w:p>
  </w:footnote>
  <w:footnote w:id="71">
    <w:p w:rsidR="00016403" w:rsidRPr="00F81D1D" w:rsidP="00016403" w14:paraId="34887891" w14:textId="77777777">
      <w:pPr>
        <w:pStyle w:val="FootnoteText"/>
      </w:pPr>
      <w:r>
        <w:rPr>
          <w:rStyle w:val="FootnoteReference"/>
        </w:rPr>
        <w:footnoteRef/>
      </w:r>
      <w:r>
        <w:t xml:space="preserve"> </w:t>
      </w:r>
      <w:r>
        <w:rPr>
          <w:i/>
        </w:rPr>
        <w:t xml:space="preserve">See </w:t>
      </w:r>
      <w:r>
        <w:t>47 CFR § 1.17(a)(2).</w:t>
      </w:r>
    </w:p>
  </w:footnote>
  <w:footnote w:id="72">
    <w:p w:rsidR="00016403" w:rsidRPr="00637636" w:rsidP="00016403" w14:paraId="72861EBA" w14:textId="77777777">
      <w:pPr>
        <w:pStyle w:val="FootnoteText"/>
      </w:pPr>
      <w:r>
        <w:rPr>
          <w:rStyle w:val="FootnoteReference"/>
        </w:rPr>
        <w:footnoteRef/>
      </w:r>
      <w:r>
        <w:t xml:space="preserve"> </w:t>
      </w:r>
      <w:r>
        <w:rPr>
          <w:i/>
        </w:rPr>
        <w:t xml:space="preserve">See Amendment of Section 1.17 of the Commission’s Rules Concerning Truthful Statements to the Commission, </w:t>
      </w:r>
      <w:r>
        <w:t xml:space="preserve">Report and Order, 18 FCC Rcd 4016, 4017, para. 5 (2003) (subsequent history omitted).  </w:t>
      </w:r>
    </w:p>
  </w:footnote>
  <w:footnote w:id="73">
    <w:p w:rsidR="00946A0A" w14:paraId="61541B0A" w14:textId="14A90B9F">
      <w:pPr>
        <w:pStyle w:val="FootnoteText"/>
      </w:pPr>
      <w:r>
        <w:rPr>
          <w:rStyle w:val="FootnoteReference"/>
        </w:rPr>
        <w:footnoteRef/>
      </w:r>
      <w:r>
        <w:t xml:space="preserve"> Renewal Application at Renewal Certification, FCC Violations during the Preceding License Term.</w:t>
      </w:r>
    </w:p>
  </w:footnote>
  <w:footnote w:id="74">
    <w:p w:rsidR="00441008" w:rsidRPr="00674FAC" w:rsidP="00E23ACA" w14:paraId="04F8D747" w14:textId="77777777">
      <w:pPr>
        <w:pStyle w:val="FootnoteText"/>
        <w:jc w:val="left"/>
      </w:pPr>
      <w:r w:rsidRPr="00674FAC">
        <w:rPr>
          <w:rStyle w:val="FootnoteReference"/>
        </w:rPr>
        <w:footnoteRef/>
      </w:r>
      <w:r w:rsidRPr="00674FAC">
        <w:t xml:space="preserve"> 47 U.S.C. § 503(b)(1)(B).  </w:t>
      </w:r>
      <w:r w:rsidRPr="00674FAC">
        <w:rPr>
          <w:i/>
        </w:rPr>
        <w:t>S</w:t>
      </w:r>
      <w:r w:rsidRPr="00674FAC">
        <w:rPr>
          <w:i/>
          <w:iCs/>
        </w:rPr>
        <w:t>ee also</w:t>
      </w:r>
      <w:r w:rsidRPr="00674FAC">
        <w:t xml:space="preserve"> 47 CFR § 1.80(a)(1).</w:t>
      </w:r>
    </w:p>
  </w:footnote>
  <w:footnote w:id="75">
    <w:p w:rsidR="00441008" w:rsidRPr="00674FAC" w:rsidP="00E23ACA" w14:paraId="596768FA" w14:textId="77777777">
      <w:pPr>
        <w:pStyle w:val="FootnoteText"/>
        <w:jc w:val="left"/>
      </w:pPr>
      <w:r w:rsidRPr="00674FAC">
        <w:rPr>
          <w:rStyle w:val="FootnoteReference"/>
        </w:rPr>
        <w:footnoteRef/>
      </w:r>
      <w:r w:rsidRPr="00674FAC">
        <w:t xml:space="preserve"> 47 U.S.C. § 312(f)(1).</w:t>
      </w:r>
    </w:p>
  </w:footnote>
  <w:footnote w:id="76">
    <w:p w:rsidR="00441008" w:rsidRPr="00674FAC" w:rsidP="00E23ACA" w14:paraId="6F3322C6" w14:textId="77777777">
      <w:pPr>
        <w:pStyle w:val="FootnoteText"/>
        <w:jc w:val="left"/>
      </w:pPr>
      <w:r w:rsidRPr="00674FAC">
        <w:rPr>
          <w:rStyle w:val="FootnoteReference"/>
        </w:rPr>
        <w:footnoteRef/>
      </w:r>
      <w:r w:rsidRPr="00674FAC">
        <w:rPr>
          <w:i/>
        </w:rPr>
        <w:t xml:space="preserve"> See</w:t>
      </w:r>
      <w:r w:rsidRPr="00674FAC">
        <w:t xml:space="preserve"> H.R. Rep. No. 97-765, 97</w:t>
      </w:r>
      <w:r w:rsidRPr="00674FAC">
        <w:rPr>
          <w:vertAlign w:val="superscript"/>
        </w:rPr>
        <w:t>th</w:t>
      </w:r>
      <w:r w:rsidRPr="00674FAC">
        <w:t xml:space="preserve"> Cong. 2d Sess. 51 (1982).</w:t>
      </w:r>
    </w:p>
  </w:footnote>
  <w:footnote w:id="77">
    <w:p w:rsidR="00441008" w:rsidRPr="00674FAC" w:rsidP="00E23ACA" w14:paraId="17C9EB9C" w14:textId="77777777">
      <w:pPr>
        <w:pStyle w:val="FootnoteText"/>
        <w:jc w:val="left"/>
      </w:pPr>
      <w:r w:rsidRPr="00674FAC">
        <w:rPr>
          <w:rStyle w:val="FootnoteReference"/>
        </w:rPr>
        <w:footnoteRef/>
      </w:r>
      <w:r w:rsidRPr="00674FAC">
        <w:rPr>
          <w:i/>
          <w:iCs/>
        </w:rPr>
        <w:t xml:space="preserve"> See Southern California Broad. Co.</w:t>
      </w:r>
      <w:r w:rsidRPr="00674FAC">
        <w:t>, Memorandum Opinion and Order, 6 FCC Rcd 4387, 4388, para. 5 (1991).</w:t>
      </w:r>
    </w:p>
  </w:footnote>
  <w:footnote w:id="78">
    <w:p w:rsidR="00441008" w:rsidRPr="00674FAC" w:rsidP="00E23ACA" w14:paraId="386085E1" w14:textId="77777777">
      <w:pPr>
        <w:pStyle w:val="FootnoteText"/>
        <w:jc w:val="left"/>
      </w:pPr>
      <w:r w:rsidRPr="00674FAC">
        <w:rPr>
          <w:rStyle w:val="FootnoteReference"/>
        </w:rPr>
        <w:footnoteRef/>
      </w:r>
      <w:r w:rsidRPr="00674FAC">
        <w:t xml:space="preserve"> 47 U.S.C. § 312(f)(2). </w:t>
      </w:r>
    </w:p>
  </w:footnote>
  <w:footnote w:id="79">
    <w:p w:rsidR="00441008" w:rsidRPr="00674FAC" w:rsidP="00E23ACA" w14:paraId="69FCEA25" w14:textId="721C1B95">
      <w:pPr>
        <w:pStyle w:val="FootnoteText"/>
        <w:jc w:val="left"/>
      </w:pPr>
      <w:r w:rsidRPr="00674FAC">
        <w:rPr>
          <w:rStyle w:val="FootnoteReference"/>
        </w:rPr>
        <w:footnoteRef/>
      </w:r>
      <w:r w:rsidRPr="00674FAC">
        <w:t xml:space="preserve"> </w:t>
      </w:r>
      <w:r w:rsidRPr="00674FAC">
        <w:rPr>
          <w:i/>
        </w:rPr>
        <w:t>See Forfeiture Policy Statement and Amendment of Section 1.80(b) of the Rules to Incorporate the Forfeiture Guidelines</w:t>
      </w:r>
      <w:r w:rsidRPr="00674FAC">
        <w:t xml:space="preserve">, Report and Order, 12 FCC Rcd 17087, 17113-15 (1997) </w:t>
      </w:r>
      <w:r w:rsidRPr="00674FAC">
        <w:rPr>
          <w:i/>
        </w:rPr>
        <w:t>(Forfeiture Policy Statement),</w:t>
      </w:r>
      <w:r w:rsidRPr="00674FAC">
        <w:t xml:space="preserve"> </w:t>
      </w:r>
      <w:r w:rsidRPr="00674FAC">
        <w:rPr>
          <w:i/>
        </w:rPr>
        <w:t>recon. denied</w:t>
      </w:r>
      <w:r w:rsidRPr="00674FAC">
        <w:t>, 15 FCC Rcd 303 (1999); 47 CFR § 1.80, Paragraph (b)(</w:t>
      </w:r>
      <w:r w:rsidR="008844B7">
        <w:t>10</w:t>
      </w:r>
      <w:r w:rsidRPr="00674FAC">
        <w:t>)</w:t>
      </w:r>
      <w:r w:rsidR="00543A78">
        <w:t>, Table 1</w:t>
      </w:r>
      <w:r w:rsidR="00B32C52">
        <w:t>.</w:t>
      </w:r>
    </w:p>
  </w:footnote>
  <w:footnote w:id="80">
    <w:p w:rsidR="00441008" w:rsidRPr="00674FAC" w:rsidP="00E23ACA" w14:paraId="26AF6C61" w14:textId="7414EBC4">
      <w:pPr>
        <w:pStyle w:val="FootnoteText"/>
        <w:jc w:val="left"/>
      </w:pPr>
      <w:r w:rsidRPr="00674FAC">
        <w:rPr>
          <w:rStyle w:val="FootnoteReference"/>
        </w:rPr>
        <w:footnoteRef/>
      </w:r>
      <w:r w:rsidRPr="00674FAC">
        <w:t xml:space="preserve"> 47 U.S.C. § 503(b)(2)(D); </w:t>
      </w:r>
      <w:r w:rsidRPr="00674FAC">
        <w:rPr>
          <w:i/>
        </w:rPr>
        <w:t xml:space="preserve">see also Forfeiture Policy Statement, </w:t>
      </w:r>
      <w:r w:rsidRPr="00674FAC">
        <w:t>12 FCC Rcd at 17100, para. 27; 47 CFR § 1.80(b)(</w:t>
      </w:r>
      <w:r w:rsidR="008E0BF0">
        <w:t>11</w:t>
      </w:r>
      <w:r w:rsidRPr="00674FAC">
        <w:t>).</w:t>
      </w:r>
    </w:p>
  </w:footnote>
  <w:footnote w:id="81">
    <w:p w:rsidR="00441008" w:rsidRPr="00674FAC" w:rsidP="00E23ACA" w14:paraId="32DD7E09" w14:textId="61035969">
      <w:pPr>
        <w:pStyle w:val="FootnoteText"/>
        <w:jc w:val="left"/>
      </w:pPr>
      <w:r w:rsidRPr="00674FAC">
        <w:rPr>
          <w:rStyle w:val="FootnoteReference"/>
        </w:rPr>
        <w:footnoteRef/>
      </w:r>
      <w:r w:rsidRPr="00674FAC">
        <w:t xml:space="preserve"> </w:t>
      </w:r>
      <w:r w:rsidRPr="00674FAC">
        <w:rPr>
          <w:i/>
        </w:rPr>
        <w:t xml:space="preserve">See e.g.  AT&amp;T Wireless Services, Inc., </w:t>
      </w:r>
      <w:r w:rsidRPr="00674FAC">
        <w:t>Forfeiture Order, 17 FCC Rcd 21866, 21871</w:t>
      </w:r>
      <w:r w:rsidR="002E2443">
        <w:t>, para. 14</w:t>
      </w:r>
      <w:r w:rsidRPr="00674FAC">
        <w:t xml:space="preserve"> </w:t>
      </w:r>
      <w:r w:rsidR="00A80085">
        <w:t>(</w:t>
      </w:r>
      <w:r w:rsidR="0038365F">
        <w:t>2002</w:t>
      </w:r>
      <w:r w:rsidR="00A80085">
        <w:t>)</w:t>
      </w:r>
      <w:r w:rsidR="0038365F">
        <w:t xml:space="preserve"> </w:t>
      </w:r>
      <w:r w:rsidRPr="00674FAC">
        <w:t>(finding that remedial action to correct violation at issue was not a mitigating factor; licensees are expected to take remedial action when violations are brought to their attention).</w:t>
      </w:r>
      <w:r w:rsidRPr="00674FAC">
        <w:rPr>
          <w:i/>
        </w:rPr>
        <w:t xml:space="preserve"> </w:t>
      </w:r>
    </w:p>
  </w:footnote>
  <w:footnote w:id="82">
    <w:p w:rsidR="00441008" w:rsidRPr="00674FAC" w:rsidP="00E23ACA" w14:paraId="7638ECF8" w14:textId="5CB18369">
      <w:pPr>
        <w:pStyle w:val="FootnoteText"/>
        <w:jc w:val="left"/>
        <w:rPr>
          <w:i/>
        </w:rPr>
      </w:pPr>
      <w:r w:rsidRPr="00674FAC">
        <w:rPr>
          <w:rStyle w:val="FootnoteReference"/>
        </w:rPr>
        <w:footnoteRef/>
      </w:r>
      <w:r w:rsidRPr="00674FAC">
        <w:t xml:space="preserve"> </w:t>
      </w:r>
      <w:r w:rsidRPr="00674FAC">
        <w:rPr>
          <w:i/>
        </w:rPr>
        <w:t>Cf. White,</w:t>
      </w:r>
      <w:r w:rsidRPr="00674FAC">
        <w:t xml:space="preserve"> 24 FCC Rcd at 12544, paras. 11-12 (citing $10,000 base forfeiture for unauthorized service, but reducing proposed forfeiture to $4,000, because </w:t>
      </w:r>
      <w:r w:rsidR="00B31603">
        <w:t>l</w:t>
      </w:r>
      <w:r w:rsidRPr="00674FAC">
        <w:t xml:space="preserve">icensee delayed in filing an STA for just over nine weeks). </w:t>
      </w:r>
    </w:p>
  </w:footnote>
  <w:footnote w:id="83">
    <w:p w:rsidR="00441008" w:rsidRPr="002D0E0C" w:rsidP="00E23ACA" w14:paraId="00E7CDCC" w14:textId="77777777">
      <w:pPr>
        <w:pStyle w:val="FootnoteText"/>
        <w:jc w:val="left"/>
      </w:pPr>
      <w:r w:rsidRPr="00674FAC">
        <w:rPr>
          <w:rStyle w:val="FootnoteReference"/>
        </w:rPr>
        <w:footnoteRef/>
      </w:r>
      <w:r w:rsidRPr="00674FAC">
        <w:t xml:space="preserve"> </w:t>
      </w:r>
      <w:r w:rsidRPr="00674FAC">
        <w:rPr>
          <w:i/>
        </w:rPr>
        <w:t>See e.g., Id.</w:t>
      </w:r>
      <w:r w:rsidRPr="00674FAC">
        <w:t xml:space="preserve">, 24 </w:t>
      </w:r>
      <w:r w:rsidRPr="002D0E0C">
        <w:t>FCC Rcd at 12544, para. 12 ($3,000 forfeiture proposed for late filed applications for modification and STA).</w:t>
      </w:r>
    </w:p>
  </w:footnote>
  <w:footnote w:id="84">
    <w:p w:rsidR="004D5940" w:rsidP="004D5940" w14:paraId="40997B83" w14:textId="2794D685">
      <w:pPr>
        <w:pStyle w:val="FootnoteText"/>
      </w:pPr>
      <w:r>
        <w:rPr>
          <w:rStyle w:val="FootnoteReference"/>
        </w:rPr>
        <w:footnoteRef/>
      </w:r>
      <w:r>
        <w:t xml:space="preserve"> </w:t>
      </w:r>
      <w:r>
        <w:rPr>
          <w:rStyle w:val="Emphasis"/>
        </w:rPr>
        <w:t>See, e.g., Corning Christian Radio Corp</w:t>
      </w:r>
      <w:r w:rsidR="00432D96">
        <w:rPr>
          <w:rStyle w:val="Emphasis"/>
        </w:rPr>
        <w:t>.</w:t>
      </w:r>
      <w:r>
        <w:t xml:space="preserve">, Memorandum Opinion and Order and Notice of Apparent Liability for Forfeiture, DA 22-1084 (MB Oct. 12, 2022); </w:t>
      </w:r>
      <w:r>
        <w:rPr>
          <w:i/>
          <w:iCs/>
        </w:rPr>
        <w:t xml:space="preserve">Virginia Center for Public Press, </w:t>
      </w:r>
      <w:r>
        <w:t>Memorandum Opinion and Order and Notice for Apparent Liability for Forfeiture, 34 FCC Rcd 9312 (MB 2019) (each reducing forfeiture for untimely filed renewal application for LPFM station due to secondary service status).</w:t>
      </w:r>
    </w:p>
  </w:footnote>
  <w:footnote w:id="85">
    <w:p w:rsidR="0088511D" w:rsidRPr="008C6879" w:rsidP="0088511D" w14:paraId="7859DA10" w14:textId="14C4ACD9">
      <w:pPr>
        <w:pStyle w:val="FootnoteText"/>
        <w:jc w:val="left"/>
        <w:rPr>
          <w:i/>
          <w:iCs/>
        </w:rPr>
      </w:pPr>
      <w:r>
        <w:rPr>
          <w:rStyle w:val="FootnoteReference"/>
        </w:rPr>
        <w:footnoteRef/>
      </w:r>
      <w:r>
        <w:t xml:space="preserve"> </w:t>
      </w:r>
      <w:r>
        <w:rPr>
          <w:i/>
          <w:iCs/>
        </w:rPr>
        <w:t xml:space="preserve">See E-String </w:t>
      </w:r>
      <w:r w:rsidR="00C560F5">
        <w:rPr>
          <w:i/>
          <w:iCs/>
        </w:rPr>
        <w:t xml:space="preserve">Wireless, </w:t>
      </w:r>
      <w:r w:rsidRPr="00770938" w:rsidR="00C560F5">
        <w:t>Memorandum Opinion and Order and Notice of Apparent Liability for Forfeiture</w:t>
      </w:r>
      <w:r w:rsidR="00C560F5">
        <w:t>, 31 FCC Rcd 133, 139, para. 16</w:t>
      </w:r>
      <w:r w:rsidR="007621FB">
        <w:t xml:space="preserve"> and n.50</w:t>
      </w:r>
      <w:r w:rsidR="00C560F5">
        <w:t xml:space="preserve"> (MB 2016) (proposing $5,000 forfeiture to licensee of translator that made false certifications in license to cover application</w:t>
      </w:r>
      <w:r w:rsidR="007621FB">
        <w:t>, and noting a higher forfeiture would be appropriate for licensees of full-service stations</w:t>
      </w:r>
      <w:r w:rsidR="00C560F5">
        <w:t>)</w:t>
      </w:r>
      <w:r w:rsidR="00195155">
        <w:rPr>
          <w:i/>
          <w:iCs/>
        </w:rPr>
        <w:t xml:space="preserve">; see also </w:t>
      </w:r>
      <w:r w:rsidRPr="003A3652" w:rsidR="00195155">
        <w:rPr>
          <w:i/>
          <w:iCs/>
        </w:rPr>
        <w:t>San Francisco Unified School District</w:t>
      </w:r>
      <w:r w:rsidRPr="008E5BFD" w:rsidR="00195155">
        <w:t>, Hearing Designation Order and Notice of Apparent Liability for Forfeiture, 19 FCC Rcd 13326, 13334, para. 19, n.40 (2004) (false certifications are abuses of Commission processes which waste Commission resources and which may not only violate 47 CFR § 73.1015 but may subject the applicant to a monetary forfeiture as well as criminal liability under 18 U.S.C. § 1001 (</w:t>
      </w:r>
      <w:r w:rsidRPr="003A3652" w:rsidR="00195155">
        <w:rPr>
          <w:i/>
          <w:iCs/>
        </w:rPr>
        <w:t>citing Financial Certifications by Applicants for Broadcast Station Permits</w:t>
      </w:r>
      <w:r w:rsidRPr="008E5BFD" w:rsidR="00195155">
        <w:t xml:space="preserve">, </w:t>
      </w:r>
      <w:r w:rsidR="00195155">
        <w:t>Public Notice, 2 FCC Rcd 2122</w:t>
      </w:r>
      <w:r w:rsidRPr="008E5BFD" w:rsidR="00195155">
        <w:t xml:space="preserve"> (1987)).</w:t>
      </w:r>
    </w:p>
  </w:footnote>
  <w:footnote w:id="86">
    <w:p w:rsidR="00916B98" w:rsidRPr="002C72B2" w:rsidP="002C72B2" w14:paraId="72AAD27B" w14:textId="3E09E179">
      <w:pPr>
        <w:autoSpaceDE w:val="0"/>
        <w:autoSpaceDN w:val="0"/>
        <w:adjustRightInd w:val="0"/>
        <w:spacing w:after="120"/>
        <w:rPr>
          <w:i/>
          <w:iCs/>
          <w:sz w:val="20"/>
        </w:rPr>
      </w:pPr>
      <w:r>
        <w:rPr>
          <w:rStyle w:val="FootnoteReference"/>
        </w:rPr>
        <w:footnoteRef/>
      </w:r>
      <w:r>
        <w:t xml:space="preserve"> </w:t>
      </w:r>
      <w:r w:rsidRPr="00435825" w:rsidR="00052247">
        <w:rPr>
          <w:sz w:val="20"/>
        </w:rPr>
        <w:t>A misrepresentation is a false statement of fact or false certification made with intent to deceive the Commission</w:t>
      </w:r>
      <w:r w:rsidRPr="00435825" w:rsidR="00052247">
        <w:rPr>
          <w:i/>
          <w:iCs/>
          <w:sz w:val="20"/>
        </w:rPr>
        <w:t>.</w:t>
      </w:r>
      <w:r w:rsidR="002C72B2">
        <w:rPr>
          <w:i/>
          <w:iCs/>
          <w:sz w:val="20"/>
        </w:rPr>
        <w:t xml:space="preserve"> </w:t>
      </w:r>
      <w:r w:rsidRPr="00435825" w:rsidR="00052247">
        <w:rPr>
          <w:i/>
          <w:iCs/>
          <w:sz w:val="20"/>
        </w:rPr>
        <w:t>Fox River Broad., Inc.</w:t>
      </w:r>
      <w:r w:rsidRPr="00435825" w:rsidR="00052247">
        <w:rPr>
          <w:sz w:val="20"/>
        </w:rPr>
        <w:t xml:space="preserve">, Order, 93 FCC 2d 127, 129 (1983); </w:t>
      </w:r>
      <w:r w:rsidRPr="00435825" w:rsidR="00052247">
        <w:rPr>
          <w:i/>
          <w:iCs/>
          <w:sz w:val="20"/>
        </w:rPr>
        <w:t>San Francisco Unified Sch. Dist.</w:t>
      </w:r>
      <w:r w:rsidRPr="00435825" w:rsidR="00052247">
        <w:rPr>
          <w:sz w:val="20"/>
        </w:rPr>
        <w:t>, Hearing Designation</w:t>
      </w:r>
      <w:r w:rsidR="002C72B2">
        <w:rPr>
          <w:i/>
          <w:iCs/>
          <w:sz w:val="20"/>
        </w:rPr>
        <w:t xml:space="preserve"> </w:t>
      </w:r>
      <w:r w:rsidRPr="00435825" w:rsidR="00052247">
        <w:rPr>
          <w:sz w:val="20"/>
        </w:rPr>
        <w:t>Order and Notice of Apparent Liability for Forfeiture, 19 FCC Rcd 13326, 13334 nn.40-41 (2004) (subsequent</w:t>
      </w:r>
      <w:r w:rsidR="002C72B2">
        <w:rPr>
          <w:i/>
          <w:iCs/>
          <w:sz w:val="20"/>
        </w:rPr>
        <w:t xml:space="preserve"> </w:t>
      </w:r>
      <w:r w:rsidRPr="00435825" w:rsidR="00052247">
        <w:rPr>
          <w:sz w:val="20"/>
        </w:rPr>
        <w:t>history omitted). Intent to deceive is established if a licensee or applicant knowingly makes a false statement (or</w:t>
      </w:r>
      <w:r w:rsidR="002C72B2">
        <w:rPr>
          <w:i/>
          <w:iCs/>
          <w:sz w:val="20"/>
        </w:rPr>
        <w:t xml:space="preserve"> </w:t>
      </w:r>
      <w:r w:rsidRPr="00435825" w:rsidR="00052247">
        <w:rPr>
          <w:sz w:val="20"/>
        </w:rPr>
        <w:t>false certification) and can also be inferred when the surrounding circumstances clearly show the existence of intent</w:t>
      </w:r>
      <w:r w:rsidR="002C72B2">
        <w:rPr>
          <w:i/>
          <w:iCs/>
          <w:sz w:val="20"/>
        </w:rPr>
        <w:t xml:space="preserve"> </w:t>
      </w:r>
      <w:r w:rsidRPr="00435825" w:rsidR="00052247">
        <w:rPr>
          <w:sz w:val="20"/>
        </w:rPr>
        <w:t xml:space="preserve">to deceive. </w:t>
      </w:r>
      <w:r w:rsidR="00432D96">
        <w:rPr>
          <w:sz w:val="20"/>
        </w:rPr>
        <w:t xml:space="preserve"> </w:t>
      </w:r>
      <w:r w:rsidRPr="00435825" w:rsidR="00052247">
        <w:rPr>
          <w:i/>
          <w:iCs/>
          <w:sz w:val="20"/>
        </w:rPr>
        <w:t>Leflore Broad. Co., Inc. v. FCC</w:t>
      </w:r>
      <w:r w:rsidRPr="00435825" w:rsidR="00052247">
        <w:rPr>
          <w:sz w:val="20"/>
        </w:rPr>
        <w:t xml:space="preserve">, 636 F.2d 454, 462 (D.C. Cir. 1980); </w:t>
      </w:r>
      <w:r w:rsidRPr="00435825" w:rsidR="00052247">
        <w:rPr>
          <w:i/>
          <w:iCs/>
          <w:sz w:val="20"/>
        </w:rPr>
        <w:t>American Int’l Dev., Inc.</w:t>
      </w:r>
      <w:r w:rsidRPr="00435825" w:rsidR="00052247">
        <w:rPr>
          <w:sz w:val="20"/>
        </w:rPr>
        <w:t>,</w:t>
      </w:r>
      <w:r w:rsidR="002C72B2">
        <w:rPr>
          <w:i/>
          <w:iCs/>
          <w:sz w:val="20"/>
        </w:rPr>
        <w:t xml:space="preserve"> </w:t>
      </w:r>
      <w:r w:rsidRPr="00435825" w:rsidR="00052247">
        <w:rPr>
          <w:sz w:val="20"/>
        </w:rPr>
        <w:t xml:space="preserve">Memorandum Opinion and Order, 86 FCC 2d 808, 816 n.39 (1981), </w:t>
      </w:r>
      <w:r w:rsidRPr="00435825" w:rsidR="00052247">
        <w:rPr>
          <w:i/>
          <w:iCs/>
          <w:sz w:val="20"/>
        </w:rPr>
        <w:t xml:space="preserve">aff'd sub nom. KXIV, Inc. v. FCC, </w:t>
      </w:r>
      <w:r w:rsidRPr="00435825" w:rsidR="00052247">
        <w:rPr>
          <w:sz w:val="20"/>
        </w:rPr>
        <w:t>704 F.2d</w:t>
      </w:r>
      <w:r w:rsidR="002C72B2">
        <w:rPr>
          <w:i/>
          <w:iCs/>
          <w:sz w:val="20"/>
        </w:rPr>
        <w:t xml:space="preserve"> </w:t>
      </w:r>
      <w:r w:rsidRPr="00435825" w:rsidR="00052247">
        <w:rPr>
          <w:sz w:val="20"/>
        </w:rPr>
        <w:t xml:space="preserve">1294 (D.C. Cir. 1983). </w:t>
      </w:r>
      <w:r w:rsidR="00432D96">
        <w:rPr>
          <w:sz w:val="20"/>
        </w:rPr>
        <w:t xml:space="preserve"> </w:t>
      </w:r>
      <w:r w:rsidRPr="00435825" w:rsidR="00052247">
        <w:rPr>
          <w:sz w:val="20"/>
        </w:rPr>
        <w:t>In a case where all of the allegations are a matter of public record on file with the</w:t>
      </w:r>
      <w:r w:rsidR="002C72B2">
        <w:rPr>
          <w:i/>
          <w:iCs/>
          <w:sz w:val="20"/>
        </w:rPr>
        <w:t xml:space="preserve"> </w:t>
      </w:r>
      <w:r w:rsidRPr="00435825" w:rsidR="00052247">
        <w:rPr>
          <w:sz w:val="20"/>
        </w:rPr>
        <w:t>Commission, there is no logical basis to infer a motive to deceive unless there is other probative evidence of intent</w:t>
      </w:r>
      <w:r w:rsidR="002C72B2">
        <w:rPr>
          <w:i/>
          <w:iCs/>
          <w:sz w:val="20"/>
        </w:rPr>
        <w:t xml:space="preserve"> </w:t>
      </w:r>
      <w:r w:rsidRPr="00435825" w:rsidR="00052247">
        <w:rPr>
          <w:sz w:val="20"/>
        </w:rPr>
        <w:t xml:space="preserve">to deceive. </w:t>
      </w:r>
      <w:r w:rsidR="00432D96">
        <w:rPr>
          <w:sz w:val="20"/>
        </w:rPr>
        <w:t xml:space="preserve"> </w:t>
      </w:r>
      <w:r w:rsidRPr="00435825" w:rsidR="00052247">
        <w:rPr>
          <w:i/>
          <w:iCs/>
          <w:sz w:val="20"/>
        </w:rPr>
        <w:t>KAXT, LLC</w:t>
      </w:r>
      <w:r w:rsidRPr="00435825" w:rsidR="00052247">
        <w:rPr>
          <w:sz w:val="20"/>
        </w:rPr>
        <w:t>, Memorandum Opinion and Order, 32 FCC Rcd 9638, 9646, para. 16 and n.69 (2017)</w:t>
      </w:r>
      <w:r w:rsidR="008C7B8A">
        <w:rPr>
          <w:sz w:val="20"/>
        </w:rPr>
        <w:t xml:space="preserve"> (</w:t>
      </w:r>
      <w:r w:rsidR="008C7B8A">
        <w:rPr>
          <w:i/>
          <w:iCs/>
          <w:sz w:val="20"/>
        </w:rPr>
        <w:t>KAXT</w:t>
      </w:r>
      <w:r w:rsidR="008C7B8A">
        <w:rPr>
          <w:sz w:val="20"/>
        </w:rPr>
        <w:t>)</w:t>
      </w:r>
      <w:r w:rsidRPr="00435825" w:rsidR="00052247">
        <w:t>.</w:t>
      </w:r>
    </w:p>
  </w:footnote>
  <w:footnote w:id="87">
    <w:p w:rsidR="008C7B8A" w:rsidRPr="00B806D6" w:rsidP="00770938" w14:paraId="3ED3EA51" w14:textId="278EE58C">
      <w:pPr>
        <w:pStyle w:val="FootnoteText"/>
        <w:jc w:val="left"/>
      </w:pPr>
      <w:r>
        <w:rPr>
          <w:rStyle w:val="FootnoteReference"/>
        </w:rPr>
        <w:footnoteRef/>
      </w:r>
      <w:r>
        <w:t xml:space="preserve"> </w:t>
      </w:r>
      <w:r w:rsidR="00B806D6">
        <w:rPr>
          <w:i/>
          <w:iCs/>
        </w:rPr>
        <w:t>KAXT</w:t>
      </w:r>
      <w:r w:rsidR="00B806D6">
        <w:t>, 32 FCC Rcd at 9646, para. 16 (</w:t>
      </w:r>
      <w:r w:rsidR="00C763C1">
        <w:t>“</w:t>
      </w:r>
      <w:r w:rsidRPr="00DE60CE" w:rsidR="00DE60CE">
        <w:t>[u]</w:t>
      </w:r>
      <w:r w:rsidRPr="00DE60CE" w:rsidR="00DE60CE">
        <w:t>ntil</w:t>
      </w:r>
      <w:r w:rsidRPr="00DE60CE" w:rsidR="00DE60CE">
        <w:t xml:space="preserve"> such </w:t>
      </w:r>
      <w:r w:rsidR="00C763C1">
        <w:t xml:space="preserve">[character] </w:t>
      </w:r>
      <w:r w:rsidRPr="00DE60CE" w:rsidR="00DE60CE">
        <w:t>allegations are determined to have merit and are designated for hearing, no ‘unresolved’ issue is pending ‘against’ the applicant, so there is nothing to report.”</w:t>
      </w:r>
      <w:r w:rsidR="00193539">
        <w:t>)</w:t>
      </w:r>
      <w:r w:rsidR="00CF1793">
        <w:t>.</w:t>
      </w:r>
    </w:p>
  </w:footnote>
  <w:footnote w:id="88">
    <w:p w:rsidR="00D714C9" w:rsidP="00E23ACA" w14:paraId="1521E24A" w14:textId="0E504B02">
      <w:pPr>
        <w:pStyle w:val="FootnoteText"/>
        <w:jc w:val="left"/>
      </w:pPr>
      <w:r>
        <w:rPr>
          <w:rStyle w:val="FootnoteReference"/>
        </w:rPr>
        <w:footnoteRef/>
      </w:r>
      <w:r>
        <w:t xml:space="preserve"> </w:t>
      </w:r>
      <w:r w:rsidRPr="00674FAC" w:rsidR="00491DE6">
        <w:rPr>
          <w:i/>
          <w:iCs/>
        </w:rPr>
        <w:t xml:space="preserve">See </w:t>
      </w:r>
      <w:r w:rsidR="00BC32B2">
        <w:t>2017 Letters</w:t>
      </w:r>
      <w:r w:rsidR="00491DE6">
        <w:t xml:space="preserve"> (finding </w:t>
      </w:r>
      <w:r w:rsidR="00A5084E">
        <w:t>the stations’ licenses expired as a matter of law</w:t>
      </w:r>
      <w:r w:rsidR="00E04DE0">
        <w:t xml:space="preserve"> after </w:t>
      </w:r>
      <w:r w:rsidR="00432D96">
        <w:t>more than</w:t>
      </w:r>
      <w:r w:rsidR="00E04DE0">
        <w:t xml:space="preserve"> one year of unauthorized operation</w:t>
      </w:r>
      <w:r w:rsidR="00A5084E">
        <w:t xml:space="preserve"> under section 312(g) of the Act</w:t>
      </w:r>
      <w:r w:rsidR="00E04DE0">
        <w:t>)</w:t>
      </w:r>
      <w:r w:rsidRPr="00674FAC" w:rsidR="00491DE6">
        <w:t>.</w:t>
      </w:r>
    </w:p>
  </w:footnote>
  <w:footnote w:id="89">
    <w:p w:rsidR="003E31F5" w:rsidP="00E23ACA" w14:paraId="406C2187" w14:textId="68638864">
      <w:pPr>
        <w:pStyle w:val="FootnoteText"/>
        <w:jc w:val="left"/>
      </w:pPr>
      <w:r>
        <w:rPr>
          <w:rStyle w:val="FootnoteReference"/>
        </w:rPr>
        <w:footnoteRef/>
      </w:r>
      <w:r>
        <w:t xml:space="preserve"> </w:t>
      </w:r>
      <w:r w:rsidR="00756CA8">
        <w:t xml:space="preserve">Bureau staff </w:t>
      </w:r>
      <w:r w:rsidR="00050B3A">
        <w:t>decline</w:t>
      </w:r>
      <w:r w:rsidR="00756CA8">
        <w:t>d</w:t>
      </w:r>
      <w:r w:rsidR="00050B3A">
        <w:t xml:space="preserve"> to exercise </w:t>
      </w:r>
      <w:r w:rsidR="00756CA8">
        <w:t xml:space="preserve">discretion to reinstate the licenses </w:t>
      </w:r>
      <w:r w:rsidR="00776A41">
        <w:t>after</w:t>
      </w:r>
      <w:r w:rsidR="00756CA8">
        <w:t xml:space="preserve"> expiration</w:t>
      </w:r>
      <w:r w:rsidR="00954B70">
        <w:t xml:space="preserve"> because the </w:t>
      </w:r>
      <w:r w:rsidR="007F43B5">
        <w:t xml:space="preserve">circumstances that led to </w:t>
      </w:r>
      <w:r w:rsidR="00B11A02">
        <w:t xml:space="preserve">expiration under </w:t>
      </w:r>
      <w:r w:rsidR="00DA748C">
        <w:t xml:space="preserve">section </w:t>
      </w:r>
      <w:r w:rsidR="00B11A02">
        <w:t xml:space="preserve">312(g) were within the </w:t>
      </w:r>
      <w:r w:rsidR="00F16BF0">
        <w:t>licensees’</w:t>
      </w:r>
      <w:r w:rsidR="00B11A02">
        <w:t xml:space="preserve"> co</w:t>
      </w:r>
      <w:r w:rsidR="003F03A4">
        <w:t>ntrol</w:t>
      </w:r>
      <w:r w:rsidR="00B11A02">
        <w:t>.  The WZNN</w:t>
      </w:r>
      <w:r w:rsidR="00126490">
        <w:t xml:space="preserve"> </w:t>
      </w:r>
      <w:r w:rsidR="00F16BF0">
        <w:t>L</w:t>
      </w:r>
      <w:r w:rsidR="00B11A02">
        <w:t xml:space="preserve">etter </w:t>
      </w:r>
      <w:r w:rsidR="000548EB">
        <w:t>went</w:t>
      </w:r>
      <w:r w:rsidR="00B11A02">
        <w:t xml:space="preserve"> </w:t>
      </w:r>
      <w:r w:rsidR="000548EB">
        <w:t>further,</w:t>
      </w:r>
      <w:r w:rsidR="003F03A4">
        <w:t xml:space="preserve"> cit</w:t>
      </w:r>
      <w:r w:rsidR="000548EB">
        <w:t>ing</w:t>
      </w:r>
      <w:r w:rsidR="003F03A4">
        <w:t xml:space="preserve"> </w:t>
      </w:r>
      <w:r w:rsidR="000548EB">
        <w:t>Valleydale’s</w:t>
      </w:r>
      <w:r w:rsidR="00652C66">
        <w:t xml:space="preserve"> violations of section 301 of the Act </w:t>
      </w:r>
      <w:r w:rsidR="008E1180">
        <w:t xml:space="preserve">for operating from an alternate facility without FCC approval and informing the </w:t>
      </w:r>
      <w:r w:rsidR="005E7B73">
        <w:t>Commission that it returned to air with the same facilities</w:t>
      </w:r>
      <w:r w:rsidR="0095063B">
        <w:t>,</w:t>
      </w:r>
      <w:r w:rsidR="005E7B73">
        <w:t xml:space="preserve"> which were in fact</w:t>
      </w:r>
      <w:r w:rsidR="0072238C">
        <w:t xml:space="preserve"> operating from</w:t>
      </w:r>
      <w:r w:rsidR="005E7B73">
        <w:t xml:space="preserve"> a different location.</w:t>
      </w:r>
      <w:r w:rsidR="0072238C">
        <w:t xml:space="preserve">  However, the </w:t>
      </w:r>
      <w:r w:rsidR="00D25E36">
        <w:t>primary issue in the</w:t>
      </w:r>
      <w:r w:rsidR="002F6345">
        <w:t xml:space="preserve"> 2017 Letters was a </w:t>
      </w:r>
      <w:r w:rsidR="0095063B">
        <w:t xml:space="preserve">section </w:t>
      </w:r>
      <w:r w:rsidR="002F6345">
        <w:t xml:space="preserve">312(g) </w:t>
      </w:r>
      <w:r w:rsidR="00D25E36">
        <w:t xml:space="preserve">analysis, and the </w:t>
      </w:r>
      <w:r w:rsidR="0072238C">
        <w:t xml:space="preserve">WZNN Letter did not make </w:t>
      </w:r>
      <w:r w:rsidR="00A24AAF">
        <w:t xml:space="preserve">a </w:t>
      </w:r>
      <w:r w:rsidR="0072238C">
        <w:t>determination on</w:t>
      </w:r>
      <w:r w:rsidR="00A24AAF">
        <w:t xml:space="preserve"> </w:t>
      </w:r>
      <w:r w:rsidR="00A24AAF">
        <w:t>Valleydale’s</w:t>
      </w:r>
      <w:r w:rsidR="0072238C">
        <w:t xml:space="preserve"> character qualifications.</w:t>
      </w:r>
    </w:p>
  </w:footnote>
  <w:footnote w:id="90">
    <w:p w:rsidR="003317D9" w:rsidP="00E23ACA" w14:paraId="55D04534" w14:textId="00EDD305">
      <w:pPr>
        <w:pStyle w:val="FootnoteText"/>
        <w:jc w:val="left"/>
      </w:pPr>
      <w:r>
        <w:rPr>
          <w:rStyle w:val="FootnoteReference"/>
        </w:rPr>
        <w:footnoteRef/>
      </w:r>
      <w:r>
        <w:t xml:space="preserve"> </w:t>
      </w:r>
      <w:r w:rsidR="00E9271F">
        <w:t>WZNN Letter at 3.</w:t>
      </w:r>
    </w:p>
  </w:footnote>
  <w:footnote w:id="91">
    <w:p w:rsidR="00224F33" w:rsidRPr="00224F33" w:rsidP="00E23ACA" w14:paraId="15BC96AD" w14:textId="2883E556">
      <w:pPr>
        <w:pStyle w:val="FootnoteText"/>
        <w:jc w:val="left"/>
      </w:pPr>
      <w:r>
        <w:rPr>
          <w:rStyle w:val="FootnoteReference"/>
        </w:rPr>
        <w:footnoteRef/>
      </w:r>
      <w:r>
        <w:t xml:space="preserve"> </w:t>
      </w:r>
      <w:r>
        <w:rPr>
          <w:i/>
          <w:iCs/>
        </w:rPr>
        <w:t>See supra</w:t>
      </w:r>
      <w:r>
        <w:t xml:space="preserve"> </w:t>
      </w:r>
      <w:r w:rsidR="004A210D">
        <w:t>note 73.</w:t>
      </w:r>
    </w:p>
  </w:footnote>
  <w:footnote w:id="92">
    <w:p w:rsidR="00441008" w:rsidRPr="00674FAC" w:rsidP="00E23ACA" w14:paraId="4249CC3B" w14:textId="28327465">
      <w:pPr>
        <w:spacing w:after="120"/>
        <w:rPr>
          <w:sz w:val="20"/>
        </w:rPr>
      </w:pPr>
      <w:r w:rsidRPr="00674FAC">
        <w:rPr>
          <w:rStyle w:val="FootnoteReference"/>
          <w:sz w:val="20"/>
        </w:rPr>
        <w:footnoteRef/>
      </w:r>
      <w:r w:rsidRPr="00674FAC">
        <w:rPr>
          <w:sz w:val="20"/>
        </w:rPr>
        <w:t xml:space="preserve"> </w:t>
      </w:r>
      <w:r w:rsidRPr="00674FAC">
        <w:rPr>
          <w:rStyle w:val="Emphasis"/>
          <w:sz w:val="20"/>
        </w:rPr>
        <w:t>See</w:t>
      </w:r>
      <w:r w:rsidRPr="00674FAC">
        <w:rPr>
          <w:sz w:val="20"/>
        </w:rPr>
        <w:t> 47 U.S.C. § 309(k)(1) (“If the licensee of a broadcast station submits an application to the Commission for renewal of such license, the Commission shall grant the application if it finds, </w:t>
      </w:r>
      <w:r w:rsidRPr="00674FAC">
        <w:rPr>
          <w:rStyle w:val="Emphasis"/>
          <w:sz w:val="20"/>
        </w:rPr>
        <w:t>with respect to that station</w:t>
      </w:r>
      <w:r w:rsidRPr="00674FAC">
        <w:rPr>
          <w:sz w:val="20"/>
        </w:rPr>
        <w:t>, during the preceding term of its license ...”) (emphasis added). </w:t>
      </w:r>
      <w:r w:rsidRPr="00674FAC">
        <w:rPr>
          <w:rStyle w:val="Emphasis"/>
          <w:sz w:val="20"/>
        </w:rPr>
        <w:t>See also Entercom Licenses, LLC</w:t>
      </w:r>
      <w:r w:rsidRPr="00674FAC">
        <w:rPr>
          <w:sz w:val="20"/>
        </w:rPr>
        <w:t>, Hearing Designation Order and Notice of Opportunity for Hearing, </w:t>
      </w:r>
      <w:hyperlink r:id="rId4" w:anchor="co_pp_sp_4493_12229" w:history="1">
        <w:r w:rsidRPr="00674FAC">
          <w:rPr>
            <w:rStyle w:val="cosearchterm"/>
            <w:bCs/>
            <w:sz w:val="20"/>
          </w:rPr>
          <w:t>31</w:t>
        </w:r>
        <w:r w:rsidRPr="00674FAC">
          <w:rPr>
            <w:rStyle w:val="cosearchterm"/>
            <w:sz w:val="20"/>
          </w:rPr>
          <w:t> </w:t>
        </w:r>
        <w:r w:rsidRPr="00674FAC">
          <w:rPr>
            <w:rStyle w:val="cosearchterm"/>
            <w:bCs/>
            <w:sz w:val="20"/>
          </w:rPr>
          <w:t>FCC</w:t>
        </w:r>
        <w:r w:rsidRPr="00674FAC">
          <w:rPr>
            <w:rStyle w:val="cosearchterm"/>
            <w:sz w:val="20"/>
          </w:rPr>
          <w:t> </w:t>
        </w:r>
        <w:r w:rsidRPr="00674FAC">
          <w:rPr>
            <w:rStyle w:val="cosearchterm"/>
            <w:bCs/>
            <w:sz w:val="20"/>
          </w:rPr>
          <w:t>Rcd</w:t>
        </w:r>
        <w:r w:rsidRPr="00674FAC">
          <w:rPr>
            <w:rStyle w:val="cosearchterm"/>
            <w:sz w:val="20"/>
          </w:rPr>
          <w:t> </w:t>
        </w:r>
        <w:r w:rsidRPr="00674FAC">
          <w:rPr>
            <w:rStyle w:val="cosearchterm"/>
            <w:bCs/>
            <w:sz w:val="20"/>
          </w:rPr>
          <w:t>12196</w:t>
        </w:r>
        <w:r w:rsidRPr="00674FAC">
          <w:rPr>
            <w:rStyle w:val="cosearchterm"/>
            <w:sz w:val="20"/>
          </w:rPr>
          <w:t>,</w:t>
        </w:r>
        <w:r w:rsidRPr="00674FAC">
          <w:rPr>
            <w:rStyle w:val="cosearchterm"/>
            <w:bCs/>
            <w:sz w:val="20"/>
          </w:rPr>
          <w:t>12208</w:t>
        </w:r>
        <w:r w:rsidRPr="00674FAC">
          <w:rPr>
            <w:rStyle w:val="cosearchterm"/>
            <w:sz w:val="20"/>
          </w:rPr>
          <w:t>, </w:t>
        </w:r>
        <w:r w:rsidRPr="00674FAC">
          <w:rPr>
            <w:rStyle w:val="cosearchterm"/>
            <w:bCs/>
            <w:sz w:val="20"/>
          </w:rPr>
          <w:t>para</w:t>
        </w:r>
        <w:r w:rsidRPr="00674FAC">
          <w:rPr>
            <w:rStyle w:val="cosearchterm"/>
            <w:sz w:val="20"/>
          </w:rPr>
          <w:t>. 28 (</w:t>
        </w:r>
        <w:r w:rsidRPr="00674FAC">
          <w:rPr>
            <w:rStyle w:val="cosearchterm"/>
            <w:bCs/>
            <w:sz w:val="20"/>
          </w:rPr>
          <w:t>2016</w:t>
        </w:r>
        <w:r w:rsidRPr="00674FAC">
          <w:rPr>
            <w:rStyle w:val="cosearchterm"/>
            <w:sz w:val="20"/>
          </w:rPr>
          <w:t>)</w:t>
        </w:r>
      </w:hyperlink>
      <w:r w:rsidRPr="00674FAC">
        <w:rPr>
          <w:sz w:val="20"/>
        </w:rPr>
        <w:t xml:space="preserve"> (“for </w:t>
      </w:r>
      <w:r w:rsidRPr="00674FAC">
        <w:rPr>
          <w:rStyle w:val="cosearchterm"/>
          <w:bCs/>
          <w:sz w:val="20"/>
        </w:rPr>
        <w:t>renewal</w:t>
      </w:r>
      <w:r w:rsidRPr="00674FAC">
        <w:rPr>
          <w:sz w:val="20"/>
        </w:rPr>
        <w:t xml:space="preserve"> purposes, </w:t>
      </w:r>
      <w:r w:rsidR="00015D9A">
        <w:rPr>
          <w:sz w:val="20"/>
        </w:rPr>
        <w:t>s</w:t>
      </w:r>
      <w:r w:rsidRPr="00674FAC">
        <w:rPr>
          <w:sz w:val="20"/>
        </w:rPr>
        <w:t>ection 309(k)(1) limits the scope of our review to the station for which license </w:t>
      </w:r>
      <w:r w:rsidRPr="00674FAC">
        <w:rPr>
          <w:rStyle w:val="cosearchterm"/>
          <w:bCs/>
          <w:sz w:val="20"/>
        </w:rPr>
        <w:t>renewal</w:t>
      </w:r>
      <w:r w:rsidRPr="00674FAC">
        <w:rPr>
          <w:sz w:val="20"/>
        </w:rPr>
        <w:t> is being considered.”).</w:t>
      </w:r>
    </w:p>
  </w:footnote>
  <w:footnote w:id="93">
    <w:p w:rsidR="002A28FC" w:rsidRPr="008F5818" w:rsidP="00E23ACA" w14:paraId="4C06B94C" w14:textId="77777777">
      <w:pPr>
        <w:pStyle w:val="FootnoteText"/>
        <w:jc w:val="left"/>
      </w:pPr>
      <w:r w:rsidRPr="008F5818">
        <w:rPr>
          <w:rStyle w:val="FootnoteReference"/>
        </w:rPr>
        <w:footnoteRef/>
      </w:r>
      <w:r w:rsidRPr="008F5818">
        <w:t xml:space="preserve"> 47 U.S.C. § 310(d).</w:t>
      </w:r>
    </w:p>
  </w:footnote>
  <w:footnote w:id="94">
    <w:p w:rsidR="002A28FC" w:rsidRPr="008F5818" w:rsidP="00E23ACA" w14:paraId="38FF717A" w14:textId="77777777">
      <w:pPr>
        <w:pStyle w:val="FootnoteText"/>
        <w:jc w:val="left"/>
      </w:pPr>
      <w:r w:rsidRPr="008F5818">
        <w:rPr>
          <w:rStyle w:val="FootnoteReference"/>
        </w:rPr>
        <w:footnoteRef/>
      </w:r>
      <w:r w:rsidRPr="008F5818">
        <w:t xml:space="preserve"> 47 U.S.C. § 309(d)</w:t>
      </w:r>
      <w:r>
        <w:t xml:space="preserve">. </w:t>
      </w:r>
      <w:r w:rsidRPr="008F5818">
        <w:rPr>
          <w:rStyle w:val="Emphasis"/>
        </w:rPr>
        <w:t xml:space="preserve"> See, e.g., WWOR-TV, Inc.</w:t>
      </w:r>
      <w:r w:rsidRPr="008F5818">
        <w:t>, Memorandum Opinion and Order, 6 FCC Rcd 193, 197</w:t>
      </w:r>
      <w:r>
        <w:t>,</w:t>
      </w:r>
      <w:r w:rsidRPr="008F5818">
        <w:t xml:space="preserve"> n.10 (1990), </w:t>
      </w:r>
      <w:r w:rsidRPr="008F5818">
        <w:rPr>
          <w:rStyle w:val="Emphasis"/>
        </w:rPr>
        <w:t>aff'd sub nom.</w:t>
      </w:r>
      <w:r w:rsidRPr="008F5818">
        <w:rPr>
          <w:rStyle w:val="Emphasis"/>
          <w:i w:val="0"/>
          <w:iCs w:val="0"/>
        </w:rPr>
        <w:t xml:space="preserve"> </w:t>
      </w:r>
      <w:r w:rsidRPr="008F5818">
        <w:rPr>
          <w:rStyle w:val="Emphasis"/>
        </w:rPr>
        <w:t>Garden State Broadcasting L.P. v. FCC</w:t>
      </w:r>
      <w:r w:rsidRPr="008F5818">
        <w:rPr>
          <w:rStyle w:val="Emphasis"/>
          <w:i w:val="0"/>
        </w:rPr>
        <w:t>,</w:t>
      </w:r>
      <w:r w:rsidRPr="008F5818">
        <w:t xml:space="preserve"> 996 F.2d 386 (D.C. Cir. 1993); </w:t>
      </w:r>
      <w:r w:rsidRPr="008F5818">
        <w:rPr>
          <w:rStyle w:val="Emphasis"/>
        </w:rPr>
        <w:t>Area Christian Television, Inc.</w:t>
      </w:r>
      <w:r w:rsidRPr="008F5818">
        <w:t>, Memorandum Opinion and Order, 60 RR 2d 862, 864, para. 6 (1986).</w:t>
      </w:r>
    </w:p>
  </w:footnote>
  <w:footnote w:id="95">
    <w:p w:rsidR="00441008" w:rsidRPr="00674FAC" w:rsidP="00E23ACA" w14:paraId="36428C3C" w14:textId="77777777">
      <w:pPr>
        <w:pStyle w:val="Footer"/>
        <w:spacing w:after="120"/>
        <w:rPr>
          <w:sz w:val="20"/>
        </w:rPr>
      </w:pPr>
      <w:r w:rsidRPr="00674FAC">
        <w:rPr>
          <w:rStyle w:val="FootnoteReference"/>
          <w:sz w:val="20"/>
        </w:rPr>
        <w:footnoteRef/>
      </w:r>
      <w:r w:rsidRPr="00674FAC">
        <w:rPr>
          <w:sz w:val="20"/>
        </w:rPr>
        <w:t xml:space="preserve"> </w:t>
      </w:r>
      <w:r w:rsidRPr="00674FAC">
        <w:rPr>
          <w:i/>
          <w:sz w:val="20"/>
        </w:rPr>
        <w:t>See</w:t>
      </w:r>
      <w:r w:rsidRPr="00674FAC">
        <w:rPr>
          <w:sz w:val="20"/>
        </w:rPr>
        <w:t xml:space="preserve"> 47 U.S.C. § 309(k)(1)(c).</w:t>
      </w:r>
    </w:p>
  </w:footnote>
  <w:footnote w:id="96">
    <w:p w:rsidR="00441008" w:rsidRPr="00674FAC" w:rsidP="00E23ACA" w14:paraId="320AB8A8" w14:textId="21C3701F">
      <w:pPr>
        <w:pStyle w:val="FootnoteText"/>
        <w:jc w:val="left"/>
      </w:pPr>
      <w:r w:rsidRPr="00674FAC">
        <w:rPr>
          <w:rStyle w:val="FootnoteReference"/>
        </w:rPr>
        <w:footnoteRef/>
      </w:r>
      <w:r w:rsidRPr="00674FAC">
        <w:t xml:space="preserve"> For example, we do not find that </w:t>
      </w:r>
      <w:r w:rsidR="00BC2EE3">
        <w:t>Shelby</w:t>
      </w:r>
      <w:r w:rsidRPr="00674FAC" w:rsidR="00BC2EE3">
        <w:t xml:space="preserve">’s </w:t>
      </w:r>
      <w:r w:rsidRPr="00674FAC">
        <w:t xml:space="preserve">operation of the Station “was conducted in an exceedingly careless, inept and negligent manner and that </w:t>
      </w:r>
      <w:r w:rsidR="00BC2EE3">
        <w:t>Shelby</w:t>
      </w:r>
      <w:r w:rsidRPr="00674FAC" w:rsidR="00BC2EE3">
        <w:t xml:space="preserve"> </w:t>
      </w:r>
      <w:r w:rsidRPr="00674FAC">
        <w:t xml:space="preserve">is either incapable of correcting or unwilling to correct the operating deficiencies.”  </w:t>
      </w:r>
      <w:r w:rsidRPr="00674FAC">
        <w:rPr>
          <w:i/>
        </w:rPr>
        <w:t xml:space="preserve">Heart of the Black Hills Stations, </w:t>
      </w:r>
      <w:r w:rsidRPr="00674FAC">
        <w:t xml:space="preserve">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Commission’s Rules.”  </w:t>
      </w:r>
      <w:r w:rsidRPr="00674FAC">
        <w:rPr>
          <w:i/>
        </w:rPr>
        <w:t xml:space="preserve">Id. </w:t>
      </w:r>
      <w:r w:rsidRPr="00674FAC">
        <w:t xml:space="preserve">at 200, para. 10.  </w:t>
      </w:r>
      <w:r w:rsidRPr="00674FAC">
        <w:rPr>
          <w:i/>
        </w:rPr>
        <w:t>See also Center for Study and Application of Black Econ. Development</w:t>
      </w:r>
      <w:r w:rsidRPr="00674FAC">
        <w:t xml:space="preserve">, Hearing Designation Order, 6 FCC Rcd 4622 (1991), </w:t>
      </w:r>
      <w:r w:rsidRPr="00674FAC">
        <w:rPr>
          <w:i/>
        </w:rPr>
        <w:t>Calvary Educ. Broad. Network, Inc</w:t>
      </w:r>
      <w:r w:rsidRPr="00674FAC">
        <w:t>., Hearing Designation Order, 7 FCC Rcd 4037 (1992).</w:t>
      </w:r>
    </w:p>
  </w:footnote>
  <w:footnote w:id="97">
    <w:p w:rsidR="007E139F" w:rsidRPr="00514C8E" w:rsidP="007E139F" w14:paraId="7C8AD867"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98">
    <w:p w:rsidR="007E139F" w:rsidRPr="00514C8E" w:rsidP="007E139F" w14:paraId="759CEA77"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5" w:history="1">
        <w:r w:rsidRPr="00514C8E">
          <w:rPr>
            <w:rStyle w:val="Hyperlink"/>
          </w:rPr>
          <w:t>ARINQUIRIES@fcc.gov</w:t>
        </w:r>
      </w:hyperlink>
      <w:r w:rsidRPr="00514C8E">
        <w:t xml:space="preserve">.  </w:t>
      </w:r>
    </w:p>
  </w:footnote>
  <w:footnote w:id="99">
    <w:p w:rsidR="007E139F" w:rsidRPr="00514C8E" w:rsidP="007E139F" w14:paraId="1FDBCB99" w14:textId="77777777">
      <w:pPr>
        <w:pStyle w:val="FootnoteText"/>
      </w:pPr>
      <w:r w:rsidRPr="00514C8E">
        <w:rPr>
          <w:rStyle w:val="FootnoteReference"/>
        </w:rPr>
        <w:footnoteRef/>
      </w:r>
      <w:r w:rsidRPr="00514C8E">
        <w:t xml:space="preserve"> Instructions for completing the form may be obtained at </w:t>
      </w:r>
      <w:hyperlink r:id="rId6" w:history="1">
        <w:r w:rsidRPr="00514C8E">
          <w:rPr>
            <w:rStyle w:val="Hyperlink"/>
          </w:rPr>
          <w:t>https://www.fcc.gov/Forms/Form159/159.pdf</w:t>
        </w:r>
      </w:hyperlink>
      <w:r w:rsidRPr="00514C8E">
        <w:t xml:space="preserve">. </w:t>
      </w:r>
    </w:p>
  </w:footnote>
  <w:footnote w:id="100">
    <w:p w:rsidR="001C36F7" w:rsidRPr="004B33E9" w:rsidP="00E23ACA" w14:paraId="3F1DCFF7" w14:textId="77777777">
      <w:pPr>
        <w:pStyle w:val="FootnoteText"/>
        <w:widowControl w:val="0"/>
        <w:jc w:val="left"/>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008" w:rsidRPr="009910A2" w14:paraId="4E09EF27" w14:textId="78CC49EF">
    <w:pPr>
      <w:pStyle w:val="Header"/>
      <w:tabs>
        <w:tab w:val="clear" w:pos="4320"/>
        <w:tab w:val="center" w:pos="4680"/>
        <w:tab w:val="clear" w:pos="8640"/>
        <w:tab w:val="right" w:pos="9360"/>
      </w:tabs>
      <w:rPr>
        <w:b/>
        <w:szCs w:val="22"/>
      </w:rPr>
    </w:pPr>
    <w:r>
      <w:rPr>
        <w:b/>
      </w:rPr>
      <w:tab/>
    </w:r>
    <w:r w:rsidRPr="009910A2">
      <w:rPr>
        <w:b/>
        <w:szCs w:val="22"/>
      </w:rPr>
      <w:t>Federal Communications Commission</w:t>
    </w:r>
    <w:r w:rsidRPr="009910A2">
      <w:rPr>
        <w:b/>
        <w:szCs w:val="22"/>
      </w:rPr>
      <w:tab/>
      <w:t xml:space="preserve">                          DA </w:t>
    </w:r>
    <w:r w:rsidR="003F559D">
      <w:rPr>
        <w:b/>
        <w:szCs w:val="22"/>
      </w:rPr>
      <w:t>2</w:t>
    </w:r>
    <w:r w:rsidR="00AC7339">
      <w:rPr>
        <w:b/>
        <w:szCs w:val="22"/>
      </w:rPr>
      <w:t>4</w:t>
    </w:r>
    <w:r w:rsidR="0084075E">
      <w:rPr>
        <w:b/>
        <w:szCs w:val="22"/>
      </w:rPr>
      <w:t>-51</w:t>
    </w:r>
  </w:p>
  <w:p w:rsidR="00441008" w14:paraId="6E2889BA" w14:textId="0478AA95">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1475490004" name="Straight Connector 14754900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5490004"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441008" w14:paraId="2438874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008" w:rsidRPr="009910A2" w14:paraId="0F9D759B" w14:textId="0E6A0A68">
    <w:pPr>
      <w:pStyle w:val="Header"/>
      <w:tabs>
        <w:tab w:val="clear" w:pos="4320"/>
        <w:tab w:val="center" w:pos="4680"/>
        <w:tab w:val="clear" w:pos="8640"/>
        <w:tab w:val="right" w:pos="9360"/>
      </w:tabs>
      <w:rPr>
        <w:b/>
        <w:szCs w:val="22"/>
      </w:rPr>
    </w:pPr>
    <w:r>
      <w:rPr>
        <w:b/>
      </w:rPr>
      <w:tab/>
    </w:r>
    <w:r w:rsidRPr="009910A2">
      <w:rPr>
        <w:b/>
        <w:szCs w:val="22"/>
      </w:rPr>
      <w:t>Federal Communications Commission</w:t>
    </w:r>
    <w:r w:rsidRPr="009910A2">
      <w:rPr>
        <w:b/>
        <w:szCs w:val="22"/>
      </w:rPr>
      <w:tab/>
      <w:t xml:space="preserve">                          DA </w:t>
    </w:r>
    <w:r w:rsidR="009B4B74">
      <w:rPr>
        <w:b/>
        <w:szCs w:val="22"/>
      </w:rPr>
      <w:t>2</w:t>
    </w:r>
    <w:r w:rsidR="00AC7339">
      <w:rPr>
        <w:b/>
        <w:szCs w:val="22"/>
      </w:rPr>
      <w:t>4</w:t>
    </w:r>
    <w:r w:rsidR="0084075E">
      <w:rPr>
        <w:b/>
        <w:szCs w:val="22"/>
      </w:rPr>
      <w:t>-51</w:t>
    </w:r>
  </w:p>
  <w:p w:rsidR="00441008" w:rsidRPr="00ED3F1D" w14:paraId="26B56BB7" w14:textId="0B820AA2">
    <w:pPr>
      <w:pStyle w:val="Header"/>
      <w:tabs>
        <w:tab w:val="clear" w:pos="8640"/>
        <w:tab w:val="right" w:pos="9360"/>
      </w:tabs>
      <w:rPr>
        <w:rFonts w:ascii="Times New Roman Bold" w:hAnsi="Times New Roman Bold"/>
        <w:color w:val="FF0000"/>
      </w:rPr>
    </w:pPr>
    <w:r>
      <w:rPr>
        <w:rFonts w:ascii="Times New Roman Bold" w:hAnsi="Times New Roman Bold"/>
        <w:noProof/>
        <w:color w:val="FF000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066178859" name="Straight Connector 10661788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6178859"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1">
    <w:nsid w:val="3D0F1B3D"/>
    <w:multiLevelType w:val="singleLevel"/>
    <w:tmpl w:val="C8E22AB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4">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color w:val="auto"/>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9">
    <w:nsid w:val="5A941B69"/>
    <w:multiLevelType w:val="hybridMultilevel"/>
    <w:tmpl w:val="5A8867B6"/>
    <w:lvl w:ilvl="0">
      <w:start w:val="2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AA11C55"/>
    <w:multiLevelType w:val="hybridMultilevel"/>
    <w:tmpl w:val="B5040A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61182925"/>
    <w:multiLevelType w:val="singleLevel"/>
    <w:tmpl w:val="A9EE9842"/>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7F581C91"/>
    <w:multiLevelType w:val="hybridMultilevel"/>
    <w:tmpl w:val="3DF8BF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3"/>
  </w:num>
  <w:num w:numId="2">
    <w:abstractNumId w:val="24"/>
  </w:num>
  <w:num w:numId="3">
    <w:abstractNumId w:val="3"/>
  </w:num>
  <w:num w:numId="4">
    <w:abstractNumId w:val="16"/>
  </w:num>
  <w:num w:numId="5">
    <w:abstractNumId w:val="4"/>
  </w:num>
  <w:num w:numId="6">
    <w:abstractNumId w:val="21"/>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1"/>
    <w:lvlOverride w:ilvl="0">
      <w:startOverride w:val="1"/>
    </w:lvlOverride>
  </w:num>
  <w:num w:numId="23">
    <w:abstractNumId w:val="11"/>
    <w:lvlOverride w:ilvl="0">
      <w:startOverride w:val="1"/>
    </w:lvlOverride>
  </w:num>
  <w:num w:numId="24">
    <w:abstractNumId w:val="20"/>
  </w:num>
  <w:num w:numId="25">
    <w:abstractNumId w:val="11"/>
    <w:lvlOverride w:ilvl="0">
      <w:startOverride w:val="1"/>
    </w:lvlOverride>
  </w:num>
  <w:num w:numId="26">
    <w:abstractNumId w:val="22"/>
  </w:num>
  <w:num w:numId="27">
    <w:abstractNumId w:val="14"/>
  </w:num>
  <w:num w:numId="28">
    <w:abstractNumId w:val="25"/>
  </w:num>
  <w:num w:numId="29">
    <w:abstractNumId w:val="22"/>
    <w:lvlOverride w:ilvl="0">
      <w:startOverride w:val="1"/>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19"/>
    <w:rsid w:val="000008C2"/>
    <w:rsid w:val="000013A6"/>
    <w:rsid w:val="000017FB"/>
    <w:rsid w:val="000030EC"/>
    <w:rsid w:val="000031F8"/>
    <w:rsid w:val="00004215"/>
    <w:rsid w:val="00005719"/>
    <w:rsid w:val="000069FE"/>
    <w:rsid w:val="00007C1C"/>
    <w:rsid w:val="000106F6"/>
    <w:rsid w:val="000140C6"/>
    <w:rsid w:val="00015D9A"/>
    <w:rsid w:val="00016403"/>
    <w:rsid w:val="0001665B"/>
    <w:rsid w:val="000168B2"/>
    <w:rsid w:val="00020220"/>
    <w:rsid w:val="0002031B"/>
    <w:rsid w:val="000208B0"/>
    <w:rsid w:val="000208BB"/>
    <w:rsid w:val="00020B4F"/>
    <w:rsid w:val="00021174"/>
    <w:rsid w:val="00021411"/>
    <w:rsid w:val="00022974"/>
    <w:rsid w:val="0002601B"/>
    <w:rsid w:val="00027BD7"/>
    <w:rsid w:val="00027E63"/>
    <w:rsid w:val="000309E5"/>
    <w:rsid w:val="00030EB2"/>
    <w:rsid w:val="0003145E"/>
    <w:rsid w:val="00032242"/>
    <w:rsid w:val="000336D2"/>
    <w:rsid w:val="00035A19"/>
    <w:rsid w:val="000379CA"/>
    <w:rsid w:val="00040B3C"/>
    <w:rsid w:val="00043198"/>
    <w:rsid w:val="0004378D"/>
    <w:rsid w:val="00044CA7"/>
    <w:rsid w:val="00045CFD"/>
    <w:rsid w:val="000464B9"/>
    <w:rsid w:val="0004766C"/>
    <w:rsid w:val="00047D42"/>
    <w:rsid w:val="00047FF5"/>
    <w:rsid w:val="00050B3A"/>
    <w:rsid w:val="00052247"/>
    <w:rsid w:val="00052A9A"/>
    <w:rsid w:val="000548EB"/>
    <w:rsid w:val="00056191"/>
    <w:rsid w:val="0005717C"/>
    <w:rsid w:val="00061906"/>
    <w:rsid w:val="00064182"/>
    <w:rsid w:val="00065E60"/>
    <w:rsid w:val="00066026"/>
    <w:rsid w:val="00066FEF"/>
    <w:rsid w:val="00067315"/>
    <w:rsid w:val="000706DA"/>
    <w:rsid w:val="000708D2"/>
    <w:rsid w:val="0007130C"/>
    <w:rsid w:val="00073999"/>
    <w:rsid w:val="0008064C"/>
    <w:rsid w:val="000809F1"/>
    <w:rsid w:val="00084041"/>
    <w:rsid w:val="00084858"/>
    <w:rsid w:val="00086806"/>
    <w:rsid w:val="00086B84"/>
    <w:rsid w:val="00091B11"/>
    <w:rsid w:val="00094897"/>
    <w:rsid w:val="00095D00"/>
    <w:rsid w:val="000A035D"/>
    <w:rsid w:val="000A0531"/>
    <w:rsid w:val="000A610D"/>
    <w:rsid w:val="000B1BA1"/>
    <w:rsid w:val="000B1D25"/>
    <w:rsid w:val="000B4872"/>
    <w:rsid w:val="000B4BE9"/>
    <w:rsid w:val="000B67CE"/>
    <w:rsid w:val="000B70A8"/>
    <w:rsid w:val="000C02AA"/>
    <w:rsid w:val="000C0FFB"/>
    <w:rsid w:val="000C2EFA"/>
    <w:rsid w:val="000C442F"/>
    <w:rsid w:val="000C5AE1"/>
    <w:rsid w:val="000C76A2"/>
    <w:rsid w:val="000D5B43"/>
    <w:rsid w:val="000D686E"/>
    <w:rsid w:val="000D6ACC"/>
    <w:rsid w:val="000E03FA"/>
    <w:rsid w:val="000E207D"/>
    <w:rsid w:val="000E2199"/>
    <w:rsid w:val="000E272F"/>
    <w:rsid w:val="000E5C6D"/>
    <w:rsid w:val="000E7235"/>
    <w:rsid w:val="000E738A"/>
    <w:rsid w:val="000F41DF"/>
    <w:rsid w:val="000F67CE"/>
    <w:rsid w:val="000F7145"/>
    <w:rsid w:val="00100E7A"/>
    <w:rsid w:val="001015DB"/>
    <w:rsid w:val="00101EE9"/>
    <w:rsid w:val="001045CF"/>
    <w:rsid w:val="0010515D"/>
    <w:rsid w:val="001058D8"/>
    <w:rsid w:val="00105BD1"/>
    <w:rsid w:val="0010641C"/>
    <w:rsid w:val="001070B1"/>
    <w:rsid w:val="0011445B"/>
    <w:rsid w:val="00120843"/>
    <w:rsid w:val="00126322"/>
    <w:rsid w:val="00126490"/>
    <w:rsid w:val="001312C8"/>
    <w:rsid w:val="00136ED3"/>
    <w:rsid w:val="001403E4"/>
    <w:rsid w:val="001421C2"/>
    <w:rsid w:val="00142E31"/>
    <w:rsid w:val="00143108"/>
    <w:rsid w:val="0015028D"/>
    <w:rsid w:val="001535BE"/>
    <w:rsid w:val="00153B97"/>
    <w:rsid w:val="00154EC5"/>
    <w:rsid w:val="00156F30"/>
    <w:rsid w:val="0016142E"/>
    <w:rsid w:val="001625F0"/>
    <w:rsid w:val="0016299A"/>
    <w:rsid w:val="00163B1C"/>
    <w:rsid w:val="001669BE"/>
    <w:rsid w:val="001703B2"/>
    <w:rsid w:val="001745DF"/>
    <w:rsid w:val="00174812"/>
    <w:rsid w:val="00174E15"/>
    <w:rsid w:val="001772A8"/>
    <w:rsid w:val="001803D0"/>
    <w:rsid w:val="0018144E"/>
    <w:rsid w:val="00181F75"/>
    <w:rsid w:val="00182E7D"/>
    <w:rsid w:val="001838C5"/>
    <w:rsid w:val="001857C7"/>
    <w:rsid w:val="00186BB7"/>
    <w:rsid w:val="00186D84"/>
    <w:rsid w:val="001876A8"/>
    <w:rsid w:val="00187B48"/>
    <w:rsid w:val="00190821"/>
    <w:rsid w:val="001922C1"/>
    <w:rsid w:val="00193072"/>
    <w:rsid w:val="00193539"/>
    <w:rsid w:val="00193B56"/>
    <w:rsid w:val="00194E8D"/>
    <w:rsid w:val="00194EE1"/>
    <w:rsid w:val="00195155"/>
    <w:rsid w:val="001954C3"/>
    <w:rsid w:val="001957F8"/>
    <w:rsid w:val="001A003B"/>
    <w:rsid w:val="001A11CB"/>
    <w:rsid w:val="001A2792"/>
    <w:rsid w:val="001A2CF5"/>
    <w:rsid w:val="001A3872"/>
    <w:rsid w:val="001A47A7"/>
    <w:rsid w:val="001A49AC"/>
    <w:rsid w:val="001A7003"/>
    <w:rsid w:val="001A7269"/>
    <w:rsid w:val="001B2277"/>
    <w:rsid w:val="001B6AC5"/>
    <w:rsid w:val="001C0CFF"/>
    <w:rsid w:val="001C16C1"/>
    <w:rsid w:val="001C36F7"/>
    <w:rsid w:val="001C49BD"/>
    <w:rsid w:val="001C4D13"/>
    <w:rsid w:val="001C4D44"/>
    <w:rsid w:val="001C6696"/>
    <w:rsid w:val="001C6A04"/>
    <w:rsid w:val="001C6F60"/>
    <w:rsid w:val="001D140C"/>
    <w:rsid w:val="001D14BB"/>
    <w:rsid w:val="001D44A9"/>
    <w:rsid w:val="001D5BF0"/>
    <w:rsid w:val="001D5D9D"/>
    <w:rsid w:val="001D720A"/>
    <w:rsid w:val="001D7F01"/>
    <w:rsid w:val="001E0EC0"/>
    <w:rsid w:val="001E383F"/>
    <w:rsid w:val="001E5D18"/>
    <w:rsid w:val="001F06A2"/>
    <w:rsid w:val="001F54F6"/>
    <w:rsid w:val="001F5A6C"/>
    <w:rsid w:val="001F67CA"/>
    <w:rsid w:val="0020559D"/>
    <w:rsid w:val="00207208"/>
    <w:rsid w:val="00213091"/>
    <w:rsid w:val="00213C9A"/>
    <w:rsid w:val="002166AD"/>
    <w:rsid w:val="00220419"/>
    <w:rsid w:val="0022207E"/>
    <w:rsid w:val="00224F33"/>
    <w:rsid w:val="00225DE8"/>
    <w:rsid w:val="00227F5A"/>
    <w:rsid w:val="00230B75"/>
    <w:rsid w:val="00231F68"/>
    <w:rsid w:val="00232B94"/>
    <w:rsid w:val="00237004"/>
    <w:rsid w:val="0024013A"/>
    <w:rsid w:val="00241561"/>
    <w:rsid w:val="00241C83"/>
    <w:rsid w:val="00242486"/>
    <w:rsid w:val="00252C66"/>
    <w:rsid w:val="00254D78"/>
    <w:rsid w:val="00260148"/>
    <w:rsid w:val="002602DD"/>
    <w:rsid w:val="00261650"/>
    <w:rsid w:val="00261DF5"/>
    <w:rsid w:val="002633DF"/>
    <w:rsid w:val="00263F7B"/>
    <w:rsid w:val="00264F6A"/>
    <w:rsid w:val="002657FD"/>
    <w:rsid w:val="0026661A"/>
    <w:rsid w:val="002671CA"/>
    <w:rsid w:val="00267539"/>
    <w:rsid w:val="00267CB0"/>
    <w:rsid w:val="00272F4D"/>
    <w:rsid w:val="002755BB"/>
    <w:rsid w:val="002760BE"/>
    <w:rsid w:val="002771C3"/>
    <w:rsid w:val="00280FA5"/>
    <w:rsid w:val="00281646"/>
    <w:rsid w:val="00282164"/>
    <w:rsid w:val="002822E6"/>
    <w:rsid w:val="00282928"/>
    <w:rsid w:val="00284A35"/>
    <w:rsid w:val="00287F3F"/>
    <w:rsid w:val="00287FD2"/>
    <w:rsid w:val="00292499"/>
    <w:rsid w:val="00294526"/>
    <w:rsid w:val="002A050E"/>
    <w:rsid w:val="002A084E"/>
    <w:rsid w:val="002A176E"/>
    <w:rsid w:val="002A28FC"/>
    <w:rsid w:val="002A3651"/>
    <w:rsid w:val="002A57F9"/>
    <w:rsid w:val="002A60A8"/>
    <w:rsid w:val="002A6A8F"/>
    <w:rsid w:val="002A7FC1"/>
    <w:rsid w:val="002B1BD0"/>
    <w:rsid w:val="002B2F47"/>
    <w:rsid w:val="002B4956"/>
    <w:rsid w:val="002B4DF1"/>
    <w:rsid w:val="002B649A"/>
    <w:rsid w:val="002B739E"/>
    <w:rsid w:val="002C0598"/>
    <w:rsid w:val="002C355A"/>
    <w:rsid w:val="002C4C2A"/>
    <w:rsid w:val="002C4E39"/>
    <w:rsid w:val="002C6E80"/>
    <w:rsid w:val="002C72B2"/>
    <w:rsid w:val="002C7FA1"/>
    <w:rsid w:val="002D0E0C"/>
    <w:rsid w:val="002D2A98"/>
    <w:rsid w:val="002D7F58"/>
    <w:rsid w:val="002E015F"/>
    <w:rsid w:val="002E0FC0"/>
    <w:rsid w:val="002E1236"/>
    <w:rsid w:val="002E2443"/>
    <w:rsid w:val="002E2726"/>
    <w:rsid w:val="002E6848"/>
    <w:rsid w:val="002E6F6E"/>
    <w:rsid w:val="002F194E"/>
    <w:rsid w:val="002F2938"/>
    <w:rsid w:val="002F3F34"/>
    <w:rsid w:val="002F40BE"/>
    <w:rsid w:val="002F4A06"/>
    <w:rsid w:val="002F5965"/>
    <w:rsid w:val="002F6345"/>
    <w:rsid w:val="002F7F1C"/>
    <w:rsid w:val="00300E02"/>
    <w:rsid w:val="0030717B"/>
    <w:rsid w:val="00307927"/>
    <w:rsid w:val="00313631"/>
    <w:rsid w:val="00313C08"/>
    <w:rsid w:val="003142A6"/>
    <w:rsid w:val="003152BD"/>
    <w:rsid w:val="003167BE"/>
    <w:rsid w:val="00320546"/>
    <w:rsid w:val="00322F84"/>
    <w:rsid w:val="003235DC"/>
    <w:rsid w:val="00323E26"/>
    <w:rsid w:val="0032610B"/>
    <w:rsid w:val="00327AC4"/>
    <w:rsid w:val="00327AC6"/>
    <w:rsid w:val="003313AE"/>
    <w:rsid w:val="003314FD"/>
    <w:rsid w:val="003317D9"/>
    <w:rsid w:val="00332D55"/>
    <w:rsid w:val="00332EDA"/>
    <w:rsid w:val="00332F8A"/>
    <w:rsid w:val="00333196"/>
    <w:rsid w:val="00333B65"/>
    <w:rsid w:val="00334AC6"/>
    <w:rsid w:val="003403CF"/>
    <w:rsid w:val="003409D0"/>
    <w:rsid w:val="003419E3"/>
    <w:rsid w:val="00341AF4"/>
    <w:rsid w:val="00345BA8"/>
    <w:rsid w:val="003518A0"/>
    <w:rsid w:val="00354095"/>
    <w:rsid w:val="00355683"/>
    <w:rsid w:val="00360A7B"/>
    <w:rsid w:val="00360E5E"/>
    <w:rsid w:val="003611D1"/>
    <w:rsid w:val="0036533A"/>
    <w:rsid w:val="0036576B"/>
    <w:rsid w:val="003674B4"/>
    <w:rsid w:val="0037221C"/>
    <w:rsid w:val="00373DD4"/>
    <w:rsid w:val="00376E50"/>
    <w:rsid w:val="00377CAF"/>
    <w:rsid w:val="003812C1"/>
    <w:rsid w:val="00381B08"/>
    <w:rsid w:val="003820E1"/>
    <w:rsid w:val="0038365F"/>
    <w:rsid w:val="00383AA8"/>
    <w:rsid w:val="0039098A"/>
    <w:rsid w:val="003919F5"/>
    <w:rsid w:val="0039428D"/>
    <w:rsid w:val="00397B3E"/>
    <w:rsid w:val="00397EAD"/>
    <w:rsid w:val="003A026C"/>
    <w:rsid w:val="003A031B"/>
    <w:rsid w:val="003A0745"/>
    <w:rsid w:val="003A0A48"/>
    <w:rsid w:val="003A1713"/>
    <w:rsid w:val="003A1BD1"/>
    <w:rsid w:val="003A1D84"/>
    <w:rsid w:val="003A2E11"/>
    <w:rsid w:val="003A3652"/>
    <w:rsid w:val="003A77DD"/>
    <w:rsid w:val="003B1EE3"/>
    <w:rsid w:val="003B2520"/>
    <w:rsid w:val="003B2B71"/>
    <w:rsid w:val="003B35C0"/>
    <w:rsid w:val="003B3A46"/>
    <w:rsid w:val="003B4300"/>
    <w:rsid w:val="003B49EA"/>
    <w:rsid w:val="003B5716"/>
    <w:rsid w:val="003B6E83"/>
    <w:rsid w:val="003B7B15"/>
    <w:rsid w:val="003C0F5C"/>
    <w:rsid w:val="003C345E"/>
    <w:rsid w:val="003C3E05"/>
    <w:rsid w:val="003D51CA"/>
    <w:rsid w:val="003D582E"/>
    <w:rsid w:val="003D61CD"/>
    <w:rsid w:val="003D6C57"/>
    <w:rsid w:val="003D713D"/>
    <w:rsid w:val="003E2F07"/>
    <w:rsid w:val="003E2FD0"/>
    <w:rsid w:val="003E31F5"/>
    <w:rsid w:val="003F03A4"/>
    <w:rsid w:val="003F12A2"/>
    <w:rsid w:val="003F1AC9"/>
    <w:rsid w:val="003F4030"/>
    <w:rsid w:val="003F559D"/>
    <w:rsid w:val="003F6BE3"/>
    <w:rsid w:val="004004D7"/>
    <w:rsid w:val="00401BCC"/>
    <w:rsid w:val="0040226A"/>
    <w:rsid w:val="00403E3C"/>
    <w:rsid w:val="0040417C"/>
    <w:rsid w:val="004043A6"/>
    <w:rsid w:val="00404658"/>
    <w:rsid w:val="0040476A"/>
    <w:rsid w:val="00404BB8"/>
    <w:rsid w:val="0040539C"/>
    <w:rsid w:val="0040624E"/>
    <w:rsid w:val="0041371C"/>
    <w:rsid w:val="00413DD6"/>
    <w:rsid w:val="0041568B"/>
    <w:rsid w:val="0041685C"/>
    <w:rsid w:val="0041764C"/>
    <w:rsid w:val="0042068C"/>
    <w:rsid w:val="00421842"/>
    <w:rsid w:val="00424086"/>
    <w:rsid w:val="0042566C"/>
    <w:rsid w:val="00425DD9"/>
    <w:rsid w:val="00430D3C"/>
    <w:rsid w:val="00431AAF"/>
    <w:rsid w:val="00431C7A"/>
    <w:rsid w:val="00432D96"/>
    <w:rsid w:val="004330B9"/>
    <w:rsid w:val="00433F3F"/>
    <w:rsid w:val="004343A6"/>
    <w:rsid w:val="00434A38"/>
    <w:rsid w:val="00434B2D"/>
    <w:rsid w:val="0043507A"/>
    <w:rsid w:val="00435825"/>
    <w:rsid w:val="0043624D"/>
    <w:rsid w:val="0043767E"/>
    <w:rsid w:val="00437804"/>
    <w:rsid w:val="00440777"/>
    <w:rsid w:val="00441008"/>
    <w:rsid w:val="00442C53"/>
    <w:rsid w:val="00443178"/>
    <w:rsid w:val="00445330"/>
    <w:rsid w:val="0044600F"/>
    <w:rsid w:val="0044624D"/>
    <w:rsid w:val="004471D8"/>
    <w:rsid w:val="004472C5"/>
    <w:rsid w:val="004477EE"/>
    <w:rsid w:val="00451D06"/>
    <w:rsid w:val="00452E36"/>
    <w:rsid w:val="00453816"/>
    <w:rsid w:val="00453A94"/>
    <w:rsid w:val="00455734"/>
    <w:rsid w:val="00456F8B"/>
    <w:rsid w:val="004573A3"/>
    <w:rsid w:val="00460B8F"/>
    <w:rsid w:val="00462008"/>
    <w:rsid w:val="004639CA"/>
    <w:rsid w:val="0047032F"/>
    <w:rsid w:val="00470429"/>
    <w:rsid w:val="00470AA5"/>
    <w:rsid w:val="00471333"/>
    <w:rsid w:val="00473124"/>
    <w:rsid w:val="004733F3"/>
    <w:rsid w:val="0047346B"/>
    <w:rsid w:val="004751EA"/>
    <w:rsid w:val="004765E1"/>
    <w:rsid w:val="0047726F"/>
    <w:rsid w:val="00477394"/>
    <w:rsid w:val="00480E32"/>
    <w:rsid w:val="004813BD"/>
    <w:rsid w:val="00482280"/>
    <w:rsid w:val="004822A3"/>
    <w:rsid w:val="00482605"/>
    <w:rsid w:val="004837EF"/>
    <w:rsid w:val="00487E54"/>
    <w:rsid w:val="004907E1"/>
    <w:rsid w:val="004918E7"/>
    <w:rsid w:val="00491BA4"/>
    <w:rsid w:val="00491BF2"/>
    <w:rsid w:val="00491DE6"/>
    <w:rsid w:val="00491E5A"/>
    <w:rsid w:val="0049509A"/>
    <w:rsid w:val="00496C0C"/>
    <w:rsid w:val="00497E07"/>
    <w:rsid w:val="004A210D"/>
    <w:rsid w:val="004A23D3"/>
    <w:rsid w:val="004A2F2F"/>
    <w:rsid w:val="004A68DD"/>
    <w:rsid w:val="004A6F0D"/>
    <w:rsid w:val="004B04FA"/>
    <w:rsid w:val="004B277A"/>
    <w:rsid w:val="004B2B1A"/>
    <w:rsid w:val="004B33E9"/>
    <w:rsid w:val="004B6618"/>
    <w:rsid w:val="004B7AE3"/>
    <w:rsid w:val="004C1BBC"/>
    <w:rsid w:val="004C1D21"/>
    <w:rsid w:val="004C5137"/>
    <w:rsid w:val="004C6950"/>
    <w:rsid w:val="004C740C"/>
    <w:rsid w:val="004C7D87"/>
    <w:rsid w:val="004D1A4A"/>
    <w:rsid w:val="004D2F33"/>
    <w:rsid w:val="004D3AC2"/>
    <w:rsid w:val="004D5940"/>
    <w:rsid w:val="004D69A3"/>
    <w:rsid w:val="004E2F74"/>
    <w:rsid w:val="004E4B12"/>
    <w:rsid w:val="004E5382"/>
    <w:rsid w:val="004E53E0"/>
    <w:rsid w:val="004F0712"/>
    <w:rsid w:val="004F18EC"/>
    <w:rsid w:val="004F1D5E"/>
    <w:rsid w:val="00500561"/>
    <w:rsid w:val="005013B9"/>
    <w:rsid w:val="0050341E"/>
    <w:rsid w:val="0050556D"/>
    <w:rsid w:val="005055C6"/>
    <w:rsid w:val="005056B0"/>
    <w:rsid w:val="00507F6F"/>
    <w:rsid w:val="00510531"/>
    <w:rsid w:val="00511920"/>
    <w:rsid w:val="0051288B"/>
    <w:rsid w:val="00514C8E"/>
    <w:rsid w:val="00514F4D"/>
    <w:rsid w:val="005170AC"/>
    <w:rsid w:val="0052374E"/>
    <w:rsid w:val="0052558E"/>
    <w:rsid w:val="005257BF"/>
    <w:rsid w:val="00527836"/>
    <w:rsid w:val="00532796"/>
    <w:rsid w:val="00533018"/>
    <w:rsid w:val="0053356E"/>
    <w:rsid w:val="00533997"/>
    <w:rsid w:val="00534057"/>
    <w:rsid w:val="00535714"/>
    <w:rsid w:val="00537AFB"/>
    <w:rsid w:val="00537CB8"/>
    <w:rsid w:val="00540B15"/>
    <w:rsid w:val="005413DE"/>
    <w:rsid w:val="00542BDD"/>
    <w:rsid w:val="00542CCA"/>
    <w:rsid w:val="00543A78"/>
    <w:rsid w:val="00543FEF"/>
    <w:rsid w:val="0054594D"/>
    <w:rsid w:val="00546822"/>
    <w:rsid w:val="0054747C"/>
    <w:rsid w:val="00547F86"/>
    <w:rsid w:val="0055016C"/>
    <w:rsid w:val="005501AA"/>
    <w:rsid w:val="00552C8A"/>
    <w:rsid w:val="00553080"/>
    <w:rsid w:val="005534E1"/>
    <w:rsid w:val="00554867"/>
    <w:rsid w:val="005559D2"/>
    <w:rsid w:val="00556817"/>
    <w:rsid w:val="00560285"/>
    <w:rsid w:val="00560B4B"/>
    <w:rsid w:val="00560F24"/>
    <w:rsid w:val="00563063"/>
    <w:rsid w:val="00563903"/>
    <w:rsid w:val="00563E94"/>
    <w:rsid w:val="00564537"/>
    <w:rsid w:val="00565AF6"/>
    <w:rsid w:val="00566B9A"/>
    <w:rsid w:val="00566EBF"/>
    <w:rsid w:val="0056795C"/>
    <w:rsid w:val="005711B4"/>
    <w:rsid w:val="005728E4"/>
    <w:rsid w:val="005730B0"/>
    <w:rsid w:val="005748B8"/>
    <w:rsid w:val="005824B2"/>
    <w:rsid w:val="005915D2"/>
    <w:rsid w:val="00591AAC"/>
    <w:rsid w:val="0059560B"/>
    <w:rsid w:val="005A0C25"/>
    <w:rsid w:val="005A5C2B"/>
    <w:rsid w:val="005A706B"/>
    <w:rsid w:val="005B53FA"/>
    <w:rsid w:val="005B5F94"/>
    <w:rsid w:val="005B6218"/>
    <w:rsid w:val="005C2F26"/>
    <w:rsid w:val="005C34C2"/>
    <w:rsid w:val="005C3EB4"/>
    <w:rsid w:val="005C451A"/>
    <w:rsid w:val="005C48FA"/>
    <w:rsid w:val="005C5B6B"/>
    <w:rsid w:val="005C6627"/>
    <w:rsid w:val="005C68BE"/>
    <w:rsid w:val="005C7599"/>
    <w:rsid w:val="005D0BC3"/>
    <w:rsid w:val="005D155B"/>
    <w:rsid w:val="005D1790"/>
    <w:rsid w:val="005D1A84"/>
    <w:rsid w:val="005D2245"/>
    <w:rsid w:val="005D3EFB"/>
    <w:rsid w:val="005D4F73"/>
    <w:rsid w:val="005E0F81"/>
    <w:rsid w:val="005E1FF4"/>
    <w:rsid w:val="005E3C85"/>
    <w:rsid w:val="005E5794"/>
    <w:rsid w:val="005E7799"/>
    <w:rsid w:val="005E7B73"/>
    <w:rsid w:val="005F11C4"/>
    <w:rsid w:val="005F1A12"/>
    <w:rsid w:val="005F1BED"/>
    <w:rsid w:val="005F4EE3"/>
    <w:rsid w:val="005F5EEB"/>
    <w:rsid w:val="005F7723"/>
    <w:rsid w:val="00601C06"/>
    <w:rsid w:val="006067E6"/>
    <w:rsid w:val="00610B63"/>
    <w:rsid w:val="00610D88"/>
    <w:rsid w:val="00612592"/>
    <w:rsid w:val="00615060"/>
    <w:rsid w:val="006150C0"/>
    <w:rsid w:val="0062084A"/>
    <w:rsid w:val="006209A0"/>
    <w:rsid w:val="00625C37"/>
    <w:rsid w:val="00626398"/>
    <w:rsid w:val="0062679F"/>
    <w:rsid w:val="00627F83"/>
    <w:rsid w:val="006300D2"/>
    <w:rsid w:val="0063060F"/>
    <w:rsid w:val="00630611"/>
    <w:rsid w:val="00631064"/>
    <w:rsid w:val="00632FB4"/>
    <w:rsid w:val="00633D07"/>
    <w:rsid w:val="00635015"/>
    <w:rsid w:val="00635400"/>
    <w:rsid w:val="006355BE"/>
    <w:rsid w:val="00636240"/>
    <w:rsid w:val="00637636"/>
    <w:rsid w:val="006401B2"/>
    <w:rsid w:val="00641F32"/>
    <w:rsid w:val="00642433"/>
    <w:rsid w:val="00642EA7"/>
    <w:rsid w:val="00643FAA"/>
    <w:rsid w:val="00644B6A"/>
    <w:rsid w:val="00647F00"/>
    <w:rsid w:val="006502C4"/>
    <w:rsid w:val="006503A5"/>
    <w:rsid w:val="00651273"/>
    <w:rsid w:val="006520EE"/>
    <w:rsid w:val="0065224C"/>
    <w:rsid w:val="006523EA"/>
    <w:rsid w:val="00652C66"/>
    <w:rsid w:val="00654617"/>
    <w:rsid w:val="00661294"/>
    <w:rsid w:val="00665ECE"/>
    <w:rsid w:val="00666B95"/>
    <w:rsid w:val="00667F4F"/>
    <w:rsid w:val="006706CE"/>
    <w:rsid w:val="00673ABC"/>
    <w:rsid w:val="00674FAC"/>
    <w:rsid w:val="00684FB2"/>
    <w:rsid w:val="00691DF2"/>
    <w:rsid w:val="006927C9"/>
    <w:rsid w:val="006932CA"/>
    <w:rsid w:val="0069346C"/>
    <w:rsid w:val="00693657"/>
    <w:rsid w:val="0069368C"/>
    <w:rsid w:val="00693D13"/>
    <w:rsid w:val="00694871"/>
    <w:rsid w:val="00695049"/>
    <w:rsid w:val="0069667D"/>
    <w:rsid w:val="00696690"/>
    <w:rsid w:val="00696DAD"/>
    <w:rsid w:val="0069711A"/>
    <w:rsid w:val="006975DB"/>
    <w:rsid w:val="00697751"/>
    <w:rsid w:val="006A007A"/>
    <w:rsid w:val="006A260B"/>
    <w:rsid w:val="006A2DB2"/>
    <w:rsid w:val="006A44DA"/>
    <w:rsid w:val="006A5348"/>
    <w:rsid w:val="006B0B8D"/>
    <w:rsid w:val="006B12A6"/>
    <w:rsid w:val="006B4AAF"/>
    <w:rsid w:val="006B5B09"/>
    <w:rsid w:val="006B6781"/>
    <w:rsid w:val="006C2419"/>
    <w:rsid w:val="006C41E6"/>
    <w:rsid w:val="006C4DAE"/>
    <w:rsid w:val="006C4E63"/>
    <w:rsid w:val="006C578E"/>
    <w:rsid w:val="006C5B49"/>
    <w:rsid w:val="006C5B94"/>
    <w:rsid w:val="006D0591"/>
    <w:rsid w:val="006D4C70"/>
    <w:rsid w:val="006D6C3E"/>
    <w:rsid w:val="006E077B"/>
    <w:rsid w:val="006E0F67"/>
    <w:rsid w:val="006E2D8A"/>
    <w:rsid w:val="006E2FD6"/>
    <w:rsid w:val="006E37E6"/>
    <w:rsid w:val="006E57EA"/>
    <w:rsid w:val="006E6092"/>
    <w:rsid w:val="006E640B"/>
    <w:rsid w:val="006E6E3B"/>
    <w:rsid w:val="006F135E"/>
    <w:rsid w:val="006F1F87"/>
    <w:rsid w:val="006F4BC2"/>
    <w:rsid w:val="006F5C3A"/>
    <w:rsid w:val="006F6F51"/>
    <w:rsid w:val="006F7B17"/>
    <w:rsid w:val="00702461"/>
    <w:rsid w:val="007024B8"/>
    <w:rsid w:val="00703833"/>
    <w:rsid w:val="00704FD5"/>
    <w:rsid w:val="0070796D"/>
    <w:rsid w:val="00707BEF"/>
    <w:rsid w:val="007114A4"/>
    <w:rsid w:val="00711BC6"/>
    <w:rsid w:val="00714B07"/>
    <w:rsid w:val="007177D3"/>
    <w:rsid w:val="00721CD3"/>
    <w:rsid w:val="0072238C"/>
    <w:rsid w:val="00722EE5"/>
    <w:rsid w:val="007237E4"/>
    <w:rsid w:val="00725BF0"/>
    <w:rsid w:val="00725FDD"/>
    <w:rsid w:val="007265E9"/>
    <w:rsid w:val="0072764D"/>
    <w:rsid w:val="007311B9"/>
    <w:rsid w:val="007341F4"/>
    <w:rsid w:val="007348A0"/>
    <w:rsid w:val="007349BA"/>
    <w:rsid w:val="00736398"/>
    <w:rsid w:val="0073684D"/>
    <w:rsid w:val="007373BF"/>
    <w:rsid w:val="0073744C"/>
    <w:rsid w:val="00737FD2"/>
    <w:rsid w:val="0074103A"/>
    <w:rsid w:val="00742311"/>
    <w:rsid w:val="00742B56"/>
    <w:rsid w:val="007430F1"/>
    <w:rsid w:val="0074318B"/>
    <w:rsid w:val="00745ECD"/>
    <w:rsid w:val="00746081"/>
    <w:rsid w:val="00750B96"/>
    <w:rsid w:val="00751751"/>
    <w:rsid w:val="007556D6"/>
    <w:rsid w:val="00755F7C"/>
    <w:rsid w:val="00756444"/>
    <w:rsid w:val="00756CA8"/>
    <w:rsid w:val="00757FB3"/>
    <w:rsid w:val="00761B8E"/>
    <w:rsid w:val="00761F03"/>
    <w:rsid w:val="007621FB"/>
    <w:rsid w:val="007625EA"/>
    <w:rsid w:val="007626DC"/>
    <w:rsid w:val="0076271A"/>
    <w:rsid w:val="00762939"/>
    <w:rsid w:val="0076372D"/>
    <w:rsid w:val="00764080"/>
    <w:rsid w:val="00766354"/>
    <w:rsid w:val="0076655F"/>
    <w:rsid w:val="00766CC4"/>
    <w:rsid w:val="00770938"/>
    <w:rsid w:val="00772170"/>
    <w:rsid w:val="00772334"/>
    <w:rsid w:val="00774712"/>
    <w:rsid w:val="0077699D"/>
    <w:rsid w:val="00776A41"/>
    <w:rsid w:val="00780352"/>
    <w:rsid w:val="00780F79"/>
    <w:rsid w:val="007819B4"/>
    <w:rsid w:val="007822A7"/>
    <w:rsid w:val="0078331A"/>
    <w:rsid w:val="00783E8E"/>
    <w:rsid w:val="00783F8B"/>
    <w:rsid w:val="00784D86"/>
    <w:rsid w:val="007869A3"/>
    <w:rsid w:val="00787858"/>
    <w:rsid w:val="00787E2F"/>
    <w:rsid w:val="00790346"/>
    <w:rsid w:val="00793253"/>
    <w:rsid w:val="007937AA"/>
    <w:rsid w:val="007939A7"/>
    <w:rsid w:val="007939CC"/>
    <w:rsid w:val="00794E2C"/>
    <w:rsid w:val="00797D41"/>
    <w:rsid w:val="007A0378"/>
    <w:rsid w:val="007A04E6"/>
    <w:rsid w:val="007A079E"/>
    <w:rsid w:val="007A0B1E"/>
    <w:rsid w:val="007A497A"/>
    <w:rsid w:val="007A512B"/>
    <w:rsid w:val="007A5A15"/>
    <w:rsid w:val="007A66CA"/>
    <w:rsid w:val="007A677F"/>
    <w:rsid w:val="007B0AF5"/>
    <w:rsid w:val="007B2E0E"/>
    <w:rsid w:val="007B6C09"/>
    <w:rsid w:val="007B77DB"/>
    <w:rsid w:val="007C17D9"/>
    <w:rsid w:val="007C1FB6"/>
    <w:rsid w:val="007C713B"/>
    <w:rsid w:val="007D0DCE"/>
    <w:rsid w:val="007D20DB"/>
    <w:rsid w:val="007D4B67"/>
    <w:rsid w:val="007D75A1"/>
    <w:rsid w:val="007E0579"/>
    <w:rsid w:val="007E139F"/>
    <w:rsid w:val="007E19DE"/>
    <w:rsid w:val="007E1BB7"/>
    <w:rsid w:val="007E4E5B"/>
    <w:rsid w:val="007F04A7"/>
    <w:rsid w:val="007F13D4"/>
    <w:rsid w:val="007F2462"/>
    <w:rsid w:val="007F3C0B"/>
    <w:rsid w:val="007F43B5"/>
    <w:rsid w:val="007F4D29"/>
    <w:rsid w:val="007F5CBF"/>
    <w:rsid w:val="007F7CB3"/>
    <w:rsid w:val="00800D64"/>
    <w:rsid w:val="00805D29"/>
    <w:rsid w:val="008061E1"/>
    <w:rsid w:val="00811A28"/>
    <w:rsid w:val="0081475A"/>
    <w:rsid w:val="0081518E"/>
    <w:rsid w:val="008163EC"/>
    <w:rsid w:val="00816433"/>
    <w:rsid w:val="00816708"/>
    <w:rsid w:val="00817495"/>
    <w:rsid w:val="00817DD2"/>
    <w:rsid w:val="00821AE5"/>
    <w:rsid w:val="00822988"/>
    <w:rsid w:val="00822D80"/>
    <w:rsid w:val="008231C0"/>
    <w:rsid w:val="008239FE"/>
    <w:rsid w:val="00823E08"/>
    <w:rsid w:val="00824363"/>
    <w:rsid w:val="00825503"/>
    <w:rsid w:val="00825B95"/>
    <w:rsid w:val="0082747C"/>
    <w:rsid w:val="008276D4"/>
    <w:rsid w:val="0083019F"/>
    <w:rsid w:val="008317F8"/>
    <w:rsid w:val="008319FF"/>
    <w:rsid w:val="00832354"/>
    <w:rsid w:val="00835A62"/>
    <w:rsid w:val="0084075E"/>
    <w:rsid w:val="0084097A"/>
    <w:rsid w:val="0084159E"/>
    <w:rsid w:val="00841B68"/>
    <w:rsid w:val="0084278E"/>
    <w:rsid w:val="00842F69"/>
    <w:rsid w:val="0084439E"/>
    <w:rsid w:val="00844D9B"/>
    <w:rsid w:val="00845D21"/>
    <w:rsid w:val="0084666B"/>
    <w:rsid w:val="008523F3"/>
    <w:rsid w:val="0085285E"/>
    <w:rsid w:val="00857ECB"/>
    <w:rsid w:val="00860A36"/>
    <w:rsid w:val="00860F87"/>
    <w:rsid w:val="008624EA"/>
    <w:rsid w:val="0086375E"/>
    <w:rsid w:val="00863C1E"/>
    <w:rsid w:val="00864BD3"/>
    <w:rsid w:val="00865D3C"/>
    <w:rsid w:val="008662C6"/>
    <w:rsid w:val="008664E9"/>
    <w:rsid w:val="008675FC"/>
    <w:rsid w:val="00867CD9"/>
    <w:rsid w:val="00877E3B"/>
    <w:rsid w:val="008801C3"/>
    <w:rsid w:val="008844B7"/>
    <w:rsid w:val="0088511D"/>
    <w:rsid w:val="00887007"/>
    <w:rsid w:val="00890716"/>
    <w:rsid w:val="00890770"/>
    <w:rsid w:val="00890A44"/>
    <w:rsid w:val="00892141"/>
    <w:rsid w:val="00892382"/>
    <w:rsid w:val="008923BA"/>
    <w:rsid w:val="008951DC"/>
    <w:rsid w:val="00895A57"/>
    <w:rsid w:val="00895EC3"/>
    <w:rsid w:val="00897214"/>
    <w:rsid w:val="008A1121"/>
    <w:rsid w:val="008A15F3"/>
    <w:rsid w:val="008A162B"/>
    <w:rsid w:val="008A1F04"/>
    <w:rsid w:val="008A516A"/>
    <w:rsid w:val="008A5633"/>
    <w:rsid w:val="008A737D"/>
    <w:rsid w:val="008B0D2B"/>
    <w:rsid w:val="008B1F8C"/>
    <w:rsid w:val="008B2D31"/>
    <w:rsid w:val="008C1F78"/>
    <w:rsid w:val="008C2D86"/>
    <w:rsid w:val="008C33BD"/>
    <w:rsid w:val="008C3684"/>
    <w:rsid w:val="008C5ED4"/>
    <w:rsid w:val="008C6879"/>
    <w:rsid w:val="008C7255"/>
    <w:rsid w:val="008C7B8A"/>
    <w:rsid w:val="008D0FF4"/>
    <w:rsid w:val="008D15F3"/>
    <w:rsid w:val="008D1CF7"/>
    <w:rsid w:val="008D24F1"/>
    <w:rsid w:val="008D38DA"/>
    <w:rsid w:val="008D38E6"/>
    <w:rsid w:val="008D4288"/>
    <w:rsid w:val="008D5811"/>
    <w:rsid w:val="008D6438"/>
    <w:rsid w:val="008D7306"/>
    <w:rsid w:val="008D755F"/>
    <w:rsid w:val="008E0BF0"/>
    <w:rsid w:val="008E1180"/>
    <w:rsid w:val="008E2657"/>
    <w:rsid w:val="008E2F14"/>
    <w:rsid w:val="008E4B74"/>
    <w:rsid w:val="008E5ACB"/>
    <w:rsid w:val="008E5BFD"/>
    <w:rsid w:val="008E5FA4"/>
    <w:rsid w:val="008E609F"/>
    <w:rsid w:val="008E67A2"/>
    <w:rsid w:val="008E6B98"/>
    <w:rsid w:val="008E6F61"/>
    <w:rsid w:val="008E7510"/>
    <w:rsid w:val="008F0003"/>
    <w:rsid w:val="008F0156"/>
    <w:rsid w:val="008F187E"/>
    <w:rsid w:val="008F38D1"/>
    <w:rsid w:val="008F5818"/>
    <w:rsid w:val="008F5E7C"/>
    <w:rsid w:val="008F6CC0"/>
    <w:rsid w:val="00900226"/>
    <w:rsid w:val="0090082E"/>
    <w:rsid w:val="009011D4"/>
    <w:rsid w:val="00902625"/>
    <w:rsid w:val="00903DA8"/>
    <w:rsid w:val="009053E9"/>
    <w:rsid w:val="00905FC0"/>
    <w:rsid w:val="00906AE2"/>
    <w:rsid w:val="009070DB"/>
    <w:rsid w:val="00907867"/>
    <w:rsid w:val="00907A9B"/>
    <w:rsid w:val="00912B52"/>
    <w:rsid w:val="00912E70"/>
    <w:rsid w:val="009156E5"/>
    <w:rsid w:val="00916B98"/>
    <w:rsid w:val="00917F9C"/>
    <w:rsid w:val="009210E1"/>
    <w:rsid w:val="009248BE"/>
    <w:rsid w:val="00924DC9"/>
    <w:rsid w:val="0092721E"/>
    <w:rsid w:val="00931FD0"/>
    <w:rsid w:val="009334BC"/>
    <w:rsid w:val="00934D2C"/>
    <w:rsid w:val="00935513"/>
    <w:rsid w:val="00935F0A"/>
    <w:rsid w:val="00937F71"/>
    <w:rsid w:val="009402C3"/>
    <w:rsid w:val="0094277C"/>
    <w:rsid w:val="009445C5"/>
    <w:rsid w:val="00945C36"/>
    <w:rsid w:val="009463F4"/>
    <w:rsid w:val="00946414"/>
    <w:rsid w:val="00946A0A"/>
    <w:rsid w:val="00947A91"/>
    <w:rsid w:val="0095063B"/>
    <w:rsid w:val="0095334F"/>
    <w:rsid w:val="00954B70"/>
    <w:rsid w:val="00957199"/>
    <w:rsid w:val="0095763A"/>
    <w:rsid w:val="00957FE0"/>
    <w:rsid w:val="0096200D"/>
    <w:rsid w:val="009637BF"/>
    <w:rsid w:val="00963A08"/>
    <w:rsid w:val="00963B31"/>
    <w:rsid w:val="00965477"/>
    <w:rsid w:val="0096768C"/>
    <w:rsid w:val="009678EE"/>
    <w:rsid w:val="0097011F"/>
    <w:rsid w:val="009715BF"/>
    <w:rsid w:val="00971B08"/>
    <w:rsid w:val="00971E3B"/>
    <w:rsid w:val="00972BAC"/>
    <w:rsid w:val="009736A9"/>
    <w:rsid w:val="00975284"/>
    <w:rsid w:val="009766F6"/>
    <w:rsid w:val="00976A05"/>
    <w:rsid w:val="00976FA7"/>
    <w:rsid w:val="009827A6"/>
    <w:rsid w:val="0098361B"/>
    <w:rsid w:val="009910A2"/>
    <w:rsid w:val="00995AA0"/>
    <w:rsid w:val="009962D7"/>
    <w:rsid w:val="009A023C"/>
    <w:rsid w:val="009A0BC4"/>
    <w:rsid w:val="009A11C5"/>
    <w:rsid w:val="009A1213"/>
    <w:rsid w:val="009A1F18"/>
    <w:rsid w:val="009A3992"/>
    <w:rsid w:val="009A4CCD"/>
    <w:rsid w:val="009A5242"/>
    <w:rsid w:val="009A5EB0"/>
    <w:rsid w:val="009A68AF"/>
    <w:rsid w:val="009A7A92"/>
    <w:rsid w:val="009A7DE2"/>
    <w:rsid w:val="009B4B74"/>
    <w:rsid w:val="009B54D4"/>
    <w:rsid w:val="009C091F"/>
    <w:rsid w:val="009C7743"/>
    <w:rsid w:val="009D0254"/>
    <w:rsid w:val="009D0C1C"/>
    <w:rsid w:val="009D132A"/>
    <w:rsid w:val="009D17A8"/>
    <w:rsid w:val="009D31E7"/>
    <w:rsid w:val="009D49BA"/>
    <w:rsid w:val="009D5091"/>
    <w:rsid w:val="009D6FB8"/>
    <w:rsid w:val="009E0458"/>
    <w:rsid w:val="009E05C8"/>
    <w:rsid w:val="009E2EB7"/>
    <w:rsid w:val="009E3C61"/>
    <w:rsid w:val="009E6AAF"/>
    <w:rsid w:val="009F0214"/>
    <w:rsid w:val="009F0C8D"/>
    <w:rsid w:val="009F0DD2"/>
    <w:rsid w:val="009F21FB"/>
    <w:rsid w:val="009F2F34"/>
    <w:rsid w:val="009F5215"/>
    <w:rsid w:val="009F726F"/>
    <w:rsid w:val="00A034EB"/>
    <w:rsid w:val="00A07CEB"/>
    <w:rsid w:val="00A10048"/>
    <w:rsid w:val="00A116BB"/>
    <w:rsid w:val="00A12629"/>
    <w:rsid w:val="00A131B9"/>
    <w:rsid w:val="00A13406"/>
    <w:rsid w:val="00A134F3"/>
    <w:rsid w:val="00A213F9"/>
    <w:rsid w:val="00A21D94"/>
    <w:rsid w:val="00A22F49"/>
    <w:rsid w:val="00A231B2"/>
    <w:rsid w:val="00A24AAF"/>
    <w:rsid w:val="00A25C0E"/>
    <w:rsid w:val="00A26DAE"/>
    <w:rsid w:val="00A2775C"/>
    <w:rsid w:val="00A32AE8"/>
    <w:rsid w:val="00A32EA7"/>
    <w:rsid w:val="00A33E26"/>
    <w:rsid w:val="00A35F25"/>
    <w:rsid w:val="00A35F8E"/>
    <w:rsid w:val="00A37362"/>
    <w:rsid w:val="00A4126C"/>
    <w:rsid w:val="00A41A17"/>
    <w:rsid w:val="00A433C6"/>
    <w:rsid w:val="00A43E34"/>
    <w:rsid w:val="00A44DC0"/>
    <w:rsid w:val="00A46FB7"/>
    <w:rsid w:val="00A5084E"/>
    <w:rsid w:val="00A516FD"/>
    <w:rsid w:val="00A5284C"/>
    <w:rsid w:val="00A530FC"/>
    <w:rsid w:val="00A5375B"/>
    <w:rsid w:val="00A53A49"/>
    <w:rsid w:val="00A53B03"/>
    <w:rsid w:val="00A53FBF"/>
    <w:rsid w:val="00A54ECE"/>
    <w:rsid w:val="00A54F4D"/>
    <w:rsid w:val="00A55B82"/>
    <w:rsid w:val="00A57D3E"/>
    <w:rsid w:val="00A57F6C"/>
    <w:rsid w:val="00A61132"/>
    <w:rsid w:val="00A61D3E"/>
    <w:rsid w:val="00A65088"/>
    <w:rsid w:val="00A65D3E"/>
    <w:rsid w:val="00A66723"/>
    <w:rsid w:val="00A727EC"/>
    <w:rsid w:val="00A7354F"/>
    <w:rsid w:val="00A73575"/>
    <w:rsid w:val="00A73594"/>
    <w:rsid w:val="00A7467C"/>
    <w:rsid w:val="00A77F35"/>
    <w:rsid w:val="00A80085"/>
    <w:rsid w:val="00A800A6"/>
    <w:rsid w:val="00A81A7A"/>
    <w:rsid w:val="00A8280D"/>
    <w:rsid w:val="00A8306F"/>
    <w:rsid w:val="00A84F3C"/>
    <w:rsid w:val="00A91E25"/>
    <w:rsid w:val="00A922C2"/>
    <w:rsid w:val="00A926C5"/>
    <w:rsid w:val="00A927F6"/>
    <w:rsid w:val="00A95E16"/>
    <w:rsid w:val="00A96274"/>
    <w:rsid w:val="00A96451"/>
    <w:rsid w:val="00AA01FE"/>
    <w:rsid w:val="00AA0342"/>
    <w:rsid w:val="00AA2A61"/>
    <w:rsid w:val="00AA2FE6"/>
    <w:rsid w:val="00AA309A"/>
    <w:rsid w:val="00AA5A3E"/>
    <w:rsid w:val="00AA796E"/>
    <w:rsid w:val="00AA7EFF"/>
    <w:rsid w:val="00AB4BBC"/>
    <w:rsid w:val="00AB4F4F"/>
    <w:rsid w:val="00AB73DB"/>
    <w:rsid w:val="00AC0009"/>
    <w:rsid w:val="00AC1F49"/>
    <w:rsid w:val="00AC4381"/>
    <w:rsid w:val="00AC479C"/>
    <w:rsid w:val="00AC7171"/>
    <w:rsid w:val="00AC7339"/>
    <w:rsid w:val="00AC7803"/>
    <w:rsid w:val="00AD39EA"/>
    <w:rsid w:val="00AD4141"/>
    <w:rsid w:val="00AD533E"/>
    <w:rsid w:val="00AE1636"/>
    <w:rsid w:val="00AE464F"/>
    <w:rsid w:val="00AE4C40"/>
    <w:rsid w:val="00AE5406"/>
    <w:rsid w:val="00AE5CEF"/>
    <w:rsid w:val="00AE5D43"/>
    <w:rsid w:val="00AE5FE3"/>
    <w:rsid w:val="00AE6D9E"/>
    <w:rsid w:val="00AF1848"/>
    <w:rsid w:val="00AF3C86"/>
    <w:rsid w:val="00AF4F1C"/>
    <w:rsid w:val="00B0059D"/>
    <w:rsid w:val="00B0345A"/>
    <w:rsid w:val="00B04252"/>
    <w:rsid w:val="00B10667"/>
    <w:rsid w:val="00B11A02"/>
    <w:rsid w:val="00B11D3B"/>
    <w:rsid w:val="00B129B9"/>
    <w:rsid w:val="00B12E54"/>
    <w:rsid w:val="00B13219"/>
    <w:rsid w:val="00B17B25"/>
    <w:rsid w:val="00B20742"/>
    <w:rsid w:val="00B223D7"/>
    <w:rsid w:val="00B24E38"/>
    <w:rsid w:val="00B26CBC"/>
    <w:rsid w:val="00B27EBE"/>
    <w:rsid w:val="00B30EEF"/>
    <w:rsid w:val="00B31603"/>
    <w:rsid w:val="00B32C52"/>
    <w:rsid w:val="00B41F20"/>
    <w:rsid w:val="00B4296C"/>
    <w:rsid w:val="00B42D7F"/>
    <w:rsid w:val="00B42F85"/>
    <w:rsid w:val="00B4685A"/>
    <w:rsid w:val="00B53170"/>
    <w:rsid w:val="00B53346"/>
    <w:rsid w:val="00B53465"/>
    <w:rsid w:val="00B53A31"/>
    <w:rsid w:val="00B55B7C"/>
    <w:rsid w:val="00B6154B"/>
    <w:rsid w:val="00B62435"/>
    <w:rsid w:val="00B63C32"/>
    <w:rsid w:val="00B63E8F"/>
    <w:rsid w:val="00B67954"/>
    <w:rsid w:val="00B67B74"/>
    <w:rsid w:val="00B71D96"/>
    <w:rsid w:val="00B727B4"/>
    <w:rsid w:val="00B7469E"/>
    <w:rsid w:val="00B806D6"/>
    <w:rsid w:val="00B81A77"/>
    <w:rsid w:val="00B81D21"/>
    <w:rsid w:val="00B82DF8"/>
    <w:rsid w:val="00B836A1"/>
    <w:rsid w:val="00B83F1B"/>
    <w:rsid w:val="00B85FE8"/>
    <w:rsid w:val="00B8601E"/>
    <w:rsid w:val="00B862A7"/>
    <w:rsid w:val="00B87591"/>
    <w:rsid w:val="00B902F4"/>
    <w:rsid w:val="00B92270"/>
    <w:rsid w:val="00B922AD"/>
    <w:rsid w:val="00B92602"/>
    <w:rsid w:val="00B931D1"/>
    <w:rsid w:val="00B931E8"/>
    <w:rsid w:val="00B952F8"/>
    <w:rsid w:val="00BA12E7"/>
    <w:rsid w:val="00BA51D2"/>
    <w:rsid w:val="00BA692E"/>
    <w:rsid w:val="00BA6EC7"/>
    <w:rsid w:val="00BB2A14"/>
    <w:rsid w:val="00BB3616"/>
    <w:rsid w:val="00BB43AF"/>
    <w:rsid w:val="00BC0C82"/>
    <w:rsid w:val="00BC0FD4"/>
    <w:rsid w:val="00BC2EE3"/>
    <w:rsid w:val="00BC32B2"/>
    <w:rsid w:val="00BC3CD7"/>
    <w:rsid w:val="00BC5DCB"/>
    <w:rsid w:val="00BC633F"/>
    <w:rsid w:val="00BC7658"/>
    <w:rsid w:val="00BD0769"/>
    <w:rsid w:val="00BD0AF9"/>
    <w:rsid w:val="00BD0D85"/>
    <w:rsid w:val="00BD2A41"/>
    <w:rsid w:val="00BD458C"/>
    <w:rsid w:val="00BD4C0F"/>
    <w:rsid w:val="00BD520D"/>
    <w:rsid w:val="00BD55A3"/>
    <w:rsid w:val="00BD622D"/>
    <w:rsid w:val="00BE0BDF"/>
    <w:rsid w:val="00BE16BC"/>
    <w:rsid w:val="00BE2B79"/>
    <w:rsid w:val="00BE4940"/>
    <w:rsid w:val="00BE71D4"/>
    <w:rsid w:val="00BF00C3"/>
    <w:rsid w:val="00BF2C29"/>
    <w:rsid w:val="00BF3292"/>
    <w:rsid w:val="00BF384C"/>
    <w:rsid w:val="00BF503D"/>
    <w:rsid w:val="00BF608C"/>
    <w:rsid w:val="00BF780E"/>
    <w:rsid w:val="00BF7BE2"/>
    <w:rsid w:val="00C0041E"/>
    <w:rsid w:val="00C16D5E"/>
    <w:rsid w:val="00C179DF"/>
    <w:rsid w:val="00C220B0"/>
    <w:rsid w:val="00C24D88"/>
    <w:rsid w:val="00C252CA"/>
    <w:rsid w:val="00C262C4"/>
    <w:rsid w:val="00C30BB4"/>
    <w:rsid w:val="00C3264E"/>
    <w:rsid w:val="00C33EA4"/>
    <w:rsid w:val="00C349BF"/>
    <w:rsid w:val="00C40AAC"/>
    <w:rsid w:val="00C4160C"/>
    <w:rsid w:val="00C44B43"/>
    <w:rsid w:val="00C46BE7"/>
    <w:rsid w:val="00C51459"/>
    <w:rsid w:val="00C5196F"/>
    <w:rsid w:val="00C55785"/>
    <w:rsid w:val="00C560F5"/>
    <w:rsid w:val="00C57ABA"/>
    <w:rsid w:val="00C603FF"/>
    <w:rsid w:val="00C60B3A"/>
    <w:rsid w:val="00C665B2"/>
    <w:rsid w:val="00C72001"/>
    <w:rsid w:val="00C723AC"/>
    <w:rsid w:val="00C72DB5"/>
    <w:rsid w:val="00C73833"/>
    <w:rsid w:val="00C7405E"/>
    <w:rsid w:val="00C74A64"/>
    <w:rsid w:val="00C75558"/>
    <w:rsid w:val="00C7609A"/>
    <w:rsid w:val="00C763C1"/>
    <w:rsid w:val="00C769CB"/>
    <w:rsid w:val="00C77F7B"/>
    <w:rsid w:val="00C80B31"/>
    <w:rsid w:val="00C81560"/>
    <w:rsid w:val="00C83591"/>
    <w:rsid w:val="00C84283"/>
    <w:rsid w:val="00C84C1C"/>
    <w:rsid w:val="00C84E64"/>
    <w:rsid w:val="00C86ACE"/>
    <w:rsid w:val="00C87F93"/>
    <w:rsid w:val="00C929D8"/>
    <w:rsid w:val="00C93459"/>
    <w:rsid w:val="00C94591"/>
    <w:rsid w:val="00C94642"/>
    <w:rsid w:val="00C94E96"/>
    <w:rsid w:val="00CA0F65"/>
    <w:rsid w:val="00CA0F83"/>
    <w:rsid w:val="00CA1555"/>
    <w:rsid w:val="00CA2B5E"/>
    <w:rsid w:val="00CA35DE"/>
    <w:rsid w:val="00CA399F"/>
    <w:rsid w:val="00CA3CAF"/>
    <w:rsid w:val="00CA3CCC"/>
    <w:rsid w:val="00CA3FF3"/>
    <w:rsid w:val="00CA6305"/>
    <w:rsid w:val="00CA74E5"/>
    <w:rsid w:val="00CB073F"/>
    <w:rsid w:val="00CB3B0F"/>
    <w:rsid w:val="00CB47A4"/>
    <w:rsid w:val="00CB6682"/>
    <w:rsid w:val="00CB6C6A"/>
    <w:rsid w:val="00CB6E90"/>
    <w:rsid w:val="00CB6E94"/>
    <w:rsid w:val="00CC101D"/>
    <w:rsid w:val="00CC2178"/>
    <w:rsid w:val="00CC34B1"/>
    <w:rsid w:val="00CC3E9B"/>
    <w:rsid w:val="00CC4072"/>
    <w:rsid w:val="00CC522A"/>
    <w:rsid w:val="00CC5DFB"/>
    <w:rsid w:val="00CD0BD2"/>
    <w:rsid w:val="00CD4500"/>
    <w:rsid w:val="00CD75C7"/>
    <w:rsid w:val="00CE17C7"/>
    <w:rsid w:val="00CF047A"/>
    <w:rsid w:val="00CF0603"/>
    <w:rsid w:val="00CF0C9A"/>
    <w:rsid w:val="00CF1793"/>
    <w:rsid w:val="00CF1EE6"/>
    <w:rsid w:val="00CF4242"/>
    <w:rsid w:val="00CF5003"/>
    <w:rsid w:val="00CF5057"/>
    <w:rsid w:val="00CF5797"/>
    <w:rsid w:val="00CF5B46"/>
    <w:rsid w:val="00CF76F3"/>
    <w:rsid w:val="00CF7714"/>
    <w:rsid w:val="00CF7955"/>
    <w:rsid w:val="00D0047F"/>
    <w:rsid w:val="00D0079F"/>
    <w:rsid w:val="00D0085A"/>
    <w:rsid w:val="00D01FB6"/>
    <w:rsid w:val="00D07A5A"/>
    <w:rsid w:val="00D14743"/>
    <w:rsid w:val="00D16868"/>
    <w:rsid w:val="00D16D90"/>
    <w:rsid w:val="00D23804"/>
    <w:rsid w:val="00D25E36"/>
    <w:rsid w:val="00D26A9A"/>
    <w:rsid w:val="00D26DB3"/>
    <w:rsid w:val="00D3053A"/>
    <w:rsid w:val="00D31FC7"/>
    <w:rsid w:val="00D330AA"/>
    <w:rsid w:val="00D35348"/>
    <w:rsid w:val="00D35C09"/>
    <w:rsid w:val="00D36905"/>
    <w:rsid w:val="00D37D48"/>
    <w:rsid w:val="00D408C9"/>
    <w:rsid w:val="00D41FC7"/>
    <w:rsid w:val="00D44F08"/>
    <w:rsid w:val="00D4537A"/>
    <w:rsid w:val="00D458DF"/>
    <w:rsid w:val="00D45D09"/>
    <w:rsid w:val="00D46E66"/>
    <w:rsid w:val="00D47ECF"/>
    <w:rsid w:val="00D514E4"/>
    <w:rsid w:val="00D516E7"/>
    <w:rsid w:val="00D519C2"/>
    <w:rsid w:val="00D57003"/>
    <w:rsid w:val="00D57F79"/>
    <w:rsid w:val="00D6024A"/>
    <w:rsid w:val="00D62437"/>
    <w:rsid w:val="00D67F64"/>
    <w:rsid w:val="00D70249"/>
    <w:rsid w:val="00D70827"/>
    <w:rsid w:val="00D70C5B"/>
    <w:rsid w:val="00D714C9"/>
    <w:rsid w:val="00D736BB"/>
    <w:rsid w:val="00D74D9C"/>
    <w:rsid w:val="00D74EBE"/>
    <w:rsid w:val="00D75315"/>
    <w:rsid w:val="00D7537F"/>
    <w:rsid w:val="00D77B31"/>
    <w:rsid w:val="00D800E5"/>
    <w:rsid w:val="00D83C85"/>
    <w:rsid w:val="00D8449F"/>
    <w:rsid w:val="00D856DC"/>
    <w:rsid w:val="00D85DC4"/>
    <w:rsid w:val="00D86509"/>
    <w:rsid w:val="00D908B4"/>
    <w:rsid w:val="00D90FA7"/>
    <w:rsid w:val="00D92246"/>
    <w:rsid w:val="00D94861"/>
    <w:rsid w:val="00D97F51"/>
    <w:rsid w:val="00DA3E79"/>
    <w:rsid w:val="00DA5A8A"/>
    <w:rsid w:val="00DA672C"/>
    <w:rsid w:val="00DA748C"/>
    <w:rsid w:val="00DA74D3"/>
    <w:rsid w:val="00DB0D5D"/>
    <w:rsid w:val="00DC1EB1"/>
    <w:rsid w:val="00DC609C"/>
    <w:rsid w:val="00DC7F2A"/>
    <w:rsid w:val="00DD086D"/>
    <w:rsid w:val="00DD335B"/>
    <w:rsid w:val="00DD486C"/>
    <w:rsid w:val="00DD5254"/>
    <w:rsid w:val="00DD542C"/>
    <w:rsid w:val="00DD55C9"/>
    <w:rsid w:val="00DD7D0C"/>
    <w:rsid w:val="00DE0315"/>
    <w:rsid w:val="00DE03FA"/>
    <w:rsid w:val="00DE5EA4"/>
    <w:rsid w:val="00DE60CE"/>
    <w:rsid w:val="00DF0A10"/>
    <w:rsid w:val="00DF0AD8"/>
    <w:rsid w:val="00DF0C8C"/>
    <w:rsid w:val="00DF0DE6"/>
    <w:rsid w:val="00DF16AA"/>
    <w:rsid w:val="00DF4CE5"/>
    <w:rsid w:val="00DF5940"/>
    <w:rsid w:val="00DF724D"/>
    <w:rsid w:val="00DF7BFF"/>
    <w:rsid w:val="00DF7FFD"/>
    <w:rsid w:val="00E03643"/>
    <w:rsid w:val="00E04DE0"/>
    <w:rsid w:val="00E04F8A"/>
    <w:rsid w:val="00E06F02"/>
    <w:rsid w:val="00E07447"/>
    <w:rsid w:val="00E07A88"/>
    <w:rsid w:val="00E1201E"/>
    <w:rsid w:val="00E14E1E"/>
    <w:rsid w:val="00E17618"/>
    <w:rsid w:val="00E20E5F"/>
    <w:rsid w:val="00E21745"/>
    <w:rsid w:val="00E222F9"/>
    <w:rsid w:val="00E2390E"/>
    <w:rsid w:val="00E23ACA"/>
    <w:rsid w:val="00E23BF0"/>
    <w:rsid w:val="00E263D6"/>
    <w:rsid w:val="00E34544"/>
    <w:rsid w:val="00E355A6"/>
    <w:rsid w:val="00E36650"/>
    <w:rsid w:val="00E36663"/>
    <w:rsid w:val="00E36B80"/>
    <w:rsid w:val="00E40FD7"/>
    <w:rsid w:val="00E413B8"/>
    <w:rsid w:val="00E41F99"/>
    <w:rsid w:val="00E428B3"/>
    <w:rsid w:val="00E434A1"/>
    <w:rsid w:val="00E45772"/>
    <w:rsid w:val="00E50B0A"/>
    <w:rsid w:val="00E51D27"/>
    <w:rsid w:val="00E579FB"/>
    <w:rsid w:val="00E61C1D"/>
    <w:rsid w:val="00E635F3"/>
    <w:rsid w:val="00E6399C"/>
    <w:rsid w:val="00E63D08"/>
    <w:rsid w:val="00E6507B"/>
    <w:rsid w:val="00E65EA2"/>
    <w:rsid w:val="00E6600D"/>
    <w:rsid w:val="00E728A7"/>
    <w:rsid w:val="00E7607A"/>
    <w:rsid w:val="00E80558"/>
    <w:rsid w:val="00E812EE"/>
    <w:rsid w:val="00E8151A"/>
    <w:rsid w:val="00E8273D"/>
    <w:rsid w:val="00E8300E"/>
    <w:rsid w:val="00E83458"/>
    <w:rsid w:val="00E83B24"/>
    <w:rsid w:val="00E8668A"/>
    <w:rsid w:val="00E87334"/>
    <w:rsid w:val="00E909DB"/>
    <w:rsid w:val="00E91422"/>
    <w:rsid w:val="00E9271F"/>
    <w:rsid w:val="00E92948"/>
    <w:rsid w:val="00E9396E"/>
    <w:rsid w:val="00E94356"/>
    <w:rsid w:val="00E9586C"/>
    <w:rsid w:val="00E97174"/>
    <w:rsid w:val="00E97A99"/>
    <w:rsid w:val="00EA1B73"/>
    <w:rsid w:val="00EA357A"/>
    <w:rsid w:val="00EA3BF2"/>
    <w:rsid w:val="00EA4F71"/>
    <w:rsid w:val="00EA5EC8"/>
    <w:rsid w:val="00EA68EC"/>
    <w:rsid w:val="00EA6945"/>
    <w:rsid w:val="00EA6BC0"/>
    <w:rsid w:val="00EA6C7C"/>
    <w:rsid w:val="00EB4AC8"/>
    <w:rsid w:val="00EB580A"/>
    <w:rsid w:val="00EB64D3"/>
    <w:rsid w:val="00EB7CC6"/>
    <w:rsid w:val="00EC03FD"/>
    <w:rsid w:val="00EC1EC6"/>
    <w:rsid w:val="00EC603A"/>
    <w:rsid w:val="00EC77FE"/>
    <w:rsid w:val="00EC7A95"/>
    <w:rsid w:val="00ED0042"/>
    <w:rsid w:val="00ED122F"/>
    <w:rsid w:val="00ED13B3"/>
    <w:rsid w:val="00ED3D80"/>
    <w:rsid w:val="00ED3F1D"/>
    <w:rsid w:val="00ED5728"/>
    <w:rsid w:val="00ED6E87"/>
    <w:rsid w:val="00ED7F08"/>
    <w:rsid w:val="00EE1D39"/>
    <w:rsid w:val="00EE5578"/>
    <w:rsid w:val="00EE6878"/>
    <w:rsid w:val="00EE7EF1"/>
    <w:rsid w:val="00EF24B7"/>
    <w:rsid w:val="00EF300A"/>
    <w:rsid w:val="00EF3DD4"/>
    <w:rsid w:val="00EF5B62"/>
    <w:rsid w:val="00EF6787"/>
    <w:rsid w:val="00EF77A3"/>
    <w:rsid w:val="00EF77DC"/>
    <w:rsid w:val="00EF7EEC"/>
    <w:rsid w:val="00F01693"/>
    <w:rsid w:val="00F02D7B"/>
    <w:rsid w:val="00F05F93"/>
    <w:rsid w:val="00F070F3"/>
    <w:rsid w:val="00F07FA4"/>
    <w:rsid w:val="00F104DD"/>
    <w:rsid w:val="00F10DAD"/>
    <w:rsid w:val="00F119D5"/>
    <w:rsid w:val="00F12BBA"/>
    <w:rsid w:val="00F1536A"/>
    <w:rsid w:val="00F1550D"/>
    <w:rsid w:val="00F16BF0"/>
    <w:rsid w:val="00F171BE"/>
    <w:rsid w:val="00F204BD"/>
    <w:rsid w:val="00F22EE4"/>
    <w:rsid w:val="00F22F0C"/>
    <w:rsid w:val="00F237C2"/>
    <w:rsid w:val="00F23A77"/>
    <w:rsid w:val="00F24354"/>
    <w:rsid w:val="00F24637"/>
    <w:rsid w:val="00F25355"/>
    <w:rsid w:val="00F2600B"/>
    <w:rsid w:val="00F26504"/>
    <w:rsid w:val="00F2655F"/>
    <w:rsid w:val="00F30FF8"/>
    <w:rsid w:val="00F3113B"/>
    <w:rsid w:val="00F32830"/>
    <w:rsid w:val="00F32BB2"/>
    <w:rsid w:val="00F32DBE"/>
    <w:rsid w:val="00F33E0C"/>
    <w:rsid w:val="00F3512C"/>
    <w:rsid w:val="00F425A0"/>
    <w:rsid w:val="00F43BAE"/>
    <w:rsid w:val="00F44C28"/>
    <w:rsid w:val="00F45445"/>
    <w:rsid w:val="00F45D6B"/>
    <w:rsid w:val="00F4617C"/>
    <w:rsid w:val="00F50009"/>
    <w:rsid w:val="00F505EE"/>
    <w:rsid w:val="00F508BA"/>
    <w:rsid w:val="00F54020"/>
    <w:rsid w:val="00F54053"/>
    <w:rsid w:val="00F545DE"/>
    <w:rsid w:val="00F57575"/>
    <w:rsid w:val="00F606AA"/>
    <w:rsid w:val="00F6096C"/>
    <w:rsid w:val="00F62116"/>
    <w:rsid w:val="00F66D1C"/>
    <w:rsid w:val="00F6715F"/>
    <w:rsid w:val="00F6723E"/>
    <w:rsid w:val="00F67A60"/>
    <w:rsid w:val="00F702ED"/>
    <w:rsid w:val="00F7199E"/>
    <w:rsid w:val="00F72AEA"/>
    <w:rsid w:val="00F73701"/>
    <w:rsid w:val="00F73B72"/>
    <w:rsid w:val="00F76464"/>
    <w:rsid w:val="00F77752"/>
    <w:rsid w:val="00F80A71"/>
    <w:rsid w:val="00F81D1D"/>
    <w:rsid w:val="00F81E12"/>
    <w:rsid w:val="00F828BA"/>
    <w:rsid w:val="00F8361B"/>
    <w:rsid w:val="00F837F0"/>
    <w:rsid w:val="00F83E17"/>
    <w:rsid w:val="00F84E90"/>
    <w:rsid w:val="00F8718F"/>
    <w:rsid w:val="00F87459"/>
    <w:rsid w:val="00F90AE1"/>
    <w:rsid w:val="00F91D57"/>
    <w:rsid w:val="00F9233A"/>
    <w:rsid w:val="00F95560"/>
    <w:rsid w:val="00FA295D"/>
    <w:rsid w:val="00FA5207"/>
    <w:rsid w:val="00FA6E6B"/>
    <w:rsid w:val="00FA7745"/>
    <w:rsid w:val="00FB37A8"/>
    <w:rsid w:val="00FB4EE5"/>
    <w:rsid w:val="00FB5248"/>
    <w:rsid w:val="00FB5307"/>
    <w:rsid w:val="00FC0F75"/>
    <w:rsid w:val="00FC2063"/>
    <w:rsid w:val="00FC43A2"/>
    <w:rsid w:val="00FC5134"/>
    <w:rsid w:val="00FC6FED"/>
    <w:rsid w:val="00FC7C6E"/>
    <w:rsid w:val="00FC7F1E"/>
    <w:rsid w:val="00FD3638"/>
    <w:rsid w:val="00FD39D5"/>
    <w:rsid w:val="00FD5A66"/>
    <w:rsid w:val="00FD6FB9"/>
    <w:rsid w:val="00FE028E"/>
    <w:rsid w:val="00FE34DE"/>
    <w:rsid w:val="00FF0CDD"/>
    <w:rsid w:val="00FF15D8"/>
    <w:rsid w:val="00FF1FD7"/>
    <w:rsid w:val="00FF2C26"/>
    <w:rsid w:val="00FF385E"/>
    <w:rsid w:val="00FF4194"/>
    <w:rsid w:val="00FF4F06"/>
    <w:rsid w:val="00FF4F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34FE97F"/>
  <w15:chartTrackingRefBased/>
  <w15:docId w15:val="{F968EC24-14B9-4177-9CE8-1F152A8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basedOn w:val="Normal"/>
    <w:link w:val="FootnoteTextChar2"/>
    <w:qFormat/>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table" w:styleId="TableGrid">
    <w:name w:val="Table Grid"/>
    <w:basedOn w:val="TableNormal"/>
    <w:rsid w:val="009F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Text Char Char,Footnote Text Char Char Char4 Char Char Char,Footnote Text Char1 Char Char,Footnote Text Char1 Char1,Footnote Text Char4 Char1 Char Char Char,Footnote Text Char7 Char Char Char,Footnote Text Char7 Char Char1"/>
    <w:link w:val="FootnoteText"/>
    <w:rsid w:val="002037C5"/>
    <w:rPr>
      <w:lang w:val="en-US" w:eastAsia="en-US" w:bidi="ar-SA"/>
    </w:rPr>
  </w:style>
  <w:style w:type="character" w:styleId="Emphasis">
    <w:name w:val="Emphasis"/>
    <w:uiPriority w:val="20"/>
    <w:qFormat/>
    <w:rsid w:val="00A579F8"/>
    <w:rPr>
      <w:i/>
      <w:iCs/>
    </w:rPr>
  </w:style>
  <w:style w:type="paragraph" w:styleId="BalloonText">
    <w:name w:val="Balloon Text"/>
    <w:basedOn w:val="Normal"/>
    <w:link w:val="BalloonTextChar"/>
    <w:uiPriority w:val="99"/>
    <w:semiHidden/>
    <w:rsid w:val="00AD213C"/>
    <w:rPr>
      <w:rFonts w:ascii="Tahoma" w:hAnsi="Tahoma" w:cs="Tahoma"/>
      <w:sz w:val="16"/>
      <w:szCs w:val="16"/>
    </w:rPr>
  </w:style>
  <w:style w:type="character" w:styleId="CommentReference">
    <w:name w:val="annotation reference"/>
    <w:semiHidden/>
    <w:rsid w:val="00D64262"/>
    <w:rPr>
      <w:sz w:val="16"/>
      <w:szCs w:val="16"/>
    </w:rPr>
  </w:style>
  <w:style w:type="paragraph" w:styleId="CommentText">
    <w:name w:val="annotation text"/>
    <w:basedOn w:val="Normal"/>
    <w:semiHidden/>
    <w:rsid w:val="00D64262"/>
    <w:rPr>
      <w:sz w:val="20"/>
    </w:rPr>
  </w:style>
  <w:style w:type="paragraph" w:styleId="CommentSubject">
    <w:name w:val="annotation subject"/>
    <w:basedOn w:val="CommentText"/>
    <w:next w:val="CommentText"/>
    <w:semiHidden/>
    <w:rsid w:val="00D64262"/>
    <w:rPr>
      <w:b/>
      <w:bCs/>
    </w:rPr>
  </w:style>
  <w:style w:type="character" w:customStyle="1" w:styleId="FootnoteTextChar4Char1CharCharCharCharChar">
    <w:name w:val="Footnote Text Char4 Char1 Char Char Char Char Char"/>
    <w:aliases w:val="f Char,rrfootnote Char"/>
    <w:rsid w:val="004076B5"/>
    <w:rPr>
      <w:sz w:val="22"/>
      <w:lang w:val="en-US" w:eastAsia="en-US" w:bidi="ar-SA"/>
    </w:rPr>
  </w:style>
  <w:style w:type="character" w:customStyle="1" w:styleId="apple-converted-space">
    <w:name w:val="apple-converted-space"/>
    <w:rsid w:val="00FD34BE"/>
  </w:style>
  <w:style w:type="character" w:styleId="Hyperlink">
    <w:name w:val="Hyperlink"/>
    <w:rsid w:val="001B0CD0"/>
    <w:rPr>
      <w:color w:val="0563C1"/>
      <w:u w:val="single"/>
    </w:rPr>
  </w:style>
  <w:style w:type="paragraph" w:styleId="EndnoteText">
    <w:name w:val="endnote text"/>
    <w:basedOn w:val="Normal"/>
    <w:link w:val="EndnoteTextChar"/>
    <w:rsid w:val="00FA6538"/>
    <w:pPr>
      <w:widowControl w:val="0"/>
    </w:pPr>
    <w:rPr>
      <w:rFonts w:ascii="Courier" w:hAnsi="Courier"/>
      <w:snapToGrid w:val="0"/>
      <w:sz w:val="24"/>
    </w:rPr>
  </w:style>
  <w:style w:type="character" w:customStyle="1" w:styleId="EndnoteTextChar">
    <w:name w:val="Endnote Text Char"/>
    <w:link w:val="EndnoteText"/>
    <w:rsid w:val="00FA6538"/>
    <w:rPr>
      <w:rFonts w:ascii="Courier" w:hAnsi="Courier"/>
      <w:snapToGrid w:val="0"/>
      <w:sz w:val="24"/>
    </w:rPr>
  </w:style>
  <w:style w:type="character" w:customStyle="1" w:styleId="cosearchterm">
    <w:name w:val="co_searchterm"/>
    <w:rsid w:val="00021B6B"/>
  </w:style>
  <w:style w:type="paragraph" w:styleId="Revision">
    <w:name w:val="Revision"/>
    <w:hidden/>
    <w:uiPriority w:val="99"/>
    <w:semiHidden/>
    <w:rsid w:val="001C0EBC"/>
    <w:rPr>
      <w:sz w:val="22"/>
    </w:rPr>
  </w:style>
  <w:style w:type="paragraph" w:styleId="EnvelopeAddress">
    <w:name w:val="envelope address"/>
    <w:basedOn w:val="Normal"/>
    <w:rsid w:val="009B4B74"/>
    <w:pPr>
      <w:framePr w:w="5040" w:h="1980" w:hRule="exact" w:hSpace="180" w:wrap="auto" w:vAnchor="page" w:hAnchor="page" w:x="577" w:y="361"/>
    </w:pPr>
    <w:rPr>
      <w:rFonts w:ascii="Arial" w:hAnsi="Arial"/>
      <w:sz w:val="24"/>
    </w:rPr>
  </w:style>
  <w:style w:type="character" w:customStyle="1" w:styleId="BalloonTextChar">
    <w:name w:val="Balloon Text Char"/>
    <w:link w:val="BalloonText"/>
    <w:uiPriority w:val="99"/>
    <w:semiHidden/>
    <w:rsid w:val="00566B9A"/>
    <w:rPr>
      <w:rFonts w:ascii="Tahoma" w:hAnsi="Tahoma" w:cs="Tahoma"/>
      <w:sz w:val="16"/>
      <w:szCs w:val="16"/>
    </w:rPr>
  </w:style>
  <w:style w:type="character" w:customStyle="1" w:styleId="documentbody1">
    <w:name w:val="documentbody1"/>
    <w:rsid w:val="002A28FC"/>
    <w:rPr>
      <w:rFonts w:ascii="Verdana" w:hAnsi="Verdana" w:hint="default"/>
      <w:sz w:val="19"/>
      <w:szCs w:val="19"/>
      <w:shd w:val="clear" w:color="auto" w:fill="FFFFFF"/>
    </w:rPr>
  </w:style>
  <w:style w:type="character" w:styleId="UnresolvedMention">
    <w:name w:val="Unresolved Mention"/>
    <w:basedOn w:val="DefaultParagraphFont"/>
    <w:uiPriority w:val="99"/>
    <w:semiHidden/>
    <w:unhideWhenUsed/>
    <w:rsid w:val="00E41F99"/>
    <w:rPr>
      <w:color w:val="605E5C"/>
      <w:shd w:val="clear" w:color="auto" w:fill="E1DFDD"/>
    </w:rPr>
  </w:style>
  <w:style w:type="character" w:customStyle="1" w:styleId="ParaNumChar">
    <w:name w:val="ParaNum Char"/>
    <w:link w:val="ParaNum"/>
    <w:rsid w:val="001C36F7"/>
    <w:rPr>
      <w:sz w:val="22"/>
    </w:rPr>
  </w:style>
  <w:style w:type="character" w:customStyle="1" w:styleId="normaltextrun">
    <w:name w:val="normaltextrun"/>
    <w:basedOn w:val="DefaultParagraphFont"/>
    <w:rsid w:val="004471D8"/>
  </w:style>
  <w:style w:type="character" w:customStyle="1" w:styleId="FootnoteTextCharCharChar">
    <w:name w:val="Footnote Text Char Char Char"/>
    <w:aliases w:val="Footnote Text Char1 Char Char Char Char Char,Footnote Text Char2 Char Char Char Char,Footnote Text Char3 Char Char Char,Footnote Text Char7 Char Char Char Char Char Char"/>
    <w:rsid w:val="0001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pubNum=1016&amp;cite=37FCC685&amp;originatingDoc=I68c02dc4c22011ddb6a3a099756c05b7&amp;refType=CA&amp;fi=co_pp_sp_1016_686&amp;originationContext=document&amp;transitionType=DocumentItem&amp;contextData=(sc.Search)" TargetMode="External" /><Relationship Id="rId2" Type="http://schemas.openxmlformats.org/officeDocument/2006/relationships/hyperlink" Target="https://1.next.westlaw.com/Link/Document/FullText?findType=Y&amp;serNum=1965114957&amp;pubNum=350&amp;originatingDoc=I68c02dc4c22011ddb6a3a099756c05b7&amp;refType=RP&amp;originationContext=document&amp;transitionType=DocumentItem&amp;contextData=(sc.Search)" TargetMode="External" /><Relationship Id="rId3" Type="http://schemas.openxmlformats.org/officeDocument/2006/relationships/hyperlink" Target="https://1.next.westlaw.com/Link/Document/FullText?findType=Y&amp;pubNum=4493&amp;cite=23FCCRCD603&amp;originatingDoc=I29ca6596b6cb11de9988d233d23fe599&amp;refType=CA&amp;originationContext=document&amp;transitionType=DocumentItem&amp;contextData=(sc.Search)" TargetMode="External" /><Relationship Id="rId4" Type="http://schemas.openxmlformats.org/officeDocument/2006/relationships/hyperlink" Target="https://1.next.westlaw.com/Link/Document/FullText?findType=Y&amp;serNum=2040195003&amp;pubNum=0004493&amp;originatingDoc=I1bcb64cd981c11e7b73588f1a9cfce05&amp;refType=CA&amp;fi=co_pp_sp_4493_12229&amp;originationContext=document&amp;transitionType=DocumentItem&amp;contextData=(sc.Keycite)" TargetMode="External" /><Relationship Id="rId5" Type="http://schemas.openxmlformats.org/officeDocument/2006/relationships/hyperlink" Target="mailto:ARINQUIRIES@fcc.gov" TargetMode="External" /><Relationship Id="rId6" Type="http://schemas.openxmlformats.org/officeDocument/2006/relationships/hyperlink" Target="https://www.fcc.gov/Forms/Form159/15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