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42E91" w:rsidP="00842E91" w14:paraId="7314A163" w14:textId="77777777">
      <w:pPr>
        <w:widowControl w:val="0"/>
        <w:jc w:val="right"/>
        <w:rPr>
          <w:b/>
          <w:bCs/>
          <w:snapToGrid w:val="0"/>
          <w:kern w:val="28"/>
        </w:rPr>
      </w:pPr>
      <w:r w:rsidRPr="009E1AA5">
        <w:rPr>
          <w:b/>
          <w:bCs/>
          <w:snapToGrid w:val="0"/>
          <w:kern w:val="28"/>
        </w:rPr>
        <w:t xml:space="preserve">DA </w:t>
      </w:r>
      <w:r>
        <w:rPr>
          <w:b/>
          <w:bCs/>
          <w:snapToGrid w:val="0"/>
          <w:kern w:val="28"/>
        </w:rPr>
        <w:t>24-7</w:t>
      </w:r>
    </w:p>
    <w:p w:rsidR="00842E91" w:rsidP="00842E91" w14:paraId="798059C2" w14:textId="77777777">
      <w:pPr>
        <w:widowControl w:val="0"/>
        <w:jc w:val="right"/>
        <w:rPr>
          <w:b/>
          <w:snapToGrid w:val="0"/>
          <w:kern w:val="28"/>
        </w:rPr>
      </w:pPr>
      <w:r w:rsidRPr="009E1AA5">
        <w:rPr>
          <w:b/>
          <w:snapToGrid w:val="0"/>
          <w:kern w:val="28"/>
        </w:rPr>
        <w:t xml:space="preserve">Released:  </w:t>
      </w:r>
      <w:r>
        <w:rPr>
          <w:b/>
          <w:snapToGrid w:val="0"/>
          <w:kern w:val="28"/>
        </w:rPr>
        <w:t>January 3</w:t>
      </w:r>
      <w:r w:rsidRPr="009E1AA5">
        <w:rPr>
          <w:b/>
          <w:snapToGrid w:val="0"/>
          <w:kern w:val="28"/>
        </w:rPr>
        <w:t>, 202</w:t>
      </w:r>
      <w:r>
        <w:rPr>
          <w:b/>
          <w:snapToGrid w:val="0"/>
          <w:kern w:val="28"/>
        </w:rPr>
        <w:t>4</w:t>
      </w:r>
    </w:p>
    <w:p w:rsidR="00842E91" w:rsidRPr="009E1AA5" w:rsidP="00842E91" w14:paraId="4C005EFD" w14:textId="77777777">
      <w:pPr>
        <w:widowControl w:val="0"/>
        <w:jc w:val="right"/>
        <w:rPr>
          <w:b/>
          <w:snapToGrid w:val="0"/>
          <w:kern w:val="28"/>
        </w:rPr>
      </w:pPr>
    </w:p>
    <w:p w:rsidR="00842E91" w:rsidRPr="00EC62B5" w:rsidP="00842E91" w14:paraId="4548DEF6" w14:textId="77777777">
      <w:pPr>
        <w:widowControl w:val="0"/>
        <w:autoSpaceDE w:val="0"/>
        <w:autoSpaceDN w:val="0"/>
        <w:adjustRightInd w:val="0"/>
        <w:ind w:left="-180" w:right="90"/>
        <w:jc w:val="center"/>
        <w:rPr>
          <w:b/>
          <w:snapToGrid w:val="0"/>
          <w:kern w:val="28"/>
          <w:szCs w:val="22"/>
        </w:rPr>
      </w:pPr>
      <w:r w:rsidRPr="00F6162F">
        <w:rPr>
          <w:b/>
          <w:bCs/>
          <w:snapToGrid w:val="0"/>
          <w:kern w:val="28"/>
          <w:szCs w:val="22"/>
        </w:rPr>
        <w:t xml:space="preserve">DOMESTIC SECTION 214 APPLICATION </w:t>
      </w:r>
      <w:r>
        <w:rPr>
          <w:b/>
          <w:bCs/>
          <w:snapToGrid w:val="0"/>
          <w:kern w:val="28"/>
          <w:szCs w:val="22"/>
        </w:rPr>
        <w:t xml:space="preserve">GRANTED </w:t>
      </w:r>
      <w:r w:rsidRPr="00F6162F">
        <w:rPr>
          <w:b/>
          <w:bCs/>
          <w:snapToGrid w:val="0"/>
          <w:kern w:val="28"/>
          <w:szCs w:val="22"/>
        </w:rPr>
        <w:t xml:space="preserve">FOR THE </w:t>
      </w:r>
      <w:r w:rsidRPr="009B6EAE">
        <w:rPr>
          <w:b/>
          <w:bCs/>
          <w:snapToGrid w:val="0"/>
          <w:kern w:val="28"/>
          <w:szCs w:val="22"/>
        </w:rPr>
        <w:t>TRANSFER OF CONTROL OF CABLESOUTH MEDIA III, LLC TO MIP VI OUTLIER, LLC</w:t>
      </w:r>
    </w:p>
    <w:p w:rsidR="00842E91" w:rsidRPr="009E1AA5" w:rsidP="00842E91" w14:paraId="179E4F0C" w14:textId="77777777">
      <w:pPr>
        <w:widowControl w:val="0"/>
        <w:autoSpaceDE w:val="0"/>
        <w:autoSpaceDN w:val="0"/>
        <w:adjustRightInd w:val="0"/>
        <w:rPr>
          <w:b/>
          <w:snapToGrid w:val="0"/>
          <w:kern w:val="28"/>
          <w:szCs w:val="22"/>
        </w:rPr>
      </w:pPr>
    </w:p>
    <w:p w:rsidR="00842E91" w:rsidRPr="009E1AA5" w:rsidP="00842E91" w14:paraId="2F4B445F" w14:textId="77777777">
      <w:pPr>
        <w:widowControl w:val="0"/>
        <w:autoSpaceDE w:val="0"/>
        <w:autoSpaceDN w:val="0"/>
        <w:adjustRightInd w:val="0"/>
        <w:jc w:val="center"/>
        <w:rPr>
          <w:b/>
          <w:snapToGrid w:val="0"/>
          <w:kern w:val="28"/>
          <w:szCs w:val="22"/>
        </w:rPr>
      </w:pPr>
      <w:r w:rsidRPr="009E1AA5">
        <w:rPr>
          <w:b/>
          <w:snapToGrid w:val="0"/>
          <w:kern w:val="28"/>
          <w:szCs w:val="22"/>
        </w:rPr>
        <w:t>WC Docket No. 23-</w:t>
      </w:r>
      <w:r>
        <w:rPr>
          <w:b/>
          <w:snapToGrid w:val="0"/>
          <w:kern w:val="28"/>
          <w:szCs w:val="22"/>
        </w:rPr>
        <w:t>372</w:t>
      </w:r>
    </w:p>
    <w:p w:rsidR="00842E91" w:rsidRPr="009E1AA5" w:rsidP="00842E91" w14:paraId="758AAF26" w14:textId="77777777">
      <w:pPr>
        <w:suppressAutoHyphens/>
        <w:rPr>
          <w:b/>
          <w:snapToGrid w:val="0"/>
          <w:kern w:val="28"/>
        </w:rPr>
      </w:pPr>
    </w:p>
    <w:p w:rsidR="00842E91" w:rsidP="00842E91" w14:paraId="646E3F50" w14:textId="77777777">
      <w:pPr>
        <w:autoSpaceDE w:val="0"/>
        <w:autoSpaceDN w:val="0"/>
        <w:adjustRightInd w:val="0"/>
        <w:spacing w:after="120"/>
        <w:ind w:firstLine="720"/>
        <w:rPr>
          <w:szCs w:val="22"/>
        </w:rPr>
      </w:pPr>
      <w:r w:rsidRPr="00F6162F">
        <w:rPr>
          <w:szCs w:val="22"/>
        </w:rPr>
        <w:t xml:space="preserve">By this Public Notice, the Wireline Competition Bureau (Bureau) </w:t>
      </w:r>
      <w:r>
        <w:rPr>
          <w:szCs w:val="22"/>
        </w:rPr>
        <w:t xml:space="preserve">grants </w:t>
      </w:r>
      <w:r w:rsidRPr="00F6162F">
        <w:rPr>
          <w:szCs w:val="22"/>
        </w:rPr>
        <w:t>an application filed</w:t>
      </w:r>
      <w:bookmarkStart w:id="0" w:name="_Hlk87961388"/>
      <w:r w:rsidRPr="00F6162F">
        <w:rPr>
          <w:szCs w:val="22"/>
        </w:rPr>
        <w:t xml:space="preserve"> </w:t>
      </w:r>
      <w:bookmarkStart w:id="1" w:name="_Hlk124848123"/>
      <w:r w:rsidRPr="009B6EAE">
        <w:rPr>
          <w:szCs w:val="22"/>
        </w:rPr>
        <w:t xml:space="preserve">by </w:t>
      </w:r>
      <w:bookmarkStart w:id="2" w:name="_Hlk149815362"/>
      <w:r w:rsidRPr="009B6EAE">
        <w:rPr>
          <w:szCs w:val="22"/>
        </w:rPr>
        <w:t xml:space="preserve">Hunt Group Holdings, LLC (Hunt Group), ITC Holdings, LLC (ITC Holdings), </w:t>
      </w:r>
      <w:r w:rsidRPr="009B6EAE">
        <w:rPr>
          <w:szCs w:val="22"/>
        </w:rPr>
        <w:t>CableSouth</w:t>
      </w:r>
      <w:r w:rsidRPr="009B6EAE">
        <w:rPr>
          <w:szCs w:val="22"/>
        </w:rPr>
        <w:t xml:space="preserve"> Media III, LLC d/b/a Swyft Fiber (</w:t>
      </w:r>
      <w:r w:rsidRPr="009B6EAE">
        <w:rPr>
          <w:szCs w:val="22"/>
        </w:rPr>
        <w:t>CableSouth</w:t>
      </w:r>
      <w:r w:rsidRPr="009B6EAE">
        <w:rPr>
          <w:szCs w:val="22"/>
        </w:rPr>
        <w:t xml:space="preserve">), and MIP VI Outlier, LLC (MIP VI Outlier, collectively with Hunt Group, ITC, and </w:t>
      </w:r>
      <w:r w:rsidRPr="009B6EAE">
        <w:rPr>
          <w:szCs w:val="22"/>
        </w:rPr>
        <w:t>CableSouth</w:t>
      </w:r>
      <w:r w:rsidRPr="009B6EAE">
        <w:rPr>
          <w:szCs w:val="22"/>
        </w:rPr>
        <w:t>, Applicants), pursuant to section 214 of the Communications Act of 1934, as amended, and sections 63.03-04 of the Commission’s rules,</w:t>
      </w:r>
      <w:r>
        <w:rPr>
          <w:szCs w:val="22"/>
          <w:vertAlign w:val="superscript"/>
        </w:rPr>
        <w:footnoteReference w:id="3"/>
      </w:r>
      <w:r w:rsidRPr="009B6EAE">
        <w:rPr>
          <w:szCs w:val="22"/>
        </w:rPr>
        <w:t xml:space="preserve"> requesting consent to transfer control of </w:t>
      </w:r>
      <w:r w:rsidRPr="009B6EAE">
        <w:rPr>
          <w:szCs w:val="22"/>
        </w:rPr>
        <w:t>CableSouth</w:t>
      </w:r>
      <w:r w:rsidRPr="009B6EAE">
        <w:rPr>
          <w:szCs w:val="22"/>
        </w:rPr>
        <w:t xml:space="preserve"> to MIP VI</w:t>
      </w:r>
      <w:bookmarkEnd w:id="2"/>
      <w:r>
        <w:rPr>
          <w:szCs w:val="22"/>
        </w:rPr>
        <w:t xml:space="preserve"> Outlier</w:t>
      </w:r>
      <w:r w:rsidRPr="009B6EAE">
        <w:rPr>
          <w:szCs w:val="22"/>
        </w:rPr>
        <w:t>.</w:t>
      </w:r>
      <w:r>
        <w:rPr>
          <w:szCs w:val="22"/>
          <w:vertAlign w:val="superscript"/>
        </w:rPr>
        <w:footnoteReference w:id="4"/>
      </w:r>
    </w:p>
    <w:bookmarkEnd w:id="0"/>
    <w:bookmarkEnd w:id="1"/>
    <w:p w:rsidR="00842E91" w:rsidP="00842E91" w14:paraId="747FB94D" w14:textId="77777777">
      <w:pPr>
        <w:autoSpaceDE w:val="0"/>
        <w:autoSpaceDN w:val="0"/>
        <w:adjustRightInd w:val="0"/>
        <w:spacing w:after="120"/>
        <w:ind w:firstLine="720"/>
        <w:rPr>
          <w:b/>
          <w:bCs/>
          <w:szCs w:val="22"/>
          <w:u w:val="single"/>
        </w:rPr>
      </w:pPr>
      <w:r w:rsidRPr="009E1AA5">
        <w:rPr>
          <w:snapToGrid w:val="0"/>
          <w:kern w:val="28"/>
          <w:szCs w:val="22"/>
        </w:rPr>
        <w:t xml:space="preserve">On </w:t>
      </w:r>
      <w:r>
        <w:rPr>
          <w:snapToGrid w:val="0"/>
          <w:kern w:val="28"/>
          <w:szCs w:val="22"/>
        </w:rPr>
        <w:t>November 16</w:t>
      </w:r>
      <w:r w:rsidRPr="009E1AA5">
        <w:rPr>
          <w:snapToGrid w:val="0"/>
          <w:kern w:val="28"/>
          <w:szCs w:val="22"/>
        </w:rPr>
        <w:t>, 2023, the Bureau released a Public Notice seeking comment on the Application.</w:t>
      </w:r>
      <w:r>
        <w:rPr>
          <w:snapToGrid w:val="0"/>
          <w:kern w:val="28"/>
          <w:szCs w:val="22"/>
          <w:vertAlign w:val="superscript"/>
        </w:rPr>
        <w:footnoteReference w:id="5"/>
      </w:r>
      <w:r w:rsidRPr="009E1AA5">
        <w:rPr>
          <w:snapToGrid w:val="0"/>
          <w:kern w:val="28"/>
          <w:szCs w:val="22"/>
        </w:rPr>
        <w:t xml:space="preserve">  The Bureau did not receive comments or petitions in opposition to the Application.</w:t>
      </w:r>
    </w:p>
    <w:p w:rsidR="00842E91" w:rsidRPr="009E1AA5" w:rsidP="00842E91" w14:paraId="62F4A59F" w14:textId="77777777">
      <w:pPr>
        <w:keepNext/>
        <w:autoSpaceDE w:val="0"/>
        <w:autoSpaceDN w:val="0"/>
        <w:adjustRightInd w:val="0"/>
        <w:spacing w:after="120"/>
        <w:rPr>
          <w:b/>
          <w:bCs/>
          <w:szCs w:val="22"/>
          <w:u w:val="single"/>
        </w:rPr>
      </w:pPr>
      <w:bookmarkStart w:id="3" w:name="_Hlk135050822"/>
      <w:r w:rsidRPr="009E1AA5">
        <w:rPr>
          <w:b/>
          <w:bCs/>
          <w:szCs w:val="22"/>
          <w:u w:val="single"/>
        </w:rPr>
        <w:t>Applicants and Description of Transaction</w:t>
      </w:r>
    </w:p>
    <w:bookmarkEnd w:id="3"/>
    <w:p w:rsidR="00842E91" w:rsidRPr="009B6EAE" w:rsidP="00842E91" w14:paraId="5E82BF45" w14:textId="77777777">
      <w:pPr>
        <w:autoSpaceDE w:val="0"/>
        <w:autoSpaceDN w:val="0"/>
        <w:adjustRightInd w:val="0"/>
        <w:spacing w:after="120"/>
        <w:ind w:firstLine="720"/>
        <w:rPr>
          <w:szCs w:val="22"/>
        </w:rPr>
      </w:pPr>
      <w:r w:rsidRPr="009B6EAE">
        <w:rPr>
          <w:szCs w:val="22"/>
        </w:rPr>
        <w:t>CableSouth</w:t>
      </w:r>
      <w:r w:rsidRPr="009B6EAE">
        <w:rPr>
          <w:szCs w:val="22"/>
        </w:rPr>
        <w:t xml:space="preserve">, a Tennessee limited liability company, </w:t>
      </w:r>
      <w:bookmarkStart w:id="4" w:name="_Hlk149816147"/>
      <w:r w:rsidRPr="009B6EAE">
        <w:rPr>
          <w:szCs w:val="22"/>
        </w:rPr>
        <w:t>provides video programming and other communications services to residential customers throughout the Southeastern United States and, under the brand names “</w:t>
      </w:r>
      <w:r w:rsidRPr="009B6EAE">
        <w:rPr>
          <w:szCs w:val="22"/>
        </w:rPr>
        <w:t>SwyftConnect</w:t>
      </w:r>
      <w:r w:rsidRPr="009B6EAE">
        <w:rPr>
          <w:szCs w:val="22"/>
        </w:rPr>
        <w:t xml:space="preserve">” and “Swyft Fiber,” </w:t>
      </w:r>
      <w:r w:rsidRPr="009B6EAE">
        <w:rPr>
          <w:szCs w:val="22"/>
        </w:rPr>
        <w:t>CableSouth</w:t>
      </w:r>
      <w:r w:rsidRPr="009B6EAE">
        <w:rPr>
          <w:szCs w:val="22"/>
        </w:rPr>
        <w:t xml:space="preserve"> offers video, and digital voice </w:t>
      </w:r>
      <w:r w:rsidRPr="008E758F">
        <w:rPr>
          <w:szCs w:val="22"/>
        </w:rPr>
        <w:t>services to residential, enterprise, and government customers in Arkansas, Louisiana, and Mississippi.</w:t>
      </w:r>
      <w:r>
        <w:rPr>
          <w:szCs w:val="22"/>
          <w:vertAlign w:val="superscript"/>
        </w:rPr>
        <w:footnoteReference w:id="6"/>
      </w:r>
      <w:r w:rsidRPr="008E758F">
        <w:rPr>
          <w:szCs w:val="22"/>
        </w:rPr>
        <w:t xml:space="preserve">  </w:t>
      </w:r>
      <w:r w:rsidRPr="008E758F">
        <w:rPr>
          <w:szCs w:val="22"/>
        </w:rPr>
        <w:t>CableSouth</w:t>
      </w:r>
      <w:r w:rsidRPr="008E758F">
        <w:rPr>
          <w:szCs w:val="22"/>
        </w:rPr>
        <w:t xml:space="preserve"> is an </w:t>
      </w:r>
      <w:bookmarkStart w:id="5" w:name="_Hlk149815444"/>
      <w:r w:rsidRPr="008E758F">
        <w:rPr>
          <w:szCs w:val="22"/>
        </w:rPr>
        <w:t xml:space="preserve">Eligible Telecommunications Carrier (ETC) in Arkansas, Louisiana, and Mississippi and, on March 15, 2022, the Bureau authorized </w:t>
      </w:r>
      <w:r w:rsidRPr="008E758F">
        <w:rPr>
          <w:szCs w:val="22"/>
        </w:rPr>
        <w:t>CableSouth</w:t>
      </w:r>
      <w:r w:rsidRPr="008E758F">
        <w:rPr>
          <w:szCs w:val="22"/>
        </w:rPr>
        <w:t xml:space="preserve"> to receive $152.9 million in Rural Digital Opportunity Fund (RDOF) Auction 904 support to provide service to 57,387 locations </w:t>
      </w:r>
      <w:r>
        <w:rPr>
          <w:szCs w:val="22"/>
        </w:rPr>
        <w:t xml:space="preserve">to </w:t>
      </w:r>
      <w:r w:rsidRPr="008E758F">
        <w:rPr>
          <w:szCs w:val="22"/>
        </w:rPr>
        <w:t>be</w:t>
      </w:r>
      <w:r>
        <w:rPr>
          <w:szCs w:val="22"/>
        </w:rPr>
        <w:t xml:space="preserve"> </w:t>
      </w:r>
      <w:r w:rsidRPr="008E758F">
        <w:rPr>
          <w:szCs w:val="22"/>
        </w:rPr>
        <w:t>distributed over ten years in Arkansas, Louisiana, and Mississippi</w:t>
      </w:r>
      <w:bookmarkEnd w:id="4"/>
      <w:bookmarkEnd w:id="5"/>
      <w:r w:rsidRPr="008E758F">
        <w:rPr>
          <w:szCs w:val="22"/>
        </w:rPr>
        <w:t>.</w:t>
      </w:r>
      <w:r>
        <w:rPr>
          <w:szCs w:val="22"/>
          <w:vertAlign w:val="superscript"/>
        </w:rPr>
        <w:footnoteReference w:id="7"/>
      </w:r>
      <w:r w:rsidRPr="009B6EAE">
        <w:rPr>
          <w:szCs w:val="22"/>
        </w:rPr>
        <w:t xml:space="preserve">  </w:t>
      </w:r>
      <w:r w:rsidRPr="009B6EAE">
        <w:rPr>
          <w:szCs w:val="22"/>
        </w:rPr>
        <w:t>CableSouth</w:t>
      </w:r>
      <w:r w:rsidRPr="009B6EAE">
        <w:rPr>
          <w:szCs w:val="22"/>
        </w:rPr>
        <w:t xml:space="preserve"> is wholly owned by </w:t>
      </w:r>
      <w:r w:rsidRPr="009B6EAE">
        <w:rPr>
          <w:szCs w:val="22"/>
        </w:rPr>
        <w:t>CableSouth</w:t>
      </w:r>
      <w:r w:rsidRPr="009B6EAE">
        <w:rPr>
          <w:szCs w:val="22"/>
        </w:rPr>
        <w:t xml:space="preserve"> Media, LLC, a Tennessee limited liability company, which, in turn, is wholly owned by Hunt Land </w:t>
      </w:r>
      <w:r w:rsidRPr="009B6EAE">
        <w:rPr>
          <w:szCs w:val="22"/>
        </w:rPr>
        <w:t>Holdings, LLC (Hunt Land Holdings), a Louisiana limited liability company.</w:t>
      </w:r>
      <w:r>
        <w:rPr>
          <w:szCs w:val="22"/>
          <w:vertAlign w:val="superscript"/>
        </w:rPr>
        <w:footnoteReference w:id="8"/>
      </w:r>
      <w:r w:rsidRPr="009B6EAE">
        <w:rPr>
          <w:szCs w:val="22"/>
        </w:rPr>
        <w:t xml:space="preserve">  Hunt Land Holdings, a Louisiana holding company, is wholly owned by CSM Intermediate, LLC, which, in turn, is wholly owned by CSM Holding Company, LLC (CSM Holding), both Delaware limited liability companies.</w:t>
      </w:r>
      <w:r>
        <w:rPr>
          <w:szCs w:val="22"/>
          <w:vertAlign w:val="superscript"/>
        </w:rPr>
        <w:footnoteReference w:id="9"/>
      </w:r>
      <w:r w:rsidRPr="009B6EAE">
        <w:rPr>
          <w:szCs w:val="22"/>
        </w:rPr>
        <w:t xml:space="preserve">  Hunt Group, a Louisiana limited liability company, currently owns 65% of the equity in CSM Holding</w:t>
      </w:r>
      <w:r>
        <w:rPr>
          <w:szCs w:val="22"/>
        </w:rPr>
        <w:t>.</w:t>
      </w:r>
      <w:r w:rsidRPr="009B6EAE">
        <w:rPr>
          <w:szCs w:val="22"/>
        </w:rPr>
        <w:t xml:space="preserve"> </w:t>
      </w:r>
      <w:r>
        <w:rPr>
          <w:szCs w:val="22"/>
        </w:rPr>
        <w:t xml:space="preserve"> </w:t>
      </w:r>
      <w:r w:rsidRPr="009B6EAE">
        <w:rPr>
          <w:szCs w:val="22"/>
        </w:rPr>
        <w:t>ITC Holdings, a Delaware limited liability company, owns the remaining 35 percent.</w:t>
      </w:r>
      <w:r>
        <w:rPr>
          <w:szCs w:val="22"/>
          <w:vertAlign w:val="superscript"/>
        </w:rPr>
        <w:footnoteReference w:id="10"/>
      </w:r>
      <w:r w:rsidRPr="009B6EAE">
        <w:rPr>
          <w:szCs w:val="22"/>
        </w:rPr>
        <w:t xml:space="preserve">  </w:t>
      </w:r>
      <w:r w:rsidRPr="009B6EAE">
        <w:rPr>
          <w:snapToGrid w:val="0"/>
          <w:kern w:val="28"/>
          <w:szCs w:val="22"/>
        </w:rPr>
        <w:t xml:space="preserve">Following the consummation of the proposed transaction, Hunt Group will hold 50% indirect equity and voting of CSM Holding and, therefore, a 50% indirect interest in </w:t>
      </w:r>
      <w:r w:rsidRPr="009B6EAE">
        <w:rPr>
          <w:snapToGrid w:val="0"/>
          <w:kern w:val="28"/>
          <w:szCs w:val="22"/>
        </w:rPr>
        <w:t>CableSouth</w:t>
      </w:r>
      <w:r w:rsidRPr="009B6EAE">
        <w:rPr>
          <w:snapToGrid w:val="0"/>
          <w:kern w:val="28"/>
          <w:szCs w:val="22"/>
        </w:rPr>
        <w:t>.</w:t>
      </w:r>
      <w:r>
        <w:rPr>
          <w:snapToGrid w:val="0"/>
          <w:kern w:val="28"/>
          <w:szCs w:val="22"/>
          <w:vertAlign w:val="superscript"/>
        </w:rPr>
        <w:footnoteReference w:id="11"/>
      </w:r>
    </w:p>
    <w:p w:rsidR="00842E91" w:rsidP="00842E91" w14:paraId="58F0933B" w14:textId="77777777">
      <w:pPr>
        <w:autoSpaceDE w:val="0"/>
        <w:autoSpaceDN w:val="0"/>
        <w:adjustRightInd w:val="0"/>
        <w:spacing w:after="120"/>
        <w:ind w:firstLine="720"/>
        <w:rPr>
          <w:snapToGrid w:val="0"/>
          <w:kern w:val="28"/>
          <w:szCs w:val="22"/>
        </w:rPr>
      </w:pPr>
      <w:r w:rsidRPr="009B6EAE">
        <w:rPr>
          <w:szCs w:val="22"/>
        </w:rPr>
        <w:t>MIP VI Outlier, a Delaware limited liability company, has been established to acquire an ownership interest in CSM Holding and is indirectly owned by investment vehicles managed by and/or affiliated with Macquarie Infrastructure Partners Inc. (MIP Inc.), a Delaware corporation, which is a wholly-owned subsidiary of Macquarie Infrastructure and Real Assets Inc. (MIRA Inc.).</w:t>
      </w:r>
      <w:r>
        <w:rPr>
          <w:szCs w:val="22"/>
          <w:vertAlign w:val="superscript"/>
        </w:rPr>
        <w:footnoteReference w:id="12"/>
      </w:r>
      <w:r w:rsidRPr="009B6EAE">
        <w:rPr>
          <w:snapToGrid w:val="0"/>
          <w:kern w:val="28"/>
          <w:szCs w:val="22"/>
        </w:rPr>
        <w:t xml:space="preserve">  MIRA Inc. is a wholly-owned subsidiary of Macquarie Holdings (U.S.A.) Inc., a Delaware corporation, which, in turn, is held by various intermediate Australian entities ultimately held by Macquarie Group Limited (MGL), a publicly traded company incorporated in Australia.</w:t>
      </w:r>
      <w:r>
        <w:rPr>
          <w:snapToGrid w:val="0"/>
          <w:kern w:val="28"/>
          <w:szCs w:val="22"/>
          <w:vertAlign w:val="superscript"/>
        </w:rPr>
        <w:footnoteReference w:id="13"/>
      </w:r>
      <w:r w:rsidRPr="009B6EAE">
        <w:rPr>
          <w:snapToGrid w:val="0"/>
          <w:kern w:val="28"/>
          <w:szCs w:val="22"/>
        </w:rPr>
        <w:t xml:space="preserve">  Applicants state that MIP VI Outlier is affiliated with various providers of domestic communications and telecommunications services</w:t>
      </w:r>
      <w:r>
        <w:rPr>
          <w:snapToGrid w:val="0"/>
          <w:kern w:val="28"/>
          <w:szCs w:val="22"/>
        </w:rPr>
        <w:t>,</w:t>
      </w:r>
      <w:r w:rsidRPr="009B6EAE">
        <w:rPr>
          <w:snapToGrid w:val="0"/>
          <w:kern w:val="28"/>
          <w:szCs w:val="22"/>
        </w:rPr>
        <w:t xml:space="preserve"> including Bluebird Network, LLC (Bluebird)</w:t>
      </w:r>
      <w:r>
        <w:rPr>
          <w:snapToGrid w:val="0"/>
          <w:kern w:val="28"/>
          <w:szCs w:val="22"/>
          <w:vertAlign w:val="superscript"/>
        </w:rPr>
        <w:footnoteReference w:id="14"/>
      </w:r>
      <w:r w:rsidRPr="009B6EAE">
        <w:rPr>
          <w:snapToGrid w:val="0"/>
          <w:kern w:val="28"/>
          <w:szCs w:val="22"/>
        </w:rPr>
        <w:t xml:space="preserve"> and Cincinnati Bell Inc. d/b/a </w:t>
      </w:r>
      <w:r w:rsidRPr="009B6EAE">
        <w:rPr>
          <w:snapToGrid w:val="0"/>
          <w:kern w:val="28"/>
          <w:szCs w:val="22"/>
        </w:rPr>
        <w:t>altafiber</w:t>
      </w:r>
      <w:r w:rsidRPr="009B6EAE">
        <w:rPr>
          <w:snapToGrid w:val="0"/>
          <w:kern w:val="28"/>
          <w:szCs w:val="22"/>
        </w:rPr>
        <w:t xml:space="preserve"> (Cincinnati Bell).</w:t>
      </w:r>
      <w:r>
        <w:rPr>
          <w:snapToGrid w:val="0"/>
          <w:kern w:val="28"/>
          <w:szCs w:val="22"/>
          <w:vertAlign w:val="superscript"/>
        </w:rPr>
        <w:footnoteReference w:id="15"/>
      </w:r>
      <w:r w:rsidRPr="009B6EAE">
        <w:rPr>
          <w:snapToGrid w:val="0"/>
          <w:kern w:val="28"/>
          <w:szCs w:val="22"/>
        </w:rPr>
        <w:t xml:space="preserve">  Applicants state </w:t>
      </w:r>
      <w:r w:rsidRPr="009B6EAE">
        <w:rPr>
          <w:snapToGrid w:val="0"/>
          <w:kern w:val="28"/>
          <w:szCs w:val="22"/>
        </w:rPr>
        <w:t>that two of Cincinnati Bell’s subsidiaries receive RDOF Auction 904 support:  CBT receives RDOF Auction 904 support in Indiana, Kentucky, and Ohio</w:t>
      </w:r>
      <w:r>
        <w:rPr>
          <w:snapToGrid w:val="0"/>
          <w:kern w:val="28"/>
          <w:szCs w:val="22"/>
        </w:rPr>
        <w:t>,</w:t>
      </w:r>
      <w:r w:rsidRPr="009B6EAE">
        <w:rPr>
          <w:snapToGrid w:val="0"/>
          <w:kern w:val="28"/>
          <w:szCs w:val="22"/>
        </w:rPr>
        <w:t xml:space="preserve"> and HTI receives RDOF Auction 904 support in Hawaii.</w:t>
      </w:r>
      <w:r>
        <w:rPr>
          <w:snapToGrid w:val="0"/>
          <w:kern w:val="28"/>
          <w:szCs w:val="22"/>
          <w:vertAlign w:val="superscript"/>
        </w:rPr>
        <w:footnoteReference w:id="16"/>
      </w:r>
      <w:r>
        <w:rPr>
          <w:snapToGrid w:val="0"/>
          <w:kern w:val="28"/>
          <w:szCs w:val="22"/>
        </w:rPr>
        <w:t xml:space="preserve">  </w:t>
      </w:r>
    </w:p>
    <w:p w:rsidR="00842E91" w:rsidRPr="00FC24E6" w:rsidP="00842E91" w14:paraId="204D1E1F" w14:textId="77777777">
      <w:pPr>
        <w:autoSpaceDE w:val="0"/>
        <w:autoSpaceDN w:val="0"/>
        <w:adjustRightInd w:val="0"/>
        <w:spacing w:after="120"/>
        <w:ind w:firstLine="720"/>
      </w:pPr>
      <w:r w:rsidRPr="009B6EAE">
        <w:rPr>
          <w:snapToGrid w:val="0"/>
          <w:kern w:val="28"/>
          <w:szCs w:val="22"/>
        </w:rPr>
        <w:t xml:space="preserve">According the Applicants, following the consummation of the transaction, Hunt Group and MIP VI Outlier will each hold a 50% interest in CSM Holding, with MIP VI Outlier holding </w:t>
      </w:r>
      <w:r w:rsidRPr="00E64CC6">
        <w:rPr>
          <w:i/>
          <w:iCs/>
          <w:snapToGrid w:val="0"/>
          <w:kern w:val="28"/>
          <w:szCs w:val="22"/>
        </w:rPr>
        <w:t>de jure</w:t>
      </w:r>
      <w:r w:rsidRPr="009B6EAE">
        <w:rPr>
          <w:snapToGrid w:val="0"/>
          <w:kern w:val="28"/>
          <w:szCs w:val="22"/>
        </w:rPr>
        <w:t xml:space="preserve"> and </w:t>
      </w:r>
      <w:r w:rsidRPr="00E64CC6">
        <w:rPr>
          <w:i/>
          <w:iCs/>
          <w:snapToGrid w:val="0"/>
          <w:kern w:val="28"/>
          <w:szCs w:val="22"/>
        </w:rPr>
        <w:t>de facto</w:t>
      </w:r>
      <w:r w:rsidRPr="009B6EAE">
        <w:rPr>
          <w:snapToGrid w:val="0"/>
          <w:kern w:val="28"/>
          <w:szCs w:val="22"/>
        </w:rPr>
        <w:t xml:space="preserve"> control</w:t>
      </w:r>
      <w:r>
        <w:t>.</w:t>
      </w:r>
      <w:r>
        <w:rPr>
          <w:szCs w:val="22"/>
          <w:vertAlign w:val="superscript"/>
        </w:rPr>
        <w:footnoteReference w:id="17"/>
      </w:r>
      <w:r>
        <w:t xml:space="preserve">  </w:t>
      </w:r>
      <w:r w:rsidRPr="00F6709B">
        <w:rPr>
          <w:rFonts w:eastAsia="Calibri"/>
          <w:bCs/>
          <w:szCs w:val="22"/>
        </w:rPr>
        <w:t>Applicants assert that the proposed transaction would serve the public interest, convenience, and necessity.</w:t>
      </w:r>
      <w:r>
        <w:rPr>
          <w:rFonts w:eastAsia="Calibri"/>
          <w:bCs/>
          <w:szCs w:val="22"/>
          <w:vertAlign w:val="superscript"/>
        </w:rPr>
        <w:footnoteReference w:id="18"/>
      </w:r>
    </w:p>
    <w:p w:rsidR="00842E91" w:rsidRPr="00D80430" w:rsidP="00842E91" w14:paraId="49893D04" w14:textId="77777777">
      <w:pPr>
        <w:spacing w:after="120"/>
        <w:rPr>
          <w:rFonts w:eastAsia="Calibri"/>
          <w:bCs/>
          <w:szCs w:val="22"/>
        </w:rPr>
      </w:pPr>
      <w:r w:rsidRPr="009E1AA5">
        <w:rPr>
          <w:b/>
          <w:bCs/>
          <w:snapToGrid w:val="0"/>
          <w:kern w:val="28"/>
          <w:szCs w:val="22"/>
          <w:u w:val="single"/>
        </w:rPr>
        <w:t>Discussion</w:t>
      </w:r>
    </w:p>
    <w:p w:rsidR="00842E91" w:rsidRPr="00E234CD" w:rsidP="00842E91" w14:paraId="30F68D4F" w14:textId="77777777">
      <w:pPr>
        <w:autoSpaceDE w:val="0"/>
        <w:autoSpaceDN w:val="0"/>
        <w:adjustRightInd w:val="0"/>
        <w:spacing w:after="120"/>
        <w:ind w:firstLine="720"/>
        <w:rPr>
          <w:snapToGrid w:val="0"/>
          <w:color w:val="000000"/>
          <w:kern w:val="28"/>
          <w:szCs w:val="22"/>
        </w:rPr>
      </w:pPr>
      <w:r w:rsidRPr="00E234CD">
        <w:rPr>
          <w:snapToGrid w:val="0"/>
          <w:kern w:val="28"/>
          <w:szCs w:val="22"/>
        </w:rPr>
        <w:t>We find, upon consideration of the record, that a grant of the Application will serve the public interest, convenience, and necessity.  To make this determination under Commission precedent, we consider whether the proposed transaction could result in public interest harms by substantially frustrating or impairing the objectives or implementation of the Act or related statutes.</w:t>
      </w:r>
      <w:r>
        <w:rPr>
          <w:snapToGrid w:val="0"/>
          <w:kern w:val="28"/>
          <w:szCs w:val="22"/>
          <w:vertAlign w:val="superscript"/>
        </w:rPr>
        <w:footnoteReference w:id="19"/>
      </w:r>
      <w:r w:rsidRPr="00E234CD">
        <w:rPr>
          <w:snapToGrid w:val="0"/>
          <w:kern w:val="28"/>
          <w:szCs w:val="22"/>
        </w:rPr>
        <w:t xml:space="preserve">  </w:t>
      </w:r>
      <w:r w:rsidRPr="00E234CD">
        <w:rPr>
          <w:snapToGrid w:val="0"/>
          <w:color w:val="000000"/>
          <w:kern w:val="28"/>
          <w:szCs w:val="22"/>
        </w:rPr>
        <w:t>We then employ a balancing test weighing any potential public interest harms of the proposed transaction against any potential public interest benefits.</w:t>
      </w:r>
      <w:r>
        <w:rPr>
          <w:snapToGrid w:val="0"/>
          <w:color w:val="000000"/>
          <w:kern w:val="28"/>
          <w:szCs w:val="22"/>
          <w:vertAlign w:val="superscript"/>
        </w:rPr>
        <w:footnoteReference w:id="20"/>
      </w:r>
      <w:r w:rsidRPr="00E234CD">
        <w:rPr>
          <w:snapToGrid w:val="0"/>
          <w:color w:val="000000"/>
          <w:kern w:val="28"/>
          <w:szCs w:val="22"/>
        </w:rPr>
        <w:t xml:space="preserve">  The Applicants bear the burden of proving, by a preponderance of the evidence, that the proposed transaction, on balance, serves the public interest.</w:t>
      </w:r>
      <w:r>
        <w:rPr>
          <w:snapToGrid w:val="0"/>
          <w:color w:val="000000"/>
          <w:kern w:val="28"/>
          <w:szCs w:val="22"/>
          <w:vertAlign w:val="superscript"/>
        </w:rPr>
        <w:footnoteReference w:id="21"/>
      </w:r>
    </w:p>
    <w:p w:rsidR="00842E91" w:rsidRPr="00E234CD" w:rsidP="00842E91" w14:paraId="7D97D4C8" w14:textId="77777777">
      <w:pPr>
        <w:autoSpaceDE w:val="0"/>
        <w:autoSpaceDN w:val="0"/>
        <w:adjustRightInd w:val="0"/>
        <w:spacing w:after="120"/>
        <w:ind w:firstLine="720"/>
        <w:rPr>
          <w:szCs w:val="22"/>
        </w:rPr>
      </w:pPr>
      <w:r w:rsidRPr="00E234CD">
        <w:rPr>
          <w:szCs w:val="22"/>
        </w:rPr>
        <w:t xml:space="preserve">We further find that there are no potential public interest harms identified in the record. </w:t>
      </w:r>
      <w:r w:rsidRPr="00E234CD">
        <w:rPr>
          <w:snapToGrid w:val="0"/>
          <w:color w:val="000000"/>
          <w:kern w:val="28"/>
          <w:szCs w:val="22"/>
        </w:rPr>
        <w:t xml:space="preserve"> First, the proposed transaction will </w:t>
      </w:r>
      <w:r w:rsidRPr="00E234CD">
        <w:rPr>
          <w:szCs w:val="22"/>
        </w:rPr>
        <w:t>not result in a reduction of competition.  Applicants have no overlapping service areas for any facilities-based telecommunications services.</w:t>
      </w:r>
      <w:r>
        <w:rPr>
          <w:szCs w:val="22"/>
          <w:vertAlign w:val="superscript"/>
        </w:rPr>
        <w:footnoteReference w:id="22"/>
      </w:r>
      <w:r w:rsidRPr="00E234CD">
        <w:rPr>
          <w:szCs w:val="22"/>
        </w:rPr>
        <w:t xml:space="preserve">  Applicants state that because the change in ownership will occur at the parent-company level, the proposed transaction will be seamless and not </w:t>
      </w:r>
      <w:r w:rsidRPr="00E234CD">
        <w:rPr>
          <w:szCs w:val="22"/>
        </w:rPr>
        <w:t xml:space="preserve">result in any harms or impact to </w:t>
      </w:r>
      <w:r w:rsidRPr="00E234CD">
        <w:rPr>
          <w:szCs w:val="22"/>
        </w:rPr>
        <w:t>CableSouth’s</w:t>
      </w:r>
      <w:r w:rsidRPr="00E234CD">
        <w:rPr>
          <w:szCs w:val="22"/>
        </w:rPr>
        <w:t xml:space="preserve"> existing customers.</w:t>
      </w:r>
      <w:r>
        <w:rPr>
          <w:rStyle w:val="FootnoteReference"/>
          <w:szCs w:val="22"/>
        </w:rPr>
        <w:footnoteReference w:id="23"/>
      </w:r>
      <w:r w:rsidRPr="00E234CD">
        <w:rPr>
          <w:szCs w:val="22"/>
        </w:rPr>
        <w:t xml:space="preserve">  Applicants further state that </w:t>
      </w:r>
      <w:r w:rsidRPr="00E234CD">
        <w:rPr>
          <w:szCs w:val="22"/>
        </w:rPr>
        <w:t>CableSouth</w:t>
      </w:r>
      <w:r w:rsidRPr="00E234CD">
        <w:rPr>
          <w:szCs w:val="22"/>
        </w:rPr>
        <w:t xml:space="preserve"> will continue to provide high-quality broadband services to its customers under the same rates, terms, and conditions without any interruption of service,</w:t>
      </w:r>
      <w:r>
        <w:rPr>
          <w:rStyle w:val="FootnoteReference"/>
          <w:szCs w:val="22"/>
        </w:rPr>
        <w:footnoteReference w:id="24"/>
      </w:r>
      <w:r w:rsidRPr="00E234CD">
        <w:rPr>
          <w:szCs w:val="22"/>
        </w:rPr>
        <w:t xml:space="preserve"> and we thus expect no potential harm to existing customers to result from the transaction.</w:t>
      </w:r>
    </w:p>
    <w:p w:rsidR="00842E91" w:rsidRPr="00E234CD" w:rsidP="00842E91" w14:paraId="44CAE8A1" w14:textId="77777777">
      <w:pPr>
        <w:autoSpaceDE w:val="0"/>
        <w:autoSpaceDN w:val="0"/>
        <w:adjustRightInd w:val="0"/>
        <w:spacing w:after="120"/>
        <w:ind w:firstLine="720"/>
        <w:rPr>
          <w:szCs w:val="22"/>
        </w:rPr>
      </w:pPr>
      <w:r w:rsidRPr="00E234CD">
        <w:rPr>
          <w:szCs w:val="22"/>
        </w:rPr>
        <w:t>Second, Applicants state that they will meet all relevant RDOF support obligations,</w:t>
      </w:r>
      <w:r>
        <w:rPr>
          <w:szCs w:val="22"/>
          <w:vertAlign w:val="superscript"/>
        </w:rPr>
        <w:footnoteReference w:id="25"/>
      </w:r>
      <w:r w:rsidRPr="00E234CD">
        <w:rPr>
          <w:szCs w:val="22"/>
        </w:rPr>
        <w:t xml:space="preserve"> and we expect that the proposed transaction will not negatively impact these obligations.  Applicants state that the proposed transaction does not entail any increase to the debt load of CSM Holding or </w:t>
      </w:r>
      <w:r w:rsidRPr="00E234CD">
        <w:rPr>
          <w:szCs w:val="22"/>
        </w:rPr>
        <w:t>CableSouth</w:t>
      </w:r>
      <w:r w:rsidRPr="00E234CD">
        <w:rPr>
          <w:szCs w:val="22"/>
        </w:rPr>
        <w:t xml:space="preserve"> or their affiliates, nor will there be a new authorization holder or the assignment of any support or assets.</w:t>
      </w:r>
      <w:r>
        <w:rPr>
          <w:rStyle w:val="FootnoteReference"/>
          <w:szCs w:val="22"/>
        </w:rPr>
        <w:footnoteReference w:id="26"/>
      </w:r>
      <w:r w:rsidRPr="00E234CD">
        <w:rPr>
          <w:szCs w:val="22"/>
        </w:rPr>
        <w:t xml:space="preserve">  Applicants confirm that all support received through RDOF, and the network assets built in connection with the RDOF program, will remain with </w:t>
      </w:r>
      <w:r w:rsidRPr="00E234CD">
        <w:rPr>
          <w:szCs w:val="22"/>
        </w:rPr>
        <w:t>CableSouth</w:t>
      </w:r>
      <w:r w:rsidRPr="00E234CD">
        <w:rPr>
          <w:szCs w:val="22"/>
        </w:rPr>
        <w:t>.</w:t>
      </w:r>
      <w:r>
        <w:rPr>
          <w:rStyle w:val="FootnoteReference"/>
          <w:szCs w:val="22"/>
        </w:rPr>
        <w:footnoteReference w:id="27"/>
      </w:r>
      <w:r w:rsidRPr="00E234CD">
        <w:rPr>
          <w:szCs w:val="22"/>
        </w:rPr>
        <w:t xml:space="preserve">  </w:t>
      </w:r>
      <w:r w:rsidRPr="00E234CD">
        <w:rPr>
          <w:snapToGrid w:val="0"/>
          <w:kern w:val="28"/>
          <w:szCs w:val="22"/>
        </w:rPr>
        <w:t>Overall, we conclude that the record in this proceeding does not support a finding of a public interest harm.</w:t>
      </w:r>
    </w:p>
    <w:p w:rsidR="00842E91" w:rsidRPr="00E234CD" w:rsidP="00842E91" w14:paraId="374B3896" w14:textId="77777777">
      <w:pPr>
        <w:widowControl w:val="0"/>
        <w:autoSpaceDE w:val="0"/>
        <w:autoSpaceDN w:val="0"/>
        <w:adjustRightInd w:val="0"/>
        <w:spacing w:after="120"/>
        <w:ind w:firstLine="720"/>
        <w:rPr>
          <w:snapToGrid w:val="0"/>
          <w:kern w:val="28"/>
          <w:szCs w:val="22"/>
        </w:rPr>
      </w:pPr>
      <w:r w:rsidRPr="00E234CD">
        <w:rPr>
          <w:snapToGrid w:val="0"/>
          <w:kern w:val="28"/>
          <w:szCs w:val="22"/>
        </w:rPr>
        <w:t>We next consider whether the proposed transaction is likely to generate verifiable, transaction-specific public interest benefits.</w:t>
      </w:r>
      <w:r>
        <w:rPr>
          <w:snapToGrid w:val="0"/>
          <w:kern w:val="28"/>
          <w:szCs w:val="22"/>
          <w:vertAlign w:val="superscript"/>
        </w:rPr>
        <w:footnoteReference w:id="28"/>
      </w:r>
      <w:r w:rsidRPr="00E234CD">
        <w:rPr>
          <w:snapToGrid w:val="0"/>
          <w:kern w:val="28"/>
          <w:szCs w:val="22"/>
        </w:rPr>
        <w:t xml:space="preserve">  Applicants must provide evidence of a claimed benefit to allow the Commission to verify its likelihood and magnitude.</w:t>
      </w:r>
      <w:r>
        <w:rPr>
          <w:snapToGrid w:val="0"/>
          <w:kern w:val="28"/>
          <w:szCs w:val="22"/>
          <w:vertAlign w:val="superscript"/>
        </w:rPr>
        <w:footnoteReference w:id="29"/>
      </w:r>
      <w:r w:rsidRPr="00E234CD">
        <w:rPr>
          <w:snapToGrid w:val="0"/>
          <w:kern w:val="28"/>
          <w:szCs w:val="22"/>
        </w:rPr>
        <w:t xml:space="preserve">  Where potential harms appear unlikely, as is the case with the Application before us here, the Commission accepts a lesser degree of magnitude and likelihood than when harms are present.</w:t>
      </w:r>
      <w:r>
        <w:rPr>
          <w:snapToGrid w:val="0"/>
          <w:kern w:val="28"/>
          <w:szCs w:val="22"/>
          <w:vertAlign w:val="superscript"/>
        </w:rPr>
        <w:footnoteReference w:id="30"/>
      </w:r>
    </w:p>
    <w:p w:rsidR="00842E91" w:rsidRPr="00E234CD" w:rsidP="00842E91" w14:paraId="5BC6B300" w14:textId="77777777">
      <w:pPr>
        <w:autoSpaceDE w:val="0"/>
        <w:autoSpaceDN w:val="0"/>
        <w:adjustRightInd w:val="0"/>
        <w:spacing w:after="120"/>
        <w:ind w:firstLine="720"/>
        <w:rPr>
          <w:szCs w:val="22"/>
        </w:rPr>
      </w:pPr>
      <w:r w:rsidRPr="00E234CD">
        <w:rPr>
          <w:szCs w:val="22"/>
        </w:rPr>
        <w:t xml:space="preserve">Applicants state that the proposed transaction will enhance </w:t>
      </w:r>
      <w:r w:rsidRPr="00E234CD">
        <w:rPr>
          <w:szCs w:val="22"/>
        </w:rPr>
        <w:t>CableSouth’s</w:t>
      </w:r>
      <w:r w:rsidRPr="00E234CD">
        <w:rPr>
          <w:szCs w:val="22"/>
        </w:rPr>
        <w:t xml:space="preserve"> ability to deliver on the RDOF-funded network and fulfill its obligations under the program.</w:t>
      </w:r>
      <w:r>
        <w:rPr>
          <w:rStyle w:val="FootnoteReference"/>
          <w:szCs w:val="22"/>
        </w:rPr>
        <w:footnoteReference w:id="31"/>
      </w:r>
      <w:r w:rsidRPr="00E234CD">
        <w:rPr>
          <w:szCs w:val="22"/>
        </w:rPr>
        <w:t xml:space="preserve">  </w:t>
      </w:r>
      <w:r>
        <w:rPr>
          <w:rFonts w:eastAsia="Calibri"/>
          <w:bCs/>
          <w:szCs w:val="22"/>
        </w:rPr>
        <w:t xml:space="preserve">Because </w:t>
      </w:r>
      <w:r w:rsidRPr="00E234CD">
        <w:rPr>
          <w:szCs w:val="22"/>
        </w:rPr>
        <w:t>CableSouth</w:t>
      </w:r>
      <w:r w:rsidRPr="00E234CD">
        <w:rPr>
          <w:szCs w:val="22"/>
        </w:rPr>
        <w:t xml:space="preserve"> </w:t>
      </w:r>
      <w:r>
        <w:rPr>
          <w:szCs w:val="22"/>
        </w:rPr>
        <w:t xml:space="preserve">will have </w:t>
      </w:r>
      <w:r w:rsidRPr="00E234CD">
        <w:rPr>
          <w:szCs w:val="22"/>
        </w:rPr>
        <w:t>access to capital</w:t>
      </w:r>
      <w:r>
        <w:rPr>
          <w:szCs w:val="22"/>
        </w:rPr>
        <w:t xml:space="preserve">, Applicants claim </w:t>
      </w:r>
      <w:r w:rsidRPr="00E234CD">
        <w:rPr>
          <w:szCs w:val="22"/>
        </w:rPr>
        <w:t>CableSouth</w:t>
      </w:r>
      <w:r w:rsidRPr="00E234CD">
        <w:rPr>
          <w:szCs w:val="22"/>
        </w:rPr>
        <w:t xml:space="preserve"> will be well positioned to continue the network construction and deployment of FTTH and VoIP services that </w:t>
      </w:r>
      <w:r w:rsidRPr="00E234CD">
        <w:rPr>
          <w:szCs w:val="22"/>
        </w:rPr>
        <w:t>CableSouth</w:t>
      </w:r>
      <w:r w:rsidRPr="00E234CD">
        <w:rPr>
          <w:szCs w:val="22"/>
        </w:rPr>
        <w:t xml:space="preserve"> has described in its long-form RDOF application, and also to accelerate deployment of the company’s fiber network and services beyond the RDOF locations in Arkansas, Louisiana, and Mississippi.</w:t>
      </w:r>
      <w:r>
        <w:rPr>
          <w:rStyle w:val="FootnoteReference"/>
          <w:szCs w:val="22"/>
        </w:rPr>
        <w:footnoteReference w:id="32"/>
      </w:r>
    </w:p>
    <w:p w:rsidR="00842E91" w:rsidRPr="00E234CD" w:rsidP="00842E91" w14:paraId="70CDDF0A" w14:textId="77777777">
      <w:pPr>
        <w:widowControl w:val="0"/>
        <w:autoSpaceDE w:val="0"/>
        <w:autoSpaceDN w:val="0"/>
        <w:adjustRightInd w:val="0"/>
        <w:spacing w:after="120"/>
        <w:ind w:firstLine="720"/>
        <w:rPr>
          <w:szCs w:val="22"/>
        </w:rPr>
      </w:pPr>
      <w:r w:rsidRPr="00E234CD">
        <w:rPr>
          <w:snapToGrid w:val="0"/>
          <w:kern w:val="28"/>
          <w:szCs w:val="22"/>
        </w:rPr>
        <w:t>The Commission has specified that ensuring consumers receive new or additional services is an important public interest factor,</w:t>
      </w:r>
      <w:r>
        <w:rPr>
          <w:snapToGrid w:val="0"/>
          <w:kern w:val="28"/>
          <w:szCs w:val="22"/>
          <w:vertAlign w:val="superscript"/>
        </w:rPr>
        <w:footnoteReference w:id="33"/>
      </w:r>
      <w:r w:rsidRPr="00E234CD">
        <w:rPr>
          <w:snapToGrid w:val="0"/>
          <w:kern w:val="28"/>
          <w:szCs w:val="22"/>
        </w:rPr>
        <w:t xml:space="preserve"> and </w:t>
      </w:r>
      <w:r w:rsidRPr="00E234CD">
        <w:rPr>
          <w:snapToGrid w:val="0"/>
          <w:color w:val="000000"/>
          <w:kern w:val="28"/>
          <w:szCs w:val="22"/>
        </w:rPr>
        <w:t>accelerating private sector deployment of advanced services is one of the aims of the Act.</w:t>
      </w:r>
      <w:r>
        <w:rPr>
          <w:snapToGrid w:val="0"/>
          <w:color w:val="000000"/>
          <w:kern w:val="28"/>
          <w:szCs w:val="22"/>
          <w:vertAlign w:val="superscript"/>
        </w:rPr>
        <w:footnoteReference w:id="34"/>
      </w:r>
      <w:r w:rsidRPr="00E234CD">
        <w:rPr>
          <w:snapToGrid w:val="0"/>
          <w:color w:val="000000"/>
          <w:kern w:val="28"/>
          <w:szCs w:val="22"/>
        </w:rPr>
        <w:t xml:space="preserve">  </w:t>
      </w:r>
      <w:r w:rsidRPr="00E234CD">
        <w:rPr>
          <w:szCs w:val="22"/>
        </w:rPr>
        <w:t xml:space="preserve">In light of the Applicants’ commitments to meet all of </w:t>
      </w:r>
      <w:r>
        <w:rPr>
          <w:szCs w:val="22"/>
        </w:rPr>
        <w:t>CableSouth’s</w:t>
      </w:r>
      <w:r w:rsidRPr="00E234CD">
        <w:rPr>
          <w:szCs w:val="22"/>
        </w:rPr>
        <w:t xml:space="preserve"> federal high</w:t>
      </w:r>
      <w:r w:rsidRPr="00E234CD">
        <w:rPr>
          <w:bCs/>
          <w:szCs w:val="22"/>
        </w:rPr>
        <w:t>-</w:t>
      </w:r>
      <w:r w:rsidRPr="00E234CD">
        <w:rPr>
          <w:szCs w:val="22"/>
        </w:rPr>
        <w:t>cost funding obligations</w:t>
      </w:r>
      <w:r>
        <w:rPr>
          <w:szCs w:val="22"/>
          <w:vertAlign w:val="superscript"/>
        </w:rPr>
        <w:footnoteReference w:id="35"/>
      </w:r>
      <w:r w:rsidRPr="00E234CD">
        <w:rPr>
          <w:szCs w:val="22"/>
        </w:rPr>
        <w:t xml:space="preserve"> and the fact that Applicants are prepared to devote additional capital to </w:t>
      </w:r>
      <w:r w:rsidRPr="00E234CD">
        <w:rPr>
          <w:szCs w:val="22"/>
        </w:rPr>
        <w:t>accelerate facilities-based service offerings,</w:t>
      </w:r>
      <w:r>
        <w:rPr>
          <w:szCs w:val="22"/>
          <w:vertAlign w:val="superscript"/>
        </w:rPr>
        <w:footnoteReference w:id="36"/>
      </w:r>
      <w:r w:rsidRPr="00E234CD">
        <w:rPr>
          <w:szCs w:val="22"/>
        </w:rPr>
        <w:t xml:space="preserve"> we find it likely that the proposed transaction would result in some public interest benefits.  Absent any potential harms, and considering that the proposed transaction is likely to yield some benefits, we find, on balance, that the proposed transaction serves the public interest.</w:t>
      </w:r>
    </w:p>
    <w:p w:rsidR="00842E91" w:rsidRPr="009E1AA5" w:rsidP="00842E91" w14:paraId="24F26CE2" w14:textId="77777777">
      <w:pPr>
        <w:autoSpaceDE w:val="0"/>
        <w:autoSpaceDN w:val="0"/>
        <w:adjustRightInd w:val="0"/>
        <w:spacing w:after="120"/>
        <w:ind w:firstLine="720"/>
        <w:rPr>
          <w:snapToGrid w:val="0"/>
          <w:kern w:val="28"/>
          <w:sz w:val="12"/>
          <w:szCs w:val="12"/>
        </w:rPr>
      </w:pPr>
      <w:r w:rsidRPr="009E1AA5">
        <w:rPr>
          <w:snapToGrid w:val="0"/>
          <w:kern w:val="28"/>
          <w:szCs w:val="22"/>
        </w:rPr>
        <w:t xml:space="preserve">Therefore, pursuant to section 214 of the Act, 47 U.S.C. § 214, and sections 0.91, 0.291, </w:t>
      </w:r>
      <w:r w:rsidRPr="009E1AA5">
        <w:rPr>
          <w:szCs w:val="22"/>
        </w:rPr>
        <w:t>63.03, and 63.04</w:t>
      </w:r>
      <w:r w:rsidRPr="009E1AA5">
        <w:rPr>
          <w:snapToGrid w:val="0"/>
          <w:kern w:val="28"/>
          <w:szCs w:val="22"/>
        </w:rPr>
        <w:t xml:space="preserve"> of the Commission’s rules, 47 CFR §§ 0.91, 0.291, 63.03, and 63.04, the Bureau hereby grants the Application discussed in this Public Notice,</w:t>
      </w:r>
      <w:r w:rsidRPr="009E1AA5">
        <w:rPr>
          <w:szCs w:val="22"/>
        </w:rPr>
        <w:t xml:space="preserve"> subject to Applicants’ compliance with all applicable obligations.</w:t>
      </w:r>
      <w:r>
        <w:rPr>
          <w:szCs w:val="22"/>
          <w:vertAlign w:val="superscript"/>
        </w:rPr>
        <w:footnoteReference w:id="37"/>
      </w:r>
      <w:r w:rsidRPr="009E1AA5">
        <w:rPr>
          <w:snapToGrid w:val="0"/>
          <w:kern w:val="28"/>
          <w:szCs w:val="22"/>
        </w:rPr>
        <w:t xml:space="preserve"> </w:t>
      </w:r>
    </w:p>
    <w:p w:rsidR="00842E91" w:rsidP="00842E91" w14:paraId="0347E376" w14:textId="77777777">
      <w:pPr>
        <w:autoSpaceDE w:val="0"/>
        <w:autoSpaceDN w:val="0"/>
        <w:adjustRightInd w:val="0"/>
        <w:spacing w:after="120"/>
        <w:ind w:firstLine="720"/>
        <w:rPr>
          <w:snapToGrid w:val="0"/>
          <w:kern w:val="28"/>
          <w:szCs w:val="22"/>
        </w:rPr>
      </w:pPr>
      <w:r w:rsidRPr="009E1AA5">
        <w:rPr>
          <w:snapToGrid w:val="0"/>
          <w:kern w:val="28"/>
          <w:szCs w:val="22"/>
        </w:rPr>
        <w:t>Pursuant to section 1.103 of the Commission’s rules, 47 CFR § 1.103, the grant is effective upon release of this Public Notice.</w:t>
      </w:r>
      <w:r>
        <w:rPr>
          <w:snapToGrid w:val="0"/>
          <w:kern w:val="28"/>
          <w:szCs w:val="22"/>
          <w:vertAlign w:val="superscript"/>
        </w:rPr>
        <w:footnoteReference w:id="38"/>
      </w:r>
      <w:r w:rsidRPr="009E1AA5">
        <w:rPr>
          <w:snapToGrid w:val="0"/>
          <w:kern w:val="28"/>
          <w:szCs w:val="22"/>
        </w:rPr>
        <w:t xml:space="preserve">  Petitions for reconsideration under section 1.106 or applications for review under section 1.115 of the Commission’s rules, 47 CFR §§ 1.106, 1.115, may be filed within 30 days of the date of this Public Notice.</w:t>
      </w:r>
      <w:bookmarkStart w:id="6" w:name="FN[FN9]"/>
      <w:bookmarkStart w:id="7" w:name="sp_999_1"/>
      <w:bookmarkStart w:id="8" w:name="SDU_1"/>
      <w:bookmarkEnd w:id="6"/>
      <w:bookmarkEnd w:id="7"/>
      <w:bookmarkEnd w:id="8"/>
    </w:p>
    <w:p w:rsidR="00842E91" w:rsidP="00842E91" w14:paraId="77EDD2AC" w14:textId="77777777">
      <w:pPr>
        <w:keepNext/>
        <w:keepLines/>
        <w:autoSpaceDE w:val="0"/>
        <w:autoSpaceDN w:val="0"/>
        <w:adjustRightInd w:val="0"/>
        <w:spacing w:after="120"/>
        <w:ind w:firstLine="720"/>
      </w:pPr>
      <w:bookmarkStart w:id="9" w:name="co_pp_sp_1511_1684_1"/>
      <w:bookmarkStart w:id="10" w:name="sp_999_2"/>
      <w:bookmarkStart w:id="11" w:name="SDU_2"/>
      <w:bookmarkEnd w:id="9"/>
      <w:bookmarkEnd w:id="10"/>
      <w:bookmarkEnd w:id="11"/>
      <w:r w:rsidRPr="23FB2AC6">
        <w:t xml:space="preserve">For further information regarding the transfer of control application, please contact </w:t>
      </w:r>
      <w:r>
        <w:t>Gregory Kwan</w:t>
      </w:r>
      <w:r w:rsidRPr="23FB2AC6">
        <w:t xml:space="preserve"> at </w:t>
      </w:r>
      <w:hyperlink r:id="rId5" w:history="1">
        <w:r w:rsidRPr="004D4929">
          <w:rPr>
            <w:rStyle w:val="Hyperlink"/>
          </w:rPr>
          <w:t>gregogry.kwan@fcc.gov</w:t>
        </w:r>
      </w:hyperlink>
      <w:r>
        <w:t xml:space="preserve">, </w:t>
      </w:r>
      <w:r w:rsidRPr="23FB2AC6">
        <w:t xml:space="preserve">Wireline Competition Bureau.  </w:t>
      </w:r>
    </w:p>
    <w:p w:rsidR="00842E91" w:rsidRPr="009E1AA5" w:rsidP="00842E91" w14:paraId="79B80226" w14:textId="77777777">
      <w:pPr>
        <w:keepNext/>
        <w:keepLines/>
        <w:autoSpaceDE w:val="0"/>
        <w:autoSpaceDN w:val="0"/>
        <w:adjustRightInd w:val="0"/>
        <w:rPr>
          <w:szCs w:val="22"/>
        </w:rPr>
      </w:pPr>
    </w:p>
    <w:p w:rsidR="00842E91" w:rsidRPr="009E1AA5" w:rsidP="00842E91" w14:paraId="233771B4" w14:textId="77777777">
      <w:pPr>
        <w:autoSpaceDE w:val="0"/>
        <w:autoSpaceDN w:val="0"/>
        <w:adjustRightInd w:val="0"/>
        <w:jc w:val="center"/>
        <w:rPr>
          <w:b/>
          <w:bCs/>
          <w:szCs w:val="22"/>
        </w:rPr>
      </w:pPr>
      <w:r w:rsidRPr="009E1AA5">
        <w:rPr>
          <w:b/>
          <w:bCs/>
          <w:szCs w:val="22"/>
        </w:rPr>
        <w:t>-FCC-</w:t>
      </w:r>
    </w:p>
    <w:p w:rsidR="00842E91" w:rsidP="00842E91" w14:paraId="2111D0A6" w14:textId="77777777">
      <w:pPr>
        <w:keepLines/>
        <w:widowControl w:val="0"/>
        <w:autoSpaceDE w:val="0"/>
        <w:autoSpaceDN w:val="0"/>
        <w:adjustRightInd w:val="0"/>
        <w:jc w:val="center"/>
        <w:rPr>
          <w:color w:val="000000"/>
          <w:szCs w:val="22"/>
        </w:rPr>
      </w:pPr>
    </w:p>
    <w:p w:rsidR="00930ECF" w:rsidRPr="00DA4C2C" w:rsidP="00842E91" w14:paraId="546E00D2" w14:textId="7CC029E8">
      <w:pPr>
        <w:jc w:val="center"/>
        <w:rPr>
          <w:szCs w:val="22"/>
        </w:rPr>
      </w:pPr>
    </w:p>
    <w:sectPr w:rsidSect="003D791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0A844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576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8A62B20"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06C04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DF6" w14:paraId="1F30A9D3" w14:textId="77777777">
      <w:r>
        <w:separator/>
      </w:r>
    </w:p>
  </w:footnote>
  <w:footnote w:type="continuationSeparator" w:id="1">
    <w:p w:rsidR="00634DF6" w14:paraId="0FE997CF" w14:textId="77777777">
      <w:pPr>
        <w:rPr>
          <w:sz w:val="20"/>
        </w:rPr>
      </w:pPr>
      <w:r>
        <w:rPr>
          <w:sz w:val="20"/>
        </w:rPr>
        <w:t xml:space="preserve">(Continued from previous page)  </w:t>
      </w:r>
      <w:r>
        <w:rPr>
          <w:sz w:val="20"/>
        </w:rPr>
        <w:separator/>
      </w:r>
    </w:p>
  </w:footnote>
  <w:footnote w:type="continuationNotice" w:id="2">
    <w:p w:rsidR="00634DF6" w:rsidP="00910F12" w14:paraId="14ED31FF" w14:textId="77777777">
      <w:pPr>
        <w:jc w:val="right"/>
        <w:rPr>
          <w:sz w:val="20"/>
        </w:rPr>
      </w:pPr>
      <w:r>
        <w:rPr>
          <w:sz w:val="20"/>
        </w:rPr>
        <w:t>(continued….)</w:t>
      </w:r>
    </w:p>
  </w:footnote>
  <w:footnote w:id="3">
    <w:p w:rsidR="00842E91" w:rsidRPr="006F4F7F" w:rsidP="00842E91" w14:paraId="437E2401" w14:textId="77777777">
      <w:pPr>
        <w:pStyle w:val="FootnoteText"/>
        <w:rPr>
          <w:bCs/>
        </w:rPr>
      </w:pPr>
      <w:r w:rsidRPr="006F4F7F">
        <w:rPr>
          <w:rStyle w:val="FootnoteReference"/>
          <w:sz w:val="20"/>
        </w:rPr>
        <w:footnoteRef/>
      </w:r>
      <w:r w:rsidRPr="006F4F7F">
        <w:t xml:space="preserve"> </w:t>
      </w:r>
      <w:r w:rsidRPr="006F4F7F">
        <w:rPr>
          <w:i/>
        </w:rPr>
        <w:t>See</w:t>
      </w:r>
      <w:r w:rsidRPr="006F4F7F">
        <w:t xml:space="preserve"> 47 U.S.C. § 214; 47 CFR §§ 63.03-04.</w:t>
      </w:r>
    </w:p>
  </w:footnote>
  <w:footnote w:id="4">
    <w:p w:rsidR="00842E91" w:rsidRPr="006F4F7F" w:rsidP="00842E91" w14:paraId="593820F0" w14:textId="77777777">
      <w:pPr>
        <w:autoSpaceDE w:val="0"/>
        <w:autoSpaceDN w:val="0"/>
        <w:adjustRightInd w:val="0"/>
        <w:spacing w:after="120"/>
        <w:rPr>
          <w:rFonts w:ascii="TimesNewRoman" w:hAnsi="TimesNewRoman" w:cs="TimesNewRoman"/>
          <w:sz w:val="20"/>
        </w:rPr>
      </w:pPr>
      <w:r w:rsidRPr="006F4F7F">
        <w:rPr>
          <w:rStyle w:val="FootnoteReference"/>
          <w:sz w:val="20"/>
        </w:rPr>
        <w:footnoteRef/>
      </w:r>
      <w:r w:rsidRPr="006F4F7F">
        <w:rPr>
          <w:sz w:val="20"/>
        </w:rPr>
        <w:t xml:space="preserve"> Application of Hunt Group Holdings, LLC, ITC Broadband Holdings, LLC, </w:t>
      </w:r>
      <w:r w:rsidRPr="006F4F7F">
        <w:rPr>
          <w:sz w:val="20"/>
        </w:rPr>
        <w:t>CableSouth</w:t>
      </w:r>
      <w:r w:rsidRPr="006F4F7F">
        <w:rPr>
          <w:sz w:val="20"/>
        </w:rPr>
        <w:t xml:space="preserve"> Media III, LLC, and MIP VI Outlier, LLC for Consent to Transfer of Control Pursuant to Section 214 of the Communications Act of 1934, as Amended, WC Docket No. 23-372 (filed Oct. 27, 2023) (Application).  Any action on this domestic section 214 application is without prejudice to Commission action on other pending applications.</w:t>
      </w:r>
    </w:p>
  </w:footnote>
  <w:footnote w:id="5">
    <w:p w:rsidR="00842E91" w:rsidRPr="006F4F7F" w:rsidP="00842E91" w14:paraId="59548A93" w14:textId="77777777">
      <w:pPr>
        <w:spacing w:after="120"/>
        <w:rPr>
          <w:sz w:val="20"/>
        </w:rPr>
      </w:pPr>
      <w:r w:rsidRPr="006F4F7F">
        <w:rPr>
          <w:rStyle w:val="FootnoteReference"/>
          <w:sz w:val="20"/>
        </w:rPr>
        <w:footnoteRef/>
      </w:r>
      <w:r w:rsidRPr="006F4F7F">
        <w:rPr>
          <w:sz w:val="20"/>
        </w:rPr>
        <w:t xml:space="preserve"> </w:t>
      </w:r>
      <w:r w:rsidRPr="006F4F7F">
        <w:rPr>
          <w:i/>
          <w:iCs/>
          <w:sz w:val="20"/>
        </w:rPr>
        <w:t>See</w:t>
      </w:r>
      <w:r w:rsidRPr="006F4F7F">
        <w:rPr>
          <w:sz w:val="20"/>
        </w:rPr>
        <w:t xml:space="preserve"> </w:t>
      </w:r>
      <w:r w:rsidRPr="006F4F7F">
        <w:rPr>
          <w:i/>
          <w:iCs/>
          <w:sz w:val="20"/>
        </w:rPr>
        <w:t>Domestic Section 214</w:t>
      </w:r>
      <w:r w:rsidRPr="006F4F7F">
        <w:rPr>
          <w:sz w:val="20"/>
        </w:rPr>
        <w:t xml:space="preserve"> </w:t>
      </w:r>
      <w:r w:rsidRPr="006F4F7F">
        <w:rPr>
          <w:i/>
          <w:iCs/>
          <w:sz w:val="20"/>
        </w:rPr>
        <w:t xml:space="preserve">Application Filed for the Transfer of Control of </w:t>
      </w:r>
      <w:r w:rsidRPr="006F4F7F">
        <w:rPr>
          <w:i/>
          <w:iCs/>
          <w:sz w:val="20"/>
        </w:rPr>
        <w:t>CableSouth</w:t>
      </w:r>
      <w:r w:rsidRPr="006F4F7F">
        <w:rPr>
          <w:i/>
          <w:iCs/>
          <w:sz w:val="20"/>
        </w:rPr>
        <w:t xml:space="preserve"> Media III, LLC to MIP VI Outlier, LLC</w:t>
      </w:r>
      <w:r w:rsidRPr="006F4F7F">
        <w:rPr>
          <w:sz w:val="20"/>
        </w:rPr>
        <w:t>, WC Docket No. 23-372, Public Notice, DA 23-1089</w:t>
      </w:r>
      <w:r>
        <w:rPr>
          <w:sz w:val="20"/>
        </w:rPr>
        <w:t>,</w:t>
      </w:r>
      <w:r w:rsidRPr="006F4F7F">
        <w:rPr>
          <w:sz w:val="20"/>
        </w:rPr>
        <w:t xml:space="preserve"> at 5-6 (WCB 2023).</w:t>
      </w:r>
    </w:p>
  </w:footnote>
  <w:footnote w:id="6">
    <w:p w:rsidR="00842E91" w:rsidRPr="006F4F7F" w:rsidP="00842E91" w14:paraId="1B551F1E" w14:textId="77777777">
      <w:pPr>
        <w:pStyle w:val="FootnoteText"/>
      </w:pPr>
      <w:r w:rsidRPr="006F4F7F">
        <w:rPr>
          <w:rStyle w:val="FootnoteReference"/>
          <w:sz w:val="20"/>
        </w:rPr>
        <w:footnoteRef/>
      </w:r>
      <w:r w:rsidRPr="006F4F7F">
        <w:t xml:space="preserve"> Application at 3.</w:t>
      </w:r>
    </w:p>
  </w:footnote>
  <w:footnote w:id="7">
    <w:p w:rsidR="00842E91" w:rsidRPr="006F4F7F" w:rsidP="00842E91" w14:paraId="2B978316" w14:textId="77777777">
      <w:pPr>
        <w:autoSpaceDE w:val="0"/>
        <w:autoSpaceDN w:val="0"/>
        <w:adjustRightInd w:val="0"/>
        <w:spacing w:after="120"/>
        <w:rPr>
          <w:sz w:val="20"/>
        </w:rPr>
      </w:pPr>
      <w:r w:rsidRPr="006F4F7F">
        <w:rPr>
          <w:rStyle w:val="FootnoteReference"/>
          <w:sz w:val="20"/>
        </w:rPr>
        <w:footnoteRef/>
      </w:r>
      <w:r w:rsidRPr="006F4F7F">
        <w:rPr>
          <w:sz w:val="20"/>
        </w:rPr>
        <w:t xml:space="preserve"> </w:t>
      </w:r>
      <w:r w:rsidRPr="006F4F7F">
        <w:rPr>
          <w:i/>
          <w:iCs/>
          <w:sz w:val="20"/>
        </w:rPr>
        <w:t>See Rural Digital Opportunity Fund Support Authorized for 5,657 Winning Bids</w:t>
      </w:r>
      <w:r w:rsidRPr="006F4F7F">
        <w:rPr>
          <w:sz w:val="20"/>
        </w:rPr>
        <w:t>, AU Docket 20-34, WC Docket Nos. 19-126, 10-90, Public</w:t>
      </w:r>
      <w:r w:rsidRPr="006F4F7F">
        <w:rPr>
          <w:i/>
          <w:iCs/>
          <w:sz w:val="20"/>
        </w:rPr>
        <w:t xml:space="preserve"> </w:t>
      </w:r>
      <w:r w:rsidRPr="006F4F7F">
        <w:rPr>
          <w:sz w:val="20"/>
        </w:rPr>
        <w:t xml:space="preserve">Notice, 37 FCC </w:t>
      </w:r>
      <w:r w:rsidRPr="006F4F7F">
        <w:rPr>
          <w:sz w:val="20"/>
        </w:rPr>
        <w:t>Rcd</w:t>
      </w:r>
      <w:r w:rsidRPr="006F4F7F">
        <w:rPr>
          <w:sz w:val="20"/>
        </w:rPr>
        <w:t xml:space="preserve"> 3570 (WCB/OEA 2022)</w:t>
      </w:r>
      <w:r>
        <w:rPr>
          <w:sz w:val="20"/>
        </w:rPr>
        <w:t xml:space="preserve"> (</w:t>
      </w:r>
      <w:r w:rsidRPr="006C3AB1">
        <w:rPr>
          <w:i/>
          <w:iCs/>
          <w:sz w:val="20"/>
        </w:rPr>
        <w:t>RDOF Public Notice</w:t>
      </w:r>
      <w:r>
        <w:rPr>
          <w:sz w:val="20"/>
        </w:rPr>
        <w:t>)</w:t>
      </w:r>
      <w:r w:rsidRPr="006F4F7F">
        <w:rPr>
          <w:sz w:val="20"/>
        </w:rPr>
        <w:t xml:space="preserve">; </w:t>
      </w:r>
      <w:r w:rsidRPr="006F4F7F">
        <w:rPr>
          <w:i/>
          <w:iCs/>
          <w:sz w:val="20"/>
        </w:rPr>
        <w:t>see also</w:t>
      </w:r>
      <w:r w:rsidRPr="006F4F7F">
        <w:rPr>
          <w:sz w:val="20"/>
        </w:rPr>
        <w:t xml:space="preserve"> Application at 3.  Applicants state that </w:t>
      </w:r>
      <w:r w:rsidRPr="006F4F7F">
        <w:rPr>
          <w:sz w:val="20"/>
        </w:rPr>
        <w:t>CableSouth</w:t>
      </w:r>
      <w:r w:rsidRPr="006F4F7F">
        <w:rPr>
          <w:sz w:val="20"/>
        </w:rPr>
        <w:t xml:space="preserve"> was a member of the </w:t>
      </w:r>
      <w:r w:rsidRPr="006F4F7F">
        <w:rPr>
          <w:sz w:val="20"/>
        </w:rPr>
        <w:t>Segnem</w:t>
      </w:r>
      <w:r w:rsidRPr="006F4F7F">
        <w:rPr>
          <w:sz w:val="20"/>
        </w:rPr>
        <w:t xml:space="preserve"> Eger Consortium (the Consortium), which was an auction winner for RDOF Phase I support in Arkansas, Louisiana, and Mississippi, and that the Consortium assigned its winning RDOF bids to </w:t>
      </w:r>
      <w:r w:rsidRPr="006F4F7F">
        <w:rPr>
          <w:sz w:val="20"/>
        </w:rPr>
        <w:t>CableSouth</w:t>
      </w:r>
      <w:r w:rsidRPr="006F4F7F">
        <w:rPr>
          <w:sz w:val="20"/>
        </w:rPr>
        <w:t>.  Application</w:t>
      </w:r>
      <w:r w:rsidRPr="006F4F7F">
        <w:rPr>
          <w:i/>
          <w:iCs/>
          <w:sz w:val="20"/>
        </w:rPr>
        <w:t xml:space="preserve"> </w:t>
      </w:r>
      <w:r w:rsidRPr="006F4F7F">
        <w:rPr>
          <w:sz w:val="20"/>
        </w:rPr>
        <w:t xml:space="preserve">at 3 n.5.  Applicants further state that </w:t>
      </w:r>
      <w:r w:rsidRPr="006F4F7F">
        <w:rPr>
          <w:sz w:val="20"/>
        </w:rPr>
        <w:t>CableSouth</w:t>
      </w:r>
      <w:r w:rsidRPr="006F4F7F">
        <w:rPr>
          <w:sz w:val="20"/>
        </w:rPr>
        <w:t xml:space="preserve"> participates in the Lifeline program and the Affordable Connectivity Program </w:t>
      </w:r>
      <w:r>
        <w:rPr>
          <w:sz w:val="20"/>
        </w:rPr>
        <w:t>and</w:t>
      </w:r>
      <w:r w:rsidRPr="006F4F7F">
        <w:rPr>
          <w:sz w:val="20"/>
        </w:rPr>
        <w:t xml:space="preserve"> receives federal support through the E-Rate and Emergency Connectivity Fund programs.  </w:t>
      </w:r>
      <w:r w:rsidRPr="00304612">
        <w:rPr>
          <w:sz w:val="20"/>
        </w:rPr>
        <w:t>Application</w:t>
      </w:r>
      <w:r w:rsidRPr="006F4F7F">
        <w:rPr>
          <w:i/>
          <w:iCs/>
          <w:sz w:val="20"/>
        </w:rPr>
        <w:t xml:space="preserve"> </w:t>
      </w:r>
      <w:r w:rsidRPr="006F4F7F">
        <w:rPr>
          <w:sz w:val="20"/>
        </w:rPr>
        <w:t>at 3.</w:t>
      </w:r>
    </w:p>
  </w:footnote>
  <w:footnote w:id="8">
    <w:p w:rsidR="00842E91" w:rsidRPr="006F4F7F" w:rsidP="00842E91" w14:paraId="6E8CBDE1" w14:textId="77777777">
      <w:pPr>
        <w:pStyle w:val="FootnoteText"/>
      </w:pPr>
      <w:r w:rsidRPr="006F4F7F">
        <w:rPr>
          <w:rStyle w:val="FootnoteReference"/>
          <w:sz w:val="20"/>
        </w:rPr>
        <w:footnoteRef/>
      </w:r>
      <w:r w:rsidRPr="006F4F7F">
        <w:t xml:space="preserve"> </w:t>
      </w:r>
      <w:r w:rsidRPr="00304612">
        <w:rPr>
          <w:i/>
          <w:iCs/>
        </w:rPr>
        <w:t>Id.</w:t>
      </w:r>
      <w:r w:rsidRPr="006F4F7F">
        <w:rPr>
          <w:i/>
          <w:iCs/>
        </w:rPr>
        <w:t xml:space="preserve"> </w:t>
      </w:r>
      <w:r w:rsidRPr="006F4F7F">
        <w:t xml:space="preserve">at 2.  Applicants provide information on individuals and entities holding a pre- and post-transaction 10% or greater interest in </w:t>
      </w:r>
      <w:r w:rsidRPr="006F4F7F">
        <w:t>CableSouth</w:t>
      </w:r>
      <w:r w:rsidRPr="006F4F7F">
        <w:t xml:space="preserve">.  </w:t>
      </w:r>
      <w:r w:rsidRPr="006F4F7F">
        <w:rPr>
          <w:i/>
          <w:iCs/>
        </w:rPr>
        <w:t>See id.</w:t>
      </w:r>
      <w:r w:rsidRPr="006F4F7F">
        <w:t xml:space="preserve"> at </w:t>
      </w:r>
      <w:r w:rsidRPr="006F4F7F">
        <w:t>Exh</w:t>
      </w:r>
      <w:r w:rsidRPr="006F4F7F">
        <w:t xml:space="preserve">. A (Pre-Transaction Organizational Chart), </w:t>
      </w:r>
      <w:r w:rsidRPr="006F4F7F">
        <w:t>Exh</w:t>
      </w:r>
      <w:r w:rsidRPr="006F4F7F">
        <w:t xml:space="preserve">. B (Post-Closing Indirect Interests in </w:t>
      </w:r>
      <w:r w:rsidRPr="006F4F7F">
        <w:t>CableSouth</w:t>
      </w:r>
      <w:r w:rsidRPr="006F4F7F">
        <w:t xml:space="preserve"> by Hunt Group), and </w:t>
      </w:r>
      <w:r w:rsidRPr="006F4F7F">
        <w:t>Exh</w:t>
      </w:r>
      <w:r w:rsidRPr="006F4F7F">
        <w:t xml:space="preserve">. C (Post-Closing Indirect Interest in </w:t>
      </w:r>
      <w:r w:rsidRPr="006F4F7F">
        <w:t>CableSouth</w:t>
      </w:r>
      <w:r w:rsidRPr="006F4F7F">
        <w:t xml:space="preserve"> by MIP VI Outlier, LLC).</w:t>
      </w:r>
    </w:p>
  </w:footnote>
  <w:footnote w:id="9">
    <w:p w:rsidR="00842E91" w:rsidRPr="006F4F7F" w:rsidP="00842E91" w14:paraId="285D473E" w14:textId="77777777">
      <w:pPr>
        <w:autoSpaceDE w:val="0"/>
        <w:autoSpaceDN w:val="0"/>
        <w:adjustRightInd w:val="0"/>
        <w:spacing w:after="120"/>
        <w:rPr>
          <w:sz w:val="20"/>
        </w:rPr>
      </w:pPr>
      <w:r w:rsidRPr="006F4F7F">
        <w:rPr>
          <w:rStyle w:val="FootnoteReference"/>
          <w:sz w:val="20"/>
        </w:rPr>
        <w:footnoteRef/>
      </w:r>
      <w:r w:rsidRPr="006F4F7F">
        <w:rPr>
          <w:sz w:val="20"/>
        </w:rPr>
        <w:t xml:space="preserve"> </w:t>
      </w:r>
      <w:r w:rsidRPr="006F4F7F">
        <w:rPr>
          <w:i/>
          <w:iCs/>
          <w:sz w:val="20"/>
        </w:rPr>
        <w:t>Id.</w:t>
      </w:r>
      <w:r w:rsidRPr="006F4F7F">
        <w:rPr>
          <w:sz w:val="20"/>
        </w:rPr>
        <w:t xml:space="preserve"> at 2-3.</w:t>
      </w:r>
    </w:p>
  </w:footnote>
  <w:footnote w:id="10">
    <w:p w:rsidR="00842E91" w:rsidRPr="006F4F7F" w:rsidP="00842E91" w14:paraId="1D82DB95" w14:textId="77777777">
      <w:pPr>
        <w:pStyle w:val="FootnoteText"/>
      </w:pPr>
      <w:r w:rsidRPr="006F4F7F">
        <w:rPr>
          <w:rStyle w:val="FootnoteReference"/>
          <w:sz w:val="20"/>
        </w:rPr>
        <w:footnoteRef/>
      </w:r>
      <w:r w:rsidRPr="006F4F7F">
        <w:t xml:space="preserve"> </w:t>
      </w:r>
      <w:r w:rsidRPr="006F4F7F">
        <w:rPr>
          <w:i/>
          <w:iCs/>
        </w:rPr>
        <w:t>Id.</w:t>
      </w:r>
      <w:r w:rsidRPr="006F4F7F">
        <w:t xml:space="preserve"> at 2.</w:t>
      </w:r>
    </w:p>
  </w:footnote>
  <w:footnote w:id="11">
    <w:p w:rsidR="00842E91" w:rsidRPr="006F4F7F" w:rsidP="00842E91" w14:paraId="402EB699" w14:textId="77777777">
      <w:pPr>
        <w:pStyle w:val="FootnoteText"/>
      </w:pPr>
      <w:r w:rsidRPr="006F4F7F">
        <w:rPr>
          <w:rStyle w:val="FootnoteReference"/>
          <w:sz w:val="20"/>
        </w:rPr>
        <w:footnoteRef/>
      </w:r>
      <w:r w:rsidRPr="006F4F7F">
        <w:t xml:space="preserve"> </w:t>
      </w:r>
      <w:r w:rsidRPr="006F4F7F">
        <w:rPr>
          <w:i/>
          <w:iCs/>
        </w:rPr>
        <w:t xml:space="preserve">Id. </w:t>
      </w:r>
      <w:r w:rsidRPr="006F4F7F">
        <w:t xml:space="preserve">at 13, </w:t>
      </w:r>
      <w:r w:rsidRPr="006F4F7F">
        <w:t>Exh</w:t>
      </w:r>
      <w:r w:rsidRPr="006F4F7F">
        <w:t xml:space="preserve">. A at 2.  The 10% or greater owners of Hunt Group currently </w:t>
      </w:r>
      <w:r>
        <w:t>are</w:t>
      </w:r>
      <w:r w:rsidRPr="006F4F7F">
        <w:t xml:space="preserve"> Troy Borque (15%), Jason Hunt (15%), and Wilton K. Hunt</w:t>
      </w:r>
      <w:r>
        <w:t xml:space="preserve"> </w:t>
      </w:r>
      <w:r w:rsidRPr="006F4F7F">
        <w:t xml:space="preserve">(13.5%), each U.S. citizens, each of </w:t>
      </w:r>
      <w:r>
        <w:t>whom</w:t>
      </w:r>
      <w:r w:rsidRPr="006F4F7F">
        <w:t xml:space="preserve"> will continue to hold an interest in </w:t>
      </w:r>
      <w:r w:rsidRPr="006F4F7F">
        <w:t>CableSouth</w:t>
      </w:r>
      <w:r w:rsidRPr="006F4F7F">
        <w:t xml:space="preserve"> post-transaction. </w:t>
      </w:r>
      <w:r w:rsidRPr="006F4F7F">
        <w:rPr>
          <w:i/>
          <w:iCs/>
        </w:rPr>
        <w:t xml:space="preserve"> See, e.g.</w:t>
      </w:r>
      <w:r w:rsidRPr="006F4F7F">
        <w:t xml:space="preserve">, </w:t>
      </w:r>
      <w:r w:rsidRPr="006F4F7F">
        <w:rPr>
          <w:i/>
          <w:iCs/>
        </w:rPr>
        <w:t xml:space="preserve">id. </w:t>
      </w:r>
      <w:r w:rsidRPr="006F4F7F">
        <w:t xml:space="preserve">at </w:t>
      </w:r>
      <w:r w:rsidRPr="006F4F7F">
        <w:t>Exh</w:t>
      </w:r>
      <w:r w:rsidRPr="006F4F7F">
        <w:t xml:space="preserve">. A at 1 and 2, </w:t>
      </w:r>
      <w:r w:rsidRPr="006F4F7F">
        <w:t>Exh</w:t>
      </w:r>
      <w:r w:rsidRPr="006F4F7F">
        <w:t>. B at 1-2.</w:t>
      </w:r>
    </w:p>
  </w:footnote>
  <w:footnote w:id="12">
    <w:p w:rsidR="00842E91" w:rsidRPr="006F4F7F" w:rsidP="00842E91" w14:paraId="5B1FF2C2" w14:textId="77777777">
      <w:pPr>
        <w:pStyle w:val="FootnoteText"/>
      </w:pPr>
      <w:r w:rsidRPr="006F4F7F">
        <w:rPr>
          <w:rStyle w:val="FootnoteReference"/>
          <w:sz w:val="20"/>
        </w:rPr>
        <w:footnoteRef/>
      </w:r>
      <w:r w:rsidRPr="006F4F7F">
        <w:t xml:space="preserve"> </w:t>
      </w:r>
      <w:r>
        <w:rPr>
          <w:i/>
          <w:iCs/>
        </w:rPr>
        <w:t>Id.</w:t>
      </w:r>
      <w:r w:rsidRPr="006F4F7F">
        <w:t xml:space="preserve"> at 4, </w:t>
      </w:r>
      <w:r w:rsidRPr="006F4F7F">
        <w:t>Exh</w:t>
      </w:r>
      <w:r w:rsidRPr="006F4F7F">
        <w:t xml:space="preserve">. A at 2, </w:t>
      </w:r>
      <w:r w:rsidRPr="006F4F7F">
        <w:t>Exh</w:t>
      </w:r>
      <w:r w:rsidRPr="006F4F7F">
        <w:t>. C at 2.</w:t>
      </w:r>
    </w:p>
  </w:footnote>
  <w:footnote w:id="13">
    <w:p w:rsidR="00842E91" w:rsidRPr="006F4F7F" w:rsidP="00842E91" w14:paraId="73B0DAE2" w14:textId="77777777">
      <w:pPr>
        <w:autoSpaceDE w:val="0"/>
        <w:autoSpaceDN w:val="0"/>
        <w:adjustRightInd w:val="0"/>
        <w:spacing w:after="120"/>
        <w:rPr>
          <w:i/>
          <w:iCs/>
          <w:sz w:val="20"/>
        </w:rPr>
      </w:pPr>
      <w:r w:rsidRPr="006F4F7F">
        <w:rPr>
          <w:rStyle w:val="FootnoteReference"/>
          <w:sz w:val="20"/>
        </w:rPr>
        <w:footnoteRef/>
      </w:r>
      <w:r w:rsidRPr="006F4F7F">
        <w:rPr>
          <w:sz w:val="20"/>
        </w:rPr>
        <w:t xml:space="preserve"> </w:t>
      </w:r>
      <w:r w:rsidRPr="006F4F7F">
        <w:rPr>
          <w:i/>
          <w:iCs/>
          <w:sz w:val="20"/>
        </w:rPr>
        <w:t>Id.</w:t>
      </w:r>
      <w:r w:rsidRPr="006F4F7F">
        <w:rPr>
          <w:sz w:val="20"/>
        </w:rPr>
        <w:t xml:space="preserve"> at </w:t>
      </w:r>
      <w:r w:rsidRPr="006F4F7F">
        <w:rPr>
          <w:sz w:val="20"/>
        </w:rPr>
        <w:t>Exh</w:t>
      </w:r>
      <w:r w:rsidRPr="006F4F7F">
        <w:rPr>
          <w:sz w:val="20"/>
        </w:rPr>
        <w:t xml:space="preserve">. A at 2, </w:t>
      </w:r>
      <w:r w:rsidRPr="006F4F7F">
        <w:rPr>
          <w:sz w:val="20"/>
        </w:rPr>
        <w:t>Exh</w:t>
      </w:r>
      <w:r w:rsidRPr="006F4F7F">
        <w:rPr>
          <w:sz w:val="20"/>
        </w:rPr>
        <w:t>. C at 2-3.  Applicants state that MIP Inc. and MIRA Inc. are part of the Real Assets division of Macquarie Asset Management (MAM), an operating group within MGL.  Application at 4.  Applicants stat</w:t>
      </w:r>
      <w:r>
        <w:rPr>
          <w:sz w:val="20"/>
        </w:rPr>
        <w:t>e</w:t>
      </w:r>
      <w:r w:rsidRPr="006F4F7F">
        <w:rPr>
          <w:sz w:val="20"/>
        </w:rPr>
        <w:t xml:space="preserve"> that MIP VI Outlier is affiliated with </w:t>
      </w:r>
      <w:r w:rsidRPr="006F4F7F">
        <w:rPr>
          <w:sz w:val="20"/>
        </w:rPr>
        <w:t>Accelecom</w:t>
      </w:r>
      <w:r w:rsidRPr="006F4F7F">
        <w:rPr>
          <w:sz w:val="20"/>
        </w:rPr>
        <w:t xml:space="preserve"> Holdings LLC through an interest held by a division of Macquarie Capital, which is ultimately owned by MGL.  </w:t>
      </w:r>
      <w:r w:rsidRPr="006F4F7F">
        <w:rPr>
          <w:i/>
          <w:iCs/>
          <w:sz w:val="20"/>
        </w:rPr>
        <w:t>Id.</w:t>
      </w:r>
      <w:r w:rsidRPr="006F4F7F">
        <w:rPr>
          <w:sz w:val="20"/>
        </w:rPr>
        <w:t xml:space="preserve"> at n.10.  </w:t>
      </w:r>
      <w:r w:rsidRPr="006F4F7F">
        <w:rPr>
          <w:sz w:val="20"/>
        </w:rPr>
        <w:t>Accelecom</w:t>
      </w:r>
      <w:r w:rsidRPr="006F4F7F">
        <w:rPr>
          <w:sz w:val="20"/>
        </w:rPr>
        <w:t xml:space="preserve">, through its affiliates, provides enterprise and wholesale services in Alabama, Florida, Georgia, Kentucky, Ohio, South Carolina, and Tennessee.  </w:t>
      </w:r>
      <w:r w:rsidRPr="006F4F7F">
        <w:rPr>
          <w:i/>
          <w:iCs/>
          <w:sz w:val="20"/>
        </w:rPr>
        <w:t>Id.</w:t>
      </w:r>
    </w:p>
  </w:footnote>
  <w:footnote w:id="14">
    <w:p w:rsidR="00842E91" w:rsidRPr="006F4F7F" w:rsidP="00842E91" w14:paraId="62CA0B35" w14:textId="77777777">
      <w:pPr>
        <w:autoSpaceDE w:val="0"/>
        <w:autoSpaceDN w:val="0"/>
        <w:adjustRightInd w:val="0"/>
        <w:spacing w:after="120"/>
        <w:rPr>
          <w:sz w:val="20"/>
        </w:rPr>
      </w:pPr>
      <w:r w:rsidRPr="006F4F7F">
        <w:rPr>
          <w:rStyle w:val="FootnoteReference"/>
          <w:sz w:val="20"/>
        </w:rPr>
        <w:footnoteRef/>
      </w:r>
      <w:r w:rsidRPr="006F4F7F">
        <w:rPr>
          <w:sz w:val="20"/>
        </w:rPr>
        <w:t xml:space="preserve"> </w:t>
      </w:r>
      <w:r w:rsidRPr="006F4F7F">
        <w:rPr>
          <w:i/>
          <w:iCs/>
          <w:sz w:val="20"/>
        </w:rPr>
        <w:t>Id.</w:t>
      </w:r>
      <w:r w:rsidRPr="006F4F7F">
        <w:rPr>
          <w:sz w:val="20"/>
        </w:rPr>
        <w:t xml:space="preserve"> at 15-16.  Bluebird, which is owned by a fund managed by MIP Inc., provides domestic telecommunications through: </w:t>
      </w:r>
      <w:r>
        <w:rPr>
          <w:sz w:val="20"/>
        </w:rPr>
        <w:t xml:space="preserve"> (1</w:t>
      </w:r>
      <w:r w:rsidRPr="006F4F7F">
        <w:rPr>
          <w:sz w:val="20"/>
        </w:rPr>
        <w:t xml:space="preserve">) Missouri Network Alliance, LLC d/b/a Bluebird Network (MNA), a provider of transport and </w:t>
      </w:r>
      <w:r>
        <w:rPr>
          <w:sz w:val="20"/>
        </w:rPr>
        <w:t xml:space="preserve">other </w:t>
      </w:r>
      <w:r w:rsidRPr="006F4F7F">
        <w:rPr>
          <w:sz w:val="20"/>
        </w:rPr>
        <w:t xml:space="preserve">services to wholesale and enterprise customers in Missouri, Illinois, Iowa, Oklahoma, Kansas, Kentucky, Tennessee, Nebraska, and Wisconsin, as well as a provider tandem switching and transport services for interexchange carriers in Missouri pursuant to interstate and intrastate tariffs; </w:t>
      </w:r>
      <w:r>
        <w:rPr>
          <w:sz w:val="20"/>
        </w:rPr>
        <w:t>(2</w:t>
      </w:r>
      <w:r w:rsidRPr="006F4F7F">
        <w:rPr>
          <w:sz w:val="20"/>
        </w:rPr>
        <w:t xml:space="preserve">) Illinois Network Alliance, LLC, a provider of transport and access services to wholesale customers in Illinois, Kentucky, and Tennessee; and </w:t>
      </w:r>
      <w:r>
        <w:rPr>
          <w:sz w:val="20"/>
        </w:rPr>
        <w:t>(3</w:t>
      </w:r>
      <w:r w:rsidRPr="006F4F7F">
        <w:rPr>
          <w:sz w:val="20"/>
        </w:rPr>
        <w:t xml:space="preserve">) PEG Bandwidth IL, LLC, a provider of competitive interexchange services in Illinois, Indiana, Iowa, and Missouri.  </w:t>
      </w:r>
      <w:r w:rsidRPr="006F4F7F">
        <w:rPr>
          <w:i/>
          <w:iCs/>
          <w:sz w:val="20"/>
        </w:rPr>
        <w:t>Id.</w:t>
      </w:r>
    </w:p>
  </w:footnote>
  <w:footnote w:id="15">
    <w:p w:rsidR="00842E91" w:rsidRPr="006F4F7F" w:rsidP="00842E91" w14:paraId="7C1CDAE0" w14:textId="77777777">
      <w:pPr>
        <w:autoSpaceDE w:val="0"/>
        <w:autoSpaceDN w:val="0"/>
        <w:adjustRightInd w:val="0"/>
        <w:spacing w:after="120"/>
        <w:rPr>
          <w:sz w:val="20"/>
        </w:rPr>
      </w:pPr>
      <w:r w:rsidRPr="006F4F7F">
        <w:rPr>
          <w:rStyle w:val="FootnoteReference"/>
          <w:sz w:val="20"/>
        </w:rPr>
        <w:footnoteRef/>
      </w:r>
      <w:r w:rsidRPr="006F4F7F">
        <w:rPr>
          <w:sz w:val="20"/>
        </w:rPr>
        <w:t xml:space="preserve"> </w:t>
      </w:r>
      <w:r w:rsidRPr="006F4F7F">
        <w:rPr>
          <w:i/>
          <w:iCs/>
          <w:sz w:val="20"/>
        </w:rPr>
        <w:t xml:space="preserve">Id. </w:t>
      </w:r>
      <w:r w:rsidRPr="006F4F7F">
        <w:rPr>
          <w:sz w:val="20"/>
        </w:rPr>
        <w:t xml:space="preserve">at 16-17.  MIP VI Outlier is affiliated with Red Fiber Parent, LLC, which is majority-owned by an investment vehicle managed by MIP Inc.  </w:t>
      </w:r>
      <w:r w:rsidRPr="006F4F7F">
        <w:rPr>
          <w:i/>
          <w:iCs/>
          <w:sz w:val="20"/>
        </w:rPr>
        <w:t>Id.</w:t>
      </w:r>
      <w:r w:rsidRPr="006F4F7F">
        <w:rPr>
          <w:sz w:val="20"/>
        </w:rPr>
        <w:t xml:space="preserve"> at 16.  Red Fiber Parent, LLC owns Cincinnati Bell, which, through its subsidiaries, provides telecommunications services to residential and business customers through the following entities: </w:t>
      </w:r>
      <w:r>
        <w:rPr>
          <w:sz w:val="20"/>
        </w:rPr>
        <w:t>(1</w:t>
      </w:r>
      <w:r w:rsidRPr="006F4F7F">
        <w:rPr>
          <w:sz w:val="20"/>
        </w:rPr>
        <w:t xml:space="preserve">) Cincinnati Bell Telephone Company LLC (CBT), an incumbent local exchange carrier (LEC) providing service in portions of Ohio, Kentucky, and Indiana; </w:t>
      </w:r>
      <w:r>
        <w:rPr>
          <w:sz w:val="20"/>
        </w:rPr>
        <w:t>(2</w:t>
      </w:r>
      <w:r w:rsidRPr="006F4F7F">
        <w:rPr>
          <w:sz w:val="20"/>
        </w:rPr>
        <w:t xml:space="preserve">) Cincinnati Bell Extended Territories LLC, a competitive LEC providing service in Ohio in areas outside CBT’s territory, which also holds authorization but does not currently provide competitive LEC and interexchange service throughout Ohio, Kentucky, and Indiana; </w:t>
      </w:r>
      <w:r>
        <w:rPr>
          <w:sz w:val="20"/>
        </w:rPr>
        <w:t>(3</w:t>
      </w:r>
      <w:r w:rsidRPr="006F4F7F">
        <w:rPr>
          <w:sz w:val="20"/>
        </w:rPr>
        <w:t>) CBTS Technology Solutions LLC, a nationwide long distance competitive LEC</w:t>
      </w:r>
      <w:r>
        <w:rPr>
          <w:sz w:val="20"/>
        </w:rPr>
        <w:t>,</w:t>
      </w:r>
      <w:r w:rsidRPr="006F4F7F">
        <w:rPr>
          <w:sz w:val="20"/>
        </w:rPr>
        <w:t xml:space="preserve"> which also provides other communications services in all states except Alaska and Hawaii; </w:t>
      </w:r>
      <w:r>
        <w:rPr>
          <w:sz w:val="20"/>
        </w:rPr>
        <w:t>(4</w:t>
      </w:r>
      <w:r w:rsidRPr="006F4F7F">
        <w:rPr>
          <w:sz w:val="20"/>
        </w:rPr>
        <w:t xml:space="preserve">) Hawaiian Telcom, Inc. (HTI), an incumbent LEC in Hawaii; </w:t>
      </w:r>
      <w:r>
        <w:rPr>
          <w:sz w:val="20"/>
        </w:rPr>
        <w:t>(5</w:t>
      </w:r>
      <w:r w:rsidRPr="006F4F7F">
        <w:rPr>
          <w:sz w:val="20"/>
        </w:rPr>
        <w:t xml:space="preserve">) Hawaiian Telcom Services Company, Inc., a provider of interstate and intrastate long distance, wireless, and other communications services in Hawaii; and </w:t>
      </w:r>
      <w:r>
        <w:rPr>
          <w:sz w:val="20"/>
        </w:rPr>
        <w:t>(6</w:t>
      </w:r>
      <w:r w:rsidRPr="006F4F7F">
        <w:rPr>
          <w:sz w:val="20"/>
        </w:rPr>
        <w:t xml:space="preserve">) </w:t>
      </w:r>
      <w:r w:rsidRPr="006F4F7F">
        <w:rPr>
          <w:sz w:val="20"/>
        </w:rPr>
        <w:t>Wavecom</w:t>
      </w:r>
      <w:r w:rsidRPr="006F4F7F">
        <w:rPr>
          <w:sz w:val="20"/>
        </w:rPr>
        <w:t xml:space="preserve"> Solutions Corporation, a competitive LEC providing service in Hawaii.  </w:t>
      </w:r>
      <w:r w:rsidRPr="006F4F7F">
        <w:rPr>
          <w:i/>
          <w:iCs/>
          <w:sz w:val="20"/>
        </w:rPr>
        <w:t xml:space="preserve">Id. </w:t>
      </w:r>
      <w:r w:rsidRPr="006F4F7F">
        <w:rPr>
          <w:sz w:val="20"/>
        </w:rPr>
        <w:t>at 16-17.</w:t>
      </w:r>
    </w:p>
  </w:footnote>
  <w:footnote w:id="16">
    <w:p w:rsidR="00842E91" w:rsidRPr="006F4F7F" w:rsidP="00842E91" w14:paraId="7A05AF6B" w14:textId="77777777">
      <w:pPr>
        <w:pStyle w:val="FootnoteText"/>
      </w:pPr>
      <w:r w:rsidRPr="006F4F7F">
        <w:rPr>
          <w:rStyle w:val="FootnoteReference"/>
          <w:sz w:val="20"/>
        </w:rPr>
        <w:footnoteRef/>
      </w:r>
      <w:r w:rsidRPr="006F4F7F">
        <w:t xml:space="preserve"> </w:t>
      </w:r>
      <w:r w:rsidRPr="006F4F7F">
        <w:rPr>
          <w:i/>
          <w:iCs/>
        </w:rPr>
        <w:t>Id.</w:t>
      </w:r>
      <w:r w:rsidRPr="006F4F7F">
        <w:t xml:space="preserve"> at 19.</w:t>
      </w:r>
    </w:p>
  </w:footnote>
  <w:footnote w:id="17">
    <w:p w:rsidR="00842E91" w:rsidRPr="006F4F7F" w:rsidP="00842E91" w14:paraId="47279960" w14:textId="77777777">
      <w:pPr>
        <w:pStyle w:val="FootnoteText"/>
      </w:pPr>
      <w:r w:rsidRPr="006F4F7F">
        <w:rPr>
          <w:rStyle w:val="FootnoteReference"/>
          <w:sz w:val="20"/>
        </w:rPr>
        <w:footnoteRef/>
      </w:r>
      <w:r w:rsidRPr="006F4F7F">
        <w:t xml:space="preserve"> </w:t>
      </w:r>
      <w:r>
        <w:t xml:space="preserve">Applicants provide a full description of the proposed transaction in the Application.  </w:t>
      </w:r>
      <w:r>
        <w:rPr>
          <w:i/>
          <w:iCs/>
        </w:rPr>
        <w:t>See i</w:t>
      </w:r>
      <w:r w:rsidRPr="006F4F7F">
        <w:rPr>
          <w:i/>
          <w:iCs/>
        </w:rPr>
        <w:t>d.</w:t>
      </w:r>
      <w:r w:rsidRPr="006F4F7F">
        <w:t xml:space="preserve"> at 4-6.</w:t>
      </w:r>
    </w:p>
  </w:footnote>
  <w:footnote w:id="18">
    <w:p w:rsidR="00842E91" w:rsidRPr="006F4F7F" w:rsidP="00842E91" w14:paraId="5533DB4E" w14:textId="77777777">
      <w:pPr>
        <w:pStyle w:val="FootnoteText"/>
      </w:pPr>
      <w:r w:rsidRPr="006F4F7F">
        <w:rPr>
          <w:rStyle w:val="FootnoteReference"/>
          <w:sz w:val="20"/>
        </w:rPr>
        <w:footnoteRef/>
      </w:r>
      <w:r w:rsidRPr="006F4F7F">
        <w:t xml:space="preserve"> </w:t>
      </w:r>
      <w:r w:rsidRPr="006F4F7F">
        <w:rPr>
          <w:i/>
          <w:iCs/>
        </w:rPr>
        <w:t xml:space="preserve">Id. </w:t>
      </w:r>
      <w:r w:rsidRPr="006F4F7F">
        <w:t>at 6-9.</w:t>
      </w:r>
    </w:p>
  </w:footnote>
  <w:footnote w:id="19">
    <w:p w:rsidR="00842E91" w:rsidRPr="006F4F7F" w:rsidP="00842E91" w14:paraId="41711A99" w14:textId="77777777">
      <w:pPr>
        <w:pStyle w:val="FootnoteText"/>
      </w:pPr>
      <w:r w:rsidRPr="006F4F7F">
        <w:rPr>
          <w:rStyle w:val="FootnoteReference"/>
          <w:sz w:val="20"/>
        </w:rPr>
        <w:footnoteRef/>
      </w:r>
      <w:r w:rsidRPr="006F4F7F">
        <w:t xml:space="preserve"> </w:t>
      </w:r>
      <w:r w:rsidRPr="006F4F7F">
        <w:rPr>
          <w:i/>
        </w:rPr>
        <w:t>See, e.g.</w:t>
      </w:r>
      <w:r w:rsidRPr="006F4F7F">
        <w:t xml:space="preserve">, </w:t>
      </w:r>
      <w:r w:rsidRPr="006F4F7F">
        <w:rPr>
          <w:i/>
          <w:iCs/>
        </w:rPr>
        <w:t xml:space="preserve">Application of Verizon Communications Inc. and </w:t>
      </w:r>
      <w:r w:rsidRPr="006F4F7F">
        <w:rPr>
          <w:rStyle w:val="markedcontent"/>
          <w:i/>
          <w:iCs/>
        </w:rPr>
        <w:t xml:space="preserve">América </w:t>
      </w:r>
      <w:r w:rsidRPr="006F4F7F">
        <w:rPr>
          <w:rStyle w:val="markedcontent"/>
          <w:i/>
          <w:iCs/>
        </w:rPr>
        <w:t>Móvil</w:t>
      </w:r>
      <w:r w:rsidRPr="006F4F7F">
        <w:rPr>
          <w:rStyle w:val="markedcontent"/>
          <w:i/>
          <w:iCs/>
        </w:rPr>
        <w:t xml:space="preserve"> S.A.B. de C.V for Consent to Transfer Control of International Section 214 Authorization</w:t>
      </w:r>
      <w:r w:rsidRPr="006F4F7F">
        <w:rPr>
          <w:rStyle w:val="markedcontent"/>
        </w:rPr>
        <w:t xml:space="preserve">, GN Docket No. 21-112, </w:t>
      </w:r>
      <w:r w:rsidRPr="006F4F7F">
        <w:t xml:space="preserve">IBFS File No. ITC-T/C-20200930-00173, </w:t>
      </w:r>
      <w:r w:rsidRPr="006F4F7F">
        <w:rPr>
          <w:rStyle w:val="markedcontent"/>
        </w:rPr>
        <w:t xml:space="preserve">Memorandum Opinion and Order, </w:t>
      </w:r>
      <w:r>
        <w:rPr>
          <w:rStyle w:val="markedcontent"/>
        </w:rPr>
        <w:t xml:space="preserve">36 FCC </w:t>
      </w:r>
      <w:r>
        <w:rPr>
          <w:rStyle w:val="markedcontent"/>
        </w:rPr>
        <w:t>Rcd</w:t>
      </w:r>
      <w:r>
        <w:rPr>
          <w:rStyle w:val="markedcontent"/>
        </w:rPr>
        <w:t xml:space="preserve"> 16994</w:t>
      </w:r>
      <w:r w:rsidRPr="006F4F7F">
        <w:rPr>
          <w:rStyle w:val="markedcontent"/>
        </w:rPr>
        <w:t xml:space="preserve">, </w:t>
      </w:r>
      <w:r>
        <w:rPr>
          <w:rStyle w:val="markedcontent"/>
        </w:rPr>
        <w:t>17001</w:t>
      </w:r>
      <w:r w:rsidRPr="006F4F7F">
        <w:rPr>
          <w:rStyle w:val="markedcontent"/>
        </w:rPr>
        <w:t>, para. 21 (2021) (</w:t>
      </w:r>
      <w:r w:rsidRPr="006F4F7F">
        <w:rPr>
          <w:rStyle w:val="markedcontent"/>
          <w:i/>
          <w:iCs/>
        </w:rPr>
        <w:t>Verizon-TracFone Order</w:t>
      </w:r>
      <w:r w:rsidRPr="006F4F7F">
        <w:rPr>
          <w:rStyle w:val="markedcontent"/>
        </w:rPr>
        <w:t xml:space="preserve">) </w:t>
      </w:r>
      <w:r w:rsidRPr="006F4F7F">
        <w:t xml:space="preserve">(citing </w:t>
      </w:r>
      <w:r w:rsidRPr="006F4F7F">
        <w:rPr>
          <w:i/>
        </w:rPr>
        <w:t>China Mobile International (USA) Inc., Application for Global Facilities-Based and Global Resale International Telecommunications Authority Pursuant to Section 214 of the Communications Act of 1934, as Amended</w:t>
      </w:r>
      <w:r w:rsidRPr="006F4F7F">
        <w:t xml:space="preserve">, ITC-214-20110901-00289, Memorandum Opinion and Order, 34 FCC </w:t>
      </w:r>
      <w:r w:rsidRPr="006F4F7F">
        <w:t>Rcd</w:t>
      </w:r>
      <w:r w:rsidRPr="006F4F7F">
        <w:t xml:space="preserve"> 3361, 3366, para. 9 (2019); </w:t>
      </w:r>
      <w:r w:rsidRPr="006F4F7F">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6F4F7F">
        <w:t xml:space="preserve">., MB Docket No. 05-192, Memorandum Opinion and Order, 21 FCC </w:t>
      </w:r>
      <w:r w:rsidRPr="006F4F7F">
        <w:t>Rcd</w:t>
      </w:r>
      <w:r w:rsidRPr="006F4F7F">
        <w:t xml:space="preserve"> 8203, 8219-21, paras. 27-28 (2006) (</w:t>
      </w:r>
      <w:r w:rsidRPr="006F4F7F">
        <w:rPr>
          <w:i/>
          <w:iCs/>
        </w:rPr>
        <w:t>Adelphia-TWC Order</w:t>
      </w:r>
      <w:r w:rsidRPr="006F4F7F">
        <w:t>)).</w:t>
      </w:r>
    </w:p>
  </w:footnote>
  <w:footnote w:id="20">
    <w:p w:rsidR="00842E91" w:rsidRPr="006F4F7F" w:rsidP="00842E91" w14:paraId="2B164290" w14:textId="77777777">
      <w:pPr>
        <w:pStyle w:val="FootnoteText"/>
      </w:pPr>
      <w:r w:rsidRPr="006F4F7F">
        <w:rPr>
          <w:rStyle w:val="FootnoteReference"/>
          <w:sz w:val="20"/>
        </w:rPr>
        <w:footnoteRef/>
      </w:r>
      <w:r w:rsidRPr="006F4F7F">
        <w:t xml:space="preserve"> </w:t>
      </w:r>
      <w:r w:rsidRPr="006F4F7F">
        <w:rPr>
          <w:i/>
        </w:rPr>
        <w:t>See Verizon-TracFone Order</w:t>
      </w:r>
      <w:r>
        <w:rPr>
          <w:iCs/>
        </w:rPr>
        <w:t xml:space="preserve">, 36 FCC </w:t>
      </w:r>
      <w:r>
        <w:rPr>
          <w:iCs/>
        </w:rPr>
        <w:t>Rcd</w:t>
      </w:r>
      <w:r>
        <w:rPr>
          <w:iCs/>
        </w:rPr>
        <w:t xml:space="preserve"> at 17001</w:t>
      </w:r>
      <w:r w:rsidRPr="006F4F7F">
        <w:rPr>
          <w:iCs/>
        </w:rPr>
        <w:t xml:space="preserve">, para. 21 (citing </w:t>
      </w:r>
      <w:r w:rsidRPr="006F4F7F">
        <w:rPr>
          <w:i/>
        </w:rPr>
        <w:t xml:space="preserve">Applications of </w:t>
      </w:r>
      <w:r w:rsidRPr="006F4F7F">
        <w:rPr>
          <w:i/>
          <w:iCs/>
        </w:rPr>
        <w:t>AT&amp;T</w:t>
      </w:r>
      <w:r w:rsidRPr="006F4F7F">
        <w:rPr>
          <w:i/>
        </w:rPr>
        <w:t xml:space="preserve"> Inc. and </w:t>
      </w:r>
      <w:r w:rsidRPr="006F4F7F">
        <w:rPr>
          <w:i/>
          <w:iCs/>
        </w:rPr>
        <w:t xml:space="preserve">DIRECTV </w:t>
      </w:r>
      <w:r w:rsidRPr="006F4F7F">
        <w:rPr>
          <w:i/>
        </w:rPr>
        <w:t>for Consent to Assign or Transfer Control of Licenses and Authorizations</w:t>
      </w:r>
      <w:r w:rsidRPr="006F4F7F">
        <w:t xml:space="preserve">, MB Docket No. 14-90, Memorandum Opinion and Order, 30 </w:t>
      </w:r>
      <w:r w:rsidRPr="006F4F7F">
        <w:rPr>
          <w:iCs/>
        </w:rPr>
        <w:t xml:space="preserve">FCC </w:t>
      </w:r>
      <w:r w:rsidRPr="006F4F7F">
        <w:rPr>
          <w:iCs/>
        </w:rPr>
        <w:t>Rcd</w:t>
      </w:r>
      <w:r w:rsidRPr="006F4F7F">
        <w:rPr>
          <w:iCs/>
        </w:rPr>
        <w:t xml:space="preserve"> </w:t>
      </w:r>
      <w:r w:rsidRPr="006F4F7F">
        <w:t>9131,</w:t>
      </w:r>
      <w:r w:rsidRPr="006F4F7F">
        <w:rPr>
          <w:iCs/>
        </w:rPr>
        <w:t xml:space="preserve"> 9140, para. 18</w:t>
      </w:r>
      <w:r w:rsidRPr="006F4F7F">
        <w:t xml:space="preserve"> (2015) (</w:t>
      </w:r>
      <w:r w:rsidRPr="006F4F7F">
        <w:rPr>
          <w:i/>
          <w:iCs/>
        </w:rPr>
        <w:t>AT&amp;T-DIRECTV Order</w:t>
      </w:r>
      <w:r w:rsidRPr="006F4F7F">
        <w:rPr>
          <w:iCs/>
        </w:rPr>
        <w:t>)) (further citations omitted).</w:t>
      </w:r>
    </w:p>
  </w:footnote>
  <w:footnote w:id="21">
    <w:p w:rsidR="00842E91" w:rsidRPr="006F4F7F" w:rsidP="00842E91" w14:paraId="10046622" w14:textId="77777777">
      <w:pPr>
        <w:pStyle w:val="FootnoteText"/>
      </w:pPr>
      <w:r w:rsidRPr="006F4F7F">
        <w:rPr>
          <w:rStyle w:val="FootnoteReference"/>
          <w:sz w:val="20"/>
        </w:rPr>
        <w:footnoteRef/>
      </w:r>
      <w:r w:rsidRPr="006F4F7F">
        <w:t xml:space="preserve"> </w:t>
      </w:r>
      <w:r w:rsidRPr="006F4F7F">
        <w:rPr>
          <w:i/>
        </w:rPr>
        <w:t>See Verizon-TracFone Order</w:t>
      </w:r>
      <w:r>
        <w:rPr>
          <w:iCs/>
        </w:rPr>
        <w:t>,</w:t>
      </w:r>
      <w:r w:rsidRPr="00580A9F">
        <w:rPr>
          <w:iCs/>
        </w:rPr>
        <w:t xml:space="preserve"> </w:t>
      </w:r>
      <w:r>
        <w:rPr>
          <w:iCs/>
        </w:rPr>
        <w:t xml:space="preserve">36 FCC </w:t>
      </w:r>
      <w:r>
        <w:rPr>
          <w:iCs/>
        </w:rPr>
        <w:t>Rcd</w:t>
      </w:r>
      <w:r>
        <w:rPr>
          <w:iCs/>
        </w:rPr>
        <w:t xml:space="preserve"> at 17001</w:t>
      </w:r>
      <w:r w:rsidRPr="006F4F7F">
        <w:rPr>
          <w:iCs/>
        </w:rPr>
        <w:t>, para. 21 (citing</w:t>
      </w:r>
      <w:r w:rsidRPr="006F4F7F">
        <w:t xml:space="preserve"> </w:t>
      </w:r>
      <w:r w:rsidRPr="006F4F7F">
        <w:rPr>
          <w:i/>
          <w:iCs/>
        </w:rPr>
        <w:t>AT&amp;T-DIRECTV Order</w:t>
      </w:r>
      <w:r w:rsidRPr="006F4F7F">
        <w:rPr>
          <w:iCs/>
        </w:rPr>
        <w:t xml:space="preserve">, </w:t>
      </w:r>
      <w:r w:rsidRPr="006F4F7F">
        <w:t xml:space="preserve">30 </w:t>
      </w:r>
      <w:r w:rsidRPr="006F4F7F">
        <w:rPr>
          <w:iCs/>
        </w:rPr>
        <w:t xml:space="preserve">FCC </w:t>
      </w:r>
      <w:r w:rsidRPr="006F4F7F">
        <w:rPr>
          <w:iCs/>
        </w:rPr>
        <w:t>Rcd</w:t>
      </w:r>
      <w:r w:rsidRPr="006F4F7F">
        <w:rPr>
          <w:iCs/>
        </w:rPr>
        <w:t xml:space="preserve"> at 9140, para. 18; </w:t>
      </w:r>
      <w:r w:rsidRPr="006F4F7F">
        <w:rPr>
          <w:i/>
        </w:rPr>
        <w:t>Adelphia-TWC Order</w:t>
      </w:r>
      <w:r w:rsidRPr="006F4F7F">
        <w:t xml:space="preserve">, 21 FCC </w:t>
      </w:r>
      <w:r w:rsidRPr="006F4F7F">
        <w:t>Rcd</w:t>
      </w:r>
      <w:r w:rsidRPr="006F4F7F">
        <w:t xml:space="preserve"> at 8217, para. 23; </w:t>
      </w:r>
      <w:r w:rsidRPr="006F4F7F">
        <w:rPr>
          <w:i/>
        </w:rPr>
        <w:t>Application of EchoStar Communications Corp., General Motors Corp., and Hughes Electronics Corp., Transferors, and EchoStar Communications Corp., Transferee</w:t>
      </w:r>
      <w:r w:rsidRPr="006F4F7F">
        <w:t xml:space="preserve">, CS Docket No. 01-348, Hearing Designation Order, 17 FCC </w:t>
      </w:r>
      <w:r w:rsidRPr="006F4F7F">
        <w:t>Rcd</w:t>
      </w:r>
      <w:r w:rsidRPr="006F4F7F">
        <w:t xml:space="preserve"> 20559, </w:t>
      </w:r>
      <w:r w:rsidRPr="006F4F7F">
        <w:rPr>
          <w:snapToGrid w:val="0"/>
        </w:rPr>
        <w:t>20574, para.</w:t>
      </w:r>
      <w:r w:rsidRPr="006F4F7F">
        <w:t xml:space="preserve"> 25 (2002)) </w:t>
      </w:r>
      <w:r w:rsidRPr="006F4F7F">
        <w:rPr>
          <w:iCs/>
        </w:rPr>
        <w:t>(further citations omitted)</w:t>
      </w:r>
      <w:r w:rsidRPr="006F4F7F">
        <w:t>.</w:t>
      </w:r>
    </w:p>
  </w:footnote>
  <w:footnote w:id="22">
    <w:p w:rsidR="00842E91" w:rsidRPr="00DE0E93" w:rsidP="00842E91" w14:paraId="13CED556" w14:textId="77777777">
      <w:pPr>
        <w:autoSpaceDE w:val="0"/>
        <w:autoSpaceDN w:val="0"/>
        <w:adjustRightInd w:val="0"/>
        <w:spacing w:after="120"/>
        <w:rPr>
          <w:i/>
          <w:iCs/>
          <w:sz w:val="20"/>
        </w:rPr>
      </w:pPr>
      <w:r w:rsidRPr="006F4F7F">
        <w:rPr>
          <w:rStyle w:val="FootnoteReference"/>
          <w:sz w:val="20"/>
        </w:rPr>
        <w:footnoteRef/>
      </w:r>
      <w:r w:rsidRPr="006F4F7F">
        <w:rPr>
          <w:sz w:val="20"/>
        </w:rPr>
        <w:t xml:space="preserve"> </w:t>
      </w:r>
      <w:r w:rsidRPr="00DE0E93">
        <w:rPr>
          <w:sz w:val="20"/>
        </w:rPr>
        <w:t>Application</w:t>
      </w:r>
      <w:r w:rsidRPr="00DE0E93">
        <w:rPr>
          <w:i/>
          <w:iCs/>
          <w:sz w:val="20"/>
        </w:rPr>
        <w:t xml:space="preserve"> </w:t>
      </w:r>
      <w:r w:rsidRPr="00DE0E93">
        <w:rPr>
          <w:sz w:val="20"/>
        </w:rPr>
        <w:t xml:space="preserve">at 8.  Applicants state that neither MIP VI Outlier nor its owners provide or hold any other attributable interest in any entity that provides any telecommunications services in the markets where </w:t>
      </w:r>
      <w:r w:rsidRPr="00DE0E93">
        <w:rPr>
          <w:sz w:val="20"/>
        </w:rPr>
        <w:t>CableSouth</w:t>
      </w:r>
      <w:r w:rsidRPr="00DE0E93">
        <w:rPr>
          <w:sz w:val="20"/>
        </w:rPr>
        <w:t xml:space="preserve"> operates.  </w:t>
      </w:r>
      <w:r w:rsidRPr="00DE0E93">
        <w:rPr>
          <w:i/>
          <w:iCs/>
          <w:sz w:val="20"/>
        </w:rPr>
        <w:t>Id.</w:t>
      </w:r>
    </w:p>
  </w:footnote>
  <w:footnote w:id="23">
    <w:p w:rsidR="00842E91" w:rsidRPr="006F4F7F" w:rsidP="00842E91" w14:paraId="00DAF374" w14:textId="77777777">
      <w:pPr>
        <w:pStyle w:val="FootnoteText"/>
        <w:rPr>
          <w:i/>
          <w:iCs/>
        </w:rPr>
      </w:pPr>
      <w:r w:rsidRPr="00DE0E93">
        <w:rPr>
          <w:rStyle w:val="FootnoteReference"/>
          <w:sz w:val="20"/>
        </w:rPr>
        <w:footnoteRef/>
      </w:r>
      <w:r w:rsidRPr="00DE0E93">
        <w:t xml:space="preserve"> </w:t>
      </w:r>
      <w:r w:rsidRPr="00DE0E93">
        <w:rPr>
          <w:i/>
          <w:iCs/>
        </w:rPr>
        <w:t>Id.</w:t>
      </w:r>
      <w:r w:rsidRPr="006F4F7F">
        <w:rPr>
          <w:i/>
          <w:iCs/>
        </w:rPr>
        <w:t xml:space="preserve"> </w:t>
      </w:r>
    </w:p>
  </w:footnote>
  <w:footnote w:id="24">
    <w:p w:rsidR="00842E91" w:rsidRPr="006F4F7F" w:rsidP="00842E91" w14:paraId="6ABA46E3" w14:textId="77777777">
      <w:pPr>
        <w:pStyle w:val="FootnoteText"/>
        <w:rPr>
          <w:i/>
          <w:iCs/>
        </w:rPr>
      </w:pPr>
      <w:r w:rsidRPr="006F4F7F">
        <w:rPr>
          <w:rStyle w:val="FootnoteReference"/>
          <w:sz w:val="20"/>
        </w:rPr>
        <w:footnoteRef/>
      </w:r>
      <w:r w:rsidRPr="006F4F7F">
        <w:t xml:space="preserve"> </w:t>
      </w:r>
      <w:r w:rsidRPr="006F4F7F">
        <w:rPr>
          <w:i/>
          <w:iCs/>
        </w:rPr>
        <w:t>Id.</w:t>
      </w:r>
    </w:p>
  </w:footnote>
  <w:footnote w:id="25">
    <w:p w:rsidR="00842E91" w:rsidRPr="006F4F7F" w:rsidP="00842E91" w14:paraId="073E5094" w14:textId="77777777">
      <w:pPr>
        <w:pStyle w:val="FootnoteText"/>
      </w:pPr>
      <w:r w:rsidRPr="006F4F7F">
        <w:rPr>
          <w:rStyle w:val="FootnoteReference"/>
          <w:sz w:val="20"/>
        </w:rPr>
        <w:footnoteRef/>
      </w:r>
      <w:r w:rsidRPr="006F4F7F">
        <w:t xml:space="preserve"> </w:t>
      </w:r>
      <w:r w:rsidRPr="006F4F7F">
        <w:rPr>
          <w:i/>
          <w:iCs/>
        </w:rPr>
        <w:t>Id.</w:t>
      </w:r>
      <w:r w:rsidRPr="006F4F7F">
        <w:t xml:space="preserve"> at 7-9.</w:t>
      </w:r>
    </w:p>
  </w:footnote>
  <w:footnote w:id="26">
    <w:p w:rsidR="00842E91" w:rsidRPr="006F4F7F" w:rsidP="00842E91" w14:paraId="7CA60219" w14:textId="77777777">
      <w:pPr>
        <w:pStyle w:val="FootnoteText"/>
      </w:pPr>
      <w:r w:rsidRPr="006F4F7F">
        <w:rPr>
          <w:rStyle w:val="FootnoteReference"/>
          <w:sz w:val="20"/>
        </w:rPr>
        <w:footnoteRef/>
      </w:r>
      <w:r w:rsidRPr="006F4F7F">
        <w:t xml:space="preserve"> </w:t>
      </w:r>
      <w:r w:rsidRPr="006F4F7F">
        <w:rPr>
          <w:i/>
          <w:iCs/>
        </w:rPr>
        <w:t>Id.</w:t>
      </w:r>
      <w:r w:rsidRPr="006F4F7F">
        <w:t xml:space="preserve"> at 9.</w:t>
      </w:r>
    </w:p>
  </w:footnote>
  <w:footnote w:id="27">
    <w:p w:rsidR="00842E91" w:rsidRPr="006F4F7F" w:rsidP="00842E91" w14:paraId="07AB6C1A" w14:textId="77777777">
      <w:pPr>
        <w:pStyle w:val="FootnoteText"/>
        <w:rPr>
          <w:i/>
          <w:iCs/>
        </w:rPr>
      </w:pPr>
      <w:r w:rsidRPr="006F4F7F">
        <w:rPr>
          <w:rStyle w:val="FootnoteReference"/>
          <w:sz w:val="20"/>
        </w:rPr>
        <w:footnoteRef/>
      </w:r>
      <w:r w:rsidRPr="006F4F7F">
        <w:t xml:space="preserve"> </w:t>
      </w:r>
      <w:r w:rsidRPr="006F4F7F">
        <w:rPr>
          <w:i/>
          <w:iCs/>
        </w:rPr>
        <w:t>Id.</w:t>
      </w:r>
    </w:p>
  </w:footnote>
  <w:footnote w:id="28">
    <w:p w:rsidR="00842E91" w:rsidRPr="006F4F7F" w:rsidP="00842E91" w14:paraId="565ECE07" w14:textId="77777777">
      <w:pPr>
        <w:pStyle w:val="FootnoteText"/>
      </w:pPr>
      <w:r w:rsidRPr="006F4F7F">
        <w:rPr>
          <w:rStyle w:val="FootnoteReference"/>
          <w:sz w:val="20"/>
        </w:rPr>
        <w:footnoteRef/>
      </w:r>
      <w:r w:rsidRPr="006F4F7F">
        <w:t xml:space="preserve"> </w:t>
      </w:r>
      <w:r w:rsidRPr="006F4F7F">
        <w:rPr>
          <w:i/>
          <w:iCs/>
        </w:rPr>
        <w:t>See AT&amp;T/DIRECTV Order</w:t>
      </w:r>
      <w:r w:rsidRPr="006F4F7F">
        <w:t xml:space="preserve">, 30 FCC </w:t>
      </w:r>
      <w:r w:rsidRPr="006F4F7F">
        <w:t>Rcd</w:t>
      </w:r>
      <w:r w:rsidRPr="006F4F7F">
        <w:t xml:space="preserve"> at 9237, paras. 273-74.</w:t>
      </w:r>
    </w:p>
  </w:footnote>
  <w:footnote w:id="29">
    <w:p w:rsidR="00842E91" w:rsidRPr="006F4F7F" w:rsidP="00842E91" w14:paraId="0E12BF4F" w14:textId="77777777">
      <w:pPr>
        <w:pStyle w:val="FootnoteText"/>
      </w:pPr>
      <w:r w:rsidRPr="006F4F7F">
        <w:rPr>
          <w:rStyle w:val="FootnoteReference"/>
          <w:sz w:val="20"/>
        </w:rPr>
        <w:footnoteRef/>
      </w:r>
      <w:r w:rsidRPr="006F4F7F">
        <w:t xml:space="preserve"> </w:t>
      </w:r>
      <w:r w:rsidRPr="006F4F7F">
        <w:rPr>
          <w:i/>
          <w:iCs/>
        </w:rPr>
        <w:t>See id</w:t>
      </w:r>
      <w:r w:rsidRPr="006F4F7F">
        <w:t>. at 9237-38, paras. 275-76.</w:t>
      </w:r>
    </w:p>
  </w:footnote>
  <w:footnote w:id="30">
    <w:p w:rsidR="00842E91" w:rsidRPr="006F4F7F" w:rsidP="00842E91" w14:paraId="0041E83C" w14:textId="77777777">
      <w:pPr>
        <w:pStyle w:val="FootnoteText"/>
      </w:pPr>
      <w:r w:rsidRPr="006F4F7F">
        <w:rPr>
          <w:rStyle w:val="FootnoteReference"/>
          <w:sz w:val="20"/>
        </w:rPr>
        <w:footnoteRef/>
      </w:r>
      <w:r w:rsidRPr="006F4F7F">
        <w:t xml:space="preserve"> </w:t>
      </w:r>
      <w:r w:rsidRPr="006F4F7F">
        <w:rPr>
          <w:i/>
          <w:iCs/>
        </w:rPr>
        <w:t>See id</w:t>
      </w:r>
      <w:r w:rsidRPr="006F4F7F">
        <w:t>.</w:t>
      </w:r>
    </w:p>
  </w:footnote>
  <w:footnote w:id="31">
    <w:p w:rsidR="00842E91" w:rsidRPr="006F4F7F" w:rsidP="00842E91" w14:paraId="7B76F18D" w14:textId="77777777">
      <w:pPr>
        <w:pStyle w:val="FootnoteText"/>
      </w:pPr>
      <w:r w:rsidRPr="006F4F7F">
        <w:rPr>
          <w:rStyle w:val="FootnoteReference"/>
          <w:sz w:val="20"/>
        </w:rPr>
        <w:footnoteRef/>
      </w:r>
      <w:r w:rsidRPr="006F4F7F">
        <w:t xml:space="preserve"> Application at 9.</w:t>
      </w:r>
    </w:p>
  </w:footnote>
  <w:footnote w:id="32">
    <w:p w:rsidR="00842E91" w:rsidRPr="006F4F7F" w:rsidP="00842E91" w14:paraId="1D1DB16D" w14:textId="77777777">
      <w:pPr>
        <w:pStyle w:val="FootnoteText"/>
      </w:pPr>
      <w:r w:rsidRPr="006F4F7F">
        <w:rPr>
          <w:rStyle w:val="FootnoteReference"/>
          <w:sz w:val="20"/>
        </w:rPr>
        <w:footnoteRef/>
      </w:r>
      <w:r w:rsidRPr="006F4F7F">
        <w:t xml:space="preserve"> </w:t>
      </w:r>
      <w:r>
        <w:rPr>
          <w:i/>
          <w:iCs/>
        </w:rPr>
        <w:t>Id.</w:t>
      </w:r>
      <w:r w:rsidRPr="006F4F7F">
        <w:t xml:space="preserve"> at 7.</w:t>
      </w:r>
    </w:p>
  </w:footnote>
  <w:footnote w:id="33">
    <w:p w:rsidR="00842E91" w:rsidRPr="006F4F7F" w:rsidP="00842E91" w14:paraId="172C668F" w14:textId="77777777">
      <w:pPr>
        <w:pStyle w:val="FootnoteText"/>
      </w:pPr>
      <w:r w:rsidRPr="006F4F7F">
        <w:rPr>
          <w:rStyle w:val="FootnoteReference"/>
          <w:sz w:val="20"/>
        </w:rPr>
        <w:footnoteRef/>
      </w:r>
      <w:r w:rsidRPr="006F4F7F">
        <w:t xml:space="preserve"> </w:t>
      </w:r>
      <w:r w:rsidRPr="006F4F7F">
        <w:rPr>
          <w:i/>
          <w:iCs/>
        </w:rPr>
        <w:t>See, e.g.</w:t>
      </w:r>
      <w:r w:rsidRPr="006F4F7F">
        <w:t>,</w:t>
      </w:r>
      <w:r w:rsidRPr="006F4F7F">
        <w:rPr>
          <w:i/>
          <w:iCs/>
        </w:rPr>
        <w:t xml:space="preserve"> AT&amp;T-DIRECTV Order</w:t>
      </w:r>
      <w:r w:rsidRPr="006F4F7F">
        <w:rPr>
          <w:iCs/>
        </w:rPr>
        <w:t xml:space="preserve">, </w:t>
      </w:r>
      <w:r w:rsidRPr="006F4F7F">
        <w:t xml:space="preserve">30 </w:t>
      </w:r>
      <w:r w:rsidRPr="006F4F7F">
        <w:rPr>
          <w:iCs/>
        </w:rPr>
        <w:t xml:space="preserve">FCC </w:t>
      </w:r>
      <w:r w:rsidRPr="006F4F7F">
        <w:rPr>
          <w:iCs/>
        </w:rPr>
        <w:t>Rcd</w:t>
      </w:r>
      <w:r w:rsidRPr="006F4F7F">
        <w:rPr>
          <w:iCs/>
        </w:rPr>
        <w:t xml:space="preserve"> at 9140, para. 19.</w:t>
      </w:r>
    </w:p>
  </w:footnote>
  <w:footnote w:id="34">
    <w:p w:rsidR="00842E91" w:rsidRPr="006F4F7F" w:rsidP="00842E91" w14:paraId="1D674C20" w14:textId="77777777">
      <w:pPr>
        <w:pStyle w:val="FootnoteText"/>
      </w:pPr>
      <w:r w:rsidRPr="006F4F7F">
        <w:rPr>
          <w:rStyle w:val="FootnoteReference"/>
          <w:sz w:val="20"/>
        </w:rPr>
        <w:footnoteRef/>
      </w:r>
      <w:r w:rsidRPr="006F4F7F">
        <w:t xml:space="preserve"> </w:t>
      </w:r>
      <w:r w:rsidRPr="006F4F7F">
        <w:rPr>
          <w:i/>
        </w:rPr>
        <w:t>See Verizon-TracFone Order</w:t>
      </w:r>
      <w:r>
        <w:rPr>
          <w:iCs/>
        </w:rPr>
        <w:t xml:space="preserve">, 36 FCC </w:t>
      </w:r>
      <w:r>
        <w:rPr>
          <w:iCs/>
        </w:rPr>
        <w:t>Rcd</w:t>
      </w:r>
      <w:r>
        <w:rPr>
          <w:iCs/>
        </w:rPr>
        <w:t xml:space="preserve"> at 17002</w:t>
      </w:r>
      <w:r w:rsidRPr="006F4F7F">
        <w:rPr>
          <w:iCs/>
        </w:rPr>
        <w:t xml:space="preserve">, para. 22 (citing </w:t>
      </w:r>
      <w:r w:rsidRPr="006F4F7F">
        <w:t>47 U.S.C. §§ 254, 332(c)(7), 1302; Telecommunications Act of 1996, Pub. L. No. 104-104, Preamble, 110 Stat. 56 (1996) (one purpose of the Act is to “accelerate rapidly private sector deployment of advanced telecommunications and information technologies and services”)).</w:t>
      </w:r>
    </w:p>
  </w:footnote>
  <w:footnote w:id="35">
    <w:p w:rsidR="00842E91" w:rsidRPr="006F4F7F" w:rsidP="00842E91" w14:paraId="1EE028BD" w14:textId="77777777">
      <w:pPr>
        <w:pStyle w:val="FootnoteText"/>
      </w:pPr>
      <w:r w:rsidRPr="006F4F7F">
        <w:rPr>
          <w:rStyle w:val="FootnoteReference"/>
          <w:sz w:val="20"/>
        </w:rPr>
        <w:footnoteRef/>
      </w:r>
      <w:r w:rsidRPr="006F4F7F">
        <w:t xml:space="preserve"> Application at </w:t>
      </w:r>
      <w:r>
        <w:t>9</w:t>
      </w:r>
      <w:r w:rsidRPr="006F4F7F">
        <w:t>.</w:t>
      </w:r>
    </w:p>
  </w:footnote>
  <w:footnote w:id="36">
    <w:p w:rsidR="00842E91" w:rsidRPr="006F4F7F" w:rsidP="00842E91" w14:paraId="1887AE95" w14:textId="77777777">
      <w:pPr>
        <w:pStyle w:val="FootnoteText"/>
      </w:pPr>
      <w:r w:rsidRPr="006F4F7F">
        <w:rPr>
          <w:rStyle w:val="FootnoteReference"/>
          <w:sz w:val="20"/>
        </w:rPr>
        <w:footnoteRef/>
      </w:r>
      <w:r w:rsidRPr="006F4F7F">
        <w:t xml:space="preserve"> </w:t>
      </w:r>
      <w:r w:rsidRPr="006F4F7F">
        <w:rPr>
          <w:i/>
          <w:iCs/>
        </w:rPr>
        <w:t>Id</w:t>
      </w:r>
      <w:r w:rsidRPr="006F4F7F">
        <w:t>. at 7.</w:t>
      </w:r>
    </w:p>
  </w:footnote>
  <w:footnote w:id="37">
    <w:p w:rsidR="00842E91" w:rsidRPr="006F4F7F" w:rsidP="00842E91" w14:paraId="28414E64" w14:textId="77777777">
      <w:pPr>
        <w:pStyle w:val="FootnoteText"/>
      </w:pPr>
      <w:r w:rsidRPr="006F4F7F">
        <w:rPr>
          <w:rStyle w:val="FootnoteReference"/>
          <w:sz w:val="20"/>
        </w:rPr>
        <w:footnoteRef/>
      </w:r>
      <w:r w:rsidRPr="006F4F7F">
        <w:t xml:space="preserve"> </w:t>
      </w:r>
      <w:r w:rsidRPr="006F4F7F">
        <w:rPr>
          <w:i/>
          <w:iCs/>
        </w:rPr>
        <w:t>See RDOF Public Notice</w:t>
      </w:r>
      <w:r w:rsidRPr="006F4F7F">
        <w:t xml:space="preserve"> at 1-9</w:t>
      </w:r>
      <w:r w:rsidRPr="006F4F7F">
        <w:rPr>
          <w:i/>
          <w:iCs/>
        </w:rPr>
        <w:t xml:space="preserve"> </w:t>
      </w:r>
      <w:r w:rsidRPr="006F4F7F">
        <w:t xml:space="preserve">(listing obligations of authorized support recipients). </w:t>
      </w:r>
    </w:p>
  </w:footnote>
  <w:footnote w:id="38">
    <w:p w:rsidR="00842E91" w:rsidRPr="00402365" w:rsidP="00842E91" w14:paraId="6C691802" w14:textId="77777777">
      <w:pPr>
        <w:pStyle w:val="FootnoteText"/>
      </w:pPr>
      <w:r w:rsidRPr="006F4F7F">
        <w:rPr>
          <w:rStyle w:val="FootnoteReference"/>
          <w:sz w:val="20"/>
        </w:rPr>
        <w:footnoteRef/>
      </w:r>
      <w:r w:rsidRPr="006F4F7F">
        <w:t xml:space="preserve"> We direct Applicants to transmit a copy of this Public Notice to the Universal Service Administrative Company.  We further direct Applicants to submit, within 30 days of closing the proposed transaction, a notice in WC Docket No. 23-23 that the proposed transaction has closed, with the consummation date, and also provide a courtesy copy of the notice to </w:t>
      </w:r>
      <w:hyperlink r:id="rId1" w:history="1">
        <w:r w:rsidRPr="006F4F7F">
          <w:rPr>
            <w:rStyle w:val="Hyperlink"/>
          </w:rPr>
          <w:t>hcinfo@usac.org</w:t>
        </w:r>
      </w:hyperlink>
      <w:r w:rsidRPr="006F4F7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E91" w14:paraId="0FE8BB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C0174F" w14:textId="67111F74">
    <w:pPr>
      <w:tabs>
        <w:tab w:val="center" w:pos="4680"/>
        <w:tab w:val="right" w:pos="9360"/>
      </w:tabs>
    </w:pPr>
    <w:r w:rsidRPr="009838BC">
      <w:rPr>
        <w:b/>
      </w:rPr>
      <w:tab/>
      <w:t>Federal Communications Commission</w:t>
    </w:r>
    <w:r w:rsidRPr="009838BC">
      <w:rPr>
        <w:b/>
      </w:rPr>
      <w:tab/>
    </w:r>
    <w:r w:rsidR="009C4637">
      <w:rPr>
        <w:b/>
      </w:rPr>
      <w:t xml:space="preserve">DA </w:t>
    </w:r>
    <w:r w:rsidR="00842E91">
      <w:rPr>
        <w:b/>
      </w:rPr>
      <w:t>24-7</w:t>
    </w:r>
  </w:p>
  <w:p w:rsidR="009838BC" w:rsidRPr="009838BC" w:rsidP="009838BC" w14:paraId="234B0552" w14:textId="5C04AC2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017E98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CFA259" w14:textId="3DF61CC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B633E73" w14:textId="77777777">
                    <w:pPr>
                      <w:rPr>
                        <w:rFonts w:ascii="Arial" w:hAnsi="Arial"/>
                        <w:b/>
                      </w:rPr>
                    </w:pPr>
                    <w:r>
                      <w:rPr>
                        <w:rFonts w:ascii="Arial" w:hAnsi="Arial"/>
                        <w:b/>
                      </w:rPr>
                      <w:t>Federal Communications Commission</w:t>
                    </w:r>
                  </w:p>
                  <w:p w:rsidR="009838BC" w:rsidP="009838BC" w14:paraId="795F837C" w14:textId="587635E4">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Pr>
                        <w:rFonts w:ascii="Arial" w:hAnsi="Arial"/>
                        <w:b/>
                      </w:rPr>
                      <w:t>.</w:t>
                    </w:r>
                    <w:r w:rsidR="003C4484">
                      <w:rPr>
                        <w:rFonts w:ascii="Arial" w:hAnsi="Arial"/>
                        <w:b/>
                      </w:rPr>
                      <w:t>E</w:t>
                    </w:r>
                    <w:r>
                      <w:rPr>
                        <w:rFonts w:ascii="Arial" w:hAnsi="Arial"/>
                        <w:b/>
                      </w:rPr>
                      <w:t>.</w:t>
                    </w:r>
                  </w:p>
                  <w:p w:rsidR="009838BC" w:rsidP="009838BC" w14:paraId="604437B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09400A9" w14:textId="74319D1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DBD465" w14:textId="77777777">
                    <w:pPr>
                      <w:spacing w:before="40"/>
                      <w:jc w:val="right"/>
                      <w:rPr>
                        <w:rFonts w:ascii="Arial" w:hAnsi="Arial"/>
                        <w:b/>
                        <w:sz w:val="16"/>
                      </w:rPr>
                    </w:pPr>
                    <w:r>
                      <w:rPr>
                        <w:rFonts w:ascii="Arial" w:hAnsi="Arial"/>
                        <w:b/>
                        <w:sz w:val="16"/>
                      </w:rPr>
                      <w:t>News Media Information 202 / 418-0500</w:t>
                    </w:r>
                  </w:p>
                  <w:p w:rsidR="009838BC" w:rsidP="009838BC" w14:paraId="6B7007DF" w14:textId="77777777">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txbxContent>
              </v:textbox>
            </v:shape>
          </w:pict>
        </mc:Fallback>
      </mc:AlternateContent>
    </w:r>
  </w:p>
  <w:p w:rsidR="006F7393" w:rsidRPr="009838BC" w:rsidP="009838BC" w14:paraId="18E9FC1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2DCB797A"/>
    <w:multiLevelType w:val="hybridMultilevel"/>
    <w:tmpl w:val="1708D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8">
    <w:nsid w:val="6A614CCE"/>
    <w:multiLevelType w:val="hybridMultilevel"/>
    <w:tmpl w:val="79A29BF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C"/>
    <w:rsid w:val="000070AD"/>
    <w:rsid w:val="000072CE"/>
    <w:rsid w:val="0001004F"/>
    <w:rsid w:val="00013794"/>
    <w:rsid w:val="00013A8B"/>
    <w:rsid w:val="00021445"/>
    <w:rsid w:val="00036039"/>
    <w:rsid w:val="00037F90"/>
    <w:rsid w:val="00037FDF"/>
    <w:rsid w:val="0004041D"/>
    <w:rsid w:val="00041DD0"/>
    <w:rsid w:val="0005565B"/>
    <w:rsid w:val="00071269"/>
    <w:rsid w:val="0008232A"/>
    <w:rsid w:val="000872DC"/>
    <w:rsid w:val="000875BF"/>
    <w:rsid w:val="00096D8C"/>
    <w:rsid w:val="000A31FD"/>
    <w:rsid w:val="000C0B65"/>
    <w:rsid w:val="000D22B1"/>
    <w:rsid w:val="000D65DC"/>
    <w:rsid w:val="000E3D42"/>
    <w:rsid w:val="000E4E11"/>
    <w:rsid w:val="000E5884"/>
    <w:rsid w:val="000F4674"/>
    <w:rsid w:val="00103A1F"/>
    <w:rsid w:val="00114365"/>
    <w:rsid w:val="00120448"/>
    <w:rsid w:val="0012050E"/>
    <w:rsid w:val="00122BD5"/>
    <w:rsid w:val="00126362"/>
    <w:rsid w:val="00127C3A"/>
    <w:rsid w:val="00130C65"/>
    <w:rsid w:val="00132FED"/>
    <w:rsid w:val="001541AC"/>
    <w:rsid w:val="001863D7"/>
    <w:rsid w:val="0018796E"/>
    <w:rsid w:val="00194ECA"/>
    <w:rsid w:val="001979D9"/>
    <w:rsid w:val="001A41DB"/>
    <w:rsid w:val="001B4BAD"/>
    <w:rsid w:val="001B5F8A"/>
    <w:rsid w:val="001D6BCF"/>
    <w:rsid w:val="001E01CA"/>
    <w:rsid w:val="002005F7"/>
    <w:rsid w:val="00200653"/>
    <w:rsid w:val="0020139B"/>
    <w:rsid w:val="00201B71"/>
    <w:rsid w:val="00202F4C"/>
    <w:rsid w:val="0020453D"/>
    <w:rsid w:val="002060D9"/>
    <w:rsid w:val="00226822"/>
    <w:rsid w:val="00246A79"/>
    <w:rsid w:val="00260594"/>
    <w:rsid w:val="00262A4A"/>
    <w:rsid w:val="00285017"/>
    <w:rsid w:val="0028751F"/>
    <w:rsid w:val="002908C8"/>
    <w:rsid w:val="00294119"/>
    <w:rsid w:val="0029562D"/>
    <w:rsid w:val="002A2D2E"/>
    <w:rsid w:val="002B3E5B"/>
    <w:rsid w:val="002C0554"/>
    <w:rsid w:val="002C6C9C"/>
    <w:rsid w:val="002E2809"/>
    <w:rsid w:val="002F0090"/>
    <w:rsid w:val="002F4409"/>
    <w:rsid w:val="003037F1"/>
    <w:rsid w:val="00304612"/>
    <w:rsid w:val="00320A5E"/>
    <w:rsid w:val="00343749"/>
    <w:rsid w:val="00347892"/>
    <w:rsid w:val="00352050"/>
    <w:rsid w:val="00356AC8"/>
    <w:rsid w:val="00357D50"/>
    <w:rsid w:val="00366F59"/>
    <w:rsid w:val="003925DC"/>
    <w:rsid w:val="00394E6F"/>
    <w:rsid w:val="003A07DA"/>
    <w:rsid w:val="003B0550"/>
    <w:rsid w:val="003B136D"/>
    <w:rsid w:val="003B5310"/>
    <w:rsid w:val="003B694F"/>
    <w:rsid w:val="003C22B4"/>
    <w:rsid w:val="003C4484"/>
    <w:rsid w:val="003D0F22"/>
    <w:rsid w:val="003D4DC1"/>
    <w:rsid w:val="003D791C"/>
    <w:rsid w:val="003F171C"/>
    <w:rsid w:val="00402365"/>
    <w:rsid w:val="00412FC5"/>
    <w:rsid w:val="00422276"/>
    <w:rsid w:val="004242F1"/>
    <w:rsid w:val="004459A9"/>
    <w:rsid w:val="00445A00"/>
    <w:rsid w:val="00451B0F"/>
    <w:rsid w:val="0046125F"/>
    <w:rsid w:val="00471D57"/>
    <w:rsid w:val="00475FD8"/>
    <w:rsid w:val="00487524"/>
    <w:rsid w:val="00492B22"/>
    <w:rsid w:val="00496106"/>
    <w:rsid w:val="004C12D0"/>
    <w:rsid w:val="004C2EE3"/>
    <w:rsid w:val="004D4929"/>
    <w:rsid w:val="004D60BD"/>
    <w:rsid w:val="004D6273"/>
    <w:rsid w:val="004E1DDA"/>
    <w:rsid w:val="004E4A22"/>
    <w:rsid w:val="004E7567"/>
    <w:rsid w:val="004F6802"/>
    <w:rsid w:val="004F6E0D"/>
    <w:rsid w:val="0050255F"/>
    <w:rsid w:val="00511968"/>
    <w:rsid w:val="00534D66"/>
    <w:rsid w:val="00535B4F"/>
    <w:rsid w:val="005443EF"/>
    <w:rsid w:val="0055614C"/>
    <w:rsid w:val="0056260F"/>
    <w:rsid w:val="00573CC8"/>
    <w:rsid w:val="00580A9F"/>
    <w:rsid w:val="005C0517"/>
    <w:rsid w:val="005D2A02"/>
    <w:rsid w:val="00607BA5"/>
    <w:rsid w:val="00614D3D"/>
    <w:rsid w:val="00622B17"/>
    <w:rsid w:val="006242E5"/>
    <w:rsid w:val="00626EB6"/>
    <w:rsid w:val="006308FF"/>
    <w:rsid w:val="00634980"/>
    <w:rsid w:val="00634DF6"/>
    <w:rsid w:val="006353A3"/>
    <w:rsid w:val="0064696E"/>
    <w:rsid w:val="00655D03"/>
    <w:rsid w:val="00671DE9"/>
    <w:rsid w:val="00672DD5"/>
    <w:rsid w:val="0067573A"/>
    <w:rsid w:val="00683F84"/>
    <w:rsid w:val="00686E06"/>
    <w:rsid w:val="0069551B"/>
    <w:rsid w:val="006A6A81"/>
    <w:rsid w:val="006B5C01"/>
    <w:rsid w:val="006C3AB1"/>
    <w:rsid w:val="006C5342"/>
    <w:rsid w:val="006C6610"/>
    <w:rsid w:val="006D157E"/>
    <w:rsid w:val="006D52D1"/>
    <w:rsid w:val="006E26AF"/>
    <w:rsid w:val="006E7CB2"/>
    <w:rsid w:val="006F4F7F"/>
    <w:rsid w:val="006F7393"/>
    <w:rsid w:val="0070224F"/>
    <w:rsid w:val="00703844"/>
    <w:rsid w:val="00704224"/>
    <w:rsid w:val="007115F7"/>
    <w:rsid w:val="00722008"/>
    <w:rsid w:val="007370A1"/>
    <w:rsid w:val="00751C0E"/>
    <w:rsid w:val="00761FD0"/>
    <w:rsid w:val="00785689"/>
    <w:rsid w:val="0079754B"/>
    <w:rsid w:val="007A1E6D"/>
    <w:rsid w:val="007B6C3A"/>
    <w:rsid w:val="007B7802"/>
    <w:rsid w:val="007C7B8D"/>
    <w:rsid w:val="007F679E"/>
    <w:rsid w:val="00805502"/>
    <w:rsid w:val="00813843"/>
    <w:rsid w:val="00822CE0"/>
    <w:rsid w:val="00837C62"/>
    <w:rsid w:val="00841AB1"/>
    <w:rsid w:val="00842E91"/>
    <w:rsid w:val="00861D6F"/>
    <w:rsid w:val="00864FE4"/>
    <w:rsid w:val="00871E3C"/>
    <w:rsid w:val="008A6032"/>
    <w:rsid w:val="008B6239"/>
    <w:rsid w:val="008C22FD"/>
    <w:rsid w:val="008E2A38"/>
    <w:rsid w:val="008E758F"/>
    <w:rsid w:val="008F27ED"/>
    <w:rsid w:val="00910F12"/>
    <w:rsid w:val="00922B1B"/>
    <w:rsid w:val="00926503"/>
    <w:rsid w:val="00926BC8"/>
    <w:rsid w:val="00930ECF"/>
    <w:rsid w:val="0095628F"/>
    <w:rsid w:val="00963073"/>
    <w:rsid w:val="0096592D"/>
    <w:rsid w:val="009838BC"/>
    <w:rsid w:val="00985D77"/>
    <w:rsid w:val="009977B8"/>
    <w:rsid w:val="00997AD6"/>
    <w:rsid w:val="009A0DC9"/>
    <w:rsid w:val="009A1E99"/>
    <w:rsid w:val="009B2114"/>
    <w:rsid w:val="009B6EAE"/>
    <w:rsid w:val="009C4637"/>
    <w:rsid w:val="009C74F1"/>
    <w:rsid w:val="009D2070"/>
    <w:rsid w:val="009E1AA5"/>
    <w:rsid w:val="009E42B0"/>
    <w:rsid w:val="009F5ABE"/>
    <w:rsid w:val="00A033A6"/>
    <w:rsid w:val="00A07075"/>
    <w:rsid w:val="00A26DD2"/>
    <w:rsid w:val="00A368D3"/>
    <w:rsid w:val="00A45F4F"/>
    <w:rsid w:val="00A47F58"/>
    <w:rsid w:val="00A600A9"/>
    <w:rsid w:val="00A85781"/>
    <w:rsid w:val="00A866AC"/>
    <w:rsid w:val="00AA3367"/>
    <w:rsid w:val="00AA4A3E"/>
    <w:rsid w:val="00AA55B7"/>
    <w:rsid w:val="00AA5B9E"/>
    <w:rsid w:val="00AB2407"/>
    <w:rsid w:val="00AB53DF"/>
    <w:rsid w:val="00AF53A2"/>
    <w:rsid w:val="00B07E5C"/>
    <w:rsid w:val="00B1665D"/>
    <w:rsid w:val="00B326E3"/>
    <w:rsid w:val="00B40B60"/>
    <w:rsid w:val="00B42FDC"/>
    <w:rsid w:val="00B811F7"/>
    <w:rsid w:val="00B82244"/>
    <w:rsid w:val="00B86A2A"/>
    <w:rsid w:val="00B96952"/>
    <w:rsid w:val="00BA21CC"/>
    <w:rsid w:val="00BA5DC6"/>
    <w:rsid w:val="00BA6196"/>
    <w:rsid w:val="00BC4100"/>
    <w:rsid w:val="00BC6D8C"/>
    <w:rsid w:val="00BC6DF0"/>
    <w:rsid w:val="00BD011D"/>
    <w:rsid w:val="00BD44FA"/>
    <w:rsid w:val="00C1646D"/>
    <w:rsid w:val="00C16AF2"/>
    <w:rsid w:val="00C178C1"/>
    <w:rsid w:val="00C276E1"/>
    <w:rsid w:val="00C34006"/>
    <w:rsid w:val="00C426B1"/>
    <w:rsid w:val="00C47CCF"/>
    <w:rsid w:val="00C77D64"/>
    <w:rsid w:val="00C82B6B"/>
    <w:rsid w:val="00C90D6A"/>
    <w:rsid w:val="00C94662"/>
    <w:rsid w:val="00CB6FE9"/>
    <w:rsid w:val="00CC1075"/>
    <w:rsid w:val="00CC29BD"/>
    <w:rsid w:val="00CC72B6"/>
    <w:rsid w:val="00CD4954"/>
    <w:rsid w:val="00CD7B80"/>
    <w:rsid w:val="00CF187F"/>
    <w:rsid w:val="00CF30A9"/>
    <w:rsid w:val="00CF502F"/>
    <w:rsid w:val="00D0218D"/>
    <w:rsid w:val="00D07BD8"/>
    <w:rsid w:val="00D14884"/>
    <w:rsid w:val="00D216CD"/>
    <w:rsid w:val="00D25D00"/>
    <w:rsid w:val="00D34E77"/>
    <w:rsid w:val="00D40F38"/>
    <w:rsid w:val="00D41517"/>
    <w:rsid w:val="00D43769"/>
    <w:rsid w:val="00D510C6"/>
    <w:rsid w:val="00D80430"/>
    <w:rsid w:val="00D87164"/>
    <w:rsid w:val="00D902DA"/>
    <w:rsid w:val="00DA1CA8"/>
    <w:rsid w:val="00DA2529"/>
    <w:rsid w:val="00DA4C2C"/>
    <w:rsid w:val="00DA7B17"/>
    <w:rsid w:val="00DB0FBA"/>
    <w:rsid w:val="00DB130A"/>
    <w:rsid w:val="00DB4A21"/>
    <w:rsid w:val="00DC10A1"/>
    <w:rsid w:val="00DC5D6A"/>
    <w:rsid w:val="00DC655F"/>
    <w:rsid w:val="00DD5165"/>
    <w:rsid w:val="00DD7EBD"/>
    <w:rsid w:val="00DE0E93"/>
    <w:rsid w:val="00DE2983"/>
    <w:rsid w:val="00DF62B6"/>
    <w:rsid w:val="00DF7F52"/>
    <w:rsid w:val="00E07225"/>
    <w:rsid w:val="00E1019C"/>
    <w:rsid w:val="00E13972"/>
    <w:rsid w:val="00E155B7"/>
    <w:rsid w:val="00E21C65"/>
    <w:rsid w:val="00E234CD"/>
    <w:rsid w:val="00E32A1D"/>
    <w:rsid w:val="00E4034E"/>
    <w:rsid w:val="00E441B8"/>
    <w:rsid w:val="00E46609"/>
    <w:rsid w:val="00E530C5"/>
    <w:rsid w:val="00E5409F"/>
    <w:rsid w:val="00E64CC6"/>
    <w:rsid w:val="00E7527A"/>
    <w:rsid w:val="00E932E5"/>
    <w:rsid w:val="00E9433A"/>
    <w:rsid w:val="00EA585B"/>
    <w:rsid w:val="00EA6E81"/>
    <w:rsid w:val="00EC0185"/>
    <w:rsid w:val="00EC3AC6"/>
    <w:rsid w:val="00EC62B5"/>
    <w:rsid w:val="00ED48BD"/>
    <w:rsid w:val="00EF3370"/>
    <w:rsid w:val="00F00070"/>
    <w:rsid w:val="00F008AD"/>
    <w:rsid w:val="00F021FA"/>
    <w:rsid w:val="00F125E4"/>
    <w:rsid w:val="00F275EC"/>
    <w:rsid w:val="00F32483"/>
    <w:rsid w:val="00F464C3"/>
    <w:rsid w:val="00F467F2"/>
    <w:rsid w:val="00F47FDF"/>
    <w:rsid w:val="00F55C04"/>
    <w:rsid w:val="00F57ACA"/>
    <w:rsid w:val="00F6162F"/>
    <w:rsid w:val="00F62E97"/>
    <w:rsid w:val="00F64209"/>
    <w:rsid w:val="00F6709B"/>
    <w:rsid w:val="00F93BF5"/>
    <w:rsid w:val="00F96F63"/>
    <w:rsid w:val="00FA6E49"/>
    <w:rsid w:val="00FA790B"/>
    <w:rsid w:val="00FB71C2"/>
    <w:rsid w:val="00FC24E6"/>
    <w:rsid w:val="23FB2AC6"/>
    <w:rsid w:val="75BB02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9F31764"/>
  <w15:docId w15:val="{35472644-5212-4484-8C0B-AE13DE1E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91C"/>
    <w:rPr>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qFormat/>
    <w:rsid w:val="000E3D42"/>
    <w:pPr>
      <w:spacing w:after="120"/>
    </w:pPr>
    <w:rPr>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locked/>
    <w:rsid w:val="003D791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link w:val="Header"/>
    <w:uiPriority w:val="99"/>
    <w:semiHidden/>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10F12"/>
    <w:rPr>
      <w:kern w:val="28"/>
      <w:sz w:val="22"/>
    </w:rPr>
  </w:style>
  <w:style w:type="character" w:styleId="PageNumber">
    <w:name w:val="page number"/>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3D791C"/>
    <w:rPr>
      <w:sz w:val="22"/>
    </w:rPr>
  </w:style>
  <w:style w:type="paragraph" w:styleId="ListParagraph">
    <w:name w:val="List Paragraph"/>
    <w:basedOn w:val="Normal"/>
    <w:uiPriority w:val="34"/>
    <w:qFormat/>
    <w:rsid w:val="003D791C"/>
    <w:pPr>
      <w:ind w:left="720"/>
      <w:contextualSpacing/>
    </w:pPr>
  </w:style>
  <w:style w:type="character" w:styleId="CommentReference">
    <w:name w:val="annotation reference"/>
    <w:uiPriority w:val="99"/>
    <w:semiHidden/>
    <w:unhideWhenUsed/>
    <w:rsid w:val="001863D7"/>
    <w:rPr>
      <w:sz w:val="16"/>
    </w:rPr>
  </w:style>
  <w:style w:type="paragraph" w:styleId="CommentText">
    <w:name w:val="annotation text"/>
    <w:basedOn w:val="Normal"/>
    <w:link w:val="CommentTextChar"/>
    <w:uiPriority w:val="99"/>
    <w:unhideWhenUsed/>
    <w:rsid w:val="001863D7"/>
    <w:rPr>
      <w:sz w:val="20"/>
    </w:rPr>
  </w:style>
  <w:style w:type="character" w:customStyle="1" w:styleId="CommentTextChar">
    <w:name w:val="Comment Text Char"/>
    <w:link w:val="CommentText"/>
    <w:uiPriority w:val="99"/>
    <w:locked/>
    <w:rsid w:val="001863D7"/>
    <w:rPr>
      <w:rFonts w:cs="Times New Roman"/>
    </w:rPr>
  </w:style>
  <w:style w:type="paragraph" w:styleId="CommentSubject">
    <w:name w:val="annotation subject"/>
    <w:basedOn w:val="CommentText"/>
    <w:next w:val="CommentText"/>
    <w:link w:val="CommentSubjectChar"/>
    <w:uiPriority w:val="99"/>
    <w:semiHidden/>
    <w:unhideWhenUsed/>
    <w:rsid w:val="001863D7"/>
    <w:rPr>
      <w:b/>
      <w:bCs/>
    </w:rPr>
  </w:style>
  <w:style w:type="character" w:customStyle="1" w:styleId="CommentSubjectChar">
    <w:name w:val="Comment Subject Char"/>
    <w:link w:val="CommentSubject"/>
    <w:uiPriority w:val="99"/>
    <w:semiHidden/>
    <w:locked/>
    <w:rsid w:val="001863D7"/>
    <w:rPr>
      <w:rFonts w:cs="Times New Roman"/>
      <w:b/>
    </w:rPr>
  </w:style>
  <w:style w:type="paragraph" w:styleId="BalloonText">
    <w:name w:val="Balloon Text"/>
    <w:basedOn w:val="Normal"/>
    <w:link w:val="BalloonTextChar"/>
    <w:uiPriority w:val="99"/>
    <w:semiHidden/>
    <w:unhideWhenUsed/>
    <w:rsid w:val="001863D7"/>
    <w:rPr>
      <w:rFonts w:ascii="Segoe UI" w:hAnsi="Segoe UI" w:cs="Segoe UI"/>
      <w:sz w:val="18"/>
      <w:szCs w:val="18"/>
    </w:rPr>
  </w:style>
  <w:style w:type="character" w:customStyle="1" w:styleId="BalloonTextChar">
    <w:name w:val="Balloon Text Char"/>
    <w:link w:val="BalloonText"/>
    <w:uiPriority w:val="99"/>
    <w:semiHidden/>
    <w:locked/>
    <w:rsid w:val="001863D7"/>
    <w:rPr>
      <w:rFonts w:ascii="Segoe UI" w:hAnsi="Segoe UI"/>
      <w:sz w:val="18"/>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3 Char Char Char"/>
    <w:rsid w:val="00985D77"/>
    <w:rPr>
      <w:sz w:val="22"/>
    </w:rPr>
  </w:style>
  <w:style w:type="character" w:styleId="UnresolvedMention">
    <w:name w:val="Unresolved Mention"/>
    <w:uiPriority w:val="99"/>
    <w:semiHidden/>
    <w:unhideWhenUsed/>
    <w:rsid w:val="00F55C04"/>
    <w:rPr>
      <w:color w:val="605E5C"/>
      <w:shd w:val="clear" w:color="auto" w:fill="E1DFDD"/>
    </w:rPr>
  </w:style>
  <w:style w:type="character" w:styleId="FollowedHyperlink">
    <w:name w:val="FollowedHyperlink"/>
    <w:uiPriority w:val="99"/>
    <w:semiHidden/>
    <w:unhideWhenUsed/>
    <w:rsid w:val="00A47F58"/>
    <w:rPr>
      <w:color w:val="954F72"/>
      <w:u w:val="single"/>
    </w:rPr>
  </w:style>
  <w:style w:type="paragraph" w:styleId="Revision">
    <w:name w:val="Revision"/>
    <w:hidden/>
    <w:uiPriority w:val="99"/>
    <w:semiHidden/>
    <w:rsid w:val="005D2A02"/>
    <w:rPr>
      <w:sz w:val="22"/>
    </w:rPr>
  </w:style>
  <w:style w:type="character" w:customStyle="1" w:styleId="markedcontent">
    <w:name w:val="markedcontent"/>
    <w:basedOn w:val="DefaultParagraphFont"/>
    <w:rsid w:val="0084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regogry.kwa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