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206E3" w:rsidP="008206E3" w14:paraId="17B2C82C" w14:textId="77777777">
      <w:pPr>
        <w:jc w:val="center"/>
        <w:rPr>
          <w:b/>
        </w:rPr>
      </w:pPr>
      <w:r w:rsidRPr="0070224F">
        <w:rPr>
          <w:rFonts w:ascii="Times New Roman Bold" w:hAnsi="Times New Roman Bold"/>
          <w:b/>
          <w:kern w:val="0"/>
          <w:szCs w:val="22"/>
        </w:rPr>
        <w:t>Before</w:t>
      </w:r>
      <w:r>
        <w:rPr>
          <w:b/>
        </w:rPr>
        <w:t xml:space="preserve"> the</w:t>
      </w:r>
    </w:p>
    <w:p w:rsidR="008206E3" w:rsidP="008206E3" w14:paraId="40B5F63C" w14:textId="77777777">
      <w:pPr>
        <w:pStyle w:val="StyleBoldCentered"/>
      </w:pPr>
      <w:r>
        <w:t>F</w:t>
      </w:r>
      <w:r>
        <w:rPr>
          <w:caps w:val="0"/>
        </w:rPr>
        <w:t>ederal Communications Commission</w:t>
      </w:r>
    </w:p>
    <w:p w:rsidR="008206E3" w:rsidP="008206E3" w14:paraId="1FB422C2" w14:textId="77777777">
      <w:pPr>
        <w:pStyle w:val="StyleBoldCentered"/>
      </w:pPr>
      <w:r>
        <w:rPr>
          <w:caps w:val="0"/>
        </w:rPr>
        <w:t>Washington, D.C. 20554</w:t>
      </w:r>
    </w:p>
    <w:p w:rsidR="008206E3" w:rsidP="008206E3" w14:paraId="5CA6207A" w14:textId="77777777"/>
    <w:p w:rsidR="008206E3" w:rsidP="008206E3" w14:paraId="6C38C468" w14:textId="77777777"/>
    <w:tbl>
      <w:tblPr>
        <w:tblW w:w="0" w:type="auto"/>
        <w:tblLayout w:type="fixed"/>
        <w:tblLook w:val="0000"/>
      </w:tblPr>
      <w:tblGrid>
        <w:gridCol w:w="4698"/>
        <w:gridCol w:w="630"/>
        <w:gridCol w:w="4248"/>
      </w:tblGrid>
      <w:tr w14:paraId="066E65CC" w14:textId="77777777" w:rsidTr="00BB4441">
        <w:tblPrEx>
          <w:tblW w:w="0" w:type="auto"/>
          <w:tblLayout w:type="fixed"/>
          <w:tblLook w:val="0000"/>
        </w:tblPrEx>
        <w:tc>
          <w:tcPr>
            <w:tcW w:w="4698" w:type="dxa"/>
          </w:tcPr>
          <w:p w:rsidR="008206E3" w:rsidP="00BB4441" w14:paraId="58D3ACAF" w14:textId="77777777">
            <w:pPr>
              <w:tabs>
                <w:tab w:val="center" w:pos="4680"/>
              </w:tabs>
              <w:suppressAutoHyphens/>
              <w:rPr>
                <w:spacing w:val="-2"/>
              </w:rPr>
            </w:pPr>
            <w:r>
              <w:rPr>
                <w:spacing w:val="-2"/>
              </w:rPr>
              <w:t>In the Matter of</w:t>
            </w:r>
          </w:p>
          <w:p w:rsidR="008206E3" w:rsidP="00BB4441" w14:paraId="4B94ACC9" w14:textId="77777777">
            <w:pPr>
              <w:tabs>
                <w:tab w:val="center" w:pos="4680"/>
              </w:tabs>
              <w:suppressAutoHyphens/>
              <w:rPr>
                <w:spacing w:val="-2"/>
              </w:rPr>
            </w:pPr>
          </w:p>
          <w:p w:rsidR="008206E3" w:rsidRPr="007115F7" w:rsidP="00BB4441" w14:paraId="21B5747C" w14:textId="77777777">
            <w:pPr>
              <w:tabs>
                <w:tab w:val="center" w:pos="4680"/>
              </w:tabs>
              <w:suppressAutoHyphens/>
              <w:rPr>
                <w:spacing w:val="-2"/>
              </w:rPr>
            </w:pPr>
            <w:r>
              <w:rPr>
                <w:spacing w:val="-2"/>
              </w:rPr>
              <w:t>Termination of Certain Proceedings as Dormant</w:t>
            </w:r>
          </w:p>
        </w:tc>
        <w:tc>
          <w:tcPr>
            <w:tcW w:w="630" w:type="dxa"/>
          </w:tcPr>
          <w:p w:rsidR="008206E3" w:rsidP="00BB4441" w14:paraId="49428E3D" w14:textId="77777777">
            <w:pPr>
              <w:tabs>
                <w:tab w:val="center" w:pos="4680"/>
              </w:tabs>
              <w:suppressAutoHyphens/>
              <w:rPr>
                <w:b/>
                <w:spacing w:val="-2"/>
              </w:rPr>
            </w:pPr>
            <w:r>
              <w:rPr>
                <w:b/>
                <w:spacing w:val="-2"/>
              </w:rPr>
              <w:t>)</w:t>
            </w:r>
          </w:p>
          <w:p w:rsidR="008206E3" w:rsidP="00BB4441" w14:paraId="1957A828" w14:textId="77777777">
            <w:pPr>
              <w:tabs>
                <w:tab w:val="center" w:pos="4680"/>
              </w:tabs>
              <w:suppressAutoHyphens/>
              <w:rPr>
                <w:b/>
                <w:spacing w:val="-2"/>
              </w:rPr>
            </w:pPr>
            <w:r>
              <w:rPr>
                <w:b/>
                <w:spacing w:val="-2"/>
              </w:rPr>
              <w:t>)</w:t>
            </w:r>
          </w:p>
          <w:p w:rsidR="008206E3" w:rsidP="00BB4441" w14:paraId="52DAD2E2" w14:textId="77777777">
            <w:pPr>
              <w:tabs>
                <w:tab w:val="center" w:pos="4680"/>
              </w:tabs>
              <w:suppressAutoHyphens/>
              <w:rPr>
                <w:b/>
                <w:spacing w:val="-2"/>
              </w:rPr>
            </w:pPr>
            <w:r>
              <w:rPr>
                <w:b/>
                <w:spacing w:val="-2"/>
              </w:rPr>
              <w:t>)</w:t>
            </w:r>
          </w:p>
          <w:p w:rsidR="008206E3" w:rsidRPr="00283C54" w:rsidP="00BB4441" w14:paraId="2FD90577" w14:textId="77777777">
            <w:pPr>
              <w:tabs>
                <w:tab w:val="center" w:pos="4680"/>
              </w:tabs>
              <w:suppressAutoHyphens/>
              <w:rPr>
                <w:b/>
                <w:spacing w:val="-2"/>
              </w:rPr>
            </w:pPr>
          </w:p>
        </w:tc>
        <w:tc>
          <w:tcPr>
            <w:tcW w:w="4248" w:type="dxa"/>
          </w:tcPr>
          <w:p w:rsidR="008206E3" w:rsidRPr="00DB2F15" w:rsidP="00BB4441" w14:paraId="33B36625" w14:textId="77777777">
            <w:pPr>
              <w:tabs>
                <w:tab w:val="center" w:pos="4680"/>
              </w:tabs>
              <w:suppressAutoHyphens/>
              <w:rPr>
                <w:spacing w:val="-2"/>
              </w:rPr>
            </w:pPr>
          </w:p>
          <w:p w:rsidR="008206E3" w:rsidRPr="00DB2F15" w:rsidP="00BB4441" w14:paraId="046270F6" w14:textId="77777777">
            <w:pPr>
              <w:pStyle w:val="TOAHeading"/>
              <w:tabs>
                <w:tab w:val="center" w:pos="4680"/>
                <w:tab w:val="clear" w:pos="9360"/>
              </w:tabs>
              <w:rPr>
                <w:spacing w:val="-2"/>
              </w:rPr>
            </w:pPr>
          </w:p>
          <w:p w:rsidR="008206E3" w:rsidRPr="00DB2F15" w:rsidP="00BB4441" w14:paraId="4F9446D6" w14:textId="12E99DE3">
            <w:pPr>
              <w:tabs>
                <w:tab w:val="center" w:pos="4680"/>
              </w:tabs>
              <w:suppressAutoHyphens/>
              <w:rPr>
                <w:spacing w:val="-2"/>
              </w:rPr>
            </w:pPr>
            <w:r w:rsidRPr="00DB2F15">
              <w:rPr>
                <w:spacing w:val="-2"/>
              </w:rPr>
              <w:t xml:space="preserve">CG Docket No. </w:t>
            </w:r>
            <w:r w:rsidRPr="00DB2F15" w:rsidR="00DB2F15">
              <w:rPr>
                <w:spacing w:val="-2"/>
              </w:rPr>
              <w:t>2</w:t>
            </w:r>
            <w:r w:rsidR="00977A0D">
              <w:rPr>
                <w:spacing w:val="-2"/>
              </w:rPr>
              <w:t>5</w:t>
            </w:r>
            <w:r w:rsidRPr="00DB2F15">
              <w:rPr>
                <w:spacing w:val="-2"/>
              </w:rPr>
              <w:t>-</w:t>
            </w:r>
            <w:r w:rsidR="00C904F2">
              <w:rPr>
                <w:spacing w:val="-2"/>
              </w:rPr>
              <w:t>165</w:t>
            </w:r>
          </w:p>
        </w:tc>
      </w:tr>
    </w:tbl>
    <w:p w:rsidR="008206E3" w:rsidP="008206E3" w14:paraId="544405B8" w14:textId="77777777"/>
    <w:p w:rsidR="008206E3" w:rsidP="008206E3" w14:paraId="509C500A" w14:textId="77777777">
      <w:pPr>
        <w:pStyle w:val="StyleBoldCentered"/>
      </w:pPr>
      <w:r>
        <w:t>ORDER</w:t>
      </w:r>
    </w:p>
    <w:p w:rsidR="008206E3" w:rsidP="008206E3" w14:paraId="17B77490" w14:textId="77777777">
      <w:pPr>
        <w:tabs>
          <w:tab w:val="left" w:pos="-720"/>
        </w:tabs>
        <w:suppressAutoHyphens/>
        <w:spacing w:line="227" w:lineRule="auto"/>
        <w:rPr>
          <w:spacing w:val="-2"/>
        </w:rPr>
      </w:pPr>
    </w:p>
    <w:p w:rsidR="008206E3" w:rsidP="008206E3" w14:paraId="73FF857C" w14:textId="7F7211F8">
      <w:pPr>
        <w:tabs>
          <w:tab w:val="left" w:pos="720"/>
          <w:tab w:val="right" w:pos="9360"/>
        </w:tabs>
        <w:suppressAutoHyphens/>
        <w:spacing w:line="227" w:lineRule="auto"/>
        <w:rPr>
          <w:spacing w:val="-2"/>
        </w:rPr>
      </w:pPr>
      <w:r w:rsidRPr="0048545D">
        <w:rPr>
          <w:b/>
          <w:spacing w:val="-2"/>
        </w:rPr>
        <w:t xml:space="preserve">Adopted:  </w:t>
      </w:r>
      <w:r w:rsidRPr="0048545D" w:rsidR="00D771D6">
        <w:rPr>
          <w:b/>
          <w:spacing w:val="-2"/>
        </w:rPr>
        <w:t xml:space="preserve"> </w:t>
      </w:r>
      <w:r w:rsidRPr="0048545D" w:rsidR="0048545D">
        <w:rPr>
          <w:b/>
          <w:spacing w:val="-2"/>
        </w:rPr>
        <w:t>December 3, 2025</w:t>
      </w:r>
      <w:r>
        <w:rPr>
          <w:b/>
          <w:spacing w:val="-2"/>
        </w:rPr>
        <w:tab/>
        <w:t xml:space="preserve">Released:  </w:t>
      </w:r>
      <w:r w:rsidR="0048545D">
        <w:rPr>
          <w:b/>
          <w:spacing w:val="-2"/>
        </w:rPr>
        <w:t>December 3, 2025</w:t>
      </w:r>
    </w:p>
    <w:p w:rsidR="008206E3" w:rsidP="003E56CB" w14:paraId="2CB0E9B3" w14:textId="5ED21C56">
      <w:pPr>
        <w:tabs>
          <w:tab w:val="left" w:pos="2179"/>
        </w:tabs>
      </w:pPr>
      <w:r>
        <w:tab/>
      </w:r>
    </w:p>
    <w:p w:rsidR="008206E3" w:rsidP="008206E3" w14:paraId="61207BF7" w14:textId="547BE8CD">
      <w:pPr>
        <w:rPr>
          <w:spacing w:val="-2"/>
        </w:rPr>
      </w:pPr>
      <w:r>
        <w:t xml:space="preserve">By the </w:t>
      </w:r>
      <w:r>
        <w:rPr>
          <w:spacing w:val="-2"/>
        </w:rPr>
        <w:t>Chief, Consumer &amp; Governmental Affairs Bureau:</w:t>
      </w:r>
    </w:p>
    <w:p w:rsidR="008206E3" w:rsidP="008206E3" w14:paraId="36408E12" w14:textId="77777777"/>
    <w:p w:rsidR="008206E3" w:rsidP="003A468C" w14:paraId="65970C1F" w14:textId="77777777">
      <w:pPr>
        <w:pStyle w:val="Heading1"/>
      </w:pPr>
      <w:r>
        <w:t>INTRODUCTION</w:t>
      </w:r>
    </w:p>
    <w:p w:rsidR="008206E3" w:rsidRPr="007C0A30" w:rsidP="00921083" w14:paraId="6EB8FB51" w14:textId="5A0E21CD">
      <w:pPr>
        <w:pStyle w:val="ParaNum"/>
      </w:pPr>
      <w:r>
        <w:t xml:space="preserve">By this Order, the Consumer &amp; Governmental Affairs Bureau (CGB) terminates, as dormant, the </w:t>
      </w:r>
      <w:r w:rsidRPr="007C0A30" w:rsidR="00032895">
        <w:t>2,04</w:t>
      </w:r>
      <w:r w:rsidRPr="007C0A30" w:rsidR="00CC3364">
        <w:t>8</w:t>
      </w:r>
      <w:r w:rsidRPr="007C0A30" w:rsidR="00A424C5">
        <w:t xml:space="preserve"> </w:t>
      </w:r>
      <w:r w:rsidRPr="007C0A30">
        <w:t>proceedings listed on the Attachment hereto.</w:t>
      </w:r>
      <w:r>
        <w:rPr>
          <w:rStyle w:val="FootnoteReference"/>
        </w:rPr>
        <w:footnoteReference w:id="3"/>
      </w:r>
      <w:r w:rsidRPr="007C0A30">
        <w:t xml:space="preserve">  We believe that </w:t>
      </w:r>
      <w:r w:rsidRPr="007C0A30" w:rsidR="00114E1D">
        <w:t xml:space="preserve">terminating </w:t>
      </w:r>
      <w:r w:rsidRPr="007C0A30">
        <w:t>these proceedings furthers the Commission’s goals of increasing decision-making</w:t>
      </w:r>
      <w:r w:rsidRPr="007C0A30" w:rsidR="00E06E19">
        <w:t xml:space="preserve"> efficiency</w:t>
      </w:r>
      <w:r w:rsidRPr="007C0A30">
        <w:t xml:space="preserve">, modernizing agency processes in the digital age, and enhancing openness and transparency for </w:t>
      </w:r>
      <w:r w:rsidRPr="007C0A30" w:rsidR="000E2277">
        <w:t xml:space="preserve">both </w:t>
      </w:r>
      <w:r w:rsidRPr="007C0A30">
        <w:t xml:space="preserve">practitioners and the public.  In addition, </w:t>
      </w:r>
      <w:r w:rsidRPr="007C0A30" w:rsidR="008A2D67">
        <w:t>based on</w:t>
      </w:r>
      <w:r w:rsidRPr="007C0A30">
        <w:t xml:space="preserve"> further evaluation, we </w:t>
      </w:r>
      <w:r w:rsidRPr="007C0A30" w:rsidR="00B74FB9">
        <w:t>decline to</w:t>
      </w:r>
      <w:r w:rsidRPr="007C0A30" w:rsidR="00853178">
        <w:t xml:space="preserve"> terminate</w:t>
      </w:r>
      <w:r w:rsidRPr="007C0A30">
        <w:t xml:space="preserve"> </w:t>
      </w:r>
      <w:r w:rsidRPr="007C0A30" w:rsidR="00413700">
        <w:t>nine</w:t>
      </w:r>
      <w:r w:rsidRPr="007C0A30" w:rsidR="009E47E9">
        <w:t xml:space="preserve"> </w:t>
      </w:r>
      <w:r w:rsidRPr="007C0A30">
        <w:t xml:space="preserve">proceedings included in the </w:t>
      </w:r>
      <w:r w:rsidRPr="007C0A30" w:rsidR="00C904F2">
        <w:rPr>
          <w:i/>
        </w:rPr>
        <w:t>Ninth</w:t>
      </w:r>
      <w:r w:rsidRPr="007C0A30">
        <w:rPr>
          <w:i/>
        </w:rPr>
        <w:t xml:space="preserve"> Dormant Proceedings Termination Public Notice</w:t>
      </w:r>
      <w:r w:rsidRPr="007C0A30">
        <w:t>.</w:t>
      </w:r>
      <w:r>
        <w:rPr>
          <w:rStyle w:val="FootnoteReference"/>
        </w:rPr>
        <w:footnoteReference w:id="4"/>
      </w:r>
    </w:p>
    <w:p w:rsidR="008206E3" w:rsidRPr="007C0A30" w:rsidP="003A468C" w14:paraId="498E4E82" w14:textId="77777777">
      <w:pPr>
        <w:pStyle w:val="Heading1"/>
      </w:pPr>
      <w:r w:rsidRPr="007C0A30">
        <w:t>Background</w:t>
      </w:r>
    </w:p>
    <w:p w:rsidR="008206E3" w:rsidRPr="007C0A30" w:rsidP="00921083" w14:paraId="7366A345" w14:textId="6C07F876">
      <w:pPr>
        <w:pStyle w:val="ParaNum"/>
      </w:pPr>
      <w:r w:rsidRPr="007C0A30">
        <w:t xml:space="preserve">On February 4, 2011, the Commission released a Report and Order that, </w:t>
      </w:r>
      <w:r w:rsidRPr="007C0A30">
        <w:rPr>
          <w:i/>
          <w:iCs/>
        </w:rPr>
        <w:t>inter alia</w:t>
      </w:r>
      <w:r w:rsidRPr="007C0A30">
        <w:t xml:space="preserve">, amended </w:t>
      </w:r>
      <w:r w:rsidRPr="007C0A30" w:rsidR="00307050">
        <w:t>s</w:t>
      </w:r>
      <w:r w:rsidRPr="007C0A30">
        <w:t>ection 0.141 of the Commission’s organizational rules to delegate authority to the Chief of CGB</w:t>
      </w:r>
      <w:r w:rsidRPr="007C0A30" w:rsidR="00B44466">
        <w:t xml:space="preserve">, </w:t>
      </w:r>
      <w:r w:rsidRPr="007C0A30" w:rsidR="00543DF0">
        <w:t>in coordination with the responsible Bureaus and Offices,</w:t>
      </w:r>
      <w:r w:rsidRPr="007C0A30">
        <w:t xml:space="preserve"> to conduct periodic review of all open dockets with the objective of terminating those that were inactive.</w:t>
      </w:r>
      <w:r>
        <w:rPr>
          <w:rStyle w:val="FootnoteReference"/>
          <w:sz w:val="22"/>
          <w:szCs w:val="22"/>
        </w:rPr>
        <w:footnoteReference w:id="5"/>
      </w:r>
      <w:r w:rsidRPr="007C0A30">
        <w:t xml:space="preserve">  The Commission stated that termination of such proceedings also </w:t>
      </w:r>
      <w:r w:rsidRPr="007C0A30" w:rsidR="007E0CB3">
        <w:t>will be considered to</w:t>
      </w:r>
      <w:r w:rsidRPr="007C0A30">
        <w:t xml:space="preserve"> include the dismissal as moot of any pending petition, motion, or other request for relief in the terminated proceeding that </w:t>
      </w:r>
      <w:r w:rsidRPr="007C0A30" w:rsidR="00C475BA">
        <w:t>is</w:t>
      </w:r>
      <w:r w:rsidRPr="007C0A30">
        <w:t xml:space="preserve"> procedural in nature or otherwise </w:t>
      </w:r>
      <w:r w:rsidRPr="007C0A30" w:rsidR="00C475BA">
        <w:t>does</w:t>
      </w:r>
      <w:r w:rsidRPr="007C0A30">
        <w:t xml:space="preserve"> not address the merits of the proceeding.</w:t>
      </w:r>
      <w:r>
        <w:rPr>
          <w:rStyle w:val="FootnoteReference"/>
          <w:sz w:val="22"/>
          <w:szCs w:val="22"/>
        </w:rPr>
        <w:footnoteReference w:id="6"/>
      </w:r>
      <w:r w:rsidRPr="007C0A30">
        <w:t xml:space="preserve">  </w:t>
      </w:r>
      <w:r w:rsidRPr="007C0A30" w:rsidR="005A3557">
        <w:t xml:space="preserve">Since then, </w:t>
      </w:r>
      <w:r w:rsidRPr="007C0A30" w:rsidR="004C4E0E">
        <w:t>CGB</w:t>
      </w:r>
      <w:r w:rsidRPr="007C0A30" w:rsidR="005A3557">
        <w:t xml:space="preserve"> has adopted a series of public notices and related orders, closing </w:t>
      </w:r>
      <w:r w:rsidRPr="007C0A30" w:rsidR="000008C1">
        <w:t>thousands</w:t>
      </w:r>
      <w:r w:rsidRPr="007C0A30" w:rsidR="005A3557">
        <w:t xml:space="preserve"> of dormant proceedings.</w:t>
      </w:r>
      <w:r>
        <w:rPr>
          <w:rStyle w:val="FootnoteReference"/>
          <w:szCs w:val="22"/>
        </w:rPr>
        <w:footnoteReference w:id="7"/>
      </w:r>
      <w:r w:rsidRPr="007C0A30" w:rsidR="005A3557">
        <w:t xml:space="preserve">  </w:t>
      </w:r>
    </w:p>
    <w:p w:rsidR="008206E3" w:rsidRPr="007C0A30" w:rsidP="00921083" w14:paraId="67D065BE" w14:textId="646D0DFA">
      <w:pPr>
        <w:pStyle w:val="ParaNum"/>
        <w:widowControl/>
      </w:pPr>
      <w:r w:rsidRPr="007C0A30">
        <w:t xml:space="preserve">On </w:t>
      </w:r>
      <w:r w:rsidRPr="007C0A30" w:rsidR="00387544">
        <w:t>May</w:t>
      </w:r>
      <w:r w:rsidRPr="007C0A30">
        <w:t xml:space="preserve"> </w:t>
      </w:r>
      <w:r w:rsidRPr="007C0A30" w:rsidR="00807C36">
        <w:t>2</w:t>
      </w:r>
      <w:r w:rsidRPr="007C0A30">
        <w:t>, 20</w:t>
      </w:r>
      <w:r w:rsidRPr="007C0A30" w:rsidR="00807C36">
        <w:t>2</w:t>
      </w:r>
      <w:r w:rsidRPr="007C0A30" w:rsidR="00387544">
        <w:t>5</w:t>
      </w:r>
      <w:r w:rsidRPr="007C0A30">
        <w:t xml:space="preserve">, CGB released the </w:t>
      </w:r>
      <w:r w:rsidRPr="007C0A30" w:rsidR="00387544">
        <w:rPr>
          <w:i/>
          <w:iCs/>
        </w:rPr>
        <w:t>Ninth</w:t>
      </w:r>
      <w:r w:rsidRPr="007C0A30">
        <w:rPr>
          <w:i/>
          <w:iCs/>
        </w:rPr>
        <w:t xml:space="preserve"> Dormant Proceedings Termination Public Notice </w:t>
      </w:r>
      <w:r w:rsidRPr="007C0A30">
        <w:t>with comments and reply comments due 30 and 45 days after date of publication in the Federal Register.</w:t>
      </w:r>
      <w:r>
        <w:rPr>
          <w:rStyle w:val="FootnoteReference"/>
        </w:rPr>
        <w:footnoteReference w:id="8"/>
      </w:r>
      <w:r w:rsidRPr="007C0A30">
        <w:t xml:space="preserve">  </w:t>
      </w:r>
      <w:r w:rsidRPr="007C0A30" w:rsidR="00846927">
        <w:t>On Ju</w:t>
      </w:r>
      <w:r w:rsidRPr="007C0A30" w:rsidR="00FE6ECF">
        <w:t>ne 9</w:t>
      </w:r>
      <w:r w:rsidRPr="007C0A30" w:rsidR="00846927">
        <w:t>, 202</w:t>
      </w:r>
      <w:r w:rsidRPr="007C0A30" w:rsidR="00FE6ECF">
        <w:t>5</w:t>
      </w:r>
      <w:r w:rsidRPr="007C0A30" w:rsidR="00846927">
        <w:t xml:space="preserve">, the Federal Register published </w:t>
      </w:r>
      <w:r w:rsidRPr="007C0A30" w:rsidR="002C4743">
        <w:t xml:space="preserve">the </w:t>
      </w:r>
      <w:r w:rsidRPr="007C0A30" w:rsidR="00FE6ECF">
        <w:rPr>
          <w:i/>
          <w:iCs/>
        </w:rPr>
        <w:t>Ninth</w:t>
      </w:r>
      <w:r w:rsidRPr="007C0A30" w:rsidR="002C4743">
        <w:rPr>
          <w:i/>
          <w:iCs/>
        </w:rPr>
        <w:t xml:space="preserve"> Dormant Proceedings Termination Public Notice</w:t>
      </w:r>
      <w:r w:rsidRPr="007C0A30" w:rsidR="002C4743">
        <w:t>.</w:t>
      </w:r>
      <w:r>
        <w:rPr>
          <w:rStyle w:val="FootnoteReference"/>
        </w:rPr>
        <w:footnoteReference w:id="9"/>
      </w:r>
      <w:r w:rsidRPr="007C0A30" w:rsidR="002C4743">
        <w:t xml:space="preserve">  </w:t>
      </w:r>
      <w:r w:rsidRPr="007C0A30" w:rsidR="0049476D">
        <w:t>C</w:t>
      </w:r>
      <w:r w:rsidRPr="007C0A30" w:rsidR="002C4743">
        <w:t xml:space="preserve">omments were due </w:t>
      </w:r>
      <w:r w:rsidRPr="007C0A30" w:rsidR="00CC4541">
        <w:t xml:space="preserve">on </w:t>
      </w:r>
      <w:r w:rsidRPr="007C0A30" w:rsidR="00FE6ECF">
        <w:t>July</w:t>
      </w:r>
      <w:r w:rsidRPr="007C0A30" w:rsidR="00CC4541">
        <w:t xml:space="preserve"> </w:t>
      </w:r>
      <w:r w:rsidRPr="007C0A30" w:rsidR="00CE4AD2">
        <w:t>9</w:t>
      </w:r>
      <w:r w:rsidRPr="007C0A30">
        <w:t xml:space="preserve">, </w:t>
      </w:r>
      <w:r w:rsidRPr="007C0A30" w:rsidR="00A45DA0">
        <w:t>202</w:t>
      </w:r>
      <w:r w:rsidRPr="007C0A30" w:rsidR="00CE4AD2">
        <w:t>5</w:t>
      </w:r>
      <w:r w:rsidRPr="007C0A30" w:rsidR="00DC404B">
        <w:t>,</w:t>
      </w:r>
      <w:r w:rsidRPr="007C0A30">
        <w:t xml:space="preserve"> and </w:t>
      </w:r>
      <w:r w:rsidRPr="007C0A30" w:rsidR="002C4743">
        <w:t xml:space="preserve">reply comments were due on </w:t>
      </w:r>
      <w:r w:rsidRPr="007C0A30" w:rsidR="00CE4AD2">
        <w:t>July</w:t>
      </w:r>
      <w:r w:rsidRPr="007C0A30" w:rsidR="00CC4541">
        <w:t xml:space="preserve"> </w:t>
      </w:r>
      <w:r w:rsidRPr="007C0A30" w:rsidR="00CE4AD2">
        <w:t>24</w:t>
      </w:r>
      <w:r w:rsidRPr="007C0A30" w:rsidR="00CC4541">
        <w:t>, 202</w:t>
      </w:r>
      <w:r w:rsidRPr="007C0A30" w:rsidR="00CE4AD2">
        <w:t>5</w:t>
      </w:r>
      <w:r w:rsidRPr="007C0A30" w:rsidR="002C4743">
        <w:t>.</w:t>
      </w:r>
      <w:r>
        <w:rPr>
          <w:rStyle w:val="FootnoteReference"/>
        </w:rPr>
        <w:footnoteReference w:id="10"/>
      </w:r>
      <w:r w:rsidRPr="007C0A30">
        <w:t xml:space="preserve">  </w:t>
      </w:r>
      <w:r w:rsidRPr="007C0A30" w:rsidR="00280FA7">
        <w:t xml:space="preserve">We received 15 comments in </w:t>
      </w:r>
      <w:r w:rsidRPr="007C0A30">
        <w:t xml:space="preserve">response to the </w:t>
      </w:r>
      <w:r w:rsidRPr="007C0A30" w:rsidR="00CE4AD2">
        <w:rPr>
          <w:i/>
          <w:iCs/>
        </w:rPr>
        <w:t>Ninth</w:t>
      </w:r>
      <w:r w:rsidRPr="007C0A30">
        <w:rPr>
          <w:i/>
          <w:iCs/>
        </w:rPr>
        <w:t xml:space="preserve"> Dormant Proceedings Termination Public Notice</w:t>
      </w:r>
      <w:r w:rsidRPr="007C0A30">
        <w:t>.</w:t>
      </w:r>
      <w:r>
        <w:rPr>
          <w:rStyle w:val="FootnoteReference"/>
        </w:rPr>
        <w:footnoteReference w:id="11"/>
      </w:r>
    </w:p>
    <w:p w:rsidR="008206E3" w:rsidRPr="007C0A30" w:rsidP="003A468C" w14:paraId="40DC0596" w14:textId="4E0E000B">
      <w:pPr>
        <w:pStyle w:val="Heading1"/>
      </w:pPr>
      <w:r w:rsidRPr="007C0A30">
        <w:t>discussion</w:t>
      </w:r>
    </w:p>
    <w:p w:rsidR="00F25F94" w:rsidP="00921083" w14:paraId="246F68AE" w14:textId="7C489DC8">
      <w:pPr>
        <w:pStyle w:val="ParaNum"/>
      </w:pPr>
      <w:r w:rsidRPr="007C0A30">
        <w:t xml:space="preserve">Based on our review of the record received in response to the </w:t>
      </w:r>
      <w:r w:rsidRPr="007C0A30" w:rsidR="00CE4AD2">
        <w:rPr>
          <w:i/>
        </w:rPr>
        <w:t>Ninth</w:t>
      </w:r>
      <w:r w:rsidRPr="007C0A30">
        <w:rPr>
          <w:i/>
        </w:rPr>
        <w:t xml:space="preserve"> Dormant Proceedings Termination Public Notice</w:t>
      </w:r>
      <w:r w:rsidRPr="007C0A30">
        <w:t xml:space="preserve">, we terminate the </w:t>
      </w:r>
      <w:r w:rsidRPr="007C0A30" w:rsidR="00032895">
        <w:t>2,04</w:t>
      </w:r>
      <w:r w:rsidRPr="007C0A30" w:rsidR="006A22CD">
        <w:t>8</w:t>
      </w:r>
      <w:r w:rsidRPr="007C0A30" w:rsidR="002A6D0B">
        <w:t xml:space="preserve"> </w:t>
      </w:r>
      <w:r w:rsidRPr="007C0A30">
        <w:t>proceedings listed in the attachment to this Order</w:t>
      </w:r>
      <w:r>
        <w:rPr>
          <w:vertAlign w:val="superscript"/>
        </w:rPr>
        <w:footnoteReference w:id="12"/>
      </w:r>
      <w:r w:rsidRPr="007C0A30">
        <w:t xml:space="preserve"> and leave open </w:t>
      </w:r>
      <w:r w:rsidRPr="007C0A30" w:rsidR="006A22CD">
        <w:t>nine</w:t>
      </w:r>
      <w:r w:rsidRPr="007C0A30" w:rsidR="00945AA3">
        <w:t xml:space="preserve"> </w:t>
      </w:r>
      <w:r w:rsidRPr="007C0A30">
        <w:t xml:space="preserve">proceedings that had been listed in </w:t>
      </w:r>
      <w:r w:rsidRPr="007C0A30" w:rsidR="000B140F">
        <w:t xml:space="preserve">the </w:t>
      </w:r>
      <w:r w:rsidRPr="007C0A30">
        <w:t xml:space="preserve">Attachment to the </w:t>
      </w:r>
      <w:r w:rsidRPr="007C0A30" w:rsidR="00CE4AD2">
        <w:rPr>
          <w:i/>
        </w:rPr>
        <w:t>Ninth</w:t>
      </w:r>
      <w:r w:rsidRPr="007C0A30">
        <w:rPr>
          <w:i/>
        </w:rPr>
        <w:t xml:space="preserve"> Dormant Proceedings Termination Public Notice</w:t>
      </w:r>
      <w:r w:rsidRPr="007C0A30">
        <w:t>.</w:t>
      </w:r>
      <w:r>
        <w:rPr>
          <w:rStyle w:val="FootnoteReference"/>
        </w:rPr>
        <w:footnoteReference w:id="13"/>
      </w:r>
      <w:r w:rsidRPr="007C0A30">
        <w:t xml:space="preserve"> </w:t>
      </w:r>
      <w:r w:rsidRPr="007C0A30" w:rsidR="00445347">
        <w:t xml:space="preserve"> </w:t>
      </w:r>
      <w:r w:rsidRPr="007C0A30" w:rsidR="002712D1">
        <w:t>Listed below are the</w:t>
      </w:r>
      <w:r w:rsidRPr="007C0A30" w:rsidR="000C17D2">
        <w:t xml:space="preserve"> </w:t>
      </w:r>
      <w:r w:rsidRPr="007C0A30" w:rsidR="006A22CD">
        <w:t>nine</w:t>
      </w:r>
      <w:r w:rsidRPr="007C0A30" w:rsidR="000C17D2">
        <w:t xml:space="preserve"> dockets that we find cause to keep open.  </w:t>
      </w:r>
      <w:r w:rsidRPr="007C0A30" w:rsidR="004F14EC">
        <w:t>Finally, we decline to terminate three additional dockets</w:t>
      </w:r>
      <w:r w:rsidR="004F14EC">
        <w:t xml:space="preserve"> proposed for termination by commenters.</w:t>
      </w:r>
    </w:p>
    <w:p w:rsidR="00E85A4E" w:rsidP="00921083" w14:paraId="5432A664" w14:textId="28AEC1C9">
      <w:pPr>
        <w:pStyle w:val="ParaNum"/>
      </w:pPr>
      <w:r>
        <w:rPr>
          <w:b/>
          <w:bCs/>
          <w:i/>
          <w:iCs/>
        </w:rPr>
        <w:t>Dockets Listed in Ninth Dormant Proceedings Termination Public Notice that Will Not Be Terminated</w:t>
      </w:r>
      <w:r w:rsidR="00B85F11">
        <w:rPr>
          <w:b/>
          <w:bCs/>
          <w:i/>
          <w:iCs/>
        </w:rPr>
        <w:t xml:space="preserve">.  </w:t>
      </w:r>
      <w:r w:rsidR="007A40FC">
        <w:t>After consultation with relevant bureaus</w:t>
      </w:r>
      <w:r w:rsidR="00753887">
        <w:t xml:space="preserve">, we find that the following </w:t>
      </w:r>
      <w:r w:rsidR="006A22CD">
        <w:t>nine</w:t>
      </w:r>
      <w:r w:rsidR="00753887">
        <w:t xml:space="preserve"> proceedings are not good candidates for termination under delegated authority at this time</w:t>
      </w:r>
      <w:r w:rsidR="002E1F29">
        <w:t>:</w:t>
      </w:r>
    </w:p>
    <w:p w:rsidR="00D96D9B" w:rsidP="00D96D9B" w14:paraId="727B2CBF" w14:textId="1B181755">
      <w:pPr>
        <w:pStyle w:val="ParaNum"/>
        <w:numPr>
          <w:ilvl w:val="0"/>
          <w:numId w:val="10"/>
        </w:numPr>
      </w:pPr>
      <w:r w:rsidRPr="006A46AB">
        <w:t>OET Seeks Comment on Geophysical Survey Systems, Inc. Request for Waiver of Certain Part 15 Ultra-Wideband (UWB) Rules (ET Docket No. 19-155)</w:t>
      </w:r>
      <w:r>
        <w:rPr>
          <w:rStyle w:val="FootnoteReference"/>
        </w:rPr>
        <w:footnoteReference w:id="14"/>
      </w:r>
      <w:r w:rsidRPr="006A46AB">
        <w:t xml:space="preserve">  </w:t>
      </w:r>
    </w:p>
    <w:p w:rsidR="006308D5" w:rsidRPr="006308D5" w:rsidP="00D96D9B" w14:paraId="2DFF33A1" w14:textId="03AA3F8A">
      <w:pPr>
        <w:pStyle w:val="ParaNum"/>
        <w:numPr>
          <w:ilvl w:val="0"/>
          <w:numId w:val="10"/>
        </w:numPr>
      </w:pPr>
      <w:r w:rsidRPr="006308D5">
        <w:t>Amendment of Parts 2, 15, 80, 90, 97, and 101 of the Commission's Rules Regarding Implementation of the Final Acts of the World Radiocommunication Conference (Geneva, 2012) (WRC-12), Other Allocation Issues, and Related Rule Updates (ET Docket No. 15-99)</w:t>
      </w:r>
      <w:r>
        <w:rPr>
          <w:vertAlign w:val="superscript"/>
        </w:rPr>
        <w:footnoteReference w:id="15"/>
      </w:r>
      <w:r w:rsidRPr="006308D5">
        <w:t xml:space="preserve">  </w:t>
      </w:r>
    </w:p>
    <w:p w:rsidR="00A072A1" w:rsidP="00D96D9B" w14:paraId="2F2DE184" w14:textId="64577F24">
      <w:pPr>
        <w:pStyle w:val="ParaNum"/>
        <w:numPr>
          <w:ilvl w:val="0"/>
          <w:numId w:val="10"/>
        </w:numPr>
      </w:pPr>
      <w:r w:rsidRPr="006A46AB">
        <w:t xml:space="preserve">In the Matter of </w:t>
      </w:r>
      <w:r w:rsidRPr="006A46AB">
        <w:t xml:space="preserve">Promoting Diversification of Ownership in the Broadcasting Services </w:t>
      </w:r>
      <w:r w:rsidRPr="006A46AB">
        <w:t>(MB Docket No. 07-294)</w:t>
      </w:r>
      <w:r>
        <w:rPr>
          <w:rStyle w:val="FootnoteReference"/>
        </w:rPr>
        <w:footnoteReference w:id="16"/>
      </w:r>
      <w:r w:rsidRPr="006A46AB">
        <w:t xml:space="preserve"> </w:t>
      </w:r>
    </w:p>
    <w:p w:rsidR="00D96D9B" w:rsidRPr="006A46AB" w:rsidP="00D96D9B" w14:paraId="53AD1BD5" w14:textId="0643E715">
      <w:pPr>
        <w:pStyle w:val="ParaNum"/>
        <w:numPr>
          <w:ilvl w:val="0"/>
          <w:numId w:val="10"/>
        </w:numPr>
      </w:pPr>
      <w:r w:rsidRPr="006A46AB">
        <w:t>Revitalization of the AM Radio Service (MB Docket No. 13-249)</w:t>
      </w:r>
      <w:r>
        <w:rPr>
          <w:rStyle w:val="FootnoteReference"/>
        </w:rPr>
        <w:footnoteReference w:id="17"/>
      </w:r>
      <w:r w:rsidRPr="006A46AB">
        <w:t xml:space="preserve">  </w:t>
      </w:r>
    </w:p>
    <w:p w:rsidR="002912D8" w:rsidRPr="006A46AB" w:rsidP="00D96D9B" w14:paraId="23FACEBA" w14:textId="39D91764">
      <w:pPr>
        <w:pStyle w:val="ParaNum"/>
        <w:numPr>
          <w:ilvl w:val="0"/>
          <w:numId w:val="10"/>
        </w:numPr>
      </w:pPr>
      <w:r w:rsidRPr="006A46AB">
        <w:t>Post-Incentive Auction Transition (MB Docket No. 16-306)</w:t>
      </w:r>
      <w:r>
        <w:rPr>
          <w:rStyle w:val="FootnoteReference"/>
        </w:rPr>
        <w:footnoteReference w:id="18"/>
      </w:r>
      <w:r w:rsidRPr="006A46AB">
        <w:t xml:space="preserve">  </w:t>
      </w:r>
    </w:p>
    <w:p w:rsidR="002912D8" w:rsidRPr="006A46AB" w:rsidP="00D96D9B" w14:paraId="0E79DB43" w14:textId="35047D1D">
      <w:pPr>
        <w:pStyle w:val="ParaNum"/>
        <w:numPr>
          <w:ilvl w:val="0"/>
          <w:numId w:val="10"/>
        </w:numPr>
      </w:pPr>
      <w:r w:rsidRPr="006A46AB">
        <w:t xml:space="preserve">MB Opens Docket for </w:t>
      </w:r>
      <w:r w:rsidRPr="006A46AB">
        <w:t>Electronic Delivery of Cable Communications (MB Docket No. 17-317)</w:t>
      </w:r>
      <w:r>
        <w:rPr>
          <w:rStyle w:val="FootnoteReference"/>
        </w:rPr>
        <w:footnoteReference w:id="19"/>
      </w:r>
      <w:r w:rsidRPr="006A46AB">
        <w:t xml:space="preserve">  </w:t>
      </w:r>
    </w:p>
    <w:p w:rsidR="002912D8" w:rsidRPr="006A46AB" w:rsidP="00D96D9B" w14:paraId="032C9E5B" w14:textId="29AFB4A0">
      <w:pPr>
        <w:pStyle w:val="ParaNum"/>
        <w:numPr>
          <w:ilvl w:val="0"/>
          <w:numId w:val="10"/>
        </w:numPr>
      </w:pPr>
      <w:r w:rsidRPr="006A46AB">
        <w:t>Amendment of Section 74.1201 et seq. to Allow for FM Broadcast Booster Stations and FM Broadcast Translator Stations to Originate Programming (RM-11858)</w:t>
      </w:r>
      <w:r>
        <w:rPr>
          <w:rStyle w:val="FootnoteReference"/>
        </w:rPr>
        <w:footnoteReference w:id="20"/>
      </w:r>
      <w:r w:rsidRPr="006A46AB">
        <w:t xml:space="preserve">  </w:t>
      </w:r>
    </w:p>
    <w:p w:rsidR="006A46AB" w:rsidRPr="006A46AB" w:rsidP="00D96D9B" w14:paraId="1A3CD80D" w14:textId="0B4DF4A4">
      <w:pPr>
        <w:pStyle w:val="ParaNum"/>
        <w:numPr>
          <w:ilvl w:val="0"/>
          <w:numId w:val="10"/>
        </w:numPr>
      </w:pPr>
      <w:r w:rsidRPr="006A46AB">
        <w:t>Section 224 Pole Attachment Complaint: Restricted Proceedings (Fee Required) (INBOX-1.1408)</w:t>
      </w:r>
      <w:r>
        <w:rPr>
          <w:rStyle w:val="FootnoteReference"/>
        </w:rPr>
        <w:footnoteReference w:id="21"/>
      </w:r>
      <w:r w:rsidRPr="006A46AB">
        <w:t xml:space="preserve"> </w:t>
      </w:r>
    </w:p>
    <w:p w:rsidR="006A46AB" w:rsidRPr="006A46AB" w:rsidP="00D96D9B" w14:paraId="3A44AE7B" w14:textId="404B6535">
      <w:pPr>
        <w:pStyle w:val="ParaNum"/>
        <w:numPr>
          <w:ilvl w:val="0"/>
          <w:numId w:val="10"/>
        </w:numPr>
      </w:pPr>
      <w:r w:rsidRPr="006A46AB">
        <w:rPr>
          <w:snapToGrid/>
          <w:color w:val="000000"/>
          <w:kern w:val="0"/>
          <w:szCs w:val="22"/>
        </w:rPr>
        <w:t>Amendment of the Commission's Rules Implementing the Privacy Act of 1974 (GN Docket No. 21-79)</w:t>
      </w:r>
      <w:r>
        <w:rPr>
          <w:rStyle w:val="FootnoteReference"/>
          <w:snapToGrid/>
          <w:kern w:val="0"/>
          <w:szCs w:val="22"/>
        </w:rPr>
        <w:footnoteReference w:id="22"/>
      </w:r>
    </w:p>
    <w:p w:rsidR="002E36BE" w:rsidRPr="00FF5190" w:rsidP="00534E69" w14:paraId="02DE03E1" w14:textId="186B44E7">
      <w:pPr>
        <w:pStyle w:val="ParaNum"/>
        <w:widowControl/>
      </w:pPr>
      <w:r w:rsidRPr="00534E69">
        <w:rPr>
          <w:b/>
          <w:bCs/>
          <w:i/>
          <w:iCs/>
        </w:rPr>
        <w:t xml:space="preserve">Improving Competitive Broadband Access to Multiple Tenant Environments (GN </w:t>
      </w:r>
      <w:r w:rsidRPr="00534E69" w:rsidR="00615B5E">
        <w:rPr>
          <w:b/>
          <w:bCs/>
          <w:i/>
          <w:iCs/>
        </w:rPr>
        <w:t xml:space="preserve">Docket No. </w:t>
      </w:r>
      <w:r w:rsidRPr="00534E69" w:rsidR="00025575">
        <w:rPr>
          <w:b/>
          <w:bCs/>
          <w:i/>
          <w:iCs/>
        </w:rPr>
        <w:t>17-142), Updating the Commission's Rule for Over-the-Air-Reception Devices (</w:t>
      </w:r>
      <w:r w:rsidRPr="00534E69" w:rsidR="00A14B84">
        <w:rPr>
          <w:b/>
          <w:bCs/>
          <w:i/>
          <w:iCs/>
        </w:rPr>
        <w:t xml:space="preserve">WT Docket No. </w:t>
      </w:r>
      <w:r w:rsidRPr="00534E69" w:rsidR="00025575">
        <w:rPr>
          <w:b/>
          <w:bCs/>
          <w:i/>
          <w:iCs/>
        </w:rPr>
        <w:t xml:space="preserve">19-71), and </w:t>
      </w:r>
      <w:r w:rsidRPr="00534E69" w:rsidR="00E90941">
        <w:rPr>
          <w:b/>
          <w:bCs/>
          <w:i/>
          <w:iCs/>
        </w:rPr>
        <w:t>Supporting Survivors of Domestic and Sexual Violence (</w:t>
      </w:r>
      <w:r w:rsidRPr="00534E69" w:rsidR="00A14B84">
        <w:rPr>
          <w:b/>
          <w:bCs/>
          <w:i/>
          <w:iCs/>
        </w:rPr>
        <w:t xml:space="preserve">WC Docket No. </w:t>
      </w:r>
      <w:r w:rsidRPr="00534E69" w:rsidR="00E90941">
        <w:rPr>
          <w:b/>
          <w:bCs/>
          <w:i/>
          <w:iCs/>
        </w:rPr>
        <w:t>22-238).</w:t>
      </w:r>
      <w:r w:rsidRPr="00272292" w:rsidR="00E90941">
        <w:t xml:space="preserve">  </w:t>
      </w:r>
      <w:r w:rsidR="00E90941">
        <w:t>We decline to terminate these dockets</w:t>
      </w:r>
      <w:r w:rsidR="00CC799E">
        <w:t xml:space="preserve"> under delegated authority at this time.  </w:t>
      </w:r>
      <w:r w:rsidR="00E90941">
        <w:t xml:space="preserve">In the </w:t>
      </w:r>
      <w:r w:rsidRPr="002779F0" w:rsidR="00E90941">
        <w:t>Ninth Dormant Proceedings Termination Public Notic</w:t>
      </w:r>
      <w:r w:rsidR="00E90941">
        <w:t xml:space="preserve">e, </w:t>
      </w:r>
      <w:r w:rsidR="00306D92">
        <w:t>CGB</w:t>
      </w:r>
      <w:r w:rsidR="00E90941">
        <w:t xml:space="preserve"> sought comment on whether there are dockets not identified in the </w:t>
      </w:r>
      <w:r w:rsidR="00CC799E">
        <w:t>Attachment</w:t>
      </w:r>
      <w:r w:rsidR="00E90941">
        <w:t xml:space="preserve"> that should nonetheless be terminated.</w:t>
      </w:r>
      <w:r>
        <w:rPr>
          <w:rStyle w:val="FootnoteReference"/>
        </w:rPr>
        <w:footnoteReference w:id="23"/>
      </w:r>
      <w:r w:rsidR="00E90941">
        <w:t xml:space="preserve"> </w:t>
      </w:r>
      <w:r w:rsidR="00CC799E">
        <w:t xml:space="preserve"> </w:t>
      </w:r>
      <w:r w:rsidR="001D1841">
        <w:t>CGB</w:t>
      </w:r>
      <w:r w:rsidR="00E90941">
        <w:t xml:space="preserve"> sought “</w:t>
      </w:r>
      <w:r w:rsidRPr="00D77D42" w:rsidR="00E90941">
        <w:t>specific reasoning for terminating each docket, which would include dismissal as moot of any pending petition, motion, or other request for relief that is procedural in nature or otherwise does not address the merits of such proceeding</w:t>
      </w:r>
      <w:r w:rsidR="00E90941">
        <w:t>.”</w:t>
      </w:r>
      <w:r>
        <w:rPr>
          <w:rStyle w:val="FootnoteReference"/>
        </w:rPr>
        <w:footnoteReference w:id="24"/>
      </w:r>
      <w:r w:rsidR="007D36D2">
        <w:t xml:space="preserve">  One commenter </w:t>
      </w:r>
      <w:r w:rsidR="00920338">
        <w:t>sought</w:t>
      </w:r>
      <w:r w:rsidR="007D36D2">
        <w:t xml:space="preserve"> to terminate GN Docket No. 17-142 and WT Docket No. 19-71</w:t>
      </w:r>
      <w:r w:rsidR="0087353F">
        <w:t>.</w:t>
      </w:r>
      <w:r>
        <w:rPr>
          <w:rStyle w:val="FootnoteReference"/>
        </w:rPr>
        <w:footnoteReference w:id="25"/>
      </w:r>
      <w:r w:rsidR="0087353F">
        <w:t xml:space="preserve">  Another </w:t>
      </w:r>
      <w:r w:rsidR="00920338">
        <w:t>sought</w:t>
      </w:r>
      <w:r w:rsidR="0087353F">
        <w:t xml:space="preserve"> </w:t>
      </w:r>
      <w:r w:rsidR="00192992">
        <w:t>termination of</w:t>
      </w:r>
      <w:r w:rsidR="0087353F">
        <w:t xml:space="preserve"> WC Docket No. 22-238.</w:t>
      </w:r>
      <w:r>
        <w:rPr>
          <w:rStyle w:val="FootnoteReference"/>
        </w:rPr>
        <w:footnoteReference w:id="26"/>
      </w:r>
      <w:r w:rsidR="00D14C6A">
        <w:t xml:space="preserve">  Pursuant to consultation with the </w:t>
      </w:r>
      <w:r w:rsidR="00062519">
        <w:t xml:space="preserve">bureaus responsible for these dockets, we find that these proceedings are not good candidates for termination </w:t>
      </w:r>
      <w:r w:rsidR="00062519">
        <w:t>under delegated authority and should remain open</w:t>
      </w:r>
      <w:r w:rsidR="00C02068">
        <w:t xml:space="preserve"> because </w:t>
      </w:r>
      <w:r w:rsidR="00473934">
        <w:t>they remain active and do not qualify as dormant</w:t>
      </w:r>
      <w:r w:rsidR="00062519">
        <w:t>.</w:t>
      </w:r>
    </w:p>
    <w:p w:rsidR="008206E3" w:rsidP="003A468C" w14:paraId="26D94FD7" w14:textId="05757E22">
      <w:pPr>
        <w:pStyle w:val="Heading1"/>
      </w:pPr>
      <w:r>
        <w:t>procedural matters</w:t>
      </w:r>
    </w:p>
    <w:p w:rsidR="008206E3" w:rsidP="00534E69" w14:paraId="79D8AE63" w14:textId="44A564E1">
      <w:pPr>
        <w:pStyle w:val="ParaNum"/>
      </w:pPr>
      <w:r>
        <w:t xml:space="preserve">Upon publication of this </w:t>
      </w:r>
      <w:r w:rsidRPr="00B551BE">
        <w:rPr>
          <w:i/>
          <w:iCs/>
        </w:rPr>
        <w:t>Order</w:t>
      </w:r>
      <w:r>
        <w:t xml:space="preserve"> in the </w:t>
      </w:r>
      <w:r w:rsidRPr="00B551BE">
        <w:rPr>
          <w:i/>
          <w:iCs/>
        </w:rPr>
        <w:t>Federal Register</w:t>
      </w:r>
      <w:r>
        <w:t>, the proceedings listed in the Attachment hereto will be terminated in the Electronic Comment Filing System (ECFS).  The record in the terminated proceedings will remain part of the Commission’s official records, and the various pleadings, orders, and other documents in these proceedings will continue to be accessible to the public, post-termination.</w:t>
      </w:r>
      <w:r w:rsidRPr="363F9BAD">
        <w:t xml:space="preserve">  </w:t>
      </w:r>
      <w:r>
        <w:t xml:space="preserve">Furthermore, </w:t>
      </w:r>
      <w:r w:rsidR="00E561D2">
        <w:t>if</w:t>
      </w:r>
      <w:r w:rsidRPr="00115822">
        <w:t xml:space="preserve"> no petitions for reconsideration </w:t>
      </w:r>
      <w:r w:rsidR="000E558A">
        <w:t xml:space="preserve">or </w:t>
      </w:r>
      <w:r w:rsidRPr="00115822">
        <w:t xml:space="preserve">applications for review </w:t>
      </w:r>
      <w:r>
        <w:t xml:space="preserve">of this </w:t>
      </w:r>
      <w:r w:rsidRPr="00B551BE">
        <w:rPr>
          <w:i/>
          <w:iCs/>
        </w:rPr>
        <w:t>Order</w:t>
      </w:r>
      <w:r>
        <w:t xml:space="preserve"> </w:t>
      </w:r>
      <w:r w:rsidR="000E558A">
        <w:t>are</w:t>
      </w:r>
      <w:r w:rsidRPr="00115822">
        <w:t xml:space="preserve"> timely filed, the </w:t>
      </w:r>
      <w:r>
        <w:t>above-captioned proceeding</w:t>
      </w:r>
      <w:r w:rsidRPr="00115822">
        <w:t xml:space="preserve"> shall be terminated, and the docket will be closed</w:t>
      </w:r>
      <w:r w:rsidRPr="363F9BAD">
        <w:t>.</w:t>
      </w:r>
    </w:p>
    <w:p w:rsidR="008206E3" w:rsidP="00534E69" w14:paraId="08A71084" w14:textId="6A9CB6F5">
      <w:pPr>
        <w:pStyle w:val="ParaNum"/>
      </w:pPr>
      <w:r>
        <w:t xml:space="preserve">For additional information concerning this Order, please contact </w:t>
      </w:r>
      <w:r w:rsidR="00793816">
        <w:t>Zac Champ</w:t>
      </w:r>
      <w:r>
        <w:t xml:space="preserve"> at (202) 418-</w:t>
      </w:r>
      <w:r w:rsidR="002642F4">
        <w:t>1495</w:t>
      </w:r>
      <w:r>
        <w:t xml:space="preserve">, or via e-mail at </w:t>
      </w:r>
      <w:hyperlink r:id="rId6" w:history="1">
        <w:r w:rsidRPr="00C42F22" w:rsidR="00020617">
          <w:rPr>
            <w:rStyle w:val="Hyperlink"/>
          </w:rPr>
          <w:t>zac.champ@fcc.gov</w:t>
        </w:r>
      </w:hyperlink>
      <w:r w:rsidRPr="363F9BAD">
        <w:t xml:space="preserve">. </w:t>
      </w:r>
    </w:p>
    <w:p w:rsidR="008206E3" w:rsidP="003A468C" w14:paraId="0C3157DF" w14:textId="77777777">
      <w:pPr>
        <w:pStyle w:val="Heading1"/>
      </w:pPr>
      <w:r>
        <w:t>ordering clauses</w:t>
      </w:r>
    </w:p>
    <w:p w:rsidR="008206E3" w:rsidP="00534E69" w14:paraId="5C04B72A" w14:textId="0E4B5440">
      <w:pPr>
        <w:pStyle w:val="ParaNum"/>
      </w:pPr>
      <w:r>
        <w:t xml:space="preserve">Accordingly, </w:t>
      </w:r>
      <w:r w:rsidRPr="004B67A0">
        <w:rPr>
          <w:b/>
          <w:bCs/>
        </w:rPr>
        <w:t>IT IS ORDERED</w:t>
      </w:r>
      <w:r>
        <w:t xml:space="preserve">, pursuant to the authority contained in </w:t>
      </w:r>
      <w:r w:rsidR="00EB2FE2">
        <w:t>s</w:t>
      </w:r>
      <w:r>
        <w:t>ections 4(</w:t>
      </w:r>
      <w:r>
        <w:t>i</w:t>
      </w:r>
      <w:r>
        <w:t>) and 4(j) of the Communications Act, 47 U</w:t>
      </w:r>
      <w:r w:rsidRPr="363F9BAD">
        <w:t>.</w:t>
      </w:r>
      <w:r>
        <w:t>S</w:t>
      </w:r>
      <w:r w:rsidRPr="363F9BAD">
        <w:t>.</w:t>
      </w:r>
      <w:r>
        <w:t>C</w:t>
      </w:r>
      <w:r w:rsidRPr="363F9BAD">
        <w:t xml:space="preserve">. </w:t>
      </w:r>
      <w:r w:rsidR="00B2588C">
        <w:t>§§</w:t>
      </w:r>
      <w:r>
        <w:t xml:space="preserve"> 154(</w:t>
      </w:r>
      <w:r>
        <w:t>i</w:t>
      </w:r>
      <w:r>
        <w:t xml:space="preserve">) and </w:t>
      </w:r>
      <w:r w:rsidR="00B2588C">
        <w:t>154</w:t>
      </w:r>
      <w:r>
        <w:t xml:space="preserve">(j), and </w:t>
      </w:r>
      <w:r w:rsidR="00B2588C">
        <w:t>s</w:t>
      </w:r>
      <w:r>
        <w:t xml:space="preserve">ection 0.141 of the Commission’s rules, 47 CFR </w:t>
      </w:r>
      <w:r w:rsidR="00B2588C">
        <w:t>§</w:t>
      </w:r>
      <w:r>
        <w:t xml:space="preserve"> 0.141, that the proceedings set forth in the Attachment hereto are TERMINATED.</w:t>
      </w:r>
    </w:p>
    <w:p w:rsidR="008206E3" w:rsidP="00534E69" w14:paraId="3BF3A617" w14:textId="088501D4">
      <w:pPr>
        <w:pStyle w:val="ParaNum"/>
      </w:pPr>
      <w:r>
        <w:t xml:space="preserve"> </w:t>
      </w:r>
      <w:r w:rsidRPr="008206E3">
        <w:rPr>
          <w:b/>
        </w:rPr>
        <w:t>IT IS FURTHER ORDERED</w:t>
      </w:r>
      <w:r w:rsidRPr="00E00A69">
        <w:t xml:space="preserve"> that </w:t>
      </w:r>
      <w:r w:rsidR="00805D28">
        <w:t>if</w:t>
      </w:r>
      <w:r w:rsidRPr="00E00A69">
        <w:t xml:space="preserve"> no petitions for reconsideration </w:t>
      </w:r>
      <w:r w:rsidR="00575F67">
        <w:t xml:space="preserve">or </w:t>
      </w:r>
      <w:r w:rsidRPr="00E00A69">
        <w:t xml:space="preserve">applications for review of this Order </w:t>
      </w:r>
      <w:r w:rsidR="00805D28">
        <w:t>are</w:t>
      </w:r>
      <w:r w:rsidRPr="00E00A69">
        <w:t xml:space="preserve"> timely filed, the above-captioned proceeding shall be </w:t>
      </w:r>
      <w:r>
        <w:t>TERMINATED</w:t>
      </w:r>
      <w:r w:rsidRPr="00E00A69">
        <w:t>, and the docket will be closed</w:t>
      </w:r>
      <w:r>
        <w:t>.</w:t>
      </w:r>
      <w:r w:rsidR="00C6441A">
        <w:br/>
      </w:r>
    </w:p>
    <w:p w:rsidR="008206E3" w:rsidP="008206E3" w14:paraId="2AF7CCC2" w14:textId="5C763E80">
      <w:pPr>
        <w:pStyle w:val="ParaNum"/>
        <w:numPr>
          <w:ilvl w:val="0"/>
          <w:numId w:val="0"/>
        </w:numPr>
        <w:ind w:left="3600" w:firstLine="720"/>
      </w:pPr>
      <w:r>
        <w:t>FEDERAL COMMUNICATIONS COMMISSION</w:t>
      </w:r>
    </w:p>
    <w:p w:rsidR="008206E3" w:rsidP="008206E3" w14:paraId="7F76F44E" w14:textId="77777777">
      <w:pPr>
        <w:pStyle w:val="ParaNum"/>
        <w:numPr>
          <w:ilvl w:val="0"/>
          <w:numId w:val="0"/>
        </w:numPr>
        <w:ind w:left="3600" w:firstLine="720"/>
      </w:pPr>
    </w:p>
    <w:p w:rsidR="008206E3" w:rsidP="008206E3" w14:paraId="11875FA1" w14:textId="77777777">
      <w:pPr>
        <w:pStyle w:val="ParaNum"/>
        <w:numPr>
          <w:ilvl w:val="0"/>
          <w:numId w:val="0"/>
        </w:numPr>
        <w:ind w:left="3600" w:firstLine="720"/>
      </w:pPr>
    </w:p>
    <w:p w:rsidR="008206E3" w:rsidP="008206E3" w14:paraId="116C70BE" w14:textId="4A4CBAF8">
      <w:pPr>
        <w:pStyle w:val="ParaNum"/>
        <w:numPr>
          <w:ilvl w:val="0"/>
          <w:numId w:val="0"/>
        </w:numPr>
        <w:spacing w:after="0"/>
        <w:ind w:left="3600" w:firstLine="720"/>
      </w:pPr>
      <w:r>
        <w:t>Eduard Bartholme</w:t>
      </w:r>
      <w:r w:rsidR="00F11AEE">
        <w:t xml:space="preserve">, Chief </w:t>
      </w:r>
    </w:p>
    <w:p w:rsidR="008206E3" w:rsidP="00191E40" w14:paraId="031B24BB" w14:textId="3E7F9094">
      <w:pPr>
        <w:pStyle w:val="ParaNum"/>
        <w:numPr>
          <w:ilvl w:val="0"/>
          <w:numId w:val="0"/>
        </w:numPr>
        <w:spacing w:after="0"/>
        <w:ind w:left="3600" w:firstLine="720"/>
        <w:rPr>
          <w:highlight w:val="yellow"/>
        </w:rPr>
      </w:pPr>
      <w:r>
        <w:t>Consumer &amp; Governmental Affairs Bureau</w:t>
      </w:r>
    </w:p>
    <w:p w:rsidR="00863959" w:rsidP="008206E3" w14:paraId="64007A32" w14:textId="77777777">
      <w:pPr>
        <w:pStyle w:val="ParaNum"/>
        <w:numPr>
          <w:ilvl w:val="0"/>
          <w:numId w:val="0"/>
        </w:numPr>
        <w:ind w:left="720"/>
        <w:rPr>
          <w:highlight w:val="yellow"/>
        </w:rPr>
        <w:sectPr w:rsidSect="00784FC0">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720" w:left="1440" w:header="720" w:footer="720" w:gutter="0"/>
          <w:pgNumType w:start="1"/>
          <w:cols w:space="720"/>
          <w:noEndnote/>
          <w:titlePg/>
        </w:sectPr>
      </w:pPr>
    </w:p>
    <w:p w:rsidR="008206E3" w:rsidP="008206E3" w14:paraId="015CAC2E" w14:textId="77777777">
      <w:pPr>
        <w:pStyle w:val="ParaNum"/>
        <w:numPr>
          <w:ilvl w:val="0"/>
          <w:numId w:val="0"/>
        </w:numPr>
        <w:ind w:left="720"/>
        <w:rPr>
          <w:b/>
          <w:bCs/>
          <w:color w:val="242021"/>
          <w:position w:val="-1"/>
          <w:sz w:val="52"/>
          <w:szCs w:val="52"/>
        </w:rPr>
      </w:pPr>
    </w:p>
    <w:p w:rsidR="008206E3" w:rsidP="008206E3" w14:paraId="5B461649" w14:textId="77777777">
      <w:pPr>
        <w:pStyle w:val="ParaNum"/>
        <w:numPr>
          <w:ilvl w:val="0"/>
          <w:numId w:val="0"/>
        </w:numPr>
        <w:ind w:left="720"/>
        <w:rPr>
          <w:b/>
          <w:bCs/>
          <w:color w:val="242021"/>
          <w:position w:val="-1"/>
          <w:sz w:val="52"/>
          <w:szCs w:val="52"/>
        </w:rPr>
      </w:pPr>
    </w:p>
    <w:p w:rsidR="008206E3" w:rsidP="008206E3" w14:paraId="2AD1C37E" w14:textId="77777777">
      <w:pPr>
        <w:pStyle w:val="ParaNum"/>
        <w:numPr>
          <w:ilvl w:val="0"/>
          <w:numId w:val="0"/>
        </w:numPr>
        <w:ind w:left="720"/>
        <w:rPr>
          <w:b/>
          <w:bCs/>
          <w:color w:val="242021"/>
          <w:position w:val="-1"/>
          <w:sz w:val="52"/>
          <w:szCs w:val="52"/>
        </w:rPr>
      </w:pPr>
    </w:p>
    <w:p w:rsidR="008206E3" w:rsidP="008206E3" w14:paraId="4C4576F7" w14:textId="77777777">
      <w:pPr>
        <w:pStyle w:val="ParaNum"/>
        <w:numPr>
          <w:ilvl w:val="0"/>
          <w:numId w:val="0"/>
        </w:numPr>
        <w:ind w:left="720"/>
        <w:rPr>
          <w:b/>
          <w:bCs/>
          <w:color w:val="242021"/>
          <w:position w:val="-1"/>
          <w:sz w:val="52"/>
          <w:szCs w:val="52"/>
        </w:rPr>
      </w:pPr>
    </w:p>
    <w:p w:rsidR="008206E3" w:rsidP="008206E3" w14:paraId="1FF1B26E" w14:textId="77777777">
      <w:pPr>
        <w:pStyle w:val="ParaNum"/>
        <w:numPr>
          <w:ilvl w:val="0"/>
          <w:numId w:val="0"/>
        </w:numPr>
        <w:ind w:left="720"/>
        <w:rPr>
          <w:b/>
          <w:bCs/>
          <w:color w:val="242021"/>
          <w:position w:val="-1"/>
          <w:sz w:val="52"/>
          <w:szCs w:val="52"/>
        </w:rPr>
      </w:pPr>
    </w:p>
    <w:p w:rsidR="008206E3" w:rsidP="008206E3" w14:paraId="1656F17E" w14:textId="77777777">
      <w:pPr>
        <w:pStyle w:val="ParaNum"/>
        <w:numPr>
          <w:ilvl w:val="0"/>
          <w:numId w:val="0"/>
        </w:numPr>
        <w:ind w:left="720"/>
        <w:rPr>
          <w:b/>
          <w:bCs/>
          <w:color w:val="242021"/>
          <w:position w:val="-1"/>
          <w:sz w:val="52"/>
          <w:szCs w:val="52"/>
        </w:rPr>
      </w:pPr>
    </w:p>
    <w:p w:rsidR="008206E3" w:rsidP="008206E3" w14:paraId="207B25D9" w14:textId="77777777">
      <w:pPr>
        <w:pStyle w:val="ParaNum"/>
        <w:numPr>
          <w:ilvl w:val="0"/>
          <w:numId w:val="0"/>
        </w:numPr>
        <w:ind w:left="720"/>
        <w:jc w:val="center"/>
        <w:rPr>
          <w:b/>
          <w:bCs/>
          <w:color w:val="242021"/>
          <w:position w:val="-1"/>
          <w:sz w:val="52"/>
          <w:szCs w:val="52"/>
        </w:rPr>
      </w:pPr>
    </w:p>
    <w:p w:rsidR="008206E3" w:rsidP="008206E3" w14:paraId="2F67BCB7" w14:textId="77777777">
      <w:pPr>
        <w:pStyle w:val="ParaNum"/>
        <w:numPr>
          <w:ilvl w:val="0"/>
          <w:numId w:val="0"/>
        </w:numPr>
        <w:ind w:left="720"/>
        <w:jc w:val="center"/>
        <w:rPr>
          <w:b/>
          <w:bCs/>
          <w:color w:val="242021"/>
          <w:position w:val="-1"/>
          <w:sz w:val="52"/>
          <w:szCs w:val="52"/>
        </w:rPr>
      </w:pPr>
    </w:p>
    <w:p w:rsidR="008206E3" w:rsidRPr="00802192" w:rsidP="009B59BE" w14:paraId="39BF8BE0" w14:textId="77777777">
      <w:pPr>
        <w:pStyle w:val="ParaNum"/>
        <w:numPr>
          <w:ilvl w:val="0"/>
          <w:numId w:val="0"/>
        </w:numPr>
        <w:jc w:val="center"/>
        <w:rPr>
          <w:highlight w:val="yellow"/>
        </w:rPr>
      </w:pPr>
      <w:r w:rsidRPr="006B66B9">
        <w:rPr>
          <w:b/>
          <w:bCs/>
          <w:color w:val="242021"/>
          <w:position w:val="-1"/>
          <w:sz w:val="52"/>
          <w:szCs w:val="52"/>
        </w:rPr>
        <w:t>ATTACHMENT</w:t>
      </w:r>
    </w:p>
    <w:p w:rsidR="002C00E8" w:rsidRPr="008206E3" w:rsidP="008206E3" w14:paraId="0465F096" w14:textId="77777777"/>
    <w:sectPr w:rsidSect="00FF5190">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720" w:gutter="0"/>
      <w:pgNumType w:start="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2585" w14:paraId="2A12F00A" w14:textId="77777777">
      <w:r>
        <w:separator/>
      </w:r>
    </w:p>
  </w:endnote>
  <w:endnote w:type="continuationSeparator" w:id="1">
    <w:p w:rsidR="00362585" w14:paraId="248E3926" w14:textId="77777777">
      <w:r>
        <w:continuationSeparator/>
      </w:r>
    </w:p>
  </w:endnote>
  <w:endnote w:type="continuationNotice" w:id="2">
    <w:p w:rsidR="00362585" w14:paraId="68EB32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6E3" w:rsidP="0055614C" w14:paraId="27D68E24" w14:textId="77777777">
    <w:pPr>
      <w:pStyle w:val="Footer"/>
      <w:framePr w:wrap="around" w:vAnchor="text" w:hAnchor="margin" w:xAlign="center" w:y="1"/>
    </w:pPr>
    <w:r>
      <w:fldChar w:fldCharType="begin"/>
    </w:r>
    <w:r>
      <w:instrText xml:space="preserve">PAGE  </w:instrText>
    </w:r>
    <w:r>
      <w:fldChar w:fldCharType="separate"/>
    </w:r>
    <w:r>
      <w:fldChar w:fldCharType="end"/>
    </w:r>
  </w:p>
  <w:p w:rsidR="008206E3" w14:paraId="6D17C9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6E3" w:rsidP="0055614C" w14:paraId="475C00B8" w14:textId="77777777">
    <w:pPr>
      <w:pStyle w:val="Footer"/>
      <w:framePr w:wrap="around" w:vAnchor="text" w:hAnchor="margin" w:xAlign="center" w:y="1"/>
    </w:pPr>
    <w:r>
      <w:fldChar w:fldCharType="begin"/>
    </w:r>
    <w:r>
      <w:instrText xml:space="preserve">PAGE  </w:instrText>
    </w:r>
    <w:r>
      <w:fldChar w:fldCharType="separate"/>
    </w:r>
    <w:r w:rsidR="000B5BAA">
      <w:rPr>
        <w:noProof/>
      </w:rPr>
      <w:t>2</w:t>
    </w:r>
    <w:r>
      <w:fldChar w:fldCharType="end"/>
    </w:r>
  </w:p>
  <w:p w:rsidR="008206E3" w14:paraId="2F945DEC"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6E3" w14:paraId="00D87A66"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BCC9B18"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366D60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C31054D" w14:textId="77777777">
    <w:pPr>
      <w:suppressAutoHyphens/>
      <w:spacing w:line="227"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28C096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585" w14:paraId="1EF39ECF" w14:textId="77777777">
      <w:r>
        <w:separator/>
      </w:r>
    </w:p>
  </w:footnote>
  <w:footnote w:type="continuationSeparator" w:id="1">
    <w:p w:rsidR="00362585" w:rsidP="00C721AC" w14:paraId="062837C7" w14:textId="77777777">
      <w:pPr>
        <w:spacing w:before="120"/>
        <w:rPr>
          <w:sz w:val="20"/>
        </w:rPr>
      </w:pPr>
      <w:r>
        <w:rPr>
          <w:sz w:val="20"/>
        </w:rPr>
        <w:t xml:space="preserve">(Continued from previous page)  </w:t>
      </w:r>
      <w:r>
        <w:rPr>
          <w:sz w:val="20"/>
        </w:rPr>
        <w:separator/>
      </w:r>
    </w:p>
  </w:footnote>
  <w:footnote w:type="continuationNotice" w:id="2">
    <w:p w:rsidR="00362585" w:rsidP="00C721AC" w14:paraId="57807A21" w14:textId="77777777">
      <w:pPr>
        <w:jc w:val="right"/>
        <w:rPr>
          <w:sz w:val="20"/>
        </w:rPr>
      </w:pPr>
      <w:r>
        <w:rPr>
          <w:sz w:val="20"/>
        </w:rPr>
        <w:t>(continued….)</w:t>
      </w:r>
    </w:p>
  </w:footnote>
  <w:footnote w:id="3">
    <w:p w:rsidR="008206E3" w:rsidRPr="00511B21" w:rsidP="008206E3" w14:paraId="160D988F" w14:textId="1D5E6A3F">
      <w:pPr>
        <w:pStyle w:val="FootnoteText"/>
      </w:pPr>
      <w:r>
        <w:rPr>
          <w:rStyle w:val="FootnoteReference"/>
        </w:rPr>
        <w:footnoteRef/>
      </w:r>
      <w:r>
        <w:t xml:space="preserve"> We note that all of the proceedings listed on the Attachment hereto were also listed in the Attachment to the </w:t>
      </w:r>
      <w:r>
        <w:rPr>
          <w:i/>
        </w:rPr>
        <w:t xml:space="preserve">Termination of Certain Proceedings as Dormant </w:t>
      </w:r>
      <w:r>
        <w:t xml:space="preserve">Public Notice released on </w:t>
      </w:r>
      <w:r w:rsidRPr="008C317C" w:rsidR="0016030A">
        <w:t>May</w:t>
      </w:r>
      <w:r w:rsidRPr="008C317C" w:rsidR="005C29D8">
        <w:t xml:space="preserve"> 2</w:t>
      </w:r>
      <w:r w:rsidRPr="008C317C">
        <w:t>,</w:t>
      </w:r>
      <w:r>
        <w:t xml:space="preserve"> </w:t>
      </w:r>
      <w:r w:rsidR="005C29D8">
        <w:t>202</w:t>
      </w:r>
      <w:r w:rsidR="00536FFE">
        <w:t>5</w:t>
      </w:r>
      <w:r>
        <w:t xml:space="preserve">.  </w:t>
      </w:r>
      <w:r w:rsidRPr="00F9561A">
        <w:rPr>
          <w:i/>
        </w:rPr>
        <w:t>Consumer &amp; Governmental Affairs Bureau Seeks Comment on Termination of Certain Proceedings as Dormant</w:t>
      </w:r>
      <w:r w:rsidRPr="00F9561A">
        <w:t xml:space="preserve">, Public Notice, </w:t>
      </w:r>
      <w:r w:rsidRPr="00F9561A" w:rsidR="00DE4865">
        <w:t xml:space="preserve">CG Docket No. </w:t>
      </w:r>
      <w:r w:rsidRPr="00F9561A" w:rsidR="004E74A8">
        <w:t>25</w:t>
      </w:r>
      <w:r w:rsidRPr="00F9561A" w:rsidR="00DE4865">
        <w:t>-</w:t>
      </w:r>
      <w:r w:rsidRPr="00F9561A" w:rsidR="00F9561A">
        <w:t>165</w:t>
      </w:r>
      <w:r w:rsidRPr="00F9561A" w:rsidR="0084719D">
        <w:t xml:space="preserve">, </w:t>
      </w:r>
      <w:r w:rsidR="0072373A">
        <w:t xml:space="preserve">Public Notice, </w:t>
      </w:r>
      <w:r w:rsidRPr="001361C6" w:rsidR="00B03B46">
        <w:t xml:space="preserve">DA </w:t>
      </w:r>
      <w:r w:rsidRPr="001361C6" w:rsidR="00BF49AF">
        <w:t>25-376</w:t>
      </w:r>
      <w:r w:rsidRPr="001361C6" w:rsidR="0084719D">
        <w:t xml:space="preserve"> </w:t>
      </w:r>
      <w:r w:rsidRPr="00F9561A" w:rsidR="0084719D">
        <w:t xml:space="preserve">(CGB </w:t>
      </w:r>
      <w:r w:rsidR="00F9561A">
        <w:t>May</w:t>
      </w:r>
      <w:r w:rsidRPr="00F9561A" w:rsidR="0084719D">
        <w:t xml:space="preserve"> 2, 202</w:t>
      </w:r>
      <w:r w:rsidR="00F9561A">
        <w:t>5</w:t>
      </w:r>
      <w:r w:rsidRPr="00F9561A" w:rsidR="0084719D">
        <w:t>)</w:t>
      </w:r>
      <w:r w:rsidRPr="00F9561A" w:rsidR="000C66D3">
        <w:t xml:space="preserve"> (</w:t>
      </w:r>
      <w:r w:rsidR="00F9561A">
        <w:rPr>
          <w:i/>
          <w:iCs/>
        </w:rPr>
        <w:t>Ninth</w:t>
      </w:r>
      <w:r w:rsidRPr="00F9561A" w:rsidR="000C66D3">
        <w:rPr>
          <w:i/>
          <w:iCs/>
        </w:rPr>
        <w:t xml:space="preserve"> Dormant Proceedings Termination Public Notice</w:t>
      </w:r>
      <w:r w:rsidRPr="00F9561A" w:rsidR="000C66D3">
        <w:t>).</w:t>
      </w:r>
      <w:r>
        <w:t xml:space="preserve"> </w:t>
      </w:r>
    </w:p>
  </w:footnote>
  <w:footnote w:id="4">
    <w:p w:rsidR="00134739" w:rsidRPr="000533C2" w14:paraId="1E4DB0CD" w14:textId="13620007">
      <w:pPr>
        <w:pStyle w:val="FootnoteText"/>
      </w:pPr>
      <w:r>
        <w:rPr>
          <w:rStyle w:val="FootnoteReference"/>
        </w:rPr>
        <w:footnoteRef/>
      </w:r>
      <w:r>
        <w:t xml:space="preserve"> </w:t>
      </w:r>
      <w:r w:rsidRPr="00EC799D" w:rsidR="00EC799D">
        <w:rPr>
          <w:i/>
          <w:iCs/>
        </w:rPr>
        <w:t>Id</w:t>
      </w:r>
      <w:r w:rsidR="000533C2">
        <w:t>.</w:t>
      </w:r>
    </w:p>
  </w:footnote>
  <w:footnote w:id="5">
    <w:p w:rsidR="008206E3" w:rsidP="008206E3" w14:paraId="22A25F7F" w14:textId="5DA5F56E">
      <w:pPr>
        <w:pStyle w:val="FootnoteText"/>
      </w:pPr>
      <w:r>
        <w:rPr>
          <w:rStyle w:val="FootnoteReference"/>
        </w:rPr>
        <w:footnoteRef/>
      </w:r>
      <w:r>
        <w:t xml:space="preserve"> </w:t>
      </w:r>
      <w:r>
        <w:rPr>
          <w:i/>
        </w:rPr>
        <w:t>Amendment of Certain of the Commission’s Part 1 Rules of Practice and Procedure and Part 0 Rules of Commission Organization</w:t>
      </w:r>
      <w:r>
        <w:t xml:space="preserve">, CG Docket No. 10-44, Report and Order, 26 FCC </w:t>
      </w:r>
      <w:r>
        <w:t>Rcd</w:t>
      </w:r>
      <w:r>
        <w:t xml:space="preserve"> 1594 (2011) (</w:t>
      </w:r>
      <w:r>
        <w:rPr>
          <w:i/>
        </w:rPr>
        <w:t>Procedure Order</w:t>
      </w:r>
      <w:r>
        <w:t>)</w:t>
      </w:r>
      <w:r w:rsidR="00EC4F87">
        <w:t xml:space="preserve">; 47 C.F.R. </w:t>
      </w:r>
      <w:r w:rsidR="00CA51AA">
        <w:t xml:space="preserve">§ </w:t>
      </w:r>
      <w:r w:rsidR="00EC4F87">
        <w:t>0.141(h)</w:t>
      </w:r>
      <w:r>
        <w:t xml:space="preserve">. </w:t>
      </w:r>
    </w:p>
  </w:footnote>
  <w:footnote w:id="6">
    <w:p w:rsidR="008206E3" w:rsidP="008206E3" w14:paraId="4A3651CB" w14:textId="77777777">
      <w:pPr>
        <w:pStyle w:val="FootnoteText"/>
        <w:tabs>
          <w:tab w:val="center" w:pos="5400"/>
        </w:tabs>
      </w:pPr>
      <w:r>
        <w:rPr>
          <w:rStyle w:val="FootnoteReference"/>
        </w:rPr>
        <w:footnoteRef/>
      </w:r>
      <w:r>
        <w:t xml:space="preserve"> </w:t>
      </w:r>
      <w:r>
        <w:rPr>
          <w:i/>
        </w:rPr>
        <w:t>Id.</w:t>
      </w:r>
      <w:r>
        <w:t xml:space="preserve"> at 1604, para. 24.       </w:t>
      </w:r>
      <w:r>
        <w:tab/>
      </w:r>
    </w:p>
  </w:footnote>
  <w:footnote w:id="7">
    <w:p w:rsidR="005A3557" w:rsidP="005A3557" w14:paraId="10E361C1" w14:textId="7712320D">
      <w:pPr>
        <w:pStyle w:val="FootnoteText"/>
      </w:pPr>
      <w:r>
        <w:rPr>
          <w:rStyle w:val="FootnoteReference"/>
        </w:rPr>
        <w:footnoteRef/>
      </w:r>
      <w:r>
        <w:t xml:space="preserve"> </w:t>
      </w:r>
      <w:r w:rsidRPr="008868E5">
        <w:rPr>
          <w:i/>
        </w:rPr>
        <w:t>See</w:t>
      </w:r>
      <w:r w:rsidRPr="00B66E3F">
        <w:rPr>
          <w:i/>
          <w:iCs/>
        </w:rPr>
        <w:t>,</w:t>
      </w:r>
      <w:r>
        <w:t xml:space="preserve"> </w:t>
      </w:r>
      <w:r w:rsidRPr="00B66E3F">
        <w:rPr>
          <w:i/>
          <w:iCs/>
        </w:rPr>
        <w:t>e.g.</w:t>
      </w:r>
      <w:r>
        <w:t xml:space="preserve">, </w:t>
      </w:r>
      <w:r w:rsidRPr="00E9704F">
        <w:rPr>
          <w:i/>
          <w:color w:val="242021"/>
        </w:rPr>
        <w:t>Consumer &amp; Governmental Affairs Bureau Seeks Comment on Termination of Certain Proceedings as Dormant</w:t>
      </w:r>
      <w:r w:rsidRPr="00E9704F">
        <w:rPr>
          <w:color w:val="242021"/>
        </w:rPr>
        <w:t xml:space="preserve">, </w:t>
      </w:r>
      <w:r w:rsidR="00CA22DB">
        <w:rPr>
          <w:color w:val="242021"/>
        </w:rPr>
        <w:t xml:space="preserve">CG Docket No. 18-272, Public Notice, </w:t>
      </w:r>
      <w:r>
        <w:rPr>
          <w:color w:val="242021"/>
        </w:rPr>
        <w:t>33</w:t>
      </w:r>
      <w:r w:rsidRPr="00E9704F">
        <w:rPr>
          <w:color w:val="242021"/>
        </w:rPr>
        <w:t xml:space="preserve"> FCC </w:t>
      </w:r>
      <w:r w:rsidRPr="00E9704F">
        <w:rPr>
          <w:color w:val="242021"/>
        </w:rPr>
        <w:t>Rcd</w:t>
      </w:r>
      <w:r w:rsidRPr="00E9704F">
        <w:rPr>
          <w:color w:val="242021"/>
        </w:rPr>
        <w:t xml:space="preserve"> </w:t>
      </w:r>
      <w:r>
        <w:rPr>
          <w:color w:val="242021"/>
        </w:rPr>
        <w:t>8701</w:t>
      </w:r>
      <w:r w:rsidRPr="00E9704F">
        <w:rPr>
          <w:color w:val="242021"/>
        </w:rPr>
        <w:t xml:space="preserve"> (CGB</w:t>
      </w:r>
      <w:r w:rsidRPr="00E9704F">
        <w:rPr>
          <w:color w:val="242021"/>
          <w:spacing w:val="-5"/>
        </w:rPr>
        <w:t xml:space="preserve"> </w:t>
      </w:r>
      <w:r w:rsidRPr="00E9704F">
        <w:rPr>
          <w:color w:val="242021"/>
        </w:rPr>
        <w:t>201</w:t>
      </w:r>
      <w:r>
        <w:rPr>
          <w:color w:val="242021"/>
        </w:rPr>
        <w:t>8</w:t>
      </w:r>
      <w:r w:rsidRPr="00E9704F">
        <w:rPr>
          <w:color w:val="242021"/>
        </w:rPr>
        <w:t>)</w:t>
      </w:r>
      <w:r>
        <w:rPr>
          <w:color w:val="242021"/>
        </w:rPr>
        <w:t>;</w:t>
      </w:r>
      <w:r w:rsidRPr="008868E5">
        <w:rPr>
          <w:i/>
          <w:iCs/>
          <w:color w:val="242021"/>
        </w:rPr>
        <w:t xml:space="preserve"> </w:t>
      </w:r>
      <w:r w:rsidRPr="00E9704F">
        <w:rPr>
          <w:i/>
          <w:iCs/>
          <w:color w:val="242021"/>
        </w:rPr>
        <w:t>Termination</w:t>
      </w:r>
      <w:r w:rsidRPr="00E9704F">
        <w:rPr>
          <w:i/>
          <w:iCs/>
          <w:color w:val="242021"/>
          <w:spacing w:val="-9"/>
        </w:rPr>
        <w:t xml:space="preserve"> </w:t>
      </w:r>
      <w:r w:rsidRPr="00E9704F">
        <w:rPr>
          <w:i/>
          <w:iCs/>
          <w:color w:val="242021"/>
        </w:rPr>
        <w:t>of</w:t>
      </w:r>
      <w:r w:rsidRPr="00E9704F">
        <w:rPr>
          <w:i/>
          <w:iCs/>
          <w:color w:val="242021"/>
          <w:spacing w:val="-1"/>
        </w:rPr>
        <w:t xml:space="preserve"> </w:t>
      </w:r>
      <w:r w:rsidRPr="00E9704F">
        <w:rPr>
          <w:i/>
          <w:iCs/>
          <w:color w:val="242021"/>
        </w:rPr>
        <w:t>Certain</w:t>
      </w:r>
      <w:r w:rsidRPr="00E9704F">
        <w:rPr>
          <w:i/>
          <w:iCs/>
          <w:color w:val="242021"/>
          <w:spacing w:val="-5"/>
        </w:rPr>
        <w:t xml:space="preserve"> </w:t>
      </w:r>
      <w:r w:rsidRPr="00E9704F">
        <w:rPr>
          <w:i/>
          <w:iCs/>
          <w:color w:val="242021"/>
        </w:rPr>
        <w:t>Proceedings</w:t>
      </w:r>
      <w:r w:rsidRPr="00E9704F">
        <w:rPr>
          <w:i/>
          <w:iCs/>
          <w:color w:val="242021"/>
          <w:spacing w:val="-9"/>
        </w:rPr>
        <w:t xml:space="preserve"> </w:t>
      </w:r>
      <w:r w:rsidRPr="00E9704F">
        <w:rPr>
          <w:i/>
          <w:iCs/>
          <w:color w:val="242021"/>
        </w:rPr>
        <w:t>as</w:t>
      </w:r>
      <w:r w:rsidRPr="00E9704F">
        <w:rPr>
          <w:i/>
          <w:iCs/>
          <w:color w:val="242021"/>
          <w:spacing w:val="-1"/>
        </w:rPr>
        <w:t xml:space="preserve"> </w:t>
      </w:r>
      <w:r w:rsidRPr="00E9704F">
        <w:rPr>
          <w:i/>
          <w:iCs/>
          <w:color w:val="242021"/>
        </w:rPr>
        <w:t>Dormant</w:t>
      </w:r>
      <w:r w:rsidRPr="00E9704F">
        <w:rPr>
          <w:color w:val="242021"/>
        </w:rPr>
        <w:t>,</w:t>
      </w:r>
      <w:r w:rsidRPr="00E9704F">
        <w:rPr>
          <w:color w:val="242021"/>
          <w:spacing w:val="-8"/>
        </w:rPr>
        <w:t xml:space="preserve"> </w:t>
      </w:r>
      <w:r w:rsidR="00CA22DB">
        <w:rPr>
          <w:color w:val="242021"/>
          <w:spacing w:val="-8"/>
        </w:rPr>
        <w:t xml:space="preserve">CG Docket No. 18-272, </w:t>
      </w:r>
      <w:r w:rsidRPr="00E9704F">
        <w:rPr>
          <w:color w:val="242021"/>
        </w:rPr>
        <w:t>Order</w:t>
      </w:r>
      <w:r w:rsidRPr="00E9704F">
        <w:t xml:space="preserve">, </w:t>
      </w:r>
      <w:r>
        <w:t>34</w:t>
      </w:r>
      <w:r w:rsidRPr="00E9704F">
        <w:t xml:space="preserve"> FCC </w:t>
      </w:r>
      <w:r w:rsidRPr="00E9704F">
        <w:t>Rcd</w:t>
      </w:r>
      <w:r w:rsidRPr="00E9704F">
        <w:t xml:space="preserve"> </w:t>
      </w:r>
      <w:r>
        <w:t>1331</w:t>
      </w:r>
      <w:r w:rsidRPr="00E9704F">
        <w:t xml:space="preserve"> </w:t>
      </w:r>
      <w:r w:rsidRPr="00E9704F">
        <w:rPr>
          <w:color w:val="242021"/>
        </w:rPr>
        <w:t>(CGB</w:t>
      </w:r>
      <w:r w:rsidRPr="00E9704F">
        <w:rPr>
          <w:color w:val="242021"/>
          <w:spacing w:val="-5"/>
        </w:rPr>
        <w:t xml:space="preserve"> </w:t>
      </w:r>
      <w:r w:rsidRPr="00E9704F">
        <w:rPr>
          <w:color w:val="242021"/>
        </w:rPr>
        <w:t>201</w:t>
      </w:r>
      <w:r>
        <w:rPr>
          <w:color w:val="242021"/>
        </w:rPr>
        <w:t>9</w:t>
      </w:r>
      <w:r w:rsidRPr="00E9704F">
        <w:rPr>
          <w:color w:val="242021"/>
        </w:rPr>
        <w:t>)</w:t>
      </w:r>
      <w:r>
        <w:rPr>
          <w:color w:val="242021"/>
        </w:rPr>
        <w:t>;</w:t>
      </w:r>
      <w:r w:rsidRPr="008868E5">
        <w:rPr>
          <w:i/>
          <w:color w:val="242021"/>
        </w:rPr>
        <w:t xml:space="preserve"> </w:t>
      </w:r>
      <w:r w:rsidRPr="002260F7">
        <w:rPr>
          <w:i/>
        </w:rPr>
        <w:t>Consumer &amp; Governmental Affairs Bureau Seeks Comment on Termination of Certain Proceedings as Dormant</w:t>
      </w:r>
      <w:r>
        <w:t xml:space="preserve">, </w:t>
      </w:r>
      <w:r w:rsidR="00CA22DB">
        <w:t xml:space="preserve">CG Docket No. 20-158, Public Notice, </w:t>
      </w:r>
      <w:r>
        <w:t xml:space="preserve">35 FCC </w:t>
      </w:r>
      <w:r>
        <w:t>Rcd</w:t>
      </w:r>
      <w:r>
        <w:t xml:space="preserve"> 5525 (CGB 2020); </w:t>
      </w:r>
      <w:r w:rsidRPr="002260F7">
        <w:rPr>
          <w:i/>
        </w:rPr>
        <w:t>Termination of Certain Proceedings as Dormant</w:t>
      </w:r>
      <w:r>
        <w:t xml:space="preserve">, </w:t>
      </w:r>
      <w:r w:rsidR="00501DD3">
        <w:t xml:space="preserve">CG Docket No. 20-158, </w:t>
      </w:r>
      <w:r>
        <w:t xml:space="preserve">Order, 35 FCC </w:t>
      </w:r>
      <w:r>
        <w:t>Rcd</w:t>
      </w:r>
      <w:r>
        <w:t xml:space="preserve"> 10498 (CGB 2020).</w:t>
      </w:r>
    </w:p>
  </w:footnote>
  <w:footnote w:id="8">
    <w:p w:rsidR="008206E3" w:rsidP="008206E3" w14:paraId="04C5F657" w14:textId="1649DF8E">
      <w:pPr>
        <w:pStyle w:val="FootnoteText"/>
      </w:pPr>
      <w:r>
        <w:rPr>
          <w:rStyle w:val="FootnoteReference"/>
        </w:rPr>
        <w:footnoteRef/>
      </w:r>
      <w:r>
        <w:t xml:space="preserve"> </w:t>
      </w:r>
      <w:r w:rsidRPr="005D5160" w:rsidR="005D5160">
        <w:rPr>
          <w:i/>
          <w:iCs/>
        </w:rPr>
        <w:t>See</w:t>
      </w:r>
      <w:r w:rsidR="005D5160">
        <w:t xml:space="preserve"> </w:t>
      </w:r>
      <w:r w:rsidR="00536FFE">
        <w:rPr>
          <w:i/>
          <w:iCs/>
        </w:rPr>
        <w:t>Ninth</w:t>
      </w:r>
      <w:r w:rsidRPr="000533C2" w:rsidR="005D5160">
        <w:rPr>
          <w:i/>
          <w:iCs/>
        </w:rPr>
        <w:t xml:space="preserve"> Dormant Proceedings Termination Public Notice</w:t>
      </w:r>
      <w:r w:rsidR="005D5160">
        <w:t>.</w:t>
      </w:r>
    </w:p>
  </w:footnote>
  <w:footnote w:id="9">
    <w:p w:rsidR="002C4743" w:rsidP="00102B2E" w14:paraId="1973DEEB" w14:textId="608030A8">
      <w:pPr>
        <w:pStyle w:val="FootnoteText"/>
      </w:pPr>
      <w:r>
        <w:rPr>
          <w:rStyle w:val="FootnoteReference"/>
        </w:rPr>
        <w:footnoteRef/>
      </w:r>
      <w:r>
        <w:t xml:space="preserve"> </w:t>
      </w:r>
      <w:r w:rsidRPr="00DF61F9" w:rsidR="00102B2E">
        <w:rPr>
          <w:i/>
          <w:iCs/>
        </w:rPr>
        <w:t>Consumer and Governmental Affairs Bureau Seeks Comment on Termination of Certain Proceedings as Dormant</w:t>
      </w:r>
      <w:r w:rsidR="00102B2E">
        <w:t xml:space="preserve">, </w:t>
      </w:r>
      <w:r w:rsidRPr="00B37738" w:rsidR="00F538E2">
        <w:t xml:space="preserve">90 </w:t>
      </w:r>
      <w:r w:rsidR="00BA7609">
        <w:t xml:space="preserve">Fed. Reg. </w:t>
      </w:r>
      <w:r w:rsidRPr="00B37738" w:rsidR="00F538E2">
        <w:t xml:space="preserve">24277 </w:t>
      </w:r>
      <w:r w:rsidRPr="00B37738" w:rsidR="008D5043">
        <w:t>(Ju</w:t>
      </w:r>
      <w:r w:rsidRPr="00B37738" w:rsidR="00465987">
        <w:t>n</w:t>
      </w:r>
      <w:r w:rsidRPr="00B37738" w:rsidR="008D5043">
        <w:t xml:space="preserve">. </w:t>
      </w:r>
      <w:r w:rsidRPr="00B37738" w:rsidR="00465987">
        <w:t>9</w:t>
      </w:r>
      <w:r w:rsidRPr="00B37738" w:rsidR="008D5043">
        <w:t>, 202</w:t>
      </w:r>
      <w:r w:rsidRPr="00B37738" w:rsidR="00465987">
        <w:t>5</w:t>
      </w:r>
      <w:r w:rsidRPr="00B37738" w:rsidR="008D5043">
        <w:t>).</w:t>
      </w:r>
    </w:p>
  </w:footnote>
  <w:footnote w:id="10">
    <w:p w:rsidR="008206E3" w:rsidP="008206E3" w14:paraId="4CF5B090" w14:textId="207A324C">
      <w:pPr>
        <w:pStyle w:val="FootnoteText"/>
      </w:pPr>
      <w:r>
        <w:rPr>
          <w:rStyle w:val="FootnoteReference"/>
        </w:rPr>
        <w:footnoteRef/>
      </w:r>
      <w:r w:rsidR="00CC4541">
        <w:t xml:space="preserve"> </w:t>
      </w:r>
      <w:r w:rsidRPr="00CC4541" w:rsidR="00CC4541">
        <w:rPr>
          <w:i/>
          <w:iCs/>
        </w:rPr>
        <w:t>Id</w:t>
      </w:r>
      <w:r w:rsidR="00CC4541">
        <w:t>.</w:t>
      </w:r>
    </w:p>
  </w:footnote>
  <w:footnote w:id="11">
    <w:p w:rsidR="00B125A3" w:rsidRPr="00711B13" w14:paraId="49B6865C" w14:textId="2F8045F2">
      <w:pPr>
        <w:pStyle w:val="FootnoteText"/>
      </w:pPr>
      <w:r>
        <w:rPr>
          <w:rStyle w:val="FootnoteReference"/>
        </w:rPr>
        <w:footnoteRef/>
      </w:r>
      <w:r>
        <w:t xml:space="preserve"> Three commenters expressed general support for </w:t>
      </w:r>
      <w:r w:rsidR="00EB423A">
        <w:t xml:space="preserve">closing </w:t>
      </w:r>
      <w:r w:rsidR="00711B13">
        <w:t xml:space="preserve">dockets.  </w:t>
      </w:r>
      <w:r w:rsidR="00711B13">
        <w:rPr>
          <w:i/>
          <w:iCs/>
        </w:rPr>
        <w:t>See</w:t>
      </w:r>
      <w:r w:rsidR="0095662C">
        <w:rPr>
          <w:i/>
          <w:iCs/>
        </w:rPr>
        <w:t xml:space="preserve"> generally</w:t>
      </w:r>
      <w:r w:rsidR="00711B13">
        <w:rPr>
          <w:i/>
          <w:iCs/>
        </w:rPr>
        <w:t xml:space="preserve"> </w:t>
      </w:r>
      <w:r w:rsidR="00711B13">
        <w:t xml:space="preserve">Free State Foundation Comments, Andrew James Gonzalez Comments, and National Multifamily Housing Council </w:t>
      </w:r>
      <w:r w:rsidR="008664DD">
        <w:t xml:space="preserve">et al. </w:t>
      </w:r>
      <w:r w:rsidR="0095662C">
        <w:t>Comments.</w:t>
      </w:r>
    </w:p>
  </w:footnote>
  <w:footnote w:id="12">
    <w:p w:rsidR="004E6863" w:rsidP="004E6863" w14:paraId="6694C6C1" w14:textId="66D7DF22">
      <w:pPr>
        <w:pStyle w:val="FootnoteText"/>
      </w:pPr>
      <w:r>
        <w:rPr>
          <w:rStyle w:val="FootnoteReference"/>
        </w:rPr>
        <w:footnoteRef/>
      </w:r>
      <w:r>
        <w:t xml:space="preserve"> </w:t>
      </w:r>
      <w:r w:rsidRPr="00615275">
        <w:rPr>
          <w:spacing w:val="-1"/>
        </w:rPr>
        <w:t>An</w:t>
      </w:r>
      <w:r w:rsidRPr="00615275">
        <w:t>y</w:t>
      </w:r>
      <w:r w:rsidRPr="00615275">
        <w:rPr>
          <w:spacing w:val="-5"/>
        </w:rPr>
        <w:t xml:space="preserve"> </w:t>
      </w:r>
      <w:r w:rsidRPr="00615275">
        <w:rPr>
          <w:spacing w:val="-1"/>
        </w:rPr>
        <w:t>part</w:t>
      </w:r>
      <w:r w:rsidRPr="00615275">
        <w:t>y</w:t>
      </w:r>
      <w:r w:rsidRPr="00615275">
        <w:rPr>
          <w:spacing w:val="-5"/>
        </w:rPr>
        <w:t xml:space="preserve"> </w:t>
      </w:r>
      <w:r w:rsidRPr="00615275">
        <w:rPr>
          <w:spacing w:val="-1"/>
        </w:rPr>
        <w:t>aggrieve</w:t>
      </w:r>
      <w:r w:rsidRPr="00615275">
        <w:t>d</w:t>
      </w:r>
      <w:r w:rsidRPr="00615275">
        <w:rPr>
          <w:spacing w:val="-5"/>
        </w:rPr>
        <w:t xml:space="preserve"> </w:t>
      </w:r>
      <w:r w:rsidRPr="00615275">
        <w:rPr>
          <w:spacing w:val="-1"/>
        </w:rPr>
        <w:t>b</w:t>
      </w:r>
      <w:r w:rsidRPr="00615275">
        <w:t>y</w:t>
      </w:r>
      <w:r w:rsidRPr="00615275">
        <w:rPr>
          <w:spacing w:val="-5"/>
        </w:rPr>
        <w:t xml:space="preserve"> </w:t>
      </w:r>
      <w:r w:rsidRPr="00615275">
        <w:t>a</w:t>
      </w:r>
      <w:r w:rsidRPr="00615275">
        <w:rPr>
          <w:spacing w:val="-5"/>
        </w:rPr>
        <w:t xml:space="preserve"> </w:t>
      </w:r>
      <w:r w:rsidRPr="00615275">
        <w:rPr>
          <w:spacing w:val="-1"/>
        </w:rPr>
        <w:t>terminatio</w:t>
      </w:r>
      <w:r w:rsidRPr="00615275">
        <w:t>n</w:t>
      </w:r>
      <w:r w:rsidRPr="00615275">
        <w:rPr>
          <w:spacing w:val="-5"/>
        </w:rPr>
        <w:t xml:space="preserve"> </w:t>
      </w:r>
      <w:r w:rsidRPr="00615275">
        <w:rPr>
          <w:spacing w:val="-1"/>
        </w:rPr>
        <w:t>unde</w:t>
      </w:r>
      <w:r w:rsidRPr="00615275">
        <w:t>r</w:t>
      </w:r>
      <w:r w:rsidRPr="00615275">
        <w:rPr>
          <w:spacing w:val="-5"/>
        </w:rPr>
        <w:t xml:space="preserve"> </w:t>
      </w:r>
      <w:r w:rsidRPr="00615275">
        <w:rPr>
          <w:spacing w:val="-1"/>
        </w:rPr>
        <w:t>thi</w:t>
      </w:r>
      <w:r w:rsidRPr="00615275">
        <w:t>s</w:t>
      </w:r>
      <w:r w:rsidRPr="00615275">
        <w:rPr>
          <w:spacing w:val="-5"/>
        </w:rPr>
        <w:t xml:space="preserve"> </w:t>
      </w:r>
      <w:r w:rsidRPr="00615275">
        <w:rPr>
          <w:spacing w:val="-1"/>
        </w:rPr>
        <w:t>delegatio</w:t>
      </w:r>
      <w:r w:rsidRPr="00615275">
        <w:t>n</w:t>
      </w:r>
      <w:r w:rsidRPr="00615275">
        <w:rPr>
          <w:spacing w:val="-5"/>
        </w:rPr>
        <w:t xml:space="preserve"> </w:t>
      </w:r>
      <w:r w:rsidRPr="00615275">
        <w:rPr>
          <w:spacing w:val="-1"/>
        </w:rPr>
        <w:t>o</w:t>
      </w:r>
      <w:r w:rsidRPr="00615275">
        <w:t>f</w:t>
      </w:r>
      <w:r w:rsidRPr="00615275">
        <w:rPr>
          <w:spacing w:val="-5"/>
        </w:rPr>
        <w:t xml:space="preserve"> </w:t>
      </w:r>
      <w:r w:rsidRPr="00615275">
        <w:rPr>
          <w:spacing w:val="-1"/>
        </w:rPr>
        <w:t>authorit</w:t>
      </w:r>
      <w:r w:rsidRPr="00615275">
        <w:t>y</w:t>
      </w:r>
      <w:r w:rsidRPr="00615275">
        <w:rPr>
          <w:spacing w:val="-5"/>
        </w:rPr>
        <w:t xml:space="preserve"> </w:t>
      </w:r>
      <w:r w:rsidRPr="00615275">
        <w:rPr>
          <w:spacing w:val="-1"/>
        </w:rPr>
        <w:t>ma</w:t>
      </w:r>
      <w:r w:rsidRPr="00615275">
        <w:t>y</w:t>
      </w:r>
      <w:r w:rsidRPr="00615275">
        <w:rPr>
          <w:spacing w:val="-4"/>
        </w:rPr>
        <w:t xml:space="preserve"> </w:t>
      </w:r>
      <w:r w:rsidRPr="00615275">
        <w:rPr>
          <w:spacing w:val="-1"/>
        </w:rPr>
        <w:t>fil</w:t>
      </w:r>
      <w:r w:rsidRPr="00615275">
        <w:t>e</w:t>
      </w:r>
      <w:r w:rsidRPr="00615275">
        <w:rPr>
          <w:spacing w:val="-5"/>
        </w:rPr>
        <w:t xml:space="preserve"> </w:t>
      </w:r>
      <w:r w:rsidRPr="00615275">
        <w:t>a</w:t>
      </w:r>
      <w:r w:rsidRPr="00615275">
        <w:rPr>
          <w:spacing w:val="-5"/>
        </w:rPr>
        <w:t xml:space="preserve"> </w:t>
      </w:r>
      <w:r w:rsidRPr="00615275">
        <w:rPr>
          <w:spacing w:val="-1"/>
        </w:rPr>
        <w:t>petitio</w:t>
      </w:r>
      <w:r w:rsidRPr="00615275">
        <w:t>n</w:t>
      </w:r>
      <w:r w:rsidRPr="00615275">
        <w:rPr>
          <w:spacing w:val="-5"/>
        </w:rPr>
        <w:t xml:space="preserve"> </w:t>
      </w:r>
      <w:r w:rsidRPr="00615275">
        <w:rPr>
          <w:spacing w:val="-1"/>
        </w:rPr>
        <w:t>fo</w:t>
      </w:r>
      <w:r w:rsidRPr="00615275">
        <w:t>r</w:t>
      </w:r>
      <w:r w:rsidRPr="00615275">
        <w:rPr>
          <w:spacing w:val="-5"/>
        </w:rPr>
        <w:t xml:space="preserve"> </w:t>
      </w:r>
      <w:r w:rsidRPr="00615275">
        <w:rPr>
          <w:spacing w:val="-1"/>
        </w:rPr>
        <w:t>reconsideratio</w:t>
      </w:r>
      <w:r w:rsidRPr="00615275">
        <w:t>n</w:t>
      </w:r>
      <w:r w:rsidRPr="00615275">
        <w:rPr>
          <w:spacing w:val="-5"/>
        </w:rPr>
        <w:t xml:space="preserve"> </w:t>
      </w:r>
      <w:r w:rsidRPr="00615275">
        <w:rPr>
          <w:spacing w:val="-1"/>
        </w:rPr>
        <w:t>with</w:t>
      </w:r>
      <w:r w:rsidRPr="00615275">
        <w:rPr>
          <w:spacing w:val="-1"/>
          <w:w w:val="99"/>
        </w:rPr>
        <w:t xml:space="preserve"> </w:t>
      </w:r>
      <w:r w:rsidRPr="00615275">
        <w:t>CGB</w:t>
      </w:r>
      <w:r w:rsidRPr="00615275">
        <w:rPr>
          <w:spacing w:val="-5"/>
        </w:rPr>
        <w:t xml:space="preserve"> </w:t>
      </w:r>
      <w:r w:rsidRPr="00615275">
        <w:t>or</w:t>
      </w:r>
      <w:r w:rsidRPr="00615275">
        <w:rPr>
          <w:spacing w:val="-4"/>
        </w:rPr>
        <w:t xml:space="preserve"> </w:t>
      </w:r>
      <w:r w:rsidRPr="00615275">
        <w:t>an</w:t>
      </w:r>
      <w:r w:rsidRPr="00615275">
        <w:rPr>
          <w:spacing w:val="-4"/>
        </w:rPr>
        <w:t xml:space="preserve"> </w:t>
      </w:r>
      <w:r w:rsidRPr="00615275">
        <w:t>application</w:t>
      </w:r>
      <w:r w:rsidRPr="00615275">
        <w:rPr>
          <w:spacing w:val="-5"/>
        </w:rPr>
        <w:t xml:space="preserve"> </w:t>
      </w:r>
      <w:r w:rsidRPr="00615275">
        <w:t>for</w:t>
      </w:r>
      <w:r w:rsidRPr="00615275">
        <w:rPr>
          <w:spacing w:val="-4"/>
        </w:rPr>
        <w:t xml:space="preserve"> </w:t>
      </w:r>
      <w:r w:rsidRPr="00615275">
        <w:t>review</w:t>
      </w:r>
      <w:r w:rsidRPr="00615275">
        <w:rPr>
          <w:spacing w:val="-9"/>
        </w:rPr>
        <w:t xml:space="preserve"> </w:t>
      </w:r>
      <w:r w:rsidRPr="00615275">
        <w:rPr>
          <w:spacing w:val="-2"/>
        </w:rPr>
        <w:t>wit</w:t>
      </w:r>
      <w:r w:rsidRPr="00615275">
        <w:t>h</w:t>
      </w:r>
      <w:r w:rsidRPr="00615275">
        <w:rPr>
          <w:spacing w:val="-5"/>
        </w:rPr>
        <w:t xml:space="preserve"> </w:t>
      </w:r>
      <w:r w:rsidRPr="00615275">
        <w:rPr>
          <w:spacing w:val="-2"/>
        </w:rPr>
        <w:t>th</w:t>
      </w:r>
      <w:r w:rsidRPr="00615275">
        <w:t>e</w:t>
      </w:r>
      <w:r w:rsidRPr="00615275">
        <w:rPr>
          <w:spacing w:val="-5"/>
        </w:rPr>
        <w:t xml:space="preserve"> </w:t>
      </w:r>
      <w:r w:rsidRPr="00615275">
        <w:rPr>
          <w:spacing w:val="-2"/>
        </w:rPr>
        <w:t>ful</w:t>
      </w:r>
      <w:r w:rsidRPr="00615275">
        <w:t>l</w:t>
      </w:r>
      <w:r w:rsidRPr="00615275">
        <w:rPr>
          <w:spacing w:val="-6"/>
        </w:rPr>
        <w:t xml:space="preserve"> </w:t>
      </w:r>
      <w:r w:rsidRPr="00615275">
        <w:rPr>
          <w:spacing w:val="-2"/>
        </w:rPr>
        <w:t>Commis</w:t>
      </w:r>
      <w:r w:rsidRPr="00615275">
        <w:rPr>
          <w:spacing w:val="-1"/>
        </w:rPr>
        <w:t>sio</w:t>
      </w:r>
      <w:r w:rsidRPr="00615275">
        <w:t>n</w:t>
      </w:r>
      <w:r w:rsidRPr="00615275" w:rsidR="00615275">
        <w:t>.</w:t>
      </w:r>
      <w:r>
        <w:rPr>
          <w:spacing w:val="42"/>
        </w:rPr>
        <w:t xml:space="preserve"> </w:t>
      </w:r>
      <w:r>
        <w:rPr>
          <w:i/>
        </w:rPr>
        <w:t>Procedure</w:t>
      </w:r>
      <w:r>
        <w:rPr>
          <w:i/>
          <w:spacing w:val="-5"/>
        </w:rPr>
        <w:t xml:space="preserve"> </w:t>
      </w:r>
      <w:r>
        <w:rPr>
          <w:i/>
        </w:rPr>
        <w:t>Orde</w:t>
      </w:r>
      <w:r>
        <w:rPr>
          <w:i/>
          <w:spacing w:val="-1"/>
        </w:rPr>
        <w:t>r</w:t>
      </w:r>
      <w:r>
        <w:t>,</w:t>
      </w:r>
      <w:r>
        <w:rPr>
          <w:spacing w:val="-4"/>
        </w:rPr>
        <w:t xml:space="preserve"> </w:t>
      </w:r>
      <w:r>
        <w:t>26</w:t>
      </w:r>
      <w:r>
        <w:rPr>
          <w:spacing w:val="-4"/>
        </w:rPr>
        <w:t xml:space="preserve"> </w:t>
      </w:r>
      <w:r>
        <w:t>FCC</w:t>
      </w:r>
      <w:r>
        <w:rPr>
          <w:spacing w:val="-5"/>
        </w:rPr>
        <w:t xml:space="preserve"> </w:t>
      </w:r>
      <w:r>
        <w:t>Rcd</w:t>
      </w:r>
      <w:r>
        <w:rPr>
          <w:spacing w:val="-3"/>
        </w:rPr>
        <w:t xml:space="preserve"> </w:t>
      </w:r>
      <w:r>
        <w:t>at</w:t>
      </w:r>
      <w:r>
        <w:rPr>
          <w:spacing w:val="-4"/>
        </w:rPr>
        <w:t xml:space="preserve"> </w:t>
      </w:r>
      <w:r>
        <w:t>1604,</w:t>
      </w:r>
      <w:r>
        <w:rPr>
          <w:spacing w:val="-3"/>
        </w:rPr>
        <w:t xml:space="preserve"> </w:t>
      </w:r>
      <w:r>
        <w:t>para.</w:t>
      </w:r>
      <w:r>
        <w:rPr>
          <w:spacing w:val="-3"/>
        </w:rPr>
        <w:t xml:space="preserve"> </w:t>
      </w:r>
      <w:r>
        <w:rPr>
          <w:spacing w:val="1"/>
        </w:rPr>
        <w:t>24.</w:t>
      </w:r>
    </w:p>
  </w:footnote>
  <w:footnote w:id="13">
    <w:p w:rsidR="00445347" w14:paraId="29C4DE24" w14:textId="624A4EDD">
      <w:pPr>
        <w:pStyle w:val="FootnoteText"/>
      </w:pPr>
      <w:r>
        <w:rPr>
          <w:rStyle w:val="FootnoteReference"/>
        </w:rPr>
        <w:footnoteRef/>
      </w:r>
      <w:r>
        <w:t xml:space="preserve"> </w:t>
      </w:r>
      <w:r w:rsidRPr="00B37738" w:rsidR="00B37738">
        <w:rPr>
          <w:i/>
          <w:iCs/>
        </w:rPr>
        <w:t>Ninth</w:t>
      </w:r>
      <w:r w:rsidRPr="00B37738">
        <w:rPr>
          <w:i/>
          <w:iCs/>
        </w:rPr>
        <w:t xml:space="preserve"> Dormant Proceedings Termination </w:t>
      </w:r>
      <w:r w:rsidR="001322F7">
        <w:rPr>
          <w:i/>
          <w:iCs/>
        </w:rPr>
        <w:t xml:space="preserve">Public </w:t>
      </w:r>
      <w:r w:rsidRPr="00B37738">
        <w:rPr>
          <w:i/>
          <w:iCs/>
        </w:rPr>
        <w:t>Notice</w:t>
      </w:r>
      <w:r w:rsidRPr="00B37738">
        <w:t xml:space="preserve">, </w:t>
      </w:r>
      <w:r w:rsidRPr="001361C6" w:rsidR="0085249F">
        <w:t>DA 25-376</w:t>
      </w:r>
      <w:r w:rsidR="0072373A">
        <w:t xml:space="preserve"> at </w:t>
      </w:r>
      <w:r w:rsidRPr="001361C6" w:rsidR="00072705">
        <w:t>A</w:t>
      </w:r>
      <w:r w:rsidRPr="001361C6" w:rsidR="003E04C4">
        <w:t>ttach</w:t>
      </w:r>
      <w:r w:rsidR="003849A9">
        <w:t>ment</w:t>
      </w:r>
      <w:r w:rsidR="00072705">
        <w:t>.</w:t>
      </w:r>
    </w:p>
  </w:footnote>
  <w:footnote w:id="14">
    <w:p w:rsidR="00103412" w14:paraId="3695532B" w14:textId="4407379E">
      <w:pPr>
        <w:pStyle w:val="FootnoteText"/>
      </w:pPr>
      <w:r>
        <w:rPr>
          <w:rStyle w:val="FootnoteReference"/>
        </w:rPr>
        <w:footnoteRef/>
      </w:r>
      <w:r>
        <w:t xml:space="preserve"> </w:t>
      </w:r>
      <w:r w:rsidR="00FE4D1E">
        <w:rPr>
          <w:i/>
          <w:iCs/>
        </w:rPr>
        <w:t xml:space="preserve">See </w:t>
      </w:r>
      <w:r w:rsidR="00FE4D1E">
        <w:t>Geophysical Survey Systems, Inc. Comments at 2</w:t>
      </w:r>
      <w:r w:rsidR="00890B03">
        <w:t xml:space="preserve"> (arguing that this proceeding should remain open and that the Commission should grant its waiver request therein)</w:t>
      </w:r>
      <w:r w:rsidR="00FE4D1E">
        <w:t>; Letter from Lisa L. Dyer, Executive Director, GPS Innovation Alliance, to Marlene Dortch, Secretary, FCC, CG Docket No.</w:t>
      </w:r>
      <w:r w:rsidRPr="000C6C33" w:rsidR="00FE4D1E">
        <w:t xml:space="preserve"> 25-165</w:t>
      </w:r>
      <w:r w:rsidR="00FE4D1E">
        <w:t xml:space="preserve"> at 2 (filed Aug. 13, 2025)</w:t>
      </w:r>
      <w:r w:rsidR="00890B03">
        <w:t xml:space="preserve"> (arguing that the Commission should require GSSI to provide additional technical information into the proceeding record).</w:t>
      </w:r>
      <w:r w:rsidR="00FE4D1E">
        <w:t xml:space="preserve"> </w:t>
      </w:r>
    </w:p>
  </w:footnote>
  <w:footnote w:id="15">
    <w:p w:rsidR="006308D5" w:rsidP="006308D5" w14:paraId="6007EE8E" w14:textId="362813E0">
      <w:pPr>
        <w:spacing w:after="120"/>
        <w:rPr>
          <w:sz w:val="20"/>
        </w:rPr>
      </w:pPr>
      <w:r>
        <w:rPr>
          <w:rStyle w:val="FootnoteReference"/>
          <w:rFonts w:cstheme="minorBidi"/>
        </w:rPr>
        <w:footnoteRef/>
      </w:r>
      <w:r>
        <w:t xml:space="preserve"> </w:t>
      </w:r>
      <w:r w:rsidRPr="008136EC">
        <w:rPr>
          <w:sz w:val="20"/>
        </w:rPr>
        <w:t xml:space="preserve">In the Attachment to the </w:t>
      </w:r>
      <w:r w:rsidRPr="008136EC">
        <w:rPr>
          <w:i/>
          <w:sz w:val="20"/>
        </w:rPr>
        <w:t>Ninth Dormant Proceedings Termination Public Notice</w:t>
      </w:r>
      <w:r w:rsidRPr="008136EC">
        <w:rPr>
          <w:sz w:val="20"/>
        </w:rPr>
        <w:t>, the description of this</w:t>
      </w:r>
      <w:r w:rsidRPr="008136EC">
        <w:rPr>
          <w:i/>
          <w:sz w:val="20"/>
        </w:rPr>
        <w:t xml:space="preserve"> </w:t>
      </w:r>
      <w:r w:rsidRPr="008136EC">
        <w:rPr>
          <w:sz w:val="20"/>
        </w:rPr>
        <w:t>proceeding was listed as</w:t>
      </w:r>
      <w:r w:rsidRPr="008136EC">
        <w:rPr>
          <w:i/>
          <w:sz w:val="20"/>
        </w:rPr>
        <w:t xml:space="preserve"> “</w:t>
      </w:r>
      <w:r w:rsidRPr="008136EC">
        <w:rPr>
          <w:color w:val="000000"/>
          <w:kern w:val="0"/>
          <w:sz w:val="20"/>
        </w:rPr>
        <w:t>Amendment of Pts. 1,2,15,25,27,74,78,80,87,90,97, and 101 of the Commission's rules regarding Final Acts of the WRC 07.”  In this Order, w</w:t>
      </w:r>
      <w:r w:rsidRPr="008136EC">
        <w:rPr>
          <w:sz w:val="20"/>
        </w:rPr>
        <w:t xml:space="preserve">e have revised the title to reflect the docket caption used in several past Commission orders.  </w:t>
      </w:r>
      <w:r w:rsidRPr="008136EC">
        <w:rPr>
          <w:i/>
          <w:sz w:val="20"/>
        </w:rPr>
        <w:t>See, e.g</w:t>
      </w:r>
      <w:r w:rsidRPr="008136EC">
        <w:rPr>
          <w:sz w:val="20"/>
        </w:rPr>
        <w:t xml:space="preserve">., </w:t>
      </w:r>
      <w:r w:rsidRPr="008136EC">
        <w:rPr>
          <w:i/>
          <w:sz w:val="20"/>
        </w:rPr>
        <w:t>Amendment of Parts 2, 15, 80, 90, 97, and 101 of the Commission's Rules Regarding Implementation of the Final Acts of the World Radiocommunication Conference (Geneva, 2012) (WRC-12), Other Allocation Issues, and Related Rule Updates</w:t>
      </w:r>
      <w:r w:rsidRPr="008136EC">
        <w:rPr>
          <w:sz w:val="20"/>
        </w:rPr>
        <w:t xml:space="preserve">, ET Docket No. 15-99, Report and Order. 32 FCC </w:t>
      </w:r>
      <w:r w:rsidRPr="008136EC">
        <w:rPr>
          <w:sz w:val="20"/>
        </w:rPr>
        <w:t>Rcd</w:t>
      </w:r>
      <w:r w:rsidRPr="008136EC">
        <w:rPr>
          <w:sz w:val="20"/>
        </w:rPr>
        <w:t xml:space="preserve"> 2703 (2017).  </w:t>
      </w:r>
      <w:r w:rsidRPr="008136EC" w:rsidR="008136EC">
        <w:rPr>
          <w:i/>
          <w:iCs/>
          <w:sz w:val="20"/>
        </w:rPr>
        <w:t>See</w:t>
      </w:r>
      <w:r w:rsidRPr="008136EC" w:rsidR="008136EC">
        <w:rPr>
          <w:sz w:val="20"/>
        </w:rPr>
        <w:t xml:space="preserve"> Lockheed Comments at 2; Aerospace and Flight Test Radio Coordinating Council, Inc. (AFTRCC) Comments at 2-3; Textron Aviation Reply Comments at 1-2; Joby Aviation, Inc. Reply Comments at 4; Aerostar International, LLC Reply Comments at 1.</w:t>
      </w:r>
    </w:p>
  </w:footnote>
  <w:footnote w:id="16">
    <w:p w:rsidR="00B050E6" w14:paraId="0BB56C30" w14:textId="3CEB8F01">
      <w:pPr>
        <w:pStyle w:val="FootnoteText"/>
      </w:pPr>
      <w:r>
        <w:rPr>
          <w:rStyle w:val="FootnoteReference"/>
        </w:rPr>
        <w:footnoteRef/>
      </w:r>
      <w:r>
        <w:t xml:space="preserve"> </w:t>
      </w:r>
      <w:r>
        <w:rPr>
          <w:i/>
          <w:iCs/>
        </w:rPr>
        <w:t xml:space="preserve">See </w:t>
      </w:r>
      <w:r>
        <w:t xml:space="preserve">Bryan Broadcasting License Corporation et al. Comments at 5 (arguing that MB </w:t>
      </w:r>
      <w:r w:rsidR="00D61013">
        <w:t>07-294 and MB 13-249 should remain open)</w:t>
      </w:r>
      <w:r>
        <w:t xml:space="preserve">.  Bryan Broadcasting incorrectly identified MB Docket No. 13-349 as the AM Revitalization docket.  The correct docket number as identified in the </w:t>
      </w:r>
      <w:r w:rsidRPr="00B37738">
        <w:rPr>
          <w:i/>
          <w:iCs/>
        </w:rPr>
        <w:t xml:space="preserve">Ninth Dormant Proceedings Termination </w:t>
      </w:r>
      <w:r>
        <w:rPr>
          <w:i/>
          <w:iCs/>
        </w:rPr>
        <w:t xml:space="preserve">Public </w:t>
      </w:r>
      <w:r w:rsidRPr="00B37738">
        <w:rPr>
          <w:i/>
          <w:iCs/>
        </w:rPr>
        <w:t>Notice</w:t>
      </w:r>
      <w:r>
        <w:t xml:space="preserve"> is MB Docket No. 13-249.  </w:t>
      </w:r>
      <w:r w:rsidR="00645A25">
        <w:t>No commenter opposed retaining this docket.</w:t>
      </w:r>
    </w:p>
  </w:footnote>
  <w:footnote w:id="17">
    <w:p w:rsidR="0012685E" w:rsidRPr="0012685E" w14:paraId="130973A1" w14:textId="1C2D90C8">
      <w:pPr>
        <w:pStyle w:val="FootnoteText"/>
      </w:pPr>
      <w:r>
        <w:rPr>
          <w:rStyle w:val="FootnoteReference"/>
        </w:rPr>
        <w:footnoteRef/>
      </w:r>
      <w:r>
        <w:t xml:space="preserve"> </w:t>
      </w:r>
      <w:r>
        <w:rPr>
          <w:i/>
          <w:iCs/>
        </w:rPr>
        <w:t>Id</w:t>
      </w:r>
      <w:r>
        <w:t>.</w:t>
      </w:r>
    </w:p>
  </w:footnote>
  <w:footnote w:id="18">
    <w:p w:rsidR="0012685E" w14:paraId="58632986" w14:textId="62EC8938">
      <w:pPr>
        <w:pStyle w:val="FootnoteText"/>
      </w:pPr>
      <w:r>
        <w:rPr>
          <w:rStyle w:val="FootnoteReference"/>
        </w:rPr>
        <w:footnoteRef/>
      </w:r>
      <w:r>
        <w:t xml:space="preserve"> </w:t>
      </w:r>
      <w:r w:rsidR="0074517D">
        <w:rPr>
          <w:i/>
          <w:iCs/>
        </w:rPr>
        <w:t xml:space="preserve">See </w:t>
      </w:r>
      <w:r w:rsidR="0074517D">
        <w:t xml:space="preserve">Walt Disney Company, Fox Corporation, and NBCUniversal Media </w:t>
      </w:r>
      <w:r w:rsidR="00953104">
        <w:t>Comments</w:t>
      </w:r>
      <w:r w:rsidR="00D87859">
        <w:t xml:space="preserve"> at 2</w:t>
      </w:r>
      <w:r w:rsidR="00953104">
        <w:t xml:space="preserve"> (</w:t>
      </w:r>
      <w:r w:rsidR="00D87859">
        <w:t xml:space="preserve">arguing that </w:t>
      </w:r>
      <w:r w:rsidR="00953104">
        <w:t>“[b]</w:t>
      </w:r>
      <w:r w:rsidRPr="007D3B27" w:rsidR="00953104">
        <w:t>ecause</w:t>
      </w:r>
      <w:r w:rsidRPr="007D3B27" w:rsidR="00953104">
        <w:t xml:space="preserve"> all repack-related reimbursement payments have not been made, any termination of MB Docket </w:t>
      </w:r>
      <w:r w:rsidR="00953104">
        <w:t>N</w:t>
      </w:r>
      <w:r w:rsidRPr="007D3B27" w:rsidR="00953104">
        <w:t>o. 1</w:t>
      </w:r>
      <w:r w:rsidR="00953104">
        <w:t>6</w:t>
      </w:r>
      <w:r w:rsidRPr="007D3B27" w:rsidR="00953104">
        <w:t>-306 would be premature and may risk future reimbursement requests</w:t>
      </w:r>
      <w:r w:rsidR="00953104">
        <w:t>”</w:t>
      </w:r>
      <w:r w:rsidR="00D87859">
        <w:t>).  No commenter o</w:t>
      </w:r>
      <w:r w:rsidR="00645A25">
        <w:t>pposed retaining this docket.</w:t>
      </w:r>
    </w:p>
  </w:footnote>
  <w:footnote w:id="19">
    <w:p w:rsidR="00953104" w:rsidRPr="00645A25" w14:paraId="08408B32" w14:textId="53C7FB58">
      <w:pPr>
        <w:pStyle w:val="FootnoteText"/>
      </w:pPr>
      <w:r>
        <w:rPr>
          <w:rStyle w:val="FootnoteReference"/>
        </w:rPr>
        <w:footnoteRef/>
      </w:r>
      <w:r>
        <w:t xml:space="preserve"> </w:t>
      </w:r>
      <w:r w:rsidR="00645A25">
        <w:rPr>
          <w:i/>
          <w:iCs/>
        </w:rPr>
        <w:t xml:space="preserve">See </w:t>
      </w:r>
      <w:r w:rsidR="00CC5EC1">
        <w:t>NCTA Comments at 1 (arguing that CGB should not close this proceeding, but rather, the Commission should act on an issue presented therein).  No commenter opposed retaining this docket.</w:t>
      </w:r>
    </w:p>
  </w:footnote>
  <w:footnote w:id="20">
    <w:p w:rsidR="00465FC0" w14:paraId="55E3353A" w14:textId="6AB4D975">
      <w:pPr>
        <w:pStyle w:val="FootnoteText"/>
      </w:pPr>
      <w:r>
        <w:rPr>
          <w:rStyle w:val="FootnoteReference"/>
        </w:rPr>
        <w:footnoteRef/>
      </w:r>
      <w:r>
        <w:t xml:space="preserve"> </w:t>
      </w:r>
      <w:r>
        <w:rPr>
          <w:i/>
          <w:iCs/>
        </w:rPr>
        <w:t xml:space="preserve">See </w:t>
      </w:r>
      <w:r>
        <w:t>The Cromwell Group, Inc. Comments at 2 (</w:t>
      </w:r>
      <w:r w:rsidR="00327D8B">
        <w:t>arguing that the issues implicated in this rulemaking proceeding are still active and that this docket should remain open “to allow for further consideration and resolution of the pending Petition”)</w:t>
      </w:r>
      <w:r w:rsidR="00396DAB">
        <w:t>.  No commenter opposed retaining this docket.</w:t>
      </w:r>
      <w:r w:rsidR="00650DC2">
        <w:t xml:space="preserve">  We have corrected two minor typographic errors in the docket title.</w:t>
      </w:r>
    </w:p>
  </w:footnote>
  <w:footnote w:id="21">
    <w:p w:rsidR="00396DAB" w14:paraId="48AEED00" w14:textId="0AF28D33">
      <w:pPr>
        <w:pStyle w:val="FootnoteText"/>
      </w:pPr>
      <w:r>
        <w:rPr>
          <w:rStyle w:val="FootnoteReference"/>
        </w:rPr>
        <w:footnoteRef/>
      </w:r>
      <w:r>
        <w:t xml:space="preserve"> We retain this docket </w:t>
      </w:r>
      <w:r w:rsidRPr="00396DAB">
        <w:t xml:space="preserve">because </w:t>
      </w:r>
      <w:r w:rsidR="00B76208">
        <w:t>it</w:t>
      </w:r>
      <w:r w:rsidRPr="00396DAB">
        <w:t xml:space="preserve"> is used by Commission staff for administrative purpose</w:t>
      </w:r>
      <w:r>
        <w:t>s.</w:t>
      </w:r>
    </w:p>
  </w:footnote>
  <w:footnote w:id="22">
    <w:p w:rsidR="00C57446" w14:paraId="03660C12" w14:textId="03AF5FBA">
      <w:pPr>
        <w:pStyle w:val="FootnoteText"/>
      </w:pPr>
      <w:r>
        <w:rPr>
          <w:rStyle w:val="FootnoteReference"/>
        </w:rPr>
        <w:footnoteRef/>
      </w:r>
      <w:r>
        <w:t xml:space="preserve"> </w:t>
      </w:r>
      <w:r w:rsidR="002A11FA">
        <w:t>After consultation with the Office of General Counsel, we find that this docket is not a good candidate for termination</w:t>
      </w:r>
      <w:r w:rsidR="006E210F">
        <w:t xml:space="preserve"> under delegated authority</w:t>
      </w:r>
      <w:r w:rsidR="002A11FA">
        <w:t>.</w:t>
      </w:r>
    </w:p>
  </w:footnote>
  <w:footnote w:id="23">
    <w:p w:rsidR="00E90941" w:rsidP="00E90941" w14:paraId="6DAB5A01" w14:textId="42133BCE">
      <w:pPr>
        <w:pStyle w:val="FootnoteText"/>
      </w:pPr>
      <w:r>
        <w:rPr>
          <w:rStyle w:val="FootnoteReference"/>
        </w:rPr>
        <w:footnoteRef/>
      </w:r>
      <w:r>
        <w:t xml:space="preserve"> </w:t>
      </w:r>
      <w:r w:rsidRPr="005D5160">
        <w:rPr>
          <w:i/>
          <w:iCs/>
        </w:rPr>
        <w:t>See</w:t>
      </w:r>
      <w:r>
        <w:t xml:space="preserve"> </w:t>
      </w:r>
      <w:r>
        <w:rPr>
          <w:i/>
          <w:iCs/>
        </w:rPr>
        <w:t>Ninth</w:t>
      </w:r>
      <w:r w:rsidRPr="000533C2">
        <w:rPr>
          <w:i/>
          <w:iCs/>
        </w:rPr>
        <w:t xml:space="preserve"> Dormant Proceedings Termination Public Notice</w:t>
      </w:r>
      <w:r w:rsidRPr="004552C6" w:rsidR="004552C6">
        <w:t xml:space="preserve">, DA 25-376 at </w:t>
      </w:r>
      <w:r w:rsidR="005C1E0A">
        <w:t>second unnumbered page</w:t>
      </w:r>
      <w:r>
        <w:t>.</w:t>
      </w:r>
    </w:p>
  </w:footnote>
  <w:footnote w:id="24">
    <w:p w:rsidR="00E90941" w:rsidRPr="00D77D42" w:rsidP="00E90941" w14:paraId="61A8BA85" w14:textId="77777777">
      <w:pPr>
        <w:pStyle w:val="FootnoteText"/>
      </w:pPr>
      <w:r>
        <w:rPr>
          <w:rStyle w:val="FootnoteReference"/>
        </w:rPr>
        <w:footnoteRef/>
      </w:r>
      <w:r>
        <w:t xml:space="preserve"> </w:t>
      </w:r>
      <w:r>
        <w:rPr>
          <w:i/>
          <w:iCs/>
        </w:rPr>
        <w:t>Id</w:t>
      </w:r>
      <w:r>
        <w:t>.</w:t>
      </w:r>
    </w:p>
  </w:footnote>
  <w:footnote w:id="25">
    <w:p w:rsidR="0087353F" w:rsidRPr="0087353F" w14:paraId="770D08AA" w14:textId="6507E463">
      <w:pPr>
        <w:pStyle w:val="FootnoteText"/>
      </w:pPr>
      <w:r>
        <w:rPr>
          <w:rStyle w:val="FootnoteReference"/>
        </w:rPr>
        <w:footnoteRef/>
      </w:r>
      <w:r>
        <w:t xml:space="preserve"> </w:t>
      </w:r>
      <w:r>
        <w:rPr>
          <w:i/>
          <w:iCs/>
        </w:rPr>
        <w:t xml:space="preserve">See </w:t>
      </w:r>
      <w:r>
        <w:t xml:space="preserve">National Multifamily Housing Council </w:t>
      </w:r>
      <w:r w:rsidR="00B63D29">
        <w:t xml:space="preserve">et al. </w:t>
      </w:r>
      <w:r>
        <w:t>Comments</w:t>
      </w:r>
      <w:r w:rsidR="009B0D62">
        <w:t xml:space="preserve"> at 3-17</w:t>
      </w:r>
      <w:r>
        <w:t>.</w:t>
      </w:r>
    </w:p>
  </w:footnote>
  <w:footnote w:id="26">
    <w:p w:rsidR="00D14C6A" w:rsidRPr="00D14C6A" w14:paraId="0C71EEDD" w14:textId="737FD16E">
      <w:pPr>
        <w:pStyle w:val="FootnoteText"/>
      </w:pPr>
      <w:r>
        <w:rPr>
          <w:rStyle w:val="FootnoteReference"/>
        </w:rPr>
        <w:footnoteRef/>
      </w:r>
      <w:r>
        <w:t xml:space="preserve"> </w:t>
      </w:r>
      <w:r>
        <w:rPr>
          <w:i/>
          <w:iCs/>
        </w:rPr>
        <w:t xml:space="preserve">See </w:t>
      </w:r>
      <w:r>
        <w:t>Alliance for Automotive Innovation Comments</w:t>
      </w:r>
      <w:r w:rsidR="00EE4DA7">
        <w:t xml:space="preserve"> at third unnumbered page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6E3" w:rsidP="00810B6F" w14:paraId="7F55337D" w14:textId="47ED8A8A">
    <w:pPr>
      <w:pStyle w:val="Header"/>
      <w:rPr>
        <w:b w:val="0"/>
      </w:rPr>
    </w:pPr>
    <w:r>
      <w:tab/>
      <w:t>Federal Communications Commission</w:t>
    </w:r>
    <w:r>
      <w:tab/>
    </w:r>
    <w:r w:rsidRPr="00475876">
      <w:t xml:space="preserve">DA </w:t>
    </w:r>
    <w:r w:rsidRPr="00475876" w:rsidR="00793816">
      <w:t>2</w:t>
    </w:r>
    <w:r w:rsidRPr="00475876" w:rsidR="004165EC">
      <w:t>5</w:t>
    </w:r>
    <w:r w:rsidRPr="00475876" w:rsidR="00645DB7">
      <w:t>-</w:t>
    </w:r>
    <w:r w:rsidRPr="00475876" w:rsidR="00475876">
      <w:t>1002</w:t>
    </w:r>
  </w:p>
  <w:p w:rsidR="008206E3" w14:paraId="02A53F18" w14:textId="39960B28">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p w:rsidR="008206E3" w14:paraId="187238C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6E3" w:rsidP="00810B6F" w14:paraId="6AFC98D0" w14:textId="52CBB42C">
    <w:pPr>
      <w:pStyle w:val="Header"/>
      <w:rPr>
        <w:spacing w:val="-2"/>
      </w:rPr>
    </w:pPr>
    <w:r>
      <w:rPr>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2" name="Rectangle 1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6"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r w:rsidR="00F11AEE">
      <w:tab/>
      <w:t>Federal Communications Commission</w:t>
    </w:r>
    <w:r w:rsidR="00F11AEE">
      <w:tab/>
    </w:r>
    <w:r w:rsidRPr="00475876" w:rsidR="00F11AEE">
      <w:rPr>
        <w:spacing w:val="-2"/>
      </w:rPr>
      <w:t xml:space="preserve">DA </w:t>
    </w:r>
    <w:r w:rsidRPr="00475876" w:rsidR="0005570F">
      <w:rPr>
        <w:spacing w:val="-2"/>
      </w:rPr>
      <w:t>2</w:t>
    </w:r>
    <w:r w:rsidRPr="00475876" w:rsidR="00C904F2">
      <w:rPr>
        <w:spacing w:val="-2"/>
      </w:rPr>
      <w:t>5</w:t>
    </w:r>
    <w:r w:rsidRPr="00475876" w:rsidR="005E22A5">
      <w:rPr>
        <w:spacing w:val="-2"/>
      </w:rPr>
      <w:t>-</w:t>
    </w:r>
    <w:r w:rsidRPr="00475876" w:rsidR="00475876">
      <w:rPr>
        <w:spacing w:val="-2"/>
      </w:rPr>
      <w:t>1002</w:t>
    </w:r>
  </w:p>
  <w:p w:rsidR="008206E3" w:rsidP="00810B6F" w14:paraId="777F5B12" w14:textId="77777777">
    <w:pPr>
      <w:pStyle w:val="Header"/>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BACA0E1"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1FE892E" w14:textId="269A12A8">
    <w:pPr>
      <w:pStyle w:val="Header"/>
      <w:rPr>
        <w:b w:val="0"/>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00F11AEE">
      <w:tab/>
      <w:t>Federal Communications Commission</w:t>
    </w:r>
    <w:r w:rsidR="00F11AEE">
      <w:tab/>
    </w:r>
    <w:r w:rsidR="0028301F">
      <w:rPr>
        <w:spacing w:val="-2"/>
      </w:rPr>
      <w:fldChar w:fldCharType="begin"/>
    </w:r>
    <w:r w:rsidR="0028301F">
      <w:rPr>
        <w:spacing w:val="-2"/>
      </w:rPr>
      <w:instrText xml:space="preserve"> MACROBUTTON  Overtype "FCC  XX-XXX" </w:instrText>
    </w:r>
    <w:r w:rsidR="0028301F">
      <w:rPr>
        <w:spacing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783C"/>
    <w:multiLevelType w:val="singleLevel"/>
    <w:tmpl w:val="727A47D4"/>
    <w:lvl w:ilvl="0">
      <w:start w:val="1"/>
      <w:numFmt w:val="decimal"/>
      <w:lvlText w:val="%1."/>
      <w:lvlJc w:val="left"/>
      <w:pPr>
        <w:tabs>
          <w:tab w:val="num" w:pos="1020"/>
        </w:tabs>
        <w:ind w:left="-60" w:firstLine="720"/>
      </w:pPr>
      <w:rPr>
        <w:b w:val="0"/>
        <w:i w:val="0"/>
        <w:sz w:val="22"/>
        <w:szCs w:val="22"/>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F007050"/>
    <w:multiLevelType w:val="hybridMultilevel"/>
    <w:tmpl w:val="16BEC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7A7F2475"/>
    <w:multiLevelType w:val="hybridMultilevel"/>
    <w:tmpl w:val="9BE07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8872282">
    <w:abstractNumId w:val="3"/>
  </w:num>
  <w:num w:numId="2" w16cid:durableId="1497913685">
    <w:abstractNumId w:val="7"/>
  </w:num>
  <w:num w:numId="3" w16cid:durableId="1893226095">
    <w:abstractNumId w:val="5"/>
  </w:num>
  <w:num w:numId="4" w16cid:durableId="1699311143">
    <w:abstractNumId w:val="6"/>
  </w:num>
  <w:num w:numId="5" w16cid:durableId="228660232">
    <w:abstractNumId w:val="4"/>
  </w:num>
  <w:num w:numId="6" w16cid:durableId="2058238403">
    <w:abstractNumId w:val="1"/>
  </w:num>
  <w:num w:numId="7" w16cid:durableId="570577610">
    <w:abstractNumId w:val="0"/>
  </w:num>
  <w:num w:numId="8" w16cid:durableId="737170429">
    <w:abstractNumId w:val="7"/>
    <w:lvlOverride w:ilvl="0">
      <w:startOverride w:val="1"/>
    </w:lvlOverride>
  </w:num>
  <w:num w:numId="9" w16cid:durableId="1137337688">
    <w:abstractNumId w:val="8"/>
  </w:num>
  <w:num w:numId="10" w16cid:durableId="137835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E3"/>
    <w:rsid w:val="000008C1"/>
    <w:rsid w:val="000013A7"/>
    <w:rsid w:val="00001D27"/>
    <w:rsid w:val="00002AAF"/>
    <w:rsid w:val="0000413F"/>
    <w:rsid w:val="00004F4D"/>
    <w:rsid w:val="000050A4"/>
    <w:rsid w:val="00005D24"/>
    <w:rsid w:val="00011441"/>
    <w:rsid w:val="00012D33"/>
    <w:rsid w:val="00014E6B"/>
    <w:rsid w:val="00016925"/>
    <w:rsid w:val="000173E8"/>
    <w:rsid w:val="0002017A"/>
    <w:rsid w:val="00020617"/>
    <w:rsid w:val="000244E1"/>
    <w:rsid w:val="000254B6"/>
    <w:rsid w:val="00025575"/>
    <w:rsid w:val="000327D3"/>
    <w:rsid w:val="00032895"/>
    <w:rsid w:val="00033B43"/>
    <w:rsid w:val="00034C99"/>
    <w:rsid w:val="000351A3"/>
    <w:rsid w:val="00035F9C"/>
    <w:rsid w:val="00036039"/>
    <w:rsid w:val="000371FE"/>
    <w:rsid w:val="00037F90"/>
    <w:rsid w:val="000405DC"/>
    <w:rsid w:val="000416C6"/>
    <w:rsid w:val="00042084"/>
    <w:rsid w:val="00042D9E"/>
    <w:rsid w:val="00051C6B"/>
    <w:rsid w:val="00052354"/>
    <w:rsid w:val="0005260B"/>
    <w:rsid w:val="000533C2"/>
    <w:rsid w:val="000533CF"/>
    <w:rsid w:val="0005570F"/>
    <w:rsid w:val="0005758D"/>
    <w:rsid w:val="00062519"/>
    <w:rsid w:val="00062F63"/>
    <w:rsid w:val="0006361F"/>
    <w:rsid w:val="00065FF2"/>
    <w:rsid w:val="000663F9"/>
    <w:rsid w:val="000710BE"/>
    <w:rsid w:val="00072705"/>
    <w:rsid w:val="00075107"/>
    <w:rsid w:val="000754CA"/>
    <w:rsid w:val="000754F2"/>
    <w:rsid w:val="00075E0B"/>
    <w:rsid w:val="0007656C"/>
    <w:rsid w:val="00077A86"/>
    <w:rsid w:val="00080706"/>
    <w:rsid w:val="000816E6"/>
    <w:rsid w:val="00081FD1"/>
    <w:rsid w:val="00083E98"/>
    <w:rsid w:val="000857A8"/>
    <w:rsid w:val="00085F8E"/>
    <w:rsid w:val="00086075"/>
    <w:rsid w:val="000875BF"/>
    <w:rsid w:val="00091C76"/>
    <w:rsid w:val="000965EC"/>
    <w:rsid w:val="00096D8C"/>
    <w:rsid w:val="00097F1E"/>
    <w:rsid w:val="000A1BF9"/>
    <w:rsid w:val="000A67BE"/>
    <w:rsid w:val="000A6D72"/>
    <w:rsid w:val="000A7BE0"/>
    <w:rsid w:val="000B0D81"/>
    <w:rsid w:val="000B140F"/>
    <w:rsid w:val="000B2162"/>
    <w:rsid w:val="000B2A7F"/>
    <w:rsid w:val="000B4409"/>
    <w:rsid w:val="000B5BAA"/>
    <w:rsid w:val="000B6483"/>
    <w:rsid w:val="000B6DCF"/>
    <w:rsid w:val="000B6F09"/>
    <w:rsid w:val="000B703B"/>
    <w:rsid w:val="000B75F5"/>
    <w:rsid w:val="000C09DF"/>
    <w:rsid w:val="000C0B65"/>
    <w:rsid w:val="000C15E7"/>
    <w:rsid w:val="000C17D2"/>
    <w:rsid w:val="000C66D3"/>
    <w:rsid w:val="000C6C33"/>
    <w:rsid w:val="000C6D08"/>
    <w:rsid w:val="000C7F93"/>
    <w:rsid w:val="000D231D"/>
    <w:rsid w:val="000D3BE2"/>
    <w:rsid w:val="000D487F"/>
    <w:rsid w:val="000D79DE"/>
    <w:rsid w:val="000E05FE"/>
    <w:rsid w:val="000E2277"/>
    <w:rsid w:val="000E3D42"/>
    <w:rsid w:val="000E3F1E"/>
    <w:rsid w:val="000E4D9B"/>
    <w:rsid w:val="000E558A"/>
    <w:rsid w:val="000F11E2"/>
    <w:rsid w:val="000F2DB4"/>
    <w:rsid w:val="000F40B5"/>
    <w:rsid w:val="000F55AD"/>
    <w:rsid w:val="000F57FB"/>
    <w:rsid w:val="000F6214"/>
    <w:rsid w:val="000F7CE5"/>
    <w:rsid w:val="00102B2E"/>
    <w:rsid w:val="00103412"/>
    <w:rsid w:val="0010348D"/>
    <w:rsid w:val="00112210"/>
    <w:rsid w:val="00114E1D"/>
    <w:rsid w:val="00114EE7"/>
    <w:rsid w:val="0011528F"/>
    <w:rsid w:val="00115822"/>
    <w:rsid w:val="001160CD"/>
    <w:rsid w:val="00116921"/>
    <w:rsid w:val="001176D2"/>
    <w:rsid w:val="001225E1"/>
    <w:rsid w:val="0012283E"/>
    <w:rsid w:val="00122BD5"/>
    <w:rsid w:val="00124D3B"/>
    <w:rsid w:val="00125BF1"/>
    <w:rsid w:val="001265FD"/>
    <w:rsid w:val="0012685E"/>
    <w:rsid w:val="001303F9"/>
    <w:rsid w:val="001322A0"/>
    <w:rsid w:val="001322F7"/>
    <w:rsid w:val="001325D8"/>
    <w:rsid w:val="00133F79"/>
    <w:rsid w:val="00134739"/>
    <w:rsid w:val="001361C6"/>
    <w:rsid w:val="00136A33"/>
    <w:rsid w:val="00141C3E"/>
    <w:rsid w:val="001434D6"/>
    <w:rsid w:val="00143C51"/>
    <w:rsid w:val="00143DBF"/>
    <w:rsid w:val="00143FDC"/>
    <w:rsid w:val="0014435D"/>
    <w:rsid w:val="00145376"/>
    <w:rsid w:val="001459A2"/>
    <w:rsid w:val="001467CB"/>
    <w:rsid w:val="00150D69"/>
    <w:rsid w:val="00153E1F"/>
    <w:rsid w:val="00155700"/>
    <w:rsid w:val="00155B90"/>
    <w:rsid w:val="00157F5F"/>
    <w:rsid w:val="00157FC6"/>
    <w:rsid w:val="0016030A"/>
    <w:rsid w:val="00160E34"/>
    <w:rsid w:val="00160E38"/>
    <w:rsid w:val="00161316"/>
    <w:rsid w:val="00161A64"/>
    <w:rsid w:val="001627A2"/>
    <w:rsid w:val="001633E1"/>
    <w:rsid w:val="0016571A"/>
    <w:rsid w:val="00165826"/>
    <w:rsid w:val="001662E2"/>
    <w:rsid w:val="001664EC"/>
    <w:rsid w:val="001678A5"/>
    <w:rsid w:val="00171D1F"/>
    <w:rsid w:val="00172344"/>
    <w:rsid w:val="00172BFB"/>
    <w:rsid w:val="0017358E"/>
    <w:rsid w:val="0017361C"/>
    <w:rsid w:val="00176A68"/>
    <w:rsid w:val="0017702A"/>
    <w:rsid w:val="00177597"/>
    <w:rsid w:val="00180AB9"/>
    <w:rsid w:val="00180D98"/>
    <w:rsid w:val="0018244B"/>
    <w:rsid w:val="00182BE3"/>
    <w:rsid w:val="00183178"/>
    <w:rsid w:val="0018576D"/>
    <w:rsid w:val="0018783C"/>
    <w:rsid w:val="00187B3F"/>
    <w:rsid w:val="00187D48"/>
    <w:rsid w:val="00191E40"/>
    <w:rsid w:val="001923DD"/>
    <w:rsid w:val="00192992"/>
    <w:rsid w:val="0019445E"/>
    <w:rsid w:val="00194A66"/>
    <w:rsid w:val="00194C05"/>
    <w:rsid w:val="00194E8B"/>
    <w:rsid w:val="0019593A"/>
    <w:rsid w:val="001966C7"/>
    <w:rsid w:val="00196932"/>
    <w:rsid w:val="00197798"/>
    <w:rsid w:val="001A14DB"/>
    <w:rsid w:val="001A31D4"/>
    <w:rsid w:val="001A35F3"/>
    <w:rsid w:val="001A567D"/>
    <w:rsid w:val="001A6AB6"/>
    <w:rsid w:val="001A6B57"/>
    <w:rsid w:val="001B0BF1"/>
    <w:rsid w:val="001B0EB9"/>
    <w:rsid w:val="001B3315"/>
    <w:rsid w:val="001B4131"/>
    <w:rsid w:val="001B48BF"/>
    <w:rsid w:val="001B6909"/>
    <w:rsid w:val="001B6E61"/>
    <w:rsid w:val="001B6FEB"/>
    <w:rsid w:val="001C0E7F"/>
    <w:rsid w:val="001C2A0E"/>
    <w:rsid w:val="001C371F"/>
    <w:rsid w:val="001C3A81"/>
    <w:rsid w:val="001C3EC5"/>
    <w:rsid w:val="001C4388"/>
    <w:rsid w:val="001C4D62"/>
    <w:rsid w:val="001D081C"/>
    <w:rsid w:val="001D0FEE"/>
    <w:rsid w:val="001D1841"/>
    <w:rsid w:val="001D1A61"/>
    <w:rsid w:val="001D6BCF"/>
    <w:rsid w:val="001E01CA"/>
    <w:rsid w:val="001E2191"/>
    <w:rsid w:val="001E5908"/>
    <w:rsid w:val="001E6310"/>
    <w:rsid w:val="001F0261"/>
    <w:rsid w:val="001F1018"/>
    <w:rsid w:val="001F10EA"/>
    <w:rsid w:val="001F25D9"/>
    <w:rsid w:val="001F2B66"/>
    <w:rsid w:val="001F2BBA"/>
    <w:rsid w:val="001F419C"/>
    <w:rsid w:val="001F707A"/>
    <w:rsid w:val="00201242"/>
    <w:rsid w:val="0020395C"/>
    <w:rsid w:val="00203CD0"/>
    <w:rsid w:val="00212500"/>
    <w:rsid w:val="00213DDB"/>
    <w:rsid w:val="002140E9"/>
    <w:rsid w:val="00214AD0"/>
    <w:rsid w:val="00216763"/>
    <w:rsid w:val="002232B2"/>
    <w:rsid w:val="0022423B"/>
    <w:rsid w:val="002242F8"/>
    <w:rsid w:val="00225503"/>
    <w:rsid w:val="002260F7"/>
    <w:rsid w:val="00231B82"/>
    <w:rsid w:val="00233373"/>
    <w:rsid w:val="00233549"/>
    <w:rsid w:val="0023470E"/>
    <w:rsid w:val="00235278"/>
    <w:rsid w:val="00237368"/>
    <w:rsid w:val="00242B04"/>
    <w:rsid w:val="002469A3"/>
    <w:rsid w:val="00252EDC"/>
    <w:rsid w:val="00255B1E"/>
    <w:rsid w:val="002577F5"/>
    <w:rsid w:val="0026035D"/>
    <w:rsid w:val="00262DD2"/>
    <w:rsid w:val="002642F4"/>
    <w:rsid w:val="0026466A"/>
    <w:rsid w:val="00265642"/>
    <w:rsid w:val="00265BD5"/>
    <w:rsid w:val="00265D84"/>
    <w:rsid w:val="002712D1"/>
    <w:rsid w:val="00271AB6"/>
    <w:rsid w:val="00272292"/>
    <w:rsid w:val="00275774"/>
    <w:rsid w:val="00275CF5"/>
    <w:rsid w:val="002779F0"/>
    <w:rsid w:val="00280FA7"/>
    <w:rsid w:val="002828EB"/>
    <w:rsid w:val="00282A98"/>
    <w:rsid w:val="0028301F"/>
    <w:rsid w:val="00283441"/>
    <w:rsid w:val="00283B6B"/>
    <w:rsid w:val="00283C54"/>
    <w:rsid w:val="00285017"/>
    <w:rsid w:val="00287234"/>
    <w:rsid w:val="002912D8"/>
    <w:rsid w:val="002967A5"/>
    <w:rsid w:val="002A11FA"/>
    <w:rsid w:val="002A2D2E"/>
    <w:rsid w:val="002A32E2"/>
    <w:rsid w:val="002A3586"/>
    <w:rsid w:val="002A6CE0"/>
    <w:rsid w:val="002A6D0B"/>
    <w:rsid w:val="002A7351"/>
    <w:rsid w:val="002A7922"/>
    <w:rsid w:val="002B05A8"/>
    <w:rsid w:val="002B248C"/>
    <w:rsid w:val="002C00E8"/>
    <w:rsid w:val="002C0670"/>
    <w:rsid w:val="002C13B6"/>
    <w:rsid w:val="002C2C18"/>
    <w:rsid w:val="002C2D6D"/>
    <w:rsid w:val="002C4743"/>
    <w:rsid w:val="002C477F"/>
    <w:rsid w:val="002C4BF9"/>
    <w:rsid w:val="002C75DF"/>
    <w:rsid w:val="002D26A8"/>
    <w:rsid w:val="002D3A91"/>
    <w:rsid w:val="002D430A"/>
    <w:rsid w:val="002D6035"/>
    <w:rsid w:val="002E1F29"/>
    <w:rsid w:val="002E2139"/>
    <w:rsid w:val="002E36BE"/>
    <w:rsid w:val="002E39D2"/>
    <w:rsid w:val="002E6C47"/>
    <w:rsid w:val="002F0D11"/>
    <w:rsid w:val="002F129B"/>
    <w:rsid w:val="002F1F3C"/>
    <w:rsid w:val="002F3075"/>
    <w:rsid w:val="002F343F"/>
    <w:rsid w:val="002F457D"/>
    <w:rsid w:val="002F5BFF"/>
    <w:rsid w:val="00301804"/>
    <w:rsid w:val="00304F59"/>
    <w:rsid w:val="00306D92"/>
    <w:rsid w:val="00307050"/>
    <w:rsid w:val="00307306"/>
    <w:rsid w:val="003100E8"/>
    <w:rsid w:val="00312D28"/>
    <w:rsid w:val="0031332B"/>
    <w:rsid w:val="00313619"/>
    <w:rsid w:val="003136D8"/>
    <w:rsid w:val="0031616B"/>
    <w:rsid w:val="003166F8"/>
    <w:rsid w:val="00316B07"/>
    <w:rsid w:val="00320B8D"/>
    <w:rsid w:val="0032174D"/>
    <w:rsid w:val="003230FA"/>
    <w:rsid w:val="00323E8D"/>
    <w:rsid w:val="00327D8B"/>
    <w:rsid w:val="00330DCB"/>
    <w:rsid w:val="00333690"/>
    <w:rsid w:val="00334802"/>
    <w:rsid w:val="003373E3"/>
    <w:rsid w:val="00341AD2"/>
    <w:rsid w:val="00343749"/>
    <w:rsid w:val="00343BB4"/>
    <w:rsid w:val="00344BE7"/>
    <w:rsid w:val="00345046"/>
    <w:rsid w:val="00345465"/>
    <w:rsid w:val="00345896"/>
    <w:rsid w:val="00346A85"/>
    <w:rsid w:val="0034782C"/>
    <w:rsid w:val="00352835"/>
    <w:rsid w:val="00352D66"/>
    <w:rsid w:val="00353586"/>
    <w:rsid w:val="00355833"/>
    <w:rsid w:val="00356807"/>
    <w:rsid w:val="00356F22"/>
    <w:rsid w:val="003576A8"/>
    <w:rsid w:val="00362585"/>
    <w:rsid w:val="003627A6"/>
    <w:rsid w:val="00362E38"/>
    <w:rsid w:val="00362E69"/>
    <w:rsid w:val="003660ED"/>
    <w:rsid w:val="003664B3"/>
    <w:rsid w:val="00367755"/>
    <w:rsid w:val="00370B46"/>
    <w:rsid w:val="003732AC"/>
    <w:rsid w:val="003733CA"/>
    <w:rsid w:val="00375001"/>
    <w:rsid w:val="003849A9"/>
    <w:rsid w:val="003851BC"/>
    <w:rsid w:val="003853A2"/>
    <w:rsid w:val="00387544"/>
    <w:rsid w:val="00387E44"/>
    <w:rsid w:val="00390937"/>
    <w:rsid w:val="003927D7"/>
    <w:rsid w:val="00392BA5"/>
    <w:rsid w:val="00393882"/>
    <w:rsid w:val="00393E81"/>
    <w:rsid w:val="00396DAB"/>
    <w:rsid w:val="00397183"/>
    <w:rsid w:val="0039773C"/>
    <w:rsid w:val="00397CC0"/>
    <w:rsid w:val="003A0B62"/>
    <w:rsid w:val="003A1D19"/>
    <w:rsid w:val="003A25E9"/>
    <w:rsid w:val="003A441D"/>
    <w:rsid w:val="003A463D"/>
    <w:rsid w:val="003A468C"/>
    <w:rsid w:val="003A698E"/>
    <w:rsid w:val="003A73B3"/>
    <w:rsid w:val="003B0550"/>
    <w:rsid w:val="003B05CD"/>
    <w:rsid w:val="003B0FB1"/>
    <w:rsid w:val="003B18E4"/>
    <w:rsid w:val="003B2B36"/>
    <w:rsid w:val="003B2C9A"/>
    <w:rsid w:val="003B2D14"/>
    <w:rsid w:val="003B4871"/>
    <w:rsid w:val="003B694F"/>
    <w:rsid w:val="003B6D18"/>
    <w:rsid w:val="003B75DB"/>
    <w:rsid w:val="003C0253"/>
    <w:rsid w:val="003C4D19"/>
    <w:rsid w:val="003D1AA6"/>
    <w:rsid w:val="003D22D0"/>
    <w:rsid w:val="003D2DAA"/>
    <w:rsid w:val="003D38D1"/>
    <w:rsid w:val="003D3ADD"/>
    <w:rsid w:val="003D3D9B"/>
    <w:rsid w:val="003D4F65"/>
    <w:rsid w:val="003E0397"/>
    <w:rsid w:val="003E04C4"/>
    <w:rsid w:val="003E0DDE"/>
    <w:rsid w:val="003E56CB"/>
    <w:rsid w:val="003E592A"/>
    <w:rsid w:val="003E5F32"/>
    <w:rsid w:val="003E730A"/>
    <w:rsid w:val="003F0062"/>
    <w:rsid w:val="003F0459"/>
    <w:rsid w:val="003F04D0"/>
    <w:rsid w:val="003F06AE"/>
    <w:rsid w:val="003F171C"/>
    <w:rsid w:val="003F3739"/>
    <w:rsid w:val="003F3B51"/>
    <w:rsid w:val="003F670E"/>
    <w:rsid w:val="003F72B5"/>
    <w:rsid w:val="00401055"/>
    <w:rsid w:val="004010A3"/>
    <w:rsid w:val="0040245A"/>
    <w:rsid w:val="0040250E"/>
    <w:rsid w:val="00402FAC"/>
    <w:rsid w:val="0040302B"/>
    <w:rsid w:val="00407E89"/>
    <w:rsid w:val="00411E0C"/>
    <w:rsid w:val="00412CE5"/>
    <w:rsid w:val="00412FC5"/>
    <w:rsid w:val="00413700"/>
    <w:rsid w:val="00413D0F"/>
    <w:rsid w:val="00414E9C"/>
    <w:rsid w:val="004156AA"/>
    <w:rsid w:val="00415B43"/>
    <w:rsid w:val="004165EC"/>
    <w:rsid w:val="004166D7"/>
    <w:rsid w:val="00422276"/>
    <w:rsid w:val="00422C05"/>
    <w:rsid w:val="004242F1"/>
    <w:rsid w:val="004245AC"/>
    <w:rsid w:val="00424F36"/>
    <w:rsid w:val="004303C9"/>
    <w:rsid w:val="0043417A"/>
    <w:rsid w:val="00434F17"/>
    <w:rsid w:val="00434FFA"/>
    <w:rsid w:val="004372DA"/>
    <w:rsid w:val="00440AE1"/>
    <w:rsid w:val="00441856"/>
    <w:rsid w:val="00441883"/>
    <w:rsid w:val="00442568"/>
    <w:rsid w:val="00442DA4"/>
    <w:rsid w:val="00443867"/>
    <w:rsid w:val="00443981"/>
    <w:rsid w:val="00443DFA"/>
    <w:rsid w:val="00445347"/>
    <w:rsid w:val="00445A00"/>
    <w:rsid w:val="00450B2B"/>
    <w:rsid w:val="00451B0F"/>
    <w:rsid w:val="00452709"/>
    <w:rsid w:val="00454278"/>
    <w:rsid w:val="004552C6"/>
    <w:rsid w:val="00455D6A"/>
    <w:rsid w:val="004607E5"/>
    <w:rsid w:val="00460F59"/>
    <w:rsid w:val="0046242B"/>
    <w:rsid w:val="00462B7F"/>
    <w:rsid w:val="00465597"/>
    <w:rsid w:val="00465987"/>
    <w:rsid w:val="00465FC0"/>
    <w:rsid w:val="00467DBE"/>
    <w:rsid w:val="004709F3"/>
    <w:rsid w:val="00471DEE"/>
    <w:rsid w:val="0047232C"/>
    <w:rsid w:val="00473934"/>
    <w:rsid w:val="00475876"/>
    <w:rsid w:val="00475F27"/>
    <w:rsid w:val="00477F77"/>
    <w:rsid w:val="004817DA"/>
    <w:rsid w:val="004819D7"/>
    <w:rsid w:val="00482F92"/>
    <w:rsid w:val="004830F2"/>
    <w:rsid w:val="0048398F"/>
    <w:rsid w:val="00483D71"/>
    <w:rsid w:val="00484C0C"/>
    <w:rsid w:val="004853C0"/>
    <w:rsid w:val="0048545D"/>
    <w:rsid w:val="00485691"/>
    <w:rsid w:val="00485855"/>
    <w:rsid w:val="00490606"/>
    <w:rsid w:val="00490FBC"/>
    <w:rsid w:val="00492290"/>
    <w:rsid w:val="0049304E"/>
    <w:rsid w:val="0049381D"/>
    <w:rsid w:val="00493ED9"/>
    <w:rsid w:val="0049476D"/>
    <w:rsid w:val="00494D1D"/>
    <w:rsid w:val="00494DF1"/>
    <w:rsid w:val="004A1725"/>
    <w:rsid w:val="004A37F1"/>
    <w:rsid w:val="004A3FB0"/>
    <w:rsid w:val="004A4596"/>
    <w:rsid w:val="004A4BB3"/>
    <w:rsid w:val="004A4FD0"/>
    <w:rsid w:val="004A5319"/>
    <w:rsid w:val="004A7015"/>
    <w:rsid w:val="004B056A"/>
    <w:rsid w:val="004B19FD"/>
    <w:rsid w:val="004B2E19"/>
    <w:rsid w:val="004B3504"/>
    <w:rsid w:val="004B67A0"/>
    <w:rsid w:val="004B7270"/>
    <w:rsid w:val="004B790C"/>
    <w:rsid w:val="004C07F3"/>
    <w:rsid w:val="004C0DA1"/>
    <w:rsid w:val="004C1A09"/>
    <w:rsid w:val="004C2A61"/>
    <w:rsid w:val="004C2EE3"/>
    <w:rsid w:val="004C4A47"/>
    <w:rsid w:val="004C4DA1"/>
    <w:rsid w:val="004C4E0E"/>
    <w:rsid w:val="004C5500"/>
    <w:rsid w:val="004C5F2E"/>
    <w:rsid w:val="004C604F"/>
    <w:rsid w:val="004C6DE0"/>
    <w:rsid w:val="004D019F"/>
    <w:rsid w:val="004D608A"/>
    <w:rsid w:val="004D60EC"/>
    <w:rsid w:val="004D6AF7"/>
    <w:rsid w:val="004E0098"/>
    <w:rsid w:val="004E23B2"/>
    <w:rsid w:val="004E31BD"/>
    <w:rsid w:val="004E3BAA"/>
    <w:rsid w:val="004E47D5"/>
    <w:rsid w:val="004E4A22"/>
    <w:rsid w:val="004E56FE"/>
    <w:rsid w:val="004E66E1"/>
    <w:rsid w:val="004E6863"/>
    <w:rsid w:val="004E74A8"/>
    <w:rsid w:val="004F0933"/>
    <w:rsid w:val="004F0AFD"/>
    <w:rsid w:val="004F14EC"/>
    <w:rsid w:val="004F27C0"/>
    <w:rsid w:val="004F42FC"/>
    <w:rsid w:val="004F4AB0"/>
    <w:rsid w:val="004F4F1E"/>
    <w:rsid w:val="004F6984"/>
    <w:rsid w:val="004F6E12"/>
    <w:rsid w:val="005006A6"/>
    <w:rsid w:val="00501DD3"/>
    <w:rsid w:val="00501E7C"/>
    <w:rsid w:val="00503F7E"/>
    <w:rsid w:val="00506FEA"/>
    <w:rsid w:val="00511968"/>
    <w:rsid w:val="00511B21"/>
    <w:rsid w:val="00513AC9"/>
    <w:rsid w:val="00515ADC"/>
    <w:rsid w:val="005161AB"/>
    <w:rsid w:val="00516402"/>
    <w:rsid w:val="00517E78"/>
    <w:rsid w:val="00524C41"/>
    <w:rsid w:val="0052576D"/>
    <w:rsid w:val="00525E84"/>
    <w:rsid w:val="00526B54"/>
    <w:rsid w:val="00531999"/>
    <w:rsid w:val="005321B1"/>
    <w:rsid w:val="00534335"/>
    <w:rsid w:val="00534E69"/>
    <w:rsid w:val="005361E4"/>
    <w:rsid w:val="00536FFE"/>
    <w:rsid w:val="00540055"/>
    <w:rsid w:val="00540E80"/>
    <w:rsid w:val="00541083"/>
    <w:rsid w:val="0054223E"/>
    <w:rsid w:val="005422FD"/>
    <w:rsid w:val="00543DF0"/>
    <w:rsid w:val="00547373"/>
    <w:rsid w:val="005508B8"/>
    <w:rsid w:val="0055263B"/>
    <w:rsid w:val="00552BB0"/>
    <w:rsid w:val="00554A69"/>
    <w:rsid w:val="00555AA4"/>
    <w:rsid w:val="0055614C"/>
    <w:rsid w:val="005600DC"/>
    <w:rsid w:val="00561D3B"/>
    <w:rsid w:val="00561F96"/>
    <w:rsid w:val="00562F71"/>
    <w:rsid w:val="0056344F"/>
    <w:rsid w:val="00564BD3"/>
    <w:rsid w:val="0056691E"/>
    <w:rsid w:val="00567CAE"/>
    <w:rsid w:val="0057075E"/>
    <w:rsid w:val="005717BA"/>
    <w:rsid w:val="00573E8F"/>
    <w:rsid w:val="005750F7"/>
    <w:rsid w:val="00575F67"/>
    <w:rsid w:val="00577E42"/>
    <w:rsid w:val="005821EE"/>
    <w:rsid w:val="0058418D"/>
    <w:rsid w:val="005863DB"/>
    <w:rsid w:val="00586626"/>
    <w:rsid w:val="005869ED"/>
    <w:rsid w:val="00591542"/>
    <w:rsid w:val="005918E3"/>
    <w:rsid w:val="00592621"/>
    <w:rsid w:val="00592D1C"/>
    <w:rsid w:val="005938F3"/>
    <w:rsid w:val="00593958"/>
    <w:rsid w:val="00593E78"/>
    <w:rsid w:val="0059448A"/>
    <w:rsid w:val="00595044"/>
    <w:rsid w:val="005950F3"/>
    <w:rsid w:val="005A1153"/>
    <w:rsid w:val="005A213D"/>
    <w:rsid w:val="005A2D1B"/>
    <w:rsid w:val="005A3557"/>
    <w:rsid w:val="005A3EB1"/>
    <w:rsid w:val="005A4208"/>
    <w:rsid w:val="005A4F2D"/>
    <w:rsid w:val="005A5AB8"/>
    <w:rsid w:val="005A73FA"/>
    <w:rsid w:val="005B0B0B"/>
    <w:rsid w:val="005B13DF"/>
    <w:rsid w:val="005B1611"/>
    <w:rsid w:val="005B667D"/>
    <w:rsid w:val="005B7287"/>
    <w:rsid w:val="005B7F1B"/>
    <w:rsid w:val="005C0A8C"/>
    <w:rsid w:val="005C0E43"/>
    <w:rsid w:val="005C17D5"/>
    <w:rsid w:val="005C1CC0"/>
    <w:rsid w:val="005C1E0A"/>
    <w:rsid w:val="005C29D8"/>
    <w:rsid w:val="005C3A0B"/>
    <w:rsid w:val="005C471B"/>
    <w:rsid w:val="005C6538"/>
    <w:rsid w:val="005C767D"/>
    <w:rsid w:val="005D01F9"/>
    <w:rsid w:val="005D28B1"/>
    <w:rsid w:val="005D475F"/>
    <w:rsid w:val="005D5160"/>
    <w:rsid w:val="005D5714"/>
    <w:rsid w:val="005D5854"/>
    <w:rsid w:val="005D63C5"/>
    <w:rsid w:val="005E14C2"/>
    <w:rsid w:val="005E22A5"/>
    <w:rsid w:val="005E30C3"/>
    <w:rsid w:val="005E3278"/>
    <w:rsid w:val="005E4AF7"/>
    <w:rsid w:val="005E5880"/>
    <w:rsid w:val="005E618B"/>
    <w:rsid w:val="005E6914"/>
    <w:rsid w:val="005F22E8"/>
    <w:rsid w:val="005F37B7"/>
    <w:rsid w:val="005F435B"/>
    <w:rsid w:val="005F7DD0"/>
    <w:rsid w:val="00601111"/>
    <w:rsid w:val="006030B8"/>
    <w:rsid w:val="00603CB4"/>
    <w:rsid w:val="00603F8A"/>
    <w:rsid w:val="00604AAB"/>
    <w:rsid w:val="00604C87"/>
    <w:rsid w:val="00604DAF"/>
    <w:rsid w:val="00606009"/>
    <w:rsid w:val="006065EB"/>
    <w:rsid w:val="00607A2F"/>
    <w:rsid w:val="00607BA5"/>
    <w:rsid w:val="00607D73"/>
    <w:rsid w:val="006105D2"/>
    <w:rsid w:val="0061180A"/>
    <w:rsid w:val="006124E1"/>
    <w:rsid w:val="00612852"/>
    <w:rsid w:val="006135F7"/>
    <w:rsid w:val="0061371F"/>
    <w:rsid w:val="00615275"/>
    <w:rsid w:val="00615B5E"/>
    <w:rsid w:val="0061613D"/>
    <w:rsid w:val="00617075"/>
    <w:rsid w:val="00617BD8"/>
    <w:rsid w:val="006207E2"/>
    <w:rsid w:val="00621594"/>
    <w:rsid w:val="00621B1C"/>
    <w:rsid w:val="00622818"/>
    <w:rsid w:val="00623E82"/>
    <w:rsid w:val="00626EB6"/>
    <w:rsid w:val="006308D5"/>
    <w:rsid w:val="0063096E"/>
    <w:rsid w:val="0063319A"/>
    <w:rsid w:val="00636165"/>
    <w:rsid w:val="00636366"/>
    <w:rsid w:val="006410EC"/>
    <w:rsid w:val="00641FBC"/>
    <w:rsid w:val="00645A25"/>
    <w:rsid w:val="00645DB7"/>
    <w:rsid w:val="00647CE4"/>
    <w:rsid w:val="00650DC2"/>
    <w:rsid w:val="006512ED"/>
    <w:rsid w:val="00653370"/>
    <w:rsid w:val="006539A2"/>
    <w:rsid w:val="00654BC6"/>
    <w:rsid w:val="00655474"/>
    <w:rsid w:val="00655837"/>
    <w:rsid w:val="00655D03"/>
    <w:rsid w:val="00656CCD"/>
    <w:rsid w:val="00661798"/>
    <w:rsid w:val="006626F0"/>
    <w:rsid w:val="0066420D"/>
    <w:rsid w:val="006663ED"/>
    <w:rsid w:val="00666C1E"/>
    <w:rsid w:val="00670DA3"/>
    <w:rsid w:val="00674610"/>
    <w:rsid w:val="0067474F"/>
    <w:rsid w:val="00675035"/>
    <w:rsid w:val="00675C94"/>
    <w:rsid w:val="006761C8"/>
    <w:rsid w:val="006809E5"/>
    <w:rsid w:val="006813AA"/>
    <w:rsid w:val="00683370"/>
    <w:rsid w:val="00683388"/>
    <w:rsid w:val="00683F84"/>
    <w:rsid w:val="0068563A"/>
    <w:rsid w:val="006904F0"/>
    <w:rsid w:val="00693021"/>
    <w:rsid w:val="00693116"/>
    <w:rsid w:val="0069476D"/>
    <w:rsid w:val="00695B3A"/>
    <w:rsid w:val="00697D85"/>
    <w:rsid w:val="006A22CD"/>
    <w:rsid w:val="006A31F7"/>
    <w:rsid w:val="006A3C63"/>
    <w:rsid w:val="006A46AB"/>
    <w:rsid w:val="006A4800"/>
    <w:rsid w:val="006A6A81"/>
    <w:rsid w:val="006B14BA"/>
    <w:rsid w:val="006B2749"/>
    <w:rsid w:val="006B66B9"/>
    <w:rsid w:val="006C0F18"/>
    <w:rsid w:val="006C1FDC"/>
    <w:rsid w:val="006C3B96"/>
    <w:rsid w:val="006C4433"/>
    <w:rsid w:val="006C7C16"/>
    <w:rsid w:val="006D07BC"/>
    <w:rsid w:val="006D0E36"/>
    <w:rsid w:val="006D23CB"/>
    <w:rsid w:val="006D3A87"/>
    <w:rsid w:val="006D74A2"/>
    <w:rsid w:val="006E210F"/>
    <w:rsid w:val="006E2604"/>
    <w:rsid w:val="006E2F38"/>
    <w:rsid w:val="006E4BF7"/>
    <w:rsid w:val="006F1A17"/>
    <w:rsid w:val="006F295C"/>
    <w:rsid w:val="006F32BD"/>
    <w:rsid w:val="006F4367"/>
    <w:rsid w:val="006F477E"/>
    <w:rsid w:val="006F654B"/>
    <w:rsid w:val="006F7393"/>
    <w:rsid w:val="0070113E"/>
    <w:rsid w:val="0070224F"/>
    <w:rsid w:val="00702E3E"/>
    <w:rsid w:val="007055FD"/>
    <w:rsid w:val="00710125"/>
    <w:rsid w:val="007102E4"/>
    <w:rsid w:val="00711169"/>
    <w:rsid w:val="007115F7"/>
    <w:rsid w:val="00711B13"/>
    <w:rsid w:val="00711F03"/>
    <w:rsid w:val="00712705"/>
    <w:rsid w:val="00716092"/>
    <w:rsid w:val="007165ED"/>
    <w:rsid w:val="00717EFB"/>
    <w:rsid w:val="00720250"/>
    <w:rsid w:val="007223B1"/>
    <w:rsid w:val="00723077"/>
    <w:rsid w:val="007231F6"/>
    <w:rsid w:val="0072373A"/>
    <w:rsid w:val="00724561"/>
    <w:rsid w:val="00724562"/>
    <w:rsid w:val="00724F3D"/>
    <w:rsid w:val="00725544"/>
    <w:rsid w:val="00725D81"/>
    <w:rsid w:val="0072614E"/>
    <w:rsid w:val="00726877"/>
    <w:rsid w:val="00726EB2"/>
    <w:rsid w:val="00727A3A"/>
    <w:rsid w:val="007321B1"/>
    <w:rsid w:val="00732EEE"/>
    <w:rsid w:val="0073422C"/>
    <w:rsid w:val="00735C26"/>
    <w:rsid w:val="007370D2"/>
    <w:rsid w:val="0074007E"/>
    <w:rsid w:val="00740572"/>
    <w:rsid w:val="00741895"/>
    <w:rsid w:val="00742CD6"/>
    <w:rsid w:val="00744D69"/>
    <w:rsid w:val="0074517D"/>
    <w:rsid w:val="00745CDC"/>
    <w:rsid w:val="007477CE"/>
    <w:rsid w:val="00747F32"/>
    <w:rsid w:val="007510FC"/>
    <w:rsid w:val="00752974"/>
    <w:rsid w:val="00753075"/>
    <w:rsid w:val="007537F9"/>
    <w:rsid w:val="00753887"/>
    <w:rsid w:val="00756CAD"/>
    <w:rsid w:val="00757598"/>
    <w:rsid w:val="00761F67"/>
    <w:rsid w:val="007625BF"/>
    <w:rsid w:val="00762625"/>
    <w:rsid w:val="00762C93"/>
    <w:rsid w:val="00763E12"/>
    <w:rsid w:val="00763E39"/>
    <w:rsid w:val="007654FD"/>
    <w:rsid w:val="00765DD7"/>
    <w:rsid w:val="0077083E"/>
    <w:rsid w:val="00771238"/>
    <w:rsid w:val="007739D2"/>
    <w:rsid w:val="00774B3C"/>
    <w:rsid w:val="0077695A"/>
    <w:rsid w:val="00782FC6"/>
    <w:rsid w:val="00782FD4"/>
    <w:rsid w:val="00783876"/>
    <w:rsid w:val="00783C61"/>
    <w:rsid w:val="00784FC0"/>
    <w:rsid w:val="0078526B"/>
    <w:rsid w:val="00785689"/>
    <w:rsid w:val="0078611B"/>
    <w:rsid w:val="00786BDB"/>
    <w:rsid w:val="00791A2A"/>
    <w:rsid w:val="00792E3D"/>
    <w:rsid w:val="00793816"/>
    <w:rsid w:val="007945E2"/>
    <w:rsid w:val="00794C8C"/>
    <w:rsid w:val="0079630D"/>
    <w:rsid w:val="0079754B"/>
    <w:rsid w:val="007A1B9D"/>
    <w:rsid w:val="007A1E6D"/>
    <w:rsid w:val="007A2371"/>
    <w:rsid w:val="007A3487"/>
    <w:rsid w:val="007A40FC"/>
    <w:rsid w:val="007A4923"/>
    <w:rsid w:val="007A4A6D"/>
    <w:rsid w:val="007A4D6F"/>
    <w:rsid w:val="007A53B9"/>
    <w:rsid w:val="007A5704"/>
    <w:rsid w:val="007A62F2"/>
    <w:rsid w:val="007A6854"/>
    <w:rsid w:val="007A6FA6"/>
    <w:rsid w:val="007A729C"/>
    <w:rsid w:val="007A7B53"/>
    <w:rsid w:val="007B02D1"/>
    <w:rsid w:val="007B0EB2"/>
    <w:rsid w:val="007B17A8"/>
    <w:rsid w:val="007B1F73"/>
    <w:rsid w:val="007B403F"/>
    <w:rsid w:val="007B5111"/>
    <w:rsid w:val="007B55D8"/>
    <w:rsid w:val="007B7E49"/>
    <w:rsid w:val="007C0A30"/>
    <w:rsid w:val="007C2E55"/>
    <w:rsid w:val="007C3BC4"/>
    <w:rsid w:val="007C642D"/>
    <w:rsid w:val="007C6DE4"/>
    <w:rsid w:val="007D099E"/>
    <w:rsid w:val="007D30F5"/>
    <w:rsid w:val="007D36D2"/>
    <w:rsid w:val="007D3B27"/>
    <w:rsid w:val="007D4ABA"/>
    <w:rsid w:val="007D5561"/>
    <w:rsid w:val="007D6825"/>
    <w:rsid w:val="007D6DB6"/>
    <w:rsid w:val="007D7BFB"/>
    <w:rsid w:val="007E0CB3"/>
    <w:rsid w:val="007E15EF"/>
    <w:rsid w:val="007E3023"/>
    <w:rsid w:val="007E608D"/>
    <w:rsid w:val="007E74A8"/>
    <w:rsid w:val="007F1782"/>
    <w:rsid w:val="007F501F"/>
    <w:rsid w:val="007F5627"/>
    <w:rsid w:val="007F6E6A"/>
    <w:rsid w:val="007F764F"/>
    <w:rsid w:val="00802192"/>
    <w:rsid w:val="008041D8"/>
    <w:rsid w:val="008047A6"/>
    <w:rsid w:val="00805D28"/>
    <w:rsid w:val="00807C36"/>
    <w:rsid w:val="00810B6F"/>
    <w:rsid w:val="0081181F"/>
    <w:rsid w:val="00811B34"/>
    <w:rsid w:val="00811E0A"/>
    <w:rsid w:val="008128BF"/>
    <w:rsid w:val="008136EC"/>
    <w:rsid w:val="008138EC"/>
    <w:rsid w:val="008148F1"/>
    <w:rsid w:val="008154A3"/>
    <w:rsid w:val="00815759"/>
    <w:rsid w:val="00815EBB"/>
    <w:rsid w:val="0081609E"/>
    <w:rsid w:val="008206E3"/>
    <w:rsid w:val="00821209"/>
    <w:rsid w:val="00821958"/>
    <w:rsid w:val="00821D23"/>
    <w:rsid w:val="00822CE0"/>
    <w:rsid w:val="008237E5"/>
    <w:rsid w:val="008256B7"/>
    <w:rsid w:val="0082727E"/>
    <w:rsid w:val="00827289"/>
    <w:rsid w:val="00827357"/>
    <w:rsid w:val="00827CE6"/>
    <w:rsid w:val="0083143C"/>
    <w:rsid w:val="0083230C"/>
    <w:rsid w:val="008351EE"/>
    <w:rsid w:val="0083617F"/>
    <w:rsid w:val="008361B4"/>
    <w:rsid w:val="008368D0"/>
    <w:rsid w:val="00837B68"/>
    <w:rsid w:val="00840383"/>
    <w:rsid w:val="00841AB1"/>
    <w:rsid w:val="008425BA"/>
    <w:rsid w:val="0084302E"/>
    <w:rsid w:val="00843668"/>
    <w:rsid w:val="00843929"/>
    <w:rsid w:val="00843DA3"/>
    <w:rsid w:val="008447B3"/>
    <w:rsid w:val="00844827"/>
    <w:rsid w:val="00844CAD"/>
    <w:rsid w:val="00844E02"/>
    <w:rsid w:val="00846386"/>
    <w:rsid w:val="00846927"/>
    <w:rsid w:val="0084719D"/>
    <w:rsid w:val="008516E1"/>
    <w:rsid w:val="0085249F"/>
    <w:rsid w:val="00853178"/>
    <w:rsid w:val="0085660E"/>
    <w:rsid w:val="00856E07"/>
    <w:rsid w:val="00857DD7"/>
    <w:rsid w:val="00860A98"/>
    <w:rsid w:val="00863959"/>
    <w:rsid w:val="00863B3D"/>
    <w:rsid w:val="00865FA9"/>
    <w:rsid w:val="008664DD"/>
    <w:rsid w:val="00866669"/>
    <w:rsid w:val="00872D77"/>
    <w:rsid w:val="008730BF"/>
    <w:rsid w:val="0087353F"/>
    <w:rsid w:val="00873CED"/>
    <w:rsid w:val="00874212"/>
    <w:rsid w:val="00875AA4"/>
    <w:rsid w:val="008774DF"/>
    <w:rsid w:val="0088007D"/>
    <w:rsid w:val="008813CA"/>
    <w:rsid w:val="00883444"/>
    <w:rsid w:val="00883A0A"/>
    <w:rsid w:val="008851DB"/>
    <w:rsid w:val="008868E5"/>
    <w:rsid w:val="00886B12"/>
    <w:rsid w:val="00886E58"/>
    <w:rsid w:val="00890699"/>
    <w:rsid w:val="00890B03"/>
    <w:rsid w:val="0089169E"/>
    <w:rsid w:val="008924F2"/>
    <w:rsid w:val="008946F7"/>
    <w:rsid w:val="008972F3"/>
    <w:rsid w:val="008A1110"/>
    <w:rsid w:val="008A2D67"/>
    <w:rsid w:val="008A2F80"/>
    <w:rsid w:val="008A3823"/>
    <w:rsid w:val="008A77E9"/>
    <w:rsid w:val="008B1754"/>
    <w:rsid w:val="008B1CA4"/>
    <w:rsid w:val="008B3469"/>
    <w:rsid w:val="008B3880"/>
    <w:rsid w:val="008B4FC2"/>
    <w:rsid w:val="008C0DCA"/>
    <w:rsid w:val="008C28EA"/>
    <w:rsid w:val="008C317C"/>
    <w:rsid w:val="008C3B58"/>
    <w:rsid w:val="008C3ECC"/>
    <w:rsid w:val="008C467E"/>
    <w:rsid w:val="008C4FFE"/>
    <w:rsid w:val="008C538F"/>
    <w:rsid w:val="008C5DF3"/>
    <w:rsid w:val="008C68F1"/>
    <w:rsid w:val="008C7173"/>
    <w:rsid w:val="008D060D"/>
    <w:rsid w:val="008D0D42"/>
    <w:rsid w:val="008D1057"/>
    <w:rsid w:val="008D5043"/>
    <w:rsid w:val="008D672E"/>
    <w:rsid w:val="008E0D48"/>
    <w:rsid w:val="008E268B"/>
    <w:rsid w:val="008E2FB0"/>
    <w:rsid w:val="008E3A15"/>
    <w:rsid w:val="008E3CF4"/>
    <w:rsid w:val="008E3D31"/>
    <w:rsid w:val="008F1178"/>
    <w:rsid w:val="008F30CB"/>
    <w:rsid w:val="008F32A4"/>
    <w:rsid w:val="008F3D4E"/>
    <w:rsid w:val="008F67E2"/>
    <w:rsid w:val="008F7E7B"/>
    <w:rsid w:val="009009F8"/>
    <w:rsid w:val="0090138A"/>
    <w:rsid w:val="00902754"/>
    <w:rsid w:val="009041AA"/>
    <w:rsid w:val="00905CE3"/>
    <w:rsid w:val="00907345"/>
    <w:rsid w:val="00907BFD"/>
    <w:rsid w:val="009123B3"/>
    <w:rsid w:val="00914E00"/>
    <w:rsid w:val="00916734"/>
    <w:rsid w:val="00920338"/>
    <w:rsid w:val="00921083"/>
    <w:rsid w:val="00921803"/>
    <w:rsid w:val="00922D8D"/>
    <w:rsid w:val="00923127"/>
    <w:rsid w:val="009236CF"/>
    <w:rsid w:val="0092491C"/>
    <w:rsid w:val="009251F4"/>
    <w:rsid w:val="00926503"/>
    <w:rsid w:val="0092680F"/>
    <w:rsid w:val="00930601"/>
    <w:rsid w:val="00930949"/>
    <w:rsid w:val="00931ADC"/>
    <w:rsid w:val="00932444"/>
    <w:rsid w:val="00933B27"/>
    <w:rsid w:val="00933CD4"/>
    <w:rsid w:val="00934417"/>
    <w:rsid w:val="00942A8B"/>
    <w:rsid w:val="00942EB1"/>
    <w:rsid w:val="00944171"/>
    <w:rsid w:val="0094470B"/>
    <w:rsid w:val="0094592E"/>
    <w:rsid w:val="00945AA3"/>
    <w:rsid w:val="00947E1F"/>
    <w:rsid w:val="00950C51"/>
    <w:rsid w:val="00953104"/>
    <w:rsid w:val="00953D06"/>
    <w:rsid w:val="009549CF"/>
    <w:rsid w:val="00954B66"/>
    <w:rsid w:val="00955961"/>
    <w:rsid w:val="00956263"/>
    <w:rsid w:val="0095662C"/>
    <w:rsid w:val="00956CAB"/>
    <w:rsid w:val="00956D38"/>
    <w:rsid w:val="00957E68"/>
    <w:rsid w:val="00960190"/>
    <w:rsid w:val="00961FE0"/>
    <w:rsid w:val="00962B66"/>
    <w:rsid w:val="009647D3"/>
    <w:rsid w:val="00966854"/>
    <w:rsid w:val="00967ABE"/>
    <w:rsid w:val="00970627"/>
    <w:rsid w:val="009726D8"/>
    <w:rsid w:val="00973791"/>
    <w:rsid w:val="00973AAF"/>
    <w:rsid w:val="0097450F"/>
    <w:rsid w:val="00974C38"/>
    <w:rsid w:val="00974CB8"/>
    <w:rsid w:val="00975804"/>
    <w:rsid w:val="009764C4"/>
    <w:rsid w:val="00977A0D"/>
    <w:rsid w:val="00980AED"/>
    <w:rsid w:val="00982CED"/>
    <w:rsid w:val="0098312D"/>
    <w:rsid w:val="009836AD"/>
    <w:rsid w:val="0098371D"/>
    <w:rsid w:val="00984E24"/>
    <w:rsid w:val="0098639F"/>
    <w:rsid w:val="00986A6C"/>
    <w:rsid w:val="009878A5"/>
    <w:rsid w:val="00990A3C"/>
    <w:rsid w:val="00991808"/>
    <w:rsid w:val="00992510"/>
    <w:rsid w:val="00992C38"/>
    <w:rsid w:val="00993B06"/>
    <w:rsid w:val="00993E2F"/>
    <w:rsid w:val="009A3A66"/>
    <w:rsid w:val="009A4F89"/>
    <w:rsid w:val="009B0D62"/>
    <w:rsid w:val="009B2099"/>
    <w:rsid w:val="009B2370"/>
    <w:rsid w:val="009B53D8"/>
    <w:rsid w:val="009B59BE"/>
    <w:rsid w:val="009B6027"/>
    <w:rsid w:val="009C4455"/>
    <w:rsid w:val="009C5165"/>
    <w:rsid w:val="009C5333"/>
    <w:rsid w:val="009C5DBC"/>
    <w:rsid w:val="009D001F"/>
    <w:rsid w:val="009D2428"/>
    <w:rsid w:val="009D38F9"/>
    <w:rsid w:val="009D3E35"/>
    <w:rsid w:val="009D4E58"/>
    <w:rsid w:val="009D62F1"/>
    <w:rsid w:val="009D6BF9"/>
    <w:rsid w:val="009E043A"/>
    <w:rsid w:val="009E379F"/>
    <w:rsid w:val="009E3F1E"/>
    <w:rsid w:val="009E463F"/>
    <w:rsid w:val="009E47E9"/>
    <w:rsid w:val="009E69F3"/>
    <w:rsid w:val="009F19CB"/>
    <w:rsid w:val="009F41EC"/>
    <w:rsid w:val="009F52C0"/>
    <w:rsid w:val="009F53DA"/>
    <w:rsid w:val="009F6DED"/>
    <w:rsid w:val="009F76DB"/>
    <w:rsid w:val="00A00505"/>
    <w:rsid w:val="00A03033"/>
    <w:rsid w:val="00A04834"/>
    <w:rsid w:val="00A04A6C"/>
    <w:rsid w:val="00A072A1"/>
    <w:rsid w:val="00A11347"/>
    <w:rsid w:val="00A1186D"/>
    <w:rsid w:val="00A13919"/>
    <w:rsid w:val="00A14B84"/>
    <w:rsid w:val="00A1581F"/>
    <w:rsid w:val="00A164C0"/>
    <w:rsid w:val="00A203B8"/>
    <w:rsid w:val="00A2067E"/>
    <w:rsid w:val="00A26FD7"/>
    <w:rsid w:val="00A3165B"/>
    <w:rsid w:val="00A32C3B"/>
    <w:rsid w:val="00A32C7E"/>
    <w:rsid w:val="00A333F7"/>
    <w:rsid w:val="00A3419D"/>
    <w:rsid w:val="00A3431A"/>
    <w:rsid w:val="00A3442E"/>
    <w:rsid w:val="00A36D95"/>
    <w:rsid w:val="00A40603"/>
    <w:rsid w:val="00A41736"/>
    <w:rsid w:val="00A424C5"/>
    <w:rsid w:val="00A42673"/>
    <w:rsid w:val="00A43E8E"/>
    <w:rsid w:val="00A44EDD"/>
    <w:rsid w:val="00A45DA0"/>
    <w:rsid w:val="00A45F4F"/>
    <w:rsid w:val="00A46ED5"/>
    <w:rsid w:val="00A47904"/>
    <w:rsid w:val="00A52A11"/>
    <w:rsid w:val="00A568D9"/>
    <w:rsid w:val="00A570C9"/>
    <w:rsid w:val="00A57555"/>
    <w:rsid w:val="00A600A9"/>
    <w:rsid w:val="00A602B1"/>
    <w:rsid w:val="00A61DE8"/>
    <w:rsid w:val="00A659CA"/>
    <w:rsid w:val="00A67F6A"/>
    <w:rsid w:val="00A70A30"/>
    <w:rsid w:val="00A70AF3"/>
    <w:rsid w:val="00A710BF"/>
    <w:rsid w:val="00A73133"/>
    <w:rsid w:val="00A7455A"/>
    <w:rsid w:val="00A77BCA"/>
    <w:rsid w:val="00A77F0D"/>
    <w:rsid w:val="00A81768"/>
    <w:rsid w:val="00A8196F"/>
    <w:rsid w:val="00A9066D"/>
    <w:rsid w:val="00A90A97"/>
    <w:rsid w:val="00A9361A"/>
    <w:rsid w:val="00A93E5A"/>
    <w:rsid w:val="00A94CED"/>
    <w:rsid w:val="00A95C47"/>
    <w:rsid w:val="00A9675D"/>
    <w:rsid w:val="00A97600"/>
    <w:rsid w:val="00AA2E80"/>
    <w:rsid w:val="00AA55B7"/>
    <w:rsid w:val="00AA5B9E"/>
    <w:rsid w:val="00AA61DD"/>
    <w:rsid w:val="00AA7AD8"/>
    <w:rsid w:val="00AB018E"/>
    <w:rsid w:val="00AB1545"/>
    <w:rsid w:val="00AB20A2"/>
    <w:rsid w:val="00AB2407"/>
    <w:rsid w:val="00AB2527"/>
    <w:rsid w:val="00AB2A2F"/>
    <w:rsid w:val="00AB2BCD"/>
    <w:rsid w:val="00AB31D5"/>
    <w:rsid w:val="00AB3CBA"/>
    <w:rsid w:val="00AB446A"/>
    <w:rsid w:val="00AB53DF"/>
    <w:rsid w:val="00AB5BCA"/>
    <w:rsid w:val="00AB72FA"/>
    <w:rsid w:val="00AC08C8"/>
    <w:rsid w:val="00AC6C8D"/>
    <w:rsid w:val="00AD0CB8"/>
    <w:rsid w:val="00AD2431"/>
    <w:rsid w:val="00AD255E"/>
    <w:rsid w:val="00AD26C1"/>
    <w:rsid w:val="00AD65BB"/>
    <w:rsid w:val="00AD68B0"/>
    <w:rsid w:val="00AE02A1"/>
    <w:rsid w:val="00AE17E6"/>
    <w:rsid w:val="00AE1830"/>
    <w:rsid w:val="00AE1BF8"/>
    <w:rsid w:val="00AE2032"/>
    <w:rsid w:val="00AE2C2E"/>
    <w:rsid w:val="00AE4432"/>
    <w:rsid w:val="00AE4510"/>
    <w:rsid w:val="00AE54D3"/>
    <w:rsid w:val="00AF0424"/>
    <w:rsid w:val="00AF0931"/>
    <w:rsid w:val="00AF0AF3"/>
    <w:rsid w:val="00AF0B5D"/>
    <w:rsid w:val="00AF0EF8"/>
    <w:rsid w:val="00AF257F"/>
    <w:rsid w:val="00AF5030"/>
    <w:rsid w:val="00B00B9B"/>
    <w:rsid w:val="00B033D1"/>
    <w:rsid w:val="00B03B46"/>
    <w:rsid w:val="00B04E88"/>
    <w:rsid w:val="00B050E6"/>
    <w:rsid w:val="00B060A3"/>
    <w:rsid w:val="00B064DC"/>
    <w:rsid w:val="00B065C3"/>
    <w:rsid w:val="00B07E5C"/>
    <w:rsid w:val="00B117A8"/>
    <w:rsid w:val="00B12327"/>
    <w:rsid w:val="00B125A3"/>
    <w:rsid w:val="00B146A0"/>
    <w:rsid w:val="00B146C1"/>
    <w:rsid w:val="00B14A1F"/>
    <w:rsid w:val="00B2225E"/>
    <w:rsid w:val="00B23DF5"/>
    <w:rsid w:val="00B2588C"/>
    <w:rsid w:val="00B25E79"/>
    <w:rsid w:val="00B2716F"/>
    <w:rsid w:val="00B27C7A"/>
    <w:rsid w:val="00B32155"/>
    <w:rsid w:val="00B3695F"/>
    <w:rsid w:val="00B37738"/>
    <w:rsid w:val="00B429A5"/>
    <w:rsid w:val="00B42F32"/>
    <w:rsid w:val="00B43C23"/>
    <w:rsid w:val="00B44466"/>
    <w:rsid w:val="00B461C1"/>
    <w:rsid w:val="00B464E5"/>
    <w:rsid w:val="00B46C2C"/>
    <w:rsid w:val="00B51BEC"/>
    <w:rsid w:val="00B5234C"/>
    <w:rsid w:val="00B551BE"/>
    <w:rsid w:val="00B61016"/>
    <w:rsid w:val="00B610F2"/>
    <w:rsid w:val="00B63D0C"/>
    <w:rsid w:val="00B63D29"/>
    <w:rsid w:val="00B64925"/>
    <w:rsid w:val="00B65B65"/>
    <w:rsid w:val="00B65FA0"/>
    <w:rsid w:val="00B66E3F"/>
    <w:rsid w:val="00B72D0B"/>
    <w:rsid w:val="00B72E9A"/>
    <w:rsid w:val="00B7483C"/>
    <w:rsid w:val="00B74CD8"/>
    <w:rsid w:val="00B74FB9"/>
    <w:rsid w:val="00B76208"/>
    <w:rsid w:val="00B76DD6"/>
    <w:rsid w:val="00B8097F"/>
    <w:rsid w:val="00B811F7"/>
    <w:rsid w:val="00B83F06"/>
    <w:rsid w:val="00B84DD1"/>
    <w:rsid w:val="00B85F11"/>
    <w:rsid w:val="00B86264"/>
    <w:rsid w:val="00B86C82"/>
    <w:rsid w:val="00B87187"/>
    <w:rsid w:val="00B87EBF"/>
    <w:rsid w:val="00B916F3"/>
    <w:rsid w:val="00B91D9A"/>
    <w:rsid w:val="00B92197"/>
    <w:rsid w:val="00B92386"/>
    <w:rsid w:val="00B93CCE"/>
    <w:rsid w:val="00B93E30"/>
    <w:rsid w:val="00B94AED"/>
    <w:rsid w:val="00B96C3D"/>
    <w:rsid w:val="00B96FC2"/>
    <w:rsid w:val="00B9701D"/>
    <w:rsid w:val="00BA0198"/>
    <w:rsid w:val="00BA1CC1"/>
    <w:rsid w:val="00BA2DCF"/>
    <w:rsid w:val="00BA3D23"/>
    <w:rsid w:val="00BA5840"/>
    <w:rsid w:val="00BA5B14"/>
    <w:rsid w:val="00BA5DC6"/>
    <w:rsid w:val="00BA6196"/>
    <w:rsid w:val="00BA6594"/>
    <w:rsid w:val="00BA6EFF"/>
    <w:rsid w:val="00BA7609"/>
    <w:rsid w:val="00BB0F95"/>
    <w:rsid w:val="00BB1513"/>
    <w:rsid w:val="00BB396C"/>
    <w:rsid w:val="00BB3A2A"/>
    <w:rsid w:val="00BB3E0D"/>
    <w:rsid w:val="00BB4441"/>
    <w:rsid w:val="00BB467A"/>
    <w:rsid w:val="00BB495D"/>
    <w:rsid w:val="00BB4CC5"/>
    <w:rsid w:val="00BB5024"/>
    <w:rsid w:val="00BB55A2"/>
    <w:rsid w:val="00BB70B6"/>
    <w:rsid w:val="00BB7A5A"/>
    <w:rsid w:val="00BC3E6C"/>
    <w:rsid w:val="00BC403F"/>
    <w:rsid w:val="00BC573B"/>
    <w:rsid w:val="00BC6640"/>
    <w:rsid w:val="00BC6D8C"/>
    <w:rsid w:val="00BC7F9B"/>
    <w:rsid w:val="00BD4F48"/>
    <w:rsid w:val="00BD6D03"/>
    <w:rsid w:val="00BE0095"/>
    <w:rsid w:val="00BE02A9"/>
    <w:rsid w:val="00BE3F0F"/>
    <w:rsid w:val="00BE3F6C"/>
    <w:rsid w:val="00BE4638"/>
    <w:rsid w:val="00BE4E49"/>
    <w:rsid w:val="00BE5636"/>
    <w:rsid w:val="00BE6F73"/>
    <w:rsid w:val="00BE7435"/>
    <w:rsid w:val="00BF08AC"/>
    <w:rsid w:val="00BF10A3"/>
    <w:rsid w:val="00BF13ED"/>
    <w:rsid w:val="00BF20CF"/>
    <w:rsid w:val="00BF28FE"/>
    <w:rsid w:val="00BF49AF"/>
    <w:rsid w:val="00BF6BD5"/>
    <w:rsid w:val="00C00909"/>
    <w:rsid w:val="00C01120"/>
    <w:rsid w:val="00C02068"/>
    <w:rsid w:val="00C023B1"/>
    <w:rsid w:val="00C02718"/>
    <w:rsid w:val="00C028D4"/>
    <w:rsid w:val="00C10C72"/>
    <w:rsid w:val="00C11C5D"/>
    <w:rsid w:val="00C11DB2"/>
    <w:rsid w:val="00C14427"/>
    <w:rsid w:val="00C1659C"/>
    <w:rsid w:val="00C16982"/>
    <w:rsid w:val="00C23B0A"/>
    <w:rsid w:val="00C24E41"/>
    <w:rsid w:val="00C24E8C"/>
    <w:rsid w:val="00C2719E"/>
    <w:rsid w:val="00C27E76"/>
    <w:rsid w:val="00C31975"/>
    <w:rsid w:val="00C321B2"/>
    <w:rsid w:val="00C32DC6"/>
    <w:rsid w:val="00C34006"/>
    <w:rsid w:val="00C35FF5"/>
    <w:rsid w:val="00C363D8"/>
    <w:rsid w:val="00C364A6"/>
    <w:rsid w:val="00C3747E"/>
    <w:rsid w:val="00C41F46"/>
    <w:rsid w:val="00C426B1"/>
    <w:rsid w:val="00C42F22"/>
    <w:rsid w:val="00C43DEB"/>
    <w:rsid w:val="00C44C46"/>
    <w:rsid w:val="00C475BA"/>
    <w:rsid w:val="00C50146"/>
    <w:rsid w:val="00C50627"/>
    <w:rsid w:val="00C523FD"/>
    <w:rsid w:val="00C535DE"/>
    <w:rsid w:val="00C559F3"/>
    <w:rsid w:val="00C57446"/>
    <w:rsid w:val="00C60031"/>
    <w:rsid w:val="00C60A67"/>
    <w:rsid w:val="00C6127F"/>
    <w:rsid w:val="00C6441A"/>
    <w:rsid w:val="00C66160"/>
    <w:rsid w:val="00C6750E"/>
    <w:rsid w:val="00C72103"/>
    <w:rsid w:val="00C721AC"/>
    <w:rsid w:val="00C72BB9"/>
    <w:rsid w:val="00C72DE1"/>
    <w:rsid w:val="00C73132"/>
    <w:rsid w:val="00C73623"/>
    <w:rsid w:val="00C73EEE"/>
    <w:rsid w:val="00C74DEC"/>
    <w:rsid w:val="00C7561A"/>
    <w:rsid w:val="00C75658"/>
    <w:rsid w:val="00C76C4D"/>
    <w:rsid w:val="00C76D5C"/>
    <w:rsid w:val="00C8006B"/>
    <w:rsid w:val="00C82356"/>
    <w:rsid w:val="00C82370"/>
    <w:rsid w:val="00C82C02"/>
    <w:rsid w:val="00C843D5"/>
    <w:rsid w:val="00C86BDD"/>
    <w:rsid w:val="00C87F31"/>
    <w:rsid w:val="00C904F2"/>
    <w:rsid w:val="00C907BA"/>
    <w:rsid w:val="00C90916"/>
    <w:rsid w:val="00C90D6A"/>
    <w:rsid w:val="00C91431"/>
    <w:rsid w:val="00C92CE9"/>
    <w:rsid w:val="00C94145"/>
    <w:rsid w:val="00C948EE"/>
    <w:rsid w:val="00C9721E"/>
    <w:rsid w:val="00CA169A"/>
    <w:rsid w:val="00CA1ED8"/>
    <w:rsid w:val="00CA22DB"/>
    <w:rsid w:val="00CA247E"/>
    <w:rsid w:val="00CA33C5"/>
    <w:rsid w:val="00CA346B"/>
    <w:rsid w:val="00CA37B8"/>
    <w:rsid w:val="00CA3EA0"/>
    <w:rsid w:val="00CA4A22"/>
    <w:rsid w:val="00CA51AA"/>
    <w:rsid w:val="00CA572E"/>
    <w:rsid w:val="00CA5939"/>
    <w:rsid w:val="00CA6BD3"/>
    <w:rsid w:val="00CA7647"/>
    <w:rsid w:val="00CB0D99"/>
    <w:rsid w:val="00CB13C4"/>
    <w:rsid w:val="00CB18E1"/>
    <w:rsid w:val="00CB198A"/>
    <w:rsid w:val="00CB3777"/>
    <w:rsid w:val="00CB3A8C"/>
    <w:rsid w:val="00CB3FCE"/>
    <w:rsid w:val="00CB4687"/>
    <w:rsid w:val="00CB4C08"/>
    <w:rsid w:val="00CB4E06"/>
    <w:rsid w:val="00CB59D1"/>
    <w:rsid w:val="00CB5DB6"/>
    <w:rsid w:val="00CB70F1"/>
    <w:rsid w:val="00CB737B"/>
    <w:rsid w:val="00CB7ECD"/>
    <w:rsid w:val="00CC30DD"/>
    <w:rsid w:val="00CC3364"/>
    <w:rsid w:val="00CC3536"/>
    <w:rsid w:val="00CC4439"/>
    <w:rsid w:val="00CC44EF"/>
    <w:rsid w:val="00CC4541"/>
    <w:rsid w:val="00CC5EC1"/>
    <w:rsid w:val="00CC660C"/>
    <w:rsid w:val="00CC72B6"/>
    <w:rsid w:val="00CC72DD"/>
    <w:rsid w:val="00CC7826"/>
    <w:rsid w:val="00CC799E"/>
    <w:rsid w:val="00CC7AD5"/>
    <w:rsid w:val="00CC7BA4"/>
    <w:rsid w:val="00CD068D"/>
    <w:rsid w:val="00CD1026"/>
    <w:rsid w:val="00CD20BF"/>
    <w:rsid w:val="00CD2DDA"/>
    <w:rsid w:val="00CD430B"/>
    <w:rsid w:val="00CD51AB"/>
    <w:rsid w:val="00CE0835"/>
    <w:rsid w:val="00CE144F"/>
    <w:rsid w:val="00CE3892"/>
    <w:rsid w:val="00CE3DB9"/>
    <w:rsid w:val="00CE4AD2"/>
    <w:rsid w:val="00CE7FDD"/>
    <w:rsid w:val="00CF0DD5"/>
    <w:rsid w:val="00CF1927"/>
    <w:rsid w:val="00CF329E"/>
    <w:rsid w:val="00CF4312"/>
    <w:rsid w:val="00CF4CD1"/>
    <w:rsid w:val="00CF593C"/>
    <w:rsid w:val="00CF5D02"/>
    <w:rsid w:val="00CF5F4B"/>
    <w:rsid w:val="00CF6FA4"/>
    <w:rsid w:val="00CF7F89"/>
    <w:rsid w:val="00D0218D"/>
    <w:rsid w:val="00D0221A"/>
    <w:rsid w:val="00D02707"/>
    <w:rsid w:val="00D04CEE"/>
    <w:rsid w:val="00D07843"/>
    <w:rsid w:val="00D110B8"/>
    <w:rsid w:val="00D12389"/>
    <w:rsid w:val="00D1370B"/>
    <w:rsid w:val="00D146D6"/>
    <w:rsid w:val="00D14C6A"/>
    <w:rsid w:val="00D15810"/>
    <w:rsid w:val="00D158E1"/>
    <w:rsid w:val="00D21ABB"/>
    <w:rsid w:val="00D21F26"/>
    <w:rsid w:val="00D22CB9"/>
    <w:rsid w:val="00D232AE"/>
    <w:rsid w:val="00D23B4F"/>
    <w:rsid w:val="00D241C2"/>
    <w:rsid w:val="00D247F3"/>
    <w:rsid w:val="00D2543B"/>
    <w:rsid w:val="00D25FB5"/>
    <w:rsid w:val="00D26510"/>
    <w:rsid w:val="00D26B9B"/>
    <w:rsid w:val="00D303E8"/>
    <w:rsid w:val="00D325F4"/>
    <w:rsid w:val="00D37BBF"/>
    <w:rsid w:val="00D40562"/>
    <w:rsid w:val="00D44223"/>
    <w:rsid w:val="00D4558B"/>
    <w:rsid w:val="00D50D40"/>
    <w:rsid w:val="00D50D44"/>
    <w:rsid w:val="00D51237"/>
    <w:rsid w:val="00D54335"/>
    <w:rsid w:val="00D54FE2"/>
    <w:rsid w:val="00D5688D"/>
    <w:rsid w:val="00D61013"/>
    <w:rsid w:val="00D67DBC"/>
    <w:rsid w:val="00D71738"/>
    <w:rsid w:val="00D71AD4"/>
    <w:rsid w:val="00D723EA"/>
    <w:rsid w:val="00D72AC7"/>
    <w:rsid w:val="00D72C37"/>
    <w:rsid w:val="00D7333E"/>
    <w:rsid w:val="00D73F66"/>
    <w:rsid w:val="00D74278"/>
    <w:rsid w:val="00D7614A"/>
    <w:rsid w:val="00D771D6"/>
    <w:rsid w:val="00D77D42"/>
    <w:rsid w:val="00D812E0"/>
    <w:rsid w:val="00D81310"/>
    <w:rsid w:val="00D81F96"/>
    <w:rsid w:val="00D82B7B"/>
    <w:rsid w:val="00D87859"/>
    <w:rsid w:val="00D87F77"/>
    <w:rsid w:val="00D90E63"/>
    <w:rsid w:val="00D90EAA"/>
    <w:rsid w:val="00D91AFD"/>
    <w:rsid w:val="00D92AE6"/>
    <w:rsid w:val="00D93CFC"/>
    <w:rsid w:val="00D940E0"/>
    <w:rsid w:val="00D95AB4"/>
    <w:rsid w:val="00D960FB"/>
    <w:rsid w:val="00D96B8F"/>
    <w:rsid w:val="00D96D0E"/>
    <w:rsid w:val="00D96D9B"/>
    <w:rsid w:val="00D97EF6"/>
    <w:rsid w:val="00DA2529"/>
    <w:rsid w:val="00DA2548"/>
    <w:rsid w:val="00DA3ECD"/>
    <w:rsid w:val="00DA43D9"/>
    <w:rsid w:val="00DA48C7"/>
    <w:rsid w:val="00DA6881"/>
    <w:rsid w:val="00DA6D35"/>
    <w:rsid w:val="00DA7BC3"/>
    <w:rsid w:val="00DB130A"/>
    <w:rsid w:val="00DB23DE"/>
    <w:rsid w:val="00DB29DA"/>
    <w:rsid w:val="00DB2EBB"/>
    <w:rsid w:val="00DB2F15"/>
    <w:rsid w:val="00DB4168"/>
    <w:rsid w:val="00DB603F"/>
    <w:rsid w:val="00DB7823"/>
    <w:rsid w:val="00DB7F94"/>
    <w:rsid w:val="00DC0B30"/>
    <w:rsid w:val="00DC10A1"/>
    <w:rsid w:val="00DC115B"/>
    <w:rsid w:val="00DC183C"/>
    <w:rsid w:val="00DC1C2E"/>
    <w:rsid w:val="00DC1F4A"/>
    <w:rsid w:val="00DC3F3C"/>
    <w:rsid w:val="00DC404B"/>
    <w:rsid w:val="00DC4508"/>
    <w:rsid w:val="00DC655F"/>
    <w:rsid w:val="00DD0B59"/>
    <w:rsid w:val="00DD0BCC"/>
    <w:rsid w:val="00DD40D7"/>
    <w:rsid w:val="00DD4516"/>
    <w:rsid w:val="00DD50EA"/>
    <w:rsid w:val="00DD600E"/>
    <w:rsid w:val="00DD797D"/>
    <w:rsid w:val="00DD7A32"/>
    <w:rsid w:val="00DD7EBD"/>
    <w:rsid w:val="00DD7FD1"/>
    <w:rsid w:val="00DE04BB"/>
    <w:rsid w:val="00DE1061"/>
    <w:rsid w:val="00DE1FE7"/>
    <w:rsid w:val="00DE2984"/>
    <w:rsid w:val="00DE4865"/>
    <w:rsid w:val="00DE4D52"/>
    <w:rsid w:val="00DF126B"/>
    <w:rsid w:val="00DF1EFC"/>
    <w:rsid w:val="00DF2447"/>
    <w:rsid w:val="00DF3E6D"/>
    <w:rsid w:val="00DF433C"/>
    <w:rsid w:val="00DF44EC"/>
    <w:rsid w:val="00DF5BCD"/>
    <w:rsid w:val="00DF61F9"/>
    <w:rsid w:val="00DF6250"/>
    <w:rsid w:val="00DF62B6"/>
    <w:rsid w:val="00DF6332"/>
    <w:rsid w:val="00DF6B34"/>
    <w:rsid w:val="00DF6D6D"/>
    <w:rsid w:val="00E006B2"/>
    <w:rsid w:val="00E00A69"/>
    <w:rsid w:val="00E01811"/>
    <w:rsid w:val="00E01F57"/>
    <w:rsid w:val="00E024AC"/>
    <w:rsid w:val="00E034DC"/>
    <w:rsid w:val="00E039E3"/>
    <w:rsid w:val="00E03D4D"/>
    <w:rsid w:val="00E05930"/>
    <w:rsid w:val="00E0648B"/>
    <w:rsid w:val="00E06E19"/>
    <w:rsid w:val="00E07225"/>
    <w:rsid w:val="00E074B4"/>
    <w:rsid w:val="00E077C5"/>
    <w:rsid w:val="00E14340"/>
    <w:rsid w:val="00E14BCB"/>
    <w:rsid w:val="00E1545E"/>
    <w:rsid w:val="00E16032"/>
    <w:rsid w:val="00E16406"/>
    <w:rsid w:val="00E17250"/>
    <w:rsid w:val="00E17C59"/>
    <w:rsid w:val="00E17D03"/>
    <w:rsid w:val="00E20F9A"/>
    <w:rsid w:val="00E21C62"/>
    <w:rsid w:val="00E23623"/>
    <w:rsid w:val="00E23C43"/>
    <w:rsid w:val="00E24D21"/>
    <w:rsid w:val="00E25028"/>
    <w:rsid w:val="00E251CF"/>
    <w:rsid w:val="00E266FD"/>
    <w:rsid w:val="00E277F0"/>
    <w:rsid w:val="00E320F4"/>
    <w:rsid w:val="00E3243A"/>
    <w:rsid w:val="00E325B3"/>
    <w:rsid w:val="00E34882"/>
    <w:rsid w:val="00E36924"/>
    <w:rsid w:val="00E425F1"/>
    <w:rsid w:val="00E43EB7"/>
    <w:rsid w:val="00E43FCC"/>
    <w:rsid w:val="00E442FC"/>
    <w:rsid w:val="00E456F2"/>
    <w:rsid w:val="00E458B4"/>
    <w:rsid w:val="00E527C7"/>
    <w:rsid w:val="00E52B12"/>
    <w:rsid w:val="00E53815"/>
    <w:rsid w:val="00E5409F"/>
    <w:rsid w:val="00E561D2"/>
    <w:rsid w:val="00E60485"/>
    <w:rsid w:val="00E61702"/>
    <w:rsid w:val="00E618A1"/>
    <w:rsid w:val="00E61F1F"/>
    <w:rsid w:val="00E624A3"/>
    <w:rsid w:val="00E66035"/>
    <w:rsid w:val="00E673EF"/>
    <w:rsid w:val="00E74C92"/>
    <w:rsid w:val="00E74EAE"/>
    <w:rsid w:val="00E75E8F"/>
    <w:rsid w:val="00E7697E"/>
    <w:rsid w:val="00E77077"/>
    <w:rsid w:val="00E7758A"/>
    <w:rsid w:val="00E80064"/>
    <w:rsid w:val="00E804ED"/>
    <w:rsid w:val="00E8070A"/>
    <w:rsid w:val="00E83470"/>
    <w:rsid w:val="00E85A4E"/>
    <w:rsid w:val="00E9016E"/>
    <w:rsid w:val="00E90941"/>
    <w:rsid w:val="00E91583"/>
    <w:rsid w:val="00E92801"/>
    <w:rsid w:val="00E92E8A"/>
    <w:rsid w:val="00E95EA0"/>
    <w:rsid w:val="00E968C4"/>
    <w:rsid w:val="00E9704F"/>
    <w:rsid w:val="00E973C6"/>
    <w:rsid w:val="00EA2680"/>
    <w:rsid w:val="00EA3A3A"/>
    <w:rsid w:val="00EA3B5F"/>
    <w:rsid w:val="00EA4E63"/>
    <w:rsid w:val="00EA6371"/>
    <w:rsid w:val="00EA735A"/>
    <w:rsid w:val="00EB00DE"/>
    <w:rsid w:val="00EB12E4"/>
    <w:rsid w:val="00EB140C"/>
    <w:rsid w:val="00EB2FE2"/>
    <w:rsid w:val="00EB423A"/>
    <w:rsid w:val="00EB7113"/>
    <w:rsid w:val="00EC0F90"/>
    <w:rsid w:val="00EC1AEB"/>
    <w:rsid w:val="00EC44DB"/>
    <w:rsid w:val="00EC4F87"/>
    <w:rsid w:val="00EC569E"/>
    <w:rsid w:val="00EC7911"/>
    <w:rsid w:val="00EC799D"/>
    <w:rsid w:val="00ED16D8"/>
    <w:rsid w:val="00ED17DF"/>
    <w:rsid w:val="00ED235C"/>
    <w:rsid w:val="00ED2814"/>
    <w:rsid w:val="00ED2EC2"/>
    <w:rsid w:val="00ED3219"/>
    <w:rsid w:val="00ED6BAB"/>
    <w:rsid w:val="00ED6C87"/>
    <w:rsid w:val="00ED6F64"/>
    <w:rsid w:val="00ED79AF"/>
    <w:rsid w:val="00EE0B16"/>
    <w:rsid w:val="00EE3759"/>
    <w:rsid w:val="00EE4482"/>
    <w:rsid w:val="00EE454C"/>
    <w:rsid w:val="00EE4DA7"/>
    <w:rsid w:val="00EE59AD"/>
    <w:rsid w:val="00EE6488"/>
    <w:rsid w:val="00EE6895"/>
    <w:rsid w:val="00EF0C14"/>
    <w:rsid w:val="00EF1AB9"/>
    <w:rsid w:val="00EF23F4"/>
    <w:rsid w:val="00EF73E3"/>
    <w:rsid w:val="00F021FA"/>
    <w:rsid w:val="00F03F73"/>
    <w:rsid w:val="00F05AF4"/>
    <w:rsid w:val="00F06D37"/>
    <w:rsid w:val="00F0733E"/>
    <w:rsid w:val="00F07363"/>
    <w:rsid w:val="00F10CD6"/>
    <w:rsid w:val="00F111B8"/>
    <w:rsid w:val="00F11AEE"/>
    <w:rsid w:val="00F14649"/>
    <w:rsid w:val="00F15065"/>
    <w:rsid w:val="00F15427"/>
    <w:rsid w:val="00F2047F"/>
    <w:rsid w:val="00F23EB4"/>
    <w:rsid w:val="00F25F94"/>
    <w:rsid w:val="00F27295"/>
    <w:rsid w:val="00F2782F"/>
    <w:rsid w:val="00F30FEB"/>
    <w:rsid w:val="00F31087"/>
    <w:rsid w:val="00F32154"/>
    <w:rsid w:val="00F32F25"/>
    <w:rsid w:val="00F3373F"/>
    <w:rsid w:val="00F34AA7"/>
    <w:rsid w:val="00F36F30"/>
    <w:rsid w:val="00F37EBB"/>
    <w:rsid w:val="00F404A4"/>
    <w:rsid w:val="00F41BE8"/>
    <w:rsid w:val="00F421DE"/>
    <w:rsid w:val="00F42CF9"/>
    <w:rsid w:val="00F43A8A"/>
    <w:rsid w:val="00F43C55"/>
    <w:rsid w:val="00F442DC"/>
    <w:rsid w:val="00F44B36"/>
    <w:rsid w:val="00F452A0"/>
    <w:rsid w:val="00F45D87"/>
    <w:rsid w:val="00F46CD5"/>
    <w:rsid w:val="00F470B9"/>
    <w:rsid w:val="00F507ED"/>
    <w:rsid w:val="00F52B33"/>
    <w:rsid w:val="00F52BCF"/>
    <w:rsid w:val="00F52BF9"/>
    <w:rsid w:val="00F538E2"/>
    <w:rsid w:val="00F53EEF"/>
    <w:rsid w:val="00F5512F"/>
    <w:rsid w:val="00F56F4C"/>
    <w:rsid w:val="00F57A6A"/>
    <w:rsid w:val="00F60BDB"/>
    <w:rsid w:val="00F60FF8"/>
    <w:rsid w:val="00F6244A"/>
    <w:rsid w:val="00F62A7B"/>
    <w:rsid w:val="00F62CD2"/>
    <w:rsid w:val="00F62E97"/>
    <w:rsid w:val="00F63208"/>
    <w:rsid w:val="00F64142"/>
    <w:rsid w:val="00F64209"/>
    <w:rsid w:val="00F654AF"/>
    <w:rsid w:val="00F654C4"/>
    <w:rsid w:val="00F7162B"/>
    <w:rsid w:val="00F72517"/>
    <w:rsid w:val="00F7439B"/>
    <w:rsid w:val="00F74841"/>
    <w:rsid w:val="00F74EFE"/>
    <w:rsid w:val="00F8055E"/>
    <w:rsid w:val="00F844F2"/>
    <w:rsid w:val="00F85352"/>
    <w:rsid w:val="00F85EF7"/>
    <w:rsid w:val="00F87487"/>
    <w:rsid w:val="00F87A8C"/>
    <w:rsid w:val="00F93BF5"/>
    <w:rsid w:val="00F94E6C"/>
    <w:rsid w:val="00F9561A"/>
    <w:rsid w:val="00F96016"/>
    <w:rsid w:val="00F973D9"/>
    <w:rsid w:val="00FA02C5"/>
    <w:rsid w:val="00FA413D"/>
    <w:rsid w:val="00FA4783"/>
    <w:rsid w:val="00FA6BD4"/>
    <w:rsid w:val="00FA7028"/>
    <w:rsid w:val="00FB1184"/>
    <w:rsid w:val="00FB1B93"/>
    <w:rsid w:val="00FB2DEF"/>
    <w:rsid w:val="00FB3664"/>
    <w:rsid w:val="00FB53EC"/>
    <w:rsid w:val="00FB61A3"/>
    <w:rsid w:val="00FB6D69"/>
    <w:rsid w:val="00FC001A"/>
    <w:rsid w:val="00FC0E4F"/>
    <w:rsid w:val="00FC1C87"/>
    <w:rsid w:val="00FC2940"/>
    <w:rsid w:val="00FC2B1A"/>
    <w:rsid w:val="00FC36CA"/>
    <w:rsid w:val="00FC43E3"/>
    <w:rsid w:val="00FD310C"/>
    <w:rsid w:val="00FD462C"/>
    <w:rsid w:val="00FD470D"/>
    <w:rsid w:val="00FD4BA4"/>
    <w:rsid w:val="00FD4C29"/>
    <w:rsid w:val="00FD4C5A"/>
    <w:rsid w:val="00FE003B"/>
    <w:rsid w:val="00FE0BEA"/>
    <w:rsid w:val="00FE2719"/>
    <w:rsid w:val="00FE2BDB"/>
    <w:rsid w:val="00FE4D1E"/>
    <w:rsid w:val="00FE6ECF"/>
    <w:rsid w:val="00FE6F9E"/>
    <w:rsid w:val="00FF0769"/>
    <w:rsid w:val="00FF41EF"/>
    <w:rsid w:val="00FF5190"/>
    <w:rsid w:val="00FF5D19"/>
    <w:rsid w:val="00FF5EC2"/>
    <w:rsid w:val="00FF6941"/>
    <w:rsid w:val="056624DC"/>
    <w:rsid w:val="057CEBAE"/>
    <w:rsid w:val="08C99A46"/>
    <w:rsid w:val="0DA5D2EE"/>
    <w:rsid w:val="0E554862"/>
    <w:rsid w:val="32706025"/>
    <w:rsid w:val="363F9BAD"/>
    <w:rsid w:val="39FBF6A9"/>
    <w:rsid w:val="3F895EB6"/>
    <w:rsid w:val="3FFA995F"/>
    <w:rsid w:val="41B143C9"/>
    <w:rsid w:val="46E2CD52"/>
    <w:rsid w:val="4E79ACFF"/>
    <w:rsid w:val="54143B11"/>
    <w:rsid w:val="543342E0"/>
    <w:rsid w:val="545A70B5"/>
    <w:rsid w:val="597ACD08"/>
    <w:rsid w:val="63D91597"/>
    <w:rsid w:val="6495BC45"/>
    <w:rsid w:val="6B23DFFD"/>
    <w:rsid w:val="790317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62DB3B"/>
  <w15:chartTrackingRefBased/>
  <w15:docId w15:val="{E343C6C7-55A4-4C82-B90F-B4CFAC7D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876"/>
    <w:pPr>
      <w:widowControl w:val="0"/>
    </w:pPr>
    <w:rPr>
      <w:snapToGrid w:val="0"/>
      <w:kern w:val="28"/>
      <w:sz w:val="22"/>
    </w:rPr>
  </w:style>
  <w:style w:type="paragraph" w:styleId="Heading1">
    <w:name w:val="heading 1"/>
    <w:basedOn w:val="Normal"/>
    <w:next w:val="ParaNum"/>
    <w:qFormat/>
    <w:rsid w:val="0047587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475876"/>
    <w:pPr>
      <w:keepNext/>
      <w:numPr>
        <w:ilvl w:val="1"/>
        <w:numId w:val="3"/>
      </w:numPr>
      <w:spacing w:after="120"/>
      <w:outlineLvl w:val="1"/>
    </w:pPr>
    <w:rPr>
      <w:b/>
    </w:rPr>
  </w:style>
  <w:style w:type="paragraph" w:styleId="Heading3">
    <w:name w:val="heading 3"/>
    <w:basedOn w:val="Normal"/>
    <w:next w:val="ParaNum"/>
    <w:qFormat/>
    <w:rsid w:val="00475876"/>
    <w:pPr>
      <w:keepNext/>
      <w:numPr>
        <w:ilvl w:val="2"/>
        <w:numId w:val="3"/>
      </w:numPr>
      <w:tabs>
        <w:tab w:val="left" w:pos="2160"/>
      </w:tabs>
      <w:spacing w:after="120"/>
      <w:outlineLvl w:val="2"/>
    </w:pPr>
    <w:rPr>
      <w:b/>
    </w:rPr>
  </w:style>
  <w:style w:type="paragraph" w:styleId="Heading4">
    <w:name w:val="heading 4"/>
    <w:basedOn w:val="Normal"/>
    <w:next w:val="ParaNum"/>
    <w:qFormat/>
    <w:rsid w:val="00475876"/>
    <w:pPr>
      <w:keepNext/>
      <w:numPr>
        <w:ilvl w:val="3"/>
        <w:numId w:val="3"/>
      </w:numPr>
      <w:tabs>
        <w:tab w:val="left" w:pos="2880"/>
      </w:tabs>
      <w:spacing w:after="120"/>
      <w:outlineLvl w:val="3"/>
    </w:pPr>
    <w:rPr>
      <w:b/>
    </w:rPr>
  </w:style>
  <w:style w:type="paragraph" w:styleId="Heading5">
    <w:name w:val="heading 5"/>
    <w:basedOn w:val="Normal"/>
    <w:next w:val="ParaNum"/>
    <w:qFormat/>
    <w:rsid w:val="00475876"/>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475876"/>
    <w:pPr>
      <w:numPr>
        <w:ilvl w:val="5"/>
        <w:numId w:val="3"/>
      </w:numPr>
      <w:tabs>
        <w:tab w:val="left" w:pos="4320"/>
      </w:tabs>
      <w:spacing w:after="120"/>
      <w:outlineLvl w:val="5"/>
    </w:pPr>
    <w:rPr>
      <w:b/>
    </w:rPr>
  </w:style>
  <w:style w:type="paragraph" w:styleId="Heading7">
    <w:name w:val="heading 7"/>
    <w:basedOn w:val="Normal"/>
    <w:next w:val="ParaNum"/>
    <w:qFormat/>
    <w:rsid w:val="00475876"/>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475876"/>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47587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758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5876"/>
  </w:style>
  <w:style w:type="paragraph" w:customStyle="1" w:styleId="ParaNum">
    <w:name w:val="ParaNum"/>
    <w:basedOn w:val="Normal"/>
    <w:link w:val="ParaNumChar"/>
    <w:rsid w:val="00475876"/>
    <w:pPr>
      <w:numPr>
        <w:numId w:val="2"/>
      </w:numPr>
      <w:tabs>
        <w:tab w:val="clear" w:pos="1080"/>
        <w:tab w:val="num" w:pos="1440"/>
      </w:tabs>
      <w:spacing w:after="120"/>
    </w:pPr>
  </w:style>
  <w:style w:type="paragraph" w:styleId="EndnoteText">
    <w:name w:val="endnote text"/>
    <w:basedOn w:val="Normal"/>
    <w:semiHidden/>
    <w:rsid w:val="00475876"/>
    <w:rPr>
      <w:sz w:val="20"/>
    </w:rPr>
  </w:style>
  <w:style w:type="character" w:styleId="EndnoteReference">
    <w:name w:val="endnote reference"/>
    <w:semiHidden/>
    <w:rsid w:val="00475876"/>
    <w:rPr>
      <w:vertAlign w:val="superscript"/>
    </w:rPr>
  </w:style>
  <w:style w:type="paragraph" w:styleId="FootnoteText">
    <w:name w:val="footnote text"/>
    <w:aliases w:val="ALTS FOOTNOTE,FOOTNOTE,Footnote Text Char Char,Footnote Text Char Char Char Char,Footnote Text Char Char Char Char Char Char1,Footnote Text Char1 Char Char,Footnote Text Char1 Char Char Char Char,Footnote Text Char2,Footnote text,fn,fn Cha"/>
    <w:link w:val="FootnoteTextChar"/>
    <w:rsid w:val="00475876"/>
    <w:pPr>
      <w:spacing w:after="120"/>
    </w:pPr>
  </w:style>
  <w:style w:type="character" w:styleId="FootnoteReference">
    <w:name w:val="footnote reference"/>
    <w:aliases w:val="(NECG) Footnote Reference,Appel note de bas de p,Style 12,Style 124,Style 13,Style 3,fr,o"/>
    <w:rsid w:val="00475876"/>
    <w:rPr>
      <w:rFonts w:ascii="Times New Roman" w:hAnsi="Times New Roman"/>
      <w:dstrike w:val="0"/>
      <w:color w:val="auto"/>
      <w:sz w:val="20"/>
      <w:vertAlign w:val="superscript"/>
    </w:rPr>
  </w:style>
  <w:style w:type="paragraph" w:styleId="TOC1">
    <w:name w:val="toc 1"/>
    <w:basedOn w:val="Normal"/>
    <w:next w:val="Normal"/>
    <w:semiHidden/>
    <w:rsid w:val="0047587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75876"/>
    <w:pPr>
      <w:tabs>
        <w:tab w:val="left" w:pos="720"/>
        <w:tab w:val="right" w:leader="dot" w:pos="9360"/>
      </w:tabs>
      <w:suppressAutoHyphens/>
      <w:ind w:left="720" w:right="720" w:hanging="360"/>
    </w:pPr>
    <w:rPr>
      <w:noProof/>
    </w:rPr>
  </w:style>
  <w:style w:type="paragraph" w:styleId="TOC3">
    <w:name w:val="toc 3"/>
    <w:basedOn w:val="Normal"/>
    <w:next w:val="Normal"/>
    <w:semiHidden/>
    <w:rsid w:val="0047587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7587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7587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7587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7587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7587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7587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75876"/>
    <w:pPr>
      <w:tabs>
        <w:tab w:val="right" w:pos="9360"/>
      </w:tabs>
      <w:suppressAutoHyphens/>
    </w:pPr>
  </w:style>
  <w:style w:type="character" w:customStyle="1" w:styleId="EquationCaption">
    <w:name w:val="_Equation Caption"/>
    <w:rsid w:val="00475876"/>
  </w:style>
  <w:style w:type="paragraph" w:styleId="Header">
    <w:name w:val="header"/>
    <w:basedOn w:val="Normal"/>
    <w:autoRedefine/>
    <w:rsid w:val="00475876"/>
    <w:pPr>
      <w:tabs>
        <w:tab w:val="center" w:pos="4680"/>
        <w:tab w:val="right" w:pos="9360"/>
      </w:tabs>
    </w:pPr>
    <w:rPr>
      <w:b/>
    </w:rPr>
  </w:style>
  <w:style w:type="paragraph" w:styleId="Footer">
    <w:name w:val="footer"/>
    <w:basedOn w:val="Normal"/>
    <w:link w:val="FooterChar"/>
    <w:uiPriority w:val="99"/>
    <w:rsid w:val="00475876"/>
    <w:pPr>
      <w:tabs>
        <w:tab w:val="center" w:pos="4320"/>
        <w:tab w:val="right" w:pos="8640"/>
      </w:tabs>
    </w:pPr>
  </w:style>
  <w:style w:type="character" w:styleId="PageNumber">
    <w:name w:val="page number"/>
    <w:basedOn w:val="DefaultParagraphFont"/>
    <w:rsid w:val="00475876"/>
  </w:style>
  <w:style w:type="paragraph" w:styleId="BlockText">
    <w:name w:val="Block Text"/>
    <w:basedOn w:val="Normal"/>
    <w:rsid w:val="00475876"/>
    <w:pPr>
      <w:spacing w:after="240"/>
      <w:ind w:left="1440" w:right="1440"/>
    </w:pPr>
  </w:style>
  <w:style w:type="paragraph" w:customStyle="1" w:styleId="Paratitle">
    <w:name w:val="Para title"/>
    <w:basedOn w:val="Normal"/>
    <w:rsid w:val="00475876"/>
    <w:pPr>
      <w:tabs>
        <w:tab w:val="center" w:pos="9270"/>
      </w:tabs>
      <w:spacing w:after="240"/>
    </w:pPr>
    <w:rPr>
      <w:spacing w:val="-2"/>
    </w:rPr>
  </w:style>
  <w:style w:type="paragraph" w:customStyle="1" w:styleId="Bullet">
    <w:name w:val="Bullet"/>
    <w:basedOn w:val="Normal"/>
    <w:rsid w:val="00475876"/>
    <w:pPr>
      <w:tabs>
        <w:tab w:val="left" w:pos="2160"/>
      </w:tabs>
      <w:spacing w:after="220"/>
      <w:ind w:left="2160" w:hanging="720"/>
    </w:pPr>
  </w:style>
  <w:style w:type="paragraph" w:customStyle="1" w:styleId="TableFormat">
    <w:name w:val="TableFormat"/>
    <w:basedOn w:val="Bullet"/>
    <w:rsid w:val="00475876"/>
    <w:pPr>
      <w:tabs>
        <w:tab w:val="clear" w:pos="2160"/>
        <w:tab w:val="left" w:pos="5040"/>
      </w:tabs>
      <w:ind w:left="5040" w:hanging="3600"/>
    </w:pPr>
  </w:style>
  <w:style w:type="paragraph" w:customStyle="1" w:styleId="TOCTitle">
    <w:name w:val="TOC Title"/>
    <w:basedOn w:val="Normal"/>
    <w:rsid w:val="0047587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75876"/>
    <w:pPr>
      <w:jc w:val="center"/>
    </w:pPr>
    <w:rPr>
      <w:rFonts w:ascii="Times New Roman Bold" w:hAnsi="Times New Roman Bold"/>
      <w:b/>
      <w:bCs/>
      <w:caps/>
      <w:szCs w:val="22"/>
    </w:rPr>
  </w:style>
  <w:style w:type="character" w:styleId="Hyperlink">
    <w:name w:val="Hyperlink"/>
    <w:rsid w:val="00475876"/>
    <w:rPr>
      <w:color w:val="0000FF"/>
      <w:u w:val="single"/>
    </w:rPr>
  </w:style>
  <w:style w:type="character" w:customStyle="1" w:styleId="FootnoteTextChar">
    <w:name w:val="Footnote Text Char"/>
    <w:aliases w:val="ALTS FOOTNOTE Char,FOOTNOTE Char,Footnote Text Char Char Char,Footnote Text Char Char Char Char Char,Footnote Text Char Char Char Char Char Char1 Char,Footnote Text Char1 Char Char Char,Footnote Text Char1 Char Char Char Char Char"/>
    <w:link w:val="FootnoteText"/>
    <w:rsid w:val="008206E3"/>
  </w:style>
  <w:style w:type="character" w:customStyle="1" w:styleId="ParaNumChar">
    <w:name w:val="ParaNum Char"/>
    <w:link w:val="ParaNum"/>
    <w:rsid w:val="008206E3"/>
    <w:rPr>
      <w:snapToGrid w:val="0"/>
      <w:kern w:val="28"/>
      <w:sz w:val="22"/>
    </w:rPr>
  </w:style>
  <w:style w:type="character" w:styleId="CommentReference">
    <w:name w:val="annotation reference"/>
    <w:uiPriority w:val="99"/>
    <w:rsid w:val="004C604F"/>
    <w:rPr>
      <w:sz w:val="16"/>
      <w:szCs w:val="16"/>
    </w:rPr>
  </w:style>
  <w:style w:type="paragraph" w:styleId="CommentText">
    <w:name w:val="annotation text"/>
    <w:basedOn w:val="Normal"/>
    <w:link w:val="CommentTextChar"/>
    <w:uiPriority w:val="99"/>
    <w:rsid w:val="004C604F"/>
    <w:rPr>
      <w:sz w:val="20"/>
    </w:rPr>
  </w:style>
  <w:style w:type="character" w:customStyle="1" w:styleId="CommentTextChar">
    <w:name w:val="Comment Text Char"/>
    <w:link w:val="CommentText"/>
    <w:uiPriority w:val="99"/>
    <w:rsid w:val="004C604F"/>
    <w:rPr>
      <w:snapToGrid w:val="0"/>
      <w:kern w:val="28"/>
    </w:rPr>
  </w:style>
  <w:style w:type="paragraph" w:styleId="CommentSubject">
    <w:name w:val="annotation subject"/>
    <w:basedOn w:val="CommentText"/>
    <w:next w:val="CommentText"/>
    <w:link w:val="CommentSubjectChar"/>
    <w:semiHidden/>
    <w:unhideWhenUsed/>
    <w:rsid w:val="004C604F"/>
    <w:rPr>
      <w:b/>
      <w:bCs/>
    </w:rPr>
  </w:style>
  <w:style w:type="character" w:customStyle="1" w:styleId="CommentSubjectChar">
    <w:name w:val="Comment Subject Char"/>
    <w:link w:val="CommentSubject"/>
    <w:semiHidden/>
    <w:rsid w:val="004C604F"/>
    <w:rPr>
      <w:b/>
      <w:bCs/>
      <w:snapToGrid w:val="0"/>
      <w:kern w:val="28"/>
    </w:rPr>
  </w:style>
  <w:style w:type="paragraph" w:styleId="BalloonText">
    <w:name w:val="Balloon Text"/>
    <w:basedOn w:val="Normal"/>
    <w:link w:val="BalloonTextChar"/>
    <w:semiHidden/>
    <w:unhideWhenUsed/>
    <w:rsid w:val="004C604F"/>
    <w:rPr>
      <w:rFonts w:ascii="Segoe UI" w:hAnsi="Segoe UI" w:cs="Segoe UI"/>
      <w:sz w:val="18"/>
      <w:szCs w:val="18"/>
    </w:rPr>
  </w:style>
  <w:style w:type="character" w:customStyle="1" w:styleId="BalloonTextChar">
    <w:name w:val="Balloon Text Char"/>
    <w:link w:val="BalloonText"/>
    <w:semiHidden/>
    <w:rsid w:val="004C604F"/>
    <w:rPr>
      <w:rFonts w:ascii="Segoe UI" w:hAnsi="Segoe UI" w:cs="Segoe UI"/>
      <w:snapToGrid w:val="0"/>
      <w:kern w:val="28"/>
      <w:sz w:val="18"/>
      <w:szCs w:val="18"/>
    </w:rPr>
  </w:style>
  <w:style w:type="character" w:styleId="UnresolvedMention">
    <w:name w:val="Unresolved Mention"/>
    <w:uiPriority w:val="99"/>
    <w:semiHidden/>
    <w:unhideWhenUsed/>
    <w:rsid w:val="003F06AE"/>
    <w:rPr>
      <w:color w:val="605E5C"/>
      <w:shd w:val="clear" w:color="auto" w:fill="E1DFDD"/>
    </w:rPr>
  </w:style>
  <w:style w:type="paragraph" w:styleId="Revision">
    <w:name w:val="Revision"/>
    <w:hidden/>
    <w:uiPriority w:val="99"/>
    <w:semiHidden/>
    <w:rsid w:val="000B6F09"/>
    <w:rPr>
      <w:snapToGrid w:val="0"/>
      <w:kern w:val="28"/>
      <w:sz w:val="22"/>
    </w:rPr>
  </w:style>
  <w:style w:type="character" w:customStyle="1" w:styleId="FooterChar">
    <w:name w:val="Footer Char"/>
    <w:link w:val="Footer"/>
    <w:uiPriority w:val="99"/>
    <w:rsid w:val="00475876"/>
    <w:rPr>
      <w:snapToGrid w:val="0"/>
      <w:kern w:val="28"/>
      <w:sz w:val="22"/>
    </w:rPr>
  </w:style>
  <w:style w:type="character" w:styleId="Mention">
    <w:name w:val="Mention"/>
    <w:basedOn w:val="DefaultParagraphFont"/>
    <w:uiPriority w:val="99"/>
    <w:unhideWhenUsed/>
    <w:rsid w:val="00E74EAE"/>
    <w:rPr>
      <w:color w:val="2B579A"/>
      <w:shd w:val="clear" w:color="auto" w:fill="E1DFDD"/>
    </w:rPr>
  </w:style>
  <w:style w:type="paragraph" w:styleId="ListParagraph">
    <w:name w:val="List Paragraph"/>
    <w:basedOn w:val="Normal"/>
    <w:uiPriority w:val="34"/>
    <w:qFormat/>
    <w:rsid w:val="00D96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4.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zac.champ@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