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FD7EE2" w:rsidP="00FD7EE2" w14:paraId="096EEB49" w14:textId="77777777">
      <w:pPr>
        <w:rPr>
          <w:b/>
          <w:sz w:val="24"/>
        </w:rPr>
      </w:pPr>
    </w:p>
    <w:p w:rsidR="00FD7EE2" w:rsidRPr="0087519C" w:rsidP="00FD7EE2" w14:paraId="0E96D0CB" w14:textId="372B4B06">
      <w:pPr>
        <w:jc w:val="right"/>
        <w:rPr>
          <w:b/>
          <w:szCs w:val="22"/>
        </w:rPr>
      </w:pPr>
      <w:r w:rsidRPr="0087519C">
        <w:rPr>
          <w:b/>
          <w:szCs w:val="22"/>
        </w:rPr>
        <w:t>DA 25-</w:t>
      </w:r>
      <w:r w:rsidR="00C775C5">
        <w:rPr>
          <w:b/>
          <w:szCs w:val="22"/>
        </w:rPr>
        <w:t>1016</w:t>
      </w:r>
    </w:p>
    <w:p w:rsidR="00FD7EE2" w:rsidRPr="0087519C" w:rsidP="00FD7EE2" w14:paraId="4AD4B72A" w14:textId="4943C512">
      <w:pPr>
        <w:spacing w:before="60"/>
        <w:jc w:val="right"/>
        <w:rPr>
          <w:b/>
          <w:szCs w:val="22"/>
        </w:rPr>
      </w:pPr>
      <w:r w:rsidRPr="0087519C">
        <w:rPr>
          <w:b/>
          <w:szCs w:val="22"/>
        </w:rPr>
        <w:t xml:space="preserve">Released:  </w:t>
      </w:r>
      <w:r w:rsidRPr="0087519C" w:rsidR="0087519C">
        <w:rPr>
          <w:b/>
          <w:szCs w:val="22"/>
        </w:rPr>
        <w:t>December 5</w:t>
      </w:r>
      <w:r w:rsidRPr="0087519C">
        <w:rPr>
          <w:b/>
          <w:szCs w:val="22"/>
        </w:rPr>
        <w:t>, 2025</w:t>
      </w:r>
    </w:p>
    <w:p w:rsidR="00FD7EE2" w:rsidRPr="0087519C" w:rsidP="00FD7EE2" w14:paraId="5D83A1AB" w14:textId="77777777">
      <w:pPr>
        <w:jc w:val="center"/>
        <w:rPr>
          <w:b/>
          <w:bCs/>
          <w:szCs w:val="22"/>
        </w:rPr>
      </w:pPr>
      <w:bookmarkStart w:id="0" w:name="_Hlk166229554"/>
    </w:p>
    <w:p w:rsidR="00FD7EE2" w:rsidP="00FD7EE2" w14:paraId="1DDE0E0A" w14:textId="07D5C5D9">
      <w:pPr>
        <w:jc w:val="center"/>
        <w:rPr>
          <w:b/>
          <w:bCs/>
          <w:szCs w:val="22"/>
        </w:rPr>
      </w:pPr>
      <w:r w:rsidRPr="0087519C">
        <w:rPr>
          <w:b/>
          <w:bCs/>
          <w:szCs w:val="22"/>
        </w:rPr>
        <w:t xml:space="preserve">DOMESTIC </w:t>
      </w:r>
      <w:r w:rsidRPr="0087519C">
        <w:rPr>
          <w:b/>
          <w:bCs/>
          <w:caps/>
          <w:szCs w:val="22"/>
        </w:rPr>
        <w:t>SECTION</w:t>
      </w:r>
      <w:r w:rsidRPr="0087519C">
        <w:rPr>
          <w:b/>
          <w:bCs/>
          <w:szCs w:val="22"/>
        </w:rPr>
        <w:t xml:space="preserve"> 214 APPLICATION FILED FOR THE </w:t>
      </w:r>
      <w:r w:rsidRPr="0087519C" w:rsidR="007C5390">
        <w:rPr>
          <w:b/>
          <w:bCs/>
          <w:szCs w:val="22"/>
        </w:rPr>
        <w:t>AC</w:t>
      </w:r>
      <w:r w:rsidRPr="0087519C" w:rsidR="00EE0FA0">
        <w:rPr>
          <w:b/>
          <w:bCs/>
          <w:szCs w:val="22"/>
        </w:rPr>
        <w:t>Q</w:t>
      </w:r>
      <w:r w:rsidRPr="0087519C" w:rsidR="007C5390">
        <w:rPr>
          <w:b/>
          <w:bCs/>
          <w:szCs w:val="22"/>
        </w:rPr>
        <w:t>UISITION OF CERTAIN</w:t>
      </w:r>
      <w:r w:rsidR="007C5390">
        <w:rPr>
          <w:b/>
          <w:bCs/>
          <w:szCs w:val="22"/>
        </w:rPr>
        <w:t xml:space="preserve"> ASSETS</w:t>
      </w:r>
      <w:r w:rsidRPr="00DB3CBC">
        <w:rPr>
          <w:b/>
          <w:bCs/>
          <w:szCs w:val="22"/>
        </w:rPr>
        <w:t xml:space="preserve"> OF</w:t>
      </w:r>
      <w:bookmarkEnd w:id="0"/>
      <w:r>
        <w:rPr>
          <w:b/>
          <w:bCs/>
          <w:szCs w:val="22"/>
        </w:rPr>
        <w:t xml:space="preserve"> TELNET WORLDWIDE, INC.</w:t>
      </w:r>
      <w:r w:rsidR="007C5390">
        <w:rPr>
          <w:b/>
          <w:bCs/>
          <w:szCs w:val="22"/>
        </w:rPr>
        <w:t xml:space="preserve"> BY</w:t>
      </w:r>
      <w:r>
        <w:rPr>
          <w:b/>
          <w:bCs/>
          <w:szCs w:val="22"/>
        </w:rPr>
        <w:t xml:space="preserve"> INTERACTIVE SERVICES NETWORK, INC.</w:t>
      </w:r>
    </w:p>
    <w:p w:rsidR="00FD7EE2" w:rsidRPr="00DB3CBC" w:rsidP="00FD7EE2" w14:paraId="6ACD6534" w14:textId="77777777">
      <w:pPr>
        <w:jc w:val="center"/>
        <w:rPr>
          <w:b/>
          <w:bCs/>
          <w:szCs w:val="22"/>
        </w:rPr>
      </w:pPr>
    </w:p>
    <w:p w:rsidR="00FD7EE2" w:rsidP="00FD7EE2" w14:paraId="64B07858" w14:textId="77777777">
      <w:pPr>
        <w:jc w:val="center"/>
        <w:rPr>
          <w:b/>
          <w:bCs/>
          <w:szCs w:val="22"/>
        </w:rPr>
      </w:pPr>
      <w:r>
        <w:rPr>
          <w:b/>
          <w:szCs w:val="22"/>
        </w:rPr>
        <w:t>NON-</w:t>
      </w:r>
      <w:r w:rsidRPr="00DB3CBC">
        <w:rPr>
          <w:b/>
          <w:szCs w:val="22"/>
        </w:rPr>
        <w:t>STREAMLINED PLEADING CYCLE ESTABLISHED</w:t>
      </w:r>
    </w:p>
    <w:p w:rsidR="00FD7EE2" w:rsidRPr="00F723A8" w:rsidP="00FD7EE2" w14:paraId="6105BCEE" w14:textId="77777777">
      <w:pPr>
        <w:jc w:val="center"/>
        <w:rPr>
          <w:b/>
          <w:bCs/>
          <w:szCs w:val="22"/>
        </w:rPr>
      </w:pPr>
    </w:p>
    <w:p w:rsidR="00FD7EE2" w:rsidRPr="00DB3CBC" w:rsidP="00FD7EE2" w14:paraId="342DE50E" w14:textId="08464D9A">
      <w:pPr>
        <w:jc w:val="center"/>
        <w:rPr>
          <w:b/>
          <w:szCs w:val="22"/>
        </w:rPr>
      </w:pPr>
      <w:r w:rsidRPr="00DB3CBC">
        <w:rPr>
          <w:b/>
          <w:szCs w:val="22"/>
        </w:rPr>
        <w:t>WC Docket No. 2</w:t>
      </w:r>
      <w:r>
        <w:rPr>
          <w:b/>
          <w:szCs w:val="22"/>
        </w:rPr>
        <w:t>5-</w:t>
      </w:r>
      <w:r w:rsidR="00951B15">
        <w:rPr>
          <w:b/>
          <w:szCs w:val="22"/>
        </w:rPr>
        <w:t>189</w:t>
      </w:r>
    </w:p>
    <w:p w:rsidR="00FD7EE2" w:rsidP="00FD7EE2" w14:paraId="5FB927D2" w14:textId="77777777">
      <w:pPr>
        <w:rPr>
          <w:b/>
          <w:szCs w:val="22"/>
        </w:rPr>
      </w:pPr>
    </w:p>
    <w:p w:rsidR="00FD7EE2" w:rsidRPr="00AD440B" w:rsidP="00FD7EE2" w14:paraId="5D39860B" w14:textId="74FBDFEC">
      <w:pPr>
        <w:rPr>
          <w:b/>
          <w:szCs w:val="22"/>
        </w:rPr>
      </w:pPr>
      <w:r w:rsidRPr="00AD440B">
        <w:rPr>
          <w:b/>
          <w:szCs w:val="22"/>
        </w:rPr>
        <w:t xml:space="preserve">Comments Due:  </w:t>
      </w:r>
      <w:r w:rsidR="0003386F">
        <w:rPr>
          <w:b/>
          <w:szCs w:val="22"/>
        </w:rPr>
        <w:t xml:space="preserve">December </w:t>
      </w:r>
      <w:r w:rsidR="008C47D0">
        <w:rPr>
          <w:b/>
          <w:szCs w:val="22"/>
        </w:rPr>
        <w:t>19</w:t>
      </w:r>
      <w:r w:rsidRPr="00AD440B">
        <w:rPr>
          <w:b/>
          <w:szCs w:val="22"/>
        </w:rPr>
        <w:t>, 202</w:t>
      </w:r>
      <w:r>
        <w:rPr>
          <w:b/>
          <w:szCs w:val="22"/>
        </w:rPr>
        <w:t>5</w:t>
      </w:r>
      <w:r w:rsidRPr="00AD440B">
        <w:rPr>
          <w:b/>
          <w:szCs w:val="22"/>
        </w:rPr>
        <w:t xml:space="preserve"> </w:t>
      </w:r>
    </w:p>
    <w:p w:rsidR="00FD7EE2" w:rsidP="00FD7EE2" w14:paraId="02D83D46" w14:textId="369267A2">
      <w:pPr>
        <w:tabs>
          <w:tab w:val="left" w:pos="6366"/>
        </w:tabs>
        <w:rPr>
          <w:b/>
          <w:szCs w:val="22"/>
        </w:rPr>
      </w:pPr>
      <w:r w:rsidRPr="00AD440B">
        <w:rPr>
          <w:b/>
          <w:szCs w:val="22"/>
        </w:rPr>
        <w:t>Reply Comment</w:t>
      </w:r>
      <w:r>
        <w:rPr>
          <w:b/>
          <w:szCs w:val="22"/>
        </w:rPr>
        <w:t>s</w:t>
      </w:r>
      <w:r w:rsidRPr="00AD440B">
        <w:rPr>
          <w:b/>
          <w:szCs w:val="22"/>
        </w:rPr>
        <w:t xml:space="preserve"> Due:  </w:t>
      </w:r>
      <w:r w:rsidR="008C47D0">
        <w:rPr>
          <w:b/>
          <w:szCs w:val="22"/>
        </w:rPr>
        <w:t>December 26</w:t>
      </w:r>
      <w:r w:rsidRPr="00AD440B">
        <w:rPr>
          <w:b/>
          <w:szCs w:val="22"/>
        </w:rPr>
        <w:t>, 202</w:t>
      </w:r>
      <w:r>
        <w:rPr>
          <w:b/>
          <w:szCs w:val="22"/>
        </w:rPr>
        <w:t>5</w:t>
      </w:r>
    </w:p>
    <w:p w:rsidR="00FD7EE2" w:rsidP="00FD7EE2" w14:paraId="6307EF1B" w14:textId="77777777">
      <w:pPr>
        <w:tabs>
          <w:tab w:val="left" w:pos="6366"/>
        </w:tabs>
        <w:rPr>
          <w:b/>
          <w:szCs w:val="22"/>
        </w:rPr>
      </w:pPr>
    </w:p>
    <w:p w:rsidR="00FD7EE2" w:rsidRPr="00FA6076" w:rsidP="00FD7EE2" w14:paraId="3FEBC24D" w14:textId="3CFC3D84">
      <w:pPr>
        <w:autoSpaceDE w:val="0"/>
        <w:autoSpaceDN w:val="0"/>
        <w:adjustRightInd w:val="0"/>
        <w:spacing w:after="120"/>
        <w:ind w:firstLine="720"/>
        <w:rPr>
          <w:szCs w:val="22"/>
        </w:rPr>
      </w:pPr>
      <w:r w:rsidRPr="00FD7EE2">
        <w:rPr>
          <w:szCs w:val="22"/>
        </w:rPr>
        <w:t xml:space="preserve">By this Public Notice, the Wireline Competition Bureau seeks comment from interested parties on an application filed by </w:t>
      </w:r>
      <w:bookmarkStart w:id="1" w:name="_Hlk187678845"/>
      <w:bookmarkStart w:id="2" w:name="_Hlk73713070"/>
      <w:bookmarkStart w:id="3" w:name="_Hlk67917977"/>
      <w:r w:rsidRPr="00FD7EE2">
        <w:rPr>
          <w:szCs w:val="22"/>
        </w:rPr>
        <w:t>TelNet</w:t>
      </w:r>
      <w:r w:rsidRPr="00FD7EE2">
        <w:rPr>
          <w:szCs w:val="22"/>
        </w:rPr>
        <w:t xml:space="preserve"> Worldwide, Inc. (</w:t>
      </w:r>
      <w:r w:rsidRPr="00FD7EE2">
        <w:rPr>
          <w:szCs w:val="22"/>
        </w:rPr>
        <w:t>TelNet</w:t>
      </w:r>
      <w:r w:rsidRPr="00FD7EE2">
        <w:rPr>
          <w:szCs w:val="22"/>
        </w:rPr>
        <w:t>) and Interactive Services Network, Inc.</w:t>
      </w:r>
      <w:r w:rsidR="005F5882">
        <w:rPr>
          <w:szCs w:val="22"/>
        </w:rPr>
        <w:t xml:space="preserve"> (d/b/a </w:t>
      </w:r>
      <w:r w:rsidR="005F5882">
        <w:rPr>
          <w:szCs w:val="22"/>
        </w:rPr>
        <w:t>IPFone</w:t>
      </w:r>
      <w:r w:rsidR="005F5882">
        <w:rPr>
          <w:szCs w:val="22"/>
        </w:rPr>
        <w:t>)</w:t>
      </w:r>
      <w:r w:rsidRPr="00FD7EE2">
        <w:rPr>
          <w:szCs w:val="22"/>
        </w:rPr>
        <w:t xml:space="preserve"> (Interactive</w:t>
      </w:r>
      <w:r w:rsidRPr="00FA6076">
        <w:rPr>
          <w:szCs w:val="22"/>
        </w:rPr>
        <w:t xml:space="preserve">) </w:t>
      </w:r>
      <w:bookmarkEnd w:id="1"/>
      <w:r w:rsidRPr="00FA6076">
        <w:rPr>
          <w:szCs w:val="22"/>
        </w:rPr>
        <w:t>(</w:t>
      </w:r>
      <w:r w:rsidR="003909E1">
        <w:rPr>
          <w:szCs w:val="22"/>
        </w:rPr>
        <w:t>together</w:t>
      </w:r>
      <w:r w:rsidRPr="00FA6076">
        <w:rPr>
          <w:szCs w:val="22"/>
        </w:rPr>
        <w:t>, Applicants), pursuant to section 214(a) of the Communications Act of 1934, as amended, and section 63.04 of the Commission’s rules,</w:t>
      </w:r>
      <w:r>
        <w:rPr>
          <w:rStyle w:val="FootnoteReference"/>
          <w:szCs w:val="22"/>
        </w:rPr>
        <w:footnoteReference w:id="3"/>
      </w:r>
      <w:r w:rsidRPr="00FA6076">
        <w:rPr>
          <w:szCs w:val="22"/>
        </w:rPr>
        <w:t xml:space="preserve"> </w:t>
      </w:r>
      <w:bookmarkEnd w:id="2"/>
      <w:bookmarkEnd w:id="3"/>
      <w:r w:rsidRPr="00FA6076">
        <w:rPr>
          <w:szCs w:val="22"/>
        </w:rPr>
        <w:t xml:space="preserve">requesting Commission consent to </w:t>
      </w:r>
      <w:r w:rsidR="00EE0FA0">
        <w:rPr>
          <w:szCs w:val="22"/>
        </w:rPr>
        <w:t>the acquisition</w:t>
      </w:r>
      <w:r w:rsidRPr="00FA6076">
        <w:rPr>
          <w:szCs w:val="22"/>
        </w:rPr>
        <w:t xml:space="preserve"> of </w:t>
      </w:r>
      <w:r w:rsidR="00EE0FA0">
        <w:rPr>
          <w:szCs w:val="22"/>
        </w:rPr>
        <w:t xml:space="preserve">certain assets of </w:t>
      </w:r>
      <w:r w:rsidRPr="00FA6076">
        <w:rPr>
          <w:szCs w:val="22"/>
        </w:rPr>
        <w:t>TelNet</w:t>
      </w:r>
      <w:r w:rsidRPr="00FA6076">
        <w:rPr>
          <w:szCs w:val="22"/>
        </w:rPr>
        <w:t xml:space="preserve"> </w:t>
      </w:r>
      <w:r w:rsidR="00EE0FA0">
        <w:rPr>
          <w:szCs w:val="22"/>
        </w:rPr>
        <w:t>by</w:t>
      </w:r>
      <w:r w:rsidRPr="00FA6076">
        <w:rPr>
          <w:szCs w:val="22"/>
        </w:rPr>
        <w:t xml:space="preserve"> Interactive.</w:t>
      </w:r>
      <w:r>
        <w:rPr>
          <w:szCs w:val="22"/>
          <w:vertAlign w:val="superscript"/>
        </w:rPr>
        <w:footnoteReference w:id="4"/>
      </w:r>
    </w:p>
    <w:p w:rsidR="00FD7EE2" w:rsidRPr="0030466C" w:rsidP="001A24F7" w14:paraId="3CF911C0" w14:textId="17519FF1">
      <w:pPr>
        <w:widowControl/>
        <w:spacing w:after="160"/>
        <w:ind w:firstLine="720"/>
        <w:rPr>
          <w:rFonts w:eastAsia="Aptos"/>
          <w:snapToGrid/>
          <w:kern w:val="2"/>
          <w:szCs w:val="22"/>
        </w:rPr>
      </w:pPr>
      <w:r w:rsidRPr="00FA6076">
        <w:rPr>
          <w:rFonts w:eastAsia="Aptos"/>
          <w:snapToGrid/>
          <w:kern w:val="2"/>
          <w:szCs w:val="22"/>
        </w:rPr>
        <w:t>TelNet</w:t>
      </w:r>
      <w:r w:rsidRPr="00FA6076" w:rsidR="00BB061F">
        <w:rPr>
          <w:rFonts w:eastAsia="Aptos"/>
          <w:snapToGrid/>
          <w:kern w:val="2"/>
          <w:szCs w:val="22"/>
        </w:rPr>
        <w:t xml:space="preserve">, </w:t>
      </w:r>
      <w:r w:rsidRPr="00FA6076">
        <w:rPr>
          <w:rFonts w:eastAsia="Aptos"/>
          <w:snapToGrid/>
          <w:kern w:val="2"/>
          <w:szCs w:val="22"/>
        </w:rPr>
        <w:t>a</w:t>
      </w:r>
      <w:r w:rsidRPr="00FA6076" w:rsidR="00BB061F">
        <w:rPr>
          <w:rFonts w:eastAsia="Aptos"/>
          <w:snapToGrid/>
          <w:kern w:val="2"/>
          <w:szCs w:val="22"/>
        </w:rPr>
        <w:t xml:space="preserve"> Michigan</w:t>
      </w:r>
      <w:r w:rsidRPr="00FA6076">
        <w:rPr>
          <w:rFonts w:eastAsia="Aptos"/>
          <w:snapToGrid/>
          <w:kern w:val="2"/>
          <w:szCs w:val="22"/>
        </w:rPr>
        <w:t xml:space="preserve"> S </w:t>
      </w:r>
      <w:r w:rsidRPr="00FA6076" w:rsidR="00BB061F">
        <w:rPr>
          <w:rFonts w:eastAsia="Aptos"/>
          <w:snapToGrid/>
          <w:kern w:val="2"/>
          <w:szCs w:val="22"/>
        </w:rPr>
        <w:t>c</w:t>
      </w:r>
      <w:r w:rsidRPr="00FA6076">
        <w:rPr>
          <w:rFonts w:eastAsia="Aptos"/>
          <w:snapToGrid/>
          <w:kern w:val="2"/>
          <w:szCs w:val="22"/>
        </w:rPr>
        <w:t>orporation</w:t>
      </w:r>
      <w:r w:rsidRPr="00FA6076" w:rsidR="00BB061F">
        <w:rPr>
          <w:rFonts w:eastAsia="Aptos"/>
          <w:snapToGrid/>
          <w:kern w:val="2"/>
          <w:szCs w:val="22"/>
        </w:rPr>
        <w:t xml:space="preserve">, </w:t>
      </w:r>
      <w:r w:rsidRPr="00FA6076">
        <w:rPr>
          <w:rFonts w:eastAsia="Aptos"/>
          <w:snapToGrid/>
          <w:kern w:val="2"/>
          <w:szCs w:val="22"/>
        </w:rPr>
        <w:t>operates as a telecommunications services</w:t>
      </w:r>
      <w:r w:rsidR="00FC26F1">
        <w:rPr>
          <w:rFonts w:eastAsia="Aptos"/>
          <w:snapToGrid/>
          <w:kern w:val="2"/>
          <w:szCs w:val="22"/>
        </w:rPr>
        <w:t xml:space="preserve"> provider</w:t>
      </w:r>
      <w:r w:rsidRPr="00FA6076" w:rsidR="00A3148B">
        <w:rPr>
          <w:rFonts w:eastAsia="Aptos"/>
          <w:snapToGrid/>
          <w:kern w:val="2"/>
          <w:szCs w:val="22"/>
        </w:rPr>
        <w:t>,</w:t>
      </w:r>
      <w:r w:rsidRPr="00FA6076">
        <w:rPr>
          <w:rFonts w:eastAsia="Aptos"/>
          <w:snapToGrid/>
          <w:kern w:val="2"/>
          <w:szCs w:val="22"/>
        </w:rPr>
        <w:t xml:space="preserve"> </w:t>
      </w:r>
      <w:r w:rsidRPr="00FA6076" w:rsidR="00A3148B">
        <w:rPr>
          <w:rFonts w:eastAsia="Aptos"/>
          <w:snapToGrid/>
          <w:kern w:val="2"/>
          <w:szCs w:val="22"/>
        </w:rPr>
        <w:t xml:space="preserve">offering </w:t>
      </w:r>
      <w:r w:rsidRPr="00FA6076">
        <w:rPr>
          <w:rFonts w:eastAsia="Aptos"/>
          <w:snapToGrid/>
          <w:kern w:val="2"/>
          <w:szCs w:val="22"/>
        </w:rPr>
        <w:t xml:space="preserve">local exchange, long distance, and </w:t>
      </w:r>
      <w:r w:rsidR="00672FD3">
        <w:rPr>
          <w:rFonts w:eastAsia="Aptos"/>
          <w:snapToGrid/>
          <w:kern w:val="2"/>
          <w:szCs w:val="22"/>
        </w:rPr>
        <w:t xml:space="preserve">other communications </w:t>
      </w:r>
      <w:r w:rsidRPr="00FA6076">
        <w:rPr>
          <w:rFonts w:eastAsia="Aptos"/>
          <w:snapToGrid/>
          <w:kern w:val="2"/>
          <w:szCs w:val="22"/>
        </w:rPr>
        <w:t xml:space="preserve">services </w:t>
      </w:r>
      <w:r w:rsidR="00BE25FC">
        <w:rPr>
          <w:rFonts w:eastAsia="Aptos"/>
          <w:snapToGrid/>
          <w:kern w:val="2"/>
          <w:szCs w:val="22"/>
        </w:rPr>
        <w:t xml:space="preserve">to </w:t>
      </w:r>
      <w:r w:rsidRPr="00FA6076">
        <w:rPr>
          <w:rFonts w:eastAsia="Aptos"/>
          <w:snapToGrid/>
          <w:kern w:val="2"/>
          <w:szCs w:val="22"/>
        </w:rPr>
        <w:t>business customers</w:t>
      </w:r>
      <w:r w:rsidRPr="0030466C">
        <w:rPr>
          <w:rFonts w:eastAsia="Aptos"/>
          <w:snapToGrid/>
          <w:kern w:val="2"/>
          <w:szCs w:val="22"/>
        </w:rPr>
        <w:t>.</w:t>
      </w:r>
      <w:r>
        <w:rPr>
          <w:rStyle w:val="FootnoteReference"/>
          <w:rFonts w:eastAsia="Aptos"/>
          <w:snapToGrid/>
          <w:kern w:val="2"/>
          <w:szCs w:val="22"/>
        </w:rPr>
        <w:footnoteReference w:id="5"/>
      </w:r>
      <w:r w:rsidRPr="0030466C">
        <w:rPr>
          <w:rFonts w:eastAsia="Aptos"/>
          <w:snapToGrid/>
          <w:kern w:val="2"/>
          <w:szCs w:val="22"/>
        </w:rPr>
        <w:t xml:space="preserve">  </w:t>
      </w:r>
      <w:r w:rsidRPr="00BD06DD" w:rsidR="00BD06DD">
        <w:rPr>
          <w:rFonts w:eastAsia="Aptos"/>
          <w:snapToGrid/>
          <w:kern w:val="2"/>
          <w:szCs w:val="22"/>
        </w:rPr>
        <w:t>TelNet</w:t>
      </w:r>
      <w:r w:rsidRPr="00BD06DD" w:rsidR="00BD06DD">
        <w:rPr>
          <w:rFonts w:eastAsia="Aptos"/>
          <w:snapToGrid/>
          <w:kern w:val="2"/>
          <w:szCs w:val="22"/>
        </w:rPr>
        <w:t xml:space="preserve"> </w:t>
      </w:r>
      <w:r w:rsidR="00FE3272">
        <w:rPr>
          <w:rFonts w:eastAsia="Aptos"/>
          <w:snapToGrid/>
          <w:kern w:val="2"/>
          <w:szCs w:val="22"/>
        </w:rPr>
        <w:t xml:space="preserve">is a competitive local exchange carrier (LEC) in Michigan </w:t>
      </w:r>
      <w:r w:rsidRPr="00FE3272" w:rsidR="00FE3272">
        <w:rPr>
          <w:rFonts w:eastAsia="Aptos"/>
          <w:snapToGrid/>
          <w:kern w:val="2"/>
          <w:szCs w:val="22"/>
        </w:rPr>
        <w:t xml:space="preserve">where it </w:t>
      </w:r>
      <w:r w:rsidR="00672FD3">
        <w:rPr>
          <w:rFonts w:eastAsia="Aptos"/>
          <w:snapToGrid/>
          <w:kern w:val="2"/>
          <w:szCs w:val="22"/>
        </w:rPr>
        <w:t xml:space="preserve">offers </w:t>
      </w:r>
      <w:r w:rsidRPr="00FE3272" w:rsidR="00FE3272">
        <w:rPr>
          <w:rFonts w:eastAsia="Aptos"/>
          <w:snapToGrid/>
          <w:kern w:val="2"/>
          <w:szCs w:val="22"/>
        </w:rPr>
        <w:t>resold local and interexchange services</w:t>
      </w:r>
      <w:r w:rsidR="00340628">
        <w:rPr>
          <w:rFonts w:eastAsia="Aptos"/>
          <w:snapToGrid/>
          <w:kern w:val="2"/>
          <w:szCs w:val="22"/>
        </w:rPr>
        <w:t xml:space="preserve"> </w:t>
      </w:r>
      <w:r w:rsidR="00E536ED">
        <w:rPr>
          <w:rFonts w:eastAsia="Aptos"/>
          <w:snapToGrid/>
          <w:kern w:val="2"/>
          <w:szCs w:val="22"/>
        </w:rPr>
        <w:t xml:space="preserve">and also </w:t>
      </w:r>
      <w:r w:rsidRPr="00BD06DD" w:rsidR="00BD06DD">
        <w:rPr>
          <w:rFonts w:eastAsia="Aptos"/>
          <w:snapToGrid/>
          <w:kern w:val="2"/>
          <w:szCs w:val="22"/>
        </w:rPr>
        <w:t xml:space="preserve">provides </w:t>
      </w:r>
      <w:r w:rsidR="00BD06DD">
        <w:rPr>
          <w:rFonts w:eastAsia="Aptos"/>
          <w:snapToGrid/>
          <w:kern w:val="2"/>
          <w:szCs w:val="22"/>
        </w:rPr>
        <w:t>other communications s</w:t>
      </w:r>
      <w:r w:rsidRPr="00BD06DD" w:rsidR="00BD06DD">
        <w:rPr>
          <w:rFonts w:eastAsia="Aptos"/>
          <w:snapToGrid/>
          <w:kern w:val="2"/>
          <w:szCs w:val="22"/>
        </w:rPr>
        <w:t>ervices in Michigan, Illinois, Indiana, Ohio, Wisconsin, Georgia, Massachusetts, Minnesota, Nebraska, New Jersey, North Carolina, Pennsylvania, South Carolina, Texas</w:t>
      </w:r>
      <w:r w:rsidR="00C042AB">
        <w:rPr>
          <w:rFonts w:eastAsia="Aptos"/>
          <w:snapToGrid/>
          <w:kern w:val="2"/>
          <w:szCs w:val="22"/>
        </w:rPr>
        <w:t>,</w:t>
      </w:r>
      <w:r w:rsidRPr="00BD06DD" w:rsidR="00BD06DD">
        <w:rPr>
          <w:rFonts w:eastAsia="Aptos"/>
          <w:snapToGrid/>
          <w:kern w:val="2"/>
          <w:szCs w:val="22"/>
        </w:rPr>
        <w:t xml:space="preserve"> and California.</w:t>
      </w:r>
      <w:r>
        <w:rPr>
          <w:rStyle w:val="FootnoteReference"/>
          <w:rFonts w:eastAsia="Aptos"/>
          <w:snapToGrid/>
          <w:kern w:val="2"/>
          <w:szCs w:val="22"/>
        </w:rPr>
        <w:footnoteReference w:id="6"/>
      </w:r>
      <w:r w:rsidRPr="00BD06DD" w:rsidR="00BD06DD">
        <w:rPr>
          <w:rFonts w:eastAsia="Aptos"/>
          <w:snapToGrid/>
          <w:kern w:val="2"/>
          <w:szCs w:val="22"/>
        </w:rPr>
        <w:t xml:space="preserve"> </w:t>
      </w:r>
      <w:r w:rsidR="00BD06DD">
        <w:rPr>
          <w:rFonts w:eastAsia="Aptos"/>
          <w:snapToGrid/>
          <w:kern w:val="2"/>
          <w:szCs w:val="22"/>
        </w:rPr>
        <w:t xml:space="preserve"> </w:t>
      </w:r>
    </w:p>
    <w:p w:rsidR="007C0C33" w:rsidRPr="003F5B84" w:rsidP="003F5B84" w14:paraId="375A7F1A" w14:textId="184C4575">
      <w:pPr>
        <w:widowControl/>
        <w:spacing w:after="160"/>
        <w:ind w:firstLine="720"/>
        <w:rPr>
          <w:rFonts w:eastAsia="Aptos"/>
          <w:snapToGrid/>
          <w:kern w:val="2"/>
          <w:szCs w:val="22"/>
        </w:rPr>
      </w:pPr>
      <w:r w:rsidRPr="0030466C">
        <w:rPr>
          <w:rFonts w:eastAsia="Aptos"/>
          <w:snapToGrid/>
          <w:kern w:val="2"/>
          <w:szCs w:val="22"/>
        </w:rPr>
        <w:t>Interactiv</w:t>
      </w:r>
      <w:r w:rsidRPr="0030466C" w:rsidR="00911A9C">
        <w:rPr>
          <w:rFonts w:eastAsia="Aptos"/>
          <w:snapToGrid/>
          <w:kern w:val="2"/>
          <w:szCs w:val="22"/>
        </w:rPr>
        <w:t xml:space="preserve">e, a Florida </w:t>
      </w:r>
      <w:r w:rsidRPr="0030466C">
        <w:rPr>
          <w:rFonts w:eastAsia="Aptos"/>
          <w:snapToGrid/>
          <w:kern w:val="2"/>
          <w:szCs w:val="22"/>
        </w:rPr>
        <w:t xml:space="preserve">C </w:t>
      </w:r>
      <w:r w:rsidRPr="0030466C" w:rsidR="00911A9C">
        <w:rPr>
          <w:rFonts w:eastAsia="Aptos"/>
          <w:snapToGrid/>
          <w:kern w:val="2"/>
          <w:szCs w:val="22"/>
        </w:rPr>
        <w:t>c</w:t>
      </w:r>
      <w:r w:rsidRPr="0030466C">
        <w:rPr>
          <w:rFonts w:eastAsia="Aptos"/>
          <w:snapToGrid/>
          <w:kern w:val="2"/>
          <w:szCs w:val="22"/>
        </w:rPr>
        <w:t>orporation</w:t>
      </w:r>
      <w:r w:rsidRPr="0030466C" w:rsidR="00911A9C">
        <w:rPr>
          <w:rFonts w:eastAsia="Aptos"/>
          <w:snapToGrid/>
          <w:kern w:val="2"/>
          <w:szCs w:val="22"/>
        </w:rPr>
        <w:t>,</w:t>
      </w:r>
      <w:r w:rsidRPr="0030466C" w:rsidR="0030466C">
        <w:rPr>
          <w:rStyle w:val="FootnoteReference"/>
          <w:rFonts w:eastAsia="Aptos"/>
          <w:snapToGrid/>
          <w:kern w:val="2"/>
          <w:szCs w:val="22"/>
        </w:rPr>
        <w:t xml:space="preserve"> </w:t>
      </w:r>
      <w:r w:rsidR="005F5882">
        <w:rPr>
          <w:rFonts w:eastAsia="Aptos"/>
          <w:snapToGrid/>
          <w:kern w:val="2"/>
          <w:szCs w:val="22"/>
        </w:rPr>
        <w:t xml:space="preserve">operates as a competitive LEC in Florida where it </w:t>
      </w:r>
      <w:r w:rsidR="001C7911">
        <w:rPr>
          <w:rFonts w:eastAsia="Aptos"/>
          <w:snapToGrid/>
          <w:kern w:val="2"/>
          <w:szCs w:val="22"/>
        </w:rPr>
        <w:t xml:space="preserve">offers </w:t>
      </w:r>
      <w:r w:rsidR="005F5882">
        <w:rPr>
          <w:rFonts w:eastAsia="Aptos"/>
          <w:snapToGrid/>
          <w:kern w:val="2"/>
          <w:szCs w:val="22"/>
        </w:rPr>
        <w:t xml:space="preserve">resold local exchange and interexchange </w:t>
      </w:r>
      <w:r w:rsidRPr="003F5B84" w:rsidR="005F5882">
        <w:rPr>
          <w:rFonts w:eastAsia="Aptos"/>
          <w:snapToGrid/>
          <w:kern w:val="2"/>
          <w:szCs w:val="22"/>
        </w:rPr>
        <w:t xml:space="preserve">services for </w:t>
      </w:r>
      <w:r w:rsidRPr="003F5B84">
        <w:rPr>
          <w:rFonts w:eastAsia="Aptos"/>
          <w:snapToGrid/>
          <w:kern w:val="2"/>
          <w:szCs w:val="22"/>
        </w:rPr>
        <w:t>business customers.</w:t>
      </w:r>
      <w:r>
        <w:rPr>
          <w:rStyle w:val="FootnoteReference"/>
          <w:rFonts w:eastAsia="Aptos"/>
          <w:snapToGrid/>
          <w:kern w:val="2"/>
          <w:szCs w:val="22"/>
        </w:rPr>
        <w:footnoteReference w:id="7"/>
      </w:r>
      <w:r w:rsidRPr="003F5B84" w:rsidR="0057337F">
        <w:rPr>
          <w:rFonts w:eastAsia="Aptos"/>
          <w:snapToGrid/>
          <w:kern w:val="2"/>
          <w:szCs w:val="22"/>
        </w:rPr>
        <w:t xml:space="preserve"> </w:t>
      </w:r>
      <w:r w:rsidRPr="003F5B84" w:rsidR="0021368C">
        <w:rPr>
          <w:rFonts w:eastAsia="Aptos"/>
          <w:snapToGrid/>
          <w:kern w:val="2"/>
          <w:szCs w:val="22"/>
        </w:rPr>
        <w:t xml:space="preserve"> </w:t>
      </w:r>
      <w:r w:rsidR="006372A5">
        <w:rPr>
          <w:rFonts w:eastAsia="Aptos"/>
          <w:snapToGrid/>
          <w:kern w:val="2"/>
          <w:szCs w:val="22"/>
        </w:rPr>
        <w:t xml:space="preserve">Interactive also provides other communications services in </w:t>
      </w:r>
      <w:r w:rsidRPr="006372A5" w:rsidR="006372A5">
        <w:rPr>
          <w:rFonts w:eastAsia="Aptos"/>
          <w:snapToGrid/>
          <w:kern w:val="2"/>
          <w:szCs w:val="22"/>
        </w:rPr>
        <w:t>California, Georgia, Massachusetts, New Jersey, Pennsylvania, Puerto Rico and Texas.</w:t>
      </w:r>
      <w:r>
        <w:rPr>
          <w:rStyle w:val="FootnoteReference"/>
          <w:rFonts w:eastAsia="Aptos"/>
          <w:snapToGrid/>
          <w:kern w:val="2"/>
          <w:szCs w:val="22"/>
        </w:rPr>
        <w:footnoteReference w:id="8"/>
      </w:r>
      <w:r w:rsidRPr="006372A5" w:rsidR="006372A5">
        <w:rPr>
          <w:rFonts w:eastAsia="Aptos"/>
          <w:snapToGrid/>
          <w:kern w:val="2"/>
          <w:szCs w:val="22"/>
        </w:rPr>
        <w:t xml:space="preserve"> </w:t>
      </w:r>
      <w:r w:rsidR="006372A5">
        <w:rPr>
          <w:rFonts w:eastAsia="Aptos"/>
          <w:snapToGrid/>
          <w:kern w:val="2"/>
          <w:szCs w:val="22"/>
        </w:rPr>
        <w:t xml:space="preserve"> </w:t>
      </w:r>
      <w:r w:rsidRPr="006372A5" w:rsidR="006372A5">
        <w:rPr>
          <w:rFonts w:eastAsia="Aptos"/>
          <w:snapToGrid/>
          <w:kern w:val="2"/>
          <w:szCs w:val="22"/>
        </w:rPr>
        <w:t>Applicants s</w:t>
      </w:r>
      <w:r w:rsidR="00D3219A">
        <w:rPr>
          <w:rFonts w:eastAsia="Aptos"/>
          <w:snapToGrid/>
          <w:kern w:val="2"/>
          <w:szCs w:val="22"/>
        </w:rPr>
        <w:t>t</w:t>
      </w:r>
      <w:r w:rsidRPr="006372A5" w:rsidR="006372A5">
        <w:rPr>
          <w:rFonts w:eastAsia="Aptos"/>
          <w:snapToGrid/>
          <w:kern w:val="2"/>
          <w:szCs w:val="22"/>
        </w:rPr>
        <w:t xml:space="preserve">ate there is no overlap in the service territory where the two companies offer </w:t>
      </w:r>
      <w:r w:rsidRPr="006B2A56" w:rsidR="006372A5">
        <w:rPr>
          <w:rFonts w:eastAsia="Aptos"/>
          <w:snapToGrid/>
          <w:kern w:val="2"/>
          <w:szCs w:val="22"/>
        </w:rPr>
        <w:t>telecommunications services.</w:t>
      </w:r>
      <w:r>
        <w:rPr>
          <w:rFonts w:eastAsia="Aptos"/>
          <w:snapToGrid/>
          <w:kern w:val="2"/>
          <w:szCs w:val="22"/>
          <w:vertAlign w:val="superscript"/>
        </w:rPr>
        <w:footnoteReference w:id="9"/>
      </w:r>
      <w:r w:rsidRPr="006B2A56" w:rsidR="006372A5">
        <w:rPr>
          <w:rFonts w:eastAsia="Aptos"/>
          <w:snapToGrid/>
          <w:kern w:val="2"/>
          <w:szCs w:val="22"/>
        </w:rPr>
        <w:t xml:space="preserve">  </w:t>
      </w:r>
      <w:r w:rsidRPr="006B2A56" w:rsidR="00062D4F">
        <w:rPr>
          <w:rFonts w:eastAsia="Aptos"/>
          <w:snapToGrid/>
          <w:kern w:val="2"/>
          <w:szCs w:val="22"/>
        </w:rPr>
        <w:t xml:space="preserve">Interactive’s </w:t>
      </w:r>
      <w:r w:rsidRPr="006B2A56" w:rsidR="00DE2A1D">
        <w:rPr>
          <w:rFonts w:eastAsia="Aptos"/>
          <w:snapToGrid/>
          <w:kern w:val="2"/>
          <w:szCs w:val="22"/>
        </w:rPr>
        <w:t>10% or greater interest</w:t>
      </w:r>
      <w:r w:rsidRPr="006B2A56" w:rsidR="00126B13">
        <w:rPr>
          <w:rFonts w:eastAsia="Aptos"/>
          <w:snapToGrid/>
          <w:kern w:val="2"/>
          <w:szCs w:val="22"/>
        </w:rPr>
        <w:t xml:space="preserve"> holders</w:t>
      </w:r>
      <w:r w:rsidRPr="006B2A56" w:rsidR="00DE2A1D">
        <w:rPr>
          <w:rFonts w:eastAsia="Aptos"/>
          <w:snapToGrid/>
          <w:kern w:val="2"/>
          <w:szCs w:val="22"/>
        </w:rPr>
        <w:t xml:space="preserve"> are:  </w:t>
      </w:r>
      <w:r w:rsidRPr="006B2A56">
        <w:rPr>
          <w:rFonts w:eastAsia="Aptos"/>
          <w:snapToGrid/>
          <w:kern w:val="2"/>
          <w:szCs w:val="22"/>
        </w:rPr>
        <w:t>Roberto Damian Chmielewski</w:t>
      </w:r>
      <w:r w:rsidRPr="006B2A56" w:rsidR="00DE2A1D">
        <w:rPr>
          <w:rFonts w:eastAsia="Aptos"/>
          <w:snapToGrid/>
          <w:kern w:val="2"/>
          <w:szCs w:val="22"/>
        </w:rPr>
        <w:t xml:space="preserve">, </w:t>
      </w:r>
      <w:r w:rsidR="00917395">
        <w:rPr>
          <w:rFonts w:eastAsia="Aptos"/>
          <w:snapToGrid/>
          <w:kern w:val="2"/>
          <w:szCs w:val="22"/>
        </w:rPr>
        <w:t xml:space="preserve">holds dual citizenship in the </w:t>
      </w:r>
      <w:r w:rsidRPr="006B2A56">
        <w:rPr>
          <w:rFonts w:eastAsia="Aptos"/>
          <w:snapToGrid/>
          <w:kern w:val="2"/>
          <w:szCs w:val="22"/>
        </w:rPr>
        <w:t>U</w:t>
      </w:r>
      <w:r w:rsidR="00917395">
        <w:rPr>
          <w:rFonts w:eastAsia="Aptos"/>
          <w:snapToGrid/>
          <w:kern w:val="2"/>
          <w:szCs w:val="22"/>
        </w:rPr>
        <w:t xml:space="preserve">nited </w:t>
      </w:r>
      <w:r w:rsidRPr="006B2A56">
        <w:rPr>
          <w:rFonts w:eastAsia="Aptos"/>
          <w:snapToGrid/>
          <w:kern w:val="2"/>
          <w:szCs w:val="22"/>
        </w:rPr>
        <w:t>S</w:t>
      </w:r>
      <w:r w:rsidR="00917395">
        <w:rPr>
          <w:rFonts w:eastAsia="Aptos"/>
          <w:snapToGrid/>
          <w:kern w:val="2"/>
          <w:szCs w:val="22"/>
        </w:rPr>
        <w:t xml:space="preserve">tates and </w:t>
      </w:r>
      <w:r w:rsidR="00AE665D">
        <w:rPr>
          <w:rFonts w:eastAsia="Aptos"/>
          <w:snapToGrid/>
          <w:kern w:val="2"/>
          <w:szCs w:val="22"/>
        </w:rPr>
        <w:t>Argentina,</w:t>
      </w:r>
      <w:r w:rsidRPr="006B2A56">
        <w:rPr>
          <w:rFonts w:eastAsia="Aptos"/>
          <w:snapToGrid/>
          <w:kern w:val="2"/>
          <w:szCs w:val="22"/>
        </w:rPr>
        <w:t xml:space="preserve"> </w:t>
      </w:r>
      <w:r w:rsidR="00A05572">
        <w:rPr>
          <w:rFonts w:eastAsia="Aptos"/>
          <w:snapToGrid/>
          <w:kern w:val="2"/>
          <w:szCs w:val="22"/>
        </w:rPr>
        <w:t>and</w:t>
      </w:r>
      <w:r w:rsidR="00AE665D">
        <w:rPr>
          <w:rFonts w:eastAsia="Aptos"/>
          <w:snapToGrid/>
          <w:kern w:val="2"/>
          <w:szCs w:val="22"/>
        </w:rPr>
        <w:t xml:space="preserve"> is the</w:t>
      </w:r>
      <w:r w:rsidR="00A05572">
        <w:rPr>
          <w:rFonts w:eastAsia="Aptos"/>
          <w:snapToGrid/>
          <w:kern w:val="2"/>
          <w:szCs w:val="22"/>
        </w:rPr>
        <w:t xml:space="preserve"> </w:t>
      </w:r>
      <w:r w:rsidRPr="006B2A56" w:rsidR="00DE2A1D">
        <w:rPr>
          <w:rFonts w:eastAsia="Aptos"/>
          <w:snapToGrid/>
          <w:kern w:val="2"/>
          <w:szCs w:val="22"/>
        </w:rPr>
        <w:t xml:space="preserve">CEO and President of </w:t>
      </w:r>
      <w:r w:rsidRPr="006B2A56" w:rsidR="00DE2A1D">
        <w:rPr>
          <w:rFonts w:eastAsia="Aptos"/>
          <w:snapToGrid/>
          <w:kern w:val="2"/>
          <w:szCs w:val="22"/>
        </w:rPr>
        <w:t>Interactive (</w:t>
      </w:r>
      <w:r w:rsidRPr="006B2A56">
        <w:rPr>
          <w:rFonts w:eastAsia="Aptos"/>
          <w:snapToGrid/>
          <w:kern w:val="2"/>
          <w:szCs w:val="22"/>
        </w:rPr>
        <w:t xml:space="preserve">15% </w:t>
      </w:r>
      <w:r w:rsidRPr="006B2A56" w:rsidR="00126B13">
        <w:rPr>
          <w:rFonts w:eastAsia="Aptos"/>
          <w:snapToGrid/>
          <w:kern w:val="2"/>
          <w:szCs w:val="22"/>
        </w:rPr>
        <w:t xml:space="preserve">direct equity and voting); </w:t>
      </w:r>
      <w:r w:rsidRPr="006B2A56" w:rsidR="008C1929">
        <w:rPr>
          <w:rFonts w:eastAsia="Aptos"/>
          <w:snapToGrid/>
          <w:kern w:val="2"/>
          <w:szCs w:val="22"/>
        </w:rPr>
        <w:t>Claudio Liberman</w:t>
      </w:r>
      <w:r w:rsidRPr="006B2A56" w:rsidR="00CB0756">
        <w:rPr>
          <w:rFonts w:eastAsia="Aptos"/>
          <w:snapToGrid/>
          <w:kern w:val="2"/>
          <w:szCs w:val="22"/>
        </w:rPr>
        <w:t xml:space="preserve">, </w:t>
      </w:r>
      <w:r w:rsidRPr="006B2A56" w:rsidR="008C1929">
        <w:rPr>
          <w:rFonts w:eastAsia="Aptos"/>
          <w:snapToGrid/>
          <w:kern w:val="2"/>
          <w:szCs w:val="22"/>
        </w:rPr>
        <w:t>a citizen</w:t>
      </w:r>
      <w:r w:rsidR="00212648">
        <w:rPr>
          <w:rFonts w:eastAsia="Aptos"/>
          <w:snapToGrid/>
          <w:kern w:val="2"/>
          <w:szCs w:val="22"/>
        </w:rPr>
        <w:t xml:space="preserve"> of Argentina</w:t>
      </w:r>
      <w:r w:rsidRPr="006B2A56" w:rsidR="00CB0756">
        <w:rPr>
          <w:rFonts w:eastAsia="Aptos"/>
          <w:snapToGrid/>
          <w:kern w:val="2"/>
          <w:szCs w:val="22"/>
        </w:rPr>
        <w:t xml:space="preserve"> (</w:t>
      </w:r>
      <w:r w:rsidRPr="006B2A56" w:rsidR="00855B78">
        <w:rPr>
          <w:rFonts w:eastAsia="Aptos"/>
          <w:snapToGrid/>
          <w:kern w:val="2"/>
          <w:szCs w:val="22"/>
        </w:rPr>
        <w:t xml:space="preserve">45% direct equity and voting and 40% indirect equity and voting </w:t>
      </w:r>
      <w:r w:rsidR="00856174">
        <w:rPr>
          <w:rFonts w:eastAsia="Aptos"/>
          <w:snapToGrid/>
          <w:kern w:val="2"/>
          <w:szCs w:val="22"/>
        </w:rPr>
        <w:t xml:space="preserve">interest through </w:t>
      </w:r>
      <w:r w:rsidRPr="006B2A56" w:rsidR="008C1929">
        <w:rPr>
          <w:rFonts w:eastAsia="Aptos"/>
          <w:snapToGrid/>
          <w:kern w:val="2"/>
          <w:szCs w:val="22"/>
        </w:rPr>
        <w:t xml:space="preserve">Olivia </w:t>
      </w:r>
      <w:r w:rsidRPr="006B2A56" w:rsidR="006B2A56">
        <w:rPr>
          <w:rFonts w:eastAsia="Aptos"/>
          <w:snapToGrid/>
          <w:kern w:val="2"/>
          <w:szCs w:val="22"/>
        </w:rPr>
        <w:t xml:space="preserve">Management </w:t>
      </w:r>
      <w:r w:rsidRPr="006B2A56" w:rsidR="008C1929">
        <w:rPr>
          <w:rFonts w:eastAsia="Aptos"/>
          <w:snapToGrid/>
          <w:kern w:val="2"/>
          <w:szCs w:val="22"/>
        </w:rPr>
        <w:t>Corp</w:t>
      </w:r>
      <w:r w:rsidR="00A05572">
        <w:rPr>
          <w:rFonts w:eastAsia="Aptos"/>
          <w:snapToGrid/>
          <w:kern w:val="2"/>
          <w:szCs w:val="22"/>
        </w:rPr>
        <w:t>.</w:t>
      </w:r>
      <w:r w:rsidRPr="00234D9C" w:rsidR="00855B78">
        <w:rPr>
          <w:rFonts w:eastAsia="Aptos"/>
          <w:snapToGrid/>
          <w:kern w:val="2"/>
          <w:szCs w:val="22"/>
        </w:rPr>
        <w:t xml:space="preserve">); </w:t>
      </w:r>
      <w:r w:rsidR="00D519D0">
        <w:rPr>
          <w:rFonts w:eastAsia="Aptos"/>
          <w:snapToGrid/>
          <w:kern w:val="2"/>
          <w:szCs w:val="22"/>
        </w:rPr>
        <w:t xml:space="preserve">and </w:t>
      </w:r>
      <w:r w:rsidRPr="00234D9C" w:rsidR="00855B78">
        <w:rPr>
          <w:rFonts w:eastAsia="Aptos"/>
          <w:snapToGrid/>
          <w:kern w:val="2"/>
          <w:szCs w:val="22"/>
        </w:rPr>
        <w:t>Olivia Management Corp</w:t>
      </w:r>
      <w:r w:rsidR="00A05572">
        <w:rPr>
          <w:rFonts w:eastAsia="Aptos"/>
          <w:snapToGrid/>
          <w:kern w:val="2"/>
          <w:szCs w:val="22"/>
        </w:rPr>
        <w:t>.</w:t>
      </w:r>
      <w:r w:rsidRPr="00234D9C" w:rsidR="006B2A56">
        <w:rPr>
          <w:rFonts w:eastAsia="Aptos"/>
          <w:snapToGrid/>
          <w:kern w:val="2"/>
          <w:szCs w:val="22"/>
        </w:rPr>
        <w:t xml:space="preserve">, </w:t>
      </w:r>
      <w:r w:rsidRPr="00234D9C" w:rsidR="008C1929">
        <w:rPr>
          <w:rFonts w:eastAsia="Aptos"/>
          <w:snapToGrid/>
          <w:kern w:val="2"/>
          <w:szCs w:val="22"/>
        </w:rPr>
        <w:t>a British Virgin Island</w:t>
      </w:r>
      <w:r w:rsidR="00791944">
        <w:rPr>
          <w:rFonts w:eastAsia="Aptos"/>
          <w:snapToGrid/>
          <w:kern w:val="2"/>
          <w:szCs w:val="22"/>
        </w:rPr>
        <w:t>s</w:t>
      </w:r>
      <w:r w:rsidRPr="00234D9C" w:rsidR="008C1929">
        <w:rPr>
          <w:rFonts w:eastAsia="Aptos"/>
          <w:snapToGrid/>
          <w:kern w:val="2"/>
          <w:szCs w:val="22"/>
        </w:rPr>
        <w:t xml:space="preserve"> </w:t>
      </w:r>
      <w:r w:rsidR="00994F07">
        <w:rPr>
          <w:rFonts w:eastAsia="Aptos"/>
          <w:snapToGrid/>
          <w:kern w:val="2"/>
          <w:szCs w:val="22"/>
        </w:rPr>
        <w:t>company</w:t>
      </w:r>
      <w:r w:rsidRPr="00234D9C" w:rsidR="006B2A56">
        <w:rPr>
          <w:rFonts w:eastAsia="Aptos"/>
          <w:snapToGrid/>
          <w:kern w:val="2"/>
          <w:szCs w:val="22"/>
        </w:rPr>
        <w:t>, wholly owned by Claudio Liberman</w:t>
      </w:r>
      <w:r w:rsidRPr="00234D9C" w:rsidR="00234D9C">
        <w:rPr>
          <w:rFonts w:eastAsia="Aptos"/>
          <w:snapToGrid/>
          <w:kern w:val="2"/>
          <w:szCs w:val="22"/>
        </w:rPr>
        <w:t xml:space="preserve"> (40% direct equity and voting)</w:t>
      </w:r>
      <w:r w:rsidR="00234D9C">
        <w:rPr>
          <w:rFonts w:eastAsia="Aptos"/>
          <w:snapToGrid/>
          <w:kern w:val="2"/>
          <w:szCs w:val="22"/>
        </w:rPr>
        <w:t>.</w:t>
      </w:r>
      <w:r>
        <w:rPr>
          <w:rStyle w:val="FootnoteReference"/>
          <w:rFonts w:eastAsia="Aptos"/>
          <w:snapToGrid/>
          <w:kern w:val="2"/>
          <w:szCs w:val="22"/>
        </w:rPr>
        <w:footnoteReference w:id="10"/>
      </w:r>
      <w:r w:rsidRPr="00234D9C">
        <w:rPr>
          <w:rFonts w:eastAsia="Aptos"/>
          <w:snapToGrid/>
          <w:kern w:val="2"/>
          <w:szCs w:val="22"/>
        </w:rPr>
        <w:t xml:space="preserve">  </w:t>
      </w:r>
    </w:p>
    <w:p w:rsidR="007C0C33" w:rsidP="001A24F7" w14:paraId="19F36BE7" w14:textId="26FA2782">
      <w:pPr>
        <w:widowControl/>
        <w:spacing w:after="160"/>
        <w:ind w:firstLine="720"/>
        <w:rPr>
          <w:rFonts w:eastAsia="Aptos"/>
          <w:snapToGrid/>
          <w:kern w:val="2"/>
          <w:szCs w:val="22"/>
        </w:rPr>
      </w:pPr>
      <w:r w:rsidRPr="007C0C33">
        <w:rPr>
          <w:szCs w:val="22"/>
        </w:rPr>
        <w:t>Pursuant to the terms of the proposed transaction,</w:t>
      </w:r>
      <w:r w:rsidRPr="007C0C33">
        <w:rPr>
          <w:rFonts w:eastAsia="Aptos"/>
          <w:snapToGrid/>
          <w:kern w:val="2"/>
          <w:szCs w:val="22"/>
        </w:rPr>
        <w:t xml:space="preserve"> </w:t>
      </w:r>
      <w:r w:rsidRPr="007C0C33">
        <w:rPr>
          <w:rFonts w:eastAsia="Aptos"/>
          <w:snapToGrid/>
          <w:kern w:val="2"/>
          <w:szCs w:val="22"/>
        </w:rPr>
        <w:t>TelNet</w:t>
      </w:r>
      <w:r w:rsidRPr="007C0C33">
        <w:rPr>
          <w:rFonts w:eastAsia="Aptos"/>
          <w:snapToGrid/>
          <w:kern w:val="2"/>
          <w:szCs w:val="22"/>
        </w:rPr>
        <w:t xml:space="preserve"> and Interactive have entered into an Asset Purchase Agreement, whereby Interactive agreed to acquire </w:t>
      </w:r>
      <w:r w:rsidR="00BF3C5E">
        <w:rPr>
          <w:rFonts w:eastAsia="Aptos"/>
          <w:snapToGrid/>
          <w:kern w:val="2"/>
          <w:szCs w:val="22"/>
        </w:rPr>
        <w:t>certain</w:t>
      </w:r>
      <w:r w:rsidRPr="007C0C33">
        <w:rPr>
          <w:rFonts w:eastAsia="Aptos"/>
          <w:snapToGrid/>
          <w:kern w:val="2"/>
          <w:szCs w:val="22"/>
        </w:rPr>
        <w:t xml:space="preserve"> assets, clients, and </w:t>
      </w:r>
      <w:r w:rsidR="00043102">
        <w:rPr>
          <w:rFonts w:eastAsia="Aptos"/>
          <w:snapToGrid/>
          <w:kern w:val="2"/>
          <w:szCs w:val="22"/>
        </w:rPr>
        <w:t>specific</w:t>
      </w:r>
      <w:r w:rsidRPr="007C0C33">
        <w:rPr>
          <w:rFonts w:eastAsia="Aptos"/>
          <w:snapToGrid/>
          <w:kern w:val="2"/>
          <w:szCs w:val="22"/>
        </w:rPr>
        <w:t xml:space="preserve"> network equi</w:t>
      </w:r>
      <w:r w:rsidR="00043102">
        <w:rPr>
          <w:rFonts w:eastAsia="Aptos"/>
          <w:snapToGrid/>
          <w:kern w:val="2"/>
          <w:szCs w:val="22"/>
        </w:rPr>
        <w:t>pment</w:t>
      </w:r>
      <w:r w:rsidRPr="007C0C33">
        <w:rPr>
          <w:rFonts w:eastAsia="Aptos"/>
          <w:snapToGrid/>
          <w:kern w:val="2"/>
          <w:szCs w:val="22"/>
        </w:rPr>
        <w:t xml:space="preserve"> of </w:t>
      </w:r>
      <w:r w:rsidRPr="007C0C33">
        <w:rPr>
          <w:rFonts w:eastAsia="Aptos"/>
          <w:snapToGrid/>
          <w:kern w:val="2"/>
          <w:szCs w:val="22"/>
        </w:rPr>
        <w:t>TelNet</w:t>
      </w:r>
      <w:r w:rsidRPr="007C0C33">
        <w:rPr>
          <w:rFonts w:eastAsia="Aptos"/>
          <w:snapToGrid/>
          <w:kern w:val="2"/>
          <w:szCs w:val="22"/>
        </w:rPr>
        <w:t>.</w:t>
      </w:r>
      <w:r>
        <w:rPr>
          <w:rStyle w:val="FootnoteReference"/>
          <w:rFonts w:eastAsia="Aptos"/>
          <w:snapToGrid/>
          <w:kern w:val="2"/>
          <w:szCs w:val="22"/>
        </w:rPr>
        <w:footnoteReference w:id="11"/>
      </w:r>
      <w:r w:rsidRPr="007C0C33">
        <w:rPr>
          <w:rFonts w:eastAsia="Aptos"/>
          <w:snapToGrid/>
          <w:kern w:val="2"/>
          <w:szCs w:val="22"/>
        </w:rPr>
        <w:t xml:space="preserve">  </w:t>
      </w:r>
      <w:r w:rsidR="004C4F8B">
        <w:rPr>
          <w:rFonts w:eastAsia="Aptos"/>
          <w:snapToGrid/>
          <w:kern w:val="2"/>
          <w:szCs w:val="22"/>
        </w:rPr>
        <w:t xml:space="preserve">Applicants </w:t>
      </w:r>
      <w:r w:rsidR="004A30BB">
        <w:rPr>
          <w:rFonts w:eastAsia="Aptos"/>
          <w:snapToGrid/>
          <w:kern w:val="2"/>
          <w:szCs w:val="22"/>
        </w:rPr>
        <w:t>state</w:t>
      </w:r>
      <w:r w:rsidR="004C4F8B">
        <w:rPr>
          <w:rFonts w:eastAsia="Aptos"/>
          <w:snapToGrid/>
          <w:kern w:val="2"/>
          <w:szCs w:val="22"/>
        </w:rPr>
        <w:t xml:space="preserve"> that </w:t>
      </w:r>
      <w:r w:rsidR="004A30BB">
        <w:rPr>
          <w:rFonts w:eastAsia="Aptos"/>
          <w:snapToGrid/>
          <w:kern w:val="2"/>
          <w:szCs w:val="22"/>
        </w:rPr>
        <w:t>post-consummation</w:t>
      </w:r>
      <w:r w:rsidR="00677A8A">
        <w:rPr>
          <w:rFonts w:eastAsia="Aptos"/>
          <w:snapToGrid/>
          <w:kern w:val="2"/>
          <w:szCs w:val="22"/>
        </w:rPr>
        <w:t>,</w:t>
      </w:r>
      <w:r w:rsidR="004A30BB">
        <w:rPr>
          <w:rFonts w:eastAsia="Aptos"/>
          <w:snapToGrid/>
          <w:kern w:val="2"/>
          <w:szCs w:val="22"/>
        </w:rPr>
        <w:t xml:space="preserve"> </w:t>
      </w:r>
      <w:r w:rsidRPr="004C4F8B" w:rsidR="004C4F8B">
        <w:rPr>
          <w:rFonts w:eastAsia="Aptos"/>
          <w:snapToGrid/>
          <w:kern w:val="2"/>
          <w:szCs w:val="22"/>
        </w:rPr>
        <w:t>TelNet’s</w:t>
      </w:r>
      <w:r w:rsidRPr="004C4F8B" w:rsidR="004C4F8B">
        <w:rPr>
          <w:rFonts w:eastAsia="Aptos"/>
          <w:snapToGrid/>
          <w:kern w:val="2"/>
          <w:szCs w:val="22"/>
        </w:rPr>
        <w:t xml:space="preserve"> telecommunications customers w</w:t>
      </w:r>
      <w:r w:rsidR="003729A5">
        <w:rPr>
          <w:rFonts w:eastAsia="Aptos"/>
          <w:snapToGrid/>
          <w:kern w:val="2"/>
          <w:szCs w:val="22"/>
        </w:rPr>
        <w:t>ould</w:t>
      </w:r>
      <w:r w:rsidRPr="004C4F8B" w:rsidR="004C4F8B">
        <w:rPr>
          <w:rFonts w:eastAsia="Aptos"/>
          <w:snapToGrid/>
          <w:kern w:val="2"/>
          <w:szCs w:val="22"/>
        </w:rPr>
        <w:t xml:space="preserve"> be </w:t>
      </w:r>
      <w:r w:rsidRPr="00BD6499" w:rsidR="004C4F8B">
        <w:rPr>
          <w:rFonts w:eastAsia="Aptos"/>
          <w:snapToGrid/>
          <w:kern w:val="2"/>
          <w:szCs w:val="22"/>
        </w:rPr>
        <w:t xml:space="preserve">served by Interactive, </w:t>
      </w:r>
      <w:r w:rsidR="00611D36">
        <w:rPr>
          <w:rFonts w:eastAsia="Aptos"/>
          <w:snapToGrid/>
          <w:kern w:val="2"/>
          <w:szCs w:val="22"/>
        </w:rPr>
        <w:t xml:space="preserve">and continue to </w:t>
      </w:r>
      <w:r w:rsidRPr="00BD6499" w:rsidR="004C4F8B">
        <w:rPr>
          <w:rFonts w:eastAsia="Aptos"/>
          <w:snapToGrid/>
          <w:kern w:val="2"/>
          <w:szCs w:val="22"/>
        </w:rPr>
        <w:t>us</w:t>
      </w:r>
      <w:r w:rsidR="00611D36">
        <w:rPr>
          <w:rFonts w:eastAsia="Aptos"/>
          <w:snapToGrid/>
          <w:kern w:val="2"/>
          <w:szCs w:val="22"/>
        </w:rPr>
        <w:t>e</w:t>
      </w:r>
      <w:r w:rsidRPr="00BD6499" w:rsidR="004C4F8B">
        <w:rPr>
          <w:rFonts w:eastAsia="Aptos"/>
          <w:snapToGrid/>
          <w:kern w:val="2"/>
          <w:szCs w:val="22"/>
        </w:rPr>
        <w:t xml:space="preserve"> the trade name </w:t>
      </w:r>
      <w:r w:rsidRPr="00BD6499" w:rsidR="004C4F8B">
        <w:rPr>
          <w:rFonts w:eastAsia="Aptos"/>
          <w:snapToGrid/>
          <w:kern w:val="2"/>
          <w:szCs w:val="22"/>
        </w:rPr>
        <w:t>Tel</w:t>
      </w:r>
      <w:r w:rsidRPr="00BD6499" w:rsidR="00911A9C">
        <w:rPr>
          <w:rFonts w:eastAsia="Aptos"/>
          <w:snapToGrid/>
          <w:kern w:val="2"/>
          <w:szCs w:val="22"/>
        </w:rPr>
        <w:t>N</w:t>
      </w:r>
      <w:r w:rsidRPr="00BD6499" w:rsidR="004C4F8B">
        <w:rPr>
          <w:rFonts w:eastAsia="Aptos"/>
          <w:snapToGrid/>
          <w:kern w:val="2"/>
          <w:szCs w:val="22"/>
        </w:rPr>
        <w:t>et</w:t>
      </w:r>
      <w:r w:rsidRPr="00BD6499" w:rsidR="00BD6499">
        <w:rPr>
          <w:rFonts w:eastAsia="Aptos"/>
          <w:snapToGrid/>
          <w:kern w:val="2"/>
          <w:szCs w:val="22"/>
        </w:rPr>
        <w:t xml:space="preserve"> Worldwide</w:t>
      </w:r>
      <w:r w:rsidRPr="00BD6499" w:rsidR="004A30BB">
        <w:rPr>
          <w:rFonts w:eastAsia="Aptos"/>
          <w:snapToGrid/>
          <w:kern w:val="2"/>
          <w:szCs w:val="22"/>
        </w:rPr>
        <w:t>,</w:t>
      </w:r>
      <w:r w:rsidRPr="00BD6499" w:rsidR="004C4F8B">
        <w:rPr>
          <w:rFonts w:eastAsia="Aptos"/>
          <w:snapToGrid/>
          <w:kern w:val="2"/>
          <w:szCs w:val="22"/>
        </w:rPr>
        <w:t xml:space="preserve"> </w:t>
      </w:r>
      <w:r w:rsidRPr="00BD6499" w:rsidR="00BD6499">
        <w:rPr>
          <w:rFonts w:eastAsia="Aptos"/>
          <w:snapToGrid/>
          <w:kern w:val="2"/>
          <w:szCs w:val="22"/>
        </w:rPr>
        <w:t xml:space="preserve">an </w:t>
      </w:r>
      <w:r w:rsidRPr="00BD6499" w:rsidR="00BD6499">
        <w:rPr>
          <w:rFonts w:eastAsia="Aptos"/>
          <w:snapToGrid/>
          <w:kern w:val="2"/>
          <w:szCs w:val="22"/>
        </w:rPr>
        <w:t>IPFone</w:t>
      </w:r>
      <w:r w:rsidRPr="00BD6499" w:rsidR="00BD6499">
        <w:rPr>
          <w:rFonts w:eastAsia="Aptos"/>
          <w:snapToGrid/>
          <w:kern w:val="2"/>
          <w:szCs w:val="22"/>
        </w:rPr>
        <w:t xml:space="preserve"> Company.</w:t>
      </w:r>
      <w:r>
        <w:rPr>
          <w:rStyle w:val="FootnoteReference"/>
          <w:rFonts w:eastAsia="Aptos"/>
          <w:snapToGrid/>
          <w:kern w:val="2"/>
          <w:szCs w:val="22"/>
        </w:rPr>
        <w:footnoteReference w:id="12"/>
      </w:r>
      <w:r w:rsidRPr="00BD6499" w:rsidR="00BD6499">
        <w:rPr>
          <w:rFonts w:eastAsia="Aptos"/>
          <w:snapToGrid/>
          <w:kern w:val="2"/>
          <w:szCs w:val="22"/>
        </w:rPr>
        <w:t xml:space="preserve">  </w:t>
      </w:r>
      <w:r w:rsidRPr="00BD6499" w:rsidR="004C4F8B">
        <w:rPr>
          <w:rFonts w:eastAsia="Aptos"/>
          <w:snapToGrid/>
          <w:kern w:val="2"/>
          <w:szCs w:val="22"/>
        </w:rPr>
        <w:t>Tel</w:t>
      </w:r>
      <w:r w:rsidRPr="00BD6499" w:rsidR="00CE5555">
        <w:rPr>
          <w:rFonts w:eastAsia="Aptos"/>
          <w:snapToGrid/>
          <w:kern w:val="2"/>
          <w:szCs w:val="22"/>
        </w:rPr>
        <w:t>N</w:t>
      </w:r>
      <w:r w:rsidRPr="00BD6499" w:rsidR="004C4F8B">
        <w:rPr>
          <w:rFonts w:eastAsia="Aptos"/>
          <w:snapToGrid/>
          <w:kern w:val="2"/>
          <w:szCs w:val="22"/>
        </w:rPr>
        <w:t>et</w:t>
      </w:r>
      <w:r w:rsidRPr="00BD6499" w:rsidR="004C4F8B">
        <w:rPr>
          <w:rFonts w:eastAsia="Aptos"/>
          <w:snapToGrid/>
          <w:kern w:val="2"/>
          <w:szCs w:val="22"/>
        </w:rPr>
        <w:t xml:space="preserve"> will </w:t>
      </w:r>
      <w:r w:rsidR="00193385">
        <w:rPr>
          <w:rFonts w:eastAsia="Aptos"/>
          <w:snapToGrid/>
          <w:kern w:val="2"/>
          <w:szCs w:val="22"/>
        </w:rPr>
        <w:t xml:space="preserve">remain a </w:t>
      </w:r>
      <w:r w:rsidRPr="00BD6499" w:rsidR="004C4F8B">
        <w:rPr>
          <w:rFonts w:eastAsia="Aptos"/>
          <w:snapToGrid/>
          <w:kern w:val="2"/>
          <w:szCs w:val="22"/>
        </w:rPr>
        <w:t>separate entity</w:t>
      </w:r>
      <w:r w:rsidR="00193385">
        <w:rPr>
          <w:rFonts w:eastAsia="Aptos"/>
          <w:snapToGrid/>
          <w:kern w:val="2"/>
          <w:szCs w:val="22"/>
        </w:rPr>
        <w:t>, not owned by</w:t>
      </w:r>
      <w:r w:rsidR="00F203FB">
        <w:rPr>
          <w:rFonts w:eastAsia="Aptos"/>
          <w:snapToGrid/>
          <w:kern w:val="2"/>
          <w:szCs w:val="22"/>
        </w:rPr>
        <w:t xml:space="preserve"> </w:t>
      </w:r>
      <w:r w:rsidRPr="00BD6499" w:rsidR="004C4F8B">
        <w:rPr>
          <w:rFonts w:eastAsia="Aptos"/>
          <w:snapToGrid/>
          <w:kern w:val="2"/>
          <w:szCs w:val="22"/>
        </w:rPr>
        <w:t>Interactive</w:t>
      </w:r>
      <w:r w:rsidR="008A3590">
        <w:rPr>
          <w:rFonts w:eastAsia="Aptos"/>
          <w:snapToGrid/>
          <w:kern w:val="2"/>
          <w:szCs w:val="22"/>
        </w:rPr>
        <w:t>, but will no longer provide telecommunications services</w:t>
      </w:r>
      <w:r w:rsidR="008950D6">
        <w:rPr>
          <w:rFonts w:eastAsia="Aptos"/>
          <w:snapToGrid/>
          <w:kern w:val="2"/>
          <w:szCs w:val="22"/>
        </w:rPr>
        <w:t>.</w:t>
      </w:r>
      <w:r>
        <w:rPr>
          <w:rStyle w:val="FootnoteReference"/>
          <w:rFonts w:eastAsia="Aptos"/>
          <w:snapToGrid/>
          <w:kern w:val="2"/>
          <w:szCs w:val="22"/>
        </w:rPr>
        <w:footnoteReference w:id="13"/>
      </w:r>
      <w:r w:rsidR="008950D6">
        <w:rPr>
          <w:rFonts w:eastAsia="Aptos"/>
          <w:snapToGrid/>
          <w:kern w:val="2"/>
          <w:szCs w:val="22"/>
        </w:rPr>
        <w:t xml:space="preserve">  </w:t>
      </w:r>
      <w:r w:rsidR="008950D6">
        <w:rPr>
          <w:rFonts w:eastAsia="Aptos"/>
          <w:snapToGrid/>
          <w:kern w:val="2"/>
          <w:szCs w:val="22"/>
        </w:rPr>
        <w:t>TelNet</w:t>
      </w:r>
      <w:r w:rsidR="008950D6">
        <w:rPr>
          <w:rFonts w:eastAsia="Aptos"/>
          <w:snapToGrid/>
          <w:kern w:val="2"/>
          <w:szCs w:val="22"/>
        </w:rPr>
        <w:t xml:space="preserve"> </w:t>
      </w:r>
      <w:r w:rsidR="00BF3D4C">
        <w:rPr>
          <w:rFonts w:eastAsia="Aptos"/>
          <w:snapToGrid/>
          <w:kern w:val="2"/>
          <w:szCs w:val="22"/>
        </w:rPr>
        <w:t xml:space="preserve">will </w:t>
      </w:r>
      <w:r w:rsidR="00290EBC">
        <w:rPr>
          <w:rFonts w:eastAsia="Aptos"/>
          <w:snapToGrid/>
          <w:kern w:val="2"/>
          <w:szCs w:val="22"/>
        </w:rPr>
        <w:t xml:space="preserve">continue to own and </w:t>
      </w:r>
      <w:r w:rsidR="00BF3D4C">
        <w:rPr>
          <w:rFonts w:eastAsia="Aptos"/>
          <w:snapToGrid/>
          <w:kern w:val="2"/>
          <w:szCs w:val="22"/>
        </w:rPr>
        <w:t xml:space="preserve">operate its data </w:t>
      </w:r>
      <w:r w:rsidR="00290EBC">
        <w:rPr>
          <w:rFonts w:eastAsia="Aptos"/>
          <w:snapToGrid/>
          <w:kern w:val="2"/>
          <w:szCs w:val="22"/>
        </w:rPr>
        <w:t xml:space="preserve">center </w:t>
      </w:r>
      <w:r w:rsidR="00BF3D4C">
        <w:rPr>
          <w:rFonts w:eastAsia="Aptos"/>
          <w:snapToGrid/>
          <w:kern w:val="2"/>
          <w:szCs w:val="22"/>
        </w:rPr>
        <w:t>and contact center</w:t>
      </w:r>
      <w:r w:rsidRPr="00BD6499" w:rsidR="004C4F8B">
        <w:rPr>
          <w:rFonts w:eastAsia="Aptos"/>
          <w:snapToGrid/>
          <w:kern w:val="2"/>
          <w:szCs w:val="22"/>
        </w:rPr>
        <w:t>.</w:t>
      </w:r>
      <w:r>
        <w:rPr>
          <w:rStyle w:val="FootnoteReference"/>
          <w:rFonts w:eastAsia="Aptos"/>
          <w:snapToGrid/>
          <w:kern w:val="2"/>
          <w:szCs w:val="22"/>
        </w:rPr>
        <w:footnoteReference w:id="14"/>
      </w:r>
    </w:p>
    <w:p w:rsidR="006843BE" w:rsidRPr="0056296B" w:rsidP="0056296B" w14:paraId="7E803DCA" w14:textId="6999AA4B">
      <w:pPr>
        <w:widowControl/>
        <w:spacing w:after="160"/>
        <w:ind w:firstLine="720"/>
      </w:pPr>
      <w:r w:rsidRPr="007D0085">
        <w:t>Applicants assert that grant of the application would serve the public interest, convenience, and necessity</w:t>
      </w:r>
      <w:r>
        <w:t>.</w:t>
      </w:r>
      <w:r>
        <w:rPr>
          <w:rStyle w:val="FootnoteReference"/>
        </w:rPr>
        <w:footnoteReference w:id="15"/>
      </w:r>
      <w:r w:rsidR="00F11622">
        <w:t xml:space="preserve"> </w:t>
      </w:r>
      <w:r w:rsidR="00F145B4">
        <w:t xml:space="preserve"> </w:t>
      </w:r>
      <w:r w:rsidR="00FB5B37">
        <w:t xml:space="preserve">Specifically, Applicants </w:t>
      </w:r>
      <w:r w:rsidR="00317D35">
        <w:t xml:space="preserve">state </w:t>
      </w:r>
      <w:r w:rsidR="00751F36">
        <w:t xml:space="preserve">that </w:t>
      </w:r>
      <w:r w:rsidRPr="00FB5B37" w:rsidR="00FB5B37">
        <w:t xml:space="preserve">customers of </w:t>
      </w:r>
      <w:r w:rsidRPr="00FB5B37" w:rsidR="00FB5B37">
        <w:t>TelNet</w:t>
      </w:r>
      <w:r w:rsidRPr="00FB5B37" w:rsidR="00FB5B37">
        <w:t xml:space="preserve"> </w:t>
      </w:r>
      <w:r w:rsidR="00573C7C">
        <w:t xml:space="preserve">will </w:t>
      </w:r>
      <w:r w:rsidR="00751F36">
        <w:t xml:space="preserve">have </w:t>
      </w:r>
      <w:r w:rsidRPr="00FB5B37" w:rsidR="00FB5B37">
        <w:t xml:space="preserve">access to new services offered by Interactive and </w:t>
      </w:r>
      <w:r w:rsidR="00751F36">
        <w:t xml:space="preserve">the proposed transaction </w:t>
      </w:r>
      <w:r w:rsidRPr="00FB5B37" w:rsidR="00FB5B37">
        <w:t>will strengthen the competitive position of Interactive by expanding its customer base.</w:t>
      </w:r>
      <w:r>
        <w:rPr>
          <w:rStyle w:val="FootnoteReference"/>
        </w:rPr>
        <w:footnoteReference w:id="16"/>
      </w:r>
      <w:r w:rsidRPr="00FB5B37" w:rsidR="00FB5B37">
        <w:t xml:space="preserve"> </w:t>
      </w:r>
      <w:r w:rsidR="00751F36">
        <w:t xml:space="preserve"> Applicants also </w:t>
      </w:r>
      <w:r w:rsidR="00317D35">
        <w:t>state</w:t>
      </w:r>
      <w:r w:rsidR="00751F36">
        <w:t xml:space="preserve"> </w:t>
      </w:r>
      <w:r w:rsidR="00573C7C">
        <w:t xml:space="preserve">that </w:t>
      </w:r>
      <w:r w:rsidR="00751F36">
        <w:t xml:space="preserve">the proposed </w:t>
      </w:r>
      <w:r w:rsidRPr="00FB5B37" w:rsidR="00FB5B37">
        <w:t>transaction will not disrupt or otherwise negatively impact services, customers or competition.</w:t>
      </w:r>
      <w:r>
        <w:rPr>
          <w:rStyle w:val="FootnoteReference"/>
        </w:rPr>
        <w:footnoteReference w:id="17"/>
      </w:r>
      <w:r w:rsidRPr="00FB5B37" w:rsidR="00FB5B37">
        <w:t xml:space="preserve"> </w:t>
      </w:r>
      <w:r w:rsidR="00751F36">
        <w:t xml:space="preserve"> </w:t>
      </w:r>
      <w:r w:rsidRPr="006843BE">
        <w:rPr>
          <w:bCs/>
          <w:color w:val="000000"/>
          <w:szCs w:val="22"/>
        </w:rPr>
        <w:t>Because the proposed transaction is more complex than those accepted for streamlined treatment, and in order to analyze whether the proposed transaction would serve the public interest, we accept the Application for non-streamlined processing.</w:t>
      </w:r>
      <w:r>
        <w:rPr>
          <w:bCs/>
          <w:color w:val="000000"/>
          <w:szCs w:val="22"/>
          <w:vertAlign w:val="superscript"/>
        </w:rPr>
        <w:footnoteReference w:id="18"/>
      </w:r>
    </w:p>
    <w:p w:rsidR="00094C8B" w:rsidP="001A24F7" w14:paraId="109ECE22" w14:textId="2B6605FD">
      <w:pPr>
        <w:ind w:left="720"/>
        <w:rPr>
          <w:szCs w:val="22"/>
        </w:rPr>
      </w:pPr>
      <w:r w:rsidRPr="007C0C33">
        <w:rPr>
          <w:szCs w:val="22"/>
        </w:rPr>
        <w:t xml:space="preserve">Domestic Section 214 Filed for the </w:t>
      </w:r>
      <w:r w:rsidR="00F95031">
        <w:rPr>
          <w:szCs w:val="22"/>
        </w:rPr>
        <w:t>Acquisition of Certain Assets of</w:t>
      </w:r>
      <w:r w:rsidRPr="007C0C33">
        <w:rPr>
          <w:szCs w:val="22"/>
        </w:rPr>
        <w:t xml:space="preserve"> </w:t>
      </w:r>
      <w:r w:rsidR="007E6F8F">
        <w:rPr>
          <w:szCs w:val="22"/>
        </w:rPr>
        <w:t>TelNet</w:t>
      </w:r>
      <w:r w:rsidR="007E6F8F">
        <w:rPr>
          <w:szCs w:val="22"/>
        </w:rPr>
        <w:t xml:space="preserve"> Worldwide, Inc.</w:t>
      </w:r>
    </w:p>
    <w:p w:rsidR="007E6F8F" w:rsidP="00626A6E" w14:paraId="430046DC" w14:textId="2D4FA312">
      <w:pPr>
        <w:ind w:left="720"/>
        <w:rPr>
          <w:szCs w:val="22"/>
        </w:rPr>
      </w:pPr>
      <w:r>
        <w:rPr>
          <w:szCs w:val="22"/>
        </w:rPr>
        <w:t xml:space="preserve">by </w:t>
      </w:r>
      <w:r>
        <w:rPr>
          <w:szCs w:val="22"/>
        </w:rPr>
        <w:t>Interactive Services Network, Inc.,</w:t>
      </w:r>
      <w:r w:rsidR="00C37643">
        <w:rPr>
          <w:szCs w:val="22"/>
        </w:rPr>
        <w:t xml:space="preserve"> </w:t>
      </w:r>
      <w:r w:rsidRPr="007C0C33" w:rsidR="007C0C33">
        <w:rPr>
          <w:szCs w:val="22"/>
        </w:rPr>
        <w:t>WC Docket No. 25-</w:t>
      </w:r>
      <w:r w:rsidR="00977597">
        <w:rPr>
          <w:szCs w:val="22"/>
        </w:rPr>
        <w:t xml:space="preserve">189 </w:t>
      </w:r>
      <w:r w:rsidRPr="007C0C33" w:rsidR="007C0C33">
        <w:rPr>
          <w:szCs w:val="22"/>
        </w:rPr>
        <w:t>(filed</w:t>
      </w:r>
      <w:r w:rsidR="00977597">
        <w:rPr>
          <w:szCs w:val="22"/>
        </w:rPr>
        <w:t xml:space="preserve"> Sept. 19</w:t>
      </w:r>
      <w:r w:rsidRPr="007C0C33" w:rsidR="007C0C33">
        <w:rPr>
          <w:szCs w:val="22"/>
        </w:rPr>
        <w:t>, 2025).</w:t>
      </w:r>
    </w:p>
    <w:p w:rsidR="0030451B" w:rsidP="00626A6E" w14:paraId="6F657686" w14:textId="77777777">
      <w:pPr>
        <w:ind w:left="720"/>
        <w:rPr>
          <w:szCs w:val="22"/>
        </w:rPr>
      </w:pPr>
    </w:p>
    <w:p w:rsidR="0030451B" w:rsidRPr="0030451B" w:rsidP="00626A6E" w14:paraId="37E112E5" w14:textId="77777777">
      <w:pPr>
        <w:ind w:firstLine="720"/>
        <w:rPr>
          <w:szCs w:val="22"/>
        </w:rPr>
      </w:pPr>
      <w:r w:rsidRPr="0030451B">
        <w:rPr>
          <w:szCs w:val="22"/>
          <w:u w:val="single"/>
        </w:rPr>
        <w:t>Referral to Executive Branch Agencies</w:t>
      </w:r>
      <w:r w:rsidRPr="0030451B">
        <w:rPr>
          <w:szCs w:val="22"/>
        </w:rPr>
        <w:t>:  Pursuant to Commission practice, the Application is being referred to the relevant Executive Branch agencies for their views on any national security, law enforcement, foreign policy, or trade policy concerns related to the foreign ownership of the entities at issue.</w:t>
      </w:r>
      <w:r>
        <w:rPr>
          <w:szCs w:val="22"/>
          <w:vertAlign w:val="superscript"/>
        </w:rPr>
        <w:footnoteReference w:id="19"/>
      </w:r>
      <w:r w:rsidRPr="0030451B">
        <w:rPr>
          <w:szCs w:val="22"/>
        </w:rPr>
        <w:t xml:space="preserve">  Applicants state that, concurrent with filing the Application, they submitted directly to the Committee for the Assessment of Foreign Participation in the United States Telecommunications Services Sector (Committee) responses to the Committee’s standard questions.</w:t>
      </w:r>
      <w:r>
        <w:rPr>
          <w:szCs w:val="22"/>
          <w:vertAlign w:val="superscript"/>
        </w:rPr>
        <w:footnoteReference w:id="20"/>
      </w:r>
    </w:p>
    <w:p w:rsidR="0030451B" w:rsidRPr="00BC21E0" w:rsidP="0030451B" w14:paraId="46FB64F8" w14:textId="5B5C0277">
      <w:pPr>
        <w:spacing w:after="120"/>
        <w:rPr>
          <w:szCs w:val="22"/>
        </w:rPr>
      </w:pPr>
    </w:p>
    <w:p w:rsidR="007C0C33" w:rsidRPr="007C0C33" w:rsidP="001A24F7" w14:paraId="129E134E" w14:textId="77777777">
      <w:pPr>
        <w:keepNext/>
        <w:autoSpaceDE w:val="0"/>
        <w:autoSpaceDN w:val="0"/>
        <w:adjustRightInd w:val="0"/>
        <w:spacing w:after="120"/>
        <w:rPr>
          <w:szCs w:val="22"/>
        </w:rPr>
      </w:pPr>
      <w:r w:rsidRPr="007C0C33">
        <w:rPr>
          <w:b/>
          <w:szCs w:val="22"/>
          <w:u w:val="single"/>
        </w:rPr>
        <w:t>GENERAL INFORMATION</w:t>
      </w:r>
    </w:p>
    <w:p w:rsidR="007C0C33" w:rsidRPr="007C0C33" w:rsidP="001A24F7" w14:paraId="55573FA5" w14:textId="77777777">
      <w:pPr>
        <w:autoSpaceDE w:val="0"/>
        <w:autoSpaceDN w:val="0"/>
        <w:adjustRightInd w:val="0"/>
        <w:spacing w:after="120"/>
        <w:ind w:firstLine="720"/>
        <w:rPr>
          <w:szCs w:val="22"/>
        </w:rPr>
      </w:pPr>
      <w:r w:rsidRPr="007C0C33">
        <w:rPr>
          <w:szCs w:val="22"/>
        </w:rPr>
        <w:t xml:space="preserve">The application identified herein has been found, upon initial review, to be acceptable for filing.  </w:t>
      </w:r>
      <w:r w:rsidRPr="007C0C33">
        <w:rPr>
          <w:szCs w:val="22"/>
        </w:rPr>
        <w:t>The Commission reserves the right to return any application if, upon further examination, it is determined to be defective and not in conformance with the Commission’s rules and policies.</w:t>
      </w:r>
    </w:p>
    <w:p w:rsidR="007C0C33" w:rsidRPr="007C0C33" w:rsidP="001A24F7" w14:paraId="0F319282" w14:textId="77777777">
      <w:pPr>
        <w:autoSpaceDE w:val="0"/>
        <w:autoSpaceDN w:val="0"/>
        <w:adjustRightInd w:val="0"/>
        <w:spacing w:after="120"/>
        <w:ind w:firstLine="720"/>
        <w:rPr>
          <w:szCs w:val="22"/>
        </w:rPr>
      </w:pPr>
      <w:r w:rsidRPr="007C0C33">
        <w:rPr>
          <w:szCs w:val="22"/>
        </w:rPr>
        <w:t>Interested parties may file comments</w:t>
      </w:r>
      <w:r w:rsidRPr="007C0C33">
        <w:rPr>
          <w:bCs/>
          <w:szCs w:val="22"/>
        </w:rPr>
        <w:t xml:space="preserve"> and reply comments on or before the dates indicated on the first page of this document.</w:t>
      </w:r>
      <w:r w:rsidRPr="007C0C33">
        <w:rPr>
          <w:szCs w:val="22"/>
        </w:rPr>
        <w:t xml:space="preserve">  Comments may be filed using the Commission’s Electronic Comment Filing System (ECFS).</w:t>
      </w:r>
    </w:p>
    <w:p w:rsidR="007C0C33" w:rsidRPr="007C0C33" w:rsidP="001A24F7" w14:paraId="7BCE3879" w14:textId="77777777">
      <w:pPr>
        <w:numPr>
          <w:ilvl w:val="0"/>
          <w:numId w:val="8"/>
        </w:numPr>
        <w:autoSpaceDE w:val="0"/>
        <w:autoSpaceDN w:val="0"/>
        <w:adjustRightInd w:val="0"/>
        <w:spacing w:after="120"/>
        <w:rPr>
          <w:szCs w:val="22"/>
        </w:rPr>
      </w:pPr>
      <w:r w:rsidRPr="007C0C33">
        <w:rPr>
          <w:szCs w:val="22"/>
        </w:rPr>
        <w:t xml:space="preserve">Electronic Filers:  Comments may be filed electronically using the Internet by accessing the ECFS:  </w:t>
      </w:r>
      <w:hyperlink r:id="rId6" w:history="1">
        <w:r w:rsidRPr="007C0C33">
          <w:rPr>
            <w:color w:val="0000FF"/>
            <w:szCs w:val="22"/>
            <w:u w:val="single"/>
          </w:rPr>
          <w:t>https://www.fcc.gov/ecfs/</w:t>
        </w:r>
      </w:hyperlink>
      <w:r w:rsidRPr="007C0C33">
        <w:rPr>
          <w:szCs w:val="22"/>
        </w:rPr>
        <w:t>.</w:t>
      </w:r>
    </w:p>
    <w:p w:rsidR="007C0C33" w:rsidRPr="007C0C33" w:rsidP="001A24F7" w14:paraId="31598374" w14:textId="77777777">
      <w:pPr>
        <w:numPr>
          <w:ilvl w:val="0"/>
          <w:numId w:val="9"/>
        </w:numPr>
        <w:autoSpaceDE w:val="0"/>
        <w:autoSpaceDN w:val="0"/>
        <w:adjustRightInd w:val="0"/>
        <w:spacing w:after="120"/>
        <w:rPr>
          <w:szCs w:val="22"/>
        </w:rPr>
      </w:pPr>
      <w:r w:rsidRPr="007C0C33">
        <w:rPr>
          <w:szCs w:val="22"/>
        </w:rPr>
        <w:t>Paper Filers: Parties who choose to file by paper must file an original and one copy of each filing.</w:t>
      </w:r>
    </w:p>
    <w:p w:rsidR="007C0C33" w:rsidRPr="007C0C33" w:rsidP="001A24F7" w14:paraId="5214B89B" w14:textId="77777777">
      <w:pPr>
        <w:numPr>
          <w:ilvl w:val="1"/>
          <w:numId w:val="9"/>
        </w:numPr>
        <w:autoSpaceDE w:val="0"/>
        <w:autoSpaceDN w:val="0"/>
        <w:adjustRightInd w:val="0"/>
        <w:spacing w:after="120"/>
        <w:rPr>
          <w:b/>
          <w:bCs/>
          <w:szCs w:val="22"/>
        </w:rPr>
      </w:pPr>
      <w:r w:rsidRPr="007C0C33">
        <w:rPr>
          <w:szCs w:val="22"/>
        </w:rPr>
        <w:t xml:space="preserve">Filings can be sent by hand or messenger delivery, by commercial courier, or by the U.S. Postal Service.  </w:t>
      </w:r>
      <w:r w:rsidRPr="007C0C33">
        <w:rPr>
          <w:b/>
          <w:bCs/>
          <w:szCs w:val="22"/>
        </w:rPr>
        <w:t>All filings must be addressed to the Secretary, Federal Communications Commission.</w:t>
      </w:r>
    </w:p>
    <w:p w:rsidR="007C0C33" w:rsidRPr="007C0C33" w:rsidP="001A24F7" w14:paraId="7FFAE660" w14:textId="77777777">
      <w:pPr>
        <w:numPr>
          <w:ilvl w:val="1"/>
          <w:numId w:val="9"/>
        </w:numPr>
        <w:autoSpaceDE w:val="0"/>
        <w:autoSpaceDN w:val="0"/>
        <w:adjustRightInd w:val="0"/>
        <w:spacing w:after="120"/>
        <w:rPr>
          <w:szCs w:val="22"/>
        </w:rPr>
      </w:pPr>
      <w:r w:rsidRPr="007C0C33">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7C0C33" w:rsidRPr="007C0C33" w:rsidP="001A24F7" w14:paraId="5764E96F" w14:textId="77777777">
      <w:pPr>
        <w:numPr>
          <w:ilvl w:val="1"/>
          <w:numId w:val="9"/>
        </w:numPr>
        <w:autoSpaceDE w:val="0"/>
        <w:autoSpaceDN w:val="0"/>
        <w:adjustRightInd w:val="0"/>
        <w:spacing w:after="120"/>
        <w:rPr>
          <w:szCs w:val="22"/>
        </w:rPr>
      </w:pPr>
      <w:r w:rsidRPr="007C0C33">
        <w:rPr>
          <w:szCs w:val="22"/>
        </w:rPr>
        <w:t>Commercial courier deliveries (any deliveries not by the U.S. Postal Service) must be sent to 9050 Junction Drive, Annapolis Junction, MD 20701.</w:t>
      </w:r>
    </w:p>
    <w:p w:rsidR="007C0C33" w:rsidRPr="007C0C33" w:rsidP="001A24F7" w14:paraId="555C2B34" w14:textId="77777777">
      <w:pPr>
        <w:numPr>
          <w:ilvl w:val="1"/>
          <w:numId w:val="9"/>
        </w:numPr>
        <w:autoSpaceDE w:val="0"/>
        <w:autoSpaceDN w:val="0"/>
        <w:adjustRightInd w:val="0"/>
        <w:spacing w:after="120"/>
        <w:rPr>
          <w:szCs w:val="22"/>
        </w:rPr>
      </w:pPr>
      <w:r w:rsidRPr="007C0C33">
        <w:rPr>
          <w:szCs w:val="22"/>
        </w:rPr>
        <w:t>Filings sent by U.S. Postal Service First-Class Mail, Priority Mail, and Priority Mail Express must be sent to 45 L Street NE, Washington, DC 20554.</w:t>
      </w:r>
    </w:p>
    <w:p w:rsidR="00036FF2" w:rsidRPr="007C0C33" w:rsidP="001A24F7" w14:paraId="2034E741" w14:textId="3814E397">
      <w:pPr>
        <w:autoSpaceDE w:val="0"/>
        <w:autoSpaceDN w:val="0"/>
        <w:adjustRightInd w:val="0"/>
        <w:spacing w:after="120"/>
        <w:ind w:firstLine="720"/>
        <w:rPr>
          <w:szCs w:val="22"/>
        </w:rPr>
      </w:pPr>
      <w:r w:rsidRPr="007C0C33">
        <w:rPr>
          <w:szCs w:val="22"/>
        </w:rPr>
        <w:t xml:space="preserve">People with Disabilities:  To request materials in accessible formats for people with disabilities (braille, large print, electronic files, audio format), send an e-mail to </w:t>
      </w:r>
      <w:hyperlink r:id="rId7" w:history="1">
        <w:r w:rsidRPr="007C0C33">
          <w:rPr>
            <w:color w:val="0000FF"/>
            <w:szCs w:val="22"/>
            <w:u w:val="single"/>
          </w:rPr>
          <w:t>fcc504@fcc.gov</w:t>
        </w:r>
      </w:hyperlink>
      <w:r w:rsidRPr="007C0C33">
        <w:rPr>
          <w:szCs w:val="22"/>
        </w:rPr>
        <w:t xml:space="preserve"> or call the Consumer &amp; Governmental Affairs Bureau at 202-418-0530.</w:t>
      </w:r>
    </w:p>
    <w:p w:rsidR="007C0C33" w:rsidRPr="007C0C33" w:rsidP="001A24F7" w14:paraId="28D80633" w14:textId="77777777">
      <w:pPr>
        <w:autoSpaceDE w:val="0"/>
        <w:autoSpaceDN w:val="0"/>
        <w:adjustRightInd w:val="0"/>
        <w:spacing w:after="120"/>
        <w:ind w:firstLine="720"/>
        <w:rPr>
          <w:b/>
          <w:szCs w:val="22"/>
        </w:rPr>
      </w:pPr>
      <w:r w:rsidRPr="007C0C33">
        <w:rPr>
          <w:b/>
          <w:szCs w:val="22"/>
        </w:rPr>
        <w:t>In addition, e-mail one copy of each pleading to each of the following:</w:t>
      </w:r>
    </w:p>
    <w:p w:rsidR="007C0C33" w:rsidP="001A24F7" w14:paraId="0272AC98" w14:textId="77777777">
      <w:pPr>
        <w:numPr>
          <w:ilvl w:val="0"/>
          <w:numId w:val="7"/>
        </w:numPr>
        <w:autoSpaceDE w:val="0"/>
        <w:autoSpaceDN w:val="0"/>
        <w:adjustRightInd w:val="0"/>
        <w:spacing w:after="120"/>
        <w:rPr>
          <w:szCs w:val="22"/>
        </w:rPr>
      </w:pPr>
      <w:r w:rsidRPr="007C0C33">
        <w:rPr>
          <w:szCs w:val="22"/>
        </w:rPr>
        <w:t>Megan Danner, Competition Policy Division, Wireline Competition Bureau, megan.danner</w:t>
      </w:r>
      <w:hyperlink r:id="rId8" w:history="1">
        <w:r w:rsidRPr="007C0C33">
          <w:rPr>
            <w:color w:val="0000FF"/>
            <w:szCs w:val="22"/>
            <w:u w:val="single"/>
          </w:rPr>
          <w:t>@fcc.gov</w:t>
        </w:r>
      </w:hyperlink>
      <w:r w:rsidRPr="007C0C33">
        <w:rPr>
          <w:szCs w:val="22"/>
        </w:rPr>
        <w:t xml:space="preserve">; </w:t>
      </w:r>
    </w:p>
    <w:p w:rsidR="00977597" w:rsidRPr="00344A7B" w:rsidP="00344A7B" w14:paraId="25B29151" w14:textId="1B353240">
      <w:pPr>
        <w:numPr>
          <w:ilvl w:val="0"/>
          <w:numId w:val="7"/>
        </w:numPr>
        <w:autoSpaceDE w:val="0"/>
        <w:autoSpaceDN w:val="0"/>
        <w:adjustRightInd w:val="0"/>
        <w:spacing w:after="120"/>
        <w:rPr>
          <w:szCs w:val="22"/>
        </w:rPr>
      </w:pPr>
      <w:r>
        <w:rPr>
          <w:szCs w:val="22"/>
        </w:rPr>
        <w:t xml:space="preserve">David Krech, </w:t>
      </w:r>
      <w:r w:rsidRPr="00344A7B" w:rsidR="00344A7B">
        <w:rPr>
          <w:szCs w:val="22"/>
        </w:rPr>
        <w:t xml:space="preserve">Telecommunications and Analysis Division, Office of International Affairs, </w:t>
      </w:r>
      <w:hyperlink r:id="rId9" w:history="1">
        <w:r w:rsidRPr="00344A7B" w:rsidR="00344A7B">
          <w:rPr>
            <w:rStyle w:val="Hyperlink"/>
            <w:szCs w:val="22"/>
          </w:rPr>
          <w:t>david.krech@fcc.gov</w:t>
        </w:r>
      </w:hyperlink>
      <w:r w:rsidRPr="00344A7B" w:rsidR="00344A7B">
        <w:rPr>
          <w:szCs w:val="22"/>
        </w:rPr>
        <w:t xml:space="preserve">; and </w:t>
      </w:r>
    </w:p>
    <w:p w:rsidR="007C0C33" w:rsidRPr="007C0C33" w:rsidP="001A24F7" w14:paraId="2614865B" w14:textId="77777777">
      <w:pPr>
        <w:numPr>
          <w:ilvl w:val="0"/>
          <w:numId w:val="7"/>
        </w:numPr>
        <w:autoSpaceDE w:val="0"/>
        <w:autoSpaceDN w:val="0"/>
        <w:adjustRightInd w:val="0"/>
        <w:spacing w:after="120"/>
        <w:rPr>
          <w:szCs w:val="22"/>
        </w:rPr>
      </w:pPr>
      <w:r w:rsidRPr="007C0C33">
        <w:rPr>
          <w:szCs w:val="22"/>
        </w:rPr>
        <w:t xml:space="preserve">Jim Bird, Office of General Counsel, </w:t>
      </w:r>
      <w:hyperlink r:id="rId10">
        <w:r w:rsidRPr="007C0C33">
          <w:rPr>
            <w:color w:val="0000FF"/>
            <w:szCs w:val="22"/>
            <w:u w:val="single"/>
          </w:rPr>
          <w:t>jim.bird@fcc.gov</w:t>
        </w:r>
      </w:hyperlink>
      <w:r w:rsidRPr="007C0C33">
        <w:rPr>
          <w:szCs w:val="22"/>
        </w:rPr>
        <w:t>.</w:t>
      </w:r>
    </w:p>
    <w:p w:rsidR="007C0C33" w:rsidRPr="007C0C33" w:rsidP="001A24F7" w14:paraId="7C731109" w14:textId="77777777">
      <w:pPr>
        <w:autoSpaceDE w:val="0"/>
        <w:autoSpaceDN w:val="0"/>
        <w:adjustRightInd w:val="0"/>
        <w:spacing w:after="120"/>
        <w:ind w:firstLine="720"/>
        <w:rPr>
          <w:szCs w:val="22"/>
        </w:rPr>
      </w:pPr>
      <w:r w:rsidRPr="007C0C33">
        <w:rPr>
          <w:szCs w:val="22"/>
        </w:rPr>
        <w:t xml:space="preserve">The proceeding in this Notice shall be treated as a “permit-but-disclose” proceeding in accordance with the Commission’s </w:t>
      </w:r>
      <w:r w:rsidRPr="007C0C33">
        <w:rPr>
          <w:i/>
          <w:szCs w:val="22"/>
        </w:rPr>
        <w:t xml:space="preserve">ex </w:t>
      </w:r>
      <w:r w:rsidRPr="007C0C33">
        <w:rPr>
          <w:i/>
          <w:szCs w:val="22"/>
        </w:rPr>
        <w:t>parte</w:t>
      </w:r>
      <w:r w:rsidRPr="007C0C33">
        <w:rPr>
          <w:szCs w:val="22"/>
        </w:rPr>
        <w:t xml:space="preserve"> rules.  Persons making </w:t>
      </w:r>
      <w:r w:rsidRPr="007C0C33">
        <w:rPr>
          <w:i/>
          <w:szCs w:val="22"/>
        </w:rPr>
        <w:t xml:space="preserve">ex </w:t>
      </w:r>
      <w:r w:rsidRPr="007C0C33">
        <w:rPr>
          <w:i/>
          <w:szCs w:val="22"/>
        </w:rPr>
        <w:t>parte</w:t>
      </w:r>
      <w:r w:rsidRPr="007C0C33">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7C0C33">
        <w:rPr>
          <w:i/>
          <w:szCs w:val="22"/>
        </w:rPr>
        <w:t xml:space="preserve">ex </w:t>
      </w:r>
      <w:r w:rsidRPr="007C0C33">
        <w:rPr>
          <w:i/>
          <w:szCs w:val="22"/>
        </w:rPr>
        <w:t>parte</w:t>
      </w:r>
      <w:r w:rsidRPr="007C0C33">
        <w:rPr>
          <w:szCs w:val="22"/>
        </w:rPr>
        <w:t xml:space="preserve"> presentations are reminded that memoranda summarizing the presentation must (1) list all persons attending or otherwise participating in the meeting at which the </w:t>
      </w:r>
      <w:r w:rsidRPr="007C0C33">
        <w:rPr>
          <w:i/>
          <w:szCs w:val="22"/>
        </w:rPr>
        <w:t xml:space="preserve">ex </w:t>
      </w:r>
      <w:r w:rsidRPr="007C0C33">
        <w:rPr>
          <w:i/>
          <w:szCs w:val="22"/>
        </w:rPr>
        <w:t>parte</w:t>
      </w:r>
      <w:r w:rsidRPr="007C0C33">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7C0C33">
        <w:rPr>
          <w:i/>
          <w:szCs w:val="22"/>
        </w:rPr>
        <w:t xml:space="preserve">ex </w:t>
      </w:r>
      <w:r w:rsidRPr="007C0C33">
        <w:rPr>
          <w:i/>
          <w:szCs w:val="22"/>
        </w:rPr>
        <w:t>parte</w:t>
      </w:r>
      <w:r w:rsidRPr="007C0C33">
        <w:rPr>
          <w:szCs w:val="22"/>
        </w:rPr>
        <w:t xml:space="preserve"> meetings are deemed to be written </w:t>
      </w:r>
      <w:r w:rsidRPr="007C0C33">
        <w:rPr>
          <w:i/>
          <w:szCs w:val="22"/>
        </w:rPr>
        <w:t xml:space="preserve">ex </w:t>
      </w:r>
      <w:r w:rsidRPr="007C0C33">
        <w:rPr>
          <w:i/>
          <w:szCs w:val="22"/>
        </w:rPr>
        <w:t>parte</w:t>
      </w:r>
      <w:r w:rsidRPr="007C0C33">
        <w:rPr>
          <w:szCs w:val="22"/>
        </w:rPr>
        <w:t xml:space="preserve"> presentations and must be filed consistent with rule 1.1206(b), 47 CFR § 1.1206(b).  Participants in this proceeding should familiarize themselves with the Commission’s </w:t>
      </w:r>
      <w:r w:rsidRPr="007C0C33">
        <w:rPr>
          <w:i/>
          <w:szCs w:val="22"/>
        </w:rPr>
        <w:t xml:space="preserve">ex </w:t>
      </w:r>
      <w:r w:rsidRPr="007C0C33">
        <w:rPr>
          <w:i/>
          <w:szCs w:val="22"/>
        </w:rPr>
        <w:t>parte</w:t>
      </w:r>
      <w:r w:rsidRPr="007C0C33">
        <w:rPr>
          <w:szCs w:val="22"/>
        </w:rPr>
        <w:t xml:space="preserve"> rules.</w:t>
      </w:r>
    </w:p>
    <w:p w:rsidR="007C0C33" w:rsidRPr="007C0C33" w:rsidP="001A24F7" w14:paraId="65617BDE" w14:textId="77777777">
      <w:pPr>
        <w:autoSpaceDE w:val="0"/>
        <w:autoSpaceDN w:val="0"/>
        <w:adjustRightInd w:val="0"/>
        <w:spacing w:after="120"/>
        <w:ind w:firstLine="720"/>
        <w:rPr>
          <w:szCs w:val="22"/>
        </w:rPr>
      </w:pPr>
      <w:r w:rsidRPr="007C0C33">
        <w:rPr>
          <w:szCs w:val="22"/>
        </w:rPr>
        <w:t xml:space="preserve">To allow the Commission to consider fully all substantive issues regarding the application in as timely and efficient a manner as possible, petitioners and commenters should raise all issues in their </w:t>
      </w:r>
      <w:r w:rsidRPr="007C0C33">
        <w:rPr>
          <w:szCs w:val="22"/>
        </w:rPr>
        <w:t>initial filings.  New issues may not be raised in responses or replies.</w:t>
      </w:r>
      <w:r>
        <w:rPr>
          <w:szCs w:val="22"/>
          <w:vertAlign w:val="superscript"/>
        </w:rPr>
        <w:footnoteReference w:id="21"/>
      </w:r>
      <w:r w:rsidRPr="007C0C33">
        <w:rPr>
          <w:szCs w:val="22"/>
        </w:rP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p>
    <w:p w:rsidR="007C0C33" w:rsidRPr="007C0C33" w:rsidP="001A24F7" w14:paraId="67D9E3F7" w14:textId="77777777">
      <w:pPr>
        <w:autoSpaceDE w:val="0"/>
        <w:autoSpaceDN w:val="0"/>
        <w:adjustRightInd w:val="0"/>
        <w:spacing w:after="120"/>
        <w:ind w:firstLine="720"/>
        <w:rPr>
          <w:szCs w:val="22"/>
        </w:rPr>
      </w:pPr>
      <w:r w:rsidRPr="007C0C33">
        <w:rPr>
          <w:szCs w:val="22"/>
        </w:rPr>
        <w:t xml:space="preserve">For further information, please contact Megan Danner, Competition Policy Division, Wireline Competition Bureau, at </w:t>
      </w:r>
      <w:r w:rsidRPr="007C0C33">
        <w:t>(202) 418-1151.</w:t>
      </w:r>
    </w:p>
    <w:p w:rsidR="00FD7EE2" w:rsidRPr="00036FF2" w:rsidP="001A24F7" w14:paraId="14DB6BD0" w14:textId="28985C3E">
      <w:pPr>
        <w:autoSpaceDE w:val="0"/>
        <w:autoSpaceDN w:val="0"/>
        <w:adjustRightInd w:val="0"/>
        <w:jc w:val="center"/>
        <w:rPr>
          <w:color w:val="000000"/>
          <w:szCs w:val="22"/>
        </w:rPr>
      </w:pPr>
      <w:r w:rsidRPr="007C0C33">
        <w:rPr>
          <w:b/>
          <w:szCs w:val="22"/>
        </w:rPr>
        <w:t>-FCC-</w:t>
      </w:r>
    </w:p>
    <w:p w:rsidR="00FD7EE2" w:rsidP="001A24F7" w14:paraId="23BD8F0E" w14:textId="77777777">
      <w:pPr>
        <w:rPr>
          <w:b/>
          <w:sz w:val="24"/>
        </w:rPr>
      </w:pPr>
    </w:p>
    <w:p w:rsidR="00BA3BA8" w:rsidP="001A24F7" w14:paraId="03CBD678" w14:textId="77777777"/>
    <w:sectPr>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0274" w14:paraId="781D29D8" w14:textId="77777777">
      <w:pPr>
        <w:spacing w:line="20" w:lineRule="exact"/>
      </w:pPr>
    </w:p>
  </w:endnote>
  <w:endnote w:type="continuationSeparator" w:id="1">
    <w:p w:rsidR="00470274" w14:paraId="201C9923" w14:textId="77777777">
      <w:r>
        <w:t xml:space="preserve"> </w:t>
      </w:r>
    </w:p>
  </w:endnote>
  <w:endnote w:type="continuationNotice" w:id="2">
    <w:p w:rsidR="00470274" w14:paraId="14C8D62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EB28055"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0F1EC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361C4C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FF6E969"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0274" w14:paraId="38C9D946" w14:textId="77777777">
      <w:r>
        <w:separator/>
      </w:r>
    </w:p>
  </w:footnote>
  <w:footnote w:type="continuationSeparator" w:id="1">
    <w:p w:rsidR="00470274" w14:paraId="6CE71355" w14:textId="77777777">
      <w:pPr>
        <w:rPr>
          <w:sz w:val="20"/>
        </w:rPr>
      </w:pPr>
      <w:r>
        <w:rPr>
          <w:sz w:val="20"/>
        </w:rPr>
        <w:t xml:space="preserve">(Continued from previous page)  </w:t>
      </w:r>
      <w:r>
        <w:rPr>
          <w:sz w:val="20"/>
        </w:rPr>
        <w:separator/>
      </w:r>
    </w:p>
  </w:footnote>
  <w:footnote w:type="continuationNotice" w:id="2">
    <w:p w:rsidR="00470274" w14:paraId="0B995AA4" w14:textId="77777777">
      <w:pPr>
        <w:jc w:val="right"/>
        <w:rPr>
          <w:sz w:val="20"/>
        </w:rPr>
      </w:pPr>
      <w:r>
        <w:rPr>
          <w:sz w:val="20"/>
        </w:rPr>
        <w:t>(continued….)</w:t>
      </w:r>
    </w:p>
  </w:footnote>
  <w:footnote w:id="3">
    <w:p w:rsidR="00FD7EE2" w:rsidRPr="001830F6" w:rsidP="00FD7EE2" w14:paraId="2EF923B0" w14:textId="20D35AF3">
      <w:pPr>
        <w:pStyle w:val="FootnoteText"/>
      </w:pPr>
      <w:r w:rsidRPr="001830F6">
        <w:rPr>
          <w:rStyle w:val="FootnoteReference"/>
          <w:sz w:val="20"/>
        </w:rPr>
        <w:footnoteRef/>
      </w:r>
      <w:r w:rsidRPr="001830F6">
        <w:t xml:space="preserve"> </w:t>
      </w:r>
      <w:r w:rsidRPr="001830F6">
        <w:rPr>
          <w:i/>
        </w:rPr>
        <w:t>See</w:t>
      </w:r>
      <w:r w:rsidRPr="001830F6">
        <w:t xml:space="preserve"> 47 U.S.C. § 214(a); 47 CFR § 63.04.</w:t>
      </w:r>
    </w:p>
  </w:footnote>
  <w:footnote w:id="4">
    <w:p w:rsidR="00FD7EE2" w:rsidRPr="00857452" w:rsidP="00FD7EE2" w14:paraId="26DAE6BD" w14:textId="57B20297">
      <w:pPr>
        <w:autoSpaceDE w:val="0"/>
        <w:autoSpaceDN w:val="0"/>
        <w:adjustRightInd w:val="0"/>
        <w:spacing w:after="120"/>
        <w:rPr>
          <w:sz w:val="20"/>
        </w:rPr>
      </w:pPr>
      <w:r w:rsidRPr="00857452">
        <w:rPr>
          <w:rStyle w:val="FootnoteReference"/>
          <w:sz w:val="20"/>
        </w:rPr>
        <w:footnoteRef/>
      </w:r>
      <w:r w:rsidRPr="00857452">
        <w:rPr>
          <w:sz w:val="20"/>
        </w:rPr>
        <w:t xml:space="preserve"> Domestic Section 214 Application </w:t>
      </w:r>
      <w:r w:rsidR="00001765">
        <w:rPr>
          <w:sz w:val="20"/>
        </w:rPr>
        <w:t>F</w:t>
      </w:r>
      <w:r>
        <w:rPr>
          <w:sz w:val="20"/>
        </w:rPr>
        <w:t xml:space="preserve">iled </w:t>
      </w:r>
      <w:r w:rsidRPr="00857452">
        <w:rPr>
          <w:sz w:val="20"/>
        </w:rPr>
        <w:t>for the</w:t>
      </w:r>
      <w:r>
        <w:rPr>
          <w:sz w:val="20"/>
        </w:rPr>
        <w:t xml:space="preserve"> </w:t>
      </w:r>
      <w:bookmarkStart w:id="4" w:name="_Hlk193461235"/>
      <w:r w:rsidR="007C5390">
        <w:rPr>
          <w:sz w:val="20"/>
        </w:rPr>
        <w:t>Acquisition of Certain Assets</w:t>
      </w:r>
      <w:r w:rsidRPr="00507ADB">
        <w:rPr>
          <w:sz w:val="20"/>
        </w:rPr>
        <w:t xml:space="preserve"> </w:t>
      </w:r>
      <w:r>
        <w:rPr>
          <w:sz w:val="20"/>
        </w:rPr>
        <w:t>o</w:t>
      </w:r>
      <w:r w:rsidRPr="00507ADB">
        <w:rPr>
          <w:sz w:val="20"/>
        </w:rPr>
        <w:t>f</w:t>
      </w:r>
      <w:r w:rsidRPr="00507ADB">
        <w:rPr>
          <w:b/>
          <w:bCs/>
          <w:sz w:val="20"/>
        </w:rPr>
        <w:t xml:space="preserve"> </w:t>
      </w:r>
      <w:r w:rsidR="007C0C33">
        <w:rPr>
          <w:sz w:val="20"/>
        </w:rPr>
        <w:t>TelNet</w:t>
      </w:r>
      <w:r w:rsidR="007C0C33">
        <w:rPr>
          <w:sz w:val="20"/>
        </w:rPr>
        <w:t xml:space="preserve"> Worldwide, Inc.</w:t>
      </w:r>
      <w:r w:rsidR="007C5390">
        <w:rPr>
          <w:sz w:val="20"/>
        </w:rPr>
        <w:t xml:space="preserve"> by</w:t>
      </w:r>
      <w:r w:rsidR="007C0C33">
        <w:rPr>
          <w:sz w:val="20"/>
        </w:rPr>
        <w:t xml:space="preserve"> Interactive Services Network, Inc., </w:t>
      </w:r>
      <w:bookmarkEnd w:id="4"/>
      <w:r w:rsidRPr="00857452">
        <w:rPr>
          <w:sz w:val="20"/>
        </w:rPr>
        <w:t xml:space="preserve">WC Docket No. </w:t>
      </w:r>
      <w:r>
        <w:rPr>
          <w:sz w:val="20"/>
        </w:rPr>
        <w:t>25</w:t>
      </w:r>
      <w:r w:rsidRPr="00857452">
        <w:rPr>
          <w:sz w:val="20"/>
        </w:rPr>
        <w:t>-</w:t>
      </w:r>
      <w:r w:rsidR="00951B15">
        <w:rPr>
          <w:sz w:val="20"/>
        </w:rPr>
        <w:t>189</w:t>
      </w:r>
      <w:r w:rsidRPr="00857452">
        <w:rPr>
          <w:sz w:val="20"/>
        </w:rPr>
        <w:t xml:space="preserve"> (filed </w:t>
      </w:r>
      <w:r w:rsidR="001F29BD">
        <w:rPr>
          <w:sz w:val="20"/>
        </w:rPr>
        <w:t>Sept. 19</w:t>
      </w:r>
      <w:r w:rsidRPr="00857452">
        <w:rPr>
          <w:sz w:val="20"/>
        </w:rPr>
        <w:t>, 202</w:t>
      </w:r>
      <w:r>
        <w:rPr>
          <w:sz w:val="20"/>
        </w:rPr>
        <w:t>5</w:t>
      </w:r>
      <w:r w:rsidRPr="00857452">
        <w:rPr>
          <w:sz w:val="20"/>
        </w:rPr>
        <w:t>) (</w:t>
      </w:r>
      <w:r w:rsidR="001F29BD">
        <w:rPr>
          <w:sz w:val="20"/>
        </w:rPr>
        <w:t>Resta</w:t>
      </w:r>
      <w:r w:rsidR="006E2604">
        <w:rPr>
          <w:sz w:val="20"/>
        </w:rPr>
        <w:t>t</w:t>
      </w:r>
      <w:r w:rsidR="001F29BD">
        <w:rPr>
          <w:sz w:val="20"/>
        </w:rPr>
        <w:t xml:space="preserve">ed </w:t>
      </w:r>
      <w:r w:rsidRPr="00857452">
        <w:rPr>
          <w:sz w:val="20"/>
        </w:rPr>
        <w:t>Application).</w:t>
      </w:r>
      <w:r>
        <w:rPr>
          <w:sz w:val="20"/>
        </w:rPr>
        <w:t xml:space="preserve"> </w:t>
      </w:r>
      <w:r w:rsidR="00951B15">
        <w:rPr>
          <w:sz w:val="20"/>
        </w:rPr>
        <w:t xml:space="preserve"> </w:t>
      </w:r>
      <w:r w:rsidRPr="00977597" w:rsidR="00977597">
        <w:rPr>
          <w:sz w:val="20"/>
        </w:rPr>
        <w:t xml:space="preserve">Applicants also filed </w:t>
      </w:r>
      <w:r w:rsidR="00977597">
        <w:rPr>
          <w:sz w:val="20"/>
        </w:rPr>
        <w:t xml:space="preserve">an </w:t>
      </w:r>
      <w:r w:rsidRPr="00977597" w:rsidR="00977597">
        <w:rPr>
          <w:sz w:val="20"/>
        </w:rPr>
        <w:t xml:space="preserve">application for the </w:t>
      </w:r>
      <w:r w:rsidR="000332FC">
        <w:rPr>
          <w:sz w:val="20"/>
        </w:rPr>
        <w:t>assignment</w:t>
      </w:r>
      <w:r w:rsidRPr="00977597" w:rsidR="00977597">
        <w:rPr>
          <w:sz w:val="20"/>
        </w:rPr>
        <w:t xml:space="preserve"> of authorizations associated with international services (ICFS File No. </w:t>
      </w:r>
      <w:r w:rsidRPr="00947EFA" w:rsidR="00947EFA">
        <w:rPr>
          <w:sz w:val="20"/>
        </w:rPr>
        <w:t>ITC-ASG-20250829-00104</w:t>
      </w:r>
      <w:r w:rsidRPr="00977597" w:rsidR="00977597">
        <w:rPr>
          <w:sz w:val="20"/>
        </w:rPr>
        <w:t xml:space="preserve">).  </w:t>
      </w:r>
      <w:r>
        <w:rPr>
          <w:sz w:val="20"/>
        </w:rPr>
        <w:t xml:space="preserve">Any action on the </w:t>
      </w:r>
      <w:r w:rsidR="006E2604">
        <w:rPr>
          <w:sz w:val="20"/>
        </w:rPr>
        <w:t xml:space="preserve">Restated </w:t>
      </w:r>
      <w:r>
        <w:rPr>
          <w:sz w:val="20"/>
        </w:rPr>
        <w:t xml:space="preserve">Application is without prejudice to Commission action on other related, pending applications. </w:t>
      </w:r>
    </w:p>
  </w:footnote>
  <w:footnote w:id="5">
    <w:p w:rsidR="00BB061F" w14:paraId="3D7C398F" w14:textId="4E75048E">
      <w:pPr>
        <w:pStyle w:val="FootnoteText"/>
      </w:pPr>
      <w:r>
        <w:rPr>
          <w:rStyle w:val="FootnoteReference"/>
        </w:rPr>
        <w:footnoteRef/>
      </w:r>
      <w:r>
        <w:t xml:space="preserve"> Restated Application at</w:t>
      </w:r>
      <w:r w:rsidR="001B0351">
        <w:t xml:space="preserve"> 1</w:t>
      </w:r>
      <w:r w:rsidR="00674983">
        <w:t>-2</w:t>
      </w:r>
      <w:r w:rsidR="00A3148B">
        <w:t>.</w:t>
      </w:r>
    </w:p>
  </w:footnote>
  <w:footnote w:id="6">
    <w:p w:rsidR="00BD06DD" w:rsidRPr="00BD06DD" w14:paraId="329A7747" w14:textId="0B793FA1">
      <w:pPr>
        <w:pStyle w:val="FootnoteText"/>
      </w:pPr>
      <w:r>
        <w:rPr>
          <w:rStyle w:val="FootnoteReference"/>
        </w:rPr>
        <w:footnoteRef/>
      </w:r>
      <w:r>
        <w:t xml:space="preserve"> </w:t>
      </w:r>
      <w:r>
        <w:rPr>
          <w:i/>
          <w:iCs/>
        </w:rPr>
        <w:t>Id</w:t>
      </w:r>
      <w:r>
        <w:t>. at 5.</w:t>
      </w:r>
      <w:r w:rsidR="002C0E0D">
        <w:t xml:space="preserve">  </w:t>
      </w:r>
      <w:r w:rsidR="002C0E0D">
        <w:t>TelNet</w:t>
      </w:r>
      <w:r w:rsidR="002C0E0D">
        <w:t xml:space="preserve"> also operates a data center and contact center.  </w:t>
      </w:r>
      <w:r w:rsidRPr="002C0E0D" w:rsidR="002C0E0D">
        <w:rPr>
          <w:i/>
          <w:iCs/>
        </w:rPr>
        <w:t>Id.</w:t>
      </w:r>
      <w:r w:rsidR="002C0E0D">
        <w:t xml:space="preserve"> at 2.</w:t>
      </w:r>
      <w:r w:rsidR="00E610C8">
        <w:t xml:space="preserve"> </w:t>
      </w:r>
    </w:p>
  </w:footnote>
  <w:footnote w:id="7">
    <w:p w:rsidR="000010E0" w:rsidRPr="000010E0" w14:paraId="0B671C7F" w14:textId="75C7E61E">
      <w:pPr>
        <w:pStyle w:val="FootnoteText"/>
      </w:pPr>
      <w:r>
        <w:rPr>
          <w:rStyle w:val="FootnoteReference"/>
        </w:rPr>
        <w:footnoteRef/>
      </w:r>
      <w:r>
        <w:t xml:space="preserve"> </w:t>
      </w:r>
      <w:r>
        <w:rPr>
          <w:i/>
          <w:iCs/>
        </w:rPr>
        <w:t>Id</w:t>
      </w:r>
      <w:r>
        <w:t xml:space="preserve">. at </w:t>
      </w:r>
      <w:r w:rsidR="003F5B84">
        <w:t xml:space="preserve">1-2, </w:t>
      </w:r>
      <w:r w:rsidR="00114723">
        <w:t>5</w:t>
      </w:r>
      <w:r>
        <w:t>.</w:t>
      </w:r>
    </w:p>
  </w:footnote>
  <w:footnote w:id="8">
    <w:p w:rsidR="006372A5" w:rsidRPr="006372A5" w14:paraId="1CBDF758" w14:textId="11E9D9E8">
      <w:pPr>
        <w:pStyle w:val="FootnoteText"/>
      </w:pPr>
      <w:r>
        <w:rPr>
          <w:rStyle w:val="FootnoteReference"/>
        </w:rPr>
        <w:footnoteRef/>
      </w:r>
      <w:r>
        <w:t xml:space="preserve"> </w:t>
      </w:r>
      <w:r>
        <w:rPr>
          <w:i/>
          <w:iCs/>
        </w:rPr>
        <w:t>Id</w:t>
      </w:r>
      <w:r>
        <w:t>. at 5.</w:t>
      </w:r>
    </w:p>
  </w:footnote>
  <w:footnote w:id="9">
    <w:p w:rsidR="006372A5" w:rsidRPr="00140251" w:rsidP="006372A5" w14:paraId="47198F2E" w14:textId="6B0F08B1">
      <w:pPr>
        <w:pStyle w:val="FootnoteText"/>
      </w:pPr>
      <w:r>
        <w:rPr>
          <w:rStyle w:val="FootnoteReference"/>
        </w:rPr>
        <w:footnoteRef/>
      </w:r>
      <w:r>
        <w:t xml:space="preserve"> </w:t>
      </w:r>
      <w:r>
        <w:rPr>
          <w:i/>
          <w:iCs/>
        </w:rPr>
        <w:t>Id</w:t>
      </w:r>
      <w:r>
        <w:t>.</w:t>
      </w:r>
    </w:p>
  </w:footnote>
  <w:footnote w:id="10">
    <w:p w:rsidR="00172423" w:rsidRPr="00172423" w14:paraId="165D4996" w14:textId="40A187CD">
      <w:pPr>
        <w:pStyle w:val="FootnoteText"/>
      </w:pPr>
      <w:r>
        <w:rPr>
          <w:rStyle w:val="FootnoteReference"/>
        </w:rPr>
        <w:footnoteRef/>
      </w:r>
      <w:r>
        <w:t xml:space="preserve"> </w:t>
      </w:r>
      <w:r>
        <w:rPr>
          <w:i/>
          <w:iCs/>
        </w:rPr>
        <w:t>Id</w:t>
      </w:r>
      <w:r>
        <w:t>. at 2</w:t>
      </w:r>
      <w:r w:rsidR="00114723">
        <w:t>-</w:t>
      </w:r>
      <w:r>
        <w:t>4, Attach. 1-A.</w:t>
      </w:r>
    </w:p>
  </w:footnote>
  <w:footnote w:id="11">
    <w:p w:rsidR="00A745C7" w:rsidRPr="00A745C7" w14:paraId="39EA6EAA" w14:textId="1D784F86">
      <w:pPr>
        <w:pStyle w:val="FootnoteText"/>
      </w:pPr>
      <w:r>
        <w:rPr>
          <w:rStyle w:val="FootnoteReference"/>
        </w:rPr>
        <w:footnoteRef/>
      </w:r>
      <w:r>
        <w:t xml:space="preserve"> </w:t>
      </w:r>
      <w:r>
        <w:rPr>
          <w:i/>
          <w:iCs/>
        </w:rPr>
        <w:t>Id</w:t>
      </w:r>
      <w:r>
        <w:t xml:space="preserve">. at 4. </w:t>
      </w:r>
    </w:p>
  </w:footnote>
  <w:footnote w:id="12">
    <w:p w:rsidR="00BD6499" w:rsidRPr="00BD6499" w14:paraId="79BD6AE9" w14:textId="7CD771FA">
      <w:pPr>
        <w:pStyle w:val="FootnoteText"/>
      </w:pPr>
      <w:r>
        <w:rPr>
          <w:rStyle w:val="FootnoteReference"/>
        </w:rPr>
        <w:footnoteRef/>
      </w:r>
      <w:r>
        <w:t xml:space="preserve"> </w:t>
      </w:r>
      <w:r>
        <w:rPr>
          <w:i/>
          <w:iCs/>
        </w:rPr>
        <w:t>Id</w:t>
      </w:r>
      <w:r>
        <w:t xml:space="preserve">. </w:t>
      </w:r>
    </w:p>
  </w:footnote>
  <w:footnote w:id="13">
    <w:p w:rsidR="008A3590" w:rsidRPr="004C4F8B" w:rsidP="008A3590" w14:paraId="21AE24BE" w14:textId="77777777">
      <w:pPr>
        <w:pStyle w:val="FootnoteText"/>
      </w:pPr>
      <w:r>
        <w:rPr>
          <w:rStyle w:val="FootnoteReference"/>
        </w:rPr>
        <w:footnoteRef/>
      </w:r>
      <w:r>
        <w:t xml:space="preserve"> </w:t>
      </w:r>
      <w:r>
        <w:rPr>
          <w:i/>
          <w:iCs/>
        </w:rPr>
        <w:t>Id</w:t>
      </w:r>
      <w:r>
        <w:t>. at 4-5.</w:t>
      </w:r>
    </w:p>
  </w:footnote>
  <w:footnote w:id="14">
    <w:p w:rsidR="007F5B75" w14:paraId="65CA6949" w14:textId="69A83EE1">
      <w:pPr>
        <w:pStyle w:val="FootnoteText"/>
      </w:pPr>
      <w:r>
        <w:rPr>
          <w:rStyle w:val="FootnoteReference"/>
        </w:rPr>
        <w:footnoteRef/>
      </w:r>
      <w:r>
        <w:t xml:space="preserve"> </w:t>
      </w:r>
      <w:r w:rsidRPr="00A34085">
        <w:rPr>
          <w:i/>
          <w:iCs/>
        </w:rPr>
        <w:t>Id.</w:t>
      </w:r>
      <w:r>
        <w:t xml:space="preserve"> at 5</w:t>
      </w:r>
      <w:r w:rsidR="00A34085">
        <w:t>.</w:t>
      </w:r>
    </w:p>
  </w:footnote>
  <w:footnote w:id="15">
    <w:p w:rsidR="00F145B4" w14:paraId="0D8CD4AF" w14:textId="6F8331B1">
      <w:pPr>
        <w:pStyle w:val="FootnoteText"/>
      </w:pPr>
      <w:r>
        <w:rPr>
          <w:rStyle w:val="FootnoteReference"/>
        </w:rPr>
        <w:footnoteRef/>
      </w:r>
      <w:r>
        <w:t xml:space="preserve"> </w:t>
      </w:r>
      <w:r w:rsidR="00A745C7">
        <w:rPr>
          <w:i/>
          <w:iCs/>
        </w:rPr>
        <w:t>Id</w:t>
      </w:r>
      <w:r w:rsidR="00A745C7">
        <w:t xml:space="preserve">. </w:t>
      </w:r>
      <w:r w:rsidR="0056296B">
        <w:t xml:space="preserve">at 7. </w:t>
      </w:r>
    </w:p>
  </w:footnote>
  <w:footnote w:id="16">
    <w:p w:rsidR="008704DF" w:rsidRPr="008704DF" w14:paraId="038492BE" w14:textId="22584F68">
      <w:pPr>
        <w:pStyle w:val="FootnoteText"/>
      </w:pPr>
      <w:r>
        <w:rPr>
          <w:rStyle w:val="FootnoteReference"/>
        </w:rPr>
        <w:footnoteRef/>
      </w:r>
      <w:r>
        <w:t xml:space="preserve"> </w:t>
      </w:r>
      <w:r>
        <w:rPr>
          <w:i/>
          <w:iCs/>
        </w:rPr>
        <w:t>Id</w:t>
      </w:r>
      <w:r>
        <w:t xml:space="preserve">. </w:t>
      </w:r>
    </w:p>
  </w:footnote>
  <w:footnote w:id="17">
    <w:p w:rsidR="00751F36" w:rsidRPr="00751F36" w14:paraId="5009023D" w14:textId="40B63555">
      <w:pPr>
        <w:pStyle w:val="FootnoteText"/>
      </w:pPr>
      <w:r>
        <w:rPr>
          <w:rStyle w:val="FootnoteReference"/>
        </w:rPr>
        <w:footnoteRef/>
      </w:r>
      <w:r>
        <w:t xml:space="preserve"> </w:t>
      </w:r>
      <w:r>
        <w:rPr>
          <w:i/>
          <w:iCs/>
        </w:rPr>
        <w:t>Id</w:t>
      </w:r>
      <w:r>
        <w:t xml:space="preserve">. </w:t>
      </w:r>
      <w:r w:rsidR="004C4F8B">
        <w:t>at 5, 7.</w:t>
      </w:r>
    </w:p>
  </w:footnote>
  <w:footnote w:id="18">
    <w:p w:rsidR="006843BE" w:rsidRPr="00AC29BA" w:rsidP="006843BE" w14:paraId="55EA2A38" w14:textId="77777777">
      <w:pPr>
        <w:spacing w:after="120"/>
        <w:textAlignment w:val="baseline"/>
        <w:rPr>
          <w:sz w:val="20"/>
        </w:rPr>
      </w:pPr>
      <w:r w:rsidRPr="00355BC1">
        <w:rPr>
          <w:rStyle w:val="FootnoteReference"/>
          <w:sz w:val="20"/>
        </w:rPr>
        <w:footnoteRef/>
      </w:r>
      <w:r w:rsidRPr="00355BC1">
        <w:rPr>
          <w:sz w:val="20"/>
        </w:rPr>
        <w:t xml:space="preserve"> </w:t>
      </w:r>
      <w:r w:rsidRPr="00355BC1">
        <w:rPr>
          <w:color w:val="020100"/>
          <w:sz w:val="20"/>
        </w:rPr>
        <w:t xml:space="preserve">47 CFR </w:t>
      </w:r>
      <w:bookmarkStart w:id="5" w:name="_Hlk147400828"/>
      <w:r w:rsidRPr="00355BC1">
        <w:rPr>
          <w:color w:val="020100"/>
          <w:sz w:val="20"/>
        </w:rPr>
        <w:t>§</w:t>
      </w:r>
      <w:bookmarkEnd w:id="5"/>
      <w:r w:rsidRPr="00355BC1">
        <w:rPr>
          <w:color w:val="020100"/>
          <w:sz w:val="20"/>
        </w:rPr>
        <w:t xml:space="preserve"> 63.03(</w:t>
      </w:r>
      <w:r>
        <w:rPr>
          <w:color w:val="020100"/>
          <w:sz w:val="20"/>
        </w:rPr>
        <w:t>c</w:t>
      </w:r>
      <w:r w:rsidRPr="00355BC1">
        <w:rPr>
          <w:color w:val="020100"/>
          <w:sz w:val="20"/>
        </w:rPr>
        <w:t>)(</w:t>
      </w:r>
      <w:r>
        <w:rPr>
          <w:color w:val="020100"/>
          <w:sz w:val="20"/>
        </w:rPr>
        <w:t>1</w:t>
      </w:r>
      <w:r w:rsidRPr="00355BC1">
        <w:rPr>
          <w:color w:val="020100"/>
          <w:sz w:val="20"/>
        </w:rPr>
        <w:t>)(</w:t>
      </w:r>
      <w:r>
        <w:rPr>
          <w:color w:val="020100"/>
          <w:sz w:val="20"/>
        </w:rPr>
        <w:t>v</w:t>
      </w:r>
      <w:r w:rsidRPr="00355BC1">
        <w:rPr>
          <w:color w:val="020100"/>
          <w:sz w:val="20"/>
        </w:rPr>
        <w:t>).</w:t>
      </w:r>
    </w:p>
  </w:footnote>
  <w:footnote w:id="19">
    <w:p w:rsidR="0030451B" w:rsidRPr="00906160" w:rsidP="0030451B" w14:paraId="509EA5D2" w14:textId="77777777">
      <w:pPr>
        <w:widowControl/>
        <w:autoSpaceDE w:val="0"/>
        <w:autoSpaceDN w:val="0"/>
        <w:adjustRightInd w:val="0"/>
        <w:spacing w:after="120"/>
        <w:rPr>
          <w:rFonts w:ascii="TimesNewRomanPSMT" w:hAnsi="TimesNewRomanPSMT" w:cs="TimesNewRomanPSMT"/>
        </w:rPr>
      </w:pPr>
      <w:r>
        <w:rPr>
          <w:rStyle w:val="FootnoteReference"/>
        </w:rPr>
        <w:footnoteRef/>
      </w:r>
      <w:r>
        <w:t xml:space="preserve"> </w:t>
      </w:r>
      <w:r>
        <w:rPr>
          <w:rFonts w:ascii="TimesNewRomanPSMT" w:hAnsi="TimesNewRomanPSMT" w:cs="TimesNewRomanPSMT"/>
          <w:sz w:val="20"/>
        </w:rPr>
        <w:t>S</w:t>
      </w:r>
      <w:r>
        <w:rPr>
          <w:rFonts w:ascii="TimesNewRomanPS-ItalicMT" w:hAnsi="TimesNewRomanPS-ItalicMT" w:cs="TimesNewRomanPS-ItalicMT"/>
          <w:i/>
          <w:iCs/>
          <w:snapToGrid/>
          <w:kern w:val="0"/>
          <w:sz w:val="20"/>
        </w:rPr>
        <w:t>ee Process Reform for Executive Branch Review of Certain FCC Applications and Petitions Involving Foreign</w:t>
      </w:r>
      <w:r>
        <w:rPr>
          <w:rFonts w:ascii="TimesNewRomanPS-ItalicMT" w:hAnsi="TimesNewRomanPS-ItalicMT" w:cs="TimesNewRomanPS-ItalicMT"/>
          <w:i/>
          <w:iCs/>
        </w:rPr>
        <w:t xml:space="preserve"> </w:t>
      </w:r>
      <w:r>
        <w:rPr>
          <w:rFonts w:ascii="TimesNewRomanPS-ItalicMT" w:hAnsi="TimesNewRomanPS-ItalicMT" w:cs="TimesNewRomanPS-ItalicMT"/>
          <w:i/>
          <w:iCs/>
          <w:snapToGrid/>
          <w:kern w:val="0"/>
          <w:sz w:val="20"/>
        </w:rPr>
        <w:t>Ownership</w:t>
      </w:r>
      <w:r>
        <w:rPr>
          <w:rFonts w:ascii="TimesNewRomanPSMT" w:hAnsi="TimesNewRomanPSMT" w:cs="TimesNewRomanPSMT"/>
          <w:snapToGrid/>
          <w:kern w:val="0"/>
          <w:sz w:val="20"/>
        </w:rPr>
        <w:t xml:space="preserve">, IB Docket 16-155, Report and Order, 35 FCC </w:t>
      </w:r>
      <w:r>
        <w:rPr>
          <w:rFonts w:ascii="TimesNewRomanPSMT" w:hAnsi="TimesNewRomanPSMT" w:cs="TimesNewRomanPSMT"/>
          <w:snapToGrid/>
          <w:kern w:val="0"/>
          <w:sz w:val="20"/>
        </w:rPr>
        <w:t>Rcd</w:t>
      </w:r>
      <w:r>
        <w:rPr>
          <w:rFonts w:ascii="TimesNewRomanPSMT" w:hAnsi="TimesNewRomanPSMT" w:cs="TimesNewRomanPSMT"/>
          <w:snapToGrid/>
          <w:kern w:val="0"/>
          <w:sz w:val="20"/>
        </w:rPr>
        <w:t xml:space="preserve"> 10927, 10935-36, paras. 24-25 (2020) (</w:t>
      </w:r>
      <w:r>
        <w:rPr>
          <w:rFonts w:ascii="TimesNewRomanPS-ItalicMT" w:hAnsi="TimesNewRomanPS-ItalicMT" w:cs="TimesNewRomanPS-ItalicMT"/>
          <w:i/>
          <w:iCs/>
          <w:snapToGrid/>
          <w:kern w:val="0"/>
          <w:sz w:val="20"/>
        </w:rPr>
        <w:t xml:space="preserve">Executive </w:t>
      </w:r>
      <w:r w:rsidRPr="00CA0EDB">
        <w:rPr>
          <w:rFonts w:ascii="TimesNewRomanPS-ItalicMT" w:hAnsi="TimesNewRomanPS-ItalicMT" w:cs="TimesNewRomanPS-ItalicMT"/>
          <w:i/>
          <w:snapToGrid/>
          <w:kern w:val="0"/>
          <w:sz w:val="20"/>
        </w:rPr>
        <w:t>Branch Review Process Order</w:t>
      </w:r>
      <w:r>
        <w:rPr>
          <w:rFonts w:ascii="TimesNewRomanPSMT" w:hAnsi="TimesNewRomanPSMT" w:cs="TimesNewRomanPSMT"/>
        </w:rPr>
        <w:t xml:space="preserve">). </w:t>
      </w:r>
    </w:p>
  </w:footnote>
  <w:footnote w:id="20">
    <w:p w:rsidR="0030451B" w:rsidP="0030451B" w14:paraId="714C3FD4" w14:textId="3735B8D0">
      <w:pPr>
        <w:pStyle w:val="FootnoteText"/>
      </w:pPr>
      <w:r>
        <w:rPr>
          <w:rStyle w:val="FootnoteReference"/>
        </w:rPr>
        <w:footnoteRef/>
      </w:r>
      <w:r>
        <w:t xml:space="preserve"> </w:t>
      </w:r>
      <w:r w:rsidR="008702DE">
        <w:t xml:space="preserve">Restated </w:t>
      </w:r>
      <w:r>
        <w:t xml:space="preserve">Application at </w:t>
      </w:r>
      <w:r w:rsidR="00610067">
        <w:t>6-7</w:t>
      </w:r>
      <w:r>
        <w:t>.</w:t>
      </w:r>
    </w:p>
  </w:footnote>
  <w:footnote w:id="21">
    <w:p w:rsidR="007C0C33" w:rsidRPr="005D6116" w:rsidP="007C0C33" w14:paraId="28534438" w14:textId="77777777">
      <w:pPr>
        <w:pStyle w:val="FootnoteText"/>
      </w:pPr>
      <w:r w:rsidRPr="005D6116">
        <w:rPr>
          <w:rStyle w:val="FootnoteReference"/>
          <w:sz w:val="20"/>
        </w:rPr>
        <w:footnoteRef/>
      </w:r>
      <w:r w:rsidRPr="005D6116">
        <w:t xml:space="preserve"> </w:t>
      </w:r>
      <w:r w:rsidRPr="005D6116">
        <w:rPr>
          <w:i/>
        </w:rPr>
        <w:t>See</w:t>
      </w:r>
      <w:r w:rsidRPr="005D6116">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B62D0B9" w14:textId="18FCCFF4">
    <w:pPr>
      <w:tabs>
        <w:tab w:val="center" w:pos="4680"/>
        <w:tab w:val="right" w:pos="9360"/>
      </w:tabs>
    </w:pPr>
    <w:r>
      <w:rPr>
        <w:b/>
      </w:rPr>
      <w:tab/>
      <w:t>Federal Communications Commission</w:t>
    </w:r>
    <w:r>
      <w:rPr>
        <w:b/>
      </w:rPr>
      <w:tab/>
    </w:r>
    <w:r w:rsidR="007C0C33">
      <w:rPr>
        <w:b/>
      </w:rPr>
      <w:t>DA 25-</w:t>
    </w:r>
    <w:r w:rsidR="00C775C5">
      <w:rPr>
        <w:b/>
      </w:rPr>
      <w:t>1016</w:t>
    </w:r>
  </w:p>
  <w:p w:rsidR="00BA3BA8" w14:paraId="78EE2AFC" w14:textId="7F216220">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3F4075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304158B" w14:textId="0AC613BE">
    <w:pPr>
      <w:pStyle w:val="Header"/>
    </w:pPr>
    <w:r>
      <w:rPr>
        <w:noProof/>
      </w:rPr>
      <w:drawing>
        <wp:inline distT="0" distB="0" distL="0" distR="0">
          <wp:extent cx="5955665" cy="1431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5665" cy="1431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790B01"/>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037226">
    <w:abstractNumId w:val="2"/>
  </w:num>
  <w:num w:numId="2" w16cid:durableId="703672549">
    <w:abstractNumId w:val="7"/>
  </w:num>
  <w:num w:numId="3" w16cid:durableId="1852376562">
    <w:abstractNumId w:val="4"/>
  </w:num>
  <w:num w:numId="4" w16cid:durableId="1419517837">
    <w:abstractNumId w:val="6"/>
  </w:num>
  <w:num w:numId="5" w16cid:durableId="386031599">
    <w:abstractNumId w:val="3"/>
  </w:num>
  <w:num w:numId="6" w16cid:durableId="294142068">
    <w:abstractNumId w:val="0"/>
  </w:num>
  <w:num w:numId="7" w16cid:durableId="2096245613">
    <w:abstractNumId w:val="8"/>
  </w:num>
  <w:num w:numId="8" w16cid:durableId="823476080">
    <w:abstractNumId w:val="1"/>
  </w:num>
  <w:num w:numId="9" w16cid:durableId="1831603079">
    <w:abstractNumId w:val="9"/>
  </w:num>
  <w:num w:numId="10" w16cid:durableId="174675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E2"/>
    <w:rsid w:val="000010E0"/>
    <w:rsid w:val="00001765"/>
    <w:rsid w:val="00001A0A"/>
    <w:rsid w:val="00006799"/>
    <w:rsid w:val="0001596E"/>
    <w:rsid w:val="00023436"/>
    <w:rsid w:val="000332FC"/>
    <w:rsid w:val="0003386F"/>
    <w:rsid w:val="00036FF2"/>
    <w:rsid w:val="00043102"/>
    <w:rsid w:val="00062D4F"/>
    <w:rsid w:val="00094C8B"/>
    <w:rsid w:val="00101917"/>
    <w:rsid w:val="00113A8C"/>
    <w:rsid w:val="00114723"/>
    <w:rsid w:val="00126B13"/>
    <w:rsid w:val="00140251"/>
    <w:rsid w:val="00160019"/>
    <w:rsid w:val="00172423"/>
    <w:rsid w:val="001830F6"/>
    <w:rsid w:val="001851FB"/>
    <w:rsid w:val="00193385"/>
    <w:rsid w:val="001A24F7"/>
    <w:rsid w:val="001A7E98"/>
    <w:rsid w:val="001B0351"/>
    <w:rsid w:val="001C7911"/>
    <w:rsid w:val="001C7BD0"/>
    <w:rsid w:val="001F29BD"/>
    <w:rsid w:val="00212648"/>
    <w:rsid w:val="0021368C"/>
    <w:rsid w:val="00234D9C"/>
    <w:rsid w:val="00237378"/>
    <w:rsid w:val="00286630"/>
    <w:rsid w:val="00290EBC"/>
    <w:rsid w:val="002C0E0D"/>
    <w:rsid w:val="002F54A5"/>
    <w:rsid w:val="0030451B"/>
    <w:rsid w:val="0030466C"/>
    <w:rsid w:val="00317D35"/>
    <w:rsid w:val="00337150"/>
    <w:rsid w:val="00340628"/>
    <w:rsid w:val="00344A7B"/>
    <w:rsid w:val="00355BC1"/>
    <w:rsid w:val="003729A5"/>
    <w:rsid w:val="003909E1"/>
    <w:rsid w:val="003929A4"/>
    <w:rsid w:val="003F5B84"/>
    <w:rsid w:val="00430183"/>
    <w:rsid w:val="00442F0C"/>
    <w:rsid w:val="00470274"/>
    <w:rsid w:val="004A30BB"/>
    <w:rsid w:val="004C4F8B"/>
    <w:rsid w:val="004D5D8F"/>
    <w:rsid w:val="004E1D5F"/>
    <w:rsid w:val="00507ADB"/>
    <w:rsid w:val="0056296B"/>
    <w:rsid w:val="00571E87"/>
    <w:rsid w:val="0057337F"/>
    <w:rsid w:val="00573C7C"/>
    <w:rsid w:val="0059645D"/>
    <w:rsid w:val="005D6116"/>
    <w:rsid w:val="005E0BF2"/>
    <w:rsid w:val="005F5882"/>
    <w:rsid w:val="00610067"/>
    <w:rsid w:val="00611D36"/>
    <w:rsid w:val="00626A6E"/>
    <w:rsid w:val="006372A5"/>
    <w:rsid w:val="00672FD3"/>
    <w:rsid w:val="00674983"/>
    <w:rsid w:val="00677A8A"/>
    <w:rsid w:val="006843BE"/>
    <w:rsid w:val="006B2A56"/>
    <w:rsid w:val="006E2604"/>
    <w:rsid w:val="00751F36"/>
    <w:rsid w:val="00774884"/>
    <w:rsid w:val="00791944"/>
    <w:rsid w:val="007C0C33"/>
    <w:rsid w:val="007C5390"/>
    <w:rsid w:val="007D0085"/>
    <w:rsid w:val="007D5AA3"/>
    <w:rsid w:val="007E6F8F"/>
    <w:rsid w:val="007F5B75"/>
    <w:rsid w:val="00855B78"/>
    <w:rsid w:val="00856174"/>
    <w:rsid w:val="00857452"/>
    <w:rsid w:val="008602A3"/>
    <w:rsid w:val="008702DE"/>
    <w:rsid w:val="008704DF"/>
    <w:rsid w:val="0087519C"/>
    <w:rsid w:val="008950D6"/>
    <w:rsid w:val="008A3590"/>
    <w:rsid w:val="008C1929"/>
    <w:rsid w:val="008C47D0"/>
    <w:rsid w:val="00906160"/>
    <w:rsid w:val="00911A9C"/>
    <w:rsid w:val="00917395"/>
    <w:rsid w:val="00947EFA"/>
    <w:rsid w:val="00951B15"/>
    <w:rsid w:val="00977597"/>
    <w:rsid w:val="00990574"/>
    <w:rsid w:val="00994F07"/>
    <w:rsid w:val="00A05572"/>
    <w:rsid w:val="00A20679"/>
    <w:rsid w:val="00A3148B"/>
    <w:rsid w:val="00A34085"/>
    <w:rsid w:val="00A52E66"/>
    <w:rsid w:val="00A7276E"/>
    <w:rsid w:val="00A745C7"/>
    <w:rsid w:val="00AC29BA"/>
    <w:rsid w:val="00AD440B"/>
    <w:rsid w:val="00AE665D"/>
    <w:rsid w:val="00B947F5"/>
    <w:rsid w:val="00BA3BA8"/>
    <w:rsid w:val="00BB061F"/>
    <w:rsid w:val="00BC097C"/>
    <w:rsid w:val="00BC21E0"/>
    <w:rsid w:val="00BD06DD"/>
    <w:rsid w:val="00BD296A"/>
    <w:rsid w:val="00BD6499"/>
    <w:rsid w:val="00BE25FC"/>
    <w:rsid w:val="00BF3C5E"/>
    <w:rsid w:val="00BF3D4C"/>
    <w:rsid w:val="00BF72D9"/>
    <w:rsid w:val="00C042AB"/>
    <w:rsid w:val="00C37643"/>
    <w:rsid w:val="00C775C5"/>
    <w:rsid w:val="00CA0EDB"/>
    <w:rsid w:val="00CB0756"/>
    <w:rsid w:val="00CE5555"/>
    <w:rsid w:val="00D3219A"/>
    <w:rsid w:val="00D519D0"/>
    <w:rsid w:val="00D5710D"/>
    <w:rsid w:val="00D65950"/>
    <w:rsid w:val="00D929A5"/>
    <w:rsid w:val="00DB3CBC"/>
    <w:rsid w:val="00DC4504"/>
    <w:rsid w:val="00DE2A1D"/>
    <w:rsid w:val="00E406DB"/>
    <w:rsid w:val="00E536ED"/>
    <w:rsid w:val="00E610C8"/>
    <w:rsid w:val="00EA38D0"/>
    <w:rsid w:val="00EE0FA0"/>
    <w:rsid w:val="00EF466B"/>
    <w:rsid w:val="00F03EA1"/>
    <w:rsid w:val="00F053E0"/>
    <w:rsid w:val="00F11622"/>
    <w:rsid w:val="00F145B4"/>
    <w:rsid w:val="00F203FB"/>
    <w:rsid w:val="00F677FB"/>
    <w:rsid w:val="00F723A8"/>
    <w:rsid w:val="00F77CB7"/>
    <w:rsid w:val="00F90CD0"/>
    <w:rsid w:val="00F95031"/>
    <w:rsid w:val="00FA6076"/>
    <w:rsid w:val="00FB5B37"/>
    <w:rsid w:val="00FC1288"/>
    <w:rsid w:val="00FC26F1"/>
    <w:rsid w:val="00FD7EE2"/>
    <w:rsid w:val="00FE32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99F32C"/>
  <w15:chartTrackingRefBased/>
  <w15:docId w15:val="{4E3BB9DE-A293-4798-A030-837ED72A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FD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im.bird@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gregory.kwan@fcc.gov" TargetMode="External" /><Relationship Id="rId9" Type="http://schemas.openxmlformats.org/officeDocument/2006/relationships/hyperlink" Target="mailto:david.krech@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