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1121D945" w14:textId="77777777">
      <w:pPr>
        <w:jc w:val="right"/>
        <w:rPr>
          <w:sz w:val="24"/>
        </w:rPr>
      </w:pPr>
    </w:p>
    <w:p w:rsidR="00BA3BA8" w14:paraId="34015D79" w14:textId="73F39F85">
      <w:pPr>
        <w:jc w:val="right"/>
        <w:rPr>
          <w:b/>
          <w:sz w:val="24"/>
        </w:rPr>
      </w:pPr>
      <w:r>
        <w:rPr>
          <w:b/>
          <w:sz w:val="24"/>
        </w:rPr>
        <w:t xml:space="preserve">DA </w:t>
      </w:r>
      <w:r w:rsidRPr="008D35D1" w:rsidR="008D35D1">
        <w:rPr>
          <w:b/>
          <w:sz w:val="24"/>
        </w:rPr>
        <w:t>2</w:t>
      </w:r>
      <w:r w:rsidR="005431C5">
        <w:rPr>
          <w:b/>
          <w:sz w:val="24"/>
        </w:rPr>
        <w:t>5</w:t>
      </w:r>
      <w:r w:rsidR="00A85709">
        <w:rPr>
          <w:b/>
          <w:sz w:val="24"/>
        </w:rPr>
        <w:t>-1031</w:t>
      </w:r>
    </w:p>
    <w:p w:rsidR="00BA3BA8" w14:paraId="336BBF2D" w14:textId="1E4271F1">
      <w:pPr>
        <w:spacing w:before="60"/>
        <w:jc w:val="right"/>
        <w:rPr>
          <w:b/>
          <w:sz w:val="24"/>
        </w:rPr>
      </w:pPr>
      <w:r>
        <w:rPr>
          <w:b/>
          <w:sz w:val="24"/>
        </w:rPr>
        <w:t xml:space="preserve">Released:  </w:t>
      </w:r>
      <w:r w:rsidR="001D11D2">
        <w:rPr>
          <w:b/>
          <w:sz w:val="24"/>
        </w:rPr>
        <w:t>December</w:t>
      </w:r>
      <w:r w:rsidR="00566088">
        <w:rPr>
          <w:b/>
          <w:sz w:val="24"/>
        </w:rPr>
        <w:t xml:space="preserve"> </w:t>
      </w:r>
      <w:r w:rsidR="00A85709">
        <w:rPr>
          <w:b/>
          <w:sz w:val="24"/>
        </w:rPr>
        <w:t>8</w:t>
      </w:r>
      <w:r w:rsidR="00566088">
        <w:rPr>
          <w:b/>
          <w:sz w:val="24"/>
        </w:rPr>
        <w:t>, 202</w:t>
      </w:r>
      <w:r w:rsidR="005431C5">
        <w:rPr>
          <w:b/>
          <w:sz w:val="24"/>
        </w:rPr>
        <w:t>5</w:t>
      </w:r>
    </w:p>
    <w:p w:rsidR="00BA3BA8" w14:paraId="4792017B" w14:textId="77777777">
      <w:pPr>
        <w:jc w:val="right"/>
        <w:rPr>
          <w:sz w:val="24"/>
        </w:rPr>
      </w:pPr>
    </w:p>
    <w:p w:rsidR="00566088" w:rsidRPr="00C20D28" w:rsidP="00566088" w14:paraId="52CCFE39" w14:textId="77777777">
      <w:pPr>
        <w:spacing w:after="240"/>
        <w:jc w:val="center"/>
        <w:rPr>
          <w:b/>
          <w:caps/>
          <w:sz w:val="24"/>
          <w:szCs w:val="24"/>
        </w:rPr>
      </w:pPr>
      <w:r w:rsidRPr="00C20D28">
        <w:rPr>
          <w:b/>
          <w:caps/>
          <w:sz w:val="24"/>
          <w:szCs w:val="24"/>
        </w:rPr>
        <w:t>The WIRELESS TELECOMMUNICATIONS BUREAU REMINDS WIRELESS SERVICE PROVIDERS OF THE UPCOMING DEADLINE TO FILE FCC FORM 855 CERTIFICATIONs</w:t>
      </w:r>
    </w:p>
    <w:p w:rsidR="00566088" w:rsidRPr="000C0498" w:rsidP="00566088" w14:paraId="619C8661" w14:textId="77777777">
      <w:pPr>
        <w:spacing w:after="240"/>
        <w:jc w:val="center"/>
        <w:rPr>
          <w:b/>
          <w:sz w:val="24"/>
          <w:szCs w:val="24"/>
        </w:rPr>
      </w:pPr>
      <w:bookmarkStart w:id="0" w:name="TOChere"/>
      <w:r w:rsidRPr="000C0498">
        <w:rPr>
          <w:b/>
          <w:sz w:val="24"/>
          <w:szCs w:val="24"/>
        </w:rPr>
        <w:t>WT Docket No. 23-388</w:t>
      </w:r>
    </w:p>
    <w:p w:rsidR="00566088" w:rsidRPr="00E62385" w:rsidP="00566088" w14:paraId="4FDF9D6E" w14:textId="678FA9F7">
      <w:pPr>
        <w:spacing w:after="120"/>
        <w:ind w:right="72" w:firstLine="720"/>
        <w:textAlignment w:val="baseline"/>
        <w:rPr>
          <w:color w:val="000000"/>
          <w:szCs w:val="22"/>
        </w:rPr>
      </w:pPr>
      <w:r w:rsidRPr="00E62385">
        <w:rPr>
          <w:szCs w:val="22"/>
        </w:rPr>
        <w:t xml:space="preserve">The Wireless Telecommunications Bureau (Bureau) reminds wireless service providers of the upcoming deadline to file FCC Form 855 certifications.  </w:t>
      </w:r>
      <w:r w:rsidR="00E772FE">
        <w:rPr>
          <w:szCs w:val="22"/>
        </w:rPr>
        <w:t xml:space="preserve">The upcoming </w:t>
      </w:r>
      <w:r w:rsidRPr="00E62385">
        <w:rPr>
          <w:color w:val="000000"/>
          <w:szCs w:val="22"/>
        </w:rPr>
        <w:t xml:space="preserve">FCC Form 855 certifications </w:t>
      </w:r>
      <w:r w:rsidR="00E772FE">
        <w:rPr>
          <w:color w:val="000000"/>
          <w:szCs w:val="22"/>
        </w:rPr>
        <w:t xml:space="preserve">will cover </w:t>
      </w:r>
      <w:r w:rsidRPr="00E62385">
        <w:rPr>
          <w:rFonts w:eastAsia="SimSun"/>
          <w:szCs w:val="22"/>
        </w:rPr>
        <w:t>the calendar year from January 1, 202</w:t>
      </w:r>
      <w:r w:rsidR="00E772FE">
        <w:rPr>
          <w:rFonts w:eastAsia="SimSun"/>
          <w:szCs w:val="22"/>
        </w:rPr>
        <w:t>5</w:t>
      </w:r>
      <w:r>
        <w:rPr>
          <w:rFonts w:eastAsia="SimSun"/>
          <w:szCs w:val="22"/>
        </w:rPr>
        <w:t>,</w:t>
      </w:r>
      <w:r w:rsidRPr="00E62385">
        <w:rPr>
          <w:rFonts w:eastAsia="SimSun"/>
          <w:szCs w:val="22"/>
        </w:rPr>
        <w:t xml:space="preserve"> through December 31, 202</w:t>
      </w:r>
      <w:r w:rsidR="00E772FE">
        <w:rPr>
          <w:rFonts w:eastAsia="SimSun"/>
          <w:szCs w:val="22"/>
        </w:rPr>
        <w:t>5</w:t>
      </w:r>
      <w:r w:rsidRPr="00E62385">
        <w:rPr>
          <w:rFonts w:eastAsia="SimSun"/>
          <w:szCs w:val="22"/>
        </w:rPr>
        <w:t xml:space="preserve">.  </w:t>
      </w:r>
      <w:bookmarkStart w:id="1" w:name="_Hlk166147659"/>
      <w:r w:rsidRPr="00E62385">
        <w:rPr>
          <w:color w:val="000000"/>
          <w:szCs w:val="22"/>
        </w:rPr>
        <w:t xml:space="preserve">The FCC Form 855 certification filing window will open on </w:t>
      </w:r>
      <w:r w:rsidR="00442433">
        <w:rPr>
          <w:color w:val="000000"/>
          <w:szCs w:val="22"/>
        </w:rPr>
        <w:t xml:space="preserve">Friday, </w:t>
      </w:r>
      <w:r w:rsidRPr="00E62385">
        <w:rPr>
          <w:color w:val="000000"/>
          <w:szCs w:val="22"/>
        </w:rPr>
        <w:t>January 2, 202</w:t>
      </w:r>
      <w:r w:rsidR="00BA5FDB">
        <w:rPr>
          <w:color w:val="000000"/>
          <w:szCs w:val="22"/>
        </w:rPr>
        <w:t>6</w:t>
      </w:r>
      <w:r w:rsidR="0072371B">
        <w:rPr>
          <w:color w:val="000000"/>
          <w:szCs w:val="22"/>
        </w:rPr>
        <w:t xml:space="preserve"> and </w:t>
      </w:r>
      <w:r w:rsidR="00BA5FDB">
        <w:rPr>
          <w:color w:val="000000"/>
          <w:szCs w:val="22"/>
        </w:rPr>
        <w:t xml:space="preserve">given that January 31, 2026 falls on a Saturday the filing window </w:t>
      </w:r>
      <w:r w:rsidR="0072371B">
        <w:rPr>
          <w:color w:val="000000"/>
          <w:szCs w:val="22"/>
        </w:rPr>
        <w:t xml:space="preserve">will close </w:t>
      </w:r>
      <w:r w:rsidR="00443232">
        <w:rPr>
          <w:color w:val="000000"/>
          <w:szCs w:val="22"/>
        </w:rPr>
        <w:t xml:space="preserve">on </w:t>
      </w:r>
      <w:r w:rsidR="00442433">
        <w:rPr>
          <w:color w:val="000000"/>
          <w:szCs w:val="22"/>
        </w:rPr>
        <w:t xml:space="preserve">Monday, </w:t>
      </w:r>
      <w:r w:rsidR="00443232">
        <w:rPr>
          <w:color w:val="000000"/>
          <w:szCs w:val="22"/>
        </w:rPr>
        <w:t>February 2, 2025</w:t>
      </w:r>
      <w:r w:rsidRPr="00E62385">
        <w:rPr>
          <w:color w:val="000000"/>
          <w:szCs w:val="22"/>
        </w:rPr>
        <w:t>.</w:t>
      </w:r>
      <w:bookmarkEnd w:id="1"/>
      <w:r>
        <w:rPr>
          <w:color w:val="000000"/>
          <w:szCs w:val="22"/>
        </w:rPr>
        <w:t xml:space="preserve">  </w:t>
      </w:r>
      <w:r w:rsidRPr="00054416">
        <w:rPr>
          <w:color w:val="000000"/>
          <w:spacing w:val="-1"/>
        </w:rPr>
        <w:t xml:space="preserve">The </w:t>
      </w:r>
      <w:r>
        <w:rPr>
          <w:color w:val="000000"/>
          <w:spacing w:val="-1"/>
        </w:rPr>
        <w:t>FCC Form 855 c</w:t>
      </w:r>
      <w:r w:rsidRPr="00054416">
        <w:rPr>
          <w:lang w:eastAsia="zh-CN"/>
        </w:rPr>
        <w:t>ertification</w:t>
      </w:r>
      <w:r w:rsidRPr="00054416">
        <w:rPr>
          <w:color w:val="000000"/>
          <w:spacing w:val="-1"/>
        </w:rPr>
        <w:t xml:space="preserve"> site can be accessed at </w:t>
      </w:r>
      <w:hyperlink r:id="rId6" w:history="1">
        <w:r w:rsidRPr="00054416">
          <w:rPr>
            <w:rStyle w:val="Hyperlink"/>
          </w:rPr>
          <w:t>https://www.fcc.gov/filing-hearing-aid-compatibility-reports-and-certifications</w:t>
        </w:r>
      </w:hyperlink>
      <w:r w:rsidRPr="00054416">
        <w:rPr>
          <w:color w:val="000000"/>
          <w:spacing w:val="-1"/>
        </w:rPr>
        <w:t>.</w:t>
      </w:r>
    </w:p>
    <w:p w:rsidR="00566088" w:rsidRPr="00E62385" w:rsidP="00566088" w14:paraId="50A75835" w14:textId="56F43F2B">
      <w:pPr>
        <w:spacing w:after="120"/>
        <w:ind w:right="72" w:firstLine="720"/>
        <w:textAlignment w:val="baseline"/>
        <w:rPr>
          <w:rFonts w:eastAsia="SimSun"/>
          <w:szCs w:val="22"/>
        </w:rPr>
      </w:pPr>
      <w:r w:rsidRPr="00E62385">
        <w:rPr>
          <w:szCs w:val="22"/>
        </w:rPr>
        <w:t xml:space="preserve">The Commission requires wireless service providers to file FCC Form 855 certifications to </w:t>
      </w:r>
      <w:r w:rsidRPr="00E62385">
        <w:rPr>
          <w:color w:val="000000"/>
          <w:szCs w:val="22"/>
        </w:rPr>
        <w:t>ensure compliance with the Commission’s wireless hearing aid compatibility rules.</w:t>
      </w:r>
      <w:r>
        <w:rPr>
          <w:rStyle w:val="FootnoteReference"/>
          <w:szCs w:val="22"/>
        </w:rPr>
        <w:footnoteReference w:id="3"/>
      </w:r>
      <w:r w:rsidRPr="00E62385">
        <w:rPr>
          <w:color w:val="000000"/>
          <w:szCs w:val="22"/>
        </w:rPr>
        <w:t xml:space="preserve">  Service providers who offer handset models for sale or use in the United States are required to annually file this form.  The Commission defines a wireless service provider as a provider of digital mobile service in the United States.</w:t>
      </w:r>
      <w:r>
        <w:rPr>
          <w:rStyle w:val="FootnoteReference"/>
          <w:szCs w:val="22"/>
        </w:rPr>
        <w:footnoteReference w:id="4"/>
      </w:r>
      <w:r w:rsidRPr="00E62385">
        <w:rPr>
          <w:color w:val="000000"/>
          <w:szCs w:val="22"/>
        </w:rPr>
        <w:t xml:space="preserve">  This definition includes mobile virtual network operators (MVNOs) and wireless resellers.</w:t>
      </w:r>
    </w:p>
    <w:p w:rsidR="00566088" w:rsidRPr="00326ED2" w:rsidP="00566088" w14:paraId="3EEFBB87" w14:textId="4DA6F497">
      <w:pPr>
        <w:spacing w:after="120"/>
        <w:ind w:firstLine="720"/>
        <w:rPr>
          <w:color w:val="000000"/>
        </w:rPr>
      </w:pPr>
      <w:r w:rsidRPr="00E62385">
        <w:rPr>
          <w:szCs w:val="22"/>
        </w:rPr>
        <w:t xml:space="preserve">The Bureau reminds service providers that unless they qualify for one of the </w:t>
      </w:r>
      <w:r w:rsidRPr="00E62385">
        <w:rPr>
          <w:i/>
          <w:iCs/>
          <w:szCs w:val="22"/>
        </w:rPr>
        <w:t>de minimis</w:t>
      </w:r>
      <w:r w:rsidRPr="00E62385">
        <w:rPr>
          <w:szCs w:val="22"/>
        </w:rPr>
        <w:t xml:space="preserve"> exceptions</w:t>
      </w:r>
      <w:r>
        <w:rPr>
          <w:szCs w:val="22"/>
        </w:rPr>
        <w:t>,</w:t>
      </w:r>
      <w:r>
        <w:rPr>
          <w:rStyle w:val="FootnoteReference"/>
          <w:szCs w:val="22"/>
        </w:rPr>
        <w:footnoteReference w:id="5"/>
      </w:r>
      <w:r w:rsidRPr="00E62385">
        <w:rPr>
          <w:szCs w:val="22"/>
        </w:rPr>
        <w:t xml:space="preserve"> the current </w:t>
      </w:r>
      <w:r>
        <w:rPr>
          <w:szCs w:val="22"/>
        </w:rPr>
        <w:t xml:space="preserve">hearing aid compatibility </w:t>
      </w:r>
      <w:r w:rsidRPr="00E62385">
        <w:rPr>
          <w:szCs w:val="22"/>
        </w:rPr>
        <w:t>handset model deployment benchmark is 85%.</w:t>
      </w:r>
      <w:r>
        <w:rPr>
          <w:rStyle w:val="FootnoteReference"/>
          <w:szCs w:val="22"/>
        </w:rPr>
        <w:footnoteReference w:id="6"/>
      </w:r>
      <w:r w:rsidRPr="00E62385">
        <w:rPr>
          <w:color w:val="000000"/>
        </w:rPr>
        <w:t xml:space="preserve">  </w:t>
      </w:r>
      <w:r>
        <w:rPr>
          <w:color w:val="000000"/>
        </w:rPr>
        <w:t>This benchmark applies to both nationwide and non-nationwide service providers.</w:t>
      </w:r>
      <w:r>
        <w:rPr>
          <w:rStyle w:val="FootnoteReference"/>
        </w:rPr>
        <w:footnoteReference w:id="7"/>
      </w:r>
      <w:r>
        <w:rPr>
          <w:color w:val="000000"/>
        </w:rPr>
        <w:t xml:space="preserve">  </w:t>
      </w:r>
      <w:r w:rsidRPr="00E62385">
        <w:rPr>
          <w:color w:val="000000"/>
        </w:rPr>
        <w:t xml:space="preserve">A service provider can derive this percentage by dividing the number of hearing aid-compatible handset models </w:t>
      </w:r>
      <w:r>
        <w:rPr>
          <w:color w:val="000000"/>
        </w:rPr>
        <w:t xml:space="preserve">that it </w:t>
      </w:r>
      <w:r w:rsidRPr="00E62385">
        <w:rPr>
          <w:color w:val="000000"/>
        </w:rPr>
        <w:t xml:space="preserve">offered across all air interfaces for the reporting period by the total number of handset models (hearing aid-compatible and non-hearing aid-compatible) </w:t>
      </w:r>
      <w:r>
        <w:rPr>
          <w:color w:val="000000"/>
        </w:rPr>
        <w:t xml:space="preserve">that it </w:t>
      </w:r>
      <w:r w:rsidRPr="00E62385">
        <w:rPr>
          <w:color w:val="000000"/>
        </w:rPr>
        <w:t xml:space="preserve">offered </w:t>
      </w:r>
      <w:r>
        <w:rPr>
          <w:color w:val="000000"/>
        </w:rPr>
        <w:t xml:space="preserve">for </w:t>
      </w:r>
      <w:r w:rsidRPr="00E62385">
        <w:rPr>
          <w:color w:val="000000"/>
        </w:rPr>
        <w:t>the reporting period.</w:t>
      </w:r>
      <w:r>
        <w:rPr>
          <w:rStyle w:val="FootnoteReference"/>
        </w:rPr>
        <w:footnoteReference w:id="8"/>
      </w:r>
    </w:p>
    <w:p w:rsidR="00566088" w:rsidRPr="00E62385" w:rsidP="00566088" w14:paraId="0DF9EE75" w14:textId="26DD8053">
      <w:pPr>
        <w:keepNext/>
        <w:widowControl/>
        <w:spacing w:after="120"/>
        <w:ind w:firstLine="720"/>
      </w:pPr>
      <w:r w:rsidRPr="00E62385">
        <w:rPr>
          <w:color w:val="000000"/>
        </w:rPr>
        <w:t xml:space="preserve">Service providers </w:t>
      </w:r>
      <w:r>
        <w:rPr>
          <w:color w:val="000000"/>
        </w:rPr>
        <w:t xml:space="preserve">that </w:t>
      </w:r>
      <w:r w:rsidRPr="00E62385">
        <w:rPr>
          <w:color w:val="000000"/>
        </w:rPr>
        <w:t>operate publicly accessible websites must include the website address where the information required by the hearing aid compatibility website posting rules can be found.</w:t>
      </w:r>
      <w:r>
        <w:rPr>
          <w:rStyle w:val="FootnoteReference"/>
        </w:rPr>
        <w:footnoteReference w:id="9"/>
      </w:r>
      <w:r w:rsidRPr="00E62385">
        <w:rPr>
          <w:color w:val="000000"/>
        </w:rPr>
        <w:t xml:space="preserve">  </w:t>
      </w:r>
      <w:r w:rsidRPr="00E62385">
        <w:rPr>
          <w:color w:val="000000"/>
        </w:rPr>
        <w:t xml:space="preserve">Commission staff will review the provided website address to ensure compliance with the hearing aid compatibility website posting requirements.  </w:t>
      </w:r>
      <w:r w:rsidRPr="00E62385">
        <w:t>If a service provider did not operate a publicly</w:t>
      </w:r>
      <w:r>
        <w:t xml:space="preserve"> </w:t>
      </w:r>
      <w:r w:rsidRPr="00E62385">
        <w:t>accessible website for the reporting period, then the service provider should type the following statement into the website address box: “For the reporting period, [name of company] did not operate a publicly</w:t>
      </w:r>
      <w:r>
        <w:t xml:space="preserve"> </w:t>
      </w:r>
      <w:r w:rsidRPr="00E62385">
        <w:t>accessible website.”</w:t>
      </w:r>
    </w:p>
    <w:p w:rsidR="00566088" w:rsidRPr="00E62385" w:rsidP="00566088" w14:paraId="483DABC3" w14:textId="26C1246A">
      <w:pPr>
        <w:spacing w:after="120"/>
        <w:ind w:firstLine="720"/>
        <w:rPr>
          <w:color w:val="000000"/>
        </w:rPr>
      </w:pPr>
      <w:r>
        <w:rPr>
          <w:color w:val="000000"/>
        </w:rPr>
        <w:t>In addition, a</w:t>
      </w:r>
      <w:r w:rsidRPr="00E62385">
        <w:rPr>
          <w:color w:val="000000"/>
        </w:rPr>
        <w:t xml:space="preserve"> knowledgeable executive must certify whether the service provider </w:t>
      </w:r>
      <w:r w:rsidRPr="00E62385">
        <w:rPr>
          <w:iCs/>
          <w:color w:val="000000"/>
        </w:rPr>
        <w:t>was in full compliance</w:t>
      </w:r>
      <w:r w:rsidRPr="00E62385">
        <w:rPr>
          <w:color w:val="000000"/>
        </w:rPr>
        <w:t xml:space="preserve"> with all the applicable </w:t>
      </w:r>
      <w:r>
        <w:rPr>
          <w:color w:val="000000"/>
        </w:rPr>
        <w:t xml:space="preserve">wireless </w:t>
      </w:r>
      <w:r w:rsidRPr="00E62385">
        <w:rPr>
          <w:color w:val="000000"/>
        </w:rPr>
        <w:t>hearing aid compatibility requirements for the reporting period.</w:t>
      </w:r>
      <w:r>
        <w:rPr>
          <w:rStyle w:val="FootnoteReference"/>
        </w:rPr>
        <w:footnoteReference w:id="10"/>
      </w:r>
      <w:r w:rsidRPr="00E62385">
        <w:rPr>
          <w:color w:val="000000"/>
        </w:rPr>
        <w:t xml:space="preserve">  The service provider </w:t>
      </w:r>
      <w:r>
        <w:rPr>
          <w:color w:val="000000"/>
        </w:rPr>
        <w:t xml:space="preserve">must </w:t>
      </w:r>
      <w:r w:rsidRPr="00E62385">
        <w:rPr>
          <w:color w:val="000000"/>
        </w:rPr>
        <w:t>represent and warrant, and the knowledgeable executive declares under penalty of perjury</w:t>
      </w:r>
      <w:r>
        <w:rPr>
          <w:color w:val="000000"/>
        </w:rPr>
        <w:t>,</w:t>
      </w:r>
      <w:r w:rsidRPr="00E62385">
        <w:rPr>
          <w:color w:val="000000"/>
        </w:rPr>
        <w:t xml:space="preserve"> that the certification is truthful and accurate.</w:t>
      </w:r>
      <w:r>
        <w:rPr>
          <w:rStyle w:val="FootnoteReference"/>
        </w:rPr>
        <w:footnoteReference w:id="11"/>
      </w:r>
      <w:r w:rsidRPr="00E62385">
        <w:rPr>
          <w:color w:val="000000"/>
        </w:rPr>
        <w:t xml:space="preserve">  The service provider </w:t>
      </w:r>
      <w:r>
        <w:rPr>
          <w:color w:val="000000"/>
        </w:rPr>
        <w:t xml:space="preserve">must </w:t>
      </w:r>
      <w:r w:rsidRPr="00E62385">
        <w:rPr>
          <w:color w:val="000000"/>
        </w:rPr>
        <w:t>also acknowledge that false statements and misrepresentations to the Commission are punishable and may subject it to enforcement action.</w:t>
      </w:r>
      <w:r>
        <w:rPr>
          <w:rStyle w:val="FootnoteReference"/>
        </w:rPr>
        <w:footnoteReference w:id="12"/>
      </w:r>
    </w:p>
    <w:p w:rsidR="00566088" w:rsidRPr="00E62385" w:rsidP="00566088" w14:paraId="00F32698" w14:textId="1769F200">
      <w:pPr>
        <w:spacing w:after="120"/>
        <w:ind w:firstLine="720"/>
        <w:rPr>
          <w:color w:val="000000"/>
        </w:rPr>
      </w:pPr>
      <w:bookmarkStart w:id="2" w:name="_Hlk5716495"/>
      <w:r w:rsidRPr="00E62385">
        <w:rPr>
          <w:color w:val="000000"/>
        </w:rPr>
        <w:t xml:space="preserve">Service providers that certify they were not in full compliance with the </w:t>
      </w:r>
      <w:r>
        <w:rPr>
          <w:color w:val="000000"/>
        </w:rPr>
        <w:t xml:space="preserve">wireless </w:t>
      </w:r>
      <w:r w:rsidRPr="00E62385">
        <w:rPr>
          <w:color w:val="000000"/>
        </w:rPr>
        <w:t>hearing aid compatibility rules for the reporting period must submit an attachment explaining which wireless hearing aid compatibility requirements the service provider was not in full compliance with, and when the non-compliance began and (if applicable) ended with respect to each requirement</w:t>
      </w:r>
      <w:bookmarkEnd w:id="2"/>
      <w:r w:rsidRPr="00E62385">
        <w:rPr>
          <w:color w:val="000000"/>
        </w:rPr>
        <w:t>.</w:t>
      </w:r>
      <w:r>
        <w:rPr>
          <w:rStyle w:val="FootnoteReference"/>
        </w:rPr>
        <w:footnoteReference w:id="13"/>
      </w:r>
    </w:p>
    <w:p w:rsidR="00566088" w:rsidRPr="00E62385" w:rsidP="00566088" w14:paraId="0B1C4507" w14:textId="72293A17">
      <w:pPr>
        <w:spacing w:after="120"/>
        <w:ind w:firstLine="720"/>
      </w:pPr>
      <w:r w:rsidRPr="00E62385">
        <w:t xml:space="preserve">Further, service providers must ensure that the contact information that is provided is accurate and complete and can be used to directly contact the signing executive </w:t>
      </w:r>
      <w:r>
        <w:t>should</w:t>
      </w:r>
      <w:r w:rsidRPr="00E62385">
        <w:t xml:space="preserve"> Commission staff ha</w:t>
      </w:r>
      <w:r>
        <w:t>ve</w:t>
      </w:r>
      <w:r w:rsidRPr="00E62385">
        <w:t xml:space="preserve"> a question about the filing company’s certification.  </w:t>
      </w:r>
      <w:r w:rsidRPr="00E62385">
        <w:rPr>
          <w:lang w:eastAsia="zh-CN"/>
        </w:rPr>
        <w:t xml:space="preserve">The signing executive must include his or her first and last name, middle initial, and title.  The executive must also provide his or her business address, complete phone number, including area code and extension, and email address.  If the filing company </w:t>
      </w:r>
      <w:r w:rsidRPr="00E62385">
        <w:rPr>
          <w:color w:val="000000"/>
        </w:rPr>
        <w:t>is a non-U.S. company, the company’s U.S. business office address and phone number must be included.  If the filing company does not have a U.S. business office address, then the filer must use its U.S. agent’s address.</w:t>
      </w:r>
    </w:p>
    <w:p w:rsidR="00566088" w:rsidRPr="00E62385" w:rsidP="00566088" w14:paraId="5690CCAC" w14:textId="77777777">
      <w:pPr>
        <w:spacing w:after="120"/>
        <w:ind w:firstLine="720"/>
        <w:rPr>
          <w:szCs w:val="22"/>
        </w:rPr>
      </w:pPr>
      <w:r w:rsidRPr="00E62385">
        <w:rPr>
          <w:szCs w:val="22"/>
        </w:rPr>
        <w:t>Failure to timely and accurately file FCC Form 855 certifications could lead to enforcement proceedings and possible forfeitures.</w:t>
      </w:r>
    </w:p>
    <w:p w:rsidR="00566088" w:rsidRPr="00E62385" w:rsidP="00566088" w14:paraId="0C08D17E" w14:textId="77777777">
      <w:pPr>
        <w:spacing w:after="120"/>
        <w:ind w:firstLine="720"/>
        <w:rPr>
          <w:szCs w:val="22"/>
        </w:rPr>
      </w:pPr>
      <w:r w:rsidRPr="00E62385">
        <w:rPr>
          <w:szCs w:val="22"/>
        </w:rPr>
        <w:t xml:space="preserve">For further information concerning this notice, contact Eli Johnson, FCC, Wireless Telecommunications Bureau, Competition &amp; Infrastructure Policy Division, (202) 418-1395, </w:t>
      </w:r>
      <w:hyperlink r:id="rId7" w:history="1">
        <w:r w:rsidRPr="00E62385">
          <w:rPr>
            <w:rStyle w:val="Hyperlink"/>
            <w:szCs w:val="22"/>
          </w:rPr>
          <w:t>eli.johnson@fcc.gov</w:t>
        </w:r>
      </w:hyperlink>
      <w:r w:rsidRPr="00E62385">
        <w:rPr>
          <w:szCs w:val="22"/>
        </w:rPr>
        <w:t>.</w:t>
      </w:r>
    </w:p>
    <w:p w:rsidR="00BA3BA8" w:rsidRPr="006007E3" w:rsidP="006007E3" w14:paraId="2E9815A1" w14:textId="7F4CC4F9">
      <w:pPr>
        <w:jc w:val="center"/>
        <w:rPr>
          <w:b/>
          <w:bCs/>
          <w:szCs w:val="22"/>
        </w:rPr>
      </w:pPr>
      <w:r w:rsidRPr="000C0498">
        <w:rPr>
          <w:b/>
          <w:bCs/>
          <w:szCs w:val="22"/>
        </w:rPr>
        <w:t>– FCC –</w:t>
      </w:r>
      <w:bookmarkEnd w:id="0"/>
    </w:p>
    <w:sectPr>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041AB" w14:paraId="155E5457" w14:textId="77777777">
      <w:pPr>
        <w:spacing w:line="20" w:lineRule="exact"/>
      </w:pPr>
    </w:p>
  </w:endnote>
  <w:endnote w:type="continuationSeparator" w:id="1">
    <w:p w:rsidR="00D041AB" w14:paraId="5BD0BCB5" w14:textId="77777777">
      <w:r>
        <w:t xml:space="preserve"> </w:t>
      </w:r>
    </w:p>
  </w:endnote>
  <w:endnote w:type="continuationNotice" w:id="2">
    <w:p w:rsidR="00D041AB" w14:paraId="5D238BD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A0B5885"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604FAC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D5DFED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85D63EB"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41AB" w14:paraId="7C320F74" w14:textId="77777777">
      <w:r>
        <w:separator/>
      </w:r>
    </w:p>
  </w:footnote>
  <w:footnote w:type="continuationSeparator" w:id="1">
    <w:p w:rsidR="00D041AB" w14:paraId="22D96E3B" w14:textId="77777777">
      <w:pPr>
        <w:rPr>
          <w:sz w:val="20"/>
        </w:rPr>
      </w:pPr>
      <w:r>
        <w:rPr>
          <w:sz w:val="20"/>
        </w:rPr>
        <w:t xml:space="preserve">(Continued from previous page)  </w:t>
      </w:r>
      <w:r>
        <w:rPr>
          <w:sz w:val="20"/>
        </w:rPr>
        <w:separator/>
      </w:r>
    </w:p>
  </w:footnote>
  <w:footnote w:type="continuationNotice" w:id="2">
    <w:p w:rsidR="00D041AB" w14:paraId="1AFBCA58" w14:textId="77777777">
      <w:pPr>
        <w:jc w:val="right"/>
        <w:rPr>
          <w:sz w:val="20"/>
        </w:rPr>
      </w:pPr>
      <w:r>
        <w:rPr>
          <w:sz w:val="20"/>
        </w:rPr>
        <w:t>(continued….)</w:t>
      </w:r>
    </w:p>
  </w:footnote>
  <w:footnote w:id="3">
    <w:p w:rsidR="00BE5B16" w14:paraId="487CFA47" w14:textId="56928F8F">
      <w:pPr>
        <w:pStyle w:val="FootnoteText"/>
      </w:pPr>
      <w:r>
        <w:rPr>
          <w:rStyle w:val="FootnoteReference"/>
        </w:rPr>
        <w:footnoteRef/>
      </w:r>
      <w:r>
        <w:t xml:space="preserve"> </w:t>
      </w:r>
      <w:r w:rsidRPr="00E62385">
        <w:rPr>
          <w:color w:val="000000"/>
          <w:szCs w:val="22"/>
        </w:rPr>
        <w:t>47 CFR §</w:t>
      </w:r>
      <w:r>
        <w:rPr>
          <w:color w:val="000000"/>
          <w:szCs w:val="22"/>
        </w:rPr>
        <w:t> </w:t>
      </w:r>
      <w:r w:rsidRPr="00E62385">
        <w:rPr>
          <w:color w:val="000000"/>
          <w:szCs w:val="22"/>
        </w:rPr>
        <w:t>20.19</w:t>
      </w:r>
      <w:r>
        <w:rPr>
          <w:color w:val="000000"/>
          <w:szCs w:val="22"/>
        </w:rPr>
        <w:t>(i)(1)</w:t>
      </w:r>
      <w:r w:rsidRPr="00E62385">
        <w:rPr>
          <w:color w:val="000000"/>
          <w:szCs w:val="22"/>
        </w:rPr>
        <w:t>.</w:t>
      </w:r>
    </w:p>
  </w:footnote>
  <w:footnote w:id="4">
    <w:p w:rsidR="00BE5B16" w14:paraId="49BDAB63" w14:textId="5675B3BA">
      <w:pPr>
        <w:pStyle w:val="FootnoteText"/>
      </w:pPr>
      <w:r>
        <w:rPr>
          <w:rStyle w:val="FootnoteReference"/>
        </w:rPr>
        <w:footnoteRef/>
      </w:r>
      <w:r>
        <w:t xml:space="preserve"> </w:t>
      </w:r>
      <w:r w:rsidRPr="008E37FE" w:rsidR="00617595">
        <w:rPr>
          <w:i/>
          <w:iCs/>
        </w:rPr>
        <w:t>Id</w:t>
      </w:r>
      <w:r w:rsidR="00617595">
        <w:t>.</w:t>
      </w:r>
      <w:r w:rsidR="00103FBA">
        <w:t xml:space="preserve"> </w:t>
      </w:r>
      <w:r w:rsidRPr="00E62385">
        <w:rPr>
          <w:color w:val="000000"/>
          <w:szCs w:val="22"/>
        </w:rPr>
        <w:t>§</w:t>
      </w:r>
      <w:r>
        <w:rPr>
          <w:color w:val="000000"/>
          <w:szCs w:val="22"/>
        </w:rPr>
        <w:t xml:space="preserve"> </w:t>
      </w:r>
      <w:r w:rsidRPr="00E62385">
        <w:rPr>
          <w:color w:val="000000"/>
          <w:szCs w:val="22"/>
        </w:rPr>
        <w:t>20.19</w:t>
      </w:r>
      <w:r>
        <w:rPr>
          <w:color w:val="000000"/>
          <w:szCs w:val="22"/>
        </w:rPr>
        <w:t>(a)</w:t>
      </w:r>
      <w:r w:rsidRPr="00E62385">
        <w:rPr>
          <w:color w:val="000000"/>
          <w:szCs w:val="22"/>
        </w:rPr>
        <w:t>.</w:t>
      </w:r>
    </w:p>
  </w:footnote>
  <w:footnote w:id="5">
    <w:p w:rsidR="00BE5B16" w14:paraId="76C5CFD9" w14:textId="7C7CDC94">
      <w:pPr>
        <w:pStyle w:val="FootnoteText"/>
      </w:pPr>
      <w:r>
        <w:rPr>
          <w:rStyle w:val="FootnoteReference"/>
        </w:rPr>
        <w:footnoteRef/>
      </w:r>
      <w:r>
        <w:t xml:space="preserve"> </w:t>
      </w:r>
      <w:r w:rsidRPr="008E37FE" w:rsidR="00103FBA">
        <w:rPr>
          <w:i/>
          <w:iCs/>
        </w:rPr>
        <w:t>Id.</w:t>
      </w:r>
      <w:r w:rsidR="00103FBA">
        <w:t xml:space="preserve"> </w:t>
      </w:r>
      <w:r w:rsidRPr="00E62385">
        <w:rPr>
          <w:szCs w:val="22"/>
        </w:rPr>
        <w:t>§</w:t>
      </w:r>
      <w:r>
        <w:rPr>
          <w:szCs w:val="22"/>
        </w:rPr>
        <w:t xml:space="preserve"> </w:t>
      </w:r>
      <w:r w:rsidRPr="00E62385">
        <w:rPr>
          <w:szCs w:val="22"/>
        </w:rPr>
        <w:t>20.19(e)</w:t>
      </w:r>
      <w:r>
        <w:rPr>
          <w:szCs w:val="22"/>
        </w:rPr>
        <w:t>.</w:t>
      </w:r>
    </w:p>
  </w:footnote>
  <w:footnote w:id="6">
    <w:p w:rsidR="00BE5B16" w14:paraId="7BC9C760" w14:textId="5D271D30">
      <w:pPr>
        <w:pStyle w:val="FootnoteText"/>
      </w:pPr>
      <w:r>
        <w:rPr>
          <w:rStyle w:val="FootnoteReference"/>
        </w:rPr>
        <w:footnoteRef/>
      </w:r>
      <w:r>
        <w:t xml:space="preserve"> </w:t>
      </w:r>
      <w:r w:rsidRPr="008E37FE" w:rsidR="00103FBA">
        <w:rPr>
          <w:i/>
          <w:iCs/>
        </w:rPr>
        <w:t>Id.</w:t>
      </w:r>
      <w:r w:rsidR="00103FBA">
        <w:t xml:space="preserve"> </w:t>
      </w:r>
      <w:r w:rsidRPr="00E62385">
        <w:rPr>
          <w:color w:val="000000"/>
        </w:rPr>
        <w:t>§</w:t>
      </w:r>
      <w:r>
        <w:rPr>
          <w:color w:val="000000"/>
        </w:rPr>
        <w:t xml:space="preserve"> </w:t>
      </w:r>
      <w:r w:rsidRPr="00E62385">
        <w:rPr>
          <w:color w:val="000000"/>
        </w:rPr>
        <w:t>20.19(c)</w:t>
      </w:r>
      <w:r>
        <w:rPr>
          <w:color w:val="000000"/>
        </w:rPr>
        <w:t xml:space="preserve">(3), </w:t>
      </w:r>
      <w:r w:rsidRPr="00E62385">
        <w:rPr>
          <w:color w:val="000000"/>
        </w:rPr>
        <w:t>(</w:t>
      </w:r>
      <w:r>
        <w:rPr>
          <w:color w:val="000000"/>
        </w:rPr>
        <w:t>5</w:t>
      </w:r>
      <w:r w:rsidRPr="00E62385">
        <w:rPr>
          <w:color w:val="000000"/>
        </w:rPr>
        <w:t>).</w:t>
      </w:r>
    </w:p>
  </w:footnote>
  <w:footnote w:id="7">
    <w:p w:rsidR="00BE5B16" w14:paraId="0335ADB3" w14:textId="54C42A5C">
      <w:pPr>
        <w:pStyle w:val="FootnoteText"/>
      </w:pPr>
      <w:r>
        <w:rPr>
          <w:rStyle w:val="FootnoteReference"/>
        </w:rPr>
        <w:footnoteRef/>
      </w:r>
      <w:r>
        <w:t xml:space="preserve"> </w:t>
      </w:r>
      <w:r w:rsidRPr="00467646">
        <w:rPr>
          <w:i/>
          <w:iCs/>
          <w:color w:val="000000"/>
        </w:rPr>
        <w:t>Id</w:t>
      </w:r>
      <w:r>
        <w:rPr>
          <w:color w:val="000000"/>
        </w:rPr>
        <w:t>.</w:t>
      </w:r>
    </w:p>
  </w:footnote>
  <w:footnote w:id="8">
    <w:p w:rsidR="00566088" w:rsidRPr="00E275B2" w:rsidP="00566088" w14:paraId="0D591B39" w14:textId="72A711CC">
      <w:pPr>
        <w:pStyle w:val="FootnoteText"/>
      </w:pPr>
      <w:r>
        <w:rPr>
          <w:rStyle w:val="FootnoteReference"/>
        </w:rPr>
        <w:footnoteRef/>
      </w:r>
      <w:r>
        <w:t xml:space="preserve"> We note that the Commission adopted a 100% hearing aid compatibility requirement that will replace the current 85% handset model deployment benchmark.  </w:t>
      </w:r>
      <w:r w:rsidRPr="00A948EC">
        <w:rPr>
          <w:i/>
          <w:iCs/>
        </w:rPr>
        <w:t>Achieving 100% Wireless Handset Model Hearing Aid Compatibility</w:t>
      </w:r>
      <w:r>
        <w:t xml:space="preserve">, WT Docket No. 23-388, Report and Order, </w:t>
      </w:r>
      <w:r w:rsidR="00E115E0">
        <w:t xml:space="preserve">39 </w:t>
      </w:r>
      <w:r>
        <w:t xml:space="preserve">FCC </w:t>
      </w:r>
      <w:r w:rsidR="000E7A43">
        <w:t>Rcd 11917 (</w:t>
      </w:r>
      <w:r>
        <w:t xml:space="preserve">2024).  The 100% hearing aid compatibility requirement will become effective for handset manufacturers after December 14, 2026, and for nationwide service providers after June 14, 2027.  </w:t>
      </w:r>
      <w:r w:rsidR="00077502">
        <w:t>47 CFR § 20.19 (c)</w:t>
      </w:r>
      <w:r w:rsidR="00AA4947">
        <w:t>(</w:t>
      </w:r>
      <w:r w:rsidR="00CB45AD">
        <w:t>2)</w:t>
      </w:r>
      <w:r w:rsidR="007D7912">
        <w:t xml:space="preserve">, </w:t>
      </w:r>
      <w:r w:rsidR="004B1155">
        <w:t xml:space="preserve">(4).  </w:t>
      </w:r>
      <w:r>
        <w:t>For non-nationwide service providers, the 100% hearing aid compatibility requirement will take effect after June 13, 2028</w:t>
      </w:r>
      <w:r w:rsidR="00077502">
        <w:t>.</w:t>
      </w:r>
      <w:r w:rsidR="004B1155">
        <w:t xml:space="preserve">  47 CFR § 20.19(c)</w:t>
      </w:r>
      <w:r w:rsidR="008936FD">
        <w:t>(6).</w:t>
      </w:r>
    </w:p>
  </w:footnote>
  <w:footnote w:id="9">
    <w:p w:rsidR="00BE5B16" w14:paraId="71429497" w14:textId="1863E4C8">
      <w:pPr>
        <w:pStyle w:val="FootnoteText"/>
      </w:pPr>
      <w:r>
        <w:rPr>
          <w:rStyle w:val="FootnoteReference"/>
        </w:rPr>
        <w:footnoteRef/>
      </w:r>
      <w:r>
        <w:t xml:space="preserve"> </w:t>
      </w:r>
      <w:r w:rsidRPr="00E62385">
        <w:rPr>
          <w:color w:val="000000"/>
        </w:rPr>
        <w:t>47 CFR §</w:t>
      </w:r>
      <w:r>
        <w:rPr>
          <w:color w:val="000000"/>
        </w:rPr>
        <w:t xml:space="preserve"> </w:t>
      </w:r>
      <w:r w:rsidRPr="00E62385">
        <w:rPr>
          <w:color w:val="000000"/>
        </w:rPr>
        <w:t>20.19(h).</w:t>
      </w:r>
    </w:p>
  </w:footnote>
  <w:footnote w:id="10">
    <w:p w:rsidR="00BE5B16" w14:paraId="63A52FFB" w14:textId="159591A3">
      <w:pPr>
        <w:pStyle w:val="FootnoteText"/>
      </w:pPr>
      <w:r>
        <w:rPr>
          <w:rStyle w:val="FootnoteReference"/>
        </w:rPr>
        <w:footnoteRef/>
      </w:r>
      <w:r>
        <w:t xml:space="preserve"> </w:t>
      </w:r>
      <w:r w:rsidRPr="008E37FE" w:rsidR="008854C4">
        <w:rPr>
          <w:i/>
          <w:iCs/>
        </w:rPr>
        <w:t>Id.</w:t>
      </w:r>
      <w:r w:rsidR="008854C4">
        <w:t xml:space="preserve"> </w:t>
      </w:r>
      <w:r w:rsidRPr="00E62385">
        <w:rPr>
          <w:color w:val="000000"/>
        </w:rPr>
        <w:t>§</w:t>
      </w:r>
      <w:r>
        <w:rPr>
          <w:color w:val="000000"/>
        </w:rPr>
        <w:t xml:space="preserve"> </w:t>
      </w:r>
      <w:r w:rsidRPr="00E62385">
        <w:rPr>
          <w:color w:val="000000"/>
        </w:rPr>
        <w:t>20.19(i)(</w:t>
      </w:r>
      <w:r>
        <w:rPr>
          <w:color w:val="000000"/>
        </w:rPr>
        <w:t>1</w:t>
      </w:r>
      <w:r w:rsidRPr="00E62385">
        <w:rPr>
          <w:color w:val="000000"/>
        </w:rPr>
        <w:t>)</w:t>
      </w:r>
      <w:r>
        <w:rPr>
          <w:color w:val="000000"/>
        </w:rPr>
        <w:t>-(2)</w:t>
      </w:r>
      <w:r w:rsidRPr="00E62385">
        <w:rPr>
          <w:color w:val="000000"/>
        </w:rPr>
        <w:t>.</w:t>
      </w:r>
    </w:p>
  </w:footnote>
  <w:footnote w:id="11">
    <w:p w:rsidR="00BE5B16" w14:paraId="03662F41" w14:textId="07501771">
      <w:pPr>
        <w:pStyle w:val="FootnoteText"/>
      </w:pPr>
      <w:r>
        <w:rPr>
          <w:rStyle w:val="FootnoteReference"/>
        </w:rPr>
        <w:footnoteRef/>
      </w:r>
      <w:r>
        <w:t xml:space="preserve"> </w:t>
      </w:r>
      <w:r w:rsidRPr="008E37FE" w:rsidR="008854C4">
        <w:rPr>
          <w:i/>
          <w:iCs/>
        </w:rPr>
        <w:t>Id.</w:t>
      </w:r>
      <w:r w:rsidR="008854C4">
        <w:t xml:space="preserve"> </w:t>
      </w:r>
      <w:r w:rsidRPr="00E62385">
        <w:rPr>
          <w:color w:val="000000"/>
        </w:rPr>
        <w:t>§</w:t>
      </w:r>
      <w:r>
        <w:rPr>
          <w:color w:val="000000"/>
        </w:rPr>
        <w:t xml:space="preserve"> </w:t>
      </w:r>
      <w:r w:rsidRPr="00E62385">
        <w:rPr>
          <w:color w:val="000000"/>
        </w:rPr>
        <w:t>20.19(i)(2)(vi).</w:t>
      </w:r>
    </w:p>
  </w:footnote>
  <w:footnote w:id="12">
    <w:p w:rsidR="00BE5B16" w14:paraId="6E9C9B30" w14:textId="617B2171">
      <w:pPr>
        <w:pStyle w:val="FootnoteText"/>
      </w:pPr>
      <w:r>
        <w:rPr>
          <w:rStyle w:val="FootnoteReference"/>
        </w:rPr>
        <w:footnoteRef/>
      </w:r>
      <w:r>
        <w:t xml:space="preserve"> </w:t>
      </w:r>
      <w:r w:rsidRPr="00E62385">
        <w:rPr>
          <w:i/>
          <w:iCs/>
          <w:color w:val="000000"/>
        </w:rPr>
        <w:t>Id</w:t>
      </w:r>
      <w:r w:rsidRPr="00E62385">
        <w:rPr>
          <w:color w:val="000000"/>
        </w:rPr>
        <w:t>.</w:t>
      </w:r>
    </w:p>
  </w:footnote>
  <w:footnote w:id="13">
    <w:p w:rsidR="00BE5B16" w14:paraId="7D9ED29A" w14:textId="26A00B51">
      <w:pPr>
        <w:pStyle w:val="FootnoteText"/>
      </w:pPr>
      <w:r>
        <w:rPr>
          <w:rStyle w:val="FootnoteReference"/>
        </w:rPr>
        <w:footnoteRef/>
      </w:r>
      <w:r>
        <w:t xml:space="preserve"> </w:t>
      </w:r>
      <w:r w:rsidRPr="008E37FE" w:rsidR="008854C4">
        <w:rPr>
          <w:i/>
          <w:iCs/>
        </w:rPr>
        <w:t>Id</w:t>
      </w:r>
      <w:r w:rsidR="008854C4">
        <w:t xml:space="preserve">. </w:t>
      </w:r>
      <w:r w:rsidRPr="00E62385">
        <w:rPr>
          <w:color w:val="000000"/>
        </w:rPr>
        <w:t>§</w:t>
      </w:r>
      <w:r>
        <w:rPr>
          <w:color w:val="000000"/>
        </w:rPr>
        <w:t xml:space="preserve"> </w:t>
      </w:r>
      <w:r w:rsidRPr="00E62385">
        <w:rPr>
          <w:color w:val="000000"/>
        </w:rPr>
        <w:t>20.19(i)(2)(vii).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F73D525" w14:textId="40CC6D4F">
    <w:pPr>
      <w:tabs>
        <w:tab w:val="center" w:pos="4680"/>
        <w:tab w:val="right" w:pos="9360"/>
      </w:tabs>
    </w:pPr>
    <w:r>
      <w:rPr>
        <w:b/>
      </w:rPr>
      <w:tab/>
      <w:t>Federal Communications Commission</w:t>
    </w:r>
    <w:r>
      <w:rPr>
        <w:b/>
      </w:rPr>
      <w:tab/>
    </w:r>
    <w:r w:rsidR="008D35D1">
      <w:rPr>
        <w:b/>
      </w:rPr>
      <w:t>DA 2</w:t>
    </w:r>
    <w:r w:rsidR="00A85709">
      <w:rPr>
        <w:b/>
      </w:rPr>
      <w:t>5</w:t>
    </w:r>
    <w:r w:rsidR="008D35D1">
      <w:rPr>
        <w:b/>
      </w:rPr>
      <w:t>-</w:t>
    </w:r>
    <w:r w:rsidR="00A85709">
      <w:rPr>
        <w:b/>
      </w:rPr>
      <w:t>1031</w:t>
    </w:r>
  </w:p>
  <w:p w:rsidR="00BA3BA8" w14:paraId="69C4B39F" w14:textId="05FC4571">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34255207"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A2BCA08"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EC4B40B" w14:textId="20EC8B8A">
    <w:pPr>
      <w:pStyle w:val="Header"/>
    </w:pPr>
    <w:r>
      <w:rPr>
        <w:noProof/>
      </w:rPr>
      <w:drawing>
        <wp:inline distT="0" distB="0" distL="0" distR="0">
          <wp:extent cx="5956300" cy="1426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6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393547304">
    <w:abstractNumId w:val="1"/>
  </w:num>
  <w:num w:numId="2" w16cid:durableId="1266377939">
    <w:abstractNumId w:val="5"/>
  </w:num>
  <w:num w:numId="3" w16cid:durableId="819005725">
    <w:abstractNumId w:val="3"/>
  </w:num>
  <w:num w:numId="4" w16cid:durableId="1612278921">
    <w:abstractNumId w:val="4"/>
  </w:num>
  <w:num w:numId="5" w16cid:durableId="104619209">
    <w:abstractNumId w:val="2"/>
  </w:num>
  <w:num w:numId="6" w16cid:durableId="141612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88"/>
    <w:rsid w:val="00005840"/>
    <w:rsid w:val="0002723F"/>
    <w:rsid w:val="00054416"/>
    <w:rsid w:val="000621AF"/>
    <w:rsid w:val="00073BEF"/>
    <w:rsid w:val="00074041"/>
    <w:rsid w:val="00077502"/>
    <w:rsid w:val="000B0E8C"/>
    <w:rsid w:val="000C0498"/>
    <w:rsid w:val="000E7A43"/>
    <w:rsid w:val="00103FBA"/>
    <w:rsid w:val="00120080"/>
    <w:rsid w:val="00183509"/>
    <w:rsid w:val="001B1162"/>
    <w:rsid w:val="001D11D2"/>
    <w:rsid w:val="001F1B31"/>
    <w:rsid w:val="0022015F"/>
    <w:rsid w:val="00272847"/>
    <w:rsid w:val="00297CDB"/>
    <w:rsid w:val="003137A5"/>
    <w:rsid w:val="00326ED2"/>
    <w:rsid w:val="00334EFC"/>
    <w:rsid w:val="00377885"/>
    <w:rsid w:val="003C59D4"/>
    <w:rsid w:val="00430183"/>
    <w:rsid w:val="00442433"/>
    <w:rsid w:val="00443232"/>
    <w:rsid w:val="00467646"/>
    <w:rsid w:val="004B1155"/>
    <w:rsid w:val="00506208"/>
    <w:rsid w:val="005431C5"/>
    <w:rsid w:val="005512F8"/>
    <w:rsid w:val="00566088"/>
    <w:rsid w:val="006007E3"/>
    <w:rsid w:val="00617595"/>
    <w:rsid w:val="00667036"/>
    <w:rsid w:val="0067144B"/>
    <w:rsid w:val="006F25D0"/>
    <w:rsid w:val="0072371B"/>
    <w:rsid w:val="0072569C"/>
    <w:rsid w:val="007D7912"/>
    <w:rsid w:val="007F2BEC"/>
    <w:rsid w:val="008854C4"/>
    <w:rsid w:val="008936FD"/>
    <w:rsid w:val="008D35D1"/>
    <w:rsid w:val="008D4CF5"/>
    <w:rsid w:val="008E37FE"/>
    <w:rsid w:val="0091098A"/>
    <w:rsid w:val="009255CD"/>
    <w:rsid w:val="00944128"/>
    <w:rsid w:val="009462DD"/>
    <w:rsid w:val="00982C8E"/>
    <w:rsid w:val="00A20679"/>
    <w:rsid w:val="00A37272"/>
    <w:rsid w:val="00A373FF"/>
    <w:rsid w:val="00A61DDC"/>
    <w:rsid w:val="00A666C9"/>
    <w:rsid w:val="00A85709"/>
    <w:rsid w:val="00A948EC"/>
    <w:rsid w:val="00AA4947"/>
    <w:rsid w:val="00B23497"/>
    <w:rsid w:val="00B31F3C"/>
    <w:rsid w:val="00BA3BA8"/>
    <w:rsid w:val="00BA5FDB"/>
    <w:rsid w:val="00BB063D"/>
    <w:rsid w:val="00BE5B16"/>
    <w:rsid w:val="00C20D28"/>
    <w:rsid w:val="00C702AD"/>
    <w:rsid w:val="00C92A42"/>
    <w:rsid w:val="00CB45AD"/>
    <w:rsid w:val="00CD63F0"/>
    <w:rsid w:val="00CE40AB"/>
    <w:rsid w:val="00CF16C8"/>
    <w:rsid w:val="00D041AB"/>
    <w:rsid w:val="00D1566C"/>
    <w:rsid w:val="00D24091"/>
    <w:rsid w:val="00D42923"/>
    <w:rsid w:val="00D63BF0"/>
    <w:rsid w:val="00D673BA"/>
    <w:rsid w:val="00D807E1"/>
    <w:rsid w:val="00DA4425"/>
    <w:rsid w:val="00DA4AD0"/>
    <w:rsid w:val="00DB204D"/>
    <w:rsid w:val="00DC33DB"/>
    <w:rsid w:val="00DC38D7"/>
    <w:rsid w:val="00E115E0"/>
    <w:rsid w:val="00E275B2"/>
    <w:rsid w:val="00E436D3"/>
    <w:rsid w:val="00E56362"/>
    <w:rsid w:val="00E62385"/>
    <w:rsid w:val="00E772FE"/>
    <w:rsid w:val="00EF466B"/>
    <w:rsid w:val="00F03EA1"/>
    <w:rsid w:val="00F314BE"/>
    <w:rsid w:val="00FE135D"/>
    <w:rsid w:val="00FE5E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4B5AB"/>
  <w15:chartTrackingRefBased/>
  <w15:docId w15:val="{994B63F1-B4BD-498E-8B04-2ABB9E6D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semiHidden/>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FE5EB0"/>
    <w:rPr>
      <w:color w:val="96607D" w:themeColor="followedHyperlink"/>
      <w:u w:val="single"/>
    </w:rPr>
  </w:style>
  <w:style w:type="paragraph" w:styleId="Revision">
    <w:name w:val="Revision"/>
    <w:hidden/>
    <w:uiPriority w:val="99"/>
    <w:semiHidden/>
    <w:rsid w:val="0072569C"/>
    <w:rPr>
      <w:snapToGrid w:val="0"/>
      <w:kern w:val="28"/>
      <w:sz w:val="22"/>
    </w:rPr>
  </w:style>
  <w:style w:type="character" w:styleId="CommentReference">
    <w:name w:val="annotation reference"/>
    <w:basedOn w:val="DefaultParagraphFont"/>
    <w:uiPriority w:val="99"/>
    <w:semiHidden/>
    <w:unhideWhenUsed/>
    <w:rsid w:val="0091098A"/>
    <w:rPr>
      <w:sz w:val="16"/>
      <w:szCs w:val="16"/>
    </w:rPr>
  </w:style>
  <w:style w:type="paragraph" w:styleId="CommentText">
    <w:name w:val="annotation text"/>
    <w:basedOn w:val="Normal"/>
    <w:link w:val="CommentTextChar"/>
    <w:uiPriority w:val="99"/>
    <w:unhideWhenUsed/>
    <w:rsid w:val="0091098A"/>
    <w:rPr>
      <w:sz w:val="20"/>
    </w:rPr>
  </w:style>
  <w:style w:type="character" w:customStyle="1" w:styleId="CommentTextChar">
    <w:name w:val="Comment Text Char"/>
    <w:basedOn w:val="DefaultParagraphFont"/>
    <w:link w:val="CommentText"/>
    <w:uiPriority w:val="99"/>
    <w:rsid w:val="0091098A"/>
    <w:rPr>
      <w:snapToGrid w:val="0"/>
      <w:kern w:val="28"/>
    </w:rPr>
  </w:style>
  <w:style w:type="paragraph" w:styleId="CommentSubject">
    <w:name w:val="annotation subject"/>
    <w:basedOn w:val="CommentText"/>
    <w:next w:val="CommentText"/>
    <w:link w:val="CommentSubjectChar"/>
    <w:uiPriority w:val="99"/>
    <w:semiHidden/>
    <w:unhideWhenUsed/>
    <w:rsid w:val="0091098A"/>
    <w:rPr>
      <w:b/>
      <w:bCs/>
    </w:rPr>
  </w:style>
  <w:style w:type="character" w:customStyle="1" w:styleId="CommentSubjectChar">
    <w:name w:val="Comment Subject Char"/>
    <w:basedOn w:val="CommentTextChar"/>
    <w:link w:val="CommentSubject"/>
    <w:uiPriority w:val="99"/>
    <w:semiHidden/>
    <w:rsid w:val="0091098A"/>
    <w:rPr>
      <w:b/>
      <w:bCs/>
      <w:snapToGrid w:val="0"/>
      <w:kern w:val="28"/>
    </w:rPr>
  </w:style>
  <w:style w:type="character" w:styleId="Mention">
    <w:name w:val="Mention"/>
    <w:basedOn w:val="DefaultParagraphFont"/>
    <w:uiPriority w:val="99"/>
    <w:unhideWhenUsed/>
    <w:rsid w:val="009109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filing-hearing-aid-compatibility-reports-and-certifications" TargetMode="External" /><Relationship Id="rId7" Type="http://schemas.openxmlformats.org/officeDocument/2006/relationships/hyperlink" Target="file:///C:\Users\Eli.Johnson\AppData\Local\Microsoft\Windows\INetCache\Content.Outlook\IYLUJNAE\eli.johnson@fcc.gov"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imia.Nikseresht\FCC\FCC%20-%20NAL\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