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4C2EE3" w:rsidRPr="009D3B2D" w14:paraId="78134A91" w14:textId="77777777">
      <w:pPr>
        <w:jc w:val="center"/>
        <w:rPr>
          <w:b/>
          <w:szCs w:val="22"/>
        </w:rPr>
      </w:pPr>
      <w:r w:rsidRPr="009D3B2D">
        <w:rPr>
          <w:b/>
          <w:kern w:val="0"/>
          <w:szCs w:val="22"/>
        </w:rPr>
        <w:t>Before</w:t>
      </w:r>
      <w:r w:rsidRPr="009D3B2D">
        <w:rPr>
          <w:b/>
          <w:szCs w:val="22"/>
        </w:rPr>
        <w:t xml:space="preserve"> the</w:t>
      </w:r>
    </w:p>
    <w:p w:rsidR="00921803" w:rsidRPr="009D3B2D" w:rsidP="00921803" w14:paraId="17208CEC" w14:textId="77777777">
      <w:pPr>
        <w:pStyle w:val="StyleBoldCentered"/>
        <w:rPr>
          <w:rFonts w:ascii="Times New Roman" w:hAnsi="Times New Roman"/>
        </w:rPr>
      </w:pPr>
      <w:r w:rsidRPr="009D3B2D">
        <w:rPr>
          <w:rFonts w:ascii="Times New Roman" w:hAnsi="Times New Roman"/>
        </w:rPr>
        <w:t>F</w:t>
      </w:r>
      <w:r w:rsidRPr="009D3B2D">
        <w:rPr>
          <w:rFonts w:ascii="Times New Roman" w:hAnsi="Times New Roman"/>
          <w:caps w:val="0"/>
        </w:rPr>
        <w:t>ederal Communications Commission</w:t>
      </w:r>
    </w:p>
    <w:p w:rsidR="004C2EE3" w:rsidRPr="009D3B2D" w:rsidP="00096D8C" w14:paraId="56CB0809" w14:textId="77777777">
      <w:pPr>
        <w:pStyle w:val="StyleBoldCentered"/>
        <w:rPr>
          <w:rFonts w:ascii="Times New Roman" w:hAnsi="Times New Roman"/>
        </w:rPr>
      </w:pPr>
      <w:r w:rsidRPr="009D3B2D">
        <w:rPr>
          <w:rFonts w:ascii="Times New Roman" w:hAnsi="Times New Roman"/>
          <w:caps w:val="0"/>
        </w:rPr>
        <w:t>Washington, D.C. 20554</w:t>
      </w:r>
    </w:p>
    <w:p w:rsidR="004C2EE3" w:rsidRPr="009D3B2D" w:rsidP="0070224F" w14:paraId="460013FE" w14:textId="77777777">
      <w:pPr>
        <w:rPr>
          <w:szCs w:val="22"/>
        </w:rPr>
      </w:pPr>
    </w:p>
    <w:p w:rsidR="004C2EE3" w:rsidRPr="009D3B2D" w:rsidP="0070224F" w14:paraId="0C0BBF22" w14:textId="77777777">
      <w:pPr>
        <w:rPr>
          <w:szCs w:val="22"/>
        </w:rPr>
      </w:pPr>
    </w:p>
    <w:tbl>
      <w:tblPr>
        <w:tblW w:w="0" w:type="auto"/>
        <w:tblLayout w:type="fixed"/>
        <w:tblLook w:val="0000"/>
      </w:tblPr>
      <w:tblGrid>
        <w:gridCol w:w="4698"/>
        <w:gridCol w:w="630"/>
        <w:gridCol w:w="4248"/>
      </w:tblGrid>
      <w:tr w14:paraId="275A5172" w14:textId="77777777">
        <w:tblPrEx>
          <w:tblW w:w="0" w:type="auto"/>
          <w:tblLayout w:type="fixed"/>
          <w:tblLook w:val="0000"/>
        </w:tblPrEx>
        <w:tc>
          <w:tcPr>
            <w:tcW w:w="4698" w:type="dxa"/>
          </w:tcPr>
          <w:p w:rsidR="004C2EE3" w:rsidRPr="009D3B2D" w14:paraId="39B0363F" w14:textId="77777777">
            <w:pPr>
              <w:tabs>
                <w:tab w:val="center" w:pos="4680"/>
              </w:tabs>
              <w:suppressAutoHyphens/>
              <w:rPr>
                <w:spacing w:val="-2"/>
                <w:szCs w:val="22"/>
              </w:rPr>
            </w:pPr>
            <w:r w:rsidRPr="009D3B2D">
              <w:rPr>
                <w:spacing w:val="-2"/>
                <w:szCs w:val="22"/>
              </w:rPr>
              <w:t>In the Matter of</w:t>
            </w:r>
          </w:p>
          <w:p w:rsidR="004C2EE3" w:rsidRPr="009D3B2D" w14:paraId="381DDFE3" w14:textId="77777777">
            <w:pPr>
              <w:tabs>
                <w:tab w:val="center" w:pos="4680"/>
              </w:tabs>
              <w:suppressAutoHyphens/>
              <w:rPr>
                <w:spacing w:val="-2"/>
                <w:szCs w:val="22"/>
              </w:rPr>
            </w:pPr>
          </w:p>
          <w:p w:rsidR="004C2EE3" w:rsidRPr="009D3B2D" w:rsidP="007115F7" w14:paraId="21614684" w14:textId="7032678D">
            <w:pPr>
              <w:tabs>
                <w:tab w:val="center" w:pos="4680"/>
              </w:tabs>
              <w:suppressAutoHyphens/>
              <w:rPr>
                <w:spacing w:val="-2"/>
                <w:szCs w:val="22"/>
              </w:rPr>
            </w:pPr>
            <w:r w:rsidRPr="009D3B2D">
              <w:rPr>
                <w:spacing w:val="-2"/>
                <w:szCs w:val="22"/>
              </w:rPr>
              <w:t>Cincin</w:t>
            </w:r>
            <w:r>
              <w:rPr>
                <w:spacing w:val="-2"/>
                <w:szCs w:val="22"/>
              </w:rPr>
              <w:t>n</w:t>
            </w:r>
            <w:r w:rsidRPr="009D3B2D">
              <w:rPr>
                <w:spacing w:val="-2"/>
                <w:szCs w:val="22"/>
              </w:rPr>
              <w:t xml:space="preserve">ati Bell Extended Territories </w:t>
            </w:r>
            <w:r w:rsidRPr="009D3B2D" w:rsidR="001758E4">
              <w:rPr>
                <w:spacing w:val="-2"/>
                <w:szCs w:val="22"/>
              </w:rPr>
              <w:t>LLC</w:t>
            </w:r>
            <w:r w:rsidRPr="009D3B2D">
              <w:rPr>
                <w:spacing w:val="-2"/>
                <w:szCs w:val="22"/>
              </w:rPr>
              <w:t xml:space="preserve"> </w:t>
            </w:r>
            <w:r w:rsidRPr="009D3B2D" w:rsidR="0088206C">
              <w:rPr>
                <w:spacing w:val="-2"/>
                <w:szCs w:val="22"/>
              </w:rPr>
              <w:t xml:space="preserve">dba </w:t>
            </w:r>
            <w:r w:rsidRPr="009D3B2D" w:rsidR="0088206C">
              <w:rPr>
                <w:spacing w:val="-2"/>
                <w:szCs w:val="22"/>
              </w:rPr>
              <w:t>altafiber</w:t>
            </w:r>
            <w:r w:rsidR="00FA7812">
              <w:rPr>
                <w:spacing w:val="-2"/>
                <w:szCs w:val="22"/>
              </w:rPr>
              <w:t>,</w:t>
            </w:r>
          </w:p>
          <w:p w:rsidR="0088206C" w:rsidRPr="009D3B2D" w:rsidP="007115F7" w14:paraId="2F5C1040" w14:textId="77777777">
            <w:pPr>
              <w:tabs>
                <w:tab w:val="center" w:pos="4680"/>
              </w:tabs>
              <w:suppressAutoHyphens/>
              <w:rPr>
                <w:spacing w:val="-2"/>
                <w:szCs w:val="22"/>
              </w:rPr>
            </w:pPr>
          </w:p>
          <w:p w:rsidR="0088206C" w:rsidRPr="009D3B2D" w:rsidP="00C73317" w14:paraId="724AF8B2" w14:textId="77777777">
            <w:pPr>
              <w:tabs>
                <w:tab w:val="center" w:pos="4680"/>
              </w:tabs>
              <w:suppressAutoHyphens/>
              <w:rPr>
                <w:spacing w:val="-2"/>
                <w:szCs w:val="22"/>
              </w:rPr>
            </w:pPr>
            <w:r w:rsidRPr="009D3B2D">
              <w:rPr>
                <w:spacing w:val="-2"/>
                <w:szCs w:val="22"/>
              </w:rPr>
              <w:t>Complainant,</w:t>
            </w:r>
          </w:p>
          <w:p w:rsidR="0088206C" w:rsidRPr="009D3B2D" w:rsidP="007115F7" w14:paraId="7A424853" w14:textId="77777777">
            <w:pPr>
              <w:tabs>
                <w:tab w:val="center" w:pos="4680"/>
              </w:tabs>
              <w:suppressAutoHyphens/>
              <w:rPr>
                <w:spacing w:val="-2"/>
                <w:szCs w:val="22"/>
              </w:rPr>
            </w:pPr>
          </w:p>
          <w:p w:rsidR="0088206C" w:rsidRPr="009D3B2D" w:rsidP="007115F7" w14:paraId="497687C9" w14:textId="77777777">
            <w:pPr>
              <w:tabs>
                <w:tab w:val="center" w:pos="4680"/>
              </w:tabs>
              <w:suppressAutoHyphens/>
              <w:rPr>
                <w:spacing w:val="-2"/>
                <w:szCs w:val="22"/>
              </w:rPr>
            </w:pPr>
            <w:r w:rsidRPr="009D3B2D">
              <w:rPr>
                <w:spacing w:val="-2"/>
                <w:szCs w:val="22"/>
              </w:rPr>
              <w:t xml:space="preserve">v. </w:t>
            </w:r>
          </w:p>
          <w:p w:rsidR="0088206C" w:rsidRPr="009D3B2D" w:rsidP="007115F7" w14:paraId="430DC09A" w14:textId="77777777">
            <w:pPr>
              <w:tabs>
                <w:tab w:val="center" w:pos="4680"/>
              </w:tabs>
              <w:suppressAutoHyphens/>
              <w:rPr>
                <w:spacing w:val="-2"/>
                <w:szCs w:val="22"/>
              </w:rPr>
            </w:pPr>
          </w:p>
          <w:p w:rsidR="0088206C" w:rsidRPr="009D3B2D" w:rsidP="007115F7" w14:paraId="49DB851E" w14:textId="1029AFF3">
            <w:pPr>
              <w:tabs>
                <w:tab w:val="center" w:pos="4680"/>
              </w:tabs>
              <w:suppressAutoHyphens/>
              <w:rPr>
                <w:spacing w:val="-2"/>
                <w:szCs w:val="22"/>
              </w:rPr>
            </w:pPr>
            <w:r w:rsidRPr="009D3B2D">
              <w:rPr>
                <w:spacing w:val="-2"/>
                <w:szCs w:val="22"/>
              </w:rPr>
              <w:t>Nexstar Media Inc</w:t>
            </w:r>
            <w:r w:rsidRPr="009D3B2D">
              <w:rPr>
                <w:spacing w:val="-2"/>
                <w:szCs w:val="22"/>
              </w:rPr>
              <w:t>.,</w:t>
            </w:r>
          </w:p>
          <w:p w:rsidR="0088206C" w:rsidRPr="009D3B2D" w:rsidP="007115F7" w14:paraId="4CF8B5F6" w14:textId="77777777">
            <w:pPr>
              <w:tabs>
                <w:tab w:val="center" w:pos="4680"/>
              </w:tabs>
              <w:suppressAutoHyphens/>
              <w:rPr>
                <w:spacing w:val="-2"/>
                <w:szCs w:val="22"/>
              </w:rPr>
            </w:pPr>
          </w:p>
          <w:p w:rsidR="0088206C" w:rsidRPr="009D3B2D" w:rsidP="00C73317" w14:paraId="6D22C880" w14:textId="2F8379C4">
            <w:pPr>
              <w:tabs>
                <w:tab w:val="center" w:pos="4680"/>
              </w:tabs>
              <w:suppressAutoHyphens/>
              <w:rPr>
                <w:spacing w:val="-2"/>
                <w:szCs w:val="22"/>
              </w:rPr>
            </w:pPr>
            <w:r w:rsidRPr="009D3B2D">
              <w:rPr>
                <w:spacing w:val="-2"/>
                <w:szCs w:val="22"/>
              </w:rPr>
              <w:t>Defendant.</w:t>
            </w:r>
          </w:p>
        </w:tc>
        <w:tc>
          <w:tcPr>
            <w:tcW w:w="630" w:type="dxa"/>
          </w:tcPr>
          <w:p w:rsidR="004C2EE3" w:rsidRPr="009D3B2D" w14:paraId="6A72C9D0" w14:textId="77777777">
            <w:pPr>
              <w:tabs>
                <w:tab w:val="center" w:pos="4680"/>
              </w:tabs>
              <w:suppressAutoHyphens/>
              <w:rPr>
                <w:b/>
                <w:spacing w:val="-2"/>
                <w:szCs w:val="22"/>
              </w:rPr>
            </w:pPr>
            <w:r w:rsidRPr="009D3B2D">
              <w:rPr>
                <w:b/>
                <w:spacing w:val="-2"/>
                <w:szCs w:val="22"/>
              </w:rPr>
              <w:t>)</w:t>
            </w:r>
          </w:p>
          <w:p w:rsidR="004C2EE3" w:rsidRPr="009D3B2D" w14:paraId="50B51F61" w14:textId="77777777">
            <w:pPr>
              <w:tabs>
                <w:tab w:val="center" w:pos="4680"/>
              </w:tabs>
              <w:suppressAutoHyphens/>
              <w:rPr>
                <w:b/>
                <w:spacing w:val="-2"/>
                <w:szCs w:val="22"/>
              </w:rPr>
            </w:pPr>
            <w:r w:rsidRPr="009D3B2D">
              <w:rPr>
                <w:b/>
                <w:spacing w:val="-2"/>
                <w:szCs w:val="22"/>
              </w:rPr>
              <w:t>)</w:t>
            </w:r>
          </w:p>
          <w:p w:rsidR="004C2EE3" w:rsidRPr="009D3B2D" w14:paraId="4F81BEE1" w14:textId="77777777">
            <w:pPr>
              <w:tabs>
                <w:tab w:val="center" w:pos="4680"/>
              </w:tabs>
              <w:suppressAutoHyphens/>
              <w:rPr>
                <w:b/>
                <w:spacing w:val="-2"/>
                <w:szCs w:val="22"/>
              </w:rPr>
            </w:pPr>
            <w:r w:rsidRPr="009D3B2D">
              <w:rPr>
                <w:b/>
                <w:spacing w:val="-2"/>
                <w:szCs w:val="22"/>
              </w:rPr>
              <w:t>)</w:t>
            </w:r>
          </w:p>
          <w:p w:rsidR="004C2EE3" w:rsidRPr="009D3B2D" w14:paraId="3F849422" w14:textId="77777777">
            <w:pPr>
              <w:tabs>
                <w:tab w:val="center" w:pos="4680"/>
              </w:tabs>
              <w:suppressAutoHyphens/>
              <w:rPr>
                <w:b/>
                <w:spacing w:val="-2"/>
                <w:szCs w:val="22"/>
              </w:rPr>
            </w:pPr>
            <w:r w:rsidRPr="009D3B2D">
              <w:rPr>
                <w:b/>
                <w:spacing w:val="-2"/>
                <w:szCs w:val="22"/>
              </w:rPr>
              <w:t>)</w:t>
            </w:r>
          </w:p>
          <w:p w:rsidR="004C2EE3" w:rsidRPr="009D3B2D" w14:paraId="5C33A063" w14:textId="77777777">
            <w:pPr>
              <w:tabs>
                <w:tab w:val="center" w:pos="4680"/>
              </w:tabs>
              <w:suppressAutoHyphens/>
              <w:rPr>
                <w:b/>
                <w:spacing w:val="-2"/>
                <w:szCs w:val="22"/>
              </w:rPr>
            </w:pPr>
            <w:r w:rsidRPr="009D3B2D">
              <w:rPr>
                <w:b/>
                <w:spacing w:val="-2"/>
                <w:szCs w:val="22"/>
              </w:rPr>
              <w:t>)</w:t>
            </w:r>
          </w:p>
          <w:p w:rsidR="004C2EE3" w:rsidRPr="009D3B2D" w14:paraId="439CCD1B" w14:textId="77777777">
            <w:pPr>
              <w:tabs>
                <w:tab w:val="center" w:pos="4680"/>
              </w:tabs>
              <w:suppressAutoHyphens/>
              <w:rPr>
                <w:b/>
                <w:spacing w:val="-2"/>
                <w:szCs w:val="22"/>
              </w:rPr>
            </w:pPr>
            <w:r w:rsidRPr="009D3B2D">
              <w:rPr>
                <w:b/>
                <w:spacing w:val="-2"/>
                <w:szCs w:val="22"/>
              </w:rPr>
              <w:t>)</w:t>
            </w:r>
          </w:p>
          <w:p w:rsidR="004C2EE3" w:rsidRPr="009D3B2D" w14:paraId="71756829" w14:textId="77777777">
            <w:pPr>
              <w:tabs>
                <w:tab w:val="center" w:pos="4680"/>
              </w:tabs>
              <w:suppressAutoHyphens/>
              <w:rPr>
                <w:b/>
                <w:spacing w:val="-2"/>
                <w:szCs w:val="22"/>
              </w:rPr>
            </w:pPr>
            <w:r w:rsidRPr="009D3B2D">
              <w:rPr>
                <w:b/>
                <w:spacing w:val="-2"/>
                <w:szCs w:val="22"/>
              </w:rPr>
              <w:t>)</w:t>
            </w:r>
          </w:p>
          <w:p w:rsidR="004C2EE3" w:rsidRPr="009D3B2D" w14:paraId="4029E78D" w14:textId="77777777">
            <w:pPr>
              <w:tabs>
                <w:tab w:val="center" w:pos="4680"/>
              </w:tabs>
              <w:suppressAutoHyphens/>
              <w:rPr>
                <w:b/>
                <w:spacing w:val="-2"/>
                <w:szCs w:val="22"/>
              </w:rPr>
            </w:pPr>
            <w:r w:rsidRPr="009D3B2D">
              <w:rPr>
                <w:b/>
                <w:spacing w:val="-2"/>
                <w:szCs w:val="22"/>
              </w:rPr>
              <w:t>)</w:t>
            </w:r>
          </w:p>
          <w:p w:rsidR="004C2EE3" w:rsidRPr="009D3B2D" w14:paraId="40D3DD6F" w14:textId="77777777">
            <w:pPr>
              <w:tabs>
                <w:tab w:val="center" w:pos="4680"/>
              </w:tabs>
              <w:suppressAutoHyphens/>
              <w:rPr>
                <w:b/>
                <w:spacing w:val="-2"/>
                <w:szCs w:val="22"/>
              </w:rPr>
            </w:pPr>
            <w:r w:rsidRPr="009D3B2D">
              <w:rPr>
                <w:b/>
                <w:spacing w:val="-2"/>
                <w:szCs w:val="22"/>
              </w:rPr>
              <w:t>)</w:t>
            </w:r>
          </w:p>
          <w:p w:rsidR="0088206C" w:rsidRPr="009D3B2D" w14:paraId="085F51AF" w14:textId="4BCD5E05">
            <w:pPr>
              <w:tabs>
                <w:tab w:val="center" w:pos="4680"/>
              </w:tabs>
              <w:suppressAutoHyphens/>
              <w:rPr>
                <w:b/>
                <w:spacing w:val="-2"/>
                <w:szCs w:val="22"/>
              </w:rPr>
            </w:pPr>
            <w:r w:rsidRPr="009D3B2D">
              <w:rPr>
                <w:b/>
                <w:spacing w:val="-2"/>
                <w:szCs w:val="22"/>
              </w:rPr>
              <w:t>)</w:t>
            </w:r>
          </w:p>
          <w:p w:rsidR="0088206C" w:rsidRPr="009D3B2D" w14:paraId="3B44F62F" w14:textId="77777777">
            <w:pPr>
              <w:tabs>
                <w:tab w:val="center" w:pos="4680"/>
              </w:tabs>
              <w:suppressAutoHyphens/>
              <w:rPr>
                <w:b/>
                <w:bCs/>
                <w:spacing w:val="-2"/>
                <w:szCs w:val="22"/>
              </w:rPr>
            </w:pPr>
            <w:r w:rsidRPr="009D3B2D">
              <w:rPr>
                <w:b/>
                <w:bCs/>
                <w:spacing w:val="-2"/>
                <w:szCs w:val="22"/>
              </w:rPr>
              <w:t>)</w:t>
            </w:r>
          </w:p>
          <w:p w:rsidR="0088206C" w:rsidRPr="009D3B2D" w14:paraId="227B5F8C" w14:textId="77777777">
            <w:pPr>
              <w:tabs>
                <w:tab w:val="center" w:pos="4680"/>
              </w:tabs>
              <w:suppressAutoHyphens/>
              <w:rPr>
                <w:b/>
                <w:bCs/>
                <w:spacing w:val="-2"/>
                <w:szCs w:val="22"/>
              </w:rPr>
            </w:pPr>
            <w:r w:rsidRPr="009D3B2D">
              <w:rPr>
                <w:b/>
                <w:bCs/>
                <w:spacing w:val="-2"/>
                <w:szCs w:val="22"/>
              </w:rPr>
              <w:t>)</w:t>
            </w:r>
          </w:p>
          <w:p w:rsidR="0088206C" w:rsidRPr="009D3B2D" w14:paraId="22A4F367" w14:textId="720D39CD">
            <w:pPr>
              <w:tabs>
                <w:tab w:val="center" w:pos="4680"/>
              </w:tabs>
              <w:suppressAutoHyphens/>
              <w:rPr>
                <w:b/>
                <w:bCs/>
                <w:spacing w:val="-2"/>
                <w:szCs w:val="22"/>
              </w:rPr>
            </w:pPr>
            <w:r w:rsidRPr="009D3B2D">
              <w:rPr>
                <w:b/>
                <w:bCs/>
                <w:spacing w:val="-2"/>
                <w:szCs w:val="22"/>
              </w:rPr>
              <w:t>)</w:t>
            </w:r>
          </w:p>
        </w:tc>
        <w:tc>
          <w:tcPr>
            <w:tcW w:w="4248" w:type="dxa"/>
          </w:tcPr>
          <w:p w:rsidR="004C2EE3" w:rsidRPr="009D3B2D" w14:paraId="2D1A6E77" w14:textId="77777777">
            <w:pPr>
              <w:tabs>
                <w:tab w:val="center" w:pos="4680"/>
              </w:tabs>
              <w:suppressAutoHyphens/>
              <w:rPr>
                <w:spacing w:val="-2"/>
                <w:szCs w:val="22"/>
              </w:rPr>
            </w:pPr>
          </w:p>
          <w:p w:rsidR="004C2EE3" w:rsidRPr="009D3B2D" w14:paraId="6A0C9FF9" w14:textId="77777777">
            <w:pPr>
              <w:pStyle w:val="TOAHeading"/>
              <w:tabs>
                <w:tab w:val="center" w:pos="4680"/>
                <w:tab w:val="clear" w:pos="9360"/>
              </w:tabs>
              <w:rPr>
                <w:spacing w:val="-2"/>
                <w:szCs w:val="22"/>
              </w:rPr>
            </w:pPr>
          </w:p>
          <w:p w:rsidR="004C2EE3" w:rsidRPr="009D3B2D" w14:paraId="725B6C2B" w14:textId="497FA16A">
            <w:pPr>
              <w:tabs>
                <w:tab w:val="center" w:pos="4680"/>
              </w:tabs>
              <w:suppressAutoHyphens/>
              <w:rPr>
                <w:spacing w:val="-2"/>
                <w:szCs w:val="22"/>
              </w:rPr>
            </w:pPr>
            <w:r w:rsidRPr="009D3B2D">
              <w:rPr>
                <w:spacing w:val="-2"/>
                <w:szCs w:val="22"/>
              </w:rPr>
              <w:t>MB Docket No. 25-197</w:t>
            </w:r>
          </w:p>
          <w:p w:rsidR="0088206C" w:rsidRPr="009D3B2D" w14:paraId="2E2AA48F" w14:textId="77777777">
            <w:pPr>
              <w:tabs>
                <w:tab w:val="center" w:pos="4680"/>
              </w:tabs>
              <w:suppressAutoHyphens/>
              <w:rPr>
                <w:spacing w:val="-2"/>
                <w:szCs w:val="22"/>
              </w:rPr>
            </w:pPr>
          </w:p>
          <w:p w:rsidR="0088206C" w:rsidRPr="009D3B2D" w14:paraId="22281808" w14:textId="77777777">
            <w:pPr>
              <w:tabs>
                <w:tab w:val="center" w:pos="4680"/>
              </w:tabs>
              <w:suppressAutoHyphens/>
              <w:rPr>
                <w:spacing w:val="-2"/>
                <w:szCs w:val="22"/>
              </w:rPr>
            </w:pPr>
          </w:p>
          <w:p w:rsidR="0088206C" w:rsidRPr="009D3B2D" w14:paraId="0161FE02" w14:textId="45CF1DEF">
            <w:pPr>
              <w:tabs>
                <w:tab w:val="center" w:pos="4680"/>
              </w:tabs>
              <w:suppressAutoHyphens/>
              <w:rPr>
                <w:spacing w:val="-2"/>
                <w:szCs w:val="22"/>
              </w:rPr>
            </w:pPr>
            <w:r w:rsidRPr="009D3B2D">
              <w:rPr>
                <w:spacing w:val="-2"/>
                <w:szCs w:val="22"/>
              </w:rPr>
              <w:t>File No. CSR-9023-C</w:t>
            </w:r>
          </w:p>
        </w:tc>
      </w:tr>
    </w:tbl>
    <w:p w:rsidR="004C2EE3" w:rsidRPr="009D3B2D" w:rsidP="0070224F" w14:paraId="4EF3372A" w14:textId="77777777">
      <w:pPr>
        <w:rPr>
          <w:szCs w:val="22"/>
        </w:rPr>
      </w:pPr>
    </w:p>
    <w:p w:rsidR="00841AB1" w:rsidRPr="009D3B2D" w:rsidP="00F021FA" w14:paraId="639826CD" w14:textId="7984688B">
      <w:pPr>
        <w:pStyle w:val="StyleBoldCentered"/>
        <w:rPr>
          <w:rFonts w:ascii="Times New Roman" w:hAnsi="Times New Roman"/>
        </w:rPr>
      </w:pPr>
      <w:r w:rsidRPr="009D3B2D">
        <w:rPr>
          <w:rFonts w:ascii="Times New Roman" w:hAnsi="Times New Roman"/>
        </w:rPr>
        <w:t>memorandum opinion and order</w:t>
      </w:r>
    </w:p>
    <w:p w:rsidR="004C2EE3" w:rsidRPr="009D3B2D" w14:paraId="5F157537" w14:textId="77777777">
      <w:pPr>
        <w:tabs>
          <w:tab w:val="left" w:pos="-720"/>
        </w:tabs>
        <w:suppressAutoHyphens/>
        <w:spacing w:line="227" w:lineRule="auto"/>
        <w:rPr>
          <w:spacing w:val="-2"/>
          <w:szCs w:val="22"/>
        </w:rPr>
      </w:pPr>
    </w:p>
    <w:p w:rsidR="004C2EE3" w:rsidRPr="009D3B2D" w:rsidP="00133F79" w14:paraId="553EAAA7" w14:textId="4FF12CCD">
      <w:pPr>
        <w:tabs>
          <w:tab w:val="left" w:pos="720"/>
          <w:tab w:val="right" w:pos="9360"/>
        </w:tabs>
        <w:suppressAutoHyphens/>
        <w:spacing w:line="227" w:lineRule="auto"/>
        <w:rPr>
          <w:spacing w:val="-2"/>
          <w:szCs w:val="22"/>
        </w:rPr>
      </w:pPr>
      <w:r w:rsidRPr="009D3B2D">
        <w:rPr>
          <w:b/>
          <w:spacing w:val="-2"/>
          <w:szCs w:val="22"/>
        </w:rPr>
        <w:t xml:space="preserve">Adopted:  </w:t>
      </w:r>
      <w:r w:rsidR="00D24856">
        <w:rPr>
          <w:b/>
          <w:spacing w:val="-2"/>
          <w:szCs w:val="22"/>
        </w:rPr>
        <w:t>December 12, 2025</w:t>
      </w:r>
      <w:r w:rsidRPr="009D3B2D">
        <w:rPr>
          <w:b/>
          <w:spacing w:val="-2"/>
          <w:szCs w:val="22"/>
        </w:rPr>
        <w:tab/>
      </w:r>
      <w:r w:rsidRPr="009D3B2D" w:rsidR="00822CE0">
        <w:rPr>
          <w:b/>
          <w:spacing w:val="-2"/>
          <w:szCs w:val="22"/>
        </w:rPr>
        <w:t>Released</w:t>
      </w:r>
      <w:r w:rsidRPr="009D3B2D">
        <w:rPr>
          <w:b/>
          <w:spacing w:val="-2"/>
          <w:szCs w:val="22"/>
        </w:rPr>
        <w:t>:</w:t>
      </w:r>
      <w:r w:rsidRPr="009D3B2D" w:rsidR="00822CE0">
        <w:rPr>
          <w:b/>
          <w:spacing w:val="-2"/>
          <w:szCs w:val="22"/>
        </w:rPr>
        <w:t xml:space="preserve"> </w:t>
      </w:r>
      <w:r w:rsidRPr="009D3B2D">
        <w:rPr>
          <w:b/>
          <w:spacing w:val="-2"/>
          <w:szCs w:val="22"/>
        </w:rPr>
        <w:t xml:space="preserve"> </w:t>
      </w:r>
      <w:r w:rsidR="00D24856">
        <w:rPr>
          <w:b/>
          <w:spacing w:val="-2"/>
          <w:szCs w:val="22"/>
        </w:rPr>
        <w:t>December 12, 2025</w:t>
      </w:r>
    </w:p>
    <w:p w:rsidR="00822CE0" w:rsidRPr="009D3B2D" w14:paraId="6025A32E" w14:textId="77777777">
      <w:pPr>
        <w:rPr>
          <w:szCs w:val="22"/>
        </w:rPr>
      </w:pPr>
    </w:p>
    <w:p w:rsidR="004C2EE3" w:rsidRPr="009D3B2D" w14:paraId="1EF205BD" w14:textId="58BB7DBD">
      <w:pPr>
        <w:rPr>
          <w:spacing w:val="-2"/>
          <w:szCs w:val="22"/>
        </w:rPr>
      </w:pPr>
      <w:r w:rsidRPr="009D3B2D">
        <w:rPr>
          <w:szCs w:val="22"/>
        </w:rPr>
        <w:t xml:space="preserve">By </w:t>
      </w:r>
      <w:r w:rsidRPr="009D3B2D" w:rsidR="004E4A22">
        <w:rPr>
          <w:szCs w:val="22"/>
        </w:rPr>
        <w:t>the</w:t>
      </w:r>
      <w:r w:rsidR="00301136">
        <w:rPr>
          <w:szCs w:val="22"/>
        </w:rPr>
        <w:t xml:space="preserve"> Acting</w:t>
      </w:r>
      <w:r w:rsidRPr="009D3B2D" w:rsidR="002A2D2E">
        <w:rPr>
          <w:szCs w:val="22"/>
        </w:rPr>
        <w:t xml:space="preserve"> </w:t>
      </w:r>
      <w:r w:rsidRPr="009D3B2D" w:rsidR="006405E7">
        <w:rPr>
          <w:szCs w:val="22"/>
        </w:rPr>
        <w:t>Chief, Media Bureau</w:t>
      </w:r>
      <w:r w:rsidRPr="009D3B2D">
        <w:rPr>
          <w:spacing w:val="-2"/>
          <w:szCs w:val="22"/>
        </w:rPr>
        <w:t>:</w:t>
      </w:r>
    </w:p>
    <w:p w:rsidR="00822CE0" w:rsidRPr="009D3B2D" w14:paraId="45D2D7F6" w14:textId="77777777">
      <w:pPr>
        <w:rPr>
          <w:spacing w:val="-2"/>
          <w:szCs w:val="22"/>
        </w:rPr>
      </w:pPr>
    </w:p>
    <w:p w:rsidR="00412FC5" w:rsidRPr="009D3B2D" w:rsidP="00C36B4C" w14:paraId="44B3C9F7" w14:textId="7944A291">
      <w:pPr>
        <w:pStyle w:val="Heading1"/>
        <w:rPr>
          <w:rFonts w:ascii="Times New Roman" w:hAnsi="Times New Roman"/>
          <w:szCs w:val="22"/>
        </w:rPr>
      </w:pPr>
      <w:bookmarkStart w:id="0" w:name="_Toc205884344"/>
      <w:bookmarkStart w:id="1" w:name="start_from_here"/>
      <w:r w:rsidRPr="009D3B2D">
        <w:rPr>
          <w:rFonts w:ascii="Times New Roman" w:hAnsi="Times New Roman"/>
          <w:szCs w:val="22"/>
        </w:rPr>
        <w:t>introduction</w:t>
      </w:r>
      <w:bookmarkEnd w:id="0"/>
      <w:bookmarkEnd w:id="1"/>
    </w:p>
    <w:p w:rsidR="007D2A43" w:rsidRPr="009D3B2D" w:rsidP="00BC7AE1" w14:paraId="5A23E034" w14:textId="62ECD4D1">
      <w:pPr>
        <w:pStyle w:val="ParaNum"/>
        <w:tabs>
          <w:tab w:val="clear" w:pos="1080"/>
        </w:tabs>
        <w:rPr>
          <w:szCs w:val="22"/>
        </w:rPr>
      </w:pPr>
      <w:r>
        <w:rPr>
          <w:szCs w:val="22"/>
        </w:rPr>
        <w:t xml:space="preserve">On June 13, 2025, </w:t>
      </w:r>
      <w:r w:rsidRPr="009D3B2D" w:rsidR="00213BFF">
        <w:rPr>
          <w:szCs w:val="22"/>
        </w:rPr>
        <w:t xml:space="preserve">Cincinnati Bell Extended Territories LLC dba </w:t>
      </w:r>
      <w:r w:rsidRPr="009D3B2D" w:rsidR="00213BFF">
        <w:rPr>
          <w:szCs w:val="22"/>
        </w:rPr>
        <w:t>altafiber</w:t>
      </w:r>
      <w:r w:rsidRPr="009D3B2D" w:rsidR="00213BFF">
        <w:rPr>
          <w:szCs w:val="22"/>
        </w:rPr>
        <w:t xml:space="preserve"> (Cincinnati Bell) </w:t>
      </w:r>
      <w:r w:rsidR="00072419">
        <w:rPr>
          <w:szCs w:val="22"/>
        </w:rPr>
        <w:t>filed a complaint</w:t>
      </w:r>
      <w:r>
        <w:rPr>
          <w:rStyle w:val="FootnoteReference"/>
          <w:szCs w:val="22"/>
        </w:rPr>
        <w:footnoteReference w:id="3"/>
      </w:r>
      <w:r w:rsidR="00072419">
        <w:rPr>
          <w:szCs w:val="22"/>
        </w:rPr>
        <w:t xml:space="preserve"> </w:t>
      </w:r>
      <w:r w:rsidRPr="009D3B2D" w:rsidR="00AC507C">
        <w:rPr>
          <w:szCs w:val="22"/>
        </w:rPr>
        <w:t xml:space="preserve">against Nexstar </w:t>
      </w:r>
      <w:r w:rsidRPr="009D3B2D" w:rsidR="00432030">
        <w:rPr>
          <w:szCs w:val="22"/>
        </w:rPr>
        <w:t>Media</w:t>
      </w:r>
      <w:r w:rsidR="0093292E">
        <w:rPr>
          <w:szCs w:val="22"/>
        </w:rPr>
        <w:t xml:space="preserve"> Inc.</w:t>
      </w:r>
      <w:r w:rsidRPr="009D3B2D" w:rsidR="00432030">
        <w:rPr>
          <w:szCs w:val="22"/>
        </w:rPr>
        <w:t xml:space="preserve"> (Nexstar) alleging violations of the requirement to </w:t>
      </w:r>
      <w:r w:rsidRPr="009D3B2D" w:rsidR="00EF7422">
        <w:rPr>
          <w:szCs w:val="22"/>
        </w:rPr>
        <w:t>negotiate retransmission consent</w:t>
      </w:r>
      <w:r w:rsidRPr="009D3B2D" w:rsidR="00AC507C">
        <w:rPr>
          <w:szCs w:val="22"/>
        </w:rPr>
        <w:t xml:space="preserve"> in good faith </w:t>
      </w:r>
      <w:r w:rsidRPr="009D3B2D" w:rsidR="00C2640A">
        <w:rPr>
          <w:szCs w:val="22"/>
        </w:rPr>
        <w:t>pursuant to section 325(b)(3)(C) of the Communications Act of 1934</w:t>
      </w:r>
      <w:r w:rsidRPr="009D3B2D" w:rsidR="00991857">
        <w:rPr>
          <w:szCs w:val="22"/>
        </w:rPr>
        <w:t>, as amended (the Act), and the Commission’s implementing rules.</w:t>
      </w:r>
      <w:r>
        <w:rPr>
          <w:rStyle w:val="FootnoteReference"/>
          <w:sz w:val="22"/>
          <w:szCs w:val="22"/>
        </w:rPr>
        <w:footnoteReference w:id="4"/>
      </w:r>
      <w:r w:rsidRPr="009D3B2D" w:rsidR="005B64E4">
        <w:rPr>
          <w:szCs w:val="22"/>
        </w:rPr>
        <w:t xml:space="preserve"> </w:t>
      </w:r>
      <w:r w:rsidRPr="009D3B2D" w:rsidR="000809BD">
        <w:rPr>
          <w:szCs w:val="22"/>
        </w:rPr>
        <w:t xml:space="preserve"> </w:t>
      </w:r>
      <w:r w:rsidRPr="009D3B2D" w:rsidR="00531041">
        <w:rPr>
          <w:szCs w:val="22"/>
        </w:rPr>
        <w:t xml:space="preserve">Cincinnati Bell </w:t>
      </w:r>
      <w:r w:rsidRPr="009D3B2D" w:rsidR="00C86826">
        <w:rPr>
          <w:szCs w:val="22"/>
        </w:rPr>
        <w:t>a</w:t>
      </w:r>
      <w:r w:rsidRPr="009D3B2D" w:rsidR="00FD15C4">
        <w:rPr>
          <w:szCs w:val="22"/>
        </w:rPr>
        <w:t>lleges</w:t>
      </w:r>
      <w:r w:rsidRPr="009D3B2D" w:rsidR="00395774">
        <w:rPr>
          <w:szCs w:val="22"/>
        </w:rPr>
        <w:t xml:space="preserve"> that Nexstar</w:t>
      </w:r>
      <w:r w:rsidRPr="009D3B2D" w:rsidR="007F7CBC">
        <w:rPr>
          <w:szCs w:val="22"/>
        </w:rPr>
        <w:t xml:space="preserve">, </w:t>
      </w:r>
      <w:r w:rsidR="00082F80">
        <w:rPr>
          <w:szCs w:val="22"/>
        </w:rPr>
        <w:t xml:space="preserve">as the </w:t>
      </w:r>
      <w:r w:rsidR="00F225F2">
        <w:rPr>
          <w:szCs w:val="22"/>
        </w:rPr>
        <w:t xml:space="preserve">licensee of </w:t>
      </w:r>
      <w:r w:rsidR="003E299B">
        <w:rPr>
          <w:szCs w:val="22"/>
        </w:rPr>
        <w:t xml:space="preserve">television station </w:t>
      </w:r>
      <w:r w:rsidR="00BF508A">
        <w:rPr>
          <w:szCs w:val="22"/>
        </w:rPr>
        <w:t>WDTN</w:t>
      </w:r>
      <w:r w:rsidR="005D1723">
        <w:rPr>
          <w:szCs w:val="22"/>
        </w:rPr>
        <w:t>,</w:t>
      </w:r>
      <w:r>
        <w:rPr>
          <w:rStyle w:val="FootnoteReference"/>
          <w:sz w:val="22"/>
          <w:szCs w:val="22"/>
        </w:rPr>
        <w:footnoteReference w:id="5"/>
      </w:r>
      <w:r w:rsidR="005D1723">
        <w:rPr>
          <w:szCs w:val="22"/>
        </w:rPr>
        <w:t xml:space="preserve"> breached its duty to negotiate </w:t>
      </w:r>
      <w:r w:rsidR="001801CB">
        <w:rPr>
          <w:szCs w:val="22"/>
        </w:rPr>
        <w:t xml:space="preserve">retransmission </w:t>
      </w:r>
      <w:r w:rsidR="0093222C">
        <w:rPr>
          <w:szCs w:val="22"/>
        </w:rPr>
        <w:t xml:space="preserve">consent </w:t>
      </w:r>
      <w:r w:rsidR="005D1723">
        <w:rPr>
          <w:szCs w:val="22"/>
        </w:rPr>
        <w:t>in good fai</w:t>
      </w:r>
      <w:r w:rsidR="00FA6633">
        <w:rPr>
          <w:szCs w:val="22"/>
        </w:rPr>
        <w:t>th</w:t>
      </w:r>
      <w:r w:rsidR="005D1723">
        <w:rPr>
          <w:szCs w:val="22"/>
        </w:rPr>
        <w:t>.</w:t>
      </w:r>
      <w:r w:rsidRPr="009D3B2D" w:rsidR="00047472">
        <w:rPr>
          <w:szCs w:val="22"/>
        </w:rPr>
        <w:t xml:space="preserve"> </w:t>
      </w:r>
      <w:bookmarkStart w:id="2" w:name="TOChere"/>
      <w:r w:rsidRPr="009D3B2D" w:rsidR="00C340CD">
        <w:rPr>
          <w:szCs w:val="22"/>
        </w:rPr>
        <w:t xml:space="preserve"> </w:t>
      </w:r>
      <w:r w:rsidRPr="009D3B2D" w:rsidR="00946A84">
        <w:rPr>
          <w:szCs w:val="22"/>
        </w:rPr>
        <w:t>Nexstar filed an Answer</w:t>
      </w:r>
      <w:r>
        <w:rPr>
          <w:rStyle w:val="FootnoteReference"/>
          <w:sz w:val="22"/>
          <w:szCs w:val="22"/>
        </w:rPr>
        <w:footnoteReference w:id="6"/>
      </w:r>
      <w:r w:rsidRPr="009D3B2D" w:rsidR="00946A84">
        <w:rPr>
          <w:szCs w:val="22"/>
        </w:rPr>
        <w:t xml:space="preserve"> and </w:t>
      </w:r>
      <w:r w:rsidRPr="009D3B2D" w:rsidR="00531041">
        <w:rPr>
          <w:szCs w:val="22"/>
        </w:rPr>
        <w:t>Cincinnati Bell</w:t>
      </w:r>
      <w:r w:rsidRPr="009D3B2D" w:rsidR="00946A84">
        <w:rPr>
          <w:szCs w:val="22"/>
        </w:rPr>
        <w:t xml:space="preserve"> filed a Reply.</w:t>
      </w:r>
      <w:r>
        <w:rPr>
          <w:rStyle w:val="FootnoteReference"/>
          <w:sz w:val="22"/>
          <w:szCs w:val="22"/>
        </w:rPr>
        <w:footnoteReference w:id="7"/>
      </w:r>
      <w:r w:rsidRPr="009D3B2D" w:rsidR="00946A84">
        <w:rPr>
          <w:szCs w:val="22"/>
        </w:rPr>
        <w:t xml:space="preserve">  For the reasons stated below, we deny the Complaint.</w:t>
      </w:r>
    </w:p>
    <w:p w:rsidR="000F47C0" w:rsidRPr="009D3B2D" w:rsidP="000F47C0" w14:paraId="3E0223D6" w14:textId="4F477AC2">
      <w:pPr>
        <w:pStyle w:val="Heading1"/>
        <w:rPr>
          <w:rFonts w:ascii="Times New Roman" w:hAnsi="Times New Roman"/>
          <w:szCs w:val="22"/>
        </w:rPr>
      </w:pPr>
      <w:r w:rsidRPr="009D3B2D">
        <w:rPr>
          <w:rFonts w:ascii="Times New Roman" w:hAnsi="Times New Roman"/>
          <w:szCs w:val="22"/>
        </w:rPr>
        <w:t>background</w:t>
      </w:r>
    </w:p>
    <w:p w:rsidR="007C0F77" w:rsidRPr="009D3B2D" w:rsidP="007C0F77" w14:paraId="474903F6" w14:textId="3301D375">
      <w:pPr>
        <w:pStyle w:val="Heading2"/>
        <w:rPr>
          <w:szCs w:val="22"/>
        </w:rPr>
      </w:pPr>
      <w:r w:rsidRPr="009D3B2D">
        <w:rPr>
          <w:szCs w:val="22"/>
        </w:rPr>
        <w:t>Relevant Law</w:t>
      </w:r>
      <w:r w:rsidR="00BC7AE1">
        <w:rPr>
          <w:szCs w:val="22"/>
        </w:rPr>
        <w:t xml:space="preserve"> and Commission Rules</w:t>
      </w:r>
    </w:p>
    <w:p w:rsidR="000C453A" w:rsidRPr="009D3B2D" w:rsidP="00DF301A" w14:paraId="65EEE758" w14:textId="0EB9F25D">
      <w:pPr>
        <w:pStyle w:val="ParaNum"/>
        <w:tabs>
          <w:tab w:val="clear" w:pos="1080"/>
        </w:tabs>
        <w:rPr>
          <w:szCs w:val="22"/>
        </w:rPr>
      </w:pPr>
      <w:r w:rsidRPr="009D3B2D">
        <w:rPr>
          <w:szCs w:val="22"/>
        </w:rPr>
        <w:t>Section 325(b)(3)(C) of the Act imposes on television broadcast stations and multichannel video programming distributors (MVPDs) a duty to negotiate retransmission consent in good faith.</w:t>
      </w:r>
      <w:r>
        <w:rPr>
          <w:szCs w:val="22"/>
          <w:vertAlign w:val="superscript"/>
        </w:rPr>
        <w:footnoteReference w:id="8"/>
      </w:r>
      <w:r w:rsidRPr="009D3B2D">
        <w:rPr>
          <w:szCs w:val="22"/>
        </w:rPr>
        <w:t xml:space="preserve">  Specifically, section 325(b)(3)(C)(ii) directs the Commission to establish rules that “prohibit a television broadcast station that provides retransmission consent from . . . failing to negotiate in good </w:t>
      </w:r>
      <w:r w:rsidRPr="009D3B2D">
        <w:rPr>
          <w:szCs w:val="22"/>
        </w:rPr>
        <w:t>faith.”</w:t>
      </w:r>
      <w:r>
        <w:rPr>
          <w:szCs w:val="22"/>
          <w:vertAlign w:val="superscript"/>
        </w:rPr>
        <w:footnoteReference w:id="9"/>
      </w:r>
      <w:r w:rsidRPr="009D3B2D">
        <w:rPr>
          <w:szCs w:val="22"/>
        </w:rPr>
        <w:t xml:space="preserve">  Section 325 also provides that “enter[</w:t>
      </w:r>
      <w:r w:rsidRPr="009D3B2D">
        <w:rPr>
          <w:szCs w:val="22"/>
        </w:rPr>
        <w:t>ing</w:t>
      </w:r>
      <w:r w:rsidRPr="009D3B2D">
        <w:rPr>
          <w:szCs w:val="22"/>
        </w:rPr>
        <w:t>] into retransmission consent agreements containing different terms and conditions . . . with different [MVPDs],” is not a violation of the duty to negotiate in good faith “if such different terms and conditions are based on competitive marketplace considerations.”</w:t>
      </w:r>
      <w:r>
        <w:rPr>
          <w:szCs w:val="22"/>
          <w:vertAlign w:val="superscript"/>
        </w:rPr>
        <w:footnoteReference w:id="10"/>
      </w:r>
      <w:r w:rsidRPr="009D3B2D">
        <w:rPr>
          <w:szCs w:val="22"/>
        </w:rPr>
        <w:t xml:space="preserve">  In the 2000 </w:t>
      </w:r>
      <w:r w:rsidRPr="009D3B2D">
        <w:rPr>
          <w:i/>
          <w:iCs/>
          <w:szCs w:val="22"/>
        </w:rPr>
        <w:t>Good Faith Order</w:t>
      </w:r>
      <w:r w:rsidRPr="009D3B2D">
        <w:rPr>
          <w:szCs w:val="22"/>
        </w:rPr>
        <w:t>, the Commission adopted rules that implemented the statutory good faith negotiation provision and established complaint procedures for alleged violations of the rules.</w:t>
      </w:r>
      <w:r>
        <w:rPr>
          <w:szCs w:val="22"/>
          <w:vertAlign w:val="superscript"/>
        </w:rPr>
        <w:footnoteReference w:id="11"/>
      </w:r>
      <w:r w:rsidRPr="009D3B2D">
        <w:rPr>
          <w:szCs w:val="22"/>
        </w:rPr>
        <w:t xml:space="preserve">  The </w:t>
      </w:r>
      <w:r w:rsidRPr="009D3B2D">
        <w:rPr>
          <w:i/>
          <w:iCs/>
          <w:szCs w:val="22"/>
        </w:rPr>
        <w:t xml:space="preserve">Good Faith Order </w:t>
      </w:r>
      <w:r w:rsidRPr="009D3B2D">
        <w:rPr>
          <w:szCs w:val="22"/>
        </w:rPr>
        <w:t>adopted a two-part test for good faith.</w:t>
      </w:r>
      <w:r>
        <w:rPr>
          <w:szCs w:val="22"/>
          <w:vertAlign w:val="superscript"/>
        </w:rPr>
        <w:footnoteReference w:id="12"/>
      </w:r>
      <w:r w:rsidRPr="009D3B2D">
        <w:rPr>
          <w:szCs w:val="22"/>
        </w:rPr>
        <w:t xml:space="preserve">  The first part of the test sets forth an objective list of negotiation standards.</w:t>
      </w:r>
      <w:r>
        <w:rPr>
          <w:szCs w:val="22"/>
          <w:vertAlign w:val="superscript"/>
        </w:rPr>
        <w:footnoteReference w:id="13"/>
      </w:r>
      <w:r w:rsidRPr="009D3B2D">
        <w:rPr>
          <w:szCs w:val="22"/>
        </w:rPr>
        <w:t xml:space="preserve">  Each of the standards applies to “Negotiating </w:t>
      </w:r>
      <w:r w:rsidRPr="009D3B2D">
        <w:rPr>
          <w:szCs w:val="22"/>
        </w:rPr>
        <w:t>Entit</w:t>
      </w:r>
      <w:r w:rsidRPr="009D3B2D">
        <w:rPr>
          <w:szCs w:val="22"/>
        </w:rPr>
        <w:t>[</w:t>
      </w:r>
      <w:r w:rsidRPr="009D3B2D">
        <w:rPr>
          <w:szCs w:val="22"/>
        </w:rPr>
        <w:t>ies</w:t>
      </w:r>
      <w:r w:rsidRPr="009D3B2D">
        <w:rPr>
          <w:szCs w:val="22"/>
        </w:rPr>
        <w:t>],” which the rules define as “a broadcast television station or [MVPD].”</w:t>
      </w:r>
      <w:r>
        <w:rPr>
          <w:szCs w:val="22"/>
          <w:vertAlign w:val="superscript"/>
        </w:rPr>
        <w:footnoteReference w:id="14"/>
      </w:r>
      <w:r w:rsidRPr="009D3B2D">
        <w:rPr>
          <w:szCs w:val="22"/>
        </w:rPr>
        <w:t xml:space="preserve">  A Negotiating Entity that engages in any of the acts or practices set forth in the list is deemed to have committed a </w:t>
      </w:r>
      <w:r w:rsidRPr="009D3B2D">
        <w:rPr>
          <w:i/>
          <w:iCs/>
          <w:szCs w:val="22"/>
        </w:rPr>
        <w:t xml:space="preserve">per se </w:t>
      </w:r>
      <w:r w:rsidRPr="009D3B2D">
        <w:rPr>
          <w:szCs w:val="22"/>
        </w:rPr>
        <w:t>breach of its statutory duty to negotiate retransmission consent in good faith.</w:t>
      </w:r>
      <w:r>
        <w:rPr>
          <w:szCs w:val="22"/>
          <w:vertAlign w:val="superscript"/>
        </w:rPr>
        <w:footnoteReference w:id="15"/>
      </w:r>
      <w:r w:rsidRPr="009D3B2D">
        <w:rPr>
          <w:szCs w:val="22"/>
        </w:rPr>
        <w:t xml:space="preserve">  </w:t>
      </w:r>
      <w:r w:rsidR="00F70105">
        <w:rPr>
          <w:szCs w:val="22"/>
        </w:rPr>
        <w:t>T</w:t>
      </w:r>
      <w:r w:rsidRPr="009D3B2D">
        <w:rPr>
          <w:szCs w:val="22"/>
        </w:rPr>
        <w:t xml:space="preserve">he </w:t>
      </w:r>
      <w:r w:rsidRPr="009D3B2D">
        <w:rPr>
          <w:i/>
          <w:iCs/>
          <w:szCs w:val="22"/>
        </w:rPr>
        <w:t xml:space="preserve">per se </w:t>
      </w:r>
      <w:r w:rsidRPr="009D3B2D">
        <w:rPr>
          <w:szCs w:val="22"/>
        </w:rPr>
        <w:t>standard implicated in this case provides that</w:t>
      </w:r>
      <w:r w:rsidRPr="009D3B2D" w:rsidR="004A4FE0">
        <w:rPr>
          <w:szCs w:val="22"/>
        </w:rPr>
        <w:t xml:space="preserve"> </w:t>
      </w:r>
      <w:r w:rsidRPr="009D3B2D" w:rsidR="00203382">
        <w:rPr>
          <w:szCs w:val="22"/>
        </w:rPr>
        <w:t xml:space="preserve">a </w:t>
      </w:r>
      <w:r w:rsidRPr="009D3B2D" w:rsidR="00CB7707">
        <w:rPr>
          <w:szCs w:val="22"/>
        </w:rPr>
        <w:t xml:space="preserve">Negotiating Entity </w:t>
      </w:r>
      <w:r w:rsidRPr="009D3B2D" w:rsidR="00203382">
        <w:rPr>
          <w:szCs w:val="22"/>
        </w:rPr>
        <w:t xml:space="preserve">may not refuse </w:t>
      </w:r>
      <w:r w:rsidRPr="009D3B2D" w:rsidR="00CB7707">
        <w:rPr>
          <w:szCs w:val="22"/>
        </w:rPr>
        <w:t xml:space="preserve">to </w:t>
      </w:r>
      <w:r w:rsidRPr="009D3B2D" w:rsidR="0010749F">
        <w:rPr>
          <w:szCs w:val="22"/>
        </w:rPr>
        <w:t>put forth more than a single, unilateral proposal.</w:t>
      </w:r>
      <w:r>
        <w:rPr>
          <w:rStyle w:val="FootnoteReference"/>
          <w:sz w:val="22"/>
          <w:szCs w:val="22"/>
        </w:rPr>
        <w:footnoteReference w:id="16"/>
      </w:r>
      <w:r w:rsidRPr="009D3B2D" w:rsidR="00143768">
        <w:rPr>
          <w:szCs w:val="22"/>
        </w:rPr>
        <w:t xml:space="preserve">  </w:t>
      </w:r>
      <w:r w:rsidRPr="009D3B2D" w:rsidR="00211F44">
        <w:rPr>
          <w:szCs w:val="22"/>
        </w:rPr>
        <w:t>T</w:t>
      </w:r>
      <w:r w:rsidRPr="009D3B2D" w:rsidR="00143768">
        <w:rPr>
          <w:szCs w:val="22"/>
        </w:rPr>
        <w:t>he Commission has previously explained</w:t>
      </w:r>
      <w:r w:rsidRPr="009D3B2D" w:rsidR="00211F44">
        <w:rPr>
          <w:szCs w:val="22"/>
        </w:rPr>
        <w:t xml:space="preserve"> that</w:t>
      </w:r>
      <w:r w:rsidRPr="009D3B2D" w:rsidR="00143768">
        <w:rPr>
          <w:szCs w:val="22"/>
        </w:rPr>
        <w:t xml:space="preserve"> “</w:t>
      </w:r>
      <w:r w:rsidR="00673A52">
        <w:rPr>
          <w:szCs w:val="22"/>
        </w:rPr>
        <w:t>‘</w:t>
      </w:r>
      <w:r w:rsidRPr="009D3B2D" w:rsidR="00143768">
        <w:rPr>
          <w:szCs w:val="22"/>
        </w:rPr>
        <w:t>[t]</w:t>
      </w:r>
      <w:r w:rsidRPr="009D3B2D" w:rsidR="00143768">
        <w:rPr>
          <w:szCs w:val="22"/>
        </w:rPr>
        <w:t>ake</w:t>
      </w:r>
      <w:r w:rsidRPr="009D3B2D" w:rsidR="00143768">
        <w:rPr>
          <w:szCs w:val="22"/>
        </w:rPr>
        <w:t xml:space="preserve"> it, or leave it</w:t>
      </w:r>
      <w:r w:rsidR="00673A52">
        <w:rPr>
          <w:szCs w:val="22"/>
        </w:rPr>
        <w:t>’</w:t>
      </w:r>
      <w:r w:rsidRPr="009D3B2D" w:rsidR="00143768">
        <w:rPr>
          <w:szCs w:val="22"/>
        </w:rPr>
        <w:t xml:space="preserve"> bargaining is not consistent with an affirmative obligation to negotiate in good faith.”</w:t>
      </w:r>
      <w:r>
        <w:rPr>
          <w:szCs w:val="22"/>
          <w:vertAlign w:val="superscript"/>
        </w:rPr>
        <w:footnoteReference w:id="17"/>
      </w:r>
      <w:r w:rsidRPr="009D3B2D" w:rsidR="00143768">
        <w:rPr>
          <w:szCs w:val="22"/>
        </w:rPr>
        <w:t xml:space="preserve">  </w:t>
      </w:r>
      <w:r w:rsidRPr="009D3B2D" w:rsidR="00F22A67">
        <w:rPr>
          <w:szCs w:val="22"/>
        </w:rPr>
        <w:t xml:space="preserve">Under this standard, </w:t>
      </w:r>
      <w:r w:rsidRPr="009D3B2D" w:rsidR="00143768">
        <w:rPr>
          <w:szCs w:val="22"/>
        </w:rPr>
        <w:t xml:space="preserve">Negotiating Entities </w:t>
      </w:r>
      <w:r w:rsidRPr="009D3B2D" w:rsidR="004B0F07">
        <w:rPr>
          <w:szCs w:val="22"/>
        </w:rPr>
        <w:t xml:space="preserve">are required to </w:t>
      </w:r>
      <w:r w:rsidRPr="009D3B2D" w:rsidR="00143768">
        <w:rPr>
          <w:szCs w:val="22"/>
        </w:rPr>
        <w:t>be open to discussing more than one form of consideration during retransmission consent negotiations.</w:t>
      </w:r>
      <w:r>
        <w:rPr>
          <w:szCs w:val="22"/>
          <w:vertAlign w:val="superscript"/>
        </w:rPr>
        <w:footnoteReference w:id="18"/>
      </w:r>
    </w:p>
    <w:p w:rsidR="003D0CAA" w:rsidRPr="00D842E2" w:rsidP="00B00FE7" w14:paraId="6A368215" w14:textId="29EC11DB">
      <w:pPr>
        <w:pStyle w:val="ParaNum"/>
        <w:tabs>
          <w:tab w:val="clear" w:pos="1080"/>
        </w:tabs>
        <w:rPr>
          <w:szCs w:val="22"/>
        </w:rPr>
      </w:pPr>
      <w:r w:rsidRPr="009D3B2D">
        <w:rPr>
          <w:szCs w:val="22"/>
        </w:rPr>
        <w:t xml:space="preserve">The second part of the good faith test considers whether a Negotiating Entity has failed to negotiate in good faith based on the </w:t>
      </w:r>
      <w:r w:rsidR="007234BE">
        <w:rPr>
          <w:szCs w:val="22"/>
        </w:rPr>
        <w:t>“</w:t>
      </w:r>
      <w:r w:rsidRPr="009D3B2D">
        <w:rPr>
          <w:szCs w:val="22"/>
        </w:rPr>
        <w:t>totality of the circumstances.</w:t>
      </w:r>
      <w:r w:rsidR="007234BE">
        <w:rPr>
          <w:szCs w:val="22"/>
        </w:rPr>
        <w:t>”</w:t>
      </w:r>
      <w:r>
        <w:rPr>
          <w:rStyle w:val="FootnoteReference"/>
          <w:sz w:val="22"/>
          <w:szCs w:val="22"/>
        </w:rPr>
        <w:footnoteReference w:id="19"/>
      </w:r>
      <w:r w:rsidRPr="009D3B2D">
        <w:rPr>
          <w:szCs w:val="22"/>
        </w:rPr>
        <w:t xml:space="preserve">  Under this standard, a broadcast station or MVPD may present facts to the Commission that, viewed in totality, amount to a failure to negotiate in good faith.</w:t>
      </w:r>
      <w:r>
        <w:rPr>
          <w:rStyle w:val="FootnoteReference"/>
          <w:sz w:val="22"/>
          <w:szCs w:val="22"/>
        </w:rPr>
        <w:footnoteReference w:id="20"/>
      </w:r>
      <w:r w:rsidRPr="009D3B2D">
        <w:rPr>
          <w:szCs w:val="22"/>
        </w:rPr>
        <w:t xml:space="preserve">  </w:t>
      </w:r>
      <w:r w:rsidRPr="00D842E2">
        <w:rPr>
          <w:szCs w:val="22"/>
        </w:rPr>
        <w:t>A broadcast station or MVPD that believes itself aggrieved under the good faith rules may file a complaint pursuant to section 76.7 of the Commission’s rules.</w:t>
      </w:r>
      <w:r>
        <w:rPr>
          <w:rStyle w:val="FootnoteReference"/>
          <w:sz w:val="22"/>
          <w:szCs w:val="22"/>
        </w:rPr>
        <w:footnoteReference w:id="21"/>
      </w:r>
      <w:r w:rsidRPr="00D842E2">
        <w:rPr>
          <w:szCs w:val="22"/>
        </w:rPr>
        <w:t xml:space="preserve">  The burden of proof in good faith complaint proceedings is on the complainant.</w:t>
      </w:r>
      <w:r>
        <w:rPr>
          <w:rStyle w:val="FootnoteReference"/>
          <w:sz w:val="22"/>
          <w:szCs w:val="22"/>
        </w:rPr>
        <w:footnoteReference w:id="22"/>
      </w:r>
    </w:p>
    <w:p w:rsidR="007C0F77" w:rsidRPr="009D3B2D" w:rsidP="00690BC3" w14:paraId="0008028B" w14:textId="5CE42F03">
      <w:pPr>
        <w:pStyle w:val="Heading2"/>
        <w:rPr>
          <w:szCs w:val="22"/>
        </w:rPr>
      </w:pPr>
      <w:r w:rsidRPr="009D3B2D">
        <w:rPr>
          <w:szCs w:val="22"/>
        </w:rPr>
        <w:t>Factual Summary</w:t>
      </w:r>
      <w:r>
        <w:rPr>
          <w:rStyle w:val="FootnoteReference"/>
          <w:szCs w:val="22"/>
        </w:rPr>
        <w:footnoteReference w:id="23"/>
      </w:r>
    </w:p>
    <w:bookmarkEnd w:id="2"/>
    <w:p w:rsidR="009A276A" w:rsidRPr="009D3B2D" w:rsidP="00B00FE7" w14:paraId="58F5C493" w14:textId="660032EE">
      <w:pPr>
        <w:pStyle w:val="ParaNum"/>
        <w:tabs>
          <w:tab w:val="clear" w:pos="1080"/>
        </w:tabs>
        <w:rPr>
          <w:szCs w:val="22"/>
        </w:rPr>
      </w:pPr>
      <w:r w:rsidRPr="009D3B2D">
        <w:rPr>
          <w:szCs w:val="22"/>
        </w:rPr>
        <w:t>Cincinnati Bell</w:t>
      </w:r>
      <w:r w:rsidRPr="009D3B2D" w:rsidR="00CD0419">
        <w:rPr>
          <w:szCs w:val="22"/>
        </w:rPr>
        <w:t xml:space="preserve"> is an </w:t>
      </w:r>
      <w:r w:rsidRPr="009D3B2D" w:rsidR="00A81BFC">
        <w:rPr>
          <w:szCs w:val="22"/>
        </w:rPr>
        <w:t xml:space="preserve">MVPD </w:t>
      </w:r>
      <w:r w:rsidRPr="009D3B2D" w:rsidR="00CD0419">
        <w:rPr>
          <w:szCs w:val="22"/>
        </w:rPr>
        <w:t xml:space="preserve">that offers cable </w:t>
      </w:r>
      <w:r w:rsidRPr="009D3B2D" w:rsidR="00A81BFC">
        <w:rPr>
          <w:szCs w:val="22"/>
        </w:rPr>
        <w:t>service</w:t>
      </w:r>
      <w:r w:rsidRPr="009D3B2D" w:rsidR="007B1792">
        <w:rPr>
          <w:szCs w:val="22"/>
        </w:rPr>
        <w:t xml:space="preserve"> </w:t>
      </w:r>
      <w:r w:rsidR="00DB54ED">
        <w:rPr>
          <w:szCs w:val="22"/>
        </w:rPr>
        <w:t>to sub</w:t>
      </w:r>
      <w:r w:rsidR="00732645">
        <w:rPr>
          <w:szCs w:val="22"/>
        </w:rPr>
        <w:t>scribers in two</w:t>
      </w:r>
      <w:r w:rsidRPr="009D3B2D" w:rsidR="00AD522F">
        <w:rPr>
          <w:szCs w:val="22"/>
        </w:rPr>
        <w:t xml:space="preserve"> Ohio</w:t>
      </w:r>
      <w:r w:rsidR="00732645">
        <w:rPr>
          <w:szCs w:val="22"/>
        </w:rPr>
        <w:t xml:space="preserve"> </w:t>
      </w:r>
      <w:r w:rsidR="00732645">
        <w:rPr>
          <w:szCs w:val="22"/>
        </w:rPr>
        <w:t>designated market areas (DMAs), Dayton and Cincinnati</w:t>
      </w:r>
      <w:r w:rsidRPr="009D3B2D" w:rsidR="00AD522F">
        <w:rPr>
          <w:szCs w:val="22"/>
        </w:rPr>
        <w:t>.</w:t>
      </w:r>
      <w:r>
        <w:rPr>
          <w:rStyle w:val="FootnoteReference"/>
          <w:sz w:val="22"/>
          <w:szCs w:val="22"/>
        </w:rPr>
        <w:footnoteReference w:id="24"/>
      </w:r>
      <w:r w:rsidRPr="009D3B2D" w:rsidR="00AD522F">
        <w:rPr>
          <w:szCs w:val="22"/>
        </w:rPr>
        <w:t xml:space="preserve">  Nexstar</w:t>
      </w:r>
      <w:r w:rsidRPr="009D3B2D" w:rsidR="003C36B9">
        <w:rPr>
          <w:szCs w:val="22"/>
        </w:rPr>
        <w:t xml:space="preserve"> is the licensee of</w:t>
      </w:r>
      <w:r w:rsidRPr="009D3B2D" w:rsidR="00AD522F">
        <w:rPr>
          <w:szCs w:val="22"/>
        </w:rPr>
        <w:t xml:space="preserve"> WDTN</w:t>
      </w:r>
      <w:r w:rsidRPr="009D3B2D" w:rsidR="00FA7C89">
        <w:rPr>
          <w:szCs w:val="22"/>
        </w:rPr>
        <w:t xml:space="preserve">, </w:t>
      </w:r>
      <w:r w:rsidRPr="009D3B2D" w:rsidR="00016820">
        <w:rPr>
          <w:szCs w:val="22"/>
        </w:rPr>
        <w:t>a</w:t>
      </w:r>
      <w:r w:rsidRPr="009D3B2D" w:rsidR="00E64F0B">
        <w:rPr>
          <w:szCs w:val="22"/>
        </w:rPr>
        <w:t xml:space="preserve">n NBC-affiliated </w:t>
      </w:r>
      <w:r w:rsidR="00442484">
        <w:rPr>
          <w:szCs w:val="22"/>
        </w:rPr>
        <w:t xml:space="preserve">broadcast </w:t>
      </w:r>
      <w:r w:rsidRPr="009D3B2D" w:rsidR="00E64F0B">
        <w:rPr>
          <w:szCs w:val="22"/>
        </w:rPr>
        <w:t>television station that serves the Dayton DMA</w:t>
      </w:r>
      <w:r w:rsidRPr="009D3B2D" w:rsidR="003C36B9">
        <w:rPr>
          <w:szCs w:val="22"/>
        </w:rPr>
        <w:t xml:space="preserve">, and </w:t>
      </w:r>
      <w:r w:rsidR="00213104">
        <w:rPr>
          <w:szCs w:val="22"/>
        </w:rPr>
        <w:t xml:space="preserve">Nexstar also wholly owns </w:t>
      </w:r>
      <w:r w:rsidRPr="009D3B2D" w:rsidR="003C36B9">
        <w:rPr>
          <w:szCs w:val="22"/>
        </w:rPr>
        <w:t>NewsNation</w:t>
      </w:r>
      <w:r w:rsidRPr="009D3B2D" w:rsidR="004D70A7">
        <w:rPr>
          <w:szCs w:val="22"/>
        </w:rPr>
        <w:t xml:space="preserve">, a </w:t>
      </w:r>
      <w:r w:rsidRPr="009D3B2D">
        <w:rPr>
          <w:szCs w:val="22"/>
        </w:rPr>
        <w:t xml:space="preserve">cable television </w:t>
      </w:r>
      <w:r w:rsidR="00446AE0">
        <w:rPr>
          <w:szCs w:val="22"/>
        </w:rPr>
        <w:t>network</w:t>
      </w:r>
      <w:r w:rsidRPr="009D3B2D">
        <w:rPr>
          <w:szCs w:val="22"/>
        </w:rPr>
        <w:t xml:space="preserve"> that provides 24-hour news</w:t>
      </w:r>
      <w:r w:rsidRPr="009D3B2D" w:rsidR="0097044F">
        <w:rPr>
          <w:szCs w:val="22"/>
        </w:rPr>
        <w:t>.</w:t>
      </w:r>
      <w:r>
        <w:rPr>
          <w:rStyle w:val="FootnoteReference"/>
          <w:sz w:val="22"/>
          <w:szCs w:val="22"/>
        </w:rPr>
        <w:footnoteReference w:id="25"/>
      </w:r>
      <w:r w:rsidRPr="009D3B2D" w:rsidR="00016820">
        <w:rPr>
          <w:szCs w:val="22"/>
        </w:rPr>
        <w:t xml:space="preserve"> </w:t>
      </w:r>
      <w:r w:rsidRPr="009D3B2D">
        <w:rPr>
          <w:szCs w:val="22"/>
        </w:rPr>
        <w:t xml:space="preserve"> </w:t>
      </w:r>
      <w:r w:rsidRPr="009D3B2D" w:rsidR="007410E1">
        <w:rPr>
          <w:szCs w:val="22"/>
        </w:rPr>
        <w:t>On April 14, 2025</w:t>
      </w:r>
      <w:r w:rsidRPr="009D3B2D" w:rsidR="00454AB4">
        <w:rPr>
          <w:szCs w:val="22"/>
        </w:rPr>
        <w:t>,</w:t>
      </w:r>
      <w:r w:rsidRPr="009D3B2D" w:rsidR="002166A4">
        <w:rPr>
          <w:szCs w:val="22"/>
        </w:rPr>
        <w:t xml:space="preserve"> </w:t>
      </w:r>
      <w:r w:rsidRPr="009D3B2D" w:rsidR="00A41A41">
        <w:rPr>
          <w:szCs w:val="22"/>
        </w:rPr>
        <w:t>Cincinnati</w:t>
      </w:r>
      <w:r w:rsidRPr="009D3B2D" w:rsidR="00971E9B">
        <w:rPr>
          <w:szCs w:val="22"/>
        </w:rPr>
        <w:t xml:space="preserve"> Bell and Nexstar </w:t>
      </w:r>
      <w:r w:rsidRPr="009D3B2D" w:rsidR="002F79EA">
        <w:rPr>
          <w:szCs w:val="22"/>
        </w:rPr>
        <w:t>began negotiating renewal of a 2022 agreement</w:t>
      </w:r>
      <w:r w:rsidRPr="009D3B2D" w:rsidR="00BE77B7">
        <w:rPr>
          <w:szCs w:val="22"/>
        </w:rPr>
        <w:t>.</w:t>
      </w:r>
      <w:r>
        <w:rPr>
          <w:rStyle w:val="FootnoteReference"/>
          <w:sz w:val="22"/>
          <w:szCs w:val="22"/>
        </w:rPr>
        <w:footnoteReference w:id="26"/>
      </w:r>
      <w:r w:rsidRPr="009D3B2D" w:rsidR="00BE77B7">
        <w:rPr>
          <w:szCs w:val="22"/>
        </w:rPr>
        <w:t xml:space="preserve"> </w:t>
      </w:r>
      <w:r w:rsidRPr="009D3B2D" w:rsidR="003D4B6B">
        <w:rPr>
          <w:szCs w:val="22"/>
        </w:rPr>
        <w:t xml:space="preserve"> </w:t>
      </w:r>
      <w:r w:rsidRPr="003875C9" w:rsidR="003875C9">
        <w:rPr>
          <w:szCs w:val="22"/>
        </w:rPr>
        <w:t xml:space="preserve">The </w:t>
      </w:r>
      <w:r w:rsidR="003875C9">
        <w:rPr>
          <w:szCs w:val="22"/>
        </w:rPr>
        <w:t>prior agreement included</w:t>
      </w:r>
      <w:r w:rsidRPr="003875C9" w:rsidR="003875C9">
        <w:rPr>
          <w:szCs w:val="22"/>
        </w:rPr>
        <w:t>: (</w:t>
      </w:r>
      <w:r w:rsidRPr="003875C9" w:rsidR="003875C9">
        <w:rPr>
          <w:szCs w:val="22"/>
        </w:rPr>
        <w:t>i</w:t>
      </w:r>
      <w:r w:rsidRPr="003875C9" w:rsidR="003875C9">
        <w:rPr>
          <w:szCs w:val="22"/>
        </w:rPr>
        <w:t>) a retransmission agreement dated June 3, 2022 governing carriage of WDTN’s signal to Cincinnati Bell’s subscribers in the Dayton DMA; and (ii) a distribution agreement dated June 3, 2022 that required Cincinnati Bell to distribute NewsNation to its subscribers in both the Dayton and Cincinnati DMAs.</w:t>
      </w:r>
      <w:r>
        <w:rPr>
          <w:rStyle w:val="FootnoteReference"/>
          <w:szCs w:val="22"/>
        </w:rPr>
        <w:footnoteReference w:id="27"/>
      </w:r>
      <w:r w:rsidR="003875C9">
        <w:rPr>
          <w:szCs w:val="22"/>
        </w:rPr>
        <w:t xml:space="preserve">  </w:t>
      </w:r>
      <w:r w:rsidR="00EF0602">
        <w:rPr>
          <w:szCs w:val="22"/>
        </w:rPr>
        <w:t xml:space="preserve">The parties </w:t>
      </w:r>
      <w:r w:rsidRPr="009D3B2D" w:rsidR="00FC0A97">
        <w:rPr>
          <w:szCs w:val="22"/>
        </w:rPr>
        <w:t>engaged in negotiations</w:t>
      </w:r>
      <w:r w:rsidRPr="009D3B2D" w:rsidR="008F4F66">
        <w:rPr>
          <w:szCs w:val="22"/>
        </w:rPr>
        <w:t xml:space="preserve">, exchanging multiple proposals for retransmission of </w:t>
      </w:r>
      <w:r w:rsidRPr="009D3B2D" w:rsidR="00BA648B">
        <w:rPr>
          <w:szCs w:val="22"/>
        </w:rPr>
        <w:t>WDTN,</w:t>
      </w:r>
      <w:r w:rsidRPr="009D3B2D" w:rsidR="00FC0A97">
        <w:rPr>
          <w:szCs w:val="22"/>
        </w:rPr>
        <w:t xml:space="preserve"> </w:t>
      </w:r>
      <w:r w:rsidRPr="009D3B2D" w:rsidR="006A4D19">
        <w:rPr>
          <w:szCs w:val="22"/>
        </w:rPr>
        <w:t xml:space="preserve">but they </w:t>
      </w:r>
      <w:r w:rsidR="00D47063">
        <w:rPr>
          <w:szCs w:val="22"/>
        </w:rPr>
        <w:t>did not reach an agreement</w:t>
      </w:r>
      <w:r w:rsidRPr="009D3B2D" w:rsidR="006A4D19">
        <w:rPr>
          <w:szCs w:val="22"/>
        </w:rPr>
        <w:t>.</w:t>
      </w:r>
      <w:r>
        <w:rPr>
          <w:rStyle w:val="FootnoteReference"/>
          <w:sz w:val="22"/>
          <w:szCs w:val="22"/>
        </w:rPr>
        <w:footnoteReference w:id="28"/>
      </w:r>
      <w:r w:rsidRPr="009D3B2D" w:rsidR="00F631D1">
        <w:rPr>
          <w:szCs w:val="22"/>
        </w:rPr>
        <w:t xml:space="preserve">  </w:t>
      </w:r>
      <w:r w:rsidRPr="009D3B2D" w:rsidR="00FC5ACD">
        <w:rPr>
          <w:szCs w:val="22"/>
        </w:rPr>
        <w:t>On May 31</w:t>
      </w:r>
      <w:r w:rsidRPr="009D3B2D" w:rsidR="00E724EC">
        <w:rPr>
          <w:szCs w:val="22"/>
        </w:rPr>
        <w:t xml:space="preserve">, 2025, </w:t>
      </w:r>
      <w:r w:rsidRPr="009D3B2D" w:rsidR="00F33325">
        <w:rPr>
          <w:szCs w:val="22"/>
        </w:rPr>
        <w:t xml:space="preserve">the day on which </w:t>
      </w:r>
      <w:r w:rsidR="00C64CA8">
        <w:rPr>
          <w:szCs w:val="22"/>
        </w:rPr>
        <w:t xml:space="preserve">both </w:t>
      </w:r>
      <w:r w:rsidRPr="009D3B2D" w:rsidR="00F33325">
        <w:rPr>
          <w:szCs w:val="22"/>
        </w:rPr>
        <w:t xml:space="preserve">the </w:t>
      </w:r>
      <w:r w:rsidR="00E44A4E">
        <w:rPr>
          <w:szCs w:val="22"/>
        </w:rPr>
        <w:t>p</w:t>
      </w:r>
      <w:r w:rsidRPr="009D3B2D" w:rsidR="00785FED">
        <w:rPr>
          <w:szCs w:val="22"/>
        </w:rPr>
        <w:t xml:space="preserve">rior </w:t>
      </w:r>
      <w:r w:rsidR="00E44A4E">
        <w:rPr>
          <w:szCs w:val="22"/>
        </w:rPr>
        <w:t>retransmission consent a</w:t>
      </w:r>
      <w:r w:rsidRPr="009D3B2D" w:rsidR="00785FED">
        <w:rPr>
          <w:szCs w:val="22"/>
        </w:rPr>
        <w:t xml:space="preserve">greement </w:t>
      </w:r>
      <w:r w:rsidR="00C64CA8">
        <w:rPr>
          <w:szCs w:val="22"/>
        </w:rPr>
        <w:t xml:space="preserve">and the prior NewsNation distribution agreement </w:t>
      </w:r>
      <w:r w:rsidRPr="009D3B2D" w:rsidR="00F33325">
        <w:rPr>
          <w:szCs w:val="22"/>
        </w:rPr>
        <w:t>w</w:t>
      </w:r>
      <w:r w:rsidR="00C64CA8">
        <w:rPr>
          <w:szCs w:val="22"/>
        </w:rPr>
        <w:t>ere</w:t>
      </w:r>
      <w:r w:rsidRPr="009D3B2D" w:rsidR="004E69D7">
        <w:rPr>
          <w:szCs w:val="22"/>
        </w:rPr>
        <w:t xml:space="preserve"> </w:t>
      </w:r>
      <w:r w:rsidRPr="009D3B2D" w:rsidR="00F33325">
        <w:rPr>
          <w:szCs w:val="22"/>
        </w:rPr>
        <w:t>set to expi</w:t>
      </w:r>
      <w:r w:rsidRPr="009D3B2D" w:rsidR="00986305">
        <w:rPr>
          <w:szCs w:val="22"/>
        </w:rPr>
        <w:t>re</w:t>
      </w:r>
      <w:r w:rsidRPr="009D3B2D" w:rsidR="00B87043">
        <w:rPr>
          <w:szCs w:val="22"/>
        </w:rPr>
        <w:t xml:space="preserve">, Nexstar </w:t>
      </w:r>
      <w:r w:rsidRPr="009D3B2D" w:rsidR="002E13D6">
        <w:rPr>
          <w:szCs w:val="22"/>
        </w:rPr>
        <w:t xml:space="preserve">offered two </w:t>
      </w:r>
      <w:r w:rsidRPr="009D3B2D" w:rsidR="00914BAE">
        <w:rPr>
          <w:szCs w:val="22"/>
        </w:rPr>
        <w:t>option</w:t>
      </w:r>
      <w:r w:rsidRPr="009D3B2D" w:rsidR="007C1935">
        <w:rPr>
          <w:szCs w:val="22"/>
        </w:rPr>
        <w:t>s</w:t>
      </w:r>
      <w:r w:rsidRPr="009D3B2D" w:rsidR="002E13D6">
        <w:rPr>
          <w:szCs w:val="22"/>
        </w:rPr>
        <w:t xml:space="preserve"> to avoid</w:t>
      </w:r>
      <w:r w:rsidRPr="009D3B2D" w:rsidR="009D6A16">
        <w:rPr>
          <w:szCs w:val="22"/>
        </w:rPr>
        <w:t xml:space="preserve"> </w:t>
      </w:r>
      <w:r w:rsidRPr="009D3B2D" w:rsidR="004636B3">
        <w:rPr>
          <w:szCs w:val="22"/>
        </w:rPr>
        <w:t>WDT</w:t>
      </w:r>
      <w:r w:rsidR="00E44A4E">
        <w:rPr>
          <w:szCs w:val="22"/>
        </w:rPr>
        <w:t>N</w:t>
      </w:r>
      <w:r w:rsidRPr="009D3B2D" w:rsidR="004636B3">
        <w:rPr>
          <w:szCs w:val="22"/>
        </w:rPr>
        <w:t xml:space="preserve"> going dark</w:t>
      </w:r>
      <w:r w:rsidRPr="009D3B2D" w:rsidR="007C1935">
        <w:rPr>
          <w:szCs w:val="22"/>
        </w:rPr>
        <w:t xml:space="preserve"> for </w:t>
      </w:r>
      <w:r w:rsidRPr="009D3B2D" w:rsidR="00F825D0">
        <w:rPr>
          <w:szCs w:val="22"/>
        </w:rPr>
        <w:t>Cincinnati Bell’s subscribers</w:t>
      </w:r>
      <w:r w:rsidRPr="009D3B2D" w:rsidR="004636B3">
        <w:rPr>
          <w:szCs w:val="22"/>
        </w:rPr>
        <w:t>.</w:t>
      </w:r>
      <w:r>
        <w:rPr>
          <w:rStyle w:val="FootnoteReference"/>
          <w:sz w:val="22"/>
          <w:szCs w:val="22"/>
        </w:rPr>
        <w:footnoteReference w:id="29"/>
      </w:r>
      <w:r w:rsidRPr="009D3B2D" w:rsidR="004636B3">
        <w:rPr>
          <w:szCs w:val="22"/>
        </w:rPr>
        <w:t xml:space="preserve">  </w:t>
      </w:r>
      <w:r w:rsidRPr="009D3B2D" w:rsidR="009148BC">
        <w:rPr>
          <w:szCs w:val="22"/>
        </w:rPr>
        <w:t xml:space="preserve">The first </w:t>
      </w:r>
      <w:r w:rsidRPr="009D3B2D" w:rsidR="00914BAE">
        <w:rPr>
          <w:szCs w:val="22"/>
        </w:rPr>
        <w:t>option</w:t>
      </w:r>
      <w:r w:rsidRPr="009D3B2D" w:rsidR="009148BC">
        <w:rPr>
          <w:szCs w:val="22"/>
        </w:rPr>
        <w:t xml:space="preserve"> was a</w:t>
      </w:r>
      <w:r w:rsidRPr="009D3B2D" w:rsidR="00D052B9">
        <w:rPr>
          <w:szCs w:val="22"/>
        </w:rPr>
        <w:t xml:space="preserve"> </w:t>
      </w:r>
      <w:r w:rsidR="000103E1">
        <w:rPr>
          <w:szCs w:val="22"/>
        </w:rPr>
        <w:t>short term</w:t>
      </w:r>
      <w:r w:rsidRPr="009D3B2D" w:rsidR="00095729">
        <w:rPr>
          <w:szCs w:val="22"/>
        </w:rPr>
        <w:t xml:space="preserve"> </w:t>
      </w:r>
      <w:r w:rsidRPr="009D3B2D" w:rsidR="00D052B9">
        <w:rPr>
          <w:szCs w:val="22"/>
        </w:rPr>
        <w:t>extension</w:t>
      </w:r>
      <w:r w:rsidRPr="009D3B2D" w:rsidR="00E23254">
        <w:rPr>
          <w:szCs w:val="22"/>
        </w:rPr>
        <w:t xml:space="preserve"> of </w:t>
      </w:r>
      <w:r w:rsidR="006A16D3">
        <w:rPr>
          <w:szCs w:val="22"/>
        </w:rPr>
        <w:t xml:space="preserve">both </w:t>
      </w:r>
      <w:r w:rsidRPr="009D3B2D" w:rsidR="00E23254">
        <w:rPr>
          <w:szCs w:val="22"/>
        </w:rPr>
        <w:t xml:space="preserve">the </w:t>
      </w:r>
      <w:r w:rsidR="006A16D3">
        <w:rPr>
          <w:szCs w:val="22"/>
        </w:rPr>
        <w:t>p</w:t>
      </w:r>
      <w:r w:rsidRPr="009D3B2D" w:rsidR="00E703A0">
        <w:rPr>
          <w:szCs w:val="22"/>
        </w:rPr>
        <w:t xml:space="preserve">rior </w:t>
      </w:r>
      <w:r w:rsidR="006A16D3">
        <w:rPr>
          <w:szCs w:val="22"/>
        </w:rPr>
        <w:t>retransm</w:t>
      </w:r>
      <w:r w:rsidR="00B70EEB">
        <w:rPr>
          <w:szCs w:val="22"/>
        </w:rPr>
        <w:t>i</w:t>
      </w:r>
      <w:r w:rsidR="006A16D3">
        <w:rPr>
          <w:szCs w:val="22"/>
        </w:rPr>
        <w:t>ssion consent a</w:t>
      </w:r>
      <w:r w:rsidRPr="009D3B2D" w:rsidR="00E703A0">
        <w:rPr>
          <w:szCs w:val="22"/>
        </w:rPr>
        <w:t>greement</w:t>
      </w:r>
      <w:r w:rsidR="00B70EEB">
        <w:rPr>
          <w:szCs w:val="22"/>
        </w:rPr>
        <w:t xml:space="preserve"> and the NewsNation distribution agreement</w:t>
      </w:r>
      <w:r w:rsidR="00595C35">
        <w:rPr>
          <w:szCs w:val="22"/>
        </w:rPr>
        <w:t xml:space="preserve">, conditioned on a commitment to negotiate a bundled deal </w:t>
      </w:r>
      <w:r w:rsidR="00CA2C51">
        <w:rPr>
          <w:szCs w:val="22"/>
        </w:rPr>
        <w:t>covering both carriage of WDNT and carriage of NewsNation in both the Dayton and Cincinnati DMAs</w:t>
      </w:r>
      <w:r w:rsidRPr="009D3B2D" w:rsidR="00E23254">
        <w:rPr>
          <w:szCs w:val="22"/>
        </w:rPr>
        <w:t>.</w:t>
      </w:r>
      <w:r>
        <w:rPr>
          <w:rStyle w:val="FootnoteReference"/>
          <w:sz w:val="22"/>
          <w:szCs w:val="22"/>
        </w:rPr>
        <w:footnoteReference w:id="30"/>
      </w:r>
      <w:r w:rsidRPr="009D3B2D" w:rsidR="00E23254">
        <w:rPr>
          <w:szCs w:val="22"/>
        </w:rPr>
        <w:t xml:space="preserve">  The second </w:t>
      </w:r>
      <w:r w:rsidRPr="009D3B2D" w:rsidR="00F86B99">
        <w:rPr>
          <w:szCs w:val="22"/>
        </w:rPr>
        <w:t>option</w:t>
      </w:r>
      <w:r w:rsidRPr="009D3B2D" w:rsidR="00BE4490">
        <w:rPr>
          <w:szCs w:val="22"/>
        </w:rPr>
        <w:t xml:space="preserve"> </w:t>
      </w:r>
      <w:r w:rsidRPr="009D3B2D" w:rsidR="00BD778E">
        <w:rPr>
          <w:szCs w:val="22"/>
        </w:rPr>
        <w:t>was a stand-alone retransmission consent agreement</w:t>
      </w:r>
      <w:r w:rsidRPr="009D3B2D" w:rsidR="008F6DB1">
        <w:rPr>
          <w:szCs w:val="22"/>
        </w:rPr>
        <w:t xml:space="preserve"> conditioned on </w:t>
      </w:r>
      <w:r w:rsidR="00CF294B">
        <w:rPr>
          <w:szCs w:val="22"/>
        </w:rPr>
        <w:t>certain</w:t>
      </w:r>
      <w:r w:rsidRPr="009D3B2D" w:rsidR="008F6DB1">
        <w:rPr>
          <w:szCs w:val="22"/>
        </w:rPr>
        <w:t xml:space="preserve"> rates for future-acquired stations and increased rates</w:t>
      </w:r>
      <w:r w:rsidRPr="009D3B2D" w:rsidR="00EA2236">
        <w:rPr>
          <w:szCs w:val="22"/>
        </w:rPr>
        <w:t xml:space="preserve"> for WDTN’s </w:t>
      </w:r>
      <w:r w:rsidR="003F48CD">
        <w:rPr>
          <w:szCs w:val="22"/>
        </w:rPr>
        <w:t xml:space="preserve">broadcast </w:t>
      </w:r>
      <w:r w:rsidRPr="009D3B2D" w:rsidR="00EA2236">
        <w:rPr>
          <w:szCs w:val="22"/>
        </w:rPr>
        <w:t>programming streams</w:t>
      </w:r>
      <w:r w:rsidRPr="009D3B2D" w:rsidR="00D42671">
        <w:rPr>
          <w:szCs w:val="22"/>
        </w:rPr>
        <w:t>.</w:t>
      </w:r>
      <w:r>
        <w:rPr>
          <w:rStyle w:val="FootnoteReference"/>
          <w:sz w:val="22"/>
          <w:szCs w:val="22"/>
        </w:rPr>
        <w:footnoteReference w:id="31"/>
      </w:r>
      <w:r w:rsidRPr="009D3B2D" w:rsidR="00AC4FFD">
        <w:rPr>
          <w:szCs w:val="22"/>
        </w:rPr>
        <w:t xml:space="preserve"> </w:t>
      </w:r>
      <w:r w:rsidRPr="009D3B2D" w:rsidR="00777404">
        <w:rPr>
          <w:szCs w:val="22"/>
        </w:rPr>
        <w:t xml:space="preserve"> </w:t>
      </w:r>
      <w:r w:rsidRPr="009D3B2D" w:rsidR="003C7057">
        <w:rPr>
          <w:szCs w:val="22"/>
        </w:rPr>
        <w:t>Cincinnati Bell</w:t>
      </w:r>
      <w:r w:rsidRPr="009D3B2D" w:rsidR="00777404">
        <w:rPr>
          <w:szCs w:val="22"/>
        </w:rPr>
        <w:t xml:space="preserve"> rejected both </w:t>
      </w:r>
      <w:r w:rsidRPr="009D3B2D" w:rsidR="005F34AD">
        <w:rPr>
          <w:szCs w:val="22"/>
        </w:rPr>
        <w:t>proposals</w:t>
      </w:r>
      <w:r w:rsidRPr="009D3B2D" w:rsidR="00777404">
        <w:rPr>
          <w:szCs w:val="22"/>
        </w:rPr>
        <w:t xml:space="preserve"> and </w:t>
      </w:r>
      <w:r w:rsidRPr="009D3B2D" w:rsidR="001330C3">
        <w:rPr>
          <w:szCs w:val="22"/>
        </w:rPr>
        <w:t xml:space="preserve">subsequently </w:t>
      </w:r>
      <w:r w:rsidRPr="009D3B2D" w:rsidR="00777404">
        <w:rPr>
          <w:szCs w:val="22"/>
        </w:rPr>
        <w:t xml:space="preserve">discontinued carriage of </w:t>
      </w:r>
      <w:r w:rsidRPr="009D3B2D" w:rsidR="007B1E79">
        <w:rPr>
          <w:szCs w:val="22"/>
        </w:rPr>
        <w:t>W</w:t>
      </w:r>
      <w:r w:rsidRPr="009D3B2D" w:rsidR="00777404">
        <w:rPr>
          <w:szCs w:val="22"/>
        </w:rPr>
        <w:t>DTN</w:t>
      </w:r>
      <w:r w:rsidRPr="009D3B2D" w:rsidR="007B1E79">
        <w:rPr>
          <w:szCs w:val="22"/>
        </w:rPr>
        <w:t xml:space="preserve"> </w:t>
      </w:r>
      <w:r w:rsidRPr="009D3B2D" w:rsidR="005F34AD">
        <w:rPr>
          <w:szCs w:val="22"/>
        </w:rPr>
        <w:t xml:space="preserve">at </w:t>
      </w:r>
      <w:r w:rsidRPr="009D3B2D" w:rsidR="007B1E79">
        <w:rPr>
          <w:szCs w:val="22"/>
        </w:rPr>
        <w:t>5</w:t>
      </w:r>
      <w:r w:rsidR="009F599F">
        <w:rPr>
          <w:szCs w:val="22"/>
        </w:rPr>
        <w:t>:00</w:t>
      </w:r>
      <w:r w:rsidRPr="009D3B2D" w:rsidR="00BB1587">
        <w:rPr>
          <w:szCs w:val="22"/>
        </w:rPr>
        <w:t xml:space="preserve"> </w:t>
      </w:r>
      <w:r w:rsidR="00394AC7">
        <w:rPr>
          <w:szCs w:val="22"/>
        </w:rPr>
        <w:t>p</w:t>
      </w:r>
      <w:r w:rsidR="009F599F">
        <w:rPr>
          <w:szCs w:val="22"/>
        </w:rPr>
        <w:t>.</w:t>
      </w:r>
      <w:r w:rsidR="00394AC7">
        <w:rPr>
          <w:szCs w:val="22"/>
        </w:rPr>
        <w:t>m</w:t>
      </w:r>
      <w:r w:rsidR="009F599F">
        <w:rPr>
          <w:szCs w:val="22"/>
        </w:rPr>
        <w:t>.</w:t>
      </w:r>
      <w:r w:rsidRPr="009D3B2D" w:rsidR="007B1E79">
        <w:rPr>
          <w:szCs w:val="22"/>
        </w:rPr>
        <w:t xml:space="preserve"> on May 31, 2025.</w:t>
      </w:r>
      <w:r>
        <w:rPr>
          <w:rStyle w:val="FootnoteReference"/>
          <w:sz w:val="22"/>
          <w:szCs w:val="22"/>
        </w:rPr>
        <w:footnoteReference w:id="32"/>
      </w:r>
      <w:r w:rsidRPr="009D3B2D" w:rsidR="005F3854">
        <w:rPr>
          <w:szCs w:val="22"/>
        </w:rPr>
        <w:t xml:space="preserve"> </w:t>
      </w:r>
      <w:r w:rsidRPr="009D3B2D" w:rsidR="00D15BB7">
        <w:rPr>
          <w:szCs w:val="22"/>
        </w:rPr>
        <w:t xml:space="preserve"> </w:t>
      </w:r>
    </w:p>
    <w:p w:rsidR="007E7FD1" w:rsidRPr="009D3B2D" w:rsidP="006B4ADB" w14:paraId="455D6D1B" w14:textId="46F96D28">
      <w:pPr>
        <w:pStyle w:val="ParaNum"/>
        <w:tabs>
          <w:tab w:val="clear" w:pos="1080"/>
        </w:tabs>
        <w:rPr>
          <w:szCs w:val="22"/>
        </w:rPr>
      </w:pPr>
      <w:r w:rsidRPr="009D3B2D">
        <w:rPr>
          <w:szCs w:val="22"/>
        </w:rPr>
        <w:t>On June 3, 2025</w:t>
      </w:r>
      <w:r w:rsidRPr="009D3B2D" w:rsidR="007B7AF5">
        <w:rPr>
          <w:szCs w:val="22"/>
        </w:rPr>
        <w:t>,</w:t>
      </w:r>
      <w:r w:rsidRPr="009D3B2D">
        <w:rPr>
          <w:szCs w:val="22"/>
        </w:rPr>
        <w:t xml:space="preserve"> </w:t>
      </w:r>
      <w:r w:rsidRPr="009D3B2D" w:rsidR="003C7057">
        <w:rPr>
          <w:szCs w:val="22"/>
        </w:rPr>
        <w:t>Cincinnati Bell</w:t>
      </w:r>
      <w:r w:rsidRPr="009D3B2D">
        <w:rPr>
          <w:szCs w:val="22"/>
        </w:rPr>
        <w:t xml:space="preserve"> </w:t>
      </w:r>
      <w:r w:rsidRPr="009D3B2D" w:rsidR="003D2EA1">
        <w:rPr>
          <w:szCs w:val="22"/>
        </w:rPr>
        <w:t>sent Nexstar</w:t>
      </w:r>
      <w:r w:rsidRPr="009D3B2D">
        <w:rPr>
          <w:szCs w:val="22"/>
        </w:rPr>
        <w:t xml:space="preserve"> a counterproposal </w:t>
      </w:r>
      <w:r w:rsidRPr="009D3B2D" w:rsidR="004F4463">
        <w:rPr>
          <w:szCs w:val="22"/>
        </w:rPr>
        <w:t>to bundle</w:t>
      </w:r>
      <w:r w:rsidRPr="009D3B2D" w:rsidR="003D2EA1">
        <w:rPr>
          <w:szCs w:val="22"/>
        </w:rPr>
        <w:t xml:space="preserve"> carriage of WDTN and</w:t>
      </w:r>
      <w:r w:rsidRPr="009D3B2D" w:rsidR="008B4AEE">
        <w:rPr>
          <w:szCs w:val="22"/>
        </w:rPr>
        <w:t xml:space="preserve"> NewsNation in the Dayton DMA</w:t>
      </w:r>
      <w:r w:rsidRPr="009D3B2D" w:rsidR="00F83E51">
        <w:rPr>
          <w:szCs w:val="22"/>
        </w:rPr>
        <w:t xml:space="preserve"> only</w:t>
      </w:r>
      <w:r w:rsidRPr="009D3B2D" w:rsidR="008B4AEE">
        <w:rPr>
          <w:szCs w:val="22"/>
        </w:rPr>
        <w:t>.</w:t>
      </w:r>
      <w:r>
        <w:rPr>
          <w:rStyle w:val="FootnoteReference"/>
          <w:sz w:val="22"/>
          <w:szCs w:val="22"/>
        </w:rPr>
        <w:footnoteReference w:id="33"/>
      </w:r>
      <w:r w:rsidRPr="009D3B2D" w:rsidR="00F83E51">
        <w:rPr>
          <w:szCs w:val="22"/>
        </w:rPr>
        <w:t xml:space="preserve">  On June 6, 2025, Nex</w:t>
      </w:r>
      <w:r w:rsidRPr="009D3B2D" w:rsidR="00CA0BD9">
        <w:rPr>
          <w:szCs w:val="22"/>
        </w:rPr>
        <w:t>s</w:t>
      </w:r>
      <w:r w:rsidRPr="009D3B2D" w:rsidR="00F83E51">
        <w:rPr>
          <w:szCs w:val="22"/>
        </w:rPr>
        <w:t xml:space="preserve">tar </w:t>
      </w:r>
      <w:r w:rsidRPr="009D3B2D" w:rsidR="00CA0BD9">
        <w:rPr>
          <w:szCs w:val="22"/>
        </w:rPr>
        <w:t xml:space="preserve">rejected </w:t>
      </w:r>
      <w:r w:rsidRPr="009D3B2D" w:rsidR="003C7057">
        <w:rPr>
          <w:szCs w:val="22"/>
        </w:rPr>
        <w:t>Cincinnati Bell</w:t>
      </w:r>
      <w:r w:rsidRPr="009D3B2D" w:rsidR="00CA0BD9">
        <w:rPr>
          <w:szCs w:val="22"/>
        </w:rPr>
        <w:t>’s</w:t>
      </w:r>
      <w:r w:rsidRPr="009D3B2D" w:rsidR="006B7514">
        <w:rPr>
          <w:szCs w:val="22"/>
        </w:rPr>
        <w:t xml:space="preserve"> counterproposal</w:t>
      </w:r>
      <w:r w:rsidR="00B4545C">
        <w:rPr>
          <w:szCs w:val="22"/>
        </w:rPr>
        <w:t xml:space="preserve"> and reiterated its proposal from May 31, 2025</w:t>
      </w:r>
      <w:r w:rsidRPr="009D3B2D" w:rsidR="006B7514">
        <w:rPr>
          <w:szCs w:val="22"/>
        </w:rPr>
        <w:t>.</w:t>
      </w:r>
      <w:r>
        <w:rPr>
          <w:rStyle w:val="FootnoteReference"/>
          <w:sz w:val="22"/>
          <w:szCs w:val="22"/>
        </w:rPr>
        <w:footnoteReference w:id="34"/>
      </w:r>
      <w:r w:rsidRPr="009D3B2D" w:rsidR="008B242C">
        <w:rPr>
          <w:szCs w:val="22"/>
        </w:rPr>
        <w:t xml:space="preserve"> </w:t>
      </w:r>
      <w:r w:rsidRPr="009D3B2D" w:rsidR="009A276A">
        <w:rPr>
          <w:szCs w:val="22"/>
        </w:rPr>
        <w:t xml:space="preserve"> </w:t>
      </w:r>
      <w:r w:rsidRPr="009D3B2D" w:rsidR="00426758">
        <w:rPr>
          <w:szCs w:val="22"/>
        </w:rPr>
        <w:t>O</w:t>
      </w:r>
      <w:r w:rsidRPr="009D3B2D" w:rsidR="000A1DB3">
        <w:rPr>
          <w:szCs w:val="22"/>
        </w:rPr>
        <w:t>n June 13, 2025</w:t>
      </w:r>
      <w:r w:rsidRPr="009D3B2D" w:rsidR="00426758">
        <w:rPr>
          <w:szCs w:val="22"/>
        </w:rPr>
        <w:t xml:space="preserve">, Cincinnati Bell filed </w:t>
      </w:r>
      <w:r w:rsidRPr="009D3B2D" w:rsidR="003E191B">
        <w:rPr>
          <w:szCs w:val="22"/>
        </w:rPr>
        <w:t>its</w:t>
      </w:r>
      <w:r w:rsidRPr="009D3B2D" w:rsidR="00606478">
        <w:rPr>
          <w:szCs w:val="22"/>
        </w:rPr>
        <w:t xml:space="preserve"> </w:t>
      </w:r>
      <w:r w:rsidRPr="009D3B2D" w:rsidR="003E191B">
        <w:rPr>
          <w:szCs w:val="22"/>
        </w:rPr>
        <w:t>C</w:t>
      </w:r>
      <w:r w:rsidRPr="009D3B2D" w:rsidR="00606478">
        <w:rPr>
          <w:szCs w:val="22"/>
        </w:rPr>
        <w:t xml:space="preserve">omplaint against </w:t>
      </w:r>
      <w:r w:rsidRPr="009D3B2D" w:rsidR="00A64C9B">
        <w:rPr>
          <w:szCs w:val="22"/>
        </w:rPr>
        <w:t xml:space="preserve">Nexstar </w:t>
      </w:r>
      <w:r w:rsidRPr="009D3B2D" w:rsidR="00952967">
        <w:rPr>
          <w:szCs w:val="22"/>
        </w:rPr>
        <w:t xml:space="preserve">alleging </w:t>
      </w:r>
      <w:r w:rsidRPr="009D3B2D" w:rsidR="00E07561">
        <w:rPr>
          <w:szCs w:val="22"/>
        </w:rPr>
        <w:t xml:space="preserve">good faith </w:t>
      </w:r>
      <w:r w:rsidRPr="009D3B2D" w:rsidR="000A7C69">
        <w:rPr>
          <w:szCs w:val="22"/>
        </w:rPr>
        <w:t xml:space="preserve">violations. </w:t>
      </w:r>
      <w:r w:rsidRPr="009D3B2D" w:rsidR="00C93F8D">
        <w:rPr>
          <w:szCs w:val="22"/>
        </w:rPr>
        <w:t xml:space="preserve"> </w:t>
      </w:r>
      <w:r w:rsidR="0082409F">
        <w:rPr>
          <w:szCs w:val="22"/>
        </w:rPr>
        <w:t>T</w:t>
      </w:r>
      <w:r w:rsidRPr="009D3B2D" w:rsidR="002463DF">
        <w:rPr>
          <w:szCs w:val="22"/>
        </w:rPr>
        <w:t>he Complaint</w:t>
      </w:r>
      <w:r w:rsidRPr="009D3B2D" w:rsidR="004C0F72">
        <w:rPr>
          <w:szCs w:val="22"/>
        </w:rPr>
        <w:t xml:space="preserve"> alleges</w:t>
      </w:r>
      <w:r w:rsidRPr="009D3B2D" w:rsidR="002463DF">
        <w:rPr>
          <w:szCs w:val="22"/>
        </w:rPr>
        <w:t xml:space="preserve"> that Nexstar </w:t>
      </w:r>
      <w:r w:rsidRPr="009D3B2D" w:rsidR="00952967">
        <w:rPr>
          <w:szCs w:val="22"/>
        </w:rPr>
        <w:t>failed to negotiate retransmission consent in good faith by</w:t>
      </w:r>
      <w:r w:rsidRPr="009D3B2D" w:rsidR="00EC04F1">
        <w:rPr>
          <w:szCs w:val="22"/>
        </w:rPr>
        <w:t>: (</w:t>
      </w:r>
      <w:r w:rsidRPr="009D3B2D" w:rsidR="009C5E40">
        <w:rPr>
          <w:szCs w:val="22"/>
        </w:rPr>
        <w:t>i</w:t>
      </w:r>
      <w:r w:rsidRPr="009D3B2D" w:rsidR="00EC04F1">
        <w:rPr>
          <w:szCs w:val="22"/>
        </w:rPr>
        <w:t xml:space="preserve">) </w:t>
      </w:r>
      <w:r w:rsidRPr="009D3B2D" w:rsidR="00A63346">
        <w:rPr>
          <w:szCs w:val="22"/>
        </w:rPr>
        <w:t>refusing to put forth more than a single, unilateral proposal</w:t>
      </w:r>
      <w:r w:rsidRPr="009D3B2D" w:rsidR="00933973">
        <w:rPr>
          <w:szCs w:val="22"/>
        </w:rPr>
        <w:t>;</w:t>
      </w:r>
      <w:r>
        <w:rPr>
          <w:rStyle w:val="FootnoteReference"/>
          <w:sz w:val="22"/>
          <w:szCs w:val="22"/>
        </w:rPr>
        <w:footnoteReference w:id="35"/>
      </w:r>
      <w:r w:rsidRPr="009D3B2D" w:rsidR="00933973">
        <w:rPr>
          <w:szCs w:val="22"/>
        </w:rPr>
        <w:t xml:space="preserve"> and</w:t>
      </w:r>
      <w:r w:rsidRPr="009D3B2D" w:rsidR="006809E8">
        <w:rPr>
          <w:szCs w:val="22"/>
        </w:rPr>
        <w:t>,</w:t>
      </w:r>
      <w:r w:rsidRPr="009D3B2D" w:rsidR="00933973">
        <w:rPr>
          <w:szCs w:val="22"/>
        </w:rPr>
        <w:t xml:space="preserve"> (</w:t>
      </w:r>
      <w:r w:rsidRPr="009D3B2D" w:rsidR="009C5E40">
        <w:rPr>
          <w:szCs w:val="22"/>
        </w:rPr>
        <w:t>ii</w:t>
      </w:r>
      <w:r w:rsidRPr="009D3B2D" w:rsidR="00933973">
        <w:rPr>
          <w:szCs w:val="22"/>
        </w:rPr>
        <w:t xml:space="preserve">) </w:t>
      </w:r>
      <w:r w:rsidRPr="009D3B2D" w:rsidR="00995C32">
        <w:rPr>
          <w:szCs w:val="22"/>
        </w:rPr>
        <w:t>breaching its</w:t>
      </w:r>
      <w:r w:rsidRPr="009D3B2D" w:rsidR="003C3D49">
        <w:rPr>
          <w:szCs w:val="22"/>
        </w:rPr>
        <w:t xml:space="preserve"> duty to negotiate in good faith under the “totality of the circumstances”</w:t>
      </w:r>
      <w:r w:rsidR="009D0AD0">
        <w:rPr>
          <w:szCs w:val="22"/>
        </w:rPr>
        <w:t xml:space="preserve"> test.</w:t>
      </w:r>
      <w:r>
        <w:rPr>
          <w:rStyle w:val="FootnoteReference"/>
          <w:sz w:val="22"/>
          <w:szCs w:val="22"/>
        </w:rPr>
        <w:footnoteReference w:id="36"/>
      </w:r>
      <w:r w:rsidRPr="009D3B2D" w:rsidR="00D801EA">
        <w:rPr>
          <w:szCs w:val="22"/>
        </w:rPr>
        <w:t xml:space="preserve">  </w:t>
      </w:r>
      <w:r w:rsidRPr="009D3B2D" w:rsidR="003C7057">
        <w:rPr>
          <w:szCs w:val="22"/>
        </w:rPr>
        <w:t>Cincinnati Bell</w:t>
      </w:r>
      <w:r w:rsidRPr="009D3B2D" w:rsidR="00D801EA">
        <w:rPr>
          <w:szCs w:val="22"/>
        </w:rPr>
        <w:t xml:space="preserve"> asks the Commission </w:t>
      </w:r>
      <w:r w:rsidRPr="009D3B2D" w:rsidR="005B2406">
        <w:rPr>
          <w:szCs w:val="22"/>
        </w:rPr>
        <w:t xml:space="preserve">to </w:t>
      </w:r>
      <w:r w:rsidRPr="009D3B2D" w:rsidR="009F61FF">
        <w:rPr>
          <w:szCs w:val="22"/>
        </w:rPr>
        <w:t xml:space="preserve">find that </w:t>
      </w:r>
      <w:r w:rsidRPr="009D3B2D" w:rsidR="005E1C88">
        <w:rPr>
          <w:szCs w:val="22"/>
        </w:rPr>
        <w:t xml:space="preserve">that </w:t>
      </w:r>
      <w:r w:rsidRPr="009D3B2D" w:rsidR="00D047F5">
        <w:rPr>
          <w:szCs w:val="22"/>
        </w:rPr>
        <w:t>Nexstar</w:t>
      </w:r>
      <w:r w:rsidRPr="009D3B2D" w:rsidR="00BF4202">
        <w:rPr>
          <w:szCs w:val="22"/>
        </w:rPr>
        <w:t xml:space="preserve"> </w:t>
      </w:r>
      <w:r w:rsidRPr="009D3B2D" w:rsidR="00F70C27">
        <w:rPr>
          <w:szCs w:val="22"/>
        </w:rPr>
        <w:t>violated its obligation to negotiate retransmission consent in good faith</w:t>
      </w:r>
      <w:r w:rsidRPr="009D3B2D" w:rsidR="004C7B3E">
        <w:rPr>
          <w:szCs w:val="22"/>
        </w:rPr>
        <w:t xml:space="preserve"> and </w:t>
      </w:r>
      <w:r w:rsidR="009D0AD0">
        <w:rPr>
          <w:szCs w:val="22"/>
        </w:rPr>
        <w:t xml:space="preserve">to </w:t>
      </w:r>
      <w:r w:rsidRPr="009D3B2D" w:rsidR="004C7B3E">
        <w:rPr>
          <w:szCs w:val="22"/>
        </w:rPr>
        <w:t>provide any other relief that the Commission deems appropriate</w:t>
      </w:r>
      <w:r w:rsidRPr="009D3B2D" w:rsidR="003D1BCF">
        <w:rPr>
          <w:szCs w:val="22"/>
        </w:rPr>
        <w:t>.</w:t>
      </w:r>
      <w:r>
        <w:rPr>
          <w:rStyle w:val="FootnoteReference"/>
          <w:sz w:val="22"/>
          <w:szCs w:val="22"/>
        </w:rPr>
        <w:footnoteReference w:id="37"/>
      </w:r>
    </w:p>
    <w:p w:rsidR="00DD3E76" w:rsidRPr="009D3B2D" w:rsidP="00DD3E76" w14:paraId="31E6059B" w14:textId="00FC6F7A">
      <w:pPr>
        <w:pStyle w:val="Heading1"/>
        <w:rPr>
          <w:rFonts w:ascii="Times New Roman" w:hAnsi="Times New Roman"/>
          <w:szCs w:val="22"/>
        </w:rPr>
      </w:pPr>
      <w:r w:rsidRPr="009D3B2D">
        <w:rPr>
          <w:rFonts w:ascii="Times New Roman" w:hAnsi="Times New Roman"/>
          <w:szCs w:val="22"/>
        </w:rPr>
        <w:t>discussion</w:t>
      </w:r>
    </w:p>
    <w:p w:rsidR="00042319" w:rsidRPr="009D3B2D" w:rsidP="002601F1" w14:paraId="10227FAE" w14:textId="7DA6AC6A">
      <w:pPr>
        <w:pStyle w:val="ParaNum"/>
        <w:tabs>
          <w:tab w:val="clear" w:pos="1080"/>
        </w:tabs>
        <w:rPr>
          <w:szCs w:val="22"/>
        </w:rPr>
      </w:pPr>
      <w:r w:rsidRPr="009D3B2D">
        <w:rPr>
          <w:szCs w:val="22"/>
        </w:rPr>
        <w:t>Based on the record</w:t>
      </w:r>
      <w:r w:rsidR="008F44B4">
        <w:rPr>
          <w:szCs w:val="22"/>
        </w:rPr>
        <w:t xml:space="preserve"> in this proceeding</w:t>
      </w:r>
      <w:r w:rsidRPr="009D3B2D">
        <w:rPr>
          <w:szCs w:val="22"/>
        </w:rPr>
        <w:t>, w</w:t>
      </w:r>
      <w:r w:rsidRPr="009D3B2D">
        <w:rPr>
          <w:szCs w:val="22"/>
        </w:rPr>
        <w:t xml:space="preserve">e </w:t>
      </w:r>
      <w:r w:rsidR="002D3262">
        <w:rPr>
          <w:szCs w:val="22"/>
        </w:rPr>
        <w:t>find</w:t>
      </w:r>
      <w:r w:rsidRPr="009D3B2D">
        <w:rPr>
          <w:szCs w:val="22"/>
        </w:rPr>
        <w:t xml:space="preserve"> that </w:t>
      </w:r>
      <w:r w:rsidRPr="009D3B2D" w:rsidR="003C7057">
        <w:rPr>
          <w:szCs w:val="22"/>
        </w:rPr>
        <w:t>Cincinnati Bell</w:t>
      </w:r>
      <w:r w:rsidRPr="009D3B2D">
        <w:rPr>
          <w:szCs w:val="22"/>
        </w:rPr>
        <w:t xml:space="preserve"> has failed to </w:t>
      </w:r>
      <w:r w:rsidRPr="009D3B2D" w:rsidR="002A64D3">
        <w:rPr>
          <w:szCs w:val="22"/>
        </w:rPr>
        <w:t xml:space="preserve">meet its burden of proving that Nexstar </w:t>
      </w:r>
      <w:r w:rsidRPr="009D3B2D" w:rsidR="003B4017">
        <w:rPr>
          <w:szCs w:val="22"/>
        </w:rPr>
        <w:t>violated the Commission’s good faith negotiation rules</w:t>
      </w:r>
      <w:r w:rsidRPr="009D3B2D" w:rsidR="009A2B47">
        <w:rPr>
          <w:szCs w:val="22"/>
        </w:rPr>
        <w:t xml:space="preserve">. </w:t>
      </w:r>
      <w:r w:rsidRPr="009D3B2D" w:rsidR="003B4017">
        <w:rPr>
          <w:szCs w:val="22"/>
        </w:rPr>
        <w:t xml:space="preserve"> </w:t>
      </w:r>
      <w:r w:rsidRPr="009D3B2D" w:rsidR="000501CE">
        <w:rPr>
          <w:szCs w:val="22"/>
        </w:rPr>
        <w:t xml:space="preserve">At the outset of our discussion, we </w:t>
      </w:r>
      <w:r w:rsidRPr="009D3B2D" w:rsidR="00A04041">
        <w:rPr>
          <w:szCs w:val="22"/>
        </w:rPr>
        <w:t>reiterate our longstanding precedent that absent</w:t>
      </w:r>
      <w:r w:rsidRPr="009D3B2D" w:rsidR="00E66FDA">
        <w:rPr>
          <w:szCs w:val="22"/>
        </w:rPr>
        <w:t xml:space="preserve"> </w:t>
      </w:r>
      <w:r w:rsidRPr="009D3B2D" w:rsidR="003A0E5B">
        <w:rPr>
          <w:szCs w:val="22"/>
        </w:rPr>
        <w:t xml:space="preserve">other factors, disagreement over the </w:t>
      </w:r>
      <w:r w:rsidRPr="009D3B2D" w:rsidR="003A0E5B">
        <w:rPr>
          <w:szCs w:val="22"/>
        </w:rPr>
        <w:t>rates, terms, and conditions of retransmission consent</w:t>
      </w:r>
      <w:r w:rsidRPr="009D3B2D" w:rsidR="00CD7092">
        <w:rPr>
          <w:szCs w:val="22"/>
        </w:rPr>
        <w:t xml:space="preserve"> </w:t>
      </w:r>
      <w:r w:rsidR="008F44B4">
        <w:rPr>
          <w:szCs w:val="22"/>
        </w:rPr>
        <w:t xml:space="preserve">– even fundamental disagreement – </w:t>
      </w:r>
      <w:r w:rsidRPr="009D3B2D" w:rsidR="00CD7092">
        <w:rPr>
          <w:szCs w:val="22"/>
        </w:rPr>
        <w:t>does not indicate a lack of good faith</w:t>
      </w:r>
      <w:r w:rsidRPr="009D3B2D" w:rsidR="00073BCE">
        <w:rPr>
          <w:szCs w:val="22"/>
        </w:rPr>
        <w:t>.</w:t>
      </w:r>
      <w:r>
        <w:rPr>
          <w:rStyle w:val="FootnoteReference"/>
          <w:sz w:val="22"/>
          <w:szCs w:val="22"/>
        </w:rPr>
        <w:footnoteReference w:id="38"/>
      </w:r>
      <w:r w:rsidRPr="009D3B2D" w:rsidR="00073BCE">
        <w:rPr>
          <w:szCs w:val="22"/>
        </w:rPr>
        <w:t xml:space="preserve"> </w:t>
      </w:r>
      <w:r w:rsidRPr="009D3B2D" w:rsidR="0001110F">
        <w:rPr>
          <w:szCs w:val="22"/>
        </w:rPr>
        <w:t xml:space="preserve"> </w:t>
      </w:r>
      <w:r w:rsidR="00E14128">
        <w:rPr>
          <w:szCs w:val="22"/>
        </w:rPr>
        <w:t xml:space="preserve">As </w:t>
      </w:r>
      <w:r w:rsidR="00954F53">
        <w:rPr>
          <w:szCs w:val="22"/>
        </w:rPr>
        <w:t xml:space="preserve">the </w:t>
      </w:r>
      <w:r w:rsidR="001236C2">
        <w:rPr>
          <w:szCs w:val="22"/>
        </w:rPr>
        <w:t>Bureau</w:t>
      </w:r>
      <w:r w:rsidR="00E14128">
        <w:rPr>
          <w:szCs w:val="22"/>
        </w:rPr>
        <w:t xml:space="preserve"> also</w:t>
      </w:r>
      <w:r w:rsidR="00954F53">
        <w:rPr>
          <w:szCs w:val="22"/>
        </w:rPr>
        <w:t xml:space="preserve"> has</w:t>
      </w:r>
      <w:r w:rsidR="00E14128">
        <w:rPr>
          <w:szCs w:val="22"/>
        </w:rPr>
        <w:t xml:space="preserve"> repeatedly stated,</w:t>
      </w:r>
      <w:r w:rsidRPr="009D3B2D" w:rsidR="0001110F">
        <w:rPr>
          <w:szCs w:val="22"/>
        </w:rPr>
        <w:t xml:space="preserve"> nothing in the Act or our implementing rules requires that parties negotiating retransmission consent actually reach agreement.</w:t>
      </w:r>
      <w:r>
        <w:rPr>
          <w:rStyle w:val="FootnoteReference"/>
          <w:sz w:val="22"/>
          <w:szCs w:val="22"/>
        </w:rPr>
        <w:footnoteReference w:id="39"/>
      </w:r>
    </w:p>
    <w:p w:rsidR="00623B5D" w:rsidRPr="009D3B2D" w:rsidP="002601F1" w14:paraId="5FC26E72" w14:textId="7D3AB8CA">
      <w:pPr>
        <w:pStyle w:val="ParaNum"/>
        <w:tabs>
          <w:tab w:val="clear" w:pos="1080"/>
        </w:tabs>
        <w:rPr>
          <w:szCs w:val="22"/>
        </w:rPr>
      </w:pPr>
      <w:r w:rsidRPr="009D3B2D">
        <w:rPr>
          <w:rFonts w:eastAsia="Aptos"/>
          <w:snapToGrid/>
          <w:szCs w:val="22"/>
        </w:rPr>
        <w:t xml:space="preserve">First, </w:t>
      </w:r>
      <w:r w:rsidRPr="009D3B2D" w:rsidR="00A77273">
        <w:rPr>
          <w:rFonts w:eastAsia="Aptos"/>
          <w:snapToGrid/>
          <w:szCs w:val="22"/>
        </w:rPr>
        <w:t xml:space="preserve">we </w:t>
      </w:r>
      <w:r w:rsidR="005D3AA9">
        <w:rPr>
          <w:rFonts w:eastAsia="Aptos"/>
          <w:snapToGrid/>
          <w:szCs w:val="22"/>
        </w:rPr>
        <w:t>find that the record does not demonstrate</w:t>
      </w:r>
      <w:r w:rsidRPr="009D3B2D" w:rsidR="006E23F1">
        <w:rPr>
          <w:rFonts w:eastAsia="Aptos"/>
          <w:snapToGrid/>
          <w:szCs w:val="22"/>
        </w:rPr>
        <w:t xml:space="preserve"> that</w:t>
      </w:r>
      <w:r w:rsidRPr="009D3B2D" w:rsidR="001B6C23">
        <w:rPr>
          <w:rFonts w:eastAsia="Aptos"/>
          <w:snapToGrid/>
          <w:szCs w:val="22"/>
        </w:rPr>
        <w:t xml:space="preserve"> </w:t>
      </w:r>
      <w:r w:rsidRPr="009D3B2D" w:rsidR="00836688">
        <w:rPr>
          <w:rFonts w:eastAsia="Aptos"/>
          <w:snapToGrid/>
          <w:szCs w:val="22"/>
        </w:rPr>
        <w:t>Nexstar violate</w:t>
      </w:r>
      <w:r w:rsidR="002A113C">
        <w:rPr>
          <w:rFonts w:eastAsia="Aptos"/>
          <w:snapToGrid/>
          <w:szCs w:val="22"/>
        </w:rPr>
        <w:t>d</w:t>
      </w:r>
      <w:r w:rsidRPr="009D3B2D" w:rsidR="00836688">
        <w:rPr>
          <w:rFonts w:eastAsia="Aptos"/>
          <w:snapToGrid/>
          <w:szCs w:val="22"/>
        </w:rPr>
        <w:t xml:space="preserve"> the </w:t>
      </w:r>
      <w:r w:rsidRPr="009D3B2D" w:rsidR="00836688">
        <w:rPr>
          <w:rFonts w:eastAsia="Aptos"/>
          <w:i/>
          <w:iCs/>
          <w:snapToGrid/>
          <w:szCs w:val="22"/>
        </w:rPr>
        <w:t xml:space="preserve">per </w:t>
      </w:r>
      <w:r w:rsidRPr="009F050A" w:rsidR="00836688">
        <w:rPr>
          <w:rFonts w:eastAsia="Aptos"/>
          <w:i/>
          <w:iCs/>
          <w:snapToGrid/>
          <w:szCs w:val="22"/>
        </w:rPr>
        <w:t>se</w:t>
      </w:r>
      <w:r w:rsidRPr="009D3B2D" w:rsidR="00836688">
        <w:rPr>
          <w:rFonts w:eastAsia="Aptos"/>
          <w:snapToGrid/>
          <w:szCs w:val="22"/>
        </w:rPr>
        <w:t xml:space="preserve"> good faith negotiation rule</w:t>
      </w:r>
      <w:r w:rsidR="005D3AA9">
        <w:rPr>
          <w:rFonts w:eastAsia="Aptos"/>
          <w:snapToGrid/>
          <w:szCs w:val="22"/>
        </w:rPr>
        <w:t xml:space="preserve"> prohibiting</w:t>
      </w:r>
      <w:r w:rsidR="00895C93">
        <w:rPr>
          <w:rFonts w:eastAsia="Aptos"/>
          <w:snapToGrid/>
          <w:szCs w:val="22"/>
        </w:rPr>
        <w:t xml:space="preserve"> </w:t>
      </w:r>
      <w:r w:rsidR="005D3AA9">
        <w:rPr>
          <w:rFonts w:eastAsia="Aptos"/>
          <w:snapToGrid/>
          <w:szCs w:val="22"/>
        </w:rPr>
        <w:t>a</w:t>
      </w:r>
      <w:r w:rsidR="00895C93">
        <w:rPr>
          <w:rFonts w:eastAsia="Aptos"/>
          <w:snapToGrid/>
          <w:szCs w:val="22"/>
        </w:rPr>
        <w:t xml:space="preserve"> “</w:t>
      </w:r>
      <w:r w:rsidR="005D3AA9">
        <w:rPr>
          <w:rFonts w:eastAsia="Aptos"/>
          <w:snapToGrid/>
          <w:szCs w:val="22"/>
        </w:rPr>
        <w:t>s</w:t>
      </w:r>
      <w:r w:rsidRPr="009D3B2D" w:rsidR="00F7266C">
        <w:rPr>
          <w:rFonts w:eastAsia="Aptos"/>
          <w:snapToGrid/>
          <w:szCs w:val="22"/>
        </w:rPr>
        <w:t>ingle, unilateral proposal.”</w:t>
      </w:r>
      <w:r>
        <w:rPr>
          <w:rFonts w:eastAsia="Aptos"/>
          <w:szCs w:val="22"/>
          <w:vertAlign w:val="superscript"/>
        </w:rPr>
        <w:footnoteReference w:id="40"/>
      </w:r>
      <w:r w:rsidRPr="009D3B2D" w:rsidR="004E4C40">
        <w:rPr>
          <w:rFonts w:eastAsia="Aptos"/>
          <w:snapToGrid/>
          <w:szCs w:val="22"/>
        </w:rPr>
        <w:t xml:space="preserve">  </w:t>
      </w:r>
      <w:r w:rsidRPr="009D3B2D" w:rsidR="00B47403">
        <w:rPr>
          <w:rFonts w:eastAsia="Aptos"/>
          <w:snapToGrid/>
          <w:szCs w:val="22"/>
        </w:rPr>
        <w:t>Cincinnati Bell argues that Nexstar’s refusal to negotiate alternate consideration in lieu of carriage of NewsNation, and its</w:t>
      </w:r>
      <w:r w:rsidR="009A2FEB">
        <w:rPr>
          <w:rFonts w:eastAsia="Aptos"/>
          <w:snapToGrid/>
          <w:szCs w:val="22"/>
        </w:rPr>
        <w:t xml:space="preserve"> refusal to negotiate the terms of its</w:t>
      </w:r>
      <w:r w:rsidRPr="009D3B2D" w:rsidR="00B47403">
        <w:rPr>
          <w:rFonts w:eastAsia="Aptos"/>
          <w:snapToGrid/>
          <w:szCs w:val="22"/>
        </w:rPr>
        <w:t xml:space="preserve"> “eleventh-hour” stand-alone retransmission consent agreement</w:t>
      </w:r>
      <w:r w:rsidR="009A2FEB">
        <w:rPr>
          <w:rFonts w:eastAsia="Aptos"/>
          <w:snapToGrid/>
          <w:szCs w:val="22"/>
        </w:rPr>
        <w:t xml:space="preserve"> or to consider Cincinnati Bell’s counterproposal</w:t>
      </w:r>
      <w:r w:rsidRPr="009D3B2D" w:rsidR="00B47403">
        <w:rPr>
          <w:rFonts w:eastAsia="Aptos"/>
          <w:snapToGrid/>
          <w:szCs w:val="22"/>
        </w:rPr>
        <w:t xml:space="preserve">, constitute a breach of the </w:t>
      </w:r>
      <w:r w:rsidRPr="009D3B2D" w:rsidR="00B47403">
        <w:rPr>
          <w:rFonts w:eastAsia="Aptos"/>
          <w:i/>
          <w:iCs/>
          <w:snapToGrid/>
          <w:szCs w:val="22"/>
        </w:rPr>
        <w:t xml:space="preserve">per se </w:t>
      </w:r>
      <w:r w:rsidRPr="009D3B2D" w:rsidR="00B47403">
        <w:rPr>
          <w:rFonts w:eastAsia="Aptos"/>
          <w:snapToGrid/>
          <w:szCs w:val="22"/>
        </w:rPr>
        <w:t xml:space="preserve">standard prohibiting </w:t>
      </w:r>
      <w:r w:rsidR="00B47403">
        <w:rPr>
          <w:rFonts w:eastAsia="Aptos"/>
          <w:snapToGrid/>
          <w:szCs w:val="22"/>
        </w:rPr>
        <w:t xml:space="preserve">a </w:t>
      </w:r>
      <w:r w:rsidRPr="009D3B2D" w:rsidR="00B47403">
        <w:rPr>
          <w:rFonts w:eastAsia="Aptos"/>
          <w:snapToGrid/>
          <w:szCs w:val="22"/>
        </w:rPr>
        <w:t>“single, unilateral proposal.”</w:t>
      </w:r>
      <w:r>
        <w:rPr>
          <w:rStyle w:val="FootnoteReference"/>
          <w:rFonts w:eastAsia="Aptos"/>
          <w:snapToGrid/>
          <w:sz w:val="22"/>
          <w:szCs w:val="22"/>
        </w:rPr>
        <w:footnoteReference w:id="41"/>
      </w:r>
      <w:r w:rsidRPr="009D3B2D" w:rsidR="00B47403">
        <w:rPr>
          <w:rFonts w:eastAsia="Aptos"/>
          <w:snapToGrid/>
          <w:szCs w:val="22"/>
        </w:rPr>
        <w:t xml:space="preserve">  </w:t>
      </w:r>
      <w:r w:rsidRPr="009D3B2D" w:rsidR="00553BBE">
        <w:rPr>
          <w:rFonts w:eastAsia="Aptos"/>
          <w:snapToGrid/>
          <w:szCs w:val="22"/>
        </w:rPr>
        <w:t>T</w:t>
      </w:r>
      <w:r w:rsidR="00CA4278">
        <w:rPr>
          <w:rFonts w:eastAsia="Aptos"/>
          <w:snapToGrid/>
          <w:szCs w:val="22"/>
        </w:rPr>
        <w:t>o the contrary,</w:t>
      </w:r>
      <w:r w:rsidRPr="009D3B2D" w:rsidR="00553BBE">
        <w:rPr>
          <w:rFonts w:eastAsia="Aptos"/>
          <w:snapToGrid/>
          <w:szCs w:val="22"/>
        </w:rPr>
        <w:t xml:space="preserve"> </w:t>
      </w:r>
      <w:r w:rsidR="00B466D0">
        <w:rPr>
          <w:rFonts w:eastAsia="Aptos"/>
          <w:snapToGrid/>
          <w:szCs w:val="22"/>
        </w:rPr>
        <w:t xml:space="preserve">however, </w:t>
      </w:r>
      <w:r w:rsidR="00AF5807">
        <w:rPr>
          <w:rFonts w:eastAsia="Aptos"/>
          <w:snapToGrid/>
          <w:szCs w:val="22"/>
        </w:rPr>
        <w:t xml:space="preserve">the </w:t>
      </w:r>
      <w:r w:rsidR="004B4286">
        <w:rPr>
          <w:rFonts w:eastAsia="Aptos"/>
          <w:snapToGrid/>
          <w:szCs w:val="22"/>
        </w:rPr>
        <w:t>record indicates</w:t>
      </w:r>
      <w:r w:rsidRPr="009D3B2D" w:rsidR="00553BBE">
        <w:rPr>
          <w:rFonts w:eastAsia="Aptos"/>
          <w:snapToGrid/>
          <w:szCs w:val="22"/>
        </w:rPr>
        <w:t xml:space="preserve"> that</w:t>
      </w:r>
      <w:r w:rsidRPr="009D3B2D" w:rsidR="0045254C">
        <w:rPr>
          <w:rFonts w:eastAsia="Aptos"/>
          <w:snapToGrid/>
          <w:szCs w:val="22"/>
        </w:rPr>
        <w:t xml:space="preserve"> </w:t>
      </w:r>
      <w:r w:rsidRPr="009D3B2D" w:rsidR="00553BBE">
        <w:rPr>
          <w:rFonts w:eastAsia="Aptos"/>
          <w:snapToGrid/>
          <w:szCs w:val="22"/>
        </w:rPr>
        <w:t>Nexstar</w:t>
      </w:r>
      <w:r w:rsidRPr="009D3B2D" w:rsidR="0045254C">
        <w:rPr>
          <w:rFonts w:eastAsia="Aptos"/>
          <w:snapToGrid/>
          <w:szCs w:val="22"/>
        </w:rPr>
        <w:t xml:space="preserve"> </w:t>
      </w:r>
      <w:r w:rsidR="007D04F6">
        <w:rPr>
          <w:rFonts w:eastAsia="Aptos"/>
          <w:snapToGrid/>
          <w:szCs w:val="22"/>
        </w:rPr>
        <w:t xml:space="preserve">offered </w:t>
      </w:r>
      <w:r w:rsidRPr="009D3B2D" w:rsidR="00183A07">
        <w:rPr>
          <w:rFonts w:eastAsia="Aptos"/>
          <w:snapToGrid/>
          <w:szCs w:val="22"/>
        </w:rPr>
        <w:t xml:space="preserve">multiple </w:t>
      </w:r>
      <w:r w:rsidRPr="009D3B2D" w:rsidR="00672EAB">
        <w:rPr>
          <w:rFonts w:eastAsia="Aptos"/>
          <w:snapToGrid/>
          <w:szCs w:val="22"/>
        </w:rPr>
        <w:t>propos</w:t>
      </w:r>
      <w:r w:rsidRPr="009D3B2D" w:rsidR="0057500B">
        <w:rPr>
          <w:rFonts w:eastAsia="Aptos"/>
          <w:snapToGrid/>
          <w:szCs w:val="22"/>
        </w:rPr>
        <w:t>als</w:t>
      </w:r>
      <w:r w:rsidRPr="009D3B2D" w:rsidR="00361597">
        <w:rPr>
          <w:rFonts w:eastAsia="Aptos"/>
          <w:snapToGrid/>
          <w:szCs w:val="22"/>
        </w:rPr>
        <w:t xml:space="preserve"> </w:t>
      </w:r>
      <w:r w:rsidRPr="009D3B2D" w:rsidR="00D42DAF">
        <w:rPr>
          <w:rFonts w:eastAsia="Aptos"/>
          <w:snapToGrid/>
          <w:szCs w:val="22"/>
        </w:rPr>
        <w:t>with different terms</w:t>
      </w:r>
      <w:r w:rsidR="004B4286">
        <w:rPr>
          <w:rFonts w:eastAsia="Aptos"/>
          <w:snapToGrid/>
          <w:szCs w:val="22"/>
        </w:rPr>
        <w:t xml:space="preserve"> during</w:t>
      </w:r>
      <w:r w:rsidRPr="009D3B2D" w:rsidR="004B4286">
        <w:rPr>
          <w:rFonts w:eastAsia="Aptos"/>
          <w:snapToGrid/>
          <w:szCs w:val="22"/>
        </w:rPr>
        <w:t xml:space="preserve"> negotiations</w:t>
      </w:r>
      <w:r w:rsidRPr="009D3B2D" w:rsidR="009E3C94">
        <w:rPr>
          <w:rFonts w:eastAsia="Aptos"/>
          <w:snapToGrid/>
          <w:szCs w:val="22"/>
        </w:rPr>
        <w:t>.</w:t>
      </w:r>
      <w:r>
        <w:rPr>
          <w:rStyle w:val="FootnoteReference"/>
          <w:rFonts w:eastAsia="Aptos"/>
          <w:snapToGrid/>
          <w:sz w:val="22"/>
          <w:szCs w:val="22"/>
        </w:rPr>
        <w:footnoteReference w:id="42"/>
      </w:r>
      <w:r w:rsidRPr="009D3B2D" w:rsidR="008A01C9">
        <w:rPr>
          <w:rFonts w:eastAsia="Aptos"/>
          <w:snapToGrid/>
          <w:szCs w:val="22"/>
        </w:rPr>
        <w:t xml:space="preserve">  </w:t>
      </w:r>
      <w:r w:rsidR="004F4319">
        <w:rPr>
          <w:rFonts w:eastAsia="Aptos"/>
          <w:snapToGrid/>
          <w:szCs w:val="22"/>
        </w:rPr>
        <w:t xml:space="preserve">We find that </w:t>
      </w:r>
      <w:r w:rsidR="001236C2">
        <w:rPr>
          <w:rFonts w:eastAsia="Aptos"/>
          <w:snapToGrid/>
          <w:szCs w:val="22"/>
        </w:rPr>
        <w:t>Nexstar</w:t>
      </w:r>
      <w:r w:rsidR="004F4319">
        <w:rPr>
          <w:rFonts w:eastAsia="Aptos"/>
          <w:snapToGrid/>
          <w:szCs w:val="22"/>
        </w:rPr>
        <w:t>’s willingness to enter into a stand-alone retransmission consent agreement</w:t>
      </w:r>
      <w:r w:rsidR="00AF33C4">
        <w:rPr>
          <w:rFonts w:eastAsia="Aptos"/>
          <w:snapToGrid/>
          <w:szCs w:val="22"/>
        </w:rPr>
        <w:t xml:space="preserve"> </w:t>
      </w:r>
      <w:r w:rsidR="00A63182">
        <w:rPr>
          <w:rFonts w:eastAsia="Aptos"/>
          <w:snapToGrid/>
          <w:szCs w:val="22"/>
        </w:rPr>
        <w:t>demonstrates its willingness to consider</w:t>
      </w:r>
      <w:r w:rsidR="00342362">
        <w:rPr>
          <w:rFonts w:eastAsia="Aptos"/>
          <w:snapToGrid/>
          <w:szCs w:val="22"/>
        </w:rPr>
        <w:t xml:space="preserve"> alternate forms of consideration.  </w:t>
      </w:r>
      <w:r w:rsidR="009158A2">
        <w:rPr>
          <w:szCs w:val="22"/>
        </w:rPr>
        <w:t>Although Nexstar may have been unwilling to reach agreement on the terms Cincinnat</w:t>
      </w:r>
      <w:r w:rsidR="00833AA4">
        <w:rPr>
          <w:szCs w:val="22"/>
        </w:rPr>
        <w:t>i</w:t>
      </w:r>
      <w:r w:rsidR="009158A2">
        <w:rPr>
          <w:szCs w:val="22"/>
        </w:rPr>
        <w:t xml:space="preserve"> Bell desired, </w:t>
      </w:r>
      <w:r w:rsidR="00833AA4">
        <w:rPr>
          <w:szCs w:val="22"/>
        </w:rPr>
        <w:t xml:space="preserve">that does not violate the prohibition on making a single, unilateral proposal.  </w:t>
      </w:r>
      <w:r w:rsidRPr="0039571D" w:rsidR="00EB5DC5">
        <w:t xml:space="preserve">As Nexstar explains, it “proposed certain terms that it considers important in multiple non-identical offers,” which </w:t>
      </w:r>
      <w:r w:rsidR="00721CEE">
        <w:t>Cincinnati Bell</w:t>
      </w:r>
      <w:r w:rsidRPr="0039571D" w:rsidR="00EB5DC5">
        <w:t xml:space="preserve"> declined to accept.</w:t>
      </w:r>
      <w:r>
        <w:rPr>
          <w:rStyle w:val="FootnoteReference"/>
        </w:rPr>
        <w:footnoteReference w:id="43"/>
      </w:r>
      <w:r w:rsidRPr="0039571D" w:rsidR="00EB5DC5">
        <w:t xml:space="preserve">  </w:t>
      </w:r>
      <w:r w:rsidR="009D4CB6">
        <w:t>T</w:t>
      </w:r>
      <w:r w:rsidR="00EB5DC5">
        <w:t xml:space="preserve">he </w:t>
      </w:r>
      <w:r w:rsidR="00EB5DC5">
        <w:rPr>
          <w:i/>
          <w:iCs/>
        </w:rPr>
        <w:t>Good Faith Order</w:t>
      </w:r>
      <w:r w:rsidR="00EB5DC5">
        <w:t xml:space="preserve"> </w:t>
      </w:r>
      <w:r w:rsidR="009D4CB6">
        <w:t xml:space="preserve">states that </w:t>
      </w:r>
      <w:r w:rsidR="00EB5DC5">
        <w:t xml:space="preserve">the requirement to offer alternative forms of consideration </w:t>
      </w:r>
      <w:r w:rsidR="00A854A2">
        <w:t xml:space="preserve">besides carriage of affiliated programming </w:t>
      </w:r>
      <w:r w:rsidR="00EB5DC5">
        <w:t>“does not, in any way, require a broadcaster to reduce the amount of consideration it desires for carriage of its signal.”</w:t>
      </w:r>
      <w:r>
        <w:rPr>
          <w:rStyle w:val="FootnoteReference"/>
        </w:rPr>
        <w:footnoteReference w:id="44"/>
      </w:r>
      <w:r w:rsidR="00EB5DC5">
        <w:t xml:space="preserve">  </w:t>
      </w:r>
      <w:r w:rsidRPr="009D3B2D" w:rsidR="00003066">
        <w:rPr>
          <w:szCs w:val="22"/>
        </w:rPr>
        <w:t xml:space="preserve">For these reasons, we </w:t>
      </w:r>
      <w:r w:rsidRPr="009D3B2D" w:rsidR="0076358C">
        <w:rPr>
          <w:szCs w:val="22"/>
        </w:rPr>
        <w:t xml:space="preserve">find that Cincinnati Bell has not met its burden </w:t>
      </w:r>
      <w:r w:rsidR="00804BCD">
        <w:rPr>
          <w:szCs w:val="22"/>
        </w:rPr>
        <w:t>of</w:t>
      </w:r>
      <w:r w:rsidRPr="009D3B2D" w:rsidR="0076358C">
        <w:rPr>
          <w:szCs w:val="22"/>
        </w:rPr>
        <w:t xml:space="preserve"> proving that Nexstar violated the </w:t>
      </w:r>
      <w:r w:rsidRPr="009D3B2D" w:rsidR="0076358C">
        <w:rPr>
          <w:i/>
          <w:iCs/>
          <w:szCs w:val="22"/>
        </w:rPr>
        <w:t xml:space="preserve">per se </w:t>
      </w:r>
      <w:r w:rsidRPr="009D3B2D" w:rsidR="0076358C">
        <w:rPr>
          <w:szCs w:val="22"/>
        </w:rPr>
        <w:t xml:space="preserve">good faith negotiation rule prohibiting a “single, unilateral proposal.” </w:t>
      </w:r>
    </w:p>
    <w:p w:rsidR="00662919" w:rsidP="002601F1" w14:paraId="1210E71B" w14:textId="5CAF825B">
      <w:pPr>
        <w:pStyle w:val="ParaNum"/>
        <w:tabs>
          <w:tab w:val="clear" w:pos="1080"/>
        </w:tabs>
        <w:rPr>
          <w:szCs w:val="22"/>
        </w:rPr>
      </w:pPr>
      <w:r>
        <w:rPr>
          <w:szCs w:val="22"/>
        </w:rPr>
        <w:t>Second</w:t>
      </w:r>
      <w:r w:rsidRPr="009D3B2D" w:rsidR="00DF6AE2">
        <w:rPr>
          <w:szCs w:val="22"/>
        </w:rPr>
        <w:t>, w</w:t>
      </w:r>
      <w:r w:rsidRPr="009D3B2D" w:rsidR="009A68B2">
        <w:rPr>
          <w:szCs w:val="22"/>
        </w:rPr>
        <w:t xml:space="preserve">e </w:t>
      </w:r>
      <w:r w:rsidR="003F07A9">
        <w:rPr>
          <w:szCs w:val="22"/>
        </w:rPr>
        <w:t>find that</w:t>
      </w:r>
      <w:r w:rsidR="00903AFB">
        <w:rPr>
          <w:szCs w:val="22"/>
        </w:rPr>
        <w:t xml:space="preserve"> th</w:t>
      </w:r>
      <w:r>
        <w:rPr>
          <w:szCs w:val="22"/>
        </w:rPr>
        <w:t>e</w:t>
      </w:r>
      <w:r w:rsidR="00836757">
        <w:rPr>
          <w:szCs w:val="22"/>
        </w:rPr>
        <w:t xml:space="preserve"> </w:t>
      </w:r>
      <w:r>
        <w:rPr>
          <w:szCs w:val="22"/>
        </w:rPr>
        <w:t xml:space="preserve">record does not support a finding that </w:t>
      </w:r>
      <w:r w:rsidRPr="009D3B2D" w:rsidR="009A68B2">
        <w:rPr>
          <w:szCs w:val="22"/>
        </w:rPr>
        <w:t>Nexstar</w:t>
      </w:r>
      <w:r w:rsidRPr="009D3B2D" w:rsidR="00836757">
        <w:rPr>
          <w:szCs w:val="22"/>
        </w:rPr>
        <w:t xml:space="preserve"> violate</w:t>
      </w:r>
      <w:r>
        <w:rPr>
          <w:szCs w:val="22"/>
        </w:rPr>
        <w:t>d</w:t>
      </w:r>
      <w:r w:rsidRPr="009D3B2D" w:rsidR="00836757">
        <w:rPr>
          <w:szCs w:val="22"/>
        </w:rPr>
        <w:t xml:space="preserve"> the requirement to negotiate retransmission consent in good faith under the totality of the circumstances </w:t>
      </w:r>
      <w:r w:rsidR="00C712F3">
        <w:rPr>
          <w:szCs w:val="22"/>
        </w:rPr>
        <w:t>test</w:t>
      </w:r>
      <w:r w:rsidRPr="009D3B2D" w:rsidR="00836757">
        <w:rPr>
          <w:szCs w:val="22"/>
        </w:rPr>
        <w:t>.</w:t>
      </w:r>
      <w:r>
        <w:rPr>
          <w:rStyle w:val="FootnoteReference"/>
          <w:sz w:val="22"/>
          <w:szCs w:val="22"/>
        </w:rPr>
        <w:footnoteReference w:id="45"/>
      </w:r>
      <w:r w:rsidRPr="009D3B2D" w:rsidR="00F70AE4">
        <w:rPr>
          <w:szCs w:val="22"/>
        </w:rPr>
        <w:t xml:space="preserve"> </w:t>
      </w:r>
      <w:r w:rsidRPr="009D3B2D" w:rsidR="006857DB">
        <w:rPr>
          <w:szCs w:val="22"/>
        </w:rPr>
        <w:t xml:space="preserve"> </w:t>
      </w:r>
      <w:r w:rsidRPr="00F217B2" w:rsidR="00F217B2">
        <w:rPr>
          <w:szCs w:val="22"/>
        </w:rPr>
        <w:t xml:space="preserve">Under the totality of the circumstances test, a Negotiating Entity </w:t>
      </w:r>
      <w:r w:rsidRPr="003D14E1" w:rsidR="003D14E1">
        <w:rPr>
          <w:szCs w:val="22"/>
        </w:rPr>
        <w:t>may present facts to the Commission that, viewed in totality, amount to a failure to negotiate in good faith</w:t>
      </w:r>
      <w:r w:rsidRPr="00F217B2" w:rsidR="00F217B2">
        <w:rPr>
          <w:szCs w:val="22"/>
        </w:rPr>
        <w:t>.</w:t>
      </w:r>
      <w:r>
        <w:rPr>
          <w:szCs w:val="22"/>
          <w:vertAlign w:val="superscript"/>
        </w:rPr>
        <w:footnoteReference w:id="46"/>
      </w:r>
      <w:r w:rsidRPr="00F217B2" w:rsidR="00F217B2">
        <w:rPr>
          <w:szCs w:val="22"/>
        </w:rPr>
        <w:t xml:space="preserve"> </w:t>
      </w:r>
      <w:r w:rsidR="00F217B2">
        <w:rPr>
          <w:szCs w:val="22"/>
        </w:rPr>
        <w:t xml:space="preserve"> </w:t>
      </w:r>
      <w:r w:rsidRPr="009D3B2D" w:rsidR="00064AFB">
        <w:rPr>
          <w:szCs w:val="22"/>
        </w:rPr>
        <w:t xml:space="preserve">When adopting this standard, the Commission explained that specific retransmission consent proposals could be “sufficiently </w:t>
      </w:r>
      <w:r w:rsidRPr="009D3B2D" w:rsidR="00064AFB">
        <w:rPr>
          <w:szCs w:val="22"/>
        </w:rPr>
        <w:t xml:space="preserve">outrageous. . . as to breach [the] good faith negotiation obligation.  </w:t>
      </w:r>
      <w:r w:rsidRPr="00A01A98" w:rsidR="00064AFB">
        <w:rPr>
          <w:szCs w:val="22"/>
        </w:rPr>
        <w:t xml:space="preserve">However, </w:t>
      </w:r>
      <w:r w:rsidR="00692DEB">
        <w:rPr>
          <w:szCs w:val="22"/>
        </w:rPr>
        <w:t xml:space="preserve">complaints </w:t>
      </w:r>
      <w:r>
        <w:rPr>
          <w:szCs w:val="22"/>
        </w:rPr>
        <w:t>which merely</w:t>
      </w:r>
      <w:r w:rsidR="00953ACA">
        <w:rPr>
          <w:szCs w:val="22"/>
        </w:rPr>
        <w:t xml:space="preserve"> reflect </w:t>
      </w:r>
      <w:r>
        <w:rPr>
          <w:szCs w:val="22"/>
        </w:rPr>
        <w:t>commonplace</w:t>
      </w:r>
      <w:r w:rsidR="00953ACA">
        <w:rPr>
          <w:szCs w:val="22"/>
        </w:rPr>
        <w:t xml:space="preserve"> disagreements </w:t>
      </w:r>
      <w:r>
        <w:rPr>
          <w:szCs w:val="22"/>
        </w:rPr>
        <w:t>encountered by</w:t>
      </w:r>
      <w:r w:rsidR="00453C3B">
        <w:rPr>
          <w:szCs w:val="22"/>
        </w:rPr>
        <w:t xml:space="preserve"> negotiating parties in the </w:t>
      </w:r>
      <w:r>
        <w:rPr>
          <w:szCs w:val="22"/>
        </w:rPr>
        <w:t>everyday</w:t>
      </w:r>
      <w:r w:rsidR="00453C3B">
        <w:rPr>
          <w:szCs w:val="22"/>
        </w:rPr>
        <w:t xml:space="preserve"> business </w:t>
      </w:r>
      <w:r>
        <w:rPr>
          <w:szCs w:val="22"/>
        </w:rPr>
        <w:t xml:space="preserve">world </w:t>
      </w:r>
      <w:r w:rsidR="00453C3B">
        <w:rPr>
          <w:szCs w:val="22"/>
        </w:rPr>
        <w:t xml:space="preserve">will be </w:t>
      </w:r>
      <w:r w:rsidR="008A6C4A">
        <w:rPr>
          <w:szCs w:val="22"/>
        </w:rPr>
        <w:t xml:space="preserve">promptly </w:t>
      </w:r>
      <w:r w:rsidR="00453C3B">
        <w:rPr>
          <w:szCs w:val="22"/>
        </w:rPr>
        <w:t>dismissed by t</w:t>
      </w:r>
      <w:r w:rsidRPr="00A01A98" w:rsidR="00064AFB">
        <w:rPr>
          <w:szCs w:val="22"/>
        </w:rPr>
        <w:t>he Commission.”</w:t>
      </w:r>
      <w:r>
        <w:rPr>
          <w:rStyle w:val="FootnoteReference"/>
          <w:szCs w:val="22"/>
        </w:rPr>
        <w:footnoteReference w:id="47"/>
      </w:r>
      <w:r w:rsidR="00453C3B">
        <w:rPr>
          <w:szCs w:val="22"/>
        </w:rPr>
        <w:t xml:space="preserve">  </w:t>
      </w:r>
      <w:r w:rsidRPr="009D3B2D" w:rsidR="00433FF6">
        <w:rPr>
          <w:szCs w:val="22"/>
        </w:rPr>
        <w:t xml:space="preserve">Cincinnati Bell </w:t>
      </w:r>
      <w:r w:rsidR="002D039E">
        <w:rPr>
          <w:szCs w:val="22"/>
        </w:rPr>
        <w:t xml:space="preserve">objects to </w:t>
      </w:r>
      <w:r w:rsidRPr="009D3B2D" w:rsidR="00433FF6">
        <w:rPr>
          <w:szCs w:val="22"/>
        </w:rPr>
        <w:t>Nexstar</w:t>
      </w:r>
      <w:r w:rsidR="002D039E">
        <w:rPr>
          <w:szCs w:val="22"/>
        </w:rPr>
        <w:t>’s</w:t>
      </w:r>
      <w:r w:rsidRPr="009D3B2D" w:rsidR="00433FF6">
        <w:rPr>
          <w:szCs w:val="22"/>
        </w:rPr>
        <w:t xml:space="preserve"> </w:t>
      </w:r>
      <w:r w:rsidR="008F7ED0">
        <w:rPr>
          <w:szCs w:val="22"/>
        </w:rPr>
        <w:t>proposed</w:t>
      </w:r>
      <w:r w:rsidRPr="009D3B2D" w:rsidR="00433FF6">
        <w:rPr>
          <w:szCs w:val="22"/>
        </w:rPr>
        <w:t xml:space="preserve"> rates</w:t>
      </w:r>
      <w:r w:rsidR="002D039E">
        <w:rPr>
          <w:szCs w:val="22"/>
        </w:rPr>
        <w:t>, including in particular the</w:t>
      </w:r>
      <w:r w:rsidRPr="009D3B2D" w:rsidR="00433FF6">
        <w:rPr>
          <w:szCs w:val="22"/>
        </w:rPr>
        <w:t xml:space="preserve"> rates </w:t>
      </w:r>
      <w:r w:rsidR="002D039E">
        <w:rPr>
          <w:szCs w:val="22"/>
        </w:rPr>
        <w:t>that would apply to</w:t>
      </w:r>
      <w:r w:rsidRPr="009D3B2D" w:rsidR="00433FF6">
        <w:rPr>
          <w:szCs w:val="22"/>
        </w:rPr>
        <w:t xml:space="preserve"> after-acquired stations</w:t>
      </w:r>
      <w:r w:rsidR="002D039E">
        <w:rPr>
          <w:szCs w:val="22"/>
        </w:rPr>
        <w:t>.</w:t>
      </w:r>
      <w:r>
        <w:rPr>
          <w:rStyle w:val="FootnoteReference"/>
          <w:szCs w:val="22"/>
        </w:rPr>
        <w:footnoteReference w:id="48"/>
      </w:r>
      <w:r w:rsidRPr="009D3B2D" w:rsidR="00433FF6">
        <w:rPr>
          <w:szCs w:val="22"/>
        </w:rPr>
        <w:t xml:space="preserve"> </w:t>
      </w:r>
      <w:r w:rsidR="00CC4F1D">
        <w:rPr>
          <w:szCs w:val="22"/>
        </w:rPr>
        <w:t xml:space="preserve"> </w:t>
      </w:r>
      <w:r w:rsidR="002D039E">
        <w:rPr>
          <w:szCs w:val="22"/>
        </w:rPr>
        <w:t>Cincinnati Bell also objects to Nexstar’s demands for carriage of NewsNation in the Cincinnati DMA with associated monthly per subscriber fees.</w:t>
      </w:r>
      <w:r>
        <w:rPr>
          <w:rStyle w:val="FootnoteReference"/>
          <w:szCs w:val="22"/>
        </w:rPr>
        <w:footnoteReference w:id="49"/>
      </w:r>
      <w:r w:rsidR="002D039E">
        <w:rPr>
          <w:szCs w:val="22"/>
        </w:rPr>
        <w:t xml:space="preserve">  </w:t>
      </w:r>
      <w:r w:rsidR="00592122">
        <w:rPr>
          <w:szCs w:val="22"/>
        </w:rPr>
        <w:t>Cincinnati Bell further argues that “</w:t>
      </w:r>
      <w:r w:rsidR="001E1A6D">
        <w:rPr>
          <w:szCs w:val="22"/>
        </w:rPr>
        <w:t>[</w:t>
      </w:r>
      <w:r w:rsidR="00592122">
        <w:rPr>
          <w:szCs w:val="22"/>
        </w:rPr>
        <w:t>i</w:t>
      </w:r>
      <w:r w:rsidR="001E1A6D">
        <w:rPr>
          <w:szCs w:val="22"/>
        </w:rPr>
        <w:t>]</w:t>
      </w:r>
      <w:r w:rsidR="00592122">
        <w:rPr>
          <w:szCs w:val="22"/>
        </w:rPr>
        <w:t>ndividually</w:t>
      </w:r>
      <w:r w:rsidR="00592122">
        <w:rPr>
          <w:szCs w:val="22"/>
        </w:rPr>
        <w:t xml:space="preserve"> and taken as a whole</w:t>
      </w:r>
      <w:r w:rsidR="001261AF">
        <w:rPr>
          <w:szCs w:val="22"/>
        </w:rPr>
        <w:t>,</w:t>
      </w:r>
      <w:r w:rsidR="00166501">
        <w:rPr>
          <w:szCs w:val="22"/>
        </w:rPr>
        <w:t>”</w:t>
      </w:r>
      <w:r w:rsidR="001261AF">
        <w:rPr>
          <w:szCs w:val="22"/>
        </w:rPr>
        <w:t xml:space="preserve"> Nexstar’s </w:t>
      </w:r>
      <w:r w:rsidR="0036597A">
        <w:rPr>
          <w:szCs w:val="22"/>
        </w:rPr>
        <w:t xml:space="preserve">proposals for after-acquired rates and carriage of NewsNation in the Cincinnati DMA </w:t>
      </w:r>
      <w:r w:rsidR="00CF18B6">
        <w:rPr>
          <w:szCs w:val="22"/>
        </w:rPr>
        <w:t>are sufficiently outrageous</w:t>
      </w:r>
      <w:r w:rsidR="008C3BB1">
        <w:rPr>
          <w:szCs w:val="22"/>
        </w:rPr>
        <w:t xml:space="preserve"> as to constitute a breach of Nexstar’s good faith negotiation obligation.</w:t>
      </w:r>
      <w:r>
        <w:rPr>
          <w:rStyle w:val="FootnoteReference"/>
          <w:szCs w:val="22"/>
        </w:rPr>
        <w:footnoteReference w:id="50"/>
      </w:r>
      <w:r w:rsidR="008C3BB1">
        <w:rPr>
          <w:szCs w:val="22"/>
        </w:rPr>
        <w:t xml:space="preserve">  </w:t>
      </w:r>
      <w:r w:rsidR="007B3924">
        <w:rPr>
          <w:szCs w:val="22"/>
        </w:rPr>
        <w:t>We do not find</w:t>
      </w:r>
      <w:r w:rsidR="00DE474A">
        <w:rPr>
          <w:szCs w:val="22"/>
        </w:rPr>
        <w:t xml:space="preserve"> th</w:t>
      </w:r>
      <w:r w:rsidR="004E2128">
        <w:rPr>
          <w:szCs w:val="22"/>
        </w:rPr>
        <w:t>at</w:t>
      </w:r>
      <w:r w:rsidR="00DE474A">
        <w:rPr>
          <w:szCs w:val="22"/>
        </w:rPr>
        <w:t xml:space="preserve"> th</w:t>
      </w:r>
      <w:r w:rsidR="007B3924">
        <w:rPr>
          <w:szCs w:val="22"/>
        </w:rPr>
        <w:t>ese</w:t>
      </w:r>
      <w:r w:rsidR="00DE474A">
        <w:rPr>
          <w:szCs w:val="22"/>
        </w:rPr>
        <w:t xml:space="preserve"> </w:t>
      </w:r>
      <w:r w:rsidR="006B42D9">
        <w:rPr>
          <w:szCs w:val="22"/>
        </w:rPr>
        <w:t xml:space="preserve">proposals </w:t>
      </w:r>
      <w:r w:rsidRPr="007C742B" w:rsidR="007C742B">
        <w:rPr>
          <w:szCs w:val="22"/>
        </w:rPr>
        <w:t>are so “sufficiently outrageous” that they constitute a violation of the good faith negotiation requirements under the totality of the circumstances test.</w:t>
      </w:r>
      <w:r>
        <w:rPr>
          <w:szCs w:val="22"/>
          <w:vertAlign w:val="superscript"/>
        </w:rPr>
        <w:footnoteReference w:id="51"/>
      </w:r>
    </w:p>
    <w:p w:rsidR="00BE7BC1" w:rsidRPr="0020248F" w:rsidP="002601F1" w14:paraId="1FE30802" w14:textId="06A88096">
      <w:pPr>
        <w:pStyle w:val="ParaNum"/>
        <w:tabs>
          <w:tab w:val="clear" w:pos="1080"/>
        </w:tabs>
        <w:rPr>
          <w:szCs w:val="22"/>
        </w:rPr>
      </w:pPr>
      <w:r w:rsidRPr="0020248F">
        <w:rPr>
          <w:szCs w:val="22"/>
        </w:rPr>
        <w:t xml:space="preserve">The record </w:t>
      </w:r>
      <w:r w:rsidRPr="0020248F" w:rsidR="007553E1">
        <w:rPr>
          <w:szCs w:val="22"/>
        </w:rPr>
        <w:t>does not support a finding that Nexstar’s proposed retransmission consent rates</w:t>
      </w:r>
      <w:r w:rsidR="00FB5B5D">
        <w:rPr>
          <w:szCs w:val="22"/>
        </w:rPr>
        <w:t>, including th</w:t>
      </w:r>
      <w:r w:rsidR="00676A53">
        <w:rPr>
          <w:szCs w:val="22"/>
        </w:rPr>
        <w:t>ose</w:t>
      </w:r>
      <w:r w:rsidR="00FB5B5D">
        <w:rPr>
          <w:szCs w:val="22"/>
        </w:rPr>
        <w:t xml:space="preserve"> it propose</w:t>
      </w:r>
      <w:r w:rsidR="00676A53">
        <w:rPr>
          <w:szCs w:val="22"/>
        </w:rPr>
        <w:t>d</w:t>
      </w:r>
      <w:r w:rsidR="00FB5B5D">
        <w:rPr>
          <w:szCs w:val="22"/>
        </w:rPr>
        <w:t xml:space="preserve"> for after-acquired stations,</w:t>
      </w:r>
      <w:r w:rsidRPr="0020248F" w:rsidR="007553E1">
        <w:rPr>
          <w:szCs w:val="22"/>
        </w:rPr>
        <w:t xml:space="preserve"> are grounds for a finding of bad faith under the totality of the circumstances test.  Cincinnati Bell </w:t>
      </w:r>
      <w:r w:rsidRPr="0020248F" w:rsidR="0020248F">
        <w:rPr>
          <w:szCs w:val="22"/>
        </w:rPr>
        <w:t xml:space="preserve">asserts </w:t>
      </w:r>
      <w:r w:rsidR="007E3297">
        <w:rPr>
          <w:szCs w:val="22"/>
        </w:rPr>
        <w:t>“</w:t>
      </w:r>
      <w:r w:rsidRPr="0020248F" w:rsidR="0020248F">
        <w:rPr>
          <w:szCs w:val="22"/>
        </w:rPr>
        <w:t>that Nexstar</w:t>
      </w:r>
      <w:r w:rsidR="0020248F">
        <w:rPr>
          <w:szCs w:val="22"/>
        </w:rPr>
        <w:t xml:space="preserve"> </w:t>
      </w:r>
      <w:r w:rsidRPr="0020248F" w:rsidR="009F66C0">
        <w:rPr>
          <w:szCs w:val="22"/>
        </w:rPr>
        <w:t xml:space="preserve">charges higher </w:t>
      </w:r>
      <w:r w:rsidRPr="0020248F" w:rsidR="008150F9">
        <w:rPr>
          <w:szCs w:val="22"/>
        </w:rPr>
        <w:t>retransmission</w:t>
      </w:r>
      <w:r w:rsidRPr="0020248F" w:rsidR="009F66C0">
        <w:rPr>
          <w:szCs w:val="22"/>
        </w:rPr>
        <w:t xml:space="preserve"> consent fees than other </w:t>
      </w:r>
      <w:r w:rsidRPr="0020248F" w:rsidR="008150F9">
        <w:rPr>
          <w:szCs w:val="22"/>
        </w:rPr>
        <w:t>broadcasters</w:t>
      </w:r>
      <w:r w:rsidR="007E3297">
        <w:rPr>
          <w:szCs w:val="22"/>
        </w:rPr>
        <w:t>, as evidenced by its stated intent to migrate</w:t>
      </w:r>
      <w:r w:rsidRPr="0020248F" w:rsidR="004274F6">
        <w:rPr>
          <w:szCs w:val="22"/>
        </w:rPr>
        <w:t xml:space="preserve"> after-acquired stations </w:t>
      </w:r>
      <w:r w:rsidR="007E3297">
        <w:rPr>
          <w:szCs w:val="22"/>
        </w:rPr>
        <w:t>to</w:t>
      </w:r>
      <w:r w:rsidRPr="0020248F" w:rsidR="004274F6">
        <w:rPr>
          <w:szCs w:val="22"/>
        </w:rPr>
        <w:t xml:space="preserve"> its retransmission consent agreements.</w:t>
      </w:r>
      <w:r w:rsidR="007E3297">
        <w:rPr>
          <w:szCs w:val="22"/>
        </w:rPr>
        <w:t>”</w:t>
      </w:r>
      <w:r>
        <w:rPr>
          <w:rStyle w:val="FootnoteReference"/>
          <w:szCs w:val="22"/>
        </w:rPr>
        <w:footnoteReference w:id="52"/>
      </w:r>
      <w:r w:rsidRPr="0020248F" w:rsidR="004274F6">
        <w:rPr>
          <w:szCs w:val="22"/>
        </w:rPr>
        <w:t xml:space="preserve">  </w:t>
      </w:r>
      <w:r w:rsidR="007E3297">
        <w:rPr>
          <w:szCs w:val="22"/>
        </w:rPr>
        <w:t>Cincinnati Bell</w:t>
      </w:r>
      <w:r w:rsidR="00AF3F26">
        <w:rPr>
          <w:szCs w:val="22"/>
        </w:rPr>
        <w:t xml:space="preserve"> </w:t>
      </w:r>
      <w:r w:rsidRPr="0020248F" w:rsidR="00AB40E3">
        <w:rPr>
          <w:szCs w:val="22"/>
        </w:rPr>
        <w:t xml:space="preserve">argues that </w:t>
      </w:r>
      <w:r w:rsidRPr="0020248F" w:rsidR="00497002">
        <w:rPr>
          <w:szCs w:val="22"/>
        </w:rPr>
        <w:t>the proposed rates “risk making</w:t>
      </w:r>
      <w:r w:rsidRPr="0020248F" w:rsidR="00F07DE5">
        <w:rPr>
          <w:szCs w:val="22"/>
        </w:rPr>
        <w:t xml:space="preserve"> [</w:t>
      </w:r>
      <w:r w:rsidR="0020248F">
        <w:rPr>
          <w:szCs w:val="22"/>
        </w:rPr>
        <w:t>Cincinnati Bell’s</w:t>
      </w:r>
      <w:r w:rsidRPr="0020248F" w:rsidR="00F07DE5">
        <w:rPr>
          <w:szCs w:val="22"/>
        </w:rPr>
        <w:t>] cable service in Dayton unaffordable</w:t>
      </w:r>
      <w:r w:rsidR="007E3297">
        <w:rPr>
          <w:szCs w:val="22"/>
        </w:rPr>
        <w:t xml:space="preserve"> and uncompetitive,</w:t>
      </w:r>
      <w:r w:rsidRPr="0020248F" w:rsidR="00FA652B">
        <w:rPr>
          <w:szCs w:val="22"/>
        </w:rPr>
        <w:t>”</w:t>
      </w:r>
      <w:r>
        <w:rPr>
          <w:rStyle w:val="FootnoteReference"/>
          <w:szCs w:val="22"/>
        </w:rPr>
        <w:footnoteReference w:id="53"/>
      </w:r>
      <w:r w:rsidRPr="0020248F" w:rsidR="00BB6CE1">
        <w:rPr>
          <w:szCs w:val="22"/>
        </w:rPr>
        <w:t xml:space="preserve"> </w:t>
      </w:r>
      <w:r w:rsidR="00A145C7">
        <w:rPr>
          <w:szCs w:val="22"/>
        </w:rPr>
        <w:t xml:space="preserve">and </w:t>
      </w:r>
      <w:r w:rsidR="007E3297">
        <w:rPr>
          <w:szCs w:val="22"/>
        </w:rPr>
        <w:t xml:space="preserve">that </w:t>
      </w:r>
      <w:r w:rsidR="00BD4CEC">
        <w:rPr>
          <w:szCs w:val="22"/>
        </w:rPr>
        <w:t>agree</w:t>
      </w:r>
      <w:r w:rsidR="00EE59CE">
        <w:rPr>
          <w:szCs w:val="22"/>
        </w:rPr>
        <w:t>ing</w:t>
      </w:r>
      <w:r w:rsidR="00BD4CEC">
        <w:rPr>
          <w:szCs w:val="22"/>
        </w:rPr>
        <w:t xml:space="preserve"> would “provide Nexstar a potential windfall </w:t>
      </w:r>
      <w:r w:rsidR="00AC5CE7">
        <w:rPr>
          <w:szCs w:val="22"/>
        </w:rPr>
        <w:t xml:space="preserve">and cause severe financial hardship” to </w:t>
      </w:r>
      <w:r w:rsidR="00EE59CE">
        <w:rPr>
          <w:szCs w:val="22"/>
        </w:rPr>
        <w:t>Cincinnati Bell</w:t>
      </w:r>
      <w:r w:rsidR="00AC5CE7">
        <w:rPr>
          <w:szCs w:val="22"/>
        </w:rPr>
        <w:t>.</w:t>
      </w:r>
      <w:r>
        <w:rPr>
          <w:rStyle w:val="FootnoteReference"/>
          <w:szCs w:val="22"/>
        </w:rPr>
        <w:footnoteReference w:id="54"/>
      </w:r>
      <w:r w:rsidR="00AC5CE7">
        <w:rPr>
          <w:szCs w:val="22"/>
        </w:rPr>
        <w:t xml:space="preserve">  </w:t>
      </w:r>
      <w:r w:rsidR="00234502">
        <w:rPr>
          <w:szCs w:val="22"/>
        </w:rPr>
        <w:t xml:space="preserve">However, </w:t>
      </w:r>
      <w:r w:rsidR="008F33B9">
        <w:t xml:space="preserve">Nexstar </w:t>
      </w:r>
      <w:r w:rsidR="00875BA5">
        <w:t xml:space="preserve">counters </w:t>
      </w:r>
      <w:r w:rsidR="008F33B9">
        <w:t>that</w:t>
      </w:r>
      <w:r w:rsidR="00F04E08">
        <w:t>, aside from the amount of the proposed fees,</w:t>
      </w:r>
      <w:r w:rsidR="008F33B9">
        <w:t xml:space="preserve"> its proposals were consistent with the parties’ prior agreement,</w:t>
      </w:r>
      <w:r w:rsidR="00F04E08">
        <w:t xml:space="preserve"> </w:t>
      </w:r>
      <w:r w:rsidR="008F33B9">
        <w:t>and that this dispute is simply a disagreement about rates.</w:t>
      </w:r>
      <w:r>
        <w:rPr>
          <w:rStyle w:val="FootnoteReference"/>
        </w:rPr>
        <w:footnoteReference w:id="55"/>
      </w:r>
      <w:r w:rsidR="00234502">
        <w:t xml:space="preserve">  </w:t>
      </w:r>
      <w:r w:rsidR="00EE59CE">
        <w:rPr>
          <w:szCs w:val="22"/>
        </w:rPr>
        <w:t>We find that the parties’</w:t>
      </w:r>
      <w:r w:rsidRPr="0020248F">
        <w:rPr>
          <w:szCs w:val="22"/>
        </w:rPr>
        <w:t xml:space="preserve"> disagreement over </w:t>
      </w:r>
      <w:r w:rsidRPr="0020248F" w:rsidR="00BF1D1F">
        <w:rPr>
          <w:szCs w:val="22"/>
        </w:rPr>
        <w:t>rates</w:t>
      </w:r>
      <w:r w:rsidRPr="0020248F">
        <w:rPr>
          <w:szCs w:val="22"/>
        </w:rPr>
        <w:t xml:space="preserve"> is the type of commonplace business disagreement that does not </w:t>
      </w:r>
      <w:r w:rsidRPr="0020248F" w:rsidR="00391766">
        <w:rPr>
          <w:szCs w:val="22"/>
        </w:rPr>
        <w:t>violat</w:t>
      </w:r>
      <w:r w:rsidR="00EE59CE">
        <w:rPr>
          <w:szCs w:val="22"/>
        </w:rPr>
        <w:t>e the Commission’s</w:t>
      </w:r>
      <w:r w:rsidRPr="0020248F" w:rsidR="00391766">
        <w:rPr>
          <w:szCs w:val="22"/>
        </w:rPr>
        <w:t xml:space="preserve"> rules.</w:t>
      </w:r>
      <w:r>
        <w:rPr>
          <w:rStyle w:val="FootnoteReference"/>
          <w:sz w:val="22"/>
          <w:szCs w:val="22"/>
        </w:rPr>
        <w:footnoteReference w:id="56"/>
      </w:r>
      <w:r w:rsidRPr="0020248F" w:rsidR="00A77273">
        <w:rPr>
          <w:szCs w:val="22"/>
        </w:rPr>
        <w:t xml:space="preserve">  </w:t>
      </w:r>
      <w:r w:rsidR="00EE59CE">
        <w:rPr>
          <w:szCs w:val="22"/>
        </w:rPr>
        <w:t xml:space="preserve">Further, nothing in the Commission’s rules prohibits after-acquired station </w:t>
      </w:r>
      <w:r w:rsidR="00EE59CE">
        <w:rPr>
          <w:szCs w:val="22"/>
        </w:rPr>
        <w:t xml:space="preserve">clauses, regardless of how </w:t>
      </w:r>
      <w:r w:rsidR="00695266">
        <w:rPr>
          <w:szCs w:val="22"/>
        </w:rPr>
        <w:t xml:space="preserve">potentially </w:t>
      </w:r>
      <w:r w:rsidR="00EE59CE">
        <w:rPr>
          <w:szCs w:val="22"/>
        </w:rPr>
        <w:t>lucrative those clauses may be to a particular entity.</w:t>
      </w:r>
      <w:r>
        <w:rPr>
          <w:rStyle w:val="FootnoteReference"/>
          <w:szCs w:val="22"/>
        </w:rPr>
        <w:footnoteReference w:id="57"/>
      </w:r>
    </w:p>
    <w:p w:rsidR="00610079" w:rsidRPr="009D3B2D" w:rsidP="002601F1" w14:paraId="6F489CC7" w14:textId="58A2E5DA">
      <w:pPr>
        <w:pStyle w:val="ParaNum"/>
        <w:tabs>
          <w:tab w:val="clear" w:pos="1080"/>
        </w:tabs>
        <w:rPr>
          <w:szCs w:val="22"/>
        </w:rPr>
      </w:pPr>
      <w:r w:rsidRPr="0020248F">
        <w:rPr>
          <w:szCs w:val="22"/>
        </w:rPr>
        <w:t xml:space="preserve">The record </w:t>
      </w:r>
      <w:r>
        <w:rPr>
          <w:szCs w:val="22"/>
        </w:rPr>
        <w:t xml:space="preserve">also </w:t>
      </w:r>
      <w:r w:rsidRPr="0020248F">
        <w:rPr>
          <w:szCs w:val="22"/>
        </w:rPr>
        <w:t xml:space="preserve">does not support a finding </w:t>
      </w:r>
      <w:r w:rsidRPr="009D3B2D" w:rsidR="00A77273">
        <w:rPr>
          <w:szCs w:val="22"/>
        </w:rPr>
        <w:t>that Nexstar violate</w:t>
      </w:r>
      <w:r>
        <w:rPr>
          <w:szCs w:val="22"/>
        </w:rPr>
        <w:t>d</w:t>
      </w:r>
      <w:r w:rsidRPr="009D3B2D" w:rsidR="00A77273">
        <w:rPr>
          <w:szCs w:val="22"/>
        </w:rPr>
        <w:t xml:space="preserve"> the </w:t>
      </w:r>
      <w:r w:rsidRPr="009D3B2D" w:rsidR="00B61561">
        <w:rPr>
          <w:szCs w:val="22"/>
        </w:rPr>
        <w:t xml:space="preserve">totality of the circumstances test </w:t>
      </w:r>
      <w:r>
        <w:rPr>
          <w:szCs w:val="22"/>
        </w:rPr>
        <w:t>by</w:t>
      </w:r>
      <w:r w:rsidRPr="009D3B2D" w:rsidR="00155456">
        <w:rPr>
          <w:szCs w:val="22"/>
        </w:rPr>
        <w:t xml:space="preserve"> condition</w:t>
      </w:r>
      <w:r>
        <w:rPr>
          <w:szCs w:val="22"/>
        </w:rPr>
        <w:t>ing</w:t>
      </w:r>
      <w:r w:rsidRPr="009D3B2D" w:rsidR="00155456">
        <w:rPr>
          <w:szCs w:val="22"/>
        </w:rPr>
        <w:t xml:space="preserve"> retransmission consent for WDTN in the Dayton DMA on distribution of NewsNation in both the Dayton and Cincinnati DMAs.</w:t>
      </w:r>
      <w:r>
        <w:rPr>
          <w:rStyle w:val="FootnoteReference"/>
          <w:szCs w:val="22"/>
        </w:rPr>
        <w:footnoteReference w:id="58"/>
      </w:r>
      <w:r w:rsidRPr="009D3B2D" w:rsidR="00244BB2">
        <w:rPr>
          <w:szCs w:val="22"/>
        </w:rPr>
        <w:t xml:space="preserve">  </w:t>
      </w:r>
      <w:r w:rsidRPr="009D3B2D" w:rsidR="009A16B0">
        <w:rPr>
          <w:szCs w:val="22"/>
        </w:rPr>
        <w:t xml:space="preserve">Cincinnati Bell acknowledges that the </w:t>
      </w:r>
      <w:r w:rsidR="00716FC1">
        <w:rPr>
          <w:szCs w:val="22"/>
        </w:rPr>
        <w:t>Commission has stated that</w:t>
      </w:r>
      <w:r w:rsidRPr="009D3B2D" w:rsidR="009A16B0">
        <w:rPr>
          <w:szCs w:val="22"/>
        </w:rPr>
        <w:t xml:space="preserve"> proposals for carriage </w:t>
      </w:r>
      <w:r w:rsidRPr="009D3B2D" w:rsidR="00461DB5">
        <w:rPr>
          <w:szCs w:val="22"/>
        </w:rPr>
        <w:t xml:space="preserve">conditioned on carriage of </w:t>
      </w:r>
      <w:r w:rsidRPr="009D3B2D" w:rsidR="00461DB5">
        <w:rPr>
          <w:i/>
          <w:iCs/>
          <w:szCs w:val="22"/>
        </w:rPr>
        <w:t xml:space="preserve">any other programming </w:t>
      </w:r>
      <w:r w:rsidR="00716FC1">
        <w:rPr>
          <w:szCs w:val="22"/>
        </w:rPr>
        <w:t>are</w:t>
      </w:r>
      <w:r w:rsidRPr="009D3B2D" w:rsidR="00461DB5">
        <w:rPr>
          <w:szCs w:val="22"/>
        </w:rPr>
        <w:t xml:space="preserve"> presumptively</w:t>
      </w:r>
      <w:r w:rsidRPr="009D3B2D" w:rsidR="00154E1F">
        <w:rPr>
          <w:szCs w:val="22"/>
        </w:rPr>
        <w:t xml:space="preserve"> </w:t>
      </w:r>
      <w:r w:rsidRPr="009D3B2D" w:rsidR="00A6009B">
        <w:rPr>
          <w:szCs w:val="22"/>
        </w:rPr>
        <w:t>consistent</w:t>
      </w:r>
      <w:r w:rsidRPr="009D3B2D" w:rsidR="00154E1F">
        <w:rPr>
          <w:szCs w:val="22"/>
        </w:rPr>
        <w:t xml:space="preserve"> with </w:t>
      </w:r>
      <w:r w:rsidR="00716FC1">
        <w:rPr>
          <w:szCs w:val="22"/>
        </w:rPr>
        <w:t xml:space="preserve">competitive </w:t>
      </w:r>
      <w:r w:rsidRPr="009D3B2D" w:rsidR="00154E1F">
        <w:rPr>
          <w:szCs w:val="22"/>
        </w:rPr>
        <w:t xml:space="preserve">marketplace conditions, yet it argues that the </w:t>
      </w:r>
      <w:r w:rsidRPr="009D3B2D" w:rsidR="00A6009B">
        <w:rPr>
          <w:szCs w:val="22"/>
        </w:rPr>
        <w:t>presumption only exists “where carriage is limited to the DMA for which retransmission consent is sought.</w:t>
      </w:r>
      <w:r w:rsidR="00EE4D69">
        <w:rPr>
          <w:szCs w:val="22"/>
        </w:rPr>
        <w:t>”</w:t>
      </w:r>
      <w:r>
        <w:rPr>
          <w:rStyle w:val="FootnoteReference"/>
          <w:sz w:val="22"/>
          <w:szCs w:val="22"/>
        </w:rPr>
        <w:footnoteReference w:id="59"/>
      </w:r>
      <w:r w:rsidRPr="009D3B2D" w:rsidR="00A6009B">
        <w:rPr>
          <w:szCs w:val="22"/>
        </w:rPr>
        <w:t xml:space="preserve">  </w:t>
      </w:r>
      <w:r w:rsidRPr="009D3B2D" w:rsidR="000D17D6">
        <w:rPr>
          <w:szCs w:val="22"/>
        </w:rPr>
        <w:t>We disagree with this argument</w:t>
      </w:r>
      <w:r w:rsidRPr="009D3B2D" w:rsidR="000B3FAC">
        <w:rPr>
          <w:szCs w:val="22"/>
        </w:rPr>
        <w:t>.</w:t>
      </w:r>
      <w:r w:rsidRPr="009D3B2D" w:rsidR="00274EC0">
        <w:rPr>
          <w:szCs w:val="22"/>
        </w:rPr>
        <w:t xml:space="preserve">  </w:t>
      </w:r>
      <w:r w:rsidRPr="009D3B2D" w:rsidR="000B3FAC">
        <w:rPr>
          <w:szCs w:val="22"/>
        </w:rPr>
        <w:t xml:space="preserve">The </w:t>
      </w:r>
      <w:r w:rsidRPr="009D3B2D" w:rsidR="000D17D6">
        <w:rPr>
          <w:szCs w:val="22"/>
        </w:rPr>
        <w:t xml:space="preserve">Commission has stated that </w:t>
      </w:r>
      <w:r w:rsidRPr="009D3B2D" w:rsidR="006C6BD0">
        <w:rPr>
          <w:szCs w:val="22"/>
        </w:rPr>
        <w:t>“[</w:t>
      </w:r>
      <w:r w:rsidRPr="009D3B2D" w:rsidR="0017249B">
        <w:rPr>
          <w:szCs w:val="22"/>
        </w:rPr>
        <w:t>p</w:t>
      </w:r>
      <w:r w:rsidRPr="009D3B2D" w:rsidR="000905AF">
        <w:rPr>
          <w:szCs w:val="22"/>
        </w:rPr>
        <w:t>]</w:t>
      </w:r>
      <w:r w:rsidRPr="009D3B2D" w:rsidR="0017249B">
        <w:rPr>
          <w:szCs w:val="22"/>
        </w:rPr>
        <w:t>roposals</w:t>
      </w:r>
      <w:r w:rsidRPr="009D3B2D" w:rsidR="00AF006B">
        <w:rPr>
          <w:szCs w:val="22"/>
        </w:rPr>
        <w:t xml:space="preserve"> for carriage</w:t>
      </w:r>
      <w:r w:rsidRPr="009D3B2D" w:rsidR="000905AF">
        <w:rPr>
          <w:szCs w:val="22"/>
        </w:rPr>
        <w:t xml:space="preserve"> conditioned on carriage of any other programming</w:t>
      </w:r>
      <w:r w:rsidRPr="009D3B2D" w:rsidR="00250ED0">
        <w:rPr>
          <w:szCs w:val="22"/>
        </w:rPr>
        <w:t>, such as . . . an affiliated cable programming service, or another broadcast station</w:t>
      </w:r>
      <w:r w:rsidRPr="009D3B2D" w:rsidR="00AC17B2">
        <w:rPr>
          <w:szCs w:val="22"/>
        </w:rPr>
        <w:t xml:space="preserve"> </w:t>
      </w:r>
      <w:r w:rsidRPr="009D3B2D" w:rsidR="00120DFD">
        <w:rPr>
          <w:szCs w:val="22"/>
        </w:rPr>
        <w:t>either in the same or a different market,” are “presumpt</w:t>
      </w:r>
      <w:r w:rsidRPr="009D3B2D" w:rsidR="009327FC">
        <w:rPr>
          <w:szCs w:val="22"/>
        </w:rPr>
        <w:t xml:space="preserve">ively . . . consistent with </w:t>
      </w:r>
      <w:r w:rsidRPr="009D3B2D" w:rsidR="00B75928">
        <w:rPr>
          <w:szCs w:val="22"/>
        </w:rPr>
        <w:t>compet</w:t>
      </w:r>
      <w:r w:rsidR="00716FC1">
        <w:rPr>
          <w:szCs w:val="22"/>
        </w:rPr>
        <w:t>it</w:t>
      </w:r>
      <w:r w:rsidRPr="009D3B2D" w:rsidR="00B75928">
        <w:rPr>
          <w:szCs w:val="22"/>
        </w:rPr>
        <w:t>ive</w:t>
      </w:r>
      <w:r w:rsidRPr="009D3B2D" w:rsidR="009327FC">
        <w:rPr>
          <w:szCs w:val="22"/>
        </w:rPr>
        <w:t xml:space="preserve"> marketplace considerations and the good faith negotiation requirement</w:t>
      </w:r>
      <w:r w:rsidRPr="009D3B2D" w:rsidR="00AC53F3">
        <w:rPr>
          <w:szCs w:val="22"/>
        </w:rPr>
        <w:t>.”</w:t>
      </w:r>
      <w:r>
        <w:rPr>
          <w:rStyle w:val="FootnoteReference"/>
          <w:sz w:val="22"/>
          <w:szCs w:val="22"/>
        </w:rPr>
        <w:footnoteReference w:id="60"/>
      </w:r>
      <w:r w:rsidRPr="009D3B2D" w:rsidR="00134025">
        <w:rPr>
          <w:szCs w:val="22"/>
        </w:rPr>
        <w:t xml:space="preserve">  </w:t>
      </w:r>
      <w:r w:rsidRPr="00E274ED" w:rsidR="00716FC1">
        <w:t xml:space="preserve">The use of the phrase “such as” makes clear that this list is not exhaustive.  </w:t>
      </w:r>
      <w:r w:rsidR="00A45C40">
        <w:rPr>
          <w:szCs w:val="22"/>
        </w:rPr>
        <w:t xml:space="preserve">If the Commission intended to </w:t>
      </w:r>
      <w:r w:rsidR="009B2C2F">
        <w:rPr>
          <w:szCs w:val="22"/>
        </w:rPr>
        <w:t xml:space="preserve">restrict proposals involving affiliated </w:t>
      </w:r>
      <w:r w:rsidR="00716FC1">
        <w:rPr>
          <w:szCs w:val="22"/>
        </w:rPr>
        <w:t xml:space="preserve">cable </w:t>
      </w:r>
      <w:r w:rsidR="009B2C2F">
        <w:rPr>
          <w:szCs w:val="22"/>
        </w:rPr>
        <w:t>programming on the basis of geograph</w:t>
      </w:r>
      <w:r w:rsidR="000E1099">
        <w:rPr>
          <w:szCs w:val="22"/>
        </w:rPr>
        <w:t>ic location</w:t>
      </w:r>
      <w:r w:rsidR="009B2C2F">
        <w:rPr>
          <w:szCs w:val="22"/>
        </w:rPr>
        <w:t xml:space="preserve">, it would have </w:t>
      </w:r>
      <w:r w:rsidR="00D630AD">
        <w:rPr>
          <w:szCs w:val="22"/>
        </w:rPr>
        <w:t>included such a limitation in express terms.</w:t>
      </w:r>
      <w:r>
        <w:rPr>
          <w:rStyle w:val="FootnoteReference"/>
          <w:szCs w:val="22"/>
        </w:rPr>
        <w:footnoteReference w:id="61"/>
      </w:r>
      <w:r w:rsidR="00D630AD">
        <w:rPr>
          <w:szCs w:val="22"/>
        </w:rPr>
        <w:t xml:space="preserve"> </w:t>
      </w:r>
      <w:r w:rsidR="00CC082A">
        <w:rPr>
          <w:szCs w:val="22"/>
        </w:rPr>
        <w:t xml:space="preserve"> </w:t>
      </w:r>
      <w:r w:rsidR="00716FC1">
        <w:t xml:space="preserve">Further, we agree with Nexstar that Cincinnati Bell’s “proffered interpretation also violates the grammatical ‘last-antecedent rule,’ which ‘provides that a limiting clause or phrase . . . should ordinarily be read as modifying </w:t>
      </w:r>
      <w:r w:rsidR="00716FC1">
        <w:rPr>
          <w:i/>
          <w:iCs/>
        </w:rPr>
        <w:t xml:space="preserve">only </w:t>
      </w:r>
      <w:r w:rsidR="00716FC1">
        <w:t>the noun or noun phrase that it immediately follows.’”</w:t>
      </w:r>
      <w:r>
        <w:rPr>
          <w:rStyle w:val="FootnoteReference"/>
        </w:rPr>
        <w:footnoteReference w:id="62"/>
      </w:r>
      <w:r w:rsidR="00716FC1">
        <w:t xml:space="preserve">  </w:t>
      </w:r>
      <w:r w:rsidR="008F33B9">
        <w:rPr>
          <w:szCs w:val="22"/>
        </w:rPr>
        <w:t>Although Cincinnati Bell is permitted to refuse to enter into a retransmission consent agreement that imposes certain carriage terms for NewsNation, Nexstar also is permitted to seek such terms as part of the parties’ negotiation.</w:t>
      </w:r>
      <w:r w:rsidRPr="009D3B2D" w:rsidR="00761B9C">
        <w:rPr>
          <w:szCs w:val="22"/>
        </w:rPr>
        <w:t xml:space="preserve"> </w:t>
      </w:r>
      <w:r w:rsidRPr="009D3B2D" w:rsidR="00037B7B">
        <w:rPr>
          <w:szCs w:val="22"/>
        </w:rPr>
        <w:t xml:space="preserve"> </w:t>
      </w:r>
    </w:p>
    <w:p w:rsidR="005049E3" w:rsidRPr="009D3B2D" w:rsidP="002601F1" w14:paraId="781DF21B" w14:textId="737A1B5C">
      <w:pPr>
        <w:pStyle w:val="ParaNum"/>
        <w:tabs>
          <w:tab w:val="clear" w:pos="1080"/>
        </w:tabs>
        <w:rPr>
          <w:szCs w:val="22"/>
        </w:rPr>
      </w:pPr>
      <w:r w:rsidRPr="00742063">
        <w:t xml:space="preserve">Finally, </w:t>
      </w:r>
      <w:r w:rsidRPr="00742063" w:rsidR="008F33B9">
        <w:t xml:space="preserve">Cincinnati Bell </w:t>
      </w:r>
      <w:r w:rsidRPr="00742063" w:rsidR="00F803DD">
        <w:t>argues</w:t>
      </w:r>
      <w:r w:rsidRPr="00742063" w:rsidR="008F33B9">
        <w:t xml:space="preserve"> that the tying of carriage of NewsNation and the inclusion of an after-acquired station clause, both of which were part of the parties’ prior agreement, are now “inconsistent with changed competitive marketplace conditions.”</w:t>
      </w:r>
      <w:r>
        <w:rPr>
          <w:rStyle w:val="FootnoteReference"/>
        </w:rPr>
        <w:footnoteReference w:id="63"/>
      </w:r>
      <w:r w:rsidRPr="00742063" w:rsidR="008F33B9">
        <w:t xml:space="preserve">  </w:t>
      </w:r>
      <w:r w:rsidRPr="009F050A" w:rsidR="000308B2">
        <w:t xml:space="preserve">As </w:t>
      </w:r>
      <w:r w:rsidRPr="009F050A" w:rsidR="00255EA7">
        <w:t xml:space="preserve">mentioned above, both proposals are presumptively consistent with </w:t>
      </w:r>
      <w:r w:rsidRPr="009F050A" w:rsidR="00213FE7">
        <w:t>competitive marketplace considerations</w:t>
      </w:r>
      <w:r w:rsidRPr="009F050A" w:rsidR="00C27357">
        <w:t>.</w:t>
      </w:r>
      <w:r>
        <w:rPr>
          <w:vertAlign w:val="superscript"/>
        </w:rPr>
        <w:footnoteReference w:id="64"/>
      </w:r>
      <w:r w:rsidRPr="009F050A" w:rsidR="00213FE7">
        <w:t xml:space="preserve"> </w:t>
      </w:r>
      <w:r w:rsidRPr="009F050A" w:rsidR="00130F37">
        <w:t xml:space="preserve"> As the complainant, </w:t>
      </w:r>
      <w:r w:rsidRPr="009F050A" w:rsidR="00213FE7">
        <w:t>Cincinnati Bell</w:t>
      </w:r>
      <w:r w:rsidRPr="009F050A" w:rsidR="00130F37">
        <w:t xml:space="preserve"> has the burden of </w:t>
      </w:r>
      <w:r w:rsidRPr="009F050A" w:rsidR="00715BCC">
        <w:t>rebutting</w:t>
      </w:r>
      <w:r w:rsidRPr="009F050A" w:rsidR="00130F37">
        <w:t xml:space="preserve"> that</w:t>
      </w:r>
      <w:r w:rsidRPr="009F050A" w:rsidR="00213FE7">
        <w:t xml:space="preserve"> presumption</w:t>
      </w:r>
      <w:r w:rsidRPr="009F050A" w:rsidR="00715BCC">
        <w:t>,</w:t>
      </w:r>
      <w:r>
        <w:rPr>
          <w:vertAlign w:val="superscript"/>
        </w:rPr>
        <w:footnoteReference w:id="65"/>
      </w:r>
      <w:r w:rsidRPr="009F050A" w:rsidR="00715BCC">
        <w:t xml:space="preserve"> but has failed to effectively do so.</w:t>
      </w:r>
      <w:r>
        <w:rPr>
          <w:rStyle w:val="FootnoteReference"/>
        </w:rPr>
        <w:footnoteReference w:id="66"/>
      </w:r>
      <w:r w:rsidRPr="009F050A" w:rsidR="00213FE7">
        <w:t xml:space="preserve">  </w:t>
      </w:r>
      <w:r w:rsidRPr="009F050A" w:rsidR="008D170E">
        <w:t xml:space="preserve">The record does not contain anything to persuade us that </w:t>
      </w:r>
      <w:r w:rsidRPr="009F050A" w:rsidR="00742063">
        <w:t xml:space="preserve">Nexstar’s actions, whether considered separately or in concert, violated the Commission’s requirements for good faith retransmission consent negotiations.  </w:t>
      </w:r>
      <w:r w:rsidRPr="00742063">
        <w:rPr>
          <w:szCs w:val="22"/>
        </w:rPr>
        <w:t xml:space="preserve">For the above reasons, we find </w:t>
      </w:r>
      <w:r w:rsidRPr="00742063" w:rsidR="00147C7B">
        <w:rPr>
          <w:szCs w:val="22"/>
        </w:rPr>
        <w:t>that Nexstar</w:t>
      </w:r>
      <w:r w:rsidRPr="00742063" w:rsidR="008F33B9">
        <w:rPr>
          <w:szCs w:val="22"/>
        </w:rPr>
        <w:t>’s</w:t>
      </w:r>
      <w:r w:rsidRPr="00742063" w:rsidR="00D913ED">
        <w:rPr>
          <w:szCs w:val="22"/>
        </w:rPr>
        <w:t xml:space="preserve"> conduct</w:t>
      </w:r>
      <w:r w:rsidRPr="00742063" w:rsidR="00147C7B">
        <w:rPr>
          <w:szCs w:val="22"/>
        </w:rPr>
        <w:t xml:space="preserve"> did not </w:t>
      </w:r>
      <w:r w:rsidRPr="00742063">
        <w:rPr>
          <w:szCs w:val="22"/>
        </w:rPr>
        <w:t>violat</w:t>
      </w:r>
      <w:r w:rsidRPr="00742063" w:rsidR="00147C7B">
        <w:rPr>
          <w:szCs w:val="22"/>
        </w:rPr>
        <w:t>e</w:t>
      </w:r>
      <w:r w:rsidRPr="00742063">
        <w:rPr>
          <w:szCs w:val="22"/>
        </w:rPr>
        <w:t xml:space="preserve"> the Commission’s </w:t>
      </w:r>
      <w:r w:rsidRPr="00742063">
        <w:rPr>
          <w:i/>
          <w:iCs/>
          <w:szCs w:val="22"/>
        </w:rPr>
        <w:t xml:space="preserve">per se </w:t>
      </w:r>
      <w:r w:rsidRPr="00742063">
        <w:rPr>
          <w:szCs w:val="22"/>
        </w:rPr>
        <w:t xml:space="preserve">good faith </w:t>
      </w:r>
      <w:r w:rsidRPr="00742063" w:rsidR="00D913ED">
        <w:rPr>
          <w:szCs w:val="22"/>
        </w:rPr>
        <w:t xml:space="preserve">negotiation </w:t>
      </w:r>
      <w:r w:rsidRPr="00742063">
        <w:rPr>
          <w:szCs w:val="22"/>
        </w:rPr>
        <w:t xml:space="preserve">standards, nor the totality of circumstances test.  Given the guidance provided herein, we </w:t>
      </w:r>
      <w:r w:rsidRPr="00742063" w:rsidR="00A8630E">
        <w:rPr>
          <w:szCs w:val="22"/>
        </w:rPr>
        <w:t xml:space="preserve">urge the parties to </w:t>
      </w:r>
      <w:r w:rsidRPr="00742063" w:rsidR="00D020B6">
        <w:rPr>
          <w:szCs w:val="22"/>
        </w:rPr>
        <w:t>return to the bargaining table</w:t>
      </w:r>
      <w:r w:rsidR="00D020B6">
        <w:rPr>
          <w:szCs w:val="22"/>
        </w:rPr>
        <w:t xml:space="preserve"> and recommence </w:t>
      </w:r>
      <w:r w:rsidRPr="009D3B2D" w:rsidR="006F0A19">
        <w:rPr>
          <w:szCs w:val="22"/>
        </w:rPr>
        <w:t>negotiat</w:t>
      </w:r>
      <w:r w:rsidR="00D020B6">
        <w:rPr>
          <w:szCs w:val="22"/>
        </w:rPr>
        <w:t>ions</w:t>
      </w:r>
      <w:r w:rsidRPr="009D3B2D" w:rsidR="00BA45B8">
        <w:rPr>
          <w:szCs w:val="22"/>
        </w:rPr>
        <w:t xml:space="preserve"> “in an atmosphere of honesty, purpose and clarity of process.”</w:t>
      </w:r>
      <w:r>
        <w:rPr>
          <w:rStyle w:val="FootnoteReference"/>
          <w:sz w:val="22"/>
          <w:szCs w:val="22"/>
        </w:rPr>
        <w:footnoteReference w:id="67"/>
      </w:r>
    </w:p>
    <w:p w:rsidR="004A1005" w:rsidRPr="009D3B2D" w:rsidP="00600289" w14:paraId="33D93986" w14:textId="5C43F4D7">
      <w:pPr>
        <w:pStyle w:val="Heading1"/>
        <w:rPr>
          <w:rFonts w:ascii="Times New Roman" w:hAnsi="Times New Roman"/>
          <w:szCs w:val="22"/>
        </w:rPr>
      </w:pPr>
      <w:r w:rsidRPr="009D3B2D">
        <w:rPr>
          <w:rFonts w:ascii="Times New Roman" w:hAnsi="Times New Roman"/>
          <w:szCs w:val="22"/>
        </w:rPr>
        <w:t>ordering clauses</w:t>
      </w:r>
    </w:p>
    <w:p w:rsidR="00600289" w:rsidRPr="009D3B2D" w:rsidP="00B546DD" w14:paraId="56F04FEB" w14:textId="3E3DEEAB">
      <w:pPr>
        <w:pStyle w:val="ParaNum"/>
        <w:tabs>
          <w:tab w:val="clear" w:pos="1080"/>
        </w:tabs>
        <w:rPr>
          <w:szCs w:val="22"/>
        </w:rPr>
      </w:pPr>
      <w:r w:rsidRPr="009D3B2D">
        <w:rPr>
          <w:szCs w:val="22"/>
        </w:rPr>
        <w:t xml:space="preserve">Accordingly, </w:t>
      </w:r>
      <w:r w:rsidRPr="009D3B2D">
        <w:rPr>
          <w:b/>
          <w:bCs/>
          <w:szCs w:val="22"/>
        </w:rPr>
        <w:t>IT IS ORDERED</w:t>
      </w:r>
      <w:r w:rsidRPr="009D3B2D">
        <w:rPr>
          <w:szCs w:val="22"/>
        </w:rPr>
        <w:t xml:space="preserve"> that Cincinnati Bell</w:t>
      </w:r>
      <w:r w:rsidR="008C7D90">
        <w:rPr>
          <w:szCs w:val="22"/>
        </w:rPr>
        <w:t xml:space="preserve"> Extended Territorie</w:t>
      </w:r>
      <w:r w:rsidRPr="009D3B2D">
        <w:rPr>
          <w:szCs w:val="22"/>
        </w:rPr>
        <w:t>s</w:t>
      </w:r>
      <w:r w:rsidR="008C7D90">
        <w:rPr>
          <w:szCs w:val="22"/>
        </w:rPr>
        <w:t xml:space="preserve"> LLC</w:t>
      </w:r>
      <w:r w:rsidR="00AD4B78">
        <w:rPr>
          <w:szCs w:val="22"/>
        </w:rPr>
        <w:t xml:space="preserve"> dba </w:t>
      </w:r>
      <w:r w:rsidR="00AD4B78">
        <w:rPr>
          <w:szCs w:val="22"/>
        </w:rPr>
        <w:t>altafiber</w:t>
      </w:r>
      <w:r w:rsidR="008C7D90">
        <w:rPr>
          <w:szCs w:val="22"/>
        </w:rPr>
        <w:t>’s</w:t>
      </w:r>
      <w:r w:rsidRPr="009D3B2D">
        <w:rPr>
          <w:szCs w:val="22"/>
        </w:rPr>
        <w:t xml:space="preserve"> </w:t>
      </w:r>
      <w:r w:rsidR="006913CF">
        <w:rPr>
          <w:szCs w:val="22"/>
        </w:rPr>
        <w:t>good faith negotiation complaint</w:t>
      </w:r>
      <w:r w:rsidRPr="009D3B2D">
        <w:rPr>
          <w:szCs w:val="22"/>
        </w:rPr>
        <w:t xml:space="preserve"> against Nexstar</w:t>
      </w:r>
      <w:r w:rsidR="008C7D90">
        <w:rPr>
          <w:szCs w:val="22"/>
        </w:rPr>
        <w:t xml:space="preserve"> Media Inc.</w:t>
      </w:r>
      <w:r w:rsidR="006913CF">
        <w:rPr>
          <w:szCs w:val="22"/>
        </w:rPr>
        <w:t>,</w:t>
      </w:r>
      <w:r w:rsidRPr="009D3B2D">
        <w:rPr>
          <w:szCs w:val="22"/>
        </w:rPr>
        <w:t xml:space="preserve"> filed pursuant to section</w:t>
      </w:r>
      <w:r w:rsidR="000D2FD5">
        <w:rPr>
          <w:szCs w:val="22"/>
        </w:rPr>
        <w:t xml:space="preserve"> 325(b)(3)(C) of the Act</w:t>
      </w:r>
      <w:r w:rsidR="004B4E9F">
        <w:rPr>
          <w:szCs w:val="22"/>
        </w:rPr>
        <w:t>, and section</w:t>
      </w:r>
      <w:r w:rsidRPr="009D3B2D">
        <w:rPr>
          <w:szCs w:val="22"/>
        </w:rPr>
        <w:t>s 76.7 and 76.</w:t>
      </w:r>
      <w:r w:rsidR="007120D6">
        <w:rPr>
          <w:szCs w:val="22"/>
        </w:rPr>
        <w:t>5</w:t>
      </w:r>
      <w:r w:rsidRPr="009D3B2D">
        <w:rPr>
          <w:szCs w:val="22"/>
        </w:rPr>
        <w:t>5 of the Commission’s rules, 47</w:t>
      </w:r>
      <w:r w:rsidRPr="009D3B2D" w:rsidR="00962938">
        <w:rPr>
          <w:szCs w:val="22"/>
        </w:rPr>
        <w:t xml:space="preserve"> CFR §§ 76.7 and 76.55, </w:t>
      </w:r>
      <w:r w:rsidRPr="009D3B2D" w:rsidR="00962938">
        <w:rPr>
          <w:b/>
          <w:bCs/>
          <w:szCs w:val="22"/>
        </w:rPr>
        <w:t>IS DENIED</w:t>
      </w:r>
      <w:r w:rsidRPr="009D3B2D" w:rsidR="00962938">
        <w:rPr>
          <w:szCs w:val="22"/>
        </w:rPr>
        <w:t>.</w:t>
      </w:r>
    </w:p>
    <w:p w:rsidR="00962938" w:rsidRPr="009D3B2D" w:rsidP="006B4ADB" w14:paraId="6F7F955E" w14:textId="10F82DE9">
      <w:pPr>
        <w:pStyle w:val="ParaNum"/>
        <w:tabs>
          <w:tab w:val="clear" w:pos="1080"/>
        </w:tabs>
        <w:rPr>
          <w:szCs w:val="22"/>
        </w:rPr>
      </w:pPr>
      <w:r w:rsidRPr="009D3B2D">
        <w:rPr>
          <w:szCs w:val="22"/>
        </w:rPr>
        <w:t xml:space="preserve">This action is taken pursuant to delegated authority under section 0.283 of the </w:t>
      </w:r>
      <w:r w:rsidRPr="009D3B2D" w:rsidR="005F1FC7">
        <w:rPr>
          <w:szCs w:val="22"/>
        </w:rPr>
        <w:t>Commission’s</w:t>
      </w:r>
      <w:r w:rsidRPr="009D3B2D">
        <w:rPr>
          <w:szCs w:val="22"/>
        </w:rPr>
        <w:t xml:space="preserve"> </w:t>
      </w:r>
      <w:r w:rsidR="00D9590B">
        <w:rPr>
          <w:szCs w:val="22"/>
        </w:rPr>
        <w:t>r</w:t>
      </w:r>
      <w:r w:rsidRPr="009D3B2D">
        <w:rPr>
          <w:szCs w:val="22"/>
        </w:rPr>
        <w:t>ules.</w:t>
      </w:r>
      <w:r>
        <w:rPr>
          <w:rStyle w:val="FootnoteReference"/>
          <w:sz w:val="22"/>
          <w:szCs w:val="22"/>
        </w:rPr>
        <w:footnoteReference w:id="68"/>
      </w:r>
    </w:p>
    <w:p w:rsidR="0054029D" w:rsidRPr="009D3B2D" w:rsidP="00010E83" w14:paraId="1FE4B1FF" w14:textId="77777777">
      <w:pPr>
        <w:pStyle w:val="ParaNum"/>
        <w:numPr>
          <w:ilvl w:val="0"/>
          <w:numId w:val="0"/>
        </w:numPr>
        <w:spacing w:after="0"/>
        <w:ind w:firstLine="720"/>
        <w:rPr>
          <w:szCs w:val="22"/>
        </w:rPr>
      </w:pPr>
    </w:p>
    <w:p w:rsidR="0054029D" w:rsidRPr="009D3B2D" w:rsidP="00010E83" w14:paraId="7F8D36E8" w14:textId="77777777">
      <w:pPr>
        <w:pStyle w:val="ParaNum"/>
        <w:numPr>
          <w:ilvl w:val="0"/>
          <w:numId w:val="0"/>
        </w:numPr>
        <w:spacing w:after="0"/>
        <w:ind w:firstLine="720"/>
        <w:rPr>
          <w:szCs w:val="22"/>
        </w:rPr>
      </w:pPr>
    </w:p>
    <w:p w:rsidR="001C609D" w:rsidRPr="009D3B2D" w:rsidP="00010E83" w14:paraId="0C3C1DAF" w14:textId="77777777">
      <w:pPr>
        <w:pStyle w:val="ParaNum"/>
        <w:numPr>
          <w:ilvl w:val="0"/>
          <w:numId w:val="0"/>
        </w:numPr>
        <w:spacing w:after="0"/>
        <w:ind w:firstLine="720"/>
        <w:rPr>
          <w:szCs w:val="22"/>
        </w:rPr>
      </w:pPr>
    </w:p>
    <w:p w:rsidR="001C609D" w:rsidRPr="009D3B2D" w:rsidP="00010E83" w14:paraId="5F869C2F" w14:textId="77777777">
      <w:pPr>
        <w:pStyle w:val="ParaNum"/>
        <w:numPr>
          <w:ilvl w:val="0"/>
          <w:numId w:val="0"/>
        </w:numPr>
        <w:spacing w:after="0"/>
        <w:ind w:firstLine="720"/>
        <w:rPr>
          <w:szCs w:val="22"/>
        </w:rPr>
      </w:pPr>
    </w:p>
    <w:p w:rsidR="001C609D" w:rsidRPr="009D3B2D" w:rsidP="00010E83" w14:paraId="2FEC7B54" w14:textId="798203EA">
      <w:pPr>
        <w:pStyle w:val="ParaNum"/>
        <w:numPr>
          <w:ilvl w:val="0"/>
          <w:numId w:val="0"/>
        </w:numPr>
        <w:spacing w:after="0"/>
        <w:ind w:left="2880" w:firstLine="720"/>
        <w:rPr>
          <w:szCs w:val="22"/>
        </w:rPr>
      </w:pPr>
      <w:r w:rsidRPr="009D3B2D">
        <w:rPr>
          <w:szCs w:val="22"/>
        </w:rPr>
        <w:t>FEDERAL COMMUNICATIONS COMMISSION</w:t>
      </w:r>
    </w:p>
    <w:p w:rsidR="00EF407A" w:rsidRPr="009D3B2D" w:rsidP="00010E83" w14:paraId="3BA4D0A9" w14:textId="77777777">
      <w:pPr>
        <w:pStyle w:val="ParaNum"/>
        <w:numPr>
          <w:ilvl w:val="0"/>
          <w:numId w:val="0"/>
        </w:numPr>
        <w:spacing w:after="0"/>
        <w:ind w:left="2880" w:firstLine="720"/>
        <w:rPr>
          <w:szCs w:val="22"/>
        </w:rPr>
      </w:pPr>
    </w:p>
    <w:p w:rsidR="00EF407A" w:rsidRPr="009D3B2D" w:rsidP="00010E83" w14:paraId="558DCD7A" w14:textId="77777777">
      <w:pPr>
        <w:pStyle w:val="ParaNum"/>
        <w:numPr>
          <w:ilvl w:val="0"/>
          <w:numId w:val="0"/>
        </w:numPr>
        <w:spacing w:after="0"/>
        <w:ind w:left="2880" w:firstLine="720"/>
        <w:rPr>
          <w:szCs w:val="22"/>
        </w:rPr>
      </w:pPr>
    </w:p>
    <w:p w:rsidR="00EF407A" w:rsidRPr="009D3B2D" w:rsidP="00010E83" w14:paraId="634B6F01" w14:textId="77777777">
      <w:pPr>
        <w:pStyle w:val="ParaNum"/>
        <w:numPr>
          <w:ilvl w:val="0"/>
          <w:numId w:val="0"/>
        </w:numPr>
        <w:spacing w:after="0"/>
        <w:ind w:left="2880" w:firstLine="720"/>
        <w:rPr>
          <w:szCs w:val="22"/>
        </w:rPr>
      </w:pPr>
    </w:p>
    <w:p w:rsidR="00EF407A" w:rsidRPr="009D3B2D" w:rsidP="00010E83" w14:paraId="59C06C99" w14:textId="6ADA1A18">
      <w:pPr>
        <w:pStyle w:val="ParaNum"/>
        <w:numPr>
          <w:ilvl w:val="0"/>
          <w:numId w:val="0"/>
        </w:numPr>
        <w:spacing w:after="0"/>
        <w:ind w:left="2880" w:firstLine="720"/>
        <w:rPr>
          <w:szCs w:val="22"/>
        </w:rPr>
      </w:pPr>
      <w:r w:rsidRPr="009D3B2D">
        <w:rPr>
          <w:szCs w:val="22"/>
        </w:rPr>
        <w:t>Erin Boone</w:t>
      </w:r>
    </w:p>
    <w:p w:rsidR="00CE68A0" w:rsidP="00CE68A0" w14:paraId="7E27992A" w14:textId="77777777">
      <w:pPr>
        <w:pStyle w:val="ParaNum"/>
        <w:numPr>
          <w:ilvl w:val="0"/>
          <w:numId w:val="0"/>
        </w:numPr>
        <w:spacing w:after="0"/>
        <w:ind w:left="2880" w:firstLine="720"/>
        <w:rPr>
          <w:szCs w:val="22"/>
        </w:rPr>
      </w:pPr>
      <w:r>
        <w:rPr>
          <w:szCs w:val="22"/>
        </w:rPr>
        <w:t xml:space="preserve">Acting </w:t>
      </w:r>
      <w:r w:rsidRPr="009D3B2D" w:rsidR="00DD0815">
        <w:rPr>
          <w:szCs w:val="22"/>
        </w:rPr>
        <w:t xml:space="preserve">Chief </w:t>
      </w:r>
    </w:p>
    <w:p w:rsidR="00DD0815" w:rsidRPr="009D3B2D" w:rsidP="00CE68A0" w14:paraId="337D7C6B" w14:textId="233D3504">
      <w:pPr>
        <w:pStyle w:val="ParaNum"/>
        <w:numPr>
          <w:ilvl w:val="0"/>
          <w:numId w:val="0"/>
        </w:numPr>
        <w:spacing w:after="0"/>
        <w:ind w:left="2880" w:firstLine="720"/>
        <w:rPr>
          <w:szCs w:val="22"/>
        </w:rPr>
      </w:pPr>
      <w:r w:rsidRPr="009D3B2D">
        <w:rPr>
          <w:szCs w:val="22"/>
        </w:rPr>
        <w:t>Media Bureau</w:t>
      </w:r>
    </w:p>
    <w:sectPr w:rsidSect="0055614C">
      <w:headerReference w:type="default" r:id="rId6"/>
      <w:footerReference w:type="even" r:id="rId7"/>
      <w:footerReference w:type="default" r:id="rId8"/>
      <w:headerReference w:type="first" r:id="rId9"/>
      <w:footerReference w:type="first" r:id="rId10"/>
      <w:endnotePr>
        <w:numFmt w:val="decimal"/>
      </w:endnotePr>
      <w:pgSz w:w="12240" w:h="15840"/>
      <w:pgMar w:top="1440" w:right="1440" w:bottom="72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30A01" w14:paraId="346E5C01" w14:textId="77777777">
      <w:pPr>
        <w:spacing w:line="20" w:lineRule="exact"/>
      </w:pPr>
    </w:p>
  </w:endnote>
  <w:endnote w:type="continuationSeparator" w:id="1">
    <w:p w:rsidR="00830A01" w14:paraId="251DBB8A" w14:textId="77777777">
      <w:r>
        <w:t xml:space="preserve"> </w:t>
      </w:r>
    </w:p>
  </w:endnote>
  <w:endnote w:type="continuationNotice" w:id="2">
    <w:p w:rsidR="00830A01" w14:paraId="09B4C3F5"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55614C" w14:paraId="491221C1" w14:textId="77777777">
    <w:pPr>
      <w:pStyle w:val="Footer"/>
      <w:framePr w:wrap="around" w:vAnchor="text" w:hAnchor="margin" w:xAlign="center" w:y="1"/>
    </w:pPr>
    <w:r>
      <w:fldChar w:fldCharType="begin"/>
    </w:r>
    <w:r>
      <w:instrText xml:space="preserve">PAGE  </w:instrText>
    </w:r>
    <w:r>
      <w:fldChar w:fldCharType="separate"/>
    </w:r>
    <w:r>
      <w:fldChar w:fldCharType="end"/>
    </w:r>
  </w:p>
  <w:p w:rsidR="00D25FB5" w14:paraId="57A5C85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7308" w14:paraId="43C28A94"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p w:rsidR="00D25FB5" w14:paraId="194B38F8" w14:textId="77777777">
    <w:pPr>
      <w:suppressAutoHyphens/>
      <w:spacing w:line="227"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14:paraId="5C20D9A0"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30A01" w14:paraId="698BAD70" w14:textId="77777777">
      <w:r>
        <w:separator/>
      </w:r>
    </w:p>
  </w:footnote>
  <w:footnote w:type="continuationSeparator" w:id="1">
    <w:p w:rsidR="00830A01" w:rsidP="00C721AC" w14:paraId="701A64C0" w14:textId="77777777">
      <w:pPr>
        <w:spacing w:before="120"/>
        <w:rPr>
          <w:sz w:val="20"/>
        </w:rPr>
      </w:pPr>
      <w:r>
        <w:rPr>
          <w:sz w:val="20"/>
        </w:rPr>
        <w:t xml:space="preserve">(Continued from previous page)  </w:t>
      </w:r>
      <w:r>
        <w:rPr>
          <w:sz w:val="20"/>
        </w:rPr>
        <w:separator/>
      </w:r>
    </w:p>
  </w:footnote>
  <w:footnote w:type="continuationNotice" w:id="2">
    <w:p w:rsidR="00830A01" w:rsidP="00C721AC" w14:paraId="45544390" w14:textId="77777777">
      <w:pPr>
        <w:jc w:val="right"/>
        <w:rPr>
          <w:sz w:val="20"/>
        </w:rPr>
      </w:pPr>
      <w:r>
        <w:rPr>
          <w:sz w:val="20"/>
        </w:rPr>
        <w:t>(continued….)</w:t>
      </w:r>
    </w:p>
  </w:footnote>
  <w:footnote w:id="3">
    <w:p w:rsidR="00072419" w14:paraId="113B0ED7" w14:textId="2E788D89">
      <w:pPr>
        <w:pStyle w:val="FootnoteText"/>
      </w:pPr>
      <w:r>
        <w:rPr>
          <w:rStyle w:val="FootnoteReference"/>
        </w:rPr>
        <w:footnoteRef/>
      </w:r>
      <w:r>
        <w:t xml:space="preserve"> </w:t>
      </w:r>
      <w:r w:rsidRPr="00502889">
        <w:t>Verified Retransmission Consent Complaint, MB Docket No. 25-197</w:t>
      </w:r>
      <w:r>
        <w:t>, File No. CSR</w:t>
      </w:r>
      <w:r w:rsidR="00CA5F70">
        <w:t>-</w:t>
      </w:r>
      <w:r>
        <w:t xml:space="preserve">9023-C </w:t>
      </w:r>
      <w:r w:rsidRPr="00502889">
        <w:t>(filed Jun</w:t>
      </w:r>
      <w:r w:rsidR="004C08C8">
        <w:t>e</w:t>
      </w:r>
      <w:r w:rsidRPr="00502889">
        <w:t xml:space="preserve"> 13, 2025) (Complaint).</w:t>
      </w:r>
    </w:p>
  </w:footnote>
  <w:footnote w:id="4">
    <w:p w:rsidR="00991857" w:rsidRPr="005B64E4" w14:paraId="2B453912" w14:textId="2D7026BA">
      <w:pPr>
        <w:pStyle w:val="FootnoteText"/>
      </w:pPr>
      <w:r>
        <w:rPr>
          <w:rStyle w:val="FootnoteReference"/>
        </w:rPr>
        <w:footnoteRef/>
      </w:r>
      <w:r>
        <w:t xml:space="preserve"> </w:t>
      </w:r>
      <w:r w:rsidR="009B2E88">
        <w:t>47 U.</w:t>
      </w:r>
      <w:r w:rsidR="00272C95">
        <w:t xml:space="preserve">S.C. § 325(b)(3)(C); 47 CFR </w:t>
      </w:r>
      <w:r w:rsidR="004C08C8">
        <w:t xml:space="preserve">§ </w:t>
      </w:r>
      <w:r w:rsidR="00272C95">
        <w:t>76.65</w:t>
      </w:r>
      <w:r w:rsidR="005B64E4">
        <w:t xml:space="preserve">.  </w:t>
      </w:r>
      <w:r w:rsidR="005B64E4">
        <w:rPr>
          <w:i/>
          <w:iCs/>
        </w:rPr>
        <w:t xml:space="preserve">See also </w:t>
      </w:r>
      <w:r w:rsidR="005B64E4">
        <w:t>47 CFR § 76.7.</w:t>
      </w:r>
    </w:p>
  </w:footnote>
  <w:footnote w:id="5">
    <w:p w:rsidR="0018310E" w14:paraId="7D065184" w14:textId="0FE30C84">
      <w:pPr>
        <w:pStyle w:val="FootnoteText"/>
      </w:pPr>
      <w:r>
        <w:rPr>
          <w:rStyle w:val="FootnoteReference"/>
        </w:rPr>
        <w:footnoteRef/>
      </w:r>
      <w:r>
        <w:t xml:space="preserve"> </w:t>
      </w:r>
      <w:r w:rsidR="003441B7">
        <w:t>Complaint at 9</w:t>
      </w:r>
      <w:r w:rsidRPr="003441B7" w:rsidR="003441B7">
        <w:t>.</w:t>
      </w:r>
    </w:p>
  </w:footnote>
  <w:footnote w:id="6">
    <w:p w:rsidR="00946A84" w14:paraId="576CC8A2" w14:textId="1463E093">
      <w:pPr>
        <w:pStyle w:val="FootnoteText"/>
      </w:pPr>
      <w:r>
        <w:rPr>
          <w:rStyle w:val="FootnoteReference"/>
        </w:rPr>
        <w:footnoteRef/>
      </w:r>
      <w:r>
        <w:t xml:space="preserve"> </w:t>
      </w:r>
      <w:bookmarkStart w:id="3" w:name="_Hlk207868758"/>
      <w:r w:rsidR="00D76267">
        <w:rPr>
          <w:i/>
          <w:iCs/>
        </w:rPr>
        <w:t>See generally</w:t>
      </w:r>
      <w:r w:rsidR="001E4D06">
        <w:t xml:space="preserve"> </w:t>
      </w:r>
      <w:r w:rsidRPr="003441B7" w:rsidR="00695484">
        <w:t xml:space="preserve">Nexstar Media Inc.’s Answer to Retransmission Consent Complaint of Cincinnati Bell Extended Territories LLC dba </w:t>
      </w:r>
      <w:r w:rsidRPr="003441B7" w:rsidR="00695484">
        <w:t>altafiber</w:t>
      </w:r>
      <w:r w:rsidRPr="003441B7" w:rsidR="00695484">
        <w:t>, MB Docket No. 25-197, File No. CSR-9023-C (filed July 3, 2025)</w:t>
      </w:r>
      <w:r w:rsidR="00695484">
        <w:t xml:space="preserve"> </w:t>
      </w:r>
      <w:r w:rsidRPr="003441B7" w:rsidR="00695484">
        <w:t>(Answer)</w:t>
      </w:r>
      <w:r w:rsidRPr="00946A84">
        <w:t>.</w:t>
      </w:r>
      <w:bookmarkEnd w:id="3"/>
    </w:p>
  </w:footnote>
  <w:footnote w:id="7">
    <w:p w:rsidR="00946A84" w14:paraId="3DA1F07C" w14:textId="2DBEDEF0">
      <w:pPr>
        <w:pStyle w:val="FootnoteText"/>
      </w:pPr>
      <w:r>
        <w:rPr>
          <w:rStyle w:val="FootnoteReference"/>
        </w:rPr>
        <w:footnoteRef/>
      </w:r>
      <w:r>
        <w:t xml:space="preserve"> </w:t>
      </w:r>
      <w:r w:rsidR="00B454DE">
        <w:t xml:space="preserve">Reply to Answer, MB Docket No. 25-197, </w:t>
      </w:r>
      <w:r w:rsidRPr="00946A84" w:rsidR="00B454DE">
        <w:t>File No. CSR-9023-C</w:t>
      </w:r>
      <w:r w:rsidR="0022420D">
        <w:t xml:space="preserve"> (filed July 14, 2025)</w:t>
      </w:r>
      <w:r w:rsidR="00150B2F">
        <w:t xml:space="preserve"> </w:t>
      </w:r>
      <w:r w:rsidR="0022420D">
        <w:t>(Reply)</w:t>
      </w:r>
      <w:r w:rsidR="007417A6">
        <w:t>.</w:t>
      </w:r>
    </w:p>
  </w:footnote>
  <w:footnote w:id="8">
    <w:p w:rsidR="00633FE1" w:rsidRPr="004D4F11" w:rsidP="00633FE1" w14:paraId="1D054901" w14:textId="77777777">
      <w:pPr>
        <w:pStyle w:val="FootnoteText"/>
      </w:pPr>
      <w:r w:rsidRPr="004D4F11">
        <w:rPr>
          <w:rStyle w:val="FootnoteReference"/>
        </w:rPr>
        <w:footnoteRef/>
      </w:r>
      <w:r w:rsidRPr="004D4F11">
        <w:t xml:space="preserve"> 47 U.S.C. § 325(b)(3)(C).   </w:t>
      </w:r>
    </w:p>
  </w:footnote>
  <w:footnote w:id="9">
    <w:p w:rsidR="00633FE1" w:rsidP="00633FE1" w14:paraId="6ECE63EE" w14:textId="77777777">
      <w:pPr>
        <w:pStyle w:val="FootnoteText"/>
      </w:pPr>
      <w:r>
        <w:rPr>
          <w:rStyle w:val="FootnoteReference"/>
        </w:rPr>
        <w:footnoteRef/>
      </w:r>
      <w:r>
        <w:t xml:space="preserve"> </w:t>
      </w:r>
      <w:r>
        <w:rPr>
          <w:i/>
          <w:iCs/>
        </w:rPr>
        <w:t>Id</w:t>
      </w:r>
      <w:r w:rsidRPr="00DF5F4F">
        <w:t>.</w:t>
      </w:r>
      <w:r w:rsidRPr="00F56B84">
        <w:t xml:space="preserve"> </w:t>
      </w:r>
      <w:r w:rsidRPr="004D4F11">
        <w:t xml:space="preserve">§ 325(b)(3)(C)(ii).  </w:t>
      </w:r>
    </w:p>
  </w:footnote>
  <w:footnote w:id="10">
    <w:p w:rsidR="00633FE1" w:rsidRPr="004D4F11" w:rsidP="00633FE1" w14:paraId="7EDCA6FB" w14:textId="0676997D">
      <w:pPr>
        <w:pStyle w:val="FootnoteText"/>
      </w:pPr>
      <w:r w:rsidRPr="004D4F11">
        <w:rPr>
          <w:rStyle w:val="FootnoteReference"/>
        </w:rPr>
        <w:footnoteRef/>
      </w:r>
      <w:r w:rsidRPr="004D4F11">
        <w:t xml:space="preserve"> </w:t>
      </w:r>
      <w:r>
        <w:rPr>
          <w:i/>
          <w:iCs/>
        </w:rPr>
        <w:t>Id</w:t>
      </w:r>
      <w:r w:rsidRPr="004D4F11">
        <w:t xml:space="preserve">.  </w:t>
      </w:r>
    </w:p>
  </w:footnote>
  <w:footnote w:id="11">
    <w:p w:rsidR="00633FE1" w:rsidRPr="004D4F11" w:rsidP="00633FE1" w14:paraId="71FEDF65" w14:textId="77777777">
      <w:pPr>
        <w:pStyle w:val="FootnoteText"/>
        <w:widowControl w:val="0"/>
      </w:pPr>
      <w:r w:rsidRPr="004D4F11">
        <w:rPr>
          <w:rStyle w:val="FootnoteReference"/>
        </w:rPr>
        <w:footnoteRef/>
      </w:r>
      <w:r w:rsidRPr="004D4F11">
        <w:t xml:space="preserve"> </w:t>
      </w:r>
      <w:r w:rsidRPr="00231146">
        <w:rPr>
          <w:i/>
        </w:rPr>
        <w:t>Implementation of the Satellite Home Viewer Improvement Act of 1999, Retransmission Consent Issues: Good Faith Negotiation and Exclusivity</w:t>
      </w:r>
      <w:r w:rsidRPr="00231146">
        <w:t xml:space="preserve">, First Report and Order, CS Docket No. 99-363, 15 FCC </w:t>
      </w:r>
      <w:r w:rsidRPr="00231146">
        <w:t>Rcd</w:t>
      </w:r>
      <w:r w:rsidRPr="00231146">
        <w:t xml:space="preserve"> 5445 (</w:t>
      </w:r>
      <w:r w:rsidRPr="00231146">
        <w:rPr>
          <w:i/>
        </w:rPr>
        <w:t>Good Faith Order</w:t>
      </w:r>
      <w:r w:rsidRPr="00231146">
        <w:t xml:space="preserve">), </w:t>
      </w:r>
      <w:r w:rsidRPr="00231146">
        <w:rPr>
          <w:i/>
        </w:rPr>
        <w:t>recon. granted in part</w:t>
      </w:r>
      <w:r w:rsidRPr="00231146">
        <w:t xml:space="preserve">, Order on Reconsideration, 16 FCC </w:t>
      </w:r>
      <w:r w:rsidRPr="00231146">
        <w:t>Rcd</w:t>
      </w:r>
      <w:r w:rsidRPr="00231146">
        <w:t xml:space="preserve"> 15599 (2001).</w:t>
      </w:r>
    </w:p>
  </w:footnote>
  <w:footnote w:id="12">
    <w:p w:rsidR="00633FE1" w:rsidRPr="004D4F11" w:rsidP="00633FE1" w14:paraId="59CD1B67" w14:textId="77777777">
      <w:pPr>
        <w:pStyle w:val="FootnoteText"/>
      </w:pPr>
      <w:r w:rsidRPr="004D4F11">
        <w:rPr>
          <w:rStyle w:val="FootnoteReference"/>
        </w:rPr>
        <w:footnoteRef/>
      </w:r>
      <w:r w:rsidRPr="004D4F11">
        <w:t xml:space="preserve"> </w:t>
      </w:r>
      <w:r>
        <w:rPr>
          <w:i/>
          <w:iCs/>
        </w:rPr>
        <w:t>Good Faith Order</w:t>
      </w:r>
      <w:r w:rsidRPr="0005029D">
        <w:t>,</w:t>
      </w:r>
      <w:r>
        <w:rPr>
          <w:i/>
          <w:iCs/>
        </w:rPr>
        <w:t xml:space="preserve"> </w:t>
      </w:r>
      <w:r>
        <w:t xml:space="preserve">15 FCC </w:t>
      </w:r>
      <w:r>
        <w:t>Rcd</w:t>
      </w:r>
      <w:r>
        <w:t xml:space="preserve"> </w:t>
      </w:r>
      <w:r w:rsidRPr="004D4F11">
        <w:t>at 5457, para. 30.</w:t>
      </w:r>
    </w:p>
  </w:footnote>
  <w:footnote w:id="13">
    <w:p w:rsidR="00633FE1" w:rsidP="00633FE1" w14:paraId="2CA1260C" w14:textId="25B67652">
      <w:pPr>
        <w:pStyle w:val="FootnoteText"/>
      </w:pPr>
      <w:r>
        <w:rPr>
          <w:rStyle w:val="FootnoteReference"/>
        </w:rPr>
        <w:footnoteRef/>
      </w:r>
      <w:r>
        <w:t xml:space="preserve"> 47 CFR §§ 76.65(b)(1)(i)</w:t>
      </w:r>
      <w:r w:rsidR="00944078">
        <w:t>-</w:t>
      </w:r>
      <w:r>
        <w:t xml:space="preserve">(ix) (listing </w:t>
      </w:r>
      <w:r w:rsidRPr="009458F8">
        <w:rPr>
          <w:i/>
        </w:rPr>
        <w:t>per se</w:t>
      </w:r>
      <w:r>
        <w:t xml:space="preserve"> standards for good faith negotiation).  Although t</w:t>
      </w:r>
      <w:r w:rsidRPr="004D4F11">
        <w:t xml:space="preserve">he requirement </w:t>
      </w:r>
      <w:r>
        <w:t xml:space="preserve">to negotiate in good faith </w:t>
      </w:r>
      <w:r w:rsidRPr="004D4F11">
        <w:t xml:space="preserve">originally </w:t>
      </w:r>
      <w:r>
        <w:t xml:space="preserve">was </w:t>
      </w:r>
      <w:r w:rsidRPr="004D4F11">
        <w:t xml:space="preserve">imposed only on television broadcast stations, a reciprocal obligation </w:t>
      </w:r>
      <w:r>
        <w:t xml:space="preserve">later was </w:t>
      </w:r>
      <w:r w:rsidRPr="004D4F11">
        <w:t>imposed on MVPDs.</w:t>
      </w:r>
      <w:r>
        <w:t xml:space="preserve"> </w:t>
      </w:r>
      <w:r w:rsidRPr="004D4F11">
        <w:rPr>
          <w:i/>
        </w:rPr>
        <w:t xml:space="preserve"> See Implementation of Section 207 of the Satellite Home Viewer Extension and Reauthorization Act of 2004: Reciprocal Bargaining Obligation</w:t>
      </w:r>
      <w:r w:rsidRPr="004D4F11">
        <w:t xml:space="preserve">, Report and Order, 20 FCC </w:t>
      </w:r>
      <w:r w:rsidRPr="004D4F11">
        <w:t>Rcd</w:t>
      </w:r>
      <w:r w:rsidRPr="004D4F11">
        <w:t xml:space="preserve"> 10339</w:t>
      </w:r>
      <w:r w:rsidR="002011D2">
        <w:t xml:space="preserve"> </w:t>
      </w:r>
      <w:r w:rsidRPr="004D4F11">
        <w:t>(2005).</w:t>
      </w:r>
    </w:p>
  </w:footnote>
  <w:footnote w:id="14">
    <w:p w:rsidR="00633FE1" w:rsidP="00633FE1" w14:paraId="3D3D55DA" w14:textId="77777777">
      <w:pPr>
        <w:pStyle w:val="FootnoteText"/>
      </w:pPr>
      <w:r>
        <w:rPr>
          <w:rStyle w:val="FootnoteReference"/>
        </w:rPr>
        <w:footnoteRef/>
      </w:r>
      <w:r>
        <w:t xml:space="preserve"> 47 CFR § 76.65(b)(1).</w:t>
      </w:r>
    </w:p>
  </w:footnote>
  <w:footnote w:id="15">
    <w:p w:rsidR="00633FE1" w:rsidRPr="006B4ADB" w:rsidP="00633FE1" w14:paraId="75136E93" w14:textId="77777777">
      <w:pPr>
        <w:pStyle w:val="FootnoteText"/>
      </w:pPr>
      <w:r w:rsidRPr="004D4F11">
        <w:rPr>
          <w:rStyle w:val="FootnoteReference"/>
        </w:rPr>
        <w:footnoteRef/>
      </w:r>
      <w:r w:rsidRPr="004D4F11">
        <w:t xml:space="preserve"> </w:t>
      </w:r>
      <w:r w:rsidRPr="004D4F11">
        <w:rPr>
          <w:i/>
        </w:rPr>
        <w:t>Good Faith Order</w:t>
      </w:r>
      <w:r w:rsidRPr="004D4F11">
        <w:t xml:space="preserve">, 15 FCC </w:t>
      </w:r>
      <w:r w:rsidRPr="004D4F11">
        <w:t>Rcd</w:t>
      </w:r>
      <w:r w:rsidRPr="004D4F11">
        <w:t xml:space="preserve"> at 5462-64, paras. </w:t>
      </w:r>
      <w:r w:rsidRPr="006B4ADB">
        <w:t xml:space="preserve">40-46.  </w:t>
      </w:r>
    </w:p>
  </w:footnote>
  <w:footnote w:id="16">
    <w:p w:rsidR="009179B4" w:rsidRPr="006B4ADB" w14:paraId="4830E198" w14:textId="76ACD486">
      <w:pPr>
        <w:pStyle w:val="FootnoteText"/>
      </w:pPr>
      <w:r>
        <w:rPr>
          <w:rStyle w:val="FootnoteReference"/>
        </w:rPr>
        <w:footnoteRef/>
      </w:r>
      <w:r w:rsidRPr="006B4ADB">
        <w:t xml:space="preserve"> </w:t>
      </w:r>
      <w:bookmarkStart w:id="4" w:name="_Hlk149126104"/>
      <w:r w:rsidR="00651954">
        <w:t>47 CFR § 76.65(b)(1)(iv)</w:t>
      </w:r>
      <w:r w:rsidRPr="006B4ADB">
        <w:rPr>
          <w:snapToGrid w:val="0"/>
          <w:kern w:val="28"/>
        </w:rPr>
        <w:t>.</w:t>
      </w:r>
      <w:bookmarkEnd w:id="4"/>
    </w:p>
  </w:footnote>
  <w:footnote w:id="17">
    <w:p w:rsidR="00143768" w:rsidRPr="00A41A41" w:rsidP="00143768" w14:paraId="50A36266" w14:textId="0BBA13CF">
      <w:pPr>
        <w:pStyle w:val="FootnoteText"/>
        <w:rPr>
          <w:lang w:val="da-DK"/>
        </w:rPr>
      </w:pPr>
      <w:r>
        <w:rPr>
          <w:rStyle w:val="FootnoteReference"/>
        </w:rPr>
        <w:footnoteRef/>
      </w:r>
      <w:r w:rsidRPr="006B4ADB">
        <w:t xml:space="preserve"> </w:t>
      </w:r>
      <w:r w:rsidRPr="004D4F11" w:rsidR="00673A52">
        <w:rPr>
          <w:i/>
        </w:rPr>
        <w:t>Good Faith Order</w:t>
      </w:r>
      <w:r w:rsidRPr="004D4F11" w:rsidR="00673A52">
        <w:t xml:space="preserve">, 15 FCC </w:t>
      </w:r>
      <w:r w:rsidRPr="004D4F11" w:rsidR="00673A52">
        <w:t>Rcd</w:t>
      </w:r>
      <w:r w:rsidRPr="004D4F11" w:rsidR="00673A52">
        <w:t xml:space="preserve"> at 546</w:t>
      </w:r>
      <w:r w:rsidR="00673A52">
        <w:t>3</w:t>
      </w:r>
      <w:r w:rsidRPr="004D4F11" w:rsidR="00673A52">
        <w:t xml:space="preserve">, para. </w:t>
      </w:r>
      <w:r w:rsidRPr="00A41A41" w:rsidR="00673A52">
        <w:rPr>
          <w:lang w:val="da-DK"/>
        </w:rPr>
        <w:t>4</w:t>
      </w:r>
      <w:r w:rsidR="00673A52">
        <w:rPr>
          <w:lang w:val="da-DK"/>
        </w:rPr>
        <w:t>3.</w:t>
      </w:r>
    </w:p>
  </w:footnote>
  <w:footnote w:id="18">
    <w:p w:rsidR="00143768" w:rsidRPr="00A41A41" w:rsidP="00143768" w14:paraId="2702CA88" w14:textId="002C3492">
      <w:pPr>
        <w:pStyle w:val="FootnoteText"/>
        <w:rPr>
          <w:lang w:val="da-DK"/>
        </w:rPr>
      </w:pPr>
      <w:r>
        <w:rPr>
          <w:rStyle w:val="FootnoteReference"/>
        </w:rPr>
        <w:footnoteRef/>
      </w:r>
      <w:r w:rsidRPr="00A41A41">
        <w:rPr>
          <w:lang w:val="da-DK"/>
        </w:rPr>
        <w:t xml:space="preserve"> </w:t>
      </w:r>
      <w:r w:rsidRPr="00A41A41" w:rsidR="00EB3E92">
        <w:rPr>
          <w:i/>
          <w:iCs/>
          <w:lang w:val="da-DK"/>
        </w:rPr>
        <w:t>Id</w:t>
      </w:r>
      <w:r w:rsidRPr="00A41A41" w:rsidR="00EB3E92">
        <w:rPr>
          <w:lang w:val="da-DK"/>
        </w:rPr>
        <w:t>.</w:t>
      </w:r>
      <w:r w:rsidR="008E5DE2">
        <w:rPr>
          <w:lang w:val="da-DK"/>
        </w:rPr>
        <w:t xml:space="preserve"> at 5463-64, para. 43.</w:t>
      </w:r>
    </w:p>
  </w:footnote>
  <w:footnote w:id="19">
    <w:p w:rsidR="003D0CAA" w:rsidRPr="006B4ADB" w:rsidP="003D0CAA" w14:paraId="4829533E" w14:textId="77777777">
      <w:pPr>
        <w:pStyle w:val="FootnoteText"/>
        <w:rPr>
          <w:lang w:val="da-DK"/>
        </w:rPr>
      </w:pPr>
      <w:r>
        <w:rPr>
          <w:rStyle w:val="FootnoteReference"/>
        </w:rPr>
        <w:footnoteRef/>
      </w:r>
      <w:r w:rsidRPr="006B4ADB">
        <w:rPr>
          <w:lang w:val="da-DK"/>
        </w:rPr>
        <w:t xml:space="preserve"> 47 CFR § 76.65(b)(2).</w:t>
      </w:r>
    </w:p>
  </w:footnote>
  <w:footnote w:id="20">
    <w:p w:rsidR="003D0CAA" w:rsidRPr="004D4F11" w:rsidP="003D0CAA" w14:paraId="746B55C6" w14:textId="77777777">
      <w:pPr>
        <w:pStyle w:val="FootnoteText"/>
      </w:pPr>
      <w:r w:rsidRPr="004D4F11">
        <w:rPr>
          <w:rStyle w:val="FootnoteReference"/>
        </w:rPr>
        <w:footnoteRef/>
      </w:r>
      <w:r w:rsidRPr="004D4F11">
        <w:t xml:space="preserve"> </w:t>
      </w:r>
      <w:r>
        <w:rPr>
          <w:i/>
          <w:iCs/>
        </w:rPr>
        <w:t>Id</w:t>
      </w:r>
      <w:r w:rsidRPr="00E410E1">
        <w:t>.</w:t>
      </w:r>
    </w:p>
  </w:footnote>
  <w:footnote w:id="21">
    <w:p w:rsidR="003D0CAA" w:rsidRPr="00E90EB4" w:rsidP="003D0CAA" w14:paraId="1911AA4E" w14:textId="7C96AD29">
      <w:pPr>
        <w:pStyle w:val="FootnoteText"/>
      </w:pPr>
      <w:r w:rsidRPr="004D4F11">
        <w:rPr>
          <w:rStyle w:val="FootnoteReference"/>
        </w:rPr>
        <w:footnoteRef/>
      </w:r>
      <w:r w:rsidRPr="00E90EB4">
        <w:t xml:space="preserve"> </w:t>
      </w:r>
      <w:r w:rsidR="00DF301A">
        <w:rPr>
          <w:i/>
          <w:iCs/>
        </w:rPr>
        <w:t>Id</w:t>
      </w:r>
      <w:r w:rsidR="00DF301A">
        <w:t>.</w:t>
      </w:r>
      <w:r w:rsidRPr="00E90EB4">
        <w:t xml:space="preserve"> §§ 76.65(c), 76.7.</w:t>
      </w:r>
    </w:p>
  </w:footnote>
  <w:footnote w:id="22">
    <w:p w:rsidR="003D0CAA" w:rsidRPr="004D4F11" w:rsidP="003D0CAA" w14:paraId="55BF212A" w14:textId="77777777">
      <w:pPr>
        <w:pStyle w:val="FootnoteText"/>
      </w:pPr>
      <w:r w:rsidRPr="004D4F11">
        <w:rPr>
          <w:rStyle w:val="FootnoteReference"/>
        </w:rPr>
        <w:footnoteRef/>
      </w:r>
      <w:r w:rsidRPr="004D4F11">
        <w:t xml:space="preserve"> </w:t>
      </w:r>
      <w:r w:rsidRPr="004D4F11">
        <w:rPr>
          <w:i/>
        </w:rPr>
        <w:t>Id</w:t>
      </w:r>
      <w:r w:rsidRPr="00CD2BF6">
        <w:rPr>
          <w:iCs/>
        </w:rPr>
        <w:t xml:space="preserve">. </w:t>
      </w:r>
      <w:r w:rsidRPr="004D4F11">
        <w:t>§ 76.65(d).</w:t>
      </w:r>
    </w:p>
  </w:footnote>
  <w:footnote w:id="23">
    <w:p w:rsidR="00304915" w14:paraId="38EC6E8A" w14:textId="61DA9703">
      <w:pPr>
        <w:pStyle w:val="FootnoteText"/>
      </w:pPr>
      <w:r>
        <w:rPr>
          <w:rStyle w:val="FootnoteReference"/>
        </w:rPr>
        <w:footnoteRef/>
      </w:r>
      <w:r>
        <w:t xml:space="preserve"> Both parties filing in this proceeding have requested confidentiality for certain information.  We have not ruled on these requests.</w:t>
      </w:r>
      <w:r w:rsidR="00FB1B72">
        <w:t xml:space="preserve">  Throughout this Memorandum Opinion and Order we have referenced </w:t>
      </w:r>
      <w:r w:rsidR="00492368">
        <w:t xml:space="preserve">only </w:t>
      </w:r>
      <w:r w:rsidR="00913F4B">
        <w:t>information available in the public versions of the pleadings.</w:t>
      </w:r>
    </w:p>
  </w:footnote>
  <w:footnote w:id="24">
    <w:p w:rsidR="0065295F" w14:paraId="4AD58C89" w14:textId="3B7DEA3E">
      <w:pPr>
        <w:pStyle w:val="FootnoteText"/>
      </w:pPr>
      <w:r>
        <w:rPr>
          <w:rStyle w:val="FootnoteReference"/>
        </w:rPr>
        <w:footnoteRef/>
      </w:r>
      <w:r>
        <w:t xml:space="preserve"> Complaint at </w:t>
      </w:r>
      <w:r w:rsidR="009B294D">
        <w:t>9</w:t>
      </w:r>
      <w:r w:rsidR="00DA09A1">
        <w:t>; Answer at 4.</w:t>
      </w:r>
    </w:p>
  </w:footnote>
  <w:footnote w:id="25">
    <w:p w:rsidR="0097044F" w:rsidRPr="00102534" w14:paraId="1E3EBBAC" w14:textId="48AFC258">
      <w:pPr>
        <w:pStyle w:val="FootnoteText"/>
      </w:pPr>
      <w:r>
        <w:rPr>
          <w:rStyle w:val="FootnoteReference"/>
        </w:rPr>
        <w:footnoteRef/>
      </w:r>
      <w:r w:rsidRPr="00102534">
        <w:t xml:space="preserve"> </w:t>
      </w:r>
      <w:r>
        <w:t>Complaint</w:t>
      </w:r>
      <w:r w:rsidRPr="00322EA0">
        <w:t xml:space="preserve"> </w:t>
      </w:r>
      <w:r w:rsidRPr="00102534">
        <w:t xml:space="preserve">at </w:t>
      </w:r>
      <w:r w:rsidRPr="00102534" w:rsidR="003C638B">
        <w:t xml:space="preserve">9; </w:t>
      </w:r>
      <w:r w:rsidR="004E3517">
        <w:t>Answer</w:t>
      </w:r>
      <w:r w:rsidRPr="00102534" w:rsidR="004E3517">
        <w:t xml:space="preserve"> at 4.</w:t>
      </w:r>
    </w:p>
  </w:footnote>
  <w:footnote w:id="26">
    <w:p w:rsidR="00854FAA" w14:paraId="7BEF4478" w14:textId="19E02A8E">
      <w:pPr>
        <w:pStyle w:val="FootnoteText"/>
      </w:pPr>
      <w:r>
        <w:rPr>
          <w:rStyle w:val="FootnoteReference"/>
        </w:rPr>
        <w:footnoteRef/>
      </w:r>
      <w:r w:rsidRPr="00102534">
        <w:t xml:space="preserve"> </w:t>
      </w:r>
      <w:r w:rsidR="00127663">
        <w:t>Complaint</w:t>
      </w:r>
      <w:r w:rsidRPr="00102534" w:rsidR="00127663">
        <w:t xml:space="preserve"> </w:t>
      </w:r>
      <w:r w:rsidRPr="00322EA0" w:rsidR="00127663">
        <w:t xml:space="preserve">at </w:t>
      </w:r>
      <w:r w:rsidR="00127663">
        <w:t>9</w:t>
      </w:r>
      <w:r w:rsidR="00B00249">
        <w:t>-10</w:t>
      </w:r>
      <w:r w:rsidRPr="00322EA0" w:rsidR="00127663">
        <w:t xml:space="preserve">; </w:t>
      </w:r>
      <w:r w:rsidR="00127663">
        <w:t>Answer</w:t>
      </w:r>
      <w:r w:rsidRPr="00322EA0" w:rsidR="00127663">
        <w:t xml:space="preserve"> at </w:t>
      </w:r>
      <w:r w:rsidR="00CA700A">
        <w:t>5</w:t>
      </w:r>
      <w:r w:rsidRPr="00322EA0" w:rsidR="00DA6B74">
        <w:t xml:space="preserve">.  </w:t>
      </w:r>
      <w:r w:rsidR="0021318B">
        <w:t xml:space="preserve">  </w:t>
      </w:r>
    </w:p>
  </w:footnote>
  <w:footnote w:id="27">
    <w:p w:rsidR="003875C9" w14:paraId="389F8C9B" w14:textId="607D133E">
      <w:pPr>
        <w:pStyle w:val="FootnoteText"/>
      </w:pPr>
      <w:r>
        <w:rPr>
          <w:rStyle w:val="FootnoteReference"/>
        </w:rPr>
        <w:footnoteRef/>
      </w:r>
      <w:r>
        <w:t xml:space="preserve"> </w:t>
      </w:r>
      <w:r w:rsidRPr="003875C9">
        <w:t>Complaint at 9.</w:t>
      </w:r>
    </w:p>
  </w:footnote>
  <w:footnote w:id="28">
    <w:p w:rsidR="00A12AAA" w:rsidP="00A12AAA" w14:paraId="3F2714C3" w14:textId="77777777">
      <w:pPr>
        <w:pStyle w:val="FootnoteText"/>
      </w:pPr>
      <w:r>
        <w:rPr>
          <w:rStyle w:val="FootnoteReference"/>
        </w:rPr>
        <w:footnoteRef/>
      </w:r>
      <w:r>
        <w:t xml:space="preserve"> Complaint at ii-iii, 11-12; Answer at 5-7.</w:t>
      </w:r>
    </w:p>
  </w:footnote>
  <w:footnote w:id="29">
    <w:p w:rsidR="004636B3" w:rsidRPr="00102534" w14:paraId="32C62E36" w14:textId="14D9B7C5">
      <w:pPr>
        <w:pStyle w:val="FootnoteText"/>
      </w:pPr>
      <w:r>
        <w:rPr>
          <w:rStyle w:val="FootnoteReference"/>
        </w:rPr>
        <w:footnoteRef/>
      </w:r>
      <w:r w:rsidRPr="00102534">
        <w:t xml:space="preserve"> </w:t>
      </w:r>
      <w:r>
        <w:t>Complaint</w:t>
      </w:r>
      <w:r w:rsidRPr="00102534">
        <w:t xml:space="preserve"> at iii; </w:t>
      </w:r>
      <w:r>
        <w:t>Answer</w:t>
      </w:r>
      <w:r w:rsidRPr="00102534">
        <w:t xml:space="preserve"> at </w:t>
      </w:r>
      <w:r w:rsidRPr="00102534" w:rsidR="00505EE3">
        <w:t>6-7.</w:t>
      </w:r>
    </w:p>
  </w:footnote>
  <w:footnote w:id="30">
    <w:p w:rsidR="009572D5" w:rsidRPr="00393C14" w:rsidP="00346265" w14:paraId="34B1A75F" w14:textId="5674B946">
      <w:pPr>
        <w:pStyle w:val="FootnoteText"/>
        <w:tabs>
          <w:tab w:val="left" w:pos="3605"/>
        </w:tabs>
      </w:pPr>
      <w:r>
        <w:rPr>
          <w:rStyle w:val="FootnoteReference"/>
        </w:rPr>
        <w:footnoteRef/>
      </w:r>
      <w:r>
        <w:t xml:space="preserve"> Complaint </w:t>
      </w:r>
      <w:r w:rsidRPr="00847FDD">
        <w:t xml:space="preserve">at </w:t>
      </w:r>
      <w:r w:rsidRPr="00847FDD" w:rsidR="00655496">
        <w:t>iii</w:t>
      </w:r>
      <w:r w:rsidRPr="00847FDD" w:rsidR="007616A2">
        <w:t xml:space="preserve">, </w:t>
      </w:r>
      <w:r w:rsidRPr="00847FDD" w:rsidR="00881D48">
        <w:t>16-17</w:t>
      </w:r>
      <w:r w:rsidRPr="00847FDD">
        <w:t>; Answer at 6</w:t>
      </w:r>
      <w:r w:rsidR="00E703A0">
        <w:t>, 17</w:t>
      </w:r>
      <w:r w:rsidRPr="00393C14" w:rsidR="00393C14">
        <w:t xml:space="preserve">; </w:t>
      </w:r>
      <w:r w:rsidR="00346265">
        <w:t>Reply at 3</w:t>
      </w:r>
      <w:r w:rsidR="00847FDD">
        <w:t>.</w:t>
      </w:r>
    </w:p>
  </w:footnote>
  <w:footnote w:id="31">
    <w:p w:rsidR="00D13E70" w:rsidRPr="006B4ADB" w14:paraId="7CFF6E5D" w14:textId="2EB417AF">
      <w:pPr>
        <w:pStyle w:val="FootnoteText"/>
        <w:rPr>
          <w:b/>
          <w:bCs/>
        </w:rPr>
      </w:pPr>
      <w:r>
        <w:rPr>
          <w:rStyle w:val="FootnoteReference"/>
        </w:rPr>
        <w:footnoteRef/>
      </w:r>
      <w:r>
        <w:t xml:space="preserve"> </w:t>
      </w:r>
      <w:r w:rsidR="002A25D9">
        <w:t xml:space="preserve">Complaint at </w:t>
      </w:r>
      <w:r w:rsidR="00DC14F4">
        <w:t xml:space="preserve">iii, </w:t>
      </w:r>
      <w:r w:rsidR="002A25D9">
        <w:t>3</w:t>
      </w:r>
      <w:r w:rsidR="00773391">
        <w:t xml:space="preserve">, 11, </w:t>
      </w:r>
      <w:r w:rsidR="00EB7112">
        <w:t xml:space="preserve">19; </w:t>
      </w:r>
      <w:r w:rsidR="007D4FEA">
        <w:t>Reply at 14</w:t>
      </w:r>
      <w:r w:rsidR="00A87B54">
        <w:t>-</w:t>
      </w:r>
      <w:r w:rsidR="005079C7">
        <w:t>15.</w:t>
      </w:r>
      <w:r w:rsidR="001B337E">
        <w:t xml:space="preserve"> </w:t>
      </w:r>
    </w:p>
  </w:footnote>
  <w:footnote w:id="32">
    <w:p w:rsidR="007B1E79" w:rsidRPr="00102534" w14:paraId="206C95A7" w14:textId="1559750B">
      <w:pPr>
        <w:pStyle w:val="FootnoteText"/>
      </w:pPr>
      <w:r>
        <w:rPr>
          <w:rStyle w:val="FootnoteReference"/>
        </w:rPr>
        <w:footnoteRef/>
      </w:r>
      <w:r w:rsidRPr="00102534">
        <w:t xml:space="preserve"> </w:t>
      </w:r>
      <w:r w:rsidR="00823A72">
        <w:t xml:space="preserve">Complaint </w:t>
      </w:r>
      <w:r w:rsidRPr="00102534" w:rsidR="00823A72">
        <w:t xml:space="preserve">at </w:t>
      </w:r>
      <w:r w:rsidRPr="00102534" w:rsidR="008C2023">
        <w:t xml:space="preserve">ii, </w:t>
      </w:r>
      <w:r w:rsidRPr="00102534" w:rsidR="00B956D4">
        <w:t xml:space="preserve">12; </w:t>
      </w:r>
      <w:r w:rsidR="005F3854">
        <w:t>Answer</w:t>
      </w:r>
      <w:r w:rsidRPr="00102534" w:rsidR="005F3854">
        <w:t xml:space="preserve"> at 7</w:t>
      </w:r>
      <w:r w:rsidRPr="00102534" w:rsidR="005C176C">
        <w:t>.</w:t>
      </w:r>
    </w:p>
  </w:footnote>
  <w:footnote w:id="33">
    <w:p w:rsidR="008B4AEE" w14:paraId="30E6E422" w14:textId="4378E515">
      <w:pPr>
        <w:pStyle w:val="FootnoteText"/>
      </w:pPr>
      <w:r>
        <w:rPr>
          <w:rStyle w:val="FootnoteReference"/>
        </w:rPr>
        <w:footnoteRef/>
      </w:r>
      <w:r>
        <w:t xml:space="preserve"> Complaint at</w:t>
      </w:r>
      <w:r w:rsidR="00D06462">
        <w:t xml:space="preserve"> </w:t>
      </w:r>
      <w:r w:rsidR="00182456">
        <w:t xml:space="preserve">iv, </w:t>
      </w:r>
      <w:r w:rsidR="006C2876">
        <w:t xml:space="preserve">12; Answer </w:t>
      </w:r>
      <w:r w:rsidR="00342E99">
        <w:t>at 7</w:t>
      </w:r>
      <w:r w:rsidR="008C05ED">
        <w:t>.</w:t>
      </w:r>
    </w:p>
  </w:footnote>
  <w:footnote w:id="34">
    <w:p w:rsidR="006B7514" w14:paraId="3DAB456A" w14:textId="23EBE63D">
      <w:pPr>
        <w:pStyle w:val="FootnoteText"/>
      </w:pPr>
      <w:r>
        <w:rPr>
          <w:rStyle w:val="FootnoteReference"/>
        </w:rPr>
        <w:footnoteRef/>
      </w:r>
      <w:r>
        <w:t xml:space="preserve"> Complaint at </w:t>
      </w:r>
      <w:r w:rsidR="00A13603">
        <w:t xml:space="preserve">iv, </w:t>
      </w:r>
      <w:r>
        <w:t>12</w:t>
      </w:r>
      <w:r w:rsidR="00A13603">
        <w:t xml:space="preserve">; </w:t>
      </w:r>
      <w:r w:rsidRPr="005B16E2" w:rsidR="00666499">
        <w:t xml:space="preserve">Reply at </w:t>
      </w:r>
      <w:r w:rsidR="00C155B6">
        <w:t>15, n.53</w:t>
      </w:r>
      <w:r w:rsidRPr="005B16E2" w:rsidR="005B16E2">
        <w:t>.</w:t>
      </w:r>
    </w:p>
  </w:footnote>
  <w:footnote w:id="35">
    <w:p w:rsidR="00AA38ED" w14:paraId="5FA68D0D" w14:textId="12A5D6B5">
      <w:pPr>
        <w:pStyle w:val="FootnoteText"/>
      </w:pPr>
      <w:r>
        <w:rPr>
          <w:rStyle w:val="FootnoteReference"/>
        </w:rPr>
        <w:footnoteRef/>
      </w:r>
      <w:r>
        <w:t xml:space="preserve"> Complaint at </w:t>
      </w:r>
      <w:r w:rsidR="00F879A3">
        <w:t>i,</w:t>
      </w:r>
      <w:r w:rsidR="00804AED">
        <w:t xml:space="preserve"> </w:t>
      </w:r>
      <w:r w:rsidR="00485C3D">
        <w:t xml:space="preserve">3, </w:t>
      </w:r>
      <w:r w:rsidR="00804AED">
        <w:t xml:space="preserve">12, 16, </w:t>
      </w:r>
      <w:r>
        <w:t>19</w:t>
      </w:r>
      <w:r w:rsidR="00804AED">
        <w:t>.</w:t>
      </w:r>
    </w:p>
  </w:footnote>
  <w:footnote w:id="36">
    <w:p w:rsidR="006F1AE4" w:rsidRPr="00EF5218" w14:paraId="0CC2FB29" w14:textId="28C45BB7">
      <w:pPr>
        <w:pStyle w:val="FootnoteText"/>
      </w:pPr>
      <w:r>
        <w:rPr>
          <w:rStyle w:val="FootnoteReference"/>
        </w:rPr>
        <w:footnoteRef/>
      </w:r>
      <w:r>
        <w:t xml:space="preserve"> </w:t>
      </w:r>
      <w:r w:rsidR="00D020B6">
        <w:rPr>
          <w:i/>
          <w:iCs/>
        </w:rPr>
        <w:t>Id</w:t>
      </w:r>
      <w:r w:rsidR="00D020B6">
        <w:t>.</w:t>
      </w:r>
      <w:r w:rsidRPr="00B6470E" w:rsidR="00B6470E">
        <w:t xml:space="preserve"> at</w:t>
      </w:r>
      <w:r w:rsidR="00B6470E">
        <w:t xml:space="preserve"> </w:t>
      </w:r>
      <w:r w:rsidR="00B75F23">
        <w:t xml:space="preserve">i, </w:t>
      </w:r>
      <w:r w:rsidR="00485C3D">
        <w:t xml:space="preserve">3, </w:t>
      </w:r>
      <w:r w:rsidR="001F4192">
        <w:t>17</w:t>
      </w:r>
      <w:r w:rsidR="00D57DAC">
        <w:t>-</w:t>
      </w:r>
      <w:r w:rsidR="001F4192">
        <w:t>18.</w:t>
      </w:r>
    </w:p>
  </w:footnote>
  <w:footnote w:id="37">
    <w:p w:rsidR="00F70C27" w14:paraId="29E471C1" w14:textId="0FFF37CD">
      <w:pPr>
        <w:pStyle w:val="FootnoteText"/>
      </w:pPr>
      <w:r>
        <w:rPr>
          <w:rStyle w:val="FootnoteReference"/>
        </w:rPr>
        <w:footnoteRef/>
      </w:r>
      <w:r>
        <w:t xml:space="preserve"> </w:t>
      </w:r>
      <w:r w:rsidR="00D020B6">
        <w:rPr>
          <w:i/>
          <w:iCs/>
        </w:rPr>
        <w:t>Id</w:t>
      </w:r>
      <w:r w:rsidR="00D020B6">
        <w:t>.</w:t>
      </w:r>
      <w:r w:rsidR="00D254FF">
        <w:t xml:space="preserve"> at 1</w:t>
      </w:r>
      <w:r w:rsidR="003000F5">
        <w:t xml:space="preserve">9-20; Reply at </w:t>
      </w:r>
      <w:r w:rsidR="00360ACE">
        <w:t>15-16.</w:t>
      </w:r>
    </w:p>
  </w:footnote>
  <w:footnote w:id="38">
    <w:p w:rsidR="00C46B5B" w14:paraId="5977A8EB" w14:textId="044FC745">
      <w:pPr>
        <w:pStyle w:val="FootnoteText"/>
      </w:pPr>
      <w:r>
        <w:rPr>
          <w:rStyle w:val="FootnoteReference"/>
        </w:rPr>
        <w:footnoteRef/>
      </w:r>
      <w:r>
        <w:t xml:space="preserve"> </w:t>
      </w:r>
      <w:bookmarkStart w:id="5" w:name="_Hlk17724478"/>
      <w:r w:rsidRPr="0030603B">
        <w:rPr>
          <w:i/>
        </w:rPr>
        <w:t xml:space="preserve">See </w:t>
      </w:r>
      <w:r w:rsidR="005A2CAD">
        <w:rPr>
          <w:i/>
        </w:rPr>
        <w:t>Good Faith Order</w:t>
      </w:r>
      <w:r w:rsidR="00A66483">
        <w:rPr>
          <w:iCs/>
        </w:rPr>
        <w:t>,</w:t>
      </w:r>
      <w:r w:rsidR="005A2CAD">
        <w:rPr>
          <w:i/>
        </w:rPr>
        <w:t xml:space="preserve"> </w:t>
      </w:r>
      <w:r w:rsidR="005A2CAD">
        <w:rPr>
          <w:iCs/>
        </w:rPr>
        <w:t xml:space="preserve">15 FCC </w:t>
      </w:r>
      <w:r w:rsidR="005A2CAD">
        <w:rPr>
          <w:iCs/>
        </w:rPr>
        <w:t>Rcd</w:t>
      </w:r>
      <w:r w:rsidR="005A2CAD">
        <w:rPr>
          <w:iCs/>
        </w:rPr>
        <w:t xml:space="preserve"> at 5462, para. 40; </w:t>
      </w:r>
      <w:r w:rsidR="009E64DE">
        <w:rPr>
          <w:i/>
        </w:rPr>
        <w:t>HolstonConnect</w:t>
      </w:r>
      <w:r w:rsidR="009E64DE">
        <w:rPr>
          <w:i/>
        </w:rPr>
        <w:t xml:space="preserve">, LLC v. Nexstar Media Group, Inc., </w:t>
      </w:r>
      <w:r w:rsidR="009E64DE">
        <w:t xml:space="preserve">Memorandum Opinion and Order, 34 FCC </w:t>
      </w:r>
      <w:r w:rsidR="009E64DE">
        <w:t>Rcd</w:t>
      </w:r>
      <w:r w:rsidR="009E64DE">
        <w:t xml:space="preserve"> 7833</w:t>
      </w:r>
      <w:r w:rsidR="00B304A8">
        <w:t>, 7</w:t>
      </w:r>
      <w:r w:rsidR="00687147">
        <w:t>83</w:t>
      </w:r>
      <w:r w:rsidR="00C24577">
        <w:t>5</w:t>
      </w:r>
      <w:r w:rsidR="000A4E04">
        <w:t xml:space="preserve">, para. </w:t>
      </w:r>
      <w:r w:rsidR="00A66483">
        <w:t>6</w:t>
      </w:r>
      <w:r w:rsidR="00657F54">
        <w:t xml:space="preserve"> (</w:t>
      </w:r>
      <w:r w:rsidR="000D2EC0">
        <w:t xml:space="preserve">MB </w:t>
      </w:r>
      <w:r w:rsidR="00657F54">
        <w:t>2019</w:t>
      </w:r>
      <w:r w:rsidRPr="001609AD" w:rsidR="00657F54">
        <w:t>)</w:t>
      </w:r>
      <w:r w:rsidR="00A66483">
        <w:t xml:space="preserve"> </w:t>
      </w:r>
      <w:r w:rsidRPr="001609AD" w:rsidR="00B403DC">
        <w:t>(</w:t>
      </w:r>
      <w:r w:rsidRPr="001609AD" w:rsidR="00B403DC">
        <w:rPr>
          <w:i/>
          <w:iCs/>
        </w:rPr>
        <w:t>Holston</w:t>
      </w:r>
      <w:r w:rsidR="00A66483">
        <w:rPr>
          <w:i/>
          <w:iCs/>
        </w:rPr>
        <w:t>Connect</w:t>
      </w:r>
      <w:r w:rsidRPr="001609AD" w:rsidR="00B403DC">
        <w:rPr>
          <w:i/>
          <w:iCs/>
        </w:rPr>
        <w:t xml:space="preserve"> Order</w:t>
      </w:r>
      <w:r w:rsidRPr="001609AD" w:rsidR="00B403DC">
        <w:t>)</w:t>
      </w:r>
      <w:r w:rsidRPr="001609AD" w:rsidR="009E64DE">
        <w:t xml:space="preserve">; </w:t>
      </w:r>
      <w:r w:rsidRPr="001609AD">
        <w:rPr>
          <w:i/>
        </w:rPr>
        <w:t>Coastal Television Broad. Co. LLC v. MTA Commun., LLC</w:t>
      </w:r>
      <w:r w:rsidRPr="001609AD">
        <w:t xml:space="preserve">, Memorandum Opinion and Order, 33 FCC </w:t>
      </w:r>
      <w:r w:rsidRPr="001609AD">
        <w:t>Rcd</w:t>
      </w:r>
      <w:r w:rsidRPr="001609AD">
        <w:t xml:space="preserve"> 11025, 11027, para. 7 (</w:t>
      </w:r>
      <w:r w:rsidR="000D2EC0">
        <w:t xml:space="preserve">MB </w:t>
      </w:r>
      <w:r w:rsidRPr="001609AD">
        <w:t>2018)</w:t>
      </w:r>
      <w:r w:rsidR="00A66483">
        <w:t xml:space="preserve"> </w:t>
      </w:r>
      <w:r w:rsidRPr="001609AD">
        <w:t>(</w:t>
      </w:r>
      <w:r w:rsidRPr="001609AD">
        <w:rPr>
          <w:i/>
        </w:rPr>
        <w:t>Coastal Order</w:t>
      </w:r>
      <w:r w:rsidRPr="001609AD">
        <w:t>)</w:t>
      </w:r>
      <w:bookmarkEnd w:id="5"/>
      <w:r w:rsidRPr="001609AD">
        <w:t xml:space="preserve">; </w:t>
      </w:r>
      <w:r w:rsidRPr="001609AD">
        <w:rPr>
          <w:i/>
        </w:rPr>
        <w:t>HITV License Subsidiary, Inc. v. DIRECTV, LLC</w:t>
      </w:r>
      <w:r w:rsidRPr="001609AD">
        <w:t xml:space="preserve">, Memorandum Opinion and Order, 33 FCC </w:t>
      </w:r>
      <w:r w:rsidRPr="001609AD">
        <w:t>Rcd</w:t>
      </w:r>
      <w:r w:rsidRPr="001609AD">
        <w:t xml:space="preserve"> 1137, 1140, para. 7 (</w:t>
      </w:r>
      <w:r w:rsidR="000D2EC0">
        <w:t xml:space="preserve">MB </w:t>
      </w:r>
      <w:r w:rsidRPr="001609AD">
        <w:t>2018)</w:t>
      </w:r>
      <w:r w:rsidR="00A66483">
        <w:t xml:space="preserve"> </w:t>
      </w:r>
      <w:r w:rsidRPr="001609AD">
        <w:t>(</w:t>
      </w:r>
      <w:r w:rsidRPr="001609AD">
        <w:rPr>
          <w:i/>
        </w:rPr>
        <w:t>HITV Order</w:t>
      </w:r>
      <w:r w:rsidRPr="001609AD">
        <w:t xml:space="preserve">); </w:t>
      </w:r>
      <w:r w:rsidRPr="001609AD" w:rsidR="004756C3">
        <w:rPr>
          <w:i/>
          <w:iCs/>
        </w:rPr>
        <w:t>Northwest</w:t>
      </w:r>
      <w:r w:rsidRPr="00F60523" w:rsidR="004756C3">
        <w:rPr>
          <w:i/>
          <w:iCs/>
        </w:rPr>
        <w:t xml:space="preserve"> Broadcasting</w:t>
      </w:r>
      <w:r w:rsidRPr="00F60523" w:rsidR="007F6B67">
        <w:rPr>
          <w:i/>
          <w:iCs/>
        </w:rPr>
        <w:t xml:space="preserve"> v. DirecTV</w:t>
      </w:r>
      <w:r w:rsidR="007F6B67">
        <w:t xml:space="preserve">, </w:t>
      </w:r>
      <w:r w:rsidRPr="00B6607F" w:rsidR="00F60523">
        <w:t>Memorandum Opinion and Order</w:t>
      </w:r>
      <w:r w:rsidR="00F60523">
        <w:t xml:space="preserve">, </w:t>
      </w:r>
      <w:r w:rsidR="00EE3E52">
        <w:t xml:space="preserve">30 FCC </w:t>
      </w:r>
      <w:r w:rsidR="00EE3E52">
        <w:t>Rcd</w:t>
      </w:r>
      <w:r w:rsidR="00EE3E52">
        <w:t xml:space="preserve"> 12449,</w:t>
      </w:r>
      <w:r w:rsidR="00F60523">
        <w:t xml:space="preserve"> </w:t>
      </w:r>
      <w:r w:rsidR="005F3588">
        <w:t>1254</w:t>
      </w:r>
      <w:r w:rsidR="009E7E85">
        <w:t>3</w:t>
      </w:r>
      <w:r w:rsidR="005F3588">
        <w:t>, para. 11</w:t>
      </w:r>
      <w:r w:rsidR="00421E51">
        <w:t xml:space="preserve"> (</w:t>
      </w:r>
      <w:r w:rsidR="000D2EC0">
        <w:t xml:space="preserve">MB </w:t>
      </w:r>
      <w:r w:rsidR="00421E51">
        <w:t>2015)</w:t>
      </w:r>
      <w:r w:rsidR="005F3588">
        <w:t xml:space="preserve">; </w:t>
      </w:r>
      <w:r w:rsidRPr="00B6607F">
        <w:rPr>
          <w:i/>
        </w:rPr>
        <w:t>Mediacom Commun. Corp. v. Sinclair Broad. Grp., Inc.</w:t>
      </w:r>
      <w:r w:rsidRPr="00B6607F">
        <w:t xml:space="preserve">, Memorandum Opinion and Order, 22 FCC </w:t>
      </w:r>
      <w:r w:rsidRPr="00B6607F">
        <w:t>Rcd</w:t>
      </w:r>
      <w:r w:rsidRPr="00B6607F">
        <w:t xml:space="preserve"> </w:t>
      </w:r>
      <w:r w:rsidR="00DC22C2">
        <w:t>35</w:t>
      </w:r>
      <w:r w:rsidRPr="00B6607F">
        <w:t xml:space="preserve">, </w:t>
      </w:r>
      <w:r w:rsidR="00DC22C2">
        <w:t>38</w:t>
      </w:r>
      <w:r w:rsidRPr="00B6607F">
        <w:t>, para. 6 (</w:t>
      </w:r>
      <w:r w:rsidR="00635526">
        <w:t xml:space="preserve">MB </w:t>
      </w:r>
      <w:r w:rsidRPr="00B6607F">
        <w:t>2007)</w:t>
      </w:r>
      <w:r w:rsidR="00B10A72">
        <w:t xml:space="preserve"> </w:t>
      </w:r>
      <w:r w:rsidR="008F5659">
        <w:t>(</w:t>
      </w:r>
      <w:r w:rsidRPr="008F5659" w:rsidR="008F5659">
        <w:rPr>
          <w:i/>
          <w:iCs/>
        </w:rPr>
        <w:t>Mediacom Order</w:t>
      </w:r>
      <w:r w:rsidR="008F5659">
        <w:t>)</w:t>
      </w:r>
      <w:r w:rsidRPr="00B6607F">
        <w:t>.</w:t>
      </w:r>
    </w:p>
  </w:footnote>
  <w:footnote w:id="39">
    <w:p w:rsidR="0001110F" w:rsidRPr="00B403DC" w:rsidP="004B33A4" w14:paraId="66C69ECE" w14:textId="13669F64">
      <w:pPr>
        <w:pStyle w:val="FootnoteText"/>
        <w:tabs>
          <w:tab w:val="left" w:pos="3305"/>
        </w:tabs>
      </w:pPr>
      <w:r>
        <w:rPr>
          <w:rStyle w:val="FootnoteReference"/>
        </w:rPr>
        <w:footnoteRef/>
      </w:r>
      <w:r>
        <w:t xml:space="preserve"> </w:t>
      </w:r>
      <w:r>
        <w:rPr>
          <w:i/>
          <w:iCs/>
        </w:rPr>
        <w:t>See</w:t>
      </w:r>
      <w:r w:rsidR="00B403DC">
        <w:rPr>
          <w:i/>
          <w:iCs/>
        </w:rPr>
        <w:t xml:space="preserve"> </w:t>
      </w:r>
      <w:r w:rsidR="00B403DC">
        <w:rPr>
          <w:i/>
          <w:iCs/>
        </w:rPr>
        <w:t>Holston</w:t>
      </w:r>
      <w:r w:rsidR="0014015F">
        <w:rPr>
          <w:i/>
          <w:iCs/>
        </w:rPr>
        <w:t>Connect</w:t>
      </w:r>
      <w:r w:rsidR="00B403DC">
        <w:rPr>
          <w:i/>
          <w:iCs/>
        </w:rPr>
        <w:t xml:space="preserve"> Order</w:t>
      </w:r>
      <w:r w:rsidR="009B4356">
        <w:t xml:space="preserve">, 34 FCC </w:t>
      </w:r>
      <w:r w:rsidR="009B4356">
        <w:t>Rcd</w:t>
      </w:r>
      <w:r w:rsidR="004B33A4">
        <w:t xml:space="preserve"> 7835</w:t>
      </w:r>
      <w:r w:rsidR="00465D89">
        <w:t>, para. 6</w:t>
      </w:r>
      <w:r w:rsidR="00222DDD">
        <w:t xml:space="preserve">; </w:t>
      </w:r>
      <w:r w:rsidRPr="00AC3112" w:rsidR="00772F30">
        <w:rPr>
          <w:i/>
          <w:iCs/>
        </w:rPr>
        <w:t>HITV Order</w:t>
      </w:r>
      <w:r w:rsidR="00772F30">
        <w:t xml:space="preserve">, 33 FCC </w:t>
      </w:r>
      <w:r w:rsidR="00772F30">
        <w:t>Rcd</w:t>
      </w:r>
      <w:r w:rsidR="00772F30">
        <w:t xml:space="preserve"> at 1140</w:t>
      </w:r>
      <w:r w:rsidR="00633908">
        <w:t xml:space="preserve">, para. 7; </w:t>
      </w:r>
      <w:r w:rsidRPr="00AC3112" w:rsidR="00222DDD">
        <w:rPr>
          <w:i/>
          <w:iCs/>
        </w:rPr>
        <w:t>Coastal Order</w:t>
      </w:r>
      <w:r w:rsidR="00D915C8">
        <w:t xml:space="preserve">, 33 FCC </w:t>
      </w:r>
      <w:r w:rsidR="00D915C8">
        <w:t>Rcd</w:t>
      </w:r>
      <w:r w:rsidR="00D915C8">
        <w:t xml:space="preserve"> at 11027, para. 7</w:t>
      </w:r>
      <w:r w:rsidR="00772F30">
        <w:t>.</w:t>
      </w:r>
    </w:p>
  </w:footnote>
  <w:footnote w:id="40">
    <w:p w:rsidR="005870E3" w14:paraId="3D4E64C0" w14:textId="489C6A70">
      <w:pPr>
        <w:pStyle w:val="FootnoteText"/>
      </w:pPr>
      <w:r>
        <w:rPr>
          <w:rStyle w:val="FootnoteReference"/>
        </w:rPr>
        <w:footnoteRef/>
      </w:r>
      <w:r>
        <w:t xml:space="preserve"> 47 </w:t>
      </w:r>
      <w:r w:rsidR="001E1774">
        <w:t>CFR § 76.65(b)(1)(iv).</w:t>
      </w:r>
    </w:p>
  </w:footnote>
  <w:footnote w:id="41">
    <w:p w:rsidR="00B47403" w:rsidP="00B47403" w14:paraId="18A9B712" w14:textId="77777777">
      <w:pPr>
        <w:pStyle w:val="FootnoteText"/>
      </w:pPr>
      <w:r>
        <w:rPr>
          <w:rStyle w:val="FootnoteReference"/>
        </w:rPr>
        <w:footnoteRef/>
      </w:r>
      <w:r>
        <w:t xml:space="preserve"> Complaint at i, 3, 12, 19; Reply at 15.</w:t>
      </w:r>
    </w:p>
  </w:footnote>
  <w:footnote w:id="42">
    <w:p w:rsidR="009E3C94" w:rsidRPr="00CC68BE" w14:paraId="2366F012" w14:textId="039C467C">
      <w:pPr>
        <w:pStyle w:val="FootnoteText"/>
      </w:pPr>
      <w:r>
        <w:rPr>
          <w:rStyle w:val="FootnoteReference"/>
        </w:rPr>
        <w:footnoteRef/>
      </w:r>
      <w:r w:rsidRPr="00CC68BE">
        <w:t xml:space="preserve"> </w:t>
      </w:r>
      <w:r w:rsidRPr="002870D5" w:rsidR="00CC68BE">
        <w:t>Complaint</w:t>
      </w:r>
      <w:r w:rsidRPr="002870D5" w:rsidR="008A01C9">
        <w:t xml:space="preserve"> at </w:t>
      </w:r>
      <w:r w:rsidRPr="002870D5" w:rsidR="00D77956">
        <w:t xml:space="preserve">iii, </w:t>
      </w:r>
      <w:r w:rsidRPr="002870D5" w:rsidR="007A7154">
        <w:t>11</w:t>
      </w:r>
      <w:r w:rsidR="008F0991">
        <w:t>-</w:t>
      </w:r>
      <w:r w:rsidRPr="002870D5" w:rsidR="007A7154">
        <w:t>12</w:t>
      </w:r>
      <w:r w:rsidRPr="002870D5" w:rsidR="004A0108">
        <w:t>, 19;</w:t>
      </w:r>
      <w:r w:rsidR="004A0108">
        <w:t xml:space="preserve"> </w:t>
      </w:r>
      <w:r w:rsidR="004009A6">
        <w:t xml:space="preserve">Answer at 5-7; </w:t>
      </w:r>
      <w:r w:rsidR="00BD583D">
        <w:t>Reply at 3</w:t>
      </w:r>
      <w:r w:rsidR="005D1CE0">
        <w:t>.</w:t>
      </w:r>
      <w:r w:rsidR="00A63182">
        <w:t xml:space="preserve">  </w:t>
      </w:r>
      <w:r w:rsidR="00A63182">
        <w:rPr>
          <w:i/>
          <w:iCs/>
        </w:rPr>
        <w:t xml:space="preserve">See also </w:t>
      </w:r>
      <w:r w:rsidRPr="006714FF" w:rsidR="00A63182">
        <w:rPr>
          <w:i/>
          <w:iCs/>
        </w:rPr>
        <w:t>HolstonConnect</w:t>
      </w:r>
      <w:r w:rsidRPr="006714FF" w:rsidR="00A63182">
        <w:rPr>
          <w:i/>
          <w:iCs/>
        </w:rPr>
        <w:t xml:space="preserve"> Order</w:t>
      </w:r>
      <w:r w:rsidRPr="006714FF" w:rsidR="00A63182">
        <w:t xml:space="preserve">, </w:t>
      </w:r>
      <w:r w:rsidR="00A63182">
        <w:t xml:space="preserve">34 FCC </w:t>
      </w:r>
      <w:r w:rsidR="00A63182">
        <w:t>Rcd</w:t>
      </w:r>
      <w:r w:rsidR="00A63182">
        <w:t xml:space="preserve"> at 7835-36, para. 7 (rejecting the argument that a licensee presented a single, unilateral proposal, where it made multiple proposals with different terms</w:t>
      </w:r>
      <w:r w:rsidRPr="00B455B3" w:rsidR="00A63182">
        <w:t>);</w:t>
      </w:r>
      <w:r w:rsidR="00A63182">
        <w:t xml:space="preserve"> </w:t>
      </w:r>
      <w:r w:rsidRPr="008247F7" w:rsidR="00A63182">
        <w:rPr>
          <w:i/>
          <w:iCs/>
        </w:rPr>
        <w:t>HITV Order</w:t>
      </w:r>
      <w:r w:rsidRPr="008247F7" w:rsidR="00A63182">
        <w:t>,</w:t>
      </w:r>
      <w:r w:rsidRPr="00DC7DD8" w:rsidR="00A63182">
        <w:t xml:space="preserve"> 33 FCC </w:t>
      </w:r>
      <w:r w:rsidRPr="00DC7DD8" w:rsidR="00A63182">
        <w:t>Rcd</w:t>
      </w:r>
      <w:r w:rsidRPr="00DC7DD8" w:rsidR="00A63182">
        <w:t xml:space="preserve"> </w:t>
      </w:r>
      <w:r w:rsidR="00A63182">
        <w:t>at</w:t>
      </w:r>
      <w:r w:rsidRPr="00DC7DD8" w:rsidR="00A63182">
        <w:t xml:space="preserve"> 1140-41, para</w:t>
      </w:r>
      <w:r w:rsidR="00A63182">
        <w:t>s</w:t>
      </w:r>
      <w:r w:rsidRPr="00DC7DD8" w:rsidR="00A63182">
        <w:t>. 8-9</w:t>
      </w:r>
      <w:r w:rsidR="00A63182">
        <w:t xml:space="preserve"> (rejecting the argument that a single, unilateral proposal was offered where multiple similar proposals were offered, each of which did not include monetary compensation for carriage); </w:t>
      </w:r>
      <w:r w:rsidRPr="00BA3C4F" w:rsidR="00A63182">
        <w:rPr>
          <w:i/>
          <w:iCs/>
        </w:rPr>
        <w:t>Mediacom Order</w:t>
      </w:r>
      <w:r w:rsidR="00A63182">
        <w:t xml:space="preserve">, 22 FCC </w:t>
      </w:r>
      <w:r w:rsidR="00A63182">
        <w:t>Rcd</w:t>
      </w:r>
      <w:r w:rsidR="00A63182">
        <w:t xml:space="preserve"> at </w:t>
      </w:r>
      <w:r w:rsidR="00DC22C2">
        <w:t>38</w:t>
      </w:r>
      <w:r w:rsidR="00A63182">
        <w:t>, para. 8 (rejecting the argument that a licensee made a single, unilateral proposal when it proposed that an MVPD either agree to a global agreement covering 22 stations or that it enter into a separate retransmission consent agreement for each station).</w:t>
      </w:r>
    </w:p>
  </w:footnote>
  <w:footnote w:id="43">
    <w:p w:rsidR="00EB5DC5" w:rsidP="00EB5DC5" w14:paraId="730B3244" w14:textId="77777777">
      <w:pPr>
        <w:pStyle w:val="FootnoteText"/>
      </w:pPr>
      <w:r>
        <w:rPr>
          <w:rStyle w:val="FootnoteReference"/>
        </w:rPr>
        <w:footnoteRef/>
      </w:r>
      <w:r>
        <w:t xml:space="preserve"> Answer at 3.</w:t>
      </w:r>
    </w:p>
  </w:footnote>
  <w:footnote w:id="44">
    <w:p w:rsidR="00EB5DC5" w:rsidP="00EB5DC5" w14:paraId="464E4C09" w14:textId="621CA3CF">
      <w:pPr>
        <w:pStyle w:val="FootnoteText"/>
      </w:pPr>
      <w:r>
        <w:rPr>
          <w:rStyle w:val="FootnoteReference"/>
        </w:rPr>
        <w:footnoteRef/>
      </w:r>
      <w:r>
        <w:t xml:space="preserve"> </w:t>
      </w:r>
      <w:r w:rsidR="00A854A2">
        <w:rPr>
          <w:i/>
          <w:iCs/>
        </w:rPr>
        <w:t>Good Faith Order</w:t>
      </w:r>
      <w:r w:rsidR="00A854A2">
        <w:t xml:space="preserve">, 15 FCC </w:t>
      </w:r>
      <w:r w:rsidR="00A854A2">
        <w:t>Rcd</w:t>
      </w:r>
      <w:r w:rsidR="00A854A2">
        <w:t xml:space="preserve"> at 5463-64, para. 43.  </w:t>
      </w:r>
      <w:r w:rsidR="00A854A2">
        <w:rPr>
          <w:i/>
          <w:iCs/>
        </w:rPr>
        <w:t xml:space="preserve">See also </w:t>
      </w:r>
      <w:r>
        <w:t>Answer at 17.</w:t>
      </w:r>
    </w:p>
  </w:footnote>
  <w:footnote w:id="45">
    <w:p w:rsidR="002958A8" w14:paraId="3511CAC4" w14:textId="4564A3EF">
      <w:pPr>
        <w:pStyle w:val="FootnoteText"/>
      </w:pPr>
      <w:r>
        <w:rPr>
          <w:rStyle w:val="FootnoteReference"/>
        </w:rPr>
        <w:footnoteRef/>
      </w:r>
      <w:r>
        <w:t xml:space="preserve"> Complaint at </w:t>
      </w:r>
      <w:r w:rsidR="00DE48B8">
        <w:t xml:space="preserve">i, </w:t>
      </w:r>
      <w:r w:rsidR="00261097">
        <w:t>1-</w:t>
      </w:r>
      <w:r w:rsidR="00AA04FD">
        <w:t>3</w:t>
      </w:r>
      <w:r w:rsidR="00261097">
        <w:t xml:space="preserve">, </w:t>
      </w:r>
      <w:r>
        <w:t>17</w:t>
      </w:r>
      <w:r w:rsidR="00DE48B8">
        <w:t>-18</w:t>
      </w:r>
      <w:r w:rsidR="00AA04FD">
        <w:t xml:space="preserve">; </w:t>
      </w:r>
      <w:r w:rsidR="006D5C93">
        <w:t>Reply at 1-2</w:t>
      </w:r>
      <w:r w:rsidR="008714BC">
        <w:t xml:space="preserve">, </w:t>
      </w:r>
      <w:r w:rsidR="00B21145">
        <w:t>6</w:t>
      </w:r>
      <w:r w:rsidR="00464EB5">
        <w:t>.</w:t>
      </w:r>
    </w:p>
  </w:footnote>
  <w:footnote w:id="46">
    <w:p w:rsidR="00F217B2" w:rsidRPr="00A2212B" w:rsidP="00F217B2" w14:paraId="2BF939D7" w14:textId="5CF77DEB">
      <w:pPr>
        <w:pStyle w:val="FootnoteText"/>
        <w:rPr>
          <w:highlight w:val="yellow"/>
        </w:rPr>
      </w:pPr>
      <w:r w:rsidRPr="006846DB">
        <w:rPr>
          <w:rStyle w:val="FootnoteReference"/>
        </w:rPr>
        <w:footnoteRef/>
      </w:r>
      <w:r w:rsidRPr="006846DB">
        <w:t xml:space="preserve"> 47 CFR § 76.65(b)(</w:t>
      </w:r>
      <w:r w:rsidR="002C24D5">
        <w:t>4</w:t>
      </w:r>
      <w:r w:rsidRPr="006846DB">
        <w:t xml:space="preserve">). </w:t>
      </w:r>
    </w:p>
  </w:footnote>
  <w:footnote w:id="47">
    <w:p w:rsidR="00064AFB" w:rsidP="00064AFB" w14:paraId="59D79C28" w14:textId="77777777">
      <w:pPr>
        <w:pStyle w:val="FootnoteText"/>
      </w:pPr>
      <w:r>
        <w:rPr>
          <w:rStyle w:val="FootnoteReference"/>
        </w:rPr>
        <w:footnoteRef/>
      </w:r>
      <w:r>
        <w:t xml:space="preserve"> </w:t>
      </w:r>
      <w:r w:rsidRPr="00164B54">
        <w:rPr>
          <w:i/>
        </w:rPr>
        <w:t>Good Faith Order</w:t>
      </w:r>
      <w:r w:rsidRPr="00164B54">
        <w:t xml:space="preserve">, 15 FCC </w:t>
      </w:r>
      <w:r w:rsidRPr="00164B54">
        <w:t>Rcd</w:t>
      </w:r>
      <w:r w:rsidRPr="00164B54">
        <w:t xml:space="preserve"> at 5458, para. 32.</w:t>
      </w:r>
    </w:p>
  </w:footnote>
  <w:footnote w:id="48">
    <w:p w:rsidR="00975E0E" w14:paraId="3857CAB3" w14:textId="5C499E98">
      <w:pPr>
        <w:pStyle w:val="FootnoteText"/>
      </w:pPr>
      <w:r>
        <w:rPr>
          <w:rStyle w:val="FootnoteReference"/>
        </w:rPr>
        <w:footnoteRef/>
      </w:r>
      <w:r>
        <w:t xml:space="preserve"> </w:t>
      </w:r>
      <w:r w:rsidR="00EC4D0E">
        <w:t xml:space="preserve">Complaint at </w:t>
      </w:r>
      <w:r w:rsidR="002D039E">
        <w:t xml:space="preserve">2-3, </w:t>
      </w:r>
      <w:r w:rsidR="00EC4D0E">
        <w:t>17-18</w:t>
      </w:r>
      <w:r w:rsidR="00FD0FC4">
        <w:t>.</w:t>
      </w:r>
    </w:p>
  </w:footnote>
  <w:footnote w:id="49">
    <w:p w:rsidR="002D039E" w:rsidRPr="002D039E" w14:paraId="1689E404" w14:textId="38AE0778">
      <w:pPr>
        <w:pStyle w:val="FootnoteText"/>
      </w:pPr>
      <w:r>
        <w:rPr>
          <w:rStyle w:val="FootnoteReference"/>
        </w:rPr>
        <w:footnoteRef/>
      </w:r>
      <w:r>
        <w:t xml:space="preserve"> </w:t>
      </w:r>
      <w:r>
        <w:rPr>
          <w:i/>
          <w:iCs/>
        </w:rPr>
        <w:t>Id</w:t>
      </w:r>
      <w:r w:rsidRPr="009F050A">
        <w:t>.</w:t>
      </w:r>
      <w:r w:rsidRPr="009874C2">
        <w:t xml:space="preserve"> </w:t>
      </w:r>
      <w:r>
        <w:t xml:space="preserve">at </w:t>
      </w:r>
      <w:r w:rsidR="007B3924">
        <w:t>2.</w:t>
      </w:r>
    </w:p>
  </w:footnote>
  <w:footnote w:id="50">
    <w:p w:rsidR="00D05180" w:rsidRPr="00D05180" w14:paraId="20BF571C" w14:textId="38132E5A">
      <w:pPr>
        <w:pStyle w:val="FootnoteText"/>
      </w:pPr>
      <w:r>
        <w:rPr>
          <w:rStyle w:val="FootnoteReference"/>
        </w:rPr>
        <w:footnoteRef/>
      </w:r>
      <w:r>
        <w:t xml:space="preserve"> </w:t>
      </w:r>
      <w:r>
        <w:rPr>
          <w:i/>
          <w:iCs/>
        </w:rPr>
        <w:t>Id</w:t>
      </w:r>
      <w:r>
        <w:t>. at 17-18</w:t>
      </w:r>
      <w:r w:rsidR="00431787">
        <w:t>.</w:t>
      </w:r>
    </w:p>
  </w:footnote>
  <w:footnote w:id="51">
    <w:p w:rsidR="007C742B" w:rsidRPr="00FF1739" w:rsidP="007C742B" w14:paraId="5637EFED" w14:textId="1B18B2A5">
      <w:pPr>
        <w:pStyle w:val="FootnoteText"/>
      </w:pPr>
      <w:r>
        <w:rPr>
          <w:rStyle w:val="FootnoteReference"/>
        </w:rPr>
        <w:footnoteRef/>
      </w:r>
      <w:r>
        <w:t xml:space="preserve"> </w:t>
      </w:r>
      <w:r w:rsidRPr="006B4ADB">
        <w:t>Cincinnati Bell also argue</w:t>
      </w:r>
      <w:r w:rsidRPr="006B4ADB" w:rsidR="007B3924">
        <w:t>s</w:t>
      </w:r>
      <w:r w:rsidRPr="006B4ADB">
        <w:t xml:space="preserve"> that </w:t>
      </w:r>
      <w:r w:rsidRPr="006B4ADB" w:rsidR="001B1567">
        <w:t xml:space="preserve">Nexstar </w:t>
      </w:r>
      <w:r w:rsidRPr="006B4ADB" w:rsidR="000457C9">
        <w:t xml:space="preserve">breached its duty to negotiate retransmission consent in good faith under the totality of circumstances </w:t>
      </w:r>
      <w:r w:rsidR="007B3924">
        <w:t>test</w:t>
      </w:r>
      <w:r w:rsidR="0035016A">
        <w:t xml:space="preserve"> </w:t>
      </w:r>
      <w:r w:rsidR="00751AD8">
        <w:t>due to</w:t>
      </w:r>
      <w:r w:rsidR="00737BCB">
        <w:t xml:space="preserve"> the “nature and amounts” of</w:t>
      </w:r>
      <w:r w:rsidR="00BB4D48">
        <w:t xml:space="preserve"> </w:t>
      </w:r>
      <w:r w:rsidR="0035016A">
        <w:t xml:space="preserve">its proposed </w:t>
      </w:r>
      <w:r w:rsidR="00751AD8">
        <w:t>consideration</w:t>
      </w:r>
      <w:r w:rsidR="007B3924">
        <w:t xml:space="preserve"> </w:t>
      </w:r>
      <w:r w:rsidRPr="006B4ADB" w:rsidR="000457C9">
        <w:t xml:space="preserve">because it </w:t>
      </w:r>
      <w:r w:rsidRPr="006B4ADB" w:rsidR="001B1567">
        <w:t>“subordinate[d] its obligation to serve the public interest</w:t>
      </w:r>
      <w:r w:rsidR="007B3924">
        <w:t>”</w:t>
      </w:r>
      <w:r w:rsidRPr="006B4ADB" w:rsidR="001B1567">
        <w:t xml:space="preserve"> in pursuit of pecuniary gain.  </w:t>
      </w:r>
      <w:r w:rsidRPr="006B4ADB" w:rsidR="009A78CE">
        <w:rPr>
          <w:i/>
          <w:iCs/>
        </w:rPr>
        <w:t>Id</w:t>
      </w:r>
      <w:r w:rsidRPr="006B4ADB" w:rsidR="009A78CE">
        <w:t>.</w:t>
      </w:r>
      <w:r w:rsidR="007B3924">
        <w:t xml:space="preserve"> at 7</w:t>
      </w:r>
      <w:r w:rsidRPr="006B4ADB" w:rsidR="009A78CE">
        <w:t xml:space="preserve"> (</w:t>
      </w:r>
      <w:r w:rsidR="007B3924">
        <w:t>citing</w:t>
      </w:r>
      <w:r w:rsidRPr="006B4ADB" w:rsidR="009A78CE">
        <w:t xml:space="preserve"> </w:t>
      </w:r>
      <w:r w:rsidRPr="006B4ADB" w:rsidR="005C616A">
        <w:rPr>
          <w:i/>
          <w:iCs/>
        </w:rPr>
        <w:t>Amendment of Part 74, Subpart F of the Commission’s Rules</w:t>
      </w:r>
      <w:r w:rsidR="007B3924">
        <w:rPr>
          <w:i/>
          <w:iCs/>
        </w:rPr>
        <w:t xml:space="preserve"> to Permit Shared Use of Broadcast Auxiliary Facilities with Other Broadcast and Non-broadcast Entities and to Establish New Licensing Policies for Television Broadcast Auxiliary Stations</w:t>
      </w:r>
      <w:r w:rsidRPr="006B4ADB" w:rsidR="005C616A">
        <w:t xml:space="preserve">, </w:t>
      </w:r>
      <w:r w:rsidRPr="006B4ADB" w:rsidR="00F270C9">
        <w:t xml:space="preserve">Report and Order, </w:t>
      </w:r>
      <w:r w:rsidRPr="006B4ADB" w:rsidR="009C353D">
        <w:t xml:space="preserve">BC Docket No. 81-794, 93 FCC 2d 570, </w:t>
      </w:r>
      <w:r w:rsidRPr="006B4ADB" w:rsidR="00132893">
        <w:t>578, para. 20</w:t>
      </w:r>
      <w:r w:rsidR="007B3924">
        <w:t xml:space="preserve"> (1983)</w:t>
      </w:r>
      <w:r w:rsidRPr="006B4ADB" w:rsidR="00132893">
        <w:t>)</w:t>
      </w:r>
      <w:r w:rsidR="009962D4">
        <w:t>, 18</w:t>
      </w:r>
      <w:r w:rsidRPr="006B4ADB" w:rsidR="00132893">
        <w:t xml:space="preserve">.  </w:t>
      </w:r>
      <w:r w:rsidRPr="006B4ADB" w:rsidR="006854CF">
        <w:t>We reject this argument as it erroneously conflates Nexstar’s public interest obligation with its right</w:t>
      </w:r>
      <w:r w:rsidRPr="006B4ADB" w:rsidR="00D85960">
        <w:t>s to advance</w:t>
      </w:r>
      <w:r w:rsidRPr="006B4ADB" w:rsidR="00FF1739">
        <w:t xml:space="preserve"> its own economic self-interest when negotiating retransmission consent.  </w:t>
      </w:r>
      <w:r w:rsidR="007B3924">
        <w:rPr>
          <w:i/>
          <w:iCs/>
        </w:rPr>
        <w:t xml:space="preserve">See </w:t>
      </w:r>
      <w:r w:rsidRPr="006B4ADB" w:rsidR="00FF1739">
        <w:rPr>
          <w:i/>
          <w:iCs/>
        </w:rPr>
        <w:t>Good Faith Order</w:t>
      </w:r>
      <w:r w:rsidR="007B3924">
        <w:t xml:space="preserve">, 15 FCC </w:t>
      </w:r>
      <w:r w:rsidR="007B3924">
        <w:t>Rcd</w:t>
      </w:r>
      <w:r w:rsidRPr="006B4ADB" w:rsidR="00FF1739">
        <w:rPr>
          <w:i/>
          <w:iCs/>
        </w:rPr>
        <w:t xml:space="preserve"> </w:t>
      </w:r>
      <w:r w:rsidRPr="006B4ADB" w:rsidR="00FF1739">
        <w:t>at 5467, para. 53</w:t>
      </w:r>
      <w:r w:rsidR="00FB5B5D">
        <w:t xml:space="preserve"> (“Although some parties earnestly suggest, for example, that broadcasters should be entitled to zero compensation in return for retransmission consent or that the forms of compensation for carriage should be otherwise limited, this seems to us precisely the judgment that Congress generally intended the parties to resolve through their own interactions and through the efforts of each to advance its own economic </w:t>
      </w:r>
      <w:r w:rsidR="00FB5B5D">
        <w:t>self interest</w:t>
      </w:r>
      <w:r w:rsidR="00FB5B5D">
        <w:t>.”) (footnote omitted)</w:t>
      </w:r>
      <w:r w:rsidRPr="006B4ADB" w:rsidR="00FF1739">
        <w:t>.</w:t>
      </w:r>
      <w:r w:rsidR="00FF1739">
        <w:t xml:space="preserve">  </w:t>
      </w:r>
    </w:p>
  </w:footnote>
  <w:footnote w:id="52">
    <w:p w:rsidR="00644B30" w:rsidP="00D508E6" w14:paraId="2F69CCBE" w14:textId="5F401C59">
      <w:pPr>
        <w:pStyle w:val="FootnoteText"/>
        <w:tabs>
          <w:tab w:val="left" w:pos="3344"/>
        </w:tabs>
      </w:pPr>
      <w:r>
        <w:rPr>
          <w:rStyle w:val="FootnoteReference"/>
        </w:rPr>
        <w:footnoteRef/>
      </w:r>
      <w:r>
        <w:t xml:space="preserve"> Complaint at 17</w:t>
      </w:r>
      <w:r w:rsidR="00D508E6">
        <w:t>.</w:t>
      </w:r>
    </w:p>
  </w:footnote>
  <w:footnote w:id="53">
    <w:p w:rsidR="00D96CC9" w:rsidRPr="008F33B9" w14:paraId="53FC0EFD" w14:textId="398C7559">
      <w:pPr>
        <w:pStyle w:val="FootnoteText"/>
      </w:pPr>
      <w:r>
        <w:rPr>
          <w:rStyle w:val="FootnoteReference"/>
        </w:rPr>
        <w:footnoteRef/>
      </w:r>
      <w:r>
        <w:t xml:space="preserve"> </w:t>
      </w:r>
      <w:r w:rsidR="00D020B6">
        <w:rPr>
          <w:i/>
          <w:iCs/>
        </w:rPr>
        <w:t>Id</w:t>
      </w:r>
      <w:r w:rsidR="00D020B6">
        <w:t>.</w:t>
      </w:r>
      <w:r>
        <w:t xml:space="preserve"> at iii.</w:t>
      </w:r>
      <w:r w:rsidR="008F33B9">
        <w:t xml:space="preserve">  </w:t>
      </w:r>
      <w:r w:rsidR="008F33B9">
        <w:rPr>
          <w:i/>
          <w:iCs/>
        </w:rPr>
        <w:t>See also id</w:t>
      </w:r>
      <w:r w:rsidRPr="009F050A" w:rsidR="008F33B9">
        <w:t>.</w:t>
      </w:r>
      <w:r w:rsidRPr="00934B2B" w:rsidR="008F33B9">
        <w:t xml:space="preserve"> </w:t>
      </w:r>
      <w:r w:rsidR="008F33B9">
        <w:t>at 12-14 14 (objecting to Nexstar’s “Consolidation Playbook” under which Nexstar seeks to purchase additional stations subject to pre-determined retransmission consent rates).</w:t>
      </w:r>
    </w:p>
  </w:footnote>
  <w:footnote w:id="54">
    <w:p w:rsidR="00AC5CE7" w14:paraId="335BA76C" w14:textId="5C7EAA34">
      <w:pPr>
        <w:pStyle w:val="FootnoteText"/>
      </w:pPr>
      <w:r>
        <w:rPr>
          <w:rStyle w:val="FootnoteReference"/>
        </w:rPr>
        <w:footnoteRef/>
      </w:r>
      <w:r>
        <w:t xml:space="preserve"> </w:t>
      </w:r>
      <w:r w:rsidR="00D020B6">
        <w:rPr>
          <w:i/>
          <w:iCs/>
        </w:rPr>
        <w:t>Id</w:t>
      </w:r>
      <w:r w:rsidR="00D020B6">
        <w:t>.</w:t>
      </w:r>
      <w:r>
        <w:t xml:space="preserve"> at 14.</w:t>
      </w:r>
    </w:p>
  </w:footnote>
  <w:footnote w:id="55">
    <w:p w:rsidR="008F33B9" w:rsidP="008F33B9" w14:paraId="027E2D10" w14:textId="77777777">
      <w:pPr>
        <w:pStyle w:val="FootnoteText"/>
      </w:pPr>
      <w:r>
        <w:rPr>
          <w:rStyle w:val="FootnoteReference"/>
        </w:rPr>
        <w:footnoteRef/>
      </w:r>
      <w:r>
        <w:t xml:space="preserve"> Answer at 8.</w:t>
      </w:r>
    </w:p>
  </w:footnote>
  <w:footnote w:id="56">
    <w:p w:rsidR="00CC2427" w14:paraId="2BA265A2" w14:textId="1D8A3385">
      <w:pPr>
        <w:pStyle w:val="FootnoteText"/>
      </w:pPr>
      <w:r>
        <w:rPr>
          <w:rStyle w:val="FootnoteReference"/>
        </w:rPr>
        <w:footnoteRef/>
      </w:r>
      <w:r>
        <w:t xml:space="preserve"> </w:t>
      </w:r>
      <w:r w:rsidR="00BD0B0D">
        <w:rPr>
          <w:i/>
          <w:iCs/>
        </w:rPr>
        <w:t>See, e.g.</w:t>
      </w:r>
      <w:r w:rsidRPr="009F050A" w:rsidR="00BD0B0D">
        <w:t>,</w:t>
      </w:r>
      <w:r w:rsidR="00BD0B0D">
        <w:rPr>
          <w:i/>
          <w:iCs/>
        </w:rPr>
        <w:t xml:space="preserve"> </w:t>
      </w:r>
      <w:r w:rsidRPr="007D42F5" w:rsidR="00BD0B0D">
        <w:rPr>
          <w:i/>
          <w:iCs/>
        </w:rPr>
        <w:t xml:space="preserve">Gray Television </w:t>
      </w:r>
      <w:r w:rsidR="00EE59CE">
        <w:rPr>
          <w:i/>
          <w:iCs/>
        </w:rPr>
        <w:t xml:space="preserve">Licensee, LLC and Gray Media Group, Inc. </w:t>
      </w:r>
      <w:r w:rsidRPr="007D42F5" w:rsidR="00BD0B0D">
        <w:rPr>
          <w:i/>
          <w:iCs/>
        </w:rPr>
        <w:t>v. Citizen</w:t>
      </w:r>
      <w:r w:rsidR="00EE59CE">
        <w:rPr>
          <w:i/>
          <w:iCs/>
        </w:rPr>
        <w:t>s</w:t>
      </w:r>
      <w:r w:rsidRPr="007D42F5" w:rsidR="00BD0B0D">
        <w:rPr>
          <w:i/>
          <w:iCs/>
        </w:rPr>
        <w:t xml:space="preserve"> Telecom</w:t>
      </w:r>
      <w:r w:rsidR="00EE59CE">
        <w:rPr>
          <w:i/>
          <w:iCs/>
        </w:rPr>
        <w:t xml:space="preserve"> Services Company, LLC d/b/a Frontier Communications</w:t>
      </w:r>
      <w:r w:rsidR="00BD0B0D">
        <w:t xml:space="preserve">, Memorandum Opinion and Order, </w:t>
      </w:r>
      <w:r w:rsidR="00EE59CE">
        <w:t xml:space="preserve">MB Docket No. 20-441, </w:t>
      </w:r>
      <w:r w:rsidR="00BD0B0D">
        <w:t xml:space="preserve">36 FCC </w:t>
      </w:r>
      <w:r w:rsidR="00BD0B0D">
        <w:t>Rcd</w:t>
      </w:r>
      <w:r w:rsidR="00BD0B0D">
        <w:t xml:space="preserve"> 7450, 7458, para. 18</w:t>
      </w:r>
      <w:r w:rsidR="00EE59CE">
        <w:t xml:space="preserve"> (</w:t>
      </w:r>
      <w:r w:rsidRPr="0020248F" w:rsidR="00EE59CE">
        <w:rPr>
          <w:szCs w:val="22"/>
        </w:rPr>
        <w:t>“</w:t>
      </w:r>
      <w:r w:rsidR="00137358">
        <w:rPr>
          <w:szCs w:val="22"/>
        </w:rPr>
        <w:t>[T]</w:t>
      </w:r>
      <w:r w:rsidRPr="0020248F" w:rsidR="00EE59CE">
        <w:rPr>
          <w:szCs w:val="22"/>
        </w:rPr>
        <w:t>his type of business disagreement is not a proper basis for a complaint</w:t>
      </w:r>
      <w:r w:rsidR="00EE59CE">
        <w:rPr>
          <w:szCs w:val="22"/>
        </w:rPr>
        <w:t xml:space="preserve"> and should be rejected</w:t>
      </w:r>
      <w:r w:rsidR="00137358">
        <w:rPr>
          <w:szCs w:val="22"/>
        </w:rPr>
        <w:t>.</w:t>
      </w:r>
      <w:r w:rsidRPr="0020248F" w:rsidR="00EE59CE">
        <w:rPr>
          <w:szCs w:val="22"/>
        </w:rPr>
        <w:t>”</w:t>
      </w:r>
      <w:r w:rsidR="00EE59CE">
        <w:rPr>
          <w:szCs w:val="22"/>
        </w:rPr>
        <w:t>)</w:t>
      </w:r>
      <w:r w:rsidR="00BD0B0D">
        <w:t>.</w:t>
      </w:r>
    </w:p>
  </w:footnote>
  <w:footnote w:id="57">
    <w:p w:rsidR="00EE59CE" w14:paraId="21AF8F38" w14:textId="6174C76B">
      <w:pPr>
        <w:pStyle w:val="FootnoteText"/>
      </w:pPr>
      <w:r>
        <w:rPr>
          <w:rStyle w:val="FootnoteReference"/>
        </w:rPr>
        <w:footnoteRef/>
      </w:r>
      <w:r>
        <w:t xml:space="preserve"> </w:t>
      </w:r>
      <w:r>
        <w:rPr>
          <w:i/>
          <w:iCs/>
        </w:rPr>
        <w:t xml:space="preserve">See </w:t>
      </w:r>
      <w:r>
        <w:t>Answer at 3 (explaining that after-acquired station provisions “have been customary in retransmission consent agreements for decades, as they provide both parties with certainty and efficiency during the term of the agreement at issue”).</w:t>
      </w:r>
    </w:p>
  </w:footnote>
  <w:footnote w:id="58">
    <w:p w:rsidR="005A4614" w14:paraId="291CE36D" w14:textId="07265056">
      <w:pPr>
        <w:pStyle w:val="FootnoteText"/>
      </w:pPr>
      <w:r>
        <w:rPr>
          <w:rStyle w:val="FootnoteReference"/>
        </w:rPr>
        <w:footnoteRef/>
      </w:r>
      <w:r>
        <w:t xml:space="preserve"> </w:t>
      </w:r>
      <w:r w:rsidR="00BE7433">
        <w:t xml:space="preserve">Complaint at </w:t>
      </w:r>
      <w:r w:rsidR="00DF34D5">
        <w:t xml:space="preserve">i, </w:t>
      </w:r>
      <w:r w:rsidR="00BE7433">
        <w:t xml:space="preserve">3, </w:t>
      </w:r>
      <w:r w:rsidR="00566F8F">
        <w:t xml:space="preserve">7-8, </w:t>
      </w:r>
      <w:r w:rsidR="00CC3381">
        <w:t>17-18</w:t>
      </w:r>
      <w:r w:rsidR="00777FBA">
        <w:t xml:space="preserve">; </w:t>
      </w:r>
      <w:r w:rsidR="003F2D3C">
        <w:t xml:space="preserve">Reply at </w:t>
      </w:r>
      <w:r w:rsidR="00A16921">
        <w:t>8-9.</w:t>
      </w:r>
    </w:p>
  </w:footnote>
  <w:footnote w:id="59">
    <w:p w:rsidR="00A6009B" w14:paraId="031E79D4" w14:textId="7A5AAC96">
      <w:pPr>
        <w:pStyle w:val="FootnoteText"/>
      </w:pPr>
      <w:r>
        <w:rPr>
          <w:rStyle w:val="FootnoteReference"/>
        </w:rPr>
        <w:footnoteRef/>
      </w:r>
      <w:r>
        <w:t xml:space="preserve"> </w:t>
      </w:r>
      <w:r w:rsidRPr="00C6680C">
        <w:t xml:space="preserve">Complaint at </w:t>
      </w:r>
      <w:r w:rsidRPr="00C6680C" w:rsidR="007E2873">
        <w:t>6</w:t>
      </w:r>
      <w:r w:rsidR="00716FC1">
        <w:t xml:space="preserve">; </w:t>
      </w:r>
      <w:r w:rsidR="00716FC1">
        <w:rPr>
          <w:i/>
          <w:iCs/>
        </w:rPr>
        <w:t>Good Faith Order</w:t>
      </w:r>
      <w:r w:rsidR="00716FC1">
        <w:t xml:space="preserve">, 15 FCC </w:t>
      </w:r>
      <w:r w:rsidR="00716FC1">
        <w:t>Rcd</w:t>
      </w:r>
      <w:r w:rsidR="00716FC1">
        <w:t xml:space="preserve"> at 5463, para. 43.</w:t>
      </w:r>
      <w:r w:rsidR="00F94B0F">
        <w:t xml:space="preserve"> </w:t>
      </w:r>
      <w:r w:rsidR="00716FC1">
        <w:t xml:space="preserve"> </w:t>
      </w:r>
      <w:r w:rsidR="00716FC1">
        <w:rPr>
          <w:i/>
          <w:iCs/>
        </w:rPr>
        <w:t xml:space="preserve">See also </w:t>
      </w:r>
      <w:r w:rsidR="00295E8C">
        <w:t xml:space="preserve">Reply at </w:t>
      </w:r>
      <w:r w:rsidR="00071944">
        <w:t>2, 8-</w:t>
      </w:r>
      <w:r w:rsidR="00295E8C">
        <w:t>10</w:t>
      </w:r>
      <w:r w:rsidR="00071944">
        <w:t>.</w:t>
      </w:r>
    </w:p>
  </w:footnote>
  <w:footnote w:id="60">
    <w:p w:rsidR="00AC53F3" w:rsidRPr="00B75928" w14:paraId="5F8D67B9" w14:textId="5C319B74">
      <w:pPr>
        <w:pStyle w:val="FootnoteText"/>
      </w:pPr>
      <w:r>
        <w:rPr>
          <w:rStyle w:val="FootnoteReference"/>
        </w:rPr>
        <w:footnoteRef/>
      </w:r>
      <w:r>
        <w:t xml:space="preserve"> </w:t>
      </w:r>
      <w:r w:rsidRPr="006B4ADB">
        <w:rPr>
          <w:i/>
          <w:iCs/>
        </w:rPr>
        <w:t>Good Faith Order</w:t>
      </w:r>
      <w:r w:rsidR="00716FC1">
        <w:t xml:space="preserve">, 15 FCC </w:t>
      </w:r>
      <w:r w:rsidR="00716FC1">
        <w:t>Rcd</w:t>
      </w:r>
      <w:r>
        <w:t xml:space="preserve"> at 5469, para. 56.</w:t>
      </w:r>
      <w:r w:rsidR="00B75928">
        <w:t xml:space="preserve"> </w:t>
      </w:r>
      <w:r w:rsidR="00B80E11">
        <w:t xml:space="preserve"> </w:t>
      </w:r>
    </w:p>
  </w:footnote>
  <w:footnote w:id="61">
    <w:p w:rsidR="00716FC1" w14:paraId="556A5882" w14:textId="0395B153">
      <w:pPr>
        <w:pStyle w:val="FootnoteText"/>
      </w:pPr>
      <w:r>
        <w:rPr>
          <w:rStyle w:val="FootnoteReference"/>
        </w:rPr>
        <w:footnoteRef/>
      </w:r>
      <w:r>
        <w:t xml:space="preserve"> Answer at 10-11.</w:t>
      </w:r>
      <w:r w:rsidR="00B439DF">
        <w:t xml:space="preserve">  </w:t>
      </w:r>
      <w:r w:rsidRPr="009A4C8A" w:rsidR="00B439DF">
        <w:t xml:space="preserve">Nexstar also </w:t>
      </w:r>
      <w:r w:rsidR="00B439DF">
        <w:t>contends</w:t>
      </w:r>
      <w:r w:rsidRPr="009A4C8A" w:rsidR="00B439DF">
        <w:t xml:space="preserve"> that its “financial position and advocacy for relief from the FCC’s media ownership rules” both “are extraneous to the parties’ negotiations and thus irrelevant to a good faith analysis</w:t>
      </w:r>
      <w:r w:rsidR="00B439DF">
        <w:t>,</w:t>
      </w:r>
      <w:r w:rsidRPr="009A4C8A" w:rsidR="00B439DF">
        <w:t>”</w:t>
      </w:r>
      <w:r w:rsidR="00B439DF">
        <w:t xml:space="preserve"> and we agree.</w:t>
      </w:r>
      <w:r w:rsidRPr="009A4C8A" w:rsidR="00B439DF">
        <w:t xml:space="preserve">  </w:t>
      </w:r>
      <w:r w:rsidR="00B439DF">
        <w:rPr>
          <w:i/>
          <w:iCs/>
        </w:rPr>
        <w:t>Id</w:t>
      </w:r>
      <w:r w:rsidR="00B439DF">
        <w:t>. at 8-9, 14-15.</w:t>
      </w:r>
    </w:p>
  </w:footnote>
  <w:footnote w:id="62">
    <w:p w:rsidR="00716FC1" w:rsidRPr="006B4ADB" w:rsidP="00716FC1" w14:paraId="72D61E23" w14:textId="0B78B9A5">
      <w:pPr>
        <w:pStyle w:val="FootnoteText"/>
        <w:rPr>
          <w:i/>
          <w:iCs/>
        </w:rPr>
      </w:pPr>
      <w:r>
        <w:rPr>
          <w:rStyle w:val="FootnoteReference"/>
        </w:rPr>
        <w:footnoteRef/>
      </w:r>
      <w:r>
        <w:t xml:space="preserve"> </w:t>
      </w:r>
      <w:r w:rsidR="00D020B6">
        <w:rPr>
          <w:i/>
          <w:iCs/>
        </w:rPr>
        <w:t>Id</w:t>
      </w:r>
      <w:r w:rsidR="00D020B6">
        <w:t>.</w:t>
      </w:r>
      <w:r>
        <w:t xml:space="preserve"> at 11 (quoting </w:t>
      </w:r>
      <w:r>
        <w:rPr>
          <w:i/>
          <w:iCs/>
        </w:rPr>
        <w:t>Petition for Determination of Effective Competition in 32 Massachusetts Communities &amp; Kauai, HI (Hi0011)</w:t>
      </w:r>
      <w:r>
        <w:t xml:space="preserve">, Memorandum Opinion and Order, 34 FCC </w:t>
      </w:r>
      <w:r>
        <w:t>Rcd</w:t>
      </w:r>
      <w:r>
        <w:t xml:space="preserve"> 10229, 10239-40, para. 16 n.65 (2019) (quotations omitted) (emphasis added)).  We note further that c</w:t>
      </w:r>
      <w:r w:rsidRPr="00E274ED">
        <w:t>able channels, by definition, are not limited to certain geographic markets in the same manner as television broadcast stations, which are licensed to specific DMAs.</w:t>
      </w:r>
      <w:r>
        <w:t xml:space="preserve">  </w:t>
      </w:r>
      <w:r>
        <w:rPr>
          <w:i/>
          <w:iCs/>
        </w:rPr>
        <w:t xml:space="preserve">See </w:t>
      </w:r>
      <w:r>
        <w:t xml:space="preserve">Answer at 10.  </w:t>
      </w:r>
      <w:r w:rsidRPr="00E274ED">
        <w:t>It is for this reason that the Commission specifically clarified that a broadcaster may negotiate for carriage of “another broadcast signal in the same or another market</w:t>
      </w:r>
      <w:r>
        <w:t>,</w:t>
      </w:r>
      <w:r w:rsidRPr="00E274ED">
        <w:t>”</w:t>
      </w:r>
      <w:r>
        <w:t xml:space="preserve"> without including the same clarification for cable programming services.  </w:t>
      </w:r>
      <w:r>
        <w:rPr>
          <w:i/>
          <w:iCs/>
        </w:rPr>
        <w:t>See Good Faith Order</w:t>
      </w:r>
      <w:r>
        <w:rPr>
          <w:iCs/>
        </w:rPr>
        <w:t xml:space="preserve">, 15 FCC </w:t>
      </w:r>
      <w:r>
        <w:rPr>
          <w:iCs/>
        </w:rPr>
        <w:t>Rcd</w:t>
      </w:r>
      <w:r>
        <w:rPr>
          <w:iCs/>
        </w:rPr>
        <w:t xml:space="preserve"> at 5469, para. 56.  </w:t>
      </w:r>
      <w:r>
        <w:t>Based on the analysis in this footnote and the associated paragraph, we also reject Cincinnat</w:t>
      </w:r>
      <w:r w:rsidR="0026053F">
        <w:t>i</w:t>
      </w:r>
      <w:r>
        <w:t xml:space="preserve"> Bell’s claim that Nexstar is required to prove that its demand for carriage of NewsNation is consistent with competitive marketplace considerations, because the carriage occurs outside of the DMA at issue in the retransmission consent agreement.  Reply at 2.  There is no basis for this claim anywhere in the Commission’s rules or orders.</w:t>
      </w:r>
    </w:p>
  </w:footnote>
  <w:footnote w:id="63">
    <w:p w:rsidR="008F33B9" w:rsidP="008F33B9" w14:paraId="1AC6E944" w14:textId="07787E92">
      <w:pPr>
        <w:pStyle w:val="FootnoteText"/>
      </w:pPr>
      <w:r>
        <w:rPr>
          <w:rStyle w:val="FootnoteReference"/>
        </w:rPr>
        <w:footnoteRef/>
      </w:r>
      <w:r>
        <w:t xml:space="preserve"> Reply at 1, 10-12.  For the same reasons set forth above, we find that this negotiation involved two parties with different bargaining positions, and not, on the part of Nexstar, an “absence of a sincere desire to reach an agreement that is acceptable to both parties.”  Complaint at 8.</w:t>
      </w:r>
    </w:p>
  </w:footnote>
  <w:footnote w:id="64">
    <w:p w:rsidR="00213FE7" w:rsidP="00213FE7" w14:paraId="7851B92B" w14:textId="77777777">
      <w:pPr>
        <w:pStyle w:val="FootnoteText"/>
      </w:pPr>
      <w:r>
        <w:rPr>
          <w:rStyle w:val="FootnoteReference"/>
        </w:rPr>
        <w:footnoteRef/>
      </w:r>
      <w:r>
        <w:t xml:space="preserve"> </w:t>
      </w:r>
      <w:r w:rsidRPr="00267D76">
        <w:rPr>
          <w:i/>
          <w:iCs/>
        </w:rPr>
        <w:t>Good Fatih Order</w:t>
      </w:r>
      <w:r>
        <w:t xml:space="preserve">, 14 FCC </w:t>
      </w:r>
      <w:r>
        <w:t>Rcd</w:t>
      </w:r>
      <w:r>
        <w:t xml:space="preserve"> at 5469, para. 56.</w:t>
      </w:r>
    </w:p>
  </w:footnote>
  <w:footnote w:id="65">
    <w:p w:rsidR="00213FE7" w:rsidP="00213FE7" w14:paraId="7239992F" w14:textId="22A25A9A">
      <w:pPr>
        <w:pStyle w:val="FootnoteText"/>
      </w:pPr>
      <w:r>
        <w:rPr>
          <w:rStyle w:val="FootnoteReference"/>
        </w:rPr>
        <w:footnoteRef/>
      </w:r>
      <w:r>
        <w:t xml:space="preserve"> </w:t>
      </w:r>
      <w:r w:rsidR="0034104D">
        <w:rPr>
          <w:i/>
          <w:iCs/>
        </w:rPr>
        <w:t>Id</w:t>
      </w:r>
      <w:r w:rsidR="0034104D">
        <w:t xml:space="preserve">. at </w:t>
      </w:r>
      <w:r w:rsidR="00715BCC">
        <w:t>5483, para. 89.</w:t>
      </w:r>
      <w:r>
        <w:t xml:space="preserve"> </w:t>
      </w:r>
    </w:p>
  </w:footnote>
  <w:footnote w:id="66">
    <w:p w:rsidR="000306F7" w14:paraId="643DE553" w14:textId="59E7250B">
      <w:pPr>
        <w:pStyle w:val="FootnoteText"/>
      </w:pPr>
      <w:r>
        <w:rPr>
          <w:rStyle w:val="FootnoteReference"/>
        </w:rPr>
        <w:footnoteRef/>
      </w:r>
      <w:r>
        <w:t xml:space="preserve"> </w:t>
      </w:r>
      <w:r w:rsidR="005A13CF">
        <w:t>Although</w:t>
      </w:r>
      <w:r w:rsidR="000246BF">
        <w:t xml:space="preserve"> Cincinnati Bell </w:t>
      </w:r>
      <w:r w:rsidR="004D67E3">
        <w:t xml:space="preserve">argues that </w:t>
      </w:r>
      <w:r w:rsidR="008E53D2">
        <w:t>its prior agreement</w:t>
      </w:r>
      <w:r w:rsidR="005A13CF">
        <w:t xml:space="preserve">s </w:t>
      </w:r>
      <w:r w:rsidR="008E53D2">
        <w:t xml:space="preserve">with Nexstar </w:t>
      </w:r>
      <w:r w:rsidR="00E262C2">
        <w:t>do not reflect</w:t>
      </w:r>
      <w:r w:rsidR="008E53D2">
        <w:t xml:space="preserve"> </w:t>
      </w:r>
      <w:r w:rsidR="008C7D0C">
        <w:t>“current” marketplace considerations</w:t>
      </w:r>
      <w:r w:rsidR="005A13CF">
        <w:t>,</w:t>
      </w:r>
      <w:r w:rsidR="00E262C2">
        <w:t xml:space="preserve"> </w:t>
      </w:r>
      <w:r w:rsidR="005A13CF">
        <w:t>it</w:t>
      </w:r>
      <w:r w:rsidR="00E262C2">
        <w:t xml:space="preserve"> </w:t>
      </w:r>
      <w:r w:rsidR="005A13CF">
        <w:t>fails to identify any specific changes in the marketplace that would render</w:t>
      </w:r>
      <w:r w:rsidR="00E262C2">
        <w:t xml:space="preserve"> </w:t>
      </w:r>
      <w:r w:rsidR="005A13CF">
        <w:t>those agreement</w:t>
      </w:r>
      <w:r w:rsidR="00F3543C">
        <w:t>s</w:t>
      </w:r>
      <w:r w:rsidR="005A13CF">
        <w:t xml:space="preserve"> inconsistent with competitive conditions</w:t>
      </w:r>
      <w:r w:rsidR="00627874">
        <w:t xml:space="preserve">.  Reply at 10-11.  </w:t>
      </w:r>
    </w:p>
  </w:footnote>
  <w:footnote w:id="67">
    <w:p w:rsidR="00BA45B8" w14:paraId="13BE0094" w14:textId="039BEE9C">
      <w:pPr>
        <w:pStyle w:val="FootnoteText"/>
      </w:pPr>
      <w:r>
        <w:rPr>
          <w:rStyle w:val="FootnoteReference"/>
        </w:rPr>
        <w:footnoteRef/>
      </w:r>
      <w:r>
        <w:t xml:space="preserve"> </w:t>
      </w:r>
      <w:r w:rsidRPr="006B4ADB" w:rsidR="006F0A19">
        <w:rPr>
          <w:i/>
          <w:iCs/>
        </w:rPr>
        <w:t>Good Faith Order</w:t>
      </w:r>
      <w:r w:rsidR="00D020B6">
        <w:t xml:space="preserve">, 15 FCC </w:t>
      </w:r>
      <w:r w:rsidR="00D020B6">
        <w:t>Rcd</w:t>
      </w:r>
      <w:r w:rsidR="006F0A19">
        <w:t xml:space="preserve"> at 545</w:t>
      </w:r>
      <w:r w:rsidR="00600289">
        <w:t>4</w:t>
      </w:r>
      <w:r w:rsidR="006F0A19">
        <w:t xml:space="preserve">, para. </w:t>
      </w:r>
      <w:r w:rsidR="00600289">
        <w:t>2</w:t>
      </w:r>
      <w:r w:rsidR="00D020B6">
        <w:t>4</w:t>
      </w:r>
      <w:r w:rsidR="00600289">
        <w:t>.</w:t>
      </w:r>
    </w:p>
  </w:footnote>
  <w:footnote w:id="68">
    <w:p w:rsidR="00E77988" w14:paraId="3FF63BE7" w14:textId="58812C3F">
      <w:pPr>
        <w:pStyle w:val="FootnoteText"/>
      </w:pPr>
      <w:r>
        <w:rPr>
          <w:rStyle w:val="FootnoteReference"/>
        </w:rPr>
        <w:footnoteRef/>
      </w:r>
      <w:r>
        <w:t xml:space="preserve"> 47 CFR § 0.283</w:t>
      </w:r>
      <w:r w:rsidR="005F1FC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0223DB" w14:paraId="5048FDEF" w14:textId="72849CB5">
    <w:pPr>
      <w:pStyle w:val="Header"/>
    </w:pPr>
    <w:r>
      <w:tab/>
      <w:t>Federal Communications Commission</w:t>
    </w:r>
    <w:r>
      <w:tab/>
    </w:r>
    <w:r w:rsidR="00983B94">
      <w:t>DA 25</w:t>
    </w:r>
    <w:r w:rsidR="00953722">
      <w:t>-</w:t>
    </w:r>
    <w:r w:rsidR="005B025E">
      <w:t>1054</w:t>
    </w:r>
  </w:p>
  <w:p w:rsidR="00D25FB5" w14:paraId="1B428F2C" w14:textId="3F9151B6">
    <w:pPr>
      <w:tabs>
        <w:tab w:val="left" w:pos="-720"/>
      </w:tabs>
      <w:suppressAutoHyphens/>
      <w:spacing w:line="19" w:lineRule="exact"/>
      <w:rPr>
        <w:spacing w:val="-2"/>
      </w:rPr>
    </w:pPr>
    <w:r>
      <w:rPr>
        <w:noProof/>
      </w:rPr>
      <mc:AlternateContent>
        <mc:Choice Requires="wps">
          <w:drawing>
            <wp:anchor distT="0" distB="0" distL="114300" distR="114300" simplePos="0" relativeHeight="251658240" behindDoc="1" locked="0" layoutInCell="0" allowOverlap="1">
              <wp:simplePos x="0" y="0"/>
              <wp:positionH relativeFrom="margin">
                <wp:posOffset>0</wp:posOffset>
              </wp:positionH>
              <wp:positionV relativeFrom="paragraph">
                <wp:posOffset>0</wp:posOffset>
              </wp:positionV>
              <wp:extent cx="5943600" cy="12065"/>
              <wp:effectExtent l="0" t="0" r="0" b="0"/>
              <wp:wrapNone/>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p>
  <w:p w:rsidR="00D25FB5" w14:paraId="637B3A30" w14:textId="77777777">
    <w:pPr>
      <w:spacing w:after="389" w:line="100" w:lineRule="exact"/>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0223DB" w14:paraId="0F97722A" w14:textId="57EBF07E">
    <w:pPr>
      <w:pStyle w:val="Header"/>
    </w:pPr>
    <w:r>
      <w:rPr>
        <w:noProof/>
      </w:rPr>
      <mc:AlternateContent>
        <mc:Choice Requires="wps">
          <w:drawing>
            <wp:anchor distT="0" distB="0" distL="114300" distR="114300" simplePos="0" relativeHeight="251660288" behindDoc="1" locked="0" layoutInCell="0" allowOverlap="1">
              <wp:simplePos x="0" y="0"/>
              <wp:positionH relativeFrom="margin">
                <wp:posOffset>7620</wp:posOffset>
              </wp:positionH>
              <wp:positionV relativeFrom="paragraph">
                <wp:posOffset>160655</wp:posOffset>
              </wp:positionV>
              <wp:extent cx="5943600" cy="12065"/>
              <wp:effectExtent l="0" t="0" r="0" b="0"/>
              <wp:wrapNone/>
              <wp:docPr id="1"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2050" style="width:468pt;height:0.95pt;margin-top:12.65pt;margin-left:0.6pt;mso-height-percent:0;mso-height-relative:page;mso-position-horizontal-relative:margin;mso-width-percent:0;mso-width-relative:page;mso-wrap-distance-bottom:0;mso-wrap-distance-left:9pt;mso-wrap-distance-right:9pt;mso-wrap-distance-top:0;mso-wrap-style:square;position:absolute;visibility:visible;v-text-anchor:top;z-index:-251655168" o:allowincell="f" fillcolor="black" stroked="f" strokeweight="0.05pt">
              <w10:wrap anchorx="margin"/>
            </v:rect>
          </w:pict>
        </mc:Fallback>
      </mc:AlternateContent>
    </w:r>
    <w:r>
      <w:tab/>
      <w:t>Federal Communications Commission</w:t>
    </w:r>
    <w:r>
      <w:tab/>
    </w:r>
    <w:r w:rsidRPr="005B025E" w:rsidR="0088206C">
      <w:rPr>
        <w:spacing w:val="-2"/>
      </w:rPr>
      <w:t>DA 25-</w:t>
    </w:r>
    <w:r w:rsidRPr="005B025E" w:rsidR="005B025E">
      <w:rPr>
        <w:spacing w:val="-2"/>
      </w:rPr>
      <w:t>1054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2">
    <w:nsid w:val="248246F3"/>
    <w:multiLevelType w:val="singleLevel"/>
    <w:tmpl w:val="B1F45678"/>
    <w:lvl w:ilvl="0">
      <w:start w:val="1"/>
      <w:numFmt w:val="decimal"/>
      <w:lvlText w:val="%1."/>
      <w:lvlJc w:val="left"/>
      <w:pPr>
        <w:tabs>
          <w:tab w:val="num" w:pos="1080"/>
        </w:tabs>
        <w:ind w:left="0" w:firstLine="720"/>
      </w:pPr>
    </w:lvl>
  </w:abstractNum>
  <w:abstractNum w:abstractNumId="3">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nsid w:val="61182925"/>
    <w:multiLevelType w:val="singleLevel"/>
    <w:tmpl w:val="A9EE9842"/>
    <w:lvl w:ilvl="0">
      <w:start w:val="1"/>
      <w:numFmt w:val="decimal"/>
      <w:pStyle w:val="ParaNum"/>
      <w:lvlText w:val="%1."/>
      <w:lvlJc w:val="left"/>
      <w:pPr>
        <w:tabs>
          <w:tab w:val="num" w:pos="1080"/>
        </w:tabs>
        <w:ind w:left="0" w:firstLine="720"/>
      </w:pPr>
    </w:lvl>
  </w:abstractNum>
  <w:num w:numId="1" w16cid:durableId="1828858346">
    <w:abstractNumId w:val="1"/>
  </w:num>
  <w:num w:numId="2" w16cid:durableId="834034614">
    <w:abstractNumId w:val="5"/>
  </w:num>
  <w:num w:numId="3" w16cid:durableId="357967471">
    <w:abstractNumId w:val="3"/>
  </w:num>
  <w:num w:numId="4" w16cid:durableId="960572547">
    <w:abstractNumId w:val="4"/>
  </w:num>
  <w:num w:numId="5" w16cid:durableId="1535845436">
    <w:abstractNumId w:val="2"/>
  </w:num>
  <w:num w:numId="6" w16cid:durableId="1009218759">
    <w:abstractNumId w:val="0"/>
  </w:num>
  <w:num w:numId="7" w16cid:durableId="1305041501">
    <w:abstractNumId w:val="5"/>
    <w:lvlOverride w:ilvl="0">
      <w:startOverride w:val="1"/>
    </w:lvlOverride>
  </w:num>
  <w:num w:numId="8" w16cid:durableId="863908603">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06C"/>
    <w:rsid w:val="000002CC"/>
    <w:rsid w:val="00000E8C"/>
    <w:rsid w:val="000019FA"/>
    <w:rsid w:val="0000207C"/>
    <w:rsid w:val="000021F6"/>
    <w:rsid w:val="000022BA"/>
    <w:rsid w:val="00002C06"/>
    <w:rsid w:val="00003066"/>
    <w:rsid w:val="00003508"/>
    <w:rsid w:val="000036F8"/>
    <w:rsid w:val="00003B02"/>
    <w:rsid w:val="00003BCB"/>
    <w:rsid w:val="00006702"/>
    <w:rsid w:val="00007177"/>
    <w:rsid w:val="000103E1"/>
    <w:rsid w:val="00010E83"/>
    <w:rsid w:val="0001110F"/>
    <w:rsid w:val="000116BC"/>
    <w:rsid w:val="00012709"/>
    <w:rsid w:val="00014D46"/>
    <w:rsid w:val="000152F5"/>
    <w:rsid w:val="0001561A"/>
    <w:rsid w:val="00015AA2"/>
    <w:rsid w:val="00016820"/>
    <w:rsid w:val="000208AD"/>
    <w:rsid w:val="00020A8C"/>
    <w:rsid w:val="000223DB"/>
    <w:rsid w:val="00022432"/>
    <w:rsid w:val="00022C33"/>
    <w:rsid w:val="00023C8C"/>
    <w:rsid w:val="00023D6D"/>
    <w:rsid w:val="000246BF"/>
    <w:rsid w:val="00024932"/>
    <w:rsid w:val="000276E5"/>
    <w:rsid w:val="000306F7"/>
    <w:rsid w:val="0003078E"/>
    <w:rsid w:val="000308B2"/>
    <w:rsid w:val="00030B38"/>
    <w:rsid w:val="00031219"/>
    <w:rsid w:val="000334F1"/>
    <w:rsid w:val="00035627"/>
    <w:rsid w:val="00036039"/>
    <w:rsid w:val="00037B7B"/>
    <w:rsid w:val="00037D8E"/>
    <w:rsid w:val="00037F90"/>
    <w:rsid w:val="00040615"/>
    <w:rsid w:val="00041EF5"/>
    <w:rsid w:val="00042319"/>
    <w:rsid w:val="000426E7"/>
    <w:rsid w:val="00044F41"/>
    <w:rsid w:val="000457C9"/>
    <w:rsid w:val="00045A5B"/>
    <w:rsid w:val="00047472"/>
    <w:rsid w:val="000501CE"/>
    <w:rsid w:val="0005029D"/>
    <w:rsid w:val="00050CEA"/>
    <w:rsid w:val="0005327C"/>
    <w:rsid w:val="00054320"/>
    <w:rsid w:val="00061560"/>
    <w:rsid w:val="00061630"/>
    <w:rsid w:val="00062F6C"/>
    <w:rsid w:val="000634D0"/>
    <w:rsid w:val="00064AFB"/>
    <w:rsid w:val="00065461"/>
    <w:rsid w:val="000706AF"/>
    <w:rsid w:val="00071944"/>
    <w:rsid w:val="00072419"/>
    <w:rsid w:val="00072649"/>
    <w:rsid w:val="00073BCE"/>
    <w:rsid w:val="0007409E"/>
    <w:rsid w:val="000751B5"/>
    <w:rsid w:val="00075479"/>
    <w:rsid w:val="0007555D"/>
    <w:rsid w:val="000755A5"/>
    <w:rsid w:val="0007579B"/>
    <w:rsid w:val="00076E4E"/>
    <w:rsid w:val="00077051"/>
    <w:rsid w:val="000809BD"/>
    <w:rsid w:val="00081576"/>
    <w:rsid w:val="00082F80"/>
    <w:rsid w:val="00084EC5"/>
    <w:rsid w:val="000875BF"/>
    <w:rsid w:val="000905AF"/>
    <w:rsid w:val="0009213A"/>
    <w:rsid w:val="00095729"/>
    <w:rsid w:val="0009575F"/>
    <w:rsid w:val="00096D8C"/>
    <w:rsid w:val="0009751F"/>
    <w:rsid w:val="000A1DB3"/>
    <w:rsid w:val="000A1DEF"/>
    <w:rsid w:val="000A211A"/>
    <w:rsid w:val="000A3C8F"/>
    <w:rsid w:val="000A4E04"/>
    <w:rsid w:val="000A7AE4"/>
    <w:rsid w:val="000A7C69"/>
    <w:rsid w:val="000B3FAC"/>
    <w:rsid w:val="000B69CD"/>
    <w:rsid w:val="000C0B65"/>
    <w:rsid w:val="000C0BD0"/>
    <w:rsid w:val="000C15E2"/>
    <w:rsid w:val="000C16BA"/>
    <w:rsid w:val="000C3CD2"/>
    <w:rsid w:val="000C453A"/>
    <w:rsid w:val="000C4FA1"/>
    <w:rsid w:val="000C5248"/>
    <w:rsid w:val="000C6721"/>
    <w:rsid w:val="000C6843"/>
    <w:rsid w:val="000D1028"/>
    <w:rsid w:val="000D17D6"/>
    <w:rsid w:val="000D2EC0"/>
    <w:rsid w:val="000D2FD5"/>
    <w:rsid w:val="000D38CF"/>
    <w:rsid w:val="000D49CF"/>
    <w:rsid w:val="000D5245"/>
    <w:rsid w:val="000D5472"/>
    <w:rsid w:val="000D5934"/>
    <w:rsid w:val="000D6ACB"/>
    <w:rsid w:val="000D6D1C"/>
    <w:rsid w:val="000D7726"/>
    <w:rsid w:val="000D7EFB"/>
    <w:rsid w:val="000E05E1"/>
    <w:rsid w:val="000E05FE"/>
    <w:rsid w:val="000E09FD"/>
    <w:rsid w:val="000E1099"/>
    <w:rsid w:val="000E2B3F"/>
    <w:rsid w:val="000E39AE"/>
    <w:rsid w:val="000E3CEA"/>
    <w:rsid w:val="000E3D42"/>
    <w:rsid w:val="000E491F"/>
    <w:rsid w:val="000E647C"/>
    <w:rsid w:val="000E6EFA"/>
    <w:rsid w:val="000F06FF"/>
    <w:rsid w:val="000F0FB6"/>
    <w:rsid w:val="000F47C0"/>
    <w:rsid w:val="000F525D"/>
    <w:rsid w:val="000F53E0"/>
    <w:rsid w:val="000F56FE"/>
    <w:rsid w:val="000F6502"/>
    <w:rsid w:val="000F79AA"/>
    <w:rsid w:val="00102534"/>
    <w:rsid w:val="001029A8"/>
    <w:rsid w:val="001047DE"/>
    <w:rsid w:val="0010549E"/>
    <w:rsid w:val="00105F62"/>
    <w:rsid w:val="0010749F"/>
    <w:rsid w:val="001074E0"/>
    <w:rsid w:val="00111CFC"/>
    <w:rsid w:val="00111FAF"/>
    <w:rsid w:val="001122EF"/>
    <w:rsid w:val="00113687"/>
    <w:rsid w:val="00114C9F"/>
    <w:rsid w:val="00114D80"/>
    <w:rsid w:val="001152D0"/>
    <w:rsid w:val="001158CB"/>
    <w:rsid w:val="00115C0C"/>
    <w:rsid w:val="00116BC5"/>
    <w:rsid w:val="00120260"/>
    <w:rsid w:val="00120DFD"/>
    <w:rsid w:val="001211F3"/>
    <w:rsid w:val="00121DB7"/>
    <w:rsid w:val="001224CA"/>
    <w:rsid w:val="001224E8"/>
    <w:rsid w:val="00122BD5"/>
    <w:rsid w:val="001236C2"/>
    <w:rsid w:val="00125116"/>
    <w:rsid w:val="001261AF"/>
    <w:rsid w:val="0012673A"/>
    <w:rsid w:val="00127663"/>
    <w:rsid w:val="001301A7"/>
    <w:rsid w:val="001305A3"/>
    <w:rsid w:val="00130BAE"/>
    <w:rsid w:val="00130F37"/>
    <w:rsid w:val="0013149F"/>
    <w:rsid w:val="001326FE"/>
    <w:rsid w:val="00132893"/>
    <w:rsid w:val="00132EED"/>
    <w:rsid w:val="001330C3"/>
    <w:rsid w:val="00133F79"/>
    <w:rsid w:val="00134025"/>
    <w:rsid w:val="00134F51"/>
    <w:rsid w:val="00136367"/>
    <w:rsid w:val="00137358"/>
    <w:rsid w:val="00137553"/>
    <w:rsid w:val="0014015F"/>
    <w:rsid w:val="001402F6"/>
    <w:rsid w:val="0014096E"/>
    <w:rsid w:val="001411AA"/>
    <w:rsid w:val="00143472"/>
    <w:rsid w:val="00143768"/>
    <w:rsid w:val="00146933"/>
    <w:rsid w:val="00147C7B"/>
    <w:rsid w:val="00150B2F"/>
    <w:rsid w:val="00151508"/>
    <w:rsid w:val="0015194F"/>
    <w:rsid w:val="00153D64"/>
    <w:rsid w:val="00154144"/>
    <w:rsid w:val="00154E1F"/>
    <w:rsid w:val="00155456"/>
    <w:rsid w:val="001576FE"/>
    <w:rsid w:val="0015772A"/>
    <w:rsid w:val="00157F7C"/>
    <w:rsid w:val="001609AD"/>
    <w:rsid w:val="00160F67"/>
    <w:rsid w:val="001622DA"/>
    <w:rsid w:val="00162E27"/>
    <w:rsid w:val="001633B2"/>
    <w:rsid w:val="001633FB"/>
    <w:rsid w:val="00164B54"/>
    <w:rsid w:val="0016565D"/>
    <w:rsid w:val="0016586E"/>
    <w:rsid w:val="00165A06"/>
    <w:rsid w:val="00166501"/>
    <w:rsid w:val="001673A9"/>
    <w:rsid w:val="00167505"/>
    <w:rsid w:val="00167E1E"/>
    <w:rsid w:val="00171855"/>
    <w:rsid w:val="0017249B"/>
    <w:rsid w:val="00173A7A"/>
    <w:rsid w:val="00174224"/>
    <w:rsid w:val="001758E4"/>
    <w:rsid w:val="00175BF7"/>
    <w:rsid w:val="00177E46"/>
    <w:rsid w:val="001801CB"/>
    <w:rsid w:val="00182456"/>
    <w:rsid w:val="001830C1"/>
    <w:rsid w:val="0018310E"/>
    <w:rsid w:val="00183A07"/>
    <w:rsid w:val="00184737"/>
    <w:rsid w:val="001850BA"/>
    <w:rsid w:val="001864DD"/>
    <w:rsid w:val="001909A8"/>
    <w:rsid w:val="00190B57"/>
    <w:rsid w:val="001933AE"/>
    <w:rsid w:val="00194A66"/>
    <w:rsid w:val="00194D3B"/>
    <w:rsid w:val="00196EB4"/>
    <w:rsid w:val="001977D2"/>
    <w:rsid w:val="001979DD"/>
    <w:rsid w:val="001A25FC"/>
    <w:rsid w:val="001A3C01"/>
    <w:rsid w:val="001A500E"/>
    <w:rsid w:val="001B09A9"/>
    <w:rsid w:val="001B1567"/>
    <w:rsid w:val="001B190D"/>
    <w:rsid w:val="001B337E"/>
    <w:rsid w:val="001B3A9A"/>
    <w:rsid w:val="001B4BDA"/>
    <w:rsid w:val="001B59CF"/>
    <w:rsid w:val="001B6807"/>
    <w:rsid w:val="001B6C23"/>
    <w:rsid w:val="001B7E8D"/>
    <w:rsid w:val="001C1F56"/>
    <w:rsid w:val="001C25F5"/>
    <w:rsid w:val="001C2EFA"/>
    <w:rsid w:val="001C609D"/>
    <w:rsid w:val="001D1D0E"/>
    <w:rsid w:val="001D4AAF"/>
    <w:rsid w:val="001D4F8B"/>
    <w:rsid w:val="001D6BCF"/>
    <w:rsid w:val="001D7584"/>
    <w:rsid w:val="001D77B9"/>
    <w:rsid w:val="001E01CA"/>
    <w:rsid w:val="001E043B"/>
    <w:rsid w:val="001E1774"/>
    <w:rsid w:val="001E1A6D"/>
    <w:rsid w:val="001E2446"/>
    <w:rsid w:val="001E254C"/>
    <w:rsid w:val="001E3EDF"/>
    <w:rsid w:val="001E45AD"/>
    <w:rsid w:val="001E4BB4"/>
    <w:rsid w:val="001E4D06"/>
    <w:rsid w:val="001E69CA"/>
    <w:rsid w:val="001E7C1A"/>
    <w:rsid w:val="001F02B4"/>
    <w:rsid w:val="001F0402"/>
    <w:rsid w:val="001F2E7A"/>
    <w:rsid w:val="001F3BD1"/>
    <w:rsid w:val="001F4192"/>
    <w:rsid w:val="001F5261"/>
    <w:rsid w:val="001F6971"/>
    <w:rsid w:val="002011D2"/>
    <w:rsid w:val="0020248F"/>
    <w:rsid w:val="00202D8D"/>
    <w:rsid w:val="00203382"/>
    <w:rsid w:val="00203A71"/>
    <w:rsid w:val="002045E7"/>
    <w:rsid w:val="002050F5"/>
    <w:rsid w:val="00207BCB"/>
    <w:rsid w:val="00207E66"/>
    <w:rsid w:val="00211F44"/>
    <w:rsid w:val="00212310"/>
    <w:rsid w:val="00213104"/>
    <w:rsid w:val="0021318B"/>
    <w:rsid w:val="00213BFF"/>
    <w:rsid w:val="00213FE7"/>
    <w:rsid w:val="002142A3"/>
    <w:rsid w:val="002166A4"/>
    <w:rsid w:val="00216B75"/>
    <w:rsid w:val="00216D74"/>
    <w:rsid w:val="00221A24"/>
    <w:rsid w:val="00222AAD"/>
    <w:rsid w:val="00222DDD"/>
    <w:rsid w:val="00223F49"/>
    <w:rsid w:val="0022420D"/>
    <w:rsid w:val="00231146"/>
    <w:rsid w:val="00233DE0"/>
    <w:rsid w:val="00234502"/>
    <w:rsid w:val="00234666"/>
    <w:rsid w:val="002360F4"/>
    <w:rsid w:val="002376D3"/>
    <w:rsid w:val="002405F1"/>
    <w:rsid w:val="00242950"/>
    <w:rsid w:val="00242BBB"/>
    <w:rsid w:val="00243A04"/>
    <w:rsid w:val="00243A5D"/>
    <w:rsid w:val="00244BB2"/>
    <w:rsid w:val="002463DF"/>
    <w:rsid w:val="00250699"/>
    <w:rsid w:val="00250785"/>
    <w:rsid w:val="00250ED0"/>
    <w:rsid w:val="00251D63"/>
    <w:rsid w:val="00254E17"/>
    <w:rsid w:val="002554A7"/>
    <w:rsid w:val="00255E70"/>
    <w:rsid w:val="00255EA7"/>
    <w:rsid w:val="00256CC6"/>
    <w:rsid w:val="002601F1"/>
    <w:rsid w:val="0026053F"/>
    <w:rsid w:val="00261097"/>
    <w:rsid w:val="00262C72"/>
    <w:rsid w:val="0026315A"/>
    <w:rsid w:val="00265592"/>
    <w:rsid w:val="00267D76"/>
    <w:rsid w:val="002704CC"/>
    <w:rsid w:val="00272C95"/>
    <w:rsid w:val="00273970"/>
    <w:rsid w:val="00273CE2"/>
    <w:rsid w:val="00274365"/>
    <w:rsid w:val="00274EC0"/>
    <w:rsid w:val="00275CF5"/>
    <w:rsid w:val="002768FD"/>
    <w:rsid w:val="00276C8E"/>
    <w:rsid w:val="0028301F"/>
    <w:rsid w:val="00285017"/>
    <w:rsid w:val="0028609A"/>
    <w:rsid w:val="002870D5"/>
    <w:rsid w:val="00287C9F"/>
    <w:rsid w:val="002904A5"/>
    <w:rsid w:val="00290D06"/>
    <w:rsid w:val="00291EA1"/>
    <w:rsid w:val="00293DC0"/>
    <w:rsid w:val="00294DA0"/>
    <w:rsid w:val="002956E0"/>
    <w:rsid w:val="002958A8"/>
    <w:rsid w:val="00295E8C"/>
    <w:rsid w:val="00296CAB"/>
    <w:rsid w:val="002A05D4"/>
    <w:rsid w:val="002A06D6"/>
    <w:rsid w:val="002A108D"/>
    <w:rsid w:val="002A113C"/>
    <w:rsid w:val="002A25D9"/>
    <w:rsid w:val="002A2D2E"/>
    <w:rsid w:val="002A3227"/>
    <w:rsid w:val="002A394C"/>
    <w:rsid w:val="002A64D3"/>
    <w:rsid w:val="002B1BA2"/>
    <w:rsid w:val="002B323C"/>
    <w:rsid w:val="002B3C0D"/>
    <w:rsid w:val="002B4260"/>
    <w:rsid w:val="002B7D18"/>
    <w:rsid w:val="002C00E8"/>
    <w:rsid w:val="002C17B6"/>
    <w:rsid w:val="002C24D5"/>
    <w:rsid w:val="002C59ED"/>
    <w:rsid w:val="002D039E"/>
    <w:rsid w:val="002D2F0E"/>
    <w:rsid w:val="002D307A"/>
    <w:rsid w:val="002D3262"/>
    <w:rsid w:val="002D453C"/>
    <w:rsid w:val="002D5506"/>
    <w:rsid w:val="002D653D"/>
    <w:rsid w:val="002D79BF"/>
    <w:rsid w:val="002D7C6A"/>
    <w:rsid w:val="002E11CC"/>
    <w:rsid w:val="002E13D6"/>
    <w:rsid w:val="002E2398"/>
    <w:rsid w:val="002E2666"/>
    <w:rsid w:val="002E3252"/>
    <w:rsid w:val="002E406B"/>
    <w:rsid w:val="002E529A"/>
    <w:rsid w:val="002E55DC"/>
    <w:rsid w:val="002E6C19"/>
    <w:rsid w:val="002E7F36"/>
    <w:rsid w:val="002F00B8"/>
    <w:rsid w:val="002F0CCA"/>
    <w:rsid w:val="002F1FFF"/>
    <w:rsid w:val="002F339E"/>
    <w:rsid w:val="002F61F0"/>
    <w:rsid w:val="002F7887"/>
    <w:rsid w:val="002F79EA"/>
    <w:rsid w:val="003000F5"/>
    <w:rsid w:val="003007C3"/>
    <w:rsid w:val="00301136"/>
    <w:rsid w:val="003011C4"/>
    <w:rsid w:val="00303C6D"/>
    <w:rsid w:val="003046AF"/>
    <w:rsid w:val="00304915"/>
    <w:rsid w:val="00304C5A"/>
    <w:rsid w:val="00305A5D"/>
    <w:rsid w:val="0030603B"/>
    <w:rsid w:val="00306A72"/>
    <w:rsid w:val="0031055E"/>
    <w:rsid w:val="00311425"/>
    <w:rsid w:val="00311ED4"/>
    <w:rsid w:val="00312B1D"/>
    <w:rsid w:val="00312E7E"/>
    <w:rsid w:val="00313B03"/>
    <w:rsid w:val="003206A9"/>
    <w:rsid w:val="00320C70"/>
    <w:rsid w:val="00321AB1"/>
    <w:rsid w:val="00321D3D"/>
    <w:rsid w:val="00322EA0"/>
    <w:rsid w:val="0032573F"/>
    <w:rsid w:val="00327890"/>
    <w:rsid w:val="003305F8"/>
    <w:rsid w:val="00331BBE"/>
    <w:rsid w:val="003324AC"/>
    <w:rsid w:val="003331C0"/>
    <w:rsid w:val="003336D5"/>
    <w:rsid w:val="00333F03"/>
    <w:rsid w:val="00334534"/>
    <w:rsid w:val="00336D5E"/>
    <w:rsid w:val="00337060"/>
    <w:rsid w:val="00337EA0"/>
    <w:rsid w:val="00337EA4"/>
    <w:rsid w:val="0034104D"/>
    <w:rsid w:val="00341DC6"/>
    <w:rsid w:val="00341E4B"/>
    <w:rsid w:val="00342362"/>
    <w:rsid w:val="00342E99"/>
    <w:rsid w:val="00343674"/>
    <w:rsid w:val="00343749"/>
    <w:rsid w:val="0034379E"/>
    <w:rsid w:val="00343D56"/>
    <w:rsid w:val="003441B7"/>
    <w:rsid w:val="00344B12"/>
    <w:rsid w:val="00345BAF"/>
    <w:rsid w:val="00346265"/>
    <w:rsid w:val="0034669F"/>
    <w:rsid w:val="00347C81"/>
    <w:rsid w:val="0035016A"/>
    <w:rsid w:val="003512BA"/>
    <w:rsid w:val="0035267E"/>
    <w:rsid w:val="003532F1"/>
    <w:rsid w:val="0035372C"/>
    <w:rsid w:val="00354C9D"/>
    <w:rsid w:val="00355950"/>
    <w:rsid w:val="003568EA"/>
    <w:rsid w:val="00356D28"/>
    <w:rsid w:val="00357871"/>
    <w:rsid w:val="003578EF"/>
    <w:rsid w:val="00360ACE"/>
    <w:rsid w:val="00361597"/>
    <w:rsid w:val="00361FE5"/>
    <w:rsid w:val="003651AF"/>
    <w:rsid w:val="0036537C"/>
    <w:rsid w:val="00365782"/>
    <w:rsid w:val="0036597A"/>
    <w:rsid w:val="003660BE"/>
    <w:rsid w:val="003660ED"/>
    <w:rsid w:val="003662EF"/>
    <w:rsid w:val="00366759"/>
    <w:rsid w:val="00366B88"/>
    <w:rsid w:val="00367E89"/>
    <w:rsid w:val="003741DB"/>
    <w:rsid w:val="00375D72"/>
    <w:rsid w:val="00375D9D"/>
    <w:rsid w:val="003775AE"/>
    <w:rsid w:val="00377F14"/>
    <w:rsid w:val="00380A27"/>
    <w:rsid w:val="003823AD"/>
    <w:rsid w:val="00383BAE"/>
    <w:rsid w:val="0038400E"/>
    <w:rsid w:val="00384888"/>
    <w:rsid w:val="00384FC4"/>
    <w:rsid w:val="003875C9"/>
    <w:rsid w:val="00391766"/>
    <w:rsid w:val="00391B4F"/>
    <w:rsid w:val="00391D71"/>
    <w:rsid w:val="00393C14"/>
    <w:rsid w:val="00394234"/>
    <w:rsid w:val="00394AC7"/>
    <w:rsid w:val="0039571D"/>
    <w:rsid w:val="00395774"/>
    <w:rsid w:val="00396190"/>
    <w:rsid w:val="00396C8C"/>
    <w:rsid w:val="00397C70"/>
    <w:rsid w:val="003A0E5B"/>
    <w:rsid w:val="003A2C01"/>
    <w:rsid w:val="003A3465"/>
    <w:rsid w:val="003A434D"/>
    <w:rsid w:val="003A6C8F"/>
    <w:rsid w:val="003B0550"/>
    <w:rsid w:val="003B0EDA"/>
    <w:rsid w:val="003B247E"/>
    <w:rsid w:val="003B2841"/>
    <w:rsid w:val="003B2888"/>
    <w:rsid w:val="003B35F9"/>
    <w:rsid w:val="003B4017"/>
    <w:rsid w:val="003B4132"/>
    <w:rsid w:val="003B46E5"/>
    <w:rsid w:val="003B694F"/>
    <w:rsid w:val="003B6CDD"/>
    <w:rsid w:val="003B759E"/>
    <w:rsid w:val="003C134E"/>
    <w:rsid w:val="003C2751"/>
    <w:rsid w:val="003C2812"/>
    <w:rsid w:val="003C36B9"/>
    <w:rsid w:val="003C3D49"/>
    <w:rsid w:val="003C4E7F"/>
    <w:rsid w:val="003C581B"/>
    <w:rsid w:val="003C5B20"/>
    <w:rsid w:val="003C638B"/>
    <w:rsid w:val="003C7057"/>
    <w:rsid w:val="003D096C"/>
    <w:rsid w:val="003D0CAA"/>
    <w:rsid w:val="003D14E1"/>
    <w:rsid w:val="003D1BCF"/>
    <w:rsid w:val="003D24B2"/>
    <w:rsid w:val="003D2EA1"/>
    <w:rsid w:val="003D4B6B"/>
    <w:rsid w:val="003D6814"/>
    <w:rsid w:val="003E191B"/>
    <w:rsid w:val="003E299B"/>
    <w:rsid w:val="003E2DE3"/>
    <w:rsid w:val="003E4E2A"/>
    <w:rsid w:val="003E5E88"/>
    <w:rsid w:val="003E6955"/>
    <w:rsid w:val="003F07A9"/>
    <w:rsid w:val="003F171C"/>
    <w:rsid w:val="003F1C97"/>
    <w:rsid w:val="003F29C8"/>
    <w:rsid w:val="003F2D3C"/>
    <w:rsid w:val="003F3987"/>
    <w:rsid w:val="003F48CD"/>
    <w:rsid w:val="003F5F36"/>
    <w:rsid w:val="003F61EE"/>
    <w:rsid w:val="003F69B2"/>
    <w:rsid w:val="00400968"/>
    <w:rsid w:val="004009A6"/>
    <w:rsid w:val="00411458"/>
    <w:rsid w:val="004117BB"/>
    <w:rsid w:val="00411D77"/>
    <w:rsid w:val="00412FC5"/>
    <w:rsid w:val="004147AF"/>
    <w:rsid w:val="00414C6F"/>
    <w:rsid w:val="00416364"/>
    <w:rsid w:val="004166DE"/>
    <w:rsid w:val="00417B54"/>
    <w:rsid w:val="0042005A"/>
    <w:rsid w:val="00421E51"/>
    <w:rsid w:val="00422276"/>
    <w:rsid w:val="004225C6"/>
    <w:rsid w:val="00422FA3"/>
    <w:rsid w:val="004242F1"/>
    <w:rsid w:val="00425D38"/>
    <w:rsid w:val="004265D0"/>
    <w:rsid w:val="00426758"/>
    <w:rsid w:val="004274F6"/>
    <w:rsid w:val="004275E0"/>
    <w:rsid w:val="00427F7C"/>
    <w:rsid w:val="00430723"/>
    <w:rsid w:val="00431787"/>
    <w:rsid w:val="00432030"/>
    <w:rsid w:val="00433FF6"/>
    <w:rsid w:val="004348DE"/>
    <w:rsid w:val="004348E0"/>
    <w:rsid w:val="00435268"/>
    <w:rsid w:val="00435CCB"/>
    <w:rsid w:val="00437828"/>
    <w:rsid w:val="00437FC4"/>
    <w:rsid w:val="00440AB7"/>
    <w:rsid w:val="004415DD"/>
    <w:rsid w:val="00441F5F"/>
    <w:rsid w:val="00442484"/>
    <w:rsid w:val="00443F76"/>
    <w:rsid w:val="00444F5B"/>
    <w:rsid w:val="00445A00"/>
    <w:rsid w:val="004462A5"/>
    <w:rsid w:val="00446AE0"/>
    <w:rsid w:val="0044715A"/>
    <w:rsid w:val="00447F70"/>
    <w:rsid w:val="00450849"/>
    <w:rsid w:val="0045130F"/>
    <w:rsid w:val="00451B0F"/>
    <w:rsid w:val="0045254C"/>
    <w:rsid w:val="004527AF"/>
    <w:rsid w:val="00453C3B"/>
    <w:rsid w:val="00454AB4"/>
    <w:rsid w:val="0045656B"/>
    <w:rsid w:val="004571D9"/>
    <w:rsid w:val="00461DB5"/>
    <w:rsid w:val="00461F68"/>
    <w:rsid w:val="00462101"/>
    <w:rsid w:val="004636B3"/>
    <w:rsid w:val="00463E3A"/>
    <w:rsid w:val="00464EB5"/>
    <w:rsid w:val="00465D89"/>
    <w:rsid w:val="00466524"/>
    <w:rsid w:val="00466A97"/>
    <w:rsid w:val="00470D51"/>
    <w:rsid w:val="00472637"/>
    <w:rsid w:val="00473338"/>
    <w:rsid w:val="004756C3"/>
    <w:rsid w:val="00475DC3"/>
    <w:rsid w:val="00477934"/>
    <w:rsid w:val="004802EF"/>
    <w:rsid w:val="00480374"/>
    <w:rsid w:val="00480454"/>
    <w:rsid w:val="00482B0D"/>
    <w:rsid w:val="00485C3D"/>
    <w:rsid w:val="00486448"/>
    <w:rsid w:val="004873C4"/>
    <w:rsid w:val="0049193F"/>
    <w:rsid w:val="004919B1"/>
    <w:rsid w:val="00491C08"/>
    <w:rsid w:val="00492368"/>
    <w:rsid w:val="0049350A"/>
    <w:rsid w:val="004958DD"/>
    <w:rsid w:val="0049592C"/>
    <w:rsid w:val="00495F43"/>
    <w:rsid w:val="004966B6"/>
    <w:rsid w:val="00497002"/>
    <w:rsid w:val="004977BF"/>
    <w:rsid w:val="00497B0A"/>
    <w:rsid w:val="004A0108"/>
    <w:rsid w:val="004A1005"/>
    <w:rsid w:val="004A1089"/>
    <w:rsid w:val="004A10EB"/>
    <w:rsid w:val="004A11FD"/>
    <w:rsid w:val="004A14CD"/>
    <w:rsid w:val="004A1986"/>
    <w:rsid w:val="004A1A48"/>
    <w:rsid w:val="004A2E1D"/>
    <w:rsid w:val="004A3822"/>
    <w:rsid w:val="004A4FE0"/>
    <w:rsid w:val="004A581C"/>
    <w:rsid w:val="004A6799"/>
    <w:rsid w:val="004B00A6"/>
    <w:rsid w:val="004B03FA"/>
    <w:rsid w:val="004B0F07"/>
    <w:rsid w:val="004B28C3"/>
    <w:rsid w:val="004B33A4"/>
    <w:rsid w:val="004B33C2"/>
    <w:rsid w:val="004B39A8"/>
    <w:rsid w:val="004B3D6F"/>
    <w:rsid w:val="004B4286"/>
    <w:rsid w:val="004B452B"/>
    <w:rsid w:val="004B4E9F"/>
    <w:rsid w:val="004B7392"/>
    <w:rsid w:val="004C0086"/>
    <w:rsid w:val="004C08C8"/>
    <w:rsid w:val="004C0D64"/>
    <w:rsid w:val="004C0F72"/>
    <w:rsid w:val="004C1960"/>
    <w:rsid w:val="004C23D4"/>
    <w:rsid w:val="004C2EE3"/>
    <w:rsid w:val="004C36D1"/>
    <w:rsid w:val="004C3FA4"/>
    <w:rsid w:val="004C58ED"/>
    <w:rsid w:val="004C5A70"/>
    <w:rsid w:val="004C612C"/>
    <w:rsid w:val="004C6751"/>
    <w:rsid w:val="004C7B3E"/>
    <w:rsid w:val="004C7CBC"/>
    <w:rsid w:val="004D156F"/>
    <w:rsid w:val="004D18AC"/>
    <w:rsid w:val="004D2F58"/>
    <w:rsid w:val="004D306B"/>
    <w:rsid w:val="004D497A"/>
    <w:rsid w:val="004D4F11"/>
    <w:rsid w:val="004D5CC0"/>
    <w:rsid w:val="004D67E3"/>
    <w:rsid w:val="004D70A7"/>
    <w:rsid w:val="004D7600"/>
    <w:rsid w:val="004E1B5C"/>
    <w:rsid w:val="004E2128"/>
    <w:rsid w:val="004E3517"/>
    <w:rsid w:val="004E3FEF"/>
    <w:rsid w:val="004E40B0"/>
    <w:rsid w:val="004E4A22"/>
    <w:rsid w:val="004E4C40"/>
    <w:rsid w:val="004E69D7"/>
    <w:rsid w:val="004E7BA5"/>
    <w:rsid w:val="004F11D1"/>
    <w:rsid w:val="004F1239"/>
    <w:rsid w:val="004F1494"/>
    <w:rsid w:val="004F24BB"/>
    <w:rsid w:val="004F4319"/>
    <w:rsid w:val="004F4463"/>
    <w:rsid w:val="004F4EE9"/>
    <w:rsid w:val="004F6546"/>
    <w:rsid w:val="004F67D0"/>
    <w:rsid w:val="004F68AA"/>
    <w:rsid w:val="004F6A36"/>
    <w:rsid w:val="0050256D"/>
    <w:rsid w:val="00502889"/>
    <w:rsid w:val="00503BD8"/>
    <w:rsid w:val="005049E3"/>
    <w:rsid w:val="00505000"/>
    <w:rsid w:val="0050586A"/>
    <w:rsid w:val="00505EE3"/>
    <w:rsid w:val="005075C7"/>
    <w:rsid w:val="005079C7"/>
    <w:rsid w:val="00511968"/>
    <w:rsid w:val="00516E05"/>
    <w:rsid w:val="00517B9A"/>
    <w:rsid w:val="00520681"/>
    <w:rsid w:val="0052166A"/>
    <w:rsid w:val="005239D2"/>
    <w:rsid w:val="00523A2D"/>
    <w:rsid w:val="005243AE"/>
    <w:rsid w:val="00524CF7"/>
    <w:rsid w:val="0052617C"/>
    <w:rsid w:val="00526ABC"/>
    <w:rsid w:val="0052761C"/>
    <w:rsid w:val="00527993"/>
    <w:rsid w:val="00531041"/>
    <w:rsid w:val="00531CA2"/>
    <w:rsid w:val="0053571F"/>
    <w:rsid w:val="00536967"/>
    <w:rsid w:val="00536BD9"/>
    <w:rsid w:val="005372C6"/>
    <w:rsid w:val="00537419"/>
    <w:rsid w:val="005378FF"/>
    <w:rsid w:val="0054029D"/>
    <w:rsid w:val="00541C8F"/>
    <w:rsid w:val="005424B7"/>
    <w:rsid w:val="005427B2"/>
    <w:rsid w:val="005433B9"/>
    <w:rsid w:val="0054436F"/>
    <w:rsid w:val="00544373"/>
    <w:rsid w:val="00545729"/>
    <w:rsid w:val="00545BD9"/>
    <w:rsid w:val="00550948"/>
    <w:rsid w:val="00550BBD"/>
    <w:rsid w:val="00551F2A"/>
    <w:rsid w:val="00552628"/>
    <w:rsid w:val="00553BBE"/>
    <w:rsid w:val="00555093"/>
    <w:rsid w:val="0055614C"/>
    <w:rsid w:val="00556FC6"/>
    <w:rsid w:val="00560D24"/>
    <w:rsid w:val="005635A2"/>
    <w:rsid w:val="005640D2"/>
    <w:rsid w:val="005650C9"/>
    <w:rsid w:val="00565361"/>
    <w:rsid w:val="00566356"/>
    <w:rsid w:val="00566D06"/>
    <w:rsid w:val="00566F8F"/>
    <w:rsid w:val="00570AED"/>
    <w:rsid w:val="00570C3A"/>
    <w:rsid w:val="0057143B"/>
    <w:rsid w:val="005741B0"/>
    <w:rsid w:val="0057500B"/>
    <w:rsid w:val="005751C0"/>
    <w:rsid w:val="00575788"/>
    <w:rsid w:val="00580730"/>
    <w:rsid w:val="0058252F"/>
    <w:rsid w:val="00582C2C"/>
    <w:rsid w:val="0058323A"/>
    <w:rsid w:val="00583357"/>
    <w:rsid w:val="00583A6F"/>
    <w:rsid w:val="005841B1"/>
    <w:rsid w:val="005846A1"/>
    <w:rsid w:val="005870E3"/>
    <w:rsid w:val="00587208"/>
    <w:rsid w:val="005901A5"/>
    <w:rsid w:val="00590D35"/>
    <w:rsid w:val="0059136D"/>
    <w:rsid w:val="00591BA8"/>
    <w:rsid w:val="00592122"/>
    <w:rsid w:val="005921D8"/>
    <w:rsid w:val="0059259C"/>
    <w:rsid w:val="0059340B"/>
    <w:rsid w:val="00593DC5"/>
    <w:rsid w:val="0059458D"/>
    <w:rsid w:val="00595C35"/>
    <w:rsid w:val="005960E3"/>
    <w:rsid w:val="00596439"/>
    <w:rsid w:val="00597376"/>
    <w:rsid w:val="005A13CF"/>
    <w:rsid w:val="005A1F33"/>
    <w:rsid w:val="005A2CAD"/>
    <w:rsid w:val="005A408C"/>
    <w:rsid w:val="005A4614"/>
    <w:rsid w:val="005A46B4"/>
    <w:rsid w:val="005A63AF"/>
    <w:rsid w:val="005A6D6F"/>
    <w:rsid w:val="005B025E"/>
    <w:rsid w:val="005B1337"/>
    <w:rsid w:val="005B1636"/>
    <w:rsid w:val="005B16E2"/>
    <w:rsid w:val="005B1B09"/>
    <w:rsid w:val="005B1E12"/>
    <w:rsid w:val="005B1E37"/>
    <w:rsid w:val="005B2406"/>
    <w:rsid w:val="005B2951"/>
    <w:rsid w:val="005B2BB9"/>
    <w:rsid w:val="005B4D0B"/>
    <w:rsid w:val="005B4D2F"/>
    <w:rsid w:val="005B64E4"/>
    <w:rsid w:val="005B7221"/>
    <w:rsid w:val="005C0484"/>
    <w:rsid w:val="005C1183"/>
    <w:rsid w:val="005C15B7"/>
    <w:rsid w:val="005C176C"/>
    <w:rsid w:val="005C22FE"/>
    <w:rsid w:val="005C3F99"/>
    <w:rsid w:val="005C50C5"/>
    <w:rsid w:val="005C5832"/>
    <w:rsid w:val="005C5DCE"/>
    <w:rsid w:val="005C616A"/>
    <w:rsid w:val="005C70FB"/>
    <w:rsid w:val="005D1723"/>
    <w:rsid w:val="005D1A23"/>
    <w:rsid w:val="005D1CE0"/>
    <w:rsid w:val="005D3AA9"/>
    <w:rsid w:val="005D483D"/>
    <w:rsid w:val="005E026E"/>
    <w:rsid w:val="005E14C2"/>
    <w:rsid w:val="005E1C88"/>
    <w:rsid w:val="005E2DCC"/>
    <w:rsid w:val="005E5021"/>
    <w:rsid w:val="005F0E96"/>
    <w:rsid w:val="005F1877"/>
    <w:rsid w:val="005F1FC7"/>
    <w:rsid w:val="005F295A"/>
    <w:rsid w:val="005F3168"/>
    <w:rsid w:val="005F34AD"/>
    <w:rsid w:val="005F3588"/>
    <w:rsid w:val="005F3854"/>
    <w:rsid w:val="005F3A0E"/>
    <w:rsid w:val="005F45DC"/>
    <w:rsid w:val="005F489A"/>
    <w:rsid w:val="005F601F"/>
    <w:rsid w:val="005F7AE4"/>
    <w:rsid w:val="00600289"/>
    <w:rsid w:val="006007F1"/>
    <w:rsid w:val="00600E68"/>
    <w:rsid w:val="00601D98"/>
    <w:rsid w:val="0060220A"/>
    <w:rsid w:val="00602579"/>
    <w:rsid w:val="00604A61"/>
    <w:rsid w:val="00604E8C"/>
    <w:rsid w:val="00606478"/>
    <w:rsid w:val="006077F4"/>
    <w:rsid w:val="00607BA5"/>
    <w:rsid w:val="00610079"/>
    <w:rsid w:val="006116E5"/>
    <w:rsid w:val="0061180A"/>
    <w:rsid w:val="00612206"/>
    <w:rsid w:val="0061282D"/>
    <w:rsid w:val="0061318A"/>
    <w:rsid w:val="006167A9"/>
    <w:rsid w:val="00616F30"/>
    <w:rsid w:val="0061731E"/>
    <w:rsid w:val="006206AB"/>
    <w:rsid w:val="00620A42"/>
    <w:rsid w:val="00620E08"/>
    <w:rsid w:val="006238CF"/>
    <w:rsid w:val="00623B5D"/>
    <w:rsid w:val="00623ECD"/>
    <w:rsid w:val="00624E85"/>
    <w:rsid w:val="00626EB6"/>
    <w:rsid w:val="00627874"/>
    <w:rsid w:val="00632B01"/>
    <w:rsid w:val="006332FC"/>
    <w:rsid w:val="006337D1"/>
    <w:rsid w:val="00633908"/>
    <w:rsid w:val="00633FE1"/>
    <w:rsid w:val="00635223"/>
    <w:rsid w:val="00635526"/>
    <w:rsid w:val="006405E7"/>
    <w:rsid w:val="00640A15"/>
    <w:rsid w:val="00640AB9"/>
    <w:rsid w:val="006411F3"/>
    <w:rsid w:val="00641D00"/>
    <w:rsid w:val="006435E9"/>
    <w:rsid w:val="006443EC"/>
    <w:rsid w:val="00644B30"/>
    <w:rsid w:val="0064513A"/>
    <w:rsid w:val="0064557E"/>
    <w:rsid w:val="00645BCD"/>
    <w:rsid w:val="0064675B"/>
    <w:rsid w:val="00651431"/>
    <w:rsid w:val="00651954"/>
    <w:rsid w:val="0065295F"/>
    <w:rsid w:val="006544F2"/>
    <w:rsid w:val="006553BC"/>
    <w:rsid w:val="00655496"/>
    <w:rsid w:val="00655655"/>
    <w:rsid w:val="00655D03"/>
    <w:rsid w:val="0065643F"/>
    <w:rsid w:val="00657F54"/>
    <w:rsid w:val="006614AE"/>
    <w:rsid w:val="00662266"/>
    <w:rsid w:val="00662783"/>
    <w:rsid w:val="00662919"/>
    <w:rsid w:val="00664492"/>
    <w:rsid w:val="00666499"/>
    <w:rsid w:val="00670771"/>
    <w:rsid w:val="006714FF"/>
    <w:rsid w:val="0067193C"/>
    <w:rsid w:val="00671CB5"/>
    <w:rsid w:val="006722F7"/>
    <w:rsid w:val="00672A11"/>
    <w:rsid w:val="00672EAB"/>
    <w:rsid w:val="00673A52"/>
    <w:rsid w:val="00676A53"/>
    <w:rsid w:val="00677290"/>
    <w:rsid w:val="006809E8"/>
    <w:rsid w:val="00681A8B"/>
    <w:rsid w:val="006827CC"/>
    <w:rsid w:val="00683388"/>
    <w:rsid w:val="00683F84"/>
    <w:rsid w:val="00684637"/>
    <w:rsid w:val="006846DB"/>
    <w:rsid w:val="00684EC9"/>
    <w:rsid w:val="006854CF"/>
    <w:rsid w:val="006857DB"/>
    <w:rsid w:val="00685DAA"/>
    <w:rsid w:val="00685FAD"/>
    <w:rsid w:val="00687147"/>
    <w:rsid w:val="0069084D"/>
    <w:rsid w:val="00690BC3"/>
    <w:rsid w:val="006913CF"/>
    <w:rsid w:val="00691A26"/>
    <w:rsid w:val="00692DEB"/>
    <w:rsid w:val="00693483"/>
    <w:rsid w:val="00693A5B"/>
    <w:rsid w:val="00693C6E"/>
    <w:rsid w:val="00695266"/>
    <w:rsid w:val="00695484"/>
    <w:rsid w:val="00695D58"/>
    <w:rsid w:val="00697AD0"/>
    <w:rsid w:val="006A16D3"/>
    <w:rsid w:val="006A2C90"/>
    <w:rsid w:val="006A4D19"/>
    <w:rsid w:val="006A6602"/>
    <w:rsid w:val="006A6A81"/>
    <w:rsid w:val="006A6C08"/>
    <w:rsid w:val="006A6D40"/>
    <w:rsid w:val="006B106A"/>
    <w:rsid w:val="006B13C4"/>
    <w:rsid w:val="006B1E45"/>
    <w:rsid w:val="006B330B"/>
    <w:rsid w:val="006B42D9"/>
    <w:rsid w:val="006B42DB"/>
    <w:rsid w:val="006B4ADB"/>
    <w:rsid w:val="006B4B3F"/>
    <w:rsid w:val="006B5A1A"/>
    <w:rsid w:val="006B7514"/>
    <w:rsid w:val="006C2876"/>
    <w:rsid w:val="006C2ED6"/>
    <w:rsid w:val="006C2F47"/>
    <w:rsid w:val="006C354D"/>
    <w:rsid w:val="006C5A32"/>
    <w:rsid w:val="006C6BD0"/>
    <w:rsid w:val="006D0B1F"/>
    <w:rsid w:val="006D140B"/>
    <w:rsid w:val="006D19CD"/>
    <w:rsid w:val="006D2962"/>
    <w:rsid w:val="006D40D6"/>
    <w:rsid w:val="006D5C93"/>
    <w:rsid w:val="006D6995"/>
    <w:rsid w:val="006D6D77"/>
    <w:rsid w:val="006E069F"/>
    <w:rsid w:val="006E10A3"/>
    <w:rsid w:val="006E1827"/>
    <w:rsid w:val="006E23F1"/>
    <w:rsid w:val="006E3D7D"/>
    <w:rsid w:val="006E47FE"/>
    <w:rsid w:val="006E4923"/>
    <w:rsid w:val="006E4EBE"/>
    <w:rsid w:val="006E511A"/>
    <w:rsid w:val="006E633C"/>
    <w:rsid w:val="006E64B9"/>
    <w:rsid w:val="006E6D28"/>
    <w:rsid w:val="006E6E4D"/>
    <w:rsid w:val="006E71D6"/>
    <w:rsid w:val="006E7B86"/>
    <w:rsid w:val="006E7E70"/>
    <w:rsid w:val="006F0A19"/>
    <w:rsid w:val="006F1AE4"/>
    <w:rsid w:val="006F2A2D"/>
    <w:rsid w:val="006F307C"/>
    <w:rsid w:val="006F4B71"/>
    <w:rsid w:val="006F52E8"/>
    <w:rsid w:val="006F67C2"/>
    <w:rsid w:val="006F7393"/>
    <w:rsid w:val="0070224F"/>
    <w:rsid w:val="0070396A"/>
    <w:rsid w:val="007066B3"/>
    <w:rsid w:val="00706936"/>
    <w:rsid w:val="00706D25"/>
    <w:rsid w:val="007074C1"/>
    <w:rsid w:val="007102B6"/>
    <w:rsid w:val="007113B8"/>
    <w:rsid w:val="007115F7"/>
    <w:rsid w:val="007120D6"/>
    <w:rsid w:val="007123C3"/>
    <w:rsid w:val="0071286C"/>
    <w:rsid w:val="00714264"/>
    <w:rsid w:val="00715BCC"/>
    <w:rsid w:val="00716FC1"/>
    <w:rsid w:val="007179F1"/>
    <w:rsid w:val="00720D57"/>
    <w:rsid w:val="00721CEE"/>
    <w:rsid w:val="00721F7C"/>
    <w:rsid w:val="00722257"/>
    <w:rsid w:val="007234BE"/>
    <w:rsid w:val="00723999"/>
    <w:rsid w:val="00724B05"/>
    <w:rsid w:val="007260E4"/>
    <w:rsid w:val="00726142"/>
    <w:rsid w:val="00726A57"/>
    <w:rsid w:val="00727605"/>
    <w:rsid w:val="00730866"/>
    <w:rsid w:val="00731058"/>
    <w:rsid w:val="007317F9"/>
    <w:rsid w:val="0073207F"/>
    <w:rsid w:val="00732645"/>
    <w:rsid w:val="00732FE6"/>
    <w:rsid w:val="00733753"/>
    <w:rsid w:val="00734426"/>
    <w:rsid w:val="00734FF9"/>
    <w:rsid w:val="0073536C"/>
    <w:rsid w:val="00736C2F"/>
    <w:rsid w:val="00737838"/>
    <w:rsid w:val="00737BCB"/>
    <w:rsid w:val="007405ED"/>
    <w:rsid w:val="00740760"/>
    <w:rsid w:val="007410E1"/>
    <w:rsid w:val="007417A6"/>
    <w:rsid w:val="00742063"/>
    <w:rsid w:val="0074318C"/>
    <w:rsid w:val="00744463"/>
    <w:rsid w:val="007517F6"/>
    <w:rsid w:val="00751AD8"/>
    <w:rsid w:val="00752D96"/>
    <w:rsid w:val="00754B0C"/>
    <w:rsid w:val="007553E1"/>
    <w:rsid w:val="00757381"/>
    <w:rsid w:val="00757456"/>
    <w:rsid w:val="0076034E"/>
    <w:rsid w:val="00760732"/>
    <w:rsid w:val="00760C37"/>
    <w:rsid w:val="007616A2"/>
    <w:rsid w:val="007619E9"/>
    <w:rsid w:val="00761B9C"/>
    <w:rsid w:val="00761EA5"/>
    <w:rsid w:val="00762EA8"/>
    <w:rsid w:val="0076358C"/>
    <w:rsid w:val="00765DD6"/>
    <w:rsid w:val="0076674A"/>
    <w:rsid w:val="0077021C"/>
    <w:rsid w:val="00770AF7"/>
    <w:rsid w:val="00770B79"/>
    <w:rsid w:val="00772943"/>
    <w:rsid w:val="00772F30"/>
    <w:rsid w:val="00773391"/>
    <w:rsid w:val="00773891"/>
    <w:rsid w:val="00774CD5"/>
    <w:rsid w:val="00774E80"/>
    <w:rsid w:val="00775D9C"/>
    <w:rsid w:val="00775E1C"/>
    <w:rsid w:val="00775EC5"/>
    <w:rsid w:val="00777404"/>
    <w:rsid w:val="00777FBA"/>
    <w:rsid w:val="007809DB"/>
    <w:rsid w:val="00781A1D"/>
    <w:rsid w:val="00781C1C"/>
    <w:rsid w:val="00781ED0"/>
    <w:rsid w:val="007823D8"/>
    <w:rsid w:val="00785689"/>
    <w:rsid w:val="00785FED"/>
    <w:rsid w:val="0079158C"/>
    <w:rsid w:val="007967D6"/>
    <w:rsid w:val="007968BA"/>
    <w:rsid w:val="0079754B"/>
    <w:rsid w:val="007A1E6D"/>
    <w:rsid w:val="007A1F65"/>
    <w:rsid w:val="007A32B1"/>
    <w:rsid w:val="007A449C"/>
    <w:rsid w:val="007A47E7"/>
    <w:rsid w:val="007A583D"/>
    <w:rsid w:val="007A7154"/>
    <w:rsid w:val="007B0EB2"/>
    <w:rsid w:val="007B0F68"/>
    <w:rsid w:val="007B1792"/>
    <w:rsid w:val="007B1AB3"/>
    <w:rsid w:val="007B1E79"/>
    <w:rsid w:val="007B3924"/>
    <w:rsid w:val="007B681A"/>
    <w:rsid w:val="007B7AF5"/>
    <w:rsid w:val="007B7EC9"/>
    <w:rsid w:val="007C0F77"/>
    <w:rsid w:val="007C1935"/>
    <w:rsid w:val="007C1BE9"/>
    <w:rsid w:val="007C50CE"/>
    <w:rsid w:val="007C60A0"/>
    <w:rsid w:val="007C6161"/>
    <w:rsid w:val="007C64E0"/>
    <w:rsid w:val="007C742B"/>
    <w:rsid w:val="007C7B81"/>
    <w:rsid w:val="007D00FC"/>
    <w:rsid w:val="007D04F6"/>
    <w:rsid w:val="007D0725"/>
    <w:rsid w:val="007D1037"/>
    <w:rsid w:val="007D2970"/>
    <w:rsid w:val="007D2A43"/>
    <w:rsid w:val="007D42F5"/>
    <w:rsid w:val="007D4774"/>
    <w:rsid w:val="007D4973"/>
    <w:rsid w:val="007D4C52"/>
    <w:rsid w:val="007D4FEA"/>
    <w:rsid w:val="007D5E41"/>
    <w:rsid w:val="007D606B"/>
    <w:rsid w:val="007D62B9"/>
    <w:rsid w:val="007E2873"/>
    <w:rsid w:val="007E3297"/>
    <w:rsid w:val="007E3F0B"/>
    <w:rsid w:val="007E5253"/>
    <w:rsid w:val="007E7FD1"/>
    <w:rsid w:val="007F040E"/>
    <w:rsid w:val="007F0E9F"/>
    <w:rsid w:val="007F121A"/>
    <w:rsid w:val="007F6489"/>
    <w:rsid w:val="007F6B67"/>
    <w:rsid w:val="007F6FF5"/>
    <w:rsid w:val="007F700A"/>
    <w:rsid w:val="007F7CBC"/>
    <w:rsid w:val="00801DA8"/>
    <w:rsid w:val="00802151"/>
    <w:rsid w:val="00802238"/>
    <w:rsid w:val="008025E8"/>
    <w:rsid w:val="0080451E"/>
    <w:rsid w:val="00804AED"/>
    <w:rsid w:val="00804BCD"/>
    <w:rsid w:val="0080794E"/>
    <w:rsid w:val="00810765"/>
    <w:rsid w:val="008107F9"/>
    <w:rsid w:val="00810A17"/>
    <w:rsid w:val="00810B6F"/>
    <w:rsid w:val="00811223"/>
    <w:rsid w:val="00811C0A"/>
    <w:rsid w:val="00813A8A"/>
    <w:rsid w:val="00814970"/>
    <w:rsid w:val="00814FC5"/>
    <w:rsid w:val="008150F9"/>
    <w:rsid w:val="00815786"/>
    <w:rsid w:val="00816AEF"/>
    <w:rsid w:val="0081713A"/>
    <w:rsid w:val="00822CE0"/>
    <w:rsid w:val="00823A72"/>
    <w:rsid w:val="0082409F"/>
    <w:rsid w:val="008247F7"/>
    <w:rsid w:val="00825A6D"/>
    <w:rsid w:val="008268F6"/>
    <w:rsid w:val="00830A01"/>
    <w:rsid w:val="008336B4"/>
    <w:rsid w:val="00833AA4"/>
    <w:rsid w:val="00833C75"/>
    <w:rsid w:val="00835C2A"/>
    <w:rsid w:val="00836688"/>
    <w:rsid w:val="00836757"/>
    <w:rsid w:val="0083721A"/>
    <w:rsid w:val="008405F7"/>
    <w:rsid w:val="008407EF"/>
    <w:rsid w:val="00841AB1"/>
    <w:rsid w:val="00842276"/>
    <w:rsid w:val="008422E8"/>
    <w:rsid w:val="00843329"/>
    <w:rsid w:val="00843D45"/>
    <w:rsid w:val="00844AA6"/>
    <w:rsid w:val="00844F4B"/>
    <w:rsid w:val="00847FDD"/>
    <w:rsid w:val="00852E70"/>
    <w:rsid w:val="00854C1A"/>
    <w:rsid w:val="00854FAA"/>
    <w:rsid w:val="00855DF0"/>
    <w:rsid w:val="0085603C"/>
    <w:rsid w:val="008626A7"/>
    <w:rsid w:val="00862B1B"/>
    <w:rsid w:val="00863126"/>
    <w:rsid w:val="00863629"/>
    <w:rsid w:val="00864620"/>
    <w:rsid w:val="00865903"/>
    <w:rsid w:val="00866457"/>
    <w:rsid w:val="00867985"/>
    <w:rsid w:val="00867A52"/>
    <w:rsid w:val="00867B8F"/>
    <w:rsid w:val="008714BC"/>
    <w:rsid w:val="00872A59"/>
    <w:rsid w:val="0087487D"/>
    <w:rsid w:val="00874A22"/>
    <w:rsid w:val="00875BA5"/>
    <w:rsid w:val="008775C8"/>
    <w:rsid w:val="008812F5"/>
    <w:rsid w:val="00881D48"/>
    <w:rsid w:val="0088206C"/>
    <w:rsid w:val="008849DF"/>
    <w:rsid w:val="00885077"/>
    <w:rsid w:val="00885282"/>
    <w:rsid w:val="00887900"/>
    <w:rsid w:val="00890A82"/>
    <w:rsid w:val="00891B43"/>
    <w:rsid w:val="00893F37"/>
    <w:rsid w:val="00894D00"/>
    <w:rsid w:val="008950DE"/>
    <w:rsid w:val="00895726"/>
    <w:rsid w:val="00895C93"/>
    <w:rsid w:val="008A01C9"/>
    <w:rsid w:val="008A04AB"/>
    <w:rsid w:val="008A0653"/>
    <w:rsid w:val="008A165E"/>
    <w:rsid w:val="008A2DD7"/>
    <w:rsid w:val="008A3A7B"/>
    <w:rsid w:val="008A4889"/>
    <w:rsid w:val="008A5461"/>
    <w:rsid w:val="008A5BFF"/>
    <w:rsid w:val="008A6A8A"/>
    <w:rsid w:val="008A6B6E"/>
    <w:rsid w:val="008A6C4A"/>
    <w:rsid w:val="008B1F4B"/>
    <w:rsid w:val="008B242C"/>
    <w:rsid w:val="008B273E"/>
    <w:rsid w:val="008B3689"/>
    <w:rsid w:val="008B4AEE"/>
    <w:rsid w:val="008C05ED"/>
    <w:rsid w:val="008C0B31"/>
    <w:rsid w:val="008C0F4C"/>
    <w:rsid w:val="008C1131"/>
    <w:rsid w:val="008C2023"/>
    <w:rsid w:val="008C2778"/>
    <w:rsid w:val="008C333E"/>
    <w:rsid w:val="008C3BB1"/>
    <w:rsid w:val="008C43C5"/>
    <w:rsid w:val="008C53FD"/>
    <w:rsid w:val="008C68F1"/>
    <w:rsid w:val="008C6E7F"/>
    <w:rsid w:val="008C7D0C"/>
    <w:rsid w:val="008C7D90"/>
    <w:rsid w:val="008D170E"/>
    <w:rsid w:val="008D2129"/>
    <w:rsid w:val="008D25E9"/>
    <w:rsid w:val="008D3337"/>
    <w:rsid w:val="008D491E"/>
    <w:rsid w:val="008D5989"/>
    <w:rsid w:val="008E2431"/>
    <w:rsid w:val="008E3016"/>
    <w:rsid w:val="008E4100"/>
    <w:rsid w:val="008E4353"/>
    <w:rsid w:val="008E50CF"/>
    <w:rsid w:val="008E53D2"/>
    <w:rsid w:val="008E5DE2"/>
    <w:rsid w:val="008E7A5A"/>
    <w:rsid w:val="008F007E"/>
    <w:rsid w:val="008F0991"/>
    <w:rsid w:val="008F270C"/>
    <w:rsid w:val="008F33B9"/>
    <w:rsid w:val="008F3F3F"/>
    <w:rsid w:val="008F44B4"/>
    <w:rsid w:val="008F4F66"/>
    <w:rsid w:val="008F5183"/>
    <w:rsid w:val="008F5659"/>
    <w:rsid w:val="008F6685"/>
    <w:rsid w:val="008F6DB1"/>
    <w:rsid w:val="008F7BFE"/>
    <w:rsid w:val="008F7D9E"/>
    <w:rsid w:val="008F7ED0"/>
    <w:rsid w:val="009015E3"/>
    <w:rsid w:val="0090170C"/>
    <w:rsid w:val="00902991"/>
    <w:rsid w:val="009031BC"/>
    <w:rsid w:val="00903AFB"/>
    <w:rsid w:val="00903F6A"/>
    <w:rsid w:val="00904264"/>
    <w:rsid w:val="009047A3"/>
    <w:rsid w:val="00905039"/>
    <w:rsid w:val="00906B75"/>
    <w:rsid w:val="00906C3D"/>
    <w:rsid w:val="00906DF5"/>
    <w:rsid w:val="009070AA"/>
    <w:rsid w:val="00910145"/>
    <w:rsid w:val="0091205E"/>
    <w:rsid w:val="00913BDB"/>
    <w:rsid w:val="00913F4B"/>
    <w:rsid w:val="009146AE"/>
    <w:rsid w:val="0091489D"/>
    <w:rsid w:val="009148BC"/>
    <w:rsid w:val="00914BAE"/>
    <w:rsid w:val="009158A2"/>
    <w:rsid w:val="009179B4"/>
    <w:rsid w:val="00920E72"/>
    <w:rsid w:val="00921803"/>
    <w:rsid w:val="009246CA"/>
    <w:rsid w:val="0092474D"/>
    <w:rsid w:val="00926503"/>
    <w:rsid w:val="00930F54"/>
    <w:rsid w:val="009313F5"/>
    <w:rsid w:val="009315B4"/>
    <w:rsid w:val="0093222C"/>
    <w:rsid w:val="009327FC"/>
    <w:rsid w:val="0093292E"/>
    <w:rsid w:val="00933973"/>
    <w:rsid w:val="00934B2B"/>
    <w:rsid w:val="00935CC6"/>
    <w:rsid w:val="009372C1"/>
    <w:rsid w:val="00942726"/>
    <w:rsid w:val="00942B93"/>
    <w:rsid w:val="00944078"/>
    <w:rsid w:val="009442E5"/>
    <w:rsid w:val="00944AFE"/>
    <w:rsid w:val="0094513B"/>
    <w:rsid w:val="009458F8"/>
    <w:rsid w:val="00945919"/>
    <w:rsid w:val="00946A84"/>
    <w:rsid w:val="00951032"/>
    <w:rsid w:val="009528DE"/>
    <w:rsid w:val="00952967"/>
    <w:rsid w:val="00953665"/>
    <w:rsid w:val="00953722"/>
    <w:rsid w:val="00953ACA"/>
    <w:rsid w:val="00953D4C"/>
    <w:rsid w:val="00953FB6"/>
    <w:rsid w:val="009543BD"/>
    <w:rsid w:val="009546B9"/>
    <w:rsid w:val="00954D64"/>
    <w:rsid w:val="00954F53"/>
    <w:rsid w:val="00956403"/>
    <w:rsid w:val="00956EEB"/>
    <w:rsid w:val="009572D5"/>
    <w:rsid w:val="00957964"/>
    <w:rsid w:val="00957B99"/>
    <w:rsid w:val="00960366"/>
    <w:rsid w:val="009605B4"/>
    <w:rsid w:val="00960DFA"/>
    <w:rsid w:val="00960F2D"/>
    <w:rsid w:val="009627AD"/>
    <w:rsid w:val="00962912"/>
    <w:rsid w:val="00962938"/>
    <w:rsid w:val="0096293E"/>
    <w:rsid w:val="00963CDB"/>
    <w:rsid w:val="00966D64"/>
    <w:rsid w:val="00967B58"/>
    <w:rsid w:val="0097038A"/>
    <w:rsid w:val="0097044F"/>
    <w:rsid w:val="00970855"/>
    <w:rsid w:val="00970FAC"/>
    <w:rsid w:val="00971553"/>
    <w:rsid w:val="00971E9B"/>
    <w:rsid w:val="009726D8"/>
    <w:rsid w:val="00975E0E"/>
    <w:rsid w:val="00977876"/>
    <w:rsid w:val="00977CEB"/>
    <w:rsid w:val="00980F45"/>
    <w:rsid w:val="009818FB"/>
    <w:rsid w:val="00983B94"/>
    <w:rsid w:val="00985927"/>
    <w:rsid w:val="00986305"/>
    <w:rsid w:val="009865EC"/>
    <w:rsid w:val="0098664D"/>
    <w:rsid w:val="009874C2"/>
    <w:rsid w:val="00987F90"/>
    <w:rsid w:val="00991857"/>
    <w:rsid w:val="00991AF1"/>
    <w:rsid w:val="00991B59"/>
    <w:rsid w:val="00992F61"/>
    <w:rsid w:val="0099450E"/>
    <w:rsid w:val="00994F35"/>
    <w:rsid w:val="00995C32"/>
    <w:rsid w:val="009962D4"/>
    <w:rsid w:val="00997C59"/>
    <w:rsid w:val="00997D34"/>
    <w:rsid w:val="009A16B0"/>
    <w:rsid w:val="009A1B54"/>
    <w:rsid w:val="009A1ED0"/>
    <w:rsid w:val="009A276A"/>
    <w:rsid w:val="009A2AA2"/>
    <w:rsid w:val="009A2B47"/>
    <w:rsid w:val="009A2C3E"/>
    <w:rsid w:val="009A2FEB"/>
    <w:rsid w:val="009A3E50"/>
    <w:rsid w:val="009A4C8A"/>
    <w:rsid w:val="009A537D"/>
    <w:rsid w:val="009A68B2"/>
    <w:rsid w:val="009A78CE"/>
    <w:rsid w:val="009A7F3C"/>
    <w:rsid w:val="009B294D"/>
    <w:rsid w:val="009B2B06"/>
    <w:rsid w:val="009B2C2F"/>
    <w:rsid w:val="009B2E88"/>
    <w:rsid w:val="009B3B44"/>
    <w:rsid w:val="009B4356"/>
    <w:rsid w:val="009B4988"/>
    <w:rsid w:val="009B4B28"/>
    <w:rsid w:val="009C0AE0"/>
    <w:rsid w:val="009C12FB"/>
    <w:rsid w:val="009C19D3"/>
    <w:rsid w:val="009C1F29"/>
    <w:rsid w:val="009C2538"/>
    <w:rsid w:val="009C2FA1"/>
    <w:rsid w:val="009C353D"/>
    <w:rsid w:val="009C4D6F"/>
    <w:rsid w:val="009C53A2"/>
    <w:rsid w:val="009C5683"/>
    <w:rsid w:val="009C5C7D"/>
    <w:rsid w:val="009C5E40"/>
    <w:rsid w:val="009D06AD"/>
    <w:rsid w:val="009D0AD0"/>
    <w:rsid w:val="009D2915"/>
    <w:rsid w:val="009D300F"/>
    <w:rsid w:val="009D3601"/>
    <w:rsid w:val="009D36BC"/>
    <w:rsid w:val="009D3B2D"/>
    <w:rsid w:val="009D4CB6"/>
    <w:rsid w:val="009D5C1E"/>
    <w:rsid w:val="009D5D01"/>
    <w:rsid w:val="009D6A16"/>
    <w:rsid w:val="009D6DED"/>
    <w:rsid w:val="009D7308"/>
    <w:rsid w:val="009D7748"/>
    <w:rsid w:val="009D7C4D"/>
    <w:rsid w:val="009E2062"/>
    <w:rsid w:val="009E23BC"/>
    <w:rsid w:val="009E2736"/>
    <w:rsid w:val="009E3861"/>
    <w:rsid w:val="009E3C94"/>
    <w:rsid w:val="009E58A1"/>
    <w:rsid w:val="009E6155"/>
    <w:rsid w:val="009E64DE"/>
    <w:rsid w:val="009E7E85"/>
    <w:rsid w:val="009F050A"/>
    <w:rsid w:val="009F21C8"/>
    <w:rsid w:val="009F2442"/>
    <w:rsid w:val="009F3B89"/>
    <w:rsid w:val="009F496A"/>
    <w:rsid w:val="009F501E"/>
    <w:rsid w:val="009F599F"/>
    <w:rsid w:val="009F5A77"/>
    <w:rsid w:val="009F61FF"/>
    <w:rsid w:val="009F628A"/>
    <w:rsid w:val="009F66C0"/>
    <w:rsid w:val="009F6E6E"/>
    <w:rsid w:val="009F76DB"/>
    <w:rsid w:val="00A0015E"/>
    <w:rsid w:val="00A00ACF"/>
    <w:rsid w:val="00A01937"/>
    <w:rsid w:val="00A01A77"/>
    <w:rsid w:val="00A01A98"/>
    <w:rsid w:val="00A01CF9"/>
    <w:rsid w:val="00A02517"/>
    <w:rsid w:val="00A03D90"/>
    <w:rsid w:val="00A04041"/>
    <w:rsid w:val="00A04B67"/>
    <w:rsid w:val="00A06FB0"/>
    <w:rsid w:val="00A105BB"/>
    <w:rsid w:val="00A12AAA"/>
    <w:rsid w:val="00A13244"/>
    <w:rsid w:val="00A13603"/>
    <w:rsid w:val="00A138EA"/>
    <w:rsid w:val="00A145C7"/>
    <w:rsid w:val="00A16921"/>
    <w:rsid w:val="00A175D9"/>
    <w:rsid w:val="00A20041"/>
    <w:rsid w:val="00A205D5"/>
    <w:rsid w:val="00A20FCB"/>
    <w:rsid w:val="00A2212B"/>
    <w:rsid w:val="00A222F0"/>
    <w:rsid w:val="00A273B0"/>
    <w:rsid w:val="00A30AE6"/>
    <w:rsid w:val="00A32C3B"/>
    <w:rsid w:val="00A3430F"/>
    <w:rsid w:val="00A34892"/>
    <w:rsid w:val="00A34BBE"/>
    <w:rsid w:val="00A36CB4"/>
    <w:rsid w:val="00A37ACD"/>
    <w:rsid w:val="00A417C1"/>
    <w:rsid w:val="00A41861"/>
    <w:rsid w:val="00A41A41"/>
    <w:rsid w:val="00A41A6A"/>
    <w:rsid w:val="00A4288F"/>
    <w:rsid w:val="00A42C18"/>
    <w:rsid w:val="00A43CCE"/>
    <w:rsid w:val="00A44EBC"/>
    <w:rsid w:val="00A45C40"/>
    <w:rsid w:val="00A45F4F"/>
    <w:rsid w:val="00A478D0"/>
    <w:rsid w:val="00A5017E"/>
    <w:rsid w:val="00A51E0A"/>
    <w:rsid w:val="00A5235D"/>
    <w:rsid w:val="00A53576"/>
    <w:rsid w:val="00A536A4"/>
    <w:rsid w:val="00A538AA"/>
    <w:rsid w:val="00A5474D"/>
    <w:rsid w:val="00A54D03"/>
    <w:rsid w:val="00A55CEF"/>
    <w:rsid w:val="00A60027"/>
    <w:rsid w:val="00A6009B"/>
    <w:rsid w:val="00A600A9"/>
    <w:rsid w:val="00A613E9"/>
    <w:rsid w:val="00A61E01"/>
    <w:rsid w:val="00A61EE1"/>
    <w:rsid w:val="00A62E5A"/>
    <w:rsid w:val="00A63182"/>
    <w:rsid w:val="00A63346"/>
    <w:rsid w:val="00A63F45"/>
    <w:rsid w:val="00A64453"/>
    <w:rsid w:val="00A64886"/>
    <w:rsid w:val="00A64C9B"/>
    <w:rsid w:val="00A66483"/>
    <w:rsid w:val="00A6657E"/>
    <w:rsid w:val="00A67A7B"/>
    <w:rsid w:val="00A74D8F"/>
    <w:rsid w:val="00A75D43"/>
    <w:rsid w:val="00A76537"/>
    <w:rsid w:val="00A76A0E"/>
    <w:rsid w:val="00A77273"/>
    <w:rsid w:val="00A77B2F"/>
    <w:rsid w:val="00A8065A"/>
    <w:rsid w:val="00A817F3"/>
    <w:rsid w:val="00A81BFC"/>
    <w:rsid w:val="00A839FB"/>
    <w:rsid w:val="00A83EE0"/>
    <w:rsid w:val="00A854A2"/>
    <w:rsid w:val="00A85F37"/>
    <w:rsid w:val="00A8630E"/>
    <w:rsid w:val="00A86CA7"/>
    <w:rsid w:val="00A87B54"/>
    <w:rsid w:val="00A91C35"/>
    <w:rsid w:val="00A9215C"/>
    <w:rsid w:val="00A92E7B"/>
    <w:rsid w:val="00A941E7"/>
    <w:rsid w:val="00A96B34"/>
    <w:rsid w:val="00A979F8"/>
    <w:rsid w:val="00AA04FD"/>
    <w:rsid w:val="00AA11EE"/>
    <w:rsid w:val="00AA1D6C"/>
    <w:rsid w:val="00AA2648"/>
    <w:rsid w:val="00AA3825"/>
    <w:rsid w:val="00AA38ED"/>
    <w:rsid w:val="00AA40D2"/>
    <w:rsid w:val="00AA4919"/>
    <w:rsid w:val="00AA4AB8"/>
    <w:rsid w:val="00AA53B9"/>
    <w:rsid w:val="00AA55B7"/>
    <w:rsid w:val="00AA5B9E"/>
    <w:rsid w:val="00AA5E92"/>
    <w:rsid w:val="00AA6009"/>
    <w:rsid w:val="00AA6828"/>
    <w:rsid w:val="00AA7D76"/>
    <w:rsid w:val="00AB0239"/>
    <w:rsid w:val="00AB1EEA"/>
    <w:rsid w:val="00AB2407"/>
    <w:rsid w:val="00AB3936"/>
    <w:rsid w:val="00AB40E3"/>
    <w:rsid w:val="00AB53DF"/>
    <w:rsid w:val="00AB5803"/>
    <w:rsid w:val="00AB5B79"/>
    <w:rsid w:val="00AB5F26"/>
    <w:rsid w:val="00AC0297"/>
    <w:rsid w:val="00AC0A26"/>
    <w:rsid w:val="00AC17B2"/>
    <w:rsid w:val="00AC2C60"/>
    <w:rsid w:val="00AC3112"/>
    <w:rsid w:val="00AC41CB"/>
    <w:rsid w:val="00AC432B"/>
    <w:rsid w:val="00AC4766"/>
    <w:rsid w:val="00AC4A23"/>
    <w:rsid w:val="00AC4FFD"/>
    <w:rsid w:val="00AC507C"/>
    <w:rsid w:val="00AC53F3"/>
    <w:rsid w:val="00AC5CE7"/>
    <w:rsid w:val="00AC62FD"/>
    <w:rsid w:val="00AD0AD2"/>
    <w:rsid w:val="00AD0CC6"/>
    <w:rsid w:val="00AD0CE9"/>
    <w:rsid w:val="00AD4B61"/>
    <w:rsid w:val="00AD4B78"/>
    <w:rsid w:val="00AD522F"/>
    <w:rsid w:val="00AD5801"/>
    <w:rsid w:val="00AD6457"/>
    <w:rsid w:val="00AE241B"/>
    <w:rsid w:val="00AE3B08"/>
    <w:rsid w:val="00AE4E2B"/>
    <w:rsid w:val="00AE6091"/>
    <w:rsid w:val="00AE7E6B"/>
    <w:rsid w:val="00AF006B"/>
    <w:rsid w:val="00AF33C4"/>
    <w:rsid w:val="00AF3F26"/>
    <w:rsid w:val="00AF450D"/>
    <w:rsid w:val="00AF4EA5"/>
    <w:rsid w:val="00AF57F8"/>
    <w:rsid w:val="00AF5807"/>
    <w:rsid w:val="00AF659B"/>
    <w:rsid w:val="00AF7309"/>
    <w:rsid w:val="00B00249"/>
    <w:rsid w:val="00B00FE7"/>
    <w:rsid w:val="00B037CA"/>
    <w:rsid w:val="00B03992"/>
    <w:rsid w:val="00B04055"/>
    <w:rsid w:val="00B052AC"/>
    <w:rsid w:val="00B0568F"/>
    <w:rsid w:val="00B07E5C"/>
    <w:rsid w:val="00B10A72"/>
    <w:rsid w:val="00B12239"/>
    <w:rsid w:val="00B1370A"/>
    <w:rsid w:val="00B14028"/>
    <w:rsid w:val="00B14DEC"/>
    <w:rsid w:val="00B156A2"/>
    <w:rsid w:val="00B17F6E"/>
    <w:rsid w:val="00B20D10"/>
    <w:rsid w:val="00B21145"/>
    <w:rsid w:val="00B2342F"/>
    <w:rsid w:val="00B23558"/>
    <w:rsid w:val="00B2483B"/>
    <w:rsid w:val="00B25D31"/>
    <w:rsid w:val="00B27004"/>
    <w:rsid w:val="00B27BF2"/>
    <w:rsid w:val="00B304A8"/>
    <w:rsid w:val="00B324E5"/>
    <w:rsid w:val="00B32677"/>
    <w:rsid w:val="00B3408C"/>
    <w:rsid w:val="00B34191"/>
    <w:rsid w:val="00B403DC"/>
    <w:rsid w:val="00B4115D"/>
    <w:rsid w:val="00B41FA3"/>
    <w:rsid w:val="00B42224"/>
    <w:rsid w:val="00B4252B"/>
    <w:rsid w:val="00B42930"/>
    <w:rsid w:val="00B429EC"/>
    <w:rsid w:val="00B42C63"/>
    <w:rsid w:val="00B42DA9"/>
    <w:rsid w:val="00B42EF9"/>
    <w:rsid w:val="00B439DF"/>
    <w:rsid w:val="00B44836"/>
    <w:rsid w:val="00B4545C"/>
    <w:rsid w:val="00B454DE"/>
    <w:rsid w:val="00B454DF"/>
    <w:rsid w:val="00B455B3"/>
    <w:rsid w:val="00B458A6"/>
    <w:rsid w:val="00B45E54"/>
    <w:rsid w:val="00B466D0"/>
    <w:rsid w:val="00B4713C"/>
    <w:rsid w:val="00B471E2"/>
    <w:rsid w:val="00B47403"/>
    <w:rsid w:val="00B546DD"/>
    <w:rsid w:val="00B5613D"/>
    <w:rsid w:val="00B577C1"/>
    <w:rsid w:val="00B605E7"/>
    <w:rsid w:val="00B6085B"/>
    <w:rsid w:val="00B61561"/>
    <w:rsid w:val="00B617CF"/>
    <w:rsid w:val="00B6188A"/>
    <w:rsid w:val="00B61BF0"/>
    <w:rsid w:val="00B61F42"/>
    <w:rsid w:val="00B628D3"/>
    <w:rsid w:val="00B62945"/>
    <w:rsid w:val="00B6470E"/>
    <w:rsid w:val="00B6520E"/>
    <w:rsid w:val="00B6607F"/>
    <w:rsid w:val="00B70EEB"/>
    <w:rsid w:val="00B71B83"/>
    <w:rsid w:val="00B74033"/>
    <w:rsid w:val="00B75928"/>
    <w:rsid w:val="00B75F23"/>
    <w:rsid w:val="00B770E2"/>
    <w:rsid w:val="00B80D29"/>
    <w:rsid w:val="00B80E11"/>
    <w:rsid w:val="00B811F7"/>
    <w:rsid w:val="00B8358A"/>
    <w:rsid w:val="00B83D42"/>
    <w:rsid w:val="00B84E07"/>
    <w:rsid w:val="00B852D9"/>
    <w:rsid w:val="00B85D56"/>
    <w:rsid w:val="00B86088"/>
    <w:rsid w:val="00B87043"/>
    <w:rsid w:val="00B87770"/>
    <w:rsid w:val="00B9347D"/>
    <w:rsid w:val="00B93DEA"/>
    <w:rsid w:val="00B94AB9"/>
    <w:rsid w:val="00B956D4"/>
    <w:rsid w:val="00B96CB5"/>
    <w:rsid w:val="00B97A4F"/>
    <w:rsid w:val="00BA0503"/>
    <w:rsid w:val="00BA098B"/>
    <w:rsid w:val="00BA3C4F"/>
    <w:rsid w:val="00BA45B8"/>
    <w:rsid w:val="00BA5C8D"/>
    <w:rsid w:val="00BA5DC6"/>
    <w:rsid w:val="00BA6196"/>
    <w:rsid w:val="00BA648B"/>
    <w:rsid w:val="00BA66EC"/>
    <w:rsid w:val="00BA66FD"/>
    <w:rsid w:val="00BA7270"/>
    <w:rsid w:val="00BB1587"/>
    <w:rsid w:val="00BB4D48"/>
    <w:rsid w:val="00BB4D9C"/>
    <w:rsid w:val="00BB6CE1"/>
    <w:rsid w:val="00BB70BF"/>
    <w:rsid w:val="00BB7158"/>
    <w:rsid w:val="00BB7836"/>
    <w:rsid w:val="00BC3444"/>
    <w:rsid w:val="00BC3584"/>
    <w:rsid w:val="00BC4C2B"/>
    <w:rsid w:val="00BC5612"/>
    <w:rsid w:val="00BC6D8C"/>
    <w:rsid w:val="00BC7534"/>
    <w:rsid w:val="00BC7AE1"/>
    <w:rsid w:val="00BC7F59"/>
    <w:rsid w:val="00BD0B0D"/>
    <w:rsid w:val="00BD16D1"/>
    <w:rsid w:val="00BD190D"/>
    <w:rsid w:val="00BD1A77"/>
    <w:rsid w:val="00BD4CEC"/>
    <w:rsid w:val="00BD4E2F"/>
    <w:rsid w:val="00BD5103"/>
    <w:rsid w:val="00BD583D"/>
    <w:rsid w:val="00BD6581"/>
    <w:rsid w:val="00BD778E"/>
    <w:rsid w:val="00BD7797"/>
    <w:rsid w:val="00BD7ED2"/>
    <w:rsid w:val="00BE3AB9"/>
    <w:rsid w:val="00BE3FA6"/>
    <w:rsid w:val="00BE4490"/>
    <w:rsid w:val="00BE5B78"/>
    <w:rsid w:val="00BE7433"/>
    <w:rsid w:val="00BE77B7"/>
    <w:rsid w:val="00BE7BC1"/>
    <w:rsid w:val="00BF1BF8"/>
    <w:rsid w:val="00BF1D1F"/>
    <w:rsid w:val="00BF296C"/>
    <w:rsid w:val="00BF3232"/>
    <w:rsid w:val="00BF4202"/>
    <w:rsid w:val="00BF4F20"/>
    <w:rsid w:val="00BF508A"/>
    <w:rsid w:val="00BF670E"/>
    <w:rsid w:val="00C00082"/>
    <w:rsid w:val="00C005A7"/>
    <w:rsid w:val="00C01CC4"/>
    <w:rsid w:val="00C01E75"/>
    <w:rsid w:val="00C03432"/>
    <w:rsid w:val="00C039A3"/>
    <w:rsid w:val="00C03A1A"/>
    <w:rsid w:val="00C03A33"/>
    <w:rsid w:val="00C0557A"/>
    <w:rsid w:val="00C06AD4"/>
    <w:rsid w:val="00C06B02"/>
    <w:rsid w:val="00C07E3F"/>
    <w:rsid w:val="00C12FCE"/>
    <w:rsid w:val="00C147E9"/>
    <w:rsid w:val="00C155B6"/>
    <w:rsid w:val="00C15914"/>
    <w:rsid w:val="00C1744B"/>
    <w:rsid w:val="00C22CCD"/>
    <w:rsid w:val="00C244CB"/>
    <w:rsid w:val="00C24577"/>
    <w:rsid w:val="00C24722"/>
    <w:rsid w:val="00C25566"/>
    <w:rsid w:val="00C2640A"/>
    <w:rsid w:val="00C27357"/>
    <w:rsid w:val="00C27433"/>
    <w:rsid w:val="00C275C9"/>
    <w:rsid w:val="00C27661"/>
    <w:rsid w:val="00C3001C"/>
    <w:rsid w:val="00C3047F"/>
    <w:rsid w:val="00C30897"/>
    <w:rsid w:val="00C3273D"/>
    <w:rsid w:val="00C33731"/>
    <w:rsid w:val="00C34006"/>
    <w:rsid w:val="00C34012"/>
    <w:rsid w:val="00C340CD"/>
    <w:rsid w:val="00C36B4C"/>
    <w:rsid w:val="00C419E1"/>
    <w:rsid w:val="00C426B1"/>
    <w:rsid w:val="00C42D12"/>
    <w:rsid w:val="00C43900"/>
    <w:rsid w:val="00C44ED3"/>
    <w:rsid w:val="00C45193"/>
    <w:rsid w:val="00C4656B"/>
    <w:rsid w:val="00C46B5B"/>
    <w:rsid w:val="00C46E65"/>
    <w:rsid w:val="00C509FA"/>
    <w:rsid w:val="00C519E6"/>
    <w:rsid w:val="00C52331"/>
    <w:rsid w:val="00C52B07"/>
    <w:rsid w:val="00C531A7"/>
    <w:rsid w:val="00C5372B"/>
    <w:rsid w:val="00C5395E"/>
    <w:rsid w:val="00C53B28"/>
    <w:rsid w:val="00C54750"/>
    <w:rsid w:val="00C54C16"/>
    <w:rsid w:val="00C54C9B"/>
    <w:rsid w:val="00C54DDB"/>
    <w:rsid w:val="00C550FF"/>
    <w:rsid w:val="00C55485"/>
    <w:rsid w:val="00C60FEF"/>
    <w:rsid w:val="00C6106F"/>
    <w:rsid w:val="00C62074"/>
    <w:rsid w:val="00C62F33"/>
    <w:rsid w:val="00C636E9"/>
    <w:rsid w:val="00C647F1"/>
    <w:rsid w:val="00C64CA8"/>
    <w:rsid w:val="00C65293"/>
    <w:rsid w:val="00C66160"/>
    <w:rsid w:val="00C6680C"/>
    <w:rsid w:val="00C6695B"/>
    <w:rsid w:val="00C7071C"/>
    <w:rsid w:val="00C712F3"/>
    <w:rsid w:val="00C721AC"/>
    <w:rsid w:val="00C72A37"/>
    <w:rsid w:val="00C73317"/>
    <w:rsid w:val="00C736CC"/>
    <w:rsid w:val="00C744B8"/>
    <w:rsid w:val="00C75115"/>
    <w:rsid w:val="00C756A5"/>
    <w:rsid w:val="00C75AB3"/>
    <w:rsid w:val="00C769CF"/>
    <w:rsid w:val="00C80AD7"/>
    <w:rsid w:val="00C81388"/>
    <w:rsid w:val="00C81E53"/>
    <w:rsid w:val="00C82EA0"/>
    <w:rsid w:val="00C83084"/>
    <w:rsid w:val="00C83B03"/>
    <w:rsid w:val="00C848D0"/>
    <w:rsid w:val="00C86826"/>
    <w:rsid w:val="00C90D6A"/>
    <w:rsid w:val="00C91186"/>
    <w:rsid w:val="00C92F5F"/>
    <w:rsid w:val="00C93125"/>
    <w:rsid w:val="00C93F8D"/>
    <w:rsid w:val="00C9407D"/>
    <w:rsid w:val="00C963E3"/>
    <w:rsid w:val="00C96659"/>
    <w:rsid w:val="00C966D7"/>
    <w:rsid w:val="00C97529"/>
    <w:rsid w:val="00CA0BD9"/>
    <w:rsid w:val="00CA17CF"/>
    <w:rsid w:val="00CA247E"/>
    <w:rsid w:val="00CA2C51"/>
    <w:rsid w:val="00CA38EA"/>
    <w:rsid w:val="00CA3BBE"/>
    <w:rsid w:val="00CA4278"/>
    <w:rsid w:val="00CA5279"/>
    <w:rsid w:val="00CA561D"/>
    <w:rsid w:val="00CA5F70"/>
    <w:rsid w:val="00CA6B4F"/>
    <w:rsid w:val="00CA6D21"/>
    <w:rsid w:val="00CA6FE1"/>
    <w:rsid w:val="00CA700A"/>
    <w:rsid w:val="00CA7AA0"/>
    <w:rsid w:val="00CB0149"/>
    <w:rsid w:val="00CB04A2"/>
    <w:rsid w:val="00CB12C4"/>
    <w:rsid w:val="00CB19E3"/>
    <w:rsid w:val="00CB25F9"/>
    <w:rsid w:val="00CB31BA"/>
    <w:rsid w:val="00CB40D7"/>
    <w:rsid w:val="00CB4317"/>
    <w:rsid w:val="00CB5588"/>
    <w:rsid w:val="00CB579D"/>
    <w:rsid w:val="00CB66DD"/>
    <w:rsid w:val="00CB70FC"/>
    <w:rsid w:val="00CB7707"/>
    <w:rsid w:val="00CB7A8A"/>
    <w:rsid w:val="00CC082A"/>
    <w:rsid w:val="00CC2427"/>
    <w:rsid w:val="00CC3381"/>
    <w:rsid w:val="00CC4F1D"/>
    <w:rsid w:val="00CC68BE"/>
    <w:rsid w:val="00CC72B6"/>
    <w:rsid w:val="00CD0419"/>
    <w:rsid w:val="00CD2BF6"/>
    <w:rsid w:val="00CD3632"/>
    <w:rsid w:val="00CD36C2"/>
    <w:rsid w:val="00CD3E34"/>
    <w:rsid w:val="00CD6349"/>
    <w:rsid w:val="00CD667F"/>
    <w:rsid w:val="00CD6A71"/>
    <w:rsid w:val="00CD7092"/>
    <w:rsid w:val="00CD73EC"/>
    <w:rsid w:val="00CE10F0"/>
    <w:rsid w:val="00CE136B"/>
    <w:rsid w:val="00CE3534"/>
    <w:rsid w:val="00CE4C37"/>
    <w:rsid w:val="00CE5144"/>
    <w:rsid w:val="00CE673E"/>
    <w:rsid w:val="00CE68A0"/>
    <w:rsid w:val="00CF18B6"/>
    <w:rsid w:val="00CF294B"/>
    <w:rsid w:val="00CF5B3D"/>
    <w:rsid w:val="00CF77E2"/>
    <w:rsid w:val="00CF7CF8"/>
    <w:rsid w:val="00D00A03"/>
    <w:rsid w:val="00D0135A"/>
    <w:rsid w:val="00D014FC"/>
    <w:rsid w:val="00D01580"/>
    <w:rsid w:val="00D01BBD"/>
    <w:rsid w:val="00D020B6"/>
    <w:rsid w:val="00D0218D"/>
    <w:rsid w:val="00D042A7"/>
    <w:rsid w:val="00D046A5"/>
    <w:rsid w:val="00D0473B"/>
    <w:rsid w:val="00D047F5"/>
    <w:rsid w:val="00D05180"/>
    <w:rsid w:val="00D052B9"/>
    <w:rsid w:val="00D0628C"/>
    <w:rsid w:val="00D06462"/>
    <w:rsid w:val="00D07495"/>
    <w:rsid w:val="00D07E2B"/>
    <w:rsid w:val="00D10781"/>
    <w:rsid w:val="00D13E70"/>
    <w:rsid w:val="00D15BB7"/>
    <w:rsid w:val="00D223A0"/>
    <w:rsid w:val="00D239F7"/>
    <w:rsid w:val="00D23F73"/>
    <w:rsid w:val="00D24856"/>
    <w:rsid w:val="00D250E0"/>
    <w:rsid w:val="00D254FF"/>
    <w:rsid w:val="00D25FB5"/>
    <w:rsid w:val="00D27874"/>
    <w:rsid w:val="00D3436A"/>
    <w:rsid w:val="00D37667"/>
    <w:rsid w:val="00D40DC6"/>
    <w:rsid w:val="00D4170C"/>
    <w:rsid w:val="00D41E52"/>
    <w:rsid w:val="00D41E9E"/>
    <w:rsid w:val="00D42671"/>
    <w:rsid w:val="00D42DAF"/>
    <w:rsid w:val="00D43678"/>
    <w:rsid w:val="00D43A0E"/>
    <w:rsid w:val="00D44223"/>
    <w:rsid w:val="00D44536"/>
    <w:rsid w:val="00D46E1A"/>
    <w:rsid w:val="00D47063"/>
    <w:rsid w:val="00D47F4B"/>
    <w:rsid w:val="00D508E6"/>
    <w:rsid w:val="00D52E46"/>
    <w:rsid w:val="00D542CC"/>
    <w:rsid w:val="00D54918"/>
    <w:rsid w:val="00D54B9F"/>
    <w:rsid w:val="00D569F5"/>
    <w:rsid w:val="00D57AB0"/>
    <w:rsid w:val="00D57DAC"/>
    <w:rsid w:val="00D630AD"/>
    <w:rsid w:val="00D634FC"/>
    <w:rsid w:val="00D63DA9"/>
    <w:rsid w:val="00D63F3A"/>
    <w:rsid w:val="00D643E0"/>
    <w:rsid w:val="00D64D5E"/>
    <w:rsid w:val="00D64EC1"/>
    <w:rsid w:val="00D67623"/>
    <w:rsid w:val="00D676A2"/>
    <w:rsid w:val="00D71371"/>
    <w:rsid w:val="00D72077"/>
    <w:rsid w:val="00D7229E"/>
    <w:rsid w:val="00D72499"/>
    <w:rsid w:val="00D73217"/>
    <w:rsid w:val="00D7536C"/>
    <w:rsid w:val="00D75A5A"/>
    <w:rsid w:val="00D76267"/>
    <w:rsid w:val="00D762EE"/>
    <w:rsid w:val="00D77956"/>
    <w:rsid w:val="00D77C42"/>
    <w:rsid w:val="00D801EA"/>
    <w:rsid w:val="00D817C6"/>
    <w:rsid w:val="00D82331"/>
    <w:rsid w:val="00D823F7"/>
    <w:rsid w:val="00D833B2"/>
    <w:rsid w:val="00D842E2"/>
    <w:rsid w:val="00D84D18"/>
    <w:rsid w:val="00D84ECC"/>
    <w:rsid w:val="00D8509F"/>
    <w:rsid w:val="00D85639"/>
    <w:rsid w:val="00D85960"/>
    <w:rsid w:val="00D85D54"/>
    <w:rsid w:val="00D86746"/>
    <w:rsid w:val="00D86CFA"/>
    <w:rsid w:val="00D87996"/>
    <w:rsid w:val="00D90590"/>
    <w:rsid w:val="00D90A67"/>
    <w:rsid w:val="00D913ED"/>
    <w:rsid w:val="00D915C8"/>
    <w:rsid w:val="00D93555"/>
    <w:rsid w:val="00D93C64"/>
    <w:rsid w:val="00D9523F"/>
    <w:rsid w:val="00D9543E"/>
    <w:rsid w:val="00D9590B"/>
    <w:rsid w:val="00D96CC9"/>
    <w:rsid w:val="00D96F60"/>
    <w:rsid w:val="00D97204"/>
    <w:rsid w:val="00D97207"/>
    <w:rsid w:val="00D974BE"/>
    <w:rsid w:val="00D97922"/>
    <w:rsid w:val="00D97A69"/>
    <w:rsid w:val="00DA09A1"/>
    <w:rsid w:val="00DA1803"/>
    <w:rsid w:val="00DA2529"/>
    <w:rsid w:val="00DA2BC7"/>
    <w:rsid w:val="00DA3A09"/>
    <w:rsid w:val="00DA4395"/>
    <w:rsid w:val="00DA45FF"/>
    <w:rsid w:val="00DA5908"/>
    <w:rsid w:val="00DA6471"/>
    <w:rsid w:val="00DA6B74"/>
    <w:rsid w:val="00DB02A8"/>
    <w:rsid w:val="00DB088B"/>
    <w:rsid w:val="00DB104C"/>
    <w:rsid w:val="00DB11EB"/>
    <w:rsid w:val="00DB11F7"/>
    <w:rsid w:val="00DB130A"/>
    <w:rsid w:val="00DB26BD"/>
    <w:rsid w:val="00DB2EBB"/>
    <w:rsid w:val="00DB3BB8"/>
    <w:rsid w:val="00DB4D03"/>
    <w:rsid w:val="00DB54ED"/>
    <w:rsid w:val="00DB5FA1"/>
    <w:rsid w:val="00DB6CF1"/>
    <w:rsid w:val="00DC10A1"/>
    <w:rsid w:val="00DC14F4"/>
    <w:rsid w:val="00DC1A1C"/>
    <w:rsid w:val="00DC22C2"/>
    <w:rsid w:val="00DC655F"/>
    <w:rsid w:val="00DC71B8"/>
    <w:rsid w:val="00DC73D4"/>
    <w:rsid w:val="00DC7DD8"/>
    <w:rsid w:val="00DD0815"/>
    <w:rsid w:val="00DD0B59"/>
    <w:rsid w:val="00DD1087"/>
    <w:rsid w:val="00DD168D"/>
    <w:rsid w:val="00DD30AE"/>
    <w:rsid w:val="00DD33F7"/>
    <w:rsid w:val="00DD39F4"/>
    <w:rsid w:val="00DD3E76"/>
    <w:rsid w:val="00DD711B"/>
    <w:rsid w:val="00DD7EBD"/>
    <w:rsid w:val="00DE0917"/>
    <w:rsid w:val="00DE0A5D"/>
    <w:rsid w:val="00DE1213"/>
    <w:rsid w:val="00DE231C"/>
    <w:rsid w:val="00DE3E07"/>
    <w:rsid w:val="00DE42CB"/>
    <w:rsid w:val="00DE474A"/>
    <w:rsid w:val="00DE48B8"/>
    <w:rsid w:val="00DE54BE"/>
    <w:rsid w:val="00DE54DF"/>
    <w:rsid w:val="00DF13B2"/>
    <w:rsid w:val="00DF1915"/>
    <w:rsid w:val="00DF1F84"/>
    <w:rsid w:val="00DF301A"/>
    <w:rsid w:val="00DF34D5"/>
    <w:rsid w:val="00DF3E27"/>
    <w:rsid w:val="00DF4141"/>
    <w:rsid w:val="00DF47F5"/>
    <w:rsid w:val="00DF4955"/>
    <w:rsid w:val="00DF5F4F"/>
    <w:rsid w:val="00DF62B6"/>
    <w:rsid w:val="00DF6AE2"/>
    <w:rsid w:val="00E000F9"/>
    <w:rsid w:val="00E06F2F"/>
    <w:rsid w:val="00E07225"/>
    <w:rsid w:val="00E07561"/>
    <w:rsid w:val="00E075AD"/>
    <w:rsid w:val="00E112B1"/>
    <w:rsid w:val="00E11353"/>
    <w:rsid w:val="00E11766"/>
    <w:rsid w:val="00E11C7D"/>
    <w:rsid w:val="00E14128"/>
    <w:rsid w:val="00E16892"/>
    <w:rsid w:val="00E23254"/>
    <w:rsid w:val="00E25A0A"/>
    <w:rsid w:val="00E262C2"/>
    <w:rsid w:val="00E274ED"/>
    <w:rsid w:val="00E30078"/>
    <w:rsid w:val="00E33B3D"/>
    <w:rsid w:val="00E36E1B"/>
    <w:rsid w:val="00E400E4"/>
    <w:rsid w:val="00E40CDF"/>
    <w:rsid w:val="00E410E1"/>
    <w:rsid w:val="00E4293B"/>
    <w:rsid w:val="00E42DE1"/>
    <w:rsid w:val="00E43108"/>
    <w:rsid w:val="00E435C1"/>
    <w:rsid w:val="00E44A4E"/>
    <w:rsid w:val="00E4518A"/>
    <w:rsid w:val="00E45CA5"/>
    <w:rsid w:val="00E46A5F"/>
    <w:rsid w:val="00E47858"/>
    <w:rsid w:val="00E5409F"/>
    <w:rsid w:val="00E541FF"/>
    <w:rsid w:val="00E54F63"/>
    <w:rsid w:val="00E55376"/>
    <w:rsid w:val="00E5585B"/>
    <w:rsid w:val="00E61635"/>
    <w:rsid w:val="00E6292D"/>
    <w:rsid w:val="00E62E99"/>
    <w:rsid w:val="00E64F0B"/>
    <w:rsid w:val="00E66FDA"/>
    <w:rsid w:val="00E67099"/>
    <w:rsid w:val="00E67BB4"/>
    <w:rsid w:val="00E70090"/>
    <w:rsid w:val="00E703A0"/>
    <w:rsid w:val="00E704CE"/>
    <w:rsid w:val="00E71CF5"/>
    <w:rsid w:val="00E724EC"/>
    <w:rsid w:val="00E73AF8"/>
    <w:rsid w:val="00E74212"/>
    <w:rsid w:val="00E743DB"/>
    <w:rsid w:val="00E77988"/>
    <w:rsid w:val="00E80280"/>
    <w:rsid w:val="00E8302E"/>
    <w:rsid w:val="00E85E8F"/>
    <w:rsid w:val="00E8707A"/>
    <w:rsid w:val="00E87D38"/>
    <w:rsid w:val="00E90606"/>
    <w:rsid w:val="00E90679"/>
    <w:rsid w:val="00E90EB4"/>
    <w:rsid w:val="00E91C8B"/>
    <w:rsid w:val="00E91CD2"/>
    <w:rsid w:val="00E94F1E"/>
    <w:rsid w:val="00E95920"/>
    <w:rsid w:val="00E976D0"/>
    <w:rsid w:val="00EA13F9"/>
    <w:rsid w:val="00EA173A"/>
    <w:rsid w:val="00EA18F7"/>
    <w:rsid w:val="00EA2236"/>
    <w:rsid w:val="00EA3A02"/>
    <w:rsid w:val="00EA538C"/>
    <w:rsid w:val="00EA75FA"/>
    <w:rsid w:val="00EB0459"/>
    <w:rsid w:val="00EB0BD6"/>
    <w:rsid w:val="00EB3E52"/>
    <w:rsid w:val="00EB3E92"/>
    <w:rsid w:val="00EB4688"/>
    <w:rsid w:val="00EB4D80"/>
    <w:rsid w:val="00EB5DC5"/>
    <w:rsid w:val="00EB6C56"/>
    <w:rsid w:val="00EB7112"/>
    <w:rsid w:val="00EB7B08"/>
    <w:rsid w:val="00EB7F0B"/>
    <w:rsid w:val="00EC04F1"/>
    <w:rsid w:val="00EC2AA6"/>
    <w:rsid w:val="00EC2AEC"/>
    <w:rsid w:val="00EC40F5"/>
    <w:rsid w:val="00EC4D0E"/>
    <w:rsid w:val="00EC646A"/>
    <w:rsid w:val="00EC6990"/>
    <w:rsid w:val="00EC6BA2"/>
    <w:rsid w:val="00EC72B4"/>
    <w:rsid w:val="00ED13FF"/>
    <w:rsid w:val="00ED2783"/>
    <w:rsid w:val="00ED443C"/>
    <w:rsid w:val="00ED5C66"/>
    <w:rsid w:val="00ED7E7B"/>
    <w:rsid w:val="00EE293B"/>
    <w:rsid w:val="00EE3AAD"/>
    <w:rsid w:val="00EE3E52"/>
    <w:rsid w:val="00EE3F6E"/>
    <w:rsid w:val="00EE4161"/>
    <w:rsid w:val="00EE4775"/>
    <w:rsid w:val="00EE4D69"/>
    <w:rsid w:val="00EE59CE"/>
    <w:rsid w:val="00EE5AFC"/>
    <w:rsid w:val="00EE6488"/>
    <w:rsid w:val="00EF0602"/>
    <w:rsid w:val="00EF1D2E"/>
    <w:rsid w:val="00EF2C56"/>
    <w:rsid w:val="00EF3DB0"/>
    <w:rsid w:val="00EF407A"/>
    <w:rsid w:val="00EF4698"/>
    <w:rsid w:val="00EF4878"/>
    <w:rsid w:val="00EF5218"/>
    <w:rsid w:val="00EF64E9"/>
    <w:rsid w:val="00EF6548"/>
    <w:rsid w:val="00EF6722"/>
    <w:rsid w:val="00EF6E4F"/>
    <w:rsid w:val="00EF7389"/>
    <w:rsid w:val="00EF7422"/>
    <w:rsid w:val="00F021FA"/>
    <w:rsid w:val="00F0294E"/>
    <w:rsid w:val="00F03101"/>
    <w:rsid w:val="00F03B7E"/>
    <w:rsid w:val="00F04E08"/>
    <w:rsid w:val="00F063DD"/>
    <w:rsid w:val="00F06AD1"/>
    <w:rsid w:val="00F07DE5"/>
    <w:rsid w:val="00F10DB2"/>
    <w:rsid w:val="00F1377D"/>
    <w:rsid w:val="00F1454D"/>
    <w:rsid w:val="00F14CD7"/>
    <w:rsid w:val="00F15C89"/>
    <w:rsid w:val="00F1686E"/>
    <w:rsid w:val="00F168BE"/>
    <w:rsid w:val="00F16DF8"/>
    <w:rsid w:val="00F16E8C"/>
    <w:rsid w:val="00F17B5C"/>
    <w:rsid w:val="00F202D9"/>
    <w:rsid w:val="00F217B2"/>
    <w:rsid w:val="00F217BB"/>
    <w:rsid w:val="00F225E6"/>
    <w:rsid w:val="00F225F2"/>
    <w:rsid w:val="00F22A67"/>
    <w:rsid w:val="00F2308B"/>
    <w:rsid w:val="00F23999"/>
    <w:rsid w:val="00F23DFB"/>
    <w:rsid w:val="00F24770"/>
    <w:rsid w:val="00F2577A"/>
    <w:rsid w:val="00F25D6E"/>
    <w:rsid w:val="00F270C9"/>
    <w:rsid w:val="00F31073"/>
    <w:rsid w:val="00F310F6"/>
    <w:rsid w:val="00F33325"/>
    <w:rsid w:val="00F33EF2"/>
    <w:rsid w:val="00F349E8"/>
    <w:rsid w:val="00F3543C"/>
    <w:rsid w:val="00F36339"/>
    <w:rsid w:val="00F36E12"/>
    <w:rsid w:val="00F36E1A"/>
    <w:rsid w:val="00F4042C"/>
    <w:rsid w:val="00F416D7"/>
    <w:rsid w:val="00F42971"/>
    <w:rsid w:val="00F433D5"/>
    <w:rsid w:val="00F44B4E"/>
    <w:rsid w:val="00F44C71"/>
    <w:rsid w:val="00F4506D"/>
    <w:rsid w:val="00F45E42"/>
    <w:rsid w:val="00F46D55"/>
    <w:rsid w:val="00F47F12"/>
    <w:rsid w:val="00F5045F"/>
    <w:rsid w:val="00F52A20"/>
    <w:rsid w:val="00F53498"/>
    <w:rsid w:val="00F537DC"/>
    <w:rsid w:val="00F54A18"/>
    <w:rsid w:val="00F56B84"/>
    <w:rsid w:val="00F60523"/>
    <w:rsid w:val="00F61A11"/>
    <w:rsid w:val="00F62E97"/>
    <w:rsid w:val="00F631D1"/>
    <w:rsid w:val="00F63334"/>
    <w:rsid w:val="00F6402D"/>
    <w:rsid w:val="00F640D7"/>
    <w:rsid w:val="00F64209"/>
    <w:rsid w:val="00F65D80"/>
    <w:rsid w:val="00F6602D"/>
    <w:rsid w:val="00F666BB"/>
    <w:rsid w:val="00F668FA"/>
    <w:rsid w:val="00F70105"/>
    <w:rsid w:val="00F70AE4"/>
    <w:rsid w:val="00F70C27"/>
    <w:rsid w:val="00F71527"/>
    <w:rsid w:val="00F71C1C"/>
    <w:rsid w:val="00F7266C"/>
    <w:rsid w:val="00F7297C"/>
    <w:rsid w:val="00F74F14"/>
    <w:rsid w:val="00F803DD"/>
    <w:rsid w:val="00F80AEB"/>
    <w:rsid w:val="00F812D6"/>
    <w:rsid w:val="00F81BC5"/>
    <w:rsid w:val="00F825D0"/>
    <w:rsid w:val="00F83E51"/>
    <w:rsid w:val="00F841EE"/>
    <w:rsid w:val="00F84768"/>
    <w:rsid w:val="00F86B99"/>
    <w:rsid w:val="00F87799"/>
    <w:rsid w:val="00F879A3"/>
    <w:rsid w:val="00F91B34"/>
    <w:rsid w:val="00F9298C"/>
    <w:rsid w:val="00F9307E"/>
    <w:rsid w:val="00F93BF5"/>
    <w:rsid w:val="00F94B0F"/>
    <w:rsid w:val="00F95629"/>
    <w:rsid w:val="00F956AB"/>
    <w:rsid w:val="00F9639E"/>
    <w:rsid w:val="00F96BBB"/>
    <w:rsid w:val="00F96C7D"/>
    <w:rsid w:val="00FA27F1"/>
    <w:rsid w:val="00FA3C25"/>
    <w:rsid w:val="00FA5F00"/>
    <w:rsid w:val="00FA652B"/>
    <w:rsid w:val="00FA6633"/>
    <w:rsid w:val="00FA6D4C"/>
    <w:rsid w:val="00FA7812"/>
    <w:rsid w:val="00FA785B"/>
    <w:rsid w:val="00FA7C89"/>
    <w:rsid w:val="00FB0683"/>
    <w:rsid w:val="00FB1B72"/>
    <w:rsid w:val="00FB3071"/>
    <w:rsid w:val="00FB4BA5"/>
    <w:rsid w:val="00FB4BB8"/>
    <w:rsid w:val="00FB4FED"/>
    <w:rsid w:val="00FB5B5D"/>
    <w:rsid w:val="00FB61E0"/>
    <w:rsid w:val="00FC0A97"/>
    <w:rsid w:val="00FC0F0E"/>
    <w:rsid w:val="00FC1D61"/>
    <w:rsid w:val="00FC315F"/>
    <w:rsid w:val="00FC31E7"/>
    <w:rsid w:val="00FC4711"/>
    <w:rsid w:val="00FC5ACD"/>
    <w:rsid w:val="00FC7D8F"/>
    <w:rsid w:val="00FD0C18"/>
    <w:rsid w:val="00FD0FC4"/>
    <w:rsid w:val="00FD15C4"/>
    <w:rsid w:val="00FD16C2"/>
    <w:rsid w:val="00FD2D66"/>
    <w:rsid w:val="00FD2DFF"/>
    <w:rsid w:val="00FD4FD8"/>
    <w:rsid w:val="00FD60A6"/>
    <w:rsid w:val="00FD6B65"/>
    <w:rsid w:val="00FD6F1F"/>
    <w:rsid w:val="00FE27C2"/>
    <w:rsid w:val="00FE4602"/>
    <w:rsid w:val="00FE6845"/>
    <w:rsid w:val="00FF1739"/>
    <w:rsid w:val="00FF2E6A"/>
    <w:rsid w:val="00FF3285"/>
    <w:rsid w:val="00FF464F"/>
    <w:rsid w:val="00FF5562"/>
    <w:rsid w:val="00FF681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E818667"/>
  <w15:chartTrackingRefBased/>
  <w15:docId w15:val="{EADAA697-A045-422B-BDE9-E11A3F211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25FB5"/>
    <w:pPr>
      <w:widowControl w:val="0"/>
    </w:pPr>
    <w:rPr>
      <w:snapToGrid w:val="0"/>
      <w:kern w:val="28"/>
      <w:sz w:val="22"/>
    </w:rPr>
  </w:style>
  <w:style w:type="paragraph" w:styleId="Heading1">
    <w:name w:val="heading 1"/>
    <w:basedOn w:val="Normal"/>
    <w:next w:val="ParaNum"/>
    <w:qFormat/>
    <w:rsid w:val="00626EB6"/>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rsid w:val="007A1E6D"/>
    <w:pPr>
      <w:keepNext/>
      <w:numPr>
        <w:ilvl w:val="1"/>
        <w:numId w:val="3"/>
      </w:numPr>
      <w:spacing w:after="120"/>
      <w:outlineLvl w:val="1"/>
    </w:pPr>
    <w:rPr>
      <w:b/>
    </w:rPr>
  </w:style>
  <w:style w:type="paragraph" w:styleId="Heading3">
    <w:name w:val="heading 3"/>
    <w:basedOn w:val="Normal"/>
    <w:next w:val="ParaNum"/>
    <w:qFormat/>
    <w:rsid w:val="00BA6196"/>
    <w:pPr>
      <w:keepNext/>
      <w:numPr>
        <w:ilvl w:val="2"/>
        <w:numId w:val="3"/>
      </w:numPr>
      <w:tabs>
        <w:tab w:val="left" w:pos="2160"/>
      </w:tabs>
      <w:spacing w:after="120"/>
      <w:outlineLvl w:val="2"/>
    </w:pPr>
    <w:rPr>
      <w:b/>
    </w:rPr>
  </w:style>
  <w:style w:type="paragraph" w:styleId="Heading4">
    <w:name w:val="heading 4"/>
    <w:basedOn w:val="Normal"/>
    <w:next w:val="ParaNum"/>
    <w:qFormat/>
    <w:rsid w:val="00C426B1"/>
    <w:pPr>
      <w:keepNext/>
      <w:numPr>
        <w:ilvl w:val="3"/>
        <w:numId w:val="3"/>
      </w:numPr>
      <w:tabs>
        <w:tab w:val="left" w:pos="2880"/>
      </w:tabs>
      <w:spacing w:after="120"/>
      <w:outlineLvl w:val="3"/>
    </w:pPr>
    <w:rPr>
      <w:b/>
    </w:rPr>
  </w:style>
  <w:style w:type="paragraph" w:styleId="Heading5">
    <w:name w:val="heading 5"/>
    <w:basedOn w:val="Normal"/>
    <w:next w:val="ParaNum"/>
    <w:qFormat/>
    <w:rsid w:val="00511968"/>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rsid w:val="00036039"/>
    <w:pPr>
      <w:numPr>
        <w:ilvl w:val="5"/>
        <w:numId w:val="3"/>
      </w:numPr>
      <w:tabs>
        <w:tab w:val="left" w:pos="4320"/>
      </w:tabs>
      <w:spacing w:after="120"/>
      <w:outlineLvl w:val="5"/>
    </w:pPr>
    <w:rPr>
      <w:b/>
    </w:rPr>
  </w:style>
  <w:style w:type="paragraph" w:styleId="Heading7">
    <w:name w:val="heading 7"/>
    <w:basedOn w:val="Normal"/>
    <w:next w:val="ParaNum"/>
    <w:qFormat/>
    <w:rsid w:val="00036039"/>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1E01CA"/>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rsid w:val="001E01CA"/>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
    <w:rsid w:val="00E07225"/>
    <w:pPr>
      <w:numPr>
        <w:numId w:val="2"/>
      </w:numPr>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aliases w:val="Footnote Text Char Char Char,Footnote Text Char Char Char Char Char,Footnote Text Char1 Char Char Char,Footnote Text Char1 Char1,Footnote Text Char2,Footnote Text Char2 Char Char Char Char Char,Footnote Text Char4,f,FOOTNOTE,fn,Styl"/>
    <w:link w:val="FootnoteTextChar"/>
    <w:rsid w:val="000E3D42"/>
    <w:pPr>
      <w:spacing w:after="120"/>
    </w:pPr>
  </w:style>
  <w:style w:type="character" w:styleId="FootnoteReference">
    <w:name w:val="footnote reference"/>
    <w:aliases w:val="(NECG) Footnote Reference,-E Funotenzeichen,A,Appel note de bas de p,FR,Footnote Reference/,Footnote Reference1,Style 12,Style 124,Style 13,Style 17,Style 20,Style 3,Style 34,Style 4,Style 6,Style 7,Style 9,callout,fr,o,Ref,Style 1"/>
    <w:rsid w:val="00A32C3B"/>
    <w:rPr>
      <w:rFonts w:ascii="Times New Roman" w:hAnsi="Times New Roman"/>
      <w:dstrike w:val="0"/>
      <w:color w:val="auto"/>
      <w:sz w:val="20"/>
      <w:vertAlign w:val="superscript"/>
    </w:rPr>
  </w:style>
  <w:style w:type="paragraph" w:styleId="TOC1">
    <w:name w:val="toc 1"/>
    <w:basedOn w:val="Normal"/>
    <w:next w:val="Normal"/>
    <w:uiPriority w:val="39"/>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rsid w:val="000223DB"/>
    <w:pPr>
      <w:tabs>
        <w:tab w:val="center" w:pos="4680"/>
        <w:tab w:val="right" w:pos="9360"/>
      </w:tabs>
      <w:jc w:val="center"/>
    </w:pPr>
    <w:rPr>
      <w:b/>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tabs>
        <w:tab w:val="left" w:pos="2160"/>
      </w:tabs>
      <w:spacing w:after="220"/>
      <w:ind w:left="2160" w:hanging="720"/>
    </w:pPr>
  </w:style>
  <w:style w:type="paragraph" w:customStyle="1" w:styleId="TableFormat">
    <w:name w:val="TableFormat"/>
    <w:basedOn w:val="Bullet"/>
    <w:p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96D8C"/>
    <w:pPr>
      <w:jc w:val="center"/>
    </w:pPr>
    <w:rPr>
      <w:rFonts w:ascii="Times New Roman Bold" w:hAnsi="Times New Roman Bold"/>
      <w:b/>
      <w:bCs/>
      <w:caps/>
      <w:szCs w:val="22"/>
    </w:rPr>
  </w:style>
  <w:style w:type="character" w:styleId="Hyperlink">
    <w:name w:val="Hyperlink"/>
    <w:rsid w:val="002A2D2E"/>
    <w:rPr>
      <w:color w:val="0000FF"/>
      <w:u w:val="single"/>
    </w:rPr>
  </w:style>
  <w:style w:type="character" w:customStyle="1" w:styleId="FooterChar">
    <w:name w:val="Footer Char"/>
    <w:link w:val="Footer"/>
    <w:uiPriority w:val="99"/>
    <w:rsid w:val="009D7308"/>
    <w:rPr>
      <w:snapToGrid w:val="0"/>
      <w:kern w:val="28"/>
      <w:sz w:val="22"/>
    </w:rPr>
  </w:style>
  <w:style w:type="character" w:styleId="UnresolvedMention">
    <w:name w:val="Unresolved Mention"/>
    <w:uiPriority w:val="99"/>
    <w:semiHidden/>
    <w:unhideWhenUsed/>
    <w:rsid w:val="004A1089"/>
    <w:rPr>
      <w:color w:val="605E5C"/>
      <w:shd w:val="clear" w:color="auto" w:fill="E1DFDD"/>
    </w:rPr>
  </w:style>
  <w:style w:type="character" w:customStyle="1" w:styleId="FootnoteTextChar">
    <w:name w:val="Footnote Text Char"/>
    <w:aliases w:val="Footnote Text Char Char Char Char,Footnote Text Char Char Char Char Char Char,Footnote Text Char1 Char Char Char Char,Footnote Text Char1 Char1 Char,Footnote Text Char2 Char,Footnote Text Char2 Char Char Char Char Char Char,f Char"/>
    <w:link w:val="FootnoteText"/>
    <w:rsid w:val="000C453A"/>
  </w:style>
  <w:style w:type="character" w:customStyle="1" w:styleId="ParaNumChar">
    <w:name w:val="ParaNum Char"/>
    <w:link w:val="ParaNum"/>
    <w:rsid w:val="000C453A"/>
    <w:rPr>
      <w:snapToGrid w:val="0"/>
      <w:kern w:val="28"/>
      <w:sz w:val="22"/>
    </w:rPr>
  </w:style>
  <w:style w:type="paragraph" w:styleId="Revision">
    <w:name w:val="Revision"/>
    <w:hidden/>
    <w:uiPriority w:val="99"/>
    <w:semiHidden/>
    <w:rsid w:val="00A37ACD"/>
    <w:rPr>
      <w:snapToGrid w:val="0"/>
      <w:kern w:val="28"/>
      <w:sz w:val="22"/>
    </w:rPr>
  </w:style>
  <w:style w:type="character" w:styleId="CommentReference">
    <w:name w:val="annotation reference"/>
    <w:basedOn w:val="DefaultParagraphFont"/>
    <w:rsid w:val="009D36BC"/>
    <w:rPr>
      <w:sz w:val="16"/>
      <w:szCs w:val="16"/>
    </w:rPr>
  </w:style>
  <w:style w:type="paragraph" w:styleId="CommentText">
    <w:name w:val="annotation text"/>
    <w:basedOn w:val="Normal"/>
    <w:link w:val="CommentTextChar"/>
    <w:rsid w:val="009D36BC"/>
    <w:rPr>
      <w:sz w:val="20"/>
    </w:rPr>
  </w:style>
  <w:style w:type="character" w:customStyle="1" w:styleId="CommentTextChar">
    <w:name w:val="Comment Text Char"/>
    <w:basedOn w:val="DefaultParagraphFont"/>
    <w:link w:val="CommentText"/>
    <w:rsid w:val="009D36BC"/>
    <w:rPr>
      <w:snapToGrid w:val="0"/>
      <w:kern w:val="28"/>
    </w:rPr>
  </w:style>
  <w:style w:type="paragraph" w:styleId="CommentSubject">
    <w:name w:val="annotation subject"/>
    <w:basedOn w:val="CommentText"/>
    <w:next w:val="CommentText"/>
    <w:link w:val="CommentSubjectChar"/>
    <w:rsid w:val="009D36BC"/>
    <w:rPr>
      <w:b/>
      <w:bCs/>
    </w:rPr>
  </w:style>
  <w:style w:type="character" w:customStyle="1" w:styleId="CommentSubjectChar">
    <w:name w:val="Comment Subject Char"/>
    <w:basedOn w:val="CommentTextChar"/>
    <w:link w:val="CommentSubject"/>
    <w:rsid w:val="009D36BC"/>
    <w:rPr>
      <w:b/>
      <w:bCs/>
      <w:snapToGrid w:val="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Orders%20TOC%20by%20Paragraph.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Orders TOC by Paragraph</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