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FA664A" w:rsidRPr="002133F1" w:rsidP="00FA664A" w14:paraId="00574FD8" w14:textId="77777777">
      <w:pPr>
        <w:pBdr>
          <w:bottom w:val="thinThickThinMediumGap" w:sz="18" w:space="1" w:color="auto"/>
        </w:pBdr>
        <w:tabs>
          <w:tab w:val="left" w:pos="4680"/>
        </w:tabs>
        <w:jc w:val="center"/>
        <w:rPr>
          <w:color w:val="002060"/>
          <w:sz w:val="22"/>
          <w:szCs w:val="22"/>
          <w14:shadow w14:blurRad="38100" w14:dist="19050" w14:dir="2700000" w14:sx="100000" w14:sy="100000" w14:kx="0" w14:ky="0" w14:algn="tl">
            <w14:schemeClr w14:val="dk1">
              <w14:alpha w14:val="60000"/>
            </w14:schemeClr>
          </w14:shadow>
          <w14:textOutline w14:w="0">
            <w14:noFill/>
            <w14:prstDash w14:val="solid"/>
            <w14:round/>
          </w14:textOutline>
        </w:rPr>
      </w:pPr>
      <w:bookmarkStart w:id="0" w:name="_Hlk22549494"/>
      <w:bookmarkStart w:id="1" w:name="_Hlk86656768"/>
      <w:bookmarkEnd w:id="0"/>
      <w:r w:rsidRPr="002133F1">
        <w:rPr>
          <w:color w:val="002060"/>
          <w:sz w:val="96"/>
          <w:szCs w:val="96"/>
          <w14:shadow w14:blurRad="38100" w14:dist="19050" w14:dir="2700000" w14:sx="100000" w14:sy="100000" w14:kx="0" w14:ky="0" w14:algn="tl">
            <w14:schemeClr w14:val="dk1">
              <w14:alpha w14:val="60000"/>
            </w14:schemeClr>
          </w14:shadow>
          <w14:textOutline w14:w="0">
            <w14:noFill/>
            <w14:prstDash w14:val="solid"/>
            <w14:round/>
          </w14:textOutline>
        </w:rPr>
        <w:t>FEDERAL COMMUNICATIONS COMMISSION</w:t>
      </w:r>
    </w:p>
    <w:p w:rsidR="00FA664A" w:rsidP="00FA664A" w14:paraId="309EC6F8" w14:textId="77777777">
      <w:pPr>
        <w:rPr>
          <w:b/>
          <w:sz w:val="22"/>
          <w:szCs w:val="22"/>
        </w:rPr>
      </w:pPr>
    </w:p>
    <w:p w:rsidR="00FA664A" w:rsidP="00FA664A" w14:paraId="5643E618" w14:textId="77777777">
      <w:pPr>
        <w:rPr>
          <w:b/>
          <w:sz w:val="22"/>
          <w:szCs w:val="22"/>
        </w:rPr>
      </w:pPr>
    </w:p>
    <w:p w:rsidR="00FA664A" w:rsidRPr="000F05C1" w:rsidP="00FA664A" w14:paraId="05DF1252" w14:textId="77777777">
      <w:pPr>
        <w:jc w:val="center"/>
        <w:rPr>
          <w:b/>
          <w:sz w:val="22"/>
          <w:szCs w:val="22"/>
        </w:rPr>
      </w:pPr>
      <w:r>
        <w:rPr>
          <w:noProof/>
        </w:rPr>
        <w:drawing>
          <wp:inline distT="0" distB="0" distL="0" distR="0">
            <wp:extent cx="3237230" cy="3238500"/>
            <wp:effectExtent l="0" t="0" r="1270" b="0"/>
            <wp:docPr id="11" name="Picture 11" descr="Inserted picture RelID:1">
              <a:extLst xmlns:a="http://schemas.openxmlformats.org/drawingml/2006/main">
                <a:ext xmlns:a="http://schemas.openxmlformats.org/drawingml/2006/main" uri="{FF2B5EF4-FFF2-40B4-BE49-F238E27FC236}">
                  <a16:creationId xmlns:a16="http://schemas.microsoft.com/office/drawing/2014/main" id="{A0CBE283-1A2D-4266-8CDE-FE01641A3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Inserted picture RelID:1">
                      <a:extLst>
                        <a:ext xmlns:a="http://schemas.openxmlformats.org/drawingml/2006/main" uri="{FF2B5EF4-FFF2-40B4-BE49-F238E27FC236}">
                          <a16:creationId xmlns:a16="http://schemas.microsoft.com/office/drawing/2014/main" id="{A0CBE283-1A2D-4266-8CDE-FE01641A35E8}"/>
                        </a:ext>
                      </a:extLst>
                    </pic:cNvPr>
                    <pic:cNvPicPr>
                      <a:picLocks noChangeAspect="1"/>
                    </pic:cNvPicPr>
                  </pic:nvPicPr>
                  <pic:blipFill>
                    <a:blip xmlns:r="http://schemas.openxmlformats.org/officeDocument/2006/relationships" r:embed="rId9"/>
                    <a:stretch>
                      <a:fillRect/>
                    </a:stretch>
                  </pic:blipFill>
                  <pic:spPr>
                    <a:xfrm>
                      <a:off x="0" y="0"/>
                      <a:ext cx="3239195" cy="3240466"/>
                    </a:xfrm>
                    <a:prstGeom prst="rect">
                      <a:avLst/>
                    </a:prstGeom>
                  </pic:spPr>
                </pic:pic>
              </a:graphicData>
            </a:graphic>
          </wp:inline>
        </w:drawing>
      </w:r>
    </w:p>
    <w:p w:rsidR="00FA664A" w:rsidRPr="000F05C1" w:rsidP="00FA664A" w14:paraId="59CE80F8" w14:textId="77777777">
      <w:pPr>
        <w:rPr>
          <w:b/>
          <w:sz w:val="22"/>
          <w:szCs w:val="22"/>
        </w:rPr>
      </w:pPr>
      <w:r w:rsidRPr="000F05C1">
        <w:rPr>
          <w:b/>
          <w:sz w:val="22"/>
          <w:szCs w:val="22"/>
        </w:rPr>
        <w:tab/>
      </w:r>
      <w:r w:rsidRPr="000F05C1">
        <w:rPr>
          <w:b/>
          <w:sz w:val="22"/>
          <w:szCs w:val="22"/>
        </w:rPr>
        <w:tab/>
      </w:r>
      <w:r w:rsidRPr="000F05C1">
        <w:rPr>
          <w:b/>
          <w:sz w:val="22"/>
          <w:szCs w:val="22"/>
        </w:rPr>
        <w:tab/>
      </w:r>
    </w:p>
    <w:p w:rsidR="00FA664A" w:rsidRPr="000F05C1" w:rsidP="00FA664A" w14:paraId="6236983D" w14:textId="77777777">
      <w:pPr>
        <w:rPr>
          <w:b/>
          <w:sz w:val="22"/>
          <w:szCs w:val="22"/>
        </w:rPr>
      </w:pPr>
    </w:p>
    <w:p w:rsidR="00FA664A" w:rsidRPr="000F05C1" w:rsidP="00FA664A" w14:paraId="637B3672" w14:textId="77777777">
      <w:pPr>
        <w:jc w:val="center"/>
        <w:rPr>
          <w:b/>
          <w:sz w:val="22"/>
          <w:szCs w:val="22"/>
        </w:rPr>
      </w:pPr>
    </w:p>
    <w:p w:rsidR="00FA664A" w:rsidRPr="002133F1" w:rsidP="00FA664A" w14:paraId="08E4AEE6" w14:textId="77777777">
      <w:pPr>
        <w:jc w:val="center"/>
        <w:rPr>
          <w:color w:val="002060"/>
          <w:sz w:val="84"/>
          <w:szCs w:val="84"/>
          <w14:shadow w14:blurRad="38100" w14:dist="19050" w14:dir="2700000" w14:sx="100000" w14:sy="100000" w14:kx="0" w14:ky="0" w14:algn="tl">
            <w14:schemeClr w14:val="dk1">
              <w14:alpha w14:val="60000"/>
            </w14:schemeClr>
          </w14:shadow>
          <w14:textOutline w14:w="0">
            <w14:noFill/>
            <w14:prstDash w14:val="solid"/>
            <w14:round/>
          </w14:textOutline>
        </w:rPr>
      </w:pPr>
      <w:r w:rsidRPr="002133F1">
        <w:rPr>
          <w:color w:val="002060"/>
          <w:sz w:val="84"/>
          <w:szCs w:val="84"/>
          <w14:shadow w14:blurRad="38100" w14:dist="19050" w14:dir="2700000" w14:sx="100000" w14:sy="100000" w14:kx="0" w14:ky="0" w14:algn="tl">
            <w14:schemeClr w14:val="dk1">
              <w14:alpha w14:val="60000"/>
            </w14:schemeClr>
          </w14:shadow>
          <w14:textOutline w14:w="0">
            <w14:noFill/>
            <w14:prstDash w14:val="solid"/>
            <w14:round/>
          </w14:textOutline>
        </w:rPr>
        <w:t>Agency Financial Report</w:t>
      </w:r>
    </w:p>
    <w:p w:rsidR="00FA664A" w:rsidRPr="002133F1" w:rsidP="00FA664A" w14:paraId="48166E38" w14:textId="3ADC65C4">
      <w:pPr>
        <w:jc w:val="center"/>
        <w:rPr>
          <w:color w:val="EE0000"/>
          <w:sz w:val="96"/>
          <w:szCs w:val="96"/>
          <w14:shadow w14:blurRad="38100" w14:dist="19050" w14:dir="2700000" w14:sx="100000" w14:sy="100000" w14:kx="0" w14:ky="0" w14:algn="tl">
            <w14:schemeClr w14:val="dk1">
              <w14:alpha w14:val="60000"/>
            </w14:schemeClr>
          </w14:shadow>
          <w14:textOutline w14:w="0">
            <w14:noFill/>
            <w14:prstDash w14:val="solid"/>
            <w14:round/>
          </w14:textOutline>
        </w:rPr>
      </w:pPr>
      <w:r w:rsidRPr="002133F1">
        <w:rPr>
          <w:color w:val="EE0000"/>
          <w:sz w:val="96"/>
          <w:szCs w:val="96"/>
          <w14:shadow w14:blurRad="38100" w14:dist="19050" w14:dir="2700000" w14:sx="100000" w14:sy="100000" w14:kx="0" w14:ky="0" w14:algn="tl">
            <w14:schemeClr w14:val="dk1">
              <w14:alpha w14:val="60000"/>
            </w14:schemeClr>
          </w14:shadow>
          <w14:textOutline w14:w="0">
            <w14:noFill/>
            <w14:prstDash w14:val="solid"/>
            <w14:round/>
          </w14:textOutline>
        </w:rPr>
        <w:t>Fiscal Year 202</w:t>
      </w:r>
      <w:r w:rsidRPr="002133F1" w:rsidR="0074770D">
        <w:rPr>
          <w:color w:val="EE0000"/>
          <w:sz w:val="96"/>
          <w:szCs w:val="96"/>
          <w14:shadow w14:blurRad="38100" w14:dist="19050" w14:dir="2700000" w14:sx="100000" w14:sy="100000" w14:kx="0" w14:ky="0" w14:algn="tl">
            <w14:schemeClr w14:val="dk1">
              <w14:alpha w14:val="60000"/>
            </w14:schemeClr>
          </w14:shadow>
          <w14:textOutline w14:w="0">
            <w14:noFill/>
            <w14:prstDash w14:val="solid"/>
            <w14:round/>
          </w14:textOutline>
        </w:rPr>
        <w:t>5</w:t>
      </w:r>
    </w:p>
    <w:p w:rsidR="00FA664A" w:rsidP="00FA664A" w14:paraId="1F8F2AD2" w14:textId="77777777"/>
    <w:p w:rsidR="00FA664A" w:rsidP="00FA664A" w14:paraId="526A70E9" w14:textId="77777777"/>
    <w:p w:rsidR="00FA664A" w:rsidP="00FA664A" w14:paraId="587A8471" w14:textId="77777777"/>
    <w:p w:rsidR="00FA664A" w:rsidP="00FA664A" w14:paraId="6F37CF2B" w14:textId="77777777"/>
    <w:p w:rsidR="00FA664A" w:rsidP="00FA664A" w14:paraId="4B13A8F2" w14:textId="77777777"/>
    <w:p w:rsidR="00FA664A" w:rsidP="00FA664A" w14:paraId="4C451D5C" w14:textId="77777777"/>
    <w:p w:rsidR="00FA664A" w:rsidP="00FA664A" w14:paraId="12843D46" w14:textId="77777777"/>
    <w:p w:rsidR="00FA664A" w:rsidP="00FA664A" w14:paraId="762F5AA7" w14:textId="77777777"/>
    <w:p w:rsidR="00FA664A" w:rsidP="00FA664A" w14:paraId="11B5A9AA" w14:textId="77777777"/>
    <w:p w:rsidR="00FA664A" w:rsidP="00FA664A" w14:paraId="013A8EF1" w14:textId="77777777"/>
    <w:p w:rsidR="00FA664A" w:rsidP="00FA664A" w14:paraId="3E8A5F29" w14:textId="77777777"/>
    <w:p w:rsidR="00FA664A" w:rsidP="00FA664A" w14:paraId="5D7176CB" w14:textId="77777777"/>
    <w:p w:rsidR="00FA664A" w:rsidP="00FA664A" w14:paraId="64E73950" w14:textId="77777777"/>
    <w:p w:rsidR="00FA664A" w:rsidP="00FA664A" w14:paraId="158E9DAA" w14:textId="77777777"/>
    <w:p w:rsidR="00FA664A" w:rsidP="00FA664A" w14:paraId="1B432FF1" w14:textId="77777777"/>
    <w:p w:rsidR="00FA664A" w:rsidP="00FA664A" w14:paraId="7B92F854" w14:textId="77777777"/>
    <w:p w:rsidR="00FA664A" w:rsidP="00FA664A" w14:paraId="504DAF2B" w14:textId="77777777"/>
    <w:p w:rsidR="00FA664A" w:rsidP="00FA664A" w14:paraId="4F45D9D0" w14:textId="77777777"/>
    <w:p w:rsidR="00FA664A" w:rsidP="00FA664A" w14:paraId="45C1EE8F" w14:textId="77777777"/>
    <w:p w:rsidR="00FA664A" w:rsidP="00FA664A" w14:paraId="3BE9B04D" w14:textId="77777777"/>
    <w:p w:rsidR="00FA664A" w:rsidP="00FA664A" w14:paraId="0F1D5756" w14:textId="77777777"/>
    <w:p w:rsidR="00FA664A" w:rsidP="00FA664A" w14:paraId="73AC3E27" w14:textId="77777777"/>
    <w:p w:rsidR="00FA664A" w:rsidP="00FA664A" w14:paraId="31D95C0C" w14:textId="77777777"/>
    <w:p w:rsidR="00FA664A" w:rsidP="00FA664A" w14:paraId="7AAD1830" w14:textId="77777777"/>
    <w:p w:rsidR="00FA664A" w:rsidP="00FA664A" w14:paraId="5D85F5DA" w14:textId="77777777"/>
    <w:p w:rsidR="00FA664A" w:rsidP="00FA664A" w14:paraId="77359551" w14:textId="77777777"/>
    <w:p w:rsidR="00FA664A" w:rsidP="00FA664A" w14:paraId="5DAE3E8F" w14:textId="77777777"/>
    <w:p w:rsidR="00FA664A" w:rsidP="00FA664A" w14:paraId="00A2D0CA" w14:textId="77777777"/>
    <w:p w:rsidR="00FA664A" w:rsidP="00FA664A" w14:paraId="01308AE3" w14:textId="77777777"/>
    <w:p w:rsidR="00FA664A" w:rsidP="00FA664A" w14:paraId="3E4CCE1B" w14:textId="77777777"/>
    <w:p w:rsidR="00FA664A" w:rsidP="00FA664A" w14:paraId="238BA428" w14:textId="77777777"/>
    <w:p w:rsidR="00FA664A" w:rsidP="00FA664A" w14:paraId="3F25628E" w14:textId="77777777"/>
    <w:p w:rsidR="00FA664A" w:rsidP="00FA664A" w14:paraId="1842BB21" w14:textId="77777777"/>
    <w:p w:rsidR="00FA664A" w:rsidP="00FA664A" w14:paraId="531196C9" w14:textId="77777777"/>
    <w:p w:rsidR="00FA664A" w:rsidP="00FA664A" w14:paraId="64D286E4" w14:textId="77777777"/>
    <w:p w:rsidR="00FA664A" w:rsidP="00FA664A" w14:paraId="7B8DCBEA" w14:textId="77777777"/>
    <w:p w:rsidR="00FA664A" w:rsidP="00FA664A" w14:paraId="09D4D037" w14:textId="77777777"/>
    <w:p w:rsidR="00FA664A" w:rsidP="00FA664A" w14:paraId="4444795D" w14:textId="77777777"/>
    <w:p w:rsidR="00FA664A" w:rsidP="00FA664A" w14:paraId="11F0C525" w14:textId="77777777"/>
    <w:p w:rsidR="00FA664A" w:rsidP="00FA664A" w14:paraId="5CC7E68B" w14:textId="77777777"/>
    <w:p w:rsidR="00FA664A" w:rsidP="00FA664A" w14:paraId="7BE454FC" w14:textId="77777777"/>
    <w:p w:rsidR="00FA664A" w:rsidP="00FA664A" w14:paraId="019D365F" w14:textId="77777777"/>
    <w:p w:rsidR="00FA664A" w:rsidP="00FA664A" w14:paraId="073B8081" w14:textId="77777777"/>
    <w:p w:rsidR="00FA664A" w:rsidP="00FA664A" w14:paraId="10BD8BDD" w14:textId="77777777"/>
    <w:p w:rsidR="00FA664A" w:rsidP="00FA664A" w14:paraId="52AB68B3" w14:textId="77777777"/>
    <w:p w:rsidR="00FA664A" w:rsidP="00FA664A" w14:paraId="14DC8132" w14:textId="77777777">
      <w:pPr>
        <w:sectPr w:rsidSect="00E61CC9">
          <w:headerReference w:type="default" r:id="rId10"/>
          <w:footerReference w:type="even" r:id="rId11"/>
          <w:footerReference w:type="default" r:id="rId12"/>
          <w:footerReference w:type="first" r:id="rId13"/>
          <w:pgSz w:w="12240" w:h="15840" w:code="1"/>
          <w:pgMar w:top="1440" w:right="1152" w:bottom="1440" w:left="1152" w:header="720" w:footer="720" w:gutter="0"/>
          <w:pgBorders w:display="firstPage" w:offsetFrom="page">
            <w:top w:val="threeDEngrave" w:sz="24" w:space="31" w:color="001132"/>
            <w:left w:val="threeDEngrave" w:sz="24" w:space="31" w:color="001132"/>
            <w:bottom w:val="threeDEmboss" w:sz="24" w:space="31" w:color="001132"/>
            <w:right w:val="threeDEmboss" w:sz="24" w:space="31" w:color="001132"/>
          </w:pgBorders>
          <w:pgNumType w:start="1"/>
          <w:cols w:space="720"/>
          <w:docGrid w:linePitch="360"/>
        </w:sectPr>
      </w:pPr>
    </w:p>
    <w:sdt>
      <w:sdtPr>
        <w:rPr>
          <w:rFonts w:ascii="Times New Roman" w:hAnsi="Times New Roman"/>
          <w:color w:val="auto"/>
          <w:sz w:val="24"/>
          <w:szCs w:val="20"/>
        </w:rPr>
        <w:id w:val="491219182"/>
        <w:docPartObj>
          <w:docPartGallery w:val="Table of Contents"/>
          <w:docPartUnique/>
        </w:docPartObj>
      </w:sdtPr>
      <w:sdtEndPr>
        <w:rPr>
          <w:b/>
          <w:bCs/>
          <w:szCs w:val="24"/>
        </w:rPr>
      </w:sdtEndPr>
      <w:sdtContent>
        <w:p w:rsidR="0007688A" w:rsidRPr="0007688A" w:rsidP="0007688A" w14:paraId="5670F29B" w14:textId="415C78C5">
          <w:pPr>
            <w:pStyle w:val="TOCHeading"/>
            <w:jc w:val="center"/>
            <w:rPr>
              <w:rFonts w:ascii="Times New Roman" w:hAnsi="Times New Roman"/>
              <w:b/>
              <w:color w:val="000000" w:themeColor="text1"/>
            </w:rPr>
          </w:pPr>
          <w:r w:rsidRPr="003F2C92">
            <w:rPr>
              <w:rFonts w:ascii="Times New Roman" w:hAnsi="Times New Roman"/>
              <w:b/>
              <w:color w:val="000000" w:themeColor="text1"/>
            </w:rPr>
            <w:t>T</w:t>
          </w:r>
          <w:r>
            <w:rPr>
              <w:rFonts w:ascii="Times New Roman" w:hAnsi="Times New Roman"/>
              <w:b/>
              <w:color w:val="000000" w:themeColor="text1"/>
            </w:rPr>
            <w:t>ABLE OF CONTENTS</w:t>
          </w:r>
        </w:p>
        <w:p w:rsidR="00FA664A" w:rsidRPr="00897608" w:rsidP="00FA664A" w14:paraId="5D13D041" w14:textId="77777777"/>
        <w:p w:rsidR="007103F6" w14:paraId="3032E8AB" w14:textId="01EB234D">
          <w:pPr>
            <w:pStyle w:val="TOC1"/>
            <w:rPr>
              <w:rFonts w:asciiTheme="minorHAnsi" w:eastAsiaTheme="minorEastAsia" w:hAnsiTheme="minorHAnsi" w:cstheme="minorBidi"/>
              <w:bCs w:val="0"/>
              <w:iCs w:val="0"/>
              <w:kern w:val="2"/>
              <w:sz w:val="24"/>
              <w14:ligatures w14:val="standardContextual"/>
            </w:rPr>
          </w:pPr>
          <w:r>
            <w:fldChar w:fldCharType="begin"/>
          </w:r>
          <w:r>
            <w:instrText xml:space="preserve"> TOC \o "1-3" \h \z \u </w:instrText>
          </w:r>
          <w:r>
            <w:fldChar w:fldCharType="separate"/>
          </w:r>
          <w:hyperlink w:anchor="_Toc216960412" w:history="1">
            <w:r w:rsidRPr="000361A5">
              <w:rPr>
                <w:rStyle w:val="Hyperlink"/>
                <w:b/>
              </w:rPr>
              <w:t>I. MANAGEMENT’S DISCUSSION AND ANALYSIS (UNAUDITED)</w:t>
            </w:r>
            <w:r>
              <w:rPr>
                <w:webHidden/>
              </w:rPr>
              <w:tab/>
            </w:r>
            <w:r>
              <w:rPr>
                <w:webHidden/>
              </w:rPr>
              <w:fldChar w:fldCharType="begin"/>
            </w:r>
            <w:r>
              <w:rPr>
                <w:webHidden/>
              </w:rPr>
              <w:instrText xml:space="preserve"> PAGEREF _Toc216960412 \h </w:instrText>
            </w:r>
            <w:r>
              <w:rPr>
                <w:webHidden/>
              </w:rPr>
              <w:fldChar w:fldCharType="separate"/>
            </w:r>
            <w:r w:rsidR="00FA73DD">
              <w:rPr>
                <w:webHidden/>
              </w:rPr>
              <w:t>3</w:t>
            </w:r>
            <w:r>
              <w:rPr>
                <w:webHidden/>
              </w:rPr>
              <w:fldChar w:fldCharType="end"/>
            </w:r>
          </w:hyperlink>
        </w:p>
        <w:p w:rsidR="007103F6" w14:paraId="2C14C422" w14:textId="75E71109">
          <w:pPr>
            <w:pStyle w:val="TOC2"/>
            <w:rPr>
              <w:rFonts w:asciiTheme="minorHAnsi" w:eastAsiaTheme="minorEastAsia" w:hAnsiTheme="minorHAnsi" w:cstheme="minorBidi"/>
              <w:bCs w:val="0"/>
              <w:kern w:val="2"/>
              <w:sz w:val="24"/>
              <w:szCs w:val="24"/>
              <w14:ligatures w14:val="standardContextual"/>
            </w:rPr>
          </w:pPr>
          <w:hyperlink w:anchor="_Toc216960413" w:history="1">
            <w:r w:rsidRPr="000361A5">
              <w:rPr>
                <w:rStyle w:val="Hyperlink"/>
              </w:rPr>
              <w:t>Message from the Chairman</w:t>
            </w:r>
            <w:r>
              <w:rPr>
                <w:webHidden/>
              </w:rPr>
              <w:tab/>
            </w:r>
            <w:r>
              <w:rPr>
                <w:webHidden/>
              </w:rPr>
              <w:fldChar w:fldCharType="begin"/>
            </w:r>
            <w:r>
              <w:rPr>
                <w:webHidden/>
              </w:rPr>
              <w:instrText xml:space="preserve"> PAGEREF _Toc216960413 \h </w:instrText>
            </w:r>
            <w:r>
              <w:rPr>
                <w:webHidden/>
              </w:rPr>
              <w:fldChar w:fldCharType="separate"/>
            </w:r>
            <w:r w:rsidR="00FA73DD">
              <w:rPr>
                <w:webHidden/>
              </w:rPr>
              <w:t>3</w:t>
            </w:r>
            <w:r>
              <w:rPr>
                <w:webHidden/>
              </w:rPr>
              <w:fldChar w:fldCharType="end"/>
            </w:r>
          </w:hyperlink>
        </w:p>
        <w:p w:rsidR="007103F6" w14:paraId="33B5284A" w14:textId="69A16069">
          <w:pPr>
            <w:pStyle w:val="TOC2"/>
            <w:rPr>
              <w:rFonts w:asciiTheme="minorHAnsi" w:eastAsiaTheme="minorEastAsia" w:hAnsiTheme="minorHAnsi" w:cstheme="minorBidi"/>
              <w:bCs w:val="0"/>
              <w:kern w:val="2"/>
              <w:sz w:val="24"/>
              <w:szCs w:val="24"/>
              <w14:ligatures w14:val="standardContextual"/>
            </w:rPr>
          </w:pPr>
          <w:hyperlink w:anchor="_Toc216960414" w:history="1">
            <w:r w:rsidRPr="000361A5">
              <w:rPr>
                <w:rStyle w:val="Hyperlink"/>
              </w:rPr>
              <w:t>Overview of the Federal Communications Commission</w:t>
            </w:r>
            <w:r>
              <w:rPr>
                <w:webHidden/>
              </w:rPr>
              <w:tab/>
            </w:r>
            <w:r>
              <w:rPr>
                <w:webHidden/>
              </w:rPr>
              <w:fldChar w:fldCharType="begin"/>
            </w:r>
            <w:r>
              <w:rPr>
                <w:webHidden/>
              </w:rPr>
              <w:instrText xml:space="preserve"> PAGEREF _Toc216960414 \h </w:instrText>
            </w:r>
            <w:r>
              <w:rPr>
                <w:webHidden/>
              </w:rPr>
              <w:fldChar w:fldCharType="separate"/>
            </w:r>
            <w:r w:rsidR="00FA73DD">
              <w:rPr>
                <w:webHidden/>
              </w:rPr>
              <w:t>6</w:t>
            </w:r>
            <w:r>
              <w:rPr>
                <w:webHidden/>
              </w:rPr>
              <w:fldChar w:fldCharType="end"/>
            </w:r>
          </w:hyperlink>
        </w:p>
        <w:p w:rsidR="007103F6" w14:paraId="47D773DA" w14:textId="66D3EFE1">
          <w:pPr>
            <w:pStyle w:val="TOC3"/>
            <w:rPr>
              <w:rFonts w:asciiTheme="minorHAnsi" w:eastAsiaTheme="minorEastAsia" w:hAnsiTheme="minorHAnsi" w:cstheme="minorBidi"/>
              <w:kern w:val="2"/>
              <w:sz w:val="24"/>
              <w:szCs w:val="24"/>
              <w14:ligatures w14:val="standardContextual"/>
            </w:rPr>
          </w:pPr>
          <w:hyperlink w:anchor="_Toc216960415" w:history="1">
            <w:r w:rsidRPr="000361A5">
              <w:rPr>
                <w:rStyle w:val="Hyperlink"/>
              </w:rPr>
              <w:t>Introduction</w:t>
            </w:r>
            <w:r>
              <w:rPr>
                <w:webHidden/>
              </w:rPr>
              <w:tab/>
            </w:r>
            <w:r>
              <w:rPr>
                <w:webHidden/>
              </w:rPr>
              <w:fldChar w:fldCharType="begin"/>
            </w:r>
            <w:r>
              <w:rPr>
                <w:webHidden/>
              </w:rPr>
              <w:instrText xml:space="preserve"> PAGEREF _Toc216960415 \h </w:instrText>
            </w:r>
            <w:r>
              <w:rPr>
                <w:webHidden/>
              </w:rPr>
              <w:fldChar w:fldCharType="separate"/>
            </w:r>
            <w:r w:rsidR="00FA73DD">
              <w:rPr>
                <w:webHidden/>
              </w:rPr>
              <w:t>6</w:t>
            </w:r>
            <w:r>
              <w:rPr>
                <w:webHidden/>
              </w:rPr>
              <w:fldChar w:fldCharType="end"/>
            </w:r>
          </w:hyperlink>
        </w:p>
        <w:p w:rsidR="007103F6" w14:paraId="2F844B49" w14:textId="6D9AA353">
          <w:pPr>
            <w:pStyle w:val="TOC3"/>
            <w:rPr>
              <w:rFonts w:asciiTheme="minorHAnsi" w:eastAsiaTheme="minorEastAsia" w:hAnsiTheme="minorHAnsi" w:cstheme="minorBidi"/>
              <w:kern w:val="2"/>
              <w:sz w:val="24"/>
              <w:szCs w:val="24"/>
              <w14:ligatures w14:val="standardContextual"/>
            </w:rPr>
          </w:pPr>
          <w:hyperlink w:anchor="_Toc216960416" w:history="1">
            <w:r w:rsidRPr="000361A5">
              <w:rPr>
                <w:rStyle w:val="Hyperlink"/>
              </w:rPr>
              <w:t>About the Federal Communications Commission</w:t>
            </w:r>
            <w:r>
              <w:rPr>
                <w:webHidden/>
              </w:rPr>
              <w:tab/>
            </w:r>
            <w:r>
              <w:rPr>
                <w:webHidden/>
              </w:rPr>
              <w:fldChar w:fldCharType="begin"/>
            </w:r>
            <w:r>
              <w:rPr>
                <w:webHidden/>
              </w:rPr>
              <w:instrText xml:space="preserve"> PAGEREF _Toc216960416 \h </w:instrText>
            </w:r>
            <w:r>
              <w:rPr>
                <w:webHidden/>
              </w:rPr>
              <w:fldChar w:fldCharType="separate"/>
            </w:r>
            <w:r w:rsidR="00FA73DD">
              <w:rPr>
                <w:webHidden/>
              </w:rPr>
              <w:t>6</w:t>
            </w:r>
            <w:r>
              <w:rPr>
                <w:webHidden/>
              </w:rPr>
              <w:fldChar w:fldCharType="end"/>
            </w:r>
          </w:hyperlink>
        </w:p>
        <w:p w:rsidR="007103F6" w14:paraId="0149083D" w14:textId="0FE71DBD">
          <w:pPr>
            <w:pStyle w:val="TOC3"/>
            <w:rPr>
              <w:rFonts w:asciiTheme="minorHAnsi" w:eastAsiaTheme="minorEastAsia" w:hAnsiTheme="minorHAnsi" w:cstheme="minorBidi"/>
              <w:kern w:val="2"/>
              <w:sz w:val="24"/>
              <w:szCs w:val="24"/>
              <w14:ligatures w14:val="standardContextual"/>
            </w:rPr>
          </w:pPr>
          <w:hyperlink w:anchor="_Toc216960417" w:history="1">
            <w:r w:rsidRPr="000361A5">
              <w:rPr>
                <w:rStyle w:val="Hyperlink"/>
              </w:rPr>
              <w:t>Leadership</w:t>
            </w:r>
            <w:r>
              <w:rPr>
                <w:webHidden/>
              </w:rPr>
              <w:tab/>
            </w:r>
            <w:r>
              <w:rPr>
                <w:webHidden/>
              </w:rPr>
              <w:fldChar w:fldCharType="begin"/>
            </w:r>
            <w:r>
              <w:rPr>
                <w:webHidden/>
              </w:rPr>
              <w:instrText xml:space="preserve"> PAGEREF _Toc216960417 \h </w:instrText>
            </w:r>
            <w:r>
              <w:rPr>
                <w:webHidden/>
              </w:rPr>
              <w:fldChar w:fldCharType="separate"/>
            </w:r>
            <w:r w:rsidR="00FA73DD">
              <w:rPr>
                <w:webHidden/>
              </w:rPr>
              <w:t>6</w:t>
            </w:r>
            <w:r>
              <w:rPr>
                <w:webHidden/>
              </w:rPr>
              <w:fldChar w:fldCharType="end"/>
            </w:r>
          </w:hyperlink>
        </w:p>
        <w:p w:rsidR="007103F6" w14:paraId="69CDC208" w14:textId="52540583">
          <w:pPr>
            <w:pStyle w:val="TOC3"/>
            <w:rPr>
              <w:rFonts w:asciiTheme="minorHAnsi" w:eastAsiaTheme="minorEastAsia" w:hAnsiTheme="minorHAnsi" w:cstheme="minorBidi"/>
              <w:kern w:val="2"/>
              <w:sz w:val="24"/>
              <w:szCs w:val="24"/>
              <w14:ligatures w14:val="standardContextual"/>
            </w:rPr>
          </w:pPr>
          <w:hyperlink w:anchor="_Toc216960418" w:history="1">
            <w:r w:rsidRPr="000361A5">
              <w:rPr>
                <w:rStyle w:val="Hyperlink"/>
              </w:rPr>
              <w:t>Mission</w:t>
            </w:r>
            <w:r>
              <w:rPr>
                <w:webHidden/>
              </w:rPr>
              <w:tab/>
            </w:r>
            <w:r>
              <w:rPr>
                <w:webHidden/>
              </w:rPr>
              <w:fldChar w:fldCharType="begin"/>
            </w:r>
            <w:r>
              <w:rPr>
                <w:webHidden/>
              </w:rPr>
              <w:instrText xml:space="preserve"> PAGEREF _Toc216960418 \h </w:instrText>
            </w:r>
            <w:r>
              <w:rPr>
                <w:webHidden/>
              </w:rPr>
              <w:fldChar w:fldCharType="separate"/>
            </w:r>
            <w:r w:rsidR="00FA73DD">
              <w:rPr>
                <w:webHidden/>
              </w:rPr>
              <w:t>6</w:t>
            </w:r>
            <w:r>
              <w:rPr>
                <w:webHidden/>
              </w:rPr>
              <w:fldChar w:fldCharType="end"/>
            </w:r>
          </w:hyperlink>
        </w:p>
        <w:p w:rsidR="007103F6" w14:paraId="15999DC1" w14:textId="2FD4BE20">
          <w:pPr>
            <w:pStyle w:val="TOC3"/>
            <w:rPr>
              <w:rFonts w:asciiTheme="minorHAnsi" w:eastAsiaTheme="minorEastAsia" w:hAnsiTheme="minorHAnsi" w:cstheme="minorBidi"/>
              <w:kern w:val="2"/>
              <w:sz w:val="24"/>
              <w:szCs w:val="24"/>
              <w14:ligatures w14:val="standardContextual"/>
            </w:rPr>
          </w:pPr>
          <w:hyperlink w:anchor="_Toc216960419" w:history="1">
            <w:r w:rsidRPr="000361A5">
              <w:rPr>
                <w:rStyle w:val="Hyperlink"/>
              </w:rPr>
              <w:t>Organizational Structure</w:t>
            </w:r>
            <w:r>
              <w:rPr>
                <w:webHidden/>
              </w:rPr>
              <w:tab/>
            </w:r>
            <w:r>
              <w:rPr>
                <w:webHidden/>
              </w:rPr>
              <w:fldChar w:fldCharType="begin"/>
            </w:r>
            <w:r>
              <w:rPr>
                <w:webHidden/>
              </w:rPr>
              <w:instrText xml:space="preserve"> PAGEREF _Toc216960419 \h </w:instrText>
            </w:r>
            <w:r>
              <w:rPr>
                <w:webHidden/>
              </w:rPr>
              <w:fldChar w:fldCharType="separate"/>
            </w:r>
            <w:r w:rsidR="00FA73DD">
              <w:rPr>
                <w:webHidden/>
              </w:rPr>
              <w:t>7</w:t>
            </w:r>
            <w:r>
              <w:rPr>
                <w:webHidden/>
              </w:rPr>
              <w:fldChar w:fldCharType="end"/>
            </w:r>
          </w:hyperlink>
        </w:p>
        <w:p w:rsidR="007103F6" w14:paraId="4145A2D2" w14:textId="6C0D6BAA">
          <w:pPr>
            <w:pStyle w:val="TOC3"/>
            <w:rPr>
              <w:rFonts w:asciiTheme="minorHAnsi" w:eastAsiaTheme="minorEastAsia" w:hAnsiTheme="minorHAnsi" w:cstheme="minorBidi"/>
              <w:kern w:val="2"/>
              <w:sz w:val="24"/>
              <w:szCs w:val="24"/>
              <w14:ligatures w14:val="standardContextual"/>
            </w:rPr>
          </w:pPr>
          <w:hyperlink w:anchor="_Toc216960420" w:history="1">
            <w:r w:rsidRPr="000361A5">
              <w:rPr>
                <w:rStyle w:val="Hyperlink"/>
              </w:rPr>
              <w:t>Organizational Chart</w:t>
            </w:r>
            <w:r>
              <w:rPr>
                <w:webHidden/>
              </w:rPr>
              <w:tab/>
            </w:r>
            <w:r>
              <w:rPr>
                <w:webHidden/>
              </w:rPr>
              <w:fldChar w:fldCharType="begin"/>
            </w:r>
            <w:r>
              <w:rPr>
                <w:webHidden/>
              </w:rPr>
              <w:instrText xml:space="preserve"> PAGEREF _Toc216960420 \h </w:instrText>
            </w:r>
            <w:r>
              <w:rPr>
                <w:webHidden/>
              </w:rPr>
              <w:fldChar w:fldCharType="separate"/>
            </w:r>
            <w:r w:rsidR="00FA73DD">
              <w:rPr>
                <w:webHidden/>
              </w:rPr>
              <w:t>9</w:t>
            </w:r>
            <w:r>
              <w:rPr>
                <w:webHidden/>
              </w:rPr>
              <w:fldChar w:fldCharType="end"/>
            </w:r>
          </w:hyperlink>
        </w:p>
        <w:p w:rsidR="007103F6" w14:paraId="2784247D" w14:textId="3DF511CB">
          <w:pPr>
            <w:pStyle w:val="TOC3"/>
            <w:rPr>
              <w:rFonts w:asciiTheme="minorHAnsi" w:eastAsiaTheme="minorEastAsia" w:hAnsiTheme="minorHAnsi" w:cstheme="minorBidi"/>
              <w:kern w:val="2"/>
              <w:sz w:val="24"/>
              <w:szCs w:val="24"/>
              <w14:ligatures w14:val="standardContextual"/>
            </w:rPr>
          </w:pPr>
          <w:hyperlink w:anchor="_Toc216960421" w:history="1">
            <w:r w:rsidRPr="000361A5">
              <w:rPr>
                <w:rStyle w:val="Hyperlink"/>
              </w:rPr>
              <w:t>Map of FCC Enforcement Bureau’s Field Offices</w:t>
            </w:r>
            <w:r>
              <w:rPr>
                <w:webHidden/>
              </w:rPr>
              <w:tab/>
            </w:r>
            <w:r>
              <w:rPr>
                <w:webHidden/>
              </w:rPr>
              <w:fldChar w:fldCharType="begin"/>
            </w:r>
            <w:r>
              <w:rPr>
                <w:webHidden/>
              </w:rPr>
              <w:instrText xml:space="preserve"> PAGEREF _Toc216960421 \h </w:instrText>
            </w:r>
            <w:r>
              <w:rPr>
                <w:webHidden/>
              </w:rPr>
              <w:fldChar w:fldCharType="separate"/>
            </w:r>
            <w:r w:rsidR="00FA73DD">
              <w:rPr>
                <w:webHidden/>
              </w:rPr>
              <w:t>10</w:t>
            </w:r>
            <w:r>
              <w:rPr>
                <w:webHidden/>
              </w:rPr>
              <w:fldChar w:fldCharType="end"/>
            </w:r>
          </w:hyperlink>
        </w:p>
        <w:p w:rsidR="007103F6" w14:paraId="13788CDB" w14:textId="25E02F62">
          <w:pPr>
            <w:pStyle w:val="TOC3"/>
            <w:rPr>
              <w:rFonts w:asciiTheme="minorHAnsi" w:eastAsiaTheme="minorEastAsia" w:hAnsiTheme="minorHAnsi" w:cstheme="minorBidi"/>
              <w:kern w:val="2"/>
              <w:sz w:val="24"/>
              <w:szCs w:val="24"/>
              <w14:ligatures w14:val="standardContextual"/>
            </w:rPr>
          </w:pPr>
          <w:hyperlink w:anchor="_Toc216960422" w:history="1">
            <w:r w:rsidRPr="000361A5">
              <w:rPr>
                <w:rStyle w:val="Hyperlink"/>
              </w:rPr>
              <w:t>Strategic Goals and Objectives</w:t>
            </w:r>
            <w:r>
              <w:rPr>
                <w:webHidden/>
              </w:rPr>
              <w:tab/>
            </w:r>
            <w:r>
              <w:rPr>
                <w:webHidden/>
              </w:rPr>
              <w:fldChar w:fldCharType="begin"/>
            </w:r>
            <w:r>
              <w:rPr>
                <w:webHidden/>
              </w:rPr>
              <w:instrText xml:space="preserve"> PAGEREF _Toc216960422 \h </w:instrText>
            </w:r>
            <w:r>
              <w:rPr>
                <w:webHidden/>
              </w:rPr>
              <w:fldChar w:fldCharType="separate"/>
            </w:r>
            <w:r w:rsidR="00FA73DD">
              <w:rPr>
                <w:webHidden/>
              </w:rPr>
              <w:t>11</w:t>
            </w:r>
            <w:r>
              <w:rPr>
                <w:webHidden/>
              </w:rPr>
              <w:fldChar w:fldCharType="end"/>
            </w:r>
          </w:hyperlink>
        </w:p>
        <w:p w:rsidR="007103F6" w14:paraId="12C05EF0" w14:textId="5AD070DC">
          <w:pPr>
            <w:pStyle w:val="TOC3"/>
            <w:rPr>
              <w:rFonts w:asciiTheme="minorHAnsi" w:eastAsiaTheme="minorEastAsia" w:hAnsiTheme="minorHAnsi" w:cstheme="minorBidi"/>
              <w:kern w:val="2"/>
              <w:sz w:val="24"/>
              <w:szCs w:val="24"/>
              <w14:ligatures w14:val="standardContextual"/>
            </w:rPr>
          </w:pPr>
          <w:hyperlink w:anchor="_Toc216960423" w:history="1">
            <w:r w:rsidRPr="000361A5">
              <w:rPr>
                <w:rStyle w:val="Hyperlink"/>
              </w:rPr>
              <w:t>Strategies &amp; Resources to Achieve Goals</w:t>
            </w:r>
            <w:r>
              <w:rPr>
                <w:webHidden/>
              </w:rPr>
              <w:tab/>
            </w:r>
            <w:r>
              <w:rPr>
                <w:webHidden/>
              </w:rPr>
              <w:fldChar w:fldCharType="begin"/>
            </w:r>
            <w:r>
              <w:rPr>
                <w:webHidden/>
              </w:rPr>
              <w:instrText xml:space="preserve"> PAGEREF _Toc216960423 \h </w:instrText>
            </w:r>
            <w:r>
              <w:rPr>
                <w:webHidden/>
              </w:rPr>
              <w:fldChar w:fldCharType="separate"/>
            </w:r>
            <w:r w:rsidR="00FA73DD">
              <w:rPr>
                <w:webHidden/>
              </w:rPr>
              <w:t>12</w:t>
            </w:r>
            <w:r>
              <w:rPr>
                <w:webHidden/>
              </w:rPr>
              <w:fldChar w:fldCharType="end"/>
            </w:r>
          </w:hyperlink>
        </w:p>
        <w:p w:rsidR="007103F6" w14:paraId="7906EB8F" w14:textId="0A9F8B52">
          <w:pPr>
            <w:pStyle w:val="TOC3"/>
            <w:rPr>
              <w:rFonts w:asciiTheme="minorHAnsi" w:eastAsiaTheme="minorEastAsia" w:hAnsiTheme="minorHAnsi" w:cstheme="minorBidi"/>
              <w:kern w:val="2"/>
              <w:sz w:val="24"/>
              <w:szCs w:val="24"/>
              <w14:ligatures w14:val="standardContextual"/>
            </w:rPr>
          </w:pPr>
          <w:hyperlink w:anchor="_Toc216960424" w:history="1">
            <w:r w:rsidRPr="000361A5">
              <w:rPr>
                <w:rStyle w:val="Hyperlink"/>
              </w:rPr>
              <w:t>Components of the Commission for Financial Statements Purposes</w:t>
            </w:r>
            <w:r>
              <w:rPr>
                <w:webHidden/>
              </w:rPr>
              <w:tab/>
            </w:r>
            <w:r>
              <w:rPr>
                <w:webHidden/>
              </w:rPr>
              <w:fldChar w:fldCharType="begin"/>
            </w:r>
            <w:r>
              <w:rPr>
                <w:webHidden/>
              </w:rPr>
              <w:instrText xml:space="preserve"> PAGEREF _Toc216960424 \h </w:instrText>
            </w:r>
            <w:r>
              <w:rPr>
                <w:webHidden/>
              </w:rPr>
              <w:fldChar w:fldCharType="separate"/>
            </w:r>
            <w:r w:rsidR="00FA73DD">
              <w:rPr>
                <w:webHidden/>
              </w:rPr>
              <w:t>12</w:t>
            </w:r>
            <w:r>
              <w:rPr>
                <w:webHidden/>
              </w:rPr>
              <w:fldChar w:fldCharType="end"/>
            </w:r>
          </w:hyperlink>
        </w:p>
        <w:p w:rsidR="007103F6" w14:paraId="1987CD01" w14:textId="01E3689E">
          <w:pPr>
            <w:pStyle w:val="TOC3"/>
            <w:rPr>
              <w:rFonts w:asciiTheme="minorHAnsi" w:eastAsiaTheme="minorEastAsia" w:hAnsiTheme="minorHAnsi" w:cstheme="minorBidi"/>
              <w:kern w:val="2"/>
              <w:sz w:val="24"/>
              <w:szCs w:val="24"/>
              <w14:ligatures w14:val="standardContextual"/>
            </w:rPr>
          </w:pPr>
          <w:hyperlink w:anchor="_Toc216960425" w:history="1">
            <w:r w:rsidRPr="000361A5">
              <w:rPr>
                <w:rStyle w:val="Hyperlink"/>
              </w:rPr>
              <w:t>Payment Integrity</w:t>
            </w:r>
            <w:r>
              <w:rPr>
                <w:webHidden/>
              </w:rPr>
              <w:tab/>
            </w:r>
            <w:r>
              <w:rPr>
                <w:webHidden/>
              </w:rPr>
              <w:fldChar w:fldCharType="begin"/>
            </w:r>
            <w:r>
              <w:rPr>
                <w:webHidden/>
              </w:rPr>
              <w:instrText xml:space="preserve"> PAGEREF _Toc216960425 \h </w:instrText>
            </w:r>
            <w:r>
              <w:rPr>
                <w:webHidden/>
              </w:rPr>
              <w:fldChar w:fldCharType="separate"/>
            </w:r>
            <w:r w:rsidR="00FA73DD">
              <w:rPr>
                <w:webHidden/>
              </w:rPr>
              <w:t>14</w:t>
            </w:r>
            <w:r>
              <w:rPr>
                <w:webHidden/>
              </w:rPr>
              <w:fldChar w:fldCharType="end"/>
            </w:r>
          </w:hyperlink>
        </w:p>
        <w:p w:rsidR="007103F6" w14:paraId="09D0632D" w14:textId="52CC4423">
          <w:pPr>
            <w:pStyle w:val="TOC2"/>
            <w:rPr>
              <w:rFonts w:asciiTheme="minorHAnsi" w:eastAsiaTheme="minorEastAsia" w:hAnsiTheme="minorHAnsi" w:cstheme="minorBidi"/>
              <w:bCs w:val="0"/>
              <w:kern w:val="2"/>
              <w:sz w:val="24"/>
              <w:szCs w:val="24"/>
              <w14:ligatures w14:val="standardContextual"/>
            </w:rPr>
          </w:pPr>
          <w:hyperlink w:anchor="_Toc216960426" w:history="1">
            <w:r w:rsidRPr="000361A5">
              <w:rPr>
                <w:rStyle w:val="Hyperlink"/>
              </w:rPr>
              <w:t>Performance Highlights</w:t>
            </w:r>
            <w:r>
              <w:rPr>
                <w:webHidden/>
              </w:rPr>
              <w:tab/>
            </w:r>
            <w:r>
              <w:rPr>
                <w:webHidden/>
              </w:rPr>
              <w:fldChar w:fldCharType="begin"/>
            </w:r>
            <w:r>
              <w:rPr>
                <w:webHidden/>
              </w:rPr>
              <w:instrText xml:space="preserve"> PAGEREF _Toc216960426 \h </w:instrText>
            </w:r>
            <w:r>
              <w:rPr>
                <w:webHidden/>
              </w:rPr>
              <w:fldChar w:fldCharType="separate"/>
            </w:r>
            <w:r w:rsidR="00FA73DD">
              <w:rPr>
                <w:webHidden/>
              </w:rPr>
              <w:t>15</w:t>
            </w:r>
            <w:r>
              <w:rPr>
                <w:webHidden/>
              </w:rPr>
              <w:fldChar w:fldCharType="end"/>
            </w:r>
          </w:hyperlink>
        </w:p>
        <w:p w:rsidR="007103F6" w14:paraId="1A797796" w14:textId="2F4F5CED">
          <w:pPr>
            <w:pStyle w:val="TOC2"/>
            <w:rPr>
              <w:rFonts w:asciiTheme="minorHAnsi" w:eastAsiaTheme="minorEastAsia" w:hAnsiTheme="minorHAnsi" w:cstheme="minorBidi"/>
              <w:bCs w:val="0"/>
              <w:kern w:val="2"/>
              <w:sz w:val="24"/>
              <w:szCs w:val="24"/>
              <w14:ligatures w14:val="standardContextual"/>
            </w:rPr>
          </w:pPr>
          <w:hyperlink w:anchor="_Toc216960427" w:history="1">
            <w:r w:rsidRPr="000361A5">
              <w:rPr>
                <w:rStyle w:val="Hyperlink"/>
              </w:rPr>
              <w:t>Overall Status of Audit Recommendations</w:t>
            </w:r>
            <w:r>
              <w:rPr>
                <w:webHidden/>
              </w:rPr>
              <w:tab/>
            </w:r>
            <w:r>
              <w:rPr>
                <w:webHidden/>
              </w:rPr>
              <w:fldChar w:fldCharType="begin"/>
            </w:r>
            <w:r>
              <w:rPr>
                <w:webHidden/>
              </w:rPr>
              <w:instrText xml:space="preserve"> PAGEREF _Toc216960427 \h </w:instrText>
            </w:r>
            <w:r>
              <w:rPr>
                <w:webHidden/>
              </w:rPr>
              <w:fldChar w:fldCharType="separate"/>
            </w:r>
            <w:r w:rsidR="00FA73DD">
              <w:rPr>
                <w:webHidden/>
              </w:rPr>
              <w:t>19</w:t>
            </w:r>
            <w:r>
              <w:rPr>
                <w:webHidden/>
              </w:rPr>
              <w:fldChar w:fldCharType="end"/>
            </w:r>
          </w:hyperlink>
        </w:p>
        <w:p w:rsidR="007103F6" w14:paraId="40ED7ED9" w14:textId="0664E08D">
          <w:pPr>
            <w:pStyle w:val="TOC2"/>
            <w:rPr>
              <w:rFonts w:asciiTheme="minorHAnsi" w:eastAsiaTheme="minorEastAsia" w:hAnsiTheme="minorHAnsi" w:cstheme="minorBidi"/>
              <w:bCs w:val="0"/>
              <w:kern w:val="2"/>
              <w:sz w:val="24"/>
              <w:szCs w:val="24"/>
              <w14:ligatures w14:val="standardContextual"/>
            </w:rPr>
          </w:pPr>
          <w:hyperlink w:anchor="_Toc216960428" w:history="1">
            <w:r w:rsidRPr="000361A5">
              <w:rPr>
                <w:rStyle w:val="Hyperlink"/>
              </w:rPr>
              <w:t>Management Assurances</w:t>
            </w:r>
            <w:r>
              <w:rPr>
                <w:webHidden/>
              </w:rPr>
              <w:tab/>
            </w:r>
            <w:r>
              <w:rPr>
                <w:webHidden/>
              </w:rPr>
              <w:fldChar w:fldCharType="begin"/>
            </w:r>
            <w:r>
              <w:rPr>
                <w:webHidden/>
              </w:rPr>
              <w:instrText xml:space="preserve"> PAGEREF _Toc216960428 \h </w:instrText>
            </w:r>
            <w:r>
              <w:rPr>
                <w:webHidden/>
              </w:rPr>
              <w:fldChar w:fldCharType="separate"/>
            </w:r>
            <w:r w:rsidR="00FA73DD">
              <w:rPr>
                <w:webHidden/>
              </w:rPr>
              <w:t>20</w:t>
            </w:r>
            <w:r>
              <w:rPr>
                <w:webHidden/>
              </w:rPr>
              <w:fldChar w:fldCharType="end"/>
            </w:r>
          </w:hyperlink>
        </w:p>
        <w:p w:rsidR="007103F6" w14:paraId="72281E00" w14:textId="1A063E12">
          <w:pPr>
            <w:pStyle w:val="TOC2"/>
            <w:rPr>
              <w:rFonts w:asciiTheme="minorHAnsi" w:eastAsiaTheme="minorEastAsia" w:hAnsiTheme="minorHAnsi" w:cstheme="minorBidi"/>
              <w:bCs w:val="0"/>
              <w:kern w:val="2"/>
              <w:sz w:val="24"/>
              <w:szCs w:val="24"/>
              <w14:ligatures w14:val="standardContextual"/>
            </w:rPr>
          </w:pPr>
          <w:hyperlink w:anchor="_Toc216960429" w:history="1">
            <w:r w:rsidRPr="000361A5">
              <w:rPr>
                <w:rStyle w:val="Hyperlink"/>
              </w:rPr>
              <w:t>Financial Management Systems Strategy</w:t>
            </w:r>
            <w:r>
              <w:rPr>
                <w:webHidden/>
              </w:rPr>
              <w:tab/>
            </w:r>
            <w:r>
              <w:rPr>
                <w:webHidden/>
              </w:rPr>
              <w:fldChar w:fldCharType="begin"/>
            </w:r>
            <w:r>
              <w:rPr>
                <w:webHidden/>
              </w:rPr>
              <w:instrText xml:space="preserve"> PAGEREF _Toc216960429 \h </w:instrText>
            </w:r>
            <w:r>
              <w:rPr>
                <w:webHidden/>
              </w:rPr>
              <w:fldChar w:fldCharType="separate"/>
            </w:r>
            <w:r w:rsidR="00FA73DD">
              <w:rPr>
                <w:webHidden/>
              </w:rPr>
              <w:t>22</w:t>
            </w:r>
            <w:r>
              <w:rPr>
                <w:webHidden/>
              </w:rPr>
              <w:fldChar w:fldCharType="end"/>
            </w:r>
          </w:hyperlink>
        </w:p>
        <w:p w:rsidR="007103F6" w14:paraId="0813D7AC" w14:textId="05288A9F">
          <w:pPr>
            <w:pStyle w:val="TOC2"/>
            <w:rPr>
              <w:rFonts w:asciiTheme="minorHAnsi" w:eastAsiaTheme="minorEastAsia" w:hAnsiTheme="minorHAnsi" w:cstheme="minorBidi"/>
              <w:bCs w:val="0"/>
              <w:kern w:val="2"/>
              <w:sz w:val="24"/>
              <w:szCs w:val="24"/>
              <w14:ligatures w14:val="standardContextual"/>
            </w:rPr>
          </w:pPr>
          <w:hyperlink w:anchor="_Toc216960430" w:history="1">
            <w:r w:rsidRPr="000361A5">
              <w:rPr>
                <w:rStyle w:val="Hyperlink"/>
              </w:rPr>
              <w:t>Financial Discussion and Analysis</w:t>
            </w:r>
            <w:r>
              <w:rPr>
                <w:webHidden/>
              </w:rPr>
              <w:tab/>
            </w:r>
            <w:r>
              <w:rPr>
                <w:webHidden/>
              </w:rPr>
              <w:fldChar w:fldCharType="begin"/>
            </w:r>
            <w:r>
              <w:rPr>
                <w:webHidden/>
              </w:rPr>
              <w:instrText xml:space="preserve"> PAGEREF _Toc216960430 \h </w:instrText>
            </w:r>
            <w:r>
              <w:rPr>
                <w:webHidden/>
              </w:rPr>
              <w:fldChar w:fldCharType="separate"/>
            </w:r>
            <w:r w:rsidR="00FA73DD">
              <w:rPr>
                <w:webHidden/>
              </w:rPr>
              <w:t>23</w:t>
            </w:r>
            <w:r>
              <w:rPr>
                <w:webHidden/>
              </w:rPr>
              <w:fldChar w:fldCharType="end"/>
            </w:r>
          </w:hyperlink>
        </w:p>
        <w:p w:rsidR="007103F6" w14:paraId="7C4583B9" w14:textId="537A6213">
          <w:pPr>
            <w:pStyle w:val="TOC2"/>
            <w:rPr>
              <w:rFonts w:asciiTheme="minorHAnsi" w:eastAsiaTheme="minorEastAsia" w:hAnsiTheme="minorHAnsi" w:cstheme="minorBidi"/>
              <w:bCs w:val="0"/>
              <w:kern w:val="2"/>
              <w:sz w:val="24"/>
              <w:szCs w:val="24"/>
              <w14:ligatures w14:val="standardContextual"/>
            </w:rPr>
          </w:pPr>
          <w:hyperlink w:anchor="_Toc216960431" w:history="1">
            <w:r w:rsidRPr="000361A5">
              <w:rPr>
                <w:rStyle w:val="Hyperlink"/>
              </w:rPr>
              <w:t>Other Key Financial Statement Highlights</w:t>
            </w:r>
            <w:r>
              <w:rPr>
                <w:webHidden/>
              </w:rPr>
              <w:tab/>
            </w:r>
            <w:r>
              <w:rPr>
                <w:webHidden/>
              </w:rPr>
              <w:fldChar w:fldCharType="begin"/>
            </w:r>
            <w:r>
              <w:rPr>
                <w:webHidden/>
              </w:rPr>
              <w:instrText xml:space="preserve"> PAGEREF _Toc216960431 \h </w:instrText>
            </w:r>
            <w:r>
              <w:rPr>
                <w:webHidden/>
              </w:rPr>
              <w:fldChar w:fldCharType="separate"/>
            </w:r>
            <w:r w:rsidR="00FA73DD">
              <w:rPr>
                <w:webHidden/>
              </w:rPr>
              <w:t>28</w:t>
            </w:r>
            <w:r>
              <w:rPr>
                <w:webHidden/>
              </w:rPr>
              <w:fldChar w:fldCharType="end"/>
            </w:r>
          </w:hyperlink>
        </w:p>
        <w:p w:rsidR="007103F6" w14:paraId="11DB50CA" w14:textId="47C5662E">
          <w:pPr>
            <w:pStyle w:val="TOC1"/>
            <w:rPr>
              <w:rFonts w:asciiTheme="minorHAnsi" w:eastAsiaTheme="minorEastAsia" w:hAnsiTheme="minorHAnsi" w:cstheme="minorBidi"/>
              <w:bCs w:val="0"/>
              <w:iCs w:val="0"/>
              <w:kern w:val="2"/>
              <w:sz w:val="24"/>
              <w14:ligatures w14:val="standardContextual"/>
            </w:rPr>
          </w:pPr>
          <w:hyperlink w:anchor="_Toc216960432" w:history="1">
            <w:r w:rsidRPr="000361A5">
              <w:rPr>
                <w:rStyle w:val="Hyperlink"/>
                <w:b/>
              </w:rPr>
              <w:t>II. Consolidated Financial Statements and Independent Auditors’ Report</w:t>
            </w:r>
            <w:r>
              <w:rPr>
                <w:webHidden/>
              </w:rPr>
              <w:tab/>
            </w:r>
            <w:r>
              <w:rPr>
                <w:webHidden/>
              </w:rPr>
              <w:fldChar w:fldCharType="begin"/>
            </w:r>
            <w:r>
              <w:rPr>
                <w:webHidden/>
              </w:rPr>
              <w:instrText xml:space="preserve"> PAGEREF _Toc216960432 \h </w:instrText>
            </w:r>
            <w:r>
              <w:rPr>
                <w:webHidden/>
              </w:rPr>
              <w:fldChar w:fldCharType="separate"/>
            </w:r>
            <w:r w:rsidR="00FA73DD">
              <w:rPr>
                <w:webHidden/>
              </w:rPr>
              <w:t>29</w:t>
            </w:r>
            <w:r>
              <w:rPr>
                <w:webHidden/>
              </w:rPr>
              <w:fldChar w:fldCharType="end"/>
            </w:r>
          </w:hyperlink>
        </w:p>
        <w:p w:rsidR="007103F6" w14:paraId="25B6FD2C" w14:textId="0D436C20">
          <w:pPr>
            <w:pStyle w:val="TOC2"/>
            <w:rPr>
              <w:rFonts w:asciiTheme="minorHAnsi" w:eastAsiaTheme="minorEastAsia" w:hAnsiTheme="minorHAnsi" w:cstheme="minorBidi"/>
              <w:bCs w:val="0"/>
              <w:kern w:val="2"/>
              <w:sz w:val="24"/>
              <w:szCs w:val="24"/>
              <w14:ligatures w14:val="standardContextual"/>
            </w:rPr>
          </w:pPr>
          <w:hyperlink w:anchor="_Toc216960433" w:history="1">
            <w:r w:rsidRPr="000361A5">
              <w:rPr>
                <w:rStyle w:val="Hyperlink"/>
              </w:rPr>
              <w:t>Transmittal from Office of Inspector General</w:t>
            </w:r>
            <w:r>
              <w:rPr>
                <w:webHidden/>
              </w:rPr>
              <w:tab/>
            </w:r>
            <w:r>
              <w:rPr>
                <w:webHidden/>
              </w:rPr>
              <w:fldChar w:fldCharType="begin"/>
            </w:r>
            <w:r>
              <w:rPr>
                <w:webHidden/>
              </w:rPr>
              <w:instrText xml:space="preserve"> PAGEREF _Toc216960433 \h </w:instrText>
            </w:r>
            <w:r>
              <w:rPr>
                <w:webHidden/>
              </w:rPr>
              <w:fldChar w:fldCharType="separate"/>
            </w:r>
            <w:r w:rsidR="00FA73DD">
              <w:rPr>
                <w:webHidden/>
              </w:rPr>
              <w:t>29</w:t>
            </w:r>
            <w:r>
              <w:rPr>
                <w:webHidden/>
              </w:rPr>
              <w:fldChar w:fldCharType="end"/>
            </w:r>
          </w:hyperlink>
        </w:p>
        <w:p w:rsidR="007103F6" w14:paraId="781B45C4" w14:textId="4F789487">
          <w:pPr>
            <w:pStyle w:val="TOC2"/>
            <w:rPr>
              <w:rFonts w:asciiTheme="minorHAnsi" w:eastAsiaTheme="minorEastAsia" w:hAnsiTheme="minorHAnsi" w:cstheme="minorBidi"/>
              <w:bCs w:val="0"/>
              <w:kern w:val="2"/>
              <w:sz w:val="24"/>
              <w:szCs w:val="24"/>
              <w14:ligatures w14:val="standardContextual"/>
            </w:rPr>
          </w:pPr>
          <w:hyperlink w:anchor="_Toc216960434" w:history="1">
            <w:r w:rsidRPr="000361A5">
              <w:rPr>
                <w:rStyle w:val="Hyperlink"/>
              </w:rPr>
              <w:t>Independent Auditors’ Report</w:t>
            </w:r>
            <w:r>
              <w:rPr>
                <w:webHidden/>
              </w:rPr>
              <w:tab/>
            </w:r>
            <w:r>
              <w:rPr>
                <w:webHidden/>
              </w:rPr>
              <w:fldChar w:fldCharType="begin"/>
            </w:r>
            <w:r>
              <w:rPr>
                <w:webHidden/>
              </w:rPr>
              <w:instrText xml:space="preserve"> PAGEREF _Toc216960434 \h </w:instrText>
            </w:r>
            <w:r>
              <w:rPr>
                <w:webHidden/>
              </w:rPr>
              <w:fldChar w:fldCharType="separate"/>
            </w:r>
            <w:r w:rsidR="00FA73DD">
              <w:rPr>
                <w:webHidden/>
              </w:rPr>
              <w:t>31</w:t>
            </w:r>
            <w:r>
              <w:rPr>
                <w:webHidden/>
              </w:rPr>
              <w:fldChar w:fldCharType="end"/>
            </w:r>
          </w:hyperlink>
        </w:p>
        <w:p w:rsidR="007103F6" w14:paraId="495066AA" w14:textId="384E8E6D">
          <w:pPr>
            <w:pStyle w:val="TOC2"/>
            <w:rPr>
              <w:rFonts w:asciiTheme="minorHAnsi" w:eastAsiaTheme="minorEastAsia" w:hAnsiTheme="minorHAnsi" w:cstheme="minorBidi"/>
              <w:bCs w:val="0"/>
              <w:kern w:val="2"/>
              <w:sz w:val="24"/>
              <w:szCs w:val="24"/>
              <w14:ligatures w14:val="standardContextual"/>
            </w:rPr>
          </w:pPr>
          <w:hyperlink w:anchor="_Toc216960435" w:history="1">
            <w:r w:rsidRPr="000361A5">
              <w:rPr>
                <w:rStyle w:val="Hyperlink"/>
              </w:rPr>
              <w:t>Independent Auditors’ Report on Internal Control over Financial Reporting</w:t>
            </w:r>
            <w:r>
              <w:rPr>
                <w:webHidden/>
              </w:rPr>
              <w:tab/>
            </w:r>
            <w:r>
              <w:rPr>
                <w:webHidden/>
              </w:rPr>
              <w:fldChar w:fldCharType="begin"/>
            </w:r>
            <w:r>
              <w:rPr>
                <w:webHidden/>
              </w:rPr>
              <w:instrText xml:space="preserve"> PAGEREF _Toc216960435 \h </w:instrText>
            </w:r>
            <w:r>
              <w:rPr>
                <w:webHidden/>
              </w:rPr>
              <w:fldChar w:fldCharType="separate"/>
            </w:r>
            <w:r w:rsidR="00FA73DD">
              <w:rPr>
                <w:webHidden/>
              </w:rPr>
              <w:t>34</w:t>
            </w:r>
            <w:r>
              <w:rPr>
                <w:webHidden/>
              </w:rPr>
              <w:fldChar w:fldCharType="end"/>
            </w:r>
          </w:hyperlink>
        </w:p>
        <w:p w:rsidR="007103F6" w14:paraId="2C7F6858" w14:textId="6FD36FC1">
          <w:pPr>
            <w:pStyle w:val="TOC2"/>
            <w:rPr>
              <w:rFonts w:asciiTheme="minorHAnsi" w:eastAsiaTheme="minorEastAsia" w:hAnsiTheme="minorHAnsi" w:cstheme="minorBidi"/>
              <w:bCs w:val="0"/>
              <w:kern w:val="2"/>
              <w:sz w:val="24"/>
              <w:szCs w:val="24"/>
              <w14:ligatures w14:val="standardContextual"/>
            </w:rPr>
          </w:pPr>
          <w:hyperlink w:anchor="_Toc216960436" w:history="1">
            <w:r w:rsidRPr="000361A5">
              <w:rPr>
                <w:rStyle w:val="Hyperlink"/>
              </w:rPr>
              <w:t>Independent Auditor’s Report on Compliance with Laws, Regulations,  Contracts, and Grant Agreements</w:t>
            </w:r>
            <w:r>
              <w:rPr>
                <w:webHidden/>
              </w:rPr>
              <w:tab/>
            </w:r>
            <w:r>
              <w:rPr>
                <w:webHidden/>
              </w:rPr>
              <w:fldChar w:fldCharType="begin"/>
            </w:r>
            <w:r>
              <w:rPr>
                <w:webHidden/>
              </w:rPr>
              <w:instrText xml:space="preserve"> PAGEREF _Toc216960436 \h </w:instrText>
            </w:r>
            <w:r>
              <w:rPr>
                <w:webHidden/>
              </w:rPr>
              <w:fldChar w:fldCharType="separate"/>
            </w:r>
            <w:r w:rsidR="00FA73DD">
              <w:rPr>
                <w:webHidden/>
              </w:rPr>
              <w:t>40</w:t>
            </w:r>
            <w:r>
              <w:rPr>
                <w:webHidden/>
              </w:rPr>
              <w:fldChar w:fldCharType="end"/>
            </w:r>
          </w:hyperlink>
        </w:p>
        <w:p w:rsidR="007103F6" w14:paraId="2ED2B09E" w14:textId="673FEFF7">
          <w:pPr>
            <w:pStyle w:val="TOC2"/>
            <w:rPr>
              <w:rFonts w:asciiTheme="minorHAnsi" w:eastAsiaTheme="minorEastAsia" w:hAnsiTheme="minorHAnsi" w:cstheme="minorBidi"/>
              <w:bCs w:val="0"/>
              <w:kern w:val="2"/>
              <w:sz w:val="24"/>
              <w:szCs w:val="24"/>
              <w14:ligatures w14:val="standardContextual"/>
            </w:rPr>
          </w:pPr>
          <w:hyperlink w:anchor="_Toc216960437" w:history="1">
            <w:r w:rsidRPr="000361A5">
              <w:rPr>
                <w:rStyle w:val="Hyperlink"/>
              </w:rPr>
              <w:t>Commission’s Response to Independent Auditors’ Reports</w:t>
            </w:r>
            <w:r>
              <w:rPr>
                <w:webHidden/>
              </w:rPr>
              <w:tab/>
            </w:r>
            <w:r>
              <w:rPr>
                <w:webHidden/>
              </w:rPr>
              <w:fldChar w:fldCharType="begin"/>
            </w:r>
            <w:r>
              <w:rPr>
                <w:webHidden/>
              </w:rPr>
              <w:instrText xml:space="preserve"> PAGEREF _Toc216960437 \h </w:instrText>
            </w:r>
            <w:r>
              <w:rPr>
                <w:webHidden/>
              </w:rPr>
              <w:fldChar w:fldCharType="separate"/>
            </w:r>
            <w:r w:rsidR="00FA73DD">
              <w:rPr>
                <w:webHidden/>
              </w:rPr>
              <w:t>41</w:t>
            </w:r>
            <w:r>
              <w:rPr>
                <w:webHidden/>
              </w:rPr>
              <w:fldChar w:fldCharType="end"/>
            </w:r>
          </w:hyperlink>
        </w:p>
        <w:p w:rsidR="007103F6" w:rsidRPr="007103F6" w14:paraId="63CE5D29" w14:textId="7E1484C3">
          <w:pPr>
            <w:pStyle w:val="TOC2"/>
            <w:rPr>
              <w:rFonts w:asciiTheme="minorHAnsi" w:eastAsiaTheme="minorEastAsia" w:hAnsiTheme="minorHAnsi" w:cstheme="minorBidi"/>
              <w:kern w:val="2"/>
              <w:sz w:val="24"/>
              <w:szCs w:val="24"/>
              <w14:ligatures w14:val="standardContextual"/>
            </w:rPr>
          </w:pPr>
          <w:hyperlink w:anchor="_Toc216960438" w:history="1">
            <w:r w:rsidRPr="007103F6">
              <w:rPr>
                <w:rStyle w:val="Hyperlink"/>
              </w:rPr>
              <w:t>Principal Statem</w:t>
            </w:r>
            <w:r w:rsidRPr="007103F6">
              <w:rPr>
                <w:rStyle w:val="Hyperlink"/>
              </w:rPr>
              <w:t>e</w:t>
            </w:r>
            <w:r w:rsidRPr="007103F6">
              <w:rPr>
                <w:rStyle w:val="Hyperlink"/>
              </w:rPr>
              <w:t>nts</w:t>
            </w:r>
            <w:r w:rsidRPr="007103F6">
              <w:rPr>
                <w:webHidden/>
              </w:rPr>
              <w:tab/>
            </w:r>
            <w:r w:rsidRPr="007103F6">
              <w:rPr>
                <w:webHidden/>
              </w:rPr>
              <w:fldChar w:fldCharType="begin"/>
            </w:r>
            <w:r w:rsidRPr="007103F6">
              <w:rPr>
                <w:webHidden/>
              </w:rPr>
              <w:instrText xml:space="preserve"> PAGEREF _Toc216960438 \h </w:instrText>
            </w:r>
            <w:r w:rsidRPr="007103F6">
              <w:rPr>
                <w:webHidden/>
              </w:rPr>
              <w:fldChar w:fldCharType="separate"/>
            </w:r>
            <w:r w:rsidR="00FA73DD">
              <w:rPr>
                <w:webHidden/>
              </w:rPr>
              <w:t>42</w:t>
            </w:r>
            <w:r w:rsidRPr="007103F6">
              <w:rPr>
                <w:webHidden/>
              </w:rPr>
              <w:fldChar w:fldCharType="end"/>
            </w:r>
          </w:hyperlink>
        </w:p>
        <w:p w:rsidR="007103F6" w:rsidRPr="007103F6" w14:paraId="7ED8DDD5" w14:textId="5ABBCF93">
          <w:pPr>
            <w:pStyle w:val="TOC3"/>
            <w:rPr>
              <w:rFonts w:asciiTheme="minorHAnsi" w:eastAsiaTheme="minorEastAsia" w:hAnsiTheme="minorHAnsi" w:cstheme="minorBidi"/>
              <w:bCs/>
              <w:kern w:val="2"/>
              <w:sz w:val="24"/>
              <w:szCs w:val="24"/>
              <w14:ligatures w14:val="standardContextual"/>
            </w:rPr>
          </w:pPr>
          <w:hyperlink w:anchor="_Toc216960439" w:history="1">
            <w:r w:rsidRPr="007103F6">
              <w:rPr>
                <w:rStyle w:val="Hyperlink"/>
                <w:bCs/>
              </w:rPr>
              <w:t>Consolidated Balance Sheet</w:t>
            </w:r>
            <w:r w:rsidRPr="007103F6">
              <w:rPr>
                <w:bCs/>
                <w:webHidden/>
              </w:rPr>
              <w:tab/>
            </w:r>
            <w:r w:rsidRPr="007103F6">
              <w:rPr>
                <w:bCs/>
                <w:webHidden/>
              </w:rPr>
              <w:fldChar w:fldCharType="begin"/>
            </w:r>
            <w:r w:rsidRPr="007103F6">
              <w:rPr>
                <w:bCs/>
                <w:webHidden/>
              </w:rPr>
              <w:instrText xml:space="preserve"> PAGEREF _Toc216960439 \h </w:instrText>
            </w:r>
            <w:r w:rsidRPr="007103F6">
              <w:rPr>
                <w:bCs/>
                <w:webHidden/>
              </w:rPr>
              <w:fldChar w:fldCharType="separate"/>
            </w:r>
            <w:r w:rsidR="00FA73DD">
              <w:rPr>
                <w:bCs/>
                <w:webHidden/>
              </w:rPr>
              <w:t>42</w:t>
            </w:r>
            <w:r w:rsidRPr="007103F6">
              <w:rPr>
                <w:bCs/>
                <w:webHidden/>
              </w:rPr>
              <w:fldChar w:fldCharType="end"/>
            </w:r>
          </w:hyperlink>
        </w:p>
        <w:p w:rsidR="007103F6" w:rsidRPr="007103F6" w14:paraId="60C342D1" w14:textId="7E41B439">
          <w:pPr>
            <w:pStyle w:val="TOC3"/>
            <w:rPr>
              <w:rFonts w:asciiTheme="minorHAnsi" w:eastAsiaTheme="minorEastAsia" w:hAnsiTheme="minorHAnsi" w:cstheme="minorBidi"/>
              <w:bCs/>
              <w:kern w:val="2"/>
              <w:sz w:val="24"/>
              <w:szCs w:val="24"/>
              <w14:ligatures w14:val="standardContextual"/>
            </w:rPr>
          </w:pPr>
          <w:hyperlink w:anchor="_Toc216960440" w:history="1">
            <w:r w:rsidRPr="007103F6">
              <w:rPr>
                <w:rStyle w:val="Hyperlink"/>
                <w:bCs/>
              </w:rPr>
              <w:t>Consolidated Statement of Net Cost</w:t>
            </w:r>
            <w:r w:rsidRPr="007103F6">
              <w:rPr>
                <w:bCs/>
                <w:webHidden/>
              </w:rPr>
              <w:tab/>
            </w:r>
            <w:r w:rsidRPr="007103F6">
              <w:rPr>
                <w:bCs/>
                <w:webHidden/>
              </w:rPr>
              <w:fldChar w:fldCharType="begin"/>
            </w:r>
            <w:r w:rsidRPr="007103F6">
              <w:rPr>
                <w:bCs/>
                <w:webHidden/>
              </w:rPr>
              <w:instrText xml:space="preserve"> PAGEREF _Toc216960440 \h </w:instrText>
            </w:r>
            <w:r w:rsidRPr="007103F6">
              <w:rPr>
                <w:bCs/>
                <w:webHidden/>
              </w:rPr>
              <w:fldChar w:fldCharType="separate"/>
            </w:r>
            <w:r w:rsidR="00FA73DD">
              <w:rPr>
                <w:bCs/>
                <w:webHidden/>
              </w:rPr>
              <w:t>43</w:t>
            </w:r>
            <w:r w:rsidRPr="007103F6">
              <w:rPr>
                <w:bCs/>
                <w:webHidden/>
              </w:rPr>
              <w:fldChar w:fldCharType="end"/>
            </w:r>
          </w:hyperlink>
        </w:p>
        <w:p w:rsidR="007103F6" w:rsidRPr="007103F6" w14:paraId="3DE7314E" w14:textId="10EB5592">
          <w:pPr>
            <w:pStyle w:val="TOC3"/>
            <w:rPr>
              <w:rFonts w:asciiTheme="minorHAnsi" w:eastAsiaTheme="minorEastAsia" w:hAnsiTheme="minorHAnsi" w:cstheme="minorBidi"/>
              <w:bCs/>
              <w:kern w:val="2"/>
              <w:sz w:val="24"/>
              <w:szCs w:val="24"/>
              <w14:ligatures w14:val="standardContextual"/>
            </w:rPr>
          </w:pPr>
          <w:hyperlink w:anchor="_Toc216960441" w:history="1">
            <w:r w:rsidRPr="007103F6">
              <w:rPr>
                <w:rStyle w:val="Hyperlink"/>
                <w:bCs/>
              </w:rPr>
              <w:t>Consolidated Statement of Changes in Net Position and Custodial Activity</w:t>
            </w:r>
            <w:r w:rsidRPr="007103F6">
              <w:rPr>
                <w:bCs/>
                <w:webHidden/>
              </w:rPr>
              <w:tab/>
            </w:r>
            <w:r w:rsidRPr="007103F6">
              <w:rPr>
                <w:bCs/>
                <w:webHidden/>
              </w:rPr>
              <w:fldChar w:fldCharType="begin"/>
            </w:r>
            <w:r w:rsidRPr="007103F6">
              <w:rPr>
                <w:bCs/>
                <w:webHidden/>
              </w:rPr>
              <w:instrText xml:space="preserve"> PAGEREF _Toc216960441 \h </w:instrText>
            </w:r>
            <w:r w:rsidRPr="007103F6">
              <w:rPr>
                <w:bCs/>
                <w:webHidden/>
              </w:rPr>
              <w:fldChar w:fldCharType="separate"/>
            </w:r>
            <w:r w:rsidR="00FA73DD">
              <w:rPr>
                <w:bCs/>
                <w:webHidden/>
              </w:rPr>
              <w:t>44</w:t>
            </w:r>
            <w:r w:rsidRPr="007103F6">
              <w:rPr>
                <w:bCs/>
                <w:webHidden/>
              </w:rPr>
              <w:fldChar w:fldCharType="end"/>
            </w:r>
          </w:hyperlink>
        </w:p>
        <w:p w:rsidR="007103F6" w:rsidRPr="007103F6" w14:paraId="695B4DF5" w14:textId="0C6B20E5">
          <w:pPr>
            <w:pStyle w:val="TOC3"/>
            <w:rPr>
              <w:rFonts w:asciiTheme="minorHAnsi" w:eastAsiaTheme="minorEastAsia" w:hAnsiTheme="minorHAnsi" w:cstheme="minorBidi"/>
              <w:bCs/>
              <w:kern w:val="2"/>
              <w:sz w:val="24"/>
              <w:szCs w:val="24"/>
              <w14:ligatures w14:val="standardContextual"/>
            </w:rPr>
          </w:pPr>
          <w:hyperlink w:anchor="_Toc216960442" w:history="1">
            <w:r w:rsidRPr="007103F6">
              <w:rPr>
                <w:rStyle w:val="Hyperlink"/>
                <w:bCs/>
              </w:rPr>
              <w:t>Combined Statement of Budgetary Resources</w:t>
            </w:r>
            <w:r w:rsidRPr="007103F6">
              <w:rPr>
                <w:bCs/>
                <w:webHidden/>
              </w:rPr>
              <w:tab/>
            </w:r>
            <w:r w:rsidRPr="007103F6">
              <w:rPr>
                <w:bCs/>
                <w:webHidden/>
              </w:rPr>
              <w:fldChar w:fldCharType="begin"/>
            </w:r>
            <w:r w:rsidRPr="007103F6">
              <w:rPr>
                <w:bCs/>
                <w:webHidden/>
              </w:rPr>
              <w:instrText xml:space="preserve"> PAGEREF _Toc216960442 \h </w:instrText>
            </w:r>
            <w:r w:rsidRPr="007103F6">
              <w:rPr>
                <w:bCs/>
                <w:webHidden/>
              </w:rPr>
              <w:fldChar w:fldCharType="separate"/>
            </w:r>
            <w:r w:rsidR="00FA73DD">
              <w:rPr>
                <w:bCs/>
                <w:webHidden/>
              </w:rPr>
              <w:t>45</w:t>
            </w:r>
            <w:r w:rsidRPr="007103F6">
              <w:rPr>
                <w:bCs/>
                <w:webHidden/>
              </w:rPr>
              <w:fldChar w:fldCharType="end"/>
            </w:r>
          </w:hyperlink>
        </w:p>
        <w:p w:rsidR="007103F6" w:rsidRPr="007103F6" w14:paraId="6ECA9AED" w14:textId="2A52FF88">
          <w:pPr>
            <w:pStyle w:val="TOC2"/>
            <w:rPr>
              <w:rFonts w:asciiTheme="minorHAnsi" w:eastAsiaTheme="minorEastAsia" w:hAnsiTheme="minorHAnsi" w:cstheme="minorBidi"/>
              <w:kern w:val="2"/>
              <w:sz w:val="24"/>
              <w:szCs w:val="24"/>
              <w14:ligatures w14:val="standardContextual"/>
            </w:rPr>
          </w:pPr>
          <w:hyperlink w:anchor="_Toc216960443" w:history="1">
            <w:r w:rsidRPr="007103F6">
              <w:rPr>
                <w:rStyle w:val="Hyperlink"/>
              </w:rPr>
              <w:t>Notes to the Principal Financial Statements</w:t>
            </w:r>
            <w:r w:rsidRPr="007103F6">
              <w:rPr>
                <w:webHidden/>
              </w:rPr>
              <w:tab/>
            </w:r>
            <w:r w:rsidRPr="007103F6">
              <w:rPr>
                <w:webHidden/>
              </w:rPr>
              <w:fldChar w:fldCharType="begin"/>
            </w:r>
            <w:r w:rsidRPr="007103F6">
              <w:rPr>
                <w:webHidden/>
              </w:rPr>
              <w:instrText xml:space="preserve"> PAGEREF _Toc216960443 \h </w:instrText>
            </w:r>
            <w:r w:rsidRPr="007103F6">
              <w:rPr>
                <w:webHidden/>
              </w:rPr>
              <w:fldChar w:fldCharType="separate"/>
            </w:r>
            <w:r w:rsidR="00FA73DD">
              <w:rPr>
                <w:webHidden/>
              </w:rPr>
              <w:t>46</w:t>
            </w:r>
            <w:r w:rsidRPr="007103F6">
              <w:rPr>
                <w:webHidden/>
              </w:rPr>
              <w:fldChar w:fldCharType="end"/>
            </w:r>
          </w:hyperlink>
        </w:p>
        <w:p w:rsidR="007103F6" w:rsidRPr="007103F6" w14:paraId="6DA657A7" w14:textId="23B1B297">
          <w:pPr>
            <w:pStyle w:val="TOC2"/>
            <w:rPr>
              <w:rFonts w:asciiTheme="minorHAnsi" w:eastAsiaTheme="minorEastAsia" w:hAnsiTheme="minorHAnsi" w:cstheme="minorBidi"/>
              <w:kern w:val="2"/>
              <w:sz w:val="24"/>
              <w:szCs w:val="24"/>
              <w14:ligatures w14:val="standardContextual"/>
            </w:rPr>
          </w:pPr>
          <w:hyperlink w:anchor="_Toc216960444" w:history="1">
            <w:r w:rsidRPr="007103F6">
              <w:rPr>
                <w:rStyle w:val="Hyperlink"/>
              </w:rPr>
              <w:t>Required Supplementary Information</w:t>
            </w:r>
            <w:r w:rsidRPr="007103F6">
              <w:rPr>
                <w:webHidden/>
              </w:rPr>
              <w:tab/>
            </w:r>
            <w:r w:rsidRPr="007103F6">
              <w:rPr>
                <w:webHidden/>
              </w:rPr>
              <w:fldChar w:fldCharType="begin"/>
            </w:r>
            <w:r w:rsidRPr="007103F6">
              <w:rPr>
                <w:webHidden/>
              </w:rPr>
              <w:instrText xml:space="preserve"> PAGEREF _Toc216960444 \h </w:instrText>
            </w:r>
            <w:r w:rsidRPr="007103F6">
              <w:rPr>
                <w:webHidden/>
              </w:rPr>
              <w:fldChar w:fldCharType="separate"/>
            </w:r>
            <w:r w:rsidR="00FA73DD">
              <w:rPr>
                <w:webHidden/>
              </w:rPr>
              <w:t>70</w:t>
            </w:r>
            <w:r w:rsidRPr="007103F6">
              <w:rPr>
                <w:webHidden/>
              </w:rPr>
              <w:fldChar w:fldCharType="end"/>
            </w:r>
          </w:hyperlink>
        </w:p>
        <w:p w:rsidR="007103F6" w14:paraId="217D8EB1" w14:textId="3F82F8EF">
          <w:pPr>
            <w:pStyle w:val="TOC1"/>
            <w:rPr>
              <w:rFonts w:asciiTheme="minorHAnsi" w:eastAsiaTheme="minorEastAsia" w:hAnsiTheme="minorHAnsi" w:cstheme="minorBidi"/>
              <w:bCs w:val="0"/>
              <w:iCs w:val="0"/>
              <w:kern w:val="2"/>
              <w:sz w:val="24"/>
              <w14:ligatures w14:val="standardContextual"/>
            </w:rPr>
          </w:pPr>
          <w:hyperlink w:anchor="_Toc216960445" w:history="1">
            <w:r w:rsidRPr="000361A5">
              <w:rPr>
                <w:rStyle w:val="Hyperlink"/>
                <w:b/>
              </w:rPr>
              <w:t>III.  OTHER INFORMATION (UNAUDITE</w:t>
            </w:r>
            <w:r w:rsidRPr="000361A5">
              <w:rPr>
                <w:rStyle w:val="Hyperlink"/>
                <w:b/>
              </w:rPr>
              <w:t>D</w:t>
            </w:r>
            <w:r w:rsidRPr="000361A5">
              <w:rPr>
                <w:rStyle w:val="Hyperlink"/>
                <w:b/>
              </w:rPr>
              <w:t>)</w:t>
            </w:r>
            <w:r>
              <w:rPr>
                <w:webHidden/>
              </w:rPr>
              <w:tab/>
            </w:r>
            <w:r>
              <w:rPr>
                <w:webHidden/>
              </w:rPr>
              <w:fldChar w:fldCharType="begin"/>
            </w:r>
            <w:r>
              <w:rPr>
                <w:webHidden/>
              </w:rPr>
              <w:instrText xml:space="preserve"> PAGEREF _Toc216960445 \h </w:instrText>
            </w:r>
            <w:r>
              <w:rPr>
                <w:webHidden/>
              </w:rPr>
              <w:fldChar w:fldCharType="separate"/>
            </w:r>
            <w:r w:rsidR="00FA73DD">
              <w:rPr>
                <w:webHidden/>
              </w:rPr>
              <w:t>73</w:t>
            </w:r>
            <w:r>
              <w:rPr>
                <w:webHidden/>
              </w:rPr>
              <w:fldChar w:fldCharType="end"/>
            </w:r>
          </w:hyperlink>
        </w:p>
        <w:p w:rsidR="007103F6" w14:paraId="68D7DADD" w14:textId="48EEE89B">
          <w:pPr>
            <w:pStyle w:val="TOC2"/>
            <w:rPr>
              <w:rFonts w:asciiTheme="minorHAnsi" w:eastAsiaTheme="minorEastAsia" w:hAnsiTheme="minorHAnsi" w:cstheme="minorBidi"/>
              <w:bCs w:val="0"/>
              <w:kern w:val="2"/>
              <w:sz w:val="24"/>
              <w:szCs w:val="24"/>
              <w14:ligatures w14:val="standardContextual"/>
            </w:rPr>
          </w:pPr>
          <w:hyperlink w:anchor="_Toc216960446" w:history="1">
            <w:r w:rsidRPr="000361A5">
              <w:rPr>
                <w:rStyle w:val="Hyperlink"/>
              </w:rPr>
              <w:t>Summary of Financial Statement Audit</w:t>
            </w:r>
            <w:r>
              <w:rPr>
                <w:webHidden/>
              </w:rPr>
              <w:tab/>
            </w:r>
            <w:r>
              <w:rPr>
                <w:webHidden/>
              </w:rPr>
              <w:fldChar w:fldCharType="begin"/>
            </w:r>
            <w:r>
              <w:rPr>
                <w:webHidden/>
              </w:rPr>
              <w:instrText xml:space="preserve"> PAGEREF _Toc216960446 \h </w:instrText>
            </w:r>
            <w:r>
              <w:rPr>
                <w:webHidden/>
              </w:rPr>
              <w:fldChar w:fldCharType="separate"/>
            </w:r>
            <w:r w:rsidR="00FA73DD">
              <w:rPr>
                <w:webHidden/>
              </w:rPr>
              <w:t>73</w:t>
            </w:r>
            <w:r>
              <w:rPr>
                <w:webHidden/>
              </w:rPr>
              <w:fldChar w:fldCharType="end"/>
            </w:r>
          </w:hyperlink>
        </w:p>
        <w:p w:rsidR="007103F6" w14:paraId="3BF443D3" w14:textId="1032A1C5">
          <w:pPr>
            <w:pStyle w:val="TOC2"/>
            <w:rPr>
              <w:rFonts w:asciiTheme="minorHAnsi" w:eastAsiaTheme="minorEastAsia" w:hAnsiTheme="minorHAnsi" w:cstheme="minorBidi"/>
              <w:bCs w:val="0"/>
              <w:kern w:val="2"/>
              <w:sz w:val="24"/>
              <w:szCs w:val="24"/>
              <w14:ligatures w14:val="standardContextual"/>
            </w:rPr>
          </w:pPr>
          <w:hyperlink w:anchor="_Toc216960447" w:history="1">
            <w:r w:rsidRPr="000361A5">
              <w:rPr>
                <w:rStyle w:val="Hyperlink"/>
              </w:rPr>
              <w:t>Summary of Management Assurances</w:t>
            </w:r>
            <w:r>
              <w:rPr>
                <w:webHidden/>
              </w:rPr>
              <w:tab/>
            </w:r>
            <w:r>
              <w:rPr>
                <w:webHidden/>
              </w:rPr>
              <w:fldChar w:fldCharType="begin"/>
            </w:r>
            <w:r>
              <w:rPr>
                <w:webHidden/>
              </w:rPr>
              <w:instrText xml:space="preserve"> PAGEREF _Toc216960447 \h </w:instrText>
            </w:r>
            <w:r>
              <w:rPr>
                <w:webHidden/>
              </w:rPr>
              <w:fldChar w:fldCharType="separate"/>
            </w:r>
            <w:r w:rsidR="00FA73DD">
              <w:rPr>
                <w:webHidden/>
              </w:rPr>
              <w:t>73</w:t>
            </w:r>
            <w:r>
              <w:rPr>
                <w:webHidden/>
              </w:rPr>
              <w:fldChar w:fldCharType="end"/>
            </w:r>
          </w:hyperlink>
        </w:p>
        <w:p w:rsidR="007103F6" w14:paraId="24DAD2F1" w14:textId="78EDEDD5">
          <w:pPr>
            <w:pStyle w:val="TOC2"/>
            <w:rPr>
              <w:rFonts w:asciiTheme="minorHAnsi" w:eastAsiaTheme="minorEastAsia" w:hAnsiTheme="minorHAnsi" w:cstheme="minorBidi"/>
              <w:bCs w:val="0"/>
              <w:kern w:val="2"/>
              <w:sz w:val="24"/>
              <w:szCs w:val="24"/>
              <w14:ligatures w14:val="standardContextual"/>
            </w:rPr>
          </w:pPr>
          <w:hyperlink w:anchor="_Toc216960448" w:history="1">
            <w:r w:rsidRPr="000361A5">
              <w:rPr>
                <w:rStyle w:val="Hyperlink"/>
              </w:rPr>
              <w:t>Payment Integrity</w:t>
            </w:r>
            <w:r>
              <w:rPr>
                <w:webHidden/>
              </w:rPr>
              <w:tab/>
            </w:r>
            <w:r>
              <w:rPr>
                <w:webHidden/>
              </w:rPr>
              <w:fldChar w:fldCharType="begin"/>
            </w:r>
            <w:r>
              <w:rPr>
                <w:webHidden/>
              </w:rPr>
              <w:instrText xml:space="preserve"> PAGEREF _Toc216960448 \h </w:instrText>
            </w:r>
            <w:r>
              <w:rPr>
                <w:webHidden/>
              </w:rPr>
              <w:fldChar w:fldCharType="separate"/>
            </w:r>
            <w:r w:rsidR="00FA73DD">
              <w:rPr>
                <w:webHidden/>
              </w:rPr>
              <w:t>74</w:t>
            </w:r>
            <w:r>
              <w:rPr>
                <w:webHidden/>
              </w:rPr>
              <w:fldChar w:fldCharType="end"/>
            </w:r>
          </w:hyperlink>
        </w:p>
        <w:p w:rsidR="007103F6" w14:paraId="79DB207E" w14:textId="128EEBE2">
          <w:pPr>
            <w:pStyle w:val="TOC2"/>
            <w:rPr>
              <w:rFonts w:asciiTheme="minorHAnsi" w:eastAsiaTheme="minorEastAsia" w:hAnsiTheme="minorHAnsi" w:cstheme="minorBidi"/>
              <w:bCs w:val="0"/>
              <w:kern w:val="2"/>
              <w:sz w:val="24"/>
              <w:szCs w:val="24"/>
              <w14:ligatures w14:val="standardContextual"/>
            </w:rPr>
          </w:pPr>
          <w:hyperlink w:anchor="_Toc216960449" w:history="1">
            <w:r w:rsidRPr="000361A5">
              <w:rPr>
                <w:rStyle w:val="Hyperlink"/>
              </w:rPr>
              <w:t>Civil Monetary Penalty Adjustment for Inflation</w:t>
            </w:r>
            <w:r>
              <w:rPr>
                <w:webHidden/>
              </w:rPr>
              <w:tab/>
            </w:r>
            <w:r>
              <w:rPr>
                <w:webHidden/>
              </w:rPr>
              <w:fldChar w:fldCharType="begin"/>
            </w:r>
            <w:r>
              <w:rPr>
                <w:webHidden/>
              </w:rPr>
              <w:instrText xml:space="preserve"> PAGEREF _Toc216960449 \h </w:instrText>
            </w:r>
            <w:r>
              <w:rPr>
                <w:webHidden/>
              </w:rPr>
              <w:fldChar w:fldCharType="separate"/>
            </w:r>
            <w:r w:rsidR="00FA73DD">
              <w:rPr>
                <w:webHidden/>
              </w:rPr>
              <w:t>78</w:t>
            </w:r>
            <w:r>
              <w:rPr>
                <w:webHidden/>
              </w:rPr>
              <w:fldChar w:fldCharType="end"/>
            </w:r>
          </w:hyperlink>
        </w:p>
        <w:p w:rsidR="007103F6" w14:paraId="667A83C6" w14:textId="523D2D6D">
          <w:pPr>
            <w:pStyle w:val="TOC2"/>
            <w:rPr>
              <w:rFonts w:asciiTheme="minorHAnsi" w:eastAsiaTheme="minorEastAsia" w:hAnsiTheme="minorHAnsi" w:cstheme="minorBidi"/>
              <w:bCs w:val="0"/>
              <w:kern w:val="2"/>
              <w:sz w:val="24"/>
              <w:szCs w:val="24"/>
              <w14:ligatures w14:val="standardContextual"/>
            </w:rPr>
          </w:pPr>
          <w:hyperlink w:anchor="_Toc216960450" w:history="1">
            <w:r w:rsidRPr="000361A5">
              <w:rPr>
                <w:rStyle w:val="Hyperlink"/>
              </w:rPr>
              <w:t>Office of Inspector General’s Management and Performance Challenges</w:t>
            </w:r>
            <w:r>
              <w:rPr>
                <w:webHidden/>
              </w:rPr>
              <w:tab/>
            </w:r>
            <w:r>
              <w:rPr>
                <w:webHidden/>
              </w:rPr>
              <w:fldChar w:fldCharType="begin"/>
            </w:r>
            <w:r>
              <w:rPr>
                <w:webHidden/>
              </w:rPr>
              <w:instrText xml:space="preserve"> PAGEREF _Toc216960450 \h </w:instrText>
            </w:r>
            <w:r>
              <w:rPr>
                <w:webHidden/>
              </w:rPr>
              <w:fldChar w:fldCharType="separate"/>
            </w:r>
            <w:r w:rsidR="00FA73DD">
              <w:rPr>
                <w:webHidden/>
              </w:rPr>
              <w:t>79</w:t>
            </w:r>
            <w:r>
              <w:rPr>
                <w:webHidden/>
              </w:rPr>
              <w:fldChar w:fldCharType="end"/>
            </w:r>
          </w:hyperlink>
        </w:p>
        <w:p w:rsidR="00FA664A" w:rsidRPr="00F81143" w:rsidP="00FA664A" w14:paraId="2953DCC7" w14:textId="051E2278">
          <w:pPr>
            <w:sectPr w:rsidSect="00227B45">
              <w:headerReference w:type="even" r:id="rId14"/>
              <w:headerReference w:type="default" r:id="rId15"/>
              <w:footerReference w:type="even" r:id="rId16"/>
              <w:footerReference w:type="default" r:id="rId17"/>
              <w:headerReference w:type="first" r:id="rId18"/>
              <w:pgSz w:w="12240" w:h="15840" w:code="1"/>
              <w:pgMar w:top="1440" w:right="1440" w:bottom="1440" w:left="1440" w:header="720" w:footer="720" w:gutter="0"/>
              <w:pgNumType w:fmt="lowerRoman" w:start="1"/>
              <w:cols w:space="720"/>
              <w:docGrid w:linePitch="360"/>
            </w:sectPr>
          </w:pPr>
          <w:r>
            <w:fldChar w:fldCharType="end"/>
          </w:r>
        </w:p>
      </w:sdtContent>
    </w:sdt>
    <w:p w:rsidR="00FA664A" w:rsidRPr="00BC67AE" w:rsidP="00AC2106" w14:paraId="11497E6F" w14:textId="77777777">
      <w:pPr>
        <w:pStyle w:val="Heading1"/>
        <w:numPr>
          <w:ilvl w:val="0"/>
          <w:numId w:val="12"/>
        </w:numPr>
        <w:ind w:left="0" w:firstLine="0"/>
        <w:jc w:val="left"/>
        <w:rPr>
          <w:b/>
          <w:color w:val="auto"/>
          <w:sz w:val="30"/>
          <w:szCs w:val="30"/>
        </w:rPr>
      </w:pPr>
      <w:bookmarkStart w:id="2" w:name="_Toc216960412"/>
      <w:r w:rsidRPr="00BC67AE">
        <w:rPr>
          <w:b/>
          <w:color w:val="auto"/>
          <w:sz w:val="30"/>
          <w:szCs w:val="30"/>
        </w:rPr>
        <w:t>MANAGEMENT’S DISCUSSION AND ANALYSIS (UNAUDITED)</w:t>
      </w:r>
      <w:bookmarkEnd w:id="2"/>
    </w:p>
    <w:p w:rsidR="00FA664A" w:rsidP="00FA664A" w14:paraId="4B842E62" w14:textId="73763DF1">
      <w:pPr>
        <w:autoSpaceDE w:val="0"/>
        <w:autoSpaceDN w:val="0"/>
        <w:adjustRightInd w:val="0"/>
        <w:rPr>
          <w:b/>
          <w:color w:val="000000"/>
          <w:sz w:val="22"/>
          <w:szCs w:val="22"/>
        </w:rPr>
      </w:pPr>
    </w:p>
    <w:p w:rsidR="001F4146" w:rsidP="001F4146" w14:paraId="068BF82F" w14:textId="77777777">
      <w:pPr>
        <w:pStyle w:val="Heading2"/>
        <w:spacing w:after="240"/>
        <w:jc w:val="left"/>
        <w:rPr>
          <w:rFonts w:ascii="Times New Roman" w:hAnsi="Times New Roman" w:cs="Times New Roman"/>
          <w:color w:val="auto"/>
          <w:sz w:val="28"/>
          <w:szCs w:val="28"/>
        </w:rPr>
      </w:pPr>
      <w:bookmarkStart w:id="3" w:name="_Toc216960413"/>
      <w:r w:rsidRPr="002133F1">
        <w:rPr>
          <w:rFonts w:ascii="Times New Roman" w:hAnsi="Times New Roman" w:cs="Times New Roman"/>
          <w:color w:val="auto"/>
          <w:sz w:val="28"/>
          <w:szCs w:val="28"/>
        </w:rPr>
        <w:t>Message from the Chairman</w:t>
      </w:r>
      <w:bookmarkEnd w:id="3"/>
    </w:p>
    <w:p w:rsidR="001F4146" w:rsidRPr="00797A5F" w:rsidP="001F4146" w14:paraId="42BCD3ED" w14:textId="77777777">
      <w:pPr>
        <w:jc w:val="both"/>
        <w:rPr>
          <w:sz w:val="22"/>
          <w:szCs w:val="22"/>
        </w:rPr>
      </w:pPr>
      <w:r w:rsidRPr="00797A5F">
        <w:rPr>
          <w:sz w:val="22"/>
          <w:szCs w:val="22"/>
        </w:rPr>
        <w:t xml:space="preserve">As the Chairman of the Federal Communications Commission (FCC or Commission), I am pleased to present the FCC’s fiscal year (FY) 2025 Agency Financial Report. This report provides financial and performance information about the FCC’s activities over the course of FY 2025. </w:t>
      </w:r>
    </w:p>
    <w:p w:rsidR="001F4146" w:rsidRPr="00797A5F" w:rsidP="001F4146" w14:paraId="611B156B" w14:textId="77777777">
      <w:pPr>
        <w:jc w:val="both"/>
        <w:rPr>
          <w:sz w:val="22"/>
          <w:szCs w:val="22"/>
        </w:rPr>
      </w:pPr>
    </w:p>
    <w:p w:rsidR="00D203EF" w:rsidRPr="00797A5F" w:rsidP="001F4146" w14:paraId="1C93FB09" w14:textId="508C3DBA">
      <w:pPr>
        <w:jc w:val="both"/>
        <w:rPr>
          <w:sz w:val="22"/>
          <w:szCs w:val="22"/>
        </w:rPr>
      </w:pPr>
      <w:r>
        <w:rPr>
          <w:sz w:val="22"/>
          <w:szCs w:val="22"/>
        </w:rPr>
        <w:t>T</w:t>
      </w:r>
      <w:r w:rsidRPr="00D203EF">
        <w:rPr>
          <w:sz w:val="22"/>
          <w:szCs w:val="22"/>
        </w:rPr>
        <w:t>he FCC has moved quickly to execute an ambitious set of reforms</w:t>
      </w:r>
      <w:r w:rsidR="009B1945">
        <w:rPr>
          <w:sz w:val="22"/>
          <w:szCs w:val="22"/>
        </w:rPr>
        <w:t xml:space="preserve"> since President Trump designated me as the Chairman of the agency in January</w:t>
      </w:r>
      <w:r w:rsidRPr="00D203EF">
        <w:rPr>
          <w:sz w:val="22"/>
          <w:szCs w:val="22"/>
        </w:rPr>
        <w:t>. We are advancing a Build America Agenda—a concrete plan to unleash high-speed infrastructure builds, drive down prices for consumers, and restore U.S. leadership in wireless. We are reinvigorating the agency’s consumer protection work, including its efforts to crack down on illegal robocalls. We are empowering broadcasters to meet their public interest obligations. We are strengthening America’s national security and advancing public safety. We are undertaking the largest deregulatory effort in the agency’s history. And we are eliminating waste while improving efficiency and modernizing agency operations.</w:t>
      </w:r>
      <w:r w:rsidR="00A92331">
        <w:rPr>
          <w:sz w:val="22"/>
          <w:szCs w:val="22"/>
        </w:rPr>
        <w:t xml:space="preserve"> T</w:t>
      </w:r>
      <w:r w:rsidRPr="00A92331" w:rsidR="00A92331">
        <w:rPr>
          <w:sz w:val="22"/>
          <w:szCs w:val="22"/>
        </w:rPr>
        <w:t>he FCC’s Build America Agenda focuses on a number of core priorities.</w:t>
      </w:r>
    </w:p>
    <w:p w:rsidR="001F4146" w:rsidRPr="00797A5F" w:rsidP="001F4146" w14:paraId="2A439D42" w14:textId="77777777">
      <w:pPr>
        <w:jc w:val="both"/>
        <w:rPr>
          <w:sz w:val="22"/>
          <w:szCs w:val="22"/>
        </w:rPr>
      </w:pPr>
    </w:p>
    <w:p w:rsidR="0047060F" w:rsidP="001F4146" w14:paraId="10CA4C93" w14:textId="7F76419C">
      <w:pPr>
        <w:jc w:val="both"/>
        <w:rPr>
          <w:sz w:val="22"/>
          <w:szCs w:val="22"/>
        </w:rPr>
      </w:pPr>
      <w:r w:rsidRPr="00797A5F">
        <w:rPr>
          <w:sz w:val="22"/>
          <w:szCs w:val="22"/>
        </w:rPr>
        <w:t xml:space="preserve">To start, </w:t>
      </w:r>
      <w:r w:rsidR="00202A6C">
        <w:rPr>
          <w:sz w:val="22"/>
          <w:szCs w:val="22"/>
        </w:rPr>
        <w:t>t</w:t>
      </w:r>
      <w:r w:rsidRPr="00202A6C" w:rsidR="00202A6C">
        <w:rPr>
          <w:sz w:val="22"/>
          <w:szCs w:val="22"/>
        </w:rPr>
        <w:t>he FCC is working to unleash high-speed infrastructure builds in communities across the country. We are modernizing permitting rules and cutting red tape. This includes making it easier for providers to retire slow and old copper lines and replace them with the modern, high-speed ones that consumers want. We are accelerating and simplifying the process for extending new lines across existing utility poles. And we are pursuing a range of additional steps that can remove barriers to deployment and streamline regulatory approaches. These actions will free up billions of dollars in capital that can go to work closing the digital divide.</w:t>
      </w:r>
      <w:r w:rsidR="00C25EB6">
        <w:rPr>
          <w:sz w:val="22"/>
          <w:szCs w:val="22"/>
        </w:rPr>
        <w:t xml:space="preserve"> </w:t>
      </w:r>
    </w:p>
    <w:p w:rsidR="0047060F" w:rsidP="001F4146" w14:paraId="0AA9DE8F" w14:textId="77777777">
      <w:pPr>
        <w:jc w:val="both"/>
        <w:rPr>
          <w:sz w:val="22"/>
          <w:szCs w:val="22"/>
        </w:rPr>
      </w:pPr>
    </w:p>
    <w:p w:rsidR="00F93B7F" w:rsidRPr="00797A5F" w:rsidP="00F93B7F" w14:paraId="79839A07" w14:textId="77777777">
      <w:pPr>
        <w:jc w:val="both"/>
        <w:rPr>
          <w:sz w:val="22"/>
          <w:szCs w:val="22"/>
        </w:rPr>
      </w:pPr>
      <w:r w:rsidRPr="00797A5F">
        <w:rPr>
          <w:sz w:val="22"/>
          <w:szCs w:val="22"/>
        </w:rPr>
        <w:t xml:space="preserve">We are restoring America’s leadership in wireless by freeing up more spectrum that connects our communities and restore America’s wireless leadership. In June, Congress restored the FCC’s spectrum auction authority after it lapsed in 2023 and created a large pipeline of dedicated spectrum, advancing U.S. leadership in wireless. To create jobs, encourage innovation, and expand high-speed connections to more Americans, the FCC is taking action to make additional spectrum available for 5G services, to include high-band, mid-band, low-band, and unlicensed. </w:t>
      </w:r>
    </w:p>
    <w:p w:rsidR="00F93B7F" w:rsidP="001F4146" w14:paraId="75CC5DF7" w14:textId="77777777">
      <w:pPr>
        <w:jc w:val="both"/>
        <w:rPr>
          <w:sz w:val="22"/>
          <w:szCs w:val="22"/>
        </w:rPr>
      </w:pPr>
    </w:p>
    <w:p w:rsidR="00FB6749" w:rsidP="001F4146" w14:paraId="6BBA1EC6" w14:textId="1C140933">
      <w:pPr>
        <w:jc w:val="both"/>
        <w:rPr>
          <w:sz w:val="22"/>
          <w:szCs w:val="22"/>
        </w:rPr>
      </w:pPr>
      <w:r w:rsidRPr="00A21150">
        <w:rPr>
          <w:sz w:val="22"/>
          <w:szCs w:val="22"/>
        </w:rPr>
        <w:t>President Trump has been clear that the Administration is ushering in a new Golden Age for space innovation in America.</w:t>
      </w:r>
      <w:r w:rsidR="00617A58">
        <w:rPr>
          <w:sz w:val="22"/>
          <w:szCs w:val="22"/>
        </w:rPr>
        <w:t xml:space="preserve"> </w:t>
      </w:r>
      <w:r w:rsidRPr="00617A58" w:rsidR="00617A58">
        <w:rPr>
          <w:sz w:val="22"/>
          <w:szCs w:val="22"/>
        </w:rPr>
        <w:t>The FCC is following the White House’s lead. We are looking to give the private sector a predictable regulatory framework by focusing on four main principles: speed, simplicity, security, and satellite spectrum abundance. We are already clearing out application backlogs and standardizing procedures in furtherance of that agenda.</w:t>
      </w:r>
    </w:p>
    <w:p w:rsidR="0031497F" w:rsidP="001F4146" w14:paraId="7EB5ED5D" w14:textId="77777777">
      <w:pPr>
        <w:jc w:val="both"/>
        <w:rPr>
          <w:sz w:val="22"/>
          <w:szCs w:val="22"/>
        </w:rPr>
      </w:pPr>
    </w:p>
    <w:p w:rsidR="0031497F" w:rsidP="001F4146" w14:paraId="5512840B" w14:textId="570466DE">
      <w:pPr>
        <w:jc w:val="both"/>
        <w:rPr>
          <w:sz w:val="22"/>
          <w:szCs w:val="22"/>
        </w:rPr>
      </w:pPr>
      <w:r>
        <w:rPr>
          <w:sz w:val="22"/>
          <w:szCs w:val="22"/>
        </w:rPr>
        <w:t xml:space="preserve">Strengthening the nation’s telecom workforce is important to the FCC. </w:t>
      </w:r>
      <w:r w:rsidRPr="00AD2E89" w:rsidR="00AD2E89">
        <w:rPr>
          <w:sz w:val="22"/>
          <w:szCs w:val="22"/>
        </w:rPr>
        <w:t>Over the last year, many communications providers have committed to a range of workforce reforms that will result in a more sustainable environment for America’s tower and telecom crews. Providers are now adopting faster payment cycles and fairer pricing metrics. They are minimizing layers of subcontracting, which will allow for greater oversight of crews and stronger safety protections. And they are closing loopholes that allowed foreign, fly-by-night groups to swoop in and undercut U.S. crews. The FCC will continue to look out for American workers.</w:t>
      </w:r>
    </w:p>
    <w:p w:rsidR="00AD2E89" w:rsidP="001F4146" w14:paraId="730579E8" w14:textId="77777777">
      <w:pPr>
        <w:jc w:val="both"/>
        <w:rPr>
          <w:sz w:val="22"/>
          <w:szCs w:val="22"/>
        </w:rPr>
      </w:pPr>
    </w:p>
    <w:p w:rsidR="00AD2E89" w:rsidP="001F4146" w14:paraId="5F9644E1" w14:textId="7499DFF9">
      <w:pPr>
        <w:jc w:val="both"/>
        <w:rPr>
          <w:sz w:val="22"/>
          <w:szCs w:val="22"/>
        </w:rPr>
      </w:pPr>
      <w:r w:rsidRPr="009217B8">
        <w:rPr>
          <w:sz w:val="22"/>
          <w:szCs w:val="22"/>
        </w:rPr>
        <w:t>The FCC has been working hard to reinvigorate and modernize our consumer protection work.</w:t>
      </w:r>
      <w:r w:rsidRPr="009217B8">
        <w:rPr>
          <w:color w:val="000000"/>
          <w:sz w:val="23"/>
          <w:szCs w:val="23"/>
        </w:rPr>
        <w:t xml:space="preserve"> </w:t>
      </w:r>
      <w:r>
        <w:rPr>
          <w:color w:val="000000"/>
          <w:sz w:val="23"/>
          <w:szCs w:val="23"/>
        </w:rPr>
        <w:t>T</w:t>
      </w:r>
      <w:r w:rsidRPr="009217B8">
        <w:rPr>
          <w:sz w:val="22"/>
          <w:szCs w:val="22"/>
        </w:rPr>
        <w:t>he issue the FCC hears about the most through consumer complaints is illegal robocalls. And on this front, the FCC has started a new campaign to tackle illegal robocalls at every point in the call path.</w:t>
      </w:r>
      <w:r w:rsidR="0079459E">
        <w:rPr>
          <w:sz w:val="22"/>
          <w:szCs w:val="22"/>
        </w:rPr>
        <w:t xml:space="preserve"> </w:t>
      </w:r>
      <w:r w:rsidRPr="0079459E" w:rsidR="0079459E">
        <w:rPr>
          <w:sz w:val="22"/>
          <w:szCs w:val="22"/>
        </w:rPr>
        <w:t xml:space="preserve">We are focusing on prevention—stopping bad actors from ever originating calls in the first place. We are pushing carriers to block more illegal robocalls before they reach consumers. We are giving consumers better tools to distinguish legitimate calls from scams. We are looking to curb scam calls that originate outside of the </w:t>
      </w:r>
      <w:r w:rsidRPr="0079459E" w:rsidR="0079459E">
        <w:rPr>
          <w:sz w:val="22"/>
          <w:szCs w:val="22"/>
        </w:rPr>
        <w:t>United States by deterring the use of U.S. area codes for calls originating overseas. And we are stepping up enforcement to make sure every provider doing business in the U.S. takes proactive steps to mitigate robocalls.</w:t>
      </w:r>
      <w:r w:rsidR="00CE79B1">
        <w:rPr>
          <w:sz w:val="22"/>
          <w:szCs w:val="22"/>
        </w:rPr>
        <w:t xml:space="preserve"> </w:t>
      </w:r>
      <w:r w:rsidRPr="00A04F7A" w:rsidR="00A04F7A">
        <w:rPr>
          <w:sz w:val="22"/>
          <w:szCs w:val="22"/>
        </w:rPr>
        <w:t xml:space="preserve">Our work on consumer protection matters also includes our efforts to help Americans access the right resources during a time of crisis. This year, for instance, we adopted rules requiring wireless providers to develop the capability to transmit </w:t>
      </w:r>
      <w:r w:rsidRPr="00A04F7A" w:rsidR="00A04F7A">
        <w:rPr>
          <w:sz w:val="22"/>
          <w:szCs w:val="22"/>
        </w:rPr>
        <w:t>georouting</w:t>
      </w:r>
      <w:r w:rsidRPr="00A04F7A" w:rsidR="00A04F7A">
        <w:rPr>
          <w:sz w:val="22"/>
          <w:szCs w:val="22"/>
        </w:rPr>
        <w:t xml:space="preserve"> data when someone sends a text to 988. This means that someone reaching out for help during a crisis will get the localized help they need.</w:t>
      </w:r>
    </w:p>
    <w:p w:rsidR="007F1711" w:rsidP="001F4146" w14:paraId="2B99D3DA" w14:textId="77777777">
      <w:pPr>
        <w:jc w:val="both"/>
        <w:rPr>
          <w:sz w:val="22"/>
          <w:szCs w:val="22"/>
        </w:rPr>
      </w:pPr>
    </w:p>
    <w:p w:rsidR="007F1711" w:rsidP="001F4146" w14:paraId="1DE0CB45" w14:textId="1D208A57">
      <w:pPr>
        <w:jc w:val="both"/>
        <w:rPr>
          <w:sz w:val="22"/>
          <w:szCs w:val="22"/>
        </w:rPr>
      </w:pPr>
      <w:r w:rsidRPr="007F1711">
        <w:rPr>
          <w:sz w:val="22"/>
          <w:szCs w:val="22"/>
        </w:rPr>
        <w:t>The FCC is working to empower local broadcasters to serve the public interest and meet the needs of their communities.</w:t>
      </w:r>
      <w:r w:rsidR="00580499">
        <w:rPr>
          <w:sz w:val="22"/>
          <w:szCs w:val="22"/>
        </w:rPr>
        <w:t xml:space="preserve"> B</w:t>
      </w:r>
      <w:r w:rsidRPr="00580499" w:rsidR="00580499">
        <w:rPr>
          <w:sz w:val="22"/>
          <w:szCs w:val="22"/>
        </w:rPr>
        <w:t>roadcasters are required by both the Communications Act and the terms of their FCC-issued licenses to operate in</w:t>
      </w:r>
      <w:r w:rsidR="00580499">
        <w:rPr>
          <w:sz w:val="22"/>
          <w:szCs w:val="22"/>
        </w:rPr>
        <w:t xml:space="preserve"> the</w:t>
      </w:r>
      <w:r w:rsidRPr="00580499" w:rsidR="00580499">
        <w:rPr>
          <w:sz w:val="22"/>
          <w:szCs w:val="22"/>
        </w:rPr>
        <w:t xml:space="preserve"> public interest. This sets them apart from cable channels, podcasts, streaming services, social media, and countless other types of distributors that have no public interest obligation.</w:t>
      </w:r>
      <w:r w:rsidR="009C0FA9">
        <w:rPr>
          <w:sz w:val="22"/>
          <w:szCs w:val="22"/>
        </w:rPr>
        <w:t xml:space="preserve"> </w:t>
      </w:r>
      <w:r w:rsidRPr="009C0FA9" w:rsidR="009C0FA9">
        <w:rPr>
          <w:sz w:val="22"/>
          <w:szCs w:val="22"/>
        </w:rPr>
        <w:t>The FCC’s broadcast hoax rule, its news distortion policy, its political equal opportunity regulation, its prohibition on obscene, indecent, and profane content, its localism requirements—all of those and more apply uniquely to broadcasters. Congress has instructed the FCC to enforce public interest requirements on broadcasters.</w:t>
      </w:r>
      <w:r w:rsidR="00882A58">
        <w:rPr>
          <w:sz w:val="22"/>
          <w:szCs w:val="22"/>
        </w:rPr>
        <w:t xml:space="preserve"> </w:t>
      </w:r>
      <w:r w:rsidRPr="00882A58" w:rsidR="00882A58">
        <w:rPr>
          <w:sz w:val="22"/>
          <w:szCs w:val="22"/>
        </w:rPr>
        <w:t>The FCC is going to continue its efforts to empower local broadcasters to meet their public interest obligations.</w:t>
      </w:r>
    </w:p>
    <w:p w:rsidR="00202A6C" w:rsidP="001F4146" w14:paraId="107D6387" w14:textId="77777777">
      <w:pPr>
        <w:jc w:val="both"/>
        <w:rPr>
          <w:sz w:val="22"/>
          <w:szCs w:val="22"/>
        </w:rPr>
      </w:pPr>
    </w:p>
    <w:p w:rsidR="00B176B9" w:rsidP="001F4146" w14:paraId="1BEF9CCB" w14:textId="23E31B75">
      <w:pPr>
        <w:jc w:val="both"/>
        <w:rPr>
          <w:sz w:val="22"/>
          <w:szCs w:val="22"/>
        </w:rPr>
      </w:pPr>
      <w:r w:rsidRPr="00B176B9">
        <w:rPr>
          <w:sz w:val="22"/>
          <w:szCs w:val="22"/>
        </w:rPr>
        <w:t>The FCC has significantly ramped up its efforts this year to promote our country’s national security and advance public safety.</w:t>
      </w:r>
      <w:r>
        <w:rPr>
          <w:sz w:val="22"/>
          <w:szCs w:val="22"/>
        </w:rPr>
        <w:t xml:space="preserve"> </w:t>
      </w:r>
      <w:r w:rsidR="00F06353">
        <w:rPr>
          <w:sz w:val="22"/>
          <w:szCs w:val="22"/>
        </w:rPr>
        <w:t>Earlier this year</w:t>
      </w:r>
      <w:r w:rsidRPr="00B176B9">
        <w:rPr>
          <w:sz w:val="22"/>
          <w:szCs w:val="22"/>
        </w:rPr>
        <w:t xml:space="preserve">, </w:t>
      </w:r>
      <w:r w:rsidR="00281107">
        <w:rPr>
          <w:sz w:val="22"/>
          <w:szCs w:val="22"/>
        </w:rPr>
        <w:t>we</w:t>
      </w:r>
      <w:r w:rsidRPr="00B176B9">
        <w:rPr>
          <w:sz w:val="22"/>
          <w:szCs w:val="22"/>
        </w:rPr>
        <w:t xml:space="preserve"> stood up a new Council on National Security within the FCC to leverage all of the agency’s authorities, expertise, and relevant workstreams to counter the threats posed by foreign adversaries, including the government of China. The FCC cracked down on what we call “Bad Labs”—labs that review and approve electronics for use in the United States, but are owned or controlled by foreign adversary governments. The Council on National Security also executed Operation Clean Carts, which worked with e-commerce platforms to take down millions of listings of devices on the FCC’s Covered List or otherwise prohibited for sale in the United States.</w:t>
      </w:r>
      <w:r w:rsidR="00A031E8">
        <w:rPr>
          <w:sz w:val="22"/>
          <w:szCs w:val="22"/>
        </w:rPr>
        <w:t xml:space="preserve"> T</w:t>
      </w:r>
      <w:r w:rsidRPr="00A031E8" w:rsidR="00A031E8">
        <w:rPr>
          <w:sz w:val="22"/>
          <w:szCs w:val="22"/>
        </w:rPr>
        <w:t>he FCC adopted new rules on undersea cable security, following President Trump’s America First Investment Policy Memorandum.</w:t>
      </w:r>
      <w:r w:rsidR="00CD1D87">
        <w:rPr>
          <w:sz w:val="22"/>
          <w:szCs w:val="22"/>
        </w:rPr>
        <w:t xml:space="preserve"> </w:t>
      </w:r>
      <w:r w:rsidRPr="00CD1D87" w:rsidR="00CD1D87">
        <w:rPr>
          <w:sz w:val="22"/>
          <w:szCs w:val="22"/>
        </w:rPr>
        <w:t>In those rules, we took action to unleash the build out of undersea cables to ensure the U.S. leads the world on A</w:t>
      </w:r>
      <w:r w:rsidR="00CD1D87">
        <w:rPr>
          <w:sz w:val="22"/>
          <w:szCs w:val="22"/>
        </w:rPr>
        <w:t>rtificial Intelligence (A</w:t>
      </w:r>
      <w:r w:rsidRPr="00CD1D87" w:rsidR="00CD1D87">
        <w:rPr>
          <w:sz w:val="22"/>
          <w:szCs w:val="22"/>
        </w:rPr>
        <w:t>I</w:t>
      </w:r>
      <w:r w:rsidR="00CD1D87">
        <w:rPr>
          <w:sz w:val="22"/>
          <w:szCs w:val="22"/>
        </w:rPr>
        <w:t>)</w:t>
      </w:r>
      <w:r w:rsidRPr="00CD1D87" w:rsidR="00CD1D87">
        <w:rPr>
          <w:sz w:val="22"/>
          <w:szCs w:val="22"/>
        </w:rPr>
        <w:t xml:space="preserve"> infrastructure, while mitigating threats to undersea cables from foreign adversaries.</w:t>
      </w:r>
      <w:r w:rsidR="007E5F47">
        <w:rPr>
          <w:sz w:val="22"/>
          <w:szCs w:val="22"/>
        </w:rPr>
        <w:t xml:space="preserve"> </w:t>
      </w:r>
      <w:r w:rsidRPr="007E5F47" w:rsidR="007E5F47">
        <w:rPr>
          <w:sz w:val="22"/>
          <w:szCs w:val="22"/>
        </w:rPr>
        <w:t>And most recently, in the wake of SALT Typhoon, the FCC has worked directly with carriers to ensure that they are adapting their cybersecurity practices and hardening their networks against future attacks, including by working with federal partners like the FBI, NSA, and CISA to receive technical assistance on networks, rapidly share information, and working together to strengthen cyber defenses.</w:t>
      </w:r>
    </w:p>
    <w:p w:rsidR="00CD1D87" w:rsidP="001F4146" w14:paraId="2476C7D4" w14:textId="77777777">
      <w:pPr>
        <w:jc w:val="both"/>
        <w:rPr>
          <w:sz w:val="22"/>
          <w:szCs w:val="22"/>
        </w:rPr>
      </w:pPr>
    </w:p>
    <w:p w:rsidR="002E0022" w:rsidP="001F4146" w14:paraId="49B530C5" w14:textId="359DBA32">
      <w:pPr>
        <w:jc w:val="both"/>
        <w:rPr>
          <w:sz w:val="22"/>
          <w:szCs w:val="22"/>
        </w:rPr>
      </w:pPr>
      <w:r w:rsidRPr="002E0022">
        <w:rPr>
          <w:sz w:val="22"/>
          <w:szCs w:val="22"/>
        </w:rPr>
        <w:t>Beyond threats from foreign adversaries, the FCC also continues to foster network resilience in the face of natural disasters.</w:t>
      </w:r>
      <w:r w:rsidR="00873D35">
        <w:rPr>
          <w:sz w:val="22"/>
          <w:szCs w:val="22"/>
        </w:rPr>
        <w:t xml:space="preserve"> We</w:t>
      </w:r>
      <w:r w:rsidRPr="00873D35" w:rsidR="00873D35">
        <w:rPr>
          <w:sz w:val="22"/>
          <w:szCs w:val="22"/>
        </w:rPr>
        <w:t xml:space="preserve"> began the process of a ground-up re-examination of the national alert and warning systems, including the Emergency Alert System and Wireless Emergency Alerts.</w:t>
      </w:r>
      <w:r w:rsidR="00873D35">
        <w:rPr>
          <w:sz w:val="22"/>
          <w:szCs w:val="22"/>
        </w:rPr>
        <w:t xml:space="preserve"> </w:t>
      </w:r>
      <w:r w:rsidRPr="00873D35" w:rsidR="00873D35">
        <w:rPr>
          <w:sz w:val="22"/>
          <w:szCs w:val="22"/>
        </w:rPr>
        <w:t>The underlying frameworks of these systems are 31 and 13 years old, respectively, so it is important to ensure the FCC is leveraging the latest technology to save lives.</w:t>
      </w:r>
      <w:r w:rsidR="0028318E">
        <w:rPr>
          <w:sz w:val="22"/>
          <w:szCs w:val="22"/>
        </w:rPr>
        <w:t xml:space="preserve"> </w:t>
      </w:r>
      <w:r w:rsidRPr="0028318E" w:rsidR="0028318E">
        <w:rPr>
          <w:sz w:val="22"/>
          <w:szCs w:val="22"/>
        </w:rPr>
        <w:t>The FCC has also worked to strengthen and modernize our Nation’s public safety systems.</w:t>
      </w:r>
      <w:r w:rsidR="0028318E">
        <w:rPr>
          <w:sz w:val="22"/>
          <w:szCs w:val="22"/>
        </w:rPr>
        <w:t xml:space="preserve"> T</w:t>
      </w:r>
      <w:r w:rsidRPr="0028318E" w:rsidR="0028318E">
        <w:rPr>
          <w:sz w:val="22"/>
          <w:szCs w:val="22"/>
        </w:rPr>
        <w:t>he FCC proposed requirements to improve location precision for 911 callers in multistory buildings. We also moved forward with a proposal that would make the transition from legacy 911 to NG911 effective and reliable without creating new vulnerabilities in critical public safety networks.</w:t>
      </w:r>
    </w:p>
    <w:p w:rsidR="004D1C04" w:rsidP="001F4146" w14:paraId="2B14DD08" w14:textId="77777777">
      <w:pPr>
        <w:jc w:val="both"/>
        <w:rPr>
          <w:sz w:val="22"/>
          <w:szCs w:val="22"/>
        </w:rPr>
      </w:pPr>
    </w:p>
    <w:p w:rsidR="00EC5712" w:rsidP="001F4146" w14:paraId="2BD083EE" w14:textId="12D8CA14">
      <w:pPr>
        <w:jc w:val="both"/>
        <w:rPr>
          <w:sz w:val="22"/>
          <w:szCs w:val="22"/>
        </w:rPr>
      </w:pPr>
      <w:r>
        <w:rPr>
          <w:sz w:val="22"/>
          <w:szCs w:val="22"/>
        </w:rPr>
        <w:t>T</w:t>
      </w:r>
      <w:r w:rsidRPr="000450AC">
        <w:rPr>
          <w:sz w:val="22"/>
          <w:szCs w:val="22"/>
        </w:rPr>
        <w:t xml:space="preserve">he FCC is also undertaking the largest deregulatory initiative in the agency’s history. </w:t>
      </w:r>
      <w:r>
        <w:rPr>
          <w:sz w:val="22"/>
          <w:szCs w:val="22"/>
        </w:rPr>
        <w:t>The FCC l</w:t>
      </w:r>
      <w:r w:rsidRPr="000450AC">
        <w:rPr>
          <w:sz w:val="22"/>
          <w:szCs w:val="22"/>
        </w:rPr>
        <w:t>aunched an effort titled “In Re: Delete, Delete, Delete.” Since then, the FCC has been reviewing every rule, regulation, and guidance document for the purpose of eliminating unnecessary regulatory burdens, and we sought feedback from stakeholders to get their perspectives as well.</w:t>
      </w:r>
      <w:r w:rsidR="00944A74">
        <w:rPr>
          <w:sz w:val="22"/>
          <w:szCs w:val="22"/>
        </w:rPr>
        <w:t xml:space="preserve"> T</w:t>
      </w:r>
      <w:r w:rsidRPr="00944A74" w:rsidR="00944A74">
        <w:rPr>
          <w:sz w:val="22"/>
          <w:szCs w:val="22"/>
        </w:rPr>
        <w:t>o date</w:t>
      </w:r>
      <w:r w:rsidR="00944A74">
        <w:rPr>
          <w:sz w:val="22"/>
          <w:szCs w:val="22"/>
        </w:rPr>
        <w:t>,</w:t>
      </w:r>
      <w:r w:rsidRPr="00944A74" w:rsidR="00944A74">
        <w:rPr>
          <w:sz w:val="22"/>
          <w:szCs w:val="22"/>
        </w:rPr>
        <w:t xml:space="preserve"> the FCC has removed or teed up for removal 1,108 rules and regulations, 134,928 words, and 312 pages of the Code of Federal Regulations.</w:t>
      </w:r>
      <w:r>
        <w:rPr>
          <w:sz w:val="22"/>
          <w:szCs w:val="22"/>
        </w:rPr>
        <w:t xml:space="preserve"> </w:t>
      </w:r>
      <w:r w:rsidRPr="00EC5712">
        <w:rPr>
          <w:sz w:val="22"/>
          <w:szCs w:val="22"/>
        </w:rPr>
        <w:t>The FCC has also worked to close out inactive dockets and has terminated a record 2,048 inactive proceedings. These initiatives further the Commission’s goal of promoting good governance, increasing efficiency, and modernizing agency processes.</w:t>
      </w:r>
      <w:r w:rsidR="002937D7">
        <w:rPr>
          <w:sz w:val="22"/>
          <w:szCs w:val="22"/>
        </w:rPr>
        <w:t xml:space="preserve"> </w:t>
      </w:r>
      <w:r>
        <w:rPr>
          <w:sz w:val="22"/>
          <w:szCs w:val="22"/>
        </w:rPr>
        <w:t xml:space="preserve">In improving efficiencies at the FCC, </w:t>
      </w:r>
      <w:r w:rsidRPr="00EE016E" w:rsidR="00EE016E">
        <w:rPr>
          <w:sz w:val="22"/>
          <w:szCs w:val="22"/>
        </w:rPr>
        <w:t xml:space="preserve">we generated millions of dollars in savings by eliminating or modifying unnecessary contracts. </w:t>
      </w:r>
    </w:p>
    <w:p w:rsidR="00EE016E" w:rsidP="001F4146" w14:paraId="0D200D31" w14:textId="77777777">
      <w:pPr>
        <w:jc w:val="both"/>
        <w:rPr>
          <w:sz w:val="22"/>
          <w:szCs w:val="22"/>
        </w:rPr>
      </w:pPr>
    </w:p>
    <w:p w:rsidR="001F4146" w:rsidRPr="00797A5F" w:rsidP="001F4146" w14:paraId="43D6F391" w14:textId="254731D4">
      <w:pPr>
        <w:jc w:val="both"/>
        <w:rPr>
          <w:sz w:val="22"/>
          <w:szCs w:val="22"/>
        </w:rPr>
      </w:pPr>
      <w:r w:rsidRPr="00EE016E">
        <w:rPr>
          <w:sz w:val="22"/>
          <w:szCs w:val="22"/>
        </w:rPr>
        <w:t xml:space="preserve">As you can tell, the FCC and its hardworking staff have been moving fast to deliver great results for the American people this year. </w:t>
      </w:r>
      <w:r w:rsidRPr="00797A5F" w:rsidR="00E33BDC">
        <w:rPr>
          <w:sz w:val="22"/>
          <w:szCs w:val="22"/>
        </w:rPr>
        <w:t>For the twentieth consecutive year</w:t>
      </w:r>
      <w:r w:rsidRPr="00797A5F" w:rsidR="00BD22EC">
        <w:rPr>
          <w:sz w:val="22"/>
          <w:szCs w:val="22"/>
        </w:rPr>
        <w:t xml:space="preserve">, the Commission’s financial statements have received an unmodified or clean audit opinion from the independent external auditors hired by the Office of Inspector General. </w:t>
      </w:r>
      <w:r w:rsidRPr="00797A5F">
        <w:rPr>
          <w:sz w:val="22"/>
          <w:szCs w:val="22"/>
        </w:rPr>
        <w:t>As we wrapped up FY 2025, I thank the Commission staff for their dedication</w:t>
      </w:r>
      <w:r w:rsidRPr="00797A5F" w:rsidR="00454016">
        <w:rPr>
          <w:sz w:val="22"/>
          <w:szCs w:val="22"/>
        </w:rPr>
        <w:t>, commitment to excellence,</w:t>
      </w:r>
      <w:r w:rsidRPr="00797A5F">
        <w:rPr>
          <w:sz w:val="22"/>
          <w:szCs w:val="22"/>
        </w:rPr>
        <w:t xml:space="preserve"> and hard work and very much look forward to the great results that this FCC team will deliver over the coming years.</w:t>
      </w:r>
    </w:p>
    <w:p w:rsidR="001F4146" w:rsidP="001F4146" w14:paraId="284AD047" w14:textId="77777777">
      <w:pPr>
        <w:spacing w:line="256" w:lineRule="auto"/>
        <w:jc w:val="both"/>
        <w:rPr>
          <w:rFonts w:eastAsia="Calibri"/>
          <w:sz w:val="22"/>
          <w:szCs w:val="22"/>
        </w:rPr>
      </w:pPr>
    </w:p>
    <w:p w:rsidR="00513CE2" w:rsidRPr="00797A5F" w:rsidP="001F4146" w14:paraId="50205F00" w14:textId="6D40E989">
      <w:pPr>
        <w:spacing w:line="256" w:lineRule="auto"/>
        <w:jc w:val="both"/>
        <w:rPr>
          <w:rFonts w:eastAsia="Calibri"/>
          <w:sz w:val="22"/>
          <w:szCs w:val="22"/>
        </w:rPr>
      </w:pPr>
      <w:r>
        <w:rPr>
          <w:rFonts w:eastAsia="Calibri"/>
          <w:sz w:val="22"/>
          <w:szCs w:val="22"/>
        </w:rPr>
        <w:t>Sincerely,</w:t>
      </w:r>
    </w:p>
    <w:p w:rsidR="00AF2282" w:rsidP="001F4146" w14:paraId="5C55BC44" w14:textId="1EDEC8D1">
      <w:pPr>
        <w:spacing w:line="256" w:lineRule="auto"/>
        <w:jc w:val="both"/>
        <w:rPr>
          <w:rFonts w:eastAsia="Calibri"/>
          <w:sz w:val="22"/>
          <w:szCs w:val="22"/>
        </w:rPr>
      </w:pPr>
      <w:r>
        <w:rPr>
          <w:noProof/>
        </w:rPr>
        <w:drawing>
          <wp:inline distT="0" distB="0" distL="0" distR="0">
            <wp:extent cx="1241624" cy="347263"/>
            <wp:effectExtent l="0" t="0" r="0" b="0"/>
            <wp:docPr id="311208636" name="Picture 1" descr="A picture containing tool, shov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08636" name="Picture 1" descr="A picture containing tool, shovel&#10;&#10;AI-generated content may be incorrect."/>
                    <pic:cNvPicPr/>
                  </pic:nvPicPr>
                  <pic:blipFill>
                    <a:blip xmlns:r="http://schemas.openxmlformats.org/officeDocument/2006/relationships" r:embed="rId19"/>
                    <a:srcRect l="8221" r="3788"/>
                    <a:stretch>
                      <a:fillRect/>
                    </a:stretch>
                  </pic:blipFill>
                  <pic:spPr bwMode="auto">
                    <a:xfrm>
                      <a:off x="0" y="0"/>
                      <a:ext cx="1242894" cy="34761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F4146" w:rsidRPr="00797A5F" w:rsidP="001F4146" w14:paraId="7AE54FE9" w14:textId="60EB4240">
      <w:pPr>
        <w:spacing w:line="256" w:lineRule="auto"/>
        <w:jc w:val="both"/>
        <w:rPr>
          <w:rFonts w:eastAsia="Calibri"/>
          <w:sz w:val="22"/>
          <w:szCs w:val="22"/>
        </w:rPr>
      </w:pPr>
      <w:r w:rsidRPr="00797A5F">
        <w:rPr>
          <w:rFonts w:eastAsia="Calibri"/>
          <w:sz w:val="22"/>
          <w:szCs w:val="22"/>
        </w:rPr>
        <w:t>Brendan Carr</w:t>
      </w:r>
      <w:r w:rsidR="00513CE2">
        <w:rPr>
          <w:rFonts w:eastAsia="Calibri"/>
          <w:sz w:val="22"/>
          <w:szCs w:val="22"/>
        </w:rPr>
        <w:t xml:space="preserve">, </w:t>
      </w:r>
      <w:r w:rsidRPr="00797A5F">
        <w:rPr>
          <w:rFonts w:eastAsia="Calibri"/>
          <w:sz w:val="22"/>
          <w:szCs w:val="22"/>
        </w:rPr>
        <w:t>Chairman</w:t>
      </w:r>
    </w:p>
    <w:p w:rsidR="00456864" w:rsidRPr="00797A5F" w:rsidP="00456864" w14:paraId="6108AD77" w14:textId="78BA0A38">
      <w:pPr>
        <w:jc w:val="both"/>
        <w:rPr>
          <w:sz w:val="22"/>
          <w:szCs w:val="22"/>
        </w:rPr>
      </w:pPr>
      <w:r w:rsidRPr="00797A5F">
        <w:rPr>
          <w:rFonts w:eastAsia="Calibri"/>
          <w:sz w:val="22"/>
          <w:szCs w:val="22"/>
        </w:rPr>
        <w:t>December 18, 2025</w:t>
      </w:r>
    </w:p>
    <w:p w:rsidR="00F545A9" w:rsidRPr="00F545A9" w:rsidP="00717FAD" w14:paraId="2BF4B020" w14:textId="77777777">
      <w:pPr>
        <w:rPr>
          <w:sz w:val="22"/>
        </w:rPr>
      </w:pPr>
    </w:p>
    <w:p w:rsidR="0061078D" w:rsidP="00F545A9" w14:paraId="56DF50B9" w14:textId="77777777">
      <w:pPr>
        <w:sectPr w:rsidSect="00054929">
          <w:headerReference w:type="default" r:id="rId20"/>
          <w:footerReference w:type="default" r:id="rId21"/>
          <w:pgSz w:w="12240" w:h="15840" w:code="1"/>
          <w:pgMar w:top="1152" w:right="1440" w:bottom="1152" w:left="1440" w:header="720" w:footer="720" w:gutter="0"/>
          <w:cols w:space="720"/>
        </w:sectPr>
      </w:pPr>
    </w:p>
    <w:p w:rsidR="00E559C0" w:rsidP="00E559C0" w14:paraId="4F906173" w14:textId="2BE85A99">
      <w:pPr>
        <w:pStyle w:val="Heading2"/>
        <w:jc w:val="left"/>
        <w:rPr>
          <w:rFonts w:ascii="Times New Roman" w:hAnsi="Times New Roman" w:cs="Times New Roman"/>
          <w:sz w:val="28"/>
          <w:szCs w:val="28"/>
        </w:rPr>
      </w:pPr>
      <w:bookmarkStart w:id="4" w:name="_Toc216960414"/>
      <w:r w:rsidRPr="008C19A9">
        <w:rPr>
          <w:rFonts w:ascii="Times New Roman" w:hAnsi="Times New Roman" w:cs="Times New Roman"/>
          <w:sz w:val="28"/>
          <w:szCs w:val="28"/>
        </w:rPr>
        <w:t>Overview of the Federal Communications Commission</w:t>
      </w:r>
      <w:bookmarkStart w:id="5" w:name="_Toc467000219"/>
      <w:bookmarkEnd w:id="4"/>
    </w:p>
    <w:p w:rsidR="00E559C0" w:rsidRPr="00C84FF3" w:rsidP="00E559C0" w14:paraId="70F747D3" w14:textId="77777777">
      <w:pPr>
        <w:rPr>
          <w:sz w:val="22"/>
          <w:szCs w:val="22"/>
        </w:rPr>
      </w:pPr>
    </w:p>
    <w:p w:rsidR="00E559C0" w:rsidP="00E559C0" w14:paraId="598B5BB1" w14:textId="77777777">
      <w:pPr>
        <w:pStyle w:val="Heading3"/>
        <w:spacing w:before="0" w:after="0"/>
        <w:rPr>
          <w:rFonts w:ascii="Times New Roman" w:hAnsi="Times New Roman" w:cs="Times New Roman"/>
          <w:sz w:val="24"/>
          <w:szCs w:val="24"/>
        </w:rPr>
      </w:pPr>
      <w:bookmarkStart w:id="6" w:name="_Toc216960415"/>
      <w:r w:rsidRPr="002D0DD3">
        <w:rPr>
          <w:rFonts w:ascii="Times New Roman" w:hAnsi="Times New Roman" w:cs="Times New Roman"/>
          <w:sz w:val="24"/>
          <w:szCs w:val="24"/>
        </w:rPr>
        <w:t>Introduction</w:t>
      </w:r>
      <w:bookmarkEnd w:id="6"/>
    </w:p>
    <w:p w:rsidR="00E559C0" w:rsidRPr="00C84FF3" w:rsidP="00E559C0" w14:paraId="524980D2" w14:textId="77777777">
      <w:pPr>
        <w:rPr>
          <w:sz w:val="22"/>
          <w:szCs w:val="22"/>
        </w:rPr>
      </w:pPr>
    </w:p>
    <w:p w:rsidR="00E559C0" w:rsidRPr="00797A5F" w:rsidP="00E559C0" w14:paraId="68DFEB3A" w14:textId="264E0021">
      <w:pPr>
        <w:jc w:val="both"/>
        <w:rPr>
          <w:color w:val="000000"/>
          <w:sz w:val="22"/>
          <w:szCs w:val="22"/>
        </w:rPr>
      </w:pPr>
      <w:r w:rsidRPr="00797A5F">
        <w:rPr>
          <w:color w:val="000000"/>
          <w:sz w:val="22"/>
          <w:szCs w:val="22"/>
        </w:rPr>
        <w:t xml:space="preserve">Office of Management and Budget (OMB) Circular No. A-136, released on </w:t>
      </w:r>
      <w:r w:rsidRPr="00797A5F" w:rsidR="0069112D">
        <w:rPr>
          <w:color w:val="000000"/>
          <w:sz w:val="22"/>
          <w:szCs w:val="22"/>
        </w:rPr>
        <w:t>July 14</w:t>
      </w:r>
      <w:r w:rsidRPr="00797A5F">
        <w:rPr>
          <w:color w:val="000000"/>
          <w:sz w:val="22"/>
          <w:szCs w:val="22"/>
        </w:rPr>
        <w:t>, 202</w:t>
      </w:r>
      <w:r w:rsidRPr="00797A5F" w:rsidR="0069112D">
        <w:rPr>
          <w:color w:val="000000"/>
          <w:sz w:val="22"/>
          <w:szCs w:val="22"/>
        </w:rPr>
        <w:t>5</w:t>
      </w:r>
      <w:r w:rsidRPr="00797A5F">
        <w:rPr>
          <w:color w:val="000000"/>
          <w:sz w:val="22"/>
          <w:szCs w:val="22"/>
        </w:rPr>
        <w:t xml:space="preserve">, states that agencies may choose to produce either a consolidated Performance and Accountability Report (PAR) or a separate Agency Financial Report (AFR) with an Annual Performance Report (APR).  The Federal Communications Commission (FCC, Agency, or Commission) has chosen to produce the AFR.  The FCC will include its Fiscal Year (FY) </w:t>
      </w:r>
      <w:r w:rsidRPr="00797A5F" w:rsidR="004C3721">
        <w:rPr>
          <w:color w:val="000000"/>
          <w:sz w:val="22"/>
          <w:szCs w:val="22"/>
        </w:rPr>
        <w:t>202</w:t>
      </w:r>
      <w:r w:rsidRPr="00797A5F" w:rsidR="003E1541">
        <w:rPr>
          <w:color w:val="000000"/>
          <w:sz w:val="22"/>
          <w:szCs w:val="22"/>
        </w:rPr>
        <w:t>5</w:t>
      </w:r>
      <w:r w:rsidRPr="00797A5F" w:rsidR="004C3721">
        <w:rPr>
          <w:color w:val="000000"/>
          <w:sz w:val="22"/>
          <w:szCs w:val="22"/>
        </w:rPr>
        <w:t xml:space="preserve"> </w:t>
      </w:r>
      <w:r w:rsidRPr="00797A5F">
        <w:rPr>
          <w:color w:val="000000"/>
          <w:sz w:val="22"/>
          <w:szCs w:val="22"/>
        </w:rPr>
        <w:t xml:space="preserve">APR with its Congressional Budget Justification and will post it on the Commission’s website </w:t>
      </w:r>
      <w:r w:rsidRPr="00797A5F">
        <w:rPr>
          <w:sz w:val="22"/>
          <w:szCs w:val="22"/>
        </w:rPr>
        <w:t xml:space="preserve">at </w:t>
      </w:r>
      <w:hyperlink r:id="rId22" w:history="1">
        <w:r w:rsidRPr="00797A5F" w:rsidR="006772DD">
          <w:rPr>
            <w:rStyle w:val="Hyperlink"/>
            <w:sz w:val="22"/>
            <w:szCs w:val="22"/>
          </w:rPr>
          <w:t>https://www.fcc.gov/about/strategic-plans-budget</w:t>
        </w:r>
      </w:hyperlink>
      <w:r w:rsidRPr="00797A5F" w:rsidR="006772DD">
        <w:rPr>
          <w:sz w:val="22"/>
          <w:szCs w:val="22"/>
        </w:rPr>
        <w:t>.</w:t>
      </w:r>
    </w:p>
    <w:p w:rsidR="00E559C0" w:rsidRPr="00797A5F" w:rsidP="00E559C0" w14:paraId="71500255" w14:textId="77777777">
      <w:pPr>
        <w:autoSpaceDE w:val="0"/>
        <w:autoSpaceDN w:val="0"/>
        <w:adjustRightInd w:val="0"/>
        <w:jc w:val="both"/>
        <w:rPr>
          <w:color w:val="000000"/>
          <w:sz w:val="22"/>
          <w:szCs w:val="22"/>
        </w:rPr>
      </w:pPr>
    </w:p>
    <w:p w:rsidR="00E559C0" w:rsidRPr="00797A5F" w:rsidP="00E559C0" w14:paraId="25767728" w14:textId="77777777">
      <w:pPr>
        <w:autoSpaceDE w:val="0"/>
        <w:autoSpaceDN w:val="0"/>
        <w:adjustRightInd w:val="0"/>
        <w:jc w:val="both"/>
        <w:rPr>
          <w:color w:val="000000"/>
          <w:sz w:val="22"/>
          <w:szCs w:val="22"/>
        </w:rPr>
      </w:pPr>
      <w:r w:rsidRPr="00797A5F">
        <w:rPr>
          <w:color w:val="000000"/>
          <w:sz w:val="22"/>
          <w:szCs w:val="22"/>
        </w:rPr>
        <w:t>The Commission’s AFR includes three sections:</w:t>
      </w:r>
    </w:p>
    <w:p w:rsidR="00E559C0" w:rsidRPr="00797A5F" w:rsidP="00E559C0" w14:paraId="4CC6122C" w14:textId="77777777">
      <w:pPr>
        <w:autoSpaceDE w:val="0"/>
        <w:autoSpaceDN w:val="0"/>
        <w:adjustRightInd w:val="0"/>
        <w:jc w:val="both"/>
        <w:rPr>
          <w:color w:val="000000"/>
          <w:sz w:val="22"/>
          <w:szCs w:val="22"/>
        </w:rPr>
      </w:pPr>
    </w:p>
    <w:p w:rsidR="00E559C0" w:rsidRPr="00797A5F" w:rsidP="00E559C0" w14:paraId="65B3F740" w14:textId="5A9C932B">
      <w:pPr>
        <w:autoSpaceDE w:val="0"/>
        <w:autoSpaceDN w:val="0"/>
        <w:adjustRightInd w:val="0"/>
        <w:jc w:val="both"/>
        <w:rPr>
          <w:color w:val="000000"/>
          <w:sz w:val="22"/>
          <w:szCs w:val="22"/>
        </w:rPr>
      </w:pPr>
      <w:r w:rsidRPr="00797A5F">
        <w:rPr>
          <w:color w:val="000000"/>
          <w:sz w:val="22"/>
          <w:szCs w:val="22"/>
        </w:rPr>
        <w:t>Section 1 consists of Management’s Discussion and Analysis (MD&amp;A) that presents a message from the Chairman, an overview of the FCC, including the senior leadership, Agency’s mission statement, organizational structure, organizational chart, map of field offices, strategic goals and objectives, strategies and resources to achieve goals, entity components for financial statement purposes, payment integrity, performance highlights, overall status of audit recommendations, management assurances, financial management systems strategy, financial discussion and analysis, and other key financial statement analysis.</w:t>
      </w:r>
    </w:p>
    <w:p w:rsidR="00E559C0" w:rsidRPr="00797A5F" w:rsidP="00E559C0" w14:paraId="44214737" w14:textId="77777777">
      <w:pPr>
        <w:autoSpaceDE w:val="0"/>
        <w:autoSpaceDN w:val="0"/>
        <w:adjustRightInd w:val="0"/>
        <w:jc w:val="both"/>
        <w:rPr>
          <w:color w:val="000000"/>
          <w:sz w:val="22"/>
          <w:szCs w:val="22"/>
        </w:rPr>
      </w:pPr>
    </w:p>
    <w:p w:rsidR="00E559C0" w:rsidRPr="00797A5F" w:rsidP="00E559C0" w14:paraId="4BB5D136" w14:textId="77777777">
      <w:pPr>
        <w:autoSpaceDE w:val="0"/>
        <w:autoSpaceDN w:val="0"/>
        <w:adjustRightInd w:val="0"/>
        <w:jc w:val="both"/>
        <w:rPr>
          <w:color w:val="000000"/>
          <w:sz w:val="22"/>
          <w:szCs w:val="22"/>
        </w:rPr>
      </w:pPr>
      <w:r w:rsidRPr="00797A5F">
        <w:rPr>
          <w:color w:val="000000"/>
          <w:sz w:val="22"/>
          <w:szCs w:val="22"/>
        </w:rPr>
        <w:t>Section 2 contains the Commission’s financial information.  This section contains the independent auditor’s reports, Commission’s response to the independent auditor’s reports, consolidated financial statements, notes to the financial statements, and required supplementary information.</w:t>
      </w:r>
    </w:p>
    <w:p w:rsidR="00E559C0" w:rsidRPr="00797A5F" w:rsidP="00E559C0" w14:paraId="1927E25B" w14:textId="77777777">
      <w:pPr>
        <w:autoSpaceDE w:val="0"/>
        <w:autoSpaceDN w:val="0"/>
        <w:adjustRightInd w:val="0"/>
        <w:jc w:val="both"/>
        <w:rPr>
          <w:color w:val="000000"/>
          <w:sz w:val="22"/>
          <w:szCs w:val="22"/>
        </w:rPr>
      </w:pPr>
    </w:p>
    <w:p w:rsidR="00E559C0" w:rsidRPr="00797A5F" w:rsidP="00E559C0" w14:paraId="2A237974" w14:textId="24FAC7AC">
      <w:pPr>
        <w:autoSpaceDE w:val="0"/>
        <w:autoSpaceDN w:val="0"/>
        <w:adjustRightInd w:val="0"/>
        <w:jc w:val="both"/>
        <w:rPr>
          <w:color w:val="000000"/>
          <w:sz w:val="22"/>
          <w:szCs w:val="22"/>
        </w:rPr>
      </w:pPr>
      <w:r w:rsidRPr="00797A5F">
        <w:rPr>
          <w:color w:val="000000"/>
          <w:sz w:val="22"/>
          <w:szCs w:val="22"/>
        </w:rPr>
        <w:t xml:space="preserve">Section 3 presents other information such as a summary of financial statement audit and management assurances, required reporting on payment integrity pursuant to the Payment Integrity Information Act of 2019, </w:t>
      </w:r>
      <w:r w:rsidRPr="00797A5F" w:rsidR="00D21280">
        <w:rPr>
          <w:color w:val="000000"/>
          <w:sz w:val="22"/>
          <w:szCs w:val="22"/>
        </w:rPr>
        <w:t xml:space="preserve">information relegated to annual inflation adjustments of civil monetary penalties, </w:t>
      </w:r>
      <w:r w:rsidRPr="00797A5F">
        <w:rPr>
          <w:color w:val="000000"/>
          <w:sz w:val="22"/>
          <w:szCs w:val="22"/>
        </w:rPr>
        <w:t>Office of Inspector General</w:t>
      </w:r>
      <w:r w:rsidRPr="00797A5F" w:rsidR="0084631A">
        <w:rPr>
          <w:color w:val="000000"/>
          <w:sz w:val="22"/>
          <w:szCs w:val="22"/>
        </w:rPr>
        <w:t xml:space="preserve">’s management and performance challenges, </w:t>
      </w:r>
      <w:r w:rsidRPr="00797A5F" w:rsidR="00D21280">
        <w:rPr>
          <w:color w:val="000000"/>
          <w:sz w:val="22"/>
          <w:szCs w:val="22"/>
        </w:rPr>
        <w:t xml:space="preserve">and </w:t>
      </w:r>
      <w:r w:rsidRPr="00797A5F" w:rsidR="0084631A">
        <w:rPr>
          <w:color w:val="000000"/>
          <w:sz w:val="22"/>
          <w:szCs w:val="22"/>
        </w:rPr>
        <w:t>Management’s response to OIG’s management and performance challenges</w:t>
      </w:r>
      <w:r w:rsidRPr="00797A5F" w:rsidR="00D21280">
        <w:rPr>
          <w:color w:val="000000"/>
          <w:sz w:val="22"/>
          <w:szCs w:val="22"/>
        </w:rPr>
        <w:t xml:space="preserve">. </w:t>
      </w:r>
    </w:p>
    <w:p w:rsidR="00E559C0" w:rsidRPr="00797A5F" w:rsidP="00E559C0" w14:paraId="7BAF466D" w14:textId="77777777">
      <w:pPr>
        <w:autoSpaceDE w:val="0"/>
        <w:autoSpaceDN w:val="0"/>
        <w:adjustRightInd w:val="0"/>
        <w:jc w:val="both"/>
        <w:rPr>
          <w:color w:val="000000"/>
          <w:sz w:val="22"/>
          <w:szCs w:val="22"/>
        </w:rPr>
      </w:pPr>
    </w:p>
    <w:p w:rsidR="00E559C0" w:rsidRPr="00797A5F" w:rsidP="00E559C0" w14:paraId="0E2DBE69" w14:textId="77777777">
      <w:pPr>
        <w:pStyle w:val="Heading3"/>
        <w:spacing w:before="0" w:after="0"/>
        <w:rPr>
          <w:rFonts w:ascii="Times New Roman" w:hAnsi="Times New Roman" w:cs="Times New Roman"/>
          <w:sz w:val="24"/>
          <w:szCs w:val="24"/>
        </w:rPr>
      </w:pPr>
      <w:bookmarkStart w:id="7" w:name="_Toc216960416"/>
      <w:r w:rsidRPr="00797A5F">
        <w:rPr>
          <w:rFonts w:ascii="Times New Roman" w:hAnsi="Times New Roman" w:cs="Times New Roman"/>
          <w:sz w:val="24"/>
          <w:szCs w:val="24"/>
        </w:rPr>
        <w:t>About the Federal Communications Commission</w:t>
      </w:r>
      <w:bookmarkEnd w:id="7"/>
    </w:p>
    <w:p w:rsidR="00E559C0" w:rsidRPr="00797A5F" w:rsidP="00E559C0" w14:paraId="0BEE6A89" w14:textId="77777777">
      <w:pPr>
        <w:autoSpaceDE w:val="0"/>
        <w:autoSpaceDN w:val="0"/>
        <w:adjustRightInd w:val="0"/>
        <w:jc w:val="both"/>
        <w:rPr>
          <w:color w:val="000000"/>
          <w:sz w:val="22"/>
          <w:szCs w:val="22"/>
        </w:rPr>
      </w:pPr>
    </w:p>
    <w:p w:rsidR="00B33609" w:rsidRPr="00797A5F" w:rsidP="00B33609" w14:paraId="74C75344" w14:textId="5885089E">
      <w:pPr>
        <w:autoSpaceDE w:val="0"/>
        <w:autoSpaceDN w:val="0"/>
        <w:adjustRightInd w:val="0"/>
        <w:jc w:val="both"/>
        <w:rPr>
          <w:color w:val="000000"/>
          <w:sz w:val="22"/>
          <w:szCs w:val="22"/>
        </w:rPr>
      </w:pPr>
      <w:r w:rsidRPr="00797A5F">
        <w:rPr>
          <w:color w:val="000000"/>
          <w:sz w:val="22"/>
          <w:szCs w:val="22"/>
        </w:rPr>
        <w:t xml:space="preserve">The FCC is a regulatory agency of the United States (U.S.) Government.  The FCC is charged with regulating interstate and international communications by radio, television, wire, satellite, and cable.  The Commission also regulates telecommunications, advanced communication services, and video programming for people with disabilities, as set forth in various sections of the Communications Act.  </w:t>
      </w:r>
    </w:p>
    <w:p w:rsidR="00B33609" w:rsidRPr="00797A5F" w:rsidP="00B33609" w14:paraId="1DD24733" w14:textId="77777777">
      <w:pPr>
        <w:autoSpaceDE w:val="0"/>
        <w:autoSpaceDN w:val="0"/>
        <w:adjustRightInd w:val="0"/>
        <w:jc w:val="both"/>
        <w:rPr>
          <w:color w:val="000000"/>
          <w:sz w:val="22"/>
          <w:szCs w:val="22"/>
        </w:rPr>
      </w:pPr>
    </w:p>
    <w:p w:rsidR="00E559C0" w:rsidRPr="00797A5F" w:rsidP="00E559C0" w14:paraId="65B8CBE5" w14:textId="07A8244B">
      <w:pPr>
        <w:autoSpaceDE w:val="0"/>
        <w:autoSpaceDN w:val="0"/>
        <w:adjustRightInd w:val="0"/>
        <w:jc w:val="both"/>
        <w:rPr>
          <w:color w:val="000000"/>
          <w:sz w:val="22"/>
          <w:szCs w:val="22"/>
        </w:rPr>
      </w:pPr>
      <w:r w:rsidRPr="00797A5F">
        <w:rPr>
          <w:color w:val="000000"/>
          <w:sz w:val="22"/>
          <w:szCs w:val="22"/>
        </w:rPr>
        <w:t>The Commission’s headquarters is located in Washington, D.C.  It has 13 field offices throughout the nation, including three regional offices located in Atlanta, GA, Columbia, MD, and Los Angeles, CA.</w:t>
      </w:r>
    </w:p>
    <w:p w:rsidR="00E559C0" w:rsidRPr="00797A5F" w:rsidP="00E559C0" w14:paraId="7D72EF0C" w14:textId="77777777">
      <w:pPr>
        <w:autoSpaceDE w:val="0"/>
        <w:autoSpaceDN w:val="0"/>
        <w:adjustRightInd w:val="0"/>
        <w:jc w:val="both"/>
        <w:rPr>
          <w:color w:val="000000"/>
          <w:sz w:val="22"/>
          <w:szCs w:val="22"/>
        </w:rPr>
      </w:pPr>
    </w:p>
    <w:p w:rsidR="00E559C0" w:rsidRPr="00797A5F" w:rsidP="00E559C0" w14:paraId="3D499DEA" w14:textId="02A87828">
      <w:pPr>
        <w:pStyle w:val="Heading3"/>
        <w:spacing w:before="0" w:after="0"/>
        <w:rPr>
          <w:rFonts w:ascii="Times New Roman" w:hAnsi="Times New Roman" w:cs="Times New Roman"/>
          <w:sz w:val="24"/>
          <w:szCs w:val="24"/>
        </w:rPr>
      </w:pPr>
      <w:bookmarkStart w:id="8" w:name="_Toc216960417"/>
      <w:r w:rsidRPr="00797A5F">
        <w:rPr>
          <w:rFonts w:ascii="Times New Roman" w:hAnsi="Times New Roman" w:cs="Times New Roman"/>
          <w:sz w:val="24"/>
          <w:szCs w:val="24"/>
        </w:rPr>
        <w:t>Leadership</w:t>
      </w:r>
      <w:bookmarkEnd w:id="8"/>
    </w:p>
    <w:p w:rsidR="00E559C0" w:rsidRPr="00797A5F" w:rsidP="00E559C0" w14:paraId="4C3BEBE7" w14:textId="77777777">
      <w:pPr>
        <w:autoSpaceDE w:val="0"/>
        <w:autoSpaceDN w:val="0"/>
        <w:adjustRightInd w:val="0"/>
        <w:jc w:val="both"/>
        <w:rPr>
          <w:color w:val="000000"/>
          <w:sz w:val="22"/>
          <w:szCs w:val="22"/>
        </w:rPr>
      </w:pPr>
    </w:p>
    <w:p w:rsidR="00B33609" w:rsidRPr="00797A5F" w:rsidP="00B33609" w14:paraId="4FD1A89D" w14:textId="77777777">
      <w:pPr>
        <w:autoSpaceDE w:val="0"/>
        <w:autoSpaceDN w:val="0"/>
        <w:adjustRightInd w:val="0"/>
        <w:jc w:val="both"/>
        <w:rPr>
          <w:color w:val="000000"/>
          <w:sz w:val="22"/>
          <w:szCs w:val="22"/>
        </w:rPr>
      </w:pPr>
      <w:r w:rsidRPr="00797A5F">
        <w:rPr>
          <w:color w:val="000000"/>
          <w:sz w:val="22"/>
          <w:szCs w:val="22"/>
        </w:rPr>
        <w:t>The current Commission has three Commissioners.  The current Chairman and the Commissioners are:</w:t>
      </w:r>
    </w:p>
    <w:p w:rsidR="00B33609" w:rsidRPr="00797A5F" w:rsidP="00B33609" w14:paraId="393E8160" w14:textId="77777777">
      <w:pPr>
        <w:autoSpaceDE w:val="0"/>
        <w:autoSpaceDN w:val="0"/>
        <w:adjustRightInd w:val="0"/>
        <w:jc w:val="both"/>
        <w:rPr>
          <w:color w:val="000000"/>
          <w:sz w:val="22"/>
          <w:szCs w:val="22"/>
        </w:rPr>
      </w:pPr>
    </w:p>
    <w:p w:rsidR="00B33609" w:rsidRPr="00797A5F" w:rsidP="00B33609" w14:paraId="2DF620C2" w14:textId="77777777">
      <w:pPr>
        <w:numPr>
          <w:ilvl w:val="0"/>
          <w:numId w:val="10"/>
        </w:numPr>
        <w:tabs>
          <w:tab w:val="clear" w:pos="360"/>
          <w:tab w:val="num" w:pos="720"/>
        </w:tabs>
        <w:autoSpaceDE w:val="0"/>
        <w:autoSpaceDN w:val="0"/>
        <w:adjustRightInd w:val="0"/>
        <w:ind w:left="720"/>
        <w:jc w:val="both"/>
        <w:rPr>
          <w:color w:val="000000"/>
          <w:sz w:val="22"/>
          <w:szCs w:val="22"/>
        </w:rPr>
      </w:pPr>
      <w:r w:rsidRPr="00797A5F">
        <w:rPr>
          <w:color w:val="000000"/>
          <w:sz w:val="22"/>
          <w:szCs w:val="22"/>
        </w:rPr>
        <w:t>Chairman Brendan Carr</w:t>
      </w:r>
    </w:p>
    <w:p w:rsidR="00B33609" w:rsidRPr="00797A5F" w:rsidP="00B33609" w14:paraId="565386FF" w14:textId="77777777">
      <w:pPr>
        <w:numPr>
          <w:ilvl w:val="0"/>
          <w:numId w:val="10"/>
        </w:numPr>
        <w:tabs>
          <w:tab w:val="clear" w:pos="360"/>
          <w:tab w:val="num" w:pos="720"/>
        </w:tabs>
        <w:autoSpaceDE w:val="0"/>
        <w:autoSpaceDN w:val="0"/>
        <w:adjustRightInd w:val="0"/>
        <w:ind w:left="720"/>
        <w:jc w:val="both"/>
        <w:rPr>
          <w:color w:val="000000"/>
          <w:sz w:val="22"/>
          <w:szCs w:val="22"/>
        </w:rPr>
      </w:pPr>
      <w:r w:rsidRPr="00797A5F">
        <w:rPr>
          <w:color w:val="000000"/>
          <w:sz w:val="22"/>
          <w:szCs w:val="22"/>
        </w:rPr>
        <w:t>Commissioner Anna Gomez</w:t>
      </w:r>
    </w:p>
    <w:p w:rsidR="00B33609" w:rsidRPr="00797A5F" w:rsidP="00B33609" w14:paraId="5D6EBA47" w14:textId="77777777">
      <w:pPr>
        <w:numPr>
          <w:ilvl w:val="0"/>
          <w:numId w:val="10"/>
        </w:numPr>
        <w:tabs>
          <w:tab w:val="clear" w:pos="360"/>
          <w:tab w:val="num" w:pos="720"/>
        </w:tabs>
        <w:autoSpaceDE w:val="0"/>
        <w:autoSpaceDN w:val="0"/>
        <w:adjustRightInd w:val="0"/>
        <w:ind w:left="720"/>
        <w:jc w:val="both"/>
        <w:rPr>
          <w:color w:val="000000"/>
          <w:sz w:val="22"/>
          <w:szCs w:val="22"/>
        </w:rPr>
      </w:pPr>
      <w:r w:rsidRPr="00797A5F">
        <w:rPr>
          <w:color w:val="000000"/>
          <w:sz w:val="22"/>
          <w:szCs w:val="22"/>
        </w:rPr>
        <w:t>Commissioner Olivia Trusty</w:t>
      </w:r>
    </w:p>
    <w:p w:rsidR="00E559C0" w:rsidRPr="00797A5F" w:rsidP="00E559C0" w14:paraId="52F4339F" w14:textId="77777777">
      <w:pPr>
        <w:autoSpaceDE w:val="0"/>
        <w:autoSpaceDN w:val="0"/>
        <w:adjustRightInd w:val="0"/>
        <w:rPr>
          <w:color w:val="000000"/>
          <w:sz w:val="22"/>
          <w:szCs w:val="22"/>
        </w:rPr>
      </w:pPr>
    </w:p>
    <w:p w:rsidR="00E559C0" w:rsidRPr="00797A5F" w:rsidP="00E559C0" w14:paraId="7D6D459B" w14:textId="77777777">
      <w:pPr>
        <w:pStyle w:val="Heading3"/>
        <w:spacing w:before="0" w:after="0"/>
        <w:rPr>
          <w:rFonts w:ascii="Times New Roman" w:hAnsi="Times New Roman" w:cs="Times New Roman"/>
          <w:sz w:val="24"/>
          <w:szCs w:val="24"/>
        </w:rPr>
      </w:pPr>
      <w:bookmarkStart w:id="9" w:name="_Toc216960418"/>
      <w:r w:rsidRPr="00797A5F">
        <w:rPr>
          <w:rFonts w:ascii="Times New Roman" w:hAnsi="Times New Roman" w:cs="Times New Roman"/>
          <w:sz w:val="24"/>
          <w:szCs w:val="24"/>
        </w:rPr>
        <w:t>Mission</w:t>
      </w:r>
      <w:bookmarkEnd w:id="9"/>
    </w:p>
    <w:p w:rsidR="00E559C0" w:rsidRPr="00797A5F" w:rsidP="00E559C0" w14:paraId="64144C42" w14:textId="77777777">
      <w:pPr>
        <w:autoSpaceDE w:val="0"/>
        <w:autoSpaceDN w:val="0"/>
        <w:adjustRightInd w:val="0"/>
        <w:jc w:val="both"/>
        <w:rPr>
          <w:sz w:val="22"/>
          <w:szCs w:val="22"/>
        </w:rPr>
      </w:pPr>
    </w:p>
    <w:p w:rsidR="00B33609" w:rsidRPr="00797A5F" w:rsidP="00B33609" w14:paraId="5C833464" w14:textId="5FC60B3C">
      <w:pPr>
        <w:autoSpaceDE w:val="0"/>
        <w:autoSpaceDN w:val="0"/>
        <w:adjustRightInd w:val="0"/>
        <w:jc w:val="both"/>
        <w:rPr>
          <w:rFonts w:eastAsia="Calibri"/>
          <w:sz w:val="22"/>
          <w:szCs w:val="22"/>
        </w:rPr>
      </w:pPr>
      <w:r w:rsidRPr="00797A5F">
        <w:rPr>
          <w:rFonts w:eastAsia="Calibri"/>
          <w:sz w:val="22"/>
          <w:szCs w:val="22"/>
        </w:rPr>
        <w:t xml:space="preserve">The Federal Communications Commission (FCC) regulates interstate and international communications by radio, television, wire, satellite, and cable in all 50 states, the District of Columbia and U.S. territories. A U.S. </w:t>
      </w:r>
      <w:r w:rsidRPr="00797A5F">
        <w:rPr>
          <w:rFonts w:eastAsia="Calibri"/>
          <w:sz w:val="22"/>
          <w:szCs w:val="22"/>
        </w:rPr>
        <w:t>government agency overseen by Congress, the Commission is the federal agency responsible for implementing and enforcing America’s communications law and regulations.</w:t>
      </w:r>
    </w:p>
    <w:p w:rsidR="00E559C0" w:rsidRPr="00797A5F" w:rsidP="00E559C0" w14:paraId="15CB9914" w14:textId="77777777">
      <w:pPr>
        <w:autoSpaceDE w:val="0"/>
        <w:autoSpaceDN w:val="0"/>
        <w:adjustRightInd w:val="0"/>
        <w:jc w:val="both"/>
        <w:rPr>
          <w:sz w:val="22"/>
          <w:szCs w:val="22"/>
        </w:rPr>
      </w:pPr>
    </w:p>
    <w:p w:rsidR="00E559C0" w:rsidRPr="00797A5F" w:rsidP="00E559C0" w14:paraId="3EBC638A" w14:textId="77777777">
      <w:pPr>
        <w:pStyle w:val="Heading3"/>
        <w:spacing w:before="0" w:after="0"/>
        <w:rPr>
          <w:rFonts w:ascii="Times New Roman" w:hAnsi="Times New Roman" w:cs="Times New Roman"/>
          <w:sz w:val="24"/>
          <w:szCs w:val="24"/>
        </w:rPr>
      </w:pPr>
      <w:bookmarkStart w:id="10" w:name="_Toc216960419"/>
      <w:r w:rsidRPr="00797A5F">
        <w:rPr>
          <w:rFonts w:ascii="Times New Roman" w:hAnsi="Times New Roman" w:cs="Times New Roman"/>
          <w:sz w:val="24"/>
          <w:szCs w:val="24"/>
        </w:rPr>
        <w:t>Organizational Structure</w:t>
      </w:r>
      <w:bookmarkEnd w:id="10"/>
    </w:p>
    <w:p w:rsidR="00E559C0" w:rsidRPr="00797A5F" w:rsidP="00E559C0" w14:paraId="5C4385B7" w14:textId="77777777">
      <w:pPr>
        <w:autoSpaceDE w:val="0"/>
        <w:autoSpaceDN w:val="0"/>
        <w:adjustRightInd w:val="0"/>
        <w:jc w:val="both"/>
        <w:rPr>
          <w:color w:val="000000"/>
          <w:sz w:val="22"/>
          <w:szCs w:val="22"/>
        </w:rPr>
      </w:pPr>
    </w:p>
    <w:p w:rsidR="00B33609" w:rsidRPr="00797A5F" w:rsidP="00B33609" w14:paraId="174281A3" w14:textId="30ECE908">
      <w:pPr>
        <w:autoSpaceDE w:val="0"/>
        <w:autoSpaceDN w:val="0"/>
        <w:adjustRightInd w:val="0"/>
        <w:jc w:val="both"/>
        <w:rPr>
          <w:rFonts w:eastAsia="Calibri"/>
          <w:sz w:val="22"/>
          <w:szCs w:val="22"/>
        </w:rPr>
      </w:pPr>
      <w:bookmarkStart w:id="11" w:name="_Hlk143596244"/>
      <w:r w:rsidRPr="00797A5F">
        <w:rPr>
          <w:rFonts w:eastAsia="Calibri"/>
          <w:sz w:val="22"/>
          <w:szCs w:val="22"/>
        </w:rPr>
        <w:t xml:space="preserve">The FCC is organized by function.  There are seven Bureaus and eleven Offices.  The Bureaus and the Offices develop and administer the FCC’s policies and regulations, process applications for licenses to operate facilities and provide communications services; analyze complaints from consumers and other licensees; conduct investigations; develop and implement regulatory programs; inform and educate consumers and conduct outreach, and organize and participate in hearings, workshops, conferences, webinars and other events.  Generally, the Offices provide specialized support services.  </w:t>
      </w:r>
      <w:bookmarkEnd w:id="11"/>
      <w:r w:rsidRPr="00797A5F">
        <w:rPr>
          <w:rFonts w:eastAsia="Calibri"/>
          <w:sz w:val="22"/>
          <w:szCs w:val="22"/>
        </w:rPr>
        <w:t>The Bureaus and Offices are:</w:t>
      </w:r>
    </w:p>
    <w:p w:rsidR="00B33609" w:rsidRPr="00797A5F" w:rsidP="00E559C0" w14:paraId="6D07D4E7" w14:textId="77777777">
      <w:pPr>
        <w:autoSpaceDE w:val="0"/>
        <w:autoSpaceDN w:val="0"/>
        <w:adjustRightInd w:val="0"/>
        <w:jc w:val="both"/>
        <w:rPr>
          <w:color w:val="000000"/>
          <w:sz w:val="22"/>
          <w:szCs w:val="22"/>
        </w:rPr>
      </w:pPr>
    </w:p>
    <w:p w:rsidR="00B33609" w:rsidRPr="00797A5F" w:rsidP="00B33609" w14:paraId="7F79C875" w14:textId="15772275">
      <w:pPr>
        <w:numPr>
          <w:ilvl w:val="0"/>
          <w:numId w:val="13"/>
        </w:numPr>
        <w:ind w:left="360"/>
        <w:jc w:val="both"/>
        <w:rPr>
          <w:rFonts w:eastAsia="Calibri"/>
          <w:sz w:val="22"/>
          <w:szCs w:val="22"/>
        </w:rPr>
      </w:pPr>
      <w:r w:rsidRPr="00797A5F">
        <w:rPr>
          <w:rFonts w:eastAsia="Calibri"/>
          <w:b/>
          <w:bCs/>
          <w:sz w:val="22"/>
          <w:szCs w:val="22"/>
        </w:rPr>
        <w:t>Consumer &amp; Governmental Affairs Bureau</w:t>
      </w:r>
      <w:r w:rsidRPr="00797A5F">
        <w:rPr>
          <w:rFonts w:eastAsia="Calibri"/>
          <w:sz w:val="22"/>
          <w:szCs w:val="22"/>
        </w:rPr>
        <w:t xml:space="preserve"> (CGB) develops and implements the commission’s consumer policies, including disability access. CGB serves as the public face of the Commission through outreach and education, as well as through the consumer center, which is responsible for responding to consumer inquiries and complaints. CGB also maintains collaborative partnerships with state, local and Tribal governments in critical areas such as emergency preparedness and implementation of new technologies.</w:t>
      </w:r>
    </w:p>
    <w:p w:rsidR="00B33609" w:rsidRPr="00797A5F" w:rsidP="00B33609" w14:paraId="7E0C30ED" w14:textId="77777777">
      <w:pPr>
        <w:rPr>
          <w:rFonts w:eastAsia="Calibri"/>
          <w:sz w:val="22"/>
          <w:szCs w:val="22"/>
        </w:rPr>
      </w:pPr>
    </w:p>
    <w:p w:rsidR="00B33609" w:rsidRPr="00797A5F" w:rsidP="00B33609" w14:paraId="34BE0130" w14:textId="7DF41B66">
      <w:pPr>
        <w:numPr>
          <w:ilvl w:val="0"/>
          <w:numId w:val="13"/>
        </w:numPr>
        <w:ind w:left="360"/>
        <w:jc w:val="both"/>
        <w:rPr>
          <w:rFonts w:eastAsia="Calibri"/>
          <w:sz w:val="22"/>
          <w:szCs w:val="22"/>
        </w:rPr>
      </w:pPr>
      <w:r w:rsidRPr="00797A5F">
        <w:rPr>
          <w:rFonts w:eastAsia="Calibri"/>
          <w:b/>
          <w:bCs/>
          <w:sz w:val="22"/>
          <w:szCs w:val="22"/>
        </w:rPr>
        <w:t>Enforcement Bureau</w:t>
      </w:r>
      <w:r w:rsidRPr="00797A5F">
        <w:rPr>
          <w:rFonts w:eastAsia="Calibri"/>
          <w:sz w:val="22"/>
          <w:szCs w:val="22"/>
        </w:rPr>
        <w:t xml:space="preserve"> (EB) is the FCC unit primarily responsible for ensuring regulated entities comply with the Communications Act, its implementing regulations, and various licensing terms and conditions. It conducts nonpublic investigations that involve: consumer protection and national security; privacy, data protection, cybersecurity, and supply chain integrity; public safety, emergency services, and harmful interference; targeting fraud in critical FCC-funded and -administered programs; and fair competition and equal opportunities.</w:t>
      </w:r>
    </w:p>
    <w:p w:rsidR="00B33609" w:rsidRPr="00797A5F" w:rsidP="00B33609" w14:paraId="78406979" w14:textId="5BAA6F89">
      <w:pPr>
        <w:pStyle w:val="ListParagraph"/>
        <w:rPr>
          <w:rFonts w:eastAsia="Calibri"/>
          <w:sz w:val="22"/>
          <w:szCs w:val="22"/>
        </w:rPr>
      </w:pPr>
    </w:p>
    <w:p w:rsidR="00B33609" w:rsidRPr="00797A5F" w:rsidP="00B33609" w14:paraId="61C27605" w14:textId="55EA2328">
      <w:pPr>
        <w:numPr>
          <w:ilvl w:val="0"/>
          <w:numId w:val="13"/>
        </w:numPr>
        <w:ind w:left="360"/>
        <w:jc w:val="both"/>
        <w:rPr>
          <w:rFonts w:eastAsia="Calibri"/>
          <w:sz w:val="22"/>
          <w:szCs w:val="22"/>
        </w:rPr>
      </w:pPr>
      <w:r w:rsidRPr="00797A5F">
        <w:rPr>
          <w:rFonts w:eastAsia="Calibri"/>
          <w:b/>
          <w:bCs/>
          <w:sz w:val="22"/>
          <w:szCs w:val="22"/>
        </w:rPr>
        <w:t>Media Bureau</w:t>
      </w:r>
      <w:r w:rsidRPr="00797A5F">
        <w:rPr>
          <w:rFonts w:eastAsia="Calibri"/>
          <w:sz w:val="22"/>
          <w:szCs w:val="22"/>
        </w:rPr>
        <w:t xml:space="preserve"> (MB) plays a key role in promoting innovation in the media marketplace, as it develops, recommends, and administers the policy and licensing programs relating to the media industry, including </w:t>
      </w:r>
      <w:hyperlink r:id="rId23" w:history="1">
        <w:r w:rsidRPr="00797A5F">
          <w:rPr>
            <w:rStyle w:val="Hyperlink"/>
            <w:rFonts w:eastAsia="Calibri"/>
            <w:sz w:val="22"/>
            <w:szCs w:val="22"/>
          </w:rPr>
          <w:t>cable television</w:t>
        </w:r>
      </w:hyperlink>
      <w:r w:rsidRPr="00797A5F">
        <w:rPr>
          <w:rFonts w:eastAsia="Calibri"/>
          <w:sz w:val="22"/>
          <w:szCs w:val="22"/>
        </w:rPr>
        <w:t>, </w:t>
      </w:r>
      <w:hyperlink r:id="rId24" w:history="1">
        <w:r w:rsidRPr="00797A5F">
          <w:rPr>
            <w:rStyle w:val="Hyperlink"/>
            <w:rFonts w:eastAsia="Calibri"/>
            <w:sz w:val="22"/>
            <w:szCs w:val="22"/>
          </w:rPr>
          <w:t>broadcast television</w:t>
        </w:r>
      </w:hyperlink>
      <w:r w:rsidRPr="00797A5F">
        <w:rPr>
          <w:rFonts w:eastAsia="Calibri"/>
          <w:sz w:val="22"/>
          <w:szCs w:val="22"/>
        </w:rPr>
        <w:t>, and </w:t>
      </w:r>
      <w:hyperlink r:id="rId25" w:history="1">
        <w:r w:rsidRPr="00797A5F">
          <w:rPr>
            <w:rStyle w:val="Hyperlink"/>
            <w:rFonts w:eastAsia="Calibri"/>
            <w:sz w:val="22"/>
            <w:szCs w:val="22"/>
          </w:rPr>
          <w:t>radio</w:t>
        </w:r>
      </w:hyperlink>
      <w:r w:rsidRPr="00797A5F">
        <w:rPr>
          <w:rFonts w:eastAsia="Calibri"/>
          <w:sz w:val="22"/>
          <w:szCs w:val="22"/>
        </w:rPr>
        <w:t>.  It also handles post-licensing matters for satellite services and releases public reports on the data collected from the industry.</w:t>
      </w:r>
    </w:p>
    <w:p w:rsidR="00B33609" w:rsidRPr="00797A5F" w:rsidP="00B33609" w14:paraId="7C367FF8" w14:textId="77777777">
      <w:pPr>
        <w:rPr>
          <w:rFonts w:eastAsia="Calibri"/>
          <w:sz w:val="22"/>
          <w:szCs w:val="22"/>
        </w:rPr>
      </w:pPr>
    </w:p>
    <w:p w:rsidR="00B33609" w:rsidRPr="00797A5F" w:rsidP="00B33609" w14:paraId="51D84B59" w14:textId="4900125B">
      <w:pPr>
        <w:numPr>
          <w:ilvl w:val="0"/>
          <w:numId w:val="13"/>
        </w:numPr>
        <w:ind w:left="360"/>
        <w:jc w:val="both"/>
        <w:rPr>
          <w:rFonts w:eastAsia="Calibri"/>
          <w:sz w:val="22"/>
          <w:szCs w:val="22"/>
        </w:rPr>
      </w:pPr>
      <w:r w:rsidRPr="00797A5F">
        <w:rPr>
          <w:rFonts w:eastAsia="Calibri"/>
          <w:b/>
          <w:bCs/>
          <w:sz w:val="22"/>
          <w:szCs w:val="22"/>
        </w:rPr>
        <w:t xml:space="preserve">Public Safety and Homeland Security Bureau </w:t>
      </w:r>
      <w:r w:rsidRPr="00797A5F">
        <w:rPr>
          <w:rFonts w:eastAsia="Calibri"/>
          <w:sz w:val="22"/>
          <w:szCs w:val="22"/>
        </w:rPr>
        <w:t>(PSHSB)</w:t>
      </w:r>
      <w:r w:rsidRPr="00797A5F">
        <w:rPr>
          <w:rFonts w:eastAsia="Calibri"/>
          <w:b/>
          <w:bCs/>
          <w:sz w:val="22"/>
          <w:szCs w:val="22"/>
        </w:rPr>
        <w:t xml:space="preserve"> </w:t>
      </w:r>
      <w:r w:rsidRPr="00797A5F">
        <w:rPr>
          <w:rFonts w:eastAsia="Calibri"/>
          <w:bCs/>
          <w:sz w:val="22"/>
          <w:szCs w:val="22"/>
        </w:rPr>
        <w:t>promotes the public’s access to reliable 911, emergency alerting, and first responder communications. PSHSB does this by developing and implementing policies, consistent with the FCC’s statutory authority, to ensure that our Nation’s first responders and the American public have access to effective and reliable communications, and by collaborating with Federal government partners responsible for protecting the Nation’s communications infrastructure.  </w:t>
      </w:r>
    </w:p>
    <w:p w:rsidR="00B33609" w:rsidRPr="00797A5F" w:rsidP="00B33609" w14:paraId="71CF71B7" w14:textId="77777777">
      <w:pPr>
        <w:jc w:val="both"/>
        <w:rPr>
          <w:rFonts w:eastAsia="Calibri"/>
          <w:sz w:val="22"/>
          <w:szCs w:val="22"/>
        </w:rPr>
      </w:pPr>
    </w:p>
    <w:p w:rsidR="00B33609" w:rsidRPr="00797A5F" w:rsidP="00B33609" w14:paraId="3E4A7842" w14:textId="556FC935">
      <w:pPr>
        <w:numPr>
          <w:ilvl w:val="0"/>
          <w:numId w:val="13"/>
        </w:numPr>
        <w:ind w:left="360"/>
        <w:jc w:val="both"/>
        <w:rPr>
          <w:rFonts w:eastAsia="Calibri"/>
          <w:sz w:val="22"/>
          <w:szCs w:val="22"/>
        </w:rPr>
      </w:pPr>
      <w:r w:rsidRPr="00797A5F">
        <w:rPr>
          <w:rFonts w:eastAsia="Calibri"/>
          <w:b/>
          <w:bCs/>
          <w:sz w:val="22"/>
          <w:szCs w:val="22"/>
        </w:rPr>
        <w:t xml:space="preserve">Space Bureau </w:t>
      </w:r>
      <w:r w:rsidRPr="00797A5F">
        <w:rPr>
          <w:rFonts w:eastAsia="Calibri"/>
          <w:sz w:val="22"/>
          <w:szCs w:val="22"/>
        </w:rPr>
        <w:t>(SB)</w:t>
      </w:r>
      <w:r w:rsidRPr="00797A5F">
        <w:rPr>
          <w:rFonts w:eastAsia="Calibri"/>
          <w:b/>
          <w:bCs/>
          <w:sz w:val="22"/>
          <w:szCs w:val="22"/>
        </w:rPr>
        <w:t xml:space="preserve"> </w:t>
      </w:r>
      <w:r w:rsidRPr="00797A5F">
        <w:rPr>
          <w:rFonts w:eastAsia="Calibri"/>
          <w:sz w:val="22"/>
          <w:szCs w:val="22"/>
        </w:rPr>
        <w:t>plays a key role in advancing the Commission’s Space Innovation Agenda to meet the needs of the next generation Space Age. The Bureau promotes a competitive and innovative global communications marketplace by leading policy and licensing matters related to satellite and space-based communications and activities. Among its responsibilities, the Bureau: leads complex policy analysis and rulemakings; authorizes satellite and earth station systems used for space-based services; streamlines regulatory processes to provide maximum flexibility for operators to meet customer needs; and fosters the efficient use of scarce spectrum and orbital resources. SB also serves as the FCC’s focal point for coordination with other U.S. government agencies on matters of space policy and governance, and collaborates with the Office of International Affairs (OIA) for consultations with other countries, international and multi-lateral organizations, and foreign government officials that involve satellite and space policy matters.</w:t>
      </w:r>
    </w:p>
    <w:p w:rsidR="00B33609" w:rsidRPr="00797A5F" w:rsidP="00B33609" w14:paraId="49F462B4" w14:textId="77777777">
      <w:pPr>
        <w:rPr>
          <w:rFonts w:eastAsia="Calibri"/>
          <w:sz w:val="22"/>
          <w:szCs w:val="22"/>
        </w:rPr>
      </w:pPr>
    </w:p>
    <w:p w:rsidR="00B33609" w:rsidRPr="00797A5F" w:rsidP="00B33609" w14:paraId="3F7B6E5B" w14:textId="0F942532">
      <w:pPr>
        <w:numPr>
          <w:ilvl w:val="0"/>
          <w:numId w:val="13"/>
        </w:numPr>
        <w:ind w:left="360"/>
        <w:jc w:val="both"/>
        <w:rPr>
          <w:rFonts w:eastAsia="Calibri"/>
          <w:sz w:val="22"/>
          <w:szCs w:val="22"/>
        </w:rPr>
      </w:pPr>
      <w:r w:rsidRPr="00797A5F">
        <w:rPr>
          <w:rFonts w:eastAsia="Calibri"/>
          <w:b/>
          <w:bCs/>
          <w:sz w:val="22"/>
          <w:szCs w:val="22"/>
        </w:rPr>
        <w:t>Wireless Telecommunications Bureau</w:t>
      </w:r>
      <w:r w:rsidRPr="00797A5F">
        <w:rPr>
          <w:rFonts w:eastAsia="Calibri"/>
          <w:sz w:val="22"/>
          <w:szCs w:val="22"/>
        </w:rPr>
        <w:t xml:space="preserve"> (WTB) advises and makes recommendations to the Commission, or acts for the Commission under delegated authority, in matters pertaining to the regulation and licensing </w:t>
      </w:r>
      <w:r w:rsidRPr="00797A5F">
        <w:rPr>
          <w:rFonts w:eastAsia="Calibri"/>
          <w:sz w:val="22"/>
          <w:szCs w:val="22"/>
        </w:rPr>
        <w:t>of wireless communications services, devices, facilities, and electromagnetic spectrum resources. The Bureau develops and recommends policy goals, objectives, programs, and plans for the Commission on matters concerning wireless communications and electromagnetic spectrum resources, drawing upon relevant economic, technological, legislative, regulatory, and judicial information and developments. Such matters include the following: addressing present and future wireless communications and spectrum needs in the United States; establishing rules and procedures that will support the deployment of 5G and the next generations of service by a variety of mobile providers; promoting access, efficiency, and innovation in the use of the electromagnetic spectrum through licensing procedures and policies; and promoting investment in wireless communications infrastructure, including broadband.</w:t>
      </w:r>
    </w:p>
    <w:p w:rsidR="00B33609" w:rsidRPr="00797A5F" w:rsidP="00B33609" w14:paraId="6987138E" w14:textId="77777777">
      <w:pPr>
        <w:rPr>
          <w:rFonts w:eastAsia="Calibri"/>
          <w:sz w:val="22"/>
          <w:szCs w:val="22"/>
        </w:rPr>
      </w:pPr>
    </w:p>
    <w:p w:rsidR="00B33609" w:rsidRPr="00797A5F" w:rsidP="00B33609" w14:paraId="7E0628CA" w14:textId="04445D1F">
      <w:pPr>
        <w:numPr>
          <w:ilvl w:val="0"/>
          <w:numId w:val="13"/>
        </w:numPr>
        <w:ind w:left="360"/>
        <w:jc w:val="both"/>
        <w:rPr>
          <w:rFonts w:eastAsia="Calibri"/>
          <w:sz w:val="22"/>
          <w:szCs w:val="22"/>
        </w:rPr>
      </w:pPr>
      <w:r w:rsidRPr="00797A5F">
        <w:rPr>
          <w:rFonts w:eastAsia="Calibri"/>
          <w:b/>
          <w:bCs/>
          <w:sz w:val="22"/>
          <w:szCs w:val="22"/>
        </w:rPr>
        <w:t>Wireline Competition Bureau</w:t>
      </w:r>
      <w:r w:rsidRPr="00797A5F">
        <w:rPr>
          <w:rFonts w:eastAsia="Calibri"/>
          <w:sz w:val="22"/>
          <w:szCs w:val="22"/>
        </w:rPr>
        <w:t xml:space="preserve"> (WCB) is the FCC’s home for policies and programs focused on closing the digital divide and accelerating the transition to next-generation communications networks. Dedicated staff are committed to making available to everyone an internet that is fast, open, and fair. Through the FCC’s funding programs, WCB supports carriers to help provide reliable access to affordable broadband and voice services for rural and urban households, schools and libraries, and rural health care providers. By implementing Congressional initiatives, WCB establishes rules to foster competition, encourage broadband deployment, protect consumers, and protect national security.</w:t>
      </w:r>
    </w:p>
    <w:p w:rsidR="00B33609" w:rsidRPr="00797A5F" w:rsidP="00B33609" w14:paraId="3DEF545F" w14:textId="77777777">
      <w:pPr>
        <w:rPr>
          <w:rFonts w:eastAsia="Calibri"/>
          <w:sz w:val="22"/>
          <w:szCs w:val="22"/>
        </w:rPr>
      </w:pPr>
      <w:r w:rsidRPr="00797A5F">
        <w:rPr>
          <w:rFonts w:eastAsia="Calibri"/>
          <w:sz w:val="22"/>
          <w:szCs w:val="22"/>
        </w:rPr>
        <w:t xml:space="preserve"> </w:t>
      </w:r>
    </w:p>
    <w:p w:rsidR="00B33609" w:rsidRPr="00797A5F" w:rsidP="00133D1A" w14:paraId="2184A511" w14:textId="24A8807D">
      <w:pPr>
        <w:numPr>
          <w:ilvl w:val="0"/>
          <w:numId w:val="13"/>
        </w:numPr>
        <w:ind w:left="360"/>
        <w:jc w:val="both"/>
        <w:rPr>
          <w:rFonts w:eastAsia="Calibri"/>
          <w:sz w:val="22"/>
          <w:szCs w:val="22"/>
        </w:rPr>
      </w:pPr>
      <w:r w:rsidRPr="00797A5F">
        <w:rPr>
          <w:rFonts w:eastAsia="Calibri"/>
          <w:b/>
          <w:bCs/>
          <w:sz w:val="22"/>
          <w:szCs w:val="22"/>
        </w:rPr>
        <w:t>Office of Administrative Law Judges</w:t>
      </w:r>
      <w:r w:rsidRPr="00797A5F">
        <w:rPr>
          <w:rFonts w:eastAsia="Calibri"/>
          <w:sz w:val="22"/>
          <w:szCs w:val="22"/>
        </w:rPr>
        <w:t xml:space="preserve"> </w:t>
      </w:r>
      <w:r w:rsidRPr="00797A5F" w:rsidR="000B086F">
        <w:rPr>
          <w:rFonts w:eastAsia="Calibri"/>
          <w:sz w:val="22"/>
          <w:szCs w:val="22"/>
        </w:rPr>
        <w:t xml:space="preserve">(ALJ) </w:t>
      </w:r>
      <w:r w:rsidRPr="00797A5F">
        <w:rPr>
          <w:rFonts w:eastAsia="Calibri"/>
          <w:sz w:val="22"/>
          <w:szCs w:val="22"/>
        </w:rPr>
        <w:t>is composed of one judge (and associated staff) who presides over hearings and issues decisions on matters referred by the FCC.</w:t>
      </w:r>
    </w:p>
    <w:p w:rsidR="00B33609" w:rsidRPr="00797A5F" w:rsidP="00133D1A" w14:paraId="78BD4DDF" w14:textId="77777777">
      <w:pPr>
        <w:jc w:val="both"/>
        <w:rPr>
          <w:rFonts w:eastAsia="Calibri"/>
          <w:sz w:val="22"/>
          <w:szCs w:val="22"/>
        </w:rPr>
      </w:pPr>
    </w:p>
    <w:p w:rsidR="00B33609" w:rsidRPr="00797A5F" w:rsidP="00133D1A" w14:paraId="116155E8" w14:textId="0BD1BF53">
      <w:pPr>
        <w:numPr>
          <w:ilvl w:val="0"/>
          <w:numId w:val="13"/>
        </w:numPr>
        <w:ind w:left="360"/>
        <w:jc w:val="both"/>
        <w:rPr>
          <w:rFonts w:eastAsia="Calibri"/>
          <w:sz w:val="22"/>
          <w:szCs w:val="22"/>
        </w:rPr>
      </w:pPr>
      <w:r w:rsidRPr="00797A5F">
        <w:rPr>
          <w:rFonts w:eastAsia="Calibri"/>
          <w:b/>
          <w:bCs/>
          <w:sz w:val="22"/>
          <w:szCs w:val="22"/>
        </w:rPr>
        <w:t>The Office of Communications Business Opportunities</w:t>
      </w:r>
      <w:r w:rsidRPr="00797A5F">
        <w:rPr>
          <w:rFonts w:eastAsia="Calibri"/>
          <w:sz w:val="22"/>
          <w:szCs w:val="22"/>
        </w:rPr>
        <w:t xml:space="preserve"> </w:t>
      </w:r>
      <w:r w:rsidRPr="00797A5F" w:rsidR="000B086F">
        <w:rPr>
          <w:rFonts w:eastAsia="Calibri"/>
          <w:sz w:val="22"/>
          <w:szCs w:val="22"/>
        </w:rPr>
        <w:t xml:space="preserve">(OCBO) </w:t>
      </w:r>
      <w:r w:rsidRPr="00797A5F">
        <w:rPr>
          <w:rFonts w:eastAsia="Calibri"/>
          <w:sz w:val="22"/>
          <w:szCs w:val="22"/>
        </w:rPr>
        <w:t>promotes competition and innovation in telecommunications ownership and information services. The Office also supports opportunities for small businesses, as well as women-owned and minority-owned communications businesses.</w:t>
      </w:r>
    </w:p>
    <w:p w:rsidR="00B33609" w:rsidRPr="00797A5F" w:rsidP="00133D1A" w14:paraId="5E295C5A" w14:textId="77777777">
      <w:pPr>
        <w:jc w:val="both"/>
        <w:rPr>
          <w:rFonts w:eastAsia="Calibri"/>
          <w:sz w:val="22"/>
          <w:szCs w:val="22"/>
        </w:rPr>
      </w:pPr>
    </w:p>
    <w:p w:rsidR="00B33609" w:rsidRPr="00797A5F" w:rsidP="00133D1A" w14:paraId="7AC451F1" w14:textId="04CD426D">
      <w:pPr>
        <w:numPr>
          <w:ilvl w:val="0"/>
          <w:numId w:val="13"/>
        </w:numPr>
        <w:ind w:left="360"/>
        <w:jc w:val="both"/>
        <w:rPr>
          <w:rFonts w:eastAsia="Calibri"/>
          <w:sz w:val="22"/>
          <w:szCs w:val="22"/>
        </w:rPr>
      </w:pPr>
      <w:r w:rsidRPr="00797A5F">
        <w:rPr>
          <w:rFonts w:eastAsia="Calibri"/>
          <w:b/>
          <w:sz w:val="22"/>
          <w:szCs w:val="22"/>
        </w:rPr>
        <w:t>Office of Economics and Analytics</w:t>
      </w:r>
      <w:r w:rsidRPr="00797A5F">
        <w:rPr>
          <w:rFonts w:eastAsia="Calibri"/>
          <w:sz w:val="22"/>
          <w:szCs w:val="22"/>
        </w:rPr>
        <w:t xml:space="preserve"> </w:t>
      </w:r>
      <w:r w:rsidRPr="00797A5F" w:rsidR="000B086F">
        <w:rPr>
          <w:rFonts w:eastAsia="Calibri"/>
          <w:sz w:val="22"/>
          <w:szCs w:val="22"/>
        </w:rPr>
        <w:t xml:space="preserve">(OEA) </w:t>
      </w:r>
      <w:r w:rsidRPr="00797A5F">
        <w:rPr>
          <w:rFonts w:eastAsia="Calibri"/>
          <w:sz w:val="22"/>
          <w:szCs w:val="22"/>
        </w:rPr>
        <w:t xml:space="preserve">is responsible for expanding and deepening the use of economic analysis into Commission policy making, for enhancing the development and use of auctions, and for implementing consistent and effective agency-wide data practices and policies. </w:t>
      </w:r>
    </w:p>
    <w:p w:rsidR="000B086F" w:rsidRPr="00797A5F" w:rsidP="00133D1A" w14:paraId="78FE03D2" w14:textId="77777777">
      <w:pPr>
        <w:ind w:left="360"/>
        <w:jc w:val="both"/>
        <w:rPr>
          <w:rFonts w:eastAsia="Calibri"/>
          <w:sz w:val="22"/>
          <w:szCs w:val="22"/>
        </w:rPr>
      </w:pPr>
    </w:p>
    <w:p w:rsidR="00B33609" w:rsidRPr="00797A5F" w:rsidP="00133D1A" w14:paraId="58889132" w14:textId="06770905">
      <w:pPr>
        <w:numPr>
          <w:ilvl w:val="0"/>
          <w:numId w:val="13"/>
        </w:numPr>
        <w:ind w:left="360"/>
        <w:jc w:val="both"/>
        <w:rPr>
          <w:rFonts w:eastAsia="Calibri"/>
          <w:sz w:val="22"/>
          <w:szCs w:val="22"/>
        </w:rPr>
      </w:pPr>
      <w:r w:rsidRPr="00797A5F">
        <w:rPr>
          <w:rFonts w:eastAsia="Calibri"/>
          <w:b/>
          <w:bCs/>
          <w:sz w:val="22"/>
          <w:szCs w:val="22"/>
        </w:rPr>
        <w:t>Office of Engineering and Technology</w:t>
      </w:r>
      <w:r w:rsidRPr="00797A5F">
        <w:rPr>
          <w:rFonts w:eastAsia="Calibri"/>
          <w:sz w:val="22"/>
          <w:szCs w:val="22"/>
        </w:rPr>
        <w:t xml:space="preserve"> </w:t>
      </w:r>
      <w:r w:rsidRPr="00797A5F" w:rsidR="000B086F">
        <w:rPr>
          <w:rFonts w:eastAsia="Calibri"/>
          <w:sz w:val="22"/>
          <w:szCs w:val="22"/>
        </w:rPr>
        <w:t xml:space="preserve">(OET) </w:t>
      </w:r>
      <w:r w:rsidRPr="00797A5F">
        <w:rPr>
          <w:rFonts w:eastAsia="Calibri"/>
          <w:sz w:val="22"/>
          <w:szCs w:val="22"/>
        </w:rPr>
        <w:t xml:space="preserve">advises the FCC on technical and engineering matters and develops and administers Commission decisions regarding spectrum allocations. </w:t>
      </w:r>
      <w:r w:rsidRPr="00797A5F" w:rsidR="000B086F">
        <w:rPr>
          <w:rFonts w:eastAsia="Calibri"/>
          <w:sz w:val="22"/>
          <w:szCs w:val="22"/>
        </w:rPr>
        <w:t>OET</w:t>
      </w:r>
      <w:r w:rsidRPr="00797A5F">
        <w:rPr>
          <w:rFonts w:eastAsia="Calibri"/>
          <w:sz w:val="22"/>
          <w:szCs w:val="22"/>
        </w:rPr>
        <w:t xml:space="preserve"> also grants equipment authorizations, experimental licenses, and special temporary operation authority.</w:t>
      </w:r>
    </w:p>
    <w:p w:rsidR="00B33609" w:rsidRPr="00797A5F" w:rsidP="00133D1A" w14:paraId="0A3714BE" w14:textId="77777777">
      <w:pPr>
        <w:contextualSpacing/>
        <w:jc w:val="both"/>
        <w:rPr>
          <w:b/>
          <w:bCs/>
          <w:sz w:val="22"/>
          <w:szCs w:val="22"/>
        </w:rPr>
      </w:pPr>
    </w:p>
    <w:p w:rsidR="00B33609" w:rsidRPr="00797A5F" w:rsidP="00133D1A" w14:paraId="7E236DE0" w14:textId="3C8ED4CF">
      <w:pPr>
        <w:numPr>
          <w:ilvl w:val="0"/>
          <w:numId w:val="13"/>
        </w:numPr>
        <w:ind w:left="360"/>
        <w:jc w:val="both"/>
        <w:rPr>
          <w:rFonts w:eastAsia="Calibri"/>
          <w:sz w:val="22"/>
          <w:szCs w:val="22"/>
        </w:rPr>
      </w:pPr>
      <w:r w:rsidRPr="00797A5F">
        <w:rPr>
          <w:rFonts w:eastAsia="Calibri"/>
          <w:b/>
          <w:bCs/>
          <w:sz w:val="22"/>
          <w:szCs w:val="22"/>
        </w:rPr>
        <w:t>Office of the General Counsel</w:t>
      </w:r>
      <w:r w:rsidRPr="00797A5F">
        <w:rPr>
          <w:rFonts w:eastAsia="Calibri"/>
          <w:sz w:val="22"/>
          <w:szCs w:val="22"/>
        </w:rPr>
        <w:t xml:space="preserve"> </w:t>
      </w:r>
      <w:r w:rsidRPr="00797A5F" w:rsidR="000B086F">
        <w:rPr>
          <w:rFonts w:eastAsia="Calibri"/>
          <w:sz w:val="22"/>
          <w:szCs w:val="22"/>
        </w:rPr>
        <w:t xml:space="preserve">(OGC) </w:t>
      </w:r>
      <w:r w:rsidRPr="00797A5F">
        <w:rPr>
          <w:rFonts w:eastAsia="Calibri"/>
          <w:sz w:val="22"/>
          <w:szCs w:val="22"/>
        </w:rPr>
        <w:t>serves as the FCC’s chief legal advisor and representative.</w:t>
      </w:r>
    </w:p>
    <w:p w:rsidR="00B33609" w:rsidRPr="00797A5F" w:rsidP="00133D1A" w14:paraId="303B14B3" w14:textId="77777777">
      <w:pPr>
        <w:contextualSpacing/>
        <w:jc w:val="both"/>
        <w:rPr>
          <w:b/>
          <w:bCs/>
          <w:sz w:val="22"/>
          <w:szCs w:val="22"/>
        </w:rPr>
      </w:pPr>
    </w:p>
    <w:p w:rsidR="00B33609" w:rsidRPr="00797A5F" w:rsidP="00133D1A" w14:paraId="6595E746" w14:textId="7A93D57C">
      <w:pPr>
        <w:numPr>
          <w:ilvl w:val="0"/>
          <w:numId w:val="13"/>
        </w:numPr>
        <w:ind w:left="360"/>
        <w:jc w:val="both"/>
        <w:rPr>
          <w:rFonts w:eastAsia="Calibri"/>
          <w:sz w:val="22"/>
          <w:szCs w:val="22"/>
        </w:rPr>
      </w:pPr>
      <w:r w:rsidRPr="00797A5F">
        <w:rPr>
          <w:rFonts w:eastAsia="Calibri"/>
          <w:b/>
          <w:bCs/>
          <w:sz w:val="22"/>
          <w:szCs w:val="22"/>
        </w:rPr>
        <w:t>Office of the Inspector General</w:t>
      </w:r>
      <w:r w:rsidRPr="00797A5F">
        <w:rPr>
          <w:rFonts w:eastAsia="Calibri"/>
          <w:sz w:val="22"/>
          <w:szCs w:val="22"/>
        </w:rPr>
        <w:t xml:space="preserve"> </w:t>
      </w:r>
      <w:r w:rsidRPr="00797A5F" w:rsidR="000B086F">
        <w:rPr>
          <w:rFonts w:eastAsia="Calibri"/>
          <w:sz w:val="22"/>
          <w:szCs w:val="22"/>
        </w:rPr>
        <w:t xml:space="preserve">(OIG) </w:t>
      </w:r>
      <w:r w:rsidRPr="00797A5F">
        <w:rPr>
          <w:rFonts w:eastAsia="Calibri"/>
          <w:sz w:val="22"/>
          <w:szCs w:val="22"/>
        </w:rPr>
        <w:t>is a statutorily created independent entity whose mission is to detect and deter waste, fraud, abuse, and misconduct in FCC programs and personnel, and to promote economy and efficiency in those programs.</w:t>
      </w:r>
    </w:p>
    <w:p w:rsidR="00B33609" w:rsidRPr="00797A5F" w:rsidP="00133D1A" w14:paraId="42D656E0" w14:textId="77777777">
      <w:pPr>
        <w:jc w:val="both"/>
        <w:rPr>
          <w:rFonts w:eastAsia="Calibri"/>
          <w:sz w:val="22"/>
          <w:szCs w:val="22"/>
        </w:rPr>
      </w:pPr>
    </w:p>
    <w:p w:rsidR="00B33609" w:rsidRPr="00797A5F" w:rsidP="00133D1A" w14:paraId="33CF9F2D" w14:textId="0513036B">
      <w:pPr>
        <w:numPr>
          <w:ilvl w:val="0"/>
          <w:numId w:val="13"/>
        </w:numPr>
        <w:ind w:left="360"/>
        <w:jc w:val="both"/>
        <w:rPr>
          <w:rFonts w:eastAsia="Calibri"/>
          <w:sz w:val="22"/>
          <w:szCs w:val="22"/>
        </w:rPr>
      </w:pPr>
      <w:r w:rsidRPr="00797A5F">
        <w:rPr>
          <w:rFonts w:eastAsia="Calibri"/>
          <w:b/>
          <w:bCs/>
          <w:sz w:val="22"/>
          <w:szCs w:val="22"/>
        </w:rPr>
        <w:t>Office of International Affairs</w:t>
      </w:r>
      <w:r w:rsidRPr="00797A5F">
        <w:rPr>
          <w:rFonts w:eastAsia="Calibri"/>
          <w:sz w:val="22"/>
          <w:szCs w:val="22"/>
        </w:rPr>
        <w:t xml:space="preserve"> </w:t>
      </w:r>
      <w:r w:rsidRPr="00797A5F" w:rsidR="000B086F">
        <w:rPr>
          <w:rFonts w:eastAsia="Calibri"/>
          <w:sz w:val="22"/>
          <w:szCs w:val="22"/>
        </w:rPr>
        <w:t xml:space="preserve">(OIA) </w:t>
      </w:r>
      <w:r w:rsidRPr="00797A5F">
        <w:rPr>
          <w:rFonts w:eastAsia="Calibri"/>
          <w:sz w:val="22"/>
          <w:szCs w:val="22"/>
        </w:rPr>
        <w:t>is responsible for the Commission’s engagement of foreign and international regulatory authorities, including multilateral and regional organizations.</w:t>
      </w:r>
    </w:p>
    <w:p w:rsidR="00B33609" w:rsidRPr="00797A5F" w:rsidP="00133D1A" w14:paraId="3F1A45FB" w14:textId="77777777">
      <w:pPr>
        <w:contextualSpacing/>
        <w:jc w:val="both"/>
        <w:rPr>
          <w:sz w:val="22"/>
          <w:szCs w:val="22"/>
        </w:rPr>
      </w:pPr>
    </w:p>
    <w:p w:rsidR="00B33609" w:rsidRPr="00797A5F" w:rsidP="00133D1A" w14:paraId="6DFB96B5" w14:textId="0FACBE50">
      <w:pPr>
        <w:numPr>
          <w:ilvl w:val="0"/>
          <w:numId w:val="13"/>
        </w:numPr>
        <w:ind w:left="360"/>
        <w:jc w:val="both"/>
        <w:rPr>
          <w:rFonts w:eastAsia="Calibri"/>
          <w:sz w:val="22"/>
          <w:szCs w:val="22"/>
        </w:rPr>
      </w:pPr>
      <w:r w:rsidRPr="00797A5F">
        <w:rPr>
          <w:rFonts w:eastAsia="Calibri"/>
          <w:b/>
          <w:bCs/>
          <w:sz w:val="22"/>
          <w:szCs w:val="22"/>
        </w:rPr>
        <w:t>Office of Legislative Affairs</w:t>
      </w:r>
      <w:r w:rsidRPr="00797A5F">
        <w:rPr>
          <w:rFonts w:eastAsia="Calibri"/>
          <w:sz w:val="22"/>
          <w:szCs w:val="22"/>
        </w:rPr>
        <w:t xml:space="preserve"> </w:t>
      </w:r>
      <w:r w:rsidRPr="00797A5F" w:rsidR="000B086F">
        <w:rPr>
          <w:rFonts w:eastAsia="Calibri"/>
          <w:sz w:val="22"/>
          <w:szCs w:val="22"/>
        </w:rPr>
        <w:t xml:space="preserve">(OLA) </w:t>
      </w:r>
      <w:r w:rsidRPr="00797A5F">
        <w:rPr>
          <w:rFonts w:eastAsia="Calibri"/>
          <w:sz w:val="22"/>
          <w:szCs w:val="22"/>
        </w:rPr>
        <w:t>serves as the liaison between the FCC and Congress, as well as other Federal agencies.</w:t>
      </w:r>
    </w:p>
    <w:p w:rsidR="00B33609" w:rsidRPr="00797A5F" w:rsidP="00133D1A" w14:paraId="67D18680" w14:textId="77777777">
      <w:pPr>
        <w:contextualSpacing/>
        <w:jc w:val="both"/>
        <w:rPr>
          <w:b/>
          <w:bCs/>
          <w:sz w:val="22"/>
          <w:szCs w:val="22"/>
        </w:rPr>
      </w:pPr>
    </w:p>
    <w:p w:rsidR="00B33609" w:rsidRPr="00797A5F" w:rsidP="00133D1A" w14:paraId="6C21DA4D" w14:textId="5717ADA9">
      <w:pPr>
        <w:numPr>
          <w:ilvl w:val="0"/>
          <w:numId w:val="13"/>
        </w:numPr>
        <w:ind w:left="360"/>
        <w:jc w:val="both"/>
        <w:rPr>
          <w:rFonts w:eastAsia="Calibri"/>
          <w:sz w:val="22"/>
          <w:szCs w:val="22"/>
        </w:rPr>
      </w:pPr>
      <w:r w:rsidRPr="00797A5F">
        <w:rPr>
          <w:rFonts w:eastAsia="Calibri"/>
          <w:b/>
          <w:bCs/>
          <w:sz w:val="22"/>
          <w:szCs w:val="22"/>
        </w:rPr>
        <w:t>Office of the Managing Director</w:t>
      </w:r>
      <w:r w:rsidRPr="00797A5F">
        <w:rPr>
          <w:rFonts w:eastAsia="Calibri"/>
          <w:sz w:val="22"/>
          <w:szCs w:val="22"/>
        </w:rPr>
        <w:t xml:space="preserve"> </w:t>
      </w:r>
      <w:r w:rsidRPr="00797A5F" w:rsidR="000B086F">
        <w:rPr>
          <w:rFonts w:eastAsia="Calibri"/>
          <w:sz w:val="22"/>
          <w:szCs w:val="22"/>
        </w:rPr>
        <w:t xml:space="preserve">(OMD) </w:t>
      </w:r>
      <w:r w:rsidRPr="00797A5F">
        <w:rPr>
          <w:rFonts w:eastAsia="Calibri"/>
          <w:sz w:val="22"/>
          <w:szCs w:val="22"/>
        </w:rPr>
        <w:t>administers and manages the FCC.</w:t>
      </w:r>
    </w:p>
    <w:p w:rsidR="00B33609" w:rsidRPr="00797A5F" w:rsidP="00133D1A" w14:paraId="69C0BB33" w14:textId="77777777">
      <w:pPr>
        <w:contextualSpacing/>
        <w:jc w:val="both"/>
        <w:rPr>
          <w:b/>
          <w:bCs/>
          <w:sz w:val="22"/>
          <w:szCs w:val="22"/>
        </w:rPr>
      </w:pPr>
    </w:p>
    <w:p w:rsidR="00B33609" w:rsidRPr="00797A5F" w:rsidP="00133D1A" w14:paraId="21DA7DDA" w14:textId="37922DCC">
      <w:pPr>
        <w:numPr>
          <w:ilvl w:val="0"/>
          <w:numId w:val="13"/>
        </w:numPr>
        <w:ind w:left="360"/>
        <w:jc w:val="both"/>
        <w:rPr>
          <w:rFonts w:eastAsia="Calibri"/>
          <w:sz w:val="22"/>
          <w:szCs w:val="22"/>
        </w:rPr>
      </w:pPr>
      <w:r w:rsidRPr="00797A5F">
        <w:rPr>
          <w:rFonts w:eastAsia="Calibri"/>
          <w:b/>
          <w:bCs/>
          <w:sz w:val="22"/>
          <w:szCs w:val="22"/>
        </w:rPr>
        <w:t>Office of Media Relations</w:t>
      </w:r>
      <w:r w:rsidRPr="00797A5F">
        <w:rPr>
          <w:rFonts w:eastAsia="Calibri"/>
          <w:sz w:val="22"/>
          <w:szCs w:val="22"/>
        </w:rPr>
        <w:t xml:space="preserve"> </w:t>
      </w:r>
      <w:r w:rsidRPr="00797A5F" w:rsidR="000B086F">
        <w:rPr>
          <w:rFonts w:eastAsia="Calibri"/>
          <w:sz w:val="22"/>
          <w:szCs w:val="22"/>
        </w:rPr>
        <w:t xml:space="preserve">(OMR) </w:t>
      </w:r>
      <w:r w:rsidRPr="00797A5F">
        <w:rPr>
          <w:rFonts w:eastAsia="Calibri"/>
          <w:sz w:val="22"/>
          <w:szCs w:val="22"/>
        </w:rPr>
        <w:t>informs the media of FCC decisions and serves as the FCC’s main point of contact with the media.</w:t>
      </w:r>
    </w:p>
    <w:p w:rsidR="00B33609" w:rsidRPr="00797A5F" w:rsidP="00133D1A" w14:paraId="561AE45E" w14:textId="77777777">
      <w:pPr>
        <w:contextualSpacing/>
        <w:jc w:val="both"/>
        <w:rPr>
          <w:sz w:val="22"/>
          <w:szCs w:val="22"/>
        </w:rPr>
      </w:pPr>
    </w:p>
    <w:p w:rsidR="00B33609" w:rsidRPr="00797A5F" w:rsidP="00133D1A" w14:paraId="60B7D19F" w14:textId="36FDB8FE">
      <w:pPr>
        <w:pStyle w:val="ListParagraph"/>
        <w:numPr>
          <w:ilvl w:val="0"/>
          <w:numId w:val="18"/>
        </w:numPr>
        <w:autoSpaceDE w:val="0"/>
        <w:autoSpaceDN w:val="0"/>
        <w:adjustRightInd w:val="0"/>
        <w:ind w:left="360"/>
        <w:jc w:val="both"/>
        <w:rPr>
          <w:color w:val="000000"/>
          <w:sz w:val="22"/>
          <w:szCs w:val="22"/>
        </w:rPr>
      </w:pPr>
      <w:r w:rsidRPr="00797A5F">
        <w:rPr>
          <w:rFonts w:eastAsia="Calibri"/>
          <w:b/>
          <w:sz w:val="22"/>
          <w:szCs w:val="22"/>
        </w:rPr>
        <w:t>Office of Workplace Diversity</w:t>
      </w:r>
      <w:r w:rsidRPr="00797A5F">
        <w:rPr>
          <w:rFonts w:eastAsia="Calibri"/>
          <w:sz w:val="22"/>
          <w:szCs w:val="22"/>
        </w:rPr>
        <w:t xml:space="preserve"> </w:t>
      </w:r>
      <w:r w:rsidRPr="00797A5F" w:rsidR="000B086F">
        <w:rPr>
          <w:rFonts w:eastAsia="Calibri"/>
          <w:sz w:val="22"/>
          <w:szCs w:val="22"/>
        </w:rPr>
        <w:t xml:space="preserve">(OWD) </w:t>
      </w:r>
      <w:r w:rsidRPr="00797A5F">
        <w:rPr>
          <w:rFonts w:eastAsia="Calibri"/>
          <w:sz w:val="22"/>
          <w:szCs w:val="22"/>
        </w:rPr>
        <w:t>ensures that the FCC provides employment opportunities for all persons regardless of race, color, sex, national origin, religion, age, disability, or sexual preference.</w:t>
      </w:r>
    </w:p>
    <w:p w:rsidR="000B086F" w:rsidRPr="00797A5F" w:rsidP="00133D1A" w14:paraId="320BF8CC" w14:textId="0B6223FA">
      <w:pPr>
        <w:autoSpaceDE w:val="0"/>
        <w:autoSpaceDN w:val="0"/>
        <w:adjustRightInd w:val="0"/>
        <w:jc w:val="both"/>
        <w:rPr>
          <w:sz w:val="22"/>
          <w:szCs w:val="22"/>
        </w:rPr>
      </w:pPr>
      <w:r w:rsidRPr="00797A5F">
        <w:rPr>
          <w:color w:val="000000"/>
          <w:sz w:val="22"/>
          <w:szCs w:val="22"/>
        </w:rPr>
        <w:t>Additional information on specific Bureau and Office responsibilities can be found in Title 47 of the Code of Federal Regulations and on the Commission’s web site at</w:t>
      </w:r>
      <w:r w:rsidRPr="00797A5F">
        <w:rPr>
          <w:sz w:val="22"/>
          <w:szCs w:val="22"/>
        </w:rPr>
        <w:t>:</w:t>
      </w:r>
      <w:r w:rsidR="00797A5F">
        <w:rPr>
          <w:sz w:val="22"/>
          <w:szCs w:val="22"/>
        </w:rPr>
        <w:t xml:space="preserve"> </w:t>
      </w:r>
      <w:hyperlink r:id="rId26" w:history="1">
        <w:r w:rsidRPr="00E36167" w:rsidR="00797A5F">
          <w:rPr>
            <w:rStyle w:val="Hyperlink"/>
            <w:sz w:val="22"/>
            <w:szCs w:val="22"/>
          </w:rPr>
          <w:t>http://www.fcc.gov</w:t>
        </w:r>
      </w:hyperlink>
      <w:r w:rsidR="00797A5F">
        <w:rPr>
          <w:sz w:val="22"/>
          <w:szCs w:val="22"/>
        </w:rPr>
        <w:t>.</w:t>
      </w:r>
      <w:r w:rsidRPr="00797A5F">
        <w:rPr>
          <w:sz w:val="22"/>
          <w:szCs w:val="22"/>
        </w:rPr>
        <w:t xml:space="preserve">  </w:t>
      </w:r>
    </w:p>
    <w:p w:rsidR="000B086F" w:rsidP="000B086F" w14:paraId="125A355A" w14:textId="77777777">
      <w:pPr>
        <w:autoSpaceDE w:val="0"/>
        <w:autoSpaceDN w:val="0"/>
        <w:adjustRightInd w:val="0"/>
        <w:jc w:val="both"/>
        <w:rPr>
          <w:sz w:val="22"/>
          <w:szCs w:val="22"/>
        </w:rPr>
      </w:pPr>
    </w:p>
    <w:p w:rsidR="00E559C0" w:rsidP="000B086F" w14:paraId="1CA83364" w14:textId="10547005">
      <w:pPr>
        <w:pStyle w:val="Heading3"/>
        <w:spacing w:before="0" w:after="0"/>
        <w:rPr>
          <w:rFonts w:ascii="Times New Roman" w:hAnsi="Times New Roman" w:cs="Times New Roman"/>
          <w:sz w:val="24"/>
          <w:szCs w:val="24"/>
        </w:rPr>
      </w:pPr>
      <w:bookmarkStart w:id="12" w:name="_Toc216960420"/>
      <w:r w:rsidRPr="002D0DD3">
        <w:rPr>
          <w:rFonts w:ascii="Times New Roman" w:hAnsi="Times New Roman" w:cs="Times New Roman"/>
          <w:sz w:val="24"/>
          <w:szCs w:val="24"/>
        </w:rPr>
        <w:t>Organizational Chart</w:t>
      </w:r>
      <w:bookmarkEnd w:id="12"/>
    </w:p>
    <w:p w:rsidR="00E559C0" w:rsidP="00E559C0" w14:paraId="7BC84E7A" w14:textId="77777777">
      <w:pPr>
        <w:rPr>
          <w:noProof/>
        </w:rPr>
      </w:pPr>
    </w:p>
    <w:p w:rsidR="00E559C0" w:rsidP="00E559C0" w14:paraId="4E77A5A4" w14:textId="2DBC63A9">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586740</wp:posOffset>
                </wp:positionH>
                <wp:positionV relativeFrom="paragraph">
                  <wp:posOffset>937260</wp:posOffset>
                </wp:positionV>
                <wp:extent cx="676275" cy="190500"/>
                <wp:effectExtent l="0" t="0" r="9525" b="0"/>
                <wp:wrapNone/>
                <wp:docPr id="487130149"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676275" cy="190500"/>
                        </a:xfrm>
                        <a:prstGeom prst="rect">
                          <a:avLst/>
                        </a:prstGeom>
                        <a:solidFill>
                          <a:schemeClr val="lt1"/>
                        </a:solidFill>
                        <a:ln w="6350">
                          <a:noFill/>
                        </a:ln>
                      </wps:spPr>
                      <wps:txbx>
                        <w:txbxContent>
                          <w:p w:rsidR="0041563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4" o:spid="_x0000_s1025" type="#_x0000_t202" style="width:53.25pt;height:15pt;margin-top:73.8pt;margin-left:46.2pt;mso-wrap-distance-bottom:0;mso-wrap-distance-left:9pt;mso-wrap-distance-right:9pt;mso-wrap-distance-top:0;mso-wrap-style:square;position:absolute;visibility:visible;v-text-anchor:top;z-index:251661312" fillcolor="white" stroked="f" strokeweight="0.5pt">
                <v:textbox>
                  <w:txbxContent>
                    <w:p w:rsidR="0041563C" w14:paraId="5CD661EF" w14:textId="77777777"/>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4711065</wp:posOffset>
                </wp:positionH>
                <wp:positionV relativeFrom="paragraph">
                  <wp:posOffset>937260</wp:posOffset>
                </wp:positionV>
                <wp:extent cx="1066800" cy="304800"/>
                <wp:effectExtent l="0" t="0" r="0" b="0"/>
                <wp:wrapNone/>
                <wp:docPr id="282244946"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66800" cy="304800"/>
                        </a:xfrm>
                        <a:prstGeom prst="rect">
                          <a:avLst/>
                        </a:prstGeom>
                        <a:solidFill>
                          <a:schemeClr val="lt1"/>
                        </a:solidFill>
                        <a:ln w="6350">
                          <a:noFill/>
                        </a:ln>
                      </wps:spPr>
                      <wps:txbx>
                        <w:txbxContent>
                          <w:p w:rsidR="0041563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3" o:spid="_x0000_s1026" type="#_x0000_t202" style="width:84pt;height:24pt;margin-top:73.8pt;margin-left:370.95pt;mso-wrap-distance-bottom:0;mso-wrap-distance-left:9pt;mso-wrap-distance-right:9pt;mso-wrap-distance-top:0;mso-wrap-style:square;position:absolute;visibility:visible;v-text-anchor:top;z-index:251659264" fillcolor="white" stroked="f" strokeweight="0.5pt">
                <v:textbox>
                  <w:txbxContent>
                    <w:p w:rsidR="0041563C" w14:paraId="6BA8CC36" w14:textId="77777777"/>
                  </w:txbxContent>
                </v:textbox>
              </v:shape>
            </w:pict>
          </mc:Fallback>
        </mc:AlternateContent>
      </w:r>
      <w:r>
        <w:rPr>
          <w:noProof/>
        </w:rPr>
        <w:drawing>
          <wp:inline distT="0" distB="0" distL="0" distR="0">
            <wp:extent cx="5944235" cy="4407535"/>
            <wp:effectExtent l="0" t="0" r="0" b="0"/>
            <wp:docPr id="53034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9623"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4407535"/>
                    </a:xfrm>
                    <a:prstGeom prst="rect">
                      <a:avLst/>
                    </a:prstGeom>
                    <a:noFill/>
                  </pic:spPr>
                </pic:pic>
              </a:graphicData>
            </a:graphic>
          </wp:inline>
        </w:drawing>
      </w:r>
    </w:p>
    <w:p w:rsidR="00E559C0" w:rsidP="00E559C0" w14:paraId="5F1A6037" w14:textId="77777777"/>
    <w:p w:rsidR="00E559C0" w:rsidP="00E559C0" w14:paraId="11E9FD71" w14:textId="77777777"/>
    <w:p w:rsidR="00E559C0" w:rsidRPr="0048762A" w:rsidP="00E559C0" w14:paraId="58AC9B43" w14:textId="77777777"/>
    <w:p w:rsidR="00E559C0" w:rsidRPr="00B95994" w:rsidP="00E559C0" w14:paraId="70CD308E" w14:textId="77777777">
      <w:pPr>
        <w:autoSpaceDE w:val="0"/>
        <w:autoSpaceDN w:val="0"/>
        <w:adjustRightInd w:val="0"/>
        <w:rPr>
          <w:b/>
          <w:bCs/>
          <w:szCs w:val="24"/>
        </w:rPr>
        <w:sectPr w:rsidSect="00AC364F">
          <w:headerReference w:type="default" r:id="rId28"/>
          <w:footerReference w:type="default" r:id="rId29"/>
          <w:pgSz w:w="12240" w:h="15840" w:code="1"/>
          <w:pgMar w:top="1152" w:right="1296" w:bottom="1152" w:left="1296" w:header="720" w:footer="720" w:gutter="0"/>
          <w:cols w:space="720"/>
        </w:sectPr>
      </w:pPr>
    </w:p>
    <w:p w:rsidR="00E559C0" w:rsidRPr="00FA2145" w:rsidP="00E559C0" w14:paraId="0ACCA1EA" w14:textId="77777777">
      <w:pPr>
        <w:pStyle w:val="Heading3"/>
        <w:spacing w:before="0" w:after="0"/>
        <w:rPr>
          <w:rFonts w:ascii="Times New Roman" w:hAnsi="Times New Roman" w:cs="Times New Roman"/>
          <w:sz w:val="24"/>
          <w:szCs w:val="24"/>
        </w:rPr>
      </w:pPr>
      <w:bookmarkStart w:id="13" w:name="_Toc216960421"/>
      <w:r w:rsidRPr="002D0DD3">
        <w:rPr>
          <w:rFonts w:ascii="Times New Roman" w:hAnsi="Times New Roman" w:cs="Times New Roman"/>
          <w:sz w:val="24"/>
          <w:szCs w:val="24"/>
        </w:rPr>
        <w:t>Map of FCC Enforcement Bureau’s Field Offices</w:t>
      </w:r>
      <w:bookmarkEnd w:id="13"/>
    </w:p>
    <w:p w:rsidR="00E559C0" w:rsidRPr="00004559" w:rsidP="00E559C0" w14:paraId="676C37E4" w14:textId="77777777">
      <w:pPr>
        <w:autoSpaceDE w:val="0"/>
        <w:autoSpaceDN w:val="0"/>
        <w:adjustRightInd w:val="0"/>
        <w:jc w:val="both"/>
        <w:rPr>
          <w:bCs/>
          <w:sz w:val="22"/>
          <w:szCs w:val="18"/>
        </w:rPr>
      </w:pPr>
    </w:p>
    <w:p w:rsidR="00E559C0" w:rsidP="00E559C0" w14:paraId="3DA91446" w14:textId="77777777">
      <w:pPr>
        <w:autoSpaceDE w:val="0"/>
        <w:autoSpaceDN w:val="0"/>
        <w:adjustRightInd w:val="0"/>
        <w:rPr>
          <w:b/>
          <w:bCs/>
          <w:sz w:val="18"/>
          <w:szCs w:val="18"/>
        </w:rPr>
      </w:pPr>
      <w:r>
        <w:rPr>
          <w:b/>
          <w:bCs/>
          <w:noProof/>
          <w:sz w:val="18"/>
          <w:szCs w:val="18"/>
        </w:rPr>
        <w:drawing>
          <wp:inline distT="0" distB="0" distL="0" distR="0">
            <wp:extent cx="5871210" cy="4352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71210" cy="4352925"/>
                    </a:xfrm>
                    <a:prstGeom prst="rect">
                      <a:avLst/>
                    </a:prstGeom>
                    <a:noFill/>
                  </pic:spPr>
                </pic:pic>
              </a:graphicData>
            </a:graphic>
          </wp:inline>
        </w:drawing>
      </w:r>
    </w:p>
    <w:p w:rsidR="00E559C0" w:rsidRPr="00004559" w:rsidP="00E559C0" w14:paraId="1A7B913B" w14:textId="77777777">
      <w:pPr>
        <w:autoSpaceDE w:val="0"/>
        <w:autoSpaceDN w:val="0"/>
        <w:adjustRightInd w:val="0"/>
        <w:jc w:val="both"/>
        <w:rPr>
          <w:bCs/>
          <w:sz w:val="22"/>
          <w:szCs w:val="22"/>
        </w:rPr>
      </w:pPr>
    </w:p>
    <w:p w:rsidR="00E559C0" w:rsidP="00E559C0" w14:paraId="117F4912" w14:textId="18C05A2D">
      <w:pPr>
        <w:jc w:val="both"/>
        <w:rPr>
          <w:bCs/>
          <w:sz w:val="22"/>
          <w:szCs w:val="22"/>
        </w:rPr>
      </w:pPr>
      <w:r>
        <w:rPr>
          <w:sz w:val="22"/>
          <w:szCs w:val="22"/>
        </w:rPr>
        <w:t>Note:</w:t>
      </w:r>
      <w:r w:rsidR="008F50AF">
        <w:rPr>
          <w:sz w:val="22"/>
          <w:szCs w:val="22"/>
        </w:rPr>
        <w:t xml:space="preserve"> </w:t>
      </w:r>
      <w:r>
        <w:rPr>
          <w:sz w:val="22"/>
          <w:szCs w:val="22"/>
        </w:rPr>
        <w:t xml:space="preserve"> </w:t>
      </w:r>
      <w:r w:rsidRPr="0089240C">
        <w:rPr>
          <w:sz w:val="22"/>
          <w:szCs w:val="22"/>
        </w:rPr>
        <w:t>T</w:t>
      </w:r>
      <w:r w:rsidRPr="0089240C">
        <w:rPr>
          <w:bCs/>
          <w:sz w:val="22"/>
          <w:szCs w:val="22"/>
        </w:rPr>
        <w:t xml:space="preserve">he San Juan and Anchorage offices are not </w:t>
      </w:r>
      <w:r>
        <w:rPr>
          <w:bCs/>
          <w:sz w:val="22"/>
          <w:szCs w:val="22"/>
        </w:rPr>
        <w:t>staffed</w:t>
      </w:r>
      <w:r w:rsidRPr="0089240C">
        <w:rPr>
          <w:bCs/>
          <w:sz w:val="22"/>
          <w:szCs w:val="22"/>
        </w:rPr>
        <w:t xml:space="preserve"> by Full-Time Equivalents (FTEs) on a regular basis</w:t>
      </w:r>
      <w:r>
        <w:rPr>
          <w:bCs/>
          <w:sz w:val="22"/>
          <w:szCs w:val="22"/>
        </w:rPr>
        <w:t>.</w:t>
      </w:r>
    </w:p>
    <w:p w:rsidR="00E559C0" w:rsidP="00E559C0" w14:paraId="5B22F9B3" w14:textId="77777777">
      <w:pPr>
        <w:jc w:val="both"/>
        <w:rPr>
          <w:sz w:val="22"/>
          <w:szCs w:val="22"/>
        </w:rPr>
      </w:pPr>
    </w:p>
    <w:p w:rsidR="00E559C0" w:rsidRPr="00004559" w:rsidP="00E559C0" w14:paraId="67D230C6" w14:textId="77777777">
      <w:pPr>
        <w:jc w:val="both"/>
        <w:rPr>
          <w:sz w:val="22"/>
          <w:szCs w:val="22"/>
        </w:rPr>
      </w:pPr>
    </w:p>
    <w:p w:rsidR="00E559C0" w:rsidP="00E559C0" w14:paraId="05A61997" w14:textId="77777777">
      <w:pPr>
        <w:pStyle w:val="Heading3"/>
        <w:spacing w:before="0" w:after="0"/>
        <w:rPr>
          <w:rFonts w:ascii="Times New Roman" w:hAnsi="Times New Roman" w:cs="Times New Roman"/>
          <w:sz w:val="24"/>
          <w:szCs w:val="24"/>
          <w:highlight w:val="green"/>
        </w:rPr>
        <w:sectPr w:rsidSect="00C506F4">
          <w:headerReference w:type="even" r:id="rId31"/>
          <w:headerReference w:type="default" r:id="rId32"/>
          <w:footerReference w:type="even" r:id="rId33"/>
          <w:footerReference w:type="default" r:id="rId34"/>
          <w:headerReference w:type="first" r:id="rId35"/>
          <w:pgSz w:w="12240" w:h="15840" w:code="1"/>
          <w:pgMar w:top="1152" w:right="1440" w:bottom="1152" w:left="1440" w:header="720" w:footer="720" w:gutter="0"/>
          <w:cols w:space="720"/>
        </w:sectPr>
      </w:pPr>
      <w:bookmarkStart w:id="14" w:name="_Toc467000225"/>
      <w:bookmarkEnd w:id="5"/>
    </w:p>
    <w:p w:rsidR="000B086F" w:rsidRPr="008C10DD" w:rsidP="000B086F" w14:paraId="759DBA09" w14:textId="77777777">
      <w:pPr>
        <w:pStyle w:val="Heading3"/>
        <w:spacing w:before="0" w:after="0"/>
        <w:rPr>
          <w:rFonts w:ascii="Times New Roman" w:hAnsi="Times New Roman" w:cs="Times New Roman"/>
          <w:sz w:val="24"/>
          <w:szCs w:val="24"/>
        </w:rPr>
      </w:pPr>
      <w:bookmarkStart w:id="15" w:name="_Toc216960422"/>
      <w:bookmarkEnd w:id="14"/>
      <w:r w:rsidRPr="002D0DD3">
        <w:rPr>
          <w:rFonts w:ascii="Times New Roman" w:hAnsi="Times New Roman" w:cs="Times New Roman"/>
          <w:sz w:val="24"/>
          <w:szCs w:val="24"/>
        </w:rPr>
        <w:t>Strategic Goals and Objectives</w:t>
      </w:r>
      <w:bookmarkEnd w:id="15"/>
    </w:p>
    <w:p w:rsidR="000B086F" w:rsidP="000B086F" w14:paraId="3EF6DB4A" w14:textId="77777777">
      <w:pPr>
        <w:rPr>
          <w:sz w:val="22"/>
          <w:szCs w:val="22"/>
        </w:rPr>
      </w:pPr>
    </w:p>
    <w:p w:rsidR="000B086F" w:rsidP="000B086F" w14:paraId="1F476EA4" w14:textId="4327A43F">
      <w:pPr>
        <w:jc w:val="both"/>
        <w:rPr>
          <w:sz w:val="22"/>
          <w:szCs w:val="22"/>
        </w:rPr>
      </w:pPr>
      <w:r w:rsidRPr="0019544E">
        <w:rPr>
          <w:sz w:val="22"/>
          <w:szCs w:val="22"/>
        </w:rPr>
        <w:t>The FCC, in accordance with its statutory authority and in support of its mission, has established four strategic goals. They are:</w:t>
      </w:r>
    </w:p>
    <w:p w:rsidR="000B086F" w:rsidP="000B086F" w14:paraId="126C4B5E" w14:textId="77777777">
      <w:pPr>
        <w:jc w:val="both"/>
        <w:rPr>
          <w:sz w:val="22"/>
          <w:szCs w:val="22"/>
        </w:rPr>
      </w:pPr>
    </w:p>
    <w:p w:rsidR="000B086F" w:rsidRPr="00B27BF2" w:rsidP="000B086F" w14:paraId="5F941B0E" w14:textId="77777777">
      <w:pPr>
        <w:jc w:val="both"/>
        <w:rPr>
          <w:rStyle w:val="IntenseReference"/>
          <w:b w:val="0"/>
          <w:bCs w:val="0"/>
          <w:color w:val="002060"/>
          <w:szCs w:val="24"/>
        </w:rPr>
      </w:pPr>
      <w:r w:rsidRPr="0FD0A186">
        <w:rPr>
          <w:b/>
          <w:bCs/>
          <w:szCs w:val="24"/>
        </w:rPr>
        <w:t>Strategic Goal 1: Accelerate High-Speed Internet Builds</w:t>
      </w:r>
    </w:p>
    <w:p w:rsidR="000B086F" w:rsidP="000B086F" w14:paraId="4FDED3FB" w14:textId="77777777">
      <w:pPr>
        <w:pStyle w:val="Default"/>
        <w:jc w:val="both"/>
        <w:rPr>
          <w:rFonts w:ascii="Times New Roman" w:hAnsi="Times New Roman" w:cs="Times New Roman"/>
          <w:b/>
          <w:bCs/>
        </w:rPr>
      </w:pPr>
    </w:p>
    <w:p w:rsidR="000B086F" w:rsidRPr="00D439C2" w:rsidP="000B086F" w14:paraId="3277339A" w14:textId="77777777">
      <w:pPr>
        <w:jc w:val="both"/>
        <w:rPr>
          <w:sz w:val="22"/>
          <w:szCs w:val="22"/>
        </w:rPr>
      </w:pPr>
      <w:r w:rsidRPr="00D439C2">
        <w:rPr>
          <w:sz w:val="22"/>
          <w:szCs w:val="22"/>
        </w:rPr>
        <w:t xml:space="preserve">The FCC must promote a pro-growth agenda to unleash the U.S. economy and give all Americans a fair shot at next-generation connectivity. Maintaining and extending U.S. leadership in wireless communications is fundamental to that effort. Getting spectrum policies right translates directly into bringing Americans across the digital divide, creating jobs, and growing the U.S. economy. Through our spectrum auction authority, the FCC will enable greater and more intensive use of spectrum—particularly prime, mid-band spectrum—to harness the promise of new wireless technologies. The FCC must also cut red tape to help ensure that providers roll out upgraded, high-speed networks to more Americans on a faster timeline. The FCC must utilize the full complement of its capabilities, including restoring spectrum auction authority, to free up unused and underutilized spectrum to serve as a catalyst for innovation and growth. </w:t>
      </w:r>
    </w:p>
    <w:p w:rsidR="000B086F" w:rsidRPr="009078BB" w:rsidP="000B086F" w14:paraId="7A36AE18" w14:textId="77777777">
      <w:pPr>
        <w:pStyle w:val="Default"/>
        <w:jc w:val="both"/>
        <w:rPr>
          <w:rFonts w:ascii="Times New Roman" w:hAnsi="Times New Roman" w:cs="Times New Roman"/>
          <w:sz w:val="22"/>
          <w:szCs w:val="22"/>
          <w:highlight w:val="yellow"/>
        </w:rPr>
      </w:pPr>
    </w:p>
    <w:p w:rsidR="000B086F" w:rsidRPr="007D13FC" w:rsidP="000B086F" w14:paraId="1EC1BC1E" w14:textId="77777777">
      <w:pPr>
        <w:autoSpaceDE w:val="0"/>
        <w:autoSpaceDN w:val="0"/>
        <w:adjustRightInd w:val="0"/>
        <w:jc w:val="both"/>
        <w:rPr>
          <w:b/>
          <w:bCs/>
          <w:szCs w:val="24"/>
          <w:highlight w:val="yellow"/>
        </w:rPr>
      </w:pPr>
      <w:r w:rsidRPr="0FD0A186">
        <w:rPr>
          <w:b/>
          <w:bCs/>
          <w:szCs w:val="24"/>
        </w:rPr>
        <w:t>Strategic Goal 2: Promote National Security and Public Safety</w:t>
      </w:r>
    </w:p>
    <w:p w:rsidR="000B086F" w:rsidRPr="009078BB" w:rsidP="000B086F" w14:paraId="095A85DF" w14:textId="77777777">
      <w:pPr>
        <w:autoSpaceDE w:val="0"/>
        <w:autoSpaceDN w:val="0"/>
        <w:adjustRightInd w:val="0"/>
        <w:jc w:val="both"/>
        <w:rPr>
          <w:sz w:val="22"/>
          <w:szCs w:val="22"/>
          <w:highlight w:val="yellow"/>
        </w:rPr>
      </w:pPr>
    </w:p>
    <w:p w:rsidR="000B086F" w:rsidRPr="00D439C2" w:rsidP="000B086F" w14:paraId="70CE6D9D" w14:textId="77777777">
      <w:pPr>
        <w:jc w:val="both"/>
        <w:rPr>
          <w:rFonts w:eastAsia="Aptos"/>
          <w:sz w:val="22"/>
          <w:szCs w:val="22"/>
        </w:rPr>
      </w:pPr>
      <w:r w:rsidRPr="00D439C2">
        <w:rPr>
          <w:rFonts w:eastAsia="Aptos"/>
          <w:sz w:val="22"/>
          <w:szCs w:val="22"/>
        </w:rPr>
        <w:t xml:space="preserve">The U.S. continues to face persistent threats from foreign adversaries that explore ways to breach our networks, devices, and technology ecosystem. The FCC plays a vital role in safeguarding national security by protecting U.S. communications networks from equipment and services that pose national security risks, and by ensuring the resiliency of our critical communications networks. To safeguard and strengthen U.S. communications networks, the FCC must take concrete actions to address the human, technological, and natural threats and hazards jeopardizing the safety and prosperity of Americans and American companies.  The Commission must bring to bear the full range of its regulatory, investigatory, and enforcement authorities and capabilities to maintain awareness of and respond to threats and hazards, align America’s technological and national security priorities, and </w:t>
      </w:r>
      <w:r w:rsidRPr="00D439C2">
        <w:rPr>
          <w:sz w:val="22"/>
          <w:szCs w:val="22"/>
        </w:rPr>
        <w:t>do its part</w:t>
      </w:r>
      <w:r w:rsidRPr="00D439C2">
        <w:rPr>
          <w:rFonts w:eastAsia="Aptos"/>
          <w:sz w:val="22"/>
          <w:szCs w:val="22"/>
        </w:rPr>
        <w:t xml:space="preserve"> to </w:t>
      </w:r>
      <w:r w:rsidRPr="00D439C2">
        <w:rPr>
          <w:sz w:val="22"/>
          <w:szCs w:val="22"/>
        </w:rPr>
        <w:t>promote</w:t>
      </w:r>
      <w:r w:rsidRPr="00D439C2">
        <w:rPr>
          <w:rFonts w:eastAsia="Aptos"/>
          <w:sz w:val="22"/>
          <w:szCs w:val="22"/>
        </w:rPr>
        <w:t xml:space="preserve"> the security and stability of the Nation. Also, America’s leadership in wireless deployment and standard setting is critical to our geopolitical leadership and national security. It ensures next-generation wireless services develop in ways that will benefit our innovators and interests—rather than regimes that seek to diminish America’s standing in the world. </w:t>
      </w:r>
    </w:p>
    <w:p w:rsidR="000B086F" w:rsidRPr="00D439C2" w:rsidP="000B086F" w14:paraId="3A500351" w14:textId="77777777">
      <w:pPr>
        <w:rPr>
          <w:rFonts w:eastAsia="Aptos"/>
          <w:sz w:val="22"/>
          <w:szCs w:val="22"/>
        </w:rPr>
      </w:pPr>
    </w:p>
    <w:p w:rsidR="000B086F" w:rsidP="000B086F" w14:paraId="5B9EBF45" w14:textId="18CB1C90">
      <w:pPr>
        <w:autoSpaceDE w:val="0"/>
        <w:autoSpaceDN w:val="0"/>
        <w:adjustRightInd w:val="0"/>
        <w:jc w:val="both"/>
        <w:rPr>
          <w:sz w:val="22"/>
          <w:szCs w:val="22"/>
        </w:rPr>
      </w:pPr>
      <w:r w:rsidRPr="00D439C2">
        <w:rPr>
          <w:rFonts w:eastAsia="Aptos"/>
          <w:sz w:val="22"/>
          <w:szCs w:val="22"/>
        </w:rPr>
        <w:t xml:space="preserve">The Commission also has a responsibility to promote the public’s access to 911, public safety, ensuring the American people have the means to communicate during major events and disasters, and that first responders and emergency managers have access to reliable communications to facilitate emergency response.  </w:t>
      </w:r>
      <w:r w:rsidRPr="00D439C2">
        <w:rPr>
          <w:sz w:val="22"/>
          <w:szCs w:val="22"/>
        </w:rPr>
        <w:t xml:space="preserve">The FCC develops and implements policies to ensure that our Nation’s first responders and the American public have access to effective and reliable communications and by collaborating with Federal government partners responsible for protecting the Nation’s communications infrastructure.  The FCC supports public safety entities to protect the welfare of life and property and to safeguard the Nation’s security.  To that end, the FCC develops rules and policies to ensure that the public safety community in the U.S. uses the limited spectrum resource to serve the public with freedom from harmful interference, access to the latest technologies, and minimal regulatory constraints.  The FCC also engages Canada and Mexico to develop cross-border spectrum and frequency use agreements to promote efficient use of spectrum by U.S. public safety agencies and commercial operators offering services to public safety agencies and commercial operators offering services to public safety agencies in the border areas.  The FCC also works closely with other U.S. government agencies and its international counterparts to help build international coalitions regionally and globally to lead secure network initiatives, secure communications supply chain, and minimize security vulnerabilities of interconnected global communications infrastructures. </w:t>
      </w:r>
    </w:p>
    <w:p w:rsidR="000B086F" w:rsidP="000B086F" w14:paraId="2992B7A7" w14:textId="77777777">
      <w:pPr>
        <w:autoSpaceDE w:val="0"/>
        <w:autoSpaceDN w:val="0"/>
        <w:adjustRightInd w:val="0"/>
        <w:jc w:val="both"/>
        <w:rPr>
          <w:sz w:val="22"/>
          <w:szCs w:val="22"/>
          <w:highlight w:val="yellow"/>
        </w:rPr>
      </w:pPr>
    </w:p>
    <w:p w:rsidR="006D6525" w:rsidRPr="009078BB" w:rsidP="000B086F" w14:paraId="4EC481F4" w14:textId="77777777">
      <w:pPr>
        <w:autoSpaceDE w:val="0"/>
        <w:autoSpaceDN w:val="0"/>
        <w:adjustRightInd w:val="0"/>
        <w:jc w:val="both"/>
        <w:rPr>
          <w:sz w:val="22"/>
          <w:szCs w:val="22"/>
          <w:highlight w:val="yellow"/>
        </w:rPr>
      </w:pPr>
    </w:p>
    <w:p w:rsidR="000B086F" w:rsidRPr="001B1624" w:rsidP="000B086F" w14:paraId="741C8F1B" w14:textId="77777777">
      <w:pPr>
        <w:autoSpaceDE w:val="0"/>
        <w:autoSpaceDN w:val="0"/>
        <w:adjustRightInd w:val="0"/>
        <w:jc w:val="both"/>
        <w:rPr>
          <w:b/>
          <w:bCs/>
          <w:szCs w:val="24"/>
        </w:rPr>
      </w:pPr>
      <w:r w:rsidRPr="001B1624">
        <w:rPr>
          <w:b/>
          <w:bCs/>
          <w:szCs w:val="24"/>
        </w:rPr>
        <w:t xml:space="preserve">Strategic Goal </w:t>
      </w:r>
      <w:r>
        <w:rPr>
          <w:b/>
          <w:bCs/>
          <w:szCs w:val="24"/>
        </w:rPr>
        <w:t>3</w:t>
      </w:r>
      <w:r w:rsidRPr="001B1624">
        <w:rPr>
          <w:b/>
          <w:bCs/>
          <w:szCs w:val="24"/>
        </w:rPr>
        <w:t xml:space="preserve">: </w:t>
      </w:r>
      <w:r>
        <w:rPr>
          <w:b/>
          <w:bCs/>
          <w:szCs w:val="24"/>
        </w:rPr>
        <w:t>Protect Consumers and Promote Free Speech</w:t>
      </w:r>
    </w:p>
    <w:p w:rsidR="000B086F" w:rsidRPr="009078BB" w:rsidP="000B086F" w14:paraId="06AB053C" w14:textId="77777777">
      <w:pPr>
        <w:autoSpaceDE w:val="0"/>
        <w:autoSpaceDN w:val="0"/>
        <w:adjustRightInd w:val="0"/>
        <w:jc w:val="both"/>
        <w:rPr>
          <w:sz w:val="22"/>
          <w:szCs w:val="22"/>
          <w:highlight w:val="yellow"/>
        </w:rPr>
      </w:pPr>
    </w:p>
    <w:p w:rsidR="000B086F" w:rsidRPr="00D439C2" w:rsidP="000B086F" w14:paraId="69F47D2D" w14:textId="77777777">
      <w:pPr>
        <w:jc w:val="both"/>
        <w:rPr>
          <w:rFonts w:eastAsia="Aptos"/>
          <w:sz w:val="22"/>
          <w:szCs w:val="22"/>
        </w:rPr>
      </w:pPr>
      <w:r w:rsidRPr="00D439C2">
        <w:rPr>
          <w:rFonts w:eastAsia="Aptos"/>
          <w:sz w:val="22"/>
          <w:szCs w:val="22"/>
        </w:rPr>
        <w:t xml:space="preserve">Advancements in communications services and technologies have created new challenges for American consumers.  The FCC will continue to prioritize consumer protection and empower consumer choice in a rapidly changing communications landscape.  The FCC will pursue effective enforcement and new approaches to protect consumers from illegal calls, phone-based scams, and other marketplace trends that affect consumers.  The FCC will work to pursue policies that protect free speech and access to information, including efforts to foster media competition and ensuring access to local news sources.  The FCC must also continue to ensure the availability of quality, functionally equivalent communications services to persons with disabilities. </w:t>
      </w:r>
    </w:p>
    <w:p w:rsidR="000B086F" w:rsidRPr="009078BB" w:rsidP="000B086F" w14:paraId="50826345" w14:textId="77777777">
      <w:pPr>
        <w:autoSpaceDE w:val="0"/>
        <w:autoSpaceDN w:val="0"/>
        <w:adjustRightInd w:val="0"/>
        <w:jc w:val="both"/>
        <w:rPr>
          <w:sz w:val="22"/>
          <w:szCs w:val="22"/>
          <w:highlight w:val="yellow"/>
        </w:rPr>
      </w:pPr>
    </w:p>
    <w:p w:rsidR="000B086F" w:rsidRPr="001B1624" w:rsidP="000B086F" w14:paraId="3527292E" w14:textId="77777777">
      <w:pPr>
        <w:autoSpaceDE w:val="0"/>
        <w:autoSpaceDN w:val="0"/>
        <w:adjustRightInd w:val="0"/>
        <w:jc w:val="both"/>
        <w:rPr>
          <w:b/>
          <w:bCs/>
          <w:szCs w:val="24"/>
        </w:rPr>
      </w:pPr>
      <w:r w:rsidRPr="001B1624">
        <w:rPr>
          <w:b/>
          <w:bCs/>
          <w:szCs w:val="24"/>
        </w:rPr>
        <w:t xml:space="preserve">Strategic Goal </w:t>
      </w:r>
      <w:r>
        <w:rPr>
          <w:b/>
          <w:bCs/>
          <w:szCs w:val="24"/>
        </w:rPr>
        <w:t>4</w:t>
      </w:r>
      <w:r w:rsidRPr="001B1624">
        <w:rPr>
          <w:b/>
          <w:bCs/>
          <w:szCs w:val="24"/>
        </w:rPr>
        <w:t xml:space="preserve">: </w:t>
      </w:r>
      <w:r>
        <w:rPr>
          <w:b/>
          <w:bCs/>
          <w:szCs w:val="24"/>
        </w:rPr>
        <w:t>Enhance Efficiency, Accountability, and Reduce Waste</w:t>
      </w:r>
    </w:p>
    <w:p w:rsidR="000B086F" w:rsidRPr="009078BB" w:rsidP="000B086F" w14:paraId="3A639EC1" w14:textId="77777777">
      <w:pPr>
        <w:jc w:val="both"/>
        <w:rPr>
          <w:rFonts w:eastAsia="Aptos"/>
          <w:b/>
          <w:bCs/>
          <w:sz w:val="22"/>
          <w:szCs w:val="22"/>
        </w:rPr>
      </w:pPr>
    </w:p>
    <w:p w:rsidR="000B086F" w:rsidRPr="00D439C2" w:rsidP="000B086F" w14:paraId="1ACE322D" w14:textId="77777777">
      <w:pPr>
        <w:keepNext/>
        <w:keepLines/>
        <w:rPr>
          <w:rFonts w:eastAsia="Aptos"/>
          <w:sz w:val="22"/>
          <w:szCs w:val="22"/>
        </w:rPr>
      </w:pPr>
      <w:r w:rsidRPr="00D439C2">
        <w:rPr>
          <w:rFonts w:eastAsia="Aptos"/>
          <w:sz w:val="22"/>
          <w:szCs w:val="22"/>
        </w:rPr>
        <w:t xml:space="preserve">The FCC will unleash prosperity through deregulation and ensure that they are efficiently delivering great results for the American people.  The FCC will manage and direct the organization’s resources </w:t>
      </w:r>
      <w:bookmarkStart w:id="16" w:name="_Hlk199329551"/>
      <w:r w:rsidRPr="00D439C2">
        <w:rPr>
          <w:rFonts w:eastAsia="Aptos"/>
          <w:sz w:val="22"/>
          <w:szCs w:val="22"/>
        </w:rPr>
        <w:t>consistent with Administration policies and the authorities provided by Congress</w:t>
      </w:r>
      <w:bookmarkEnd w:id="16"/>
      <w:r w:rsidRPr="00D439C2">
        <w:rPr>
          <w:rFonts w:eastAsia="Aptos"/>
          <w:sz w:val="22"/>
          <w:szCs w:val="22"/>
        </w:rPr>
        <w:t>.</w:t>
      </w:r>
    </w:p>
    <w:p w:rsidR="00771385" w:rsidRPr="009078BB" w:rsidP="00E559C0" w14:paraId="4EEE30DB" w14:textId="77777777">
      <w:pPr>
        <w:rPr>
          <w:sz w:val="22"/>
          <w:szCs w:val="22"/>
        </w:rPr>
      </w:pPr>
    </w:p>
    <w:p w:rsidR="00E559C0" w:rsidRPr="00FA2145" w:rsidP="00E559C0" w14:paraId="6157F92A" w14:textId="77777777">
      <w:pPr>
        <w:pStyle w:val="Heading3"/>
        <w:spacing w:before="0" w:after="0"/>
        <w:rPr>
          <w:rFonts w:ascii="Times New Roman" w:hAnsi="Times New Roman" w:cs="Times New Roman"/>
          <w:sz w:val="24"/>
          <w:szCs w:val="24"/>
        </w:rPr>
      </w:pPr>
      <w:bookmarkStart w:id="17" w:name="_Toc216960423"/>
      <w:r w:rsidRPr="002B5536">
        <w:rPr>
          <w:rFonts w:ascii="Times New Roman" w:hAnsi="Times New Roman" w:cs="Times New Roman"/>
          <w:sz w:val="24"/>
          <w:szCs w:val="24"/>
        </w:rPr>
        <w:t>Strategies &amp; Resources to Achieve Goals</w:t>
      </w:r>
      <w:bookmarkEnd w:id="17"/>
      <w:r w:rsidRPr="00FA2145">
        <w:rPr>
          <w:rFonts w:ascii="Times New Roman" w:hAnsi="Times New Roman" w:cs="Times New Roman"/>
          <w:sz w:val="24"/>
          <w:szCs w:val="24"/>
        </w:rPr>
        <w:t xml:space="preserve">  </w:t>
      </w:r>
    </w:p>
    <w:p w:rsidR="00E559C0" w:rsidRPr="00030564" w:rsidP="00E559C0" w14:paraId="06FEAF28" w14:textId="77777777">
      <w:pPr>
        <w:rPr>
          <w:b/>
          <w:sz w:val="22"/>
          <w:szCs w:val="24"/>
        </w:rPr>
      </w:pPr>
    </w:p>
    <w:p w:rsidR="00032F38" w:rsidRPr="00797A5F" w:rsidP="00032F38" w14:paraId="34E711F3" w14:textId="77777777">
      <w:pPr>
        <w:jc w:val="both"/>
        <w:rPr>
          <w:sz w:val="22"/>
          <w:szCs w:val="22"/>
        </w:rPr>
      </w:pPr>
      <w:r w:rsidRPr="00797A5F">
        <w:rPr>
          <w:sz w:val="22"/>
          <w:szCs w:val="22"/>
        </w:rPr>
        <w:t xml:space="preserve">The Commission has identified strategies and resources to achieve its performance goals for each strategic goal.  Details on the Commission’s strategies and resources for achieving its strategic goals are included in the Commission’s strategic plan at: </w:t>
      </w:r>
      <w:hyperlink r:id="rId22" w:history="1">
        <w:r w:rsidRPr="00797A5F">
          <w:rPr>
            <w:rStyle w:val="Hyperlink"/>
            <w:sz w:val="22"/>
            <w:szCs w:val="22"/>
          </w:rPr>
          <w:t>https://www.fcc.gov/about/strategic-plans-budget</w:t>
        </w:r>
      </w:hyperlink>
      <w:r w:rsidRPr="00797A5F">
        <w:rPr>
          <w:sz w:val="22"/>
          <w:szCs w:val="22"/>
        </w:rPr>
        <w:t>.</w:t>
      </w:r>
    </w:p>
    <w:p w:rsidR="00AE721F" w:rsidRPr="008E7ABD" w:rsidP="00E559C0" w14:paraId="2AB92195" w14:textId="77777777">
      <w:pPr>
        <w:jc w:val="both"/>
        <w:rPr>
          <w:sz w:val="22"/>
          <w:szCs w:val="22"/>
        </w:rPr>
      </w:pPr>
    </w:p>
    <w:p w:rsidR="00E559C0" w:rsidRPr="00D023C4" w:rsidP="00E559C0" w14:paraId="3462528A" w14:textId="77777777">
      <w:pPr>
        <w:pStyle w:val="Heading3"/>
        <w:spacing w:before="0" w:after="0"/>
        <w:rPr>
          <w:rFonts w:ascii="Times New Roman" w:hAnsi="Times New Roman" w:cs="Times New Roman"/>
          <w:sz w:val="24"/>
          <w:szCs w:val="24"/>
        </w:rPr>
      </w:pPr>
      <w:bookmarkStart w:id="18" w:name="_Toc216960424"/>
      <w:r w:rsidRPr="002B5536">
        <w:rPr>
          <w:rFonts w:ascii="Times New Roman" w:hAnsi="Times New Roman" w:cs="Times New Roman"/>
          <w:sz w:val="24"/>
          <w:szCs w:val="24"/>
        </w:rPr>
        <w:t>Components of the Commission for Financial Statements Purposes</w:t>
      </w:r>
      <w:bookmarkEnd w:id="18"/>
    </w:p>
    <w:p w:rsidR="00E559C0" w:rsidP="00E559C0" w14:paraId="3B053EA4" w14:textId="77777777">
      <w:pPr>
        <w:rPr>
          <w:sz w:val="22"/>
          <w:szCs w:val="22"/>
        </w:rPr>
      </w:pPr>
    </w:p>
    <w:p w:rsidR="00943B37" w:rsidRPr="00797A5F" w:rsidP="00943B37" w14:paraId="5FA35664" w14:textId="77777777">
      <w:pPr>
        <w:autoSpaceDE w:val="0"/>
        <w:autoSpaceDN w:val="0"/>
        <w:adjustRightInd w:val="0"/>
        <w:jc w:val="both"/>
        <w:rPr>
          <w:sz w:val="22"/>
          <w:szCs w:val="22"/>
        </w:rPr>
      </w:pPr>
      <w:r w:rsidRPr="00797A5F">
        <w:rPr>
          <w:sz w:val="22"/>
          <w:szCs w:val="22"/>
        </w:rPr>
        <w:t xml:space="preserve">In addition to the activities directly undertaken by the above bureaus and offices, the Commission’s components for financial statement purposes include: </w:t>
      </w:r>
    </w:p>
    <w:p w:rsidR="00943B37" w:rsidRPr="00797A5F" w:rsidP="00943B37" w14:paraId="18361F2F" w14:textId="77777777">
      <w:pPr>
        <w:autoSpaceDE w:val="0"/>
        <w:autoSpaceDN w:val="0"/>
        <w:adjustRightInd w:val="0"/>
        <w:jc w:val="both"/>
        <w:rPr>
          <w:i/>
          <w:iCs/>
          <w:sz w:val="22"/>
          <w:szCs w:val="22"/>
        </w:rPr>
      </w:pPr>
    </w:p>
    <w:p w:rsidR="00943B37" w:rsidRPr="00797A5F" w:rsidP="00943B37" w14:paraId="6F571448" w14:textId="77777777">
      <w:pPr>
        <w:autoSpaceDE w:val="0"/>
        <w:autoSpaceDN w:val="0"/>
        <w:adjustRightInd w:val="0"/>
        <w:jc w:val="both"/>
        <w:rPr>
          <w:sz w:val="22"/>
          <w:szCs w:val="22"/>
        </w:rPr>
      </w:pPr>
      <w:r w:rsidRPr="00797A5F">
        <w:rPr>
          <w:i/>
          <w:iCs/>
          <w:sz w:val="22"/>
          <w:szCs w:val="22"/>
          <w:u w:val="single"/>
        </w:rPr>
        <w:t>Universal Service Fund (USF)</w:t>
      </w:r>
      <w:r w:rsidRPr="00797A5F">
        <w:rPr>
          <w:i/>
          <w:iCs/>
          <w:sz w:val="22"/>
          <w:szCs w:val="22"/>
        </w:rPr>
        <w:t xml:space="preserve"> </w:t>
      </w:r>
      <w:r w:rsidRPr="00797A5F">
        <w:rPr>
          <w:sz w:val="22"/>
          <w:szCs w:val="22"/>
        </w:rPr>
        <w:t>– The Telecommunications Act of 1996 amended the Communications Act of 1934 (Act) to codify and modify the Commission’s longstanding policy of promoting universal telecommunications service throughout the nation.</w:t>
      </w:r>
      <w:r>
        <w:rPr>
          <w:rStyle w:val="FootnoteReference"/>
          <w:sz w:val="22"/>
          <w:szCs w:val="22"/>
        </w:rPr>
        <w:footnoteReference w:id="3"/>
      </w:r>
      <w:r w:rsidRPr="00797A5F">
        <w:rPr>
          <w:sz w:val="22"/>
          <w:szCs w:val="22"/>
        </w:rPr>
        <w:t xml:space="preserve"> Pursuant to section 254(d) of the Act, the Commission established rules and regulations governing how certain telecommunications service providers contribute to the USF and how those monies are disbursed.</w:t>
      </w:r>
      <w:r>
        <w:rPr>
          <w:rStyle w:val="FootnoteReference"/>
          <w:sz w:val="22"/>
          <w:szCs w:val="22"/>
        </w:rPr>
        <w:footnoteReference w:id="4"/>
      </w:r>
      <w:r w:rsidRPr="00797A5F">
        <w:rPr>
          <w:sz w:val="22"/>
          <w:szCs w:val="22"/>
        </w:rPr>
        <w:t xml:space="preserve"> The four USF programs include: the High Cost Program (also known as the Connect America Fund), the Lifeline Program, the Rural Health Care Program, and the Schools and Libraries Program (also known as E-Rate). </w:t>
      </w:r>
    </w:p>
    <w:p w:rsidR="00943B37" w:rsidRPr="00797A5F" w:rsidP="00943B37" w14:paraId="7AB1EF8F" w14:textId="77777777">
      <w:pPr>
        <w:autoSpaceDE w:val="0"/>
        <w:autoSpaceDN w:val="0"/>
        <w:adjustRightInd w:val="0"/>
        <w:jc w:val="both"/>
        <w:rPr>
          <w:sz w:val="22"/>
          <w:szCs w:val="22"/>
        </w:rPr>
      </w:pPr>
    </w:p>
    <w:p w:rsidR="00943B37" w:rsidRPr="00797A5F" w:rsidP="00943B37" w14:paraId="17404640" w14:textId="77777777">
      <w:pPr>
        <w:autoSpaceDE w:val="0"/>
        <w:autoSpaceDN w:val="0"/>
        <w:adjustRightInd w:val="0"/>
        <w:jc w:val="both"/>
        <w:rPr>
          <w:sz w:val="22"/>
          <w:szCs w:val="22"/>
        </w:rPr>
      </w:pPr>
      <w:r w:rsidRPr="00797A5F">
        <w:rPr>
          <w:sz w:val="22"/>
          <w:szCs w:val="22"/>
        </w:rPr>
        <w:t xml:space="preserve">The Universal Service Administrative Company (USAC) administers the four USF programs and the Connected Care Pilot Program (CCPP) under the Commission’s direction. These four programs and the CCPP are funded through mandatory contributions from U.S. telecommunications service providers, including local and long-distance phone companies, wireless and paging companies, payphone providers, and providers of interconnected Voice over Internet Protocol (VoIP) services. The High Cost Program provides funding to eligible service providers to help defray the cost of serving customers in high cost and rural areas. The Lifeline Program provides monthly discounts to help make communications services more affordable for low-income consumers. The Rural Health Care Program provides support for both telecommunications and advanced telecommunications and information services for eligible health care providers. The E-Rate Program provides discounts for telecommunications, Internet access, and internal connections to eligible schools and libraries. Lastly, the CCPP provides support to help defray health care providers’ costs of providing connected care services, particularly to low-income Americans and veterans. In FY 2025, the USF accounted for approximately $8,573 million in new available funds on the </w:t>
      </w:r>
      <w:r w:rsidRPr="00797A5F">
        <w:rPr>
          <w:sz w:val="22"/>
          <w:szCs w:val="22"/>
        </w:rPr>
        <w:t xml:space="preserve">Commission’s Combined Statement of Budgetary Resources. Additional information on USAC and the USF can be found at </w:t>
      </w:r>
      <w:hyperlink r:id="rId36" w:history="1">
        <w:r w:rsidRPr="00797A5F">
          <w:rPr>
            <w:rStyle w:val="Hyperlink"/>
            <w:sz w:val="22"/>
            <w:szCs w:val="22"/>
          </w:rPr>
          <w:t>http://www.usac.org</w:t>
        </w:r>
      </w:hyperlink>
      <w:r w:rsidRPr="00797A5F">
        <w:rPr>
          <w:sz w:val="22"/>
          <w:szCs w:val="22"/>
        </w:rPr>
        <w:t xml:space="preserve"> and </w:t>
      </w:r>
      <w:hyperlink r:id="rId37" w:history="1">
        <w:r w:rsidRPr="00797A5F">
          <w:rPr>
            <w:rStyle w:val="Hyperlink"/>
            <w:sz w:val="22"/>
            <w:szCs w:val="22"/>
          </w:rPr>
          <w:t>https://www.fcc.gov/general/universal-service</w:t>
        </w:r>
      </w:hyperlink>
      <w:r w:rsidRPr="00797A5F">
        <w:rPr>
          <w:sz w:val="22"/>
          <w:szCs w:val="22"/>
        </w:rPr>
        <w:t xml:space="preserve">. </w:t>
      </w:r>
    </w:p>
    <w:p w:rsidR="00943B37" w:rsidRPr="00797A5F" w:rsidP="00943B37" w14:paraId="17D3BE20" w14:textId="77777777">
      <w:pPr>
        <w:autoSpaceDE w:val="0"/>
        <w:autoSpaceDN w:val="0"/>
        <w:adjustRightInd w:val="0"/>
        <w:jc w:val="both"/>
        <w:rPr>
          <w:i/>
          <w:iCs/>
          <w:sz w:val="22"/>
          <w:szCs w:val="22"/>
        </w:rPr>
      </w:pPr>
    </w:p>
    <w:p w:rsidR="00943B37" w:rsidRPr="00797A5F" w:rsidP="00943B37" w14:paraId="31317FEF" w14:textId="77777777">
      <w:pPr>
        <w:autoSpaceDE w:val="0"/>
        <w:autoSpaceDN w:val="0"/>
        <w:adjustRightInd w:val="0"/>
        <w:jc w:val="both"/>
        <w:rPr>
          <w:sz w:val="22"/>
          <w:szCs w:val="22"/>
        </w:rPr>
      </w:pPr>
      <w:r w:rsidRPr="00797A5F">
        <w:rPr>
          <w:i/>
          <w:iCs/>
          <w:sz w:val="22"/>
          <w:szCs w:val="22"/>
          <w:u w:val="single"/>
        </w:rPr>
        <w:t>Telecommunication Relay Service (TRS) Fund</w:t>
      </w:r>
      <w:r w:rsidRPr="00797A5F">
        <w:rPr>
          <w:i/>
          <w:iCs/>
          <w:sz w:val="22"/>
          <w:szCs w:val="22"/>
        </w:rPr>
        <w:t xml:space="preserve"> </w:t>
      </w:r>
      <w:r w:rsidRPr="00797A5F">
        <w:rPr>
          <w:sz w:val="22"/>
          <w:szCs w:val="22"/>
        </w:rPr>
        <w:t>– The TRS Fund represents a program established under section 225 of the Act.</w:t>
      </w:r>
      <w:r>
        <w:rPr>
          <w:rStyle w:val="FootnoteReference"/>
          <w:sz w:val="22"/>
          <w:szCs w:val="22"/>
        </w:rPr>
        <w:footnoteReference w:id="5"/>
      </w:r>
      <w:r w:rsidRPr="00797A5F">
        <w:rPr>
          <w:sz w:val="22"/>
          <w:szCs w:val="22"/>
        </w:rPr>
        <w:t xml:space="preserve">  This statute provides for a mechanism to support relay services necessary for telecommunications access by speech or hearing-impaired populations. Rolka Loube, LLC (RL) is the administrator for the TRS Fund. The TRS Fund compensates TRS providers for the reasonable costs of providing interstate telephone transmission services that enable a person with a hearing or speech disability to communicate with a person without hearing or speech disabilities. The costs of providing interstate TRS are recovered from subscribers of interstate telecommunications services. In FY 2025, the TRS Fund accounted for approximately $1,500 million in new available funds on the Commission’s Combined Statement of Budgetary Resources. Additional information on RL and the TRS Fund can be found at </w:t>
      </w:r>
      <w:hyperlink r:id="rId38" w:history="1">
        <w:r w:rsidRPr="00797A5F">
          <w:rPr>
            <w:rStyle w:val="Hyperlink"/>
            <w:sz w:val="22"/>
            <w:szCs w:val="22"/>
          </w:rPr>
          <w:t>http://www.rolkaloube.com/</w:t>
        </w:r>
      </w:hyperlink>
      <w:r w:rsidRPr="00797A5F">
        <w:rPr>
          <w:sz w:val="22"/>
          <w:szCs w:val="22"/>
        </w:rPr>
        <w:t xml:space="preserve"> and </w:t>
      </w:r>
      <w:hyperlink r:id="rId39" w:history="1">
        <w:r w:rsidRPr="00797A5F">
          <w:rPr>
            <w:rStyle w:val="Hyperlink"/>
            <w:sz w:val="22"/>
            <w:szCs w:val="22"/>
          </w:rPr>
          <w:t>https://www.fcc.gov/general/telecommunications-relay-services-trs</w:t>
        </w:r>
      </w:hyperlink>
      <w:r w:rsidRPr="00797A5F">
        <w:rPr>
          <w:sz w:val="22"/>
          <w:szCs w:val="22"/>
        </w:rPr>
        <w:t xml:space="preserve">. </w:t>
      </w:r>
    </w:p>
    <w:p w:rsidR="00943B37" w:rsidRPr="00797A5F" w:rsidP="00943B37" w14:paraId="5305B10A" w14:textId="77777777">
      <w:pPr>
        <w:autoSpaceDE w:val="0"/>
        <w:autoSpaceDN w:val="0"/>
        <w:adjustRightInd w:val="0"/>
        <w:jc w:val="both"/>
        <w:rPr>
          <w:sz w:val="22"/>
          <w:szCs w:val="22"/>
        </w:rPr>
      </w:pPr>
    </w:p>
    <w:p w:rsidR="00943B37" w:rsidRPr="00797A5F" w:rsidP="00943B37" w14:paraId="1C65B5D6" w14:textId="77777777">
      <w:pPr>
        <w:autoSpaceDE w:val="0"/>
        <w:autoSpaceDN w:val="0"/>
        <w:adjustRightInd w:val="0"/>
        <w:jc w:val="both"/>
        <w:rPr>
          <w:sz w:val="22"/>
          <w:szCs w:val="22"/>
        </w:rPr>
      </w:pPr>
      <w:r w:rsidRPr="00797A5F">
        <w:rPr>
          <w:sz w:val="22"/>
          <w:szCs w:val="22"/>
        </w:rPr>
        <w:t xml:space="preserve">For further clarification on the financial relationships between the Commission and these components, see Note 1 of the financial statements in Section 2. Also, see the chart below which shows the relative size of the component funds in comparison to the major sources of funds for the Commission. </w:t>
      </w:r>
    </w:p>
    <w:p w:rsidR="00943B37" w:rsidRPr="00797A5F" w:rsidP="00943B37" w14:paraId="04FD871F" w14:textId="77777777">
      <w:pPr>
        <w:autoSpaceDE w:val="0"/>
        <w:autoSpaceDN w:val="0"/>
        <w:adjustRightInd w:val="0"/>
        <w:jc w:val="both"/>
        <w:rPr>
          <w:i/>
          <w:iCs/>
          <w:sz w:val="22"/>
          <w:szCs w:val="22"/>
        </w:rPr>
      </w:pPr>
    </w:p>
    <w:p w:rsidR="00943B37" w:rsidRPr="00797A5F" w:rsidP="00943B37" w14:paraId="0D356278" w14:textId="77777777">
      <w:pPr>
        <w:autoSpaceDE w:val="0"/>
        <w:autoSpaceDN w:val="0"/>
        <w:adjustRightInd w:val="0"/>
        <w:jc w:val="both"/>
        <w:rPr>
          <w:sz w:val="22"/>
          <w:szCs w:val="22"/>
        </w:rPr>
      </w:pPr>
      <w:r w:rsidRPr="00797A5F">
        <w:rPr>
          <w:i/>
          <w:iCs/>
          <w:sz w:val="22"/>
          <w:szCs w:val="22"/>
          <w:u w:val="single"/>
        </w:rPr>
        <w:t>FCC Appropriations</w:t>
      </w:r>
      <w:r w:rsidRPr="00797A5F">
        <w:rPr>
          <w:i/>
          <w:iCs/>
          <w:sz w:val="22"/>
          <w:szCs w:val="22"/>
        </w:rPr>
        <w:t xml:space="preserve"> </w:t>
      </w:r>
      <w:r w:rsidRPr="00797A5F">
        <w:rPr>
          <w:sz w:val="22"/>
          <w:szCs w:val="22"/>
        </w:rPr>
        <w:t xml:space="preserve">– Pursuant to sections 9 and 9A of the Act and the Appropriations Act, the Commission is required by Congress to assess regulatory fees every fiscal year in an amount that can reasonably be expected to equal the amount of its annual appropriation. The Commission’s appropriations of approximately $390 million reflects the amount of regulatory fees the Commission is required to collect for FY 2025. </w:t>
      </w:r>
    </w:p>
    <w:p w:rsidR="00943B37" w:rsidRPr="00797A5F" w:rsidP="00943B37" w14:paraId="540F3D88" w14:textId="77777777">
      <w:pPr>
        <w:autoSpaceDE w:val="0"/>
        <w:autoSpaceDN w:val="0"/>
        <w:adjustRightInd w:val="0"/>
        <w:jc w:val="both"/>
        <w:rPr>
          <w:i/>
          <w:iCs/>
          <w:sz w:val="22"/>
          <w:szCs w:val="22"/>
        </w:rPr>
      </w:pPr>
    </w:p>
    <w:p w:rsidR="00943B37" w:rsidRPr="00797A5F" w:rsidP="00943B37" w14:paraId="67B85D20" w14:textId="77777777">
      <w:pPr>
        <w:autoSpaceDE w:val="0"/>
        <w:autoSpaceDN w:val="0"/>
        <w:adjustRightInd w:val="0"/>
        <w:jc w:val="both"/>
        <w:rPr>
          <w:i/>
          <w:iCs/>
          <w:sz w:val="22"/>
          <w:szCs w:val="22"/>
        </w:rPr>
      </w:pPr>
      <w:r w:rsidRPr="00797A5F">
        <w:rPr>
          <w:i/>
          <w:iCs/>
          <w:sz w:val="22"/>
          <w:szCs w:val="22"/>
          <w:u w:val="single"/>
        </w:rPr>
        <w:t>Secure and Trusted Communications Networks Reimbursement or the Supply Chain Reimbursement Program (SCRP)</w:t>
      </w:r>
      <w:r w:rsidRPr="00797A5F">
        <w:rPr>
          <w:i/>
          <w:iCs/>
          <w:sz w:val="22"/>
          <w:szCs w:val="22"/>
        </w:rPr>
        <w:t xml:space="preserve"> </w:t>
      </w:r>
      <w:r w:rsidRPr="00797A5F">
        <w:rPr>
          <w:sz w:val="22"/>
          <w:szCs w:val="22"/>
        </w:rPr>
        <w:t>– Pursuant to the Servicemember Quality of Life Improvement and National Defense Authorization Act (NDAA) of Fiscal Year 2025 (Public Law No. 118-159), the Commission is authorized to borrow from the Treasury of the United States up to an additional $3,080 million to carry out the SCRP.  The Commission borrowed the full amount authorized under the statute.</w:t>
      </w:r>
    </w:p>
    <w:p w:rsidR="00943B37" w:rsidRPr="00797A5F" w:rsidP="00943B37" w14:paraId="26D982D9" w14:textId="77777777">
      <w:pPr>
        <w:autoSpaceDE w:val="0"/>
        <w:autoSpaceDN w:val="0"/>
        <w:adjustRightInd w:val="0"/>
        <w:jc w:val="both"/>
        <w:rPr>
          <w:i/>
          <w:iCs/>
          <w:sz w:val="22"/>
          <w:szCs w:val="22"/>
        </w:rPr>
      </w:pPr>
    </w:p>
    <w:p w:rsidR="00943B37" w:rsidRPr="00797A5F" w:rsidP="00943B37" w14:paraId="017D79BB" w14:textId="77777777">
      <w:pPr>
        <w:autoSpaceDE w:val="0"/>
        <w:autoSpaceDN w:val="0"/>
        <w:adjustRightInd w:val="0"/>
        <w:jc w:val="both"/>
        <w:rPr>
          <w:sz w:val="22"/>
          <w:szCs w:val="22"/>
        </w:rPr>
      </w:pPr>
      <w:r w:rsidRPr="00797A5F">
        <w:rPr>
          <w:i/>
          <w:iCs/>
          <w:sz w:val="22"/>
          <w:szCs w:val="22"/>
          <w:u w:val="single"/>
        </w:rPr>
        <w:t>Spectrum Auctions Program</w:t>
      </w:r>
      <w:r w:rsidRPr="00797A5F">
        <w:rPr>
          <w:i/>
          <w:iCs/>
          <w:sz w:val="22"/>
          <w:szCs w:val="22"/>
        </w:rPr>
        <w:t xml:space="preserve"> </w:t>
      </w:r>
      <w:r w:rsidRPr="00797A5F">
        <w:rPr>
          <w:sz w:val="22"/>
          <w:szCs w:val="22"/>
        </w:rPr>
        <w:t>– Pursuant to 47 U.S.C. § 309, the Commission may retain a portion of the spectrum auction proceeds to offset the cost of performing the auction function. The Spectrum Auctions Program spending cap of $136 million for FY 2025 is collections from auction revenues used to offset the cost of performing auctions-related activities.</w:t>
      </w:r>
    </w:p>
    <w:p w:rsidR="00943B37" w:rsidRPr="00F6775A" w:rsidP="00943B37" w14:paraId="45B3A591" w14:textId="77777777">
      <w:pPr>
        <w:autoSpaceDE w:val="0"/>
        <w:autoSpaceDN w:val="0"/>
        <w:adjustRightInd w:val="0"/>
        <w:jc w:val="both"/>
        <w:rPr>
          <w:sz w:val="22"/>
          <w:szCs w:val="22"/>
        </w:rPr>
      </w:pPr>
    </w:p>
    <w:p w:rsidR="00943B37" w:rsidRPr="00F6775A" w:rsidP="00943B37" w14:paraId="17E39315" w14:textId="77777777">
      <w:pPr>
        <w:autoSpaceDE w:val="0"/>
        <w:autoSpaceDN w:val="0"/>
        <w:adjustRightInd w:val="0"/>
        <w:rPr>
          <w:sz w:val="22"/>
          <w:szCs w:val="22"/>
        </w:rPr>
      </w:pPr>
      <w:r>
        <w:rPr>
          <w:noProof/>
        </w:rPr>
        <w:drawing>
          <wp:inline distT="0" distB="0" distL="0" distR="0">
            <wp:extent cx="5943600" cy="4594225"/>
            <wp:effectExtent l="0" t="0" r="0" b="15875"/>
            <wp:docPr id="982768455" name="Chart 1">
              <a:extLst xmlns:a="http://schemas.openxmlformats.org/drawingml/2006/main">
                <a:ext xmlns:a="http://schemas.openxmlformats.org/drawingml/2006/main" uri="{FF2B5EF4-FFF2-40B4-BE49-F238E27FC236}">
                  <a16:creationId xmlns:a16="http://schemas.microsoft.com/office/drawing/2014/main" id="{72E0C75F-21E6-42D3-A46F-37E308B91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43B37" w:rsidP="00943B37" w14:paraId="108E3EAF" w14:textId="77777777">
      <w:pPr>
        <w:autoSpaceDE w:val="0"/>
        <w:autoSpaceDN w:val="0"/>
        <w:adjustRightInd w:val="0"/>
        <w:jc w:val="both"/>
        <w:rPr>
          <w:rFonts w:eastAsiaTheme="minorHAnsi"/>
          <w:color w:val="000000"/>
          <w:sz w:val="22"/>
          <w:szCs w:val="22"/>
        </w:rPr>
      </w:pPr>
    </w:p>
    <w:p w:rsidR="00943B37" w:rsidRPr="00AE3C46" w:rsidP="00943B37" w14:paraId="26A0A047" w14:textId="77777777">
      <w:pPr>
        <w:autoSpaceDE w:val="0"/>
        <w:autoSpaceDN w:val="0"/>
        <w:adjustRightInd w:val="0"/>
        <w:jc w:val="both"/>
        <w:rPr>
          <w:rFonts w:eastAsiaTheme="minorHAnsi"/>
          <w:color w:val="000000"/>
          <w:sz w:val="22"/>
          <w:szCs w:val="22"/>
        </w:rPr>
      </w:pPr>
      <w:r w:rsidRPr="00AE3C46">
        <w:rPr>
          <w:rFonts w:eastAsiaTheme="minorHAnsi"/>
          <w:color w:val="000000"/>
          <w:sz w:val="22"/>
          <w:szCs w:val="22"/>
        </w:rPr>
        <w:t>As of September 30, 202</w:t>
      </w:r>
      <w:r>
        <w:rPr>
          <w:rFonts w:eastAsiaTheme="minorHAnsi"/>
          <w:color w:val="000000"/>
          <w:sz w:val="22"/>
          <w:szCs w:val="22"/>
        </w:rPr>
        <w:t>5</w:t>
      </w:r>
      <w:r w:rsidRPr="00AE3C46">
        <w:rPr>
          <w:rFonts w:eastAsiaTheme="minorHAnsi"/>
          <w:color w:val="000000"/>
          <w:sz w:val="22"/>
          <w:szCs w:val="22"/>
        </w:rPr>
        <w:t xml:space="preserve">, </w:t>
      </w:r>
      <w:r>
        <w:rPr>
          <w:rFonts w:eastAsiaTheme="minorHAnsi"/>
          <w:color w:val="000000"/>
          <w:sz w:val="22"/>
          <w:szCs w:val="22"/>
        </w:rPr>
        <w:t>the Commission</w:t>
      </w:r>
      <w:r w:rsidRPr="00AE3C46">
        <w:rPr>
          <w:rFonts w:eastAsiaTheme="minorHAnsi"/>
          <w:color w:val="000000"/>
          <w:sz w:val="22"/>
          <w:szCs w:val="22"/>
        </w:rPr>
        <w:t xml:space="preserve"> has the following disclosure entities</w:t>
      </w:r>
      <w:r>
        <w:rPr>
          <w:rFonts w:eastAsiaTheme="minorHAnsi"/>
          <w:color w:val="000000"/>
          <w:sz w:val="22"/>
          <w:szCs w:val="22"/>
        </w:rPr>
        <w:t xml:space="preserve"> which do not substantially meet the requirements of consolidated entities. </w:t>
      </w:r>
    </w:p>
    <w:p w:rsidR="00943B37" w:rsidRPr="00AE3C46" w:rsidP="00943B37" w14:paraId="7B3185BA" w14:textId="77777777">
      <w:pPr>
        <w:autoSpaceDE w:val="0"/>
        <w:autoSpaceDN w:val="0"/>
        <w:adjustRightInd w:val="0"/>
        <w:jc w:val="both"/>
        <w:rPr>
          <w:rFonts w:eastAsiaTheme="minorHAnsi"/>
          <w:color w:val="000000"/>
          <w:sz w:val="22"/>
          <w:szCs w:val="22"/>
        </w:rPr>
      </w:pPr>
    </w:p>
    <w:p w:rsidR="00943B37" w:rsidRPr="00AE3C46" w:rsidP="00943B37" w14:paraId="35E42AC8" w14:textId="77777777">
      <w:pPr>
        <w:pStyle w:val="ListParagraph"/>
        <w:numPr>
          <w:ilvl w:val="0"/>
          <w:numId w:val="15"/>
        </w:numPr>
        <w:autoSpaceDE w:val="0"/>
        <w:autoSpaceDN w:val="0"/>
        <w:adjustRightInd w:val="0"/>
        <w:jc w:val="both"/>
        <w:rPr>
          <w:rFonts w:eastAsiaTheme="minorHAnsi"/>
          <w:color w:val="000000"/>
          <w:sz w:val="22"/>
          <w:szCs w:val="22"/>
        </w:rPr>
      </w:pPr>
      <w:r w:rsidRPr="00AE3C46">
        <w:rPr>
          <w:rFonts w:eastAsiaTheme="minorHAnsi"/>
          <w:color w:val="000000"/>
          <w:sz w:val="22"/>
          <w:szCs w:val="22"/>
        </w:rPr>
        <w:t>Universal Service Administrative Company (USAC)</w:t>
      </w:r>
    </w:p>
    <w:p w:rsidR="00943B37" w:rsidP="00943B37" w14:paraId="0D49F807" w14:textId="77777777">
      <w:pPr>
        <w:pStyle w:val="ListParagraph"/>
        <w:numPr>
          <w:ilvl w:val="0"/>
          <w:numId w:val="15"/>
        </w:numPr>
        <w:autoSpaceDE w:val="0"/>
        <w:autoSpaceDN w:val="0"/>
        <w:adjustRightInd w:val="0"/>
        <w:jc w:val="both"/>
        <w:rPr>
          <w:rFonts w:eastAsiaTheme="minorHAnsi"/>
          <w:color w:val="000000"/>
          <w:sz w:val="22"/>
          <w:szCs w:val="22"/>
        </w:rPr>
      </w:pPr>
      <w:r w:rsidRPr="00AE3C46">
        <w:rPr>
          <w:rFonts w:eastAsiaTheme="minorHAnsi"/>
          <w:color w:val="000000"/>
          <w:sz w:val="22"/>
          <w:szCs w:val="22"/>
        </w:rPr>
        <w:t>National Exchange Carrier Association, Inc. (NECA)</w:t>
      </w:r>
    </w:p>
    <w:p w:rsidR="00730BE9" w:rsidRPr="00AE3C46" w:rsidP="00943B37" w14:paraId="4702483F" w14:textId="69BCCEF3">
      <w:pPr>
        <w:pStyle w:val="ListParagraph"/>
        <w:numPr>
          <w:ilvl w:val="0"/>
          <w:numId w:val="15"/>
        </w:numPr>
        <w:autoSpaceDE w:val="0"/>
        <w:autoSpaceDN w:val="0"/>
        <w:adjustRightInd w:val="0"/>
        <w:jc w:val="both"/>
        <w:rPr>
          <w:rFonts w:eastAsiaTheme="minorHAnsi"/>
          <w:color w:val="000000"/>
          <w:sz w:val="22"/>
          <w:szCs w:val="22"/>
        </w:rPr>
      </w:pPr>
      <w:r w:rsidRPr="00AE3C46">
        <w:rPr>
          <w:rFonts w:eastAsiaTheme="minorHAnsi"/>
          <w:color w:val="000000"/>
          <w:sz w:val="22"/>
          <w:szCs w:val="22"/>
        </w:rPr>
        <w:t>Local Number Portability Administrator (LNPA) Program</w:t>
      </w:r>
      <w:r>
        <w:rPr>
          <w:rFonts w:eastAsiaTheme="minorHAnsi"/>
          <w:color w:val="000000"/>
          <w:sz w:val="22"/>
          <w:szCs w:val="22"/>
        </w:rPr>
        <w:t xml:space="preserve">  </w:t>
      </w:r>
      <w:r>
        <w:rPr>
          <w:rFonts w:eastAsiaTheme="minorHAnsi"/>
          <w:color w:val="000000"/>
          <w:sz w:val="22"/>
          <w:szCs w:val="22"/>
        </w:rPr>
        <w:t xml:space="preserve">    </w:t>
      </w:r>
    </w:p>
    <w:p w:rsidR="00594BA6" w:rsidRPr="00AE3C46" w:rsidP="00730BE9" w14:paraId="30303B28" w14:textId="10B0D783">
      <w:pPr>
        <w:pStyle w:val="ListParagraph"/>
        <w:autoSpaceDE w:val="0"/>
        <w:autoSpaceDN w:val="0"/>
        <w:adjustRightInd w:val="0"/>
        <w:jc w:val="both"/>
        <w:rPr>
          <w:rFonts w:eastAsiaTheme="minorHAnsi"/>
          <w:color w:val="000000"/>
          <w:sz w:val="22"/>
          <w:szCs w:val="22"/>
        </w:rPr>
      </w:pPr>
      <w:r>
        <w:rPr>
          <w:rFonts w:eastAsiaTheme="minorHAnsi"/>
          <w:color w:val="000000"/>
          <w:sz w:val="22"/>
          <w:szCs w:val="22"/>
        </w:rPr>
        <w:t xml:space="preserve">  </w:t>
      </w:r>
      <w:r>
        <w:rPr>
          <w:rFonts w:eastAsiaTheme="minorHAnsi"/>
          <w:color w:val="000000"/>
          <w:sz w:val="22"/>
          <w:szCs w:val="22"/>
        </w:rPr>
        <w:t xml:space="preserve"> </w:t>
      </w:r>
    </w:p>
    <w:p w:rsidR="00E559C0" w:rsidRPr="00FA2145" w:rsidP="00E559C0" w14:paraId="46AABEE3" w14:textId="77777777">
      <w:pPr>
        <w:pStyle w:val="Heading3"/>
        <w:spacing w:before="0" w:after="0"/>
        <w:rPr>
          <w:rFonts w:ascii="Times New Roman" w:hAnsi="Times New Roman" w:cs="Times New Roman"/>
          <w:sz w:val="24"/>
          <w:szCs w:val="24"/>
        </w:rPr>
      </w:pPr>
      <w:bookmarkStart w:id="19" w:name="_Toc216960425"/>
      <w:bookmarkStart w:id="20" w:name="_Hlk115681138"/>
      <w:r w:rsidRPr="002D0DD3">
        <w:rPr>
          <w:rFonts w:ascii="Times New Roman" w:hAnsi="Times New Roman" w:cs="Times New Roman"/>
          <w:sz w:val="24"/>
          <w:szCs w:val="24"/>
        </w:rPr>
        <w:t>Payment Integrity</w:t>
      </w:r>
      <w:bookmarkEnd w:id="19"/>
      <w:r>
        <w:rPr>
          <w:rFonts w:ascii="Times New Roman" w:hAnsi="Times New Roman" w:cs="Times New Roman"/>
          <w:sz w:val="24"/>
          <w:szCs w:val="24"/>
        </w:rPr>
        <w:t xml:space="preserve">  </w:t>
      </w:r>
    </w:p>
    <w:p w:rsidR="00E559C0" w:rsidP="00E559C0" w14:paraId="1F69D59F" w14:textId="77777777">
      <w:pPr>
        <w:autoSpaceDE w:val="0"/>
        <w:autoSpaceDN w:val="0"/>
        <w:adjustRightInd w:val="0"/>
        <w:jc w:val="both"/>
        <w:rPr>
          <w:sz w:val="22"/>
          <w:szCs w:val="22"/>
        </w:rPr>
      </w:pPr>
    </w:p>
    <w:p w:rsidR="00E559C0" w:rsidRPr="00797A5F" w:rsidP="00E559C0" w14:paraId="3A34EF5B" w14:textId="5AD957D8">
      <w:pPr>
        <w:autoSpaceDE w:val="0"/>
        <w:autoSpaceDN w:val="0"/>
        <w:adjustRightInd w:val="0"/>
        <w:jc w:val="both"/>
        <w:rPr>
          <w:sz w:val="22"/>
          <w:szCs w:val="22"/>
        </w:rPr>
      </w:pPr>
      <w:r w:rsidRPr="00797A5F">
        <w:rPr>
          <w:sz w:val="22"/>
          <w:szCs w:val="22"/>
        </w:rPr>
        <w:t>In accordance with the Improper Payments Information Act (IPIA) of 2002, as amended by the Improper Payments Elimination and Recovery Act (IPERA) of 2010, Improper Payments Elimination and Recovery Improvement Act (IPERIA) of 2012, and Payment Integrity Information Act (PIIA) of 2019, the Commission has made significant efforts to implement policies and procedures to strengthen internal controls that prevent improper payments</w:t>
      </w:r>
      <w:r w:rsidRPr="00797A5F" w:rsidR="00613ABD">
        <w:rPr>
          <w:sz w:val="22"/>
          <w:szCs w:val="22"/>
        </w:rPr>
        <w:t xml:space="preserve">.  </w:t>
      </w:r>
      <w:r w:rsidRPr="00797A5F">
        <w:rPr>
          <w:sz w:val="22"/>
          <w:szCs w:val="22"/>
        </w:rPr>
        <w:t xml:space="preserve">In addition, the Commission oversees a payment recapture program that includes both audits and transaction testing to search for and recapture overpayments.  Section 3 of the AFR provides further details on these efforts.  Additional information reported by the Commission on Payment Integrity can also be found on </w:t>
      </w:r>
      <w:hyperlink r:id="rId41" w:history="1">
        <w:r w:rsidRPr="00797A5F">
          <w:rPr>
            <w:rStyle w:val="Hyperlink"/>
            <w:sz w:val="22"/>
            <w:szCs w:val="22"/>
          </w:rPr>
          <w:t>https://paymentaccuracy.gov/</w:t>
        </w:r>
      </w:hyperlink>
      <w:r w:rsidRPr="00797A5F">
        <w:rPr>
          <w:sz w:val="22"/>
          <w:szCs w:val="22"/>
        </w:rPr>
        <w:t>.</w:t>
      </w:r>
    </w:p>
    <w:bookmarkEnd w:id="20"/>
    <w:p w:rsidR="00E559C0" w:rsidP="00E559C0" w14:paraId="4E3E300E" w14:textId="77777777">
      <w:pPr>
        <w:pStyle w:val="Heading2"/>
        <w:jc w:val="left"/>
        <w:rPr>
          <w:rFonts w:ascii="Times New Roman" w:hAnsi="Times New Roman" w:cs="Times New Roman"/>
          <w:sz w:val="28"/>
          <w:szCs w:val="28"/>
        </w:rPr>
        <w:sectPr w:rsidSect="00C506F4">
          <w:pgSz w:w="12240" w:h="15840" w:code="1"/>
          <w:pgMar w:top="1152" w:right="1440" w:bottom="1152" w:left="1440" w:header="720" w:footer="720" w:gutter="0"/>
          <w:cols w:space="720"/>
        </w:sectPr>
      </w:pPr>
    </w:p>
    <w:p w:rsidR="00E559C0" w:rsidRPr="00FC7DFF" w:rsidP="00E559C0" w14:paraId="42C65FA1" w14:textId="77777777">
      <w:pPr>
        <w:pStyle w:val="Heading2"/>
        <w:jc w:val="left"/>
        <w:rPr>
          <w:rFonts w:ascii="Times New Roman" w:hAnsi="Times New Roman" w:cs="Times New Roman"/>
          <w:sz w:val="28"/>
          <w:szCs w:val="28"/>
        </w:rPr>
      </w:pPr>
      <w:bookmarkStart w:id="21" w:name="_Toc216960426"/>
      <w:r w:rsidRPr="000B086F">
        <w:rPr>
          <w:rFonts w:ascii="Times New Roman" w:hAnsi="Times New Roman" w:cs="Times New Roman"/>
          <w:sz w:val="28"/>
          <w:szCs w:val="28"/>
        </w:rPr>
        <w:t>Performance Highlights</w:t>
      </w:r>
      <w:bookmarkEnd w:id="21"/>
    </w:p>
    <w:p w:rsidR="00E559C0" w:rsidP="00E559C0" w14:paraId="4F4F7576" w14:textId="77777777">
      <w:pPr>
        <w:jc w:val="both"/>
        <w:rPr>
          <w:sz w:val="22"/>
          <w:szCs w:val="22"/>
        </w:rPr>
      </w:pPr>
    </w:p>
    <w:p w:rsidR="000B086F" w:rsidRPr="000B086F" w:rsidP="00133D1A" w14:paraId="21675587" w14:textId="77777777">
      <w:pPr>
        <w:jc w:val="both"/>
        <w:rPr>
          <w:rStyle w:val="IntenseReference"/>
          <w:b w:val="0"/>
          <w:bCs w:val="0"/>
          <w:color w:val="002060"/>
          <w:szCs w:val="24"/>
          <w:u w:val="single"/>
        </w:rPr>
      </w:pPr>
      <w:r w:rsidRPr="000B086F">
        <w:rPr>
          <w:b/>
          <w:bCs/>
          <w:szCs w:val="24"/>
          <w:u w:val="single"/>
        </w:rPr>
        <w:t>Strategic Goal 1: Accelerate High-Speed Internet Builds</w:t>
      </w:r>
    </w:p>
    <w:p w:rsidR="000B086F" w:rsidP="00133D1A" w14:paraId="1448ECBE" w14:textId="77777777">
      <w:pPr>
        <w:jc w:val="both"/>
        <w:rPr>
          <w:sz w:val="22"/>
          <w:szCs w:val="22"/>
        </w:rPr>
      </w:pPr>
    </w:p>
    <w:p w:rsidR="000B086F" w:rsidP="00133D1A" w14:paraId="4CAF008D" w14:textId="77777777">
      <w:pPr>
        <w:jc w:val="both"/>
        <w:rPr>
          <w:sz w:val="22"/>
          <w:szCs w:val="22"/>
        </w:rPr>
      </w:pPr>
      <w:r>
        <w:rPr>
          <w:b/>
          <w:bCs/>
          <w:sz w:val="22"/>
          <w:szCs w:val="22"/>
        </w:rPr>
        <w:t>S</w:t>
      </w:r>
      <w:r w:rsidRPr="00FE63F7">
        <w:rPr>
          <w:b/>
          <w:bCs/>
          <w:sz w:val="22"/>
          <w:szCs w:val="22"/>
        </w:rPr>
        <w:t>treamline</w:t>
      </w:r>
      <w:r>
        <w:rPr>
          <w:b/>
          <w:bCs/>
          <w:sz w:val="22"/>
          <w:szCs w:val="22"/>
        </w:rPr>
        <w:t>d</w:t>
      </w:r>
      <w:r w:rsidRPr="00FE63F7">
        <w:rPr>
          <w:b/>
          <w:bCs/>
          <w:sz w:val="22"/>
          <w:szCs w:val="22"/>
        </w:rPr>
        <w:t xml:space="preserve"> procedures for replacing legacy copper phone services with modern networks</w:t>
      </w:r>
      <w:r>
        <w:rPr>
          <w:sz w:val="22"/>
          <w:szCs w:val="22"/>
        </w:rPr>
        <w:t>. Made it easier for providers to invest in new, high-speed networks by allowing them to use streamlined procedures when they apply to discontinue old copper telephone lines.</w:t>
      </w:r>
    </w:p>
    <w:p w:rsidR="000B086F" w:rsidP="00133D1A" w14:paraId="70B4FEA8" w14:textId="77777777">
      <w:pPr>
        <w:jc w:val="both"/>
        <w:rPr>
          <w:sz w:val="22"/>
          <w:szCs w:val="22"/>
        </w:rPr>
      </w:pPr>
    </w:p>
    <w:p w:rsidR="002D5236" w:rsidP="002D5236" w14:paraId="7234C7B8" w14:textId="507B6DB8">
      <w:pPr>
        <w:jc w:val="both"/>
        <w:rPr>
          <w:sz w:val="22"/>
          <w:szCs w:val="22"/>
        </w:rPr>
      </w:pPr>
      <w:r w:rsidRPr="009324BA">
        <w:rPr>
          <w:b/>
          <w:bCs/>
          <w:sz w:val="22"/>
          <w:szCs w:val="22"/>
        </w:rPr>
        <w:t>Grant</w:t>
      </w:r>
      <w:r>
        <w:rPr>
          <w:b/>
          <w:bCs/>
          <w:sz w:val="22"/>
          <w:szCs w:val="22"/>
        </w:rPr>
        <w:t>ed</w:t>
      </w:r>
      <w:r w:rsidRPr="009324BA">
        <w:rPr>
          <w:b/>
          <w:bCs/>
          <w:sz w:val="22"/>
          <w:szCs w:val="22"/>
        </w:rPr>
        <w:t xml:space="preserve"> Carriers Authority to Grandfather Legacy Services and Waiving the Filing Requirement</w:t>
      </w:r>
      <w:r>
        <w:rPr>
          <w:sz w:val="22"/>
          <w:szCs w:val="22"/>
        </w:rPr>
        <w:t>. Waived</w:t>
      </w:r>
      <w:r w:rsidRPr="009324BA">
        <w:rPr>
          <w:sz w:val="22"/>
          <w:szCs w:val="22"/>
        </w:rPr>
        <w:t xml:space="preserve"> unnecessary requirements that kicked in when a provider stopped offering legacy service to new customers</w:t>
      </w:r>
      <w:r>
        <w:rPr>
          <w:sz w:val="22"/>
          <w:szCs w:val="22"/>
        </w:rPr>
        <w:t>.</w:t>
      </w:r>
    </w:p>
    <w:p w:rsidR="002D5236" w:rsidP="002D5236" w14:paraId="07654C8B" w14:textId="77777777">
      <w:pPr>
        <w:jc w:val="both"/>
        <w:rPr>
          <w:sz w:val="22"/>
          <w:szCs w:val="22"/>
        </w:rPr>
      </w:pPr>
    </w:p>
    <w:p w:rsidR="000B086F" w:rsidP="00133D1A" w14:paraId="6A9A6046" w14:textId="77777777">
      <w:pPr>
        <w:jc w:val="both"/>
        <w:rPr>
          <w:sz w:val="22"/>
          <w:szCs w:val="22"/>
        </w:rPr>
      </w:pPr>
      <w:r>
        <w:rPr>
          <w:b/>
          <w:bCs/>
          <w:sz w:val="22"/>
          <w:szCs w:val="22"/>
        </w:rPr>
        <w:t>W</w:t>
      </w:r>
      <w:r w:rsidRPr="004D283B">
        <w:rPr>
          <w:b/>
          <w:bCs/>
          <w:sz w:val="22"/>
          <w:szCs w:val="22"/>
        </w:rPr>
        <w:t>aive</w:t>
      </w:r>
      <w:r>
        <w:rPr>
          <w:b/>
          <w:bCs/>
          <w:sz w:val="22"/>
          <w:szCs w:val="22"/>
        </w:rPr>
        <w:t>d</w:t>
      </w:r>
      <w:r w:rsidRPr="004D283B">
        <w:rPr>
          <w:b/>
          <w:bCs/>
          <w:sz w:val="22"/>
          <w:szCs w:val="22"/>
        </w:rPr>
        <w:t xml:space="preserve"> FCC filing requirements for certain network filing requirements</w:t>
      </w:r>
      <w:r>
        <w:rPr>
          <w:sz w:val="22"/>
          <w:szCs w:val="22"/>
        </w:rPr>
        <w:t>. Waived costly and excessive notice requirements in cases where they provide no demonstrable benefit, such as network change disclosure filings.</w:t>
      </w:r>
    </w:p>
    <w:p w:rsidR="000B086F" w:rsidP="00133D1A" w14:paraId="3F6C5757" w14:textId="77777777">
      <w:pPr>
        <w:jc w:val="both"/>
        <w:rPr>
          <w:sz w:val="22"/>
          <w:szCs w:val="22"/>
        </w:rPr>
      </w:pPr>
    </w:p>
    <w:p w:rsidR="000B086F" w:rsidRPr="00764C56" w:rsidP="00133D1A" w14:paraId="6BED4EBB" w14:textId="77777777">
      <w:pPr>
        <w:jc w:val="both"/>
        <w:rPr>
          <w:sz w:val="22"/>
          <w:szCs w:val="22"/>
        </w:rPr>
      </w:pPr>
      <w:r w:rsidRPr="00764C56">
        <w:rPr>
          <w:b/>
          <w:bCs/>
          <w:sz w:val="22"/>
          <w:szCs w:val="22"/>
        </w:rPr>
        <w:t>Waive</w:t>
      </w:r>
      <w:r>
        <w:rPr>
          <w:b/>
          <w:bCs/>
          <w:sz w:val="22"/>
          <w:szCs w:val="22"/>
        </w:rPr>
        <w:t>d</w:t>
      </w:r>
      <w:r w:rsidRPr="00764C56">
        <w:rPr>
          <w:b/>
          <w:bCs/>
          <w:sz w:val="22"/>
          <w:szCs w:val="22"/>
        </w:rPr>
        <w:t xml:space="preserve"> Stand‑Alone and Single‑Service Requirements for Discontinuing Legacy Voice Services</w:t>
      </w:r>
      <w:r>
        <w:rPr>
          <w:b/>
          <w:bCs/>
          <w:sz w:val="22"/>
          <w:szCs w:val="22"/>
        </w:rPr>
        <w:t xml:space="preserve">. </w:t>
      </w:r>
      <w:r>
        <w:rPr>
          <w:sz w:val="22"/>
          <w:szCs w:val="22"/>
        </w:rPr>
        <w:t>Adopted</w:t>
      </w:r>
      <w:r w:rsidRPr="00764C56">
        <w:rPr>
          <w:sz w:val="22"/>
          <w:szCs w:val="22"/>
        </w:rPr>
        <w:t xml:space="preserve"> a waiver that allows providers to retire copper networks, not only in cases where replacement voice services are available on a stand-alone basis, but in cases where those services are available on a bundled basis. The FCC’s pro-consumer pricing protections will remain in place.</w:t>
      </w:r>
    </w:p>
    <w:p w:rsidR="000B086F" w:rsidRPr="00764C56" w:rsidP="00133D1A" w14:paraId="09F242F7" w14:textId="77777777">
      <w:pPr>
        <w:jc w:val="both"/>
        <w:rPr>
          <w:sz w:val="22"/>
          <w:szCs w:val="22"/>
        </w:rPr>
      </w:pPr>
    </w:p>
    <w:p w:rsidR="000B086F" w:rsidP="00133D1A" w14:paraId="2DFFA7EB" w14:textId="77777777">
      <w:pPr>
        <w:jc w:val="both"/>
        <w:rPr>
          <w:sz w:val="22"/>
          <w:szCs w:val="22"/>
        </w:rPr>
      </w:pPr>
      <w:r w:rsidRPr="006C7C8E">
        <w:rPr>
          <w:b/>
          <w:bCs/>
          <w:sz w:val="22"/>
          <w:szCs w:val="22"/>
        </w:rPr>
        <w:t>Accelerate</w:t>
      </w:r>
      <w:r>
        <w:rPr>
          <w:b/>
          <w:bCs/>
          <w:sz w:val="22"/>
          <w:szCs w:val="22"/>
        </w:rPr>
        <w:t>d</w:t>
      </w:r>
      <w:r w:rsidRPr="006C7C8E">
        <w:rPr>
          <w:b/>
          <w:bCs/>
          <w:sz w:val="22"/>
          <w:szCs w:val="22"/>
        </w:rPr>
        <w:t xml:space="preserve"> Submarine Cable Buildout and Security</w:t>
      </w:r>
      <w:r>
        <w:rPr>
          <w:sz w:val="22"/>
          <w:szCs w:val="22"/>
        </w:rPr>
        <w:t xml:space="preserve">. Made it </w:t>
      </w:r>
      <w:r w:rsidRPr="006C7C8E">
        <w:rPr>
          <w:sz w:val="22"/>
          <w:szCs w:val="22"/>
        </w:rPr>
        <w:t xml:space="preserve">easier and faster to build secure undersea internet cables, which carry nearly all global web traffic. New rules help protect these cables from foreign threats and support America’s leadership in </w:t>
      </w:r>
      <w:r>
        <w:rPr>
          <w:sz w:val="22"/>
          <w:szCs w:val="22"/>
        </w:rPr>
        <w:t>Artificial Intelligence (</w:t>
      </w:r>
      <w:r w:rsidRPr="006C7C8E">
        <w:rPr>
          <w:sz w:val="22"/>
          <w:szCs w:val="22"/>
        </w:rPr>
        <w:t>AI</w:t>
      </w:r>
      <w:r>
        <w:rPr>
          <w:sz w:val="22"/>
          <w:szCs w:val="22"/>
        </w:rPr>
        <w:t>)</w:t>
      </w:r>
      <w:r w:rsidRPr="006C7C8E">
        <w:rPr>
          <w:sz w:val="22"/>
          <w:szCs w:val="22"/>
        </w:rPr>
        <w:t xml:space="preserve"> and tech.</w:t>
      </w:r>
    </w:p>
    <w:p w:rsidR="000B086F" w:rsidP="00133D1A" w14:paraId="43D99FF6" w14:textId="77777777">
      <w:pPr>
        <w:jc w:val="both"/>
        <w:rPr>
          <w:sz w:val="22"/>
          <w:szCs w:val="22"/>
        </w:rPr>
      </w:pPr>
    </w:p>
    <w:p w:rsidR="000B086F" w:rsidP="00133D1A" w14:paraId="0EDA860C" w14:textId="77777777">
      <w:pPr>
        <w:jc w:val="both"/>
        <w:rPr>
          <w:sz w:val="22"/>
          <w:szCs w:val="22"/>
        </w:rPr>
      </w:pPr>
      <w:r w:rsidRPr="00DF41F1">
        <w:rPr>
          <w:b/>
          <w:bCs/>
          <w:sz w:val="22"/>
          <w:szCs w:val="22"/>
        </w:rPr>
        <w:t>Refined the Commission’s Alaska High-Cost Mobile-Support Programs</w:t>
      </w:r>
      <w:r>
        <w:rPr>
          <w:sz w:val="22"/>
          <w:szCs w:val="22"/>
        </w:rPr>
        <w:t>. A</w:t>
      </w:r>
      <w:r w:rsidRPr="00DF41F1">
        <w:rPr>
          <w:sz w:val="22"/>
          <w:szCs w:val="22"/>
        </w:rPr>
        <w:t>djust</w:t>
      </w:r>
      <w:r>
        <w:rPr>
          <w:sz w:val="22"/>
          <w:szCs w:val="22"/>
        </w:rPr>
        <w:t>ed</w:t>
      </w:r>
      <w:r w:rsidRPr="00DF41F1">
        <w:rPr>
          <w:sz w:val="22"/>
          <w:szCs w:val="22"/>
        </w:rPr>
        <w:t xml:space="preserve"> the Alaska Connect Fund to ensure limited federal dollars are used more efficiently to deliver 5G internet across Alaska. The changes better align the program with Alaska’s needs and eliminate unnecessary red tape for tracking compliance.</w:t>
      </w:r>
    </w:p>
    <w:p w:rsidR="000B086F" w:rsidP="00133D1A" w14:paraId="7055407D" w14:textId="77777777">
      <w:pPr>
        <w:jc w:val="both"/>
        <w:rPr>
          <w:sz w:val="22"/>
          <w:szCs w:val="22"/>
        </w:rPr>
      </w:pPr>
    </w:p>
    <w:p w:rsidR="000B086F" w:rsidP="00133D1A" w14:paraId="1197FC37" w14:textId="77777777">
      <w:pPr>
        <w:jc w:val="both"/>
        <w:rPr>
          <w:sz w:val="22"/>
          <w:szCs w:val="22"/>
        </w:rPr>
      </w:pPr>
      <w:r w:rsidRPr="00DD7DC7">
        <w:rPr>
          <w:b/>
          <w:bCs/>
          <w:sz w:val="22"/>
          <w:szCs w:val="22"/>
        </w:rPr>
        <w:t>Ended Proposal Requiring Unnecessary Environmental Reviews on Tower Builds</w:t>
      </w:r>
      <w:r>
        <w:rPr>
          <w:sz w:val="22"/>
          <w:szCs w:val="22"/>
        </w:rPr>
        <w:t xml:space="preserve">. Ended a </w:t>
      </w:r>
      <w:r w:rsidRPr="00DD7DC7">
        <w:rPr>
          <w:sz w:val="22"/>
          <w:szCs w:val="22"/>
        </w:rPr>
        <w:t>proposal that subjected tower construction to costly, unnecessary, and time-consuming environmental reviews. By eliminating this regulatory burden, the Commission has cleared the way for faster broadband deployment, expanding internet access for millions of Americans.</w:t>
      </w:r>
    </w:p>
    <w:p w:rsidR="000B086F" w:rsidP="00133D1A" w14:paraId="0EB386C0" w14:textId="77777777">
      <w:pPr>
        <w:jc w:val="both"/>
        <w:rPr>
          <w:sz w:val="22"/>
          <w:szCs w:val="22"/>
        </w:rPr>
      </w:pPr>
    </w:p>
    <w:p w:rsidR="000B086F" w:rsidP="00133D1A" w14:paraId="18453324" w14:textId="77777777">
      <w:pPr>
        <w:jc w:val="both"/>
        <w:rPr>
          <w:b/>
          <w:bCs/>
          <w:sz w:val="22"/>
          <w:szCs w:val="22"/>
        </w:rPr>
      </w:pPr>
      <w:r w:rsidRPr="009C2AAD">
        <w:rPr>
          <w:b/>
          <w:bCs/>
          <w:sz w:val="22"/>
          <w:szCs w:val="22"/>
        </w:rPr>
        <w:t>Improve</w:t>
      </w:r>
      <w:r>
        <w:rPr>
          <w:b/>
          <w:bCs/>
          <w:sz w:val="22"/>
          <w:szCs w:val="22"/>
        </w:rPr>
        <w:t>d</w:t>
      </w:r>
      <w:r w:rsidRPr="009C2AAD">
        <w:rPr>
          <w:b/>
          <w:bCs/>
          <w:sz w:val="22"/>
          <w:szCs w:val="22"/>
        </w:rPr>
        <w:t xml:space="preserve"> Engineering Review for Broadband Data Collection</w:t>
      </w:r>
      <w:r>
        <w:rPr>
          <w:b/>
          <w:bCs/>
          <w:sz w:val="22"/>
          <w:szCs w:val="22"/>
        </w:rPr>
        <w:t xml:space="preserve">. </w:t>
      </w:r>
      <w:r>
        <w:rPr>
          <w:sz w:val="22"/>
          <w:szCs w:val="22"/>
        </w:rPr>
        <w:t>E</w:t>
      </w:r>
      <w:r w:rsidRPr="009C2AAD">
        <w:rPr>
          <w:sz w:val="22"/>
          <w:szCs w:val="22"/>
        </w:rPr>
        <w:t>liminate</w:t>
      </w:r>
      <w:r>
        <w:rPr>
          <w:sz w:val="22"/>
          <w:szCs w:val="22"/>
        </w:rPr>
        <w:t>d</w:t>
      </w:r>
      <w:r w:rsidRPr="009C2AAD">
        <w:rPr>
          <w:sz w:val="22"/>
          <w:szCs w:val="22"/>
        </w:rPr>
        <w:t xml:space="preserve"> an unnecessary barrier to providing reliable broadband data for inclusion on the FCC's National Broadband Map.</w:t>
      </w:r>
    </w:p>
    <w:p w:rsidR="000B086F" w:rsidP="00133D1A" w14:paraId="31C7B92E" w14:textId="77777777">
      <w:pPr>
        <w:jc w:val="both"/>
        <w:rPr>
          <w:b/>
          <w:bCs/>
          <w:sz w:val="22"/>
          <w:szCs w:val="22"/>
        </w:rPr>
      </w:pPr>
    </w:p>
    <w:p w:rsidR="000B086F" w:rsidP="00133D1A" w14:paraId="5617F007" w14:textId="77777777">
      <w:pPr>
        <w:jc w:val="both"/>
        <w:rPr>
          <w:sz w:val="22"/>
          <w:szCs w:val="22"/>
        </w:rPr>
      </w:pPr>
      <w:r w:rsidRPr="009720FD">
        <w:rPr>
          <w:b/>
          <w:bCs/>
          <w:sz w:val="22"/>
          <w:szCs w:val="22"/>
        </w:rPr>
        <w:t>Established a Licensing Framework for the Lower 37 GHz Band</w:t>
      </w:r>
      <w:r>
        <w:rPr>
          <w:sz w:val="22"/>
          <w:szCs w:val="22"/>
        </w:rPr>
        <w:t>. A</w:t>
      </w:r>
      <w:r w:rsidRPr="002B7F78">
        <w:rPr>
          <w:sz w:val="22"/>
          <w:szCs w:val="22"/>
        </w:rPr>
        <w:t>dopted new spectrum sharing rules to bolster innovative commercial uses in the lower 37 GHz band, a framework expected to support Internet of Things systems, wireless broadband, internet backhaul, and greater mobile capacity. The Commission also established a nationwide, non‑exclusive licensing regime that opens 600 MHz of the same band for commercial services while preserving coordination and protections for incumbent military uses.</w:t>
      </w:r>
    </w:p>
    <w:p w:rsidR="000B086F" w:rsidP="00133D1A" w14:paraId="6F601FF8" w14:textId="77777777">
      <w:pPr>
        <w:jc w:val="both"/>
        <w:rPr>
          <w:sz w:val="22"/>
          <w:szCs w:val="22"/>
        </w:rPr>
      </w:pPr>
    </w:p>
    <w:p w:rsidR="000B086F" w:rsidP="00133D1A" w14:paraId="55B76EB8" w14:textId="77777777">
      <w:pPr>
        <w:jc w:val="both"/>
        <w:rPr>
          <w:sz w:val="22"/>
          <w:szCs w:val="22"/>
        </w:rPr>
      </w:pPr>
      <w:r w:rsidRPr="00FC4721">
        <w:rPr>
          <w:b/>
          <w:bCs/>
          <w:sz w:val="22"/>
          <w:szCs w:val="22"/>
        </w:rPr>
        <w:t>Updated AWS-3 Service-Specific Requirements</w:t>
      </w:r>
      <w:r>
        <w:rPr>
          <w:sz w:val="22"/>
          <w:szCs w:val="22"/>
        </w:rPr>
        <w:t>. Prepared</w:t>
      </w:r>
      <w:r w:rsidRPr="00852238">
        <w:rPr>
          <w:sz w:val="22"/>
          <w:szCs w:val="22"/>
        </w:rPr>
        <w:t xml:space="preserve"> to auction unused wireless spectrum to improve internet access and fund network security.</w:t>
      </w:r>
    </w:p>
    <w:p w:rsidR="002D5236" w:rsidP="00133D1A" w14:paraId="5E73B75D" w14:textId="77777777">
      <w:pPr>
        <w:jc w:val="both"/>
        <w:rPr>
          <w:sz w:val="22"/>
          <w:szCs w:val="22"/>
        </w:rPr>
      </w:pPr>
    </w:p>
    <w:p w:rsidR="002D5236" w:rsidP="002D5236" w14:paraId="08FB385A" w14:textId="77777777">
      <w:pPr>
        <w:jc w:val="both"/>
        <w:rPr>
          <w:sz w:val="22"/>
          <w:szCs w:val="22"/>
        </w:rPr>
      </w:pPr>
      <w:r w:rsidRPr="00250903">
        <w:rPr>
          <w:b/>
          <w:bCs/>
          <w:sz w:val="22"/>
          <w:szCs w:val="22"/>
        </w:rPr>
        <w:t>Enabled Expanded Direct-to-Cell Service via Emissions Waiver</w:t>
      </w:r>
      <w:r>
        <w:rPr>
          <w:sz w:val="22"/>
          <w:szCs w:val="22"/>
        </w:rPr>
        <w:t>. A</w:t>
      </w:r>
      <w:r w:rsidRPr="00250903">
        <w:rPr>
          <w:sz w:val="22"/>
          <w:szCs w:val="22"/>
        </w:rPr>
        <w:t>pprove</w:t>
      </w:r>
      <w:r>
        <w:rPr>
          <w:sz w:val="22"/>
          <w:szCs w:val="22"/>
        </w:rPr>
        <w:t>d</w:t>
      </w:r>
      <w:r w:rsidRPr="00250903">
        <w:rPr>
          <w:sz w:val="22"/>
          <w:szCs w:val="22"/>
        </w:rPr>
        <w:t xml:space="preserve"> SpaceX’s request to boost satellite signal strength for better mobile coverage in remote areas, as long as it doesn’t interfere with nearby wireless networks.</w:t>
      </w:r>
    </w:p>
    <w:p w:rsidR="002D5236" w:rsidP="002D5236" w14:paraId="28AD9463" w14:textId="77777777">
      <w:pPr>
        <w:jc w:val="both"/>
        <w:rPr>
          <w:sz w:val="22"/>
          <w:szCs w:val="22"/>
        </w:rPr>
      </w:pPr>
    </w:p>
    <w:p w:rsidR="002D5236" w:rsidP="002D5236" w14:paraId="26225C94" w14:textId="77777777">
      <w:pPr>
        <w:jc w:val="both"/>
        <w:rPr>
          <w:sz w:val="22"/>
          <w:szCs w:val="22"/>
        </w:rPr>
      </w:pPr>
      <w:r w:rsidRPr="00695DD3">
        <w:rPr>
          <w:b/>
          <w:bCs/>
          <w:sz w:val="22"/>
          <w:szCs w:val="22"/>
        </w:rPr>
        <w:t>Expedited Initial Processing of Satellite and Earth Station Applications to Boost Space Innovation</w:t>
      </w:r>
      <w:r>
        <w:rPr>
          <w:sz w:val="22"/>
          <w:szCs w:val="22"/>
        </w:rPr>
        <w:t>: M</w:t>
      </w:r>
      <w:r w:rsidRPr="00695DD3">
        <w:rPr>
          <w:sz w:val="22"/>
          <w:szCs w:val="22"/>
        </w:rPr>
        <w:t>ade it easier for space companies</w:t>
      </w:r>
      <w:r>
        <w:rPr>
          <w:sz w:val="22"/>
          <w:szCs w:val="22"/>
        </w:rPr>
        <w:t xml:space="preserve">, </w:t>
      </w:r>
      <w:r w:rsidRPr="00695DD3">
        <w:rPr>
          <w:sz w:val="22"/>
          <w:szCs w:val="22"/>
        </w:rPr>
        <w:t>especially startups</w:t>
      </w:r>
      <w:r>
        <w:rPr>
          <w:sz w:val="22"/>
          <w:szCs w:val="22"/>
        </w:rPr>
        <w:t xml:space="preserve">, </w:t>
      </w:r>
      <w:r w:rsidRPr="00695DD3">
        <w:rPr>
          <w:sz w:val="22"/>
          <w:szCs w:val="22"/>
        </w:rPr>
        <w:t>to get permission to operate. New rules cut paperwork and let companies share ground stations without needing to build their own, helping speed up innovation and satellite services.</w:t>
      </w:r>
    </w:p>
    <w:p w:rsidR="000B086F" w:rsidP="00133D1A" w14:paraId="791F6BF9" w14:textId="77777777">
      <w:pPr>
        <w:jc w:val="both"/>
        <w:rPr>
          <w:sz w:val="22"/>
          <w:szCs w:val="22"/>
        </w:rPr>
      </w:pPr>
    </w:p>
    <w:p w:rsidR="000B086F" w:rsidP="00133D1A" w14:paraId="457E1536" w14:textId="77777777">
      <w:pPr>
        <w:jc w:val="both"/>
        <w:rPr>
          <w:sz w:val="22"/>
          <w:szCs w:val="22"/>
        </w:rPr>
      </w:pPr>
      <w:r>
        <w:rPr>
          <w:b/>
          <w:bCs/>
          <w:sz w:val="22"/>
          <w:szCs w:val="22"/>
        </w:rPr>
        <w:t>Approved</w:t>
      </w:r>
      <w:r w:rsidRPr="00250CC9">
        <w:rPr>
          <w:b/>
          <w:bCs/>
          <w:sz w:val="22"/>
          <w:szCs w:val="22"/>
        </w:rPr>
        <w:t xml:space="preserve"> Verizon-Frontier Merger</w:t>
      </w:r>
      <w:r>
        <w:rPr>
          <w:sz w:val="22"/>
          <w:szCs w:val="22"/>
        </w:rPr>
        <w:t>. A</w:t>
      </w:r>
      <w:r w:rsidRPr="00250CC9">
        <w:rPr>
          <w:sz w:val="22"/>
          <w:szCs w:val="22"/>
        </w:rPr>
        <w:t>pproved Verizon’s $20B purchase of Frontier, unleashing billions of dollars in new infrastructure builds in rural and other communities across the country.</w:t>
      </w:r>
    </w:p>
    <w:p w:rsidR="000B086F" w:rsidP="00133D1A" w14:paraId="110085DF" w14:textId="77777777">
      <w:pPr>
        <w:jc w:val="both"/>
        <w:rPr>
          <w:sz w:val="22"/>
          <w:szCs w:val="22"/>
        </w:rPr>
      </w:pPr>
    </w:p>
    <w:p w:rsidR="000B086F" w:rsidRPr="004924FE" w:rsidP="00133D1A" w14:paraId="5C1C79E7" w14:textId="77777777">
      <w:pPr>
        <w:jc w:val="both"/>
        <w:rPr>
          <w:sz w:val="22"/>
          <w:szCs w:val="22"/>
        </w:rPr>
      </w:pPr>
      <w:r w:rsidRPr="003B70BB">
        <w:rPr>
          <w:b/>
          <w:bCs/>
          <w:sz w:val="22"/>
          <w:szCs w:val="22"/>
        </w:rPr>
        <w:t xml:space="preserve">Approved of T-Mobile and </w:t>
      </w:r>
      <w:r w:rsidRPr="003B70BB">
        <w:rPr>
          <w:b/>
          <w:bCs/>
          <w:sz w:val="22"/>
          <w:szCs w:val="22"/>
        </w:rPr>
        <w:t>UScellular</w:t>
      </w:r>
      <w:r w:rsidRPr="003B70BB">
        <w:rPr>
          <w:b/>
          <w:bCs/>
          <w:sz w:val="22"/>
          <w:szCs w:val="22"/>
        </w:rPr>
        <w:t xml:space="preserve"> Transfer Control of Licenses, Authorizations, and Leases</w:t>
      </w:r>
      <w:r>
        <w:rPr>
          <w:b/>
          <w:bCs/>
          <w:sz w:val="22"/>
          <w:szCs w:val="22"/>
        </w:rPr>
        <w:t xml:space="preserve">. </w:t>
      </w:r>
      <w:r w:rsidRPr="004924FE">
        <w:rPr>
          <w:sz w:val="22"/>
          <w:szCs w:val="22"/>
        </w:rPr>
        <w:t xml:space="preserve">Approved T‑Mobile’s acquisition of </w:t>
      </w:r>
      <w:r w:rsidRPr="004924FE">
        <w:rPr>
          <w:sz w:val="22"/>
          <w:szCs w:val="22"/>
        </w:rPr>
        <w:t>UScellular’s</w:t>
      </w:r>
      <w:r w:rsidRPr="004924FE">
        <w:rPr>
          <w:sz w:val="22"/>
          <w:szCs w:val="22"/>
        </w:rPr>
        <w:t xml:space="preserve"> wireless operations, customers, and approximately 30% of its licensed spectrum. The transaction is expected to deliver substantial network benefits for customers, including improved coverage and enhanced fixed wireless access service.</w:t>
      </w:r>
    </w:p>
    <w:p w:rsidR="000B086F" w:rsidP="00133D1A" w14:paraId="4B7D6E1B" w14:textId="77777777">
      <w:pPr>
        <w:jc w:val="both"/>
        <w:rPr>
          <w:sz w:val="22"/>
          <w:szCs w:val="22"/>
        </w:rPr>
      </w:pPr>
    </w:p>
    <w:p w:rsidR="000B086F" w:rsidRPr="000B086F" w:rsidP="00133D1A" w14:paraId="2164D0ED" w14:textId="77777777">
      <w:pPr>
        <w:autoSpaceDE w:val="0"/>
        <w:autoSpaceDN w:val="0"/>
        <w:adjustRightInd w:val="0"/>
        <w:jc w:val="both"/>
        <w:rPr>
          <w:b/>
          <w:bCs/>
          <w:szCs w:val="24"/>
          <w:highlight w:val="yellow"/>
          <w:u w:val="single"/>
        </w:rPr>
      </w:pPr>
      <w:r w:rsidRPr="000B086F">
        <w:rPr>
          <w:b/>
          <w:bCs/>
          <w:szCs w:val="24"/>
          <w:u w:val="single"/>
        </w:rPr>
        <w:t>Strategic Goal 2: Promote National Security and Public Safety</w:t>
      </w:r>
    </w:p>
    <w:p w:rsidR="000B086F" w:rsidP="00133D1A" w14:paraId="33AFC9F9" w14:textId="77777777">
      <w:pPr>
        <w:jc w:val="both"/>
        <w:rPr>
          <w:sz w:val="22"/>
          <w:szCs w:val="22"/>
        </w:rPr>
      </w:pPr>
    </w:p>
    <w:p w:rsidR="000B086F" w:rsidP="00133D1A" w14:paraId="3FAA02CB" w14:textId="264A2571">
      <w:pPr>
        <w:jc w:val="both"/>
        <w:rPr>
          <w:sz w:val="22"/>
          <w:szCs w:val="22"/>
        </w:rPr>
      </w:pPr>
      <w:r w:rsidRPr="00757FA6">
        <w:rPr>
          <w:b/>
          <w:bCs/>
          <w:sz w:val="22"/>
          <w:szCs w:val="22"/>
        </w:rPr>
        <w:t>Established New Council on National Security within Agency</w:t>
      </w:r>
      <w:r>
        <w:rPr>
          <w:sz w:val="22"/>
          <w:szCs w:val="22"/>
        </w:rPr>
        <w:t>. La</w:t>
      </w:r>
      <w:r w:rsidRPr="00757FA6">
        <w:rPr>
          <w:sz w:val="22"/>
          <w:szCs w:val="22"/>
        </w:rPr>
        <w:t>unch</w:t>
      </w:r>
      <w:r>
        <w:rPr>
          <w:sz w:val="22"/>
          <w:szCs w:val="22"/>
        </w:rPr>
        <w:t>ed</w:t>
      </w:r>
      <w:r w:rsidRPr="00757FA6">
        <w:rPr>
          <w:sz w:val="22"/>
          <w:szCs w:val="22"/>
        </w:rPr>
        <w:t xml:space="preserve"> a new Council to help protect America’s tech and telecom systems from foreign threats, especially those linked to China. The Council will work across the agency to boost cybersecurity, reduce risky supply chain dependencies, and support U.S. leadership in key technologies like 5G, AI, and satellites.</w:t>
      </w:r>
    </w:p>
    <w:p w:rsidR="00FA777D" w:rsidP="00133D1A" w14:paraId="095B0EC2" w14:textId="77777777">
      <w:pPr>
        <w:jc w:val="both"/>
        <w:rPr>
          <w:b/>
          <w:bCs/>
          <w:sz w:val="22"/>
          <w:szCs w:val="22"/>
        </w:rPr>
      </w:pPr>
    </w:p>
    <w:p w:rsidR="000B086F" w:rsidP="00133D1A" w14:paraId="783A0008" w14:textId="50C0A3DC">
      <w:pPr>
        <w:jc w:val="both"/>
        <w:rPr>
          <w:sz w:val="22"/>
          <w:szCs w:val="22"/>
        </w:rPr>
      </w:pPr>
      <w:r w:rsidRPr="00C35701">
        <w:rPr>
          <w:b/>
          <w:bCs/>
          <w:sz w:val="22"/>
          <w:szCs w:val="22"/>
        </w:rPr>
        <w:t>Safeguarded the Equipment Authorization Process from Bad Labs</w:t>
      </w:r>
      <w:r>
        <w:rPr>
          <w:sz w:val="22"/>
          <w:szCs w:val="22"/>
        </w:rPr>
        <w:t>. M</w:t>
      </w:r>
      <w:r w:rsidRPr="00C35701">
        <w:rPr>
          <w:sz w:val="22"/>
          <w:szCs w:val="22"/>
        </w:rPr>
        <w:t>oved to stop foreign adversaries from influencing the labs that test wireless devices for the U.S. market by blocking problematic ownership ties, requiring approval for all radio‑emitting products, and targeting labs found to have concerning links that tested many devices heading to U.S. consumers.</w:t>
      </w:r>
      <w:r>
        <w:rPr>
          <w:sz w:val="22"/>
          <w:szCs w:val="22"/>
        </w:rPr>
        <w:t xml:space="preserve"> Blocked more electronic labs tied to foreign adversaries that pose a national security risk. In total, 15 of these “bad labs” have now been denied or targeted for removal.</w:t>
      </w:r>
    </w:p>
    <w:p w:rsidR="000B086F" w:rsidP="00133D1A" w14:paraId="64202E63" w14:textId="77777777">
      <w:pPr>
        <w:jc w:val="both"/>
        <w:rPr>
          <w:sz w:val="22"/>
          <w:szCs w:val="22"/>
        </w:rPr>
      </w:pPr>
    </w:p>
    <w:p w:rsidR="000B086F" w:rsidP="00133D1A" w14:paraId="41A072FE" w14:textId="28CA4885">
      <w:pPr>
        <w:jc w:val="both"/>
        <w:rPr>
          <w:sz w:val="22"/>
          <w:szCs w:val="22"/>
        </w:rPr>
      </w:pPr>
      <w:r w:rsidRPr="00472EAA">
        <w:rPr>
          <w:b/>
          <w:bCs/>
          <w:sz w:val="22"/>
          <w:szCs w:val="22"/>
        </w:rPr>
        <w:t>Modified the Commission’s Equipment Authorization Program to Protect Against National Security Threats</w:t>
      </w:r>
      <w:r>
        <w:rPr>
          <w:sz w:val="22"/>
          <w:szCs w:val="22"/>
        </w:rPr>
        <w:t>. Tightened</w:t>
      </w:r>
      <w:r w:rsidRPr="00472EAA">
        <w:rPr>
          <w:sz w:val="22"/>
          <w:szCs w:val="22"/>
        </w:rPr>
        <w:t xml:space="preserve"> tech security rules by blocking older approved devices and foreign-made parts—like certain transmitters—that were slipping through past loopholes. The goal is to better protect U.S. networks from surveillance and national security threats.</w:t>
      </w:r>
    </w:p>
    <w:p w:rsidR="000B086F" w:rsidP="00133D1A" w14:paraId="43684ABF" w14:textId="77777777">
      <w:pPr>
        <w:jc w:val="both"/>
        <w:rPr>
          <w:sz w:val="22"/>
          <w:szCs w:val="22"/>
        </w:rPr>
      </w:pPr>
    </w:p>
    <w:p w:rsidR="000B086F" w:rsidRPr="00F13A2A" w:rsidP="00133D1A" w14:paraId="13085E60" w14:textId="77777777">
      <w:pPr>
        <w:jc w:val="both"/>
        <w:rPr>
          <w:sz w:val="22"/>
          <w:szCs w:val="22"/>
        </w:rPr>
      </w:pPr>
      <w:r w:rsidRPr="00F13A2A">
        <w:rPr>
          <w:b/>
          <w:bCs/>
          <w:sz w:val="22"/>
          <w:szCs w:val="22"/>
        </w:rPr>
        <w:t>Announced Initial Success of an Operation to Remove Covered CCP Affiliated Equipment from E-Commerce Sites</w:t>
      </w:r>
      <w:r>
        <w:rPr>
          <w:sz w:val="22"/>
          <w:szCs w:val="22"/>
        </w:rPr>
        <w:t>. W</w:t>
      </w:r>
      <w:r w:rsidRPr="00F13A2A">
        <w:rPr>
          <w:sz w:val="22"/>
          <w:szCs w:val="22"/>
        </w:rPr>
        <w:t>orked with major online retailers to remove millions of banned Chinese tech products from their sites. These devices were flagged as national security risks, and the companies agreed to help stop their sale and prevent future listings.</w:t>
      </w:r>
    </w:p>
    <w:p w:rsidR="000B086F" w:rsidP="00133D1A" w14:paraId="43194C50" w14:textId="77777777">
      <w:pPr>
        <w:jc w:val="both"/>
        <w:rPr>
          <w:sz w:val="22"/>
          <w:szCs w:val="22"/>
        </w:rPr>
      </w:pPr>
    </w:p>
    <w:p w:rsidR="000B086F" w:rsidP="00133D1A" w14:paraId="3C915ED2" w14:textId="77777777">
      <w:pPr>
        <w:jc w:val="both"/>
        <w:rPr>
          <w:sz w:val="22"/>
          <w:szCs w:val="22"/>
        </w:rPr>
      </w:pPr>
      <w:r w:rsidRPr="00C326EA">
        <w:rPr>
          <w:b/>
          <w:bCs/>
          <w:sz w:val="22"/>
          <w:szCs w:val="22"/>
        </w:rPr>
        <w:t>Launched Inquiry into the Development of PNT Technologies and Solutions</w:t>
      </w:r>
      <w:r>
        <w:rPr>
          <w:sz w:val="22"/>
          <w:szCs w:val="22"/>
        </w:rPr>
        <w:t>. Asked</w:t>
      </w:r>
      <w:r w:rsidRPr="00C326EA">
        <w:rPr>
          <w:sz w:val="22"/>
          <w:szCs w:val="22"/>
        </w:rPr>
        <w:t xml:space="preserve"> industry and the public for ideas on backup systems for GPS because GPS can be disrupted or tampered with by hostile actors; the goal is to identify and promote technologies that keep navigation, timing, and related services working if GPS fails.</w:t>
      </w:r>
      <w:r w:rsidRPr="00D635F1">
        <w:rPr>
          <w:sz w:val="22"/>
          <w:szCs w:val="22"/>
        </w:rPr>
        <w:t xml:space="preserve">  </w:t>
      </w:r>
    </w:p>
    <w:p w:rsidR="000B086F" w:rsidP="00133D1A" w14:paraId="2FEF7C40" w14:textId="77777777">
      <w:pPr>
        <w:jc w:val="both"/>
        <w:rPr>
          <w:sz w:val="22"/>
          <w:szCs w:val="22"/>
        </w:rPr>
      </w:pPr>
    </w:p>
    <w:p w:rsidR="000B086F" w:rsidP="00133D1A" w14:paraId="117E748D" w14:textId="77777777">
      <w:pPr>
        <w:jc w:val="both"/>
        <w:rPr>
          <w:sz w:val="22"/>
          <w:szCs w:val="22"/>
        </w:rPr>
      </w:pPr>
      <w:r w:rsidRPr="000A0F03">
        <w:rPr>
          <w:b/>
          <w:bCs/>
          <w:sz w:val="22"/>
          <w:szCs w:val="22"/>
        </w:rPr>
        <w:t>Made Wireless Emergency Alerts More Responsive to Public Safety &amp; Consumer Needs</w:t>
      </w:r>
      <w:r>
        <w:rPr>
          <w:sz w:val="22"/>
          <w:szCs w:val="22"/>
        </w:rPr>
        <w:t xml:space="preserve">. </w:t>
      </w:r>
      <w:r w:rsidRPr="000A0F03">
        <w:rPr>
          <w:sz w:val="22"/>
          <w:szCs w:val="22"/>
        </w:rPr>
        <w:t>The FCC now allows emergency alerts to be sent silently—without loud sounds or vibrations—when needed to protect people, such as during an active shooter situation. This change helps reduce alert fatigue and gives people more control over how they receive alerts. Phones marketed as emergency-alert ready must now support all alert features, including silent messages and location-based targeting.</w:t>
      </w:r>
    </w:p>
    <w:p w:rsidR="000B086F" w:rsidP="00133D1A" w14:paraId="1F89CE93" w14:textId="77777777">
      <w:pPr>
        <w:jc w:val="both"/>
        <w:rPr>
          <w:sz w:val="22"/>
          <w:szCs w:val="22"/>
        </w:rPr>
      </w:pPr>
    </w:p>
    <w:p w:rsidR="000B086F" w:rsidRPr="000B086F" w:rsidP="00133D1A" w14:paraId="204C9766" w14:textId="77777777">
      <w:pPr>
        <w:autoSpaceDE w:val="0"/>
        <w:autoSpaceDN w:val="0"/>
        <w:adjustRightInd w:val="0"/>
        <w:jc w:val="both"/>
        <w:rPr>
          <w:b/>
          <w:bCs/>
          <w:szCs w:val="24"/>
          <w:u w:val="single"/>
        </w:rPr>
      </w:pPr>
      <w:r w:rsidRPr="000B086F">
        <w:rPr>
          <w:b/>
          <w:bCs/>
          <w:szCs w:val="24"/>
          <w:u w:val="single"/>
        </w:rPr>
        <w:t>Strategic Goal 3: Protect Consumers and Promote Free Speech</w:t>
      </w:r>
    </w:p>
    <w:p w:rsidR="000B086F" w:rsidP="00133D1A" w14:paraId="3558EDEF" w14:textId="77777777">
      <w:pPr>
        <w:jc w:val="both"/>
        <w:rPr>
          <w:sz w:val="22"/>
          <w:szCs w:val="22"/>
        </w:rPr>
      </w:pPr>
    </w:p>
    <w:p w:rsidR="000B086F" w:rsidP="00133D1A" w14:paraId="126ADBF7" w14:textId="77777777">
      <w:pPr>
        <w:jc w:val="both"/>
        <w:rPr>
          <w:sz w:val="22"/>
          <w:szCs w:val="22"/>
        </w:rPr>
      </w:pPr>
      <w:r w:rsidRPr="00271824">
        <w:rPr>
          <w:b/>
          <w:bCs/>
          <w:sz w:val="22"/>
          <w:szCs w:val="22"/>
        </w:rPr>
        <w:t>Strengthened the Commission’s Call Blocking Rules</w:t>
      </w:r>
      <w:r>
        <w:rPr>
          <w:sz w:val="22"/>
          <w:szCs w:val="22"/>
        </w:rPr>
        <w:t xml:space="preserve">. Required </w:t>
      </w:r>
      <w:r w:rsidRPr="00753C18">
        <w:rPr>
          <w:sz w:val="22"/>
          <w:szCs w:val="22"/>
        </w:rPr>
        <w:t xml:space="preserve">phone companies to block scam calls that appear to come from fake or unused numbers, including government numbers that don’t make outgoing </w:t>
      </w:r>
      <w:r w:rsidRPr="00753C18">
        <w:rPr>
          <w:sz w:val="22"/>
          <w:szCs w:val="22"/>
        </w:rPr>
        <w:t>calls. The new rules also make sure that legitimate callers are notified when their calls are blocked, so they can fix the issue.</w:t>
      </w:r>
    </w:p>
    <w:p w:rsidR="000B086F" w:rsidP="00133D1A" w14:paraId="28855DE3" w14:textId="77777777">
      <w:pPr>
        <w:jc w:val="both"/>
        <w:rPr>
          <w:sz w:val="22"/>
          <w:szCs w:val="22"/>
        </w:rPr>
      </w:pPr>
    </w:p>
    <w:p w:rsidR="004A559D" w:rsidP="004A559D" w14:paraId="10E6CF15" w14:textId="77777777">
      <w:pPr>
        <w:jc w:val="both"/>
        <w:rPr>
          <w:sz w:val="22"/>
          <w:szCs w:val="22"/>
        </w:rPr>
      </w:pPr>
      <w:r w:rsidRPr="00E62538">
        <w:rPr>
          <w:b/>
          <w:bCs/>
          <w:sz w:val="22"/>
          <w:szCs w:val="22"/>
        </w:rPr>
        <w:t>Reduced Pricing for Reassigned Numbers Database</w:t>
      </w:r>
      <w:r>
        <w:rPr>
          <w:sz w:val="22"/>
          <w:szCs w:val="22"/>
        </w:rPr>
        <w:t>. L</w:t>
      </w:r>
      <w:r w:rsidRPr="00E62538">
        <w:rPr>
          <w:sz w:val="22"/>
          <w:szCs w:val="22"/>
        </w:rPr>
        <w:t>owered prices and added new subscription options for its database that shows whether a phone number has been reassigned, making it easier and cheaper for businesses and callers to avoid dialing the wrong person and to reduce unwanted or mistaken calls.</w:t>
      </w:r>
    </w:p>
    <w:p w:rsidR="004A559D" w:rsidP="00133D1A" w14:paraId="3E0996B1" w14:textId="77777777">
      <w:pPr>
        <w:jc w:val="both"/>
        <w:rPr>
          <w:b/>
          <w:bCs/>
          <w:sz w:val="22"/>
          <w:szCs w:val="22"/>
        </w:rPr>
      </w:pPr>
    </w:p>
    <w:p w:rsidR="000B086F" w:rsidP="00133D1A" w14:paraId="1F6F8810" w14:textId="317058C0">
      <w:pPr>
        <w:jc w:val="both"/>
        <w:rPr>
          <w:sz w:val="22"/>
          <w:szCs w:val="22"/>
        </w:rPr>
      </w:pPr>
      <w:r w:rsidRPr="008A127F">
        <w:rPr>
          <w:b/>
          <w:bCs/>
          <w:sz w:val="22"/>
          <w:szCs w:val="22"/>
        </w:rPr>
        <w:t>Removed Non-Compliant Providers from Robocall Mitigation Database</w:t>
      </w:r>
      <w:r>
        <w:rPr>
          <w:sz w:val="22"/>
          <w:szCs w:val="22"/>
        </w:rPr>
        <w:t>. R</w:t>
      </w:r>
      <w:r w:rsidRPr="00163F7D">
        <w:rPr>
          <w:sz w:val="22"/>
          <w:szCs w:val="22"/>
        </w:rPr>
        <w:t xml:space="preserve">emoved </w:t>
      </w:r>
      <w:r>
        <w:rPr>
          <w:sz w:val="22"/>
          <w:szCs w:val="22"/>
        </w:rPr>
        <w:t>over 1,300</w:t>
      </w:r>
      <w:r w:rsidRPr="00163F7D">
        <w:rPr>
          <w:sz w:val="22"/>
          <w:szCs w:val="22"/>
        </w:rPr>
        <w:t xml:space="preserve"> non-compliant voice service providers from the Robocall Mitigation Database, effectively barring them from transmitting calls to U.S. networks. These providers failed to maintain valid certifications despite repeated warnings and were either involved in illegal robocall campaigns or failed to cooperate with investigations. The FCC emphasized the importance of accurate database filings to ensure transparency and accountability in robocall prevention.</w:t>
      </w:r>
    </w:p>
    <w:p w:rsidR="000B086F" w:rsidP="00133D1A" w14:paraId="14C382F1" w14:textId="77777777">
      <w:pPr>
        <w:jc w:val="both"/>
        <w:rPr>
          <w:sz w:val="22"/>
          <w:szCs w:val="22"/>
        </w:rPr>
      </w:pPr>
    </w:p>
    <w:p w:rsidR="000B086F" w:rsidP="00133D1A" w14:paraId="2B8302B6" w14:textId="77777777">
      <w:pPr>
        <w:jc w:val="both"/>
        <w:rPr>
          <w:sz w:val="22"/>
          <w:szCs w:val="22"/>
        </w:rPr>
      </w:pPr>
      <w:r w:rsidRPr="0012327C">
        <w:rPr>
          <w:b/>
          <w:bCs/>
          <w:sz w:val="22"/>
          <w:szCs w:val="22"/>
        </w:rPr>
        <w:t>Ended Proposal to Regulate Bulk-Billing Arrangements</w:t>
      </w:r>
      <w:r>
        <w:rPr>
          <w:sz w:val="22"/>
          <w:szCs w:val="22"/>
        </w:rPr>
        <w:t xml:space="preserve">. </w:t>
      </w:r>
      <w:r w:rsidRPr="0012327C">
        <w:rPr>
          <w:sz w:val="22"/>
          <w:szCs w:val="22"/>
        </w:rPr>
        <w:t>Bulk-billing programs are contractual arrangements between internet service providers and rental property owners that allow families living in apartments to access lower-cost internet services. The FCC rejected a proposal to regulate these agreements, which could have led to a significant increase in internet prices for rental tenants.</w:t>
      </w:r>
    </w:p>
    <w:p w:rsidR="000B086F" w:rsidP="00133D1A" w14:paraId="5C0BCB92" w14:textId="77777777">
      <w:pPr>
        <w:jc w:val="both"/>
        <w:rPr>
          <w:sz w:val="22"/>
          <w:szCs w:val="22"/>
        </w:rPr>
      </w:pPr>
    </w:p>
    <w:p w:rsidR="000B086F" w:rsidP="00133D1A" w14:paraId="4B8D7682" w14:textId="77777777">
      <w:pPr>
        <w:jc w:val="both"/>
        <w:rPr>
          <w:sz w:val="22"/>
          <w:szCs w:val="22"/>
        </w:rPr>
      </w:pPr>
      <w:r w:rsidRPr="00C73524">
        <w:rPr>
          <w:b/>
          <w:bCs/>
          <w:sz w:val="22"/>
          <w:szCs w:val="22"/>
        </w:rPr>
        <w:t>Removed Obsolete Unworkable Cable Television Rate Rules</w:t>
      </w:r>
      <w:r>
        <w:rPr>
          <w:sz w:val="22"/>
          <w:szCs w:val="22"/>
        </w:rPr>
        <w:t>. C</w:t>
      </w:r>
      <w:r w:rsidRPr="00C73524">
        <w:rPr>
          <w:sz w:val="22"/>
          <w:szCs w:val="22"/>
        </w:rPr>
        <w:t>ut dozens of outdated cable rules to reduce paperwork, help small providers, and modernize approach to cable pricing.</w:t>
      </w:r>
    </w:p>
    <w:p w:rsidR="000B086F" w:rsidP="00133D1A" w14:paraId="43314BDF" w14:textId="77777777">
      <w:pPr>
        <w:jc w:val="both"/>
        <w:rPr>
          <w:sz w:val="22"/>
          <w:szCs w:val="22"/>
        </w:rPr>
      </w:pPr>
    </w:p>
    <w:p w:rsidR="000B086F" w:rsidP="00133D1A" w14:paraId="55387AC9" w14:textId="77777777">
      <w:pPr>
        <w:jc w:val="both"/>
        <w:rPr>
          <w:sz w:val="22"/>
          <w:szCs w:val="22"/>
        </w:rPr>
      </w:pPr>
      <w:r w:rsidRPr="00C72990">
        <w:rPr>
          <w:b/>
          <w:bCs/>
          <w:sz w:val="22"/>
          <w:szCs w:val="22"/>
        </w:rPr>
        <w:t>Improved Access to the 988 Lifeline by Utilizing Geo-routing</w:t>
      </w:r>
      <w:r>
        <w:rPr>
          <w:sz w:val="22"/>
          <w:szCs w:val="22"/>
        </w:rPr>
        <w:t>. Adopted</w:t>
      </w:r>
      <w:r w:rsidRPr="008808C1">
        <w:rPr>
          <w:sz w:val="22"/>
          <w:szCs w:val="22"/>
        </w:rPr>
        <w:t xml:space="preserve"> rules requiring wireless providers to </w:t>
      </w:r>
      <w:r w:rsidRPr="008808C1">
        <w:rPr>
          <w:sz w:val="22"/>
          <w:szCs w:val="22"/>
        </w:rPr>
        <w:t>georoute</w:t>
      </w:r>
      <w:r w:rsidRPr="008808C1">
        <w:rPr>
          <w:sz w:val="22"/>
          <w:szCs w:val="22"/>
        </w:rPr>
        <w:t xml:space="preserve"> 988 text messages based on the sender’s general physical location rather than area code. This change aligns text routing with voice call practices and improves access to local crisis centers, enabling better follow-up care and mental health support.</w:t>
      </w:r>
    </w:p>
    <w:p w:rsidR="000B086F" w:rsidP="00133D1A" w14:paraId="72CB4383" w14:textId="77777777">
      <w:pPr>
        <w:jc w:val="both"/>
        <w:rPr>
          <w:sz w:val="22"/>
          <w:szCs w:val="22"/>
        </w:rPr>
      </w:pPr>
    </w:p>
    <w:p w:rsidR="000B086F" w:rsidP="00133D1A" w14:paraId="7AE9F844" w14:textId="77777777">
      <w:pPr>
        <w:jc w:val="both"/>
        <w:rPr>
          <w:sz w:val="22"/>
          <w:szCs w:val="22"/>
        </w:rPr>
      </w:pPr>
      <w:r w:rsidRPr="0053680F">
        <w:rPr>
          <w:b/>
          <w:bCs/>
          <w:sz w:val="22"/>
          <w:szCs w:val="22"/>
        </w:rPr>
        <w:t>Adopted Interim Rates for Incarcerated People’s Communications Services</w:t>
      </w:r>
      <w:r>
        <w:rPr>
          <w:sz w:val="22"/>
          <w:szCs w:val="22"/>
        </w:rPr>
        <w:t xml:space="preserve">. </w:t>
      </w:r>
      <w:r w:rsidRPr="0053680F">
        <w:rPr>
          <w:sz w:val="22"/>
          <w:szCs w:val="22"/>
        </w:rPr>
        <w:t>The FCC is updating prison phone rules to better reflect safety costs and make sure services stay available, while keeping rates fair for families.</w:t>
      </w:r>
    </w:p>
    <w:p w:rsidR="000B086F" w:rsidP="00133D1A" w14:paraId="7CE63652" w14:textId="77777777">
      <w:pPr>
        <w:jc w:val="both"/>
        <w:rPr>
          <w:sz w:val="22"/>
          <w:szCs w:val="22"/>
        </w:rPr>
      </w:pPr>
    </w:p>
    <w:p w:rsidR="000B086F" w:rsidP="00133D1A" w14:paraId="63357F9B" w14:textId="77777777">
      <w:pPr>
        <w:jc w:val="both"/>
        <w:rPr>
          <w:sz w:val="22"/>
          <w:szCs w:val="22"/>
        </w:rPr>
      </w:pPr>
      <w:r w:rsidRPr="009D2C18">
        <w:rPr>
          <w:b/>
          <w:bCs/>
          <w:sz w:val="22"/>
          <w:szCs w:val="22"/>
        </w:rPr>
        <w:t>Proposed Fines Against Pirate Radio Operations</w:t>
      </w:r>
      <w:r>
        <w:rPr>
          <w:sz w:val="22"/>
          <w:szCs w:val="22"/>
        </w:rPr>
        <w:t xml:space="preserve">. </w:t>
      </w:r>
      <w:r w:rsidRPr="00AE1DA6">
        <w:rPr>
          <w:sz w:val="22"/>
          <w:szCs w:val="22"/>
        </w:rPr>
        <w:t>Under the PIRATE Act, the FCC proposes nearly $400,000 in fines against two repeat offenders for operating illegal radio stations in Miami. These unauthorized broadcasts undermine licensed stations and cause harmful interference to lawful public services.</w:t>
      </w:r>
    </w:p>
    <w:p w:rsidR="000B086F" w:rsidP="00133D1A" w14:paraId="78A42A8F" w14:textId="77777777">
      <w:pPr>
        <w:jc w:val="both"/>
        <w:rPr>
          <w:sz w:val="22"/>
          <w:szCs w:val="22"/>
        </w:rPr>
      </w:pPr>
    </w:p>
    <w:p w:rsidR="000B086F" w:rsidRPr="000B086F" w:rsidP="00133D1A" w14:paraId="4D019ADF" w14:textId="77777777">
      <w:pPr>
        <w:autoSpaceDE w:val="0"/>
        <w:autoSpaceDN w:val="0"/>
        <w:adjustRightInd w:val="0"/>
        <w:jc w:val="both"/>
        <w:rPr>
          <w:b/>
          <w:bCs/>
          <w:szCs w:val="24"/>
          <w:u w:val="single"/>
        </w:rPr>
      </w:pPr>
      <w:r w:rsidRPr="000B086F">
        <w:rPr>
          <w:b/>
          <w:bCs/>
          <w:szCs w:val="24"/>
          <w:u w:val="single"/>
        </w:rPr>
        <w:t>Strategic Goal 4: Enhance Efficiency, Accountability, and Reduce Waste</w:t>
      </w:r>
    </w:p>
    <w:p w:rsidR="000B086F" w:rsidP="00133D1A" w14:paraId="519F3EA4" w14:textId="77777777">
      <w:pPr>
        <w:jc w:val="both"/>
        <w:rPr>
          <w:sz w:val="22"/>
          <w:szCs w:val="22"/>
        </w:rPr>
      </w:pPr>
    </w:p>
    <w:p w:rsidR="000B086F" w:rsidP="00133D1A" w14:paraId="65330D6A" w14:textId="41ECB64B">
      <w:pPr>
        <w:jc w:val="both"/>
        <w:rPr>
          <w:sz w:val="22"/>
          <w:szCs w:val="22"/>
        </w:rPr>
      </w:pPr>
      <w:r w:rsidRPr="009D09B5">
        <w:rPr>
          <w:b/>
          <w:bCs/>
          <w:sz w:val="22"/>
          <w:szCs w:val="22"/>
        </w:rPr>
        <w:t>Launched a Massive Deregulation Initiative “Delete, Delete, Delete”</w:t>
      </w:r>
      <w:r>
        <w:rPr>
          <w:sz w:val="22"/>
          <w:szCs w:val="22"/>
        </w:rPr>
        <w:t>. The FCC asked</w:t>
      </w:r>
      <w:r w:rsidRPr="009F0B78">
        <w:rPr>
          <w:sz w:val="22"/>
          <w:szCs w:val="22"/>
        </w:rPr>
        <w:t xml:space="preserve"> the public to help identify outdated or overly burdensome rules that may be slowing down innovation or hurting small businesses. This review supports a broader push to simplify regulations and make sure they reflect today’s technology, market conditions, and legal standards.</w:t>
      </w:r>
      <w:r>
        <w:rPr>
          <w:sz w:val="22"/>
          <w:szCs w:val="22"/>
        </w:rPr>
        <w:t xml:space="preserve"> This included: removing over 40 outdated rules that no longer serve a purpose and burden internet and network connection; deleting rules </w:t>
      </w:r>
      <w:r w:rsidRPr="0003173B">
        <w:rPr>
          <w:sz w:val="22"/>
          <w:szCs w:val="22"/>
        </w:rPr>
        <w:t>about telegraphs, rabbit-ear TVs, and phone booths</w:t>
      </w:r>
      <w:r>
        <w:rPr>
          <w:sz w:val="22"/>
          <w:szCs w:val="22"/>
        </w:rPr>
        <w:t xml:space="preserve">; removing nearly 100 old broadcast rules, some dating back 50 years; nearly 400 primarily wireline-related rules and requirements that govern obsolete technology, are duplicative, and no longer used in practice, and much more. </w:t>
      </w:r>
      <w:r w:rsidRPr="00797A5F" w:rsidR="00797A5F">
        <w:rPr>
          <w:sz w:val="22"/>
          <w:szCs w:val="22"/>
        </w:rPr>
        <w:t>To date, the Commission has removed</w:t>
      </w:r>
      <w:r w:rsidR="00EB7A5F">
        <w:rPr>
          <w:sz w:val="22"/>
          <w:szCs w:val="22"/>
        </w:rPr>
        <w:t xml:space="preserve"> or teed up </w:t>
      </w:r>
      <w:r w:rsidR="000273F5">
        <w:rPr>
          <w:sz w:val="22"/>
          <w:szCs w:val="22"/>
        </w:rPr>
        <w:t>for removal</w:t>
      </w:r>
      <w:r w:rsidR="00A0645A">
        <w:rPr>
          <w:sz w:val="22"/>
          <w:szCs w:val="22"/>
        </w:rPr>
        <w:t xml:space="preserve"> </w:t>
      </w:r>
      <w:r w:rsidRPr="000273F5" w:rsidR="000273F5">
        <w:rPr>
          <w:sz w:val="22"/>
          <w:szCs w:val="22"/>
        </w:rPr>
        <w:t xml:space="preserve">1,108 rules and regulations, 134,928 words, and 312 pages of the Code of Federal Regulations. The FCC has also worked to close out inactive dockets and has terminated a record 2,048 inactive proceedings. These initiatives further the Commission’s goal of promoting good governance, increasing efficiency, and modernizing agency processes. </w:t>
      </w:r>
      <w:r w:rsidRPr="00797A5F" w:rsidR="00797A5F">
        <w:rPr>
          <w:sz w:val="22"/>
          <w:szCs w:val="22"/>
        </w:rPr>
        <w:t xml:space="preserve"> </w:t>
      </w:r>
    </w:p>
    <w:p w:rsidR="00075779" w:rsidP="00133D1A" w14:paraId="0413B976" w14:textId="77777777">
      <w:pPr>
        <w:jc w:val="both"/>
        <w:rPr>
          <w:sz w:val="22"/>
          <w:szCs w:val="22"/>
        </w:rPr>
      </w:pPr>
    </w:p>
    <w:p w:rsidR="000B086F" w:rsidP="00133D1A" w14:paraId="15D232F3" w14:textId="77777777">
      <w:pPr>
        <w:jc w:val="both"/>
        <w:rPr>
          <w:sz w:val="22"/>
          <w:szCs w:val="22"/>
        </w:rPr>
      </w:pPr>
      <w:r w:rsidRPr="00F368E6">
        <w:rPr>
          <w:b/>
          <w:bCs/>
          <w:sz w:val="22"/>
          <w:szCs w:val="22"/>
        </w:rPr>
        <w:t>Saves Taxpayers Over $9 Million Following Audit Reviews</w:t>
      </w:r>
      <w:r>
        <w:rPr>
          <w:sz w:val="22"/>
          <w:szCs w:val="22"/>
        </w:rPr>
        <w:t xml:space="preserve">. </w:t>
      </w:r>
      <w:r w:rsidRPr="00F368E6">
        <w:rPr>
          <w:sz w:val="22"/>
          <w:szCs w:val="22"/>
        </w:rPr>
        <w:t>The FCC ordered seven phone companies to repay over $9 million to the Universal Service Fund after audits confirmed they received improper support. The Wireline Competition Bureau affirmed the Universal Service Administrative Company's findings and emphasized the need to transition from legacy rate-of-return programs to more efficient fixed-support models and modern IP networks.</w:t>
      </w:r>
    </w:p>
    <w:p w:rsidR="000B086F" w:rsidP="00133D1A" w14:paraId="3BF94B0D" w14:textId="77777777">
      <w:pPr>
        <w:jc w:val="both"/>
        <w:rPr>
          <w:sz w:val="22"/>
          <w:szCs w:val="22"/>
        </w:rPr>
      </w:pPr>
    </w:p>
    <w:p w:rsidR="00075779" w:rsidRPr="00A33DCF" w:rsidP="00075779" w14:paraId="3A033FA1" w14:textId="77777777">
      <w:pPr>
        <w:jc w:val="both"/>
        <w:rPr>
          <w:sz w:val="22"/>
          <w:szCs w:val="22"/>
        </w:rPr>
      </w:pPr>
      <w:r w:rsidRPr="00A33DCF">
        <w:rPr>
          <w:b/>
          <w:bCs/>
          <w:sz w:val="22"/>
          <w:szCs w:val="22"/>
        </w:rPr>
        <w:t>FCC &amp; DOJ Announce Q Link Wireless $110M Global Resolution</w:t>
      </w:r>
      <w:r>
        <w:rPr>
          <w:sz w:val="22"/>
          <w:szCs w:val="22"/>
        </w:rPr>
        <w:t xml:space="preserve">. </w:t>
      </w:r>
      <w:r w:rsidRPr="002E0739">
        <w:rPr>
          <w:sz w:val="22"/>
          <w:szCs w:val="22"/>
        </w:rPr>
        <w:t>Q Link Wireless LLC (Q Link) and its owner, Issa Asad, located in Dania Beach, Florida, have agreed to pay $110,637,057 to resolve criminal charges and civil allegations that they violated the False Claims Act by submitting false claims to the FCC’s Lifeline Program.</w:t>
      </w:r>
    </w:p>
    <w:p w:rsidR="00075779" w:rsidP="00133D1A" w14:paraId="25FB6FF8" w14:textId="77777777">
      <w:pPr>
        <w:jc w:val="both"/>
        <w:rPr>
          <w:b/>
          <w:bCs/>
          <w:sz w:val="22"/>
          <w:szCs w:val="22"/>
        </w:rPr>
      </w:pPr>
    </w:p>
    <w:p w:rsidR="000B086F" w:rsidP="00133D1A" w14:paraId="034B334C" w14:textId="54D90E03">
      <w:pPr>
        <w:jc w:val="both"/>
        <w:rPr>
          <w:sz w:val="22"/>
          <w:szCs w:val="22"/>
        </w:rPr>
      </w:pPr>
      <w:r w:rsidRPr="009161B9">
        <w:rPr>
          <w:b/>
          <w:bCs/>
          <w:sz w:val="22"/>
          <w:szCs w:val="22"/>
        </w:rPr>
        <w:t>Demanded Repayment of $1.18 Million for Provider Overbilling of Computer Tablets in COVID-Era Programs</w:t>
      </w:r>
      <w:r>
        <w:rPr>
          <w:sz w:val="22"/>
          <w:szCs w:val="22"/>
        </w:rPr>
        <w:t xml:space="preserve">. </w:t>
      </w:r>
      <w:r w:rsidRPr="009161B9">
        <w:rPr>
          <w:sz w:val="22"/>
          <w:szCs w:val="22"/>
        </w:rPr>
        <w:t>The FCC ordered $1.18 million to be repaid to American taxpayers by Boomerang Wireless and Assist Wireless after audits revealed they overclaimed reimbursement for connected devices under COVID-era programs. The companies sought up to $100 per tablet for devices that were widely available at significantly lower market prices.</w:t>
      </w:r>
    </w:p>
    <w:p w:rsidR="000B086F" w:rsidP="00133D1A" w14:paraId="76FB8E7F" w14:textId="77777777">
      <w:pPr>
        <w:jc w:val="both"/>
        <w:rPr>
          <w:sz w:val="22"/>
          <w:szCs w:val="22"/>
        </w:rPr>
      </w:pPr>
    </w:p>
    <w:p w:rsidR="00A33DCF" w:rsidP="00133D1A" w14:paraId="2EC4EE83" w14:textId="77777777">
      <w:pPr>
        <w:jc w:val="both"/>
        <w:rPr>
          <w:b/>
          <w:bCs/>
          <w:sz w:val="22"/>
          <w:szCs w:val="22"/>
        </w:rPr>
      </w:pPr>
    </w:p>
    <w:p w:rsidR="000B086F" w:rsidP="00133D1A" w14:paraId="7410C18C" w14:textId="77777777">
      <w:pPr>
        <w:jc w:val="both"/>
        <w:rPr>
          <w:sz w:val="22"/>
          <w:szCs w:val="22"/>
        </w:rPr>
      </w:pPr>
    </w:p>
    <w:p w:rsidR="00E559C0" w:rsidP="00E559C0" w14:paraId="29F6D900" w14:textId="77777777">
      <w:pPr>
        <w:jc w:val="both"/>
        <w:rPr>
          <w:sz w:val="22"/>
          <w:szCs w:val="22"/>
        </w:rPr>
      </w:pPr>
    </w:p>
    <w:p w:rsidR="00E559C0" w:rsidP="00E559C0" w14:paraId="7DEFACE3" w14:textId="77777777">
      <w:pPr>
        <w:jc w:val="both"/>
        <w:rPr>
          <w:sz w:val="22"/>
          <w:szCs w:val="22"/>
        </w:rPr>
      </w:pPr>
    </w:p>
    <w:p w:rsidR="00E559C0" w:rsidP="00E559C0" w14:paraId="6EC88323" w14:textId="77777777">
      <w:pPr>
        <w:jc w:val="both"/>
        <w:rPr>
          <w:sz w:val="22"/>
          <w:szCs w:val="22"/>
        </w:rPr>
      </w:pPr>
    </w:p>
    <w:p w:rsidR="00E559C0" w:rsidP="00E559C0" w14:paraId="1D5BCD87" w14:textId="77777777">
      <w:pPr>
        <w:jc w:val="both"/>
        <w:rPr>
          <w:sz w:val="22"/>
          <w:szCs w:val="22"/>
        </w:rPr>
      </w:pPr>
    </w:p>
    <w:p w:rsidR="00E559C0" w:rsidP="00E559C0" w14:paraId="65E8789A" w14:textId="77777777">
      <w:pPr>
        <w:jc w:val="both"/>
        <w:rPr>
          <w:sz w:val="22"/>
          <w:szCs w:val="22"/>
        </w:rPr>
      </w:pPr>
    </w:p>
    <w:p w:rsidR="00E559C0" w:rsidP="00E559C0" w14:paraId="22678D81" w14:textId="77777777">
      <w:pPr>
        <w:jc w:val="both"/>
        <w:rPr>
          <w:sz w:val="22"/>
          <w:szCs w:val="22"/>
        </w:rPr>
      </w:pPr>
    </w:p>
    <w:p w:rsidR="00E559C0" w:rsidP="00E559C0" w14:paraId="79AC545E" w14:textId="77777777">
      <w:pPr>
        <w:jc w:val="both"/>
        <w:rPr>
          <w:sz w:val="22"/>
          <w:szCs w:val="22"/>
        </w:rPr>
      </w:pPr>
    </w:p>
    <w:p w:rsidR="00E559C0" w:rsidP="00E559C0" w14:paraId="632D976D" w14:textId="77777777">
      <w:pPr>
        <w:jc w:val="both"/>
        <w:rPr>
          <w:sz w:val="22"/>
          <w:szCs w:val="22"/>
        </w:rPr>
      </w:pPr>
    </w:p>
    <w:p w:rsidR="00E559C0" w:rsidP="00E559C0" w14:paraId="67172569" w14:textId="77777777">
      <w:pPr>
        <w:jc w:val="both"/>
        <w:rPr>
          <w:sz w:val="22"/>
          <w:szCs w:val="22"/>
        </w:rPr>
      </w:pPr>
    </w:p>
    <w:p w:rsidR="00E559C0" w:rsidP="00E559C0" w14:paraId="3A3894FE" w14:textId="77777777">
      <w:pPr>
        <w:jc w:val="both"/>
        <w:rPr>
          <w:sz w:val="22"/>
          <w:szCs w:val="22"/>
        </w:rPr>
        <w:sectPr w:rsidSect="00C506F4">
          <w:pgSz w:w="12240" w:h="15840" w:code="1"/>
          <w:pgMar w:top="1152" w:right="1440" w:bottom="1152" w:left="1440" w:header="720" w:footer="720" w:gutter="0"/>
          <w:cols w:space="720"/>
        </w:sectPr>
      </w:pPr>
    </w:p>
    <w:p w:rsidR="00E559C0" w:rsidRPr="00060D1B" w:rsidP="00E559C0" w14:paraId="27B89C6E" w14:textId="77777777">
      <w:pPr>
        <w:pStyle w:val="Heading2"/>
        <w:jc w:val="left"/>
        <w:rPr>
          <w:rFonts w:ascii="Times New Roman" w:hAnsi="Times New Roman" w:cs="Times New Roman"/>
          <w:sz w:val="28"/>
          <w:szCs w:val="28"/>
        </w:rPr>
      </w:pPr>
      <w:bookmarkStart w:id="22" w:name="_Toc467000230"/>
      <w:bookmarkStart w:id="23" w:name="_Toc216960427"/>
      <w:r w:rsidRPr="002B5536">
        <w:rPr>
          <w:rFonts w:ascii="Times New Roman" w:hAnsi="Times New Roman" w:cs="Times New Roman"/>
          <w:sz w:val="28"/>
          <w:szCs w:val="28"/>
        </w:rPr>
        <w:t>Overall Status of Audit Recommendations</w:t>
      </w:r>
      <w:bookmarkEnd w:id="22"/>
      <w:bookmarkEnd w:id="23"/>
      <w:r w:rsidRPr="00060D1B">
        <w:rPr>
          <w:rFonts w:ascii="Times New Roman" w:hAnsi="Times New Roman" w:cs="Times New Roman"/>
          <w:sz w:val="28"/>
          <w:szCs w:val="28"/>
        </w:rPr>
        <w:t xml:space="preserve"> </w:t>
      </w:r>
    </w:p>
    <w:p w:rsidR="00E559C0" w:rsidP="00E559C0" w14:paraId="7055FEBA" w14:textId="77777777">
      <w:pPr>
        <w:tabs>
          <w:tab w:val="left" w:pos="0"/>
        </w:tabs>
        <w:jc w:val="both"/>
        <w:rPr>
          <w:sz w:val="22"/>
          <w:szCs w:val="22"/>
        </w:rPr>
      </w:pPr>
    </w:p>
    <w:p w:rsidR="00975A26" w:rsidP="00975A26" w14:paraId="0CE41762" w14:textId="77777777">
      <w:pPr>
        <w:tabs>
          <w:tab w:val="left" w:pos="0"/>
        </w:tabs>
        <w:jc w:val="both"/>
        <w:rPr>
          <w:sz w:val="22"/>
          <w:szCs w:val="22"/>
        </w:rPr>
      </w:pPr>
      <w:r>
        <w:rPr>
          <w:sz w:val="22"/>
          <w:szCs w:val="22"/>
        </w:rPr>
        <w:t xml:space="preserve">The chart below shows the number of audit recommendations outstanding, both public and non-public, from various audits conducted by FCC’s Office of Inspector General (OIG) and the Government Accountability Office (GAO) as of September 30, 2025.  </w:t>
      </w:r>
      <w:r w:rsidRPr="004221F0">
        <w:rPr>
          <w:sz w:val="22"/>
          <w:szCs w:val="22"/>
        </w:rPr>
        <w:t xml:space="preserve">The numbers shown below exclude those recommendations for which the Commission has already submitted information to GAO and OIG requesting closure of the recommendation. </w:t>
      </w:r>
      <w:r>
        <w:rPr>
          <w:sz w:val="22"/>
          <w:szCs w:val="22"/>
        </w:rPr>
        <w:t xml:space="preserve"> </w:t>
      </w:r>
      <w:r w:rsidRPr="004221F0">
        <w:rPr>
          <w:sz w:val="22"/>
          <w:szCs w:val="22"/>
        </w:rPr>
        <w:t>The count also excludes those recommendations that the Commission has determined to be closed as not implemented.</w:t>
      </w:r>
      <w:r>
        <w:rPr>
          <w:sz w:val="22"/>
          <w:szCs w:val="22"/>
        </w:rPr>
        <w:t xml:space="preserve">  For FY 2025, the Commission has implemented (closed) 42 outstanding recommendations, received 48 new and reopen recommendations, and finished the month of September 2025 with a total of 62 open recommendations.  In FY 2019, there was a large number of new recommendations received just before the fiscal year end, which led to the increased number of open recommendations in that fiscal year.  </w:t>
      </w:r>
    </w:p>
    <w:p w:rsidR="00975A26" w:rsidP="00975A26" w14:paraId="2561D29C" w14:textId="77777777">
      <w:pPr>
        <w:tabs>
          <w:tab w:val="left" w:pos="0"/>
        </w:tabs>
        <w:jc w:val="both"/>
        <w:rPr>
          <w:sz w:val="22"/>
          <w:szCs w:val="22"/>
        </w:rPr>
      </w:pPr>
    </w:p>
    <w:p w:rsidR="00E559C0" w:rsidP="00975A26" w14:paraId="4A047429" w14:textId="34D97381">
      <w:pPr>
        <w:tabs>
          <w:tab w:val="left" w:pos="0"/>
        </w:tabs>
        <w:jc w:val="both"/>
        <w:rPr>
          <w:sz w:val="22"/>
          <w:szCs w:val="22"/>
        </w:rPr>
      </w:pPr>
      <w:r w:rsidRPr="00B10321">
        <w:rPr>
          <w:sz w:val="22"/>
          <w:szCs w:val="22"/>
        </w:rPr>
        <w:t xml:space="preserve">As can be seen by the </w:t>
      </w:r>
      <w:r>
        <w:rPr>
          <w:sz w:val="22"/>
          <w:szCs w:val="22"/>
        </w:rPr>
        <w:t xml:space="preserve">number of implemented </w:t>
      </w:r>
      <w:r w:rsidRPr="00B10321">
        <w:rPr>
          <w:sz w:val="22"/>
          <w:szCs w:val="22"/>
        </w:rPr>
        <w:t xml:space="preserve">recommendations </w:t>
      </w:r>
      <w:r>
        <w:rPr>
          <w:sz w:val="22"/>
          <w:szCs w:val="22"/>
        </w:rPr>
        <w:t xml:space="preserve">during </w:t>
      </w:r>
      <w:r w:rsidRPr="00B10321">
        <w:rPr>
          <w:sz w:val="22"/>
          <w:szCs w:val="22"/>
        </w:rPr>
        <w:t>FY 202</w:t>
      </w:r>
      <w:r>
        <w:rPr>
          <w:sz w:val="22"/>
          <w:szCs w:val="22"/>
        </w:rPr>
        <w:t>5</w:t>
      </w:r>
      <w:r w:rsidRPr="00B10321">
        <w:rPr>
          <w:sz w:val="22"/>
          <w:szCs w:val="22"/>
        </w:rPr>
        <w:t>,</w:t>
      </w:r>
      <w:r>
        <w:rPr>
          <w:sz w:val="22"/>
          <w:szCs w:val="22"/>
        </w:rPr>
        <w:t xml:space="preserve"> the Commission has been actively working to implement (close) open recommendations as quickly as possible.  The Commission will continue to work as quickly as possible to implement (close) the outstanding recommendations.</w:t>
      </w:r>
    </w:p>
    <w:p w:rsidR="00E559C0" w:rsidP="00E559C0" w14:paraId="27E92DD3" w14:textId="77777777">
      <w:pPr>
        <w:tabs>
          <w:tab w:val="left" w:pos="0"/>
        </w:tabs>
        <w:jc w:val="both"/>
        <w:rPr>
          <w:sz w:val="22"/>
          <w:szCs w:val="22"/>
        </w:rPr>
      </w:pPr>
      <w:r>
        <w:rPr>
          <w:sz w:val="22"/>
          <w:szCs w:val="22"/>
        </w:rPr>
        <w:t xml:space="preserve"> </w:t>
      </w:r>
    </w:p>
    <w:p w:rsidR="00E559C0" w:rsidP="16B3AFE0" w14:paraId="378FC4D4" w14:textId="7AEFD7AC">
      <w:pPr>
        <w:jc w:val="center"/>
        <w:rPr>
          <w:sz w:val="22"/>
          <w:szCs w:val="22"/>
        </w:rPr>
      </w:pPr>
      <w:r w:rsidRPr="00975A26">
        <w:rPr>
          <w:noProof/>
        </w:rPr>
        <w:drawing>
          <wp:inline distT="0" distB="0" distL="0" distR="0">
            <wp:extent cx="5943600" cy="3458845"/>
            <wp:effectExtent l="0" t="0" r="0" b="8255"/>
            <wp:docPr id="1409787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87336" name="Picture 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458845"/>
                    </a:xfrm>
                    <a:prstGeom prst="rect">
                      <a:avLst/>
                    </a:prstGeom>
                    <a:noFill/>
                    <a:ln>
                      <a:noFill/>
                    </a:ln>
                  </pic:spPr>
                </pic:pic>
              </a:graphicData>
            </a:graphic>
          </wp:inline>
        </w:drawing>
      </w:r>
    </w:p>
    <w:p w:rsidR="00E559C0" w:rsidP="00E559C0" w14:paraId="217ED64E" w14:textId="5C117B99">
      <w:pPr>
        <w:tabs>
          <w:tab w:val="left" w:pos="0"/>
        </w:tabs>
        <w:jc w:val="center"/>
        <w:rPr>
          <w:sz w:val="22"/>
          <w:szCs w:val="22"/>
        </w:rPr>
      </w:pPr>
    </w:p>
    <w:p w:rsidR="00E559C0" w:rsidP="00E559C0" w14:paraId="19F02749" w14:textId="66957A39">
      <w:pPr>
        <w:tabs>
          <w:tab w:val="left" w:pos="0"/>
        </w:tabs>
        <w:jc w:val="center"/>
        <w:rPr>
          <w:sz w:val="22"/>
          <w:szCs w:val="22"/>
        </w:rPr>
      </w:pPr>
    </w:p>
    <w:p w:rsidR="00E559C0" w:rsidP="00E559C0" w14:paraId="2D1FD0CC" w14:textId="77777777">
      <w:pPr>
        <w:tabs>
          <w:tab w:val="left" w:pos="0"/>
        </w:tabs>
        <w:jc w:val="center"/>
        <w:rPr>
          <w:sz w:val="22"/>
          <w:szCs w:val="22"/>
        </w:rPr>
      </w:pPr>
    </w:p>
    <w:p w:rsidR="00E559C0" w:rsidP="00E559C0" w14:paraId="3899DB35" w14:textId="77777777">
      <w:pPr>
        <w:tabs>
          <w:tab w:val="left" w:pos="0"/>
        </w:tabs>
        <w:jc w:val="center"/>
        <w:rPr>
          <w:sz w:val="22"/>
          <w:szCs w:val="22"/>
        </w:rPr>
      </w:pPr>
    </w:p>
    <w:p w:rsidR="00E559C0" w:rsidP="00E559C0" w14:paraId="017B4378" w14:textId="77777777">
      <w:pPr>
        <w:rPr>
          <w:sz w:val="22"/>
          <w:szCs w:val="22"/>
        </w:rPr>
      </w:pPr>
    </w:p>
    <w:p w:rsidR="00E559C0" w:rsidP="00E559C0" w14:paraId="70D80372" w14:textId="77777777">
      <w:pPr>
        <w:rPr>
          <w:sz w:val="22"/>
          <w:szCs w:val="22"/>
        </w:rPr>
      </w:pPr>
    </w:p>
    <w:p w:rsidR="00E559C0" w:rsidP="00E559C0" w14:paraId="2A0916BD" w14:textId="77777777">
      <w:pPr>
        <w:rPr>
          <w:sz w:val="22"/>
          <w:szCs w:val="22"/>
        </w:rPr>
      </w:pPr>
    </w:p>
    <w:p w:rsidR="00E559C0" w:rsidP="00E559C0" w14:paraId="39BA2C73" w14:textId="77777777">
      <w:pPr>
        <w:rPr>
          <w:sz w:val="22"/>
          <w:szCs w:val="22"/>
        </w:rPr>
      </w:pPr>
    </w:p>
    <w:p w:rsidR="00E559C0" w:rsidP="00E559C0" w14:paraId="3647FECF" w14:textId="58F9FB5B">
      <w:pPr>
        <w:rPr>
          <w:sz w:val="22"/>
          <w:szCs w:val="22"/>
        </w:rPr>
        <w:sectPr w:rsidSect="00C506F4">
          <w:pgSz w:w="12240" w:h="15840" w:code="1"/>
          <w:pgMar w:top="1152" w:right="1440" w:bottom="1152" w:left="1440" w:header="720" w:footer="720" w:gutter="0"/>
          <w:cols w:space="720"/>
        </w:sectPr>
      </w:pPr>
    </w:p>
    <w:p w:rsidR="00E559C0" w:rsidP="00E559C0" w14:paraId="03072C89" w14:textId="272FE784">
      <w:pPr>
        <w:pStyle w:val="Heading2"/>
        <w:jc w:val="left"/>
        <w:rPr>
          <w:rFonts w:ascii="Times New Roman" w:hAnsi="Times New Roman" w:cs="Times New Roman"/>
          <w:sz w:val="28"/>
          <w:szCs w:val="28"/>
        </w:rPr>
      </w:pPr>
      <w:bookmarkStart w:id="24" w:name="_Toc467000231"/>
      <w:bookmarkStart w:id="25" w:name="_Toc216960428"/>
      <w:bookmarkStart w:id="26" w:name="_Hlk87506422"/>
      <w:r w:rsidRPr="00225AEF">
        <w:rPr>
          <w:rFonts w:ascii="Times New Roman" w:hAnsi="Times New Roman" w:cs="Times New Roman"/>
          <w:sz w:val="28"/>
          <w:szCs w:val="28"/>
        </w:rPr>
        <w:t>Management Assurances</w:t>
      </w:r>
      <w:bookmarkEnd w:id="24"/>
      <w:bookmarkEnd w:id="25"/>
    </w:p>
    <w:p w:rsidR="00E559C0" w:rsidP="00E559C0" w14:paraId="4544355F" w14:textId="77777777">
      <w:pPr>
        <w:rPr>
          <w:sz w:val="22"/>
        </w:rPr>
      </w:pPr>
    </w:p>
    <w:p w:rsidR="009B0BB1" w:rsidRPr="00221F18" w:rsidP="009B0BB1" w14:paraId="3CA3E251" w14:textId="77777777">
      <w:pPr>
        <w:pStyle w:val="Default"/>
        <w:jc w:val="both"/>
        <w:rPr>
          <w:rFonts w:ascii="Times New Roman" w:hAnsi="Times New Roman" w:cs="Times New Roman"/>
          <w:sz w:val="22"/>
          <w:szCs w:val="22"/>
        </w:rPr>
      </w:pPr>
      <w:r>
        <w:rPr>
          <w:rFonts w:ascii="Times New Roman" w:hAnsi="Times New Roman" w:cs="Times New Roman"/>
          <w:sz w:val="22"/>
          <w:szCs w:val="22"/>
        </w:rPr>
        <w:t>Section 2 of t</w:t>
      </w:r>
      <w:r w:rsidRPr="00221F18">
        <w:rPr>
          <w:rFonts w:ascii="Times New Roman" w:hAnsi="Times New Roman" w:cs="Times New Roman"/>
          <w:sz w:val="22"/>
          <w:szCs w:val="22"/>
        </w:rPr>
        <w:t>he Federal Managers’ Financial Integrity Act of 1982 (FMFIA) establishes overall requirements with regard to internal control.  FMFIA requires agencies to establish controls that reasonably ensure that:</w:t>
      </w:r>
      <w:r>
        <w:rPr>
          <w:rFonts w:ascii="Times New Roman" w:hAnsi="Times New Roman" w:cs="Times New Roman"/>
          <w:sz w:val="22"/>
          <w:szCs w:val="22"/>
        </w:rPr>
        <w:t xml:space="preserve"> </w:t>
      </w:r>
      <w:r w:rsidRPr="00221F18">
        <w:rPr>
          <w:rFonts w:ascii="Times New Roman" w:hAnsi="Times New Roman" w:cs="Times New Roman"/>
          <w:sz w:val="22"/>
          <w:szCs w:val="22"/>
        </w:rPr>
        <w:t xml:space="preserve"> (i) obligations and costs are in compliance with applicable laws; (ii) funds, property, and other assets are safeguarded against waste, loss, unauthorized use, or misappropriation; and (iii) revenues and expenditures applicable to agency operations are properly recorded and accounted for to permit the preparation of accounts and reliable financial and statistical reports, and to maintain accountability over assets.  Pursuant to FMFIA’s requirements, agencies must annually evaluate their system of internal controls and report on the results of those evaluations through management assurance statements.</w:t>
      </w:r>
    </w:p>
    <w:p w:rsidR="009B0BB1" w:rsidRPr="00221F18" w:rsidP="009B0BB1" w14:paraId="762E1ADC" w14:textId="77777777">
      <w:pPr>
        <w:pStyle w:val="Default"/>
        <w:jc w:val="both"/>
        <w:rPr>
          <w:rFonts w:ascii="Times New Roman" w:hAnsi="Times New Roman" w:cs="Times New Roman"/>
          <w:sz w:val="22"/>
          <w:szCs w:val="22"/>
        </w:rPr>
      </w:pPr>
    </w:p>
    <w:p w:rsidR="009B0BB1" w:rsidRPr="00221F18" w:rsidP="009B0BB1" w14:paraId="61C9572A" w14:textId="77777777">
      <w:pPr>
        <w:pStyle w:val="Default"/>
        <w:jc w:val="both"/>
        <w:rPr>
          <w:rFonts w:ascii="Times New Roman" w:hAnsi="Times New Roman" w:cs="Times New Roman"/>
          <w:sz w:val="22"/>
          <w:szCs w:val="22"/>
        </w:rPr>
      </w:pPr>
      <w:r w:rsidRPr="00221F18">
        <w:rPr>
          <w:rFonts w:ascii="Times New Roman" w:hAnsi="Times New Roman" w:cs="Times New Roman"/>
          <w:sz w:val="22"/>
          <w:szCs w:val="22"/>
        </w:rPr>
        <w:t xml:space="preserve">In accordance with Office of Management and Budget (OMB) guidance related to FMFIA, OMB Circular A-123, </w:t>
      </w:r>
      <w:r w:rsidRPr="00221F18">
        <w:rPr>
          <w:rFonts w:ascii="Times New Roman" w:hAnsi="Times New Roman" w:cs="Times New Roman"/>
          <w:i/>
          <w:iCs/>
          <w:sz w:val="22"/>
          <w:szCs w:val="22"/>
        </w:rPr>
        <w:t>Management’s Responsibility for Enterprise Risk Management and Internal Control</w:t>
      </w:r>
      <w:r w:rsidRPr="00221F18">
        <w:rPr>
          <w:rFonts w:ascii="Times New Roman" w:hAnsi="Times New Roman" w:cs="Times New Roman"/>
          <w:sz w:val="22"/>
          <w:szCs w:val="22"/>
        </w:rPr>
        <w:t>, the Commission maintains internal controls for financial and management reporting that provide reasonable assurance that the consolidated financial statements fairly present information related to assets, liabilities, and net position and do not contain material misstatements.  Transactions are executed in accordance with budgetary and financial laws, consistent with the Commission’s statutory requirements, and are recorded in accordance with Federal accounting standards.  Additionally, assets are properly acquired, used, and safeguarded to deter theft, accidental loss or unauthorized disposition, and fraud.  Furthermore, the Commission’s internal controls provide for the reliability and completeness of its financial and performance data.</w:t>
      </w:r>
    </w:p>
    <w:p w:rsidR="009B0BB1" w:rsidP="009B0BB1" w14:paraId="0421E02C" w14:textId="77777777">
      <w:pPr>
        <w:pStyle w:val="Default"/>
        <w:jc w:val="both"/>
        <w:rPr>
          <w:rFonts w:ascii="Times New Roman" w:hAnsi="Times New Roman" w:cs="Times New Roman"/>
          <w:sz w:val="22"/>
          <w:szCs w:val="22"/>
        </w:rPr>
      </w:pPr>
    </w:p>
    <w:p w:rsidR="009B0BB1" w:rsidRPr="00A54012" w:rsidP="009B0BB1" w14:paraId="22A19968" w14:textId="389F06A4">
      <w:pPr>
        <w:pStyle w:val="Default"/>
        <w:jc w:val="both"/>
        <w:rPr>
          <w:rFonts w:ascii="Times New Roman" w:hAnsi="Times New Roman" w:cs="Times New Roman"/>
          <w:sz w:val="22"/>
          <w:szCs w:val="22"/>
        </w:rPr>
      </w:pPr>
      <w:r w:rsidRPr="00A47556">
        <w:rPr>
          <w:rFonts w:ascii="Times New Roman" w:hAnsi="Times New Roman" w:cs="Times New Roman"/>
          <w:sz w:val="22"/>
          <w:szCs w:val="22"/>
        </w:rPr>
        <w:t xml:space="preserve">The FY </w:t>
      </w:r>
      <w:r w:rsidRPr="009078BB">
        <w:rPr>
          <w:rFonts w:ascii="Times New Roman" w:hAnsi="Times New Roman" w:cs="Times New Roman"/>
          <w:sz w:val="22"/>
          <w:szCs w:val="22"/>
        </w:rPr>
        <w:t>202</w:t>
      </w:r>
      <w:r w:rsidRPr="009078BB" w:rsidR="00975A26">
        <w:rPr>
          <w:rFonts w:ascii="Times New Roman" w:hAnsi="Times New Roman" w:cs="Times New Roman"/>
          <w:sz w:val="22"/>
          <w:szCs w:val="22"/>
        </w:rPr>
        <w:t>5</w:t>
      </w:r>
      <w:r w:rsidRPr="009078BB">
        <w:rPr>
          <w:rFonts w:ascii="Times New Roman" w:hAnsi="Times New Roman" w:cs="Times New Roman"/>
          <w:sz w:val="22"/>
          <w:szCs w:val="22"/>
        </w:rPr>
        <w:t xml:space="preserve"> auditors’ report identified a repeated significant deficiency in Information Technology controls collectively related to risk management, configuration management, identity and access management, and information security continuous monitoring.  The Commission will make every effort in FY 202</w:t>
      </w:r>
      <w:r w:rsidRPr="009078BB" w:rsidR="00975A26">
        <w:rPr>
          <w:rFonts w:ascii="Times New Roman" w:hAnsi="Times New Roman" w:cs="Times New Roman"/>
          <w:sz w:val="22"/>
          <w:szCs w:val="22"/>
        </w:rPr>
        <w:t>6</w:t>
      </w:r>
      <w:r w:rsidRPr="009078BB">
        <w:rPr>
          <w:rFonts w:ascii="Times New Roman" w:hAnsi="Times New Roman" w:cs="Times New Roman"/>
          <w:sz w:val="22"/>
          <w:szCs w:val="22"/>
        </w:rPr>
        <w:t xml:space="preserve"> to implement corrective action plans for each of the recommendations</w:t>
      </w:r>
      <w:r w:rsidRPr="00B877C0">
        <w:rPr>
          <w:rFonts w:ascii="Times New Roman" w:hAnsi="Times New Roman" w:cs="Times New Roman"/>
          <w:sz w:val="22"/>
          <w:szCs w:val="22"/>
        </w:rPr>
        <w:t xml:space="preserve"> associated with these findings to avoid any repeat findings in these areas.  </w:t>
      </w:r>
    </w:p>
    <w:p w:rsidR="009B0BB1" w:rsidRPr="00221F18" w:rsidP="009B0BB1" w14:paraId="2C86DEB5" w14:textId="77777777">
      <w:pPr>
        <w:pStyle w:val="Default"/>
        <w:jc w:val="both"/>
        <w:rPr>
          <w:rFonts w:ascii="Times New Roman" w:hAnsi="Times New Roman" w:cs="Times New Roman"/>
          <w:sz w:val="22"/>
          <w:szCs w:val="22"/>
        </w:rPr>
      </w:pPr>
    </w:p>
    <w:p w:rsidR="009B0BB1" w:rsidRPr="00221F18" w:rsidP="009B0BB1" w14:paraId="4D1A9ADF" w14:textId="77777777">
      <w:pPr>
        <w:pStyle w:val="Default"/>
        <w:jc w:val="both"/>
        <w:rPr>
          <w:rFonts w:ascii="Times New Roman" w:hAnsi="Times New Roman" w:cs="Times New Roman"/>
        </w:rPr>
      </w:pPr>
      <w:bookmarkStart w:id="27" w:name="_Hlk214967045"/>
      <w:r w:rsidRPr="00221F18">
        <w:rPr>
          <w:rFonts w:ascii="Times New Roman" w:hAnsi="Times New Roman" w:cs="Times New Roman"/>
          <w:b/>
          <w:bCs/>
        </w:rPr>
        <w:t>Status of Internal Controls – Section 2 of FMFIA</w:t>
      </w:r>
    </w:p>
    <w:p w:rsidR="009B0BB1" w:rsidRPr="00221F18" w:rsidP="009B0BB1" w14:paraId="10B4440B" w14:textId="77777777">
      <w:pPr>
        <w:pStyle w:val="Default"/>
        <w:jc w:val="both"/>
        <w:rPr>
          <w:rFonts w:ascii="Times New Roman" w:hAnsi="Times New Roman" w:cs="Times New Roman"/>
          <w:sz w:val="22"/>
          <w:szCs w:val="22"/>
        </w:rPr>
      </w:pPr>
    </w:p>
    <w:p w:rsidR="009B0BB1" w:rsidRPr="00225AEF" w:rsidP="009B0BB1" w14:paraId="6EA3041A" w14:textId="5D77BAAB">
      <w:pPr>
        <w:pStyle w:val="Default"/>
        <w:jc w:val="both"/>
        <w:rPr>
          <w:rFonts w:ascii="Times New Roman" w:hAnsi="Times New Roman" w:cs="Times New Roman"/>
          <w:sz w:val="22"/>
          <w:szCs w:val="22"/>
        </w:rPr>
      </w:pPr>
      <w:r w:rsidRPr="00225AEF">
        <w:rPr>
          <w:rFonts w:ascii="Times New Roman" w:hAnsi="Times New Roman" w:cs="Times New Roman"/>
          <w:sz w:val="22"/>
          <w:szCs w:val="22"/>
        </w:rPr>
        <w:t>During FY 202</w:t>
      </w:r>
      <w:r w:rsidRPr="00225AEF" w:rsidR="00975A26">
        <w:rPr>
          <w:rFonts w:ascii="Times New Roman" w:hAnsi="Times New Roman" w:cs="Times New Roman"/>
          <w:sz w:val="22"/>
          <w:szCs w:val="22"/>
        </w:rPr>
        <w:t>5</w:t>
      </w:r>
      <w:r w:rsidRPr="00225AEF">
        <w:rPr>
          <w:rFonts w:ascii="Times New Roman" w:hAnsi="Times New Roman" w:cs="Times New Roman"/>
          <w:sz w:val="22"/>
          <w:szCs w:val="22"/>
        </w:rPr>
        <w:t xml:space="preserve">, the Commission continued its efforts to improve and strengthen its internal controls over operations and financial reporting by building upon continuing improvements to its risk assessment processes.  The Commission continued to improve its pre-existing processes for internal control evaluation, both at the Commission and at its reporting components, USF and TRS.  The Commission’s risk assessment process integrates the latest versions of the Government Accountability Office’s (GAO), </w:t>
      </w:r>
      <w:r w:rsidRPr="00225AEF">
        <w:rPr>
          <w:rFonts w:ascii="Times New Roman" w:hAnsi="Times New Roman" w:cs="Times New Roman"/>
          <w:i/>
          <w:iCs/>
          <w:sz w:val="22"/>
          <w:szCs w:val="22"/>
        </w:rPr>
        <w:t xml:space="preserve">Standards for Internal Control in the Federal Government </w:t>
      </w:r>
      <w:r w:rsidRPr="00225AEF">
        <w:rPr>
          <w:rFonts w:ascii="Times New Roman" w:hAnsi="Times New Roman" w:cs="Times New Roman"/>
          <w:sz w:val="22"/>
          <w:szCs w:val="22"/>
        </w:rPr>
        <w:t xml:space="preserve">(Green Book), as well as OMB’s Circular A-123, </w:t>
      </w:r>
      <w:r w:rsidRPr="00225AEF">
        <w:rPr>
          <w:rFonts w:ascii="Times New Roman" w:hAnsi="Times New Roman" w:cs="Times New Roman"/>
          <w:i/>
          <w:iCs/>
          <w:sz w:val="22"/>
          <w:szCs w:val="22"/>
        </w:rPr>
        <w:t>Management's Responsibility for Enterprise Risk Management and Internal Control</w:t>
      </w:r>
      <w:r w:rsidRPr="00225AEF">
        <w:rPr>
          <w:rFonts w:ascii="Times New Roman" w:hAnsi="Times New Roman" w:cs="Times New Roman"/>
          <w:sz w:val="22"/>
          <w:szCs w:val="22"/>
        </w:rPr>
        <w:t>.  Utilizing GAO’s Green Book as a blueprint, the Commission’s entity level risk assessment tool is completed each fiscal year by its Bureaus and Offices as well as its reporting components.  Furthermore, utilizing the GAO’s Fraud Risk Framework the Commission continued Fraud Risk Management within the agency, including the new appropriated programs</w:t>
      </w:r>
      <w:r w:rsidRPr="00225AEF">
        <w:rPr>
          <w:rFonts w:ascii="Times New Roman" w:hAnsi="Times New Roman" w:cs="Times New Roman"/>
          <w:sz w:val="22"/>
          <w:szCs w:val="22"/>
          <w:shd w:val="clear" w:color="auto" w:fill="FFFFFF"/>
        </w:rPr>
        <w:t xml:space="preserve">.  </w:t>
      </w:r>
    </w:p>
    <w:p w:rsidR="009B0BB1" w:rsidRPr="00225AEF" w:rsidP="009B0BB1" w14:paraId="7EE15CCB" w14:textId="77777777">
      <w:pPr>
        <w:pStyle w:val="Default"/>
        <w:jc w:val="both"/>
        <w:rPr>
          <w:rFonts w:ascii="Times New Roman" w:hAnsi="Times New Roman" w:cs="Times New Roman"/>
          <w:sz w:val="22"/>
          <w:szCs w:val="22"/>
        </w:rPr>
      </w:pPr>
    </w:p>
    <w:p w:rsidR="009B0BB1" w:rsidP="009B0BB1" w14:paraId="26B1C19F" w14:textId="7B63E995">
      <w:pPr>
        <w:pStyle w:val="Default"/>
        <w:jc w:val="both"/>
        <w:rPr>
          <w:rFonts w:ascii="Times New Roman" w:hAnsi="Times New Roman" w:cs="Times New Roman"/>
          <w:sz w:val="22"/>
          <w:szCs w:val="22"/>
        </w:rPr>
      </w:pPr>
      <w:r w:rsidRPr="00225AEF">
        <w:rPr>
          <w:rFonts w:ascii="Times New Roman" w:hAnsi="Times New Roman" w:cs="Times New Roman"/>
          <w:sz w:val="22"/>
          <w:szCs w:val="22"/>
        </w:rPr>
        <w:t xml:space="preserve">The FCC has a Fraud Risk Group to serve as the governing body for FCC’s Fraud Risk Management.  Additionally, FCC’s Senior Management Council (SMC) continued its oversight of the Commission’s entity level risk assessments as part of its overall Enterprise Risk Management process pursuant to OMB Circular A-123.  The SMC includes representatives from across the Commission’s Bureaus and Offices to more fully integrate the Commission’s internal control assessment processes into the operations of the Bureaus and Offices while also identifying, monitoring, and mitigating risks throughout the year.  While the Commission has received unmodified opinions over its consolidated financial statements for the </w:t>
      </w:r>
      <w:r w:rsidRPr="00225AEF" w:rsidR="00975A26">
        <w:rPr>
          <w:rFonts w:ascii="Times New Roman" w:hAnsi="Times New Roman" w:cs="Times New Roman"/>
          <w:sz w:val="22"/>
          <w:szCs w:val="22"/>
        </w:rPr>
        <w:t xml:space="preserve">twentieth </w:t>
      </w:r>
      <w:r w:rsidRPr="00225AEF">
        <w:rPr>
          <w:rFonts w:ascii="Times New Roman" w:hAnsi="Times New Roman" w:cs="Times New Roman"/>
          <w:sz w:val="22"/>
          <w:szCs w:val="22"/>
        </w:rPr>
        <w:t>consecutive year, the Commission understands that maintaining proper internal control requires continuous review of its internal controls and implementing improvements to them on an ongoing basis.</w:t>
      </w:r>
    </w:p>
    <w:bookmarkEnd w:id="27"/>
    <w:p w:rsidR="009B0BB1" w:rsidRPr="00221F18" w:rsidP="009B0BB1" w14:paraId="033E1E20" w14:textId="77777777">
      <w:pPr>
        <w:pStyle w:val="Default"/>
        <w:jc w:val="both"/>
        <w:rPr>
          <w:rFonts w:ascii="Times New Roman" w:hAnsi="Times New Roman" w:cs="Times New Roman"/>
        </w:rPr>
      </w:pPr>
      <w:r w:rsidRPr="00221F18">
        <w:rPr>
          <w:rFonts w:ascii="Times New Roman" w:hAnsi="Times New Roman" w:cs="Times New Roman"/>
          <w:b/>
          <w:bCs/>
        </w:rPr>
        <w:t>Financial Management Systems – Section 4 of FMFIA</w:t>
      </w:r>
    </w:p>
    <w:p w:rsidR="009B0BB1" w:rsidRPr="00221F18" w:rsidP="009B0BB1" w14:paraId="011658D1" w14:textId="77777777">
      <w:pPr>
        <w:pStyle w:val="Default"/>
        <w:jc w:val="both"/>
        <w:rPr>
          <w:rFonts w:ascii="Times New Roman" w:hAnsi="Times New Roman" w:cs="Times New Roman"/>
          <w:sz w:val="22"/>
          <w:szCs w:val="22"/>
        </w:rPr>
      </w:pPr>
    </w:p>
    <w:p w:rsidR="009B0BB1" w:rsidRPr="00221F18" w:rsidP="009B0BB1" w14:paraId="5159FD54" w14:textId="77AA2D4D">
      <w:pPr>
        <w:pStyle w:val="Default"/>
        <w:jc w:val="both"/>
        <w:rPr>
          <w:rFonts w:ascii="Times New Roman" w:hAnsi="Times New Roman" w:cs="Times New Roman"/>
          <w:sz w:val="22"/>
          <w:szCs w:val="22"/>
        </w:rPr>
      </w:pPr>
      <w:r w:rsidRPr="00221F18">
        <w:rPr>
          <w:rFonts w:ascii="Times New Roman" w:hAnsi="Times New Roman" w:cs="Times New Roman"/>
          <w:sz w:val="22"/>
          <w:szCs w:val="22"/>
        </w:rPr>
        <w:t xml:space="preserve">Section 4 of FMFIA and the </w:t>
      </w:r>
      <w:r w:rsidRPr="00221F18">
        <w:rPr>
          <w:rFonts w:ascii="Times New Roman" w:hAnsi="Times New Roman" w:cs="Times New Roman"/>
          <w:i/>
          <w:iCs/>
          <w:sz w:val="22"/>
          <w:szCs w:val="22"/>
        </w:rPr>
        <w:t xml:space="preserve">Federal Financial Management Improvement Act of 1996 </w:t>
      </w:r>
      <w:r w:rsidRPr="00221F18">
        <w:rPr>
          <w:rFonts w:ascii="Times New Roman" w:hAnsi="Times New Roman" w:cs="Times New Roman"/>
          <w:sz w:val="22"/>
          <w:szCs w:val="22"/>
        </w:rPr>
        <w:t>(FFMIA) require</w:t>
      </w:r>
      <w:r>
        <w:rPr>
          <w:rFonts w:ascii="Times New Roman" w:hAnsi="Times New Roman" w:cs="Times New Roman"/>
          <w:sz w:val="22"/>
          <w:szCs w:val="22"/>
        </w:rPr>
        <w:t xml:space="preserve">s agencies to report on whether their </w:t>
      </w:r>
      <w:r w:rsidRPr="00221F18">
        <w:rPr>
          <w:rFonts w:ascii="Times New Roman" w:hAnsi="Times New Roman" w:cs="Times New Roman"/>
          <w:sz w:val="22"/>
          <w:szCs w:val="22"/>
        </w:rPr>
        <w:t>financial management systems provide reliable, consistent disclosure of financial data and conform to government-wide requirements.  In FY 202</w:t>
      </w:r>
      <w:r w:rsidR="00975A26">
        <w:rPr>
          <w:rFonts w:ascii="Times New Roman" w:hAnsi="Times New Roman" w:cs="Times New Roman"/>
          <w:sz w:val="22"/>
          <w:szCs w:val="22"/>
        </w:rPr>
        <w:t>5</w:t>
      </w:r>
      <w:r w:rsidRPr="00221F18">
        <w:rPr>
          <w:rFonts w:ascii="Times New Roman" w:hAnsi="Times New Roman" w:cs="Times New Roman"/>
          <w:sz w:val="22"/>
          <w:szCs w:val="22"/>
        </w:rPr>
        <w:t>, the Commission’s financial management systems were in compliance with government-wide requirements.  The Commission continues to work with its reporting components on their financial systems.</w:t>
      </w:r>
    </w:p>
    <w:p w:rsidR="009B0BB1" w:rsidRPr="00B323CA" w:rsidP="009B0BB1" w14:paraId="04586138" w14:textId="77777777">
      <w:pPr>
        <w:pStyle w:val="Default"/>
        <w:jc w:val="both"/>
        <w:rPr>
          <w:rFonts w:ascii="Times New Roman" w:hAnsi="Times New Roman" w:cs="Times New Roman"/>
          <w:sz w:val="22"/>
          <w:szCs w:val="22"/>
        </w:rPr>
      </w:pPr>
    </w:p>
    <w:p w:rsidR="009B0BB1" w:rsidRPr="00221F18" w:rsidP="009B0BB1" w14:paraId="4D9662AE" w14:textId="77777777">
      <w:pPr>
        <w:pStyle w:val="Default"/>
        <w:jc w:val="both"/>
        <w:rPr>
          <w:rFonts w:ascii="Times New Roman" w:hAnsi="Times New Roman" w:cs="Times New Roman"/>
        </w:rPr>
      </w:pPr>
      <w:r w:rsidRPr="00221F18">
        <w:rPr>
          <w:rFonts w:ascii="Times New Roman" w:hAnsi="Times New Roman" w:cs="Times New Roman"/>
          <w:b/>
          <w:bCs/>
        </w:rPr>
        <w:t>Statement of Assurance</w:t>
      </w:r>
    </w:p>
    <w:p w:rsidR="009B0BB1" w:rsidRPr="00221F18" w:rsidP="009B0BB1" w14:paraId="1D54960A" w14:textId="77777777">
      <w:pPr>
        <w:jc w:val="both"/>
        <w:rPr>
          <w:sz w:val="22"/>
          <w:szCs w:val="22"/>
        </w:rPr>
      </w:pPr>
    </w:p>
    <w:p w:rsidR="009B0BB1" w:rsidRPr="00221F18" w:rsidP="009B0BB1" w14:paraId="510CB587" w14:textId="3EB270BD">
      <w:pPr>
        <w:jc w:val="both"/>
        <w:rPr>
          <w:sz w:val="22"/>
          <w:szCs w:val="22"/>
        </w:rPr>
      </w:pPr>
      <w:r w:rsidRPr="00221F18">
        <w:rPr>
          <w:sz w:val="22"/>
          <w:szCs w:val="22"/>
        </w:rPr>
        <w:t xml:space="preserve">Commission management is responsible for managing risks and maintaining effective internal controls to meet the objectives of Sections 2 and 4 of FMFIA.  The Commission conducted its assessment of risk and internal control in accordance with OMB Circular A-123, </w:t>
      </w:r>
      <w:r w:rsidRPr="00221F18">
        <w:rPr>
          <w:i/>
          <w:iCs/>
          <w:sz w:val="22"/>
          <w:szCs w:val="22"/>
        </w:rPr>
        <w:t>Management’s Responsibility for Enterprise Risk Management and Internal Control</w:t>
      </w:r>
      <w:r w:rsidRPr="00221F18">
        <w:rPr>
          <w:sz w:val="22"/>
          <w:szCs w:val="22"/>
        </w:rPr>
        <w:t>.  Based on the results of the assessment, the Commission can provide reasonable assurance that internal controls over operations, reporting, and compliance were operating effectively and financial management systems conform to government-wide standards as of September 30, 202</w:t>
      </w:r>
      <w:r w:rsidR="00975A26">
        <w:rPr>
          <w:sz w:val="22"/>
          <w:szCs w:val="22"/>
        </w:rPr>
        <w:t>5</w:t>
      </w:r>
      <w:r w:rsidRPr="00221F18">
        <w:rPr>
          <w:sz w:val="22"/>
          <w:szCs w:val="22"/>
        </w:rPr>
        <w:t>.</w:t>
      </w:r>
    </w:p>
    <w:p w:rsidR="009B0BB1" w:rsidRPr="00221F18" w:rsidP="009B0BB1" w14:paraId="6F9CE936" w14:textId="77777777">
      <w:pPr>
        <w:jc w:val="both"/>
        <w:rPr>
          <w:noProof/>
          <w:sz w:val="22"/>
          <w:szCs w:val="22"/>
        </w:rPr>
      </w:pPr>
    </w:p>
    <w:p w:rsidR="009B0BB1" w:rsidP="009B0BB1" w14:paraId="62750D1C" w14:textId="0F1E05CC">
      <w:pPr>
        <w:jc w:val="both"/>
        <w:rPr>
          <w:noProof/>
          <w:sz w:val="22"/>
          <w:szCs w:val="22"/>
        </w:rPr>
      </w:pPr>
      <w:r>
        <w:rPr>
          <w:noProof/>
        </w:rPr>
        <w:drawing>
          <wp:inline distT="0" distB="0" distL="0" distR="0">
            <wp:extent cx="1241624" cy="347263"/>
            <wp:effectExtent l="0" t="0" r="0" b="0"/>
            <wp:docPr id="1884533840" name="Picture 1" descr="A picture containing tool, shov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33840" name="Picture 1" descr="A picture containing tool, shovel&#10;&#10;AI-generated content may be incorrect."/>
                    <pic:cNvPicPr/>
                  </pic:nvPicPr>
                  <pic:blipFill>
                    <a:blip xmlns:r="http://schemas.openxmlformats.org/officeDocument/2006/relationships" r:embed="rId19"/>
                    <a:srcRect l="8221" r="3788"/>
                    <a:stretch>
                      <a:fillRect/>
                    </a:stretch>
                  </pic:blipFill>
                  <pic:spPr bwMode="auto">
                    <a:xfrm>
                      <a:off x="0" y="0"/>
                      <a:ext cx="1242894" cy="34761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B0BB1" w:rsidRPr="00221F18" w:rsidP="009B0BB1" w14:paraId="64C8C746" w14:textId="091F608E">
      <w:pPr>
        <w:jc w:val="both"/>
        <w:rPr>
          <w:sz w:val="22"/>
          <w:szCs w:val="22"/>
        </w:rPr>
      </w:pPr>
      <w:r>
        <w:rPr>
          <w:sz w:val="22"/>
          <w:szCs w:val="22"/>
        </w:rPr>
        <w:t>Brendan Carr</w:t>
      </w:r>
      <w:r w:rsidR="00513CE2">
        <w:rPr>
          <w:sz w:val="22"/>
          <w:szCs w:val="22"/>
        </w:rPr>
        <w:t xml:space="preserve">, </w:t>
      </w:r>
      <w:r w:rsidRPr="00221F18">
        <w:rPr>
          <w:sz w:val="22"/>
          <w:szCs w:val="22"/>
        </w:rPr>
        <w:t>Chair</w:t>
      </w:r>
      <w:r>
        <w:rPr>
          <w:sz w:val="22"/>
          <w:szCs w:val="22"/>
        </w:rPr>
        <w:t>man</w:t>
      </w:r>
    </w:p>
    <w:p w:rsidR="00E559C0" w:rsidRPr="00D52C3D" w:rsidP="009B0BB1" w14:paraId="409E8F7D" w14:textId="25AA39CE">
      <w:pPr>
        <w:rPr>
          <w:sz w:val="22"/>
          <w:szCs w:val="22"/>
        </w:rPr>
      </w:pPr>
      <w:r w:rsidRPr="00D52C3D">
        <w:rPr>
          <w:sz w:val="22"/>
          <w:szCs w:val="22"/>
        </w:rPr>
        <w:t>December</w:t>
      </w:r>
      <w:r w:rsidRPr="00D52C3D" w:rsidR="009B0BB1">
        <w:rPr>
          <w:sz w:val="22"/>
          <w:szCs w:val="22"/>
        </w:rPr>
        <w:t xml:space="preserve"> 1</w:t>
      </w:r>
      <w:r w:rsidRPr="00D52C3D">
        <w:rPr>
          <w:sz w:val="22"/>
          <w:szCs w:val="22"/>
        </w:rPr>
        <w:t>8</w:t>
      </w:r>
      <w:r w:rsidRPr="00D52C3D" w:rsidR="009B0BB1">
        <w:rPr>
          <w:sz w:val="22"/>
          <w:szCs w:val="22"/>
        </w:rPr>
        <w:t>, 202</w:t>
      </w:r>
      <w:r w:rsidRPr="00D52C3D" w:rsidR="0074770D">
        <w:rPr>
          <w:sz w:val="22"/>
          <w:szCs w:val="22"/>
        </w:rPr>
        <w:t>5</w:t>
      </w:r>
    </w:p>
    <w:bookmarkEnd w:id="26"/>
    <w:p w:rsidR="00E559C0" w:rsidRPr="00281B06" w:rsidP="00E559C0" w14:paraId="1DF39789" w14:textId="77777777">
      <w:pPr>
        <w:jc w:val="both"/>
        <w:rPr>
          <w:rFonts w:eastAsia="Calibri"/>
          <w:sz w:val="22"/>
          <w:szCs w:val="22"/>
        </w:rPr>
      </w:pPr>
    </w:p>
    <w:p w:rsidR="00E559C0" w:rsidP="00CE7EB7" w14:paraId="67EAA1CE" w14:textId="47C1F723">
      <w:pPr>
        <w:jc w:val="center"/>
      </w:pPr>
    </w:p>
    <w:p w:rsidR="00E559C0" w:rsidP="00E559C0" w14:paraId="2F4E517A" w14:textId="77777777"/>
    <w:p w:rsidR="00E559C0" w:rsidP="00E559C0" w14:paraId="6A986F8A" w14:textId="77777777"/>
    <w:p w:rsidR="00E559C0" w:rsidP="00E559C0" w14:paraId="74FBE024" w14:textId="77777777">
      <w:pPr>
        <w:pStyle w:val="Heading2"/>
        <w:jc w:val="left"/>
        <w:rPr>
          <w:rFonts w:ascii="Times New Roman" w:hAnsi="Times New Roman" w:cs="Times New Roman"/>
          <w:sz w:val="28"/>
          <w:szCs w:val="28"/>
        </w:rPr>
        <w:sectPr w:rsidSect="00A57570">
          <w:pgSz w:w="12240" w:h="15840" w:code="1"/>
          <w:pgMar w:top="1152" w:right="1440" w:bottom="1152" w:left="1440" w:header="720" w:footer="1005" w:gutter="0"/>
          <w:cols w:space="720"/>
        </w:sectPr>
      </w:pPr>
    </w:p>
    <w:p w:rsidR="00E559C0" w:rsidRPr="00E30DFA" w:rsidP="00E559C0" w14:paraId="7DD2AB34" w14:textId="77777777">
      <w:pPr>
        <w:pStyle w:val="Heading2"/>
        <w:jc w:val="left"/>
        <w:rPr>
          <w:rFonts w:ascii="Times New Roman" w:hAnsi="Times New Roman" w:cs="Times New Roman"/>
          <w:sz w:val="28"/>
          <w:szCs w:val="28"/>
        </w:rPr>
      </w:pPr>
      <w:bookmarkStart w:id="28" w:name="_Toc467000232"/>
      <w:bookmarkStart w:id="29" w:name="_Toc216960429"/>
      <w:bookmarkStart w:id="30" w:name="_Hlk214967482"/>
      <w:r w:rsidRPr="00613E1A">
        <w:rPr>
          <w:rFonts w:ascii="Times New Roman" w:hAnsi="Times New Roman" w:cs="Times New Roman"/>
          <w:sz w:val="28"/>
          <w:szCs w:val="28"/>
        </w:rPr>
        <w:t>Financial Management Systems Strategy</w:t>
      </w:r>
      <w:bookmarkEnd w:id="28"/>
      <w:bookmarkEnd w:id="29"/>
    </w:p>
    <w:p w:rsidR="00E559C0" w:rsidP="00E559C0" w14:paraId="15FED9E9" w14:textId="77777777">
      <w:pPr>
        <w:rPr>
          <w:b/>
          <w:sz w:val="22"/>
          <w:szCs w:val="22"/>
        </w:rPr>
      </w:pPr>
    </w:p>
    <w:p w:rsidR="007B631B" w:rsidP="007B631B" w14:paraId="67089F72" w14:textId="77777777">
      <w:pPr>
        <w:jc w:val="both"/>
        <w:rPr>
          <w:color w:val="000000" w:themeColor="text1"/>
          <w:sz w:val="22"/>
          <w:szCs w:val="22"/>
        </w:rPr>
      </w:pPr>
      <w:bookmarkStart w:id="31" w:name="_Toc467000233"/>
      <w:r>
        <w:rPr>
          <w:color w:val="000000" w:themeColor="text1"/>
          <w:sz w:val="22"/>
          <w:szCs w:val="22"/>
        </w:rPr>
        <w:t xml:space="preserve">The Commission’s financial management system, Genesis, is a Momentum based product that serves as the financial accounting system of record and provides for the core accounting services of the Commission.  These services include: funds control, budget execution, general ledger, accounts payable, accounts receivable, financial reports, and access controls.  Genesis facilitates compliance with the Federal Managers’ Financial Integrity Act (FMFIA), and the maintenance of an unmodified financial audit opinion. </w:t>
      </w:r>
    </w:p>
    <w:p w:rsidR="007B631B" w:rsidP="007B631B" w14:paraId="50D9D924" w14:textId="77777777">
      <w:pPr>
        <w:jc w:val="both"/>
        <w:rPr>
          <w:color w:val="000000" w:themeColor="text1"/>
          <w:sz w:val="22"/>
          <w:szCs w:val="22"/>
        </w:rPr>
      </w:pPr>
    </w:p>
    <w:p w:rsidR="007B631B" w:rsidP="007B631B" w14:paraId="506C162A" w14:textId="245683CE">
      <w:pPr>
        <w:jc w:val="both"/>
        <w:rPr>
          <w:color w:val="000000" w:themeColor="text1"/>
          <w:sz w:val="22"/>
          <w:szCs w:val="22"/>
        </w:rPr>
      </w:pPr>
      <w:r>
        <w:rPr>
          <w:color w:val="000000" w:themeColor="text1"/>
          <w:sz w:val="22"/>
          <w:szCs w:val="22"/>
        </w:rPr>
        <w:t xml:space="preserve">Genesis continues to support the accounting for the spectrum auctions program at the Commission, including the activities under the Spectrum Act, which provides for the reimbursement of relocation expenses for eligible entities.  The Commission Registration System (CORES) allows eligible entities to seek reimbursement and enter their banking information into CORES online, and allows an entity to view their available balance for reimbursement along with the history of payments made to the entity.  Additionally, Genesis supports efficiency initiatives, including the Invoice Processing Platform (IPP), which reduces the paper chain associated with the document review process and reduces, </w:t>
      </w:r>
      <w:r w:rsidRPr="00D60201">
        <w:rPr>
          <w:color w:val="000000" w:themeColor="text1"/>
          <w:sz w:val="22"/>
          <w:szCs w:val="22"/>
        </w:rPr>
        <w:t>and/or eliminates, instances of duplicate data entry</w:t>
      </w:r>
      <w:r>
        <w:rPr>
          <w:color w:val="000000" w:themeColor="text1"/>
          <w:sz w:val="22"/>
          <w:szCs w:val="22"/>
        </w:rPr>
        <w:t xml:space="preserve">, </w:t>
      </w:r>
      <w:r w:rsidRPr="00A4535D">
        <w:rPr>
          <w:color w:val="000000" w:themeColor="text1"/>
          <w:sz w:val="22"/>
          <w:szCs w:val="22"/>
        </w:rPr>
        <w:t>the Treasury G-Invoicing Initiative and the IRS Employer Identification Number Initiative (EIN</w:t>
      </w:r>
      <w:r w:rsidRPr="4A5D3F0C">
        <w:rPr>
          <w:color w:val="000000" w:themeColor="text1"/>
          <w:sz w:val="22"/>
          <w:szCs w:val="22"/>
        </w:rPr>
        <w:t>)</w:t>
      </w:r>
      <w:r w:rsidRPr="4A5D3F0C" w:rsidR="47E60576">
        <w:rPr>
          <w:color w:val="000000" w:themeColor="text1"/>
          <w:sz w:val="22"/>
          <w:szCs w:val="22"/>
        </w:rPr>
        <w:t>.</w:t>
      </w:r>
      <w:r w:rsidRPr="00884CE1">
        <w:rPr>
          <w:color w:val="FF0000"/>
          <w:sz w:val="22"/>
          <w:szCs w:val="22"/>
        </w:rPr>
        <w:t xml:space="preserve"> </w:t>
      </w:r>
      <w:r>
        <w:rPr>
          <w:color w:val="000000" w:themeColor="text1"/>
          <w:sz w:val="22"/>
          <w:szCs w:val="22"/>
        </w:rPr>
        <w:t xml:space="preserve">Genesis also provides self-service capability for the Bureaus and Offices to execute accounting functions, including business analytics for decision making.  </w:t>
      </w:r>
    </w:p>
    <w:p w:rsidR="007B631B" w:rsidRPr="00485AD1" w:rsidP="007B631B" w14:paraId="5D9B2C29" w14:textId="77777777">
      <w:pPr>
        <w:jc w:val="both"/>
        <w:rPr>
          <w:sz w:val="22"/>
          <w:szCs w:val="22"/>
        </w:rPr>
      </w:pPr>
    </w:p>
    <w:p w:rsidR="007B631B" w:rsidRPr="001F4146" w:rsidP="007B631B" w14:paraId="24FA181B" w14:textId="18661172">
      <w:pPr>
        <w:pStyle w:val="BodyBullet"/>
        <w:numPr>
          <w:ilvl w:val="0"/>
          <w:numId w:val="0"/>
        </w:numPr>
        <w:tabs>
          <w:tab w:val="left" w:pos="720"/>
        </w:tabs>
        <w:spacing w:after="0"/>
        <w:rPr>
          <w:rFonts w:ascii="Times New Roman" w:hAnsi="Times New Roman" w:cs="Times New Roman"/>
          <w:strike/>
          <w:color w:val="EE0000"/>
          <w:sz w:val="22"/>
          <w:szCs w:val="22"/>
        </w:rPr>
      </w:pPr>
      <w:r w:rsidRPr="00D60201">
        <w:rPr>
          <w:rFonts w:ascii="Times New Roman" w:hAnsi="Times New Roman" w:cs="Times New Roman"/>
          <w:color w:val="000000" w:themeColor="text1"/>
          <w:sz w:val="22"/>
          <w:szCs w:val="22"/>
        </w:rPr>
        <w:t xml:space="preserve">In support of the </w:t>
      </w:r>
      <w:r w:rsidRPr="00D60201">
        <w:rPr>
          <w:rFonts w:ascii="Times New Roman" w:hAnsi="Times New Roman"/>
          <w:sz w:val="22"/>
          <w:szCs w:val="22"/>
        </w:rPr>
        <w:t xml:space="preserve">Coronavirus Aid, Relief, and Economic Security (CARES) </w:t>
      </w:r>
      <w:r w:rsidRPr="00D60201">
        <w:rPr>
          <w:rFonts w:ascii="Times New Roman" w:hAnsi="Times New Roman" w:cs="Times New Roman"/>
          <w:color w:val="000000" w:themeColor="text1"/>
          <w:sz w:val="22"/>
          <w:szCs w:val="22"/>
        </w:rPr>
        <w:t xml:space="preserve">Act </w:t>
      </w:r>
      <w:r w:rsidRPr="00D60201">
        <w:rPr>
          <w:rFonts w:ascii="Times New Roman" w:hAnsi="Times New Roman"/>
          <w:sz w:val="22"/>
          <w:szCs w:val="22"/>
        </w:rPr>
        <w:t>(P.L. 116-136), the Consolidated Appropriations Act, 2021 (P.L. 116-260), the American Rescue Plan Act of 2021 (P.L. 117-2)</w:t>
      </w:r>
      <w:r w:rsidRPr="00D60201">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and the Infrastructure Investment and Jobs Act, 2021 (P.L. 117-58), </w:t>
      </w:r>
      <w:r w:rsidRPr="00D60201">
        <w:rPr>
          <w:rFonts w:ascii="Times New Roman" w:hAnsi="Times New Roman" w:cs="Times New Roman"/>
          <w:color w:val="000000" w:themeColor="text1"/>
          <w:sz w:val="22"/>
          <w:szCs w:val="22"/>
        </w:rPr>
        <w:t xml:space="preserve">the </w:t>
      </w:r>
      <w:r>
        <w:rPr>
          <w:rFonts w:ascii="Times New Roman" w:hAnsi="Times New Roman" w:cs="Times New Roman"/>
          <w:color w:val="000000" w:themeColor="text1"/>
          <w:sz w:val="22"/>
          <w:szCs w:val="22"/>
        </w:rPr>
        <w:t xml:space="preserve">Commission </w:t>
      </w:r>
      <w:r w:rsidRPr="00A4535D">
        <w:rPr>
          <w:rFonts w:ascii="Times New Roman" w:hAnsi="Times New Roman" w:cs="Times New Roman"/>
          <w:color w:val="000000" w:themeColor="text1"/>
          <w:sz w:val="22"/>
          <w:szCs w:val="22"/>
        </w:rPr>
        <w:t>continues to leverage</w:t>
      </w:r>
      <w:r w:rsidRPr="00D60201">
        <w:rPr>
          <w:rFonts w:ascii="Times New Roman" w:hAnsi="Times New Roman" w:cs="Times New Roman"/>
          <w:color w:val="000000" w:themeColor="text1"/>
          <w:sz w:val="22"/>
          <w:szCs w:val="22"/>
        </w:rPr>
        <w:t xml:space="preserve"> the scalable functionality of</w:t>
      </w:r>
      <w:r>
        <w:rPr>
          <w:rFonts w:ascii="Times New Roman" w:hAnsi="Times New Roman" w:cs="Times New Roman"/>
          <w:color w:val="000000" w:themeColor="text1"/>
          <w:sz w:val="22"/>
          <w:szCs w:val="22"/>
        </w:rPr>
        <w:t xml:space="preserve"> </w:t>
      </w:r>
      <w:r w:rsidRPr="00D60201">
        <w:rPr>
          <w:rFonts w:ascii="Times New Roman" w:hAnsi="Times New Roman" w:cs="Times New Roman"/>
          <w:color w:val="000000" w:themeColor="text1"/>
          <w:sz w:val="22"/>
          <w:szCs w:val="22"/>
        </w:rPr>
        <w:t>Genesi</w:t>
      </w:r>
      <w:r>
        <w:rPr>
          <w:rFonts w:ascii="Times New Roman" w:hAnsi="Times New Roman" w:cs="Times New Roman"/>
          <w:color w:val="000000" w:themeColor="text1"/>
          <w:sz w:val="22"/>
          <w:szCs w:val="22"/>
        </w:rPr>
        <w:t xml:space="preserve">s and IPP to </w:t>
      </w:r>
      <w:r w:rsidRPr="00300DFD">
        <w:rPr>
          <w:rFonts w:ascii="Times New Roman" w:hAnsi="Times New Roman" w:cs="Times New Roman"/>
          <w:color w:val="000000" w:themeColor="text1"/>
          <w:sz w:val="22"/>
          <w:szCs w:val="22"/>
        </w:rPr>
        <w:t>quickly accommodate</w:t>
      </w:r>
      <w:r w:rsidRPr="00300DFD">
        <w:rPr>
          <w:rFonts w:ascii="Times New Roman" w:hAnsi="Times New Roman" w:cs="Times New Roman"/>
          <w:color w:val="FF0000"/>
          <w:sz w:val="22"/>
          <w:szCs w:val="22"/>
        </w:rPr>
        <w:t xml:space="preserve"> </w:t>
      </w:r>
      <w:r w:rsidRPr="00A4535D">
        <w:rPr>
          <w:rFonts w:ascii="Times New Roman" w:hAnsi="Times New Roman" w:cs="Times New Roman"/>
          <w:color w:val="000000" w:themeColor="text1"/>
          <w:sz w:val="22"/>
          <w:szCs w:val="22"/>
        </w:rPr>
        <w:t>requirements</w:t>
      </w:r>
      <w:r w:rsidRPr="00300DFD">
        <w:rPr>
          <w:rFonts w:ascii="Times New Roman" w:hAnsi="Times New Roman" w:cs="Times New Roman"/>
          <w:color w:val="FF0000"/>
          <w:sz w:val="22"/>
          <w:szCs w:val="22"/>
        </w:rPr>
        <w:t xml:space="preserve"> </w:t>
      </w:r>
      <w:r w:rsidRPr="00A4535D">
        <w:rPr>
          <w:rFonts w:ascii="Times New Roman" w:hAnsi="Times New Roman" w:cs="Times New Roman"/>
          <w:color w:val="000000" w:themeColor="text1"/>
          <w:sz w:val="22"/>
          <w:szCs w:val="22"/>
        </w:rPr>
        <w:t>for the five programs</w:t>
      </w:r>
      <w:r>
        <w:rPr>
          <w:rFonts w:ascii="Times New Roman" w:hAnsi="Times New Roman"/>
          <w:sz w:val="22"/>
          <w:szCs w:val="22"/>
        </w:rPr>
        <w:t>—</w:t>
      </w:r>
      <w:r w:rsidRPr="00CC7080">
        <w:rPr>
          <w:rFonts w:ascii="Times New Roman" w:hAnsi="Times New Roman"/>
          <w:sz w:val="22"/>
          <w:szCs w:val="22"/>
        </w:rPr>
        <w:t>COVID-19 Telehealth Program</w:t>
      </w:r>
      <w:r>
        <w:rPr>
          <w:rFonts w:ascii="Times New Roman" w:hAnsi="Times New Roman"/>
          <w:sz w:val="22"/>
          <w:szCs w:val="22"/>
        </w:rPr>
        <w:t xml:space="preserve"> (Round 2)</w:t>
      </w:r>
      <w:r w:rsidRPr="00CC7080">
        <w:rPr>
          <w:rFonts w:ascii="Times New Roman" w:hAnsi="Times New Roman" w:cs="Times New Roman"/>
          <w:sz w:val="22"/>
          <w:szCs w:val="22"/>
          <w:shd w:val="clear" w:color="auto" w:fill="FFFFFF"/>
        </w:rPr>
        <w:t>,</w:t>
      </w:r>
      <w:r>
        <w:rPr>
          <w:rFonts w:ascii="Times New Roman" w:hAnsi="Times New Roman" w:cs="Times New Roman"/>
          <w:sz w:val="22"/>
          <w:szCs w:val="22"/>
          <w:shd w:val="clear" w:color="auto" w:fill="FFFFFF"/>
        </w:rPr>
        <w:t xml:space="preserve"> </w:t>
      </w:r>
      <w:r w:rsidRPr="00CC7080">
        <w:rPr>
          <w:rFonts w:ascii="Times New Roman" w:hAnsi="Times New Roman" w:cs="Times New Roman"/>
          <w:sz w:val="22"/>
          <w:szCs w:val="22"/>
          <w:shd w:val="clear" w:color="auto" w:fill="FFFFFF"/>
        </w:rPr>
        <w:t xml:space="preserve">Emergency Broadband Connectivity Fund – Emergency Broadband Benefit Program, Emergency Connectivity Fund, </w:t>
      </w:r>
      <w:r>
        <w:rPr>
          <w:rFonts w:ascii="Times New Roman" w:hAnsi="Times New Roman" w:cs="Times New Roman"/>
          <w:sz w:val="22"/>
          <w:szCs w:val="22"/>
          <w:shd w:val="clear" w:color="auto" w:fill="FFFFFF"/>
        </w:rPr>
        <w:t xml:space="preserve">the </w:t>
      </w:r>
      <w:r w:rsidRPr="00CC7080">
        <w:rPr>
          <w:rFonts w:ascii="Times New Roman" w:hAnsi="Times New Roman" w:cs="Times New Roman"/>
          <w:sz w:val="22"/>
          <w:szCs w:val="22"/>
          <w:shd w:val="clear" w:color="auto" w:fill="FFFFFF"/>
        </w:rPr>
        <w:t>Secure &amp; Trusted Communications Network Reimbursement Program</w:t>
      </w:r>
      <w:r>
        <w:rPr>
          <w:rFonts w:ascii="Times New Roman" w:hAnsi="Times New Roman" w:cs="Times New Roman"/>
          <w:sz w:val="22"/>
          <w:szCs w:val="22"/>
          <w:shd w:val="clear" w:color="auto" w:fill="FFFFFF"/>
        </w:rPr>
        <w:t>, and the Affordable Connectivity Program</w:t>
      </w:r>
      <w:r>
        <w:rPr>
          <w:rFonts w:ascii="Times New Roman" w:hAnsi="Times New Roman"/>
          <w:sz w:val="22"/>
          <w:szCs w:val="22"/>
        </w:rPr>
        <w:t>—</w:t>
      </w:r>
      <w:r>
        <w:rPr>
          <w:rFonts w:ascii="Times New Roman" w:hAnsi="Times New Roman" w:cs="Times New Roman"/>
          <w:color w:val="000000" w:themeColor="text1"/>
          <w:sz w:val="22"/>
          <w:szCs w:val="22"/>
        </w:rPr>
        <w:t xml:space="preserve">mandated to the Commission under these laws.  </w:t>
      </w:r>
      <w:r w:rsidRPr="00CC7080">
        <w:rPr>
          <w:rFonts w:ascii="Times New Roman" w:hAnsi="Times New Roman" w:cs="Times New Roman"/>
          <w:sz w:val="22"/>
          <w:szCs w:val="22"/>
          <w:shd w:val="clear" w:color="auto" w:fill="FFFFFF"/>
        </w:rPr>
        <w:t xml:space="preserve">Financial Operations systems </w:t>
      </w:r>
      <w:r>
        <w:rPr>
          <w:rFonts w:ascii="Times New Roman" w:hAnsi="Times New Roman" w:cs="Times New Roman"/>
          <w:sz w:val="22"/>
          <w:szCs w:val="22"/>
          <w:shd w:val="clear" w:color="auto" w:fill="FFFFFF"/>
        </w:rPr>
        <w:t>continue</w:t>
      </w:r>
      <w:r w:rsidR="001F4146">
        <w:rPr>
          <w:rFonts w:ascii="Times New Roman" w:hAnsi="Times New Roman" w:cs="Times New Roman"/>
          <w:sz w:val="22"/>
          <w:szCs w:val="22"/>
          <w:shd w:val="clear" w:color="auto" w:fill="FFFFFF"/>
        </w:rPr>
        <w:t xml:space="preserve">s to support </w:t>
      </w:r>
      <w:r w:rsidRPr="00CC7080">
        <w:rPr>
          <w:rFonts w:ascii="Times New Roman" w:hAnsi="Times New Roman" w:cs="Times New Roman"/>
          <w:sz w:val="22"/>
          <w:szCs w:val="22"/>
          <w:shd w:val="clear" w:color="auto" w:fill="FFFFFF"/>
        </w:rPr>
        <w:t xml:space="preserve">the </w:t>
      </w:r>
      <w:r>
        <w:rPr>
          <w:rFonts w:ascii="Times New Roman" w:hAnsi="Times New Roman" w:cs="Times New Roman"/>
          <w:sz w:val="22"/>
          <w:szCs w:val="22"/>
          <w:shd w:val="clear" w:color="auto" w:fill="FFFFFF"/>
        </w:rPr>
        <w:t xml:space="preserve">Commission’s </w:t>
      </w:r>
      <w:r w:rsidRPr="00CC7080">
        <w:rPr>
          <w:rFonts w:ascii="Times New Roman" w:hAnsi="Times New Roman" w:cs="Times New Roman"/>
          <w:sz w:val="22"/>
          <w:szCs w:val="22"/>
          <w:shd w:val="clear" w:color="auto" w:fill="FFFFFF"/>
        </w:rPr>
        <w:t>mission</w:t>
      </w:r>
      <w:r w:rsidR="001F4146">
        <w:rPr>
          <w:rFonts w:ascii="Times New Roman" w:hAnsi="Times New Roman" w:cs="Times New Roman"/>
          <w:sz w:val="22"/>
          <w:szCs w:val="22"/>
          <w:shd w:val="clear" w:color="auto" w:fill="FFFFFF"/>
        </w:rPr>
        <w:t xml:space="preserve">. </w:t>
      </w:r>
      <w:r w:rsidRPr="001F4146">
        <w:rPr>
          <w:rFonts w:ascii="Times New Roman" w:hAnsi="Times New Roman" w:cs="Times New Roman"/>
          <w:strike/>
          <w:color w:val="EE0000"/>
          <w:sz w:val="22"/>
          <w:szCs w:val="22"/>
        </w:rPr>
        <w:t xml:space="preserve"> </w:t>
      </w:r>
    </w:p>
    <w:p w:rsidR="007B631B" w:rsidP="007B631B" w14:paraId="297B9D46" w14:textId="77777777">
      <w:pPr>
        <w:jc w:val="both"/>
        <w:rPr>
          <w:color w:val="000000" w:themeColor="text1"/>
          <w:sz w:val="22"/>
          <w:szCs w:val="22"/>
        </w:rPr>
      </w:pPr>
    </w:p>
    <w:p w:rsidR="00475326" w:rsidP="007B631B" w14:paraId="0DB5FE34" w14:textId="31D70F24">
      <w:pPr>
        <w:jc w:val="both"/>
        <w:rPr>
          <w:color w:val="000000" w:themeColor="text1"/>
          <w:sz w:val="22"/>
          <w:szCs w:val="22"/>
        </w:rPr>
      </w:pPr>
      <w:r>
        <w:rPr>
          <w:color w:val="000000" w:themeColor="text1"/>
          <w:sz w:val="22"/>
          <w:szCs w:val="22"/>
        </w:rPr>
        <w:t xml:space="preserve">The Commission continues to optimize financial management system controls through ongoing monitoring reviews, business process engineering initiatives and implementation of best practices, including the hosting of Genesis in a Cloud environment.  In FY </w:t>
      </w:r>
      <w:r w:rsidRPr="00A4535D">
        <w:rPr>
          <w:color w:val="000000" w:themeColor="text1"/>
          <w:sz w:val="22"/>
          <w:szCs w:val="22"/>
        </w:rPr>
        <w:t>202</w:t>
      </w:r>
      <w:r w:rsidR="00613E1A">
        <w:rPr>
          <w:color w:val="000000" w:themeColor="text1"/>
          <w:sz w:val="22"/>
          <w:szCs w:val="22"/>
        </w:rPr>
        <w:t>5</w:t>
      </w:r>
      <w:r>
        <w:rPr>
          <w:color w:val="000000" w:themeColor="text1"/>
          <w:sz w:val="22"/>
          <w:szCs w:val="22"/>
        </w:rPr>
        <w:t xml:space="preserve">, additional Commission financial legacy systems were </w:t>
      </w:r>
      <w:r w:rsidR="00242B5A">
        <w:rPr>
          <w:color w:val="000000" w:themeColor="text1"/>
          <w:sz w:val="22"/>
          <w:szCs w:val="22"/>
        </w:rPr>
        <w:t>modernized</w:t>
      </w:r>
      <w:r>
        <w:rPr>
          <w:color w:val="000000" w:themeColor="text1"/>
          <w:sz w:val="22"/>
          <w:szCs w:val="22"/>
        </w:rPr>
        <w:t xml:space="preserve">, continuing to decrease operations and maintenance costs and supporting </w:t>
      </w:r>
      <w:r w:rsidR="00242B5A">
        <w:rPr>
          <w:color w:val="000000" w:themeColor="text1"/>
          <w:sz w:val="22"/>
          <w:szCs w:val="22"/>
        </w:rPr>
        <w:t xml:space="preserve">efficiency </w:t>
      </w:r>
      <w:r>
        <w:rPr>
          <w:color w:val="000000" w:themeColor="text1"/>
          <w:sz w:val="22"/>
          <w:szCs w:val="22"/>
        </w:rPr>
        <w:t xml:space="preserve">initiatives.  Additionally, the Commission </w:t>
      </w:r>
      <w:r w:rsidRPr="00E53DE1">
        <w:rPr>
          <w:color w:val="000000" w:themeColor="text1"/>
          <w:sz w:val="22"/>
          <w:szCs w:val="22"/>
        </w:rPr>
        <w:t>continues to maintain a steady state within the core financial system and fully</w:t>
      </w:r>
      <w:r>
        <w:rPr>
          <w:color w:val="000000" w:themeColor="text1"/>
          <w:sz w:val="22"/>
          <w:szCs w:val="22"/>
        </w:rPr>
        <w:t xml:space="preserve"> utilizes Genesis’ features and functions, aligning financial system activities with the Commission’s business management goals.  The Commission’s financial management system strategy continues to build on processes that: improve internal controls; increase integration; implement tools that enhance budget formulation and performance; and improve financial coordination with our reporting components.</w:t>
      </w:r>
      <w:bookmarkEnd w:id="30"/>
    </w:p>
    <w:p w:rsidR="00E559C0" w:rsidP="00E559C0" w14:paraId="23E0268A" w14:textId="63B93C9D">
      <w:pPr>
        <w:jc w:val="both"/>
        <w:rPr>
          <w:color w:val="000000" w:themeColor="text1"/>
          <w:sz w:val="22"/>
          <w:szCs w:val="22"/>
        </w:rPr>
      </w:pPr>
    </w:p>
    <w:p w:rsidR="00E559C0" w:rsidP="00E559C0" w14:paraId="693350E0" w14:textId="77777777">
      <w:pPr>
        <w:jc w:val="both"/>
        <w:rPr>
          <w:sz w:val="28"/>
          <w:szCs w:val="28"/>
        </w:rPr>
        <w:sectPr w:rsidSect="00C506F4">
          <w:headerReference w:type="default" r:id="rId43"/>
          <w:footerReference w:type="default" r:id="rId44"/>
          <w:pgSz w:w="12240" w:h="15840" w:code="1"/>
          <w:pgMar w:top="1152" w:right="1440" w:bottom="1152" w:left="1440" w:header="720" w:footer="720" w:gutter="0"/>
          <w:cols w:space="720"/>
        </w:sectPr>
      </w:pPr>
      <w:r>
        <w:rPr>
          <w:sz w:val="28"/>
          <w:szCs w:val="28"/>
        </w:rPr>
        <w:br w:type="page"/>
      </w:r>
    </w:p>
    <w:p w:rsidR="00E559C0" w:rsidP="00E559C0" w14:paraId="70B28BEC" w14:textId="77777777">
      <w:pPr>
        <w:pStyle w:val="Heading2"/>
        <w:jc w:val="left"/>
        <w:rPr>
          <w:rFonts w:ascii="Times New Roman" w:hAnsi="Times New Roman" w:cs="Times New Roman"/>
          <w:sz w:val="28"/>
          <w:szCs w:val="28"/>
        </w:rPr>
      </w:pPr>
      <w:bookmarkStart w:id="32" w:name="_Toc216960430"/>
      <w:r w:rsidRPr="002B5536">
        <w:rPr>
          <w:rFonts w:ascii="Times New Roman" w:hAnsi="Times New Roman" w:cs="Times New Roman"/>
          <w:sz w:val="28"/>
          <w:szCs w:val="28"/>
        </w:rPr>
        <w:t>Financial Discussion and Analysis</w:t>
      </w:r>
      <w:bookmarkEnd w:id="31"/>
      <w:bookmarkEnd w:id="32"/>
    </w:p>
    <w:p w:rsidR="00E559C0" w:rsidRPr="00242260" w:rsidP="00E559C0" w14:paraId="0CAEC1D1" w14:textId="77777777">
      <w:pPr>
        <w:rPr>
          <w:sz w:val="22"/>
          <w:szCs w:val="22"/>
        </w:rPr>
      </w:pPr>
    </w:p>
    <w:p w:rsidR="00E559C0" w:rsidRPr="00A63C9A" w:rsidP="00E559C0" w14:paraId="274E23C1" w14:textId="77777777">
      <w:pPr>
        <w:pStyle w:val="Heading4C"/>
      </w:pPr>
      <w:r w:rsidRPr="00A63C9A">
        <w:t>UNDERSTANDING THE FINANCIAL STATEMENTS</w:t>
      </w:r>
    </w:p>
    <w:p w:rsidR="00E559C0" w:rsidRPr="003E0DED" w:rsidP="00E559C0" w14:paraId="7BBE58C2" w14:textId="77777777">
      <w:pPr>
        <w:autoSpaceDE w:val="0"/>
        <w:autoSpaceDN w:val="0"/>
        <w:adjustRightInd w:val="0"/>
        <w:jc w:val="both"/>
        <w:rPr>
          <w:sz w:val="22"/>
          <w:szCs w:val="22"/>
        </w:rPr>
      </w:pPr>
    </w:p>
    <w:p w:rsidR="004971AC" w:rsidRPr="00F6775A" w:rsidP="004971AC" w14:paraId="7569897A" w14:textId="77777777">
      <w:pPr>
        <w:autoSpaceDE w:val="0"/>
        <w:autoSpaceDN w:val="0"/>
        <w:adjustRightInd w:val="0"/>
        <w:jc w:val="both"/>
        <w:rPr>
          <w:sz w:val="22"/>
          <w:szCs w:val="22"/>
        </w:rPr>
      </w:pPr>
      <w:r w:rsidRPr="00F6775A">
        <w:rPr>
          <w:sz w:val="22"/>
          <w:szCs w:val="22"/>
        </w:rPr>
        <w:t>The Commission is committed to excellence and accuracy in financial reporting, transparency, and financial management.  Preparing the Commission’s financial statements is part of the goal to improve financial management and provide accurate and reliable financial information that is useful for assessing performance and allocating resources.  The Commission’s management is responsible for the integrity and objectivity of the information presented in the financial statements</w:t>
      </w:r>
      <w:r w:rsidRPr="007F375A">
        <w:rPr>
          <w:sz w:val="22"/>
          <w:szCs w:val="22"/>
        </w:rPr>
        <w:t xml:space="preserve">.  For the </w:t>
      </w:r>
      <w:r>
        <w:rPr>
          <w:sz w:val="22"/>
          <w:szCs w:val="22"/>
        </w:rPr>
        <w:t xml:space="preserve">twentieth </w:t>
      </w:r>
      <w:r w:rsidRPr="007F375A">
        <w:rPr>
          <w:sz w:val="22"/>
          <w:szCs w:val="22"/>
        </w:rPr>
        <w:t>consecutive</w:t>
      </w:r>
      <w:r w:rsidRPr="00F6775A">
        <w:rPr>
          <w:sz w:val="22"/>
          <w:szCs w:val="22"/>
        </w:rPr>
        <w:t xml:space="preserve"> year, the </w:t>
      </w:r>
      <w:r>
        <w:rPr>
          <w:sz w:val="22"/>
          <w:szCs w:val="22"/>
        </w:rPr>
        <w:t xml:space="preserve">Commission’s </w:t>
      </w:r>
      <w:r w:rsidRPr="00F6775A">
        <w:rPr>
          <w:sz w:val="22"/>
          <w:szCs w:val="22"/>
        </w:rPr>
        <w:t>financial statements have received an unmodified or clean audit opinion from the independent external auditors hired by the Office of Inspector General.</w:t>
      </w:r>
    </w:p>
    <w:p w:rsidR="004971AC" w:rsidRPr="00F6775A" w:rsidP="004971AC" w14:paraId="6CCC0ECB" w14:textId="77777777">
      <w:pPr>
        <w:autoSpaceDE w:val="0"/>
        <w:autoSpaceDN w:val="0"/>
        <w:adjustRightInd w:val="0"/>
        <w:jc w:val="both"/>
        <w:rPr>
          <w:sz w:val="22"/>
          <w:szCs w:val="22"/>
        </w:rPr>
      </w:pPr>
    </w:p>
    <w:p w:rsidR="004971AC" w:rsidRPr="00F6775A" w:rsidP="004971AC" w14:paraId="6B607D27" w14:textId="77777777">
      <w:pPr>
        <w:autoSpaceDE w:val="0"/>
        <w:autoSpaceDN w:val="0"/>
        <w:adjustRightInd w:val="0"/>
        <w:jc w:val="both"/>
        <w:rPr>
          <w:sz w:val="22"/>
          <w:szCs w:val="22"/>
        </w:rPr>
      </w:pPr>
      <w:r w:rsidRPr="00F6775A">
        <w:rPr>
          <w:sz w:val="22"/>
          <w:szCs w:val="22"/>
        </w:rPr>
        <w:t xml:space="preserve">The principal financial statements have been prepared to report the financial position and results of operations of the Commission.  The statements have been prepared from the books and records of the Commission, in accordance with U.S. generally accepted accounting principles (GAAP) for </w:t>
      </w:r>
      <w:r>
        <w:rPr>
          <w:sz w:val="22"/>
          <w:szCs w:val="22"/>
        </w:rPr>
        <w:t>f</w:t>
      </w:r>
      <w:r w:rsidRPr="00F6775A">
        <w:rPr>
          <w:sz w:val="22"/>
          <w:szCs w:val="22"/>
        </w:rPr>
        <w:t>ederal entities.  The financial statements and notes are presented in accordance with Office of Management and Budget (OMB) Circular No. A-136</w:t>
      </w:r>
      <w:r w:rsidRPr="00C1423A">
        <w:rPr>
          <w:iCs/>
          <w:sz w:val="22"/>
          <w:szCs w:val="22"/>
        </w:rPr>
        <w:t>,</w:t>
      </w:r>
      <w:r w:rsidRPr="00F6775A">
        <w:rPr>
          <w:i/>
          <w:sz w:val="22"/>
          <w:szCs w:val="22"/>
        </w:rPr>
        <w:t xml:space="preserve"> Financial Reporting</w:t>
      </w:r>
      <w:r>
        <w:rPr>
          <w:i/>
          <w:sz w:val="22"/>
          <w:szCs w:val="22"/>
        </w:rPr>
        <w:t xml:space="preserve"> </w:t>
      </w:r>
      <w:r w:rsidRPr="00BA1E56">
        <w:rPr>
          <w:i/>
          <w:sz w:val="22"/>
          <w:szCs w:val="22"/>
        </w:rPr>
        <w:t>Requirements</w:t>
      </w:r>
      <w:r w:rsidRPr="00767906">
        <w:rPr>
          <w:bCs/>
          <w:sz w:val="22"/>
          <w:szCs w:val="22"/>
        </w:rPr>
        <w:t>—</w:t>
      </w:r>
      <w:r w:rsidRPr="00FA7DA0">
        <w:rPr>
          <w:bCs/>
          <w:i/>
          <w:iCs/>
          <w:sz w:val="22"/>
          <w:szCs w:val="22"/>
        </w:rPr>
        <w:t>Revised</w:t>
      </w:r>
      <w:r w:rsidRPr="00C1423A">
        <w:rPr>
          <w:iCs/>
          <w:sz w:val="22"/>
          <w:szCs w:val="22"/>
        </w:rPr>
        <w:t>,</w:t>
      </w:r>
      <w:r w:rsidRPr="00E64CB8">
        <w:rPr>
          <w:iCs/>
          <w:sz w:val="22"/>
          <w:szCs w:val="22"/>
        </w:rPr>
        <w:t xml:space="preserve"> </w:t>
      </w:r>
      <w:r w:rsidRPr="00F6775A">
        <w:rPr>
          <w:sz w:val="22"/>
          <w:szCs w:val="22"/>
        </w:rPr>
        <w:t xml:space="preserve">dated </w:t>
      </w:r>
      <w:r>
        <w:rPr>
          <w:sz w:val="22"/>
          <w:szCs w:val="22"/>
        </w:rPr>
        <w:t>July 14, 2025</w:t>
      </w:r>
      <w:r w:rsidRPr="00F6775A">
        <w:rPr>
          <w:sz w:val="22"/>
          <w:szCs w:val="22"/>
        </w:rPr>
        <w:t>.</w:t>
      </w:r>
    </w:p>
    <w:p w:rsidR="004971AC" w:rsidRPr="00F6775A" w:rsidP="004971AC" w14:paraId="6FAE214C" w14:textId="77777777">
      <w:pPr>
        <w:autoSpaceDE w:val="0"/>
        <w:autoSpaceDN w:val="0"/>
        <w:adjustRightInd w:val="0"/>
        <w:jc w:val="both"/>
        <w:rPr>
          <w:sz w:val="22"/>
          <w:szCs w:val="22"/>
        </w:rPr>
      </w:pPr>
    </w:p>
    <w:p w:rsidR="004971AC" w:rsidRPr="00F6775A" w:rsidP="004971AC" w14:paraId="0640629D" w14:textId="399D6A5D">
      <w:pPr>
        <w:autoSpaceDE w:val="0"/>
        <w:autoSpaceDN w:val="0"/>
        <w:adjustRightInd w:val="0"/>
        <w:jc w:val="both"/>
        <w:rPr>
          <w:sz w:val="22"/>
          <w:szCs w:val="22"/>
        </w:rPr>
      </w:pPr>
      <w:r w:rsidRPr="00F6775A">
        <w:rPr>
          <w:sz w:val="22"/>
          <w:szCs w:val="22"/>
        </w:rPr>
        <w:t>This section presents a summary analysis of key financial statement core business activities.  The principal financial statements include</w:t>
      </w:r>
      <w:r>
        <w:rPr>
          <w:sz w:val="22"/>
          <w:szCs w:val="22"/>
        </w:rPr>
        <w:t xml:space="preserve">: </w:t>
      </w:r>
      <w:r w:rsidRPr="00F6775A">
        <w:rPr>
          <w:sz w:val="22"/>
          <w:szCs w:val="22"/>
        </w:rPr>
        <w:t xml:space="preserve">the Consolidated Balance Sheet, </w:t>
      </w:r>
      <w:r>
        <w:rPr>
          <w:sz w:val="22"/>
          <w:szCs w:val="22"/>
        </w:rPr>
        <w:t xml:space="preserve">the </w:t>
      </w:r>
      <w:r w:rsidRPr="00F6775A">
        <w:rPr>
          <w:sz w:val="22"/>
          <w:szCs w:val="22"/>
        </w:rPr>
        <w:t xml:space="preserve">Consolidated Statement of Net Cost, </w:t>
      </w:r>
      <w:r>
        <w:rPr>
          <w:sz w:val="22"/>
          <w:szCs w:val="22"/>
        </w:rPr>
        <w:t xml:space="preserve">the </w:t>
      </w:r>
      <w:r w:rsidRPr="00F6775A">
        <w:rPr>
          <w:sz w:val="22"/>
          <w:szCs w:val="22"/>
        </w:rPr>
        <w:t>Consolidated Statement of Changes in Net Position</w:t>
      </w:r>
      <w:r>
        <w:rPr>
          <w:sz w:val="22"/>
          <w:szCs w:val="22"/>
        </w:rPr>
        <w:t xml:space="preserve"> and Custodial Activity</w:t>
      </w:r>
      <w:r w:rsidRPr="00F6775A">
        <w:rPr>
          <w:sz w:val="22"/>
          <w:szCs w:val="22"/>
        </w:rPr>
        <w:t>,</w:t>
      </w:r>
      <w:r>
        <w:rPr>
          <w:sz w:val="22"/>
          <w:szCs w:val="22"/>
        </w:rPr>
        <w:t xml:space="preserve"> and</w:t>
      </w:r>
      <w:r w:rsidRPr="00F6775A">
        <w:rPr>
          <w:sz w:val="22"/>
          <w:szCs w:val="22"/>
        </w:rPr>
        <w:t xml:space="preserve"> </w:t>
      </w:r>
      <w:r>
        <w:rPr>
          <w:sz w:val="22"/>
          <w:szCs w:val="22"/>
        </w:rPr>
        <w:t xml:space="preserve">the </w:t>
      </w:r>
      <w:r w:rsidRPr="00F6775A">
        <w:rPr>
          <w:sz w:val="22"/>
          <w:szCs w:val="22"/>
        </w:rPr>
        <w:t xml:space="preserve">Combined Statement of Budgetary Resources.  This section also summarizes the financial activity and net position of the Commission.  The complete set of principal financial statements is included in </w:t>
      </w:r>
      <w:r>
        <w:rPr>
          <w:sz w:val="22"/>
          <w:szCs w:val="22"/>
        </w:rPr>
        <w:t>S</w:t>
      </w:r>
      <w:r w:rsidRPr="00F6775A">
        <w:rPr>
          <w:sz w:val="22"/>
          <w:szCs w:val="22"/>
        </w:rPr>
        <w:t xml:space="preserve">ection 2 of this report. </w:t>
      </w:r>
    </w:p>
    <w:p w:rsidR="004971AC" w:rsidRPr="00F6775A" w:rsidP="004971AC" w14:paraId="6F13DA34" w14:textId="77777777">
      <w:pPr>
        <w:autoSpaceDE w:val="0"/>
        <w:autoSpaceDN w:val="0"/>
        <w:adjustRightInd w:val="0"/>
        <w:jc w:val="both"/>
        <w:rPr>
          <w:sz w:val="22"/>
          <w:szCs w:val="22"/>
        </w:rPr>
      </w:pPr>
    </w:p>
    <w:p w:rsidR="004971AC" w:rsidRPr="00F6775A" w:rsidP="004971AC" w14:paraId="67A6ED6E" w14:textId="77777777">
      <w:pPr>
        <w:autoSpaceDE w:val="0"/>
        <w:autoSpaceDN w:val="0"/>
        <w:adjustRightInd w:val="0"/>
        <w:jc w:val="both"/>
        <w:rPr>
          <w:sz w:val="22"/>
          <w:szCs w:val="22"/>
        </w:rPr>
      </w:pPr>
      <w:r w:rsidRPr="08A04539">
        <w:rPr>
          <w:sz w:val="22"/>
          <w:szCs w:val="22"/>
        </w:rPr>
        <w:t>A summary of the Commission’s major financial activities in Fiscal Year (FY) 202</w:t>
      </w:r>
      <w:r>
        <w:rPr>
          <w:sz w:val="22"/>
          <w:szCs w:val="22"/>
        </w:rPr>
        <w:t>5</w:t>
      </w:r>
      <w:r w:rsidRPr="08A04539">
        <w:rPr>
          <w:sz w:val="22"/>
          <w:szCs w:val="22"/>
        </w:rPr>
        <w:t xml:space="preserve"> is presented in the table on the next page.  This table represents the resources available for use (assets) against the amount owed (liabilities) and the amount that comprises the difference (net position).  The net cost represents the gross cost of operating the Commission’s lines of business less earned revenue.  Budgetary resources represent funds made available to the Commission.</w:t>
      </w:r>
    </w:p>
    <w:p w:rsidR="004971AC" w:rsidRPr="00F6775A" w:rsidP="004971AC" w14:paraId="09EF8E93" w14:textId="77777777">
      <w:pPr>
        <w:autoSpaceDE w:val="0"/>
        <w:autoSpaceDN w:val="0"/>
        <w:adjustRightInd w:val="0"/>
        <w:jc w:val="both"/>
        <w:rPr>
          <w:sz w:val="22"/>
          <w:szCs w:val="22"/>
        </w:rPr>
      </w:pPr>
    </w:p>
    <w:p w:rsidR="004971AC" w:rsidRPr="00F6775A" w:rsidP="004971AC" w14:paraId="463D494F" w14:textId="77777777">
      <w:pPr>
        <w:autoSpaceDE w:val="0"/>
        <w:autoSpaceDN w:val="0"/>
        <w:adjustRightInd w:val="0"/>
        <w:jc w:val="both"/>
        <w:rPr>
          <w:sz w:val="22"/>
          <w:szCs w:val="22"/>
        </w:rPr>
      </w:pPr>
    </w:p>
    <w:p w:rsidR="004971AC" w:rsidRPr="00F6775A" w:rsidP="004971AC" w14:paraId="38324679" w14:textId="77777777">
      <w:pPr>
        <w:autoSpaceDE w:val="0"/>
        <w:autoSpaceDN w:val="0"/>
        <w:adjustRightInd w:val="0"/>
        <w:jc w:val="both"/>
        <w:rPr>
          <w:sz w:val="22"/>
          <w:szCs w:val="22"/>
        </w:rPr>
      </w:pPr>
    </w:p>
    <w:p w:rsidR="004971AC" w:rsidRPr="00F6775A" w:rsidP="004971AC" w14:paraId="7BC66393" w14:textId="77777777">
      <w:pPr>
        <w:autoSpaceDE w:val="0"/>
        <w:autoSpaceDN w:val="0"/>
        <w:adjustRightInd w:val="0"/>
        <w:jc w:val="both"/>
        <w:rPr>
          <w:sz w:val="22"/>
          <w:szCs w:val="22"/>
        </w:rPr>
      </w:pPr>
    </w:p>
    <w:p w:rsidR="004971AC" w:rsidRPr="00F6775A" w:rsidP="004971AC" w14:paraId="04E6F385" w14:textId="77777777">
      <w:pPr>
        <w:autoSpaceDE w:val="0"/>
        <w:autoSpaceDN w:val="0"/>
        <w:adjustRightInd w:val="0"/>
        <w:jc w:val="both"/>
        <w:rPr>
          <w:sz w:val="22"/>
          <w:szCs w:val="22"/>
        </w:rPr>
      </w:pPr>
    </w:p>
    <w:p w:rsidR="004971AC" w:rsidRPr="00F6775A" w:rsidP="004971AC" w14:paraId="2B18E532" w14:textId="77777777">
      <w:pPr>
        <w:autoSpaceDE w:val="0"/>
        <w:autoSpaceDN w:val="0"/>
        <w:adjustRightInd w:val="0"/>
        <w:jc w:val="both"/>
        <w:rPr>
          <w:sz w:val="22"/>
          <w:szCs w:val="22"/>
        </w:rPr>
      </w:pPr>
    </w:p>
    <w:p w:rsidR="004971AC" w:rsidRPr="00F6775A" w:rsidP="004971AC" w14:paraId="751D8B9F" w14:textId="77777777">
      <w:pPr>
        <w:autoSpaceDE w:val="0"/>
        <w:autoSpaceDN w:val="0"/>
        <w:adjustRightInd w:val="0"/>
        <w:jc w:val="both"/>
        <w:rPr>
          <w:sz w:val="22"/>
          <w:szCs w:val="22"/>
        </w:rPr>
      </w:pPr>
    </w:p>
    <w:p w:rsidR="004971AC" w:rsidRPr="00F6775A" w:rsidP="004971AC" w14:paraId="09825883" w14:textId="77777777">
      <w:pPr>
        <w:autoSpaceDE w:val="0"/>
        <w:autoSpaceDN w:val="0"/>
        <w:adjustRightInd w:val="0"/>
        <w:jc w:val="both"/>
        <w:rPr>
          <w:sz w:val="22"/>
          <w:szCs w:val="22"/>
        </w:rPr>
      </w:pPr>
    </w:p>
    <w:p w:rsidR="004971AC" w:rsidRPr="00F6775A" w:rsidP="004971AC" w14:paraId="688A55E8" w14:textId="77777777">
      <w:pPr>
        <w:autoSpaceDE w:val="0"/>
        <w:autoSpaceDN w:val="0"/>
        <w:adjustRightInd w:val="0"/>
        <w:jc w:val="both"/>
        <w:rPr>
          <w:sz w:val="22"/>
          <w:szCs w:val="22"/>
        </w:rPr>
      </w:pPr>
    </w:p>
    <w:p w:rsidR="004971AC" w:rsidRPr="00F6775A" w:rsidP="004971AC" w14:paraId="1E0E8797" w14:textId="77777777">
      <w:pPr>
        <w:autoSpaceDE w:val="0"/>
        <w:autoSpaceDN w:val="0"/>
        <w:adjustRightInd w:val="0"/>
        <w:jc w:val="both"/>
        <w:rPr>
          <w:sz w:val="22"/>
          <w:szCs w:val="22"/>
        </w:rPr>
      </w:pPr>
    </w:p>
    <w:p w:rsidR="004971AC" w:rsidRPr="00F6775A" w:rsidP="004971AC" w14:paraId="2E746B52" w14:textId="77777777">
      <w:pPr>
        <w:autoSpaceDE w:val="0"/>
        <w:autoSpaceDN w:val="0"/>
        <w:adjustRightInd w:val="0"/>
        <w:jc w:val="both"/>
        <w:rPr>
          <w:sz w:val="22"/>
          <w:szCs w:val="22"/>
        </w:rPr>
      </w:pPr>
    </w:p>
    <w:p w:rsidR="004971AC" w:rsidRPr="00F6775A" w:rsidP="004971AC" w14:paraId="4345FCDC" w14:textId="77777777">
      <w:pPr>
        <w:autoSpaceDE w:val="0"/>
        <w:autoSpaceDN w:val="0"/>
        <w:adjustRightInd w:val="0"/>
        <w:jc w:val="both"/>
        <w:rPr>
          <w:sz w:val="22"/>
          <w:szCs w:val="22"/>
        </w:rPr>
      </w:pPr>
    </w:p>
    <w:p w:rsidR="004971AC" w:rsidP="004971AC" w14:paraId="6F02561E" w14:textId="77777777">
      <w:pPr>
        <w:autoSpaceDE w:val="0"/>
        <w:autoSpaceDN w:val="0"/>
        <w:adjustRightInd w:val="0"/>
        <w:rPr>
          <w:sz w:val="22"/>
          <w:szCs w:val="22"/>
        </w:rPr>
      </w:pPr>
      <w:r w:rsidRPr="00F6775A">
        <w:rPr>
          <w:sz w:val="22"/>
          <w:szCs w:val="22"/>
        </w:rPr>
        <w:br w:type="page"/>
      </w:r>
    </w:p>
    <w:p w:rsidR="004971AC" w:rsidP="004971AC" w14:paraId="47AEA0B4" w14:textId="77777777">
      <w:pPr>
        <w:rPr>
          <w:sz w:val="22"/>
          <w:szCs w:val="22"/>
        </w:rPr>
      </w:pPr>
      <w:r>
        <w:rPr>
          <w:sz w:val="22"/>
          <w:szCs w:val="22"/>
        </w:rPr>
        <w:t xml:space="preserve"> </w:t>
      </w:r>
      <w:r w:rsidRPr="005E3184">
        <w:rPr>
          <w:noProof/>
        </w:rPr>
        <w:drawing>
          <wp:inline distT="0" distB="0" distL="0" distR="0">
            <wp:extent cx="5757545" cy="7699022"/>
            <wp:effectExtent l="0" t="0" r="0" b="0"/>
            <wp:docPr id="2066137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37644" name="Picture 1"/>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8232" cy="7699941"/>
                    </a:xfrm>
                    <a:prstGeom prst="rect">
                      <a:avLst/>
                    </a:prstGeom>
                    <a:noFill/>
                    <a:ln>
                      <a:noFill/>
                    </a:ln>
                  </pic:spPr>
                </pic:pic>
              </a:graphicData>
            </a:graphic>
          </wp:inline>
        </w:drawing>
      </w:r>
    </w:p>
    <w:p w:rsidR="004971AC" w:rsidP="004971AC" w14:paraId="1157F123" w14:textId="77777777">
      <w:pPr>
        <w:rPr>
          <w:sz w:val="22"/>
          <w:szCs w:val="22"/>
        </w:rPr>
      </w:pPr>
      <w:r>
        <w:rPr>
          <w:sz w:val="22"/>
          <w:szCs w:val="22"/>
        </w:rPr>
        <w:t xml:space="preserve"> </w:t>
      </w:r>
    </w:p>
    <w:p w:rsidR="004971AC" w:rsidP="004971AC" w14:paraId="75CA73B9" w14:textId="77777777">
      <w:pPr>
        <w:rPr>
          <w:sz w:val="22"/>
          <w:szCs w:val="22"/>
        </w:rPr>
      </w:pPr>
      <w:r>
        <w:rPr>
          <w:sz w:val="22"/>
          <w:szCs w:val="22"/>
        </w:rPr>
        <w:br w:type="page"/>
      </w:r>
    </w:p>
    <w:p w:rsidR="004971AC" w:rsidRPr="00F6775A" w:rsidP="004971AC" w14:paraId="72C68042" w14:textId="77777777">
      <w:pPr>
        <w:autoSpaceDE w:val="0"/>
        <w:autoSpaceDN w:val="0"/>
        <w:adjustRightInd w:val="0"/>
        <w:jc w:val="both"/>
        <w:rPr>
          <w:sz w:val="22"/>
          <w:szCs w:val="22"/>
        </w:rPr>
      </w:pPr>
      <w:r w:rsidRPr="00F6775A">
        <w:rPr>
          <w:sz w:val="22"/>
          <w:szCs w:val="22"/>
        </w:rPr>
        <w:t>The following is a brief description of the nature of each required financial statement and its relevance, including a description of certain significant balances on Commission operations.</w:t>
      </w:r>
    </w:p>
    <w:p w:rsidR="004971AC" w:rsidRPr="00F6775A" w:rsidP="004971AC" w14:paraId="44334E26" w14:textId="77777777">
      <w:pPr>
        <w:rPr>
          <w:sz w:val="22"/>
          <w:szCs w:val="22"/>
        </w:rPr>
      </w:pPr>
    </w:p>
    <w:p w:rsidR="004971AC" w:rsidRPr="00F6775A" w:rsidP="004971AC" w14:paraId="7F49F07A" w14:textId="77777777">
      <w:pPr>
        <w:jc w:val="both"/>
        <w:rPr>
          <w:sz w:val="22"/>
          <w:szCs w:val="22"/>
        </w:rPr>
      </w:pPr>
      <w:r w:rsidRPr="007F70D4">
        <w:rPr>
          <w:i/>
          <w:sz w:val="22"/>
          <w:szCs w:val="22"/>
          <w:u w:val="single"/>
        </w:rPr>
        <w:t>Consolidated Balance Sheet</w:t>
      </w:r>
      <w:r w:rsidRPr="00B67AEF">
        <w:rPr>
          <w:bCs/>
          <w:sz w:val="22"/>
          <w:szCs w:val="22"/>
        </w:rPr>
        <w:t>:</w:t>
      </w:r>
      <w:r w:rsidRPr="00F6775A">
        <w:rPr>
          <w:sz w:val="22"/>
          <w:szCs w:val="22"/>
        </w:rPr>
        <w:t xml:space="preserve">  The Consolidated Balance Sheet presents the total amounts available for use by the Commission (total assets) and the amounts owed by the Commission (total liabilities).  Fund Balance with Treasury </w:t>
      </w:r>
      <w:r w:rsidRPr="00ED43E0">
        <w:rPr>
          <w:sz w:val="22"/>
          <w:szCs w:val="22"/>
        </w:rPr>
        <w:t xml:space="preserve">represents </w:t>
      </w:r>
      <w:r w:rsidRPr="003F3F2C">
        <w:rPr>
          <w:sz w:val="22"/>
          <w:szCs w:val="22"/>
        </w:rPr>
        <w:t>9</w:t>
      </w:r>
      <w:r>
        <w:rPr>
          <w:sz w:val="22"/>
          <w:szCs w:val="22"/>
        </w:rPr>
        <w:t xml:space="preserve">3 </w:t>
      </w:r>
      <w:r w:rsidRPr="00F6775A">
        <w:rPr>
          <w:sz w:val="22"/>
          <w:szCs w:val="22"/>
        </w:rPr>
        <w:t xml:space="preserve">percent of total assets as of </w:t>
      </w:r>
      <w:r>
        <w:rPr>
          <w:sz w:val="22"/>
          <w:szCs w:val="22"/>
        </w:rPr>
        <w:t>September</w:t>
      </w:r>
      <w:r w:rsidRPr="00F6775A">
        <w:rPr>
          <w:sz w:val="22"/>
          <w:szCs w:val="22"/>
        </w:rPr>
        <w:t xml:space="preserve"> 30, 202</w:t>
      </w:r>
      <w:r>
        <w:rPr>
          <w:sz w:val="22"/>
          <w:szCs w:val="22"/>
        </w:rPr>
        <w:t>5</w:t>
      </w:r>
      <w:r w:rsidRPr="00F6775A">
        <w:rPr>
          <w:sz w:val="22"/>
          <w:szCs w:val="22"/>
        </w:rPr>
        <w:t>.</w:t>
      </w:r>
    </w:p>
    <w:p w:rsidR="004971AC" w:rsidRPr="00F6775A" w:rsidP="004971AC" w14:paraId="529B6F02" w14:textId="77777777">
      <w:pPr>
        <w:autoSpaceDE w:val="0"/>
        <w:autoSpaceDN w:val="0"/>
        <w:adjustRightInd w:val="0"/>
        <w:jc w:val="both"/>
        <w:rPr>
          <w:sz w:val="22"/>
          <w:szCs w:val="22"/>
        </w:rPr>
      </w:pPr>
    </w:p>
    <w:p w:rsidR="004971AC" w:rsidRPr="00F6775A" w:rsidP="004971AC" w14:paraId="2FFE6EC7" w14:textId="77777777">
      <w:pPr>
        <w:jc w:val="both"/>
        <w:rPr>
          <w:color w:val="000000"/>
          <w:sz w:val="22"/>
          <w:szCs w:val="22"/>
        </w:rPr>
      </w:pPr>
      <w:r w:rsidRPr="00F6775A">
        <w:rPr>
          <w:sz w:val="22"/>
          <w:szCs w:val="22"/>
        </w:rPr>
        <w:t xml:space="preserve">The pie chart below presents the total assets of the Commission as of </w:t>
      </w:r>
      <w:r>
        <w:rPr>
          <w:sz w:val="22"/>
          <w:szCs w:val="22"/>
        </w:rPr>
        <w:t>September</w:t>
      </w:r>
      <w:r w:rsidRPr="00F6775A">
        <w:rPr>
          <w:sz w:val="22"/>
          <w:szCs w:val="22"/>
        </w:rPr>
        <w:t xml:space="preserve"> 30, 202</w:t>
      </w:r>
      <w:r>
        <w:rPr>
          <w:sz w:val="22"/>
          <w:szCs w:val="22"/>
        </w:rPr>
        <w:t>5</w:t>
      </w:r>
      <w:r w:rsidRPr="00F6775A">
        <w:rPr>
          <w:sz w:val="22"/>
          <w:szCs w:val="22"/>
        </w:rPr>
        <w:t xml:space="preserve">.  The Fund Balance with Treasury of </w:t>
      </w:r>
      <w:r w:rsidRPr="00ED43E0">
        <w:rPr>
          <w:sz w:val="22"/>
          <w:szCs w:val="22"/>
        </w:rPr>
        <w:t>$</w:t>
      </w:r>
      <w:r>
        <w:rPr>
          <w:sz w:val="22"/>
          <w:szCs w:val="22"/>
        </w:rPr>
        <w:t xml:space="preserve">14,759 </w:t>
      </w:r>
      <w:r w:rsidRPr="00F6775A">
        <w:rPr>
          <w:sz w:val="22"/>
          <w:szCs w:val="22"/>
        </w:rPr>
        <w:t>million</w:t>
      </w:r>
      <w:r>
        <w:rPr>
          <w:sz w:val="22"/>
          <w:szCs w:val="22"/>
        </w:rPr>
        <w:t xml:space="preserve"> is primarily related to the Universal Service Fund (</w:t>
      </w:r>
      <w:r w:rsidRPr="00F6775A">
        <w:rPr>
          <w:sz w:val="22"/>
          <w:szCs w:val="22"/>
        </w:rPr>
        <w:t>USF</w:t>
      </w:r>
      <w:r>
        <w:rPr>
          <w:sz w:val="22"/>
          <w:szCs w:val="22"/>
        </w:rPr>
        <w:t>), the Affordable</w:t>
      </w:r>
      <w:r w:rsidRPr="007F375A">
        <w:rPr>
          <w:sz w:val="22"/>
          <w:szCs w:val="22"/>
        </w:rPr>
        <w:t xml:space="preserve"> Connectivity Fund </w:t>
      </w:r>
      <w:r>
        <w:rPr>
          <w:sz w:val="22"/>
          <w:szCs w:val="22"/>
        </w:rPr>
        <w:t>–</w:t>
      </w:r>
      <w:r w:rsidRPr="007F375A">
        <w:rPr>
          <w:sz w:val="22"/>
          <w:szCs w:val="22"/>
        </w:rPr>
        <w:t xml:space="preserve"> </w:t>
      </w:r>
      <w:r>
        <w:rPr>
          <w:sz w:val="22"/>
          <w:szCs w:val="22"/>
        </w:rPr>
        <w:t>Affordable Connectivity Program (ACF-ACP), the Emergency Connectivity Fund (ECF), the Supply Chain Reimbursement Program (SCRP), and the spectrum auctions program</w:t>
      </w:r>
      <w:r w:rsidRPr="00F6775A">
        <w:rPr>
          <w:sz w:val="22"/>
          <w:szCs w:val="22"/>
        </w:rPr>
        <w:t xml:space="preserve">.  </w:t>
      </w:r>
    </w:p>
    <w:p w:rsidR="004971AC" w:rsidRPr="00F6775A" w:rsidP="004971AC" w14:paraId="4EEC93F8" w14:textId="77777777">
      <w:pPr>
        <w:autoSpaceDE w:val="0"/>
        <w:autoSpaceDN w:val="0"/>
        <w:adjustRightInd w:val="0"/>
        <w:jc w:val="both"/>
        <w:rPr>
          <w:sz w:val="22"/>
          <w:szCs w:val="22"/>
        </w:rPr>
      </w:pPr>
    </w:p>
    <w:p w:rsidR="004971AC" w:rsidP="004971AC" w14:paraId="64F57C77" w14:textId="77777777">
      <w:pPr>
        <w:autoSpaceDE w:val="0"/>
        <w:autoSpaceDN w:val="0"/>
        <w:adjustRightInd w:val="0"/>
        <w:jc w:val="both"/>
        <w:rPr>
          <w:sz w:val="22"/>
          <w:szCs w:val="22"/>
        </w:rPr>
      </w:pPr>
      <w:r w:rsidRPr="00F6775A">
        <w:rPr>
          <w:sz w:val="22"/>
          <w:szCs w:val="22"/>
        </w:rPr>
        <w:t>The Accounts Receivable balance of $</w:t>
      </w:r>
      <w:r>
        <w:rPr>
          <w:sz w:val="22"/>
          <w:szCs w:val="22"/>
        </w:rPr>
        <w:t xml:space="preserve">934 </w:t>
      </w:r>
      <w:r w:rsidRPr="00F6775A">
        <w:rPr>
          <w:sz w:val="22"/>
          <w:szCs w:val="22"/>
        </w:rPr>
        <w:t xml:space="preserve">million is primarily </w:t>
      </w:r>
      <w:r>
        <w:rPr>
          <w:sz w:val="22"/>
          <w:szCs w:val="22"/>
        </w:rPr>
        <w:t xml:space="preserve">due to </w:t>
      </w:r>
      <w:r w:rsidRPr="00F6775A">
        <w:rPr>
          <w:sz w:val="22"/>
          <w:szCs w:val="22"/>
        </w:rPr>
        <w:t>USF receivables totaling $</w:t>
      </w:r>
      <w:r>
        <w:rPr>
          <w:sz w:val="22"/>
          <w:szCs w:val="22"/>
        </w:rPr>
        <w:t>831</w:t>
      </w:r>
      <w:r w:rsidRPr="00F6775A">
        <w:rPr>
          <w:sz w:val="22"/>
          <w:szCs w:val="22"/>
        </w:rPr>
        <w:t xml:space="preserve"> million.</w:t>
      </w:r>
    </w:p>
    <w:p w:rsidR="004971AC" w:rsidRPr="00F6775A" w:rsidP="004971AC" w14:paraId="38B4C63C" w14:textId="77777777">
      <w:pPr>
        <w:autoSpaceDE w:val="0"/>
        <w:autoSpaceDN w:val="0"/>
        <w:adjustRightInd w:val="0"/>
        <w:jc w:val="both"/>
        <w:rPr>
          <w:sz w:val="22"/>
          <w:szCs w:val="22"/>
        </w:rPr>
      </w:pPr>
    </w:p>
    <w:p w:rsidR="004971AC" w:rsidRPr="00F6775A" w:rsidP="004971AC" w14:paraId="0A25BFF2" w14:textId="77777777">
      <w:pPr>
        <w:autoSpaceDE w:val="0"/>
        <w:autoSpaceDN w:val="0"/>
        <w:adjustRightInd w:val="0"/>
        <w:rPr>
          <w:noProof/>
          <w:sz w:val="22"/>
          <w:szCs w:val="22"/>
        </w:rPr>
      </w:pPr>
      <w:r>
        <w:rPr>
          <w:noProof/>
        </w:rPr>
        <w:drawing>
          <wp:inline distT="0" distB="0" distL="0" distR="0">
            <wp:extent cx="5943600" cy="4295775"/>
            <wp:effectExtent l="0" t="0" r="0" b="9525"/>
            <wp:docPr id="903456181" name="Chart 1">
              <a:extLst xmlns:a="http://schemas.openxmlformats.org/drawingml/2006/main">
                <a:ext xmlns:a="http://schemas.openxmlformats.org/drawingml/2006/main" uri="{FF2B5EF4-FFF2-40B4-BE49-F238E27FC236}">
                  <a16:creationId xmlns:a16="http://schemas.microsoft.com/office/drawing/2014/main" id="{00000000-0008-0000-0200-00002F0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971AC" w:rsidRPr="00F6775A" w:rsidP="004971AC" w14:paraId="654159B7" w14:textId="77777777">
      <w:pPr>
        <w:autoSpaceDE w:val="0"/>
        <w:autoSpaceDN w:val="0"/>
        <w:adjustRightInd w:val="0"/>
        <w:rPr>
          <w:noProof/>
          <w:sz w:val="22"/>
          <w:szCs w:val="22"/>
        </w:rPr>
      </w:pPr>
    </w:p>
    <w:p w:rsidR="004971AC" w:rsidRPr="00F6775A" w:rsidP="004971AC" w14:paraId="171BA12B" w14:textId="77777777">
      <w:pPr>
        <w:rPr>
          <w:sz w:val="22"/>
          <w:szCs w:val="22"/>
        </w:rPr>
      </w:pPr>
      <w:r w:rsidRPr="00F6775A">
        <w:rPr>
          <w:sz w:val="22"/>
          <w:szCs w:val="22"/>
        </w:rPr>
        <w:br w:type="page"/>
      </w:r>
    </w:p>
    <w:p w:rsidR="004971AC" w:rsidRPr="00F6775A" w:rsidP="004971AC" w14:paraId="1A02A060" w14:textId="77777777">
      <w:pPr>
        <w:autoSpaceDE w:val="0"/>
        <w:autoSpaceDN w:val="0"/>
        <w:adjustRightInd w:val="0"/>
        <w:jc w:val="both"/>
        <w:rPr>
          <w:sz w:val="22"/>
          <w:szCs w:val="22"/>
        </w:rPr>
      </w:pPr>
      <w:r w:rsidRPr="00F6775A">
        <w:rPr>
          <w:sz w:val="22"/>
          <w:szCs w:val="22"/>
        </w:rPr>
        <w:t xml:space="preserve">The pie chart below presents the total liabilities of the Commission as of </w:t>
      </w:r>
      <w:r>
        <w:rPr>
          <w:sz w:val="22"/>
          <w:szCs w:val="22"/>
        </w:rPr>
        <w:t>September</w:t>
      </w:r>
      <w:r w:rsidRPr="00F6775A">
        <w:rPr>
          <w:sz w:val="22"/>
          <w:szCs w:val="22"/>
        </w:rPr>
        <w:t xml:space="preserve"> 30, 202</w:t>
      </w:r>
      <w:r>
        <w:rPr>
          <w:sz w:val="22"/>
          <w:szCs w:val="22"/>
        </w:rPr>
        <w:t>5</w:t>
      </w:r>
      <w:r w:rsidRPr="00F6775A">
        <w:rPr>
          <w:sz w:val="22"/>
          <w:szCs w:val="22"/>
        </w:rPr>
        <w:t>.  The Commission’s most significant liabilities are</w:t>
      </w:r>
      <w:r>
        <w:rPr>
          <w:sz w:val="22"/>
          <w:szCs w:val="22"/>
        </w:rPr>
        <w:t xml:space="preserve"> Debt of $3,149 million,</w:t>
      </w:r>
      <w:r w:rsidRPr="00F6775A">
        <w:rPr>
          <w:sz w:val="22"/>
          <w:szCs w:val="22"/>
        </w:rPr>
        <w:t xml:space="preserve"> </w:t>
      </w:r>
      <w:r w:rsidRPr="00E73055">
        <w:rPr>
          <w:sz w:val="22"/>
          <w:szCs w:val="22"/>
        </w:rPr>
        <w:t>Liability to the General Fund of the U.S. Government for Custodial and Other Non-entity Assets of $</w:t>
      </w:r>
      <w:r>
        <w:rPr>
          <w:sz w:val="22"/>
          <w:szCs w:val="22"/>
        </w:rPr>
        <w:t>3,117</w:t>
      </w:r>
      <w:r w:rsidRPr="000E12E9">
        <w:rPr>
          <w:sz w:val="22"/>
          <w:szCs w:val="22"/>
        </w:rPr>
        <w:t xml:space="preserve"> </w:t>
      </w:r>
      <w:r w:rsidRPr="00E73055">
        <w:rPr>
          <w:sz w:val="22"/>
          <w:szCs w:val="22"/>
        </w:rPr>
        <w:t>million</w:t>
      </w:r>
      <w:r w:rsidRPr="000E12E9">
        <w:rPr>
          <w:sz w:val="22"/>
          <w:szCs w:val="22"/>
        </w:rPr>
        <w:t xml:space="preserve">, Other than Intragovernmental </w:t>
      </w:r>
      <w:r w:rsidRPr="00E73055">
        <w:rPr>
          <w:sz w:val="22"/>
          <w:szCs w:val="22"/>
        </w:rPr>
        <w:t>Accounts Payable</w:t>
      </w:r>
      <w:r w:rsidRPr="000E12E9">
        <w:rPr>
          <w:sz w:val="22"/>
          <w:szCs w:val="22"/>
        </w:rPr>
        <w:t xml:space="preserve"> of $</w:t>
      </w:r>
      <w:r>
        <w:rPr>
          <w:sz w:val="22"/>
          <w:szCs w:val="22"/>
        </w:rPr>
        <w:t>385</w:t>
      </w:r>
      <w:r w:rsidRPr="000E12E9">
        <w:rPr>
          <w:sz w:val="22"/>
          <w:szCs w:val="22"/>
        </w:rPr>
        <w:t xml:space="preserve"> million, and</w:t>
      </w:r>
      <w:r w:rsidRPr="00E73055">
        <w:rPr>
          <w:sz w:val="22"/>
          <w:szCs w:val="22"/>
        </w:rPr>
        <w:t xml:space="preserve"> Accrued Liabilities for USF and TRS of $</w:t>
      </w:r>
      <w:r>
        <w:rPr>
          <w:sz w:val="22"/>
          <w:szCs w:val="22"/>
        </w:rPr>
        <w:t>518</w:t>
      </w:r>
      <w:r w:rsidRPr="00E73055">
        <w:rPr>
          <w:sz w:val="22"/>
          <w:szCs w:val="22"/>
        </w:rPr>
        <w:t xml:space="preserve"> million, which accounted for </w:t>
      </w:r>
      <w:r>
        <w:rPr>
          <w:sz w:val="22"/>
          <w:szCs w:val="22"/>
        </w:rPr>
        <w:t>97</w:t>
      </w:r>
      <w:r w:rsidRPr="00E73055">
        <w:rPr>
          <w:sz w:val="22"/>
          <w:szCs w:val="22"/>
        </w:rPr>
        <w:t xml:space="preserve"> percent of total liabilities as of September 30, 2025.</w:t>
      </w:r>
      <w:r w:rsidRPr="00F6775A">
        <w:rPr>
          <w:sz w:val="22"/>
          <w:szCs w:val="22"/>
        </w:rPr>
        <w:t xml:space="preserve">  </w:t>
      </w:r>
    </w:p>
    <w:p w:rsidR="004971AC" w:rsidP="004971AC" w14:paraId="71CF4DBA" w14:textId="77777777">
      <w:pPr>
        <w:autoSpaceDE w:val="0"/>
        <w:autoSpaceDN w:val="0"/>
        <w:adjustRightInd w:val="0"/>
        <w:jc w:val="both"/>
        <w:rPr>
          <w:sz w:val="22"/>
          <w:szCs w:val="22"/>
        </w:rPr>
      </w:pPr>
    </w:p>
    <w:p w:rsidR="004971AC" w:rsidP="004971AC" w14:paraId="38E5C405" w14:textId="77777777">
      <w:pPr>
        <w:autoSpaceDE w:val="0"/>
        <w:autoSpaceDN w:val="0"/>
        <w:adjustRightInd w:val="0"/>
        <w:jc w:val="both"/>
        <w:rPr>
          <w:sz w:val="22"/>
          <w:szCs w:val="22"/>
        </w:rPr>
      </w:pPr>
      <w:r w:rsidRPr="00F6775A">
        <w:rPr>
          <w:sz w:val="22"/>
          <w:szCs w:val="22"/>
        </w:rPr>
        <w:t xml:space="preserve">The </w:t>
      </w:r>
      <w:r>
        <w:rPr>
          <w:sz w:val="22"/>
          <w:szCs w:val="22"/>
        </w:rPr>
        <w:t>debt is composed of the amount borrowed by the Commission from the Treasury and related interest accrual for the SCRP.</w:t>
      </w:r>
    </w:p>
    <w:p w:rsidR="004971AC" w:rsidP="004971AC" w14:paraId="619DB993" w14:textId="77777777">
      <w:pPr>
        <w:autoSpaceDE w:val="0"/>
        <w:autoSpaceDN w:val="0"/>
        <w:adjustRightInd w:val="0"/>
        <w:jc w:val="both"/>
        <w:rPr>
          <w:sz w:val="22"/>
          <w:szCs w:val="22"/>
        </w:rPr>
      </w:pPr>
    </w:p>
    <w:p w:rsidR="004971AC" w:rsidRPr="00F6775A" w:rsidP="004971AC" w14:paraId="7AE51A5C" w14:textId="77777777">
      <w:pPr>
        <w:autoSpaceDE w:val="0"/>
        <w:autoSpaceDN w:val="0"/>
        <w:adjustRightInd w:val="0"/>
        <w:jc w:val="both"/>
        <w:rPr>
          <w:sz w:val="22"/>
          <w:szCs w:val="22"/>
        </w:rPr>
      </w:pPr>
      <w:r>
        <w:rPr>
          <w:sz w:val="22"/>
          <w:szCs w:val="22"/>
        </w:rPr>
        <w:t xml:space="preserve">The </w:t>
      </w:r>
      <w:r w:rsidRPr="00404BE6">
        <w:rPr>
          <w:sz w:val="22"/>
          <w:szCs w:val="22"/>
        </w:rPr>
        <w:t xml:space="preserve">Liability to the General Fund of the U.S. Government for Custodial and Other Non-entity Assets </w:t>
      </w:r>
      <w:r>
        <w:rPr>
          <w:sz w:val="22"/>
          <w:szCs w:val="22"/>
        </w:rPr>
        <w:t xml:space="preserve">is primarily composed of the  </w:t>
      </w:r>
      <w:r w:rsidRPr="00F6775A">
        <w:rPr>
          <w:sz w:val="22"/>
          <w:szCs w:val="22"/>
        </w:rPr>
        <w:t xml:space="preserve">custodial collections earned </w:t>
      </w:r>
      <w:r>
        <w:rPr>
          <w:sz w:val="22"/>
          <w:szCs w:val="22"/>
        </w:rPr>
        <w:t xml:space="preserve">from </w:t>
      </w:r>
      <w:r w:rsidRPr="00F6775A">
        <w:rPr>
          <w:sz w:val="22"/>
          <w:szCs w:val="22"/>
        </w:rPr>
        <w:t xml:space="preserve">spectrum auctions </w:t>
      </w:r>
      <w:r>
        <w:rPr>
          <w:sz w:val="22"/>
          <w:szCs w:val="22"/>
        </w:rPr>
        <w:t xml:space="preserve">program </w:t>
      </w:r>
      <w:r w:rsidRPr="00F6775A">
        <w:rPr>
          <w:sz w:val="22"/>
          <w:szCs w:val="22"/>
        </w:rPr>
        <w:t xml:space="preserve">and miscellaneous receipts. </w:t>
      </w:r>
      <w:r>
        <w:rPr>
          <w:sz w:val="22"/>
          <w:szCs w:val="22"/>
        </w:rPr>
        <w:t xml:space="preserve"> </w:t>
      </w:r>
    </w:p>
    <w:p w:rsidR="004971AC" w:rsidP="004971AC" w14:paraId="42313315" w14:textId="77777777">
      <w:pPr>
        <w:autoSpaceDE w:val="0"/>
        <w:autoSpaceDN w:val="0"/>
        <w:adjustRightInd w:val="0"/>
        <w:jc w:val="both"/>
        <w:rPr>
          <w:sz w:val="22"/>
          <w:szCs w:val="22"/>
        </w:rPr>
      </w:pPr>
    </w:p>
    <w:p w:rsidR="004971AC" w:rsidP="004971AC" w14:paraId="7481899D" w14:textId="77777777">
      <w:pPr>
        <w:autoSpaceDE w:val="0"/>
        <w:autoSpaceDN w:val="0"/>
        <w:adjustRightInd w:val="0"/>
        <w:jc w:val="both"/>
        <w:rPr>
          <w:sz w:val="22"/>
          <w:szCs w:val="22"/>
        </w:rPr>
      </w:pPr>
      <w:r w:rsidRPr="00F6775A">
        <w:rPr>
          <w:sz w:val="22"/>
          <w:szCs w:val="22"/>
        </w:rPr>
        <w:t xml:space="preserve">The Accrued Liabilities for </w:t>
      </w:r>
      <w:r>
        <w:rPr>
          <w:sz w:val="22"/>
          <w:szCs w:val="22"/>
        </w:rPr>
        <w:t>USF and TRS</w:t>
      </w:r>
      <w:r w:rsidRPr="00F6775A">
        <w:rPr>
          <w:sz w:val="22"/>
          <w:szCs w:val="22"/>
        </w:rPr>
        <w:t xml:space="preserve"> represent the expected October (FY 202</w:t>
      </w:r>
      <w:r>
        <w:rPr>
          <w:sz w:val="22"/>
          <w:szCs w:val="22"/>
        </w:rPr>
        <w:t>6</w:t>
      </w:r>
      <w:r w:rsidRPr="00F6775A">
        <w:rPr>
          <w:sz w:val="22"/>
          <w:szCs w:val="22"/>
        </w:rPr>
        <w:t>) payments for the USF’s High Cost Legacy Support</w:t>
      </w:r>
      <w:r>
        <w:rPr>
          <w:sz w:val="22"/>
          <w:szCs w:val="22"/>
        </w:rPr>
        <w:t xml:space="preserve">, </w:t>
      </w:r>
      <w:r w:rsidRPr="00F6775A">
        <w:rPr>
          <w:sz w:val="22"/>
          <w:szCs w:val="22"/>
        </w:rPr>
        <w:t xml:space="preserve">Lifeline Program, and the </w:t>
      </w:r>
      <w:r>
        <w:rPr>
          <w:sz w:val="22"/>
          <w:szCs w:val="22"/>
        </w:rPr>
        <w:t xml:space="preserve">expected October and November (FY 2026) payments for the </w:t>
      </w:r>
      <w:r w:rsidRPr="00F6775A">
        <w:rPr>
          <w:sz w:val="22"/>
          <w:szCs w:val="22"/>
        </w:rPr>
        <w:t>TRS Program.</w:t>
      </w:r>
    </w:p>
    <w:p w:rsidR="004971AC" w:rsidP="004971AC" w14:paraId="288935D6" w14:textId="77777777">
      <w:pPr>
        <w:autoSpaceDE w:val="0"/>
        <w:autoSpaceDN w:val="0"/>
        <w:adjustRightInd w:val="0"/>
        <w:jc w:val="both"/>
        <w:rPr>
          <w:color w:val="000000"/>
          <w:sz w:val="22"/>
          <w:szCs w:val="22"/>
        </w:rPr>
      </w:pPr>
    </w:p>
    <w:p w:rsidR="004971AC" w:rsidRPr="00C43229" w:rsidP="004971AC" w14:paraId="32E31880" w14:textId="77777777">
      <w:pPr>
        <w:autoSpaceDE w:val="0"/>
        <w:autoSpaceDN w:val="0"/>
        <w:adjustRightInd w:val="0"/>
        <w:jc w:val="both"/>
        <w:rPr>
          <w:color w:val="000000"/>
          <w:sz w:val="22"/>
          <w:szCs w:val="22"/>
        </w:rPr>
      </w:pPr>
      <w:r w:rsidRPr="00F6775A">
        <w:rPr>
          <w:color w:val="000000"/>
          <w:sz w:val="22"/>
          <w:szCs w:val="22"/>
        </w:rPr>
        <w:t xml:space="preserve">The </w:t>
      </w:r>
      <w:r>
        <w:rPr>
          <w:color w:val="000000"/>
          <w:sz w:val="22"/>
          <w:szCs w:val="22"/>
        </w:rPr>
        <w:t xml:space="preserve">Other than Intragovernmental </w:t>
      </w:r>
      <w:r w:rsidRPr="00F6775A">
        <w:rPr>
          <w:color w:val="000000"/>
          <w:sz w:val="22"/>
          <w:szCs w:val="22"/>
        </w:rPr>
        <w:t>Accounts Payable balance is primarily comp</w:t>
      </w:r>
      <w:r>
        <w:rPr>
          <w:color w:val="000000"/>
          <w:sz w:val="22"/>
          <w:szCs w:val="22"/>
        </w:rPr>
        <w:t>osed</w:t>
      </w:r>
      <w:r w:rsidRPr="00F6775A">
        <w:rPr>
          <w:color w:val="000000"/>
          <w:sz w:val="22"/>
          <w:szCs w:val="22"/>
        </w:rPr>
        <w:t xml:space="preserve"> of the expense accrual for </w:t>
      </w:r>
      <w:bookmarkStart w:id="33" w:name="_Hlk85810959"/>
      <w:r>
        <w:rPr>
          <w:sz w:val="22"/>
          <w:szCs w:val="22"/>
        </w:rPr>
        <w:t xml:space="preserve">the Enhanced </w:t>
      </w:r>
      <w:r w:rsidRPr="00F6775A">
        <w:rPr>
          <w:sz w:val="22"/>
          <w:szCs w:val="22"/>
        </w:rPr>
        <w:t xml:space="preserve">Alternative </w:t>
      </w:r>
      <w:r w:rsidRPr="007F375A">
        <w:rPr>
          <w:sz w:val="22"/>
          <w:szCs w:val="22"/>
        </w:rPr>
        <w:t xml:space="preserve">Connect American </w:t>
      </w:r>
      <w:r>
        <w:rPr>
          <w:sz w:val="22"/>
          <w:szCs w:val="22"/>
        </w:rPr>
        <w:t xml:space="preserve">Cost </w:t>
      </w:r>
      <w:r w:rsidRPr="007F375A">
        <w:rPr>
          <w:sz w:val="22"/>
          <w:szCs w:val="22"/>
        </w:rPr>
        <w:t>Model</w:t>
      </w:r>
      <w:r w:rsidRPr="00F6775A">
        <w:rPr>
          <w:sz w:val="22"/>
          <w:szCs w:val="22"/>
        </w:rPr>
        <w:t xml:space="preserve"> (</w:t>
      </w:r>
      <w:r>
        <w:rPr>
          <w:sz w:val="22"/>
          <w:szCs w:val="22"/>
        </w:rPr>
        <w:t>E-</w:t>
      </w:r>
      <w:r w:rsidRPr="00F6775A">
        <w:rPr>
          <w:sz w:val="22"/>
          <w:szCs w:val="22"/>
        </w:rPr>
        <w:t>ACAM)</w:t>
      </w:r>
      <w:r>
        <w:rPr>
          <w:sz w:val="22"/>
          <w:szCs w:val="22"/>
        </w:rPr>
        <w:t xml:space="preserve"> and </w:t>
      </w:r>
      <w:bookmarkEnd w:id="33"/>
      <w:r>
        <w:rPr>
          <w:sz w:val="22"/>
          <w:szCs w:val="22"/>
        </w:rPr>
        <w:t xml:space="preserve">the </w:t>
      </w:r>
      <w:r w:rsidRPr="001A3CC0">
        <w:rPr>
          <w:sz w:val="22"/>
          <w:szCs w:val="22"/>
        </w:rPr>
        <w:t>Rural Digital Opportunity Fund</w:t>
      </w:r>
      <w:r>
        <w:rPr>
          <w:sz w:val="22"/>
          <w:szCs w:val="22"/>
        </w:rPr>
        <w:t xml:space="preserve"> (RDOF). </w:t>
      </w:r>
    </w:p>
    <w:p w:rsidR="004971AC" w:rsidP="004971AC" w14:paraId="3C90B42A" w14:textId="77777777">
      <w:pPr>
        <w:rPr>
          <w:noProof/>
        </w:rPr>
      </w:pPr>
    </w:p>
    <w:p w:rsidR="004971AC" w:rsidP="004971AC" w14:paraId="165C8C2C" w14:textId="77777777">
      <w:pPr>
        <w:rPr>
          <w:noProof/>
        </w:rPr>
      </w:pPr>
      <w:r>
        <w:rPr>
          <w:noProof/>
        </w:rPr>
        <w:drawing>
          <wp:inline distT="0" distB="0" distL="0" distR="0">
            <wp:extent cx="5943600" cy="4609465"/>
            <wp:effectExtent l="0" t="0" r="0" b="635"/>
            <wp:docPr id="673582798" name="Chart 1">
              <a:extLst xmlns:a="http://schemas.openxmlformats.org/drawingml/2006/main">
                <a:ext xmlns:a="http://schemas.openxmlformats.org/drawingml/2006/main" uri="{FF2B5EF4-FFF2-40B4-BE49-F238E27FC236}">
                  <a16:creationId xmlns:a16="http://schemas.microsoft.com/office/drawing/2014/main" id="{C53712FB-8F7F-4018-8E86-E877DF040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71385" w:rsidP="004971AC" w14:paraId="1A382D20" w14:textId="77777777">
      <w:pPr>
        <w:rPr>
          <w:noProof/>
        </w:rPr>
      </w:pPr>
    </w:p>
    <w:p w:rsidR="004971AC" w:rsidP="004971AC" w14:paraId="777A3073" w14:textId="77777777">
      <w:pPr>
        <w:rPr>
          <w:noProof/>
        </w:rPr>
      </w:pPr>
    </w:p>
    <w:p w:rsidR="004971AC" w:rsidRPr="00F6775A" w:rsidP="004971AC" w14:paraId="43EB498D" w14:textId="77777777">
      <w:pPr>
        <w:autoSpaceDE w:val="0"/>
        <w:autoSpaceDN w:val="0"/>
        <w:adjustRightInd w:val="0"/>
        <w:jc w:val="both"/>
        <w:rPr>
          <w:sz w:val="22"/>
          <w:szCs w:val="22"/>
        </w:rPr>
      </w:pPr>
      <w:r w:rsidRPr="08A04539">
        <w:rPr>
          <w:i/>
          <w:iCs/>
          <w:sz w:val="22"/>
          <w:szCs w:val="22"/>
          <w:u w:val="single"/>
        </w:rPr>
        <w:t>Consolidated Statement of Net Cost</w:t>
      </w:r>
      <w:r w:rsidRPr="08A04539">
        <w:rPr>
          <w:sz w:val="22"/>
          <w:szCs w:val="22"/>
        </w:rPr>
        <w:t xml:space="preserve">:  This statement presents the annual cost of operating the Commission’s programs.  The Consolidated Statement of Net Cost is aligned with the </w:t>
      </w:r>
      <w:r>
        <w:rPr>
          <w:sz w:val="22"/>
          <w:szCs w:val="22"/>
        </w:rPr>
        <w:t>four</w:t>
      </w:r>
      <w:r w:rsidRPr="08A04539">
        <w:rPr>
          <w:sz w:val="22"/>
          <w:szCs w:val="22"/>
        </w:rPr>
        <w:t xml:space="preserve"> strategic goals of the Commission:  (1)</w:t>
      </w:r>
      <w:r>
        <w:rPr>
          <w:sz w:val="22"/>
          <w:szCs w:val="22"/>
        </w:rPr>
        <w:t xml:space="preserve"> </w:t>
      </w:r>
      <w:r w:rsidRPr="00870F03">
        <w:rPr>
          <w:sz w:val="22"/>
          <w:szCs w:val="22"/>
        </w:rPr>
        <w:t>Accelerat</w:t>
      </w:r>
      <w:r>
        <w:rPr>
          <w:sz w:val="22"/>
          <w:szCs w:val="22"/>
        </w:rPr>
        <w:t>e</w:t>
      </w:r>
      <w:r w:rsidRPr="00870F03">
        <w:rPr>
          <w:sz w:val="22"/>
          <w:szCs w:val="22"/>
        </w:rPr>
        <w:t xml:space="preserve"> High-Speed Internet Builds</w:t>
      </w:r>
      <w:r w:rsidRPr="08A04539">
        <w:rPr>
          <w:sz w:val="22"/>
          <w:szCs w:val="22"/>
        </w:rPr>
        <w:t xml:space="preserve">; (2) Promote </w:t>
      </w:r>
      <w:r w:rsidRPr="00870F03">
        <w:rPr>
          <w:sz w:val="22"/>
          <w:szCs w:val="22"/>
        </w:rPr>
        <w:t>National Security and Public Safety</w:t>
      </w:r>
      <w:r w:rsidRPr="08A04539">
        <w:rPr>
          <w:sz w:val="22"/>
          <w:szCs w:val="22"/>
        </w:rPr>
        <w:t xml:space="preserve">; (3) </w:t>
      </w:r>
      <w:r w:rsidRPr="00870F03">
        <w:rPr>
          <w:sz w:val="22"/>
          <w:szCs w:val="22"/>
        </w:rPr>
        <w:t>Protect Consumers and Promote Free Speech</w:t>
      </w:r>
      <w:r w:rsidRPr="08A04539">
        <w:rPr>
          <w:sz w:val="22"/>
          <w:szCs w:val="22"/>
        </w:rPr>
        <w:t xml:space="preserve">; </w:t>
      </w:r>
      <w:r>
        <w:rPr>
          <w:sz w:val="22"/>
          <w:szCs w:val="22"/>
        </w:rPr>
        <w:t xml:space="preserve">and </w:t>
      </w:r>
      <w:r w:rsidRPr="08A04539">
        <w:rPr>
          <w:sz w:val="22"/>
          <w:szCs w:val="22"/>
        </w:rPr>
        <w:t xml:space="preserve">(4) Enhance </w:t>
      </w:r>
      <w:r w:rsidRPr="00870F03">
        <w:rPr>
          <w:sz w:val="22"/>
          <w:szCs w:val="22"/>
        </w:rPr>
        <w:t>Efficiency and Accountability, and Reduce Waste</w:t>
      </w:r>
      <w:r w:rsidRPr="08A04539">
        <w:rPr>
          <w:sz w:val="22"/>
          <w:szCs w:val="22"/>
        </w:rPr>
        <w:t>.  The program costs for the USF are allocated to the strategic goal</w:t>
      </w:r>
      <w:r>
        <w:rPr>
          <w:sz w:val="22"/>
          <w:szCs w:val="22"/>
        </w:rPr>
        <w:t>s</w:t>
      </w:r>
      <w:r w:rsidRPr="08A04539">
        <w:rPr>
          <w:sz w:val="22"/>
          <w:szCs w:val="22"/>
        </w:rPr>
        <w:t xml:space="preserve"> </w:t>
      </w:r>
      <w:r>
        <w:rPr>
          <w:sz w:val="22"/>
          <w:szCs w:val="22"/>
        </w:rPr>
        <w:t xml:space="preserve">to </w:t>
      </w:r>
      <w:r w:rsidRPr="08A04539">
        <w:rPr>
          <w:sz w:val="22"/>
          <w:szCs w:val="22"/>
        </w:rPr>
        <w:t>Pursue “</w:t>
      </w:r>
      <w:r w:rsidRPr="00870F03">
        <w:rPr>
          <w:sz w:val="22"/>
          <w:szCs w:val="22"/>
        </w:rPr>
        <w:t>Accelerat</w:t>
      </w:r>
      <w:r>
        <w:rPr>
          <w:sz w:val="22"/>
          <w:szCs w:val="22"/>
        </w:rPr>
        <w:t>e</w:t>
      </w:r>
      <w:r w:rsidRPr="00870F03">
        <w:rPr>
          <w:sz w:val="22"/>
          <w:szCs w:val="22"/>
        </w:rPr>
        <w:t xml:space="preserve"> High-Speed Internet Builds</w:t>
      </w:r>
      <w:r>
        <w:rPr>
          <w:sz w:val="22"/>
          <w:szCs w:val="22"/>
        </w:rPr>
        <w:t>.”   T</w:t>
      </w:r>
      <w:r w:rsidRPr="08A04539">
        <w:rPr>
          <w:sz w:val="22"/>
          <w:szCs w:val="22"/>
        </w:rPr>
        <w:t xml:space="preserve">he program costs for the TRS are allocated to </w:t>
      </w:r>
      <w:r>
        <w:rPr>
          <w:sz w:val="22"/>
          <w:szCs w:val="22"/>
        </w:rPr>
        <w:t xml:space="preserve">the </w:t>
      </w:r>
      <w:r w:rsidRPr="08A04539">
        <w:rPr>
          <w:sz w:val="22"/>
          <w:szCs w:val="22"/>
        </w:rPr>
        <w:t xml:space="preserve">strategic goal </w:t>
      </w:r>
      <w:r>
        <w:rPr>
          <w:sz w:val="22"/>
          <w:szCs w:val="22"/>
        </w:rPr>
        <w:t xml:space="preserve">to </w:t>
      </w:r>
      <w:r w:rsidRPr="00834487">
        <w:rPr>
          <w:sz w:val="22"/>
          <w:szCs w:val="22"/>
        </w:rPr>
        <w:t>Protect Consumers and Promote Free Speech</w:t>
      </w:r>
      <w:r w:rsidRPr="08A04539">
        <w:rPr>
          <w:sz w:val="22"/>
          <w:szCs w:val="22"/>
        </w:rPr>
        <w:t>.  Due to the cost allocation for USF, ACF-ACP, and ECF, the cost</w:t>
      </w:r>
      <w:r>
        <w:rPr>
          <w:sz w:val="22"/>
          <w:szCs w:val="22"/>
        </w:rPr>
        <w:t>s</w:t>
      </w:r>
      <w:r w:rsidRPr="08A04539">
        <w:rPr>
          <w:sz w:val="22"/>
          <w:szCs w:val="22"/>
        </w:rPr>
        <w:t xml:space="preserve"> for the strategic goal </w:t>
      </w:r>
      <w:r>
        <w:rPr>
          <w:sz w:val="22"/>
          <w:szCs w:val="22"/>
        </w:rPr>
        <w:t xml:space="preserve">to </w:t>
      </w:r>
      <w:r w:rsidRPr="08A04539">
        <w:rPr>
          <w:sz w:val="22"/>
          <w:szCs w:val="22"/>
        </w:rPr>
        <w:t>Pursue “</w:t>
      </w:r>
      <w:r w:rsidRPr="00834487">
        <w:rPr>
          <w:sz w:val="22"/>
          <w:szCs w:val="22"/>
        </w:rPr>
        <w:t>Accelerat</w:t>
      </w:r>
      <w:r>
        <w:rPr>
          <w:sz w:val="22"/>
          <w:szCs w:val="22"/>
        </w:rPr>
        <w:t>e</w:t>
      </w:r>
      <w:r w:rsidRPr="00834487">
        <w:rPr>
          <w:sz w:val="22"/>
          <w:szCs w:val="22"/>
        </w:rPr>
        <w:t xml:space="preserve"> High-Speed Internet Builds</w:t>
      </w:r>
      <w:r>
        <w:rPr>
          <w:sz w:val="22"/>
          <w:szCs w:val="22"/>
        </w:rPr>
        <w:t>”</w:t>
      </w:r>
      <w:r w:rsidRPr="08A04539">
        <w:rPr>
          <w:sz w:val="22"/>
          <w:szCs w:val="22"/>
        </w:rPr>
        <w:t xml:space="preserve"> </w:t>
      </w:r>
      <w:r>
        <w:rPr>
          <w:sz w:val="22"/>
          <w:szCs w:val="22"/>
        </w:rPr>
        <w:t>are</w:t>
      </w:r>
      <w:r w:rsidRPr="08A04539">
        <w:rPr>
          <w:sz w:val="22"/>
          <w:szCs w:val="22"/>
        </w:rPr>
        <w:t xml:space="preserve"> significantly higher than the cost</w:t>
      </w:r>
      <w:r>
        <w:rPr>
          <w:sz w:val="22"/>
          <w:szCs w:val="22"/>
        </w:rPr>
        <w:t>s</w:t>
      </w:r>
      <w:r w:rsidRPr="08A04539">
        <w:rPr>
          <w:sz w:val="22"/>
          <w:szCs w:val="22"/>
        </w:rPr>
        <w:t xml:space="preserve"> of other strategic goals.  Contributions received for the USF and TRS programs are shown on the Statement of Changes in Net Position and do not directly offset the costs of these programs on the Statement of Net Cost.</w:t>
      </w:r>
    </w:p>
    <w:p w:rsidR="004971AC" w:rsidRPr="00F6775A" w:rsidP="004971AC" w14:paraId="347188FB" w14:textId="77777777">
      <w:pPr>
        <w:autoSpaceDE w:val="0"/>
        <w:autoSpaceDN w:val="0"/>
        <w:adjustRightInd w:val="0"/>
        <w:jc w:val="both"/>
        <w:rPr>
          <w:sz w:val="22"/>
          <w:szCs w:val="22"/>
        </w:rPr>
      </w:pPr>
    </w:p>
    <w:p w:rsidR="004971AC" w:rsidP="004971AC" w14:paraId="02A0C819" w14:textId="77777777">
      <w:pPr>
        <w:autoSpaceDE w:val="0"/>
        <w:autoSpaceDN w:val="0"/>
        <w:adjustRightInd w:val="0"/>
        <w:jc w:val="both"/>
        <w:rPr>
          <w:sz w:val="22"/>
          <w:szCs w:val="22"/>
        </w:rPr>
      </w:pPr>
      <w:r w:rsidRPr="00F6775A">
        <w:rPr>
          <w:sz w:val="22"/>
          <w:szCs w:val="22"/>
        </w:rPr>
        <w:t xml:space="preserve">The pie chart below presents the total </w:t>
      </w:r>
      <w:r>
        <w:rPr>
          <w:sz w:val="22"/>
          <w:szCs w:val="22"/>
        </w:rPr>
        <w:t>program</w:t>
      </w:r>
      <w:r w:rsidRPr="00F6775A">
        <w:rPr>
          <w:sz w:val="22"/>
          <w:szCs w:val="22"/>
        </w:rPr>
        <w:t xml:space="preserve"> costs </w:t>
      </w:r>
      <w:r>
        <w:rPr>
          <w:sz w:val="22"/>
          <w:szCs w:val="22"/>
        </w:rPr>
        <w:t xml:space="preserve">for </w:t>
      </w:r>
      <w:r w:rsidRPr="00F6775A">
        <w:rPr>
          <w:sz w:val="22"/>
          <w:szCs w:val="22"/>
        </w:rPr>
        <w:t>each strategic goal.</w:t>
      </w:r>
    </w:p>
    <w:p w:rsidR="004971AC" w:rsidRPr="00F6775A" w:rsidP="004971AC" w14:paraId="6D29226C" w14:textId="77777777">
      <w:pPr>
        <w:autoSpaceDE w:val="0"/>
        <w:autoSpaceDN w:val="0"/>
        <w:adjustRightInd w:val="0"/>
        <w:jc w:val="both"/>
        <w:rPr>
          <w:sz w:val="22"/>
          <w:szCs w:val="22"/>
        </w:rPr>
      </w:pPr>
    </w:p>
    <w:p w:rsidR="004971AC" w:rsidRPr="00F6775A" w:rsidP="004971AC" w14:paraId="5E1A840B" w14:textId="77777777">
      <w:pPr>
        <w:autoSpaceDE w:val="0"/>
        <w:autoSpaceDN w:val="0"/>
        <w:adjustRightInd w:val="0"/>
        <w:jc w:val="both"/>
        <w:rPr>
          <w:sz w:val="22"/>
          <w:szCs w:val="22"/>
        </w:rPr>
      </w:pPr>
      <w:r>
        <w:rPr>
          <w:noProof/>
          <w:sz w:val="22"/>
          <w:szCs w:val="22"/>
        </w:rPr>
        <w:drawing>
          <wp:inline distT="0" distB="0" distL="0" distR="0">
            <wp:extent cx="6003985" cy="4980940"/>
            <wp:effectExtent l="0" t="0" r="0" b="0"/>
            <wp:docPr id="36214644" name="Picture 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4644" name="Picture 2" descr="Diagram&#10;&#10;AI-generated content may be incorrect."/>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2435" cy="4987950"/>
                    </a:xfrm>
                    <a:prstGeom prst="rect">
                      <a:avLst/>
                    </a:prstGeom>
                    <a:noFill/>
                  </pic:spPr>
                </pic:pic>
              </a:graphicData>
            </a:graphic>
          </wp:inline>
        </w:drawing>
      </w:r>
    </w:p>
    <w:p w:rsidR="004971AC" w:rsidRPr="000E5233" w:rsidP="004971AC" w14:paraId="3A487FAD" w14:textId="77777777">
      <w:pPr>
        <w:jc w:val="both"/>
        <w:rPr>
          <w:sz w:val="22"/>
          <w:szCs w:val="22"/>
        </w:rPr>
      </w:pPr>
      <w:r>
        <w:rPr>
          <w:sz w:val="22"/>
          <w:szCs w:val="22"/>
        </w:rPr>
        <w:br w:type="page"/>
      </w:r>
      <w:r w:rsidRPr="007F70D4">
        <w:rPr>
          <w:i/>
          <w:sz w:val="22"/>
          <w:szCs w:val="22"/>
          <w:u w:val="single"/>
        </w:rPr>
        <w:t>Consolidated Statement of Changes in Net Position</w:t>
      </w:r>
      <w:r>
        <w:rPr>
          <w:i/>
          <w:sz w:val="22"/>
          <w:szCs w:val="22"/>
          <w:u w:val="single"/>
        </w:rPr>
        <w:t xml:space="preserve"> and Custodial Activity</w:t>
      </w:r>
      <w:r w:rsidRPr="00B67AEF">
        <w:rPr>
          <w:bCs/>
          <w:sz w:val="22"/>
          <w:szCs w:val="22"/>
        </w:rPr>
        <w:t>:</w:t>
      </w:r>
      <w:r w:rsidRPr="009435B1">
        <w:rPr>
          <w:bCs/>
          <w:sz w:val="22"/>
          <w:szCs w:val="22"/>
        </w:rPr>
        <w:t xml:space="preserve"> </w:t>
      </w:r>
      <w:r w:rsidRPr="007F70D4">
        <w:rPr>
          <w:sz w:val="22"/>
          <w:szCs w:val="22"/>
        </w:rPr>
        <w:t xml:space="preserve"> </w:t>
      </w:r>
      <w:r w:rsidRPr="008A7961">
        <w:rPr>
          <w:sz w:val="22"/>
          <w:szCs w:val="22"/>
        </w:rPr>
        <w:t xml:space="preserve">This statement presents the Commission’s net position and its custodial activity.  </w:t>
      </w:r>
      <w:bookmarkStart w:id="34" w:name="_Hlk51151016"/>
      <w:r>
        <w:rPr>
          <w:bCs/>
          <w:iCs/>
          <w:sz w:val="22"/>
          <w:szCs w:val="22"/>
        </w:rPr>
        <w:t xml:space="preserve">As of September 30, 2025, the Cumulative Results of Operations of </w:t>
      </w:r>
      <w:r w:rsidRPr="00935615">
        <w:rPr>
          <w:bCs/>
          <w:iCs/>
          <w:sz w:val="22"/>
          <w:szCs w:val="22"/>
        </w:rPr>
        <w:t>$6,160 million represents 73% of total net position and is primarily related to USF.</w:t>
      </w:r>
      <w:r>
        <w:rPr>
          <w:bCs/>
          <w:iCs/>
          <w:sz w:val="22"/>
          <w:szCs w:val="22"/>
        </w:rPr>
        <w:t xml:space="preserve"> </w:t>
      </w:r>
    </w:p>
    <w:p w:rsidR="004971AC" w:rsidP="004971AC" w14:paraId="0A56D5FC" w14:textId="77777777">
      <w:pPr>
        <w:autoSpaceDE w:val="0"/>
        <w:autoSpaceDN w:val="0"/>
        <w:adjustRightInd w:val="0"/>
        <w:jc w:val="both"/>
        <w:rPr>
          <w:bCs/>
          <w:iCs/>
          <w:sz w:val="22"/>
          <w:szCs w:val="22"/>
        </w:rPr>
      </w:pPr>
    </w:p>
    <w:p w:rsidR="004971AC" w:rsidP="004971AC" w14:paraId="405BD89F" w14:textId="77777777">
      <w:pPr>
        <w:autoSpaceDE w:val="0"/>
        <w:autoSpaceDN w:val="0"/>
        <w:adjustRightInd w:val="0"/>
        <w:jc w:val="both"/>
        <w:rPr>
          <w:sz w:val="22"/>
          <w:szCs w:val="22"/>
        </w:rPr>
      </w:pPr>
      <w:r w:rsidRPr="004F560B">
        <w:rPr>
          <w:sz w:val="22"/>
          <w:szCs w:val="22"/>
        </w:rPr>
        <w:t>In FY 202</w:t>
      </w:r>
      <w:r>
        <w:rPr>
          <w:sz w:val="22"/>
          <w:szCs w:val="22"/>
        </w:rPr>
        <w:t>5</w:t>
      </w:r>
      <w:r w:rsidRPr="004F560B">
        <w:rPr>
          <w:sz w:val="22"/>
          <w:szCs w:val="22"/>
        </w:rPr>
        <w:t xml:space="preserve">, the Commission recognized </w:t>
      </w:r>
      <w:r w:rsidRPr="00A34F37">
        <w:rPr>
          <w:sz w:val="22"/>
          <w:szCs w:val="22"/>
        </w:rPr>
        <w:t>$</w:t>
      </w:r>
      <w:r>
        <w:rPr>
          <w:sz w:val="22"/>
          <w:szCs w:val="22"/>
        </w:rPr>
        <w:t>8.8</w:t>
      </w:r>
      <w:r w:rsidRPr="004F560B">
        <w:rPr>
          <w:sz w:val="22"/>
          <w:szCs w:val="22"/>
        </w:rPr>
        <w:t xml:space="preserve"> million in custodial revenue</w:t>
      </w:r>
      <w:bookmarkEnd w:id="34"/>
      <w:r w:rsidRPr="004F560B">
        <w:rPr>
          <w:sz w:val="22"/>
          <w:szCs w:val="22"/>
        </w:rPr>
        <w:t xml:space="preserve"> and transferred </w:t>
      </w:r>
      <w:r>
        <w:rPr>
          <w:sz w:val="22"/>
          <w:szCs w:val="22"/>
        </w:rPr>
        <w:t xml:space="preserve">the </w:t>
      </w:r>
      <w:r w:rsidRPr="004F560B">
        <w:rPr>
          <w:sz w:val="22"/>
          <w:szCs w:val="22"/>
        </w:rPr>
        <w:t>$</w:t>
      </w:r>
      <w:r>
        <w:rPr>
          <w:sz w:val="22"/>
          <w:szCs w:val="22"/>
        </w:rPr>
        <w:t>59</w:t>
      </w:r>
      <w:r w:rsidRPr="004F560B">
        <w:rPr>
          <w:sz w:val="22"/>
          <w:szCs w:val="22"/>
        </w:rPr>
        <w:t xml:space="preserve"> million in miscellaneous receipts, fines</w:t>
      </w:r>
      <w:r>
        <w:rPr>
          <w:sz w:val="22"/>
          <w:szCs w:val="22"/>
        </w:rPr>
        <w:t>,</w:t>
      </w:r>
      <w:r w:rsidRPr="004F560B">
        <w:rPr>
          <w:sz w:val="22"/>
          <w:szCs w:val="22"/>
        </w:rPr>
        <w:t xml:space="preserve"> and penalties to the Treasury General Fund.  </w:t>
      </w:r>
    </w:p>
    <w:p w:rsidR="004971AC" w:rsidRPr="004971AC" w:rsidP="004971AC" w14:paraId="1E922ED2" w14:textId="77777777">
      <w:pPr>
        <w:autoSpaceDE w:val="0"/>
        <w:autoSpaceDN w:val="0"/>
        <w:adjustRightInd w:val="0"/>
        <w:jc w:val="both"/>
        <w:rPr>
          <w:sz w:val="22"/>
          <w:szCs w:val="22"/>
        </w:rPr>
      </w:pPr>
    </w:p>
    <w:p w:rsidR="004971AC" w:rsidRPr="004971AC" w:rsidP="004971AC" w14:paraId="691AE6B5" w14:textId="77777777">
      <w:pPr>
        <w:rPr>
          <w:sz w:val="22"/>
          <w:szCs w:val="22"/>
        </w:rPr>
      </w:pPr>
      <w:bookmarkStart w:id="35" w:name="_Toc87890157"/>
    </w:p>
    <w:p w:rsidR="004971AC" w:rsidRPr="00D32833" w:rsidP="004971AC" w14:paraId="4811A557" w14:textId="77777777">
      <w:pPr>
        <w:pStyle w:val="Heading2"/>
        <w:jc w:val="left"/>
        <w:rPr>
          <w:rFonts w:ascii="Times New Roman" w:hAnsi="Times New Roman" w:cs="Times New Roman"/>
          <w:sz w:val="28"/>
          <w:szCs w:val="28"/>
        </w:rPr>
      </w:pPr>
      <w:bookmarkStart w:id="36" w:name="_Toc216960431"/>
      <w:r w:rsidRPr="00DD60E7">
        <w:rPr>
          <w:rFonts w:ascii="Times New Roman" w:hAnsi="Times New Roman" w:cs="Times New Roman"/>
          <w:sz w:val="28"/>
          <w:szCs w:val="28"/>
        </w:rPr>
        <w:t>Other Key Financial Statement Highlights</w:t>
      </w:r>
      <w:bookmarkEnd w:id="35"/>
      <w:bookmarkEnd w:id="36"/>
    </w:p>
    <w:p w:rsidR="004971AC" w:rsidRPr="00C02D01" w:rsidP="004971AC" w14:paraId="6800D08C" w14:textId="77777777">
      <w:pPr>
        <w:autoSpaceDE w:val="0"/>
        <w:autoSpaceDN w:val="0"/>
        <w:adjustRightInd w:val="0"/>
        <w:jc w:val="both"/>
        <w:rPr>
          <w:sz w:val="22"/>
          <w:szCs w:val="22"/>
        </w:rPr>
      </w:pPr>
    </w:p>
    <w:p w:rsidR="004971AC" w:rsidRPr="00F6775A" w:rsidP="004971AC" w14:paraId="024D71D1" w14:textId="77777777">
      <w:pPr>
        <w:pStyle w:val="Heading4A"/>
      </w:pPr>
      <w:r w:rsidRPr="00F6775A">
        <w:t>Regulatory Fee Collections</w:t>
      </w:r>
    </w:p>
    <w:p w:rsidR="004971AC" w:rsidRPr="00F6775A" w:rsidP="004971AC" w14:paraId="70140211" w14:textId="77777777">
      <w:pPr>
        <w:autoSpaceDE w:val="0"/>
        <w:autoSpaceDN w:val="0"/>
        <w:adjustRightInd w:val="0"/>
        <w:jc w:val="both"/>
        <w:rPr>
          <w:color w:val="000000"/>
          <w:sz w:val="22"/>
          <w:szCs w:val="22"/>
        </w:rPr>
      </w:pPr>
    </w:p>
    <w:p w:rsidR="004971AC" w:rsidRPr="00F6775A" w:rsidP="004971AC" w14:paraId="4AA02749" w14:textId="77777777">
      <w:pPr>
        <w:autoSpaceDE w:val="0"/>
        <w:autoSpaceDN w:val="0"/>
        <w:adjustRightInd w:val="0"/>
        <w:jc w:val="both"/>
        <w:rPr>
          <w:sz w:val="22"/>
          <w:szCs w:val="22"/>
        </w:rPr>
      </w:pPr>
      <w:r w:rsidRPr="08A04539">
        <w:rPr>
          <w:sz w:val="22"/>
          <w:szCs w:val="22"/>
        </w:rPr>
        <w:t xml:space="preserve">Pursuant to 47 U.S.C. § 159, the Commission </w:t>
      </w:r>
      <w:r>
        <w:rPr>
          <w:sz w:val="22"/>
          <w:szCs w:val="22"/>
        </w:rPr>
        <w:t>is required to collect</w:t>
      </w:r>
      <w:r w:rsidRPr="08A04539">
        <w:rPr>
          <w:sz w:val="22"/>
          <w:szCs w:val="22"/>
        </w:rPr>
        <w:t xml:space="preserve"> regulatory fees </w:t>
      </w:r>
      <w:r>
        <w:rPr>
          <w:sz w:val="22"/>
          <w:szCs w:val="22"/>
        </w:rPr>
        <w:t xml:space="preserve">each fiscal year </w:t>
      </w:r>
      <w:r w:rsidRPr="08A04539">
        <w:rPr>
          <w:sz w:val="22"/>
          <w:szCs w:val="22"/>
        </w:rPr>
        <w:t xml:space="preserve">and retains those collections to offset certain costs incurred by the Commission.  The amount the Commission is required to collect is included in the Commission’s </w:t>
      </w:r>
      <w:r>
        <w:rPr>
          <w:sz w:val="22"/>
          <w:szCs w:val="22"/>
        </w:rPr>
        <w:t xml:space="preserve">annual </w:t>
      </w:r>
      <w:r w:rsidRPr="08A04539">
        <w:rPr>
          <w:sz w:val="22"/>
          <w:szCs w:val="22"/>
        </w:rPr>
        <w:t>appropriations.</w:t>
      </w:r>
    </w:p>
    <w:p w:rsidR="004971AC" w:rsidRPr="00F6775A" w:rsidP="004971AC" w14:paraId="7D0FF5A8" w14:textId="77777777">
      <w:pPr>
        <w:autoSpaceDE w:val="0"/>
        <w:autoSpaceDN w:val="0"/>
        <w:adjustRightInd w:val="0"/>
        <w:jc w:val="both"/>
        <w:rPr>
          <w:sz w:val="22"/>
          <w:szCs w:val="22"/>
        </w:rPr>
      </w:pPr>
    </w:p>
    <w:p w:rsidR="004971AC" w:rsidRPr="00F6775A" w:rsidP="004971AC" w14:paraId="68501B93" w14:textId="77777777">
      <w:pPr>
        <w:jc w:val="both"/>
        <w:rPr>
          <w:sz w:val="22"/>
          <w:szCs w:val="22"/>
        </w:rPr>
      </w:pPr>
      <w:r w:rsidRPr="08A04539">
        <w:rPr>
          <w:sz w:val="22"/>
          <w:szCs w:val="22"/>
        </w:rPr>
        <w:t>Regulatory fees are collected and warranted back to the Treasury to offset the Commission’s appropriations for the current fiscal year.  In FY 202</w:t>
      </w:r>
      <w:r>
        <w:rPr>
          <w:sz w:val="22"/>
          <w:szCs w:val="22"/>
        </w:rPr>
        <w:t>5</w:t>
      </w:r>
      <w:r w:rsidRPr="08A04539">
        <w:rPr>
          <w:sz w:val="22"/>
          <w:szCs w:val="22"/>
        </w:rPr>
        <w:t xml:space="preserve">, the Commission was </w:t>
      </w:r>
      <w:r>
        <w:rPr>
          <w:sz w:val="22"/>
          <w:szCs w:val="22"/>
        </w:rPr>
        <w:t>required</w:t>
      </w:r>
      <w:r w:rsidRPr="08A04539">
        <w:rPr>
          <w:sz w:val="22"/>
          <w:szCs w:val="22"/>
        </w:rPr>
        <w:t xml:space="preserve"> to collect </w:t>
      </w:r>
      <w:r w:rsidRPr="13584A86">
        <w:rPr>
          <w:sz w:val="22"/>
          <w:szCs w:val="22"/>
        </w:rPr>
        <w:t>$</w:t>
      </w:r>
      <w:r>
        <w:rPr>
          <w:sz w:val="22"/>
          <w:szCs w:val="22"/>
        </w:rPr>
        <w:t>390</w:t>
      </w:r>
      <w:r w:rsidRPr="13584A86">
        <w:rPr>
          <w:sz w:val="22"/>
          <w:szCs w:val="22"/>
        </w:rPr>
        <w:t xml:space="preserve"> million</w:t>
      </w:r>
      <w:r w:rsidRPr="08A04539">
        <w:rPr>
          <w:sz w:val="22"/>
          <w:szCs w:val="22"/>
        </w:rPr>
        <w:t xml:space="preserve"> in regulatory fees.  Excess regulatory fees collect</w:t>
      </w:r>
      <w:r>
        <w:rPr>
          <w:sz w:val="22"/>
          <w:szCs w:val="22"/>
        </w:rPr>
        <w:t xml:space="preserve">ions of </w:t>
      </w:r>
      <w:r w:rsidRPr="00A34F37">
        <w:rPr>
          <w:sz w:val="22"/>
          <w:szCs w:val="22"/>
        </w:rPr>
        <w:t>$</w:t>
      </w:r>
      <w:r>
        <w:rPr>
          <w:sz w:val="22"/>
          <w:szCs w:val="22"/>
        </w:rPr>
        <w:t>9.7</w:t>
      </w:r>
      <w:r w:rsidRPr="13584A86">
        <w:rPr>
          <w:sz w:val="22"/>
          <w:szCs w:val="22"/>
        </w:rPr>
        <w:t xml:space="preserve"> million</w:t>
      </w:r>
      <w:r w:rsidRPr="08A04539">
        <w:rPr>
          <w:sz w:val="22"/>
          <w:szCs w:val="22"/>
        </w:rPr>
        <w:t xml:space="preserve"> </w:t>
      </w:r>
      <w:r>
        <w:rPr>
          <w:sz w:val="22"/>
          <w:szCs w:val="22"/>
        </w:rPr>
        <w:t xml:space="preserve">were </w:t>
      </w:r>
      <w:r w:rsidRPr="08A04539">
        <w:rPr>
          <w:sz w:val="22"/>
          <w:szCs w:val="22"/>
        </w:rPr>
        <w:t>transferred to the General Fund of the Treasury for the sole purpose of deficit reduction.</w:t>
      </w:r>
      <w:r>
        <w:t xml:space="preserve"> </w:t>
      </w:r>
    </w:p>
    <w:p w:rsidR="004971AC" w:rsidRPr="00F6775A" w:rsidP="004971AC" w14:paraId="643EC5D2" w14:textId="77777777">
      <w:pPr>
        <w:jc w:val="both"/>
        <w:rPr>
          <w:sz w:val="22"/>
          <w:szCs w:val="22"/>
          <w:highlight w:val="yellow"/>
        </w:rPr>
      </w:pPr>
    </w:p>
    <w:p w:rsidR="004971AC" w:rsidRPr="00F6775A" w:rsidP="004971AC" w14:paraId="5737E6F3" w14:textId="77777777">
      <w:pPr>
        <w:pStyle w:val="Heading4A"/>
      </w:pPr>
      <w:r w:rsidRPr="00F6775A">
        <w:t>Limitations on the Financial Statements</w:t>
      </w:r>
    </w:p>
    <w:p w:rsidR="004971AC" w:rsidRPr="00F6775A" w:rsidP="004971AC" w14:paraId="16A3D411" w14:textId="77777777">
      <w:pPr>
        <w:autoSpaceDE w:val="0"/>
        <w:autoSpaceDN w:val="0"/>
        <w:adjustRightInd w:val="0"/>
        <w:jc w:val="both"/>
        <w:rPr>
          <w:color w:val="000000"/>
          <w:sz w:val="22"/>
          <w:szCs w:val="22"/>
        </w:rPr>
      </w:pPr>
      <w:r w:rsidRPr="0051753D">
        <w:rPr>
          <w:bCs/>
          <w:iCs/>
          <w:color w:val="000000"/>
          <w:sz w:val="22"/>
          <w:szCs w:val="22"/>
        </w:rPr>
        <w:t xml:space="preserve"> </w:t>
      </w:r>
    </w:p>
    <w:p w:rsidR="00730BE9" w:rsidRPr="00F6775A" w:rsidP="004971AC" w14:paraId="73D41632" w14:textId="2DE7210D">
      <w:pPr>
        <w:autoSpaceDE w:val="0"/>
        <w:autoSpaceDN w:val="0"/>
        <w:adjustRightInd w:val="0"/>
        <w:jc w:val="both"/>
        <w:rPr>
          <w:color w:val="000000"/>
          <w:sz w:val="22"/>
          <w:szCs w:val="22"/>
        </w:rPr>
      </w:pPr>
      <w:r w:rsidRPr="000E12E9">
        <w:rPr>
          <w:sz w:val="22"/>
          <w:szCs w:val="22"/>
        </w:rPr>
        <w:t>The financial statements are prepared to report the financial position, financial condition,</w:t>
      </w:r>
      <w:r>
        <w:rPr>
          <w:sz w:val="22"/>
          <w:szCs w:val="22"/>
        </w:rPr>
        <w:t xml:space="preserve"> </w:t>
      </w:r>
      <w:r w:rsidRPr="000E12E9">
        <w:rPr>
          <w:sz w:val="22"/>
          <w:szCs w:val="22"/>
        </w:rPr>
        <w:t xml:space="preserve">and results of operations, consistent with the requirements of 31 U.S.C. § 3515(b). </w:t>
      </w:r>
      <w:r>
        <w:rPr>
          <w:sz w:val="22"/>
          <w:szCs w:val="22"/>
        </w:rPr>
        <w:t xml:space="preserve"> </w:t>
      </w:r>
      <w:r w:rsidRPr="000E12E9">
        <w:rPr>
          <w:sz w:val="22"/>
          <w:szCs w:val="22"/>
        </w:rPr>
        <w:t>The</w:t>
      </w:r>
      <w:r>
        <w:rPr>
          <w:sz w:val="22"/>
          <w:szCs w:val="22"/>
        </w:rPr>
        <w:t xml:space="preserve"> </w:t>
      </w:r>
      <w:r w:rsidRPr="000E12E9">
        <w:rPr>
          <w:sz w:val="22"/>
          <w:szCs w:val="22"/>
        </w:rPr>
        <w:t>statements are prepared from records of Federal entities in accordance with Federal</w:t>
      </w:r>
      <w:r>
        <w:rPr>
          <w:sz w:val="22"/>
          <w:szCs w:val="22"/>
        </w:rPr>
        <w:t xml:space="preserve"> </w:t>
      </w:r>
      <w:r w:rsidRPr="000E12E9">
        <w:rPr>
          <w:sz w:val="22"/>
          <w:szCs w:val="22"/>
        </w:rPr>
        <w:t>generally accepted accounting principles (GAAP) and the formats prescribed by OMB.</w:t>
      </w:r>
      <w:r>
        <w:rPr>
          <w:sz w:val="22"/>
          <w:szCs w:val="22"/>
        </w:rPr>
        <w:t xml:space="preserve">  </w:t>
      </w:r>
      <w:r w:rsidRPr="000E12E9">
        <w:rPr>
          <w:sz w:val="22"/>
          <w:szCs w:val="22"/>
        </w:rPr>
        <w:t>Reports used to monitor and control budgetary resources are prepared from the same records.</w:t>
      </w:r>
      <w:r>
        <w:rPr>
          <w:sz w:val="22"/>
          <w:szCs w:val="22"/>
        </w:rPr>
        <w:t xml:space="preserve">  </w:t>
      </w:r>
      <w:r w:rsidRPr="000E12E9">
        <w:rPr>
          <w:sz w:val="22"/>
          <w:szCs w:val="22"/>
        </w:rPr>
        <w:t>Users of the statements are advised that the statements are for a component of the U.S.</w:t>
      </w:r>
      <w:r>
        <w:rPr>
          <w:sz w:val="22"/>
          <w:szCs w:val="22"/>
        </w:rPr>
        <w:t xml:space="preserve"> </w:t>
      </w:r>
      <w:r w:rsidRPr="000E12E9">
        <w:rPr>
          <w:sz w:val="22"/>
          <w:szCs w:val="22"/>
        </w:rPr>
        <w:t>Government.</w:t>
      </w:r>
      <w:r>
        <w:rPr>
          <w:color w:val="000000"/>
          <w:sz w:val="22"/>
          <w:szCs w:val="22"/>
        </w:rPr>
        <w:t xml:space="preserve">  </w:t>
      </w:r>
    </w:p>
    <w:p w:rsidR="00730BE9" w:rsidRPr="00F6775A" w:rsidP="00730BE9" w14:paraId="2A646AFC" w14:textId="77777777">
      <w:pPr>
        <w:autoSpaceDE w:val="0"/>
        <w:autoSpaceDN w:val="0"/>
        <w:adjustRightInd w:val="0"/>
        <w:jc w:val="both"/>
        <w:rPr>
          <w:color w:val="000000"/>
          <w:sz w:val="22"/>
          <w:szCs w:val="22"/>
        </w:rPr>
      </w:pPr>
    </w:p>
    <w:p w:rsidR="00594BA6" w:rsidRPr="00F6775A" w:rsidP="00DC4BB0" w14:paraId="6864A5D6" w14:textId="29A6C96A">
      <w:pPr>
        <w:autoSpaceDE w:val="0"/>
        <w:autoSpaceDN w:val="0"/>
        <w:adjustRightInd w:val="0"/>
        <w:jc w:val="both"/>
        <w:rPr>
          <w:color w:val="000000"/>
          <w:sz w:val="22"/>
          <w:szCs w:val="22"/>
        </w:rPr>
      </w:pPr>
    </w:p>
    <w:p w:rsidR="002520E7" w:rsidRPr="00F6775A" w:rsidP="002520E7" w14:paraId="734E00A9" w14:textId="030D290C">
      <w:pPr>
        <w:autoSpaceDE w:val="0"/>
        <w:autoSpaceDN w:val="0"/>
        <w:adjustRightInd w:val="0"/>
        <w:jc w:val="both"/>
        <w:rPr>
          <w:color w:val="000000"/>
          <w:sz w:val="22"/>
          <w:szCs w:val="22"/>
        </w:rPr>
      </w:pPr>
    </w:p>
    <w:p w:rsidR="00E559C0" w:rsidP="00E559C0" w14:paraId="4FA657F7" w14:textId="37E497CC">
      <w:pPr>
        <w:autoSpaceDE w:val="0"/>
        <w:autoSpaceDN w:val="0"/>
        <w:adjustRightInd w:val="0"/>
        <w:jc w:val="both"/>
        <w:rPr>
          <w:color w:val="000000"/>
          <w:sz w:val="22"/>
          <w:szCs w:val="22"/>
        </w:rPr>
      </w:pPr>
    </w:p>
    <w:p w:rsidR="00D023C4" w:rsidP="00E559C0" w14:paraId="6FA251CF" w14:textId="77777777">
      <w:pPr>
        <w:autoSpaceDE w:val="0"/>
        <w:autoSpaceDN w:val="0"/>
        <w:adjustRightInd w:val="0"/>
        <w:jc w:val="both"/>
        <w:rPr>
          <w:color w:val="000000"/>
          <w:sz w:val="22"/>
          <w:szCs w:val="22"/>
        </w:rPr>
      </w:pPr>
    </w:p>
    <w:p w:rsidR="00D023C4" w:rsidP="00E559C0" w14:paraId="6E8F65BB" w14:textId="77777777">
      <w:pPr>
        <w:autoSpaceDE w:val="0"/>
        <w:autoSpaceDN w:val="0"/>
        <w:adjustRightInd w:val="0"/>
        <w:jc w:val="both"/>
        <w:rPr>
          <w:color w:val="000000"/>
          <w:sz w:val="22"/>
          <w:szCs w:val="22"/>
        </w:rPr>
      </w:pPr>
    </w:p>
    <w:p w:rsidR="00D023C4" w:rsidP="00E559C0" w14:paraId="150D8206" w14:textId="77777777">
      <w:pPr>
        <w:autoSpaceDE w:val="0"/>
        <w:autoSpaceDN w:val="0"/>
        <w:adjustRightInd w:val="0"/>
        <w:jc w:val="both"/>
        <w:rPr>
          <w:color w:val="000000"/>
          <w:sz w:val="22"/>
          <w:szCs w:val="22"/>
        </w:rPr>
      </w:pPr>
    </w:p>
    <w:p w:rsidR="00D023C4" w:rsidP="00E559C0" w14:paraId="712853CC" w14:textId="77777777">
      <w:pPr>
        <w:autoSpaceDE w:val="0"/>
        <w:autoSpaceDN w:val="0"/>
        <w:adjustRightInd w:val="0"/>
        <w:jc w:val="both"/>
        <w:rPr>
          <w:color w:val="000000"/>
          <w:sz w:val="22"/>
          <w:szCs w:val="22"/>
        </w:rPr>
      </w:pPr>
    </w:p>
    <w:p w:rsidR="00D023C4" w:rsidP="00E559C0" w14:paraId="7ACB77C7" w14:textId="77777777">
      <w:pPr>
        <w:autoSpaceDE w:val="0"/>
        <w:autoSpaceDN w:val="0"/>
        <w:adjustRightInd w:val="0"/>
        <w:jc w:val="both"/>
        <w:rPr>
          <w:color w:val="000000"/>
          <w:sz w:val="22"/>
          <w:szCs w:val="22"/>
        </w:rPr>
      </w:pPr>
    </w:p>
    <w:p w:rsidR="00D023C4" w:rsidP="00E559C0" w14:paraId="3C61CAE2" w14:textId="77777777">
      <w:pPr>
        <w:autoSpaceDE w:val="0"/>
        <w:autoSpaceDN w:val="0"/>
        <w:adjustRightInd w:val="0"/>
        <w:jc w:val="both"/>
        <w:rPr>
          <w:color w:val="000000"/>
          <w:sz w:val="22"/>
          <w:szCs w:val="22"/>
        </w:rPr>
      </w:pPr>
    </w:p>
    <w:p w:rsidR="00D023C4" w:rsidP="00E559C0" w14:paraId="3C87955A" w14:textId="77777777">
      <w:pPr>
        <w:autoSpaceDE w:val="0"/>
        <w:autoSpaceDN w:val="0"/>
        <w:adjustRightInd w:val="0"/>
        <w:jc w:val="both"/>
        <w:rPr>
          <w:color w:val="000000"/>
          <w:sz w:val="22"/>
          <w:szCs w:val="22"/>
        </w:rPr>
      </w:pPr>
    </w:p>
    <w:p w:rsidR="00D023C4" w:rsidP="00E559C0" w14:paraId="24D20CA1" w14:textId="77777777">
      <w:pPr>
        <w:autoSpaceDE w:val="0"/>
        <w:autoSpaceDN w:val="0"/>
        <w:adjustRightInd w:val="0"/>
        <w:jc w:val="both"/>
        <w:rPr>
          <w:color w:val="000000"/>
          <w:sz w:val="22"/>
          <w:szCs w:val="22"/>
        </w:rPr>
      </w:pPr>
    </w:p>
    <w:p w:rsidR="00D023C4" w:rsidP="00E559C0" w14:paraId="5F1C035B" w14:textId="77777777">
      <w:pPr>
        <w:autoSpaceDE w:val="0"/>
        <w:autoSpaceDN w:val="0"/>
        <w:adjustRightInd w:val="0"/>
        <w:jc w:val="both"/>
        <w:rPr>
          <w:color w:val="000000"/>
          <w:sz w:val="22"/>
          <w:szCs w:val="22"/>
        </w:rPr>
      </w:pPr>
    </w:p>
    <w:p w:rsidR="00D023C4" w:rsidP="00E559C0" w14:paraId="7F035B54" w14:textId="77777777">
      <w:pPr>
        <w:autoSpaceDE w:val="0"/>
        <w:autoSpaceDN w:val="0"/>
        <w:adjustRightInd w:val="0"/>
        <w:jc w:val="both"/>
        <w:rPr>
          <w:color w:val="000000"/>
          <w:sz w:val="22"/>
          <w:szCs w:val="22"/>
        </w:rPr>
      </w:pPr>
    </w:p>
    <w:p w:rsidR="00D023C4" w:rsidP="00E559C0" w14:paraId="58D6F22C" w14:textId="77777777">
      <w:pPr>
        <w:autoSpaceDE w:val="0"/>
        <w:autoSpaceDN w:val="0"/>
        <w:adjustRightInd w:val="0"/>
        <w:jc w:val="both"/>
        <w:rPr>
          <w:color w:val="000000"/>
          <w:sz w:val="22"/>
          <w:szCs w:val="22"/>
        </w:rPr>
      </w:pPr>
    </w:p>
    <w:p w:rsidR="00D023C4" w:rsidP="00E559C0" w14:paraId="56088173" w14:textId="77777777">
      <w:pPr>
        <w:autoSpaceDE w:val="0"/>
        <w:autoSpaceDN w:val="0"/>
        <w:adjustRightInd w:val="0"/>
        <w:jc w:val="both"/>
        <w:rPr>
          <w:color w:val="000000"/>
          <w:sz w:val="22"/>
          <w:szCs w:val="22"/>
        </w:rPr>
      </w:pPr>
    </w:p>
    <w:p w:rsidR="00D023C4" w:rsidP="00E559C0" w14:paraId="001A3D91" w14:textId="77777777">
      <w:pPr>
        <w:autoSpaceDE w:val="0"/>
        <w:autoSpaceDN w:val="0"/>
        <w:adjustRightInd w:val="0"/>
        <w:jc w:val="both"/>
        <w:rPr>
          <w:color w:val="000000"/>
          <w:sz w:val="22"/>
          <w:szCs w:val="22"/>
        </w:rPr>
      </w:pPr>
    </w:p>
    <w:p w:rsidR="00D023C4" w:rsidP="00E559C0" w14:paraId="06414ABD" w14:textId="77777777">
      <w:pPr>
        <w:autoSpaceDE w:val="0"/>
        <w:autoSpaceDN w:val="0"/>
        <w:adjustRightInd w:val="0"/>
        <w:jc w:val="both"/>
        <w:rPr>
          <w:color w:val="000000"/>
          <w:sz w:val="22"/>
          <w:szCs w:val="22"/>
        </w:rPr>
      </w:pPr>
    </w:p>
    <w:p w:rsidR="00D023C4" w:rsidP="00E559C0" w14:paraId="61D36723" w14:textId="77777777">
      <w:pPr>
        <w:autoSpaceDE w:val="0"/>
        <w:autoSpaceDN w:val="0"/>
        <w:adjustRightInd w:val="0"/>
        <w:jc w:val="both"/>
        <w:rPr>
          <w:color w:val="000000"/>
          <w:sz w:val="22"/>
          <w:szCs w:val="22"/>
        </w:rPr>
      </w:pPr>
    </w:p>
    <w:p w:rsidR="00D023C4" w:rsidP="00E559C0" w14:paraId="5B8AED69" w14:textId="77777777">
      <w:pPr>
        <w:autoSpaceDE w:val="0"/>
        <w:autoSpaceDN w:val="0"/>
        <w:adjustRightInd w:val="0"/>
        <w:jc w:val="both"/>
        <w:rPr>
          <w:color w:val="000000"/>
          <w:sz w:val="22"/>
          <w:szCs w:val="22"/>
        </w:rPr>
      </w:pPr>
    </w:p>
    <w:p w:rsidR="00D023C4" w:rsidP="00E559C0" w14:paraId="7A57A1D5" w14:textId="77777777">
      <w:pPr>
        <w:autoSpaceDE w:val="0"/>
        <w:autoSpaceDN w:val="0"/>
        <w:adjustRightInd w:val="0"/>
        <w:jc w:val="both"/>
        <w:rPr>
          <w:color w:val="000000"/>
          <w:sz w:val="22"/>
          <w:szCs w:val="22"/>
        </w:rPr>
      </w:pPr>
    </w:p>
    <w:p w:rsidR="00D023C4" w:rsidP="00E559C0" w14:paraId="02CD873A" w14:textId="77777777">
      <w:pPr>
        <w:autoSpaceDE w:val="0"/>
        <w:autoSpaceDN w:val="0"/>
        <w:adjustRightInd w:val="0"/>
        <w:jc w:val="both"/>
        <w:rPr>
          <w:color w:val="000000"/>
          <w:sz w:val="22"/>
          <w:szCs w:val="22"/>
        </w:rPr>
      </w:pPr>
    </w:p>
    <w:p w:rsidR="00D023C4" w:rsidP="00E559C0" w14:paraId="4913B0A9" w14:textId="77777777">
      <w:pPr>
        <w:autoSpaceDE w:val="0"/>
        <w:autoSpaceDN w:val="0"/>
        <w:adjustRightInd w:val="0"/>
        <w:jc w:val="both"/>
        <w:rPr>
          <w:color w:val="000000"/>
          <w:sz w:val="22"/>
          <w:szCs w:val="22"/>
        </w:rPr>
      </w:pPr>
    </w:p>
    <w:p w:rsidR="00D023C4" w:rsidP="00E559C0" w14:paraId="5D6048F3" w14:textId="77777777">
      <w:pPr>
        <w:autoSpaceDE w:val="0"/>
        <w:autoSpaceDN w:val="0"/>
        <w:adjustRightInd w:val="0"/>
        <w:jc w:val="both"/>
        <w:rPr>
          <w:color w:val="000000"/>
          <w:sz w:val="22"/>
          <w:szCs w:val="22"/>
        </w:rPr>
      </w:pPr>
    </w:p>
    <w:p w:rsidR="00AC260A" w:rsidRPr="001F28A7" w:rsidP="00AC2106" w14:paraId="2A5C2F73" w14:textId="5526206E">
      <w:pPr>
        <w:pStyle w:val="Heading1"/>
        <w:numPr>
          <w:ilvl w:val="0"/>
          <w:numId w:val="12"/>
        </w:numPr>
        <w:ind w:left="0" w:firstLine="0"/>
        <w:jc w:val="left"/>
        <w:rPr>
          <w:b/>
          <w:color w:val="auto"/>
          <w:sz w:val="30"/>
          <w:szCs w:val="30"/>
        </w:rPr>
      </w:pPr>
      <w:bookmarkStart w:id="37" w:name="_Toc216960432"/>
      <w:r>
        <w:rPr>
          <w:b/>
          <w:color w:val="auto"/>
          <w:sz w:val="30"/>
          <w:szCs w:val="30"/>
        </w:rPr>
        <w:t xml:space="preserve">Consolidated </w:t>
      </w:r>
      <w:r w:rsidRPr="001F28A7">
        <w:rPr>
          <w:b/>
          <w:color w:val="auto"/>
          <w:sz w:val="30"/>
          <w:szCs w:val="30"/>
        </w:rPr>
        <w:t xml:space="preserve">Financial Statements and </w:t>
      </w:r>
      <w:r>
        <w:rPr>
          <w:b/>
          <w:color w:val="auto"/>
          <w:sz w:val="30"/>
          <w:szCs w:val="30"/>
        </w:rPr>
        <w:t xml:space="preserve">Independent </w:t>
      </w:r>
      <w:r w:rsidRPr="001F28A7">
        <w:rPr>
          <w:b/>
          <w:color w:val="auto"/>
          <w:sz w:val="30"/>
          <w:szCs w:val="30"/>
        </w:rPr>
        <w:t>Auditors’ Report</w:t>
      </w:r>
      <w:bookmarkEnd w:id="37"/>
    </w:p>
    <w:p w:rsidR="00F00594" w:rsidP="00D753EB" w14:paraId="090819D2" w14:textId="3EA647BB">
      <w:pPr>
        <w:autoSpaceDE w:val="0"/>
        <w:autoSpaceDN w:val="0"/>
        <w:adjustRightInd w:val="0"/>
        <w:rPr>
          <w:b/>
          <w:color w:val="000000"/>
          <w:sz w:val="22"/>
          <w:szCs w:val="22"/>
        </w:rPr>
      </w:pPr>
    </w:p>
    <w:p w:rsidR="00EA1FB8" w:rsidP="00EA1FB8" w14:paraId="74B4AF81" w14:textId="7DD8760C">
      <w:pPr>
        <w:pStyle w:val="Heading2"/>
        <w:jc w:val="left"/>
        <w:rPr>
          <w:rFonts w:ascii="Times New Roman" w:hAnsi="Times New Roman" w:cs="Times New Roman"/>
          <w:sz w:val="28"/>
          <w:szCs w:val="28"/>
        </w:rPr>
      </w:pPr>
      <w:bookmarkStart w:id="38" w:name="_Toc85811532"/>
      <w:bookmarkStart w:id="39" w:name="_Toc216960433"/>
      <w:r w:rsidRPr="001E2C9D">
        <w:rPr>
          <w:rFonts w:ascii="Times New Roman" w:hAnsi="Times New Roman" w:cs="Times New Roman"/>
          <w:sz w:val="28"/>
          <w:szCs w:val="28"/>
        </w:rPr>
        <w:t>Transmittal from Office of Inspector General</w:t>
      </w:r>
      <w:bookmarkStart w:id="40" w:name="_Toc467000238"/>
      <w:bookmarkEnd w:id="38"/>
      <w:bookmarkEnd w:id="39"/>
    </w:p>
    <w:p w:rsidR="00A078AD" w:rsidRPr="00A078AD" w:rsidP="00A078AD" w14:paraId="7435B62C" w14:textId="77777777"/>
    <w:p w:rsidR="00D8122F" w:rsidP="00A078AD" w14:paraId="205D16DF" w14:textId="3DAC6BDD">
      <w:pPr>
        <w:jc w:val="center"/>
        <w:rPr>
          <w:sz w:val="22"/>
          <w:szCs w:val="22"/>
        </w:rPr>
      </w:pPr>
      <w:r>
        <w:rPr>
          <w:noProof/>
        </w:rPr>
        <w:drawing>
          <wp:inline distT="0" distB="0" distL="0" distR="0">
            <wp:extent cx="5943600" cy="7613650"/>
            <wp:effectExtent l="0" t="0" r="0" b="6350"/>
            <wp:docPr id="1661978096"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78096" name="Picture 1" descr="Text&#10;&#10;AI-generated content may be incorrect."/>
                    <pic:cNvPicPr/>
                  </pic:nvPicPr>
                  <pic:blipFill>
                    <a:blip xmlns:r="http://schemas.openxmlformats.org/officeDocument/2006/relationships" r:embed="rId49"/>
                    <a:stretch>
                      <a:fillRect/>
                    </a:stretch>
                  </pic:blipFill>
                  <pic:spPr>
                    <a:xfrm>
                      <a:off x="0" y="0"/>
                      <a:ext cx="5943600" cy="7613650"/>
                    </a:xfrm>
                    <a:prstGeom prst="rect">
                      <a:avLst/>
                    </a:prstGeom>
                  </pic:spPr>
                </pic:pic>
              </a:graphicData>
            </a:graphic>
          </wp:inline>
        </w:drawing>
      </w:r>
    </w:p>
    <w:p w:rsidR="00D8122F" w:rsidP="00A078AD" w14:paraId="63F2C7AD" w14:textId="73E33640">
      <w:pPr>
        <w:jc w:val="center"/>
        <w:rPr>
          <w:sz w:val="22"/>
          <w:szCs w:val="22"/>
        </w:rPr>
      </w:pPr>
    </w:p>
    <w:p w:rsidR="00D8122F" w:rsidP="00A078AD" w14:paraId="6EA51F7F" w14:textId="4FB63ADB">
      <w:pPr>
        <w:jc w:val="center"/>
        <w:rPr>
          <w:sz w:val="22"/>
          <w:szCs w:val="22"/>
        </w:rPr>
      </w:pPr>
    </w:p>
    <w:p w:rsidR="00D8122F" w:rsidP="00A078AD" w14:paraId="1CFCB6CE" w14:textId="731F6243">
      <w:pPr>
        <w:jc w:val="center"/>
        <w:rPr>
          <w:sz w:val="22"/>
          <w:szCs w:val="22"/>
        </w:rPr>
      </w:pPr>
    </w:p>
    <w:p w:rsidR="00EA1FB8" w:rsidRPr="00CA7534" w:rsidP="00A078AD" w14:paraId="594DA9B3" w14:textId="00DCCFCD">
      <w:pPr>
        <w:jc w:val="center"/>
        <w:rPr>
          <w:sz w:val="22"/>
          <w:szCs w:val="22"/>
        </w:rPr>
      </w:pPr>
      <w:r w:rsidRPr="00050220">
        <w:rPr>
          <w:noProof/>
        </w:rPr>
        <w:drawing>
          <wp:inline distT="0" distB="0" distL="0" distR="0">
            <wp:extent cx="5943600" cy="7666990"/>
            <wp:effectExtent l="0" t="0" r="0" b="0"/>
            <wp:docPr id="1114258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58554" name=""/>
                    <pic:cNvPicPr/>
                  </pic:nvPicPr>
                  <pic:blipFill>
                    <a:blip xmlns:r="http://schemas.openxmlformats.org/officeDocument/2006/relationships" r:embed="rId50"/>
                    <a:stretch>
                      <a:fillRect/>
                    </a:stretch>
                  </pic:blipFill>
                  <pic:spPr>
                    <a:xfrm>
                      <a:off x="0" y="0"/>
                      <a:ext cx="5943600" cy="7666990"/>
                    </a:xfrm>
                    <a:prstGeom prst="rect">
                      <a:avLst/>
                    </a:prstGeom>
                  </pic:spPr>
                </pic:pic>
              </a:graphicData>
            </a:graphic>
          </wp:inline>
        </w:drawing>
      </w:r>
    </w:p>
    <w:p w:rsidR="00EA1FB8" w:rsidP="00EA1FB8" w14:paraId="1374249A" w14:textId="77777777">
      <w:pPr>
        <w:rPr>
          <w:sz w:val="22"/>
        </w:rPr>
        <w:sectPr w:rsidSect="00A078AD">
          <w:headerReference w:type="default" r:id="rId51"/>
          <w:footerReference w:type="default" r:id="rId52"/>
          <w:pgSz w:w="12240" w:h="15840" w:code="1"/>
          <w:pgMar w:top="810" w:right="1440" w:bottom="1152" w:left="1440" w:header="540" w:footer="555" w:gutter="0"/>
          <w:cols w:space="720"/>
        </w:sectPr>
      </w:pPr>
    </w:p>
    <w:p w:rsidR="00EA1FB8" w:rsidP="00EA1FB8" w14:paraId="69ACE2FD" w14:textId="2C8433DA">
      <w:pPr>
        <w:pStyle w:val="Heading2"/>
        <w:jc w:val="left"/>
        <w:rPr>
          <w:rFonts w:ascii="Times New Roman" w:hAnsi="Times New Roman" w:cs="Times New Roman"/>
          <w:sz w:val="28"/>
          <w:szCs w:val="28"/>
        </w:rPr>
      </w:pPr>
      <w:bookmarkStart w:id="41" w:name="_Toc85811533"/>
      <w:bookmarkStart w:id="42" w:name="_Toc216960434"/>
      <w:r w:rsidRPr="003E6B5A">
        <w:rPr>
          <w:rFonts w:ascii="Times New Roman" w:hAnsi="Times New Roman" w:cs="Times New Roman"/>
          <w:sz w:val="28"/>
          <w:szCs w:val="28"/>
        </w:rPr>
        <w:t>Independent Auditors</w:t>
      </w:r>
      <w:r w:rsidR="009B0BB1">
        <w:rPr>
          <w:rFonts w:ascii="Times New Roman" w:hAnsi="Times New Roman" w:cs="Times New Roman"/>
          <w:sz w:val="28"/>
          <w:szCs w:val="28"/>
        </w:rPr>
        <w:t>’</w:t>
      </w:r>
      <w:r w:rsidRPr="003E6B5A">
        <w:rPr>
          <w:rFonts w:ascii="Times New Roman" w:hAnsi="Times New Roman" w:cs="Times New Roman"/>
          <w:sz w:val="28"/>
          <w:szCs w:val="28"/>
        </w:rPr>
        <w:t xml:space="preserve"> Report</w:t>
      </w:r>
      <w:bookmarkEnd w:id="40"/>
      <w:bookmarkEnd w:id="41"/>
      <w:bookmarkEnd w:id="42"/>
    </w:p>
    <w:p w:rsidR="00EA1FB8" w:rsidRPr="00FE5C1B" w:rsidP="00EA1FB8" w14:paraId="288CE2D9" w14:textId="77777777">
      <w:pPr>
        <w:rPr>
          <w:sz w:val="16"/>
          <w:szCs w:val="16"/>
        </w:rPr>
      </w:pPr>
    </w:p>
    <w:p w:rsidR="00C07ED9" w:rsidP="00A078AD" w14:paraId="5116AFB9" w14:textId="05C08972">
      <w:pPr>
        <w:jc w:val="center"/>
      </w:pPr>
    </w:p>
    <w:p w:rsidR="00C07ED9" w:rsidP="00BE4117" w14:paraId="78C0361E" w14:textId="00D20293">
      <w:pPr>
        <w:jc w:val="center"/>
      </w:pPr>
      <w:r w:rsidRPr="00050220">
        <w:rPr>
          <w:noProof/>
        </w:rPr>
        <w:drawing>
          <wp:inline distT="0" distB="0" distL="0" distR="0">
            <wp:extent cx="5324475" cy="7677150"/>
            <wp:effectExtent l="0" t="0" r="9525" b="0"/>
            <wp:docPr id="1805926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26891" name=""/>
                    <pic:cNvPicPr/>
                  </pic:nvPicPr>
                  <pic:blipFill>
                    <a:blip xmlns:r="http://schemas.openxmlformats.org/officeDocument/2006/relationships" r:embed="rId53"/>
                    <a:stretch>
                      <a:fillRect/>
                    </a:stretch>
                  </pic:blipFill>
                  <pic:spPr>
                    <a:xfrm>
                      <a:off x="0" y="0"/>
                      <a:ext cx="5324475" cy="7677150"/>
                    </a:xfrm>
                    <a:prstGeom prst="rect">
                      <a:avLst/>
                    </a:prstGeom>
                  </pic:spPr>
                </pic:pic>
              </a:graphicData>
            </a:graphic>
          </wp:inline>
        </w:drawing>
      </w:r>
    </w:p>
    <w:p w:rsidR="00C07ED9" w:rsidP="00A078AD" w14:paraId="7747F476" w14:textId="7613CA7B">
      <w:pPr>
        <w:jc w:val="center"/>
      </w:pPr>
    </w:p>
    <w:p w:rsidR="00C07ED9" w:rsidP="00EA1FB8" w14:paraId="5264F2CE" w14:textId="77777777"/>
    <w:p w:rsidR="00C07ED9" w:rsidP="00050220" w14:paraId="3DEE30E4" w14:textId="4C1A356E">
      <w:pPr>
        <w:jc w:val="center"/>
      </w:pPr>
      <w:r w:rsidRPr="00050220">
        <w:rPr>
          <w:noProof/>
        </w:rPr>
        <w:drawing>
          <wp:inline distT="0" distB="0" distL="0" distR="0">
            <wp:extent cx="5210175" cy="7581900"/>
            <wp:effectExtent l="0" t="0" r="9525" b="0"/>
            <wp:docPr id="1145492278"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92278" name="Picture 1" descr="Text&#10;&#10;AI-generated content may be incorrect."/>
                    <pic:cNvPicPr/>
                  </pic:nvPicPr>
                  <pic:blipFill>
                    <a:blip xmlns:r="http://schemas.openxmlformats.org/officeDocument/2006/relationships" r:embed="rId54"/>
                    <a:stretch>
                      <a:fillRect/>
                    </a:stretch>
                  </pic:blipFill>
                  <pic:spPr>
                    <a:xfrm>
                      <a:off x="0" y="0"/>
                      <a:ext cx="5210175" cy="7581900"/>
                    </a:xfrm>
                    <a:prstGeom prst="rect">
                      <a:avLst/>
                    </a:prstGeom>
                  </pic:spPr>
                </pic:pic>
              </a:graphicData>
            </a:graphic>
          </wp:inline>
        </w:drawing>
      </w:r>
    </w:p>
    <w:p w:rsidR="00C07ED9" w:rsidP="003B4970" w14:paraId="3D440CF1" w14:textId="3CA90370">
      <w:pPr>
        <w:jc w:val="center"/>
      </w:pPr>
    </w:p>
    <w:p w:rsidR="006C2A19" w:rsidP="003B4970" w14:paraId="2CF109D5" w14:textId="3AF5A645">
      <w:pPr>
        <w:jc w:val="center"/>
      </w:pPr>
    </w:p>
    <w:p w:rsidR="00D8122F" w:rsidP="00EA1FB8" w14:paraId="1F349DD6" w14:textId="590C4337"/>
    <w:p w:rsidR="00D8122F" w:rsidP="00EA1FB8" w14:paraId="467B7A95" w14:textId="411DF435"/>
    <w:p w:rsidR="00382E46" w:rsidP="00050220" w14:paraId="3FE9FB49" w14:textId="78DD04B2">
      <w:pPr>
        <w:jc w:val="center"/>
      </w:pPr>
      <w:r w:rsidRPr="00050220">
        <w:rPr>
          <w:noProof/>
        </w:rPr>
        <w:drawing>
          <wp:inline distT="0" distB="0" distL="0" distR="0">
            <wp:extent cx="5305425" cy="7496175"/>
            <wp:effectExtent l="0" t="0" r="9525" b="9525"/>
            <wp:docPr id="198110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02422" name=""/>
                    <pic:cNvPicPr/>
                  </pic:nvPicPr>
                  <pic:blipFill>
                    <a:blip xmlns:r="http://schemas.openxmlformats.org/officeDocument/2006/relationships" r:embed="rId55"/>
                    <a:stretch>
                      <a:fillRect/>
                    </a:stretch>
                  </pic:blipFill>
                  <pic:spPr>
                    <a:xfrm>
                      <a:off x="0" y="0"/>
                      <a:ext cx="5305425" cy="7496175"/>
                    </a:xfrm>
                    <a:prstGeom prst="rect">
                      <a:avLst/>
                    </a:prstGeom>
                  </pic:spPr>
                </pic:pic>
              </a:graphicData>
            </a:graphic>
          </wp:inline>
        </w:drawing>
      </w:r>
    </w:p>
    <w:p w:rsidR="00D8122F" w:rsidP="00EA1FB8" w14:paraId="376C8A97" w14:textId="352E6BCC"/>
    <w:p w:rsidR="00D8122F" w:rsidP="00EA1FB8" w14:paraId="58945B13" w14:textId="4E76CDBB"/>
    <w:p w:rsidR="00D8122F" w:rsidP="00EA1FB8" w14:paraId="3EBF5301" w14:textId="4CE01F8F"/>
    <w:p w:rsidR="00D8122F" w:rsidP="003E6B5A" w14:paraId="4D2794C1" w14:textId="7CF882F3">
      <w:pPr>
        <w:jc w:val="center"/>
      </w:pPr>
    </w:p>
    <w:p w:rsidR="00C07ED9" w:rsidP="00A078AD" w14:paraId="150767E0" w14:textId="0F0D60F3">
      <w:pPr>
        <w:jc w:val="center"/>
        <w:sectPr w:rsidSect="00FC1050">
          <w:headerReference w:type="default" r:id="rId56"/>
          <w:footerReference w:type="default" r:id="rId57"/>
          <w:headerReference w:type="first" r:id="rId58"/>
          <w:footnotePr>
            <w:numRestart w:val="eachSect"/>
          </w:footnotePr>
          <w:pgSz w:w="12240" w:h="15840" w:code="1"/>
          <w:pgMar w:top="990" w:right="1620" w:bottom="1152" w:left="1440" w:header="720" w:footer="720" w:gutter="0"/>
          <w:cols w:space="720"/>
          <w:titlePg/>
          <w:docGrid w:linePitch="326"/>
        </w:sectPr>
      </w:pPr>
    </w:p>
    <w:p w:rsidR="00EA1FB8" w:rsidP="00EA1FB8" w14:paraId="3FE757A1" w14:textId="13B800E7"/>
    <w:p w:rsidR="00EA1FB8" w:rsidP="00EA1FB8" w14:paraId="53B0DE23" w14:textId="654768FD">
      <w:pPr>
        <w:pStyle w:val="Heading2"/>
        <w:jc w:val="left"/>
        <w:rPr>
          <w:rFonts w:ascii="Times New Roman" w:hAnsi="Times New Roman" w:cs="Times New Roman"/>
          <w:sz w:val="28"/>
          <w:szCs w:val="28"/>
        </w:rPr>
      </w:pPr>
      <w:bookmarkStart w:id="43" w:name="_Toc467000239"/>
      <w:bookmarkStart w:id="44" w:name="_Toc85811534"/>
      <w:bookmarkStart w:id="45" w:name="_Toc216960435"/>
      <w:r w:rsidRPr="00DF7CAC">
        <w:rPr>
          <w:rFonts w:ascii="Times New Roman" w:hAnsi="Times New Roman" w:cs="Times New Roman"/>
          <w:sz w:val="28"/>
          <w:szCs w:val="28"/>
        </w:rPr>
        <w:t>Independent Auditors</w:t>
      </w:r>
      <w:r w:rsidR="009B0BB1">
        <w:rPr>
          <w:rFonts w:ascii="Times New Roman" w:hAnsi="Times New Roman" w:cs="Times New Roman"/>
          <w:sz w:val="28"/>
          <w:szCs w:val="28"/>
        </w:rPr>
        <w:t>’</w:t>
      </w:r>
      <w:r w:rsidRPr="00DF7CAC">
        <w:rPr>
          <w:rFonts w:ascii="Times New Roman" w:hAnsi="Times New Roman" w:cs="Times New Roman"/>
          <w:sz w:val="28"/>
          <w:szCs w:val="28"/>
        </w:rPr>
        <w:t xml:space="preserve"> Report on Internal Control over Financial Reporting</w:t>
      </w:r>
      <w:bookmarkEnd w:id="43"/>
      <w:bookmarkEnd w:id="44"/>
      <w:bookmarkEnd w:id="45"/>
    </w:p>
    <w:p w:rsidR="00C07ED9" w:rsidRPr="00C07ED9" w:rsidP="00C07ED9" w14:paraId="3278F801" w14:textId="77777777"/>
    <w:p w:rsidR="00EA1FB8" w:rsidP="00A078AD" w14:paraId="4346CD8A" w14:textId="3D67F379">
      <w:pPr>
        <w:spacing w:after="120"/>
        <w:jc w:val="center"/>
        <w:rPr>
          <w:noProof/>
        </w:rPr>
      </w:pPr>
      <w:r>
        <w:rPr>
          <w:noProof/>
        </w:rPr>
        <w:drawing>
          <wp:inline distT="0" distB="0" distL="0" distR="0">
            <wp:extent cx="5276850" cy="7343775"/>
            <wp:effectExtent l="0" t="0" r="0" b="9525"/>
            <wp:docPr id="2100045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45087" name=""/>
                    <pic:cNvPicPr/>
                  </pic:nvPicPr>
                  <pic:blipFill>
                    <a:blip xmlns:r="http://schemas.openxmlformats.org/officeDocument/2006/relationships" r:embed="rId59"/>
                    <a:stretch>
                      <a:fillRect/>
                    </a:stretch>
                  </pic:blipFill>
                  <pic:spPr>
                    <a:xfrm>
                      <a:off x="0" y="0"/>
                      <a:ext cx="5276850" cy="7343775"/>
                    </a:xfrm>
                    <a:prstGeom prst="rect">
                      <a:avLst/>
                    </a:prstGeom>
                  </pic:spPr>
                </pic:pic>
              </a:graphicData>
            </a:graphic>
          </wp:inline>
        </w:drawing>
      </w:r>
    </w:p>
    <w:p w:rsidR="008901B8" w:rsidP="00A078AD" w14:paraId="6F745A70" w14:textId="77777777">
      <w:pPr>
        <w:jc w:val="center"/>
        <w:rPr>
          <w:szCs w:val="24"/>
        </w:rPr>
      </w:pPr>
    </w:p>
    <w:p w:rsidR="008901B8" w:rsidP="00A078AD" w14:paraId="6DABA386" w14:textId="77777777">
      <w:pPr>
        <w:jc w:val="center"/>
        <w:rPr>
          <w:szCs w:val="24"/>
        </w:rPr>
      </w:pPr>
    </w:p>
    <w:p w:rsidR="008901B8" w:rsidP="00A078AD" w14:paraId="4CCF6B18" w14:textId="77777777">
      <w:pPr>
        <w:jc w:val="center"/>
        <w:rPr>
          <w:szCs w:val="24"/>
        </w:rPr>
      </w:pPr>
    </w:p>
    <w:p w:rsidR="008901B8" w:rsidP="00A078AD" w14:paraId="29D88A7B" w14:textId="78119F3B">
      <w:pPr>
        <w:jc w:val="center"/>
        <w:rPr>
          <w:szCs w:val="24"/>
        </w:rPr>
      </w:pPr>
      <w:r w:rsidRPr="002B65FB">
        <w:rPr>
          <w:noProof/>
        </w:rPr>
        <w:drawing>
          <wp:inline distT="0" distB="0" distL="0" distR="0">
            <wp:extent cx="5248275" cy="4714875"/>
            <wp:effectExtent l="0" t="0" r="9525" b="9525"/>
            <wp:docPr id="308618116"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18116" name="Picture 1" descr="Text, letter&#10;&#10;AI-generated content may be incorrect."/>
                    <pic:cNvPicPr/>
                  </pic:nvPicPr>
                  <pic:blipFill>
                    <a:blip xmlns:r="http://schemas.openxmlformats.org/officeDocument/2006/relationships" r:embed="rId60"/>
                    <a:stretch>
                      <a:fillRect/>
                    </a:stretch>
                  </pic:blipFill>
                  <pic:spPr>
                    <a:xfrm>
                      <a:off x="0" y="0"/>
                      <a:ext cx="5248275" cy="4714875"/>
                    </a:xfrm>
                    <a:prstGeom prst="rect">
                      <a:avLst/>
                    </a:prstGeom>
                  </pic:spPr>
                </pic:pic>
              </a:graphicData>
            </a:graphic>
          </wp:inline>
        </w:drawing>
      </w:r>
    </w:p>
    <w:p w:rsidR="002B65FB" w:rsidP="00A078AD" w14:paraId="4566D6BB" w14:textId="0B0E7D3B">
      <w:pPr>
        <w:jc w:val="center"/>
        <w:rPr>
          <w:szCs w:val="24"/>
        </w:rPr>
      </w:pPr>
      <w:r>
        <w:rPr>
          <w:noProof/>
        </w:rPr>
        <w:drawing>
          <wp:inline distT="0" distB="0" distL="0" distR="0">
            <wp:extent cx="5219700" cy="7543800"/>
            <wp:effectExtent l="0" t="0" r="0" b="0"/>
            <wp:docPr id="987428627"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28627" name="Picture 1" descr="Text, letter&#10;&#10;AI-generated content may be incorrect."/>
                    <pic:cNvPicPr/>
                  </pic:nvPicPr>
                  <pic:blipFill>
                    <a:blip xmlns:r="http://schemas.openxmlformats.org/officeDocument/2006/relationships" r:embed="rId61"/>
                    <a:stretch>
                      <a:fillRect/>
                    </a:stretch>
                  </pic:blipFill>
                  <pic:spPr>
                    <a:xfrm>
                      <a:off x="0" y="0"/>
                      <a:ext cx="5219700" cy="7543800"/>
                    </a:xfrm>
                    <a:prstGeom prst="rect">
                      <a:avLst/>
                    </a:prstGeom>
                  </pic:spPr>
                </pic:pic>
              </a:graphicData>
            </a:graphic>
          </wp:inline>
        </w:drawing>
      </w:r>
    </w:p>
    <w:p w:rsidR="002B65FB" w:rsidP="00A078AD" w14:paraId="60F28B57" w14:textId="77777777">
      <w:pPr>
        <w:jc w:val="center"/>
        <w:rPr>
          <w:szCs w:val="24"/>
        </w:rPr>
      </w:pPr>
    </w:p>
    <w:p w:rsidR="002B65FB" w:rsidP="00A078AD" w14:paraId="309BA8B3" w14:textId="6E33B6EB">
      <w:pPr>
        <w:jc w:val="center"/>
        <w:rPr>
          <w:szCs w:val="24"/>
        </w:rPr>
      </w:pPr>
      <w:r>
        <w:rPr>
          <w:noProof/>
        </w:rPr>
        <w:drawing>
          <wp:inline distT="0" distB="0" distL="0" distR="0">
            <wp:extent cx="5295900" cy="7172325"/>
            <wp:effectExtent l="0" t="0" r="0" b="9525"/>
            <wp:docPr id="532551660"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51660" name="Picture 1" descr="Text, letter&#10;&#10;AI-generated content may be incorrect."/>
                    <pic:cNvPicPr/>
                  </pic:nvPicPr>
                  <pic:blipFill>
                    <a:blip xmlns:r="http://schemas.openxmlformats.org/officeDocument/2006/relationships" r:embed="rId62"/>
                    <a:stretch>
                      <a:fillRect/>
                    </a:stretch>
                  </pic:blipFill>
                  <pic:spPr>
                    <a:xfrm>
                      <a:off x="0" y="0"/>
                      <a:ext cx="5295900" cy="7172325"/>
                    </a:xfrm>
                    <a:prstGeom prst="rect">
                      <a:avLst/>
                    </a:prstGeom>
                  </pic:spPr>
                </pic:pic>
              </a:graphicData>
            </a:graphic>
          </wp:inline>
        </w:drawing>
      </w:r>
    </w:p>
    <w:p w:rsidR="002B65FB" w:rsidP="00A078AD" w14:paraId="266B3A90" w14:textId="77777777">
      <w:pPr>
        <w:jc w:val="center"/>
        <w:rPr>
          <w:szCs w:val="24"/>
        </w:rPr>
      </w:pPr>
    </w:p>
    <w:p w:rsidR="002B65FB" w:rsidP="00A078AD" w14:paraId="27C984F2" w14:textId="2F9357C9">
      <w:pPr>
        <w:jc w:val="center"/>
        <w:rPr>
          <w:szCs w:val="24"/>
        </w:rPr>
      </w:pPr>
      <w:r>
        <w:rPr>
          <w:noProof/>
        </w:rPr>
        <w:drawing>
          <wp:inline distT="0" distB="0" distL="0" distR="0">
            <wp:extent cx="5219700" cy="7496175"/>
            <wp:effectExtent l="0" t="0" r="0" b="9525"/>
            <wp:docPr id="151393848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38485" name="Picture 1" descr="Text&#10;&#10;AI-generated content may be incorrect."/>
                    <pic:cNvPicPr/>
                  </pic:nvPicPr>
                  <pic:blipFill>
                    <a:blip xmlns:r="http://schemas.openxmlformats.org/officeDocument/2006/relationships" r:embed="rId63"/>
                    <a:stretch>
                      <a:fillRect/>
                    </a:stretch>
                  </pic:blipFill>
                  <pic:spPr>
                    <a:xfrm>
                      <a:off x="0" y="0"/>
                      <a:ext cx="5219700" cy="7496175"/>
                    </a:xfrm>
                    <a:prstGeom prst="rect">
                      <a:avLst/>
                    </a:prstGeom>
                  </pic:spPr>
                </pic:pic>
              </a:graphicData>
            </a:graphic>
          </wp:inline>
        </w:drawing>
      </w:r>
    </w:p>
    <w:p w:rsidR="002B65FB" w:rsidP="00A078AD" w14:paraId="61B97F43" w14:textId="77777777">
      <w:pPr>
        <w:jc w:val="center"/>
        <w:rPr>
          <w:szCs w:val="24"/>
        </w:rPr>
      </w:pPr>
    </w:p>
    <w:p w:rsidR="002B65FB" w:rsidP="00A078AD" w14:paraId="4D6FE020" w14:textId="429AE538">
      <w:pPr>
        <w:jc w:val="center"/>
        <w:rPr>
          <w:szCs w:val="24"/>
        </w:rPr>
      </w:pPr>
      <w:r>
        <w:rPr>
          <w:noProof/>
        </w:rPr>
        <w:drawing>
          <wp:inline distT="0" distB="0" distL="0" distR="0">
            <wp:extent cx="5353050" cy="5029200"/>
            <wp:effectExtent l="0" t="0" r="0" b="0"/>
            <wp:docPr id="1127116514"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16514" name="Picture 1" descr="Text, letter&#10;&#10;AI-generated content may be incorrect."/>
                    <pic:cNvPicPr/>
                  </pic:nvPicPr>
                  <pic:blipFill>
                    <a:blip xmlns:r="http://schemas.openxmlformats.org/officeDocument/2006/relationships" r:embed="rId64"/>
                    <a:stretch>
                      <a:fillRect/>
                    </a:stretch>
                  </pic:blipFill>
                  <pic:spPr>
                    <a:xfrm>
                      <a:off x="0" y="0"/>
                      <a:ext cx="5353050" cy="5029200"/>
                    </a:xfrm>
                    <a:prstGeom prst="rect">
                      <a:avLst/>
                    </a:prstGeom>
                  </pic:spPr>
                </pic:pic>
              </a:graphicData>
            </a:graphic>
          </wp:inline>
        </w:drawing>
      </w:r>
    </w:p>
    <w:p w:rsidR="008901B8" w:rsidP="00A078AD" w14:paraId="46F240EC" w14:textId="77777777">
      <w:pPr>
        <w:jc w:val="center"/>
        <w:rPr>
          <w:szCs w:val="24"/>
        </w:rPr>
      </w:pPr>
    </w:p>
    <w:p w:rsidR="008901B8" w:rsidP="00A078AD" w14:paraId="738F79B0" w14:textId="13B8D719">
      <w:pPr>
        <w:jc w:val="center"/>
        <w:rPr>
          <w:szCs w:val="24"/>
        </w:rPr>
      </w:pPr>
    </w:p>
    <w:p w:rsidR="00C07ED9" w:rsidP="00F66494" w14:paraId="3FBD6338" w14:textId="707F361F">
      <w:pPr>
        <w:rPr>
          <w:b/>
          <w:sz w:val="22"/>
          <w:szCs w:val="22"/>
        </w:rPr>
      </w:pPr>
      <w:r>
        <w:rPr>
          <w:szCs w:val="24"/>
        </w:rPr>
        <w:br w:type="page"/>
      </w:r>
    </w:p>
    <w:p w:rsidR="00C07ED9" w:rsidP="00D8122F" w14:paraId="2CC58F54" w14:textId="2754FF96">
      <w:pPr>
        <w:spacing w:after="120"/>
        <w:jc w:val="center"/>
        <w:rPr>
          <w:b/>
          <w:sz w:val="22"/>
          <w:szCs w:val="22"/>
        </w:rPr>
        <w:sectPr w:rsidSect="00FC1050">
          <w:footnotePr>
            <w:numRestart w:val="eachSect"/>
          </w:footnotePr>
          <w:pgSz w:w="12240" w:h="15840" w:code="1"/>
          <w:pgMar w:top="990" w:right="1620" w:bottom="1152" w:left="1440" w:header="720" w:footer="720" w:gutter="0"/>
          <w:cols w:space="720"/>
          <w:titlePg/>
          <w:docGrid w:linePitch="326"/>
        </w:sectPr>
      </w:pPr>
    </w:p>
    <w:p w:rsidR="00EA1FB8" w:rsidP="00EA1FB8" w14:paraId="3218600F" w14:textId="3BFBDC79">
      <w:pPr>
        <w:pStyle w:val="Heading2"/>
        <w:jc w:val="left"/>
        <w:rPr>
          <w:rFonts w:ascii="Times New Roman" w:hAnsi="Times New Roman" w:cs="Times New Roman"/>
          <w:sz w:val="28"/>
          <w:szCs w:val="28"/>
        </w:rPr>
      </w:pPr>
      <w:bookmarkStart w:id="46" w:name="_Toc467000240"/>
      <w:bookmarkStart w:id="47" w:name="_Toc85811535"/>
      <w:bookmarkStart w:id="48" w:name="_Toc216960436"/>
      <w:r w:rsidRPr="00814672">
        <w:rPr>
          <w:rFonts w:ascii="Times New Roman" w:hAnsi="Times New Roman" w:cs="Times New Roman"/>
          <w:sz w:val="28"/>
          <w:szCs w:val="28"/>
        </w:rPr>
        <w:t>Independent Auditor’s Report on Compliance with Laws, Regulations</w:t>
      </w:r>
      <w:bookmarkEnd w:id="46"/>
      <w:r w:rsidRPr="00814672">
        <w:rPr>
          <w:rFonts w:ascii="Times New Roman" w:hAnsi="Times New Roman" w:cs="Times New Roman"/>
          <w:sz w:val="28"/>
          <w:szCs w:val="28"/>
        </w:rPr>
        <w:t>,  Contracts</w:t>
      </w:r>
      <w:bookmarkEnd w:id="47"/>
      <w:r w:rsidRPr="00814672" w:rsidR="00A078AD">
        <w:rPr>
          <w:rFonts w:ascii="Times New Roman" w:hAnsi="Times New Roman" w:cs="Times New Roman"/>
          <w:sz w:val="28"/>
          <w:szCs w:val="28"/>
        </w:rPr>
        <w:t>, and Grant Agreements</w:t>
      </w:r>
      <w:bookmarkEnd w:id="48"/>
      <w:r>
        <w:rPr>
          <w:rFonts w:ascii="Times New Roman" w:hAnsi="Times New Roman" w:cs="Times New Roman"/>
          <w:sz w:val="28"/>
          <w:szCs w:val="28"/>
        </w:rPr>
        <w:t xml:space="preserve">  </w:t>
      </w:r>
    </w:p>
    <w:p w:rsidR="002C761A" w:rsidRPr="002C761A" w:rsidP="002C761A" w14:paraId="1033DD1F" w14:textId="77777777"/>
    <w:p w:rsidR="00EA1FB8" w:rsidP="002B65FB" w14:paraId="6C29F16B" w14:textId="368A2195">
      <w:pPr>
        <w:jc w:val="center"/>
      </w:pPr>
      <w:r>
        <w:rPr>
          <w:noProof/>
        </w:rPr>
        <w:drawing>
          <wp:inline distT="0" distB="0" distL="0" distR="0">
            <wp:extent cx="5524500" cy="7562850"/>
            <wp:effectExtent l="0" t="0" r="0" b="0"/>
            <wp:docPr id="739673660"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73660" name="Picture 1" descr="Graphical user interface, text&#10;&#10;AI-generated content may be incorrect."/>
                    <pic:cNvPicPr/>
                  </pic:nvPicPr>
                  <pic:blipFill>
                    <a:blip xmlns:r="http://schemas.openxmlformats.org/officeDocument/2006/relationships" r:embed="rId65"/>
                    <a:stretch>
                      <a:fillRect/>
                    </a:stretch>
                  </pic:blipFill>
                  <pic:spPr>
                    <a:xfrm>
                      <a:off x="0" y="0"/>
                      <a:ext cx="5524500" cy="7562850"/>
                    </a:xfrm>
                    <a:prstGeom prst="rect">
                      <a:avLst/>
                    </a:prstGeom>
                  </pic:spPr>
                </pic:pic>
              </a:graphicData>
            </a:graphic>
          </wp:inline>
        </w:drawing>
      </w:r>
    </w:p>
    <w:p w:rsidR="002B65FB" w:rsidP="002B65FB" w14:paraId="55F33BD9" w14:textId="77777777">
      <w:pPr>
        <w:jc w:val="center"/>
      </w:pPr>
    </w:p>
    <w:p w:rsidR="002B65FB" w:rsidP="002B65FB" w14:paraId="49073DB3" w14:textId="77777777">
      <w:pPr>
        <w:jc w:val="center"/>
      </w:pPr>
    </w:p>
    <w:p w:rsidR="00EA1FB8" w:rsidP="00EA1FB8" w14:paraId="2B47CC75" w14:textId="77777777">
      <w:pPr>
        <w:spacing w:after="120"/>
        <w:rPr>
          <w:b/>
          <w:sz w:val="22"/>
          <w:szCs w:val="22"/>
        </w:rPr>
        <w:sectPr w:rsidSect="00FC1050">
          <w:headerReference w:type="default" r:id="rId66"/>
          <w:footerReference w:type="default" r:id="rId67"/>
          <w:footnotePr>
            <w:numRestart w:val="eachSect"/>
          </w:footnotePr>
          <w:pgSz w:w="12240" w:h="15840" w:code="1"/>
          <w:pgMar w:top="1152" w:right="1440" w:bottom="1152" w:left="1440" w:header="720" w:footer="720" w:gutter="0"/>
          <w:cols w:space="720"/>
          <w:titlePg/>
          <w:docGrid w:linePitch="326"/>
        </w:sectPr>
      </w:pPr>
    </w:p>
    <w:p w:rsidR="00EA1FB8" w:rsidP="00EA1FB8" w14:paraId="7C7B7B58" w14:textId="5D3695CC">
      <w:pPr>
        <w:pStyle w:val="Heading2"/>
        <w:jc w:val="left"/>
        <w:rPr>
          <w:rFonts w:ascii="Times New Roman" w:hAnsi="Times New Roman" w:cs="Times New Roman"/>
          <w:sz w:val="28"/>
          <w:szCs w:val="28"/>
        </w:rPr>
      </w:pPr>
      <w:bookmarkStart w:id="49" w:name="_Toc467000241"/>
      <w:bookmarkStart w:id="50" w:name="_Toc85811536"/>
      <w:bookmarkStart w:id="51" w:name="_Toc216960437"/>
      <w:r w:rsidRPr="006608A9">
        <w:rPr>
          <w:rFonts w:ascii="Times New Roman" w:hAnsi="Times New Roman" w:cs="Times New Roman"/>
          <w:sz w:val="28"/>
          <w:szCs w:val="28"/>
        </w:rPr>
        <w:t>Commission’s Response to Independent Auditors</w:t>
      </w:r>
      <w:r w:rsidR="009B0BB1">
        <w:rPr>
          <w:rFonts w:ascii="Times New Roman" w:hAnsi="Times New Roman" w:cs="Times New Roman"/>
          <w:sz w:val="28"/>
          <w:szCs w:val="28"/>
        </w:rPr>
        <w:t>’</w:t>
      </w:r>
      <w:r w:rsidRPr="006608A9">
        <w:rPr>
          <w:rFonts w:ascii="Times New Roman" w:hAnsi="Times New Roman" w:cs="Times New Roman"/>
          <w:sz w:val="28"/>
          <w:szCs w:val="28"/>
        </w:rPr>
        <w:t xml:space="preserve"> Reports</w:t>
      </w:r>
      <w:bookmarkEnd w:id="49"/>
      <w:bookmarkEnd w:id="50"/>
      <w:bookmarkEnd w:id="51"/>
    </w:p>
    <w:p w:rsidR="00EA1FB8" w:rsidP="00EA1FB8" w14:paraId="2837CCD1" w14:textId="007EFF23">
      <w:pPr>
        <w:rPr>
          <w:sz w:val="22"/>
          <w:szCs w:val="22"/>
        </w:rPr>
      </w:pPr>
    </w:p>
    <w:p w:rsidR="007061AF" w:rsidP="00F6268A" w14:paraId="59E9637E" w14:textId="590EC2F5">
      <w:pPr>
        <w:jc w:val="center"/>
        <w:rPr>
          <w:sz w:val="22"/>
          <w:szCs w:val="22"/>
        </w:rPr>
      </w:pPr>
    </w:p>
    <w:p w:rsidR="007061AF" w:rsidRPr="00A57570" w:rsidP="00F6268A" w14:paraId="7135A683" w14:textId="055D3F47">
      <w:pPr>
        <w:jc w:val="center"/>
        <w:rPr>
          <w:sz w:val="22"/>
          <w:szCs w:val="22"/>
        </w:rPr>
      </w:pPr>
      <w:r>
        <w:rPr>
          <w:noProof/>
          <w:sz w:val="22"/>
          <w:szCs w:val="22"/>
        </w:rPr>
        <w:drawing>
          <wp:inline distT="0" distB="0" distL="0" distR="0">
            <wp:extent cx="4993005" cy="6687820"/>
            <wp:effectExtent l="0" t="0" r="0" b="0"/>
            <wp:docPr id="815080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80053" name="Picture 2"/>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4993005" cy="6687820"/>
                    </a:xfrm>
                    <a:prstGeom prst="rect">
                      <a:avLst/>
                    </a:prstGeom>
                    <a:noFill/>
                  </pic:spPr>
                </pic:pic>
              </a:graphicData>
            </a:graphic>
          </wp:inline>
        </w:drawing>
      </w:r>
    </w:p>
    <w:p w:rsidR="002D614F" w:rsidP="00EA1FB8" w14:paraId="6855F727" w14:textId="22356F0B">
      <w:pPr>
        <w:spacing w:after="120"/>
        <w:jc w:val="center"/>
        <w:rPr>
          <w:b/>
          <w:sz w:val="22"/>
          <w:szCs w:val="22"/>
        </w:rPr>
        <w:sectPr w:rsidSect="003403C1">
          <w:headerReference w:type="default" r:id="rId69"/>
          <w:footerReference w:type="default" r:id="rId70"/>
          <w:footnotePr>
            <w:numRestart w:val="eachSect"/>
          </w:footnotePr>
          <w:pgSz w:w="12240" w:h="15840" w:code="1"/>
          <w:pgMar w:top="1152" w:right="1296" w:bottom="1152" w:left="1296" w:header="720" w:footer="720" w:gutter="0"/>
          <w:cols w:space="720"/>
          <w:titlePg/>
          <w:docGrid w:linePitch="326"/>
        </w:sectPr>
      </w:pPr>
    </w:p>
    <w:p w:rsidR="00207811" w:rsidRPr="00207811" w:rsidP="00207811" w14:paraId="625F5FD1" w14:textId="77777777">
      <w:pPr>
        <w:keepNext/>
        <w:autoSpaceDE w:val="0"/>
        <w:autoSpaceDN w:val="0"/>
        <w:adjustRightInd w:val="0"/>
        <w:outlineLvl w:val="1"/>
        <w:rPr>
          <w:b/>
          <w:bCs/>
          <w:color w:val="000000"/>
          <w:sz w:val="28"/>
          <w:szCs w:val="28"/>
        </w:rPr>
      </w:pPr>
      <w:bookmarkStart w:id="52" w:name="_Toc54589760"/>
      <w:bookmarkStart w:id="53" w:name="_Toc87890164"/>
      <w:bookmarkStart w:id="54" w:name="_Toc150949598"/>
      <w:bookmarkStart w:id="55" w:name="_Toc216960438"/>
      <w:bookmarkEnd w:id="1"/>
      <w:r w:rsidRPr="00207811">
        <w:rPr>
          <w:b/>
          <w:bCs/>
          <w:color w:val="000000"/>
          <w:sz w:val="28"/>
          <w:szCs w:val="28"/>
        </w:rPr>
        <w:t>Principal Statements</w:t>
      </w:r>
      <w:bookmarkEnd w:id="52"/>
      <w:bookmarkEnd w:id="53"/>
      <w:bookmarkEnd w:id="54"/>
      <w:bookmarkEnd w:id="55"/>
    </w:p>
    <w:p w:rsidR="00207811" w:rsidRPr="00207811" w:rsidP="00207811" w14:paraId="7FEBCDB5" w14:textId="77777777">
      <w:pPr>
        <w:widowControl w:val="0"/>
        <w:overflowPunct w:val="0"/>
        <w:autoSpaceDE w:val="0"/>
        <w:autoSpaceDN w:val="0"/>
        <w:adjustRightInd w:val="0"/>
        <w:jc w:val="both"/>
        <w:textAlignment w:val="baseline"/>
        <w:rPr>
          <w:rFonts w:ascii="Times New Roman Bold" w:hAnsi="Times New Roman Bold"/>
          <w:b/>
          <w:color w:val="000000"/>
          <w:szCs w:val="24"/>
        </w:rPr>
      </w:pPr>
      <w:bookmarkStart w:id="56" w:name="_Toc65551538"/>
      <w:bookmarkStart w:id="57" w:name="_Toc65660146"/>
      <w:bookmarkStart w:id="58" w:name="_Toc68601242"/>
      <w:bookmarkStart w:id="59" w:name="_Toc68601367"/>
      <w:bookmarkStart w:id="60" w:name="_Toc70736766"/>
      <w:bookmarkStart w:id="61" w:name="_Toc65322703"/>
      <w:bookmarkStart w:id="62" w:name="_Toc65323498"/>
      <w:bookmarkStart w:id="63" w:name="_Toc65325549"/>
      <w:bookmarkStart w:id="64" w:name="_Toc65548733"/>
      <w:r w:rsidRPr="00207811">
        <w:rPr>
          <w:rFonts w:ascii="Times New Roman Bold" w:hAnsi="Times New Roman Bold"/>
          <w:b/>
          <w:color w:val="000000"/>
          <w:szCs w:val="24"/>
        </w:rPr>
        <w:t>Federal Communications Commission</w:t>
      </w:r>
    </w:p>
    <w:p w:rsidR="00207811" w:rsidRPr="00207811" w:rsidP="00207811" w14:paraId="143FA878" w14:textId="77777777">
      <w:pPr>
        <w:keepNext/>
        <w:outlineLvl w:val="2"/>
        <w:rPr>
          <w:b/>
          <w:bCs/>
          <w:szCs w:val="24"/>
        </w:rPr>
      </w:pPr>
      <w:bookmarkStart w:id="65" w:name="_Toc54589761"/>
      <w:bookmarkStart w:id="66" w:name="_Toc87890165"/>
      <w:bookmarkStart w:id="67" w:name="_Toc150949599"/>
      <w:bookmarkStart w:id="68" w:name="_Toc216960439"/>
      <w:r w:rsidRPr="00207811">
        <w:rPr>
          <w:b/>
          <w:bCs/>
          <w:szCs w:val="24"/>
        </w:rPr>
        <w:t>Consolidated Balance Sheet</w:t>
      </w:r>
      <w:bookmarkEnd w:id="65"/>
      <w:bookmarkEnd w:id="66"/>
      <w:bookmarkEnd w:id="67"/>
      <w:bookmarkEnd w:id="68"/>
    </w:p>
    <w:p w:rsidR="00207811" w:rsidRPr="00207811" w:rsidP="00207811" w14:paraId="692EC60E" w14:textId="77777777">
      <w:pPr>
        <w:rPr>
          <w:sz w:val="22"/>
          <w:szCs w:val="22"/>
        </w:rPr>
      </w:pPr>
      <w:bookmarkStart w:id="69" w:name="_Toc65551531"/>
      <w:bookmarkStart w:id="70" w:name="_Toc65660139"/>
      <w:bookmarkStart w:id="71" w:name="_Toc68601235"/>
      <w:bookmarkStart w:id="72" w:name="_Toc68601360"/>
      <w:bookmarkStart w:id="73" w:name="_Toc70736759"/>
      <w:bookmarkStart w:id="74" w:name="_Toc73190388"/>
      <w:bookmarkStart w:id="75" w:name="_Toc65325541"/>
      <w:bookmarkStart w:id="76" w:name="_Toc65548726"/>
      <w:bookmarkEnd w:id="56"/>
      <w:bookmarkEnd w:id="57"/>
      <w:bookmarkEnd w:id="58"/>
      <w:bookmarkEnd w:id="59"/>
      <w:bookmarkEnd w:id="60"/>
      <w:bookmarkEnd w:id="61"/>
      <w:bookmarkEnd w:id="62"/>
      <w:bookmarkEnd w:id="63"/>
      <w:bookmarkEnd w:id="64"/>
      <w:r w:rsidRPr="00207811">
        <w:rPr>
          <w:sz w:val="22"/>
          <w:szCs w:val="22"/>
        </w:rPr>
        <w:t xml:space="preserve">As of September 30, 2025 </w:t>
      </w:r>
    </w:p>
    <w:p w:rsidR="00207811" w:rsidRPr="00207811" w:rsidP="00207811" w14:paraId="4270E559" w14:textId="77777777">
      <w:pPr>
        <w:widowControl w:val="0"/>
        <w:overflowPunct w:val="0"/>
        <w:autoSpaceDE w:val="0"/>
        <w:autoSpaceDN w:val="0"/>
        <w:adjustRightInd w:val="0"/>
        <w:jc w:val="both"/>
        <w:textAlignment w:val="baseline"/>
        <w:rPr>
          <w:sz w:val="22"/>
          <w:szCs w:val="22"/>
        </w:rPr>
      </w:pPr>
      <w:r w:rsidRPr="00207811">
        <w:rPr>
          <w:sz w:val="22"/>
          <w:szCs w:val="22"/>
        </w:rPr>
        <w:t>(Dollars in Thousands)</w:t>
      </w:r>
    </w:p>
    <w:p w:rsidR="00207811" w:rsidRPr="00207811" w:rsidP="00207811" w14:paraId="001B4E25" w14:textId="77777777">
      <w:pPr>
        <w:widowControl w:val="0"/>
        <w:overflowPunct w:val="0"/>
        <w:autoSpaceDE w:val="0"/>
        <w:autoSpaceDN w:val="0"/>
        <w:adjustRightInd w:val="0"/>
        <w:jc w:val="center"/>
        <w:textAlignment w:val="baseline"/>
        <w:rPr>
          <w:sz w:val="22"/>
          <w:szCs w:val="22"/>
        </w:rPr>
      </w:pPr>
      <w:r w:rsidRPr="00207811">
        <w:rPr>
          <w:noProof/>
        </w:rPr>
        <w:drawing>
          <wp:inline distT="0" distB="0" distL="0" distR="0">
            <wp:extent cx="4741334" cy="7310086"/>
            <wp:effectExtent l="0" t="0" r="2540" b="5715"/>
            <wp:docPr id="11157533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53346" name="Picture 8"/>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53617" cy="7329024"/>
                    </a:xfrm>
                    <a:prstGeom prst="rect">
                      <a:avLst/>
                    </a:prstGeom>
                    <a:noFill/>
                    <a:ln>
                      <a:noFill/>
                    </a:ln>
                  </pic:spPr>
                </pic:pic>
              </a:graphicData>
            </a:graphic>
          </wp:inline>
        </w:drawing>
      </w:r>
    </w:p>
    <w:p w:rsidR="00207811" w:rsidRPr="00207811" w:rsidP="00207811" w14:paraId="32918782" w14:textId="77777777">
      <w:pPr>
        <w:widowControl w:val="0"/>
        <w:overflowPunct w:val="0"/>
        <w:autoSpaceDE w:val="0"/>
        <w:autoSpaceDN w:val="0"/>
        <w:adjustRightInd w:val="0"/>
        <w:jc w:val="center"/>
        <w:textAlignment w:val="baseline"/>
        <w:rPr>
          <w:sz w:val="22"/>
          <w:szCs w:val="22"/>
        </w:rPr>
        <w:sectPr w:rsidSect="00207811">
          <w:headerReference w:type="default" r:id="rId72"/>
          <w:footerReference w:type="default" r:id="rId73"/>
          <w:pgSz w:w="12240" w:h="15840" w:code="1"/>
          <w:pgMar w:top="1260" w:right="1440" w:bottom="1350" w:left="1440" w:header="450" w:footer="720" w:gutter="0"/>
          <w:cols w:space="720"/>
        </w:sectPr>
      </w:pPr>
      <w:r w:rsidRPr="00207811">
        <w:rPr>
          <w:sz w:val="22"/>
          <w:szCs w:val="22"/>
        </w:rPr>
        <w:t>The accompanying notes are an integral part of these statements.</w:t>
      </w:r>
    </w:p>
    <w:p w:rsidR="00207811" w:rsidRPr="00207811" w:rsidP="00207811" w14:paraId="14084432" w14:textId="77777777">
      <w:pPr>
        <w:widowControl w:val="0"/>
        <w:overflowPunct w:val="0"/>
        <w:autoSpaceDE w:val="0"/>
        <w:autoSpaceDN w:val="0"/>
        <w:adjustRightInd w:val="0"/>
        <w:jc w:val="both"/>
        <w:textAlignment w:val="baseline"/>
        <w:rPr>
          <w:rFonts w:ascii="Times New Roman Bold" w:hAnsi="Times New Roman Bold"/>
          <w:b/>
          <w:color w:val="000000"/>
          <w:szCs w:val="24"/>
        </w:rPr>
      </w:pPr>
      <w:r w:rsidRPr="00207811">
        <w:rPr>
          <w:rFonts w:ascii="Times New Roman Bold" w:hAnsi="Times New Roman Bold"/>
          <w:b/>
          <w:color w:val="000000"/>
          <w:szCs w:val="24"/>
        </w:rPr>
        <w:t>Federal Communications Commission</w:t>
      </w:r>
    </w:p>
    <w:p w:rsidR="00207811" w:rsidRPr="00207811" w:rsidP="00207811" w14:paraId="1C2CFC58" w14:textId="77777777">
      <w:pPr>
        <w:keepNext/>
        <w:outlineLvl w:val="2"/>
        <w:rPr>
          <w:b/>
          <w:bCs/>
          <w:szCs w:val="24"/>
        </w:rPr>
      </w:pPr>
      <w:bookmarkStart w:id="77" w:name="_Toc54589762"/>
      <w:bookmarkStart w:id="78" w:name="_Toc87890166"/>
      <w:bookmarkStart w:id="79" w:name="_Toc150949600"/>
      <w:bookmarkStart w:id="80" w:name="_Toc216960440"/>
      <w:r w:rsidRPr="00207811">
        <w:rPr>
          <w:b/>
          <w:bCs/>
          <w:szCs w:val="24"/>
        </w:rPr>
        <w:t>Consolidated Statement of Net Cost</w:t>
      </w:r>
      <w:bookmarkEnd w:id="69"/>
      <w:bookmarkEnd w:id="70"/>
      <w:bookmarkEnd w:id="71"/>
      <w:bookmarkEnd w:id="72"/>
      <w:bookmarkEnd w:id="73"/>
      <w:bookmarkEnd w:id="74"/>
      <w:bookmarkEnd w:id="77"/>
      <w:bookmarkEnd w:id="78"/>
      <w:bookmarkEnd w:id="79"/>
      <w:bookmarkEnd w:id="80"/>
    </w:p>
    <w:p w:rsidR="00207811" w:rsidRPr="00207811" w:rsidP="00207811" w14:paraId="04D98F11" w14:textId="77777777">
      <w:pPr>
        <w:widowControl w:val="0"/>
        <w:overflowPunct w:val="0"/>
        <w:autoSpaceDE w:val="0"/>
        <w:autoSpaceDN w:val="0"/>
        <w:adjustRightInd w:val="0"/>
        <w:jc w:val="both"/>
        <w:textAlignment w:val="baseline"/>
        <w:rPr>
          <w:sz w:val="22"/>
          <w:szCs w:val="22"/>
        </w:rPr>
      </w:pPr>
      <w:bookmarkStart w:id="81" w:name="_Toc65325542"/>
      <w:bookmarkStart w:id="82" w:name="_Toc65325543"/>
      <w:bookmarkStart w:id="83" w:name="_Toc65548727"/>
      <w:bookmarkStart w:id="84" w:name="_Toc73190391"/>
      <w:bookmarkStart w:id="85" w:name="_Toc73190392"/>
      <w:bookmarkEnd w:id="75"/>
      <w:bookmarkEnd w:id="76"/>
      <w:r w:rsidRPr="00207811">
        <w:rPr>
          <w:sz w:val="22"/>
          <w:szCs w:val="22"/>
        </w:rPr>
        <w:t>For the Year Ended September 30, 2025</w:t>
      </w:r>
    </w:p>
    <w:p w:rsidR="00207811" w:rsidRPr="00207811" w:rsidP="00207811" w14:paraId="29524383" w14:textId="77777777">
      <w:pPr>
        <w:widowControl w:val="0"/>
        <w:overflowPunct w:val="0"/>
        <w:autoSpaceDE w:val="0"/>
        <w:autoSpaceDN w:val="0"/>
        <w:adjustRightInd w:val="0"/>
        <w:jc w:val="both"/>
        <w:textAlignment w:val="baseline"/>
        <w:rPr>
          <w:sz w:val="22"/>
          <w:szCs w:val="22"/>
        </w:rPr>
      </w:pPr>
      <w:r w:rsidRPr="00207811">
        <w:rPr>
          <w:sz w:val="22"/>
          <w:szCs w:val="22"/>
        </w:rPr>
        <w:t>(Dollars in Thousands)</w:t>
      </w:r>
    </w:p>
    <w:p w:rsidR="00207811" w:rsidRPr="00207811" w:rsidP="00207811" w14:paraId="53F4C53E" w14:textId="77777777">
      <w:pPr>
        <w:jc w:val="center"/>
      </w:pPr>
    </w:p>
    <w:p w:rsidR="00207811" w:rsidRPr="00207811" w:rsidP="00207811" w14:paraId="703FAE64" w14:textId="77777777">
      <w:pPr>
        <w:jc w:val="center"/>
      </w:pPr>
      <w:r w:rsidRPr="00207811">
        <w:rPr>
          <w:noProof/>
        </w:rPr>
        <w:drawing>
          <wp:inline distT="0" distB="0" distL="0" distR="0">
            <wp:extent cx="5943600" cy="3902710"/>
            <wp:effectExtent l="0" t="0" r="0" b="2540"/>
            <wp:docPr id="30813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37563" name="Picture 1"/>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902710"/>
                    </a:xfrm>
                    <a:prstGeom prst="rect">
                      <a:avLst/>
                    </a:prstGeom>
                    <a:noFill/>
                    <a:ln>
                      <a:noFill/>
                    </a:ln>
                  </pic:spPr>
                </pic:pic>
              </a:graphicData>
            </a:graphic>
          </wp:inline>
        </w:drawing>
      </w:r>
    </w:p>
    <w:p w:rsidR="00207811" w:rsidRPr="00207811" w:rsidP="00207811" w14:paraId="56122E7C" w14:textId="77777777">
      <w:pPr>
        <w:jc w:val="center"/>
      </w:pPr>
    </w:p>
    <w:p w:rsidR="00207811" w:rsidRPr="00207811" w:rsidP="00207811" w14:paraId="128E2424" w14:textId="77777777">
      <w:pPr>
        <w:jc w:val="center"/>
      </w:pPr>
    </w:p>
    <w:p w:rsidR="00207811" w:rsidRPr="00207811" w:rsidP="00207811" w14:paraId="720D2B6D" w14:textId="77777777">
      <w:pPr>
        <w:jc w:val="center"/>
      </w:pPr>
    </w:p>
    <w:p w:rsidR="00207811" w:rsidRPr="00207811" w:rsidP="00207811" w14:paraId="7E47F732" w14:textId="77777777">
      <w:pPr>
        <w:jc w:val="center"/>
      </w:pPr>
    </w:p>
    <w:p w:rsidR="00207811" w:rsidRPr="00207811" w:rsidP="00207811" w14:paraId="29E32A15" w14:textId="77777777">
      <w:pPr>
        <w:jc w:val="center"/>
      </w:pPr>
    </w:p>
    <w:p w:rsidR="00207811" w:rsidRPr="00207811" w:rsidP="00207811" w14:paraId="0AD23748" w14:textId="77777777">
      <w:pPr>
        <w:jc w:val="center"/>
      </w:pPr>
    </w:p>
    <w:p w:rsidR="00207811" w:rsidRPr="00207811" w:rsidP="00207811" w14:paraId="3D9F7BDB" w14:textId="77777777">
      <w:pPr>
        <w:jc w:val="center"/>
      </w:pPr>
    </w:p>
    <w:p w:rsidR="00207811" w:rsidRPr="00207811" w:rsidP="00207811" w14:paraId="2A5F4AF7" w14:textId="77777777">
      <w:pPr>
        <w:jc w:val="center"/>
      </w:pPr>
    </w:p>
    <w:p w:rsidR="00207811" w:rsidRPr="00207811" w:rsidP="00207811" w14:paraId="24CBA75F" w14:textId="77777777">
      <w:pPr>
        <w:jc w:val="center"/>
      </w:pPr>
    </w:p>
    <w:p w:rsidR="00207811" w:rsidRPr="00207811" w:rsidP="00207811" w14:paraId="33E09F7C" w14:textId="77777777">
      <w:pPr>
        <w:jc w:val="center"/>
      </w:pPr>
    </w:p>
    <w:p w:rsidR="00207811" w:rsidRPr="00207811" w:rsidP="00207811" w14:paraId="4B5325D2" w14:textId="77777777">
      <w:pPr>
        <w:jc w:val="center"/>
      </w:pPr>
    </w:p>
    <w:p w:rsidR="00207811" w:rsidRPr="00207811" w:rsidP="00207811" w14:paraId="4FDED7F5" w14:textId="77777777">
      <w:pPr>
        <w:jc w:val="center"/>
      </w:pPr>
    </w:p>
    <w:p w:rsidR="00207811" w:rsidRPr="00207811" w:rsidP="00207811" w14:paraId="330FB6B5" w14:textId="77777777">
      <w:pPr>
        <w:jc w:val="center"/>
      </w:pPr>
    </w:p>
    <w:p w:rsidR="00207811" w:rsidRPr="00207811" w:rsidP="00207811" w14:paraId="7CE11C63" w14:textId="77777777">
      <w:pPr>
        <w:jc w:val="center"/>
      </w:pPr>
    </w:p>
    <w:p w:rsidR="00207811" w:rsidRPr="00207811" w:rsidP="00207811" w14:paraId="630AEB9D" w14:textId="77777777">
      <w:pPr>
        <w:jc w:val="center"/>
      </w:pPr>
    </w:p>
    <w:p w:rsidR="00207811" w:rsidRPr="00207811" w:rsidP="00207811" w14:paraId="34FDC45F" w14:textId="77777777">
      <w:pPr>
        <w:jc w:val="center"/>
      </w:pPr>
    </w:p>
    <w:p w:rsidR="00207811" w:rsidRPr="00207811" w:rsidP="00207811" w14:paraId="06633E4B" w14:textId="77777777">
      <w:pPr>
        <w:jc w:val="center"/>
      </w:pPr>
    </w:p>
    <w:p w:rsidR="00207811" w:rsidRPr="00207811" w:rsidP="00207811" w14:paraId="28596531" w14:textId="77777777">
      <w:pPr>
        <w:jc w:val="center"/>
      </w:pPr>
    </w:p>
    <w:p w:rsidR="00207811" w:rsidRPr="00207811" w:rsidP="00207811" w14:paraId="088BC725" w14:textId="77777777">
      <w:pPr>
        <w:jc w:val="center"/>
        <w:rPr>
          <w:sz w:val="22"/>
          <w:szCs w:val="22"/>
        </w:rPr>
        <w:sectPr w:rsidSect="00207811">
          <w:pgSz w:w="12240" w:h="15840" w:code="1"/>
          <w:pgMar w:top="1440" w:right="1440" w:bottom="1440" w:left="1440" w:header="720" w:footer="720" w:gutter="0"/>
          <w:cols w:space="720"/>
        </w:sectPr>
      </w:pPr>
      <w:r w:rsidRPr="00207811">
        <w:rPr>
          <w:sz w:val="22"/>
          <w:szCs w:val="22"/>
        </w:rPr>
        <w:t>The accompanying notes are an integral part of these statements.</w:t>
      </w:r>
    </w:p>
    <w:bookmarkEnd w:id="81"/>
    <w:p w:rsidR="00207811" w:rsidRPr="00207811" w:rsidP="00207811" w14:paraId="75638EB6" w14:textId="77777777">
      <w:pPr>
        <w:widowControl w:val="0"/>
        <w:overflowPunct w:val="0"/>
        <w:autoSpaceDE w:val="0"/>
        <w:autoSpaceDN w:val="0"/>
        <w:adjustRightInd w:val="0"/>
        <w:textAlignment w:val="baseline"/>
        <w:rPr>
          <w:b/>
          <w:szCs w:val="24"/>
        </w:rPr>
      </w:pPr>
      <w:r w:rsidRPr="00207811">
        <w:rPr>
          <w:b/>
          <w:szCs w:val="24"/>
        </w:rPr>
        <w:t>Federal Communications Commission</w:t>
      </w:r>
    </w:p>
    <w:p w:rsidR="00207811" w:rsidRPr="00207811" w:rsidP="00207811" w14:paraId="0766C5C5" w14:textId="77777777">
      <w:pPr>
        <w:keepNext/>
        <w:outlineLvl w:val="2"/>
        <w:rPr>
          <w:b/>
          <w:bCs/>
          <w:szCs w:val="24"/>
        </w:rPr>
      </w:pPr>
      <w:bookmarkStart w:id="86" w:name="_Toc54589763"/>
      <w:bookmarkStart w:id="87" w:name="_Toc87890167"/>
      <w:bookmarkStart w:id="88" w:name="_Toc150949601"/>
      <w:bookmarkStart w:id="89" w:name="_Toc216960441"/>
      <w:r w:rsidRPr="00207811">
        <w:rPr>
          <w:b/>
          <w:bCs/>
          <w:szCs w:val="24"/>
        </w:rPr>
        <w:t>Consolidated Statement of Changes in Net Position</w:t>
      </w:r>
      <w:bookmarkEnd w:id="86"/>
      <w:bookmarkEnd w:id="87"/>
      <w:r w:rsidRPr="00207811">
        <w:rPr>
          <w:b/>
          <w:bCs/>
          <w:szCs w:val="24"/>
        </w:rPr>
        <w:t xml:space="preserve"> </w:t>
      </w:r>
      <w:bookmarkStart w:id="90" w:name="_Hlk118362156"/>
      <w:r w:rsidRPr="00207811">
        <w:rPr>
          <w:b/>
          <w:bCs/>
          <w:szCs w:val="24"/>
        </w:rPr>
        <w:t>and Custodial Activity</w:t>
      </w:r>
      <w:bookmarkEnd w:id="88"/>
      <w:bookmarkEnd w:id="90"/>
      <w:bookmarkEnd w:id="89"/>
    </w:p>
    <w:p w:rsidR="00207811" w:rsidRPr="00207811" w:rsidP="00207811" w14:paraId="0CBDCE8B" w14:textId="77777777">
      <w:pPr>
        <w:widowControl w:val="0"/>
        <w:overflowPunct w:val="0"/>
        <w:autoSpaceDE w:val="0"/>
        <w:autoSpaceDN w:val="0"/>
        <w:adjustRightInd w:val="0"/>
        <w:jc w:val="both"/>
        <w:textAlignment w:val="baseline"/>
        <w:rPr>
          <w:sz w:val="22"/>
          <w:szCs w:val="22"/>
        </w:rPr>
      </w:pPr>
      <w:bookmarkStart w:id="91" w:name="_Toc65551533"/>
      <w:bookmarkStart w:id="92" w:name="_Toc65660141"/>
      <w:bookmarkStart w:id="93" w:name="_Toc68601237"/>
      <w:bookmarkStart w:id="94" w:name="_Toc68601362"/>
      <w:bookmarkStart w:id="95" w:name="_Toc70736761"/>
      <w:bookmarkStart w:id="96" w:name="_Toc73190393"/>
      <w:bookmarkStart w:id="97" w:name="_Toc65325546"/>
      <w:bookmarkStart w:id="98" w:name="_Toc65548730"/>
      <w:bookmarkEnd w:id="82"/>
      <w:bookmarkEnd w:id="83"/>
      <w:bookmarkEnd w:id="84"/>
      <w:bookmarkEnd w:id="85"/>
      <w:r w:rsidRPr="00207811">
        <w:rPr>
          <w:sz w:val="22"/>
          <w:szCs w:val="22"/>
        </w:rPr>
        <w:t xml:space="preserve">For the Year Ended September 30, 2025 </w:t>
      </w:r>
    </w:p>
    <w:p w:rsidR="00207811" w:rsidRPr="00207811" w:rsidP="00207811" w14:paraId="68A951E8" w14:textId="77777777">
      <w:pPr>
        <w:widowControl w:val="0"/>
        <w:overflowPunct w:val="0"/>
        <w:autoSpaceDE w:val="0"/>
        <w:autoSpaceDN w:val="0"/>
        <w:adjustRightInd w:val="0"/>
        <w:jc w:val="both"/>
        <w:textAlignment w:val="baseline"/>
        <w:rPr>
          <w:sz w:val="22"/>
          <w:szCs w:val="22"/>
        </w:rPr>
      </w:pPr>
      <w:r w:rsidRPr="00207811">
        <w:rPr>
          <w:sz w:val="22"/>
          <w:szCs w:val="22"/>
        </w:rPr>
        <w:t>(Dollars in Thousands)</w:t>
      </w:r>
    </w:p>
    <w:p w:rsidR="00207811" w:rsidRPr="00207811" w:rsidP="00207811" w14:paraId="42B81FF3" w14:textId="77777777">
      <w:pPr>
        <w:jc w:val="center"/>
        <w:rPr>
          <w:sz w:val="22"/>
          <w:szCs w:val="22"/>
        </w:rPr>
      </w:pPr>
      <w:r w:rsidRPr="00207811">
        <w:rPr>
          <w:noProof/>
        </w:rPr>
        <w:drawing>
          <wp:inline distT="0" distB="0" distL="0" distR="0">
            <wp:extent cx="5554133" cy="7349733"/>
            <wp:effectExtent l="0" t="0" r="8890" b="3810"/>
            <wp:docPr id="297719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19130" name="Picture 5"/>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bwMode="auto">
                    <a:xfrm>
                      <a:off x="0" y="0"/>
                      <a:ext cx="5564802" cy="7363851"/>
                    </a:xfrm>
                    <a:prstGeom prst="rect">
                      <a:avLst/>
                    </a:prstGeom>
                    <a:noFill/>
                    <a:ln>
                      <a:noFill/>
                    </a:ln>
                  </pic:spPr>
                </pic:pic>
              </a:graphicData>
            </a:graphic>
          </wp:inline>
        </w:drawing>
      </w:r>
    </w:p>
    <w:p w:rsidR="00207811" w:rsidRPr="00207811" w:rsidP="00207811" w14:paraId="2CAE91FC" w14:textId="77777777">
      <w:pPr>
        <w:jc w:val="center"/>
        <w:rPr>
          <w:sz w:val="22"/>
          <w:szCs w:val="22"/>
        </w:rPr>
      </w:pPr>
      <w:r w:rsidRPr="00207811">
        <w:rPr>
          <w:sz w:val="22"/>
          <w:szCs w:val="22"/>
        </w:rPr>
        <w:t>The accompanying notes are an integral part of these statements.</w:t>
      </w:r>
    </w:p>
    <w:p w:rsidR="00207811" w:rsidRPr="00207811" w:rsidP="00207811" w14:paraId="402328D1" w14:textId="77777777">
      <w:pPr>
        <w:rPr>
          <w:rFonts w:ascii="Times New Roman Bold" w:hAnsi="Times New Roman Bold"/>
          <w:b/>
          <w:szCs w:val="24"/>
        </w:rPr>
        <w:sectPr w:rsidSect="00207811">
          <w:headerReference w:type="default" r:id="rId76"/>
          <w:footerReference w:type="default" r:id="rId77"/>
          <w:pgSz w:w="12240" w:h="15840" w:code="1"/>
          <w:pgMar w:top="1440" w:right="1440" w:bottom="1440" w:left="1440" w:header="720" w:footer="720" w:gutter="0"/>
          <w:cols w:space="720"/>
        </w:sectPr>
      </w:pPr>
    </w:p>
    <w:p w:rsidR="00207811" w:rsidRPr="00207811" w:rsidP="00207811" w14:paraId="1FE1C394" w14:textId="77777777">
      <w:pPr>
        <w:rPr>
          <w:bCs/>
        </w:rPr>
      </w:pPr>
      <w:r w:rsidRPr="00207811">
        <w:rPr>
          <w:rFonts w:ascii="Times New Roman Bold" w:hAnsi="Times New Roman Bold"/>
          <w:b/>
          <w:szCs w:val="24"/>
        </w:rPr>
        <w:t>Federal Communications Commission</w:t>
      </w:r>
    </w:p>
    <w:p w:rsidR="00207811" w:rsidRPr="00207811" w:rsidP="00207811" w14:paraId="3318BC97" w14:textId="77777777">
      <w:pPr>
        <w:keepNext/>
        <w:outlineLvl w:val="2"/>
        <w:rPr>
          <w:b/>
          <w:bCs/>
          <w:szCs w:val="24"/>
        </w:rPr>
      </w:pPr>
      <w:bookmarkStart w:id="99" w:name="_Toc54589764"/>
      <w:bookmarkStart w:id="100" w:name="_Toc87890168"/>
      <w:bookmarkStart w:id="101" w:name="_Toc150949602"/>
      <w:bookmarkStart w:id="102" w:name="_Toc216960442"/>
      <w:r w:rsidRPr="00207811">
        <w:rPr>
          <w:b/>
          <w:bCs/>
          <w:szCs w:val="24"/>
        </w:rPr>
        <w:t>Combined Statement of Budgetary Resources</w:t>
      </w:r>
      <w:bookmarkEnd w:id="91"/>
      <w:bookmarkEnd w:id="92"/>
      <w:bookmarkEnd w:id="93"/>
      <w:bookmarkEnd w:id="94"/>
      <w:bookmarkEnd w:id="95"/>
      <w:bookmarkEnd w:id="96"/>
      <w:bookmarkEnd w:id="99"/>
      <w:bookmarkEnd w:id="100"/>
      <w:bookmarkEnd w:id="101"/>
      <w:bookmarkEnd w:id="102"/>
      <w:r w:rsidRPr="00207811">
        <w:rPr>
          <w:b/>
          <w:bCs/>
          <w:szCs w:val="24"/>
        </w:rPr>
        <w:t xml:space="preserve"> </w:t>
      </w:r>
    </w:p>
    <w:p w:rsidR="00207811" w:rsidRPr="00207811" w:rsidP="00207811" w14:paraId="5707ACB1" w14:textId="77777777">
      <w:pPr>
        <w:widowControl w:val="0"/>
        <w:overflowPunct w:val="0"/>
        <w:autoSpaceDE w:val="0"/>
        <w:autoSpaceDN w:val="0"/>
        <w:adjustRightInd w:val="0"/>
        <w:jc w:val="both"/>
        <w:textAlignment w:val="baseline"/>
        <w:rPr>
          <w:sz w:val="22"/>
          <w:szCs w:val="22"/>
        </w:rPr>
      </w:pPr>
      <w:bookmarkStart w:id="103" w:name="_Toc65551534"/>
      <w:bookmarkStart w:id="104" w:name="_Toc65660142"/>
      <w:bookmarkStart w:id="105" w:name="_Toc68601238"/>
      <w:bookmarkStart w:id="106" w:name="_Toc68601363"/>
      <w:bookmarkStart w:id="107" w:name="_Toc70736762"/>
      <w:bookmarkStart w:id="108" w:name="_Toc73190394"/>
      <w:r w:rsidRPr="00207811">
        <w:rPr>
          <w:sz w:val="22"/>
          <w:szCs w:val="22"/>
        </w:rPr>
        <w:t>For the Year Ended September 30, 2025</w:t>
      </w:r>
    </w:p>
    <w:p w:rsidR="00207811" w:rsidRPr="00207811" w:rsidP="00207811" w14:paraId="5C78F936" w14:textId="77777777">
      <w:pPr>
        <w:widowControl w:val="0"/>
        <w:overflowPunct w:val="0"/>
        <w:autoSpaceDE w:val="0"/>
        <w:autoSpaceDN w:val="0"/>
        <w:adjustRightInd w:val="0"/>
        <w:textAlignment w:val="baseline"/>
        <w:rPr>
          <w:sz w:val="22"/>
          <w:szCs w:val="22"/>
        </w:rPr>
      </w:pPr>
      <w:r w:rsidRPr="00207811">
        <w:rPr>
          <w:sz w:val="22"/>
          <w:szCs w:val="22"/>
        </w:rPr>
        <w:t xml:space="preserve">(Dollars in Thousands) </w:t>
      </w:r>
    </w:p>
    <w:p w:rsidR="00207811" w:rsidRPr="00207811" w:rsidP="00207811" w14:paraId="27FD7093" w14:textId="77777777"/>
    <w:p w:rsidR="00207811" w:rsidRPr="00207811" w:rsidP="00207811" w14:paraId="40D476B8" w14:textId="77777777">
      <w:pPr>
        <w:jc w:val="center"/>
      </w:pPr>
      <w:r w:rsidRPr="00207811">
        <w:rPr>
          <w:noProof/>
        </w:rPr>
        <w:drawing>
          <wp:inline distT="0" distB="0" distL="0" distR="0">
            <wp:extent cx="5824855" cy="5226685"/>
            <wp:effectExtent l="0" t="0" r="4445" b="0"/>
            <wp:docPr id="325298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98535" name="Picture 6"/>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4855" cy="5226685"/>
                    </a:xfrm>
                    <a:prstGeom prst="rect">
                      <a:avLst/>
                    </a:prstGeom>
                    <a:noFill/>
                    <a:ln>
                      <a:noFill/>
                    </a:ln>
                  </pic:spPr>
                </pic:pic>
              </a:graphicData>
            </a:graphic>
          </wp:inline>
        </w:drawing>
      </w:r>
    </w:p>
    <w:p w:rsidR="00207811" w:rsidRPr="00207811" w:rsidP="00207811" w14:paraId="31DB36FA" w14:textId="77777777"/>
    <w:p w:rsidR="00207811" w:rsidRPr="00207811" w:rsidP="00207811" w14:paraId="41D8EF42" w14:textId="77777777"/>
    <w:p w:rsidR="00207811" w:rsidRPr="00207811" w:rsidP="00207811" w14:paraId="3A5F9A08" w14:textId="77777777"/>
    <w:p w:rsidR="00207811" w:rsidRPr="00207811" w:rsidP="00207811" w14:paraId="00A503B2" w14:textId="77777777"/>
    <w:p w:rsidR="00207811" w:rsidRPr="00207811" w:rsidP="00207811" w14:paraId="558B6E86" w14:textId="77777777"/>
    <w:p w:rsidR="00207811" w:rsidRPr="00207811" w:rsidP="00207811" w14:paraId="611BE09F" w14:textId="77777777"/>
    <w:p w:rsidR="00207811" w:rsidRPr="00207811" w:rsidP="00207811" w14:paraId="0585262E" w14:textId="77777777"/>
    <w:p w:rsidR="00207811" w:rsidRPr="00207811" w:rsidP="00207811" w14:paraId="60167432" w14:textId="77777777"/>
    <w:p w:rsidR="00207811" w:rsidRPr="00207811" w:rsidP="00207811" w14:paraId="587498ED" w14:textId="77777777"/>
    <w:p w:rsidR="00207811" w:rsidRPr="00207811" w:rsidP="00207811" w14:paraId="0C1B921E" w14:textId="77777777"/>
    <w:p w:rsidR="00207811" w:rsidRPr="00207811" w:rsidP="00207811" w14:paraId="18C15075" w14:textId="77777777"/>
    <w:p w:rsidR="00207811" w:rsidRPr="00207811" w:rsidP="00207811" w14:paraId="4B385DE3" w14:textId="77777777">
      <w:pPr>
        <w:jc w:val="center"/>
        <w:rPr>
          <w:sz w:val="22"/>
          <w:szCs w:val="22"/>
        </w:rPr>
      </w:pPr>
      <w:r w:rsidRPr="00207811">
        <w:rPr>
          <w:sz w:val="22"/>
          <w:szCs w:val="22"/>
        </w:rPr>
        <w:t>The accompanying notes are an integral part of these statements.</w:t>
      </w:r>
      <w:r w:rsidRPr="00207811">
        <w:rPr>
          <w:sz w:val="22"/>
          <w:szCs w:val="22"/>
        </w:rPr>
        <w:br w:type="page"/>
      </w:r>
    </w:p>
    <w:p w:rsidR="00207811" w:rsidRPr="00207811" w:rsidP="00207811" w14:paraId="4C76AEF2" w14:textId="77777777">
      <w:pPr>
        <w:jc w:val="center"/>
        <w:sectPr w:rsidSect="00207811">
          <w:pgSz w:w="12240" w:h="15840" w:code="1"/>
          <w:pgMar w:top="1440" w:right="1440" w:bottom="1440" w:left="1440" w:header="720" w:footer="720" w:gutter="0"/>
          <w:cols w:space="720"/>
        </w:sectPr>
      </w:pPr>
      <w:bookmarkStart w:id="109" w:name="_Toc65325547"/>
      <w:bookmarkStart w:id="110" w:name="_Toc65548731"/>
      <w:bookmarkEnd w:id="97"/>
      <w:bookmarkEnd w:id="98"/>
      <w:bookmarkEnd w:id="103"/>
      <w:bookmarkEnd w:id="104"/>
      <w:bookmarkEnd w:id="105"/>
      <w:bookmarkEnd w:id="106"/>
      <w:bookmarkEnd w:id="107"/>
      <w:bookmarkEnd w:id="108"/>
    </w:p>
    <w:p w:rsidR="00207811" w:rsidRPr="00207811" w:rsidP="00207811" w14:paraId="00225FD2" w14:textId="77777777">
      <w:pPr>
        <w:keepNext/>
        <w:autoSpaceDE w:val="0"/>
        <w:autoSpaceDN w:val="0"/>
        <w:adjustRightInd w:val="0"/>
        <w:outlineLvl w:val="1"/>
        <w:rPr>
          <w:b/>
          <w:bCs/>
          <w:color w:val="000000"/>
          <w:sz w:val="28"/>
          <w:szCs w:val="28"/>
        </w:rPr>
      </w:pPr>
      <w:bookmarkStart w:id="111" w:name="_Toc65551536"/>
      <w:bookmarkStart w:id="112" w:name="_Toc65660144"/>
      <w:bookmarkStart w:id="113" w:name="_Toc68601240"/>
      <w:bookmarkStart w:id="114" w:name="_Toc68601365"/>
      <w:bookmarkStart w:id="115" w:name="_Toc70736764"/>
      <w:bookmarkStart w:id="116" w:name="_Toc73190396"/>
      <w:bookmarkStart w:id="117" w:name="_Toc54589766"/>
      <w:bookmarkStart w:id="118" w:name="_Toc87890170"/>
      <w:bookmarkStart w:id="119" w:name="_Toc150949603"/>
      <w:bookmarkStart w:id="120" w:name="_Toc216960443"/>
      <w:r w:rsidRPr="00207811">
        <w:rPr>
          <w:b/>
          <w:bCs/>
          <w:color w:val="000000"/>
          <w:sz w:val="28"/>
          <w:szCs w:val="28"/>
        </w:rPr>
        <w:t xml:space="preserve">Notes to the </w:t>
      </w:r>
      <w:bookmarkEnd w:id="109"/>
      <w:bookmarkEnd w:id="110"/>
      <w:bookmarkEnd w:id="111"/>
      <w:bookmarkEnd w:id="112"/>
      <w:bookmarkEnd w:id="113"/>
      <w:bookmarkEnd w:id="114"/>
      <w:bookmarkEnd w:id="115"/>
      <w:bookmarkEnd w:id="116"/>
      <w:r w:rsidRPr="00207811">
        <w:rPr>
          <w:b/>
          <w:bCs/>
          <w:color w:val="000000"/>
          <w:sz w:val="28"/>
          <w:szCs w:val="28"/>
        </w:rPr>
        <w:t>Principal Financial Statements</w:t>
      </w:r>
      <w:bookmarkEnd w:id="117"/>
      <w:bookmarkEnd w:id="118"/>
      <w:bookmarkEnd w:id="119"/>
      <w:bookmarkEnd w:id="120"/>
    </w:p>
    <w:p w:rsidR="00207811" w:rsidRPr="00207811" w:rsidP="00207811" w14:paraId="41C2AFF7" w14:textId="77777777">
      <w:pPr>
        <w:widowControl w:val="0"/>
        <w:overflowPunct w:val="0"/>
        <w:autoSpaceDE w:val="0"/>
        <w:autoSpaceDN w:val="0"/>
        <w:adjustRightInd w:val="0"/>
        <w:jc w:val="both"/>
        <w:textAlignment w:val="baseline"/>
        <w:rPr>
          <w:sz w:val="22"/>
          <w:szCs w:val="22"/>
        </w:rPr>
      </w:pPr>
      <w:bookmarkStart w:id="121" w:name="_Toc65322702"/>
      <w:bookmarkStart w:id="122" w:name="_Toc65323497"/>
      <w:bookmarkStart w:id="123" w:name="_Toc65325548"/>
      <w:bookmarkStart w:id="124" w:name="_Toc65548732"/>
      <w:bookmarkStart w:id="125" w:name="_Toc65551537"/>
      <w:bookmarkStart w:id="126" w:name="_Toc65660145"/>
      <w:bookmarkStart w:id="127" w:name="_Toc68601241"/>
      <w:bookmarkStart w:id="128" w:name="_Toc68601366"/>
      <w:bookmarkStart w:id="129" w:name="_Toc70736765"/>
      <w:bookmarkStart w:id="130" w:name="_Toc73190400"/>
      <w:bookmarkStart w:id="131" w:name="_Toc53919438"/>
      <w:bookmarkStart w:id="132" w:name="_Toc54495146"/>
      <w:bookmarkStart w:id="133" w:name="_Toc55381127"/>
      <w:bookmarkStart w:id="134" w:name="_Toc55616504"/>
      <w:bookmarkStart w:id="135" w:name="_Toc58912828"/>
      <w:r w:rsidRPr="00207811">
        <w:rPr>
          <w:sz w:val="22"/>
          <w:szCs w:val="22"/>
        </w:rPr>
        <w:t>For the Year Ended September 30, 2025</w:t>
      </w:r>
    </w:p>
    <w:p w:rsidR="00207811" w:rsidRPr="00207811" w:rsidP="00207811" w14:paraId="64E564CE" w14:textId="77777777">
      <w:pPr>
        <w:tabs>
          <w:tab w:val="center" w:pos="4320"/>
          <w:tab w:val="right" w:pos="8640"/>
        </w:tabs>
        <w:rPr>
          <w:caps/>
          <w:sz w:val="22"/>
          <w:szCs w:val="22"/>
        </w:rPr>
      </w:pPr>
      <w:r w:rsidRPr="00207811">
        <w:rPr>
          <w:caps/>
          <w:sz w:val="22"/>
          <w:szCs w:val="22"/>
        </w:rPr>
        <w:t>(D</w:t>
      </w:r>
      <w:r w:rsidRPr="00207811">
        <w:rPr>
          <w:sz w:val="22"/>
          <w:szCs w:val="22"/>
        </w:rPr>
        <w:t>ollars in Thousands Unless Otherwise Stated</w:t>
      </w:r>
      <w:r w:rsidRPr="00207811">
        <w:rPr>
          <w:caps/>
          <w:sz w:val="22"/>
          <w:szCs w:val="22"/>
        </w:rPr>
        <w:t>)</w:t>
      </w:r>
    </w:p>
    <w:p w:rsidR="00207811" w:rsidRPr="00207811" w:rsidP="00207811" w14:paraId="4F592567" w14:textId="77777777">
      <w:pPr>
        <w:jc w:val="both"/>
        <w:rPr>
          <w:sz w:val="22"/>
          <w:szCs w:val="22"/>
        </w:rPr>
      </w:pPr>
    </w:p>
    <w:p w:rsidR="00207811" w:rsidRPr="00207811" w:rsidP="00207811" w14:paraId="29FCAFD8" w14:textId="77777777">
      <w:pPr>
        <w:rPr>
          <w:b/>
          <w:bCs/>
          <w:sz w:val="22"/>
          <w:szCs w:val="22"/>
        </w:rPr>
      </w:pPr>
      <w:r w:rsidRPr="00207811">
        <w:rPr>
          <w:b/>
          <w:bCs/>
          <w:sz w:val="22"/>
          <w:szCs w:val="22"/>
        </w:rPr>
        <w:t>Note 1 – Summary of Significant Accounting Policies</w:t>
      </w:r>
    </w:p>
    <w:p w:rsidR="00207811" w:rsidRPr="00207811" w:rsidP="00207811" w14:paraId="5DF2B9A0" w14:textId="77777777">
      <w:pPr>
        <w:jc w:val="both"/>
        <w:rPr>
          <w:b/>
          <w:sz w:val="22"/>
          <w:szCs w:val="22"/>
        </w:rPr>
      </w:pPr>
    </w:p>
    <w:p w:rsidR="00207811" w:rsidRPr="00207811" w:rsidP="00207811" w14:paraId="43C805E4"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A.  Reporting Entity</w:t>
      </w:r>
    </w:p>
    <w:p w:rsidR="00207811" w:rsidRPr="00207811" w:rsidP="00207811" w14:paraId="6B96E2B4" w14:textId="77777777">
      <w:pPr>
        <w:jc w:val="both"/>
        <w:rPr>
          <w:sz w:val="22"/>
          <w:szCs w:val="22"/>
        </w:rPr>
      </w:pPr>
    </w:p>
    <w:p w:rsidR="00207811" w:rsidRPr="00207811" w:rsidP="00207811" w14:paraId="1683FC4B" w14:textId="1C284565">
      <w:pPr>
        <w:jc w:val="both"/>
        <w:rPr>
          <w:sz w:val="22"/>
          <w:szCs w:val="22"/>
        </w:rPr>
      </w:pPr>
      <w:r w:rsidRPr="00207811">
        <w:rPr>
          <w:sz w:val="22"/>
          <w:szCs w:val="22"/>
        </w:rPr>
        <w:t xml:space="preserve">The Federal Communications Commission (FCC or Commission) is </w:t>
      </w:r>
      <w:r w:rsidR="00335B3C">
        <w:rPr>
          <w:sz w:val="22"/>
          <w:szCs w:val="22"/>
        </w:rPr>
        <w:t>a</w:t>
      </w:r>
      <w:r w:rsidRPr="00207811">
        <w:rPr>
          <w:sz w:val="22"/>
          <w:szCs w:val="22"/>
        </w:rPr>
        <w:t xml:space="preserve"> United States (U.S.) government agency, established by the Communications Act of 1934 (Act), as amended.  The Commission is charged with regulating interstate and international communications by radio, television, wire, satellite, and cable.  The Commission’s jurisdiction spans the 50 states, the District of Columbia, and the U.S. possessions.  The Commission is directed by five Commissioners who are appointed by the President of the United States and confirmed by the Senate for five-year terms, except when filling an unexpired term or serving in holdover status.  </w:t>
      </w:r>
    </w:p>
    <w:p w:rsidR="00207811" w:rsidRPr="00207811" w:rsidP="00207811" w14:paraId="6072881C" w14:textId="77777777">
      <w:pPr>
        <w:jc w:val="both"/>
        <w:rPr>
          <w:sz w:val="22"/>
          <w:szCs w:val="22"/>
        </w:rPr>
      </w:pPr>
    </w:p>
    <w:p w:rsidR="00207811" w:rsidRPr="00207811" w:rsidP="00207811" w14:paraId="24DC8339" w14:textId="1804CB3E">
      <w:pPr>
        <w:jc w:val="both"/>
        <w:rPr>
          <w:spacing w:val="-4"/>
          <w:kern w:val="16"/>
          <w:sz w:val="22"/>
          <w:szCs w:val="22"/>
        </w:rPr>
      </w:pPr>
      <w:bookmarkStart w:id="136" w:name="_Hlk75769555"/>
      <w:r w:rsidRPr="00207811">
        <w:rPr>
          <w:spacing w:val="-4"/>
          <w:kern w:val="16"/>
          <w:sz w:val="22"/>
          <w:szCs w:val="22"/>
        </w:rPr>
        <w:t>The Commission is comprised of three reporting components.  The primary component consists of Commission headquarters and field offices.  The two additional components are the Universal Service Fund (USF) and the Telecommunications Relay Service (TRS) Fund.  The USF reports the results of the four universal service programs (established pursuant to section 254 of the Act, as amended), and the Connected Care Pilot Program (CCPP)</w:t>
      </w:r>
      <w:r w:rsidRPr="00207811">
        <w:rPr>
          <w:sz w:val="22"/>
          <w:szCs w:val="22"/>
        </w:rPr>
        <w:t>.  Section 1113 of the</w:t>
      </w:r>
      <w:r w:rsidRPr="00207811">
        <w:t xml:space="preserve"> </w:t>
      </w:r>
      <w:r w:rsidRPr="00207811">
        <w:rPr>
          <w:sz w:val="22"/>
          <w:szCs w:val="22"/>
        </w:rPr>
        <w:t xml:space="preserve">Full-Year Continuing Appropriations and Extensions Act, 2025, P.L. 119-4 extends </w:t>
      </w:r>
      <w:r w:rsidRPr="00207811">
        <w:rPr>
          <w:spacing w:val="-4"/>
          <w:kern w:val="16"/>
          <w:sz w:val="22"/>
          <w:szCs w:val="22"/>
        </w:rPr>
        <w:t>Section 510 of Division B of the Further Consolidated Appropriations Act, 2024, P. L. 118-364, which amended Section 302 of the Universal Service Anti-deficiency Temporary Suspension Act, Title III of P. L. 108-494 and extended the universal service programs exemption from the application of the provisions of the Anti</w:t>
      </w:r>
      <w:r w:rsidRPr="00207811">
        <w:rPr>
          <w:sz w:val="22"/>
          <w:szCs w:val="22"/>
        </w:rPr>
        <w:t>-</w:t>
      </w:r>
      <w:r w:rsidRPr="00207811">
        <w:rPr>
          <w:spacing w:val="-4"/>
          <w:kern w:val="16"/>
          <w:sz w:val="22"/>
          <w:szCs w:val="22"/>
        </w:rPr>
        <w:t xml:space="preserve">deficiency Act until </w:t>
      </w:r>
      <w:r w:rsidRPr="540BDD52">
        <w:rPr>
          <w:sz w:val="22"/>
          <w:szCs w:val="22"/>
        </w:rPr>
        <w:t xml:space="preserve">September 30, 2025. </w:t>
      </w:r>
      <w:r w:rsidRPr="00207811">
        <w:rPr>
          <w:spacing w:val="-4"/>
          <w:kern w:val="16"/>
          <w:sz w:val="22"/>
          <w:szCs w:val="22"/>
        </w:rPr>
        <w:t xml:space="preserve"> Accordingly, the USF is not subject to apportionment by the Office of Management and Budget (OMB).  The TRS Fund was established by the Americans with Disabilities Act of 1990, Title IV, and is not exempt from the Anti</w:t>
      </w:r>
      <w:r w:rsidRPr="00207811">
        <w:rPr>
          <w:sz w:val="22"/>
          <w:szCs w:val="22"/>
        </w:rPr>
        <w:t>-</w:t>
      </w:r>
      <w:r w:rsidRPr="00207811">
        <w:rPr>
          <w:spacing w:val="-4"/>
          <w:kern w:val="16"/>
          <w:sz w:val="22"/>
          <w:szCs w:val="22"/>
        </w:rPr>
        <w:t>deficiency Act and must be apportioned by OMB before funds are available for use.  Information regarding disclosure entities is separately disclosed in Note 19 Disclosure Entities.</w:t>
      </w:r>
    </w:p>
    <w:bookmarkEnd w:id="136"/>
    <w:p w:rsidR="00207811" w:rsidRPr="00207811" w:rsidP="00207811" w14:paraId="3AA2EE82" w14:textId="77777777">
      <w:pPr>
        <w:jc w:val="both"/>
        <w:rPr>
          <w:spacing w:val="-4"/>
          <w:kern w:val="16"/>
          <w:sz w:val="22"/>
          <w:szCs w:val="22"/>
        </w:rPr>
      </w:pPr>
    </w:p>
    <w:p w:rsidR="00207811" w:rsidRPr="00207811" w:rsidP="00207811" w14:paraId="17A4D209" w14:textId="77777777">
      <w:pPr>
        <w:keepNext/>
        <w:widowControl w:val="0"/>
        <w:overflowPunct w:val="0"/>
        <w:autoSpaceDE w:val="0"/>
        <w:autoSpaceDN w:val="0"/>
        <w:adjustRightInd w:val="0"/>
        <w:jc w:val="both"/>
        <w:textAlignment w:val="baseline"/>
        <w:outlineLvl w:val="3"/>
        <w:rPr>
          <w:b/>
          <w:bCs/>
          <w:spacing w:val="-4"/>
          <w:kern w:val="16"/>
          <w:sz w:val="22"/>
          <w:szCs w:val="22"/>
        </w:rPr>
      </w:pPr>
      <w:r w:rsidRPr="00207811">
        <w:rPr>
          <w:b/>
          <w:bCs/>
          <w:sz w:val="22"/>
          <w:szCs w:val="22"/>
        </w:rPr>
        <w:t>B.  Accounting Policies</w:t>
      </w:r>
    </w:p>
    <w:p w:rsidR="00207811" w:rsidRPr="00207811" w:rsidP="00207811" w14:paraId="291A70D2" w14:textId="77777777">
      <w:pPr>
        <w:jc w:val="both"/>
        <w:rPr>
          <w:sz w:val="22"/>
          <w:szCs w:val="22"/>
        </w:rPr>
      </w:pPr>
    </w:p>
    <w:p w:rsidR="00207811" w:rsidRPr="00207811" w:rsidP="00207811" w14:paraId="7667020D" w14:textId="77777777">
      <w:pPr>
        <w:jc w:val="both"/>
        <w:rPr>
          <w:sz w:val="22"/>
          <w:szCs w:val="22"/>
        </w:rPr>
      </w:pPr>
      <w:r w:rsidRPr="00207811">
        <w:rPr>
          <w:sz w:val="22"/>
          <w:szCs w:val="22"/>
        </w:rPr>
        <w:t xml:space="preserve">The consolidated and combined financial statements (collectively, financial statements) have been prepared from the accounting records of the Commission and its components, in conformity with U.S. generally accepted accounting principles (GAAP) and the form and content for federal entity financial statements specified by </w:t>
      </w:r>
      <w:bookmarkStart w:id="137" w:name="_Hlk4573652"/>
      <w:r w:rsidRPr="00207811">
        <w:rPr>
          <w:sz w:val="22"/>
          <w:szCs w:val="22"/>
        </w:rPr>
        <w:t>OMB Circular No. A</w:t>
      </w:r>
      <w:r w:rsidRPr="00207811">
        <w:rPr>
          <w:b/>
          <w:sz w:val="22"/>
          <w:szCs w:val="22"/>
        </w:rPr>
        <w:t>-</w:t>
      </w:r>
      <w:r w:rsidRPr="00207811">
        <w:rPr>
          <w:sz w:val="22"/>
          <w:szCs w:val="22"/>
        </w:rPr>
        <w:t xml:space="preserve">136, </w:t>
      </w:r>
      <w:r w:rsidRPr="00207811">
        <w:rPr>
          <w:i/>
          <w:sz w:val="22"/>
          <w:szCs w:val="22"/>
        </w:rPr>
        <w:t>Financial Reporting Requirements</w:t>
      </w:r>
      <w:bookmarkEnd w:id="137"/>
      <w:r w:rsidRPr="00207811">
        <w:rPr>
          <w:bCs/>
          <w:sz w:val="22"/>
          <w:szCs w:val="22"/>
        </w:rPr>
        <w:t>—</w:t>
      </w:r>
      <w:r w:rsidRPr="00207811">
        <w:rPr>
          <w:bCs/>
          <w:i/>
          <w:iCs/>
          <w:sz w:val="22"/>
          <w:szCs w:val="22"/>
        </w:rPr>
        <w:t>Revised</w:t>
      </w:r>
      <w:r w:rsidRPr="00207811">
        <w:rPr>
          <w:sz w:val="22"/>
          <w:szCs w:val="22"/>
        </w:rPr>
        <w:t>.  Custodial activity reported on the Statement of Changes in Net Position and Custodial Activity is prepared on the modified cash basis.</w:t>
      </w:r>
    </w:p>
    <w:p w:rsidR="00207811" w:rsidRPr="00207811" w:rsidP="00207811" w14:paraId="68C69DCA" w14:textId="77777777">
      <w:pPr>
        <w:jc w:val="both"/>
        <w:rPr>
          <w:sz w:val="22"/>
          <w:szCs w:val="22"/>
        </w:rPr>
      </w:pPr>
    </w:p>
    <w:p w:rsidR="00207811" w:rsidRPr="00207811" w:rsidP="00207811" w14:paraId="26A02BF8" w14:textId="77777777">
      <w:pPr>
        <w:jc w:val="both"/>
        <w:rPr>
          <w:sz w:val="22"/>
          <w:szCs w:val="22"/>
        </w:rPr>
      </w:pPr>
      <w:r w:rsidRPr="00207811">
        <w:rPr>
          <w:sz w:val="22"/>
          <w:szCs w:val="22"/>
        </w:rPr>
        <w:t xml:space="preserve">The preparation of financial statements in conformity with GAAP requires management to make estimates and assumptions that affect the amounts reported in the financial statements.  Actual results may differ from those estimates.  </w:t>
      </w:r>
    </w:p>
    <w:p w:rsidR="00207811" w:rsidRPr="00207811" w:rsidP="00207811" w14:paraId="69C39DE9" w14:textId="77777777">
      <w:pPr>
        <w:jc w:val="both"/>
        <w:rPr>
          <w:sz w:val="22"/>
          <w:szCs w:val="22"/>
        </w:rPr>
      </w:pPr>
    </w:p>
    <w:p w:rsidR="00207811" w:rsidRPr="00207811" w:rsidP="00207811" w14:paraId="108DE52A"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C.  Fund Balance with Treasury (FBWT) and Funds from Dedicated Collections</w:t>
      </w:r>
    </w:p>
    <w:p w:rsidR="00207811" w:rsidRPr="00207811" w:rsidP="00207811" w14:paraId="2E9D36DA" w14:textId="77777777">
      <w:pPr>
        <w:jc w:val="both"/>
        <w:rPr>
          <w:spacing w:val="-4"/>
          <w:kern w:val="22"/>
          <w:sz w:val="22"/>
          <w:szCs w:val="22"/>
        </w:rPr>
      </w:pPr>
    </w:p>
    <w:p w:rsidR="00207811" w:rsidRPr="00207811" w:rsidP="00207811" w14:paraId="604E24AE" w14:textId="77777777">
      <w:pPr>
        <w:jc w:val="both"/>
        <w:rPr>
          <w:spacing w:val="-4"/>
          <w:kern w:val="22"/>
          <w:sz w:val="22"/>
          <w:szCs w:val="22"/>
        </w:rPr>
      </w:pPr>
      <w:r w:rsidRPr="00207811">
        <w:rPr>
          <w:spacing w:val="-4"/>
          <w:kern w:val="22"/>
          <w:sz w:val="22"/>
          <w:szCs w:val="22"/>
        </w:rPr>
        <w:t xml:space="preserve">FBWT is an asset of a reporting entity and a liability of the General Fund.  Funds with the U.S. Department of the Treasury (Treasury) primarily represent general, revolving, special, and deposit funds.  The Commission may use the general and revolving funds to finance expenses, depending on budgetary availability.  The special funds are used to account for dedicated collections and deposit funds are used to hold amounts temporarily until they can be properly disbursed or distributed.  </w:t>
      </w:r>
    </w:p>
    <w:p w:rsidR="00207811" w:rsidRPr="00207811" w:rsidP="00207811" w14:paraId="30E21F19" w14:textId="77777777">
      <w:pPr>
        <w:jc w:val="both"/>
        <w:rPr>
          <w:sz w:val="22"/>
          <w:szCs w:val="22"/>
        </w:rPr>
      </w:pPr>
    </w:p>
    <w:p w:rsidR="00207811" w:rsidRPr="00207811" w:rsidP="00207811" w14:paraId="6DCFCD88" w14:textId="77777777">
      <w:pPr>
        <w:jc w:val="both"/>
        <w:rPr>
          <w:b/>
          <w:sz w:val="22"/>
          <w:szCs w:val="22"/>
        </w:rPr>
      </w:pPr>
      <w:r w:rsidRPr="00207811">
        <w:rPr>
          <w:b/>
          <w:sz w:val="22"/>
          <w:szCs w:val="22"/>
        </w:rPr>
        <w:t>Note 1 – Summary of Significant Accounting Policies (continued)</w:t>
      </w:r>
    </w:p>
    <w:p w:rsidR="00207811" w:rsidRPr="00207811" w:rsidP="00207811" w14:paraId="580CD73C" w14:textId="77777777">
      <w:pPr>
        <w:jc w:val="both"/>
        <w:rPr>
          <w:sz w:val="22"/>
          <w:szCs w:val="22"/>
        </w:rPr>
      </w:pPr>
    </w:p>
    <w:p w:rsidR="00207811" w:rsidRPr="00207811" w:rsidP="00207811" w14:paraId="7FAA0A4F"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D.  Classified Activities</w:t>
      </w:r>
    </w:p>
    <w:p w:rsidR="00207811" w:rsidRPr="00207811" w:rsidP="00207811" w14:paraId="395A8005" w14:textId="77777777">
      <w:pPr>
        <w:jc w:val="both"/>
        <w:rPr>
          <w:sz w:val="22"/>
          <w:szCs w:val="22"/>
        </w:rPr>
      </w:pPr>
    </w:p>
    <w:p w:rsidR="00207811" w:rsidRPr="00207811" w:rsidP="00207811" w14:paraId="5FEE1B74" w14:textId="77777777">
      <w:pPr>
        <w:jc w:val="both"/>
        <w:rPr>
          <w:sz w:val="22"/>
          <w:szCs w:val="22"/>
        </w:rPr>
      </w:pPr>
      <w:r w:rsidRPr="00207811">
        <w:rPr>
          <w:sz w:val="22"/>
          <w:szCs w:val="22"/>
        </w:rPr>
        <w:t xml:space="preserve">Statement of Federal Financial Accounting Standards (SFFAS) 56, </w:t>
      </w:r>
      <w:r w:rsidRPr="00207811">
        <w:rPr>
          <w:i/>
          <w:sz w:val="22"/>
          <w:szCs w:val="22"/>
        </w:rPr>
        <w:t>Classified Activities</w:t>
      </w:r>
      <w:r w:rsidRPr="00207811">
        <w:rPr>
          <w:iCs/>
          <w:sz w:val="22"/>
          <w:szCs w:val="22"/>
        </w:rPr>
        <w:t>, r</w:t>
      </w:r>
      <w:r w:rsidRPr="00207811">
        <w:rPr>
          <w:sz w:val="22"/>
          <w:szCs w:val="22"/>
        </w:rPr>
        <w:t>equires all reporting entities to disclose that accounting standards allow certain presentations and disclosures to be modified, if needed, to prevent the disclosure of classified information.</w:t>
      </w:r>
    </w:p>
    <w:p w:rsidR="00207811" w:rsidRPr="00207811" w:rsidP="00207811" w14:paraId="4CA01099" w14:textId="77777777">
      <w:pPr>
        <w:jc w:val="both"/>
        <w:rPr>
          <w:sz w:val="22"/>
          <w:szCs w:val="22"/>
        </w:rPr>
      </w:pPr>
    </w:p>
    <w:p w:rsidR="00207811" w:rsidRPr="00207811" w:rsidP="00207811" w14:paraId="33A9A728"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E.  Accounts Receivable, Net</w:t>
      </w:r>
    </w:p>
    <w:p w:rsidR="00207811" w:rsidRPr="00207811" w:rsidP="00207811" w14:paraId="0E7E80C0" w14:textId="77777777">
      <w:pPr>
        <w:jc w:val="both"/>
        <w:rPr>
          <w:sz w:val="22"/>
          <w:szCs w:val="22"/>
        </w:rPr>
      </w:pPr>
    </w:p>
    <w:p w:rsidR="00207811" w:rsidRPr="00207811" w:rsidP="00207811" w14:paraId="261E09B6" w14:textId="77777777">
      <w:pPr>
        <w:jc w:val="both"/>
        <w:rPr>
          <w:sz w:val="22"/>
          <w:szCs w:val="22"/>
        </w:rPr>
      </w:pPr>
      <w:r w:rsidRPr="00207811">
        <w:rPr>
          <w:sz w:val="22"/>
          <w:szCs w:val="22"/>
        </w:rPr>
        <w:t xml:space="preserve">Accounts Receivable consists of claims made for payment from the public and other federal entities.  Gross receivables are reduced to net realizable value by an allowance for doubtful accounts.  </w:t>
      </w:r>
    </w:p>
    <w:p w:rsidR="00207811" w:rsidRPr="00207811" w:rsidP="00207811" w14:paraId="69675B4A" w14:textId="77777777">
      <w:pPr>
        <w:jc w:val="both"/>
        <w:rPr>
          <w:sz w:val="22"/>
          <w:szCs w:val="22"/>
        </w:rPr>
      </w:pPr>
    </w:p>
    <w:p w:rsidR="00207811" w:rsidRPr="00207811" w:rsidP="00207811" w14:paraId="3D260D5C" w14:textId="77777777">
      <w:pPr>
        <w:jc w:val="both"/>
        <w:rPr>
          <w:sz w:val="22"/>
          <w:szCs w:val="22"/>
        </w:rPr>
      </w:pPr>
      <w:r w:rsidRPr="00207811">
        <w:rPr>
          <w:sz w:val="22"/>
          <w:szCs w:val="22"/>
        </w:rPr>
        <w:t>The USF portion of the allowance is determined by calculating an estimated general allowance for doubtful accounts receivable.  The general allowance is calculated by multiplying the receivable amounts by the percentage of the estimated uncollectible amount as determined by a review of historical collection rates by type of receivable.</w:t>
      </w:r>
    </w:p>
    <w:p w:rsidR="00207811" w:rsidRPr="00207811" w:rsidP="00207811" w14:paraId="77DB5657" w14:textId="77777777">
      <w:pPr>
        <w:jc w:val="both"/>
        <w:rPr>
          <w:sz w:val="22"/>
          <w:szCs w:val="22"/>
        </w:rPr>
      </w:pPr>
    </w:p>
    <w:p w:rsidR="00207811" w:rsidRPr="00207811" w:rsidP="00207811" w14:paraId="348C323B" w14:textId="77777777">
      <w:pPr>
        <w:jc w:val="both"/>
        <w:rPr>
          <w:sz w:val="22"/>
          <w:szCs w:val="22"/>
        </w:rPr>
      </w:pPr>
      <w:r w:rsidRPr="00207811">
        <w:rPr>
          <w:sz w:val="22"/>
          <w:szCs w:val="22"/>
        </w:rPr>
        <w:t xml:space="preserve">The USF’s E-Rate program has Commitment Adjustment (COMAD) receivables.  COMAD or audit receivables are subject to appeal and are not considered final until the appeals period has lapsed, or a final determination has been issued.  </w:t>
      </w:r>
    </w:p>
    <w:p w:rsidR="00207811" w:rsidRPr="00207811" w:rsidP="00207811" w14:paraId="016FC732" w14:textId="77777777">
      <w:pPr>
        <w:jc w:val="both"/>
        <w:rPr>
          <w:sz w:val="22"/>
          <w:szCs w:val="22"/>
        </w:rPr>
      </w:pPr>
    </w:p>
    <w:p w:rsidR="00207811" w:rsidRPr="00207811" w:rsidP="00207811" w14:paraId="383980C3" w14:textId="77777777">
      <w:pPr>
        <w:jc w:val="both"/>
        <w:rPr>
          <w:sz w:val="22"/>
          <w:szCs w:val="22"/>
        </w:rPr>
      </w:pPr>
      <w:r w:rsidRPr="00207811">
        <w:rPr>
          <w:sz w:val="22"/>
          <w:szCs w:val="22"/>
        </w:rPr>
        <w:t>The TRS portion of the allowance is based on estimated exposure to risk of nonpayment of billed balances, primarily based on collection experience.  The allowance includes reserves for identified bankruptcies, identified inactive contributors, contributors on appeal more than two years, delinquent amounts that are referred to Treasury for collection, and other items.  The TRS administrator periodically reviews the estimates and may change the assessment of recoverability based on actual results.</w:t>
      </w:r>
    </w:p>
    <w:p w:rsidR="00207811" w:rsidRPr="00207811" w:rsidP="00207811" w14:paraId="110D8A24" w14:textId="77777777">
      <w:pPr>
        <w:jc w:val="both"/>
        <w:rPr>
          <w:sz w:val="22"/>
          <w:szCs w:val="22"/>
        </w:rPr>
      </w:pPr>
    </w:p>
    <w:p w:rsidR="00207811" w:rsidRPr="00207811" w:rsidP="00207811" w14:paraId="4F794917" w14:textId="77777777">
      <w:pPr>
        <w:jc w:val="both"/>
        <w:rPr>
          <w:sz w:val="22"/>
          <w:szCs w:val="22"/>
        </w:rPr>
      </w:pPr>
      <w:r w:rsidRPr="00207811">
        <w:rPr>
          <w:sz w:val="22"/>
          <w:szCs w:val="22"/>
        </w:rPr>
        <w:t>The Commission’s portion of the allowance for doubtful accounts is determined by applying predetermined percentages against the respective date the receivable was established.  An additional analysis of higher dollar value receivables is also performed on individual account balances.  As such, an additional allowance for doubtful accounts for the higher dollar value receivables may be recorded considering inherent uncertainties and risks.</w:t>
      </w:r>
    </w:p>
    <w:p w:rsidR="00207811" w:rsidRPr="00207811" w:rsidP="00207811" w14:paraId="7AF5D22A" w14:textId="77777777">
      <w:pPr>
        <w:jc w:val="both"/>
        <w:rPr>
          <w:sz w:val="22"/>
          <w:szCs w:val="22"/>
        </w:rPr>
      </w:pPr>
    </w:p>
    <w:p w:rsidR="00207811" w:rsidRPr="00207811" w:rsidP="00207811" w14:paraId="438C9B28" w14:textId="77777777">
      <w:pPr>
        <w:jc w:val="both"/>
        <w:rPr>
          <w:sz w:val="22"/>
          <w:szCs w:val="22"/>
        </w:rPr>
      </w:pPr>
      <w:r w:rsidRPr="00207811">
        <w:rPr>
          <w:sz w:val="22"/>
          <w:szCs w:val="22"/>
        </w:rPr>
        <w:t xml:space="preserve">The allowance related to Affordable Connectivity Program (ACP) and Emergency Connectivity Fund (ECF) is calculated by multiplying the receivable amounts by the percentage of the estimated uncollectible amount </w:t>
      </w:r>
      <w:r w:rsidRPr="00207811">
        <w:rPr>
          <w:bCs/>
          <w:iCs/>
          <w:sz w:val="22"/>
          <w:szCs w:val="22"/>
        </w:rPr>
        <w:t xml:space="preserve">used for the </w:t>
      </w:r>
      <w:r w:rsidRPr="00207811">
        <w:rPr>
          <w:sz w:val="22"/>
          <w:szCs w:val="22"/>
        </w:rPr>
        <w:t>USF Lifeline and E-Rate Programs</w:t>
      </w:r>
      <w:r w:rsidRPr="00207811">
        <w:rPr>
          <w:bCs/>
          <w:iCs/>
          <w:sz w:val="22"/>
          <w:szCs w:val="22"/>
        </w:rPr>
        <w:t xml:space="preserve"> due to program similarities.</w:t>
      </w:r>
    </w:p>
    <w:p w:rsidR="00207811" w:rsidRPr="00207811" w:rsidP="00207811" w14:paraId="042917CA" w14:textId="77777777">
      <w:pPr>
        <w:jc w:val="both"/>
        <w:rPr>
          <w:sz w:val="22"/>
          <w:szCs w:val="22"/>
        </w:rPr>
      </w:pPr>
    </w:p>
    <w:p w:rsidR="00207811" w:rsidRPr="00207811" w:rsidP="00207811" w14:paraId="37825416" w14:textId="77777777">
      <w:pPr>
        <w:keepNext/>
        <w:widowControl w:val="0"/>
        <w:overflowPunct w:val="0"/>
        <w:autoSpaceDE w:val="0"/>
        <w:autoSpaceDN w:val="0"/>
        <w:adjustRightInd w:val="0"/>
        <w:jc w:val="both"/>
        <w:textAlignment w:val="baseline"/>
        <w:outlineLvl w:val="3"/>
        <w:rPr>
          <w:b/>
          <w:bCs/>
          <w:sz w:val="22"/>
          <w:szCs w:val="22"/>
        </w:rPr>
      </w:pPr>
      <w:bookmarkStart w:id="138" w:name="_Hlk519584152"/>
      <w:r w:rsidRPr="00207811">
        <w:rPr>
          <w:b/>
          <w:bCs/>
          <w:sz w:val="22"/>
          <w:szCs w:val="22"/>
        </w:rPr>
        <w:t>F.  Property, Plant, and Equipment, Net</w:t>
      </w:r>
    </w:p>
    <w:bookmarkEnd w:id="138"/>
    <w:p w:rsidR="00207811" w:rsidRPr="00207811" w:rsidP="00207811" w14:paraId="1DE09035" w14:textId="77777777">
      <w:pPr>
        <w:jc w:val="both"/>
        <w:rPr>
          <w:sz w:val="22"/>
          <w:szCs w:val="22"/>
        </w:rPr>
      </w:pPr>
    </w:p>
    <w:p w:rsidR="00207811" w:rsidRPr="00207811" w:rsidP="00207811" w14:paraId="4B090E48" w14:textId="77777777">
      <w:pPr>
        <w:jc w:val="both"/>
        <w:rPr>
          <w:sz w:val="22"/>
          <w:szCs w:val="22"/>
        </w:rPr>
      </w:pPr>
      <w:r w:rsidRPr="00207811">
        <w:rPr>
          <w:sz w:val="22"/>
          <w:szCs w:val="22"/>
        </w:rPr>
        <w:t>The basis for recording purchased Property, Plant, and Equipment (PP&amp;E) is full cost, including all costs incurred to bring the PP&amp;E to and from a location suitable for its intended use.  The capitalization threshold is $100 for PP&amp;E and $200 for internally developed software with an estimated useful life of two years or more.  There is no capitalization of bulk purchases of similar items.  PP&amp;E is depreciated on a straight-line basis over the estimated useful lives of the items.</w:t>
      </w:r>
    </w:p>
    <w:p w:rsidR="00207811" w:rsidRPr="00207811" w:rsidP="00207811" w14:paraId="3575AF82" w14:textId="77777777">
      <w:pPr>
        <w:jc w:val="both"/>
        <w:rPr>
          <w:sz w:val="22"/>
          <w:szCs w:val="22"/>
        </w:rPr>
      </w:pPr>
    </w:p>
    <w:p w:rsidR="00207811" w:rsidRPr="00207811" w:rsidP="00207811" w14:paraId="7EDACF69" w14:textId="77777777">
      <w:pPr>
        <w:jc w:val="both"/>
        <w:rPr>
          <w:sz w:val="22"/>
          <w:szCs w:val="22"/>
        </w:rPr>
      </w:pPr>
      <w:r w:rsidRPr="00207811">
        <w:rPr>
          <w:sz w:val="22"/>
          <w:szCs w:val="22"/>
        </w:rPr>
        <w:t>The following chart summarizes the PP&amp;E classifications with related estimated useful lives:</w:t>
      </w:r>
    </w:p>
    <w:p w:rsidR="00207811" w:rsidRPr="00207811" w:rsidP="00207811" w14:paraId="2B53F066" w14:textId="77777777">
      <w:pPr>
        <w:jc w:val="both"/>
        <w:rPr>
          <w:sz w:val="22"/>
          <w:szCs w:val="22"/>
        </w:rPr>
      </w:pPr>
    </w:p>
    <w:p w:rsidR="00207811" w:rsidRPr="00207811" w:rsidP="00207811" w14:paraId="4E3A3945" w14:textId="77777777">
      <w:pPr>
        <w:jc w:val="both"/>
        <w:rPr>
          <w:sz w:val="22"/>
          <w:szCs w:val="22"/>
        </w:rPr>
      </w:pPr>
    </w:p>
    <w:p w:rsidR="00207811" w:rsidRPr="00207811" w:rsidP="00207811" w14:paraId="2AB3D918" w14:textId="77777777">
      <w:pPr>
        <w:jc w:val="both"/>
        <w:rPr>
          <w:sz w:val="22"/>
          <w:szCs w:val="22"/>
        </w:rPr>
      </w:pPr>
    </w:p>
    <w:p w:rsidR="00207811" w:rsidRPr="00207811" w:rsidP="00207811" w14:paraId="509C3D11" w14:textId="77777777">
      <w:pPr>
        <w:jc w:val="both"/>
        <w:rPr>
          <w:sz w:val="22"/>
          <w:szCs w:val="22"/>
        </w:rPr>
      </w:pPr>
    </w:p>
    <w:p w:rsidR="00207811" w:rsidRPr="00207811" w:rsidP="00207811" w14:paraId="14DF9CBB" w14:textId="77777777">
      <w:pPr>
        <w:jc w:val="both"/>
        <w:rPr>
          <w:b/>
          <w:sz w:val="22"/>
          <w:szCs w:val="22"/>
        </w:rPr>
      </w:pPr>
      <w:r w:rsidRPr="00207811">
        <w:rPr>
          <w:b/>
          <w:sz w:val="22"/>
          <w:szCs w:val="22"/>
        </w:rPr>
        <w:t>Note 1 – Summary of Significant Accounting Policies (continued)</w:t>
      </w:r>
    </w:p>
    <w:p w:rsidR="00207811" w:rsidRPr="00207811" w:rsidP="00207811" w14:paraId="618C6675" w14:textId="77777777">
      <w:pPr>
        <w:rPr>
          <w:sz w:val="22"/>
          <w:szCs w:val="22"/>
        </w:rPr>
      </w:pPr>
    </w:p>
    <w:p w:rsidR="00207811" w:rsidRPr="00207811" w:rsidP="00207811" w14:paraId="62437D01" w14:textId="77777777">
      <w:pPr>
        <w:rPr>
          <w:b/>
          <w:bCs/>
          <w:sz w:val="22"/>
          <w:szCs w:val="22"/>
        </w:rPr>
      </w:pPr>
      <w:r w:rsidRPr="00207811">
        <w:rPr>
          <w:b/>
          <w:bCs/>
          <w:sz w:val="22"/>
          <w:szCs w:val="22"/>
        </w:rPr>
        <w:t>F.  Property, Plant, and Equipment (continued)</w:t>
      </w:r>
    </w:p>
    <w:p w:rsidR="00207811" w:rsidRPr="00207811" w:rsidP="00207811" w14:paraId="521F7BC9" w14:textId="77777777">
      <w:pPr>
        <w:jc w:val="both"/>
        <w:rPr>
          <w:sz w:val="22"/>
          <w:szCs w:val="22"/>
        </w:rPr>
      </w:pPr>
    </w:p>
    <w:tbl>
      <w:tblPr>
        <w:tblStyle w:val="TableGrid12"/>
        <w:tblW w:w="0" w:type="auto"/>
        <w:tblLook w:val="04A0"/>
      </w:tblPr>
      <w:tblGrid>
        <w:gridCol w:w="3116"/>
        <w:gridCol w:w="236"/>
        <w:gridCol w:w="3123"/>
      </w:tblGrid>
      <w:tr w14:paraId="5B9DC1A9" w14:textId="77777777" w:rsidTr="00D93A8D">
        <w:tblPrEx>
          <w:tblW w:w="0" w:type="auto"/>
          <w:tblLook w:val="04A0"/>
        </w:tblPrEx>
        <w:tc>
          <w:tcPr>
            <w:tcW w:w="3116" w:type="dxa"/>
            <w:tcBorders>
              <w:bottom w:val="single" w:sz="4" w:space="0" w:color="auto"/>
            </w:tcBorders>
          </w:tcPr>
          <w:p w:rsidR="00207811" w:rsidRPr="00207811" w:rsidP="00207811" w14:paraId="1CDCA17E" w14:textId="77777777">
            <w:pPr>
              <w:jc w:val="both"/>
              <w:rPr>
                <w:sz w:val="22"/>
                <w:szCs w:val="22"/>
              </w:rPr>
            </w:pPr>
            <w:r w:rsidRPr="00207811">
              <w:rPr>
                <w:sz w:val="22"/>
                <w:szCs w:val="22"/>
              </w:rPr>
              <w:t>PP&amp;E Classification</w:t>
            </w:r>
          </w:p>
        </w:tc>
        <w:tc>
          <w:tcPr>
            <w:tcW w:w="236" w:type="dxa"/>
          </w:tcPr>
          <w:p w:rsidR="00207811" w:rsidRPr="00207811" w:rsidP="00207811" w14:paraId="572C1F96" w14:textId="77777777">
            <w:pPr>
              <w:jc w:val="both"/>
              <w:rPr>
                <w:sz w:val="22"/>
                <w:szCs w:val="22"/>
              </w:rPr>
            </w:pPr>
          </w:p>
        </w:tc>
        <w:tc>
          <w:tcPr>
            <w:tcW w:w="3123" w:type="dxa"/>
            <w:tcBorders>
              <w:bottom w:val="single" w:sz="4" w:space="0" w:color="auto"/>
            </w:tcBorders>
          </w:tcPr>
          <w:p w:rsidR="00207811" w:rsidRPr="00207811" w:rsidP="00207811" w14:paraId="52C49BE7" w14:textId="77777777">
            <w:pPr>
              <w:jc w:val="both"/>
              <w:rPr>
                <w:sz w:val="22"/>
                <w:szCs w:val="22"/>
              </w:rPr>
            </w:pPr>
            <w:r w:rsidRPr="00207811">
              <w:rPr>
                <w:sz w:val="22"/>
                <w:szCs w:val="22"/>
              </w:rPr>
              <w:t>Estimated Useful Lives (years)</w:t>
            </w:r>
          </w:p>
        </w:tc>
      </w:tr>
      <w:tr w14:paraId="0DA26BFE" w14:textId="77777777" w:rsidTr="00D93A8D">
        <w:tblPrEx>
          <w:tblW w:w="0" w:type="auto"/>
          <w:tblLook w:val="04A0"/>
        </w:tblPrEx>
        <w:tc>
          <w:tcPr>
            <w:tcW w:w="3116" w:type="dxa"/>
            <w:tcBorders>
              <w:top w:val="single" w:sz="4" w:space="0" w:color="auto"/>
            </w:tcBorders>
          </w:tcPr>
          <w:p w:rsidR="00207811" w:rsidRPr="00207811" w:rsidP="00207811" w14:paraId="4E1B5AF1" w14:textId="77777777">
            <w:pPr>
              <w:jc w:val="both"/>
              <w:rPr>
                <w:sz w:val="22"/>
                <w:szCs w:val="22"/>
              </w:rPr>
            </w:pPr>
            <w:r w:rsidRPr="00207811">
              <w:rPr>
                <w:sz w:val="22"/>
                <w:szCs w:val="22"/>
              </w:rPr>
              <w:t>Building</w:t>
            </w:r>
          </w:p>
        </w:tc>
        <w:tc>
          <w:tcPr>
            <w:tcW w:w="236" w:type="dxa"/>
          </w:tcPr>
          <w:p w:rsidR="00207811" w:rsidRPr="00207811" w:rsidP="00207811" w14:paraId="0A7CB4A2" w14:textId="77777777">
            <w:pPr>
              <w:jc w:val="both"/>
              <w:rPr>
                <w:sz w:val="22"/>
                <w:szCs w:val="22"/>
              </w:rPr>
            </w:pPr>
          </w:p>
        </w:tc>
        <w:tc>
          <w:tcPr>
            <w:tcW w:w="3123" w:type="dxa"/>
            <w:tcBorders>
              <w:top w:val="single" w:sz="4" w:space="0" w:color="auto"/>
            </w:tcBorders>
          </w:tcPr>
          <w:p w:rsidR="00207811" w:rsidRPr="00207811" w:rsidP="00207811" w14:paraId="6D2A5F99" w14:textId="77777777">
            <w:pPr>
              <w:jc w:val="center"/>
              <w:rPr>
                <w:sz w:val="22"/>
                <w:szCs w:val="22"/>
              </w:rPr>
            </w:pPr>
            <w:r w:rsidRPr="00207811">
              <w:rPr>
                <w:sz w:val="22"/>
                <w:szCs w:val="22"/>
              </w:rPr>
              <w:t>40</w:t>
            </w:r>
          </w:p>
        </w:tc>
      </w:tr>
      <w:tr w14:paraId="4E09BA75" w14:textId="77777777" w:rsidTr="00D93A8D">
        <w:tblPrEx>
          <w:tblW w:w="0" w:type="auto"/>
          <w:tblLook w:val="04A0"/>
        </w:tblPrEx>
        <w:tc>
          <w:tcPr>
            <w:tcW w:w="3116" w:type="dxa"/>
          </w:tcPr>
          <w:p w:rsidR="00207811" w:rsidRPr="00207811" w:rsidP="00207811" w14:paraId="2B15A90B" w14:textId="77777777">
            <w:pPr>
              <w:jc w:val="both"/>
              <w:rPr>
                <w:sz w:val="22"/>
                <w:szCs w:val="22"/>
              </w:rPr>
            </w:pPr>
            <w:r w:rsidRPr="00207811">
              <w:rPr>
                <w:sz w:val="22"/>
                <w:szCs w:val="22"/>
              </w:rPr>
              <w:t>Non-Computer Equipment</w:t>
            </w:r>
          </w:p>
        </w:tc>
        <w:tc>
          <w:tcPr>
            <w:tcW w:w="236" w:type="dxa"/>
          </w:tcPr>
          <w:p w:rsidR="00207811" w:rsidRPr="00207811" w:rsidP="00207811" w14:paraId="7902E68E" w14:textId="77777777">
            <w:pPr>
              <w:jc w:val="both"/>
              <w:rPr>
                <w:sz w:val="22"/>
                <w:szCs w:val="22"/>
              </w:rPr>
            </w:pPr>
          </w:p>
        </w:tc>
        <w:tc>
          <w:tcPr>
            <w:tcW w:w="3123" w:type="dxa"/>
          </w:tcPr>
          <w:p w:rsidR="00207811" w:rsidRPr="00207811" w:rsidP="00207811" w14:paraId="7F53D470" w14:textId="77777777">
            <w:pPr>
              <w:jc w:val="center"/>
              <w:rPr>
                <w:sz w:val="22"/>
                <w:szCs w:val="22"/>
              </w:rPr>
            </w:pPr>
            <w:r w:rsidRPr="00207811">
              <w:rPr>
                <w:sz w:val="22"/>
                <w:szCs w:val="22"/>
              </w:rPr>
              <w:t>7</w:t>
            </w:r>
          </w:p>
        </w:tc>
      </w:tr>
      <w:tr w14:paraId="5B01AC44" w14:textId="77777777" w:rsidTr="00D93A8D">
        <w:tblPrEx>
          <w:tblW w:w="0" w:type="auto"/>
          <w:tblLook w:val="04A0"/>
        </w:tblPrEx>
        <w:tc>
          <w:tcPr>
            <w:tcW w:w="3116" w:type="dxa"/>
          </w:tcPr>
          <w:p w:rsidR="00207811" w:rsidRPr="00207811" w:rsidP="00207811" w14:paraId="6642F863" w14:textId="77777777">
            <w:pPr>
              <w:jc w:val="both"/>
              <w:rPr>
                <w:sz w:val="22"/>
                <w:szCs w:val="22"/>
              </w:rPr>
            </w:pPr>
            <w:r w:rsidRPr="00207811">
              <w:rPr>
                <w:sz w:val="22"/>
                <w:szCs w:val="22"/>
              </w:rPr>
              <w:t>Computer &amp; Vehicle Equipment</w:t>
            </w:r>
          </w:p>
        </w:tc>
        <w:tc>
          <w:tcPr>
            <w:tcW w:w="236" w:type="dxa"/>
          </w:tcPr>
          <w:p w:rsidR="00207811" w:rsidRPr="00207811" w:rsidP="00207811" w14:paraId="323FDEA8" w14:textId="77777777">
            <w:pPr>
              <w:jc w:val="both"/>
              <w:rPr>
                <w:sz w:val="22"/>
                <w:szCs w:val="22"/>
              </w:rPr>
            </w:pPr>
          </w:p>
        </w:tc>
        <w:tc>
          <w:tcPr>
            <w:tcW w:w="3123" w:type="dxa"/>
          </w:tcPr>
          <w:p w:rsidR="00207811" w:rsidRPr="00207811" w:rsidP="00207811" w14:paraId="574DB410" w14:textId="77777777">
            <w:pPr>
              <w:jc w:val="center"/>
              <w:rPr>
                <w:sz w:val="22"/>
                <w:szCs w:val="22"/>
              </w:rPr>
            </w:pPr>
            <w:r w:rsidRPr="00207811">
              <w:rPr>
                <w:sz w:val="22"/>
                <w:szCs w:val="22"/>
              </w:rPr>
              <w:t>5</w:t>
            </w:r>
          </w:p>
        </w:tc>
      </w:tr>
      <w:tr w14:paraId="0023DA7A" w14:textId="77777777" w:rsidTr="00D93A8D">
        <w:tblPrEx>
          <w:tblW w:w="0" w:type="auto"/>
          <w:tblLook w:val="04A0"/>
        </w:tblPrEx>
        <w:tc>
          <w:tcPr>
            <w:tcW w:w="3116" w:type="dxa"/>
          </w:tcPr>
          <w:p w:rsidR="00207811" w:rsidRPr="00207811" w:rsidP="00207811" w14:paraId="6A3AA077" w14:textId="77777777">
            <w:pPr>
              <w:jc w:val="both"/>
              <w:rPr>
                <w:sz w:val="22"/>
                <w:szCs w:val="22"/>
              </w:rPr>
            </w:pPr>
            <w:r w:rsidRPr="00207811">
              <w:rPr>
                <w:sz w:val="22"/>
                <w:szCs w:val="22"/>
              </w:rPr>
              <w:t>Software</w:t>
            </w:r>
          </w:p>
        </w:tc>
        <w:tc>
          <w:tcPr>
            <w:tcW w:w="236" w:type="dxa"/>
          </w:tcPr>
          <w:p w:rsidR="00207811" w:rsidRPr="00207811" w:rsidP="00207811" w14:paraId="662AE76B" w14:textId="77777777">
            <w:pPr>
              <w:jc w:val="both"/>
              <w:rPr>
                <w:sz w:val="22"/>
                <w:szCs w:val="22"/>
              </w:rPr>
            </w:pPr>
          </w:p>
        </w:tc>
        <w:tc>
          <w:tcPr>
            <w:tcW w:w="3123" w:type="dxa"/>
          </w:tcPr>
          <w:p w:rsidR="00207811" w:rsidRPr="00207811" w:rsidP="00207811" w14:paraId="16FCED2F" w14:textId="77777777">
            <w:pPr>
              <w:jc w:val="center"/>
              <w:rPr>
                <w:sz w:val="22"/>
                <w:szCs w:val="22"/>
              </w:rPr>
            </w:pPr>
            <w:r w:rsidRPr="00207811">
              <w:rPr>
                <w:sz w:val="22"/>
                <w:szCs w:val="22"/>
              </w:rPr>
              <w:t>3</w:t>
            </w:r>
          </w:p>
        </w:tc>
      </w:tr>
    </w:tbl>
    <w:p w:rsidR="00207811" w:rsidRPr="00207811" w:rsidP="00207811" w14:paraId="7A8128D9" w14:textId="77777777">
      <w:pPr>
        <w:jc w:val="both"/>
        <w:rPr>
          <w:bCs/>
          <w:sz w:val="22"/>
          <w:szCs w:val="22"/>
        </w:rPr>
      </w:pPr>
    </w:p>
    <w:p w:rsidR="00207811" w:rsidRPr="00207811" w:rsidP="00207811" w14:paraId="48090551" w14:textId="77777777">
      <w:pPr>
        <w:jc w:val="both"/>
        <w:rPr>
          <w:sz w:val="22"/>
          <w:szCs w:val="22"/>
        </w:rPr>
      </w:pPr>
      <w:r w:rsidRPr="00207811">
        <w:rPr>
          <w:sz w:val="22"/>
          <w:szCs w:val="22"/>
        </w:rPr>
        <w:t xml:space="preserve">Land, including permanent improvements, and software in development are not depreciated.  Normal maintenance and repair costs are expensed as incurred.  </w:t>
      </w:r>
    </w:p>
    <w:p w:rsidR="00207811" w:rsidRPr="00207811" w:rsidP="00207811" w14:paraId="1D1DDFA7" w14:textId="77777777">
      <w:pPr>
        <w:jc w:val="both"/>
        <w:rPr>
          <w:sz w:val="22"/>
          <w:szCs w:val="22"/>
        </w:rPr>
      </w:pPr>
    </w:p>
    <w:p w:rsidR="00207811" w:rsidRPr="00207811" w:rsidP="00207811" w14:paraId="1E19BA60" w14:textId="77777777">
      <w:pPr>
        <w:jc w:val="both"/>
        <w:rPr>
          <w:sz w:val="22"/>
          <w:szCs w:val="22"/>
        </w:rPr>
      </w:pPr>
      <w:r w:rsidRPr="00207811">
        <w:rPr>
          <w:sz w:val="22"/>
          <w:szCs w:val="22"/>
        </w:rPr>
        <w:t>Leasehold and building improvements, which includes all costs incurred during the design and construction phase of the improvement, are either amortized over the remaining life of the lease or building, respectively, or the useful life of the improvement, whichever is shorter.</w:t>
      </w:r>
    </w:p>
    <w:p w:rsidR="00207811" w:rsidRPr="00207811" w:rsidP="00207811" w14:paraId="5C0FAAE6" w14:textId="77777777">
      <w:pPr>
        <w:jc w:val="both"/>
        <w:rPr>
          <w:bCs/>
          <w:sz w:val="22"/>
          <w:szCs w:val="22"/>
        </w:rPr>
      </w:pPr>
    </w:p>
    <w:p w:rsidR="00207811" w:rsidRPr="00207811" w:rsidP="00207811" w14:paraId="601C11F8"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G</w:t>
      </w:r>
      <w:r w:rsidRPr="00207811">
        <w:rPr>
          <w:b/>
          <w:bCs/>
          <w:sz w:val="22"/>
          <w:szCs w:val="22"/>
        </w:rPr>
        <w:t xml:space="preserve">.  </w:t>
      </w:r>
      <w:r w:rsidRPr="00207811">
        <w:rPr>
          <w:b/>
          <w:bCs/>
          <w:sz w:val="22"/>
          <w:szCs w:val="22"/>
        </w:rPr>
        <w:t>Advances and Prepayments</w:t>
      </w:r>
      <w:r w:rsidRPr="00207811">
        <w:rPr>
          <w:b/>
          <w:bCs/>
          <w:sz w:val="22"/>
          <w:szCs w:val="22"/>
        </w:rPr>
        <w:t xml:space="preserve"> </w:t>
      </w:r>
    </w:p>
    <w:p w:rsidR="00207811" w:rsidRPr="00207811" w:rsidP="00207811" w14:paraId="2FEA3DD2" w14:textId="77777777">
      <w:pPr>
        <w:jc w:val="both"/>
        <w:rPr>
          <w:sz w:val="22"/>
          <w:szCs w:val="22"/>
        </w:rPr>
      </w:pPr>
    </w:p>
    <w:p w:rsidR="00207811" w:rsidRPr="00207811" w:rsidP="00207811" w14:paraId="48527C40" w14:textId="77777777">
      <w:pPr>
        <w:jc w:val="both"/>
        <w:rPr>
          <w:b/>
          <w:bCs/>
          <w:sz w:val="22"/>
          <w:szCs w:val="22"/>
        </w:rPr>
      </w:pPr>
      <w:r w:rsidRPr="00207811">
        <w:rPr>
          <w:sz w:val="22"/>
          <w:szCs w:val="22"/>
        </w:rPr>
        <w:t>Intragovernmental advances and prepayments represent advance payments for intragovernmental agreements.  Advances and prepayments with the public represent the balance of transfers less expenses made by the USF to the Universal Service Administrative Company (USAC), the USF administrator, to fund administrative costs in advance.  Advances are drawn down as expenses are incurred, and a balance typically remains in this account for future expenses.</w:t>
      </w:r>
    </w:p>
    <w:p w:rsidR="00207811" w:rsidRPr="00207811" w:rsidP="00207811" w14:paraId="1F7590B9" w14:textId="77777777">
      <w:pPr>
        <w:jc w:val="both"/>
        <w:rPr>
          <w:sz w:val="22"/>
          <w:szCs w:val="22"/>
        </w:rPr>
      </w:pPr>
    </w:p>
    <w:p w:rsidR="00207811" w:rsidRPr="00207811" w:rsidP="00207811" w14:paraId="7C3DCB24" w14:textId="77777777">
      <w:pPr>
        <w:keepNext/>
        <w:widowControl w:val="0"/>
        <w:overflowPunct w:val="0"/>
        <w:autoSpaceDE w:val="0"/>
        <w:autoSpaceDN w:val="0"/>
        <w:adjustRightInd w:val="0"/>
        <w:jc w:val="both"/>
        <w:textAlignment w:val="baseline"/>
        <w:outlineLvl w:val="3"/>
        <w:rPr>
          <w:b/>
          <w:bCs/>
          <w:sz w:val="22"/>
          <w:szCs w:val="22"/>
        </w:rPr>
      </w:pPr>
      <w:bookmarkStart w:id="139" w:name="_Hlk204768412"/>
      <w:bookmarkStart w:id="140" w:name="_Hlk14244076"/>
      <w:r w:rsidRPr="00207811">
        <w:rPr>
          <w:b/>
          <w:bCs/>
          <w:sz w:val="22"/>
          <w:szCs w:val="22"/>
        </w:rPr>
        <w:t>H.  Accounts Payable and Accrued Liabilities</w:t>
      </w:r>
    </w:p>
    <w:p w:rsidR="00207811" w:rsidRPr="00207811" w:rsidP="00207811" w14:paraId="69A71E49" w14:textId="77777777">
      <w:pPr>
        <w:jc w:val="both"/>
        <w:rPr>
          <w:rFonts w:eastAsia="Calibri"/>
          <w:sz w:val="22"/>
          <w:szCs w:val="22"/>
        </w:rPr>
      </w:pPr>
      <w:bookmarkStart w:id="141" w:name="_Toc73190397"/>
      <w:bookmarkEnd w:id="139"/>
    </w:p>
    <w:p w:rsidR="00207811" w:rsidRPr="00207811" w:rsidP="00207811" w14:paraId="4B41BA40" w14:textId="77777777">
      <w:pPr>
        <w:jc w:val="both"/>
        <w:rPr>
          <w:rFonts w:eastAsia="Calibri"/>
          <w:sz w:val="22"/>
          <w:szCs w:val="22"/>
        </w:rPr>
      </w:pPr>
      <w:r w:rsidRPr="00207811">
        <w:rPr>
          <w:rFonts w:eastAsia="Calibri"/>
          <w:sz w:val="22"/>
          <w:szCs w:val="22"/>
        </w:rPr>
        <w:t xml:space="preserve">Accounts Payable and Accrued Liabilities represent a probable future outflow or other sacrifice of resources as a result of past transactions or events.  Liabilities are recognized when they are incurred, regardless of whether they are covered by available budgetary resources.  Liabilities cannot be liquidated without legislation that provides resources to do so.  Payments of all liabilities other than contracts can be abrogated by the U.S. Government, which is a sovereign entity, and its components, which includes the Commission.  </w:t>
      </w:r>
    </w:p>
    <w:p w:rsidR="00207811" w:rsidRPr="00207811" w:rsidP="00207811" w14:paraId="3392FA06" w14:textId="77777777">
      <w:pPr>
        <w:jc w:val="both"/>
        <w:rPr>
          <w:rFonts w:eastAsia="Calibri"/>
          <w:sz w:val="22"/>
          <w:szCs w:val="22"/>
        </w:rPr>
      </w:pPr>
    </w:p>
    <w:p w:rsidR="00207811" w:rsidRPr="00207811" w:rsidP="00207811" w14:paraId="288E8AAD" w14:textId="77777777">
      <w:pPr>
        <w:jc w:val="both"/>
        <w:rPr>
          <w:rFonts w:eastAsia="Calibri"/>
          <w:sz w:val="22"/>
          <w:szCs w:val="22"/>
        </w:rPr>
      </w:pPr>
      <w:r w:rsidRPr="00207811">
        <w:rPr>
          <w:rFonts w:eastAsia="Calibri"/>
          <w:sz w:val="22"/>
          <w:szCs w:val="22"/>
        </w:rPr>
        <w:t>The USF and TRS expenses are non-exchange expenses.  Accrued Liabilities for USF mostly represent liabilities recorded for anticipated subsidies in the Lifeline program, and for all legacy support mechanisms within the High Cost program, and TRS support mechanisms.  An Accounts Payable accrual is recorded for subsidies related to support mechanisms in TRS and the following USF programs:  Connect America Fund (CAF) Phase II, CAF Phase II reverse auction (CAF II Auction), Rural Broadband Experiment, Alternative Connected America Cost Model (A-CAM), A-CAM II, Enhanced A-CAM (EACAM), Alaska Plan, Puerto Rico and the Virgin Islands, and Rural Digital Opportunity Fund (RDOF).  The Commission does not accrue for payments under the E-Rate or Rural Health Care Programs until potentially eligible costs pass through a thorough review process and the costs are approved for disbursement.</w:t>
      </w:r>
    </w:p>
    <w:p w:rsidR="00207811" w:rsidRPr="00207811" w:rsidP="00207811" w14:paraId="7F6AE829" w14:textId="77777777">
      <w:pPr>
        <w:jc w:val="both"/>
        <w:rPr>
          <w:rFonts w:eastAsia="Calibri"/>
          <w:sz w:val="22"/>
          <w:szCs w:val="22"/>
        </w:rPr>
      </w:pPr>
    </w:p>
    <w:p w:rsidR="00207811" w:rsidRPr="00207811" w:rsidP="00207811" w14:paraId="43595A84" w14:textId="77777777">
      <w:pPr>
        <w:jc w:val="both"/>
        <w:rPr>
          <w:sz w:val="22"/>
          <w:szCs w:val="22"/>
        </w:rPr>
      </w:pPr>
      <w:r w:rsidRPr="00207811">
        <w:rPr>
          <w:sz w:val="22"/>
          <w:szCs w:val="22"/>
        </w:rPr>
        <w:t xml:space="preserve">Similar to the USF Rural Health Care and E-Rate Programs, the expenses related to the Secure and Trusted Networks Communications Act Reimbursement Program, also known as the Supply Chain Reimbursement Program (SCRP), and the ECF are non-exchange expenses.  The Commission does not accrue payments under the SCRP or ECF until submitted eligible expenses are approved for payment.  The ACP expenses are also non-exchange and similar to the Lifeline Program, and as such, the Commission accrues the expected payments.  </w:t>
      </w:r>
    </w:p>
    <w:p w:rsidR="00207811" w:rsidRPr="00207811" w:rsidP="00207811" w14:paraId="55F249E7" w14:textId="77777777">
      <w:pPr>
        <w:jc w:val="both"/>
        <w:rPr>
          <w:sz w:val="22"/>
          <w:szCs w:val="22"/>
        </w:rPr>
      </w:pPr>
    </w:p>
    <w:p w:rsidR="00207811" w:rsidRPr="00207811" w:rsidP="00207811" w14:paraId="4B09F57D" w14:textId="77777777">
      <w:pPr>
        <w:jc w:val="both"/>
        <w:rPr>
          <w:sz w:val="22"/>
          <w:szCs w:val="22"/>
        </w:rPr>
      </w:pPr>
    </w:p>
    <w:p w:rsidR="00207811" w:rsidRPr="00207811" w:rsidP="00207811" w14:paraId="581B9CB1" w14:textId="77777777">
      <w:pPr>
        <w:jc w:val="both"/>
        <w:rPr>
          <w:b/>
          <w:sz w:val="22"/>
          <w:szCs w:val="22"/>
        </w:rPr>
      </w:pPr>
      <w:bookmarkStart w:id="142" w:name="_Hlk148597455"/>
      <w:bookmarkStart w:id="143" w:name="_Hlk77338626"/>
      <w:r w:rsidRPr="00207811">
        <w:rPr>
          <w:b/>
          <w:sz w:val="22"/>
          <w:szCs w:val="22"/>
        </w:rPr>
        <w:t>Note 1 – Summary of Significant Accounting Policies (continued)</w:t>
      </w:r>
    </w:p>
    <w:p w:rsidR="00207811" w:rsidRPr="00207811" w:rsidP="00207811" w14:paraId="36571BCD" w14:textId="77777777">
      <w:pPr>
        <w:jc w:val="both"/>
        <w:rPr>
          <w:bCs/>
          <w:sz w:val="22"/>
          <w:szCs w:val="22"/>
        </w:rPr>
      </w:pPr>
    </w:p>
    <w:bookmarkEnd w:id="140"/>
    <w:bookmarkEnd w:id="141"/>
    <w:bookmarkEnd w:id="142"/>
    <w:bookmarkEnd w:id="143"/>
    <w:p w:rsidR="00207811" w:rsidRPr="00207811" w:rsidP="00207811" w14:paraId="46D257B9"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I.  Advances From Others and Deferred Revenue</w:t>
      </w:r>
    </w:p>
    <w:p w:rsidR="00207811" w:rsidRPr="00207811" w:rsidP="00207811" w14:paraId="0E7C1C4B" w14:textId="77777777">
      <w:pPr>
        <w:jc w:val="both"/>
        <w:rPr>
          <w:sz w:val="22"/>
          <w:szCs w:val="22"/>
        </w:rPr>
      </w:pPr>
    </w:p>
    <w:p w:rsidR="00207811" w:rsidRPr="00207811" w:rsidP="00207811" w14:paraId="4A5612AE" w14:textId="77777777">
      <w:pPr>
        <w:jc w:val="both"/>
        <w:rPr>
          <w:sz w:val="22"/>
          <w:szCs w:val="22"/>
        </w:rPr>
      </w:pPr>
      <w:r w:rsidRPr="00207811">
        <w:rPr>
          <w:sz w:val="22"/>
          <w:szCs w:val="22"/>
        </w:rPr>
        <w:t>The Commission’s advances from others and deferred revenue consists of intragovernmental advances and deferred revenue.  Intergovernmental advances are the result of interagency agreements where the Commission agrees to provide certain services.</w:t>
      </w:r>
    </w:p>
    <w:p w:rsidR="00207811" w:rsidRPr="00207811" w:rsidP="00207811" w14:paraId="63178835" w14:textId="77777777">
      <w:pPr>
        <w:jc w:val="both"/>
        <w:rPr>
          <w:sz w:val="22"/>
          <w:szCs w:val="22"/>
        </w:rPr>
      </w:pPr>
    </w:p>
    <w:p w:rsidR="00207811" w:rsidRPr="00207811" w:rsidP="00207811" w14:paraId="18D141C8" w14:textId="77777777">
      <w:pPr>
        <w:jc w:val="both"/>
        <w:rPr>
          <w:sz w:val="22"/>
          <w:szCs w:val="22"/>
        </w:rPr>
      </w:pPr>
      <w:r w:rsidRPr="00207811">
        <w:rPr>
          <w:sz w:val="22"/>
          <w:szCs w:val="22"/>
        </w:rPr>
        <w:t xml:space="preserve">The Commission collects proceeds from the sale of spectrum licenses to the public on behalf of the U.S. Government.  All proceeds collected up to the amount of the net winning bid are recognized as deferred revenue until a “prepared to grant” or “grant” public notice is issued.  </w:t>
      </w:r>
    </w:p>
    <w:p w:rsidR="00207811" w:rsidRPr="00207811" w:rsidP="00207811" w14:paraId="2ED5580B" w14:textId="77777777">
      <w:pPr>
        <w:jc w:val="both"/>
        <w:rPr>
          <w:sz w:val="22"/>
          <w:szCs w:val="22"/>
        </w:rPr>
      </w:pPr>
    </w:p>
    <w:p w:rsidR="00207811" w:rsidRPr="00207811" w:rsidP="00207811" w14:paraId="499F754A" w14:textId="77777777">
      <w:pPr>
        <w:jc w:val="both"/>
        <w:rPr>
          <w:sz w:val="22"/>
          <w:szCs w:val="22"/>
        </w:rPr>
      </w:pPr>
      <w:r w:rsidRPr="00207811">
        <w:rPr>
          <w:sz w:val="22"/>
          <w:szCs w:val="22"/>
        </w:rPr>
        <w:t>In addition, the Commission collects multi-year regulatory fees for five and ten-year periods that are recorded as deferred revenue and amortized over the period of the fee.</w:t>
      </w:r>
    </w:p>
    <w:p w:rsidR="00207811" w:rsidRPr="00207811" w:rsidP="00207811" w14:paraId="056362D1" w14:textId="77777777">
      <w:pPr>
        <w:jc w:val="both"/>
        <w:rPr>
          <w:sz w:val="22"/>
          <w:szCs w:val="22"/>
        </w:rPr>
      </w:pPr>
    </w:p>
    <w:p w:rsidR="00207811" w:rsidRPr="00207811" w:rsidP="00207811" w14:paraId="50D2919D" w14:textId="77777777">
      <w:pPr>
        <w:jc w:val="both"/>
        <w:rPr>
          <w:sz w:val="22"/>
          <w:szCs w:val="22"/>
        </w:rPr>
      </w:pPr>
      <w:r w:rsidRPr="00207811">
        <w:rPr>
          <w:sz w:val="22"/>
          <w:szCs w:val="22"/>
        </w:rPr>
        <w:t>The TRS collects contributions from telecommunications carriers to cover the costs of the programs.  Some carriers have the option of paying monthly or annually.  The unearned portion of annual contributions is recognized as deferred revenue.</w:t>
      </w:r>
    </w:p>
    <w:p w:rsidR="00207811" w:rsidRPr="00207811" w:rsidP="00207811" w14:paraId="39291BE3" w14:textId="77777777">
      <w:pPr>
        <w:rPr>
          <w:sz w:val="22"/>
          <w:szCs w:val="22"/>
          <w:u w:val="single"/>
        </w:rPr>
      </w:pPr>
    </w:p>
    <w:p w:rsidR="00207811" w:rsidRPr="00207811" w:rsidP="00207811" w14:paraId="791FA3DC" w14:textId="77777777">
      <w:pPr>
        <w:keepNext/>
        <w:widowControl w:val="0"/>
        <w:overflowPunct w:val="0"/>
        <w:autoSpaceDE w:val="0"/>
        <w:autoSpaceDN w:val="0"/>
        <w:adjustRightInd w:val="0"/>
        <w:jc w:val="both"/>
        <w:textAlignment w:val="baseline"/>
        <w:outlineLvl w:val="3"/>
        <w:rPr>
          <w:b/>
          <w:bCs/>
          <w:sz w:val="22"/>
          <w:szCs w:val="22"/>
        </w:rPr>
      </w:pPr>
      <w:bookmarkStart w:id="144" w:name="_Hlk527452514"/>
      <w:r w:rsidRPr="00207811">
        <w:rPr>
          <w:b/>
          <w:bCs/>
          <w:sz w:val="22"/>
          <w:szCs w:val="22"/>
        </w:rPr>
        <w:t>J.  Retirement Plans and Other Benefits</w:t>
      </w:r>
    </w:p>
    <w:bookmarkEnd w:id="144"/>
    <w:p w:rsidR="00207811" w:rsidRPr="00207811" w:rsidP="00207811" w14:paraId="4DDE2B4D" w14:textId="77777777">
      <w:pPr>
        <w:jc w:val="both"/>
        <w:rPr>
          <w:sz w:val="22"/>
          <w:szCs w:val="22"/>
        </w:rPr>
      </w:pPr>
    </w:p>
    <w:p w:rsidR="00207811" w:rsidRPr="00207811" w:rsidP="00207811" w14:paraId="5F3016E4" w14:textId="77777777">
      <w:pPr>
        <w:jc w:val="both"/>
        <w:rPr>
          <w:sz w:val="22"/>
          <w:szCs w:val="22"/>
        </w:rPr>
      </w:pPr>
      <w:r w:rsidRPr="00207811">
        <w:rPr>
          <w:sz w:val="22"/>
          <w:szCs w:val="22"/>
        </w:rPr>
        <w:t>Federal employee benefits consist of the actuarial portion of future benefits earned by federal employees, including pensions, other retirement benefits, and other post-employment benefits.  The Office of Personnel Management (OPM) administers these benefits.  The Commission does not recognize any liability on the Balance Sheet for pensions, other retirement benefits, and other post-employment benefits.  The Commission recognizes and allocates the imputed costs on the Statement of Net Cost and recognizes imputed financing related to these costs on the Statement of Changes in Net Position.</w:t>
      </w:r>
    </w:p>
    <w:p w:rsidR="00207811" w:rsidRPr="00207811" w:rsidP="00207811" w14:paraId="52EB1493" w14:textId="77777777">
      <w:pPr>
        <w:jc w:val="both"/>
        <w:rPr>
          <w:sz w:val="22"/>
          <w:szCs w:val="22"/>
        </w:rPr>
      </w:pPr>
    </w:p>
    <w:p w:rsidR="00207811" w:rsidRPr="00207811" w:rsidP="00207811" w14:paraId="1F812CE3" w14:textId="77777777">
      <w:pPr>
        <w:jc w:val="both"/>
        <w:rPr>
          <w:sz w:val="22"/>
          <w:szCs w:val="22"/>
        </w:rPr>
      </w:pPr>
      <w:r w:rsidRPr="00207811">
        <w:rPr>
          <w:sz w:val="22"/>
          <w:szCs w:val="22"/>
        </w:rPr>
        <w:t xml:space="preserve">Pensions provide benefits upon retirement and may also provide benefits for death, disability, or other separations from employment before retirement.  Pension plans may also include benefits to survivors and dependents, and they may contain early retirement or other special features.  Most Commission employees participate in the Civil Service Retirement System (CSRS), the Federal Employee Retirement System (FERS), the FERS-Revised Annuity Employee (FERS-RAE), or the FERS-Further Revised Annuity Employee (FERS-FRAE).  Under CSRS, the Commission makes matching contributions equal to seven percent (7%) of basic pay.  Under all FERS plans, the Commission contributes the employer’s matching share for Social Security.  All employees are eligible to contribute to the Thrift Savings Plan (TSP), which is a defined contribution retirement savings and investment plan.  For those employees covered by the FERS plans, a TSP account is automatically established to which the Commission is required to contribute </w:t>
      </w:r>
      <w:r w:rsidRPr="00207811">
        <w:rPr>
          <w:bCs/>
          <w:kern w:val="16"/>
          <w:sz w:val="22"/>
          <w:szCs w:val="22"/>
        </w:rPr>
        <w:t>one percent</w:t>
      </w:r>
      <w:r w:rsidRPr="00207811">
        <w:rPr>
          <w:sz w:val="22"/>
          <w:szCs w:val="22"/>
        </w:rPr>
        <w:t xml:space="preserve"> (1%) of gross pay, match dollar-for-dollar on the first </w:t>
      </w:r>
      <w:r w:rsidRPr="00207811">
        <w:rPr>
          <w:bCs/>
          <w:kern w:val="16"/>
          <w:sz w:val="22"/>
          <w:szCs w:val="22"/>
        </w:rPr>
        <w:t>three percent</w:t>
      </w:r>
      <w:r w:rsidRPr="00207811">
        <w:rPr>
          <w:sz w:val="22"/>
          <w:szCs w:val="22"/>
        </w:rPr>
        <w:t xml:space="preserve"> (3%) of pay contributed each pay period, and match 50 cents on the dollar for the next</w:t>
      </w:r>
      <w:r w:rsidRPr="00207811">
        <w:rPr>
          <w:bCs/>
          <w:kern w:val="16"/>
          <w:sz w:val="22"/>
          <w:szCs w:val="22"/>
        </w:rPr>
        <w:t xml:space="preserve"> two percent</w:t>
      </w:r>
      <w:r w:rsidRPr="00207811">
        <w:rPr>
          <w:sz w:val="22"/>
          <w:szCs w:val="22"/>
        </w:rPr>
        <w:t xml:space="preserve"> (2%) of pay contributed.  No government contributions are made to the TSP accounts established by CSRS employees.  Most employees hired after December 31, 1983, are covered by the FERS plans.  </w:t>
      </w:r>
    </w:p>
    <w:p w:rsidR="00207811" w:rsidRPr="00207811" w:rsidP="00207811" w14:paraId="39A3C001" w14:textId="77777777">
      <w:pPr>
        <w:jc w:val="both"/>
        <w:rPr>
          <w:sz w:val="22"/>
          <w:szCs w:val="22"/>
        </w:rPr>
      </w:pPr>
    </w:p>
    <w:p w:rsidR="00207811" w:rsidRPr="00207811" w:rsidP="00207811" w14:paraId="5A09C166" w14:textId="77777777">
      <w:pPr>
        <w:jc w:val="both"/>
        <w:rPr>
          <w:sz w:val="22"/>
          <w:szCs w:val="22"/>
        </w:rPr>
      </w:pPr>
      <w:r w:rsidRPr="00207811">
        <w:rPr>
          <w:sz w:val="22"/>
          <w:szCs w:val="22"/>
        </w:rPr>
        <w:t>OPM reports on CSRS, FERS, FERS-RAE, and FERS-FRAE assets, accumulated plan benefits, and unfunded liabilities, if any, applicable to Federal employees.  The actuarial liability for future workers’ compensation benefits payable includes the expected liability for death, disability, medical, and miscellaneous costs for approved compensation cases, as well as a component for incurred but not reported claims.  The liability is determined by using historical benefit payment patterns related to injury years to predict the ultimate payment.</w:t>
      </w:r>
    </w:p>
    <w:p w:rsidR="00207811" w:rsidRPr="00207811" w:rsidP="00207811" w14:paraId="434D5A7E" w14:textId="77777777">
      <w:pPr>
        <w:jc w:val="both"/>
        <w:rPr>
          <w:b/>
          <w:sz w:val="22"/>
          <w:szCs w:val="22"/>
        </w:rPr>
      </w:pPr>
    </w:p>
    <w:p w:rsidR="00207811" w:rsidRPr="00207811" w:rsidP="00207811" w14:paraId="099577F5" w14:textId="77777777">
      <w:pPr>
        <w:jc w:val="both"/>
        <w:rPr>
          <w:b/>
          <w:sz w:val="22"/>
          <w:szCs w:val="22"/>
        </w:rPr>
      </w:pPr>
    </w:p>
    <w:p w:rsidR="00207811" w:rsidRPr="00207811" w:rsidP="00207811" w14:paraId="46279FDC" w14:textId="77777777">
      <w:pPr>
        <w:jc w:val="both"/>
        <w:rPr>
          <w:b/>
          <w:sz w:val="22"/>
          <w:szCs w:val="22"/>
        </w:rPr>
      </w:pPr>
      <w:r w:rsidRPr="00207811">
        <w:rPr>
          <w:b/>
          <w:sz w:val="22"/>
          <w:szCs w:val="22"/>
        </w:rPr>
        <w:t>Note 1 – Summary of Significant Accounting Policies (continued)</w:t>
      </w:r>
    </w:p>
    <w:p w:rsidR="00207811" w:rsidRPr="00207811" w:rsidP="00207811" w14:paraId="792C9B0D" w14:textId="77777777">
      <w:pPr>
        <w:jc w:val="both"/>
        <w:rPr>
          <w:sz w:val="22"/>
          <w:szCs w:val="22"/>
        </w:rPr>
      </w:pPr>
    </w:p>
    <w:p w:rsidR="00207811" w:rsidRPr="00207811" w:rsidP="00207811" w14:paraId="3F4543A6" w14:textId="77777777">
      <w:pPr>
        <w:rPr>
          <w:b/>
          <w:bCs/>
          <w:sz w:val="22"/>
          <w:szCs w:val="22"/>
        </w:rPr>
      </w:pPr>
      <w:r w:rsidRPr="00207811">
        <w:rPr>
          <w:b/>
          <w:bCs/>
          <w:sz w:val="22"/>
          <w:szCs w:val="22"/>
        </w:rPr>
        <w:t>J.  Retirement Plans and Other Benefits (continued)</w:t>
      </w:r>
    </w:p>
    <w:p w:rsidR="00207811" w:rsidRPr="00207811" w:rsidP="00207811" w14:paraId="5F410FF1" w14:textId="77777777">
      <w:pPr>
        <w:jc w:val="both"/>
        <w:rPr>
          <w:sz w:val="22"/>
          <w:szCs w:val="22"/>
        </w:rPr>
      </w:pPr>
    </w:p>
    <w:p w:rsidR="00207811" w:rsidRPr="00207811" w:rsidP="00207811" w14:paraId="5E0D8C2E" w14:textId="77777777">
      <w:pPr>
        <w:jc w:val="both"/>
        <w:rPr>
          <w:sz w:val="22"/>
          <w:szCs w:val="22"/>
        </w:rPr>
      </w:pPr>
      <w:r w:rsidRPr="00207811">
        <w:rPr>
          <w:sz w:val="22"/>
          <w:szCs w:val="22"/>
        </w:rPr>
        <w:t xml:space="preserve">The unfunded Federal Employees’ Compensation Act (FECA) liability covers compensation and medical benefits for work related injury.  The calculation takes the amount of benefit payments over the last nine to twelve quarters and then calculates the annual average of payments.  The compensation and medical payments can be found in the chargeback reports that are issued by the U.S. Department of Labor.  </w:t>
      </w:r>
    </w:p>
    <w:p w:rsidR="00207811" w:rsidRPr="00207811" w:rsidP="00207811" w14:paraId="48C7B5AC" w14:textId="77777777">
      <w:pPr>
        <w:jc w:val="both"/>
        <w:rPr>
          <w:sz w:val="22"/>
          <w:szCs w:val="22"/>
        </w:rPr>
      </w:pPr>
    </w:p>
    <w:p w:rsidR="00207811" w:rsidRPr="00207811" w:rsidP="00207811" w14:paraId="30917614"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K.  Leave</w:t>
      </w:r>
    </w:p>
    <w:p w:rsidR="00207811" w:rsidRPr="00207811" w:rsidP="00207811" w14:paraId="576BBB00" w14:textId="77777777">
      <w:pPr>
        <w:jc w:val="both"/>
        <w:rPr>
          <w:sz w:val="22"/>
          <w:szCs w:val="22"/>
        </w:rPr>
      </w:pPr>
    </w:p>
    <w:p w:rsidR="00207811" w:rsidRPr="00207811" w:rsidP="00207811" w14:paraId="5AF1D1C1" w14:textId="77777777">
      <w:pPr>
        <w:jc w:val="both"/>
        <w:rPr>
          <w:sz w:val="22"/>
          <w:szCs w:val="22"/>
        </w:rPr>
      </w:pPr>
      <w:r w:rsidRPr="00207811">
        <w:rPr>
          <w:sz w:val="22"/>
          <w:szCs w:val="22"/>
        </w:rPr>
        <w:t xml:space="preserve">Annual leave is accrued as earned, and the accrual is reduced as leave is taken.  Each year, the balance in the accrued annual leave account is adjusted to reflect current leave balances and pay rates.  Annual leave is reflected as a liability not covered by current budgetary resources.  Sick leave and other types of non-vested leave are expensed as taken.  </w:t>
      </w:r>
    </w:p>
    <w:p w:rsidR="00207811" w:rsidRPr="00207811" w:rsidP="00207811" w14:paraId="0A08C264" w14:textId="77777777">
      <w:pPr>
        <w:rPr>
          <w:sz w:val="22"/>
          <w:szCs w:val="22"/>
        </w:rPr>
      </w:pPr>
    </w:p>
    <w:p w:rsidR="00207811" w:rsidRPr="00207811" w:rsidP="00207811" w14:paraId="0D1631AD"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L.  Exchange Revenue, Non-Exchange Revenue, and Financing Sources</w:t>
      </w:r>
    </w:p>
    <w:p w:rsidR="00207811" w:rsidRPr="00207811" w:rsidP="00207811" w14:paraId="277C67EE" w14:textId="77777777">
      <w:pPr>
        <w:jc w:val="both"/>
        <w:rPr>
          <w:sz w:val="22"/>
          <w:szCs w:val="22"/>
          <w:u w:val="single"/>
        </w:rPr>
      </w:pPr>
    </w:p>
    <w:p w:rsidR="00207811" w:rsidRPr="00207811" w:rsidP="00207811" w14:paraId="6AABE422" w14:textId="77777777">
      <w:pPr>
        <w:jc w:val="both"/>
        <w:rPr>
          <w:sz w:val="22"/>
          <w:szCs w:val="22"/>
        </w:rPr>
      </w:pPr>
      <w:r w:rsidRPr="00207811">
        <w:rPr>
          <w:sz w:val="22"/>
          <w:szCs w:val="22"/>
          <w:u w:val="single"/>
        </w:rPr>
        <w:t>Regulatory Fee Offsetting Collections (Exchange)</w:t>
      </w:r>
      <w:r w:rsidRPr="00207811">
        <w:rPr>
          <w:sz w:val="22"/>
          <w:szCs w:val="22"/>
        </w:rPr>
        <w:t xml:space="preserve"> – Pursuant to 47 U.S.C. § 159, the Commission assesses and collects regulatory fees to recover the costs incurred in carrying out its mission through its strategic goals:  Accelerate High-Speed Internet Builds; Promote National Security and Public Safety; Protect Consumers and Promote Free Speech; and Enhance Efficiency and Accountability, and Reduce Waste. Since 1993, Congress annually reviews the regulatory fee collection requirements of the Commission and establishes the total regulatory fee levels to be collected in annual Appropriations Acts.  Regulatory fees collected up to the level established by Congress are applied against the Commission’s appropriation at the close of each fiscal year.  The Repack Airwaves Yielding Better Access for Users of Modern Services Act of 2018 (RAY BAUM’S Act), Division P of P. L. 115-141, requires the Commission to transfer all excess regulatory fee collections from prior and subsequent fiscal years to the General Fund of the Treasury for the sole purpose of deficit reduction.  The Commission collected the appropriated regulatory fee levels of $390,192.  Excess collections of $9,667 were transferred to the Treasury for the sole purpose of deficit reduction.</w:t>
      </w:r>
    </w:p>
    <w:p w:rsidR="00207811" w:rsidRPr="00207811" w:rsidP="00207811" w14:paraId="5F5BE1EA" w14:textId="77777777">
      <w:pPr>
        <w:jc w:val="both"/>
        <w:rPr>
          <w:b/>
          <w:sz w:val="22"/>
          <w:szCs w:val="22"/>
        </w:rPr>
      </w:pPr>
    </w:p>
    <w:p w:rsidR="00207811" w:rsidRPr="00207811" w:rsidP="00207811" w14:paraId="62F6A79F" w14:textId="77777777">
      <w:pPr>
        <w:jc w:val="both"/>
        <w:rPr>
          <w:sz w:val="22"/>
          <w:szCs w:val="22"/>
        </w:rPr>
      </w:pPr>
      <w:bookmarkStart w:id="145" w:name="_Toc73190398"/>
      <w:r w:rsidRPr="00207811">
        <w:rPr>
          <w:sz w:val="22"/>
          <w:szCs w:val="22"/>
          <w:u w:val="single"/>
        </w:rPr>
        <w:t>Competitive Bidding System Offsetting Collections (Exchange)</w:t>
      </w:r>
      <w:r w:rsidRPr="00207811">
        <w:rPr>
          <w:sz w:val="22"/>
          <w:szCs w:val="22"/>
        </w:rPr>
        <w:t xml:space="preserve"> – One of the Commission’s primary functions is managing the spectrum auctions program.  Proceeds from the auctions are initially remitted to</w:t>
      </w:r>
      <w:bookmarkEnd w:id="145"/>
      <w:r w:rsidRPr="00207811">
        <w:rPr>
          <w:sz w:val="22"/>
          <w:szCs w:val="22"/>
        </w:rPr>
        <w:t xml:space="preserve"> the Commission and are later transferred either to the Treasury or to the appropriate agency as required by applicable laws.  Pursuant to 47 U.S.C. § 309, the Commission may retain a portion of the spectrum auction proceeds to offset the cost of performing the auction function.  Collections used to offset the cost of performing auctions-related activity were appropriated at $136,167.</w:t>
      </w:r>
    </w:p>
    <w:p w:rsidR="00207811" w:rsidRPr="00207811" w:rsidP="00207811" w14:paraId="2B8961E5" w14:textId="77777777">
      <w:pPr>
        <w:jc w:val="both"/>
        <w:rPr>
          <w:sz w:val="22"/>
          <w:szCs w:val="22"/>
        </w:rPr>
      </w:pPr>
    </w:p>
    <w:p w:rsidR="00207811" w:rsidRPr="00207811" w:rsidP="00207811" w14:paraId="507D4D94" w14:textId="77777777">
      <w:pPr>
        <w:jc w:val="both"/>
        <w:rPr>
          <w:sz w:val="22"/>
          <w:szCs w:val="22"/>
        </w:rPr>
      </w:pPr>
      <w:r w:rsidRPr="00207811">
        <w:rPr>
          <w:sz w:val="22"/>
          <w:szCs w:val="22"/>
          <w:u w:val="single"/>
        </w:rPr>
        <w:t>Radio Spectrum Auction Proceeds (Exchange)</w:t>
      </w:r>
      <w:r w:rsidRPr="00207811">
        <w:rPr>
          <w:sz w:val="22"/>
          <w:szCs w:val="22"/>
        </w:rPr>
        <w:t xml:space="preserve"> –</w:t>
      </w:r>
      <w:r w:rsidRPr="00207811">
        <w:rPr>
          <w:bCs/>
          <w:sz w:val="22"/>
          <w:szCs w:val="22"/>
        </w:rPr>
        <w:t xml:space="preserve"> </w:t>
      </w:r>
      <w:r w:rsidRPr="00207811">
        <w:rPr>
          <w:sz w:val="22"/>
          <w:szCs w:val="22"/>
        </w:rPr>
        <w:t xml:space="preserve">In accordance with the provisions of SFFAS 7, </w:t>
      </w:r>
      <w:r w:rsidRPr="00207811">
        <w:rPr>
          <w:i/>
          <w:sz w:val="22"/>
          <w:szCs w:val="22"/>
        </w:rPr>
        <w:t>Accounting for Revenue and Other Financing Sources</w:t>
      </w:r>
      <w:r w:rsidRPr="00207811">
        <w:rPr>
          <w:sz w:val="22"/>
          <w:szCs w:val="22"/>
        </w:rPr>
        <w:t>, the Commission accounts for this exchange revenue as a custodial activity.  Revenue from spectrum auctions is recognized when a “prepared to grant” or “grant” public notice is issued.  The value of available spectrum is determined in the marketplace at the time of auction.</w:t>
      </w:r>
    </w:p>
    <w:p w:rsidR="00207811" w:rsidRPr="00207811" w:rsidP="00207811" w14:paraId="72161A3A" w14:textId="77777777">
      <w:pPr>
        <w:jc w:val="both"/>
        <w:rPr>
          <w:rFonts w:eastAsia="Calibri"/>
          <w:szCs w:val="24"/>
          <w14:ligatures w14:val="standardContextual"/>
        </w:rPr>
      </w:pPr>
    </w:p>
    <w:p w:rsidR="00207811" w:rsidRPr="00207811" w:rsidP="00207811" w14:paraId="54F91FC0" w14:textId="67064939">
      <w:pPr>
        <w:jc w:val="both"/>
        <w:rPr>
          <w:rFonts w:eastAsia="Calibri"/>
          <w:color w:val="000000"/>
          <w:sz w:val="22"/>
          <w:szCs w:val="22"/>
          <w14:ligatures w14:val="standardContextual"/>
        </w:rPr>
      </w:pPr>
      <w:r w:rsidRPr="00207811">
        <w:rPr>
          <w:rFonts w:eastAsia="Calibri"/>
          <w:color w:val="000000"/>
          <w:sz w:val="22"/>
          <w:szCs w:val="22"/>
          <w14:ligatures w14:val="standardContextual"/>
        </w:rPr>
        <w:t>The Commission’s authority to conduct new auctions and grant a license or permit under section 309(j) of the Communications Act expired March 9, 202</w:t>
      </w:r>
      <w:r w:rsidRPr="00207811" w:rsidR="3A98A7D9">
        <w:rPr>
          <w:rFonts w:eastAsia="Calibri"/>
          <w:color w:val="000000"/>
          <w:sz w:val="22"/>
          <w:szCs w:val="22"/>
          <w14:ligatures w14:val="standardContextual"/>
        </w:rPr>
        <w:t>3</w:t>
      </w:r>
      <w:r w:rsidRPr="00207811">
        <w:rPr>
          <w:rFonts w:eastAsia="Calibri"/>
          <w:color w:val="000000"/>
          <w:sz w:val="22"/>
          <w:szCs w:val="22"/>
          <w14:ligatures w14:val="standardContextual"/>
        </w:rPr>
        <w:t>, except that, with respect to the electromagnetic spectrum identified under section 1004(a) of the Spectrum Pipeline Act of 2015, such authority shall expire on September 30, 2025, and with respect to the electromagnetic spectrum identified under section 90008(b)(2)(A)(ii) of the Infrastructure Investment and Jobs Act (P.L. 117-58), such authority shall expire on November 15, 2028, seven (7) years after the date of enactment of that Act.</w:t>
      </w:r>
    </w:p>
    <w:p w:rsidR="00207811" w:rsidRPr="00207811" w:rsidP="00207811" w14:paraId="7443EC2D" w14:textId="77777777">
      <w:pPr>
        <w:jc w:val="both"/>
        <w:rPr>
          <w:b/>
          <w:sz w:val="22"/>
          <w:szCs w:val="22"/>
        </w:rPr>
      </w:pPr>
      <w:r w:rsidRPr="00207811">
        <w:rPr>
          <w:b/>
          <w:sz w:val="22"/>
          <w:szCs w:val="22"/>
        </w:rPr>
        <w:t>Note 1 – Summary of Significant Accounting Policies (continued)</w:t>
      </w:r>
    </w:p>
    <w:p w:rsidR="00207811" w:rsidRPr="00207811" w:rsidP="00207811" w14:paraId="6CC87BF9" w14:textId="77777777">
      <w:pPr>
        <w:jc w:val="both"/>
        <w:rPr>
          <w:sz w:val="22"/>
          <w:szCs w:val="22"/>
        </w:rPr>
      </w:pPr>
    </w:p>
    <w:p w:rsidR="00207811" w:rsidRPr="00207811" w:rsidP="00207811" w14:paraId="6248E296" w14:textId="77777777">
      <w:pPr>
        <w:rPr>
          <w:b/>
          <w:bCs/>
          <w:sz w:val="22"/>
          <w:szCs w:val="22"/>
        </w:rPr>
      </w:pPr>
      <w:r w:rsidRPr="00207811">
        <w:rPr>
          <w:b/>
          <w:bCs/>
          <w:sz w:val="22"/>
          <w:szCs w:val="22"/>
        </w:rPr>
        <w:t>L.  Exchange Revenue, Non-Exchange Revenue, and Financing Source (continued)</w:t>
      </w:r>
    </w:p>
    <w:p w:rsidR="00207811" w:rsidRPr="00207811" w:rsidP="00207811" w14:paraId="21297A52" w14:textId="77777777">
      <w:pPr>
        <w:jc w:val="both"/>
        <w:rPr>
          <w:sz w:val="22"/>
          <w:szCs w:val="22"/>
        </w:rPr>
      </w:pPr>
    </w:p>
    <w:p w:rsidR="00207811" w:rsidRPr="00207811" w:rsidP="00207811" w14:paraId="4F466FDC" w14:textId="77777777">
      <w:pPr>
        <w:jc w:val="both"/>
        <w:rPr>
          <w:rFonts w:ascii="Calibri" w:eastAsia="Calibri" w:hAnsi="Calibri" w:cs="Calibri"/>
          <w:sz w:val="22"/>
          <w:szCs w:val="22"/>
          <w14:ligatures w14:val="standardContextual"/>
        </w:rPr>
      </w:pPr>
      <w:r w:rsidRPr="00207811">
        <w:rPr>
          <w:rFonts w:eastAsia="Calibri"/>
          <w:color w:val="000000"/>
          <w:sz w:val="22"/>
          <w:szCs w:val="22"/>
          <w14:ligatures w14:val="standardContextual"/>
        </w:rPr>
        <w:t xml:space="preserve">The One Big Beautiful Bill Act (P.L. 119-21), section 43101, reauthorizes the Commission’s use of competitive bidding (auctions) to grant licenses for the use of specific frequencies through September 30, 2034. </w:t>
      </w:r>
    </w:p>
    <w:p w:rsidR="00207811" w:rsidRPr="00207811" w:rsidP="00207811" w14:paraId="5C3E1D1E" w14:textId="77777777">
      <w:pPr>
        <w:jc w:val="both"/>
        <w:rPr>
          <w:sz w:val="22"/>
          <w:szCs w:val="22"/>
        </w:rPr>
      </w:pPr>
    </w:p>
    <w:p w:rsidR="00207811" w:rsidRPr="00207811" w:rsidP="00207811" w14:paraId="55EFEBB4" w14:textId="77777777">
      <w:pPr>
        <w:jc w:val="both"/>
        <w:rPr>
          <w:sz w:val="22"/>
          <w:szCs w:val="22"/>
        </w:rPr>
      </w:pPr>
      <w:r w:rsidRPr="00207811">
        <w:rPr>
          <w:sz w:val="22"/>
          <w:szCs w:val="22"/>
        </w:rPr>
        <w:t>The Commission recognized $502 of custodial revenue (net of accrual adjustments) related to spectrum auctions.  There were no spectrum auction transfers.</w:t>
      </w:r>
    </w:p>
    <w:p w:rsidR="00207811" w:rsidRPr="00207811" w:rsidP="00207811" w14:paraId="70323021" w14:textId="77777777">
      <w:pPr>
        <w:jc w:val="both"/>
        <w:rPr>
          <w:sz w:val="22"/>
          <w:szCs w:val="22"/>
        </w:rPr>
      </w:pPr>
    </w:p>
    <w:p w:rsidR="00207811" w:rsidRPr="00207811" w:rsidP="00207811" w14:paraId="506D56BA" w14:textId="77777777">
      <w:pPr>
        <w:jc w:val="both"/>
        <w:rPr>
          <w:sz w:val="22"/>
          <w:szCs w:val="22"/>
        </w:rPr>
      </w:pPr>
      <w:r w:rsidRPr="00207811">
        <w:rPr>
          <w:sz w:val="22"/>
          <w:szCs w:val="22"/>
          <w:u w:val="single"/>
        </w:rPr>
        <w:t>Application Fees (Exchange)</w:t>
      </w:r>
      <w:r w:rsidRPr="00207811">
        <w:rPr>
          <w:sz w:val="22"/>
          <w:szCs w:val="22"/>
        </w:rPr>
        <w:t xml:space="preserve"> – </w:t>
      </w:r>
      <w:bookmarkStart w:id="146" w:name="_Hlk78212542"/>
      <w:r w:rsidRPr="00207811">
        <w:rPr>
          <w:sz w:val="22"/>
          <w:szCs w:val="22"/>
        </w:rPr>
        <w:t xml:space="preserve">Pursuant to 47 U.S.C. § 158, the Commission collects application processing fees at such rates as the Commission establishes in a schedule of application fees to recover the costs of the Commission to process applications.  Section 8(b) of the Act requires the Commission, in every even-numbered year, to adjust the schedule of application fees to reflect increases or decreases in the Consumer Price Index (CPI), rounded to the nearest $5 increment.  In addition to the CPI adjustment as required by 8(b) of the Act, section 8(c) of the Act requires the Commission to, by rule, amend the application fee schedule if the Commission determines that the schedule requires amendment so that:  (1) such fees reflect increases or decreases in the costs of processing applications at the Commission or (2) such schedule reflects the consolidation or addition of new categories of applications.  </w:t>
      </w:r>
      <w:bookmarkEnd w:id="146"/>
      <w:r w:rsidRPr="00207811">
        <w:rPr>
          <w:sz w:val="22"/>
          <w:szCs w:val="22"/>
        </w:rPr>
        <w:t>Application fees are deposited in the Treasury and are not available for the Commission’s use.  Application fee revenue totaled $19,976.  The most recent Order increasing application fees to reflect changes in the CPI index was adopted by the Commission on December 31, 2024 and released on January 7, 2025.</w:t>
      </w:r>
      <w:r w:rsidRPr="00207811">
        <w:rPr>
          <w:spacing w:val="-2"/>
          <w:sz w:val="22"/>
          <w:szCs w:val="22"/>
        </w:rPr>
        <w:t xml:space="preserve">  </w:t>
      </w:r>
    </w:p>
    <w:p w:rsidR="00207811" w:rsidRPr="00207811" w:rsidP="00207811" w14:paraId="0DA4F76A" w14:textId="77777777">
      <w:pPr>
        <w:jc w:val="both"/>
        <w:rPr>
          <w:b/>
          <w:sz w:val="22"/>
          <w:szCs w:val="22"/>
        </w:rPr>
      </w:pPr>
    </w:p>
    <w:p w:rsidR="00207811" w:rsidRPr="00207811" w:rsidP="00207811" w14:paraId="0CB448D2" w14:textId="77777777">
      <w:pPr>
        <w:contextualSpacing/>
        <w:jc w:val="both"/>
        <w:rPr>
          <w:sz w:val="22"/>
          <w:szCs w:val="22"/>
        </w:rPr>
      </w:pPr>
      <w:r w:rsidRPr="00207811">
        <w:rPr>
          <w:sz w:val="22"/>
          <w:szCs w:val="22"/>
          <w:u w:val="single"/>
        </w:rPr>
        <w:t>900 Megahertz (MHz) Anti-Windfall Program (Exchange)</w:t>
      </w:r>
      <w:r w:rsidRPr="00207811">
        <w:rPr>
          <w:sz w:val="22"/>
          <w:szCs w:val="22"/>
        </w:rPr>
        <w:t xml:space="preserve"> – On May 13, 2021, the Commission realigned the 900 MHz band to make available six megahertz of low-band spectrum for the development of critical</w:t>
      </w:r>
      <w:r w:rsidRPr="00207811">
        <w:t xml:space="preserve"> </w:t>
      </w:r>
      <w:r w:rsidRPr="00207811">
        <w:rPr>
          <w:sz w:val="22"/>
          <w:szCs w:val="22"/>
        </w:rPr>
        <w:t>wireless broadband technologies and services, while reserving the remaining four megahertz of spectrum for continued narrowband operations.  Applicants that relinquish less than six megahertz of spectrum are required to make an anti-windfall payment before the Commission will grant its 900 MHz broadband segment application.  Anti-windfall payment revenue totaled $3,546.</w:t>
      </w:r>
    </w:p>
    <w:p w:rsidR="00207811" w:rsidRPr="00207811" w:rsidP="00207811" w14:paraId="7B5A5350" w14:textId="77777777">
      <w:pPr>
        <w:jc w:val="both"/>
        <w:rPr>
          <w:b/>
          <w:sz w:val="22"/>
          <w:szCs w:val="22"/>
        </w:rPr>
      </w:pPr>
    </w:p>
    <w:p w:rsidR="00207811" w:rsidRPr="00207811" w:rsidP="00207811" w14:paraId="533B18A6" w14:textId="77777777">
      <w:pPr>
        <w:jc w:val="both"/>
        <w:rPr>
          <w:sz w:val="22"/>
          <w:szCs w:val="22"/>
        </w:rPr>
      </w:pPr>
      <w:bookmarkStart w:id="147" w:name="OLE_LINK1"/>
      <w:bookmarkStart w:id="148" w:name="OLE_LINK2"/>
      <w:r w:rsidRPr="00207811">
        <w:rPr>
          <w:sz w:val="22"/>
          <w:szCs w:val="22"/>
          <w:u w:val="single"/>
        </w:rPr>
        <w:t>Reimbursable Work Agreements (Exchange)</w:t>
      </w:r>
      <w:r w:rsidRPr="00207811">
        <w:rPr>
          <w:sz w:val="22"/>
          <w:szCs w:val="22"/>
        </w:rPr>
        <w:t xml:space="preserve"> – The Commission recognizes reimbursable work agreement revenue when earned, i.e., goods that have been delivered or services rendered.  The Commission executed agreements totaling $2,072.  </w:t>
      </w:r>
      <w:bookmarkEnd w:id="147"/>
      <w:bookmarkEnd w:id="148"/>
    </w:p>
    <w:p w:rsidR="00207811" w:rsidRPr="00207811" w:rsidP="00207811" w14:paraId="1D2D8A6C" w14:textId="77777777">
      <w:pPr>
        <w:jc w:val="both"/>
        <w:rPr>
          <w:sz w:val="22"/>
          <w:szCs w:val="22"/>
        </w:rPr>
      </w:pPr>
    </w:p>
    <w:p w:rsidR="00207811" w:rsidRPr="00207811" w:rsidP="00207811" w14:paraId="77241D35" w14:textId="77777777">
      <w:pPr>
        <w:jc w:val="both"/>
        <w:rPr>
          <w:sz w:val="22"/>
          <w:szCs w:val="22"/>
        </w:rPr>
      </w:pPr>
      <w:r w:rsidRPr="00207811">
        <w:rPr>
          <w:sz w:val="22"/>
          <w:szCs w:val="22"/>
          <w:u w:val="single"/>
        </w:rPr>
        <w:t>Allocation of Exchange Revenues</w:t>
      </w:r>
      <w:r w:rsidRPr="00207811">
        <w:rPr>
          <w:sz w:val="22"/>
          <w:szCs w:val="22"/>
        </w:rPr>
        <w:t xml:space="preserve"> – The Commission reports the entire balance of exchange revenue on the line “Less:  earned revenues not attributed to programs” since there is no direct relationship between earned revenues and specific programs.  </w:t>
      </w:r>
    </w:p>
    <w:p w:rsidR="00207811" w:rsidRPr="00207811" w:rsidP="00207811" w14:paraId="3F818180" w14:textId="77777777">
      <w:pPr>
        <w:jc w:val="both"/>
        <w:rPr>
          <w:sz w:val="22"/>
          <w:szCs w:val="22"/>
        </w:rPr>
      </w:pPr>
    </w:p>
    <w:p w:rsidR="00207811" w:rsidRPr="00207811" w:rsidP="00207811" w14:paraId="6651E018" w14:textId="77777777">
      <w:pPr>
        <w:jc w:val="both"/>
        <w:rPr>
          <w:sz w:val="22"/>
          <w:szCs w:val="22"/>
        </w:rPr>
      </w:pPr>
      <w:r w:rsidRPr="00207811">
        <w:rPr>
          <w:sz w:val="22"/>
          <w:szCs w:val="22"/>
          <w:u w:val="single"/>
        </w:rPr>
        <w:t>USF and TRS (Non-Exchange)</w:t>
      </w:r>
      <w:r w:rsidRPr="00207811">
        <w:rPr>
          <w:sz w:val="22"/>
          <w:szCs w:val="22"/>
        </w:rPr>
        <w:t xml:space="preserve"> – Carriers conducting interstate telecommunications are required to contribute a portion of their revenues to fund the cost of providing universal service programs and TRS.  These contributions represent dedicated collections.  </w:t>
      </w:r>
      <w:bookmarkStart w:id="149" w:name="_Hlk87352214"/>
      <w:r w:rsidRPr="00207811">
        <w:rPr>
          <w:sz w:val="22"/>
          <w:szCs w:val="22"/>
        </w:rPr>
        <w:t xml:space="preserve">In addition to contributions, non-exchange revenues also include fines, penalties, and interest.  Non-exchange revenues earned </w:t>
      </w:r>
      <w:bookmarkEnd w:id="149"/>
      <w:r w:rsidRPr="00207811">
        <w:rPr>
          <w:sz w:val="22"/>
          <w:szCs w:val="22"/>
        </w:rPr>
        <w:t>were $8,650,569 by USF and $1,489,849 by TRS.  For more information, refer to Note 11 Funds from Dedicated Collections.</w:t>
      </w:r>
    </w:p>
    <w:p w:rsidR="00207811" w:rsidRPr="00207811" w:rsidP="00207811" w14:paraId="6E0ED554" w14:textId="77777777">
      <w:pPr>
        <w:jc w:val="both"/>
        <w:rPr>
          <w:sz w:val="22"/>
          <w:szCs w:val="22"/>
          <w:u w:val="single"/>
        </w:rPr>
      </w:pPr>
    </w:p>
    <w:p w:rsidR="00207811" w:rsidRPr="00207811" w:rsidP="00207811" w14:paraId="4A1AE4D6" w14:textId="77777777">
      <w:pPr>
        <w:jc w:val="both"/>
        <w:rPr>
          <w:sz w:val="22"/>
          <w:szCs w:val="22"/>
        </w:rPr>
      </w:pPr>
      <w:bookmarkStart w:id="150" w:name="_Hlk75776469"/>
      <w:r w:rsidRPr="00207811">
        <w:rPr>
          <w:sz w:val="22"/>
          <w:szCs w:val="22"/>
          <w:u w:val="single"/>
        </w:rPr>
        <w:t>Appropriations (Financing Source)</w:t>
      </w:r>
      <w:r w:rsidRPr="00207811">
        <w:rPr>
          <w:sz w:val="22"/>
          <w:szCs w:val="22"/>
        </w:rPr>
        <w:t xml:space="preserve"> – The Commission receives a Salaries and Expenses appropriation from Congress.  These funds are used to pay for operations during the fiscal year and are repaid to the Treasury once regulatory fees are collected.  Since FY 2014, Congress has authorized the Commission to retain its appropriation as available until expended.  The Commission’s appropriations were $390,192.  </w:t>
      </w:r>
    </w:p>
    <w:p w:rsidR="00207811" w:rsidRPr="00207811" w:rsidP="00207811" w14:paraId="04C9C02F" w14:textId="77777777">
      <w:pPr>
        <w:autoSpaceDE w:val="0"/>
        <w:autoSpaceDN w:val="0"/>
        <w:adjustRightInd w:val="0"/>
        <w:jc w:val="both"/>
        <w:rPr>
          <w:sz w:val="22"/>
          <w:szCs w:val="22"/>
        </w:rPr>
      </w:pPr>
    </w:p>
    <w:bookmarkEnd w:id="150"/>
    <w:p w:rsidR="00D74E29" w:rsidP="00207811" w14:paraId="70C99BD0" w14:textId="77777777">
      <w:pPr>
        <w:keepNext/>
        <w:widowControl w:val="0"/>
        <w:overflowPunct w:val="0"/>
        <w:autoSpaceDE w:val="0"/>
        <w:autoSpaceDN w:val="0"/>
        <w:adjustRightInd w:val="0"/>
        <w:jc w:val="both"/>
        <w:textAlignment w:val="baseline"/>
        <w:outlineLvl w:val="3"/>
        <w:rPr>
          <w:b/>
          <w:sz w:val="22"/>
          <w:szCs w:val="22"/>
        </w:rPr>
      </w:pPr>
      <w:r w:rsidRPr="00207811">
        <w:rPr>
          <w:b/>
          <w:sz w:val="22"/>
          <w:szCs w:val="22"/>
        </w:rPr>
        <w:t>Note 1 – Summary of Significant Accounting Policies (continued)</w:t>
      </w:r>
    </w:p>
    <w:p w:rsidR="00D74E29" w:rsidP="00207811" w14:paraId="100D0883" w14:textId="77777777">
      <w:pPr>
        <w:keepNext/>
        <w:widowControl w:val="0"/>
        <w:overflowPunct w:val="0"/>
        <w:autoSpaceDE w:val="0"/>
        <w:autoSpaceDN w:val="0"/>
        <w:adjustRightInd w:val="0"/>
        <w:jc w:val="both"/>
        <w:textAlignment w:val="baseline"/>
        <w:outlineLvl w:val="3"/>
        <w:rPr>
          <w:b/>
          <w:sz w:val="22"/>
          <w:szCs w:val="22"/>
        </w:rPr>
      </w:pPr>
    </w:p>
    <w:p w:rsidR="00207811" w:rsidRPr="00207811" w:rsidP="00207811" w14:paraId="4ADE87C4" w14:textId="016B64F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M.  Net Position</w:t>
      </w:r>
    </w:p>
    <w:p w:rsidR="00207811" w:rsidRPr="00207811" w:rsidP="00207811" w14:paraId="560B48FD" w14:textId="77777777">
      <w:pPr>
        <w:jc w:val="both"/>
        <w:rPr>
          <w:sz w:val="22"/>
          <w:szCs w:val="22"/>
        </w:rPr>
      </w:pPr>
    </w:p>
    <w:p w:rsidR="00207811" w:rsidRPr="00207811" w:rsidP="00207811" w14:paraId="09FBE323" w14:textId="77777777">
      <w:pPr>
        <w:jc w:val="both"/>
        <w:rPr>
          <w:sz w:val="22"/>
          <w:szCs w:val="22"/>
        </w:rPr>
      </w:pPr>
      <w:r w:rsidRPr="00207811">
        <w:rPr>
          <w:sz w:val="22"/>
          <w:szCs w:val="22"/>
        </w:rPr>
        <w:t>Net Position is the residual difference between assets and liabilities and is comprised of Unexpended Appropriations and Cumulative Results of Operations.  Unexpended Appropriations represents the amount of unobligated and unexpended budget authority.  Unobligated Balance is the amount of appropriations or other authority remaining after deducting the cumulative obligations from the amount available for obligation.  Cumulative Results of Operations is the net difference since the inception of the Commission of (1) expenses and losses and (2) financing sources including appropriations used, revenues, and gains.  Net position of funds from dedicated collections is separately disclosed in Note 11 Funds from Dedicated Collections.</w:t>
      </w:r>
    </w:p>
    <w:p w:rsidR="00207811" w:rsidRPr="00207811" w:rsidP="00207811" w14:paraId="1F45654C" w14:textId="77777777">
      <w:pPr>
        <w:jc w:val="both"/>
        <w:rPr>
          <w:sz w:val="22"/>
          <w:szCs w:val="22"/>
        </w:rPr>
      </w:pPr>
    </w:p>
    <w:p w:rsidR="00207811" w:rsidRPr="00207811" w:rsidP="00207811" w14:paraId="444BD533" w14:textId="77777777">
      <w:pPr>
        <w:keepNext/>
        <w:widowControl w:val="0"/>
        <w:overflowPunct w:val="0"/>
        <w:autoSpaceDE w:val="0"/>
        <w:autoSpaceDN w:val="0"/>
        <w:adjustRightInd w:val="0"/>
        <w:jc w:val="both"/>
        <w:textAlignment w:val="baseline"/>
        <w:outlineLvl w:val="3"/>
        <w:rPr>
          <w:b/>
          <w:bCs/>
          <w:sz w:val="22"/>
          <w:szCs w:val="22"/>
        </w:rPr>
      </w:pPr>
      <w:bookmarkStart w:id="151" w:name="_Hlk14245902"/>
      <w:r w:rsidRPr="00207811">
        <w:rPr>
          <w:b/>
          <w:bCs/>
          <w:sz w:val="22"/>
          <w:szCs w:val="22"/>
        </w:rPr>
        <w:t>N.  Broadcast Incentive Auction</w:t>
      </w:r>
    </w:p>
    <w:p w:rsidR="00207811" w:rsidRPr="00207811" w:rsidP="00207811" w14:paraId="2C3ECF09" w14:textId="77777777">
      <w:pPr>
        <w:jc w:val="both"/>
        <w:rPr>
          <w:sz w:val="22"/>
          <w:szCs w:val="22"/>
        </w:rPr>
      </w:pPr>
    </w:p>
    <w:p w:rsidR="00207811" w:rsidRPr="00207811" w:rsidP="540BDD52" w14:paraId="00994704" w14:textId="77340EEF">
      <w:pPr>
        <w:jc w:val="both"/>
        <w:rPr>
          <w:sz w:val="22"/>
          <w:szCs w:val="22"/>
        </w:rPr>
      </w:pPr>
      <w:r w:rsidRPr="540BDD52">
        <w:rPr>
          <w:sz w:val="22"/>
          <w:szCs w:val="22"/>
        </w:rPr>
        <w:t xml:space="preserve">The Broadcast Incentive Auction (BIA) was authorized by provisions in Title VI of the Middle Class Tax Relief and Job Creation Act of 2012, P. L. 112-96 (Spectrum Act) and modified in Section 511 of Title V of Division E of the Consolidated Appropriations Act, 2018, P. L. 115-141, also known as the Reimbursement Expansion Act (REA).  The Spectrum Act and REA require the Commission to reimburse relocation costs reasonably incurred by full power and Class A broadcasters, </w:t>
      </w:r>
      <w:r w:rsidRPr="540BDD52" w:rsidR="358053E2">
        <w:rPr>
          <w:sz w:val="22"/>
          <w:szCs w:val="22"/>
        </w:rPr>
        <w:t>Multichannel Video Programming Distributors (</w:t>
      </w:r>
      <w:r w:rsidRPr="540BDD52">
        <w:rPr>
          <w:sz w:val="22"/>
          <w:szCs w:val="22"/>
        </w:rPr>
        <w:t>MVPDs</w:t>
      </w:r>
      <w:r w:rsidRPr="540BDD52" w:rsidR="5377574B">
        <w:rPr>
          <w:sz w:val="22"/>
          <w:szCs w:val="22"/>
        </w:rPr>
        <w:t>)</w:t>
      </w:r>
      <w:r w:rsidRPr="540BDD52">
        <w:rPr>
          <w:sz w:val="22"/>
          <w:szCs w:val="22"/>
        </w:rPr>
        <w:t xml:space="preserve">, </w:t>
      </w:r>
      <w:r w:rsidRPr="540BDD52" w:rsidR="4094633F">
        <w:rPr>
          <w:sz w:val="22"/>
          <w:szCs w:val="22"/>
        </w:rPr>
        <w:t xml:space="preserve">(Low Power Television) </w:t>
      </w:r>
      <w:r w:rsidRPr="540BDD52">
        <w:rPr>
          <w:sz w:val="22"/>
          <w:szCs w:val="22"/>
        </w:rPr>
        <w:t>LPTV/</w:t>
      </w:r>
      <w:r w:rsidRPr="540BDD52" w:rsidR="625DE81D">
        <w:rPr>
          <w:sz w:val="22"/>
          <w:szCs w:val="22"/>
        </w:rPr>
        <w:t xml:space="preserve"> </w:t>
      </w:r>
      <w:r w:rsidRPr="540BDD52" w:rsidR="2D8365B8">
        <w:rPr>
          <w:sz w:val="22"/>
          <w:szCs w:val="22"/>
        </w:rPr>
        <w:t xml:space="preserve">(Television) </w:t>
      </w:r>
      <w:r w:rsidRPr="540BDD52">
        <w:rPr>
          <w:sz w:val="22"/>
          <w:szCs w:val="22"/>
        </w:rPr>
        <w:t xml:space="preserve">TV Translator and by </w:t>
      </w:r>
      <w:r w:rsidRPr="540BDD52" w:rsidR="4CF604CE">
        <w:rPr>
          <w:sz w:val="22"/>
          <w:szCs w:val="22"/>
        </w:rPr>
        <w:t>Frequency Modulation (</w:t>
      </w:r>
      <w:r w:rsidRPr="540BDD52">
        <w:rPr>
          <w:sz w:val="22"/>
          <w:szCs w:val="22"/>
        </w:rPr>
        <w:t>FM</w:t>
      </w:r>
      <w:r w:rsidRPr="540BDD52" w:rsidR="3AB9D3C3">
        <w:rPr>
          <w:sz w:val="22"/>
          <w:szCs w:val="22"/>
        </w:rPr>
        <w:t>)</w:t>
      </w:r>
      <w:r w:rsidRPr="540BDD52">
        <w:rPr>
          <w:sz w:val="22"/>
          <w:szCs w:val="22"/>
        </w:rPr>
        <w:t xml:space="preserve"> stations that were involuntarily reassigned to new channels or disrupted or displaced as a result of the BIA.  In implementing the REA for eligible LPTV/</w:t>
      </w:r>
      <w:r w:rsidRPr="540BDD52" w:rsidR="7CC98C10">
        <w:rPr>
          <w:sz w:val="22"/>
          <w:szCs w:val="22"/>
        </w:rPr>
        <w:t xml:space="preserve"> </w:t>
      </w:r>
      <w:r w:rsidRPr="540BDD52">
        <w:rPr>
          <w:sz w:val="22"/>
          <w:szCs w:val="22"/>
        </w:rPr>
        <w:t xml:space="preserve">TV Translator and by FM stations, the Commission determined in the </w:t>
      </w:r>
      <w:r w:rsidRPr="540BDD52">
        <w:rPr>
          <w:i/>
          <w:iCs/>
          <w:sz w:val="22"/>
          <w:szCs w:val="22"/>
        </w:rPr>
        <w:t>REA Report &amp; Order</w:t>
      </w:r>
      <w:r w:rsidRPr="540BDD52">
        <w:rPr>
          <w:sz w:val="22"/>
          <w:szCs w:val="22"/>
        </w:rPr>
        <w:t>, adopted March 15, 2022, that reimbursement of full power and Class A stations and MVPDs would be prioritized over reimbursement of LPTV/</w:t>
      </w:r>
      <w:r w:rsidRPr="540BDD52" w:rsidR="5D849FE0">
        <w:rPr>
          <w:sz w:val="22"/>
          <w:szCs w:val="22"/>
        </w:rPr>
        <w:t xml:space="preserve"> </w:t>
      </w:r>
      <w:r w:rsidRPr="540BDD52">
        <w:rPr>
          <w:sz w:val="22"/>
          <w:szCs w:val="22"/>
        </w:rPr>
        <w:t xml:space="preserve">TV Translator and FM stations. </w:t>
      </w:r>
    </w:p>
    <w:p w:rsidR="00207811" w:rsidRPr="00207811" w:rsidP="00207811" w14:paraId="13462784" w14:textId="77777777">
      <w:pPr>
        <w:jc w:val="both"/>
        <w:rPr>
          <w:sz w:val="22"/>
          <w:szCs w:val="22"/>
        </w:rPr>
      </w:pPr>
    </w:p>
    <w:p w:rsidR="00207811" w:rsidRPr="00207811" w:rsidP="540BDD52" w14:paraId="0566BC3D" w14:textId="0C1BB6F1">
      <w:pPr>
        <w:jc w:val="both"/>
        <w:rPr>
          <w:sz w:val="22"/>
          <w:szCs w:val="22"/>
        </w:rPr>
      </w:pPr>
      <w:r w:rsidRPr="540BDD52">
        <w:rPr>
          <w:sz w:val="22"/>
          <w:szCs w:val="22"/>
        </w:rPr>
        <w:t>In implementing the REA for eligible LPTV/</w:t>
      </w:r>
      <w:r w:rsidRPr="540BDD52" w:rsidR="34D3592F">
        <w:rPr>
          <w:sz w:val="22"/>
          <w:szCs w:val="22"/>
        </w:rPr>
        <w:t xml:space="preserve"> </w:t>
      </w:r>
      <w:r w:rsidRPr="540BDD52">
        <w:rPr>
          <w:sz w:val="22"/>
          <w:szCs w:val="22"/>
        </w:rPr>
        <w:t xml:space="preserve">TV Translator and by FM stations, the Commission determined in the </w:t>
      </w:r>
      <w:r w:rsidRPr="540BDD52">
        <w:rPr>
          <w:i/>
          <w:iCs/>
          <w:sz w:val="22"/>
          <w:szCs w:val="22"/>
        </w:rPr>
        <w:t>REA Report &amp; Order</w:t>
      </w:r>
      <w:r w:rsidRPr="540BDD52">
        <w:rPr>
          <w:sz w:val="22"/>
          <w:szCs w:val="22"/>
        </w:rPr>
        <w:t>, adopted March 15, 2022, that reimbursement of full power and Class A stations and MVPDs would be prioritized over reimbursement of LPTV/</w:t>
      </w:r>
      <w:r w:rsidRPr="540BDD52" w:rsidR="7CFA52DA">
        <w:rPr>
          <w:sz w:val="22"/>
          <w:szCs w:val="22"/>
        </w:rPr>
        <w:t xml:space="preserve"> </w:t>
      </w:r>
      <w:r w:rsidRPr="540BDD52">
        <w:rPr>
          <w:sz w:val="22"/>
          <w:szCs w:val="22"/>
        </w:rPr>
        <w:t xml:space="preserve">TV Translator and FM stations. </w:t>
      </w:r>
    </w:p>
    <w:p w:rsidR="00207811" w:rsidRPr="00207811" w:rsidP="00207811" w14:paraId="51502180" w14:textId="77777777">
      <w:pPr>
        <w:jc w:val="both"/>
        <w:rPr>
          <w:b/>
          <w:sz w:val="22"/>
          <w:szCs w:val="22"/>
        </w:rPr>
      </w:pPr>
    </w:p>
    <w:p w:rsidR="00207811" w:rsidRPr="00207811" w:rsidP="00207811" w14:paraId="0A220993" w14:textId="32378FF6">
      <w:pPr>
        <w:jc w:val="both"/>
        <w:rPr>
          <w:kern w:val="16"/>
          <w:sz w:val="22"/>
          <w:szCs w:val="22"/>
        </w:rPr>
      </w:pPr>
      <w:r w:rsidRPr="00207811">
        <w:rPr>
          <w:kern w:val="16"/>
          <w:sz w:val="22"/>
          <w:szCs w:val="22"/>
        </w:rPr>
        <w:t xml:space="preserve">Pursuant to the REA, the reimbursement period for the </w:t>
      </w:r>
      <w:r w:rsidRPr="00207811" w:rsidR="441D889D">
        <w:rPr>
          <w:kern w:val="16"/>
          <w:sz w:val="22"/>
          <w:szCs w:val="22"/>
        </w:rPr>
        <w:t>Television Broadcaster Relocation Fund (</w:t>
      </w:r>
      <w:r w:rsidRPr="00207811">
        <w:rPr>
          <w:kern w:val="16"/>
          <w:sz w:val="22"/>
          <w:szCs w:val="22"/>
        </w:rPr>
        <w:t>TVBRF</w:t>
      </w:r>
      <w:r w:rsidRPr="00207811" w:rsidR="259B46CA">
        <w:rPr>
          <w:kern w:val="16"/>
          <w:sz w:val="22"/>
          <w:szCs w:val="22"/>
        </w:rPr>
        <w:t>)</w:t>
      </w:r>
      <w:r w:rsidRPr="00207811">
        <w:rPr>
          <w:kern w:val="16"/>
          <w:sz w:val="22"/>
          <w:szCs w:val="22"/>
        </w:rPr>
        <w:t xml:space="preserve"> was extended to July 3, 2023.  At that time, any unobligated amounts “shall be rescinded and deposited in the general fund of the Treasury.”  Amounts allocated to stations in the reimbursement program are obligated amounts.  There are a small number of TV stations in the program which are expected to incur costs as a result of the repack beyond July 3, 2023 due to circumstances beyond their control.  Therefore, some stations have been granted an extension of the final invoice filing deadline beyond July 3, 2023 where such stations:  (1) will incur costs after July 3, 2023, (2) can substantiate that the station has diligently pursued construction project during the program period, (3) face circumstances beyond station’s control, and (4) provides estimates and documentation sufficient to support a verified estimate for costs to be incurred after July 3, 2023.  Unobligated funds will be transferred to the Treasury.</w:t>
      </w:r>
    </w:p>
    <w:p w:rsidR="00207811" w:rsidRPr="00207811" w:rsidP="00207811" w14:paraId="56D614EF" w14:textId="77777777">
      <w:pPr>
        <w:jc w:val="both"/>
        <w:rPr>
          <w:kern w:val="16"/>
          <w:sz w:val="22"/>
          <w:szCs w:val="22"/>
        </w:rPr>
      </w:pPr>
    </w:p>
    <w:p w:rsidR="00207811" w:rsidRPr="00207811" w:rsidP="00207811" w14:paraId="6DEDE811" w14:textId="7038DD6C">
      <w:pPr>
        <w:jc w:val="both"/>
        <w:rPr>
          <w:sz w:val="22"/>
          <w:szCs w:val="22"/>
        </w:rPr>
      </w:pPr>
      <w:r w:rsidRPr="00207811">
        <w:rPr>
          <w:kern w:val="16"/>
          <w:sz w:val="22"/>
          <w:szCs w:val="22"/>
        </w:rPr>
        <w:t>As of September</w:t>
      </w:r>
      <w:r w:rsidR="00F8164D">
        <w:rPr>
          <w:kern w:val="16"/>
          <w:sz w:val="22"/>
          <w:szCs w:val="22"/>
        </w:rPr>
        <w:t xml:space="preserve"> </w:t>
      </w:r>
      <w:r w:rsidRPr="00207811">
        <w:rPr>
          <w:kern w:val="16"/>
          <w:sz w:val="22"/>
          <w:szCs w:val="22"/>
        </w:rPr>
        <w:t xml:space="preserve">30, 2025, </w:t>
      </w:r>
      <w:r w:rsidRPr="00207811" w:rsidR="5CA42D4E">
        <w:rPr>
          <w:kern w:val="16"/>
          <w:sz w:val="22"/>
          <w:szCs w:val="22"/>
        </w:rPr>
        <w:t>t</w:t>
      </w:r>
      <w:r w:rsidRPr="00207811">
        <w:rPr>
          <w:kern w:val="16"/>
          <w:sz w:val="22"/>
          <w:szCs w:val="22"/>
        </w:rPr>
        <w:t xml:space="preserve">he Commission made a total allocation of $1,847,000 for eligible full power and Class A broadcasters, MVPDs, </w:t>
      </w:r>
      <w:r w:rsidRPr="00207811">
        <w:rPr>
          <w:sz w:val="22"/>
          <w:szCs w:val="22"/>
        </w:rPr>
        <w:t>LPTV/</w:t>
      </w:r>
      <w:r w:rsidRPr="00207811" w:rsidR="1CFA0EE1">
        <w:rPr>
          <w:sz w:val="22"/>
          <w:szCs w:val="22"/>
        </w:rPr>
        <w:t xml:space="preserve"> </w:t>
      </w:r>
      <w:r w:rsidRPr="00207811">
        <w:rPr>
          <w:sz w:val="22"/>
          <w:szCs w:val="22"/>
        </w:rPr>
        <w:t>TV Translators and FM stations.</w:t>
      </w:r>
    </w:p>
    <w:p w:rsidR="00207811" w:rsidRPr="00207811" w:rsidP="00207811" w14:paraId="5AECCCCF" w14:textId="77777777">
      <w:pPr>
        <w:jc w:val="both"/>
        <w:rPr>
          <w:sz w:val="22"/>
          <w:szCs w:val="22"/>
          <w:highlight w:val="yellow"/>
        </w:rPr>
      </w:pPr>
    </w:p>
    <w:p w:rsidR="00207811" w:rsidRPr="00207811" w:rsidP="00207811" w14:paraId="497A0C1F" w14:textId="77777777">
      <w:pPr>
        <w:jc w:val="both"/>
        <w:rPr>
          <w:bCs/>
          <w:kern w:val="16"/>
          <w:sz w:val="22"/>
          <w:szCs w:val="22"/>
        </w:rPr>
      </w:pPr>
      <w:r w:rsidRPr="00207811">
        <w:rPr>
          <w:sz w:val="22"/>
          <w:szCs w:val="22"/>
          <w:lang w:eastAsia="zh-TW"/>
        </w:rPr>
        <w:t>The TVBRF had zero obligations and net outlays of $6,014 in FY 2025.</w:t>
      </w:r>
      <w:r w:rsidRPr="00207811">
        <w:rPr>
          <w:sz w:val="22"/>
          <w:szCs w:val="22"/>
        </w:rPr>
        <w:t xml:space="preserve"> </w:t>
      </w:r>
    </w:p>
    <w:p w:rsidR="00207811" w:rsidP="00207811" w14:paraId="6A2FE2D1" w14:textId="77777777">
      <w:pPr>
        <w:jc w:val="both"/>
        <w:rPr>
          <w:sz w:val="22"/>
          <w:szCs w:val="22"/>
        </w:rPr>
      </w:pPr>
    </w:p>
    <w:p w:rsidR="00D74E29" w:rsidP="00207811" w14:paraId="11C7F999" w14:textId="77777777">
      <w:pPr>
        <w:jc w:val="both"/>
        <w:rPr>
          <w:sz w:val="22"/>
          <w:szCs w:val="22"/>
        </w:rPr>
      </w:pPr>
    </w:p>
    <w:p w:rsidR="00D74E29" w:rsidP="00207811" w14:paraId="235BD0FD" w14:textId="77777777">
      <w:pPr>
        <w:jc w:val="both"/>
        <w:rPr>
          <w:sz w:val="22"/>
          <w:szCs w:val="22"/>
        </w:rPr>
      </w:pPr>
    </w:p>
    <w:p w:rsidR="00D74E29" w:rsidRPr="00207811" w:rsidP="00207811" w14:paraId="40F66123" w14:textId="77777777">
      <w:pPr>
        <w:jc w:val="both"/>
        <w:rPr>
          <w:sz w:val="22"/>
          <w:szCs w:val="22"/>
        </w:rPr>
      </w:pPr>
    </w:p>
    <w:p w:rsidR="00D74E29" w:rsidRPr="00207811" w:rsidP="00D74E29" w14:paraId="46C39775" w14:textId="77777777">
      <w:pPr>
        <w:jc w:val="both"/>
        <w:rPr>
          <w:b/>
          <w:sz w:val="22"/>
          <w:szCs w:val="22"/>
        </w:rPr>
      </w:pPr>
      <w:r w:rsidRPr="00207811">
        <w:rPr>
          <w:b/>
          <w:sz w:val="22"/>
          <w:szCs w:val="22"/>
        </w:rPr>
        <w:t>Note 1 – Summary of Significant Accounting Policies (continued)</w:t>
      </w:r>
    </w:p>
    <w:p w:rsidR="00D74E29" w:rsidP="00207811" w14:paraId="49727371" w14:textId="77777777">
      <w:pPr>
        <w:keepNext/>
        <w:widowControl w:val="0"/>
        <w:overflowPunct w:val="0"/>
        <w:autoSpaceDE w:val="0"/>
        <w:autoSpaceDN w:val="0"/>
        <w:adjustRightInd w:val="0"/>
        <w:jc w:val="both"/>
        <w:textAlignment w:val="baseline"/>
        <w:outlineLvl w:val="3"/>
        <w:rPr>
          <w:b/>
          <w:bCs/>
          <w:sz w:val="22"/>
          <w:szCs w:val="22"/>
        </w:rPr>
      </w:pPr>
    </w:p>
    <w:p w:rsidR="00207811" w:rsidRPr="00207811" w:rsidP="00207811" w14:paraId="4A1D58CC" w14:textId="689872C0">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 xml:space="preserve">O.  Affordable Connectivity Fund (ACF) and </w:t>
      </w:r>
      <w:r w:rsidRPr="00207811">
        <w:rPr>
          <w:b/>
          <w:sz w:val="22"/>
          <w:szCs w:val="22"/>
        </w:rPr>
        <w:t>Emergency Broadband Connectivity Fund, Emergency Broadband Benefit Program (EBCF-EBBP)</w:t>
      </w:r>
    </w:p>
    <w:p w:rsidR="00207811" w:rsidRPr="00207811" w:rsidP="00207811" w14:paraId="62E46106" w14:textId="77777777">
      <w:pPr>
        <w:jc w:val="both"/>
        <w:rPr>
          <w:sz w:val="22"/>
          <w:szCs w:val="22"/>
          <w:u w:val="single"/>
        </w:rPr>
      </w:pPr>
    </w:p>
    <w:p w:rsidR="00207811" w:rsidRPr="00207811" w:rsidP="00207811" w14:paraId="6E6B17FE" w14:textId="77777777">
      <w:pPr>
        <w:jc w:val="both"/>
        <w:rPr>
          <w:sz w:val="22"/>
          <w:szCs w:val="22"/>
        </w:rPr>
      </w:pPr>
      <w:r w:rsidRPr="00207811">
        <w:rPr>
          <w:sz w:val="22"/>
          <w:szCs w:val="22"/>
        </w:rPr>
        <w:t xml:space="preserve">On December 27, 2020, the Consolidated Appropriations Act, 2021 (Consolidated Appropriations Act, P.L. 116-260), was signed into law.  In the Consolidated Appropriations Act, Congress appropriated $3,200,000 </w:t>
      </w:r>
    </w:p>
    <w:p w:rsidR="00207811" w:rsidRPr="00207811" w:rsidP="00207811" w14:paraId="507267BA" w14:textId="77777777">
      <w:pPr>
        <w:jc w:val="both"/>
        <w:rPr>
          <w:sz w:val="22"/>
          <w:szCs w:val="22"/>
        </w:rPr>
      </w:pPr>
      <w:r w:rsidRPr="00207811">
        <w:rPr>
          <w:sz w:val="22"/>
          <w:szCs w:val="22"/>
        </w:rPr>
        <w:t xml:space="preserve">for the EBCF for fiscal year 2021, to remain available until expended or six months after the end of the public health emergency.  The Consolidated Appropriations Act established the EBCF-EBBP, under which eligible low-income households may receive a discounted broadband service and certain connected devices during an emergency period relating to the COVID-19 pandemic, and participating providers can receive a reimbursement for such discounts.  </w:t>
      </w:r>
    </w:p>
    <w:p w:rsidR="00207811" w:rsidRPr="00207811" w:rsidP="00207811" w14:paraId="5002363E" w14:textId="77777777">
      <w:pPr>
        <w:jc w:val="both"/>
        <w:rPr>
          <w:sz w:val="22"/>
          <w:szCs w:val="22"/>
        </w:rPr>
      </w:pPr>
    </w:p>
    <w:p w:rsidR="00207811" w:rsidRPr="00207811" w:rsidP="00207811" w14:paraId="7FE7C309" w14:textId="77777777">
      <w:pPr>
        <w:jc w:val="both"/>
        <w:rPr>
          <w:b/>
          <w:bCs/>
          <w:sz w:val="22"/>
          <w:szCs w:val="22"/>
        </w:rPr>
      </w:pPr>
      <w:r w:rsidRPr="00207811">
        <w:rPr>
          <w:sz w:val="22"/>
          <w:szCs w:val="22"/>
        </w:rPr>
        <w:t>On November 15, 2021, the Infrastructure Act was signed into law.  In the Infrastructure Act, Congress appropriated $14,200,000 to build on the EBCF-EBBP and replace it with the longer-term broadband Affordable Connectivity Program (ACP).  In addition, the Infrastructure Act authorized the Commission to use that funding to conduct ACP outreach and awareness, including providing grants to outreach partners.  The Commission allocated up to $100,000 for outreach, including an outreach grant program and outreach activities by the Commission’s Consumer and Governmental Affairs Commission, and $10,000 for broadband mapping.</w:t>
      </w:r>
    </w:p>
    <w:p w:rsidR="00207811" w:rsidRPr="00207811" w:rsidP="00207811" w14:paraId="79321A4A" w14:textId="77777777">
      <w:pPr>
        <w:jc w:val="both"/>
        <w:rPr>
          <w:sz w:val="22"/>
          <w:szCs w:val="22"/>
        </w:rPr>
      </w:pPr>
    </w:p>
    <w:p w:rsidR="00207811" w:rsidRPr="00207811" w:rsidP="00207811" w14:paraId="122789FD" w14:textId="509372BE">
      <w:pPr>
        <w:jc w:val="both"/>
        <w:rPr>
          <w:b/>
          <w:bCs/>
          <w:sz w:val="22"/>
          <w:szCs w:val="22"/>
        </w:rPr>
      </w:pPr>
      <w:r w:rsidRPr="00207811">
        <w:rPr>
          <w:sz w:val="22"/>
          <w:szCs w:val="22"/>
        </w:rPr>
        <w:t>Effective February 8, 2024, the ACP stopped accepting new enrollments and May 2024 was the ACP’s last supported service month.  As of the date of the enrollment freeze, there were 23.3 million households enrolled in the program.  In FY 2025, the FCC obligated $3,056 and had net outlays of $78,648 for the ACP, broadband mapping, and grants or outreach.  For EBCF-EBBP, the FCC had net refunds of $33,861.  Also, see Note 1 H Accounts Payable and Accrued Liabilities.</w:t>
      </w:r>
    </w:p>
    <w:p w:rsidR="00207811" w:rsidRPr="00207811" w:rsidP="00207811" w14:paraId="11E56131" w14:textId="77777777">
      <w:pPr>
        <w:jc w:val="both"/>
        <w:rPr>
          <w:sz w:val="22"/>
          <w:szCs w:val="22"/>
        </w:rPr>
      </w:pPr>
    </w:p>
    <w:p w:rsidR="00207811" w:rsidRPr="00207811" w:rsidP="00207811" w14:paraId="27CE43B5"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P.  Emergency Connectivity Fund (ECF)</w:t>
      </w:r>
    </w:p>
    <w:p w:rsidR="00207811" w:rsidRPr="00207811" w:rsidP="00207811" w14:paraId="2F08455B" w14:textId="77777777">
      <w:pPr>
        <w:jc w:val="both"/>
        <w:rPr>
          <w:sz w:val="22"/>
          <w:szCs w:val="22"/>
        </w:rPr>
      </w:pPr>
    </w:p>
    <w:p w:rsidR="00207811" w:rsidRPr="00207811" w:rsidP="00207811" w14:paraId="6B597C4A" w14:textId="77777777">
      <w:pPr>
        <w:jc w:val="both"/>
        <w:rPr>
          <w:sz w:val="22"/>
          <w:szCs w:val="22"/>
          <w:lang w:eastAsia="zh-TW"/>
        </w:rPr>
      </w:pPr>
      <w:r w:rsidRPr="00207811">
        <w:rPr>
          <w:sz w:val="22"/>
          <w:szCs w:val="22"/>
        </w:rPr>
        <w:t xml:space="preserve">The ECF was established to </w:t>
      </w:r>
      <w:r w:rsidRPr="00207811">
        <w:rPr>
          <w:sz w:val="22"/>
          <w:szCs w:val="22"/>
          <w:lang w:eastAsia="zh-TW"/>
        </w:rPr>
        <w:t xml:space="preserve">help schools and libraries provide connected devices, such as a laptop, tablet, or similar end-user devices, and connectivity to students, school staff, and library patrons during the COVID-19 pandemic, Congress established a $7,172,000 ECF (of which $1,000 was for OIG), to remain available until September 30, 2030 as part of the American Rescue Plan Act of 2022 (ARPA, P.L. 117-2) signed into law on March 11, 2021. </w:t>
      </w:r>
    </w:p>
    <w:p w:rsidR="00207811" w:rsidRPr="00207811" w:rsidP="00207811" w14:paraId="6302009E" w14:textId="77777777">
      <w:pPr>
        <w:jc w:val="both"/>
        <w:rPr>
          <w:sz w:val="22"/>
          <w:szCs w:val="22"/>
          <w:lang w:val="en" w:eastAsia="zh-TW"/>
        </w:rPr>
      </w:pPr>
    </w:p>
    <w:p w:rsidR="00207811" w:rsidRPr="00207811" w:rsidP="00207811" w14:paraId="5EDE903A" w14:textId="77777777">
      <w:pPr>
        <w:jc w:val="both"/>
        <w:rPr>
          <w:sz w:val="22"/>
          <w:szCs w:val="22"/>
          <w:lang w:eastAsia="zh-TW"/>
        </w:rPr>
      </w:pPr>
      <w:r w:rsidRPr="00207811">
        <w:rPr>
          <w:sz w:val="22"/>
          <w:szCs w:val="22"/>
          <w:lang w:eastAsia="zh-TW"/>
        </w:rPr>
        <w:t xml:space="preserve">The ECF Program application filing final window closed on May 13, 2022.  During the final filing window, eligible schools and libraries could request funding for eligible equipment, non-recurring services, and up to 12 months of recurring services that will be delivered or received between July 1, 2022, through December 31, 2023.  </w:t>
      </w:r>
      <w:r w:rsidRPr="00207811">
        <w:rPr>
          <w:rFonts w:eastAsia="Calibri"/>
          <w:sz w:val="22"/>
          <w:szCs w:val="22"/>
        </w:rPr>
        <w:t xml:space="preserve">ECF Program support is only available for purchases of eligible equipment and services made by September 30, 2024. </w:t>
      </w:r>
    </w:p>
    <w:p w:rsidR="00207811" w:rsidRPr="00207811" w:rsidP="00207811" w14:paraId="1B4FF151" w14:textId="77777777">
      <w:pPr>
        <w:jc w:val="both"/>
        <w:rPr>
          <w:sz w:val="22"/>
          <w:szCs w:val="22"/>
          <w:highlight w:val="yellow"/>
          <w:lang w:eastAsia="zh-TW"/>
        </w:rPr>
      </w:pPr>
    </w:p>
    <w:p w:rsidR="00207811" w:rsidRPr="00207811" w:rsidP="00207811" w14:paraId="64E967A5" w14:textId="77777777">
      <w:pPr>
        <w:jc w:val="both"/>
        <w:rPr>
          <w:sz w:val="22"/>
          <w:szCs w:val="22"/>
          <w:lang w:eastAsia="zh-TW"/>
        </w:rPr>
      </w:pPr>
      <w:r w:rsidRPr="00207811">
        <w:rPr>
          <w:sz w:val="22"/>
          <w:szCs w:val="22"/>
          <w:lang w:eastAsia="zh-TW"/>
        </w:rPr>
        <w:t xml:space="preserve">In FY 2025, the ECF had obligations of $1,365 and net outlays of $199,824.  </w:t>
      </w:r>
      <w:r w:rsidRPr="00207811">
        <w:rPr>
          <w:sz w:val="22"/>
          <w:szCs w:val="22"/>
        </w:rPr>
        <w:t xml:space="preserve">Also, see </w:t>
      </w:r>
      <w:r w:rsidRPr="00207811">
        <w:rPr>
          <w:sz w:val="22"/>
          <w:szCs w:val="22"/>
          <w:lang w:eastAsia="zh-TW"/>
        </w:rPr>
        <w:t>Note 1 H Accounts Payable and Accrued Liabilities; and Note 1 L.</w:t>
      </w:r>
      <w:r w:rsidRPr="00207811">
        <w:rPr>
          <w:b/>
          <w:bCs/>
          <w:sz w:val="22"/>
          <w:szCs w:val="22"/>
        </w:rPr>
        <w:t xml:space="preserve"> </w:t>
      </w:r>
      <w:r w:rsidRPr="00207811">
        <w:rPr>
          <w:sz w:val="22"/>
          <w:szCs w:val="22"/>
          <w:lang w:eastAsia="zh-TW"/>
        </w:rPr>
        <w:t>Exchange Revenue, Non-Exchange Revenue, and Financing Sources; and Note 3 Fund Balance with Treasury.</w:t>
      </w:r>
    </w:p>
    <w:p w:rsidR="00207811" w:rsidRPr="00207811" w:rsidP="00207811" w14:paraId="693A201F" w14:textId="77777777">
      <w:pPr>
        <w:jc w:val="both"/>
        <w:rPr>
          <w:sz w:val="22"/>
          <w:szCs w:val="22"/>
        </w:rPr>
      </w:pPr>
    </w:p>
    <w:p w:rsidR="00325B56" w:rsidP="00207811" w14:paraId="35B43181" w14:textId="77777777">
      <w:pPr>
        <w:jc w:val="both"/>
        <w:rPr>
          <w:sz w:val="22"/>
          <w:szCs w:val="22"/>
        </w:rPr>
      </w:pPr>
    </w:p>
    <w:p w:rsidR="00325B56" w:rsidP="00207811" w14:paraId="7EF212F2" w14:textId="77777777">
      <w:pPr>
        <w:jc w:val="both"/>
        <w:rPr>
          <w:sz w:val="22"/>
          <w:szCs w:val="22"/>
        </w:rPr>
      </w:pPr>
    </w:p>
    <w:p w:rsidR="00325B56" w:rsidP="00207811" w14:paraId="1DDF0145" w14:textId="77777777">
      <w:pPr>
        <w:jc w:val="both"/>
        <w:rPr>
          <w:sz w:val="22"/>
          <w:szCs w:val="22"/>
        </w:rPr>
      </w:pPr>
    </w:p>
    <w:p w:rsidR="00325B56" w:rsidP="00207811" w14:paraId="382C8A80" w14:textId="77777777">
      <w:pPr>
        <w:jc w:val="both"/>
        <w:rPr>
          <w:sz w:val="22"/>
          <w:szCs w:val="22"/>
        </w:rPr>
      </w:pPr>
    </w:p>
    <w:p w:rsidR="00325B56" w:rsidP="00207811" w14:paraId="290685F2" w14:textId="77777777">
      <w:pPr>
        <w:jc w:val="both"/>
        <w:rPr>
          <w:sz w:val="22"/>
          <w:szCs w:val="22"/>
        </w:rPr>
      </w:pPr>
    </w:p>
    <w:p w:rsidR="00325B56" w:rsidP="00207811" w14:paraId="02F009B8" w14:textId="77777777">
      <w:pPr>
        <w:jc w:val="both"/>
        <w:rPr>
          <w:sz w:val="22"/>
          <w:szCs w:val="22"/>
        </w:rPr>
      </w:pPr>
    </w:p>
    <w:p w:rsidR="00325B56" w:rsidRPr="00207811" w:rsidP="00325B56" w14:paraId="6064D7DE" w14:textId="5FE88ED0">
      <w:pPr>
        <w:jc w:val="both"/>
        <w:rPr>
          <w:b/>
          <w:sz w:val="22"/>
          <w:szCs w:val="22"/>
        </w:rPr>
      </w:pPr>
      <w:r w:rsidRPr="00207811">
        <w:rPr>
          <w:b/>
          <w:sz w:val="22"/>
          <w:szCs w:val="22"/>
        </w:rPr>
        <w:t>Note 1 – Summary of Significant Accounting Policies (continued)</w:t>
      </w:r>
    </w:p>
    <w:p w:rsidR="00325B56" w:rsidRPr="00207811" w:rsidP="00207811" w14:paraId="54BB0632" w14:textId="77777777">
      <w:pPr>
        <w:jc w:val="both"/>
        <w:rPr>
          <w:sz w:val="22"/>
          <w:szCs w:val="22"/>
        </w:rPr>
      </w:pPr>
    </w:p>
    <w:p w:rsidR="00207811" w:rsidRPr="00207811" w:rsidP="00207811" w14:paraId="75EF36C6"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 xml:space="preserve">Q.  </w:t>
      </w:r>
      <w:bookmarkStart w:id="152" w:name="_Hlk172210935"/>
      <w:bookmarkStart w:id="153" w:name="_Hlk201042077"/>
      <w:r w:rsidRPr="00207811">
        <w:rPr>
          <w:b/>
          <w:bCs/>
          <w:sz w:val="22"/>
          <w:szCs w:val="22"/>
        </w:rPr>
        <w:t>Secure &amp; Trusted Communications Networks Reimbursement Program or the Supply Chain Reimbursement Program</w:t>
      </w:r>
      <w:bookmarkEnd w:id="152"/>
      <w:r w:rsidRPr="00207811">
        <w:rPr>
          <w:b/>
          <w:bCs/>
          <w:sz w:val="22"/>
          <w:szCs w:val="22"/>
        </w:rPr>
        <w:t xml:space="preserve"> (SCRP)</w:t>
      </w:r>
      <w:bookmarkEnd w:id="153"/>
    </w:p>
    <w:p w:rsidR="00207811" w:rsidRPr="00207811" w:rsidP="00207811" w14:paraId="7515513F" w14:textId="77777777">
      <w:pPr>
        <w:jc w:val="both"/>
        <w:rPr>
          <w:sz w:val="22"/>
          <w:szCs w:val="22"/>
        </w:rPr>
      </w:pPr>
    </w:p>
    <w:p w:rsidR="00207811" w:rsidRPr="00207811" w:rsidP="00207811" w14:paraId="22F0AF1B" w14:textId="03B0AEAB">
      <w:pPr>
        <w:jc w:val="both"/>
        <w:rPr>
          <w:sz w:val="22"/>
          <w:szCs w:val="22"/>
        </w:rPr>
      </w:pPr>
      <w:r w:rsidRPr="540BDD52">
        <w:rPr>
          <w:sz w:val="22"/>
          <w:szCs w:val="22"/>
        </w:rPr>
        <w:t xml:space="preserve">On March 12, 2020, the Secure and Trusted Communications Networks Act of 2019 (Secure Networks Act, P.L. 116-124) was signed into law.  The Secure Networks Act, among other measures, directed the Commission to establish the SCRP to fund the removal, replacement, and disposal of covered communications equipment or services that pose an unacceptable risk to the national security of the United </w:t>
      </w:r>
      <w:r w:rsidRPr="540BDD52" w:rsidR="779F941B">
        <w:rPr>
          <w:sz w:val="22"/>
          <w:szCs w:val="22"/>
        </w:rPr>
        <w:t>States</w:t>
      </w:r>
      <w:r w:rsidR="006F6E6A">
        <w:rPr>
          <w:sz w:val="22"/>
          <w:szCs w:val="22"/>
        </w:rPr>
        <w:t xml:space="preserve"> (U.S.)</w:t>
      </w:r>
      <w:r w:rsidRPr="00207811">
        <w:rPr>
          <w:sz w:val="22"/>
          <w:szCs w:val="22"/>
        </w:rPr>
        <w:t xml:space="preserve"> or the security and safety of U.S. persons from the networks of providers of advanced communications service.  On December 10, 2020, the Commission adopted a </w:t>
      </w:r>
      <w:r w:rsidRPr="00207811">
        <w:rPr>
          <w:i/>
          <w:iCs/>
          <w:sz w:val="22"/>
          <w:szCs w:val="22"/>
        </w:rPr>
        <w:t>Second Report and Order</w:t>
      </w:r>
      <w:r w:rsidRPr="00207811">
        <w:rPr>
          <w:sz w:val="22"/>
          <w:szCs w:val="22"/>
        </w:rPr>
        <w:t xml:space="preserve"> implementing the Secure Networks Act by establishing rules for the SCRP.  The SCRP provides funding allocations to eligible providers based on their estimated costs.  SCRP recipients can then obtain funding disbursements from their allocation upon showing of actual expenses incurred.  SCRP recipients have one year from the initial disbursement to complete the permanent removal, replacement, and disposal of covered communications equipment or services, unless a general and individual extensions of that deadline is granted by the Commission.  Recipients of SCRP funds shall use these funds solely to:  (1) permanently remove covered communications equipment and services from their networks; (2) replace the covered communications equipment and services with non-covered equipment or services; and (3) dispose of the covered communications equipment and services in accordance with the Secure Networks Act.  </w:t>
      </w:r>
    </w:p>
    <w:p w:rsidR="00207811" w:rsidRPr="00207811" w:rsidP="00207811" w14:paraId="067A749B" w14:textId="77777777">
      <w:pPr>
        <w:jc w:val="both"/>
        <w:rPr>
          <w:sz w:val="22"/>
          <w:szCs w:val="22"/>
        </w:rPr>
      </w:pPr>
    </w:p>
    <w:p w:rsidR="00207811" w:rsidRPr="00207811" w:rsidP="00207811" w14:paraId="22D810F6" w14:textId="77777777">
      <w:pPr>
        <w:jc w:val="both"/>
        <w:rPr>
          <w:sz w:val="22"/>
          <w:szCs w:val="22"/>
        </w:rPr>
      </w:pPr>
      <w:r w:rsidRPr="00207811">
        <w:rPr>
          <w:sz w:val="22"/>
          <w:szCs w:val="22"/>
        </w:rPr>
        <w:t>On July 15, 2022, the Commission informed Congress that to fund all reasonable and supported cost estimates submitted to the SCRP and cover estimated administrative expenses, the SCRP would require approximately $4,980,000, reflecting an approximate $3,080,000 shortfall from the $1,900,000 appropriation.  On December 23, 2024, the Servicemember Quality of Life Improvement and National Defense Authorization Act (NDAA) of Fiscal Year 2025 (Pub. L. 118-159) was enacted, authorizing the Commission to borrow from the Treasury of the United States up to an additional $3,080,000 to carry out the SCRP.  The Commission borrowed the full amount authorized under the statute.</w:t>
      </w:r>
    </w:p>
    <w:p w:rsidR="00207811" w:rsidRPr="00207811" w:rsidP="00207811" w14:paraId="560F7F1D" w14:textId="77777777">
      <w:pPr>
        <w:jc w:val="both"/>
        <w:rPr>
          <w:sz w:val="22"/>
          <w:szCs w:val="22"/>
        </w:rPr>
      </w:pPr>
    </w:p>
    <w:p w:rsidR="00207811" w:rsidRPr="00207811" w:rsidP="00207811" w14:paraId="2B8C5BE5" w14:textId="77777777">
      <w:pPr>
        <w:jc w:val="both"/>
        <w:rPr>
          <w:sz w:val="22"/>
          <w:szCs w:val="22"/>
        </w:rPr>
      </w:pPr>
      <w:r w:rsidRPr="00207811">
        <w:rPr>
          <w:sz w:val="22"/>
          <w:szCs w:val="22"/>
        </w:rPr>
        <w:t>The Commission announced on April 15, 2025 that it had allocated additional funding to active Priority 1 recipients equal to 100% of their original reasonable and supported cost estimates.  Priority 1 recipients receiving the additional allocation now have one year from the initial distribution of funds from this further allocation to complete the permanent removal, replacement, and disposal of covered communications equipment and services, unless the Commission determines that a general or individual extension of that deadline is warranted.  On April 24, 2025, the Commission granted the application of the single Priority 3 recipient (with between two million and ten million customers; there were no Priority 2 recipients), which previously had been denied due to lack of funding.  With the remaining available funding from the borrowed $3,080,000, the Commission issued the Priority 3 recipient a prorated allocation equal to approximately 29.79% of its reasonable estimated costs.  That recipient will have from the receipt of its first disbursement to complete the permanent removal, replacement, and disposal of covered communications equipment and services, subject to any general or individual extensions.</w:t>
      </w:r>
    </w:p>
    <w:p w:rsidR="00207811" w:rsidRPr="00207811" w:rsidP="00207811" w14:paraId="42AE2A4C" w14:textId="77777777">
      <w:pPr>
        <w:jc w:val="both"/>
        <w:rPr>
          <w:sz w:val="22"/>
          <w:szCs w:val="22"/>
        </w:rPr>
      </w:pPr>
    </w:p>
    <w:p w:rsidR="00207811" w:rsidRPr="00207811" w:rsidP="00207811" w14:paraId="2E9971BD" w14:textId="77777777">
      <w:pPr>
        <w:jc w:val="both"/>
        <w:rPr>
          <w:sz w:val="22"/>
          <w:szCs w:val="22"/>
        </w:rPr>
      </w:pPr>
      <w:r w:rsidRPr="00207811">
        <w:rPr>
          <w:sz w:val="22"/>
          <w:szCs w:val="22"/>
        </w:rPr>
        <w:t>In FY 2025, the SCRP obligated $2,853,867 and had net outlays of $427,733.  Also, see Note 1 H Accounts Payable and Accrued Liabilities and Note 3 Fund Balance with Treasury.</w:t>
      </w:r>
    </w:p>
    <w:p w:rsidR="00207811" w:rsidRPr="00207811" w:rsidP="00207811" w14:paraId="4FAD281D" w14:textId="77777777">
      <w:pPr>
        <w:jc w:val="both"/>
        <w:rPr>
          <w:sz w:val="22"/>
          <w:szCs w:val="22"/>
        </w:rPr>
      </w:pPr>
    </w:p>
    <w:bookmarkEnd w:id="151"/>
    <w:p w:rsidR="00207811" w:rsidRPr="00207811" w:rsidP="00207811" w14:paraId="40E8D32D"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 xml:space="preserve">R.  </w:t>
      </w:r>
      <w:bookmarkStart w:id="154" w:name="_Hlk180137308"/>
      <w:r w:rsidRPr="00207811">
        <w:rPr>
          <w:b/>
          <w:bCs/>
          <w:sz w:val="22"/>
          <w:szCs w:val="22"/>
        </w:rPr>
        <w:t>Connect America Fund</w:t>
      </w:r>
      <w:bookmarkEnd w:id="154"/>
      <w:r w:rsidRPr="00207811">
        <w:rPr>
          <w:b/>
          <w:bCs/>
          <w:sz w:val="22"/>
          <w:szCs w:val="22"/>
        </w:rPr>
        <w:t xml:space="preserve"> </w:t>
      </w:r>
    </w:p>
    <w:p w:rsidR="00207811" w:rsidRPr="00207811" w:rsidP="00207811" w14:paraId="3EFA3BBE" w14:textId="77777777">
      <w:pPr>
        <w:jc w:val="both"/>
        <w:rPr>
          <w:sz w:val="22"/>
          <w:szCs w:val="22"/>
        </w:rPr>
      </w:pPr>
    </w:p>
    <w:p w:rsidR="00325B56" w:rsidP="00207811" w14:paraId="090B97C0" w14:textId="77777777">
      <w:pPr>
        <w:jc w:val="both"/>
        <w:rPr>
          <w:sz w:val="22"/>
          <w:szCs w:val="22"/>
          <w:lang w:eastAsia="zh-TW"/>
        </w:rPr>
      </w:pPr>
      <w:r w:rsidRPr="00207811">
        <w:rPr>
          <w:sz w:val="22"/>
          <w:szCs w:val="22"/>
          <w:lang w:eastAsia="zh-TW"/>
        </w:rPr>
        <w:t xml:space="preserve">After completing the Connect America Fund Phase II reverse auction (CAF II Auction), the FCC committed to award a potential total of $1,488,330 over a 10-year period.  As of September 30, 2025, the FCC has directed USAC to obligate a total of $1,483,812 for carriers who have successfully complied with the requirements to be eligible to receive support to provide fixed broadband and voice services to over 700,000 </w:t>
      </w:r>
    </w:p>
    <w:p w:rsidR="00325B56" w:rsidRPr="00207811" w:rsidP="00325B56" w14:paraId="4B2AD42B" w14:textId="77777777">
      <w:pPr>
        <w:jc w:val="both"/>
        <w:rPr>
          <w:b/>
          <w:sz w:val="22"/>
          <w:szCs w:val="22"/>
        </w:rPr>
      </w:pPr>
      <w:r w:rsidRPr="00207811">
        <w:rPr>
          <w:b/>
          <w:sz w:val="22"/>
          <w:szCs w:val="22"/>
        </w:rPr>
        <w:t>Note 1 – Summary of Significant Accounting Policies (continued)</w:t>
      </w:r>
    </w:p>
    <w:p w:rsidR="00325B56" w:rsidRPr="00207811" w:rsidP="00325B56" w14:paraId="451A4785" w14:textId="77777777">
      <w:pPr>
        <w:rPr>
          <w:b/>
          <w:bCs/>
          <w:sz w:val="22"/>
          <w:szCs w:val="22"/>
        </w:rPr>
      </w:pPr>
    </w:p>
    <w:p w:rsidR="00325B56" w:rsidRPr="00207811" w:rsidP="00325B56" w14:paraId="1C368140" w14:textId="77777777">
      <w:pPr>
        <w:rPr>
          <w:b/>
          <w:bCs/>
          <w:sz w:val="22"/>
          <w:szCs w:val="22"/>
        </w:rPr>
      </w:pPr>
      <w:r w:rsidRPr="00207811">
        <w:rPr>
          <w:b/>
          <w:bCs/>
          <w:sz w:val="22"/>
          <w:szCs w:val="22"/>
        </w:rPr>
        <w:t>R.  Connect America Fund (continued)</w:t>
      </w:r>
    </w:p>
    <w:p w:rsidR="00325B56" w:rsidP="00207811" w14:paraId="73F2F841" w14:textId="77777777">
      <w:pPr>
        <w:jc w:val="both"/>
        <w:rPr>
          <w:sz w:val="22"/>
          <w:szCs w:val="22"/>
          <w:lang w:eastAsia="zh-TW"/>
        </w:rPr>
      </w:pPr>
    </w:p>
    <w:p w:rsidR="00207811" w:rsidRPr="00207811" w:rsidP="00325B56" w14:paraId="15BBB6EA" w14:textId="74440243">
      <w:pPr>
        <w:jc w:val="both"/>
        <w:rPr>
          <w:sz w:val="22"/>
          <w:szCs w:val="22"/>
          <w:lang w:eastAsia="zh-TW"/>
        </w:rPr>
      </w:pPr>
      <w:r w:rsidRPr="00207811">
        <w:rPr>
          <w:sz w:val="22"/>
          <w:szCs w:val="22"/>
          <w:lang w:eastAsia="zh-TW"/>
        </w:rPr>
        <w:t xml:space="preserve">locations in 45 states.  There are $10,246 bids in default as of September 30, 2025, leaving no balance to be obligated.  In addition, the FCC committed to award a potential total of $170,400 to carriers that won the CAF II New York Auction over a 10-year period.  The FCC has directed USAC to obligate a total amount of $65,487, with remaining balance of $104,913 to be obligated.  There are $54,549 for CAF II and $660 for CAF II New York de-obligation due to carrier default or lack of CFR compliance as of September 30, 2025.  </w:t>
      </w:r>
    </w:p>
    <w:p w:rsidR="00207811" w:rsidRPr="00207811" w:rsidP="00207811" w14:paraId="5D64F13E" w14:textId="77777777">
      <w:pPr>
        <w:jc w:val="both"/>
        <w:textAlignment w:val="baseline"/>
        <w:rPr>
          <w:sz w:val="22"/>
          <w:szCs w:val="22"/>
          <w:lang w:eastAsia="zh-TW"/>
        </w:rPr>
      </w:pPr>
    </w:p>
    <w:p w:rsidR="00207811" w:rsidRPr="00207811" w:rsidP="00207811" w14:paraId="0487C73F"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S.  Rural Digital Opportunity Fund (RDOF)</w:t>
      </w:r>
    </w:p>
    <w:p w:rsidR="00207811" w:rsidRPr="00207811" w:rsidP="00207811" w14:paraId="67F368B1" w14:textId="77777777">
      <w:pPr>
        <w:jc w:val="both"/>
        <w:rPr>
          <w:sz w:val="22"/>
          <w:szCs w:val="22"/>
        </w:rPr>
      </w:pPr>
    </w:p>
    <w:p w:rsidR="00207811" w:rsidRPr="00207811" w:rsidP="00207811" w14:paraId="00043FF9" w14:textId="5ECB8F3D">
      <w:pPr>
        <w:jc w:val="both"/>
        <w:rPr>
          <w:rFonts w:eastAsia="Times"/>
          <w:sz w:val="22"/>
          <w:szCs w:val="22"/>
        </w:rPr>
      </w:pPr>
      <w:bookmarkStart w:id="155" w:name="_Hlk85626016"/>
      <w:r w:rsidRPr="540BDD52">
        <w:rPr>
          <w:rFonts w:ascii="Times" w:eastAsia="Times" w:hAnsi="Times" w:cs="Times"/>
          <w:sz w:val="22"/>
          <w:szCs w:val="22"/>
        </w:rPr>
        <w:t xml:space="preserve">Pursuant to a public notice, DA 20-1422, released </w:t>
      </w:r>
      <w:r w:rsidRPr="540BDD52">
        <w:rPr>
          <w:rFonts w:eastAsia="Times"/>
          <w:sz w:val="22"/>
          <w:szCs w:val="22"/>
        </w:rPr>
        <w:t xml:space="preserve">on December 7, 2020 </w:t>
      </w:r>
      <w:r w:rsidRPr="540BDD52">
        <w:rPr>
          <w:rFonts w:ascii="Times" w:eastAsia="Times" w:hAnsi="Times" w:cs="Times"/>
          <w:sz w:val="22"/>
          <w:szCs w:val="22"/>
        </w:rPr>
        <w:t xml:space="preserve">by the Rural Broadband Auctions Task Force (RBATF), the Wireline Competition </w:t>
      </w:r>
      <w:r w:rsidRPr="540BDD52" w:rsidR="155A7045">
        <w:rPr>
          <w:rFonts w:ascii="Times" w:eastAsia="Times" w:hAnsi="Times" w:cs="Times"/>
          <w:sz w:val="22"/>
          <w:szCs w:val="22"/>
        </w:rPr>
        <w:t>Bureau</w:t>
      </w:r>
      <w:r w:rsidRPr="540BDD52">
        <w:rPr>
          <w:rFonts w:ascii="Times" w:eastAsia="Times" w:hAnsi="Times" w:cs="Times"/>
          <w:sz w:val="22"/>
          <w:szCs w:val="22"/>
        </w:rPr>
        <w:t xml:space="preserve"> (WCB), </w:t>
      </w:r>
      <w:r w:rsidRPr="540BDD52">
        <w:rPr>
          <w:rFonts w:eastAsia="Times"/>
          <w:sz w:val="22"/>
          <w:szCs w:val="22"/>
        </w:rPr>
        <w:t xml:space="preserve">and the Office of Economics and Analytics (OEA), there were 180 winning bidders in the Rural Digital Opportunity Fund Phase I auction (Auction 904), with the 10-year support amount totaling $9,230,688 and covering 5,220,833 locations in 49 states and one territory.  </w:t>
      </w:r>
      <w:r w:rsidRPr="540BDD52">
        <w:rPr>
          <w:sz w:val="22"/>
          <w:szCs w:val="22"/>
        </w:rPr>
        <w:t>The FCC has directed USAC to obligate a total of approximately $6,064,438 for applicants who have successfully complied with the requirements to be eligible to receive support to provide voice and broadband services.</w:t>
      </w:r>
    </w:p>
    <w:p w:rsidR="00207811" w:rsidRPr="00207811" w:rsidP="00207811" w14:paraId="3E16D5A0" w14:textId="77777777">
      <w:pPr>
        <w:jc w:val="both"/>
        <w:rPr>
          <w:rFonts w:eastAsia="Times"/>
          <w:sz w:val="22"/>
          <w:szCs w:val="22"/>
        </w:rPr>
      </w:pPr>
    </w:p>
    <w:p w:rsidR="00207811" w:rsidRPr="00207811" w:rsidP="00207811" w14:paraId="0D0E2E60" w14:textId="77777777">
      <w:pPr>
        <w:jc w:val="both"/>
        <w:rPr>
          <w:sz w:val="22"/>
          <w:szCs w:val="22"/>
        </w:rPr>
      </w:pPr>
      <w:r w:rsidRPr="00207811">
        <w:rPr>
          <w:sz w:val="22"/>
          <w:szCs w:val="22"/>
        </w:rPr>
        <w:t>The Commission has announced that applicants have defaulted on approximately $3,285,194 in support associated with winning bids.  There are total $189,831 de-obligation for RDOF due to downward adjustments of current obligation.</w:t>
      </w:r>
    </w:p>
    <w:p w:rsidR="00207811" w:rsidRPr="00207811" w:rsidP="00207811" w14:paraId="7415D2A4" w14:textId="77777777">
      <w:pPr>
        <w:jc w:val="both"/>
        <w:rPr>
          <w:sz w:val="22"/>
          <w:szCs w:val="22"/>
        </w:rPr>
      </w:pPr>
    </w:p>
    <w:bookmarkEnd w:id="155"/>
    <w:p w:rsidR="00207811" w:rsidRPr="00207811" w:rsidP="00207811" w14:paraId="043EDF82"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T.  Rate of Return Alternative Connect America Cost Model (ROR A-CAM)</w:t>
      </w:r>
    </w:p>
    <w:p w:rsidR="00207811" w:rsidRPr="00207811" w:rsidP="00207811" w14:paraId="7B113080" w14:textId="77777777">
      <w:pPr>
        <w:rPr>
          <w:b/>
          <w:bCs/>
          <w:sz w:val="22"/>
          <w:szCs w:val="22"/>
        </w:rPr>
      </w:pPr>
    </w:p>
    <w:p w:rsidR="00207811" w:rsidRPr="00207811" w:rsidP="00207811" w14:paraId="5D7E9A21" w14:textId="204EFA34">
      <w:pPr>
        <w:jc w:val="both"/>
        <w:rPr>
          <w:sz w:val="22"/>
          <w:szCs w:val="22"/>
        </w:rPr>
      </w:pPr>
      <w:r w:rsidRPr="540BDD52">
        <w:rPr>
          <w:sz w:val="22"/>
          <w:szCs w:val="22"/>
        </w:rPr>
        <w:t>Pursuant to FCC Public O</w:t>
      </w:r>
      <w:r w:rsidRPr="540BDD52" w:rsidR="03B9BD3E">
        <w:rPr>
          <w:sz w:val="22"/>
          <w:szCs w:val="22"/>
        </w:rPr>
        <w:t>r</w:t>
      </w:r>
      <w:r w:rsidRPr="540BDD52">
        <w:rPr>
          <w:sz w:val="22"/>
          <w:szCs w:val="22"/>
        </w:rPr>
        <w:t>der DA 23-1025, released on October 30, 202</w:t>
      </w:r>
      <w:r w:rsidRPr="540BDD52" w:rsidR="2E9BB7C8">
        <w:rPr>
          <w:sz w:val="22"/>
          <w:szCs w:val="22"/>
        </w:rPr>
        <w:t>3</w:t>
      </w:r>
      <w:r w:rsidRPr="540BDD52">
        <w:rPr>
          <w:sz w:val="22"/>
          <w:szCs w:val="22"/>
        </w:rPr>
        <w:t xml:space="preserve">, and consistent with the Commission’s Enhanced A-CAM Order, the Wireline Competition </w:t>
      </w:r>
      <w:r w:rsidR="00E9229E">
        <w:rPr>
          <w:sz w:val="22"/>
          <w:szCs w:val="22"/>
        </w:rPr>
        <w:t>Bureau</w:t>
      </w:r>
      <w:r w:rsidRPr="540BDD52">
        <w:rPr>
          <w:sz w:val="22"/>
          <w:szCs w:val="22"/>
        </w:rPr>
        <w:t xml:space="preserve"> (WCB) authorizes 368 rate-of-return companies that elected offers of Enhanced Alternative Connect America Cost Model (Enhanced A-CAM) support to receive model-based support.  The authorizations specify support to the electing companies for a 15-year period beginning January 1, 2024, in exchange for these companies committing to deploy broadband service of at least 100/20 Mbps service to over 700,000 unserved locations across the United States and maintain or improve existing 100/20 Mbps service to approximately 2 million locations.  </w:t>
      </w:r>
    </w:p>
    <w:p w:rsidR="00207811" w:rsidRPr="00207811" w:rsidP="00207811" w14:paraId="5CEBD91A" w14:textId="77777777">
      <w:pPr>
        <w:jc w:val="both"/>
        <w:rPr>
          <w:sz w:val="22"/>
          <w:szCs w:val="22"/>
        </w:rPr>
      </w:pPr>
    </w:p>
    <w:p w:rsidR="00207811" w:rsidRPr="00207811" w:rsidP="00207811" w14:paraId="5EF4909C" w14:textId="77777777">
      <w:pPr>
        <w:jc w:val="both"/>
        <w:rPr>
          <w:sz w:val="22"/>
          <w:szCs w:val="22"/>
        </w:rPr>
      </w:pPr>
      <w:r w:rsidRPr="00207811">
        <w:rPr>
          <w:sz w:val="22"/>
          <w:szCs w:val="22"/>
        </w:rPr>
        <w:t>The Enhanced A-CAM support obligated totals, $18,259,716, over the full 15-year term.  The WCB authorizes and directs the USAC to obligate and disburse the annual support amounts over a 15-year term, from January 1, 2024, to December 31, 2038.</w:t>
      </w:r>
    </w:p>
    <w:p w:rsidR="00207811" w:rsidRPr="00207811" w:rsidP="00207811" w14:paraId="675CAC87" w14:textId="77777777">
      <w:pPr>
        <w:rPr>
          <w:sz w:val="22"/>
          <w:szCs w:val="22"/>
        </w:rPr>
      </w:pPr>
    </w:p>
    <w:p w:rsidR="00207811" w:rsidRPr="00207811" w:rsidP="00207811" w14:paraId="69539A8C"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U. Comparison and Other</w:t>
      </w:r>
    </w:p>
    <w:p w:rsidR="00207811" w:rsidRPr="00207811" w:rsidP="00207811" w14:paraId="475CCF17" w14:textId="77777777">
      <w:pPr>
        <w:jc w:val="both"/>
        <w:rPr>
          <w:bCs/>
          <w:spacing w:val="-4"/>
          <w:kern w:val="16"/>
          <w:sz w:val="22"/>
          <w:szCs w:val="22"/>
        </w:rPr>
      </w:pPr>
    </w:p>
    <w:p w:rsidR="00207811" w:rsidRPr="00207811" w:rsidP="00207811" w14:paraId="4E818437" w14:textId="77777777">
      <w:pPr>
        <w:widowControl w:val="0"/>
        <w:autoSpaceDE w:val="0"/>
        <w:autoSpaceDN w:val="0"/>
        <w:adjustRightInd w:val="0"/>
        <w:jc w:val="both"/>
        <w:rPr>
          <w:color w:val="000000"/>
          <w:sz w:val="22"/>
          <w:szCs w:val="22"/>
        </w:rPr>
      </w:pPr>
      <w:r w:rsidRPr="00207811">
        <w:rPr>
          <w:color w:val="000000"/>
          <w:sz w:val="22"/>
          <w:szCs w:val="22"/>
        </w:rPr>
        <w:t xml:space="preserve">The FCC presents single-year statements and notes per </w:t>
      </w:r>
      <w:r w:rsidRPr="00207811">
        <w:rPr>
          <w:sz w:val="22"/>
          <w:szCs w:val="22"/>
        </w:rPr>
        <w:t>OMB Circular No. A</w:t>
      </w:r>
      <w:r w:rsidRPr="00207811">
        <w:rPr>
          <w:b/>
          <w:sz w:val="22"/>
          <w:szCs w:val="22"/>
        </w:rPr>
        <w:t>-</w:t>
      </w:r>
      <w:r w:rsidRPr="00207811">
        <w:rPr>
          <w:sz w:val="22"/>
          <w:szCs w:val="22"/>
        </w:rPr>
        <w:t xml:space="preserve">136, </w:t>
      </w:r>
      <w:r w:rsidRPr="00207811">
        <w:rPr>
          <w:i/>
          <w:sz w:val="22"/>
          <w:szCs w:val="22"/>
        </w:rPr>
        <w:t>Financial Reporting Requirements</w:t>
      </w:r>
      <w:r w:rsidRPr="00207811">
        <w:rPr>
          <w:bCs/>
          <w:sz w:val="22"/>
          <w:szCs w:val="22"/>
        </w:rPr>
        <w:t>—</w:t>
      </w:r>
      <w:r w:rsidRPr="00207811">
        <w:rPr>
          <w:bCs/>
          <w:i/>
          <w:iCs/>
          <w:sz w:val="22"/>
          <w:szCs w:val="22"/>
        </w:rPr>
        <w:t>Revised</w:t>
      </w:r>
      <w:r w:rsidRPr="00207811">
        <w:rPr>
          <w:color w:val="000000"/>
          <w:sz w:val="22"/>
          <w:szCs w:val="22"/>
        </w:rPr>
        <w:t xml:space="preserve">, released on July 14, 2025. </w:t>
      </w:r>
    </w:p>
    <w:p w:rsidR="00207811" w:rsidRPr="00207811" w:rsidP="00207811" w14:paraId="59BA0A2B" w14:textId="77777777">
      <w:pPr>
        <w:widowControl w:val="0"/>
        <w:autoSpaceDE w:val="0"/>
        <w:autoSpaceDN w:val="0"/>
        <w:adjustRightInd w:val="0"/>
        <w:jc w:val="both"/>
        <w:rPr>
          <w:color w:val="000000"/>
          <w:sz w:val="22"/>
          <w:szCs w:val="22"/>
        </w:rPr>
      </w:pPr>
    </w:p>
    <w:p w:rsidR="00207811" w:rsidRPr="00207811" w:rsidP="00207811" w14:paraId="51250BCE" w14:textId="77777777">
      <w:pPr>
        <w:widowControl w:val="0"/>
        <w:autoSpaceDE w:val="0"/>
        <w:autoSpaceDN w:val="0"/>
        <w:adjustRightInd w:val="0"/>
        <w:jc w:val="both"/>
        <w:rPr>
          <w:color w:val="000000"/>
          <w:sz w:val="22"/>
          <w:szCs w:val="22"/>
        </w:rPr>
      </w:pPr>
    </w:p>
    <w:p w:rsidR="00207811" w:rsidRPr="00207811" w:rsidP="00207811" w14:paraId="1542C52A" w14:textId="77777777">
      <w:pPr>
        <w:widowControl w:val="0"/>
        <w:autoSpaceDE w:val="0"/>
        <w:autoSpaceDN w:val="0"/>
        <w:adjustRightInd w:val="0"/>
        <w:jc w:val="both"/>
        <w:rPr>
          <w:color w:val="000000"/>
          <w:sz w:val="22"/>
          <w:szCs w:val="22"/>
        </w:rPr>
      </w:pPr>
    </w:p>
    <w:p w:rsidR="00207811" w:rsidRPr="00207811" w:rsidP="00207811" w14:paraId="3D92A23E" w14:textId="77777777">
      <w:pPr>
        <w:widowControl w:val="0"/>
        <w:autoSpaceDE w:val="0"/>
        <w:autoSpaceDN w:val="0"/>
        <w:adjustRightInd w:val="0"/>
        <w:jc w:val="both"/>
        <w:rPr>
          <w:color w:val="000000"/>
          <w:sz w:val="22"/>
          <w:szCs w:val="22"/>
        </w:rPr>
      </w:pPr>
    </w:p>
    <w:p w:rsidR="00207811" w:rsidRPr="00207811" w:rsidP="00207811" w14:paraId="3D66F107" w14:textId="77777777">
      <w:pPr>
        <w:widowControl w:val="0"/>
        <w:autoSpaceDE w:val="0"/>
        <w:autoSpaceDN w:val="0"/>
        <w:adjustRightInd w:val="0"/>
        <w:jc w:val="both"/>
        <w:rPr>
          <w:color w:val="000000"/>
          <w:sz w:val="22"/>
          <w:szCs w:val="22"/>
        </w:rPr>
      </w:pPr>
    </w:p>
    <w:p w:rsidR="00207811" w:rsidRPr="00207811" w:rsidP="00207811" w14:paraId="31395E7A" w14:textId="77777777">
      <w:pPr>
        <w:widowControl w:val="0"/>
        <w:autoSpaceDE w:val="0"/>
        <w:autoSpaceDN w:val="0"/>
        <w:adjustRightInd w:val="0"/>
        <w:jc w:val="both"/>
        <w:rPr>
          <w:color w:val="000000"/>
          <w:sz w:val="22"/>
          <w:szCs w:val="22"/>
        </w:rPr>
      </w:pPr>
    </w:p>
    <w:p w:rsidR="00207811" w:rsidRPr="00207811" w:rsidP="00207811" w14:paraId="480BA3F2" w14:textId="77777777">
      <w:pPr>
        <w:widowControl w:val="0"/>
        <w:autoSpaceDE w:val="0"/>
        <w:autoSpaceDN w:val="0"/>
        <w:adjustRightInd w:val="0"/>
        <w:jc w:val="both"/>
        <w:rPr>
          <w:color w:val="000000"/>
          <w:sz w:val="22"/>
          <w:szCs w:val="22"/>
        </w:rPr>
      </w:pPr>
    </w:p>
    <w:p w:rsidR="00207811" w:rsidRPr="00207811" w:rsidP="00207811" w14:paraId="019D4339"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Note 2 – Non-entity Assets</w:t>
      </w:r>
    </w:p>
    <w:p w:rsidR="00207811" w:rsidRPr="00207811" w:rsidP="00207811" w14:paraId="0928A00D" w14:textId="77777777">
      <w:pPr>
        <w:rPr>
          <w:sz w:val="22"/>
          <w:szCs w:val="22"/>
        </w:rPr>
      </w:pPr>
    </w:p>
    <w:p w:rsidR="00207811" w:rsidRPr="00207811" w:rsidP="00207811" w14:paraId="7690CAFE" w14:textId="77777777">
      <w:pPr>
        <w:tabs>
          <w:tab w:val="left" w:pos="8505"/>
        </w:tabs>
        <w:rPr>
          <w:sz w:val="22"/>
          <w:szCs w:val="22"/>
        </w:rPr>
      </w:pPr>
      <w:r w:rsidRPr="00207811">
        <w:rPr>
          <w:sz w:val="22"/>
          <w:szCs w:val="22"/>
        </w:rPr>
        <w:t xml:space="preserve">The following summarizes Non-entity Assets as of September 30, 2025:  </w:t>
      </w:r>
    </w:p>
    <w:p w:rsidR="00207811" w:rsidRPr="00207811" w:rsidP="00207811" w14:paraId="2BC8676D" w14:textId="77777777">
      <w:pPr>
        <w:tabs>
          <w:tab w:val="left" w:pos="8505"/>
        </w:tabs>
        <w:rPr>
          <w:sz w:val="22"/>
          <w:szCs w:val="22"/>
        </w:rPr>
      </w:pPr>
    </w:p>
    <w:tbl>
      <w:tblPr>
        <w:tblStyle w:val="TableGrid12"/>
        <w:tblW w:w="0" w:type="auto"/>
        <w:jc w:val="center"/>
        <w:tblLook w:val="04A0"/>
      </w:tblPr>
      <w:tblGrid>
        <w:gridCol w:w="4500"/>
        <w:gridCol w:w="1530"/>
        <w:gridCol w:w="270"/>
      </w:tblGrid>
      <w:tr w14:paraId="7142EB8C" w14:textId="77777777" w:rsidTr="00D93A8D">
        <w:tblPrEx>
          <w:tblW w:w="0" w:type="auto"/>
          <w:jc w:val="center"/>
          <w:tblLook w:val="04A0"/>
        </w:tblPrEx>
        <w:trPr>
          <w:cantSplit/>
          <w:tblHeader/>
          <w:jc w:val="center"/>
        </w:trPr>
        <w:tc>
          <w:tcPr>
            <w:tcW w:w="4500" w:type="dxa"/>
            <w:vAlign w:val="center"/>
          </w:tcPr>
          <w:p w:rsidR="00207811" w:rsidRPr="00207811" w:rsidP="00207811" w14:paraId="4234871B" w14:textId="77777777">
            <w:pPr>
              <w:rPr>
                <w:sz w:val="22"/>
                <w:szCs w:val="22"/>
              </w:rPr>
            </w:pPr>
          </w:p>
        </w:tc>
        <w:tc>
          <w:tcPr>
            <w:tcW w:w="1530" w:type="dxa"/>
            <w:vAlign w:val="center"/>
          </w:tcPr>
          <w:p w:rsidR="00207811" w:rsidRPr="00207811" w:rsidP="00207811" w14:paraId="742FEDB9" w14:textId="77777777">
            <w:pPr>
              <w:jc w:val="center"/>
              <w:rPr>
                <w:sz w:val="22"/>
                <w:szCs w:val="22"/>
                <w:u w:val="single"/>
              </w:rPr>
            </w:pPr>
            <w:r w:rsidRPr="00207811">
              <w:rPr>
                <w:sz w:val="22"/>
                <w:szCs w:val="22"/>
                <w:u w:val="single"/>
              </w:rPr>
              <w:t>FY 2025</w:t>
            </w:r>
          </w:p>
        </w:tc>
        <w:tc>
          <w:tcPr>
            <w:tcW w:w="270" w:type="dxa"/>
            <w:vAlign w:val="center"/>
          </w:tcPr>
          <w:p w:rsidR="00207811" w:rsidRPr="00207811" w:rsidP="00207811" w14:paraId="6DBFC705" w14:textId="77777777">
            <w:pPr>
              <w:rPr>
                <w:sz w:val="22"/>
                <w:szCs w:val="22"/>
              </w:rPr>
            </w:pPr>
          </w:p>
        </w:tc>
      </w:tr>
      <w:tr w14:paraId="7E50B3E4" w14:textId="77777777" w:rsidTr="00D93A8D">
        <w:tblPrEx>
          <w:tblW w:w="0" w:type="auto"/>
          <w:jc w:val="center"/>
          <w:tblLook w:val="04A0"/>
        </w:tblPrEx>
        <w:trPr>
          <w:cantSplit/>
          <w:jc w:val="center"/>
        </w:trPr>
        <w:tc>
          <w:tcPr>
            <w:tcW w:w="4500" w:type="dxa"/>
            <w:vAlign w:val="center"/>
          </w:tcPr>
          <w:p w:rsidR="00207811" w:rsidRPr="00207811" w:rsidP="00207811" w14:paraId="2F5346E2" w14:textId="77777777">
            <w:pPr>
              <w:rPr>
                <w:sz w:val="22"/>
                <w:szCs w:val="22"/>
              </w:rPr>
            </w:pPr>
            <w:r w:rsidRPr="00207811">
              <w:rPr>
                <w:sz w:val="22"/>
                <w:szCs w:val="22"/>
              </w:rPr>
              <w:t>Intragovernmental Assets</w:t>
            </w:r>
          </w:p>
        </w:tc>
        <w:tc>
          <w:tcPr>
            <w:tcW w:w="1530" w:type="dxa"/>
            <w:vAlign w:val="center"/>
          </w:tcPr>
          <w:p w:rsidR="00207811" w:rsidRPr="00207811" w:rsidP="00207811" w14:paraId="28D30AAB" w14:textId="77777777">
            <w:pPr>
              <w:rPr>
                <w:sz w:val="22"/>
                <w:szCs w:val="22"/>
              </w:rPr>
            </w:pPr>
          </w:p>
        </w:tc>
        <w:tc>
          <w:tcPr>
            <w:tcW w:w="270" w:type="dxa"/>
            <w:vAlign w:val="center"/>
          </w:tcPr>
          <w:p w:rsidR="00207811" w:rsidRPr="00207811" w:rsidP="00207811" w14:paraId="434D0F4C" w14:textId="77777777">
            <w:pPr>
              <w:rPr>
                <w:sz w:val="22"/>
                <w:szCs w:val="22"/>
              </w:rPr>
            </w:pPr>
          </w:p>
        </w:tc>
      </w:tr>
      <w:tr w14:paraId="77FC346D" w14:textId="77777777" w:rsidTr="00D93A8D">
        <w:tblPrEx>
          <w:tblW w:w="0" w:type="auto"/>
          <w:jc w:val="center"/>
          <w:tblLook w:val="04A0"/>
        </w:tblPrEx>
        <w:trPr>
          <w:cantSplit/>
          <w:trHeight w:val="260"/>
          <w:jc w:val="center"/>
        </w:trPr>
        <w:tc>
          <w:tcPr>
            <w:tcW w:w="4500" w:type="dxa"/>
            <w:vAlign w:val="center"/>
          </w:tcPr>
          <w:p w:rsidR="00207811" w:rsidRPr="00207811" w:rsidP="00207811" w14:paraId="7912377F" w14:textId="77777777">
            <w:pPr>
              <w:ind w:left="288"/>
              <w:rPr>
                <w:sz w:val="22"/>
                <w:szCs w:val="22"/>
              </w:rPr>
            </w:pPr>
            <w:r w:rsidRPr="00207811">
              <w:rPr>
                <w:sz w:val="22"/>
                <w:szCs w:val="22"/>
              </w:rPr>
              <w:t>Fund Balance with Treasury</w:t>
            </w:r>
          </w:p>
        </w:tc>
        <w:tc>
          <w:tcPr>
            <w:tcW w:w="1530" w:type="dxa"/>
            <w:tcBorders>
              <w:bottom w:val="single" w:sz="4" w:space="0" w:color="auto"/>
            </w:tcBorders>
            <w:vAlign w:val="center"/>
          </w:tcPr>
          <w:p w:rsidR="00207811" w:rsidRPr="00207811" w:rsidP="00207811" w14:paraId="4AE80523" w14:textId="77777777">
            <w:pPr>
              <w:jc w:val="right"/>
              <w:rPr>
                <w:sz w:val="22"/>
                <w:szCs w:val="22"/>
              </w:rPr>
            </w:pPr>
            <w:r w:rsidRPr="00207811">
              <w:rPr>
                <w:sz w:val="22"/>
                <w:szCs w:val="22"/>
              </w:rPr>
              <w:t>$     3,146,517</w:t>
            </w:r>
          </w:p>
        </w:tc>
        <w:tc>
          <w:tcPr>
            <w:tcW w:w="270" w:type="dxa"/>
            <w:vAlign w:val="center"/>
          </w:tcPr>
          <w:p w:rsidR="00207811" w:rsidRPr="00207811" w:rsidP="00207811" w14:paraId="4219EF40" w14:textId="77777777">
            <w:pPr>
              <w:rPr>
                <w:sz w:val="22"/>
                <w:szCs w:val="22"/>
              </w:rPr>
            </w:pPr>
          </w:p>
        </w:tc>
      </w:tr>
      <w:tr w14:paraId="5003BC3F" w14:textId="77777777" w:rsidTr="00D93A8D">
        <w:tblPrEx>
          <w:tblW w:w="0" w:type="auto"/>
          <w:jc w:val="center"/>
          <w:tblLook w:val="04A0"/>
        </w:tblPrEx>
        <w:trPr>
          <w:cantSplit/>
          <w:trHeight w:val="296"/>
          <w:jc w:val="center"/>
        </w:trPr>
        <w:tc>
          <w:tcPr>
            <w:tcW w:w="4500" w:type="dxa"/>
          </w:tcPr>
          <w:p w:rsidR="00207811" w:rsidRPr="00207811" w:rsidP="00207811" w14:paraId="2174330F" w14:textId="77777777">
            <w:pPr>
              <w:rPr>
                <w:sz w:val="22"/>
                <w:szCs w:val="22"/>
              </w:rPr>
            </w:pPr>
            <w:r w:rsidRPr="00207811">
              <w:rPr>
                <w:sz w:val="22"/>
                <w:szCs w:val="22"/>
              </w:rPr>
              <w:t>Total Intragovernmental</w:t>
            </w:r>
          </w:p>
        </w:tc>
        <w:tc>
          <w:tcPr>
            <w:tcW w:w="1530" w:type="dxa"/>
            <w:tcBorders>
              <w:top w:val="single" w:sz="4" w:space="0" w:color="auto"/>
            </w:tcBorders>
            <w:vAlign w:val="center"/>
          </w:tcPr>
          <w:p w:rsidR="00207811" w:rsidRPr="00207811" w:rsidP="00207811" w14:paraId="01D78ADD" w14:textId="77777777">
            <w:pPr>
              <w:jc w:val="right"/>
              <w:rPr>
                <w:sz w:val="22"/>
                <w:szCs w:val="22"/>
              </w:rPr>
            </w:pPr>
            <w:r w:rsidRPr="00207811">
              <w:rPr>
                <w:sz w:val="22"/>
                <w:szCs w:val="22"/>
              </w:rPr>
              <w:t>3,146,517</w:t>
            </w:r>
          </w:p>
        </w:tc>
        <w:tc>
          <w:tcPr>
            <w:tcW w:w="270" w:type="dxa"/>
            <w:vAlign w:val="center"/>
          </w:tcPr>
          <w:p w:rsidR="00207811" w:rsidRPr="00207811" w:rsidP="00207811" w14:paraId="44F6ED8B" w14:textId="77777777">
            <w:pPr>
              <w:rPr>
                <w:sz w:val="22"/>
                <w:szCs w:val="22"/>
              </w:rPr>
            </w:pPr>
          </w:p>
        </w:tc>
      </w:tr>
      <w:tr w14:paraId="3DE5518C" w14:textId="77777777" w:rsidTr="00D93A8D">
        <w:tblPrEx>
          <w:tblW w:w="0" w:type="auto"/>
          <w:jc w:val="center"/>
          <w:tblLook w:val="04A0"/>
        </w:tblPrEx>
        <w:trPr>
          <w:cantSplit/>
          <w:trHeight w:val="72"/>
          <w:jc w:val="center"/>
        </w:trPr>
        <w:tc>
          <w:tcPr>
            <w:tcW w:w="4500" w:type="dxa"/>
            <w:vAlign w:val="center"/>
          </w:tcPr>
          <w:p w:rsidR="00207811" w:rsidRPr="00207811" w:rsidP="00207811" w14:paraId="3A59AA0F" w14:textId="77777777">
            <w:pPr>
              <w:rPr>
                <w:sz w:val="22"/>
                <w:szCs w:val="22"/>
              </w:rPr>
            </w:pPr>
          </w:p>
        </w:tc>
        <w:tc>
          <w:tcPr>
            <w:tcW w:w="1530" w:type="dxa"/>
            <w:vAlign w:val="center"/>
          </w:tcPr>
          <w:p w:rsidR="00207811" w:rsidRPr="00207811" w:rsidP="00207811" w14:paraId="1CDDCDE1" w14:textId="77777777">
            <w:pPr>
              <w:jc w:val="right"/>
              <w:rPr>
                <w:sz w:val="22"/>
                <w:szCs w:val="22"/>
              </w:rPr>
            </w:pPr>
          </w:p>
        </w:tc>
        <w:tc>
          <w:tcPr>
            <w:tcW w:w="270" w:type="dxa"/>
            <w:vAlign w:val="center"/>
          </w:tcPr>
          <w:p w:rsidR="00207811" w:rsidRPr="00207811" w:rsidP="00207811" w14:paraId="042FEEB5" w14:textId="77777777">
            <w:pPr>
              <w:rPr>
                <w:sz w:val="22"/>
                <w:szCs w:val="22"/>
              </w:rPr>
            </w:pPr>
          </w:p>
        </w:tc>
      </w:tr>
      <w:tr w14:paraId="159936D4" w14:textId="77777777" w:rsidTr="00D93A8D">
        <w:tblPrEx>
          <w:tblW w:w="0" w:type="auto"/>
          <w:jc w:val="center"/>
          <w:tblLook w:val="04A0"/>
        </w:tblPrEx>
        <w:trPr>
          <w:cantSplit/>
          <w:jc w:val="center"/>
        </w:trPr>
        <w:tc>
          <w:tcPr>
            <w:tcW w:w="4500" w:type="dxa"/>
            <w:vAlign w:val="center"/>
          </w:tcPr>
          <w:p w:rsidR="00207811" w:rsidRPr="00207811" w:rsidP="00207811" w14:paraId="21763FC1" w14:textId="77777777">
            <w:pPr>
              <w:rPr>
                <w:sz w:val="22"/>
                <w:szCs w:val="22"/>
              </w:rPr>
            </w:pPr>
            <w:r w:rsidRPr="00207811">
              <w:rPr>
                <w:sz w:val="22"/>
                <w:szCs w:val="22"/>
              </w:rPr>
              <w:t>Other than Intragovernmental Assets</w:t>
            </w:r>
          </w:p>
        </w:tc>
        <w:tc>
          <w:tcPr>
            <w:tcW w:w="1530" w:type="dxa"/>
            <w:vAlign w:val="center"/>
          </w:tcPr>
          <w:p w:rsidR="00207811" w:rsidRPr="00207811" w:rsidP="00207811" w14:paraId="50788510" w14:textId="77777777">
            <w:pPr>
              <w:jc w:val="right"/>
              <w:rPr>
                <w:sz w:val="22"/>
                <w:szCs w:val="22"/>
              </w:rPr>
            </w:pPr>
          </w:p>
        </w:tc>
        <w:tc>
          <w:tcPr>
            <w:tcW w:w="270" w:type="dxa"/>
            <w:vAlign w:val="center"/>
          </w:tcPr>
          <w:p w:rsidR="00207811" w:rsidRPr="00207811" w:rsidP="00207811" w14:paraId="3A958843" w14:textId="77777777">
            <w:pPr>
              <w:rPr>
                <w:sz w:val="22"/>
                <w:szCs w:val="22"/>
              </w:rPr>
            </w:pPr>
          </w:p>
        </w:tc>
      </w:tr>
      <w:tr w14:paraId="7BD23E29" w14:textId="77777777" w:rsidTr="00D93A8D">
        <w:tblPrEx>
          <w:tblW w:w="0" w:type="auto"/>
          <w:jc w:val="center"/>
          <w:tblLook w:val="04A0"/>
        </w:tblPrEx>
        <w:trPr>
          <w:cantSplit/>
          <w:jc w:val="center"/>
        </w:trPr>
        <w:tc>
          <w:tcPr>
            <w:tcW w:w="4500" w:type="dxa"/>
            <w:vAlign w:val="center"/>
          </w:tcPr>
          <w:p w:rsidR="00207811" w:rsidRPr="00207811" w:rsidP="00207811" w14:paraId="31D9173E" w14:textId="77777777">
            <w:pPr>
              <w:ind w:left="288"/>
              <w:rPr>
                <w:sz w:val="22"/>
                <w:szCs w:val="22"/>
              </w:rPr>
            </w:pPr>
            <w:r w:rsidRPr="00207811">
              <w:rPr>
                <w:sz w:val="22"/>
                <w:szCs w:val="22"/>
              </w:rPr>
              <w:t>Accounts Receivable, Net</w:t>
            </w:r>
          </w:p>
        </w:tc>
        <w:tc>
          <w:tcPr>
            <w:tcW w:w="1530" w:type="dxa"/>
            <w:tcBorders>
              <w:bottom w:val="single" w:sz="4" w:space="0" w:color="auto"/>
            </w:tcBorders>
            <w:vAlign w:val="center"/>
          </w:tcPr>
          <w:p w:rsidR="00207811" w:rsidRPr="00207811" w:rsidP="00207811" w14:paraId="705D7026" w14:textId="77777777">
            <w:pPr>
              <w:jc w:val="right"/>
              <w:rPr>
                <w:sz w:val="22"/>
                <w:szCs w:val="22"/>
              </w:rPr>
            </w:pPr>
            <w:r w:rsidRPr="00207811">
              <w:rPr>
                <w:sz w:val="22"/>
                <w:szCs w:val="22"/>
              </w:rPr>
              <w:t>8,519</w:t>
            </w:r>
          </w:p>
        </w:tc>
        <w:tc>
          <w:tcPr>
            <w:tcW w:w="270" w:type="dxa"/>
            <w:vAlign w:val="center"/>
          </w:tcPr>
          <w:p w:rsidR="00207811" w:rsidRPr="00207811" w:rsidP="00207811" w14:paraId="4BA45EB6" w14:textId="77777777">
            <w:pPr>
              <w:rPr>
                <w:sz w:val="22"/>
                <w:szCs w:val="22"/>
              </w:rPr>
            </w:pPr>
          </w:p>
        </w:tc>
      </w:tr>
      <w:tr w14:paraId="2D7A5446" w14:textId="77777777" w:rsidTr="00D93A8D">
        <w:tblPrEx>
          <w:tblW w:w="0" w:type="auto"/>
          <w:jc w:val="center"/>
          <w:tblLook w:val="04A0"/>
        </w:tblPrEx>
        <w:trPr>
          <w:cantSplit/>
          <w:jc w:val="center"/>
        </w:trPr>
        <w:tc>
          <w:tcPr>
            <w:tcW w:w="4500" w:type="dxa"/>
            <w:vAlign w:val="center"/>
          </w:tcPr>
          <w:p w:rsidR="00207811" w:rsidRPr="00207811" w:rsidP="00207811" w14:paraId="4BA7A720" w14:textId="77777777">
            <w:pPr>
              <w:rPr>
                <w:sz w:val="22"/>
                <w:szCs w:val="22"/>
              </w:rPr>
            </w:pPr>
            <w:r w:rsidRPr="00207811">
              <w:rPr>
                <w:sz w:val="22"/>
                <w:szCs w:val="22"/>
              </w:rPr>
              <w:t>Total Other than Intragovernmental Assets</w:t>
            </w:r>
          </w:p>
        </w:tc>
        <w:tc>
          <w:tcPr>
            <w:tcW w:w="1530" w:type="dxa"/>
            <w:tcBorders>
              <w:top w:val="single" w:sz="4" w:space="0" w:color="auto"/>
            </w:tcBorders>
            <w:vAlign w:val="center"/>
          </w:tcPr>
          <w:p w:rsidR="00207811" w:rsidRPr="00207811" w:rsidP="00207811" w14:paraId="79C356C1" w14:textId="77777777">
            <w:pPr>
              <w:jc w:val="right"/>
              <w:rPr>
                <w:sz w:val="22"/>
                <w:szCs w:val="22"/>
              </w:rPr>
            </w:pPr>
            <w:r w:rsidRPr="00207811">
              <w:rPr>
                <w:sz w:val="22"/>
                <w:szCs w:val="22"/>
              </w:rPr>
              <w:t>8,519</w:t>
            </w:r>
          </w:p>
        </w:tc>
        <w:tc>
          <w:tcPr>
            <w:tcW w:w="270" w:type="dxa"/>
            <w:vAlign w:val="center"/>
          </w:tcPr>
          <w:p w:rsidR="00207811" w:rsidRPr="00207811" w:rsidP="00207811" w14:paraId="55E42C0A" w14:textId="77777777">
            <w:pPr>
              <w:rPr>
                <w:sz w:val="22"/>
                <w:szCs w:val="22"/>
              </w:rPr>
            </w:pPr>
          </w:p>
        </w:tc>
      </w:tr>
      <w:tr w14:paraId="532A4F94" w14:textId="77777777" w:rsidTr="00D93A8D">
        <w:tblPrEx>
          <w:tblW w:w="0" w:type="auto"/>
          <w:jc w:val="center"/>
          <w:tblLook w:val="04A0"/>
        </w:tblPrEx>
        <w:trPr>
          <w:cantSplit/>
          <w:jc w:val="center"/>
        </w:trPr>
        <w:tc>
          <w:tcPr>
            <w:tcW w:w="4500" w:type="dxa"/>
            <w:vAlign w:val="center"/>
          </w:tcPr>
          <w:p w:rsidR="00207811" w:rsidRPr="00207811" w:rsidP="00207811" w14:paraId="48FFD6B3" w14:textId="77777777">
            <w:pPr>
              <w:rPr>
                <w:sz w:val="22"/>
                <w:szCs w:val="22"/>
              </w:rPr>
            </w:pPr>
          </w:p>
        </w:tc>
        <w:tc>
          <w:tcPr>
            <w:tcW w:w="1530" w:type="dxa"/>
            <w:vAlign w:val="center"/>
          </w:tcPr>
          <w:p w:rsidR="00207811" w:rsidRPr="00207811" w:rsidP="00207811" w14:paraId="19DC5FA1" w14:textId="77777777">
            <w:pPr>
              <w:jc w:val="right"/>
              <w:rPr>
                <w:sz w:val="22"/>
                <w:szCs w:val="22"/>
              </w:rPr>
            </w:pPr>
          </w:p>
        </w:tc>
        <w:tc>
          <w:tcPr>
            <w:tcW w:w="270" w:type="dxa"/>
            <w:vAlign w:val="center"/>
          </w:tcPr>
          <w:p w:rsidR="00207811" w:rsidRPr="00207811" w:rsidP="00207811" w14:paraId="364D6BB8" w14:textId="77777777">
            <w:pPr>
              <w:rPr>
                <w:sz w:val="22"/>
                <w:szCs w:val="22"/>
              </w:rPr>
            </w:pPr>
          </w:p>
        </w:tc>
      </w:tr>
      <w:tr w14:paraId="185B40C2" w14:textId="77777777" w:rsidTr="00D93A8D">
        <w:tblPrEx>
          <w:tblW w:w="0" w:type="auto"/>
          <w:jc w:val="center"/>
          <w:tblLook w:val="04A0"/>
        </w:tblPrEx>
        <w:trPr>
          <w:cantSplit/>
          <w:jc w:val="center"/>
        </w:trPr>
        <w:tc>
          <w:tcPr>
            <w:tcW w:w="4500" w:type="dxa"/>
            <w:vAlign w:val="center"/>
          </w:tcPr>
          <w:p w:rsidR="00207811" w:rsidRPr="00207811" w:rsidP="00207811" w14:paraId="193BC386" w14:textId="77777777">
            <w:pPr>
              <w:rPr>
                <w:sz w:val="22"/>
                <w:szCs w:val="22"/>
              </w:rPr>
            </w:pPr>
            <w:r w:rsidRPr="00207811">
              <w:rPr>
                <w:sz w:val="22"/>
                <w:szCs w:val="22"/>
              </w:rPr>
              <w:t>Total Non-entity Assets</w:t>
            </w:r>
          </w:p>
        </w:tc>
        <w:tc>
          <w:tcPr>
            <w:tcW w:w="1530" w:type="dxa"/>
            <w:vAlign w:val="center"/>
          </w:tcPr>
          <w:p w:rsidR="00207811" w:rsidRPr="00207811" w:rsidP="00207811" w14:paraId="24C8AE98" w14:textId="77777777">
            <w:pPr>
              <w:jc w:val="right"/>
              <w:rPr>
                <w:sz w:val="22"/>
                <w:szCs w:val="22"/>
              </w:rPr>
            </w:pPr>
            <w:r w:rsidRPr="00207811">
              <w:rPr>
                <w:sz w:val="22"/>
                <w:szCs w:val="22"/>
              </w:rPr>
              <w:t>3,155,036</w:t>
            </w:r>
          </w:p>
        </w:tc>
        <w:tc>
          <w:tcPr>
            <w:tcW w:w="270" w:type="dxa"/>
            <w:vAlign w:val="center"/>
          </w:tcPr>
          <w:p w:rsidR="00207811" w:rsidRPr="00207811" w:rsidP="00207811" w14:paraId="41DEB890" w14:textId="77777777">
            <w:pPr>
              <w:rPr>
                <w:sz w:val="22"/>
                <w:szCs w:val="22"/>
              </w:rPr>
            </w:pPr>
          </w:p>
        </w:tc>
      </w:tr>
      <w:tr w14:paraId="5F3892EA" w14:textId="77777777" w:rsidTr="00D93A8D">
        <w:tblPrEx>
          <w:tblW w:w="0" w:type="auto"/>
          <w:jc w:val="center"/>
          <w:tblLook w:val="04A0"/>
        </w:tblPrEx>
        <w:trPr>
          <w:cantSplit/>
          <w:jc w:val="center"/>
        </w:trPr>
        <w:tc>
          <w:tcPr>
            <w:tcW w:w="4500" w:type="dxa"/>
            <w:vAlign w:val="center"/>
          </w:tcPr>
          <w:p w:rsidR="00207811" w:rsidRPr="00207811" w:rsidP="00207811" w14:paraId="7FD02126" w14:textId="77777777">
            <w:pPr>
              <w:rPr>
                <w:sz w:val="22"/>
                <w:szCs w:val="22"/>
              </w:rPr>
            </w:pPr>
            <w:r w:rsidRPr="00207811">
              <w:rPr>
                <w:sz w:val="22"/>
                <w:szCs w:val="22"/>
              </w:rPr>
              <w:t>Total Entity Assets</w:t>
            </w:r>
          </w:p>
        </w:tc>
        <w:tc>
          <w:tcPr>
            <w:tcW w:w="1530" w:type="dxa"/>
            <w:tcBorders>
              <w:bottom w:val="single" w:sz="4" w:space="0" w:color="auto"/>
            </w:tcBorders>
            <w:vAlign w:val="center"/>
          </w:tcPr>
          <w:p w:rsidR="00207811" w:rsidRPr="00207811" w:rsidP="00207811" w14:paraId="6E94A45D" w14:textId="77777777">
            <w:pPr>
              <w:jc w:val="right"/>
              <w:rPr>
                <w:sz w:val="22"/>
                <w:szCs w:val="22"/>
              </w:rPr>
            </w:pPr>
            <w:r w:rsidRPr="00207811">
              <w:rPr>
                <w:sz w:val="22"/>
                <w:szCs w:val="22"/>
              </w:rPr>
              <w:t>12,662,488</w:t>
            </w:r>
          </w:p>
        </w:tc>
        <w:tc>
          <w:tcPr>
            <w:tcW w:w="270" w:type="dxa"/>
            <w:vAlign w:val="center"/>
          </w:tcPr>
          <w:p w:rsidR="00207811" w:rsidRPr="00207811" w:rsidP="00207811" w14:paraId="577283D6" w14:textId="77777777">
            <w:pPr>
              <w:rPr>
                <w:sz w:val="22"/>
                <w:szCs w:val="22"/>
              </w:rPr>
            </w:pPr>
          </w:p>
        </w:tc>
      </w:tr>
      <w:tr w14:paraId="541843C8" w14:textId="77777777" w:rsidTr="00D93A8D">
        <w:tblPrEx>
          <w:tblW w:w="0" w:type="auto"/>
          <w:jc w:val="center"/>
          <w:tblLook w:val="04A0"/>
        </w:tblPrEx>
        <w:trPr>
          <w:cantSplit/>
          <w:trHeight w:val="206"/>
          <w:jc w:val="center"/>
        </w:trPr>
        <w:tc>
          <w:tcPr>
            <w:tcW w:w="4500" w:type="dxa"/>
            <w:vAlign w:val="center"/>
          </w:tcPr>
          <w:p w:rsidR="00207811" w:rsidRPr="00207811" w:rsidP="00207811" w14:paraId="1869039C" w14:textId="77777777">
            <w:pPr>
              <w:rPr>
                <w:b/>
                <w:bCs/>
                <w:sz w:val="22"/>
                <w:szCs w:val="22"/>
              </w:rPr>
            </w:pPr>
            <w:r w:rsidRPr="00207811">
              <w:rPr>
                <w:b/>
                <w:bCs/>
                <w:sz w:val="22"/>
                <w:szCs w:val="22"/>
              </w:rPr>
              <w:t>Total Assets</w:t>
            </w:r>
          </w:p>
        </w:tc>
        <w:tc>
          <w:tcPr>
            <w:tcW w:w="1530" w:type="dxa"/>
            <w:tcBorders>
              <w:top w:val="single" w:sz="4" w:space="0" w:color="auto"/>
              <w:bottom w:val="double" w:sz="4" w:space="0" w:color="auto"/>
            </w:tcBorders>
            <w:vAlign w:val="center"/>
          </w:tcPr>
          <w:p w:rsidR="00207811" w:rsidRPr="00207811" w:rsidP="00207811" w14:paraId="0FBC4108" w14:textId="77777777">
            <w:pPr>
              <w:jc w:val="right"/>
              <w:rPr>
                <w:sz w:val="22"/>
                <w:szCs w:val="22"/>
              </w:rPr>
            </w:pPr>
            <w:r w:rsidRPr="00207811">
              <w:rPr>
                <w:sz w:val="22"/>
                <w:szCs w:val="22"/>
              </w:rPr>
              <w:t>$   15,817,524</w:t>
            </w:r>
          </w:p>
        </w:tc>
        <w:tc>
          <w:tcPr>
            <w:tcW w:w="270" w:type="dxa"/>
            <w:vAlign w:val="center"/>
          </w:tcPr>
          <w:p w:rsidR="00207811" w:rsidRPr="00207811" w:rsidP="00207811" w14:paraId="44177CB7" w14:textId="77777777">
            <w:pPr>
              <w:rPr>
                <w:sz w:val="22"/>
                <w:szCs w:val="22"/>
              </w:rPr>
            </w:pPr>
          </w:p>
        </w:tc>
      </w:tr>
      <w:tr w14:paraId="2EAB4C0F" w14:textId="77777777" w:rsidTr="00D93A8D">
        <w:tblPrEx>
          <w:tblW w:w="0" w:type="auto"/>
          <w:jc w:val="center"/>
          <w:tblLook w:val="04A0"/>
        </w:tblPrEx>
        <w:trPr>
          <w:cantSplit/>
          <w:trHeight w:val="206"/>
          <w:jc w:val="center"/>
        </w:trPr>
        <w:tc>
          <w:tcPr>
            <w:tcW w:w="4500" w:type="dxa"/>
            <w:vAlign w:val="center"/>
          </w:tcPr>
          <w:p w:rsidR="00207811" w:rsidRPr="00207811" w:rsidP="00207811" w14:paraId="41ED3E8D" w14:textId="77777777">
            <w:pPr>
              <w:rPr>
                <w:sz w:val="22"/>
                <w:szCs w:val="22"/>
              </w:rPr>
            </w:pPr>
          </w:p>
        </w:tc>
        <w:tc>
          <w:tcPr>
            <w:tcW w:w="1530" w:type="dxa"/>
            <w:tcBorders>
              <w:top w:val="double" w:sz="4" w:space="0" w:color="auto"/>
            </w:tcBorders>
            <w:vAlign w:val="center"/>
          </w:tcPr>
          <w:p w:rsidR="00207811" w:rsidRPr="00207811" w:rsidP="00207811" w14:paraId="45857A78" w14:textId="77777777">
            <w:pPr>
              <w:rPr>
                <w:sz w:val="22"/>
                <w:szCs w:val="22"/>
              </w:rPr>
            </w:pPr>
          </w:p>
        </w:tc>
        <w:tc>
          <w:tcPr>
            <w:tcW w:w="270" w:type="dxa"/>
            <w:vAlign w:val="center"/>
          </w:tcPr>
          <w:p w:rsidR="00207811" w:rsidRPr="00207811" w:rsidP="00207811" w14:paraId="2CB81FDE" w14:textId="77777777">
            <w:pPr>
              <w:rPr>
                <w:sz w:val="22"/>
                <w:szCs w:val="22"/>
              </w:rPr>
            </w:pPr>
          </w:p>
        </w:tc>
      </w:tr>
    </w:tbl>
    <w:p w:rsidR="00207811" w:rsidRPr="00207811" w:rsidP="00207811" w14:paraId="7C91AF11" w14:textId="77777777">
      <w:pPr>
        <w:jc w:val="both"/>
        <w:rPr>
          <w:b/>
          <w:sz w:val="22"/>
          <w:szCs w:val="22"/>
        </w:rPr>
      </w:pPr>
    </w:p>
    <w:p w:rsidR="00207811" w:rsidRPr="00207811" w:rsidP="00207811" w14:paraId="7BF61449" w14:textId="77777777">
      <w:pPr>
        <w:jc w:val="both"/>
        <w:rPr>
          <w:sz w:val="22"/>
          <w:szCs w:val="22"/>
        </w:rPr>
      </w:pPr>
      <w:r w:rsidRPr="00207811">
        <w:rPr>
          <w:sz w:val="22"/>
          <w:szCs w:val="22"/>
        </w:rPr>
        <w:t>Non-entity Fund Balance with Treasury (FBWT) primarily represents auction deposits.  Accounts receivable considered non-entity include regulatory fees, application fees, fines and forfeitures, spectrum auctions.</w:t>
      </w:r>
    </w:p>
    <w:p w:rsidR="00207811" w:rsidRPr="00207811" w:rsidP="00207811" w14:paraId="2A753120" w14:textId="77777777">
      <w:pPr>
        <w:jc w:val="both"/>
        <w:rPr>
          <w:sz w:val="22"/>
          <w:szCs w:val="22"/>
        </w:rPr>
      </w:pPr>
    </w:p>
    <w:p w:rsidR="00207811" w:rsidRPr="00207811" w:rsidP="00207811" w14:paraId="6CEA7529" w14:textId="77777777">
      <w:pPr>
        <w:jc w:val="both"/>
        <w:rPr>
          <w:sz w:val="22"/>
          <w:szCs w:val="22"/>
        </w:rPr>
      </w:pPr>
    </w:p>
    <w:p w:rsidR="00207811" w:rsidRPr="00207811" w:rsidP="00207811" w14:paraId="799D8C3E"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 xml:space="preserve">Note 3 – </w:t>
      </w:r>
      <w:bookmarkStart w:id="156" w:name="_Hlk201830319"/>
      <w:r w:rsidRPr="00207811">
        <w:rPr>
          <w:b/>
          <w:bCs/>
          <w:sz w:val="22"/>
          <w:szCs w:val="22"/>
        </w:rPr>
        <w:t>Fund Balance with Treasury</w:t>
      </w:r>
      <w:bookmarkEnd w:id="156"/>
    </w:p>
    <w:p w:rsidR="00207811" w:rsidRPr="00207811" w:rsidP="00207811" w14:paraId="2C1A2B86" w14:textId="77777777">
      <w:pPr>
        <w:tabs>
          <w:tab w:val="left" w:pos="2880"/>
          <w:tab w:val="left" w:pos="5040"/>
          <w:tab w:val="left" w:pos="7200"/>
        </w:tabs>
        <w:jc w:val="both"/>
        <w:rPr>
          <w:sz w:val="22"/>
          <w:szCs w:val="22"/>
        </w:rPr>
      </w:pPr>
    </w:p>
    <w:p w:rsidR="00207811" w:rsidRPr="00207811" w:rsidP="00207811" w14:paraId="0304770B" w14:textId="77777777">
      <w:pPr>
        <w:tabs>
          <w:tab w:val="left" w:pos="2880"/>
          <w:tab w:val="left" w:pos="5040"/>
          <w:tab w:val="left" w:pos="7200"/>
        </w:tabs>
        <w:jc w:val="both"/>
        <w:rPr>
          <w:sz w:val="22"/>
          <w:szCs w:val="22"/>
        </w:rPr>
      </w:pPr>
      <w:r w:rsidRPr="00207811">
        <w:rPr>
          <w:sz w:val="22"/>
          <w:szCs w:val="22"/>
        </w:rPr>
        <w:t>The following summarizes FBWT as of September 30, 2025:</w:t>
      </w:r>
    </w:p>
    <w:p w:rsidR="00207811" w:rsidRPr="00207811" w:rsidP="00207811" w14:paraId="5D579FC9" w14:textId="77777777">
      <w:pPr>
        <w:tabs>
          <w:tab w:val="left" w:pos="2880"/>
          <w:tab w:val="left" w:pos="5040"/>
          <w:tab w:val="left" w:pos="7200"/>
        </w:tabs>
        <w:jc w:val="both"/>
        <w:rPr>
          <w:sz w:val="22"/>
          <w:szCs w:val="22"/>
        </w:rPr>
      </w:pPr>
    </w:p>
    <w:tbl>
      <w:tblPr>
        <w:tblStyle w:val="TableGrid12"/>
        <w:tblW w:w="0" w:type="auto"/>
        <w:jc w:val="center"/>
        <w:tblLook w:val="04A0"/>
      </w:tblPr>
      <w:tblGrid>
        <w:gridCol w:w="4680"/>
        <w:gridCol w:w="1620"/>
      </w:tblGrid>
      <w:tr w14:paraId="161270E2" w14:textId="77777777" w:rsidTr="00D93A8D">
        <w:tblPrEx>
          <w:tblW w:w="0" w:type="auto"/>
          <w:jc w:val="center"/>
          <w:tblLook w:val="04A0"/>
        </w:tblPrEx>
        <w:trPr>
          <w:jc w:val="center"/>
        </w:trPr>
        <w:tc>
          <w:tcPr>
            <w:tcW w:w="4680" w:type="dxa"/>
          </w:tcPr>
          <w:p w:rsidR="00207811" w:rsidRPr="00207811" w:rsidP="00207811" w14:paraId="0599C41B" w14:textId="77777777">
            <w:pPr>
              <w:tabs>
                <w:tab w:val="left" w:pos="2880"/>
                <w:tab w:val="left" w:pos="5040"/>
                <w:tab w:val="left" w:pos="7200"/>
              </w:tabs>
              <w:jc w:val="both"/>
              <w:rPr>
                <w:sz w:val="22"/>
                <w:szCs w:val="22"/>
              </w:rPr>
            </w:pPr>
          </w:p>
        </w:tc>
        <w:tc>
          <w:tcPr>
            <w:tcW w:w="1620" w:type="dxa"/>
          </w:tcPr>
          <w:p w:rsidR="00207811" w:rsidRPr="00207811" w:rsidP="00207811" w14:paraId="7705015E" w14:textId="77777777">
            <w:pPr>
              <w:tabs>
                <w:tab w:val="left" w:pos="2880"/>
                <w:tab w:val="left" w:pos="5040"/>
                <w:tab w:val="left" w:pos="7200"/>
              </w:tabs>
              <w:jc w:val="center"/>
              <w:rPr>
                <w:sz w:val="22"/>
                <w:szCs w:val="22"/>
                <w:u w:val="single"/>
              </w:rPr>
            </w:pPr>
            <w:r w:rsidRPr="00207811">
              <w:rPr>
                <w:sz w:val="22"/>
                <w:szCs w:val="22"/>
                <w:u w:val="single"/>
              </w:rPr>
              <w:t>FY 2025</w:t>
            </w:r>
          </w:p>
        </w:tc>
      </w:tr>
      <w:tr w14:paraId="698C4972" w14:textId="77777777" w:rsidTr="00D93A8D">
        <w:tblPrEx>
          <w:tblW w:w="0" w:type="auto"/>
          <w:jc w:val="center"/>
          <w:tblLook w:val="04A0"/>
        </w:tblPrEx>
        <w:trPr>
          <w:jc w:val="center"/>
        </w:trPr>
        <w:tc>
          <w:tcPr>
            <w:tcW w:w="4680" w:type="dxa"/>
          </w:tcPr>
          <w:p w:rsidR="00207811" w:rsidRPr="00207811" w:rsidP="00207811" w14:paraId="5C8139C9" w14:textId="77777777">
            <w:pPr>
              <w:tabs>
                <w:tab w:val="left" w:pos="2880"/>
                <w:tab w:val="left" w:pos="5040"/>
                <w:tab w:val="left" w:pos="7200"/>
              </w:tabs>
              <w:jc w:val="both"/>
              <w:rPr>
                <w:sz w:val="22"/>
                <w:szCs w:val="22"/>
              </w:rPr>
            </w:pPr>
            <w:r w:rsidRPr="00207811">
              <w:rPr>
                <w:sz w:val="22"/>
                <w:szCs w:val="22"/>
              </w:rPr>
              <w:t>Status of Fund Balance with Treasury</w:t>
            </w:r>
          </w:p>
        </w:tc>
        <w:tc>
          <w:tcPr>
            <w:tcW w:w="1620" w:type="dxa"/>
          </w:tcPr>
          <w:p w:rsidR="00207811" w:rsidRPr="00207811" w:rsidP="00207811" w14:paraId="6492A9E3" w14:textId="77777777">
            <w:pPr>
              <w:tabs>
                <w:tab w:val="left" w:pos="2880"/>
                <w:tab w:val="left" w:pos="5040"/>
                <w:tab w:val="left" w:pos="7200"/>
              </w:tabs>
              <w:jc w:val="center"/>
              <w:rPr>
                <w:sz w:val="22"/>
                <w:szCs w:val="22"/>
              </w:rPr>
            </w:pPr>
          </w:p>
        </w:tc>
      </w:tr>
      <w:tr w14:paraId="2A3B2CC1" w14:textId="77777777" w:rsidTr="00D93A8D">
        <w:tblPrEx>
          <w:tblW w:w="0" w:type="auto"/>
          <w:jc w:val="center"/>
          <w:tblLook w:val="04A0"/>
        </w:tblPrEx>
        <w:trPr>
          <w:jc w:val="center"/>
        </w:trPr>
        <w:tc>
          <w:tcPr>
            <w:tcW w:w="4680" w:type="dxa"/>
          </w:tcPr>
          <w:p w:rsidR="00207811" w:rsidRPr="00207811" w:rsidP="00207811" w14:paraId="45EA8E67" w14:textId="77777777">
            <w:pPr>
              <w:tabs>
                <w:tab w:val="left" w:pos="2880"/>
                <w:tab w:val="left" w:pos="5040"/>
                <w:tab w:val="left" w:pos="7200"/>
              </w:tabs>
              <w:ind w:left="288"/>
              <w:jc w:val="both"/>
              <w:rPr>
                <w:sz w:val="22"/>
                <w:szCs w:val="22"/>
              </w:rPr>
            </w:pPr>
            <w:r w:rsidRPr="00207811">
              <w:rPr>
                <w:sz w:val="22"/>
                <w:szCs w:val="22"/>
              </w:rPr>
              <w:t>Unobligated Balance</w:t>
            </w:r>
          </w:p>
        </w:tc>
        <w:tc>
          <w:tcPr>
            <w:tcW w:w="1620" w:type="dxa"/>
          </w:tcPr>
          <w:p w:rsidR="00207811" w:rsidRPr="00207811" w:rsidP="00207811" w14:paraId="5265E626" w14:textId="77777777">
            <w:pPr>
              <w:tabs>
                <w:tab w:val="left" w:pos="2880"/>
                <w:tab w:val="left" w:pos="5040"/>
                <w:tab w:val="left" w:pos="7200"/>
              </w:tabs>
              <w:jc w:val="both"/>
              <w:rPr>
                <w:sz w:val="22"/>
                <w:szCs w:val="22"/>
              </w:rPr>
            </w:pPr>
            <w:r w:rsidRPr="00207811">
              <w:rPr>
                <w:sz w:val="22"/>
                <w:szCs w:val="22"/>
              </w:rPr>
              <w:t>$   (18,316,121)</w:t>
            </w:r>
          </w:p>
        </w:tc>
      </w:tr>
      <w:tr w14:paraId="7D608786" w14:textId="77777777" w:rsidTr="00D93A8D">
        <w:tblPrEx>
          <w:tblW w:w="0" w:type="auto"/>
          <w:jc w:val="center"/>
          <w:tblLook w:val="04A0"/>
        </w:tblPrEx>
        <w:trPr>
          <w:jc w:val="center"/>
        </w:trPr>
        <w:tc>
          <w:tcPr>
            <w:tcW w:w="4680" w:type="dxa"/>
          </w:tcPr>
          <w:p w:rsidR="00207811" w:rsidRPr="00207811" w:rsidP="00207811" w14:paraId="3B309FA3" w14:textId="77777777">
            <w:pPr>
              <w:tabs>
                <w:tab w:val="left" w:pos="2880"/>
                <w:tab w:val="left" w:pos="5040"/>
                <w:tab w:val="left" w:pos="7200"/>
              </w:tabs>
              <w:jc w:val="both"/>
              <w:rPr>
                <w:sz w:val="22"/>
                <w:szCs w:val="22"/>
              </w:rPr>
            </w:pPr>
            <w:r w:rsidRPr="00207811">
              <w:rPr>
                <w:sz w:val="22"/>
                <w:szCs w:val="22"/>
              </w:rPr>
              <w:t xml:space="preserve">     Obligated Balance not yet Disbursed</w:t>
            </w:r>
          </w:p>
        </w:tc>
        <w:tc>
          <w:tcPr>
            <w:tcW w:w="1620" w:type="dxa"/>
          </w:tcPr>
          <w:p w:rsidR="00207811" w:rsidRPr="00207811" w:rsidP="00207811" w14:paraId="5368FA8B" w14:textId="77777777">
            <w:pPr>
              <w:tabs>
                <w:tab w:val="left" w:pos="2880"/>
                <w:tab w:val="left" w:pos="5040"/>
                <w:tab w:val="left" w:pos="7200"/>
              </w:tabs>
              <w:ind w:right="72"/>
              <w:jc w:val="right"/>
              <w:rPr>
                <w:sz w:val="22"/>
                <w:szCs w:val="22"/>
              </w:rPr>
            </w:pPr>
            <w:r w:rsidRPr="00207811">
              <w:rPr>
                <w:sz w:val="22"/>
                <w:szCs w:val="22"/>
              </w:rPr>
              <w:t>29,928,782</w:t>
            </w:r>
          </w:p>
        </w:tc>
      </w:tr>
      <w:tr w14:paraId="38D8C090" w14:textId="77777777" w:rsidTr="00D93A8D">
        <w:tblPrEx>
          <w:tblW w:w="0" w:type="auto"/>
          <w:jc w:val="center"/>
          <w:tblLook w:val="04A0"/>
        </w:tblPrEx>
        <w:trPr>
          <w:jc w:val="center"/>
        </w:trPr>
        <w:tc>
          <w:tcPr>
            <w:tcW w:w="4680" w:type="dxa"/>
          </w:tcPr>
          <w:p w:rsidR="00207811" w:rsidRPr="00207811" w:rsidP="00207811" w14:paraId="7B3C287F" w14:textId="77777777">
            <w:pPr>
              <w:tabs>
                <w:tab w:val="left" w:pos="2880"/>
                <w:tab w:val="left" w:pos="5040"/>
                <w:tab w:val="left" w:pos="7200"/>
              </w:tabs>
              <w:jc w:val="both"/>
              <w:rPr>
                <w:sz w:val="22"/>
                <w:szCs w:val="22"/>
              </w:rPr>
            </w:pPr>
            <w:r w:rsidRPr="00207811">
              <w:rPr>
                <w:sz w:val="22"/>
                <w:szCs w:val="22"/>
              </w:rPr>
              <w:t xml:space="preserve">     Non-Budgetary FBWT</w:t>
            </w:r>
          </w:p>
        </w:tc>
        <w:tc>
          <w:tcPr>
            <w:tcW w:w="1620" w:type="dxa"/>
            <w:tcBorders>
              <w:bottom w:val="single" w:sz="4" w:space="0" w:color="auto"/>
            </w:tcBorders>
          </w:tcPr>
          <w:p w:rsidR="00207811" w:rsidRPr="00207811" w:rsidP="00207811" w14:paraId="4DEA840D" w14:textId="77777777">
            <w:pPr>
              <w:tabs>
                <w:tab w:val="left" w:pos="2880"/>
                <w:tab w:val="left" w:pos="5040"/>
                <w:tab w:val="left" w:pos="7200"/>
              </w:tabs>
              <w:ind w:right="72"/>
              <w:jc w:val="right"/>
              <w:rPr>
                <w:sz w:val="22"/>
                <w:szCs w:val="22"/>
              </w:rPr>
            </w:pPr>
            <w:r w:rsidRPr="00207811">
              <w:rPr>
                <w:sz w:val="22"/>
                <w:szCs w:val="22"/>
              </w:rPr>
              <w:t>3,146,517</w:t>
            </w:r>
          </w:p>
        </w:tc>
      </w:tr>
      <w:tr w14:paraId="3F897E7D" w14:textId="77777777" w:rsidTr="00D93A8D">
        <w:tblPrEx>
          <w:tblW w:w="0" w:type="auto"/>
          <w:jc w:val="center"/>
          <w:tblLook w:val="04A0"/>
        </w:tblPrEx>
        <w:trPr>
          <w:jc w:val="center"/>
        </w:trPr>
        <w:tc>
          <w:tcPr>
            <w:tcW w:w="4680" w:type="dxa"/>
          </w:tcPr>
          <w:p w:rsidR="00207811" w:rsidRPr="00207811" w:rsidP="00207811" w14:paraId="6E6025FB" w14:textId="77777777">
            <w:pPr>
              <w:tabs>
                <w:tab w:val="left" w:pos="2880"/>
                <w:tab w:val="left" w:pos="5040"/>
                <w:tab w:val="left" w:pos="7200"/>
              </w:tabs>
              <w:rPr>
                <w:sz w:val="22"/>
                <w:szCs w:val="22"/>
              </w:rPr>
            </w:pPr>
            <w:r w:rsidRPr="00207811">
              <w:rPr>
                <w:sz w:val="22"/>
                <w:szCs w:val="22"/>
              </w:rPr>
              <w:t>Total Fund Balance with Treasury</w:t>
            </w:r>
          </w:p>
        </w:tc>
        <w:tc>
          <w:tcPr>
            <w:tcW w:w="1620" w:type="dxa"/>
            <w:tcBorders>
              <w:top w:val="single" w:sz="4" w:space="0" w:color="auto"/>
              <w:left w:val="nil"/>
              <w:bottom w:val="double" w:sz="4" w:space="0" w:color="auto"/>
            </w:tcBorders>
          </w:tcPr>
          <w:p w:rsidR="00207811" w:rsidRPr="00207811" w:rsidP="00207811" w14:paraId="799E0DEF" w14:textId="77777777">
            <w:pPr>
              <w:tabs>
                <w:tab w:val="left" w:pos="2880"/>
                <w:tab w:val="left" w:pos="5040"/>
                <w:tab w:val="left" w:pos="7200"/>
              </w:tabs>
              <w:ind w:right="72"/>
              <w:jc w:val="right"/>
              <w:rPr>
                <w:sz w:val="22"/>
                <w:szCs w:val="22"/>
              </w:rPr>
            </w:pPr>
            <w:r w:rsidRPr="00207811">
              <w:rPr>
                <w:sz w:val="22"/>
                <w:szCs w:val="22"/>
              </w:rPr>
              <w:t>$    14,759,138</w:t>
            </w:r>
          </w:p>
        </w:tc>
      </w:tr>
      <w:tr w14:paraId="11D59068" w14:textId="77777777" w:rsidTr="00D93A8D">
        <w:tblPrEx>
          <w:tblW w:w="0" w:type="auto"/>
          <w:jc w:val="center"/>
          <w:tblLook w:val="04A0"/>
        </w:tblPrEx>
        <w:trPr>
          <w:jc w:val="center"/>
        </w:trPr>
        <w:tc>
          <w:tcPr>
            <w:tcW w:w="4680" w:type="dxa"/>
          </w:tcPr>
          <w:p w:rsidR="00207811" w:rsidRPr="00207811" w:rsidP="00207811" w14:paraId="18C65435" w14:textId="77777777">
            <w:pPr>
              <w:tabs>
                <w:tab w:val="left" w:pos="2880"/>
              </w:tabs>
              <w:jc w:val="both"/>
              <w:rPr>
                <w:sz w:val="16"/>
                <w:szCs w:val="16"/>
              </w:rPr>
            </w:pPr>
          </w:p>
        </w:tc>
        <w:tc>
          <w:tcPr>
            <w:tcW w:w="1620" w:type="dxa"/>
            <w:tcBorders>
              <w:top w:val="double" w:sz="4" w:space="0" w:color="auto"/>
            </w:tcBorders>
          </w:tcPr>
          <w:p w:rsidR="00207811" w:rsidRPr="00207811" w:rsidP="00207811" w14:paraId="0B994415" w14:textId="77777777">
            <w:pPr>
              <w:tabs>
                <w:tab w:val="left" w:pos="2880"/>
                <w:tab w:val="left" w:pos="5040"/>
                <w:tab w:val="left" w:pos="7200"/>
              </w:tabs>
              <w:jc w:val="right"/>
              <w:rPr>
                <w:sz w:val="16"/>
                <w:szCs w:val="16"/>
              </w:rPr>
            </w:pPr>
          </w:p>
        </w:tc>
      </w:tr>
    </w:tbl>
    <w:p w:rsidR="00207811" w:rsidRPr="00207811" w:rsidP="00207811" w14:paraId="491190CA" w14:textId="77777777">
      <w:pPr>
        <w:jc w:val="both"/>
        <w:rPr>
          <w:b/>
          <w:sz w:val="22"/>
          <w:szCs w:val="22"/>
        </w:rPr>
      </w:pPr>
    </w:p>
    <w:p w:rsidR="00207811" w:rsidRPr="00207811" w:rsidP="00207811" w14:paraId="41EC7943" w14:textId="77777777">
      <w:pPr>
        <w:tabs>
          <w:tab w:val="left" w:pos="2880"/>
          <w:tab w:val="left" w:pos="5040"/>
          <w:tab w:val="left" w:pos="7200"/>
        </w:tabs>
        <w:jc w:val="both"/>
        <w:rPr>
          <w:sz w:val="22"/>
          <w:szCs w:val="22"/>
        </w:rPr>
      </w:pPr>
      <w:r w:rsidRPr="00207811">
        <w:rPr>
          <w:sz w:val="22"/>
          <w:szCs w:val="22"/>
        </w:rPr>
        <w:t xml:space="preserve">The FBWT includes general funds, revolving funds, special funds, and deposit funds.  </w:t>
      </w:r>
    </w:p>
    <w:p w:rsidR="00207811" w:rsidRPr="00207811" w:rsidP="00207811" w14:paraId="27F4DE0D" w14:textId="77777777">
      <w:pPr>
        <w:tabs>
          <w:tab w:val="left" w:pos="2880"/>
          <w:tab w:val="left" w:pos="5040"/>
          <w:tab w:val="left" w:pos="7200"/>
        </w:tabs>
        <w:jc w:val="both"/>
        <w:rPr>
          <w:sz w:val="22"/>
          <w:szCs w:val="22"/>
          <w:u w:val="single"/>
        </w:rPr>
      </w:pPr>
    </w:p>
    <w:p w:rsidR="00207811" w:rsidRPr="00207811" w:rsidP="00207811" w14:paraId="77F762F9" w14:textId="77777777">
      <w:pPr>
        <w:tabs>
          <w:tab w:val="left" w:pos="2880"/>
          <w:tab w:val="left" w:pos="5040"/>
          <w:tab w:val="left" w:pos="7200"/>
        </w:tabs>
        <w:jc w:val="both"/>
        <w:rPr>
          <w:sz w:val="22"/>
          <w:szCs w:val="22"/>
        </w:rPr>
      </w:pPr>
      <w:r w:rsidRPr="00207811">
        <w:rPr>
          <w:sz w:val="22"/>
          <w:szCs w:val="22"/>
          <w:u w:val="single"/>
        </w:rPr>
        <w:t>General Funds</w:t>
      </w:r>
      <w:r w:rsidRPr="00207811">
        <w:rPr>
          <w:sz w:val="22"/>
          <w:szCs w:val="22"/>
        </w:rPr>
        <w:t xml:space="preserve"> – Includes the salaries and expense appropriation used to fund agency operations, COVID-19 Telehealth Program, Broadband DATA Act program, ACP, EBCF-EBBP, SCRP, ECF, the auction and reimbursable accounts, the credit reform program account, other no-year accounts used to carry over spectrum auction funds, offsetting collections, and the Office of Inspector General USF.  </w:t>
      </w:r>
    </w:p>
    <w:p w:rsidR="00207811" w:rsidRPr="00207811" w:rsidP="00207811" w14:paraId="689CEAE2" w14:textId="77777777">
      <w:pPr>
        <w:tabs>
          <w:tab w:val="left" w:pos="2880"/>
          <w:tab w:val="left" w:pos="5040"/>
          <w:tab w:val="left" w:pos="7200"/>
        </w:tabs>
        <w:jc w:val="both"/>
        <w:rPr>
          <w:sz w:val="22"/>
          <w:szCs w:val="22"/>
        </w:rPr>
      </w:pPr>
    </w:p>
    <w:p w:rsidR="00207811" w:rsidRPr="00207811" w:rsidP="00207811" w14:paraId="66EBC6D4" w14:textId="77777777">
      <w:pPr>
        <w:tabs>
          <w:tab w:val="left" w:pos="2880"/>
          <w:tab w:val="left" w:pos="5040"/>
          <w:tab w:val="left" w:pos="7200"/>
        </w:tabs>
        <w:jc w:val="both"/>
        <w:rPr>
          <w:sz w:val="22"/>
          <w:szCs w:val="22"/>
        </w:rPr>
      </w:pPr>
      <w:r w:rsidRPr="00207811">
        <w:rPr>
          <w:sz w:val="22"/>
          <w:szCs w:val="22"/>
          <w:u w:val="single"/>
        </w:rPr>
        <w:t>Revolving Funds</w:t>
      </w:r>
      <w:r w:rsidRPr="00207811">
        <w:rPr>
          <w:sz w:val="22"/>
          <w:szCs w:val="22"/>
        </w:rPr>
        <w:t xml:space="preserve"> – Includes the credit reform financing account used to record cash flows associated with the Commission’s spectrum auction loan program.</w:t>
      </w:r>
    </w:p>
    <w:p w:rsidR="00207811" w:rsidRPr="00207811" w:rsidP="00207811" w14:paraId="7E378DFA" w14:textId="77777777">
      <w:pPr>
        <w:jc w:val="both"/>
        <w:rPr>
          <w:sz w:val="22"/>
          <w:szCs w:val="22"/>
          <w:u w:val="single"/>
        </w:rPr>
      </w:pPr>
    </w:p>
    <w:p w:rsidR="00207811" w:rsidRPr="00207811" w:rsidP="00207811" w14:paraId="344E9D4B" w14:textId="4B301042">
      <w:pPr>
        <w:jc w:val="both"/>
        <w:rPr>
          <w:sz w:val="22"/>
          <w:szCs w:val="22"/>
        </w:rPr>
      </w:pPr>
      <w:r w:rsidRPr="00207811">
        <w:rPr>
          <w:sz w:val="22"/>
          <w:szCs w:val="22"/>
          <w:u w:val="single"/>
        </w:rPr>
        <w:t>Special Funds</w:t>
      </w:r>
      <w:r w:rsidRPr="00207811">
        <w:rPr>
          <w:sz w:val="22"/>
          <w:szCs w:val="22"/>
        </w:rPr>
        <w:t xml:space="preserve"> – Includes funds from TVBRF, USF and TRS fund.</w:t>
      </w:r>
      <w:r w:rsidRPr="00207811">
        <w:rPr>
          <w:rFonts w:eastAsia="Calibri"/>
          <w:sz w:val="22"/>
          <w:szCs w:val="22"/>
        </w:rPr>
        <w:t xml:space="preserve">  Universal Service Funds are for the </w:t>
      </w:r>
      <w:r w:rsidRPr="00207811">
        <w:rPr>
          <w:sz w:val="22"/>
          <w:szCs w:val="22"/>
        </w:rPr>
        <w:t>four USF programs and the CCPP.  The USF programs are exempt</w:t>
      </w:r>
      <w:r w:rsidRPr="00207811">
        <w:rPr>
          <w:spacing w:val="-4"/>
          <w:kern w:val="16"/>
          <w:sz w:val="22"/>
          <w:szCs w:val="22"/>
        </w:rPr>
        <w:t xml:space="preserve"> from the application of the provisions of the Anti-deficiency Act</w:t>
      </w:r>
      <w:r w:rsidRPr="00207811">
        <w:rPr>
          <w:sz w:val="22"/>
          <w:szCs w:val="22"/>
        </w:rPr>
        <w:t xml:space="preserve"> by Congress through </w:t>
      </w:r>
      <w:r w:rsidR="00BE3C58">
        <w:rPr>
          <w:sz w:val="22"/>
          <w:szCs w:val="22"/>
        </w:rPr>
        <w:t>September</w:t>
      </w:r>
      <w:r w:rsidRPr="00207811" w:rsidR="00BE3C58">
        <w:rPr>
          <w:sz w:val="22"/>
          <w:szCs w:val="22"/>
        </w:rPr>
        <w:t xml:space="preserve"> </w:t>
      </w:r>
      <w:r w:rsidRPr="00207811">
        <w:rPr>
          <w:sz w:val="22"/>
          <w:szCs w:val="22"/>
        </w:rPr>
        <w:t xml:space="preserve">30, </w:t>
      </w:r>
      <w:r w:rsidRPr="00207811" w:rsidR="00BE3C58">
        <w:rPr>
          <w:sz w:val="22"/>
          <w:szCs w:val="22"/>
        </w:rPr>
        <w:t>202</w:t>
      </w:r>
      <w:r w:rsidR="00BE3C58">
        <w:rPr>
          <w:sz w:val="22"/>
          <w:szCs w:val="22"/>
        </w:rPr>
        <w:t>5</w:t>
      </w:r>
      <w:r w:rsidRPr="00207811" w:rsidR="00BE3C58">
        <w:rPr>
          <w:sz w:val="22"/>
          <w:szCs w:val="22"/>
        </w:rPr>
        <w:t xml:space="preserve"> </w:t>
      </w:r>
      <w:r w:rsidRPr="00207811">
        <w:rPr>
          <w:sz w:val="22"/>
          <w:szCs w:val="22"/>
        </w:rPr>
        <w:t xml:space="preserve">and are not subject to an apportionment by OMB.  </w:t>
      </w:r>
    </w:p>
    <w:p w:rsidR="00207811" w:rsidRPr="00207811" w:rsidP="00207811" w14:paraId="46F50842" w14:textId="77777777">
      <w:pPr>
        <w:jc w:val="both"/>
        <w:rPr>
          <w:sz w:val="22"/>
          <w:szCs w:val="22"/>
        </w:rPr>
      </w:pPr>
    </w:p>
    <w:p w:rsidR="00207811" w:rsidRPr="00207811" w:rsidP="00207811" w14:paraId="414AA6CA" w14:textId="77777777">
      <w:pPr>
        <w:jc w:val="both"/>
        <w:rPr>
          <w:sz w:val="22"/>
          <w:szCs w:val="22"/>
        </w:rPr>
      </w:pPr>
    </w:p>
    <w:p w:rsidR="00207811" w:rsidRPr="00207811" w:rsidP="00207811" w14:paraId="67ED72EA" w14:textId="77777777">
      <w:pPr>
        <w:jc w:val="both"/>
        <w:rPr>
          <w:bCs/>
          <w:kern w:val="16"/>
          <w:sz w:val="22"/>
          <w:szCs w:val="22"/>
        </w:rPr>
      </w:pPr>
      <w:r w:rsidRPr="00207811">
        <w:rPr>
          <w:b/>
          <w:sz w:val="22"/>
          <w:szCs w:val="22"/>
        </w:rPr>
        <w:t xml:space="preserve">Note 3 – </w:t>
      </w:r>
      <w:r w:rsidRPr="00207811">
        <w:rPr>
          <w:b/>
          <w:bCs/>
          <w:sz w:val="22"/>
          <w:szCs w:val="22"/>
        </w:rPr>
        <w:t>Fund Balance with Treasury</w:t>
      </w:r>
      <w:r w:rsidRPr="00207811">
        <w:rPr>
          <w:b/>
          <w:sz w:val="22"/>
          <w:szCs w:val="22"/>
        </w:rPr>
        <w:t xml:space="preserve"> (continued)</w:t>
      </w:r>
    </w:p>
    <w:p w:rsidR="00207811" w:rsidRPr="00207811" w:rsidP="00207811" w14:paraId="1B5E6B8D" w14:textId="77777777">
      <w:pPr>
        <w:tabs>
          <w:tab w:val="left" w:pos="2880"/>
          <w:tab w:val="left" w:pos="5040"/>
          <w:tab w:val="left" w:pos="7200"/>
        </w:tabs>
        <w:jc w:val="both"/>
        <w:rPr>
          <w:sz w:val="22"/>
          <w:szCs w:val="22"/>
        </w:rPr>
      </w:pPr>
    </w:p>
    <w:p w:rsidR="00207811" w:rsidRPr="00207811" w:rsidP="00207811" w14:paraId="1050D352" w14:textId="77777777">
      <w:pPr>
        <w:tabs>
          <w:tab w:val="left" w:pos="2880"/>
          <w:tab w:val="left" w:pos="5040"/>
          <w:tab w:val="left" w:pos="7200"/>
        </w:tabs>
        <w:jc w:val="both"/>
        <w:rPr>
          <w:sz w:val="22"/>
          <w:szCs w:val="22"/>
        </w:rPr>
      </w:pPr>
      <w:r w:rsidRPr="00207811">
        <w:rPr>
          <w:sz w:val="22"/>
          <w:szCs w:val="22"/>
          <w:u w:val="single"/>
        </w:rPr>
        <w:t>Deposit Funds</w:t>
      </w:r>
      <w:r w:rsidRPr="00207811">
        <w:rPr>
          <w:sz w:val="22"/>
          <w:szCs w:val="22"/>
        </w:rPr>
        <w:t xml:space="preserve"> – Includes monies being held for regulatory fees and spectrum auctions.  Deposit funds are non-budgetary and are not available for use by the Commission unless they are properly identified or reclassified as Commission funds.  Otherwise, these funds are returned to the depositor or transferred to the Treasury General Fund or other federal agencies.</w:t>
      </w:r>
    </w:p>
    <w:p w:rsidR="00207811" w:rsidRPr="00207811" w:rsidP="00207811" w14:paraId="07C7B521" w14:textId="77777777">
      <w:pPr>
        <w:rPr>
          <w:sz w:val="22"/>
          <w:szCs w:val="22"/>
        </w:rPr>
      </w:pPr>
    </w:p>
    <w:p w:rsidR="00207811" w:rsidRPr="00207811" w:rsidP="00207811" w14:paraId="137C5948" w14:textId="77777777">
      <w:pPr>
        <w:rPr>
          <w:sz w:val="22"/>
          <w:szCs w:val="22"/>
        </w:rPr>
      </w:pPr>
    </w:p>
    <w:p w:rsidR="00207811" w:rsidRPr="00207811" w:rsidP="00207811" w14:paraId="2479CBAA"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Note 4 – Accounts Receivable, Net</w:t>
      </w:r>
    </w:p>
    <w:p w:rsidR="00207811" w:rsidRPr="00207811" w:rsidP="00207811" w14:paraId="6F870E8C" w14:textId="77777777">
      <w:pPr>
        <w:tabs>
          <w:tab w:val="left" w:pos="-1440"/>
          <w:tab w:val="left" w:pos="3600"/>
          <w:tab w:val="left" w:pos="4230"/>
          <w:tab w:val="left" w:pos="5940"/>
          <w:tab w:val="left" w:pos="7560"/>
        </w:tabs>
        <w:jc w:val="both"/>
        <w:rPr>
          <w:sz w:val="22"/>
          <w:szCs w:val="22"/>
        </w:rPr>
      </w:pPr>
    </w:p>
    <w:p w:rsidR="00207811" w:rsidRPr="00207811" w:rsidP="00207811" w14:paraId="2B46103D" w14:textId="77777777">
      <w:pPr>
        <w:tabs>
          <w:tab w:val="left" w:pos="-1440"/>
          <w:tab w:val="left" w:pos="3600"/>
          <w:tab w:val="left" w:pos="4230"/>
          <w:tab w:val="left" w:pos="5940"/>
          <w:tab w:val="left" w:pos="7560"/>
        </w:tabs>
        <w:jc w:val="both"/>
        <w:rPr>
          <w:sz w:val="22"/>
          <w:szCs w:val="22"/>
        </w:rPr>
      </w:pPr>
      <w:r w:rsidRPr="00207811">
        <w:rPr>
          <w:sz w:val="22"/>
          <w:szCs w:val="22"/>
        </w:rPr>
        <w:t>The following summarizes Accounts Receivable, Net as of September 30, 2025:</w:t>
      </w:r>
    </w:p>
    <w:p w:rsidR="00207811" w:rsidRPr="00207811" w:rsidP="00207811" w14:paraId="39E9C5E8" w14:textId="77777777">
      <w:pPr>
        <w:tabs>
          <w:tab w:val="left" w:pos="-1440"/>
          <w:tab w:val="left" w:pos="3600"/>
          <w:tab w:val="left" w:pos="4230"/>
          <w:tab w:val="left" w:pos="5940"/>
          <w:tab w:val="left" w:pos="7560"/>
        </w:tabs>
        <w:jc w:val="both"/>
        <w:rPr>
          <w:sz w:val="22"/>
          <w:szCs w:val="22"/>
        </w:rPr>
      </w:pPr>
    </w:p>
    <w:tbl>
      <w:tblPr>
        <w:tblW w:w="9180" w:type="dxa"/>
        <w:jc w:val="center"/>
        <w:tblLayout w:type="fixed"/>
        <w:tblLook w:val="04A0"/>
      </w:tblPr>
      <w:tblGrid>
        <w:gridCol w:w="2970"/>
        <w:gridCol w:w="1890"/>
        <w:gridCol w:w="270"/>
        <w:gridCol w:w="1890"/>
        <w:gridCol w:w="270"/>
        <w:gridCol w:w="1890"/>
      </w:tblGrid>
      <w:tr w14:paraId="1618DF74" w14:textId="77777777" w:rsidTr="00D93A8D">
        <w:tblPrEx>
          <w:tblW w:w="9180" w:type="dxa"/>
          <w:jc w:val="center"/>
          <w:tblLayout w:type="fixed"/>
          <w:tblLook w:val="04A0"/>
        </w:tblPrEx>
        <w:trPr>
          <w:trHeight w:val="117"/>
          <w:jc w:val="center"/>
        </w:trPr>
        <w:tc>
          <w:tcPr>
            <w:tcW w:w="2970" w:type="dxa"/>
            <w:tcBorders>
              <w:top w:val="nil"/>
              <w:left w:val="nil"/>
              <w:bottom w:val="nil"/>
              <w:right w:val="nil"/>
            </w:tcBorders>
            <w:shd w:val="clear" w:color="auto" w:fill="FFFFFF" w:themeFill="background1"/>
            <w:noWrap/>
            <w:vAlign w:val="bottom"/>
          </w:tcPr>
          <w:p w:rsidR="00207811" w:rsidRPr="00207811" w:rsidP="00207811" w14:paraId="585A35A3" w14:textId="77777777">
            <w:pPr>
              <w:rPr>
                <w:sz w:val="22"/>
                <w:szCs w:val="22"/>
                <w:u w:val="single"/>
              </w:rPr>
            </w:pPr>
            <w:r w:rsidRPr="00207811">
              <w:rPr>
                <w:sz w:val="22"/>
                <w:szCs w:val="22"/>
                <w:u w:val="single"/>
              </w:rPr>
              <w:t>FY 2025</w:t>
            </w:r>
          </w:p>
        </w:tc>
        <w:tc>
          <w:tcPr>
            <w:tcW w:w="1890" w:type="dxa"/>
            <w:tcBorders>
              <w:top w:val="nil"/>
              <w:left w:val="nil"/>
              <w:bottom w:val="single" w:sz="4" w:space="0" w:color="auto"/>
            </w:tcBorders>
            <w:shd w:val="clear" w:color="auto" w:fill="FFFFFF" w:themeFill="background1"/>
            <w:noWrap/>
            <w:vAlign w:val="bottom"/>
          </w:tcPr>
          <w:p w:rsidR="00207811" w:rsidRPr="00207811" w:rsidP="00207811" w14:paraId="17C89EAF" w14:textId="77777777">
            <w:pPr>
              <w:jc w:val="right"/>
              <w:rPr>
                <w:sz w:val="22"/>
                <w:szCs w:val="22"/>
              </w:rPr>
            </w:pPr>
            <w:r w:rsidRPr="00207811">
              <w:rPr>
                <w:sz w:val="22"/>
                <w:szCs w:val="22"/>
              </w:rPr>
              <w:t>Intragovernmental</w:t>
            </w:r>
          </w:p>
        </w:tc>
        <w:tc>
          <w:tcPr>
            <w:tcW w:w="270" w:type="dxa"/>
            <w:shd w:val="clear" w:color="auto" w:fill="FFFFFF" w:themeFill="background1"/>
            <w:noWrap/>
            <w:vAlign w:val="bottom"/>
          </w:tcPr>
          <w:p w:rsidR="00207811" w:rsidRPr="00207811" w:rsidP="00207811" w14:paraId="067C6BB5" w14:textId="77777777">
            <w:pPr>
              <w:jc w:val="right"/>
              <w:rPr>
                <w:sz w:val="22"/>
                <w:szCs w:val="22"/>
              </w:rPr>
            </w:pPr>
          </w:p>
        </w:tc>
        <w:tc>
          <w:tcPr>
            <w:tcW w:w="1890" w:type="dxa"/>
            <w:tcBorders>
              <w:top w:val="nil"/>
              <w:left w:val="nil"/>
              <w:bottom w:val="single" w:sz="4" w:space="0" w:color="auto"/>
            </w:tcBorders>
            <w:shd w:val="clear" w:color="auto" w:fill="FFFFFF" w:themeFill="background1"/>
            <w:noWrap/>
            <w:vAlign w:val="bottom"/>
          </w:tcPr>
          <w:p w:rsidR="00207811" w:rsidRPr="00207811" w:rsidP="00207811" w14:paraId="6E3CA0D8" w14:textId="77777777">
            <w:pPr>
              <w:jc w:val="center"/>
              <w:rPr>
                <w:sz w:val="22"/>
                <w:szCs w:val="22"/>
              </w:rPr>
            </w:pPr>
            <w:r w:rsidRPr="00207811">
              <w:rPr>
                <w:sz w:val="22"/>
                <w:szCs w:val="22"/>
              </w:rPr>
              <w:t>Public</w:t>
            </w:r>
          </w:p>
        </w:tc>
        <w:tc>
          <w:tcPr>
            <w:tcW w:w="270" w:type="dxa"/>
            <w:shd w:val="clear" w:color="auto" w:fill="FFFFFF" w:themeFill="background1"/>
            <w:noWrap/>
            <w:vAlign w:val="bottom"/>
          </w:tcPr>
          <w:p w:rsidR="00207811" w:rsidRPr="00207811" w:rsidP="00207811" w14:paraId="26F3711C" w14:textId="77777777">
            <w:pPr>
              <w:jc w:val="right"/>
              <w:rPr>
                <w:sz w:val="22"/>
                <w:szCs w:val="22"/>
              </w:rPr>
            </w:pPr>
          </w:p>
        </w:tc>
        <w:tc>
          <w:tcPr>
            <w:tcW w:w="1890" w:type="dxa"/>
            <w:tcBorders>
              <w:top w:val="nil"/>
              <w:left w:val="nil"/>
              <w:bottom w:val="single" w:sz="4" w:space="0" w:color="auto"/>
              <w:right w:val="nil"/>
            </w:tcBorders>
            <w:shd w:val="clear" w:color="auto" w:fill="FFFFFF" w:themeFill="background1"/>
            <w:noWrap/>
            <w:vAlign w:val="bottom"/>
          </w:tcPr>
          <w:p w:rsidR="00207811" w:rsidRPr="00207811" w:rsidP="00207811" w14:paraId="644715B6" w14:textId="77777777">
            <w:pPr>
              <w:jc w:val="center"/>
              <w:rPr>
                <w:sz w:val="22"/>
                <w:szCs w:val="22"/>
              </w:rPr>
            </w:pPr>
            <w:r w:rsidRPr="00207811">
              <w:rPr>
                <w:sz w:val="22"/>
                <w:szCs w:val="22"/>
              </w:rPr>
              <w:t>Total</w:t>
            </w:r>
          </w:p>
        </w:tc>
      </w:tr>
      <w:tr w14:paraId="5AEF8835" w14:textId="77777777" w:rsidTr="00D93A8D">
        <w:tblPrEx>
          <w:tblW w:w="9180" w:type="dxa"/>
          <w:jc w:val="center"/>
          <w:tblLayout w:type="fixed"/>
          <w:tblLook w:val="04A0"/>
        </w:tblPrEx>
        <w:trPr>
          <w:trHeight w:val="117"/>
          <w:jc w:val="center"/>
        </w:trPr>
        <w:tc>
          <w:tcPr>
            <w:tcW w:w="2970" w:type="dxa"/>
            <w:tcBorders>
              <w:top w:val="nil"/>
              <w:left w:val="nil"/>
              <w:bottom w:val="nil"/>
              <w:right w:val="nil"/>
            </w:tcBorders>
            <w:shd w:val="clear" w:color="auto" w:fill="FFFFFF" w:themeFill="background1"/>
            <w:noWrap/>
            <w:vAlign w:val="bottom"/>
          </w:tcPr>
          <w:p w:rsidR="00207811" w:rsidRPr="00207811" w:rsidP="00207811" w14:paraId="5341340A" w14:textId="77777777">
            <w:pPr>
              <w:rPr>
                <w:sz w:val="22"/>
                <w:szCs w:val="22"/>
              </w:rPr>
            </w:pPr>
            <w:r w:rsidRPr="00207811">
              <w:rPr>
                <w:sz w:val="22"/>
                <w:szCs w:val="22"/>
              </w:rPr>
              <w:t>Gross Accounts Receivable</w:t>
            </w:r>
          </w:p>
        </w:tc>
        <w:tc>
          <w:tcPr>
            <w:tcW w:w="1890" w:type="dxa"/>
            <w:tcBorders>
              <w:top w:val="single" w:sz="4" w:space="0" w:color="auto"/>
              <w:left w:val="nil"/>
              <w:bottom w:val="nil"/>
            </w:tcBorders>
            <w:shd w:val="clear" w:color="auto" w:fill="FFFFFF" w:themeFill="background1"/>
            <w:noWrap/>
            <w:vAlign w:val="bottom"/>
          </w:tcPr>
          <w:p w:rsidR="00207811" w:rsidRPr="00207811" w:rsidP="00207811" w14:paraId="077647BE" w14:textId="77777777">
            <w:pPr>
              <w:jc w:val="right"/>
              <w:rPr>
                <w:sz w:val="22"/>
                <w:szCs w:val="22"/>
              </w:rPr>
            </w:pPr>
            <w:r w:rsidRPr="00207811">
              <w:rPr>
                <w:sz w:val="22"/>
                <w:szCs w:val="22"/>
              </w:rPr>
              <w:t>$                          3</w:t>
            </w:r>
          </w:p>
        </w:tc>
        <w:tc>
          <w:tcPr>
            <w:tcW w:w="270" w:type="dxa"/>
            <w:shd w:val="clear" w:color="auto" w:fill="FFFFFF" w:themeFill="background1"/>
            <w:noWrap/>
            <w:vAlign w:val="bottom"/>
          </w:tcPr>
          <w:p w:rsidR="00207811" w:rsidRPr="00207811" w:rsidP="00207811" w14:paraId="5FAAEAE9" w14:textId="77777777">
            <w:pPr>
              <w:jc w:val="right"/>
              <w:rPr>
                <w:sz w:val="22"/>
                <w:szCs w:val="22"/>
              </w:rPr>
            </w:pPr>
            <w:r w:rsidRPr="00207811">
              <w:rPr>
                <w:sz w:val="22"/>
                <w:szCs w:val="22"/>
              </w:rPr>
              <w:t> </w:t>
            </w:r>
          </w:p>
        </w:tc>
        <w:tc>
          <w:tcPr>
            <w:tcW w:w="1890" w:type="dxa"/>
            <w:tcBorders>
              <w:top w:val="single" w:sz="4" w:space="0" w:color="auto"/>
              <w:left w:val="nil"/>
              <w:bottom w:val="nil"/>
            </w:tcBorders>
            <w:shd w:val="clear" w:color="auto" w:fill="FFFFFF" w:themeFill="background1"/>
            <w:noWrap/>
            <w:vAlign w:val="bottom"/>
          </w:tcPr>
          <w:p w:rsidR="00207811" w:rsidRPr="00207811" w:rsidP="00207811" w14:paraId="3B02D0E6" w14:textId="77777777">
            <w:pPr>
              <w:ind w:right="72"/>
              <w:jc w:val="right"/>
              <w:rPr>
                <w:sz w:val="22"/>
                <w:szCs w:val="22"/>
              </w:rPr>
            </w:pPr>
            <w:r w:rsidRPr="00207811">
              <w:rPr>
                <w:sz w:val="22"/>
                <w:szCs w:val="22"/>
              </w:rPr>
              <w:t>$           2,611,534</w:t>
            </w:r>
          </w:p>
        </w:tc>
        <w:tc>
          <w:tcPr>
            <w:tcW w:w="270" w:type="dxa"/>
            <w:shd w:val="clear" w:color="auto" w:fill="FFFFFF" w:themeFill="background1"/>
            <w:noWrap/>
            <w:vAlign w:val="bottom"/>
          </w:tcPr>
          <w:p w:rsidR="00207811" w:rsidRPr="00207811" w:rsidP="00207811" w14:paraId="7614E2BD" w14:textId="77777777">
            <w:pPr>
              <w:jc w:val="right"/>
              <w:rPr>
                <w:sz w:val="22"/>
                <w:szCs w:val="22"/>
              </w:rPr>
            </w:pPr>
            <w:r w:rsidRPr="00207811">
              <w:rPr>
                <w:sz w:val="22"/>
                <w:szCs w:val="22"/>
              </w:rPr>
              <w:t> </w:t>
            </w:r>
          </w:p>
        </w:tc>
        <w:tc>
          <w:tcPr>
            <w:tcW w:w="1890" w:type="dxa"/>
            <w:tcBorders>
              <w:top w:val="single" w:sz="4" w:space="0" w:color="auto"/>
              <w:left w:val="nil"/>
              <w:bottom w:val="nil"/>
              <w:right w:val="nil"/>
            </w:tcBorders>
            <w:shd w:val="clear" w:color="auto" w:fill="FFFFFF" w:themeFill="background1"/>
            <w:noWrap/>
            <w:vAlign w:val="bottom"/>
          </w:tcPr>
          <w:p w:rsidR="00207811" w:rsidRPr="00207811" w:rsidP="00207811" w14:paraId="1A4B6F0A" w14:textId="77777777">
            <w:pPr>
              <w:ind w:right="72"/>
              <w:jc w:val="right"/>
              <w:rPr>
                <w:sz w:val="22"/>
                <w:szCs w:val="22"/>
              </w:rPr>
            </w:pPr>
            <w:r w:rsidRPr="00207811">
              <w:rPr>
                <w:sz w:val="22"/>
                <w:szCs w:val="22"/>
              </w:rPr>
              <w:t>$           2,611,537</w:t>
            </w:r>
          </w:p>
        </w:tc>
      </w:tr>
      <w:tr w14:paraId="67F62570" w14:textId="77777777" w:rsidTr="00D93A8D">
        <w:tblPrEx>
          <w:tblW w:w="9180" w:type="dxa"/>
          <w:jc w:val="center"/>
          <w:tblLayout w:type="fixed"/>
          <w:tblLook w:val="04A0"/>
        </w:tblPrEx>
        <w:trPr>
          <w:trHeight w:val="117"/>
          <w:jc w:val="center"/>
        </w:trPr>
        <w:tc>
          <w:tcPr>
            <w:tcW w:w="2970" w:type="dxa"/>
            <w:tcBorders>
              <w:top w:val="nil"/>
              <w:left w:val="nil"/>
              <w:bottom w:val="nil"/>
              <w:right w:val="nil"/>
            </w:tcBorders>
            <w:shd w:val="clear" w:color="auto" w:fill="FFFFFF" w:themeFill="background1"/>
            <w:noWrap/>
            <w:vAlign w:val="bottom"/>
          </w:tcPr>
          <w:p w:rsidR="00207811" w:rsidRPr="00207811" w:rsidP="00207811" w14:paraId="32492E39" w14:textId="77777777">
            <w:pPr>
              <w:rPr>
                <w:sz w:val="22"/>
                <w:szCs w:val="22"/>
              </w:rPr>
            </w:pPr>
            <w:r w:rsidRPr="00207811">
              <w:rPr>
                <w:sz w:val="22"/>
                <w:szCs w:val="22"/>
              </w:rPr>
              <w:t>Allowance for Doubtful Accounts</w:t>
            </w:r>
          </w:p>
        </w:tc>
        <w:tc>
          <w:tcPr>
            <w:tcW w:w="1890" w:type="dxa"/>
            <w:tcBorders>
              <w:top w:val="nil"/>
              <w:left w:val="nil"/>
              <w:bottom w:val="single" w:sz="4" w:space="0" w:color="auto"/>
            </w:tcBorders>
            <w:shd w:val="clear" w:color="auto" w:fill="FFFFFF" w:themeFill="background1"/>
            <w:noWrap/>
            <w:vAlign w:val="bottom"/>
          </w:tcPr>
          <w:p w:rsidR="00207811" w:rsidRPr="00207811" w:rsidP="00207811" w14:paraId="3C7F19CC" w14:textId="77777777">
            <w:pPr>
              <w:jc w:val="right"/>
              <w:rPr>
                <w:sz w:val="22"/>
                <w:szCs w:val="22"/>
              </w:rPr>
            </w:pPr>
            <w:r w:rsidRPr="00207811">
              <w:rPr>
                <w:sz w:val="22"/>
                <w:szCs w:val="22"/>
              </w:rPr>
              <w:t>-</w:t>
            </w:r>
          </w:p>
        </w:tc>
        <w:tc>
          <w:tcPr>
            <w:tcW w:w="270" w:type="dxa"/>
            <w:shd w:val="clear" w:color="auto" w:fill="FFFFFF" w:themeFill="background1"/>
            <w:noWrap/>
            <w:vAlign w:val="bottom"/>
          </w:tcPr>
          <w:p w:rsidR="00207811" w:rsidRPr="00207811" w:rsidP="00207811" w14:paraId="730D7FD2" w14:textId="77777777">
            <w:pPr>
              <w:jc w:val="right"/>
              <w:rPr>
                <w:sz w:val="22"/>
                <w:szCs w:val="22"/>
              </w:rPr>
            </w:pPr>
            <w:r w:rsidRPr="00207811">
              <w:rPr>
                <w:sz w:val="22"/>
                <w:szCs w:val="22"/>
              </w:rPr>
              <w:t> </w:t>
            </w:r>
          </w:p>
        </w:tc>
        <w:tc>
          <w:tcPr>
            <w:tcW w:w="1890" w:type="dxa"/>
            <w:tcBorders>
              <w:top w:val="nil"/>
              <w:left w:val="nil"/>
              <w:bottom w:val="single" w:sz="4" w:space="0" w:color="auto"/>
            </w:tcBorders>
            <w:shd w:val="clear" w:color="auto" w:fill="FFFFFF" w:themeFill="background1"/>
            <w:noWrap/>
            <w:vAlign w:val="bottom"/>
          </w:tcPr>
          <w:p w:rsidR="00207811" w:rsidRPr="00207811" w:rsidP="00207811" w14:paraId="67ED9DE3" w14:textId="77777777">
            <w:pPr>
              <w:jc w:val="right"/>
              <w:rPr>
                <w:sz w:val="22"/>
                <w:szCs w:val="22"/>
              </w:rPr>
            </w:pPr>
            <w:r w:rsidRPr="00207811">
              <w:rPr>
                <w:sz w:val="22"/>
                <w:szCs w:val="22"/>
              </w:rPr>
              <w:t>(1,677,439)</w:t>
            </w:r>
          </w:p>
        </w:tc>
        <w:tc>
          <w:tcPr>
            <w:tcW w:w="270" w:type="dxa"/>
            <w:shd w:val="clear" w:color="auto" w:fill="FFFFFF" w:themeFill="background1"/>
            <w:noWrap/>
            <w:vAlign w:val="bottom"/>
          </w:tcPr>
          <w:p w:rsidR="00207811" w:rsidRPr="00207811" w:rsidP="00207811" w14:paraId="21CEFE62" w14:textId="77777777">
            <w:pPr>
              <w:jc w:val="right"/>
              <w:rPr>
                <w:sz w:val="22"/>
                <w:szCs w:val="22"/>
              </w:rPr>
            </w:pPr>
            <w:r w:rsidRPr="00207811">
              <w:rPr>
                <w:sz w:val="22"/>
                <w:szCs w:val="22"/>
              </w:rPr>
              <w:t> </w:t>
            </w:r>
          </w:p>
        </w:tc>
        <w:tc>
          <w:tcPr>
            <w:tcW w:w="1890" w:type="dxa"/>
            <w:tcBorders>
              <w:top w:val="nil"/>
              <w:left w:val="nil"/>
              <w:bottom w:val="single" w:sz="4" w:space="0" w:color="auto"/>
              <w:right w:val="nil"/>
            </w:tcBorders>
            <w:shd w:val="clear" w:color="auto" w:fill="FFFFFF" w:themeFill="background1"/>
            <w:noWrap/>
            <w:vAlign w:val="bottom"/>
          </w:tcPr>
          <w:p w:rsidR="00207811" w:rsidRPr="00207811" w:rsidP="00207811" w14:paraId="1D01C52E" w14:textId="77777777">
            <w:pPr>
              <w:jc w:val="right"/>
              <w:rPr>
                <w:sz w:val="22"/>
                <w:szCs w:val="22"/>
              </w:rPr>
            </w:pPr>
            <w:r w:rsidRPr="00207811">
              <w:rPr>
                <w:sz w:val="22"/>
                <w:szCs w:val="22"/>
              </w:rPr>
              <w:t>(1,677,439)</w:t>
            </w:r>
          </w:p>
        </w:tc>
      </w:tr>
      <w:tr w14:paraId="76C79843" w14:textId="77777777" w:rsidTr="00D93A8D">
        <w:tblPrEx>
          <w:tblW w:w="9180" w:type="dxa"/>
          <w:jc w:val="center"/>
          <w:tblLayout w:type="fixed"/>
          <w:tblLook w:val="04A0"/>
        </w:tblPrEx>
        <w:trPr>
          <w:trHeight w:val="117"/>
          <w:jc w:val="center"/>
        </w:trPr>
        <w:tc>
          <w:tcPr>
            <w:tcW w:w="2970" w:type="dxa"/>
            <w:tcBorders>
              <w:top w:val="nil"/>
              <w:left w:val="nil"/>
              <w:bottom w:val="nil"/>
              <w:right w:val="nil"/>
            </w:tcBorders>
            <w:shd w:val="clear" w:color="auto" w:fill="FFFFFF" w:themeFill="background1"/>
            <w:noWrap/>
            <w:vAlign w:val="bottom"/>
          </w:tcPr>
          <w:p w:rsidR="00207811" w:rsidRPr="00207811" w:rsidP="00207811" w14:paraId="69072E93" w14:textId="77777777">
            <w:pPr>
              <w:rPr>
                <w:sz w:val="22"/>
                <w:szCs w:val="22"/>
              </w:rPr>
            </w:pPr>
            <w:r w:rsidRPr="00207811">
              <w:rPr>
                <w:sz w:val="22"/>
                <w:szCs w:val="22"/>
              </w:rPr>
              <w:t>Accounts Receivable, Net</w:t>
            </w:r>
          </w:p>
        </w:tc>
        <w:tc>
          <w:tcPr>
            <w:tcW w:w="1890" w:type="dxa"/>
            <w:tcBorders>
              <w:top w:val="single" w:sz="4" w:space="0" w:color="auto"/>
              <w:left w:val="nil"/>
              <w:bottom w:val="double" w:sz="4" w:space="0" w:color="auto"/>
            </w:tcBorders>
            <w:shd w:val="clear" w:color="auto" w:fill="FFFFFF" w:themeFill="background1"/>
            <w:noWrap/>
            <w:vAlign w:val="bottom"/>
          </w:tcPr>
          <w:p w:rsidR="00207811" w:rsidRPr="00207811" w:rsidP="00207811" w14:paraId="5392A507" w14:textId="77777777">
            <w:pPr>
              <w:jc w:val="right"/>
              <w:rPr>
                <w:sz w:val="22"/>
                <w:szCs w:val="22"/>
              </w:rPr>
            </w:pPr>
            <w:r w:rsidRPr="00207811">
              <w:rPr>
                <w:sz w:val="22"/>
                <w:szCs w:val="22"/>
              </w:rPr>
              <w:t>$                          3</w:t>
            </w:r>
          </w:p>
        </w:tc>
        <w:tc>
          <w:tcPr>
            <w:tcW w:w="270" w:type="dxa"/>
            <w:shd w:val="clear" w:color="auto" w:fill="FFFFFF" w:themeFill="background1"/>
            <w:noWrap/>
            <w:vAlign w:val="bottom"/>
          </w:tcPr>
          <w:p w:rsidR="00207811" w:rsidRPr="00207811" w:rsidP="00207811" w14:paraId="3BD1DF66" w14:textId="77777777">
            <w:pPr>
              <w:jc w:val="right"/>
              <w:rPr>
                <w:sz w:val="22"/>
                <w:szCs w:val="22"/>
              </w:rPr>
            </w:pPr>
            <w:r w:rsidRPr="00207811">
              <w:rPr>
                <w:sz w:val="22"/>
                <w:szCs w:val="22"/>
              </w:rPr>
              <w:t> </w:t>
            </w:r>
          </w:p>
        </w:tc>
        <w:tc>
          <w:tcPr>
            <w:tcW w:w="1890" w:type="dxa"/>
            <w:tcBorders>
              <w:top w:val="single" w:sz="4" w:space="0" w:color="auto"/>
              <w:left w:val="nil"/>
              <w:bottom w:val="double" w:sz="4" w:space="0" w:color="auto"/>
            </w:tcBorders>
            <w:shd w:val="clear" w:color="auto" w:fill="FFFFFF" w:themeFill="background1"/>
            <w:noWrap/>
            <w:vAlign w:val="bottom"/>
          </w:tcPr>
          <w:p w:rsidR="00207811" w:rsidRPr="00207811" w:rsidP="00207811" w14:paraId="7D742E6F" w14:textId="77777777">
            <w:pPr>
              <w:ind w:right="72"/>
              <w:jc w:val="right"/>
              <w:rPr>
                <w:sz w:val="22"/>
                <w:szCs w:val="22"/>
              </w:rPr>
            </w:pPr>
            <w:r w:rsidRPr="00207811">
              <w:rPr>
                <w:sz w:val="22"/>
                <w:szCs w:val="22"/>
              </w:rPr>
              <w:t>$              934,095</w:t>
            </w:r>
          </w:p>
        </w:tc>
        <w:tc>
          <w:tcPr>
            <w:tcW w:w="270" w:type="dxa"/>
            <w:shd w:val="clear" w:color="auto" w:fill="FFFFFF" w:themeFill="background1"/>
            <w:noWrap/>
            <w:vAlign w:val="bottom"/>
          </w:tcPr>
          <w:p w:rsidR="00207811" w:rsidRPr="00207811" w:rsidP="00207811" w14:paraId="6D26451E" w14:textId="77777777">
            <w:pPr>
              <w:jc w:val="right"/>
              <w:rPr>
                <w:sz w:val="22"/>
                <w:szCs w:val="22"/>
              </w:rPr>
            </w:pPr>
            <w:r w:rsidRPr="00207811">
              <w:rPr>
                <w:sz w:val="22"/>
                <w:szCs w:val="22"/>
              </w:rPr>
              <w:t> </w:t>
            </w:r>
          </w:p>
        </w:tc>
        <w:tc>
          <w:tcPr>
            <w:tcW w:w="1890" w:type="dxa"/>
            <w:tcBorders>
              <w:top w:val="single" w:sz="4" w:space="0" w:color="auto"/>
              <w:left w:val="nil"/>
              <w:bottom w:val="double" w:sz="4" w:space="0" w:color="auto"/>
              <w:right w:val="nil"/>
            </w:tcBorders>
            <w:shd w:val="clear" w:color="auto" w:fill="FFFFFF" w:themeFill="background1"/>
            <w:noWrap/>
            <w:vAlign w:val="bottom"/>
          </w:tcPr>
          <w:p w:rsidR="00207811" w:rsidRPr="00207811" w:rsidP="00207811" w14:paraId="70368635" w14:textId="77777777">
            <w:pPr>
              <w:ind w:right="72"/>
              <w:jc w:val="right"/>
              <w:rPr>
                <w:sz w:val="22"/>
                <w:szCs w:val="22"/>
              </w:rPr>
            </w:pPr>
            <w:r w:rsidRPr="00207811">
              <w:rPr>
                <w:sz w:val="22"/>
                <w:szCs w:val="22"/>
              </w:rPr>
              <w:t>$              934,098</w:t>
            </w:r>
          </w:p>
        </w:tc>
      </w:tr>
      <w:tr w14:paraId="479F92E9" w14:textId="77777777" w:rsidTr="00D93A8D">
        <w:tblPrEx>
          <w:tblW w:w="9180" w:type="dxa"/>
          <w:jc w:val="center"/>
          <w:tblLayout w:type="fixed"/>
          <w:tblLook w:val="04A0"/>
        </w:tblPrEx>
        <w:trPr>
          <w:trHeight w:val="117"/>
          <w:jc w:val="center"/>
        </w:trPr>
        <w:tc>
          <w:tcPr>
            <w:tcW w:w="2970" w:type="dxa"/>
            <w:tcBorders>
              <w:top w:val="nil"/>
              <w:left w:val="nil"/>
              <w:bottom w:val="nil"/>
              <w:right w:val="nil"/>
            </w:tcBorders>
            <w:shd w:val="clear" w:color="auto" w:fill="FFFFFF" w:themeFill="background1"/>
            <w:noWrap/>
            <w:vAlign w:val="bottom"/>
          </w:tcPr>
          <w:p w:rsidR="00207811" w:rsidRPr="00207811" w:rsidP="00207811" w14:paraId="622929AA" w14:textId="77777777">
            <w:pPr>
              <w:rPr>
                <w:sz w:val="22"/>
                <w:szCs w:val="22"/>
              </w:rPr>
            </w:pPr>
          </w:p>
        </w:tc>
        <w:tc>
          <w:tcPr>
            <w:tcW w:w="1890" w:type="dxa"/>
            <w:tcBorders>
              <w:top w:val="double" w:sz="4" w:space="0" w:color="auto"/>
              <w:left w:val="nil"/>
              <w:bottom w:val="nil"/>
            </w:tcBorders>
            <w:shd w:val="clear" w:color="auto" w:fill="FFFFFF" w:themeFill="background1"/>
            <w:noWrap/>
            <w:vAlign w:val="bottom"/>
          </w:tcPr>
          <w:p w:rsidR="00207811" w:rsidRPr="00207811" w:rsidP="00207811" w14:paraId="60304B2D" w14:textId="77777777">
            <w:pPr>
              <w:jc w:val="right"/>
              <w:rPr>
                <w:sz w:val="22"/>
                <w:szCs w:val="22"/>
              </w:rPr>
            </w:pPr>
          </w:p>
        </w:tc>
        <w:tc>
          <w:tcPr>
            <w:tcW w:w="270" w:type="dxa"/>
            <w:shd w:val="clear" w:color="auto" w:fill="FFFFFF" w:themeFill="background1"/>
            <w:noWrap/>
            <w:vAlign w:val="bottom"/>
          </w:tcPr>
          <w:p w:rsidR="00207811" w:rsidRPr="00207811" w:rsidP="00207811" w14:paraId="37C0F72F" w14:textId="77777777">
            <w:pPr>
              <w:jc w:val="right"/>
              <w:rPr>
                <w:sz w:val="22"/>
                <w:szCs w:val="22"/>
              </w:rPr>
            </w:pPr>
          </w:p>
        </w:tc>
        <w:tc>
          <w:tcPr>
            <w:tcW w:w="1890" w:type="dxa"/>
            <w:tcBorders>
              <w:top w:val="double" w:sz="4" w:space="0" w:color="auto"/>
              <w:left w:val="nil"/>
              <w:bottom w:val="nil"/>
            </w:tcBorders>
            <w:shd w:val="clear" w:color="auto" w:fill="FFFFFF" w:themeFill="background1"/>
            <w:noWrap/>
            <w:vAlign w:val="bottom"/>
          </w:tcPr>
          <w:p w:rsidR="00207811" w:rsidRPr="00207811" w:rsidP="00207811" w14:paraId="00D786E4" w14:textId="77777777">
            <w:pPr>
              <w:jc w:val="right"/>
              <w:rPr>
                <w:sz w:val="22"/>
                <w:szCs w:val="22"/>
              </w:rPr>
            </w:pPr>
          </w:p>
        </w:tc>
        <w:tc>
          <w:tcPr>
            <w:tcW w:w="270" w:type="dxa"/>
            <w:shd w:val="clear" w:color="auto" w:fill="FFFFFF" w:themeFill="background1"/>
            <w:noWrap/>
            <w:vAlign w:val="bottom"/>
          </w:tcPr>
          <w:p w:rsidR="00207811" w:rsidRPr="00207811" w:rsidP="00207811" w14:paraId="675E90DF" w14:textId="77777777">
            <w:pPr>
              <w:jc w:val="right"/>
              <w:rPr>
                <w:sz w:val="22"/>
                <w:szCs w:val="22"/>
              </w:rPr>
            </w:pPr>
          </w:p>
        </w:tc>
        <w:tc>
          <w:tcPr>
            <w:tcW w:w="1890" w:type="dxa"/>
            <w:tcBorders>
              <w:top w:val="double" w:sz="4" w:space="0" w:color="auto"/>
              <w:left w:val="nil"/>
              <w:bottom w:val="nil"/>
              <w:right w:val="nil"/>
            </w:tcBorders>
            <w:shd w:val="clear" w:color="auto" w:fill="FFFFFF" w:themeFill="background1"/>
            <w:noWrap/>
            <w:vAlign w:val="bottom"/>
          </w:tcPr>
          <w:p w:rsidR="00207811" w:rsidRPr="00207811" w:rsidP="00207811" w14:paraId="31E8B61F" w14:textId="77777777">
            <w:pPr>
              <w:jc w:val="right"/>
              <w:rPr>
                <w:sz w:val="22"/>
                <w:szCs w:val="22"/>
              </w:rPr>
            </w:pPr>
          </w:p>
        </w:tc>
      </w:tr>
    </w:tbl>
    <w:p w:rsidR="00207811" w:rsidRPr="00207811" w:rsidP="00207811" w14:paraId="4FD3D1B4" w14:textId="77777777">
      <w:pPr>
        <w:tabs>
          <w:tab w:val="left" w:pos="-1440"/>
          <w:tab w:val="left" w:pos="3600"/>
          <w:tab w:val="left" w:pos="4230"/>
          <w:tab w:val="left" w:pos="5940"/>
          <w:tab w:val="left" w:pos="7560"/>
        </w:tabs>
        <w:jc w:val="both"/>
        <w:rPr>
          <w:sz w:val="22"/>
          <w:szCs w:val="22"/>
        </w:rPr>
      </w:pPr>
    </w:p>
    <w:p w:rsidR="00207811" w:rsidRPr="00207811" w:rsidP="00207811" w14:paraId="0C20D729" w14:textId="77777777">
      <w:pPr>
        <w:jc w:val="both"/>
        <w:rPr>
          <w:sz w:val="22"/>
          <w:szCs w:val="22"/>
        </w:rPr>
      </w:pPr>
      <w:r w:rsidRPr="00207811">
        <w:rPr>
          <w:sz w:val="22"/>
          <w:szCs w:val="22"/>
        </w:rPr>
        <w:t xml:space="preserve">The following summarizes accounts receivable by type as of September 30, 2025:  </w:t>
      </w:r>
    </w:p>
    <w:p w:rsidR="00207811" w:rsidRPr="00207811" w:rsidP="00207811" w14:paraId="62EB0188" w14:textId="77777777">
      <w:pPr>
        <w:jc w:val="both"/>
        <w:rPr>
          <w:sz w:val="22"/>
          <w:szCs w:val="22"/>
        </w:rPr>
      </w:pPr>
    </w:p>
    <w:p w:rsidR="00207811" w:rsidRPr="00207811" w:rsidP="00207811" w14:paraId="6CA69CBD" w14:textId="77777777">
      <w:pPr>
        <w:tabs>
          <w:tab w:val="left" w:pos="3600"/>
          <w:tab w:val="left" w:pos="4230"/>
          <w:tab w:val="left" w:pos="5940"/>
          <w:tab w:val="left" w:pos="7560"/>
        </w:tabs>
        <w:jc w:val="center"/>
        <w:rPr>
          <w:sz w:val="22"/>
          <w:szCs w:val="22"/>
        </w:rPr>
      </w:pPr>
      <w:r w:rsidRPr="00207811">
        <w:rPr>
          <w:noProof/>
        </w:rPr>
        <w:drawing>
          <wp:inline distT="0" distB="0" distL="0" distR="0">
            <wp:extent cx="4581525" cy="2657475"/>
            <wp:effectExtent l="0" t="0" r="9525" b="9525"/>
            <wp:docPr id="889421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21133" name="Picture 7"/>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657475"/>
                    </a:xfrm>
                    <a:prstGeom prst="rect">
                      <a:avLst/>
                    </a:prstGeom>
                    <a:noFill/>
                    <a:ln>
                      <a:noFill/>
                    </a:ln>
                  </pic:spPr>
                </pic:pic>
              </a:graphicData>
            </a:graphic>
          </wp:inline>
        </w:drawing>
      </w:r>
    </w:p>
    <w:p w:rsidR="00207811" w:rsidRPr="00207811" w:rsidP="00207811" w14:paraId="4ED7F2CC" w14:textId="77777777">
      <w:pPr>
        <w:tabs>
          <w:tab w:val="left" w:pos="-1440"/>
          <w:tab w:val="left" w:pos="3600"/>
          <w:tab w:val="left" w:pos="4230"/>
          <w:tab w:val="left" w:pos="5940"/>
          <w:tab w:val="left" w:pos="7560"/>
        </w:tabs>
        <w:jc w:val="both"/>
        <w:rPr>
          <w:sz w:val="22"/>
          <w:szCs w:val="22"/>
        </w:rPr>
      </w:pPr>
    </w:p>
    <w:p w:rsidR="00207811" w:rsidRPr="00207811" w:rsidP="00207811" w14:paraId="4D8A6AEE" w14:textId="77777777">
      <w:pPr>
        <w:jc w:val="both"/>
        <w:rPr>
          <w:sz w:val="22"/>
          <w:szCs w:val="22"/>
        </w:rPr>
      </w:pPr>
      <w:r w:rsidRPr="00207811">
        <w:rPr>
          <w:sz w:val="22"/>
          <w:szCs w:val="22"/>
        </w:rPr>
        <w:t xml:space="preserve">The Commission expects to collect 100% of intragovernmental receivables and no allowance is recorded.  See Note 1 E Accounts Receivable, Net for more information on the estimation method used to determine the allowance for uncollectible amounts.  </w:t>
      </w:r>
    </w:p>
    <w:p w:rsidR="00207811" w:rsidRPr="00207811" w:rsidP="00207811" w14:paraId="5234F8BD" w14:textId="77777777">
      <w:pPr>
        <w:jc w:val="both"/>
        <w:rPr>
          <w:sz w:val="22"/>
          <w:szCs w:val="22"/>
        </w:rPr>
      </w:pPr>
    </w:p>
    <w:p w:rsidR="00207811" w:rsidRPr="00207811" w:rsidP="00207811" w14:paraId="5537410D" w14:textId="77777777">
      <w:pPr>
        <w:jc w:val="both"/>
        <w:rPr>
          <w:sz w:val="22"/>
          <w:szCs w:val="22"/>
        </w:rPr>
      </w:pPr>
    </w:p>
    <w:p w:rsidR="00207811" w:rsidRPr="00207811" w:rsidP="00207811" w14:paraId="43C77A1F" w14:textId="77777777">
      <w:pPr>
        <w:jc w:val="both"/>
        <w:rPr>
          <w:sz w:val="22"/>
          <w:szCs w:val="22"/>
        </w:rPr>
      </w:pPr>
    </w:p>
    <w:p w:rsidR="00207811" w:rsidRPr="00207811" w:rsidP="00207811" w14:paraId="56A4CE67" w14:textId="77777777">
      <w:pPr>
        <w:jc w:val="both"/>
        <w:rPr>
          <w:sz w:val="22"/>
          <w:szCs w:val="22"/>
        </w:rPr>
      </w:pPr>
    </w:p>
    <w:p w:rsidR="00207811" w:rsidRPr="00207811" w:rsidP="00207811" w14:paraId="0B8F28C7" w14:textId="77777777">
      <w:pPr>
        <w:jc w:val="both"/>
        <w:rPr>
          <w:sz w:val="22"/>
          <w:szCs w:val="22"/>
        </w:rPr>
      </w:pPr>
    </w:p>
    <w:p w:rsidR="00207811" w:rsidRPr="00207811" w:rsidP="00207811" w14:paraId="0E1C083A" w14:textId="77777777">
      <w:pPr>
        <w:jc w:val="both"/>
        <w:rPr>
          <w:sz w:val="22"/>
          <w:szCs w:val="22"/>
        </w:rPr>
      </w:pPr>
    </w:p>
    <w:p w:rsidR="00207811" w:rsidRPr="00207811" w:rsidP="00207811" w14:paraId="647459CE" w14:textId="77777777">
      <w:pPr>
        <w:jc w:val="both"/>
        <w:rPr>
          <w:sz w:val="22"/>
          <w:szCs w:val="22"/>
        </w:rPr>
      </w:pPr>
    </w:p>
    <w:p w:rsidR="00207811" w:rsidRPr="00207811" w:rsidP="00207811" w14:paraId="5EA631A4" w14:textId="77777777">
      <w:pPr>
        <w:jc w:val="both"/>
        <w:rPr>
          <w:sz w:val="22"/>
          <w:szCs w:val="22"/>
        </w:rPr>
      </w:pPr>
    </w:p>
    <w:p w:rsidR="00207811" w:rsidRPr="00207811" w:rsidP="00207811" w14:paraId="28CB3972" w14:textId="77777777">
      <w:pPr>
        <w:jc w:val="both"/>
        <w:rPr>
          <w:sz w:val="22"/>
          <w:szCs w:val="22"/>
        </w:rPr>
      </w:pPr>
    </w:p>
    <w:p w:rsidR="00207811" w:rsidRPr="00207811" w:rsidP="00207811" w14:paraId="17678E3A"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Note 5 – Property, Plant, and Equipment, Net</w:t>
      </w:r>
    </w:p>
    <w:p w:rsidR="00207811" w:rsidRPr="00207811" w:rsidP="00207811" w14:paraId="7AC8094E" w14:textId="77777777">
      <w:pPr>
        <w:jc w:val="both"/>
        <w:rPr>
          <w:sz w:val="22"/>
          <w:szCs w:val="22"/>
        </w:rPr>
      </w:pPr>
    </w:p>
    <w:p w:rsidR="00207811" w:rsidRPr="00207811" w:rsidP="00207811" w14:paraId="6719E50D" w14:textId="77777777">
      <w:pPr>
        <w:jc w:val="both"/>
        <w:rPr>
          <w:b/>
          <w:bCs/>
          <w:sz w:val="22"/>
          <w:szCs w:val="22"/>
        </w:rPr>
      </w:pPr>
      <w:r w:rsidRPr="00207811">
        <w:rPr>
          <w:sz w:val="22"/>
          <w:szCs w:val="22"/>
        </w:rPr>
        <w:t>The following table summarizes total PP&amp;E and accumulated depreciation as of September 30, 2025.  See Note 1 F Property, Plant, and Equipment, Net for more information.</w:t>
      </w:r>
    </w:p>
    <w:tbl>
      <w:tblPr>
        <w:tblStyle w:val="TableGrid12"/>
        <w:tblW w:w="0" w:type="auto"/>
        <w:jc w:val="center"/>
        <w:tblLook w:val="04A0"/>
      </w:tblPr>
      <w:tblGrid>
        <w:gridCol w:w="3865"/>
        <w:gridCol w:w="270"/>
        <w:gridCol w:w="1345"/>
      </w:tblGrid>
      <w:tr w14:paraId="75A38562" w14:textId="77777777" w:rsidTr="00D93A8D">
        <w:tblPrEx>
          <w:tblW w:w="0" w:type="auto"/>
          <w:jc w:val="center"/>
          <w:tblLook w:val="04A0"/>
        </w:tblPrEx>
        <w:trPr>
          <w:jc w:val="center"/>
        </w:trPr>
        <w:tc>
          <w:tcPr>
            <w:tcW w:w="3865" w:type="dxa"/>
          </w:tcPr>
          <w:p w:rsidR="00207811" w:rsidRPr="00207811" w:rsidP="00207811" w14:paraId="67751D54" w14:textId="77777777">
            <w:pPr>
              <w:rPr>
                <w:sz w:val="22"/>
                <w:szCs w:val="22"/>
              </w:rPr>
            </w:pPr>
          </w:p>
        </w:tc>
        <w:tc>
          <w:tcPr>
            <w:tcW w:w="270" w:type="dxa"/>
          </w:tcPr>
          <w:p w:rsidR="00207811" w:rsidRPr="00207811" w:rsidP="00207811" w14:paraId="12F31827" w14:textId="77777777">
            <w:pPr>
              <w:rPr>
                <w:sz w:val="22"/>
                <w:szCs w:val="22"/>
              </w:rPr>
            </w:pPr>
          </w:p>
        </w:tc>
        <w:tc>
          <w:tcPr>
            <w:tcW w:w="1345" w:type="dxa"/>
          </w:tcPr>
          <w:p w:rsidR="00207811" w:rsidRPr="00207811" w:rsidP="00207811" w14:paraId="12F25495" w14:textId="77777777">
            <w:pPr>
              <w:jc w:val="center"/>
              <w:rPr>
                <w:sz w:val="22"/>
                <w:szCs w:val="22"/>
              </w:rPr>
            </w:pPr>
            <w:r w:rsidRPr="00207811">
              <w:rPr>
                <w:sz w:val="22"/>
                <w:szCs w:val="22"/>
              </w:rPr>
              <w:t>FY 2025</w:t>
            </w:r>
          </w:p>
        </w:tc>
      </w:tr>
      <w:tr w14:paraId="09053B82" w14:textId="77777777" w:rsidTr="00D93A8D">
        <w:tblPrEx>
          <w:tblW w:w="0" w:type="auto"/>
          <w:jc w:val="center"/>
          <w:tblLook w:val="04A0"/>
        </w:tblPrEx>
        <w:trPr>
          <w:trHeight w:val="70"/>
          <w:jc w:val="center"/>
        </w:trPr>
        <w:tc>
          <w:tcPr>
            <w:tcW w:w="3865" w:type="dxa"/>
          </w:tcPr>
          <w:p w:rsidR="00207811" w:rsidRPr="00207811" w:rsidP="00207811" w14:paraId="1D40F5B8" w14:textId="77777777">
            <w:pPr>
              <w:rPr>
                <w:sz w:val="22"/>
                <w:szCs w:val="22"/>
              </w:rPr>
            </w:pPr>
          </w:p>
        </w:tc>
        <w:tc>
          <w:tcPr>
            <w:tcW w:w="270" w:type="dxa"/>
          </w:tcPr>
          <w:p w:rsidR="00207811" w:rsidRPr="00207811" w:rsidP="00207811" w14:paraId="601F43B9" w14:textId="77777777">
            <w:pPr>
              <w:rPr>
                <w:sz w:val="22"/>
                <w:szCs w:val="22"/>
              </w:rPr>
            </w:pPr>
          </w:p>
        </w:tc>
        <w:tc>
          <w:tcPr>
            <w:tcW w:w="1345" w:type="dxa"/>
            <w:tcBorders>
              <w:bottom w:val="single" w:sz="4" w:space="0" w:color="auto"/>
            </w:tcBorders>
          </w:tcPr>
          <w:p w:rsidR="00207811" w:rsidRPr="00207811" w:rsidP="00207811" w14:paraId="2A75ECAC" w14:textId="77777777">
            <w:pPr>
              <w:jc w:val="center"/>
              <w:rPr>
                <w:sz w:val="22"/>
                <w:szCs w:val="22"/>
              </w:rPr>
            </w:pPr>
            <w:r w:rsidRPr="00207811">
              <w:rPr>
                <w:sz w:val="22"/>
                <w:szCs w:val="22"/>
              </w:rPr>
              <w:t>Net PP&amp;E</w:t>
            </w:r>
          </w:p>
        </w:tc>
      </w:tr>
      <w:tr w14:paraId="4A8997D7" w14:textId="77777777" w:rsidTr="00D93A8D">
        <w:tblPrEx>
          <w:tblW w:w="0" w:type="auto"/>
          <w:jc w:val="center"/>
          <w:tblLook w:val="04A0"/>
        </w:tblPrEx>
        <w:trPr>
          <w:trHeight w:val="300"/>
          <w:jc w:val="center"/>
        </w:trPr>
        <w:tc>
          <w:tcPr>
            <w:tcW w:w="3865" w:type="dxa"/>
          </w:tcPr>
          <w:p w:rsidR="00207811" w:rsidRPr="00207811" w:rsidP="00207811" w14:paraId="28C8A678" w14:textId="77777777">
            <w:pPr>
              <w:rPr>
                <w:sz w:val="22"/>
                <w:szCs w:val="22"/>
              </w:rPr>
            </w:pPr>
          </w:p>
        </w:tc>
        <w:tc>
          <w:tcPr>
            <w:tcW w:w="270" w:type="dxa"/>
          </w:tcPr>
          <w:p w:rsidR="00207811" w:rsidRPr="00207811" w:rsidP="00207811" w14:paraId="34A724EF" w14:textId="77777777">
            <w:pPr>
              <w:rPr>
                <w:sz w:val="22"/>
                <w:szCs w:val="22"/>
              </w:rPr>
            </w:pPr>
          </w:p>
        </w:tc>
        <w:tc>
          <w:tcPr>
            <w:tcW w:w="1345" w:type="dxa"/>
            <w:tcBorders>
              <w:top w:val="single" w:sz="4" w:space="0" w:color="auto"/>
            </w:tcBorders>
          </w:tcPr>
          <w:p w:rsidR="00207811" w:rsidRPr="00207811" w:rsidP="00207811" w14:paraId="0B40A86A" w14:textId="77777777">
            <w:pPr>
              <w:jc w:val="right"/>
              <w:rPr>
                <w:sz w:val="22"/>
                <w:szCs w:val="22"/>
              </w:rPr>
            </w:pPr>
          </w:p>
        </w:tc>
      </w:tr>
      <w:tr w14:paraId="1739B154" w14:textId="77777777" w:rsidTr="00D93A8D">
        <w:tblPrEx>
          <w:tblW w:w="0" w:type="auto"/>
          <w:jc w:val="center"/>
          <w:tblLook w:val="04A0"/>
        </w:tblPrEx>
        <w:trPr>
          <w:jc w:val="center"/>
        </w:trPr>
        <w:tc>
          <w:tcPr>
            <w:tcW w:w="3865" w:type="dxa"/>
          </w:tcPr>
          <w:p w:rsidR="00207811" w:rsidRPr="00207811" w:rsidP="00207811" w14:paraId="1B92E8D3" w14:textId="77777777">
            <w:pPr>
              <w:rPr>
                <w:sz w:val="22"/>
                <w:szCs w:val="22"/>
              </w:rPr>
            </w:pPr>
            <w:r w:rsidRPr="00207811">
              <w:rPr>
                <w:sz w:val="22"/>
                <w:szCs w:val="22"/>
              </w:rPr>
              <w:t>Balance Beginning of Year, Adjusted</w:t>
            </w:r>
          </w:p>
        </w:tc>
        <w:tc>
          <w:tcPr>
            <w:tcW w:w="270" w:type="dxa"/>
            <w:tcBorders>
              <w:left w:val="nil"/>
            </w:tcBorders>
          </w:tcPr>
          <w:p w:rsidR="00207811" w:rsidRPr="00207811" w:rsidP="00207811" w14:paraId="6DFAB8B2" w14:textId="77777777">
            <w:pPr>
              <w:rPr>
                <w:sz w:val="22"/>
                <w:szCs w:val="22"/>
              </w:rPr>
            </w:pPr>
          </w:p>
        </w:tc>
        <w:tc>
          <w:tcPr>
            <w:tcW w:w="1345" w:type="dxa"/>
          </w:tcPr>
          <w:p w:rsidR="00207811" w:rsidRPr="00207811" w:rsidP="00207811" w14:paraId="468C80E5" w14:textId="77777777">
            <w:pPr>
              <w:ind w:right="72"/>
              <w:jc w:val="right"/>
              <w:rPr>
                <w:sz w:val="22"/>
                <w:szCs w:val="22"/>
              </w:rPr>
            </w:pPr>
            <w:r w:rsidRPr="00207811">
              <w:rPr>
                <w:sz w:val="22"/>
                <w:szCs w:val="22"/>
              </w:rPr>
              <w:t>$    117,220</w:t>
            </w:r>
          </w:p>
        </w:tc>
      </w:tr>
      <w:tr w14:paraId="1BFFD33A" w14:textId="77777777" w:rsidTr="00D93A8D">
        <w:tblPrEx>
          <w:tblW w:w="0" w:type="auto"/>
          <w:jc w:val="center"/>
          <w:tblLook w:val="04A0"/>
        </w:tblPrEx>
        <w:trPr>
          <w:jc w:val="center"/>
        </w:trPr>
        <w:tc>
          <w:tcPr>
            <w:tcW w:w="3865" w:type="dxa"/>
          </w:tcPr>
          <w:p w:rsidR="00207811" w:rsidRPr="00207811" w:rsidP="00207811" w14:paraId="1B5498B8" w14:textId="77777777">
            <w:pPr>
              <w:ind w:left="432"/>
              <w:rPr>
                <w:sz w:val="22"/>
                <w:szCs w:val="22"/>
              </w:rPr>
            </w:pPr>
            <w:r w:rsidRPr="00207811">
              <w:rPr>
                <w:sz w:val="22"/>
                <w:szCs w:val="22"/>
              </w:rPr>
              <w:t>Capitalized acquisitions</w:t>
            </w:r>
          </w:p>
        </w:tc>
        <w:tc>
          <w:tcPr>
            <w:tcW w:w="270" w:type="dxa"/>
            <w:tcBorders>
              <w:left w:val="nil"/>
            </w:tcBorders>
          </w:tcPr>
          <w:p w:rsidR="00207811" w:rsidRPr="00207811" w:rsidP="00207811" w14:paraId="17737CF9" w14:textId="77777777">
            <w:pPr>
              <w:rPr>
                <w:sz w:val="22"/>
                <w:szCs w:val="22"/>
              </w:rPr>
            </w:pPr>
          </w:p>
        </w:tc>
        <w:tc>
          <w:tcPr>
            <w:tcW w:w="1345" w:type="dxa"/>
          </w:tcPr>
          <w:p w:rsidR="00207811" w:rsidRPr="00207811" w:rsidP="00207811" w14:paraId="448E23CA" w14:textId="77777777">
            <w:pPr>
              <w:ind w:right="72"/>
              <w:jc w:val="right"/>
              <w:rPr>
                <w:sz w:val="22"/>
                <w:szCs w:val="22"/>
              </w:rPr>
            </w:pPr>
            <w:r w:rsidRPr="00207811">
              <w:rPr>
                <w:sz w:val="22"/>
                <w:szCs w:val="22"/>
              </w:rPr>
              <w:t>17,932</w:t>
            </w:r>
          </w:p>
        </w:tc>
      </w:tr>
      <w:tr w14:paraId="1DE17B7A" w14:textId="77777777" w:rsidTr="00D93A8D">
        <w:tblPrEx>
          <w:tblW w:w="0" w:type="auto"/>
          <w:jc w:val="center"/>
          <w:tblLook w:val="04A0"/>
        </w:tblPrEx>
        <w:trPr>
          <w:jc w:val="center"/>
        </w:trPr>
        <w:tc>
          <w:tcPr>
            <w:tcW w:w="3865" w:type="dxa"/>
          </w:tcPr>
          <w:p w:rsidR="00207811" w:rsidRPr="00207811" w:rsidP="00207811" w14:paraId="40571F8D" w14:textId="77777777">
            <w:pPr>
              <w:ind w:left="432"/>
              <w:rPr>
                <w:sz w:val="22"/>
                <w:szCs w:val="22"/>
              </w:rPr>
            </w:pPr>
            <w:r w:rsidRPr="00207811">
              <w:rPr>
                <w:sz w:val="22"/>
                <w:szCs w:val="22"/>
              </w:rPr>
              <w:t>Dispositions</w:t>
            </w:r>
          </w:p>
        </w:tc>
        <w:tc>
          <w:tcPr>
            <w:tcW w:w="270" w:type="dxa"/>
          </w:tcPr>
          <w:p w:rsidR="00207811" w:rsidRPr="00207811" w:rsidP="00207811" w14:paraId="69624900" w14:textId="77777777">
            <w:pPr>
              <w:rPr>
                <w:sz w:val="22"/>
                <w:szCs w:val="22"/>
              </w:rPr>
            </w:pPr>
          </w:p>
        </w:tc>
        <w:tc>
          <w:tcPr>
            <w:tcW w:w="1345" w:type="dxa"/>
          </w:tcPr>
          <w:p w:rsidR="00207811" w:rsidRPr="00207811" w:rsidP="00207811" w14:paraId="7A976A99" w14:textId="77777777">
            <w:pPr>
              <w:jc w:val="right"/>
              <w:rPr>
                <w:sz w:val="22"/>
                <w:szCs w:val="22"/>
              </w:rPr>
            </w:pPr>
            <w:r w:rsidRPr="00207811">
              <w:rPr>
                <w:sz w:val="22"/>
                <w:szCs w:val="22"/>
              </w:rPr>
              <w:t>(321)</w:t>
            </w:r>
          </w:p>
        </w:tc>
      </w:tr>
      <w:tr w14:paraId="7C4FBE4D" w14:textId="77777777" w:rsidTr="00D93A8D">
        <w:tblPrEx>
          <w:tblW w:w="0" w:type="auto"/>
          <w:jc w:val="center"/>
          <w:tblLook w:val="04A0"/>
        </w:tblPrEx>
        <w:trPr>
          <w:jc w:val="center"/>
        </w:trPr>
        <w:tc>
          <w:tcPr>
            <w:tcW w:w="3865" w:type="dxa"/>
          </w:tcPr>
          <w:p w:rsidR="00207811" w:rsidRPr="00207811" w:rsidP="00207811" w14:paraId="6E4AAF97" w14:textId="77777777">
            <w:pPr>
              <w:ind w:left="432"/>
              <w:rPr>
                <w:sz w:val="22"/>
                <w:szCs w:val="22"/>
              </w:rPr>
            </w:pPr>
            <w:r w:rsidRPr="00207811">
              <w:rPr>
                <w:sz w:val="22"/>
                <w:szCs w:val="22"/>
              </w:rPr>
              <w:t>Depreciation Expense</w:t>
            </w:r>
          </w:p>
        </w:tc>
        <w:tc>
          <w:tcPr>
            <w:tcW w:w="270" w:type="dxa"/>
            <w:tcBorders>
              <w:left w:val="nil"/>
            </w:tcBorders>
          </w:tcPr>
          <w:p w:rsidR="00207811" w:rsidRPr="00207811" w:rsidP="00207811" w14:paraId="423F1D81" w14:textId="77777777">
            <w:pPr>
              <w:rPr>
                <w:sz w:val="22"/>
                <w:szCs w:val="22"/>
              </w:rPr>
            </w:pPr>
          </w:p>
        </w:tc>
        <w:tc>
          <w:tcPr>
            <w:tcW w:w="1345" w:type="dxa"/>
            <w:tcBorders>
              <w:bottom w:val="single" w:sz="4" w:space="0" w:color="auto"/>
            </w:tcBorders>
          </w:tcPr>
          <w:p w:rsidR="00207811" w:rsidRPr="00207811" w:rsidP="00207811" w14:paraId="0A5BBC34" w14:textId="77777777">
            <w:pPr>
              <w:jc w:val="right"/>
              <w:rPr>
                <w:sz w:val="22"/>
                <w:szCs w:val="22"/>
              </w:rPr>
            </w:pPr>
            <w:r w:rsidRPr="00207811">
              <w:rPr>
                <w:sz w:val="22"/>
                <w:szCs w:val="22"/>
              </w:rPr>
              <w:t>(24,781)</w:t>
            </w:r>
          </w:p>
        </w:tc>
      </w:tr>
      <w:tr w14:paraId="45C34EEC" w14:textId="77777777" w:rsidTr="00D93A8D">
        <w:tblPrEx>
          <w:tblW w:w="0" w:type="auto"/>
          <w:jc w:val="center"/>
          <w:tblLook w:val="04A0"/>
        </w:tblPrEx>
        <w:trPr>
          <w:jc w:val="center"/>
        </w:trPr>
        <w:tc>
          <w:tcPr>
            <w:tcW w:w="3865" w:type="dxa"/>
          </w:tcPr>
          <w:p w:rsidR="00207811" w:rsidRPr="00207811" w:rsidP="00207811" w14:paraId="1A447EA5" w14:textId="77777777">
            <w:pPr>
              <w:rPr>
                <w:sz w:val="22"/>
                <w:szCs w:val="22"/>
              </w:rPr>
            </w:pPr>
            <w:r w:rsidRPr="00207811">
              <w:rPr>
                <w:sz w:val="22"/>
                <w:szCs w:val="22"/>
              </w:rPr>
              <w:t>Balance at End of Year</w:t>
            </w:r>
          </w:p>
        </w:tc>
        <w:tc>
          <w:tcPr>
            <w:tcW w:w="270" w:type="dxa"/>
            <w:tcBorders>
              <w:left w:val="nil"/>
            </w:tcBorders>
          </w:tcPr>
          <w:p w:rsidR="00207811" w:rsidRPr="00207811" w:rsidP="00207811" w14:paraId="50BB3E5B" w14:textId="77777777">
            <w:pPr>
              <w:rPr>
                <w:sz w:val="22"/>
                <w:szCs w:val="22"/>
              </w:rPr>
            </w:pPr>
          </w:p>
        </w:tc>
        <w:tc>
          <w:tcPr>
            <w:tcW w:w="1345" w:type="dxa"/>
            <w:tcBorders>
              <w:top w:val="single" w:sz="4" w:space="0" w:color="auto"/>
              <w:bottom w:val="double" w:sz="4" w:space="0" w:color="auto"/>
            </w:tcBorders>
          </w:tcPr>
          <w:p w:rsidR="00207811" w:rsidRPr="00207811" w:rsidP="00207811" w14:paraId="3A540EA9" w14:textId="77777777">
            <w:pPr>
              <w:ind w:right="72"/>
              <w:jc w:val="right"/>
              <w:rPr>
                <w:sz w:val="22"/>
                <w:szCs w:val="22"/>
              </w:rPr>
            </w:pPr>
            <w:r w:rsidRPr="00207811">
              <w:rPr>
                <w:sz w:val="22"/>
                <w:szCs w:val="22"/>
              </w:rPr>
              <w:t>$    110,050</w:t>
            </w:r>
          </w:p>
        </w:tc>
      </w:tr>
      <w:tr w14:paraId="5451741E" w14:textId="77777777" w:rsidTr="00D93A8D">
        <w:tblPrEx>
          <w:tblW w:w="0" w:type="auto"/>
          <w:jc w:val="center"/>
          <w:tblLook w:val="04A0"/>
        </w:tblPrEx>
        <w:trPr>
          <w:jc w:val="center"/>
        </w:trPr>
        <w:tc>
          <w:tcPr>
            <w:tcW w:w="3865" w:type="dxa"/>
          </w:tcPr>
          <w:p w:rsidR="00207811" w:rsidRPr="00207811" w:rsidP="00207811" w14:paraId="70B7924B" w14:textId="77777777">
            <w:pPr>
              <w:rPr>
                <w:sz w:val="16"/>
                <w:szCs w:val="16"/>
              </w:rPr>
            </w:pPr>
          </w:p>
        </w:tc>
        <w:tc>
          <w:tcPr>
            <w:tcW w:w="270" w:type="dxa"/>
            <w:tcBorders>
              <w:left w:val="nil"/>
            </w:tcBorders>
          </w:tcPr>
          <w:p w:rsidR="00207811" w:rsidRPr="00207811" w:rsidP="00207811" w14:paraId="4D7429ED" w14:textId="77777777">
            <w:pPr>
              <w:rPr>
                <w:sz w:val="16"/>
                <w:szCs w:val="16"/>
              </w:rPr>
            </w:pPr>
          </w:p>
        </w:tc>
        <w:tc>
          <w:tcPr>
            <w:tcW w:w="1345" w:type="dxa"/>
          </w:tcPr>
          <w:p w:rsidR="00207811" w:rsidRPr="00207811" w:rsidP="00207811" w14:paraId="7C794B7A" w14:textId="77777777">
            <w:pPr>
              <w:jc w:val="right"/>
              <w:rPr>
                <w:sz w:val="16"/>
                <w:szCs w:val="16"/>
              </w:rPr>
            </w:pPr>
          </w:p>
        </w:tc>
      </w:tr>
    </w:tbl>
    <w:p w:rsidR="00207811" w:rsidRPr="00207811" w:rsidP="00207811" w14:paraId="53E072D9" w14:textId="77777777">
      <w:pPr>
        <w:jc w:val="both"/>
        <w:rPr>
          <w:sz w:val="22"/>
          <w:szCs w:val="22"/>
        </w:rPr>
      </w:pPr>
    </w:p>
    <w:p w:rsidR="00207811" w:rsidRPr="00207811" w:rsidP="00207811" w14:paraId="64A2C167" w14:textId="77777777">
      <w:pPr>
        <w:jc w:val="both"/>
        <w:rPr>
          <w:sz w:val="22"/>
          <w:szCs w:val="22"/>
        </w:rPr>
      </w:pPr>
      <w:r w:rsidRPr="00207811">
        <w:rPr>
          <w:sz w:val="22"/>
          <w:szCs w:val="22"/>
        </w:rPr>
        <w:t>The following table summarizes total PP&amp;E and accumulated depreciation by major class as of September 30, 2025.</w:t>
      </w:r>
    </w:p>
    <w:p w:rsidR="00207811" w:rsidRPr="00207811" w:rsidP="00207811" w14:paraId="52E26CB3" w14:textId="77777777">
      <w:pPr>
        <w:jc w:val="center"/>
        <w:rPr>
          <w:sz w:val="22"/>
          <w:szCs w:val="22"/>
        </w:rPr>
      </w:pPr>
    </w:p>
    <w:tbl>
      <w:tblPr>
        <w:tblStyle w:val="TableGrid12"/>
        <w:tblW w:w="0" w:type="auto"/>
        <w:jc w:val="center"/>
        <w:tblLook w:val="04A0"/>
      </w:tblPr>
      <w:tblGrid>
        <w:gridCol w:w="2605"/>
        <w:gridCol w:w="1350"/>
        <w:gridCol w:w="1530"/>
        <w:gridCol w:w="1350"/>
      </w:tblGrid>
      <w:tr w14:paraId="7143920F" w14:textId="77777777" w:rsidTr="00D93A8D">
        <w:tblPrEx>
          <w:tblW w:w="0" w:type="auto"/>
          <w:jc w:val="center"/>
          <w:tblLook w:val="04A0"/>
        </w:tblPrEx>
        <w:trPr>
          <w:jc w:val="center"/>
        </w:trPr>
        <w:tc>
          <w:tcPr>
            <w:tcW w:w="2605" w:type="dxa"/>
            <w:vAlign w:val="center"/>
          </w:tcPr>
          <w:p w:rsidR="00207811" w:rsidRPr="00207811" w:rsidP="00207811" w14:paraId="5370F887" w14:textId="77777777">
            <w:pPr>
              <w:rPr>
                <w:sz w:val="22"/>
                <w:szCs w:val="22"/>
              </w:rPr>
            </w:pPr>
            <w:r w:rsidRPr="00207811">
              <w:rPr>
                <w:sz w:val="22"/>
                <w:szCs w:val="22"/>
              </w:rPr>
              <w:t>FY 2025</w:t>
            </w:r>
          </w:p>
        </w:tc>
        <w:tc>
          <w:tcPr>
            <w:tcW w:w="1350" w:type="dxa"/>
          </w:tcPr>
          <w:p w:rsidR="00207811" w:rsidRPr="00207811" w:rsidP="00207811" w14:paraId="2FFB234B" w14:textId="77777777">
            <w:pPr>
              <w:jc w:val="center"/>
              <w:rPr>
                <w:sz w:val="22"/>
                <w:szCs w:val="22"/>
                <w:u w:val="single"/>
              </w:rPr>
            </w:pPr>
          </w:p>
        </w:tc>
        <w:tc>
          <w:tcPr>
            <w:tcW w:w="1530" w:type="dxa"/>
          </w:tcPr>
          <w:p w:rsidR="00207811" w:rsidRPr="00207811" w:rsidP="00207811" w14:paraId="5085BC54" w14:textId="77777777">
            <w:pPr>
              <w:jc w:val="center"/>
              <w:rPr>
                <w:sz w:val="22"/>
                <w:szCs w:val="22"/>
              </w:rPr>
            </w:pPr>
          </w:p>
        </w:tc>
        <w:tc>
          <w:tcPr>
            <w:tcW w:w="1350" w:type="dxa"/>
          </w:tcPr>
          <w:p w:rsidR="00207811" w:rsidRPr="00207811" w:rsidP="00207811" w14:paraId="3596B251" w14:textId="77777777">
            <w:pPr>
              <w:jc w:val="center"/>
              <w:rPr>
                <w:sz w:val="22"/>
                <w:szCs w:val="22"/>
              </w:rPr>
            </w:pPr>
          </w:p>
        </w:tc>
      </w:tr>
      <w:tr w14:paraId="5651D861" w14:textId="77777777" w:rsidTr="00D93A8D">
        <w:tblPrEx>
          <w:tblW w:w="0" w:type="auto"/>
          <w:jc w:val="center"/>
          <w:tblLook w:val="04A0"/>
        </w:tblPrEx>
        <w:trPr>
          <w:jc w:val="center"/>
        </w:trPr>
        <w:tc>
          <w:tcPr>
            <w:tcW w:w="2605" w:type="dxa"/>
            <w:vAlign w:val="center"/>
          </w:tcPr>
          <w:p w:rsidR="00207811" w:rsidRPr="00207811" w:rsidP="00207811" w14:paraId="484731F9" w14:textId="77777777">
            <w:pPr>
              <w:rPr>
                <w:sz w:val="22"/>
                <w:szCs w:val="22"/>
                <w:u w:val="single"/>
              </w:rPr>
            </w:pPr>
            <w:r w:rsidRPr="00207811">
              <w:rPr>
                <w:sz w:val="22"/>
                <w:szCs w:val="22"/>
                <w:u w:val="single"/>
              </w:rPr>
              <w:t>Major Class</w:t>
            </w:r>
          </w:p>
        </w:tc>
        <w:tc>
          <w:tcPr>
            <w:tcW w:w="1350" w:type="dxa"/>
            <w:vAlign w:val="center"/>
          </w:tcPr>
          <w:p w:rsidR="00207811" w:rsidRPr="00207811" w:rsidP="00207811" w14:paraId="6E550647" w14:textId="77777777">
            <w:pPr>
              <w:jc w:val="center"/>
              <w:rPr>
                <w:sz w:val="22"/>
                <w:szCs w:val="22"/>
                <w:u w:val="single"/>
              </w:rPr>
            </w:pPr>
            <w:r w:rsidRPr="00207811">
              <w:rPr>
                <w:sz w:val="22"/>
                <w:szCs w:val="22"/>
                <w:u w:val="single"/>
              </w:rPr>
              <w:t>Cost</w:t>
            </w:r>
          </w:p>
        </w:tc>
        <w:tc>
          <w:tcPr>
            <w:tcW w:w="1530" w:type="dxa"/>
            <w:vAlign w:val="center"/>
          </w:tcPr>
          <w:p w:rsidR="00207811" w:rsidRPr="00207811" w:rsidP="00207811" w14:paraId="4EDED66A" w14:textId="77777777">
            <w:pPr>
              <w:jc w:val="center"/>
              <w:rPr>
                <w:sz w:val="22"/>
                <w:szCs w:val="22"/>
                <w:u w:val="single"/>
              </w:rPr>
            </w:pPr>
            <w:r w:rsidRPr="00207811">
              <w:rPr>
                <w:sz w:val="22"/>
                <w:szCs w:val="22"/>
                <w:u w:val="single"/>
              </w:rPr>
              <w:t>Accumulated depreciation</w:t>
            </w:r>
          </w:p>
        </w:tc>
        <w:tc>
          <w:tcPr>
            <w:tcW w:w="1350" w:type="dxa"/>
            <w:vAlign w:val="center"/>
          </w:tcPr>
          <w:p w:rsidR="00207811" w:rsidRPr="00207811" w:rsidP="00207811" w14:paraId="55D48DD4" w14:textId="77777777">
            <w:pPr>
              <w:jc w:val="center"/>
              <w:rPr>
                <w:sz w:val="22"/>
                <w:szCs w:val="22"/>
                <w:u w:val="single"/>
              </w:rPr>
            </w:pPr>
            <w:r w:rsidRPr="00207811">
              <w:rPr>
                <w:sz w:val="22"/>
                <w:szCs w:val="22"/>
                <w:u w:val="single"/>
              </w:rPr>
              <w:t>Book value, net</w:t>
            </w:r>
          </w:p>
        </w:tc>
      </w:tr>
      <w:tr w14:paraId="2E4B7319" w14:textId="77777777" w:rsidTr="00D93A8D">
        <w:tblPrEx>
          <w:tblW w:w="0" w:type="auto"/>
          <w:jc w:val="center"/>
          <w:tblLook w:val="04A0"/>
        </w:tblPrEx>
        <w:trPr>
          <w:jc w:val="center"/>
        </w:trPr>
        <w:tc>
          <w:tcPr>
            <w:tcW w:w="2605" w:type="dxa"/>
          </w:tcPr>
          <w:p w:rsidR="00207811" w:rsidRPr="00207811" w:rsidP="00207811" w14:paraId="1CE6DD54" w14:textId="77777777">
            <w:pPr>
              <w:rPr>
                <w:sz w:val="22"/>
                <w:szCs w:val="22"/>
              </w:rPr>
            </w:pPr>
            <w:r w:rsidRPr="00207811">
              <w:rPr>
                <w:sz w:val="22"/>
                <w:szCs w:val="22"/>
              </w:rPr>
              <w:t>Land</w:t>
            </w:r>
          </w:p>
        </w:tc>
        <w:tc>
          <w:tcPr>
            <w:tcW w:w="1350" w:type="dxa"/>
          </w:tcPr>
          <w:p w:rsidR="00207811" w:rsidRPr="00207811" w:rsidP="00207811" w14:paraId="5FC59C0E" w14:textId="77777777">
            <w:pPr>
              <w:jc w:val="right"/>
              <w:rPr>
                <w:sz w:val="22"/>
                <w:szCs w:val="22"/>
              </w:rPr>
            </w:pPr>
            <w:r w:rsidRPr="00207811">
              <w:rPr>
                <w:sz w:val="22"/>
                <w:szCs w:val="22"/>
              </w:rPr>
              <w:t>$         1,431</w:t>
            </w:r>
          </w:p>
        </w:tc>
        <w:tc>
          <w:tcPr>
            <w:tcW w:w="1530" w:type="dxa"/>
          </w:tcPr>
          <w:p w:rsidR="00207811" w:rsidRPr="00207811" w:rsidP="00207811" w14:paraId="3B00BC4C" w14:textId="77777777">
            <w:pPr>
              <w:ind w:right="72"/>
              <w:jc w:val="right"/>
              <w:rPr>
                <w:sz w:val="22"/>
                <w:szCs w:val="22"/>
              </w:rPr>
            </w:pPr>
            <w:r w:rsidRPr="00207811">
              <w:rPr>
                <w:sz w:val="22"/>
                <w:szCs w:val="22"/>
              </w:rPr>
              <w:t>$                   -</w:t>
            </w:r>
          </w:p>
        </w:tc>
        <w:tc>
          <w:tcPr>
            <w:tcW w:w="1350" w:type="dxa"/>
          </w:tcPr>
          <w:p w:rsidR="00207811" w:rsidRPr="00207811" w:rsidP="00207811" w14:paraId="26448913" w14:textId="77777777">
            <w:pPr>
              <w:jc w:val="right"/>
              <w:rPr>
                <w:sz w:val="22"/>
                <w:szCs w:val="22"/>
              </w:rPr>
            </w:pPr>
            <w:r w:rsidRPr="00207811">
              <w:rPr>
                <w:sz w:val="22"/>
                <w:szCs w:val="22"/>
              </w:rPr>
              <w:t>$         1,431</w:t>
            </w:r>
          </w:p>
        </w:tc>
      </w:tr>
      <w:tr w14:paraId="3D8923B5" w14:textId="77777777" w:rsidTr="00D93A8D">
        <w:tblPrEx>
          <w:tblW w:w="0" w:type="auto"/>
          <w:jc w:val="center"/>
          <w:tblLook w:val="04A0"/>
        </w:tblPrEx>
        <w:trPr>
          <w:jc w:val="center"/>
        </w:trPr>
        <w:tc>
          <w:tcPr>
            <w:tcW w:w="2605" w:type="dxa"/>
          </w:tcPr>
          <w:p w:rsidR="00207811" w:rsidRPr="00207811" w:rsidP="00207811" w14:paraId="1F8B4DB7" w14:textId="77777777">
            <w:pPr>
              <w:rPr>
                <w:sz w:val="22"/>
                <w:szCs w:val="22"/>
              </w:rPr>
            </w:pPr>
            <w:r w:rsidRPr="00207811">
              <w:rPr>
                <w:sz w:val="22"/>
                <w:szCs w:val="22"/>
              </w:rPr>
              <w:t>Buildings</w:t>
            </w:r>
          </w:p>
        </w:tc>
        <w:tc>
          <w:tcPr>
            <w:tcW w:w="1350" w:type="dxa"/>
          </w:tcPr>
          <w:p w:rsidR="00207811" w:rsidRPr="00207811" w:rsidP="00207811" w14:paraId="3E3131D5" w14:textId="77777777">
            <w:pPr>
              <w:jc w:val="right"/>
              <w:rPr>
                <w:sz w:val="22"/>
                <w:szCs w:val="22"/>
              </w:rPr>
            </w:pPr>
            <w:r w:rsidRPr="00207811">
              <w:rPr>
                <w:sz w:val="22"/>
                <w:szCs w:val="22"/>
              </w:rPr>
              <w:t>18,970</w:t>
            </w:r>
          </w:p>
        </w:tc>
        <w:tc>
          <w:tcPr>
            <w:tcW w:w="1530" w:type="dxa"/>
          </w:tcPr>
          <w:p w:rsidR="00207811" w:rsidRPr="00207811" w:rsidP="00207811" w14:paraId="005195BE" w14:textId="77777777">
            <w:pPr>
              <w:jc w:val="right"/>
              <w:rPr>
                <w:sz w:val="22"/>
                <w:szCs w:val="22"/>
              </w:rPr>
            </w:pPr>
            <w:r w:rsidRPr="00207811">
              <w:rPr>
                <w:sz w:val="22"/>
                <w:szCs w:val="22"/>
              </w:rPr>
              <w:t>(7,157)</w:t>
            </w:r>
          </w:p>
        </w:tc>
        <w:tc>
          <w:tcPr>
            <w:tcW w:w="1350" w:type="dxa"/>
          </w:tcPr>
          <w:p w:rsidR="00207811" w:rsidRPr="00207811" w:rsidP="00207811" w14:paraId="54EA59F0" w14:textId="77777777">
            <w:pPr>
              <w:jc w:val="right"/>
              <w:rPr>
                <w:sz w:val="22"/>
                <w:szCs w:val="22"/>
              </w:rPr>
            </w:pPr>
            <w:r w:rsidRPr="00207811">
              <w:rPr>
                <w:sz w:val="22"/>
                <w:szCs w:val="22"/>
              </w:rPr>
              <w:t>11,813</w:t>
            </w:r>
          </w:p>
        </w:tc>
      </w:tr>
      <w:tr w14:paraId="6142BA3B" w14:textId="77777777" w:rsidTr="00D93A8D">
        <w:tblPrEx>
          <w:tblW w:w="0" w:type="auto"/>
          <w:jc w:val="center"/>
          <w:tblLook w:val="04A0"/>
        </w:tblPrEx>
        <w:trPr>
          <w:jc w:val="center"/>
        </w:trPr>
        <w:tc>
          <w:tcPr>
            <w:tcW w:w="2605" w:type="dxa"/>
          </w:tcPr>
          <w:p w:rsidR="00207811" w:rsidRPr="00207811" w:rsidP="00207811" w14:paraId="512B9E9C" w14:textId="77777777">
            <w:pPr>
              <w:rPr>
                <w:sz w:val="22"/>
                <w:szCs w:val="22"/>
              </w:rPr>
            </w:pPr>
            <w:r w:rsidRPr="00207811">
              <w:rPr>
                <w:sz w:val="22"/>
                <w:szCs w:val="22"/>
              </w:rPr>
              <w:t>Equipment</w:t>
            </w:r>
          </w:p>
        </w:tc>
        <w:tc>
          <w:tcPr>
            <w:tcW w:w="1350" w:type="dxa"/>
          </w:tcPr>
          <w:p w:rsidR="00207811" w:rsidRPr="00207811" w:rsidP="00207811" w14:paraId="1170A7EF" w14:textId="77777777">
            <w:pPr>
              <w:jc w:val="right"/>
              <w:rPr>
                <w:sz w:val="22"/>
                <w:szCs w:val="22"/>
              </w:rPr>
            </w:pPr>
            <w:r w:rsidRPr="00207811">
              <w:rPr>
                <w:sz w:val="22"/>
                <w:szCs w:val="22"/>
              </w:rPr>
              <w:t>48,473</w:t>
            </w:r>
          </w:p>
        </w:tc>
        <w:tc>
          <w:tcPr>
            <w:tcW w:w="1530" w:type="dxa"/>
          </w:tcPr>
          <w:p w:rsidR="00207811" w:rsidRPr="00207811" w:rsidP="00207811" w14:paraId="29E72676" w14:textId="77777777">
            <w:pPr>
              <w:jc w:val="right"/>
              <w:rPr>
                <w:sz w:val="22"/>
                <w:szCs w:val="22"/>
              </w:rPr>
            </w:pPr>
            <w:r w:rsidRPr="00207811">
              <w:rPr>
                <w:sz w:val="22"/>
                <w:szCs w:val="22"/>
              </w:rPr>
              <w:t>(45,639)</w:t>
            </w:r>
          </w:p>
        </w:tc>
        <w:tc>
          <w:tcPr>
            <w:tcW w:w="1350" w:type="dxa"/>
          </w:tcPr>
          <w:p w:rsidR="00207811" w:rsidRPr="00207811" w:rsidP="00207811" w14:paraId="23BB3DE8" w14:textId="77777777">
            <w:pPr>
              <w:jc w:val="right"/>
              <w:rPr>
                <w:sz w:val="22"/>
                <w:szCs w:val="22"/>
              </w:rPr>
            </w:pPr>
            <w:r w:rsidRPr="00207811">
              <w:rPr>
                <w:sz w:val="22"/>
                <w:szCs w:val="22"/>
              </w:rPr>
              <w:t>2,834</w:t>
            </w:r>
          </w:p>
        </w:tc>
      </w:tr>
      <w:tr w14:paraId="03C61CCD" w14:textId="77777777" w:rsidTr="00D93A8D">
        <w:tblPrEx>
          <w:tblW w:w="0" w:type="auto"/>
          <w:jc w:val="center"/>
          <w:tblLook w:val="04A0"/>
        </w:tblPrEx>
        <w:trPr>
          <w:jc w:val="center"/>
        </w:trPr>
        <w:tc>
          <w:tcPr>
            <w:tcW w:w="2605" w:type="dxa"/>
          </w:tcPr>
          <w:p w:rsidR="00207811" w:rsidRPr="00207811" w:rsidP="00207811" w14:paraId="57EF582D" w14:textId="77777777">
            <w:pPr>
              <w:rPr>
                <w:sz w:val="22"/>
                <w:szCs w:val="22"/>
              </w:rPr>
            </w:pPr>
            <w:r w:rsidRPr="00207811">
              <w:rPr>
                <w:sz w:val="22"/>
                <w:szCs w:val="22"/>
              </w:rPr>
              <w:t>Leasehold Improvements</w:t>
            </w:r>
          </w:p>
        </w:tc>
        <w:tc>
          <w:tcPr>
            <w:tcW w:w="1350" w:type="dxa"/>
          </w:tcPr>
          <w:p w:rsidR="00207811" w:rsidRPr="00207811" w:rsidP="00207811" w14:paraId="1416A206" w14:textId="77777777">
            <w:pPr>
              <w:jc w:val="right"/>
              <w:rPr>
                <w:sz w:val="22"/>
                <w:szCs w:val="22"/>
              </w:rPr>
            </w:pPr>
            <w:r w:rsidRPr="00207811">
              <w:rPr>
                <w:sz w:val="22"/>
                <w:szCs w:val="22"/>
              </w:rPr>
              <w:t>20,909</w:t>
            </w:r>
          </w:p>
        </w:tc>
        <w:tc>
          <w:tcPr>
            <w:tcW w:w="1530" w:type="dxa"/>
          </w:tcPr>
          <w:p w:rsidR="00207811" w:rsidRPr="00207811" w:rsidP="00207811" w14:paraId="43527454" w14:textId="77777777">
            <w:pPr>
              <w:jc w:val="right"/>
              <w:rPr>
                <w:sz w:val="22"/>
                <w:szCs w:val="22"/>
              </w:rPr>
            </w:pPr>
            <w:r w:rsidRPr="00207811">
              <w:rPr>
                <w:sz w:val="22"/>
                <w:szCs w:val="22"/>
              </w:rPr>
              <w:t>(13,910)</w:t>
            </w:r>
          </w:p>
        </w:tc>
        <w:tc>
          <w:tcPr>
            <w:tcW w:w="1350" w:type="dxa"/>
          </w:tcPr>
          <w:p w:rsidR="00207811" w:rsidRPr="00207811" w:rsidP="00207811" w14:paraId="4D45A48A" w14:textId="77777777">
            <w:pPr>
              <w:jc w:val="right"/>
              <w:rPr>
                <w:sz w:val="22"/>
                <w:szCs w:val="22"/>
              </w:rPr>
            </w:pPr>
            <w:r w:rsidRPr="00207811">
              <w:rPr>
                <w:sz w:val="22"/>
                <w:szCs w:val="22"/>
              </w:rPr>
              <w:t>6,999</w:t>
            </w:r>
          </w:p>
        </w:tc>
      </w:tr>
      <w:tr w14:paraId="30F1967F" w14:textId="77777777" w:rsidTr="00D93A8D">
        <w:tblPrEx>
          <w:tblW w:w="0" w:type="auto"/>
          <w:jc w:val="center"/>
          <w:tblLook w:val="04A0"/>
        </w:tblPrEx>
        <w:trPr>
          <w:jc w:val="center"/>
        </w:trPr>
        <w:tc>
          <w:tcPr>
            <w:tcW w:w="2605" w:type="dxa"/>
          </w:tcPr>
          <w:p w:rsidR="00207811" w:rsidRPr="00207811" w:rsidP="00207811" w14:paraId="624B8FB4" w14:textId="77777777">
            <w:pPr>
              <w:rPr>
                <w:sz w:val="22"/>
                <w:szCs w:val="22"/>
              </w:rPr>
            </w:pPr>
            <w:r w:rsidRPr="00207811">
              <w:rPr>
                <w:sz w:val="22"/>
                <w:szCs w:val="22"/>
              </w:rPr>
              <w:t>Software</w:t>
            </w:r>
          </w:p>
        </w:tc>
        <w:tc>
          <w:tcPr>
            <w:tcW w:w="1350" w:type="dxa"/>
          </w:tcPr>
          <w:p w:rsidR="00207811" w:rsidRPr="00207811" w:rsidP="00207811" w14:paraId="07D4E52E" w14:textId="77777777">
            <w:pPr>
              <w:jc w:val="right"/>
              <w:rPr>
                <w:sz w:val="22"/>
                <w:szCs w:val="22"/>
              </w:rPr>
            </w:pPr>
            <w:r w:rsidRPr="00207811">
              <w:rPr>
                <w:sz w:val="22"/>
                <w:szCs w:val="22"/>
              </w:rPr>
              <w:t>301,458</w:t>
            </w:r>
          </w:p>
        </w:tc>
        <w:tc>
          <w:tcPr>
            <w:tcW w:w="1530" w:type="dxa"/>
          </w:tcPr>
          <w:p w:rsidR="00207811" w:rsidRPr="00207811" w:rsidP="00207811" w14:paraId="0D68C1B2" w14:textId="77777777">
            <w:pPr>
              <w:jc w:val="right"/>
              <w:rPr>
                <w:sz w:val="22"/>
                <w:szCs w:val="22"/>
              </w:rPr>
            </w:pPr>
            <w:r w:rsidRPr="00207811">
              <w:rPr>
                <w:sz w:val="22"/>
                <w:szCs w:val="22"/>
              </w:rPr>
              <w:t>(283,314)</w:t>
            </w:r>
          </w:p>
        </w:tc>
        <w:tc>
          <w:tcPr>
            <w:tcW w:w="1350" w:type="dxa"/>
          </w:tcPr>
          <w:p w:rsidR="00207811" w:rsidRPr="00207811" w:rsidP="00207811" w14:paraId="06DB950C" w14:textId="77777777">
            <w:pPr>
              <w:jc w:val="right"/>
              <w:rPr>
                <w:sz w:val="22"/>
                <w:szCs w:val="22"/>
              </w:rPr>
            </w:pPr>
            <w:r w:rsidRPr="00207811">
              <w:rPr>
                <w:sz w:val="22"/>
                <w:szCs w:val="22"/>
              </w:rPr>
              <w:t>18,144</w:t>
            </w:r>
          </w:p>
        </w:tc>
      </w:tr>
      <w:tr w14:paraId="3F7EF209" w14:textId="77777777" w:rsidTr="00D93A8D">
        <w:tblPrEx>
          <w:tblW w:w="0" w:type="auto"/>
          <w:jc w:val="center"/>
          <w:tblLook w:val="04A0"/>
        </w:tblPrEx>
        <w:trPr>
          <w:jc w:val="center"/>
        </w:trPr>
        <w:tc>
          <w:tcPr>
            <w:tcW w:w="2605" w:type="dxa"/>
          </w:tcPr>
          <w:p w:rsidR="00207811" w:rsidRPr="00207811" w:rsidP="00207811" w14:paraId="3F275543" w14:textId="77777777">
            <w:pPr>
              <w:rPr>
                <w:sz w:val="22"/>
                <w:szCs w:val="22"/>
              </w:rPr>
            </w:pPr>
            <w:r w:rsidRPr="00207811">
              <w:rPr>
                <w:sz w:val="22"/>
                <w:szCs w:val="22"/>
              </w:rPr>
              <w:t>Software In Development</w:t>
            </w:r>
          </w:p>
        </w:tc>
        <w:tc>
          <w:tcPr>
            <w:tcW w:w="1350" w:type="dxa"/>
            <w:tcBorders>
              <w:bottom w:val="single" w:sz="4" w:space="0" w:color="auto"/>
            </w:tcBorders>
          </w:tcPr>
          <w:p w:rsidR="00207811" w:rsidRPr="00207811" w:rsidP="00207811" w14:paraId="62FEBDFC" w14:textId="77777777">
            <w:pPr>
              <w:jc w:val="right"/>
              <w:rPr>
                <w:sz w:val="22"/>
                <w:szCs w:val="22"/>
              </w:rPr>
            </w:pPr>
            <w:r w:rsidRPr="00207811">
              <w:rPr>
                <w:sz w:val="22"/>
                <w:szCs w:val="22"/>
              </w:rPr>
              <w:t>68,829</w:t>
            </w:r>
          </w:p>
        </w:tc>
        <w:tc>
          <w:tcPr>
            <w:tcW w:w="1530" w:type="dxa"/>
            <w:tcBorders>
              <w:bottom w:val="single" w:sz="4" w:space="0" w:color="auto"/>
            </w:tcBorders>
          </w:tcPr>
          <w:p w:rsidR="00207811" w:rsidRPr="00207811" w:rsidP="00207811" w14:paraId="61CB53CC" w14:textId="77777777">
            <w:pPr>
              <w:ind w:right="72"/>
              <w:jc w:val="right"/>
              <w:rPr>
                <w:sz w:val="22"/>
                <w:szCs w:val="22"/>
              </w:rPr>
            </w:pPr>
            <w:r w:rsidRPr="00207811">
              <w:rPr>
                <w:sz w:val="22"/>
                <w:szCs w:val="22"/>
              </w:rPr>
              <w:t>-</w:t>
            </w:r>
          </w:p>
        </w:tc>
        <w:tc>
          <w:tcPr>
            <w:tcW w:w="1350" w:type="dxa"/>
            <w:tcBorders>
              <w:bottom w:val="single" w:sz="4" w:space="0" w:color="auto"/>
            </w:tcBorders>
          </w:tcPr>
          <w:p w:rsidR="00207811" w:rsidRPr="00207811" w:rsidP="00207811" w14:paraId="505A9E7D" w14:textId="77777777">
            <w:pPr>
              <w:jc w:val="right"/>
              <w:rPr>
                <w:sz w:val="22"/>
                <w:szCs w:val="22"/>
              </w:rPr>
            </w:pPr>
            <w:r w:rsidRPr="00207811">
              <w:rPr>
                <w:sz w:val="22"/>
                <w:szCs w:val="22"/>
              </w:rPr>
              <w:t>68,829</w:t>
            </w:r>
          </w:p>
        </w:tc>
      </w:tr>
      <w:tr w14:paraId="22CB69C4" w14:textId="77777777" w:rsidTr="00D93A8D">
        <w:tblPrEx>
          <w:tblW w:w="0" w:type="auto"/>
          <w:jc w:val="center"/>
          <w:tblLook w:val="04A0"/>
        </w:tblPrEx>
        <w:trPr>
          <w:jc w:val="center"/>
        </w:trPr>
        <w:tc>
          <w:tcPr>
            <w:tcW w:w="2605" w:type="dxa"/>
          </w:tcPr>
          <w:p w:rsidR="00207811" w:rsidRPr="00207811" w:rsidP="00207811" w14:paraId="041807D5" w14:textId="77777777">
            <w:pPr>
              <w:rPr>
                <w:sz w:val="22"/>
                <w:szCs w:val="22"/>
              </w:rPr>
            </w:pPr>
            <w:r w:rsidRPr="00207811">
              <w:rPr>
                <w:sz w:val="22"/>
                <w:szCs w:val="22"/>
              </w:rPr>
              <w:t>Total</w:t>
            </w:r>
          </w:p>
        </w:tc>
        <w:tc>
          <w:tcPr>
            <w:tcW w:w="1350" w:type="dxa"/>
            <w:tcBorders>
              <w:top w:val="single" w:sz="4" w:space="0" w:color="auto"/>
              <w:bottom w:val="double" w:sz="4" w:space="0" w:color="auto"/>
            </w:tcBorders>
          </w:tcPr>
          <w:p w:rsidR="00207811" w:rsidRPr="00207811" w:rsidP="00207811" w14:paraId="28F13193" w14:textId="77777777">
            <w:pPr>
              <w:jc w:val="right"/>
              <w:rPr>
                <w:sz w:val="22"/>
                <w:szCs w:val="22"/>
              </w:rPr>
            </w:pPr>
            <w:r w:rsidRPr="00207811">
              <w:rPr>
                <w:sz w:val="22"/>
                <w:szCs w:val="22"/>
              </w:rPr>
              <w:t>$     460,070</w:t>
            </w:r>
          </w:p>
        </w:tc>
        <w:tc>
          <w:tcPr>
            <w:tcW w:w="1530" w:type="dxa"/>
            <w:tcBorders>
              <w:top w:val="single" w:sz="4" w:space="0" w:color="auto"/>
              <w:bottom w:val="double" w:sz="4" w:space="0" w:color="auto"/>
            </w:tcBorders>
          </w:tcPr>
          <w:p w:rsidR="00207811" w:rsidRPr="00207811" w:rsidP="00207811" w14:paraId="48079AE9" w14:textId="77777777">
            <w:pPr>
              <w:jc w:val="right"/>
              <w:rPr>
                <w:sz w:val="22"/>
                <w:szCs w:val="22"/>
              </w:rPr>
            </w:pPr>
            <w:r w:rsidRPr="00207811">
              <w:rPr>
                <w:sz w:val="22"/>
                <w:szCs w:val="22"/>
              </w:rPr>
              <w:t>$      (350,020)</w:t>
            </w:r>
          </w:p>
        </w:tc>
        <w:tc>
          <w:tcPr>
            <w:tcW w:w="1350" w:type="dxa"/>
            <w:tcBorders>
              <w:top w:val="single" w:sz="4" w:space="0" w:color="auto"/>
              <w:bottom w:val="double" w:sz="4" w:space="0" w:color="auto"/>
            </w:tcBorders>
          </w:tcPr>
          <w:p w:rsidR="00207811" w:rsidRPr="00207811" w:rsidP="00207811" w14:paraId="66CEB38F" w14:textId="77777777">
            <w:pPr>
              <w:jc w:val="right"/>
              <w:rPr>
                <w:sz w:val="22"/>
                <w:szCs w:val="22"/>
              </w:rPr>
            </w:pPr>
            <w:r w:rsidRPr="00207811">
              <w:rPr>
                <w:sz w:val="22"/>
                <w:szCs w:val="22"/>
              </w:rPr>
              <w:t>$     110,050</w:t>
            </w:r>
          </w:p>
        </w:tc>
      </w:tr>
      <w:tr w14:paraId="76D0BE38" w14:textId="77777777" w:rsidTr="00D93A8D">
        <w:tblPrEx>
          <w:tblW w:w="0" w:type="auto"/>
          <w:jc w:val="center"/>
          <w:tblLook w:val="04A0"/>
        </w:tblPrEx>
        <w:trPr>
          <w:jc w:val="center"/>
        </w:trPr>
        <w:tc>
          <w:tcPr>
            <w:tcW w:w="2605" w:type="dxa"/>
          </w:tcPr>
          <w:p w:rsidR="00207811" w:rsidRPr="00207811" w:rsidP="00207811" w14:paraId="70A53E7F" w14:textId="77777777">
            <w:pPr>
              <w:rPr>
                <w:sz w:val="22"/>
                <w:szCs w:val="22"/>
              </w:rPr>
            </w:pPr>
          </w:p>
        </w:tc>
        <w:tc>
          <w:tcPr>
            <w:tcW w:w="1350" w:type="dxa"/>
            <w:tcBorders>
              <w:top w:val="double" w:sz="4" w:space="0" w:color="auto"/>
            </w:tcBorders>
          </w:tcPr>
          <w:p w:rsidR="00207811" w:rsidRPr="00207811" w:rsidP="00207811" w14:paraId="0E5B741E" w14:textId="77777777">
            <w:pPr>
              <w:jc w:val="right"/>
              <w:rPr>
                <w:sz w:val="22"/>
                <w:szCs w:val="22"/>
              </w:rPr>
            </w:pPr>
          </w:p>
        </w:tc>
        <w:tc>
          <w:tcPr>
            <w:tcW w:w="1530" w:type="dxa"/>
            <w:tcBorders>
              <w:top w:val="double" w:sz="4" w:space="0" w:color="auto"/>
            </w:tcBorders>
          </w:tcPr>
          <w:p w:rsidR="00207811" w:rsidRPr="00207811" w:rsidP="00207811" w14:paraId="65825E9D" w14:textId="77777777">
            <w:pPr>
              <w:jc w:val="right"/>
              <w:rPr>
                <w:sz w:val="22"/>
                <w:szCs w:val="22"/>
              </w:rPr>
            </w:pPr>
          </w:p>
        </w:tc>
        <w:tc>
          <w:tcPr>
            <w:tcW w:w="1350" w:type="dxa"/>
            <w:tcBorders>
              <w:top w:val="double" w:sz="4" w:space="0" w:color="auto"/>
            </w:tcBorders>
          </w:tcPr>
          <w:p w:rsidR="00207811" w:rsidRPr="00207811" w:rsidP="00207811" w14:paraId="5574A452" w14:textId="77777777">
            <w:pPr>
              <w:jc w:val="right"/>
              <w:rPr>
                <w:sz w:val="22"/>
                <w:szCs w:val="22"/>
              </w:rPr>
            </w:pPr>
          </w:p>
        </w:tc>
      </w:tr>
    </w:tbl>
    <w:p w:rsidR="00207811" w:rsidRPr="00207811" w:rsidP="00207811" w14:paraId="411E61C8" w14:textId="77777777">
      <w:pPr>
        <w:jc w:val="center"/>
        <w:rPr>
          <w:sz w:val="22"/>
          <w:szCs w:val="22"/>
        </w:rPr>
      </w:pPr>
    </w:p>
    <w:p w:rsidR="00207811" w:rsidRPr="00207811" w:rsidP="00207811" w14:paraId="4599FDD0" w14:textId="77777777">
      <w:pPr>
        <w:jc w:val="both"/>
        <w:rPr>
          <w:sz w:val="22"/>
          <w:szCs w:val="22"/>
        </w:rPr>
      </w:pPr>
    </w:p>
    <w:p w:rsidR="00207811" w:rsidRPr="00207811" w:rsidP="00207811" w14:paraId="3FAAEB54" w14:textId="77777777">
      <w:pPr>
        <w:jc w:val="both"/>
        <w:rPr>
          <w:sz w:val="22"/>
          <w:szCs w:val="22"/>
        </w:rPr>
      </w:pPr>
    </w:p>
    <w:p w:rsidR="00207811" w:rsidRPr="00207811" w:rsidP="00207811" w14:paraId="1B12DC65" w14:textId="77777777">
      <w:pPr>
        <w:jc w:val="both"/>
        <w:rPr>
          <w:sz w:val="22"/>
          <w:szCs w:val="22"/>
        </w:rPr>
      </w:pPr>
    </w:p>
    <w:p w:rsidR="00207811" w:rsidRPr="00207811" w:rsidP="00207811" w14:paraId="3D9DD13A" w14:textId="77777777">
      <w:pPr>
        <w:jc w:val="both"/>
        <w:rPr>
          <w:sz w:val="22"/>
          <w:szCs w:val="22"/>
        </w:rPr>
      </w:pPr>
    </w:p>
    <w:p w:rsidR="00207811" w:rsidRPr="00207811" w:rsidP="00207811" w14:paraId="6A70834C" w14:textId="77777777">
      <w:pPr>
        <w:jc w:val="both"/>
        <w:rPr>
          <w:sz w:val="22"/>
          <w:szCs w:val="22"/>
        </w:rPr>
      </w:pPr>
    </w:p>
    <w:p w:rsidR="00207811" w:rsidRPr="00207811" w:rsidP="00207811" w14:paraId="7969E3A8" w14:textId="77777777">
      <w:pPr>
        <w:jc w:val="both"/>
        <w:rPr>
          <w:sz w:val="22"/>
          <w:szCs w:val="22"/>
        </w:rPr>
      </w:pPr>
    </w:p>
    <w:p w:rsidR="00207811" w:rsidRPr="00207811" w:rsidP="00207811" w14:paraId="6E4F9732" w14:textId="77777777">
      <w:pPr>
        <w:jc w:val="both"/>
        <w:rPr>
          <w:sz w:val="22"/>
          <w:szCs w:val="22"/>
        </w:rPr>
      </w:pPr>
    </w:p>
    <w:p w:rsidR="00207811" w:rsidRPr="00207811" w:rsidP="00207811" w14:paraId="7E683A0B" w14:textId="77777777">
      <w:pPr>
        <w:jc w:val="both"/>
        <w:rPr>
          <w:sz w:val="22"/>
          <w:szCs w:val="22"/>
        </w:rPr>
      </w:pPr>
    </w:p>
    <w:p w:rsidR="00207811" w:rsidRPr="00207811" w:rsidP="00207811" w14:paraId="7F87B2F3" w14:textId="77777777">
      <w:pPr>
        <w:jc w:val="both"/>
        <w:rPr>
          <w:sz w:val="22"/>
          <w:szCs w:val="22"/>
        </w:rPr>
      </w:pPr>
    </w:p>
    <w:p w:rsidR="00207811" w:rsidRPr="00207811" w:rsidP="00207811" w14:paraId="13E91754" w14:textId="77777777">
      <w:pPr>
        <w:jc w:val="both"/>
        <w:rPr>
          <w:sz w:val="22"/>
          <w:szCs w:val="22"/>
        </w:rPr>
      </w:pPr>
    </w:p>
    <w:p w:rsidR="00207811" w:rsidRPr="00207811" w:rsidP="00207811" w14:paraId="7030BF83" w14:textId="77777777">
      <w:pPr>
        <w:jc w:val="both"/>
        <w:rPr>
          <w:sz w:val="22"/>
          <w:szCs w:val="22"/>
        </w:rPr>
      </w:pPr>
    </w:p>
    <w:p w:rsidR="00207811" w:rsidRPr="00207811" w:rsidP="00207811" w14:paraId="1930082B" w14:textId="77777777">
      <w:pPr>
        <w:jc w:val="both"/>
        <w:rPr>
          <w:sz w:val="22"/>
          <w:szCs w:val="22"/>
        </w:rPr>
      </w:pPr>
    </w:p>
    <w:p w:rsidR="00207811" w:rsidRPr="00207811" w:rsidP="00207811" w14:paraId="62B60B99" w14:textId="77777777">
      <w:pPr>
        <w:jc w:val="both"/>
        <w:rPr>
          <w:sz w:val="22"/>
          <w:szCs w:val="22"/>
        </w:rPr>
      </w:pPr>
    </w:p>
    <w:p w:rsidR="00207811" w:rsidRPr="00207811" w:rsidP="00207811" w14:paraId="7CE7CC56" w14:textId="77777777">
      <w:pPr>
        <w:jc w:val="both"/>
        <w:rPr>
          <w:sz w:val="22"/>
          <w:szCs w:val="22"/>
        </w:rPr>
      </w:pPr>
    </w:p>
    <w:p w:rsidR="00207811" w:rsidRPr="00207811" w:rsidP="00207811" w14:paraId="639704B0" w14:textId="77777777">
      <w:pPr>
        <w:jc w:val="both"/>
        <w:rPr>
          <w:sz w:val="22"/>
          <w:szCs w:val="22"/>
        </w:rPr>
      </w:pPr>
    </w:p>
    <w:p w:rsidR="00207811" w:rsidRPr="00207811" w:rsidP="00207811" w14:paraId="339BC11C" w14:textId="77777777">
      <w:pPr>
        <w:jc w:val="both"/>
        <w:rPr>
          <w:sz w:val="22"/>
          <w:szCs w:val="22"/>
        </w:rPr>
      </w:pPr>
    </w:p>
    <w:p w:rsidR="00207811" w:rsidRPr="00207811" w:rsidP="00207811" w14:paraId="794C1B98" w14:textId="77777777">
      <w:pPr>
        <w:jc w:val="both"/>
        <w:rPr>
          <w:sz w:val="22"/>
          <w:szCs w:val="22"/>
        </w:rPr>
      </w:pPr>
    </w:p>
    <w:p w:rsidR="00207811" w:rsidRPr="00207811" w:rsidP="00207811" w14:paraId="77CBA0E8" w14:textId="77777777">
      <w:pPr>
        <w:jc w:val="both"/>
        <w:rPr>
          <w:sz w:val="22"/>
          <w:szCs w:val="22"/>
        </w:rPr>
      </w:pPr>
    </w:p>
    <w:p w:rsidR="00207811" w:rsidRPr="00207811" w:rsidP="00207811" w14:paraId="59E8ECE0" w14:textId="77777777">
      <w:pPr>
        <w:jc w:val="both"/>
        <w:rPr>
          <w:sz w:val="22"/>
          <w:szCs w:val="22"/>
        </w:rPr>
      </w:pPr>
    </w:p>
    <w:p w:rsidR="00207811" w:rsidRPr="00207811" w:rsidP="00207811" w14:paraId="57D42C4F" w14:textId="77777777">
      <w:pPr>
        <w:jc w:val="both"/>
        <w:rPr>
          <w:sz w:val="22"/>
          <w:szCs w:val="22"/>
        </w:rPr>
      </w:pPr>
    </w:p>
    <w:p w:rsidR="00207811" w:rsidRPr="00207811" w:rsidP="00207811" w14:paraId="01B4B1DD" w14:textId="77777777">
      <w:pPr>
        <w:jc w:val="both"/>
        <w:rPr>
          <w:sz w:val="22"/>
          <w:szCs w:val="22"/>
        </w:rPr>
      </w:pPr>
    </w:p>
    <w:p w:rsidR="00207811" w:rsidRPr="00207811" w:rsidP="00207811" w14:paraId="0C1812A0"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 xml:space="preserve">Note 6 – </w:t>
      </w:r>
      <w:bookmarkStart w:id="157" w:name="_Hlk201042477"/>
      <w:r w:rsidRPr="00207811">
        <w:rPr>
          <w:b/>
          <w:bCs/>
          <w:sz w:val="22"/>
          <w:szCs w:val="22"/>
        </w:rPr>
        <w:t>Liabilities Not Covered by Budgetary Resources</w:t>
      </w:r>
      <w:bookmarkEnd w:id="157"/>
    </w:p>
    <w:p w:rsidR="00207811" w:rsidRPr="00207811" w:rsidP="00207811" w14:paraId="128F4578" w14:textId="77777777">
      <w:pPr>
        <w:jc w:val="both"/>
        <w:rPr>
          <w:sz w:val="22"/>
          <w:szCs w:val="22"/>
        </w:rPr>
      </w:pPr>
    </w:p>
    <w:p w:rsidR="00207811" w:rsidRPr="00207811" w:rsidP="00207811" w14:paraId="1D68BFB0" w14:textId="77777777">
      <w:pPr>
        <w:jc w:val="both"/>
        <w:rPr>
          <w:sz w:val="22"/>
          <w:szCs w:val="22"/>
        </w:rPr>
      </w:pPr>
      <w:r w:rsidRPr="00207811">
        <w:rPr>
          <w:sz w:val="22"/>
          <w:szCs w:val="22"/>
        </w:rPr>
        <w:t xml:space="preserve">The following summarizes Liabilities Not Covered by Budgetary Resources as of September 30, 2025:  </w:t>
      </w:r>
    </w:p>
    <w:p w:rsidR="00207811" w:rsidRPr="00207811" w:rsidP="00207811" w14:paraId="568E88E2" w14:textId="77777777">
      <w:pPr>
        <w:jc w:val="center"/>
        <w:rPr>
          <w:sz w:val="22"/>
          <w:szCs w:val="22"/>
        </w:rPr>
      </w:pPr>
      <w:r w:rsidRPr="00207811">
        <w:rPr>
          <w:noProof/>
        </w:rPr>
        <w:drawing>
          <wp:inline distT="0" distB="0" distL="0" distR="0">
            <wp:extent cx="4730115" cy="3646170"/>
            <wp:effectExtent l="0" t="0" r="0" b="0"/>
            <wp:docPr id="1534145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45129" name="Picture 10"/>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30115" cy="3646170"/>
                    </a:xfrm>
                    <a:prstGeom prst="rect">
                      <a:avLst/>
                    </a:prstGeom>
                    <a:noFill/>
                    <a:ln>
                      <a:noFill/>
                    </a:ln>
                  </pic:spPr>
                </pic:pic>
              </a:graphicData>
            </a:graphic>
          </wp:inline>
        </w:drawing>
      </w:r>
    </w:p>
    <w:p w:rsidR="00207811" w:rsidRPr="00207811" w:rsidP="00207811" w14:paraId="3526224D" w14:textId="77777777">
      <w:pPr>
        <w:jc w:val="both"/>
        <w:rPr>
          <w:sz w:val="22"/>
          <w:szCs w:val="22"/>
        </w:rPr>
      </w:pPr>
      <w:r w:rsidRPr="00207811">
        <w:rPr>
          <w:sz w:val="22"/>
          <w:szCs w:val="22"/>
        </w:rPr>
        <w:t xml:space="preserve">Liabilities not covered by budgetary resources are liabilities incurred that are not covered by realized budgetary resources as of the Balance Sheet date.  </w:t>
      </w:r>
    </w:p>
    <w:p w:rsidR="00207811" w:rsidRPr="00207811" w:rsidP="00207811" w14:paraId="12FEBE30" w14:textId="77777777">
      <w:pPr>
        <w:jc w:val="both"/>
        <w:rPr>
          <w:sz w:val="22"/>
          <w:szCs w:val="22"/>
        </w:rPr>
      </w:pPr>
    </w:p>
    <w:p w:rsidR="00207811" w:rsidRPr="00207811" w:rsidP="00207811" w14:paraId="51D30596" w14:textId="77777777">
      <w:pPr>
        <w:jc w:val="both"/>
        <w:rPr>
          <w:sz w:val="22"/>
          <w:szCs w:val="22"/>
        </w:rPr>
      </w:pPr>
    </w:p>
    <w:p w:rsidR="00207811" w:rsidRPr="00207811" w:rsidP="00207811" w14:paraId="278A36A4"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Note 7 – Debt</w:t>
      </w:r>
    </w:p>
    <w:p w:rsidR="00207811" w:rsidRPr="00207811" w:rsidP="00207811" w14:paraId="7C5F01AC" w14:textId="77777777">
      <w:pPr>
        <w:rPr>
          <w:sz w:val="22"/>
          <w:szCs w:val="22"/>
        </w:rPr>
      </w:pPr>
    </w:p>
    <w:p w:rsidR="00207811" w:rsidRPr="00207811" w:rsidP="00207811" w14:paraId="63D02A5A" w14:textId="77777777">
      <w:pPr>
        <w:jc w:val="both"/>
        <w:rPr>
          <w:sz w:val="22"/>
          <w:szCs w:val="22"/>
        </w:rPr>
      </w:pPr>
      <w:r w:rsidRPr="00207811">
        <w:rPr>
          <w:sz w:val="22"/>
          <w:szCs w:val="22"/>
        </w:rPr>
        <w:t>In FY 2025, the SCRP was authorized in Section 5404 of the NDAA (Pub. L. 118-159) to borrow $3,080,000 from the Treasury.  The Commission borrowed the full amount authorized under the statute.  The repayment of the borrowings and interest will be from auction 113 proceeds.  See Note 1 Q</w:t>
      </w:r>
      <w:r w:rsidRPr="00207811">
        <w:rPr>
          <w:b/>
          <w:bCs/>
          <w:sz w:val="22"/>
          <w:szCs w:val="22"/>
        </w:rPr>
        <w:t xml:space="preserve"> </w:t>
      </w:r>
      <w:r w:rsidRPr="00207811">
        <w:rPr>
          <w:sz w:val="22"/>
          <w:szCs w:val="22"/>
        </w:rPr>
        <w:t xml:space="preserve">Secure &amp; Trusted Communications Networks Reimbursement Program or the Supply Chain Reimbursement Program (SCRP) for more information. </w:t>
      </w:r>
    </w:p>
    <w:p w:rsidR="00207811" w:rsidRPr="00207811" w:rsidP="00207811" w14:paraId="43F5BD19" w14:textId="77777777">
      <w:pPr>
        <w:rPr>
          <w:b/>
          <w:bCs/>
          <w:sz w:val="22"/>
          <w:szCs w:val="22"/>
        </w:rPr>
      </w:pPr>
    </w:p>
    <w:tbl>
      <w:tblPr>
        <w:tblStyle w:val="TableGrid12"/>
        <w:tblW w:w="9445" w:type="dxa"/>
        <w:tblLook w:val="04A0"/>
      </w:tblPr>
      <w:tblGrid>
        <w:gridCol w:w="3240"/>
        <w:gridCol w:w="1256"/>
        <w:gridCol w:w="1323"/>
        <w:gridCol w:w="1218"/>
        <w:gridCol w:w="1086"/>
        <w:gridCol w:w="1322"/>
      </w:tblGrid>
      <w:tr w14:paraId="70D00402" w14:textId="77777777" w:rsidTr="00D93A8D">
        <w:tblPrEx>
          <w:tblW w:w="9445" w:type="dxa"/>
          <w:tblLook w:val="04A0"/>
        </w:tblPrEx>
        <w:tc>
          <w:tcPr>
            <w:tcW w:w="3240" w:type="dxa"/>
          </w:tcPr>
          <w:p w:rsidR="00207811" w:rsidRPr="00207811" w:rsidP="00207811" w14:paraId="45645255" w14:textId="77777777">
            <w:pPr>
              <w:rPr>
                <w:sz w:val="22"/>
                <w:szCs w:val="22"/>
                <w:u w:val="single"/>
              </w:rPr>
            </w:pPr>
            <w:r w:rsidRPr="00207811">
              <w:rPr>
                <w:sz w:val="22"/>
                <w:szCs w:val="22"/>
                <w:u w:val="single"/>
              </w:rPr>
              <w:t>FY 2025</w:t>
            </w:r>
          </w:p>
        </w:tc>
        <w:tc>
          <w:tcPr>
            <w:tcW w:w="1256" w:type="dxa"/>
          </w:tcPr>
          <w:p w:rsidR="00207811" w:rsidRPr="00207811" w:rsidP="00207811" w14:paraId="34B75016" w14:textId="77777777">
            <w:pPr>
              <w:rPr>
                <w:sz w:val="22"/>
                <w:szCs w:val="22"/>
              </w:rPr>
            </w:pPr>
          </w:p>
        </w:tc>
        <w:tc>
          <w:tcPr>
            <w:tcW w:w="1323" w:type="dxa"/>
          </w:tcPr>
          <w:p w:rsidR="00207811" w:rsidRPr="00207811" w:rsidP="00207811" w14:paraId="77882139" w14:textId="77777777">
            <w:pPr>
              <w:rPr>
                <w:sz w:val="22"/>
                <w:szCs w:val="22"/>
              </w:rPr>
            </w:pPr>
          </w:p>
        </w:tc>
        <w:tc>
          <w:tcPr>
            <w:tcW w:w="1218" w:type="dxa"/>
          </w:tcPr>
          <w:p w:rsidR="00207811" w:rsidRPr="00207811" w:rsidP="00207811" w14:paraId="3C6F819E" w14:textId="77777777">
            <w:pPr>
              <w:rPr>
                <w:sz w:val="22"/>
                <w:szCs w:val="22"/>
              </w:rPr>
            </w:pPr>
          </w:p>
        </w:tc>
        <w:tc>
          <w:tcPr>
            <w:tcW w:w="1086" w:type="dxa"/>
          </w:tcPr>
          <w:p w:rsidR="00207811" w:rsidRPr="00207811" w:rsidP="00207811" w14:paraId="1CCC5242" w14:textId="77777777">
            <w:pPr>
              <w:rPr>
                <w:sz w:val="22"/>
                <w:szCs w:val="22"/>
              </w:rPr>
            </w:pPr>
          </w:p>
        </w:tc>
        <w:tc>
          <w:tcPr>
            <w:tcW w:w="1322" w:type="dxa"/>
          </w:tcPr>
          <w:p w:rsidR="00207811" w:rsidRPr="00207811" w:rsidP="00207811" w14:paraId="657C68DE" w14:textId="77777777">
            <w:pPr>
              <w:rPr>
                <w:sz w:val="22"/>
                <w:szCs w:val="22"/>
              </w:rPr>
            </w:pPr>
          </w:p>
        </w:tc>
      </w:tr>
      <w:tr w14:paraId="135FA3BC" w14:textId="77777777" w:rsidTr="00D93A8D">
        <w:tblPrEx>
          <w:tblW w:w="9445" w:type="dxa"/>
          <w:tblLook w:val="04A0"/>
        </w:tblPrEx>
        <w:tc>
          <w:tcPr>
            <w:tcW w:w="3240" w:type="dxa"/>
            <w:tcBorders>
              <w:bottom w:val="single" w:sz="4" w:space="0" w:color="auto"/>
            </w:tcBorders>
            <w:vAlign w:val="center"/>
          </w:tcPr>
          <w:p w:rsidR="00207811" w:rsidRPr="00207811" w:rsidP="00207811" w14:paraId="7736A820" w14:textId="77777777">
            <w:pPr>
              <w:rPr>
                <w:sz w:val="22"/>
                <w:szCs w:val="22"/>
              </w:rPr>
            </w:pPr>
            <w:r w:rsidRPr="00207811">
              <w:rPr>
                <w:sz w:val="22"/>
                <w:szCs w:val="22"/>
              </w:rPr>
              <w:t>Source of Debt</w:t>
            </w:r>
          </w:p>
        </w:tc>
        <w:tc>
          <w:tcPr>
            <w:tcW w:w="1256" w:type="dxa"/>
            <w:tcBorders>
              <w:bottom w:val="single" w:sz="4" w:space="0" w:color="auto"/>
            </w:tcBorders>
            <w:vAlign w:val="center"/>
          </w:tcPr>
          <w:p w:rsidR="00207811" w:rsidRPr="00207811" w:rsidP="00207811" w14:paraId="06DCC6F2" w14:textId="77777777">
            <w:pPr>
              <w:jc w:val="center"/>
              <w:rPr>
                <w:sz w:val="22"/>
                <w:szCs w:val="22"/>
              </w:rPr>
            </w:pPr>
            <w:r w:rsidRPr="00207811">
              <w:rPr>
                <w:sz w:val="22"/>
                <w:szCs w:val="22"/>
              </w:rPr>
              <w:t>Beginning Balance</w:t>
            </w:r>
          </w:p>
        </w:tc>
        <w:tc>
          <w:tcPr>
            <w:tcW w:w="1323" w:type="dxa"/>
            <w:tcBorders>
              <w:bottom w:val="single" w:sz="4" w:space="0" w:color="auto"/>
            </w:tcBorders>
            <w:vAlign w:val="center"/>
          </w:tcPr>
          <w:p w:rsidR="00207811" w:rsidRPr="00207811" w:rsidP="00207811" w14:paraId="5EC8D401" w14:textId="77777777">
            <w:pPr>
              <w:jc w:val="center"/>
              <w:rPr>
                <w:sz w:val="22"/>
                <w:szCs w:val="22"/>
              </w:rPr>
            </w:pPr>
            <w:r w:rsidRPr="00207811">
              <w:rPr>
                <w:sz w:val="22"/>
                <w:szCs w:val="22"/>
              </w:rPr>
              <w:t>Borrowing</w:t>
            </w:r>
          </w:p>
        </w:tc>
        <w:tc>
          <w:tcPr>
            <w:tcW w:w="1218" w:type="dxa"/>
            <w:tcBorders>
              <w:bottom w:val="single" w:sz="4" w:space="0" w:color="auto"/>
            </w:tcBorders>
            <w:vAlign w:val="center"/>
          </w:tcPr>
          <w:p w:rsidR="00207811" w:rsidRPr="00207811" w:rsidP="00207811" w14:paraId="597A1D01" w14:textId="77777777">
            <w:pPr>
              <w:jc w:val="center"/>
              <w:rPr>
                <w:sz w:val="22"/>
                <w:szCs w:val="22"/>
              </w:rPr>
            </w:pPr>
            <w:r w:rsidRPr="00207811">
              <w:rPr>
                <w:sz w:val="22"/>
                <w:szCs w:val="22"/>
              </w:rPr>
              <w:t>Repayment</w:t>
            </w:r>
          </w:p>
        </w:tc>
        <w:tc>
          <w:tcPr>
            <w:tcW w:w="1086" w:type="dxa"/>
            <w:tcBorders>
              <w:bottom w:val="single" w:sz="4" w:space="0" w:color="auto"/>
            </w:tcBorders>
            <w:vAlign w:val="center"/>
          </w:tcPr>
          <w:p w:rsidR="00207811" w:rsidRPr="00207811" w:rsidP="00207811" w14:paraId="3CB785C2" w14:textId="77777777">
            <w:pPr>
              <w:jc w:val="center"/>
              <w:rPr>
                <w:sz w:val="22"/>
                <w:szCs w:val="22"/>
              </w:rPr>
            </w:pPr>
            <w:r w:rsidRPr="00207811">
              <w:rPr>
                <w:sz w:val="22"/>
                <w:szCs w:val="22"/>
              </w:rPr>
              <w:t>Interest</w:t>
            </w:r>
          </w:p>
        </w:tc>
        <w:tc>
          <w:tcPr>
            <w:tcW w:w="1322" w:type="dxa"/>
            <w:tcBorders>
              <w:bottom w:val="single" w:sz="4" w:space="0" w:color="auto"/>
            </w:tcBorders>
            <w:vAlign w:val="center"/>
          </w:tcPr>
          <w:p w:rsidR="00207811" w:rsidRPr="00207811" w:rsidP="00207811" w14:paraId="67932782" w14:textId="77777777">
            <w:pPr>
              <w:jc w:val="center"/>
              <w:rPr>
                <w:sz w:val="22"/>
                <w:szCs w:val="22"/>
              </w:rPr>
            </w:pPr>
            <w:r w:rsidRPr="00207811">
              <w:rPr>
                <w:sz w:val="22"/>
                <w:szCs w:val="22"/>
              </w:rPr>
              <w:t>Ending Balance</w:t>
            </w:r>
          </w:p>
        </w:tc>
      </w:tr>
      <w:tr w14:paraId="3BF07533" w14:textId="77777777" w:rsidTr="00D93A8D">
        <w:tblPrEx>
          <w:tblW w:w="9445" w:type="dxa"/>
          <w:tblLook w:val="04A0"/>
        </w:tblPrEx>
        <w:tc>
          <w:tcPr>
            <w:tcW w:w="3240" w:type="dxa"/>
            <w:tcBorders>
              <w:top w:val="single" w:sz="4" w:space="0" w:color="auto"/>
            </w:tcBorders>
          </w:tcPr>
          <w:p w:rsidR="00207811" w:rsidRPr="00207811" w:rsidP="00207811" w14:paraId="5719204A" w14:textId="77777777">
            <w:pPr>
              <w:jc w:val="both"/>
              <w:rPr>
                <w:sz w:val="22"/>
                <w:szCs w:val="22"/>
              </w:rPr>
            </w:pPr>
            <w:r w:rsidRPr="00207811">
              <w:rPr>
                <w:sz w:val="22"/>
                <w:szCs w:val="22"/>
              </w:rPr>
              <w:t>Debt Owed to Treasury other than the Federal Financing Bank</w:t>
            </w:r>
          </w:p>
        </w:tc>
        <w:tc>
          <w:tcPr>
            <w:tcW w:w="1256" w:type="dxa"/>
            <w:tcBorders>
              <w:top w:val="single" w:sz="4" w:space="0" w:color="auto"/>
            </w:tcBorders>
            <w:vAlign w:val="bottom"/>
          </w:tcPr>
          <w:p w:rsidR="00207811" w:rsidRPr="00207811" w:rsidP="00207811" w14:paraId="79F88B2D" w14:textId="77777777">
            <w:pPr>
              <w:jc w:val="right"/>
              <w:rPr>
                <w:sz w:val="22"/>
                <w:szCs w:val="22"/>
              </w:rPr>
            </w:pPr>
            <w:r w:rsidRPr="00207811">
              <w:rPr>
                <w:sz w:val="22"/>
                <w:szCs w:val="22"/>
              </w:rPr>
              <w:t>$              -</w:t>
            </w:r>
          </w:p>
        </w:tc>
        <w:tc>
          <w:tcPr>
            <w:tcW w:w="1323" w:type="dxa"/>
            <w:tcBorders>
              <w:top w:val="single" w:sz="4" w:space="0" w:color="auto"/>
            </w:tcBorders>
            <w:vAlign w:val="bottom"/>
          </w:tcPr>
          <w:p w:rsidR="00207811" w:rsidRPr="00207811" w:rsidP="00207811" w14:paraId="4F002473" w14:textId="77777777">
            <w:pPr>
              <w:jc w:val="right"/>
              <w:rPr>
                <w:sz w:val="22"/>
                <w:szCs w:val="22"/>
              </w:rPr>
            </w:pPr>
            <w:r w:rsidRPr="00207811">
              <w:rPr>
                <w:sz w:val="22"/>
                <w:szCs w:val="22"/>
              </w:rPr>
              <w:t>$ 3,080,000</w:t>
            </w:r>
          </w:p>
        </w:tc>
        <w:tc>
          <w:tcPr>
            <w:tcW w:w="1218" w:type="dxa"/>
            <w:tcBorders>
              <w:top w:val="single" w:sz="4" w:space="0" w:color="auto"/>
            </w:tcBorders>
            <w:vAlign w:val="bottom"/>
          </w:tcPr>
          <w:p w:rsidR="00207811" w:rsidRPr="00207811" w:rsidP="00207811" w14:paraId="53832738" w14:textId="77777777">
            <w:pPr>
              <w:jc w:val="right"/>
              <w:rPr>
                <w:sz w:val="22"/>
                <w:szCs w:val="22"/>
              </w:rPr>
            </w:pPr>
            <w:r w:rsidRPr="00207811">
              <w:rPr>
                <w:sz w:val="22"/>
                <w:szCs w:val="22"/>
              </w:rPr>
              <w:t>$              -</w:t>
            </w:r>
          </w:p>
        </w:tc>
        <w:tc>
          <w:tcPr>
            <w:tcW w:w="1086" w:type="dxa"/>
            <w:tcBorders>
              <w:top w:val="single" w:sz="4" w:space="0" w:color="auto"/>
            </w:tcBorders>
            <w:vAlign w:val="bottom"/>
          </w:tcPr>
          <w:p w:rsidR="00207811" w:rsidRPr="00207811" w:rsidP="00207811" w14:paraId="69846835" w14:textId="77777777">
            <w:pPr>
              <w:jc w:val="right"/>
              <w:rPr>
                <w:sz w:val="22"/>
                <w:szCs w:val="22"/>
              </w:rPr>
            </w:pPr>
            <w:r w:rsidRPr="00207811">
              <w:rPr>
                <w:sz w:val="22"/>
                <w:szCs w:val="22"/>
              </w:rPr>
              <w:t>$ 69,216</w:t>
            </w:r>
          </w:p>
        </w:tc>
        <w:tc>
          <w:tcPr>
            <w:tcW w:w="1322" w:type="dxa"/>
            <w:tcBorders>
              <w:top w:val="single" w:sz="4" w:space="0" w:color="auto"/>
            </w:tcBorders>
            <w:vAlign w:val="bottom"/>
          </w:tcPr>
          <w:p w:rsidR="00207811" w:rsidRPr="00207811" w:rsidP="00207811" w14:paraId="179EA36E" w14:textId="77777777">
            <w:pPr>
              <w:jc w:val="right"/>
              <w:rPr>
                <w:sz w:val="22"/>
                <w:szCs w:val="22"/>
              </w:rPr>
            </w:pPr>
            <w:r w:rsidRPr="00207811">
              <w:rPr>
                <w:sz w:val="22"/>
                <w:szCs w:val="22"/>
              </w:rPr>
              <w:t>$ 3,149,216</w:t>
            </w:r>
          </w:p>
        </w:tc>
      </w:tr>
      <w:tr w14:paraId="5F553671" w14:textId="77777777" w:rsidTr="00D93A8D">
        <w:tblPrEx>
          <w:tblW w:w="9445" w:type="dxa"/>
          <w:tblLook w:val="04A0"/>
        </w:tblPrEx>
        <w:tc>
          <w:tcPr>
            <w:tcW w:w="3240" w:type="dxa"/>
          </w:tcPr>
          <w:p w:rsidR="00207811" w:rsidRPr="00207811" w:rsidP="00207811" w14:paraId="12CCEEE3" w14:textId="77777777">
            <w:pPr>
              <w:rPr>
                <w:sz w:val="16"/>
                <w:szCs w:val="16"/>
              </w:rPr>
            </w:pPr>
          </w:p>
        </w:tc>
        <w:tc>
          <w:tcPr>
            <w:tcW w:w="1256" w:type="dxa"/>
          </w:tcPr>
          <w:p w:rsidR="00207811" w:rsidRPr="00207811" w:rsidP="00207811" w14:paraId="5AF52745" w14:textId="77777777">
            <w:pPr>
              <w:rPr>
                <w:sz w:val="16"/>
                <w:szCs w:val="16"/>
              </w:rPr>
            </w:pPr>
          </w:p>
        </w:tc>
        <w:tc>
          <w:tcPr>
            <w:tcW w:w="1323" w:type="dxa"/>
          </w:tcPr>
          <w:p w:rsidR="00207811" w:rsidRPr="00207811" w:rsidP="00207811" w14:paraId="09F073BC" w14:textId="77777777">
            <w:pPr>
              <w:rPr>
                <w:sz w:val="16"/>
                <w:szCs w:val="16"/>
              </w:rPr>
            </w:pPr>
          </w:p>
        </w:tc>
        <w:tc>
          <w:tcPr>
            <w:tcW w:w="1218" w:type="dxa"/>
          </w:tcPr>
          <w:p w:rsidR="00207811" w:rsidRPr="00207811" w:rsidP="00207811" w14:paraId="6894BBD3" w14:textId="77777777">
            <w:pPr>
              <w:rPr>
                <w:sz w:val="16"/>
                <w:szCs w:val="16"/>
              </w:rPr>
            </w:pPr>
          </w:p>
        </w:tc>
        <w:tc>
          <w:tcPr>
            <w:tcW w:w="1086" w:type="dxa"/>
          </w:tcPr>
          <w:p w:rsidR="00207811" w:rsidRPr="00207811" w:rsidP="00207811" w14:paraId="2CF68743" w14:textId="77777777">
            <w:pPr>
              <w:rPr>
                <w:sz w:val="16"/>
                <w:szCs w:val="16"/>
              </w:rPr>
            </w:pPr>
          </w:p>
        </w:tc>
        <w:tc>
          <w:tcPr>
            <w:tcW w:w="1322" w:type="dxa"/>
          </w:tcPr>
          <w:p w:rsidR="00207811" w:rsidRPr="00207811" w:rsidP="00207811" w14:paraId="08AFE79D" w14:textId="77777777">
            <w:pPr>
              <w:rPr>
                <w:sz w:val="16"/>
                <w:szCs w:val="16"/>
              </w:rPr>
            </w:pPr>
          </w:p>
        </w:tc>
      </w:tr>
    </w:tbl>
    <w:p w:rsidR="00207811" w:rsidRPr="00207811" w:rsidP="00207811" w14:paraId="63168708" w14:textId="77777777">
      <w:pPr>
        <w:rPr>
          <w:b/>
          <w:sz w:val="16"/>
          <w:szCs w:val="16"/>
        </w:rPr>
      </w:pPr>
    </w:p>
    <w:p w:rsidR="00207811" w:rsidRPr="00207811" w:rsidP="00207811" w14:paraId="72473304" w14:textId="77777777">
      <w:pPr>
        <w:rPr>
          <w:b/>
          <w:bCs/>
          <w:sz w:val="22"/>
          <w:szCs w:val="22"/>
        </w:rPr>
      </w:pPr>
    </w:p>
    <w:p w:rsidR="00207811" w:rsidRPr="00207811" w:rsidP="00207811" w14:paraId="307D1CFC" w14:textId="77777777">
      <w:pPr>
        <w:rPr>
          <w:b/>
          <w:bCs/>
          <w:sz w:val="22"/>
          <w:szCs w:val="22"/>
        </w:rPr>
      </w:pPr>
    </w:p>
    <w:p w:rsidR="00207811" w:rsidRPr="00207811" w:rsidP="00207811" w14:paraId="4ACDC531" w14:textId="77777777">
      <w:pPr>
        <w:rPr>
          <w:b/>
          <w:bCs/>
          <w:sz w:val="22"/>
          <w:szCs w:val="22"/>
        </w:rPr>
      </w:pPr>
    </w:p>
    <w:p w:rsidR="00207811" w:rsidRPr="00207811" w:rsidP="00207811" w14:paraId="5312B3E1" w14:textId="77777777">
      <w:pPr>
        <w:rPr>
          <w:b/>
          <w:bCs/>
          <w:sz w:val="22"/>
          <w:szCs w:val="22"/>
        </w:rPr>
      </w:pPr>
    </w:p>
    <w:p w:rsidR="00207811" w:rsidRPr="00207811" w:rsidP="00207811" w14:paraId="0F8B98BB" w14:textId="77777777">
      <w:pPr>
        <w:rPr>
          <w:b/>
          <w:bCs/>
          <w:sz w:val="22"/>
          <w:szCs w:val="22"/>
        </w:rPr>
      </w:pPr>
    </w:p>
    <w:p w:rsidR="00207811" w:rsidRPr="00207811" w:rsidP="00207811" w14:paraId="796EF72D" w14:textId="77777777">
      <w:pPr>
        <w:rPr>
          <w:b/>
          <w:bCs/>
          <w:sz w:val="22"/>
          <w:szCs w:val="22"/>
        </w:rPr>
      </w:pPr>
    </w:p>
    <w:p w:rsidR="00207811" w:rsidRPr="00207811" w:rsidP="00207811" w14:paraId="310D70DC" w14:textId="77777777">
      <w:pPr>
        <w:rPr>
          <w:b/>
          <w:bCs/>
          <w:sz w:val="22"/>
          <w:szCs w:val="22"/>
        </w:rPr>
      </w:pPr>
    </w:p>
    <w:p w:rsidR="00207811" w:rsidRPr="00207811" w:rsidP="00207811" w14:paraId="4573FA22"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Note 8 – Other Liabilities</w:t>
      </w:r>
    </w:p>
    <w:p w:rsidR="00207811" w:rsidRPr="00207811" w:rsidP="00207811" w14:paraId="0D4FD5E1" w14:textId="77777777">
      <w:pPr>
        <w:tabs>
          <w:tab w:val="left" w:pos="-1440"/>
        </w:tabs>
        <w:ind w:left="7200" w:hanging="7200"/>
        <w:jc w:val="both"/>
        <w:rPr>
          <w:sz w:val="22"/>
          <w:szCs w:val="22"/>
        </w:rPr>
      </w:pPr>
    </w:p>
    <w:p w:rsidR="00207811" w:rsidRPr="00207811" w:rsidP="00207811" w14:paraId="4ACCBEF4" w14:textId="77777777">
      <w:pPr>
        <w:tabs>
          <w:tab w:val="right" w:pos="9360"/>
        </w:tabs>
        <w:ind w:left="7200" w:hanging="7200"/>
        <w:jc w:val="both"/>
        <w:rPr>
          <w:sz w:val="22"/>
          <w:szCs w:val="22"/>
        </w:rPr>
      </w:pPr>
      <w:bookmarkStart w:id="158" w:name="_Hlk50644292"/>
      <w:r w:rsidRPr="00207811">
        <w:rPr>
          <w:sz w:val="22"/>
          <w:szCs w:val="22"/>
        </w:rPr>
        <w:t xml:space="preserve">The following summarizes Other Liabilities </w:t>
      </w:r>
      <w:bookmarkEnd w:id="158"/>
      <w:r w:rsidRPr="00207811">
        <w:rPr>
          <w:sz w:val="22"/>
          <w:szCs w:val="22"/>
        </w:rPr>
        <w:t>as of September 30, 2025:</w:t>
      </w:r>
    </w:p>
    <w:p w:rsidR="00207811" w:rsidRPr="00207811" w:rsidP="00207811" w14:paraId="2BC6628B" w14:textId="77777777">
      <w:pPr>
        <w:tabs>
          <w:tab w:val="right" w:pos="9360"/>
        </w:tabs>
        <w:ind w:left="7200" w:hanging="7200"/>
        <w:jc w:val="both"/>
        <w:rPr>
          <w:sz w:val="22"/>
          <w:szCs w:val="22"/>
        </w:rPr>
      </w:pPr>
    </w:p>
    <w:p w:rsidR="00207811" w:rsidRPr="00207811" w:rsidP="00207811" w14:paraId="74BF4868" w14:textId="77777777">
      <w:pPr>
        <w:jc w:val="center"/>
        <w:rPr>
          <w:sz w:val="22"/>
          <w:szCs w:val="22"/>
        </w:rPr>
      </w:pPr>
      <w:bookmarkStart w:id="159" w:name="_Hlk20917252"/>
      <w:r w:rsidRPr="00207811">
        <w:rPr>
          <w:noProof/>
        </w:rPr>
        <w:drawing>
          <wp:inline distT="0" distB="0" distL="0" distR="0">
            <wp:extent cx="3657600" cy="3041015"/>
            <wp:effectExtent l="0" t="0" r="0" b="0"/>
            <wp:docPr id="1993880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80910" name="Picture 1"/>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0" y="0"/>
                      <a:ext cx="3657600" cy="3041015"/>
                    </a:xfrm>
                    <a:prstGeom prst="rect">
                      <a:avLst/>
                    </a:prstGeom>
                    <a:noFill/>
                    <a:ln>
                      <a:noFill/>
                    </a:ln>
                  </pic:spPr>
                </pic:pic>
              </a:graphicData>
            </a:graphic>
          </wp:inline>
        </w:drawing>
      </w:r>
    </w:p>
    <w:p w:rsidR="00207811" w:rsidRPr="00207811" w:rsidP="00207811" w14:paraId="6949BCC8" w14:textId="77777777">
      <w:pPr>
        <w:rPr>
          <w:sz w:val="22"/>
          <w:szCs w:val="22"/>
        </w:rPr>
      </w:pPr>
    </w:p>
    <w:p w:rsidR="00207811" w:rsidRPr="00207811" w:rsidP="00207811" w14:paraId="4CDC405D" w14:textId="77777777">
      <w:pPr>
        <w:tabs>
          <w:tab w:val="left" w:pos="2880"/>
          <w:tab w:val="left" w:pos="5040"/>
          <w:tab w:val="left" w:pos="7200"/>
        </w:tabs>
        <w:jc w:val="both"/>
        <w:rPr>
          <w:sz w:val="22"/>
          <w:szCs w:val="22"/>
        </w:rPr>
      </w:pPr>
      <w:r w:rsidRPr="00207811">
        <w:rPr>
          <w:sz w:val="22"/>
          <w:szCs w:val="22"/>
        </w:rPr>
        <w:t xml:space="preserve">The Liability to the General Fund and Other Non-Entity Assets includes both cash collected, and net accounts receivable being held for transfer to the Treasury General Fund or other Federal agencies.  The Commission collects the following types of custodial revenue:  fines and forfeitures revenue, penalty revenue on regulatory fees and spectrum auctions program revenue.  </w:t>
      </w:r>
    </w:p>
    <w:bookmarkEnd w:id="159"/>
    <w:p w:rsidR="00207811" w:rsidRPr="00207811" w:rsidP="00207811" w14:paraId="389E055B" w14:textId="77777777">
      <w:pPr>
        <w:rPr>
          <w:sz w:val="22"/>
          <w:szCs w:val="22"/>
        </w:rPr>
      </w:pPr>
    </w:p>
    <w:p w:rsidR="00207811" w:rsidRPr="00207811" w:rsidP="00207811" w14:paraId="2140382C" w14:textId="77777777">
      <w:pPr>
        <w:jc w:val="both"/>
        <w:rPr>
          <w:sz w:val="22"/>
          <w:szCs w:val="22"/>
        </w:rPr>
      </w:pPr>
      <w:r w:rsidRPr="00207811">
        <w:rPr>
          <w:sz w:val="22"/>
          <w:szCs w:val="22"/>
        </w:rPr>
        <w:t xml:space="preserve">Prepaid Contributions include USF and TRS contribution overpayments that may be refunded or used to offset future payments.  Accrued Liabilities for USF and TRS primarily represent anticipated future payments for the Lifeline Program, and certain support mechanisms within the High Cost Program and </w:t>
      </w:r>
      <w:r w:rsidRPr="00207811">
        <w:rPr>
          <w:spacing w:val="-4"/>
          <w:kern w:val="16"/>
          <w:sz w:val="22"/>
          <w:szCs w:val="22"/>
        </w:rPr>
        <w:t>TRS</w:t>
      </w:r>
      <w:r w:rsidRPr="00207811">
        <w:rPr>
          <w:sz w:val="22"/>
          <w:szCs w:val="22"/>
        </w:rPr>
        <w:t xml:space="preserve">.  The obligations for these subsidies are not recognized until payment files are approved in the subsequent month.  </w:t>
      </w:r>
    </w:p>
    <w:p w:rsidR="00207811" w:rsidRPr="00207811" w:rsidP="00207811" w14:paraId="37B7A7BB" w14:textId="77777777"/>
    <w:p w:rsidR="00207811" w:rsidRPr="00207811" w:rsidP="00207811" w14:paraId="1BAA902C" w14:textId="77777777">
      <w:pPr>
        <w:jc w:val="both"/>
        <w:rPr>
          <w:sz w:val="22"/>
          <w:szCs w:val="22"/>
        </w:rPr>
      </w:pPr>
      <w:r w:rsidRPr="00207811">
        <w:rPr>
          <w:sz w:val="22"/>
          <w:szCs w:val="22"/>
        </w:rPr>
        <w:t>Deposit/Unapplied Liabilities include upfront auction payments received.  The remaining Other Liabilities primarily represent anticipated payments related to payroll and other services, Energy Saving Performance Contract, and funds received that are being held until proper application is determined.</w:t>
      </w:r>
    </w:p>
    <w:p w:rsidR="00207811" w:rsidRPr="00207811" w:rsidP="00207811" w14:paraId="79699649" w14:textId="77777777"/>
    <w:p w:rsidR="00207811" w:rsidRPr="00207811" w:rsidP="00207811" w14:paraId="62B77876" w14:textId="77777777"/>
    <w:p w:rsidR="00207811" w:rsidRPr="00207811" w:rsidP="00207811" w14:paraId="33953024"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Note 9 – Leases</w:t>
      </w:r>
    </w:p>
    <w:p w:rsidR="00207811" w:rsidRPr="00207811" w:rsidP="00207811" w14:paraId="7D64B6C8" w14:textId="77777777">
      <w:pPr>
        <w:jc w:val="both"/>
        <w:rPr>
          <w:sz w:val="22"/>
          <w:szCs w:val="22"/>
        </w:rPr>
      </w:pPr>
    </w:p>
    <w:p w:rsidR="00207811" w:rsidRPr="00207811" w:rsidP="00207811" w14:paraId="1BC51177" w14:textId="77777777">
      <w:pPr>
        <w:jc w:val="both"/>
      </w:pPr>
      <w:r w:rsidRPr="00207811">
        <w:rPr>
          <w:sz w:val="22"/>
          <w:szCs w:val="22"/>
        </w:rPr>
        <w:t>The Commission has occupancy agreements (OAs) for its headquarters building and field offices located throughout the United States and its territories, that house day-to-day mission operations.  The General Services Administration (GSA) leases commercial facilities and provides spaces in federal buildings for occupancy by the agency.  The OAs range from 12 months to 180 months, however, the OAs with the GSA are cancellable.  The annual operating lease/OA payments with GSA were $29,206.</w:t>
      </w:r>
    </w:p>
    <w:p w:rsidR="00207811" w:rsidRPr="00207811" w:rsidP="00207811" w14:paraId="723BD0FA" w14:textId="77777777"/>
    <w:p w:rsidR="00207811" w:rsidRPr="00207811" w:rsidP="00207811" w14:paraId="7BCD0359" w14:textId="77777777"/>
    <w:p w:rsidR="00207811" w:rsidRPr="00207811" w:rsidP="00207811" w14:paraId="03066958" w14:textId="77777777"/>
    <w:p w:rsidR="00207811" w:rsidRPr="00207811" w:rsidP="00207811" w14:paraId="2803F9C3" w14:textId="77777777"/>
    <w:p w:rsidR="00207811" w:rsidRPr="00207811" w:rsidP="00207811" w14:paraId="3B916870"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Note 10 – Commitments and Contingencies</w:t>
      </w:r>
    </w:p>
    <w:p w:rsidR="00207811" w:rsidRPr="00207811" w:rsidP="00207811" w14:paraId="54605CD0" w14:textId="77777777"/>
    <w:p w:rsidR="00207811" w:rsidRPr="00207811" w:rsidP="00207811" w14:paraId="0FD58662" w14:textId="77777777">
      <w:pPr>
        <w:jc w:val="both"/>
        <w:rPr>
          <w:bCs/>
          <w:kern w:val="16"/>
          <w:sz w:val="22"/>
          <w:szCs w:val="22"/>
        </w:rPr>
      </w:pPr>
      <w:r w:rsidRPr="00207811">
        <w:rPr>
          <w:bCs/>
          <w:kern w:val="16"/>
          <w:sz w:val="22"/>
          <w:szCs w:val="22"/>
        </w:rPr>
        <w:t xml:space="preserve">The Commission is a party in various administrative proceedings, legal actions, and claims brought by or against the agency.  The Commission, USAC, and the U.S. Department of Justice (DOJ) are investigating several cases and prosecuting others related to disbursements of universal service funds from its programs </w:t>
      </w:r>
      <w:bookmarkStart w:id="160" w:name="_Hlk181604446"/>
      <w:r w:rsidRPr="00207811">
        <w:rPr>
          <w:bCs/>
          <w:kern w:val="16"/>
          <w:sz w:val="22"/>
          <w:szCs w:val="22"/>
        </w:rPr>
        <w:t>which might result in future proceedings or actions.  Similarly, the Commission, the TRS Fund Administrator,</w:t>
      </w:r>
      <w:bookmarkEnd w:id="160"/>
      <w:r w:rsidRPr="00207811">
        <w:rPr>
          <w:bCs/>
          <w:kern w:val="16"/>
          <w:sz w:val="22"/>
          <w:szCs w:val="22"/>
        </w:rPr>
        <w:t xml:space="preserve"> and the DOJ are investigating several cases related to the TRS funds.</w:t>
      </w:r>
    </w:p>
    <w:p w:rsidR="00207811" w:rsidRPr="00207811" w:rsidP="00207811" w14:paraId="0D9129E2" w14:textId="77777777">
      <w:pPr>
        <w:jc w:val="both"/>
        <w:rPr>
          <w:bCs/>
          <w:kern w:val="16"/>
          <w:sz w:val="22"/>
          <w:szCs w:val="22"/>
        </w:rPr>
      </w:pPr>
    </w:p>
    <w:p w:rsidR="00207811" w:rsidRPr="00207811" w:rsidP="00207811" w14:paraId="15007322" w14:textId="77777777">
      <w:pPr>
        <w:jc w:val="both"/>
        <w:rPr>
          <w:bCs/>
          <w:kern w:val="16"/>
          <w:sz w:val="22"/>
          <w:szCs w:val="22"/>
        </w:rPr>
      </w:pPr>
      <w:r w:rsidRPr="00207811">
        <w:rPr>
          <w:bCs/>
          <w:kern w:val="16"/>
          <w:sz w:val="22"/>
          <w:szCs w:val="22"/>
        </w:rPr>
        <w:t xml:space="preserve">The complexity of these future actions precludes management from estimating the total amount of recovery that may result.  </w:t>
      </w:r>
    </w:p>
    <w:p w:rsidR="00207811" w:rsidRPr="00207811" w:rsidP="00207811" w14:paraId="4D4DA363" w14:textId="77777777">
      <w:pPr>
        <w:jc w:val="both"/>
        <w:rPr>
          <w:bCs/>
          <w:kern w:val="16"/>
          <w:sz w:val="22"/>
          <w:szCs w:val="22"/>
        </w:rPr>
      </w:pPr>
    </w:p>
    <w:p w:rsidR="00207811" w:rsidRPr="00207811" w:rsidP="00207811" w14:paraId="3681E41B" w14:textId="77777777">
      <w:pPr>
        <w:jc w:val="both"/>
        <w:rPr>
          <w:bCs/>
          <w:kern w:val="16"/>
          <w:sz w:val="22"/>
          <w:szCs w:val="22"/>
        </w:rPr>
      </w:pPr>
      <w:r w:rsidRPr="00207811">
        <w:rPr>
          <w:bCs/>
          <w:kern w:val="16"/>
          <w:sz w:val="22"/>
          <w:szCs w:val="22"/>
        </w:rPr>
        <w:t>In addition, there are certain operating leases and contracts that may contain provisions regarding contract termination costs upon early contract termination.  In management’s opinion, early contract termination will not materially affect the Commission’s consolidated financial statements.</w:t>
      </w:r>
    </w:p>
    <w:p w:rsidR="00207811" w:rsidRPr="00207811" w:rsidP="00207811" w14:paraId="3018C32A" w14:textId="77777777">
      <w:pPr>
        <w:jc w:val="both"/>
        <w:rPr>
          <w:bCs/>
          <w:kern w:val="16"/>
          <w:sz w:val="22"/>
          <w:szCs w:val="22"/>
        </w:rPr>
      </w:pPr>
    </w:p>
    <w:p w:rsidR="00207811" w:rsidRPr="00207811" w:rsidP="00207811" w14:paraId="4103F68D" w14:textId="77777777">
      <w:pPr>
        <w:jc w:val="both"/>
        <w:rPr>
          <w:sz w:val="22"/>
          <w:szCs w:val="22"/>
        </w:rPr>
      </w:pPr>
      <w:r w:rsidRPr="00207811">
        <w:rPr>
          <w:bCs/>
          <w:kern w:val="16"/>
          <w:sz w:val="22"/>
          <w:szCs w:val="22"/>
        </w:rPr>
        <w:t>As of September 30, 2025,</w:t>
      </w:r>
      <w:r w:rsidRPr="00207811">
        <w:rPr>
          <w:sz w:val="22"/>
          <w:szCs w:val="22"/>
        </w:rPr>
        <w:t xml:space="preserve"> the Commission has a reasonably possible contingent liability regarding a legal case pertaining to a forfeiture order. </w:t>
      </w:r>
    </w:p>
    <w:p w:rsidR="00207811" w:rsidRPr="00207811" w:rsidP="00207811" w14:paraId="50166653" w14:textId="77777777">
      <w:pPr>
        <w:jc w:val="both"/>
        <w:rPr>
          <w:bCs/>
          <w:kern w:val="16"/>
          <w:sz w:val="22"/>
          <w:szCs w:val="22"/>
        </w:rPr>
      </w:pPr>
    </w:p>
    <w:tbl>
      <w:tblPr>
        <w:tblStyle w:val="TableGrid1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0"/>
        <w:gridCol w:w="1170"/>
        <w:gridCol w:w="175"/>
        <w:gridCol w:w="455"/>
        <w:gridCol w:w="1255"/>
        <w:gridCol w:w="1260"/>
      </w:tblGrid>
      <w:tr w14:paraId="13086B43" w14:textId="77777777" w:rsidTr="00D93A8D">
        <w:tblPrEx>
          <w:tblW w:w="0" w:type="auto"/>
          <w:jc w:val="center"/>
          <w:tblLook w:val="04A0"/>
        </w:tblPrEx>
        <w:trPr>
          <w:jc w:val="center"/>
        </w:trPr>
        <w:tc>
          <w:tcPr>
            <w:tcW w:w="2790" w:type="dxa"/>
          </w:tcPr>
          <w:p w:rsidR="00207811" w:rsidRPr="00207811" w:rsidP="00207811" w14:paraId="06605599" w14:textId="77777777">
            <w:pPr>
              <w:jc w:val="both"/>
              <w:rPr>
                <w:bCs/>
                <w:kern w:val="16"/>
                <w:sz w:val="22"/>
                <w:szCs w:val="22"/>
                <w:u w:val="single"/>
              </w:rPr>
            </w:pPr>
          </w:p>
        </w:tc>
        <w:tc>
          <w:tcPr>
            <w:tcW w:w="1170" w:type="dxa"/>
          </w:tcPr>
          <w:p w:rsidR="00207811" w:rsidRPr="00207811" w:rsidP="00207811" w14:paraId="38C08116" w14:textId="77777777">
            <w:pPr>
              <w:jc w:val="center"/>
              <w:rPr>
                <w:bCs/>
                <w:kern w:val="16"/>
                <w:sz w:val="22"/>
                <w:szCs w:val="22"/>
              </w:rPr>
            </w:pPr>
            <w:r w:rsidRPr="00207811">
              <w:rPr>
                <w:bCs/>
                <w:kern w:val="16"/>
                <w:sz w:val="22"/>
                <w:szCs w:val="22"/>
              </w:rPr>
              <w:t>Accrued</w:t>
            </w:r>
          </w:p>
        </w:tc>
        <w:tc>
          <w:tcPr>
            <w:tcW w:w="630" w:type="dxa"/>
            <w:gridSpan w:val="2"/>
          </w:tcPr>
          <w:p w:rsidR="00207811" w:rsidRPr="00207811" w:rsidP="00207811" w14:paraId="4C24ECCD" w14:textId="77777777">
            <w:pPr>
              <w:jc w:val="both"/>
              <w:rPr>
                <w:bCs/>
                <w:kern w:val="16"/>
                <w:sz w:val="22"/>
                <w:szCs w:val="22"/>
              </w:rPr>
            </w:pPr>
          </w:p>
        </w:tc>
        <w:tc>
          <w:tcPr>
            <w:tcW w:w="2515" w:type="dxa"/>
            <w:gridSpan w:val="2"/>
          </w:tcPr>
          <w:p w:rsidR="00207811" w:rsidRPr="00207811" w:rsidP="00207811" w14:paraId="3F9D5D13" w14:textId="77777777">
            <w:pPr>
              <w:jc w:val="center"/>
              <w:rPr>
                <w:bCs/>
                <w:kern w:val="16"/>
                <w:sz w:val="22"/>
                <w:szCs w:val="22"/>
              </w:rPr>
            </w:pPr>
            <w:r w:rsidRPr="00207811">
              <w:rPr>
                <w:bCs/>
                <w:kern w:val="16"/>
                <w:sz w:val="22"/>
                <w:szCs w:val="22"/>
              </w:rPr>
              <w:t xml:space="preserve"> Estimated Range of Loss</w:t>
            </w:r>
          </w:p>
        </w:tc>
      </w:tr>
      <w:tr w14:paraId="58125BD2" w14:textId="77777777" w:rsidTr="00D93A8D">
        <w:tblPrEx>
          <w:tblW w:w="0" w:type="auto"/>
          <w:jc w:val="center"/>
          <w:tblLook w:val="04A0"/>
        </w:tblPrEx>
        <w:trPr>
          <w:jc w:val="center"/>
        </w:trPr>
        <w:tc>
          <w:tcPr>
            <w:tcW w:w="2790" w:type="dxa"/>
          </w:tcPr>
          <w:p w:rsidR="00207811" w:rsidRPr="00207811" w:rsidP="00207811" w14:paraId="45079626" w14:textId="77777777">
            <w:pPr>
              <w:jc w:val="both"/>
              <w:rPr>
                <w:bCs/>
                <w:kern w:val="16"/>
                <w:sz w:val="22"/>
                <w:szCs w:val="22"/>
              </w:rPr>
            </w:pPr>
            <w:r w:rsidRPr="00207811">
              <w:rPr>
                <w:bCs/>
                <w:kern w:val="16"/>
                <w:sz w:val="22"/>
                <w:szCs w:val="22"/>
                <w:u w:val="single"/>
              </w:rPr>
              <w:t>FY 2025</w:t>
            </w:r>
          </w:p>
        </w:tc>
        <w:tc>
          <w:tcPr>
            <w:tcW w:w="1170" w:type="dxa"/>
          </w:tcPr>
          <w:p w:rsidR="00207811" w:rsidRPr="00207811" w:rsidP="00207811" w14:paraId="4F17FB1B" w14:textId="77777777">
            <w:pPr>
              <w:jc w:val="center"/>
              <w:rPr>
                <w:bCs/>
                <w:kern w:val="16"/>
                <w:sz w:val="22"/>
                <w:szCs w:val="22"/>
              </w:rPr>
            </w:pPr>
            <w:r w:rsidRPr="00207811">
              <w:rPr>
                <w:bCs/>
                <w:kern w:val="16"/>
                <w:sz w:val="22"/>
                <w:szCs w:val="22"/>
                <w:u w:val="single"/>
              </w:rPr>
              <w:t>Liabilities</w:t>
            </w:r>
          </w:p>
        </w:tc>
        <w:tc>
          <w:tcPr>
            <w:tcW w:w="630" w:type="dxa"/>
            <w:gridSpan w:val="2"/>
          </w:tcPr>
          <w:p w:rsidR="00207811" w:rsidRPr="00207811" w:rsidP="00207811" w14:paraId="660929B3" w14:textId="77777777">
            <w:pPr>
              <w:jc w:val="both"/>
              <w:rPr>
                <w:bCs/>
                <w:kern w:val="16"/>
                <w:sz w:val="22"/>
                <w:szCs w:val="22"/>
              </w:rPr>
            </w:pPr>
          </w:p>
        </w:tc>
        <w:tc>
          <w:tcPr>
            <w:tcW w:w="1255" w:type="dxa"/>
            <w:vAlign w:val="center"/>
          </w:tcPr>
          <w:p w:rsidR="00207811" w:rsidRPr="00207811" w:rsidP="00207811" w14:paraId="0891B1A4" w14:textId="77777777">
            <w:pPr>
              <w:jc w:val="right"/>
              <w:rPr>
                <w:bCs/>
                <w:kern w:val="16"/>
                <w:sz w:val="22"/>
                <w:szCs w:val="22"/>
                <w:u w:val="single"/>
              </w:rPr>
            </w:pPr>
            <w:r w:rsidRPr="00207811">
              <w:rPr>
                <w:bCs/>
                <w:kern w:val="16"/>
                <w:sz w:val="22"/>
                <w:szCs w:val="22"/>
                <w:u w:val="single"/>
              </w:rPr>
              <w:t>Lower End</w:t>
            </w:r>
          </w:p>
        </w:tc>
        <w:tc>
          <w:tcPr>
            <w:tcW w:w="1260" w:type="dxa"/>
            <w:vAlign w:val="center"/>
          </w:tcPr>
          <w:p w:rsidR="00207811" w:rsidRPr="00207811" w:rsidP="00207811" w14:paraId="58588C7C" w14:textId="77777777">
            <w:pPr>
              <w:jc w:val="right"/>
              <w:rPr>
                <w:bCs/>
                <w:kern w:val="16"/>
                <w:sz w:val="22"/>
                <w:szCs w:val="22"/>
                <w:u w:val="single"/>
              </w:rPr>
            </w:pPr>
            <w:r w:rsidRPr="00207811">
              <w:rPr>
                <w:bCs/>
                <w:kern w:val="16"/>
                <w:sz w:val="22"/>
                <w:szCs w:val="22"/>
                <w:u w:val="single"/>
              </w:rPr>
              <w:t>Upper End</w:t>
            </w:r>
          </w:p>
        </w:tc>
      </w:tr>
      <w:tr w14:paraId="16B56B53" w14:textId="77777777" w:rsidTr="00D93A8D">
        <w:tblPrEx>
          <w:tblW w:w="0" w:type="auto"/>
          <w:jc w:val="center"/>
          <w:tblLook w:val="04A0"/>
        </w:tblPrEx>
        <w:trPr>
          <w:jc w:val="center"/>
        </w:trPr>
        <w:tc>
          <w:tcPr>
            <w:tcW w:w="2790" w:type="dxa"/>
          </w:tcPr>
          <w:p w:rsidR="00207811" w:rsidRPr="00207811" w:rsidP="00207811" w14:paraId="53595AE8" w14:textId="77777777">
            <w:pPr>
              <w:jc w:val="both"/>
              <w:rPr>
                <w:bCs/>
                <w:kern w:val="16"/>
                <w:sz w:val="22"/>
                <w:szCs w:val="22"/>
              </w:rPr>
            </w:pPr>
            <w:r w:rsidRPr="00207811">
              <w:rPr>
                <w:bCs/>
                <w:kern w:val="16"/>
                <w:sz w:val="22"/>
                <w:szCs w:val="22"/>
              </w:rPr>
              <w:t>Legal Contingencies:</w:t>
            </w:r>
          </w:p>
        </w:tc>
        <w:tc>
          <w:tcPr>
            <w:tcW w:w="1170" w:type="dxa"/>
          </w:tcPr>
          <w:p w:rsidR="00207811" w:rsidRPr="00207811" w:rsidP="00207811" w14:paraId="26016B65" w14:textId="77777777">
            <w:pPr>
              <w:jc w:val="right"/>
              <w:rPr>
                <w:bCs/>
                <w:kern w:val="16"/>
                <w:sz w:val="22"/>
                <w:szCs w:val="22"/>
              </w:rPr>
            </w:pPr>
          </w:p>
        </w:tc>
        <w:tc>
          <w:tcPr>
            <w:tcW w:w="630" w:type="dxa"/>
            <w:gridSpan w:val="2"/>
          </w:tcPr>
          <w:p w:rsidR="00207811" w:rsidRPr="00207811" w:rsidP="00207811" w14:paraId="1F81D7DC" w14:textId="77777777">
            <w:pPr>
              <w:jc w:val="right"/>
              <w:rPr>
                <w:bCs/>
                <w:kern w:val="16"/>
                <w:sz w:val="22"/>
                <w:szCs w:val="22"/>
              </w:rPr>
            </w:pPr>
          </w:p>
        </w:tc>
        <w:tc>
          <w:tcPr>
            <w:tcW w:w="1255" w:type="dxa"/>
          </w:tcPr>
          <w:p w:rsidR="00207811" w:rsidRPr="00207811" w:rsidP="00207811" w14:paraId="5342E86A" w14:textId="77777777">
            <w:pPr>
              <w:jc w:val="right"/>
              <w:rPr>
                <w:bCs/>
                <w:kern w:val="16"/>
                <w:sz w:val="22"/>
                <w:szCs w:val="22"/>
              </w:rPr>
            </w:pPr>
          </w:p>
        </w:tc>
        <w:tc>
          <w:tcPr>
            <w:tcW w:w="1260" w:type="dxa"/>
          </w:tcPr>
          <w:p w:rsidR="00207811" w:rsidRPr="00207811" w:rsidP="00207811" w14:paraId="48DB0E03" w14:textId="77777777">
            <w:pPr>
              <w:jc w:val="right"/>
              <w:rPr>
                <w:bCs/>
                <w:kern w:val="16"/>
                <w:sz w:val="22"/>
                <w:szCs w:val="22"/>
              </w:rPr>
            </w:pPr>
          </w:p>
        </w:tc>
      </w:tr>
      <w:tr w14:paraId="2AA522CA" w14:textId="77777777" w:rsidTr="00D93A8D">
        <w:tblPrEx>
          <w:tblW w:w="0" w:type="auto"/>
          <w:jc w:val="center"/>
          <w:tblLook w:val="04A0"/>
        </w:tblPrEx>
        <w:trPr>
          <w:jc w:val="center"/>
        </w:trPr>
        <w:tc>
          <w:tcPr>
            <w:tcW w:w="2790" w:type="dxa"/>
          </w:tcPr>
          <w:p w:rsidR="00207811" w:rsidRPr="00207811" w:rsidP="00207811" w14:paraId="48E307A6" w14:textId="77777777">
            <w:pPr>
              <w:jc w:val="both"/>
              <w:rPr>
                <w:bCs/>
                <w:kern w:val="16"/>
                <w:sz w:val="22"/>
                <w:szCs w:val="22"/>
              </w:rPr>
            </w:pPr>
            <w:r w:rsidRPr="00207811">
              <w:rPr>
                <w:bCs/>
                <w:kern w:val="16"/>
                <w:sz w:val="22"/>
                <w:szCs w:val="22"/>
              </w:rPr>
              <w:t>Reasonably Possible</w:t>
            </w:r>
          </w:p>
        </w:tc>
        <w:tc>
          <w:tcPr>
            <w:tcW w:w="1170" w:type="dxa"/>
          </w:tcPr>
          <w:p w:rsidR="00207811" w:rsidRPr="00207811" w:rsidP="00207811" w14:paraId="48A9437F" w14:textId="77777777">
            <w:pPr>
              <w:ind w:right="144"/>
              <w:jc w:val="right"/>
              <w:rPr>
                <w:bCs/>
                <w:kern w:val="16"/>
                <w:sz w:val="22"/>
                <w:szCs w:val="22"/>
              </w:rPr>
            </w:pPr>
            <w:r w:rsidRPr="00207811">
              <w:rPr>
                <w:bCs/>
                <w:kern w:val="16"/>
                <w:sz w:val="22"/>
                <w:szCs w:val="22"/>
              </w:rPr>
              <w:t>$           -</w:t>
            </w:r>
          </w:p>
        </w:tc>
        <w:tc>
          <w:tcPr>
            <w:tcW w:w="630" w:type="dxa"/>
            <w:gridSpan w:val="2"/>
          </w:tcPr>
          <w:p w:rsidR="00207811" w:rsidRPr="00207811" w:rsidP="00207811" w14:paraId="208F30F6" w14:textId="77777777">
            <w:pPr>
              <w:jc w:val="right"/>
              <w:rPr>
                <w:bCs/>
                <w:kern w:val="16"/>
                <w:sz w:val="22"/>
                <w:szCs w:val="22"/>
              </w:rPr>
            </w:pPr>
          </w:p>
        </w:tc>
        <w:tc>
          <w:tcPr>
            <w:tcW w:w="1255" w:type="dxa"/>
          </w:tcPr>
          <w:p w:rsidR="00207811" w:rsidRPr="00207811" w:rsidP="00207811" w14:paraId="30560E55" w14:textId="77777777">
            <w:pPr>
              <w:jc w:val="right"/>
              <w:rPr>
                <w:bCs/>
                <w:kern w:val="16"/>
                <w:sz w:val="22"/>
                <w:szCs w:val="22"/>
              </w:rPr>
            </w:pPr>
            <w:r w:rsidRPr="00207811">
              <w:rPr>
                <w:bCs/>
                <w:kern w:val="16"/>
                <w:sz w:val="22"/>
                <w:szCs w:val="22"/>
              </w:rPr>
              <w:t>$57,266</w:t>
            </w:r>
          </w:p>
        </w:tc>
        <w:tc>
          <w:tcPr>
            <w:tcW w:w="1260" w:type="dxa"/>
          </w:tcPr>
          <w:p w:rsidR="00207811" w:rsidRPr="00207811" w:rsidP="00207811" w14:paraId="707098DC" w14:textId="77777777">
            <w:pPr>
              <w:jc w:val="right"/>
              <w:rPr>
                <w:bCs/>
                <w:kern w:val="16"/>
                <w:sz w:val="22"/>
                <w:szCs w:val="22"/>
              </w:rPr>
            </w:pPr>
            <w:r w:rsidRPr="00207811">
              <w:rPr>
                <w:bCs/>
                <w:kern w:val="16"/>
                <w:sz w:val="22"/>
                <w:szCs w:val="22"/>
              </w:rPr>
              <w:t>$57,266</w:t>
            </w:r>
          </w:p>
        </w:tc>
      </w:tr>
      <w:tr w14:paraId="41A762C9" w14:textId="77777777" w:rsidTr="00D93A8D">
        <w:tblPrEx>
          <w:tblW w:w="0" w:type="auto"/>
          <w:jc w:val="center"/>
          <w:tblLook w:val="04A0"/>
        </w:tblPrEx>
        <w:trPr>
          <w:trHeight w:val="51"/>
          <w:jc w:val="center"/>
        </w:trPr>
        <w:tc>
          <w:tcPr>
            <w:tcW w:w="2790" w:type="dxa"/>
          </w:tcPr>
          <w:p w:rsidR="00207811" w:rsidRPr="00207811" w:rsidP="00207811" w14:paraId="1C346465" w14:textId="77777777">
            <w:pPr>
              <w:jc w:val="both"/>
              <w:rPr>
                <w:bCs/>
                <w:kern w:val="16"/>
                <w:sz w:val="22"/>
                <w:szCs w:val="22"/>
              </w:rPr>
            </w:pPr>
          </w:p>
        </w:tc>
        <w:tc>
          <w:tcPr>
            <w:tcW w:w="1345" w:type="dxa"/>
            <w:gridSpan w:val="2"/>
          </w:tcPr>
          <w:p w:rsidR="00207811" w:rsidRPr="00207811" w:rsidP="00207811" w14:paraId="20FC3555" w14:textId="77777777">
            <w:pPr>
              <w:jc w:val="right"/>
              <w:rPr>
                <w:bCs/>
                <w:kern w:val="16"/>
                <w:sz w:val="22"/>
                <w:szCs w:val="22"/>
              </w:rPr>
            </w:pPr>
          </w:p>
        </w:tc>
        <w:tc>
          <w:tcPr>
            <w:tcW w:w="455" w:type="dxa"/>
          </w:tcPr>
          <w:p w:rsidR="00207811" w:rsidRPr="00207811" w:rsidP="00207811" w14:paraId="0696D207" w14:textId="77777777">
            <w:pPr>
              <w:jc w:val="right"/>
              <w:rPr>
                <w:bCs/>
                <w:kern w:val="16"/>
                <w:sz w:val="22"/>
                <w:szCs w:val="22"/>
              </w:rPr>
            </w:pPr>
          </w:p>
        </w:tc>
        <w:tc>
          <w:tcPr>
            <w:tcW w:w="1255" w:type="dxa"/>
          </w:tcPr>
          <w:p w:rsidR="00207811" w:rsidRPr="00207811" w:rsidP="00207811" w14:paraId="63040958" w14:textId="77777777">
            <w:pPr>
              <w:jc w:val="right"/>
              <w:rPr>
                <w:bCs/>
                <w:kern w:val="16"/>
                <w:sz w:val="22"/>
                <w:szCs w:val="22"/>
              </w:rPr>
            </w:pPr>
          </w:p>
        </w:tc>
        <w:tc>
          <w:tcPr>
            <w:tcW w:w="1260" w:type="dxa"/>
          </w:tcPr>
          <w:p w:rsidR="00207811" w:rsidRPr="00207811" w:rsidP="00207811" w14:paraId="2CE754A7" w14:textId="77777777">
            <w:pPr>
              <w:jc w:val="right"/>
              <w:rPr>
                <w:bCs/>
                <w:kern w:val="16"/>
                <w:sz w:val="22"/>
                <w:szCs w:val="22"/>
              </w:rPr>
            </w:pPr>
          </w:p>
        </w:tc>
      </w:tr>
    </w:tbl>
    <w:p w:rsidR="00207811" w:rsidRPr="00207811" w:rsidP="00207811" w14:paraId="4D8583DF" w14:textId="77777777">
      <w:pPr>
        <w:jc w:val="both"/>
        <w:rPr>
          <w:bCs/>
          <w:kern w:val="16"/>
          <w:sz w:val="22"/>
          <w:szCs w:val="22"/>
        </w:rPr>
      </w:pPr>
    </w:p>
    <w:p w:rsidR="00207811" w:rsidRPr="00207811" w:rsidP="00207811" w14:paraId="1620ED76" w14:textId="77777777">
      <w:pPr>
        <w:jc w:val="both"/>
        <w:rPr>
          <w:bCs/>
          <w:kern w:val="16"/>
          <w:sz w:val="22"/>
          <w:szCs w:val="22"/>
        </w:rPr>
      </w:pPr>
    </w:p>
    <w:p w:rsidR="00207811" w:rsidRPr="00207811" w:rsidP="00207811" w14:paraId="08428D7B" w14:textId="77777777">
      <w:pPr>
        <w:keepNext/>
        <w:widowControl w:val="0"/>
        <w:overflowPunct w:val="0"/>
        <w:autoSpaceDE w:val="0"/>
        <w:autoSpaceDN w:val="0"/>
        <w:adjustRightInd w:val="0"/>
        <w:textAlignment w:val="baseline"/>
        <w:outlineLvl w:val="3"/>
        <w:rPr>
          <w:b/>
          <w:bCs/>
          <w:sz w:val="22"/>
          <w:szCs w:val="22"/>
        </w:rPr>
      </w:pPr>
      <w:bookmarkStart w:id="161" w:name="_Hlk14244015"/>
      <w:r w:rsidRPr="00207811">
        <w:rPr>
          <w:b/>
          <w:bCs/>
          <w:sz w:val="22"/>
          <w:szCs w:val="22"/>
        </w:rPr>
        <w:t>Note 11 – Funds from Dedicated Collections</w:t>
      </w:r>
    </w:p>
    <w:bookmarkEnd w:id="161"/>
    <w:p w:rsidR="00207811" w:rsidRPr="00207811" w:rsidP="00207811" w14:paraId="7C3A5157" w14:textId="77777777">
      <w:pPr>
        <w:jc w:val="both"/>
        <w:rPr>
          <w:sz w:val="22"/>
          <w:szCs w:val="22"/>
        </w:rPr>
      </w:pPr>
    </w:p>
    <w:p w:rsidR="00207811" w:rsidRPr="00207811" w:rsidP="00207811" w14:paraId="644F7682" w14:textId="77777777">
      <w:pPr>
        <w:jc w:val="both"/>
        <w:rPr>
          <w:sz w:val="22"/>
          <w:szCs w:val="22"/>
        </w:rPr>
      </w:pPr>
      <w:r w:rsidRPr="00207811">
        <w:rPr>
          <w:sz w:val="22"/>
          <w:szCs w:val="22"/>
        </w:rPr>
        <w:t xml:space="preserve">The telecommunications companies in the U.S. are obligated to make contributions to the USF and the TRS Fund.  The Commission currently recognizes the contributions collected under the USF and TRS as Non-exchange revenue on its Statement of Changes in Net Position and Custodial Activity, and the related disbursements as program expenses on the Statement of Net Cost.  The program costs for the USF </w:t>
      </w:r>
      <w:bookmarkStart w:id="162" w:name="_Hlk204250663"/>
      <w:r w:rsidRPr="00207811">
        <w:rPr>
          <w:sz w:val="22"/>
          <w:szCs w:val="22"/>
        </w:rPr>
        <w:t>are allocated to the strategic goal Acceleration High-Speed Internet Builds and program costs for the TRS are allocated to Protect Consumers and Promote Free Speech.</w:t>
      </w:r>
      <w:bookmarkEnd w:id="162"/>
      <w:r w:rsidRPr="00207811">
        <w:rPr>
          <w:sz w:val="22"/>
          <w:szCs w:val="22"/>
        </w:rPr>
        <w:t xml:space="preserve"> </w:t>
      </w:r>
    </w:p>
    <w:p w:rsidR="00207811" w:rsidRPr="00207811" w:rsidP="00207811" w14:paraId="57823576" w14:textId="77777777">
      <w:pPr>
        <w:jc w:val="both"/>
        <w:rPr>
          <w:sz w:val="22"/>
          <w:szCs w:val="22"/>
        </w:rPr>
      </w:pPr>
    </w:p>
    <w:p w:rsidR="00207811" w:rsidRPr="00207811" w:rsidP="00207811" w14:paraId="3949E0B6" w14:textId="77777777">
      <w:pPr>
        <w:jc w:val="both"/>
        <w:rPr>
          <w:sz w:val="22"/>
          <w:szCs w:val="22"/>
        </w:rPr>
      </w:pPr>
      <w:r w:rsidRPr="00207811">
        <w:rPr>
          <w:sz w:val="22"/>
          <w:szCs w:val="22"/>
        </w:rPr>
        <w:t xml:space="preserve">As previously discussed, the Spectrum Act requires the Commission to reimburse relocation costs reasonably incurred by full power and Class A broadcasters and MVPDs who </w:t>
      </w:r>
      <w:r w:rsidRPr="00207811">
        <w:rPr>
          <w:rFonts w:eastAsia="Calibri"/>
          <w:sz w:val="22"/>
          <w:szCs w:val="22"/>
        </w:rPr>
        <w:t xml:space="preserve">are involuntarily reassigned to new channels </w:t>
      </w:r>
      <w:bookmarkStart w:id="163" w:name="_Hlk22368206"/>
      <w:r w:rsidRPr="00207811">
        <w:rPr>
          <w:rFonts w:eastAsia="Calibri"/>
          <w:sz w:val="22"/>
          <w:szCs w:val="22"/>
        </w:rPr>
        <w:t xml:space="preserve">as a result of the </w:t>
      </w:r>
      <w:bookmarkEnd w:id="163"/>
      <w:r w:rsidRPr="00207811">
        <w:rPr>
          <w:rFonts w:eastAsia="Calibri"/>
          <w:sz w:val="22"/>
          <w:szCs w:val="22"/>
        </w:rPr>
        <w:t>BIA.  In FY 2018, Congress</w:t>
      </w:r>
      <w:r w:rsidRPr="00207811">
        <w:rPr>
          <w:sz w:val="22"/>
          <w:szCs w:val="22"/>
        </w:rPr>
        <w:t xml:space="preserve"> appropriated additional funding and </w:t>
      </w:r>
      <w:r w:rsidRPr="00207811">
        <w:rPr>
          <w:bCs/>
          <w:kern w:val="16"/>
          <w:sz w:val="22"/>
          <w:szCs w:val="22"/>
        </w:rPr>
        <w:t>also expanded the universe of entities eligible for reimbursement</w:t>
      </w:r>
      <w:r w:rsidRPr="00207811">
        <w:rPr>
          <w:sz w:val="22"/>
          <w:szCs w:val="22"/>
        </w:rPr>
        <w:t>.  These reimbursement costs are accounted for in the U.S. Budget as the “TV Broadcaster Relocation Fund,” which is funded by forward auction proceeds and direct appropriations.  The Commission recognized the reimbursement costs for the TVBRF as program expenses on the Statement of Net Cost.</w:t>
      </w:r>
    </w:p>
    <w:p w:rsidR="00207811" w:rsidRPr="00207811" w:rsidP="00207811" w14:paraId="623E6EB9" w14:textId="77777777">
      <w:pPr>
        <w:tabs>
          <w:tab w:val="left" w:pos="2880"/>
          <w:tab w:val="left" w:pos="5040"/>
          <w:tab w:val="left" w:pos="7200"/>
        </w:tabs>
        <w:jc w:val="both"/>
        <w:rPr>
          <w:b/>
          <w:sz w:val="22"/>
          <w:szCs w:val="22"/>
        </w:rPr>
      </w:pPr>
    </w:p>
    <w:p w:rsidR="00207811" w:rsidRPr="00207811" w:rsidP="00207811" w14:paraId="102A896D" w14:textId="77777777">
      <w:pPr>
        <w:jc w:val="both"/>
        <w:rPr>
          <w:sz w:val="22"/>
          <w:szCs w:val="22"/>
        </w:rPr>
      </w:pPr>
      <w:r w:rsidRPr="00207811">
        <w:rPr>
          <w:sz w:val="22"/>
          <w:szCs w:val="22"/>
        </w:rPr>
        <w:t xml:space="preserve">The Commission had no activity related to Gifts and Bequests.  </w:t>
      </w:r>
    </w:p>
    <w:p w:rsidR="00207811" w:rsidRPr="00207811" w:rsidP="00207811" w14:paraId="4AE6C262" w14:textId="77777777">
      <w:pPr>
        <w:jc w:val="both"/>
        <w:rPr>
          <w:sz w:val="22"/>
          <w:szCs w:val="22"/>
        </w:rPr>
      </w:pPr>
    </w:p>
    <w:p w:rsidR="00207811" w:rsidRPr="00207811" w:rsidP="540BDD52" w14:paraId="11BC14C1" w14:textId="593EAA85">
      <w:pPr>
        <w:jc w:val="both"/>
        <w:rPr>
          <w:b/>
          <w:bCs/>
          <w:sz w:val="22"/>
          <w:szCs w:val="22"/>
        </w:rPr>
      </w:pPr>
      <w:r w:rsidRPr="540BDD52">
        <w:rPr>
          <w:sz w:val="22"/>
          <w:szCs w:val="22"/>
        </w:rPr>
        <w:t>The following pages summarize the significant assets, liabilities, and costs incurred related to the TVBRF, USF and TRS as of September 30, 2025.  The information below is shown on a combined and consolidated bas</w:t>
      </w:r>
      <w:r w:rsidRPr="540BDD52" w:rsidR="6BE27B0D">
        <w:rPr>
          <w:sz w:val="22"/>
          <w:szCs w:val="22"/>
        </w:rPr>
        <w:t>i</w:t>
      </w:r>
      <w:r w:rsidRPr="540BDD52">
        <w:rPr>
          <w:sz w:val="22"/>
          <w:szCs w:val="22"/>
        </w:rPr>
        <w:t>s.  The Commission had no eliminations between dedicated collection funds.  Therefore, the combined and consolidated are the same.</w:t>
      </w:r>
      <w:r w:rsidRPr="540BDD52">
        <w:rPr>
          <w:b/>
          <w:bCs/>
          <w:sz w:val="22"/>
          <w:szCs w:val="22"/>
        </w:rPr>
        <w:br w:type="page"/>
      </w:r>
    </w:p>
    <w:p w:rsidR="00207811" w:rsidRPr="00207811" w:rsidP="00207811" w14:paraId="7774D9D8" w14:textId="77777777">
      <w:pPr>
        <w:tabs>
          <w:tab w:val="left" w:pos="2880"/>
          <w:tab w:val="left" w:pos="5040"/>
          <w:tab w:val="left" w:pos="7200"/>
        </w:tabs>
        <w:jc w:val="both"/>
        <w:rPr>
          <w:sz w:val="22"/>
          <w:szCs w:val="22"/>
          <w:u w:val="single"/>
        </w:rPr>
      </w:pPr>
      <w:r w:rsidRPr="00207811">
        <w:rPr>
          <w:b/>
          <w:sz w:val="22"/>
          <w:szCs w:val="22"/>
        </w:rPr>
        <w:t>Note 11 – Funds from Dedicated Collections (continued)</w:t>
      </w:r>
    </w:p>
    <w:p w:rsidR="00207811" w:rsidRPr="00207811" w:rsidP="00207811" w14:paraId="58D63A57" w14:textId="77777777">
      <w:pPr>
        <w:jc w:val="both"/>
        <w:rPr>
          <w:b/>
          <w:bCs/>
          <w:sz w:val="22"/>
          <w:szCs w:val="22"/>
        </w:rPr>
      </w:pPr>
    </w:p>
    <w:p w:rsidR="00207811" w:rsidRPr="00207811" w:rsidP="00207811" w14:paraId="2D88F3A6" w14:textId="77777777">
      <w:pPr>
        <w:jc w:val="center"/>
        <w:rPr>
          <w:sz w:val="22"/>
          <w:szCs w:val="22"/>
        </w:rPr>
      </w:pPr>
      <w:r w:rsidRPr="00207811">
        <w:rPr>
          <w:noProof/>
        </w:rPr>
        <w:drawing>
          <wp:inline distT="0" distB="0" distL="0" distR="0">
            <wp:extent cx="5943600" cy="7345680"/>
            <wp:effectExtent l="0" t="0" r="0" b="7620"/>
            <wp:docPr id="14113946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94680" name="Picture 11"/>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345680"/>
                    </a:xfrm>
                    <a:prstGeom prst="rect">
                      <a:avLst/>
                    </a:prstGeom>
                    <a:noFill/>
                    <a:ln>
                      <a:noFill/>
                    </a:ln>
                  </pic:spPr>
                </pic:pic>
              </a:graphicData>
            </a:graphic>
          </wp:inline>
        </w:drawing>
      </w:r>
    </w:p>
    <w:p w:rsidR="00207811" w:rsidRPr="00207811" w:rsidP="00207811" w14:paraId="79F7EB30" w14:textId="77777777">
      <w:pPr>
        <w:jc w:val="both"/>
        <w:rPr>
          <w:b/>
          <w:bCs/>
          <w:sz w:val="22"/>
          <w:szCs w:val="22"/>
        </w:rPr>
      </w:pPr>
    </w:p>
    <w:p w:rsidR="00207811" w:rsidRPr="00207811" w:rsidP="00207811" w14:paraId="37068002" w14:textId="77777777">
      <w:pPr>
        <w:jc w:val="both"/>
        <w:rPr>
          <w:b/>
          <w:bCs/>
          <w:sz w:val="22"/>
          <w:szCs w:val="22"/>
        </w:rPr>
      </w:pPr>
    </w:p>
    <w:p w:rsidR="00207811" w:rsidRPr="00207811" w:rsidP="00207811" w14:paraId="0F69920A" w14:textId="77777777">
      <w:pPr>
        <w:jc w:val="both"/>
        <w:rPr>
          <w:b/>
          <w:bCs/>
          <w:sz w:val="22"/>
          <w:szCs w:val="22"/>
        </w:rPr>
      </w:pPr>
    </w:p>
    <w:p w:rsidR="00207811" w:rsidRPr="00207811" w:rsidP="00207811" w14:paraId="60143DC8" w14:textId="77777777">
      <w:pPr>
        <w:jc w:val="both"/>
        <w:rPr>
          <w:b/>
          <w:bCs/>
          <w:sz w:val="22"/>
          <w:szCs w:val="22"/>
        </w:rPr>
      </w:pPr>
    </w:p>
    <w:p w:rsidR="00207811" w:rsidRPr="00207811" w:rsidP="00207811" w14:paraId="03930BAF" w14:textId="77777777">
      <w:pPr>
        <w:jc w:val="both"/>
        <w:rPr>
          <w:b/>
          <w:bCs/>
          <w:sz w:val="22"/>
          <w:szCs w:val="22"/>
        </w:rPr>
      </w:pPr>
      <w:r w:rsidRPr="00207811">
        <w:rPr>
          <w:b/>
          <w:bCs/>
          <w:sz w:val="22"/>
          <w:szCs w:val="22"/>
        </w:rPr>
        <w:t>Note 11 – Funds from Dedicated Collections (continued)</w:t>
      </w:r>
    </w:p>
    <w:p w:rsidR="00207811" w:rsidRPr="00207811" w:rsidP="00207811" w14:paraId="3B33ECE0" w14:textId="77777777">
      <w:pPr>
        <w:jc w:val="both"/>
        <w:rPr>
          <w:sz w:val="22"/>
          <w:szCs w:val="22"/>
        </w:rPr>
      </w:pPr>
    </w:p>
    <w:p w:rsidR="00207811" w:rsidRPr="00207811" w:rsidP="00207811" w14:paraId="52131EF9" w14:textId="77777777">
      <w:pPr>
        <w:jc w:val="both"/>
        <w:rPr>
          <w:sz w:val="22"/>
          <w:szCs w:val="22"/>
        </w:rPr>
      </w:pPr>
      <w:r w:rsidRPr="00207811">
        <w:rPr>
          <w:sz w:val="22"/>
          <w:szCs w:val="22"/>
        </w:rPr>
        <w:t xml:space="preserve">The funds from dedicated collections are presented on a combined basis.  The table below summarizes the elimination of activities between dedicated collections and all other fund types to arrive at the consolidated assets and liabilities as presented on the balance sheet. </w:t>
      </w:r>
    </w:p>
    <w:p w:rsidR="00207811" w:rsidRPr="00207811" w:rsidP="00207811" w14:paraId="429808E1" w14:textId="77777777">
      <w:pPr>
        <w:rPr>
          <w:sz w:val="22"/>
          <w:szCs w:val="22"/>
        </w:rPr>
      </w:pPr>
    </w:p>
    <w:tbl>
      <w:tblPr>
        <w:tblStyle w:val="TableGrid12"/>
        <w:tblW w:w="9540" w:type="dxa"/>
        <w:jc w:val="center"/>
        <w:tblLook w:val="04A0"/>
      </w:tblPr>
      <w:tblGrid>
        <w:gridCol w:w="2613"/>
        <w:gridCol w:w="1347"/>
        <w:gridCol w:w="1440"/>
        <w:gridCol w:w="1351"/>
        <w:gridCol w:w="1349"/>
        <w:gridCol w:w="1440"/>
      </w:tblGrid>
      <w:tr w14:paraId="0863F821" w14:textId="77777777" w:rsidTr="00D93A8D">
        <w:tblPrEx>
          <w:tblW w:w="9540" w:type="dxa"/>
          <w:jc w:val="center"/>
          <w:tblLook w:val="04A0"/>
        </w:tblPrEx>
        <w:trPr>
          <w:trHeight w:val="980"/>
          <w:jc w:val="center"/>
        </w:trPr>
        <w:tc>
          <w:tcPr>
            <w:tcW w:w="2613" w:type="dxa"/>
            <w:vAlign w:val="center"/>
          </w:tcPr>
          <w:p w:rsidR="00207811" w:rsidRPr="00207811" w:rsidP="00207811" w14:paraId="5D997215" w14:textId="77777777">
            <w:pPr>
              <w:jc w:val="center"/>
              <w:rPr>
                <w:sz w:val="18"/>
                <w:szCs w:val="18"/>
              </w:rPr>
            </w:pPr>
          </w:p>
        </w:tc>
        <w:tc>
          <w:tcPr>
            <w:tcW w:w="1347" w:type="dxa"/>
            <w:tcBorders>
              <w:bottom w:val="single" w:sz="4" w:space="0" w:color="auto"/>
            </w:tcBorders>
            <w:vAlign w:val="bottom"/>
          </w:tcPr>
          <w:p w:rsidR="00207811" w:rsidRPr="00207811" w:rsidP="00207811" w14:paraId="62BA815E" w14:textId="77777777">
            <w:pPr>
              <w:jc w:val="center"/>
              <w:rPr>
                <w:sz w:val="18"/>
                <w:szCs w:val="18"/>
              </w:rPr>
            </w:pPr>
            <w:r w:rsidRPr="00207811">
              <w:rPr>
                <w:b/>
                <w:sz w:val="18"/>
                <w:szCs w:val="18"/>
              </w:rPr>
              <w:t>Dedicated Collections Combined</w:t>
            </w:r>
          </w:p>
        </w:tc>
        <w:tc>
          <w:tcPr>
            <w:tcW w:w="1440" w:type="dxa"/>
            <w:tcBorders>
              <w:bottom w:val="single" w:sz="4" w:space="0" w:color="auto"/>
            </w:tcBorders>
            <w:vAlign w:val="bottom"/>
          </w:tcPr>
          <w:p w:rsidR="00207811" w:rsidRPr="00207811" w:rsidP="00207811" w14:paraId="2801E903" w14:textId="77777777">
            <w:pPr>
              <w:jc w:val="center"/>
              <w:rPr>
                <w:sz w:val="18"/>
                <w:szCs w:val="18"/>
              </w:rPr>
            </w:pPr>
            <w:r w:rsidRPr="00207811">
              <w:rPr>
                <w:b/>
                <w:sz w:val="18"/>
                <w:szCs w:val="18"/>
              </w:rPr>
              <w:t>All Other Amounts (with Eliminations)</w:t>
            </w:r>
          </w:p>
        </w:tc>
        <w:tc>
          <w:tcPr>
            <w:tcW w:w="1351" w:type="dxa"/>
            <w:tcBorders>
              <w:bottom w:val="single" w:sz="4" w:space="0" w:color="auto"/>
            </w:tcBorders>
            <w:vAlign w:val="bottom"/>
          </w:tcPr>
          <w:p w:rsidR="00207811" w:rsidRPr="00207811" w:rsidP="00207811" w14:paraId="6C54E736" w14:textId="77777777">
            <w:pPr>
              <w:jc w:val="center"/>
              <w:rPr>
                <w:b/>
                <w:sz w:val="18"/>
                <w:szCs w:val="18"/>
              </w:rPr>
            </w:pPr>
            <w:r w:rsidRPr="00207811">
              <w:rPr>
                <w:b/>
                <w:sz w:val="18"/>
                <w:szCs w:val="18"/>
              </w:rPr>
              <w:t>Total Combined</w:t>
            </w:r>
          </w:p>
        </w:tc>
        <w:tc>
          <w:tcPr>
            <w:tcW w:w="1349" w:type="dxa"/>
            <w:tcBorders>
              <w:bottom w:val="single" w:sz="4" w:space="0" w:color="auto"/>
            </w:tcBorders>
            <w:vAlign w:val="bottom"/>
          </w:tcPr>
          <w:p w:rsidR="00207811" w:rsidRPr="00207811" w:rsidP="00207811" w14:paraId="1036FBA1" w14:textId="77777777">
            <w:pPr>
              <w:jc w:val="center"/>
              <w:rPr>
                <w:sz w:val="18"/>
                <w:szCs w:val="18"/>
              </w:rPr>
            </w:pPr>
            <w:r w:rsidRPr="00207811">
              <w:rPr>
                <w:b/>
                <w:sz w:val="18"/>
                <w:szCs w:val="18"/>
              </w:rPr>
              <w:t>Consolidating Eliminations Between Dedicated &amp; All Other</w:t>
            </w:r>
          </w:p>
        </w:tc>
        <w:tc>
          <w:tcPr>
            <w:tcW w:w="1440" w:type="dxa"/>
            <w:tcBorders>
              <w:bottom w:val="single" w:sz="4" w:space="0" w:color="auto"/>
            </w:tcBorders>
            <w:vAlign w:val="bottom"/>
          </w:tcPr>
          <w:p w:rsidR="00207811" w:rsidRPr="00207811" w:rsidP="00207811" w14:paraId="28601074" w14:textId="77777777">
            <w:pPr>
              <w:jc w:val="center"/>
              <w:rPr>
                <w:b/>
                <w:sz w:val="18"/>
                <w:szCs w:val="18"/>
              </w:rPr>
            </w:pPr>
            <w:r w:rsidRPr="00207811">
              <w:rPr>
                <w:b/>
                <w:sz w:val="18"/>
                <w:szCs w:val="18"/>
              </w:rPr>
              <w:t>Consolidated</w:t>
            </w:r>
          </w:p>
        </w:tc>
      </w:tr>
      <w:tr w14:paraId="6A69ED93" w14:textId="77777777" w:rsidTr="00D93A8D">
        <w:tblPrEx>
          <w:tblW w:w="9540" w:type="dxa"/>
          <w:jc w:val="center"/>
          <w:tblLook w:val="04A0"/>
        </w:tblPrEx>
        <w:trPr>
          <w:jc w:val="center"/>
        </w:trPr>
        <w:tc>
          <w:tcPr>
            <w:tcW w:w="2613" w:type="dxa"/>
            <w:vAlign w:val="center"/>
          </w:tcPr>
          <w:p w:rsidR="00207811" w:rsidRPr="00207811" w:rsidP="00207811" w14:paraId="7E32B020" w14:textId="77777777">
            <w:pPr>
              <w:rPr>
                <w:sz w:val="18"/>
                <w:szCs w:val="18"/>
                <w:u w:val="single"/>
              </w:rPr>
            </w:pPr>
            <w:r w:rsidRPr="00207811">
              <w:rPr>
                <w:sz w:val="18"/>
                <w:szCs w:val="18"/>
                <w:u w:val="single"/>
              </w:rPr>
              <w:t>FY 2025</w:t>
            </w:r>
          </w:p>
        </w:tc>
        <w:tc>
          <w:tcPr>
            <w:tcW w:w="1347" w:type="dxa"/>
            <w:tcBorders>
              <w:top w:val="single" w:sz="4" w:space="0" w:color="auto"/>
            </w:tcBorders>
            <w:vAlign w:val="center"/>
          </w:tcPr>
          <w:p w:rsidR="00207811" w:rsidRPr="00207811" w:rsidP="00207811" w14:paraId="799BA6EB" w14:textId="77777777">
            <w:pPr>
              <w:ind w:right="72"/>
              <w:jc w:val="right"/>
              <w:rPr>
                <w:sz w:val="18"/>
                <w:szCs w:val="18"/>
              </w:rPr>
            </w:pPr>
          </w:p>
        </w:tc>
        <w:tc>
          <w:tcPr>
            <w:tcW w:w="1440" w:type="dxa"/>
            <w:tcBorders>
              <w:top w:val="single" w:sz="4" w:space="0" w:color="auto"/>
            </w:tcBorders>
            <w:vAlign w:val="center"/>
          </w:tcPr>
          <w:p w:rsidR="00207811" w:rsidRPr="00207811" w:rsidP="00207811" w14:paraId="635F89C4" w14:textId="77777777">
            <w:pPr>
              <w:ind w:right="72"/>
              <w:jc w:val="right"/>
              <w:rPr>
                <w:sz w:val="18"/>
                <w:szCs w:val="18"/>
              </w:rPr>
            </w:pPr>
          </w:p>
        </w:tc>
        <w:tc>
          <w:tcPr>
            <w:tcW w:w="1351" w:type="dxa"/>
            <w:tcBorders>
              <w:top w:val="single" w:sz="4" w:space="0" w:color="auto"/>
            </w:tcBorders>
            <w:vAlign w:val="center"/>
          </w:tcPr>
          <w:p w:rsidR="00207811" w:rsidRPr="00207811" w:rsidP="00207811" w14:paraId="633522E8" w14:textId="77777777">
            <w:pPr>
              <w:ind w:right="72"/>
              <w:jc w:val="right"/>
              <w:rPr>
                <w:sz w:val="18"/>
                <w:szCs w:val="18"/>
              </w:rPr>
            </w:pPr>
          </w:p>
        </w:tc>
        <w:tc>
          <w:tcPr>
            <w:tcW w:w="1349" w:type="dxa"/>
            <w:tcBorders>
              <w:top w:val="single" w:sz="4" w:space="0" w:color="auto"/>
            </w:tcBorders>
            <w:vAlign w:val="center"/>
          </w:tcPr>
          <w:p w:rsidR="00207811" w:rsidRPr="00207811" w:rsidP="00207811" w14:paraId="0888FE0B" w14:textId="77777777">
            <w:pPr>
              <w:jc w:val="right"/>
              <w:rPr>
                <w:sz w:val="18"/>
                <w:szCs w:val="18"/>
              </w:rPr>
            </w:pPr>
          </w:p>
        </w:tc>
        <w:tc>
          <w:tcPr>
            <w:tcW w:w="1440" w:type="dxa"/>
            <w:tcBorders>
              <w:top w:val="single" w:sz="4" w:space="0" w:color="auto"/>
            </w:tcBorders>
            <w:vAlign w:val="center"/>
          </w:tcPr>
          <w:p w:rsidR="00207811" w:rsidRPr="00207811" w:rsidP="00207811" w14:paraId="0A86A4B8" w14:textId="77777777">
            <w:pPr>
              <w:ind w:right="72"/>
              <w:jc w:val="right"/>
              <w:rPr>
                <w:sz w:val="18"/>
                <w:szCs w:val="18"/>
              </w:rPr>
            </w:pPr>
          </w:p>
        </w:tc>
      </w:tr>
      <w:tr w14:paraId="71FCAC1B" w14:textId="77777777" w:rsidTr="00D93A8D">
        <w:tblPrEx>
          <w:tblW w:w="9540" w:type="dxa"/>
          <w:jc w:val="center"/>
          <w:tblLook w:val="04A0"/>
        </w:tblPrEx>
        <w:trPr>
          <w:jc w:val="center"/>
        </w:trPr>
        <w:tc>
          <w:tcPr>
            <w:tcW w:w="2613" w:type="dxa"/>
            <w:vAlign w:val="center"/>
          </w:tcPr>
          <w:p w:rsidR="00207811" w:rsidRPr="00207811" w:rsidP="00207811" w14:paraId="7CCC0C39" w14:textId="77777777">
            <w:pPr>
              <w:rPr>
                <w:sz w:val="18"/>
                <w:szCs w:val="18"/>
              </w:rPr>
            </w:pPr>
            <w:r w:rsidRPr="00207811">
              <w:rPr>
                <w:sz w:val="18"/>
                <w:szCs w:val="18"/>
              </w:rPr>
              <w:t>Assets Other Than Intragovernmental</w:t>
            </w:r>
          </w:p>
        </w:tc>
        <w:tc>
          <w:tcPr>
            <w:tcW w:w="1347" w:type="dxa"/>
            <w:vAlign w:val="center"/>
          </w:tcPr>
          <w:p w:rsidR="00207811" w:rsidRPr="00207811" w:rsidP="00207811" w14:paraId="3AFDCF28" w14:textId="77777777">
            <w:pPr>
              <w:ind w:right="72"/>
              <w:jc w:val="right"/>
              <w:rPr>
                <w:sz w:val="18"/>
                <w:szCs w:val="18"/>
              </w:rPr>
            </w:pPr>
          </w:p>
        </w:tc>
        <w:tc>
          <w:tcPr>
            <w:tcW w:w="1440" w:type="dxa"/>
            <w:vAlign w:val="center"/>
          </w:tcPr>
          <w:p w:rsidR="00207811" w:rsidRPr="00207811" w:rsidP="00207811" w14:paraId="36011377" w14:textId="77777777">
            <w:pPr>
              <w:ind w:right="72"/>
              <w:jc w:val="right"/>
              <w:rPr>
                <w:sz w:val="18"/>
                <w:szCs w:val="18"/>
              </w:rPr>
            </w:pPr>
          </w:p>
        </w:tc>
        <w:tc>
          <w:tcPr>
            <w:tcW w:w="1351" w:type="dxa"/>
            <w:vAlign w:val="center"/>
          </w:tcPr>
          <w:p w:rsidR="00207811" w:rsidRPr="00207811" w:rsidP="00207811" w14:paraId="62547F37" w14:textId="77777777">
            <w:pPr>
              <w:ind w:right="72"/>
              <w:jc w:val="right"/>
              <w:rPr>
                <w:sz w:val="18"/>
                <w:szCs w:val="18"/>
              </w:rPr>
            </w:pPr>
          </w:p>
        </w:tc>
        <w:tc>
          <w:tcPr>
            <w:tcW w:w="1349" w:type="dxa"/>
            <w:vAlign w:val="center"/>
          </w:tcPr>
          <w:p w:rsidR="00207811" w:rsidRPr="00207811" w:rsidP="00207811" w14:paraId="5EA149A7" w14:textId="77777777">
            <w:pPr>
              <w:jc w:val="right"/>
              <w:rPr>
                <w:sz w:val="18"/>
                <w:szCs w:val="18"/>
              </w:rPr>
            </w:pPr>
          </w:p>
        </w:tc>
        <w:tc>
          <w:tcPr>
            <w:tcW w:w="1440" w:type="dxa"/>
            <w:vAlign w:val="center"/>
          </w:tcPr>
          <w:p w:rsidR="00207811" w:rsidRPr="00207811" w:rsidP="00207811" w14:paraId="6C93825A" w14:textId="77777777">
            <w:pPr>
              <w:ind w:right="72"/>
              <w:jc w:val="right"/>
              <w:rPr>
                <w:sz w:val="18"/>
                <w:szCs w:val="18"/>
              </w:rPr>
            </w:pPr>
          </w:p>
        </w:tc>
      </w:tr>
      <w:tr w14:paraId="03C5E66A" w14:textId="77777777" w:rsidTr="00D93A8D">
        <w:tblPrEx>
          <w:tblW w:w="9540" w:type="dxa"/>
          <w:jc w:val="center"/>
          <w:tblLook w:val="04A0"/>
        </w:tblPrEx>
        <w:trPr>
          <w:jc w:val="center"/>
        </w:trPr>
        <w:tc>
          <w:tcPr>
            <w:tcW w:w="2613" w:type="dxa"/>
            <w:vAlign w:val="center"/>
          </w:tcPr>
          <w:p w:rsidR="00207811" w:rsidRPr="00207811" w:rsidP="00207811" w14:paraId="056379EE" w14:textId="77777777">
            <w:pPr>
              <w:ind w:left="432"/>
              <w:rPr>
                <w:sz w:val="18"/>
                <w:szCs w:val="18"/>
              </w:rPr>
            </w:pPr>
            <w:r w:rsidRPr="00207811">
              <w:rPr>
                <w:sz w:val="18"/>
                <w:szCs w:val="18"/>
              </w:rPr>
              <w:t>Accounts Receivable, Net</w:t>
            </w:r>
          </w:p>
        </w:tc>
        <w:tc>
          <w:tcPr>
            <w:tcW w:w="1347" w:type="dxa"/>
            <w:vAlign w:val="center"/>
          </w:tcPr>
          <w:p w:rsidR="00207811" w:rsidRPr="00207811" w:rsidP="00207811" w14:paraId="54494526" w14:textId="77777777">
            <w:pPr>
              <w:rPr>
                <w:sz w:val="18"/>
                <w:szCs w:val="18"/>
              </w:rPr>
            </w:pPr>
            <w:r w:rsidRPr="00207811">
              <w:rPr>
                <w:sz w:val="18"/>
                <w:szCs w:val="18"/>
              </w:rPr>
              <w:t>$          907,541</w:t>
            </w:r>
          </w:p>
        </w:tc>
        <w:tc>
          <w:tcPr>
            <w:tcW w:w="1440" w:type="dxa"/>
            <w:vAlign w:val="center"/>
          </w:tcPr>
          <w:p w:rsidR="00207811" w:rsidRPr="00207811" w:rsidP="00207811" w14:paraId="19EEAAA8" w14:textId="77777777">
            <w:pPr>
              <w:rPr>
                <w:sz w:val="18"/>
                <w:szCs w:val="18"/>
              </w:rPr>
            </w:pPr>
            <w:r w:rsidRPr="00207811">
              <w:rPr>
                <w:sz w:val="18"/>
                <w:szCs w:val="18"/>
              </w:rPr>
              <w:t>$            26,866</w:t>
            </w:r>
          </w:p>
        </w:tc>
        <w:tc>
          <w:tcPr>
            <w:tcW w:w="1351" w:type="dxa"/>
            <w:vAlign w:val="center"/>
          </w:tcPr>
          <w:p w:rsidR="00207811" w:rsidRPr="00207811" w:rsidP="00207811" w14:paraId="7415BF6D" w14:textId="77777777">
            <w:pPr>
              <w:rPr>
                <w:sz w:val="18"/>
                <w:szCs w:val="18"/>
                <w:highlight w:val="yellow"/>
              </w:rPr>
            </w:pPr>
            <w:r w:rsidRPr="00207811">
              <w:rPr>
                <w:sz w:val="18"/>
                <w:szCs w:val="18"/>
              </w:rPr>
              <w:t>$          934,407</w:t>
            </w:r>
          </w:p>
        </w:tc>
        <w:tc>
          <w:tcPr>
            <w:tcW w:w="1349" w:type="dxa"/>
            <w:vAlign w:val="center"/>
          </w:tcPr>
          <w:p w:rsidR="00207811" w:rsidRPr="00207811" w:rsidP="00207811" w14:paraId="015DB4FC" w14:textId="77777777">
            <w:pPr>
              <w:rPr>
                <w:sz w:val="18"/>
                <w:szCs w:val="18"/>
                <w:highlight w:val="yellow"/>
              </w:rPr>
            </w:pPr>
            <w:r w:rsidRPr="00207811">
              <w:rPr>
                <w:sz w:val="18"/>
                <w:szCs w:val="18"/>
              </w:rPr>
              <w:t>$           (312)</w:t>
            </w:r>
          </w:p>
        </w:tc>
        <w:tc>
          <w:tcPr>
            <w:tcW w:w="1440" w:type="dxa"/>
            <w:vAlign w:val="center"/>
          </w:tcPr>
          <w:p w:rsidR="00207811" w:rsidRPr="00207811" w:rsidP="00207811" w14:paraId="02F4C8BF" w14:textId="77777777">
            <w:pPr>
              <w:rPr>
                <w:sz w:val="18"/>
                <w:szCs w:val="18"/>
              </w:rPr>
            </w:pPr>
            <w:r w:rsidRPr="00207811">
              <w:rPr>
                <w:sz w:val="18"/>
                <w:szCs w:val="18"/>
              </w:rPr>
              <w:t>$        934,095</w:t>
            </w:r>
          </w:p>
        </w:tc>
      </w:tr>
      <w:tr w14:paraId="4BE8358D" w14:textId="77777777" w:rsidTr="00D93A8D">
        <w:tblPrEx>
          <w:tblW w:w="9540" w:type="dxa"/>
          <w:jc w:val="center"/>
          <w:tblLook w:val="04A0"/>
        </w:tblPrEx>
        <w:trPr>
          <w:jc w:val="center"/>
        </w:trPr>
        <w:tc>
          <w:tcPr>
            <w:tcW w:w="2613" w:type="dxa"/>
            <w:vAlign w:val="center"/>
          </w:tcPr>
          <w:p w:rsidR="00207811" w:rsidRPr="00207811" w:rsidP="00207811" w14:paraId="5A2510C3" w14:textId="77777777">
            <w:pPr>
              <w:rPr>
                <w:sz w:val="18"/>
                <w:szCs w:val="18"/>
              </w:rPr>
            </w:pPr>
          </w:p>
        </w:tc>
        <w:tc>
          <w:tcPr>
            <w:tcW w:w="1347" w:type="dxa"/>
            <w:vAlign w:val="center"/>
          </w:tcPr>
          <w:p w:rsidR="00207811" w:rsidRPr="00207811" w:rsidP="00207811" w14:paraId="5B00E665" w14:textId="77777777">
            <w:pPr>
              <w:rPr>
                <w:sz w:val="18"/>
                <w:szCs w:val="18"/>
              </w:rPr>
            </w:pPr>
          </w:p>
        </w:tc>
        <w:tc>
          <w:tcPr>
            <w:tcW w:w="1440" w:type="dxa"/>
            <w:vAlign w:val="center"/>
          </w:tcPr>
          <w:p w:rsidR="00207811" w:rsidRPr="00207811" w:rsidP="00207811" w14:paraId="4C93A475" w14:textId="77777777">
            <w:pPr>
              <w:rPr>
                <w:sz w:val="18"/>
                <w:szCs w:val="18"/>
              </w:rPr>
            </w:pPr>
          </w:p>
        </w:tc>
        <w:tc>
          <w:tcPr>
            <w:tcW w:w="1351" w:type="dxa"/>
            <w:vAlign w:val="center"/>
          </w:tcPr>
          <w:p w:rsidR="00207811" w:rsidRPr="00207811" w:rsidP="00207811" w14:paraId="5718E855" w14:textId="77777777">
            <w:pPr>
              <w:rPr>
                <w:sz w:val="18"/>
                <w:szCs w:val="18"/>
              </w:rPr>
            </w:pPr>
          </w:p>
        </w:tc>
        <w:tc>
          <w:tcPr>
            <w:tcW w:w="1349" w:type="dxa"/>
            <w:vAlign w:val="center"/>
          </w:tcPr>
          <w:p w:rsidR="00207811" w:rsidRPr="00207811" w:rsidP="00207811" w14:paraId="7195D7D2" w14:textId="77777777">
            <w:pPr>
              <w:rPr>
                <w:sz w:val="18"/>
                <w:szCs w:val="18"/>
              </w:rPr>
            </w:pPr>
          </w:p>
        </w:tc>
        <w:tc>
          <w:tcPr>
            <w:tcW w:w="1440" w:type="dxa"/>
            <w:vAlign w:val="center"/>
          </w:tcPr>
          <w:p w:rsidR="00207811" w:rsidRPr="00207811" w:rsidP="00207811" w14:paraId="1C85966B" w14:textId="77777777">
            <w:pPr>
              <w:rPr>
                <w:sz w:val="18"/>
                <w:szCs w:val="18"/>
              </w:rPr>
            </w:pPr>
          </w:p>
        </w:tc>
      </w:tr>
      <w:tr w14:paraId="679332A0" w14:textId="77777777" w:rsidTr="00D93A8D">
        <w:tblPrEx>
          <w:tblW w:w="9540" w:type="dxa"/>
          <w:jc w:val="center"/>
          <w:tblLook w:val="04A0"/>
        </w:tblPrEx>
        <w:trPr>
          <w:trHeight w:val="450"/>
          <w:jc w:val="center"/>
        </w:trPr>
        <w:tc>
          <w:tcPr>
            <w:tcW w:w="2613" w:type="dxa"/>
            <w:vAlign w:val="center"/>
          </w:tcPr>
          <w:p w:rsidR="00207811" w:rsidRPr="00207811" w:rsidP="00207811" w14:paraId="265B4248" w14:textId="77777777">
            <w:pPr>
              <w:rPr>
                <w:sz w:val="18"/>
                <w:szCs w:val="18"/>
              </w:rPr>
            </w:pPr>
            <w:r w:rsidRPr="00207811">
              <w:rPr>
                <w:sz w:val="18"/>
                <w:szCs w:val="18"/>
              </w:rPr>
              <w:t>Liabilities Other Than Intragovernmental</w:t>
            </w:r>
          </w:p>
        </w:tc>
        <w:tc>
          <w:tcPr>
            <w:tcW w:w="1347" w:type="dxa"/>
            <w:vAlign w:val="center"/>
          </w:tcPr>
          <w:p w:rsidR="00207811" w:rsidRPr="00207811" w:rsidP="00207811" w14:paraId="160A98C1" w14:textId="77777777">
            <w:pPr>
              <w:rPr>
                <w:sz w:val="18"/>
                <w:szCs w:val="18"/>
              </w:rPr>
            </w:pPr>
          </w:p>
        </w:tc>
        <w:tc>
          <w:tcPr>
            <w:tcW w:w="1440" w:type="dxa"/>
            <w:vAlign w:val="center"/>
          </w:tcPr>
          <w:p w:rsidR="00207811" w:rsidRPr="00207811" w:rsidP="00207811" w14:paraId="2F92DA5D" w14:textId="77777777">
            <w:pPr>
              <w:rPr>
                <w:sz w:val="18"/>
                <w:szCs w:val="18"/>
              </w:rPr>
            </w:pPr>
          </w:p>
        </w:tc>
        <w:tc>
          <w:tcPr>
            <w:tcW w:w="1351" w:type="dxa"/>
            <w:tcBorders>
              <w:left w:val="nil"/>
            </w:tcBorders>
            <w:vAlign w:val="center"/>
          </w:tcPr>
          <w:p w:rsidR="00207811" w:rsidRPr="00207811" w:rsidP="00207811" w14:paraId="2FCFE8BE" w14:textId="77777777">
            <w:pPr>
              <w:rPr>
                <w:sz w:val="18"/>
                <w:szCs w:val="18"/>
              </w:rPr>
            </w:pPr>
          </w:p>
        </w:tc>
        <w:tc>
          <w:tcPr>
            <w:tcW w:w="1349" w:type="dxa"/>
            <w:vAlign w:val="center"/>
          </w:tcPr>
          <w:p w:rsidR="00207811" w:rsidRPr="00207811" w:rsidP="00207811" w14:paraId="56209B63" w14:textId="77777777">
            <w:pPr>
              <w:rPr>
                <w:sz w:val="18"/>
                <w:szCs w:val="18"/>
              </w:rPr>
            </w:pPr>
          </w:p>
        </w:tc>
        <w:tc>
          <w:tcPr>
            <w:tcW w:w="1440" w:type="dxa"/>
            <w:vAlign w:val="center"/>
          </w:tcPr>
          <w:p w:rsidR="00207811" w:rsidRPr="00207811" w:rsidP="00207811" w14:paraId="3BF6010D" w14:textId="77777777">
            <w:pPr>
              <w:rPr>
                <w:sz w:val="18"/>
                <w:szCs w:val="18"/>
              </w:rPr>
            </w:pPr>
          </w:p>
        </w:tc>
      </w:tr>
      <w:tr w14:paraId="153ECD61" w14:textId="77777777" w:rsidTr="00D93A8D">
        <w:tblPrEx>
          <w:tblW w:w="9540" w:type="dxa"/>
          <w:jc w:val="center"/>
          <w:tblLook w:val="04A0"/>
        </w:tblPrEx>
        <w:trPr>
          <w:jc w:val="center"/>
        </w:trPr>
        <w:tc>
          <w:tcPr>
            <w:tcW w:w="2613" w:type="dxa"/>
            <w:vAlign w:val="center"/>
          </w:tcPr>
          <w:p w:rsidR="00207811" w:rsidRPr="00207811" w:rsidP="00207811" w14:paraId="150A1B57" w14:textId="77777777">
            <w:pPr>
              <w:ind w:left="432"/>
              <w:rPr>
                <w:sz w:val="18"/>
                <w:szCs w:val="18"/>
              </w:rPr>
            </w:pPr>
            <w:r w:rsidRPr="00207811">
              <w:rPr>
                <w:sz w:val="18"/>
                <w:szCs w:val="18"/>
              </w:rPr>
              <w:t>Other Liabilities - Other</w:t>
            </w:r>
          </w:p>
        </w:tc>
        <w:tc>
          <w:tcPr>
            <w:tcW w:w="1347" w:type="dxa"/>
            <w:vAlign w:val="center"/>
          </w:tcPr>
          <w:p w:rsidR="00207811" w:rsidRPr="00207811" w:rsidP="00207811" w14:paraId="3FC78BB5" w14:textId="77777777">
            <w:pPr>
              <w:rPr>
                <w:sz w:val="18"/>
                <w:szCs w:val="18"/>
                <w:highlight w:val="yellow"/>
              </w:rPr>
            </w:pPr>
            <w:r w:rsidRPr="00207811">
              <w:rPr>
                <w:sz w:val="18"/>
                <w:szCs w:val="18"/>
              </w:rPr>
              <w:t>$          600,692</w:t>
            </w:r>
          </w:p>
        </w:tc>
        <w:tc>
          <w:tcPr>
            <w:tcW w:w="1440" w:type="dxa"/>
            <w:vAlign w:val="center"/>
          </w:tcPr>
          <w:p w:rsidR="00207811" w:rsidRPr="00207811" w:rsidP="00207811" w14:paraId="654773F2" w14:textId="77777777">
            <w:pPr>
              <w:rPr>
                <w:sz w:val="18"/>
                <w:szCs w:val="18"/>
                <w:highlight w:val="yellow"/>
              </w:rPr>
            </w:pPr>
            <w:r w:rsidRPr="00207811">
              <w:rPr>
                <w:sz w:val="18"/>
                <w:szCs w:val="18"/>
              </w:rPr>
              <w:t>$              6,031</w:t>
            </w:r>
          </w:p>
        </w:tc>
        <w:tc>
          <w:tcPr>
            <w:tcW w:w="1351" w:type="dxa"/>
            <w:tcBorders>
              <w:left w:val="nil"/>
            </w:tcBorders>
            <w:vAlign w:val="center"/>
          </w:tcPr>
          <w:p w:rsidR="00207811" w:rsidRPr="00207811" w:rsidP="00207811" w14:paraId="0137F8EA" w14:textId="77777777">
            <w:pPr>
              <w:rPr>
                <w:sz w:val="18"/>
                <w:szCs w:val="18"/>
                <w:highlight w:val="yellow"/>
              </w:rPr>
            </w:pPr>
            <w:r w:rsidRPr="00207811">
              <w:rPr>
                <w:sz w:val="18"/>
                <w:szCs w:val="18"/>
              </w:rPr>
              <w:t>$          606,723</w:t>
            </w:r>
          </w:p>
        </w:tc>
        <w:tc>
          <w:tcPr>
            <w:tcW w:w="1349" w:type="dxa"/>
            <w:vAlign w:val="center"/>
          </w:tcPr>
          <w:p w:rsidR="00207811" w:rsidRPr="00207811" w:rsidP="00207811" w14:paraId="5B54CEFF" w14:textId="77777777">
            <w:pPr>
              <w:rPr>
                <w:sz w:val="18"/>
                <w:szCs w:val="18"/>
                <w:highlight w:val="yellow"/>
              </w:rPr>
            </w:pPr>
            <w:r w:rsidRPr="00207811">
              <w:rPr>
                <w:sz w:val="18"/>
                <w:szCs w:val="18"/>
              </w:rPr>
              <w:t>$           (312)</w:t>
            </w:r>
          </w:p>
        </w:tc>
        <w:tc>
          <w:tcPr>
            <w:tcW w:w="1440" w:type="dxa"/>
            <w:vAlign w:val="center"/>
          </w:tcPr>
          <w:p w:rsidR="00207811" w:rsidRPr="00207811" w:rsidP="00207811" w14:paraId="5F95E9FF" w14:textId="77777777">
            <w:pPr>
              <w:rPr>
                <w:sz w:val="18"/>
                <w:szCs w:val="18"/>
                <w:highlight w:val="yellow"/>
              </w:rPr>
            </w:pPr>
            <w:r w:rsidRPr="00207811">
              <w:rPr>
                <w:sz w:val="18"/>
                <w:szCs w:val="18"/>
              </w:rPr>
              <w:t>$        606,411</w:t>
            </w:r>
          </w:p>
        </w:tc>
      </w:tr>
      <w:tr w14:paraId="000F2D52" w14:textId="77777777" w:rsidTr="00D93A8D">
        <w:tblPrEx>
          <w:tblW w:w="9540" w:type="dxa"/>
          <w:jc w:val="center"/>
          <w:tblLook w:val="04A0"/>
        </w:tblPrEx>
        <w:trPr>
          <w:jc w:val="center"/>
        </w:trPr>
        <w:tc>
          <w:tcPr>
            <w:tcW w:w="2613" w:type="dxa"/>
            <w:vAlign w:val="center"/>
          </w:tcPr>
          <w:p w:rsidR="00207811" w:rsidRPr="00207811" w:rsidP="00207811" w14:paraId="2559D1BD" w14:textId="77777777">
            <w:pPr>
              <w:rPr>
                <w:sz w:val="18"/>
                <w:szCs w:val="18"/>
              </w:rPr>
            </w:pPr>
          </w:p>
        </w:tc>
        <w:tc>
          <w:tcPr>
            <w:tcW w:w="1347" w:type="dxa"/>
            <w:vAlign w:val="center"/>
          </w:tcPr>
          <w:p w:rsidR="00207811" w:rsidRPr="00207811" w:rsidP="00207811" w14:paraId="01D00ECA" w14:textId="77777777">
            <w:pPr>
              <w:rPr>
                <w:sz w:val="18"/>
                <w:szCs w:val="18"/>
              </w:rPr>
            </w:pPr>
          </w:p>
        </w:tc>
        <w:tc>
          <w:tcPr>
            <w:tcW w:w="1440" w:type="dxa"/>
            <w:vAlign w:val="center"/>
          </w:tcPr>
          <w:p w:rsidR="00207811" w:rsidRPr="00207811" w:rsidP="00207811" w14:paraId="25D407AB" w14:textId="77777777">
            <w:pPr>
              <w:rPr>
                <w:sz w:val="18"/>
                <w:szCs w:val="18"/>
              </w:rPr>
            </w:pPr>
          </w:p>
        </w:tc>
        <w:tc>
          <w:tcPr>
            <w:tcW w:w="1351" w:type="dxa"/>
            <w:tcBorders>
              <w:left w:val="nil"/>
            </w:tcBorders>
            <w:vAlign w:val="center"/>
          </w:tcPr>
          <w:p w:rsidR="00207811" w:rsidRPr="00207811" w:rsidP="00207811" w14:paraId="5236EC03" w14:textId="77777777">
            <w:pPr>
              <w:rPr>
                <w:sz w:val="18"/>
                <w:szCs w:val="18"/>
              </w:rPr>
            </w:pPr>
          </w:p>
        </w:tc>
        <w:tc>
          <w:tcPr>
            <w:tcW w:w="1349" w:type="dxa"/>
            <w:vAlign w:val="center"/>
          </w:tcPr>
          <w:p w:rsidR="00207811" w:rsidRPr="00207811" w:rsidP="00207811" w14:paraId="2009051C" w14:textId="77777777">
            <w:pPr>
              <w:rPr>
                <w:sz w:val="18"/>
                <w:szCs w:val="18"/>
              </w:rPr>
            </w:pPr>
          </w:p>
        </w:tc>
        <w:tc>
          <w:tcPr>
            <w:tcW w:w="1440" w:type="dxa"/>
            <w:vAlign w:val="center"/>
          </w:tcPr>
          <w:p w:rsidR="00207811" w:rsidRPr="00207811" w:rsidP="00207811" w14:paraId="1515CABB" w14:textId="77777777">
            <w:pPr>
              <w:rPr>
                <w:sz w:val="18"/>
                <w:szCs w:val="18"/>
              </w:rPr>
            </w:pPr>
          </w:p>
        </w:tc>
      </w:tr>
    </w:tbl>
    <w:p w:rsidR="00207811" w:rsidRPr="00207811" w:rsidP="00207811" w14:paraId="614A5DE8" w14:textId="77777777"/>
    <w:p w:rsidR="00207811" w:rsidRPr="00207811" w:rsidP="00207811" w14:paraId="7D01732F" w14:textId="77777777">
      <w:pPr>
        <w:rPr>
          <w:sz w:val="22"/>
          <w:szCs w:val="22"/>
        </w:rPr>
      </w:pPr>
    </w:p>
    <w:p w:rsidR="00207811" w:rsidRPr="00207811" w:rsidP="00207811" w14:paraId="3BACBAC0"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 xml:space="preserve">Note 12 – Inter-Entity Costs  </w:t>
      </w:r>
    </w:p>
    <w:p w:rsidR="00207811" w:rsidRPr="00207811" w:rsidP="00207811" w14:paraId="6C852825" w14:textId="77777777">
      <w:pPr>
        <w:jc w:val="both"/>
        <w:rPr>
          <w:sz w:val="22"/>
          <w:szCs w:val="22"/>
        </w:rPr>
      </w:pPr>
    </w:p>
    <w:p w:rsidR="00207811" w:rsidRPr="00207811" w:rsidP="00207811" w14:paraId="4B620FD2" w14:textId="77777777">
      <w:pPr>
        <w:jc w:val="both"/>
        <w:rPr>
          <w:sz w:val="22"/>
          <w:szCs w:val="22"/>
        </w:rPr>
      </w:pPr>
      <w:r w:rsidRPr="00207811">
        <w:rPr>
          <w:sz w:val="22"/>
          <w:szCs w:val="22"/>
        </w:rPr>
        <w:t xml:space="preserve">Goods and services are received from other federal entities at no cost or at a cost less than the full cost to the providing federal entity.  Consistent with accounting standards, certain costs of the providing entity that are not fully reimbursed by the Commission are recognized as imputed cost in the Statement of Net Cost and are offset by imputed revenue in the Statement of Changes in Net Position.  Such imputed costs and revenues relate to employee benefits.  However, unreimbursed costs of goods and services other than those identified above are not included in our financial statements. </w:t>
      </w:r>
    </w:p>
    <w:p w:rsidR="00207811" w:rsidRPr="00207811" w:rsidP="00207811" w14:paraId="0C05D936" w14:textId="77777777">
      <w:pPr>
        <w:jc w:val="both"/>
        <w:rPr>
          <w:sz w:val="22"/>
          <w:szCs w:val="22"/>
        </w:rPr>
      </w:pPr>
    </w:p>
    <w:p w:rsidR="00207811" w:rsidRPr="00207811" w:rsidP="00207811" w14:paraId="576AB200" w14:textId="77777777">
      <w:pPr>
        <w:jc w:val="both"/>
        <w:rPr>
          <w:sz w:val="22"/>
          <w:szCs w:val="22"/>
        </w:rPr>
      </w:pPr>
    </w:p>
    <w:p w:rsidR="00207811" w:rsidRPr="00207811" w:rsidP="00207811" w14:paraId="333B8B7C"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Note 13 – Undelivered Orders at the End of the Period</w:t>
      </w:r>
    </w:p>
    <w:p w:rsidR="00207811" w:rsidRPr="00207811" w:rsidP="00207811" w14:paraId="0E62D397" w14:textId="77777777">
      <w:pPr>
        <w:rPr>
          <w:bCs/>
          <w:sz w:val="22"/>
          <w:szCs w:val="22"/>
        </w:rPr>
      </w:pPr>
    </w:p>
    <w:p w:rsidR="00207811" w:rsidRPr="00207811" w:rsidP="00207811" w14:paraId="005BFC89" w14:textId="77777777">
      <w:pPr>
        <w:jc w:val="both"/>
        <w:rPr>
          <w:sz w:val="22"/>
          <w:szCs w:val="22"/>
        </w:rPr>
      </w:pPr>
      <w:r w:rsidRPr="00207811">
        <w:rPr>
          <w:sz w:val="22"/>
          <w:szCs w:val="22"/>
        </w:rPr>
        <w:t xml:space="preserve">The amount of budgetary resources obligated for undelivered orders totaled $29,474,508 as of September 30, 2025.  The following summarizes Undelivered Orders.  </w:t>
      </w:r>
    </w:p>
    <w:p w:rsidR="00207811" w:rsidRPr="00207811" w:rsidP="00207811" w14:paraId="63F3BB7B" w14:textId="77777777">
      <w:pPr>
        <w:jc w:val="both"/>
        <w:rPr>
          <w:sz w:val="22"/>
          <w:szCs w:val="22"/>
        </w:rPr>
      </w:pPr>
    </w:p>
    <w:tbl>
      <w:tblPr>
        <w:tblStyle w:val="TableGrid12"/>
        <w:tblW w:w="0" w:type="auto"/>
        <w:jc w:val="center"/>
        <w:tblLook w:val="04A0"/>
      </w:tblPr>
      <w:tblGrid>
        <w:gridCol w:w="4315"/>
        <w:gridCol w:w="1440"/>
        <w:gridCol w:w="270"/>
        <w:gridCol w:w="1521"/>
        <w:gridCol w:w="245"/>
        <w:gridCol w:w="1559"/>
      </w:tblGrid>
      <w:tr w14:paraId="420117AF" w14:textId="77777777" w:rsidTr="00D93A8D">
        <w:tblPrEx>
          <w:tblW w:w="0" w:type="auto"/>
          <w:jc w:val="center"/>
          <w:tblLook w:val="04A0"/>
        </w:tblPrEx>
        <w:trPr>
          <w:jc w:val="center"/>
        </w:trPr>
        <w:tc>
          <w:tcPr>
            <w:tcW w:w="4315" w:type="dxa"/>
          </w:tcPr>
          <w:p w:rsidR="00207811" w:rsidRPr="00207811" w:rsidP="00207811" w14:paraId="186C41DE" w14:textId="77777777">
            <w:pPr>
              <w:rPr>
                <w:bCs/>
                <w:sz w:val="22"/>
                <w:szCs w:val="22"/>
                <w:u w:val="single"/>
              </w:rPr>
            </w:pPr>
            <w:r w:rsidRPr="00207811">
              <w:rPr>
                <w:bCs/>
                <w:sz w:val="22"/>
                <w:szCs w:val="22"/>
                <w:u w:val="single"/>
              </w:rPr>
              <w:t>FY 2025</w:t>
            </w:r>
          </w:p>
        </w:tc>
        <w:tc>
          <w:tcPr>
            <w:tcW w:w="1440" w:type="dxa"/>
            <w:tcBorders>
              <w:bottom w:val="single" w:sz="4" w:space="0" w:color="auto"/>
            </w:tcBorders>
          </w:tcPr>
          <w:p w:rsidR="00207811" w:rsidRPr="00207811" w:rsidP="00207811" w14:paraId="0C279DE5" w14:textId="77777777">
            <w:pPr>
              <w:jc w:val="center"/>
              <w:rPr>
                <w:bCs/>
                <w:sz w:val="22"/>
                <w:szCs w:val="22"/>
              </w:rPr>
            </w:pPr>
            <w:r w:rsidRPr="00207811">
              <w:rPr>
                <w:bCs/>
                <w:sz w:val="22"/>
                <w:szCs w:val="22"/>
              </w:rPr>
              <w:t>Federal</w:t>
            </w:r>
          </w:p>
        </w:tc>
        <w:tc>
          <w:tcPr>
            <w:tcW w:w="270" w:type="dxa"/>
          </w:tcPr>
          <w:p w:rsidR="00207811" w:rsidRPr="00207811" w:rsidP="00207811" w14:paraId="66E10F2A" w14:textId="77777777">
            <w:pPr>
              <w:jc w:val="center"/>
              <w:rPr>
                <w:bCs/>
                <w:sz w:val="22"/>
                <w:szCs w:val="22"/>
              </w:rPr>
            </w:pPr>
          </w:p>
        </w:tc>
        <w:tc>
          <w:tcPr>
            <w:tcW w:w="1521" w:type="dxa"/>
            <w:tcBorders>
              <w:bottom w:val="single" w:sz="4" w:space="0" w:color="auto"/>
            </w:tcBorders>
          </w:tcPr>
          <w:p w:rsidR="00207811" w:rsidRPr="00207811" w:rsidP="00207811" w14:paraId="630FA834" w14:textId="77777777">
            <w:pPr>
              <w:jc w:val="center"/>
              <w:rPr>
                <w:bCs/>
                <w:sz w:val="22"/>
                <w:szCs w:val="22"/>
              </w:rPr>
            </w:pPr>
            <w:r w:rsidRPr="00207811">
              <w:rPr>
                <w:bCs/>
                <w:sz w:val="22"/>
                <w:szCs w:val="22"/>
              </w:rPr>
              <w:t>Non-Federal</w:t>
            </w:r>
          </w:p>
        </w:tc>
        <w:tc>
          <w:tcPr>
            <w:tcW w:w="245" w:type="dxa"/>
          </w:tcPr>
          <w:p w:rsidR="00207811" w:rsidRPr="00207811" w:rsidP="00207811" w14:paraId="6AB4CCF2" w14:textId="77777777">
            <w:pPr>
              <w:jc w:val="center"/>
              <w:rPr>
                <w:bCs/>
                <w:sz w:val="22"/>
                <w:szCs w:val="22"/>
              </w:rPr>
            </w:pPr>
          </w:p>
        </w:tc>
        <w:tc>
          <w:tcPr>
            <w:tcW w:w="1559" w:type="dxa"/>
            <w:tcBorders>
              <w:bottom w:val="single" w:sz="4" w:space="0" w:color="auto"/>
            </w:tcBorders>
          </w:tcPr>
          <w:p w:rsidR="00207811" w:rsidRPr="00207811" w:rsidP="00207811" w14:paraId="35275BFF" w14:textId="77777777">
            <w:pPr>
              <w:jc w:val="center"/>
              <w:rPr>
                <w:bCs/>
                <w:sz w:val="22"/>
                <w:szCs w:val="22"/>
              </w:rPr>
            </w:pPr>
            <w:r w:rsidRPr="00207811">
              <w:rPr>
                <w:bCs/>
                <w:sz w:val="22"/>
                <w:szCs w:val="22"/>
              </w:rPr>
              <w:t>Total</w:t>
            </w:r>
          </w:p>
        </w:tc>
      </w:tr>
      <w:tr w14:paraId="65602869" w14:textId="77777777" w:rsidTr="00D93A8D">
        <w:tblPrEx>
          <w:tblW w:w="0" w:type="auto"/>
          <w:jc w:val="center"/>
          <w:tblLook w:val="04A0"/>
        </w:tblPrEx>
        <w:trPr>
          <w:jc w:val="center"/>
        </w:trPr>
        <w:tc>
          <w:tcPr>
            <w:tcW w:w="4315" w:type="dxa"/>
          </w:tcPr>
          <w:p w:rsidR="00207811" w:rsidRPr="00207811" w:rsidP="00207811" w14:paraId="3EF66A71" w14:textId="77777777">
            <w:pPr>
              <w:rPr>
                <w:bCs/>
                <w:sz w:val="22"/>
                <w:szCs w:val="22"/>
              </w:rPr>
            </w:pPr>
            <w:r w:rsidRPr="00207811">
              <w:rPr>
                <w:bCs/>
                <w:sz w:val="22"/>
                <w:szCs w:val="22"/>
              </w:rPr>
              <w:t>Undelivered Orders-Unpaid</w:t>
            </w:r>
          </w:p>
        </w:tc>
        <w:tc>
          <w:tcPr>
            <w:tcW w:w="1440" w:type="dxa"/>
            <w:tcBorders>
              <w:top w:val="single" w:sz="4" w:space="0" w:color="auto"/>
            </w:tcBorders>
          </w:tcPr>
          <w:p w:rsidR="00207811" w:rsidRPr="00207811" w:rsidP="00207811" w14:paraId="0E5E510A" w14:textId="77777777">
            <w:pPr>
              <w:ind w:right="72"/>
              <w:jc w:val="right"/>
              <w:rPr>
                <w:sz w:val="22"/>
                <w:szCs w:val="22"/>
                <w:highlight w:val="yellow"/>
              </w:rPr>
            </w:pPr>
            <w:r w:rsidRPr="00207811">
              <w:rPr>
                <w:sz w:val="22"/>
                <w:szCs w:val="22"/>
              </w:rPr>
              <w:t>$         7,339</w:t>
            </w:r>
          </w:p>
        </w:tc>
        <w:tc>
          <w:tcPr>
            <w:tcW w:w="270" w:type="dxa"/>
          </w:tcPr>
          <w:p w:rsidR="00207811" w:rsidRPr="00207811" w:rsidP="00207811" w14:paraId="535793E5" w14:textId="77777777">
            <w:pPr>
              <w:jc w:val="right"/>
              <w:rPr>
                <w:bCs/>
                <w:sz w:val="22"/>
                <w:szCs w:val="22"/>
                <w:highlight w:val="yellow"/>
              </w:rPr>
            </w:pPr>
          </w:p>
        </w:tc>
        <w:tc>
          <w:tcPr>
            <w:tcW w:w="1521" w:type="dxa"/>
            <w:tcBorders>
              <w:top w:val="single" w:sz="4" w:space="0" w:color="auto"/>
            </w:tcBorders>
          </w:tcPr>
          <w:p w:rsidR="00207811" w:rsidRPr="00207811" w:rsidP="00207811" w14:paraId="61D198EC" w14:textId="77777777">
            <w:pPr>
              <w:jc w:val="right"/>
              <w:rPr>
                <w:sz w:val="22"/>
                <w:szCs w:val="22"/>
              </w:rPr>
            </w:pPr>
            <w:r w:rsidRPr="00207811">
              <w:rPr>
                <w:sz w:val="22"/>
                <w:szCs w:val="22"/>
              </w:rPr>
              <w:t>$   29,455,073</w:t>
            </w:r>
          </w:p>
        </w:tc>
        <w:tc>
          <w:tcPr>
            <w:tcW w:w="245" w:type="dxa"/>
          </w:tcPr>
          <w:p w:rsidR="00207811" w:rsidRPr="00207811" w:rsidP="00207811" w14:paraId="40E482AE" w14:textId="77777777">
            <w:pPr>
              <w:jc w:val="right"/>
              <w:rPr>
                <w:bCs/>
                <w:sz w:val="22"/>
                <w:szCs w:val="22"/>
                <w:highlight w:val="yellow"/>
              </w:rPr>
            </w:pPr>
          </w:p>
        </w:tc>
        <w:tc>
          <w:tcPr>
            <w:tcW w:w="1559" w:type="dxa"/>
            <w:tcBorders>
              <w:top w:val="single" w:sz="4" w:space="0" w:color="auto"/>
            </w:tcBorders>
          </w:tcPr>
          <w:p w:rsidR="00207811" w:rsidRPr="00207811" w:rsidP="00207811" w14:paraId="19762B19" w14:textId="77777777">
            <w:pPr>
              <w:jc w:val="right"/>
              <w:rPr>
                <w:sz w:val="22"/>
                <w:szCs w:val="22"/>
              </w:rPr>
            </w:pPr>
            <w:r w:rsidRPr="00207811">
              <w:rPr>
                <w:sz w:val="22"/>
                <w:szCs w:val="22"/>
              </w:rPr>
              <w:t>$    29,462,412</w:t>
            </w:r>
          </w:p>
        </w:tc>
      </w:tr>
      <w:tr w14:paraId="6C69C4AE" w14:textId="77777777" w:rsidTr="00D93A8D">
        <w:tblPrEx>
          <w:tblW w:w="0" w:type="auto"/>
          <w:jc w:val="center"/>
          <w:tblLook w:val="04A0"/>
        </w:tblPrEx>
        <w:trPr>
          <w:trHeight w:val="288"/>
          <w:jc w:val="center"/>
        </w:trPr>
        <w:tc>
          <w:tcPr>
            <w:tcW w:w="4315" w:type="dxa"/>
          </w:tcPr>
          <w:p w:rsidR="00207811" w:rsidRPr="00207811" w:rsidP="00207811" w14:paraId="34FB252D" w14:textId="77777777">
            <w:pPr>
              <w:rPr>
                <w:bCs/>
                <w:sz w:val="22"/>
                <w:szCs w:val="22"/>
              </w:rPr>
            </w:pPr>
            <w:r w:rsidRPr="00207811">
              <w:rPr>
                <w:bCs/>
                <w:sz w:val="22"/>
                <w:szCs w:val="22"/>
              </w:rPr>
              <w:t>Undelivered Orders-Paid</w:t>
            </w:r>
          </w:p>
        </w:tc>
        <w:tc>
          <w:tcPr>
            <w:tcW w:w="1440" w:type="dxa"/>
            <w:tcBorders>
              <w:bottom w:val="single" w:sz="4" w:space="0" w:color="auto"/>
            </w:tcBorders>
          </w:tcPr>
          <w:p w:rsidR="00207811" w:rsidRPr="00207811" w:rsidP="00207811" w14:paraId="21CE11CE" w14:textId="77777777">
            <w:pPr>
              <w:jc w:val="right"/>
              <w:rPr>
                <w:bCs/>
                <w:sz w:val="22"/>
                <w:szCs w:val="22"/>
                <w:highlight w:val="yellow"/>
              </w:rPr>
            </w:pPr>
            <w:r w:rsidRPr="00207811">
              <w:rPr>
                <w:sz w:val="22"/>
                <w:szCs w:val="22"/>
              </w:rPr>
              <w:t>(928)</w:t>
            </w:r>
          </w:p>
        </w:tc>
        <w:tc>
          <w:tcPr>
            <w:tcW w:w="270" w:type="dxa"/>
          </w:tcPr>
          <w:p w:rsidR="00207811" w:rsidRPr="00207811" w:rsidP="00207811" w14:paraId="798DD93C" w14:textId="77777777">
            <w:pPr>
              <w:jc w:val="right"/>
              <w:rPr>
                <w:bCs/>
                <w:sz w:val="22"/>
                <w:szCs w:val="22"/>
                <w:highlight w:val="yellow"/>
              </w:rPr>
            </w:pPr>
          </w:p>
        </w:tc>
        <w:tc>
          <w:tcPr>
            <w:tcW w:w="1521" w:type="dxa"/>
            <w:tcBorders>
              <w:bottom w:val="single" w:sz="4" w:space="0" w:color="auto"/>
            </w:tcBorders>
          </w:tcPr>
          <w:p w:rsidR="00207811" w:rsidRPr="00207811" w:rsidP="00207811" w14:paraId="51D3C4FD" w14:textId="77777777">
            <w:pPr>
              <w:jc w:val="right"/>
              <w:rPr>
                <w:bCs/>
                <w:sz w:val="22"/>
                <w:szCs w:val="22"/>
                <w:highlight w:val="yellow"/>
              </w:rPr>
            </w:pPr>
            <w:r w:rsidRPr="00207811">
              <w:rPr>
                <w:bCs/>
                <w:sz w:val="22"/>
                <w:szCs w:val="22"/>
              </w:rPr>
              <w:t>13,024</w:t>
            </w:r>
          </w:p>
        </w:tc>
        <w:tc>
          <w:tcPr>
            <w:tcW w:w="245" w:type="dxa"/>
          </w:tcPr>
          <w:p w:rsidR="00207811" w:rsidRPr="00207811" w:rsidP="00207811" w14:paraId="4438F0DB" w14:textId="77777777">
            <w:pPr>
              <w:jc w:val="right"/>
              <w:rPr>
                <w:bCs/>
                <w:sz w:val="22"/>
                <w:szCs w:val="22"/>
                <w:highlight w:val="yellow"/>
              </w:rPr>
            </w:pPr>
          </w:p>
        </w:tc>
        <w:tc>
          <w:tcPr>
            <w:tcW w:w="1559" w:type="dxa"/>
            <w:tcBorders>
              <w:bottom w:val="single" w:sz="4" w:space="0" w:color="auto"/>
            </w:tcBorders>
          </w:tcPr>
          <w:p w:rsidR="00207811" w:rsidRPr="00207811" w:rsidP="00207811" w14:paraId="577CDE52" w14:textId="77777777">
            <w:pPr>
              <w:jc w:val="right"/>
              <w:rPr>
                <w:bCs/>
                <w:sz w:val="22"/>
                <w:szCs w:val="22"/>
              </w:rPr>
            </w:pPr>
            <w:r w:rsidRPr="00207811">
              <w:rPr>
                <w:sz w:val="22"/>
                <w:szCs w:val="22"/>
              </w:rPr>
              <w:t>12,096</w:t>
            </w:r>
          </w:p>
        </w:tc>
      </w:tr>
      <w:tr w14:paraId="11923B95" w14:textId="77777777" w:rsidTr="00D93A8D">
        <w:tblPrEx>
          <w:tblW w:w="0" w:type="auto"/>
          <w:jc w:val="center"/>
          <w:tblLook w:val="04A0"/>
        </w:tblPrEx>
        <w:trPr>
          <w:jc w:val="center"/>
        </w:trPr>
        <w:tc>
          <w:tcPr>
            <w:tcW w:w="4315" w:type="dxa"/>
          </w:tcPr>
          <w:p w:rsidR="00207811" w:rsidRPr="00207811" w:rsidP="00207811" w14:paraId="30AB3FB2" w14:textId="77777777">
            <w:pPr>
              <w:rPr>
                <w:bCs/>
                <w:sz w:val="22"/>
                <w:szCs w:val="22"/>
              </w:rPr>
            </w:pPr>
            <w:r w:rsidRPr="00207811">
              <w:rPr>
                <w:bCs/>
                <w:sz w:val="22"/>
                <w:szCs w:val="22"/>
              </w:rPr>
              <w:t>Total</w:t>
            </w:r>
          </w:p>
        </w:tc>
        <w:tc>
          <w:tcPr>
            <w:tcW w:w="1440" w:type="dxa"/>
            <w:tcBorders>
              <w:top w:val="single" w:sz="4" w:space="0" w:color="auto"/>
              <w:bottom w:val="double" w:sz="4" w:space="0" w:color="auto"/>
            </w:tcBorders>
          </w:tcPr>
          <w:p w:rsidR="00207811" w:rsidRPr="00207811" w:rsidP="00207811" w14:paraId="34B76C80" w14:textId="77777777">
            <w:pPr>
              <w:ind w:right="72"/>
              <w:jc w:val="right"/>
              <w:rPr>
                <w:sz w:val="22"/>
                <w:szCs w:val="22"/>
                <w:highlight w:val="yellow"/>
              </w:rPr>
            </w:pPr>
            <w:r w:rsidRPr="00207811">
              <w:rPr>
                <w:sz w:val="22"/>
                <w:szCs w:val="22"/>
              </w:rPr>
              <w:t>$         6,411</w:t>
            </w:r>
          </w:p>
        </w:tc>
        <w:tc>
          <w:tcPr>
            <w:tcW w:w="270" w:type="dxa"/>
          </w:tcPr>
          <w:p w:rsidR="00207811" w:rsidRPr="00207811" w:rsidP="00207811" w14:paraId="7BCA465C" w14:textId="77777777">
            <w:pPr>
              <w:jc w:val="right"/>
              <w:rPr>
                <w:bCs/>
                <w:sz w:val="22"/>
                <w:szCs w:val="22"/>
                <w:highlight w:val="yellow"/>
              </w:rPr>
            </w:pPr>
          </w:p>
        </w:tc>
        <w:tc>
          <w:tcPr>
            <w:tcW w:w="1521" w:type="dxa"/>
            <w:tcBorders>
              <w:top w:val="single" w:sz="4" w:space="0" w:color="auto"/>
              <w:bottom w:val="double" w:sz="4" w:space="0" w:color="auto"/>
            </w:tcBorders>
          </w:tcPr>
          <w:p w:rsidR="00207811" w:rsidRPr="00207811" w:rsidP="00207811" w14:paraId="19FA2BCA" w14:textId="77777777">
            <w:pPr>
              <w:jc w:val="right"/>
              <w:rPr>
                <w:sz w:val="22"/>
                <w:szCs w:val="22"/>
                <w:highlight w:val="yellow"/>
              </w:rPr>
            </w:pPr>
            <w:r w:rsidRPr="00207811">
              <w:rPr>
                <w:sz w:val="22"/>
                <w:szCs w:val="22"/>
              </w:rPr>
              <w:t>$   29,468,097</w:t>
            </w:r>
          </w:p>
        </w:tc>
        <w:tc>
          <w:tcPr>
            <w:tcW w:w="245" w:type="dxa"/>
          </w:tcPr>
          <w:p w:rsidR="00207811" w:rsidRPr="00207811" w:rsidP="00207811" w14:paraId="2D6E9B4F" w14:textId="77777777">
            <w:pPr>
              <w:jc w:val="right"/>
              <w:rPr>
                <w:bCs/>
                <w:sz w:val="22"/>
                <w:szCs w:val="22"/>
              </w:rPr>
            </w:pPr>
          </w:p>
        </w:tc>
        <w:tc>
          <w:tcPr>
            <w:tcW w:w="1559" w:type="dxa"/>
            <w:tcBorders>
              <w:top w:val="single" w:sz="4" w:space="0" w:color="auto"/>
              <w:bottom w:val="double" w:sz="4" w:space="0" w:color="auto"/>
            </w:tcBorders>
          </w:tcPr>
          <w:p w:rsidR="00207811" w:rsidRPr="00207811" w:rsidP="00207811" w14:paraId="0748DEA6" w14:textId="77777777">
            <w:pPr>
              <w:jc w:val="right"/>
              <w:rPr>
                <w:sz w:val="22"/>
                <w:szCs w:val="22"/>
              </w:rPr>
            </w:pPr>
            <w:r w:rsidRPr="00207811">
              <w:rPr>
                <w:sz w:val="22"/>
                <w:szCs w:val="22"/>
              </w:rPr>
              <w:t>$    29,474,508</w:t>
            </w:r>
          </w:p>
        </w:tc>
      </w:tr>
      <w:tr w14:paraId="603BD8F7" w14:textId="77777777" w:rsidTr="00D93A8D">
        <w:tblPrEx>
          <w:tblW w:w="0" w:type="auto"/>
          <w:jc w:val="center"/>
          <w:tblLook w:val="04A0"/>
        </w:tblPrEx>
        <w:trPr>
          <w:jc w:val="center"/>
        </w:trPr>
        <w:tc>
          <w:tcPr>
            <w:tcW w:w="4315" w:type="dxa"/>
          </w:tcPr>
          <w:p w:rsidR="00207811" w:rsidRPr="00207811" w:rsidP="00207811" w14:paraId="32047C3A" w14:textId="77777777">
            <w:pPr>
              <w:rPr>
                <w:bCs/>
                <w:sz w:val="16"/>
                <w:szCs w:val="16"/>
              </w:rPr>
            </w:pPr>
          </w:p>
        </w:tc>
        <w:tc>
          <w:tcPr>
            <w:tcW w:w="1440" w:type="dxa"/>
            <w:tcBorders>
              <w:top w:val="double" w:sz="4" w:space="0" w:color="auto"/>
            </w:tcBorders>
          </w:tcPr>
          <w:p w:rsidR="00207811" w:rsidRPr="00207811" w:rsidP="00207811" w14:paraId="711E8047" w14:textId="77777777">
            <w:pPr>
              <w:jc w:val="right"/>
              <w:rPr>
                <w:bCs/>
                <w:sz w:val="16"/>
                <w:szCs w:val="16"/>
              </w:rPr>
            </w:pPr>
          </w:p>
        </w:tc>
        <w:tc>
          <w:tcPr>
            <w:tcW w:w="270" w:type="dxa"/>
          </w:tcPr>
          <w:p w:rsidR="00207811" w:rsidRPr="00207811" w:rsidP="00207811" w14:paraId="3A2C2160" w14:textId="77777777">
            <w:pPr>
              <w:jc w:val="right"/>
              <w:rPr>
                <w:bCs/>
                <w:sz w:val="16"/>
                <w:szCs w:val="16"/>
              </w:rPr>
            </w:pPr>
          </w:p>
        </w:tc>
        <w:tc>
          <w:tcPr>
            <w:tcW w:w="1521" w:type="dxa"/>
            <w:tcBorders>
              <w:top w:val="double" w:sz="4" w:space="0" w:color="auto"/>
            </w:tcBorders>
          </w:tcPr>
          <w:p w:rsidR="00207811" w:rsidRPr="00207811" w:rsidP="00207811" w14:paraId="4A0923D6" w14:textId="77777777">
            <w:pPr>
              <w:jc w:val="right"/>
              <w:rPr>
                <w:bCs/>
                <w:sz w:val="16"/>
                <w:szCs w:val="16"/>
              </w:rPr>
            </w:pPr>
          </w:p>
        </w:tc>
        <w:tc>
          <w:tcPr>
            <w:tcW w:w="245" w:type="dxa"/>
          </w:tcPr>
          <w:p w:rsidR="00207811" w:rsidRPr="00207811" w:rsidP="00207811" w14:paraId="5BB098EA" w14:textId="77777777">
            <w:pPr>
              <w:jc w:val="right"/>
              <w:rPr>
                <w:bCs/>
                <w:sz w:val="16"/>
                <w:szCs w:val="16"/>
              </w:rPr>
            </w:pPr>
          </w:p>
        </w:tc>
        <w:tc>
          <w:tcPr>
            <w:tcW w:w="1559" w:type="dxa"/>
            <w:tcBorders>
              <w:top w:val="double" w:sz="4" w:space="0" w:color="auto"/>
            </w:tcBorders>
          </w:tcPr>
          <w:p w:rsidR="00207811" w:rsidRPr="00207811" w:rsidP="00207811" w14:paraId="20E7307C" w14:textId="77777777">
            <w:pPr>
              <w:jc w:val="right"/>
              <w:rPr>
                <w:bCs/>
                <w:sz w:val="16"/>
                <w:szCs w:val="16"/>
              </w:rPr>
            </w:pPr>
          </w:p>
        </w:tc>
      </w:tr>
    </w:tbl>
    <w:p w:rsidR="00207811" w:rsidRPr="00207811" w:rsidP="00207811" w14:paraId="72FF665A" w14:textId="77777777">
      <w:pPr>
        <w:rPr>
          <w:sz w:val="22"/>
          <w:szCs w:val="22"/>
        </w:rPr>
      </w:pPr>
    </w:p>
    <w:p w:rsidR="00207811" w:rsidRPr="00207811" w:rsidP="00207811" w14:paraId="4B0676BE" w14:textId="77777777">
      <w:pPr>
        <w:rPr>
          <w:sz w:val="22"/>
          <w:szCs w:val="22"/>
        </w:rPr>
      </w:pPr>
    </w:p>
    <w:p w:rsidR="00207811" w:rsidRPr="00207811" w:rsidP="00207811" w14:paraId="52062E2A"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Note 14 – Permanent Indefinite Appropriations</w:t>
      </w:r>
    </w:p>
    <w:p w:rsidR="00207811" w:rsidRPr="00207811" w:rsidP="00207811" w14:paraId="5225E49D" w14:textId="77777777">
      <w:pPr>
        <w:rPr>
          <w:sz w:val="22"/>
          <w:szCs w:val="22"/>
        </w:rPr>
      </w:pPr>
    </w:p>
    <w:p w:rsidR="00207811" w:rsidRPr="00207811" w:rsidP="00207811" w14:paraId="12C02F55" w14:textId="77777777">
      <w:pPr>
        <w:widowControl w:val="0"/>
        <w:autoSpaceDE w:val="0"/>
        <w:autoSpaceDN w:val="0"/>
        <w:adjustRightInd w:val="0"/>
        <w:jc w:val="both"/>
        <w:rPr>
          <w:sz w:val="22"/>
          <w:szCs w:val="22"/>
        </w:rPr>
      </w:pPr>
      <w:r w:rsidRPr="00207811">
        <w:rPr>
          <w:sz w:val="22"/>
          <w:szCs w:val="22"/>
        </w:rPr>
        <w:t xml:space="preserve">The </w:t>
      </w:r>
      <w:r w:rsidRPr="00207811">
        <w:rPr>
          <w:rFonts w:eastAsiaTheme="minorEastAsia"/>
          <w:sz w:val="22"/>
          <w:szCs w:val="22"/>
        </w:rPr>
        <w:t xml:space="preserve">Commission has permanent indefinite appropriations available to fund its USF programs and TRS, subsidy costs incurred under credit reform programs, and </w:t>
      </w:r>
      <w:r w:rsidRPr="00207811">
        <w:rPr>
          <w:sz w:val="22"/>
          <w:szCs w:val="22"/>
        </w:rPr>
        <w:t xml:space="preserve">the development and implementation costs related to the competitive auction program.  </w:t>
      </w:r>
    </w:p>
    <w:p w:rsidR="00207811" w:rsidRPr="00207811" w:rsidP="00207811" w14:paraId="71E4909D" w14:textId="77777777">
      <w:pPr>
        <w:widowControl w:val="0"/>
        <w:autoSpaceDE w:val="0"/>
        <w:autoSpaceDN w:val="0"/>
        <w:adjustRightInd w:val="0"/>
        <w:jc w:val="both"/>
        <w:rPr>
          <w:rFonts w:eastAsiaTheme="minorHAnsi"/>
          <w:sz w:val="22"/>
          <w:szCs w:val="22"/>
        </w:rPr>
      </w:pPr>
    </w:p>
    <w:p w:rsidR="00207811" w:rsidRPr="00207811" w:rsidP="00207811" w14:paraId="688CD4D6" w14:textId="77777777">
      <w:pPr>
        <w:widowControl w:val="0"/>
        <w:autoSpaceDE w:val="0"/>
        <w:autoSpaceDN w:val="0"/>
        <w:adjustRightInd w:val="0"/>
        <w:jc w:val="both"/>
        <w:rPr>
          <w:spacing w:val="-2"/>
          <w:kern w:val="22"/>
          <w:sz w:val="22"/>
          <w:szCs w:val="22"/>
        </w:rPr>
      </w:pPr>
      <w:r w:rsidRPr="00207811">
        <w:rPr>
          <w:rFonts w:eastAsiaTheme="minorHAnsi"/>
          <w:spacing w:val="-2"/>
          <w:kern w:val="22"/>
          <w:sz w:val="22"/>
          <w:szCs w:val="22"/>
        </w:rPr>
        <w:t xml:space="preserve">Pursuant to 47 U.S.C. </w:t>
      </w:r>
      <w:r w:rsidRPr="00207811">
        <w:rPr>
          <w:spacing w:val="-2"/>
          <w:kern w:val="22"/>
          <w:sz w:val="22"/>
          <w:szCs w:val="22"/>
        </w:rPr>
        <w:t xml:space="preserve">§ 254 and § 225, the FCC has a permanent indefinite appropriation to fund its universal service programs including the TRS Fund.  These programs operate by collecting mandatory contributions from telecommunications carriers providing interstate telecommunications services, and from other providers </w:t>
      </w:r>
    </w:p>
    <w:p w:rsidR="00207811" w:rsidRPr="00207811" w:rsidP="00207811" w14:paraId="7DCE150B" w14:textId="77777777">
      <w:pPr>
        <w:widowControl w:val="0"/>
        <w:autoSpaceDE w:val="0"/>
        <w:autoSpaceDN w:val="0"/>
        <w:adjustRightInd w:val="0"/>
        <w:jc w:val="both"/>
        <w:rPr>
          <w:spacing w:val="-2"/>
          <w:kern w:val="22"/>
          <w:sz w:val="22"/>
          <w:szCs w:val="22"/>
        </w:rPr>
      </w:pPr>
    </w:p>
    <w:p w:rsidR="00207811" w:rsidRPr="00207811" w:rsidP="00207811" w14:paraId="660A3823" w14:textId="77777777">
      <w:pPr>
        <w:rPr>
          <w:b/>
          <w:bCs/>
          <w:sz w:val="22"/>
          <w:szCs w:val="22"/>
        </w:rPr>
      </w:pPr>
      <w:r w:rsidRPr="00207811">
        <w:rPr>
          <w:b/>
          <w:bCs/>
          <w:sz w:val="22"/>
          <w:szCs w:val="22"/>
        </w:rPr>
        <w:t>Note 14 – Permanent Indefinite Appropriations (continued)</w:t>
      </w:r>
    </w:p>
    <w:p w:rsidR="00207811" w:rsidRPr="00207811" w:rsidP="00207811" w14:paraId="31187B58" w14:textId="77777777">
      <w:pPr>
        <w:widowControl w:val="0"/>
        <w:autoSpaceDE w:val="0"/>
        <w:autoSpaceDN w:val="0"/>
        <w:adjustRightInd w:val="0"/>
        <w:jc w:val="both"/>
        <w:rPr>
          <w:spacing w:val="-2"/>
          <w:kern w:val="22"/>
          <w:sz w:val="22"/>
          <w:szCs w:val="22"/>
        </w:rPr>
      </w:pPr>
    </w:p>
    <w:p w:rsidR="00207811" w:rsidRPr="00207811" w:rsidP="00207811" w14:paraId="1340B6A3" w14:textId="77777777">
      <w:pPr>
        <w:widowControl w:val="0"/>
        <w:autoSpaceDE w:val="0"/>
        <w:autoSpaceDN w:val="0"/>
        <w:adjustRightInd w:val="0"/>
        <w:jc w:val="both"/>
        <w:rPr>
          <w:spacing w:val="-2"/>
          <w:kern w:val="22"/>
          <w:sz w:val="22"/>
          <w:szCs w:val="22"/>
        </w:rPr>
      </w:pPr>
      <w:r w:rsidRPr="00207811">
        <w:rPr>
          <w:spacing w:val="-2"/>
          <w:kern w:val="22"/>
          <w:sz w:val="22"/>
          <w:szCs w:val="22"/>
        </w:rPr>
        <w:t xml:space="preserve">of interstate telecommunications required to contribute if the public interest so requires.  </w:t>
      </w:r>
    </w:p>
    <w:p w:rsidR="00207811" w:rsidRPr="00207811" w:rsidP="00207811" w14:paraId="34AB529F" w14:textId="77777777">
      <w:pPr>
        <w:widowControl w:val="0"/>
        <w:autoSpaceDE w:val="0"/>
        <w:autoSpaceDN w:val="0"/>
        <w:adjustRightInd w:val="0"/>
        <w:jc w:val="both"/>
        <w:rPr>
          <w:sz w:val="22"/>
          <w:szCs w:val="22"/>
        </w:rPr>
      </w:pPr>
    </w:p>
    <w:p w:rsidR="00207811" w:rsidRPr="00207811" w:rsidP="00207811" w14:paraId="2B8D7B93" w14:textId="77777777">
      <w:pPr>
        <w:widowControl w:val="0"/>
        <w:autoSpaceDE w:val="0"/>
        <w:autoSpaceDN w:val="0"/>
        <w:adjustRightInd w:val="0"/>
        <w:jc w:val="both"/>
        <w:rPr>
          <w:spacing w:val="-6"/>
          <w:kern w:val="16"/>
          <w:sz w:val="22"/>
          <w:szCs w:val="22"/>
        </w:rPr>
      </w:pPr>
      <w:r w:rsidRPr="00207811">
        <w:rPr>
          <w:spacing w:val="-6"/>
          <w:kern w:val="16"/>
          <w:sz w:val="22"/>
          <w:szCs w:val="22"/>
        </w:rPr>
        <w:t>Credit reform is mainly available to finance any disbursements incurred under the liquidating accounts.  These appropriations become available pursuant to standing provisions of law without further action by Congress after transmittal of the budget for the year involved.  They are treated as permanent the first year they become available, as well as in succeeding years.  However, they are not stated as specific amounts but instead are determined by specified variable factors, such as cash needs for liquidating accounts, and information about the actual performance of a cohort or estimated changes in future cash flows of the cohort in the program accounts.</w:t>
      </w:r>
    </w:p>
    <w:p w:rsidR="00207811" w:rsidRPr="00207811" w:rsidP="00207811" w14:paraId="6DCA79C3" w14:textId="77777777">
      <w:pPr>
        <w:jc w:val="both"/>
        <w:rPr>
          <w:sz w:val="22"/>
          <w:szCs w:val="22"/>
        </w:rPr>
      </w:pPr>
    </w:p>
    <w:p w:rsidR="00207811" w:rsidRPr="00207811" w:rsidP="00207811" w14:paraId="0BAE12FF" w14:textId="77777777">
      <w:pPr>
        <w:jc w:val="both"/>
        <w:rPr>
          <w:sz w:val="22"/>
          <w:szCs w:val="22"/>
        </w:rPr>
      </w:pPr>
      <w:r w:rsidRPr="00207811">
        <w:rPr>
          <w:sz w:val="22"/>
          <w:szCs w:val="22"/>
        </w:rPr>
        <w:t>Pursuant to 47 U.S.C. § 309(j)(8)(B), the FCC can retain proceeds from spectrum auctions for amounts that may be necessary for the costs of developing and implementing the competitive auction program.  These retained proceeds are offsetting collections that remain available until expended.  Notwithstanding 47 U.S.C. § 309(j)(8)(B), Congress limited the amount of the auction proceeds that may be retained and made available for obligation to $136,167.</w:t>
      </w:r>
    </w:p>
    <w:p w:rsidR="00207811" w:rsidRPr="00207811" w:rsidP="00207811" w14:paraId="301B7C81" w14:textId="77777777">
      <w:pPr>
        <w:jc w:val="both"/>
        <w:rPr>
          <w:bCs/>
          <w:sz w:val="22"/>
          <w:szCs w:val="22"/>
        </w:rPr>
      </w:pPr>
    </w:p>
    <w:p w:rsidR="00207811" w:rsidRPr="00207811" w:rsidP="00207811" w14:paraId="29843FB9" w14:textId="77777777">
      <w:pPr>
        <w:jc w:val="both"/>
        <w:rPr>
          <w:bCs/>
          <w:sz w:val="22"/>
          <w:szCs w:val="22"/>
        </w:rPr>
      </w:pPr>
    </w:p>
    <w:p w:rsidR="00207811" w:rsidRPr="00207811" w:rsidP="00207811" w14:paraId="518D7466"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Note 15 – Legal Arrangements Affecting Use of Unobligated Balances</w:t>
      </w:r>
    </w:p>
    <w:p w:rsidR="00207811" w:rsidRPr="00207811" w:rsidP="00207811" w14:paraId="3AB73EE1" w14:textId="77777777">
      <w:pPr>
        <w:jc w:val="both"/>
        <w:rPr>
          <w:bCs/>
          <w:sz w:val="22"/>
          <w:szCs w:val="22"/>
        </w:rPr>
      </w:pPr>
    </w:p>
    <w:p w:rsidR="00207811" w:rsidRPr="00207811" w:rsidP="00207811" w14:paraId="22F3FEB4" w14:textId="77777777">
      <w:pPr>
        <w:jc w:val="both"/>
        <w:rPr>
          <w:sz w:val="22"/>
          <w:szCs w:val="22"/>
        </w:rPr>
      </w:pPr>
      <w:r w:rsidRPr="00207811">
        <w:rPr>
          <w:sz w:val="22"/>
          <w:szCs w:val="22"/>
        </w:rPr>
        <w:t xml:space="preserve">Offsetting collections received in excess of $390,192 are precluded from obligation.  In addition, the RAY BAUM’S Act requires the Commission to transfer all excess regulatory fees collected from prior and subsequent fiscal years to the Treasury General Fund for the sole purpose of deficit reduction.  </w:t>
      </w:r>
    </w:p>
    <w:p w:rsidR="00207811" w:rsidRPr="00207811" w:rsidP="00207811" w14:paraId="057F0561" w14:textId="77777777">
      <w:pPr>
        <w:jc w:val="both"/>
        <w:rPr>
          <w:sz w:val="22"/>
          <w:szCs w:val="22"/>
        </w:rPr>
      </w:pPr>
    </w:p>
    <w:p w:rsidR="00207811" w:rsidRPr="00207811" w:rsidP="00207811" w14:paraId="74FE0060" w14:textId="77777777">
      <w:pPr>
        <w:rPr>
          <w:sz w:val="22"/>
          <w:szCs w:val="22"/>
        </w:rPr>
      </w:pPr>
    </w:p>
    <w:p w:rsidR="00207811" w:rsidRPr="00207811" w:rsidP="00207811" w14:paraId="4F614E2C"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 xml:space="preserve">Note 16 – Explanation of Differences between the Statement of Budgetary Resources and the Budget of the U.S. Government </w:t>
      </w:r>
    </w:p>
    <w:p w:rsidR="00207811" w:rsidRPr="00207811" w:rsidP="00207811" w14:paraId="6300CC04" w14:textId="77777777">
      <w:pPr>
        <w:jc w:val="both"/>
        <w:rPr>
          <w:sz w:val="22"/>
          <w:szCs w:val="22"/>
        </w:rPr>
      </w:pPr>
    </w:p>
    <w:p w:rsidR="00207811" w:rsidRPr="00207811" w:rsidP="00207811" w14:paraId="309FB415" w14:textId="77777777">
      <w:pPr>
        <w:jc w:val="both"/>
        <w:rPr>
          <w:spacing w:val="-1"/>
          <w:sz w:val="22"/>
          <w:szCs w:val="22"/>
        </w:rPr>
      </w:pPr>
      <w:r w:rsidRPr="00207811">
        <w:rPr>
          <w:sz w:val="22"/>
          <w:szCs w:val="22"/>
        </w:rPr>
        <w:t>There were no material differences between the Combined Statement of Budgetary Resources (SBR) for FY 2024 and the FY 2026 Budget of the United States Government.  The FY 2027 Budget of the United States Government, which will include actual numbers for FY 2025, has not been published at this time.  Pursuant to 31 U.S.C. § 1105, the Budget of the United States Government</w:t>
      </w:r>
      <w:r w:rsidRPr="00207811">
        <w:rPr>
          <w:i/>
          <w:iCs/>
          <w:sz w:val="22"/>
          <w:szCs w:val="22"/>
        </w:rPr>
        <w:t xml:space="preserve"> </w:t>
      </w:r>
      <w:r w:rsidRPr="00207811">
        <w:rPr>
          <w:sz w:val="22"/>
          <w:szCs w:val="22"/>
        </w:rPr>
        <w:t xml:space="preserve">will be released not later than the first Monday in February and will be available at the following website:  </w:t>
      </w:r>
      <w:hyperlink r:id="rId83" w:history="1">
        <w:r w:rsidRPr="00207811">
          <w:rPr>
            <w:color w:val="0000FF"/>
            <w:spacing w:val="-1"/>
            <w:sz w:val="22"/>
            <w:szCs w:val="22"/>
            <w:u w:val="single"/>
          </w:rPr>
          <w:t>https://www.whitehouse.gov/omb/budget/</w:t>
        </w:r>
      </w:hyperlink>
      <w:r w:rsidRPr="00207811">
        <w:rPr>
          <w:spacing w:val="-1"/>
          <w:sz w:val="22"/>
          <w:szCs w:val="22"/>
        </w:rPr>
        <w:t xml:space="preserve">.  </w:t>
      </w:r>
    </w:p>
    <w:p w:rsidR="00207811" w:rsidRPr="00207811" w:rsidP="00207811" w14:paraId="79CC626A" w14:textId="77777777">
      <w:pPr>
        <w:jc w:val="both"/>
        <w:rPr>
          <w:spacing w:val="-1"/>
          <w:sz w:val="22"/>
          <w:szCs w:val="22"/>
        </w:rPr>
      </w:pPr>
    </w:p>
    <w:p w:rsidR="00207811" w:rsidRPr="00207811" w:rsidP="00207811" w14:paraId="30E88614" w14:textId="77777777">
      <w:pPr>
        <w:jc w:val="both"/>
        <w:rPr>
          <w:spacing w:val="-1"/>
          <w:sz w:val="22"/>
          <w:szCs w:val="22"/>
        </w:rPr>
      </w:pPr>
    </w:p>
    <w:p w:rsidR="00207811" w:rsidRPr="00207811" w:rsidP="00207811" w14:paraId="636C739F" w14:textId="77777777">
      <w:pPr>
        <w:keepNext/>
        <w:widowControl w:val="0"/>
        <w:overflowPunct w:val="0"/>
        <w:autoSpaceDE w:val="0"/>
        <w:autoSpaceDN w:val="0"/>
        <w:adjustRightInd w:val="0"/>
        <w:textAlignment w:val="baseline"/>
        <w:outlineLvl w:val="3"/>
        <w:rPr>
          <w:b/>
          <w:bCs/>
          <w:sz w:val="22"/>
          <w:szCs w:val="22"/>
        </w:rPr>
      </w:pPr>
      <w:r w:rsidRPr="00207811">
        <w:rPr>
          <w:b/>
          <w:bCs/>
          <w:sz w:val="22"/>
          <w:szCs w:val="22"/>
        </w:rPr>
        <w:t>Note 17 – Custodial Revenues</w:t>
      </w:r>
    </w:p>
    <w:p w:rsidR="00207811" w:rsidRPr="00207811" w:rsidP="00207811" w14:paraId="529C8A1B" w14:textId="77777777">
      <w:pPr>
        <w:rPr>
          <w:sz w:val="22"/>
          <w:szCs w:val="22"/>
        </w:rPr>
      </w:pPr>
    </w:p>
    <w:p w:rsidR="00207811" w:rsidRPr="00207811" w:rsidP="00207811" w14:paraId="5A6B0480" w14:textId="77777777">
      <w:pPr>
        <w:jc w:val="both"/>
        <w:rPr>
          <w:sz w:val="22"/>
          <w:szCs w:val="22"/>
        </w:rPr>
      </w:pPr>
      <w:r w:rsidRPr="00207811">
        <w:rPr>
          <w:sz w:val="22"/>
          <w:szCs w:val="22"/>
        </w:rPr>
        <w:t xml:space="preserve">In accordance with the provisions of SFFAS 7, </w:t>
      </w:r>
      <w:r w:rsidRPr="00207811">
        <w:rPr>
          <w:i/>
          <w:iCs/>
          <w:sz w:val="22"/>
          <w:szCs w:val="22"/>
        </w:rPr>
        <w:t>Accounting for Revenue &amp; Other Financing Sources</w:t>
      </w:r>
      <w:r w:rsidRPr="00207811">
        <w:rPr>
          <w:sz w:val="22"/>
          <w:szCs w:val="22"/>
        </w:rPr>
        <w:t xml:space="preserve">, the Commission collects non-exchange revenues, on a modified cash basis of accounting.  The non-exchange revenues are not reported in the Commission’s net cost or net position.  Custodial collections consist of miscellaneous receipts, and fines and forfeitures to be deposited in the Treasury General Fund.  Fines and Forfeitures are made up of consent decrees and forfeiture orders.  Forfeiture orders are probable, measurable, and legally enforceable claims, but need to result in a judgement issued by a federal court before they become legally collectible debts.  Consent decrees are legally collectible debts.  Additionally, the Commission reports exchange revenue associated with radio spectrum auction proceeds on the Statement of Custodial Activity.  For more information, refer to Note 1 L Exchange Revenue, Non-Exchange Revenue, and Financing Sources.  The total custodial non-exchange collections were $59,169.  There were no material refunds issued for the period.  </w:t>
      </w:r>
    </w:p>
    <w:p w:rsidR="00207811" w:rsidRPr="00207811" w:rsidP="00207811" w14:paraId="56988268" w14:textId="77777777">
      <w:pPr>
        <w:jc w:val="both"/>
        <w:rPr>
          <w:sz w:val="22"/>
          <w:szCs w:val="22"/>
        </w:rPr>
      </w:pPr>
    </w:p>
    <w:p w:rsidR="00207811" w:rsidRPr="00207811" w:rsidP="00207811" w14:paraId="33CFBCCE" w14:textId="77777777">
      <w:pPr>
        <w:jc w:val="both"/>
        <w:rPr>
          <w:sz w:val="22"/>
          <w:szCs w:val="22"/>
        </w:rPr>
      </w:pPr>
    </w:p>
    <w:p w:rsidR="00207811" w:rsidRPr="00207811" w:rsidP="00207811" w14:paraId="438AE954" w14:textId="77777777">
      <w:pPr>
        <w:keepNext/>
        <w:widowControl w:val="0"/>
        <w:overflowPunct w:val="0"/>
        <w:autoSpaceDE w:val="0"/>
        <w:autoSpaceDN w:val="0"/>
        <w:adjustRightInd w:val="0"/>
        <w:textAlignment w:val="baseline"/>
        <w:outlineLvl w:val="3"/>
        <w:rPr>
          <w:color w:val="FFFFFF"/>
          <w:sz w:val="22"/>
          <w:szCs w:val="22"/>
        </w:rPr>
      </w:pPr>
      <w:r w:rsidRPr="00207811">
        <w:rPr>
          <w:b/>
          <w:bCs/>
          <w:sz w:val="22"/>
          <w:szCs w:val="22"/>
        </w:rPr>
        <w:t>Note 18 – Reconciliation of Net Cost to Net Outlays (Budget to Accrual Reconciliation)</w:t>
      </w:r>
    </w:p>
    <w:p w:rsidR="00207811" w:rsidRPr="00207811" w:rsidP="00207811" w14:paraId="432601B9" w14:textId="77777777">
      <w:pPr>
        <w:jc w:val="both"/>
        <w:rPr>
          <w:sz w:val="22"/>
          <w:szCs w:val="22"/>
        </w:rPr>
      </w:pPr>
    </w:p>
    <w:p w:rsidR="00207811" w:rsidRPr="00207811" w:rsidP="00207811" w14:paraId="241CF79E" w14:textId="77777777">
      <w:pPr>
        <w:jc w:val="both"/>
        <w:rPr>
          <w:sz w:val="22"/>
          <w:szCs w:val="22"/>
        </w:rPr>
      </w:pPr>
      <w:r w:rsidRPr="00207811">
        <w:rPr>
          <w:sz w:val="22"/>
          <w:szCs w:val="22"/>
        </w:rPr>
        <w:t>Budgetary and financial accounting information differ.  Budgetary accounting is used for planning and control purposes and relates to both the receipt and use of cash, as well as reporting the federal deficit.  Financial accounting is intended to provide a picture of the government’s financial operations and financial position, so it presents information on an accrual basis.  The accrual basis includes information about costs arising from the consumption of assets and the incurrence of liabilities.  The reconciliation of net outlays, presented on a budgetary basis, and the net cost, presented on an accrual basis, provides an explanation of the relationship between budgetary and financial accounting information.  The reconciliation serves not only to identify costs paid for in the past and those that will be paid in the future, but also to assure integrity between budgetary and financial accounting.</w:t>
      </w:r>
    </w:p>
    <w:p w:rsidR="00207811" w:rsidRPr="00207811" w:rsidP="00207811" w14:paraId="065420F9" w14:textId="77777777">
      <w:pPr>
        <w:jc w:val="both"/>
        <w:rPr>
          <w:sz w:val="22"/>
          <w:szCs w:val="22"/>
        </w:rPr>
      </w:pPr>
    </w:p>
    <w:p w:rsidR="00207811" w:rsidRPr="00207811" w:rsidP="00207811" w14:paraId="6481A940" w14:textId="77777777">
      <w:pPr>
        <w:jc w:val="both"/>
        <w:rPr>
          <w:sz w:val="22"/>
          <w:szCs w:val="22"/>
        </w:rPr>
      </w:pPr>
      <w:r w:rsidRPr="00207811">
        <w:rPr>
          <w:sz w:val="22"/>
          <w:szCs w:val="22"/>
        </w:rPr>
        <w:t xml:space="preserve">The following analysis illustrates this reconciliation by listing the Commission’s key differences between net cost and net outlays for the reporting period.  </w:t>
      </w:r>
    </w:p>
    <w:p w:rsidR="00207811" w:rsidRPr="00207811" w:rsidP="00207811" w14:paraId="5D46F050" w14:textId="77777777">
      <w:pPr>
        <w:jc w:val="both"/>
        <w:rPr>
          <w:sz w:val="22"/>
          <w:szCs w:val="22"/>
        </w:rPr>
      </w:pPr>
    </w:p>
    <w:p w:rsidR="00207811" w:rsidRPr="00207811" w:rsidP="00207811" w14:paraId="057E14C4" w14:textId="77777777">
      <w:pPr>
        <w:jc w:val="center"/>
        <w:rPr>
          <w:b/>
          <w:bCs/>
          <w:sz w:val="22"/>
          <w:szCs w:val="22"/>
        </w:rPr>
      </w:pPr>
      <w:r w:rsidRPr="00207811">
        <w:rPr>
          <w:noProof/>
        </w:rPr>
        <w:drawing>
          <wp:inline distT="0" distB="0" distL="0" distR="0">
            <wp:extent cx="5943600" cy="5384165"/>
            <wp:effectExtent l="0" t="0" r="0" b="6985"/>
            <wp:docPr id="703453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53841" name="Picture 13"/>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384165"/>
                    </a:xfrm>
                    <a:prstGeom prst="rect">
                      <a:avLst/>
                    </a:prstGeom>
                    <a:noFill/>
                    <a:ln>
                      <a:noFill/>
                    </a:ln>
                  </pic:spPr>
                </pic:pic>
              </a:graphicData>
            </a:graphic>
          </wp:inline>
        </w:drawing>
      </w:r>
      <w:r w:rsidRPr="00207811">
        <w:rPr>
          <w:b/>
          <w:bCs/>
          <w:sz w:val="22"/>
          <w:szCs w:val="22"/>
        </w:rPr>
        <w:br w:type="page"/>
      </w:r>
    </w:p>
    <w:p w:rsidR="00207811" w:rsidRPr="00207811" w:rsidP="00207811" w14:paraId="50EF65AA" w14:textId="77777777">
      <w:pPr>
        <w:keepNext/>
        <w:widowControl w:val="0"/>
        <w:overflowPunct w:val="0"/>
        <w:autoSpaceDE w:val="0"/>
        <w:autoSpaceDN w:val="0"/>
        <w:adjustRightInd w:val="0"/>
        <w:textAlignment w:val="baseline"/>
        <w:outlineLvl w:val="3"/>
        <w:rPr>
          <w:b/>
          <w:bCs/>
          <w:sz w:val="22"/>
          <w:szCs w:val="22"/>
        </w:rPr>
      </w:pPr>
      <w:bookmarkStart w:id="164" w:name="_Hlk45205289"/>
      <w:r w:rsidRPr="00207811">
        <w:rPr>
          <w:b/>
          <w:bCs/>
          <w:sz w:val="22"/>
          <w:szCs w:val="22"/>
        </w:rPr>
        <w:t>Note 19 – Disclosure Entities</w:t>
      </w:r>
    </w:p>
    <w:p w:rsidR="00207811" w:rsidRPr="00207811" w:rsidP="00207811" w14:paraId="0B1C0905" w14:textId="77777777">
      <w:pPr>
        <w:jc w:val="both"/>
        <w:rPr>
          <w:sz w:val="22"/>
          <w:szCs w:val="22"/>
        </w:rPr>
      </w:pPr>
    </w:p>
    <w:p w:rsidR="00207811" w:rsidRPr="00207811" w:rsidP="00207811" w14:paraId="4D92CBA0" w14:textId="77777777">
      <w:pPr>
        <w:jc w:val="both"/>
        <w:rPr>
          <w:sz w:val="22"/>
          <w:szCs w:val="22"/>
        </w:rPr>
      </w:pPr>
      <w:r w:rsidRPr="00207811">
        <w:rPr>
          <w:spacing w:val="-4"/>
          <w:kern w:val="16"/>
          <w:sz w:val="22"/>
          <w:szCs w:val="22"/>
          <w:u w:val="single"/>
        </w:rPr>
        <w:t>Universal Service Administrative Company (USAC)</w:t>
      </w:r>
      <w:r w:rsidRPr="00207811">
        <w:rPr>
          <w:spacing w:val="-4"/>
          <w:kern w:val="16"/>
          <w:sz w:val="22"/>
          <w:szCs w:val="22"/>
        </w:rPr>
        <w:t xml:space="preserve"> </w:t>
      </w:r>
      <w:r w:rsidRPr="00207811">
        <w:rPr>
          <w:sz w:val="22"/>
          <w:szCs w:val="22"/>
        </w:rPr>
        <w:t>–</w:t>
      </w:r>
      <w:r w:rsidRPr="00207811">
        <w:rPr>
          <w:spacing w:val="-4"/>
          <w:kern w:val="16"/>
          <w:sz w:val="22"/>
          <w:szCs w:val="22"/>
        </w:rPr>
        <w:t xml:space="preserve"> The Commission is responsible for the overall management and oversight of the USF, including all USF policy decisions.  USAC was established in 1997 as a not-for-profit subsidiary of the National Exchange Carrier Association, Inc. (NECA), and in that same year, the FCC appointed USAC as the permanent administrator, under the Commission’s direction, of the four USF programs.  The four USF</w:t>
      </w:r>
      <w:r w:rsidRPr="00207811">
        <w:rPr>
          <w:sz w:val="22"/>
          <w:szCs w:val="22"/>
        </w:rPr>
        <w:t xml:space="preserve"> programs are High Cost, Lifeline, Rural Health Care, and E-Rate.  USAC, as the administrator of the USF, is responsible for the effective administration of the USF programs, including billing, collection, and disbursement.  </w:t>
      </w:r>
    </w:p>
    <w:p w:rsidR="00207811" w:rsidRPr="00207811" w:rsidP="00207811" w14:paraId="139A858E" w14:textId="77777777">
      <w:pPr>
        <w:jc w:val="both"/>
        <w:rPr>
          <w:sz w:val="22"/>
          <w:szCs w:val="22"/>
        </w:rPr>
      </w:pPr>
    </w:p>
    <w:p w:rsidR="00207811" w:rsidRPr="00207811" w:rsidP="00207811" w14:paraId="2A02568E" w14:textId="77777777">
      <w:pPr>
        <w:jc w:val="both"/>
        <w:rPr>
          <w:sz w:val="22"/>
          <w:szCs w:val="22"/>
        </w:rPr>
      </w:pPr>
      <w:r w:rsidRPr="00207811">
        <w:rPr>
          <w:sz w:val="22"/>
          <w:szCs w:val="22"/>
          <w:u w:val="single"/>
        </w:rPr>
        <w:t>National Exchange Carrier Association, Inc. (NECA)</w:t>
      </w:r>
      <w:r w:rsidRPr="00207811">
        <w:rPr>
          <w:sz w:val="22"/>
          <w:szCs w:val="22"/>
        </w:rPr>
        <w:t xml:space="preserve"> – NECA was established as a non-stock Delaware corporation, which, pursuant to FCC rules, files interstate access tariffs and administers interstate access revenue pools for local telephone companies throughout the United States including its territories.  NECA performs data collection functions for the High Cost Program and bills USAC for the associated costs.  NECA is compensated by USAC in accordance with NECA’s Cost Accounting and Procedures Manual.  NECA has no management control over USAC and derives no economic benefits from this subsidiary relationship.  NECA does not consolidate with USAC’s financial statements since it does not meet the criteria for consolidation in accordance with the accounting standards for consolidation of all majority-owned subsidiaries.  The investment in USAC, which is carried at cost, is insignificant to these financial statements.</w:t>
      </w:r>
    </w:p>
    <w:p w:rsidR="00207811" w:rsidRPr="00207811" w:rsidP="00207811" w14:paraId="36BF4161" w14:textId="77777777">
      <w:pPr>
        <w:jc w:val="both"/>
        <w:rPr>
          <w:bCs/>
          <w:sz w:val="22"/>
          <w:szCs w:val="22"/>
        </w:rPr>
      </w:pPr>
    </w:p>
    <w:p w:rsidR="00207811" w:rsidRPr="00207811" w:rsidP="00207811" w14:paraId="623BFE21" w14:textId="77777777">
      <w:pPr>
        <w:jc w:val="both"/>
        <w:rPr>
          <w:sz w:val="22"/>
          <w:szCs w:val="22"/>
        </w:rPr>
      </w:pPr>
      <w:r w:rsidRPr="00207811">
        <w:rPr>
          <w:sz w:val="22"/>
          <w:szCs w:val="22"/>
          <w:u w:val="single"/>
        </w:rPr>
        <w:t>Local Number Portability Administrator (LNPA) Program</w:t>
      </w:r>
      <w:r w:rsidRPr="00207811">
        <w:rPr>
          <w:sz w:val="22"/>
          <w:szCs w:val="22"/>
        </w:rPr>
        <w:t xml:space="preserve"> – The LNPA program facilitates portability of U.S. geographic telephone numbers between telephony service providers.  The LNPA program provides and operates the Number Portability Administration Center (NPAC) system that provides local number portability for the United States, performing the service of porting telephone numbers between service providers.  The LNPA program is funded by fees the LNPA charges telecommunications service providers for its service, pursuant to FCC rules.</w:t>
      </w:r>
    </w:p>
    <w:p w:rsidR="00207811" w:rsidRPr="00207811" w:rsidP="00207811" w14:paraId="3291144D" w14:textId="77777777">
      <w:pPr>
        <w:jc w:val="both"/>
        <w:rPr>
          <w:sz w:val="22"/>
          <w:szCs w:val="22"/>
        </w:rPr>
      </w:pPr>
    </w:p>
    <w:p w:rsidR="00207811" w:rsidRPr="00207811" w:rsidP="00207811" w14:paraId="02C49F6C" w14:textId="77777777">
      <w:pPr>
        <w:jc w:val="both"/>
        <w:rPr>
          <w:sz w:val="22"/>
          <w:szCs w:val="22"/>
        </w:rPr>
      </w:pPr>
      <w:r w:rsidRPr="00207811">
        <w:rPr>
          <w:sz w:val="22"/>
          <w:szCs w:val="22"/>
        </w:rPr>
        <w:t xml:space="preserve">The FCC exercises oversight of the LNPA procurement process and regulates local number portability.  The FCC has authorized the telephony service provider industry consortium, North American Portability Management, LLC (NAPM), to procure the LNPA and oversee the LNPA’s performance and operation of the LNPA program.  Currently </w:t>
      </w:r>
      <w:r w:rsidRPr="00207811">
        <w:rPr>
          <w:sz w:val="22"/>
          <w:szCs w:val="22"/>
        </w:rPr>
        <w:t>iconectiv</w:t>
      </w:r>
      <w:r w:rsidRPr="00207811">
        <w:rPr>
          <w:sz w:val="22"/>
          <w:szCs w:val="22"/>
        </w:rPr>
        <w:t xml:space="preserve">, LLC is the LNPA under a contract with NAPM; </w:t>
      </w:r>
      <w:r w:rsidRPr="00207811">
        <w:rPr>
          <w:sz w:val="22"/>
          <w:szCs w:val="22"/>
        </w:rPr>
        <w:t>iconectiv</w:t>
      </w:r>
      <w:r w:rsidRPr="00207811">
        <w:rPr>
          <w:sz w:val="22"/>
          <w:szCs w:val="22"/>
        </w:rPr>
        <w:t xml:space="preserve">, LLC is a subsidiary, subject to a voting trust, of Telefonaktiebolaget LM Ericsson (d/b/a Ericsson), a publicly traded Swedish multinational networking and telecommunications company. </w:t>
      </w:r>
    </w:p>
    <w:p w:rsidR="00207811" w:rsidRPr="00207811" w:rsidP="00207811" w14:paraId="4C24B6B8" w14:textId="77777777">
      <w:pPr>
        <w:jc w:val="both"/>
        <w:rPr>
          <w:sz w:val="22"/>
          <w:szCs w:val="22"/>
        </w:rPr>
      </w:pPr>
    </w:p>
    <w:p w:rsidR="00207811" w:rsidRPr="00207811" w:rsidP="00207811" w14:paraId="37828B6F" w14:textId="77777777">
      <w:pPr>
        <w:jc w:val="both"/>
        <w:rPr>
          <w:spacing w:val="-4"/>
          <w:kern w:val="16"/>
          <w:sz w:val="22"/>
          <w:szCs w:val="22"/>
        </w:rPr>
      </w:pPr>
      <w:bookmarkStart w:id="165" w:name="_Hlk80703555"/>
      <w:r w:rsidRPr="00207811">
        <w:rPr>
          <w:spacing w:val="-4"/>
          <w:kern w:val="16"/>
          <w:sz w:val="22"/>
          <w:szCs w:val="22"/>
        </w:rPr>
        <w:t xml:space="preserve">In accordance with SFFAS 47, </w:t>
      </w:r>
      <w:r w:rsidRPr="00207811">
        <w:rPr>
          <w:i/>
          <w:spacing w:val="-4"/>
          <w:kern w:val="16"/>
          <w:sz w:val="22"/>
          <w:szCs w:val="22"/>
        </w:rPr>
        <w:t xml:space="preserve">Reporting Entity, </w:t>
      </w:r>
      <w:bookmarkEnd w:id="165"/>
      <w:r w:rsidRPr="00207811">
        <w:rPr>
          <w:spacing w:val="-4"/>
          <w:kern w:val="16"/>
          <w:sz w:val="22"/>
          <w:szCs w:val="22"/>
        </w:rPr>
        <w:t xml:space="preserve">none of these entities substantially meet the requirements for consolidated entities.  </w:t>
      </w:r>
      <w:r w:rsidRPr="00207811">
        <w:rPr>
          <w:sz w:val="22"/>
          <w:szCs w:val="22"/>
        </w:rPr>
        <w:t xml:space="preserve">As of September 30, 2025, </w:t>
      </w:r>
      <w:r w:rsidRPr="00207811">
        <w:rPr>
          <w:spacing w:val="-4"/>
          <w:kern w:val="16"/>
          <w:sz w:val="22"/>
          <w:szCs w:val="22"/>
        </w:rPr>
        <w:t xml:space="preserve">the likelihood is considered remote of any potential </w:t>
      </w:r>
      <w:r w:rsidRPr="00207811">
        <w:rPr>
          <w:sz w:val="22"/>
          <w:szCs w:val="22"/>
        </w:rPr>
        <w:t>financial and non-financial</w:t>
      </w:r>
      <w:r w:rsidRPr="00207811">
        <w:rPr>
          <w:spacing w:val="-4"/>
          <w:kern w:val="16"/>
          <w:sz w:val="22"/>
          <w:szCs w:val="22"/>
        </w:rPr>
        <w:t xml:space="preserve"> risks or benefits for the Commission associated with the control of or involvement with USAC, NECA, or LNPA program.  USAC and NECA are all not-for-profit corporations and LNPA is a program pursuant to FCC rules.  USAC’s annual reports are available at </w:t>
      </w:r>
      <w:hyperlink r:id="rId85" w:history="1">
        <w:r w:rsidRPr="00207811">
          <w:rPr>
            <w:color w:val="0000FF"/>
            <w:spacing w:val="-1"/>
            <w:sz w:val="22"/>
            <w:szCs w:val="22"/>
            <w:u w:val="single"/>
          </w:rPr>
          <w:t>https://www.usac.org</w:t>
        </w:r>
      </w:hyperlink>
      <w:r w:rsidRPr="00207811">
        <w:rPr>
          <w:spacing w:val="-4"/>
          <w:kern w:val="16"/>
          <w:sz w:val="22"/>
          <w:szCs w:val="22"/>
        </w:rPr>
        <w:t xml:space="preserve">, while NECA’s annual reports are available </w:t>
      </w:r>
      <w:r w:rsidRPr="00207811">
        <w:rPr>
          <w:sz w:val="22"/>
          <w:szCs w:val="22"/>
        </w:rPr>
        <w:t xml:space="preserve">at </w:t>
      </w:r>
      <w:hyperlink r:id="rId86" w:history="1">
        <w:r w:rsidRPr="00207811">
          <w:rPr>
            <w:color w:val="0000FF"/>
            <w:spacing w:val="-1"/>
            <w:sz w:val="22"/>
            <w:szCs w:val="22"/>
            <w:u w:val="single"/>
          </w:rPr>
          <w:t>https://www.neca.org</w:t>
        </w:r>
      </w:hyperlink>
      <w:r w:rsidRPr="00207811">
        <w:rPr>
          <w:sz w:val="22"/>
          <w:szCs w:val="22"/>
        </w:rPr>
        <w:t xml:space="preserve">.  LNPA program’s annual reports are submitted to North American Portability Management LLC, which provides them to the FCC.  </w:t>
      </w:r>
    </w:p>
    <w:p w:rsidR="00207811" w:rsidRPr="00207811" w:rsidP="00207811" w14:paraId="262C02F5" w14:textId="77777777">
      <w:pPr>
        <w:jc w:val="both"/>
        <w:rPr>
          <w:sz w:val="22"/>
          <w:szCs w:val="22"/>
        </w:rPr>
      </w:pPr>
    </w:p>
    <w:p w:rsidR="00207811" w:rsidRPr="00207811" w:rsidP="00207811" w14:paraId="017A3E7C" w14:textId="77777777">
      <w:pPr>
        <w:rPr>
          <w:sz w:val="22"/>
          <w:szCs w:val="22"/>
        </w:rPr>
      </w:pPr>
      <w:r w:rsidRPr="00207811">
        <w:rPr>
          <w:sz w:val="22"/>
          <w:szCs w:val="22"/>
        </w:rPr>
        <w:br w:type="page"/>
      </w:r>
    </w:p>
    <w:bookmarkEnd w:id="164"/>
    <w:p w:rsidR="00207811" w:rsidRPr="00207811" w:rsidP="00207811" w14:paraId="49BBC77B" w14:textId="77777777">
      <w:pPr>
        <w:jc w:val="both"/>
        <w:rPr>
          <w:b/>
          <w:bCs/>
          <w:sz w:val="22"/>
          <w:szCs w:val="22"/>
        </w:rPr>
      </w:pPr>
      <w:r w:rsidRPr="00207811">
        <w:rPr>
          <w:b/>
          <w:bCs/>
          <w:sz w:val="22"/>
          <w:szCs w:val="22"/>
        </w:rPr>
        <w:t>Note 19 – Disclosure Entities (continued)</w:t>
      </w:r>
    </w:p>
    <w:p w:rsidR="00207811" w:rsidRPr="00207811" w:rsidP="00207811" w14:paraId="43E08882" w14:textId="77777777">
      <w:pPr>
        <w:jc w:val="both"/>
        <w:rPr>
          <w:sz w:val="22"/>
          <w:szCs w:val="22"/>
        </w:rPr>
      </w:pPr>
    </w:p>
    <w:p w:rsidR="00207811" w:rsidRPr="00207811" w:rsidP="00207811" w14:paraId="17E1CBD4" w14:textId="77777777">
      <w:pPr>
        <w:jc w:val="both"/>
        <w:rPr>
          <w:sz w:val="22"/>
          <w:szCs w:val="22"/>
        </w:rPr>
      </w:pPr>
      <w:r w:rsidRPr="00207811">
        <w:rPr>
          <w:sz w:val="22"/>
          <w:szCs w:val="22"/>
        </w:rPr>
        <w:t>The following summarizes the balances from transactions with Disclosure Entities as of September 30, 2025.</w:t>
      </w:r>
    </w:p>
    <w:p w:rsidR="00207811" w:rsidRPr="00207811" w:rsidP="00207811" w14:paraId="4C554D5F" w14:textId="77777777">
      <w:pPr>
        <w:jc w:val="both"/>
        <w:rPr>
          <w:sz w:val="22"/>
          <w:szCs w:val="22"/>
        </w:rPr>
      </w:pPr>
    </w:p>
    <w:tbl>
      <w:tblPr>
        <w:tblStyle w:val="TableGrid12"/>
        <w:tblW w:w="8370" w:type="dxa"/>
        <w:jc w:val="center"/>
        <w:tblLayout w:type="fixed"/>
        <w:tblLook w:val="04A0"/>
      </w:tblPr>
      <w:tblGrid>
        <w:gridCol w:w="3780"/>
        <w:gridCol w:w="1260"/>
        <w:gridCol w:w="270"/>
        <w:gridCol w:w="1350"/>
        <w:gridCol w:w="270"/>
        <w:gridCol w:w="1440"/>
      </w:tblGrid>
      <w:tr w14:paraId="7A8FB1A7" w14:textId="77777777" w:rsidTr="00D93A8D">
        <w:tblPrEx>
          <w:tblW w:w="8370" w:type="dxa"/>
          <w:jc w:val="center"/>
          <w:tblLayout w:type="fixed"/>
          <w:tblLook w:val="04A0"/>
        </w:tblPrEx>
        <w:trPr>
          <w:tblHeader/>
          <w:jc w:val="center"/>
        </w:trPr>
        <w:tc>
          <w:tcPr>
            <w:tcW w:w="3780" w:type="dxa"/>
            <w:vAlign w:val="bottom"/>
          </w:tcPr>
          <w:p w:rsidR="00207811" w:rsidRPr="00207811" w:rsidP="00207811" w14:paraId="7F8608AE" w14:textId="77777777">
            <w:pPr>
              <w:jc w:val="both"/>
              <w:rPr>
                <w:sz w:val="22"/>
                <w:szCs w:val="22"/>
              </w:rPr>
            </w:pPr>
            <w:r w:rsidRPr="00207811">
              <w:rPr>
                <w:sz w:val="22"/>
                <w:szCs w:val="22"/>
                <w:u w:val="single"/>
              </w:rPr>
              <w:t>FY 2025</w:t>
            </w:r>
          </w:p>
        </w:tc>
        <w:tc>
          <w:tcPr>
            <w:tcW w:w="1260" w:type="dxa"/>
            <w:tcBorders>
              <w:bottom w:val="single" w:sz="4" w:space="0" w:color="auto"/>
            </w:tcBorders>
            <w:vAlign w:val="center"/>
          </w:tcPr>
          <w:p w:rsidR="00207811" w:rsidRPr="00207811" w:rsidP="00207811" w14:paraId="5407ECE0" w14:textId="77777777">
            <w:pPr>
              <w:jc w:val="center"/>
            </w:pPr>
            <w:r w:rsidRPr="00207811">
              <w:t>USAC</w:t>
            </w:r>
          </w:p>
        </w:tc>
        <w:tc>
          <w:tcPr>
            <w:tcW w:w="270" w:type="dxa"/>
            <w:vAlign w:val="center"/>
          </w:tcPr>
          <w:p w:rsidR="00207811" w:rsidRPr="00207811" w:rsidP="00207811" w14:paraId="4F173C58" w14:textId="77777777">
            <w:pPr>
              <w:jc w:val="center"/>
            </w:pPr>
          </w:p>
        </w:tc>
        <w:tc>
          <w:tcPr>
            <w:tcW w:w="1350" w:type="dxa"/>
            <w:tcBorders>
              <w:left w:val="nil"/>
              <w:bottom w:val="single" w:sz="4" w:space="0" w:color="auto"/>
            </w:tcBorders>
            <w:vAlign w:val="center"/>
          </w:tcPr>
          <w:p w:rsidR="00207811" w:rsidRPr="00207811" w:rsidP="00207811" w14:paraId="4972D62F" w14:textId="77777777">
            <w:pPr>
              <w:jc w:val="center"/>
            </w:pPr>
            <w:r w:rsidRPr="00207811">
              <w:t>NECA</w:t>
            </w:r>
          </w:p>
        </w:tc>
        <w:tc>
          <w:tcPr>
            <w:tcW w:w="270" w:type="dxa"/>
            <w:vAlign w:val="center"/>
          </w:tcPr>
          <w:p w:rsidR="00207811" w:rsidRPr="00207811" w:rsidP="00207811" w14:paraId="558F9739" w14:textId="77777777">
            <w:pPr>
              <w:jc w:val="both"/>
              <w:rPr>
                <w:b/>
                <w:bCs/>
                <w:sz w:val="22"/>
                <w:szCs w:val="22"/>
              </w:rPr>
            </w:pPr>
          </w:p>
        </w:tc>
        <w:tc>
          <w:tcPr>
            <w:tcW w:w="1440" w:type="dxa"/>
            <w:tcBorders>
              <w:left w:val="nil"/>
              <w:bottom w:val="single" w:sz="4" w:space="0" w:color="auto"/>
            </w:tcBorders>
            <w:vAlign w:val="center"/>
          </w:tcPr>
          <w:p w:rsidR="00207811" w:rsidRPr="00207811" w:rsidP="00207811" w14:paraId="00A950DC" w14:textId="77777777">
            <w:pPr>
              <w:jc w:val="center"/>
            </w:pPr>
            <w:r w:rsidRPr="00207811">
              <w:t xml:space="preserve">Total </w:t>
            </w:r>
          </w:p>
        </w:tc>
      </w:tr>
      <w:tr w14:paraId="450A9DEF" w14:textId="77777777" w:rsidTr="00D93A8D">
        <w:tblPrEx>
          <w:tblW w:w="8370" w:type="dxa"/>
          <w:jc w:val="center"/>
          <w:tblLayout w:type="fixed"/>
          <w:tblLook w:val="04A0"/>
        </w:tblPrEx>
        <w:trPr>
          <w:jc w:val="center"/>
        </w:trPr>
        <w:tc>
          <w:tcPr>
            <w:tcW w:w="3780" w:type="dxa"/>
          </w:tcPr>
          <w:p w:rsidR="00207811" w:rsidRPr="00207811" w:rsidP="00207811" w14:paraId="759F5A8A" w14:textId="77777777">
            <w:pPr>
              <w:jc w:val="both"/>
              <w:rPr>
                <w:sz w:val="22"/>
                <w:szCs w:val="22"/>
              </w:rPr>
            </w:pPr>
            <w:r w:rsidRPr="00207811">
              <w:rPr>
                <w:b/>
                <w:bCs/>
                <w:sz w:val="22"/>
                <w:szCs w:val="22"/>
              </w:rPr>
              <w:t>Balance Sheet</w:t>
            </w:r>
          </w:p>
        </w:tc>
        <w:tc>
          <w:tcPr>
            <w:tcW w:w="1260" w:type="dxa"/>
            <w:tcBorders>
              <w:top w:val="single" w:sz="4" w:space="0" w:color="auto"/>
            </w:tcBorders>
          </w:tcPr>
          <w:p w:rsidR="00207811" w:rsidRPr="00207811" w:rsidP="00207811" w14:paraId="7D6143B6" w14:textId="77777777">
            <w:pPr>
              <w:jc w:val="center"/>
              <w:rPr>
                <w:sz w:val="22"/>
                <w:szCs w:val="22"/>
              </w:rPr>
            </w:pPr>
          </w:p>
        </w:tc>
        <w:tc>
          <w:tcPr>
            <w:tcW w:w="270" w:type="dxa"/>
          </w:tcPr>
          <w:p w:rsidR="00207811" w:rsidRPr="00207811" w:rsidP="00207811" w14:paraId="176F8665" w14:textId="77777777">
            <w:pPr>
              <w:jc w:val="both"/>
              <w:rPr>
                <w:sz w:val="22"/>
                <w:szCs w:val="22"/>
              </w:rPr>
            </w:pPr>
          </w:p>
        </w:tc>
        <w:tc>
          <w:tcPr>
            <w:tcW w:w="1350" w:type="dxa"/>
            <w:tcBorders>
              <w:top w:val="single" w:sz="4" w:space="0" w:color="auto"/>
            </w:tcBorders>
          </w:tcPr>
          <w:p w:rsidR="00207811" w:rsidRPr="00207811" w:rsidP="00207811" w14:paraId="2C838C1C" w14:textId="77777777">
            <w:pPr>
              <w:jc w:val="center"/>
              <w:rPr>
                <w:sz w:val="22"/>
                <w:szCs w:val="22"/>
              </w:rPr>
            </w:pPr>
          </w:p>
        </w:tc>
        <w:tc>
          <w:tcPr>
            <w:tcW w:w="270" w:type="dxa"/>
          </w:tcPr>
          <w:p w:rsidR="00207811" w:rsidRPr="00207811" w:rsidP="00207811" w14:paraId="4DA2E995" w14:textId="77777777">
            <w:pPr>
              <w:jc w:val="both"/>
              <w:rPr>
                <w:sz w:val="22"/>
                <w:szCs w:val="22"/>
              </w:rPr>
            </w:pPr>
          </w:p>
        </w:tc>
        <w:tc>
          <w:tcPr>
            <w:tcW w:w="1440" w:type="dxa"/>
            <w:tcBorders>
              <w:top w:val="single" w:sz="4" w:space="0" w:color="auto"/>
            </w:tcBorders>
          </w:tcPr>
          <w:p w:rsidR="00207811" w:rsidRPr="00207811" w:rsidP="00207811" w14:paraId="7DE7EA0B" w14:textId="77777777">
            <w:pPr>
              <w:jc w:val="center"/>
              <w:rPr>
                <w:sz w:val="22"/>
                <w:szCs w:val="22"/>
              </w:rPr>
            </w:pPr>
          </w:p>
        </w:tc>
      </w:tr>
      <w:tr w14:paraId="0ACCF40C" w14:textId="77777777" w:rsidTr="00D93A8D">
        <w:tblPrEx>
          <w:tblW w:w="8370" w:type="dxa"/>
          <w:jc w:val="center"/>
          <w:tblLayout w:type="fixed"/>
          <w:tblLook w:val="04A0"/>
        </w:tblPrEx>
        <w:trPr>
          <w:jc w:val="center"/>
        </w:trPr>
        <w:tc>
          <w:tcPr>
            <w:tcW w:w="3780" w:type="dxa"/>
          </w:tcPr>
          <w:p w:rsidR="00207811" w:rsidRPr="00207811" w:rsidP="00207811" w14:paraId="4359B011" w14:textId="77777777">
            <w:pPr>
              <w:ind w:left="432"/>
              <w:rPr>
                <w:sz w:val="22"/>
                <w:szCs w:val="22"/>
              </w:rPr>
            </w:pPr>
            <w:r w:rsidRPr="00207811">
              <w:rPr>
                <w:sz w:val="22"/>
                <w:szCs w:val="22"/>
              </w:rPr>
              <w:t xml:space="preserve">Advances and prepayments </w:t>
            </w:r>
          </w:p>
          <w:p w:rsidR="00207811" w:rsidRPr="00207811" w:rsidP="00207811" w14:paraId="62C458A3" w14:textId="77777777">
            <w:pPr>
              <w:ind w:left="432"/>
              <w:rPr>
                <w:sz w:val="22"/>
                <w:szCs w:val="22"/>
              </w:rPr>
            </w:pPr>
            <w:r w:rsidRPr="00207811">
              <w:rPr>
                <w:sz w:val="22"/>
                <w:szCs w:val="22"/>
              </w:rPr>
              <w:t>(Note 1 G. Advances and Prepayments)</w:t>
            </w:r>
          </w:p>
        </w:tc>
        <w:tc>
          <w:tcPr>
            <w:tcW w:w="1260" w:type="dxa"/>
            <w:tcBorders>
              <w:left w:val="nil"/>
            </w:tcBorders>
            <w:vAlign w:val="center"/>
          </w:tcPr>
          <w:p w:rsidR="00207811" w:rsidRPr="00207811" w:rsidP="00207811" w14:paraId="2189449A" w14:textId="77777777">
            <w:pPr>
              <w:jc w:val="right"/>
              <w:rPr>
                <w:sz w:val="22"/>
                <w:szCs w:val="22"/>
              </w:rPr>
            </w:pPr>
            <w:r w:rsidRPr="00207811">
              <w:rPr>
                <w:sz w:val="22"/>
                <w:szCs w:val="22"/>
              </w:rPr>
              <w:t>$     13,024</w:t>
            </w:r>
          </w:p>
        </w:tc>
        <w:tc>
          <w:tcPr>
            <w:tcW w:w="270" w:type="dxa"/>
            <w:vAlign w:val="center"/>
          </w:tcPr>
          <w:p w:rsidR="00207811" w:rsidRPr="00207811" w:rsidP="00207811" w14:paraId="2A198430" w14:textId="77777777">
            <w:pPr>
              <w:jc w:val="right"/>
              <w:rPr>
                <w:sz w:val="22"/>
                <w:szCs w:val="22"/>
              </w:rPr>
            </w:pPr>
          </w:p>
        </w:tc>
        <w:tc>
          <w:tcPr>
            <w:tcW w:w="1350" w:type="dxa"/>
            <w:vAlign w:val="center"/>
          </w:tcPr>
          <w:p w:rsidR="00207811" w:rsidRPr="00207811" w:rsidP="00207811" w14:paraId="2FF100C7" w14:textId="77777777">
            <w:pPr>
              <w:jc w:val="right"/>
              <w:rPr>
                <w:sz w:val="22"/>
                <w:szCs w:val="22"/>
              </w:rPr>
            </w:pPr>
            <w:r w:rsidRPr="00207811">
              <w:rPr>
                <w:sz w:val="22"/>
                <w:szCs w:val="22"/>
              </w:rPr>
              <w:t>$                 -</w:t>
            </w:r>
          </w:p>
        </w:tc>
        <w:tc>
          <w:tcPr>
            <w:tcW w:w="270" w:type="dxa"/>
            <w:vAlign w:val="center"/>
          </w:tcPr>
          <w:p w:rsidR="00207811" w:rsidRPr="00207811" w:rsidP="00207811" w14:paraId="4BB795E1" w14:textId="77777777">
            <w:pPr>
              <w:jc w:val="right"/>
              <w:rPr>
                <w:sz w:val="22"/>
                <w:szCs w:val="22"/>
              </w:rPr>
            </w:pPr>
          </w:p>
        </w:tc>
        <w:tc>
          <w:tcPr>
            <w:tcW w:w="1440" w:type="dxa"/>
            <w:vAlign w:val="center"/>
          </w:tcPr>
          <w:p w:rsidR="00207811" w:rsidRPr="00207811" w:rsidP="00207811" w14:paraId="5CFDAC6F" w14:textId="77777777">
            <w:pPr>
              <w:jc w:val="right"/>
              <w:rPr>
                <w:sz w:val="22"/>
                <w:szCs w:val="22"/>
              </w:rPr>
            </w:pPr>
            <w:r w:rsidRPr="00207811">
              <w:rPr>
                <w:sz w:val="22"/>
                <w:szCs w:val="22"/>
              </w:rPr>
              <w:t>$         13,024</w:t>
            </w:r>
          </w:p>
        </w:tc>
      </w:tr>
      <w:tr w14:paraId="2ACBC0EA" w14:textId="77777777" w:rsidTr="00D93A8D">
        <w:tblPrEx>
          <w:tblW w:w="8370" w:type="dxa"/>
          <w:jc w:val="center"/>
          <w:tblLayout w:type="fixed"/>
          <w:tblLook w:val="04A0"/>
        </w:tblPrEx>
        <w:trPr>
          <w:jc w:val="center"/>
        </w:trPr>
        <w:tc>
          <w:tcPr>
            <w:tcW w:w="3780" w:type="dxa"/>
          </w:tcPr>
          <w:p w:rsidR="00207811" w:rsidRPr="00207811" w:rsidP="00207811" w14:paraId="73BB1C0A" w14:textId="77777777">
            <w:pPr>
              <w:ind w:left="432"/>
              <w:jc w:val="both"/>
              <w:rPr>
                <w:sz w:val="22"/>
                <w:szCs w:val="22"/>
              </w:rPr>
            </w:pPr>
            <w:r w:rsidRPr="00207811">
              <w:rPr>
                <w:sz w:val="22"/>
                <w:szCs w:val="22"/>
              </w:rPr>
              <w:t>Accounts payable</w:t>
            </w:r>
            <w:r>
              <w:rPr>
                <w:sz w:val="22"/>
                <w:szCs w:val="22"/>
                <w:vertAlign w:val="superscript"/>
              </w:rPr>
              <w:footnoteReference w:id="6"/>
            </w:r>
          </w:p>
        </w:tc>
        <w:tc>
          <w:tcPr>
            <w:tcW w:w="1260" w:type="dxa"/>
            <w:tcBorders>
              <w:left w:val="nil"/>
            </w:tcBorders>
          </w:tcPr>
          <w:p w:rsidR="00207811" w:rsidRPr="00207811" w:rsidP="00207811" w14:paraId="6C2FA7DD" w14:textId="77777777">
            <w:pPr>
              <w:jc w:val="right"/>
              <w:rPr>
                <w:sz w:val="22"/>
                <w:szCs w:val="22"/>
              </w:rPr>
            </w:pPr>
            <w:r w:rsidRPr="00207811">
              <w:rPr>
                <w:sz w:val="22"/>
                <w:szCs w:val="22"/>
              </w:rPr>
              <w:t>7,652</w:t>
            </w:r>
          </w:p>
        </w:tc>
        <w:tc>
          <w:tcPr>
            <w:tcW w:w="270" w:type="dxa"/>
          </w:tcPr>
          <w:p w:rsidR="00207811" w:rsidRPr="00207811" w:rsidP="00207811" w14:paraId="7B47A96A" w14:textId="77777777">
            <w:pPr>
              <w:jc w:val="right"/>
              <w:rPr>
                <w:sz w:val="22"/>
                <w:szCs w:val="22"/>
              </w:rPr>
            </w:pPr>
          </w:p>
        </w:tc>
        <w:tc>
          <w:tcPr>
            <w:tcW w:w="1350" w:type="dxa"/>
          </w:tcPr>
          <w:p w:rsidR="00207811" w:rsidRPr="00207811" w:rsidP="00207811" w14:paraId="073B4983" w14:textId="77777777">
            <w:pPr>
              <w:jc w:val="right"/>
              <w:rPr>
                <w:sz w:val="22"/>
                <w:szCs w:val="22"/>
              </w:rPr>
            </w:pPr>
            <w:r w:rsidRPr="00207811">
              <w:rPr>
                <w:sz w:val="22"/>
                <w:szCs w:val="22"/>
              </w:rPr>
              <w:t>-</w:t>
            </w:r>
          </w:p>
        </w:tc>
        <w:tc>
          <w:tcPr>
            <w:tcW w:w="270" w:type="dxa"/>
          </w:tcPr>
          <w:p w:rsidR="00207811" w:rsidRPr="00207811" w:rsidP="00207811" w14:paraId="087FDFC4" w14:textId="77777777">
            <w:pPr>
              <w:jc w:val="right"/>
              <w:rPr>
                <w:sz w:val="22"/>
                <w:szCs w:val="22"/>
              </w:rPr>
            </w:pPr>
          </w:p>
        </w:tc>
        <w:tc>
          <w:tcPr>
            <w:tcW w:w="1440" w:type="dxa"/>
          </w:tcPr>
          <w:p w:rsidR="00207811" w:rsidRPr="00207811" w:rsidP="00207811" w14:paraId="2CB80605" w14:textId="77777777">
            <w:pPr>
              <w:jc w:val="right"/>
              <w:rPr>
                <w:sz w:val="22"/>
                <w:szCs w:val="22"/>
              </w:rPr>
            </w:pPr>
            <w:r w:rsidRPr="00207811">
              <w:rPr>
                <w:sz w:val="22"/>
                <w:szCs w:val="22"/>
              </w:rPr>
              <w:t>7,652</w:t>
            </w:r>
          </w:p>
        </w:tc>
      </w:tr>
      <w:tr w14:paraId="17C19B1C" w14:textId="77777777" w:rsidTr="00D93A8D">
        <w:tblPrEx>
          <w:tblW w:w="8370" w:type="dxa"/>
          <w:jc w:val="center"/>
          <w:tblLayout w:type="fixed"/>
          <w:tblLook w:val="04A0"/>
        </w:tblPrEx>
        <w:trPr>
          <w:jc w:val="center"/>
        </w:trPr>
        <w:tc>
          <w:tcPr>
            <w:tcW w:w="3780" w:type="dxa"/>
          </w:tcPr>
          <w:p w:rsidR="00207811" w:rsidRPr="00207811" w:rsidP="00207811" w14:paraId="65B49557" w14:textId="77777777">
            <w:pPr>
              <w:jc w:val="both"/>
              <w:rPr>
                <w:sz w:val="22"/>
                <w:szCs w:val="22"/>
              </w:rPr>
            </w:pPr>
          </w:p>
        </w:tc>
        <w:tc>
          <w:tcPr>
            <w:tcW w:w="1260" w:type="dxa"/>
          </w:tcPr>
          <w:p w:rsidR="00207811" w:rsidRPr="00207811" w:rsidP="00207811" w14:paraId="5BD21D9E" w14:textId="77777777">
            <w:pPr>
              <w:jc w:val="right"/>
              <w:rPr>
                <w:sz w:val="22"/>
                <w:szCs w:val="22"/>
              </w:rPr>
            </w:pPr>
          </w:p>
        </w:tc>
        <w:tc>
          <w:tcPr>
            <w:tcW w:w="270" w:type="dxa"/>
          </w:tcPr>
          <w:p w:rsidR="00207811" w:rsidRPr="00207811" w:rsidP="00207811" w14:paraId="26C72FA2" w14:textId="77777777">
            <w:pPr>
              <w:jc w:val="right"/>
              <w:rPr>
                <w:sz w:val="22"/>
                <w:szCs w:val="22"/>
              </w:rPr>
            </w:pPr>
          </w:p>
        </w:tc>
        <w:tc>
          <w:tcPr>
            <w:tcW w:w="1350" w:type="dxa"/>
          </w:tcPr>
          <w:p w:rsidR="00207811" w:rsidRPr="00207811" w:rsidP="00207811" w14:paraId="427B2FA5" w14:textId="77777777">
            <w:pPr>
              <w:jc w:val="right"/>
              <w:rPr>
                <w:sz w:val="22"/>
                <w:szCs w:val="22"/>
              </w:rPr>
            </w:pPr>
          </w:p>
        </w:tc>
        <w:tc>
          <w:tcPr>
            <w:tcW w:w="270" w:type="dxa"/>
          </w:tcPr>
          <w:p w:rsidR="00207811" w:rsidRPr="00207811" w:rsidP="00207811" w14:paraId="0ADFA5F6" w14:textId="77777777">
            <w:pPr>
              <w:jc w:val="right"/>
              <w:rPr>
                <w:sz w:val="22"/>
                <w:szCs w:val="22"/>
              </w:rPr>
            </w:pPr>
          </w:p>
        </w:tc>
        <w:tc>
          <w:tcPr>
            <w:tcW w:w="1440" w:type="dxa"/>
          </w:tcPr>
          <w:p w:rsidR="00207811" w:rsidRPr="00207811" w:rsidP="00207811" w14:paraId="40EE79C0" w14:textId="77777777">
            <w:pPr>
              <w:jc w:val="right"/>
              <w:rPr>
                <w:sz w:val="22"/>
                <w:szCs w:val="22"/>
              </w:rPr>
            </w:pPr>
          </w:p>
        </w:tc>
      </w:tr>
      <w:tr w14:paraId="067FBB1B" w14:textId="77777777" w:rsidTr="00D93A8D">
        <w:tblPrEx>
          <w:tblW w:w="8370" w:type="dxa"/>
          <w:jc w:val="center"/>
          <w:tblLayout w:type="fixed"/>
          <w:tblLook w:val="04A0"/>
        </w:tblPrEx>
        <w:trPr>
          <w:jc w:val="center"/>
        </w:trPr>
        <w:tc>
          <w:tcPr>
            <w:tcW w:w="3780" w:type="dxa"/>
          </w:tcPr>
          <w:p w:rsidR="00207811" w:rsidRPr="00207811" w:rsidP="00207811" w14:paraId="79684B46" w14:textId="77777777">
            <w:pPr>
              <w:jc w:val="both"/>
              <w:rPr>
                <w:sz w:val="22"/>
                <w:szCs w:val="22"/>
              </w:rPr>
            </w:pPr>
            <w:r w:rsidRPr="00207811">
              <w:rPr>
                <w:b/>
                <w:bCs/>
                <w:sz w:val="22"/>
                <w:szCs w:val="22"/>
              </w:rPr>
              <w:t>Statement of Net Cost</w:t>
            </w:r>
          </w:p>
        </w:tc>
        <w:tc>
          <w:tcPr>
            <w:tcW w:w="1260" w:type="dxa"/>
            <w:tcBorders>
              <w:left w:val="nil"/>
            </w:tcBorders>
          </w:tcPr>
          <w:p w:rsidR="00207811" w:rsidRPr="00207811" w:rsidP="00207811" w14:paraId="311CAEEC" w14:textId="77777777">
            <w:pPr>
              <w:jc w:val="right"/>
              <w:rPr>
                <w:sz w:val="22"/>
                <w:szCs w:val="22"/>
              </w:rPr>
            </w:pPr>
          </w:p>
        </w:tc>
        <w:tc>
          <w:tcPr>
            <w:tcW w:w="270" w:type="dxa"/>
          </w:tcPr>
          <w:p w:rsidR="00207811" w:rsidRPr="00207811" w:rsidP="00207811" w14:paraId="346F5C31" w14:textId="77777777">
            <w:pPr>
              <w:jc w:val="right"/>
              <w:rPr>
                <w:sz w:val="22"/>
                <w:szCs w:val="22"/>
              </w:rPr>
            </w:pPr>
          </w:p>
        </w:tc>
        <w:tc>
          <w:tcPr>
            <w:tcW w:w="1350" w:type="dxa"/>
          </w:tcPr>
          <w:p w:rsidR="00207811" w:rsidRPr="00207811" w:rsidP="00207811" w14:paraId="2F309014" w14:textId="77777777">
            <w:pPr>
              <w:jc w:val="right"/>
              <w:rPr>
                <w:sz w:val="22"/>
                <w:szCs w:val="22"/>
              </w:rPr>
            </w:pPr>
          </w:p>
        </w:tc>
        <w:tc>
          <w:tcPr>
            <w:tcW w:w="270" w:type="dxa"/>
          </w:tcPr>
          <w:p w:rsidR="00207811" w:rsidRPr="00207811" w:rsidP="00207811" w14:paraId="751425A8" w14:textId="77777777">
            <w:pPr>
              <w:jc w:val="right"/>
              <w:rPr>
                <w:sz w:val="22"/>
                <w:szCs w:val="22"/>
              </w:rPr>
            </w:pPr>
          </w:p>
        </w:tc>
        <w:tc>
          <w:tcPr>
            <w:tcW w:w="1440" w:type="dxa"/>
          </w:tcPr>
          <w:p w:rsidR="00207811" w:rsidRPr="00207811" w:rsidP="00207811" w14:paraId="20F5886F" w14:textId="77777777">
            <w:pPr>
              <w:jc w:val="right"/>
              <w:rPr>
                <w:sz w:val="22"/>
                <w:szCs w:val="22"/>
              </w:rPr>
            </w:pPr>
          </w:p>
        </w:tc>
      </w:tr>
      <w:tr w14:paraId="01E98883" w14:textId="77777777" w:rsidTr="00D93A8D">
        <w:tblPrEx>
          <w:tblW w:w="8370" w:type="dxa"/>
          <w:jc w:val="center"/>
          <w:tblLayout w:type="fixed"/>
          <w:tblLook w:val="04A0"/>
        </w:tblPrEx>
        <w:trPr>
          <w:jc w:val="center"/>
        </w:trPr>
        <w:tc>
          <w:tcPr>
            <w:tcW w:w="3780" w:type="dxa"/>
          </w:tcPr>
          <w:p w:rsidR="00207811" w:rsidRPr="00207811" w:rsidP="00207811" w14:paraId="6D39B7CC" w14:textId="77777777">
            <w:pPr>
              <w:ind w:left="432"/>
              <w:jc w:val="both"/>
              <w:rPr>
                <w:sz w:val="22"/>
                <w:szCs w:val="22"/>
              </w:rPr>
            </w:pPr>
            <w:r w:rsidRPr="00207811">
              <w:rPr>
                <w:sz w:val="22"/>
                <w:szCs w:val="22"/>
              </w:rPr>
              <w:t>Net cost of operations</w:t>
            </w:r>
            <w:r>
              <w:rPr>
                <w:sz w:val="22"/>
                <w:szCs w:val="22"/>
                <w:vertAlign w:val="superscript"/>
              </w:rPr>
              <w:footnoteReference w:id="7"/>
            </w:r>
          </w:p>
        </w:tc>
        <w:tc>
          <w:tcPr>
            <w:tcW w:w="1260" w:type="dxa"/>
            <w:tcBorders>
              <w:left w:val="nil"/>
            </w:tcBorders>
          </w:tcPr>
          <w:p w:rsidR="00207811" w:rsidRPr="00207811" w:rsidP="00207811" w14:paraId="5A4D07C4" w14:textId="77777777">
            <w:pPr>
              <w:jc w:val="right"/>
              <w:rPr>
                <w:sz w:val="22"/>
                <w:szCs w:val="22"/>
              </w:rPr>
            </w:pPr>
            <w:r w:rsidRPr="00207811">
              <w:rPr>
                <w:sz w:val="22"/>
                <w:szCs w:val="22"/>
              </w:rPr>
              <w:t>$   256,237</w:t>
            </w:r>
          </w:p>
        </w:tc>
        <w:tc>
          <w:tcPr>
            <w:tcW w:w="270" w:type="dxa"/>
          </w:tcPr>
          <w:p w:rsidR="00207811" w:rsidRPr="00207811" w:rsidP="00207811" w14:paraId="582FD161" w14:textId="77777777">
            <w:pPr>
              <w:jc w:val="right"/>
              <w:rPr>
                <w:sz w:val="22"/>
                <w:szCs w:val="22"/>
              </w:rPr>
            </w:pPr>
          </w:p>
        </w:tc>
        <w:tc>
          <w:tcPr>
            <w:tcW w:w="1350" w:type="dxa"/>
          </w:tcPr>
          <w:p w:rsidR="00207811" w:rsidRPr="00207811" w:rsidP="00207811" w14:paraId="3D8054A6" w14:textId="77777777">
            <w:pPr>
              <w:jc w:val="right"/>
              <w:rPr>
                <w:sz w:val="22"/>
                <w:szCs w:val="22"/>
              </w:rPr>
            </w:pPr>
            <w:r w:rsidRPr="00207811">
              <w:rPr>
                <w:sz w:val="22"/>
                <w:szCs w:val="22"/>
              </w:rPr>
              <w:t>$            549</w:t>
            </w:r>
          </w:p>
        </w:tc>
        <w:tc>
          <w:tcPr>
            <w:tcW w:w="270" w:type="dxa"/>
          </w:tcPr>
          <w:p w:rsidR="00207811" w:rsidRPr="00207811" w:rsidP="00207811" w14:paraId="7F3C390C" w14:textId="77777777">
            <w:pPr>
              <w:jc w:val="right"/>
              <w:rPr>
                <w:sz w:val="22"/>
                <w:szCs w:val="22"/>
              </w:rPr>
            </w:pPr>
          </w:p>
        </w:tc>
        <w:tc>
          <w:tcPr>
            <w:tcW w:w="1440" w:type="dxa"/>
          </w:tcPr>
          <w:p w:rsidR="00207811" w:rsidRPr="00207811" w:rsidP="00207811" w14:paraId="44656BE8" w14:textId="77777777">
            <w:pPr>
              <w:jc w:val="right"/>
              <w:rPr>
                <w:sz w:val="22"/>
                <w:szCs w:val="22"/>
              </w:rPr>
            </w:pPr>
            <w:r w:rsidRPr="00207811">
              <w:rPr>
                <w:sz w:val="22"/>
                <w:szCs w:val="22"/>
              </w:rPr>
              <w:t>$       256,786</w:t>
            </w:r>
          </w:p>
        </w:tc>
      </w:tr>
      <w:tr w14:paraId="1A64F48B" w14:textId="77777777" w:rsidTr="00D93A8D">
        <w:tblPrEx>
          <w:tblW w:w="8370" w:type="dxa"/>
          <w:jc w:val="center"/>
          <w:tblLayout w:type="fixed"/>
          <w:tblLook w:val="04A0"/>
        </w:tblPrEx>
        <w:trPr>
          <w:trHeight w:val="108"/>
          <w:jc w:val="center"/>
        </w:trPr>
        <w:tc>
          <w:tcPr>
            <w:tcW w:w="3780" w:type="dxa"/>
          </w:tcPr>
          <w:p w:rsidR="00207811" w:rsidRPr="00207811" w:rsidP="00207811" w14:paraId="7726CC46" w14:textId="77777777">
            <w:pPr>
              <w:jc w:val="both"/>
              <w:rPr>
                <w:sz w:val="22"/>
                <w:szCs w:val="22"/>
              </w:rPr>
            </w:pPr>
          </w:p>
        </w:tc>
        <w:tc>
          <w:tcPr>
            <w:tcW w:w="1260" w:type="dxa"/>
          </w:tcPr>
          <w:p w:rsidR="00207811" w:rsidRPr="00207811" w:rsidP="00207811" w14:paraId="26778C99" w14:textId="77777777">
            <w:pPr>
              <w:jc w:val="right"/>
              <w:rPr>
                <w:sz w:val="22"/>
                <w:szCs w:val="22"/>
              </w:rPr>
            </w:pPr>
          </w:p>
        </w:tc>
        <w:tc>
          <w:tcPr>
            <w:tcW w:w="270" w:type="dxa"/>
          </w:tcPr>
          <w:p w:rsidR="00207811" w:rsidRPr="00207811" w:rsidP="00207811" w14:paraId="53599B07" w14:textId="77777777">
            <w:pPr>
              <w:jc w:val="right"/>
              <w:rPr>
                <w:sz w:val="22"/>
                <w:szCs w:val="22"/>
              </w:rPr>
            </w:pPr>
          </w:p>
        </w:tc>
        <w:tc>
          <w:tcPr>
            <w:tcW w:w="1350" w:type="dxa"/>
          </w:tcPr>
          <w:p w:rsidR="00207811" w:rsidRPr="00207811" w:rsidP="00207811" w14:paraId="2F9D4664" w14:textId="77777777">
            <w:pPr>
              <w:jc w:val="right"/>
              <w:rPr>
                <w:sz w:val="22"/>
                <w:szCs w:val="22"/>
              </w:rPr>
            </w:pPr>
          </w:p>
        </w:tc>
        <w:tc>
          <w:tcPr>
            <w:tcW w:w="270" w:type="dxa"/>
          </w:tcPr>
          <w:p w:rsidR="00207811" w:rsidRPr="00207811" w:rsidP="00207811" w14:paraId="3FA244EB" w14:textId="77777777">
            <w:pPr>
              <w:jc w:val="right"/>
              <w:rPr>
                <w:sz w:val="22"/>
                <w:szCs w:val="22"/>
              </w:rPr>
            </w:pPr>
          </w:p>
        </w:tc>
        <w:tc>
          <w:tcPr>
            <w:tcW w:w="1440" w:type="dxa"/>
          </w:tcPr>
          <w:p w:rsidR="00207811" w:rsidRPr="00207811" w:rsidP="00207811" w14:paraId="4F3AB600" w14:textId="77777777">
            <w:pPr>
              <w:jc w:val="right"/>
              <w:rPr>
                <w:sz w:val="22"/>
                <w:szCs w:val="22"/>
              </w:rPr>
            </w:pPr>
          </w:p>
        </w:tc>
      </w:tr>
      <w:tr w14:paraId="2082226E" w14:textId="77777777" w:rsidTr="00D93A8D">
        <w:tblPrEx>
          <w:tblW w:w="8370" w:type="dxa"/>
          <w:jc w:val="center"/>
          <w:tblLayout w:type="fixed"/>
          <w:tblLook w:val="04A0"/>
        </w:tblPrEx>
        <w:trPr>
          <w:jc w:val="center"/>
        </w:trPr>
        <w:tc>
          <w:tcPr>
            <w:tcW w:w="3780" w:type="dxa"/>
          </w:tcPr>
          <w:p w:rsidR="00207811" w:rsidRPr="00207811" w:rsidP="00207811" w14:paraId="2E064A78" w14:textId="77777777">
            <w:pPr>
              <w:rPr>
                <w:b/>
                <w:bCs/>
                <w:sz w:val="22"/>
                <w:szCs w:val="22"/>
              </w:rPr>
            </w:pPr>
            <w:r w:rsidRPr="00207811">
              <w:rPr>
                <w:b/>
                <w:bCs/>
                <w:sz w:val="22"/>
                <w:szCs w:val="22"/>
              </w:rPr>
              <w:t>Statement of Changes in Net Position</w:t>
            </w:r>
          </w:p>
        </w:tc>
        <w:tc>
          <w:tcPr>
            <w:tcW w:w="1260" w:type="dxa"/>
            <w:tcBorders>
              <w:left w:val="nil"/>
            </w:tcBorders>
          </w:tcPr>
          <w:p w:rsidR="00207811" w:rsidRPr="00207811" w:rsidP="00207811" w14:paraId="4263AC7E" w14:textId="77777777">
            <w:pPr>
              <w:jc w:val="both"/>
              <w:rPr>
                <w:sz w:val="22"/>
                <w:szCs w:val="22"/>
              </w:rPr>
            </w:pPr>
          </w:p>
        </w:tc>
        <w:tc>
          <w:tcPr>
            <w:tcW w:w="270" w:type="dxa"/>
          </w:tcPr>
          <w:p w:rsidR="00207811" w:rsidRPr="00207811" w:rsidP="00207811" w14:paraId="04DD41E2" w14:textId="77777777">
            <w:pPr>
              <w:jc w:val="both"/>
              <w:rPr>
                <w:sz w:val="22"/>
                <w:szCs w:val="22"/>
              </w:rPr>
            </w:pPr>
          </w:p>
        </w:tc>
        <w:tc>
          <w:tcPr>
            <w:tcW w:w="1350" w:type="dxa"/>
          </w:tcPr>
          <w:p w:rsidR="00207811" w:rsidRPr="00207811" w:rsidP="00207811" w14:paraId="373521FD" w14:textId="77777777">
            <w:pPr>
              <w:jc w:val="both"/>
              <w:rPr>
                <w:sz w:val="22"/>
                <w:szCs w:val="22"/>
              </w:rPr>
            </w:pPr>
          </w:p>
        </w:tc>
        <w:tc>
          <w:tcPr>
            <w:tcW w:w="270" w:type="dxa"/>
          </w:tcPr>
          <w:p w:rsidR="00207811" w:rsidRPr="00207811" w:rsidP="00207811" w14:paraId="0C65CB2B" w14:textId="77777777">
            <w:pPr>
              <w:jc w:val="both"/>
              <w:rPr>
                <w:sz w:val="22"/>
                <w:szCs w:val="22"/>
              </w:rPr>
            </w:pPr>
          </w:p>
        </w:tc>
        <w:tc>
          <w:tcPr>
            <w:tcW w:w="1440" w:type="dxa"/>
          </w:tcPr>
          <w:p w:rsidR="00207811" w:rsidRPr="00207811" w:rsidP="00207811" w14:paraId="382FE572" w14:textId="77777777">
            <w:pPr>
              <w:jc w:val="both"/>
              <w:rPr>
                <w:sz w:val="22"/>
                <w:szCs w:val="22"/>
              </w:rPr>
            </w:pPr>
          </w:p>
        </w:tc>
      </w:tr>
      <w:tr w14:paraId="36D77882" w14:textId="77777777" w:rsidTr="00D93A8D">
        <w:tblPrEx>
          <w:tblW w:w="8370" w:type="dxa"/>
          <w:jc w:val="center"/>
          <w:tblLayout w:type="fixed"/>
          <w:tblLook w:val="04A0"/>
        </w:tblPrEx>
        <w:trPr>
          <w:jc w:val="center"/>
        </w:trPr>
        <w:tc>
          <w:tcPr>
            <w:tcW w:w="3780" w:type="dxa"/>
          </w:tcPr>
          <w:p w:rsidR="00207811" w:rsidRPr="00207811" w:rsidP="00207811" w14:paraId="3B6F8B89" w14:textId="77777777">
            <w:pPr>
              <w:ind w:left="432"/>
              <w:jc w:val="both"/>
              <w:rPr>
                <w:sz w:val="22"/>
                <w:szCs w:val="22"/>
              </w:rPr>
            </w:pPr>
            <w:r w:rsidRPr="00207811">
              <w:rPr>
                <w:sz w:val="22"/>
                <w:szCs w:val="22"/>
              </w:rPr>
              <w:t>Net cost of operations</w:t>
            </w:r>
            <w:r w:rsidRPr="00207811">
              <w:rPr>
                <w:sz w:val="22"/>
                <w:szCs w:val="22"/>
                <w:vertAlign w:val="superscript"/>
              </w:rPr>
              <w:t>2</w:t>
            </w:r>
          </w:p>
        </w:tc>
        <w:tc>
          <w:tcPr>
            <w:tcW w:w="1260" w:type="dxa"/>
            <w:tcBorders>
              <w:left w:val="nil"/>
            </w:tcBorders>
          </w:tcPr>
          <w:p w:rsidR="00207811" w:rsidRPr="00207811" w:rsidP="00207811" w14:paraId="4148DBBD" w14:textId="77777777">
            <w:pPr>
              <w:jc w:val="right"/>
              <w:rPr>
                <w:sz w:val="22"/>
                <w:szCs w:val="22"/>
              </w:rPr>
            </w:pPr>
            <w:r w:rsidRPr="00207811">
              <w:rPr>
                <w:sz w:val="22"/>
                <w:szCs w:val="22"/>
              </w:rPr>
              <w:t>$   256,237</w:t>
            </w:r>
          </w:p>
        </w:tc>
        <w:tc>
          <w:tcPr>
            <w:tcW w:w="270" w:type="dxa"/>
          </w:tcPr>
          <w:p w:rsidR="00207811" w:rsidRPr="00207811" w:rsidP="00207811" w14:paraId="2322BAC1" w14:textId="77777777">
            <w:pPr>
              <w:jc w:val="right"/>
              <w:rPr>
                <w:sz w:val="22"/>
                <w:szCs w:val="22"/>
              </w:rPr>
            </w:pPr>
          </w:p>
        </w:tc>
        <w:tc>
          <w:tcPr>
            <w:tcW w:w="1350" w:type="dxa"/>
          </w:tcPr>
          <w:p w:rsidR="00207811" w:rsidRPr="00207811" w:rsidP="00207811" w14:paraId="06633078" w14:textId="77777777">
            <w:pPr>
              <w:jc w:val="right"/>
              <w:rPr>
                <w:sz w:val="22"/>
                <w:szCs w:val="22"/>
              </w:rPr>
            </w:pPr>
            <w:r w:rsidRPr="00207811">
              <w:rPr>
                <w:sz w:val="22"/>
                <w:szCs w:val="22"/>
              </w:rPr>
              <w:t>$            549</w:t>
            </w:r>
          </w:p>
        </w:tc>
        <w:tc>
          <w:tcPr>
            <w:tcW w:w="270" w:type="dxa"/>
          </w:tcPr>
          <w:p w:rsidR="00207811" w:rsidRPr="00207811" w:rsidP="00207811" w14:paraId="26472178" w14:textId="77777777">
            <w:pPr>
              <w:jc w:val="right"/>
              <w:rPr>
                <w:sz w:val="22"/>
                <w:szCs w:val="22"/>
              </w:rPr>
            </w:pPr>
          </w:p>
        </w:tc>
        <w:tc>
          <w:tcPr>
            <w:tcW w:w="1440" w:type="dxa"/>
          </w:tcPr>
          <w:p w:rsidR="00207811" w:rsidRPr="00207811" w:rsidP="00207811" w14:paraId="11DBC313" w14:textId="77777777">
            <w:pPr>
              <w:jc w:val="right"/>
              <w:rPr>
                <w:sz w:val="22"/>
                <w:szCs w:val="22"/>
              </w:rPr>
            </w:pPr>
            <w:r w:rsidRPr="00207811">
              <w:rPr>
                <w:sz w:val="22"/>
                <w:szCs w:val="22"/>
              </w:rPr>
              <w:t>$       256,786</w:t>
            </w:r>
          </w:p>
        </w:tc>
      </w:tr>
      <w:tr w14:paraId="31DB3E22" w14:textId="77777777" w:rsidTr="00D93A8D">
        <w:tblPrEx>
          <w:tblW w:w="8370" w:type="dxa"/>
          <w:jc w:val="center"/>
          <w:tblLayout w:type="fixed"/>
          <w:tblLook w:val="04A0"/>
        </w:tblPrEx>
        <w:trPr>
          <w:jc w:val="center"/>
        </w:trPr>
        <w:tc>
          <w:tcPr>
            <w:tcW w:w="3780" w:type="dxa"/>
          </w:tcPr>
          <w:p w:rsidR="00207811" w:rsidRPr="00207811" w:rsidP="00207811" w14:paraId="0336ED72" w14:textId="77777777">
            <w:pPr>
              <w:jc w:val="both"/>
              <w:rPr>
                <w:sz w:val="22"/>
                <w:szCs w:val="22"/>
              </w:rPr>
            </w:pPr>
          </w:p>
        </w:tc>
        <w:tc>
          <w:tcPr>
            <w:tcW w:w="1260" w:type="dxa"/>
          </w:tcPr>
          <w:p w:rsidR="00207811" w:rsidRPr="00207811" w:rsidP="00207811" w14:paraId="6D3FD633" w14:textId="77777777">
            <w:pPr>
              <w:jc w:val="right"/>
              <w:rPr>
                <w:sz w:val="22"/>
                <w:szCs w:val="22"/>
              </w:rPr>
            </w:pPr>
          </w:p>
        </w:tc>
        <w:tc>
          <w:tcPr>
            <w:tcW w:w="270" w:type="dxa"/>
          </w:tcPr>
          <w:p w:rsidR="00207811" w:rsidRPr="00207811" w:rsidP="00207811" w14:paraId="45094DAD" w14:textId="77777777">
            <w:pPr>
              <w:jc w:val="right"/>
              <w:rPr>
                <w:sz w:val="22"/>
                <w:szCs w:val="22"/>
              </w:rPr>
            </w:pPr>
          </w:p>
        </w:tc>
        <w:tc>
          <w:tcPr>
            <w:tcW w:w="1350" w:type="dxa"/>
          </w:tcPr>
          <w:p w:rsidR="00207811" w:rsidRPr="00207811" w:rsidP="00207811" w14:paraId="10F5CD07" w14:textId="77777777">
            <w:pPr>
              <w:jc w:val="right"/>
              <w:rPr>
                <w:sz w:val="22"/>
                <w:szCs w:val="22"/>
              </w:rPr>
            </w:pPr>
          </w:p>
        </w:tc>
        <w:tc>
          <w:tcPr>
            <w:tcW w:w="270" w:type="dxa"/>
          </w:tcPr>
          <w:p w:rsidR="00207811" w:rsidRPr="00207811" w:rsidP="00207811" w14:paraId="40C73D97" w14:textId="77777777">
            <w:pPr>
              <w:jc w:val="right"/>
              <w:rPr>
                <w:sz w:val="22"/>
                <w:szCs w:val="22"/>
              </w:rPr>
            </w:pPr>
          </w:p>
        </w:tc>
        <w:tc>
          <w:tcPr>
            <w:tcW w:w="1440" w:type="dxa"/>
          </w:tcPr>
          <w:p w:rsidR="00207811" w:rsidRPr="00207811" w:rsidP="00207811" w14:paraId="36929E9A" w14:textId="77777777">
            <w:pPr>
              <w:jc w:val="right"/>
              <w:rPr>
                <w:sz w:val="22"/>
                <w:szCs w:val="22"/>
              </w:rPr>
            </w:pPr>
          </w:p>
        </w:tc>
      </w:tr>
    </w:tbl>
    <w:p w:rsidR="00207811" w:rsidRPr="00207811" w:rsidP="00207811" w14:paraId="42EB5D11" w14:textId="77777777">
      <w:pPr>
        <w:jc w:val="both"/>
        <w:rPr>
          <w:sz w:val="20"/>
        </w:rPr>
      </w:pPr>
    </w:p>
    <w:p w:rsidR="00207811" w:rsidRPr="00207811" w:rsidP="00207811" w14:paraId="5A5E304A" w14:textId="77777777">
      <w:pPr>
        <w:jc w:val="both"/>
        <w:rPr>
          <w:sz w:val="22"/>
          <w:szCs w:val="22"/>
        </w:rPr>
      </w:pPr>
    </w:p>
    <w:p w:rsidR="00207811" w:rsidRPr="00207811" w:rsidP="00207811" w14:paraId="7896DD1D"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Note 20 – Reclassification of Financial Statement Line Items for Financial Report Compilation Process</w:t>
      </w:r>
    </w:p>
    <w:p w:rsidR="00207811" w:rsidRPr="00207811" w:rsidP="00207811" w14:paraId="4EADA256" w14:textId="77777777">
      <w:pPr>
        <w:autoSpaceDE w:val="0"/>
        <w:autoSpaceDN w:val="0"/>
        <w:adjustRightInd w:val="0"/>
        <w:jc w:val="both"/>
        <w:rPr>
          <w:sz w:val="22"/>
          <w:szCs w:val="22"/>
        </w:rPr>
      </w:pPr>
    </w:p>
    <w:p w:rsidR="00207811" w:rsidRPr="00207811" w:rsidP="00207811" w14:paraId="7639A05F" w14:textId="77777777">
      <w:pPr>
        <w:tabs>
          <w:tab w:val="left" w:pos="180"/>
        </w:tabs>
        <w:autoSpaceDE w:val="0"/>
        <w:autoSpaceDN w:val="0"/>
        <w:adjustRightInd w:val="0"/>
        <w:jc w:val="both"/>
        <w:rPr>
          <w:color w:val="0000FF"/>
          <w:sz w:val="22"/>
          <w:szCs w:val="22"/>
          <w:u w:val="single"/>
        </w:rPr>
      </w:pPr>
      <w:r w:rsidRPr="00207811">
        <w:rPr>
          <w:color w:val="000000"/>
          <w:sz w:val="22"/>
          <w:szCs w:val="22"/>
        </w:rPr>
        <w:t xml:space="preserve">To prepare the </w:t>
      </w:r>
      <w:r w:rsidRPr="00207811">
        <w:rPr>
          <w:i/>
          <w:iCs/>
          <w:color w:val="000000"/>
          <w:sz w:val="22"/>
          <w:szCs w:val="22"/>
        </w:rPr>
        <w:t xml:space="preserve">Financial Report of the U.S. Government </w:t>
      </w:r>
      <w:r w:rsidRPr="00207811">
        <w:rPr>
          <w:color w:val="000000"/>
          <w:sz w:val="22"/>
          <w:szCs w:val="22"/>
        </w:rPr>
        <w:t>(</w:t>
      </w:r>
      <w:r w:rsidRPr="00207811">
        <w:rPr>
          <w:i/>
          <w:iCs/>
          <w:color w:val="000000"/>
          <w:sz w:val="22"/>
          <w:szCs w:val="22"/>
        </w:rPr>
        <w:t>Financial Report</w:t>
      </w:r>
      <w:r w:rsidRPr="00207811">
        <w:rPr>
          <w:color w:val="000000"/>
          <w:sz w:val="22"/>
          <w:szCs w:val="22"/>
        </w:rPr>
        <w:t xml:space="preserve">), the U.S. Department of the Treasury requires agencies to submit an adjusted trial balance, which is a listing of amounts by U.S. Standard General Ledger account that appear in the financial statements.  Treasury uses the trial balance information reported in the Government-wide Treasury Account Symbol Adjusted Trial Balance System (GTAS) to develop a Reclassified Statement of Net Cost and a Reclassified Statement of Changes in Net Position.  Treasury eliminates intragovernmental balances from the reclassified statements and aggregates lines with the same title to develop the </w:t>
      </w:r>
      <w:r w:rsidRPr="00207811">
        <w:rPr>
          <w:i/>
          <w:iCs/>
          <w:color w:val="000000"/>
          <w:sz w:val="22"/>
          <w:szCs w:val="22"/>
        </w:rPr>
        <w:t xml:space="preserve">Financial Report </w:t>
      </w:r>
      <w:r w:rsidRPr="00207811">
        <w:rPr>
          <w:color w:val="000000"/>
          <w:sz w:val="22"/>
          <w:szCs w:val="22"/>
        </w:rPr>
        <w:t xml:space="preserve">statements.  This note shows the FCC’s financial statements and the FCC’s reclassified statements prior to elimination of intragovernmental balances and prior to aggregation of repeated </w:t>
      </w:r>
      <w:r w:rsidRPr="00207811">
        <w:rPr>
          <w:i/>
          <w:iCs/>
          <w:color w:val="000000"/>
          <w:sz w:val="22"/>
          <w:szCs w:val="22"/>
        </w:rPr>
        <w:t xml:space="preserve">Financial Report </w:t>
      </w:r>
      <w:r w:rsidRPr="00207811">
        <w:rPr>
          <w:color w:val="000000"/>
          <w:sz w:val="22"/>
          <w:szCs w:val="22"/>
        </w:rPr>
        <w:t xml:space="preserve">line items.  A copy of the 2025 </w:t>
      </w:r>
      <w:r w:rsidRPr="00207811">
        <w:rPr>
          <w:i/>
          <w:iCs/>
          <w:color w:val="000000"/>
          <w:sz w:val="22"/>
          <w:szCs w:val="22"/>
        </w:rPr>
        <w:t xml:space="preserve">Financial Report </w:t>
      </w:r>
      <w:r w:rsidRPr="00207811">
        <w:rPr>
          <w:color w:val="000000"/>
          <w:sz w:val="22"/>
          <w:szCs w:val="22"/>
        </w:rPr>
        <w:t xml:space="preserve">once released can be found here:  </w:t>
      </w:r>
      <w:hyperlink r:id="rId87" w:history="1">
        <w:r w:rsidRPr="00207811">
          <w:rPr>
            <w:color w:val="0000FF"/>
            <w:sz w:val="22"/>
            <w:szCs w:val="22"/>
            <w:u w:val="single"/>
          </w:rPr>
          <w:t>https://fiscal.treasury.gov/reports-statements/financial-report/current-report.html</w:t>
        </w:r>
      </w:hyperlink>
    </w:p>
    <w:p w:rsidR="00207811" w:rsidRPr="00207811" w:rsidP="00207811" w14:paraId="1BCA4244" w14:textId="77777777">
      <w:pPr>
        <w:tabs>
          <w:tab w:val="left" w:pos="180"/>
        </w:tabs>
        <w:autoSpaceDE w:val="0"/>
        <w:autoSpaceDN w:val="0"/>
        <w:adjustRightInd w:val="0"/>
        <w:jc w:val="both"/>
        <w:rPr>
          <w:color w:val="000000"/>
          <w:sz w:val="22"/>
          <w:szCs w:val="22"/>
        </w:rPr>
      </w:pPr>
    </w:p>
    <w:p w:rsidR="00207811" w:rsidRPr="00207811" w:rsidP="00207811" w14:paraId="395CF7F4" w14:textId="77777777">
      <w:pPr>
        <w:tabs>
          <w:tab w:val="left" w:pos="180"/>
        </w:tabs>
        <w:autoSpaceDE w:val="0"/>
        <w:autoSpaceDN w:val="0"/>
        <w:adjustRightInd w:val="0"/>
        <w:spacing w:line="276" w:lineRule="atLeast"/>
        <w:jc w:val="both"/>
        <w:rPr>
          <w:color w:val="000000"/>
          <w:sz w:val="22"/>
          <w:szCs w:val="22"/>
        </w:rPr>
      </w:pPr>
      <w:r w:rsidRPr="00207811">
        <w:rPr>
          <w:color w:val="000000"/>
          <w:sz w:val="22"/>
          <w:szCs w:val="22"/>
        </w:rPr>
        <w:t xml:space="preserve">The term “intragovernmental” is used in this note to refer to amounts that result from other components of the Federal Government. </w:t>
      </w:r>
    </w:p>
    <w:p w:rsidR="00207811" w:rsidRPr="00207811" w:rsidP="00207811" w14:paraId="3EA12FE5" w14:textId="77777777">
      <w:pPr>
        <w:tabs>
          <w:tab w:val="left" w:pos="180"/>
        </w:tabs>
        <w:autoSpaceDE w:val="0"/>
        <w:autoSpaceDN w:val="0"/>
        <w:adjustRightInd w:val="0"/>
        <w:spacing w:line="276" w:lineRule="atLeast"/>
        <w:jc w:val="both"/>
        <w:rPr>
          <w:color w:val="000000"/>
          <w:sz w:val="22"/>
          <w:szCs w:val="22"/>
        </w:rPr>
      </w:pPr>
    </w:p>
    <w:p w:rsidR="00207811" w:rsidRPr="00207811" w:rsidP="00207811" w14:paraId="48B73F61" w14:textId="77777777">
      <w:pPr>
        <w:tabs>
          <w:tab w:val="left" w:pos="180"/>
        </w:tabs>
        <w:jc w:val="both"/>
        <w:rPr>
          <w:sz w:val="22"/>
          <w:szCs w:val="22"/>
        </w:rPr>
      </w:pPr>
      <w:r w:rsidRPr="00207811">
        <w:rPr>
          <w:color w:val="000000"/>
          <w:sz w:val="22"/>
          <w:szCs w:val="22"/>
        </w:rPr>
        <w:t xml:space="preserve">The term “non-federal” is used in this note to refer to Federal Government amounts that result from transactions with non-federal entities.  These include transactions with individuals, businesses, non-profit entities, and State, local, and foreign governments. </w:t>
      </w:r>
      <w:r w:rsidRPr="00207811">
        <w:rPr>
          <w:sz w:val="22"/>
          <w:szCs w:val="22"/>
        </w:rPr>
        <w:t xml:space="preserve"> </w:t>
      </w:r>
    </w:p>
    <w:p w:rsidR="00207811" w:rsidRPr="00207811" w:rsidP="00207811" w14:paraId="39074840" w14:textId="77777777">
      <w:pPr>
        <w:jc w:val="both"/>
        <w:rPr>
          <w:sz w:val="22"/>
          <w:szCs w:val="22"/>
        </w:rPr>
      </w:pPr>
    </w:p>
    <w:p w:rsidR="00207811" w:rsidRPr="00207811" w:rsidP="00207811" w14:paraId="676B9B2F" w14:textId="77777777">
      <w:pPr>
        <w:rPr>
          <w:sz w:val="22"/>
          <w:szCs w:val="22"/>
        </w:rPr>
      </w:pPr>
      <w:r w:rsidRPr="00207811">
        <w:rPr>
          <w:sz w:val="22"/>
          <w:szCs w:val="22"/>
        </w:rPr>
        <w:br w:type="page"/>
      </w:r>
    </w:p>
    <w:p w:rsidR="00207811" w:rsidRPr="00207811" w:rsidP="00207811" w14:paraId="262D5568" w14:textId="77777777">
      <w:pPr>
        <w:jc w:val="both"/>
        <w:rPr>
          <w:b/>
          <w:bCs/>
          <w:sz w:val="22"/>
          <w:szCs w:val="22"/>
        </w:rPr>
      </w:pPr>
      <w:r w:rsidRPr="00207811">
        <w:rPr>
          <w:b/>
          <w:bCs/>
          <w:sz w:val="22"/>
          <w:szCs w:val="22"/>
        </w:rPr>
        <w:t>Note 20 – Reclassification of Financial Statement Line Items for Financial Report Compilation Process (continued)</w:t>
      </w:r>
    </w:p>
    <w:p w:rsidR="00207811" w:rsidRPr="00207811" w:rsidP="00207811" w14:paraId="34324FDF" w14:textId="77777777">
      <w:pPr>
        <w:jc w:val="both"/>
        <w:rPr>
          <w:sz w:val="22"/>
          <w:szCs w:val="22"/>
        </w:rPr>
      </w:pPr>
    </w:p>
    <w:p w:rsidR="00207811" w:rsidRPr="00207811" w:rsidP="00207811" w14:paraId="092EF6BB" w14:textId="77777777">
      <w:pPr>
        <w:keepNext/>
        <w:widowControl w:val="0"/>
        <w:overflowPunct w:val="0"/>
        <w:autoSpaceDE w:val="0"/>
        <w:autoSpaceDN w:val="0"/>
        <w:adjustRightInd w:val="0"/>
        <w:jc w:val="both"/>
        <w:textAlignment w:val="baseline"/>
        <w:outlineLvl w:val="3"/>
        <w:rPr>
          <w:b/>
          <w:bCs/>
          <w:color w:val="FFFFFF" w:themeColor="background1"/>
          <w:sz w:val="22"/>
          <w:szCs w:val="22"/>
        </w:rPr>
      </w:pPr>
      <w:r w:rsidRPr="00207811">
        <w:rPr>
          <w:b/>
          <w:bCs/>
          <w:sz w:val="22"/>
          <w:szCs w:val="22"/>
        </w:rPr>
        <w:t>Reclassification of Statement of Net Cost to Line Items Used for the Government-wide Statement of Net Cost for the Year Ended September 30, 2025</w:t>
      </w:r>
      <w:r>
        <w:rPr>
          <w:b/>
          <w:bCs/>
          <w:color w:val="FFFFFF" w:themeColor="background1"/>
          <w:sz w:val="22"/>
          <w:szCs w:val="22"/>
          <w:vertAlign w:val="superscript"/>
        </w:rPr>
        <w:footnoteReference w:id="8"/>
      </w:r>
    </w:p>
    <w:p w:rsidR="00207811" w:rsidRPr="00207811" w:rsidP="00207811" w14:paraId="69BC19CE" w14:textId="77777777">
      <w:pPr>
        <w:jc w:val="both"/>
        <w:rPr>
          <w:sz w:val="22"/>
          <w:szCs w:val="22"/>
        </w:rPr>
      </w:pPr>
    </w:p>
    <w:p w:rsidR="00207811" w:rsidRPr="00207811" w:rsidP="00207811" w14:paraId="7036E4AD" w14:textId="77777777">
      <w:pPr>
        <w:jc w:val="center"/>
        <w:rPr>
          <w:iCs/>
        </w:rPr>
      </w:pPr>
      <w:r w:rsidRPr="00207811">
        <w:rPr>
          <w:noProof/>
        </w:rPr>
        <w:drawing>
          <wp:inline distT="0" distB="0" distL="0" distR="0">
            <wp:extent cx="5943600" cy="3262630"/>
            <wp:effectExtent l="0" t="0" r="0" b="0"/>
            <wp:docPr id="15015928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92879" name="Picture 3"/>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262630"/>
                    </a:xfrm>
                    <a:prstGeom prst="rect">
                      <a:avLst/>
                    </a:prstGeom>
                    <a:noFill/>
                    <a:ln>
                      <a:noFill/>
                    </a:ln>
                  </pic:spPr>
                </pic:pic>
              </a:graphicData>
            </a:graphic>
          </wp:inline>
        </w:drawing>
      </w:r>
    </w:p>
    <w:p w:rsidR="00207811" w:rsidRPr="00207811" w:rsidP="00207811" w14:paraId="04EFAFD2" w14:textId="77777777">
      <w:pPr>
        <w:jc w:val="both"/>
        <w:rPr>
          <w:iCs/>
          <w:sz w:val="22"/>
          <w:szCs w:val="22"/>
        </w:rPr>
      </w:pPr>
    </w:p>
    <w:p w:rsidR="00207811" w:rsidRPr="00207811" w:rsidP="00207811" w14:paraId="7A38BF36" w14:textId="77777777">
      <w:pPr>
        <w:jc w:val="both"/>
        <w:rPr>
          <w:iCs/>
          <w:sz w:val="22"/>
          <w:szCs w:val="22"/>
        </w:rPr>
      </w:pPr>
    </w:p>
    <w:p w:rsidR="00207811" w:rsidRPr="00207811" w:rsidP="00207811" w14:paraId="6E0C7619" w14:textId="77777777">
      <w:pPr>
        <w:jc w:val="both"/>
        <w:rPr>
          <w:iCs/>
          <w:sz w:val="22"/>
          <w:szCs w:val="22"/>
        </w:rPr>
      </w:pPr>
    </w:p>
    <w:p w:rsidR="00207811" w:rsidRPr="00207811" w:rsidP="00207811" w14:paraId="6F1B841B" w14:textId="77777777">
      <w:pPr>
        <w:jc w:val="both"/>
        <w:rPr>
          <w:iCs/>
          <w:sz w:val="22"/>
          <w:szCs w:val="22"/>
        </w:rPr>
      </w:pPr>
    </w:p>
    <w:p w:rsidR="00207811" w:rsidRPr="00207811" w:rsidP="00207811" w14:paraId="0DA7F6B9" w14:textId="77777777">
      <w:pPr>
        <w:jc w:val="both"/>
        <w:rPr>
          <w:iCs/>
          <w:sz w:val="22"/>
          <w:szCs w:val="22"/>
        </w:rPr>
      </w:pPr>
    </w:p>
    <w:p w:rsidR="00207811" w:rsidRPr="00207811" w:rsidP="00207811" w14:paraId="7FB0D4DF" w14:textId="77777777">
      <w:pPr>
        <w:jc w:val="both"/>
        <w:rPr>
          <w:iCs/>
          <w:sz w:val="22"/>
          <w:szCs w:val="22"/>
        </w:rPr>
      </w:pPr>
    </w:p>
    <w:p w:rsidR="00207811" w:rsidRPr="00207811" w:rsidP="00207811" w14:paraId="3DE35BA9" w14:textId="77777777">
      <w:pPr>
        <w:jc w:val="both"/>
        <w:rPr>
          <w:iCs/>
          <w:sz w:val="22"/>
          <w:szCs w:val="22"/>
        </w:rPr>
      </w:pPr>
    </w:p>
    <w:p w:rsidR="00207811" w:rsidRPr="00207811" w:rsidP="00207811" w14:paraId="5640248E" w14:textId="77777777">
      <w:pPr>
        <w:jc w:val="both"/>
        <w:rPr>
          <w:iCs/>
          <w:sz w:val="22"/>
          <w:szCs w:val="22"/>
        </w:rPr>
      </w:pPr>
    </w:p>
    <w:p w:rsidR="00207811" w:rsidRPr="00207811" w:rsidP="00207811" w14:paraId="75C74455" w14:textId="77777777">
      <w:pPr>
        <w:jc w:val="both"/>
        <w:rPr>
          <w:iCs/>
          <w:sz w:val="22"/>
          <w:szCs w:val="22"/>
        </w:rPr>
      </w:pPr>
    </w:p>
    <w:p w:rsidR="00207811" w:rsidRPr="00207811" w:rsidP="00207811" w14:paraId="78956E88" w14:textId="77777777">
      <w:pPr>
        <w:jc w:val="both"/>
        <w:rPr>
          <w:iCs/>
          <w:sz w:val="22"/>
          <w:szCs w:val="22"/>
        </w:rPr>
      </w:pPr>
    </w:p>
    <w:p w:rsidR="00207811" w:rsidRPr="00207811" w:rsidP="00207811" w14:paraId="17BE48C7" w14:textId="77777777">
      <w:pPr>
        <w:jc w:val="both"/>
        <w:rPr>
          <w:iCs/>
          <w:sz w:val="22"/>
          <w:szCs w:val="22"/>
        </w:rPr>
      </w:pPr>
    </w:p>
    <w:p w:rsidR="00207811" w:rsidRPr="00207811" w:rsidP="00207811" w14:paraId="79FAA706" w14:textId="77777777">
      <w:pPr>
        <w:jc w:val="both"/>
        <w:rPr>
          <w:iCs/>
          <w:sz w:val="22"/>
          <w:szCs w:val="22"/>
        </w:rPr>
      </w:pPr>
    </w:p>
    <w:p w:rsidR="00207811" w:rsidRPr="00207811" w:rsidP="00207811" w14:paraId="1FE67BE1" w14:textId="77777777">
      <w:pPr>
        <w:jc w:val="both"/>
        <w:rPr>
          <w:iCs/>
          <w:sz w:val="22"/>
          <w:szCs w:val="22"/>
        </w:rPr>
      </w:pPr>
    </w:p>
    <w:p w:rsidR="00207811" w:rsidRPr="00207811" w:rsidP="00207811" w14:paraId="682B3363" w14:textId="77777777">
      <w:pPr>
        <w:rPr>
          <w:iCs/>
          <w:sz w:val="22"/>
          <w:szCs w:val="22"/>
        </w:rPr>
        <w:sectPr w:rsidSect="00207811">
          <w:headerReference w:type="even" r:id="rId89"/>
          <w:headerReference w:type="default" r:id="rId90"/>
          <w:footerReference w:type="default" r:id="rId91"/>
          <w:headerReference w:type="first" r:id="rId92"/>
          <w:footnotePr>
            <w:numRestart w:val="eachSect"/>
          </w:footnotePr>
          <w:type w:val="continuous"/>
          <w:pgSz w:w="12240" w:h="15840"/>
          <w:pgMar w:top="1440" w:right="1440" w:bottom="1296" w:left="1440" w:header="720" w:footer="720" w:gutter="0"/>
          <w:cols w:space="720"/>
        </w:sectPr>
      </w:pPr>
    </w:p>
    <w:p w:rsidR="00207811" w:rsidRPr="00207811" w:rsidP="00207811" w14:paraId="5C5F5633" w14:textId="77777777">
      <w:pPr>
        <w:rPr>
          <w:iCs/>
          <w:sz w:val="22"/>
          <w:szCs w:val="22"/>
        </w:rPr>
        <w:sectPr w:rsidSect="00207811">
          <w:type w:val="continuous"/>
          <w:pgSz w:w="12240" w:h="15840"/>
          <w:pgMar w:top="1440" w:right="1440" w:bottom="1296" w:left="1440" w:header="720" w:footer="720" w:gutter="0"/>
          <w:cols w:space="720"/>
        </w:sectPr>
      </w:pPr>
    </w:p>
    <w:p w:rsidR="00207811" w:rsidRPr="00207811" w:rsidP="00207811" w14:paraId="507AB852" w14:textId="77777777">
      <w:pPr>
        <w:jc w:val="both"/>
        <w:rPr>
          <w:b/>
          <w:bCs/>
          <w:sz w:val="22"/>
          <w:szCs w:val="22"/>
        </w:rPr>
      </w:pPr>
      <w:bookmarkStart w:id="166" w:name="_Hlk86657753"/>
      <w:r w:rsidRPr="00207811">
        <w:rPr>
          <w:b/>
          <w:bCs/>
          <w:sz w:val="22"/>
          <w:szCs w:val="22"/>
        </w:rPr>
        <w:t>Note 20 – Reclassification of Financial Statement Line Items for Financial Report Compilation Process (continued)</w:t>
      </w:r>
    </w:p>
    <w:p w:rsidR="00207811" w:rsidRPr="00207811" w:rsidP="00207811" w14:paraId="0EFDFACF" w14:textId="77777777">
      <w:pPr>
        <w:jc w:val="both"/>
        <w:rPr>
          <w:sz w:val="22"/>
          <w:szCs w:val="22"/>
        </w:rPr>
      </w:pPr>
    </w:p>
    <w:p w:rsidR="00207811" w:rsidRPr="00207811" w:rsidP="00207811" w14:paraId="408B8295" w14:textId="77777777">
      <w:pPr>
        <w:keepNext/>
        <w:widowControl w:val="0"/>
        <w:overflowPunct w:val="0"/>
        <w:autoSpaceDE w:val="0"/>
        <w:autoSpaceDN w:val="0"/>
        <w:adjustRightInd w:val="0"/>
        <w:jc w:val="both"/>
        <w:textAlignment w:val="baseline"/>
        <w:outlineLvl w:val="3"/>
        <w:rPr>
          <w:b/>
          <w:bCs/>
          <w:sz w:val="22"/>
          <w:szCs w:val="22"/>
        </w:rPr>
      </w:pPr>
      <w:r w:rsidRPr="00207811">
        <w:rPr>
          <w:b/>
          <w:bCs/>
          <w:sz w:val="22"/>
          <w:szCs w:val="22"/>
        </w:rPr>
        <w:t xml:space="preserve">Reclassification of Statement of Changes in Net Position to Line Items Used for Government-wide Statement of Operations and Changes in Net Position for </w:t>
      </w:r>
      <w:r w:rsidRPr="00207811">
        <w:rPr>
          <w:sz w:val="22"/>
          <w:szCs w:val="22"/>
        </w:rPr>
        <w:t>t</w:t>
      </w:r>
      <w:r w:rsidRPr="00207811">
        <w:rPr>
          <w:b/>
          <w:bCs/>
          <w:sz w:val="22"/>
          <w:szCs w:val="22"/>
        </w:rPr>
        <w:t xml:space="preserve">he Year Ended September 30, 2025 </w:t>
      </w:r>
    </w:p>
    <w:p w:rsidR="00207811" w:rsidRPr="00207811" w:rsidP="00207811" w14:paraId="431D6E7D" w14:textId="77777777"/>
    <w:p w:rsidR="00207811" w:rsidRPr="00207811" w:rsidP="00207811" w14:paraId="5B247B83" w14:textId="77777777">
      <w:pPr>
        <w:jc w:val="center"/>
        <w:rPr>
          <w:sz w:val="22"/>
          <w:szCs w:val="22"/>
        </w:rPr>
      </w:pPr>
    </w:p>
    <w:p w:rsidR="00207811" w:rsidRPr="00207811" w:rsidP="00207811" w14:paraId="21A34315" w14:textId="77777777">
      <w:pPr>
        <w:jc w:val="both"/>
        <w:rPr>
          <w:sz w:val="22"/>
          <w:szCs w:val="22"/>
        </w:rPr>
      </w:pPr>
      <w:bookmarkStart w:id="167" w:name="_Hlk86657873"/>
      <w:r w:rsidRPr="00207811">
        <w:rPr>
          <w:noProof/>
        </w:rPr>
        <w:drawing>
          <wp:inline distT="0" distB="0" distL="0" distR="0">
            <wp:extent cx="5943600" cy="4370705"/>
            <wp:effectExtent l="0" t="0" r="0" b="0"/>
            <wp:docPr id="1157375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75099" name="Picture 4"/>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370705"/>
                    </a:xfrm>
                    <a:prstGeom prst="rect">
                      <a:avLst/>
                    </a:prstGeom>
                    <a:noFill/>
                    <a:ln>
                      <a:noFill/>
                    </a:ln>
                  </pic:spPr>
                </pic:pic>
              </a:graphicData>
            </a:graphic>
          </wp:inline>
        </w:drawing>
      </w:r>
    </w:p>
    <w:p w:rsidR="00207811" w:rsidRPr="00207811" w:rsidP="00207811" w14:paraId="0F514516" w14:textId="77777777">
      <w:pPr>
        <w:jc w:val="both"/>
        <w:rPr>
          <w:kern w:val="16"/>
          <w:sz w:val="22"/>
          <w:szCs w:val="22"/>
        </w:rPr>
      </w:pPr>
    </w:p>
    <w:bookmarkEnd w:id="166"/>
    <w:bookmarkEnd w:id="167"/>
    <w:p w:rsidR="00207811" w:rsidRPr="00207811" w:rsidP="00207811" w14:paraId="3BD42945" w14:textId="77777777">
      <w:pPr>
        <w:jc w:val="center"/>
        <w:rPr>
          <w:kern w:val="16"/>
          <w:sz w:val="22"/>
          <w:szCs w:val="22"/>
        </w:rPr>
        <w:sectPr w:rsidSect="00207811">
          <w:type w:val="continuous"/>
          <w:pgSz w:w="12240" w:h="15840"/>
          <w:pgMar w:top="1440" w:right="1440" w:bottom="1296" w:left="1440" w:header="720" w:footer="720" w:gutter="0"/>
          <w:cols w:space="720"/>
        </w:sectPr>
      </w:pPr>
    </w:p>
    <w:p w:rsidR="00207811" w:rsidRPr="00207811" w:rsidP="00207811" w14:paraId="55401275" w14:textId="77777777">
      <w:pPr>
        <w:keepNext/>
        <w:autoSpaceDE w:val="0"/>
        <w:autoSpaceDN w:val="0"/>
        <w:adjustRightInd w:val="0"/>
        <w:outlineLvl w:val="1"/>
        <w:rPr>
          <w:b/>
          <w:bCs/>
          <w:i/>
          <w:color w:val="000000"/>
          <w:sz w:val="28"/>
          <w:szCs w:val="28"/>
        </w:rPr>
      </w:pPr>
      <w:bookmarkStart w:id="168" w:name="_Toc54589767"/>
      <w:bookmarkStart w:id="169" w:name="_Toc87890171"/>
      <w:bookmarkStart w:id="170" w:name="_Toc150949604"/>
      <w:bookmarkStart w:id="171" w:name="_Toc216960444"/>
      <w:r w:rsidRPr="00207811">
        <w:rPr>
          <w:b/>
          <w:bCs/>
          <w:color w:val="000000"/>
          <w:sz w:val="28"/>
          <w:szCs w:val="28"/>
        </w:rPr>
        <w:t>Required Supplementary Information</w:t>
      </w:r>
      <w:bookmarkStart w:id="172" w:name="_Toc7319040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68"/>
      <w:bookmarkEnd w:id="169"/>
      <w:bookmarkEnd w:id="170"/>
      <w:bookmarkEnd w:id="171"/>
      <w:r w:rsidRPr="00207811">
        <w:rPr>
          <w:b/>
          <w:bCs/>
          <w:color w:val="000000"/>
          <w:sz w:val="28"/>
          <w:szCs w:val="28"/>
        </w:rPr>
        <w:t xml:space="preserve"> </w:t>
      </w:r>
    </w:p>
    <w:p w:rsidR="00207811" w:rsidRPr="00207811" w:rsidP="00207811" w14:paraId="1610FCE8" w14:textId="77777777">
      <w:pPr>
        <w:rPr>
          <w:sz w:val="22"/>
          <w:szCs w:val="22"/>
        </w:rPr>
      </w:pPr>
    </w:p>
    <w:p w:rsidR="00207811" w:rsidRPr="00207811" w:rsidP="00207811" w14:paraId="24C30110" w14:textId="77777777">
      <w:pPr>
        <w:keepNext/>
        <w:widowControl w:val="0"/>
        <w:overflowPunct w:val="0"/>
        <w:autoSpaceDE w:val="0"/>
        <w:autoSpaceDN w:val="0"/>
        <w:adjustRightInd w:val="0"/>
        <w:textAlignment w:val="baseline"/>
        <w:outlineLvl w:val="3"/>
        <w:rPr>
          <w:color w:val="FFFFFF"/>
          <w:sz w:val="22"/>
          <w:szCs w:val="22"/>
        </w:rPr>
      </w:pPr>
      <w:r w:rsidRPr="00207811">
        <w:rPr>
          <w:b/>
          <w:bCs/>
          <w:sz w:val="22"/>
          <w:szCs w:val="22"/>
        </w:rPr>
        <w:t xml:space="preserve">A.  Schedule of Budgetary Resources by Major Account </w:t>
      </w:r>
      <w:bookmarkEnd w:id="172"/>
    </w:p>
    <w:p w:rsidR="00207811" w:rsidRPr="00207811" w:rsidP="00207811" w14:paraId="680C7FCD" w14:textId="77777777">
      <w:pPr>
        <w:widowControl w:val="0"/>
        <w:overflowPunct w:val="0"/>
        <w:autoSpaceDE w:val="0"/>
        <w:autoSpaceDN w:val="0"/>
        <w:adjustRightInd w:val="0"/>
        <w:jc w:val="both"/>
        <w:textAlignment w:val="baseline"/>
        <w:rPr>
          <w:sz w:val="22"/>
          <w:szCs w:val="22"/>
        </w:rPr>
      </w:pPr>
    </w:p>
    <w:p w:rsidR="00207811" w:rsidRPr="00207811" w:rsidP="00207811" w14:paraId="428FD621" w14:textId="77777777">
      <w:pPr>
        <w:widowControl w:val="0"/>
        <w:overflowPunct w:val="0"/>
        <w:autoSpaceDE w:val="0"/>
        <w:autoSpaceDN w:val="0"/>
        <w:adjustRightInd w:val="0"/>
        <w:jc w:val="both"/>
        <w:textAlignment w:val="baseline"/>
        <w:rPr>
          <w:sz w:val="22"/>
          <w:szCs w:val="22"/>
        </w:rPr>
      </w:pPr>
      <w:r w:rsidRPr="00207811">
        <w:rPr>
          <w:sz w:val="22"/>
          <w:szCs w:val="22"/>
        </w:rPr>
        <w:t>For the Year Ended September 30, 2025</w:t>
      </w:r>
    </w:p>
    <w:p w:rsidR="00207811" w:rsidRPr="00207811" w:rsidP="00207811" w14:paraId="23169717" w14:textId="77777777">
      <w:pPr>
        <w:jc w:val="both"/>
        <w:rPr>
          <w:sz w:val="22"/>
          <w:szCs w:val="22"/>
        </w:rPr>
      </w:pPr>
      <w:r w:rsidRPr="00207811">
        <w:rPr>
          <w:sz w:val="22"/>
          <w:szCs w:val="22"/>
        </w:rPr>
        <w:t>(Dollars in thousands)</w:t>
      </w:r>
    </w:p>
    <w:p w:rsidR="00207811" w:rsidRPr="00207811" w:rsidP="00207811" w14:paraId="34AF24CC" w14:textId="77777777">
      <w:pPr>
        <w:rPr>
          <w:sz w:val="22"/>
          <w:szCs w:val="22"/>
        </w:rPr>
      </w:pPr>
    </w:p>
    <w:p w:rsidR="00207811" w:rsidRPr="00207811" w:rsidP="00207811" w14:paraId="3E237EFA" w14:textId="77777777">
      <w:pPr>
        <w:jc w:val="both"/>
        <w:rPr>
          <w:sz w:val="22"/>
          <w:szCs w:val="22"/>
        </w:rPr>
      </w:pPr>
      <w:r w:rsidRPr="00207811">
        <w:rPr>
          <w:sz w:val="22"/>
          <w:szCs w:val="22"/>
        </w:rPr>
        <w:t>OMB Circular No. A</w:t>
      </w:r>
      <w:r w:rsidRPr="00207811">
        <w:rPr>
          <w:b/>
          <w:sz w:val="22"/>
          <w:szCs w:val="22"/>
        </w:rPr>
        <w:t>-</w:t>
      </w:r>
      <w:r w:rsidRPr="00207811">
        <w:rPr>
          <w:sz w:val="22"/>
          <w:szCs w:val="22"/>
        </w:rPr>
        <w:t xml:space="preserve">136, </w:t>
      </w:r>
      <w:r w:rsidRPr="00207811">
        <w:rPr>
          <w:i/>
          <w:sz w:val="22"/>
          <w:szCs w:val="22"/>
        </w:rPr>
        <w:t>Financial Reporting Requirements</w:t>
      </w:r>
      <w:r w:rsidRPr="00207811">
        <w:rPr>
          <w:bCs/>
          <w:sz w:val="22"/>
          <w:szCs w:val="22"/>
        </w:rPr>
        <w:t>—</w:t>
      </w:r>
      <w:r w:rsidRPr="00207811">
        <w:rPr>
          <w:bCs/>
          <w:i/>
          <w:iCs/>
          <w:sz w:val="22"/>
          <w:szCs w:val="22"/>
        </w:rPr>
        <w:t>Revised</w:t>
      </w:r>
      <w:r w:rsidRPr="00207811">
        <w:rPr>
          <w:sz w:val="22"/>
          <w:szCs w:val="22"/>
        </w:rPr>
        <w:t>, requires additional disclosure of an entity’s budgetary information by major budgetary accounts if the information was aggregated for presentation purposes on the Statement of Budgetary Resources.  Major budgetary accounts of the Commission include S&amp;E, Auctions, COVID-19 Telehealth, EBCF-EBBP, ACF, SCRP, ECF, TVBRF, USF and TRS.  S&amp;E represents general salaries and expenses of the Commission.  Auctions include salaries and expenses of the spectrum auctions program.  The COVID-19 Telehealth Program represents support for eligible health care providers responding to the pandemic by providing funding for telecommunications services, information services, and connected devices necessary to provide critical connected care services whether for treatment of the COVID-19 disease or other health conditions during the COVID-19 pandemic.  The EBCF-EBBP under which eligible low-income households may receive a discount off the cost of broadband service and certain connected devices during an emergency period relating to the COVID-19 pandemic.  The ACF consists of the ACP, which eligible low-income households may receive a discount off the cost of broadband service and certain connected devices; broadband mapping; and the ACP Outreach Grant Program.  The SCRP represents the program under which reimbursements for the removal, replacement, and disposal of covered communications equipment or services that pose an unacceptable risk to the national security of the United States or the security and safety of U.S. persons from the networks of providers of advanced communications service.  The ECF</w:t>
      </w:r>
      <w:r w:rsidRPr="00207811">
        <w:rPr>
          <w:rFonts w:eastAsiaTheme="minorEastAsia"/>
          <w:sz w:val="22"/>
          <w:szCs w:val="22"/>
        </w:rPr>
        <w:t xml:space="preserve"> assists schools and libraries by providing connected devices such as laptops, tablets, or similar end-user devices, and connectivity, to students, school staff, and library patrons during the COVID-19 Pandemic.  </w:t>
      </w:r>
      <w:r w:rsidRPr="00207811">
        <w:rPr>
          <w:sz w:val="22"/>
          <w:szCs w:val="22"/>
        </w:rPr>
        <w:t>The TVBRF represents reimbursements of relocation costs for eligible entities and for consumer education relating to the reorganization of broadcast television.  USF includes the High Cost, Lifeline, Rural Health Care, E-Rate and the CCPP programs.  The TRS Fund represents a program established to support relay services necessary for telecommunications access by speech or hearing-impaired individuals.  Non-major budgetary accounts are aggregated under the Other column.</w:t>
      </w:r>
    </w:p>
    <w:p w:rsidR="00207811" w:rsidRPr="00207811" w:rsidP="00207811" w14:paraId="72CB00A1" w14:textId="77777777">
      <w:pPr>
        <w:jc w:val="both"/>
        <w:rPr>
          <w:sz w:val="22"/>
          <w:szCs w:val="22"/>
        </w:rPr>
      </w:pPr>
    </w:p>
    <w:p w:rsidR="00207811" w:rsidRPr="00207811" w:rsidP="00207811" w14:paraId="70E40916" w14:textId="77777777">
      <w:pPr>
        <w:jc w:val="both"/>
        <w:rPr>
          <w:sz w:val="22"/>
          <w:szCs w:val="22"/>
        </w:rPr>
      </w:pPr>
      <w:r w:rsidRPr="00207811">
        <w:rPr>
          <w:sz w:val="22"/>
          <w:szCs w:val="22"/>
        </w:rPr>
        <w:t>Reflected in the following chart are the major budgetary accounts of the Commission that are aggregated and presented in the Combined Statement of Budgetary Resources as of September 30, 2025.</w:t>
      </w:r>
    </w:p>
    <w:p w:rsidR="00207811" w:rsidRPr="00207811" w:rsidP="00207811" w14:paraId="773D80B5" w14:textId="77777777">
      <w:pPr>
        <w:jc w:val="both"/>
        <w:rPr>
          <w:sz w:val="22"/>
          <w:szCs w:val="22"/>
        </w:rPr>
      </w:pPr>
    </w:p>
    <w:p w:rsidR="00207811" w:rsidRPr="00207811" w:rsidP="00207811" w14:paraId="0D7F995E" w14:textId="77777777">
      <w:pPr>
        <w:rPr>
          <w:b/>
          <w:bCs/>
          <w:sz w:val="22"/>
          <w:szCs w:val="22"/>
        </w:rPr>
        <w:sectPr w:rsidSect="00207811">
          <w:headerReference w:type="even" r:id="rId94"/>
          <w:headerReference w:type="default" r:id="rId95"/>
          <w:footerReference w:type="default" r:id="rId96"/>
          <w:headerReference w:type="first" r:id="rId97"/>
          <w:footnotePr>
            <w:numRestart w:val="eachSect"/>
          </w:footnotePr>
          <w:pgSz w:w="12240" w:h="15840" w:code="1"/>
          <w:pgMar w:top="1152" w:right="1440" w:bottom="1152" w:left="1440" w:header="720" w:footer="990" w:gutter="0"/>
          <w:cols w:space="720"/>
          <w:docGrid w:linePitch="360"/>
        </w:sectPr>
      </w:pPr>
    </w:p>
    <w:p w:rsidR="00207811" w:rsidRPr="00207811" w:rsidP="00207811" w14:paraId="732B5721" w14:textId="77777777">
      <w:pPr>
        <w:jc w:val="both"/>
        <w:rPr>
          <w:b/>
          <w:sz w:val="22"/>
          <w:szCs w:val="22"/>
        </w:rPr>
      </w:pPr>
      <w:r w:rsidRPr="00207811">
        <w:rPr>
          <w:b/>
          <w:bCs/>
          <w:sz w:val="22"/>
          <w:szCs w:val="22"/>
        </w:rPr>
        <w:t>Required Supplementary Information</w:t>
      </w:r>
      <w:r w:rsidRPr="00207811">
        <w:rPr>
          <w:b/>
          <w:sz w:val="22"/>
          <w:szCs w:val="22"/>
        </w:rPr>
        <w:t xml:space="preserve"> (continued)</w:t>
      </w:r>
    </w:p>
    <w:p w:rsidR="00207811" w:rsidRPr="00207811" w:rsidP="00207811" w14:paraId="60BA7EBA" w14:textId="77777777">
      <w:pPr>
        <w:jc w:val="both"/>
        <w:rPr>
          <w:bCs/>
          <w:sz w:val="22"/>
          <w:szCs w:val="22"/>
        </w:rPr>
      </w:pPr>
    </w:p>
    <w:p w:rsidR="00207811" w:rsidRPr="00207811" w:rsidP="00207811" w14:paraId="6D9C9B94" w14:textId="77777777">
      <w:pPr>
        <w:rPr>
          <w:b/>
          <w:bCs/>
          <w:sz w:val="22"/>
          <w:szCs w:val="22"/>
        </w:rPr>
      </w:pPr>
      <w:r w:rsidRPr="00207811">
        <w:rPr>
          <w:b/>
          <w:bCs/>
          <w:sz w:val="22"/>
          <w:szCs w:val="22"/>
        </w:rPr>
        <w:t>A.  Schedule of Budgetary Resources by Major Account (continued)</w:t>
      </w:r>
    </w:p>
    <w:p w:rsidR="00207811" w:rsidRPr="00207811" w:rsidP="00207811" w14:paraId="2C098031" w14:textId="77777777">
      <w:pPr>
        <w:rPr>
          <w:sz w:val="22"/>
          <w:szCs w:val="22"/>
        </w:rPr>
      </w:pPr>
    </w:p>
    <w:p w:rsidR="00207811" w:rsidRPr="00207811" w:rsidP="00207811" w14:paraId="0387A25C" w14:textId="77777777">
      <w:pPr>
        <w:jc w:val="center"/>
        <w:rPr>
          <w:sz w:val="22"/>
          <w:szCs w:val="22"/>
        </w:rPr>
      </w:pPr>
      <w:r w:rsidRPr="00207811">
        <w:rPr>
          <w:noProof/>
        </w:rPr>
        <w:drawing>
          <wp:inline distT="0" distB="0" distL="0" distR="0">
            <wp:extent cx="8595360" cy="3259455"/>
            <wp:effectExtent l="0" t="0" r="0" b="0"/>
            <wp:docPr id="2084101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01752" name="Picture 4"/>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bwMode="auto">
                    <a:xfrm>
                      <a:off x="0" y="0"/>
                      <a:ext cx="8595360" cy="3259455"/>
                    </a:xfrm>
                    <a:prstGeom prst="rect">
                      <a:avLst/>
                    </a:prstGeom>
                    <a:noFill/>
                    <a:ln>
                      <a:noFill/>
                    </a:ln>
                  </pic:spPr>
                </pic:pic>
              </a:graphicData>
            </a:graphic>
          </wp:inline>
        </w:drawing>
      </w:r>
    </w:p>
    <w:p w:rsidR="00207811" w:rsidRPr="00207811" w:rsidP="00207811" w14:paraId="056C4CA3" w14:textId="77777777">
      <w:pPr>
        <w:rPr>
          <w:sz w:val="22"/>
          <w:szCs w:val="22"/>
        </w:rPr>
      </w:pPr>
      <w:r w:rsidRPr="00207811">
        <w:rPr>
          <w:b/>
          <w:bCs/>
          <w:sz w:val="22"/>
          <w:szCs w:val="22"/>
        </w:rPr>
        <w:br w:type="page"/>
      </w:r>
    </w:p>
    <w:p w:rsidR="00207811" w:rsidRPr="00207811" w:rsidP="00207811" w14:paraId="26C4B8F2" w14:textId="77777777">
      <w:pPr>
        <w:jc w:val="center"/>
        <w:sectPr w:rsidSect="00207811">
          <w:footnotePr>
            <w:numRestart w:val="eachSect"/>
          </w:footnotePr>
          <w:pgSz w:w="15840" w:h="12240" w:orient="landscape" w:code="1"/>
          <w:pgMar w:top="1440" w:right="1152" w:bottom="1440" w:left="1152" w:header="720" w:footer="990" w:gutter="0"/>
          <w:cols w:space="720"/>
          <w:docGrid w:linePitch="360"/>
        </w:sectPr>
      </w:pPr>
    </w:p>
    <w:p w:rsidR="00207811" w:rsidRPr="00207811" w:rsidP="00207811" w14:paraId="63F7EA70" w14:textId="77777777">
      <w:pPr>
        <w:jc w:val="both"/>
        <w:rPr>
          <w:b/>
          <w:sz w:val="22"/>
          <w:szCs w:val="22"/>
        </w:rPr>
      </w:pPr>
      <w:r w:rsidRPr="00207811">
        <w:rPr>
          <w:b/>
          <w:bCs/>
          <w:sz w:val="22"/>
          <w:szCs w:val="22"/>
        </w:rPr>
        <w:t>Required Supplementary Information</w:t>
      </w:r>
      <w:r w:rsidRPr="00207811">
        <w:rPr>
          <w:b/>
          <w:sz w:val="22"/>
          <w:szCs w:val="22"/>
        </w:rPr>
        <w:t xml:space="preserve"> (continued)</w:t>
      </w:r>
    </w:p>
    <w:p w:rsidR="00207811" w:rsidRPr="00207811" w:rsidP="00207811" w14:paraId="38E9B250" w14:textId="77777777">
      <w:pPr>
        <w:rPr>
          <w:b/>
          <w:bCs/>
          <w:sz w:val="22"/>
          <w:szCs w:val="22"/>
        </w:rPr>
      </w:pPr>
    </w:p>
    <w:p w:rsidR="00207811" w:rsidRPr="00207811" w:rsidP="00207811" w14:paraId="786A88EA" w14:textId="77777777">
      <w:pPr>
        <w:keepNext/>
        <w:widowControl w:val="0"/>
        <w:overflowPunct w:val="0"/>
        <w:autoSpaceDE w:val="0"/>
        <w:autoSpaceDN w:val="0"/>
        <w:adjustRightInd w:val="0"/>
        <w:textAlignment w:val="baseline"/>
        <w:outlineLvl w:val="3"/>
        <w:rPr>
          <w:color w:val="FFFFFF"/>
          <w:sz w:val="22"/>
          <w:szCs w:val="22"/>
        </w:rPr>
      </w:pPr>
      <w:r w:rsidRPr="00207811">
        <w:rPr>
          <w:b/>
          <w:bCs/>
          <w:sz w:val="22"/>
          <w:szCs w:val="22"/>
        </w:rPr>
        <w:t>B.  Land</w:t>
      </w:r>
    </w:p>
    <w:p w:rsidR="00207811" w:rsidRPr="00207811" w:rsidP="00207811" w14:paraId="2A1381C1" w14:textId="77777777">
      <w:pPr>
        <w:jc w:val="both"/>
        <w:rPr>
          <w:sz w:val="22"/>
          <w:szCs w:val="22"/>
        </w:rPr>
      </w:pPr>
    </w:p>
    <w:p w:rsidR="00207811" w:rsidRPr="00207811" w:rsidP="00207811" w14:paraId="49658F9F" w14:textId="77777777">
      <w:pPr>
        <w:jc w:val="both"/>
        <w:rPr>
          <w:sz w:val="22"/>
          <w:szCs w:val="22"/>
        </w:rPr>
      </w:pPr>
      <w:bookmarkStart w:id="173" w:name="_Hlk111792544"/>
      <w:r w:rsidRPr="00207811">
        <w:rPr>
          <w:sz w:val="22"/>
          <w:szCs w:val="22"/>
        </w:rPr>
        <w:t>As of September 30, 2025, the FCC owns fourteen real property sites totaling 2,093 acres of operational land.  Operational land is land used for general or administrative purposes.  The land is primarily used in support of the FCC’s Public Safety and Homeland Security mission of developing and implementing policies and programs to strengthen public safety communications and interoperability, homeland security, national security, emergency management and preparedness, disaster management, and network reliability and resiliency.  Specifically, the land is used for public safety and homeland security monitoring activities.  In addition to the monitoring activities, three of the sites have field offices and/or a lab.  During FY 2025 the Commission transferred 11acres of land to the Department of Interior through GSA.  Presently, none of the acreage is available for disposal or exchange.</w:t>
      </w:r>
    </w:p>
    <w:bookmarkEnd w:id="173"/>
    <w:p w:rsidR="00207811" w:rsidRPr="00207811" w:rsidP="00207811" w14:paraId="58439DAD" w14:textId="77777777">
      <w:pPr>
        <w:jc w:val="both"/>
        <w:rPr>
          <w:sz w:val="22"/>
          <w:szCs w:val="22"/>
        </w:rPr>
      </w:pPr>
    </w:p>
    <w:p w:rsidR="00207811" w:rsidRPr="00207811" w:rsidP="00207811" w14:paraId="3504EAA9" w14:textId="77777777">
      <w:pPr>
        <w:jc w:val="center"/>
        <w:rPr>
          <w:sz w:val="22"/>
          <w:szCs w:val="22"/>
        </w:rPr>
      </w:pPr>
      <w:r w:rsidRPr="00207811">
        <w:rPr>
          <w:sz w:val="22"/>
          <w:szCs w:val="22"/>
        </w:rPr>
        <w:t>Estimated Acreage by Predominant Use</w:t>
      </w:r>
    </w:p>
    <w:p w:rsidR="00207811" w:rsidRPr="00207811" w:rsidP="00207811" w14:paraId="18AB360E" w14:textId="77777777">
      <w:pPr>
        <w:jc w:val="center"/>
        <w:rPr>
          <w:sz w:val="22"/>
          <w:szCs w:val="22"/>
        </w:rPr>
      </w:pPr>
    </w:p>
    <w:tbl>
      <w:tblPr>
        <w:tblStyle w:val="TableGrid12"/>
        <w:tblW w:w="0" w:type="auto"/>
        <w:jc w:val="center"/>
        <w:tblLook w:val="04A0"/>
      </w:tblPr>
      <w:tblGrid>
        <w:gridCol w:w="3415"/>
        <w:gridCol w:w="1260"/>
      </w:tblGrid>
      <w:tr w14:paraId="79008A38" w14:textId="77777777" w:rsidTr="00D93A8D">
        <w:tblPrEx>
          <w:tblW w:w="0" w:type="auto"/>
          <w:jc w:val="center"/>
          <w:tblLook w:val="04A0"/>
        </w:tblPrEx>
        <w:trPr>
          <w:jc w:val="center"/>
        </w:trPr>
        <w:tc>
          <w:tcPr>
            <w:tcW w:w="3415" w:type="dxa"/>
          </w:tcPr>
          <w:p w:rsidR="00207811" w:rsidRPr="00207811" w:rsidP="00207811" w14:paraId="7B4576B2" w14:textId="77777777">
            <w:pPr>
              <w:rPr>
                <w:sz w:val="22"/>
                <w:szCs w:val="22"/>
                <w:u w:val="single"/>
              </w:rPr>
            </w:pPr>
            <w:r w:rsidRPr="00207811">
              <w:rPr>
                <w:sz w:val="22"/>
                <w:szCs w:val="22"/>
                <w:u w:val="single"/>
              </w:rPr>
              <w:t>PP&amp;E Land</w:t>
            </w:r>
          </w:p>
        </w:tc>
        <w:tc>
          <w:tcPr>
            <w:tcW w:w="1260" w:type="dxa"/>
          </w:tcPr>
          <w:p w:rsidR="00207811" w:rsidRPr="00207811" w:rsidP="00207811" w14:paraId="32E79309" w14:textId="77777777">
            <w:pPr>
              <w:jc w:val="center"/>
              <w:rPr>
                <w:sz w:val="22"/>
                <w:szCs w:val="22"/>
                <w:u w:val="single"/>
              </w:rPr>
            </w:pPr>
            <w:r w:rsidRPr="00207811">
              <w:rPr>
                <w:sz w:val="22"/>
                <w:szCs w:val="22"/>
                <w:u w:val="single"/>
              </w:rPr>
              <w:t>Operational</w:t>
            </w:r>
          </w:p>
        </w:tc>
      </w:tr>
      <w:tr w14:paraId="457D72E7" w14:textId="77777777" w:rsidTr="00D93A8D">
        <w:tblPrEx>
          <w:tblW w:w="0" w:type="auto"/>
          <w:jc w:val="center"/>
          <w:tblLook w:val="04A0"/>
        </w:tblPrEx>
        <w:trPr>
          <w:jc w:val="center"/>
        </w:trPr>
        <w:tc>
          <w:tcPr>
            <w:tcW w:w="3415" w:type="dxa"/>
          </w:tcPr>
          <w:p w:rsidR="00207811" w:rsidRPr="00207811" w:rsidP="00207811" w14:paraId="24C39143" w14:textId="77777777">
            <w:pPr>
              <w:rPr>
                <w:sz w:val="22"/>
                <w:szCs w:val="22"/>
              </w:rPr>
            </w:pPr>
            <w:r w:rsidRPr="00207811">
              <w:rPr>
                <w:sz w:val="22"/>
                <w:szCs w:val="22"/>
              </w:rPr>
              <w:t>Start of FY 2025</w:t>
            </w:r>
          </w:p>
        </w:tc>
        <w:tc>
          <w:tcPr>
            <w:tcW w:w="1260" w:type="dxa"/>
          </w:tcPr>
          <w:p w:rsidR="00207811" w:rsidRPr="00207811" w:rsidP="00207811" w14:paraId="7DA8882F" w14:textId="77777777">
            <w:pPr>
              <w:jc w:val="right"/>
              <w:rPr>
                <w:sz w:val="22"/>
                <w:szCs w:val="22"/>
              </w:rPr>
            </w:pPr>
            <w:r w:rsidRPr="00207811">
              <w:rPr>
                <w:sz w:val="22"/>
                <w:szCs w:val="22"/>
              </w:rPr>
              <w:t>2,104</w:t>
            </w:r>
          </w:p>
        </w:tc>
      </w:tr>
      <w:tr w14:paraId="574436E7" w14:textId="77777777" w:rsidTr="00D93A8D">
        <w:tblPrEx>
          <w:tblW w:w="0" w:type="auto"/>
          <w:jc w:val="center"/>
          <w:tblLook w:val="04A0"/>
        </w:tblPrEx>
        <w:trPr>
          <w:jc w:val="center"/>
        </w:trPr>
        <w:tc>
          <w:tcPr>
            <w:tcW w:w="3415" w:type="dxa"/>
          </w:tcPr>
          <w:p w:rsidR="00207811" w:rsidRPr="00207811" w:rsidP="00207811" w14:paraId="78ADDD42" w14:textId="77777777">
            <w:pPr>
              <w:rPr>
                <w:sz w:val="22"/>
                <w:szCs w:val="22"/>
              </w:rPr>
            </w:pPr>
            <w:r w:rsidRPr="00207811">
              <w:rPr>
                <w:sz w:val="22"/>
                <w:szCs w:val="22"/>
              </w:rPr>
              <w:t>End of FY 2025</w:t>
            </w:r>
          </w:p>
        </w:tc>
        <w:tc>
          <w:tcPr>
            <w:tcW w:w="1260" w:type="dxa"/>
          </w:tcPr>
          <w:p w:rsidR="00207811" w:rsidRPr="00207811" w:rsidP="00207811" w14:paraId="410E28E9" w14:textId="77777777">
            <w:pPr>
              <w:jc w:val="right"/>
              <w:rPr>
                <w:sz w:val="22"/>
                <w:szCs w:val="22"/>
              </w:rPr>
            </w:pPr>
            <w:r w:rsidRPr="00207811">
              <w:rPr>
                <w:sz w:val="22"/>
                <w:szCs w:val="22"/>
              </w:rPr>
              <w:t>2,093</w:t>
            </w:r>
          </w:p>
        </w:tc>
      </w:tr>
    </w:tbl>
    <w:p w:rsidR="00207811" w:rsidRPr="00207811" w:rsidP="00207811" w14:paraId="6EFB27F6" w14:textId="77777777">
      <w:pPr>
        <w:jc w:val="center"/>
      </w:pPr>
    </w:p>
    <w:p w:rsidR="00380D2F" w:rsidP="009B0BB1" w14:paraId="1007594C" w14:textId="77777777">
      <w:pPr>
        <w:rPr>
          <w:sz w:val="22"/>
          <w:szCs w:val="22"/>
        </w:rPr>
      </w:pPr>
    </w:p>
    <w:p w:rsidR="00380D2F" w:rsidP="00380D2F" w14:paraId="00880361" w14:textId="77777777">
      <w:pPr>
        <w:jc w:val="center"/>
        <w:rPr>
          <w:sz w:val="22"/>
          <w:szCs w:val="22"/>
        </w:rPr>
      </w:pPr>
    </w:p>
    <w:p w:rsidR="005921F1" w:rsidP="00380D2F" w14:paraId="077657D8" w14:textId="77777777">
      <w:pPr>
        <w:jc w:val="center"/>
        <w:rPr>
          <w:sz w:val="22"/>
          <w:szCs w:val="22"/>
        </w:rPr>
        <w:sectPr w:rsidSect="00380D2F">
          <w:headerReference w:type="even" r:id="rId99"/>
          <w:headerReference w:type="default" r:id="rId100"/>
          <w:footerReference w:type="default" r:id="rId101"/>
          <w:headerReference w:type="first" r:id="rId102"/>
          <w:footnotePr>
            <w:numRestart w:val="eachSect"/>
          </w:footnotePr>
          <w:pgSz w:w="12240" w:h="15840" w:code="1"/>
          <w:pgMar w:top="1152" w:right="1440" w:bottom="1152" w:left="1440" w:header="720" w:footer="990" w:gutter="0"/>
          <w:cols w:space="720"/>
          <w:docGrid w:linePitch="360"/>
        </w:sectPr>
      </w:pPr>
    </w:p>
    <w:p w:rsidR="00AC2106" w:rsidP="00380D2F" w14:paraId="24898D33" w14:textId="4BFA9D37">
      <w:pPr>
        <w:jc w:val="center"/>
        <w:rPr>
          <w:sz w:val="22"/>
          <w:szCs w:val="22"/>
        </w:rPr>
      </w:pPr>
    </w:p>
    <w:p w:rsidR="00AC2106" w:rsidP="00380D2F" w14:paraId="686E2FF4" w14:textId="66328FD6">
      <w:pPr>
        <w:jc w:val="center"/>
        <w:rPr>
          <w:sz w:val="22"/>
          <w:szCs w:val="22"/>
        </w:rPr>
      </w:pPr>
    </w:p>
    <w:p w:rsidR="00841596" w:rsidRPr="00B03B80" w:rsidP="00841596" w14:paraId="4A42CD46" w14:textId="77777777">
      <w:pPr>
        <w:pStyle w:val="Heading1"/>
        <w:rPr>
          <w:b/>
          <w:color w:val="auto"/>
          <w:sz w:val="32"/>
          <w:szCs w:val="32"/>
        </w:rPr>
      </w:pPr>
      <w:bookmarkStart w:id="174" w:name="_Toc85811539"/>
      <w:bookmarkStart w:id="175" w:name="_Toc216960445"/>
      <w:r w:rsidRPr="00342A02">
        <w:rPr>
          <w:b/>
          <w:color w:val="auto"/>
          <w:sz w:val="30"/>
          <w:szCs w:val="30"/>
        </w:rPr>
        <w:t>III.  OTHER INFORMATION (UNAUDITED</w:t>
      </w:r>
      <w:r w:rsidRPr="00342A02">
        <w:rPr>
          <w:b/>
          <w:color w:val="auto"/>
          <w:sz w:val="32"/>
          <w:szCs w:val="32"/>
        </w:rPr>
        <w:t>)</w:t>
      </w:r>
      <w:bookmarkEnd w:id="174"/>
      <w:bookmarkEnd w:id="175"/>
    </w:p>
    <w:p w:rsidR="00841596" w:rsidRPr="00476AD6" w:rsidP="00841596" w14:paraId="7FC9CF84" w14:textId="77777777">
      <w:pPr>
        <w:rPr>
          <w:sz w:val="22"/>
          <w:szCs w:val="22"/>
          <w:highlight w:val="yellow"/>
        </w:rPr>
      </w:pPr>
    </w:p>
    <w:p w:rsidR="00841596" w:rsidP="00841596" w14:paraId="7C2AFA07" w14:textId="77777777">
      <w:pPr>
        <w:pStyle w:val="Heading2"/>
        <w:jc w:val="left"/>
        <w:rPr>
          <w:rFonts w:ascii="Times New Roman" w:hAnsi="Times New Roman" w:cs="Times New Roman"/>
          <w:sz w:val="28"/>
          <w:szCs w:val="28"/>
        </w:rPr>
      </w:pPr>
      <w:bookmarkStart w:id="176" w:name="_Toc85811540"/>
      <w:bookmarkStart w:id="177" w:name="_Toc216960446"/>
      <w:r w:rsidRPr="007A3743">
        <w:rPr>
          <w:rFonts w:ascii="Times New Roman" w:hAnsi="Times New Roman" w:cs="Times New Roman"/>
          <w:sz w:val="28"/>
          <w:szCs w:val="28"/>
        </w:rPr>
        <w:t>Summary of Financial Statement Audit</w:t>
      </w:r>
      <w:bookmarkEnd w:id="176"/>
      <w:bookmarkEnd w:id="177"/>
    </w:p>
    <w:tbl>
      <w:tblPr>
        <w:tblW w:w="9885" w:type="dxa"/>
        <w:jc w:val="center"/>
        <w:tblLayout w:type="fixed"/>
        <w:tblLook w:val="0000"/>
      </w:tblPr>
      <w:tblGrid>
        <w:gridCol w:w="3325"/>
        <w:gridCol w:w="1430"/>
        <w:gridCol w:w="1260"/>
        <w:gridCol w:w="1180"/>
        <w:gridCol w:w="1440"/>
        <w:gridCol w:w="1250"/>
      </w:tblGrid>
      <w:tr w14:paraId="429E4AB9" w14:textId="77777777" w:rsidTr="00977E6D">
        <w:tblPrEx>
          <w:tblW w:w="9885" w:type="dxa"/>
          <w:jc w:val="center"/>
          <w:tblLayout w:type="fixed"/>
          <w:tblLook w:val="0000"/>
        </w:tblPrEx>
        <w:trPr>
          <w:trHeight w:val="297"/>
          <w:jc w:val="center"/>
        </w:trPr>
        <w:tc>
          <w:tcPr>
            <w:tcW w:w="3325" w:type="dxa"/>
            <w:tcBorders>
              <w:top w:val="double" w:sz="4" w:space="0" w:color="auto"/>
              <w:left w:val="double" w:sz="4" w:space="0" w:color="auto"/>
              <w:bottom w:val="single" w:sz="4" w:space="0" w:color="auto"/>
              <w:right w:val="single" w:sz="4" w:space="0" w:color="auto"/>
            </w:tcBorders>
            <w:noWrap/>
            <w:vAlign w:val="bottom"/>
          </w:tcPr>
          <w:p w:rsidR="009A2C37" w:rsidRPr="00106E67" w:rsidP="00977E6D" w14:paraId="212F9E0F" w14:textId="77777777">
            <w:pPr>
              <w:rPr>
                <w:sz w:val="22"/>
                <w:szCs w:val="22"/>
              </w:rPr>
            </w:pPr>
            <w:r w:rsidRPr="00106E67">
              <w:rPr>
                <w:sz w:val="22"/>
                <w:szCs w:val="22"/>
              </w:rPr>
              <w:t>Financial Statement Audit Opinion</w:t>
            </w:r>
          </w:p>
        </w:tc>
        <w:tc>
          <w:tcPr>
            <w:tcW w:w="6560" w:type="dxa"/>
            <w:gridSpan w:val="5"/>
            <w:tcBorders>
              <w:top w:val="double" w:sz="4" w:space="0" w:color="auto"/>
              <w:left w:val="nil"/>
              <w:bottom w:val="single" w:sz="4" w:space="0" w:color="auto"/>
              <w:right w:val="double" w:sz="4" w:space="0" w:color="auto"/>
            </w:tcBorders>
            <w:noWrap/>
            <w:vAlign w:val="bottom"/>
          </w:tcPr>
          <w:p w:rsidR="009A2C37" w:rsidRPr="00106E67" w:rsidP="00977E6D" w14:paraId="3ACF6D3B" w14:textId="77777777">
            <w:pPr>
              <w:jc w:val="center"/>
              <w:rPr>
                <w:sz w:val="22"/>
                <w:szCs w:val="22"/>
              </w:rPr>
            </w:pPr>
            <w:r w:rsidRPr="00106E67">
              <w:rPr>
                <w:sz w:val="22"/>
                <w:szCs w:val="22"/>
              </w:rPr>
              <w:t>Unmodified</w:t>
            </w:r>
          </w:p>
        </w:tc>
      </w:tr>
      <w:tr w14:paraId="60C7402F" w14:textId="77777777" w:rsidTr="00977E6D">
        <w:tblPrEx>
          <w:tblW w:w="9885" w:type="dxa"/>
          <w:jc w:val="center"/>
          <w:tblLayout w:type="fixed"/>
          <w:tblLook w:val="0000"/>
        </w:tblPrEx>
        <w:trPr>
          <w:trHeight w:val="297"/>
          <w:jc w:val="center"/>
        </w:trPr>
        <w:tc>
          <w:tcPr>
            <w:tcW w:w="3325" w:type="dxa"/>
            <w:tcBorders>
              <w:top w:val="nil"/>
              <w:left w:val="double" w:sz="4" w:space="0" w:color="auto"/>
              <w:bottom w:val="single" w:sz="4" w:space="0" w:color="auto"/>
              <w:right w:val="single" w:sz="4" w:space="0" w:color="auto"/>
            </w:tcBorders>
            <w:noWrap/>
            <w:vAlign w:val="bottom"/>
          </w:tcPr>
          <w:p w:rsidR="009A2C37" w:rsidRPr="00106E67" w:rsidP="00977E6D" w14:paraId="4DA57053" w14:textId="77777777">
            <w:pPr>
              <w:rPr>
                <w:sz w:val="22"/>
                <w:szCs w:val="22"/>
              </w:rPr>
            </w:pPr>
            <w:r w:rsidRPr="00106E67">
              <w:rPr>
                <w:sz w:val="22"/>
                <w:szCs w:val="22"/>
              </w:rPr>
              <w:t>Restatement</w:t>
            </w:r>
          </w:p>
        </w:tc>
        <w:tc>
          <w:tcPr>
            <w:tcW w:w="6560" w:type="dxa"/>
            <w:gridSpan w:val="5"/>
            <w:tcBorders>
              <w:top w:val="single" w:sz="4" w:space="0" w:color="auto"/>
              <w:left w:val="nil"/>
              <w:bottom w:val="single" w:sz="4" w:space="0" w:color="auto"/>
              <w:right w:val="double" w:sz="4" w:space="0" w:color="auto"/>
            </w:tcBorders>
            <w:noWrap/>
            <w:vAlign w:val="bottom"/>
          </w:tcPr>
          <w:p w:rsidR="009A2C37" w:rsidRPr="00106E67" w:rsidP="00977E6D" w14:paraId="5ED3072D" w14:textId="77777777">
            <w:pPr>
              <w:jc w:val="center"/>
              <w:rPr>
                <w:sz w:val="22"/>
                <w:szCs w:val="22"/>
              </w:rPr>
            </w:pPr>
            <w:r w:rsidRPr="00106E67">
              <w:rPr>
                <w:sz w:val="22"/>
                <w:szCs w:val="22"/>
              </w:rPr>
              <w:t>No</w:t>
            </w:r>
          </w:p>
        </w:tc>
      </w:tr>
      <w:tr w14:paraId="7ED44995" w14:textId="77777777" w:rsidTr="00977E6D">
        <w:tblPrEx>
          <w:tblW w:w="9885" w:type="dxa"/>
          <w:jc w:val="center"/>
          <w:tblLayout w:type="fixed"/>
          <w:tblLook w:val="0000"/>
        </w:tblPrEx>
        <w:trPr>
          <w:trHeight w:val="278"/>
          <w:jc w:val="center"/>
        </w:trPr>
        <w:tc>
          <w:tcPr>
            <w:tcW w:w="3325" w:type="dxa"/>
            <w:tcBorders>
              <w:top w:val="single" w:sz="4" w:space="0" w:color="auto"/>
              <w:left w:val="double" w:sz="4" w:space="0" w:color="auto"/>
              <w:bottom w:val="single" w:sz="4" w:space="0" w:color="auto"/>
              <w:right w:val="single" w:sz="4" w:space="0" w:color="auto"/>
            </w:tcBorders>
            <w:shd w:val="clear" w:color="auto" w:fill="BFBFBF"/>
            <w:noWrap/>
            <w:vAlign w:val="center"/>
          </w:tcPr>
          <w:p w:rsidR="009A2C37" w:rsidRPr="00106E67" w:rsidP="00977E6D" w14:paraId="56F6280F" w14:textId="77777777">
            <w:pPr>
              <w:rPr>
                <w:sz w:val="22"/>
                <w:szCs w:val="22"/>
              </w:rPr>
            </w:pPr>
            <w:r w:rsidRPr="00106E67">
              <w:rPr>
                <w:sz w:val="22"/>
                <w:szCs w:val="22"/>
              </w:rPr>
              <w:t>Material Weaknesses</w:t>
            </w:r>
          </w:p>
        </w:tc>
        <w:tc>
          <w:tcPr>
            <w:tcW w:w="1430" w:type="dxa"/>
            <w:tcBorders>
              <w:top w:val="single" w:sz="4" w:space="0" w:color="auto"/>
              <w:left w:val="nil"/>
              <w:bottom w:val="single" w:sz="4" w:space="0" w:color="auto"/>
              <w:right w:val="single" w:sz="4" w:space="0" w:color="auto"/>
            </w:tcBorders>
            <w:shd w:val="clear" w:color="auto" w:fill="BFBFBF"/>
            <w:vAlign w:val="center"/>
          </w:tcPr>
          <w:p w:rsidR="009A2C37" w:rsidRPr="00106E67" w:rsidP="00977E6D" w14:paraId="3C6BB140" w14:textId="77777777">
            <w:pPr>
              <w:jc w:val="center"/>
              <w:rPr>
                <w:sz w:val="22"/>
                <w:szCs w:val="22"/>
              </w:rPr>
            </w:pPr>
            <w:r w:rsidRPr="00106E67">
              <w:rPr>
                <w:sz w:val="22"/>
                <w:szCs w:val="22"/>
              </w:rPr>
              <w:t>Beginning Balance</w:t>
            </w:r>
          </w:p>
        </w:tc>
        <w:tc>
          <w:tcPr>
            <w:tcW w:w="1260" w:type="dxa"/>
            <w:tcBorders>
              <w:top w:val="single" w:sz="4" w:space="0" w:color="auto"/>
              <w:left w:val="nil"/>
              <w:bottom w:val="single" w:sz="4" w:space="0" w:color="auto"/>
              <w:right w:val="single" w:sz="4" w:space="0" w:color="auto"/>
            </w:tcBorders>
            <w:shd w:val="clear" w:color="auto" w:fill="BFBFBF"/>
            <w:vAlign w:val="center"/>
          </w:tcPr>
          <w:p w:rsidR="009A2C37" w:rsidRPr="00106E67" w:rsidP="00977E6D" w14:paraId="0A7BAA03" w14:textId="77777777">
            <w:pPr>
              <w:jc w:val="center"/>
              <w:rPr>
                <w:sz w:val="22"/>
                <w:szCs w:val="22"/>
              </w:rPr>
            </w:pPr>
            <w:r w:rsidRPr="00106E67">
              <w:rPr>
                <w:sz w:val="22"/>
                <w:szCs w:val="22"/>
              </w:rPr>
              <w:t>New</w:t>
            </w:r>
          </w:p>
        </w:tc>
        <w:tc>
          <w:tcPr>
            <w:tcW w:w="1180" w:type="dxa"/>
            <w:tcBorders>
              <w:top w:val="single" w:sz="4" w:space="0" w:color="auto"/>
              <w:left w:val="nil"/>
              <w:bottom w:val="single" w:sz="4" w:space="0" w:color="auto"/>
              <w:right w:val="single" w:sz="4" w:space="0" w:color="auto"/>
            </w:tcBorders>
            <w:shd w:val="clear" w:color="auto" w:fill="BFBFBF"/>
            <w:vAlign w:val="center"/>
          </w:tcPr>
          <w:p w:rsidR="009A2C37" w:rsidRPr="00106E67" w:rsidP="00977E6D" w14:paraId="4535ECB0" w14:textId="77777777">
            <w:pPr>
              <w:jc w:val="center"/>
              <w:rPr>
                <w:sz w:val="22"/>
                <w:szCs w:val="22"/>
              </w:rPr>
            </w:pPr>
            <w:r w:rsidRPr="00106E67">
              <w:rPr>
                <w:sz w:val="22"/>
                <w:szCs w:val="22"/>
              </w:rPr>
              <w:t>Resolved</w:t>
            </w:r>
          </w:p>
        </w:tc>
        <w:tc>
          <w:tcPr>
            <w:tcW w:w="1440" w:type="dxa"/>
            <w:tcBorders>
              <w:top w:val="single" w:sz="4" w:space="0" w:color="auto"/>
              <w:left w:val="nil"/>
              <w:bottom w:val="single" w:sz="4" w:space="0" w:color="auto"/>
              <w:right w:val="single" w:sz="4" w:space="0" w:color="auto"/>
            </w:tcBorders>
            <w:shd w:val="clear" w:color="auto" w:fill="BFBFBF"/>
            <w:vAlign w:val="center"/>
          </w:tcPr>
          <w:p w:rsidR="009A2C37" w:rsidRPr="00106E67" w:rsidP="00977E6D" w14:paraId="40C5ED3C" w14:textId="77777777">
            <w:pPr>
              <w:jc w:val="center"/>
              <w:rPr>
                <w:sz w:val="22"/>
                <w:szCs w:val="22"/>
              </w:rPr>
            </w:pPr>
            <w:r w:rsidRPr="00106E67">
              <w:rPr>
                <w:sz w:val="22"/>
                <w:szCs w:val="22"/>
              </w:rPr>
              <w:t>Consolidated</w:t>
            </w:r>
          </w:p>
        </w:tc>
        <w:tc>
          <w:tcPr>
            <w:tcW w:w="1250" w:type="dxa"/>
            <w:tcBorders>
              <w:top w:val="single" w:sz="4" w:space="0" w:color="auto"/>
              <w:left w:val="nil"/>
              <w:bottom w:val="single" w:sz="4" w:space="0" w:color="auto"/>
              <w:right w:val="double" w:sz="4" w:space="0" w:color="auto"/>
            </w:tcBorders>
            <w:shd w:val="clear" w:color="auto" w:fill="BFBFBF"/>
            <w:vAlign w:val="center"/>
          </w:tcPr>
          <w:p w:rsidR="009A2C37" w:rsidRPr="00106E67" w:rsidP="00977E6D" w14:paraId="042AF3B6" w14:textId="77777777">
            <w:pPr>
              <w:jc w:val="center"/>
              <w:rPr>
                <w:sz w:val="22"/>
                <w:szCs w:val="22"/>
              </w:rPr>
            </w:pPr>
            <w:r w:rsidRPr="00106E67">
              <w:rPr>
                <w:sz w:val="22"/>
                <w:szCs w:val="22"/>
              </w:rPr>
              <w:t>Ending Balance</w:t>
            </w:r>
          </w:p>
        </w:tc>
      </w:tr>
      <w:tr w14:paraId="2C0696DE" w14:textId="77777777" w:rsidTr="00977E6D">
        <w:tblPrEx>
          <w:tblW w:w="9885" w:type="dxa"/>
          <w:jc w:val="center"/>
          <w:tblLayout w:type="fixed"/>
          <w:tblLook w:val="0000"/>
        </w:tblPrEx>
        <w:trPr>
          <w:trHeight w:val="297"/>
          <w:jc w:val="center"/>
        </w:trPr>
        <w:tc>
          <w:tcPr>
            <w:tcW w:w="3325" w:type="dxa"/>
            <w:tcBorders>
              <w:top w:val="nil"/>
              <w:left w:val="double" w:sz="4" w:space="0" w:color="auto"/>
              <w:bottom w:val="single" w:sz="4" w:space="0" w:color="auto"/>
              <w:right w:val="single" w:sz="4" w:space="0" w:color="auto"/>
            </w:tcBorders>
            <w:noWrap/>
            <w:vAlign w:val="bottom"/>
          </w:tcPr>
          <w:p w:rsidR="009A2C37" w:rsidRPr="00106E67" w:rsidP="00977E6D" w14:paraId="3117C95F" w14:textId="77777777">
            <w:pPr>
              <w:rPr>
                <w:sz w:val="22"/>
                <w:szCs w:val="22"/>
              </w:rPr>
            </w:pPr>
          </w:p>
        </w:tc>
        <w:tc>
          <w:tcPr>
            <w:tcW w:w="1430" w:type="dxa"/>
            <w:tcBorders>
              <w:top w:val="nil"/>
              <w:left w:val="nil"/>
              <w:bottom w:val="single" w:sz="4" w:space="0" w:color="auto"/>
              <w:right w:val="single" w:sz="4" w:space="0" w:color="auto"/>
            </w:tcBorders>
            <w:noWrap/>
            <w:vAlign w:val="center"/>
          </w:tcPr>
          <w:p w:rsidR="009A2C37" w:rsidRPr="00165095" w:rsidP="00977E6D" w14:paraId="78951F3E" w14:textId="77777777">
            <w:pPr>
              <w:jc w:val="center"/>
              <w:rPr>
                <w:sz w:val="22"/>
                <w:szCs w:val="22"/>
              </w:rPr>
            </w:pPr>
            <w:r w:rsidRPr="00165095">
              <w:rPr>
                <w:sz w:val="22"/>
                <w:szCs w:val="22"/>
              </w:rPr>
              <w:t>0</w:t>
            </w:r>
          </w:p>
        </w:tc>
        <w:tc>
          <w:tcPr>
            <w:tcW w:w="1260" w:type="dxa"/>
            <w:tcBorders>
              <w:top w:val="nil"/>
              <w:left w:val="nil"/>
              <w:bottom w:val="single" w:sz="4" w:space="0" w:color="auto"/>
              <w:right w:val="single" w:sz="4" w:space="0" w:color="auto"/>
            </w:tcBorders>
            <w:noWrap/>
            <w:vAlign w:val="center"/>
          </w:tcPr>
          <w:p w:rsidR="009A2C37" w:rsidRPr="00165095" w:rsidP="00977E6D" w14:paraId="0BDC96A5" w14:textId="77777777">
            <w:pPr>
              <w:jc w:val="center"/>
              <w:rPr>
                <w:sz w:val="22"/>
                <w:szCs w:val="22"/>
              </w:rPr>
            </w:pPr>
            <w:r w:rsidRPr="00165095">
              <w:rPr>
                <w:sz w:val="22"/>
                <w:szCs w:val="22"/>
              </w:rPr>
              <w:t>0</w:t>
            </w:r>
          </w:p>
        </w:tc>
        <w:tc>
          <w:tcPr>
            <w:tcW w:w="1180" w:type="dxa"/>
            <w:tcBorders>
              <w:top w:val="nil"/>
              <w:left w:val="nil"/>
              <w:bottom w:val="single" w:sz="4" w:space="0" w:color="auto"/>
              <w:right w:val="single" w:sz="4" w:space="0" w:color="auto"/>
            </w:tcBorders>
            <w:noWrap/>
            <w:vAlign w:val="center"/>
          </w:tcPr>
          <w:p w:rsidR="009A2C37" w:rsidRPr="00165095" w:rsidP="00977E6D" w14:paraId="288BFB01" w14:textId="77777777">
            <w:pPr>
              <w:jc w:val="center"/>
              <w:rPr>
                <w:sz w:val="22"/>
                <w:szCs w:val="22"/>
              </w:rPr>
            </w:pPr>
            <w:r w:rsidRPr="00165095">
              <w:rPr>
                <w:sz w:val="22"/>
                <w:szCs w:val="22"/>
              </w:rPr>
              <w:t>0</w:t>
            </w:r>
          </w:p>
        </w:tc>
        <w:tc>
          <w:tcPr>
            <w:tcW w:w="1440" w:type="dxa"/>
            <w:tcBorders>
              <w:top w:val="nil"/>
              <w:left w:val="nil"/>
              <w:bottom w:val="single" w:sz="4" w:space="0" w:color="auto"/>
              <w:right w:val="single" w:sz="4" w:space="0" w:color="auto"/>
            </w:tcBorders>
            <w:noWrap/>
            <w:vAlign w:val="center"/>
          </w:tcPr>
          <w:p w:rsidR="009A2C37" w:rsidRPr="00165095" w:rsidP="00977E6D" w14:paraId="1D291EA5" w14:textId="77777777">
            <w:pPr>
              <w:jc w:val="center"/>
              <w:rPr>
                <w:sz w:val="22"/>
                <w:szCs w:val="22"/>
              </w:rPr>
            </w:pPr>
            <w:r w:rsidRPr="00165095">
              <w:rPr>
                <w:sz w:val="22"/>
                <w:szCs w:val="22"/>
              </w:rPr>
              <w:t>0</w:t>
            </w:r>
          </w:p>
        </w:tc>
        <w:tc>
          <w:tcPr>
            <w:tcW w:w="1250" w:type="dxa"/>
            <w:tcBorders>
              <w:top w:val="nil"/>
              <w:left w:val="nil"/>
              <w:bottom w:val="single" w:sz="4" w:space="0" w:color="auto"/>
              <w:right w:val="double" w:sz="4" w:space="0" w:color="auto"/>
            </w:tcBorders>
            <w:noWrap/>
            <w:vAlign w:val="center"/>
          </w:tcPr>
          <w:p w:rsidR="009A2C37" w:rsidRPr="00165095" w:rsidP="00977E6D" w14:paraId="4D896C25" w14:textId="77777777">
            <w:pPr>
              <w:jc w:val="center"/>
              <w:rPr>
                <w:sz w:val="22"/>
                <w:szCs w:val="22"/>
              </w:rPr>
            </w:pPr>
            <w:r w:rsidRPr="00165095">
              <w:rPr>
                <w:sz w:val="22"/>
                <w:szCs w:val="22"/>
              </w:rPr>
              <w:t>0</w:t>
            </w:r>
          </w:p>
        </w:tc>
      </w:tr>
      <w:tr w14:paraId="6CBDBC00" w14:textId="77777777" w:rsidTr="00977E6D">
        <w:tblPrEx>
          <w:tblW w:w="9885" w:type="dxa"/>
          <w:jc w:val="center"/>
          <w:tblLayout w:type="fixed"/>
          <w:tblLook w:val="0000"/>
        </w:tblPrEx>
        <w:trPr>
          <w:trHeight w:val="375"/>
          <w:jc w:val="center"/>
        </w:trPr>
        <w:tc>
          <w:tcPr>
            <w:tcW w:w="3325" w:type="dxa"/>
            <w:tcBorders>
              <w:top w:val="double" w:sz="4" w:space="0" w:color="auto"/>
              <w:left w:val="double" w:sz="4" w:space="0" w:color="auto"/>
              <w:bottom w:val="double" w:sz="4" w:space="0" w:color="auto"/>
              <w:right w:val="single" w:sz="4" w:space="0" w:color="auto"/>
            </w:tcBorders>
            <w:shd w:val="clear" w:color="auto" w:fill="BFBFBF"/>
            <w:noWrap/>
            <w:vAlign w:val="center"/>
          </w:tcPr>
          <w:p w:rsidR="009A2C37" w:rsidRPr="00106E67" w:rsidP="00977E6D" w14:paraId="13D68ACF" w14:textId="77777777">
            <w:pPr>
              <w:rPr>
                <w:b/>
                <w:iCs/>
                <w:sz w:val="22"/>
                <w:szCs w:val="22"/>
              </w:rPr>
            </w:pPr>
            <w:r w:rsidRPr="00106E67">
              <w:rPr>
                <w:b/>
                <w:iCs/>
                <w:sz w:val="22"/>
                <w:szCs w:val="22"/>
              </w:rPr>
              <w:t>Total Material Weaknesses</w:t>
            </w:r>
          </w:p>
        </w:tc>
        <w:tc>
          <w:tcPr>
            <w:tcW w:w="143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2897D79B" w14:textId="77777777">
            <w:pPr>
              <w:jc w:val="center"/>
              <w:rPr>
                <w:b/>
                <w:sz w:val="22"/>
                <w:szCs w:val="22"/>
              </w:rPr>
            </w:pPr>
            <w:r>
              <w:rPr>
                <w:b/>
                <w:sz w:val="22"/>
                <w:szCs w:val="22"/>
              </w:rPr>
              <w:t>0</w:t>
            </w:r>
          </w:p>
        </w:tc>
        <w:tc>
          <w:tcPr>
            <w:tcW w:w="126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643715D2" w14:textId="77777777">
            <w:pPr>
              <w:jc w:val="center"/>
              <w:rPr>
                <w:b/>
                <w:sz w:val="22"/>
                <w:szCs w:val="22"/>
              </w:rPr>
            </w:pPr>
            <w:r w:rsidRPr="00106E67">
              <w:rPr>
                <w:b/>
                <w:sz w:val="22"/>
                <w:szCs w:val="22"/>
              </w:rPr>
              <w:t>0</w:t>
            </w:r>
          </w:p>
        </w:tc>
        <w:tc>
          <w:tcPr>
            <w:tcW w:w="118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304D0231" w14:textId="77777777">
            <w:pPr>
              <w:jc w:val="center"/>
              <w:rPr>
                <w:b/>
                <w:sz w:val="22"/>
                <w:szCs w:val="22"/>
              </w:rPr>
            </w:pPr>
            <w:r>
              <w:rPr>
                <w:b/>
                <w:sz w:val="22"/>
                <w:szCs w:val="22"/>
              </w:rPr>
              <w:t>0</w:t>
            </w:r>
            <w:r w:rsidRPr="00106E67">
              <w:rPr>
                <w:b/>
                <w:sz w:val="22"/>
                <w:szCs w:val="22"/>
              </w:rPr>
              <w:t> </w:t>
            </w:r>
          </w:p>
        </w:tc>
        <w:tc>
          <w:tcPr>
            <w:tcW w:w="144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1559D0AB" w14:textId="77777777">
            <w:pPr>
              <w:jc w:val="center"/>
              <w:rPr>
                <w:b/>
                <w:sz w:val="22"/>
                <w:szCs w:val="22"/>
              </w:rPr>
            </w:pPr>
            <w:r w:rsidRPr="00106E67">
              <w:rPr>
                <w:b/>
                <w:sz w:val="22"/>
                <w:szCs w:val="22"/>
              </w:rPr>
              <w:t>0</w:t>
            </w:r>
          </w:p>
        </w:tc>
        <w:tc>
          <w:tcPr>
            <w:tcW w:w="1250" w:type="dxa"/>
            <w:tcBorders>
              <w:top w:val="double" w:sz="4" w:space="0" w:color="auto"/>
              <w:left w:val="nil"/>
              <w:bottom w:val="double" w:sz="4" w:space="0" w:color="auto"/>
              <w:right w:val="double" w:sz="4" w:space="0" w:color="auto"/>
            </w:tcBorders>
            <w:shd w:val="clear" w:color="auto" w:fill="BFBFBF"/>
            <w:noWrap/>
            <w:vAlign w:val="center"/>
          </w:tcPr>
          <w:p w:rsidR="009A2C37" w:rsidRPr="00106E67" w:rsidP="00977E6D" w14:paraId="31A6F2CF" w14:textId="77777777">
            <w:pPr>
              <w:jc w:val="center"/>
              <w:rPr>
                <w:b/>
                <w:sz w:val="22"/>
                <w:szCs w:val="22"/>
              </w:rPr>
            </w:pPr>
            <w:r w:rsidRPr="00106E67">
              <w:rPr>
                <w:b/>
                <w:sz w:val="22"/>
                <w:szCs w:val="22"/>
              </w:rPr>
              <w:t>0</w:t>
            </w:r>
          </w:p>
        </w:tc>
      </w:tr>
    </w:tbl>
    <w:p w:rsidR="009A2C37" w:rsidRPr="00476AD6" w:rsidP="009A2C37" w14:paraId="45E22CCF" w14:textId="77777777">
      <w:pPr>
        <w:rPr>
          <w:sz w:val="22"/>
          <w:szCs w:val="22"/>
        </w:rPr>
      </w:pPr>
      <w:r w:rsidRPr="00476AD6">
        <w:rPr>
          <w:sz w:val="22"/>
          <w:szCs w:val="22"/>
        </w:rPr>
        <w:t>See accompanying auditor’s report</w:t>
      </w:r>
      <w:r>
        <w:rPr>
          <w:sz w:val="22"/>
          <w:szCs w:val="22"/>
        </w:rPr>
        <w:t>.</w:t>
      </w:r>
    </w:p>
    <w:p w:rsidR="009A2C37" w:rsidRPr="00A30F90" w:rsidP="009A2C37" w14:paraId="10DDCEC1" w14:textId="77777777">
      <w:pPr>
        <w:rPr>
          <w:sz w:val="22"/>
          <w:szCs w:val="22"/>
          <w:highlight w:val="yellow"/>
        </w:rPr>
      </w:pPr>
    </w:p>
    <w:p w:rsidR="009A2C37" w:rsidRPr="00A30F90" w:rsidP="009A2C37" w14:paraId="28517584" w14:textId="77777777">
      <w:pPr>
        <w:rPr>
          <w:b/>
          <w:sz w:val="22"/>
        </w:rPr>
      </w:pPr>
    </w:p>
    <w:p w:rsidR="009A2C37" w:rsidP="009A2C37" w14:paraId="581613A8" w14:textId="77777777">
      <w:pPr>
        <w:pStyle w:val="Heading2"/>
        <w:jc w:val="left"/>
        <w:rPr>
          <w:rFonts w:ascii="Times New Roman" w:hAnsi="Times New Roman" w:cs="Times New Roman"/>
          <w:sz w:val="28"/>
          <w:szCs w:val="28"/>
        </w:rPr>
      </w:pPr>
      <w:bookmarkStart w:id="178" w:name="_Toc85811541"/>
      <w:bookmarkStart w:id="179" w:name="_Toc216960447"/>
      <w:r w:rsidRPr="007A3743">
        <w:rPr>
          <w:rFonts w:ascii="Times New Roman" w:hAnsi="Times New Roman" w:cs="Times New Roman"/>
          <w:sz w:val="28"/>
          <w:szCs w:val="28"/>
        </w:rPr>
        <w:t>Summary of Management Assurances</w:t>
      </w:r>
      <w:bookmarkEnd w:id="178"/>
      <w:bookmarkEnd w:id="179"/>
    </w:p>
    <w:p w:rsidR="009A2C37" w:rsidRPr="00476AD6" w:rsidP="009A2C37" w14:paraId="61FCF18A" w14:textId="77777777">
      <w:pPr>
        <w:jc w:val="both"/>
        <w:rPr>
          <w:sz w:val="22"/>
          <w:szCs w:val="22"/>
          <w:highlight w:val="yellow"/>
        </w:rPr>
      </w:pPr>
    </w:p>
    <w:tbl>
      <w:tblPr>
        <w:tblW w:w="9885" w:type="dxa"/>
        <w:jc w:val="center"/>
        <w:tblLayout w:type="fixed"/>
        <w:tblLook w:val="0000"/>
      </w:tblPr>
      <w:tblGrid>
        <w:gridCol w:w="2865"/>
        <w:gridCol w:w="1170"/>
        <w:gridCol w:w="900"/>
        <w:gridCol w:w="1170"/>
        <w:gridCol w:w="1440"/>
        <w:gridCol w:w="1260"/>
        <w:gridCol w:w="1080"/>
      </w:tblGrid>
      <w:tr w14:paraId="70E4389A" w14:textId="77777777" w:rsidTr="00977E6D">
        <w:tblPrEx>
          <w:tblW w:w="9885" w:type="dxa"/>
          <w:jc w:val="center"/>
          <w:tblLayout w:type="fixed"/>
          <w:tblLook w:val="0000"/>
        </w:tblPrEx>
        <w:trPr>
          <w:trHeight w:val="285"/>
          <w:jc w:val="center"/>
        </w:trPr>
        <w:tc>
          <w:tcPr>
            <w:tcW w:w="9885" w:type="dxa"/>
            <w:gridSpan w:val="7"/>
            <w:tcBorders>
              <w:top w:val="double" w:sz="4" w:space="0" w:color="auto"/>
              <w:left w:val="double" w:sz="4" w:space="0" w:color="auto"/>
              <w:bottom w:val="double" w:sz="4" w:space="0" w:color="auto"/>
              <w:right w:val="double" w:sz="4" w:space="0" w:color="auto"/>
            </w:tcBorders>
            <w:shd w:val="clear" w:color="auto" w:fill="B4C6E7"/>
            <w:noWrap/>
            <w:vAlign w:val="bottom"/>
          </w:tcPr>
          <w:p w:rsidR="009A2C37" w:rsidRPr="00106E67" w:rsidP="00977E6D" w14:paraId="3FCB2F59" w14:textId="77777777">
            <w:pPr>
              <w:jc w:val="center"/>
              <w:rPr>
                <w:b/>
                <w:bCs/>
                <w:sz w:val="22"/>
                <w:szCs w:val="22"/>
              </w:rPr>
            </w:pPr>
            <w:r w:rsidRPr="00106E67">
              <w:rPr>
                <w:b/>
                <w:bCs/>
                <w:sz w:val="22"/>
                <w:szCs w:val="22"/>
              </w:rPr>
              <w:t>Effectiveness of Internal Control over Financial Reporting (FMFIA § 2)</w:t>
            </w:r>
          </w:p>
        </w:tc>
      </w:tr>
      <w:tr w14:paraId="7B5B9ED0" w14:textId="77777777" w:rsidTr="00977E6D">
        <w:tblPrEx>
          <w:tblW w:w="9885" w:type="dxa"/>
          <w:jc w:val="center"/>
          <w:tblLayout w:type="fixed"/>
          <w:tblLook w:val="0000"/>
        </w:tblPrEx>
        <w:trPr>
          <w:trHeight w:val="300"/>
          <w:jc w:val="center"/>
        </w:trPr>
        <w:tc>
          <w:tcPr>
            <w:tcW w:w="2865" w:type="dxa"/>
            <w:tcBorders>
              <w:top w:val="double" w:sz="4" w:space="0" w:color="auto"/>
              <w:left w:val="double" w:sz="4" w:space="0" w:color="auto"/>
              <w:bottom w:val="single" w:sz="4" w:space="0" w:color="auto"/>
              <w:right w:val="single" w:sz="4" w:space="0" w:color="auto"/>
            </w:tcBorders>
            <w:noWrap/>
            <w:vAlign w:val="bottom"/>
          </w:tcPr>
          <w:p w:rsidR="009A2C37" w:rsidRPr="00106E67" w:rsidP="00977E6D" w14:paraId="7E5C72E3" w14:textId="77777777">
            <w:pPr>
              <w:rPr>
                <w:sz w:val="22"/>
                <w:szCs w:val="22"/>
              </w:rPr>
            </w:pPr>
            <w:r w:rsidRPr="00106E67">
              <w:rPr>
                <w:sz w:val="22"/>
                <w:szCs w:val="22"/>
              </w:rPr>
              <w:t>Statement of Assurance</w:t>
            </w:r>
          </w:p>
        </w:tc>
        <w:tc>
          <w:tcPr>
            <w:tcW w:w="7020" w:type="dxa"/>
            <w:gridSpan w:val="6"/>
            <w:tcBorders>
              <w:top w:val="double" w:sz="4" w:space="0" w:color="auto"/>
              <w:left w:val="nil"/>
              <w:bottom w:val="single" w:sz="4" w:space="0" w:color="auto"/>
              <w:right w:val="double" w:sz="4" w:space="0" w:color="auto"/>
            </w:tcBorders>
            <w:noWrap/>
            <w:vAlign w:val="bottom"/>
          </w:tcPr>
          <w:p w:rsidR="009A2C37" w:rsidRPr="00106E67" w:rsidP="00977E6D" w14:paraId="3BB073EA" w14:textId="77777777">
            <w:pPr>
              <w:jc w:val="center"/>
              <w:rPr>
                <w:sz w:val="22"/>
                <w:szCs w:val="22"/>
              </w:rPr>
            </w:pPr>
            <w:r w:rsidRPr="00106E67">
              <w:rPr>
                <w:sz w:val="22"/>
                <w:szCs w:val="22"/>
              </w:rPr>
              <w:t>Unmodified</w:t>
            </w:r>
          </w:p>
        </w:tc>
      </w:tr>
      <w:tr w14:paraId="672A5506" w14:textId="77777777" w:rsidTr="00977E6D">
        <w:tblPrEx>
          <w:tblW w:w="9885" w:type="dxa"/>
          <w:jc w:val="center"/>
          <w:tblLayout w:type="fixed"/>
          <w:tblLook w:val="0000"/>
        </w:tblPrEx>
        <w:trPr>
          <w:trHeight w:val="143"/>
          <w:jc w:val="center"/>
        </w:trPr>
        <w:tc>
          <w:tcPr>
            <w:tcW w:w="9885" w:type="dxa"/>
            <w:gridSpan w:val="7"/>
            <w:tcBorders>
              <w:top w:val="single" w:sz="4" w:space="0" w:color="auto"/>
              <w:left w:val="double" w:sz="4" w:space="0" w:color="auto"/>
              <w:bottom w:val="single" w:sz="4" w:space="0" w:color="auto"/>
              <w:right w:val="double" w:sz="4" w:space="0" w:color="auto"/>
            </w:tcBorders>
            <w:noWrap/>
            <w:vAlign w:val="bottom"/>
          </w:tcPr>
          <w:p w:rsidR="009A2C37" w:rsidRPr="00106E67" w:rsidP="00977E6D" w14:paraId="04E8845B" w14:textId="77777777">
            <w:pPr>
              <w:rPr>
                <w:sz w:val="22"/>
                <w:szCs w:val="22"/>
              </w:rPr>
            </w:pPr>
          </w:p>
        </w:tc>
      </w:tr>
      <w:tr w14:paraId="2E859BEF" w14:textId="77777777" w:rsidTr="00977E6D">
        <w:tblPrEx>
          <w:tblW w:w="9885" w:type="dxa"/>
          <w:jc w:val="center"/>
          <w:tblLayout w:type="fixed"/>
          <w:tblLook w:val="0000"/>
        </w:tblPrEx>
        <w:trPr>
          <w:trHeight w:val="600"/>
          <w:jc w:val="center"/>
        </w:trPr>
        <w:tc>
          <w:tcPr>
            <w:tcW w:w="2865" w:type="dxa"/>
            <w:tcBorders>
              <w:top w:val="single" w:sz="4" w:space="0" w:color="auto"/>
              <w:left w:val="double" w:sz="4" w:space="0" w:color="auto"/>
              <w:bottom w:val="single" w:sz="4" w:space="0" w:color="auto"/>
              <w:right w:val="single" w:sz="4" w:space="0" w:color="auto"/>
            </w:tcBorders>
            <w:shd w:val="clear" w:color="auto" w:fill="D9D9D9"/>
            <w:noWrap/>
            <w:vAlign w:val="center"/>
          </w:tcPr>
          <w:p w:rsidR="009A2C37" w:rsidRPr="00106E67" w:rsidP="00977E6D" w14:paraId="5E0CA956" w14:textId="77777777">
            <w:pPr>
              <w:rPr>
                <w:sz w:val="22"/>
                <w:szCs w:val="22"/>
              </w:rPr>
            </w:pPr>
            <w:r w:rsidRPr="00106E67">
              <w:rPr>
                <w:sz w:val="22"/>
                <w:szCs w:val="22"/>
              </w:rPr>
              <w:t>Material Weaknesses</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26C92023" w14:textId="77777777">
            <w:pPr>
              <w:jc w:val="center"/>
              <w:rPr>
                <w:sz w:val="22"/>
                <w:szCs w:val="22"/>
              </w:rPr>
            </w:pPr>
            <w:r w:rsidRPr="00106E67">
              <w:rPr>
                <w:sz w:val="22"/>
                <w:szCs w:val="22"/>
              </w:rPr>
              <w:t>Beginning Balance</w:t>
            </w:r>
          </w:p>
        </w:tc>
        <w:tc>
          <w:tcPr>
            <w:tcW w:w="90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0CE294AB" w14:textId="77777777">
            <w:pPr>
              <w:jc w:val="center"/>
              <w:rPr>
                <w:sz w:val="22"/>
                <w:szCs w:val="22"/>
              </w:rPr>
            </w:pPr>
            <w:r w:rsidRPr="00106E67">
              <w:rPr>
                <w:sz w:val="22"/>
                <w:szCs w:val="22"/>
              </w:rPr>
              <w:t>New</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6B6E0F34" w14:textId="77777777">
            <w:pPr>
              <w:jc w:val="center"/>
              <w:rPr>
                <w:sz w:val="22"/>
                <w:szCs w:val="22"/>
              </w:rPr>
            </w:pPr>
            <w:r w:rsidRPr="00106E67">
              <w:rPr>
                <w:sz w:val="22"/>
                <w:szCs w:val="22"/>
              </w:rPr>
              <w:t>Resolved</w:t>
            </w:r>
          </w:p>
        </w:tc>
        <w:tc>
          <w:tcPr>
            <w:tcW w:w="144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784A28BC" w14:textId="77777777">
            <w:pPr>
              <w:jc w:val="center"/>
              <w:rPr>
                <w:sz w:val="22"/>
                <w:szCs w:val="22"/>
              </w:rPr>
            </w:pPr>
            <w:r w:rsidRPr="00106E67">
              <w:rPr>
                <w:sz w:val="22"/>
                <w:szCs w:val="22"/>
              </w:rPr>
              <w:t>Consolidated</w:t>
            </w:r>
          </w:p>
        </w:tc>
        <w:tc>
          <w:tcPr>
            <w:tcW w:w="126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5009B566" w14:textId="77777777">
            <w:pPr>
              <w:jc w:val="center"/>
              <w:rPr>
                <w:sz w:val="22"/>
                <w:szCs w:val="22"/>
              </w:rPr>
            </w:pPr>
            <w:r w:rsidRPr="00106E67">
              <w:rPr>
                <w:sz w:val="22"/>
                <w:szCs w:val="22"/>
              </w:rPr>
              <w:t>Reassessed</w:t>
            </w:r>
          </w:p>
        </w:tc>
        <w:tc>
          <w:tcPr>
            <w:tcW w:w="1080" w:type="dxa"/>
            <w:tcBorders>
              <w:top w:val="single" w:sz="4" w:space="0" w:color="auto"/>
              <w:left w:val="nil"/>
              <w:bottom w:val="single" w:sz="4" w:space="0" w:color="auto"/>
              <w:right w:val="double" w:sz="4" w:space="0" w:color="auto"/>
            </w:tcBorders>
            <w:shd w:val="clear" w:color="auto" w:fill="D9D9D9"/>
            <w:vAlign w:val="center"/>
          </w:tcPr>
          <w:p w:rsidR="009A2C37" w:rsidRPr="00106E67" w:rsidP="00977E6D" w14:paraId="1F80E2B2" w14:textId="77777777">
            <w:pPr>
              <w:jc w:val="center"/>
              <w:rPr>
                <w:sz w:val="22"/>
                <w:szCs w:val="22"/>
              </w:rPr>
            </w:pPr>
            <w:r w:rsidRPr="00106E67">
              <w:rPr>
                <w:sz w:val="22"/>
                <w:szCs w:val="22"/>
              </w:rPr>
              <w:t>Ending Balance</w:t>
            </w:r>
          </w:p>
        </w:tc>
      </w:tr>
      <w:tr w14:paraId="01BBFA24" w14:textId="77777777" w:rsidTr="00977E6D">
        <w:tblPrEx>
          <w:tblW w:w="9885" w:type="dxa"/>
          <w:jc w:val="center"/>
          <w:tblLayout w:type="fixed"/>
          <w:tblLook w:val="0000"/>
        </w:tblPrEx>
        <w:trPr>
          <w:trHeight w:val="300"/>
          <w:jc w:val="center"/>
        </w:trPr>
        <w:tc>
          <w:tcPr>
            <w:tcW w:w="2865" w:type="dxa"/>
            <w:tcBorders>
              <w:top w:val="nil"/>
              <w:left w:val="double" w:sz="4" w:space="0" w:color="auto"/>
              <w:bottom w:val="single" w:sz="4" w:space="0" w:color="auto"/>
              <w:right w:val="single" w:sz="4" w:space="0" w:color="auto"/>
            </w:tcBorders>
            <w:noWrap/>
            <w:vAlign w:val="bottom"/>
          </w:tcPr>
          <w:p w:rsidR="009A2C37" w:rsidRPr="00106E67" w:rsidP="00977E6D" w14:paraId="56BBEE6C" w14:textId="77777777">
            <w:pPr>
              <w:rPr>
                <w:sz w:val="22"/>
                <w:szCs w:val="22"/>
              </w:rPr>
            </w:pPr>
          </w:p>
        </w:tc>
        <w:tc>
          <w:tcPr>
            <w:tcW w:w="1170" w:type="dxa"/>
            <w:tcBorders>
              <w:top w:val="nil"/>
              <w:left w:val="nil"/>
              <w:bottom w:val="single" w:sz="4" w:space="0" w:color="auto"/>
              <w:right w:val="single" w:sz="4" w:space="0" w:color="auto"/>
            </w:tcBorders>
            <w:noWrap/>
            <w:vAlign w:val="center"/>
          </w:tcPr>
          <w:p w:rsidR="009A2C37" w:rsidRPr="00106E67" w:rsidP="00977E6D" w14:paraId="02B693D5" w14:textId="77777777">
            <w:pPr>
              <w:jc w:val="center"/>
              <w:rPr>
                <w:sz w:val="22"/>
                <w:szCs w:val="22"/>
              </w:rPr>
            </w:pPr>
            <w:r>
              <w:rPr>
                <w:sz w:val="22"/>
                <w:szCs w:val="22"/>
              </w:rPr>
              <w:t>0</w:t>
            </w:r>
          </w:p>
        </w:tc>
        <w:tc>
          <w:tcPr>
            <w:tcW w:w="900" w:type="dxa"/>
            <w:tcBorders>
              <w:top w:val="nil"/>
              <w:left w:val="nil"/>
              <w:bottom w:val="single" w:sz="4" w:space="0" w:color="auto"/>
              <w:right w:val="single" w:sz="4" w:space="0" w:color="auto"/>
            </w:tcBorders>
            <w:noWrap/>
            <w:vAlign w:val="center"/>
          </w:tcPr>
          <w:p w:rsidR="009A2C37" w:rsidRPr="00106E67" w:rsidP="00977E6D" w14:paraId="315209C1" w14:textId="77777777">
            <w:pPr>
              <w:jc w:val="center"/>
              <w:rPr>
                <w:sz w:val="22"/>
                <w:szCs w:val="22"/>
              </w:rPr>
            </w:pPr>
            <w:r w:rsidRPr="00106E67">
              <w:rPr>
                <w:sz w:val="22"/>
                <w:szCs w:val="22"/>
              </w:rPr>
              <w:t>0</w:t>
            </w:r>
          </w:p>
        </w:tc>
        <w:tc>
          <w:tcPr>
            <w:tcW w:w="1170" w:type="dxa"/>
            <w:tcBorders>
              <w:top w:val="nil"/>
              <w:left w:val="nil"/>
              <w:bottom w:val="single" w:sz="4" w:space="0" w:color="auto"/>
              <w:right w:val="single" w:sz="4" w:space="0" w:color="auto"/>
            </w:tcBorders>
            <w:noWrap/>
            <w:vAlign w:val="center"/>
          </w:tcPr>
          <w:p w:rsidR="009A2C37" w:rsidRPr="00106E67" w:rsidP="00977E6D" w14:paraId="334CED82" w14:textId="77777777">
            <w:pPr>
              <w:jc w:val="center"/>
              <w:rPr>
                <w:sz w:val="22"/>
                <w:szCs w:val="22"/>
              </w:rPr>
            </w:pPr>
            <w:r>
              <w:rPr>
                <w:sz w:val="22"/>
                <w:szCs w:val="22"/>
              </w:rPr>
              <w:t>0</w:t>
            </w:r>
          </w:p>
        </w:tc>
        <w:tc>
          <w:tcPr>
            <w:tcW w:w="1440" w:type="dxa"/>
            <w:tcBorders>
              <w:top w:val="nil"/>
              <w:left w:val="nil"/>
              <w:bottom w:val="single" w:sz="4" w:space="0" w:color="auto"/>
              <w:right w:val="single" w:sz="4" w:space="0" w:color="auto"/>
            </w:tcBorders>
            <w:noWrap/>
            <w:vAlign w:val="center"/>
          </w:tcPr>
          <w:p w:rsidR="009A2C37" w:rsidRPr="00106E67" w:rsidP="00977E6D" w14:paraId="29406E24" w14:textId="77777777">
            <w:pPr>
              <w:jc w:val="center"/>
              <w:rPr>
                <w:sz w:val="22"/>
                <w:szCs w:val="22"/>
              </w:rPr>
            </w:pPr>
            <w:r w:rsidRPr="00106E67">
              <w:rPr>
                <w:sz w:val="22"/>
                <w:szCs w:val="22"/>
              </w:rPr>
              <w:t>0</w:t>
            </w:r>
          </w:p>
        </w:tc>
        <w:tc>
          <w:tcPr>
            <w:tcW w:w="1260" w:type="dxa"/>
            <w:tcBorders>
              <w:top w:val="nil"/>
              <w:left w:val="nil"/>
              <w:bottom w:val="single" w:sz="4" w:space="0" w:color="auto"/>
              <w:right w:val="single" w:sz="4" w:space="0" w:color="auto"/>
            </w:tcBorders>
            <w:noWrap/>
            <w:vAlign w:val="center"/>
          </w:tcPr>
          <w:p w:rsidR="009A2C37" w:rsidRPr="00106E67" w:rsidP="00977E6D" w14:paraId="27CE33B8" w14:textId="77777777">
            <w:pPr>
              <w:jc w:val="center"/>
              <w:rPr>
                <w:sz w:val="22"/>
                <w:szCs w:val="22"/>
              </w:rPr>
            </w:pPr>
            <w:r w:rsidRPr="00106E67">
              <w:rPr>
                <w:sz w:val="22"/>
                <w:szCs w:val="22"/>
              </w:rPr>
              <w:t>0</w:t>
            </w:r>
          </w:p>
        </w:tc>
        <w:tc>
          <w:tcPr>
            <w:tcW w:w="1080" w:type="dxa"/>
            <w:tcBorders>
              <w:top w:val="nil"/>
              <w:left w:val="nil"/>
              <w:bottom w:val="single" w:sz="4" w:space="0" w:color="auto"/>
              <w:right w:val="double" w:sz="4" w:space="0" w:color="auto"/>
            </w:tcBorders>
            <w:noWrap/>
            <w:vAlign w:val="center"/>
          </w:tcPr>
          <w:p w:rsidR="009A2C37" w:rsidRPr="00106E67" w:rsidP="00977E6D" w14:paraId="2CA2EF1D" w14:textId="77777777">
            <w:pPr>
              <w:jc w:val="center"/>
              <w:rPr>
                <w:sz w:val="22"/>
                <w:szCs w:val="22"/>
              </w:rPr>
            </w:pPr>
            <w:r w:rsidRPr="00106E67">
              <w:rPr>
                <w:sz w:val="22"/>
                <w:szCs w:val="22"/>
              </w:rPr>
              <w:t>0</w:t>
            </w:r>
          </w:p>
        </w:tc>
      </w:tr>
      <w:tr w14:paraId="3466BC67" w14:textId="77777777" w:rsidTr="00977E6D">
        <w:tblPrEx>
          <w:tblW w:w="9885" w:type="dxa"/>
          <w:jc w:val="center"/>
          <w:tblLayout w:type="fixed"/>
          <w:tblLook w:val="0000"/>
        </w:tblPrEx>
        <w:trPr>
          <w:trHeight w:val="330"/>
          <w:jc w:val="center"/>
        </w:trPr>
        <w:tc>
          <w:tcPr>
            <w:tcW w:w="2865" w:type="dxa"/>
            <w:tcBorders>
              <w:top w:val="double" w:sz="4" w:space="0" w:color="auto"/>
              <w:left w:val="double" w:sz="4" w:space="0" w:color="auto"/>
              <w:bottom w:val="double" w:sz="4" w:space="0" w:color="auto"/>
              <w:right w:val="single" w:sz="4" w:space="0" w:color="auto"/>
            </w:tcBorders>
            <w:shd w:val="clear" w:color="auto" w:fill="BFBFBF"/>
            <w:noWrap/>
            <w:vAlign w:val="center"/>
          </w:tcPr>
          <w:p w:rsidR="009A2C37" w:rsidRPr="00106E67" w:rsidP="00977E6D" w14:paraId="2377D8F3" w14:textId="77777777">
            <w:pPr>
              <w:rPr>
                <w:b/>
                <w:iCs/>
                <w:sz w:val="22"/>
                <w:szCs w:val="22"/>
              </w:rPr>
            </w:pPr>
            <w:r w:rsidRPr="00106E67">
              <w:rPr>
                <w:b/>
                <w:iCs/>
                <w:sz w:val="22"/>
                <w:szCs w:val="22"/>
              </w:rPr>
              <w:t>Total Material Weaknesses</w:t>
            </w:r>
          </w:p>
        </w:tc>
        <w:tc>
          <w:tcPr>
            <w:tcW w:w="117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47CA99A7" w14:textId="77777777">
            <w:pPr>
              <w:jc w:val="center"/>
              <w:rPr>
                <w:b/>
                <w:sz w:val="22"/>
                <w:szCs w:val="22"/>
              </w:rPr>
            </w:pPr>
            <w:r>
              <w:rPr>
                <w:b/>
                <w:sz w:val="22"/>
                <w:szCs w:val="22"/>
              </w:rPr>
              <w:t>0</w:t>
            </w:r>
          </w:p>
        </w:tc>
        <w:tc>
          <w:tcPr>
            <w:tcW w:w="90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42756F10" w14:textId="77777777">
            <w:pPr>
              <w:jc w:val="center"/>
              <w:rPr>
                <w:b/>
                <w:sz w:val="22"/>
                <w:szCs w:val="22"/>
              </w:rPr>
            </w:pPr>
            <w:r w:rsidRPr="00106E67">
              <w:rPr>
                <w:b/>
                <w:sz w:val="22"/>
                <w:szCs w:val="22"/>
              </w:rPr>
              <w:t>0</w:t>
            </w:r>
          </w:p>
        </w:tc>
        <w:tc>
          <w:tcPr>
            <w:tcW w:w="117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2E329906" w14:textId="77777777">
            <w:pPr>
              <w:jc w:val="center"/>
              <w:rPr>
                <w:b/>
                <w:sz w:val="22"/>
                <w:szCs w:val="22"/>
              </w:rPr>
            </w:pPr>
            <w:r>
              <w:rPr>
                <w:b/>
                <w:sz w:val="22"/>
                <w:szCs w:val="22"/>
              </w:rPr>
              <w:t>0</w:t>
            </w:r>
          </w:p>
        </w:tc>
        <w:tc>
          <w:tcPr>
            <w:tcW w:w="144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66253758" w14:textId="77777777">
            <w:pPr>
              <w:jc w:val="center"/>
              <w:rPr>
                <w:b/>
                <w:sz w:val="22"/>
                <w:szCs w:val="22"/>
              </w:rPr>
            </w:pPr>
            <w:r w:rsidRPr="00106E67">
              <w:rPr>
                <w:b/>
                <w:sz w:val="22"/>
                <w:szCs w:val="22"/>
              </w:rPr>
              <w:t>0</w:t>
            </w:r>
          </w:p>
        </w:tc>
        <w:tc>
          <w:tcPr>
            <w:tcW w:w="126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3CC925B4" w14:textId="77777777">
            <w:pPr>
              <w:jc w:val="center"/>
              <w:rPr>
                <w:b/>
                <w:sz w:val="22"/>
                <w:szCs w:val="22"/>
              </w:rPr>
            </w:pPr>
            <w:r w:rsidRPr="00106E67">
              <w:rPr>
                <w:b/>
                <w:sz w:val="22"/>
                <w:szCs w:val="22"/>
              </w:rPr>
              <w:t>0</w:t>
            </w:r>
          </w:p>
        </w:tc>
        <w:tc>
          <w:tcPr>
            <w:tcW w:w="1080" w:type="dxa"/>
            <w:tcBorders>
              <w:top w:val="double" w:sz="4" w:space="0" w:color="auto"/>
              <w:left w:val="nil"/>
              <w:bottom w:val="double" w:sz="4" w:space="0" w:color="auto"/>
              <w:right w:val="double" w:sz="4" w:space="0" w:color="auto"/>
            </w:tcBorders>
            <w:shd w:val="clear" w:color="auto" w:fill="BFBFBF"/>
            <w:noWrap/>
            <w:vAlign w:val="center"/>
          </w:tcPr>
          <w:p w:rsidR="009A2C37" w:rsidRPr="00106E67" w:rsidP="00977E6D" w14:paraId="0BB8321A" w14:textId="77777777">
            <w:pPr>
              <w:jc w:val="center"/>
              <w:rPr>
                <w:b/>
                <w:sz w:val="22"/>
                <w:szCs w:val="22"/>
              </w:rPr>
            </w:pPr>
            <w:r w:rsidRPr="00106E67">
              <w:rPr>
                <w:b/>
                <w:sz w:val="22"/>
                <w:szCs w:val="22"/>
              </w:rPr>
              <w:t>0</w:t>
            </w:r>
          </w:p>
        </w:tc>
      </w:tr>
      <w:tr w14:paraId="6891D7AE" w14:textId="77777777" w:rsidTr="00977E6D">
        <w:tblPrEx>
          <w:tblW w:w="9885" w:type="dxa"/>
          <w:jc w:val="center"/>
          <w:tblLayout w:type="fixed"/>
          <w:tblLook w:val="0000"/>
        </w:tblPrEx>
        <w:trPr>
          <w:trHeight w:val="255"/>
          <w:jc w:val="center"/>
        </w:trPr>
        <w:tc>
          <w:tcPr>
            <w:tcW w:w="9885" w:type="dxa"/>
            <w:gridSpan w:val="7"/>
            <w:tcBorders>
              <w:top w:val="double" w:sz="4" w:space="0" w:color="auto"/>
              <w:left w:val="nil"/>
              <w:bottom w:val="double" w:sz="4" w:space="0" w:color="auto"/>
              <w:right w:val="nil"/>
            </w:tcBorders>
            <w:noWrap/>
            <w:vAlign w:val="bottom"/>
          </w:tcPr>
          <w:p w:rsidR="009A2C37" w:rsidRPr="00106E67" w:rsidP="00977E6D" w14:paraId="645694A8" w14:textId="77777777">
            <w:pPr>
              <w:rPr>
                <w:sz w:val="22"/>
                <w:szCs w:val="22"/>
              </w:rPr>
            </w:pPr>
            <w:r w:rsidRPr="00106E67">
              <w:rPr>
                <w:sz w:val="22"/>
                <w:szCs w:val="22"/>
              </w:rPr>
              <w:t>  </w:t>
            </w:r>
          </w:p>
        </w:tc>
      </w:tr>
      <w:tr w14:paraId="737D3444" w14:textId="77777777" w:rsidTr="00977E6D">
        <w:tblPrEx>
          <w:tblW w:w="9885" w:type="dxa"/>
          <w:jc w:val="center"/>
          <w:tblLayout w:type="fixed"/>
          <w:tblLook w:val="0000"/>
        </w:tblPrEx>
        <w:trPr>
          <w:trHeight w:val="285"/>
          <w:jc w:val="center"/>
        </w:trPr>
        <w:tc>
          <w:tcPr>
            <w:tcW w:w="9885" w:type="dxa"/>
            <w:gridSpan w:val="7"/>
            <w:tcBorders>
              <w:top w:val="single" w:sz="4" w:space="0" w:color="auto"/>
              <w:left w:val="double" w:sz="4" w:space="0" w:color="auto"/>
              <w:bottom w:val="double" w:sz="4" w:space="0" w:color="auto"/>
              <w:right w:val="double" w:sz="4" w:space="0" w:color="auto"/>
            </w:tcBorders>
            <w:shd w:val="clear" w:color="auto" w:fill="B4C6E7"/>
            <w:noWrap/>
            <w:vAlign w:val="bottom"/>
          </w:tcPr>
          <w:p w:rsidR="009A2C37" w:rsidRPr="00106E67" w:rsidP="00977E6D" w14:paraId="3E0C2892" w14:textId="77777777">
            <w:pPr>
              <w:jc w:val="center"/>
              <w:rPr>
                <w:b/>
                <w:bCs/>
                <w:sz w:val="22"/>
                <w:szCs w:val="22"/>
              </w:rPr>
            </w:pPr>
            <w:r w:rsidRPr="00106E67">
              <w:rPr>
                <w:b/>
                <w:bCs/>
                <w:sz w:val="22"/>
                <w:szCs w:val="22"/>
              </w:rPr>
              <w:t>Effectiveness of Internal Control over Operations (FMFIA § 2)</w:t>
            </w:r>
          </w:p>
        </w:tc>
      </w:tr>
      <w:tr w14:paraId="1C341A54" w14:textId="77777777" w:rsidTr="00977E6D">
        <w:tblPrEx>
          <w:tblW w:w="9885" w:type="dxa"/>
          <w:jc w:val="center"/>
          <w:tblLayout w:type="fixed"/>
          <w:tblLook w:val="0000"/>
        </w:tblPrEx>
        <w:trPr>
          <w:trHeight w:val="300"/>
          <w:jc w:val="center"/>
        </w:trPr>
        <w:tc>
          <w:tcPr>
            <w:tcW w:w="2865" w:type="dxa"/>
            <w:tcBorders>
              <w:top w:val="double" w:sz="4" w:space="0" w:color="auto"/>
              <w:left w:val="double" w:sz="4" w:space="0" w:color="auto"/>
              <w:bottom w:val="single" w:sz="4" w:space="0" w:color="auto"/>
              <w:right w:val="single" w:sz="4" w:space="0" w:color="auto"/>
            </w:tcBorders>
            <w:noWrap/>
            <w:vAlign w:val="bottom"/>
          </w:tcPr>
          <w:p w:rsidR="009A2C37" w:rsidRPr="00106E67" w:rsidP="00977E6D" w14:paraId="254AFCA1" w14:textId="77777777">
            <w:pPr>
              <w:rPr>
                <w:sz w:val="22"/>
                <w:szCs w:val="22"/>
              </w:rPr>
            </w:pPr>
            <w:r w:rsidRPr="00106E67">
              <w:rPr>
                <w:sz w:val="22"/>
                <w:szCs w:val="22"/>
              </w:rPr>
              <w:t>Statement of Assurance</w:t>
            </w:r>
          </w:p>
        </w:tc>
        <w:tc>
          <w:tcPr>
            <w:tcW w:w="7020" w:type="dxa"/>
            <w:gridSpan w:val="6"/>
            <w:tcBorders>
              <w:top w:val="double" w:sz="4" w:space="0" w:color="auto"/>
              <w:left w:val="nil"/>
              <w:bottom w:val="single" w:sz="4" w:space="0" w:color="auto"/>
              <w:right w:val="double" w:sz="4" w:space="0" w:color="auto"/>
            </w:tcBorders>
            <w:noWrap/>
            <w:vAlign w:val="bottom"/>
          </w:tcPr>
          <w:p w:rsidR="009A2C37" w:rsidRPr="00106E67" w:rsidP="00977E6D" w14:paraId="48CA83EE" w14:textId="77777777">
            <w:pPr>
              <w:jc w:val="center"/>
              <w:rPr>
                <w:sz w:val="22"/>
                <w:szCs w:val="22"/>
              </w:rPr>
            </w:pPr>
            <w:bookmarkStart w:id="180" w:name="_Hlk22629654"/>
            <w:r w:rsidRPr="00106E67">
              <w:rPr>
                <w:sz w:val="22"/>
                <w:szCs w:val="22"/>
              </w:rPr>
              <w:t>Unmodified</w:t>
            </w:r>
            <w:bookmarkEnd w:id="180"/>
          </w:p>
        </w:tc>
      </w:tr>
      <w:tr w14:paraId="38C574C1" w14:textId="77777777" w:rsidTr="00977E6D">
        <w:tblPrEx>
          <w:tblW w:w="9885" w:type="dxa"/>
          <w:jc w:val="center"/>
          <w:tblLayout w:type="fixed"/>
          <w:tblLook w:val="0000"/>
        </w:tblPrEx>
        <w:trPr>
          <w:trHeight w:val="170"/>
          <w:jc w:val="center"/>
        </w:trPr>
        <w:tc>
          <w:tcPr>
            <w:tcW w:w="9885" w:type="dxa"/>
            <w:gridSpan w:val="7"/>
            <w:tcBorders>
              <w:top w:val="single" w:sz="4" w:space="0" w:color="auto"/>
              <w:left w:val="double" w:sz="4" w:space="0" w:color="auto"/>
              <w:bottom w:val="single" w:sz="4" w:space="0" w:color="auto"/>
              <w:right w:val="double" w:sz="4" w:space="0" w:color="auto"/>
            </w:tcBorders>
            <w:noWrap/>
            <w:vAlign w:val="bottom"/>
          </w:tcPr>
          <w:p w:rsidR="009A2C37" w:rsidRPr="00106E67" w:rsidP="00977E6D" w14:paraId="15E2CC54" w14:textId="77777777">
            <w:pPr>
              <w:jc w:val="center"/>
              <w:rPr>
                <w:sz w:val="22"/>
                <w:szCs w:val="22"/>
              </w:rPr>
            </w:pPr>
          </w:p>
        </w:tc>
      </w:tr>
      <w:tr w14:paraId="27090F57" w14:textId="77777777" w:rsidTr="00977E6D">
        <w:tblPrEx>
          <w:tblW w:w="9885" w:type="dxa"/>
          <w:jc w:val="center"/>
          <w:tblLayout w:type="fixed"/>
          <w:tblLook w:val="0000"/>
        </w:tblPrEx>
        <w:trPr>
          <w:trHeight w:val="600"/>
          <w:jc w:val="center"/>
        </w:trPr>
        <w:tc>
          <w:tcPr>
            <w:tcW w:w="2865" w:type="dxa"/>
            <w:tcBorders>
              <w:top w:val="single" w:sz="4" w:space="0" w:color="auto"/>
              <w:left w:val="double" w:sz="4" w:space="0" w:color="auto"/>
              <w:bottom w:val="single" w:sz="4" w:space="0" w:color="auto"/>
              <w:right w:val="single" w:sz="4" w:space="0" w:color="auto"/>
            </w:tcBorders>
            <w:shd w:val="clear" w:color="auto" w:fill="D9D9D9"/>
            <w:noWrap/>
            <w:vAlign w:val="center"/>
          </w:tcPr>
          <w:p w:rsidR="009A2C37" w:rsidRPr="00106E67" w:rsidP="00977E6D" w14:paraId="0A1CD979" w14:textId="77777777">
            <w:pPr>
              <w:rPr>
                <w:sz w:val="22"/>
                <w:szCs w:val="22"/>
              </w:rPr>
            </w:pPr>
            <w:r w:rsidRPr="00106E67">
              <w:rPr>
                <w:sz w:val="22"/>
                <w:szCs w:val="22"/>
              </w:rPr>
              <w:t>Material Weaknesses</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0FCFA3C4" w14:textId="77777777">
            <w:pPr>
              <w:jc w:val="center"/>
              <w:rPr>
                <w:sz w:val="22"/>
                <w:szCs w:val="22"/>
              </w:rPr>
            </w:pPr>
            <w:r w:rsidRPr="00106E67">
              <w:rPr>
                <w:sz w:val="22"/>
                <w:szCs w:val="22"/>
              </w:rPr>
              <w:t>Beginning Balance</w:t>
            </w:r>
          </w:p>
        </w:tc>
        <w:tc>
          <w:tcPr>
            <w:tcW w:w="90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2BCA6182" w14:textId="77777777">
            <w:pPr>
              <w:jc w:val="center"/>
              <w:rPr>
                <w:sz w:val="22"/>
                <w:szCs w:val="22"/>
              </w:rPr>
            </w:pPr>
            <w:r w:rsidRPr="00106E67">
              <w:rPr>
                <w:sz w:val="22"/>
                <w:szCs w:val="22"/>
              </w:rPr>
              <w:t>New</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0E0B80C3" w14:textId="77777777">
            <w:pPr>
              <w:jc w:val="center"/>
              <w:rPr>
                <w:sz w:val="22"/>
                <w:szCs w:val="22"/>
              </w:rPr>
            </w:pPr>
            <w:r w:rsidRPr="00106E67">
              <w:rPr>
                <w:sz w:val="22"/>
                <w:szCs w:val="22"/>
              </w:rPr>
              <w:t>Resolved</w:t>
            </w:r>
          </w:p>
        </w:tc>
        <w:tc>
          <w:tcPr>
            <w:tcW w:w="144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6A5765B8" w14:textId="77777777">
            <w:pPr>
              <w:jc w:val="center"/>
              <w:rPr>
                <w:sz w:val="22"/>
                <w:szCs w:val="22"/>
              </w:rPr>
            </w:pPr>
            <w:r w:rsidRPr="00106E67">
              <w:rPr>
                <w:sz w:val="22"/>
                <w:szCs w:val="22"/>
              </w:rPr>
              <w:t>Consolidated</w:t>
            </w:r>
          </w:p>
        </w:tc>
        <w:tc>
          <w:tcPr>
            <w:tcW w:w="126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35E63C7B" w14:textId="77777777">
            <w:pPr>
              <w:jc w:val="center"/>
              <w:rPr>
                <w:sz w:val="22"/>
                <w:szCs w:val="22"/>
              </w:rPr>
            </w:pPr>
            <w:r w:rsidRPr="00106E67">
              <w:rPr>
                <w:sz w:val="22"/>
                <w:szCs w:val="22"/>
              </w:rPr>
              <w:t>Reassessed</w:t>
            </w:r>
          </w:p>
        </w:tc>
        <w:tc>
          <w:tcPr>
            <w:tcW w:w="1080" w:type="dxa"/>
            <w:tcBorders>
              <w:top w:val="single" w:sz="4" w:space="0" w:color="auto"/>
              <w:left w:val="nil"/>
              <w:bottom w:val="single" w:sz="4" w:space="0" w:color="auto"/>
              <w:right w:val="double" w:sz="4" w:space="0" w:color="auto"/>
            </w:tcBorders>
            <w:shd w:val="clear" w:color="auto" w:fill="D9D9D9"/>
            <w:vAlign w:val="center"/>
          </w:tcPr>
          <w:p w:rsidR="009A2C37" w:rsidRPr="00106E67" w:rsidP="00977E6D" w14:paraId="5CAAFF17" w14:textId="77777777">
            <w:pPr>
              <w:jc w:val="center"/>
              <w:rPr>
                <w:sz w:val="22"/>
                <w:szCs w:val="22"/>
              </w:rPr>
            </w:pPr>
            <w:r w:rsidRPr="00106E67">
              <w:rPr>
                <w:sz w:val="22"/>
                <w:szCs w:val="22"/>
              </w:rPr>
              <w:t>Ending Balance</w:t>
            </w:r>
          </w:p>
        </w:tc>
      </w:tr>
      <w:tr w14:paraId="0E8A7A24" w14:textId="77777777" w:rsidTr="00977E6D">
        <w:tblPrEx>
          <w:tblW w:w="9885" w:type="dxa"/>
          <w:jc w:val="center"/>
          <w:tblLayout w:type="fixed"/>
          <w:tblLook w:val="0000"/>
        </w:tblPrEx>
        <w:trPr>
          <w:trHeight w:val="300"/>
          <w:jc w:val="center"/>
        </w:trPr>
        <w:tc>
          <w:tcPr>
            <w:tcW w:w="2865" w:type="dxa"/>
            <w:tcBorders>
              <w:top w:val="nil"/>
              <w:left w:val="double" w:sz="4" w:space="0" w:color="auto"/>
              <w:bottom w:val="double" w:sz="4" w:space="0" w:color="auto"/>
              <w:right w:val="single" w:sz="4" w:space="0" w:color="auto"/>
            </w:tcBorders>
            <w:noWrap/>
            <w:vAlign w:val="bottom"/>
          </w:tcPr>
          <w:p w:rsidR="009A2C37" w:rsidRPr="00106E67" w:rsidP="00977E6D" w14:paraId="219E4B5B" w14:textId="77777777">
            <w:pPr>
              <w:rPr>
                <w:sz w:val="22"/>
                <w:szCs w:val="22"/>
              </w:rPr>
            </w:pPr>
          </w:p>
        </w:tc>
        <w:tc>
          <w:tcPr>
            <w:tcW w:w="1170" w:type="dxa"/>
            <w:tcBorders>
              <w:top w:val="nil"/>
              <w:left w:val="nil"/>
              <w:bottom w:val="double" w:sz="4" w:space="0" w:color="auto"/>
              <w:right w:val="single" w:sz="4" w:space="0" w:color="auto"/>
            </w:tcBorders>
            <w:noWrap/>
            <w:vAlign w:val="center"/>
          </w:tcPr>
          <w:p w:rsidR="009A2C37" w:rsidRPr="00106E67" w:rsidP="00977E6D" w14:paraId="50BDB83A" w14:textId="77777777">
            <w:pPr>
              <w:jc w:val="center"/>
              <w:rPr>
                <w:sz w:val="22"/>
                <w:szCs w:val="22"/>
              </w:rPr>
            </w:pPr>
            <w:r w:rsidRPr="00106E67">
              <w:rPr>
                <w:sz w:val="22"/>
                <w:szCs w:val="22"/>
              </w:rPr>
              <w:t>0</w:t>
            </w:r>
          </w:p>
        </w:tc>
        <w:tc>
          <w:tcPr>
            <w:tcW w:w="900" w:type="dxa"/>
            <w:tcBorders>
              <w:top w:val="nil"/>
              <w:left w:val="nil"/>
              <w:bottom w:val="double" w:sz="4" w:space="0" w:color="auto"/>
              <w:right w:val="single" w:sz="4" w:space="0" w:color="auto"/>
            </w:tcBorders>
            <w:noWrap/>
            <w:vAlign w:val="center"/>
          </w:tcPr>
          <w:p w:rsidR="009A2C37" w:rsidRPr="00106E67" w:rsidP="00977E6D" w14:paraId="19515E91" w14:textId="77777777">
            <w:pPr>
              <w:jc w:val="center"/>
              <w:rPr>
                <w:sz w:val="22"/>
                <w:szCs w:val="22"/>
              </w:rPr>
            </w:pPr>
            <w:r w:rsidRPr="00106E67">
              <w:rPr>
                <w:sz w:val="22"/>
                <w:szCs w:val="22"/>
              </w:rPr>
              <w:t>0</w:t>
            </w:r>
          </w:p>
        </w:tc>
        <w:tc>
          <w:tcPr>
            <w:tcW w:w="1170" w:type="dxa"/>
            <w:tcBorders>
              <w:top w:val="nil"/>
              <w:left w:val="nil"/>
              <w:bottom w:val="double" w:sz="4" w:space="0" w:color="auto"/>
              <w:right w:val="single" w:sz="4" w:space="0" w:color="auto"/>
            </w:tcBorders>
            <w:noWrap/>
            <w:vAlign w:val="center"/>
          </w:tcPr>
          <w:p w:rsidR="009A2C37" w:rsidRPr="00106E67" w:rsidP="00977E6D" w14:paraId="61A59DD1" w14:textId="77777777">
            <w:pPr>
              <w:jc w:val="center"/>
              <w:rPr>
                <w:sz w:val="22"/>
                <w:szCs w:val="22"/>
              </w:rPr>
            </w:pPr>
            <w:r w:rsidRPr="00106E67">
              <w:rPr>
                <w:sz w:val="22"/>
                <w:szCs w:val="22"/>
              </w:rPr>
              <w:t>0</w:t>
            </w:r>
          </w:p>
        </w:tc>
        <w:tc>
          <w:tcPr>
            <w:tcW w:w="1440" w:type="dxa"/>
            <w:tcBorders>
              <w:top w:val="nil"/>
              <w:left w:val="nil"/>
              <w:bottom w:val="double" w:sz="4" w:space="0" w:color="auto"/>
              <w:right w:val="single" w:sz="4" w:space="0" w:color="auto"/>
            </w:tcBorders>
            <w:noWrap/>
            <w:vAlign w:val="center"/>
          </w:tcPr>
          <w:p w:rsidR="009A2C37" w:rsidRPr="00106E67" w:rsidP="00977E6D" w14:paraId="29A43D29" w14:textId="77777777">
            <w:pPr>
              <w:jc w:val="center"/>
              <w:rPr>
                <w:sz w:val="22"/>
                <w:szCs w:val="22"/>
              </w:rPr>
            </w:pPr>
            <w:r w:rsidRPr="00106E67">
              <w:rPr>
                <w:sz w:val="22"/>
                <w:szCs w:val="22"/>
              </w:rPr>
              <w:t>0</w:t>
            </w:r>
          </w:p>
        </w:tc>
        <w:tc>
          <w:tcPr>
            <w:tcW w:w="1260" w:type="dxa"/>
            <w:tcBorders>
              <w:top w:val="nil"/>
              <w:left w:val="nil"/>
              <w:bottom w:val="double" w:sz="4" w:space="0" w:color="auto"/>
              <w:right w:val="single" w:sz="4" w:space="0" w:color="auto"/>
            </w:tcBorders>
            <w:noWrap/>
            <w:vAlign w:val="center"/>
          </w:tcPr>
          <w:p w:rsidR="009A2C37" w:rsidRPr="00106E67" w:rsidP="00977E6D" w14:paraId="1CCB0665" w14:textId="77777777">
            <w:pPr>
              <w:jc w:val="center"/>
              <w:rPr>
                <w:sz w:val="22"/>
                <w:szCs w:val="22"/>
              </w:rPr>
            </w:pPr>
            <w:r w:rsidRPr="00106E67">
              <w:rPr>
                <w:sz w:val="22"/>
                <w:szCs w:val="22"/>
              </w:rPr>
              <w:t>0</w:t>
            </w:r>
          </w:p>
        </w:tc>
        <w:tc>
          <w:tcPr>
            <w:tcW w:w="1080" w:type="dxa"/>
            <w:tcBorders>
              <w:top w:val="nil"/>
              <w:left w:val="nil"/>
              <w:bottom w:val="double" w:sz="4" w:space="0" w:color="auto"/>
              <w:right w:val="double" w:sz="4" w:space="0" w:color="auto"/>
            </w:tcBorders>
            <w:noWrap/>
            <w:vAlign w:val="center"/>
          </w:tcPr>
          <w:p w:rsidR="009A2C37" w:rsidRPr="00106E67" w:rsidP="00977E6D" w14:paraId="33C10285" w14:textId="77777777">
            <w:pPr>
              <w:jc w:val="center"/>
              <w:rPr>
                <w:sz w:val="22"/>
                <w:szCs w:val="22"/>
              </w:rPr>
            </w:pPr>
            <w:r w:rsidRPr="00106E67">
              <w:rPr>
                <w:sz w:val="22"/>
                <w:szCs w:val="22"/>
              </w:rPr>
              <w:t>0</w:t>
            </w:r>
          </w:p>
        </w:tc>
      </w:tr>
      <w:tr w14:paraId="6AD8D906" w14:textId="77777777" w:rsidTr="00977E6D">
        <w:tblPrEx>
          <w:tblW w:w="9885" w:type="dxa"/>
          <w:jc w:val="center"/>
          <w:tblLayout w:type="fixed"/>
          <w:tblLook w:val="0000"/>
        </w:tblPrEx>
        <w:trPr>
          <w:trHeight w:val="294"/>
          <w:jc w:val="center"/>
        </w:trPr>
        <w:tc>
          <w:tcPr>
            <w:tcW w:w="2865" w:type="dxa"/>
            <w:tcBorders>
              <w:top w:val="double" w:sz="4" w:space="0" w:color="auto"/>
              <w:left w:val="double" w:sz="4" w:space="0" w:color="auto"/>
              <w:bottom w:val="double" w:sz="4" w:space="0" w:color="auto"/>
              <w:right w:val="single" w:sz="4" w:space="0" w:color="auto"/>
            </w:tcBorders>
            <w:shd w:val="clear" w:color="auto" w:fill="BFBFBF"/>
            <w:noWrap/>
            <w:vAlign w:val="center"/>
          </w:tcPr>
          <w:p w:rsidR="009A2C37" w:rsidRPr="00106E67" w:rsidP="00977E6D" w14:paraId="717C780A" w14:textId="77777777">
            <w:pPr>
              <w:rPr>
                <w:b/>
                <w:iCs/>
                <w:sz w:val="22"/>
                <w:szCs w:val="22"/>
              </w:rPr>
            </w:pPr>
            <w:r w:rsidRPr="00106E67">
              <w:rPr>
                <w:b/>
                <w:iCs/>
                <w:sz w:val="22"/>
                <w:szCs w:val="22"/>
              </w:rPr>
              <w:t>Total Material Weaknesses</w:t>
            </w:r>
          </w:p>
        </w:tc>
        <w:tc>
          <w:tcPr>
            <w:tcW w:w="117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4F1603FB" w14:textId="77777777">
            <w:pPr>
              <w:jc w:val="center"/>
              <w:rPr>
                <w:b/>
                <w:sz w:val="22"/>
                <w:szCs w:val="22"/>
              </w:rPr>
            </w:pPr>
            <w:r w:rsidRPr="00106E67">
              <w:rPr>
                <w:b/>
                <w:sz w:val="22"/>
                <w:szCs w:val="22"/>
              </w:rPr>
              <w:t>0</w:t>
            </w:r>
          </w:p>
        </w:tc>
        <w:tc>
          <w:tcPr>
            <w:tcW w:w="90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1AA380D6" w14:textId="77777777">
            <w:pPr>
              <w:jc w:val="center"/>
              <w:rPr>
                <w:b/>
                <w:sz w:val="22"/>
                <w:szCs w:val="22"/>
              </w:rPr>
            </w:pPr>
            <w:r w:rsidRPr="00106E67">
              <w:rPr>
                <w:b/>
                <w:sz w:val="22"/>
                <w:szCs w:val="22"/>
              </w:rPr>
              <w:t>0</w:t>
            </w:r>
          </w:p>
        </w:tc>
        <w:tc>
          <w:tcPr>
            <w:tcW w:w="117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0D92649E" w14:textId="77777777">
            <w:pPr>
              <w:jc w:val="center"/>
              <w:rPr>
                <w:b/>
                <w:sz w:val="22"/>
                <w:szCs w:val="22"/>
              </w:rPr>
            </w:pPr>
            <w:r w:rsidRPr="00106E67">
              <w:rPr>
                <w:b/>
                <w:sz w:val="22"/>
                <w:szCs w:val="22"/>
              </w:rPr>
              <w:t>0</w:t>
            </w:r>
          </w:p>
        </w:tc>
        <w:tc>
          <w:tcPr>
            <w:tcW w:w="144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442AB0D4" w14:textId="77777777">
            <w:pPr>
              <w:jc w:val="center"/>
              <w:rPr>
                <w:b/>
                <w:sz w:val="22"/>
                <w:szCs w:val="22"/>
              </w:rPr>
            </w:pPr>
            <w:r w:rsidRPr="00106E67">
              <w:rPr>
                <w:b/>
                <w:sz w:val="22"/>
                <w:szCs w:val="22"/>
              </w:rPr>
              <w:t>0</w:t>
            </w:r>
          </w:p>
        </w:tc>
        <w:tc>
          <w:tcPr>
            <w:tcW w:w="126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34CE8E08" w14:textId="77777777">
            <w:pPr>
              <w:jc w:val="center"/>
              <w:rPr>
                <w:b/>
                <w:sz w:val="22"/>
                <w:szCs w:val="22"/>
              </w:rPr>
            </w:pPr>
            <w:r w:rsidRPr="00106E67">
              <w:rPr>
                <w:b/>
                <w:sz w:val="22"/>
                <w:szCs w:val="22"/>
              </w:rPr>
              <w:t>0</w:t>
            </w:r>
          </w:p>
        </w:tc>
        <w:tc>
          <w:tcPr>
            <w:tcW w:w="1080" w:type="dxa"/>
            <w:tcBorders>
              <w:top w:val="double" w:sz="4" w:space="0" w:color="auto"/>
              <w:left w:val="nil"/>
              <w:bottom w:val="double" w:sz="4" w:space="0" w:color="auto"/>
              <w:right w:val="double" w:sz="4" w:space="0" w:color="auto"/>
            </w:tcBorders>
            <w:shd w:val="clear" w:color="auto" w:fill="BFBFBF"/>
            <w:noWrap/>
            <w:vAlign w:val="center"/>
          </w:tcPr>
          <w:p w:rsidR="009A2C37" w:rsidRPr="00106E67" w:rsidP="00977E6D" w14:paraId="732B9AA6" w14:textId="77777777">
            <w:pPr>
              <w:jc w:val="center"/>
              <w:rPr>
                <w:b/>
                <w:sz w:val="22"/>
                <w:szCs w:val="22"/>
              </w:rPr>
            </w:pPr>
            <w:r w:rsidRPr="00106E67">
              <w:rPr>
                <w:b/>
                <w:sz w:val="22"/>
                <w:szCs w:val="22"/>
              </w:rPr>
              <w:t>0</w:t>
            </w:r>
          </w:p>
        </w:tc>
      </w:tr>
    </w:tbl>
    <w:p w:rsidR="009A2C37" w:rsidRPr="00476AD6" w:rsidP="009A2C37" w14:paraId="1C0AABCD" w14:textId="77777777">
      <w:pPr>
        <w:jc w:val="both"/>
        <w:rPr>
          <w:sz w:val="22"/>
          <w:szCs w:val="22"/>
          <w:highlight w:val="yellow"/>
        </w:rPr>
      </w:pPr>
    </w:p>
    <w:tbl>
      <w:tblPr>
        <w:tblW w:w="9885" w:type="dxa"/>
        <w:jc w:val="center"/>
        <w:tblLayout w:type="fixed"/>
        <w:tblLook w:val="0000"/>
      </w:tblPr>
      <w:tblGrid>
        <w:gridCol w:w="2865"/>
        <w:gridCol w:w="1170"/>
        <w:gridCol w:w="990"/>
        <w:gridCol w:w="1080"/>
        <w:gridCol w:w="1440"/>
        <w:gridCol w:w="1260"/>
        <w:gridCol w:w="1080"/>
      </w:tblGrid>
      <w:tr w14:paraId="6583DD6E" w14:textId="77777777" w:rsidTr="00977E6D">
        <w:tblPrEx>
          <w:tblW w:w="9885" w:type="dxa"/>
          <w:jc w:val="center"/>
          <w:tblLayout w:type="fixed"/>
          <w:tblLook w:val="0000"/>
        </w:tblPrEx>
        <w:trPr>
          <w:trHeight w:val="285"/>
          <w:jc w:val="center"/>
        </w:trPr>
        <w:tc>
          <w:tcPr>
            <w:tcW w:w="9885" w:type="dxa"/>
            <w:gridSpan w:val="7"/>
            <w:tcBorders>
              <w:top w:val="double" w:sz="4" w:space="0" w:color="auto"/>
              <w:left w:val="double" w:sz="4" w:space="0" w:color="auto"/>
              <w:bottom w:val="single" w:sz="4" w:space="0" w:color="auto"/>
              <w:right w:val="double" w:sz="4" w:space="0" w:color="auto"/>
            </w:tcBorders>
            <w:shd w:val="clear" w:color="auto" w:fill="B4C6E7"/>
            <w:noWrap/>
            <w:vAlign w:val="bottom"/>
          </w:tcPr>
          <w:p w:rsidR="009A2C37" w:rsidRPr="00106E67" w:rsidP="00977E6D" w14:paraId="606D8B3F" w14:textId="77777777">
            <w:pPr>
              <w:jc w:val="center"/>
              <w:rPr>
                <w:b/>
                <w:bCs/>
                <w:sz w:val="22"/>
                <w:szCs w:val="22"/>
              </w:rPr>
            </w:pPr>
            <w:r w:rsidRPr="00106E67">
              <w:rPr>
                <w:b/>
                <w:bCs/>
                <w:sz w:val="22"/>
                <w:szCs w:val="22"/>
              </w:rPr>
              <w:t>Conformance with financial management system requirements (FMFIA § 4)</w:t>
            </w:r>
          </w:p>
        </w:tc>
      </w:tr>
      <w:tr w14:paraId="270DE190" w14:textId="77777777" w:rsidTr="00977E6D">
        <w:tblPrEx>
          <w:tblW w:w="9885" w:type="dxa"/>
          <w:jc w:val="center"/>
          <w:tblLayout w:type="fixed"/>
          <w:tblLook w:val="0000"/>
        </w:tblPrEx>
        <w:trPr>
          <w:trHeight w:val="300"/>
          <w:jc w:val="center"/>
        </w:trPr>
        <w:tc>
          <w:tcPr>
            <w:tcW w:w="2865" w:type="dxa"/>
            <w:tcBorders>
              <w:top w:val="nil"/>
              <w:left w:val="double" w:sz="4" w:space="0" w:color="auto"/>
              <w:bottom w:val="single" w:sz="4" w:space="0" w:color="auto"/>
              <w:right w:val="single" w:sz="4" w:space="0" w:color="auto"/>
            </w:tcBorders>
            <w:noWrap/>
            <w:vAlign w:val="bottom"/>
          </w:tcPr>
          <w:p w:rsidR="009A2C37" w:rsidRPr="00106E67" w:rsidP="00977E6D" w14:paraId="0ED2B43C" w14:textId="77777777">
            <w:pPr>
              <w:rPr>
                <w:sz w:val="22"/>
                <w:szCs w:val="22"/>
              </w:rPr>
            </w:pPr>
            <w:r w:rsidRPr="00106E67">
              <w:rPr>
                <w:sz w:val="22"/>
                <w:szCs w:val="22"/>
              </w:rPr>
              <w:t>Statement of Assurance</w:t>
            </w:r>
          </w:p>
        </w:tc>
        <w:tc>
          <w:tcPr>
            <w:tcW w:w="7020" w:type="dxa"/>
            <w:gridSpan w:val="6"/>
            <w:tcBorders>
              <w:top w:val="single" w:sz="4" w:space="0" w:color="auto"/>
              <w:left w:val="nil"/>
              <w:bottom w:val="single" w:sz="4" w:space="0" w:color="auto"/>
              <w:right w:val="double" w:sz="4" w:space="0" w:color="auto"/>
            </w:tcBorders>
            <w:noWrap/>
            <w:vAlign w:val="bottom"/>
          </w:tcPr>
          <w:p w:rsidR="009A2C37" w:rsidRPr="00106E67" w:rsidP="00977E6D" w14:paraId="44590B28" w14:textId="77777777">
            <w:pPr>
              <w:jc w:val="center"/>
              <w:rPr>
                <w:sz w:val="22"/>
                <w:szCs w:val="22"/>
              </w:rPr>
            </w:pPr>
            <w:r w:rsidRPr="00106E67">
              <w:rPr>
                <w:sz w:val="22"/>
                <w:szCs w:val="22"/>
              </w:rPr>
              <w:t>Federal Systems conform to financial management system requirements</w:t>
            </w:r>
          </w:p>
        </w:tc>
      </w:tr>
      <w:tr w14:paraId="57FD0A98" w14:textId="77777777" w:rsidTr="00977E6D">
        <w:tblPrEx>
          <w:tblW w:w="9885" w:type="dxa"/>
          <w:jc w:val="center"/>
          <w:tblLayout w:type="fixed"/>
          <w:tblLook w:val="0000"/>
        </w:tblPrEx>
        <w:trPr>
          <w:trHeight w:val="215"/>
          <w:jc w:val="center"/>
        </w:trPr>
        <w:tc>
          <w:tcPr>
            <w:tcW w:w="9885" w:type="dxa"/>
            <w:gridSpan w:val="7"/>
            <w:tcBorders>
              <w:top w:val="nil"/>
              <w:left w:val="double" w:sz="4" w:space="0" w:color="auto"/>
              <w:bottom w:val="single" w:sz="4" w:space="0" w:color="auto"/>
              <w:right w:val="double" w:sz="4" w:space="0" w:color="auto"/>
            </w:tcBorders>
            <w:noWrap/>
            <w:vAlign w:val="bottom"/>
          </w:tcPr>
          <w:p w:rsidR="009A2C37" w:rsidRPr="00106E67" w:rsidP="00977E6D" w14:paraId="5A931798" w14:textId="77777777">
            <w:pPr>
              <w:jc w:val="center"/>
              <w:rPr>
                <w:sz w:val="22"/>
                <w:szCs w:val="22"/>
              </w:rPr>
            </w:pPr>
          </w:p>
        </w:tc>
      </w:tr>
      <w:tr w14:paraId="216F16CA" w14:textId="77777777" w:rsidTr="00977E6D">
        <w:tblPrEx>
          <w:tblW w:w="9885" w:type="dxa"/>
          <w:jc w:val="center"/>
          <w:tblLayout w:type="fixed"/>
          <w:tblLook w:val="0000"/>
        </w:tblPrEx>
        <w:trPr>
          <w:trHeight w:val="600"/>
          <w:jc w:val="center"/>
        </w:trPr>
        <w:tc>
          <w:tcPr>
            <w:tcW w:w="2865" w:type="dxa"/>
            <w:tcBorders>
              <w:top w:val="single" w:sz="4" w:space="0" w:color="auto"/>
              <w:left w:val="double" w:sz="4" w:space="0" w:color="auto"/>
              <w:bottom w:val="single" w:sz="4" w:space="0" w:color="auto"/>
              <w:right w:val="single" w:sz="4" w:space="0" w:color="auto"/>
            </w:tcBorders>
            <w:shd w:val="clear" w:color="auto" w:fill="D9D9D9"/>
            <w:noWrap/>
            <w:vAlign w:val="center"/>
          </w:tcPr>
          <w:p w:rsidR="009A2C37" w:rsidRPr="00106E67" w:rsidP="00977E6D" w14:paraId="218C4409" w14:textId="77777777">
            <w:pPr>
              <w:rPr>
                <w:sz w:val="22"/>
                <w:szCs w:val="22"/>
              </w:rPr>
            </w:pPr>
            <w:r w:rsidRPr="00106E67">
              <w:rPr>
                <w:sz w:val="22"/>
                <w:szCs w:val="22"/>
              </w:rPr>
              <w:t>Non-Conformances</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1D1AC671" w14:textId="77777777">
            <w:pPr>
              <w:jc w:val="center"/>
              <w:rPr>
                <w:sz w:val="22"/>
                <w:szCs w:val="22"/>
              </w:rPr>
            </w:pPr>
            <w:r w:rsidRPr="00106E67">
              <w:rPr>
                <w:sz w:val="22"/>
                <w:szCs w:val="22"/>
              </w:rPr>
              <w:t>Beginning Balance</w:t>
            </w:r>
          </w:p>
        </w:tc>
        <w:tc>
          <w:tcPr>
            <w:tcW w:w="99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273BA73B" w14:textId="77777777">
            <w:pPr>
              <w:jc w:val="center"/>
              <w:rPr>
                <w:sz w:val="22"/>
                <w:szCs w:val="22"/>
              </w:rPr>
            </w:pPr>
            <w:r w:rsidRPr="00106E67">
              <w:rPr>
                <w:sz w:val="22"/>
                <w:szCs w:val="22"/>
              </w:rPr>
              <w:t>New</w:t>
            </w:r>
          </w:p>
        </w:tc>
        <w:tc>
          <w:tcPr>
            <w:tcW w:w="108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368B5588" w14:textId="77777777">
            <w:pPr>
              <w:jc w:val="center"/>
              <w:rPr>
                <w:sz w:val="22"/>
                <w:szCs w:val="22"/>
              </w:rPr>
            </w:pPr>
            <w:r w:rsidRPr="00106E67">
              <w:rPr>
                <w:sz w:val="22"/>
                <w:szCs w:val="22"/>
              </w:rPr>
              <w:t>Resolved</w:t>
            </w:r>
          </w:p>
        </w:tc>
        <w:tc>
          <w:tcPr>
            <w:tcW w:w="144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1A5D06BE" w14:textId="77777777">
            <w:pPr>
              <w:jc w:val="center"/>
              <w:rPr>
                <w:sz w:val="22"/>
                <w:szCs w:val="22"/>
              </w:rPr>
            </w:pPr>
            <w:r w:rsidRPr="00106E67">
              <w:rPr>
                <w:sz w:val="22"/>
                <w:szCs w:val="22"/>
              </w:rPr>
              <w:t>Consolidated</w:t>
            </w:r>
          </w:p>
        </w:tc>
        <w:tc>
          <w:tcPr>
            <w:tcW w:w="126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7DD873AC" w14:textId="77777777">
            <w:pPr>
              <w:jc w:val="center"/>
              <w:rPr>
                <w:sz w:val="22"/>
                <w:szCs w:val="22"/>
              </w:rPr>
            </w:pPr>
            <w:r w:rsidRPr="00106E67">
              <w:rPr>
                <w:sz w:val="22"/>
                <w:szCs w:val="22"/>
              </w:rPr>
              <w:t>Reassessed</w:t>
            </w:r>
          </w:p>
        </w:tc>
        <w:tc>
          <w:tcPr>
            <w:tcW w:w="1080" w:type="dxa"/>
            <w:tcBorders>
              <w:top w:val="single" w:sz="4" w:space="0" w:color="auto"/>
              <w:left w:val="nil"/>
              <w:bottom w:val="single" w:sz="4" w:space="0" w:color="auto"/>
              <w:right w:val="double" w:sz="4" w:space="0" w:color="auto"/>
            </w:tcBorders>
            <w:shd w:val="clear" w:color="auto" w:fill="D9D9D9"/>
            <w:vAlign w:val="center"/>
          </w:tcPr>
          <w:p w:rsidR="009A2C37" w:rsidRPr="00106E67" w:rsidP="00977E6D" w14:paraId="73DA86B7" w14:textId="77777777">
            <w:pPr>
              <w:jc w:val="center"/>
              <w:rPr>
                <w:sz w:val="22"/>
                <w:szCs w:val="22"/>
              </w:rPr>
            </w:pPr>
            <w:r w:rsidRPr="00106E67">
              <w:rPr>
                <w:sz w:val="22"/>
                <w:szCs w:val="22"/>
              </w:rPr>
              <w:t>Ending Balance</w:t>
            </w:r>
          </w:p>
        </w:tc>
      </w:tr>
      <w:tr w14:paraId="037633EC" w14:textId="77777777" w:rsidTr="00977E6D">
        <w:tblPrEx>
          <w:tblW w:w="9885" w:type="dxa"/>
          <w:jc w:val="center"/>
          <w:tblLayout w:type="fixed"/>
          <w:tblLook w:val="0000"/>
        </w:tblPrEx>
        <w:trPr>
          <w:trHeight w:val="287"/>
          <w:jc w:val="center"/>
        </w:trPr>
        <w:tc>
          <w:tcPr>
            <w:tcW w:w="2865" w:type="dxa"/>
            <w:tcBorders>
              <w:top w:val="nil"/>
              <w:left w:val="double" w:sz="4" w:space="0" w:color="auto"/>
              <w:bottom w:val="double" w:sz="4" w:space="0" w:color="auto"/>
              <w:right w:val="single" w:sz="4" w:space="0" w:color="auto"/>
            </w:tcBorders>
            <w:vAlign w:val="center"/>
          </w:tcPr>
          <w:p w:rsidR="009A2C37" w:rsidRPr="00106E67" w:rsidP="00977E6D" w14:paraId="3DCA040C" w14:textId="77777777">
            <w:pPr>
              <w:rPr>
                <w:sz w:val="22"/>
                <w:szCs w:val="22"/>
              </w:rPr>
            </w:pPr>
          </w:p>
        </w:tc>
        <w:tc>
          <w:tcPr>
            <w:tcW w:w="1170" w:type="dxa"/>
            <w:tcBorders>
              <w:top w:val="nil"/>
              <w:left w:val="nil"/>
              <w:bottom w:val="double" w:sz="4" w:space="0" w:color="auto"/>
              <w:right w:val="single" w:sz="4" w:space="0" w:color="auto"/>
            </w:tcBorders>
            <w:noWrap/>
            <w:vAlign w:val="center"/>
          </w:tcPr>
          <w:p w:rsidR="009A2C37" w:rsidRPr="00106E67" w:rsidP="00977E6D" w14:paraId="0A0A10D6" w14:textId="77777777">
            <w:pPr>
              <w:jc w:val="center"/>
              <w:rPr>
                <w:sz w:val="22"/>
                <w:szCs w:val="22"/>
              </w:rPr>
            </w:pPr>
            <w:r w:rsidRPr="00106E67">
              <w:rPr>
                <w:sz w:val="22"/>
                <w:szCs w:val="22"/>
              </w:rPr>
              <w:t>0</w:t>
            </w:r>
          </w:p>
        </w:tc>
        <w:tc>
          <w:tcPr>
            <w:tcW w:w="990" w:type="dxa"/>
            <w:tcBorders>
              <w:top w:val="nil"/>
              <w:left w:val="nil"/>
              <w:bottom w:val="double" w:sz="4" w:space="0" w:color="auto"/>
              <w:right w:val="single" w:sz="4" w:space="0" w:color="auto"/>
            </w:tcBorders>
            <w:noWrap/>
            <w:vAlign w:val="center"/>
          </w:tcPr>
          <w:p w:rsidR="009A2C37" w:rsidRPr="00106E67" w:rsidP="00977E6D" w14:paraId="3F34985E" w14:textId="77777777">
            <w:pPr>
              <w:jc w:val="center"/>
              <w:rPr>
                <w:sz w:val="22"/>
                <w:szCs w:val="22"/>
              </w:rPr>
            </w:pPr>
            <w:r w:rsidRPr="00106E67">
              <w:rPr>
                <w:sz w:val="22"/>
                <w:szCs w:val="22"/>
              </w:rPr>
              <w:t>0</w:t>
            </w:r>
          </w:p>
        </w:tc>
        <w:tc>
          <w:tcPr>
            <w:tcW w:w="1080" w:type="dxa"/>
            <w:tcBorders>
              <w:top w:val="nil"/>
              <w:left w:val="nil"/>
              <w:bottom w:val="double" w:sz="4" w:space="0" w:color="auto"/>
              <w:right w:val="single" w:sz="4" w:space="0" w:color="auto"/>
            </w:tcBorders>
            <w:noWrap/>
            <w:vAlign w:val="center"/>
          </w:tcPr>
          <w:p w:rsidR="009A2C37" w:rsidRPr="00106E67" w:rsidP="00977E6D" w14:paraId="5FC61195" w14:textId="77777777">
            <w:pPr>
              <w:jc w:val="center"/>
              <w:rPr>
                <w:sz w:val="22"/>
                <w:szCs w:val="22"/>
              </w:rPr>
            </w:pPr>
            <w:r w:rsidRPr="00106E67">
              <w:rPr>
                <w:sz w:val="22"/>
                <w:szCs w:val="22"/>
              </w:rPr>
              <w:t>0</w:t>
            </w:r>
          </w:p>
        </w:tc>
        <w:tc>
          <w:tcPr>
            <w:tcW w:w="1440" w:type="dxa"/>
            <w:tcBorders>
              <w:top w:val="nil"/>
              <w:left w:val="nil"/>
              <w:bottom w:val="double" w:sz="4" w:space="0" w:color="auto"/>
              <w:right w:val="single" w:sz="4" w:space="0" w:color="auto"/>
            </w:tcBorders>
            <w:noWrap/>
            <w:vAlign w:val="center"/>
          </w:tcPr>
          <w:p w:rsidR="009A2C37" w:rsidRPr="00106E67" w:rsidP="00977E6D" w14:paraId="4C9D6D40" w14:textId="77777777">
            <w:pPr>
              <w:jc w:val="center"/>
              <w:rPr>
                <w:sz w:val="22"/>
                <w:szCs w:val="22"/>
              </w:rPr>
            </w:pPr>
            <w:r w:rsidRPr="00106E67">
              <w:rPr>
                <w:sz w:val="22"/>
                <w:szCs w:val="22"/>
              </w:rPr>
              <w:t>0</w:t>
            </w:r>
          </w:p>
        </w:tc>
        <w:tc>
          <w:tcPr>
            <w:tcW w:w="1260" w:type="dxa"/>
            <w:tcBorders>
              <w:top w:val="nil"/>
              <w:left w:val="nil"/>
              <w:bottom w:val="double" w:sz="4" w:space="0" w:color="auto"/>
              <w:right w:val="single" w:sz="4" w:space="0" w:color="auto"/>
            </w:tcBorders>
            <w:noWrap/>
            <w:vAlign w:val="center"/>
          </w:tcPr>
          <w:p w:rsidR="009A2C37" w:rsidRPr="00106E67" w:rsidP="00977E6D" w14:paraId="4E750E36" w14:textId="77777777">
            <w:pPr>
              <w:jc w:val="center"/>
              <w:rPr>
                <w:sz w:val="22"/>
                <w:szCs w:val="22"/>
              </w:rPr>
            </w:pPr>
            <w:r w:rsidRPr="00106E67">
              <w:rPr>
                <w:sz w:val="22"/>
                <w:szCs w:val="22"/>
              </w:rPr>
              <w:t>0</w:t>
            </w:r>
          </w:p>
        </w:tc>
        <w:tc>
          <w:tcPr>
            <w:tcW w:w="1080" w:type="dxa"/>
            <w:tcBorders>
              <w:top w:val="nil"/>
              <w:left w:val="nil"/>
              <w:bottom w:val="double" w:sz="4" w:space="0" w:color="auto"/>
              <w:right w:val="double" w:sz="4" w:space="0" w:color="auto"/>
            </w:tcBorders>
            <w:noWrap/>
            <w:vAlign w:val="center"/>
          </w:tcPr>
          <w:p w:rsidR="009A2C37" w:rsidRPr="00106E67" w:rsidP="00977E6D" w14:paraId="7BAEFEE9" w14:textId="77777777">
            <w:pPr>
              <w:jc w:val="center"/>
              <w:rPr>
                <w:sz w:val="22"/>
                <w:szCs w:val="22"/>
              </w:rPr>
            </w:pPr>
            <w:r w:rsidRPr="00106E67">
              <w:rPr>
                <w:sz w:val="22"/>
                <w:szCs w:val="22"/>
              </w:rPr>
              <w:t>0</w:t>
            </w:r>
          </w:p>
        </w:tc>
      </w:tr>
      <w:tr w14:paraId="6C2ECC7F" w14:textId="77777777" w:rsidTr="00977E6D">
        <w:tblPrEx>
          <w:tblW w:w="9885" w:type="dxa"/>
          <w:jc w:val="center"/>
          <w:tblLayout w:type="fixed"/>
          <w:tblLook w:val="0000"/>
        </w:tblPrEx>
        <w:trPr>
          <w:trHeight w:val="258"/>
          <w:jc w:val="center"/>
        </w:trPr>
        <w:tc>
          <w:tcPr>
            <w:tcW w:w="2865" w:type="dxa"/>
            <w:tcBorders>
              <w:top w:val="double" w:sz="4" w:space="0" w:color="auto"/>
              <w:left w:val="double" w:sz="4" w:space="0" w:color="auto"/>
              <w:bottom w:val="double" w:sz="4" w:space="0" w:color="auto"/>
              <w:right w:val="single" w:sz="4" w:space="0" w:color="auto"/>
            </w:tcBorders>
            <w:shd w:val="clear" w:color="auto" w:fill="BFBFBF"/>
            <w:noWrap/>
            <w:vAlign w:val="center"/>
          </w:tcPr>
          <w:p w:rsidR="009A2C37" w:rsidRPr="00106E67" w:rsidP="00977E6D" w14:paraId="68B2A133" w14:textId="77777777">
            <w:pPr>
              <w:rPr>
                <w:b/>
                <w:iCs/>
                <w:sz w:val="22"/>
                <w:szCs w:val="22"/>
              </w:rPr>
            </w:pPr>
            <w:r w:rsidRPr="00106E67">
              <w:rPr>
                <w:b/>
                <w:iCs/>
                <w:sz w:val="22"/>
                <w:szCs w:val="22"/>
              </w:rPr>
              <w:t>Total Non-Conformances</w:t>
            </w:r>
          </w:p>
        </w:tc>
        <w:tc>
          <w:tcPr>
            <w:tcW w:w="117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27DF11C6" w14:textId="77777777">
            <w:pPr>
              <w:jc w:val="center"/>
              <w:rPr>
                <w:b/>
                <w:sz w:val="22"/>
                <w:szCs w:val="22"/>
              </w:rPr>
            </w:pPr>
            <w:r w:rsidRPr="00106E67">
              <w:rPr>
                <w:b/>
                <w:sz w:val="22"/>
                <w:szCs w:val="22"/>
              </w:rPr>
              <w:t>0</w:t>
            </w:r>
          </w:p>
        </w:tc>
        <w:tc>
          <w:tcPr>
            <w:tcW w:w="99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33B99027" w14:textId="77777777">
            <w:pPr>
              <w:jc w:val="center"/>
              <w:rPr>
                <w:b/>
                <w:sz w:val="22"/>
                <w:szCs w:val="22"/>
              </w:rPr>
            </w:pPr>
            <w:r w:rsidRPr="00106E67">
              <w:rPr>
                <w:b/>
                <w:sz w:val="22"/>
                <w:szCs w:val="22"/>
              </w:rPr>
              <w:t>0</w:t>
            </w:r>
          </w:p>
        </w:tc>
        <w:tc>
          <w:tcPr>
            <w:tcW w:w="108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70DBFCFC" w14:textId="77777777">
            <w:pPr>
              <w:jc w:val="center"/>
              <w:rPr>
                <w:b/>
                <w:sz w:val="22"/>
                <w:szCs w:val="22"/>
              </w:rPr>
            </w:pPr>
            <w:r w:rsidRPr="00106E67">
              <w:rPr>
                <w:b/>
                <w:sz w:val="22"/>
                <w:szCs w:val="22"/>
              </w:rPr>
              <w:t>0</w:t>
            </w:r>
          </w:p>
        </w:tc>
        <w:tc>
          <w:tcPr>
            <w:tcW w:w="144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42854110" w14:textId="77777777">
            <w:pPr>
              <w:jc w:val="center"/>
              <w:rPr>
                <w:b/>
                <w:sz w:val="22"/>
                <w:szCs w:val="22"/>
              </w:rPr>
            </w:pPr>
            <w:r w:rsidRPr="00106E67">
              <w:rPr>
                <w:b/>
                <w:sz w:val="22"/>
                <w:szCs w:val="22"/>
              </w:rPr>
              <w:t>0</w:t>
            </w:r>
          </w:p>
        </w:tc>
        <w:tc>
          <w:tcPr>
            <w:tcW w:w="126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0D1DE3D9" w14:textId="77777777">
            <w:pPr>
              <w:jc w:val="center"/>
              <w:rPr>
                <w:b/>
                <w:sz w:val="22"/>
                <w:szCs w:val="22"/>
              </w:rPr>
            </w:pPr>
            <w:r w:rsidRPr="00106E67">
              <w:rPr>
                <w:b/>
                <w:sz w:val="22"/>
                <w:szCs w:val="22"/>
              </w:rPr>
              <w:t>0</w:t>
            </w:r>
          </w:p>
        </w:tc>
        <w:tc>
          <w:tcPr>
            <w:tcW w:w="1080" w:type="dxa"/>
            <w:tcBorders>
              <w:top w:val="double" w:sz="4" w:space="0" w:color="auto"/>
              <w:left w:val="nil"/>
              <w:bottom w:val="double" w:sz="4" w:space="0" w:color="auto"/>
              <w:right w:val="double" w:sz="4" w:space="0" w:color="auto"/>
            </w:tcBorders>
            <w:shd w:val="clear" w:color="auto" w:fill="BFBFBF"/>
            <w:noWrap/>
            <w:vAlign w:val="center"/>
          </w:tcPr>
          <w:p w:rsidR="009A2C37" w:rsidRPr="00106E67" w:rsidP="00977E6D" w14:paraId="4EBAB7ED" w14:textId="77777777">
            <w:pPr>
              <w:jc w:val="center"/>
              <w:rPr>
                <w:b/>
                <w:sz w:val="22"/>
                <w:szCs w:val="22"/>
              </w:rPr>
            </w:pPr>
            <w:r w:rsidRPr="00106E67">
              <w:rPr>
                <w:b/>
                <w:sz w:val="22"/>
                <w:szCs w:val="22"/>
              </w:rPr>
              <w:t>0</w:t>
            </w:r>
          </w:p>
        </w:tc>
      </w:tr>
    </w:tbl>
    <w:p w:rsidR="009A2C37" w:rsidP="009A2C37" w14:paraId="5A681653" w14:textId="77777777">
      <w:bookmarkStart w:id="181" w:name="_Toc467000253"/>
    </w:p>
    <w:p w:rsidR="009A2C37" w:rsidP="009A2C37" w14:paraId="662D6776" w14:textId="77777777"/>
    <w:p w:rsidR="009A2C37" w:rsidP="009A2C37" w14:paraId="76E6F6A0" w14:textId="77777777">
      <w:pPr>
        <w:sectPr w:rsidSect="002C02F6">
          <w:headerReference w:type="even" r:id="rId103"/>
          <w:headerReference w:type="default" r:id="rId104"/>
          <w:footerReference w:type="default" r:id="rId105"/>
          <w:headerReference w:type="first" r:id="rId106"/>
          <w:footnotePr>
            <w:numRestart w:val="eachSect"/>
          </w:footnotePr>
          <w:pgSz w:w="12240" w:h="15840" w:code="1"/>
          <w:pgMar w:top="1152" w:right="1440" w:bottom="1152" w:left="1440" w:header="720" w:footer="990" w:gutter="0"/>
          <w:cols w:space="720"/>
          <w:docGrid w:linePitch="360"/>
        </w:sectPr>
      </w:pPr>
    </w:p>
    <w:p w:rsidR="002B5536" w:rsidP="002B5536" w14:paraId="0EFE6C75" w14:textId="77777777">
      <w:pPr>
        <w:pStyle w:val="Heading2"/>
        <w:jc w:val="left"/>
        <w:rPr>
          <w:rFonts w:ascii="Times New Roman" w:hAnsi="Times New Roman" w:cs="Times New Roman"/>
          <w:sz w:val="28"/>
          <w:szCs w:val="28"/>
        </w:rPr>
      </w:pPr>
      <w:bookmarkStart w:id="182" w:name="Payment_Integrity"/>
      <w:bookmarkStart w:id="183" w:name="_bookmark47"/>
      <w:bookmarkStart w:id="184" w:name="_Toc85811542"/>
      <w:bookmarkStart w:id="185" w:name="_Toc117254003"/>
      <w:bookmarkStart w:id="186" w:name="_Toc216960448"/>
      <w:bookmarkStart w:id="187" w:name="_Toc54422197"/>
      <w:bookmarkStart w:id="188" w:name="_Toc85811543"/>
      <w:bookmarkEnd w:id="181"/>
      <w:bookmarkEnd w:id="182"/>
      <w:bookmarkEnd w:id="183"/>
      <w:r w:rsidRPr="00FD48B2">
        <w:rPr>
          <w:rFonts w:ascii="Times New Roman" w:hAnsi="Times New Roman" w:cs="Times New Roman"/>
          <w:sz w:val="28"/>
          <w:szCs w:val="28"/>
        </w:rPr>
        <w:t>Payment Integrity</w:t>
      </w:r>
      <w:bookmarkEnd w:id="184"/>
      <w:bookmarkEnd w:id="185"/>
      <w:bookmarkEnd w:id="186"/>
      <w:r>
        <w:rPr>
          <w:rFonts w:ascii="Times New Roman" w:hAnsi="Times New Roman" w:cs="Times New Roman"/>
          <w:sz w:val="28"/>
          <w:szCs w:val="28"/>
        </w:rPr>
        <w:t xml:space="preserve"> </w:t>
      </w:r>
    </w:p>
    <w:p w:rsidR="002B5536" w:rsidRPr="00561772" w:rsidP="12E74B85" w14:paraId="51937EB9" w14:textId="77777777">
      <w:pPr>
        <w:widowControl w:val="0"/>
        <w:autoSpaceDE w:val="0"/>
        <w:autoSpaceDN w:val="0"/>
        <w:rPr>
          <w:sz w:val="22"/>
          <w:szCs w:val="22"/>
        </w:rPr>
      </w:pPr>
    </w:p>
    <w:p w:rsidR="53CD42E2" w:rsidP="12E74B85" w14:paraId="4918AA86" w14:textId="540E38FD">
      <w:pPr>
        <w:spacing w:after="160"/>
        <w:jc w:val="both"/>
      </w:pPr>
      <w:bookmarkStart w:id="189" w:name="_Hlk179787301"/>
      <w:bookmarkEnd w:id="189"/>
      <w:r w:rsidRPr="12E74B85">
        <w:rPr>
          <w:sz w:val="22"/>
          <w:szCs w:val="22"/>
        </w:rPr>
        <w:t xml:space="preserve">The Federal Communications Commission (FCC or Commission) incorporated improper payment analysis and testing into its processes in Fiscal Year (FY) 2025 in compliance with Federal statutes and guidance detailed in the Office of Management and Budget (OMB) Circular A-123, Appendix C, Requirements for Payment Integrity Improvement (Appendix C). Appendix C defines “significant improper payments” as gross annual improper payments (i.e., the total amount of overpayments and underpayments) in the program exceeding (1) both 1.5% of program outlays and $10 million of all program or activity payments made during the fiscal year reported or (2) $100 million (regardless of the improper payment percentage of total program outlays). </w:t>
      </w:r>
    </w:p>
    <w:p w:rsidR="53CD42E2" w:rsidP="12E74B85" w14:paraId="55B78D0F" w14:textId="16ADD29D">
      <w:pPr>
        <w:spacing w:after="160"/>
        <w:jc w:val="both"/>
      </w:pPr>
      <w:r w:rsidRPr="12E74B85">
        <w:rPr>
          <w:sz w:val="22"/>
          <w:szCs w:val="22"/>
        </w:rPr>
        <w:t xml:space="preserve">The following link contains additional information on improper payments reported across the Federal government, including information reported by the FCC in prior fiscal years: </w:t>
      </w:r>
      <w:hyperlink r:id="rId41">
        <w:r w:rsidRPr="12E74B85">
          <w:rPr>
            <w:rStyle w:val="Hyperlink"/>
            <w:color w:val="0563C1"/>
            <w:sz w:val="22"/>
            <w:szCs w:val="22"/>
          </w:rPr>
          <w:t>https://paymentaccuracy.gov/</w:t>
        </w:r>
      </w:hyperlink>
      <w:r w:rsidRPr="12E74B85">
        <w:rPr>
          <w:sz w:val="22"/>
          <w:szCs w:val="22"/>
        </w:rPr>
        <w:t xml:space="preserve">. </w:t>
      </w:r>
    </w:p>
    <w:p w:rsidR="53CD42E2" w:rsidP="12E74B85" w14:paraId="6ECA3E5D" w14:textId="090BF3DE">
      <w:pPr>
        <w:spacing w:after="160"/>
        <w:jc w:val="both"/>
      </w:pPr>
      <w:r w:rsidRPr="12E74B85">
        <w:rPr>
          <w:sz w:val="22"/>
          <w:szCs w:val="22"/>
        </w:rPr>
        <w:t xml:space="preserve">The Commission has seventeen </w:t>
      </w:r>
      <w:r w:rsidR="00201C4E">
        <w:rPr>
          <w:sz w:val="22"/>
          <w:szCs w:val="22"/>
        </w:rPr>
        <w:t xml:space="preserve">programs </w:t>
      </w:r>
      <w:r w:rsidRPr="12E74B85">
        <w:rPr>
          <w:sz w:val="22"/>
          <w:szCs w:val="22"/>
        </w:rPr>
        <w:t>with funding disbursements that are under the direction of the Commission and its Administrators. The Commission categorizes the</w:t>
      </w:r>
      <w:r w:rsidR="00767679">
        <w:rPr>
          <w:sz w:val="22"/>
          <w:szCs w:val="22"/>
        </w:rPr>
        <w:t xml:space="preserve"> </w:t>
      </w:r>
      <w:r w:rsidR="00BE26B6">
        <w:rPr>
          <w:sz w:val="22"/>
          <w:szCs w:val="22"/>
        </w:rPr>
        <w:t>programs</w:t>
      </w:r>
      <w:r w:rsidRPr="12E74B85">
        <w:rPr>
          <w:sz w:val="22"/>
          <w:szCs w:val="22"/>
        </w:rPr>
        <w:t xml:space="preserve"> as listed below. </w:t>
      </w:r>
    </w:p>
    <w:p w:rsidR="53CD42E2" w:rsidP="12E74B85" w14:paraId="490691EC" w14:textId="6A228836">
      <w:pPr>
        <w:ind w:left="720"/>
      </w:pPr>
      <w:r w:rsidRPr="12E74B85">
        <w:rPr>
          <w:sz w:val="22"/>
          <w:szCs w:val="22"/>
        </w:rPr>
        <w:t xml:space="preserve">• Universal Service Fund High Cost Program (USF-HC) </w:t>
      </w:r>
    </w:p>
    <w:p w:rsidR="53CD42E2" w:rsidP="12E74B85" w14:paraId="2DC0327C" w14:textId="1CD4476D">
      <w:pPr>
        <w:ind w:left="720"/>
      </w:pPr>
      <w:r w:rsidRPr="12E74B85">
        <w:rPr>
          <w:sz w:val="22"/>
          <w:szCs w:val="22"/>
        </w:rPr>
        <w:t xml:space="preserve">• Universal Service Fund Schools and Libraries Program (USF-S&amp;L) or (E-Rate) </w:t>
      </w:r>
    </w:p>
    <w:p w:rsidR="53CD42E2" w:rsidP="12E74B85" w14:paraId="16D9BF32" w14:textId="5F00257E">
      <w:pPr>
        <w:ind w:left="720"/>
      </w:pPr>
      <w:r w:rsidRPr="12E74B85">
        <w:rPr>
          <w:sz w:val="22"/>
          <w:szCs w:val="22"/>
        </w:rPr>
        <w:t xml:space="preserve">• Universal Service Fund Lifeline Program (USF-Lifeline) or (USF-LL) </w:t>
      </w:r>
    </w:p>
    <w:p w:rsidR="53CD42E2" w:rsidP="12E74B85" w14:paraId="27D26D88" w14:textId="1622D914">
      <w:pPr>
        <w:ind w:left="720"/>
      </w:pPr>
      <w:r w:rsidRPr="12E74B85">
        <w:rPr>
          <w:sz w:val="22"/>
          <w:szCs w:val="22"/>
        </w:rPr>
        <w:t xml:space="preserve">• Universal Service Fund Rural Health Care Program (USF-RHC) </w:t>
      </w:r>
    </w:p>
    <w:p w:rsidR="53CD42E2" w:rsidP="12E74B85" w14:paraId="1717E384" w14:textId="49D4CF71">
      <w:pPr>
        <w:ind w:left="720"/>
      </w:pPr>
      <w:r w:rsidRPr="12E74B85">
        <w:rPr>
          <w:sz w:val="22"/>
          <w:szCs w:val="22"/>
        </w:rPr>
        <w:t>• Universal Service Fund Administrative Costs (USF-Admin)</w:t>
      </w:r>
    </w:p>
    <w:p w:rsidR="53CD42E2" w:rsidP="12E74B85" w14:paraId="35CE8CF2" w14:textId="2F2E952C">
      <w:pPr>
        <w:ind w:left="630"/>
      </w:pPr>
      <w:r w:rsidRPr="12E74B85">
        <w:rPr>
          <w:sz w:val="22"/>
          <w:szCs w:val="22"/>
        </w:rPr>
        <w:t xml:space="preserve">  • Connected Care Pilot Program</w:t>
      </w:r>
    </w:p>
    <w:p w:rsidR="53CD42E2" w:rsidP="12E74B85" w14:paraId="114E83CE" w14:textId="64E8DA97">
      <w:pPr>
        <w:ind w:left="720"/>
      </w:pPr>
      <w:r w:rsidRPr="12E74B85">
        <w:rPr>
          <w:sz w:val="22"/>
          <w:szCs w:val="22"/>
        </w:rPr>
        <w:t xml:space="preserve">• Interstate Telecommunications Relay Services Fund (TRS) </w:t>
      </w:r>
    </w:p>
    <w:p w:rsidR="53CD42E2" w:rsidP="12E74B85" w14:paraId="7235F60E" w14:textId="200553A6">
      <w:pPr>
        <w:ind w:left="720"/>
      </w:pPr>
      <w:r w:rsidRPr="12E74B85">
        <w:rPr>
          <w:sz w:val="22"/>
          <w:szCs w:val="22"/>
        </w:rPr>
        <w:t xml:space="preserve">• North American Numbering Plan (NANP) </w:t>
      </w:r>
    </w:p>
    <w:p w:rsidR="53CD42E2" w:rsidP="12E74B85" w14:paraId="6C9AB580" w14:textId="2C7F8A24">
      <w:pPr>
        <w:ind w:left="720"/>
      </w:pPr>
      <w:r w:rsidRPr="12E74B85">
        <w:rPr>
          <w:sz w:val="22"/>
          <w:szCs w:val="22"/>
        </w:rPr>
        <w:t xml:space="preserve">• FCC Operating Expenses (FCC) </w:t>
      </w:r>
    </w:p>
    <w:p w:rsidR="53CD42E2" w:rsidP="12E74B85" w14:paraId="10183680" w14:textId="5A5A08B2">
      <w:pPr>
        <w:ind w:left="720"/>
      </w:pPr>
      <w:r w:rsidRPr="12E74B85">
        <w:rPr>
          <w:sz w:val="22"/>
          <w:szCs w:val="22"/>
        </w:rPr>
        <w:t xml:space="preserve">• TV Broadcaster Relocation Fund (TVBRF) </w:t>
      </w:r>
    </w:p>
    <w:p w:rsidR="53CD42E2" w:rsidP="12E74B85" w14:paraId="4A9114AF" w14:textId="0CC34BA6">
      <w:pPr>
        <w:ind w:left="720"/>
      </w:pPr>
      <w:r w:rsidRPr="12E74B85">
        <w:rPr>
          <w:sz w:val="22"/>
          <w:szCs w:val="22"/>
        </w:rPr>
        <w:t>• Coronavirus Disease 2019 (COVID-19) Telehealth Program (CV19)</w:t>
      </w:r>
    </w:p>
    <w:p w:rsidR="53CD42E2" w:rsidP="12E74B85" w14:paraId="69CE2C5E" w14:textId="659D3E4B">
      <w:pPr>
        <w:ind w:left="720"/>
      </w:pPr>
      <w:r w:rsidRPr="12E74B85">
        <w:rPr>
          <w:sz w:val="22"/>
          <w:szCs w:val="22"/>
        </w:rPr>
        <w:t>• Affordable Connectivity Program (ACP)</w:t>
      </w:r>
    </w:p>
    <w:p w:rsidR="53CD42E2" w:rsidP="12E74B85" w14:paraId="06DF28E8" w14:textId="77F82CA9">
      <w:pPr>
        <w:ind w:left="720"/>
      </w:pPr>
      <w:r w:rsidRPr="12E74B85">
        <w:rPr>
          <w:sz w:val="22"/>
          <w:szCs w:val="22"/>
        </w:rPr>
        <w:t>• Broadband Deployment Locations Map</w:t>
      </w:r>
    </w:p>
    <w:p w:rsidR="53CD42E2" w:rsidP="12E74B85" w14:paraId="35F01846" w14:textId="11A8DB68">
      <w:pPr>
        <w:ind w:left="720"/>
      </w:pPr>
      <w:r w:rsidRPr="12E74B85">
        <w:rPr>
          <w:sz w:val="22"/>
          <w:szCs w:val="22"/>
        </w:rPr>
        <w:t>• Broadband Mapping</w:t>
      </w:r>
    </w:p>
    <w:p w:rsidR="53CD42E2" w:rsidP="12E74B85" w14:paraId="61782194" w14:textId="5D6AF21D">
      <w:pPr>
        <w:ind w:left="720"/>
      </w:pPr>
      <w:r w:rsidRPr="12E74B85">
        <w:rPr>
          <w:sz w:val="22"/>
          <w:szCs w:val="22"/>
        </w:rPr>
        <w:t>• Emergency Connectivity Fund (ECF)</w:t>
      </w:r>
    </w:p>
    <w:p w:rsidR="53CD42E2" w:rsidP="12E74B85" w14:paraId="2B058F57" w14:textId="375785AD">
      <w:pPr>
        <w:ind w:left="720"/>
      </w:pPr>
      <w:r w:rsidRPr="12E74B85">
        <w:rPr>
          <w:sz w:val="22"/>
          <w:szCs w:val="22"/>
        </w:rPr>
        <w:t>• Secured &amp; Trusted Communications Network Reimbursement Program (SCRP)</w:t>
      </w:r>
    </w:p>
    <w:p w:rsidR="53CD42E2" w:rsidP="12E74B85" w14:paraId="3EF1EA65" w14:textId="13D6942F">
      <w:pPr>
        <w:ind w:left="720"/>
      </w:pPr>
      <w:r w:rsidRPr="12E74B85">
        <w:rPr>
          <w:sz w:val="22"/>
          <w:szCs w:val="22"/>
        </w:rPr>
        <w:t>• Affordable Connectivity Program Outreach Grants</w:t>
      </w:r>
    </w:p>
    <w:p w:rsidR="53CD42E2" w:rsidP="12E74B85" w14:paraId="684F2F37" w14:textId="3F3EA8F8">
      <w:r w:rsidRPr="12E74B85">
        <w:rPr>
          <w:sz w:val="22"/>
          <w:szCs w:val="22"/>
        </w:rPr>
        <w:t xml:space="preserve"> </w:t>
      </w:r>
      <w:r w:rsidRPr="12E74B85">
        <w:rPr>
          <w:b/>
          <w:bCs/>
          <w:szCs w:val="24"/>
        </w:rPr>
        <w:t xml:space="preserve"> </w:t>
      </w:r>
    </w:p>
    <w:p w:rsidR="53CD42E2" w:rsidP="12E74B85" w14:paraId="4B30A8A1" w14:textId="01267DAD">
      <w:pPr>
        <w:pStyle w:val="ListParagraph"/>
        <w:numPr>
          <w:ilvl w:val="0"/>
          <w:numId w:val="3"/>
        </w:numPr>
        <w:ind w:left="360"/>
        <w:rPr>
          <w:b/>
          <w:bCs/>
          <w:szCs w:val="24"/>
        </w:rPr>
      </w:pPr>
      <w:r w:rsidRPr="12E74B85">
        <w:rPr>
          <w:b/>
          <w:bCs/>
          <w:szCs w:val="24"/>
        </w:rPr>
        <w:t xml:space="preserve">Improper Payment Details </w:t>
      </w:r>
    </w:p>
    <w:p w:rsidR="53CD42E2" w:rsidP="12E74B85" w14:paraId="2ABD1724" w14:textId="138DA10D">
      <w:pPr>
        <w:spacing w:after="160"/>
        <w:jc w:val="both"/>
      </w:pPr>
      <w:r w:rsidRPr="12E74B85">
        <w:rPr>
          <w:sz w:val="22"/>
          <w:szCs w:val="22"/>
        </w:rPr>
        <w:t xml:space="preserve">In compliance with Appendix C, Requirements for Payment Integrity Improvement, the FCC conducts risk assessments of all its components in a three-year cycle to determine if each component may be susceptible to significant improper payments. </w:t>
      </w:r>
      <w:r w:rsidR="00BE26B6">
        <w:rPr>
          <w:sz w:val="22"/>
          <w:szCs w:val="22"/>
        </w:rPr>
        <w:t>This cycle determines if programs should be catego</w:t>
      </w:r>
      <w:r w:rsidR="000021A0">
        <w:rPr>
          <w:sz w:val="22"/>
          <w:szCs w:val="22"/>
        </w:rPr>
        <w:t xml:space="preserve">rized into Phase 1, not susceptible to significant improper payments, and Phase 2, susceptible to significant improper payments. </w:t>
      </w:r>
      <w:r w:rsidRPr="12E74B85">
        <w:rPr>
          <w:sz w:val="22"/>
          <w:szCs w:val="22"/>
        </w:rPr>
        <w:t xml:space="preserve">For FY 2025, two out of seventeen components were categorized as </w:t>
      </w:r>
      <w:r w:rsidR="000021A0">
        <w:rPr>
          <w:sz w:val="22"/>
          <w:szCs w:val="22"/>
        </w:rPr>
        <w:t>Phase 2 programs</w:t>
      </w:r>
      <w:r w:rsidRPr="12E74B85">
        <w:rPr>
          <w:sz w:val="22"/>
          <w:szCs w:val="22"/>
        </w:rPr>
        <w:t xml:space="preserve"> and therefore, subject to improper payment analysis and testing: USF-High Cost Program and USF-Lifeline.  </w:t>
      </w:r>
      <w:r w:rsidR="000021A0">
        <w:rPr>
          <w:sz w:val="22"/>
          <w:szCs w:val="22"/>
        </w:rPr>
        <w:t>Th</w:t>
      </w:r>
      <w:r w:rsidR="00397B2D">
        <w:rPr>
          <w:sz w:val="22"/>
          <w:szCs w:val="22"/>
        </w:rPr>
        <w:t>e</w:t>
      </w:r>
      <w:r w:rsidR="000021A0">
        <w:rPr>
          <w:sz w:val="22"/>
          <w:szCs w:val="22"/>
        </w:rPr>
        <w:t xml:space="preserve">se programs will remain Phase 2 programs on annual basis until the </w:t>
      </w:r>
      <w:r w:rsidR="003E53E3">
        <w:rPr>
          <w:sz w:val="22"/>
          <w:szCs w:val="22"/>
        </w:rPr>
        <w:t xml:space="preserve">outlays are below the 1.5% threshold or the program </w:t>
      </w:r>
      <w:r w:rsidR="00784238">
        <w:rPr>
          <w:sz w:val="22"/>
          <w:szCs w:val="22"/>
        </w:rPr>
        <w:t xml:space="preserve">or activity </w:t>
      </w:r>
      <w:r w:rsidR="00397B2D">
        <w:rPr>
          <w:sz w:val="22"/>
          <w:szCs w:val="22"/>
        </w:rPr>
        <w:t xml:space="preserve">payments made in a given fiscal year is below $10 million. </w:t>
      </w:r>
      <w:r w:rsidRPr="12E74B85">
        <w:rPr>
          <w:sz w:val="22"/>
          <w:szCs w:val="22"/>
        </w:rPr>
        <w:t xml:space="preserve">In addition, the FCC is moving the SCRP program to being categorized as susceptible to significant improper payments for FY 2026. </w:t>
      </w:r>
    </w:p>
    <w:p w:rsidR="53CD42E2" w:rsidP="12E74B85" w14:paraId="70D8CF5F" w14:textId="1AE06788">
      <w:pPr>
        <w:pStyle w:val="ListParagraph"/>
        <w:numPr>
          <w:ilvl w:val="0"/>
          <w:numId w:val="2"/>
        </w:numPr>
        <w:jc w:val="both"/>
        <w:rPr>
          <w:sz w:val="22"/>
          <w:szCs w:val="22"/>
        </w:rPr>
      </w:pPr>
      <w:r w:rsidRPr="12E74B85">
        <w:rPr>
          <w:b/>
          <w:bCs/>
          <w:color w:val="000000" w:themeColor="text1"/>
          <w:sz w:val="22"/>
          <w:szCs w:val="22"/>
          <w:u w:val="single"/>
        </w:rPr>
        <w:t>USF-HC:</w:t>
      </w:r>
      <w:r w:rsidRPr="12E74B85">
        <w:rPr>
          <w:color w:val="000000" w:themeColor="text1"/>
          <w:sz w:val="22"/>
          <w:szCs w:val="22"/>
        </w:rPr>
        <w:t xml:space="preserve"> The estimated improper payment rate decreased to 3.25%, equating to $62.24 million in improper payments. </w:t>
      </w:r>
      <w:r w:rsidRPr="12E74B85">
        <w:rPr>
          <w:sz w:val="22"/>
          <w:szCs w:val="22"/>
        </w:rPr>
        <w:t xml:space="preserve">Key factors that contributed to this year’s improper payment rate include some carriers not adhering to the correct depreciation method and various carriers not being able to provide adequate asset and general ledger documentation. Minor contributing factors include support not used for intended purposes, lack of documentation (assets and general ledger), </w:t>
      </w:r>
      <w:r w:rsidRPr="12E74B85">
        <w:rPr>
          <w:sz w:val="22"/>
          <w:szCs w:val="22"/>
        </w:rPr>
        <w:t>inaccurate loop count, inaccurate subscriber line charge (SLC) revenue, inaccurate consumer broadband only loop count and improper Part 36 reporting. The FCC and Universal Service Administrative Company (USAC) will continue to focus on Program Integrity Assurance (PIA) activities such as annual trend analyses and data validations for legacy funds; in addition, USAC will provide annual training webinars addressing common audit findings. The FCC</w:t>
      </w:r>
      <w:r w:rsidR="006840D0">
        <w:rPr>
          <w:sz w:val="22"/>
          <w:szCs w:val="22"/>
        </w:rPr>
        <w:t>,</w:t>
      </w:r>
      <w:r w:rsidRPr="12E74B85">
        <w:rPr>
          <w:sz w:val="22"/>
          <w:szCs w:val="22"/>
        </w:rPr>
        <w:t xml:space="preserve"> working with USAC</w:t>
      </w:r>
      <w:r w:rsidR="000333FC">
        <w:rPr>
          <w:sz w:val="22"/>
          <w:szCs w:val="22"/>
        </w:rPr>
        <w:t>,</w:t>
      </w:r>
      <w:r w:rsidRPr="12E74B85">
        <w:rPr>
          <w:sz w:val="22"/>
          <w:szCs w:val="22"/>
        </w:rPr>
        <w:t xml:space="preserve"> will introduce a new compliance layer by developing additional PIA procedures leveraging enhanced analytics and testing capabilities on a sample basis to identify potential violations. </w:t>
      </w:r>
    </w:p>
    <w:p w:rsidR="53CD42E2" w:rsidP="12E74B85" w14:paraId="225CF310" w14:textId="533B7D45">
      <w:pPr>
        <w:ind w:left="720"/>
        <w:jc w:val="both"/>
      </w:pPr>
      <w:r w:rsidRPr="12E74B85">
        <w:rPr>
          <w:sz w:val="22"/>
          <w:szCs w:val="22"/>
        </w:rPr>
        <w:t xml:space="preserve"> </w:t>
      </w:r>
    </w:p>
    <w:p w:rsidR="53CD42E2" w:rsidP="12E74B85" w14:paraId="744AD406" w14:textId="34E4485B">
      <w:pPr>
        <w:pStyle w:val="ListParagraph"/>
        <w:numPr>
          <w:ilvl w:val="0"/>
          <w:numId w:val="2"/>
        </w:numPr>
        <w:jc w:val="both"/>
        <w:rPr>
          <w:sz w:val="22"/>
          <w:szCs w:val="22"/>
        </w:rPr>
      </w:pPr>
      <w:r w:rsidRPr="12E74B85">
        <w:rPr>
          <w:b/>
          <w:bCs/>
          <w:color w:val="000000" w:themeColor="text1"/>
          <w:sz w:val="22"/>
          <w:szCs w:val="22"/>
          <w:u w:val="single"/>
        </w:rPr>
        <w:t>USF-LL:</w:t>
      </w:r>
      <w:r w:rsidRPr="12E74B85">
        <w:rPr>
          <w:color w:val="000000" w:themeColor="text1"/>
          <w:sz w:val="22"/>
          <w:szCs w:val="22"/>
        </w:rPr>
        <w:t xml:space="preserve"> The estimated improper payment rate for this fiscal year is 9.12%, amounting to $75.63 million in improper payments. </w:t>
      </w:r>
      <w:r w:rsidRPr="12E74B85">
        <w:rPr>
          <w:sz w:val="22"/>
          <w:szCs w:val="22"/>
        </w:rPr>
        <w:t>The key factors that contribute to the improper payment rate estimate are several carriers provided inadequate documentation to confirm subscriber usage is compliant with the FCC rule on qualifying usage criteria; furthermore, a number of subscriber’s eligibility could not be confirmed due to inadequate documentation provided by carriers. Minor factors that contribute to the improper payment estimate include certification/recertification documentation, one per household and pass-through inadequate claims. The FCC and USAC will review the root cause of the errors identified in the assessments and work with eligible telecommunications carriers (ETCs) and opt-out state administrators. The FCC and USAC will continue to assess ETC’s adherence to the non-usage rules. In addition, the FCC recently revoked California’s ‘opt-out’ status and will now require federal Lifeline applicants in California to comply with the Federal verification process that applies in nearly every other state. The FCC with USAC is taking steps to ensure compliance with this change.</w:t>
      </w:r>
    </w:p>
    <w:p w:rsidR="53CD42E2" w:rsidP="12E74B85" w14:paraId="758F071C" w14:textId="5B6044B6">
      <w:pPr>
        <w:ind w:left="720"/>
      </w:pPr>
      <w:r w:rsidRPr="12E74B85">
        <w:rPr>
          <w:sz w:val="22"/>
          <w:szCs w:val="22"/>
        </w:rPr>
        <w:t xml:space="preserve"> </w:t>
      </w:r>
    </w:p>
    <w:p w:rsidR="53CD42E2" w:rsidP="12E74B85" w14:paraId="04ED4DA3" w14:textId="098AB897">
      <w:pPr>
        <w:spacing w:after="160"/>
      </w:pPr>
      <w:r w:rsidRPr="12E74B85">
        <w:rPr>
          <w:b/>
          <w:bCs/>
          <w:szCs w:val="24"/>
        </w:rPr>
        <w:t>II.    Actions Taken to Address Auditor Recovery Recommendations</w:t>
      </w:r>
    </w:p>
    <w:p w:rsidR="53CD42E2" w:rsidP="12E74B85" w14:paraId="42BE3827" w14:textId="2C758B08">
      <w:r w:rsidRPr="12E74B85">
        <w:rPr>
          <w:b/>
          <w:bCs/>
          <w:sz w:val="22"/>
          <w:szCs w:val="22"/>
          <w:u w:val="single"/>
        </w:rPr>
        <w:t>USF-HC</w:t>
      </w:r>
    </w:p>
    <w:p w:rsidR="53CD42E2" w:rsidP="12E74B85" w14:paraId="0FDB6BCC" w14:textId="7A35ED0C">
      <w:pPr>
        <w:jc w:val="both"/>
      </w:pPr>
      <w:r w:rsidRPr="12E74B85">
        <w:rPr>
          <w:szCs w:val="24"/>
        </w:rPr>
        <w:t xml:space="preserve"> </w:t>
      </w:r>
    </w:p>
    <w:p w:rsidR="53CD42E2" w:rsidP="12E74B85" w14:paraId="5958AA5C" w14:textId="0242966E">
      <w:pPr>
        <w:jc w:val="both"/>
      </w:pPr>
      <w:r w:rsidRPr="12E74B85">
        <w:rPr>
          <w:sz w:val="22"/>
          <w:szCs w:val="22"/>
        </w:rPr>
        <w:t xml:space="preserve">The following are brief descriptions of the FCC’s and USAC’s key efforts to prevent and reduce improper payments in the USF High Cost Program:  </w:t>
      </w:r>
    </w:p>
    <w:p w:rsidR="53CD42E2" w:rsidP="12E74B85" w14:paraId="63DFD918" w14:textId="16FDB016">
      <w:pPr>
        <w:jc w:val="both"/>
      </w:pPr>
      <w:r w:rsidRPr="12E74B85">
        <w:rPr>
          <w:sz w:val="22"/>
          <w:szCs w:val="22"/>
        </w:rPr>
        <w:t xml:space="preserve"> </w:t>
      </w:r>
    </w:p>
    <w:p w:rsidR="53CD42E2" w:rsidP="12E74B85" w14:paraId="15342679" w14:textId="4CB3A0B8">
      <w:pPr>
        <w:jc w:val="both"/>
      </w:pPr>
      <w:r w:rsidRPr="12E74B85">
        <w:rPr>
          <w:color w:val="000000" w:themeColor="text1"/>
          <w:sz w:val="22"/>
          <w:szCs w:val="22"/>
        </w:rPr>
        <w:t xml:space="preserve">Improper Payment Testing Procedures: The FCC and USAC continue to work together to determine what procedures can be added or enhanced to ensure improper payment testing procedures adequately assess the risk associated with the USF High Cost Program. To assist in this initiative, USAC management continues to utilize the testing results from its Beneficiary and Contributor Audit Program (BCAP) audits to identify high-risk areas in the program. The resulting improper payment procedures have a deeper focus on these high-risk areas and complement FCC’s and USAC’s other program integrity efforts. </w:t>
      </w:r>
    </w:p>
    <w:p w:rsidR="53CD42E2" w:rsidP="12E74B85" w14:paraId="6D6E0555" w14:textId="393DC7F2">
      <w:pPr>
        <w:tabs>
          <w:tab w:val="left" w:pos="4070"/>
        </w:tabs>
        <w:jc w:val="both"/>
      </w:pPr>
      <w:r w:rsidRPr="12E74B85">
        <w:rPr>
          <w:sz w:val="22"/>
          <w:szCs w:val="22"/>
        </w:rPr>
        <w:t xml:space="preserve"> </w:t>
      </w:r>
    </w:p>
    <w:p w:rsidR="53CD42E2" w:rsidP="12E74B85" w14:paraId="416EBB79" w14:textId="0B197D46">
      <w:pPr>
        <w:jc w:val="both"/>
      </w:pPr>
      <w:r w:rsidRPr="12E74B85">
        <w:rPr>
          <w:sz w:val="22"/>
          <w:szCs w:val="22"/>
        </w:rPr>
        <w:t xml:space="preserve">Program Integrity Efforts:  As part of its Program Integrity Efforts, the FCC, working with USAC, has taken the following program integrity corrective actions: </w:t>
      </w:r>
    </w:p>
    <w:p w:rsidR="53CD42E2" w:rsidP="12E74B85" w14:paraId="5FD8E874" w14:textId="57B7B40E">
      <w:pPr>
        <w:pStyle w:val="ListParagraph"/>
        <w:numPr>
          <w:ilvl w:val="0"/>
          <w:numId w:val="1"/>
        </w:numPr>
        <w:jc w:val="both"/>
        <w:rPr>
          <w:sz w:val="22"/>
          <w:szCs w:val="22"/>
        </w:rPr>
      </w:pPr>
      <w:r w:rsidRPr="12E74B85">
        <w:rPr>
          <w:sz w:val="22"/>
          <w:szCs w:val="22"/>
        </w:rPr>
        <w:t>Implemented an annual Connect American Fund (CAF) Broadband Loop Support (BLS) trend analysis.  USAC’s High Cost Program is conducting annual data validation (referred to as Trend Analysis) for CAF BLS, comparing projected and actual cost study data that determines carriers’ support for this fund. High Cost contacts carriers that are outside the established threshold, requesting additional information and variance explanation. USAC may also refer carriers that lack supporting documentation or acceptable explanation to its audit team to consider for high-risk targeted audit.</w:t>
      </w:r>
    </w:p>
    <w:p w:rsidR="53CD42E2" w:rsidP="12E74B85" w14:paraId="59BCA323" w14:textId="563F3D63">
      <w:pPr>
        <w:pStyle w:val="ListParagraph"/>
        <w:numPr>
          <w:ilvl w:val="0"/>
          <w:numId w:val="1"/>
        </w:numPr>
        <w:jc w:val="both"/>
        <w:rPr>
          <w:sz w:val="22"/>
          <w:szCs w:val="22"/>
        </w:rPr>
      </w:pPr>
      <w:r w:rsidRPr="12E74B85">
        <w:rPr>
          <w:sz w:val="22"/>
          <w:szCs w:val="22"/>
        </w:rPr>
        <w:t xml:space="preserve">Implemented a process to recalculate High Cost Loop (HCL) support and CAF Intercarrier Compensation (ICC) support.  USAC is conducting annual data validation (referred to as Trend Analysis) of Part 36 data for HCL support, including manual calculation of support and outreach to carriers, as well as NECA to explain and substantiate variances and significant changes in year </w:t>
      </w:r>
      <w:r w:rsidRPr="12E74B85">
        <w:rPr>
          <w:sz w:val="22"/>
          <w:szCs w:val="22"/>
        </w:rPr>
        <w:t>over year data summations. Please note that USAC neither calculates nor collects the cost study data (Part 36 data) required for HCL support calculation.</w:t>
      </w:r>
    </w:p>
    <w:p w:rsidR="53CD42E2" w:rsidP="12E74B85" w14:paraId="1364ABE8" w14:textId="234655A9">
      <w:pPr>
        <w:pStyle w:val="ListParagraph"/>
        <w:numPr>
          <w:ilvl w:val="0"/>
          <w:numId w:val="1"/>
        </w:numPr>
        <w:jc w:val="both"/>
        <w:rPr>
          <w:sz w:val="22"/>
          <w:szCs w:val="22"/>
        </w:rPr>
      </w:pPr>
      <w:r w:rsidRPr="12E74B85">
        <w:rPr>
          <w:sz w:val="22"/>
          <w:szCs w:val="22"/>
        </w:rPr>
        <w:t xml:space="preserve">USAC reviews the annual TRP (Tariff Review Plan) data for CAF ICC carriers and validates data and support amounts with the FCC prior to issuing support. Additionally, USAC conducts both manual calculation of support of a sample of carriers to ensure accuracy of support calculations as well as annual trend analysis and projection versus actual true up calculations that are reported by carriers. USAC then reaches out to outliers to explain variance and provide any supporting documentation. High risk cases and/or non-responsive carriers are referred to USAC’s audit team for further investigation. </w:t>
      </w:r>
    </w:p>
    <w:p w:rsidR="53CD42E2" w:rsidP="12E74B85" w14:paraId="347DD5E0" w14:textId="19C51510">
      <w:pPr>
        <w:pStyle w:val="ListParagraph"/>
        <w:numPr>
          <w:ilvl w:val="0"/>
          <w:numId w:val="1"/>
        </w:numPr>
        <w:jc w:val="both"/>
        <w:rPr>
          <w:sz w:val="22"/>
          <w:szCs w:val="22"/>
        </w:rPr>
      </w:pPr>
      <w:r w:rsidRPr="12E74B85">
        <w:rPr>
          <w:sz w:val="22"/>
          <w:szCs w:val="22"/>
        </w:rPr>
        <w:t xml:space="preserve">USAC will provide annual training webinars addressing common audit findings. These webinars provide insights on common errors and best practices suggested to avoid common audit findings. </w:t>
      </w:r>
    </w:p>
    <w:p w:rsidR="53CD42E2" w:rsidP="12E74B85" w14:paraId="0BD5CB35" w14:textId="48290421">
      <w:pPr>
        <w:pStyle w:val="ListParagraph"/>
        <w:numPr>
          <w:ilvl w:val="0"/>
          <w:numId w:val="1"/>
        </w:numPr>
        <w:jc w:val="both"/>
        <w:rPr>
          <w:sz w:val="22"/>
          <w:szCs w:val="22"/>
        </w:rPr>
      </w:pPr>
      <w:r w:rsidRPr="12E74B85">
        <w:rPr>
          <w:sz w:val="22"/>
          <w:szCs w:val="22"/>
        </w:rPr>
        <w:t>USAC’s High Cost Program is in the process of enhancing PIA procedures with improved analytics and plans for testing of some of the common audit findings on a sample basis in the future.</w:t>
      </w:r>
    </w:p>
    <w:p w:rsidR="53CD42E2" w:rsidP="12E74B85" w14:paraId="3F213453" w14:textId="253EBC4C">
      <w:pPr>
        <w:jc w:val="both"/>
      </w:pPr>
      <w:r w:rsidRPr="12E74B85">
        <w:rPr>
          <w:sz w:val="22"/>
          <w:szCs w:val="22"/>
        </w:rPr>
        <w:t xml:space="preserve"> </w:t>
      </w:r>
    </w:p>
    <w:p w:rsidR="53CD42E2" w:rsidP="12E74B85" w14:paraId="011E92DD" w14:textId="082C37FF">
      <w:pPr>
        <w:jc w:val="both"/>
      </w:pPr>
      <w:r w:rsidRPr="12E74B85">
        <w:rPr>
          <w:sz w:val="22"/>
          <w:szCs w:val="22"/>
        </w:rPr>
        <w:t>Improper Payment Analysis: USAC management continues to perform a deep-dive analysis of its improper payments to more thoroughly understand their root cause and to identify corrective actions that address the root cause.  Through this analysis, USAC management has institutionalized corrective actions as part of its program integrity efforts to reduce future instances of improper payments.</w:t>
      </w:r>
    </w:p>
    <w:p w:rsidR="53CD42E2" w:rsidP="12E74B85" w14:paraId="0CD105B5" w14:textId="70DB18D5">
      <w:pPr>
        <w:jc w:val="both"/>
      </w:pPr>
      <w:r w:rsidRPr="12E74B85">
        <w:rPr>
          <w:b/>
          <w:bCs/>
          <w:sz w:val="22"/>
          <w:szCs w:val="22"/>
        </w:rPr>
        <w:t xml:space="preserve"> </w:t>
      </w:r>
    </w:p>
    <w:p w:rsidR="53CD42E2" w:rsidP="12E74B85" w14:paraId="792AADE2" w14:textId="75A8BD9C">
      <w:pPr>
        <w:jc w:val="both"/>
      </w:pPr>
      <w:r w:rsidRPr="12E74B85">
        <w:rPr>
          <w:b/>
          <w:bCs/>
          <w:sz w:val="22"/>
          <w:szCs w:val="22"/>
          <w:u w:val="single"/>
        </w:rPr>
        <w:t>USF-LL</w:t>
      </w:r>
    </w:p>
    <w:p w:rsidR="53CD42E2" w:rsidP="12E74B85" w14:paraId="243B36DB" w14:textId="682CC4B5">
      <w:r w:rsidRPr="12E74B85">
        <w:rPr>
          <w:b/>
          <w:bCs/>
          <w:sz w:val="22"/>
          <w:szCs w:val="22"/>
        </w:rPr>
        <w:t xml:space="preserve"> </w:t>
      </w:r>
    </w:p>
    <w:p w:rsidR="53CD42E2" w:rsidP="12E74B85" w14:paraId="540FF3C9" w14:textId="0A13852C">
      <w:pPr>
        <w:spacing w:after="160"/>
        <w:jc w:val="both"/>
      </w:pPr>
      <w:r w:rsidRPr="12E74B85">
        <w:rPr>
          <w:sz w:val="22"/>
          <w:szCs w:val="22"/>
        </w:rPr>
        <w:t>The following are brief descriptions of the FCC’s and USAC’s key efforts to prevent and reduce improper payments in the USF Lifeline program:</w:t>
      </w:r>
    </w:p>
    <w:p w:rsidR="53CD42E2" w:rsidP="12E74B85" w14:paraId="2B60C384" w14:textId="31BF243E">
      <w:pPr>
        <w:pStyle w:val="ListParagraph"/>
        <w:numPr>
          <w:ilvl w:val="0"/>
          <w:numId w:val="1"/>
        </w:numPr>
        <w:jc w:val="both"/>
        <w:rPr>
          <w:sz w:val="22"/>
          <w:szCs w:val="22"/>
        </w:rPr>
      </w:pPr>
      <w:r w:rsidRPr="12E74B85">
        <w:rPr>
          <w:color w:val="000000" w:themeColor="text1"/>
          <w:sz w:val="22"/>
          <w:szCs w:val="22"/>
        </w:rPr>
        <w:t>Eligibility – Inadequate Documentation:</w:t>
      </w:r>
      <w:r w:rsidRPr="12E74B85">
        <w:rPr>
          <w:rFonts w:ascii="Segoe UI" w:eastAsia="Segoe UI" w:hAnsi="Segoe UI" w:cs="Segoe UI"/>
          <w:color w:val="000000" w:themeColor="text1"/>
          <w:szCs w:val="24"/>
        </w:rPr>
        <w:t xml:space="preserve"> </w:t>
      </w:r>
      <w:r w:rsidRPr="12E74B85">
        <w:rPr>
          <w:sz w:val="22"/>
          <w:szCs w:val="22"/>
        </w:rPr>
        <w:t>To further refine the verification process, USAC continues to work with states and territories to implement additional automated connections to eligibility databases.  Specifically, USAC will continue to work with the California Public Utility Commission (PUC) to improve eligibility determinations. Where a consumer’s eligibility cannot be confirmed automatically, USAC manually reviews appropriate documentation to confirm that a consumer is eligible to participate in the Lifeline program and is not receiving duplicative support. USAC and its manual review vendor have a robust quality assurance process and continuously update training materials and resources for manual reviews. USAC will continue to review the root cause of the errors identified in the assessments and perform updates to training and materials related to the review of eligibility documentation and provide individual coaching for reviewers.</w:t>
      </w:r>
    </w:p>
    <w:p w:rsidR="53CD42E2" w:rsidP="12E74B85" w14:paraId="79345F7D" w14:textId="7DB85066">
      <w:pPr>
        <w:jc w:val="both"/>
      </w:pPr>
      <w:r w:rsidRPr="12E74B85">
        <w:rPr>
          <w:rFonts w:ascii="Segoe UI" w:eastAsia="Segoe UI" w:hAnsi="Segoe UI" w:cs="Segoe UI"/>
          <w:color w:val="000000" w:themeColor="text1"/>
          <w:szCs w:val="24"/>
        </w:rPr>
        <w:t xml:space="preserve"> </w:t>
      </w:r>
    </w:p>
    <w:p w:rsidR="53CD42E2" w:rsidP="12E74B85" w14:paraId="219CF086" w14:textId="20F416CE">
      <w:pPr>
        <w:pStyle w:val="ListParagraph"/>
        <w:numPr>
          <w:ilvl w:val="0"/>
          <w:numId w:val="1"/>
        </w:numPr>
        <w:jc w:val="both"/>
        <w:rPr>
          <w:color w:val="000000" w:themeColor="text1"/>
          <w:sz w:val="22"/>
          <w:szCs w:val="22"/>
        </w:rPr>
      </w:pPr>
      <w:r w:rsidRPr="12E74B85">
        <w:rPr>
          <w:color w:val="000000" w:themeColor="text1"/>
          <w:sz w:val="22"/>
          <w:szCs w:val="22"/>
        </w:rPr>
        <w:t>Usage – Inadequate Documentation: USAC’s Lifeline will review the root causes of the usage errors and work with ETCs and opt-out state administrators to improve non-usage compliance. It was noted that two ETCs accounted for 80% of the improper payment rate related to non-usage.  USAC will continue Program Integrity Assurance reviews, including the two ETCs, to assess adherence to the non-usage rules.</w:t>
      </w:r>
    </w:p>
    <w:p w:rsidR="53CD42E2" w:rsidP="12E74B85" w14:paraId="24090188" w14:textId="7CD6A194">
      <w:pPr>
        <w:ind w:left="720"/>
      </w:pPr>
      <w:r w:rsidRPr="12E74B85">
        <w:rPr>
          <w:sz w:val="22"/>
          <w:szCs w:val="22"/>
        </w:rPr>
        <w:t xml:space="preserve"> </w:t>
      </w:r>
    </w:p>
    <w:p w:rsidR="53CD42E2" w:rsidP="12E74B85" w14:paraId="39CEC609" w14:textId="3B68266C">
      <w:pPr>
        <w:pStyle w:val="ListParagraph"/>
        <w:numPr>
          <w:ilvl w:val="0"/>
          <w:numId w:val="1"/>
        </w:numPr>
        <w:jc w:val="both"/>
        <w:rPr>
          <w:sz w:val="22"/>
          <w:szCs w:val="22"/>
        </w:rPr>
      </w:pPr>
      <w:r w:rsidRPr="12E74B85">
        <w:rPr>
          <w:sz w:val="22"/>
          <w:szCs w:val="22"/>
        </w:rPr>
        <w:t xml:space="preserve">Program Integrity Assurance Reviews: USAC conducts detailed analyses of Lifeline subscribership data to identify potential instances of non-compliance or fraud. Such analyses are rooted in trend reviews, ongoing examination of risk-focused data reports, continuous assessment of real-time provider activity and data, stakeholder referrals (FCC, whistleblowers, etc.), and other means.  Based on these analyses, USAC performs targeted and random program integrity reviews of high-risk areas; these occur on recurring quarterly schedules with focus on specific risk areas, on </w:t>
      </w:r>
      <w:r w:rsidRPr="12E74B85">
        <w:rPr>
          <w:i/>
          <w:iCs/>
          <w:sz w:val="22"/>
          <w:szCs w:val="22"/>
        </w:rPr>
        <w:t>ad hoc</w:t>
      </w:r>
      <w:r w:rsidRPr="12E74B85">
        <w:rPr>
          <w:sz w:val="22"/>
          <w:szCs w:val="22"/>
        </w:rPr>
        <w:t xml:space="preserve"> schedules when warranted by suspicion or evidence of non-compliance, and on a targeted basis when established risk-based data reports reflect the need. The results of these reviews are used to address compliance gaps, enhance preventive controls with the goal of reducing improper payments, and recover improper payments where identified.</w:t>
      </w:r>
    </w:p>
    <w:p w:rsidR="53CD42E2" w:rsidP="12E74B85" w14:paraId="0AAD5039" w14:textId="5A14D706">
      <w:pPr>
        <w:jc w:val="both"/>
      </w:pPr>
      <w:r w:rsidRPr="12E74B85">
        <w:rPr>
          <w:sz w:val="22"/>
          <w:szCs w:val="22"/>
        </w:rPr>
        <w:t xml:space="preserve"> </w:t>
      </w:r>
    </w:p>
    <w:p w:rsidR="53CD42E2" w:rsidP="12E74B85" w14:paraId="6018FBAD" w14:textId="20DFB93A">
      <w:pPr>
        <w:pStyle w:val="ListParagraph"/>
        <w:numPr>
          <w:ilvl w:val="0"/>
          <w:numId w:val="1"/>
        </w:numPr>
        <w:jc w:val="both"/>
        <w:rPr>
          <w:sz w:val="22"/>
          <w:szCs w:val="22"/>
        </w:rPr>
      </w:pPr>
      <w:r w:rsidRPr="12E74B85">
        <w:rPr>
          <w:sz w:val="22"/>
          <w:szCs w:val="22"/>
        </w:rPr>
        <w:t>Improper Payment Analysis: Under the oversight of the FCC, USAC management continues to perform a deep-dive analysis of its improper payments to more thoroughly understand their root cause and to identify corrective actions that address the root cause. Through this analysis, USAC management has institutionalized corrective actions as part of its program integrity efforts to reduce future instances of improper payments.</w:t>
      </w:r>
    </w:p>
    <w:p w:rsidR="53CD42E2" w:rsidP="12E74B85" w14:paraId="6A340584" w14:textId="210EF465">
      <w:pPr>
        <w:jc w:val="both"/>
      </w:pPr>
      <w:r w:rsidRPr="12E74B85">
        <w:rPr>
          <w:sz w:val="22"/>
          <w:szCs w:val="22"/>
        </w:rPr>
        <w:t xml:space="preserve"> </w:t>
      </w:r>
    </w:p>
    <w:p w:rsidR="53CD42E2" w:rsidP="12E74B85" w14:paraId="733A8342" w14:textId="06CA2BB5">
      <w:pPr>
        <w:pStyle w:val="ListParagraph"/>
        <w:numPr>
          <w:ilvl w:val="0"/>
          <w:numId w:val="1"/>
        </w:numPr>
        <w:jc w:val="both"/>
        <w:rPr>
          <w:sz w:val="22"/>
          <w:szCs w:val="22"/>
        </w:rPr>
      </w:pPr>
      <w:r w:rsidRPr="12E74B85">
        <w:rPr>
          <w:sz w:val="22"/>
          <w:szCs w:val="22"/>
        </w:rPr>
        <w:t>Improper Payment Testing Procedures: The FCC and USAC will continue to work together to determine what procedures can be added or enhanced to better ensure that improper payment testing procedures adequately assess the risk associated with the USF Lifeline program.  To assist with this initiative, USAC has engaged external auditors who are testing the compliance of multiple service providers with the Lifeline program’s non-usage rules. The methodology used in such targeted audits will be used by USAC’s audit department to test other service providers in the future.</w:t>
      </w:r>
    </w:p>
    <w:p w:rsidR="12E74B85" w:rsidP="12E74B85" w14:paraId="310977D2" w14:textId="164B5199">
      <w:pPr>
        <w:jc w:val="both"/>
        <w:rPr>
          <w:szCs w:val="24"/>
        </w:rPr>
      </w:pPr>
    </w:p>
    <w:p w:rsidR="12E74B85" w:rsidRPr="00561772" w:rsidP="12E74B85" w14:paraId="73B6CC89" w14:textId="4C29867B">
      <w:pPr>
        <w:widowControl w:val="0"/>
        <w:rPr>
          <w:bCs/>
          <w:sz w:val="22"/>
          <w:szCs w:val="22"/>
        </w:rPr>
        <w:sectPr w:rsidSect="00D86CEE">
          <w:headerReference w:type="default" r:id="rId107"/>
          <w:footerReference w:type="default" r:id="rId108"/>
          <w:footnotePr>
            <w:numRestart w:val="eachSect"/>
          </w:footnotePr>
          <w:pgSz w:w="12240" w:h="15840" w:code="1"/>
          <w:pgMar w:top="1260" w:right="1440" w:bottom="1620" w:left="1440" w:header="720" w:footer="990" w:gutter="0"/>
          <w:cols w:space="720"/>
          <w:docGrid w:linePitch="360"/>
        </w:sectPr>
      </w:pPr>
    </w:p>
    <w:p w:rsidR="009A2C37" w:rsidRPr="00E902C7" w:rsidP="009A2C37" w14:paraId="36E7166F" w14:textId="73191509">
      <w:pPr>
        <w:pStyle w:val="Heading2"/>
        <w:jc w:val="left"/>
        <w:rPr>
          <w:rFonts w:ascii="Times New Roman" w:hAnsi="Times New Roman" w:cs="Times New Roman"/>
          <w:sz w:val="28"/>
          <w:szCs w:val="28"/>
        </w:rPr>
      </w:pPr>
      <w:bookmarkStart w:id="190" w:name="_Toc216960449"/>
      <w:bookmarkEnd w:id="187"/>
      <w:bookmarkEnd w:id="188"/>
      <w:r w:rsidRPr="00E902C7">
        <w:rPr>
          <w:rFonts w:ascii="Times New Roman" w:hAnsi="Times New Roman" w:cs="Times New Roman"/>
          <w:sz w:val="28"/>
          <w:szCs w:val="28"/>
        </w:rPr>
        <w:t>Civil Monetary Penalty Adjustment for Inflation</w:t>
      </w:r>
      <w:bookmarkEnd w:id="190"/>
    </w:p>
    <w:p w:rsidR="009A2C37" w:rsidRPr="00E902C7" w:rsidP="009A2C37" w14:paraId="5A547F1B" w14:textId="77777777">
      <w:pPr>
        <w:autoSpaceDE w:val="0"/>
        <w:autoSpaceDN w:val="0"/>
        <w:adjustRightInd w:val="0"/>
        <w:jc w:val="both"/>
        <w:rPr>
          <w:sz w:val="22"/>
          <w:szCs w:val="22"/>
        </w:rPr>
      </w:pPr>
    </w:p>
    <w:p w:rsidR="00736842" w:rsidRPr="00E902C7" w:rsidP="00736842" w14:paraId="3F5DFBCB" w14:textId="77777777">
      <w:pPr>
        <w:autoSpaceDE w:val="0"/>
        <w:autoSpaceDN w:val="0"/>
        <w:adjustRightInd w:val="0"/>
        <w:jc w:val="both"/>
        <w:rPr>
          <w:sz w:val="22"/>
          <w:szCs w:val="22"/>
        </w:rPr>
      </w:pPr>
      <w:r w:rsidRPr="00E902C7">
        <w:rPr>
          <w:sz w:val="22"/>
          <w:szCs w:val="22"/>
        </w:rPr>
        <w:t>On November 2, 2015, the Federal Civil Penalties Inflation Adjustment Act Improvements Act of 2015 (“the 2015 Act”), which was included as Section 701 of the Bipartisan Budget Act of 2015, was signed into law.  The 2015 Act amended the Federal Civil Penalties Inflation Adjustment Act of 1990 to improve the effectiveness of civil monetary penalties and to maintain their deterrent effect.</w:t>
      </w:r>
    </w:p>
    <w:p w:rsidR="00736842" w:rsidRPr="00E902C7" w:rsidP="00736842" w14:paraId="13915FC2" w14:textId="77777777">
      <w:pPr>
        <w:autoSpaceDE w:val="0"/>
        <w:autoSpaceDN w:val="0"/>
        <w:adjustRightInd w:val="0"/>
        <w:jc w:val="both"/>
        <w:rPr>
          <w:sz w:val="22"/>
          <w:szCs w:val="22"/>
        </w:rPr>
      </w:pPr>
    </w:p>
    <w:p w:rsidR="00736842" w:rsidRPr="00E902C7" w:rsidP="00736842" w14:paraId="4B13541E" w14:textId="77777777">
      <w:pPr>
        <w:autoSpaceDE w:val="0"/>
        <w:autoSpaceDN w:val="0"/>
        <w:adjustRightInd w:val="0"/>
        <w:jc w:val="both"/>
        <w:rPr>
          <w:sz w:val="22"/>
          <w:szCs w:val="22"/>
        </w:rPr>
      </w:pPr>
      <w:r w:rsidRPr="00E902C7">
        <w:rPr>
          <w:sz w:val="22"/>
          <w:szCs w:val="22"/>
        </w:rPr>
        <w:t>The 2015 Act required agencies use an interim final rulemaking (IFR) to adjust the level of civil monetary penalties in 2016 with an initial “catch-up” adjustment.  The 2015 Act also requires agencies to continue to make annual inflation adjustments in future years by January 15 each year, and to report on these adjustments annually.</w:t>
      </w:r>
    </w:p>
    <w:p w:rsidR="00736842" w:rsidRPr="00E902C7" w:rsidP="00736842" w14:paraId="3F8ED70B" w14:textId="77777777">
      <w:pPr>
        <w:autoSpaceDE w:val="0"/>
        <w:autoSpaceDN w:val="0"/>
        <w:adjustRightInd w:val="0"/>
        <w:jc w:val="both"/>
        <w:rPr>
          <w:sz w:val="22"/>
          <w:szCs w:val="22"/>
        </w:rPr>
      </w:pPr>
    </w:p>
    <w:p w:rsidR="00736842" w:rsidRPr="00E902C7" w:rsidP="00736842" w14:paraId="65DC9A29" w14:textId="41D1C34E">
      <w:pPr>
        <w:autoSpaceDE w:val="0"/>
        <w:autoSpaceDN w:val="0"/>
        <w:adjustRightInd w:val="0"/>
        <w:jc w:val="both"/>
        <w:rPr>
          <w:color w:val="000000"/>
          <w:sz w:val="22"/>
          <w:szCs w:val="22"/>
        </w:rPr>
      </w:pPr>
      <w:bookmarkStart w:id="191" w:name="_Hlk117154151"/>
      <w:r w:rsidRPr="00E902C7">
        <w:rPr>
          <w:sz w:val="22"/>
          <w:szCs w:val="22"/>
        </w:rPr>
        <w:t>On December 1</w:t>
      </w:r>
      <w:r w:rsidRPr="00E902C7" w:rsidR="006550A1">
        <w:rPr>
          <w:sz w:val="22"/>
          <w:szCs w:val="22"/>
        </w:rPr>
        <w:t>7</w:t>
      </w:r>
      <w:r w:rsidRPr="00E902C7">
        <w:rPr>
          <w:sz w:val="22"/>
          <w:szCs w:val="22"/>
        </w:rPr>
        <w:t>, 202</w:t>
      </w:r>
      <w:r w:rsidRPr="00E902C7" w:rsidR="006550A1">
        <w:rPr>
          <w:sz w:val="22"/>
          <w:szCs w:val="22"/>
        </w:rPr>
        <w:t>4</w:t>
      </w:r>
      <w:r w:rsidRPr="00E902C7">
        <w:rPr>
          <w:sz w:val="22"/>
          <w:szCs w:val="22"/>
        </w:rPr>
        <w:t>, OMB provided its annual inflation adjustment update to agencies through OMB Memorandum M-2</w:t>
      </w:r>
      <w:r w:rsidRPr="00E902C7" w:rsidR="006550A1">
        <w:rPr>
          <w:sz w:val="22"/>
          <w:szCs w:val="22"/>
        </w:rPr>
        <w:t>5</w:t>
      </w:r>
      <w:r w:rsidRPr="00E902C7">
        <w:rPr>
          <w:sz w:val="22"/>
          <w:szCs w:val="22"/>
        </w:rPr>
        <w:t>-0</w:t>
      </w:r>
      <w:r w:rsidRPr="00E902C7" w:rsidR="006550A1">
        <w:rPr>
          <w:sz w:val="22"/>
          <w:szCs w:val="22"/>
        </w:rPr>
        <w:t>2</w:t>
      </w:r>
      <w:r w:rsidRPr="00E902C7">
        <w:rPr>
          <w:sz w:val="22"/>
          <w:szCs w:val="22"/>
        </w:rPr>
        <w:t xml:space="preserve">, </w:t>
      </w:r>
      <w:r w:rsidRPr="00E902C7">
        <w:rPr>
          <w:i/>
          <w:sz w:val="22"/>
          <w:szCs w:val="22"/>
        </w:rPr>
        <w:t>Implementation of Penalty Inflation Adjustments for 202</w:t>
      </w:r>
      <w:r w:rsidRPr="00E902C7" w:rsidR="006550A1">
        <w:rPr>
          <w:i/>
          <w:sz w:val="22"/>
          <w:szCs w:val="22"/>
        </w:rPr>
        <w:t>5,</w:t>
      </w:r>
      <w:r w:rsidRPr="00E902C7" w:rsidR="006550A1">
        <w:rPr>
          <w:sz w:val="22"/>
          <w:szCs w:val="22"/>
        </w:rPr>
        <w:t xml:space="preserve"> </w:t>
      </w:r>
      <w:r w:rsidRPr="00E902C7" w:rsidR="006550A1">
        <w:rPr>
          <w:i/>
          <w:iCs/>
          <w:sz w:val="22"/>
          <w:szCs w:val="22"/>
        </w:rPr>
        <w:t>Pursuant to the Federal Civil Penalties Inflation Adjustment Act Improvements Act of 2015</w:t>
      </w:r>
      <w:r w:rsidRPr="00E902C7">
        <w:rPr>
          <w:sz w:val="22"/>
          <w:szCs w:val="22"/>
        </w:rPr>
        <w:t xml:space="preserve">.  </w:t>
      </w:r>
      <w:r w:rsidRPr="00E902C7" w:rsidR="006550A1">
        <w:rPr>
          <w:sz w:val="22"/>
          <w:szCs w:val="22"/>
        </w:rPr>
        <w:t>The Enforcement Bureau a</w:t>
      </w:r>
      <w:r w:rsidRPr="00E902C7">
        <w:rPr>
          <w:color w:val="000000"/>
          <w:sz w:val="22"/>
          <w:szCs w:val="22"/>
        </w:rPr>
        <w:t xml:space="preserve">dopted </w:t>
      </w:r>
      <w:r w:rsidRPr="00E902C7" w:rsidR="006550A1">
        <w:rPr>
          <w:color w:val="000000"/>
          <w:sz w:val="22"/>
          <w:szCs w:val="22"/>
        </w:rPr>
        <w:t>and release an order on January 3, 2025</w:t>
      </w:r>
      <w:r w:rsidRPr="00E902C7">
        <w:rPr>
          <w:color w:val="000000"/>
          <w:sz w:val="22"/>
          <w:szCs w:val="22"/>
        </w:rPr>
        <w:t>, DA-2</w:t>
      </w:r>
      <w:r w:rsidRPr="00E902C7" w:rsidR="006550A1">
        <w:rPr>
          <w:color w:val="000000"/>
          <w:sz w:val="22"/>
          <w:szCs w:val="22"/>
        </w:rPr>
        <w:t>5</w:t>
      </w:r>
      <w:r w:rsidRPr="00E902C7">
        <w:rPr>
          <w:color w:val="000000"/>
          <w:sz w:val="22"/>
          <w:szCs w:val="22"/>
        </w:rPr>
        <w:t>-</w:t>
      </w:r>
      <w:r w:rsidRPr="00E902C7" w:rsidR="006550A1">
        <w:rPr>
          <w:color w:val="000000"/>
          <w:sz w:val="22"/>
          <w:szCs w:val="22"/>
        </w:rPr>
        <w:t>5</w:t>
      </w:r>
      <w:r w:rsidRPr="00E902C7">
        <w:rPr>
          <w:color w:val="000000"/>
          <w:sz w:val="22"/>
          <w:szCs w:val="22"/>
        </w:rPr>
        <w:t>, which adjusted the Commission’s forfeiture penalties for inflation for 202</w:t>
      </w:r>
      <w:r w:rsidRPr="00E902C7" w:rsidR="006550A1">
        <w:rPr>
          <w:color w:val="000000"/>
          <w:sz w:val="22"/>
          <w:szCs w:val="22"/>
        </w:rPr>
        <w:t>5</w:t>
      </w:r>
      <w:bookmarkEnd w:id="191"/>
      <w:r w:rsidRPr="00E902C7">
        <w:rPr>
          <w:color w:val="000000"/>
          <w:sz w:val="22"/>
          <w:szCs w:val="22"/>
        </w:rPr>
        <w:t>.</w:t>
      </w:r>
    </w:p>
    <w:p w:rsidR="00736842" w:rsidRPr="00E902C7" w:rsidP="00736842" w14:paraId="5B12F694" w14:textId="77777777">
      <w:pPr>
        <w:autoSpaceDE w:val="0"/>
        <w:autoSpaceDN w:val="0"/>
        <w:adjustRightInd w:val="0"/>
        <w:jc w:val="both"/>
        <w:rPr>
          <w:color w:val="000000"/>
          <w:sz w:val="22"/>
          <w:szCs w:val="22"/>
        </w:rPr>
      </w:pPr>
    </w:p>
    <w:p w:rsidR="00736842" w:rsidRPr="00E902C7" w:rsidP="00736842" w14:paraId="018A63E3" w14:textId="5D8B6544">
      <w:pPr>
        <w:autoSpaceDE w:val="0"/>
        <w:autoSpaceDN w:val="0"/>
        <w:adjustRightInd w:val="0"/>
        <w:jc w:val="both"/>
        <w:rPr>
          <w:sz w:val="22"/>
          <w:szCs w:val="22"/>
        </w:rPr>
      </w:pPr>
      <w:r w:rsidRPr="00E902C7">
        <w:rPr>
          <w:sz w:val="22"/>
          <w:szCs w:val="22"/>
        </w:rPr>
        <w:t>For 202</w:t>
      </w:r>
      <w:r w:rsidRPr="00E902C7" w:rsidR="006550A1">
        <w:rPr>
          <w:sz w:val="22"/>
          <w:szCs w:val="22"/>
        </w:rPr>
        <w:t>5</w:t>
      </w:r>
      <w:r w:rsidRPr="00E902C7">
        <w:rPr>
          <w:sz w:val="22"/>
          <w:szCs w:val="22"/>
        </w:rPr>
        <w:t>, the adjusted penalty or penalty range for each applicable penalty is calculated by multiplying the most recent penalty amount by the 202</w:t>
      </w:r>
      <w:r w:rsidRPr="00E902C7" w:rsidR="00E902C7">
        <w:rPr>
          <w:sz w:val="22"/>
          <w:szCs w:val="22"/>
        </w:rPr>
        <w:t>5</w:t>
      </w:r>
      <w:r w:rsidRPr="00E902C7">
        <w:rPr>
          <w:sz w:val="22"/>
          <w:szCs w:val="22"/>
        </w:rPr>
        <w:t xml:space="preserve"> annual adjustment (1.0</w:t>
      </w:r>
      <w:r w:rsidRPr="00E902C7" w:rsidR="00E902C7">
        <w:rPr>
          <w:sz w:val="22"/>
          <w:szCs w:val="22"/>
        </w:rPr>
        <w:t>2598</w:t>
      </w:r>
      <w:r w:rsidRPr="00E902C7">
        <w:rPr>
          <w:sz w:val="22"/>
          <w:szCs w:val="22"/>
        </w:rPr>
        <w:t>), then rounding the result to the nearest dollar. The 202</w:t>
      </w:r>
      <w:r w:rsidRPr="00E902C7" w:rsidR="00E902C7">
        <w:rPr>
          <w:sz w:val="22"/>
          <w:szCs w:val="22"/>
        </w:rPr>
        <w:t>5</w:t>
      </w:r>
      <w:r w:rsidRPr="00E902C7">
        <w:rPr>
          <w:sz w:val="22"/>
          <w:szCs w:val="22"/>
        </w:rPr>
        <w:t xml:space="preserve"> annual adjustment is based on the percent change between each published October's CPI-U; in this case, October 202</w:t>
      </w:r>
      <w:r w:rsidRPr="00E902C7" w:rsidR="00E902C7">
        <w:rPr>
          <w:sz w:val="22"/>
          <w:szCs w:val="22"/>
        </w:rPr>
        <w:t>4</w:t>
      </w:r>
      <w:r w:rsidRPr="00E902C7">
        <w:rPr>
          <w:sz w:val="22"/>
          <w:szCs w:val="22"/>
        </w:rPr>
        <w:t xml:space="preserve"> CPI-U (3</w:t>
      </w:r>
      <w:r w:rsidRPr="00E902C7" w:rsidR="00E902C7">
        <w:rPr>
          <w:sz w:val="22"/>
          <w:szCs w:val="22"/>
        </w:rPr>
        <w:t>15</w:t>
      </w:r>
      <w:r w:rsidRPr="00E902C7">
        <w:rPr>
          <w:sz w:val="22"/>
          <w:szCs w:val="22"/>
        </w:rPr>
        <w:t>.</w:t>
      </w:r>
      <w:r w:rsidRPr="00E902C7" w:rsidR="00E902C7">
        <w:rPr>
          <w:sz w:val="22"/>
          <w:szCs w:val="22"/>
        </w:rPr>
        <w:t>664</w:t>
      </w:r>
      <w:r w:rsidRPr="00E902C7">
        <w:rPr>
          <w:sz w:val="22"/>
          <w:szCs w:val="22"/>
        </w:rPr>
        <w:t>)/October 202</w:t>
      </w:r>
      <w:r w:rsidRPr="00E902C7" w:rsidR="00E902C7">
        <w:rPr>
          <w:sz w:val="22"/>
          <w:szCs w:val="22"/>
        </w:rPr>
        <w:t>3</w:t>
      </w:r>
      <w:r w:rsidRPr="00E902C7">
        <w:rPr>
          <w:sz w:val="22"/>
          <w:szCs w:val="22"/>
        </w:rPr>
        <w:t xml:space="preserve"> CPI-U (</w:t>
      </w:r>
      <w:r w:rsidRPr="00E902C7" w:rsidR="00E902C7">
        <w:rPr>
          <w:sz w:val="22"/>
          <w:szCs w:val="22"/>
        </w:rPr>
        <w:t>307</w:t>
      </w:r>
      <w:r w:rsidRPr="00E902C7">
        <w:rPr>
          <w:sz w:val="22"/>
          <w:szCs w:val="22"/>
        </w:rPr>
        <w:t>.</w:t>
      </w:r>
      <w:r w:rsidRPr="00E902C7" w:rsidR="00E902C7">
        <w:rPr>
          <w:sz w:val="22"/>
          <w:szCs w:val="22"/>
        </w:rPr>
        <w:t>671</w:t>
      </w:r>
      <w:r w:rsidRPr="00E902C7">
        <w:rPr>
          <w:sz w:val="22"/>
          <w:szCs w:val="22"/>
        </w:rPr>
        <w:t>) = 1.0</w:t>
      </w:r>
      <w:r w:rsidRPr="00E902C7" w:rsidR="00E902C7">
        <w:rPr>
          <w:sz w:val="22"/>
          <w:szCs w:val="22"/>
        </w:rPr>
        <w:t>2598</w:t>
      </w:r>
      <w:r w:rsidRPr="00E902C7">
        <w:rPr>
          <w:sz w:val="22"/>
          <w:szCs w:val="22"/>
        </w:rPr>
        <w:t>.</w:t>
      </w:r>
    </w:p>
    <w:p w:rsidR="00736842" w:rsidRPr="00E902C7" w:rsidP="00736842" w14:paraId="35269FF5" w14:textId="77777777">
      <w:pPr>
        <w:autoSpaceDE w:val="0"/>
        <w:autoSpaceDN w:val="0"/>
        <w:adjustRightInd w:val="0"/>
        <w:jc w:val="both"/>
        <w:rPr>
          <w:color w:val="000000"/>
          <w:sz w:val="22"/>
          <w:szCs w:val="22"/>
        </w:rPr>
      </w:pPr>
    </w:p>
    <w:p w:rsidR="009A2C37" w:rsidRPr="00E902C7" w:rsidP="00736842" w14:paraId="38751D28" w14:textId="301D4730">
      <w:pPr>
        <w:jc w:val="both"/>
        <w:rPr>
          <w:color w:val="000000"/>
          <w:sz w:val="22"/>
          <w:szCs w:val="22"/>
        </w:rPr>
      </w:pPr>
      <w:r w:rsidRPr="00E902C7">
        <w:rPr>
          <w:color w:val="000000"/>
          <w:sz w:val="22"/>
          <w:szCs w:val="22"/>
        </w:rPr>
        <w:t>On January 1</w:t>
      </w:r>
      <w:r w:rsidRPr="00E902C7" w:rsidR="00E902C7">
        <w:rPr>
          <w:color w:val="000000"/>
          <w:sz w:val="22"/>
          <w:szCs w:val="22"/>
        </w:rPr>
        <w:t>5</w:t>
      </w:r>
      <w:r w:rsidRPr="00E902C7">
        <w:rPr>
          <w:color w:val="000000"/>
          <w:sz w:val="22"/>
          <w:szCs w:val="22"/>
        </w:rPr>
        <w:t>, 202</w:t>
      </w:r>
      <w:r w:rsidRPr="00E902C7" w:rsidR="00E902C7">
        <w:rPr>
          <w:color w:val="000000"/>
          <w:sz w:val="22"/>
          <w:szCs w:val="22"/>
        </w:rPr>
        <w:t>5</w:t>
      </w:r>
      <w:r w:rsidRPr="00E902C7">
        <w:rPr>
          <w:color w:val="000000"/>
          <w:sz w:val="22"/>
          <w:szCs w:val="22"/>
        </w:rPr>
        <w:t>, the Government Printing Office (GPO) published a summary of the FCC order in the Federal Register: FR Document 202</w:t>
      </w:r>
      <w:r w:rsidRPr="00E902C7" w:rsidR="00E902C7">
        <w:rPr>
          <w:color w:val="000000"/>
          <w:sz w:val="22"/>
          <w:szCs w:val="22"/>
        </w:rPr>
        <w:t>5</w:t>
      </w:r>
      <w:r w:rsidRPr="00E902C7">
        <w:rPr>
          <w:color w:val="000000"/>
          <w:sz w:val="22"/>
          <w:szCs w:val="22"/>
        </w:rPr>
        <w:t>-004</w:t>
      </w:r>
      <w:r w:rsidRPr="00E902C7" w:rsidR="00E902C7">
        <w:rPr>
          <w:color w:val="000000"/>
          <w:sz w:val="22"/>
          <w:szCs w:val="22"/>
        </w:rPr>
        <w:t>94</w:t>
      </w:r>
      <w:r w:rsidRPr="00E902C7">
        <w:rPr>
          <w:color w:val="000000"/>
          <w:sz w:val="22"/>
          <w:szCs w:val="22"/>
        </w:rPr>
        <w:t xml:space="preserve"> Citation </w:t>
      </w:r>
      <w:r w:rsidRPr="00E902C7" w:rsidR="00E902C7">
        <w:rPr>
          <w:color w:val="000000"/>
          <w:sz w:val="22"/>
          <w:szCs w:val="22"/>
        </w:rPr>
        <w:t>90</w:t>
      </w:r>
      <w:r w:rsidRPr="00E902C7">
        <w:rPr>
          <w:color w:val="000000"/>
          <w:sz w:val="22"/>
          <w:szCs w:val="22"/>
        </w:rPr>
        <w:t xml:space="preserve"> FR </w:t>
      </w:r>
      <w:r w:rsidRPr="00E902C7" w:rsidR="00E902C7">
        <w:rPr>
          <w:color w:val="000000"/>
          <w:sz w:val="22"/>
          <w:szCs w:val="22"/>
        </w:rPr>
        <w:t>3710</w:t>
      </w:r>
      <w:r w:rsidRPr="00E902C7">
        <w:rPr>
          <w:color w:val="000000"/>
          <w:sz w:val="22"/>
          <w:szCs w:val="22"/>
        </w:rPr>
        <w:t xml:space="preserve"> pages </w:t>
      </w:r>
      <w:r w:rsidRPr="00E902C7" w:rsidR="00E902C7">
        <w:rPr>
          <w:color w:val="000000"/>
          <w:sz w:val="22"/>
          <w:szCs w:val="22"/>
        </w:rPr>
        <w:t>3710</w:t>
      </w:r>
      <w:r w:rsidRPr="00E902C7">
        <w:rPr>
          <w:color w:val="000000"/>
          <w:sz w:val="22"/>
          <w:szCs w:val="22"/>
        </w:rPr>
        <w:t>-</w:t>
      </w:r>
      <w:r w:rsidRPr="00E902C7" w:rsidR="00E902C7">
        <w:rPr>
          <w:color w:val="000000"/>
          <w:sz w:val="22"/>
          <w:szCs w:val="22"/>
        </w:rPr>
        <w:t>3713</w:t>
      </w:r>
      <w:r w:rsidRPr="00E902C7">
        <w:rPr>
          <w:color w:val="000000"/>
          <w:sz w:val="22"/>
          <w:szCs w:val="22"/>
        </w:rPr>
        <w:t xml:space="preserve"> (</w:t>
      </w:r>
      <w:hyperlink r:id="rId109" w:history="1">
        <w:r w:rsidRPr="00E902C7" w:rsidR="00E902C7">
          <w:rPr>
            <w:rStyle w:val="Hyperlink"/>
            <w:sz w:val="22"/>
            <w:szCs w:val="22"/>
          </w:rPr>
          <w:t>https://www.federalregister.gov/documents/2025/01/15/2025-00494/annual-adjustment-of-civil-monetary-penalties-to-reflect-inflation</w:t>
        </w:r>
      </w:hyperlink>
      <w:r w:rsidRPr="00E902C7">
        <w:rPr>
          <w:color w:val="000000"/>
          <w:sz w:val="22"/>
          <w:szCs w:val="22"/>
        </w:rPr>
        <w:t>).</w:t>
      </w:r>
    </w:p>
    <w:p w:rsidR="005C320A" w:rsidRPr="00E902C7" w:rsidP="00736842" w14:paraId="09FF775F" w14:textId="77777777">
      <w:pPr>
        <w:jc w:val="both"/>
        <w:rPr>
          <w:color w:val="000000"/>
          <w:sz w:val="22"/>
          <w:szCs w:val="22"/>
        </w:rPr>
      </w:pPr>
    </w:p>
    <w:p w:rsidR="005C320A" w:rsidP="00736842" w14:paraId="31C8135E" w14:textId="77777777">
      <w:pPr>
        <w:jc w:val="both"/>
        <w:rPr>
          <w:color w:val="000000"/>
          <w:sz w:val="22"/>
          <w:szCs w:val="22"/>
        </w:rPr>
      </w:pPr>
    </w:p>
    <w:p w:rsidR="005C320A" w:rsidP="00736842" w14:paraId="69B67A8F" w14:textId="77777777">
      <w:pPr>
        <w:jc w:val="both"/>
        <w:rPr>
          <w:color w:val="000000"/>
          <w:sz w:val="22"/>
          <w:szCs w:val="22"/>
        </w:rPr>
      </w:pPr>
    </w:p>
    <w:p w:rsidR="005C320A" w:rsidP="00736842" w14:paraId="664C3E65" w14:textId="77777777">
      <w:pPr>
        <w:jc w:val="both"/>
        <w:sectPr w:rsidSect="00D86CEE">
          <w:footnotePr>
            <w:numRestart w:val="eachSect"/>
          </w:footnotePr>
          <w:pgSz w:w="12240" w:h="15840" w:code="1"/>
          <w:pgMar w:top="1260" w:right="1440" w:bottom="1620" w:left="1440" w:header="720" w:footer="990" w:gutter="0"/>
          <w:cols w:space="720"/>
          <w:docGrid w:linePitch="360"/>
        </w:sectPr>
      </w:pPr>
    </w:p>
    <w:p w:rsidR="009A2C37" w:rsidP="009A2C37" w14:paraId="657FF0F6" w14:textId="2609FEA9">
      <w:pPr>
        <w:pStyle w:val="Heading2"/>
      </w:pPr>
      <w:bookmarkStart w:id="192" w:name="_Toc467000254"/>
      <w:bookmarkStart w:id="193" w:name="_Toc85811544"/>
      <w:bookmarkStart w:id="194" w:name="_Toc216960450"/>
      <w:r w:rsidRPr="001E52F1">
        <w:rPr>
          <w:rFonts w:ascii="Times New Roman" w:hAnsi="Times New Roman" w:cs="Times New Roman"/>
          <w:sz w:val="28"/>
          <w:szCs w:val="28"/>
        </w:rPr>
        <w:t>Office of Inspector General’s Management and Performance Challenges</w:t>
      </w:r>
      <w:bookmarkStart w:id="195" w:name="_Toc467000250"/>
      <w:bookmarkEnd w:id="192"/>
      <w:bookmarkEnd w:id="193"/>
      <w:bookmarkEnd w:id="194"/>
      <w:r w:rsidR="002143A0">
        <w:rPr>
          <w:rFonts w:ascii="Times New Roman" w:hAnsi="Times New Roman" w:cs="Times New Roman"/>
          <w:sz w:val="28"/>
          <w:szCs w:val="28"/>
        </w:rPr>
        <w:t xml:space="preserve"> </w:t>
      </w:r>
    </w:p>
    <w:p w:rsidR="009A2C37" w:rsidRPr="00931C6F" w:rsidP="009A2C37" w14:paraId="784BF118" w14:textId="77777777">
      <w:pPr>
        <w:jc w:val="center"/>
        <w:rPr>
          <w:sz w:val="22"/>
          <w:szCs w:val="22"/>
        </w:rPr>
      </w:pPr>
      <w:bookmarkStart w:id="196" w:name="_Toc467000255"/>
    </w:p>
    <w:p w:rsidR="009A2C37" w:rsidP="009A2C37" w14:paraId="146D1CDC" w14:textId="799162D0">
      <w:pPr>
        <w:jc w:val="center"/>
        <w:rPr>
          <w:sz w:val="22"/>
          <w:szCs w:val="22"/>
        </w:rPr>
      </w:pPr>
    </w:p>
    <w:p w:rsidR="002143A0" w:rsidP="00242758" w14:paraId="212A98EC" w14:textId="3FD6DF23">
      <w:pPr>
        <w:jc w:val="both"/>
        <w:rPr>
          <w:sz w:val="22"/>
          <w:szCs w:val="22"/>
        </w:rPr>
      </w:pPr>
      <w:r>
        <w:rPr>
          <w:sz w:val="22"/>
          <w:szCs w:val="22"/>
        </w:rPr>
        <w:t>Inspector General’s report on FCC</w:t>
      </w:r>
      <w:r w:rsidR="005C320A">
        <w:rPr>
          <w:sz w:val="22"/>
          <w:szCs w:val="22"/>
        </w:rPr>
        <w:t>’s</w:t>
      </w:r>
      <w:r>
        <w:rPr>
          <w:sz w:val="22"/>
          <w:szCs w:val="22"/>
        </w:rPr>
        <w:t xml:space="preserve"> Management and Performance Challenges can be found at </w:t>
      </w:r>
      <w:hyperlink r:id="rId110" w:history="1">
        <w:r w:rsidRPr="001E65C1">
          <w:rPr>
            <w:rStyle w:val="Hyperlink"/>
            <w:sz w:val="22"/>
            <w:szCs w:val="22"/>
          </w:rPr>
          <w:t>https://www.fcc.gov/inspector-general/reports/challenges</w:t>
        </w:r>
      </w:hyperlink>
      <w:r>
        <w:rPr>
          <w:sz w:val="22"/>
          <w:szCs w:val="22"/>
        </w:rPr>
        <w:t xml:space="preserve">.  </w:t>
      </w:r>
    </w:p>
    <w:p w:rsidR="002143A0" w:rsidP="00242758" w14:paraId="068322B6" w14:textId="77777777">
      <w:pPr>
        <w:jc w:val="both"/>
        <w:rPr>
          <w:sz w:val="22"/>
          <w:szCs w:val="22"/>
        </w:rPr>
      </w:pPr>
    </w:p>
    <w:p w:rsidR="009A2C37" w:rsidP="009A2C37" w14:paraId="3E7A0DC4" w14:textId="77777777">
      <w:pPr>
        <w:jc w:val="center"/>
        <w:rPr>
          <w:sz w:val="20"/>
          <w:szCs w:val="22"/>
        </w:rPr>
      </w:pPr>
    </w:p>
    <w:p w:rsidR="009A2C37" w:rsidP="009A2C37" w14:paraId="6B6EDB90" w14:textId="77777777">
      <w:pPr>
        <w:jc w:val="center"/>
        <w:rPr>
          <w:sz w:val="20"/>
          <w:szCs w:val="22"/>
        </w:rPr>
      </w:pPr>
    </w:p>
    <w:p w:rsidR="009A2C37" w:rsidP="009A2C37" w14:paraId="16EA0878" w14:textId="77777777">
      <w:pPr>
        <w:jc w:val="center"/>
        <w:rPr>
          <w:sz w:val="20"/>
          <w:szCs w:val="22"/>
        </w:rPr>
      </w:pPr>
    </w:p>
    <w:bookmarkEnd w:id="196"/>
    <w:p w:rsidR="00B1748A" w:rsidP="009A2C37" w14:paraId="5D429102" w14:textId="77777777">
      <w:pPr>
        <w:jc w:val="center"/>
      </w:pPr>
    </w:p>
    <w:p w:rsidR="00084756" w:rsidP="00242758" w14:paraId="7DA18DF4" w14:textId="6ADEDA25"/>
    <w:p w:rsidR="00B1748A" w:rsidP="009A2C37" w14:paraId="587500FB" w14:textId="77777777">
      <w:pPr>
        <w:jc w:val="center"/>
      </w:pPr>
    </w:p>
    <w:bookmarkEnd w:id="195"/>
    <w:p w:rsidR="00213997" w:rsidP="009A2C37" w14:paraId="0D3302EF" w14:textId="55A53726">
      <w:pPr>
        <w:jc w:val="center"/>
      </w:pPr>
    </w:p>
    <w:sectPr w:rsidSect="0062280A">
      <w:footnotePr>
        <w:numRestart w:val="eachSect"/>
      </w:footnotePr>
      <w:pgSz w:w="12240" w:h="15840" w:code="1"/>
      <w:pgMar w:top="1152" w:right="1440" w:bottom="1152" w:left="1440" w:header="720" w:footer="99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EY Gothic Cond DemiPS">
    <w:altName w:val="Arial"/>
    <w:panose1 w:val="00000000000000000000"/>
    <w:charset w:val="00"/>
    <w:family w:val="swiss"/>
    <w:notTrueType/>
    <w:pitch w:val="variable"/>
    <w:sig w:usb0="00000083" w:usb1="00000000" w:usb2="00000000" w:usb3="00000000" w:csb0="00000009"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Y Tagline">
    <w:altName w:val="Courier New"/>
    <w:charset w:val="00"/>
    <w:family w:val="auto"/>
    <w:pitch w:val="variable"/>
    <w:sig w:usb0="00000007" w:usb1="00000000" w:usb2="00000000" w:usb3="00000000" w:csb0="00000003" w:csb1="00000000"/>
  </w:font>
  <w:font w:name="EY Gothic Cond Medium">
    <w:altName w:val="Arial Narrow"/>
    <w:charset w:val="00"/>
    <w:family w:val="auto"/>
    <w:pitch w:val="variable"/>
    <w:sig w:usb0="800000A7" w:usb1="00000040" w:usb2="00000000" w:usb3="00000000" w:csb0="00000009" w:csb1="00000000"/>
  </w:font>
  <w:font w:name="EY Gothic Cond Demi">
    <w:altName w:val="Arial Narrow"/>
    <w:charset w:val="00"/>
    <w:family w:val="auto"/>
    <w:pitch w:val="variable"/>
    <w:sig w:usb0="800000A7" w:usb1="0000004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Y Gothic Comp BookPS">
    <w:altName w:val="Arial"/>
    <w:panose1 w:val="00000000000000000000"/>
    <w:charset w:val="00"/>
    <w:family w:val="swiss"/>
    <w:notTrueType/>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ヒラギノ角ゴ Pro W3">
    <w:altName w:val="MS Mincho"/>
    <w:panose1 w:val="00000000000000000000"/>
    <w:charset w:val="80"/>
    <w:family w:val="auto"/>
    <w:notTrueType/>
    <w:pitch w:val="variable"/>
    <w:sig w:usb0="00000001" w:usb1="08070000" w:usb2="01000417" w:usb3="00000000" w:csb0="0002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P="00952617" w14:paraId="295DCA0D"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C07ED9" w:rsidP="006E50E3" w14:paraId="0E1D0B80" w14:textId="7777777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381436" w:rsidP="00F362C1" w14:paraId="09B8BB48"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p w:rsidR="00C07ED9" w:rsidRPr="00380A5E" w:rsidP="00444706" w14:paraId="0EF57ADF"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381436" w:rsidP="00F362C1" w14:paraId="1BC3A195"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p w:rsidR="00C07ED9" w:rsidRPr="00380A5E" w:rsidP="00444706" w14:paraId="3B1A946A" w14:textId="777777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381436" w:rsidP="00F362C1" w14:paraId="14B5898A"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p w:rsidR="00C07ED9" w:rsidRPr="00380A5E" w:rsidP="00444706" w14:paraId="136A1FA5"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381436" w:rsidP="00F362C1" w14:paraId="2ADD316A"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p w:rsidR="00C07ED9" w:rsidRPr="00380A5E" w:rsidP="00444706" w14:paraId="02BD6682" w14:textId="7777777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381436" w:rsidP="00F362C1" w14:paraId="0909A6D3"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p w:rsidR="00C07ED9" w:rsidRPr="00380A5E" w:rsidP="00444706" w14:paraId="5251A659"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7811" w:rsidRPr="00381436" w:rsidP="00F362C1" w14:paraId="5EDF0EFB"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p w:rsidR="00207811" w:rsidRPr="00380A5E" w:rsidP="00444706" w14:paraId="2E4EAB38"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7811" w:rsidRPr="00381436" w:rsidP="00F362C1" w14:paraId="2C25E44E"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p w:rsidR="00207811" w:rsidRPr="00380A5E" w:rsidP="00444706" w14:paraId="44B43EDB"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7811" w:rsidRPr="007C13E3" w:rsidP="00347451" w14:paraId="3F76E9F3" w14:textId="77777777">
    <w:pPr>
      <w:pStyle w:val="Footer"/>
      <w:ind w:right="360"/>
      <w:jc w:val="center"/>
      <w:rPr>
        <w:sz w:val="22"/>
      </w:rPr>
    </w:pPr>
    <w:r w:rsidRPr="007C13E3">
      <w:rPr>
        <w:rStyle w:val="PageNumber"/>
        <w:sz w:val="22"/>
      </w:rPr>
      <w:fldChar w:fldCharType="begin"/>
    </w:r>
    <w:r w:rsidRPr="007C13E3">
      <w:rPr>
        <w:rStyle w:val="PageNumber"/>
        <w:sz w:val="22"/>
      </w:rPr>
      <w:instrText xml:space="preserve"> PAGE </w:instrText>
    </w:r>
    <w:r w:rsidRPr="007C13E3">
      <w:rPr>
        <w:rStyle w:val="PageNumber"/>
        <w:sz w:val="22"/>
      </w:rPr>
      <w:fldChar w:fldCharType="separate"/>
    </w:r>
    <w:r w:rsidRPr="007C13E3">
      <w:rPr>
        <w:rStyle w:val="PageNumber"/>
        <w:noProof/>
        <w:sz w:val="22"/>
      </w:rPr>
      <w:t>21</w:t>
    </w:r>
    <w:r w:rsidRPr="007C13E3">
      <w:rPr>
        <w:rStyle w:val="PageNumbe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500663313"/>
      <w:docPartObj>
        <w:docPartGallery w:val="Page Numbers (Bottom of Page)"/>
        <w:docPartUnique/>
      </w:docPartObj>
    </w:sdtPr>
    <w:sdtEndPr>
      <w:rPr>
        <w:noProof/>
        <w:sz w:val="22"/>
        <w:szCs w:val="22"/>
      </w:rPr>
    </w:sdtEndPr>
    <w:sdtContent>
      <w:p w:rsidR="00207811" w:rsidRPr="00017036" w14:paraId="41217652" w14:textId="77777777">
        <w:pPr>
          <w:pStyle w:val="Footer"/>
          <w:jc w:val="center"/>
          <w:rPr>
            <w:sz w:val="22"/>
            <w:szCs w:val="22"/>
          </w:rPr>
        </w:pPr>
        <w:r w:rsidRPr="00017036">
          <w:rPr>
            <w:sz w:val="22"/>
            <w:szCs w:val="22"/>
          </w:rPr>
          <w:fldChar w:fldCharType="begin"/>
        </w:r>
        <w:r w:rsidRPr="00017036">
          <w:rPr>
            <w:sz w:val="22"/>
            <w:szCs w:val="22"/>
          </w:rPr>
          <w:instrText xml:space="preserve"> PAGE   \* MERGEFORMAT </w:instrText>
        </w:r>
        <w:r w:rsidRPr="00017036">
          <w:rPr>
            <w:sz w:val="22"/>
            <w:szCs w:val="22"/>
          </w:rPr>
          <w:fldChar w:fldCharType="separate"/>
        </w:r>
        <w:r w:rsidRPr="00017036">
          <w:rPr>
            <w:noProof/>
            <w:sz w:val="22"/>
            <w:szCs w:val="22"/>
          </w:rPr>
          <w:t>2</w:t>
        </w:r>
        <w:r w:rsidRPr="00017036">
          <w:rPr>
            <w:noProof/>
            <w:sz w:val="22"/>
            <w:szCs w:val="22"/>
          </w:rPr>
          <w:fldChar w:fldCharType="end"/>
        </w:r>
      </w:p>
    </w:sdtContent>
  </w:sdt>
  <w:p w:rsidR="00207811" w:rsidRPr="00DE51CE" w:rsidP="00224617" w14:paraId="3BC50899" w14:textId="77777777">
    <w:pPr>
      <w:pStyle w:val="Footer"/>
      <w:ind w:right="360"/>
      <w:rPr>
        <w:sz w:val="22"/>
        <w:szCs w:val="2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93913073"/>
      <w:docPartObj>
        <w:docPartGallery w:val="Page Numbers (Bottom of Page)"/>
        <w:docPartUnique/>
      </w:docPartObj>
    </w:sdtPr>
    <w:sdtEndPr>
      <w:rPr>
        <w:noProof/>
        <w:sz w:val="22"/>
        <w:szCs w:val="22"/>
      </w:rPr>
    </w:sdtEndPr>
    <w:sdtContent>
      <w:p w:rsidR="00C07ED9" w:rsidRPr="00017036" w14:paraId="47755D5B" w14:textId="77777777">
        <w:pPr>
          <w:pStyle w:val="Footer"/>
          <w:jc w:val="center"/>
          <w:rPr>
            <w:sz w:val="22"/>
            <w:szCs w:val="22"/>
          </w:rPr>
        </w:pPr>
        <w:r w:rsidRPr="00017036">
          <w:rPr>
            <w:sz w:val="22"/>
            <w:szCs w:val="22"/>
          </w:rPr>
          <w:fldChar w:fldCharType="begin"/>
        </w:r>
        <w:r w:rsidRPr="00017036">
          <w:rPr>
            <w:sz w:val="22"/>
            <w:szCs w:val="22"/>
          </w:rPr>
          <w:instrText xml:space="preserve"> PAGE   \* MERGEFORMAT </w:instrText>
        </w:r>
        <w:r w:rsidRPr="00017036">
          <w:rPr>
            <w:sz w:val="22"/>
            <w:szCs w:val="22"/>
          </w:rPr>
          <w:fldChar w:fldCharType="separate"/>
        </w:r>
        <w:r w:rsidRPr="00017036">
          <w:rPr>
            <w:noProof/>
            <w:sz w:val="22"/>
            <w:szCs w:val="22"/>
          </w:rPr>
          <w:t>2</w:t>
        </w:r>
        <w:r w:rsidRPr="00017036">
          <w:rPr>
            <w:noProof/>
            <w:sz w:val="22"/>
            <w:szCs w:val="22"/>
          </w:rPr>
          <w:fldChar w:fldCharType="end"/>
        </w:r>
      </w:p>
    </w:sdtContent>
  </w:sdt>
  <w:p w:rsidR="00C07ED9" w:rsidRPr="00DE51CE" w:rsidP="00224617" w14:paraId="7C8B5867" w14:textId="77777777">
    <w:pPr>
      <w:pStyle w:val="Footer"/>
      <w:ind w:right="360"/>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P="00C63DEA" w14:paraId="6AD4D71B" w14:textId="77777777">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E91DAD" w:rsidP="00CB2446" w14:paraId="1435E63E" w14:textId="77777777">
    <w:pPr>
      <w:pStyle w:val="Footer"/>
      <w:tabs>
        <w:tab w:val="right" w:pos="9360"/>
      </w:tabs>
      <w:jc w:val="center"/>
      <w:rPr>
        <w:sz w:val="28"/>
      </w:rPr>
    </w:pPr>
    <w:r w:rsidRPr="00E91DAD">
      <w:rPr>
        <w:sz w:val="22"/>
      </w:rPr>
      <w:fldChar w:fldCharType="begin"/>
    </w:r>
    <w:r w:rsidRPr="00E91DAD">
      <w:rPr>
        <w:sz w:val="22"/>
      </w:rPr>
      <w:instrText xml:space="preserve"> PAGE   \* MERGEFORMAT </w:instrText>
    </w:r>
    <w:r w:rsidRPr="00E91DAD">
      <w:rPr>
        <w:sz w:val="22"/>
      </w:rPr>
      <w:fldChar w:fldCharType="separate"/>
    </w:r>
    <w:r w:rsidRPr="00E91DAD">
      <w:rPr>
        <w:noProof/>
        <w:sz w:val="22"/>
      </w:rPr>
      <w:t>73</w:t>
    </w:r>
    <w:r w:rsidRPr="00E91DAD">
      <w:rPr>
        <w:noProof/>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65517445"/>
      <w:docPartObj>
        <w:docPartGallery w:val="Page Numbers (Bottom of Page)"/>
        <w:docPartUnique/>
      </w:docPartObj>
    </w:sdtPr>
    <w:sdtEndPr>
      <w:rPr>
        <w:noProof/>
        <w:sz w:val="22"/>
        <w:szCs w:val="22"/>
      </w:rPr>
    </w:sdtEndPr>
    <w:sdtContent>
      <w:p w:rsidR="00C07ED9" w:rsidRPr="00396655" w14:paraId="6AC1BA5E" w14:textId="77777777">
        <w:pPr>
          <w:pStyle w:val="Footer"/>
          <w:jc w:val="center"/>
          <w:rPr>
            <w:sz w:val="22"/>
            <w:szCs w:val="22"/>
          </w:rPr>
        </w:pPr>
        <w:r w:rsidRPr="00396655">
          <w:rPr>
            <w:sz w:val="22"/>
            <w:szCs w:val="22"/>
          </w:rPr>
          <w:fldChar w:fldCharType="begin"/>
        </w:r>
        <w:r w:rsidRPr="00396655">
          <w:rPr>
            <w:sz w:val="22"/>
            <w:szCs w:val="22"/>
          </w:rPr>
          <w:instrText xml:space="preserve"> PAGE   \* MERGEFORMAT </w:instrText>
        </w:r>
        <w:r w:rsidRPr="00396655">
          <w:rPr>
            <w:sz w:val="22"/>
            <w:szCs w:val="22"/>
          </w:rPr>
          <w:fldChar w:fldCharType="separate"/>
        </w:r>
        <w:r w:rsidRPr="00396655">
          <w:rPr>
            <w:noProof/>
            <w:sz w:val="22"/>
            <w:szCs w:val="22"/>
          </w:rPr>
          <w:t>2</w:t>
        </w:r>
        <w:r w:rsidRPr="00396655">
          <w:rPr>
            <w:noProof/>
            <w:sz w:val="22"/>
            <w:szCs w:val="22"/>
          </w:rPr>
          <w:fldChar w:fldCharType="end"/>
        </w:r>
      </w:p>
    </w:sdtContent>
  </w:sdt>
  <w:p w:rsidR="00C07ED9" w14:paraId="2517A308" w14:textId="77777777">
    <w:pPr>
      <w:pStyle w:val="BodyText"/>
      <w:spacing w:line="14" w:lineRule="auto"/>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5FD98992" w14:textId="77777777">
    <w:pPr>
      <w:pStyle w:val="Footer"/>
      <w:jc w:val="center"/>
    </w:pPr>
    <w:r w:rsidRPr="00E85A66">
      <w:rPr>
        <w:sz w:val="22"/>
        <w:szCs w:val="22"/>
      </w:rPr>
      <w:fldChar w:fldCharType="begin"/>
    </w:r>
    <w:r w:rsidRPr="00E85A66">
      <w:rPr>
        <w:sz w:val="22"/>
        <w:szCs w:val="22"/>
      </w:rPr>
      <w:instrText xml:space="preserve"> PAGE   \* MERGEFORMAT </w:instrText>
    </w:r>
    <w:r w:rsidRPr="00E85A66">
      <w:rPr>
        <w:sz w:val="22"/>
        <w:szCs w:val="22"/>
      </w:rPr>
      <w:fldChar w:fldCharType="separate"/>
    </w:r>
    <w:r w:rsidRPr="00E85A66">
      <w:rPr>
        <w:noProof/>
        <w:sz w:val="22"/>
        <w:szCs w:val="22"/>
      </w:rPr>
      <w:t>2</w:t>
    </w:r>
    <w:r w:rsidRPr="00E85A66">
      <w:rPr>
        <w:noProof/>
        <w:sz w:val="22"/>
        <w:szCs w:val="22"/>
      </w:rPr>
      <w:fldChar w:fldCharType="end"/>
    </w:r>
  </w:p>
  <w:p w:rsidR="00C07ED9" w14:paraId="377F801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P="00514710" w14:paraId="346D900D"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C07ED9" w:rsidP="00514710" w14:paraId="6A3C19B6" w14:textId="7777777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90572763"/>
      <w:docPartObj>
        <w:docPartGallery w:val="Page Numbers (Bottom of Page)"/>
        <w:docPartUnique/>
      </w:docPartObj>
    </w:sdtPr>
    <w:sdtEndPr>
      <w:rPr>
        <w:noProof/>
        <w:sz w:val="20"/>
      </w:rPr>
    </w:sdtEndPr>
    <w:sdtContent>
      <w:p w:rsidR="00C07ED9" w14:paraId="61199217" w14:textId="77777777">
        <w:pPr>
          <w:pStyle w:val="Footer"/>
          <w:jc w:val="center"/>
        </w:pPr>
        <w:r>
          <w:rPr>
            <w:sz w:val="20"/>
          </w:rPr>
          <w:fldChar w:fldCharType="begin"/>
        </w:r>
        <w:r>
          <w:rPr>
            <w:sz w:val="20"/>
          </w:rPr>
          <w:instrText xml:space="preserve"> PAGE   \* MERGEFORMAT </w:instrText>
        </w:r>
        <w:r>
          <w:rPr>
            <w:sz w:val="20"/>
          </w:rPr>
          <w:fldChar w:fldCharType="separate"/>
        </w:r>
        <w:r>
          <w:rPr>
            <w:noProof/>
            <w:sz w:val="20"/>
          </w:rPr>
          <w:t>ii</w:t>
        </w:r>
        <w:r>
          <w:rPr>
            <w:sz w:val="20"/>
          </w:rPr>
          <w:fldChar w:fldCharType="end"/>
        </w:r>
      </w:p>
    </w:sdtContent>
  </w:sdt>
  <w:p w:rsidR="00C07ED9" w:rsidRPr="00594E7C" w:rsidP="00C63DEA" w14:paraId="2D0662B6" w14:textId="77777777">
    <w:pPr>
      <w:pStyle w:val="Footer"/>
      <w:ind w:right="360"/>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381436" w:rsidP="00F362C1" w14:paraId="3462C4A2"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5</w:t>
    </w:r>
    <w:r w:rsidRPr="00381436">
      <w:rPr>
        <w:noProof/>
        <w:sz w:val="22"/>
        <w:szCs w:val="22"/>
      </w:rPr>
      <w:fldChar w:fldCharType="end"/>
    </w:r>
  </w:p>
  <w:p w:rsidR="00C07ED9" w:rsidRPr="00380A5E" w:rsidP="00444706" w14:paraId="4C1E4388"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381436" w:rsidP="00F362C1" w14:paraId="11EA02C8"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5</w:t>
    </w:r>
    <w:r w:rsidRPr="00381436">
      <w:rPr>
        <w:noProof/>
        <w:sz w:val="22"/>
        <w:szCs w:val="22"/>
      </w:rPr>
      <w:fldChar w:fldCharType="end"/>
    </w:r>
  </w:p>
  <w:p w:rsidR="00C07ED9" w:rsidRPr="00380A5E" w:rsidP="00444706" w14:paraId="59795F2A"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P="00444706" w14:paraId="6771767E"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w:t>
    </w:r>
    <w:r>
      <w:rPr>
        <w:rStyle w:val="PageNumber"/>
      </w:rPr>
      <w:fldChar w:fldCharType="end"/>
    </w:r>
  </w:p>
  <w:p w:rsidR="00C07ED9" w:rsidRPr="00842253" w:rsidP="00444706" w14:paraId="06DBB2F1" w14:textId="77777777">
    <w:pPr>
      <w:pStyle w:val="Footer"/>
      <w:ind w:right="360"/>
      <w:rPr>
        <w:color w:val="000000"/>
        <w:sz w:val="20"/>
      </w:rPr>
    </w:pPr>
    <w:r w:rsidRPr="00842253">
      <w:rPr>
        <w:color w:val="000000"/>
        <w:sz w:val="20"/>
      </w:rPr>
      <w:t xml:space="preserve">Chapter 3 </w:t>
    </w:r>
    <w:r w:rsidRPr="00842253">
      <w:rPr>
        <w:color w:val="000000"/>
        <w:sz w:val="20"/>
      </w:rPr>
      <w:tab/>
    </w:r>
  </w:p>
  <w:p w:rsidR="00C07ED9" w:rsidRPr="00842253" w:rsidP="00444706" w14:paraId="356C81FF" w14:textId="77777777">
    <w:pPr>
      <w:pStyle w:val="Footer"/>
      <w:rPr>
        <w:color w:val="000000"/>
        <w:sz w:val="20"/>
      </w:rPr>
    </w:pPr>
    <w:r w:rsidRPr="00842253">
      <w:rPr>
        <w:color w:val="000000"/>
        <w:sz w:val="20"/>
      </w:rPr>
      <w:t>Non – Public – For Internal Use Only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381436" w:rsidP="00F362C1" w14:paraId="5BA2C833"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p w:rsidR="00C07ED9" w:rsidRPr="00380A5E" w:rsidP="00444706" w14:paraId="0EE73D9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A81E9D" w14:paraId="1CF21725" w14:textId="77777777">
      <w:r>
        <w:separator/>
      </w:r>
    </w:p>
  </w:footnote>
  <w:footnote w:type="continuationSeparator" w:id="1">
    <w:p w:rsidR="00A81E9D" w14:paraId="45A32C11" w14:textId="77777777">
      <w:r>
        <w:continuationSeparator/>
      </w:r>
    </w:p>
  </w:footnote>
  <w:footnote w:type="continuationNotice" w:id="2">
    <w:p w:rsidR="00A81E9D" w14:paraId="31B66160" w14:textId="77777777"/>
  </w:footnote>
  <w:footnote w:id="3">
    <w:p w:rsidR="00943B37" w:rsidP="00943B37" w14:paraId="28AE732A" w14:textId="77777777">
      <w:pPr>
        <w:pStyle w:val="FootnoteText"/>
      </w:pPr>
      <w:r>
        <w:rPr>
          <w:rStyle w:val="FootnoteReference"/>
        </w:rPr>
        <w:footnoteRef/>
      </w:r>
      <w:r>
        <w:t xml:space="preserve"> </w:t>
      </w:r>
      <w:r w:rsidRPr="00E62F13">
        <w:t>See Telecommunications Act of 1996, P. L. No. 104-104, 110 Stat. 56 (1996).</w:t>
      </w:r>
    </w:p>
  </w:footnote>
  <w:footnote w:id="4">
    <w:p w:rsidR="00943B37" w:rsidP="00943B37" w14:paraId="4784E235" w14:textId="77777777">
      <w:pPr>
        <w:pStyle w:val="FootnoteText"/>
      </w:pPr>
      <w:r>
        <w:rPr>
          <w:rStyle w:val="FootnoteReference"/>
        </w:rPr>
        <w:footnoteRef/>
      </w:r>
      <w:r>
        <w:t xml:space="preserve"> </w:t>
      </w:r>
      <w:r w:rsidRPr="00E62F13">
        <w:t>See 47 U.S.C. § 254(d).</w:t>
      </w:r>
    </w:p>
  </w:footnote>
  <w:footnote w:id="5">
    <w:p w:rsidR="00943B37" w:rsidP="00943B37" w14:paraId="4FE6DDD3" w14:textId="77777777">
      <w:pPr>
        <w:pStyle w:val="FootnoteText"/>
      </w:pPr>
      <w:r>
        <w:rPr>
          <w:rStyle w:val="FootnoteReference"/>
        </w:rPr>
        <w:footnoteRef/>
      </w:r>
      <w:r>
        <w:t xml:space="preserve"> </w:t>
      </w:r>
      <w:r w:rsidRPr="00E62F13">
        <w:t>See 47 U.S.C. §§ 225(a)(3), (b)(1).</w:t>
      </w:r>
    </w:p>
  </w:footnote>
  <w:footnote w:id="6">
    <w:p w:rsidR="00207811" w:rsidRPr="00352B29" w:rsidP="00207811" w14:paraId="5DEDD8FB" w14:textId="77777777">
      <w:pPr>
        <w:pStyle w:val="FootnoteText"/>
        <w:spacing w:after="120"/>
        <w:jc w:val="both"/>
      </w:pPr>
      <w:r>
        <w:rPr>
          <w:rStyle w:val="FootnoteReference"/>
        </w:rPr>
        <w:footnoteRef/>
      </w:r>
      <w:r w:rsidRPr="00352B29">
        <w:t xml:space="preserve"> This portion in the accounts payable consists of the administrative fee for USF due to USAC and NECA.  </w:t>
      </w:r>
    </w:p>
  </w:footnote>
  <w:footnote w:id="7">
    <w:p w:rsidR="00207811" w:rsidRPr="00352B29" w:rsidP="00207811" w14:paraId="08A9FC37" w14:textId="77777777">
      <w:pPr>
        <w:pStyle w:val="FootnoteText"/>
        <w:spacing w:after="120"/>
        <w:jc w:val="both"/>
      </w:pPr>
      <w:r w:rsidRPr="00352B29">
        <w:rPr>
          <w:rStyle w:val="FootnoteReference"/>
        </w:rPr>
        <w:footnoteRef/>
      </w:r>
      <w:r w:rsidRPr="00352B29">
        <w:t xml:space="preserve"> This portion of the operation expenses includes the administrative fees incurred in USF.  The Commission approves the administrative costs to cover expenses such as:  the salaries and benefits for the employees dedicated to managing the funds; rent and utilities for office space used; accounting and other financial reporting related services; and other management activities.</w:t>
      </w:r>
    </w:p>
    <w:p w:rsidR="00207811" w:rsidP="00207811" w14:paraId="7C3D7416" w14:textId="77777777">
      <w:pPr>
        <w:pStyle w:val="FootnoteText"/>
      </w:pPr>
    </w:p>
  </w:footnote>
  <w:footnote w:id="8">
    <w:p w:rsidR="00207811" w:rsidP="00207811" w14:paraId="5C9B7357" w14:textId="77777777">
      <w:pPr>
        <w:pStyle w:val="FootnoteText"/>
        <w:jc w:val="both"/>
      </w:pPr>
      <w:r>
        <w:rPr>
          <w:rStyle w:val="FootnoteReference"/>
        </w:rPr>
        <w:footnoteRef/>
      </w:r>
      <w:r>
        <w:t xml:space="preserve"> </w:t>
      </w:r>
      <w:r w:rsidRPr="009F26A9">
        <w:t>Pursuant to 47 U.S.C. § 309, the Commission may retain a portion of the spectrum auction proceeds to offset the cost of performing the auction function.  Collections used to offset the cost of performing auction-related activity were appropriated at $136,167 for FY 2025.  At the agency level these amounts are recognized on the Consolidated Statement of Custodial Activity in the “Refunds and Other P</w:t>
      </w:r>
      <w:r w:rsidRPr="003171C9">
        <w:t>ayments</w:t>
      </w:r>
      <w:r>
        <w:t>”</w:t>
      </w:r>
      <w:r w:rsidRPr="003171C9">
        <w:t xml:space="preserve"> sections on the line </w:t>
      </w:r>
      <w:r>
        <w:t>“</w:t>
      </w:r>
      <w:r w:rsidRPr="003171C9">
        <w:t>Auctions Salaries &amp; Expenses (FCC)</w:t>
      </w:r>
      <w:r>
        <w:t>”</w:t>
      </w:r>
      <w:r w:rsidRPr="003171C9">
        <w:t xml:space="preserve"> and the </w:t>
      </w:r>
      <w:r>
        <w:t>“</w:t>
      </w:r>
      <w:r w:rsidRPr="003171C9">
        <w:t xml:space="preserve">Less: </w:t>
      </w:r>
      <w:r>
        <w:t xml:space="preserve"> </w:t>
      </w:r>
      <w:r w:rsidRPr="003171C9">
        <w:t>earned revenues not attributed to programs</w:t>
      </w:r>
      <w:r>
        <w:t>”</w:t>
      </w:r>
      <w:r w:rsidRPr="003171C9">
        <w:t xml:space="preserve"> on the Consolidated Statement of Net Cost.  At the </w:t>
      </w:r>
      <w:r>
        <w:t>g</w:t>
      </w:r>
      <w:r w:rsidRPr="003171C9">
        <w:t>overnment-wide level these amounts are eliminated on the Reclassified Statement of Net Cost.</w:t>
      </w:r>
      <w:r>
        <w:t xml:space="preserve">  Also, a</w:t>
      </w:r>
      <w:r w:rsidRPr="00C03B8E">
        <w:t xml:space="preserve">t the agency level, standard general ledger (SGL) 679000 Other Expenses Not Requiring Budgetary Resources, custodial is not cross walked to the Statement of Net Cost.  At the </w:t>
      </w:r>
      <w:r>
        <w:t>g</w:t>
      </w:r>
      <w:r w:rsidRPr="00C03B8E">
        <w:t>overnment-wide level, SGL 679000 Other Expenses Not Requiring Budgetary Resources, custodial and non-custodial are cross walked to the Reclassified Statement of Net Cost.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152946" w:rsidP="0031249A" w14:paraId="0DB12678" w14:textId="77777777">
    <w:pPr>
      <w:pStyle w:val="Header"/>
      <w:rPr>
        <w:i/>
        <w:color w:val="000000"/>
        <w:szCs w:val="24"/>
      </w:rPr>
    </w:pPr>
    <w:r w:rsidRPr="00152946">
      <w:rPr>
        <w:i/>
        <w:color w:val="000000"/>
        <w:szCs w:val="24"/>
      </w:rPr>
      <w:tab/>
    </w:r>
    <w:r w:rsidRPr="00152946">
      <w:rPr>
        <w:i/>
        <w:color w:val="000000"/>
        <w:szCs w:val="24"/>
      </w:rPr>
      <w:tab/>
      <w:t xml:space="preserve"> </w:t>
    </w:r>
  </w:p>
  <w:p w:rsidR="00C07ED9" w14:paraId="601D70B4"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AF56E3" w:rsidP="00444706" w14:paraId="1CFF3FD5" w14:textId="77777777">
    <w:pPr>
      <w:pStyle w:val="Header"/>
    </w:pPr>
    <w:r>
      <w:rPr>
        <w:i/>
        <w:szCs w:val="24"/>
      </w:rPr>
      <w:tab/>
      <w:t xml:space="preserve">                 </w:t>
    </w:r>
    <w:r>
      <w:rPr>
        <w:i/>
        <w:szCs w:val="24"/>
      </w:rPr>
      <w:tab/>
      <w:t xml:space="preserve">       </w:t>
    </w:r>
  </w:p>
  <w:p w:rsidR="00C07ED9" w:rsidRPr="00F93A7B" w:rsidP="00825B07" w14:paraId="07408707" w14:textId="77777777">
    <w:pPr>
      <w:pStyle w:val="Header"/>
      <w:rPr>
        <w:b/>
        <w:i/>
        <w:color w:val="FF0000"/>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AF56E3" w:rsidP="00444706" w14:paraId="6222520F" w14:textId="77777777">
    <w:pPr>
      <w:pStyle w:val="Header"/>
    </w:pPr>
    <w:r>
      <w:rPr>
        <w:i/>
        <w:szCs w:val="24"/>
      </w:rPr>
      <w:t xml:space="preserve">                </w:t>
    </w:r>
    <w:r>
      <w:rPr>
        <w:i/>
        <w:szCs w:val="24"/>
      </w:rPr>
      <w:tab/>
      <w:t xml:space="preserve">       </w:t>
    </w:r>
  </w:p>
  <w:p w:rsidR="00C07ED9" w:rsidRPr="00F93A7B" w:rsidP="00825B07" w14:paraId="59B2F81E" w14:textId="77777777">
    <w:pPr>
      <w:pStyle w:val="Header"/>
      <w:rPr>
        <w:b/>
        <w:i/>
        <w:color w:val="FF0000"/>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P="00825B07" w14:paraId="10FC70AB" w14:textId="4F0C4717">
    <w:pPr>
      <w:pStyle w:val="Header"/>
      <w:rPr>
        <w:b/>
        <w:szCs w:val="24"/>
      </w:rPr>
    </w:pPr>
  </w:p>
  <w:p w:rsidR="00C07ED9" w:rsidRPr="0083071C" w:rsidP="00825B07" w14:paraId="3F7B0AF1" w14:textId="77777777">
    <w:pPr>
      <w:pStyle w:val="Header"/>
      <w:rPr>
        <w:rFonts w:asciiTheme="minorHAnsi" w:hAnsiTheme="minorHAnsi" w:cstheme="minorHAnsi"/>
        <w:b/>
        <w:sz w:val="22"/>
        <w:szCs w:val="24"/>
      </w:rPr>
    </w:pPr>
  </w:p>
  <w:p w:rsidR="00C07ED9" w:rsidRPr="0083071C" w:rsidP="00825B07" w14:paraId="6E5F8994" w14:textId="77777777">
    <w:pPr>
      <w:pStyle w:val="Header"/>
      <w:rPr>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3D7D9187"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3403C1" w:rsidP="00444706" w14:paraId="08985ABF" w14:textId="792CAA0A">
    <w:pPr>
      <w:pStyle w:val="Header"/>
    </w:pPr>
  </w:p>
  <w:p w:rsidR="00C07ED9" w:rsidRPr="0083071C" w:rsidP="00825B07" w14:paraId="57DDF520" w14:textId="77777777">
    <w:pPr>
      <w:pStyle w:val="Header"/>
      <w:rPr>
        <w:rFonts w:asciiTheme="minorHAnsi" w:hAnsiTheme="minorHAnsi" w:cstheme="minorHAnsi"/>
        <w:sz w:val="22"/>
        <w:szCs w:val="24"/>
      </w:rPr>
    </w:pPr>
  </w:p>
  <w:p w:rsidR="00C07ED9" w:rsidRPr="0083071C" w:rsidP="00825B07" w14:paraId="7911BF1D" w14:textId="77777777">
    <w:pPr>
      <w:pStyle w:val="Header"/>
      <w:rPr>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3403C1" w:rsidP="00444706" w14:paraId="297C696F" w14:textId="77777777">
    <w:pPr>
      <w:pStyle w:val="Header"/>
    </w:pPr>
    <w:r>
      <w:rPr>
        <w:noProof/>
      </w:rPr>
      <w:drawing>
        <wp:inline distT="0" distB="0" distL="0" distR="0">
          <wp:extent cx="804545" cy="414655"/>
          <wp:effectExtent l="0" t="0" r="0" b="4445"/>
          <wp:docPr id="411322404" name="Picture 41132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22404" name="Picture 2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04545" cy="414655"/>
                  </a:xfrm>
                  <a:prstGeom prst="rect">
                    <a:avLst/>
                  </a:prstGeom>
                </pic:spPr>
              </pic:pic>
            </a:graphicData>
          </a:graphic>
        </wp:inline>
      </w:drawing>
    </w:r>
  </w:p>
  <w:p w:rsidR="00C07ED9" w:rsidRPr="0083071C" w:rsidP="00825B07" w14:paraId="24E58B83" w14:textId="77777777">
    <w:pPr>
      <w:pStyle w:val="Header"/>
      <w:rPr>
        <w:rFonts w:asciiTheme="minorHAnsi" w:hAnsiTheme="minorHAnsi" w:cstheme="minorHAnsi"/>
        <w:sz w:val="22"/>
        <w:szCs w:val="24"/>
      </w:rPr>
    </w:pPr>
  </w:p>
  <w:p w:rsidR="00C07ED9" w:rsidRPr="0083071C" w:rsidP="00825B07" w14:paraId="1525DF4F" w14:textId="77777777">
    <w:pPr>
      <w:pStyle w:val="Header"/>
      <w:rPr>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7811" w:rsidRPr="00AC260A" w:rsidP="00825B07" w14:paraId="52A4BA7A" w14:textId="77777777">
    <w:pPr>
      <w:pStyle w:val="Header"/>
      <w:rPr>
        <w:rStyle w:val="PageNumber"/>
        <w:sz w:val="22"/>
        <w:szCs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7811" w:rsidRPr="00517474" w:rsidP="00825B07" w14:paraId="1DF16686" w14:textId="77777777">
    <w:pPr>
      <w:pStyle w:val="Header"/>
      <w:rPr>
        <w:b/>
        <w:i/>
        <w:sz w:val="22"/>
        <w:szCs w:val="22"/>
      </w:rPr>
    </w:pPr>
    <w:r>
      <w:rPr>
        <w:i/>
        <w:szCs w:val="24"/>
      </w:rPr>
      <w:tab/>
      <w:t xml:space="preserve">                 </w:t>
    </w:r>
    <w:r>
      <w:rPr>
        <w:i/>
        <w:szCs w:val="24"/>
      </w:rPr>
      <w:tab/>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7811" w14:paraId="0693D0EA" w14:textId="777777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7811" w:rsidRPr="00D03C40" w:rsidP="002E0612" w14:paraId="0AF9A43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267DC781" w14:textId="7777777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7811" w14:paraId="3F320F70" w14:textId="777777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7811" w14:paraId="1C4990A3" w14:textId="7777777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7811" w14:paraId="6F6A887D" w14:textId="7777777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7811" w14:paraId="216A291E" w14:textId="7777777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5FC9C2A9" w14:textId="7777777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0B0611CF" w14:textId="777777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7FC5DFBF" w14:textId="777777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323B882E" w14:textId="77777777">
    <w:pPr>
      <w:pStyle w:val="Header"/>
    </w:pPr>
  </w:p>
  <w:p w:rsidR="00C07ED9" w14:paraId="30E426C7" w14:textId="77777777"/>
  <w:p w:rsidR="00C07ED9" w14:paraId="3BB06082" w14:textId="77777777"/>
  <w:p w:rsidR="00C07ED9" w14:paraId="78732840" w14:textId="7777777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3A1D08FE" w14:textId="77777777"/>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7B16D41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152946" w:rsidP="00514710" w14:paraId="48E5F0BF" w14:textId="77777777">
    <w:pPr>
      <w:pStyle w:val="Header"/>
      <w:rPr>
        <w:i/>
        <w:color w:val="000000"/>
        <w:szCs w:val="24"/>
      </w:rPr>
    </w:pPr>
    <w:r w:rsidRPr="00152946">
      <w:rPr>
        <w:i/>
        <w:color w:val="000000"/>
        <w:szCs w:val="24"/>
      </w:rPr>
      <w:tab/>
      <w:t xml:space="preserve"> </w:t>
    </w:r>
    <w:r w:rsidRPr="00152946">
      <w:rPr>
        <w:i/>
        <w:color w:val="000000"/>
        <w:szCs w:val="24"/>
      </w:rPr>
      <w:tab/>
    </w:r>
    <w:r w:rsidRPr="00152946">
      <w:rPr>
        <w:i/>
        <w:color w:val="000000"/>
        <w:szCs w:val="24"/>
      </w:rPr>
      <w:tab/>
      <w:t xml:space="preserve"> </w:t>
    </w:r>
  </w:p>
  <w:p w:rsidR="00C07ED9" w:rsidRPr="00152946" w14:paraId="3851A34F" w14:textId="77777777">
    <w:pPr>
      <w:pStyle w:val="Header"/>
      <w:rPr>
        <w:i/>
        <w:color w:val="000000"/>
        <w:szCs w:val="24"/>
      </w:rPr>
    </w:pPr>
    <w:r w:rsidRPr="00152946">
      <w:rPr>
        <w:i/>
        <w:color w:val="000000"/>
        <w:szCs w:val="24"/>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975B19" w:rsidP="00975B19" w14:paraId="629BFFD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16AE37E0"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5A537A" w:rsidP="00825B07" w14:paraId="71386CA6" w14:textId="77777777">
    <w:pPr>
      <w:pStyle w:val="Header"/>
      <w:rPr>
        <w:b/>
        <w:i/>
        <w:szCs w:val="24"/>
      </w:rPr>
    </w:pPr>
    <w:r>
      <w:rPr>
        <w:i/>
        <w:szCs w:val="24"/>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F93A7B" w:rsidP="00825B07" w14:paraId="7E3DFFE2" w14:textId="77777777">
    <w:pPr>
      <w:pStyle w:val="Header"/>
      <w:rPr>
        <w:b/>
        <w:i/>
        <w:color w:val="FF0000"/>
        <w:szCs w:val="24"/>
      </w:rPr>
    </w:pPr>
    <w:r>
      <w:rPr>
        <w:i/>
        <w:szCs w:val="24"/>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04565FBE"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rsidRPr="00AF56E3" w:rsidP="00444706" w14:paraId="215A2124" w14:textId="77777777">
    <w:pPr>
      <w:pStyle w:val="Header"/>
    </w:pPr>
    <w:r>
      <w:rPr>
        <w:i/>
        <w:szCs w:val="24"/>
      </w:rPr>
      <w:tab/>
      <w:t xml:space="preserve">                 </w:t>
    </w:r>
    <w:r>
      <w:rPr>
        <w:i/>
        <w:szCs w:val="24"/>
      </w:rPr>
      <w:tab/>
      <w:t xml:space="preserve">       </w:t>
    </w:r>
  </w:p>
  <w:p w:rsidR="00C07ED9" w:rsidRPr="00F93A7B" w:rsidP="00825B07" w14:paraId="19B62C30" w14:textId="77777777">
    <w:pPr>
      <w:pStyle w:val="Header"/>
      <w:rPr>
        <w:b/>
        <w:i/>
        <w:color w:val="FF000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7ED9" w14:paraId="300B4CC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C8CCCB68"/>
    <w:lvl w:ilvl="0">
      <w:start w:val="1"/>
      <w:numFmt w:val="bullet"/>
      <w:pStyle w:val="ParaNum"/>
      <w:lvlText w:val=""/>
      <w:lvlJc w:val="left"/>
      <w:pPr>
        <w:tabs>
          <w:tab w:val="num" w:pos="360"/>
        </w:tabs>
        <w:ind w:left="360" w:hanging="360"/>
      </w:pPr>
      <w:rPr>
        <w:rFonts w:ascii="Symbol" w:hAnsi="Symbol" w:hint="default"/>
      </w:rPr>
    </w:lvl>
  </w:abstractNum>
  <w:abstractNum w:abstractNumId="1">
    <w:nsid w:val="018CCC6D"/>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2E35BDF"/>
    <w:multiLevelType w:val="hybridMultilevel"/>
    <w:tmpl w:val="4024159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6CB5236"/>
    <w:multiLevelType w:val="hybridMultilevel"/>
    <w:tmpl w:val="80FCD00C"/>
    <w:lvl w:ilvl="0">
      <w:start w:val="1"/>
      <w:numFmt w:val="decimal"/>
      <w:pStyle w:val="ParaNumChar"/>
      <w:lvlText w:val="%1."/>
      <w:lvlJc w:val="left"/>
      <w:pPr>
        <w:tabs>
          <w:tab w:val="num" w:pos="990"/>
        </w:tabs>
        <w:ind w:left="-90" w:firstLine="720"/>
      </w:pPr>
      <w:rPr>
        <w:rFonts w:ascii="Times New Roman" w:hAnsi="Times New Roman" w:cs="Times New Roman" w:hint="default"/>
        <w:b w:val="0"/>
        <w:i w:val="0"/>
        <w:sz w:val="22"/>
        <w:szCs w:val="22"/>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0CBA6DDF"/>
    <w:multiLevelType w:val="hybridMultilevel"/>
    <w:tmpl w:val="AC9C470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DF656B6"/>
    <w:multiLevelType w:val="hybridMultilevel"/>
    <w:tmpl w:val="5A447C38"/>
    <w:lvl w:ilvl="0">
      <w:start w:val="1"/>
      <w:numFmt w:val="bullet"/>
      <w:pStyle w:val="Body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084408F"/>
    <w:multiLevelType w:val="hybridMultilevel"/>
    <w:tmpl w:val="E3E69C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59B149E"/>
    <w:multiLevelType w:val="hybridMultilevel"/>
    <w:tmpl w:val="8602A4E4"/>
    <w:lvl w:ilvl="0">
      <w:start w:val="1"/>
      <w:numFmt w:val="upperRoman"/>
      <w:pStyle w:val="Heading5C"/>
      <w:lvlText w:val="%1."/>
      <w:lvlJc w:val="left"/>
      <w:pPr>
        <w:ind w:left="1080" w:hanging="720"/>
      </w:pPr>
      <w:rPr>
        <w:rFonts w:hint="default"/>
        <w:b/>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5B15BDF"/>
    <w:multiLevelType w:val="hybridMultilevel"/>
    <w:tmpl w:val="77ECF972"/>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AB0046C"/>
    <w:multiLevelType w:val="multilevel"/>
    <w:tmpl w:val="988CB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AB418DD"/>
    <w:multiLevelType w:val="multilevel"/>
    <w:tmpl w:val="116E2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F1A5848"/>
    <w:multiLevelType w:val="hybridMultilevel"/>
    <w:tmpl w:val="0C44E48C"/>
    <w:lvl w:ilvl="0">
      <w:start w:val="0"/>
      <w:numFmt w:val="bullet"/>
      <w:lvlText w:val="•"/>
      <w:lvlJc w:val="left"/>
      <w:pPr>
        <w:ind w:left="1080" w:hanging="360"/>
      </w:pPr>
      <w:rPr>
        <w:rFont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1F2A5772"/>
    <w:multiLevelType w:val="hybridMultilevel"/>
    <w:tmpl w:val="43301688"/>
    <w:lvl w:ilvl="0">
      <w:start w:val="1"/>
      <w:numFmt w:val="bullet"/>
      <w:lvlText w:val=""/>
      <w:lvlJc w:val="left"/>
      <w:pPr>
        <w:tabs>
          <w:tab w:val="num" w:pos="360"/>
        </w:tabs>
        <w:ind w:left="360" w:hanging="360"/>
      </w:pPr>
      <w:rPr>
        <w:rFonts w:ascii="Symbol" w:hAnsi="Symbol" w:hint="default"/>
        <w:color w:val="000000"/>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
    <w:nsid w:val="20E23649"/>
    <w:multiLevelType w:val="hybridMultilevel"/>
    <w:tmpl w:val="A48C02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48D6A31"/>
    <w:multiLevelType w:val="hybridMultilevel"/>
    <w:tmpl w:val="480C64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6CC09E1"/>
    <w:multiLevelType w:val="hybridMultilevel"/>
    <w:tmpl w:val="43509E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97D59ED"/>
    <w:multiLevelType w:val="multilevel"/>
    <w:tmpl w:val="43A8086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nsid w:val="29975170"/>
    <w:multiLevelType w:val="multilevel"/>
    <w:tmpl w:val="075CA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9AF66CE"/>
    <w:multiLevelType w:val="hybridMultilevel"/>
    <w:tmpl w:val="7DB28778"/>
    <w:lvl w:ilvl="0">
      <w:start w:val="0"/>
      <w:numFmt w:val="bullet"/>
      <w:lvlText w:val="•"/>
      <w:lvlJc w:val="left"/>
      <w:pPr>
        <w:ind w:left="1110" w:hanging="360"/>
      </w:pPr>
      <w:rPr>
        <w:rFonts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19">
    <w:nsid w:val="29D05AE2"/>
    <w:multiLevelType w:val="hybridMultilevel"/>
    <w:tmpl w:val="C51AEB0A"/>
    <w:lvl w:ilvl="0">
      <w:start w:val="1"/>
      <w:numFmt w:val="bullet"/>
      <w:pStyle w:val="ProConBullet"/>
      <w:lvlText w:val=""/>
      <w:lvlJc w:val="left"/>
      <w:pPr>
        <w:tabs>
          <w:tab w:val="num" w:pos="792"/>
        </w:tabs>
        <w:ind w:left="792"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0">
    <w:nsid w:val="2C9224C1"/>
    <w:multiLevelType w:val="hybridMultilevel"/>
    <w:tmpl w:val="FFFFFFFF"/>
    <w:lvl w:ilvl="0">
      <w:start w:val="1"/>
      <w:numFmt w:val="bullet"/>
      <w:lvlText w:val="o"/>
      <w:lvlJc w:val="left"/>
      <w:pPr>
        <w:ind w:left="720" w:hanging="360"/>
      </w:pPr>
      <w:rPr>
        <w:rFonts w:ascii="&quot;Courier New&quot;" w:hAnsi="&quot;Courier New&quo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2D7F17B8"/>
    <w:multiLevelType w:val="multilevel"/>
    <w:tmpl w:val="68E2F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722E623"/>
    <w:multiLevelType w:val="hybrid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6377C6"/>
    <w:multiLevelType w:val="hybrid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EA74418"/>
    <w:multiLevelType w:val="hybridMultilevel"/>
    <w:tmpl w:val="CBFAD35C"/>
    <w:lvl w:ilvl="0">
      <w:start w:val="1"/>
      <w:numFmt w:val="bullet"/>
      <w:lvlText w:val=""/>
      <w:lvlJc w:val="left"/>
      <w:pPr>
        <w:tabs>
          <w:tab w:val="num" w:pos="2160"/>
        </w:tabs>
        <w:ind w:left="2160" w:hanging="360"/>
      </w:pPr>
      <w:rPr>
        <w:rFonts w:ascii="Symbol" w:hAnsi="Symbol" w:hint="default"/>
        <w:color w:val="auto"/>
        <w:sz w:val="16"/>
      </w:rPr>
    </w:lvl>
    <w:lvl w:ilvl="1">
      <w:start w:val="1"/>
      <w:numFmt w:val="bullet"/>
      <w:pStyle w:val="EYBulletText"/>
      <w:lvlText w:val=""/>
      <w:lvlJc w:val="left"/>
      <w:pPr>
        <w:tabs>
          <w:tab w:val="num" w:pos="2160"/>
        </w:tabs>
        <w:ind w:left="2160" w:hanging="360"/>
      </w:pPr>
      <w:rPr>
        <w:rFonts w:ascii="Symbol" w:hAnsi="Symbol" w:hint="default"/>
        <w:color w:val="auto"/>
        <w:sz w:val="16"/>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5">
    <w:nsid w:val="40A713ED"/>
    <w:multiLevelType w:val="hybridMultilevel"/>
    <w:tmpl w:val="3C3ACB78"/>
    <w:lvl w:ilvl="0">
      <w:start w:val="1"/>
      <w:numFmt w:val="bullet"/>
      <w:pStyle w:val="EYTableBullet"/>
      <w:lvlText w:val=""/>
      <w:lvlJc w:val="left"/>
      <w:pPr>
        <w:tabs>
          <w:tab w:val="num" w:pos="360"/>
        </w:tabs>
        <w:ind w:left="360" w:hanging="360"/>
      </w:pPr>
      <w:rPr>
        <w:rFonts w:ascii="Symbol" w:hAnsi="Symbol" w:hint="default"/>
        <w:color w:val="auto"/>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4B35CC96"/>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53DD0A14"/>
    <w:multiLevelType w:val="hybridMultilevel"/>
    <w:tmpl w:val="A2BED632"/>
    <w:lvl w:ilvl="0">
      <w:start w:val="1"/>
      <w:numFmt w:val="bullet"/>
      <w:lvlText w:val=""/>
      <w:lvlJc w:val="left"/>
      <w:pPr>
        <w:ind w:left="720" w:hanging="360"/>
      </w:pPr>
      <w:rPr>
        <w:rFonts w:ascii="Symbol" w:hAnsi="Symbol" w:hint="default"/>
        <w:color w:val="00000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61182925"/>
    <w:multiLevelType w:val="singleLevel"/>
    <w:tmpl w:val="04090001"/>
    <w:lvl w:ilvl="0">
      <w:start w:val="1"/>
      <w:numFmt w:val="bullet"/>
      <w:lvlText w:val=""/>
      <w:lvlJc w:val="left"/>
      <w:pPr>
        <w:ind w:left="720" w:hanging="360"/>
      </w:pPr>
      <w:rPr>
        <w:rFonts w:ascii="Symbol" w:hAnsi="Symbol" w:hint="default"/>
      </w:rPr>
    </w:lvl>
  </w:abstractNum>
  <w:abstractNum w:abstractNumId="29">
    <w:nsid w:val="61D45E03"/>
    <w:multiLevelType w:val="multilevel"/>
    <w:tmpl w:val="B9B6E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B212D0B"/>
    <w:multiLevelType w:val="hybridMultilevel"/>
    <w:tmpl w:val="D60E7C98"/>
    <w:lvl w:ilvl="0">
      <w:start w:val="1"/>
      <w:numFmt w:val="upperRoman"/>
      <w:lvlText w:val="%1."/>
      <w:lvlJc w:val="left"/>
      <w:pPr>
        <w:ind w:left="1080" w:hanging="720"/>
      </w:pPr>
      <w:rPr>
        <w:rFonts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BA327D6"/>
    <w:multiLevelType w:val="hybridMultilevel"/>
    <w:tmpl w:val="7E62FB00"/>
    <w:lvl w:ilvl="0">
      <w:start w:val="1"/>
      <w:numFmt w:val="upperRoman"/>
      <w:suff w:val="space"/>
      <w:lvlText w:val="%1."/>
      <w:lvlJc w:val="left"/>
      <w:pPr>
        <w:ind w:left="1080" w:hanging="648"/>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E3FA97B"/>
    <w:multiLevelType w:val="hybridMultilevel"/>
    <w:tmpl w:val="FFFFFFFF"/>
    <w:lvl w:ilvl="0">
      <w:start w:val="1"/>
      <w:numFmt w:val="bullet"/>
      <w:lvlText w:val="o"/>
      <w:lvlJc w:val="left"/>
      <w:pPr>
        <w:ind w:left="720" w:hanging="360"/>
      </w:pPr>
      <w:rPr>
        <w:rFonts w:ascii="&quot;Courier New&quot;" w:hAnsi="&quot;Courier New&quo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6F2B1D85"/>
    <w:multiLevelType w:val="hybridMultilevel"/>
    <w:tmpl w:val="18E2F0D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6FA266E6"/>
    <w:multiLevelType w:val="multilevel"/>
    <w:tmpl w:val="91588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04D0DAA"/>
    <w:multiLevelType w:val="hybridMultilevel"/>
    <w:tmpl w:val="D64EE6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71517876"/>
    <w:multiLevelType w:val="hybridMultilevel"/>
    <w:tmpl w:val="18969A70"/>
    <w:lvl w:ilvl="0">
      <w:start w:val="1"/>
      <w:numFmt w:val="bullet"/>
      <w:lvlText w:val=""/>
      <w:lvlJc w:val="left"/>
      <w:pPr>
        <w:tabs>
          <w:tab w:val="num" w:pos="2160"/>
        </w:tabs>
        <w:ind w:left="2160" w:hanging="360"/>
      </w:pPr>
      <w:rPr>
        <w:rFonts w:ascii="Symbol" w:hAnsi="Symbol" w:hint="default"/>
        <w:color w:val="auto"/>
        <w:sz w:val="16"/>
      </w:rPr>
    </w:lvl>
    <w:lvl w:ilvl="1">
      <w:start w:val="1"/>
      <w:numFmt w:val="bullet"/>
      <w:pStyle w:val="EYBulletText2"/>
      <w:lvlText w:val=""/>
      <w:lvlJc w:val="left"/>
      <w:pPr>
        <w:tabs>
          <w:tab w:val="num" w:pos="2160"/>
        </w:tabs>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7">
    <w:nsid w:val="74D14187"/>
    <w:multiLevelType w:val="hybridMultilevel"/>
    <w:tmpl w:val="1A1C11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75A6221E"/>
    <w:multiLevelType w:val="hybridMultilevel"/>
    <w:tmpl w:val="124661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67487986">
    <w:abstractNumId w:val="32"/>
  </w:num>
  <w:num w:numId="2" w16cid:durableId="883102841">
    <w:abstractNumId w:val="26"/>
  </w:num>
  <w:num w:numId="3" w16cid:durableId="1560705366">
    <w:abstractNumId w:val="23"/>
  </w:num>
  <w:num w:numId="4" w16cid:durableId="1058671995">
    <w:abstractNumId w:val="0"/>
  </w:num>
  <w:num w:numId="5" w16cid:durableId="1845433249">
    <w:abstractNumId w:val="3"/>
  </w:num>
  <w:num w:numId="6" w16cid:durableId="1538933667">
    <w:abstractNumId w:val="24"/>
  </w:num>
  <w:num w:numId="7" w16cid:durableId="251940368">
    <w:abstractNumId w:val="25"/>
  </w:num>
  <w:num w:numId="8" w16cid:durableId="1749302338">
    <w:abstractNumId w:val="36"/>
  </w:num>
  <w:num w:numId="9" w16cid:durableId="852379765">
    <w:abstractNumId w:val="19"/>
  </w:num>
  <w:num w:numId="10" w16cid:durableId="1775323464">
    <w:abstractNumId w:val="12"/>
  </w:num>
  <w:num w:numId="11" w16cid:durableId="99420664">
    <w:abstractNumId w:val="33"/>
  </w:num>
  <w:num w:numId="12" w16cid:durableId="445269707">
    <w:abstractNumId w:val="31"/>
  </w:num>
  <w:num w:numId="13" w16cid:durableId="194197375">
    <w:abstractNumId w:val="8"/>
  </w:num>
  <w:num w:numId="14" w16cid:durableId="1731532840">
    <w:abstractNumId w:val="5"/>
  </w:num>
  <w:num w:numId="15" w16cid:durableId="1671256778">
    <w:abstractNumId w:val="6"/>
  </w:num>
  <w:num w:numId="16" w16cid:durableId="756485601">
    <w:abstractNumId w:val="2"/>
  </w:num>
  <w:num w:numId="17" w16cid:durableId="710108128">
    <w:abstractNumId w:val="16"/>
  </w:num>
  <w:num w:numId="18" w16cid:durableId="1676418959">
    <w:abstractNumId w:val="35"/>
  </w:num>
  <w:num w:numId="19" w16cid:durableId="727000560">
    <w:abstractNumId w:val="7"/>
  </w:num>
  <w:num w:numId="20" w16cid:durableId="1533687095">
    <w:abstractNumId w:val="17"/>
  </w:num>
  <w:num w:numId="21" w16cid:durableId="1721199651">
    <w:abstractNumId w:val="10"/>
  </w:num>
  <w:num w:numId="22" w16cid:durableId="1547720426">
    <w:abstractNumId w:val="9"/>
  </w:num>
  <w:num w:numId="23" w16cid:durableId="591940333">
    <w:abstractNumId w:val="21"/>
  </w:num>
  <w:num w:numId="24" w16cid:durableId="1359895198">
    <w:abstractNumId w:val="34"/>
  </w:num>
  <w:num w:numId="25" w16cid:durableId="1372800920">
    <w:abstractNumId w:val="29"/>
  </w:num>
  <w:num w:numId="26" w16cid:durableId="1625236050">
    <w:abstractNumId w:val="27"/>
  </w:num>
  <w:num w:numId="27" w16cid:durableId="272328150">
    <w:abstractNumId w:val="11"/>
  </w:num>
  <w:num w:numId="28" w16cid:durableId="634338832">
    <w:abstractNumId w:val="18"/>
  </w:num>
  <w:num w:numId="29" w16cid:durableId="714622645">
    <w:abstractNumId w:val="4"/>
  </w:num>
  <w:num w:numId="30" w16cid:durableId="311914245">
    <w:abstractNumId w:val="28"/>
  </w:num>
  <w:num w:numId="31" w16cid:durableId="1018658431">
    <w:abstractNumId w:val="13"/>
  </w:num>
  <w:num w:numId="32" w16cid:durableId="665328899">
    <w:abstractNumId w:val="14"/>
  </w:num>
  <w:num w:numId="33" w16cid:durableId="1136727397">
    <w:abstractNumId w:val="38"/>
  </w:num>
  <w:num w:numId="34" w16cid:durableId="740710218">
    <w:abstractNumId w:val="37"/>
  </w:num>
  <w:num w:numId="35" w16cid:durableId="1776363076">
    <w:abstractNumId w:val="15"/>
  </w:num>
  <w:num w:numId="36" w16cid:durableId="833375172">
    <w:abstractNumId w:val="30"/>
  </w:num>
  <w:num w:numId="37" w16cid:durableId="1805927271">
    <w:abstractNumId w:val="20"/>
  </w:num>
  <w:num w:numId="38" w16cid:durableId="1705016662">
    <w:abstractNumId w:val="1"/>
  </w:num>
  <w:num w:numId="39" w16cid:durableId="1907955836">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rawingGridHorizontalSpacing w:val="57"/>
  <w:displayVerticalDrawingGridEvery w:val="2"/>
  <w:characterSpacingControl w:val="doNotCompress"/>
  <w:footnotePr>
    <w:footnote w:id="0"/>
    <w:footnote w:id="1"/>
    <w:footnote w:id="2"/>
  </w:footnotePr>
  <w:endnotePr>
    <w:pos w:val="sectEnd"/>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DEA"/>
    <w:rsid w:val="000003F6"/>
    <w:rsid w:val="00000A06"/>
    <w:rsid w:val="00000ADB"/>
    <w:rsid w:val="00000CF4"/>
    <w:rsid w:val="00000D98"/>
    <w:rsid w:val="00000DD1"/>
    <w:rsid w:val="00000F18"/>
    <w:rsid w:val="00000F43"/>
    <w:rsid w:val="00001464"/>
    <w:rsid w:val="000016CD"/>
    <w:rsid w:val="00001E02"/>
    <w:rsid w:val="00001FF4"/>
    <w:rsid w:val="000021A0"/>
    <w:rsid w:val="00002423"/>
    <w:rsid w:val="000024B2"/>
    <w:rsid w:val="000025F6"/>
    <w:rsid w:val="000026F2"/>
    <w:rsid w:val="00002C77"/>
    <w:rsid w:val="00002D71"/>
    <w:rsid w:val="00002DFB"/>
    <w:rsid w:val="00003383"/>
    <w:rsid w:val="00003862"/>
    <w:rsid w:val="000039A2"/>
    <w:rsid w:val="00003AC0"/>
    <w:rsid w:val="00003B54"/>
    <w:rsid w:val="00003C2C"/>
    <w:rsid w:val="00003E2F"/>
    <w:rsid w:val="000044F3"/>
    <w:rsid w:val="00004559"/>
    <w:rsid w:val="000048B2"/>
    <w:rsid w:val="00004EF0"/>
    <w:rsid w:val="000058E9"/>
    <w:rsid w:val="000059A9"/>
    <w:rsid w:val="0000607E"/>
    <w:rsid w:val="000062FD"/>
    <w:rsid w:val="00006309"/>
    <w:rsid w:val="00006362"/>
    <w:rsid w:val="00006857"/>
    <w:rsid w:val="000068B0"/>
    <w:rsid w:val="00006D34"/>
    <w:rsid w:val="00006ECE"/>
    <w:rsid w:val="000076C5"/>
    <w:rsid w:val="0000781F"/>
    <w:rsid w:val="000079A8"/>
    <w:rsid w:val="000079C4"/>
    <w:rsid w:val="00007AF9"/>
    <w:rsid w:val="00007C11"/>
    <w:rsid w:val="00007DD7"/>
    <w:rsid w:val="00007E8E"/>
    <w:rsid w:val="00007EFD"/>
    <w:rsid w:val="00010133"/>
    <w:rsid w:val="00010753"/>
    <w:rsid w:val="0001075E"/>
    <w:rsid w:val="00010808"/>
    <w:rsid w:val="00010853"/>
    <w:rsid w:val="000109F4"/>
    <w:rsid w:val="00010B2E"/>
    <w:rsid w:val="00010E78"/>
    <w:rsid w:val="00011078"/>
    <w:rsid w:val="00011636"/>
    <w:rsid w:val="000116F2"/>
    <w:rsid w:val="00011BF1"/>
    <w:rsid w:val="00012323"/>
    <w:rsid w:val="00012A8D"/>
    <w:rsid w:val="00012EFD"/>
    <w:rsid w:val="00013458"/>
    <w:rsid w:val="0001352F"/>
    <w:rsid w:val="00013671"/>
    <w:rsid w:val="00013A1C"/>
    <w:rsid w:val="00013EFC"/>
    <w:rsid w:val="00014207"/>
    <w:rsid w:val="00015079"/>
    <w:rsid w:val="000155AA"/>
    <w:rsid w:val="00015799"/>
    <w:rsid w:val="00015C5B"/>
    <w:rsid w:val="00015D41"/>
    <w:rsid w:val="00015E91"/>
    <w:rsid w:val="00016002"/>
    <w:rsid w:val="00016128"/>
    <w:rsid w:val="00016412"/>
    <w:rsid w:val="000167D8"/>
    <w:rsid w:val="0001687D"/>
    <w:rsid w:val="00016FD5"/>
    <w:rsid w:val="00017036"/>
    <w:rsid w:val="00017280"/>
    <w:rsid w:val="00020016"/>
    <w:rsid w:val="00020495"/>
    <w:rsid w:val="00020649"/>
    <w:rsid w:val="00020D5A"/>
    <w:rsid w:val="00021080"/>
    <w:rsid w:val="000215F1"/>
    <w:rsid w:val="000218AA"/>
    <w:rsid w:val="000218B6"/>
    <w:rsid w:val="00021A91"/>
    <w:rsid w:val="00021CE6"/>
    <w:rsid w:val="0002279D"/>
    <w:rsid w:val="000229B2"/>
    <w:rsid w:val="00022F2E"/>
    <w:rsid w:val="00023637"/>
    <w:rsid w:val="0002394B"/>
    <w:rsid w:val="00023BB6"/>
    <w:rsid w:val="000242BA"/>
    <w:rsid w:val="000247A3"/>
    <w:rsid w:val="0002499F"/>
    <w:rsid w:val="0002500D"/>
    <w:rsid w:val="00025219"/>
    <w:rsid w:val="00025A17"/>
    <w:rsid w:val="00025ABF"/>
    <w:rsid w:val="00025D09"/>
    <w:rsid w:val="00025D82"/>
    <w:rsid w:val="00026296"/>
    <w:rsid w:val="00026377"/>
    <w:rsid w:val="00026533"/>
    <w:rsid w:val="00026728"/>
    <w:rsid w:val="00026ACE"/>
    <w:rsid w:val="00026CCC"/>
    <w:rsid w:val="00026EA3"/>
    <w:rsid w:val="00026EA9"/>
    <w:rsid w:val="00027281"/>
    <w:rsid w:val="000273F5"/>
    <w:rsid w:val="00027445"/>
    <w:rsid w:val="0002744E"/>
    <w:rsid w:val="0002746E"/>
    <w:rsid w:val="000274E6"/>
    <w:rsid w:val="000275CE"/>
    <w:rsid w:val="000276F7"/>
    <w:rsid w:val="000278B2"/>
    <w:rsid w:val="000278E3"/>
    <w:rsid w:val="00027A06"/>
    <w:rsid w:val="00027AA3"/>
    <w:rsid w:val="00027AB0"/>
    <w:rsid w:val="00027AFE"/>
    <w:rsid w:val="00027B6E"/>
    <w:rsid w:val="00027CD9"/>
    <w:rsid w:val="00030480"/>
    <w:rsid w:val="00030564"/>
    <w:rsid w:val="00030D66"/>
    <w:rsid w:val="0003102C"/>
    <w:rsid w:val="00031058"/>
    <w:rsid w:val="00031235"/>
    <w:rsid w:val="0003173B"/>
    <w:rsid w:val="00031C96"/>
    <w:rsid w:val="00031F2C"/>
    <w:rsid w:val="0003212F"/>
    <w:rsid w:val="000322A1"/>
    <w:rsid w:val="000325F4"/>
    <w:rsid w:val="000329AB"/>
    <w:rsid w:val="00032F38"/>
    <w:rsid w:val="0003323B"/>
    <w:rsid w:val="000333FC"/>
    <w:rsid w:val="0003356F"/>
    <w:rsid w:val="00033703"/>
    <w:rsid w:val="0003380C"/>
    <w:rsid w:val="00033853"/>
    <w:rsid w:val="00033B48"/>
    <w:rsid w:val="00033C34"/>
    <w:rsid w:val="00034313"/>
    <w:rsid w:val="00034431"/>
    <w:rsid w:val="00034A6A"/>
    <w:rsid w:val="00035476"/>
    <w:rsid w:val="00035498"/>
    <w:rsid w:val="000359DA"/>
    <w:rsid w:val="000359FA"/>
    <w:rsid w:val="000361A5"/>
    <w:rsid w:val="000361F3"/>
    <w:rsid w:val="00036824"/>
    <w:rsid w:val="00036BF6"/>
    <w:rsid w:val="00036CC7"/>
    <w:rsid w:val="00037038"/>
    <w:rsid w:val="0003707A"/>
    <w:rsid w:val="00037B85"/>
    <w:rsid w:val="00037BF4"/>
    <w:rsid w:val="00037C62"/>
    <w:rsid w:val="00037DD0"/>
    <w:rsid w:val="00037F24"/>
    <w:rsid w:val="000401B6"/>
    <w:rsid w:val="00040427"/>
    <w:rsid w:val="000406F0"/>
    <w:rsid w:val="00040777"/>
    <w:rsid w:val="00040829"/>
    <w:rsid w:val="00040890"/>
    <w:rsid w:val="00040A7D"/>
    <w:rsid w:val="00040A97"/>
    <w:rsid w:val="00040D2C"/>
    <w:rsid w:val="00040DD1"/>
    <w:rsid w:val="00040FB3"/>
    <w:rsid w:val="0004109C"/>
    <w:rsid w:val="000410BA"/>
    <w:rsid w:val="000412B3"/>
    <w:rsid w:val="0004149D"/>
    <w:rsid w:val="00041561"/>
    <w:rsid w:val="00041B9E"/>
    <w:rsid w:val="00041F68"/>
    <w:rsid w:val="00042959"/>
    <w:rsid w:val="00042CCE"/>
    <w:rsid w:val="00042F89"/>
    <w:rsid w:val="00042FB6"/>
    <w:rsid w:val="000431F4"/>
    <w:rsid w:val="00043562"/>
    <w:rsid w:val="00043963"/>
    <w:rsid w:val="00043E7C"/>
    <w:rsid w:val="00043F89"/>
    <w:rsid w:val="00044150"/>
    <w:rsid w:val="000442F4"/>
    <w:rsid w:val="00044423"/>
    <w:rsid w:val="000444C6"/>
    <w:rsid w:val="00044601"/>
    <w:rsid w:val="0004461C"/>
    <w:rsid w:val="00044E3E"/>
    <w:rsid w:val="000450AC"/>
    <w:rsid w:val="000455BE"/>
    <w:rsid w:val="00045658"/>
    <w:rsid w:val="00045BF9"/>
    <w:rsid w:val="00045CF5"/>
    <w:rsid w:val="00045F33"/>
    <w:rsid w:val="00046195"/>
    <w:rsid w:val="000461EE"/>
    <w:rsid w:val="000464CE"/>
    <w:rsid w:val="0004650A"/>
    <w:rsid w:val="00046785"/>
    <w:rsid w:val="00046FE6"/>
    <w:rsid w:val="00047133"/>
    <w:rsid w:val="00047283"/>
    <w:rsid w:val="0004736E"/>
    <w:rsid w:val="00047649"/>
    <w:rsid w:val="000476B9"/>
    <w:rsid w:val="00047756"/>
    <w:rsid w:val="000477A6"/>
    <w:rsid w:val="00047FCC"/>
    <w:rsid w:val="000501D3"/>
    <w:rsid w:val="00050220"/>
    <w:rsid w:val="000503A7"/>
    <w:rsid w:val="00050853"/>
    <w:rsid w:val="00050B2A"/>
    <w:rsid w:val="00050B8A"/>
    <w:rsid w:val="00050C2C"/>
    <w:rsid w:val="00050D14"/>
    <w:rsid w:val="00050FE4"/>
    <w:rsid w:val="00051573"/>
    <w:rsid w:val="000517F6"/>
    <w:rsid w:val="00051AC6"/>
    <w:rsid w:val="00052609"/>
    <w:rsid w:val="00052AC4"/>
    <w:rsid w:val="00052DFA"/>
    <w:rsid w:val="00052F8D"/>
    <w:rsid w:val="0005364E"/>
    <w:rsid w:val="00053CA1"/>
    <w:rsid w:val="00054188"/>
    <w:rsid w:val="000544B9"/>
    <w:rsid w:val="00054929"/>
    <w:rsid w:val="00054AEE"/>
    <w:rsid w:val="0005500B"/>
    <w:rsid w:val="0005509F"/>
    <w:rsid w:val="00055871"/>
    <w:rsid w:val="00055AB5"/>
    <w:rsid w:val="00056483"/>
    <w:rsid w:val="00056708"/>
    <w:rsid w:val="00056CE7"/>
    <w:rsid w:val="00056F2E"/>
    <w:rsid w:val="00057014"/>
    <w:rsid w:val="000574F1"/>
    <w:rsid w:val="00057916"/>
    <w:rsid w:val="00057B1D"/>
    <w:rsid w:val="00057DA3"/>
    <w:rsid w:val="00060030"/>
    <w:rsid w:val="00060A79"/>
    <w:rsid w:val="00060AC5"/>
    <w:rsid w:val="00060C7F"/>
    <w:rsid w:val="00060D1B"/>
    <w:rsid w:val="00060EEF"/>
    <w:rsid w:val="000615DF"/>
    <w:rsid w:val="00061781"/>
    <w:rsid w:val="00061CA9"/>
    <w:rsid w:val="00062059"/>
    <w:rsid w:val="000621B8"/>
    <w:rsid w:val="0006222F"/>
    <w:rsid w:val="000622DF"/>
    <w:rsid w:val="00062393"/>
    <w:rsid w:val="00062729"/>
    <w:rsid w:val="000627BA"/>
    <w:rsid w:val="000627C0"/>
    <w:rsid w:val="00062CEF"/>
    <w:rsid w:val="00062FB0"/>
    <w:rsid w:val="0006337F"/>
    <w:rsid w:val="00063AD0"/>
    <w:rsid w:val="00063CD5"/>
    <w:rsid w:val="00063DA6"/>
    <w:rsid w:val="00064BD0"/>
    <w:rsid w:val="00064F03"/>
    <w:rsid w:val="00065227"/>
    <w:rsid w:val="0006565A"/>
    <w:rsid w:val="00065679"/>
    <w:rsid w:val="00065866"/>
    <w:rsid w:val="00065AE1"/>
    <w:rsid w:val="00065D59"/>
    <w:rsid w:val="000665A5"/>
    <w:rsid w:val="0006738E"/>
    <w:rsid w:val="00067959"/>
    <w:rsid w:val="00070092"/>
    <w:rsid w:val="00070381"/>
    <w:rsid w:val="000705E5"/>
    <w:rsid w:val="00070672"/>
    <w:rsid w:val="0007071C"/>
    <w:rsid w:val="000708CB"/>
    <w:rsid w:val="000709AE"/>
    <w:rsid w:val="00070BCE"/>
    <w:rsid w:val="00070F8A"/>
    <w:rsid w:val="000710E8"/>
    <w:rsid w:val="000711B1"/>
    <w:rsid w:val="0007161A"/>
    <w:rsid w:val="0007178C"/>
    <w:rsid w:val="000718BE"/>
    <w:rsid w:val="000719E1"/>
    <w:rsid w:val="00071BD5"/>
    <w:rsid w:val="00071E98"/>
    <w:rsid w:val="00072234"/>
    <w:rsid w:val="000727F3"/>
    <w:rsid w:val="00072FC5"/>
    <w:rsid w:val="00073663"/>
    <w:rsid w:val="00073749"/>
    <w:rsid w:val="000737A7"/>
    <w:rsid w:val="00073AC9"/>
    <w:rsid w:val="00073C12"/>
    <w:rsid w:val="00073C98"/>
    <w:rsid w:val="00073DE2"/>
    <w:rsid w:val="000742D1"/>
    <w:rsid w:val="000743EB"/>
    <w:rsid w:val="000743ED"/>
    <w:rsid w:val="0007482F"/>
    <w:rsid w:val="000748B6"/>
    <w:rsid w:val="00074BEA"/>
    <w:rsid w:val="00074BFC"/>
    <w:rsid w:val="00074E7F"/>
    <w:rsid w:val="00074FA3"/>
    <w:rsid w:val="00075174"/>
    <w:rsid w:val="000751FE"/>
    <w:rsid w:val="00075300"/>
    <w:rsid w:val="000754E1"/>
    <w:rsid w:val="00075504"/>
    <w:rsid w:val="0007570E"/>
    <w:rsid w:val="00075779"/>
    <w:rsid w:val="00075C85"/>
    <w:rsid w:val="00075CD4"/>
    <w:rsid w:val="00076405"/>
    <w:rsid w:val="0007688A"/>
    <w:rsid w:val="000769A6"/>
    <w:rsid w:val="00076B09"/>
    <w:rsid w:val="00076CA9"/>
    <w:rsid w:val="00077101"/>
    <w:rsid w:val="000773B6"/>
    <w:rsid w:val="00077496"/>
    <w:rsid w:val="00077725"/>
    <w:rsid w:val="000777E9"/>
    <w:rsid w:val="000779B5"/>
    <w:rsid w:val="00077FB1"/>
    <w:rsid w:val="00077FF9"/>
    <w:rsid w:val="00080329"/>
    <w:rsid w:val="0008072F"/>
    <w:rsid w:val="00080A3A"/>
    <w:rsid w:val="00081526"/>
    <w:rsid w:val="00081D19"/>
    <w:rsid w:val="00081F2D"/>
    <w:rsid w:val="0008207F"/>
    <w:rsid w:val="00082365"/>
    <w:rsid w:val="00082475"/>
    <w:rsid w:val="0008252F"/>
    <w:rsid w:val="000828F0"/>
    <w:rsid w:val="00082AE7"/>
    <w:rsid w:val="00083066"/>
    <w:rsid w:val="000831D6"/>
    <w:rsid w:val="0008346F"/>
    <w:rsid w:val="000835FB"/>
    <w:rsid w:val="000838AA"/>
    <w:rsid w:val="00083D57"/>
    <w:rsid w:val="00083FF2"/>
    <w:rsid w:val="0008426F"/>
    <w:rsid w:val="00084330"/>
    <w:rsid w:val="00084756"/>
    <w:rsid w:val="00084A2B"/>
    <w:rsid w:val="00084BF4"/>
    <w:rsid w:val="00084CC6"/>
    <w:rsid w:val="00084E0C"/>
    <w:rsid w:val="0008532D"/>
    <w:rsid w:val="00085907"/>
    <w:rsid w:val="00085A43"/>
    <w:rsid w:val="00085C01"/>
    <w:rsid w:val="00085DF4"/>
    <w:rsid w:val="00085FA7"/>
    <w:rsid w:val="000860AC"/>
    <w:rsid w:val="000860D1"/>
    <w:rsid w:val="000860FD"/>
    <w:rsid w:val="000862F5"/>
    <w:rsid w:val="00086341"/>
    <w:rsid w:val="00086531"/>
    <w:rsid w:val="00086633"/>
    <w:rsid w:val="00086A30"/>
    <w:rsid w:val="00086B3E"/>
    <w:rsid w:val="00086B51"/>
    <w:rsid w:val="00086DBC"/>
    <w:rsid w:val="00086FEE"/>
    <w:rsid w:val="00087459"/>
    <w:rsid w:val="00087909"/>
    <w:rsid w:val="00087A76"/>
    <w:rsid w:val="00087B41"/>
    <w:rsid w:val="00087ECD"/>
    <w:rsid w:val="00087F5B"/>
    <w:rsid w:val="00090A51"/>
    <w:rsid w:val="00090AD8"/>
    <w:rsid w:val="00090E32"/>
    <w:rsid w:val="00091ACF"/>
    <w:rsid w:val="00091BEB"/>
    <w:rsid w:val="00091C02"/>
    <w:rsid w:val="00091D47"/>
    <w:rsid w:val="0009213F"/>
    <w:rsid w:val="00092562"/>
    <w:rsid w:val="00092B6A"/>
    <w:rsid w:val="00092EB9"/>
    <w:rsid w:val="00093029"/>
    <w:rsid w:val="00093049"/>
    <w:rsid w:val="0009365D"/>
    <w:rsid w:val="000937A4"/>
    <w:rsid w:val="0009399C"/>
    <w:rsid w:val="00093B16"/>
    <w:rsid w:val="00093EB7"/>
    <w:rsid w:val="00093F2A"/>
    <w:rsid w:val="00094296"/>
    <w:rsid w:val="000947F5"/>
    <w:rsid w:val="0009488D"/>
    <w:rsid w:val="00094B67"/>
    <w:rsid w:val="00094BEC"/>
    <w:rsid w:val="00094C18"/>
    <w:rsid w:val="00094F7B"/>
    <w:rsid w:val="00095140"/>
    <w:rsid w:val="00095336"/>
    <w:rsid w:val="000953D4"/>
    <w:rsid w:val="000953FA"/>
    <w:rsid w:val="0009547D"/>
    <w:rsid w:val="00095584"/>
    <w:rsid w:val="00095C39"/>
    <w:rsid w:val="00095CD4"/>
    <w:rsid w:val="000960F4"/>
    <w:rsid w:val="00096489"/>
    <w:rsid w:val="000964F2"/>
    <w:rsid w:val="000964F3"/>
    <w:rsid w:val="0009668C"/>
    <w:rsid w:val="00096D73"/>
    <w:rsid w:val="00096E3B"/>
    <w:rsid w:val="00096E57"/>
    <w:rsid w:val="00096E73"/>
    <w:rsid w:val="00096EFA"/>
    <w:rsid w:val="00097046"/>
    <w:rsid w:val="00097253"/>
    <w:rsid w:val="000973D9"/>
    <w:rsid w:val="00097515"/>
    <w:rsid w:val="00097A2F"/>
    <w:rsid w:val="00097A81"/>
    <w:rsid w:val="00097C0E"/>
    <w:rsid w:val="00097C35"/>
    <w:rsid w:val="00097C8D"/>
    <w:rsid w:val="00097F1F"/>
    <w:rsid w:val="000A02B0"/>
    <w:rsid w:val="000A08CD"/>
    <w:rsid w:val="000A08F9"/>
    <w:rsid w:val="000A092F"/>
    <w:rsid w:val="000A0A73"/>
    <w:rsid w:val="000A0BFF"/>
    <w:rsid w:val="000A0F03"/>
    <w:rsid w:val="000A0F6A"/>
    <w:rsid w:val="000A12FB"/>
    <w:rsid w:val="000A1855"/>
    <w:rsid w:val="000A1A49"/>
    <w:rsid w:val="000A1E0F"/>
    <w:rsid w:val="000A2069"/>
    <w:rsid w:val="000A215C"/>
    <w:rsid w:val="000A245B"/>
    <w:rsid w:val="000A258C"/>
    <w:rsid w:val="000A25D2"/>
    <w:rsid w:val="000A26E9"/>
    <w:rsid w:val="000A2989"/>
    <w:rsid w:val="000A2C5A"/>
    <w:rsid w:val="000A2D2F"/>
    <w:rsid w:val="000A3055"/>
    <w:rsid w:val="000A3126"/>
    <w:rsid w:val="000A3328"/>
    <w:rsid w:val="000A3B26"/>
    <w:rsid w:val="000A3FD3"/>
    <w:rsid w:val="000A421E"/>
    <w:rsid w:val="000A4292"/>
    <w:rsid w:val="000A48E5"/>
    <w:rsid w:val="000A4928"/>
    <w:rsid w:val="000A4AD8"/>
    <w:rsid w:val="000A4BA3"/>
    <w:rsid w:val="000A4DCB"/>
    <w:rsid w:val="000A4EBA"/>
    <w:rsid w:val="000A54EB"/>
    <w:rsid w:val="000A5D5F"/>
    <w:rsid w:val="000A6B6D"/>
    <w:rsid w:val="000A6B9B"/>
    <w:rsid w:val="000A6C48"/>
    <w:rsid w:val="000A6CA6"/>
    <w:rsid w:val="000A6F43"/>
    <w:rsid w:val="000A722C"/>
    <w:rsid w:val="000A727C"/>
    <w:rsid w:val="000A728A"/>
    <w:rsid w:val="000A74FD"/>
    <w:rsid w:val="000A77DA"/>
    <w:rsid w:val="000A7A63"/>
    <w:rsid w:val="000A7B05"/>
    <w:rsid w:val="000A7FB2"/>
    <w:rsid w:val="000B060A"/>
    <w:rsid w:val="000B07BE"/>
    <w:rsid w:val="000B086F"/>
    <w:rsid w:val="000B08BE"/>
    <w:rsid w:val="000B09FD"/>
    <w:rsid w:val="000B13F6"/>
    <w:rsid w:val="000B146D"/>
    <w:rsid w:val="000B14A9"/>
    <w:rsid w:val="000B14E4"/>
    <w:rsid w:val="000B1507"/>
    <w:rsid w:val="000B1BDA"/>
    <w:rsid w:val="000B1C2A"/>
    <w:rsid w:val="000B1F4F"/>
    <w:rsid w:val="000B21FD"/>
    <w:rsid w:val="000B2250"/>
    <w:rsid w:val="000B250A"/>
    <w:rsid w:val="000B2555"/>
    <w:rsid w:val="000B25D6"/>
    <w:rsid w:val="000B2A6A"/>
    <w:rsid w:val="000B34CE"/>
    <w:rsid w:val="000B3751"/>
    <w:rsid w:val="000B39A1"/>
    <w:rsid w:val="000B3DAF"/>
    <w:rsid w:val="000B3E74"/>
    <w:rsid w:val="000B40EA"/>
    <w:rsid w:val="000B423C"/>
    <w:rsid w:val="000B4319"/>
    <w:rsid w:val="000B466C"/>
    <w:rsid w:val="000B4917"/>
    <w:rsid w:val="000B4A49"/>
    <w:rsid w:val="000B51BA"/>
    <w:rsid w:val="000B54BD"/>
    <w:rsid w:val="000B565C"/>
    <w:rsid w:val="000B5ABC"/>
    <w:rsid w:val="000B6098"/>
    <w:rsid w:val="000B60BE"/>
    <w:rsid w:val="000B687C"/>
    <w:rsid w:val="000B6A79"/>
    <w:rsid w:val="000B7123"/>
    <w:rsid w:val="000B7498"/>
    <w:rsid w:val="000B7BDC"/>
    <w:rsid w:val="000B7CAC"/>
    <w:rsid w:val="000C016E"/>
    <w:rsid w:val="000C0243"/>
    <w:rsid w:val="000C038C"/>
    <w:rsid w:val="000C0882"/>
    <w:rsid w:val="000C0F1E"/>
    <w:rsid w:val="000C14F7"/>
    <w:rsid w:val="000C15A2"/>
    <w:rsid w:val="000C16DB"/>
    <w:rsid w:val="000C175D"/>
    <w:rsid w:val="000C1B68"/>
    <w:rsid w:val="000C208F"/>
    <w:rsid w:val="000C2168"/>
    <w:rsid w:val="000C26B6"/>
    <w:rsid w:val="000C279B"/>
    <w:rsid w:val="000C28FE"/>
    <w:rsid w:val="000C2A95"/>
    <w:rsid w:val="000C2DBC"/>
    <w:rsid w:val="000C2E50"/>
    <w:rsid w:val="000C3170"/>
    <w:rsid w:val="000C3A3B"/>
    <w:rsid w:val="000C3D24"/>
    <w:rsid w:val="000C402D"/>
    <w:rsid w:val="000C434A"/>
    <w:rsid w:val="000C477E"/>
    <w:rsid w:val="000C4AD0"/>
    <w:rsid w:val="000C4B2A"/>
    <w:rsid w:val="000C4BB0"/>
    <w:rsid w:val="000C53ED"/>
    <w:rsid w:val="000C59C3"/>
    <w:rsid w:val="000C5A06"/>
    <w:rsid w:val="000C5AFB"/>
    <w:rsid w:val="000C5EF7"/>
    <w:rsid w:val="000C6A14"/>
    <w:rsid w:val="000C6B87"/>
    <w:rsid w:val="000C6E23"/>
    <w:rsid w:val="000C7802"/>
    <w:rsid w:val="000C7B34"/>
    <w:rsid w:val="000C7C90"/>
    <w:rsid w:val="000C7EA6"/>
    <w:rsid w:val="000C7FE6"/>
    <w:rsid w:val="000D00DC"/>
    <w:rsid w:val="000D0786"/>
    <w:rsid w:val="000D0ACC"/>
    <w:rsid w:val="000D0EAA"/>
    <w:rsid w:val="000D0F33"/>
    <w:rsid w:val="000D1080"/>
    <w:rsid w:val="000D1143"/>
    <w:rsid w:val="000D1390"/>
    <w:rsid w:val="000D1403"/>
    <w:rsid w:val="000D150B"/>
    <w:rsid w:val="000D1CDD"/>
    <w:rsid w:val="000D2189"/>
    <w:rsid w:val="000D2319"/>
    <w:rsid w:val="000D27EC"/>
    <w:rsid w:val="000D2C88"/>
    <w:rsid w:val="000D2E79"/>
    <w:rsid w:val="000D319C"/>
    <w:rsid w:val="000D377B"/>
    <w:rsid w:val="000D41AE"/>
    <w:rsid w:val="000D44E3"/>
    <w:rsid w:val="000D48E8"/>
    <w:rsid w:val="000D4BA1"/>
    <w:rsid w:val="000D4D5F"/>
    <w:rsid w:val="000D5500"/>
    <w:rsid w:val="000D55FF"/>
    <w:rsid w:val="000D59BB"/>
    <w:rsid w:val="000D5A87"/>
    <w:rsid w:val="000D643D"/>
    <w:rsid w:val="000D6755"/>
    <w:rsid w:val="000D67DD"/>
    <w:rsid w:val="000D6DF0"/>
    <w:rsid w:val="000D6E48"/>
    <w:rsid w:val="000D7813"/>
    <w:rsid w:val="000D783F"/>
    <w:rsid w:val="000D79DB"/>
    <w:rsid w:val="000D7E6D"/>
    <w:rsid w:val="000D7FE8"/>
    <w:rsid w:val="000E0018"/>
    <w:rsid w:val="000E0A25"/>
    <w:rsid w:val="000E0B0F"/>
    <w:rsid w:val="000E0E14"/>
    <w:rsid w:val="000E0EAC"/>
    <w:rsid w:val="000E10D9"/>
    <w:rsid w:val="000E12E9"/>
    <w:rsid w:val="000E14B4"/>
    <w:rsid w:val="000E1F52"/>
    <w:rsid w:val="000E27B7"/>
    <w:rsid w:val="000E2C25"/>
    <w:rsid w:val="000E2E9F"/>
    <w:rsid w:val="000E2F96"/>
    <w:rsid w:val="000E3072"/>
    <w:rsid w:val="000E32AA"/>
    <w:rsid w:val="000E3492"/>
    <w:rsid w:val="000E35F7"/>
    <w:rsid w:val="000E35FD"/>
    <w:rsid w:val="000E4378"/>
    <w:rsid w:val="000E478C"/>
    <w:rsid w:val="000E4BB5"/>
    <w:rsid w:val="000E5179"/>
    <w:rsid w:val="000E520A"/>
    <w:rsid w:val="000E5233"/>
    <w:rsid w:val="000E5794"/>
    <w:rsid w:val="000E5D5B"/>
    <w:rsid w:val="000E60F4"/>
    <w:rsid w:val="000E6148"/>
    <w:rsid w:val="000E6378"/>
    <w:rsid w:val="000E639D"/>
    <w:rsid w:val="000E63D6"/>
    <w:rsid w:val="000E644E"/>
    <w:rsid w:val="000E655E"/>
    <w:rsid w:val="000E69BD"/>
    <w:rsid w:val="000E6AAD"/>
    <w:rsid w:val="000E6D75"/>
    <w:rsid w:val="000E6F4D"/>
    <w:rsid w:val="000E6FE3"/>
    <w:rsid w:val="000E70CC"/>
    <w:rsid w:val="000E713D"/>
    <w:rsid w:val="000E7186"/>
    <w:rsid w:val="000E7308"/>
    <w:rsid w:val="000E77D8"/>
    <w:rsid w:val="000E7904"/>
    <w:rsid w:val="000E7B6B"/>
    <w:rsid w:val="000E7F9D"/>
    <w:rsid w:val="000E7FAB"/>
    <w:rsid w:val="000F0343"/>
    <w:rsid w:val="000F04ED"/>
    <w:rsid w:val="000F0500"/>
    <w:rsid w:val="000F05C1"/>
    <w:rsid w:val="000F0BC8"/>
    <w:rsid w:val="000F0DB7"/>
    <w:rsid w:val="000F1260"/>
    <w:rsid w:val="000F13D7"/>
    <w:rsid w:val="000F1487"/>
    <w:rsid w:val="000F19A5"/>
    <w:rsid w:val="000F1A00"/>
    <w:rsid w:val="000F20A9"/>
    <w:rsid w:val="000F2217"/>
    <w:rsid w:val="000F26CD"/>
    <w:rsid w:val="000F2D30"/>
    <w:rsid w:val="000F32EA"/>
    <w:rsid w:val="000F33CF"/>
    <w:rsid w:val="000F3459"/>
    <w:rsid w:val="000F39E8"/>
    <w:rsid w:val="000F3A0D"/>
    <w:rsid w:val="000F3A6C"/>
    <w:rsid w:val="000F42FF"/>
    <w:rsid w:val="000F43AE"/>
    <w:rsid w:val="000F43F3"/>
    <w:rsid w:val="000F48C9"/>
    <w:rsid w:val="000F4A3C"/>
    <w:rsid w:val="000F4E10"/>
    <w:rsid w:val="000F504E"/>
    <w:rsid w:val="000F53F2"/>
    <w:rsid w:val="000F5425"/>
    <w:rsid w:val="000F56A2"/>
    <w:rsid w:val="000F59F8"/>
    <w:rsid w:val="000F5CD1"/>
    <w:rsid w:val="000F6092"/>
    <w:rsid w:val="000F61BA"/>
    <w:rsid w:val="000F62E1"/>
    <w:rsid w:val="000F62ED"/>
    <w:rsid w:val="000F63AC"/>
    <w:rsid w:val="000F646B"/>
    <w:rsid w:val="000F68CD"/>
    <w:rsid w:val="000F6DFE"/>
    <w:rsid w:val="000F7A82"/>
    <w:rsid w:val="000F7ABC"/>
    <w:rsid w:val="000F7CC6"/>
    <w:rsid w:val="000F7EAD"/>
    <w:rsid w:val="001005C2"/>
    <w:rsid w:val="00100D0B"/>
    <w:rsid w:val="00100E33"/>
    <w:rsid w:val="001012E0"/>
    <w:rsid w:val="0010150F"/>
    <w:rsid w:val="001017BF"/>
    <w:rsid w:val="00101924"/>
    <w:rsid w:val="001020BE"/>
    <w:rsid w:val="001022EE"/>
    <w:rsid w:val="001027BD"/>
    <w:rsid w:val="0010295C"/>
    <w:rsid w:val="00102C19"/>
    <w:rsid w:val="00102E41"/>
    <w:rsid w:val="0010326F"/>
    <w:rsid w:val="001035DA"/>
    <w:rsid w:val="00103848"/>
    <w:rsid w:val="001038B2"/>
    <w:rsid w:val="001039BB"/>
    <w:rsid w:val="00103AF1"/>
    <w:rsid w:val="00103C05"/>
    <w:rsid w:val="00103C68"/>
    <w:rsid w:val="00104AFC"/>
    <w:rsid w:val="001051B9"/>
    <w:rsid w:val="00105704"/>
    <w:rsid w:val="001058F9"/>
    <w:rsid w:val="001059D9"/>
    <w:rsid w:val="00105A18"/>
    <w:rsid w:val="00105B55"/>
    <w:rsid w:val="00105F19"/>
    <w:rsid w:val="00105FEE"/>
    <w:rsid w:val="00106186"/>
    <w:rsid w:val="00106240"/>
    <w:rsid w:val="00106938"/>
    <w:rsid w:val="00106D4A"/>
    <w:rsid w:val="00106D5F"/>
    <w:rsid w:val="00106E67"/>
    <w:rsid w:val="00106FBF"/>
    <w:rsid w:val="001072B5"/>
    <w:rsid w:val="00107363"/>
    <w:rsid w:val="001073DF"/>
    <w:rsid w:val="001077E2"/>
    <w:rsid w:val="00107A8D"/>
    <w:rsid w:val="00107C3A"/>
    <w:rsid w:val="00107DC4"/>
    <w:rsid w:val="0011065B"/>
    <w:rsid w:val="001109D3"/>
    <w:rsid w:val="0011194F"/>
    <w:rsid w:val="00111B55"/>
    <w:rsid w:val="00111CD0"/>
    <w:rsid w:val="001120C0"/>
    <w:rsid w:val="0011217D"/>
    <w:rsid w:val="001122AE"/>
    <w:rsid w:val="00112495"/>
    <w:rsid w:val="001125A8"/>
    <w:rsid w:val="00112856"/>
    <w:rsid w:val="00112AAB"/>
    <w:rsid w:val="0011308A"/>
    <w:rsid w:val="001133D8"/>
    <w:rsid w:val="00113522"/>
    <w:rsid w:val="001141B6"/>
    <w:rsid w:val="0011422A"/>
    <w:rsid w:val="00114245"/>
    <w:rsid w:val="00114268"/>
    <w:rsid w:val="0011443F"/>
    <w:rsid w:val="0011458A"/>
    <w:rsid w:val="001155C6"/>
    <w:rsid w:val="001157F1"/>
    <w:rsid w:val="00115D33"/>
    <w:rsid w:val="00115F7B"/>
    <w:rsid w:val="0011619E"/>
    <w:rsid w:val="001163D9"/>
    <w:rsid w:val="001168A5"/>
    <w:rsid w:val="001168D2"/>
    <w:rsid w:val="0011690F"/>
    <w:rsid w:val="00116E9D"/>
    <w:rsid w:val="00116ECC"/>
    <w:rsid w:val="00117128"/>
    <w:rsid w:val="00117192"/>
    <w:rsid w:val="001171A1"/>
    <w:rsid w:val="00117382"/>
    <w:rsid w:val="00117752"/>
    <w:rsid w:val="001177A5"/>
    <w:rsid w:val="001178B5"/>
    <w:rsid w:val="00117BAE"/>
    <w:rsid w:val="00117C67"/>
    <w:rsid w:val="00117C92"/>
    <w:rsid w:val="00120767"/>
    <w:rsid w:val="00120B66"/>
    <w:rsid w:val="00120C8F"/>
    <w:rsid w:val="00120DF2"/>
    <w:rsid w:val="00121059"/>
    <w:rsid w:val="00121690"/>
    <w:rsid w:val="001216E7"/>
    <w:rsid w:val="0012185C"/>
    <w:rsid w:val="00121C08"/>
    <w:rsid w:val="00121FBD"/>
    <w:rsid w:val="0012237C"/>
    <w:rsid w:val="00122396"/>
    <w:rsid w:val="00122451"/>
    <w:rsid w:val="00122697"/>
    <w:rsid w:val="00122C4A"/>
    <w:rsid w:val="00122E78"/>
    <w:rsid w:val="00122E9D"/>
    <w:rsid w:val="001230B6"/>
    <w:rsid w:val="0012311F"/>
    <w:rsid w:val="0012327C"/>
    <w:rsid w:val="00123422"/>
    <w:rsid w:val="00123963"/>
    <w:rsid w:val="00123ACF"/>
    <w:rsid w:val="00123D25"/>
    <w:rsid w:val="00123D43"/>
    <w:rsid w:val="00124083"/>
    <w:rsid w:val="001241E2"/>
    <w:rsid w:val="0012426F"/>
    <w:rsid w:val="00124600"/>
    <w:rsid w:val="00124A4C"/>
    <w:rsid w:val="00124C09"/>
    <w:rsid w:val="0012504D"/>
    <w:rsid w:val="001251A0"/>
    <w:rsid w:val="001254B4"/>
    <w:rsid w:val="00125F0C"/>
    <w:rsid w:val="00126129"/>
    <w:rsid w:val="00126216"/>
    <w:rsid w:val="00126309"/>
    <w:rsid w:val="00126D66"/>
    <w:rsid w:val="00126F65"/>
    <w:rsid w:val="00127287"/>
    <w:rsid w:val="001274E7"/>
    <w:rsid w:val="00127825"/>
    <w:rsid w:val="0012796B"/>
    <w:rsid w:val="00127AFE"/>
    <w:rsid w:val="00127B92"/>
    <w:rsid w:val="001302B5"/>
    <w:rsid w:val="00130398"/>
    <w:rsid w:val="00130760"/>
    <w:rsid w:val="00130C54"/>
    <w:rsid w:val="00131334"/>
    <w:rsid w:val="00131690"/>
    <w:rsid w:val="00131740"/>
    <w:rsid w:val="00131A40"/>
    <w:rsid w:val="00131AD6"/>
    <w:rsid w:val="00131BFE"/>
    <w:rsid w:val="0013200B"/>
    <w:rsid w:val="00132300"/>
    <w:rsid w:val="00132437"/>
    <w:rsid w:val="00133350"/>
    <w:rsid w:val="00133739"/>
    <w:rsid w:val="001339C6"/>
    <w:rsid w:val="00133BF7"/>
    <w:rsid w:val="00133D0C"/>
    <w:rsid w:val="00133D1A"/>
    <w:rsid w:val="00133DAD"/>
    <w:rsid w:val="001344D1"/>
    <w:rsid w:val="001344DF"/>
    <w:rsid w:val="001345F3"/>
    <w:rsid w:val="001346A1"/>
    <w:rsid w:val="00134865"/>
    <w:rsid w:val="00134D06"/>
    <w:rsid w:val="00134E87"/>
    <w:rsid w:val="0013544A"/>
    <w:rsid w:val="0013591A"/>
    <w:rsid w:val="00135B6B"/>
    <w:rsid w:val="001363D8"/>
    <w:rsid w:val="00136833"/>
    <w:rsid w:val="00136FA0"/>
    <w:rsid w:val="00137202"/>
    <w:rsid w:val="001372D3"/>
    <w:rsid w:val="0013750B"/>
    <w:rsid w:val="001378EA"/>
    <w:rsid w:val="0013791F"/>
    <w:rsid w:val="00137BC7"/>
    <w:rsid w:val="00137C0F"/>
    <w:rsid w:val="001401EF"/>
    <w:rsid w:val="001408A0"/>
    <w:rsid w:val="00141B4D"/>
    <w:rsid w:val="00141C2F"/>
    <w:rsid w:val="00141FA2"/>
    <w:rsid w:val="0014201F"/>
    <w:rsid w:val="00142301"/>
    <w:rsid w:val="00142855"/>
    <w:rsid w:val="001428D3"/>
    <w:rsid w:val="00142ADA"/>
    <w:rsid w:val="00143454"/>
    <w:rsid w:val="00143755"/>
    <w:rsid w:val="001437A2"/>
    <w:rsid w:val="001438D9"/>
    <w:rsid w:val="001439C7"/>
    <w:rsid w:val="00143A0C"/>
    <w:rsid w:val="00143AC3"/>
    <w:rsid w:val="00143D2A"/>
    <w:rsid w:val="00143D9B"/>
    <w:rsid w:val="00144052"/>
    <w:rsid w:val="00144352"/>
    <w:rsid w:val="001444D8"/>
    <w:rsid w:val="0014456C"/>
    <w:rsid w:val="001446E5"/>
    <w:rsid w:val="00144C7E"/>
    <w:rsid w:val="001450B4"/>
    <w:rsid w:val="001450F8"/>
    <w:rsid w:val="0014571E"/>
    <w:rsid w:val="00145745"/>
    <w:rsid w:val="001458D5"/>
    <w:rsid w:val="00145E20"/>
    <w:rsid w:val="00145F5A"/>
    <w:rsid w:val="00145F8F"/>
    <w:rsid w:val="00145FA4"/>
    <w:rsid w:val="00146BFB"/>
    <w:rsid w:val="00146D52"/>
    <w:rsid w:val="00146F79"/>
    <w:rsid w:val="00147119"/>
    <w:rsid w:val="00147441"/>
    <w:rsid w:val="0014773B"/>
    <w:rsid w:val="001479A2"/>
    <w:rsid w:val="00147BD3"/>
    <w:rsid w:val="001502DB"/>
    <w:rsid w:val="00150304"/>
    <w:rsid w:val="00150477"/>
    <w:rsid w:val="0015084A"/>
    <w:rsid w:val="0015094E"/>
    <w:rsid w:val="00150E58"/>
    <w:rsid w:val="00150EF8"/>
    <w:rsid w:val="001518D7"/>
    <w:rsid w:val="00151A06"/>
    <w:rsid w:val="00151B4C"/>
    <w:rsid w:val="00152588"/>
    <w:rsid w:val="00152923"/>
    <w:rsid w:val="00152946"/>
    <w:rsid w:val="00152D03"/>
    <w:rsid w:val="00153365"/>
    <w:rsid w:val="001533A0"/>
    <w:rsid w:val="00153613"/>
    <w:rsid w:val="00153B2A"/>
    <w:rsid w:val="00153CDA"/>
    <w:rsid w:val="00153E7B"/>
    <w:rsid w:val="0015402D"/>
    <w:rsid w:val="001541FA"/>
    <w:rsid w:val="0015442B"/>
    <w:rsid w:val="001545A6"/>
    <w:rsid w:val="00154928"/>
    <w:rsid w:val="00154978"/>
    <w:rsid w:val="0015499A"/>
    <w:rsid w:val="00154CFE"/>
    <w:rsid w:val="00155375"/>
    <w:rsid w:val="00155D97"/>
    <w:rsid w:val="00155EC0"/>
    <w:rsid w:val="00156325"/>
    <w:rsid w:val="00156CF7"/>
    <w:rsid w:val="00157684"/>
    <w:rsid w:val="00157A63"/>
    <w:rsid w:val="001601EC"/>
    <w:rsid w:val="001603AD"/>
    <w:rsid w:val="001603D1"/>
    <w:rsid w:val="00160564"/>
    <w:rsid w:val="00160832"/>
    <w:rsid w:val="001609B2"/>
    <w:rsid w:val="00160AA3"/>
    <w:rsid w:val="00160AC5"/>
    <w:rsid w:val="00160E3E"/>
    <w:rsid w:val="00160FF2"/>
    <w:rsid w:val="001611AC"/>
    <w:rsid w:val="001611CD"/>
    <w:rsid w:val="00162913"/>
    <w:rsid w:val="00162B49"/>
    <w:rsid w:val="00162BEF"/>
    <w:rsid w:val="00162CE0"/>
    <w:rsid w:val="00162F28"/>
    <w:rsid w:val="001636AC"/>
    <w:rsid w:val="00163855"/>
    <w:rsid w:val="00163B16"/>
    <w:rsid w:val="00163F7D"/>
    <w:rsid w:val="00164413"/>
    <w:rsid w:val="00164414"/>
    <w:rsid w:val="00164515"/>
    <w:rsid w:val="00164783"/>
    <w:rsid w:val="001649D5"/>
    <w:rsid w:val="00164A4E"/>
    <w:rsid w:val="00164C60"/>
    <w:rsid w:val="00164F1C"/>
    <w:rsid w:val="00165095"/>
    <w:rsid w:val="001650E4"/>
    <w:rsid w:val="001652ED"/>
    <w:rsid w:val="001655C8"/>
    <w:rsid w:val="00165AF5"/>
    <w:rsid w:val="00166501"/>
    <w:rsid w:val="00166796"/>
    <w:rsid w:val="00166932"/>
    <w:rsid w:val="001669AE"/>
    <w:rsid w:val="001673DE"/>
    <w:rsid w:val="0016755D"/>
    <w:rsid w:val="001676E7"/>
    <w:rsid w:val="00167D0F"/>
    <w:rsid w:val="00167D46"/>
    <w:rsid w:val="00167E64"/>
    <w:rsid w:val="00167EF2"/>
    <w:rsid w:val="001704D7"/>
    <w:rsid w:val="00170698"/>
    <w:rsid w:val="001708BA"/>
    <w:rsid w:val="00170D69"/>
    <w:rsid w:val="001711F0"/>
    <w:rsid w:val="0017136B"/>
    <w:rsid w:val="00171B8D"/>
    <w:rsid w:val="001721EA"/>
    <w:rsid w:val="00173365"/>
    <w:rsid w:val="001733FB"/>
    <w:rsid w:val="001734B1"/>
    <w:rsid w:val="00173786"/>
    <w:rsid w:val="00173AD3"/>
    <w:rsid w:val="0017416D"/>
    <w:rsid w:val="001741C7"/>
    <w:rsid w:val="001741DB"/>
    <w:rsid w:val="001747AB"/>
    <w:rsid w:val="001748DA"/>
    <w:rsid w:val="00174B6F"/>
    <w:rsid w:val="00174CF6"/>
    <w:rsid w:val="0017502A"/>
    <w:rsid w:val="001759A8"/>
    <w:rsid w:val="00175DF4"/>
    <w:rsid w:val="00175F09"/>
    <w:rsid w:val="00175F3F"/>
    <w:rsid w:val="00175F73"/>
    <w:rsid w:val="001764D3"/>
    <w:rsid w:val="00176968"/>
    <w:rsid w:val="00176CCC"/>
    <w:rsid w:val="00176CDC"/>
    <w:rsid w:val="00176E94"/>
    <w:rsid w:val="00176F16"/>
    <w:rsid w:val="001772BE"/>
    <w:rsid w:val="001772E4"/>
    <w:rsid w:val="001802A7"/>
    <w:rsid w:val="0018053B"/>
    <w:rsid w:val="00180905"/>
    <w:rsid w:val="00180DCE"/>
    <w:rsid w:val="00180DE3"/>
    <w:rsid w:val="00180EFF"/>
    <w:rsid w:val="001810FC"/>
    <w:rsid w:val="00181266"/>
    <w:rsid w:val="00181351"/>
    <w:rsid w:val="001813C4"/>
    <w:rsid w:val="001814A7"/>
    <w:rsid w:val="001814DE"/>
    <w:rsid w:val="0018157B"/>
    <w:rsid w:val="001816EF"/>
    <w:rsid w:val="00181CE9"/>
    <w:rsid w:val="00181EAD"/>
    <w:rsid w:val="0018258B"/>
    <w:rsid w:val="001827A4"/>
    <w:rsid w:val="0018295C"/>
    <w:rsid w:val="00182991"/>
    <w:rsid w:val="00182C16"/>
    <w:rsid w:val="00182F66"/>
    <w:rsid w:val="00183435"/>
    <w:rsid w:val="0018382D"/>
    <w:rsid w:val="0018392F"/>
    <w:rsid w:val="001839BA"/>
    <w:rsid w:val="00183E3C"/>
    <w:rsid w:val="00183F47"/>
    <w:rsid w:val="001842E5"/>
    <w:rsid w:val="0018447D"/>
    <w:rsid w:val="00184583"/>
    <w:rsid w:val="00185652"/>
    <w:rsid w:val="00185AAC"/>
    <w:rsid w:val="00185B09"/>
    <w:rsid w:val="00185E3E"/>
    <w:rsid w:val="00185F82"/>
    <w:rsid w:val="00186122"/>
    <w:rsid w:val="00186130"/>
    <w:rsid w:val="0018655E"/>
    <w:rsid w:val="00186684"/>
    <w:rsid w:val="0018688B"/>
    <w:rsid w:val="00186B63"/>
    <w:rsid w:val="00186F40"/>
    <w:rsid w:val="0018729D"/>
    <w:rsid w:val="00187524"/>
    <w:rsid w:val="00187A68"/>
    <w:rsid w:val="00187AEC"/>
    <w:rsid w:val="00187B8D"/>
    <w:rsid w:val="00187C62"/>
    <w:rsid w:val="00187C79"/>
    <w:rsid w:val="00187E58"/>
    <w:rsid w:val="00187FAC"/>
    <w:rsid w:val="00190A7F"/>
    <w:rsid w:val="00190B4A"/>
    <w:rsid w:val="00190D2A"/>
    <w:rsid w:val="00191816"/>
    <w:rsid w:val="00191B1A"/>
    <w:rsid w:val="00191CEA"/>
    <w:rsid w:val="00191CF7"/>
    <w:rsid w:val="00191F5B"/>
    <w:rsid w:val="00191FC3"/>
    <w:rsid w:val="00191FC8"/>
    <w:rsid w:val="001922B3"/>
    <w:rsid w:val="00192339"/>
    <w:rsid w:val="00192483"/>
    <w:rsid w:val="00192785"/>
    <w:rsid w:val="001928AF"/>
    <w:rsid w:val="00192A22"/>
    <w:rsid w:val="00192BAF"/>
    <w:rsid w:val="0019304F"/>
    <w:rsid w:val="001938DF"/>
    <w:rsid w:val="00193DF2"/>
    <w:rsid w:val="001940D2"/>
    <w:rsid w:val="0019479D"/>
    <w:rsid w:val="00194B59"/>
    <w:rsid w:val="00194C25"/>
    <w:rsid w:val="00194CDD"/>
    <w:rsid w:val="00194E84"/>
    <w:rsid w:val="00194F64"/>
    <w:rsid w:val="00195120"/>
    <w:rsid w:val="0019521C"/>
    <w:rsid w:val="0019544E"/>
    <w:rsid w:val="00195660"/>
    <w:rsid w:val="001956B5"/>
    <w:rsid w:val="00195985"/>
    <w:rsid w:val="00195C04"/>
    <w:rsid w:val="00196009"/>
    <w:rsid w:val="001963C3"/>
    <w:rsid w:val="0019695C"/>
    <w:rsid w:val="0019726B"/>
    <w:rsid w:val="00197492"/>
    <w:rsid w:val="001977DA"/>
    <w:rsid w:val="00197CAD"/>
    <w:rsid w:val="00197CD2"/>
    <w:rsid w:val="001A04D3"/>
    <w:rsid w:val="001A0637"/>
    <w:rsid w:val="001A0814"/>
    <w:rsid w:val="001A08F2"/>
    <w:rsid w:val="001A09EC"/>
    <w:rsid w:val="001A0EC4"/>
    <w:rsid w:val="001A0EFB"/>
    <w:rsid w:val="001A0F7C"/>
    <w:rsid w:val="001A11F8"/>
    <w:rsid w:val="001A1538"/>
    <w:rsid w:val="001A1A78"/>
    <w:rsid w:val="001A1C21"/>
    <w:rsid w:val="001A1D17"/>
    <w:rsid w:val="001A1EFC"/>
    <w:rsid w:val="001A27A2"/>
    <w:rsid w:val="001A28F4"/>
    <w:rsid w:val="001A2D30"/>
    <w:rsid w:val="001A2D84"/>
    <w:rsid w:val="001A2EF2"/>
    <w:rsid w:val="001A2F39"/>
    <w:rsid w:val="001A2F67"/>
    <w:rsid w:val="001A3533"/>
    <w:rsid w:val="001A3CC0"/>
    <w:rsid w:val="001A3D94"/>
    <w:rsid w:val="001A3DB3"/>
    <w:rsid w:val="001A3E7A"/>
    <w:rsid w:val="001A3E80"/>
    <w:rsid w:val="001A4507"/>
    <w:rsid w:val="001A460D"/>
    <w:rsid w:val="001A4940"/>
    <w:rsid w:val="001A4CE1"/>
    <w:rsid w:val="001A513A"/>
    <w:rsid w:val="001A5145"/>
    <w:rsid w:val="001A53A8"/>
    <w:rsid w:val="001A5425"/>
    <w:rsid w:val="001A5CC2"/>
    <w:rsid w:val="001A5CD8"/>
    <w:rsid w:val="001A5EB6"/>
    <w:rsid w:val="001A6146"/>
    <w:rsid w:val="001A61A0"/>
    <w:rsid w:val="001A6736"/>
    <w:rsid w:val="001A6A2E"/>
    <w:rsid w:val="001A6FFA"/>
    <w:rsid w:val="001A7386"/>
    <w:rsid w:val="001A74AB"/>
    <w:rsid w:val="001A751C"/>
    <w:rsid w:val="001A7554"/>
    <w:rsid w:val="001A75C3"/>
    <w:rsid w:val="001A7905"/>
    <w:rsid w:val="001A795F"/>
    <w:rsid w:val="001A79B4"/>
    <w:rsid w:val="001B0086"/>
    <w:rsid w:val="001B0496"/>
    <w:rsid w:val="001B0505"/>
    <w:rsid w:val="001B0A33"/>
    <w:rsid w:val="001B0DD2"/>
    <w:rsid w:val="001B1309"/>
    <w:rsid w:val="001B1624"/>
    <w:rsid w:val="001B1809"/>
    <w:rsid w:val="001B1B61"/>
    <w:rsid w:val="001B1B65"/>
    <w:rsid w:val="001B1D9B"/>
    <w:rsid w:val="001B21F7"/>
    <w:rsid w:val="001B24F1"/>
    <w:rsid w:val="001B2870"/>
    <w:rsid w:val="001B2ABC"/>
    <w:rsid w:val="001B2FB7"/>
    <w:rsid w:val="001B328A"/>
    <w:rsid w:val="001B35AC"/>
    <w:rsid w:val="001B37C3"/>
    <w:rsid w:val="001B3A47"/>
    <w:rsid w:val="001B3A5D"/>
    <w:rsid w:val="001B3F65"/>
    <w:rsid w:val="001B419E"/>
    <w:rsid w:val="001B4457"/>
    <w:rsid w:val="001B4589"/>
    <w:rsid w:val="001B45E0"/>
    <w:rsid w:val="001B4A4E"/>
    <w:rsid w:val="001B4D01"/>
    <w:rsid w:val="001B4F45"/>
    <w:rsid w:val="001B513C"/>
    <w:rsid w:val="001B5246"/>
    <w:rsid w:val="001B537C"/>
    <w:rsid w:val="001B5A82"/>
    <w:rsid w:val="001B6355"/>
    <w:rsid w:val="001B685A"/>
    <w:rsid w:val="001B6AC0"/>
    <w:rsid w:val="001B6BC0"/>
    <w:rsid w:val="001B6FA5"/>
    <w:rsid w:val="001B700E"/>
    <w:rsid w:val="001B7021"/>
    <w:rsid w:val="001B7173"/>
    <w:rsid w:val="001B71B8"/>
    <w:rsid w:val="001B71DE"/>
    <w:rsid w:val="001B785B"/>
    <w:rsid w:val="001C022D"/>
    <w:rsid w:val="001C04CB"/>
    <w:rsid w:val="001C0589"/>
    <w:rsid w:val="001C0850"/>
    <w:rsid w:val="001C0E5F"/>
    <w:rsid w:val="001C0E95"/>
    <w:rsid w:val="001C1503"/>
    <w:rsid w:val="001C1508"/>
    <w:rsid w:val="001C15B2"/>
    <w:rsid w:val="001C15F1"/>
    <w:rsid w:val="001C1717"/>
    <w:rsid w:val="001C18F8"/>
    <w:rsid w:val="001C1CDB"/>
    <w:rsid w:val="001C1DB7"/>
    <w:rsid w:val="001C1E21"/>
    <w:rsid w:val="001C23EC"/>
    <w:rsid w:val="001C26EF"/>
    <w:rsid w:val="001C2771"/>
    <w:rsid w:val="001C285A"/>
    <w:rsid w:val="001C2E96"/>
    <w:rsid w:val="001C317C"/>
    <w:rsid w:val="001C3AC5"/>
    <w:rsid w:val="001C3B6D"/>
    <w:rsid w:val="001C433D"/>
    <w:rsid w:val="001C434C"/>
    <w:rsid w:val="001C45E8"/>
    <w:rsid w:val="001C4DA6"/>
    <w:rsid w:val="001C5258"/>
    <w:rsid w:val="001C560F"/>
    <w:rsid w:val="001C5749"/>
    <w:rsid w:val="001C59D1"/>
    <w:rsid w:val="001C5D4B"/>
    <w:rsid w:val="001C5E7E"/>
    <w:rsid w:val="001C5F22"/>
    <w:rsid w:val="001C638A"/>
    <w:rsid w:val="001C644A"/>
    <w:rsid w:val="001C677D"/>
    <w:rsid w:val="001C67C2"/>
    <w:rsid w:val="001C6969"/>
    <w:rsid w:val="001C6A45"/>
    <w:rsid w:val="001C6DA9"/>
    <w:rsid w:val="001C70B9"/>
    <w:rsid w:val="001C78C8"/>
    <w:rsid w:val="001C7C6E"/>
    <w:rsid w:val="001D0028"/>
    <w:rsid w:val="001D01C7"/>
    <w:rsid w:val="001D02A5"/>
    <w:rsid w:val="001D04FD"/>
    <w:rsid w:val="001D057D"/>
    <w:rsid w:val="001D088A"/>
    <w:rsid w:val="001D099D"/>
    <w:rsid w:val="001D09C8"/>
    <w:rsid w:val="001D0A55"/>
    <w:rsid w:val="001D0BCF"/>
    <w:rsid w:val="001D0DFA"/>
    <w:rsid w:val="001D1063"/>
    <w:rsid w:val="001D113B"/>
    <w:rsid w:val="001D1303"/>
    <w:rsid w:val="001D1752"/>
    <w:rsid w:val="001D1CCB"/>
    <w:rsid w:val="001D229D"/>
    <w:rsid w:val="001D27A0"/>
    <w:rsid w:val="001D2AD9"/>
    <w:rsid w:val="001D2E9A"/>
    <w:rsid w:val="001D30E2"/>
    <w:rsid w:val="001D31D9"/>
    <w:rsid w:val="001D34FB"/>
    <w:rsid w:val="001D362F"/>
    <w:rsid w:val="001D3CFB"/>
    <w:rsid w:val="001D491E"/>
    <w:rsid w:val="001D4D60"/>
    <w:rsid w:val="001D4DD5"/>
    <w:rsid w:val="001D5520"/>
    <w:rsid w:val="001D5DE4"/>
    <w:rsid w:val="001D5F64"/>
    <w:rsid w:val="001D5F71"/>
    <w:rsid w:val="001D60C0"/>
    <w:rsid w:val="001D6785"/>
    <w:rsid w:val="001D6838"/>
    <w:rsid w:val="001D6D7E"/>
    <w:rsid w:val="001D7197"/>
    <w:rsid w:val="001D75D6"/>
    <w:rsid w:val="001D798E"/>
    <w:rsid w:val="001D7F32"/>
    <w:rsid w:val="001E0037"/>
    <w:rsid w:val="001E0202"/>
    <w:rsid w:val="001E0519"/>
    <w:rsid w:val="001E053E"/>
    <w:rsid w:val="001E08F4"/>
    <w:rsid w:val="001E0D85"/>
    <w:rsid w:val="001E13C8"/>
    <w:rsid w:val="001E1D2C"/>
    <w:rsid w:val="001E2673"/>
    <w:rsid w:val="001E2879"/>
    <w:rsid w:val="001E2926"/>
    <w:rsid w:val="001E2C9D"/>
    <w:rsid w:val="001E3081"/>
    <w:rsid w:val="001E34AE"/>
    <w:rsid w:val="001E3856"/>
    <w:rsid w:val="001E3E77"/>
    <w:rsid w:val="001E48D2"/>
    <w:rsid w:val="001E4E42"/>
    <w:rsid w:val="001E504C"/>
    <w:rsid w:val="001E50B1"/>
    <w:rsid w:val="001E52AC"/>
    <w:rsid w:val="001E52F1"/>
    <w:rsid w:val="001E549E"/>
    <w:rsid w:val="001E553F"/>
    <w:rsid w:val="001E57B8"/>
    <w:rsid w:val="001E5AB1"/>
    <w:rsid w:val="001E5D32"/>
    <w:rsid w:val="001E626C"/>
    <w:rsid w:val="001E634B"/>
    <w:rsid w:val="001E6394"/>
    <w:rsid w:val="001E65C1"/>
    <w:rsid w:val="001E66FC"/>
    <w:rsid w:val="001E6B6B"/>
    <w:rsid w:val="001E6C67"/>
    <w:rsid w:val="001E6E92"/>
    <w:rsid w:val="001E6ED5"/>
    <w:rsid w:val="001E7645"/>
    <w:rsid w:val="001E7944"/>
    <w:rsid w:val="001E7C3D"/>
    <w:rsid w:val="001E7D0C"/>
    <w:rsid w:val="001F00A1"/>
    <w:rsid w:val="001F02DC"/>
    <w:rsid w:val="001F0421"/>
    <w:rsid w:val="001F0D58"/>
    <w:rsid w:val="001F1086"/>
    <w:rsid w:val="001F140A"/>
    <w:rsid w:val="001F162A"/>
    <w:rsid w:val="001F1771"/>
    <w:rsid w:val="001F1849"/>
    <w:rsid w:val="001F1D51"/>
    <w:rsid w:val="001F1FDB"/>
    <w:rsid w:val="001F2090"/>
    <w:rsid w:val="001F24C6"/>
    <w:rsid w:val="001F27F4"/>
    <w:rsid w:val="001F28A7"/>
    <w:rsid w:val="001F2983"/>
    <w:rsid w:val="001F2998"/>
    <w:rsid w:val="001F2BC7"/>
    <w:rsid w:val="001F2C33"/>
    <w:rsid w:val="001F3073"/>
    <w:rsid w:val="001F3446"/>
    <w:rsid w:val="001F39C9"/>
    <w:rsid w:val="001F3C9D"/>
    <w:rsid w:val="001F3D7F"/>
    <w:rsid w:val="001F3EAB"/>
    <w:rsid w:val="001F3FF3"/>
    <w:rsid w:val="001F4146"/>
    <w:rsid w:val="001F421E"/>
    <w:rsid w:val="001F429D"/>
    <w:rsid w:val="001F49B3"/>
    <w:rsid w:val="001F4DB2"/>
    <w:rsid w:val="001F4EF7"/>
    <w:rsid w:val="001F5002"/>
    <w:rsid w:val="001F54C5"/>
    <w:rsid w:val="001F5579"/>
    <w:rsid w:val="001F5665"/>
    <w:rsid w:val="001F5894"/>
    <w:rsid w:val="001F5A33"/>
    <w:rsid w:val="001F5FA9"/>
    <w:rsid w:val="001F613A"/>
    <w:rsid w:val="001F6273"/>
    <w:rsid w:val="001F6BD4"/>
    <w:rsid w:val="001F76A8"/>
    <w:rsid w:val="001F78AD"/>
    <w:rsid w:val="001F7975"/>
    <w:rsid w:val="00200365"/>
    <w:rsid w:val="00200419"/>
    <w:rsid w:val="002005DA"/>
    <w:rsid w:val="00200BC1"/>
    <w:rsid w:val="00200C7D"/>
    <w:rsid w:val="00200ED4"/>
    <w:rsid w:val="00201230"/>
    <w:rsid w:val="00201353"/>
    <w:rsid w:val="0020142C"/>
    <w:rsid w:val="0020173F"/>
    <w:rsid w:val="00201B80"/>
    <w:rsid w:val="00201C4E"/>
    <w:rsid w:val="00202003"/>
    <w:rsid w:val="0020200C"/>
    <w:rsid w:val="00202681"/>
    <w:rsid w:val="002029CE"/>
    <w:rsid w:val="00202A6C"/>
    <w:rsid w:val="00202AA9"/>
    <w:rsid w:val="00202C25"/>
    <w:rsid w:val="002031C4"/>
    <w:rsid w:val="002033DE"/>
    <w:rsid w:val="002033DF"/>
    <w:rsid w:val="00203672"/>
    <w:rsid w:val="00203CF8"/>
    <w:rsid w:val="00204111"/>
    <w:rsid w:val="00204405"/>
    <w:rsid w:val="002045DF"/>
    <w:rsid w:val="002047B9"/>
    <w:rsid w:val="00204AAE"/>
    <w:rsid w:val="00205018"/>
    <w:rsid w:val="002051B1"/>
    <w:rsid w:val="00205818"/>
    <w:rsid w:val="00205999"/>
    <w:rsid w:val="00205C17"/>
    <w:rsid w:val="002060E8"/>
    <w:rsid w:val="00206211"/>
    <w:rsid w:val="00206786"/>
    <w:rsid w:val="002068DB"/>
    <w:rsid w:val="00206C07"/>
    <w:rsid w:val="00206EC6"/>
    <w:rsid w:val="00207811"/>
    <w:rsid w:val="002078C0"/>
    <w:rsid w:val="00207BBD"/>
    <w:rsid w:val="0021045F"/>
    <w:rsid w:val="00210511"/>
    <w:rsid w:val="00210A86"/>
    <w:rsid w:val="00210BE7"/>
    <w:rsid w:val="00210F61"/>
    <w:rsid w:val="00211186"/>
    <w:rsid w:val="002111B2"/>
    <w:rsid w:val="00211297"/>
    <w:rsid w:val="00211520"/>
    <w:rsid w:val="00211857"/>
    <w:rsid w:val="002119CE"/>
    <w:rsid w:val="00211D21"/>
    <w:rsid w:val="00211FF4"/>
    <w:rsid w:val="002123B6"/>
    <w:rsid w:val="0021264D"/>
    <w:rsid w:val="00212B90"/>
    <w:rsid w:val="00212E2A"/>
    <w:rsid w:val="00213204"/>
    <w:rsid w:val="002133F1"/>
    <w:rsid w:val="00213547"/>
    <w:rsid w:val="0021358D"/>
    <w:rsid w:val="00213736"/>
    <w:rsid w:val="00213997"/>
    <w:rsid w:val="00213A0E"/>
    <w:rsid w:val="00213A41"/>
    <w:rsid w:val="00214138"/>
    <w:rsid w:val="00214383"/>
    <w:rsid w:val="002143A0"/>
    <w:rsid w:val="0021453B"/>
    <w:rsid w:val="002154F6"/>
    <w:rsid w:val="002156FA"/>
    <w:rsid w:val="00216094"/>
    <w:rsid w:val="00216284"/>
    <w:rsid w:val="00216525"/>
    <w:rsid w:val="002165BD"/>
    <w:rsid w:val="002166F0"/>
    <w:rsid w:val="002167FE"/>
    <w:rsid w:val="00216E38"/>
    <w:rsid w:val="00217066"/>
    <w:rsid w:val="002173AC"/>
    <w:rsid w:val="00217779"/>
    <w:rsid w:val="00217FD6"/>
    <w:rsid w:val="002201AA"/>
    <w:rsid w:val="00220967"/>
    <w:rsid w:val="00220AEE"/>
    <w:rsid w:val="00220C13"/>
    <w:rsid w:val="00221029"/>
    <w:rsid w:val="00221804"/>
    <w:rsid w:val="00221B15"/>
    <w:rsid w:val="00221F18"/>
    <w:rsid w:val="00222056"/>
    <w:rsid w:val="00222162"/>
    <w:rsid w:val="0022219F"/>
    <w:rsid w:val="0022234D"/>
    <w:rsid w:val="00222709"/>
    <w:rsid w:val="00222948"/>
    <w:rsid w:val="00222A5F"/>
    <w:rsid w:val="00222B68"/>
    <w:rsid w:val="00223662"/>
    <w:rsid w:val="00223920"/>
    <w:rsid w:val="00223C6B"/>
    <w:rsid w:val="00223D5A"/>
    <w:rsid w:val="0022405C"/>
    <w:rsid w:val="002242B5"/>
    <w:rsid w:val="002244A5"/>
    <w:rsid w:val="00224576"/>
    <w:rsid w:val="00224617"/>
    <w:rsid w:val="0022480B"/>
    <w:rsid w:val="00224EBD"/>
    <w:rsid w:val="002251A6"/>
    <w:rsid w:val="0022554A"/>
    <w:rsid w:val="002258A1"/>
    <w:rsid w:val="002258FB"/>
    <w:rsid w:val="002259E6"/>
    <w:rsid w:val="00225AEF"/>
    <w:rsid w:val="00225C60"/>
    <w:rsid w:val="00225DD4"/>
    <w:rsid w:val="00225DD8"/>
    <w:rsid w:val="00226379"/>
    <w:rsid w:val="0022639D"/>
    <w:rsid w:val="002277CC"/>
    <w:rsid w:val="00227B45"/>
    <w:rsid w:val="00227D8E"/>
    <w:rsid w:val="00227DC6"/>
    <w:rsid w:val="00230634"/>
    <w:rsid w:val="00230660"/>
    <w:rsid w:val="0023072B"/>
    <w:rsid w:val="00230B79"/>
    <w:rsid w:val="00230E26"/>
    <w:rsid w:val="002311C6"/>
    <w:rsid w:val="002314DB"/>
    <w:rsid w:val="00231B02"/>
    <w:rsid w:val="00231E5C"/>
    <w:rsid w:val="0023222F"/>
    <w:rsid w:val="00232389"/>
    <w:rsid w:val="0023242B"/>
    <w:rsid w:val="0023299A"/>
    <w:rsid w:val="00232DBD"/>
    <w:rsid w:val="00232DEA"/>
    <w:rsid w:val="00232E71"/>
    <w:rsid w:val="00233684"/>
    <w:rsid w:val="002338A4"/>
    <w:rsid w:val="002345CD"/>
    <w:rsid w:val="00234628"/>
    <w:rsid w:val="0023495F"/>
    <w:rsid w:val="00234D22"/>
    <w:rsid w:val="00234E30"/>
    <w:rsid w:val="00234E38"/>
    <w:rsid w:val="00234EC5"/>
    <w:rsid w:val="0023566C"/>
    <w:rsid w:val="002356DE"/>
    <w:rsid w:val="002357D6"/>
    <w:rsid w:val="002357DF"/>
    <w:rsid w:val="002357FF"/>
    <w:rsid w:val="00235D62"/>
    <w:rsid w:val="00236222"/>
    <w:rsid w:val="002362BE"/>
    <w:rsid w:val="00236915"/>
    <w:rsid w:val="00236C37"/>
    <w:rsid w:val="00236CA7"/>
    <w:rsid w:val="00237433"/>
    <w:rsid w:val="0023794F"/>
    <w:rsid w:val="00237D05"/>
    <w:rsid w:val="00240528"/>
    <w:rsid w:val="002407D0"/>
    <w:rsid w:val="00240A55"/>
    <w:rsid w:val="002411B9"/>
    <w:rsid w:val="0024161B"/>
    <w:rsid w:val="002418C5"/>
    <w:rsid w:val="00241A7E"/>
    <w:rsid w:val="00241B3B"/>
    <w:rsid w:val="00241BF9"/>
    <w:rsid w:val="00241D4E"/>
    <w:rsid w:val="002420FC"/>
    <w:rsid w:val="00242260"/>
    <w:rsid w:val="00242758"/>
    <w:rsid w:val="002428C3"/>
    <w:rsid w:val="00242AA6"/>
    <w:rsid w:val="00242B5A"/>
    <w:rsid w:val="00242C0F"/>
    <w:rsid w:val="00242F5B"/>
    <w:rsid w:val="00243CC1"/>
    <w:rsid w:val="00244127"/>
    <w:rsid w:val="00244164"/>
    <w:rsid w:val="00244613"/>
    <w:rsid w:val="00244634"/>
    <w:rsid w:val="00244A24"/>
    <w:rsid w:val="00244AB8"/>
    <w:rsid w:val="00244FFA"/>
    <w:rsid w:val="00245133"/>
    <w:rsid w:val="00245207"/>
    <w:rsid w:val="002455C0"/>
    <w:rsid w:val="002460D5"/>
    <w:rsid w:val="00246123"/>
    <w:rsid w:val="00246411"/>
    <w:rsid w:val="002467EB"/>
    <w:rsid w:val="00246F71"/>
    <w:rsid w:val="002473ED"/>
    <w:rsid w:val="002475B1"/>
    <w:rsid w:val="00247EC7"/>
    <w:rsid w:val="00247EF3"/>
    <w:rsid w:val="00250064"/>
    <w:rsid w:val="002503E7"/>
    <w:rsid w:val="00250655"/>
    <w:rsid w:val="00250658"/>
    <w:rsid w:val="00250903"/>
    <w:rsid w:val="00250CC9"/>
    <w:rsid w:val="00250CF3"/>
    <w:rsid w:val="00250D12"/>
    <w:rsid w:val="00250DCD"/>
    <w:rsid w:val="00251003"/>
    <w:rsid w:val="002510CC"/>
    <w:rsid w:val="00251757"/>
    <w:rsid w:val="00251D06"/>
    <w:rsid w:val="00251D0E"/>
    <w:rsid w:val="00251E8A"/>
    <w:rsid w:val="00251F7A"/>
    <w:rsid w:val="002520E7"/>
    <w:rsid w:val="00252193"/>
    <w:rsid w:val="0025252C"/>
    <w:rsid w:val="0025256A"/>
    <w:rsid w:val="0025292A"/>
    <w:rsid w:val="00252996"/>
    <w:rsid w:val="00252A29"/>
    <w:rsid w:val="0025320D"/>
    <w:rsid w:val="00253312"/>
    <w:rsid w:val="00253827"/>
    <w:rsid w:val="0025392F"/>
    <w:rsid w:val="00253AB6"/>
    <w:rsid w:val="00253C8B"/>
    <w:rsid w:val="00253DA1"/>
    <w:rsid w:val="00254859"/>
    <w:rsid w:val="00254900"/>
    <w:rsid w:val="00255193"/>
    <w:rsid w:val="002552F0"/>
    <w:rsid w:val="00255851"/>
    <w:rsid w:val="00255C28"/>
    <w:rsid w:val="00255C8E"/>
    <w:rsid w:val="0025609D"/>
    <w:rsid w:val="00256242"/>
    <w:rsid w:val="00256752"/>
    <w:rsid w:val="002569A1"/>
    <w:rsid w:val="00256EB2"/>
    <w:rsid w:val="00256EDE"/>
    <w:rsid w:val="002570BB"/>
    <w:rsid w:val="0025714B"/>
    <w:rsid w:val="0025738F"/>
    <w:rsid w:val="00257A29"/>
    <w:rsid w:val="00257A54"/>
    <w:rsid w:val="00257DC8"/>
    <w:rsid w:val="00257E1E"/>
    <w:rsid w:val="002600E2"/>
    <w:rsid w:val="002600F7"/>
    <w:rsid w:val="00260899"/>
    <w:rsid w:val="00260A58"/>
    <w:rsid w:val="00260E9F"/>
    <w:rsid w:val="00260F60"/>
    <w:rsid w:val="002611C9"/>
    <w:rsid w:val="002611D6"/>
    <w:rsid w:val="002611F1"/>
    <w:rsid w:val="00261537"/>
    <w:rsid w:val="002619D2"/>
    <w:rsid w:val="00261B03"/>
    <w:rsid w:val="00262206"/>
    <w:rsid w:val="0026226A"/>
    <w:rsid w:val="00262299"/>
    <w:rsid w:val="00262396"/>
    <w:rsid w:val="002623F8"/>
    <w:rsid w:val="00262633"/>
    <w:rsid w:val="002627F0"/>
    <w:rsid w:val="0026295A"/>
    <w:rsid w:val="00262EB2"/>
    <w:rsid w:val="00262F3C"/>
    <w:rsid w:val="002631FA"/>
    <w:rsid w:val="002636E6"/>
    <w:rsid w:val="0026403E"/>
    <w:rsid w:val="002644A3"/>
    <w:rsid w:val="00264C74"/>
    <w:rsid w:val="00264D86"/>
    <w:rsid w:val="0026566C"/>
    <w:rsid w:val="00265963"/>
    <w:rsid w:val="00265BD3"/>
    <w:rsid w:val="00265E43"/>
    <w:rsid w:val="00266324"/>
    <w:rsid w:val="00266630"/>
    <w:rsid w:val="0026687E"/>
    <w:rsid w:val="002669C4"/>
    <w:rsid w:val="00267017"/>
    <w:rsid w:val="00267219"/>
    <w:rsid w:val="002672AD"/>
    <w:rsid w:val="002672C5"/>
    <w:rsid w:val="0026756E"/>
    <w:rsid w:val="00267686"/>
    <w:rsid w:val="002678AA"/>
    <w:rsid w:val="002702ED"/>
    <w:rsid w:val="0027058A"/>
    <w:rsid w:val="002706DB"/>
    <w:rsid w:val="002708A1"/>
    <w:rsid w:val="002708B9"/>
    <w:rsid w:val="00270BC1"/>
    <w:rsid w:val="00270C66"/>
    <w:rsid w:val="00271214"/>
    <w:rsid w:val="002716EA"/>
    <w:rsid w:val="00271727"/>
    <w:rsid w:val="00271824"/>
    <w:rsid w:val="00271CE2"/>
    <w:rsid w:val="00271EA4"/>
    <w:rsid w:val="0027213A"/>
    <w:rsid w:val="002721DE"/>
    <w:rsid w:val="0027242F"/>
    <w:rsid w:val="00272974"/>
    <w:rsid w:val="002731C1"/>
    <w:rsid w:val="002732EF"/>
    <w:rsid w:val="002735BB"/>
    <w:rsid w:val="0027364B"/>
    <w:rsid w:val="00273F2B"/>
    <w:rsid w:val="002740AB"/>
    <w:rsid w:val="00274164"/>
    <w:rsid w:val="0027437A"/>
    <w:rsid w:val="002747D2"/>
    <w:rsid w:val="00274C86"/>
    <w:rsid w:val="00274E37"/>
    <w:rsid w:val="002753A6"/>
    <w:rsid w:val="002753BF"/>
    <w:rsid w:val="0027555E"/>
    <w:rsid w:val="00275755"/>
    <w:rsid w:val="0027584B"/>
    <w:rsid w:val="00275A15"/>
    <w:rsid w:val="00275B60"/>
    <w:rsid w:val="00276890"/>
    <w:rsid w:val="00276BCC"/>
    <w:rsid w:val="00276C2A"/>
    <w:rsid w:val="00276C3E"/>
    <w:rsid w:val="00276DA1"/>
    <w:rsid w:val="00276FA1"/>
    <w:rsid w:val="002772FA"/>
    <w:rsid w:val="0027753C"/>
    <w:rsid w:val="002775BE"/>
    <w:rsid w:val="002776A4"/>
    <w:rsid w:val="002779FD"/>
    <w:rsid w:val="00280815"/>
    <w:rsid w:val="002809B5"/>
    <w:rsid w:val="00280B74"/>
    <w:rsid w:val="00280CBD"/>
    <w:rsid w:val="00280F94"/>
    <w:rsid w:val="00280FCD"/>
    <w:rsid w:val="002810AF"/>
    <w:rsid w:val="00281107"/>
    <w:rsid w:val="00281145"/>
    <w:rsid w:val="002816F6"/>
    <w:rsid w:val="002817BF"/>
    <w:rsid w:val="00281ABB"/>
    <w:rsid w:val="00281ACA"/>
    <w:rsid w:val="00281B06"/>
    <w:rsid w:val="00281CCB"/>
    <w:rsid w:val="00282326"/>
    <w:rsid w:val="002825A5"/>
    <w:rsid w:val="002825DF"/>
    <w:rsid w:val="0028273A"/>
    <w:rsid w:val="002828D3"/>
    <w:rsid w:val="0028290C"/>
    <w:rsid w:val="00282AB6"/>
    <w:rsid w:val="00282E6E"/>
    <w:rsid w:val="0028318E"/>
    <w:rsid w:val="00283529"/>
    <w:rsid w:val="00283597"/>
    <w:rsid w:val="00283707"/>
    <w:rsid w:val="00283F93"/>
    <w:rsid w:val="00284541"/>
    <w:rsid w:val="002847E2"/>
    <w:rsid w:val="00284A11"/>
    <w:rsid w:val="00284CF8"/>
    <w:rsid w:val="00284E6D"/>
    <w:rsid w:val="00284F8B"/>
    <w:rsid w:val="002850E5"/>
    <w:rsid w:val="002853B2"/>
    <w:rsid w:val="00285C35"/>
    <w:rsid w:val="00285D06"/>
    <w:rsid w:val="00285EAA"/>
    <w:rsid w:val="002860C5"/>
    <w:rsid w:val="00286396"/>
    <w:rsid w:val="00286810"/>
    <w:rsid w:val="00286AB1"/>
    <w:rsid w:val="00286B68"/>
    <w:rsid w:val="002871BB"/>
    <w:rsid w:val="002874E6"/>
    <w:rsid w:val="00287897"/>
    <w:rsid w:val="002879BC"/>
    <w:rsid w:val="00287A82"/>
    <w:rsid w:val="00287D6A"/>
    <w:rsid w:val="0029022F"/>
    <w:rsid w:val="002903EA"/>
    <w:rsid w:val="002904E7"/>
    <w:rsid w:val="00290682"/>
    <w:rsid w:val="002907C6"/>
    <w:rsid w:val="002907D8"/>
    <w:rsid w:val="002907F5"/>
    <w:rsid w:val="00290887"/>
    <w:rsid w:val="00290B15"/>
    <w:rsid w:val="00290DDD"/>
    <w:rsid w:val="00290DF0"/>
    <w:rsid w:val="00290EAE"/>
    <w:rsid w:val="00290F76"/>
    <w:rsid w:val="0029113F"/>
    <w:rsid w:val="00291330"/>
    <w:rsid w:val="0029152E"/>
    <w:rsid w:val="0029160F"/>
    <w:rsid w:val="00291786"/>
    <w:rsid w:val="00291C91"/>
    <w:rsid w:val="002920FA"/>
    <w:rsid w:val="002920FD"/>
    <w:rsid w:val="00292205"/>
    <w:rsid w:val="002925E4"/>
    <w:rsid w:val="00292B8F"/>
    <w:rsid w:val="00292BAC"/>
    <w:rsid w:val="00292CB0"/>
    <w:rsid w:val="00292EF0"/>
    <w:rsid w:val="00292F69"/>
    <w:rsid w:val="00293395"/>
    <w:rsid w:val="002937D7"/>
    <w:rsid w:val="00293875"/>
    <w:rsid w:val="00293964"/>
    <w:rsid w:val="00293DC5"/>
    <w:rsid w:val="00293FE0"/>
    <w:rsid w:val="0029432E"/>
    <w:rsid w:val="00294E9C"/>
    <w:rsid w:val="002952BD"/>
    <w:rsid w:val="00295503"/>
    <w:rsid w:val="00295683"/>
    <w:rsid w:val="002957DE"/>
    <w:rsid w:val="0029582D"/>
    <w:rsid w:val="0029588A"/>
    <w:rsid w:val="00295ABA"/>
    <w:rsid w:val="00295AEF"/>
    <w:rsid w:val="00295C28"/>
    <w:rsid w:val="00295ED8"/>
    <w:rsid w:val="00295FB4"/>
    <w:rsid w:val="00295FBA"/>
    <w:rsid w:val="0029666D"/>
    <w:rsid w:val="002968A9"/>
    <w:rsid w:val="00296909"/>
    <w:rsid w:val="00296B7F"/>
    <w:rsid w:val="00296D5D"/>
    <w:rsid w:val="00297492"/>
    <w:rsid w:val="00297582"/>
    <w:rsid w:val="00297C47"/>
    <w:rsid w:val="00297D0D"/>
    <w:rsid w:val="002A01FB"/>
    <w:rsid w:val="002A039E"/>
    <w:rsid w:val="002A03F4"/>
    <w:rsid w:val="002A060C"/>
    <w:rsid w:val="002A0A39"/>
    <w:rsid w:val="002A0A5F"/>
    <w:rsid w:val="002A10EF"/>
    <w:rsid w:val="002A134B"/>
    <w:rsid w:val="002A1436"/>
    <w:rsid w:val="002A1908"/>
    <w:rsid w:val="002A1944"/>
    <w:rsid w:val="002A2106"/>
    <w:rsid w:val="002A2CBC"/>
    <w:rsid w:val="002A2E0E"/>
    <w:rsid w:val="002A30CB"/>
    <w:rsid w:val="002A31A5"/>
    <w:rsid w:val="002A3243"/>
    <w:rsid w:val="002A32BD"/>
    <w:rsid w:val="002A36AE"/>
    <w:rsid w:val="002A3781"/>
    <w:rsid w:val="002A3815"/>
    <w:rsid w:val="002A3984"/>
    <w:rsid w:val="002A3D00"/>
    <w:rsid w:val="002A3F37"/>
    <w:rsid w:val="002A3FC3"/>
    <w:rsid w:val="002A4113"/>
    <w:rsid w:val="002A5081"/>
    <w:rsid w:val="002A51DB"/>
    <w:rsid w:val="002A579B"/>
    <w:rsid w:val="002A5915"/>
    <w:rsid w:val="002A5DDB"/>
    <w:rsid w:val="002A6C63"/>
    <w:rsid w:val="002A72AB"/>
    <w:rsid w:val="002A75D0"/>
    <w:rsid w:val="002A7902"/>
    <w:rsid w:val="002B05D4"/>
    <w:rsid w:val="002B0644"/>
    <w:rsid w:val="002B06EA"/>
    <w:rsid w:val="002B0800"/>
    <w:rsid w:val="002B0A10"/>
    <w:rsid w:val="002B0A62"/>
    <w:rsid w:val="002B0ACC"/>
    <w:rsid w:val="002B0AD7"/>
    <w:rsid w:val="002B0BFB"/>
    <w:rsid w:val="002B0CED"/>
    <w:rsid w:val="002B0D8E"/>
    <w:rsid w:val="002B0EB8"/>
    <w:rsid w:val="002B11C5"/>
    <w:rsid w:val="002B12B3"/>
    <w:rsid w:val="002B14B0"/>
    <w:rsid w:val="002B1890"/>
    <w:rsid w:val="002B1891"/>
    <w:rsid w:val="002B1C1A"/>
    <w:rsid w:val="002B2142"/>
    <w:rsid w:val="002B271D"/>
    <w:rsid w:val="002B275B"/>
    <w:rsid w:val="002B345B"/>
    <w:rsid w:val="002B3973"/>
    <w:rsid w:val="002B3996"/>
    <w:rsid w:val="002B3F02"/>
    <w:rsid w:val="002B3FAB"/>
    <w:rsid w:val="002B4E3F"/>
    <w:rsid w:val="002B5108"/>
    <w:rsid w:val="002B51BF"/>
    <w:rsid w:val="002B51E6"/>
    <w:rsid w:val="002B5536"/>
    <w:rsid w:val="002B56C9"/>
    <w:rsid w:val="002B58E0"/>
    <w:rsid w:val="002B5E0B"/>
    <w:rsid w:val="002B5E38"/>
    <w:rsid w:val="002B6098"/>
    <w:rsid w:val="002B65FB"/>
    <w:rsid w:val="002B671C"/>
    <w:rsid w:val="002B67B7"/>
    <w:rsid w:val="002B6AA5"/>
    <w:rsid w:val="002B6B57"/>
    <w:rsid w:val="002B715D"/>
    <w:rsid w:val="002B71F1"/>
    <w:rsid w:val="002B7493"/>
    <w:rsid w:val="002B7664"/>
    <w:rsid w:val="002B7675"/>
    <w:rsid w:val="002B7848"/>
    <w:rsid w:val="002B7E62"/>
    <w:rsid w:val="002B7F78"/>
    <w:rsid w:val="002B7FA1"/>
    <w:rsid w:val="002C004C"/>
    <w:rsid w:val="002C029E"/>
    <w:rsid w:val="002C02F6"/>
    <w:rsid w:val="002C044B"/>
    <w:rsid w:val="002C0570"/>
    <w:rsid w:val="002C0D02"/>
    <w:rsid w:val="002C121A"/>
    <w:rsid w:val="002C124E"/>
    <w:rsid w:val="002C18FB"/>
    <w:rsid w:val="002C1A8E"/>
    <w:rsid w:val="002C1AA9"/>
    <w:rsid w:val="002C2453"/>
    <w:rsid w:val="002C269C"/>
    <w:rsid w:val="002C27EE"/>
    <w:rsid w:val="002C2854"/>
    <w:rsid w:val="002C292A"/>
    <w:rsid w:val="002C2990"/>
    <w:rsid w:val="002C29B5"/>
    <w:rsid w:val="002C2F85"/>
    <w:rsid w:val="002C3967"/>
    <w:rsid w:val="002C3CAF"/>
    <w:rsid w:val="002C3E1D"/>
    <w:rsid w:val="002C4236"/>
    <w:rsid w:val="002C5041"/>
    <w:rsid w:val="002C530C"/>
    <w:rsid w:val="002C533C"/>
    <w:rsid w:val="002C5537"/>
    <w:rsid w:val="002C558C"/>
    <w:rsid w:val="002C5863"/>
    <w:rsid w:val="002C5944"/>
    <w:rsid w:val="002C5A86"/>
    <w:rsid w:val="002C635D"/>
    <w:rsid w:val="002C6571"/>
    <w:rsid w:val="002C6977"/>
    <w:rsid w:val="002C6AD1"/>
    <w:rsid w:val="002C6ADA"/>
    <w:rsid w:val="002C6C6F"/>
    <w:rsid w:val="002C6CE1"/>
    <w:rsid w:val="002C6EC0"/>
    <w:rsid w:val="002C6F01"/>
    <w:rsid w:val="002C6F30"/>
    <w:rsid w:val="002C761A"/>
    <w:rsid w:val="002C7697"/>
    <w:rsid w:val="002C7B6D"/>
    <w:rsid w:val="002C7DF2"/>
    <w:rsid w:val="002D00BA"/>
    <w:rsid w:val="002D053B"/>
    <w:rsid w:val="002D0C43"/>
    <w:rsid w:val="002D0DD3"/>
    <w:rsid w:val="002D0DE7"/>
    <w:rsid w:val="002D176D"/>
    <w:rsid w:val="002D1ABB"/>
    <w:rsid w:val="002D1C0A"/>
    <w:rsid w:val="002D1DF4"/>
    <w:rsid w:val="002D1E91"/>
    <w:rsid w:val="002D2460"/>
    <w:rsid w:val="002D27D3"/>
    <w:rsid w:val="002D2B95"/>
    <w:rsid w:val="002D2CA6"/>
    <w:rsid w:val="002D2EB2"/>
    <w:rsid w:val="002D2EC6"/>
    <w:rsid w:val="002D31C8"/>
    <w:rsid w:val="002D377D"/>
    <w:rsid w:val="002D3876"/>
    <w:rsid w:val="002D398C"/>
    <w:rsid w:val="002D3A00"/>
    <w:rsid w:val="002D3A63"/>
    <w:rsid w:val="002D3F34"/>
    <w:rsid w:val="002D4138"/>
    <w:rsid w:val="002D42A1"/>
    <w:rsid w:val="002D4371"/>
    <w:rsid w:val="002D4529"/>
    <w:rsid w:val="002D4566"/>
    <w:rsid w:val="002D482F"/>
    <w:rsid w:val="002D5236"/>
    <w:rsid w:val="002D565D"/>
    <w:rsid w:val="002D58A0"/>
    <w:rsid w:val="002D5BC6"/>
    <w:rsid w:val="002D610A"/>
    <w:rsid w:val="002D614F"/>
    <w:rsid w:val="002D6287"/>
    <w:rsid w:val="002D62A0"/>
    <w:rsid w:val="002D6466"/>
    <w:rsid w:val="002D6631"/>
    <w:rsid w:val="002D68E0"/>
    <w:rsid w:val="002D6B41"/>
    <w:rsid w:val="002D6DBB"/>
    <w:rsid w:val="002D718C"/>
    <w:rsid w:val="002D727B"/>
    <w:rsid w:val="002D7303"/>
    <w:rsid w:val="002D73B8"/>
    <w:rsid w:val="002D7E71"/>
    <w:rsid w:val="002D7FFC"/>
    <w:rsid w:val="002E0022"/>
    <w:rsid w:val="002E01DC"/>
    <w:rsid w:val="002E03A2"/>
    <w:rsid w:val="002E0612"/>
    <w:rsid w:val="002E0739"/>
    <w:rsid w:val="002E0C52"/>
    <w:rsid w:val="002E0CAA"/>
    <w:rsid w:val="002E1338"/>
    <w:rsid w:val="002E133D"/>
    <w:rsid w:val="002E174A"/>
    <w:rsid w:val="002E1BAC"/>
    <w:rsid w:val="002E1D85"/>
    <w:rsid w:val="002E1EF4"/>
    <w:rsid w:val="002E1F6B"/>
    <w:rsid w:val="002E1FEE"/>
    <w:rsid w:val="002E2221"/>
    <w:rsid w:val="002E2650"/>
    <w:rsid w:val="002E2BA9"/>
    <w:rsid w:val="002E2E99"/>
    <w:rsid w:val="002E3020"/>
    <w:rsid w:val="002E30AF"/>
    <w:rsid w:val="002E321E"/>
    <w:rsid w:val="002E331E"/>
    <w:rsid w:val="002E33A5"/>
    <w:rsid w:val="002E39A1"/>
    <w:rsid w:val="002E39E7"/>
    <w:rsid w:val="002E3F4A"/>
    <w:rsid w:val="002E415D"/>
    <w:rsid w:val="002E44EB"/>
    <w:rsid w:val="002E45DA"/>
    <w:rsid w:val="002E4621"/>
    <w:rsid w:val="002E4750"/>
    <w:rsid w:val="002E4CF7"/>
    <w:rsid w:val="002E5198"/>
    <w:rsid w:val="002E53F2"/>
    <w:rsid w:val="002E54A5"/>
    <w:rsid w:val="002E55D8"/>
    <w:rsid w:val="002E5F4D"/>
    <w:rsid w:val="002E600B"/>
    <w:rsid w:val="002E6085"/>
    <w:rsid w:val="002E624B"/>
    <w:rsid w:val="002E62DF"/>
    <w:rsid w:val="002E636E"/>
    <w:rsid w:val="002E6B76"/>
    <w:rsid w:val="002E6D3C"/>
    <w:rsid w:val="002E6D82"/>
    <w:rsid w:val="002E6F55"/>
    <w:rsid w:val="002E722D"/>
    <w:rsid w:val="002E7341"/>
    <w:rsid w:val="002E7917"/>
    <w:rsid w:val="002E7918"/>
    <w:rsid w:val="002E7938"/>
    <w:rsid w:val="002E7A63"/>
    <w:rsid w:val="002E7F12"/>
    <w:rsid w:val="002E7F82"/>
    <w:rsid w:val="002F0140"/>
    <w:rsid w:val="002F01AF"/>
    <w:rsid w:val="002F0260"/>
    <w:rsid w:val="002F0272"/>
    <w:rsid w:val="002F02EF"/>
    <w:rsid w:val="002F0338"/>
    <w:rsid w:val="002F06CE"/>
    <w:rsid w:val="002F0811"/>
    <w:rsid w:val="002F093D"/>
    <w:rsid w:val="002F0A0E"/>
    <w:rsid w:val="002F0F89"/>
    <w:rsid w:val="002F1053"/>
    <w:rsid w:val="002F1833"/>
    <w:rsid w:val="002F1837"/>
    <w:rsid w:val="002F1A35"/>
    <w:rsid w:val="002F1AEB"/>
    <w:rsid w:val="002F1B8F"/>
    <w:rsid w:val="002F1C6F"/>
    <w:rsid w:val="002F1CA0"/>
    <w:rsid w:val="002F1FDB"/>
    <w:rsid w:val="002F201E"/>
    <w:rsid w:val="002F2618"/>
    <w:rsid w:val="002F2807"/>
    <w:rsid w:val="002F2913"/>
    <w:rsid w:val="002F2BDE"/>
    <w:rsid w:val="002F2E69"/>
    <w:rsid w:val="002F2FB8"/>
    <w:rsid w:val="002F32F6"/>
    <w:rsid w:val="002F3651"/>
    <w:rsid w:val="002F3654"/>
    <w:rsid w:val="002F3970"/>
    <w:rsid w:val="002F39D0"/>
    <w:rsid w:val="002F3E1B"/>
    <w:rsid w:val="002F3FF2"/>
    <w:rsid w:val="002F450F"/>
    <w:rsid w:val="002F4672"/>
    <w:rsid w:val="002F4805"/>
    <w:rsid w:val="002F4AF1"/>
    <w:rsid w:val="002F4CC3"/>
    <w:rsid w:val="002F4CD4"/>
    <w:rsid w:val="002F51D8"/>
    <w:rsid w:val="002F56C4"/>
    <w:rsid w:val="002F5C06"/>
    <w:rsid w:val="002F5F00"/>
    <w:rsid w:val="002F6151"/>
    <w:rsid w:val="002F6456"/>
    <w:rsid w:val="002F64EB"/>
    <w:rsid w:val="002F65EC"/>
    <w:rsid w:val="002F6A46"/>
    <w:rsid w:val="002F6C98"/>
    <w:rsid w:val="002F6D7C"/>
    <w:rsid w:val="002F6E86"/>
    <w:rsid w:val="002F6EFB"/>
    <w:rsid w:val="002F729C"/>
    <w:rsid w:val="002F76C8"/>
    <w:rsid w:val="002F7C49"/>
    <w:rsid w:val="002F7FF0"/>
    <w:rsid w:val="002F7FFB"/>
    <w:rsid w:val="00300136"/>
    <w:rsid w:val="003001F9"/>
    <w:rsid w:val="003003DE"/>
    <w:rsid w:val="00300690"/>
    <w:rsid w:val="003008E9"/>
    <w:rsid w:val="00300BB7"/>
    <w:rsid w:val="00300C5E"/>
    <w:rsid w:val="00300D7C"/>
    <w:rsid w:val="00300DFD"/>
    <w:rsid w:val="0030157A"/>
    <w:rsid w:val="00301726"/>
    <w:rsid w:val="00301821"/>
    <w:rsid w:val="003019DA"/>
    <w:rsid w:val="003022A1"/>
    <w:rsid w:val="003028F6"/>
    <w:rsid w:val="00302D32"/>
    <w:rsid w:val="003033F7"/>
    <w:rsid w:val="003035BA"/>
    <w:rsid w:val="00303ABC"/>
    <w:rsid w:val="00303BE2"/>
    <w:rsid w:val="00303C1A"/>
    <w:rsid w:val="00303C57"/>
    <w:rsid w:val="00303F99"/>
    <w:rsid w:val="0030410A"/>
    <w:rsid w:val="00304189"/>
    <w:rsid w:val="00304214"/>
    <w:rsid w:val="003049E1"/>
    <w:rsid w:val="00304A2B"/>
    <w:rsid w:val="00304B49"/>
    <w:rsid w:val="003051AE"/>
    <w:rsid w:val="003052CC"/>
    <w:rsid w:val="00305328"/>
    <w:rsid w:val="00305744"/>
    <w:rsid w:val="00305B82"/>
    <w:rsid w:val="00305F72"/>
    <w:rsid w:val="00305F91"/>
    <w:rsid w:val="00306653"/>
    <w:rsid w:val="00306730"/>
    <w:rsid w:val="00306806"/>
    <w:rsid w:val="00306B31"/>
    <w:rsid w:val="00307468"/>
    <w:rsid w:val="00307737"/>
    <w:rsid w:val="0030797F"/>
    <w:rsid w:val="00307D74"/>
    <w:rsid w:val="00307E62"/>
    <w:rsid w:val="00307EA6"/>
    <w:rsid w:val="003103BF"/>
    <w:rsid w:val="0031055D"/>
    <w:rsid w:val="00310B38"/>
    <w:rsid w:val="00311055"/>
    <w:rsid w:val="003113A5"/>
    <w:rsid w:val="003118FC"/>
    <w:rsid w:val="00311A1E"/>
    <w:rsid w:val="00311A34"/>
    <w:rsid w:val="00311DBC"/>
    <w:rsid w:val="00311E24"/>
    <w:rsid w:val="00311FF7"/>
    <w:rsid w:val="003123AB"/>
    <w:rsid w:val="0031249A"/>
    <w:rsid w:val="00312A55"/>
    <w:rsid w:val="00312C22"/>
    <w:rsid w:val="00312EE9"/>
    <w:rsid w:val="00313142"/>
    <w:rsid w:val="0031374B"/>
    <w:rsid w:val="00313750"/>
    <w:rsid w:val="0031375B"/>
    <w:rsid w:val="0031383A"/>
    <w:rsid w:val="00313A12"/>
    <w:rsid w:val="00313A17"/>
    <w:rsid w:val="00313F7F"/>
    <w:rsid w:val="003144D2"/>
    <w:rsid w:val="00314745"/>
    <w:rsid w:val="003147B6"/>
    <w:rsid w:val="0031497F"/>
    <w:rsid w:val="00314ED0"/>
    <w:rsid w:val="00315E89"/>
    <w:rsid w:val="00316253"/>
    <w:rsid w:val="0031629E"/>
    <w:rsid w:val="003162F7"/>
    <w:rsid w:val="00316460"/>
    <w:rsid w:val="00316767"/>
    <w:rsid w:val="00316E93"/>
    <w:rsid w:val="00316E9F"/>
    <w:rsid w:val="00316FD5"/>
    <w:rsid w:val="003171C9"/>
    <w:rsid w:val="003179C9"/>
    <w:rsid w:val="003179E1"/>
    <w:rsid w:val="00317B5E"/>
    <w:rsid w:val="00320396"/>
    <w:rsid w:val="003203EB"/>
    <w:rsid w:val="00320415"/>
    <w:rsid w:val="0032070A"/>
    <w:rsid w:val="003208C3"/>
    <w:rsid w:val="00320C9D"/>
    <w:rsid w:val="00320D46"/>
    <w:rsid w:val="00320E99"/>
    <w:rsid w:val="003210CD"/>
    <w:rsid w:val="003211E1"/>
    <w:rsid w:val="003213E6"/>
    <w:rsid w:val="003214C9"/>
    <w:rsid w:val="00321883"/>
    <w:rsid w:val="00321CA4"/>
    <w:rsid w:val="00322952"/>
    <w:rsid w:val="003229E3"/>
    <w:rsid w:val="003229F6"/>
    <w:rsid w:val="00322A49"/>
    <w:rsid w:val="00322BEF"/>
    <w:rsid w:val="00322E7A"/>
    <w:rsid w:val="00322F86"/>
    <w:rsid w:val="003230F2"/>
    <w:rsid w:val="00323148"/>
    <w:rsid w:val="0032320E"/>
    <w:rsid w:val="003236D2"/>
    <w:rsid w:val="003238A5"/>
    <w:rsid w:val="00323C84"/>
    <w:rsid w:val="00323ED8"/>
    <w:rsid w:val="00323FDC"/>
    <w:rsid w:val="00324125"/>
    <w:rsid w:val="003241EC"/>
    <w:rsid w:val="00324609"/>
    <w:rsid w:val="00324727"/>
    <w:rsid w:val="00324A12"/>
    <w:rsid w:val="00324D84"/>
    <w:rsid w:val="00325452"/>
    <w:rsid w:val="00325A70"/>
    <w:rsid w:val="00325B17"/>
    <w:rsid w:val="00325B56"/>
    <w:rsid w:val="0032633A"/>
    <w:rsid w:val="0032660E"/>
    <w:rsid w:val="00326612"/>
    <w:rsid w:val="00326687"/>
    <w:rsid w:val="00326B7D"/>
    <w:rsid w:val="00326BEE"/>
    <w:rsid w:val="00326F7F"/>
    <w:rsid w:val="003273BE"/>
    <w:rsid w:val="0032777A"/>
    <w:rsid w:val="003277F7"/>
    <w:rsid w:val="0032798C"/>
    <w:rsid w:val="003300A7"/>
    <w:rsid w:val="0033013A"/>
    <w:rsid w:val="00330CB2"/>
    <w:rsid w:val="00330D1E"/>
    <w:rsid w:val="003314FA"/>
    <w:rsid w:val="00331787"/>
    <w:rsid w:val="003318AB"/>
    <w:rsid w:val="00331B55"/>
    <w:rsid w:val="00331D00"/>
    <w:rsid w:val="00331DB6"/>
    <w:rsid w:val="00331EE2"/>
    <w:rsid w:val="0033231C"/>
    <w:rsid w:val="00332853"/>
    <w:rsid w:val="00332B40"/>
    <w:rsid w:val="00332D6D"/>
    <w:rsid w:val="00332EBE"/>
    <w:rsid w:val="003336F8"/>
    <w:rsid w:val="00333707"/>
    <w:rsid w:val="0033377F"/>
    <w:rsid w:val="00333A74"/>
    <w:rsid w:val="00333BF1"/>
    <w:rsid w:val="0033402F"/>
    <w:rsid w:val="00334392"/>
    <w:rsid w:val="00334475"/>
    <w:rsid w:val="003344AD"/>
    <w:rsid w:val="00334751"/>
    <w:rsid w:val="00334A84"/>
    <w:rsid w:val="00334DD7"/>
    <w:rsid w:val="00334F09"/>
    <w:rsid w:val="00334FB9"/>
    <w:rsid w:val="00334FC7"/>
    <w:rsid w:val="0033560A"/>
    <w:rsid w:val="0033573A"/>
    <w:rsid w:val="0033577C"/>
    <w:rsid w:val="00335B3C"/>
    <w:rsid w:val="0033617F"/>
    <w:rsid w:val="00336264"/>
    <w:rsid w:val="003368B7"/>
    <w:rsid w:val="00336BAD"/>
    <w:rsid w:val="00336E13"/>
    <w:rsid w:val="003371C1"/>
    <w:rsid w:val="0033729A"/>
    <w:rsid w:val="003375B7"/>
    <w:rsid w:val="00337B5F"/>
    <w:rsid w:val="0034023A"/>
    <w:rsid w:val="003403C1"/>
    <w:rsid w:val="00340551"/>
    <w:rsid w:val="0034060F"/>
    <w:rsid w:val="00340830"/>
    <w:rsid w:val="003408A8"/>
    <w:rsid w:val="00340D3A"/>
    <w:rsid w:val="00340E00"/>
    <w:rsid w:val="00340FC8"/>
    <w:rsid w:val="003412C7"/>
    <w:rsid w:val="0034131F"/>
    <w:rsid w:val="00341326"/>
    <w:rsid w:val="00341B96"/>
    <w:rsid w:val="00341EC7"/>
    <w:rsid w:val="00341F84"/>
    <w:rsid w:val="00342436"/>
    <w:rsid w:val="00342661"/>
    <w:rsid w:val="0034295A"/>
    <w:rsid w:val="00342962"/>
    <w:rsid w:val="0034298A"/>
    <w:rsid w:val="00342A02"/>
    <w:rsid w:val="00342CFF"/>
    <w:rsid w:val="00343364"/>
    <w:rsid w:val="003434BC"/>
    <w:rsid w:val="003435AF"/>
    <w:rsid w:val="003438CF"/>
    <w:rsid w:val="00344830"/>
    <w:rsid w:val="00344D20"/>
    <w:rsid w:val="003450BE"/>
    <w:rsid w:val="0034554F"/>
    <w:rsid w:val="003458A6"/>
    <w:rsid w:val="0034591B"/>
    <w:rsid w:val="00345944"/>
    <w:rsid w:val="00345C0F"/>
    <w:rsid w:val="00346752"/>
    <w:rsid w:val="003468E3"/>
    <w:rsid w:val="00346933"/>
    <w:rsid w:val="003469DF"/>
    <w:rsid w:val="00347132"/>
    <w:rsid w:val="003471BF"/>
    <w:rsid w:val="00347292"/>
    <w:rsid w:val="003472B6"/>
    <w:rsid w:val="00347451"/>
    <w:rsid w:val="003478AC"/>
    <w:rsid w:val="00347978"/>
    <w:rsid w:val="00350106"/>
    <w:rsid w:val="00350313"/>
    <w:rsid w:val="00350574"/>
    <w:rsid w:val="003505BE"/>
    <w:rsid w:val="0035097C"/>
    <w:rsid w:val="00350B2B"/>
    <w:rsid w:val="0035150A"/>
    <w:rsid w:val="003519E5"/>
    <w:rsid w:val="00351A9D"/>
    <w:rsid w:val="00351B7B"/>
    <w:rsid w:val="00351C3B"/>
    <w:rsid w:val="00352016"/>
    <w:rsid w:val="003520D2"/>
    <w:rsid w:val="00352512"/>
    <w:rsid w:val="003526D1"/>
    <w:rsid w:val="00352933"/>
    <w:rsid w:val="00352B04"/>
    <w:rsid w:val="00352B29"/>
    <w:rsid w:val="00352BAB"/>
    <w:rsid w:val="00352C82"/>
    <w:rsid w:val="00353544"/>
    <w:rsid w:val="0035362A"/>
    <w:rsid w:val="00353B59"/>
    <w:rsid w:val="00353DC6"/>
    <w:rsid w:val="0035481F"/>
    <w:rsid w:val="00354ADC"/>
    <w:rsid w:val="00354DB9"/>
    <w:rsid w:val="00354FE4"/>
    <w:rsid w:val="00354FFB"/>
    <w:rsid w:val="003550D1"/>
    <w:rsid w:val="0035515B"/>
    <w:rsid w:val="003553CC"/>
    <w:rsid w:val="00355567"/>
    <w:rsid w:val="003555D2"/>
    <w:rsid w:val="00355719"/>
    <w:rsid w:val="00355762"/>
    <w:rsid w:val="00355A9F"/>
    <w:rsid w:val="00355EBB"/>
    <w:rsid w:val="0035613E"/>
    <w:rsid w:val="00356295"/>
    <w:rsid w:val="00356383"/>
    <w:rsid w:val="003566D7"/>
    <w:rsid w:val="00356738"/>
    <w:rsid w:val="0035719C"/>
    <w:rsid w:val="00357AB2"/>
    <w:rsid w:val="00360123"/>
    <w:rsid w:val="00360209"/>
    <w:rsid w:val="003604CE"/>
    <w:rsid w:val="00360769"/>
    <w:rsid w:val="00360AA9"/>
    <w:rsid w:val="00360D58"/>
    <w:rsid w:val="003610EA"/>
    <w:rsid w:val="00361410"/>
    <w:rsid w:val="00361495"/>
    <w:rsid w:val="003614CF"/>
    <w:rsid w:val="00361DF8"/>
    <w:rsid w:val="00361EF1"/>
    <w:rsid w:val="0036233E"/>
    <w:rsid w:val="00362358"/>
    <w:rsid w:val="003623B4"/>
    <w:rsid w:val="003624EA"/>
    <w:rsid w:val="003625CA"/>
    <w:rsid w:val="0036275C"/>
    <w:rsid w:val="00362E38"/>
    <w:rsid w:val="00362EA8"/>
    <w:rsid w:val="00362F72"/>
    <w:rsid w:val="0036369D"/>
    <w:rsid w:val="00363899"/>
    <w:rsid w:val="00363939"/>
    <w:rsid w:val="003639E4"/>
    <w:rsid w:val="00364148"/>
    <w:rsid w:val="00364263"/>
    <w:rsid w:val="00364A3F"/>
    <w:rsid w:val="00364B60"/>
    <w:rsid w:val="00364D5A"/>
    <w:rsid w:val="00364ECC"/>
    <w:rsid w:val="0036515E"/>
    <w:rsid w:val="00365400"/>
    <w:rsid w:val="00365552"/>
    <w:rsid w:val="00365635"/>
    <w:rsid w:val="00365697"/>
    <w:rsid w:val="003659C1"/>
    <w:rsid w:val="003659DA"/>
    <w:rsid w:val="00365C55"/>
    <w:rsid w:val="00365D6D"/>
    <w:rsid w:val="00366097"/>
    <w:rsid w:val="003663BE"/>
    <w:rsid w:val="00366695"/>
    <w:rsid w:val="00366DB5"/>
    <w:rsid w:val="003679E5"/>
    <w:rsid w:val="00367B07"/>
    <w:rsid w:val="0037000C"/>
    <w:rsid w:val="00370A95"/>
    <w:rsid w:val="00370C01"/>
    <w:rsid w:val="00371474"/>
    <w:rsid w:val="00371710"/>
    <w:rsid w:val="00371BD8"/>
    <w:rsid w:val="00371BE6"/>
    <w:rsid w:val="00371CF7"/>
    <w:rsid w:val="00371F2C"/>
    <w:rsid w:val="00372105"/>
    <w:rsid w:val="0037220A"/>
    <w:rsid w:val="003726F0"/>
    <w:rsid w:val="00373001"/>
    <w:rsid w:val="00373102"/>
    <w:rsid w:val="003733EF"/>
    <w:rsid w:val="00373658"/>
    <w:rsid w:val="00373727"/>
    <w:rsid w:val="003737BD"/>
    <w:rsid w:val="00373832"/>
    <w:rsid w:val="00373952"/>
    <w:rsid w:val="0037415B"/>
    <w:rsid w:val="003742C3"/>
    <w:rsid w:val="003745E3"/>
    <w:rsid w:val="00374774"/>
    <w:rsid w:val="003749B2"/>
    <w:rsid w:val="00374B36"/>
    <w:rsid w:val="00374D1E"/>
    <w:rsid w:val="00374F2F"/>
    <w:rsid w:val="0037547E"/>
    <w:rsid w:val="0037568F"/>
    <w:rsid w:val="00375974"/>
    <w:rsid w:val="00375AD6"/>
    <w:rsid w:val="00375CBB"/>
    <w:rsid w:val="00375CCC"/>
    <w:rsid w:val="00376168"/>
    <w:rsid w:val="00376255"/>
    <w:rsid w:val="00376440"/>
    <w:rsid w:val="00376574"/>
    <w:rsid w:val="00376681"/>
    <w:rsid w:val="0037676B"/>
    <w:rsid w:val="00376BEC"/>
    <w:rsid w:val="003779F6"/>
    <w:rsid w:val="00377F9A"/>
    <w:rsid w:val="00380207"/>
    <w:rsid w:val="0038047B"/>
    <w:rsid w:val="00380746"/>
    <w:rsid w:val="0038086A"/>
    <w:rsid w:val="00380A5E"/>
    <w:rsid w:val="00380C60"/>
    <w:rsid w:val="00380D1C"/>
    <w:rsid w:val="00380D2F"/>
    <w:rsid w:val="00380D47"/>
    <w:rsid w:val="00380F80"/>
    <w:rsid w:val="00381436"/>
    <w:rsid w:val="003817C4"/>
    <w:rsid w:val="00381D34"/>
    <w:rsid w:val="00382231"/>
    <w:rsid w:val="003823D2"/>
    <w:rsid w:val="00382E46"/>
    <w:rsid w:val="00382EA0"/>
    <w:rsid w:val="00383228"/>
    <w:rsid w:val="00383561"/>
    <w:rsid w:val="00383864"/>
    <w:rsid w:val="00383878"/>
    <w:rsid w:val="0038392F"/>
    <w:rsid w:val="003839EB"/>
    <w:rsid w:val="00383AFE"/>
    <w:rsid w:val="00383DA2"/>
    <w:rsid w:val="003840A1"/>
    <w:rsid w:val="003842F6"/>
    <w:rsid w:val="003843D3"/>
    <w:rsid w:val="00384834"/>
    <w:rsid w:val="00384B23"/>
    <w:rsid w:val="00384D48"/>
    <w:rsid w:val="00384F19"/>
    <w:rsid w:val="00384F21"/>
    <w:rsid w:val="0038504C"/>
    <w:rsid w:val="0038514A"/>
    <w:rsid w:val="00385175"/>
    <w:rsid w:val="003853A7"/>
    <w:rsid w:val="00385780"/>
    <w:rsid w:val="0038579F"/>
    <w:rsid w:val="003861A4"/>
    <w:rsid w:val="003864BE"/>
    <w:rsid w:val="0038679D"/>
    <w:rsid w:val="00386A29"/>
    <w:rsid w:val="00386AD8"/>
    <w:rsid w:val="00386C39"/>
    <w:rsid w:val="00387518"/>
    <w:rsid w:val="003875FE"/>
    <w:rsid w:val="00387AF7"/>
    <w:rsid w:val="00387B63"/>
    <w:rsid w:val="00390489"/>
    <w:rsid w:val="00390A88"/>
    <w:rsid w:val="00390D28"/>
    <w:rsid w:val="00391CF7"/>
    <w:rsid w:val="00391ECF"/>
    <w:rsid w:val="00392035"/>
    <w:rsid w:val="003920EB"/>
    <w:rsid w:val="003923A8"/>
    <w:rsid w:val="003924E1"/>
    <w:rsid w:val="003926D4"/>
    <w:rsid w:val="003927B6"/>
    <w:rsid w:val="003928E7"/>
    <w:rsid w:val="00392A84"/>
    <w:rsid w:val="00392C97"/>
    <w:rsid w:val="00392E16"/>
    <w:rsid w:val="00392ED4"/>
    <w:rsid w:val="0039311A"/>
    <w:rsid w:val="0039324B"/>
    <w:rsid w:val="00393275"/>
    <w:rsid w:val="0039399F"/>
    <w:rsid w:val="00393F45"/>
    <w:rsid w:val="00394687"/>
    <w:rsid w:val="00394BDA"/>
    <w:rsid w:val="00394C3E"/>
    <w:rsid w:val="00395065"/>
    <w:rsid w:val="00395C18"/>
    <w:rsid w:val="00395F3B"/>
    <w:rsid w:val="00396480"/>
    <w:rsid w:val="00396531"/>
    <w:rsid w:val="00396655"/>
    <w:rsid w:val="00396783"/>
    <w:rsid w:val="003967BD"/>
    <w:rsid w:val="00396885"/>
    <w:rsid w:val="003968E7"/>
    <w:rsid w:val="00396EEF"/>
    <w:rsid w:val="0039733F"/>
    <w:rsid w:val="00397B2D"/>
    <w:rsid w:val="00397DEF"/>
    <w:rsid w:val="003A05E3"/>
    <w:rsid w:val="003A0805"/>
    <w:rsid w:val="003A0E22"/>
    <w:rsid w:val="003A1495"/>
    <w:rsid w:val="003A15AB"/>
    <w:rsid w:val="003A16E9"/>
    <w:rsid w:val="003A1EC8"/>
    <w:rsid w:val="003A2195"/>
    <w:rsid w:val="003A22B3"/>
    <w:rsid w:val="003A2728"/>
    <w:rsid w:val="003A2A29"/>
    <w:rsid w:val="003A2A7E"/>
    <w:rsid w:val="003A2FE6"/>
    <w:rsid w:val="003A3CBC"/>
    <w:rsid w:val="003A3E8F"/>
    <w:rsid w:val="003A43CD"/>
    <w:rsid w:val="003A4965"/>
    <w:rsid w:val="003A4987"/>
    <w:rsid w:val="003A4C0D"/>
    <w:rsid w:val="003A4FE5"/>
    <w:rsid w:val="003A50A2"/>
    <w:rsid w:val="003A54E2"/>
    <w:rsid w:val="003A5546"/>
    <w:rsid w:val="003A5605"/>
    <w:rsid w:val="003A588B"/>
    <w:rsid w:val="003A5A30"/>
    <w:rsid w:val="003A6126"/>
    <w:rsid w:val="003A65A0"/>
    <w:rsid w:val="003A65A6"/>
    <w:rsid w:val="003A65D8"/>
    <w:rsid w:val="003A67C8"/>
    <w:rsid w:val="003A6A6A"/>
    <w:rsid w:val="003A6FCE"/>
    <w:rsid w:val="003A7252"/>
    <w:rsid w:val="003A7AA9"/>
    <w:rsid w:val="003A7FDB"/>
    <w:rsid w:val="003B03DC"/>
    <w:rsid w:val="003B0BA7"/>
    <w:rsid w:val="003B1220"/>
    <w:rsid w:val="003B1535"/>
    <w:rsid w:val="003B17E7"/>
    <w:rsid w:val="003B1A36"/>
    <w:rsid w:val="003B1F9C"/>
    <w:rsid w:val="003B21B1"/>
    <w:rsid w:val="003B22A5"/>
    <w:rsid w:val="003B24C7"/>
    <w:rsid w:val="003B24F6"/>
    <w:rsid w:val="003B2668"/>
    <w:rsid w:val="003B27F9"/>
    <w:rsid w:val="003B2A93"/>
    <w:rsid w:val="003B2ACA"/>
    <w:rsid w:val="003B349B"/>
    <w:rsid w:val="003B3506"/>
    <w:rsid w:val="003B353B"/>
    <w:rsid w:val="003B35B0"/>
    <w:rsid w:val="003B3A80"/>
    <w:rsid w:val="003B3AB4"/>
    <w:rsid w:val="003B3C73"/>
    <w:rsid w:val="003B3D30"/>
    <w:rsid w:val="003B472F"/>
    <w:rsid w:val="003B4970"/>
    <w:rsid w:val="003B4C02"/>
    <w:rsid w:val="003B4F71"/>
    <w:rsid w:val="003B53C8"/>
    <w:rsid w:val="003B55FF"/>
    <w:rsid w:val="003B5742"/>
    <w:rsid w:val="003B5A85"/>
    <w:rsid w:val="003B5F2C"/>
    <w:rsid w:val="003B5F37"/>
    <w:rsid w:val="003B5F51"/>
    <w:rsid w:val="003B61E9"/>
    <w:rsid w:val="003B625A"/>
    <w:rsid w:val="003B62BD"/>
    <w:rsid w:val="003B644D"/>
    <w:rsid w:val="003B65E9"/>
    <w:rsid w:val="003B70BB"/>
    <w:rsid w:val="003B7202"/>
    <w:rsid w:val="003B761A"/>
    <w:rsid w:val="003B7C2F"/>
    <w:rsid w:val="003B7E51"/>
    <w:rsid w:val="003C0080"/>
    <w:rsid w:val="003C0368"/>
    <w:rsid w:val="003C0444"/>
    <w:rsid w:val="003C0484"/>
    <w:rsid w:val="003C1006"/>
    <w:rsid w:val="003C1F89"/>
    <w:rsid w:val="003C2185"/>
    <w:rsid w:val="003C269F"/>
    <w:rsid w:val="003C277F"/>
    <w:rsid w:val="003C29F5"/>
    <w:rsid w:val="003C3204"/>
    <w:rsid w:val="003C3261"/>
    <w:rsid w:val="003C37DB"/>
    <w:rsid w:val="003C38D6"/>
    <w:rsid w:val="003C3A1F"/>
    <w:rsid w:val="003C3B9B"/>
    <w:rsid w:val="003C3C12"/>
    <w:rsid w:val="003C3F20"/>
    <w:rsid w:val="003C41ED"/>
    <w:rsid w:val="003C44B7"/>
    <w:rsid w:val="003C45C9"/>
    <w:rsid w:val="003C4633"/>
    <w:rsid w:val="003C46A3"/>
    <w:rsid w:val="003C4787"/>
    <w:rsid w:val="003C47D2"/>
    <w:rsid w:val="003C4934"/>
    <w:rsid w:val="003C4E9B"/>
    <w:rsid w:val="003C5240"/>
    <w:rsid w:val="003C52ED"/>
    <w:rsid w:val="003C55DE"/>
    <w:rsid w:val="003C5881"/>
    <w:rsid w:val="003C5C32"/>
    <w:rsid w:val="003C5D54"/>
    <w:rsid w:val="003C5FA8"/>
    <w:rsid w:val="003C6494"/>
    <w:rsid w:val="003C651C"/>
    <w:rsid w:val="003C675B"/>
    <w:rsid w:val="003C684F"/>
    <w:rsid w:val="003C6863"/>
    <w:rsid w:val="003C6A0C"/>
    <w:rsid w:val="003C6F34"/>
    <w:rsid w:val="003C701F"/>
    <w:rsid w:val="003C72AE"/>
    <w:rsid w:val="003C72D4"/>
    <w:rsid w:val="003C7332"/>
    <w:rsid w:val="003C769D"/>
    <w:rsid w:val="003D0019"/>
    <w:rsid w:val="003D0115"/>
    <w:rsid w:val="003D0147"/>
    <w:rsid w:val="003D083C"/>
    <w:rsid w:val="003D12DD"/>
    <w:rsid w:val="003D1589"/>
    <w:rsid w:val="003D163E"/>
    <w:rsid w:val="003D1678"/>
    <w:rsid w:val="003D180F"/>
    <w:rsid w:val="003D203B"/>
    <w:rsid w:val="003D214D"/>
    <w:rsid w:val="003D2646"/>
    <w:rsid w:val="003D2715"/>
    <w:rsid w:val="003D2A1D"/>
    <w:rsid w:val="003D2F8D"/>
    <w:rsid w:val="003D316D"/>
    <w:rsid w:val="003D32C6"/>
    <w:rsid w:val="003D334D"/>
    <w:rsid w:val="003D361D"/>
    <w:rsid w:val="003D3A3F"/>
    <w:rsid w:val="003D4BC2"/>
    <w:rsid w:val="003D56A9"/>
    <w:rsid w:val="003D5823"/>
    <w:rsid w:val="003D58C9"/>
    <w:rsid w:val="003D5AF2"/>
    <w:rsid w:val="003D5D9A"/>
    <w:rsid w:val="003D5DAB"/>
    <w:rsid w:val="003D5FDC"/>
    <w:rsid w:val="003D6033"/>
    <w:rsid w:val="003D6123"/>
    <w:rsid w:val="003D6257"/>
    <w:rsid w:val="003D64FA"/>
    <w:rsid w:val="003D65C4"/>
    <w:rsid w:val="003D68CE"/>
    <w:rsid w:val="003D6964"/>
    <w:rsid w:val="003D6CA3"/>
    <w:rsid w:val="003D6EFE"/>
    <w:rsid w:val="003D6F69"/>
    <w:rsid w:val="003D723C"/>
    <w:rsid w:val="003D7428"/>
    <w:rsid w:val="003D77D6"/>
    <w:rsid w:val="003D7814"/>
    <w:rsid w:val="003D79D4"/>
    <w:rsid w:val="003D7B41"/>
    <w:rsid w:val="003D7C44"/>
    <w:rsid w:val="003D7D8C"/>
    <w:rsid w:val="003D7EBA"/>
    <w:rsid w:val="003E0177"/>
    <w:rsid w:val="003E041B"/>
    <w:rsid w:val="003E0537"/>
    <w:rsid w:val="003E0B00"/>
    <w:rsid w:val="003E0BC7"/>
    <w:rsid w:val="003E0D66"/>
    <w:rsid w:val="003E0DED"/>
    <w:rsid w:val="003E109C"/>
    <w:rsid w:val="003E1541"/>
    <w:rsid w:val="003E1EAC"/>
    <w:rsid w:val="003E1F6D"/>
    <w:rsid w:val="003E2455"/>
    <w:rsid w:val="003E26C2"/>
    <w:rsid w:val="003E280B"/>
    <w:rsid w:val="003E2D38"/>
    <w:rsid w:val="003E2E4E"/>
    <w:rsid w:val="003E3198"/>
    <w:rsid w:val="003E31E8"/>
    <w:rsid w:val="003E330B"/>
    <w:rsid w:val="003E3331"/>
    <w:rsid w:val="003E3421"/>
    <w:rsid w:val="003E35A1"/>
    <w:rsid w:val="003E378C"/>
    <w:rsid w:val="003E46C5"/>
    <w:rsid w:val="003E46ED"/>
    <w:rsid w:val="003E4818"/>
    <w:rsid w:val="003E4878"/>
    <w:rsid w:val="003E53E3"/>
    <w:rsid w:val="003E5630"/>
    <w:rsid w:val="003E5670"/>
    <w:rsid w:val="003E5A5F"/>
    <w:rsid w:val="003E5BF2"/>
    <w:rsid w:val="003E6267"/>
    <w:rsid w:val="003E62F0"/>
    <w:rsid w:val="003E65C4"/>
    <w:rsid w:val="003E66E9"/>
    <w:rsid w:val="003E6B5A"/>
    <w:rsid w:val="003E70F2"/>
    <w:rsid w:val="003E7172"/>
    <w:rsid w:val="003E71E2"/>
    <w:rsid w:val="003E723C"/>
    <w:rsid w:val="003E7692"/>
    <w:rsid w:val="003E76B9"/>
    <w:rsid w:val="003E7962"/>
    <w:rsid w:val="003E7AFD"/>
    <w:rsid w:val="003E7F78"/>
    <w:rsid w:val="003E7FA9"/>
    <w:rsid w:val="003E7FB5"/>
    <w:rsid w:val="003F00A1"/>
    <w:rsid w:val="003F015F"/>
    <w:rsid w:val="003F0337"/>
    <w:rsid w:val="003F03AE"/>
    <w:rsid w:val="003F04C3"/>
    <w:rsid w:val="003F064C"/>
    <w:rsid w:val="003F096F"/>
    <w:rsid w:val="003F0AC4"/>
    <w:rsid w:val="003F0B23"/>
    <w:rsid w:val="003F0BEC"/>
    <w:rsid w:val="003F0C38"/>
    <w:rsid w:val="003F0CEB"/>
    <w:rsid w:val="003F1052"/>
    <w:rsid w:val="003F16F5"/>
    <w:rsid w:val="003F19C7"/>
    <w:rsid w:val="003F1BAF"/>
    <w:rsid w:val="003F1D73"/>
    <w:rsid w:val="003F2238"/>
    <w:rsid w:val="003F2419"/>
    <w:rsid w:val="003F2649"/>
    <w:rsid w:val="003F2667"/>
    <w:rsid w:val="003F2BF0"/>
    <w:rsid w:val="003F2C92"/>
    <w:rsid w:val="003F2E45"/>
    <w:rsid w:val="003F32D1"/>
    <w:rsid w:val="003F32EC"/>
    <w:rsid w:val="003F3550"/>
    <w:rsid w:val="003F35E0"/>
    <w:rsid w:val="003F3DAD"/>
    <w:rsid w:val="003F3F2C"/>
    <w:rsid w:val="003F411D"/>
    <w:rsid w:val="003F4632"/>
    <w:rsid w:val="003F4EF8"/>
    <w:rsid w:val="003F4F89"/>
    <w:rsid w:val="003F511D"/>
    <w:rsid w:val="003F5CE1"/>
    <w:rsid w:val="003F5D1E"/>
    <w:rsid w:val="003F5EBA"/>
    <w:rsid w:val="003F6194"/>
    <w:rsid w:val="003F62E0"/>
    <w:rsid w:val="003F6569"/>
    <w:rsid w:val="003F6577"/>
    <w:rsid w:val="003F67A3"/>
    <w:rsid w:val="003F68D5"/>
    <w:rsid w:val="003F6993"/>
    <w:rsid w:val="003F6D17"/>
    <w:rsid w:val="003F6D9D"/>
    <w:rsid w:val="003F7411"/>
    <w:rsid w:val="003F7F85"/>
    <w:rsid w:val="004002AC"/>
    <w:rsid w:val="004002B2"/>
    <w:rsid w:val="0040044F"/>
    <w:rsid w:val="004005E4"/>
    <w:rsid w:val="004007F6"/>
    <w:rsid w:val="00400851"/>
    <w:rsid w:val="004009AF"/>
    <w:rsid w:val="00400E07"/>
    <w:rsid w:val="00400FFE"/>
    <w:rsid w:val="00401632"/>
    <w:rsid w:val="00401754"/>
    <w:rsid w:val="00401BA7"/>
    <w:rsid w:val="00401D19"/>
    <w:rsid w:val="004021EB"/>
    <w:rsid w:val="004028AE"/>
    <w:rsid w:val="00402AB5"/>
    <w:rsid w:val="00402D35"/>
    <w:rsid w:val="00402F54"/>
    <w:rsid w:val="00403295"/>
    <w:rsid w:val="00403502"/>
    <w:rsid w:val="004038C7"/>
    <w:rsid w:val="00403E87"/>
    <w:rsid w:val="00404021"/>
    <w:rsid w:val="00404269"/>
    <w:rsid w:val="004042F4"/>
    <w:rsid w:val="00404342"/>
    <w:rsid w:val="004043BF"/>
    <w:rsid w:val="004044C2"/>
    <w:rsid w:val="00404BE6"/>
    <w:rsid w:val="00404CA2"/>
    <w:rsid w:val="00404D5F"/>
    <w:rsid w:val="00404DBD"/>
    <w:rsid w:val="00404F7A"/>
    <w:rsid w:val="00405010"/>
    <w:rsid w:val="004053E4"/>
    <w:rsid w:val="0040540B"/>
    <w:rsid w:val="00405D67"/>
    <w:rsid w:val="00405DC0"/>
    <w:rsid w:val="00405EDB"/>
    <w:rsid w:val="00406179"/>
    <w:rsid w:val="004061D9"/>
    <w:rsid w:val="00406465"/>
    <w:rsid w:val="00406649"/>
    <w:rsid w:val="0040735C"/>
    <w:rsid w:val="0040769A"/>
    <w:rsid w:val="00407AD1"/>
    <w:rsid w:val="00407C38"/>
    <w:rsid w:val="00407E5A"/>
    <w:rsid w:val="0041016A"/>
    <w:rsid w:val="00410265"/>
    <w:rsid w:val="004103C7"/>
    <w:rsid w:val="004103F6"/>
    <w:rsid w:val="004104C8"/>
    <w:rsid w:val="00410631"/>
    <w:rsid w:val="004106B9"/>
    <w:rsid w:val="004107B0"/>
    <w:rsid w:val="00410AAB"/>
    <w:rsid w:val="00410B19"/>
    <w:rsid w:val="00410BB2"/>
    <w:rsid w:val="004120F8"/>
    <w:rsid w:val="0041216A"/>
    <w:rsid w:val="00412413"/>
    <w:rsid w:val="00412893"/>
    <w:rsid w:val="00412A05"/>
    <w:rsid w:val="00412B10"/>
    <w:rsid w:val="00412BAE"/>
    <w:rsid w:val="00412D38"/>
    <w:rsid w:val="00412FC6"/>
    <w:rsid w:val="004133DE"/>
    <w:rsid w:val="0041355E"/>
    <w:rsid w:val="004137E5"/>
    <w:rsid w:val="004137ED"/>
    <w:rsid w:val="00413EF9"/>
    <w:rsid w:val="0041443C"/>
    <w:rsid w:val="0041451A"/>
    <w:rsid w:val="00414A0D"/>
    <w:rsid w:val="00414E24"/>
    <w:rsid w:val="00415259"/>
    <w:rsid w:val="004153A8"/>
    <w:rsid w:val="00415507"/>
    <w:rsid w:val="00415574"/>
    <w:rsid w:val="0041563C"/>
    <w:rsid w:val="0041577B"/>
    <w:rsid w:val="00416065"/>
    <w:rsid w:val="004160A3"/>
    <w:rsid w:val="00416466"/>
    <w:rsid w:val="00416511"/>
    <w:rsid w:val="00416523"/>
    <w:rsid w:val="00416549"/>
    <w:rsid w:val="00416838"/>
    <w:rsid w:val="00416C77"/>
    <w:rsid w:val="00416F71"/>
    <w:rsid w:val="004174EB"/>
    <w:rsid w:val="00417723"/>
    <w:rsid w:val="00417C91"/>
    <w:rsid w:val="004203B1"/>
    <w:rsid w:val="00420909"/>
    <w:rsid w:val="00420BDF"/>
    <w:rsid w:val="00420C21"/>
    <w:rsid w:val="00420CA6"/>
    <w:rsid w:val="00420ECA"/>
    <w:rsid w:val="0042105E"/>
    <w:rsid w:val="004210FB"/>
    <w:rsid w:val="00421134"/>
    <w:rsid w:val="0042127B"/>
    <w:rsid w:val="004214D7"/>
    <w:rsid w:val="00421565"/>
    <w:rsid w:val="0042177E"/>
    <w:rsid w:val="00421821"/>
    <w:rsid w:val="00421DFD"/>
    <w:rsid w:val="004221F0"/>
    <w:rsid w:val="00422465"/>
    <w:rsid w:val="0042259E"/>
    <w:rsid w:val="0042261E"/>
    <w:rsid w:val="004228EE"/>
    <w:rsid w:val="00422969"/>
    <w:rsid w:val="00422A14"/>
    <w:rsid w:val="00422CA5"/>
    <w:rsid w:val="00422E51"/>
    <w:rsid w:val="00422E7B"/>
    <w:rsid w:val="00422EC1"/>
    <w:rsid w:val="004231CC"/>
    <w:rsid w:val="00423A1F"/>
    <w:rsid w:val="00423C4A"/>
    <w:rsid w:val="00423D46"/>
    <w:rsid w:val="00423E88"/>
    <w:rsid w:val="00423FCC"/>
    <w:rsid w:val="00424197"/>
    <w:rsid w:val="004247AC"/>
    <w:rsid w:val="00424B86"/>
    <w:rsid w:val="00424C55"/>
    <w:rsid w:val="00424D71"/>
    <w:rsid w:val="00424F90"/>
    <w:rsid w:val="004250D5"/>
    <w:rsid w:val="00426079"/>
    <w:rsid w:val="00426427"/>
    <w:rsid w:val="0042655C"/>
    <w:rsid w:val="004265BE"/>
    <w:rsid w:val="004265E5"/>
    <w:rsid w:val="00426A4E"/>
    <w:rsid w:val="00426C9E"/>
    <w:rsid w:val="00426EC7"/>
    <w:rsid w:val="004271B1"/>
    <w:rsid w:val="00427AE3"/>
    <w:rsid w:val="0043012C"/>
    <w:rsid w:val="004301E1"/>
    <w:rsid w:val="00430210"/>
    <w:rsid w:val="00430362"/>
    <w:rsid w:val="004304E7"/>
    <w:rsid w:val="004305AB"/>
    <w:rsid w:val="00430BA6"/>
    <w:rsid w:val="00430C81"/>
    <w:rsid w:val="00430C88"/>
    <w:rsid w:val="00430F25"/>
    <w:rsid w:val="004311BC"/>
    <w:rsid w:val="00431210"/>
    <w:rsid w:val="0043139F"/>
    <w:rsid w:val="0043144B"/>
    <w:rsid w:val="00431955"/>
    <w:rsid w:val="00432035"/>
    <w:rsid w:val="0043231F"/>
    <w:rsid w:val="004323E3"/>
    <w:rsid w:val="004326B4"/>
    <w:rsid w:val="004326B8"/>
    <w:rsid w:val="0043314A"/>
    <w:rsid w:val="00433964"/>
    <w:rsid w:val="00433B50"/>
    <w:rsid w:val="00433C91"/>
    <w:rsid w:val="00434018"/>
    <w:rsid w:val="00434268"/>
    <w:rsid w:val="00434482"/>
    <w:rsid w:val="004346FC"/>
    <w:rsid w:val="0043518B"/>
    <w:rsid w:val="004352CD"/>
    <w:rsid w:val="00435552"/>
    <w:rsid w:val="00435D24"/>
    <w:rsid w:val="0043655D"/>
    <w:rsid w:val="00436A9A"/>
    <w:rsid w:val="00436B4D"/>
    <w:rsid w:val="00436C34"/>
    <w:rsid w:val="00436F4B"/>
    <w:rsid w:val="004370E2"/>
    <w:rsid w:val="00437229"/>
    <w:rsid w:val="00437346"/>
    <w:rsid w:val="0043735F"/>
    <w:rsid w:val="004373D7"/>
    <w:rsid w:val="00437514"/>
    <w:rsid w:val="004377A5"/>
    <w:rsid w:val="004379E8"/>
    <w:rsid w:val="0044092D"/>
    <w:rsid w:val="00440AE0"/>
    <w:rsid w:val="00440B43"/>
    <w:rsid w:val="00440F9D"/>
    <w:rsid w:val="0044146A"/>
    <w:rsid w:val="004415BE"/>
    <w:rsid w:val="00441A70"/>
    <w:rsid w:val="004429C4"/>
    <w:rsid w:val="00442DB7"/>
    <w:rsid w:val="00443AE5"/>
    <w:rsid w:val="00443E36"/>
    <w:rsid w:val="004443B4"/>
    <w:rsid w:val="00444706"/>
    <w:rsid w:val="00444AE0"/>
    <w:rsid w:val="00444DD5"/>
    <w:rsid w:val="00444EF2"/>
    <w:rsid w:val="00444F23"/>
    <w:rsid w:val="004451E2"/>
    <w:rsid w:val="00445BD1"/>
    <w:rsid w:val="00446178"/>
    <w:rsid w:val="00446216"/>
    <w:rsid w:val="004465DD"/>
    <w:rsid w:val="0044663D"/>
    <w:rsid w:val="0044679D"/>
    <w:rsid w:val="00446D26"/>
    <w:rsid w:val="00446E6D"/>
    <w:rsid w:val="00446F71"/>
    <w:rsid w:val="00447080"/>
    <w:rsid w:val="00447233"/>
    <w:rsid w:val="0044786D"/>
    <w:rsid w:val="004478DA"/>
    <w:rsid w:val="00447C54"/>
    <w:rsid w:val="00447EE8"/>
    <w:rsid w:val="00450080"/>
    <w:rsid w:val="00450084"/>
    <w:rsid w:val="0045078F"/>
    <w:rsid w:val="00450A31"/>
    <w:rsid w:val="00450A95"/>
    <w:rsid w:val="00451286"/>
    <w:rsid w:val="0045164B"/>
    <w:rsid w:val="00451652"/>
    <w:rsid w:val="00451C3A"/>
    <w:rsid w:val="004522B7"/>
    <w:rsid w:val="004524B9"/>
    <w:rsid w:val="00452756"/>
    <w:rsid w:val="004528C7"/>
    <w:rsid w:val="00452DFA"/>
    <w:rsid w:val="00453307"/>
    <w:rsid w:val="00453333"/>
    <w:rsid w:val="00453628"/>
    <w:rsid w:val="0045381D"/>
    <w:rsid w:val="00454016"/>
    <w:rsid w:val="0045437F"/>
    <w:rsid w:val="004544E1"/>
    <w:rsid w:val="0045459D"/>
    <w:rsid w:val="00454626"/>
    <w:rsid w:val="00454D47"/>
    <w:rsid w:val="004552B6"/>
    <w:rsid w:val="0045550F"/>
    <w:rsid w:val="00455FE0"/>
    <w:rsid w:val="0045614E"/>
    <w:rsid w:val="00456864"/>
    <w:rsid w:val="00456964"/>
    <w:rsid w:val="00456B79"/>
    <w:rsid w:val="004571D8"/>
    <w:rsid w:val="004574DA"/>
    <w:rsid w:val="0045764D"/>
    <w:rsid w:val="00457A1B"/>
    <w:rsid w:val="00460267"/>
    <w:rsid w:val="00460363"/>
    <w:rsid w:val="00460492"/>
    <w:rsid w:val="00460581"/>
    <w:rsid w:val="00460703"/>
    <w:rsid w:val="00460790"/>
    <w:rsid w:val="00460BC5"/>
    <w:rsid w:val="00460FCD"/>
    <w:rsid w:val="004618E7"/>
    <w:rsid w:val="00461A8E"/>
    <w:rsid w:val="004621DC"/>
    <w:rsid w:val="00462762"/>
    <w:rsid w:val="004628F2"/>
    <w:rsid w:val="00462B92"/>
    <w:rsid w:val="00462D98"/>
    <w:rsid w:val="00462FB2"/>
    <w:rsid w:val="004630BA"/>
    <w:rsid w:val="0046346C"/>
    <w:rsid w:val="00463607"/>
    <w:rsid w:val="0046371A"/>
    <w:rsid w:val="0046382C"/>
    <w:rsid w:val="00463AB3"/>
    <w:rsid w:val="00463B1C"/>
    <w:rsid w:val="00463F90"/>
    <w:rsid w:val="004641BA"/>
    <w:rsid w:val="00464432"/>
    <w:rsid w:val="00464E48"/>
    <w:rsid w:val="00464EA2"/>
    <w:rsid w:val="00464F91"/>
    <w:rsid w:val="00465513"/>
    <w:rsid w:val="004655E5"/>
    <w:rsid w:val="004655F3"/>
    <w:rsid w:val="00465657"/>
    <w:rsid w:val="00465B03"/>
    <w:rsid w:val="00465D21"/>
    <w:rsid w:val="00465F95"/>
    <w:rsid w:val="0046603E"/>
    <w:rsid w:val="0046621E"/>
    <w:rsid w:val="00466294"/>
    <w:rsid w:val="00466885"/>
    <w:rsid w:val="00466B0A"/>
    <w:rsid w:val="00466EB3"/>
    <w:rsid w:val="00467134"/>
    <w:rsid w:val="00467619"/>
    <w:rsid w:val="00467637"/>
    <w:rsid w:val="00467BDD"/>
    <w:rsid w:val="00467D1F"/>
    <w:rsid w:val="00467D54"/>
    <w:rsid w:val="00467DB7"/>
    <w:rsid w:val="0047060F"/>
    <w:rsid w:val="004707AB"/>
    <w:rsid w:val="00470AFD"/>
    <w:rsid w:val="00470B4D"/>
    <w:rsid w:val="00470EB2"/>
    <w:rsid w:val="00471088"/>
    <w:rsid w:val="00471736"/>
    <w:rsid w:val="00471957"/>
    <w:rsid w:val="00471F40"/>
    <w:rsid w:val="00472005"/>
    <w:rsid w:val="004723EF"/>
    <w:rsid w:val="00472468"/>
    <w:rsid w:val="004724C3"/>
    <w:rsid w:val="004725A7"/>
    <w:rsid w:val="00472667"/>
    <w:rsid w:val="004726DD"/>
    <w:rsid w:val="00472D9E"/>
    <w:rsid w:val="00472EAA"/>
    <w:rsid w:val="00472F40"/>
    <w:rsid w:val="0047375F"/>
    <w:rsid w:val="0047379D"/>
    <w:rsid w:val="004739B4"/>
    <w:rsid w:val="004739E3"/>
    <w:rsid w:val="00473EAB"/>
    <w:rsid w:val="00473F9C"/>
    <w:rsid w:val="00474861"/>
    <w:rsid w:val="00474A75"/>
    <w:rsid w:val="00474C5F"/>
    <w:rsid w:val="004751BC"/>
    <w:rsid w:val="00475326"/>
    <w:rsid w:val="004753CD"/>
    <w:rsid w:val="0047542A"/>
    <w:rsid w:val="00475547"/>
    <w:rsid w:val="0047574D"/>
    <w:rsid w:val="0047592A"/>
    <w:rsid w:val="00475E4E"/>
    <w:rsid w:val="004764BA"/>
    <w:rsid w:val="0047659F"/>
    <w:rsid w:val="0047668B"/>
    <w:rsid w:val="00476AD6"/>
    <w:rsid w:val="00477071"/>
    <w:rsid w:val="0047737D"/>
    <w:rsid w:val="00477CE6"/>
    <w:rsid w:val="00477F83"/>
    <w:rsid w:val="00480BD8"/>
    <w:rsid w:val="00480C16"/>
    <w:rsid w:val="00480C6D"/>
    <w:rsid w:val="004811E1"/>
    <w:rsid w:val="0048135D"/>
    <w:rsid w:val="004816A4"/>
    <w:rsid w:val="00481905"/>
    <w:rsid w:val="00481B72"/>
    <w:rsid w:val="0048214E"/>
    <w:rsid w:val="00482557"/>
    <w:rsid w:val="00482C51"/>
    <w:rsid w:val="00483012"/>
    <w:rsid w:val="0048350F"/>
    <w:rsid w:val="004838DE"/>
    <w:rsid w:val="00483B1E"/>
    <w:rsid w:val="00483B8E"/>
    <w:rsid w:val="00484453"/>
    <w:rsid w:val="00484851"/>
    <w:rsid w:val="00484CFF"/>
    <w:rsid w:val="00485168"/>
    <w:rsid w:val="00485292"/>
    <w:rsid w:val="00485408"/>
    <w:rsid w:val="00485653"/>
    <w:rsid w:val="0048589B"/>
    <w:rsid w:val="00485907"/>
    <w:rsid w:val="00485AD1"/>
    <w:rsid w:val="00485B92"/>
    <w:rsid w:val="00485BDD"/>
    <w:rsid w:val="00485C4D"/>
    <w:rsid w:val="00485DF1"/>
    <w:rsid w:val="00485EF9"/>
    <w:rsid w:val="004867C0"/>
    <w:rsid w:val="00486869"/>
    <w:rsid w:val="00486CB8"/>
    <w:rsid w:val="00486E43"/>
    <w:rsid w:val="0048726D"/>
    <w:rsid w:val="00487329"/>
    <w:rsid w:val="0048762A"/>
    <w:rsid w:val="00487647"/>
    <w:rsid w:val="004905D4"/>
    <w:rsid w:val="0049065A"/>
    <w:rsid w:val="00490762"/>
    <w:rsid w:val="004908C4"/>
    <w:rsid w:val="00490A39"/>
    <w:rsid w:val="00490AA9"/>
    <w:rsid w:val="00490D0B"/>
    <w:rsid w:val="004910A8"/>
    <w:rsid w:val="0049112C"/>
    <w:rsid w:val="004912BF"/>
    <w:rsid w:val="00491C3D"/>
    <w:rsid w:val="00491CEB"/>
    <w:rsid w:val="00491FF1"/>
    <w:rsid w:val="004921DD"/>
    <w:rsid w:val="0049239E"/>
    <w:rsid w:val="004923B1"/>
    <w:rsid w:val="004924FE"/>
    <w:rsid w:val="00492764"/>
    <w:rsid w:val="004929CC"/>
    <w:rsid w:val="004934FA"/>
    <w:rsid w:val="004935CA"/>
    <w:rsid w:val="00493686"/>
    <w:rsid w:val="00493787"/>
    <w:rsid w:val="00493AB9"/>
    <w:rsid w:val="00493E1E"/>
    <w:rsid w:val="00494070"/>
    <w:rsid w:val="00494265"/>
    <w:rsid w:val="004942F0"/>
    <w:rsid w:val="0049536A"/>
    <w:rsid w:val="00495619"/>
    <w:rsid w:val="00495EFB"/>
    <w:rsid w:val="004961A4"/>
    <w:rsid w:val="0049628A"/>
    <w:rsid w:val="00496A08"/>
    <w:rsid w:val="00496C34"/>
    <w:rsid w:val="004971AC"/>
    <w:rsid w:val="00497271"/>
    <w:rsid w:val="00497373"/>
    <w:rsid w:val="00497D38"/>
    <w:rsid w:val="00497F3D"/>
    <w:rsid w:val="004A03B2"/>
    <w:rsid w:val="004A0993"/>
    <w:rsid w:val="004A09F9"/>
    <w:rsid w:val="004A10AB"/>
    <w:rsid w:val="004A18C2"/>
    <w:rsid w:val="004A18E7"/>
    <w:rsid w:val="004A1EA6"/>
    <w:rsid w:val="004A21F0"/>
    <w:rsid w:val="004A2292"/>
    <w:rsid w:val="004A2367"/>
    <w:rsid w:val="004A2566"/>
    <w:rsid w:val="004A2687"/>
    <w:rsid w:val="004A2CCD"/>
    <w:rsid w:val="004A2E32"/>
    <w:rsid w:val="004A2EF5"/>
    <w:rsid w:val="004A3208"/>
    <w:rsid w:val="004A387E"/>
    <w:rsid w:val="004A3A83"/>
    <w:rsid w:val="004A3B9E"/>
    <w:rsid w:val="004A3D86"/>
    <w:rsid w:val="004A4B28"/>
    <w:rsid w:val="004A4C67"/>
    <w:rsid w:val="004A4D7B"/>
    <w:rsid w:val="004A4D8F"/>
    <w:rsid w:val="004A4DB4"/>
    <w:rsid w:val="004A4FE8"/>
    <w:rsid w:val="004A534E"/>
    <w:rsid w:val="004A555C"/>
    <w:rsid w:val="004A559D"/>
    <w:rsid w:val="004A5617"/>
    <w:rsid w:val="004A5942"/>
    <w:rsid w:val="004A5A0D"/>
    <w:rsid w:val="004A5D4C"/>
    <w:rsid w:val="004A5FDA"/>
    <w:rsid w:val="004A60D1"/>
    <w:rsid w:val="004A61E5"/>
    <w:rsid w:val="004A62B9"/>
    <w:rsid w:val="004A6477"/>
    <w:rsid w:val="004A6845"/>
    <w:rsid w:val="004A684A"/>
    <w:rsid w:val="004A75E5"/>
    <w:rsid w:val="004A77FC"/>
    <w:rsid w:val="004A7873"/>
    <w:rsid w:val="004B00E7"/>
    <w:rsid w:val="004B05B1"/>
    <w:rsid w:val="004B072D"/>
    <w:rsid w:val="004B09D8"/>
    <w:rsid w:val="004B0B23"/>
    <w:rsid w:val="004B0C48"/>
    <w:rsid w:val="004B0C8D"/>
    <w:rsid w:val="004B0D03"/>
    <w:rsid w:val="004B0D8D"/>
    <w:rsid w:val="004B12C2"/>
    <w:rsid w:val="004B12F3"/>
    <w:rsid w:val="004B153C"/>
    <w:rsid w:val="004B1614"/>
    <w:rsid w:val="004B203D"/>
    <w:rsid w:val="004B2057"/>
    <w:rsid w:val="004B2213"/>
    <w:rsid w:val="004B2508"/>
    <w:rsid w:val="004B285A"/>
    <w:rsid w:val="004B2B63"/>
    <w:rsid w:val="004B303A"/>
    <w:rsid w:val="004B3173"/>
    <w:rsid w:val="004B33B4"/>
    <w:rsid w:val="004B3830"/>
    <w:rsid w:val="004B3D98"/>
    <w:rsid w:val="004B3E02"/>
    <w:rsid w:val="004B44DB"/>
    <w:rsid w:val="004B4CE4"/>
    <w:rsid w:val="004B4F39"/>
    <w:rsid w:val="004B5029"/>
    <w:rsid w:val="004B5816"/>
    <w:rsid w:val="004B630A"/>
    <w:rsid w:val="004B68AF"/>
    <w:rsid w:val="004B6A00"/>
    <w:rsid w:val="004B6BC2"/>
    <w:rsid w:val="004B6E1B"/>
    <w:rsid w:val="004B752E"/>
    <w:rsid w:val="004B7654"/>
    <w:rsid w:val="004B765A"/>
    <w:rsid w:val="004B7D64"/>
    <w:rsid w:val="004C01E0"/>
    <w:rsid w:val="004C05E2"/>
    <w:rsid w:val="004C080E"/>
    <w:rsid w:val="004C0872"/>
    <w:rsid w:val="004C08D8"/>
    <w:rsid w:val="004C1102"/>
    <w:rsid w:val="004C14F8"/>
    <w:rsid w:val="004C1574"/>
    <w:rsid w:val="004C1668"/>
    <w:rsid w:val="004C18AA"/>
    <w:rsid w:val="004C1B1F"/>
    <w:rsid w:val="004C1D55"/>
    <w:rsid w:val="004C201A"/>
    <w:rsid w:val="004C233D"/>
    <w:rsid w:val="004C2523"/>
    <w:rsid w:val="004C269B"/>
    <w:rsid w:val="004C2A39"/>
    <w:rsid w:val="004C3471"/>
    <w:rsid w:val="004C3693"/>
    <w:rsid w:val="004C36BF"/>
    <w:rsid w:val="004C3721"/>
    <w:rsid w:val="004C3F6A"/>
    <w:rsid w:val="004C3FE8"/>
    <w:rsid w:val="004C40B1"/>
    <w:rsid w:val="004C43E8"/>
    <w:rsid w:val="004C46C6"/>
    <w:rsid w:val="004C4959"/>
    <w:rsid w:val="004C4C13"/>
    <w:rsid w:val="004C4D07"/>
    <w:rsid w:val="004C5330"/>
    <w:rsid w:val="004C55C9"/>
    <w:rsid w:val="004C5725"/>
    <w:rsid w:val="004C5832"/>
    <w:rsid w:val="004C59E0"/>
    <w:rsid w:val="004C5A71"/>
    <w:rsid w:val="004C5B23"/>
    <w:rsid w:val="004C5E5D"/>
    <w:rsid w:val="004C5F15"/>
    <w:rsid w:val="004C607D"/>
    <w:rsid w:val="004C61E6"/>
    <w:rsid w:val="004C63A8"/>
    <w:rsid w:val="004C64B6"/>
    <w:rsid w:val="004C661F"/>
    <w:rsid w:val="004C6867"/>
    <w:rsid w:val="004C6A7B"/>
    <w:rsid w:val="004C6C02"/>
    <w:rsid w:val="004C6D94"/>
    <w:rsid w:val="004C7464"/>
    <w:rsid w:val="004C7507"/>
    <w:rsid w:val="004C7A84"/>
    <w:rsid w:val="004C7A8B"/>
    <w:rsid w:val="004C7CF9"/>
    <w:rsid w:val="004C7FE5"/>
    <w:rsid w:val="004D02F8"/>
    <w:rsid w:val="004D05FE"/>
    <w:rsid w:val="004D06FB"/>
    <w:rsid w:val="004D0D7A"/>
    <w:rsid w:val="004D0E5E"/>
    <w:rsid w:val="004D106F"/>
    <w:rsid w:val="004D14D4"/>
    <w:rsid w:val="004D1647"/>
    <w:rsid w:val="004D17A8"/>
    <w:rsid w:val="004D1998"/>
    <w:rsid w:val="004D19CF"/>
    <w:rsid w:val="004D1A13"/>
    <w:rsid w:val="004D1A44"/>
    <w:rsid w:val="004D1C04"/>
    <w:rsid w:val="004D1E92"/>
    <w:rsid w:val="004D2151"/>
    <w:rsid w:val="004D2341"/>
    <w:rsid w:val="004D2699"/>
    <w:rsid w:val="004D283B"/>
    <w:rsid w:val="004D2D8A"/>
    <w:rsid w:val="004D2DB7"/>
    <w:rsid w:val="004D2F08"/>
    <w:rsid w:val="004D2F11"/>
    <w:rsid w:val="004D30CE"/>
    <w:rsid w:val="004D32E1"/>
    <w:rsid w:val="004D32EC"/>
    <w:rsid w:val="004D3693"/>
    <w:rsid w:val="004D4188"/>
    <w:rsid w:val="004D4214"/>
    <w:rsid w:val="004D429E"/>
    <w:rsid w:val="004D42DF"/>
    <w:rsid w:val="004D434D"/>
    <w:rsid w:val="004D4700"/>
    <w:rsid w:val="004D4911"/>
    <w:rsid w:val="004D4EB0"/>
    <w:rsid w:val="004D50FD"/>
    <w:rsid w:val="004D5586"/>
    <w:rsid w:val="004D55CF"/>
    <w:rsid w:val="004D56C5"/>
    <w:rsid w:val="004D56CF"/>
    <w:rsid w:val="004D599B"/>
    <w:rsid w:val="004D5B7C"/>
    <w:rsid w:val="004D6154"/>
    <w:rsid w:val="004D62B2"/>
    <w:rsid w:val="004D63D3"/>
    <w:rsid w:val="004D652E"/>
    <w:rsid w:val="004D69D8"/>
    <w:rsid w:val="004D70DF"/>
    <w:rsid w:val="004D7CF3"/>
    <w:rsid w:val="004D7EDD"/>
    <w:rsid w:val="004E03C2"/>
    <w:rsid w:val="004E04D3"/>
    <w:rsid w:val="004E07F6"/>
    <w:rsid w:val="004E0CDC"/>
    <w:rsid w:val="004E1079"/>
    <w:rsid w:val="004E1188"/>
    <w:rsid w:val="004E1FE6"/>
    <w:rsid w:val="004E2128"/>
    <w:rsid w:val="004E22BA"/>
    <w:rsid w:val="004E2C52"/>
    <w:rsid w:val="004E2D74"/>
    <w:rsid w:val="004E31D6"/>
    <w:rsid w:val="004E31FF"/>
    <w:rsid w:val="004E34EB"/>
    <w:rsid w:val="004E35AD"/>
    <w:rsid w:val="004E38DB"/>
    <w:rsid w:val="004E3CD3"/>
    <w:rsid w:val="004E3D19"/>
    <w:rsid w:val="004E4129"/>
    <w:rsid w:val="004E45D0"/>
    <w:rsid w:val="004E48F2"/>
    <w:rsid w:val="004E5163"/>
    <w:rsid w:val="004E51B3"/>
    <w:rsid w:val="004E5268"/>
    <w:rsid w:val="004E5517"/>
    <w:rsid w:val="004E565A"/>
    <w:rsid w:val="004E5D47"/>
    <w:rsid w:val="004E5D51"/>
    <w:rsid w:val="004E5DC4"/>
    <w:rsid w:val="004E6365"/>
    <w:rsid w:val="004E63AF"/>
    <w:rsid w:val="004E6544"/>
    <w:rsid w:val="004E67A7"/>
    <w:rsid w:val="004E6A97"/>
    <w:rsid w:val="004E70B9"/>
    <w:rsid w:val="004E73EC"/>
    <w:rsid w:val="004E7B5A"/>
    <w:rsid w:val="004E7F90"/>
    <w:rsid w:val="004F0044"/>
    <w:rsid w:val="004F0065"/>
    <w:rsid w:val="004F0388"/>
    <w:rsid w:val="004F057A"/>
    <w:rsid w:val="004F0649"/>
    <w:rsid w:val="004F068A"/>
    <w:rsid w:val="004F0FB0"/>
    <w:rsid w:val="004F1171"/>
    <w:rsid w:val="004F145A"/>
    <w:rsid w:val="004F1609"/>
    <w:rsid w:val="004F1711"/>
    <w:rsid w:val="004F18AF"/>
    <w:rsid w:val="004F1DC3"/>
    <w:rsid w:val="004F1E2D"/>
    <w:rsid w:val="004F204E"/>
    <w:rsid w:val="004F2175"/>
    <w:rsid w:val="004F21CA"/>
    <w:rsid w:val="004F29E8"/>
    <w:rsid w:val="004F332C"/>
    <w:rsid w:val="004F3369"/>
    <w:rsid w:val="004F353E"/>
    <w:rsid w:val="004F388B"/>
    <w:rsid w:val="004F38E6"/>
    <w:rsid w:val="004F3D36"/>
    <w:rsid w:val="004F3F85"/>
    <w:rsid w:val="004F4C59"/>
    <w:rsid w:val="004F52BF"/>
    <w:rsid w:val="004F560B"/>
    <w:rsid w:val="004F56CB"/>
    <w:rsid w:val="004F58D9"/>
    <w:rsid w:val="004F597B"/>
    <w:rsid w:val="004F5CFC"/>
    <w:rsid w:val="004F5EDC"/>
    <w:rsid w:val="004F5F4A"/>
    <w:rsid w:val="004F6B2D"/>
    <w:rsid w:val="004F6B57"/>
    <w:rsid w:val="004F6C83"/>
    <w:rsid w:val="004F6EF6"/>
    <w:rsid w:val="004F70FC"/>
    <w:rsid w:val="004F75A4"/>
    <w:rsid w:val="004F7A80"/>
    <w:rsid w:val="004F7BBC"/>
    <w:rsid w:val="004F7D3C"/>
    <w:rsid w:val="004F7FE1"/>
    <w:rsid w:val="00500340"/>
    <w:rsid w:val="00500C26"/>
    <w:rsid w:val="005010A4"/>
    <w:rsid w:val="005012CC"/>
    <w:rsid w:val="005012F0"/>
    <w:rsid w:val="00501993"/>
    <w:rsid w:val="00501C34"/>
    <w:rsid w:val="00501EFB"/>
    <w:rsid w:val="0050216F"/>
    <w:rsid w:val="005024DC"/>
    <w:rsid w:val="005025D1"/>
    <w:rsid w:val="00502C04"/>
    <w:rsid w:val="00502DB7"/>
    <w:rsid w:val="00502DD1"/>
    <w:rsid w:val="00502FC9"/>
    <w:rsid w:val="0050304A"/>
    <w:rsid w:val="00503580"/>
    <w:rsid w:val="00503A3B"/>
    <w:rsid w:val="00503B46"/>
    <w:rsid w:val="00503CA8"/>
    <w:rsid w:val="00503E41"/>
    <w:rsid w:val="00503F6C"/>
    <w:rsid w:val="0050445C"/>
    <w:rsid w:val="005049A3"/>
    <w:rsid w:val="00504D79"/>
    <w:rsid w:val="0050525F"/>
    <w:rsid w:val="005055CB"/>
    <w:rsid w:val="005055EF"/>
    <w:rsid w:val="00505777"/>
    <w:rsid w:val="005059DA"/>
    <w:rsid w:val="00505E37"/>
    <w:rsid w:val="00505F97"/>
    <w:rsid w:val="0050622B"/>
    <w:rsid w:val="005064B7"/>
    <w:rsid w:val="00506586"/>
    <w:rsid w:val="005066C1"/>
    <w:rsid w:val="005066E1"/>
    <w:rsid w:val="00506B21"/>
    <w:rsid w:val="00506B74"/>
    <w:rsid w:val="00506CAF"/>
    <w:rsid w:val="00506FBE"/>
    <w:rsid w:val="005070A3"/>
    <w:rsid w:val="00507B35"/>
    <w:rsid w:val="00507F31"/>
    <w:rsid w:val="005102C3"/>
    <w:rsid w:val="00510385"/>
    <w:rsid w:val="005107AA"/>
    <w:rsid w:val="005109CC"/>
    <w:rsid w:val="00510AC7"/>
    <w:rsid w:val="00510F83"/>
    <w:rsid w:val="00510FDE"/>
    <w:rsid w:val="0051125A"/>
    <w:rsid w:val="005116D7"/>
    <w:rsid w:val="00511883"/>
    <w:rsid w:val="0051192C"/>
    <w:rsid w:val="00511A2E"/>
    <w:rsid w:val="00511D99"/>
    <w:rsid w:val="00511E06"/>
    <w:rsid w:val="00511E45"/>
    <w:rsid w:val="00512186"/>
    <w:rsid w:val="005121C6"/>
    <w:rsid w:val="005124A9"/>
    <w:rsid w:val="005125DD"/>
    <w:rsid w:val="005125F9"/>
    <w:rsid w:val="0051264B"/>
    <w:rsid w:val="00512F7E"/>
    <w:rsid w:val="00513500"/>
    <w:rsid w:val="005139AC"/>
    <w:rsid w:val="00513AF4"/>
    <w:rsid w:val="00513AFA"/>
    <w:rsid w:val="00513B4E"/>
    <w:rsid w:val="00513CE2"/>
    <w:rsid w:val="00513F67"/>
    <w:rsid w:val="00513F8B"/>
    <w:rsid w:val="005144FC"/>
    <w:rsid w:val="00514710"/>
    <w:rsid w:val="00514AA6"/>
    <w:rsid w:val="00514DBC"/>
    <w:rsid w:val="00515140"/>
    <w:rsid w:val="005159EB"/>
    <w:rsid w:val="00515A45"/>
    <w:rsid w:val="00515B2B"/>
    <w:rsid w:val="00515D5C"/>
    <w:rsid w:val="005160D4"/>
    <w:rsid w:val="005160EF"/>
    <w:rsid w:val="005163A2"/>
    <w:rsid w:val="005165E9"/>
    <w:rsid w:val="00516704"/>
    <w:rsid w:val="00516BCE"/>
    <w:rsid w:val="00516BEF"/>
    <w:rsid w:val="00516DAA"/>
    <w:rsid w:val="00517278"/>
    <w:rsid w:val="005172B7"/>
    <w:rsid w:val="00517474"/>
    <w:rsid w:val="0051753D"/>
    <w:rsid w:val="00517653"/>
    <w:rsid w:val="0051777B"/>
    <w:rsid w:val="00517A52"/>
    <w:rsid w:val="00520308"/>
    <w:rsid w:val="00520657"/>
    <w:rsid w:val="005208FA"/>
    <w:rsid w:val="0052098E"/>
    <w:rsid w:val="00520BF1"/>
    <w:rsid w:val="00520CF6"/>
    <w:rsid w:val="00520D84"/>
    <w:rsid w:val="00520E5E"/>
    <w:rsid w:val="005210A1"/>
    <w:rsid w:val="00521512"/>
    <w:rsid w:val="00521B56"/>
    <w:rsid w:val="00521F4B"/>
    <w:rsid w:val="00522338"/>
    <w:rsid w:val="00522AE7"/>
    <w:rsid w:val="00522D7C"/>
    <w:rsid w:val="005232AA"/>
    <w:rsid w:val="0052354E"/>
    <w:rsid w:val="00523877"/>
    <w:rsid w:val="005238F3"/>
    <w:rsid w:val="00523D84"/>
    <w:rsid w:val="00523E41"/>
    <w:rsid w:val="0052400A"/>
    <w:rsid w:val="00524066"/>
    <w:rsid w:val="0052423B"/>
    <w:rsid w:val="0052427B"/>
    <w:rsid w:val="0052433B"/>
    <w:rsid w:val="0052447F"/>
    <w:rsid w:val="00524B1F"/>
    <w:rsid w:val="00524BDF"/>
    <w:rsid w:val="00524C58"/>
    <w:rsid w:val="0052595D"/>
    <w:rsid w:val="00525DB0"/>
    <w:rsid w:val="00525E63"/>
    <w:rsid w:val="00525E95"/>
    <w:rsid w:val="0052621B"/>
    <w:rsid w:val="00526A9D"/>
    <w:rsid w:val="00526B33"/>
    <w:rsid w:val="00526C16"/>
    <w:rsid w:val="00526C45"/>
    <w:rsid w:val="00526E9E"/>
    <w:rsid w:val="0052745B"/>
    <w:rsid w:val="00527566"/>
    <w:rsid w:val="0052776C"/>
    <w:rsid w:val="005279EB"/>
    <w:rsid w:val="00527B84"/>
    <w:rsid w:val="0053044E"/>
    <w:rsid w:val="0053056C"/>
    <w:rsid w:val="00530607"/>
    <w:rsid w:val="00530617"/>
    <w:rsid w:val="00530964"/>
    <w:rsid w:val="00530980"/>
    <w:rsid w:val="00530BAE"/>
    <w:rsid w:val="00530BB9"/>
    <w:rsid w:val="00530DBD"/>
    <w:rsid w:val="00531043"/>
    <w:rsid w:val="005310B4"/>
    <w:rsid w:val="0053156B"/>
    <w:rsid w:val="00531695"/>
    <w:rsid w:val="0053175A"/>
    <w:rsid w:val="00531ACB"/>
    <w:rsid w:val="00531B74"/>
    <w:rsid w:val="00531F24"/>
    <w:rsid w:val="00532648"/>
    <w:rsid w:val="00532B40"/>
    <w:rsid w:val="0053307D"/>
    <w:rsid w:val="00533144"/>
    <w:rsid w:val="005334F3"/>
    <w:rsid w:val="00533546"/>
    <w:rsid w:val="005336BE"/>
    <w:rsid w:val="005337C2"/>
    <w:rsid w:val="00533E3A"/>
    <w:rsid w:val="0053411A"/>
    <w:rsid w:val="005342B6"/>
    <w:rsid w:val="0053568B"/>
    <w:rsid w:val="00535946"/>
    <w:rsid w:val="0053594C"/>
    <w:rsid w:val="00535B02"/>
    <w:rsid w:val="0053680F"/>
    <w:rsid w:val="00536AC2"/>
    <w:rsid w:val="00536B85"/>
    <w:rsid w:val="00536E65"/>
    <w:rsid w:val="00537083"/>
    <w:rsid w:val="0053712F"/>
    <w:rsid w:val="005374D2"/>
    <w:rsid w:val="005374FF"/>
    <w:rsid w:val="0053766F"/>
    <w:rsid w:val="0054051D"/>
    <w:rsid w:val="0054068C"/>
    <w:rsid w:val="0054083B"/>
    <w:rsid w:val="005408F4"/>
    <w:rsid w:val="00540AD1"/>
    <w:rsid w:val="00540D8E"/>
    <w:rsid w:val="005411F7"/>
    <w:rsid w:val="0054148A"/>
    <w:rsid w:val="0054152D"/>
    <w:rsid w:val="00541681"/>
    <w:rsid w:val="005418E8"/>
    <w:rsid w:val="00541934"/>
    <w:rsid w:val="0054204C"/>
    <w:rsid w:val="005421D4"/>
    <w:rsid w:val="005423EC"/>
    <w:rsid w:val="005424A1"/>
    <w:rsid w:val="0054257F"/>
    <w:rsid w:val="00542828"/>
    <w:rsid w:val="00543051"/>
    <w:rsid w:val="005430C2"/>
    <w:rsid w:val="00543112"/>
    <w:rsid w:val="00543206"/>
    <w:rsid w:val="005434BA"/>
    <w:rsid w:val="00543659"/>
    <w:rsid w:val="0054398C"/>
    <w:rsid w:val="00543BFD"/>
    <w:rsid w:val="00543C3D"/>
    <w:rsid w:val="00543E7A"/>
    <w:rsid w:val="0054531B"/>
    <w:rsid w:val="005453C0"/>
    <w:rsid w:val="0054543E"/>
    <w:rsid w:val="0054554B"/>
    <w:rsid w:val="0054563A"/>
    <w:rsid w:val="00545EAB"/>
    <w:rsid w:val="0054633A"/>
    <w:rsid w:val="00546906"/>
    <w:rsid w:val="00546DEF"/>
    <w:rsid w:val="005474B6"/>
    <w:rsid w:val="00547547"/>
    <w:rsid w:val="00547774"/>
    <w:rsid w:val="005477B5"/>
    <w:rsid w:val="00547959"/>
    <w:rsid w:val="005479AB"/>
    <w:rsid w:val="00547A50"/>
    <w:rsid w:val="00547ACE"/>
    <w:rsid w:val="00547BBB"/>
    <w:rsid w:val="0054897E"/>
    <w:rsid w:val="0055074A"/>
    <w:rsid w:val="00550F07"/>
    <w:rsid w:val="0055162A"/>
    <w:rsid w:val="00551668"/>
    <w:rsid w:val="005516B3"/>
    <w:rsid w:val="00551F74"/>
    <w:rsid w:val="005526AC"/>
    <w:rsid w:val="005527B6"/>
    <w:rsid w:val="00552C34"/>
    <w:rsid w:val="00552D55"/>
    <w:rsid w:val="00552FF6"/>
    <w:rsid w:val="0055349F"/>
    <w:rsid w:val="0055375C"/>
    <w:rsid w:val="00553A6B"/>
    <w:rsid w:val="00553D14"/>
    <w:rsid w:val="00554409"/>
    <w:rsid w:val="00554941"/>
    <w:rsid w:val="00554B1C"/>
    <w:rsid w:val="00554E3A"/>
    <w:rsid w:val="00554EE3"/>
    <w:rsid w:val="005551C7"/>
    <w:rsid w:val="0055543D"/>
    <w:rsid w:val="00555AE2"/>
    <w:rsid w:val="00555B97"/>
    <w:rsid w:val="005560B8"/>
    <w:rsid w:val="005560CF"/>
    <w:rsid w:val="00556401"/>
    <w:rsid w:val="00556AE5"/>
    <w:rsid w:val="00556C01"/>
    <w:rsid w:val="00556E51"/>
    <w:rsid w:val="005575DD"/>
    <w:rsid w:val="005575E6"/>
    <w:rsid w:val="0055786A"/>
    <w:rsid w:val="00557CDC"/>
    <w:rsid w:val="00557E53"/>
    <w:rsid w:val="00560029"/>
    <w:rsid w:val="0056011D"/>
    <w:rsid w:val="00560648"/>
    <w:rsid w:val="0056074E"/>
    <w:rsid w:val="00560F5B"/>
    <w:rsid w:val="00560F6C"/>
    <w:rsid w:val="00560FC6"/>
    <w:rsid w:val="0056148E"/>
    <w:rsid w:val="00561772"/>
    <w:rsid w:val="005617F6"/>
    <w:rsid w:val="00561991"/>
    <w:rsid w:val="00561D8B"/>
    <w:rsid w:val="00561DBC"/>
    <w:rsid w:val="0056204C"/>
    <w:rsid w:val="00562494"/>
    <w:rsid w:val="0056250B"/>
    <w:rsid w:val="005626A5"/>
    <w:rsid w:val="00562814"/>
    <w:rsid w:val="005629CD"/>
    <w:rsid w:val="00562FA5"/>
    <w:rsid w:val="005644CA"/>
    <w:rsid w:val="00564D57"/>
    <w:rsid w:val="00564E51"/>
    <w:rsid w:val="00564E75"/>
    <w:rsid w:val="00564E89"/>
    <w:rsid w:val="00564ED8"/>
    <w:rsid w:val="00564F41"/>
    <w:rsid w:val="00564F5F"/>
    <w:rsid w:val="0056513B"/>
    <w:rsid w:val="00565452"/>
    <w:rsid w:val="0056547F"/>
    <w:rsid w:val="00565579"/>
    <w:rsid w:val="0056592E"/>
    <w:rsid w:val="00565966"/>
    <w:rsid w:val="00565A42"/>
    <w:rsid w:val="0056608D"/>
    <w:rsid w:val="005662F1"/>
    <w:rsid w:val="0056634F"/>
    <w:rsid w:val="00566DAB"/>
    <w:rsid w:val="00567768"/>
    <w:rsid w:val="00567AAE"/>
    <w:rsid w:val="0057015E"/>
    <w:rsid w:val="00570346"/>
    <w:rsid w:val="0057049C"/>
    <w:rsid w:val="00570C7D"/>
    <w:rsid w:val="00571001"/>
    <w:rsid w:val="0057112F"/>
    <w:rsid w:val="00572053"/>
    <w:rsid w:val="005722B0"/>
    <w:rsid w:val="005722D4"/>
    <w:rsid w:val="00572326"/>
    <w:rsid w:val="0057264C"/>
    <w:rsid w:val="00572C76"/>
    <w:rsid w:val="00573138"/>
    <w:rsid w:val="0057329B"/>
    <w:rsid w:val="00573401"/>
    <w:rsid w:val="00573412"/>
    <w:rsid w:val="0057370D"/>
    <w:rsid w:val="005737D2"/>
    <w:rsid w:val="005737EF"/>
    <w:rsid w:val="00573DAC"/>
    <w:rsid w:val="00573DAF"/>
    <w:rsid w:val="00574285"/>
    <w:rsid w:val="00574712"/>
    <w:rsid w:val="00574922"/>
    <w:rsid w:val="00574CAD"/>
    <w:rsid w:val="00575069"/>
    <w:rsid w:val="0057518B"/>
    <w:rsid w:val="00575B83"/>
    <w:rsid w:val="00575BC9"/>
    <w:rsid w:val="00575BFC"/>
    <w:rsid w:val="0057636A"/>
    <w:rsid w:val="00576AFE"/>
    <w:rsid w:val="00576B0F"/>
    <w:rsid w:val="00576DD6"/>
    <w:rsid w:val="0057723D"/>
    <w:rsid w:val="0057769C"/>
    <w:rsid w:val="00577A31"/>
    <w:rsid w:val="00577CB8"/>
    <w:rsid w:val="005803D4"/>
    <w:rsid w:val="00580499"/>
    <w:rsid w:val="00580F71"/>
    <w:rsid w:val="00580FFD"/>
    <w:rsid w:val="00581529"/>
    <w:rsid w:val="00581547"/>
    <w:rsid w:val="0058156F"/>
    <w:rsid w:val="0058199C"/>
    <w:rsid w:val="00581B8B"/>
    <w:rsid w:val="00581D74"/>
    <w:rsid w:val="0058241D"/>
    <w:rsid w:val="0058263D"/>
    <w:rsid w:val="00582E26"/>
    <w:rsid w:val="00582F0F"/>
    <w:rsid w:val="005832C1"/>
    <w:rsid w:val="00583665"/>
    <w:rsid w:val="00584135"/>
    <w:rsid w:val="00584432"/>
    <w:rsid w:val="0058547A"/>
    <w:rsid w:val="0058583F"/>
    <w:rsid w:val="00585895"/>
    <w:rsid w:val="005858BF"/>
    <w:rsid w:val="005859AB"/>
    <w:rsid w:val="00585BD2"/>
    <w:rsid w:val="00585E3E"/>
    <w:rsid w:val="0058600B"/>
    <w:rsid w:val="005860A1"/>
    <w:rsid w:val="0058655A"/>
    <w:rsid w:val="00586679"/>
    <w:rsid w:val="00586810"/>
    <w:rsid w:val="00586E88"/>
    <w:rsid w:val="005876AF"/>
    <w:rsid w:val="00587B86"/>
    <w:rsid w:val="00587DA8"/>
    <w:rsid w:val="005900CE"/>
    <w:rsid w:val="005902DC"/>
    <w:rsid w:val="00590662"/>
    <w:rsid w:val="005909BA"/>
    <w:rsid w:val="00590EAD"/>
    <w:rsid w:val="0059109D"/>
    <w:rsid w:val="00591743"/>
    <w:rsid w:val="00591835"/>
    <w:rsid w:val="00591E2B"/>
    <w:rsid w:val="0059213B"/>
    <w:rsid w:val="005921DB"/>
    <w:rsid w:val="005921F1"/>
    <w:rsid w:val="005923CE"/>
    <w:rsid w:val="005923F9"/>
    <w:rsid w:val="00592467"/>
    <w:rsid w:val="00592A7B"/>
    <w:rsid w:val="00592AC8"/>
    <w:rsid w:val="00592F6D"/>
    <w:rsid w:val="00593075"/>
    <w:rsid w:val="00593085"/>
    <w:rsid w:val="005933CB"/>
    <w:rsid w:val="00593566"/>
    <w:rsid w:val="0059360A"/>
    <w:rsid w:val="005936D0"/>
    <w:rsid w:val="005938B1"/>
    <w:rsid w:val="00593C90"/>
    <w:rsid w:val="00593E4E"/>
    <w:rsid w:val="00593E8C"/>
    <w:rsid w:val="0059401B"/>
    <w:rsid w:val="0059413D"/>
    <w:rsid w:val="005942E5"/>
    <w:rsid w:val="0059445B"/>
    <w:rsid w:val="0059471E"/>
    <w:rsid w:val="005948D5"/>
    <w:rsid w:val="005948F9"/>
    <w:rsid w:val="00594BA6"/>
    <w:rsid w:val="00594E7C"/>
    <w:rsid w:val="00595050"/>
    <w:rsid w:val="005952A4"/>
    <w:rsid w:val="005953C8"/>
    <w:rsid w:val="005955FD"/>
    <w:rsid w:val="0059585D"/>
    <w:rsid w:val="00596065"/>
    <w:rsid w:val="0059659D"/>
    <w:rsid w:val="005974CF"/>
    <w:rsid w:val="0059768C"/>
    <w:rsid w:val="005979AC"/>
    <w:rsid w:val="00597D13"/>
    <w:rsid w:val="00597DAC"/>
    <w:rsid w:val="00597F37"/>
    <w:rsid w:val="005A03ED"/>
    <w:rsid w:val="005A065D"/>
    <w:rsid w:val="005A07A5"/>
    <w:rsid w:val="005A0B61"/>
    <w:rsid w:val="005A0C45"/>
    <w:rsid w:val="005A0CB6"/>
    <w:rsid w:val="005A12DF"/>
    <w:rsid w:val="005A1516"/>
    <w:rsid w:val="005A15A2"/>
    <w:rsid w:val="005A1A95"/>
    <w:rsid w:val="005A1D68"/>
    <w:rsid w:val="005A2088"/>
    <w:rsid w:val="005A213E"/>
    <w:rsid w:val="005A2446"/>
    <w:rsid w:val="005A27D3"/>
    <w:rsid w:val="005A2DC6"/>
    <w:rsid w:val="005A2F92"/>
    <w:rsid w:val="005A3165"/>
    <w:rsid w:val="005A3299"/>
    <w:rsid w:val="005A33C6"/>
    <w:rsid w:val="005A3698"/>
    <w:rsid w:val="005A3940"/>
    <w:rsid w:val="005A3ACE"/>
    <w:rsid w:val="005A3C83"/>
    <w:rsid w:val="005A3F12"/>
    <w:rsid w:val="005A465F"/>
    <w:rsid w:val="005A480A"/>
    <w:rsid w:val="005A51C1"/>
    <w:rsid w:val="005A537A"/>
    <w:rsid w:val="005A5696"/>
    <w:rsid w:val="005A5700"/>
    <w:rsid w:val="005A5DA6"/>
    <w:rsid w:val="005A6070"/>
    <w:rsid w:val="005A665C"/>
    <w:rsid w:val="005A67C5"/>
    <w:rsid w:val="005A6D71"/>
    <w:rsid w:val="005A6E27"/>
    <w:rsid w:val="005A6F5A"/>
    <w:rsid w:val="005A7004"/>
    <w:rsid w:val="005A7A52"/>
    <w:rsid w:val="005A7AAA"/>
    <w:rsid w:val="005A7B7B"/>
    <w:rsid w:val="005A7E0B"/>
    <w:rsid w:val="005B0221"/>
    <w:rsid w:val="005B04DD"/>
    <w:rsid w:val="005B0504"/>
    <w:rsid w:val="005B0BD7"/>
    <w:rsid w:val="005B1076"/>
    <w:rsid w:val="005B13AD"/>
    <w:rsid w:val="005B153F"/>
    <w:rsid w:val="005B24CB"/>
    <w:rsid w:val="005B254C"/>
    <w:rsid w:val="005B2B74"/>
    <w:rsid w:val="005B2C23"/>
    <w:rsid w:val="005B2D47"/>
    <w:rsid w:val="005B2DE9"/>
    <w:rsid w:val="005B366F"/>
    <w:rsid w:val="005B38B8"/>
    <w:rsid w:val="005B39F2"/>
    <w:rsid w:val="005B3B8D"/>
    <w:rsid w:val="005B483B"/>
    <w:rsid w:val="005B49D2"/>
    <w:rsid w:val="005B4FA0"/>
    <w:rsid w:val="005B506B"/>
    <w:rsid w:val="005B56C0"/>
    <w:rsid w:val="005B5796"/>
    <w:rsid w:val="005B5807"/>
    <w:rsid w:val="005B6D54"/>
    <w:rsid w:val="005B71CB"/>
    <w:rsid w:val="005B7387"/>
    <w:rsid w:val="005B765E"/>
    <w:rsid w:val="005B7D7F"/>
    <w:rsid w:val="005C01D8"/>
    <w:rsid w:val="005C0A8D"/>
    <w:rsid w:val="005C0BCD"/>
    <w:rsid w:val="005C0F2D"/>
    <w:rsid w:val="005C152C"/>
    <w:rsid w:val="005C1665"/>
    <w:rsid w:val="005C1AC9"/>
    <w:rsid w:val="005C1B04"/>
    <w:rsid w:val="005C1E6C"/>
    <w:rsid w:val="005C2132"/>
    <w:rsid w:val="005C2154"/>
    <w:rsid w:val="005C26E8"/>
    <w:rsid w:val="005C2D79"/>
    <w:rsid w:val="005C320A"/>
    <w:rsid w:val="005C337F"/>
    <w:rsid w:val="005C33B5"/>
    <w:rsid w:val="005C3681"/>
    <w:rsid w:val="005C3ED0"/>
    <w:rsid w:val="005C4465"/>
    <w:rsid w:val="005C456D"/>
    <w:rsid w:val="005C46C0"/>
    <w:rsid w:val="005C46E1"/>
    <w:rsid w:val="005C4A42"/>
    <w:rsid w:val="005C4B32"/>
    <w:rsid w:val="005C4D4F"/>
    <w:rsid w:val="005C4EF2"/>
    <w:rsid w:val="005C4F47"/>
    <w:rsid w:val="005C4FBB"/>
    <w:rsid w:val="005C51C2"/>
    <w:rsid w:val="005C5347"/>
    <w:rsid w:val="005C56FE"/>
    <w:rsid w:val="005C5B4A"/>
    <w:rsid w:val="005C5D59"/>
    <w:rsid w:val="005C5F50"/>
    <w:rsid w:val="005C60CD"/>
    <w:rsid w:val="005C62E0"/>
    <w:rsid w:val="005C67CF"/>
    <w:rsid w:val="005C67EE"/>
    <w:rsid w:val="005C67FC"/>
    <w:rsid w:val="005C7321"/>
    <w:rsid w:val="005C7346"/>
    <w:rsid w:val="005C735F"/>
    <w:rsid w:val="005C738D"/>
    <w:rsid w:val="005C74AD"/>
    <w:rsid w:val="005C78FE"/>
    <w:rsid w:val="005C7DBE"/>
    <w:rsid w:val="005C7DE6"/>
    <w:rsid w:val="005C7EA9"/>
    <w:rsid w:val="005C7FE5"/>
    <w:rsid w:val="005D041F"/>
    <w:rsid w:val="005D089D"/>
    <w:rsid w:val="005D0D15"/>
    <w:rsid w:val="005D121C"/>
    <w:rsid w:val="005D141E"/>
    <w:rsid w:val="005D14E3"/>
    <w:rsid w:val="005D170F"/>
    <w:rsid w:val="005D1CAB"/>
    <w:rsid w:val="005D1F59"/>
    <w:rsid w:val="005D2268"/>
    <w:rsid w:val="005D22A1"/>
    <w:rsid w:val="005D24AC"/>
    <w:rsid w:val="005D25D8"/>
    <w:rsid w:val="005D292D"/>
    <w:rsid w:val="005D3519"/>
    <w:rsid w:val="005D35BC"/>
    <w:rsid w:val="005D37E5"/>
    <w:rsid w:val="005D3B35"/>
    <w:rsid w:val="005D4027"/>
    <w:rsid w:val="005D42C9"/>
    <w:rsid w:val="005D4569"/>
    <w:rsid w:val="005D4651"/>
    <w:rsid w:val="005D4DF0"/>
    <w:rsid w:val="005D4F34"/>
    <w:rsid w:val="005D506E"/>
    <w:rsid w:val="005D51FB"/>
    <w:rsid w:val="005D53E4"/>
    <w:rsid w:val="005D55A5"/>
    <w:rsid w:val="005D5607"/>
    <w:rsid w:val="005D5F50"/>
    <w:rsid w:val="005D6009"/>
    <w:rsid w:val="005D672D"/>
    <w:rsid w:val="005D67AE"/>
    <w:rsid w:val="005D6EA5"/>
    <w:rsid w:val="005D6EE1"/>
    <w:rsid w:val="005D7022"/>
    <w:rsid w:val="005D72C3"/>
    <w:rsid w:val="005D7869"/>
    <w:rsid w:val="005D7ED0"/>
    <w:rsid w:val="005D7F18"/>
    <w:rsid w:val="005E01ED"/>
    <w:rsid w:val="005E03E0"/>
    <w:rsid w:val="005E0A97"/>
    <w:rsid w:val="005E0ADD"/>
    <w:rsid w:val="005E0DDD"/>
    <w:rsid w:val="005E11D2"/>
    <w:rsid w:val="005E13E3"/>
    <w:rsid w:val="005E17AF"/>
    <w:rsid w:val="005E1AD7"/>
    <w:rsid w:val="005E1D4D"/>
    <w:rsid w:val="005E2BB6"/>
    <w:rsid w:val="005E31A2"/>
    <w:rsid w:val="005E31C9"/>
    <w:rsid w:val="005E3439"/>
    <w:rsid w:val="005E385F"/>
    <w:rsid w:val="005E3ADE"/>
    <w:rsid w:val="005E3D09"/>
    <w:rsid w:val="005E3D33"/>
    <w:rsid w:val="005E3D44"/>
    <w:rsid w:val="005E3F85"/>
    <w:rsid w:val="005E4597"/>
    <w:rsid w:val="005E45B3"/>
    <w:rsid w:val="005E4D06"/>
    <w:rsid w:val="005E5254"/>
    <w:rsid w:val="005E526E"/>
    <w:rsid w:val="005E552B"/>
    <w:rsid w:val="005E556D"/>
    <w:rsid w:val="005E5A6C"/>
    <w:rsid w:val="005E601F"/>
    <w:rsid w:val="005E60AE"/>
    <w:rsid w:val="005E6196"/>
    <w:rsid w:val="005E6278"/>
    <w:rsid w:val="005E657B"/>
    <w:rsid w:val="005E68F3"/>
    <w:rsid w:val="005E7083"/>
    <w:rsid w:val="005E721C"/>
    <w:rsid w:val="005E73F1"/>
    <w:rsid w:val="005E7771"/>
    <w:rsid w:val="005E78DC"/>
    <w:rsid w:val="005E7B2E"/>
    <w:rsid w:val="005E7BE5"/>
    <w:rsid w:val="005F026F"/>
    <w:rsid w:val="005F0584"/>
    <w:rsid w:val="005F07E5"/>
    <w:rsid w:val="005F1243"/>
    <w:rsid w:val="005F180D"/>
    <w:rsid w:val="005F181F"/>
    <w:rsid w:val="005F1B7D"/>
    <w:rsid w:val="005F1C87"/>
    <w:rsid w:val="005F1D15"/>
    <w:rsid w:val="005F20CC"/>
    <w:rsid w:val="005F2245"/>
    <w:rsid w:val="005F2969"/>
    <w:rsid w:val="005F2B9C"/>
    <w:rsid w:val="005F32AB"/>
    <w:rsid w:val="005F374E"/>
    <w:rsid w:val="005F37CA"/>
    <w:rsid w:val="005F40C2"/>
    <w:rsid w:val="005F4237"/>
    <w:rsid w:val="005F43CD"/>
    <w:rsid w:val="005F44EE"/>
    <w:rsid w:val="005F4B9A"/>
    <w:rsid w:val="005F4DC2"/>
    <w:rsid w:val="005F50ED"/>
    <w:rsid w:val="005F5633"/>
    <w:rsid w:val="005F5635"/>
    <w:rsid w:val="005F585B"/>
    <w:rsid w:val="005F5966"/>
    <w:rsid w:val="005F5BA2"/>
    <w:rsid w:val="005F5C05"/>
    <w:rsid w:val="005F5FAB"/>
    <w:rsid w:val="005F5FB0"/>
    <w:rsid w:val="005F62EB"/>
    <w:rsid w:val="005F63DB"/>
    <w:rsid w:val="005F672A"/>
    <w:rsid w:val="005F6C30"/>
    <w:rsid w:val="005F6CCC"/>
    <w:rsid w:val="005F700E"/>
    <w:rsid w:val="005F70FC"/>
    <w:rsid w:val="005F77A3"/>
    <w:rsid w:val="005F792C"/>
    <w:rsid w:val="005F7D38"/>
    <w:rsid w:val="00600097"/>
    <w:rsid w:val="00600269"/>
    <w:rsid w:val="006002B0"/>
    <w:rsid w:val="006006F7"/>
    <w:rsid w:val="00600AF0"/>
    <w:rsid w:val="00600BB5"/>
    <w:rsid w:val="00600CFE"/>
    <w:rsid w:val="00600EB9"/>
    <w:rsid w:val="00601211"/>
    <w:rsid w:val="006013C0"/>
    <w:rsid w:val="006013EC"/>
    <w:rsid w:val="00601448"/>
    <w:rsid w:val="00601961"/>
    <w:rsid w:val="00601C18"/>
    <w:rsid w:val="00602008"/>
    <w:rsid w:val="006021D6"/>
    <w:rsid w:val="006023E1"/>
    <w:rsid w:val="00602451"/>
    <w:rsid w:val="0060262A"/>
    <w:rsid w:val="006027E0"/>
    <w:rsid w:val="00602E4B"/>
    <w:rsid w:val="00603070"/>
    <w:rsid w:val="00603254"/>
    <w:rsid w:val="006034B6"/>
    <w:rsid w:val="00603785"/>
    <w:rsid w:val="006044C0"/>
    <w:rsid w:val="00604992"/>
    <w:rsid w:val="00604F0A"/>
    <w:rsid w:val="00604FBD"/>
    <w:rsid w:val="006053F6"/>
    <w:rsid w:val="006057EB"/>
    <w:rsid w:val="00605A2D"/>
    <w:rsid w:val="00605A4A"/>
    <w:rsid w:val="00605D0E"/>
    <w:rsid w:val="00605E65"/>
    <w:rsid w:val="006062DE"/>
    <w:rsid w:val="006066ED"/>
    <w:rsid w:val="00606898"/>
    <w:rsid w:val="00606A52"/>
    <w:rsid w:val="00606DD1"/>
    <w:rsid w:val="00607107"/>
    <w:rsid w:val="0060715E"/>
    <w:rsid w:val="00607273"/>
    <w:rsid w:val="0060733C"/>
    <w:rsid w:val="00607369"/>
    <w:rsid w:val="006073B6"/>
    <w:rsid w:val="00607655"/>
    <w:rsid w:val="0060769F"/>
    <w:rsid w:val="00607B89"/>
    <w:rsid w:val="00607BA7"/>
    <w:rsid w:val="00607BA8"/>
    <w:rsid w:val="006103DB"/>
    <w:rsid w:val="00610543"/>
    <w:rsid w:val="0061078D"/>
    <w:rsid w:val="00610AE3"/>
    <w:rsid w:val="00610C71"/>
    <w:rsid w:val="00610F4F"/>
    <w:rsid w:val="0061106F"/>
    <w:rsid w:val="006110A4"/>
    <w:rsid w:val="006113D0"/>
    <w:rsid w:val="00611773"/>
    <w:rsid w:val="00611827"/>
    <w:rsid w:val="00611835"/>
    <w:rsid w:val="00611A80"/>
    <w:rsid w:val="00611F7F"/>
    <w:rsid w:val="006120DE"/>
    <w:rsid w:val="006126BB"/>
    <w:rsid w:val="00612754"/>
    <w:rsid w:val="00612A3F"/>
    <w:rsid w:val="00612A51"/>
    <w:rsid w:val="00612E2B"/>
    <w:rsid w:val="00612EB5"/>
    <w:rsid w:val="006131EF"/>
    <w:rsid w:val="0061345C"/>
    <w:rsid w:val="0061350C"/>
    <w:rsid w:val="00613AB5"/>
    <w:rsid w:val="00613ABD"/>
    <w:rsid w:val="00613C4D"/>
    <w:rsid w:val="00613E1A"/>
    <w:rsid w:val="00613EB7"/>
    <w:rsid w:val="00614009"/>
    <w:rsid w:val="00614738"/>
    <w:rsid w:val="0061481F"/>
    <w:rsid w:val="0061493B"/>
    <w:rsid w:val="00614A4F"/>
    <w:rsid w:val="00614DDC"/>
    <w:rsid w:val="00615073"/>
    <w:rsid w:val="00615602"/>
    <w:rsid w:val="00615757"/>
    <w:rsid w:val="00615804"/>
    <w:rsid w:val="00615A78"/>
    <w:rsid w:val="00615AC2"/>
    <w:rsid w:val="00615C11"/>
    <w:rsid w:val="006169EB"/>
    <w:rsid w:val="00616D06"/>
    <w:rsid w:val="00616D0B"/>
    <w:rsid w:val="00617210"/>
    <w:rsid w:val="0061787E"/>
    <w:rsid w:val="00617A51"/>
    <w:rsid w:val="00617A58"/>
    <w:rsid w:val="00617A7D"/>
    <w:rsid w:val="00617DA5"/>
    <w:rsid w:val="00617E05"/>
    <w:rsid w:val="00617F48"/>
    <w:rsid w:val="00620006"/>
    <w:rsid w:val="006201C9"/>
    <w:rsid w:val="00620782"/>
    <w:rsid w:val="00620835"/>
    <w:rsid w:val="0062107D"/>
    <w:rsid w:val="006214C5"/>
    <w:rsid w:val="0062171B"/>
    <w:rsid w:val="006219C3"/>
    <w:rsid w:val="00621B3A"/>
    <w:rsid w:val="0062215E"/>
    <w:rsid w:val="00622179"/>
    <w:rsid w:val="00622297"/>
    <w:rsid w:val="00622389"/>
    <w:rsid w:val="0062280A"/>
    <w:rsid w:val="00622AE9"/>
    <w:rsid w:val="00622B41"/>
    <w:rsid w:val="00622D47"/>
    <w:rsid w:val="0062318D"/>
    <w:rsid w:val="0062328E"/>
    <w:rsid w:val="006232C3"/>
    <w:rsid w:val="006232FC"/>
    <w:rsid w:val="006234ED"/>
    <w:rsid w:val="00623637"/>
    <w:rsid w:val="0062377A"/>
    <w:rsid w:val="006239AB"/>
    <w:rsid w:val="00623A2F"/>
    <w:rsid w:val="00623A44"/>
    <w:rsid w:val="00623DF2"/>
    <w:rsid w:val="00623E1E"/>
    <w:rsid w:val="00623EAC"/>
    <w:rsid w:val="00624132"/>
    <w:rsid w:val="00624398"/>
    <w:rsid w:val="00624457"/>
    <w:rsid w:val="00624ABD"/>
    <w:rsid w:val="00624AEA"/>
    <w:rsid w:val="00624EE6"/>
    <w:rsid w:val="00624FA9"/>
    <w:rsid w:val="0062575E"/>
    <w:rsid w:val="00625795"/>
    <w:rsid w:val="00625FAD"/>
    <w:rsid w:val="00626138"/>
    <w:rsid w:val="0062636F"/>
    <w:rsid w:val="006265EE"/>
    <w:rsid w:val="006268BF"/>
    <w:rsid w:val="006268F8"/>
    <w:rsid w:val="00626DA2"/>
    <w:rsid w:val="00626E9A"/>
    <w:rsid w:val="00626FD4"/>
    <w:rsid w:val="00627425"/>
    <w:rsid w:val="00627738"/>
    <w:rsid w:val="0062774E"/>
    <w:rsid w:val="006277E2"/>
    <w:rsid w:val="006279A5"/>
    <w:rsid w:val="00627B27"/>
    <w:rsid w:val="00627B53"/>
    <w:rsid w:val="00627FA3"/>
    <w:rsid w:val="0063019C"/>
    <w:rsid w:val="00630B90"/>
    <w:rsid w:val="00630EAB"/>
    <w:rsid w:val="00631074"/>
    <w:rsid w:val="00631475"/>
    <w:rsid w:val="006315E6"/>
    <w:rsid w:val="00631A07"/>
    <w:rsid w:val="00631CF1"/>
    <w:rsid w:val="0063232D"/>
    <w:rsid w:val="006323C7"/>
    <w:rsid w:val="0063251B"/>
    <w:rsid w:val="00632530"/>
    <w:rsid w:val="0063273B"/>
    <w:rsid w:val="00632789"/>
    <w:rsid w:val="00632EA2"/>
    <w:rsid w:val="00633228"/>
    <w:rsid w:val="0063343C"/>
    <w:rsid w:val="00633538"/>
    <w:rsid w:val="00633615"/>
    <w:rsid w:val="0063372C"/>
    <w:rsid w:val="00633D37"/>
    <w:rsid w:val="00633D3B"/>
    <w:rsid w:val="00633DDB"/>
    <w:rsid w:val="00633F32"/>
    <w:rsid w:val="0063418A"/>
    <w:rsid w:val="006341FF"/>
    <w:rsid w:val="006345F8"/>
    <w:rsid w:val="00634764"/>
    <w:rsid w:val="006349E7"/>
    <w:rsid w:val="00634C25"/>
    <w:rsid w:val="00634DDA"/>
    <w:rsid w:val="0063500E"/>
    <w:rsid w:val="00635175"/>
    <w:rsid w:val="0063575B"/>
    <w:rsid w:val="006357E9"/>
    <w:rsid w:val="00635A04"/>
    <w:rsid w:val="00635E64"/>
    <w:rsid w:val="00635EF1"/>
    <w:rsid w:val="006361BA"/>
    <w:rsid w:val="006362CE"/>
    <w:rsid w:val="006364D6"/>
    <w:rsid w:val="00636523"/>
    <w:rsid w:val="006368FD"/>
    <w:rsid w:val="00636BAF"/>
    <w:rsid w:val="00636C96"/>
    <w:rsid w:val="00636D76"/>
    <w:rsid w:val="00636E57"/>
    <w:rsid w:val="00637341"/>
    <w:rsid w:val="00637603"/>
    <w:rsid w:val="006376DC"/>
    <w:rsid w:val="00637746"/>
    <w:rsid w:val="00637812"/>
    <w:rsid w:val="00637BB1"/>
    <w:rsid w:val="00637DF6"/>
    <w:rsid w:val="00637F67"/>
    <w:rsid w:val="00640416"/>
    <w:rsid w:val="006404D3"/>
    <w:rsid w:val="00640AF1"/>
    <w:rsid w:val="00640BCB"/>
    <w:rsid w:val="00641049"/>
    <w:rsid w:val="00641058"/>
    <w:rsid w:val="0064117C"/>
    <w:rsid w:val="006411BC"/>
    <w:rsid w:val="006412C2"/>
    <w:rsid w:val="006416F8"/>
    <w:rsid w:val="00641DB0"/>
    <w:rsid w:val="00641EE0"/>
    <w:rsid w:val="00641F0C"/>
    <w:rsid w:val="0064205D"/>
    <w:rsid w:val="00642163"/>
    <w:rsid w:val="006423D3"/>
    <w:rsid w:val="00642616"/>
    <w:rsid w:val="00642C9D"/>
    <w:rsid w:val="006435FA"/>
    <w:rsid w:val="00643A7D"/>
    <w:rsid w:val="00643F27"/>
    <w:rsid w:val="00643FE7"/>
    <w:rsid w:val="006440C5"/>
    <w:rsid w:val="00644166"/>
    <w:rsid w:val="00644249"/>
    <w:rsid w:val="006443B3"/>
    <w:rsid w:val="006446A3"/>
    <w:rsid w:val="0064482E"/>
    <w:rsid w:val="00644875"/>
    <w:rsid w:val="006448F3"/>
    <w:rsid w:val="00644CC7"/>
    <w:rsid w:val="00644CFC"/>
    <w:rsid w:val="0064504D"/>
    <w:rsid w:val="00645551"/>
    <w:rsid w:val="00645552"/>
    <w:rsid w:val="006455D5"/>
    <w:rsid w:val="00645966"/>
    <w:rsid w:val="00645D98"/>
    <w:rsid w:val="00645FB5"/>
    <w:rsid w:val="006462DF"/>
    <w:rsid w:val="00646349"/>
    <w:rsid w:val="00646574"/>
    <w:rsid w:val="0064675E"/>
    <w:rsid w:val="006468F7"/>
    <w:rsid w:val="00646B00"/>
    <w:rsid w:val="00646D66"/>
    <w:rsid w:val="00647195"/>
    <w:rsid w:val="006473F5"/>
    <w:rsid w:val="006474DD"/>
    <w:rsid w:val="006475EC"/>
    <w:rsid w:val="00647D71"/>
    <w:rsid w:val="00647E13"/>
    <w:rsid w:val="0065074D"/>
    <w:rsid w:val="006507CF"/>
    <w:rsid w:val="006508DF"/>
    <w:rsid w:val="006511CD"/>
    <w:rsid w:val="006517EA"/>
    <w:rsid w:val="00651845"/>
    <w:rsid w:val="00651BE4"/>
    <w:rsid w:val="00651BFD"/>
    <w:rsid w:val="00651DCF"/>
    <w:rsid w:val="00652173"/>
    <w:rsid w:val="0065225E"/>
    <w:rsid w:val="00652999"/>
    <w:rsid w:val="00652B40"/>
    <w:rsid w:val="006531C8"/>
    <w:rsid w:val="006532B9"/>
    <w:rsid w:val="006533B0"/>
    <w:rsid w:val="006533B1"/>
    <w:rsid w:val="00653486"/>
    <w:rsid w:val="00653564"/>
    <w:rsid w:val="0065365E"/>
    <w:rsid w:val="006539BE"/>
    <w:rsid w:val="006539C6"/>
    <w:rsid w:val="00653E61"/>
    <w:rsid w:val="0065410C"/>
    <w:rsid w:val="00654423"/>
    <w:rsid w:val="00654482"/>
    <w:rsid w:val="00654C46"/>
    <w:rsid w:val="00654C7F"/>
    <w:rsid w:val="00654D96"/>
    <w:rsid w:val="006550A1"/>
    <w:rsid w:val="0065514C"/>
    <w:rsid w:val="0065607E"/>
    <w:rsid w:val="006565EB"/>
    <w:rsid w:val="006566A6"/>
    <w:rsid w:val="00656776"/>
    <w:rsid w:val="00656DE2"/>
    <w:rsid w:val="00656F74"/>
    <w:rsid w:val="00657101"/>
    <w:rsid w:val="0065719B"/>
    <w:rsid w:val="006571A4"/>
    <w:rsid w:val="006575CF"/>
    <w:rsid w:val="0065763E"/>
    <w:rsid w:val="00657759"/>
    <w:rsid w:val="00657816"/>
    <w:rsid w:val="00657969"/>
    <w:rsid w:val="00657DDC"/>
    <w:rsid w:val="00657E66"/>
    <w:rsid w:val="0066008B"/>
    <w:rsid w:val="0066023D"/>
    <w:rsid w:val="00660264"/>
    <w:rsid w:val="006608A9"/>
    <w:rsid w:val="00660BFF"/>
    <w:rsid w:val="006610D4"/>
    <w:rsid w:val="0066153B"/>
    <w:rsid w:val="00661F3C"/>
    <w:rsid w:val="00661FED"/>
    <w:rsid w:val="006621C2"/>
    <w:rsid w:val="00662265"/>
    <w:rsid w:val="00662BCB"/>
    <w:rsid w:val="00662BE6"/>
    <w:rsid w:val="00662D28"/>
    <w:rsid w:val="00662FDF"/>
    <w:rsid w:val="006631AB"/>
    <w:rsid w:val="0066386C"/>
    <w:rsid w:val="006639CE"/>
    <w:rsid w:val="00663B12"/>
    <w:rsid w:val="006642E1"/>
    <w:rsid w:val="00664426"/>
    <w:rsid w:val="006646C7"/>
    <w:rsid w:val="00664FD2"/>
    <w:rsid w:val="0066579C"/>
    <w:rsid w:val="006657CF"/>
    <w:rsid w:val="0066580F"/>
    <w:rsid w:val="00665CA7"/>
    <w:rsid w:val="00665D8B"/>
    <w:rsid w:val="00665F9D"/>
    <w:rsid w:val="0066656A"/>
    <w:rsid w:val="0066683D"/>
    <w:rsid w:val="00666880"/>
    <w:rsid w:val="00666A85"/>
    <w:rsid w:val="00666A88"/>
    <w:rsid w:val="00666D12"/>
    <w:rsid w:val="0066737F"/>
    <w:rsid w:val="00667F15"/>
    <w:rsid w:val="00670147"/>
    <w:rsid w:val="0067035A"/>
    <w:rsid w:val="006703C9"/>
    <w:rsid w:val="00670CAB"/>
    <w:rsid w:val="00670CCF"/>
    <w:rsid w:val="00670D39"/>
    <w:rsid w:val="006712C5"/>
    <w:rsid w:val="0067153E"/>
    <w:rsid w:val="006718FA"/>
    <w:rsid w:val="00671BAB"/>
    <w:rsid w:val="00671C2D"/>
    <w:rsid w:val="006723FA"/>
    <w:rsid w:val="006725E8"/>
    <w:rsid w:val="0067281C"/>
    <w:rsid w:val="0067299A"/>
    <w:rsid w:val="00672B6B"/>
    <w:rsid w:val="00673045"/>
    <w:rsid w:val="00673529"/>
    <w:rsid w:val="00673564"/>
    <w:rsid w:val="00673668"/>
    <w:rsid w:val="006736F3"/>
    <w:rsid w:val="00673DEB"/>
    <w:rsid w:val="00673F09"/>
    <w:rsid w:val="006745B1"/>
    <w:rsid w:val="00674D00"/>
    <w:rsid w:val="00674FB5"/>
    <w:rsid w:val="0067518A"/>
    <w:rsid w:val="00675351"/>
    <w:rsid w:val="00675919"/>
    <w:rsid w:val="00675A0D"/>
    <w:rsid w:val="00675A9E"/>
    <w:rsid w:val="00675B07"/>
    <w:rsid w:val="00675B23"/>
    <w:rsid w:val="00675B6B"/>
    <w:rsid w:val="00675B8B"/>
    <w:rsid w:val="006760B3"/>
    <w:rsid w:val="00676265"/>
    <w:rsid w:val="0067629A"/>
    <w:rsid w:val="006762C1"/>
    <w:rsid w:val="00676306"/>
    <w:rsid w:val="00676D45"/>
    <w:rsid w:val="00676F85"/>
    <w:rsid w:val="006772DD"/>
    <w:rsid w:val="0067734C"/>
    <w:rsid w:val="0067757D"/>
    <w:rsid w:val="006775C0"/>
    <w:rsid w:val="006779CB"/>
    <w:rsid w:val="00677CCE"/>
    <w:rsid w:val="00680107"/>
    <w:rsid w:val="006805BC"/>
    <w:rsid w:val="00680DC8"/>
    <w:rsid w:val="00680F14"/>
    <w:rsid w:val="006810CF"/>
    <w:rsid w:val="006811E9"/>
    <w:rsid w:val="006815C7"/>
    <w:rsid w:val="00681AB9"/>
    <w:rsid w:val="00681C5B"/>
    <w:rsid w:val="00682119"/>
    <w:rsid w:val="006821C1"/>
    <w:rsid w:val="006823CD"/>
    <w:rsid w:val="00682464"/>
    <w:rsid w:val="00682A03"/>
    <w:rsid w:val="00682D83"/>
    <w:rsid w:val="006830C5"/>
    <w:rsid w:val="006831C1"/>
    <w:rsid w:val="0068323C"/>
    <w:rsid w:val="006836E4"/>
    <w:rsid w:val="006837EB"/>
    <w:rsid w:val="00683C6B"/>
    <w:rsid w:val="00683D5B"/>
    <w:rsid w:val="0068405B"/>
    <w:rsid w:val="006840D0"/>
    <w:rsid w:val="00684140"/>
    <w:rsid w:val="00684497"/>
    <w:rsid w:val="00684890"/>
    <w:rsid w:val="006848CB"/>
    <w:rsid w:val="00684C83"/>
    <w:rsid w:val="00684E13"/>
    <w:rsid w:val="0068525B"/>
    <w:rsid w:val="006852ED"/>
    <w:rsid w:val="0068535B"/>
    <w:rsid w:val="0068540E"/>
    <w:rsid w:val="00685578"/>
    <w:rsid w:val="00685899"/>
    <w:rsid w:val="00685982"/>
    <w:rsid w:val="00685C1D"/>
    <w:rsid w:val="00685D90"/>
    <w:rsid w:val="00685DF2"/>
    <w:rsid w:val="00686098"/>
    <w:rsid w:val="00686146"/>
    <w:rsid w:val="00686292"/>
    <w:rsid w:val="00686431"/>
    <w:rsid w:val="00686885"/>
    <w:rsid w:val="00686AA6"/>
    <w:rsid w:val="00686DA1"/>
    <w:rsid w:val="006873D8"/>
    <w:rsid w:val="00687482"/>
    <w:rsid w:val="00687511"/>
    <w:rsid w:val="00687C8C"/>
    <w:rsid w:val="00687D2E"/>
    <w:rsid w:val="00687E91"/>
    <w:rsid w:val="0069019A"/>
    <w:rsid w:val="0069019F"/>
    <w:rsid w:val="0069042D"/>
    <w:rsid w:val="0069056C"/>
    <w:rsid w:val="006906CC"/>
    <w:rsid w:val="006908BD"/>
    <w:rsid w:val="0069112D"/>
    <w:rsid w:val="0069162C"/>
    <w:rsid w:val="00691A96"/>
    <w:rsid w:val="00691C7C"/>
    <w:rsid w:val="00691E17"/>
    <w:rsid w:val="0069247A"/>
    <w:rsid w:val="0069271B"/>
    <w:rsid w:val="00692BFE"/>
    <w:rsid w:val="00692D0A"/>
    <w:rsid w:val="0069309F"/>
    <w:rsid w:val="006932FB"/>
    <w:rsid w:val="00693412"/>
    <w:rsid w:val="00693463"/>
    <w:rsid w:val="00693717"/>
    <w:rsid w:val="00693AD5"/>
    <w:rsid w:val="00694455"/>
    <w:rsid w:val="00694904"/>
    <w:rsid w:val="00694B23"/>
    <w:rsid w:val="00695099"/>
    <w:rsid w:val="00695134"/>
    <w:rsid w:val="006952B6"/>
    <w:rsid w:val="00695636"/>
    <w:rsid w:val="00695CC7"/>
    <w:rsid w:val="00695D7E"/>
    <w:rsid w:val="00695DD3"/>
    <w:rsid w:val="00695DF9"/>
    <w:rsid w:val="00695EA7"/>
    <w:rsid w:val="006961B5"/>
    <w:rsid w:val="0069631C"/>
    <w:rsid w:val="0069641D"/>
    <w:rsid w:val="006965B4"/>
    <w:rsid w:val="006969A7"/>
    <w:rsid w:val="00696A16"/>
    <w:rsid w:val="00696BD7"/>
    <w:rsid w:val="00696C9E"/>
    <w:rsid w:val="00697135"/>
    <w:rsid w:val="0069757F"/>
    <w:rsid w:val="0069765E"/>
    <w:rsid w:val="006979FA"/>
    <w:rsid w:val="00697B0A"/>
    <w:rsid w:val="00697BD9"/>
    <w:rsid w:val="00697D3E"/>
    <w:rsid w:val="006A01F5"/>
    <w:rsid w:val="006A023F"/>
    <w:rsid w:val="006A05DD"/>
    <w:rsid w:val="006A06C1"/>
    <w:rsid w:val="006A077C"/>
    <w:rsid w:val="006A08D4"/>
    <w:rsid w:val="006A11D8"/>
    <w:rsid w:val="006A17CF"/>
    <w:rsid w:val="006A187D"/>
    <w:rsid w:val="006A18CB"/>
    <w:rsid w:val="006A1C99"/>
    <w:rsid w:val="006A1D47"/>
    <w:rsid w:val="006A1FA1"/>
    <w:rsid w:val="006A22DB"/>
    <w:rsid w:val="006A22E9"/>
    <w:rsid w:val="006A2A3C"/>
    <w:rsid w:val="006A2C09"/>
    <w:rsid w:val="006A2C22"/>
    <w:rsid w:val="006A2F63"/>
    <w:rsid w:val="006A36A1"/>
    <w:rsid w:val="006A393A"/>
    <w:rsid w:val="006A3C2D"/>
    <w:rsid w:val="006A3E2B"/>
    <w:rsid w:val="006A3F77"/>
    <w:rsid w:val="006A41CE"/>
    <w:rsid w:val="006A43A9"/>
    <w:rsid w:val="006A474E"/>
    <w:rsid w:val="006A48D8"/>
    <w:rsid w:val="006A4B07"/>
    <w:rsid w:val="006A4C5A"/>
    <w:rsid w:val="006A4E4E"/>
    <w:rsid w:val="006A4EE9"/>
    <w:rsid w:val="006A4F58"/>
    <w:rsid w:val="006A4F6E"/>
    <w:rsid w:val="006A4FF9"/>
    <w:rsid w:val="006A50C4"/>
    <w:rsid w:val="006A534C"/>
    <w:rsid w:val="006A550E"/>
    <w:rsid w:val="006A5A13"/>
    <w:rsid w:val="006A5CD7"/>
    <w:rsid w:val="006A5E6B"/>
    <w:rsid w:val="006A6006"/>
    <w:rsid w:val="006A652C"/>
    <w:rsid w:val="006A6D84"/>
    <w:rsid w:val="006A6E23"/>
    <w:rsid w:val="006A701A"/>
    <w:rsid w:val="006A7208"/>
    <w:rsid w:val="006A75A4"/>
    <w:rsid w:val="006A7D3B"/>
    <w:rsid w:val="006B012A"/>
    <w:rsid w:val="006B0206"/>
    <w:rsid w:val="006B0300"/>
    <w:rsid w:val="006B0491"/>
    <w:rsid w:val="006B07C8"/>
    <w:rsid w:val="006B08CB"/>
    <w:rsid w:val="006B0BA4"/>
    <w:rsid w:val="006B0C00"/>
    <w:rsid w:val="006B1185"/>
    <w:rsid w:val="006B1921"/>
    <w:rsid w:val="006B1DAC"/>
    <w:rsid w:val="006B1E56"/>
    <w:rsid w:val="006B1EC3"/>
    <w:rsid w:val="006B1F3F"/>
    <w:rsid w:val="006B1F99"/>
    <w:rsid w:val="006B2260"/>
    <w:rsid w:val="006B2298"/>
    <w:rsid w:val="006B25C9"/>
    <w:rsid w:val="006B277D"/>
    <w:rsid w:val="006B2A44"/>
    <w:rsid w:val="006B2C70"/>
    <w:rsid w:val="006B2E54"/>
    <w:rsid w:val="006B2FD0"/>
    <w:rsid w:val="006B380E"/>
    <w:rsid w:val="006B39A9"/>
    <w:rsid w:val="006B3A42"/>
    <w:rsid w:val="006B3CF1"/>
    <w:rsid w:val="006B4683"/>
    <w:rsid w:val="006B5100"/>
    <w:rsid w:val="006B5147"/>
    <w:rsid w:val="006B5805"/>
    <w:rsid w:val="006B614C"/>
    <w:rsid w:val="006B6579"/>
    <w:rsid w:val="006B6773"/>
    <w:rsid w:val="006B6790"/>
    <w:rsid w:val="006B6B08"/>
    <w:rsid w:val="006B7068"/>
    <w:rsid w:val="006B735A"/>
    <w:rsid w:val="006B735D"/>
    <w:rsid w:val="006B756D"/>
    <w:rsid w:val="006B7605"/>
    <w:rsid w:val="006B7703"/>
    <w:rsid w:val="006B7711"/>
    <w:rsid w:val="006B7978"/>
    <w:rsid w:val="006B79E2"/>
    <w:rsid w:val="006B7DFA"/>
    <w:rsid w:val="006B7E7B"/>
    <w:rsid w:val="006C00CE"/>
    <w:rsid w:val="006C01FA"/>
    <w:rsid w:val="006C0772"/>
    <w:rsid w:val="006C080E"/>
    <w:rsid w:val="006C0852"/>
    <w:rsid w:val="006C0903"/>
    <w:rsid w:val="006C0943"/>
    <w:rsid w:val="006C09EC"/>
    <w:rsid w:val="006C0F89"/>
    <w:rsid w:val="006C13B0"/>
    <w:rsid w:val="006C18A5"/>
    <w:rsid w:val="006C1ADD"/>
    <w:rsid w:val="006C1BB9"/>
    <w:rsid w:val="006C1E96"/>
    <w:rsid w:val="006C248D"/>
    <w:rsid w:val="006C24AB"/>
    <w:rsid w:val="006C29B3"/>
    <w:rsid w:val="006C2A19"/>
    <w:rsid w:val="006C2EF1"/>
    <w:rsid w:val="006C2F57"/>
    <w:rsid w:val="006C322C"/>
    <w:rsid w:val="006C33E0"/>
    <w:rsid w:val="006C37A0"/>
    <w:rsid w:val="006C39AF"/>
    <w:rsid w:val="006C4953"/>
    <w:rsid w:val="006C4959"/>
    <w:rsid w:val="006C4982"/>
    <w:rsid w:val="006C52CA"/>
    <w:rsid w:val="006C5442"/>
    <w:rsid w:val="006C59C3"/>
    <w:rsid w:val="006C5BFB"/>
    <w:rsid w:val="006C5D22"/>
    <w:rsid w:val="006C5FC8"/>
    <w:rsid w:val="006C6289"/>
    <w:rsid w:val="006C6975"/>
    <w:rsid w:val="006C6A8C"/>
    <w:rsid w:val="006C6E33"/>
    <w:rsid w:val="006C6EAA"/>
    <w:rsid w:val="006C724A"/>
    <w:rsid w:val="006C777A"/>
    <w:rsid w:val="006C786C"/>
    <w:rsid w:val="006C7B47"/>
    <w:rsid w:val="006C7BBC"/>
    <w:rsid w:val="006C7C8E"/>
    <w:rsid w:val="006C7E03"/>
    <w:rsid w:val="006C7F2C"/>
    <w:rsid w:val="006D0123"/>
    <w:rsid w:val="006D0155"/>
    <w:rsid w:val="006D0779"/>
    <w:rsid w:val="006D0A93"/>
    <w:rsid w:val="006D0E3B"/>
    <w:rsid w:val="006D10B6"/>
    <w:rsid w:val="006D11DC"/>
    <w:rsid w:val="006D14D5"/>
    <w:rsid w:val="006D177C"/>
    <w:rsid w:val="006D186A"/>
    <w:rsid w:val="006D1A49"/>
    <w:rsid w:val="006D1C5D"/>
    <w:rsid w:val="006D1D50"/>
    <w:rsid w:val="006D2878"/>
    <w:rsid w:val="006D2A10"/>
    <w:rsid w:val="006D2F81"/>
    <w:rsid w:val="006D3489"/>
    <w:rsid w:val="006D389B"/>
    <w:rsid w:val="006D3969"/>
    <w:rsid w:val="006D3B9E"/>
    <w:rsid w:val="006D3CF2"/>
    <w:rsid w:val="006D3E0C"/>
    <w:rsid w:val="006D413C"/>
    <w:rsid w:val="006D4338"/>
    <w:rsid w:val="006D43D3"/>
    <w:rsid w:val="006D4448"/>
    <w:rsid w:val="006D4464"/>
    <w:rsid w:val="006D4665"/>
    <w:rsid w:val="006D4756"/>
    <w:rsid w:val="006D4825"/>
    <w:rsid w:val="006D487C"/>
    <w:rsid w:val="006D4A8F"/>
    <w:rsid w:val="006D4FAC"/>
    <w:rsid w:val="006D51AE"/>
    <w:rsid w:val="006D51B0"/>
    <w:rsid w:val="006D53FB"/>
    <w:rsid w:val="006D5897"/>
    <w:rsid w:val="006D58B4"/>
    <w:rsid w:val="006D58E4"/>
    <w:rsid w:val="006D5ED5"/>
    <w:rsid w:val="006D60B2"/>
    <w:rsid w:val="006D641D"/>
    <w:rsid w:val="006D6525"/>
    <w:rsid w:val="006D654F"/>
    <w:rsid w:val="006D663D"/>
    <w:rsid w:val="006D666A"/>
    <w:rsid w:val="006D66D9"/>
    <w:rsid w:val="006D6895"/>
    <w:rsid w:val="006D6B0F"/>
    <w:rsid w:val="006D6EA5"/>
    <w:rsid w:val="006D7355"/>
    <w:rsid w:val="006D74C3"/>
    <w:rsid w:val="006D7591"/>
    <w:rsid w:val="006D763B"/>
    <w:rsid w:val="006D77E0"/>
    <w:rsid w:val="006D7A2B"/>
    <w:rsid w:val="006D7BBC"/>
    <w:rsid w:val="006E01C4"/>
    <w:rsid w:val="006E034F"/>
    <w:rsid w:val="006E0443"/>
    <w:rsid w:val="006E0696"/>
    <w:rsid w:val="006E08C9"/>
    <w:rsid w:val="006E0BBD"/>
    <w:rsid w:val="006E0E89"/>
    <w:rsid w:val="006E0F65"/>
    <w:rsid w:val="006E0F94"/>
    <w:rsid w:val="006E0FF8"/>
    <w:rsid w:val="006E113F"/>
    <w:rsid w:val="006E1243"/>
    <w:rsid w:val="006E13B7"/>
    <w:rsid w:val="006E1416"/>
    <w:rsid w:val="006E14C1"/>
    <w:rsid w:val="006E1510"/>
    <w:rsid w:val="006E1546"/>
    <w:rsid w:val="006E1E1A"/>
    <w:rsid w:val="006E25C7"/>
    <w:rsid w:val="006E2975"/>
    <w:rsid w:val="006E2C1F"/>
    <w:rsid w:val="006E2D9C"/>
    <w:rsid w:val="006E333E"/>
    <w:rsid w:val="006E38D4"/>
    <w:rsid w:val="006E3994"/>
    <w:rsid w:val="006E3B0B"/>
    <w:rsid w:val="006E427C"/>
    <w:rsid w:val="006E486E"/>
    <w:rsid w:val="006E4C75"/>
    <w:rsid w:val="006E50E3"/>
    <w:rsid w:val="006E517D"/>
    <w:rsid w:val="006E5D8B"/>
    <w:rsid w:val="006E5F57"/>
    <w:rsid w:val="006E621C"/>
    <w:rsid w:val="006E6F89"/>
    <w:rsid w:val="006E748B"/>
    <w:rsid w:val="006E75E5"/>
    <w:rsid w:val="006E7CA2"/>
    <w:rsid w:val="006F01CB"/>
    <w:rsid w:val="006F0940"/>
    <w:rsid w:val="006F0AAF"/>
    <w:rsid w:val="006F0E66"/>
    <w:rsid w:val="006F0F6C"/>
    <w:rsid w:val="006F114D"/>
    <w:rsid w:val="006F191D"/>
    <w:rsid w:val="006F19A1"/>
    <w:rsid w:val="006F1AC0"/>
    <w:rsid w:val="006F252B"/>
    <w:rsid w:val="006F2A83"/>
    <w:rsid w:val="006F2DFC"/>
    <w:rsid w:val="006F3307"/>
    <w:rsid w:val="006F3342"/>
    <w:rsid w:val="006F39CB"/>
    <w:rsid w:val="006F3D89"/>
    <w:rsid w:val="006F4139"/>
    <w:rsid w:val="006F41FF"/>
    <w:rsid w:val="006F445D"/>
    <w:rsid w:val="006F4523"/>
    <w:rsid w:val="006F4A54"/>
    <w:rsid w:val="006F4F21"/>
    <w:rsid w:val="006F522B"/>
    <w:rsid w:val="006F5345"/>
    <w:rsid w:val="006F5662"/>
    <w:rsid w:val="006F59AF"/>
    <w:rsid w:val="006F5A2D"/>
    <w:rsid w:val="006F5CBE"/>
    <w:rsid w:val="006F5F5F"/>
    <w:rsid w:val="006F6628"/>
    <w:rsid w:val="006F6C88"/>
    <w:rsid w:val="006F6E1F"/>
    <w:rsid w:val="006F6E6A"/>
    <w:rsid w:val="006F729B"/>
    <w:rsid w:val="006F778A"/>
    <w:rsid w:val="006F7BFC"/>
    <w:rsid w:val="006F7F65"/>
    <w:rsid w:val="006F7FAA"/>
    <w:rsid w:val="00700129"/>
    <w:rsid w:val="0070028B"/>
    <w:rsid w:val="0070032C"/>
    <w:rsid w:val="007004B7"/>
    <w:rsid w:val="007005FD"/>
    <w:rsid w:val="007006BF"/>
    <w:rsid w:val="00700ACC"/>
    <w:rsid w:val="00701865"/>
    <w:rsid w:val="00701D87"/>
    <w:rsid w:val="00701E84"/>
    <w:rsid w:val="00702127"/>
    <w:rsid w:val="007021EE"/>
    <w:rsid w:val="00702462"/>
    <w:rsid w:val="00702669"/>
    <w:rsid w:val="007029C1"/>
    <w:rsid w:val="00702B1E"/>
    <w:rsid w:val="00702D67"/>
    <w:rsid w:val="00703204"/>
    <w:rsid w:val="00703359"/>
    <w:rsid w:val="007034D0"/>
    <w:rsid w:val="00703548"/>
    <w:rsid w:val="00703BF5"/>
    <w:rsid w:val="007041A6"/>
    <w:rsid w:val="007043B7"/>
    <w:rsid w:val="007046D5"/>
    <w:rsid w:val="00704805"/>
    <w:rsid w:val="00704959"/>
    <w:rsid w:val="007049F2"/>
    <w:rsid w:val="00704A4D"/>
    <w:rsid w:val="00704FF0"/>
    <w:rsid w:val="00705A5A"/>
    <w:rsid w:val="00705E8C"/>
    <w:rsid w:val="00705F16"/>
    <w:rsid w:val="007061AF"/>
    <w:rsid w:val="007061EA"/>
    <w:rsid w:val="007062B1"/>
    <w:rsid w:val="007067E8"/>
    <w:rsid w:val="007070A7"/>
    <w:rsid w:val="00707389"/>
    <w:rsid w:val="007075D5"/>
    <w:rsid w:val="007075DE"/>
    <w:rsid w:val="0070766E"/>
    <w:rsid w:val="0070777E"/>
    <w:rsid w:val="007077B1"/>
    <w:rsid w:val="0070796A"/>
    <w:rsid w:val="0071004D"/>
    <w:rsid w:val="007101A3"/>
    <w:rsid w:val="007103F6"/>
    <w:rsid w:val="00710676"/>
    <w:rsid w:val="007107DE"/>
    <w:rsid w:val="00710DDD"/>
    <w:rsid w:val="00710E8F"/>
    <w:rsid w:val="00711412"/>
    <w:rsid w:val="0071149E"/>
    <w:rsid w:val="00711647"/>
    <w:rsid w:val="00711755"/>
    <w:rsid w:val="007118D8"/>
    <w:rsid w:val="00711F9B"/>
    <w:rsid w:val="00712BD4"/>
    <w:rsid w:val="00712BE1"/>
    <w:rsid w:val="0071317F"/>
    <w:rsid w:val="007132E8"/>
    <w:rsid w:val="00713469"/>
    <w:rsid w:val="00713651"/>
    <w:rsid w:val="00713A8F"/>
    <w:rsid w:val="007140D9"/>
    <w:rsid w:val="0071434A"/>
    <w:rsid w:val="0071443B"/>
    <w:rsid w:val="0071478F"/>
    <w:rsid w:val="0071485A"/>
    <w:rsid w:val="00714A27"/>
    <w:rsid w:val="00714BD1"/>
    <w:rsid w:val="007156B8"/>
    <w:rsid w:val="00715873"/>
    <w:rsid w:val="007160E0"/>
    <w:rsid w:val="007169D3"/>
    <w:rsid w:val="00716EE9"/>
    <w:rsid w:val="007175E5"/>
    <w:rsid w:val="0071773F"/>
    <w:rsid w:val="007177DA"/>
    <w:rsid w:val="00717947"/>
    <w:rsid w:val="00717C86"/>
    <w:rsid w:val="00717CD9"/>
    <w:rsid w:val="00717DCE"/>
    <w:rsid w:val="00717DFB"/>
    <w:rsid w:val="00717FAD"/>
    <w:rsid w:val="00717FC3"/>
    <w:rsid w:val="00720155"/>
    <w:rsid w:val="0072029F"/>
    <w:rsid w:val="007202BB"/>
    <w:rsid w:val="00720698"/>
    <w:rsid w:val="0072079F"/>
    <w:rsid w:val="00720950"/>
    <w:rsid w:val="0072097E"/>
    <w:rsid w:val="00720D69"/>
    <w:rsid w:val="00720EFB"/>
    <w:rsid w:val="007212D2"/>
    <w:rsid w:val="00721727"/>
    <w:rsid w:val="00721E7B"/>
    <w:rsid w:val="007221A6"/>
    <w:rsid w:val="0072230D"/>
    <w:rsid w:val="007223D9"/>
    <w:rsid w:val="0072253E"/>
    <w:rsid w:val="00722E0C"/>
    <w:rsid w:val="0072316F"/>
    <w:rsid w:val="00723BDE"/>
    <w:rsid w:val="00724024"/>
    <w:rsid w:val="00724512"/>
    <w:rsid w:val="00724942"/>
    <w:rsid w:val="0072504B"/>
    <w:rsid w:val="00725437"/>
    <w:rsid w:val="007261C6"/>
    <w:rsid w:val="00726258"/>
    <w:rsid w:val="007262E4"/>
    <w:rsid w:val="0072641E"/>
    <w:rsid w:val="00726648"/>
    <w:rsid w:val="007271D1"/>
    <w:rsid w:val="007273BE"/>
    <w:rsid w:val="00727884"/>
    <w:rsid w:val="00727AB0"/>
    <w:rsid w:val="00727D03"/>
    <w:rsid w:val="00727F59"/>
    <w:rsid w:val="007301EB"/>
    <w:rsid w:val="007302E5"/>
    <w:rsid w:val="00730BE0"/>
    <w:rsid w:val="00730BE9"/>
    <w:rsid w:val="00731029"/>
    <w:rsid w:val="007310EF"/>
    <w:rsid w:val="0073118B"/>
    <w:rsid w:val="007315A0"/>
    <w:rsid w:val="00731BCF"/>
    <w:rsid w:val="007323B4"/>
    <w:rsid w:val="00732437"/>
    <w:rsid w:val="00732884"/>
    <w:rsid w:val="00732957"/>
    <w:rsid w:val="00732B43"/>
    <w:rsid w:val="00732E21"/>
    <w:rsid w:val="00732F5D"/>
    <w:rsid w:val="007330AE"/>
    <w:rsid w:val="007333AA"/>
    <w:rsid w:val="007337F1"/>
    <w:rsid w:val="007338EB"/>
    <w:rsid w:val="0073414A"/>
    <w:rsid w:val="007342D2"/>
    <w:rsid w:val="007342DE"/>
    <w:rsid w:val="007345DD"/>
    <w:rsid w:val="007345E4"/>
    <w:rsid w:val="007348B1"/>
    <w:rsid w:val="00734A89"/>
    <w:rsid w:val="00734BD5"/>
    <w:rsid w:val="0073502F"/>
    <w:rsid w:val="0073582F"/>
    <w:rsid w:val="00735A4E"/>
    <w:rsid w:val="00735CD5"/>
    <w:rsid w:val="00735EA8"/>
    <w:rsid w:val="00735EFF"/>
    <w:rsid w:val="007361E7"/>
    <w:rsid w:val="007366AC"/>
    <w:rsid w:val="00736725"/>
    <w:rsid w:val="00736842"/>
    <w:rsid w:val="00736AA8"/>
    <w:rsid w:val="00736D0F"/>
    <w:rsid w:val="007370D4"/>
    <w:rsid w:val="00737457"/>
    <w:rsid w:val="0073780D"/>
    <w:rsid w:val="00737B02"/>
    <w:rsid w:val="00737C74"/>
    <w:rsid w:val="00737D57"/>
    <w:rsid w:val="007401E3"/>
    <w:rsid w:val="0074066B"/>
    <w:rsid w:val="007406AE"/>
    <w:rsid w:val="00740D7E"/>
    <w:rsid w:val="00740E36"/>
    <w:rsid w:val="00740FFE"/>
    <w:rsid w:val="00741000"/>
    <w:rsid w:val="0074149B"/>
    <w:rsid w:val="00741977"/>
    <w:rsid w:val="0074218F"/>
    <w:rsid w:val="007421BA"/>
    <w:rsid w:val="0074252A"/>
    <w:rsid w:val="0074271A"/>
    <w:rsid w:val="007428C2"/>
    <w:rsid w:val="00742AF4"/>
    <w:rsid w:val="007435EC"/>
    <w:rsid w:val="0074364D"/>
    <w:rsid w:val="007436D5"/>
    <w:rsid w:val="007437BE"/>
    <w:rsid w:val="007439A6"/>
    <w:rsid w:val="007439CB"/>
    <w:rsid w:val="00743C8E"/>
    <w:rsid w:val="00744610"/>
    <w:rsid w:val="00744879"/>
    <w:rsid w:val="007448C8"/>
    <w:rsid w:val="007449AA"/>
    <w:rsid w:val="00744AA6"/>
    <w:rsid w:val="00744B32"/>
    <w:rsid w:val="007452BB"/>
    <w:rsid w:val="00745366"/>
    <w:rsid w:val="0074567C"/>
    <w:rsid w:val="007456F6"/>
    <w:rsid w:val="00745714"/>
    <w:rsid w:val="00745DD8"/>
    <w:rsid w:val="00745E35"/>
    <w:rsid w:val="007461BD"/>
    <w:rsid w:val="00746E5A"/>
    <w:rsid w:val="00746F1F"/>
    <w:rsid w:val="0074742B"/>
    <w:rsid w:val="0074770D"/>
    <w:rsid w:val="00747840"/>
    <w:rsid w:val="00747887"/>
    <w:rsid w:val="00747B34"/>
    <w:rsid w:val="00750976"/>
    <w:rsid w:val="00750D80"/>
    <w:rsid w:val="00751773"/>
    <w:rsid w:val="007519F9"/>
    <w:rsid w:val="00751AA7"/>
    <w:rsid w:val="00751B3C"/>
    <w:rsid w:val="00751DEA"/>
    <w:rsid w:val="007525DA"/>
    <w:rsid w:val="00752727"/>
    <w:rsid w:val="00752987"/>
    <w:rsid w:val="007529B1"/>
    <w:rsid w:val="00752D67"/>
    <w:rsid w:val="007536F8"/>
    <w:rsid w:val="00753878"/>
    <w:rsid w:val="00753C18"/>
    <w:rsid w:val="00753E7F"/>
    <w:rsid w:val="007540A0"/>
    <w:rsid w:val="00754285"/>
    <w:rsid w:val="007542E0"/>
    <w:rsid w:val="00754530"/>
    <w:rsid w:val="00754639"/>
    <w:rsid w:val="0075491A"/>
    <w:rsid w:val="00754D31"/>
    <w:rsid w:val="00754D5C"/>
    <w:rsid w:val="0075514E"/>
    <w:rsid w:val="0075537B"/>
    <w:rsid w:val="00755444"/>
    <w:rsid w:val="007555AC"/>
    <w:rsid w:val="00755CF4"/>
    <w:rsid w:val="00755DC0"/>
    <w:rsid w:val="00755F67"/>
    <w:rsid w:val="0075684E"/>
    <w:rsid w:val="00756A71"/>
    <w:rsid w:val="007571F6"/>
    <w:rsid w:val="007573EA"/>
    <w:rsid w:val="00757683"/>
    <w:rsid w:val="00757A79"/>
    <w:rsid w:val="00757AE0"/>
    <w:rsid w:val="00757FA6"/>
    <w:rsid w:val="007604D0"/>
    <w:rsid w:val="007605A0"/>
    <w:rsid w:val="007606C1"/>
    <w:rsid w:val="00760938"/>
    <w:rsid w:val="00760A00"/>
    <w:rsid w:val="00760D4B"/>
    <w:rsid w:val="00761275"/>
    <w:rsid w:val="007613A7"/>
    <w:rsid w:val="007613C0"/>
    <w:rsid w:val="00761920"/>
    <w:rsid w:val="00761A5C"/>
    <w:rsid w:val="00761E77"/>
    <w:rsid w:val="00761E83"/>
    <w:rsid w:val="00762003"/>
    <w:rsid w:val="0076201E"/>
    <w:rsid w:val="00762615"/>
    <w:rsid w:val="00762757"/>
    <w:rsid w:val="00762A91"/>
    <w:rsid w:val="00762B1D"/>
    <w:rsid w:val="00762B1E"/>
    <w:rsid w:val="00762C1E"/>
    <w:rsid w:val="00762DC3"/>
    <w:rsid w:val="0076304E"/>
    <w:rsid w:val="00763181"/>
    <w:rsid w:val="00763472"/>
    <w:rsid w:val="00763830"/>
    <w:rsid w:val="00763835"/>
    <w:rsid w:val="00763F8C"/>
    <w:rsid w:val="0076450C"/>
    <w:rsid w:val="00764548"/>
    <w:rsid w:val="00764AAE"/>
    <w:rsid w:val="00764C56"/>
    <w:rsid w:val="00765C55"/>
    <w:rsid w:val="00765EE4"/>
    <w:rsid w:val="00765F75"/>
    <w:rsid w:val="007668AE"/>
    <w:rsid w:val="007670EE"/>
    <w:rsid w:val="00767349"/>
    <w:rsid w:val="007673BC"/>
    <w:rsid w:val="00767679"/>
    <w:rsid w:val="00767767"/>
    <w:rsid w:val="00767906"/>
    <w:rsid w:val="00767941"/>
    <w:rsid w:val="00767E76"/>
    <w:rsid w:val="007706CB"/>
    <w:rsid w:val="007708F3"/>
    <w:rsid w:val="007709A4"/>
    <w:rsid w:val="00770B44"/>
    <w:rsid w:val="00770D58"/>
    <w:rsid w:val="00770FE1"/>
    <w:rsid w:val="0077101A"/>
    <w:rsid w:val="00771385"/>
    <w:rsid w:val="007713F3"/>
    <w:rsid w:val="0077148C"/>
    <w:rsid w:val="0077168A"/>
    <w:rsid w:val="00771697"/>
    <w:rsid w:val="00771803"/>
    <w:rsid w:val="00771988"/>
    <w:rsid w:val="007719D8"/>
    <w:rsid w:val="00771A73"/>
    <w:rsid w:val="00771A9B"/>
    <w:rsid w:val="00771D9B"/>
    <w:rsid w:val="00772197"/>
    <w:rsid w:val="007722B1"/>
    <w:rsid w:val="0077244B"/>
    <w:rsid w:val="00772597"/>
    <w:rsid w:val="0077261B"/>
    <w:rsid w:val="0077295A"/>
    <w:rsid w:val="00772A62"/>
    <w:rsid w:val="00772D51"/>
    <w:rsid w:val="00772E68"/>
    <w:rsid w:val="0077329D"/>
    <w:rsid w:val="0077378A"/>
    <w:rsid w:val="00773AAA"/>
    <w:rsid w:val="00773E7F"/>
    <w:rsid w:val="00773F25"/>
    <w:rsid w:val="00773FAC"/>
    <w:rsid w:val="007740F9"/>
    <w:rsid w:val="0077414D"/>
    <w:rsid w:val="00774309"/>
    <w:rsid w:val="007743B1"/>
    <w:rsid w:val="0077461F"/>
    <w:rsid w:val="0077490C"/>
    <w:rsid w:val="00774A55"/>
    <w:rsid w:val="00774CB8"/>
    <w:rsid w:val="007755A5"/>
    <w:rsid w:val="0077580F"/>
    <w:rsid w:val="00775984"/>
    <w:rsid w:val="00775A61"/>
    <w:rsid w:val="00775D25"/>
    <w:rsid w:val="007761A4"/>
    <w:rsid w:val="0077640B"/>
    <w:rsid w:val="007764EF"/>
    <w:rsid w:val="00776571"/>
    <w:rsid w:val="0077694A"/>
    <w:rsid w:val="00776BFC"/>
    <w:rsid w:val="00776CF3"/>
    <w:rsid w:val="00776D53"/>
    <w:rsid w:val="00776F65"/>
    <w:rsid w:val="0077701F"/>
    <w:rsid w:val="0077740B"/>
    <w:rsid w:val="00777898"/>
    <w:rsid w:val="007778D2"/>
    <w:rsid w:val="007779F4"/>
    <w:rsid w:val="00777BB1"/>
    <w:rsid w:val="00777CCA"/>
    <w:rsid w:val="00780319"/>
    <w:rsid w:val="00780543"/>
    <w:rsid w:val="0078063C"/>
    <w:rsid w:val="00780837"/>
    <w:rsid w:val="0078096C"/>
    <w:rsid w:val="00780A48"/>
    <w:rsid w:val="00780DF5"/>
    <w:rsid w:val="00780FE7"/>
    <w:rsid w:val="00781599"/>
    <w:rsid w:val="0078163A"/>
    <w:rsid w:val="007817ED"/>
    <w:rsid w:val="00781F3A"/>
    <w:rsid w:val="00781FBC"/>
    <w:rsid w:val="007822E9"/>
    <w:rsid w:val="00782604"/>
    <w:rsid w:val="007828D0"/>
    <w:rsid w:val="007828FC"/>
    <w:rsid w:val="00782981"/>
    <w:rsid w:val="0078298D"/>
    <w:rsid w:val="00782AAB"/>
    <w:rsid w:val="00782D9F"/>
    <w:rsid w:val="007830DB"/>
    <w:rsid w:val="00783153"/>
    <w:rsid w:val="007832E3"/>
    <w:rsid w:val="007835E9"/>
    <w:rsid w:val="00783AA8"/>
    <w:rsid w:val="00783F70"/>
    <w:rsid w:val="00783F93"/>
    <w:rsid w:val="00784148"/>
    <w:rsid w:val="00784238"/>
    <w:rsid w:val="0078425F"/>
    <w:rsid w:val="00784462"/>
    <w:rsid w:val="00784A16"/>
    <w:rsid w:val="00784A27"/>
    <w:rsid w:val="00784BBD"/>
    <w:rsid w:val="00784D86"/>
    <w:rsid w:val="0078513C"/>
    <w:rsid w:val="0078537C"/>
    <w:rsid w:val="007854CE"/>
    <w:rsid w:val="007854E0"/>
    <w:rsid w:val="007855A6"/>
    <w:rsid w:val="0078591C"/>
    <w:rsid w:val="00785C03"/>
    <w:rsid w:val="00785C09"/>
    <w:rsid w:val="00785D6B"/>
    <w:rsid w:val="00785F8C"/>
    <w:rsid w:val="00786353"/>
    <w:rsid w:val="0078644B"/>
    <w:rsid w:val="0078679F"/>
    <w:rsid w:val="0078690B"/>
    <w:rsid w:val="00786DB9"/>
    <w:rsid w:val="00786E86"/>
    <w:rsid w:val="00786EF3"/>
    <w:rsid w:val="007876BF"/>
    <w:rsid w:val="007877BF"/>
    <w:rsid w:val="00787BBB"/>
    <w:rsid w:val="00787E6A"/>
    <w:rsid w:val="00790B80"/>
    <w:rsid w:val="00790E1D"/>
    <w:rsid w:val="00791171"/>
    <w:rsid w:val="00791173"/>
    <w:rsid w:val="0079178D"/>
    <w:rsid w:val="0079186E"/>
    <w:rsid w:val="00791B5E"/>
    <w:rsid w:val="00791CEC"/>
    <w:rsid w:val="00791D12"/>
    <w:rsid w:val="0079209C"/>
    <w:rsid w:val="00792575"/>
    <w:rsid w:val="007928C4"/>
    <w:rsid w:val="00792A29"/>
    <w:rsid w:val="00792AD1"/>
    <w:rsid w:val="00792F43"/>
    <w:rsid w:val="0079341F"/>
    <w:rsid w:val="007936A2"/>
    <w:rsid w:val="00793906"/>
    <w:rsid w:val="00793BE9"/>
    <w:rsid w:val="00793F8C"/>
    <w:rsid w:val="00794090"/>
    <w:rsid w:val="007941F8"/>
    <w:rsid w:val="0079445F"/>
    <w:rsid w:val="0079459E"/>
    <w:rsid w:val="00794C01"/>
    <w:rsid w:val="00794C56"/>
    <w:rsid w:val="00794D27"/>
    <w:rsid w:val="00794E56"/>
    <w:rsid w:val="00794F6D"/>
    <w:rsid w:val="007952A4"/>
    <w:rsid w:val="007954B7"/>
    <w:rsid w:val="007956F5"/>
    <w:rsid w:val="00795764"/>
    <w:rsid w:val="00795CA2"/>
    <w:rsid w:val="00795DCC"/>
    <w:rsid w:val="00795EB8"/>
    <w:rsid w:val="007969AA"/>
    <w:rsid w:val="00796C06"/>
    <w:rsid w:val="00796F22"/>
    <w:rsid w:val="00796F75"/>
    <w:rsid w:val="007972FF"/>
    <w:rsid w:val="0079796B"/>
    <w:rsid w:val="00797A5F"/>
    <w:rsid w:val="007A001E"/>
    <w:rsid w:val="007A0362"/>
    <w:rsid w:val="007A03B2"/>
    <w:rsid w:val="007A0C67"/>
    <w:rsid w:val="007A10D4"/>
    <w:rsid w:val="007A1220"/>
    <w:rsid w:val="007A14B6"/>
    <w:rsid w:val="007A162B"/>
    <w:rsid w:val="007A1C5A"/>
    <w:rsid w:val="007A26A0"/>
    <w:rsid w:val="007A2A19"/>
    <w:rsid w:val="007A2C94"/>
    <w:rsid w:val="007A3455"/>
    <w:rsid w:val="007A3743"/>
    <w:rsid w:val="007A383F"/>
    <w:rsid w:val="007A3849"/>
    <w:rsid w:val="007A3CFE"/>
    <w:rsid w:val="007A4031"/>
    <w:rsid w:val="007A4173"/>
    <w:rsid w:val="007A424E"/>
    <w:rsid w:val="007A47F8"/>
    <w:rsid w:val="007A49A4"/>
    <w:rsid w:val="007A4FF5"/>
    <w:rsid w:val="007A534E"/>
    <w:rsid w:val="007A5484"/>
    <w:rsid w:val="007A573C"/>
    <w:rsid w:val="007A5C33"/>
    <w:rsid w:val="007A6100"/>
    <w:rsid w:val="007A6300"/>
    <w:rsid w:val="007A647C"/>
    <w:rsid w:val="007A728A"/>
    <w:rsid w:val="007A7594"/>
    <w:rsid w:val="007A7C37"/>
    <w:rsid w:val="007A7F50"/>
    <w:rsid w:val="007B0106"/>
    <w:rsid w:val="007B0699"/>
    <w:rsid w:val="007B06CE"/>
    <w:rsid w:val="007B09BE"/>
    <w:rsid w:val="007B0E58"/>
    <w:rsid w:val="007B0EA8"/>
    <w:rsid w:val="007B10ED"/>
    <w:rsid w:val="007B1229"/>
    <w:rsid w:val="007B1296"/>
    <w:rsid w:val="007B12FE"/>
    <w:rsid w:val="007B151C"/>
    <w:rsid w:val="007B152D"/>
    <w:rsid w:val="007B1546"/>
    <w:rsid w:val="007B1721"/>
    <w:rsid w:val="007B1796"/>
    <w:rsid w:val="007B1A06"/>
    <w:rsid w:val="007B1AAC"/>
    <w:rsid w:val="007B1E13"/>
    <w:rsid w:val="007B1F53"/>
    <w:rsid w:val="007B213D"/>
    <w:rsid w:val="007B2A44"/>
    <w:rsid w:val="007B2A81"/>
    <w:rsid w:val="007B2B80"/>
    <w:rsid w:val="007B3090"/>
    <w:rsid w:val="007B316D"/>
    <w:rsid w:val="007B3328"/>
    <w:rsid w:val="007B35EF"/>
    <w:rsid w:val="007B3694"/>
    <w:rsid w:val="007B3C6C"/>
    <w:rsid w:val="007B4227"/>
    <w:rsid w:val="007B46CC"/>
    <w:rsid w:val="007B4E52"/>
    <w:rsid w:val="007B55DF"/>
    <w:rsid w:val="007B6065"/>
    <w:rsid w:val="007B6206"/>
    <w:rsid w:val="007B6257"/>
    <w:rsid w:val="007B631B"/>
    <w:rsid w:val="007B6407"/>
    <w:rsid w:val="007B6755"/>
    <w:rsid w:val="007B6E11"/>
    <w:rsid w:val="007B6E37"/>
    <w:rsid w:val="007B7046"/>
    <w:rsid w:val="007B77EC"/>
    <w:rsid w:val="007B792D"/>
    <w:rsid w:val="007B7A1E"/>
    <w:rsid w:val="007B7F8C"/>
    <w:rsid w:val="007C0522"/>
    <w:rsid w:val="007C0586"/>
    <w:rsid w:val="007C08BE"/>
    <w:rsid w:val="007C0A98"/>
    <w:rsid w:val="007C0BC2"/>
    <w:rsid w:val="007C0C0B"/>
    <w:rsid w:val="007C104C"/>
    <w:rsid w:val="007C1150"/>
    <w:rsid w:val="007C13C0"/>
    <w:rsid w:val="007C13E3"/>
    <w:rsid w:val="007C1534"/>
    <w:rsid w:val="007C17A8"/>
    <w:rsid w:val="007C19BB"/>
    <w:rsid w:val="007C1DAB"/>
    <w:rsid w:val="007C2163"/>
    <w:rsid w:val="007C2259"/>
    <w:rsid w:val="007C2BB6"/>
    <w:rsid w:val="007C2CBE"/>
    <w:rsid w:val="007C2FDB"/>
    <w:rsid w:val="007C3039"/>
    <w:rsid w:val="007C3140"/>
    <w:rsid w:val="007C3598"/>
    <w:rsid w:val="007C3779"/>
    <w:rsid w:val="007C37FF"/>
    <w:rsid w:val="007C38B3"/>
    <w:rsid w:val="007C38D1"/>
    <w:rsid w:val="007C3B8E"/>
    <w:rsid w:val="007C3EFE"/>
    <w:rsid w:val="007C3F78"/>
    <w:rsid w:val="007C414A"/>
    <w:rsid w:val="007C4303"/>
    <w:rsid w:val="007C4B90"/>
    <w:rsid w:val="007C4CAC"/>
    <w:rsid w:val="007C5257"/>
    <w:rsid w:val="007C535E"/>
    <w:rsid w:val="007C5738"/>
    <w:rsid w:val="007C576A"/>
    <w:rsid w:val="007C57DE"/>
    <w:rsid w:val="007C5A02"/>
    <w:rsid w:val="007C5C86"/>
    <w:rsid w:val="007C6032"/>
    <w:rsid w:val="007C61E8"/>
    <w:rsid w:val="007C6E61"/>
    <w:rsid w:val="007C6ED7"/>
    <w:rsid w:val="007C6FA2"/>
    <w:rsid w:val="007C6FF4"/>
    <w:rsid w:val="007C7155"/>
    <w:rsid w:val="007C729F"/>
    <w:rsid w:val="007C75C2"/>
    <w:rsid w:val="007D00FE"/>
    <w:rsid w:val="007D01F2"/>
    <w:rsid w:val="007D0236"/>
    <w:rsid w:val="007D02FA"/>
    <w:rsid w:val="007D06B0"/>
    <w:rsid w:val="007D0911"/>
    <w:rsid w:val="007D0A00"/>
    <w:rsid w:val="007D0C2E"/>
    <w:rsid w:val="007D0D95"/>
    <w:rsid w:val="007D10A2"/>
    <w:rsid w:val="007D13FC"/>
    <w:rsid w:val="007D17F8"/>
    <w:rsid w:val="007D1967"/>
    <w:rsid w:val="007D1B3A"/>
    <w:rsid w:val="007D1D29"/>
    <w:rsid w:val="007D21AA"/>
    <w:rsid w:val="007D230B"/>
    <w:rsid w:val="007D24BA"/>
    <w:rsid w:val="007D259E"/>
    <w:rsid w:val="007D263B"/>
    <w:rsid w:val="007D299A"/>
    <w:rsid w:val="007D2AD3"/>
    <w:rsid w:val="007D2EF9"/>
    <w:rsid w:val="007D2FC4"/>
    <w:rsid w:val="007D32E0"/>
    <w:rsid w:val="007D33AD"/>
    <w:rsid w:val="007D3BEF"/>
    <w:rsid w:val="007D4180"/>
    <w:rsid w:val="007D46C5"/>
    <w:rsid w:val="007D4F2D"/>
    <w:rsid w:val="007D5370"/>
    <w:rsid w:val="007D61A2"/>
    <w:rsid w:val="007D6282"/>
    <w:rsid w:val="007D6470"/>
    <w:rsid w:val="007D64B0"/>
    <w:rsid w:val="007D65BA"/>
    <w:rsid w:val="007D6658"/>
    <w:rsid w:val="007D6752"/>
    <w:rsid w:val="007D6AC3"/>
    <w:rsid w:val="007D6E86"/>
    <w:rsid w:val="007D726F"/>
    <w:rsid w:val="007D7383"/>
    <w:rsid w:val="007D7DAA"/>
    <w:rsid w:val="007D7EBE"/>
    <w:rsid w:val="007D7F65"/>
    <w:rsid w:val="007D7F75"/>
    <w:rsid w:val="007E003E"/>
    <w:rsid w:val="007E0464"/>
    <w:rsid w:val="007E0D39"/>
    <w:rsid w:val="007E0F88"/>
    <w:rsid w:val="007E1241"/>
    <w:rsid w:val="007E154D"/>
    <w:rsid w:val="007E169C"/>
    <w:rsid w:val="007E1B23"/>
    <w:rsid w:val="007E1B58"/>
    <w:rsid w:val="007E229E"/>
    <w:rsid w:val="007E30A2"/>
    <w:rsid w:val="007E311B"/>
    <w:rsid w:val="007E3556"/>
    <w:rsid w:val="007E3C7D"/>
    <w:rsid w:val="007E42A9"/>
    <w:rsid w:val="007E438C"/>
    <w:rsid w:val="007E4859"/>
    <w:rsid w:val="007E48D3"/>
    <w:rsid w:val="007E4A63"/>
    <w:rsid w:val="007E4A90"/>
    <w:rsid w:val="007E4B75"/>
    <w:rsid w:val="007E4E3C"/>
    <w:rsid w:val="007E4EAD"/>
    <w:rsid w:val="007E519C"/>
    <w:rsid w:val="007E524C"/>
    <w:rsid w:val="007E530D"/>
    <w:rsid w:val="007E54C4"/>
    <w:rsid w:val="007E5898"/>
    <w:rsid w:val="007E5D41"/>
    <w:rsid w:val="007E5F47"/>
    <w:rsid w:val="007E6015"/>
    <w:rsid w:val="007E603E"/>
    <w:rsid w:val="007E61D9"/>
    <w:rsid w:val="007E6239"/>
    <w:rsid w:val="007E63AB"/>
    <w:rsid w:val="007E644D"/>
    <w:rsid w:val="007E647B"/>
    <w:rsid w:val="007E6C61"/>
    <w:rsid w:val="007E6F6C"/>
    <w:rsid w:val="007E718D"/>
    <w:rsid w:val="007E71A9"/>
    <w:rsid w:val="007E726A"/>
    <w:rsid w:val="007E7331"/>
    <w:rsid w:val="007E733A"/>
    <w:rsid w:val="007E7865"/>
    <w:rsid w:val="007E78C9"/>
    <w:rsid w:val="007E7D45"/>
    <w:rsid w:val="007E7E3C"/>
    <w:rsid w:val="007F00E0"/>
    <w:rsid w:val="007F033E"/>
    <w:rsid w:val="007F07EB"/>
    <w:rsid w:val="007F0B25"/>
    <w:rsid w:val="007F0C19"/>
    <w:rsid w:val="007F0D63"/>
    <w:rsid w:val="007F0D95"/>
    <w:rsid w:val="007F1181"/>
    <w:rsid w:val="007F1711"/>
    <w:rsid w:val="007F1DCC"/>
    <w:rsid w:val="007F1F48"/>
    <w:rsid w:val="007F203E"/>
    <w:rsid w:val="007F22DB"/>
    <w:rsid w:val="007F25CE"/>
    <w:rsid w:val="007F27F2"/>
    <w:rsid w:val="007F2826"/>
    <w:rsid w:val="007F296D"/>
    <w:rsid w:val="007F2AA5"/>
    <w:rsid w:val="007F2E31"/>
    <w:rsid w:val="007F2FBA"/>
    <w:rsid w:val="007F3165"/>
    <w:rsid w:val="007F3311"/>
    <w:rsid w:val="007F342C"/>
    <w:rsid w:val="007F349F"/>
    <w:rsid w:val="007F35AA"/>
    <w:rsid w:val="007F364D"/>
    <w:rsid w:val="007F367D"/>
    <w:rsid w:val="007F375A"/>
    <w:rsid w:val="007F37AF"/>
    <w:rsid w:val="007F37E7"/>
    <w:rsid w:val="007F3E8C"/>
    <w:rsid w:val="007F4513"/>
    <w:rsid w:val="007F4D4F"/>
    <w:rsid w:val="007F4DF8"/>
    <w:rsid w:val="007F50BD"/>
    <w:rsid w:val="007F5B35"/>
    <w:rsid w:val="007F5C1C"/>
    <w:rsid w:val="007F5CE2"/>
    <w:rsid w:val="007F5EA1"/>
    <w:rsid w:val="007F61A1"/>
    <w:rsid w:val="007F63CA"/>
    <w:rsid w:val="007F666B"/>
    <w:rsid w:val="007F6E19"/>
    <w:rsid w:val="007F70D4"/>
    <w:rsid w:val="007F795E"/>
    <w:rsid w:val="007F7A7E"/>
    <w:rsid w:val="0080006B"/>
    <w:rsid w:val="00800416"/>
    <w:rsid w:val="00800876"/>
    <w:rsid w:val="00800E82"/>
    <w:rsid w:val="008011B4"/>
    <w:rsid w:val="0080148F"/>
    <w:rsid w:val="008017AB"/>
    <w:rsid w:val="00802060"/>
    <w:rsid w:val="00802513"/>
    <w:rsid w:val="00802A97"/>
    <w:rsid w:val="00802F85"/>
    <w:rsid w:val="00803339"/>
    <w:rsid w:val="00803647"/>
    <w:rsid w:val="0080399B"/>
    <w:rsid w:val="00803BAA"/>
    <w:rsid w:val="00803BD1"/>
    <w:rsid w:val="00804205"/>
    <w:rsid w:val="008044EB"/>
    <w:rsid w:val="0080486E"/>
    <w:rsid w:val="0080488B"/>
    <w:rsid w:val="00804B36"/>
    <w:rsid w:val="00804B4C"/>
    <w:rsid w:val="00804E33"/>
    <w:rsid w:val="008052F5"/>
    <w:rsid w:val="0080617B"/>
    <w:rsid w:val="008061A4"/>
    <w:rsid w:val="0080675E"/>
    <w:rsid w:val="0080727E"/>
    <w:rsid w:val="00807699"/>
    <w:rsid w:val="008103E1"/>
    <w:rsid w:val="00810789"/>
    <w:rsid w:val="00810CE7"/>
    <w:rsid w:val="00810E00"/>
    <w:rsid w:val="00810ECE"/>
    <w:rsid w:val="008111AF"/>
    <w:rsid w:val="008118DE"/>
    <w:rsid w:val="00811AB6"/>
    <w:rsid w:val="00811DA0"/>
    <w:rsid w:val="008120B3"/>
    <w:rsid w:val="0081227B"/>
    <w:rsid w:val="008136C4"/>
    <w:rsid w:val="00813706"/>
    <w:rsid w:val="00813C4F"/>
    <w:rsid w:val="00813D31"/>
    <w:rsid w:val="00813DD1"/>
    <w:rsid w:val="00813EA7"/>
    <w:rsid w:val="008144FF"/>
    <w:rsid w:val="00814635"/>
    <w:rsid w:val="00814665"/>
    <w:rsid w:val="00814672"/>
    <w:rsid w:val="00814756"/>
    <w:rsid w:val="0081484C"/>
    <w:rsid w:val="00814CD9"/>
    <w:rsid w:val="008151D7"/>
    <w:rsid w:val="008152E4"/>
    <w:rsid w:val="00815938"/>
    <w:rsid w:val="00815FE7"/>
    <w:rsid w:val="00816392"/>
    <w:rsid w:val="008163FF"/>
    <w:rsid w:val="00816436"/>
    <w:rsid w:val="008167C2"/>
    <w:rsid w:val="0081687F"/>
    <w:rsid w:val="00816B6E"/>
    <w:rsid w:val="00816C53"/>
    <w:rsid w:val="00816CF2"/>
    <w:rsid w:val="00817257"/>
    <w:rsid w:val="0081779B"/>
    <w:rsid w:val="00817838"/>
    <w:rsid w:val="00817973"/>
    <w:rsid w:val="00817B5F"/>
    <w:rsid w:val="00817D36"/>
    <w:rsid w:val="00820262"/>
    <w:rsid w:val="00820284"/>
    <w:rsid w:val="0082062F"/>
    <w:rsid w:val="008210E2"/>
    <w:rsid w:val="00821800"/>
    <w:rsid w:val="00821D2D"/>
    <w:rsid w:val="00821FE2"/>
    <w:rsid w:val="008221A7"/>
    <w:rsid w:val="008224EF"/>
    <w:rsid w:val="00822584"/>
    <w:rsid w:val="00822B06"/>
    <w:rsid w:val="00822B4F"/>
    <w:rsid w:val="00822D20"/>
    <w:rsid w:val="00822DAD"/>
    <w:rsid w:val="00822EF6"/>
    <w:rsid w:val="00822F01"/>
    <w:rsid w:val="00823023"/>
    <w:rsid w:val="00823254"/>
    <w:rsid w:val="00823AE3"/>
    <w:rsid w:val="00823DEF"/>
    <w:rsid w:val="00823F62"/>
    <w:rsid w:val="0082417C"/>
    <w:rsid w:val="008247BC"/>
    <w:rsid w:val="00824D72"/>
    <w:rsid w:val="00824E16"/>
    <w:rsid w:val="00824F16"/>
    <w:rsid w:val="0082524D"/>
    <w:rsid w:val="008253B0"/>
    <w:rsid w:val="00825AA5"/>
    <w:rsid w:val="00825B07"/>
    <w:rsid w:val="00825FB3"/>
    <w:rsid w:val="00825FC3"/>
    <w:rsid w:val="00826124"/>
    <w:rsid w:val="008262B9"/>
    <w:rsid w:val="008262D4"/>
    <w:rsid w:val="008267DF"/>
    <w:rsid w:val="00826823"/>
    <w:rsid w:val="0082691B"/>
    <w:rsid w:val="00826CD4"/>
    <w:rsid w:val="00826F45"/>
    <w:rsid w:val="00827079"/>
    <w:rsid w:val="00827378"/>
    <w:rsid w:val="00827591"/>
    <w:rsid w:val="0082781A"/>
    <w:rsid w:val="008278BF"/>
    <w:rsid w:val="00827F41"/>
    <w:rsid w:val="00830129"/>
    <w:rsid w:val="0083071C"/>
    <w:rsid w:val="00830850"/>
    <w:rsid w:val="00830BD4"/>
    <w:rsid w:val="00830D9B"/>
    <w:rsid w:val="00830F57"/>
    <w:rsid w:val="00831335"/>
    <w:rsid w:val="008313DF"/>
    <w:rsid w:val="00831817"/>
    <w:rsid w:val="00831FA7"/>
    <w:rsid w:val="00831FFD"/>
    <w:rsid w:val="008323D7"/>
    <w:rsid w:val="008324CB"/>
    <w:rsid w:val="00832809"/>
    <w:rsid w:val="00833172"/>
    <w:rsid w:val="0083345F"/>
    <w:rsid w:val="00833B18"/>
    <w:rsid w:val="00833F46"/>
    <w:rsid w:val="0083404D"/>
    <w:rsid w:val="00834060"/>
    <w:rsid w:val="0083408B"/>
    <w:rsid w:val="0083413A"/>
    <w:rsid w:val="00834487"/>
    <w:rsid w:val="00834AD0"/>
    <w:rsid w:val="00834F79"/>
    <w:rsid w:val="008352AC"/>
    <w:rsid w:val="00835510"/>
    <w:rsid w:val="0083555E"/>
    <w:rsid w:val="00835C7E"/>
    <w:rsid w:val="00836055"/>
    <w:rsid w:val="0083649E"/>
    <w:rsid w:val="00836B3D"/>
    <w:rsid w:val="00836BB2"/>
    <w:rsid w:val="00836E64"/>
    <w:rsid w:val="00836FB1"/>
    <w:rsid w:val="00837010"/>
    <w:rsid w:val="0083702B"/>
    <w:rsid w:val="008370BA"/>
    <w:rsid w:val="00837335"/>
    <w:rsid w:val="00837AF4"/>
    <w:rsid w:val="00837DBF"/>
    <w:rsid w:val="00837EE7"/>
    <w:rsid w:val="00840163"/>
    <w:rsid w:val="00840DE5"/>
    <w:rsid w:val="0084133A"/>
    <w:rsid w:val="00841596"/>
    <w:rsid w:val="00841728"/>
    <w:rsid w:val="008419AC"/>
    <w:rsid w:val="00841BDD"/>
    <w:rsid w:val="00841CDC"/>
    <w:rsid w:val="00841EC1"/>
    <w:rsid w:val="008420A4"/>
    <w:rsid w:val="00842253"/>
    <w:rsid w:val="008422CE"/>
    <w:rsid w:val="00842897"/>
    <w:rsid w:val="0084297A"/>
    <w:rsid w:val="00842B36"/>
    <w:rsid w:val="00842EA9"/>
    <w:rsid w:val="00842F28"/>
    <w:rsid w:val="00843021"/>
    <w:rsid w:val="008441BC"/>
    <w:rsid w:val="008444A1"/>
    <w:rsid w:val="00844C7D"/>
    <w:rsid w:val="0084524F"/>
    <w:rsid w:val="008453BD"/>
    <w:rsid w:val="008453F1"/>
    <w:rsid w:val="0084548F"/>
    <w:rsid w:val="00845ED4"/>
    <w:rsid w:val="0084631A"/>
    <w:rsid w:val="008464D7"/>
    <w:rsid w:val="0084664D"/>
    <w:rsid w:val="008466A5"/>
    <w:rsid w:val="008468DE"/>
    <w:rsid w:val="008469F3"/>
    <w:rsid w:val="00846B3F"/>
    <w:rsid w:val="00846E10"/>
    <w:rsid w:val="00847055"/>
    <w:rsid w:val="008472EC"/>
    <w:rsid w:val="0084739A"/>
    <w:rsid w:val="00847717"/>
    <w:rsid w:val="0084797A"/>
    <w:rsid w:val="00847CFC"/>
    <w:rsid w:val="00847DDC"/>
    <w:rsid w:val="008503F8"/>
    <w:rsid w:val="00850F10"/>
    <w:rsid w:val="0085104F"/>
    <w:rsid w:val="00851179"/>
    <w:rsid w:val="008514C7"/>
    <w:rsid w:val="00851601"/>
    <w:rsid w:val="0085172F"/>
    <w:rsid w:val="00851786"/>
    <w:rsid w:val="0085180E"/>
    <w:rsid w:val="00851990"/>
    <w:rsid w:val="008519DA"/>
    <w:rsid w:val="008519DD"/>
    <w:rsid w:val="00852149"/>
    <w:rsid w:val="00852238"/>
    <w:rsid w:val="0085225E"/>
    <w:rsid w:val="008526C5"/>
    <w:rsid w:val="00852A0F"/>
    <w:rsid w:val="00852CB9"/>
    <w:rsid w:val="00852E00"/>
    <w:rsid w:val="008531E5"/>
    <w:rsid w:val="00853289"/>
    <w:rsid w:val="0085351F"/>
    <w:rsid w:val="008535E3"/>
    <w:rsid w:val="00853753"/>
    <w:rsid w:val="00853BE3"/>
    <w:rsid w:val="00853C56"/>
    <w:rsid w:val="00854053"/>
    <w:rsid w:val="00854200"/>
    <w:rsid w:val="00854AED"/>
    <w:rsid w:val="00854DDF"/>
    <w:rsid w:val="008559BE"/>
    <w:rsid w:val="00855C01"/>
    <w:rsid w:val="00855C24"/>
    <w:rsid w:val="00855CFE"/>
    <w:rsid w:val="00855D2C"/>
    <w:rsid w:val="008567C6"/>
    <w:rsid w:val="008570A1"/>
    <w:rsid w:val="0085768D"/>
    <w:rsid w:val="008579BF"/>
    <w:rsid w:val="00857AA5"/>
    <w:rsid w:val="00857DAE"/>
    <w:rsid w:val="00857DC8"/>
    <w:rsid w:val="00860290"/>
    <w:rsid w:val="0086058D"/>
    <w:rsid w:val="00860A8E"/>
    <w:rsid w:val="00860EC4"/>
    <w:rsid w:val="008610F3"/>
    <w:rsid w:val="008612E4"/>
    <w:rsid w:val="008617B3"/>
    <w:rsid w:val="00861A84"/>
    <w:rsid w:val="00861D75"/>
    <w:rsid w:val="00861DB9"/>
    <w:rsid w:val="00861E96"/>
    <w:rsid w:val="0086264E"/>
    <w:rsid w:val="0086274B"/>
    <w:rsid w:val="00862A89"/>
    <w:rsid w:val="00862F13"/>
    <w:rsid w:val="0086317B"/>
    <w:rsid w:val="008631DC"/>
    <w:rsid w:val="00863222"/>
    <w:rsid w:val="00863331"/>
    <w:rsid w:val="00863AE4"/>
    <w:rsid w:val="00863D08"/>
    <w:rsid w:val="00863E7C"/>
    <w:rsid w:val="00863FBF"/>
    <w:rsid w:val="008640D6"/>
    <w:rsid w:val="00864384"/>
    <w:rsid w:val="00864416"/>
    <w:rsid w:val="00864444"/>
    <w:rsid w:val="008644E2"/>
    <w:rsid w:val="00864599"/>
    <w:rsid w:val="008645B5"/>
    <w:rsid w:val="008646E4"/>
    <w:rsid w:val="008649FE"/>
    <w:rsid w:val="00864EFC"/>
    <w:rsid w:val="00864F62"/>
    <w:rsid w:val="0086545B"/>
    <w:rsid w:val="00865536"/>
    <w:rsid w:val="0086584B"/>
    <w:rsid w:val="00865B78"/>
    <w:rsid w:val="00865C49"/>
    <w:rsid w:val="0086617B"/>
    <w:rsid w:val="00866417"/>
    <w:rsid w:val="008665FA"/>
    <w:rsid w:val="00866836"/>
    <w:rsid w:val="00866C2D"/>
    <w:rsid w:val="00866D71"/>
    <w:rsid w:val="008673F0"/>
    <w:rsid w:val="00867A9D"/>
    <w:rsid w:val="00867EBE"/>
    <w:rsid w:val="00870167"/>
    <w:rsid w:val="0087040C"/>
    <w:rsid w:val="0087043D"/>
    <w:rsid w:val="00870A4F"/>
    <w:rsid w:val="00870F03"/>
    <w:rsid w:val="00870F42"/>
    <w:rsid w:val="008711BE"/>
    <w:rsid w:val="00871C28"/>
    <w:rsid w:val="00871F4C"/>
    <w:rsid w:val="00872059"/>
    <w:rsid w:val="00872087"/>
    <w:rsid w:val="00872159"/>
    <w:rsid w:val="0087221C"/>
    <w:rsid w:val="008722F4"/>
    <w:rsid w:val="00872798"/>
    <w:rsid w:val="008728B1"/>
    <w:rsid w:val="00872AA3"/>
    <w:rsid w:val="00872F5F"/>
    <w:rsid w:val="00872FFE"/>
    <w:rsid w:val="008736F2"/>
    <w:rsid w:val="008737E5"/>
    <w:rsid w:val="00873A92"/>
    <w:rsid w:val="00873C96"/>
    <w:rsid w:val="00873CFA"/>
    <w:rsid w:val="00873D35"/>
    <w:rsid w:val="00873DA4"/>
    <w:rsid w:val="00873E06"/>
    <w:rsid w:val="00873F21"/>
    <w:rsid w:val="00874030"/>
    <w:rsid w:val="00874282"/>
    <w:rsid w:val="00874723"/>
    <w:rsid w:val="0087477D"/>
    <w:rsid w:val="008756A6"/>
    <w:rsid w:val="0087579D"/>
    <w:rsid w:val="008759FF"/>
    <w:rsid w:val="00875EA7"/>
    <w:rsid w:val="00875F2F"/>
    <w:rsid w:val="00876031"/>
    <w:rsid w:val="00876472"/>
    <w:rsid w:val="00876831"/>
    <w:rsid w:val="00876AA7"/>
    <w:rsid w:val="008770CC"/>
    <w:rsid w:val="0087758B"/>
    <w:rsid w:val="00877DBE"/>
    <w:rsid w:val="0088002D"/>
    <w:rsid w:val="008808C1"/>
    <w:rsid w:val="00880B0B"/>
    <w:rsid w:val="00880E92"/>
    <w:rsid w:val="0088100C"/>
    <w:rsid w:val="0088133C"/>
    <w:rsid w:val="008815A4"/>
    <w:rsid w:val="0088172F"/>
    <w:rsid w:val="00881ABA"/>
    <w:rsid w:val="00882117"/>
    <w:rsid w:val="008825A2"/>
    <w:rsid w:val="00882847"/>
    <w:rsid w:val="00882A58"/>
    <w:rsid w:val="00882B56"/>
    <w:rsid w:val="00882B93"/>
    <w:rsid w:val="008830A2"/>
    <w:rsid w:val="008832FC"/>
    <w:rsid w:val="00884675"/>
    <w:rsid w:val="00884695"/>
    <w:rsid w:val="00884A35"/>
    <w:rsid w:val="00884CE1"/>
    <w:rsid w:val="00884D18"/>
    <w:rsid w:val="00884D6A"/>
    <w:rsid w:val="0088529C"/>
    <w:rsid w:val="00885769"/>
    <w:rsid w:val="00885A50"/>
    <w:rsid w:val="00885AAE"/>
    <w:rsid w:val="00885B25"/>
    <w:rsid w:val="00885B8C"/>
    <w:rsid w:val="00885EFF"/>
    <w:rsid w:val="00885F7A"/>
    <w:rsid w:val="00885FFC"/>
    <w:rsid w:val="00886002"/>
    <w:rsid w:val="00886100"/>
    <w:rsid w:val="008862CB"/>
    <w:rsid w:val="0088693F"/>
    <w:rsid w:val="008869A8"/>
    <w:rsid w:val="00886CBF"/>
    <w:rsid w:val="008875CD"/>
    <w:rsid w:val="008877C3"/>
    <w:rsid w:val="00887DFE"/>
    <w:rsid w:val="008901B8"/>
    <w:rsid w:val="0089041E"/>
    <w:rsid w:val="008905E0"/>
    <w:rsid w:val="008908B2"/>
    <w:rsid w:val="0089111B"/>
    <w:rsid w:val="008912BE"/>
    <w:rsid w:val="008912E8"/>
    <w:rsid w:val="008917CD"/>
    <w:rsid w:val="00891D88"/>
    <w:rsid w:val="008920CC"/>
    <w:rsid w:val="00892177"/>
    <w:rsid w:val="008923A3"/>
    <w:rsid w:val="0089240C"/>
    <w:rsid w:val="008924B3"/>
    <w:rsid w:val="0089263B"/>
    <w:rsid w:val="00892711"/>
    <w:rsid w:val="00892C2D"/>
    <w:rsid w:val="00892C59"/>
    <w:rsid w:val="00892DD5"/>
    <w:rsid w:val="00892FEA"/>
    <w:rsid w:val="00893356"/>
    <w:rsid w:val="0089356D"/>
    <w:rsid w:val="008936C3"/>
    <w:rsid w:val="0089373F"/>
    <w:rsid w:val="00893885"/>
    <w:rsid w:val="0089399E"/>
    <w:rsid w:val="00893D29"/>
    <w:rsid w:val="00893DF4"/>
    <w:rsid w:val="00893F99"/>
    <w:rsid w:val="0089490F"/>
    <w:rsid w:val="00894BC6"/>
    <w:rsid w:val="00894C58"/>
    <w:rsid w:val="008951BF"/>
    <w:rsid w:val="00895305"/>
    <w:rsid w:val="008955DA"/>
    <w:rsid w:val="00895F48"/>
    <w:rsid w:val="008967C9"/>
    <w:rsid w:val="00896B7C"/>
    <w:rsid w:val="00896D23"/>
    <w:rsid w:val="0089704F"/>
    <w:rsid w:val="0089730B"/>
    <w:rsid w:val="008974F5"/>
    <w:rsid w:val="00897608"/>
    <w:rsid w:val="00897A45"/>
    <w:rsid w:val="00897DF2"/>
    <w:rsid w:val="00897F1B"/>
    <w:rsid w:val="008A0663"/>
    <w:rsid w:val="008A0860"/>
    <w:rsid w:val="008A0AC7"/>
    <w:rsid w:val="008A10EA"/>
    <w:rsid w:val="008A127F"/>
    <w:rsid w:val="008A14FC"/>
    <w:rsid w:val="008A1759"/>
    <w:rsid w:val="008A18F7"/>
    <w:rsid w:val="008A19B6"/>
    <w:rsid w:val="008A2016"/>
    <w:rsid w:val="008A20AF"/>
    <w:rsid w:val="008A21FB"/>
    <w:rsid w:val="008A28F2"/>
    <w:rsid w:val="008A2E81"/>
    <w:rsid w:val="008A2E9D"/>
    <w:rsid w:val="008A30B1"/>
    <w:rsid w:val="008A319B"/>
    <w:rsid w:val="008A320A"/>
    <w:rsid w:val="008A3729"/>
    <w:rsid w:val="008A37E4"/>
    <w:rsid w:val="008A3D0D"/>
    <w:rsid w:val="008A4235"/>
    <w:rsid w:val="008A48C2"/>
    <w:rsid w:val="008A4A9E"/>
    <w:rsid w:val="008A4BC8"/>
    <w:rsid w:val="008A5484"/>
    <w:rsid w:val="008A585C"/>
    <w:rsid w:val="008A5B43"/>
    <w:rsid w:val="008A5BB2"/>
    <w:rsid w:val="008A5BFF"/>
    <w:rsid w:val="008A5C6C"/>
    <w:rsid w:val="008A5E12"/>
    <w:rsid w:val="008A5EC5"/>
    <w:rsid w:val="008A5FA2"/>
    <w:rsid w:val="008A6DFF"/>
    <w:rsid w:val="008A6E42"/>
    <w:rsid w:val="008A6EAB"/>
    <w:rsid w:val="008A717C"/>
    <w:rsid w:val="008A78ED"/>
    <w:rsid w:val="008A7961"/>
    <w:rsid w:val="008A7AC7"/>
    <w:rsid w:val="008A7B2D"/>
    <w:rsid w:val="008B0165"/>
    <w:rsid w:val="008B03EC"/>
    <w:rsid w:val="008B0863"/>
    <w:rsid w:val="008B08C5"/>
    <w:rsid w:val="008B0BB0"/>
    <w:rsid w:val="008B0C37"/>
    <w:rsid w:val="008B0CF8"/>
    <w:rsid w:val="008B0D25"/>
    <w:rsid w:val="008B111E"/>
    <w:rsid w:val="008B13B3"/>
    <w:rsid w:val="008B18D6"/>
    <w:rsid w:val="008B19DA"/>
    <w:rsid w:val="008B1DE1"/>
    <w:rsid w:val="008B1E5F"/>
    <w:rsid w:val="008B2124"/>
    <w:rsid w:val="008B242F"/>
    <w:rsid w:val="008B24FC"/>
    <w:rsid w:val="008B26FB"/>
    <w:rsid w:val="008B2753"/>
    <w:rsid w:val="008B2B6A"/>
    <w:rsid w:val="008B2DBC"/>
    <w:rsid w:val="008B2F6B"/>
    <w:rsid w:val="008B30D3"/>
    <w:rsid w:val="008B3728"/>
    <w:rsid w:val="008B43B3"/>
    <w:rsid w:val="008B4517"/>
    <w:rsid w:val="008B45AD"/>
    <w:rsid w:val="008B49AC"/>
    <w:rsid w:val="008B4A30"/>
    <w:rsid w:val="008B4E8E"/>
    <w:rsid w:val="008B555B"/>
    <w:rsid w:val="008B5C6B"/>
    <w:rsid w:val="008B6132"/>
    <w:rsid w:val="008B62E7"/>
    <w:rsid w:val="008B650F"/>
    <w:rsid w:val="008B6792"/>
    <w:rsid w:val="008B6920"/>
    <w:rsid w:val="008B6999"/>
    <w:rsid w:val="008B6A26"/>
    <w:rsid w:val="008B6A65"/>
    <w:rsid w:val="008B6C6B"/>
    <w:rsid w:val="008B6D98"/>
    <w:rsid w:val="008B6DF5"/>
    <w:rsid w:val="008B71DE"/>
    <w:rsid w:val="008B72F7"/>
    <w:rsid w:val="008B77CD"/>
    <w:rsid w:val="008B792D"/>
    <w:rsid w:val="008C02C1"/>
    <w:rsid w:val="008C0621"/>
    <w:rsid w:val="008C0810"/>
    <w:rsid w:val="008C0BB2"/>
    <w:rsid w:val="008C0C1F"/>
    <w:rsid w:val="008C0DF3"/>
    <w:rsid w:val="008C1084"/>
    <w:rsid w:val="008C10DD"/>
    <w:rsid w:val="008C1494"/>
    <w:rsid w:val="008C1960"/>
    <w:rsid w:val="008C19A9"/>
    <w:rsid w:val="008C1A14"/>
    <w:rsid w:val="008C1BB4"/>
    <w:rsid w:val="008C1F74"/>
    <w:rsid w:val="008C24F0"/>
    <w:rsid w:val="008C2A69"/>
    <w:rsid w:val="008C3A7A"/>
    <w:rsid w:val="008C3BC6"/>
    <w:rsid w:val="008C3F61"/>
    <w:rsid w:val="008C3F7A"/>
    <w:rsid w:val="008C4143"/>
    <w:rsid w:val="008C4285"/>
    <w:rsid w:val="008C4AD6"/>
    <w:rsid w:val="008C4D34"/>
    <w:rsid w:val="008C4E1F"/>
    <w:rsid w:val="008C50E8"/>
    <w:rsid w:val="008C5254"/>
    <w:rsid w:val="008C52C5"/>
    <w:rsid w:val="008C5448"/>
    <w:rsid w:val="008C544E"/>
    <w:rsid w:val="008C5520"/>
    <w:rsid w:val="008C557A"/>
    <w:rsid w:val="008C59D0"/>
    <w:rsid w:val="008C5CAE"/>
    <w:rsid w:val="008C6006"/>
    <w:rsid w:val="008C623C"/>
    <w:rsid w:val="008C7265"/>
    <w:rsid w:val="008C741E"/>
    <w:rsid w:val="008C7652"/>
    <w:rsid w:val="008C7C1B"/>
    <w:rsid w:val="008D0B8A"/>
    <w:rsid w:val="008D1079"/>
    <w:rsid w:val="008D1A73"/>
    <w:rsid w:val="008D1AEE"/>
    <w:rsid w:val="008D1CF3"/>
    <w:rsid w:val="008D2484"/>
    <w:rsid w:val="008D25F3"/>
    <w:rsid w:val="008D2640"/>
    <w:rsid w:val="008D2B38"/>
    <w:rsid w:val="008D2D12"/>
    <w:rsid w:val="008D302E"/>
    <w:rsid w:val="008D322B"/>
    <w:rsid w:val="008D33AD"/>
    <w:rsid w:val="008D35B2"/>
    <w:rsid w:val="008D374D"/>
    <w:rsid w:val="008D3906"/>
    <w:rsid w:val="008D3956"/>
    <w:rsid w:val="008D3C56"/>
    <w:rsid w:val="008D40C0"/>
    <w:rsid w:val="008D4901"/>
    <w:rsid w:val="008D4ED9"/>
    <w:rsid w:val="008D4F04"/>
    <w:rsid w:val="008D548A"/>
    <w:rsid w:val="008D5501"/>
    <w:rsid w:val="008D55D5"/>
    <w:rsid w:val="008D596A"/>
    <w:rsid w:val="008D5AD3"/>
    <w:rsid w:val="008D5CD1"/>
    <w:rsid w:val="008D6031"/>
    <w:rsid w:val="008D655F"/>
    <w:rsid w:val="008D673A"/>
    <w:rsid w:val="008D67CE"/>
    <w:rsid w:val="008D6AFF"/>
    <w:rsid w:val="008D6B57"/>
    <w:rsid w:val="008D6DAE"/>
    <w:rsid w:val="008D78C4"/>
    <w:rsid w:val="008D7B05"/>
    <w:rsid w:val="008D7DAE"/>
    <w:rsid w:val="008E026E"/>
    <w:rsid w:val="008E043C"/>
    <w:rsid w:val="008E04A5"/>
    <w:rsid w:val="008E0509"/>
    <w:rsid w:val="008E0EA5"/>
    <w:rsid w:val="008E0EBF"/>
    <w:rsid w:val="008E101A"/>
    <w:rsid w:val="008E1087"/>
    <w:rsid w:val="008E11FB"/>
    <w:rsid w:val="008E1B97"/>
    <w:rsid w:val="008E2206"/>
    <w:rsid w:val="008E27DF"/>
    <w:rsid w:val="008E2A92"/>
    <w:rsid w:val="008E3414"/>
    <w:rsid w:val="008E3432"/>
    <w:rsid w:val="008E36E4"/>
    <w:rsid w:val="008E372D"/>
    <w:rsid w:val="008E37F5"/>
    <w:rsid w:val="008E3B1B"/>
    <w:rsid w:val="008E3D4E"/>
    <w:rsid w:val="008E3DC5"/>
    <w:rsid w:val="008E438E"/>
    <w:rsid w:val="008E43AC"/>
    <w:rsid w:val="008E4C2E"/>
    <w:rsid w:val="008E4E4E"/>
    <w:rsid w:val="008E5495"/>
    <w:rsid w:val="008E54DA"/>
    <w:rsid w:val="008E5716"/>
    <w:rsid w:val="008E588B"/>
    <w:rsid w:val="008E58CB"/>
    <w:rsid w:val="008E5904"/>
    <w:rsid w:val="008E5ACF"/>
    <w:rsid w:val="008E5B45"/>
    <w:rsid w:val="008E5C3B"/>
    <w:rsid w:val="008E5E9B"/>
    <w:rsid w:val="008E61CC"/>
    <w:rsid w:val="008E62FF"/>
    <w:rsid w:val="008E68C4"/>
    <w:rsid w:val="008E6A9B"/>
    <w:rsid w:val="008E6E90"/>
    <w:rsid w:val="008E7064"/>
    <w:rsid w:val="008E72D3"/>
    <w:rsid w:val="008E7701"/>
    <w:rsid w:val="008E7757"/>
    <w:rsid w:val="008E7977"/>
    <w:rsid w:val="008E7ABD"/>
    <w:rsid w:val="008E7E60"/>
    <w:rsid w:val="008F0057"/>
    <w:rsid w:val="008F0239"/>
    <w:rsid w:val="008F034F"/>
    <w:rsid w:val="008F09CE"/>
    <w:rsid w:val="008F0E25"/>
    <w:rsid w:val="008F0FE1"/>
    <w:rsid w:val="008F15F7"/>
    <w:rsid w:val="008F19DD"/>
    <w:rsid w:val="008F19E7"/>
    <w:rsid w:val="008F1E30"/>
    <w:rsid w:val="008F226D"/>
    <w:rsid w:val="008F2386"/>
    <w:rsid w:val="008F2422"/>
    <w:rsid w:val="008F2434"/>
    <w:rsid w:val="008F250A"/>
    <w:rsid w:val="008F2BA1"/>
    <w:rsid w:val="008F2F1E"/>
    <w:rsid w:val="008F37D2"/>
    <w:rsid w:val="008F386A"/>
    <w:rsid w:val="008F39E9"/>
    <w:rsid w:val="008F3BA6"/>
    <w:rsid w:val="008F3DF7"/>
    <w:rsid w:val="008F457F"/>
    <w:rsid w:val="008F460A"/>
    <w:rsid w:val="008F46E8"/>
    <w:rsid w:val="008F4CE8"/>
    <w:rsid w:val="008F4EF5"/>
    <w:rsid w:val="008F5029"/>
    <w:rsid w:val="008F50AF"/>
    <w:rsid w:val="008F5130"/>
    <w:rsid w:val="008F5303"/>
    <w:rsid w:val="008F5313"/>
    <w:rsid w:val="008F5976"/>
    <w:rsid w:val="008F5C8B"/>
    <w:rsid w:val="008F5E41"/>
    <w:rsid w:val="008F5F05"/>
    <w:rsid w:val="008F638B"/>
    <w:rsid w:val="008F6893"/>
    <w:rsid w:val="008F6D16"/>
    <w:rsid w:val="008F6D28"/>
    <w:rsid w:val="008F726C"/>
    <w:rsid w:val="008F7834"/>
    <w:rsid w:val="008F7C68"/>
    <w:rsid w:val="008F7DCD"/>
    <w:rsid w:val="00900A8F"/>
    <w:rsid w:val="00900BC1"/>
    <w:rsid w:val="00900E54"/>
    <w:rsid w:val="00900F68"/>
    <w:rsid w:val="009010EB"/>
    <w:rsid w:val="009013B3"/>
    <w:rsid w:val="00901583"/>
    <w:rsid w:val="009015F0"/>
    <w:rsid w:val="00901A13"/>
    <w:rsid w:val="00901A46"/>
    <w:rsid w:val="0090201C"/>
    <w:rsid w:val="00902A28"/>
    <w:rsid w:val="00902B20"/>
    <w:rsid w:val="00902BDB"/>
    <w:rsid w:val="00902CC0"/>
    <w:rsid w:val="00902CF7"/>
    <w:rsid w:val="00903084"/>
    <w:rsid w:val="00903114"/>
    <w:rsid w:val="00903583"/>
    <w:rsid w:val="0090370C"/>
    <w:rsid w:val="00903967"/>
    <w:rsid w:val="00903B15"/>
    <w:rsid w:val="00903DEB"/>
    <w:rsid w:val="00904603"/>
    <w:rsid w:val="009046D7"/>
    <w:rsid w:val="0090489F"/>
    <w:rsid w:val="00904AE2"/>
    <w:rsid w:val="00904BB9"/>
    <w:rsid w:val="00904EC1"/>
    <w:rsid w:val="00905433"/>
    <w:rsid w:val="009054D4"/>
    <w:rsid w:val="0090582E"/>
    <w:rsid w:val="00905EF7"/>
    <w:rsid w:val="00906C81"/>
    <w:rsid w:val="00907247"/>
    <w:rsid w:val="00907574"/>
    <w:rsid w:val="009077DF"/>
    <w:rsid w:val="009078BB"/>
    <w:rsid w:val="00907D44"/>
    <w:rsid w:val="00907E1D"/>
    <w:rsid w:val="0091046E"/>
    <w:rsid w:val="00910C17"/>
    <w:rsid w:val="009111E5"/>
    <w:rsid w:val="00911267"/>
    <w:rsid w:val="00911339"/>
    <w:rsid w:val="009114E9"/>
    <w:rsid w:val="00911524"/>
    <w:rsid w:val="009115BE"/>
    <w:rsid w:val="00911614"/>
    <w:rsid w:val="00911B3F"/>
    <w:rsid w:val="00911B85"/>
    <w:rsid w:val="00912288"/>
    <w:rsid w:val="00912436"/>
    <w:rsid w:val="00912632"/>
    <w:rsid w:val="009127AD"/>
    <w:rsid w:val="00912904"/>
    <w:rsid w:val="00912A4C"/>
    <w:rsid w:val="00912ADB"/>
    <w:rsid w:val="00912C1F"/>
    <w:rsid w:val="00912E06"/>
    <w:rsid w:val="0091345F"/>
    <w:rsid w:val="0091375E"/>
    <w:rsid w:val="0091393D"/>
    <w:rsid w:val="00913BEE"/>
    <w:rsid w:val="00913D1C"/>
    <w:rsid w:val="009142AC"/>
    <w:rsid w:val="00914B37"/>
    <w:rsid w:val="00914EEE"/>
    <w:rsid w:val="00915168"/>
    <w:rsid w:val="00915B8A"/>
    <w:rsid w:val="00915BE2"/>
    <w:rsid w:val="009161B9"/>
    <w:rsid w:val="00916960"/>
    <w:rsid w:val="00916A37"/>
    <w:rsid w:val="00916BEB"/>
    <w:rsid w:val="00916DCD"/>
    <w:rsid w:val="00917017"/>
    <w:rsid w:val="00917062"/>
    <w:rsid w:val="0091796D"/>
    <w:rsid w:val="00917E49"/>
    <w:rsid w:val="00917E7F"/>
    <w:rsid w:val="0092021A"/>
    <w:rsid w:val="009204B4"/>
    <w:rsid w:val="00920B35"/>
    <w:rsid w:val="00920ED3"/>
    <w:rsid w:val="00920FB2"/>
    <w:rsid w:val="00921444"/>
    <w:rsid w:val="00921521"/>
    <w:rsid w:val="009217B2"/>
    <w:rsid w:val="009217B8"/>
    <w:rsid w:val="00921BE9"/>
    <w:rsid w:val="00921F85"/>
    <w:rsid w:val="00922061"/>
    <w:rsid w:val="009222F3"/>
    <w:rsid w:val="0092251E"/>
    <w:rsid w:val="009225CB"/>
    <w:rsid w:val="00922750"/>
    <w:rsid w:val="00922928"/>
    <w:rsid w:val="00922B84"/>
    <w:rsid w:val="00922BB2"/>
    <w:rsid w:val="00922BB8"/>
    <w:rsid w:val="00922DC5"/>
    <w:rsid w:val="009230D0"/>
    <w:rsid w:val="0092328E"/>
    <w:rsid w:val="00923439"/>
    <w:rsid w:val="009234C4"/>
    <w:rsid w:val="00923A99"/>
    <w:rsid w:val="00923AF0"/>
    <w:rsid w:val="009240EF"/>
    <w:rsid w:val="00924406"/>
    <w:rsid w:val="0092475F"/>
    <w:rsid w:val="00924BDA"/>
    <w:rsid w:val="00925149"/>
    <w:rsid w:val="009254D8"/>
    <w:rsid w:val="00925547"/>
    <w:rsid w:val="00925756"/>
    <w:rsid w:val="0092585C"/>
    <w:rsid w:val="0092599C"/>
    <w:rsid w:val="00925A05"/>
    <w:rsid w:val="00925B90"/>
    <w:rsid w:val="00925F5D"/>
    <w:rsid w:val="00926CD2"/>
    <w:rsid w:val="00926F3C"/>
    <w:rsid w:val="00926FC0"/>
    <w:rsid w:val="00927035"/>
    <w:rsid w:val="0092719E"/>
    <w:rsid w:val="009275DF"/>
    <w:rsid w:val="0093026A"/>
    <w:rsid w:val="00930396"/>
    <w:rsid w:val="00930CB1"/>
    <w:rsid w:val="00930E74"/>
    <w:rsid w:val="00930FDB"/>
    <w:rsid w:val="0093104F"/>
    <w:rsid w:val="00931060"/>
    <w:rsid w:val="00931143"/>
    <w:rsid w:val="00931260"/>
    <w:rsid w:val="009312B4"/>
    <w:rsid w:val="00931680"/>
    <w:rsid w:val="009317B7"/>
    <w:rsid w:val="009318A4"/>
    <w:rsid w:val="009318A6"/>
    <w:rsid w:val="00931C6F"/>
    <w:rsid w:val="00932200"/>
    <w:rsid w:val="0093228D"/>
    <w:rsid w:val="009323C1"/>
    <w:rsid w:val="009324BA"/>
    <w:rsid w:val="00932543"/>
    <w:rsid w:val="009326CC"/>
    <w:rsid w:val="00932955"/>
    <w:rsid w:val="00932A03"/>
    <w:rsid w:val="00932C25"/>
    <w:rsid w:val="00932F7F"/>
    <w:rsid w:val="00933705"/>
    <w:rsid w:val="009337DA"/>
    <w:rsid w:val="009338CF"/>
    <w:rsid w:val="00933904"/>
    <w:rsid w:val="00933C34"/>
    <w:rsid w:val="00933FE4"/>
    <w:rsid w:val="00934025"/>
    <w:rsid w:val="009342B6"/>
    <w:rsid w:val="009343B3"/>
    <w:rsid w:val="009345EB"/>
    <w:rsid w:val="00934B5F"/>
    <w:rsid w:val="00935147"/>
    <w:rsid w:val="00935615"/>
    <w:rsid w:val="009357AC"/>
    <w:rsid w:val="00935DC8"/>
    <w:rsid w:val="00935F45"/>
    <w:rsid w:val="00936265"/>
    <w:rsid w:val="0093655F"/>
    <w:rsid w:val="00936C02"/>
    <w:rsid w:val="00936D08"/>
    <w:rsid w:val="00937124"/>
    <w:rsid w:val="00937497"/>
    <w:rsid w:val="00937593"/>
    <w:rsid w:val="00937775"/>
    <w:rsid w:val="00940029"/>
    <w:rsid w:val="00940089"/>
    <w:rsid w:val="00940153"/>
    <w:rsid w:val="00940217"/>
    <w:rsid w:val="009403D5"/>
    <w:rsid w:val="00940646"/>
    <w:rsid w:val="00940A66"/>
    <w:rsid w:val="00940BA5"/>
    <w:rsid w:val="00940C55"/>
    <w:rsid w:val="00940FD4"/>
    <w:rsid w:val="009411F7"/>
    <w:rsid w:val="009412DA"/>
    <w:rsid w:val="009420C4"/>
    <w:rsid w:val="0094212C"/>
    <w:rsid w:val="00942A43"/>
    <w:rsid w:val="00942AD2"/>
    <w:rsid w:val="00942D89"/>
    <w:rsid w:val="00942FA8"/>
    <w:rsid w:val="0094319B"/>
    <w:rsid w:val="0094337C"/>
    <w:rsid w:val="009435B1"/>
    <w:rsid w:val="009435FD"/>
    <w:rsid w:val="009436DE"/>
    <w:rsid w:val="009438A0"/>
    <w:rsid w:val="0094398B"/>
    <w:rsid w:val="00943A4F"/>
    <w:rsid w:val="00943B37"/>
    <w:rsid w:val="00943E3E"/>
    <w:rsid w:val="00943ECF"/>
    <w:rsid w:val="00943FF2"/>
    <w:rsid w:val="009448EF"/>
    <w:rsid w:val="00944A74"/>
    <w:rsid w:val="00944BB8"/>
    <w:rsid w:val="00944CA3"/>
    <w:rsid w:val="009452FB"/>
    <w:rsid w:val="0094543E"/>
    <w:rsid w:val="00945623"/>
    <w:rsid w:val="0094576B"/>
    <w:rsid w:val="009458F2"/>
    <w:rsid w:val="00945921"/>
    <w:rsid w:val="00945A70"/>
    <w:rsid w:val="00945BDB"/>
    <w:rsid w:val="00945CE5"/>
    <w:rsid w:val="00945EC9"/>
    <w:rsid w:val="00946D7C"/>
    <w:rsid w:val="00947E6B"/>
    <w:rsid w:val="00947E77"/>
    <w:rsid w:val="00947F50"/>
    <w:rsid w:val="00950664"/>
    <w:rsid w:val="009506E1"/>
    <w:rsid w:val="00950A2B"/>
    <w:rsid w:val="00951060"/>
    <w:rsid w:val="009513C7"/>
    <w:rsid w:val="00951467"/>
    <w:rsid w:val="00951695"/>
    <w:rsid w:val="0095190D"/>
    <w:rsid w:val="00951E20"/>
    <w:rsid w:val="00951E6D"/>
    <w:rsid w:val="00952329"/>
    <w:rsid w:val="00952617"/>
    <w:rsid w:val="0095286C"/>
    <w:rsid w:val="00952924"/>
    <w:rsid w:val="00952AD5"/>
    <w:rsid w:val="00953334"/>
    <w:rsid w:val="0095344F"/>
    <w:rsid w:val="0095368E"/>
    <w:rsid w:val="00953892"/>
    <w:rsid w:val="00953C0B"/>
    <w:rsid w:val="00953D70"/>
    <w:rsid w:val="00953E8F"/>
    <w:rsid w:val="00953F33"/>
    <w:rsid w:val="009547B8"/>
    <w:rsid w:val="009549BA"/>
    <w:rsid w:val="00954A0D"/>
    <w:rsid w:val="00954AB3"/>
    <w:rsid w:val="00954DFB"/>
    <w:rsid w:val="00954FD6"/>
    <w:rsid w:val="009552D1"/>
    <w:rsid w:val="00955393"/>
    <w:rsid w:val="009560D4"/>
    <w:rsid w:val="00956119"/>
    <w:rsid w:val="009565FC"/>
    <w:rsid w:val="009566AE"/>
    <w:rsid w:val="00956AC0"/>
    <w:rsid w:val="00956AF1"/>
    <w:rsid w:val="00956E92"/>
    <w:rsid w:val="00957283"/>
    <w:rsid w:val="0095748D"/>
    <w:rsid w:val="00957546"/>
    <w:rsid w:val="0095774E"/>
    <w:rsid w:val="00957915"/>
    <w:rsid w:val="009579D6"/>
    <w:rsid w:val="00957BCE"/>
    <w:rsid w:val="00957D43"/>
    <w:rsid w:val="00957F00"/>
    <w:rsid w:val="009603CE"/>
    <w:rsid w:val="00960413"/>
    <w:rsid w:val="00960DDA"/>
    <w:rsid w:val="00960EA1"/>
    <w:rsid w:val="0096109F"/>
    <w:rsid w:val="009612B5"/>
    <w:rsid w:val="00961416"/>
    <w:rsid w:val="00961561"/>
    <w:rsid w:val="0096165A"/>
    <w:rsid w:val="009623CF"/>
    <w:rsid w:val="00962411"/>
    <w:rsid w:val="00962541"/>
    <w:rsid w:val="0096277B"/>
    <w:rsid w:val="00962784"/>
    <w:rsid w:val="0096285A"/>
    <w:rsid w:val="009628C7"/>
    <w:rsid w:val="00962966"/>
    <w:rsid w:val="00962DE3"/>
    <w:rsid w:val="00962F43"/>
    <w:rsid w:val="00963099"/>
    <w:rsid w:val="009636A5"/>
    <w:rsid w:val="009638D4"/>
    <w:rsid w:val="0096417E"/>
    <w:rsid w:val="009642BC"/>
    <w:rsid w:val="0096474A"/>
    <w:rsid w:val="00964CE0"/>
    <w:rsid w:val="00964E02"/>
    <w:rsid w:val="00964FB9"/>
    <w:rsid w:val="009651BB"/>
    <w:rsid w:val="00965B25"/>
    <w:rsid w:val="00965CA7"/>
    <w:rsid w:val="009662A2"/>
    <w:rsid w:val="009662F9"/>
    <w:rsid w:val="009668AE"/>
    <w:rsid w:val="00966E91"/>
    <w:rsid w:val="00966F45"/>
    <w:rsid w:val="00966FBF"/>
    <w:rsid w:val="00967264"/>
    <w:rsid w:val="009676C4"/>
    <w:rsid w:val="00970171"/>
    <w:rsid w:val="00970661"/>
    <w:rsid w:val="00970787"/>
    <w:rsid w:val="00970B2E"/>
    <w:rsid w:val="00970C8E"/>
    <w:rsid w:val="00970EA9"/>
    <w:rsid w:val="0097145F"/>
    <w:rsid w:val="00971DF6"/>
    <w:rsid w:val="009720FD"/>
    <w:rsid w:val="00972106"/>
    <w:rsid w:val="00972390"/>
    <w:rsid w:val="009723C1"/>
    <w:rsid w:val="009729D7"/>
    <w:rsid w:val="00972B7F"/>
    <w:rsid w:val="00972D3B"/>
    <w:rsid w:val="00972E8A"/>
    <w:rsid w:val="009731DC"/>
    <w:rsid w:val="00973414"/>
    <w:rsid w:val="00973453"/>
    <w:rsid w:val="009734CC"/>
    <w:rsid w:val="009735D1"/>
    <w:rsid w:val="00973D19"/>
    <w:rsid w:val="00973E0A"/>
    <w:rsid w:val="009743B0"/>
    <w:rsid w:val="009747D7"/>
    <w:rsid w:val="009752A0"/>
    <w:rsid w:val="00975593"/>
    <w:rsid w:val="0097561C"/>
    <w:rsid w:val="009759A5"/>
    <w:rsid w:val="00975A26"/>
    <w:rsid w:val="00975AA9"/>
    <w:rsid w:val="00975B19"/>
    <w:rsid w:val="00975B96"/>
    <w:rsid w:val="0097618C"/>
    <w:rsid w:val="009763C3"/>
    <w:rsid w:val="009767CC"/>
    <w:rsid w:val="00976845"/>
    <w:rsid w:val="00976B19"/>
    <w:rsid w:val="00976F18"/>
    <w:rsid w:val="00977A1E"/>
    <w:rsid w:val="00977BE6"/>
    <w:rsid w:val="00977E6D"/>
    <w:rsid w:val="009804C6"/>
    <w:rsid w:val="00980771"/>
    <w:rsid w:val="00980F5F"/>
    <w:rsid w:val="00981072"/>
    <w:rsid w:val="0098153E"/>
    <w:rsid w:val="00981CA8"/>
    <w:rsid w:val="00981D98"/>
    <w:rsid w:val="00981ECE"/>
    <w:rsid w:val="0098236E"/>
    <w:rsid w:val="009826B6"/>
    <w:rsid w:val="0098279B"/>
    <w:rsid w:val="00982D96"/>
    <w:rsid w:val="009833C0"/>
    <w:rsid w:val="0098353C"/>
    <w:rsid w:val="00983A8E"/>
    <w:rsid w:val="00983EAE"/>
    <w:rsid w:val="0098450F"/>
    <w:rsid w:val="009845D3"/>
    <w:rsid w:val="0098466A"/>
    <w:rsid w:val="009846F6"/>
    <w:rsid w:val="00984861"/>
    <w:rsid w:val="00984A90"/>
    <w:rsid w:val="00984FDB"/>
    <w:rsid w:val="009850C8"/>
    <w:rsid w:val="009856D2"/>
    <w:rsid w:val="0098585E"/>
    <w:rsid w:val="00985BA4"/>
    <w:rsid w:val="00985D08"/>
    <w:rsid w:val="00985E22"/>
    <w:rsid w:val="00985F0F"/>
    <w:rsid w:val="00985F6C"/>
    <w:rsid w:val="00986093"/>
    <w:rsid w:val="009860B1"/>
    <w:rsid w:val="00986628"/>
    <w:rsid w:val="0098664D"/>
    <w:rsid w:val="00986669"/>
    <w:rsid w:val="009866B7"/>
    <w:rsid w:val="009866FA"/>
    <w:rsid w:val="0098678E"/>
    <w:rsid w:val="00986BE3"/>
    <w:rsid w:val="00986BF9"/>
    <w:rsid w:val="009875E4"/>
    <w:rsid w:val="009878E6"/>
    <w:rsid w:val="00987BF7"/>
    <w:rsid w:val="009903DA"/>
    <w:rsid w:val="009904A8"/>
    <w:rsid w:val="00990D59"/>
    <w:rsid w:val="00990F07"/>
    <w:rsid w:val="009910F5"/>
    <w:rsid w:val="0099130F"/>
    <w:rsid w:val="009915B2"/>
    <w:rsid w:val="009916E4"/>
    <w:rsid w:val="009917FD"/>
    <w:rsid w:val="00991802"/>
    <w:rsid w:val="009918AC"/>
    <w:rsid w:val="00991972"/>
    <w:rsid w:val="00991A04"/>
    <w:rsid w:val="00991E4D"/>
    <w:rsid w:val="009920D2"/>
    <w:rsid w:val="009922F8"/>
    <w:rsid w:val="009925C2"/>
    <w:rsid w:val="00992764"/>
    <w:rsid w:val="009936A6"/>
    <w:rsid w:val="009937E1"/>
    <w:rsid w:val="0099391B"/>
    <w:rsid w:val="00993963"/>
    <w:rsid w:val="0099398A"/>
    <w:rsid w:val="00993B01"/>
    <w:rsid w:val="00994462"/>
    <w:rsid w:val="0099519A"/>
    <w:rsid w:val="009959AD"/>
    <w:rsid w:val="00995BDE"/>
    <w:rsid w:val="00995D4D"/>
    <w:rsid w:val="00995FF2"/>
    <w:rsid w:val="00995FFB"/>
    <w:rsid w:val="009963CE"/>
    <w:rsid w:val="00996612"/>
    <w:rsid w:val="00996692"/>
    <w:rsid w:val="00996A23"/>
    <w:rsid w:val="00996B7A"/>
    <w:rsid w:val="00996EA3"/>
    <w:rsid w:val="00997182"/>
    <w:rsid w:val="00997F51"/>
    <w:rsid w:val="009A005D"/>
    <w:rsid w:val="009A03D5"/>
    <w:rsid w:val="009A0720"/>
    <w:rsid w:val="009A0865"/>
    <w:rsid w:val="009A0BD9"/>
    <w:rsid w:val="009A0DFD"/>
    <w:rsid w:val="009A1716"/>
    <w:rsid w:val="009A1A98"/>
    <w:rsid w:val="009A1D00"/>
    <w:rsid w:val="009A1E1D"/>
    <w:rsid w:val="009A253C"/>
    <w:rsid w:val="009A27F6"/>
    <w:rsid w:val="009A28BE"/>
    <w:rsid w:val="009A2B50"/>
    <w:rsid w:val="009A2C37"/>
    <w:rsid w:val="009A2C97"/>
    <w:rsid w:val="009A2DBB"/>
    <w:rsid w:val="009A2EB4"/>
    <w:rsid w:val="009A2EDF"/>
    <w:rsid w:val="009A32CC"/>
    <w:rsid w:val="009A37C1"/>
    <w:rsid w:val="009A3EB3"/>
    <w:rsid w:val="009A40D9"/>
    <w:rsid w:val="009A41CA"/>
    <w:rsid w:val="009A421A"/>
    <w:rsid w:val="009A4443"/>
    <w:rsid w:val="009A4C0B"/>
    <w:rsid w:val="009A4C4F"/>
    <w:rsid w:val="009A4D07"/>
    <w:rsid w:val="009A4DF3"/>
    <w:rsid w:val="009A50F4"/>
    <w:rsid w:val="009A53D0"/>
    <w:rsid w:val="009A54EB"/>
    <w:rsid w:val="009A5849"/>
    <w:rsid w:val="009A595C"/>
    <w:rsid w:val="009A598B"/>
    <w:rsid w:val="009A5BFB"/>
    <w:rsid w:val="009A5FAD"/>
    <w:rsid w:val="009A60FB"/>
    <w:rsid w:val="009A61E5"/>
    <w:rsid w:val="009A65F5"/>
    <w:rsid w:val="009A66E8"/>
    <w:rsid w:val="009A69C4"/>
    <w:rsid w:val="009A6BE1"/>
    <w:rsid w:val="009A6EE3"/>
    <w:rsid w:val="009A6FE0"/>
    <w:rsid w:val="009A712C"/>
    <w:rsid w:val="009A729F"/>
    <w:rsid w:val="009A7E7B"/>
    <w:rsid w:val="009A7EC2"/>
    <w:rsid w:val="009B059F"/>
    <w:rsid w:val="009B0BA6"/>
    <w:rsid w:val="009B0BB1"/>
    <w:rsid w:val="009B0C6A"/>
    <w:rsid w:val="009B1168"/>
    <w:rsid w:val="009B1201"/>
    <w:rsid w:val="009B135E"/>
    <w:rsid w:val="009B13C6"/>
    <w:rsid w:val="009B16DB"/>
    <w:rsid w:val="009B1945"/>
    <w:rsid w:val="009B20A8"/>
    <w:rsid w:val="009B23A1"/>
    <w:rsid w:val="009B26C6"/>
    <w:rsid w:val="009B2B6B"/>
    <w:rsid w:val="009B2BC7"/>
    <w:rsid w:val="009B2C09"/>
    <w:rsid w:val="009B305F"/>
    <w:rsid w:val="009B31BA"/>
    <w:rsid w:val="009B3555"/>
    <w:rsid w:val="009B4684"/>
    <w:rsid w:val="009B4893"/>
    <w:rsid w:val="009B49E7"/>
    <w:rsid w:val="009B4AD0"/>
    <w:rsid w:val="009B4BB5"/>
    <w:rsid w:val="009B4F98"/>
    <w:rsid w:val="009B552D"/>
    <w:rsid w:val="009B5576"/>
    <w:rsid w:val="009B55BB"/>
    <w:rsid w:val="009B55EE"/>
    <w:rsid w:val="009B5868"/>
    <w:rsid w:val="009B59C2"/>
    <w:rsid w:val="009B5A6A"/>
    <w:rsid w:val="009B5D6C"/>
    <w:rsid w:val="009B5EB1"/>
    <w:rsid w:val="009B6033"/>
    <w:rsid w:val="009B60EB"/>
    <w:rsid w:val="009B6211"/>
    <w:rsid w:val="009B6281"/>
    <w:rsid w:val="009B6749"/>
    <w:rsid w:val="009B6856"/>
    <w:rsid w:val="009B6A28"/>
    <w:rsid w:val="009B70C6"/>
    <w:rsid w:val="009B7966"/>
    <w:rsid w:val="009B7C20"/>
    <w:rsid w:val="009B7D55"/>
    <w:rsid w:val="009C03B4"/>
    <w:rsid w:val="009C0688"/>
    <w:rsid w:val="009C0C24"/>
    <w:rsid w:val="009C0FA9"/>
    <w:rsid w:val="009C1387"/>
    <w:rsid w:val="009C1B82"/>
    <w:rsid w:val="009C21DC"/>
    <w:rsid w:val="009C2322"/>
    <w:rsid w:val="009C249E"/>
    <w:rsid w:val="009C2AAD"/>
    <w:rsid w:val="009C2ACA"/>
    <w:rsid w:val="009C2B9C"/>
    <w:rsid w:val="009C31B0"/>
    <w:rsid w:val="009C33A3"/>
    <w:rsid w:val="009C3459"/>
    <w:rsid w:val="009C365F"/>
    <w:rsid w:val="009C3B89"/>
    <w:rsid w:val="009C3C35"/>
    <w:rsid w:val="009C3C67"/>
    <w:rsid w:val="009C3D20"/>
    <w:rsid w:val="009C3F91"/>
    <w:rsid w:val="009C3FE9"/>
    <w:rsid w:val="009C42AE"/>
    <w:rsid w:val="009C45F3"/>
    <w:rsid w:val="009C4768"/>
    <w:rsid w:val="009C4C15"/>
    <w:rsid w:val="009C4C36"/>
    <w:rsid w:val="009C4C5C"/>
    <w:rsid w:val="009C4EC8"/>
    <w:rsid w:val="009C506A"/>
    <w:rsid w:val="009C5B38"/>
    <w:rsid w:val="009C5FF5"/>
    <w:rsid w:val="009C6063"/>
    <w:rsid w:val="009C6791"/>
    <w:rsid w:val="009C69CE"/>
    <w:rsid w:val="009C6B2E"/>
    <w:rsid w:val="009C7039"/>
    <w:rsid w:val="009C703B"/>
    <w:rsid w:val="009C709B"/>
    <w:rsid w:val="009C72CE"/>
    <w:rsid w:val="009C753E"/>
    <w:rsid w:val="009C76E1"/>
    <w:rsid w:val="009C7785"/>
    <w:rsid w:val="009C7A2C"/>
    <w:rsid w:val="009D005C"/>
    <w:rsid w:val="009D0252"/>
    <w:rsid w:val="009D037A"/>
    <w:rsid w:val="009D04B6"/>
    <w:rsid w:val="009D09B5"/>
    <w:rsid w:val="009D0CDD"/>
    <w:rsid w:val="009D10E2"/>
    <w:rsid w:val="009D1142"/>
    <w:rsid w:val="009D125A"/>
    <w:rsid w:val="009D2021"/>
    <w:rsid w:val="009D24CB"/>
    <w:rsid w:val="009D265A"/>
    <w:rsid w:val="009D286B"/>
    <w:rsid w:val="009D2C18"/>
    <w:rsid w:val="009D2F38"/>
    <w:rsid w:val="009D32AB"/>
    <w:rsid w:val="009D3481"/>
    <w:rsid w:val="009D34D3"/>
    <w:rsid w:val="009D3598"/>
    <w:rsid w:val="009D3C69"/>
    <w:rsid w:val="009D4268"/>
    <w:rsid w:val="009D426C"/>
    <w:rsid w:val="009D42A1"/>
    <w:rsid w:val="009D438C"/>
    <w:rsid w:val="009D4835"/>
    <w:rsid w:val="009D4C32"/>
    <w:rsid w:val="009D5247"/>
    <w:rsid w:val="009D536D"/>
    <w:rsid w:val="009D54C5"/>
    <w:rsid w:val="009D5A22"/>
    <w:rsid w:val="009D6018"/>
    <w:rsid w:val="009D60D2"/>
    <w:rsid w:val="009D63E8"/>
    <w:rsid w:val="009D64A7"/>
    <w:rsid w:val="009D6700"/>
    <w:rsid w:val="009D6A62"/>
    <w:rsid w:val="009D6BC5"/>
    <w:rsid w:val="009D6ED4"/>
    <w:rsid w:val="009D6F16"/>
    <w:rsid w:val="009D7136"/>
    <w:rsid w:val="009D724D"/>
    <w:rsid w:val="009D7259"/>
    <w:rsid w:val="009D77C9"/>
    <w:rsid w:val="009D793D"/>
    <w:rsid w:val="009D7A4A"/>
    <w:rsid w:val="009D7D6B"/>
    <w:rsid w:val="009E019F"/>
    <w:rsid w:val="009E0665"/>
    <w:rsid w:val="009E0673"/>
    <w:rsid w:val="009E0881"/>
    <w:rsid w:val="009E0DD2"/>
    <w:rsid w:val="009E139E"/>
    <w:rsid w:val="009E15AF"/>
    <w:rsid w:val="009E16BD"/>
    <w:rsid w:val="009E1AC6"/>
    <w:rsid w:val="009E1FBC"/>
    <w:rsid w:val="009E22FC"/>
    <w:rsid w:val="009E2515"/>
    <w:rsid w:val="009E2709"/>
    <w:rsid w:val="009E27B7"/>
    <w:rsid w:val="009E283A"/>
    <w:rsid w:val="009E28C4"/>
    <w:rsid w:val="009E28C8"/>
    <w:rsid w:val="009E2CDD"/>
    <w:rsid w:val="009E2E74"/>
    <w:rsid w:val="009E2ECB"/>
    <w:rsid w:val="009E31B0"/>
    <w:rsid w:val="009E31B6"/>
    <w:rsid w:val="009E340E"/>
    <w:rsid w:val="009E3415"/>
    <w:rsid w:val="009E35F3"/>
    <w:rsid w:val="009E3716"/>
    <w:rsid w:val="009E3B79"/>
    <w:rsid w:val="009E3F39"/>
    <w:rsid w:val="009E3F51"/>
    <w:rsid w:val="009E3F8C"/>
    <w:rsid w:val="009E4148"/>
    <w:rsid w:val="009E4238"/>
    <w:rsid w:val="009E4239"/>
    <w:rsid w:val="009E42E1"/>
    <w:rsid w:val="009E4370"/>
    <w:rsid w:val="009E43C9"/>
    <w:rsid w:val="009E46A1"/>
    <w:rsid w:val="009E46D2"/>
    <w:rsid w:val="009E4706"/>
    <w:rsid w:val="009E47AA"/>
    <w:rsid w:val="009E4C1C"/>
    <w:rsid w:val="009E4FA9"/>
    <w:rsid w:val="009E5355"/>
    <w:rsid w:val="009E5CE0"/>
    <w:rsid w:val="009E6024"/>
    <w:rsid w:val="009E6043"/>
    <w:rsid w:val="009E6055"/>
    <w:rsid w:val="009E6765"/>
    <w:rsid w:val="009E6AED"/>
    <w:rsid w:val="009E6B7E"/>
    <w:rsid w:val="009E6F46"/>
    <w:rsid w:val="009E7525"/>
    <w:rsid w:val="009E7C57"/>
    <w:rsid w:val="009E7E88"/>
    <w:rsid w:val="009F0111"/>
    <w:rsid w:val="009F01BD"/>
    <w:rsid w:val="009F03F2"/>
    <w:rsid w:val="009F0435"/>
    <w:rsid w:val="009F048B"/>
    <w:rsid w:val="009F0744"/>
    <w:rsid w:val="009F0A93"/>
    <w:rsid w:val="009F0B3C"/>
    <w:rsid w:val="009F0B78"/>
    <w:rsid w:val="009F0BCD"/>
    <w:rsid w:val="009F0E9E"/>
    <w:rsid w:val="009F0FC5"/>
    <w:rsid w:val="009F12D7"/>
    <w:rsid w:val="009F1502"/>
    <w:rsid w:val="009F1A85"/>
    <w:rsid w:val="009F1CA4"/>
    <w:rsid w:val="009F1CBC"/>
    <w:rsid w:val="009F1E26"/>
    <w:rsid w:val="009F26A9"/>
    <w:rsid w:val="009F28D8"/>
    <w:rsid w:val="009F2A94"/>
    <w:rsid w:val="009F2BC5"/>
    <w:rsid w:val="009F2EF9"/>
    <w:rsid w:val="009F2FEA"/>
    <w:rsid w:val="009F358B"/>
    <w:rsid w:val="009F35B7"/>
    <w:rsid w:val="009F3963"/>
    <w:rsid w:val="009F4336"/>
    <w:rsid w:val="009F4486"/>
    <w:rsid w:val="009F44AD"/>
    <w:rsid w:val="009F4659"/>
    <w:rsid w:val="009F497F"/>
    <w:rsid w:val="009F4A06"/>
    <w:rsid w:val="009F4D8C"/>
    <w:rsid w:val="009F4ED8"/>
    <w:rsid w:val="009F5041"/>
    <w:rsid w:val="009F5073"/>
    <w:rsid w:val="009F530C"/>
    <w:rsid w:val="009F553C"/>
    <w:rsid w:val="009F56B3"/>
    <w:rsid w:val="009F5B8A"/>
    <w:rsid w:val="009F5BB7"/>
    <w:rsid w:val="009F5C87"/>
    <w:rsid w:val="009F60EF"/>
    <w:rsid w:val="009F6F9C"/>
    <w:rsid w:val="009F6FBC"/>
    <w:rsid w:val="009F74BC"/>
    <w:rsid w:val="009F74CE"/>
    <w:rsid w:val="009F76FF"/>
    <w:rsid w:val="009F7757"/>
    <w:rsid w:val="009F7CD2"/>
    <w:rsid w:val="009F7F67"/>
    <w:rsid w:val="00A000EC"/>
    <w:rsid w:val="00A004CB"/>
    <w:rsid w:val="00A0092C"/>
    <w:rsid w:val="00A01225"/>
    <w:rsid w:val="00A014B6"/>
    <w:rsid w:val="00A01732"/>
    <w:rsid w:val="00A01751"/>
    <w:rsid w:val="00A019A2"/>
    <w:rsid w:val="00A01A39"/>
    <w:rsid w:val="00A02002"/>
    <w:rsid w:val="00A02187"/>
    <w:rsid w:val="00A023EF"/>
    <w:rsid w:val="00A026C8"/>
    <w:rsid w:val="00A02CAD"/>
    <w:rsid w:val="00A02DC4"/>
    <w:rsid w:val="00A02E56"/>
    <w:rsid w:val="00A031E8"/>
    <w:rsid w:val="00A034FB"/>
    <w:rsid w:val="00A035CF"/>
    <w:rsid w:val="00A0383D"/>
    <w:rsid w:val="00A03A80"/>
    <w:rsid w:val="00A040C5"/>
    <w:rsid w:val="00A04108"/>
    <w:rsid w:val="00A0421B"/>
    <w:rsid w:val="00A04573"/>
    <w:rsid w:val="00A0462C"/>
    <w:rsid w:val="00A046C2"/>
    <w:rsid w:val="00A04C35"/>
    <w:rsid w:val="00A04CCF"/>
    <w:rsid w:val="00A04F7A"/>
    <w:rsid w:val="00A05FCF"/>
    <w:rsid w:val="00A05FE7"/>
    <w:rsid w:val="00A0614A"/>
    <w:rsid w:val="00A06169"/>
    <w:rsid w:val="00A0645A"/>
    <w:rsid w:val="00A0648B"/>
    <w:rsid w:val="00A064AC"/>
    <w:rsid w:val="00A06516"/>
    <w:rsid w:val="00A069FC"/>
    <w:rsid w:val="00A07085"/>
    <w:rsid w:val="00A070ED"/>
    <w:rsid w:val="00A07500"/>
    <w:rsid w:val="00A07841"/>
    <w:rsid w:val="00A078AD"/>
    <w:rsid w:val="00A078C2"/>
    <w:rsid w:val="00A07BA6"/>
    <w:rsid w:val="00A07E80"/>
    <w:rsid w:val="00A07EFC"/>
    <w:rsid w:val="00A10386"/>
    <w:rsid w:val="00A1044D"/>
    <w:rsid w:val="00A105A2"/>
    <w:rsid w:val="00A105E0"/>
    <w:rsid w:val="00A10747"/>
    <w:rsid w:val="00A107F8"/>
    <w:rsid w:val="00A108F8"/>
    <w:rsid w:val="00A109F8"/>
    <w:rsid w:val="00A10A95"/>
    <w:rsid w:val="00A10D99"/>
    <w:rsid w:val="00A10E12"/>
    <w:rsid w:val="00A11072"/>
    <w:rsid w:val="00A115B2"/>
    <w:rsid w:val="00A11767"/>
    <w:rsid w:val="00A1186B"/>
    <w:rsid w:val="00A118C8"/>
    <w:rsid w:val="00A11A7C"/>
    <w:rsid w:val="00A11AC9"/>
    <w:rsid w:val="00A11BF0"/>
    <w:rsid w:val="00A11F01"/>
    <w:rsid w:val="00A121B1"/>
    <w:rsid w:val="00A12253"/>
    <w:rsid w:val="00A1247C"/>
    <w:rsid w:val="00A126EC"/>
    <w:rsid w:val="00A1292D"/>
    <w:rsid w:val="00A12A03"/>
    <w:rsid w:val="00A12A93"/>
    <w:rsid w:val="00A12E2F"/>
    <w:rsid w:val="00A12F54"/>
    <w:rsid w:val="00A130BC"/>
    <w:rsid w:val="00A131E3"/>
    <w:rsid w:val="00A132A4"/>
    <w:rsid w:val="00A1371F"/>
    <w:rsid w:val="00A1377A"/>
    <w:rsid w:val="00A13801"/>
    <w:rsid w:val="00A1389B"/>
    <w:rsid w:val="00A13D31"/>
    <w:rsid w:val="00A13F37"/>
    <w:rsid w:val="00A1413A"/>
    <w:rsid w:val="00A14273"/>
    <w:rsid w:val="00A142A3"/>
    <w:rsid w:val="00A1440F"/>
    <w:rsid w:val="00A1464E"/>
    <w:rsid w:val="00A14B64"/>
    <w:rsid w:val="00A14C50"/>
    <w:rsid w:val="00A15B2E"/>
    <w:rsid w:val="00A15B5D"/>
    <w:rsid w:val="00A15CB4"/>
    <w:rsid w:val="00A1610E"/>
    <w:rsid w:val="00A16398"/>
    <w:rsid w:val="00A16658"/>
    <w:rsid w:val="00A16846"/>
    <w:rsid w:val="00A1711F"/>
    <w:rsid w:val="00A171EA"/>
    <w:rsid w:val="00A1727C"/>
    <w:rsid w:val="00A17A59"/>
    <w:rsid w:val="00A17D54"/>
    <w:rsid w:val="00A17F60"/>
    <w:rsid w:val="00A2010E"/>
    <w:rsid w:val="00A20199"/>
    <w:rsid w:val="00A2025A"/>
    <w:rsid w:val="00A207C5"/>
    <w:rsid w:val="00A20A7D"/>
    <w:rsid w:val="00A20B19"/>
    <w:rsid w:val="00A210ED"/>
    <w:rsid w:val="00A21150"/>
    <w:rsid w:val="00A21534"/>
    <w:rsid w:val="00A21578"/>
    <w:rsid w:val="00A21AD8"/>
    <w:rsid w:val="00A21AF3"/>
    <w:rsid w:val="00A21BC4"/>
    <w:rsid w:val="00A221FB"/>
    <w:rsid w:val="00A22C59"/>
    <w:rsid w:val="00A233F8"/>
    <w:rsid w:val="00A23594"/>
    <w:rsid w:val="00A23624"/>
    <w:rsid w:val="00A23B94"/>
    <w:rsid w:val="00A23CB5"/>
    <w:rsid w:val="00A240C4"/>
    <w:rsid w:val="00A240F1"/>
    <w:rsid w:val="00A2434A"/>
    <w:rsid w:val="00A24469"/>
    <w:rsid w:val="00A2461D"/>
    <w:rsid w:val="00A24A78"/>
    <w:rsid w:val="00A24B82"/>
    <w:rsid w:val="00A24BED"/>
    <w:rsid w:val="00A24FBB"/>
    <w:rsid w:val="00A25105"/>
    <w:rsid w:val="00A25145"/>
    <w:rsid w:val="00A2552B"/>
    <w:rsid w:val="00A25792"/>
    <w:rsid w:val="00A257AD"/>
    <w:rsid w:val="00A259C0"/>
    <w:rsid w:val="00A25D8D"/>
    <w:rsid w:val="00A263B4"/>
    <w:rsid w:val="00A26955"/>
    <w:rsid w:val="00A26A01"/>
    <w:rsid w:val="00A26D72"/>
    <w:rsid w:val="00A26E41"/>
    <w:rsid w:val="00A26E68"/>
    <w:rsid w:val="00A26F2F"/>
    <w:rsid w:val="00A270F3"/>
    <w:rsid w:val="00A2728F"/>
    <w:rsid w:val="00A27339"/>
    <w:rsid w:val="00A27440"/>
    <w:rsid w:val="00A27451"/>
    <w:rsid w:val="00A27509"/>
    <w:rsid w:val="00A27CCB"/>
    <w:rsid w:val="00A27E58"/>
    <w:rsid w:val="00A27EBD"/>
    <w:rsid w:val="00A30354"/>
    <w:rsid w:val="00A30473"/>
    <w:rsid w:val="00A30AED"/>
    <w:rsid w:val="00A30DEB"/>
    <w:rsid w:val="00A30E98"/>
    <w:rsid w:val="00A30F90"/>
    <w:rsid w:val="00A31540"/>
    <w:rsid w:val="00A31985"/>
    <w:rsid w:val="00A31A1C"/>
    <w:rsid w:val="00A31AC4"/>
    <w:rsid w:val="00A31D39"/>
    <w:rsid w:val="00A32097"/>
    <w:rsid w:val="00A32147"/>
    <w:rsid w:val="00A32265"/>
    <w:rsid w:val="00A3262D"/>
    <w:rsid w:val="00A32715"/>
    <w:rsid w:val="00A3279F"/>
    <w:rsid w:val="00A329CE"/>
    <w:rsid w:val="00A32C0C"/>
    <w:rsid w:val="00A330AA"/>
    <w:rsid w:val="00A33DAA"/>
    <w:rsid w:val="00A33DCF"/>
    <w:rsid w:val="00A340E7"/>
    <w:rsid w:val="00A34343"/>
    <w:rsid w:val="00A34454"/>
    <w:rsid w:val="00A344F1"/>
    <w:rsid w:val="00A34655"/>
    <w:rsid w:val="00A34F37"/>
    <w:rsid w:val="00A35005"/>
    <w:rsid w:val="00A3513F"/>
    <w:rsid w:val="00A352C3"/>
    <w:rsid w:val="00A352C8"/>
    <w:rsid w:val="00A3539E"/>
    <w:rsid w:val="00A35487"/>
    <w:rsid w:val="00A3595A"/>
    <w:rsid w:val="00A35B60"/>
    <w:rsid w:val="00A35E04"/>
    <w:rsid w:val="00A36182"/>
    <w:rsid w:val="00A367E0"/>
    <w:rsid w:val="00A3691B"/>
    <w:rsid w:val="00A36B33"/>
    <w:rsid w:val="00A36D66"/>
    <w:rsid w:val="00A36D96"/>
    <w:rsid w:val="00A37AB4"/>
    <w:rsid w:val="00A37F32"/>
    <w:rsid w:val="00A40334"/>
    <w:rsid w:val="00A40440"/>
    <w:rsid w:val="00A40678"/>
    <w:rsid w:val="00A4071E"/>
    <w:rsid w:val="00A40741"/>
    <w:rsid w:val="00A408E3"/>
    <w:rsid w:val="00A40ABE"/>
    <w:rsid w:val="00A40E75"/>
    <w:rsid w:val="00A414AD"/>
    <w:rsid w:val="00A4172F"/>
    <w:rsid w:val="00A41863"/>
    <w:rsid w:val="00A419B7"/>
    <w:rsid w:val="00A41D39"/>
    <w:rsid w:val="00A42152"/>
    <w:rsid w:val="00A42449"/>
    <w:rsid w:val="00A424DF"/>
    <w:rsid w:val="00A425D5"/>
    <w:rsid w:val="00A428FE"/>
    <w:rsid w:val="00A42BAE"/>
    <w:rsid w:val="00A4311A"/>
    <w:rsid w:val="00A431A3"/>
    <w:rsid w:val="00A4325E"/>
    <w:rsid w:val="00A433AD"/>
    <w:rsid w:val="00A434A8"/>
    <w:rsid w:val="00A437E0"/>
    <w:rsid w:val="00A43A9C"/>
    <w:rsid w:val="00A43E33"/>
    <w:rsid w:val="00A449CB"/>
    <w:rsid w:val="00A44AB9"/>
    <w:rsid w:val="00A44BD2"/>
    <w:rsid w:val="00A44CB1"/>
    <w:rsid w:val="00A45099"/>
    <w:rsid w:val="00A45315"/>
    <w:rsid w:val="00A4532A"/>
    <w:rsid w:val="00A4535D"/>
    <w:rsid w:val="00A459FE"/>
    <w:rsid w:val="00A46772"/>
    <w:rsid w:val="00A468C2"/>
    <w:rsid w:val="00A468E5"/>
    <w:rsid w:val="00A46B7E"/>
    <w:rsid w:val="00A470A9"/>
    <w:rsid w:val="00A4719D"/>
    <w:rsid w:val="00A47449"/>
    <w:rsid w:val="00A47556"/>
    <w:rsid w:val="00A47A19"/>
    <w:rsid w:val="00A47AD4"/>
    <w:rsid w:val="00A47B6E"/>
    <w:rsid w:val="00A47FA4"/>
    <w:rsid w:val="00A5003C"/>
    <w:rsid w:val="00A506E6"/>
    <w:rsid w:val="00A50D6D"/>
    <w:rsid w:val="00A50DC6"/>
    <w:rsid w:val="00A51976"/>
    <w:rsid w:val="00A51BAD"/>
    <w:rsid w:val="00A520B2"/>
    <w:rsid w:val="00A52413"/>
    <w:rsid w:val="00A5247C"/>
    <w:rsid w:val="00A527F5"/>
    <w:rsid w:val="00A528D6"/>
    <w:rsid w:val="00A530E8"/>
    <w:rsid w:val="00A53685"/>
    <w:rsid w:val="00A53697"/>
    <w:rsid w:val="00A53D8A"/>
    <w:rsid w:val="00A54012"/>
    <w:rsid w:val="00A5432E"/>
    <w:rsid w:val="00A5485F"/>
    <w:rsid w:val="00A548E7"/>
    <w:rsid w:val="00A54BA0"/>
    <w:rsid w:val="00A55056"/>
    <w:rsid w:val="00A55141"/>
    <w:rsid w:val="00A5536C"/>
    <w:rsid w:val="00A55531"/>
    <w:rsid w:val="00A5566D"/>
    <w:rsid w:val="00A5575C"/>
    <w:rsid w:val="00A558A1"/>
    <w:rsid w:val="00A55E04"/>
    <w:rsid w:val="00A560AB"/>
    <w:rsid w:val="00A561CF"/>
    <w:rsid w:val="00A56242"/>
    <w:rsid w:val="00A563DD"/>
    <w:rsid w:val="00A56762"/>
    <w:rsid w:val="00A56BD7"/>
    <w:rsid w:val="00A56CA0"/>
    <w:rsid w:val="00A56DBE"/>
    <w:rsid w:val="00A56E89"/>
    <w:rsid w:val="00A56EBD"/>
    <w:rsid w:val="00A56F56"/>
    <w:rsid w:val="00A5700E"/>
    <w:rsid w:val="00A572E9"/>
    <w:rsid w:val="00A57570"/>
    <w:rsid w:val="00A578E2"/>
    <w:rsid w:val="00A57BCB"/>
    <w:rsid w:val="00A57C07"/>
    <w:rsid w:val="00A57E19"/>
    <w:rsid w:val="00A601E8"/>
    <w:rsid w:val="00A60AA2"/>
    <w:rsid w:val="00A60D8E"/>
    <w:rsid w:val="00A6118B"/>
    <w:rsid w:val="00A614A7"/>
    <w:rsid w:val="00A61881"/>
    <w:rsid w:val="00A61D3D"/>
    <w:rsid w:val="00A61ED7"/>
    <w:rsid w:val="00A621F5"/>
    <w:rsid w:val="00A62242"/>
    <w:rsid w:val="00A62304"/>
    <w:rsid w:val="00A627C2"/>
    <w:rsid w:val="00A62F2C"/>
    <w:rsid w:val="00A632A0"/>
    <w:rsid w:val="00A63375"/>
    <w:rsid w:val="00A63820"/>
    <w:rsid w:val="00A639DF"/>
    <w:rsid w:val="00A639FB"/>
    <w:rsid w:val="00A63C9A"/>
    <w:rsid w:val="00A64CB7"/>
    <w:rsid w:val="00A64D88"/>
    <w:rsid w:val="00A65128"/>
    <w:rsid w:val="00A651ED"/>
    <w:rsid w:val="00A652A6"/>
    <w:rsid w:val="00A65315"/>
    <w:rsid w:val="00A653D0"/>
    <w:rsid w:val="00A65A58"/>
    <w:rsid w:val="00A65AB4"/>
    <w:rsid w:val="00A65C54"/>
    <w:rsid w:val="00A660FB"/>
    <w:rsid w:val="00A663C8"/>
    <w:rsid w:val="00A665CE"/>
    <w:rsid w:val="00A666C1"/>
    <w:rsid w:val="00A66724"/>
    <w:rsid w:val="00A66825"/>
    <w:rsid w:val="00A66D1F"/>
    <w:rsid w:val="00A66D3B"/>
    <w:rsid w:val="00A66D74"/>
    <w:rsid w:val="00A66DEA"/>
    <w:rsid w:val="00A67602"/>
    <w:rsid w:val="00A67672"/>
    <w:rsid w:val="00A6790E"/>
    <w:rsid w:val="00A67F5E"/>
    <w:rsid w:val="00A67FC3"/>
    <w:rsid w:val="00A7041F"/>
    <w:rsid w:val="00A7048C"/>
    <w:rsid w:val="00A7083D"/>
    <w:rsid w:val="00A70E1E"/>
    <w:rsid w:val="00A70F4D"/>
    <w:rsid w:val="00A7110B"/>
    <w:rsid w:val="00A71144"/>
    <w:rsid w:val="00A713BB"/>
    <w:rsid w:val="00A717D0"/>
    <w:rsid w:val="00A71DCE"/>
    <w:rsid w:val="00A72007"/>
    <w:rsid w:val="00A7240B"/>
    <w:rsid w:val="00A7252C"/>
    <w:rsid w:val="00A7253A"/>
    <w:rsid w:val="00A726F8"/>
    <w:rsid w:val="00A729A3"/>
    <w:rsid w:val="00A729D1"/>
    <w:rsid w:val="00A72A4B"/>
    <w:rsid w:val="00A72C48"/>
    <w:rsid w:val="00A7308F"/>
    <w:rsid w:val="00A73364"/>
    <w:rsid w:val="00A73367"/>
    <w:rsid w:val="00A734A4"/>
    <w:rsid w:val="00A73748"/>
    <w:rsid w:val="00A747E5"/>
    <w:rsid w:val="00A74EEC"/>
    <w:rsid w:val="00A74FC3"/>
    <w:rsid w:val="00A7504D"/>
    <w:rsid w:val="00A7558A"/>
    <w:rsid w:val="00A756B2"/>
    <w:rsid w:val="00A75746"/>
    <w:rsid w:val="00A75C31"/>
    <w:rsid w:val="00A76026"/>
    <w:rsid w:val="00A7612F"/>
    <w:rsid w:val="00A76172"/>
    <w:rsid w:val="00A7619D"/>
    <w:rsid w:val="00A763D7"/>
    <w:rsid w:val="00A76937"/>
    <w:rsid w:val="00A77465"/>
    <w:rsid w:val="00A775E4"/>
    <w:rsid w:val="00A77B79"/>
    <w:rsid w:val="00A77C11"/>
    <w:rsid w:val="00A77DDE"/>
    <w:rsid w:val="00A77EDE"/>
    <w:rsid w:val="00A802A7"/>
    <w:rsid w:val="00A803A2"/>
    <w:rsid w:val="00A803D4"/>
    <w:rsid w:val="00A804A1"/>
    <w:rsid w:val="00A80A1A"/>
    <w:rsid w:val="00A80C49"/>
    <w:rsid w:val="00A81437"/>
    <w:rsid w:val="00A81659"/>
    <w:rsid w:val="00A81903"/>
    <w:rsid w:val="00A819AA"/>
    <w:rsid w:val="00A81A77"/>
    <w:rsid w:val="00A81BB5"/>
    <w:rsid w:val="00A81D6B"/>
    <w:rsid w:val="00A81E11"/>
    <w:rsid w:val="00A81E9D"/>
    <w:rsid w:val="00A81EC8"/>
    <w:rsid w:val="00A81F50"/>
    <w:rsid w:val="00A8258D"/>
    <w:rsid w:val="00A82750"/>
    <w:rsid w:val="00A82C50"/>
    <w:rsid w:val="00A82CDF"/>
    <w:rsid w:val="00A82FF2"/>
    <w:rsid w:val="00A83118"/>
    <w:rsid w:val="00A8332D"/>
    <w:rsid w:val="00A83550"/>
    <w:rsid w:val="00A836BC"/>
    <w:rsid w:val="00A836F9"/>
    <w:rsid w:val="00A83985"/>
    <w:rsid w:val="00A83CCB"/>
    <w:rsid w:val="00A83E94"/>
    <w:rsid w:val="00A84182"/>
    <w:rsid w:val="00A84216"/>
    <w:rsid w:val="00A843E1"/>
    <w:rsid w:val="00A84446"/>
    <w:rsid w:val="00A84679"/>
    <w:rsid w:val="00A849BC"/>
    <w:rsid w:val="00A84A4A"/>
    <w:rsid w:val="00A84B65"/>
    <w:rsid w:val="00A84B86"/>
    <w:rsid w:val="00A84D0F"/>
    <w:rsid w:val="00A857E0"/>
    <w:rsid w:val="00A85A26"/>
    <w:rsid w:val="00A85CE7"/>
    <w:rsid w:val="00A85F01"/>
    <w:rsid w:val="00A85F36"/>
    <w:rsid w:val="00A861CE"/>
    <w:rsid w:val="00A863E0"/>
    <w:rsid w:val="00A86486"/>
    <w:rsid w:val="00A867E2"/>
    <w:rsid w:val="00A86942"/>
    <w:rsid w:val="00A87192"/>
    <w:rsid w:val="00A87451"/>
    <w:rsid w:val="00A875AC"/>
    <w:rsid w:val="00A87F34"/>
    <w:rsid w:val="00A904B4"/>
    <w:rsid w:val="00A9061C"/>
    <w:rsid w:val="00A90785"/>
    <w:rsid w:val="00A90969"/>
    <w:rsid w:val="00A90A15"/>
    <w:rsid w:val="00A90C3D"/>
    <w:rsid w:val="00A914E7"/>
    <w:rsid w:val="00A91577"/>
    <w:rsid w:val="00A91F3A"/>
    <w:rsid w:val="00A9200A"/>
    <w:rsid w:val="00A92045"/>
    <w:rsid w:val="00A9204C"/>
    <w:rsid w:val="00A92285"/>
    <w:rsid w:val="00A92291"/>
    <w:rsid w:val="00A9231D"/>
    <w:rsid w:val="00A92331"/>
    <w:rsid w:val="00A923F1"/>
    <w:rsid w:val="00A92583"/>
    <w:rsid w:val="00A92A76"/>
    <w:rsid w:val="00A92BE1"/>
    <w:rsid w:val="00A92C3F"/>
    <w:rsid w:val="00A92E1F"/>
    <w:rsid w:val="00A92ECE"/>
    <w:rsid w:val="00A93282"/>
    <w:rsid w:val="00A93719"/>
    <w:rsid w:val="00A937E8"/>
    <w:rsid w:val="00A93C5B"/>
    <w:rsid w:val="00A93D73"/>
    <w:rsid w:val="00A93E2C"/>
    <w:rsid w:val="00A93ECD"/>
    <w:rsid w:val="00A94430"/>
    <w:rsid w:val="00A94538"/>
    <w:rsid w:val="00A94895"/>
    <w:rsid w:val="00A94A95"/>
    <w:rsid w:val="00A95B26"/>
    <w:rsid w:val="00A95C0A"/>
    <w:rsid w:val="00A95F40"/>
    <w:rsid w:val="00A9601B"/>
    <w:rsid w:val="00A960F2"/>
    <w:rsid w:val="00A964FF"/>
    <w:rsid w:val="00A9665D"/>
    <w:rsid w:val="00A96AA3"/>
    <w:rsid w:val="00A96E6A"/>
    <w:rsid w:val="00A97328"/>
    <w:rsid w:val="00A97583"/>
    <w:rsid w:val="00A9771E"/>
    <w:rsid w:val="00A9777A"/>
    <w:rsid w:val="00A97BC9"/>
    <w:rsid w:val="00A97D55"/>
    <w:rsid w:val="00A97E7A"/>
    <w:rsid w:val="00AA0081"/>
    <w:rsid w:val="00AA04C6"/>
    <w:rsid w:val="00AA08A5"/>
    <w:rsid w:val="00AA0947"/>
    <w:rsid w:val="00AA095C"/>
    <w:rsid w:val="00AA0BBF"/>
    <w:rsid w:val="00AA0BD0"/>
    <w:rsid w:val="00AA0DAD"/>
    <w:rsid w:val="00AA0EE0"/>
    <w:rsid w:val="00AA0F87"/>
    <w:rsid w:val="00AA1FFF"/>
    <w:rsid w:val="00AA263E"/>
    <w:rsid w:val="00AA2B57"/>
    <w:rsid w:val="00AA2DC3"/>
    <w:rsid w:val="00AA3015"/>
    <w:rsid w:val="00AA33BE"/>
    <w:rsid w:val="00AA456A"/>
    <w:rsid w:val="00AA48B5"/>
    <w:rsid w:val="00AA4FB8"/>
    <w:rsid w:val="00AA5114"/>
    <w:rsid w:val="00AA5299"/>
    <w:rsid w:val="00AA5312"/>
    <w:rsid w:val="00AA5C0B"/>
    <w:rsid w:val="00AA5DB8"/>
    <w:rsid w:val="00AA5E94"/>
    <w:rsid w:val="00AA6307"/>
    <w:rsid w:val="00AA6755"/>
    <w:rsid w:val="00AA6C9E"/>
    <w:rsid w:val="00AA6CAF"/>
    <w:rsid w:val="00AA70D9"/>
    <w:rsid w:val="00AA7154"/>
    <w:rsid w:val="00AA719B"/>
    <w:rsid w:val="00AA74CD"/>
    <w:rsid w:val="00AA7793"/>
    <w:rsid w:val="00AA78BD"/>
    <w:rsid w:val="00AA7BFA"/>
    <w:rsid w:val="00AA7F14"/>
    <w:rsid w:val="00AB03E7"/>
    <w:rsid w:val="00AB0450"/>
    <w:rsid w:val="00AB07D1"/>
    <w:rsid w:val="00AB0BF9"/>
    <w:rsid w:val="00AB0D63"/>
    <w:rsid w:val="00AB1486"/>
    <w:rsid w:val="00AB17D9"/>
    <w:rsid w:val="00AB1805"/>
    <w:rsid w:val="00AB1A92"/>
    <w:rsid w:val="00AB1D2A"/>
    <w:rsid w:val="00AB1EFC"/>
    <w:rsid w:val="00AB22F4"/>
    <w:rsid w:val="00AB24DE"/>
    <w:rsid w:val="00AB27CD"/>
    <w:rsid w:val="00AB2855"/>
    <w:rsid w:val="00AB29D5"/>
    <w:rsid w:val="00AB2B49"/>
    <w:rsid w:val="00AB2B8E"/>
    <w:rsid w:val="00AB2E70"/>
    <w:rsid w:val="00AB32FC"/>
    <w:rsid w:val="00AB3324"/>
    <w:rsid w:val="00AB3325"/>
    <w:rsid w:val="00AB35ED"/>
    <w:rsid w:val="00AB3E0F"/>
    <w:rsid w:val="00AB3EBE"/>
    <w:rsid w:val="00AB408D"/>
    <w:rsid w:val="00AB4684"/>
    <w:rsid w:val="00AB49AB"/>
    <w:rsid w:val="00AB4FF6"/>
    <w:rsid w:val="00AB552E"/>
    <w:rsid w:val="00AB5BC6"/>
    <w:rsid w:val="00AB5C0E"/>
    <w:rsid w:val="00AB5C60"/>
    <w:rsid w:val="00AB5C96"/>
    <w:rsid w:val="00AB5CB3"/>
    <w:rsid w:val="00AB5E52"/>
    <w:rsid w:val="00AB612F"/>
    <w:rsid w:val="00AB619C"/>
    <w:rsid w:val="00AB698F"/>
    <w:rsid w:val="00AB6D81"/>
    <w:rsid w:val="00AB7725"/>
    <w:rsid w:val="00AB78AF"/>
    <w:rsid w:val="00AB7C38"/>
    <w:rsid w:val="00AC02E6"/>
    <w:rsid w:val="00AC0505"/>
    <w:rsid w:val="00AC06BE"/>
    <w:rsid w:val="00AC09F6"/>
    <w:rsid w:val="00AC0B16"/>
    <w:rsid w:val="00AC0FC9"/>
    <w:rsid w:val="00AC10FD"/>
    <w:rsid w:val="00AC11FF"/>
    <w:rsid w:val="00AC1318"/>
    <w:rsid w:val="00AC14D1"/>
    <w:rsid w:val="00AC16F8"/>
    <w:rsid w:val="00AC17B6"/>
    <w:rsid w:val="00AC1863"/>
    <w:rsid w:val="00AC1A40"/>
    <w:rsid w:val="00AC1E45"/>
    <w:rsid w:val="00AC2106"/>
    <w:rsid w:val="00AC251F"/>
    <w:rsid w:val="00AC260A"/>
    <w:rsid w:val="00AC26D7"/>
    <w:rsid w:val="00AC2B16"/>
    <w:rsid w:val="00AC2FD2"/>
    <w:rsid w:val="00AC364D"/>
    <w:rsid w:val="00AC364F"/>
    <w:rsid w:val="00AC3CC4"/>
    <w:rsid w:val="00AC3DB3"/>
    <w:rsid w:val="00AC44A6"/>
    <w:rsid w:val="00AC46F2"/>
    <w:rsid w:val="00AC4967"/>
    <w:rsid w:val="00AC4B91"/>
    <w:rsid w:val="00AC524A"/>
    <w:rsid w:val="00AC52F2"/>
    <w:rsid w:val="00AC548C"/>
    <w:rsid w:val="00AC55EA"/>
    <w:rsid w:val="00AC5731"/>
    <w:rsid w:val="00AC5BBF"/>
    <w:rsid w:val="00AC5D7B"/>
    <w:rsid w:val="00AC5E04"/>
    <w:rsid w:val="00AC6740"/>
    <w:rsid w:val="00AC6792"/>
    <w:rsid w:val="00AC6E6F"/>
    <w:rsid w:val="00AC6FB3"/>
    <w:rsid w:val="00AC7199"/>
    <w:rsid w:val="00AC71A5"/>
    <w:rsid w:val="00AC72ED"/>
    <w:rsid w:val="00AC7A28"/>
    <w:rsid w:val="00AC7B73"/>
    <w:rsid w:val="00AC7CA9"/>
    <w:rsid w:val="00AC7D0A"/>
    <w:rsid w:val="00AC7D29"/>
    <w:rsid w:val="00AC7EC7"/>
    <w:rsid w:val="00AD0159"/>
    <w:rsid w:val="00AD0BC6"/>
    <w:rsid w:val="00AD0CD5"/>
    <w:rsid w:val="00AD1154"/>
    <w:rsid w:val="00AD143E"/>
    <w:rsid w:val="00AD144E"/>
    <w:rsid w:val="00AD1F15"/>
    <w:rsid w:val="00AD229C"/>
    <w:rsid w:val="00AD2539"/>
    <w:rsid w:val="00AD2785"/>
    <w:rsid w:val="00AD2E89"/>
    <w:rsid w:val="00AD2FE9"/>
    <w:rsid w:val="00AD31D8"/>
    <w:rsid w:val="00AD3341"/>
    <w:rsid w:val="00AD3565"/>
    <w:rsid w:val="00AD3A23"/>
    <w:rsid w:val="00AD3B2D"/>
    <w:rsid w:val="00AD3B9B"/>
    <w:rsid w:val="00AD3BBC"/>
    <w:rsid w:val="00AD3CDF"/>
    <w:rsid w:val="00AD3D73"/>
    <w:rsid w:val="00AD3E8F"/>
    <w:rsid w:val="00AD403E"/>
    <w:rsid w:val="00AD411D"/>
    <w:rsid w:val="00AD4280"/>
    <w:rsid w:val="00AD4718"/>
    <w:rsid w:val="00AD47C9"/>
    <w:rsid w:val="00AD47E1"/>
    <w:rsid w:val="00AD4866"/>
    <w:rsid w:val="00AD4ABB"/>
    <w:rsid w:val="00AD4E45"/>
    <w:rsid w:val="00AD5723"/>
    <w:rsid w:val="00AD5C73"/>
    <w:rsid w:val="00AD5ED6"/>
    <w:rsid w:val="00AD5FF7"/>
    <w:rsid w:val="00AD6406"/>
    <w:rsid w:val="00AD6B81"/>
    <w:rsid w:val="00AD6CA3"/>
    <w:rsid w:val="00AD72E7"/>
    <w:rsid w:val="00AD77A5"/>
    <w:rsid w:val="00AD77A9"/>
    <w:rsid w:val="00AD786C"/>
    <w:rsid w:val="00AD7AC9"/>
    <w:rsid w:val="00AD7BE3"/>
    <w:rsid w:val="00AE00C6"/>
    <w:rsid w:val="00AE0124"/>
    <w:rsid w:val="00AE021A"/>
    <w:rsid w:val="00AE048C"/>
    <w:rsid w:val="00AE099E"/>
    <w:rsid w:val="00AE0AA9"/>
    <w:rsid w:val="00AE0B1C"/>
    <w:rsid w:val="00AE0B24"/>
    <w:rsid w:val="00AE0C15"/>
    <w:rsid w:val="00AE1458"/>
    <w:rsid w:val="00AE1546"/>
    <w:rsid w:val="00AE18EA"/>
    <w:rsid w:val="00AE18F3"/>
    <w:rsid w:val="00AE1D34"/>
    <w:rsid w:val="00AE1DA6"/>
    <w:rsid w:val="00AE25AA"/>
    <w:rsid w:val="00AE2E4C"/>
    <w:rsid w:val="00AE3C46"/>
    <w:rsid w:val="00AE3D9A"/>
    <w:rsid w:val="00AE411B"/>
    <w:rsid w:val="00AE414A"/>
    <w:rsid w:val="00AE47ED"/>
    <w:rsid w:val="00AE53EF"/>
    <w:rsid w:val="00AE55BD"/>
    <w:rsid w:val="00AE581F"/>
    <w:rsid w:val="00AE5997"/>
    <w:rsid w:val="00AE5A87"/>
    <w:rsid w:val="00AE5E25"/>
    <w:rsid w:val="00AE656A"/>
    <w:rsid w:val="00AE6792"/>
    <w:rsid w:val="00AE6934"/>
    <w:rsid w:val="00AE6ABE"/>
    <w:rsid w:val="00AE6BB3"/>
    <w:rsid w:val="00AE6BBF"/>
    <w:rsid w:val="00AE6CA0"/>
    <w:rsid w:val="00AE6EAF"/>
    <w:rsid w:val="00AE716E"/>
    <w:rsid w:val="00AE721F"/>
    <w:rsid w:val="00AE7738"/>
    <w:rsid w:val="00AE7F45"/>
    <w:rsid w:val="00AF01CA"/>
    <w:rsid w:val="00AF0994"/>
    <w:rsid w:val="00AF0AF6"/>
    <w:rsid w:val="00AF1247"/>
    <w:rsid w:val="00AF12CB"/>
    <w:rsid w:val="00AF1521"/>
    <w:rsid w:val="00AF160D"/>
    <w:rsid w:val="00AF1C7E"/>
    <w:rsid w:val="00AF2155"/>
    <w:rsid w:val="00AF2282"/>
    <w:rsid w:val="00AF253A"/>
    <w:rsid w:val="00AF2DCC"/>
    <w:rsid w:val="00AF31C1"/>
    <w:rsid w:val="00AF3638"/>
    <w:rsid w:val="00AF3731"/>
    <w:rsid w:val="00AF3A05"/>
    <w:rsid w:val="00AF3BB6"/>
    <w:rsid w:val="00AF41E5"/>
    <w:rsid w:val="00AF4250"/>
    <w:rsid w:val="00AF4357"/>
    <w:rsid w:val="00AF49DA"/>
    <w:rsid w:val="00AF4F34"/>
    <w:rsid w:val="00AF5375"/>
    <w:rsid w:val="00AF561B"/>
    <w:rsid w:val="00AF56E3"/>
    <w:rsid w:val="00AF5FB3"/>
    <w:rsid w:val="00AF650C"/>
    <w:rsid w:val="00AF6B42"/>
    <w:rsid w:val="00AF75A2"/>
    <w:rsid w:val="00B003D8"/>
    <w:rsid w:val="00B007A8"/>
    <w:rsid w:val="00B008C9"/>
    <w:rsid w:val="00B00B8E"/>
    <w:rsid w:val="00B01AD6"/>
    <w:rsid w:val="00B01D14"/>
    <w:rsid w:val="00B01F53"/>
    <w:rsid w:val="00B026B0"/>
    <w:rsid w:val="00B02BD1"/>
    <w:rsid w:val="00B02BEA"/>
    <w:rsid w:val="00B02CB3"/>
    <w:rsid w:val="00B02E3E"/>
    <w:rsid w:val="00B02FF6"/>
    <w:rsid w:val="00B034A2"/>
    <w:rsid w:val="00B038D5"/>
    <w:rsid w:val="00B03B80"/>
    <w:rsid w:val="00B03CA4"/>
    <w:rsid w:val="00B04BB7"/>
    <w:rsid w:val="00B04C89"/>
    <w:rsid w:val="00B04DF9"/>
    <w:rsid w:val="00B05279"/>
    <w:rsid w:val="00B052D4"/>
    <w:rsid w:val="00B05435"/>
    <w:rsid w:val="00B057B1"/>
    <w:rsid w:val="00B05A85"/>
    <w:rsid w:val="00B05ABC"/>
    <w:rsid w:val="00B05DE2"/>
    <w:rsid w:val="00B062B9"/>
    <w:rsid w:val="00B06541"/>
    <w:rsid w:val="00B06764"/>
    <w:rsid w:val="00B06873"/>
    <w:rsid w:val="00B06B14"/>
    <w:rsid w:val="00B06D59"/>
    <w:rsid w:val="00B06DF0"/>
    <w:rsid w:val="00B06F13"/>
    <w:rsid w:val="00B06FF6"/>
    <w:rsid w:val="00B07170"/>
    <w:rsid w:val="00B073A4"/>
    <w:rsid w:val="00B0748E"/>
    <w:rsid w:val="00B076DE"/>
    <w:rsid w:val="00B079CB"/>
    <w:rsid w:val="00B079E5"/>
    <w:rsid w:val="00B07F37"/>
    <w:rsid w:val="00B10302"/>
    <w:rsid w:val="00B10321"/>
    <w:rsid w:val="00B1049E"/>
    <w:rsid w:val="00B10525"/>
    <w:rsid w:val="00B106DE"/>
    <w:rsid w:val="00B106EA"/>
    <w:rsid w:val="00B107CE"/>
    <w:rsid w:val="00B10931"/>
    <w:rsid w:val="00B10A89"/>
    <w:rsid w:val="00B10BA1"/>
    <w:rsid w:val="00B10E08"/>
    <w:rsid w:val="00B10F66"/>
    <w:rsid w:val="00B1105B"/>
    <w:rsid w:val="00B11399"/>
    <w:rsid w:val="00B11539"/>
    <w:rsid w:val="00B1163B"/>
    <w:rsid w:val="00B1194C"/>
    <w:rsid w:val="00B11B44"/>
    <w:rsid w:val="00B11DD1"/>
    <w:rsid w:val="00B11E7C"/>
    <w:rsid w:val="00B123DF"/>
    <w:rsid w:val="00B1260B"/>
    <w:rsid w:val="00B12645"/>
    <w:rsid w:val="00B12758"/>
    <w:rsid w:val="00B12B96"/>
    <w:rsid w:val="00B13183"/>
    <w:rsid w:val="00B1371D"/>
    <w:rsid w:val="00B13969"/>
    <w:rsid w:val="00B144E1"/>
    <w:rsid w:val="00B144E7"/>
    <w:rsid w:val="00B14621"/>
    <w:rsid w:val="00B14860"/>
    <w:rsid w:val="00B14B91"/>
    <w:rsid w:val="00B14CB2"/>
    <w:rsid w:val="00B14CD6"/>
    <w:rsid w:val="00B14D2F"/>
    <w:rsid w:val="00B14F5E"/>
    <w:rsid w:val="00B15164"/>
    <w:rsid w:val="00B155EB"/>
    <w:rsid w:val="00B15DAF"/>
    <w:rsid w:val="00B15E00"/>
    <w:rsid w:val="00B16160"/>
    <w:rsid w:val="00B163E5"/>
    <w:rsid w:val="00B164FF"/>
    <w:rsid w:val="00B165FB"/>
    <w:rsid w:val="00B1695B"/>
    <w:rsid w:val="00B16CEB"/>
    <w:rsid w:val="00B16ECD"/>
    <w:rsid w:val="00B17153"/>
    <w:rsid w:val="00B1725D"/>
    <w:rsid w:val="00B1748A"/>
    <w:rsid w:val="00B1761D"/>
    <w:rsid w:val="00B176B9"/>
    <w:rsid w:val="00B17771"/>
    <w:rsid w:val="00B17809"/>
    <w:rsid w:val="00B17D7B"/>
    <w:rsid w:val="00B202E8"/>
    <w:rsid w:val="00B205D2"/>
    <w:rsid w:val="00B20662"/>
    <w:rsid w:val="00B20794"/>
    <w:rsid w:val="00B207EA"/>
    <w:rsid w:val="00B208DB"/>
    <w:rsid w:val="00B209DE"/>
    <w:rsid w:val="00B20AB1"/>
    <w:rsid w:val="00B20D9F"/>
    <w:rsid w:val="00B20ED1"/>
    <w:rsid w:val="00B20FAE"/>
    <w:rsid w:val="00B211EA"/>
    <w:rsid w:val="00B215CC"/>
    <w:rsid w:val="00B217FF"/>
    <w:rsid w:val="00B21827"/>
    <w:rsid w:val="00B218F8"/>
    <w:rsid w:val="00B21BF0"/>
    <w:rsid w:val="00B21C57"/>
    <w:rsid w:val="00B220B4"/>
    <w:rsid w:val="00B2218E"/>
    <w:rsid w:val="00B225F8"/>
    <w:rsid w:val="00B227D4"/>
    <w:rsid w:val="00B22B2F"/>
    <w:rsid w:val="00B22FA0"/>
    <w:rsid w:val="00B2321B"/>
    <w:rsid w:val="00B2358A"/>
    <w:rsid w:val="00B23A85"/>
    <w:rsid w:val="00B23E13"/>
    <w:rsid w:val="00B23E34"/>
    <w:rsid w:val="00B24627"/>
    <w:rsid w:val="00B24670"/>
    <w:rsid w:val="00B24B68"/>
    <w:rsid w:val="00B24E82"/>
    <w:rsid w:val="00B24F58"/>
    <w:rsid w:val="00B25568"/>
    <w:rsid w:val="00B259CF"/>
    <w:rsid w:val="00B25A2F"/>
    <w:rsid w:val="00B26093"/>
    <w:rsid w:val="00B26395"/>
    <w:rsid w:val="00B26616"/>
    <w:rsid w:val="00B267FD"/>
    <w:rsid w:val="00B26B00"/>
    <w:rsid w:val="00B26B19"/>
    <w:rsid w:val="00B26C0E"/>
    <w:rsid w:val="00B26E79"/>
    <w:rsid w:val="00B27B1A"/>
    <w:rsid w:val="00B27BF2"/>
    <w:rsid w:val="00B27D88"/>
    <w:rsid w:val="00B27F06"/>
    <w:rsid w:val="00B3038F"/>
    <w:rsid w:val="00B30649"/>
    <w:rsid w:val="00B30720"/>
    <w:rsid w:val="00B30A70"/>
    <w:rsid w:val="00B30B42"/>
    <w:rsid w:val="00B3109D"/>
    <w:rsid w:val="00B311B9"/>
    <w:rsid w:val="00B314FD"/>
    <w:rsid w:val="00B316BC"/>
    <w:rsid w:val="00B31B3A"/>
    <w:rsid w:val="00B323CA"/>
    <w:rsid w:val="00B32442"/>
    <w:rsid w:val="00B324BD"/>
    <w:rsid w:val="00B32705"/>
    <w:rsid w:val="00B32AFA"/>
    <w:rsid w:val="00B32C8A"/>
    <w:rsid w:val="00B32D8C"/>
    <w:rsid w:val="00B32EBD"/>
    <w:rsid w:val="00B32F96"/>
    <w:rsid w:val="00B3333D"/>
    <w:rsid w:val="00B33609"/>
    <w:rsid w:val="00B338C3"/>
    <w:rsid w:val="00B33E41"/>
    <w:rsid w:val="00B33F57"/>
    <w:rsid w:val="00B3412C"/>
    <w:rsid w:val="00B34722"/>
    <w:rsid w:val="00B34A7E"/>
    <w:rsid w:val="00B34B34"/>
    <w:rsid w:val="00B34C1D"/>
    <w:rsid w:val="00B34EC7"/>
    <w:rsid w:val="00B35663"/>
    <w:rsid w:val="00B358BC"/>
    <w:rsid w:val="00B358C6"/>
    <w:rsid w:val="00B35B29"/>
    <w:rsid w:val="00B35E86"/>
    <w:rsid w:val="00B35EBA"/>
    <w:rsid w:val="00B36243"/>
    <w:rsid w:val="00B365B7"/>
    <w:rsid w:val="00B3683B"/>
    <w:rsid w:val="00B37015"/>
    <w:rsid w:val="00B37311"/>
    <w:rsid w:val="00B3741C"/>
    <w:rsid w:val="00B37C3D"/>
    <w:rsid w:val="00B401EB"/>
    <w:rsid w:val="00B40681"/>
    <w:rsid w:val="00B40744"/>
    <w:rsid w:val="00B4097E"/>
    <w:rsid w:val="00B409A2"/>
    <w:rsid w:val="00B41180"/>
    <w:rsid w:val="00B417AB"/>
    <w:rsid w:val="00B418AD"/>
    <w:rsid w:val="00B4194E"/>
    <w:rsid w:val="00B41B91"/>
    <w:rsid w:val="00B41C2D"/>
    <w:rsid w:val="00B41E47"/>
    <w:rsid w:val="00B41F47"/>
    <w:rsid w:val="00B422E2"/>
    <w:rsid w:val="00B42C88"/>
    <w:rsid w:val="00B433E1"/>
    <w:rsid w:val="00B437B0"/>
    <w:rsid w:val="00B439A5"/>
    <w:rsid w:val="00B43A54"/>
    <w:rsid w:val="00B43AE6"/>
    <w:rsid w:val="00B43BA6"/>
    <w:rsid w:val="00B43DB7"/>
    <w:rsid w:val="00B43EE2"/>
    <w:rsid w:val="00B43FA8"/>
    <w:rsid w:val="00B44239"/>
    <w:rsid w:val="00B44519"/>
    <w:rsid w:val="00B44967"/>
    <w:rsid w:val="00B449F5"/>
    <w:rsid w:val="00B44D30"/>
    <w:rsid w:val="00B44F3B"/>
    <w:rsid w:val="00B451AD"/>
    <w:rsid w:val="00B45214"/>
    <w:rsid w:val="00B457E1"/>
    <w:rsid w:val="00B461D3"/>
    <w:rsid w:val="00B468E5"/>
    <w:rsid w:val="00B46C3D"/>
    <w:rsid w:val="00B46C48"/>
    <w:rsid w:val="00B47048"/>
    <w:rsid w:val="00B473D9"/>
    <w:rsid w:val="00B473DE"/>
    <w:rsid w:val="00B473EF"/>
    <w:rsid w:val="00B474EA"/>
    <w:rsid w:val="00B47986"/>
    <w:rsid w:val="00B47ED5"/>
    <w:rsid w:val="00B501B4"/>
    <w:rsid w:val="00B5039B"/>
    <w:rsid w:val="00B5080A"/>
    <w:rsid w:val="00B50A52"/>
    <w:rsid w:val="00B50BAA"/>
    <w:rsid w:val="00B50E59"/>
    <w:rsid w:val="00B50FF5"/>
    <w:rsid w:val="00B5112D"/>
    <w:rsid w:val="00B51668"/>
    <w:rsid w:val="00B5171E"/>
    <w:rsid w:val="00B5213B"/>
    <w:rsid w:val="00B52392"/>
    <w:rsid w:val="00B525E2"/>
    <w:rsid w:val="00B52729"/>
    <w:rsid w:val="00B52B97"/>
    <w:rsid w:val="00B52BD3"/>
    <w:rsid w:val="00B52DAB"/>
    <w:rsid w:val="00B5370A"/>
    <w:rsid w:val="00B537FF"/>
    <w:rsid w:val="00B53945"/>
    <w:rsid w:val="00B539B7"/>
    <w:rsid w:val="00B53C60"/>
    <w:rsid w:val="00B53E7D"/>
    <w:rsid w:val="00B53FDC"/>
    <w:rsid w:val="00B543AF"/>
    <w:rsid w:val="00B544AE"/>
    <w:rsid w:val="00B5481B"/>
    <w:rsid w:val="00B548A8"/>
    <w:rsid w:val="00B54ADA"/>
    <w:rsid w:val="00B54B7C"/>
    <w:rsid w:val="00B55328"/>
    <w:rsid w:val="00B55449"/>
    <w:rsid w:val="00B555E9"/>
    <w:rsid w:val="00B556FE"/>
    <w:rsid w:val="00B55717"/>
    <w:rsid w:val="00B55DA5"/>
    <w:rsid w:val="00B56334"/>
    <w:rsid w:val="00B565F7"/>
    <w:rsid w:val="00B566C5"/>
    <w:rsid w:val="00B56AB4"/>
    <w:rsid w:val="00B56C42"/>
    <w:rsid w:val="00B56C86"/>
    <w:rsid w:val="00B5796C"/>
    <w:rsid w:val="00B579A1"/>
    <w:rsid w:val="00B57E51"/>
    <w:rsid w:val="00B601CF"/>
    <w:rsid w:val="00B60588"/>
    <w:rsid w:val="00B6076F"/>
    <w:rsid w:val="00B607B4"/>
    <w:rsid w:val="00B609BD"/>
    <w:rsid w:val="00B60DEB"/>
    <w:rsid w:val="00B60E89"/>
    <w:rsid w:val="00B61C94"/>
    <w:rsid w:val="00B61F77"/>
    <w:rsid w:val="00B626A9"/>
    <w:rsid w:val="00B62751"/>
    <w:rsid w:val="00B6280D"/>
    <w:rsid w:val="00B628A4"/>
    <w:rsid w:val="00B62A1D"/>
    <w:rsid w:val="00B62B10"/>
    <w:rsid w:val="00B62CEA"/>
    <w:rsid w:val="00B6321E"/>
    <w:rsid w:val="00B632E8"/>
    <w:rsid w:val="00B633F0"/>
    <w:rsid w:val="00B6359E"/>
    <w:rsid w:val="00B638FB"/>
    <w:rsid w:val="00B63940"/>
    <w:rsid w:val="00B6395E"/>
    <w:rsid w:val="00B63E0C"/>
    <w:rsid w:val="00B63E22"/>
    <w:rsid w:val="00B63EAB"/>
    <w:rsid w:val="00B63F44"/>
    <w:rsid w:val="00B641C2"/>
    <w:rsid w:val="00B64457"/>
    <w:rsid w:val="00B64753"/>
    <w:rsid w:val="00B64B08"/>
    <w:rsid w:val="00B64DA1"/>
    <w:rsid w:val="00B64ED0"/>
    <w:rsid w:val="00B650A3"/>
    <w:rsid w:val="00B657AD"/>
    <w:rsid w:val="00B666AB"/>
    <w:rsid w:val="00B666F0"/>
    <w:rsid w:val="00B66767"/>
    <w:rsid w:val="00B668D0"/>
    <w:rsid w:val="00B66D26"/>
    <w:rsid w:val="00B67056"/>
    <w:rsid w:val="00B67660"/>
    <w:rsid w:val="00B67957"/>
    <w:rsid w:val="00B67AD6"/>
    <w:rsid w:val="00B67AEF"/>
    <w:rsid w:val="00B67D26"/>
    <w:rsid w:val="00B70127"/>
    <w:rsid w:val="00B701EB"/>
    <w:rsid w:val="00B703F2"/>
    <w:rsid w:val="00B7052B"/>
    <w:rsid w:val="00B708FA"/>
    <w:rsid w:val="00B70BBF"/>
    <w:rsid w:val="00B70E98"/>
    <w:rsid w:val="00B71472"/>
    <w:rsid w:val="00B718EA"/>
    <w:rsid w:val="00B71D3D"/>
    <w:rsid w:val="00B71D8A"/>
    <w:rsid w:val="00B71FA5"/>
    <w:rsid w:val="00B7213A"/>
    <w:rsid w:val="00B723CE"/>
    <w:rsid w:val="00B724B5"/>
    <w:rsid w:val="00B72777"/>
    <w:rsid w:val="00B72822"/>
    <w:rsid w:val="00B729DE"/>
    <w:rsid w:val="00B72C06"/>
    <w:rsid w:val="00B72D27"/>
    <w:rsid w:val="00B7304F"/>
    <w:rsid w:val="00B730A7"/>
    <w:rsid w:val="00B733B8"/>
    <w:rsid w:val="00B73A26"/>
    <w:rsid w:val="00B73D70"/>
    <w:rsid w:val="00B73DCD"/>
    <w:rsid w:val="00B73E2C"/>
    <w:rsid w:val="00B741E5"/>
    <w:rsid w:val="00B74D02"/>
    <w:rsid w:val="00B751E2"/>
    <w:rsid w:val="00B754D6"/>
    <w:rsid w:val="00B75813"/>
    <w:rsid w:val="00B75974"/>
    <w:rsid w:val="00B75A30"/>
    <w:rsid w:val="00B75A3B"/>
    <w:rsid w:val="00B761CE"/>
    <w:rsid w:val="00B76C83"/>
    <w:rsid w:val="00B76E3C"/>
    <w:rsid w:val="00B76FB5"/>
    <w:rsid w:val="00B77987"/>
    <w:rsid w:val="00B77CB4"/>
    <w:rsid w:val="00B77FA9"/>
    <w:rsid w:val="00B800F2"/>
    <w:rsid w:val="00B80164"/>
    <w:rsid w:val="00B80427"/>
    <w:rsid w:val="00B804BA"/>
    <w:rsid w:val="00B804F9"/>
    <w:rsid w:val="00B8059F"/>
    <w:rsid w:val="00B80C18"/>
    <w:rsid w:val="00B81031"/>
    <w:rsid w:val="00B81870"/>
    <w:rsid w:val="00B81CCE"/>
    <w:rsid w:val="00B81FB8"/>
    <w:rsid w:val="00B823B6"/>
    <w:rsid w:val="00B82728"/>
    <w:rsid w:val="00B829E3"/>
    <w:rsid w:val="00B82B50"/>
    <w:rsid w:val="00B83AF9"/>
    <w:rsid w:val="00B84069"/>
    <w:rsid w:val="00B8421C"/>
    <w:rsid w:val="00B843E9"/>
    <w:rsid w:val="00B844EB"/>
    <w:rsid w:val="00B8476F"/>
    <w:rsid w:val="00B847E5"/>
    <w:rsid w:val="00B850B3"/>
    <w:rsid w:val="00B85A12"/>
    <w:rsid w:val="00B860A1"/>
    <w:rsid w:val="00B8622C"/>
    <w:rsid w:val="00B86674"/>
    <w:rsid w:val="00B867B5"/>
    <w:rsid w:val="00B868D6"/>
    <w:rsid w:val="00B86B62"/>
    <w:rsid w:val="00B86D34"/>
    <w:rsid w:val="00B876C6"/>
    <w:rsid w:val="00B877C0"/>
    <w:rsid w:val="00B87D45"/>
    <w:rsid w:val="00B87E5F"/>
    <w:rsid w:val="00B9016F"/>
    <w:rsid w:val="00B902E7"/>
    <w:rsid w:val="00B905E0"/>
    <w:rsid w:val="00B90D6B"/>
    <w:rsid w:val="00B90F74"/>
    <w:rsid w:val="00B90FF4"/>
    <w:rsid w:val="00B91107"/>
    <w:rsid w:val="00B91299"/>
    <w:rsid w:val="00B912A6"/>
    <w:rsid w:val="00B9247F"/>
    <w:rsid w:val="00B92484"/>
    <w:rsid w:val="00B92761"/>
    <w:rsid w:val="00B92936"/>
    <w:rsid w:val="00B92AA0"/>
    <w:rsid w:val="00B92E54"/>
    <w:rsid w:val="00B92FB5"/>
    <w:rsid w:val="00B93178"/>
    <w:rsid w:val="00B932AE"/>
    <w:rsid w:val="00B9348F"/>
    <w:rsid w:val="00B93AC5"/>
    <w:rsid w:val="00B93B11"/>
    <w:rsid w:val="00B93E06"/>
    <w:rsid w:val="00B93FEF"/>
    <w:rsid w:val="00B940A7"/>
    <w:rsid w:val="00B94398"/>
    <w:rsid w:val="00B94432"/>
    <w:rsid w:val="00B94698"/>
    <w:rsid w:val="00B946E0"/>
    <w:rsid w:val="00B94AAD"/>
    <w:rsid w:val="00B94E41"/>
    <w:rsid w:val="00B94F7C"/>
    <w:rsid w:val="00B95113"/>
    <w:rsid w:val="00B95683"/>
    <w:rsid w:val="00B95994"/>
    <w:rsid w:val="00B9656B"/>
    <w:rsid w:val="00B96576"/>
    <w:rsid w:val="00B966BE"/>
    <w:rsid w:val="00B96B45"/>
    <w:rsid w:val="00B96EC6"/>
    <w:rsid w:val="00B971EB"/>
    <w:rsid w:val="00B972D0"/>
    <w:rsid w:val="00B975D1"/>
    <w:rsid w:val="00B97811"/>
    <w:rsid w:val="00B9783F"/>
    <w:rsid w:val="00B97B04"/>
    <w:rsid w:val="00B97D3C"/>
    <w:rsid w:val="00BA0B17"/>
    <w:rsid w:val="00BA0F3E"/>
    <w:rsid w:val="00BA1347"/>
    <w:rsid w:val="00BA1C5D"/>
    <w:rsid w:val="00BA1E56"/>
    <w:rsid w:val="00BA2542"/>
    <w:rsid w:val="00BA25E0"/>
    <w:rsid w:val="00BA2C5C"/>
    <w:rsid w:val="00BA3890"/>
    <w:rsid w:val="00BA39B3"/>
    <w:rsid w:val="00BA3B6C"/>
    <w:rsid w:val="00BA3F11"/>
    <w:rsid w:val="00BA406F"/>
    <w:rsid w:val="00BA4475"/>
    <w:rsid w:val="00BA454B"/>
    <w:rsid w:val="00BA4653"/>
    <w:rsid w:val="00BA4C60"/>
    <w:rsid w:val="00BA4FEF"/>
    <w:rsid w:val="00BA5360"/>
    <w:rsid w:val="00BA59BB"/>
    <w:rsid w:val="00BA5A82"/>
    <w:rsid w:val="00BA5B12"/>
    <w:rsid w:val="00BA5C3E"/>
    <w:rsid w:val="00BA6194"/>
    <w:rsid w:val="00BA6AB6"/>
    <w:rsid w:val="00BA745B"/>
    <w:rsid w:val="00BA753D"/>
    <w:rsid w:val="00BA76D9"/>
    <w:rsid w:val="00BA78D4"/>
    <w:rsid w:val="00BA7A8C"/>
    <w:rsid w:val="00BA7B1A"/>
    <w:rsid w:val="00BA7B36"/>
    <w:rsid w:val="00BA7DC9"/>
    <w:rsid w:val="00BA7E52"/>
    <w:rsid w:val="00BB0014"/>
    <w:rsid w:val="00BB00CB"/>
    <w:rsid w:val="00BB0B6C"/>
    <w:rsid w:val="00BB0BB4"/>
    <w:rsid w:val="00BB0BE7"/>
    <w:rsid w:val="00BB0E00"/>
    <w:rsid w:val="00BB1692"/>
    <w:rsid w:val="00BB1751"/>
    <w:rsid w:val="00BB17DC"/>
    <w:rsid w:val="00BB1A4C"/>
    <w:rsid w:val="00BB2072"/>
    <w:rsid w:val="00BB2503"/>
    <w:rsid w:val="00BB2F00"/>
    <w:rsid w:val="00BB344A"/>
    <w:rsid w:val="00BB38FE"/>
    <w:rsid w:val="00BB4294"/>
    <w:rsid w:val="00BB451D"/>
    <w:rsid w:val="00BB4617"/>
    <w:rsid w:val="00BB472F"/>
    <w:rsid w:val="00BB475B"/>
    <w:rsid w:val="00BB4D35"/>
    <w:rsid w:val="00BB4FB8"/>
    <w:rsid w:val="00BB5DC7"/>
    <w:rsid w:val="00BB5E94"/>
    <w:rsid w:val="00BB5FBC"/>
    <w:rsid w:val="00BB5FBF"/>
    <w:rsid w:val="00BB6293"/>
    <w:rsid w:val="00BB633A"/>
    <w:rsid w:val="00BB6946"/>
    <w:rsid w:val="00BB6B56"/>
    <w:rsid w:val="00BB6CDC"/>
    <w:rsid w:val="00BB6E4A"/>
    <w:rsid w:val="00BB6F59"/>
    <w:rsid w:val="00BB6F5C"/>
    <w:rsid w:val="00BB7126"/>
    <w:rsid w:val="00BB716A"/>
    <w:rsid w:val="00BB7189"/>
    <w:rsid w:val="00BB7336"/>
    <w:rsid w:val="00BB73D2"/>
    <w:rsid w:val="00BB79AF"/>
    <w:rsid w:val="00BB7E90"/>
    <w:rsid w:val="00BC019E"/>
    <w:rsid w:val="00BC01BF"/>
    <w:rsid w:val="00BC01D8"/>
    <w:rsid w:val="00BC01EF"/>
    <w:rsid w:val="00BC04BA"/>
    <w:rsid w:val="00BC075F"/>
    <w:rsid w:val="00BC0907"/>
    <w:rsid w:val="00BC0967"/>
    <w:rsid w:val="00BC0A79"/>
    <w:rsid w:val="00BC0AC9"/>
    <w:rsid w:val="00BC0BC5"/>
    <w:rsid w:val="00BC0CAF"/>
    <w:rsid w:val="00BC0CFE"/>
    <w:rsid w:val="00BC1020"/>
    <w:rsid w:val="00BC1D41"/>
    <w:rsid w:val="00BC1ED8"/>
    <w:rsid w:val="00BC205E"/>
    <w:rsid w:val="00BC220B"/>
    <w:rsid w:val="00BC26D9"/>
    <w:rsid w:val="00BC272B"/>
    <w:rsid w:val="00BC2734"/>
    <w:rsid w:val="00BC2CD4"/>
    <w:rsid w:val="00BC2EC3"/>
    <w:rsid w:val="00BC2F6A"/>
    <w:rsid w:val="00BC2F96"/>
    <w:rsid w:val="00BC333B"/>
    <w:rsid w:val="00BC3459"/>
    <w:rsid w:val="00BC34C8"/>
    <w:rsid w:val="00BC40D7"/>
    <w:rsid w:val="00BC470E"/>
    <w:rsid w:val="00BC529E"/>
    <w:rsid w:val="00BC5453"/>
    <w:rsid w:val="00BC550A"/>
    <w:rsid w:val="00BC56A0"/>
    <w:rsid w:val="00BC5C80"/>
    <w:rsid w:val="00BC5D0E"/>
    <w:rsid w:val="00BC6280"/>
    <w:rsid w:val="00BC62E8"/>
    <w:rsid w:val="00BC6623"/>
    <w:rsid w:val="00BC67AE"/>
    <w:rsid w:val="00BC67E7"/>
    <w:rsid w:val="00BC686A"/>
    <w:rsid w:val="00BC6A9A"/>
    <w:rsid w:val="00BC6E4F"/>
    <w:rsid w:val="00BC6EC8"/>
    <w:rsid w:val="00BC7113"/>
    <w:rsid w:val="00BC77EC"/>
    <w:rsid w:val="00BC7B63"/>
    <w:rsid w:val="00BD00F2"/>
    <w:rsid w:val="00BD0243"/>
    <w:rsid w:val="00BD06D9"/>
    <w:rsid w:val="00BD094D"/>
    <w:rsid w:val="00BD0E40"/>
    <w:rsid w:val="00BD107C"/>
    <w:rsid w:val="00BD1096"/>
    <w:rsid w:val="00BD1804"/>
    <w:rsid w:val="00BD1A96"/>
    <w:rsid w:val="00BD1AB6"/>
    <w:rsid w:val="00BD1BE5"/>
    <w:rsid w:val="00BD1E4D"/>
    <w:rsid w:val="00BD22EC"/>
    <w:rsid w:val="00BD23CF"/>
    <w:rsid w:val="00BD259E"/>
    <w:rsid w:val="00BD2710"/>
    <w:rsid w:val="00BD2A2E"/>
    <w:rsid w:val="00BD2A88"/>
    <w:rsid w:val="00BD2BC1"/>
    <w:rsid w:val="00BD2C4F"/>
    <w:rsid w:val="00BD315A"/>
    <w:rsid w:val="00BD3388"/>
    <w:rsid w:val="00BD3402"/>
    <w:rsid w:val="00BD3A0F"/>
    <w:rsid w:val="00BD3BC8"/>
    <w:rsid w:val="00BD4195"/>
    <w:rsid w:val="00BD4277"/>
    <w:rsid w:val="00BD45C7"/>
    <w:rsid w:val="00BD48C1"/>
    <w:rsid w:val="00BD5150"/>
    <w:rsid w:val="00BD54B2"/>
    <w:rsid w:val="00BD5531"/>
    <w:rsid w:val="00BD55CF"/>
    <w:rsid w:val="00BD578B"/>
    <w:rsid w:val="00BD58E9"/>
    <w:rsid w:val="00BD607D"/>
    <w:rsid w:val="00BD6110"/>
    <w:rsid w:val="00BD61FA"/>
    <w:rsid w:val="00BD625D"/>
    <w:rsid w:val="00BD6571"/>
    <w:rsid w:val="00BD65C9"/>
    <w:rsid w:val="00BD6645"/>
    <w:rsid w:val="00BD6E49"/>
    <w:rsid w:val="00BD6F05"/>
    <w:rsid w:val="00BD7064"/>
    <w:rsid w:val="00BD7313"/>
    <w:rsid w:val="00BD7627"/>
    <w:rsid w:val="00BD7C9E"/>
    <w:rsid w:val="00BD7DFF"/>
    <w:rsid w:val="00BE0881"/>
    <w:rsid w:val="00BE0EF3"/>
    <w:rsid w:val="00BE11BE"/>
    <w:rsid w:val="00BE12B1"/>
    <w:rsid w:val="00BE12E8"/>
    <w:rsid w:val="00BE1362"/>
    <w:rsid w:val="00BE139D"/>
    <w:rsid w:val="00BE1750"/>
    <w:rsid w:val="00BE1A03"/>
    <w:rsid w:val="00BE1F93"/>
    <w:rsid w:val="00BE20BA"/>
    <w:rsid w:val="00BE24B1"/>
    <w:rsid w:val="00BE26B6"/>
    <w:rsid w:val="00BE27E1"/>
    <w:rsid w:val="00BE39BF"/>
    <w:rsid w:val="00BE3C44"/>
    <w:rsid w:val="00BE3C58"/>
    <w:rsid w:val="00BE4117"/>
    <w:rsid w:val="00BE43C0"/>
    <w:rsid w:val="00BE448C"/>
    <w:rsid w:val="00BE4880"/>
    <w:rsid w:val="00BE4AE5"/>
    <w:rsid w:val="00BE56AB"/>
    <w:rsid w:val="00BE5BD4"/>
    <w:rsid w:val="00BE629B"/>
    <w:rsid w:val="00BE62A2"/>
    <w:rsid w:val="00BE6485"/>
    <w:rsid w:val="00BE686A"/>
    <w:rsid w:val="00BE68BA"/>
    <w:rsid w:val="00BE6AF5"/>
    <w:rsid w:val="00BE7095"/>
    <w:rsid w:val="00BE74C4"/>
    <w:rsid w:val="00BE769A"/>
    <w:rsid w:val="00BE7862"/>
    <w:rsid w:val="00BE7C12"/>
    <w:rsid w:val="00BF00B2"/>
    <w:rsid w:val="00BF0A20"/>
    <w:rsid w:val="00BF0B62"/>
    <w:rsid w:val="00BF0FC7"/>
    <w:rsid w:val="00BF17CC"/>
    <w:rsid w:val="00BF1BAD"/>
    <w:rsid w:val="00BF2288"/>
    <w:rsid w:val="00BF27A0"/>
    <w:rsid w:val="00BF27C1"/>
    <w:rsid w:val="00BF293E"/>
    <w:rsid w:val="00BF2B04"/>
    <w:rsid w:val="00BF2C68"/>
    <w:rsid w:val="00BF2F21"/>
    <w:rsid w:val="00BF347B"/>
    <w:rsid w:val="00BF3593"/>
    <w:rsid w:val="00BF3787"/>
    <w:rsid w:val="00BF37EB"/>
    <w:rsid w:val="00BF3ACD"/>
    <w:rsid w:val="00BF3AF9"/>
    <w:rsid w:val="00BF3C40"/>
    <w:rsid w:val="00BF3C5C"/>
    <w:rsid w:val="00BF3C9C"/>
    <w:rsid w:val="00BF4207"/>
    <w:rsid w:val="00BF4BCA"/>
    <w:rsid w:val="00BF4F33"/>
    <w:rsid w:val="00BF5066"/>
    <w:rsid w:val="00BF5118"/>
    <w:rsid w:val="00BF51DB"/>
    <w:rsid w:val="00BF51DD"/>
    <w:rsid w:val="00BF55D3"/>
    <w:rsid w:val="00BF5697"/>
    <w:rsid w:val="00BF5754"/>
    <w:rsid w:val="00BF57C7"/>
    <w:rsid w:val="00BF5C45"/>
    <w:rsid w:val="00BF5C74"/>
    <w:rsid w:val="00BF5F17"/>
    <w:rsid w:val="00BF6256"/>
    <w:rsid w:val="00BF66D5"/>
    <w:rsid w:val="00BF6CD4"/>
    <w:rsid w:val="00BF7123"/>
    <w:rsid w:val="00BF7179"/>
    <w:rsid w:val="00BF7600"/>
    <w:rsid w:val="00BF7901"/>
    <w:rsid w:val="00BF7BAA"/>
    <w:rsid w:val="00BF7FA9"/>
    <w:rsid w:val="00C00560"/>
    <w:rsid w:val="00C005E9"/>
    <w:rsid w:val="00C0114B"/>
    <w:rsid w:val="00C0145F"/>
    <w:rsid w:val="00C01904"/>
    <w:rsid w:val="00C0196F"/>
    <w:rsid w:val="00C019E0"/>
    <w:rsid w:val="00C025C1"/>
    <w:rsid w:val="00C025E8"/>
    <w:rsid w:val="00C029A9"/>
    <w:rsid w:val="00C02D01"/>
    <w:rsid w:val="00C02E60"/>
    <w:rsid w:val="00C03069"/>
    <w:rsid w:val="00C0321D"/>
    <w:rsid w:val="00C034BF"/>
    <w:rsid w:val="00C03792"/>
    <w:rsid w:val="00C03B8E"/>
    <w:rsid w:val="00C0407D"/>
    <w:rsid w:val="00C040C3"/>
    <w:rsid w:val="00C0469A"/>
    <w:rsid w:val="00C04728"/>
    <w:rsid w:val="00C04C6C"/>
    <w:rsid w:val="00C04E36"/>
    <w:rsid w:val="00C053C7"/>
    <w:rsid w:val="00C0567F"/>
    <w:rsid w:val="00C05E7F"/>
    <w:rsid w:val="00C06115"/>
    <w:rsid w:val="00C062B3"/>
    <w:rsid w:val="00C068CB"/>
    <w:rsid w:val="00C068DE"/>
    <w:rsid w:val="00C069FF"/>
    <w:rsid w:val="00C06AB1"/>
    <w:rsid w:val="00C06D5A"/>
    <w:rsid w:val="00C071E4"/>
    <w:rsid w:val="00C073DB"/>
    <w:rsid w:val="00C07909"/>
    <w:rsid w:val="00C07E4D"/>
    <w:rsid w:val="00C07ED9"/>
    <w:rsid w:val="00C10025"/>
    <w:rsid w:val="00C1002A"/>
    <w:rsid w:val="00C100DB"/>
    <w:rsid w:val="00C10671"/>
    <w:rsid w:val="00C108B2"/>
    <w:rsid w:val="00C10B05"/>
    <w:rsid w:val="00C111DA"/>
    <w:rsid w:val="00C11A3B"/>
    <w:rsid w:val="00C11DF5"/>
    <w:rsid w:val="00C11ED6"/>
    <w:rsid w:val="00C11FC2"/>
    <w:rsid w:val="00C12112"/>
    <w:rsid w:val="00C121DE"/>
    <w:rsid w:val="00C12594"/>
    <w:rsid w:val="00C1265F"/>
    <w:rsid w:val="00C129AB"/>
    <w:rsid w:val="00C12B3C"/>
    <w:rsid w:val="00C12C60"/>
    <w:rsid w:val="00C131B5"/>
    <w:rsid w:val="00C1337D"/>
    <w:rsid w:val="00C133CD"/>
    <w:rsid w:val="00C137CC"/>
    <w:rsid w:val="00C1423A"/>
    <w:rsid w:val="00C146FE"/>
    <w:rsid w:val="00C1488D"/>
    <w:rsid w:val="00C148B8"/>
    <w:rsid w:val="00C148CB"/>
    <w:rsid w:val="00C14C37"/>
    <w:rsid w:val="00C14D85"/>
    <w:rsid w:val="00C14F0B"/>
    <w:rsid w:val="00C14FB7"/>
    <w:rsid w:val="00C1574B"/>
    <w:rsid w:val="00C1582B"/>
    <w:rsid w:val="00C15954"/>
    <w:rsid w:val="00C15A36"/>
    <w:rsid w:val="00C15B67"/>
    <w:rsid w:val="00C15C00"/>
    <w:rsid w:val="00C15D82"/>
    <w:rsid w:val="00C16115"/>
    <w:rsid w:val="00C16572"/>
    <w:rsid w:val="00C16BB8"/>
    <w:rsid w:val="00C16C80"/>
    <w:rsid w:val="00C1705C"/>
    <w:rsid w:val="00C171A8"/>
    <w:rsid w:val="00C176C4"/>
    <w:rsid w:val="00C17B03"/>
    <w:rsid w:val="00C17CDB"/>
    <w:rsid w:val="00C17D72"/>
    <w:rsid w:val="00C20093"/>
    <w:rsid w:val="00C200EE"/>
    <w:rsid w:val="00C205DF"/>
    <w:rsid w:val="00C2094C"/>
    <w:rsid w:val="00C210B1"/>
    <w:rsid w:val="00C21902"/>
    <w:rsid w:val="00C2197F"/>
    <w:rsid w:val="00C21E8B"/>
    <w:rsid w:val="00C22363"/>
    <w:rsid w:val="00C22D75"/>
    <w:rsid w:val="00C22DBD"/>
    <w:rsid w:val="00C22DC1"/>
    <w:rsid w:val="00C22E2D"/>
    <w:rsid w:val="00C22EA7"/>
    <w:rsid w:val="00C23002"/>
    <w:rsid w:val="00C23368"/>
    <w:rsid w:val="00C23EF3"/>
    <w:rsid w:val="00C2471F"/>
    <w:rsid w:val="00C247F3"/>
    <w:rsid w:val="00C24815"/>
    <w:rsid w:val="00C248D2"/>
    <w:rsid w:val="00C2494D"/>
    <w:rsid w:val="00C24F8E"/>
    <w:rsid w:val="00C251AA"/>
    <w:rsid w:val="00C25207"/>
    <w:rsid w:val="00C2538E"/>
    <w:rsid w:val="00C25EB6"/>
    <w:rsid w:val="00C266A5"/>
    <w:rsid w:val="00C266C8"/>
    <w:rsid w:val="00C2671F"/>
    <w:rsid w:val="00C26921"/>
    <w:rsid w:val="00C26E27"/>
    <w:rsid w:val="00C26FC2"/>
    <w:rsid w:val="00C271B7"/>
    <w:rsid w:val="00C272FA"/>
    <w:rsid w:val="00C2737F"/>
    <w:rsid w:val="00C273CB"/>
    <w:rsid w:val="00C2744C"/>
    <w:rsid w:val="00C27EF9"/>
    <w:rsid w:val="00C3045B"/>
    <w:rsid w:val="00C30942"/>
    <w:rsid w:val="00C30CA0"/>
    <w:rsid w:val="00C30F28"/>
    <w:rsid w:val="00C30F6C"/>
    <w:rsid w:val="00C310E0"/>
    <w:rsid w:val="00C3116E"/>
    <w:rsid w:val="00C31457"/>
    <w:rsid w:val="00C31710"/>
    <w:rsid w:val="00C317FE"/>
    <w:rsid w:val="00C31A43"/>
    <w:rsid w:val="00C31F3E"/>
    <w:rsid w:val="00C326EA"/>
    <w:rsid w:val="00C3297F"/>
    <w:rsid w:val="00C32CA2"/>
    <w:rsid w:val="00C32EF7"/>
    <w:rsid w:val="00C336CC"/>
    <w:rsid w:val="00C33FA0"/>
    <w:rsid w:val="00C3406E"/>
    <w:rsid w:val="00C342C4"/>
    <w:rsid w:val="00C34651"/>
    <w:rsid w:val="00C346AD"/>
    <w:rsid w:val="00C34887"/>
    <w:rsid w:val="00C348CF"/>
    <w:rsid w:val="00C349D9"/>
    <w:rsid w:val="00C35414"/>
    <w:rsid w:val="00C35701"/>
    <w:rsid w:val="00C35808"/>
    <w:rsid w:val="00C358E9"/>
    <w:rsid w:val="00C35B58"/>
    <w:rsid w:val="00C35BEC"/>
    <w:rsid w:val="00C35BF4"/>
    <w:rsid w:val="00C36641"/>
    <w:rsid w:val="00C3691B"/>
    <w:rsid w:val="00C36A12"/>
    <w:rsid w:val="00C36E74"/>
    <w:rsid w:val="00C36F97"/>
    <w:rsid w:val="00C37007"/>
    <w:rsid w:val="00C37051"/>
    <w:rsid w:val="00C37207"/>
    <w:rsid w:val="00C37594"/>
    <w:rsid w:val="00C377A8"/>
    <w:rsid w:val="00C37A09"/>
    <w:rsid w:val="00C37C07"/>
    <w:rsid w:val="00C37DB5"/>
    <w:rsid w:val="00C37E10"/>
    <w:rsid w:val="00C40079"/>
    <w:rsid w:val="00C40350"/>
    <w:rsid w:val="00C40DB0"/>
    <w:rsid w:val="00C40DD2"/>
    <w:rsid w:val="00C40DF7"/>
    <w:rsid w:val="00C41422"/>
    <w:rsid w:val="00C4143C"/>
    <w:rsid w:val="00C4155E"/>
    <w:rsid w:val="00C4166C"/>
    <w:rsid w:val="00C41A80"/>
    <w:rsid w:val="00C41B6B"/>
    <w:rsid w:val="00C41D7B"/>
    <w:rsid w:val="00C41E72"/>
    <w:rsid w:val="00C423C9"/>
    <w:rsid w:val="00C424D3"/>
    <w:rsid w:val="00C42554"/>
    <w:rsid w:val="00C4284D"/>
    <w:rsid w:val="00C42F32"/>
    <w:rsid w:val="00C43229"/>
    <w:rsid w:val="00C4330A"/>
    <w:rsid w:val="00C434FC"/>
    <w:rsid w:val="00C4388F"/>
    <w:rsid w:val="00C43DDE"/>
    <w:rsid w:val="00C43F4E"/>
    <w:rsid w:val="00C44257"/>
    <w:rsid w:val="00C4456F"/>
    <w:rsid w:val="00C44754"/>
    <w:rsid w:val="00C44850"/>
    <w:rsid w:val="00C44D11"/>
    <w:rsid w:val="00C44DD5"/>
    <w:rsid w:val="00C45165"/>
    <w:rsid w:val="00C45A02"/>
    <w:rsid w:val="00C45BC0"/>
    <w:rsid w:val="00C45E81"/>
    <w:rsid w:val="00C46082"/>
    <w:rsid w:val="00C4658C"/>
    <w:rsid w:val="00C467A2"/>
    <w:rsid w:val="00C46819"/>
    <w:rsid w:val="00C468EF"/>
    <w:rsid w:val="00C469C2"/>
    <w:rsid w:val="00C46A05"/>
    <w:rsid w:val="00C46AA3"/>
    <w:rsid w:val="00C46BC2"/>
    <w:rsid w:val="00C470C9"/>
    <w:rsid w:val="00C47314"/>
    <w:rsid w:val="00C47A1F"/>
    <w:rsid w:val="00C47C7D"/>
    <w:rsid w:val="00C47D26"/>
    <w:rsid w:val="00C47F6E"/>
    <w:rsid w:val="00C50010"/>
    <w:rsid w:val="00C50142"/>
    <w:rsid w:val="00C5031D"/>
    <w:rsid w:val="00C506F4"/>
    <w:rsid w:val="00C50848"/>
    <w:rsid w:val="00C50CA7"/>
    <w:rsid w:val="00C50E03"/>
    <w:rsid w:val="00C50EC1"/>
    <w:rsid w:val="00C50F9E"/>
    <w:rsid w:val="00C511CC"/>
    <w:rsid w:val="00C5148F"/>
    <w:rsid w:val="00C51972"/>
    <w:rsid w:val="00C51AB3"/>
    <w:rsid w:val="00C52004"/>
    <w:rsid w:val="00C52358"/>
    <w:rsid w:val="00C523E6"/>
    <w:rsid w:val="00C525C7"/>
    <w:rsid w:val="00C52699"/>
    <w:rsid w:val="00C533BE"/>
    <w:rsid w:val="00C539C1"/>
    <w:rsid w:val="00C53BF9"/>
    <w:rsid w:val="00C53C39"/>
    <w:rsid w:val="00C54056"/>
    <w:rsid w:val="00C54520"/>
    <w:rsid w:val="00C54C78"/>
    <w:rsid w:val="00C54D96"/>
    <w:rsid w:val="00C55B3A"/>
    <w:rsid w:val="00C55B5A"/>
    <w:rsid w:val="00C55CF6"/>
    <w:rsid w:val="00C55E95"/>
    <w:rsid w:val="00C55E9B"/>
    <w:rsid w:val="00C55EB5"/>
    <w:rsid w:val="00C55EBC"/>
    <w:rsid w:val="00C56011"/>
    <w:rsid w:val="00C56337"/>
    <w:rsid w:val="00C56429"/>
    <w:rsid w:val="00C56B89"/>
    <w:rsid w:val="00C56C9E"/>
    <w:rsid w:val="00C56D84"/>
    <w:rsid w:val="00C5761E"/>
    <w:rsid w:val="00C5778D"/>
    <w:rsid w:val="00C57CCF"/>
    <w:rsid w:val="00C57D03"/>
    <w:rsid w:val="00C6009D"/>
    <w:rsid w:val="00C60164"/>
    <w:rsid w:val="00C6024C"/>
    <w:rsid w:val="00C602DA"/>
    <w:rsid w:val="00C6031D"/>
    <w:rsid w:val="00C60F1E"/>
    <w:rsid w:val="00C611E7"/>
    <w:rsid w:val="00C6127B"/>
    <w:rsid w:val="00C61485"/>
    <w:rsid w:val="00C61530"/>
    <w:rsid w:val="00C61678"/>
    <w:rsid w:val="00C61A6D"/>
    <w:rsid w:val="00C62267"/>
    <w:rsid w:val="00C627B5"/>
    <w:rsid w:val="00C629D9"/>
    <w:rsid w:val="00C62F05"/>
    <w:rsid w:val="00C62F46"/>
    <w:rsid w:val="00C63055"/>
    <w:rsid w:val="00C6354D"/>
    <w:rsid w:val="00C63712"/>
    <w:rsid w:val="00C639C9"/>
    <w:rsid w:val="00C63A37"/>
    <w:rsid w:val="00C63A76"/>
    <w:rsid w:val="00C63B6D"/>
    <w:rsid w:val="00C63DEA"/>
    <w:rsid w:val="00C63E61"/>
    <w:rsid w:val="00C63EE0"/>
    <w:rsid w:val="00C64158"/>
    <w:rsid w:val="00C641A6"/>
    <w:rsid w:val="00C641E6"/>
    <w:rsid w:val="00C64330"/>
    <w:rsid w:val="00C643C5"/>
    <w:rsid w:val="00C6444F"/>
    <w:rsid w:val="00C648B5"/>
    <w:rsid w:val="00C64E24"/>
    <w:rsid w:val="00C64E7F"/>
    <w:rsid w:val="00C654C3"/>
    <w:rsid w:val="00C65943"/>
    <w:rsid w:val="00C661DB"/>
    <w:rsid w:val="00C66325"/>
    <w:rsid w:val="00C664B2"/>
    <w:rsid w:val="00C66C3D"/>
    <w:rsid w:val="00C66F78"/>
    <w:rsid w:val="00C671DD"/>
    <w:rsid w:val="00C672A9"/>
    <w:rsid w:val="00C676CB"/>
    <w:rsid w:val="00C67903"/>
    <w:rsid w:val="00C67925"/>
    <w:rsid w:val="00C6794D"/>
    <w:rsid w:val="00C67D81"/>
    <w:rsid w:val="00C70057"/>
    <w:rsid w:val="00C7011B"/>
    <w:rsid w:val="00C706FB"/>
    <w:rsid w:val="00C70DB5"/>
    <w:rsid w:val="00C71023"/>
    <w:rsid w:val="00C71336"/>
    <w:rsid w:val="00C71894"/>
    <w:rsid w:val="00C71B61"/>
    <w:rsid w:val="00C71CFC"/>
    <w:rsid w:val="00C71D91"/>
    <w:rsid w:val="00C71E88"/>
    <w:rsid w:val="00C71E8C"/>
    <w:rsid w:val="00C71E8D"/>
    <w:rsid w:val="00C71EAB"/>
    <w:rsid w:val="00C720BC"/>
    <w:rsid w:val="00C7210C"/>
    <w:rsid w:val="00C72128"/>
    <w:rsid w:val="00C72990"/>
    <w:rsid w:val="00C72A81"/>
    <w:rsid w:val="00C72BB7"/>
    <w:rsid w:val="00C72C6F"/>
    <w:rsid w:val="00C72D16"/>
    <w:rsid w:val="00C7349C"/>
    <w:rsid w:val="00C73524"/>
    <w:rsid w:val="00C73710"/>
    <w:rsid w:val="00C737BA"/>
    <w:rsid w:val="00C73869"/>
    <w:rsid w:val="00C739D7"/>
    <w:rsid w:val="00C740C2"/>
    <w:rsid w:val="00C740F3"/>
    <w:rsid w:val="00C74262"/>
    <w:rsid w:val="00C7446E"/>
    <w:rsid w:val="00C744A1"/>
    <w:rsid w:val="00C7455B"/>
    <w:rsid w:val="00C74BDE"/>
    <w:rsid w:val="00C74FB3"/>
    <w:rsid w:val="00C75029"/>
    <w:rsid w:val="00C758E2"/>
    <w:rsid w:val="00C758E7"/>
    <w:rsid w:val="00C759F4"/>
    <w:rsid w:val="00C75E18"/>
    <w:rsid w:val="00C76225"/>
    <w:rsid w:val="00C76AB4"/>
    <w:rsid w:val="00C76CBD"/>
    <w:rsid w:val="00C7719F"/>
    <w:rsid w:val="00C7723D"/>
    <w:rsid w:val="00C779C3"/>
    <w:rsid w:val="00C77B64"/>
    <w:rsid w:val="00C80237"/>
    <w:rsid w:val="00C80373"/>
    <w:rsid w:val="00C80388"/>
    <w:rsid w:val="00C804C1"/>
    <w:rsid w:val="00C80A3C"/>
    <w:rsid w:val="00C80D29"/>
    <w:rsid w:val="00C8122D"/>
    <w:rsid w:val="00C8149A"/>
    <w:rsid w:val="00C8166E"/>
    <w:rsid w:val="00C82210"/>
    <w:rsid w:val="00C8368C"/>
    <w:rsid w:val="00C8370A"/>
    <w:rsid w:val="00C83754"/>
    <w:rsid w:val="00C83790"/>
    <w:rsid w:val="00C838D7"/>
    <w:rsid w:val="00C83AF4"/>
    <w:rsid w:val="00C83BC4"/>
    <w:rsid w:val="00C83FED"/>
    <w:rsid w:val="00C8419E"/>
    <w:rsid w:val="00C84345"/>
    <w:rsid w:val="00C84593"/>
    <w:rsid w:val="00C847E3"/>
    <w:rsid w:val="00C84912"/>
    <w:rsid w:val="00C84EB2"/>
    <w:rsid w:val="00C84FF3"/>
    <w:rsid w:val="00C85394"/>
    <w:rsid w:val="00C85633"/>
    <w:rsid w:val="00C8572C"/>
    <w:rsid w:val="00C85977"/>
    <w:rsid w:val="00C85C0A"/>
    <w:rsid w:val="00C861B9"/>
    <w:rsid w:val="00C86BD0"/>
    <w:rsid w:val="00C86D20"/>
    <w:rsid w:val="00C87275"/>
    <w:rsid w:val="00C875A2"/>
    <w:rsid w:val="00C875B5"/>
    <w:rsid w:val="00C87699"/>
    <w:rsid w:val="00C8770C"/>
    <w:rsid w:val="00C8783F"/>
    <w:rsid w:val="00C87882"/>
    <w:rsid w:val="00C87A52"/>
    <w:rsid w:val="00C87C2B"/>
    <w:rsid w:val="00C87DCF"/>
    <w:rsid w:val="00C87EF4"/>
    <w:rsid w:val="00C87F53"/>
    <w:rsid w:val="00C90268"/>
    <w:rsid w:val="00C903F1"/>
    <w:rsid w:val="00C90858"/>
    <w:rsid w:val="00C90C77"/>
    <w:rsid w:val="00C90CAB"/>
    <w:rsid w:val="00C916D5"/>
    <w:rsid w:val="00C9187D"/>
    <w:rsid w:val="00C9198F"/>
    <w:rsid w:val="00C91A1C"/>
    <w:rsid w:val="00C91B78"/>
    <w:rsid w:val="00C924DA"/>
    <w:rsid w:val="00C92DCC"/>
    <w:rsid w:val="00C932DA"/>
    <w:rsid w:val="00C934E0"/>
    <w:rsid w:val="00C93512"/>
    <w:rsid w:val="00C93CB1"/>
    <w:rsid w:val="00C9417C"/>
    <w:rsid w:val="00C94625"/>
    <w:rsid w:val="00C94A41"/>
    <w:rsid w:val="00C94C69"/>
    <w:rsid w:val="00C94E84"/>
    <w:rsid w:val="00C95132"/>
    <w:rsid w:val="00C95297"/>
    <w:rsid w:val="00C957B6"/>
    <w:rsid w:val="00C9584A"/>
    <w:rsid w:val="00C9599A"/>
    <w:rsid w:val="00C95B73"/>
    <w:rsid w:val="00C95BA7"/>
    <w:rsid w:val="00C95F5A"/>
    <w:rsid w:val="00C96285"/>
    <w:rsid w:val="00C9641E"/>
    <w:rsid w:val="00C96763"/>
    <w:rsid w:val="00C96929"/>
    <w:rsid w:val="00C96AEB"/>
    <w:rsid w:val="00C977A3"/>
    <w:rsid w:val="00C977AD"/>
    <w:rsid w:val="00CA09A6"/>
    <w:rsid w:val="00CA0A5F"/>
    <w:rsid w:val="00CA0C07"/>
    <w:rsid w:val="00CA0E9A"/>
    <w:rsid w:val="00CA0FCB"/>
    <w:rsid w:val="00CA13EE"/>
    <w:rsid w:val="00CA1422"/>
    <w:rsid w:val="00CA1543"/>
    <w:rsid w:val="00CA18F3"/>
    <w:rsid w:val="00CA1953"/>
    <w:rsid w:val="00CA1998"/>
    <w:rsid w:val="00CA1C8B"/>
    <w:rsid w:val="00CA1FA2"/>
    <w:rsid w:val="00CA27C9"/>
    <w:rsid w:val="00CA28AE"/>
    <w:rsid w:val="00CA2A52"/>
    <w:rsid w:val="00CA2E1A"/>
    <w:rsid w:val="00CA30A7"/>
    <w:rsid w:val="00CA36AA"/>
    <w:rsid w:val="00CA380C"/>
    <w:rsid w:val="00CA3832"/>
    <w:rsid w:val="00CA3ADB"/>
    <w:rsid w:val="00CA3F2F"/>
    <w:rsid w:val="00CA3F96"/>
    <w:rsid w:val="00CA4031"/>
    <w:rsid w:val="00CA418D"/>
    <w:rsid w:val="00CA4500"/>
    <w:rsid w:val="00CA47D3"/>
    <w:rsid w:val="00CA4851"/>
    <w:rsid w:val="00CA5095"/>
    <w:rsid w:val="00CA52A8"/>
    <w:rsid w:val="00CA5463"/>
    <w:rsid w:val="00CA5C20"/>
    <w:rsid w:val="00CA662D"/>
    <w:rsid w:val="00CA68DB"/>
    <w:rsid w:val="00CA6BC0"/>
    <w:rsid w:val="00CA6E51"/>
    <w:rsid w:val="00CA70A7"/>
    <w:rsid w:val="00CA72B6"/>
    <w:rsid w:val="00CA7534"/>
    <w:rsid w:val="00CA7612"/>
    <w:rsid w:val="00CA7B4C"/>
    <w:rsid w:val="00CA7D4C"/>
    <w:rsid w:val="00CA7EF5"/>
    <w:rsid w:val="00CB00C0"/>
    <w:rsid w:val="00CB0586"/>
    <w:rsid w:val="00CB093F"/>
    <w:rsid w:val="00CB0ADF"/>
    <w:rsid w:val="00CB116B"/>
    <w:rsid w:val="00CB16C6"/>
    <w:rsid w:val="00CB187C"/>
    <w:rsid w:val="00CB1929"/>
    <w:rsid w:val="00CB194A"/>
    <w:rsid w:val="00CB1AB1"/>
    <w:rsid w:val="00CB1D1B"/>
    <w:rsid w:val="00CB1F81"/>
    <w:rsid w:val="00CB217B"/>
    <w:rsid w:val="00CB2358"/>
    <w:rsid w:val="00CB2446"/>
    <w:rsid w:val="00CB2505"/>
    <w:rsid w:val="00CB2AE6"/>
    <w:rsid w:val="00CB2CA5"/>
    <w:rsid w:val="00CB3108"/>
    <w:rsid w:val="00CB31AB"/>
    <w:rsid w:val="00CB329C"/>
    <w:rsid w:val="00CB35EB"/>
    <w:rsid w:val="00CB36E9"/>
    <w:rsid w:val="00CB3787"/>
    <w:rsid w:val="00CB4B52"/>
    <w:rsid w:val="00CB4FA5"/>
    <w:rsid w:val="00CB5429"/>
    <w:rsid w:val="00CB577A"/>
    <w:rsid w:val="00CB5F0A"/>
    <w:rsid w:val="00CB64BD"/>
    <w:rsid w:val="00CB66EE"/>
    <w:rsid w:val="00CB6C36"/>
    <w:rsid w:val="00CB6EAB"/>
    <w:rsid w:val="00CB6F6C"/>
    <w:rsid w:val="00CB7248"/>
    <w:rsid w:val="00CB76EA"/>
    <w:rsid w:val="00CB77FC"/>
    <w:rsid w:val="00CB7829"/>
    <w:rsid w:val="00CB7ADA"/>
    <w:rsid w:val="00CB7EC8"/>
    <w:rsid w:val="00CB7F4A"/>
    <w:rsid w:val="00CC0308"/>
    <w:rsid w:val="00CC03C2"/>
    <w:rsid w:val="00CC0465"/>
    <w:rsid w:val="00CC0724"/>
    <w:rsid w:val="00CC0B43"/>
    <w:rsid w:val="00CC0C14"/>
    <w:rsid w:val="00CC1227"/>
    <w:rsid w:val="00CC1343"/>
    <w:rsid w:val="00CC14C5"/>
    <w:rsid w:val="00CC14F8"/>
    <w:rsid w:val="00CC19FA"/>
    <w:rsid w:val="00CC1E8D"/>
    <w:rsid w:val="00CC28E9"/>
    <w:rsid w:val="00CC296A"/>
    <w:rsid w:val="00CC2AF0"/>
    <w:rsid w:val="00CC2F39"/>
    <w:rsid w:val="00CC32C0"/>
    <w:rsid w:val="00CC3F6B"/>
    <w:rsid w:val="00CC4125"/>
    <w:rsid w:val="00CC4378"/>
    <w:rsid w:val="00CC468E"/>
    <w:rsid w:val="00CC516A"/>
    <w:rsid w:val="00CC520A"/>
    <w:rsid w:val="00CC558E"/>
    <w:rsid w:val="00CC55E0"/>
    <w:rsid w:val="00CC665C"/>
    <w:rsid w:val="00CC675B"/>
    <w:rsid w:val="00CC6898"/>
    <w:rsid w:val="00CC6FF2"/>
    <w:rsid w:val="00CC7080"/>
    <w:rsid w:val="00CC721F"/>
    <w:rsid w:val="00CC736E"/>
    <w:rsid w:val="00CC798A"/>
    <w:rsid w:val="00CC7A22"/>
    <w:rsid w:val="00CC7E16"/>
    <w:rsid w:val="00CC7F79"/>
    <w:rsid w:val="00CD046B"/>
    <w:rsid w:val="00CD0A11"/>
    <w:rsid w:val="00CD0B3D"/>
    <w:rsid w:val="00CD0D2C"/>
    <w:rsid w:val="00CD109A"/>
    <w:rsid w:val="00CD12EA"/>
    <w:rsid w:val="00CD1948"/>
    <w:rsid w:val="00CD1C01"/>
    <w:rsid w:val="00CD1D87"/>
    <w:rsid w:val="00CD2088"/>
    <w:rsid w:val="00CD20A2"/>
    <w:rsid w:val="00CD215B"/>
    <w:rsid w:val="00CD2198"/>
    <w:rsid w:val="00CD21EC"/>
    <w:rsid w:val="00CD2391"/>
    <w:rsid w:val="00CD245B"/>
    <w:rsid w:val="00CD2523"/>
    <w:rsid w:val="00CD2A71"/>
    <w:rsid w:val="00CD2FF6"/>
    <w:rsid w:val="00CD369D"/>
    <w:rsid w:val="00CD38FC"/>
    <w:rsid w:val="00CD3FBD"/>
    <w:rsid w:val="00CD40D9"/>
    <w:rsid w:val="00CD472E"/>
    <w:rsid w:val="00CD47B8"/>
    <w:rsid w:val="00CD4B64"/>
    <w:rsid w:val="00CD4D25"/>
    <w:rsid w:val="00CD4D74"/>
    <w:rsid w:val="00CD53C0"/>
    <w:rsid w:val="00CD628A"/>
    <w:rsid w:val="00CD63BA"/>
    <w:rsid w:val="00CD6567"/>
    <w:rsid w:val="00CD697A"/>
    <w:rsid w:val="00CD6F3E"/>
    <w:rsid w:val="00CD74DC"/>
    <w:rsid w:val="00CD786C"/>
    <w:rsid w:val="00CD78E4"/>
    <w:rsid w:val="00CD7BA8"/>
    <w:rsid w:val="00CD7C0C"/>
    <w:rsid w:val="00CD7DDF"/>
    <w:rsid w:val="00CE040B"/>
    <w:rsid w:val="00CE06F0"/>
    <w:rsid w:val="00CE0DDA"/>
    <w:rsid w:val="00CE1197"/>
    <w:rsid w:val="00CE142F"/>
    <w:rsid w:val="00CE1FF6"/>
    <w:rsid w:val="00CE22B8"/>
    <w:rsid w:val="00CE264B"/>
    <w:rsid w:val="00CE266F"/>
    <w:rsid w:val="00CE2845"/>
    <w:rsid w:val="00CE2C5E"/>
    <w:rsid w:val="00CE32A0"/>
    <w:rsid w:val="00CE33F7"/>
    <w:rsid w:val="00CE3600"/>
    <w:rsid w:val="00CE3662"/>
    <w:rsid w:val="00CE3CA7"/>
    <w:rsid w:val="00CE3E8F"/>
    <w:rsid w:val="00CE3F3D"/>
    <w:rsid w:val="00CE4263"/>
    <w:rsid w:val="00CE485A"/>
    <w:rsid w:val="00CE4E64"/>
    <w:rsid w:val="00CE5118"/>
    <w:rsid w:val="00CE532E"/>
    <w:rsid w:val="00CE53F5"/>
    <w:rsid w:val="00CE5854"/>
    <w:rsid w:val="00CE5B19"/>
    <w:rsid w:val="00CE5F27"/>
    <w:rsid w:val="00CE63E7"/>
    <w:rsid w:val="00CE64E7"/>
    <w:rsid w:val="00CE662C"/>
    <w:rsid w:val="00CE67DD"/>
    <w:rsid w:val="00CE68FB"/>
    <w:rsid w:val="00CE6D76"/>
    <w:rsid w:val="00CE71A5"/>
    <w:rsid w:val="00CE71C6"/>
    <w:rsid w:val="00CE7283"/>
    <w:rsid w:val="00CE7298"/>
    <w:rsid w:val="00CE733D"/>
    <w:rsid w:val="00CE78C6"/>
    <w:rsid w:val="00CE78D3"/>
    <w:rsid w:val="00CE79B1"/>
    <w:rsid w:val="00CE7DCA"/>
    <w:rsid w:val="00CE7E82"/>
    <w:rsid w:val="00CE7EB7"/>
    <w:rsid w:val="00CF08D5"/>
    <w:rsid w:val="00CF0990"/>
    <w:rsid w:val="00CF0B63"/>
    <w:rsid w:val="00CF0C07"/>
    <w:rsid w:val="00CF0E42"/>
    <w:rsid w:val="00CF1357"/>
    <w:rsid w:val="00CF1ED4"/>
    <w:rsid w:val="00CF1FB3"/>
    <w:rsid w:val="00CF2132"/>
    <w:rsid w:val="00CF2775"/>
    <w:rsid w:val="00CF2789"/>
    <w:rsid w:val="00CF2A59"/>
    <w:rsid w:val="00CF2B0E"/>
    <w:rsid w:val="00CF2BBA"/>
    <w:rsid w:val="00CF303D"/>
    <w:rsid w:val="00CF33C0"/>
    <w:rsid w:val="00CF3A19"/>
    <w:rsid w:val="00CF3BA2"/>
    <w:rsid w:val="00CF3D6D"/>
    <w:rsid w:val="00CF4119"/>
    <w:rsid w:val="00CF41AE"/>
    <w:rsid w:val="00CF4544"/>
    <w:rsid w:val="00CF4894"/>
    <w:rsid w:val="00CF4995"/>
    <w:rsid w:val="00CF4B49"/>
    <w:rsid w:val="00CF4CE5"/>
    <w:rsid w:val="00CF53B7"/>
    <w:rsid w:val="00CF5A02"/>
    <w:rsid w:val="00CF5A0C"/>
    <w:rsid w:val="00CF5BDF"/>
    <w:rsid w:val="00CF6161"/>
    <w:rsid w:val="00CF629C"/>
    <w:rsid w:val="00CF6661"/>
    <w:rsid w:val="00CF6EAE"/>
    <w:rsid w:val="00CF74B1"/>
    <w:rsid w:val="00CF76BB"/>
    <w:rsid w:val="00CF79DC"/>
    <w:rsid w:val="00CF7BB5"/>
    <w:rsid w:val="00CF7DD9"/>
    <w:rsid w:val="00D003A8"/>
    <w:rsid w:val="00D003B5"/>
    <w:rsid w:val="00D00852"/>
    <w:rsid w:val="00D00860"/>
    <w:rsid w:val="00D0087C"/>
    <w:rsid w:val="00D00A53"/>
    <w:rsid w:val="00D00E48"/>
    <w:rsid w:val="00D01064"/>
    <w:rsid w:val="00D01187"/>
    <w:rsid w:val="00D01B71"/>
    <w:rsid w:val="00D0224F"/>
    <w:rsid w:val="00D02318"/>
    <w:rsid w:val="00D023C4"/>
    <w:rsid w:val="00D0241D"/>
    <w:rsid w:val="00D02516"/>
    <w:rsid w:val="00D02656"/>
    <w:rsid w:val="00D028CB"/>
    <w:rsid w:val="00D02B48"/>
    <w:rsid w:val="00D02EB1"/>
    <w:rsid w:val="00D037A1"/>
    <w:rsid w:val="00D03C40"/>
    <w:rsid w:val="00D03E9A"/>
    <w:rsid w:val="00D03E9F"/>
    <w:rsid w:val="00D040EA"/>
    <w:rsid w:val="00D045D3"/>
    <w:rsid w:val="00D0464A"/>
    <w:rsid w:val="00D046BF"/>
    <w:rsid w:val="00D0487C"/>
    <w:rsid w:val="00D0507E"/>
    <w:rsid w:val="00D05602"/>
    <w:rsid w:val="00D0574F"/>
    <w:rsid w:val="00D0608A"/>
    <w:rsid w:val="00D063F6"/>
    <w:rsid w:val="00D0697E"/>
    <w:rsid w:val="00D06BFA"/>
    <w:rsid w:val="00D06C31"/>
    <w:rsid w:val="00D06FB9"/>
    <w:rsid w:val="00D076D4"/>
    <w:rsid w:val="00D0792B"/>
    <w:rsid w:val="00D07EF7"/>
    <w:rsid w:val="00D10E60"/>
    <w:rsid w:val="00D10EB7"/>
    <w:rsid w:val="00D10FB9"/>
    <w:rsid w:val="00D11148"/>
    <w:rsid w:val="00D11A43"/>
    <w:rsid w:val="00D11F02"/>
    <w:rsid w:val="00D11F58"/>
    <w:rsid w:val="00D12238"/>
    <w:rsid w:val="00D122ED"/>
    <w:rsid w:val="00D12638"/>
    <w:rsid w:val="00D12668"/>
    <w:rsid w:val="00D1304D"/>
    <w:rsid w:val="00D137B7"/>
    <w:rsid w:val="00D13D9B"/>
    <w:rsid w:val="00D13DD5"/>
    <w:rsid w:val="00D13F96"/>
    <w:rsid w:val="00D141D4"/>
    <w:rsid w:val="00D144D8"/>
    <w:rsid w:val="00D146B9"/>
    <w:rsid w:val="00D14BD5"/>
    <w:rsid w:val="00D15024"/>
    <w:rsid w:val="00D1563B"/>
    <w:rsid w:val="00D156D9"/>
    <w:rsid w:val="00D157CD"/>
    <w:rsid w:val="00D15C2E"/>
    <w:rsid w:val="00D16F30"/>
    <w:rsid w:val="00D17355"/>
    <w:rsid w:val="00D175B7"/>
    <w:rsid w:val="00D1773E"/>
    <w:rsid w:val="00D1781F"/>
    <w:rsid w:val="00D17E8C"/>
    <w:rsid w:val="00D17EED"/>
    <w:rsid w:val="00D17FAE"/>
    <w:rsid w:val="00D17FD3"/>
    <w:rsid w:val="00D2025D"/>
    <w:rsid w:val="00D20393"/>
    <w:rsid w:val="00D203EF"/>
    <w:rsid w:val="00D20758"/>
    <w:rsid w:val="00D20E5F"/>
    <w:rsid w:val="00D21280"/>
    <w:rsid w:val="00D212D5"/>
    <w:rsid w:val="00D21301"/>
    <w:rsid w:val="00D215B7"/>
    <w:rsid w:val="00D2192A"/>
    <w:rsid w:val="00D21C39"/>
    <w:rsid w:val="00D21CBC"/>
    <w:rsid w:val="00D21ECD"/>
    <w:rsid w:val="00D21F8F"/>
    <w:rsid w:val="00D22136"/>
    <w:rsid w:val="00D22CE1"/>
    <w:rsid w:val="00D22ECC"/>
    <w:rsid w:val="00D240BD"/>
    <w:rsid w:val="00D241E2"/>
    <w:rsid w:val="00D24306"/>
    <w:rsid w:val="00D2432C"/>
    <w:rsid w:val="00D24390"/>
    <w:rsid w:val="00D247B2"/>
    <w:rsid w:val="00D247F1"/>
    <w:rsid w:val="00D24C97"/>
    <w:rsid w:val="00D24F38"/>
    <w:rsid w:val="00D24F89"/>
    <w:rsid w:val="00D250C8"/>
    <w:rsid w:val="00D2513E"/>
    <w:rsid w:val="00D251F6"/>
    <w:rsid w:val="00D2579C"/>
    <w:rsid w:val="00D25A37"/>
    <w:rsid w:val="00D25E47"/>
    <w:rsid w:val="00D264FF"/>
    <w:rsid w:val="00D265B0"/>
    <w:rsid w:val="00D267B3"/>
    <w:rsid w:val="00D26A06"/>
    <w:rsid w:val="00D2712E"/>
    <w:rsid w:val="00D2717B"/>
    <w:rsid w:val="00D271B5"/>
    <w:rsid w:val="00D271D5"/>
    <w:rsid w:val="00D273E3"/>
    <w:rsid w:val="00D27886"/>
    <w:rsid w:val="00D30043"/>
    <w:rsid w:val="00D3032C"/>
    <w:rsid w:val="00D304D6"/>
    <w:rsid w:val="00D30557"/>
    <w:rsid w:val="00D30848"/>
    <w:rsid w:val="00D3096F"/>
    <w:rsid w:val="00D30BF5"/>
    <w:rsid w:val="00D30C98"/>
    <w:rsid w:val="00D31400"/>
    <w:rsid w:val="00D314BA"/>
    <w:rsid w:val="00D31857"/>
    <w:rsid w:val="00D31BB6"/>
    <w:rsid w:val="00D31C08"/>
    <w:rsid w:val="00D31D6E"/>
    <w:rsid w:val="00D31E0B"/>
    <w:rsid w:val="00D31F33"/>
    <w:rsid w:val="00D31F4D"/>
    <w:rsid w:val="00D320A0"/>
    <w:rsid w:val="00D3212D"/>
    <w:rsid w:val="00D3215F"/>
    <w:rsid w:val="00D32833"/>
    <w:rsid w:val="00D32C21"/>
    <w:rsid w:val="00D331F0"/>
    <w:rsid w:val="00D33762"/>
    <w:rsid w:val="00D33BAE"/>
    <w:rsid w:val="00D34198"/>
    <w:rsid w:val="00D34481"/>
    <w:rsid w:val="00D344C1"/>
    <w:rsid w:val="00D348C3"/>
    <w:rsid w:val="00D348CA"/>
    <w:rsid w:val="00D34CF2"/>
    <w:rsid w:val="00D34D23"/>
    <w:rsid w:val="00D34D76"/>
    <w:rsid w:val="00D34DBD"/>
    <w:rsid w:val="00D351B1"/>
    <w:rsid w:val="00D352C9"/>
    <w:rsid w:val="00D355CD"/>
    <w:rsid w:val="00D35727"/>
    <w:rsid w:val="00D35752"/>
    <w:rsid w:val="00D35A15"/>
    <w:rsid w:val="00D35B94"/>
    <w:rsid w:val="00D35EDC"/>
    <w:rsid w:val="00D3611A"/>
    <w:rsid w:val="00D36354"/>
    <w:rsid w:val="00D3639F"/>
    <w:rsid w:val="00D3645E"/>
    <w:rsid w:val="00D3655D"/>
    <w:rsid w:val="00D368BD"/>
    <w:rsid w:val="00D36BF1"/>
    <w:rsid w:val="00D36C5E"/>
    <w:rsid w:val="00D3707F"/>
    <w:rsid w:val="00D3749A"/>
    <w:rsid w:val="00D3769D"/>
    <w:rsid w:val="00D37773"/>
    <w:rsid w:val="00D37CC3"/>
    <w:rsid w:val="00D37D47"/>
    <w:rsid w:val="00D4009A"/>
    <w:rsid w:val="00D404B2"/>
    <w:rsid w:val="00D40714"/>
    <w:rsid w:val="00D408F1"/>
    <w:rsid w:val="00D40E85"/>
    <w:rsid w:val="00D410C9"/>
    <w:rsid w:val="00D412D0"/>
    <w:rsid w:val="00D418BD"/>
    <w:rsid w:val="00D41B3E"/>
    <w:rsid w:val="00D42420"/>
    <w:rsid w:val="00D4269E"/>
    <w:rsid w:val="00D42982"/>
    <w:rsid w:val="00D42B19"/>
    <w:rsid w:val="00D4354A"/>
    <w:rsid w:val="00D43654"/>
    <w:rsid w:val="00D43763"/>
    <w:rsid w:val="00D439C2"/>
    <w:rsid w:val="00D43C03"/>
    <w:rsid w:val="00D43DDF"/>
    <w:rsid w:val="00D43F01"/>
    <w:rsid w:val="00D445A2"/>
    <w:rsid w:val="00D44786"/>
    <w:rsid w:val="00D4490A"/>
    <w:rsid w:val="00D44CB0"/>
    <w:rsid w:val="00D44CE3"/>
    <w:rsid w:val="00D4502F"/>
    <w:rsid w:val="00D45941"/>
    <w:rsid w:val="00D45977"/>
    <w:rsid w:val="00D466E4"/>
    <w:rsid w:val="00D466FB"/>
    <w:rsid w:val="00D47432"/>
    <w:rsid w:val="00D477BA"/>
    <w:rsid w:val="00D47E15"/>
    <w:rsid w:val="00D47E63"/>
    <w:rsid w:val="00D47F76"/>
    <w:rsid w:val="00D502F2"/>
    <w:rsid w:val="00D50470"/>
    <w:rsid w:val="00D50636"/>
    <w:rsid w:val="00D50655"/>
    <w:rsid w:val="00D50E02"/>
    <w:rsid w:val="00D50E25"/>
    <w:rsid w:val="00D50FAE"/>
    <w:rsid w:val="00D50FDA"/>
    <w:rsid w:val="00D511D7"/>
    <w:rsid w:val="00D51264"/>
    <w:rsid w:val="00D51265"/>
    <w:rsid w:val="00D51344"/>
    <w:rsid w:val="00D5152C"/>
    <w:rsid w:val="00D51E5F"/>
    <w:rsid w:val="00D521E0"/>
    <w:rsid w:val="00D52438"/>
    <w:rsid w:val="00D52478"/>
    <w:rsid w:val="00D52510"/>
    <w:rsid w:val="00D529F5"/>
    <w:rsid w:val="00D52A7F"/>
    <w:rsid w:val="00D52B44"/>
    <w:rsid w:val="00D52C14"/>
    <w:rsid w:val="00D52C3D"/>
    <w:rsid w:val="00D52DE3"/>
    <w:rsid w:val="00D53027"/>
    <w:rsid w:val="00D537B7"/>
    <w:rsid w:val="00D539C8"/>
    <w:rsid w:val="00D53A72"/>
    <w:rsid w:val="00D53B61"/>
    <w:rsid w:val="00D53FFE"/>
    <w:rsid w:val="00D545C8"/>
    <w:rsid w:val="00D54624"/>
    <w:rsid w:val="00D54652"/>
    <w:rsid w:val="00D54708"/>
    <w:rsid w:val="00D5488F"/>
    <w:rsid w:val="00D54893"/>
    <w:rsid w:val="00D548D9"/>
    <w:rsid w:val="00D54D71"/>
    <w:rsid w:val="00D5562A"/>
    <w:rsid w:val="00D55664"/>
    <w:rsid w:val="00D55831"/>
    <w:rsid w:val="00D55985"/>
    <w:rsid w:val="00D55B1B"/>
    <w:rsid w:val="00D55B6B"/>
    <w:rsid w:val="00D56116"/>
    <w:rsid w:val="00D562A8"/>
    <w:rsid w:val="00D56372"/>
    <w:rsid w:val="00D56847"/>
    <w:rsid w:val="00D56908"/>
    <w:rsid w:val="00D56A22"/>
    <w:rsid w:val="00D56B88"/>
    <w:rsid w:val="00D56DF6"/>
    <w:rsid w:val="00D56EDA"/>
    <w:rsid w:val="00D570D3"/>
    <w:rsid w:val="00D571C0"/>
    <w:rsid w:val="00D577C6"/>
    <w:rsid w:val="00D5784E"/>
    <w:rsid w:val="00D57C19"/>
    <w:rsid w:val="00D6007A"/>
    <w:rsid w:val="00D60201"/>
    <w:rsid w:val="00D602A4"/>
    <w:rsid w:val="00D606F6"/>
    <w:rsid w:val="00D607AD"/>
    <w:rsid w:val="00D60B2E"/>
    <w:rsid w:val="00D6121A"/>
    <w:rsid w:val="00D61782"/>
    <w:rsid w:val="00D61836"/>
    <w:rsid w:val="00D61A86"/>
    <w:rsid w:val="00D61BB1"/>
    <w:rsid w:val="00D61C47"/>
    <w:rsid w:val="00D620FF"/>
    <w:rsid w:val="00D621A4"/>
    <w:rsid w:val="00D62338"/>
    <w:rsid w:val="00D629F0"/>
    <w:rsid w:val="00D62AF4"/>
    <w:rsid w:val="00D62DD5"/>
    <w:rsid w:val="00D635F1"/>
    <w:rsid w:val="00D6384E"/>
    <w:rsid w:val="00D63863"/>
    <w:rsid w:val="00D638AD"/>
    <w:rsid w:val="00D63B8B"/>
    <w:rsid w:val="00D63D6E"/>
    <w:rsid w:val="00D63E5F"/>
    <w:rsid w:val="00D6413A"/>
    <w:rsid w:val="00D64561"/>
    <w:rsid w:val="00D6474A"/>
    <w:rsid w:val="00D64818"/>
    <w:rsid w:val="00D6488B"/>
    <w:rsid w:val="00D648EA"/>
    <w:rsid w:val="00D64B9B"/>
    <w:rsid w:val="00D65AA8"/>
    <w:rsid w:val="00D65EBA"/>
    <w:rsid w:val="00D661C7"/>
    <w:rsid w:val="00D6628F"/>
    <w:rsid w:val="00D66383"/>
    <w:rsid w:val="00D66B4E"/>
    <w:rsid w:val="00D66EEA"/>
    <w:rsid w:val="00D672F0"/>
    <w:rsid w:val="00D67447"/>
    <w:rsid w:val="00D700A2"/>
    <w:rsid w:val="00D70497"/>
    <w:rsid w:val="00D70CEF"/>
    <w:rsid w:val="00D70FE7"/>
    <w:rsid w:val="00D710D2"/>
    <w:rsid w:val="00D71221"/>
    <w:rsid w:val="00D71234"/>
    <w:rsid w:val="00D71694"/>
    <w:rsid w:val="00D72575"/>
    <w:rsid w:val="00D7271E"/>
    <w:rsid w:val="00D72858"/>
    <w:rsid w:val="00D7290F"/>
    <w:rsid w:val="00D72AE9"/>
    <w:rsid w:val="00D73367"/>
    <w:rsid w:val="00D735B4"/>
    <w:rsid w:val="00D73732"/>
    <w:rsid w:val="00D738CA"/>
    <w:rsid w:val="00D739E2"/>
    <w:rsid w:val="00D73A52"/>
    <w:rsid w:val="00D73C02"/>
    <w:rsid w:val="00D73C79"/>
    <w:rsid w:val="00D73FBF"/>
    <w:rsid w:val="00D74014"/>
    <w:rsid w:val="00D740E4"/>
    <w:rsid w:val="00D74306"/>
    <w:rsid w:val="00D74438"/>
    <w:rsid w:val="00D7450A"/>
    <w:rsid w:val="00D7453E"/>
    <w:rsid w:val="00D74CB0"/>
    <w:rsid w:val="00D74E29"/>
    <w:rsid w:val="00D74E4E"/>
    <w:rsid w:val="00D74ED3"/>
    <w:rsid w:val="00D75067"/>
    <w:rsid w:val="00D75118"/>
    <w:rsid w:val="00D751BA"/>
    <w:rsid w:val="00D753C9"/>
    <w:rsid w:val="00D753EB"/>
    <w:rsid w:val="00D7580D"/>
    <w:rsid w:val="00D75A40"/>
    <w:rsid w:val="00D75BC8"/>
    <w:rsid w:val="00D75FAF"/>
    <w:rsid w:val="00D7613C"/>
    <w:rsid w:val="00D761C6"/>
    <w:rsid w:val="00D7638F"/>
    <w:rsid w:val="00D765DE"/>
    <w:rsid w:val="00D76904"/>
    <w:rsid w:val="00D76A89"/>
    <w:rsid w:val="00D76AE0"/>
    <w:rsid w:val="00D76CAA"/>
    <w:rsid w:val="00D76CC3"/>
    <w:rsid w:val="00D76DDC"/>
    <w:rsid w:val="00D76E0A"/>
    <w:rsid w:val="00D77353"/>
    <w:rsid w:val="00D777E0"/>
    <w:rsid w:val="00D77E4D"/>
    <w:rsid w:val="00D80A1E"/>
    <w:rsid w:val="00D80BE6"/>
    <w:rsid w:val="00D80F19"/>
    <w:rsid w:val="00D80F61"/>
    <w:rsid w:val="00D80FAC"/>
    <w:rsid w:val="00D8122F"/>
    <w:rsid w:val="00D81608"/>
    <w:rsid w:val="00D817F3"/>
    <w:rsid w:val="00D8186E"/>
    <w:rsid w:val="00D818CB"/>
    <w:rsid w:val="00D81AA4"/>
    <w:rsid w:val="00D81ACC"/>
    <w:rsid w:val="00D81D92"/>
    <w:rsid w:val="00D82069"/>
    <w:rsid w:val="00D824D4"/>
    <w:rsid w:val="00D82799"/>
    <w:rsid w:val="00D82B97"/>
    <w:rsid w:val="00D82C0F"/>
    <w:rsid w:val="00D82F79"/>
    <w:rsid w:val="00D82F9B"/>
    <w:rsid w:val="00D83211"/>
    <w:rsid w:val="00D83508"/>
    <w:rsid w:val="00D837DA"/>
    <w:rsid w:val="00D83A2D"/>
    <w:rsid w:val="00D8415C"/>
    <w:rsid w:val="00D8437C"/>
    <w:rsid w:val="00D844D8"/>
    <w:rsid w:val="00D84566"/>
    <w:rsid w:val="00D8457F"/>
    <w:rsid w:val="00D846A3"/>
    <w:rsid w:val="00D84846"/>
    <w:rsid w:val="00D84C8D"/>
    <w:rsid w:val="00D84E80"/>
    <w:rsid w:val="00D85311"/>
    <w:rsid w:val="00D85326"/>
    <w:rsid w:val="00D85447"/>
    <w:rsid w:val="00D85D9E"/>
    <w:rsid w:val="00D85E9A"/>
    <w:rsid w:val="00D85EA4"/>
    <w:rsid w:val="00D86109"/>
    <w:rsid w:val="00D86388"/>
    <w:rsid w:val="00D863A7"/>
    <w:rsid w:val="00D866C3"/>
    <w:rsid w:val="00D86B7F"/>
    <w:rsid w:val="00D86C57"/>
    <w:rsid w:val="00D86CEE"/>
    <w:rsid w:val="00D86E14"/>
    <w:rsid w:val="00D87234"/>
    <w:rsid w:val="00D8740C"/>
    <w:rsid w:val="00D877B1"/>
    <w:rsid w:val="00D8791C"/>
    <w:rsid w:val="00D87C39"/>
    <w:rsid w:val="00D87D32"/>
    <w:rsid w:val="00D87FFE"/>
    <w:rsid w:val="00D90708"/>
    <w:rsid w:val="00D90A98"/>
    <w:rsid w:val="00D90D59"/>
    <w:rsid w:val="00D90F94"/>
    <w:rsid w:val="00D912D0"/>
    <w:rsid w:val="00D914D1"/>
    <w:rsid w:val="00D91520"/>
    <w:rsid w:val="00D91622"/>
    <w:rsid w:val="00D9167F"/>
    <w:rsid w:val="00D91BAF"/>
    <w:rsid w:val="00D9201C"/>
    <w:rsid w:val="00D92AC5"/>
    <w:rsid w:val="00D92D73"/>
    <w:rsid w:val="00D92DE8"/>
    <w:rsid w:val="00D930F4"/>
    <w:rsid w:val="00D9379B"/>
    <w:rsid w:val="00D93A8D"/>
    <w:rsid w:val="00D93BB4"/>
    <w:rsid w:val="00D93C1A"/>
    <w:rsid w:val="00D93C74"/>
    <w:rsid w:val="00D94F7E"/>
    <w:rsid w:val="00D951CA"/>
    <w:rsid w:val="00D95413"/>
    <w:rsid w:val="00D95CFF"/>
    <w:rsid w:val="00D96D4A"/>
    <w:rsid w:val="00D96DF8"/>
    <w:rsid w:val="00D97117"/>
    <w:rsid w:val="00D97312"/>
    <w:rsid w:val="00D9756E"/>
    <w:rsid w:val="00D97A7F"/>
    <w:rsid w:val="00D97DA5"/>
    <w:rsid w:val="00D97F2E"/>
    <w:rsid w:val="00D97FB8"/>
    <w:rsid w:val="00DA0085"/>
    <w:rsid w:val="00DA0109"/>
    <w:rsid w:val="00DA0128"/>
    <w:rsid w:val="00DA0CD9"/>
    <w:rsid w:val="00DA105D"/>
    <w:rsid w:val="00DA11C0"/>
    <w:rsid w:val="00DA1414"/>
    <w:rsid w:val="00DA1538"/>
    <w:rsid w:val="00DA1553"/>
    <w:rsid w:val="00DA1927"/>
    <w:rsid w:val="00DA195E"/>
    <w:rsid w:val="00DA196A"/>
    <w:rsid w:val="00DA19AC"/>
    <w:rsid w:val="00DA19B5"/>
    <w:rsid w:val="00DA1C34"/>
    <w:rsid w:val="00DA1C85"/>
    <w:rsid w:val="00DA1F10"/>
    <w:rsid w:val="00DA219C"/>
    <w:rsid w:val="00DA2234"/>
    <w:rsid w:val="00DA24F5"/>
    <w:rsid w:val="00DA2819"/>
    <w:rsid w:val="00DA28F2"/>
    <w:rsid w:val="00DA3969"/>
    <w:rsid w:val="00DA398E"/>
    <w:rsid w:val="00DA4003"/>
    <w:rsid w:val="00DA4784"/>
    <w:rsid w:val="00DA47E6"/>
    <w:rsid w:val="00DA48C9"/>
    <w:rsid w:val="00DA4F9A"/>
    <w:rsid w:val="00DA5044"/>
    <w:rsid w:val="00DA53D1"/>
    <w:rsid w:val="00DA57BE"/>
    <w:rsid w:val="00DA5E36"/>
    <w:rsid w:val="00DA5F7C"/>
    <w:rsid w:val="00DA5FFD"/>
    <w:rsid w:val="00DA6281"/>
    <w:rsid w:val="00DA661E"/>
    <w:rsid w:val="00DA6AFD"/>
    <w:rsid w:val="00DA6E89"/>
    <w:rsid w:val="00DA7E10"/>
    <w:rsid w:val="00DA7E55"/>
    <w:rsid w:val="00DB04EF"/>
    <w:rsid w:val="00DB0742"/>
    <w:rsid w:val="00DB0901"/>
    <w:rsid w:val="00DB091A"/>
    <w:rsid w:val="00DB0AE2"/>
    <w:rsid w:val="00DB0B22"/>
    <w:rsid w:val="00DB0BB9"/>
    <w:rsid w:val="00DB0BBB"/>
    <w:rsid w:val="00DB0BC1"/>
    <w:rsid w:val="00DB0F1B"/>
    <w:rsid w:val="00DB1535"/>
    <w:rsid w:val="00DB19D2"/>
    <w:rsid w:val="00DB1A70"/>
    <w:rsid w:val="00DB1DCD"/>
    <w:rsid w:val="00DB202F"/>
    <w:rsid w:val="00DB2A69"/>
    <w:rsid w:val="00DB2B53"/>
    <w:rsid w:val="00DB2E01"/>
    <w:rsid w:val="00DB34A9"/>
    <w:rsid w:val="00DB34F3"/>
    <w:rsid w:val="00DB354A"/>
    <w:rsid w:val="00DB3822"/>
    <w:rsid w:val="00DB38BE"/>
    <w:rsid w:val="00DB3907"/>
    <w:rsid w:val="00DB3A94"/>
    <w:rsid w:val="00DB3F83"/>
    <w:rsid w:val="00DB401A"/>
    <w:rsid w:val="00DB4128"/>
    <w:rsid w:val="00DB44E2"/>
    <w:rsid w:val="00DB4A54"/>
    <w:rsid w:val="00DB4A7B"/>
    <w:rsid w:val="00DB4C3E"/>
    <w:rsid w:val="00DB4CDE"/>
    <w:rsid w:val="00DB576F"/>
    <w:rsid w:val="00DB5ED5"/>
    <w:rsid w:val="00DB6960"/>
    <w:rsid w:val="00DB6C6C"/>
    <w:rsid w:val="00DB6F40"/>
    <w:rsid w:val="00DB77E8"/>
    <w:rsid w:val="00DB7903"/>
    <w:rsid w:val="00DB7BCD"/>
    <w:rsid w:val="00DB7E57"/>
    <w:rsid w:val="00DC03C8"/>
    <w:rsid w:val="00DC0481"/>
    <w:rsid w:val="00DC05AE"/>
    <w:rsid w:val="00DC0777"/>
    <w:rsid w:val="00DC0D23"/>
    <w:rsid w:val="00DC0FFD"/>
    <w:rsid w:val="00DC1059"/>
    <w:rsid w:val="00DC12D9"/>
    <w:rsid w:val="00DC16BC"/>
    <w:rsid w:val="00DC19C3"/>
    <w:rsid w:val="00DC1B52"/>
    <w:rsid w:val="00DC1BAE"/>
    <w:rsid w:val="00DC1BB2"/>
    <w:rsid w:val="00DC1DDA"/>
    <w:rsid w:val="00DC1DEA"/>
    <w:rsid w:val="00DC1E20"/>
    <w:rsid w:val="00DC2660"/>
    <w:rsid w:val="00DC28F1"/>
    <w:rsid w:val="00DC2EEE"/>
    <w:rsid w:val="00DC3279"/>
    <w:rsid w:val="00DC33CB"/>
    <w:rsid w:val="00DC365E"/>
    <w:rsid w:val="00DC376F"/>
    <w:rsid w:val="00DC382A"/>
    <w:rsid w:val="00DC39CA"/>
    <w:rsid w:val="00DC4307"/>
    <w:rsid w:val="00DC4353"/>
    <w:rsid w:val="00DC4652"/>
    <w:rsid w:val="00DC494C"/>
    <w:rsid w:val="00DC4BB0"/>
    <w:rsid w:val="00DC4C05"/>
    <w:rsid w:val="00DC542B"/>
    <w:rsid w:val="00DC5752"/>
    <w:rsid w:val="00DC5833"/>
    <w:rsid w:val="00DC5C98"/>
    <w:rsid w:val="00DC5CD9"/>
    <w:rsid w:val="00DC623C"/>
    <w:rsid w:val="00DC6361"/>
    <w:rsid w:val="00DC696F"/>
    <w:rsid w:val="00DC6AE4"/>
    <w:rsid w:val="00DC6CBD"/>
    <w:rsid w:val="00DC71FA"/>
    <w:rsid w:val="00DC725D"/>
    <w:rsid w:val="00DC72B6"/>
    <w:rsid w:val="00DC734B"/>
    <w:rsid w:val="00DC75B2"/>
    <w:rsid w:val="00DC76FD"/>
    <w:rsid w:val="00DC7B60"/>
    <w:rsid w:val="00DC7B95"/>
    <w:rsid w:val="00DC7DE1"/>
    <w:rsid w:val="00DC7E9D"/>
    <w:rsid w:val="00DD031B"/>
    <w:rsid w:val="00DD059B"/>
    <w:rsid w:val="00DD061F"/>
    <w:rsid w:val="00DD0645"/>
    <w:rsid w:val="00DD0BC1"/>
    <w:rsid w:val="00DD0C1D"/>
    <w:rsid w:val="00DD0DB7"/>
    <w:rsid w:val="00DD17D8"/>
    <w:rsid w:val="00DD1B5D"/>
    <w:rsid w:val="00DD1BAB"/>
    <w:rsid w:val="00DD1EC9"/>
    <w:rsid w:val="00DD21FF"/>
    <w:rsid w:val="00DD22DB"/>
    <w:rsid w:val="00DD2429"/>
    <w:rsid w:val="00DD25F7"/>
    <w:rsid w:val="00DD276A"/>
    <w:rsid w:val="00DD28D7"/>
    <w:rsid w:val="00DD2954"/>
    <w:rsid w:val="00DD2A26"/>
    <w:rsid w:val="00DD3426"/>
    <w:rsid w:val="00DD34CB"/>
    <w:rsid w:val="00DD34F3"/>
    <w:rsid w:val="00DD359F"/>
    <w:rsid w:val="00DD3CDA"/>
    <w:rsid w:val="00DD442F"/>
    <w:rsid w:val="00DD44CF"/>
    <w:rsid w:val="00DD4761"/>
    <w:rsid w:val="00DD493E"/>
    <w:rsid w:val="00DD4A16"/>
    <w:rsid w:val="00DD4BA8"/>
    <w:rsid w:val="00DD4CC6"/>
    <w:rsid w:val="00DD4FD3"/>
    <w:rsid w:val="00DD528A"/>
    <w:rsid w:val="00DD55A8"/>
    <w:rsid w:val="00DD5711"/>
    <w:rsid w:val="00DD578E"/>
    <w:rsid w:val="00DD5969"/>
    <w:rsid w:val="00DD5A11"/>
    <w:rsid w:val="00DD60E7"/>
    <w:rsid w:val="00DD62C5"/>
    <w:rsid w:val="00DD642B"/>
    <w:rsid w:val="00DD6595"/>
    <w:rsid w:val="00DD6986"/>
    <w:rsid w:val="00DD6993"/>
    <w:rsid w:val="00DD6EA9"/>
    <w:rsid w:val="00DD6ED7"/>
    <w:rsid w:val="00DD75CC"/>
    <w:rsid w:val="00DD76F4"/>
    <w:rsid w:val="00DD7ADE"/>
    <w:rsid w:val="00DD7BDB"/>
    <w:rsid w:val="00DD7C04"/>
    <w:rsid w:val="00DD7DC7"/>
    <w:rsid w:val="00DE0589"/>
    <w:rsid w:val="00DE08B4"/>
    <w:rsid w:val="00DE0E0A"/>
    <w:rsid w:val="00DE0F83"/>
    <w:rsid w:val="00DE0FCF"/>
    <w:rsid w:val="00DE10BC"/>
    <w:rsid w:val="00DE1541"/>
    <w:rsid w:val="00DE175C"/>
    <w:rsid w:val="00DE1835"/>
    <w:rsid w:val="00DE19C0"/>
    <w:rsid w:val="00DE1A75"/>
    <w:rsid w:val="00DE20BE"/>
    <w:rsid w:val="00DE222C"/>
    <w:rsid w:val="00DE236B"/>
    <w:rsid w:val="00DE271E"/>
    <w:rsid w:val="00DE28C8"/>
    <w:rsid w:val="00DE2936"/>
    <w:rsid w:val="00DE2F9F"/>
    <w:rsid w:val="00DE30E6"/>
    <w:rsid w:val="00DE33B8"/>
    <w:rsid w:val="00DE3629"/>
    <w:rsid w:val="00DE3A6A"/>
    <w:rsid w:val="00DE3BF2"/>
    <w:rsid w:val="00DE3C06"/>
    <w:rsid w:val="00DE3C8B"/>
    <w:rsid w:val="00DE4035"/>
    <w:rsid w:val="00DE45BD"/>
    <w:rsid w:val="00DE47C5"/>
    <w:rsid w:val="00DE4A0F"/>
    <w:rsid w:val="00DE4A85"/>
    <w:rsid w:val="00DE4FC5"/>
    <w:rsid w:val="00DE5026"/>
    <w:rsid w:val="00DE51CE"/>
    <w:rsid w:val="00DE534B"/>
    <w:rsid w:val="00DE543D"/>
    <w:rsid w:val="00DE58C8"/>
    <w:rsid w:val="00DE5D6E"/>
    <w:rsid w:val="00DE5E79"/>
    <w:rsid w:val="00DE5E93"/>
    <w:rsid w:val="00DE634C"/>
    <w:rsid w:val="00DE6892"/>
    <w:rsid w:val="00DE68BD"/>
    <w:rsid w:val="00DE6C4D"/>
    <w:rsid w:val="00DE6E63"/>
    <w:rsid w:val="00DE6EA7"/>
    <w:rsid w:val="00DE6F94"/>
    <w:rsid w:val="00DE6FAA"/>
    <w:rsid w:val="00DE7019"/>
    <w:rsid w:val="00DE7479"/>
    <w:rsid w:val="00DF0308"/>
    <w:rsid w:val="00DF05E1"/>
    <w:rsid w:val="00DF0950"/>
    <w:rsid w:val="00DF0A07"/>
    <w:rsid w:val="00DF0B2D"/>
    <w:rsid w:val="00DF0C39"/>
    <w:rsid w:val="00DF10C9"/>
    <w:rsid w:val="00DF175A"/>
    <w:rsid w:val="00DF1D60"/>
    <w:rsid w:val="00DF1D92"/>
    <w:rsid w:val="00DF2014"/>
    <w:rsid w:val="00DF205A"/>
    <w:rsid w:val="00DF2189"/>
    <w:rsid w:val="00DF2575"/>
    <w:rsid w:val="00DF258A"/>
    <w:rsid w:val="00DF265F"/>
    <w:rsid w:val="00DF2A83"/>
    <w:rsid w:val="00DF3A08"/>
    <w:rsid w:val="00DF3B5F"/>
    <w:rsid w:val="00DF3CBB"/>
    <w:rsid w:val="00DF4034"/>
    <w:rsid w:val="00DF40D2"/>
    <w:rsid w:val="00DF40DB"/>
    <w:rsid w:val="00DF41F1"/>
    <w:rsid w:val="00DF4209"/>
    <w:rsid w:val="00DF4498"/>
    <w:rsid w:val="00DF462A"/>
    <w:rsid w:val="00DF4A1C"/>
    <w:rsid w:val="00DF4ECC"/>
    <w:rsid w:val="00DF502A"/>
    <w:rsid w:val="00DF5147"/>
    <w:rsid w:val="00DF52A2"/>
    <w:rsid w:val="00DF5365"/>
    <w:rsid w:val="00DF57B6"/>
    <w:rsid w:val="00DF57FC"/>
    <w:rsid w:val="00DF589D"/>
    <w:rsid w:val="00DF5B44"/>
    <w:rsid w:val="00DF5B71"/>
    <w:rsid w:val="00DF5F40"/>
    <w:rsid w:val="00DF6550"/>
    <w:rsid w:val="00DF6D8E"/>
    <w:rsid w:val="00DF7419"/>
    <w:rsid w:val="00DF7817"/>
    <w:rsid w:val="00DF7C2F"/>
    <w:rsid w:val="00DF7C49"/>
    <w:rsid w:val="00DF7CAC"/>
    <w:rsid w:val="00DF7EF5"/>
    <w:rsid w:val="00DF7EF6"/>
    <w:rsid w:val="00E000AC"/>
    <w:rsid w:val="00E009F5"/>
    <w:rsid w:val="00E00BCA"/>
    <w:rsid w:val="00E00E38"/>
    <w:rsid w:val="00E01221"/>
    <w:rsid w:val="00E014F5"/>
    <w:rsid w:val="00E0151E"/>
    <w:rsid w:val="00E016B1"/>
    <w:rsid w:val="00E016DE"/>
    <w:rsid w:val="00E0208A"/>
    <w:rsid w:val="00E023B9"/>
    <w:rsid w:val="00E023F9"/>
    <w:rsid w:val="00E026DD"/>
    <w:rsid w:val="00E02782"/>
    <w:rsid w:val="00E02CCC"/>
    <w:rsid w:val="00E02E72"/>
    <w:rsid w:val="00E034F8"/>
    <w:rsid w:val="00E03817"/>
    <w:rsid w:val="00E03B0D"/>
    <w:rsid w:val="00E03D1E"/>
    <w:rsid w:val="00E03EAB"/>
    <w:rsid w:val="00E04963"/>
    <w:rsid w:val="00E04991"/>
    <w:rsid w:val="00E04A4B"/>
    <w:rsid w:val="00E04B38"/>
    <w:rsid w:val="00E04F07"/>
    <w:rsid w:val="00E0508B"/>
    <w:rsid w:val="00E050EF"/>
    <w:rsid w:val="00E051AD"/>
    <w:rsid w:val="00E0526C"/>
    <w:rsid w:val="00E05507"/>
    <w:rsid w:val="00E056E2"/>
    <w:rsid w:val="00E056F7"/>
    <w:rsid w:val="00E05798"/>
    <w:rsid w:val="00E05A1A"/>
    <w:rsid w:val="00E06159"/>
    <w:rsid w:val="00E0623B"/>
    <w:rsid w:val="00E065EA"/>
    <w:rsid w:val="00E068F3"/>
    <w:rsid w:val="00E06D7D"/>
    <w:rsid w:val="00E0706C"/>
    <w:rsid w:val="00E07075"/>
    <w:rsid w:val="00E07578"/>
    <w:rsid w:val="00E07705"/>
    <w:rsid w:val="00E100E3"/>
    <w:rsid w:val="00E10265"/>
    <w:rsid w:val="00E108FE"/>
    <w:rsid w:val="00E10B6C"/>
    <w:rsid w:val="00E10E53"/>
    <w:rsid w:val="00E112F8"/>
    <w:rsid w:val="00E11744"/>
    <w:rsid w:val="00E11A18"/>
    <w:rsid w:val="00E11B2A"/>
    <w:rsid w:val="00E12163"/>
    <w:rsid w:val="00E124CC"/>
    <w:rsid w:val="00E1281A"/>
    <w:rsid w:val="00E128DB"/>
    <w:rsid w:val="00E12F04"/>
    <w:rsid w:val="00E12F4E"/>
    <w:rsid w:val="00E130D7"/>
    <w:rsid w:val="00E13260"/>
    <w:rsid w:val="00E13353"/>
    <w:rsid w:val="00E13D5F"/>
    <w:rsid w:val="00E13D6A"/>
    <w:rsid w:val="00E13F6E"/>
    <w:rsid w:val="00E14231"/>
    <w:rsid w:val="00E142B9"/>
    <w:rsid w:val="00E143A1"/>
    <w:rsid w:val="00E144BC"/>
    <w:rsid w:val="00E14632"/>
    <w:rsid w:val="00E14973"/>
    <w:rsid w:val="00E14DFB"/>
    <w:rsid w:val="00E14FDC"/>
    <w:rsid w:val="00E150E2"/>
    <w:rsid w:val="00E1547E"/>
    <w:rsid w:val="00E154D1"/>
    <w:rsid w:val="00E154D4"/>
    <w:rsid w:val="00E1577F"/>
    <w:rsid w:val="00E15AE2"/>
    <w:rsid w:val="00E15B9B"/>
    <w:rsid w:val="00E15CF7"/>
    <w:rsid w:val="00E15DA3"/>
    <w:rsid w:val="00E15DB2"/>
    <w:rsid w:val="00E15E89"/>
    <w:rsid w:val="00E1609A"/>
    <w:rsid w:val="00E16684"/>
    <w:rsid w:val="00E16699"/>
    <w:rsid w:val="00E16998"/>
    <w:rsid w:val="00E169B4"/>
    <w:rsid w:val="00E16BB7"/>
    <w:rsid w:val="00E16CC6"/>
    <w:rsid w:val="00E16CE2"/>
    <w:rsid w:val="00E16CF9"/>
    <w:rsid w:val="00E16E85"/>
    <w:rsid w:val="00E170B0"/>
    <w:rsid w:val="00E17192"/>
    <w:rsid w:val="00E172A5"/>
    <w:rsid w:val="00E178BD"/>
    <w:rsid w:val="00E178F4"/>
    <w:rsid w:val="00E17ABE"/>
    <w:rsid w:val="00E17E95"/>
    <w:rsid w:val="00E20586"/>
    <w:rsid w:val="00E20C7A"/>
    <w:rsid w:val="00E20EAD"/>
    <w:rsid w:val="00E20FD7"/>
    <w:rsid w:val="00E211F4"/>
    <w:rsid w:val="00E21333"/>
    <w:rsid w:val="00E21FC3"/>
    <w:rsid w:val="00E2248F"/>
    <w:rsid w:val="00E224C1"/>
    <w:rsid w:val="00E22C9B"/>
    <w:rsid w:val="00E22CA4"/>
    <w:rsid w:val="00E22F83"/>
    <w:rsid w:val="00E233B7"/>
    <w:rsid w:val="00E233C0"/>
    <w:rsid w:val="00E23A7E"/>
    <w:rsid w:val="00E23E0D"/>
    <w:rsid w:val="00E244AE"/>
    <w:rsid w:val="00E24A95"/>
    <w:rsid w:val="00E24AD9"/>
    <w:rsid w:val="00E24D45"/>
    <w:rsid w:val="00E24F48"/>
    <w:rsid w:val="00E25216"/>
    <w:rsid w:val="00E25580"/>
    <w:rsid w:val="00E2570A"/>
    <w:rsid w:val="00E25BF5"/>
    <w:rsid w:val="00E26C80"/>
    <w:rsid w:val="00E273F3"/>
    <w:rsid w:val="00E2771F"/>
    <w:rsid w:val="00E277DA"/>
    <w:rsid w:val="00E30184"/>
    <w:rsid w:val="00E3054E"/>
    <w:rsid w:val="00E305B5"/>
    <w:rsid w:val="00E30D93"/>
    <w:rsid w:val="00E30DFA"/>
    <w:rsid w:val="00E30E50"/>
    <w:rsid w:val="00E30E81"/>
    <w:rsid w:val="00E30F90"/>
    <w:rsid w:val="00E310FC"/>
    <w:rsid w:val="00E31572"/>
    <w:rsid w:val="00E31B3D"/>
    <w:rsid w:val="00E31D8E"/>
    <w:rsid w:val="00E32E7B"/>
    <w:rsid w:val="00E333B1"/>
    <w:rsid w:val="00E33638"/>
    <w:rsid w:val="00E3375E"/>
    <w:rsid w:val="00E337E4"/>
    <w:rsid w:val="00E33AC0"/>
    <w:rsid w:val="00E33BDC"/>
    <w:rsid w:val="00E33BDF"/>
    <w:rsid w:val="00E33F2D"/>
    <w:rsid w:val="00E3426C"/>
    <w:rsid w:val="00E34535"/>
    <w:rsid w:val="00E3469C"/>
    <w:rsid w:val="00E347B9"/>
    <w:rsid w:val="00E34926"/>
    <w:rsid w:val="00E34C4C"/>
    <w:rsid w:val="00E35270"/>
    <w:rsid w:val="00E35369"/>
    <w:rsid w:val="00E35391"/>
    <w:rsid w:val="00E35726"/>
    <w:rsid w:val="00E35841"/>
    <w:rsid w:val="00E35AF5"/>
    <w:rsid w:val="00E35BDC"/>
    <w:rsid w:val="00E35CF0"/>
    <w:rsid w:val="00E35F60"/>
    <w:rsid w:val="00E35F90"/>
    <w:rsid w:val="00E3610C"/>
    <w:rsid w:val="00E36133"/>
    <w:rsid w:val="00E36167"/>
    <w:rsid w:val="00E36808"/>
    <w:rsid w:val="00E36A17"/>
    <w:rsid w:val="00E36ABB"/>
    <w:rsid w:val="00E36FA2"/>
    <w:rsid w:val="00E3737B"/>
    <w:rsid w:val="00E374FB"/>
    <w:rsid w:val="00E375BD"/>
    <w:rsid w:val="00E375BE"/>
    <w:rsid w:val="00E37714"/>
    <w:rsid w:val="00E37938"/>
    <w:rsid w:val="00E37B15"/>
    <w:rsid w:val="00E40091"/>
    <w:rsid w:val="00E408FA"/>
    <w:rsid w:val="00E40C83"/>
    <w:rsid w:val="00E40D6E"/>
    <w:rsid w:val="00E40EA4"/>
    <w:rsid w:val="00E41AF2"/>
    <w:rsid w:val="00E420E8"/>
    <w:rsid w:val="00E42290"/>
    <w:rsid w:val="00E42557"/>
    <w:rsid w:val="00E4256C"/>
    <w:rsid w:val="00E425DD"/>
    <w:rsid w:val="00E42C69"/>
    <w:rsid w:val="00E42D91"/>
    <w:rsid w:val="00E42E95"/>
    <w:rsid w:val="00E42EA7"/>
    <w:rsid w:val="00E42F79"/>
    <w:rsid w:val="00E4309D"/>
    <w:rsid w:val="00E430B9"/>
    <w:rsid w:val="00E4311D"/>
    <w:rsid w:val="00E43413"/>
    <w:rsid w:val="00E4352A"/>
    <w:rsid w:val="00E43835"/>
    <w:rsid w:val="00E441D9"/>
    <w:rsid w:val="00E44318"/>
    <w:rsid w:val="00E44A38"/>
    <w:rsid w:val="00E44C86"/>
    <w:rsid w:val="00E45343"/>
    <w:rsid w:val="00E455D7"/>
    <w:rsid w:val="00E45853"/>
    <w:rsid w:val="00E458FB"/>
    <w:rsid w:val="00E45ACE"/>
    <w:rsid w:val="00E45C0D"/>
    <w:rsid w:val="00E45DC4"/>
    <w:rsid w:val="00E460F5"/>
    <w:rsid w:val="00E461F0"/>
    <w:rsid w:val="00E46802"/>
    <w:rsid w:val="00E4683A"/>
    <w:rsid w:val="00E46906"/>
    <w:rsid w:val="00E46E08"/>
    <w:rsid w:val="00E479B1"/>
    <w:rsid w:val="00E47B60"/>
    <w:rsid w:val="00E47BAA"/>
    <w:rsid w:val="00E47E8B"/>
    <w:rsid w:val="00E47F1F"/>
    <w:rsid w:val="00E47F2D"/>
    <w:rsid w:val="00E500C7"/>
    <w:rsid w:val="00E503B2"/>
    <w:rsid w:val="00E504E2"/>
    <w:rsid w:val="00E506FC"/>
    <w:rsid w:val="00E50776"/>
    <w:rsid w:val="00E5087F"/>
    <w:rsid w:val="00E50D09"/>
    <w:rsid w:val="00E51145"/>
    <w:rsid w:val="00E51803"/>
    <w:rsid w:val="00E51AA0"/>
    <w:rsid w:val="00E51ECE"/>
    <w:rsid w:val="00E51F04"/>
    <w:rsid w:val="00E520C3"/>
    <w:rsid w:val="00E520DD"/>
    <w:rsid w:val="00E5247D"/>
    <w:rsid w:val="00E52535"/>
    <w:rsid w:val="00E527E9"/>
    <w:rsid w:val="00E529ED"/>
    <w:rsid w:val="00E52A16"/>
    <w:rsid w:val="00E52B46"/>
    <w:rsid w:val="00E52D86"/>
    <w:rsid w:val="00E532C9"/>
    <w:rsid w:val="00E53780"/>
    <w:rsid w:val="00E53CB5"/>
    <w:rsid w:val="00E53DE1"/>
    <w:rsid w:val="00E540F3"/>
    <w:rsid w:val="00E54154"/>
    <w:rsid w:val="00E542B1"/>
    <w:rsid w:val="00E543F8"/>
    <w:rsid w:val="00E546C8"/>
    <w:rsid w:val="00E548E0"/>
    <w:rsid w:val="00E54C14"/>
    <w:rsid w:val="00E550A3"/>
    <w:rsid w:val="00E55218"/>
    <w:rsid w:val="00E5535F"/>
    <w:rsid w:val="00E55538"/>
    <w:rsid w:val="00E555DF"/>
    <w:rsid w:val="00E559C0"/>
    <w:rsid w:val="00E55BFA"/>
    <w:rsid w:val="00E56077"/>
    <w:rsid w:val="00E56119"/>
    <w:rsid w:val="00E564F5"/>
    <w:rsid w:val="00E56524"/>
    <w:rsid w:val="00E56794"/>
    <w:rsid w:val="00E567B0"/>
    <w:rsid w:val="00E5685D"/>
    <w:rsid w:val="00E5691A"/>
    <w:rsid w:val="00E56B93"/>
    <w:rsid w:val="00E56CB6"/>
    <w:rsid w:val="00E5728F"/>
    <w:rsid w:val="00E576E9"/>
    <w:rsid w:val="00E57BB5"/>
    <w:rsid w:val="00E57D48"/>
    <w:rsid w:val="00E60337"/>
    <w:rsid w:val="00E6079D"/>
    <w:rsid w:val="00E60A01"/>
    <w:rsid w:val="00E6101A"/>
    <w:rsid w:val="00E61096"/>
    <w:rsid w:val="00E6150F"/>
    <w:rsid w:val="00E61A8B"/>
    <w:rsid w:val="00E61B96"/>
    <w:rsid w:val="00E61C8A"/>
    <w:rsid w:val="00E61CC9"/>
    <w:rsid w:val="00E61CFD"/>
    <w:rsid w:val="00E61EF1"/>
    <w:rsid w:val="00E62538"/>
    <w:rsid w:val="00E628CD"/>
    <w:rsid w:val="00E629B4"/>
    <w:rsid w:val="00E62F13"/>
    <w:rsid w:val="00E63872"/>
    <w:rsid w:val="00E638CD"/>
    <w:rsid w:val="00E63AE9"/>
    <w:rsid w:val="00E63C40"/>
    <w:rsid w:val="00E63F7E"/>
    <w:rsid w:val="00E64321"/>
    <w:rsid w:val="00E64331"/>
    <w:rsid w:val="00E644F4"/>
    <w:rsid w:val="00E645BE"/>
    <w:rsid w:val="00E645FE"/>
    <w:rsid w:val="00E64656"/>
    <w:rsid w:val="00E646AD"/>
    <w:rsid w:val="00E64C65"/>
    <w:rsid w:val="00E64CB8"/>
    <w:rsid w:val="00E64D6D"/>
    <w:rsid w:val="00E64D99"/>
    <w:rsid w:val="00E65553"/>
    <w:rsid w:val="00E65576"/>
    <w:rsid w:val="00E65F2B"/>
    <w:rsid w:val="00E6619A"/>
    <w:rsid w:val="00E66775"/>
    <w:rsid w:val="00E66820"/>
    <w:rsid w:val="00E6685F"/>
    <w:rsid w:val="00E66BDB"/>
    <w:rsid w:val="00E66EE6"/>
    <w:rsid w:val="00E67189"/>
    <w:rsid w:val="00E671E8"/>
    <w:rsid w:val="00E6766D"/>
    <w:rsid w:val="00E67676"/>
    <w:rsid w:val="00E6786A"/>
    <w:rsid w:val="00E67BF4"/>
    <w:rsid w:val="00E67DB0"/>
    <w:rsid w:val="00E7000D"/>
    <w:rsid w:val="00E70680"/>
    <w:rsid w:val="00E713A4"/>
    <w:rsid w:val="00E71654"/>
    <w:rsid w:val="00E7197A"/>
    <w:rsid w:val="00E71A5B"/>
    <w:rsid w:val="00E71C1D"/>
    <w:rsid w:val="00E71E85"/>
    <w:rsid w:val="00E71FB3"/>
    <w:rsid w:val="00E727BE"/>
    <w:rsid w:val="00E728EA"/>
    <w:rsid w:val="00E72B32"/>
    <w:rsid w:val="00E72DF5"/>
    <w:rsid w:val="00E73055"/>
    <w:rsid w:val="00E73CA2"/>
    <w:rsid w:val="00E73E50"/>
    <w:rsid w:val="00E744C5"/>
    <w:rsid w:val="00E74602"/>
    <w:rsid w:val="00E74710"/>
    <w:rsid w:val="00E747E0"/>
    <w:rsid w:val="00E749D9"/>
    <w:rsid w:val="00E74AEF"/>
    <w:rsid w:val="00E74D11"/>
    <w:rsid w:val="00E74DA3"/>
    <w:rsid w:val="00E74DCE"/>
    <w:rsid w:val="00E75241"/>
    <w:rsid w:val="00E75295"/>
    <w:rsid w:val="00E7571C"/>
    <w:rsid w:val="00E757F1"/>
    <w:rsid w:val="00E758E8"/>
    <w:rsid w:val="00E7595A"/>
    <w:rsid w:val="00E75BCD"/>
    <w:rsid w:val="00E75F50"/>
    <w:rsid w:val="00E75FD6"/>
    <w:rsid w:val="00E762F9"/>
    <w:rsid w:val="00E76F62"/>
    <w:rsid w:val="00E7740C"/>
    <w:rsid w:val="00E776B0"/>
    <w:rsid w:val="00E80566"/>
    <w:rsid w:val="00E80CCE"/>
    <w:rsid w:val="00E80DE2"/>
    <w:rsid w:val="00E80F6C"/>
    <w:rsid w:val="00E810A6"/>
    <w:rsid w:val="00E8114A"/>
    <w:rsid w:val="00E8127E"/>
    <w:rsid w:val="00E81356"/>
    <w:rsid w:val="00E81481"/>
    <w:rsid w:val="00E81B6E"/>
    <w:rsid w:val="00E81BFC"/>
    <w:rsid w:val="00E82170"/>
    <w:rsid w:val="00E82369"/>
    <w:rsid w:val="00E826D8"/>
    <w:rsid w:val="00E829DE"/>
    <w:rsid w:val="00E829FE"/>
    <w:rsid w:val="00E82AC5"/>
    <w:rsid w:val="00E82CDB"/>
    <w:rsid w:val="00E837C0"/>
    <w:rsid w:val="00E83C54"/>
    <w:rsid w:val="00E83FD1"/>
    <w:rsid w:val="00E8411B"/>
    <w:rsid w:val="00E84381"/>
    <w:rsid w:val="00E8496C"/>
    <w:rsid w:val="00E855CC"/>
    <w:rsid w:val="00E8562F"/>
    <w:rsid w:val="00E85714"/>
    <w:rsid w:val="00E85832"/>
    <w:rsid w:val="00E85A66"/>
    <w:rsid w:val="00E85B02"/>
    <w:rsid w:val="00E85BB1"/>
    <w:rsid w:val="00E85DD2"/>
    <w:rsid w:val="00E8615E"/>
    <w:rsid w:val="00E8617F"/>
    <w:rsid w:val="00E861B0"/>
    <w:rsid w:val="00E86A78"/>
    <w:rsid w:val="00E87162"/>
    <w:rsid w:val="00E87394"/>
    <w:rsid w:val="00E87FB0"/>
    <w:rsid w:val="00E902C7"/>
    <w:rsid w:val="00E902D3"/>
    <w:rsid w:val="00E90571"/>
    <w:rsid w:val="00E9074F"/>
    <w:rsid w:val="00E90873"/>
    <w:rsid w:val="00E90B37"/>
    <w:rsid w:val="00E90D64"/>
    <w:rsid w:val="00E9139A"/>
    <w:rsid w:val="00E91496"/>
    <w:rsid w:val="00E914D4"/>
    <w:rsid w:val="00E91B85"/>
    <w:rsid w:val="00E91DAD"/>
    <w:rsid w:val="00E91DCC"/>
    <w:rsid w:val="00E91E1C"/>
    <w:rsid w:val="00E91E43"/>
    <w:rsid w:val="00E91F36"/>
    <w:rsid w:val="00E91F40"/>
    <w:rsid w:val="00E921BE"/>
    <w:rsid w:val="00E9229E"/>
    <w:rsid w:val="00E923DE"/>
    <w:rsid w:val="00E923F7"/>
    <w:rsid w:val="00E92667"/>
    <w:rsid w:val="00E93216"/>
    <w:rsid w:val="00E93257"/>
    <w:rsid w:val="00E93279"/>
    <w:rsid w:val="00E934E0"/>
    <w:rsid w:val="00E93580"/>
    <w:rsid w:val="00E937A4"/>
    <w:rsid w:val="00E938A9"/>
    <w:rsid w:val="00E93B23"/>
    <w:rsid w:val="00E944A0"/>
    <w:rsid w:val="00E94626"/>
    <w:rsid w:val="00E94742"/>
    <w:rsid w:val="00E9488E"/>
    <w:rsid w:val="00E94B48"/>
    <w:rsid w:val="00E94ECC"/>
    <w:rsid w:val="00E950B2"/>
    <w:rsid w:val="00E9517B"/>
    <w:rsid w:val="00E957E7"/>
    <w:rsid w:val="00E9580B"/>
    <w:rsid w:val="00E958CB"/>
    <w:rsid w:val="00E95B1C"/>
    <w:rsid w:val="00E96123"/>
    <w:rsid w:val="00E962E5"/>
    <w:rsid w:val="00E96343"/>
    <w:rsid w:val="00E96522"/>
    <w:rsid w:val="00E9670C"/>
    <w:rsid w:val="00E96BC3"/>
    <w:rsid w:val="00E96F61"/>
    <w:rsid w:val="00E97695"/>
    <w:rsid w:val="00E97997"/>
    <w:rsid w:val="00E97C4C"/>
    <w:rsid w:val="00E97CC2"/>
    <w:rsid w:val="00EA0029"/>
    <w:rsid w:val="00EA035E"/>
    <w:rsid w:val="00EA07F7"/>
    <w:rsid w:val="00EA0CBB"/>
    <w:rsid w:val="00EA0F9C"/>
    <w:rsid w:val="00EA0FD8"/>
    <w:rsid w:val="00EA149B"/>
    <w:rsid w:val="00EA14B9"/>
    <w:rsid w:val="00EA18F5"/>
    <w:rsid w:val="00EA1FB8"/>
    <w:rsid w:val="00EA2634"/>
    <w:rsid w:val="00EA26A5"/>
    <w:rsid w:val="00EA27AA"/>
    <w:rsid w:val="00EA283F"/>
    <w:rsid w:val="00EA28DA"/>
    <w:rsid w:val="00EA2CE7"/>
    <w:rsid w:val="00EA2D9E"/>
    <w:rsid w:val="00EA2E2C"/>
    <w:rsid w:val="00EA2EE9"/>
    <w:rsid w:val="00EA3386"/>
    <w:rsid w:val="00EA3960"/>
    <w:rsid w:val="00EA3B6D"/>
    <w:rsid w:val="00EA3D57"/>
    <w:rsid w:val="00EA3E30"/>
    <w:rsid w:val="00EA41AA"/>
    <w:rsid w:val="00EA478A"/>
    <w:rsid w:val="00EA4AE5"/>
    <w:rsid w:val="00EA4B07"/>
    <w:rsid w:val="00EA501E"/>
    <w:rsid w:val="00EA5ACC"/>
    <w:rsid w:val="00EA5B35"/>
    <w:rsid w:val="00EA5CA5"/>
    <w:rsid w:val="00EA5CDE"/>
    <w:rsid w:val="00EA60A5"/>
    <w:rsid w:val="00EA62BA"/>
    <w:rsid w:val="00EA62F1"/>
    <w:rsid w:val="00EA636B"/>
    <w:rsid w:val="00EA63F1"/>
    <w:rsid w:val="00EA6B23"/>
    <w:rsid w:val="00EA6BD7"/>
    <w:rsid w:val="00EA6F70"/>
    <w:rsid w:val="00EA735C"/>
    <w:rsid w:val="00EA7476"/>
    <w:rsid w:val="00EA7595"/>
    <w:rsid w:val="00EA79CE"/>
    <w:rsid w:val="00EA79DB"/>
    <w:rsid w:val="00EA7CAC"/>
    <w:rsid w:val="00EB017E"/>
    <w:rsid w:val="00EB0189"/>
    <w:rsid w:val="00EB022F"/>
    <w:rsid w:val="00EB028D"/>
    <w:rsid w:val="00EB036C"/>
    <w:rsid w:val="00EB0A23"/>
    <w:rsid w:val="00EB0CD0"/>
    <w:rsid w:val="00EB0D56"/>
    <w:rsid w:val="00EB0DD6"/>
    <w:rsid w:val="00EB13F9"/>
    <w:rsid w:val="00EB1873"/>
    <w:rsid w:val="00EB1984"/>
    <w:rsid w:val="00EB1A35"/>
    <w:rsid w:val="00EB1A70"/>
    <w:rsid w:val="00EB1AC0"/>
    <w:rsid w:val="00EB1CAC"/>
    <w:rsid w:val="00EB1EDC"/>
    <w:rsid w:val="00EB25C7"/>
    <w:rsid w:val="00EB260B"/>
    <w:rsid w:val="00EB2674"/>
    <w:rsid w:val="00EB273A"/>
    <w:rsid w:val="00EB278E"/>
    <w:rsid w:val="00EB27A2"/>
    <w:rsid w:val="00EB297A"/>
    <w:rsid w:val="00EB3072"/>
    <w:rsid w:val="00EB30DF"/>
    <w:rsid w:val="00EB31E1"/>
    <w:rsid w:val="00EB3646"/>
    <w:rsid w:val="00EB3724"/>
    <w:rsid w:val="00EB3A5D"/>
    <w:rsid w:val="00EB3AB4"/>
    <w:rsid w:val="00EB3B8F"/>
    <w:rsid w:val="00EB3CF1"/>
    <w:rsid w:val="00EB3D97"/>
    <w:rsid w:val="00EB46AA"/>
    <w:rsid w:val="00EB48A9"/>
    <w:rsid w:val="00EB4900"/>
    <w:rsid w:val="00EB4A34"/>
    <w:rsid w:val="00EB4C47"/>
    <w:rsid w:val="00EB4F09"/>
    <w:rsid w:val="00EB50C9"/>
    <w:rsid w:val="00EB5320"/>
    <w:rsid w:val="00EB54D4"/>
    <w:rsid w:val="00EB5E2E"/>
    <w:rsid w:val="00EB5ED3"/>
    <w:rsid w:val="00EB5EF4"/>
    <w:rsid w:val="00EB6161"/>
    <w:rsid w:val="00EB6362"/>
    <w:rsid w:val="00EB6620"/>
    <w:rsid w:val="00EB6927"/>
    <w:rsid w:val="00EB69FD"/>
    <w:rsid w:val="00EB6E80"/>
    <w:rsid w:val="00EB7143"/>
    <w:rsid w:val="00EB7805"/>
    <w:rsid w:val="00EB7970"/>
    <w:rsid w:val="00EB79AC"/>
    <w:rsid w:val="00EB7A5F"/>
    <w:rsid w:val="00EB7C2D"/>
    <w:rsid w:val="00EB7CD1"/>
    <w:rsid w:val="00EB7CE9"/>
    <w:rsid w:val="00EB7D56"/>
    <w:rsid w:val="00EC02E8"/>
    <w:rsid w:val="00EC04D4"/>
    <w:rsid w:val="00EC060A"/>
    <w:rsid w:val="00EC0784"/>
    <w:rsid w:val="00EC08A9"/>
    <w:rsid w:val="00EC0D32"/>
    <w:rsid w:val="00EC0FBC"/>
    <w:rsid w:val="00EC12C6"/>
    <w:rsid w:val="00EC191B"/>
    <w:rsid w:val="00EC2177"/>
    <w:rsid w:val="00EC22F5"/>
    <w:rsid w:val="00EC28BB"/>
    <w:rsid w:val="00EC2C4B"/>
    <w:rsid w:val="00EC30BA"/>
    <w:rsid w:val="00EC316B"/>
    <w:rsid w:val="00EC3312"/>
    <w:rsid w:val="00EC3565"/>
    <w:rsid w:val="00EC3583"/>
    <w:rsid w:val="00EC3687"/>
    <w:rsid w:val="00EC36C9"/>
    <w:rsid w:val="00EC3BB8"/>
    <w:rsid w:val="00EC4626"/>
    <w:rsid w:val="00EC47E1"/>
    <w:rsid w:val="00EC4C1B"/>
    <w:rsid w:val="00EC4C84"/>
    <w:rsid w:val="00EC4EC5"/>
    <w:rsid w:val="00EC5016"/>
    <w:rsid w:val="00EC5125"/>
    <w:rsid w:val="00EC5463"/>
    <w:rsid w:val="00EC5712"/>
    <w:rsid w:val="00EC59B3"/>
    <w:rsid w:val="00EC5C51"/>
    <w:rsid w:val="00EC605B"/>
    <w:rsid w:val="00EC629D"/>
    <w:rsid w:val="00EC63D7"/>
    <w:rsid w:val="00EC662F"/>
    <w:rsid w:val="00EC6642"/>
    <w:rsid w:val="00EC6807"/>
    <w:rsid w:val="00EC68B0"/>
    <w:rsid w:val="00EC6CA9"/>
    <w:rsid w:val="00EC6E80"/>
    <w:rsid w:val="00EC6F5B"/>
    <w:rsid w:val="00EC700C"/>
    <w:rsid w:val="00EC7DDA"/>
    <w:rsid w:val="00ED0785"/>
    <w:rsid w:val="00ED0E4B"/>
    <w:rsid w:val="00ED1189"/>
    <w:rsid w:val="00ED133A"/>
    <w:rsid w:val="00ED1561"/>
    <w:rsid w:val="00ED167A"/>
    <w:rsid w:val="00ED171A"/>
    <w:rsid w:val="00ED1A32"/>
    <w:rsid w:val="00ED257E"/>
    <w:rsid w:val="00ED27F8"/>
    <w:rsid w:val="00ED2D55"/>
    <w:rsid w:val="00ED3141"/>
    <w:rsid w:val="00ED3309"/>
    <w:rsid w:val="00ED3CFA"/>
    <w:rsid w:val="00ED3DE5"/>
    <w:rsid w:val="00ED3E89"/>
    <w:rsid w:val="00ED3ED5"/>
    <w:rsid w:val="00ED3F0B"/>
    <w:rsid w:val="00ED43E0"/>
    <w:rsid w:val="00ED4CA8"/>
    <w:rsid w:val="00ED4DF0"/>
    <w:rsid w:val="00ED4E9F"/>
    <w:rsid w:val="00ED50C1"/>
    <w:rsid w:val="00ED512B"/>
    <w:rsid w:val="00ED59D6"/>
    <w:rsid w:val="00ED5EA4"/>
    <w:rsid w:val="00ED6477"/>
    <w:rsid w:val="00ED6740"/>
    <w:rsid w:val="00ED68E2"/>
    <w:rsid w:val="00ED6A5D"/>
    <w:rsid w:val="00ED6EFD"/>
    <w:rsid w:val="00ED7517"/>
    <w:rsid w:val="00ED75D0"/>
    <w:rsid w:val="00ED76D4"/>
    <w:rsid w:val="00ED7CC2"/>
    <w:rsid w:val="00ED7F2A"/>
    <w:rsid w:val="00ED7F66"/>
    <w:rsid w:val="00EE014A"/>
    <w:rsid w:val="00EE016E"/>
    <w:rsid w:val="00EE0362"/>
    <w:rsid w:val="00EE04C3"/>
    <w:rsid w:val="00EE06D3"/>
    <w:rsid w:val="00EE09A2"/>
    <w:rsid w:val="00EE0ADA"/>
    <w:rsid w:val="00EE1156"/>
    <w:rsid w:val="00EE1183"/>
    <w:rsid w:val="00EE1667"/>
    <w:rsid w:val="00EE17DD"/>
    <w:rsid w:val="00EE1A03"/>
    <w:rsid w:val="00EE1B19"/>
    <w:rsid w:val="00EE2252"/>
    <w:rsid w:val="00EE240A"/>
    <w:rsid w:val="00EE26BE"/>
    <w:rsid w:val="00EE27CC"/>
    <w:rsid w:val="00EE2837"/>
    <w:rsid w:val="00EE314D"/>
    <w:rsid w:val="00EE3425"/>
    <w:rsid w:val="00EE343C"/>
    <w:rsid w:val="00EE35C7"/>
    <w:rsid w:val="00EE379B"/>
    <w:rsid w:val="00EE3835"/>
    <w:rsid w:val="00EE3CFE"/>
    <w:rsid w:val="00EE3F31"/>
    <w:rsid w:val="00EE498B"/>
    <w:rsid w:val="00EE4BB3"/>
    <w:rsid w:val="00EE4BF0"/>
    <w:rsid w:val="00EE4D7C"/>
    <w:rsid w:val="00EE4DA9"/>
    <w:rsid w:val="00EE521D"/>
    <w:rsid w:val="00EE52F7"/>
    <w:rsid w:val="00EE541A"/>
    <w:rsid w:val="00EE5587"/>
    <w:rsid w:val="00EE5CE8"/>
    <w:rsid w:val="00EE5D90"/>
    <w:rsid w:val="00EE5EC2"/>
    <w:rsid w:val="00EE6067"/>
    <w:rsid w:val="00EE60A9"/>
    <w:rsid w:val="00EE6486"/>
    <w:rsid w:val="00EE67EB"/>
    <w:rsid w:val="00EE6ECE"/>
    <w:rsid w:val="00EE701E"/>
    <w:rsid w:val="00EE7081"/>
    <w:rsid w:val="00EE734C"/>
    <w:rsid w:val="00EE7461"/>
    <w:rsid w:val="00EE74E8"/>
    <w:rsid w:val="00EE76C9"/>
    <w:rsid w:val="00EE7715"/>
    <w:rsid w:val="00EF0680"/>
    <w:rsid w:val="00EF0961"/>
    <w:rsid w:val="00EF09D6"/>
    <w:rsid w:val="00EF0B6B"/>
    <w:rsid w:val="00EF0C0F"/>
    <w:rsid w:val="00EF0EC9"/>
    <w:rsid w:val="00EF0FC8"/>
    <w:rsid w:val="00EF1054"/>
    <w:rsid w:val="00EF16CF"/>
    <w:rsid w:val="00EF1B00"/>
    <w:rsid w:val="00EF1D5B"/>
    <w:rsid w:val="00EF1E76"/>
    <w:rsid w:val="00EF26C0"/>
    <w:rsid w:val="00EF29DE"/>
    <w:rsid w:val="00EF2F4F"/>
    <w:rsid w:val="00EF377A"/>
    <w:rsid w:val="00EF38EE"/>
    <w:rsid w:val="00EF3F00"/>
    <w:rsid w:val="00EF51ED"/>
    <w:rsid w:val="00EF5634"/>
    <w:rsid w:val="00EF5958"/>
    <w:rsid w:val="00EF5EAD"/>
    <w:rsid w:val="00EF60D2"/>
    <w:rsid w:val="00EF61BD"/>
    <w:rsid w:val="00EF69BB"/>
    <w:rsid w:val="00EF69D1"/>
    <w:rsid w:val="00EF74FF"/>
    <w:rsid w:val="00EF752A"/>
    <w:rsid w:val="00EF7DA3"/>
    <w:rsid w:val="00EF7E63"/>
    <w:rsid w:val="00F00012"/>
    <w:rsid w:val="00F00138"/>
    <w:rsid w:val="00F002D2"/>
    <w:rsid w:val="00F00594"/>
    <w:rsid w:val="00F00637"/>
    <w:rsid w:val="00F00709"/>
    <w:rsid w:val="00F0084D"/>
    <w:rsid w:val="00F00E08"/>
    <w:rsid w:val="00F00E8E"/>
    <w:rsid w:val="00F00FD3"/>
    <w:rsid w:val="00F0110A"/>
    <w:rsid w:val="00F013D3"/>
    <w:rsid w:val="00F01A1C"/>
    <w:rsid w:val="00F01B08"/>
    <w:rsid w:val="00F024E2"/>
    <w:rsid w:val="00F025DD"/>
    <w:rsid w:val="00F02676"/>
    <w:rsid w:val="00F02921"/>
    <w:rsid w:val="00F02A64"/>
    <w:rsid w:val="00F02B6A"/>
    <w:rsid w:val="00F0353A"/>
    <w:rsid w:val="00F03FDE"/>
    <w:rsid w:val="00F0431D"/>
    <w:rsid w:val="00F04684"/>
    <w:rsid w:val="00F04962"/>
    <w:rsid w:val="00F04B68"/>
    <w:rsid w:val="00F04C86"/>
    <w:rsid w:val="00F04F8F"/>
    <w:rsid w:val="00F050D1"/>
    <w:rsid w:val="00F0516B"/>
    <w:rsid w:val="00F051BD"/>
    <w:rsid w:val="00F05200"/>
    <w:rsid w:val="00F053A2"/>
    <w:rsid w:val="00F0566F"/>
    <w:rsid w:val="00F05806"/>
    <w:rsid w:val="00F05A5D"/>
    <w:rsid w:val="00F05B31"/>
    <w:rsid w:val="00F05D83"/>
    <w:rsid w:val="00F0615F"/>
    <w:rsid w:val="00F06191"/>
    <w:rsid w:val="00F062E2"/>
    <w:rsid w:val="00F06353"/>
    <w:rsid w:val="00F0677E"/>
    <w:rsid w:val="00F068A5"/>
    <w:rsid w:val="00F06901"/>
    <w:rsid w:val="00F0707F"/>
    <w:rsid w:val="00F0793D"/>
    <w:rsid w:val="00F07D42"/>
    <w:rsid w:val="00F1043F"/>
    <w:rsid w:val="00F105F9"/>
    <w:rsid w:val="00F10671"/>
    <w:rsid w:val="00F10B6F"/>
    <w:rsid w:val="00F10CA0"/>
    <w:rsid w:val="00F10FFB"/>
    <w:rsid w:val="00F1114C"/>
    <w:rsid w:val="00F1175E"/>
    <w:rsid w:val="00F1177A"/>
    <w:rsid w:val="00F11A55"/>
    <w:rsid w:val="00F11FAF"/>
    <w:rsid w:val="00F1261F"/>
    <w:rsid w:val="00F12869"/>
    <w:rsid w:val="00F129A9"/>
    <w:rsid w:val="00F13059"/>
    <w:rsid w:val="00F13278"/>
    <w:rsid w:val="00F134B7"/>
    <w:rsid w:val="00F135A2"/>
    <w:rsid w:val="00F13A2A"/>
    <w:rsid w:val="00F13A78"/>
    <w:rsid w:val="00F13E18"/>
    <w:rsid w:val="00F14016"/>
    <w:rsid w:val="00F140FD"/>
    <w:rsid w:val="00F144CE"/>
    <w:rsid w:val="00F14654"/>
    <w:rsid w:val="00F14949"/>
    <w:rsid w:val="00F149A7"/>
    <w:rsid w:val="00F14D65"/>
    <w:rsid w:val="00F14DB5"/>
    <w:rsid w:val="00F14EBE"/>
    <w:rsid w:val="00F15A62"/>
    <w:rsid w:val="00F1603F"/>
    <w:rsid w:val="00F16651"/>
    <w:rsid w:val="00F1693B"/>
    <w:rsid w:val="00F16BDB"/>
    <w:rsid w:val="00F16C8D"/>
    <w:rsid w:val="00F16CC3"/>
    <w:rsid w:val="00F17231"/>
    <w:rsid w:val="00F17369"/>
    <w:rsid w:val="00F1743E"/>
    <w:rsid w:val="00F17D39"/>
    <w:rsid w:val="00F20406"/>
    <w:rsid w:val="00F206CE"/>
    <w:rsid w:val="00F20D70"/>
    <w:rsid w:val="00F210FD"/>
    <w:rsid w:val="00F213AA"/>
    <w:rsid w:val="00F213AD"/>
    <w:rsid w:val="00F213F6"/>
    <w:rsid w:val="00F21631"/>
    <w:rsid w:val="00F21B1C"/>
    <w:rsid w:val="00F21DE3"/>
    <w:rsid w:val="00F21FFF"/>
    <w:rsid w:val="00F22549"/>
    <w:rsid w:val="00F228DD"/>
    <w:rsid w:val="00F23126"/>
    <w:rsid w:val="00F23279"/>
    <w:rsid w:val="00F236F4"/>
    <w:rsid w:val="00F238DA"/>
    <w:rsid w:val="00F23FA8"/>
    <w:rsid w:val="00F240A2"/>
    <w:rsid w:val="00F24300"/>
    <w:rsid w:val="00F24454"/>
    <w:rsid w:val="00F24A10"/>
    <w:rsid w:val="00F24A42"/>
    <w:rsid w:val="00F24E02"/>
    <w:rsid w:val="00F24F19"/>
    <w:rsid w:val="00F25377"/>
    <w:rsid w:val="00F25529"/>
    <w:rsid w:val="00F2593F"/>
    <w:rsid w:val="00F259FB"/>
    <w:rsid w:val="00F25B3A"/>
    <w:rsid w:val="00F25FC9"/>
    <w:rsid w:val="00F265E5"/>
    <w:rsid w:val="00F26A83"/>
    <w:rsid w:val="00F274E7"/>
    <w:rsid w:val="00F27EDD"/>
    <w:rsid w:val="00F303E6"/>
    <w:rsid w:val="00F3042E"/>
    <w:rsid w:val="00F30642"/>
    <w:rsid w:val="00F309E0"/>
    <w:rsid w:val="00F30A72"/>
    <w:rsid w:val="00F30B7F"/>
    <w:rsid w:val="00F30DC0"/>
    <w:rsid w:val="00F30E42"/>
    <w:rsid w:val="00F319C4"/>
    <w:rsid w:val="00F31C76"/>
    <w:rsid w:val="00F32081"/>
    <w:rsid w:val="00F32228"/>
    <w:rsid w:val="00F32293"/>
    <w:rsid w:val="00F32A0E"/>
    <w:rsid w:val="00F32B23"/>
    <w:rsid w:val="00F32D37"/>
    <w:rsid w:val="00F32E11"/>
    <w:rsid w:val="00F32F91"/>
    <w:rsid w:val="00F33465"/>
    <w:rsid w:val="00F3356E"/>
    <w:rsid w:val="00F33600"/>
    <w:rsid w:val="00F3374E"/>
    <w:rsid w:val="00F33BF8"/>
    <w:rsid w:val="00F33FBA"/>
    <w:rsid w:val="00F3465C"/>
    <w:rsid w:val="00F34E02"/>
    <w:rsid w:val="00F34EAA"/>
    <w:rsid w:val="00F35222"/>
    <w:rsid w:val="00F35EC1"/>
    <w:rsid w:val="00F35F40"/>
    <w:rsid w:val="00F3612C"/>
    <w:rsid w:val="00F362C1"/>
    <w:rsid w:val="00F362C8"/>
    <w:rsid w:val="00F36363"/>
    <w:rsid w:val="00F367DF"/>
    <w:rsid w:val="00F368E6"/>
    <w:rsid w:val="00F36E36"/>
    <w:rsid w:val="00F36ECB"/>
    <w:rsid w:val="00F36F44"/>
    <w:rsid w:val="00F37065"/>
    <w:rsid w:val="00F37579"/>
    <w:rsid w:val="00F37696"/>
    <w:rsid w:val="00F37723"/>
    <w:rsid w:val="00F37C86"/>
    <w:rsid w:val="00F401D1"/>
    <w:rsid w:val="00F40761"/>
    <w:rsid w:val="00F40B22"/>
    <w:rsid w:val="00F40EF9"/>
    <w:rsid w:val="00F41534"/>
    <w:rsid w:val="00F4176A"/>
    <w:rsid w:val="00F41BD1"/>
    <w:rsid w:val="00F41EE4"/>
    <w:rsid w:val="00F423EA"/>
    <w:rsid w:val="00F427C5"/>
    <w:rsid w:val="00F42CE5"/>
    <w:rsid w:val="00F42DE2"/>
    <w:rsid w:val="00F42F86"/>
    <w:rsid w:val="00F43217"/>
    <w:rsid w:val="00F434FF"/>
    <w:rsid w:val="00F437E6"/>
    <w:rsid w:val="00F43F44"/>
    <w:rsid w:val="00F44031"/>
    <w:rsid w:val="00F4458F"/>
    <w:rsid w:val="00F44A93"/>
    <w:rsid w:val="00F44B7F"/>
    <w:rsid w:val="00F4506F"/>
    <w:rsid w:val="00F4544E"/>
    <w:rsid w:val="00F45495"/>
    <w:rsid w:val="00F45560"/>
    <w:rsid w:val="00F45A51"/>
    <w:rsid w:val="00F45B4F"/>
    <w:rsid w:val="00F45D82"/>
    <w:rsid w:val="00F45EC0"/>
    <w:rsid w:val="00F463C8"/>
    <w:rsid w:val="00F464EC"/>
    <w:rsid w:val="00F4693C"/>
    <w:rsid w:val="00F46ED4"/>
    <w:rsid w:val="00F47248"/>
    <w:rsid w:val="00F475E8"/>
    <w:rsid w:val="00F4796D"/>
    <w:rsid w:val="00F47AD5"/>
    <w:rsid w:val="00F50673"/>
    <w:rsid w:val="00F508E6"/>
    <w:rsid w:val="00F50DBD"/>
    <w:rsid w:val="00F519AB"/>
    <w:rsid w:val="00F51BD1"/>
    <w:rsid w:val="00F52047"/>
    <w:rsid w:val="00F5221B"/>
    <w:rsid w:val="00F5267A"/>
    <w:rsid w:val="00F52709"/>
    <w:rsid w:val="00F528E8"/>
    <w:rsid w:val="00F52D1C"/>
    <w:rsid w:val="00F530D3"/>
    <w:rsid w:val="00F531AB"/>
    <w:rsid w:val="00F53288"/>
    <w:rsid w:val="00F53A94"/>
    <w:rsid w:val="00F53F12"/>
    <w:rsid w:val="00F5425C"/>
    <w:rsid w:val="00F5435F"/>
    <w:rsid w:val="00F545A9"/>
    <w:rsid w:val="00F5491B"/>
    <w:rsid w:val="00F5505F"/>
    <w:rsid w:val="00F55174"/>
    <w:rsid w:val="00F55252"/>
    <w:rsid w:val="00F55791"/>
    <w:rsid w:val="00F55A70"/>
    <w:rsid w:val="00F55D9F"/>
    <w:rsid w:val="00F55E25"/>
    <w:rsid w:val="00F56089"/>
    <w:rsid w:val="00F563BF"/>
    <w:rsid w:val="00F56675"/>
    <w:rsid w:val="00F56B32"/>
    <w:rsid w:val="00F56BAB"/>
    <w:rsid w:val="00F57009"/>
    <w:rsid w:val="00F5785F"/>
    <w:rsid w:val="00F5791B"/>
    <w:rsid w:val="00F57AAE"/>
    <w:rsid w:val="00F57B4C"/>
    <w:rsid w:val="00F603BD"/>
    <w:rsid w:val="00F60B70"/>
    <w:rsid w:val="00F60D7A"/>
    <w:rsid w:val="00F61068"/>
    <w:rsid w:val="00F613B9"/>
    <w:rsid w:val="00F6153C"/>
    <w:rsid w:val="00F619AB"/>
    <w:rsid w:val="00F6220F"/>
    <w:rsid w:val="00F6268A"/>
    <w:rsid w:val="00F62C2F"/>
    <w:rsid w:val="00F6361F"/>
    <w:rsid w:val="00F638D9"/>
    <w:rsid w:val="00F63C62"/>
    <w:rsid w:val="00F63D04"/>
    <w:rsid w:val="00F6436A"/>
    <w:rsid w:val="00F645E5"/>
    <w:rsid w:val="00F645F0"/>
    <w:rsid w:val="00F64A9C"/>
    <w:rsid w:val="00F64D8A"/>
    <w:rsid w:val="00F65081"/>
    <w:rsid w:val="00F65201"/>
    <w:rsid w:val="00F658F1"/>
    <w:rsid w:val="00F659F0"/>
    <w:rsid w:val="00F65AE5"/>
    <w:rsid w:val="00F65B68"/>
    <w:rsid w:val="00F65D1E"/>
    <w:rsid w:val="00F6628B"/>
    <w:rsid w:val="00F6637A"/>
    <w:rsid w:val="00F66494"/>
    <w:rsid w:val="00F66551"/>
    <w:rsid w:val="00F666EA"/>
    <w:rsid w:val="00F668AB"/>
    <w:rsid w:val="00F66B95"/>
    <w:rsid w:val="00F66BF0"/>
    <w:rsid w:val="00F66CC4"/>
    <w:rsid w:val="00F66D18"/>
    <w:rsid w:val="00F6712C"/>
    <w:rsid w:val="00F6713E"/>
    <w:rsid w:val="00F67241"/>
    <w:rsid w:val="00F673C9"/>
    <w:rsid w:val="00F675BC"/>
    <w:rsid w:val="00F6775A"/>
    <w:rsid w:val="00F678CE"/>
    <w:rsid w:val="00F67AF6"/>
    <w:rsid w:val="00F67E77"/>
    <w:rsid w:val="00F67E9A"/>
    <w:rsid w:val="00F67F79"/>
    <w:rsid w:val="00F708CE"/>
    <w:rsid w:val="00F70913"/>
    <w:rsid w:val="00F70E58"/>
    <w:rsid w:val="00F71011"/>
    <w:rsid w:val="00F71321"/>
    <w:rsid w:val="00F71338"/>
    <w:rsid w:val="00F71573"/>
    <w:rsid w:val="00F71990"/>
    <w:rsid w:val="00F71D9A"/>
    <w:rsid w:val="00F71E57"/>
    <w:rsid w:val="00F71EB5"/>
    <w:rsid w:val="00F71F53"/>
    <w:rsid w:val="00F71FAD"/>
    <w:rsid w:val="00F7224E"/>
    <w:rsid w:val="00F72A36"/>
    <w:rsid w:val="00F72E4E"/>
    <w:rsid w:val="00F72E52"/>
    <w:rsid w:val="00F73996"/>
    <w:rsid w:val="00F73A8E"/>
    <w:rsid w:val="00F73E28"/>
    <w:rsid w:val="00F73F54"/>
    <w:rsid w:val="00F74115"/>
    <w:rsid w:val="00F74313"/>
    <w:rsid w:val="00F7441F"/>
    <w:rsid w:val="00F74597"/>
    <w:rsid w:val="00F745B2"/>
    <w:rsid w:val="00F74BED"/>
    <w:rsid w:val="00F75CB3"/>
    <w:rsid w:val="00F764C8"/>
    <w:rsid w:val="00F768BD"/>
    <w:rsid w:val="00F76BDD"/>
    <w:rsid w:val="00F76D7F"/>
    <w:rsid w:val="00F76E54"/>
    <w:rsid w:val="00F76F64"/>
    <w:rsid w:val="00F77346"/>
    <w:rsid w:val="00F77634"/>
    <w:rsid w:val="00F7767F"/>
    <w:rsid w:val="00F77748"/>
    <w:rsid w:val="00F777C4"/>
    <w:rsid w:val="00F77D03"/>
    <w:rsid w:val="00F77D4C"/>
    <w:rsid w:val="00F77E42"/>
    <w:rsid w:val="00F80075"/>
    <w:rsid w:val="00F80169"/>
    <w:rsid w:val="00F8049B"/>
    <w:rsid w:val="00F80903"/>
    <w:rsid w:val="00F8108A"/>
    <w:rsid w:val="00F810B1"/>
    <w:rsid w:val="00F81143"/>
    <w:rsid w:val="00F8116B"/>
    <w:rsid w:val="00F8164D"/>
    <w:rsid w:val="00F817CF"/>
    <w:rsid w:val="00F81CA1"/>
    <w:rsid w:val="00F822E0"/>
    <w:rsid w:val="00F82803"/>
    <w:rsid w:val="00F8283F"/>
    <w:rsid w:val="00F8299C"/>
    <w:rsid w:val="00F82B73"/>
    <w:rsid w:val="00F82D0F"/>
    <w:rsid w:val="00F82E99"/>
    <w:rsid w:val="00F82F78"/>
    <w:rsid w:val="00F830E8"/>
    <w:rsid w:val="00F83C6C"/>
    <w:rsid w:val="00F83EBB"/>
    <w:rsid w:val="00F84298"/>
    <w:rsid w:val="00F8467E"/>
    <w:rsid w:val="00F846D8"/>
    <w:rsid w:val="00F84741"/>
    <w:rsid w:val="00F84C97"/>
    <w:rsid w:val="00F84CC6"/>
    <w:rsid w:val="00F84D48"/>
    <w:rsid w:val="00F84EAA"/>
    <w:rsid w:val="00F84F92"/>
    <w:rsid w:val="00F8500E"/>
    <w:rsid w:val="00F850CC"/>
    <w:rsid w:val="00F85412"/>
    <w:rsid w:val="00F8589D"/>
    <w:rsid w:val="00F8596A"/>
    <w:rsid w:val="00F859EC"/>
    <w:rsid w:val="00F85BF7"/>
    <w:rsid w:val="00F85D17"/>
    <w:rsid w:val="00F86A0D"/>
    <w:rsid w:val="00F86BD1"/>
    <w:rsid w:val="00F86BDB"/>
    <w:rsid w:val="00F86C94"/>
    <w:rsid w:val="00F86D96"/>
    <w:rsid w:val="00F871C5"/>
    <w:rsid w:val="00F87300"/>
    <w:rsid w:val="00F87FD5"/>
    <w:rsid w:val="00F901C9"/>
    <w:rsid w:val="00F903FF"/>
    <w:rsid w:val="00F90433"/>
    <w:rsid w:val="00F9056F"/>
    <w:rsid w:val="00F90780"/>
    <w:rsid w:val="00F907ED"/>
    <w:rsid w:val="00F90C93"/>
    <w:rsid w:val="00F90F38"/>
    <w:rsid w:val="00F90FBD"/>
    <w:rsid w:val="00F912C2"/>
    <w:rsid w:val="00F914FD"/>
    <w:rsid w:val="00F91907"/>
    <w:rsid w:val="00F919A9"/>
    <w:rsid w:val="00F9263C"/>
    <w:rsid w:val="00F9281D"/>
    <w:rsid w:val="00F929AE"/>
    <w:rsid w:val="00F92F29"/>
    <w:rsid w:val="00F93358"/>
    <w:rsid w:val="00F93A7B"/>
    <w:rsid w:val="00F93AD4"/>
    <w:rsid w:val="00F93B7F"/>
    <w:rsid w:val="00F941E6"/>
    <w:rsid w:val="00F944AD"/>
    <w:rsid w:val="00F947DC"/>
    <w:rsid w:val="00F94B15"/>
    <w:rsid w:val="00F94C14"/>
    <w:rsid w:val="00F94E8A"/>
    <w:rsid w:val="00F95027"/>
    <w:rsid w:val="00F956FB"/>
    <w:rsid w:val="00F95732"/>
    <w:rsid w:val="00F9577B"/>
    <w:rsid w:val="00F958FD"/>
    <w:rsid w:val="00F96085"/>
    <w:rsid w:val="00F961B7"/>
    <w:rsid w:val="00F96286"/>
    <w:rsid w:val="00F96472"/>
    <w:rsid w:val="00F96535"/>
    <w:rsid w:val="00F96633"/>
    <w:rsid w:val="00F96ACA"/>
    <w:rsid w:val="00F96C42"/>
    <w:rsid w:val="00F97074"/>
    <w:rsid w:val="00F97138"/>
    <w:rsid w:val="00F973AA"/>
    <w:rsid w:val="00F97736"/>
    <w:rsid w:val="00F9786D"/>
    <w:rsid w:val="00F9794C"/>
    <w:rsid w:val="00F97BE4"/>
    <w:rsid w:val="00FA0FF7"/>
    <w:rsid w:val="00FA193D"/>
    <w:rsid w:val="00FA1D8C"/>
    <w:rsid w:val="00FA2037"/>
    <w:rsid w:val="00FA20C0"/>
    <w:rsid w:val="00FA2145"/>
    <w:rsid w:val="00FA2340"/>
    <w:rsid w:val="00FA2DD5"/>
    <w:rsid w:val="00FA375C"/>
    <w:rsid w:val="00FA37C2"/>
    <w:rsid w:val="00FA37CD"/>
    <w:rsid w:val="00FA3F1E"/>
    <w:rsid w:val="00FA3F80"/>
    <w:rsid w:val="00FA41CC"/>
    <w:rsid w:val="00FA4AB0"/>
    <w:rsid w:val="00FA4BD3"/>
    <w:rsid w:val="00FA4BF1"/>
    <w:rsid w:val="00FA50A4"/>
    <w:rsid w:val="00FA5146"/>
    <w:rsid w:val="00FA545D"/>
    <w:rsid w:val="00FA54BA"/>
    <w:rsid w:val="00FA583B"/>
    <w:rsid w:val="00FA58EB"/>
    <w:rsid w:val="00FA5FCE"/>
    <w:rsid w:val="00FA63FE"/>
    <w:rsid w:val="00FA6509"/>
    <w:rsid w:val="00FA664A"/>
    <w:rsid w:val="00FA68DA"/>
    <w:rsid w:val="00FA6BD5"/>
    <w:rsid w:val="00FA6C10"/>
    <w:rsid w:val="00FA72BB"/>
    <w:rsid w:val="00FA73C5"/>
    <w:rsid w:val="00FA73DD"/>
    <w:rsid w:val="00FA746C"/>
    <w:rsid w:val="00FA751E"/>
    <w:rsid w:val="00FA777D"/>
    <w:rsid w:val="00FA798A"/>
    <w:rsid w:val="00FA7DA0"/>
    <w:rsid w:val="00FA7E19"/>
    <w:rsid w:val="00FA7F12"/>
    <w:rsid w:val="00FB0211"/>
    <w:rsid w:val="00FB0B29"/>
    <w:rsid w:val="00FB0DB8"/>
    <w:rsid w:val="00FB0F35"/>
    <w:rsid w:val="00FB11A1"/>
    <w:rsid w:val="00FB11BB"/>
    <w:rsid w:val="00FB12AD"/>
    <w:rsid w:val="00FB13DE"/>
    <w:rsid w:val="00FB13FB"/>
    <w:rsid w:val="00FB147A"/>
    <w:rsid w:val="00FB1A52"/>
    <w:rsid w:val="00FB2496"/>
    <w:rsid w:val="00FB2F4C"/>
    <w:rsid w:val="00FB2FDE"/>
    <w:rsid w:val="00FB3104"/>
    <w:rsid w:val="00FB310C"/>
    <w:rsid w:val="00FB3250"/>
    <w:rsid w:val="00FB36DC"/>
    <w:rsid w:val="00FB36FD"/>
    <w:rsid w:val="00FB3942"/>
    <w:rsid w:val="00FB3E46"/>
    <w:rsid w:val="00FB3EB2"/>
    <w:rsid w:val="00FB449D"/>
    <w:rsid w:val="00FB4896"/>
    <w:rsid w:val="00FB4D27"/>
    <w:rsid w:val="00FB4F35"/>
    <w:rsid w:val="00FB50EA"/>
    <w:rsid w:val="00FB51EA"/>
    <w:rsid w:val="00FB56FE"/>
    <w:rsid w:val="00FB5B62"/>
    <w:rsid w:val="00FB5BCF"/>
    <w:rsid w:val="00FB5E88"/>
    <w:rsid w:val="00FB60E0"/>
    <w:rsid w:val="00FB6368"/>
    <w:rsid w:val="00FB64A7"/>
    <w:rsid w:val="00FB64C2"/>
    <w:rsid w:val="00FB6589"/>
    <w:rsid w:val="00FB6735"/>
    <w:rsid w:val="00FB6749"/>
    <w:rsid w:val="00FB7308"/>
    <w:rsid w:val="00FB7364"/>
    <w:rsid w:val="00FB7418"/>
    <w:rsid w:val="00FB7425"/>
    <w:rsid w:val="00FB7877"/>
    <w:rsid w:val="00FC0078"/>
    <w:rsid w:val="00FC032D"/>
    <w:rsid w:val="00FC044E"/>
    <w:rsid w:val="00FC064E"/>
    <w:rsid w:val="00FC06A5"/>
    <w:rsid w:val="00FC0786"/>
    <w:rsid w:val="00FC1050"/>
    <w:rsid w:val="00FC118C"/>
    <w:rsid w:val="00FC1418"/>
    <w:rsid w:val="00FC1656"/>
    <w:rsid w:val="00FC1CA5"/>
    <w:rsid w:val="00FC1EB6"/>
    <w:rsid w:val="00FC201A"/>
    <w:rsid w:val="00FC2063"/>
    <w:rsid w:val="00FC2089"/>
    <w:rsid w:val="00FC2386"/>
    <w:rsid w:val="00FC27F4"/>
    <w:rsid w:val="00FC2988"/>
    <w:rsid w:val="00FC2D05"/>
    <w:rsid w:val="00FC2FCF"/>
    <w:rsid w:val="00FC369A"/>
    <w:rsid w:val="00FC373A"/>
    <w:rsid w:val="00FC37DE"/>
    <w:rsid w:val="00FC38AD"/>
    <w:rsid w:val="00FC3B80"/>
    <w:rsid w:val="00FC3D74"/>
    <w:rsid w:val="00FC3FAC"/>
    <w:rsid w:val="00FC3FEC"/>
    <w:rsid w:val="00FC4721"/>
    <w:rsid w:val="00FC48AD"/>
    <w:rsid w:val="00FC49A6"/>
    <w:rsid w:val="00FC4BCA"/>
    <w:rsid w:val="00FC556A"/>
    <w:rsid w:val="00FC5A2C"/>
    <w:rsid w:val="00FC60AE"/>
    <w:rsid w:val="00FC6568"/>
    <w:rsid w:val="00FC6725"/>
    <w:rsid w:val="00FC75CF"/>
    <w:rsid w:val="00FC7C2A"/>
    <w:rsid w:val="00FC7C53"/>
    <w:rsid w:val="00FC7C9A"/>
    <w:rsid w:val="00FC7D54"/>
    <w:rsid w:val="00FC7DFF"/>
    <w:rsid w:val="00FD00FD"/>
    <w:rsid w:val="00FD07B0"/>
    <w:rsid w:val="00FD0989"/>
    <w:rsid w:val="00FD0C11"/>
    <w:rsid w:val="00FD0C1D"/>
    <w:rsid w:val="00FD0CAC"/>
    <w:rsid w:val="00FD0DC3"/>
    <w:rsid w:val="00FD0FD7"/>
    <w:rsid w:val="00FD1927"/>
    <w:rsid w:val="00FD1A50"/>
    <w:rsid w:val="00FD1C76"/>
    <w:rsid w:val="00FD1E45"/>
    <w:rsid w:val="00FD1F93"/>
    <w:rsid w:val="00FD20A4"/>
    <w:rsid w:val="00FD2232"/>
    <w:rsid w:val="00FD2380"/>
    <w:rsid w:val="00FD249E"/>
    <w:rsid w:val="00FD280D"/>
    <w:rsid w:val="00FD2CE6"/>
    <w:rsid w:val="00FD2D71"/>
    <w:rsid w:val="00FD2F52"/>
    <w:rsid w:val="00FD2F7D"/>
    <w:rsid w:val="00FD3594"/>
    <w:rsid w:val="00FD3791"/>
    <w:rsid w:val="00FD3824"/>
    <w:rsid w:val="00FD3991"/>
    <w:rsid w:val="00FD4290"/>
    <w:rsid w:val="00FD4292"/>
    <w:rsid w:val="00FD455B"/>
    <w:rsid w:val="00FD48B2"/>
    <w:rsid w:val="00FD4A49"/>
    <w:rsid w:val="00FD4C08"/>
    <w:rsid w:val="00FD4C14"/>
    <w:rsid w:val="00FD4E01"/>
    <w:rsid w:val="00FD4F3D"/>
    <w:rsid w:val="00FD54EE"/>
    <w:rsid w:val="00FD5738"/>
    <w:rsid w:val="00FD585C"/>
    <w:rsid w:val="00FD593A"/>
    <w:rsid w:val="00FD5CE9"/>
    <w:rsid w:val="00FD5ECF"/>
    <w:rsid w:val="00FD5F53"/>
    <w:rsid w:val="00FD61B8"/>
    <w:rsid w:val="00FD6571"/>
    <w:rsid w:val="00FD6AB2"/>
    <w:rsid w:val="00FD741D"/>
    <w:rsid w:val="00FD750A"/>
    <w:rsid w:val="00FD7815"/>
    <w:rsid w:val="00FD7962"/>
    <w:rsid w:val="00FD7C18"/>
    <w:rsid w:val="00FE0634"/>
    <w:rsid w:val="00FE075B"/>
    <w:rsid w:val="00FE0A7C"/>
    <w:rsid w:val="00FE0BD5"/>
    <w:rsid w:val="00FE10E1"/>
    <w:rsid w:val="00FE112A"/>
    <w:rsid w:val="00FE1CE8"/>
    <w:rsid w:val="00FE204A"/>
    <w:rsid w:val="00FE2628"/>
    <w:rsid w:val="00FE302B"/>
    <w:rsid w:val="00FE31F7"/>
    <w:rsid w:val="00FE3384"/>
    <w:rsid w:val="00FE382A"/>
    <w:rsid w:val="00FE3D4A"/>
    <w:rsid w:val="00FE3FDB"/>
    <w:rsid w:val="00FE42D4"/>
    <w:rsid w:val="00FE432A"/>
    <w:rsid w:val="00FE4339"/>
    <w:rsid w:val="00FE47CA"/>
    <w:rsid w:val="00FE4AF8"/>
    <w:rsid w:val="00FE4BE1"/>
    <w:rsid w:val="00FE4C14"/>
    <w:rsid w:val="00FE4C4B"/>
    <w:rsid w:val="00FE4CC9"/>
    <w:rsid w:val="00FE4DA0"/>
    <w:rsid w:val="00FE533A"/>
    <w:rsid w:val="00FE53E0"/>
    <w:rsid w:val="00FE552E"/>
    <w:rsid w:val="00FE559E"/>
    <w:rsid w:val="00FE56E9"/>
    <w:rsid w:val="00FE5B70"/>
    <w:rsid w:val="00FE5C1B"/>
    <w:rsid w:val="00FE5DEF"/>
    <w:rsid w:val="00FE600A"/>
    <w:rsid w:val="00FE60EB"/>
    <w:rsid w:val="00FE63F7"/>
    <w:rsid w:val="00FE6448"/>
    <w:rsid w:val="00FE6563"/>
    <w:rsid w:val="00FE6697"/>
    <w:rsid w:val="00FE68D4"/>
    <w:rsid w:val="00FE690A"/>
    <w:rsid w:val="00FE6A8D"/>
    <w:rsid w:val="00FE7042"/>
    <w:rsid w:val="00FE717A"/>
    <w:rsid w:val="00FE7294"/>
    <w:rsid w:val="00FE7450"/>
    <w:rsid w:val="00FE7C3B"/>
    <w:rsid w:val="00FE7CE2"/>
    <w:rsid w:val="00FF025D"/>
    <w:rsid w:val="00FF0335"/>
    <w:rsid w:val="00FF08A7"/>
    <w:rsid w:val="00FF0B61"/>
    <w:rsid w:val="00FF0CC7"/>
    <w:rsid w:val="00FF12CB"/>
    <w:rsid w:val="00FF13E7"/>
    <w:rsid w:val="00FF1481"/>
    <w:rsid w:val="00FF14EA"/>
    <w:rsid w:val="00FF15D3"/>
    <w:rsid w:val="00FF18A1"/>
    <w:rsid w:val="00FF19E3"/>
    <w:rsid w:val="00FF1A81"/>
    <w:rsid w:val="00FF1F96"/>
    <w:rsid w:val="00FF2192"/>
    <w:rsid w:val="00FF2ADC"/>
    <w:rsid w:val="00FF2B3F"/>
    <w:rsid w:val="00FF2B49"/>
    <w:rsid w:val="00FF2C01"/>
    <w:rsid w:val="00FF2F87"/>
    <w:rsid w:val="00FF3E74"/>
    <w:rsid w:val="00FF460C"/>
    <w:rsid w:val="00FF4958"/>
    <w:rsid w:val="00FF4A65"/>
    <w:rsid w:val="00FF4AB1"/>
    <w:rsid w:val="00FF4FB0"/>
    <w:rsid w:val="00FF54F4"/>
    <w:rsid w:val="00FF5C68"/>
    <w:rsid w:val="00FF6312"/>
    <w:rsid w:val="00FF673B"/>
    <w:rsid w:val="00FF6771"/>
    <w:rsid w:val="00FF68B1"/>
    <w:rsid w:val="00FF6D41"/>
    <w:rsid w:val="00FF6E6A"/>
    <w:rsid w:val="00FF7067"/>
    <w:rsid w:val="00FF737B"/>
    <w:rsid w:val="00FF784F"/>
    <w:rsid w:val="00FF7C53"/>
    <w:rsid w:val="01DC25EC"/>
    <w:rsid w:val="01E05FD4"/>
    <w:rsid w:val="0252F7A0"/>
    <w:rsid w:val="028AC25F"/>
    <w:rsid w:val="02AE9AAE"/>
    <w:rsid w:val="02BEF02B"/>
    <w:rsid w:val="03258158"/>
    <w:rsid w:val="032A05A0"/>
    <w:rsid w:val="0370C878"/>
    <w:rsid w:val="038721C8"/>
    <w:rsid w:val="03B9BD3E"/>
    <w:rsid w:val="03F6508B"/>
    <w:rsid w:val="03F9B23A"/>
    <w:rsid w:val="04271922"/>
    <w:rsid w:val="04480844"/>
    <w:rsid w:val="047639CE"/>
    <w:rsid w:val="04BE2A3C"/>
    <w:rsid w:val="04C79FFC"/>
    <w:rsid w:val="04D7AA1D"/>
    <w:rsid w:val="05048415"/>
    <w:rsid w:val="0509EBD1"/>
    <w:rsid w:val="054D5A91"/>
    <w:rsid w:val="05D01AE6"/>
    <w:rsid w:val="05DE2DFE"/>
    <w:rsid w:val="06A8693A"/>
    <w:rsid w:val="06BE2B12"/>
    <w:rsid w:val="06EED046"/>
    <w:rsid w:val="0758BC4D"/>
    <w:rsid w:val="076502BD"/>
    <w:rsid w:val="076CC11E"/>
    <w:rsid w:val="07D66689"/>
    <w:rsid w:val="081C203A"/>
    <w:rsid w:val="08292F9B"/>
    <w:rsid w:val="082B113E"/>
    <w:rsid w:val="08A04539"/>
    <w:rsid w:val="08F30E62"/>
    <w:rsid w:val="0939C108"/>
    <w:rsid w:val="097B9A7F"/>
    <w:rsid w:val="0A27C7C0"/>
    <w:rsid w:val="0A4041EE"/>
    <w:rsid w:val="0A763895"/>
    <w:rsid w:val="0AB4D41F"/>
    <w:rsid w:val="0AB5E49B"/>
    <w:rsid w:val="0B62D84B"/>
    <w:rsid w:val="0B6502A7"/>
    <w:rsid w:val="0B972BBF"/>
    <w:rsid w:val="0BB9DAC4"/>
    <w:rsid w:val="0C02865E"/>
    <w:rsid w:val="0C2BD363"/>
    <w:rsid w:val="0C417F50"/>
    <w:rsid w:val="0C530BE6"/>
    <w:rsid w:val="0C936DB9"/>
    <w:rsid w:val="0CD3FC01"/>
    <w:rsid w:val="0CD9948E"/>
    <w:rsid w:val="0DBA665E"/>
    <w:rsid w:val="0DD0FEC3"/>
    <w:rsid w:val="0E0358ED"/>
    <w:rsid w:val="0E1A4502"/>
    <w:rsid w:val="0E8A8763"/>
    <w:rsid w:val="0EC2B916"/>
    <w:rsid w:val="0EE7970C"/>
    <w:rsid w:val="0F00591A"/>
    <w:rsid w:val="0F34FEE9"/>
    <w:rsid w:val="0F4A49A3"/>
    <w:rsid w:val="0F4B0B79"/>
    <w:rsid w:val="0F82E930"/>
    <w:rsid w:val="0FD0A186"/>
    <w:rsid w:val="0FD0C65A"/>
    <w:rsid w:val="103E5AF4"/>
    <w:rsid w:val="104AC43E"/>
    <w:rsid w:val="10A17C0D"/>
    <w:rsid w:val="10BC4ADE"/>
    <w:rsid w:val="10FF77E6"/>
    <w:rsid w:val="114B0BB6"/>
    <w:rsid w:val="116CD02C"/>
    <w:rsid w:val="11996DF5"/>
    <w:rsid w:val="11B9B855"/>
    <w:rsid w:val="11DBD948"/>
    <w:rsid w:val="11E3D8C9"/>
    <w:rsid w:val="11F7B43F"/>
    <w:rsid w:val="12A1AB5D"/>
    <w:rsid w:val="12D8230C"/>
    <w:rsid w:val="12E74B85"/>
    <w:rsid w:val="12EAC0E7"/>
    <w:rsid w:val="130D66FE"/>
    <w:rsid w:val="133F55F0"/>
    <w:rsid w:val="134D980A"/>
    <w:rsid w:val="13584A86"/>
    <w:rsid w:val="136DC3E5"/>
    <w:rsid w:val="1377D65E"/>
    <w:rsid w:val="13F8B7A0"/>
    <w:rsid w:val="1402A3F7"/>
    <w:rsid w:val="14269021"/>
    <w:rsid w:val="14276BDF"/>
    <w:rsid w:val="142A17AB"/>
    <w:rsid w:val="146186D8"/>
    <w:rsid w:val="1473C931"/>
    <w:rsid w:val="147A839A"/>
    <w:rsid w:val="14852076"/>
    <w:rsid w:val="1497F5CA"/>
    <w:rsid w:val="14BAD657"/>
    <w:rsid w:val="14C205ED"/>
    <w:rsid w:val="15117546"/>
    <w:rsid w:val="151EBEA6"/>
    <w:rsid w:val="1539BB8C"/>
    <w:rsid w:val="1549C8A6"/>
    <w:rsid w:val="154A3385"/>
    <w:rsid w:val="155A7045"/>
    <w:rsid w:val="157A5739"/>
    <w:rsid w:val="159CD476"/>
    <w:rsid w:val="160BE0B2"/>
    <w:rsid w:val="1627B968"/>
    <w:rsid w:val="163CCBD8"/>
    <w:rsid w:val="16555EBE"/>
    <w:rsid w:val="16AD517B"/>
    <w:rsid w:val="16B3AFE0"/>
    <w:rsid w:val="177B0BB2"/>
    <w:rsid w:val="17CC728E"/>
    <w:rsid w:val="18C70C2C"/>
    <w:rsid w:val="1917635D"/>
    <w:rsid w:val="193CD74D"/>
    <w:rsid w:val="1961BD7A"/>
    <w:rsid w:val="196F8E6D"/>
    <w:rsid w:val="198F788D"/>
    <w:rsid w:val="19C28EF4"/>
    <w:rsid w:val="19D79C04"/>
    <w:rsid w:val="1A692097"/>
    <w:rsid w:val="1A6F9F68"/>
    <w:rsid w:val="1AE013D1"/>
    <w:rsid w:val="1AE4B847"/>
    <w:rsid w:val="1AEDF58B"/>
    <w:rsid w:val="1B1E7D19"/>
    <w:rsid w:val="1B5F7B66"/>
    <w:rsid w:val="1BBD576F"/>
    <w:rsid w:val="1BF53DAD"/>
    <w:rsid w:val="1C290378"/>
    <w:rsid w:val="1CB67ABF"/>
    <w:rsid w:val="1CFA0EE1"/>
    <w:rsid w:val="1D036A06"/>
    <w:rsid w:val="1D53A6F5"/>
    <w:rsid w:val="1D7419BB"/>
    <w:rsid w:val="1D774EBD"/>
    <w:rsid w:val="1D9C41E9"/>
    <w:rsid w:val="1DBC689E"/>
    <w:rsid w:val="1DC7EDD4"/>
    <w:rsid w:val="1DDE84DC"/>
    <w:rsid w:val="1DFC8BCA"/>
    <w:rsid w:val="1E08691E"/>
    <w:rsid w:val="1F149147"/>
    <w:rsid w:val="1FC74676"/>
    <w:rsid w:val="1FCDB606"/>
    <w:rsid w:val="21641F86"/>
    <w:rsid w:val="21908B42"/>
    <w:rsid w:val="221AC437"/>
    <w:rsid w:val="222CF5D9"/>
    <w:rsid w:val="2320E5C9"/>
    <w:rsid w:val="2370EB2F"/>
    <w:rsid w:val="24123B02"/>
    <w:rsid w:val="24124D2C"/>
    <w:rsid w:val="246744BE"/>
    <w:rsid w:val="248FF56C"/>
    <w:rsid w:val="24C9C1DE"/>
    <w:rsid w:val="24CD0865"/>
    <w:rsid w:val="24FE1624"/>
    <w:rsid w:val="250FD274"/>
    <w:rsid w:val="255CF684"/>
    <w:rsid w:val="2590D6AD"/>
    <w:rsid w:val="259B46CA"/>
    <w:rsid w:val="25A531BA"/>
    <w:rsid w:val="2611A5E9"/>
    <w:rsid w:val="265AAC58"/>
    <w:rsid w:val="26EAAC35"/>
    <w:rsid w:val="26FDF4BD"/>
    <w:rsid w:val="2717FFFA"/>
    <w:rsid w:val="272FC7E7"/>
    <w:rsid w:val="2755D438"/>
    <w:rsid w:val="27F0B52D"/>
    <w:rsid w:val="2800D1F7"/>
    <w:rsid w:val="28223BF4"/>
    <w:rsid w:val="2832FDE7"/>
    <w:rsid w:val="284BEE5D"/>
    <w:rsid w:val="2879239E"/>
    <w:rsid w:val="28F9FFD9"/>
    <w:rsid w:val="2904400C"/>
    <w:rsid w:val="292283B8"/>
    <w:rsid w:val="292337A4"/>
    <w:rsid w:val="29452A46"/>
    <w:rsid w:val="2958F244"/>
    <w:rsid w:val="2985D10C"/>
    <w:rsid w:val="29A91797"/>
    <w:rsid w:val="29D2CA54"/>
    <w:rsid w:val="2A80B322"/>
    <w:rsid w:val="2AAF948C"/>
    <w:rsid w:val="2AB04070"/>
    <w:rsid w:val="2AC252D2"/>
    <w:rsid w:val="2AD63C41"/>
    <w:rsid w:val="2B77F82C"/>
    <w:rsid w:val="2B7F656D"/>
    <w:rsid w:val="2B8AE439"/>
    <w:rsid w:val="2BA7E747"/>
    <w:rsid w:val="2BDF2C92"/>
    <w:rsid w:val="2BF80E1E"/>
    <w:rsid w:val="2C389D13"/>
    <w:rsid w:val="2CB4BEBD"/>
    <w:rsid w:val="2CD63637"/>
    <w:rsid w:val="2D8365B8"/>
    <w:rsid w:val="2DBFB3BB"/>
    <w:rsid w:val="2E264725"/>
    <w:rsid w:val="2E2895D0"/>
    <w:rsid w:val="2E46E831"/>
    <w:rsid w:val="2E9BB7C8"/>
    <w:rsid w:val="2F609351"/>
    <w:rsid w:val="2F851758"/>
    <w:rsid w:val="2F8D0B49"/>
    <w:rsid w:val="2FFCF771"/>
    <w:rsid w:val="306112B4"/>
    <w:rsid w:val="3067F22D"/>
    <w:rsid w:val="306AEAA0"/>
    <w:rsid w:val="30E1C847"/>
    <w:rsid w:val="3169E62E"/>
    <w:rsid w:val="31769138"/>
    <w:rsid w:val="3239F312"/>
    <w:rsid w:val="3247B908"/>
    <w:rsid w:val="3249F09D"/>
    <w:rsid w:val="32F8C89A"/>
    <w:rsid w:val="32FDCE7B"/>
    <w:rsid w:val="33256E6F"/>
    <w:rsid w:val="334CB765"/>
    <w:rsid w:val="338741CA"/>
    <w:rsid w:val="338E836C"/>
    <w:rsid w:val="33950D5D"/>
    <w:rsid w:val="33A1F8FF"/>
    <w:rsid w:val="33B14630"/>
    <w:rsid w:val="33BB945F"/>
    <w:rsid w:val="33BEA81C"/>
    <w:rsid w:val="33D758A8"/>
    <w:rsid w:val="33E849FB"/>
    <w:rsid w:val="343A72A2"/>
    <w:rsid w:val="347C00DC"/>
    <w:rsid w:val="34A840D0"/>
    <w:rsid w:val="34D3592F"/>
    <w:rsid w:val="34D510F7"/>
    <w:rsid w:val="34F365F2"/>
    <w:rsid w:val="3503BD5A"/>
    <w:rsid w:val="3524C42D"/>
    <w:rsid w:val="3529B3BD"/>
    <w:rsid w:val="354F2528"/>
    <w:rsid w:val="3558333D"/>
    <w:rsid w:val="358053E2"/>
    <w:rsid w:val="35BC21B5"/>
    <w:rsid w:val="36581030"/>
    <w:rsid w:val="368FFD79"/>
    <w:rsid w:val="369EF527"/>
    <w:rsid w:val="36D137FA"/>
    <w:rsid w:val="36F1B7AC"/>
    <w:rsid w:val="37106919"/>
    <w:rsid w:val="374F19BF"/>
    <w:rsid w:val="377BADCD"/>
    <w:rsid w:val="37AD0508"/>
    <w:rsid w:val="37FA5848"/>
    <w:rsid w:val="383F4F37"/>
    <w:rsid w:val="38E0046B"/>
    <w:rsid w:val="39286FB2"/>
    <w:rsid w:val="39927DDA"/>
    <w:rsid w:val="39B632CB"/>
    <w:rsid w:val="39B87CCB"/>
    <w:rsid w:val="39CCE164"/>
    <w:rsid w:val="39D6161A"/>
    <w:rsid w:val="39E7A353"/>
    <w:rsid w:val="3A099EA6"/>
    <w:rsid w:val="3A1DCE17"/>
    <w:rsid w:val="3A29588D"/>
    <w:rsid w:val="3A98A7D9"/>
    <w:rsid w:val="3AB9D3C3"/>
    <w:rsid w:val="3ACD9D59"/>
    <w:rsid w:val="3AEC6AA3"/>
    <w:rsid w:val="3B19905E"/>
    <w:rsid w:val="3B975107"/>
    <w:rsid w:val="3BA3D2D4"/>
    <w:rsid w:val="3BFF44DB"/>
    <w:rsid w:val="3C1BF8C4"/>
    <w:rsid w:val="3C345C22"/>
    <w:rsid w:val="3C48932B"/>
    <w:rsid w:val="3C877B93"/>
    <w:rsid w:val="3C9417E2"/>
    <w:rsid w:val="3C9DD8F0"/>
    <w:rsid w:val="3CCF6E47"/>
    <w:rsid w:val="3CE58119"/>
    <w:rsid w:val="3CE6FF28"/>
    <w:rsid w:val="3CEC5098"/>
    <w:rsid w:val="3D1A3A7F"/>
    <w:rsid w:val="3D45DFD1"/>
    <w:rsid w:val="3E0BFC7E"/>
    <w:rsid w:val="3E3E85A4"/>
    <w:rsid w:val="3E5E501B"/>
    <w:rsid w:val="3E728437"/>
    <w:rsid w:val="3E9BBC15"/>
    <w:rsid w:val="3ED0EA96"/>
    <w:rsid w:val="3ED19DE1"/>
    <w:rsid w:val="3EF3BA42"/>
    <w:rsid w:val="3F112D68"/>
    <w:rsid w:val="3F68903A"/>
    <w:rsid w:val="3F8752CA"/>
    <w:rsid w:val="3FD840AF"/>
    <w:rsid w:val="40109264"/>
    <w:rsid w:val="403C4397"/>
    <w:rsid w:val="4094633F"/>
    <w:rsid w:val="40B8BE25"/>
    <w:rsid w:val="40EC7D6E"/>
    <w:rsid w:val="412358EC"/>
    <w:rsid w:val="4182DAD6"/>
    <w:rsid w:val="4183BE08"/>
    <w:rsid w:val="419FCACE"/>
    <w:rsid w:val="4208A72B"/>
    <w:rsid w:val="424455BB"/>
    <w:rsid w:val="424D9E1A"/>
    <w:rsid w:val="42B66274"/>
    <w:rsid w:val="43494E70"/>
    <w:rsid w:val="43ED5222"/>
    <w:rsid w:val="43F92C8E"/>
    <w:rsid w:val="4405D8E8"/>
    <w:rsid w:val="441D889D"/>
    <w:rsid w:val="445C7AF0"/>
    <w:rsid w:val="44639E3B"/>
    <w:rsid w:val="44956E93"/>
    <w:rsid w:val="44DD03D1"/>
    <w:rsid w:val="44EE07F3"/>
    <w:rsid w:val="45181697"/>
    <w:rsid w:val="4520B2A4"/>
    <w:rsid w:val="4644D083"/>
    <w:rsid w:val="4689604E"/>
    <w:rsid w:val="46BA3573"/>
    <w:rsid w:val="46C9ED9B"/>
    <w:rsid w:val="4763CD93"/>
    <w:rsid w:val="47E60576"/>
    <w:rsid w:val="48768617"/>
    <w:rsid w:val="48C2EA2F"/>
    <w:rsid w:val="49662882"/>
    <w:rsid w:val="497FBE2B"/>
    <w:rsid w:val="4A4E67AB"/>
    <w:rsid w:val="4A5D3F0C"/>
    <w:rsid w:val="4A7DE11A"/>
    <w:rsid w:val="4B700CF5"/>
    <w:rsid w:val="4BA71ADA"/>
    <w:rsid w:val="4BC77475"/>
    <w:rsid w:val="4BD776CC"/>
    <w:rsid w:val="4BE66914"/>
    <w:rsid w:val="4BE86C54"/>
    <w:rsid w:val="4C0033FD"/>
    <w:rsid w:val="4C32415D"/>
    <w:rsid w:val="4C432B1B"/>
    <w:rsid w:val="4C658363"/>
    <w:rsid w:val="4C9DA206"/>
    <w:rsid w:val="4CCE4AFC"/>
    <w:rsid w:val="4CF604CE"/>
    <w:rsid w:val="4D89AE08"/>
    <w:rsid w:val="4DEC2776"/>
    <w:rsid w:val="4E123A7B"/>
    <w:rsid w:val="4EA88A0C"/>
    <w:rsid w:val="4EB0CA7D"/>
    <w:rsid w:val="4F7BC2C5"/>
    <w:rsid w:val="4FDDF7C7"/>
    <w:rsid w:val="4FF88C1E"/>
    <w:rsid w:val="5002292C"/>
    <w:rsid w:val="5010EB45"/>
    <w:rsid w:val="5099606A"/>
    <w:rsid w:val="50BB6F52"/>
    <w:rsid w:val="51016D77"/>
    <w:rsid w:val="5155938A"/>
    <w:rsid w:val="51573255"/>
    <w:rsid w:val="5264A6C7"/>
    <w:rsid w:val="53128AC1"/>
    <w:rsid w:val="5377574B"/>
    <w:rsid w:val="53CD42E2"/>
    <w:rsid w:val="53F03618"/>
    <w:rsid w:val="540BDD52"/>
    <w:rsid w:val="543652F8"/>
    <w:rsid w:val="54368719"/>
    <w:rsid w:val="551446C6"/>
    <w:rsid w:val="552AD1DF"/>
    <w:rsid w:val="55AC57B4"/>
    <w:rsid w:val="5613B877"/>
    <w:rsid w:val="563996BF"/>
    <w:rsid w:val="569AB7E7"/>
    <w:rsid w:val="56AB2B5F"/>
    <w:rsid w:val="56C33ED1"/>
    <w:rsid w:val="56FD6020"/>
    <w:rsid w:val="574F524C"/>
    <w:rsid w:val="57965996"/>
    <w:rsid w:val="5843F2F7"/>
    <w:rsid w:val="5847FCDE"/>
    <w:rsid w:val="58EB9BBE"/>
    <w:rsid w:val="5942F48C"/>
    <w:rsid w:val="595A2A9A"/>
    <w:rsid w:val="596707B8"/>
    <w:rsid w:val="59DBCA70"/>
    <w:rsid w:val="59E8CF1A"/>
    <w:rsid w:val="59F55DDE"/>
    <w:rsid w:val="5A1F8F48"/>
    <w:rsid w:val="5A31ACBB"/>
    <w:rsid w:val="5A41DCB9"/>
    <w:rsid w:val="5A57CF3C"/>
    <w:rsid w:val="5B1962DC"/>
    <w:rsid w:val="5B445F86"/>
    <w:rsid w:val="5BA06747"/>
    <w:rsid w:val="5BE4C6BE"/>
    <w:rsid w:val="5BFC17EA"/>
    <w:rsid w:val="5C0BDFA0"/>
    <w:rsid w:val="5C16EAE3"/>
    <w:rsid w:val="5C26D214"/>
    <w:rsid w:val="5C5D1DB4"/>
    <w:rsid w:val="5C852BF2"/>
    <w:rsid w:val="5C8DF1F2"/>
    <w:rsid w:val="5CA0965C"/>
    <w:rsid w:val="5CA42D4E"/>
    <w:rsid w:val="5CF00416"/>
    <w:rsid w:val="5D1C521B"/>
    <w:rsid w:val="5D6530E1"/>
    <w:rsid w:val="5D6B3C22"/>
    <w:rsid w:val="5D849FE0"/>
    <w:rsid w:val="5DCF3600"/>
    <w:rsid w:val="5DD3932C"/>
    <w:rsid w:val="5E0EB635"/>
    <w:rsid w:val="5E16A0BB"/>
    <w:rsid w:val="5E255A3B"/>
    <w:rsid w:val="5E477500"/>
    <w:rsid w:val="5E8052D1"/>
    <w:rsid w:val="5E813A6B"/>
    <w:rsid w:val="5E8E69C6"/>
    <w:rsid w:val="5EEE2E30"/>
    <w:rsid w:val="5F127842"/>
    <w:rsid w:val="5F349E3B"/>
    <w:rsid w:val="5F4541B5"/>
    <w:rsid w:val="5F74FFCD"/>
    <w:rsid w:val="60A9B7D8"/>
    <w:rsid w:val="610416E6"/>
    <w:rsid w:val="614953D6"/>
    <w:rsid w:val="614F73C2"/>
    <w:rsid w:val="6151EF6C"/>
    <w:rsid w:val="61696CD0"/>
    <w:rsid w:val="617456D6"/>
    <w:rsid w:val="61B843B5"/>
    <w:rsid w:val="61CB9A28"/>
    <w:rsid w:val="623B413E"/>
    <w:rsid w:val="625DE81D"/>
    <w:rsid w:val="62CE6762"/>
    <w:rsid w:val="62FAAEF4"/>
    <w:rsid w:val="62FC0ECB"/>
    <w:rsid w:val="62FF9BAE"/>
    <w:rsid w:val="636404CA"/>
    <w:rsid w:val="63D3AF60"/>
    <w:rsid w:val="63D94EB6"/>
    <w:rsid w:val="640DD41C"/>
    <w:rsid w:val="645A9246"/>
    <w:rsid w:val="64774604"/>
    <w:rsid w:val="6481F288"/>
    <w:rsid w:val="648BE4D1"/>
    <w:rsid w:val="6549C576"/>
    <w:rsid w:val="65542840"/>
    <w:rsid w:val="657ED997"/>
    <w:rsid w:val="658B01A4"/>
    <w:rsid w:val="6594FE64"/>
    <w:rsid w:val="65D6EE40"/>
    <w:rsid w:val="65DE413F"/>
    <w:rsid w:val="65FA3F16"/>
    <w:rsid w:val="66193076"/>
    <w:rsid w:val="66334333"/>
    <w:rsid w:val="66BAEF88"/>
    <w:rsid w:val="66CAA0A2"/>
    <w:rsid w:val="66DE2B60"/>
    <w:rsid w:val="66FFE677"/>
    <w:rsid w:val="672B7574"/>
    <w:rsid w:val="67779D46"/>
    <w:rsid w:val="6778F2F0"/>
    <w:rsid w:val="6789033B"/>
    <w:rsid w:val="67B20B9E"/>
    <w:rsid w:val="67CBCB54"/>
    <w:rsid w:val="6815FD8C"/>
    <w:rsid w:val="681F84F4"/>
    <w:rsid w:val="6823337B"/>
    <w:rsid w:val="68D526AD"/>
    <w:rsid w:val="6940C927"/>
    <w:rsid w:val="69CDEFA6"/>
    <w:rsid w:val="69F9FF0D"/>
    <w:rsid w:val="6A1FE728"/>
    <w:rsid w:val="6A4298C6"/>
    <w:rsid w:val="6A64CFAE"/>
    <w:rsid w:val="6A814E36"/>
    <w:rsid w:val="6AC23312"/>
    <w:rsid w:val="6AC3AF4F"/>
    <w:rsid w:val="6B02D49E"/>
    <w:rsid w:val="6B2689A4"/>
    <w:rsid w:val="6B7DC275"/>
    <w:rsid w:val="6B8F02CA"/>
    <w:rsid w:val="6BCEE9FD"/>
    <w:rsid w:val="6BE27B0D"/>
    <w:rsid w:val="6C438DDE"/>
    <w:rsid w:val="6C7BBCEB"/>
    <w:rsid w:val="6CC91787"/>
    <w:rsid w:val="6D88E4A9"/>
    <w:rsid w:val="6DB3CE26"/>
    <w:rsid w:val="6E0B0A05"/>
    <w:rsid w:val="6E8855F4"/>
    <w:rsid w:val="6E8AE4CB"/>
    <w:rsid w:val="6F741889"/>
    <w:rsid w:val="7021836A"/>
    <w:rsid w:val="707ABFD3"/>
    <w:rsid w:val="70BBDA60"/>
    <w:rsid w:val="70D85DD0"/>
    <w:rsid w:val="70D9712E"/>
    <w:rsid w:val="70E439B6"/>
    <w:rsid w:val="70E70A99"/>
    <w:rsid w:val="710D15C0"/>
    <w:rsid w:val="71119279"/>
    <w:rsid w:val="7152F99F"/>
    <w:rsid w:val="71E4807B"/>
    <w:rsid w:val="728C2B12"/>
    <w:rsid w:val="729678B0"/>
    <w:rsid w:val="72A3E1DC"/>
    <w:rsid w:val="72D0AEFF"/>
    <w:rsid w:val="72DCAA51"/>
    <w:rsid w:val="73612B5D"/>
    <w:rsid w:val="736D33B5"/>
    <w:rsid w:val="7394300D"/>
    <w:rsid w:val="739EA396"/>
    <w:rsid w:val="73C00630"/>
    <w:rsid w:val="7451485D"/>
    <w:rsid w:val="74B0BAD5"/>
    <w:rsid w:val="74FD8633"/>
    <w:rsid w:val="74FFEB9D"/>
    <w:rsid w:val="7528FF0E"/>
    <w:rsid w:val="758A89DD"/>
    <w:rsid w:val="759B19CB"/>
    <w:rsid w:val="75F342D9"/>
    <w:rsid w:val="760D3F0A"/>
    <w:rsid w:val="7645CF5F"/>
    <w:rsid w:val="773533B9"/>
    <w:rsid w:val="7740042E"/>
    <w:rsid w:val="77443848"/>
    <w:rsid w:val="775D9BDA"/>
    <w:rsid w:val="777469BE"/>
    <w:rsid w:val="779F941B"/>
    <w:rsid w:val="77F3CA1C"/>
    <w:rsid w:val="77F4BC62"/>
    <w:rsid w:val="7820B8D0"/>
    <w:rsid w:val="783F2969"/>
    <w:rsid w:val="78A98768"/>
    <w:rsid w:val="78F8F3DF"/>
    <w:rsid w:val="7902818C"/>
    <w:rsid w:val="79897AFF"/>
    <w:rsid w:val="79D2BCA7"/>
    <w:rsid w:val="79E7BE6B"/>
    <w:rsid w:val="7AC1B5D6"/>
    <w:rsid w:val="7AEAB98C"/>
    <w:rsid w:val="7AEC7B6A"/>
    <w:rsid w:val="7B0068FE"/>
    <w:rsid w:val="7B02CAB8"/>
    <w:rsid w:val="7B35EFF2"/>
    <w:rsid w:val="7B3BC98A"/>
    <w:rsid w:val="7B42BE21"/>
    <w:rsid w:val="7B867DE3"/>
    <w:rsid w:val="7BCAFB04"/>
    <w:rsid w:val="7BD289B9"/>
    <w:rsid w:val="7BDDB607"/>
    <w:rsid w:val="7BE8410C"/>
    <w:rsid w:val="7C0415CC"/>
    <w:rsid w:val="7C232F8C"/>
    <w:rsid w:val="7C66C7A4"/>
    <w:rsid w:val="7CC4AD72"/>
    <w:rsid w:val="7CC98C10"/>
    <w:rsid w:val="7CFA52DA"/>
    <w:rsid w:val="7D34321B"/>
    <w:rsid w:val="7D46D8C4"/>
    <w:rsid w:val="7D6E5A23"/>
    <w:rsid w:val="7D914089"/>
    <w:rsid w:val="7DDDD3E4"/>
    <w:rsid w:val="7DE3A631"/>
    <w:rsid w:val="7E54F7B4"/>
    <w:rsid w:val="7ED19946"/>
    <w:rsid w:val="7F362229"/>
    <w:rsid w:val="7F851636"/>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4062F136"/>
  <w15:chartTrackingRefBased/>
  <w15:docId w15:val="{C31FC6A5-97F4-4295-AF10-D0D368521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5" w:uiPriority="39"/>
    <w:lsdException w:name="toc 8" w:uiPriority="39"/>
    <w:lsdException w:name="toc 9" w:uiPriority="39"/>
    <w:lsdException w:name="Normal Indent" w:locked="1"/>
    <w:lsdException w:name="footnote text" w:locked="1"/>
    <w:lsdException w:name="annotation text" w:locked="1" w:uiPriority="99"/>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uiPriority="99"/>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uiPriority="1"/>
    <w:lsdException w:name="Body Text" w:lock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semiHidden="1" w:unhideWhenUsed="1"/>
    <w:lsdException w:name="HTML Variable" w:locked="1"/>
    <w:lsdException w:name="Normal Table" w:locked="1" w:semiHidden="1" w:unhideWhenUsed="1"/>
    <w:lsdException w:name="annotation subject" w:lock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41BF9"/>
    <w:rPr>
      <w:sz w:val="24"/>
    </w:rPr>
  </w:style>
  <w:style w:type="paragraph" w:styleId="Heading1">
    <w:name w:val="heading 1"/>
    <w:basedOn w:val="Normal"/>
    <w:next w:val="Normal"/>
    <w:link w:val="Heading1Char"/>
    <w:qFormat/>
    <w:rsid w:val="00C63DEA"/>
    <w:pPr>
      <w:keepNext/>
      <w:widowControl w:val="0"/>
      <w:overflowPunct w:val="0"/>
      <w:autoSpaceDE w:val="0"/>
      <w:autoSpaceDN w:val="0"/>
      <w:adjustRightInd w:val="0"/>
      <w:jc w:val="both"/>
      <w:textAlignment w:val="baseline"/>
      <w:outlineLvl w:val="0"/>
    </w:pPr>
    <w:rPr>
      <w:smallCaps/>
      <w:color w:val="FFFFFF"/>
      <w:sz w:val="28"/>
    </w:rPr>
  </w:style>
  <w:style w:type="paragraph" w:styleId="Heading2">
    <w:name w:val="heading 2"/>
    <w:basedOn w:val="Normal"/>
    <w:next w:val="Normal"/>
    <w:link w:val="Heading2Char"/>
    <w:qFormat/>
    <w:rsid w:val="00C63DEA"/>
    <w:pPr>
      <w:keepNext/>
      <w:autoSpaceDE w:val="0"/>
      <w:autoSpaceDN w:val="0"/>
      <w:adjustRightInd w:val="0"/>
      <w:jc w:val="center"/>
      <w:outlineLvl w:val="1"/>
    </w:pPr>
    <w:rPr>
      <w:rFonts w:ascii="Arial" w:hAnsi="Arial" w:cs="Arial"/>
      <w:b/>
      <w:bCs/>
      <w:color w:val="000000"/>
      <w:szCs w:val="22"/>
    </w:rPr>
  </w:style>
  <w:style w:type="paragraph" w:styleId="Heading3">
    <w:name w:val="heading 3"/>
    <w:basedOn w:val="Normal"/>
    <w:next w:val="Normal"/>
    <w:link w:val="Heading3Char"/>
    <w:qFormat/>
    <w:rsid w:val="00C63DE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63DEA"/>
    <w:pPr>
      <w:keepNext/>
      <w:widowControl w:val="0"/>
      <w:overflowPunct w:val="0"/>
      <w:autoSpaceDE w:val="0"/>
      <w:autoSpaceDN w:val="0"/>
      <w:adjustRightInd w:val="0"/>
      <w:jc w:val="both"/>
      <w:textAlignment w:val="baseline"/>
      <w:outlineLvl w:val="3"/>
    </w:pPr>
    <w:rPr>
      <w:b/>
      <w:bCs/>
      <w:color w:val="FFFFFF"/>
      <w:sz w:val="28"/>
    </w:rPr>
  </w:style>
  <w:style w:type="paragraph" w:styleId="Heading5">
    <w:name w:val="heading 5"/>
    <w:basedOn w:val="Normal"/>
    <w:next w:val="Normal"/>
    <w:link w:val="Heading5Char"/>
    <w:qFormat/>
    <w:rsid w:val="00C63DEA"/>
    <w:pPr>
      <w:spacing w:before="240" w:after="60"/>
      <w:outlineLvl w:val="4"/>
    </w:pPr>
    <w:rPr>
      <w:b/>
      <w:bCs/>
      <w:i/>
      <w:iCs/>
      <w:sz w:val="26"/>
      <w:szCs w:val="26"/>
    </w:rPr>
  </w:style>
  <w:style w:type="paragraph" w:styleId="Heading6">
    <w:name w:val="heading 6"/>
    <w:basedOn w:val="Normal"/>
    <w:next w:val="Normal"/>
    <w:link w:val="Heading6Char"/>
    <w:qFormat/>
    <w:rsid w:val="00C63DEA"/>
    <w:pPr>
      <w:keepNext/>
      <w:widowControl w:val="0"/>
      <w:overflowPunct w:val="0"/>
      <w:autoSpaceDE w:val="0"/>
      <w:autoSpaceDN w:val="0"/>
      <w:adjustRightInd w:val="0"/>
      <w:ind w:left="144"/>
      <w:textAlignment w:val="baseline"/>
      <w:outlineLvl w:val="5"/>
    </w:pPr>
    <w:rPr>
      <w:rFonts w:ascii="EY Gothic Cond DemiPS" w:hAnsi="EY Gothic Cond DemiPS"/>
      <w:color w:val="FFFFFF"/>
      <w:sz w:val="124"/>
    </w:rPr>
  </w:style>
  <w:style w:type="paragraph" w:styleId="Heading7">
    <w:name w:val="heading 7"/>
    <w:basedOn w:val="Normal"/>
    <w:next w:val="Normal"/>
    <w:link w:val="Heading7Char"/>
    <w:qFormat/>
    <w:rsid w:val="00C63DEA"/>
    <w:pPr>
      <w:keepNext/>
      <w:widowControl w:val="0"/>
      <w:overflowPunct w:val="0"/>
      <w:autoSpaceDE w:val="0"/>
      <w:autoSpaceDN w:val="0"/>
      <w:adjustRightInd w:val="0"/>
      <w:jc w:val="center"/>
      <w:textAlignment w:val="baseline"/>
      <w:outlineLvl w:val="6"/>
    </w:pPr>
    <w:rPr>
      <w:sz w:val="48"/>
    </w:rPr>
  </w:style>
  <w:style w:type="paragraph" w:styleId="Heading8">
    <w:name w:val="heading 8"/>
    <w:basedOn w:val="Normal"/>
    <w:next w:val="Normal"/>
    <w:link w:val="Heading8Char"/>
    <w:qFormat/>
    <w:rsid w:val="00C63DEA"/>
    <w:pPr>
      <w:keepNext/>
      <w:widowControl w:val="0"/>
      <w:overflowPunct w:val="0"/>
      <w:autoSpaceDE w:val="0"/>
      <w:autoSpaceDN w:val="0"/>
      <w:adjustRightInd w:val="0"/>
      <w:jc w:val="center"/>
      <w:textAlignment w:val="baseline"/>
      <w:outlineLvl w:val="7"/>
    </w:pPr>
    <w:rPr>
      <w:rFonts w:ascii="Times New Roman Bold" w:hAnsi="Times New Roman Bold"/>
      <w:b/>
      <w14:shadow w14:blurRad="50800" w14:dist="38100" w14:dir="2700000" w14:sx="100000" w14:sy="100000" w14:kx="0" w14:ky="0" w14:algn="tl">
        <w14:srgbClr w14:val="000000">
          <w14:alpha w14:val="60000"/>
        </w14:srgbClr>
      </w14:shadow>
    </w:rPr>
  </w:style>
  <w:style w:type="paragraph" w:styleId="Heading9">
    <w:name w:val="heading 9"/>
    <w:basedOn w:val="Normal"/>
    <w:next w:val="Normal"/>
    <w:link w:val="Heading9Char"/>
    <w:qFormat/>
    <w:rsid w:val="00C63DE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961B7"/>
    <w:rPr>
      <w:rFonts w:ascii="Cambria" w:hAnsi="Cambria" w:cs="Times New Roman"/>
      <w:b/>
      <w:bCs/>
      <w:kern w:val="32"/>
      <w:sz w:val="32"/>
      <w:szCs w:val="32"/>
    </w:rPr>
  </w:style>
  <w:style w:type="character" w:customStyle="1" w:styleId="Heading2Char">
    <w:name w:val="Heading 2 Char"/>
    <w:link w:val="Heading2"/>
    <w:locked/>
    <w:rsid w:val="00F961B7"/>
    <w:rPr>
      <w:rFonts w:ascii="Cambria" w:hAnsi="Cambria" w:cs="Times New Roman"/>
      <w:b/>
      <w:bCs/>
      <w:i/>
      <w:iCs/>
      <w:sz w:val="28"/>
      <w:szCs w:val="28"/>
    </w:rPr>
  </w:style>
  <w:style w:type="character" w:customStyle="1" w:styleId="Heading3Char">
    <w:name w:val="Heading 3 Char"/>
    <w:link w:val="Heading3"/>
    <w:locked/>
    <w:rsid w:val="00F961B7"/>
    <w:rPr>
      <w:rFonts w:ascii="Cambria" w:hAnsi="Cambria" w:cs="Times New Roman"/>
      <w:b/>
      <w:bCs/>
      <w:sz w:val="26"/>
      <w:szCs w:val="26"/>
    </w:rPr>
  </w:style>
  <w:style w:type="character" w:customStyle="1" w:styleId="Heading4Char">
    <w:name w:val="Heading 4 Char"/>
    <w:link w:val="Heading4"/>
    <w:locked/>
    <w:rsid w:val="00F961B7"/>
    <w:rPr>
      <w:rFonts w:ascii="Calibri" w:hAnsi="Calibri" w:cs="Times New Roman"/>
      <w:b/>
      <w:bCs/>
      <w:sz w:val="28"/>
      <w:szCs w:val="28"/>
    </w:rPr>
  </w:style>
  <w:style w:type="character" w:customStyle="1" w:styleId="Heading5Char">
    <w:name w:val="Heading 5 Char"/>
    <w:link w:val="Heading5"/>
    <w:locked/>
    <w:rsid w:val="00F961B7"/>
    <w:rPr>
      <w:rFonts w:ascii="Calibri" w:hAnsi="Calibri" w:cs="Times New Roman"/>
      <w:b/>
      <w:bCs/>
      <w:i/>
      <w:iCs/>
      <w:sz w:val="26"/>
      <w:szCs w:val="26"/>
    </w:rPr>
  </w:style>
  <w:style w:type="character" w:customStyle="1" w:styleId="Heading6Char">
    <w:name w:val="Heading 6 Char"/>
    <w:link w:val="Heading6"/>
    <w:locked/>
    <w:rsid w:val="00F961B7"/>
    <w:rPr>
      <w:rFonts w:ascii="Calibri" w:hAnsi="Calibri" w:cs="Times New Roman"/>
      <w:b/>
      <w:bCs/>
    </w:rPr>
  </w:style>
  <w:style w:type="character" w:customStyle="1" w:styleId="Heading7Char">
    <w:name w:val="Heading 7 Char"/>
    <w:link w:val="Heading7"/>
    <w:locked/>
    <w:rsid w:val="00F961B7"/>
    <w:rPr>
      <w:rFonts w:ascii="Calibri" w:hAnsi="Calibri" w:cs="Times New Roman"/>
      <w:sz w:val="24"/>
      <w:szCs w:val="24"/>
    </w:rPr>
  </w:style>
  <w:style w:type="character" w:customStyle="1" w:styleId="Heading8Char">
    <w:name w:val="Heading 8 Char"/>
    <w:link w:val="Heading8"/>
    <w:locked/>
    <w:rsid w:val="00F961B7"/>
    <w:rPr>
      <w:rFonts w:ascii="Calibri" w:hAnsi="Calibri" w:cs="Times New Roman"/>
      <w:i/>
      <w:iCs/>
      <w:sz w:val="24"/>
      <w:szCs w:val="24"/>
    </w:rPr>
  </w:style>
  <w:style w:type="character" w:customStyle="1" w:styleId="Heading9Char">
    <w:name w:val="Heading 9 Char"/>
    <w:link w:val="Heading9"/>
    <w:locked/>
    <w:rsid w:val="00F961B7"/>
    <w:rPr>
      <w:rFonts w:ascii="Cambria" w:hAnsi="Cambria" w:cs="Times New Roman"/>
    </w:rPr>
  </w:style>
  <w:style w:type="paragraph" w:styleId="BalloonText">
    <w:name w:val="Balloon Text"/>
    <w:basedOn w:val="Normal"/>
    <w:link w:val="BalloonTextChar"/>
    <w:semiHidden/>
    <w:rsid w:val="00C63DEA"/>
    <w:rPr>
      <w:rFonts w:ascii="Tahoma" w:hAnsi="Tahoma" w:cs="Tahoma"/>
      <w:sz w:val="16"/>
      <w:szCs w:val="16"/>
    </w:rPr>
  </w:style>
  <w:style w:type="character" w:customStyle="1" w:styleId="BalloonTextChar">
    <w:name w:val="Balloon Text Char"/>
    <w:link w:val="BalloonText"/>
    <w:semiHidden/>
    <w:locked/>
    <w:rsid w:val="00F961B7"/>
    <w:rPr>
      <w:rFonts w:cs="Times New Roman"/>
      <w:sz w:val="2"/>
    </w:rPr>
  </w:style>
  <w:style w:type="character" w:styleId="Hyperlink">
    <w:name w:val="Hyperlink"/>
    <w:uiPriority w:val="99"/>
    <w:rsid w:val="00C63DEA"/>
    <w:rPr>
      <w:rFonts w:cs="Times New Roman"/>
      <w:color w:val="0000FF"/>
      <w:u w:val="single"/>
    </w:rPr>
  </w:style>
  <w:style w:type="paragraph" w:styleId="CommentText">
    <w:name w:val="annotation text"/>
    <w:basedOn w:val="Normal"/>
    <w:link w:val="CommentTextChar"/>
    <w:uiPriority w:val="99"/>
    <w:rsid w:val="00C63DEA"/>
    <w:rPr>
      <w:sz w:val="20"/>
    </w:rPr>
  </w:style>
  <w:style w:type="character" w:customStyle="1" w:styleId="CommentTextChar">
    <w:name w:val="Comment Text Char"/>
    <w:link w:val="CommentText"/>
    <w:uiPriority w:val="99"/>
    <w:locked/>
    <w:rsid w:val="00F961B7"/>
    <w:rPr>
      <w:rFonts w:cs="Times New Roman"/>
      <w:sz w:val="20"/>
      <w:szCs w:val="20"/>
    </w:rPr>
  </w:style>
  <w:style w:type="paragraph" w:styleId="FootnoteText">
    <w:name w:val="footnote text"/>
    <w:aliases w:val="Footnote Text Char2,Footnote Text Char1 Char1,Footnote Text Char2 Char Char,Footnote Text Char1 Char Char Char,Footnote Text Char2 Char Char Char Char,Footnote Text Char1 Char1 Char Char Char Char,Footnote Text Char1,Footnote Text Char,fn"/>
    <w:basedOn w:val="Normal"/>
    <w:link w:val="FootnoteTextChar3"/>
    <w:rsid w:val="00C63DEA"/>
    <w:rPr>
      <w:sz w:val="20"/>
    </w:rPr>
  </w:style>
  <w:style w:type="character" w:customStyle="1" w:styleId="FootnoteTextChar3">
    <w:name w:val="Footnote Text Char3"/>
    <w:aliases w:val="Footnote Text Char2 Char,Footnote Text Char1 Char1 Char,Footnote Text Char2 Char Char Char,Footnote Text Char1 Char Char Char Char,Footnote Text Char2 Char Char Char Char Char,Footnote Text Char1 Char1 Char Char Char Char Char"/>
    <w:link w:val="FootnoteText"/>
    <w:locked/>
    <w:rsid w:val="00F961B7"/>
    <w:rPr>
      <w:rFonts w:cs="Times New Roman"/>
      <w:sz w:val="20"/>
      <w:szCs w:val="20"/>
    </w:rPr>
  </w:style>
  <w:style w:type="character" w:styleId="FootnoteReference">
    <w:name w:val="footnote reference"/>
    <w:aliases w:val="Appel note de bas de p,Style 13,Style 12,(NECG) Footnote Reference,Style 124,fr,o,Style 3,FR,Style 17,Footnote Reference/,Style 6,Style 7,Footnote Reference1,Style 34,Style 4,Style 9"/>
    <w:rsid w:val="00C63DEA"/>
    <w:rPr>
      <w:rFonts w:cs="Times New Roman"/>
      <w:vertAlign w:val="superscript"/>
    </w:rPr>
  </w:style>
  <w:style w:type="paragraph" w:styleId="Header">
    <w:name w:val="header"/>
    <w:aliases w:val="Header-Even,Header Char2 Char,Header Char1 Char Char,Header Char Char Char Char,h Char Char Char,B&amp;D Header Char Char Char,Header Char Char1 Char,h Char1 Char,B&amp;D Header Char1 Char,h Char,B&amp;D Header Char,Header Char Char,h,B&amp;D Header,Header Char1"/>
    <w:basedOn w:val="Normal"/>
    <w:link w:val="HeaderChar"/>
    <w:rsid w:val="00C63DEA"/>
    <w:pPr>
      <w:tabs>
        <w:tab w:val="center" w:pos="4320"/>
        <w:tab w:val="right" w:pos="8640"/>
      </w:tabs>
    </w:pPr>
  </w:style>
  <w:style w:type="character" w:customStyle="1" w:styleId="HeaderChar">
    <w:name w:val="Header Char"/>
    <w:aliases w:val="Header-Even Char,Header Char2 Char Char,Header Char1 Char Char Char,Header Char Char Char Char Char,h Char Char Char Char,B&amp;D Header Char Char Char Char,Header Char Char1 Char Char,h Char1 Char Char,B&amp;D Header Char1 Char Char,h Char Char"/>
    <w:link w:val="Header"/>
    <w:locked/>
    <w:rsid w:val="00F961B7"/>
    <w:rPr>
      <w:rFonts w:cs="Times New Roman"/>
      <w:sz w:val="20"/>
      <w:szCs w:val="20"/>
    </w:rPr>
  </w:style>
  <w:style w:type="paragraph" w:styleId="Footer">
    <w:name w:val="footer"/>
    <w:basedOn w:val="Normal"/>
    <w:link w:val="FooterChar"/>
    <w:rsid w:val="00C63DEA"/>
    <w:pPr>
      <w:tabs>
        <w:tab w:val="center" w:pos="4320"/>
        <w:tab w:val="right" w:pos="8640"/>
      </w:tabs>
    </w:pPr>
  </w:style>
  <w:style w:type="character" w:customStyle="1" w:styleId="FooterChar">
    <w:name w:val="Footer Char"/>
    <w:link w:val="Footer"/>
    <w:locked/>
    <w:rsid w:val="00F961B7"/>
    <w:rPr>
      <w:rFonts w:cs="Times New Roman"/>
      <w:sz w:val="20"/>
      <w:szCs w:val="20"/>
    </w:rPr>
  </w:style>
  <w:style w:type="paragraph" w:styleId="Title">
    <w:name w:val="Title"/>
    <w:basedOn w:val="Normal"/>
    <w:link w:val="TitleChar"/>
    <w:qFormat/>
    <w:rsid w:val="00C63DEA"/>
    <w:pPr>
      <w:jc w:val="center"/>
    </w:pPr>
    <w:rPr>
      <w:b/>
      <w:sz w:val="32"/>
    </w:rPr>
  </w:style>
  <w:style w:type="character" w:customStyle="1" w:styleId="TitleChar">
    <w:name w:val="Title Char"/>
    <w:link w:val="Title"/>
    <w:locked/>
    <w:rsid w:val="00F961B7"/>
    <w:rPr>
      <w:rFonts w:ascii="Cambria" w:hAnsi="Cambria" w:cs="Times New Roman"/>
      <w:b/>
      <w:bCs/>
      <w:kern w:val="28"/>
      <w:sz w:val="32"/>
      <w:szCs w:val="32"/>
    </w:rPr>
  </w:style>
  <w:style w:type="paragraph" w:styleId="BodyText">
    <w:name w:val="Body Text"/>
    <w:basedOn w:val="Normal"/>
    <w:link w:val="BodyTextChar"/>
    <w:qFormat/>
    <w:rsid w:val="00C63DEA"/>
    <w:pPr>
      <w:widowControl w:val="0"/>
      <w:overflowPunct w:val="0"/>
      <w:autoSpaceDE w:val="0"/>
      <w:autoSpaceDN w:val="0"/>
      <w:adjustRightInd w:val="0"/>
      <w:textAlignment w:val="baseline"/>
    </w:pPr>
    <w:rPr>
      <w:smallCaps/>
      <w:sz w:val="28"/>
    </w:rPr>
  </w:style>
  <w:style w:type="character" w:customStyle="1" w:styleId="BodyTextChar">
    <w:name w:val="Body Text Char"/>
    <w:link w:val="BodyText"/>
    <w:locked/>
    <w:rsid w:val="00F961B7"/>
    <w:rPr>
      <w:rFonts w:cs="Times New Roman"/>
      <w:sz w:val="20"/>
      <w:szCs w:val="20"/>
    </w:rPr>
  </w:style>
  <w:style w:type="paragraph" w:styleId="BodyTextIndent">
    <w:name w:val="Body Text Indent"/>
    <w:basedOn w:val="Normal"/>
    <w:link w:val="BodyTextIndentChar"/>
    <w:rsid w:val="00C63DEA"/>
    <w:pPr>
      <w:widowControl w:val="0"/>
      <w:overflowPunct w:val="0"/>
      <w:autoSpaceDE w:val="0"/>
      <w:autoSpaceDN w:val="0"/>
      <w:adjustRightInd w:val="0"/>
      <w:ind w:left="1800"/>
      <w:jc w:val="both"/>
      <w:textAlignment w:val="baseline"/>
    </w:pPr>
    <w:rPr>
      <w:sz w:val="22"/>
    </w:rPr>
  </w:style>
  <w:style w:type="character" w:customStyle="1" w:styleId="BodyTextIndentChar">
    <w:name w:val="Body Text Indent Char"/>
    <w:link w:val="BodyTextIndent"/>
    <w:locked/>
    <w:rsid w:val="00F961B7"/>
    <w:rPr>
      <w:rFonts w:cs="Times New Roman"/>
      <w:sz w:val="20"/>
      <w:szCs w:val="20"/>
    </w:rPr>
  </w:style>
  <w:style w:type="paragraph" w:styleId="CommentSubject">
    <w:name w:val="annotation subject"/>
    <w:basedOn w:val="CommentText"/>
    <w:next w:val="CommentText"/>
    <w:link w:val="CommentSubjectChar"/>
    <w:semiHidden/>
    <w:rsid w:val="00C63DEA"/>
    <w:rPr>
      <w:b/>
      <w:bCs/>
    </w:rPr>
  </w:style>
  <w:style w:type="character" w:customStyle="1" w:styleId="CommentSubjectChar">
    <w:name w:val="Comment Subject Char"/>
    <w:link w:val="CommentSubject"/>
    <w:semiHidden/>
    <w:locked/>
    <w:rsid w:val="00F961B7"/>
    <w:rPr>
      <w:rFonts w:cs="Times New Roman"/>
      <w:b/>
      <w:bCs/>
      <w:sz w:val="20"/>
      <w:szCs w:val="20"/>
    </w:rPr>
  </w:style>
  <w:style w:type="paragraph" w:styleId="PlainText">
    <w:name w:val="Plain Text"/>
    <w:basedOn w:val="Normal"/>
    <w:link w:val="PlainTextChar"/>
    <w:rsid w:val="00C63DEA"/>
    <w:rPr>
      <w:rFonts w:ascii="Courier New" w:hAnsi="Courier New" w:cs="Courier New"/>
      <w:sz w:val="20"/>
    </w:rPr>
  </w:style>
  <w:style w:type="character" w:customStyle="1" w:styleId="PlainTextChar">
    <w:name w:val="Plain Text Char"/>
    <w:link w:val="PlainText"/>
    <w:locked/>
    <w:rsid w:val="00F961B7"/>
    <w:rPr>
      <w:rFonts w:ascii="Courier New" w:hAnsi="Courier New" w:cs="Courier New"/>
      <w:sz w:val="20"/>
      <w:szCs w:val="20"/>
    </w:rPr>
  </w:style>
  <w:style w:type="paragraph" w:customStyle="1" w:styleId="ParaNumChar">
    <w:name w:val="ParaNum Char"/>
    <w:basedOn w:val="Normal"/>
    <w:rsid w:val="00C63DEA"/>
    <w:pPr>
      <w:numPr>
        <w:numId w:val="5"/>
      </w:numPr>
      <w:spacing w:after="240"/>
    </w:pPr>
    <w:rPr>
      <w:kern w:val="28"/>
    </w:rPr>
  </w:style>
  <w:style w:type="paragraph" w:customStyle="1" w:styleId="StyleParaNumChar11ptCharChar">
    <w:name w:val="Style ParaNum Char + 11 pt Char Char"/>
    <w:basedOn w:val="ParaNumChar"/>
    <w:rsid w:val="00C63DEA"/>
    <w:pPr>
      <w:tabs>
        <w:tab w:val="left" w:pos="720"/>
        <w:tab w:val="clear" w:pos="990"/>
      </w:tabs>
      <w:ind w:left="0" w:firstLine="360"/>
    </w:pPr>
    <w:rPr>
      <w:sz w:val="22"/>
    </w:rPr>
  </w:style>
  <w:style w:type="paragraph" w:customStyle="1" w:styleId="factsbody">
    <w:name w:val="factsbody"/>
    <w:basedOn w:val="Normal"/>
    <w:rsid w:val="00C63DEA"/>
    <w:pPr>
      <w:spacing w:before="100" w:beforeAutospacing="1" w:after="100" w:afterAutospacing="1"/>
    </w:pPr>
    <w:rPr>
      <w:rFonts w:ascii="Arial" w:hAnsi="Arial" w:cs="Arial"/>
      <w:color w:val="000000"/>
      <w:sz w:val="22"/>
      <w:szCs w:val="22"/>
    </w:rPr>
  </w:style>
  <w:style w:type="character" w:styleId="Strong">
    <w:name w:val="Strong"/>
    <w:qFormat/>
    <w:rsid w:val="00C63DEA"/>
    <w:rPr>
      <w:rFonts w:cs="Times New Roman"/>
      <w:b/>
      <w:bCs/>
    </w:rPr>
  </w:style>
  <w:style w:type="paragraph" w:customStyle="1" w:styleId="StyleParaNumChar11ptChar">
    <w:name w:val="Style ParaNum Char + 11 pt Char"/>
    <w:basedOn w:val="ParaNumChar"/>
    <w:rsid w:val="00C63DEA"/>
    <w:pPr>
      <w:tabs>
        <w:tab w:val="left" w:pos="720"/>
        <w:tab w:val="clear" w:pos="990"/>
      </w:tabs>
      <w:ind w:left="0" w:firstLine="360"/>
    </w:pPr>
    <w:rPr>
      <w:sz w:val="22"/>
    </w:rPr>
  </w:style>
  <w:style w:type="paragraph" w:styleId="BodyText2">
    <w:name w:val="Body Text 2"/>
    <w:basedOn w:val="Normal"/>
    <w:link w:val="BodyText2Char"/>
    <w:rsid w:val="00C63DEA"/>
    <w:pPr>
      <w:autoSpaceDE w:val="0"/>
      <w:autoSpaceDN w:val="0"/>
      <w:adjustRightInd w:val="0"/>
    </w:pPr>
    <w:rPr>
      <w:sz w:val="22"/>
      <w:szCs w:val="22"/>
    </w:rPr>
  </w:style>
  <w:style w:type="character" w:customStyle="1" w:styleId="BodyText2Char">
    <w:name w:val="Body Text 2 Char"/>
    <w:link w:val="BodyText2"/>
    <w:locked/>
    <w:rsid w:val="00F961B7"/>
    <w:rPr>
      <w:rFonts w:cs="Times New Roman"/>
      <w:sz w:val="20"/>
      <w:szCs w:val="20"/>
    </w:rPr>
  </w:style>
  <w:style w:type="paragraph" w:styleId="BodyText3">
    <w:name w:val="Body Text 3"/>
    <w:basedOn w:val="Normal"/>
    <w:link w:val="BodyText3Char"/>
    <w:rsid w:val="00C63DEA"/>
    <w:pPr>
      <w:autoSpaceDE w:val="0"/>
      <w:autoSpaceDN w:val="0"/>
      <w:adjustRightInd w:val="0"/>
      <w:jc w:val="both"/>
    </w:pPr>
    <w:rPr>
      <w:bCs/>
      <w:iCs/>
      <w:color w:val="000000"/>
      <w:sz w:val="22"/>
      <w:szCs w:val="22"/>
    </w:rPr>
  </w:style>
  <w:style w:type="character" w:customStyle="1" w:styleId="BodyText3Char">
    <w:name w:val="Body Text 3 Char"/>
    <w:link w:val="BodyText3"/>
    <w:locked/>
    <w:rsid w:val="00F961B7"/>
    <w:rPr>
      <w:rFonts w:cs="Times New Roman"/>
      <w:sz w:val="16"/>
      <w:szCs w:val="16"/>
    </w:rPr>
  </w:style>
  <w:style w:type="paragraph" w:styleId="BodyTextIndent2">
    <w:name w:val="Body Text Indent 2"/>
    <w:basedOn w:val="Normal"/>
    <w:link w:val="BodyTextIndent2Char"/>
    <w:rsid w:val="00C63DEA"/>
    <w:pPr>
      <w:spacing w:after="120" w:line="480" w:lineRule="auto"/>
      <w:ind w:left="360"/>
    </w:pPr>
  </w:style>
  <w:style w:type="character" w:customStyle="1" w:styleId="BodyTextIndent2Char">
    <w:name w:val="Body Text Indent 2 Char"/>
    <w:link w:val="BodyTextIndent2"/>
    <w:locked/>
    <w:rsid w:val="00F961B7"/>
    <w:rPr>
      <w:rFonts w:cs="Times New Roman"/>
      <w:sz w:val="20"/>
      <w:szCs w:val="20"/>
    </w:rPr>
  </w:style>
  <w:style w:type="paragraph" w:styleId="TOC1">
    <w:name w:val="toc 1"/>
    <w:basedOn w:val="Normal"/>
    <w:next w:val="Normal"/>
    <w:autoRedefine/>
    <w:uiPriority w:val="39"/>
    <w:qFormat/>
    <w:rsid w:val="00B14CD6"/>
    <w:pPr>
      <w:tabs>
        <w:tab w:val="left" w:pos="480"/>
        <w:tab w:val="right" w:leader="dot" w:pos="9350"/>
      </w:tabs>
      <w:spacing w:before="120"/>
    </w:pPr>
    <w:rPr>
      <w:rFonts w:cs="Calibri"/>
      <w:bCs/>
      <w:iCs/>
      <w:noProof/>
      <w:sz w:val="28"/>
      <w:szCs w:val="24"/>
    </w:rPr>
  </w:style>
  <w:style w:type="paragraph" w:customStyle="1" w:styleId="EYTagline">
    <w:name w:val="EY Tagline"/>
    <w:basedOn w:val="Normal"/>
    <w:next w:val="Normal"/>
    <w:rsid w:val="00C63DEA"/>
    <w:pPr>
      <w:widowControl w:val="0"/>
      <w:overflowPunct w:val="0"/>
      <w:autoSpaceDE w:val="0"/>
      <w:autoSpaceDN w:val="0"/>
      <w:adjustRightInd w:val="0"/>
      <w:jc w:val="both"/>
      <w:textAlignment w:val="baseline"/>
    </w:pPr>
    <w:rPr>
      <w:rFonts w:ascii="EY Tagline" w:hAnsi="EY Tagline"/>
      <w:sz w:val="92"/>
    </w:rPr>
  </w:style>
  <w:style w:type="paragraph" w:customStyle="1" w:styleId="FlagServiceLine">
    <w:name w:val="Flag Service Line"/>
    <w:basedOn w:val="Normal"/>
    <w:rsid w:val="00C63DEA"/>
    <w:pPr>
      <w:widowControl w:val="0"/>
      <w:overflowPunct w:val="0"/>
      <w:autoSpaceDE w:val="0"/>
      <w:autoSpaceDN w:val="0"/>
      <w:adjustRightInd w:val="0"/>
      <w:textAlignment w:val="baseline"/>
    </w:pPr>
    <w:rPr>
      <w:rFonts w:cs="Arial"/>
      <w:smallCaps/>
      <w:sz w:val="26"/>
    </w:rPr>
  </w:style>
  <w:style w:type="paragraph" w:customStyle="1" w:styleId="FlagSub-ServiceLine">
    <w:name w:val="Flag Sub-Service Line"/>
    <w:basedOn w:val="Normal"/>
    <w:rsid w:val="00C63DEA"/>
    <w:pPr>
      <w:keepNext/>
      <w:widowControl w:val="0"/>
      <w:overflowPunct w:val="0"/>
      <w:autoSpaceDE w:val="0"/>
      <w:autoSpaceDN w:val="0"/>
      <w:adjustRightInd w:val="0"/>
      <w:textAlignment w:val="baseline"/>
      <w:outlineLvl w:val="0"/>
    </w:pPr>
    <w:rPr>
      <w:rFonts w:cs="Arial"/>
      <w:smallCaps/>
      <w:sz w:val="26"/>
    </w:rPr>
  </w:style>
  <w:style w:type="paragraph" w:customStyle="1" w:styleId="ImageArea">
    <w:name w:val="Image Area"/>
    <w:basedOn w:val="Heading4"/>
    <w:rsid w:val="00C63DEA"/>
    <w:pPr>
      <w:ind w:left="360"/>
    </w:pPr>
    <w:rPr>
      <w:color w:val="FF9900"/>
    </w:rPr>
  </w:style>
  <w:style w:type="paragraph" w:customStyle="1" w:styleId="Leader">
    <w:name w:val="Leader"/>
    <w:basedOn w:val="Heading2"/>
    <w:rsid w:val="00C63DEA"/>
    <w:pPr>
      <w:widowControl w:val="0"/>
      <w:overflowPunct w:val="0"/>
      <w:spacing w:before="160"/>
      <w:ind w:left="245"/>
      <w:jc w:val="left"/>
      <w:textAlignment w:val="baseline"/>
    </w:pPr>
    <w:rPr>
      <w:rFonts w:ascii="Times New Roman" w:hAnsi="Times New Roman" w:cs="Times New Roman"/>
      <w:b w:val="0"/>
      <w:bCs w:val="0"/>
      <w:color w:val="FFFFFF"/>
      <w:sz w:val="26"/>
      <w:szCs w:val="20"/>
    </w:rPr>
  </w:style>
  <w:style w:type="paragraph" w:customStyle="1" w:styleId="BrandingBar">
    <w:name w:val="Branding Bar"/>
    <w:basedOn w:val="Normal"/>
    <w:rsid w:val="00C63DEA"/>
    <w:pPr>
      <w:widowControl w:val="0"/>
      <w:overflowPunct w:val="0"/>
      <w:autoSpaceDE w:val="0"/>
      <w:autoSpaceDN w:val="0"/>
      <w:adjustRightInd w:val="0"/>
      <w:jc w:val="both"/>
      <w:textAlignment w:val="baseline"/>
    </w:pPr>
  </w:style>
  <w:style w:type="paragraph" w:customStyle="1" w:styleId="Copyright">
    <w:name w:val="Copyright"/>
    <w:basedOn w:val="Normal"/>
    <w:rsid w:val="00C63DEA"/>
    <w:pPr>
      <w:widowControl w:val="0"/>
      <w:overflowPunct w:val="0"/>
      <w:autoSpaceDE w:val="0"/>
      <w:autoSpaceDN w:val="0"/>
      <w:adjustRightInd w:val="0"/>
      <w:textAlignment w:val="baseline"/>
    </w:pPr>
    <w:rPr>
      <w:i/>
      <w:iCs/>
      <w:color w:val="FFFFFF"/>
      <w:sz w:val="26"/>
    </w:rPr>
  </w:style>
  <w:style w:type="paragraph" w:customStyle="1" w:styleId="EYCoverSubtitle">
    <w:name w:val="EY Cover Subtitle"/>
    <w:basedOn w:val="Heading2"/>
    <w:rsid w:val="00C63DEA"/>
    <w:pPr>
      <w:widowControl w:val="0"/>
      <w:overflowPunct w:val="0"/>
      <w:ind w:left="187"/>
      <w:jc w:val="left"/>
      <w:textAlignment w:val="baseline"/>
    </w:pPr>
    <w:rPr>
      <w:rFonts w:ascii="EY Gothic Cond Medium" w:hAnsi="EY Gothic Cond Medium"/>
      <w:b w:val="0"/>
      <w:bCs w:val="0"/>
      <w:color w:val="auto"/>
      <w:sz w:val="64"/>
      <w:szCs w:val="20"/>
    </w:rPr>
  </w:style>
  <w:style w:type="paragraph" w:customStyle="1" w:styleId="EYCoverTitle">
    <w:name w:val="EY Cover Title"/>
    <w:basedOn w:val="Normal"/>
    <w:rsid w:val="00C63DEA"/>
    <w:pPr>
      <w:widowControl w:val="0"/>
      <w:overflowPunct w:val="0"/>
      <w:autoSpaceDE w:val="0"/>
      <w:autoSpaceDN w:val="0"/>
      <w:adjustRightInd w:val="0"/>
      <w:spacing w:line="1240" w:lineRule="atLeast"/>
      <w:ind w:left="144"/>
      <w:textAlignment w:val="baseline"/>
    </w:pPr>
    <w:rPr>
      <w:rFonts w:ascii="EY Gothic Cond Demi" w:hAnsi="EY Gothic Cond Demi" w:cs="Arial"/>
      <w:color w:val="000000"/>
      <w:sz w:val="124"/>
    </w:rPr>
  </w:style>
  <w:style w:type="paragraph" w:customStyle="1" w:styleId="EY">
    <w:name w:val="EY"/>
    <w:basedOn w:val="Heading5"/>
    <w:rsid w:val="00C63DEA"/>
    <w:pPr>
      <w:keepNext/>
      <w:widowControl w:val="0"/>
      <w:overflowPunct w:val="0"/>
      <w:autoSpaceDE w:val="0"/>
      <w:autoSpaceDN w:val="0"/>
      <w:adjustRightInd w:val="0"/>
      <w:spacing w:before="0" w:after="0"/>
      <w:jc w:val="both"/>
      <w:textAlignment w:val="baseline"/>
    </w:pPr>
    <w:rPr>
      <w:b w:val="0"/>
      <w:bCs w:val="0"/>
      <w:smallCaps/>
      <w:color w:val="FFFFFF"/>
      <w:szCs w:val="20"/>
    </w:rPr>
  </w:style>
  <w:style w:type="paragraph" w:customStyle="1" w:styleId="www">
    <w:name w:val="www"/>
    <w:basedOn w:val="TOC1"/>
    <w:rsid w:val="00C63DEA"/>
    <w:pPr>
      <w:jc w:val="both"/>
    </w:pPr>
    <w:rPr>
      <w:smallCaps/>
      <w:noProof w:val="0"/>
    </w:rPr>
  </w:style>
  <w:style w:type="paragraph" w:customStyle="1" w:styleId="EYCover">
    <w:name w:val="EY Cover"/>
    <w:basedOn w:val="Normal"/>
    <w:rsid w:val="00C63DEA"/>
    <w:pPr>
      <w:overflowPunct w:val="0"/>
      <w:autoSpaceDE w:val="0"/>
      <w:autoSpaceDN w:val="0"/>
      <w:adjustRightInd w:val="0"/>
      <w:spacing w:after="180" w:line="260" w:lineRule="atLeast"/>
      <w:textAlignment w:val="baseline"/>
    </w:pPr>
    <w:rPr>
      <w:sz w:val="22"/>
    </w:rPr>
  </w:style>
  <w:style w:type="paragraph" w:customStyle="1" w:styleId="EYFlagSub-ServiceLine">
    <w:name w:val="EY Flag Sub-Service Line"/>
    <w:basedOn w:val="FlagSub-ServiceLine"/>
    <w:rsid w:val="00C63DEA"/>
    <w:pPr>
      <w:spacing w:after="240"/>
    </w:pPr>
    <w:rPr>
      <w:rFonts w:cs="Times New Roman"/>
    </w:rPr>
  </w:style>
  <w:style w:type="paragraph" w:customStyle="1" w:styleId="EYInstructions">
    <w:name w:val="EY Instructions"/>
    <w:basedOn w:val="Normal"/>
    <w:rsid w:val="00C63DEA"/>
    <w:pPr>
      <w:overflowPunct w:val="0"/>
      <w:autoSpaceDE w:val="0"/>
      <w:autoSpaceDN w:val="0"/>
      <w:adjustRightInd w:val="0"/>
      <w:textAlignment w:val="baseline"/>
    </w:pPr>
    <w:rPr>
      <w:bCs/>
      <w:vanish/>
      <w:color w:val="FF0000"/>
      <w:sz w:val="22"/>
    </w:rPr>
  </w:style>
  <w:style w:type="paragraph" w:customStyle="1" w:styleId="EYLETTERBODY">
    <w:name w:val="EY LETTER BODY"/>
    <w:basedOn w:val="Normal"/>
    <w:rsid w:val="00C63DEA"/>
    <w:pPr>
      <w:overflowPunct w:val="0"/>
      <w:autoSpaceDE w:val="0"/>
      <w:autoSpaceDN w:val="0"/>
      <w:adjustRightInd w:val="0"/>
      <w:spacing w:after="240"/>
      <w:textAlignment w:val="baseline"/>
    </w:pPr>
    <w:rPr>
      <w:rFonts w:eastAsia="MS Mincho"/>
      <w:sz w:val="22"/>
    </w:rPr>
  </w:style>
  <w:style w:type="paragraph" w:customStyle="1" w:styleId="EYSIGNATURE">
    <w:name w:val="EY SIGNATURE"/>
    <w:basedOn w:val="Normal"/>
    <w:rsid w:val="00C63DEA"/>
    <w:pPr>
      <w:tabs>
        <w:tab w:val="left" w:pos="4680"/>
      </w:tabs>
      <w:overflowPunct w:val="0"/>
      <w:autoSpaceDE w:val="0"/>
      <w:autoSpaceDN w:val="0"/>
      <w:adjustRightInd w:val="0"/>
      <w:textAlignment w:val="baseline"/>
    </w:pPr>
    <w:rPr>
      <w:sz w:val="22"/>
    </w:rPr>
  </w:style>
  <w:style w:type="paragraph" w:styleId="Salutation">
    <w:name w:val="Salutation"/>
    <w:basedOn w:val="Normal"/>
    <w:next w:val="Normal"/>
    <w:link w:val="SalutationChar"/>
    <w:rsid w:val="00C63DEA"/>
    <w:pPr>
      <w:tabs>
        <w:tab w:val="left" w:pos="4680"/>
      </w:tabs>
      <w:overflowPunct w:val="0"/>
      <w:autoSpaceDE w:val="0"/>
      <w:autoSpaceDN w:val="0"/>
      <w:adjustRightInd w:val="0"/>
      <w:spacing w:after="180"/>
      <w:textAlignment w:val="baseline"/>
    </w:pPr>
    <w:rPr>
      <w:sz w:val="22"/>
    </w:rPr>
  </w:style>
  <w:style w:type="character" w:customStyle="1" w:styleId="SalutationChar">
    <w:name w:val="Salutation Char"/>
    <w:link w:val="Salutation"/>
    <w:locked/>
    <w:rsid w:val="00F961B7"/>
    <w:rPr>
      <w:rFonts w:cs="Times New Roman"/>
      <w:sz w:val="20"/>
      <w:szCs w:val="20"/>
    </w:rPr>
  </w:style>
  <w:style w:type="paragraph" w:styleId="TOC2">
    <w:name w:val="toc 2"/>
    <w:basedOn w:val="Normal"/>
    <w:next w:val="Normal"/>
    <w:autoRedefine/>
    <w:uiPriority w:val="39"/>
    <w:qFormat/>
    <w:rsid w:val="00332853"/>
    <w:pPr>
      <w:tabs>
        <w:tab w:val="right" w:leader="dot" w:pos="9350"/>
      </w:tabs>
      <w:spacing w:before="120"/>
      <w:ind w:left="240"/>
    </w:pPr>
    <w:rPr>
      <w:rFonts w:cs="Calibri"/>
      <w:bCs/>
      <w:noProof/>
      <w:sz w:val="22"/>
      <w:szCs w:val="22"/>
    </w:rPr>
  </w:style>
  <w:style w:type="paragraph" w:customStyle="1" w:styleId="EYTOCHeading">
    <w:name w:val="EY TOC Heading"/>
    <w:basedOn w:val="Normal"/>
    <w:rsid w:val="00C63DEA"/>
    <w:pPr>
      <w:pageBreakBefore/>
      <w:spacing w:after="1120" w:line="600" w:lineRule="atLeast"/>
    </w:pPr>
    <w:rPr>
      <w:rFonts w:ascii="EY Gothic Cond Demi" w:hAnsi="EY Gothic Cond Demi" w:cs="Arial"/>
      <w:color w:val="4367C5"/>
      <w:kern w:val="32"/>
      <w:sz w:val="60"/>
      <w:szCs w:val="32"/>
    </w:rPr>
  </w:style>
  <w:style w:type="paragraph" w:customStyle="1" w:styleId="EYHeading1">
    <w:name w:val="EY Heading 1"/>
    <w:basedOn w:val="Heading1"/>
    <w:rsid w:val="00C63DEA"/>
    <w:pPr>
      <w:keepNext w:val="0"/>
      <w:pageBreakBefore/>
      <w:widowControl/>
      <w:overflowPunct/>
      <w:autoSpaceDE/>
      <w:autoSpaceDN/>
      <w:adjustRightInd/>
      <w:spacing w:after="1120" w:line="600" w:lineRule="atLeast"/>
      <w:jc w:val="left"/>
      <w:textAlignment w:val="auto"/>
    </w:pPr>
    <w:rPr>
      <w:rFonts w:ascii="EY Gothic Cond Demi" w:hAnsi="EY Gothic Cond Demi" w:cs="Arial"/>
      <w:smallCaps w:val="0"/>
      <w:color w:val="4367C5"/>
      <w:kern w:val="32"/>
      <w:sz w:val="60"/>
      <w:szCs w:val="32"/>
    </w:rPr>
  </w:style>
  <w:style w:type="paragraph" w:customStyle="1" w:styleId="EYHeading2">
    <w:name w:val="EY Heading 2"/>
    <w:basedOn w:val="Heading2"/>
    <w:rsid w:val="00C63DEA"/>
    <w:pPr>
      <w:autoSpaceDE/>
      <w:autoSpaceDN/>
      <w:adjustRightInd/>
      <w:spacing w:after="240" w:line="360" w:lineRule="atLeast"/>
      <w:jc w:val="left"/>
    </w:pPr>
    <w:rPr>
      <w:rFonts w:ascii="EY Gothic Cond Demi" w:hAnsi="EY Gothic Cond Demi"/>
      <w:b w:val="0"/>
      <w:bCs w:val="0"/>
      <w:color w:val="4367C5"/>
      <w:sz w:val="32"/>
      <w:szCs w:val="28"/>
    </w:rPr>
  </w:style>
  <w:style w:type="paragraph" w:customStyle="1" w:styleId="EYBodyText">
    <w:name w:val="EY Body Text"/>
    <w:basedOn w:val="Normal"/>
    <w:rsid w:val="00C63DEA"/>
    <w:pPr>
      <w:overflowPunct w:val="0"/>
      <w:autoSpaceDE w:val="0"/>
      <w:autoSpaceDN w:val="0"/>
      <w:adjustRightInd w:val="0"/>
      <w:spacing w:after="120"/>
      <w:textAlignment w:val="baseline"/>
    </w:pPr>
    <w:rPr>
      <w:rFonts w:eastAsia="MS Mincho" w:cs="Arial"/>
      <w:bCs/>
      <w:sz w:val="22"/>
    </w:rPr>
  </w:style>
  <w:style w:type="paragraph" w:customStyle="1" w:styleId="EYBulletText">
    <w:name w:val="EY Bullet Text"/>
    <w:basedOn w:val="Normal"/>
    <w:rsid w:val="00C63DEA"/>
    <w:pPr>
      <w:numPr>
        <w:ilvl w:val="1"/>
        <w:numId w:val="6"/>
      </w:numPr>
      <w:tabs>
        <w:tab w:val="clear" w:pos="2160"/>
      </w:tabs>
      <w:overflowPunct w:val="0"/>
      <w:autoSpaceDE w:val="0"/>
      <w:autoSpaceDN w:val="0"/>
      <w:adjustRightInd w:val="0"/>
      <w:spacing w:after="120"/>
      <w:ind w:left="360"/>
      <w:textAlignment w:val="baseline"/>
    </w:pPr>
    <w:rPr>
      <w:rFonts w:eastAsia="MS Mincho" w:cs="Arial"/>
      <w:bCs/>
      <w:noProof/>
      <w:sz w:val="22"/>
    </w:rPr>
  </w:style>
  <w:style w:type="paragraph" w:customStyle="1" w:styleId="EYBodySubhead">
    <w:name w:val="EY Body Subhead"/>
    <w:basedOn w:val="Heading3"/>
    <w:rsid w:val="00C63DEA"/>
    <w:pPr>
      <w:widowControl w:val="0"/>
      <w:overflowPunct w:val="0"/>
      <w:autoSpaceDE w:val="0"/>
      <w:autoSpaceDN w:val="0"/>
      <w:adjustRightInd w:val="0"/>
      <w:spacing w:after="120"/>
      <w:jc w:val="both"/>
      <w:textAlignment w:val="baseline"/>
      <w:outlineLvl w:val="9"/>
    </w:pPr>
    <w:rPr>
      <w:rFonts w:ascii="Times New Roman" w:eastAsia="MS Mincho" w:hAnsi="Times New Roman" w:cs="Times New Roman"/>
      <w:i/>
      <w:iCs/>
      <w:sz w:val="22"/>
      <w:szCs w:val="20"/>
    </w:rPr>
  </w:style>
  <w:style w:type="paragraph" w:customStyle="1" w:styleId="EYResumeNameTitle">
    <w:name w:val="EY Resume Name/Title"/>
    <w:basedOn w:val="Normal"/>
    <w:rsid w:val="00C63DEA"/>
    <w:pPr>
      <w:overflowPunct w:val="0"/>
      <w:autoSpaceDE w:val="0"/>
      <w:autoSpaceDN w:val="0"/>
      <w:adjustRightInd w:val="0"/>
      <w:spacing w:after="120"/>
      <w:textAlignment w:val="baseline"/>
    </w:pPr>
    <w:rPr>
      <w:rFonts w:ascii="EY Gothic Cond Demi" w:hAnsi="EY Gothic Cond Demi" w:cs="Arial"/>
      <w:bCs/>
      <w:color w:val="4367C5"/>
      <w:sz w:val="28"/>
    </w:rPr>
  </w:style>
  <w:style w:type="paragraph" w:customStyle="1" w:styleId="TrackNo">
    <w:name w:val="Track No."/>
    <w:basedOn w:val="Normal"/>
    <w:rsid w:val="00C63DEA"/>
    <w:pPr>
      <w:tabs>
        <w:tab w:val="right" w:pos="8640"/>
      </w:tabs>
      <w:spacing w:line="240" w:lineRule="exact"/>
      <w:jc w:val="right"/>
    </w:pPr>
    <w:rPr>
      <w:sz w:val="14"/>
    </w:rPr>
  </w:style>
  <w:style w:type="paragraph" w:customStyle="1" w:styleId="EYTableHeadings">
    <w:name w:val="EY Table Headings"/>
    <w:basedOn w:val="Normal"/>
    <w:rsid w:val="00C63DEA"/>
    <w:pPr>
      <w:overflowPunct w:val="0"/>
      <w:autoSpaceDE w:val="0"/>
      <w:autoSpaceDN w:val="0"/>
      <w:adjustRightInd w:val="0"/>
      <w:spacing w:before="80" w:after="80" w:line="280" w:lineRule="atLeast"/>
      <w:ind w:right="115"/>
      <w:jc w:val="center"/>
      <w:textAlignment w:val="baseline"/>
    </w:pPr>
    <w:rPr>
      <w:rFonts w:ascii="EY Gothic Cond Demi" w:hAnsi="EY Gothic Cond Demi" w:cs="Arial"/>
      <w:bCs/>
      <w:color w:val="FFFFFF"/>
      <w:sz w:val="28"/>
    </w:rPr>
  </w:style>
  <w:style w:type="paragraph" w:customStyle="1" w:styleId="EYTableSubhead">
    <w:name w:val="EY Table Subhead"/>
    <w:basedOn w:val="Normal"/>
    <w:rsid w:val="00C63DEA"/>
    <w:pPr>
      <w:numPr>
        <w:ilvl w:val="12"/>
      </w:numPr>
      <w:overflowPunct w:val="0"/>
      <w:autoSpaceDE w:val="0"/>
      <w:autoSpaceDN w:val="0"/>
      <w:adjustRightInd w:val="0"/>
      <w:spacing w:before="80" w:after="80" w:line="260" w:lineRule="atLeast"/>
      <w:ind w:right="115"/>
      <w:textAlignment w:val="baseline"/>
    </w:pPr>
    <w:rPr>
      <w:rFonts w:ascii="EY Gothic Cond Medium" w:eastAsia="MS Mincho" w:hAnsi="EY Gothic Cond Medium" w:cs="Arial"/>
      <w:b/>
      <w:sz w:val="22"/>
    </w:rPr>
  </w:style>
  <w:style w:type="paragraph" w:customStyle="1" w:styleId="EYTableText">
    <w:name w:val="EY Table Text"/>
    <w:basedOn w:val="Normal"/>
    <w:rsid w:val="00C63DEA"/>
    <w:pPr>
      <w:overflowPunct w:val="0"/>
      <w:autoSpaceDE w:val="0"/>
      <w:autoSpaceDN w:val="0"/>
      <w:adjustRightInd w:val="0"/>
      <w:spacing w:before="80" w:after="40" w:line="220" w:lineRule="atLeast"/>
      <w:textAlignment w:val="baseline"/>
    </w:pPr>
    <w:rPr>
      <w:rFonts w:eastAsia="MS Mincho" w:cs="Arial"/>
      <w:bCs/>
      <w:sz w:val="20"/>
    </w:rPr>
  </w:style>
  <w:style w:type="paragraph" w:customStyle="1" w:styleId="EYTableBullet">
    <w:name w:val="EY Table Bullet"/>
    <w:basedOn w:val="Normal"/>
    <w:rsid w:val="00C63DEA"/>
    <w:pPr>
      <w:numPr>
        <w:numId w:val="7"/>
      </w:numPr>
      <w:overflowPunct w:val="0"/>
      <w:autoSpaceDE w:val="0"/>
      <w:autoSpaceDN w:val="0"/>
      <w:adjustRightInd w:val="0"/>
      <w:spacing w:before="80" w:after="80"/>
      <w:textAlignment w:val="baseline"/>
    </w:pPr>
    <w:rPr>
      <w:rFonts w:eastAsia="MS Mincho"/>
      <w:sz w:val="18"/>
    </w:rPr>
  </w:style>
  <w:style w:type="paragraph" w:styleId="TOC3">
    <w:name w:val="toc 3"/>
    <w:basedOn w:val="Normal"/>
    <w:next w:val="Normal"/>
    <w:autoRedefine/>
    <w:uiPriority w:val="39"/>
    <w:qFormat/>
    <w:rsid w:val="00B14CD6"/>
    <w:pPr>
      <w:tabs>
        <w:tab w:val="right" w:leader="dot" w:pos="9350"/>
      </w:tabs>
      <w:ind w:left="480"/>
    </w:pPr>
    <w:rPr>
      <w:rFonts w:cs="Calibri"/>
      <w:noProof/>
      <w:sz w:val="22"/>
    </w:rPr>
  </w:style>
  <w:style w:type="paragraph" w:customStyle="1" w:styleId="EYLetterDate">
    <w:name w:val="EY Letter Date"/>
    <w:basedOn w:val="EYLETTERBODY"/>
    <w:rsid w:val="00C63DEA"/>
    <w:pPr>
      <w:spacing w:after="720"/>
    </w:pPr>
  </w:style>
  <w:style w:type="paragraph" w:styleId="TOC4">
    <w:name w:val="toc 4"/>
    <w:basedOn w:val="Normal"/>
    <w:next w:val="Normal"/>
    <w:autoRedefine/>
    <w:semiHidden/>
    <w:rsid w:val="00C63DEA"/>
    <w:pPr>
      <w:ind w:left="720"/>
    </w:pPr>
    <w:rPr>
      <w:rFonts w:ascii="Calibri" w:hAnsi="Calibri" w:cs="Calibri"/>
      <w:sz w:val="20"/>
    </w:rPr>
  </w:style>
  <w:style w:type="paragraph" w:styleId="TOC5">
    <w:name w:val="toc 5"/>
    <w:basedOn w:val="Normal"/>
    <w:next w:val="Normal"/>
    <w:autoRedefine/>
    <w:uiPriority w:val="39"/>
    <w:rsid w:val="00C63DEA"/>
    <w:pPr>
      <w:ind w:left="960"/>
    </w:pPr>
    <w:rPr>
      <w:rFonts w:ascii="Calibri" w:hAnsi="Calibri" w:cs="Calibri"/>
      <w:sz w:val="20"/>
    </w:rPr>
  </w:style>
  <w:style w:type="paragraph" w:styleId="TOC6">
    <w:name w:val="toc 6"/>
    <w:basedOn w:val="Normal"/>
    <w:next w:val="Normal"/>
    <w:autoRedefine/>
    <w:semiHidden/>
    <w:rsid w:val="00C63DEA"/>
    <w:pPr>
      <w:ind w:left="1200"/>
    </w:pPr>
    <w:rPr>
      <w:rFonts w:ascii="Calibri" w:hAnsi="Calibri" w:cs="Calibri"/>
      <w:sz w:val="20"/>
    </w:rPr>
  </w:style>
  <w:style w:type="paragraph" w:styleId="TOC7">
    <w:name w:val="toc 7"/>
    <w:basedOn w:val="Normal"/>
    <w:next w:val="Normal"/>
    <w:autoRedefine/>
    <w:semiHidden/>
    <w:rsid w:val="00C63DEA"/>
    <w:pPr>
      <w:ind w:left="1440"/>
    </w:pPr>
    <w:rPr>
      <w:rFonts w:ascii="Calibri" w:hAnsi="Calibri" w:cs="Calibri"/>
      <w:sz w:val="20"/>
    </w:rPr>
  </w:style>
  <w:style w:type="paragraph" w:styleId="TOC8">
    <w:name w:val="toc 8"/>
    <w:basedOn w:val="Normal"/>
    <w:next w:val="Normal"/>
    <w:autoRedefine/>
    <w:uiPriority w:val="39"/>
    <w:rsid w:val="00C63DEA"/>
    <w:pPr>
      <w:ind w:left="1680"/>
    </w:pPr>
    <w:rPr>
      <w:rFonts w:ascii="Calibri" w:hAnsi="Calibri" w:cs="Calibri"/>
      <w:sz w:val="20"/>
    </w:rPr>
  </w:style>
  <w:style w:type="paragraph" w:styleId="TOC9">
    <w:name w:val="toc 9"/>
    <w:basedOn w:val="Normal"/>
    <w:next w:val="Normal"/>
    <w:autoRedefine/>
    <w:uiPriority w:val="39"/>
    <w:rsid w:val="00C63DEA"/>
    <w:pPr>
      <w:ind w:left="1920"/>
    </w:pPr>
    <w:rPr>
      <w:rFonts w:ascii="Calibri" w:hAnsi="Calibri" w:cs="Calibri"/>
      <w:sz w:val="20"/>
    </w:rPr>
  </w:style>
  <w:style w:type="paragraph" w:customStyle="1" w:styleId="LETTERBODY">
    <w:name w:val="LETTER BODY"/>
    <w:basedOn w:val="Normal"/>
    <w:rsid w:val="00C63DEA"/>
    <w:pPr>
      <w:overflowPunct w:val="0"/>
      <w:autoSpaceDE w:val="0"/>
      <w:autoSpaceDN w:val="0"/>
      <w:adjustRightInd w:val="0"/>
      <w:spacing w:after="180"/>
      <w:jc w:val="both"/>
      <w:textAlignment w:val="baseline"/>
    </w:pPr>
    <w:rPr>
      <w:rFonts w:ascii="Times" w:hAnsi="Times"/>
      <w:sz w:val="22"/>
    </w:rPr>
  </w:style>
  <w:style w:type="paragraph" w:customStyle="1" w:styleId="EYBulletIndent">
    <w:name w:val="EY Bullet Indent"/>
    <w:basedOn w:val="EYBulletText"/>
    <w:rsid w:val="00C63DEA"/>
    <w:pPr>
      <w:numPr>
        <w:ilvl w:val="0"/>
        <w:numId w:val="0"/>
      </w:numPr>
      <w:ind w:left="344"/>
    </w:pPr>
  </w:style>
  <w:style w:type="paragraph" w:customStyle="1" w:styleId="EYBulletText2">
    <w:name w:val="EY Bullet Text 2"/>
    <w:basedOn w:val="EYBulletText"/>
    <w:rsid w:val="00C63DEA"/>
    <w:pPr>
      <w:numPr>
        <w:numId w:val="8"/>
      </w:numPr>
      <w:tabs>
        <w:tab w:val="num" w:pos="1440"/>
        <w:tab w:val="clear" w:pos="2160"/>
      </w:tabs>
      <w:ind w:left="731"/>
    </w:pPr>
  </w:style>
  <w:style w:type="paragraph" w:customStyle="1" w:styleId="EYBulletTextIndent2">
    <w:name w:val="EY Bullet Text Indent 2"/>
    <w:basedOn w:val="Normal"/>
    <w:rsid w:val="00C63DEA"/>
    <w:pPr>
      <w:widowControl w:val="0"/>
      <w:overflowPunct w:val="0"/>
      <w:autoSpaceDE w:val="0"/>
      <w:autoSpaceDN w:val="0"/>
      <w:adjustRightInd w:val="0"/>
      <w:spacing w:after="120"/>
      <w:ind w:left="731"/>
      <w:jc w:val="both"/>
      <w:textAlignment w:val="baseline"/>
    </w:pPr>
    <w:rPr>
      <w:sz w:val="22"/>
    </w:rPr>
  </w:style>
  <w:style w:type="paragraph" w:customStyle="1" w:styleId="Footer-Title">
    <w:name w:val="Footer-Title"/>
    <w:basedOn w:val="Footer"/>
    <w:rsid w:val="00C63DEA"/>
    <w:pPr>
      <w:tabs>
        <w:tab w:val="clear" w:pos="4320"/>
        <w:tab w:val="clear" w:pos="8640"/>
      </w:tabs>
      <w:overflowPunct w:val="0"/>
      <w:autoSpaceDE w:val="0"/>
      <w:autoSpaceDN w:val="0"/>
      <w:adjustRightInd w:val="0"/>
      <w:jc w:val="center"/>
      <w:textAlignment w:val="baseline"/>
    </w:pPr>
    <w:rPr>
      <w:smallCaps/>
      <w:sz w:val="22"/>
    </w:rPr>
  </w:style>
  <w:style w:type="paragraph" w:customStyle="1" w:styleId="EYResumeText">
    <w:name w:val="EY Resume Text"/>
    <w:basedOn w:val="Normal"/>
    <w:rsid w:val="00C63DEA"/>
    <w:pPr>
      <w:overflowPunct w:val="0"/>
      <w:autoSpaceDE w:val="0"/>
      <w:autoSpaceDN w:val="0"/>
      <w:adjustRightInd w:val="0"/>
      <w:spacing w:after="480" w:line="260" w:lineRule="atLeast"/>
      <w:textAlignment w:val="baseline"/>
    </w:pPr>
    <w:rPr>
      <w:rFonts w:eastAsia="MS Mincho" w:cs="Arial"/>
      <w:bCs/>
      <w:sz w:val="22"/>
    </w:rPr>
  </w:style>
  <w:style w:type="paragraph" w:customStyle="1" w:styleId="EYClientList">
    <w:name w:val="EY Client List"/>
    <w:basedOn w:val="EYBodyText"/>
    <w:rsid w:val="00C63DEA"/>
    <w:pPr>
      <w:spacing w:before="40" w:after="40" w:line="240" w:lineRule="atLeast"/>
    </w:pPr>
    <w:rPr>
      <w:rFonts w:ascii="EY Gothic Comp BookPS" w:hAnsi="EY Gothic Comp BookPS"/>
    </w:rPr>
  </w:style>
  <w:style w:type="paragraph" w:customStyle="1" w:styleId="EYQuotes">
    <w:name w:val="EY Quotes"/>
    <w:basedOn w:val="EYBodyText"/>
    <w:rsid w:val="00C63DEA"/>
    <w:pPr>
      <w:spacing w:after="360"/>
      <w:ind w:left="720" w:right="720"/>
    </w:pPr>
    <w:rPr>
      <w:i/>
    </w:rPr>
  </w:style>
  <w:style w:type="paragraph" w:customStyle="1" w:styleId="PropNorm">
    <w:name w:val="PropNorm"/>
    <w:rsid w:val="00C63DEA"/>
    <w:rPr>
      <w:rFonts w:ascii="Arial Narrow" w:hAnsi="Arial Narrow"/>
      <w:sz w:val="24"/>
    </w:rPr>
  </w:style>
  <w:style w:type="paragraph" w:customStyle="1" w:styleId="ParaNum">
    <w:name w:val="ParaNum"/>
    <w:basedOn w:val="Normal"/>
    <w:link w:val="ParaNumChar1"/>
    <w:rsid w:val="00C63DEA"/>
    <w:pPr>
      <w:widowControl w:val="0"/>
      <w:numPr>
        <w:numId w:val="4"/>
      </w:numPr>
      <w:tabs>
        <w:tab w:val="clear" w:pos="360"/>
        <w:tab w:val="num" w:pos="720"/>
        <w:tab w:val="left" w:pos="1440"/>
      </w:tabs>
      <w:spacing w:after="220"/>
      <w:ind w:left="720"/>
    </w:pPr>
    <w:rPr>
      <w:kern w:val="28"/>
      <w:sz w:val="22"/>
    </w:rPr>
  </w:style>
  <w:style w:type="character" w:customStyle="1" w:styleId="ParaNumChar1">
    <w:name w:val="ParaNum Char1"/>
    <w:link w:val="ParaNum"/>
    <w:locked/>
    <w:rsid w:val="00D753EB"/>
    <w:rPr>
      <w:kern w:val="28"/>
      <w:sz w:val="22"/>
    </w:rPr>
  </w:style>
  <w:style w:type="paragraph" w:styleId="NormalWeb">
    <w:name w:val="Normal (Web)"/>
    <w:basedOn w:val="Normal"/>
    <w:uiPriority w:val="99"/>
    <w:rsid w:val="00C63DEA"/>
    <w:pPr>
      <w:spacing w:before="100" w:beforeAutospacing="1" w:after="100" w:afterAutospacing="1"/>
    </w:pPr>
    <w:rPr>
      <w:rFonts w:ascii="Arial Unicode MS" w:cs="Courier New"/>
      <w:color w:val="000000"/>
      <w:szCs w:val="24"/>
    </w:rPr>
  </w:style>
  <w:style w:type="paragraph" w:styleId="BodyTextIndent3">
    <w:name w:val="Body Text Indent 3"/>
    <w:basedOn w:val="Normal"/>
    <w:link w:val="BodyTextIndent3Char"/>
    <w:rsid w:val="00C63DEA"/>
    <w:pPr>
      <w:widowControl w:val="0"/>
      <w:ind w:left="810"/>
      <w:jc w:val="both"/>
    </w:pPr>
  </w:style>
  <w:style w:type="character" w:customStyle="1" w:styleId="BodyTextIndent3Char">
    <w:name w:val="Body Text Indent 3 Char"/>
    <w:link w:val="BodyTextIndent3"/>
    <w:locked/>
    <w:rsid w:val="00F961B7"/>
    <w:rPr>
      <w:rFonts w:cs="Times New Roman"/>
      <w:sz w:val="16"/>
      <w:szCs w:val="16"/>
    </w:rPr>
  </w:style>
  <w:style w:type="paragraph" w:styleId="BlockText">
    <w:name w:val="Block Text"/>
    <w:basedOn w:val="Normal"/>
    <w:rsid w:val="00C63DEA"/>
    <w:pPr>
      <w:autoSpaceDE w:val="0"/>
      <w:autoSpaceDN w:val="0"/>
      <w:adjustRightInd w:val="0"/>
      <w:ind w:left="150" w:right="150"/>
      <w:jc w:val="both"/>
    </w:pPr>
    <w:rPr>
      <w:sz w:val="22"/>
      <w:szCs w:val="24"/>
    </w:rPr>
  </w:style>
  <w:style w:type="paragraph" w:styleId="EndnoteText">
    <w:name w:val="endnote text"/>
    <w:basedOn w:val="Normal"/>
    <w:link w:val="EndnoteTextChar"/>
    <w:semiHidden/>
    <w:rsid w:val="00C63DEA"/>
    <w:pPr>
      <w:widowControl w:val="0"/>
    </w:pPr>
    <w:rPr>
      <w:rFonts w:ascii="Courier" w:hAnsi="Courier"/>
    </w:rPr>
  </w:style>
  <w:style w:type="character" w:customStyle="1" w:styleId="EndnoteTextChar">
    <w:name w:val="Endnote Text Char"/>
    <w:link w:val="EndnoteText"/>
    <w:semiHidden/>
    <w:locked/>
    <w:rsid w:val="00F961B7"/>
    <w:rPr>
      <w:rFonts w:cs="Times New Roman"/>
      <w:sz w:val="20"/>
      <w:szCs w:val="20"/>
    </w:rPr>
  </w:style>
  <w:style w:type="paragraph" w:customStyle="1" w:styleId="TOCBase">
    <w:name w:val="TOC Base"/>
    <w:basedOn w:val="Normal"/>
    <w:rsid w:val="00C63DEA"/>
    <w:pPr>
      <w:widowControl w:val="0"/>
      <w:tabs>
        <w:tab w:val="right" w:leader="dot" w:pos="6480"/>
      </w:tabs>
      <w:spacing w:after="240" w:line="240" w:lineRule="atLeast"/>
    </w:pPr>
    <w:rPr>
      <w:rFonts w:ascii="Arial" w:hAnsi="Arial"/>
      <w:spacing w:val="-5"/>
    </w:rPr>
  </w:style>
  <w:style w:type="paragraph" w:customStyle="1" w:styleId="StyleLinespacing10lines">
    <w:name w:val="Style Line spacing:  1.0 lines"/>
    <w:basedOn w:val="Normal"/>
    <w:rsid w:val="00C63DEA"/>
    <w:pPr>
      <w:spacing w:line="360" w:lineRule="auto"/>
    </w:pPr>
  </w:style>
  <w:style w:type="paragraph" w:customStyle="1" w:styleId="Default">
    <w:name w:val="Default"/>
    <w:rsid w:val="00C63DEA"/>
    <w:pPr>
      <w:widowControl w:val="0"/>
      <w:autoSpaceDE w:val="0"/>
      <w:autoSpaceDN w:val="0"/>
      <w:adjustRightInd w:val="0"/>
    </w:pPr>
    <w:rPr>
      <w:rFonts w:ascii="Bookman Old Style" w:hAnsi="Bookman Old Style" w:cs="Bookman Old Style"/>
      <w:color w:val="000000"/>
      <w:sz w:val="24"/>
      <w:szCs w:val="24"/>
    </w:rPr>
  </w:style>
  <w:style w:type="table" w:styleId="TableGrid">
    <w:name w:val="Table Grid"/>
    <w:basedOn w:val="TableNormal"/>
    <w:uiPriority w:val="39"/>
    <w:rsid w:val="00C63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ConBullet">
    <w:name w:val="ProCon Bullet"/>
    <w:basedOn w:val="Normal"/>
    <w:rsid w:val="00C63DEA"/>
    <w:pPr>
      <w:widowControl w:val="0"/>
      <w:numPr>
        <w:numId w:val="9"/>
      </w:numPr>
      <w:jc w:val="both"/>
    </w:pPr>
    <w:rPr>
      <w:kern w:val="28"/>
      <w:sz w:val="22"/>
    </w:rPr>
  </w:style>
  <w:style w:type="character" w:customStyle="1" w:styleId="documentbody1">
    <w:name w:val="documentbody1"/>
    <w:rsid w:val="00C63DEA"/>
    <w:rPr>
      <w:rFonts w:ascii="Verdana" w:hAnsi="Verdana" w:cs="Times New Roman"/>
      <w:sz w:val="19"/>
      <w:szCs w:val="19"/>
    </w:rPr>
  </w:style>
  <w:style w:type="character" w:styleId="PageNumber">
    <w:name w:val="page number"/>
    <w:rsid w:val="00C63DEA"/>
    <w:rPr>
      <w:rFonts w:cs="Times New Roman"/>
    </w:rPr>
  </w:style>
  <w:style w:type="character" w:styleId="FollowedHyperlink">
    <w:name w:val="FollowedHyperlink"/>
    <w:rsid w:val="00C63DEA"/>
    <w:rPr>
      <w:rFonts w:cs="Times New Roman"/>
      <w:color w:val="800080"/>
      <w:u w:val="single"/>
    </w:rPr>
  </w:style>
  <w:style w:type="character" w:customStyle="1" w:styleId="bodytextbold1">
    <w:name w:val="bodytextbold1"/>
    <w:rsid w:val="00C63DEA"/>
    <w:rPr>
      <w:rFonts w:ascii="Verdana" w:hAnsi="Verdana" w:cs="Times New Roman"/>
      <w:b/>
      <w:bCs/>
      <w:sz w:val="20"/>
      <w:szCs w:val="20"/>
    </w:rPr>
  </w:style>
  <w:style w:type="character" w:customStyle="1" w:styleId="headlinedate1">
    <w:name w:val="headlinedate1"/>
    <w:rsid w:val="00C63DEA"/>
    <w:rPr>
      <w:rFonts w:ascii="Verdana" w:hAnsi="Verdana" w:cs="Times New Roman"/>
      <w:color w:val="808080"/>
      <w:sz w:val="18"/>
      <w:szCs w:val="18"/>
    </w:rPr>
  </w:style>
  <w:style w:type="character" w:customStyle="1" w:styleId="StyleParaNumChar11ptCharCharChar">
    <w:name w:val="Style ParaNum Char + 11 pt Char Char Char"/>
    <w:rsid w:val="00C63DEA"/>
    <w:rPr>
      <w:rFonts w:cs="Times New Roman"/>
      <w:snapToGrid w:val="0"/>
      <w:kern w:val="28"/>
      <w:sz w:val="22"/>
      <w:lang w:val="en-US" w:eastAsia="en-US" w:bidi="ar-SA"/>
    </w:rPr>
  </w:style>
  <w:style w:type="character" w:customStyle="1" w:styleId="text-blue">
    <w:name w:val="text-blue"/>
    <w:rsid w:val="00C63DEA"/>
    <w:rPr>
      <w:rFonts w:cs="Times New Roman"/>
    </w:rPr>
  </w:style>
  <w:style w:type="character" w:customStyle="1" w:styleId="text-blue1">
    <w:name w:val="text-blue1"/>
    <w:rsid w:val="00C63DEA"/>
    <w:rPr>
      <w:rFonts w:ascii="Verdana" w:hAnsi="Verdana" w:cs="Times New Roman"/>
      <w:color w:val="000099"/>
      <w:spacing w:val="240"/>
      <w:sz w:val="21"/>
      <w:szCs w:val="21"/>
    </w:rPr>
  </w:style>
  <w:style w:type="character" w:customStyle="1" w:styleId="calheader1">
    <w:name w:val="calheader1"/>
    <w:rsid w:val="00C63DEA"/>
    <w:rPr>
      <w:rFonts w:ascii="Arial" w:hAnsi="Arial" w:cs="Arial"/>
      <w:b/>
      <w:bCs/>
      <w:i/>
      <w:iCs/>
      <w:sz w:val="20"/>
      <w:szCs w:val="20"/>
    </w:rPr>
  </w:style>
  <w:style w:type="character" w:customStyle="1" w:styleId="issueboxtext1">
    <w:name w:val="issueboxtext1"/>
    <w:rsid w:val="00C63DEA"/>
    <w:rPr>
      <w:rFonts w:ascii="Arial" w:hAnsi="Arial" w:cs="Arial"/>
      <w:sz w:val="20"/>
      <w:szCs w:val="20"/>
    </w:rPr>
  </w:style>
  <w:style w:type="character" w:customStyle="1" w:styleId="pagetitle1">
    <w:name w:val="pagetitle1"/>
    <w:rsid w:val="00C63DEA"/>
    <w:rPr>
      <w:rFonts w:ascii="Arial" w:hAnsi="Arial" w:cs="Arial"/>
      <w:b/>
      <w:bCs/>
      <w:sz w:val="30"/>
      <w:szCs w:val="30"/>
    </w:rPr>
  </w:style>
  <w:style w:type="character" w:customStyle="1" w:styleId="releasefiles1">
    <w:name w:val="releasefiles1"/>
    <w:rsid w:val="00C63DEA"/>
    <w:rPr>
      <w:rFonts w:cs="Times New Roman"/>
      <w:color w:val="666666"/>
      <w:spacing w:val="240"/>
      <w:sz w:val="18"/>
      <w:szCs w:val="18"/>
    </w:rPr>
  </w:style>
  <w:style w:type="character" w:customStyle="1" w:styleId="a">
    <w:name w:val="_"/>
    <w:rsid w:val="00C63DEA"/>
    <w:rPr>
      <w:sz w:val="20"/>
    </w:rPr>
  </w:style>
  <w:style w:type="character" w:styleId="CommentReference">
    <w:name w:val="annotation reference"/>
    <w:uiPriority w:val="99"/>
    <w:rsid w:val="00824D72"/>
    <w:rPr>
      <w:rFonts w:cs="Times New Roman"/>
      <w:sz w:val="16"/>
      <w:szCs w:val="16"/>
    </w:rPr>
  </w:style>
  <w:style w:type="paragraph" w:styleId="ListBullet">
    <w:name w:val="List Bullet"/>
    <w:basedOn w:val="Normal"/>
    <w:rsid w:val="00DE271E"/>
    <w:pPr>
      <w:numPr>
        <w:numId w:val="11"/>
      </w:numPr>
    </w:pPr>
    <w:rPr>
      <w:szCs w:val="24"/>
    </w:rPr>
  </w:style>
  <w:style w:type="paragraph" w:customStyle="1" w:styleId="CM8">
    <w:name w:val="CM8"/>
    <w:basedOn w:val="Default"/>
    <w:next w:val="Default"/>
    <w:rsid w:val="007D0236"/>
    <w:rPr>
      <w:rFonts w:ascii="Times New Roman" w:hAnsi="Times New Roman" w:cs="Times New Roman"/>
      <w:color w:val="auto"/>
    </w:rPr>
  </w:style>
  <w:style w:type="paragraph" w:customStyle="1" w:styleId="CM10">
    <w:name w:val="CM10"/>
    <w:basedOn w:val="Default"/>
    <w:next w:val="Default"/>
    <w:rsid w:val="007D0236"/>
    <w:rPr>
      <w:rFonts w:ascii="Times New Roman" w:hAnsi="Times New Roman" w:cs="Times New Roman"/>
      <w:color w:val="auto"/>
    </w:rPr>
  </w:style>
  <w:style w:type="paragraph" w:customStyle="1" w:styleId="CM3">
    <w:name w:val="CM3"/>
    <w:basedOn w:val="Default"/>
    <w:next w:val="Default"/>
    <w:rsid w:val="007D0236"/>
    <w:pPr>
      <w:spacing w:line="276" w:lineRule="atLeast"/>
    </w:pPr>
    <w:rPr>
      <w:rFonts w:ascii="Times New Roman" w:hAnsi="Times New Roman" w:cs="Times New Roman"/>
      <w:color w:val="auto"/>
    </w:rPr>
  </w:style>
  <w:style w:type="paragraph" w:styleId="NoSpacing">
    <w:name w:val="No Spacing"/>
    <w:link w:val="NoSpacingChar"/>
    <w:uiPriority w:val="1"/>
    <w:qFormat/>
    <w:rsid w:val="007D0236"/>
    <w:rPr>
      <w:rFonts w:ascii="Calibri" w:hAnsi="Calibri" w:cs="Arial"/>
      <w:sz w:val="24"/>
      <w:szCs w:val="22"/>
    </w:rPr>
  </w:style>
  <w:style w:type="paragraph" w:customStyle="1" w:styleId="ParaNumCharChar">
    <w:name w:val="ParaNum Char Char"/>
    <w:basedOn w:val="Normal"/>
    <w:link w:val="ParaNumCharCharChar1"/>
    <w:rsid w:val="00233684"/>
    <w:pPr>
      <w:widowControl w:val="0"/>
      <w:tabs>
        <w:tab w:val="num" w:pos="720"/>
        <w:tab w:val="left" w:pos="1440"/>
      </w:tabs>
      <w:suppressAutoHyphens/>
      <w:spacing w:after="220"/>
      <w:ind w:left="-2160" w:hanging="360"/>
      <w:jc w:val="both"/>
    </w:pPr>
    <w:rPr>
      <w:sz w:val="22"/>
      <w:lang w:eastAsia="ar-SA"/>
    </w:rPr>
  </w:style>
  <w:style w:type="character" w:customStyle="1" w:styleId="ParaNumCharCharChar1">
    <w:name w:val="ParaNum Char Char Char1"/>
    <w:link w:val="ParaNumCharChar"/>
    <w:locked/>
    <w:rsid w:val="00D753EB"/>
    <w:rPr>
      <w:rFonts w:cs="Times New Roman"/>
      <w:sz w:val="22"/>
      <w:lang w:val="en-US" w:eastAsia="ar-SA" w:bidi="ar-SA"/>
    </w:rPr>
  </w:style>
  <w:style w:type="character" w:styleId="Emphasis">
    <w:name w:val="Emphasis"/>
    <w:qFormat/>
    <w:rsid w:val="00233684"/>
    <w:rPr>
      <w:rFonts w:cs="Times New Roman"/>
      <w:i/>
      <w:iCs/>
    </w:rPr>
  </w:style>
  <w:style w:type="paragraph" w:styleId="ListParagraph">
    <w:name w:val="List Paragraph"/>
    <w:basedOn w:val="Normal"/>
    <w:uiPriority w:val="34"/>
    <w:qFormat/>
    <w:rsid w:val="00233684"/>
    <w:pPr>
      <w:ind w:left="720"/>
    </w:pPr>
  </w:style>
  <w:style w:type="character" w:customStyle="1" w:styleId="EmailStyle1401">
    <w:name w:val="EmailStyle1401"/>
    <w:semiHidden/>
    <w:rsid w:val="00233684"/>
    <w:rPr>
      <w:rFonts w:ascii="Arial" w:hAnsi="Arial" w:cs="Arial"/>
      <w:color w:val="auto"/>
      <w:sz w:val="20"/>
      <w:szCs w:val="20"/>
    </w:rPr>
  </w:style>
  <w:style w:type="paragraph" w:styleId="Subtitle">
    <w:name w:val="Subtitle"/>
    <w:basedOn w:val="Normal"/>
    <w:link w:val="SubtitleChar"/>
    <w:qFormat/>
    <w:rsid w:val="00233684"/>
    <w:rPr>
      <w:b/>
      <w:spacing w:val="-3"/>
      <w:sz w:val="26"/>
    </w:rPr>
  </w:style>
  <w:style w:type="character" w:customStyle="1" w:styleId="SubtitleChar">
    <w:name w:val="Subtitle Char"/>
    <w:link w:val="Subtitle"/>
    <w:locked/>
    <w:rsid w:val="00E76F62"/>
    <w:rPr>
      <w:rFonts w:ascii="Cambria" w:hAnsi="Cambria" w:cs="Times New Roman"/>
      <w:sz w:val="24"/>
      <w:szCs w:val="24"/>
    </w:rPr>
  </w:style>
  <w:style w:type="paragraph" w:styleId="HTMLPreformatted">
    <w:name w:val="HTML Preformatted"/>
    <w:basedOn w:val="Normal"/>
    <w:link w:val="HTMLPreformattedChar"/>
    <w:locked/>
    <w:rsid w:val="00233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locked/>
    <w:rsid w:val="00E76F62"/>
    <w:rPr>
      <w:rFonts w:ascii="Courier New" w:hAnsi="Courier New" w:cs="Courier New"/>
      <w:sz w:val="20"/>
      <w:szCs w:val="20"/>
    </w:rPr>
  </w:style>
  <w:style w:type="paragraph" w:styleId="Caption">
    <w:name w:val="caption"/>
    <w:basedOn w:val="Normal"/>
    <w:next w:val="Normal"/>
    <w:uiPriority w:val="35"/>
    <w:qFormat/>
    <w:locked/>
    <w:rsid w:val="00075C85"/>
    <w:pPr>
      <w:widowControl w:val="0"/>
    </w:pPr>
    <w:rPr>
      <w:rFonts w:ascii="Courier" w:hAnsi="Courier"/>
    </w:rPr>
  </w:style>
  <w:style w:type="character" w:customStyle="1" w:styleId="EmailStyle146">
    <w:name w:val="EmailStyle146"/>
    <w:semiHidden/>
    <w:rsid w:val="00C64E24"/>
    <w:rPr>
      <w:rFonts w:ascii="Arial" w:hAnsi="Arial" w:cs="Arial"/>
      <w:color w:val="000080"/>
      <w:sz w:val="20"/>
      <w:szCs w:val="20"/>
    </w:rPr>
  </w:style>
  <w:style w:type="paragraph" w:styleId="DocumentMap">
    <w:name w:val="Document Map"/>
    <w:basedOn w:val="Normal"/>
    <w:link w:val="DocumentMapChar"/>
    <w:semiHidden/>
    <w:locked/>
    <w:rsid w:val="00EA7595"/>
    <w:pPr>
      <w:shd w:val="clear" w:color="auto" w:fill="000080"/>
    </w:pPr>
    <w:rPr>
      <w:rFonts w:ascii="Tahoma" w:hAnsi="Tahoma" w:cs="Tahoma"/>
      <w:sz w:val="20"/>
    </w:rPr>
  </w:style>
  <w:style w:type="character" w:customStyle="1" w:styleId="DocumentMapChar">
    <w:name w:val="Document Map Char"/>
    <w:link w:val="DocumentMap"/>
    <w:semiHidden/>
    <w:locked/>
    <w:rsid w:val="00B77FA9"/>
    <w:rPr>
      <w:rFonts w:cs="Times New Roman"/>
      <w:sz w:val="2"/>
    </w:rPr>
  </w:style>
  <w:style w:type="character" w:customStyle="1" w:styleId="EmailStyle1491">
    <w:name w:val="EmailStyle1491"/>
    <w:semiHidden/>
    <w:rsid w:val="0031249A"/>
    <w:rPr>
      <w:rFonts w:ascii="Arial" w:hAnsi="Arial" w:cs="Arial"/>
      <w:color w:val="auto"/>
      <w:sz w:val="20"/>
      <w:szCs w:val="20"/>
    </w:rPr>
  </w:style>
  <w:style w:type="character" w:customStyle="1" w:styleId="CharChar5">
    <w:name w:val="Char Char5"/>
    <w:semiHidden/>
    <w:locked/>
    <w:rsid w:val="00A32C0C"/>
    <w:rPr>
      <w:rFonts w:ascii="Arial" w:hAnsi="Arial" w:cs="Arial"/>
      <w:sz w:val="24"/>
      <w:szCs w:val="24"/>
      <w:lang w:val="en-US" w:eastAsia="en-US" w:bidi="ar-SA"/>
    </w:rPr>
  </w:style>
  <w:style w:type="paragraph" w:customStyle="1" w:styleId="style-1">
    <w:name w:val="style-1"/>
    <w:basedOn w:val="Normal"/>
    <w:rsid w:val="00A32C0C"/>
    <w:rPr>
      <w:sz w:val="20"/>
    </w:rPr>
  </w:style>
  <w:style w:type="character" w:customStyle="1" w:styleId="EmailStyle1521">
    <w:name w:val="EmailStyle1521"/>
    <w:semiHidden/>
    <w:rsid w:val="00B543AF"/>
    <w:rPr>
      <w:rFonts w:ascii="Arial" w:hAnsi="Arial" w:cs="Arial"/>
      <w:color w:val="auto"/>
      <w:sz w:val="20"/>
      <w:szCs w:val="20"/>
    </w:rPr>
  </w:style>
  <w:style w:type="character" w:customStyle="1" w:styleId="EmailStyle155">
    <w:name w:val="EmailStyle155"/>
    <w:semiHidden/>
    <w:rsid w:val="00D753EB"/>
    <w:rPr>
      <w:rFonts w:ascii="Arial" w:hAnsi="Arial" w:cs="Arial"/>
      <w:color w:val="auto"/>
      <w:sz w:val="20"/>
      <w:szCs w:val="20"/>
    </w:rPr>
  </w:style>
  <w:style w:type="character" w:customStyle="1" w:styleId="EmailStyle156">
    <w:name w:val="EmailStyle156"/>
    <w:semiHidden/>
    <w:rsid w:val="00D753EB"/>
    <w:rPr>
      <w:rFonts w:ascii="Arial" w:hAnsi="Arial" w:cs="Arial"/>
      <w:color w:val="000080"/>
      <w:sz w:val="20"/>
      <w:szCs w:val="20"/>
    </w:rPr>
  </w:style>
  <w:style w:type="character" w:customStyle="1" w:styleId="EmailStyle157">
    <w:name w:val="EmailStyle157"/>
    <w:semiHidden/>
    <w:rsid w:val="00D753EB"/>
    <w:rPr>
      <w:rFonts w:ascii="Arial" w:hAnsi="Arial" w:cs="Arial"/>
      <w:color w:val="auto"/>
      <w:sz w:val="20"/>
      <w:szCs w:val="20"/>
    </w:rPr>
  </w:style>
  <w:style w:type="character" w:customStyle="1" w:styleId="EmailStyle158">
    <w:name w:val="EmailStyle158"/>
    <w:semiHidden/>
    <w:rsid w:val="00D753EB"/>
    <w:rPr>
      <w:rFonts w:ascii="Arial" w:hAnsi="Arial" w:cs="Arial"/>
      <w:color w:val="auto"/>
      <w:sz w:val="20"/>
      <w:szCs w:val="20"/>
    </w:rPr>
  </w:style>
  <w:style w:type="character" w:customStyle="1" w:styleId="EmailStyle159">
    <w:name w:val="EmailStyle159"/>
    <w:semiHidden/>
    <w:rsid w:val="00D753EB"/>
    <w:rPr>
      <w:rFonts w:ascii="Arial" w:hAnsi="Arial" w:cs="Arial"/>
      <w:color w:val="auto"/>
      <w:sz w:val="20"/>
      <w:szCs w:val="20"/>
    </w:rPr>
  </w:style>
  <w:style w:type="character" w:customStyle="1" w:styleId="EmailStyle1601">
    <w:name w:val="EmailStyle1601"/>
    <w:semiHidden/>
    <w:rsid w:val="00D753EB"/>
    <w:rPr>
      <w:rFonts w:ascii="Arial" w:hAnsi="Arial" w:cs="Arial"/>
      <w:color w:val="auto"/>
      <w:sz w:val="20"/>
      <w:szCs w:val="20"/>
    </w:rPr>
  </w:style>
  <w:style w:type="character" w:customStyle="1" w:styleId="bestsection1">
    <w:name w:val="bestsection1"/>
    <w:rsid w:val="00D753EB"/>
    <w:rPr>
      <w:rFonts w:cs="Times New Roman"/>
      <w:color w:val="000000"/>
    </w:rPr>
  </w:style>
  <w:style w:type="character" w:customStyle="1" w:styleId="searchterm">
    <w:name w:val="searchterm"/>
    <w:rsid w:val="00D753EB"/>
    <w:rPr>
      <w:rFonts w:cs="Times New Roman"/>
    </w:rPr>
  </w:style>
  <w:style w:type="character" w:customStyle="1" w:styleId="Style10pt">
    <w:name w:val="Style 10 pt"/>
    <w:rsid w:val="00D753EB"/>
    <w:rPr>
      <w:rFonts w:cs="Times New Roman"/>
      <w:sz w:val="24"/>
    </w:rPr>
  </w:style>
  <w:style w:type="character" w:customStyle="1" w:styleId="EmailStyle1641">
    <w:name w:val="EmailStyle1641"/>
    <w:semiHidden/>
    <w:rsid w:val="00D753EB"/>
    <w:rPr>
      <w:rFonts w:ascii="Arial" w:hAnsi="Arial" w:cs="Arial"/>
      <w:color w:val="auto"/>
      <w:sz w:val="20"/>
      <w:szCs w:val="20"/>
    </w:rPr>
  </w:style>
  <w:style w:type="character" w:customStyle="1" w:styleId="EmailStyle1651">
    <w:name w:val="EmailStyle1651"/>
    <w:semiHidden/>
    <w:rsid w:val="00D753EB"/>
    <w:rPr>
      <w:rFonts w:ascii="Arial" w:hAnsi="Arial" w:cs="Arial"/>
      <w:color w:val="000080"/>
      <w:sz w:val="20"/>
      <w:szCs w:val="20"/>
    </w:rPr>
  </w:style>
  <w:style w:type="character" w:customStyle="1" w:styleId="EmailStyle166">
    <w:name w:val="EmailStyle166"/>
    <w:semiHidden/>
    <w:rsid w:val="00D753EB"/>
    <w:rPr>
      <w:rFonts w:ascii="Arial" w:hAnsi="Arial" w:cs="Arial"/>
      <w:color w:val="auto"/>
      <w:sz w:val="20"/>
      <w:szCs w:val="20"/>
    </w:rPr>
  </w:style>
  <w:style w:type="character" w:customStyle="1" w:styleId="EmailStyle167">
    <w:name w:val="EmailStyle167"/>
    <w:semiHidden/>
    <w:rsid w:val="00D753EB"/>
    <w:rPr>
      <w:rFonts w:ascii="Arial" w:hAnsi="Arial" w:cs="Arial"/>
      <w:color w:val="auto"/>
      <w:sz w:val="20"/>
      <w:szCs w:val="20"/>
    </w:rPr>
  </w:style>
  <w:style w:type="character" w:customStyle="1" w:styleId="EmailStyle168">
    <w:name w:val="EmailStyle168"/>
    <w:semiHidden/>
    <w:rsid w:val="00D753EB"/>
    <w:rPr>
      <w:rFonts w:ascii="Arial" w:hAnsi="Arial" w:cs="Arial"/>
      <w:color w:val="auto"/>
      <w:sz w:val="20"/>
      <w:szCs w:val="20"/>
    </w:rPr>
  </w:style>
  <w:style w:type="character" w:customStyle="1" w:styleId="EmailStyle169">
    <w:name w:val="EmailStyle169"/>
    <w:semiHidden/>
    <w:rsid w:val="00D753EB"/>
    <w:rPr>
      <w:rFonts w:ascii="Arial" w:hAnsi="Arial" w:cs="Arial"/>
      <w:color w:val="auto"/>
      <w:sz w:val="20"/>
      <w:szCs w:val="20"/>
    </w:rPr>
  </w:style>
  <w:style w:type="paragraph" w:customStyle="1" w:styleId="subcontent">
    <w:name w:val="subcontent"/>
    <w:basedOn w:val="Normal"/>
    <w:rsid w:val="00D753EB"/>
    <w:pPr>
      <w:spacing w:before="100" w:beforeAutospacing="1" w:after="100" w:afterAutospacing="1"/>
    </w:pPr>
    <w:rPr>
      <w:szCs w:val="24"/>
    </w:rPr>
  </w:style>
  <w:style w:type="paragraph" w:customStyle="1" w:styleId="Body1">
    <w:name w:val="Body 1"/>
    <w:rsid w:val="004F75A4"/>
    <w:pPr>
      <w:outlineLvl w:val="0"/>
    </w:pPr>
    <w:rPr>
      <w:rFonts w:eastAsia="ヒラギノ角ゴ Pro W3"/>
      <w:color w:val="000000"/>
      <w:sz w:val="24"/>
    </w:rPr>
  </w:style>
  <w:style w:type="paragraph" w:styleId="Revision">
    <w:name w:val="Revision"/>
    <w:hidden/>
    <w:uiPriority w:val="99"/>
    <w:semiHidden/>
    <w:rsid w:val="004F75A4"/>
    <w:rPr>
      <w:sz w:val="24"/>
    </w:rPr>
  </w:style>
  <w:style w:type="paragraph" w:customStyle="1" w:styleId="MediumList2-Accent41">
    <w:name w:val="Medium List 2 - Accent 41"/>
    <w:basedOn w:val="Normal"/>
    <w:qFormat/>
    <w:rsid w:val="00654C7F"/>
    <w:pPr>
      <w:ind w:left="720"/>
    </w:pPr>
    <w:rPr>
      <w:rFonts w:ascii="Calibri" w:hAnsi="Calibri" w:cs="Calibri"/>
      <w:sz w:val="22"/>
      <w:szCs w:val="22"/>
    </w:rPr>
  </w:style>
  <w:style w:type="paragraph" w:customStyle="1" w:styleId="ColorfulList-Accent11">
    <w:name w:val="Colorful List - Accent 11"/>
    <w:basedOn w:val="Normal"/>
    <w:uiPriority w:val="34"/>
    <w:rsid w:val="003A2A7E"/>
    <w:pPr>
      <w:ind w:left="720"/>
    </w:pPr>
    <w:rPr>
      <w:szCs w:val="24"/>
    </w:rPr>
  </w:style>
  <w:style w:type="character" w:customStyle="1" w:styleId="CommentTextChar1">
    <w:name w:val="Comment Text Char1"/>
    <w:rsid w:val="00662BE6"/>
  </w:style>
  <w:style w:type="character" w:customStyle="1" w:styleId="ParaNumChar2">
    <w:name w:val="ParaNum Char2"/>
    <w:rsid w:val="00662BE6"/>
    <w:rPr>
      <w:snapToGrid w:val="0"/>
      <w:kern w:val="28"/>
      <w:sz w:val="22"/>
      <w:lang w:val="en-US" w:eastAsia="en-US" w:bidi="ar-SA"/>
    </w:rPr>
  </w:style>
  <w:style w:type="character" w:customStyle="1" w:styleId="ALTSFOOTNOTEChar1">
    <w:name w:val="ALTS FOOTNOTE Char1"/>
    <w:aliases w:val="fn Char1,Footnote Text Char Char,ALTS FOOTNOTE Char Char,fn Char Char,Footnote Text Char1 Char Char,Footnote Text Char Char Char Char,f Char,Footnote Text Char3 Char1 Char Char,Footnote Text Char2 Char1 Char1 Char Char,fn Char2"/>
    <w:locked/>
    <w:rsid w:val="00662BE6"/>
    <w:rPr>
      <w:lang w:val="en-US" w:eastAsia="en-US" w:bidi="ar-SA"/>
    </w:rPr>
  </w:style>
  <w:style w:type="character" w:customStyle="1" w:styleId="FootnoteCharacters">
    <w:name w:val="Footnote Characters"/>
    <w:rsid w:val="00662BE6"/>
    <w:rPr>
      <w:vertAlign w:val="superscript"/>
    </w:rPr>
  </w:style>
  <w:style w:type="character" w:customStyle="1" w:styleId="ParaNumCharChar1">
    <w:name w:val="ParaNum Char Char1"/>
    <w:locked/>
    <w:rsid w:val="001F6273"/>
    <w:rPr>
      <w:rFonts w:ascii="Times New Roman" w:eastAsia="Times New Roman" w:hAnsi="Times New Roman" w:cs="Times New Roman"/>
      <w:snapToGrid w:val="0"/>
      <w:kern w:val="28"/>
      <w:szCs w:val="20"/>
    </w:rPr>
  </w:style>
  <w:style w:type="paragraph" w:styleId="TOCHeading">
    <w:name w:val="TOC Heading"/>
    <w:basedOn w:val="Heading1"/>
    <w:next w:val="Normal"/>
    <w:uiPriority w:val="39"/>
    <w:unhideWhenUsed/>
    <w:qFormat/>
    <w:rsid w:val="00581547"/>
    <w:pPr>
      <w:keepLines/>
      <w:widowControl/>
      <w:overflowPunct/>
      <w:autoSpaceDE/>
      <w:autoSpaceDN/>
      <w:adjustRightInd/>
      <w:spacing w:before="240" w:line="259" w:lineRule="auto"/>
      <w:jc w:val="left"/>
      <w:textAlignment w:val="auto"/>
      <w:outlineLvl w:val="9"/>
    </w:pPr>
    <w:rPr>
      <w:rFonts w:ascii="Calibri Light" w:hAnsi="Calibri Light"/>
      <w:smallCaps w:val="0"/>
      <w:color w:val="2E74B5"/>
      <w:sz w:val="32"/>
      <w:szCs w:val="32"/>
    </w:rPr>
  </w:style>
  <w:style w:type="paragraph" w:customStyle="1" w:styleId="s2">
    <w:name w:val="s2"/>
    <w:basedOn w:val="Normal"/>
    <w:rsid w:val="006F4A54"/>
    <w:pPr>
      <w:spacing w:before="100" w:beforeAutospacing="1" w:after="100" w:afterAutospacing="1"/>
    </w:pPr>
    <w:rPr>
      <w:rFonts w:eastAsiaTheme="minorHAnsi"/>
      <w:szCs w:val="24"/>
    </w:rPr>
  </w:style>
  <w:style w:type="character" w:customStyle="1" w:styleId="s3">
    <w:name w:val="s3"/>
    <w:basedOn w:val="DefaultParagraphFont"/>
    <w:rsid w:val="006F4A54"/>
  </w:style>
  <w:style w:type="character" w:customStyle="1" w:styleId="s21">
    <w:name w:val="s21"/>
    <w:basedOn w:val="DefaultParagraphFont"/>
    <w:rsid w:val="006F4A54"/>
  </w:style>
  <w:style w:type="paragraph" w:customStyle="1" w:styleId="Normal1">
    <w:name w:val="Normal1"/>
    <w:basedOn w:val="Normal"/>
    <w:rsid w:val="006066ED"/>
    <w:pPr>
      <w:spacing w:before="100" w:beforeAutospacing="1" w:after="100" w:afterAutospacing="1"/>
    </w:pPr>
    <w:rPr>
      <w:rFonts w:eastAsia="Calibri"/>
      <w:szCs w:val="24"/>
    </w:rPr>
  </w:style>
  <w:style w:type="character" w:customStyle="1" w:styleId="s7">
    <w:name w:val="s7"/>
    <w:rsid w:val="006066ED"/>
  </w:style>
  <w:style w:type="table" w:customStyle="1" w:styleId="TableGrid1">
    <w:name w:val="Table Grid1"/>
    <w:basedOn w:val="TableNormal"/>
    <w:next w:val="TableGrid"/>
    <w:uiPriority w:val="99"/>
    <w:rsid w:val="00BF0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523E41"/>
    <w:rPr>
      <w:rFonts w:ascii="Calibri" w:hAnsi="Calibri" w:cs="Arial"/>
      <w:sz w:val="24"/>
      <w:szCs w:val="22"/>
    </w:rPr>
  </w:style>
  <w:style w:type="table" w:customStyle="1" w:styleId="TableGrid2">
    <w:name w:val="Table Grid2"/>
    <w:basedOn w:val="TableNormal"/>
    <w:next w:val="TableGrid"/>
    <w:uiPriority w:val="99"/>
    <w:rsid w:val="0065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CE5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D614F"/>
    <w:rPr>
      <w:color w:val="808080"/>
      <w:shd w:val="clear" w:color="auto" w:fill="E6E6E6"/>
    </w:rPr>
  </w:style>
  <w:style w:type="character" w:customStyle="1" w:styleId="UnresolvedMention11">
    <w:name w:val="Unresolved Mention11"/>
    <w:basedOn w:val="DefaultParagraphFont"/>
    <w:uiPriority w:val="99"/>
    <w:semiHidden/>
    <w:unhideWhenUsed/>
    <w:rsid w:val="006315E6"/>
    <w:rPr>
      <w:color w:val="808080"/>
      <w:shd w:val="clear" w:color="auto" w:fill="E6E6E6"/>
    </w:rPr>
  </w:style>
  <w:style w:type="paragraph" w:customStyle="1" w:styleId="TableParagraph">
    <w:name w:val="Table Paragraph"/>
    <w:basedOn w:val="Normal"/>
    <w:uiPriority w:val="1"/>
    <w:qFormat/>
    <w:rsid w:val="00F04C86"/>
    <w:pPr>
      <w:widowControl w:val="0"/>
    </w:pPr>
    <w:rPr>
      <w:rFonts w:asciiTheme="minorHAnsi" w:eastAsiaTheme="minorHAnsi" w:hAnsiTheme="minorHAnsi" w:cstheme="minorBidi"/>
      <w:sz w:val="22"/>
      <w:szCs w:val="22"/>
    </w:rPr>
  </w:style>
  <w:style w:type="table" w:customStyle="1" w:styleId="TableGrid4">
    <w:name w:val="Table Grid4"/>
    <w:basedOn w:val="TableNormal"/>
    <w:next w:val="TableGrid"/>
    <w:rsid w:val="009A6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locked/>
    <w:rsid w:val="009A6FE0"/>
    <w:rPr>
      <w:vertAlign w:val="superscript"/>
    </w:rPr>
  </w:style>
  <w:style w:type="table" w:customStyle="1" w:styleId="TableGrid5">
    <w:name w:val="Table Grid5"/>
    <w:basedOn w:val="TableNormal"/>
    <w:next w:val="TableGrid"/>
    <w:rsid w:val="006F3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957B6"/>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531AB"/>
    <w:rPr>
      <w:color w:val="605E5C"/>
      <w:shd w:val="clear" w:color="auto" w:fill="E1DFDD"/>
    </w:rPr>
  </w:style>
  <w:style w:type="character" w:styleId="UnresolvedMention">
    <w:name w:val="Unresolved Mention"/>
    <w:basedOn w:val="DefaultParagraphFont"/>
    <w:uiPriority w:val="99"/>
    <w:semiHidden/>
    <w:unhideWhenUsed/>
    <w:rsid w:val="00232DEA"/>
    <w:rPr>
      <w:color w:val="605E5C"/>
      <w:shd w:val="clear" w:color="auto" w:fill="E1DFDD"/>
    </w:rPr>
  </w:style>
  <w:style w:type="table" w:customStyle="1" w:styleId="TableGrid7">
    <w:name w:val="Table Grid7"/>
    <w:basedOn w:val="TableNormal"/>
    <w:next w:val="TableGrid"/>
    <w:rsid w:val="006A3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C7B60"/>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122ED"/>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47FA4"/>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24EE6"/>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Light">
    <w:name w:val="Grid Table Light"/>
    <w:basedOn w:val="TableNormal"/>
    <w:uiPriority w:val="40"/>
    <w:rsid w:val="0034745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10">
    <w:name w:val="heading 10"/>
    <w:basedOn w:val="Normal"/>
    <w:link w:val="heading10Char"/>
    <w:qFormat/>
    <w:rsid w:val="00347451"/>
    <w:pPr>
      <w:spacing w:after="160" w:line="259" w:lineRule="auto"/>
      <w:jc w:val="center"/>
    </w:pPr>
    <w:rPr>
      <w:rFonts w:eastAsiaTheme="minorHAnsi"/>
      <w:b/>
      <w:sz w:val="20"/>
    </w:rPr>
  </w:style>
  <w:style w:type="character" w:customStyle="1" w:styleId="heading10Char">
    <w:name w:val="heading 10 Char"/>
    <w:basedOn w:val="DefaultParagraphFont"/>
    <w:link w:val="heading10"/>
    <w:rsid w:val="00347451"/>
    <w:rPr>
      <w:rFonts w:eastAsiaTheme="minorHAnsi"/>
      <w:b/>
    </w:rPr>
  </w:style>
  <w:style w:type="paragraph" w:customStyle="1" w:styleId="BodyBullet">
    <w:name w:val="Body Bullet"/>
    <w:basedOn w:val="Normal"/>
    <w:rsid w:val="00FA664A"/>
    <w:pPr>
      <w:numPr>
        <w:numId w:val="14"/>
      </w:numPr>
      <w:spacing w:after="240"/>
      <w:contextualSpacing/>
      <w:jc w:val="both"/>
    </w:pPr>
    <w:rPr>
      <w:rFonts w:ascii="Garamond" w:hAnsi="Garamond" w:cs="Arial"/>
    </w:rPr>
  </w:style>
  <w:style w:type="paragraph" w:customStyle="1" w:styleId="Heading4A">
    <w:name w:val="Heading 4A"/>
    <w:basedOn w:val="Heading3"/>
    <w:qFormat/>
    <w:rsid w:val="00FA664A"/>
    <w:pPr>
      <w:spacing w:before="0" w:after="0"/>
      <w:outlineLvl w:val="3"/>
    </w:pPr>
    <w:rPr>
      <w:rFonts w:ascii="Times New Roman" w:hAnsi="Times New Roman" w:cs="Times New Roman"/>
      <w:sz w:val="24"/>
      <w:szCs w:val="24"/>
    </w:rPr>
  </w:style>
  <w:style w:type="paragraph" w:customStyle="1" w:styleId="Heading4C">
    <w:name w:val="Heading 4C"/>
    <w:basedOn w:val="Normal"/>
    <w:qFormat/>
    <w:rsid w:val="00FA664A"/>
    <w:pPr>
      <w:autoSpaceDE w:val="0"/>
      <w:autoSpaceDN w:val="0"/>
      <w:adjustRightInd w:val="0"/>
      <w:jc w:val="both"/>
      <w:outlineLvl w:val="3"/>
    </w:pPr>
    <w:rPr>
      <w:b/>
      <w:bCs/>
      <w:i/>
      <w:szCs w:val="24"/>
    </w:rPr>
  </w:style>
  <w:style w:type="paragraph" w:customStyle="1" w:styleId="xxmsonormal">
    <w:name w:val="x_xmsonormal"/>
    <w:basedOn w:val="Normal"/>
    <w:rsid w:val="00841596"/>
    <w:pPr>
      <w:spacing w:before="100" w:beforeAutospacing="1" w:after="100" w:afterAutospacing="1"/>
    </w:pPr>
    <w:rPr>
      <w:rFonts w:ascii="Calibri" w:hAnsi="Calibri" w:eastAsiaTheme="minorHAnsi" w:cs="Calibri"/>
      <w:sz w:val="22"/>
      <w:szCs w:val="22"/>
    </w:rPr>
  </w:style>
  <w:style w:type="paragraph" w:customStyle="1" w:styleId="CM103">
    <w:name w:val="CM103"/>
    <w:basedOn w:val="Default"/>
    <w:next w:val="Default"/>
    <w:uiPriority w:val="99"/>
    <w:rsid w:val="00AC2106"/>
    <w:pPr>
      <w:widowControl/>
    </w:pPr>
    <w:rPr>
      <w:rFonts w:ascii="Times New Roman" w:hAnsi="Times New Roman" w:cs="Times New Roman"/>
      <w:color w:val="auto"/>
    </w:rPr>
  </w:style>
  <w:style w:type="paragraph" w:customStyle="1" w:styleId="paragraph">
    <w:name w:val="paragraph"/>
    <w:basedOn w:val="Normal"/>
    <w:rsid w:val="00AC2106"/>
    <w:pPr>
      <w:spacing w:before="100" w:beforeAutospacing="1" w:after="100" w:afterAutospacing="1"/>
    </w:pPr>
    <w:rPr>
      <w:szCs w:val="24"/>
      <w:lang w:eastAsia="zh-TW"/>
    </w:rPr>
  </w:style>
  <w:style w:type="character" w:customStyle="1" w:styleId="normaltextrun">
    <w:name w:val="normaltextrun"/>
    <w:basedOn w:val="DefaultParagraphFont"/>
    <w:rsid w:val="00AC2106"/>
  </w:style>
  <w:style w:type="character" w:customStyle="1" w:styleId="eop">
    <w:name w:val="eop"/>
    <w:basedOn w:val="DefaultParagraphFont"/>
    <w:rsid w:val="00AC2106"/>
  </w:style>
  <w:style w:type="character" w:styleId="Mention">
    <w:name w:val="Mention"/>
    <w:basedOn w:val="DefaultParagraphFont"/>
    <w:uiPriority w:val="99"/>
    <w:unhideWhenUsed/>
    <w:rsid w:val="00387518"/>
    <w:rPr>
      <w:color w:val="2B579A"/>
      <w:shd w:val="clear" w:color="auto" w:fill="E1DFDD"/>
    </w:rPr>
  </w:style>
  <w:style w:type="character" w:customStyle="1" w:styleId="cf01">
    <w:name w:val="cf01"/>
    <w:basedOn w:val="DefaultParagraphFont"/>
    <w:rsid w:val="00DC75B2"/>
    <w:rPr>
      <w:rFonts w:ascii="Segoe UI" w:hAnsi="Segoe UI" w:cs="Segoe UI" w:hint="default"/>
      <w:sz w:val="18"/>
      <w:szCs w:val="18"/>
    </w:rPr>
  </w:style>
  <w:style w:type="character" w:customStyle="1" w:styleId="cf11">
    <w:name w:val="cf11"/>
    <w:basedOn w:val="DefaultParagraphFont"/>
    <w:rsid w:val="007B06CE"/>
    <w:rPr>
      <w:rFonts w:ascii="Segoe UI" w:hAnsi="Segoe UI" w:cs="Segoe UI" w:hint="default"/>
      <w:b/>
      <w:bCs/>
      <w:sz w:val="18"/>
      <w:szCs w:val="18"/>
    </w:rPr>
  </w:style>
  <w:style w:type="paragraph" w:customStyle="1" w:styleId="Heading5C">
    <w:name w:val="Heading 5C"/>
    <w:basedOn w:val="NoSpacing"/>
    <w:qFormat/>
    <w:rsid w:val="00467D54"/>
    <w:pPr>
      <w:numPr>
        <w:numId w:val="19"/>
      </w:numPr>
      <w:ind w:left="720"/>
      <w:outlineLvl w:val="4"/>
    </w:pPr>
    <w:rPr>
      <w:rFonts w:ascii="Times New Roman" w:hAnsi="Times New Roman"/>
      <w:b/>
      <w:szCs w:val="24"/>
    </w:rPr>
  </w:style>
  <w:style w:type="paragraph" w:customStyle="1" w:styleId="pf0">
    <w:name w:val="pf0"/>
    <w:basedOn w:val="Normal"/>
    <w:rsid w:val="00D92AC5"/>
    <w:pPr>
      <w:spacing w:before="100" w:beforeAutospacing="1" w:after="100" w:afterAutospacing="1"/>
    </w:pPr>
    <w:rPr>
      <w:szCs w:val="24"/>
    </w:rPr>
  </w:style>
  <w:style w:type="paragraph" w:customStyle="1" w:styleId="xxparagraph">
    <w:name w:val="x_xparagraph"/>
    <w:basedOn w:val="Normal"/>
    <w:rsid w:val="008422CE"/>
    <w:pPr>
      <w:spacing w:before="100" w:beforeAutospacing="1" w:after="100" w:afterAutospacing="1"/>
    </w:pPr>
    <w:rPr>
      <w:rFonts w:eastAsiaTheme="minorHAnsi"/>
      <w:szCs w:val="24"/>
    </w:rPr>
  </w:style>
  <w:style w:type="character" w:customStyle="1" w:styleId="xxnormaltextrun">
    <w:name w:val="x_xnormaltextrun"/>
    <w:basedOn w:val="DefaultParagraphFont"/>
    <w:rsid w:val="008422CE"/>
  </w:style>
  <w:style w:type="character" w:styleId="IntenseReference">
    <w:name w:val="Intense Reference"/>
    <w:basedOn w:val="DefaultParagraphFont"/>
    <w:uiPriority w:val="32"/>
    <w:qFormat/>
    <w:rsid w:val="0041563C"/>
    <w:rPr>
      <w:b/>
      <w:bCs/>
      <w:smallCaps/>
      <w:color w:val="5B9BD5" w:themeColor="accent1"/>
      <w:spacing w:val="5"/>
    </w:rPr>
  </w:style>
  <w:style w:type="table" w:customStyle="1" w:styleId="TableGrid12">
    <w:name w:val="Table Grid12"/>
    <w:basedOn w:val="TableNormal"/>
    <w:next w:val="TableGrid"/>
    <w:uiPriority w:val="39"/>
    <w:rsid w:val="00207811"/>
    <w:tblPr/>
  </w:style>
  <w:style w:type="table" w:customStyle="1" w:styleId="TableGrid13">
    <w:name w:val="Table Grid13"/>
    <w:basedOn w:val="TableNormal"/>
    <w:next w:val="TableGrid"/>
    <w:uiPriority w:val="99"/>
    <w:rsid w:val="00207811"/>
    <w:tblPr/>
  </w:style>
  <w:style w:type="table" w:customStyle="1" w:styleId="TableGrid21">
    <w:name w:val="Table Grid21"/>
    <w:basedOn w:val="TableNormal"/>
    <w:next w:val="TableGrid"/>
    <w:uiPriority w:val="99"/>
    <w:rsid w:val="00207811"/>
    <w:tblPr/>
  </w:style>
  <w:style w:type="table" w:customStyle="1" w:styleId="TableGrid31">
    <w:name w:val="Table Grid31"/>
    <w:basedOn w:val="TableNormal"/>
    <w:next w:val="TableGrid"/>
    <w:uiPriority w:val="99"/>
    <w:rsid w:val="00207811"/>
    <w:tblPr/>
  </w:style>
  <w:style w:type="table" w:customStyle="1" w:styleId="TableGrid41">
    <w:name w:val="Table Grid41"/>
    <w:basedOn w:val="TableNormal"/>
    <w:next w:val="TableGrid"/>
    <w:rsid w:val="00207811"/>
    <w:tblPr/>
  </w:style>
  <w:style w:type="table" w:customStyle="1" w:styleId="TableGrid51">
    <w:name w:val="Table Grid51"/>
    <w:basedOn w:val="TableNormal"/>
    <w:next w:val="TableGrid"/>
    <w:rsid w:val="00207811"/>
    <w:tblPr/>
  </w:style>
  <w:style w:type="table" w:customStyle="1" w:styleId="TableGrid61">
    <w:name w:val="Table Grid61"/>
    <w:basedOn w:val="TableNormal"/>
    <w:next w:val="TableGrid"/>
    <w:uiPriority w:val="39"/>
    <w:rsid w:val="00207811"/>
    <w:pPr>
      <w:widowControl w:val="0"/>
      <w:autoSpaceDE w:val="0"/>
      <w:autoSpaceDN w:val="0"/>
    </w:pPr>
    <w:rPr>
      <w:rFonts w:ascii="Calibri" w:eastAsia="Calibri" w:hAnsi="Calibri"/>
      <w:sz w:val="22"/>
      <w:szCs w:val="22"/>
    </w:rPr>
    <w:tblPr/>
  </w:style>
  <w:style w:type="table" w:customStyle="1" w:styleId="TableGrid71">
    <w:name w:val="Table Grid71"/>
    <w:basedOn w:val="TableNormal"/>
    <w:next w:val="TableGrid"/>
    <w:rsid w:val="00207811"/>
    <w:tblPr/>
  </w:style>
  <w:style w:type="table" w:customStyle="1" w:styleId="TableGrid81">
    <w:name w:val="Table Grid81"/>
    <w:basedOn w:val="TableNormal"/>
    <w:next w:val="TableGrid"/>
    <w:uiPriority w:val="39"/>
    <w:rsid w:val="00207811"/>
    <w:pPr>
      <w:widowControl w:val="0"/>
      <w:autoSpaceDE w:val="0"/>
      <w:autoSpaceDN w:val="0"/>
    </w:pPr>
    <w:rPr>
      <w:rFonts w:ascii="Calibri" w:eastAsia="Calibri" w:hAnsi="Calibri"/>
      <w:sz w:val="22"/>
      <w:szCs w:val="22"/>
    </w:rPr>
    <w:tblPr/>
  </w:style>
  <w:style w:type="table" w:customStyle="1" w:styleId="TableGrid91">
    <w:name w:val="Table Grid91"/>
    <w:basedOn w:val="TableNormal"/>
    <w:next w:val="TableGrid"/>
    <w:uiPriority w:val="39"/>
    <w:rsid w:val="00207811"/>
    <w:pPr>
      <w:widowControl w:val="0"/>
      <w:autoSpaceDE w:val="0"/>
      <w:autoSpaceDN w:val="0"/>
    </w:pPr>
    <w:rPr>
      <w:rFonts w:ascii="Calibri" w:eastAsia="Calibri" w:hAnsi="Calibri"/>
      <w:sz w:val="22"/>
      <w:szCs w:val="22"/>
    </w:rPr>
    <w:tblPr/>
  </w:style>
  <w:style w:type="table" w:customStyle="1" w:styleId="TableGrid101">
    <w:name w:val="Table Grid101"/>
    <w:basedOn w:val="TableNormal"/>
    <w:next w:val="TableGrid"/>
    <w:uiPriority w:val="39"/>
    <w:rsid w:val="00207811"/>
    <w:pPr>
      <w:widowControl w:val="0"/>
      <w:autoSpaceDE w:val="0"/>
      <w:autoSpaceDN w:val="0"/>
    </w:pPr>
    <w:rPr>
      <w:rFonts w:ascii="Calibri" w:eastAsia="Calibri" w:hAnsi="Calibri"/>
      <w:sz w:val="22"/>
      <w:szCs w:val="22"/>
    </w:rPr>
    <w:tblPr/>
  </w:style>
  <w:style w:type="table" w:customStyle="1" w:styleId="TableGrid111">
    <w:name w:val="Table Grid111"/>
    <w:basedOn w:val="TableNormal"/>
    <w:next w:val="TableGrid"/>
    <w:uiPriority w:val="39"/>
    <w:rsid w:val="00207811"/>
    <w:pPr>
      <w:widowControl w:val="0"/>
      <w:autoSpaceDE w:val="0"/>
      <w:autoSpaceDN w:val="0"/>
    </w:pPr>
    <w:rPr>
      <w:rFonts w:ascii="Calibri" w:eastAsia="Calibri" w:hAnsi="Calibri"/>
      <w:sz w:val="22"/>
      <w:szCs w:val="22"/>
    </w:rPr>
    <w:tblPr/>
  </w:style>
  <w:style w:type="table" w:customStyle="1" w:styleId="TableGridLight1">
    <w:name w:val="Table Grid Light1"/>
    <w:basedOn w:val="TableNormal"/>
    <w:next w:val="GridTableLight"/>
    <w:uiPriority w:val="40"/>
    <w:rsid w:val="00207811"/>
    <w:rPr>
      <w:rFonts w:asciiTheme="minorHAnsi" w:eastAsiaTheme="minorHAnsi" w:hAnsiTheme="minorHAnsi" w:cstheme="minorBidi"/>
      <w:sz w:val="22"/>
      <w:szCs w:val="22"/>
    </w:rPr>
    <w:tblPr/>
  </w:style>
  <w:style w:type="table" w:customStyle="1" w:styleId="TableGrid121">
    <w:name w:val="Table Grid121"/>
    <w:basedOn w:val="TableNormal"/>
    <w:next w:val="TableGrid"/>
    <w:uiPriority w:val="39"/>
    <w:rsid w:val="00207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00" Type="http://schemas.openxmlformats.org/officeDocument/2006/relationships/header" Target="header25.xml" /><Relationship Id="rId101" Type="http://schemas.openxmlformats.org/officeDocument/2006/relationships/footer" Target="footer19.xml" /><Relationship Id="rId102" Type="http://schemas.openxmlformats.org/officeDocument/2006/relationships/header" Target="header26.xml" /><Relationship Id="rId103" Type="http://schemas.openxmlformats.org/officeDocument/2006/relationships/header" Target="header27.xml" /><Relationship Id="rId104" Type="http://schemas.openxmlformats.org/officeDocument/2006/relationships/header" Target="header28.xml" /><Relationship Id="rId105" Type="http://schemas.openxmlformats.org/officeDocument/2006/relationships/footer" Target="footer20.xml" /><Relationship Id="rId106" Type="http://schemas.openxmlformats.org/officeDocument/2006/relationships/header" Target="header29.xml" /><Relationship Id="rId107" Type="http://schemas.openxmlformats.org/officeDocument/2006/relationships/header" Target="header30.xml" /><Relationship Id="rId108" Type="http://schemas.openxmlformats.org/officeDocument/2006/relationships/footer" Target="footer21.xml" /><Relationship Id="rId109" Type="http://schemas.openxmlformats.org/officeDocument/2006/relationships/hyperlink" Target="https://www.federalregister.gov/documents/2025/01/15/2025-00494/annual-adjustment-of-civil-monetary-penalties-to-reflect-inflation" TargetMode="External" /><Relationship Id="rId11" Type="http://schemas.openxmlformats.org/officeDocument/2006/relationships/footer" Target="footer1.xml" /><Relationship Id="rId110" Type="http://schemas.openxmlformats.org/officeDocument/2006/relationships/hyperlink" Target="https://www.fcc.gov/inspector-general/reports/challenges" TargetMode="External" /><Relationship Id="rId111" Type="http://schemas.openxmlformats.org/officeDocument/2006/relationships/theme" Target="theme/theme1.xml" /><Relationship Id="rId112" Type="http://schemas.openxmlformats.org/officeDocument/2006/relationships/numbering" Target="numbering.xml" /><Relationship Id="rId113" Type="http://schemas.openxmlformats.org/officeDocument/2006/relationships/styles" Target="styles.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header" Target="header2.xml" /><Relationship Id="rId15" Type="http://schemas.openxmlformats.org/officeDocument/2006/relationships/header" Target="header3.xml" /><Relationship Id="rId16" Type="http://schemas.openxmlformats.org/officeDocument/2006/relationships/footer" Target="footer4.xml" /><Relationship Id="rId17" Type="http://schemas.openxmlformats.org/officeDocument/2006/relationships/footer" Target="footer5.xml" /><Relationship Id="rId18" Type="http://schemas.openxmlformats.org/officeDocument/2006/relationships/header" Target="header4.xml" /><Relationship Id="rId19" Type="http://schemas.openxmlformats.org/officeDocument/2006/relationships/image" Target="media/image2.png" /><Relationship Id="rId2" Type="http://schemas.openxmlformats.org/officeDocument/2006/relationships/settings" Target="settings.xml" /><Relationship Id="rId20" Type="http://schemas.openxmlformats.org/officeDocument/2006/relationships/header" Target="header5.xml" /><Relationship Id="rId21" Type="http://schemas.openxmlformats.org/officeDocument/2006/relationships/footer" Target="footer6.xml" /><Relationship Id="rId22" Type="http://schemas.openxmlformats.org/officeDocument/2006/relationships/hyperlink" Target="https://www.fcc.gov/about/strategic-plans-budget" TargetMode="External" /><Relationship Id="rId23" Type="http://schemas.openxmlformats.org/officeDocument/2006/relationships/hyperlink" Target="https://www.fcc.gov/media/industry/industry-analysis-division" TargetMode="External" /><Relationship Id="rId24" Type="http://schemas.openxmlformats.org/officeDocument/2006/relationships/hyperlink" Target="https://www.fcc.gov/media/television/video-division" TargetMode="External" /><Relationship Id="rId25" Type="http://schemas.openxmlformats.org/officeDocument/2006/relationships/hyperlink" Target="https://www.fcc.gov/media/radio/audio-division" TargetMode="External" /><Relationship Id="rId26" Type="http://schemas.openxmlformats.org/officeDocument/2006/relationships/hyperlink" Target="http://www.fcc.gov" TargetMode="External" /><Relationship Id="rId27" Type="http://schemas.openxmlformats.org/officeDocument/2006/relationships/image" Target="media/image3.png" /><Relationship Id="rId28" Type="http://schemas.openxmlformats.org/officeDocument/2006/relationships/header" Target="header6.xml" /><Relationship Id="rId29" Type="http://schemas.openxmlformats.org/officeDocument/2006/relationships/footer" Target="footer7.xml" /><Relationship Id="rId3" Type="http://schemas.openxmlformats.org/officeDocument/2006/relationships/webSettings" Target="webSettings.xml" /><Relationship Id="rId30" Type="http://schemas.openxmlformats.org/officeDocument/2006/relationships/image" Target="media/image4.png" /><Relationship Id="rId31" Type="http://schemas.openxmlformats.org/officeDocument/2006/relationships/header" Target="header7.xml" /><Relationship Id="rId32" Type="http://schemas.openxmlformats.org/officeDocument/2006/relationships/header" Target="header8.xml" /><Relationship Id="rId33" Type="http://schemas.openxmlformats.org/officeDocument/2006/relationships/footer" Target="footer8.xml" /><Relationship Id="rId34" Type="http://schemas.openxmlformats.org/officeDocument/2006/relationships/footer" Target="footer9.xml" /><Relationship Id="rId35" Type="http://schemas.openxmlformats.org/officeDocument/2006/relationships/header" Target="header9.xml" /><Relationship Id="rId36" Type="http://schemas.openxmlformats.org/officeDocument/2006/relationships/hyperlink" Target="http://www.usac.org" TargetMode="External" /><Relationship Id="rId37" Type="http://schemas.openxmlformats.org/officeDocument/2006/relationships/hyperlink" Target="https://www.fcc.gov/general/universal-service" TargetMode="External" /><Relationship Id="rId38" Type="http://schemas.openxmlformats.org/officeDocument/2006/relationships/hyperlink" Target="http://www.rolkaloube.com/" TargetMode="External" /><Relationship Id="rId39" Type="http://schemas.openxmlformats.org/officeDocument/2006/relationships/hyperlink" Target="https://www.fcc.gov/general/telecommunications-relay-services-trs" TargetMode="External" /><Relationship Id="rId4" Type="http://schemas.openxmlformats.org/officeDocument/2006/relationships/fontTable" Target="fontTable.xml" /><Relationship Id="rId40" Type="http://schemas.openxmlformats.org/officeDocument/2006/relationships/chart" Target="charts/chart1.xml" /><Relationship Id="rId41" Type="http://schemas.openxmlformats.org/officeDocument/2006/relationships/hyperlink" Target="https://paymentaccuracy.gov/" TargetMode="External" /><Relationship Id="rId42" Type="http://schemas.openxmlformats.org/officeDocument/2006/relationships/image" Target="media/image5.emf" /><Relationship Id="rId43" Type="http://schemas.openxmlformats.org/officeDocument/2006/relationships/header" Target="header10.xml" /><Relationship Id="rId44" Type="http://schemas.openxmlformats.org/officeDocument/2006/relationships/footer" Target="footer10.xml" /><Relationship Id="rId45" Type="http://schemas.openxmlformats.org/officeDocument/2006/relationships/image" Target="media/image6.emf" /><Relationship Id="rId46" Type="http://schemas.openxmlformats.org/officeDocument/2006/relationships/chart" Target="charts/chart2.xml" /><Relationship Id="rId47" Type="http://schemas.openxmlformats.org/officeDocument/2006/relationships/chart" Target="charts/chart3.xml" /><Relationship Id="rId48" Type="http://schemas.openxmlformats.org/officeDocument/2006/relationships/image" Target="media/image7.png" /><Relationship Id="rId49" Type="http://schemas.openxmlformats.org/officeDocument/2006/relationships/image" Target="media/image8.png" /><Relationship Id="rId5" Type="http://schemas.openxmlformats.org/officeDocument/2006/relationships/customXml" Target="../customXml/item1.xml" /><Relationship Id="rId50" Type="http://schemas.openxmlformats.org/officeDocument/2006/relationships/image" Target="media/image9.png" /><Relationship Id="rId51" Type="http://schemas.openxmlformats.org/officeDocument/2006/relationships/header" Target="header11.xml" /><Relationship Id="rId52" Type="http://schemas.openxmlformats.org/officeDocument/2006/relationships/footer" Target="footer11.xml" /><Relationship Id="rId53" Type="http://schemas.openxmlformats.org/officeDocument/2006/relationships/image" Target="media/image10.png" /><Relationship Id="rId54" Type="http://schemas.openxmlformats.org/officeDocument/2006/relationships/image" Target="media/image11.png" /><Relationship Id="rId55" Type="http://schemas.openxmlformats.org/officeDocument/2006/relationships/image" Target="media/image12.png" /><Relationship Id="rId56" Type="http://schemas.openxmlformats.org/officeDocument/2006/relationships/header" Target="header12.xml" /><Relationship Id="rId57" Type="http://schemas.openxmlformats.org/officeDocument/2006/relationships/footer" Target="footer12.xml" /><Relationship Id="rId58" Type="http://schemas.openxmlformats.org/officeDocument/2006/relationships/header" Target="header13.xml" /><Relationship Id="rId59" Type="http://schemas.openxmlformats.org/officeDocument/2006/relationships/image" Target="media/image13.png" /><Relationship Id="rId6" Type="http://schemas.openxmlformats.org/officeDocument/2006/relationships/customXml" Target="../customXml/item2.xml" /><Relationship Id="rId60" Type="http://schemas.openxmlformats.org/officeDocument/2006/relationships/image" Target="media/image14.png" /><Relationship Id="rId61" Type="http://schemas.openxmlformats.org/officeDocument/2006/relationships/image" Target="media/image15.png" /><Relationship Id="rId62" Type="http://schemas.openxmlformats.org/officeDocument/2006/relationships/image" Target="media/image16.png" /><Relationship Id="rId63" Type="http://schemas.openxmlformats.org/officeDocument/2006/relationships/image" Target="media/image17.png" /><Relationship Id="rId64" Type="http://schemas.openxmlformats.org/officeDocument/2006/relationships/image" Target="media/image18.png" /><Relationship Id="rId65" Type="http://schemas.openxmlformats.org/officeDocument/2006/relationships/image" Target="media/image19.png" /><Relationship Id="rId66" Type="http://schemas.openxmlformats.org/officeDocument/2006/relationships/header" Target="header14.xml" /><Relationship Id="rId67" Type="http://schemas.openxmlformats.org/officeDocument/2006/relationships/footer" Target="footer13.xml" /><Relationship Id="rId68" Type="http://schemas.openxmlformats.org/officeDocument/2006/relationships/image" Target="media/image20.png" /><Relationship Id="rId69" Type="http://schemas.openxmlformats.org/officeDocument/2006/relationships/header" Target="header15.xml" /><Relationship Id="rId7" Type="http://schemas.openxmlformats.org/officeDocument/2006/relationships/customXml" Target="../customXml/item3.xml" /><Relationship Id="rId70" Type="http://schemas.openxmlformats.org/officeDocument/2006/relationships/footer" Target="footer14.xml" /><Relationship Id="rId71" Type="http://schemas.openxmlformats.org/officeDocument/2006/relationships/image" Target="media/image22.emf" /><Relationship Id="rId72" Type="http://schemas.openxmlformats.org/officeDocument/2006/relationships/header" Target="header16.xml" /><Relationship Id="rId73" Type="http://schemas.openxmlformats.org/officeDocument/2006/relationships/footer" Target="footer15.xml" /><Relationship Id="rId74" Type="http://schemas.openxmlformats.org/officeDocument/2006/relationships/image" Target="media/image23.emf" /><Relationship Id="rId75" Type="http://schemas.openxmlformats.org/officeDocument/2006/relationships/image" Target="media/image24.emf" /><Relationship Id="rId76" Type="http://schemas.openxmlformats.org/officeDocument/2006/relationships/header" Target="header17.xml" /><Relationship Id="rId77" Type="http://schemas.openxmlformats.org/officeDocument/2006/relationships/footer" Target="footer16.xml" /><Relationship Id="rId78" Type="http://schemas.openxmlformats.org/officeDocument/2006/relationships/image" Target="media/image25.emf" /><Relationship Id="rId79" Type="http://schemas.openxmlformats.org/officeDocument/2006/relationships/image" Target="media/image26.emf" /><Relationship Id="rId8" Type="http://schemas.openxmlformats.org/officeDocument/2006/relationships/customXml" Target="../customXml/item4.xml" /><Relationship Id="rId80" Type="http://schemas.openxmlformats.org/officeDocument/2006/relationships/image" Target="media/image27.emf" /><Relationship Id="rId81" Type="http://schemas.openxmlformats.org/officeDocument/2006/relationships/image" Target="media/image28.emf" /><Relationship Id="rId82" Type="http://schemas.openxmlformats.org/officeDocument/2006/relationships/image" Target="media/image29.emf" /><Relationship Id="rId83" Type="http://schemas.openxmlformats.org/officeDocument/2006/relationships/hyperlink" Target="https://www.whitehouse.gov/omb/budget/" TargetMode="External" /><Relationship Id="rId84" Type="http://schemas.openxmlformats.org/officeDocument/2006/relationships/image" Target="media/image30.emf" /><Relationship Id="rId85" Type="http://schemas.openxmlformats.org/officeDocument/2006/relationships/hyperlink" Target="https://www.usac.org" TargetMode="External" /><Relationship Id="rId86" Type="http://schemas.openxmlformats.org/officeDocument/2006/relationships/hyperlink" Target="https://www.neca.org" TargetMode="External" /><Relationship Id="rId87" Type="http://schemas.openxmlformats.org/officeDocument/2006/relationships/hyperlink" Target="https://fiscal.treasury.gov/reports-statements/financial-report/current-report.html" TargetMode="External" /><Relationship Id="rId88" Type="http://schemas.openxmlformats.org/officeDocument/2006/relationships/image" Target="media/image31.emf" /><Relationship Id="rId89" Type="http://schemas.openxmlformats.org/officeDocument/2006/relationships/header" Target="header18.xml" /><Relationship Id="rId9" Type="http://schemas.openxmlformats.org/officeDocument/2006/relationships/image" Target="media/image1.png" /><Relationship Id="rId90" Type="http://schemas.openxmlformats.org/officeDocument/2006/relationships/header" Target="header19.xml" /><Relationship Id="rId91" Type="http://schemas.openxmlformats.org/officeDocument/2006/relationships/footer" Target="footer17.xml" /><Relationship Id="rId92" Type="http://schemas.openxmlformats.org/officeDocument/2006/relationships/header" Target="header20.xml" /><Relationship Id="rId93" Type="http://schemas.openxmlformats.org/officeDocument/2006/relationships/image" Target="media/image32.emf" /><Relationship Id="rId94" Type="http://schemas.openxmlformats.org/officeDocument/2006/relationships/header" Target="header21.xml" /><Relationship Id="rId95" Type="http://schemas.openxmlformats.org/officeDocument/2006/relationships/header" Target="header22.xml" /><Relationship Id="rId96" Type="http://schemas.openxmlformats.org/officeDocument/2006/relationships/footer" Target="footer18.xml" /><Relationship Id="rId97" Type="http://schemas.openxmlformats.org/officeDocument/2006/relationships/header" Target="header23.xml" /><Relationship Id="rId98" Type="http://schemas.openxmlformats.org/officeDocument/2006/relationships/image" Target="media/image33.emf" /><Relationship Id="rId99" Type="http://schemas.openxmlformats.org/officeDocument/2006/relationships/header" Target="header24.xml" /></Relationships>
</file>

<file path=word/_rels/header15.xml.rels><?xml version="1.0" encoding="utf-8" standalone="yes"?><Relationships xmlns="http://schemas.openxmlformats.org/package/2006/relationships"><Relationship Id="rId1" Type="http://schemas.openxmlformats.org/officeDocument/2006/relationships/image" Target="media/image21.png" /></Relationships>
</file>

<file path=word/charts/_rels/chart1.xml.rels><?xml version="1.0" encoding="utf-8" standalone="yes"?><Relationships xmlns="http://schemas.openxmlformats.org/package/2006/relationships"><Relationship Id="rId1" Type="http://schemas.openxmlformats.org/officeDocument/2006/relationships/oleObject" Target="file:///\\fccnet\data\Bureaus-Offices\OMD\Financial%20Operations\Financial%20Operations%20Center\FSRG\FY%202025\FR%20-%20PD%2012-14%20(09-30-25)\AFR\Chapter%201%20-%20FSRG%20parts\FY25%20Draft%20AFR%20Chap%201%20Graphs%20(11-14-25).xlsx" TargetMode="External" /><Relationship Id="rId2" Type="http://schemas.openxmlformats.org/officeDocument/2006/relationships/chartUserShapes" Target="../drawings/drawing1.xml" /><Relationship Id="rId3" Type="http://schemas.microsoft.com/office/2011/relationships/chartColorStyle" Target="chart/colors1.xml" /><Relationship Id="rId4" Type="http://schemas.microsoft.com/office/2011/relationships/chartStyle" Target="chart/style1.xml" /></Relationships>
</file>

<file path=word/charts/_rels/chart2.xml.rels><?xml version="1.0" encoding="utf-8" standalone="yes"?><Relationships xmlns="http://schemas.openxmlformats.org/package/2006/relationships"><Relationship Id="rId1" Type="http://schemas.openxmlformats.org/officeDocument/2006/relationships/oleObject" Target="file:///\\fccnet\data\Bureaus-Offices\OMD\Financial%20Operations\Financial%20Operations%20Center\FSRG\FY%202025\FR%20-%20PD%2012-14%20(09-30-25)\AFR\Chapter%201%20-%20FSRG%20parts\FY25%20Draft%20AFR%20Chap%201%20Graphs%20(11-14-25).xlsx" TargetMode="External" /><Relationship Id="rId2" Type="http://schemas.openxmlformats.org/officeDocument/2006/relationships/chartUserShapes" Target="../drawings/drawing2.xml" /><Relationship Id="rId3" Type="http://schemas.openxmlformats.org/officeDocument/2006/relationships/themeOverride" Target="../theme/themeOverride1.xml" /><Relationship Id="rId4" Type="http://schemas.microsoft.com/office/2011/relationships/chartColorStyle" Target="chart/colors2.xml" /><Relationship Id="rId5" Type="http://schemas.microsoft.com/office/2011/relationships/chartStyle" Target="chart/style2.xml" /></Relationships>
</file>

<file path=word/charts/_rels/chart3.xml.rels><?xml version="1.0" encoding="utf-8" standalone="yes"?><Relationships xmlns="http://schemas.openxmlformats.org/package/2006/relationships"><Relationship Id="rId1" Type="http://schemas.openxmlformats.org/officeDocument/2006/relationships/oleObject" Target="file:///\\fccnet\data\Bureaus-Offices\OMD\Financial%20Operations\Financial%20Operations%20Center\FSRG\FY%202025\FR%20-%20PD%2012-14%20(09-30-25)\AFR\Chapter%201%20-%20FSRG%20parts\FY25%20Draft%20AFR%20Chap%201%20Graphs%20(11-14-25).xlsx" TargetMode="External" /><Relationship Id="rId2" Type="http://schemas.openxmlformats.org/officeDocument/2006/relationships/chartUserShapes" Target="../drawings/drawing3.xml" /><Relationship Id="rId3" Type="http://schemas.openxmlformats.org/officeDocument/2006/relationships/themeOverride" Target="../theme/themeOverride2.xml" /><Relationship Id="rId4" Type="http://schemas.microsoft.com/office/2011/relationships/chartColorStyle" Target="chart/colors3.xml" /><Relationship Id="rId5" Type="http://schemas.microsoft.com/office/2011/relationships/chartStyle" Target="chart/style3.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chart/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chart/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60"/>
      <c:rotY val="20"/>
      <c:rAngAx val="0"/>
      <c:perspective val="50"/>
    </c:view3D>
    <c:floor>
      <c:thickness val="0"/>
      <c:spPr>
        <a:noFill/>
        <a:ln w="9525">
          <a:solidFill>
            <a:schemeClr val="tx1">
              <a:tint val="75000"/>
            </a:schemeClr>
          </a:solidFill>
          <a:prstDash val="solid"/>
          <a:round/>
        </a:ln>
        <a:effectLst/>
        <a:sp3d contourW="9525">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94612357794590526"/>
          <c:y val="0.1838704055273723"/>
          <c:w val="0.63612439146574862"/>
          <c:h val="0.76646291743176376"/>
        </c:manualLayout>
      </c:layout>
      <c:pie3DChart>
        <c:varyColors val="1"/>
        <c:ser>
          <c:idx val="0"/>
          <c:order val="0"/>
          <c:dPt>
            <c:idx val="0"/>
            <c:bubble3D val="0"/>
            <c:explosion val="5"/>
            <c:spPr>
              <a:solidFill>
                <a:schemeClr val="accent1"/>
              </a:solidFill>
              <a:ln>
                <a:noFill/>
              </a:ln>
              <a:effectLst/>
              <a:sp3d/>
            </c:spPr>
            <c:extLst>
              <c:ext xmlns:c16="http://schemas.microsoft.com/office/drawing/2014/chart" uri="{C3380CC4-5D6E-409C-BE32-E72D297353CC}">
                <c16:uniqueId val="{00000001-4A3E-43DE-A0C4-4F5CDFE78E0B}"/>
              </c:ext>
            </c:extLst>
          </c:dPt>
          <c:dPt>
            <c:idx val="1"/>
            <c:bubble3D val="0"/>
            <c:explosion val="4"/>
            <c:spPr>
              <a:solidFill>
                <a:schemeClr val="accent2"/>
              </a:solidFill>
              <a:ln>
                <a:noFill/>
              </a:ln>
              <a:effectLst/>
              <a:sp3d/>
            </c:spPr>
            <c:extLst>
              <c:ext xmlns:c16="http://schemas.microsoft.com/office/drawing/2014/chart" uri="{C3380CC4-5D6E-409C-BE32-E72D297353CC}">
                <c16:uniqueId val="{00000003-4A3E-43DE-A0C4-4F5CDFE78E0B}"/>
              </c:ext>
            </c:extLst>
          </c:dPt>
          <c:dPt>
            <c:idx val="2"/>
            <c:bubble3D val="0"/>
            <c:explosion val="3"/>
            <c:spPr>
              <a:solidFill>
                <a:schemeClr val="accent3"/>
              </a:solidFill>
              <a:ln>
                <a:noFill/>
              </a:ln>
              <a:effectLst/>
              <a:sp3d/>
            </c:spPr>
            <c:extLst>
              <c:ext xmlns:c16="http://schemas.microsoft.com/office/drawing/2014/chart" uri="{C3380CC4-5D6E-409C-BE32-E72D297353CC}">
                <c16:uniqueId val="{00000005-4A3E-43DE-A0C4-4F5CDFE78E0B}"/>
              </c:ext>
            </c:extLst>
          </c:dPt>
          <c:dPt>
            <c:idx val="3"/>
            <c:bubble3D val="0"/>
            <c:explosion val="6"/>
            <c:spPr>
              <a:solidFill>
                <a:schemeClr val="accent4"/>
              </a:solidFill>
              <a:ln>
                <a:noFill/>
              </a:ln>
              <a:effectLst/>
              <a:sp3d/>
            </c:spPr>
            <c:extLst>
              <c:ext xmlns:c16="http://schemas.microsoft.com/office/drawing/2014/chart" uri="{C3380CC4-5D6E-409C-BE32-E72D297353CC}">
                <c16:uniqueId val="{00000007-4A3E-43DE-A0C4-4F5CDFE78E0B}"/>
              </c:ext>
            </c:extLst>
          </c:dPt>
          <c:dPt>
            <c:idx val="4"/>
            <c:bubble3D val="0"/>
            <c:explosion val="8"/>
            <c:spPr>
              <a:solidFill>
                <a:schemeClr val="accent5"/>
              </a:solidFill>
              <a:ln>
                <a:noFill/>
              </a:ln>
              <a:effectLst/>
              <a:sp3d/>
            </c:spPr>
            <c:extLst>
              <c:ext xmlns:c16="http://schemas.microsoft.com/office/drawing/2014/chart" uri="{C3380CC4-5D6E-409C-BE32-E72D297353CC}">
                <c16:uniqueId val="{00000009-4A3E-43DE-A0C4-4F5CDFE78E0B}"/>
              </c:ext>
            </c:extLst>
          </c:dPt>
          <c:dPt>
            <c:idx val="5"/>
            <c:bubble3D val="0"/>
            <c:explosion val="8"/>
            <c:spPr>
              <a:solidFill>
                <a:schemeClr val="accent6"/>
              </a:solidFill>
              <a:ln>
                <a:noFill/>
              </a:ln>
              <a:effectLst/>
              <a:sp3d/>
            </c:spPr>
            <c:extLst>
              <c:ext xmlns:c16="http://schemas.microsoft.com/office/drawing/2014/chart" uri="{C3380CC4-5D6E-409C-BE32-E72D297353CC}">
                <c16:uniqueId val="{0000000B-4A3E-43DE-A0C4-4F5CDFE78E0B}"/>
              </c:ext>
            </c:extLst>
          </c:dPt>
          <c:dPt>
            <c:idx val="6"/>
            <c:bubble3D val="0"/>
            <c:explosion val="1"/>
            <c:spPr>
              <a:solidFill>
                <a:schemeClr val="accent1">
                  <a:lumMod val="60000"/>
                </a:schemeClr>
              </a:solidFill>
              <a:ln>
                <a:noFill/>
              </a:ln>
              <a:effectLst/>
              <a:sp3d/>
            </c:spPr>
            <c:extLst>
              <c:ext xmlns:c16="http://schemas.microsoft.com/office/drawing/2014/chart" uri="{C3380CC4-5D6E-409C-BE32-E72D297353CC}">
                <c16:uniqueId val="{0000000D-4A3E-43DE-A0C4-4F5CDFE78E0B}"/>
              </c:ext>
            </c:extLst>
          </c:dPt>
          <c:dPt>
            <c:idx val="7"/>
            <c:bubble3D val="0"/>
            <c:spPr>
              <a:solidFill>
                <a:schemeClr val="accent2">
                  <a:lumMod val="60000"/>
                </a:schemeClr>
              </a:solidFill>
              <a:ln>
                <a:noFill/>
              </a:ln>
              <a:effectLst/>
              <a:sp3d/>
            </c:spPr>
            <c:extLst>
              <c:ext xmlns:c16="http://schemas.microsoft.com/office/drawing/2014/chart" uri="{C3380CC4-5D6E-409C-BE32-E72D297353CC}">
                <c16:uniqueId val="{0000000F-4A3E-43DE-A0C4-4F5CDFE78E0B}"/>
              </c:ext>
            </c:extLst>
          </c:dPt>
          <c:dPt>
            <c:idx val="8"/>
            <c:bubble3D val="0"/>
            <c:spPr>
              <a:solidFill>
                <a:schemeClr val="accent3">
                  <a:lumMod val="60000"/>
                </a:schemeClr>
              </a:solidFill>
              <a:ln>
                <a:noFill/>
              </a:ln>
              <a:effectLst/>
              <a:sp3d/>
            </c:spPr>
            <c:extLst>
              <c:ext xmlns:c16="http://schemas.microsoft.com/office/drawing/2014/chart" uri="{C3380CC4-5D6E-409C-BE32-E72D297353CC}">
                <c16:uniqueId val="{00000011-4A3E-43DE-A0C4-4F5CDFE78E0B}"/>
              </c:ext>
            </c:extLst>
          </c:dPt>
          <c:dLbls>
            <c:dLbl>
              <c:idx val="0"/>
              <c:layout>
                <c:manualLayout>
                  <c:x val="-0.09432980628490599"/>
                  <c:y val="0.11276027996500437"/>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85e3d40e-d57a-4d61-a2a7-2098614ab904}" type="CATEGORYNAME">
                      <a:rPr lang="en-US"/>
                      <a:pPr>
                        <a:defRPr>
                          <a:latin typeface="Times New Roman" panose="02020603050405020304" pitchFamily="18" charset="0"/>
                          <a:cs typeface="Times New Roman" panose="02020603050405020304" pitchFamily="18" charset="0"/>
                        </a:defRPr>
                      </a:pPr>
                      <a:t>[CATEGORY NAME]</a:t>
                    </a:fld>
                    <a:r>
                      <a:rPr lang="en-US" baseline="0"/>
                      <a:t>
</a:t>
                    </a:r>
                    <a:fld id="{e7bd2479-ca46-4bf0-81aa-d1f957809d8a}" type="VALUE">
                      <a:rPr lang="en-US" baseline="0"/>
                      <a:pPr>
                        <a:defRPr>
                          <a:latin typeface="Times New Roman" panose="02020603050405020304" pitchFamily="18" charset="0"/>
                          <a:cs typeface="Times New Roman" panose="02020603050405020304" pitchFamily="18" charset="0"/>
                        </a:defRPr>
                      </a:pPr>
                      <a:t>[VALUE]</a:t>
                    </a:fld>
                    <a:r>
                      <a:rPr lang="en-US" baseline="0"/>
                      <a:t>
11%</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1043670601533699"/>
                      <c:h val="0.11113421099042461"/>
                    </c:manualLayout>
                  </c15:layout>
                  <c15:showDataLabelsRange val="0"/>
                </c:ext>
                <c:ext xmlns:c16="http://schemas.microsoft.com/office/drawing/2014/chart" uri="{C3380CC4-5D6E-409C-BE32-E72D297353CC}">
                  <c16:uniqueId val="{00000001-4A3E-43DE-A0C4-4F5CDFE78E0B}"/>
                </c:ext>
              </c:extLst>
            </c:dLbl>
            <c:dLbl>
              <c:idx val="1"/>
              <c:layout>
                <c:manualLayout>
                  <c:x val="0.0225024283719982"/>
                  <c:y val="-0.044116405088117552"/>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72fb2abf-ed93-4dde-9fbb-4c14e2ef89e2}" type="CATEGORYNAME">
                      <a:rPr lang="en-US"/>
                      <a:pPr>
                        <a:defRPr>
                          <a:latin typeface="Times New Roman" panose="02020603050405020304" pitchFamily="18" charset="0"/>
                          <a:cs typeface="Times New Roman" panose="02020603050405020304" pitchFamily="18" charset="0"/>
                        </a:defRPr>
                      </a:pPr>
                      <a:t>[CATEGORY NAME]</a:t>
                    </a:fld>
                    <a:r>
                      <a:rPr lang="en-US" baseline="0"/>
                      <a:t>
</a:t>
                    </a:r>
                    <a:fld id="{118a5507-5014-4e61-8f19-088dbe1dc5a2}" type="VALUE">
                      <a:rPr lang="en-US" baseline="0"/>
                      <a:pPr>
                        <a:defRPr>
                          <a:latin typeface="Times New Roman" panose="02020603050405020304" pitchFamily="18" charset="0"/>
                          <a:cs typeface="Times New Roman" panose="02020603050405020304" pitchFamily="18" charset="0"/>
                        </a:defRPr>
                      </a:pPr>
                      <a:t>[VALUE]</a:t>
                    </a:fld>
                    <a:r>
                      <a:rPr lang="en-US" baseline="0"/>
                      <a:t>
1%</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013822100642278"/>
                      <c:h val="0.18854869885450365"/>
                    </c:manualLayout>
                  </c15:layout>
                  <c15:showDataLabelsRange val="0"/>
                </c:ext>
                <c:ext xmlns:c16="http://schemas.microsoft.com/office/drawing/2014/chart" uri="{C3380CC4-5D6E-409C-BE32-E72D297353CC}">
                  <c16:uniqueId val="{00000003-4A3E-43DE-A0C4-4F5CDFE78E0B}"/>
                </c:ext>
              </c:extLst>
            </c:dLbl>
            <c:dLbl>
              <c:idx val="2"/>
              <c:layout>
                <c:manualLayout>
                  <c:x val="0.0908198132232871"/>
                  <c:y val="0.098808859596659249"/>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a33b5bff-71d9-4441-8e44-0ea41c13fc73}" type="CATEGORYNAME">
                      <a:rPr lang="en-US"/>
                      <a:pPr>
                        <a:defRPr>
                          <a:latin typeface="Times New Roman" panose="02020603050405020304" pitchFamily="18" charset="0"/>
                          <a:cs typeface="Times New Roman" panose="02020603050405020304" pitchFamily="18" charset="0"/>
                        </a:defRPr>
                      </a:pPr>
                      <a:t>[CATEGORY NAME]</a:t>
                    </a:fld>
                    <a:r>
                      <a:rPr lang="en-US" baseline="0"/>
                      <a:t>
</a:t>
                    </a:r>
                    <a:fld id="{4d0b3334-8732-4df5-82e2-4a591feda3f4}" type="VALUE">
                      <a:rPr lang="en-US" baseline="0"/>
                      <a:pPr>
                        <a:defRPr>
                          <a:latin typeface="Times New Roman" panose="02020603050405020304" pitchFamily="18" charset="0"/>
                          <a:cs typeface="Times New Roman" panose="02020603050405020304" pitchFamily="18" charset="0"/>
                        </a:defRPr>
                      </a:pPr>
                      <a:t>[VALUE]</a:t>
                    </a:fld>
                    <a:r>
                      <a:rPr lang="en-US" baseline="0"/>
                      <a:t>
3%</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16778855195812831"/>
                      <c:h val="0.19888461616716516"/>
                    </c:manualLayout>
                  </c15:layout>
                  <c15:showDataLabelsRange val="0"/>
                </c:ext>
                <c:ext xmlns:c16="http://schemas.microsoft.com/office/drawing/2014/chart" uri="{C3380CC4-5D6E-409C-BE32-E72D297353CC}">
                  <c16:uniqueId val="{00000005-4A3E-43DE-A0C4-4F5CDFE78E0B}"/>
                </c:ext>
              </c:extLst>
            </c:dLbl>
            <c:dLbl>
              <c:idx val="3"/>
              <c:layout>
                <c:manualLayout>
                  <c:x val="0.13703639002710305"/>
                  <c:y val="0.23695143838245517"/>
                </c:manualLayout>
              </c:layout>
              <c:tx>
                <c:rich>
                  <a:bodyPr/>
                  <a:lstStyle/>
                  <a:p>
                    <a:fld id="{60309761-0178-408c-9dc6-c0d318642ca7}" type="CATEGORYNAME">
                      <a:rPr lang="en-US"/>
                      <a:t>[CATEGORY NAME]</a:t>
                    </a:fld>
                    <a:r>
                      <a:rPr lang="en-US" baseline="0"/>
                      <a:t>
</a:t>
                    </a:r>
                    <a:fld id="{48fcac2c-c23e-4176-ac63-8550d3d0ecd1}" type="VALUE">
                      <a:rPr lang="en-US" baseline="0"/>
                      <a:t>[VALUE]</a:t>
                    </a:fld>
                    <a:r>
                      <a:rPr lang="en-US" baseline="0"/>
                      <a:t>
&lt; 1%</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17207177814029362"/>
                      <c:h val="0.12911725955204217"/>
                    </c:manualLayout>
                  </c15:layout>
                  <c15:showDataLabelsRange val="0"/>
                </c:ext>
                <c:ext xmlns:c16="http://schemas.microsoft.com/office/drawing/2014/chart" uri="{C3380CC4-5D6E-409C-BE32-E72D297353CC}">
                  <c16:uniqueId val="{00000007-4A3E-43DE-A0C4-4F5CDFE78E0B}"/>
                </c:ext>
              </c:extLst>
            </c:dLbl>
            <c:dLbl>
              <c:idx val="4"/>
              <c:layout>
                <c:manualLayout>
                  <c:x val="0.18210907160259113"/>
                  <c:y val="0.05267477928895252"/>
                </c:manualLayout>
              </c:layout>
              <c:tx>
                <c:rich>
                  <a:bodyPr/>
                  <a:lstStyle/>
                  <a:p>
                    <a:fld id="{ae5bab4f-e6e2-4bc8-bb71-f592287048e0}" type="CATEGORYNAME">
                      <a:rPr lang="en-US"/>
                      <a:t>[CATEGORY NAME]</a:t>
                    </a:fld>
                    <a:r>
                      <a:rPr lang="en-US" baseline="0"/>
                      <a:t>
</a:t>
                    </a:r>
                    <a:fld id="{4934efa0-bbb2-4603-acb4-c903cc95e697}" type="VALUE">
                      <a:rPr lang="en-US" baseline="0"/>
                      <a:t>[VALUE]</a:t>
                    </a:fld>
                    <a:r>
                      <a:rPr lang="en-US" baseline="0"/>
                      <a:t>
1%</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17883632408917891"/>
                      <c:h val="0.12911725955204217"/>
                    </c:manualLayout>
                  </c15:layout>
                  <c15:showDataLabelsRange val="0"/>
                </c:ext>
                <c:ext xmlns:c16="http://schemas.microsoft.com/office/drawing/2014/chart" uri="{C3380CC4-5D6E-409C-BE32-E72D297353CC}">
                  <c16:uniqueId val="{00000009-4A3E-43DE-A0C4-4F5CDFE78E0B}"/>
                </c:ext>
              </c:extLst>
            </c:dLbl>
            <c:dLbl>
              <c:idx val="5"/>
              <c:delete val="1"/>
              <c:extLst>
                <c:ext xmlns:c15="http://schemas.microsoft.com/office/drawing/2012/chart" uri="{CE6537A1-D6FC-4f65-9D91-7224C49458BB}">
                  <c15:layout>
                    <c:manualLayout>
                      <c:w val="0.19430125067971724"/>
                      <c:h val="0.12911725955204217"/>
                    </c:manualLayout>
                  </c15:layout>
                </c:ext>
                <c:ext xmlns:c16="http://schemas.microsoft.com/office/drawing/2014/chart" uri="{C3380CC4-5D6E-409C-BE32-E72D297353CC}">
                  <c16:uniqueId val="{0000000B-4A3E-43DE-A0C4-4F5CDFE78E0B}"/>
                </c:ext>
              </c:extLst>
            </c:dLbl>
            <c:dLbl>
              <c:idx val="6"/>
              <c:layout>
                <c:manualLayout>
                  <c:x val="0.1600793711697443"/>
                  <c:y val="-0.11952053958371492"/>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0eac9455-8860-43a0-91fb-e2f9ef9a0170}" type="CATEGORYNAME">
                      <a:rPr lang="en-US"/>
                      <a:pPr>
                        <a:defRPr>
                          <a:latin typeface="Times New Roman" panose="02020603050405020304" pitchFamily="18" charset="0"/>
                          <a:cs typeface="Times New Roman" panose="02020603050405020304" pitchFamily="18" charset="0"/>
                        </a:defRPr>
                      </a:pPr>
                      <a:t>[CATEGORY NAME]</a:t>
                    </a:fld>
                    <a:r>
                      <a:rPr lang="en-US" baseline="0"/>
                      <a:t>
</a:t>
                    </a:r>
                    <a:fld id="{302e04fa-3db6-4492-be1c-0c63e014671c}" type="VALUE">
                      <a:rPr lang="en-US" baseline="0"/>
                      <a:pPr>
                        <a:defRPr>
                          <a:latin typeface="Times New Roman" panose="02020603050405020304" pitchFamily="18" charset="0"/>
                          <a:cs typeface="Times New Roman" panose="02020603050405020304" pitchFamily="18" charset="0"/>
                        </a:defRPr>
                      </a:pPr>
                      <a:t>[VALUE]</a:t>
                    </a:fld>
                    <a:r>
                      <a:rPr lang="en-US" baseline="0"/>
                      <a:t>
27%</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14772230500645045"/>
                      <c:h val="0.18150155649148506"/>
                    </c:manualLayout>
                  </c15:layout>
                  <c15:showDataLabelsRange val="0"/>
                </c:ext>
                <c:ext xmlns:c16="http://schemas.microsoft.com/office/drawing/2014/chart" uri="{C3380CC4-5D6E-409C-BE32-E72D297353CC}">
                  <c16:uniqueId val="{0000000D-4A3E-43DE-A0C4-4F5CDFE78E0B}"/>
                </c:ext>
              </c:extLst>
            </c:dLbl>
            <c:dLbl>
              <c:idx val="7"/>
              <c:layout>
                <c:manualLayout>
                  <c:x val="-0.18437167609442398"/>
                  <c:y val="-0.13131233595800526"/>
                </c:manualLayout>
              </c:layout>
              <c:tx>
                <c:rich>
                  <a:bodyPr/>
                  <a:lstStyle/>
                  <a:p>
                    <a:fld id="{2801f07a-1b4f-4506-82e0-c11f9130811f}" type="CATEGORYNAME">
                      <a:rPr lang="en-US"/>
                      <a:t>[CATEGORY NAME]</a:t>
                    </a:fld>
                    <a:r>
                      <a:rPr lang="en-US" baseline="0"/>
                      <a:t>
</a:t>
                    </a:r>
                    <a:fld id="{347e1705-300f-415f-8a91-5178dcb97418}" type="VALUE">
                      <a:rPr lang="en-US" baseline="0"/>
                      <a:t>[VALUE]</a:t>
                    </a:fld>
                    <a:r>
                      <a:rPr lang="en-US" baseline="0"/>
                      <a:t>
23%</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1776617727025557"/>
                      <c:h val="0.12911725955204217"/>
                    </c:manualLayout>
                  </c15:layout>
                  <c15:showDataLabelsRange val="0"/>
                </c:ext>
                <c:ext xmlns:c16="http://schemas.microsoft.com/office/drawing/2014/chart" uri="{C3380CC4-5D6E-409C-BE32-E72D297353CC}">
                  <c16:uniqueId val="{0000000F-4A3E-43DE-A0C4-4F5CDFE78E0B}"/>
                </c:ext>
              </c:extLst>
            </c:dLbl>
            <c:dLbl>
              <c:idx val="8"/>
              <c:layout>
                <c:manualLayout>
                  <c:x val="0.22365925718120855"/>
                  <c:y val="0.042002380516388937"/>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7f69e4dc-8fab-4676-af9a-115bf1a95c8d}" type="CATEGORYNAME">
                      <a:rPr lang="en-US"/>
                      <a:pPr>
                        <a:defRPr>
                          <a:latin typeface="Times New Roman" panose="02020603050405020304" pitchFamily="18" charset="0"/>
                          <a:cs typeface="Times New Roman" panose="02020603050405020304" pitchFamily="18" charset="0"/>
                        </a:defRPr>
                      </a:pPr>
                      <a:t>[CATEGORY NAME]</a:t>
                    </a:fld>
                    <a:r>
                      <a:rPr lang="en-US" baseline="0"/>
                      <a:t>
</a:t>
                    </a:r>
                    <a:fld id="{52a34162-a5a3-4b23-8395-72c645536b60}" type="VALUE">
                      <a:rPr lang="en-US" baseline="0"/>
                      <a:pPr>
                        <a:defRPr>
                          <a:latin typeface="Times New Roman" panose="02020603050405020304" pitchFamily="18" charset="0"/>
                          <a:cs typeface="Times New Roman" panose="02020603050405020304" pitchFamily="18" charset="0"/>
                        </a:defRPr>
                      </a:pPr>
                      <a:t>[VALUE]</a:t>
                    </a:fld>
                    <a:r>
                      <a:rPr lang="en-US" baseline="0"/>
                      <a:t>
62%</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13778211722288652"/>
                      <c:h val="0.13240594925634294"/>
                    </c:manualLayout>
                  </c15:layout>
                  <c15:showDataLabelsRange val="0"/>
                </c:ext>
                <c:ext xmlns:c16="http://schemas.microsoft.com/office/drawing/2014/chart" uri="{C3380CC4-5D6E-409C-BE32-E72D297353CC}">
                  <c16:uniqueId val="{00000011-4A3E-43DE-A0C4-4F5CDFE78E0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showLeaderLines val="1"/>
            <c:leaderLines>
              <c:spPr>
                <a:ln w="9525">
                  <a:solidFill>
                    <a:schemeClr val="tx1"/>
                  </a:solidFill>
                  <a:prstDash val="solid"/>
                  <a:round/>
                </a:ln>
                <a:effectLst/>
              </c:spPr>
            </c:leaderLines>
            <c:extLst>
              <c:ext xmlns:c15="http://schemas.microsoft.com/office/drawing/2012/chart" uri="{CE6537A1-D6FC-4f65-9D91-7224C49458BB}"/>
            </c:extLst>
          </c:dLbls>
          <c:cat>
            <c:strRef>
              <c:f>'Source of NAF'!$B$2:$B$10</c:f>
              <c:strCache>
                <c:ptCount val="9"/>
                <c:pt idx="0">
                  <c:v>TRS</c:v>
                </c:pt>
                <c:pt idx="1">
                  <c:v>FCC - Auctions Program</c:v>
                </c:pt>
                <c:pt idx="2">
                  <c:v>FCC - Appropriations </c:v>
                </c:pt>
                <c:pt idx="3">
                  <c:v>FCC - Broadband DATA Act</c:v>
                </c:pt>
                <c:pt idx="4">
                  <c:v>FCC - COVID-19 Telehealth</c:v>
                </c:pt>
                <c:pt idx="5">
                  <c:v>FCC - ACF-ACP</c:v>
                </c:pt>
                <c:pt idx="6">
                  <c:v>FCC - ECD</c:v>
                </c:pt>
                <c:pt idx="7">
                  <c:v>FCC - SCRP</c:v>
                </c:pt>
                <c:pt idx="8">
                  <c:v>USF</c:v>
                </c:pt>
              </c:strCache>
            </c:strRef>
          </c:cat>
          <c:val>
            <c:numRef>
              <c:f>'Source of NAF'!$C$2:$C$10</c:f>
              <c:numCache>
                <c:formatCode>_("$"* #,##0_);_("$"* \(#,##0\);_("$"* "-"_);_(@_)</c:formatCode>
                <c:ptCount val="9"/>
                <c:pt idx="0">
                  <c:v>1500</c:v>
                </c:pt>
                <c:pt idx="1">
                  <c:v>136</c:v>
                </c:pt>
                <c:pt idx="2">
                  <c:v>390</c:v>
                </c:pt>
                <c:pt idx="7">
                  <c:v>3080</c:v>
                </c:pt>
                <c:pt idx="8">
                  <c:v>8573</c:v>
                </c:pt>
              </c:numCache>
            </c:numRef>
          </c:val>
          <c:extLst>
            <c:ext xmlns:c16="http://schemas.microsoft.com/office/drawing/2014/chart" uri="{C3380CC4-5D6E-409C-BE32-E72D297353CC}">
              <c16:uniqueId val="{00000012-4A3E-43DE-A0C4-4F5CDFE78E0B}"/>
            </c:ext>
          </c:extLst>
        </c:ser>
        <c:ser>
          <c:idx val="1"/>
          <c:order val="1"/>
          <c:dPt>
            <c:idx val="0"/>
            <c:bubble3D val="0"/>
            <c:spPr>
              <a:solidFill>
                <a:schemeClr val="accent1"/>
              </a:solidFill>
              <a:ln>
                <a:noFill/>
              </a:ln>
              <a:effectLst/>
              <a:sp3d/>
            </c:spPr>
            <c:extLst>
              <c:ext xmlns:c16="http://schemas.microsoft.com/office/drawing/2014/chart" uri="{C3380CC4-5D6E-409C-BE32-E72D297353CC}">
                <c16:uniqueId val="{00000014-4A3E-43DE-A0C4-4F5CDFE78E0B}"/>
              </c:ext>
            </c:extLst>
          </c:dPt>
          <c:dPt>
            <c:idx val="1"/>
            <c:bubble3D val="0"/>
            <c:spPr>
              <a:solidFill>
                <a:schemeClr val="accent2"/>
              </a:solidFill>
              <a:ln>
                <a:noFill/>
              </a:ln>
              <a:effectLst/>
              <a:sp3d/>
            </c:spPr>
            <c:extLst>
              <c:ext xmlns:c16="http://schemas.microsoft.com/office/drawing/2014/chart" uri="{C3380CC4-5D6E-409C-BE32-E72D297353CC}">
                <c16:uniqueId val="{00000016-4A3E-43DE-A0C4-4F5CDFE78E0B}"/>
              </c:ext>
            </c:extLst>
          </c:dPt>
          <c:dPt>
            <c:idx val="2"/>
            <c:bubble3D val="0"/>
            <c:spPr>
              <a:solidFill>
                <a:schemeClr val="accent3"/>
              </a:solidFill>
              <a:ln>
                <a:noFill/>
              </a:ln>
              <a:effectLst/>
              <a:sp3d/>
            </c:spPr>
            <c:extLst>
              <c:ext xmlns:c16="http://schemas.microsoft.com/office/drawing/2014/chart" uri="{C3380CC4-5D6E-409C-BE32-E72D297353CC}">
                <c16:uniqueId val="{00000018-4A3E-43DE-A0C4-4F5CDFE78E0B}"/>
              </c:ext>
            </c:extLst>
          </c:dPt>
          <c:dPt>
            <c:idx val="3"/>
            <c:bubble3D val="0"/>
            <c:spPr>
              <a:solidFill>
                <a:schemeClr val="accent4"/>
              </a:solidFill>
              <a:ln>
                <a:noFill/>
              </a:ln>
              <a:effectLst/>
              <a:sp3d/>
            </c:spPr>
            <c:extLst>
              <c:ext xmlns:c16="http://schemas.microsoft.com/office/drawing/2014/chart" uri="{C3380CC4-5D6E-409C-BE32-E72D297353CC}">
                <c16:uniqueId val="{0000001A-4A3E-43DE-A0C4-4F5CDFE78E0B}"/>
              </c:ext>
            </c:extLst>
          </c:dPt>
          <c:dPt>
            <c:idx val="4"/>
            <c:bubble3D val="0"/>
            <c:spPr>
              <a:solidFill>
                <a:schemeClr val="accent5"/>
              </a:solidFill>
              <a:ln>
                <a:noFill/>
              </a:ln>
              <a:effectLst/>
              <a:sp3d/>
            </c:spPr>
            <c:extLst>
              <c:ext xmlns:c16="http://schemas.microsoft.com/office/drawing/2014/chart" uri="{C3380CC4-5D6E-409C-BE32-E72D297353CC}">
                <c16:uniqueId val="{0000001C-4A3E-43DE-A0C4-4F5CDFE78E0B}"/>
              </c:ext>
            </c:extLst>
          </c:dPt>
          <c:dPt>
            <c:idx val="5"/>
            <c:bubble3D val="0"/>
            <c:spPr>
              <a:solidFill>
                <a:schemeClr val="accent6"/>
              </a:solidFill>
              <a:ln>
                <a:noFill/>
              </a:ln>
              <a:effectLst/>
              <a:sp3d/>
            </c:spPr>
            <c:extLst>
              <c:ext xmlns:c16="http://schemas.microsoft.com/office/drawing/2014/chart" uri="{C3380CC4-5D6E-409C-BE32-E72D297353CC}">
                <c16:uniqueId val="{0000001E-4A3E-43DE-A0C4-4F5CDFE78E0B}"/>
              </c:ext>
            </c:extLst>
          </c:dPt>
          <c:dPt>
            <c:idx val="6"/>
            <c:bubble3D val="0"/>
            <c:spPr>
              <a:solidFill>
                <a:schemeClr val="accent1">
                  <a:lumMod val="60000"/>
                </a:schemeClr>
              </a:solidFill>
              <a:ln>
                <a:noFill/>
              </a:ln>
              <a:effectLst/>
              <a:sp3d/>
            </c:spPr>
            <c:extLst>
              <c:ext xmlns:c16="http://schemas.microsoft.com/office/drawing/2014/chart" uri="{C3380CC4-5D6E-409C-BE32-E72D297353CC}">
                <c16:uniqueId val="{00000020-4A3E-43DE-A0C4-4F5CDFE78E0B}"/>
              </c:ext>
            </c:extLst>
          </c:dPt>
          <c:dPt>
            <c:idx val="7"/>
            <c:bubble3D val="0"/>
            <c:spPr>
              <a:solidFill>
                <a:schemeClr val="accent2">
                  <a:lumMod val="60000"/>
                </a:schemeClr>
              </a:solidFill>
              <a:ln>
                <a:noFill/>
              </a:ln>
              <a:effectLst/>
              <a:sp3d/>
            </c:spPr>
            <c:extLst>
              <c:ext xmlns:c16="http://schemas.microsoft.com/office/drawing/2014/chart" uri="{C3380CC4-5D6E-409C-BE32-E72D297353CC}">
                <c16:uniqueId val="{00000022-4A3E-43DE-A0C4-4F5CDFE78E0B}"/>
              </c:ext>
            </c:extLst>
          </c:dPt>
          <c:dPt>
            <c:idx val="8"/>
            <c:bubble3D val="0"/>
            <c:spPr>
              <a:solidFill>
                <a:schemeClr val="accent3">
                  <a:lumMod val="60000"/>
                </a:schemeClr>
              </a:solidFill>
              <a:ln>
                <a:noFill/>
              </a:ln>
              <a:effectLst/>
              <a:sp3d/>
            </c:spPr>
            <c:extLst>
              <c:ext xmlns:c16="http://schemas.microsoft.com/office/drawing/2014/chart" uri="{C3380CC4-5D6E-409C-BE32-E72D297353CC}">
                <c16:uniqueId val="{00000024-4A3E-43DE-A0C4-4F5CDFE78E0B}"/>
              </c:ext>
            </c:extLst>
          </c:dPt>
          <c:cat>
            <c:strRef>
              <c:f>'Source of NAF'!$B$2:$B$10</c:f>
              <c:strCache>
                <c:ptCount val="9"/>
                <c:pt idx="0">
                  <c:v>TRS</c:v>
                </c:pt>
                <c:pt idx="1">
                  <c:v>FCC - Auctions Program</c:v>
                </c:pt>
                <c:pt idx="2">
                  <c:v>FCC - Appropriations </c:v>
                </c:pt>
                <c:pt idx="3">
                  <c:v>FCC - Broadband DATA Act</c:v>
                </c:pt>
                <c:pt idx="4">
                  <c:v>FCC - COVID-19 Telehealth</c:v>
                </c:pt>
                <c:pt idx="5">
                  <c:v>FCC - ACF-ACP</c:v>
                </c:pt>
                <c:pt idx="6">
                  <c:v>FCC - ECD</c:v>
                </c:pt>
                <c:pt idx="7">
                  <c:v>FCC - SCRP</c:v>
                </c:pt>
                <c:pt idx="8">
                  <c:v>USF</c:v>
                </c:pt>
              </c:strCache>
            </c:strRef>
          </c:cat>
          <c:val>
            <c:numRef>
              <c:f>'Source of NAF'!$D$2:$D$10</c:f>
              <c:numCache>
                <c:formatCode>0%</c:formatCode>
                <c:ptCount val="9"/>
                <c:pt idx="0">
                  <c:v>0.10965713867972805</c:v>
                </c:pt>
                <c:pt idx="1">
                  <c:v>0.0087422472402953443</c:v>
                </c:pt>
                <c:pt idx="2">
                  <c:v>0.028510856056729292</c:v>
                </c:pt>
                <c:pt idx="3">
                  <c:v>0</c:v>
                </c:pt>
                <c:pt idx="4">
                  <c:v>0</c:v>
                </c:pt>
                <c:pt idx="5">
                  <c:v>0</c:v>
                </c:pt>
                <c:pt idx="6">
                  <c:v>0</c:v>
                </c:pt>
                <c:pt idx="7">
                  <c:v>0.2251626580890416</c:v>
                </c:pt>
                <c:pt idx="8">
                  <c:v>0.62672709993420572</c:v>
                </c:pt>
              </c:numCache>
            </c:numRef>
          </c:val>
          <c:extLst>
            <c:ext xmlns:c16="http://schemas.microsoft.com/office/drawing/2014/chart" uri="{C3380CC4-5D6E-409C-BE32-E72D297353CC}">
              <c16:uniqueId val="{00000025-4A3E-43DE-A0C4-4F5CDFE78E0B}"/>
            </c:ext>
          </c:extLst>
        </c:ser>
        <c:dLbls>
          <c:showLegendKey val="0"/>
          <c:showVal val="0"/>
          <c:showCatName val="0"/>
          <c:showSerName val="0"/>
          <c:showPercent val="0"/>
          <c:showBubbleSize val="0"/>
          <c:showLeaderLines val="1"/>
        </c:dLbls>
      </c:pie3DChart>
      <c:spPr>
        <a:noFill/>
        <a:ln w="25400">
          <a:noFill/>
        </a:ln>
        <a:effectLst/>
      </c:spPr>
    </c:plotArea>
    <c:plotVisOnly val="1"/>
    <c:dispBlanksAs val="gap"/>
    <c:showDLblsOverMax val="0"/>
  </c:chart>
  <c:spPr>
    <a:gradFill rotWithShape="1">
      <a:gsLst>
        <a:gs pos="0">
          <a:srgbClr val="00B050"/>
        </a:gs>
        <a:gs pos="54000">
          <a:schemeClr val="bg1">
            <a:lumMod val="95000"/>
            <a:lumOff val="5000"/>
          </a:schemeClr>
        </a:gs>
        <a:gs pos="100000">
          <a:srgbClr val="00B050"/>
        </a:gs>
      </a:gsLst>
      <a:lin ang="5400000" scaled="1"/>
    </a:gradFill>
    <a:ln w="9525">
      <a:solidFill>
        <a:schemeClr val="tx1"/>
      </a:solidFill>
      <a:prstDash val="solid"/>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60"/>
      <c:rotY val="100"/>
      <c:rAngAx val="0"/>
      <c:perspective val="50"/>
    </c:view3D>
    <c:floor>
      <c:thickness val="0"/>
      <c:spPr>
        <a:noFill/>
        <a:ln w="9525">
          <a:solidFill>
            <a:schemeClr val="tx1">
              <a:tint val="75000"/>
            </a:schemeClr>
          </a:solidFill>
          <a:prstDash val="solid"/>
          <a:round/>
        </a:ln>
        <a:effectLst/>
        <a:sp3d contourW="9525">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05066571470127"/>
          <c:y val="0.17647832707587"/>
          <c:w val="0.50329174151116962"/>
          <c:h val="0.77372915264936082"/>
        </c:manualLayout>
      </c:layout>
      <c:pie3DChart>
        <c:varyColors val="1"/>
        <c:ser>
          <c:idx val="0"/>
          <c:order val="0"/>
          <c:explosion val="2"/>
          <c:dPt>
            <c:idx val="0"/>
            <c:bubble3D val="0"/>
            <c:spPr>
              <a:solidFill>
                <a:schemeClr val="accent1"/>
              </a:solidFill>
              <a:ln>
                <a:noFill/>
              </a:ln>
              <a:effectLst/>
              <a:sp3d/>
            </c:spPr>
            <c:extLst>
              <c:ext xmlns:c16="http://schemas.microsoft.com/office/drawing/2014/chart" uri="{C3380CC4-5D6E-409C-BE32-E72D297353CC}">
                <c16:uniqueId val="{00000001-0C2A-4C08-99D2-775CD5265C0A}"/>
              </c:ext>
            </c:extLst>
          </c:dPt>
          <c:dPt>
            <c:idx val="1"/>
            <c:bubble3D val="0"/>
            <c:spPr>
              <a:solidFill>
                <a:schemeClr val="accent2"/>
              </a:solidFill>
              <a:ln>
                <a:noFill/>
              </a:ln>
              <a:effectLst/>
              <a:sp3d/>
            </c:spPr>
            <c:extLst>
              <c:ext xmlns:c16="http://schemas.microsoft.com/office/drawing/2014/chart" uri="{C3380CC4-5D6E-409C-BE32-E72D297353CC}">
                <c16:uniqueId val="{00000003-0C2A-4C08-99D2-775CD5265C0A}"/>
              </c:ext>
            </c:extLst>
          </c:dPt>
          <c:dPt>
            <c:idx val="2"/>
            <c:bubble3D val="0"/>
            <c:spPr>
              <a:solidFill>
                <a:schemeClr val="accent3"/>
              </a:solidFill>
              <a:ln>
                <a:noFill/>
              </a:ln>
              <a:effectLst/>
              <a:sp3d/>
            </c:spPr>
            <c:extLst>
              <c:ext xmlns:c16="http://schemas.microsoft.com/office/drawing/2014/chart" uri="{C3380CC4-5D6E-409C-BE32-E72D297353CC}">
                <c16:uniqueId val="{00000005-0C2A-4C08-99D2-775CD5265C0A}"/>
              </c:ext>
            </c:extLst>
          </c:dPt>
          <c:dPt>
            <c:idx val="3"/>
            <c:bubble3D val="0"/>
            <c:spPr>
              <a:solidFill>
                <a:schemeClr val="accent4"/>
              </a:solidFill>
              <a:ln>
                <a:noFill/>
              </a:ln>
              <a:effectLst/>
              <a:sp3d/>
            </c:spPr>
            <c:extLst>
              <c:ext xmlns:c16="http://schemas.microsoft.com/office/drawing/2014/chart" uri="{C3380CC4-5D6E-409C-BE32-E72D297353CC}">
                <c16:uniqueId val="{00000007-0C2A-4C08-99D2-775CD5265C0A}"/>
              </c:ext>
            </c:extLst>
          </c:dPt>
          <c:dPt>
            <c:idx val="4"/>
            <c:bubble3D val="0"/>
            <c:spPr>
              <a:solidFill>
                <a:schemeClr val="accent5"/>
              </a:solidFill>
              <a:ln>
                <a:noFill/>
              </a:ln>
              <a:effectLst/>
              <a:sp3d/>
            </c:spPr>
            <c:extLst>
              <c:ext xmlns:c16="http://schemas.microsoft.com/office/drawing/2014/chart" uri="{C3380CC4-5D6E-409C-BE32-E72D297353CC}">
                <c16:uniqueId val="{00000009-0C2A-4C08-99D2-775CD5265C0A}"/>
              </c:ext>
            </c:extLst>
          </c:dPt>
          <c:dPt>
            <c:idx val="5"/>
            <c:bubble3D val="0"/>
            <c:spPr>
              <a:solidFill>
                <a:schemeClr val="accent6"/>
              </a:solidFill>
              <a:ln>
                <a:noFill/>
              </a:ln>
              <a:effectLst/>
              <a:sp3d/>
            </c:spPr>
            <c:extLst>
              <c:ext xmlns:c16="http://schemas.microsoft.com/office/drawing/2014/chart" uri="{C3380CC4-5D6E-409C-BE32-E72D297353CC}">
                <c16:uniqueId val="{0000000B-0C2A-4C08-99D2-775CD5265C0A}"/>
              </c:ext>
            </c:extLst>
          </c:dPt>
          <c:dPt>
            <c:idx val="6"/>
            <c:bubble3D val="0"/>
            <c:spPr>
              <a:solidFill>
                <a:schemeClr val="accent1">
                  <a:lumMod val="60000"/>
                </a:schemeClr>
              </a:solidFill>
              <a:ln>
                <a:noFill/>
              </a:ln>
              <a:effectLst/>
              <a:sp3d/>
            </c:spPr>
            <c:extLst>
              <c:ext xmlns:c16="http://schemas.microsoft.com/office/drawing/2014/chart" uri="{C3380CC4-5D6E-409C-BE32-E72D297353CC}">
                <c16:uniqueId val="{0000000D-0C2A-4C08-99D2-775CD5265C0A}"/>
              </c:ext>
            </c:extLst>
          </c:dPt>
          <c:dPt>
            <c:idx val="7"/>
            <c:bubble3D val="0"/>
            <c:spPr>
              <a:solidFill>
                <a:schemeClr val="accent2">
                  <a:lumMod val="60000"/>
                </a:schemeClr>
              </a:solidFill>
              <a:ln>
                <a:noFill/>
              </a:ln>
              <a:effectLst/>
              <a:sp3d/>
            </c:spPr>
            <c:extLst>
              <c:ext xmlns:c16="http://schemas.microsoft.com/office/drawing/2014/chart" uri="{C3380CC4-5D6E-409C-BE32-E72D297353CC}">
                <c16:uniqueId val="{0000000F-0C2A-4C08-99D2-775CD5265C0A}"/>
              </c:ext>
            </c:extLst>
          </c:dPt>
          <c:dLbls>
            <c:dLbl>
              <c:idx val="0"/>
              <c:layout>
                <c:manualLayout>
                  <c:x val="0.18810603585106778"/>
                  <c:y val="0.04804063383308092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C2A-4C08-99D2-775CD5265C0A}"/>
                </c:ext>
              </c:extLst>
            </c:dLbl>
            <c:dLbl>
              <c:idx val="1"/>
              <c:layout>
                <c:manualLayout>
                  <c:x val="0.015992011549506288"/>
                  <c:y val="-0.20991881815296759"/>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0be58e20-be98-418d-b519-ca0480b355af}" type="CATEGORYNAME">
                      <a:rPr lang="en-US" baseline="0"/>
                      <a:pPr>
                        <a:defRPr>
                          <a:latin typeface="Times New Roman" panose="02020603050405020304" pitchFamily="18" charset="0"/>
                          <a:cs typeface="Times New Roman" panose="02020603050405020304" pitchFamily="18" charset="0"/>
                        </a:defRPr>
                      </a:pPr>
                      <a:t>[CATEGORY NAME]</a:t>
                    </a:fld>
                    <a:r>
                      <a:rPr lang="en-US" baseline="0"/>
                      <a:t>
</a:t>
                    </a:r>
                    <a:fld id="{288e3a9c-8901-419d-8bd1-86d95682f3a0}" type="VALUE">
                      <a:rPr lang="en-US" baseline="0"/>
                      <a:pPr>
                        <a:defRPr>
                          <a:latin typeface="Times New Roman" panose="02020603050405020304" pitchFamily="18" charset="0"/>
                          <a:cs typeface="Times New Roman" panose="02020603050405020304" pitchFamily="18" charset="0"/>
                        </a:defRPr>
                      </a:pPr>
                      <a:t>[VALUE]</a:t>
                    </a:fld>
                    <a:r>
                      <a:rPr lang="en-US" baseline="0"/>
                      <a:t>
&lt;1%</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642340550515552"/>
                      <c:h val="0.19769590884527313"/>
                    </c:manualLayout>
                  </c15:layout>
                  <c15:showDataLabelsRange val="0"/>
                </c:ext>
                <c:ext xmlns:c16="http://schemas.microsoft.com/office/drawing/2014/chart" uri="{C3380CC4-5D6E-409C-BE32-E72D297353CC}">
                  <c16:uniqueId val="{00000003-0C2A-4C08-99D2-775CD5265C0A}"/>
                </c:ext>
              </c:extLst>
            </c:dLbl>
            <c:dLbl>
              <c:idx val="2"/>
              <c:layout>
                <c:manualLayout>
                  <c:x val="0.11319164662943158"/>
                  <c:y val="-0.098163906260244113"/>
                </c:manualLayout>
              </c:layout>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203538641799719"/>
                      <c:h val="0.18182263712600882"/>
                    </c:manualLayout>
                  </c15:layout>
                </c:ext>
                <c:ext xmlns:c16="http://schemas.microsoft.com/office/drawing/2014/chart" uri="{C3380CC4-5D6E-409C-BE32-E72D297353CC}">
                  <c16:uniqueId val="{00000005-0C2A-4C08-99D2-775CD5265C0A}"/>
                </c:ext>
              </c:extLst>
            </c:dLbl>
            <c:dLbl>
              <c:idx val="3"/>
              <c:layout>
                <c:manualLayout>
                  <c:x val="0.077961056303843035"/>
                  <c:y val="-0.015202728089929734"/>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d50d023c-97ab-4fd5-8cb3-5d1af9a5279b}" type="CATEGORYNAME">
                      <a:rPr lang="en-US" baseline="0"/>
                      <a:pPr>
                        <a:defRPr>
                          <a:latin typeface="Times New Roman" panose="02020603050405020304" pitchFamily="18" charset="0"/>
                          <a:cs typeface="Times New Roman" panose="02020603050405020304" pitchFamily="18" charset="0"/>
                        </a:defRPr>
                      </a:pPr>
                      <a:t>[CATEGORY NAME]</a:t>
                    </a:fld>
                    <a:r>
                      <a:rPr lang="en-US" baseline="0"/>
                      <a:t>
</a:t>
                    </a:r>
                    <a:fld id="{60d1dd4f-dab8-44a2-98cf-73cf7dd7a70a}" type="VALUE">
                      <a:rPr lang="en-US" baseline="0"/>
                      <a:pPr>
                        <a:defRPr>
                          <a:latin typeface="Times New Roman" panose="02020603050405020304" pitchFamily="18" charset="0"/>
                          <a:cs typeface="Times New Roman" panose="02020603050405020304" pitchFamily="18" charset="0"/>
                        </a:defRPr>
                      </a:pPr>
                      <a:t>[VALUE]</a:t>
                    </a:fld>
                    <a:r>
                      <a:rPr lang="en-US" baseline="0"/>
                      <a:t>
&lt;1%</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96256358241206"/>
                      <c:h val="0.21715071342052178"/>
                    </c:manualLayout>
                  </c15:layout>
                  <c15:showDataLabelsRange val="0"/>
                </c:ext>
                <c:ext xmlns:c16="http://schemas.microsoft.com/office/drawing/2014/chart" uri="{C3380CC4-5D6E-409C-BE32-E72D297353CC}">
                  <c16:uniqueId val="{00000007-0C2A-4C08-99D2-775CD5265C0A}"/>
                </c:ext>
              </c:extLst>
            </c:dLbl>
            <c:dLbl>
              <c:idx val="4"/>
              <c:layout>
                <c:manualLayout>
                  <c:x val="0.044977689884674786"/>
                  <c:y val="0.21093590552577177"/>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a65e79fd-f54a-48b3-b490-d7f4428e7140}" type="CATEGORYNAME">
                      <a:rPr lang="en-US" baseline="0"/>
                      <a:pPr>
                        <a:defRPr>
                          <a:latin typeface="Times New Roman" panose="02020603050405020304" pitchFamily="18" charset="0"/>
                          <a:cs typeface="Times New Roman" panose="02020603050405020304" pitchFamily="18" charset="0"/>
                        </a:defRPr>
                      </a:pPr>
                      <a:t>[CATEGORY NAME]</a:t>
                    </a:fld>
                    <a:r>
                      <a:rPr lang="en-US" baseline="0"/>
                      <a:t>
</a:t>
                    </a:r>
                    <a:fld id="{fa08b554-d25a-4941-a6d7-155d274cdc70}" type="VALUE">
                      <a:rPr lang="en-US" baseline="0"/>
                      <a:pPr>
                        <a:defRPr>
                          <a:latin typeface="Times New Roman" panose="02020603050405020304" pitchFamily="18" charset="0"/>
                          <a:cs typeface="Times New Roman" panose="02020603050405020304" pitchFamily="18" charset="0"/>
                        </a:defRPr>
                      </a:pPr>
                      <a:t>[VALUE]</a:t>
                    </a:fld>
                    <a:endParaRPr lang="en-US" baseline="0"/>
                  </a:p>
                  <a:p>
                    <a:pPr>
                      <a:defRPr>
                        <a:latin typeface="Times New Roman" panose="02020603050405020304" pitchFamily="18" charset="0"/>
                        <a:cs typeface="Times New Roman" panose="02020603050405020304" pitchFamily="18" charset="0"/>
                      </a:defRPr>
                    </a:pPr>
                    <a:r>
                      <a:rPr lang="en-US" baseline="0"/>
                      <a:t>&lt;1%</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273319217549909"/>
                      <c:h val="0.15345353384225091"/>
                    </c:manualLayout>
                  </c15:layout>
                  <c15:showDataLabelsRange val="0"/>
                </c:ext>
                <c:ext xmlns:c16="http://schemas.microsoft.com/office/drawing/2014/chart" uri="{C3380CC4-5D6E-409C-BE32-E72D297353CC}">
                  <c16:uniqueId val="{00000009-0C2A-4C08-99D2-775CD5265C0A}"/>
                </c:ext>
              </c:extLst>
            </c:dLbl>
            <c:dLbl>
              <c:idx val="5"/>
              <c:delete val="1"/>
              <c:extLst>
                <c:ext xmlns:c15="http://schemas.microsoft.com/office/drawing/2012/chart" uri="{CE6537A1-D6FC-4f65-9D91-7224C49458BB}"/>
                <c:ext xmlns:c16="http://schemas.microsoft.com/office/drawing/2014/chart" uri="{C3380CC4-5D6E-409C-BE32-E72D297353CC}">
                  <c16:uniqueId val="{0000000B-0C2A-4C08-99D2-775CD5265C0A}"/>
                </c:ext>
              </c:extLst>
            </c:dLbl>
            <c:dLbl>
              <c:idx val="6"/>
              <c:layout>
                <c:manualLayout>
                  <c:x val="0.067764862232115614"/>
                  <c:y val="0.18406242927817618"/>
                </c:manualLayout>
              </c:layout>
              <c:tx>
                <c:rich>
                  <a:bodyPr/>
                  <a:lstStyle/>
                  <a:p>
                    <a:fld id="{8f7d04e9-ef54-4cbb-93bd-cf930e646c07}" type="CATEGORYNAME">
                      <a:rPr lang="en-US"/>
                      <a:t>[CATEGORY NAME]</a:t>
                    </a:fld>
                    <a:r>
                      <a:rPr lang="en-US" baseline="0"/>
                      <a:t>
</a:t>
                    </a:r>
                    <a:fld id="{190eb873-bf8b-4a3e-8b2f-96741ca8353a}" type="VALUE">
                      <a:rPr lang="en-US" baseline="0"/>
                      <a:t>[VALUE]</a:t>
                    </a:fld>
                    <a:r>
                      <a:rPr lang="en-US" baseline="0"/>
                      <a:t>
&lt;1%</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D-0C2A-4C08-99D2-775CD5265C0A}"/>
                </c:ext>
              </c:extLst>
            </c:dLbl>
            <c:dLbl>
              <c:idx val="7"/>
              <c:layout>
                <c:manualLayout>
                  <c:x val="0.086271957813991121"/>
                  <c:y val="0.011279552329085328"/>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66340189-6915-4aa3-bf40-12983915f8b6}" type="CATEGORYNAME">
                      <a:rPr lang="en-US"/>
                      <a:pPr>
                        <a:defRPr>
                          <a:latin typeface="Times New Roman" panose="02020603050405020304" pitchFamily="18" charset="0"/>
                          <a:cs typeface="Times New Roman" panose="02020603050405020304" pitchFamily="18" charset="0"/>
                        </a:defRPr>
                      </a:pPr>
                      <a:t>[CATEGORY NAME]</a:t>
                    </a:fld>
                    <a:r>
                      <a:rPr lang="en-US" baseline="0"/>
                      <a:t>
</a:t>
                    </a:r>
                    <a:fld id="{bf9d7259-d3e4-4502-9997-3f405f25f661}" type="VALUE">
                      <a:rPr lang="en-US" baseline="0"/>
                      <a:pPr>
                        <a:defRPr>
                          <a:latin typeface="Times New Roman" panose="02020603050405020304" pitchFamily="18" charset="0"/>
                          <a:cs typeface="Times New Roman" panose="02020603050405020304" pitchFamily="18" charset="0"/>
                        </a:defRPr>
                      </a:pPr>
                      <a:t>[VALUE]</a:t>
                    </a:fld>
                    <a:r>
                      <a:rPr lang="en-US" baseline="0"/>
                      <a:t>
&lt; 1%</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052394291489259"/>
                      <c:h val="0.17427382096169264"/>
                    </c:manualLayout>
                  </c15:layout>
                  <c15:showDataLabelsRange val="0"/>
                </c:ext>
                <c:ext xmlns:c16="http://schemas.microsoft.com/office/drawing/2014/chart" uri="{C3380CC4-5D6E-409C-BE32-E72D297353CC}">
                  <c16:uniqueId val="{0000000F-0C2A-4C08-99D2-775CD5265C0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showLeaderLines val="1"/>
            <c:leaderLines>
              <c:spPr>
                <a:ln w="9525">
                  <a:solidFill>
                    <a:schemeClr val="tx1"/>
                  </a:solidFill>
                  <a:prstDash val="solid"/>
                  <a:round/>
                </a:ln>
                <a:effectLst/>
              </c:spPr>
            </c:leaderLines>
            <c:extLst>
              <c:ext xmlns:c15="http://schemas.microsoft.com/office/drawing/2012/chart" uri="{CE6537A1-D6FC-4f65-9D91-7224C49458BB}"/>
            </c:extLst>
          </c:dLbls>
          <c:cat>
            <c:strRef>
              <c:f>'Total Assets'!$A$2:$A$6</c:f>
              <c:strCache>
                <c:ptCount val="5"/>
                <c:pt idx="0">
                  <c:v>Fund Balance with Treasury</c:v>
                </c:pt>
                <c:pt idx="1">
                  <c:v>Remaining Intragovernmental Assets</c:v>
                </c:pt>
                <c:pt idx="2">
                  <c:v>Accounts Receivable, Net</c:v>
                </c:pt>
                <c:pt idx="3">
                  <c:v>Property, Plant, and Equipment, Net</c:v>
                </c:pt>
                <c:pt idx="4">
                  <c:v>Advances and Prepayments</c:v>
                </c:pt>
              </c:strCache>
            </c:strRef>
          </c:cat>
          <c:val>
            <c:numRef>
              <c:f>'Total Assets'!$B$2:$B$6</c:f>
              <c:numCache>
                <c:formatCode>_("$"* #,##0_);_("$"* \(#,##0\);_("$"* "-"??_);_(@_)</c:formatCode>
                <c:ptCount val="5"/>
                <c:pt idx="0">
                  <c:v>14759138</c:v>
                </c:pt>
                <c:pt idx="1">
                  <c:v>1217</c:v>
                </c:pt>
                <c:pt idx="2">
                  <c:v>934095</c:v>
                </c:pt>
                <c:pt idx="3">
                  <c:v>110050</c:v>
                </c:pt>
                <c:pt idx="4">
                  <c:v>13024</c:v>
                </c:pt>
              </c:numCache>
            </c:numRef>
          </c:val>
          <c:extLst>
            <c:ext xmlns:c16="http://schemas.microsoft.com/office/drawing/2014/chart" uri="{C3380CC4-5D6E-409C-BE32-E72D297353CC}">
              <c16:uniqueId val="{00000010-0C2A-4C08-99D2-775CD5265C0A}"/>
            </c:ext>
          </c:extLst>
        </c:ser>
        <c:ser>
          <c:idx val="1"/>
          <c:order val="1"/>
          <c:dPt>
            <c:idx val="0"/>
            <c:bubble3D val="0"/>
            <c:spPr>
              <a:solidFill>
                <a:schemeClr val="accent1"/>
              </a:solidFill>
              <a:ln>
                <a:noFill/>
              </a:ln>
              <a:effectLst/>
              <a:sp3d/>
            </c:spPr>
            <c:extLst>
              <c:ext xmlns:c16="http://schemas.microsoft.com/office/drawing/2014/chart" uri="{C3380CC4-5D6E-409C-BE32-E72D297353CC}">
                <c16:uniqueId val="{00000012-0C2A-4C08-99D2-775CD5265C0A}"/>
              </c:ext>
            </c:extLst>
          </c:dPt>
          <c:dPt>
            <c:idx val="1"/>
            <c:bubble3D val="0"/>
            <c:spPr>
              <a:solidFill>
                <a:schemeClr val="accent2"/>
              </a:solidFill>
              <a:ln>
                <a:noFill/>
              </a:ln>
              <a:effectLst/>
              <a:sp3d/>
            </c:spPr>
            <c:extLst>
              <c:ext xmlns:c16="http://schemas.microsoft.com/office/drawing/2014/chart" uri="{C3380CC4-5D6E-409C-BE32-E72D297353CC}">
                <c16:uniqueId val="{00000014-0C2A-4C08-99D2-775CD5265C0A}"/>
              </c:ext>
            </c:extLst>
          </c:dPt>
          <c:dPt>
            <c:idx val="2"/>
            <c:bubble3D val="0"/>
            <c:spPr>
              <a:solidFill>
                <a:schemeClr val="accent3"/>
              </a:solidFill>
              <a:ln>
                <a:noFill/>
              </a:ln>
              <a:effectLst/>
              <a:sp3d/>
            </c:spPr>
            <c:extLst>
              <c:ext xmlns:c16="http://schemas.microsoft.com/office/drawing/2014/chart" uri="{C3380CC4-5D6E-409C-BE32-E72D297353CC}">
                <c16:uniqueId val="{00000016-0C2A-4C08-99D2-775CD5265C0A}"/>
              </c:ext>
            </c:extLst>
          </c:dPt>
          <c:dPt>
            <c:idx val="3"/>
            <c:bubble3D val="0"/>
            <c:spPr>
              <a:solidFill>
                <a:schemeClr val="accent4"/>
              </a:solidFill>
              <a:ln>
                <a:noFill/>
              </a:ln>
              <a:effectLst/>
              <a:sp3d/>
            </c:spPr>
            <c:extLst>
              <c:ext xmlns:c16="http://schemas.microsoft.com/office/drawing/2014/chart" uri="{C3380CC4-5D6E-409C-BE32-E72D297353CC}">
                <c16:uniqueId val="{00000018-0C2A-4C08-99D2-775CD5265C0A}"/>
              </c:ext>
            </c:extLst>
          </c:dPt>
          <c:dPt>
            <c:idx val="4"/>
            <c:bubble3D val="0"/>
            <c:spPr>
              <a:solidFill>
                <a:schemeClr val="accent5"/>
              </a:solidFill>
              <a:ln>
                <a:noFill/>
              </a:ln>
              <a:effectLst/>
              <a:sp3d/>
            </c:spPr>
            <c:extLst>
              <c:ext xmlns:c16="http://schemas.microsoft.com/office/drawing/2014/chart" uri="{C3380CC4-5D6E-409C-BE32-E72D297353CC}">
                <c16:uniqueId val="{0000001A-0C2A-4C08-99D2-775CD5265C0A}"/>
              </c:ext>
            </c:extLst>
          </c:dPt>
          <c:cat>
            <c:strRef>
              <c:f>'Total Assets'!$A$2:$A$6</c:f>
              <c:strCache>
                <c:ptCount val="5"/>
                <c:pt idx="0">
                  <c:v>Fund Balance with Treasury</c:v>
                </c:pt>
                <c:pt idx="1">
                  <c:v>Remaining Intragovernmental Assets</c:v>
                </c:pt>
                <c:pt idx="2">
                  <c:v>Accounts Receivable, Net</c:v>
                </c:pt>
                <c:pt idx="3">
                  <c:v>Property, Plant, and Equipment, Net</c:v>
                </c:pt>
                <c:pt idx="4">
                  <c:v>Advances and Prepayments</c:v>
                </c:pt>
              </c:strCache>
            </c:strRef>
          </c:cat>
          <c:val>
            <c:numRef>
              <c:f>'Total Assets'!$C$2:$C$6</c:f>
              <c:numCache>
                <c:formatCode>0.00%</c:formatCode>
                <c:ptCount val="5"/>
                <c:pt idx="0">
                  <c:v>0.9330877576035288</c:v>
                </c:pt>
                <c:pt idx="1">
                  <c:v>7.6939981251174325E-05</c:v>
                </c:pt>
                <c:pt idx="2">
                  <c:v>0.05905443860872283</c:v>
                </c:pt>
                <c:pt idx="3">
                  <c:v>0.0069574732429677367</c:v>
                </c:pt>
                <c:pt idx="4">
                  <c:v>0.00082339056352941206</c:v>
                </c:pt>
              </c:numCache>
            </c:numRef>
          </c:val>
          <c:extLst>
            <c:ext xmlns:c16="http://schemas.microsoft.com/office/drawing/2014/chart" uri="{C3380CC4-5D6E-409C-BE32-E72D297353CC}">
              <c16:uniqueId val="{0000001B-0C2A-4C08-99D2-775CD5265C0A}"/>
            </c:ext>
          </c:extLst>
        </c:ser>
        <c:dLbls>
          <c:showLegendKey val="0"/>
          <c:showVal val="0"/>
          <c:showCatName val="0"/>
          <c:showSerName val="0"/>
          <c:showPercent val="0"/>
          <c:showBubbleSize val="0"/>
          <c:showLeaderLines val="1"/>
        </c:dLbls>
      </c:pie3DChart>
      <c:spPr>
        <a:noFill/>
        <a:ln w="25400">
          <a:noFill/>
        </a:ln>
        <a:effectLst/>
      </c:spPr>
    </c:plotArea>
    <c:plotVisOnly val="1"/>
    <c:dispBlanksAs val="gap"/>
    <c:showDLblsOverMax val="0"/>
  </c:chart>
  <c:spPr>
    <a:gradFill rotWithShape="1">
      <a:gsLst>
        <a:gs pos="0">
          <a:srgbClr val="00B050"/>
        </a:gs>
        <a:gs pos="50000">
          <a:schemeClr val="bg1"/>
        </a:gs>
        <a:gs pos="100000">
          <a:srgbClr val="00B050"/>
        </a:gs>
      </a:gsLst>
      <a:lin ang="5400000" scaled="1"/>
    </a:gradFill>
    <a:ln w="9525">
      <a:solidFill>
        <a:schemeClr val="tx1"/>
      </a:solidFill>
      <a:prstDash val="solid"/>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0"/>
      <c:rotY val="100"/>
      <c:rAngAx val="0"/>
      <c:perspective val="90"/>
    </c:view3D>
    <c:floor>
      <c:thickness val="0"/>
      <c:spPr>
        <a:noFill/>
        <a:ln w="9525">
          <a:solidFill>
            <a:schemeClr val="tx1">
              <a:tint val="75000"/>
            </a:schemeClr>
          </a:solidFill>
          <a:prstDash val="solid"/>
          <a:round/>
        </a:ln>
        <a:effectLst/>
        <a:sp3d contourW="9525">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29023407559301"/>
          <c:y val="0.13503374054659234"/>
          <c:w val="0.58778690187041482"/>
          <c:h val="0.83898821985846539"/>
        </c:manualLayout>
      </c:layout>
      <c:pie3DChart>
        <c:varyColors val="1"/>
        <c:ser>
          <c:idx val="0"/>
          <c:order val="0"/>
          <c:explosion val="3"/>
          <c:dPt>
            <c:idx val="0"/>
            <c:bubble3D val="0"/>
            <c:spPr>
              <a:solidFill>
                <a:schemeClr val="accent1"/>
              </a:solidFill>
              <a:ln>
                <a:noFill/>
              </a:ln>
              <a:effectLst/>
              <a:sp3d/>
            </c:spPr>
            <c:extLst>
              <c:ext xmlns:c16="http://schemas.microsoft.com/office/drawing/2014/chart" uri="{C3380CC4-5D6E-409C-BE32-E72D297353CC}">
                <c16:uniqueId val="{00000001-3B60-466B-B091-D0917F016397}"/>
              </c:ext>
            </c:extLst>
          </c:dPt>
          <c:dPt>
            <c:idx val="1"/>
            <c:bubble3D val="0"/>
            <c:spPr>
              <a:solidFill>
                <a:schemeClr val="accent2"/>
              </a:solidFill>
              <a:ln>
                <a:noFill/>
              </a:ln>
              <a:effectLst/>
              <a:sp3d/>
            </c:spPr>
            <c:extLst>
              <c:ext xmlns:c16="http://schemas.microsoft.com/office/drawing/2014/chart" uri="{C3380CC4-5D6E-409C-BE32-E72D297353CC}">
                <c16:uniqueId val="{00000003-3B60-466B-B091-D0917F016397}"/>
              </c:ext>
            </c:extLst>
          </c:dPt>
          <c:dPt>
            <c:idx val="2"/>
            <c:bubble3D val="0"/>
            <c:spPr>
              <a:solidFill>
                <a:schemeClr val="accent3"/>
              </a:solidFill>
              <a:ln>
                <a:noFill/>
              </a:ln>
              <a:effectLst/>
              <a:sp3d/>
            </c:spPr>
            <c:extLst>
              <c:ext xmlns:c16="http://schemas.microsoft.com/office/drawing/2014/chart" uri="{C3380CC4-5D6E-409C-BE32-E72D297353CC}">
                <c16:uniqueId val="{00000005-3B60-466B-B091-D0917F016397}"/>
              </c:ext>
            </c:extLst>
          </c:dPt>
          <c:dPt>
            <c:idx val="3"/>
            <c:bubble3D val="0"/>
            <c:spPr>
              <a:solidFill>
                <a:schemeClr val="accent4"/>
              </a:solidFill>
              <a:ln>
                <a:noFill/>
              </a:ln>
              <a:effectLst/>
              <a:sp3d/>
            </c:spPr>
            <c:extLst>
              <c:ext xmlns:c16="http://schemas.microsoft.com/office/drawing/2014/chart" uri="{C3380CC4-5D6E-409C-BE32-E72D297353CC}">
                <c16:uniqueId val="{00000007-3B60-466B-B091-D0917F016397}"/>
              </c:ext>
            </c:extLst>
          </c:dPt>
          <c:dPt>
            <c:idx val="4"/>
            <c:bubble3D val="0"/>
            <c:spPr>
              <a:solidFill>
                <a:schemeClr val="accent5"/>
              </a:solidFill>
              <a:ln>
                <a:noFill/>
              </a:ln>
              <a:effectLst/>
              <a:sp3d/>
            </c:spPr>
            <c:extLst>
              <c:ext xmlns:c16="http://schemas.microsoft.com/office/drawing/2014/chart" uri="{C3380CC4-5D6E-409C-BE32-E72D297353CC}">
                <c16:uniqueId val="{00000009-3B60-466B-B091-D0917F016397}"/>
              </c:ext>
            </c:extLst>
          </c:dPt>
          <c:dPt>
            <c:idx val="5"/>
            <c:bubble3D val="0"/>
            <c:spPr>
              <a:solidFill>
                <a:schemeClr val="accent6"/>
              </a:solidFill>
              <a:ln>
                <a:noFill/>
              </a:ln>
              <a:effectLst/>
              <a:sp3d/>
            </c:spPr>
            <c:extLst>
              <c:ext xmlns:c16="http://schemas.microsoft.com/office/drawing/2014/chart" uri="{C3380CC4-5D6E-409C-BE32-E72D297353CC}">
                <c16:uniqueId val="{0000000B-3B60-466B-B091-D0917F016397}"/>
              </c:ext>
            </c:extLst>
          </c:dPt>
          <c:dPt>
            <c:idx val="6"/>
            <c:bubble3D val="0"/>
            <c:spPr>
              <a:solidFill>
                <a:schemeClr val="accent1">
                  <a:lumMod val="60000"/>
                </a:schemeClr>
              </a:solidFill>
              <a:ln>
                <a:noFill/>
              </a:ln>
              <a:effectLst/>
              <a:sp3d/>
            </c:spPr>
            <c:extLst>
              <c:ext xmlns:c16="http://schemas.microsoft.com/office/drawing/2014/chart" uri="{C3380CC4-5D6E-409C-BE32-E72D297353CC}">
                <c16:uniqueId val="{0000000D-3B60-466B-B091-D0917F016397}"/>
              </c:ext>
            </c:extLst>
          </c:dPt>
          <c:dPt>
            <c:idx val="7"/>
            <c:bubble3D val="0"/>
            <c:spPr>
              <a:solidFill>
                <a:schemeClr val="accent2">
                  <a:lumMod val="60000"/>
                </a:schemeClr>
              </a:solidFill>
              <a:ln>
                <a:noFill/>
              </a:ln>
              <a:effectLst/>
              <a:sp3d/>
            </c:spPr>
            <c:extLst>
              <c:ext xmlns:c16="http://schemas.microsoft.com/office/drawing/2014/chart" uri="{C3380CC4-5D6E-409C-BE32-E72D297353CC}">
                <c16:uniqueId val="{0000000F-3B60-466B-B091-D0917F016397}"/>
              </c:ext>
            </c:extLst>
          </c:dPt>
          <c:dPt>
            <c:idx val="8"/>
            <c:bubble3D val="0"/>
            <c:spPr>
              <a:solidFill>
                <a:schemeClr val="accent3">
                  <a:lumMod val="60000"/>
                </a:schemeClr>
              </a:solidFill>
              <a:ln>
                <a:noFill/>
              </a:ln>
              <a:effectLst/>
              <a:sp3d/>
            </c:spPr>
            <c:extLst>
              <c:ext xmlns:c16="http://schemas.microsoft.com/office/drawing/2014/chart" uri="{C3380CC4-5D6E-409C-BE32-E72D297353CC}">
                <c16:uniqueId val="{00000011-3B60-466B-B091-D0917F016397}"/>
              </c:ext>
            </c:extLst>
          </c:dPt>
          <c:dLbls>
            <c:dLbl>
              <c:idx val="0"/>
              <c:layout>
                <c:manualLayout>
                  <c:x val="-0.05339823018084465"/>
                  <c:y val="-0.21165032472549494"/>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4e91bcb0-c2e8-4acc-a1be-deee1fb70bac}" type="CATEGORYNAME">
                      <a:rPr lang="en-US"/>
                      <a:pPr>
                        <a:defRPr/>
                      </a:pPr>
                      <a:t>[CATEGORY NAME]</a:t>
                    </a:fld>
                    <a:endParaRPr lang="en-US" baseline="0"/>
                  </a:p>
                  <a:p>
                    <a:pPr>
                      <a:defRPr/>
                    </a:pPr>
                    <a:fld id="{66320c54-e51d-43ef-b15a-ba0cfc9b2c60}" type="VALUE">
                      <a:rPr lang="en-US" baseline="0"/>
                      <a:pPr>
                        <a:defRPr/>
                      </a:pPr>
                      <a:t>[VALUE]</a:t>
                    </a:fld>
                    <a:r>
                      <a:rPr lang="en-US" baseline="0"/>
                      <a:t> </a:t>
                    </a:r>
                  </a:p>
                  <a:p>
                    <a:pPr>
                      <a:defRPr/>
                    </a:pPr>
                    <a:fld id="{d176faf6-e4e8-4082-afed-875b4e365392}" type="PERCENTAGE">
                      <a:rPr lang="en-US" baseline="0"/>
                      <a:pPr>
                        <a:defRPr/>
                      </a:pPr>
                      <a:t>[PERCENTAGE]</a:t>
                    </a:fld>
                    <a:endParaRPr lang="en-US"/>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190150451486591"/>
                      <c:h val="0.14822009494077312"/>
                    </c:manualLayout>
                  </c15:layout>
                  <c15:showDataLabelsRange val="0"/>
                </c:ext>
                <c:ext xmlns:c16="http://schemas.microsoft.com/office/drawing/2014/chart" uri="{C3380CC4-5D6E-409C-BE32-E72D297353CC}">
                  <c16:uniqueId val="{00000001-3B60-466B-B091-D0917F016397}"/>
                </c:ext>
              </c:extLst>
            </c:dLbl>
            <c:dLbl>
              <c:idx val="1"/>
              <c:layout>
                <c:manualLayout>
                  <c:x val="0.10444543918414477"/>
                  <c:y val="0.24560451455893068"/>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d143536d-1e2a-437d-a944-b03811ed33b3}" type="CATEGORYNAME">
                      <a:rPr lang="en-US"/>
                      <a:pPr>
                        <a:defRPr/>
                      </a:pPr>
                      <a:t>[CATEGORY NAME]</a:t>
                    </a:fld>
                    <a:r>
                      <a:rPr lang="en-US" baseline="0"/>
                      <a:t> </a:t>
                    </a:r>
                  </a:p>
                  <a:p>
                    <a:pPr>
                      <a:defRPr/>
                    </a:pPr>
                    <a:fld id="{67ded6e5-888c-490c-8b64-1058caf39e0d}" type="VALUE">
                      <a:rPr lang="en-US" baseline="0"/>
                      <a:pPr>
                        <a:defRPr/>
                      </a:pPr>
                      <a:t>[VALUE]</a:t>
                    </a:fld>
                    <a:endParaRPr lang="en-US" baseline="0"/>
                  </a:p>
                  <a:p>
                    <a:pPr>
                      <a:defRPr/>
                    </a:pPr>
                    <a:r>
                      <a:rPr lang="en-US" baseline="0"/>
                      <a:t> </a:t>
                    </a:r>
                    <a:fld id="{a1ece96b-e186-4a87-a542-5e5493f7ada7}"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668749502284514"/>
                      <c:h val="0.2394822494676247"/>
                    </c:manualLayout>
                  </c15:layout>
                  <c15:showDataLabelsRange val="0"/>
                </c:ext>
                <c:ext xmlns:c16="http://schemas.microsoft.com/office/drawing/2014/chart" uri="{C3380CC4-5D6E-409C-BE32-E72D297353CC}">
                  <c16:uniqueId val="{00000003-3B60-466B-B091-D0917F016397}"/>
                </c:ext>
              </c:extLst>
            </c:dLbl>
            <c:dLbl>
              <c:idx val="2"/>
              <c:layout>
                <c:manualLayout>
                  <c:x val="0.0904853750378374"/>
                  <c:y val="-0.0016233216876022083"/>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fa301923-63cc-4d64-b09e-0802fead8b23}" type="CATEGORYNAME">
                      <a:rPr lang="en-US"/>
                      <a:pPr>
                        <a:defRPr/>
                      </a:pPr>
                      <a:t>[CATEGORY NAME]</a:t>
                    </a:fld>
                    <a:r>
                      <a:rPr lang="en-US" baseline="0"/>
                      <a:t> </a:t>
                    </a:r>
                  </a:p>
                  <a:p>
                    <a:pPr>
                      <a:defRPr/>
                    </a:pPr>
                    <a:fld id="{db153e3e-1208-4bb8-869e-cb60afbe8a97}" type="VALUE">
                      <a:rPr lang="en-US" baseline="0"/>
                      <a:pPr>
                        <a:defRPr/>
                      </a:pPr>
                      <a:t>[VALUE]</a:t>
                    </a:fld>
                    <a:endParaRPr lang="en-US" baseline="0"/>
                  </a:p>
                  <a:p>
                    <a:pPr>
                      <a:defRPr/>
                    </a:pPr>
                    <a:r>
                      <a:rPr lang="en-US" baseline="0"/>
                      <a:t> &lt;1%</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1861442326559413"/>
                      <c:h val="0.16828482395022276"/>
                    </c:manualLayout>
                  </c15:layout>
                  <c15:showDataLabelsRange val="0"/>
                </c:ext>
                <c:ext xmlns:c16="http://schemas.microsoft.com/office/drawing/2014/chart" uri="{C3380CC4-5D6E-409C-BE32-E72D297353CC}">
                  <c16:uniqueId val="{00000005-3B60-466B-B091-D0917F016397}"/>
                </c:ext>
              </c:extLst>
            </c:dLbl>
            <c:dLbl>
              <c:idx val="3"/>
              <c:layout>
                <c:manualLayout>
                  <c:x val="0.16124748422864921"/>
                  <c:y val="0.066885827665739611"/>
                </c:manualLayout>
              </c:layout>
              <c:tx>
                <c:rich>
                  <a:bodyPr/>
                  <a:lstStyle/>
                  <a:p>
                    <a:fld id="{7e13afbe-3c62-42e5-a3b3-83dd85a04edf}" type="CATEGORYNAME">
                      <a:rPr lang="en-US"/>
                      <a:t>[CATEGORY NAME]</a:t>
                    </a:fld>
                    <a:endParaRPr lang="en-US" baseline="0"/>
                  </a:p>
                  <a:p>
                    <a:r>
                      <a:rPr lang="en-US" baseline="0"/>
                      <a:t> </a:t>
                    </a:r>
                    <a:fld id="{58077952-811b-4c41-bc5f-e562b1782f65}" type="VALUE">
                      <a:rPr lang="en-US" baseline="0"/>
                      <a:t>[VALUE]</a:t>
                    </a:fld>
                    <a:endParaRPr lang="en-US" baseline="0"/>
                  </a:p>
                  <a:p>
                    <a:r>
                      <a:rPr lang="en-US" baseline="0"/>
                      <a:t> </a:t>
                    </a:r>
                    <a:fld id="{6f0b7e3d-a16e-4c6a-abab-3e908bca4728}" type="PERCENTAGE">
                      <a:rPr lang="en-US" baseline="0"/>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3B60-466B-B091-D0917F016397}"/>
                </c:ext>
              </c:extLst>
            </c:dLbl>
            <c:dLbl>
              <c:idx val="4"/>
              <c:layout>
                <c:manualLayout>
                  <c:x val="0.081167339003868563"/>
                  <c:y val="0.08767649520709328"/>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19088da8-1ebe-4327-8ab4-b1372bfd2804}" type="CATEGORYNAME">
                      <a:rPr lang="en-US"/>
                      <a:pPr>
                        <a:defRPr/>
                      </a:pPr>
                      <a:t>[CATEGORY NAME]</a:t>
                    </a:fld>
                    <a:r>
                      <a:rPr lang="en-US" baseline="0"/>
                      <a:t> </a:t>
                    </a:r>
                    <a:fld id="{0ebe1825-62bd-408f-b702-a8605a93a6f0}" type="VALUE">
                      <a:rPr lang="en-US" baseline="0"/>
                      <a:pPr>
                        <a:defRPr/>
                      </a:pPr>
                      <a:t>[VALUE]</a:t>
                    </a:fld>
                    <a:endParaRPr lang="en-US" baseline="0"/>
                  </a:p>
                  <a:p>
                    <a:pPr>
                      <a:defRPr/>
                    </a:pPr>
                    <a:r>
                      <a:rPr lang="en-US" baseline="0"/>
                      <a:t> 7%</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15549473370965833"/>
                      <c:h val="0.1766990651477339"/>
                    </c:manualLayout>
                  </c15:layout>
                  <c15:showDataLabelsRange val="0"/>
                </c:ext>
                <c:ext xmlns:c16="http://schemas.microsoft.com/office/drawing/2014/chart" uri="{C3380CC4-5D6E-409C-BE32-E72D297353CC}">
                  <c16:uniqueId val="{00000009-3B60-466B-B091-D0917F016397}"/>
                </c:ext>
              </c:extLst>
            </c:dLbl>
            <c:dLbl>
              <c:idx val="5"/>
              <c:layout>
                <c:manualLayout>
                  <c:x val="0.10311000632098667"/>
                  <c:y val="0.12814986176385326"/>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3e231055-1b40-4db9-b1e2-b2c58a2c97e9}" type="CATEGORYNAME">
                      <a:rPr lang="en-US"/>
                      <a:pPr>
                        <a:defRPr/>
                      </a:pPr>
                      <a:t>[CATEGORY NAME]</a:t>
                    </a:fld>
                    <a:r>
                      <a:rPr lang="en-US" baseline="0"/>
                      <a:t> </a:t>
                    </a:r>
                    <a:fld id="{1883cc44-3aeb-480d-bf81-5e4d38e7c6fe}" type="VALUE">
                      <a:rPr lang="en-US" baseline="0"/>
                      <a:pPr>
                        <a:defRPr/>
                      </a:pPr>
                      <a:t>[VALUE]</a:t>
                    </a:fld>
                    <a:endParaRPr lang="en-US" baseline="0"/>
                  </a:p>
                  <a:p>
                    <a:pPr>
                      <a:defRPr/>
                    </a:pPr>
                    <a:r>
                      <a:rPr lang="en-US" baseline="0"/>
                      <a:t>2%</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1780937994604764"/>
                      <c:h val="0.13851135509749105"/>
                    </c:manualLayout>
                  </c15:layout>
                  <c15:showDataLabelsRange val="0"/>
                </c:ext>
                <c:ext xmlns:c16="http://schemas.microsoft.com/office/drawing/2014/chart" uri="{C3380CC4-5D6E-409C-BE32-E72D297353CC}">
                  <c16:uniqueId val="{0000000B-3B60-466B-B091-D0917F0163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1"/>
                  </a:solidFill>
                  <a:prstDash val="solid"/>
                  <a:round/>
                </a:ln>
                <a:effectLst/>
              </c:spPr>
            </c:leaderLines>
            <c:extLst>
              <c:ext xmlns:c15="http://schemas.microsoft.com/office/drawing/2012/chart" uri="{CE6537A1-D6FC-4f65-9D91-7224C49458BB}"/>
            </c:extLst>
          </c:dLbls>
          <c:cat>
            <c:strRef>
              <c:f>'Total Liabilities'!$A$2:$A$7</c:f>
              <c:strCache>
                <c:ptCount val="6"/>
                <c:pt idx="0">
                  <c:v>Debt</c:v>
                </c:pt>
                <c:pt idx="1">
                  <c:v>Liability to the General Fund of the U.S. Government for Custodial and Other Non-entity Assets </c:v>
                </c:pt>
                <c:pt idx="2">
                  <c:v>Other Intragovernmental Liabilities</c:v>
                </c:pt>
                <c:pt idx="3">
                  <c:v>Accounts Payable</c:v>
                </c:pt>
                <c:pt idx="4">
                  <c:v>Accrued Liabilities for USF and TRS</c:v>
                </c:pt>
                <c:pt idx="5">
                  <c:v>Other Liabilities</c:v>
                </c:pt>
              </c:strCache>
            </c:strRef>
          </c:cat>
          <c:val>
            <c:numRef>
              <c:f>'Total Liabilities'!$B$2:$B$7</c:f>
              <c:numCache>
                <c:formatCode>_("$"* #,##0_);_("$"* \(#,##0\);_("$"* "-"_);_(@_)</c:formatCode>
                <c:ptCount val="6"/>
                <c:pt idx="0">
                  <c:v>3149216</c:v>
                </c:pt>
                <c:pt idx="1">
                  <c:v>3117084</c:v>
                </c:pt>
                <c:pt idx="2">
                  <c:v>5498</c:v>
                </c:pt>
                <c:pt idx="3">
                  <c:v>385386</c:v>
                </c:pt>
                <c:pt idx="4">
                  <c:v>517891</c:v>
                </c:pt>
                <c:pt idx="5">
                  <c:v>203618</c:v>
                </c:pt>
              </c:numCache>
            </c:numRef>
          </c:val>
          <c:extLst>
            <c:ext xmlns:c16="http://schemas.microsoft.com/office/drawing/2014/chart" uri="{C3380CC4-5D6E-409C-BE32-E72D297353CC}">
              <c16:uniqueId val="{00000012-3B60-466B-B091-D0917F016397}"/>
            </c:ext>
          </c:extLst>
        </c:ser>
        <c:ser>
          <c:idx val="1"/>
          <c:order val="1"/>
          <c:dPt>
            <c:idx val="0"/>
            <c:bubble3D val="0"/>
            <c:spPr>
              <a:solidFill>
                <a:schemeClr val="accent1"/>
              </a:solidFill>
              <a:ln>
                <a:noFill/>
              </a:ln>
              <a:effectLst/>
              <a:sp3d/>
            </c:spPr>
            <c:extLst>
              <c:ext xmlns:c16="http://schemas.microsoft.com/office/drawing/2014/chart" uri="{C3380CC4-5D6E-409C-BE32-E72D297353CC}">
                <c16:uniqueId val="{00000014-3B60-466B-B091-D0917F016397}"/>
              </c:ext>
            </c:extLst>
          </c:dPt>
          <c:dPt>
            <c:idx val="1"/>
            <c:bubble3D val="0"/>
            <c:spPr>
              <a:solidFill>
                <a:schemeClr val="accent2"/>
              </a:solidFill>
              <a:ln>
                <a:noFill/>
              </a:ln>
              <a:effectLst/>
              <a:sp3d/>
            </c:spPr>
            <c:extLst>
              <c:ext xmlns:c16="http://schemas.microsoft.com/office/drawing/2014/chart" uri="{C3380CC4-5D6E-409C-BE32-E72D297353CC}">
                <c16:uniqueId val="{00000016-3B60-466B-B091-D0917F016397}"/>
              </c:ext>
            </c:extLst>
          </c:dPt>
          <c:dPt>
            <c:idx val="2"/>
            <c:bubble3D val="0"/>
            <c:spPr>
              <a:solidFill>
                <a:schemeClr val="accent3"/>
              </a:solidFill>
              <a:ln>
                <a:noFill/>
              </a:ln>
              <a:effectLst/>
              <a:sp3d/>
            </c:spPr>
            <c:extLst>
              <c:ext xmlns:c16="http://schemas.microsoft.com/office/drawing/2014/chart" uri="{C3380CC4-5D6E-409C-BE32-E72D297353CC}">
                <c16:uniqueId val="{00000018-3B60-466B-B091-D0917F016397}"/>
              </c:ext>
            </c:extLst>
          </c:dPt>
          <c:dPt>
            <c:idx val="3"/>
            <c:bubble3D val="0"/>
            <c:spPr>
              <a:solidFill>
                <a:schemeClr val="accent4"/>
              </a:solidFill>
              <a:ln>
                <a:noFill/>
              </a:ln>
              <a:effectLst/>
              <a:sp3d/>
            </c:spPr>
            <c:extLst>
              <c:ext xmlns:c16="http://schemas.microsoft.com/office/drawing/2014/chart" uri="{C3380CC4-5D6E-409C-BE32-E72D297353CC}">
                <c16:uniqueId val="{0000001A-3B60-466B-B091-D0917F016397}"/>
              </c:ext>
            </c:extLst>
          </c:dPt>
          <c:dPt>
            <c:idx val="4"/>
            <c:bubble3D val="0"/>
            <c:spPr>
              <a:solidFill>
                <a:schemeClr val="accent5"/>
              </a:solidFill>
              <a:ln>
                <a:noFill/>
              </a:ln>
              <a:effectLst/>
              <a:sp3d/>
            </c:spPr>
            <c:extLst>
              <c:ext xmlns:c16="http://schemas.microsoft.com/office/drawing/2014/chart" uri="{C3380CC4-5D6E-409C-BE32-E72D297353CC}">
                <c16:uniqueId val="{0000001C-3B60-466B-B091-D0917F016397}"/>
              </c:ext>
            </c:extLst>
          </c:dPt>
          <c:dPt>
            <c:idx val="5"/>
            <c:bubble3D val="0"/>
            <c:spPr>
              <a:solidFill>
                <a:schemeClr val="accent6"/>
              </a:solidFill>
              <a:ln>
                <a:noFill/>
              </a:ln>
              <a:effectLst/>
              <a:sp3d/>
            </c:spPr>
            <c:extLst>
              <c:ext xmlns:c16="http://schemas.microsoft.com/office/drawing/2014/chart" uri="{C3380CC4-5D6E-409C-BE32-E72D297353CC}">
                <c16:uniqueId val="{0000001E-3B60-466B-B091-D0917F01639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1"/>
                  </a:solidFill>
                  <a:prstDash val="solid"/>
                  <a:round/>
                </a:ln>
                <a:effectLst/>
              </c:spPr>
            </c:leaderLines>
            <c:extLst>
              <c:ext xmlns:c15="http://schemas.microsoft.com/office/drawing/2012/chart" uri="{CE6537A1-D6FC-4f65-9D91-7224C49458BB}"/>
            </c:extLst>
          </c:dLbls>
          <c:cat>
            <c:strRef>
              <c:f>'Total Liabilities'!$A$2:$A$7</c:f>
              <c:strCache>
                <c:ptCount val="6"/>
                <c:pt idx="0">
                  <c:v>Debt</c:v>
                </c:pt>
                <c:pt idx="1">
                  <c:v>Liability to the General Fund of the U.S. Government for Custodial and Other Non-entity Assets </c:v>
                </c:pt>
                <c:pt idx="2">
                  <c:v>Other Intragovernmental Liabilities</c:v>
                </c:pt>
                <c:pt idx="3">
                  <c:v>Accounts Payable</c:v>
                </c:pt>
                <c:pt idx="4">
                  <c:v>Accrued Liabilities for USF and TRS</c:v>
                </c:pt>
                <c:pt idx="5">
                  <c:v>Other Liabilities</c:v>
                </c:pt>
              </c:strCache>
            </c:strRef>
          </c:cat>
          <c:val>
            <c:numRef>
              <c:f>'Total Liabilities'!$C$2:$C$7</c:f>
              <c:numCache>
                <c:formatCode>0.00%</c:formatCode>
                <c:ptCount val="6"/>
                <c:pt idx="0">
                  <c:v>0.42679862138186264</c:v>
                </c:pt>
                <c:pt idx="1">
                  <c:v>0.42244392062388286</c:v>
                </c:pt>
                <c:pt idx="2">
                  <c:v>0.00074511841053693389</c:v>
                </c:pt>
                <c:pt idx="3">
                  <c:v>0.0522295750751522</c:v>
                </c:pt>
                <c:pt idx="4">
                  <c:v>0.0701873624502334</c:v>
                </c:pt>
                <c:pt idx="5">
                  <c:v>0.027595402058332011</c:v>
                </c:pt>
              </c:numCache>
            </c:numRef>
          </c:val>
          <c:extLst>
            <c:ext xmlns:c16="http://schemas.microsoft.com/office/drawing/2014/chart" uri="{C3380CC4-5D6E-409C-BE32-E72D297353CC}">
              <c16:uniqueId val="{0000001F-3B60-466B-B091-D0917F016397}"/>
            </c:ext>
          </c:extLst>
        </c:ser>
        <c:dLbls>
          <c:dLblPos val="bestFit"/>
          <c:showLegendKey val="0"/>
          <c:showVal val="1"/>
          <c:showCatName val="0"/>
          <c:showSerName val="0"/>
          <c:showPercent val="0"/>
          <c:showBubbleSize val="0"/>
          <c:showLeaderLines val="1"/>
        </c:dLbls>
      </c:pie3DChart>
      <c:spPr>
        <a:noFill/>
        <a:ln w="25400">
          <a:noFill/>
        </a:ln>
        <a:effectLst/>
      </c:spPr>
    </c:plotArea>
    <c:plotVisOnly val="1"/>
    <c:dispBlanksAs val="gap"/>
    <c:showDLblsOverMax val="0"/>
  </c:chart>
  <c:spPr>
    <a:gradFill rotWithShape="1">
      <a:gsLst>
        <a:gs pos="0">
          <a:srgbClr val="00B050"/>
        </a:gs>
        <a:gs pos="50000">
          <a:schemeClr val="bg1"/>
        </a:gs>
        <a:gs pos="100000">
          <a:srgbClr val="00B050"/>
        </a:gs>
      </a:gsLst>
      <a:lin ang="5400000" scaled="1"/>
    </a:gradFill>
    <a:ln w="9525">
      <a:solidFill>
        <a:schemeClr val="tx1"/>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xmlns:a="http://schemas.openxmlformats.org/drawingml/2006/main">
  <cdr:relSizeAnchor xmlns:cdr="http://schemas.openxmlformats.org/drawingml/2006/chartDrawing">
    <cdr:from>
      <cdr:x>0.21645</cdr:x>
      <cdr:y>0.01515</cdr:y>
    </cdr:from>
    <cdr:to>
      <cdr:x>0.80088</cdr:x>
      <cdr:y>0.08083</cdr:y>
    </cdr:to>
    <cdr:sp>
      <cdr:nvSpPr>
        <cdr:cNvPr id="2" name="TextBox 1"/>
        <cdr:cNvSpPr txBox="1"/>
      </cdr:nvSpPr>
      <cdr:spPr>
        <a:xfrm>
          <a:off x="1409699" y="76200"/>
          <a:ext cx="3800475" cy="314325"/>
        </a:xfrm>
        <a:prstGeom prst="rect">
          <a:avLst/>
        </a:prstGeom>
      </cdr:spPr>
      <cdr:txBody>
        <a:bodyPr vertOverflow="clip" wrap="square" rtlCol="0"/>
        <a:lstStyle/>
        <a:p>
          <a:endParaRPr lang="en-US"/>
        </a:p>
      </cdr:txBody>
    </cdr:sp>
  </cdr:relSizeAnchor>
  <cdr:relSizeAnchor xmlns:cdr="http://schemas.openxmlformats.org/drawingml/2006/chartDrawing">
    <cdr:from>
      <cdr:x>0.01942</cdr:x>
      <cdr:y>0.01717</cdr:y>
    </cdr:from>
    <cdr:to>
      <cdr:x>0.97731</cdr:x>
      <cdr:y>0.17159</cdr:y>
    </cdr:to>
    <cdr:sp>
      <cdr:nvSpPr>
        <cdr:cNvPr id="3" name="TextBox 2"/>
        <cdr:cNvSpPr txBox="1"/>
      </cdr:nvSpPr>
      <cdr:spPr>
        <a:xfrm>
          <a:off x="113435" y="84389"/>
          <a:ext cx="5593772" cy="758959"/>
        </a:xfrm>
        <a:prstGeom prst="rect">
          <a:avLst/>
        </a:prstGeom>
      </cdr:spPr>
      <cdr:txBody>
        <a:bodyPr vertOverflow="clip" wrap="square" rtlCol="0"/>
        <a:lstStyle/>
        <a:p>
          <a:pPr algn="ctr"/>
          <a:r>
            <a:rPr lang="en-US" sz="1700" b="1">
              <a:latin typeface="Times New Roman" panose="02020603050405020304" pitchFamily="18" charset="0"/>
              <a:cs typeface="Times New Roman" panose="02020603050405020304" pitchFamily="18" charset="0"/>
            </a:rPr>
            <a:t>FY 2025 Sources of New and Change</a:t>
          </a:r>
          <a:r>
            <a:rPr lang="en-US" sz="1700" b="1" baseline="0">
              <a:latin typeface="Times New Roman" panose="02020603050405020304" pitchFamily="18" charset="0"/>
              <a:cs typeface="Times New Roman" panose="02020603050405020304" pitchFamily="18" charset="0"/>
            </a:rPr>
            <a:t> in</a:t>
          </a:r>
          <a:r>
            <a:rPr lang="en-US" sz="1700" b="1">
              <a:latin typeface="Times New Roman" panose="02020603050405020304" pitchFamily="18" charset="0"/>
              <a:cs typeface="Times New Roman" panose="02020603050405020304" pitchFamily="18" charset="0"/>
            </a:rPr>
            <a:t> Available Funds              </a:t>
          </a:r>
          <a:r>
            <a:rPr lang="en-US" sz="1000" b="0">
              <a:latin typeface="Times New Roman" panose="02020603050405020304" pitchFamily="18" charset="0"/>
              <a:cs typeface="Times New Roman" panose="02020603050405020304" pitchFamily="18" charset="0"/>
            </a:rPr>
            <a:t>(Dollars in Millions)</a:t>
          </a:r>
        </a:p>
        <a:p>
          <a:pPr algn="ctr"/>
          <a:endParaRPr lang="en-US" sz="2000" b="1"/>
        </a:p>
      </cdr:txBody>
    </cdr:sp>
  </cdr:relSizeAnchor>
  <cdr:relSizeAnchor xmlns:cdr="http://schemas.openxmlformats.org/drawingml/2006/chartDrawing">
    <cdr:from>
      <cdr:x>0.63299</cdr:x>
      <cdr:y>0.83446</cdr:y>
    </cdr:from>
    <cdr:to>
      <cdr:x>0.99188</cdr:x>
      <cdr:y>0.97886</cdr:y>
    </cdr:to>
    <cdr:sp>
      <cdr:nvSpPr>
        <cdr:cNvPr id="4" name="Text Box 2">
          <a:extLst>
            <a:ext xmlns:a="http://schemas.openxmlformats.org/drawingml/2006/main" uri="{FF2B5EF4-FFF2-40B4-BE49-F238E27FC236}">
              <a16:creationId xmlns:a16="http://schemas.microsoft.com/office/drawing/2014/main" id="{B472C91B-48FD-4F30-A559-DA00F5F28652}"/>
            </a:ext>
          </a:extLst>
        </cdr:cNvPr>
        <cdr:cNvSpPr txBox="1"/>
      </cdr:nvSpPr>
      <cdr:spPr>
        <a:xfrm>
          <a:off x="4025332" y="4101301"/>
          <a:ext cx="2282266" cy="709711"/>
        </a:xfrm>
        <a:prstGeom prst="rect">
          <a:avLst/>
        </a:prstGeom>
        <a:noFill/>
        <a:ln w="6350">
          <a:noFill/>
        </a:ln>
      </cdr:spPr>
      <cdr:txBody>
        <a:bodyPr rot="0" spcFirstLastPara="0" vert="horz" wrap="square" lIns="91440" tIns="45720" rIns="91440" bIns="45720" numCol="1" spcCol="0" rtlCol="0" fromWordArt="0" anchor="t" anchorCtr="0" forceAA="0" compatLnSpc="1">
          <a:prstTxWarp prst="textNoShape">
            <a:avLst/>
          </a:prstTxWarp>
        </a:bodyPr>
        <a:lstStyle/>
        <a:p>
          <a:pPr marL="0" marR="0" algn="ctr">
            <a:spcBef>
              <a:spcPts val="0"/>
            </a:spcBef>
            <a:spcAft>
              <a:spcPts val="0"/>
            </a:spcAft>
          </a:pPr>
          <a:r>
            <a:rPr lang="en-US" sz="1200" b="1">
              <a:effectLst/>
              <a:latin typeface="Times New Roman" panose="02020603050405020304" pitchFamily="18" charset="0"/>
              <a:ea typeface="Times New Roman" panose="02020603050405020304" pitchFamily="18" charset="0"/>
            </a:rPr>
            <a:t>Total New and Change in Available Funds</a:t>
          </a:r>
          <a:endParaRPr lang="en-US" sz="1200">
            <a:effectLst/>
            <a:latin typeface="Times New Roman" panose="02020603050405020304" pitchFamily="18" charset="0"/>
            <a:ea typeface="Times New Roman" panose="02020603050405020304" pitchFamily="18" charset="0"/>
          </a:endParaRPr>
        </a:p>
        <a:p>
          <a:pPr marL="0" marR="0" algn="ctr">
            <a:spcBef>
              <a:spcPts val="0"/>
            </a:spcBef>
            <a:spcAft>
              <a:spcPts val="0"/>
            </a:spcAft>
          </a:pPr>
          <a:r>
            <a:rPr lang="en-US" sz="1200">
              <a:effectLst/>
              <a:latin typeface="Times New Roman" panose="02020603050405020304" pitchFamily="18" charset="0"/>
              <a:ea typeface="Times New Roman" panose="02020603050405020304" pitchFamily="18" charset="0"/>
            </a:rPr>
            <a:t>$13,679</a:t>
          </a:r>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0.17481</cdr:x>
      <cdr:y>0.02617</cdr:y>
    </cdr:from>
    <cdr:to>
      <cdr:x>0.84148</cdr:x>
      <cdr:y>0.16376</cdr:y>
    </cdr:to>
    <cdr:sp>
      <cdr:nvSpPr>
        <cdr:cNvPr id="1854026079" name="TextBox 1"/>
        <cdr:cNvSpPr txBox="1"/>
      </cdr:nvSpPr>
      <cdr:spPr>
        <a:xfrm>
          <a:off x="1123947" y="115162"/>
          <a:ext cx="4286250" cy="605481"/>
        </a:xfrm>
        <a:prstGeom prst="rect">
          <a:avLst/>
        </a:prstGeom>
      </cdr:spPr>
      <cdr:txBody>
        <a:bodyPr vertOverflow="clip" wrap="square" rtlCol="0"/>
        <a:lstStyle/>
        <a:p>
          <a:pPr algn="ctr"/>
          <a:r>
            <a:rPr lang="en-US" sz="2000" b="1">
              <a:latin typeface="Times New Roman" panose="02020603050405020304" pitchFamily="18" charset="0"/>
              <a:cs typeface="Times New Roman" panose="02020603050405020304" pitchFamily="18" charset="0"/>
            </a:rPr>
            <a:t>FY 2025 Total Assets by Category </a:t>
          </a:r>
        </a:p>
        <a:p>
          <a:pPr algn="ctr"/>
          <a:r>
            <a:rPr lang="en-US" sz="1000" b="0">
              <a:latin typeface="Times New Roman" panose="02020603050405020304" pitchFamily="18" charset="0"/>
              <a:cs typeface="Times New Roman" panose="02020603050405020304" pitchFamily="18" charset="0"/>
            </a:rPr>
            <a:t>(Dollars</a:t>
          </a:r>
          <a:r>
            <a:rPr lang="en-US" sz="1000" b="0" baseline="0">
              <a:latin typeface="Times New Roman" panose="02020603050405020304" pitchFamily="18" charset="0"/>
              <a:cs typeface="Times New Roman" panose="02020603050405020304" pitchFamily="18" charset="0"/>
            </a:rPr>
            <a:t> in Thousands)</a:t>
          </a:r>
          <a:endParaRPr lang="en-US" sz="10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0.05218</cdr:x>
      <cdr:y>0.79513</cdr:y>
    </cdr:from>
    <cdr:to>
      <cdr:x>0.27279</cdr:x>
      <cdr:y>0.89891</cdr:y>
    </cdr:to>
    <cdr:sp>
      <cdr:nvSpPr>
        <cdr:cNvPr id="888307411" name="TextBox 2"/>
        <cdr:cNvSpPr txBox="1"/>
      </cdr:nvSpPr>
      <cdr:spPr>
        <a:xfrm>
          <a:off x="323078" y="3650502"/>
          <a:ext cx="1365851" cy="476460"/>
        </a:xfrm>
        <a:prstGeom prst="rect">
          <a:avLst/>
        </a:prstGeom>
        <a:noFill/>
        <a:ln>
          <a:noFill/>
        </a:ln>
      </cdr:spPr>
      <cdr:txBody>
        <a:bodyPr vertOverflow="clip" wrap="square" rtlCol="0"/>
        <a:lstStyle/>
        <a:p>
          <a:pPr algn="ctr"/>
          <a:r>
            <a:rPr lang="en-US" sz="1100" b="1">
              <a:solidFill>
                <a:sysClr val="windowText" lastClr="000000"/>
              </a:solidFill>
              <a:latin typeface="Times New Roman" panose="02020603050405020304" pitchFamily="18" charset="0"/>
              <a:cs typeface="Times New Roman" panose="02020603050405020304" pitchFamily="18" charset="0"/>
            </a:rPr>
            <a:t>Total Assets</a:t>
          </a:r>
        </a:p>
        <a:p>
          <a:pPr algn="ctr"/>
          <a:r>
            <a:rPr lang="en-US" sz="1100" b="0">
              <a:solidFill>
                <a:sysClr val="windowText" lastClr="000000"/>
              </a:solidFill>
              <a:latin typeface="Times New Roman" panose="02020603050405020304" pitchFamily="18" charset="0"/>
              <a:cs typeface="Times New Roman" panose="02020603050405020304" pitchFamily="18" charset="0"/>
            </a:rPr>
            <a:t>$15,817,524</a:t>
          </a:r>
        </a:p>
      </cdr:txBody>
    </cdr:sp>
  </cdr:relSizeAnchor>
</c:userShapes>
</file>

<file path=word/drawings/drawing3.xml><?xml version="1.0" encoding="utf-8"?>
<c:userShapes xmlns:c="http://schemas.openxmlformats.org/drawingml/2006/chart" xmlns:a="http://schemas.openxmlformats.org/drawingml/2006/main">
  <cdr:relSizeAnchor xmlns:cdr="http://schemas.openxmlformats.org/drawingml/2006/chartDrawing">
    <cdr:from>
      <cdr:x>0.14245</cdr:x>
      <cdr:y>0.02178</cdr:y>
    </cdr:from>
    <cdr:to>
      <cdr:x>0.91856</cdr:x>
      <cdr:y>0.24399</cdr:y>
    </cdr:to>
    <cdr:sp>
      <cdr:nvSpPr>
        <cdr:cNvPr id="148668944" name="TextBox 1"/>
        <cdr:cNvSpPr txBox="1"/>
      </cdr:nvSpPr>
      <cdr:spPr>
        <a:xfrm>
          <a:off x="1057276" y="85725"/>
          <a:ext cx="5200650" cy="847725"/>
        </a:xfrm>
        <a:prstGeom prst="rect">
          <a:avLst/>
        </a:prstGeom>
      </cdr:spPr>
      <cdr:txBody>
        <a:bodyPr vertOverflow="clip" wrap="square" rtlCol="0"/>
        <a:lstStyle/>
        <a:p>
          <a:pPr algn="ctr"/>
          <a:r>
            <a:rPr lang="en-US" sz="2000" b="1">
              <a:latin typeface="Times New Roman" panose="02020603050405020304" pitchFamily="18" charset="0"/>
              <a:cs typeface="Times New Roman" panose="02020603050405020304" pitchFamily="18" charset="0"/>
            </a:rPr>
            <a:t>FY 2025 Total Liabilities by Category</a:t>
          </a:r>
          <a:r>
            <a:rPr lang="en-US" sz="2000" b="1" baseline="0">
              <a:latin typeface="Times New Roman" panose="02020603050405020304" pitchFamily="18" charset="0"/>
              <a:cs typeface="Times New Roman" panose="02020603050405020304" pitchFamily="18" charset="0"/>
            </a:rPr>
            <a:t> </a:t>
          </a:r>
        </a:p>
        <a:p>
          <a:pPr algn="ctr"/>
          <a:r>
            <a:rPr lang="en-US" sz="1000" b="0" baseline="0">
              <a:latin typeface="Times New Roman" panose="02020603050405020304" pitchFamily="18" charset="0"/>
              <a:cs typeface="Times New Roman" panose="02020603050405020304" pitchFamily="18" charset="0"/>
            </a:rPr>
            <a:t>(Dollars in Thousands)</a:t>
          </a:r>
          <a:endParaRPr lang="en-US" sz="10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0.02572</cdr:x>
      <cdr:y>0.83286</cdr:y>
    </cdr:from>
    <cdr:to>
      <cdr:x>0.2519</cdr:x>
      <cdr:y>0.93191</cdr:y>
    </cdr:to>
    <cdr:sp>
      <cdr:nvSpPr>
        <cdr:cNvPr id="1338402654" name="TextBox 1">
          <a:extLst>
            <a:ext xmlns:a="http://schemas.openxmlformats.org/drawingml/2006/main" uri="{FF2B5EF4-FFF2-40B4-BE49-F238E27FC236}">
              <a16:creationId xmlns:a16="http://schemas.microsoft.com/office/drawing/2014/main" id="{A9862913-A819-4742-9416-2EB972BD76CD}"/>
            </a:ext>
          </a:extLst>
        </cdr:cNvPr>
        <cdr:cNvSpPr txBox="1"/>
      </cdr:nvSpPr>
      <cdr:spPr>
        <a:xfrm>
          <a:off x="167589" y="4037874"/>
          <a:ext cx="1473585" cy="480217"/>
        </a:xfrm>
        <a:prstGeom prst="rect">
          <a:avLst/>
        </a:prstGeom>
        <a:noFill/>
        <a:ln>
          <a:noFill/>
        </a:ln>
      </cdr:spPr>
      <cdr:txBody>
        <a:bodyPr wrap="square" rtlCol="0"/>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sz="1100" b="1">
              <a:solidFill>
                <a:sysClr val="windowText" lastClr="000000"/>
              </a:solidFill>
              <a:latin typeface="Times New Roman" panose="02020603050405020304" pitchFamily="18" charset="0"/>
              <a:cs typeface="Times New Roman" panose="02020603050405020304" pitchFamily="18" charset="0"/>
            </a:rPr>
            <a:t>Total Liabilities</a:t>
          </a:r>
        </a:p>
        <a:p>
          <a:pPr algn="ctr"/>
          <a:r>
            <a:rPr lang="en-US" sz="1100" b="0">
              <a:solidFill>
                <a:sysClr val="windowText" lastClr="000000"/>
              </a:solidFill>
              <a:latin typeface="Times New Roman" panose="02020603050405020304" pitchFamily="18" charset="0"/>
              <a:cs typeface="Times New Roman" panose="02020603050405020304" pitchFamily="18" charset="0"/>
            </a:rPr>
            <a:t>$7,378,693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15D2EE9632274EAE28B9F3227298C3" ma:contentTypeVersion="12" ma:contentTypeDescription="Create a new document." ma:contentTypeScope="" ma:versionID="10041d8c741c13ccda15b5e12d704cca">
  <xsd:schema xmlns:xsd="http://www.w3.org/2001/XMLSchema" xmlns:xs="http://www.w3.org/2001/XMLSchema" xmlns:p="http://schemas.microsoft.com/office/2006/metadata/properties" xmlns:ns2="2377fbd2-ac87-4aaa-9e50-b74abf603585" xmlns:ns3="f281f250-5268-46d9-8c2c-a8b290b8b85e" targetNamespace="http://schemas.microsoft.com/office/2006/metadata/properties" ma:root="true" ma:fieldsID="25514b82ca90c5d2a1af308a9a1ae219" ns2:_="" ns3:_="">
    <xsd:import namespace="2377fbd2-ac87-4aaa-9e50-b74abf603585"/>
    <xsd:import namespace="f281f250-5268-46d9-8c2c-a8b290b8b8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7fbd2-ac87-4aaa-9e50-b74abf60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6d55bd0-b283-4673-bd71-a704af8c774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81f250-5268-46d9-8c2c-a8b290b8b85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d34cae4-8faa-449b-845d-fba00b9c0b05}" ma:internalName="TaxCatchAll" ma:showField="CatchAllData" ma:web="f281f250-5268-46d9-8c2c-a8b290b8b8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77fbd2-ac87-4aaa-9e50-b74abf603585">
      <Terms xmlns="http://schemas.microsoft.com/office/infopath/2007/PartnerControls"/>
    </lcf76f155ced4ddcb4097134ff3c332f>
    <TaxCatchAll xmlns="f281f250-5268-46d9-8c2c-a8b290b8b85e" xsi:nil="true"/>
  </documentManagement>
</p:properties>
</file>

<file path=customXml/itemProps1.xml><?xml version="1.0" encoding="utf-8"?>
<ds:datastoreItem xmlns:ds="http://schemas.openxmlformats.org/officeDocument/2006/customXml" ds:itemID="{42DC9E06-84D9-42CA-B3E6-0267D59C4AF5}">
  <ds:schemaRefs>
    <ds:schemaRef ds:uri="http://schemas.openxmlformats.org/officeDocument/2006/bibliography"/>
  </ds:schemaRefs>
</ds:datastoreItem>
</file>

<file path=customXml/itemProps2.xml><?xml version="1.0" encoding="utf-8"?>
<ds:datastoreItem xmlns:ds="http://schemas.openxmlformats.org/officeDocument/2006/customXml" ds:itemID="{64936D83-47BF-4FFB-938C-984E3BCD4B9C}">
  <ds:schemaRefs>
    <ds:schemaRef ds:uri="http://schemas.microsoft.com/sharepoint/v3/contenttype/forms"/>
  </ds:schemaRefs>
</ds:datastoreItem>
</file>

<file path=customXml/itemProps3.xml><?xml version="1.0" encoding="utf-8"?>
<ds:datastoreItem xmlns:ds="http://schemas.openxmlformats.org/officeDocument/2006/customXml" ds:itemID="{9D6F7576-33E3-4D7F-B027-E214A8B5F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7fbd2-ac87-4aaa-9e50-b74abf603585"/>
    <ds:schemaRef ds:uri="f281f250-5268-46d9-8c2c-a8b290b8b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6D8F63-BF10-4EFE-A070-3608C38B61DB}">
  <ds:schemaRefs>
    <ds:schemaRef ds:uri="http://schemas.microsoft.com/office/infopath/2007/PartnerControls"/>
    <ds:schemaRef ds:uri="http://schemas.microsoft.com/office/2006/documentManagement/types"/>
    <ds:schemaRef ds:uri="http://purl.org/dc/terms/"/>
    <ds:schemaRef ds:uri="http://purl.org/dc/dcmitype/"/>
    <ds:schemaRef ds:uri="2377fbd2-ac87-4aaa-9e50-b74abf603585"/>
    <ds:schemaRef ds:uri="http://purl.org/dc/elements/1.1/"/>
    <ds:schemaRef ds:uri="http://schemas.microsoft.com/office/2006/metadata/properties"/>
    <ds:schemaRef ds:uri="http://schemas.openxmlformats.org/package/2006/metadata/core-properties"/>
    <ds:schemaRef ds:uri="f281f250-5268-46d9-8c2c-a8b290b8b85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81</Pages>
  <Words>20128</Words>
  <Characters>124977</Characters>
  <Application>Microsoft Office Word</Application>
  <DocSecurity>0</DocSecurity>
  <Lines>1041</Lines>
  <Paragraphs>289</Paragraphs>
  <ScaleCrop>false</ScaleCrop>
  <HeadingPairs>
    <vt:vector size="2" baseType="variant">
      <vt:variant>
        <vt:lpstr>Title</vt:lpstr>
      </vt:variant>
      <vt:variant>
        <vt:i4>1</vt:i4>
      </vt:variant>
    </vt:vector>
  </HeadingPairs>
  <TitlesOfParts>
    <vt:vector size="1" baseType="lpstr">
      <vt:lpstr>FCC Agency Financial Report FY 2024</vt:lpstr>
    </vt:vector>
  </TitlesOfParts>
  <Company>Federal Communications Commission</Company>
  <LinksUpToDate>false</LinksUpToDate>
  <CharactersWithSpaces>144816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FCC Agency Financial Report FY 2024</dc:title>
  <dc:creator>Jae.Seong@fcc.gov</dc:creator>
  <cp:lastModifiedBy>Jae Seong</cp:lastModifiedBy>
  <cp:revision>3</cp:revision>
  <cp:lastPrinted>2025-12-18T20:17:00Z</cp:lastPrinted>
  <dcterms:created xsi:type="dcterms:W3CDTF">2025-12-18T20:16:00Z</dcterms:created>
  <dcterms:modified xsi:type="dcterms:W3CDTF">2025-12-18T20:33:00Z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0x0101009115D2EE9632274EAE28B9F3227298C3</vt:lpwstr>
  </property>
  <property fmtid="{D5CDD505-2E9C-101B-9397-08002B2CF9AE}" pid="3" name="GrammarlyDocumentId">
    <vt:lpwstr>ee22ceeb41c5eb807668da519c71b0de4e5c5327de174164654f3d8f8f42d60d</vt:lpwstr>
  </property>
  <property fmtid="{D5CDD505-2E9C-101B-9397-08002B2CF9AE}" pid="4" name="MediaServiceImageTags">
    <vt:lpwstr/>
  </property>
</Properties>
</file>