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13A8B" w:rsidRPr="00B20363" w:rsidP="00013A8B" w14:paraId="2D9957AB" w14:textId="222F3444">
      <w:pPr>
        <w:jc w:val="right"/>
        <w:rPr>
          <w:b/>
          <w:sz w:val="24"/>
        </w:rPr>
      </w:pPr>
      <w:r>
        <w:rPr>
          <w:b/>
          <w:sz w:val="24"/>
        </w:rPr>
        <w:t>DA 2</w:t>
      </w:r>
      <w:r w:rsidR="00F03F54">
        <w:rPr>
          <w:b/>
          <w:sz w:val="24"/>
        </w:rPr>
        <w:t>5</w:t>
      </w:r>
      <w:r>
        <w:rPr>
          <w:b/>
          <w:sz w:val="24"/>
        </w:rPr>
        <w:t>-</w:t>
      </w:r>
      <w:r w:rsidR="00D23F88">
        <w:rPr>
          <w:b/>
          <w:sz w:val="24"/>
        </w:rPr>
        <w:t>1064</w:t>
      </w:r>
    </w:p>
    <w:p w:rsidR="00013A8B" w:rsidRPr="00B20363" w:rsidP="00013A8B" w14:paraId="6EC505AC" w14:textId="07F4DF43">
      <w:pPr>
        <w:spacing w:before="60"/>
        <w:jc w:val="right"/>
        <w:rPr>
          <w:b/>
          <w:sz w:val="24"/>
        </w:rPr>
      </w:pPr>
      <w:r>
        <w:rPr>
          <w:b/>
          <w:sz w:val="24"/>
        </w:rPr>
        <w:t xml:space="preserve">Released:  </w:t>
      </w:r>
      <w:r w:rsidR="00B5432A">
        <w:rPr>
          <w:b/>
          <w:sz w:val="24"/>
        </w:rPr>
        <w:t xml:space="preserve">December </w:t>
      </w:r>
      <w:r w:rsidR="00D23F88">
        <w:rPr>
          <w:b/>
          <w:sz w:val="24"/>
        </w:rPr>
        <w:t>16</w:t>
      </w:r>
      <w:r w:rsidR="00696265">
        <w:rPr>
          <w:b/>
          <w:sz w:val="24"/>
        </w:rPr>
        <w:t xml:space="preserve">, </w:t>
      </w:r>
      <w:r w:rsidR="00F436EE">
        <w:rPr>
          <w:b/>
          <w:sz w:val="24"/>
        </w:rPr>
        <w:t>202</w:t>
      </w:r>
      <w:r w:rsidR="00F03F54">
        <w:rPr>
          <w:b/>
          <w:sz w:val="24"/>
        </w:rPr>
        <w:t>5</w:t>
      </w:r>
    </w:p>
    <w:p w:rsidR="00013A8B" w:rsidP="00013A8B" w14:paraId="17778D6D" w14:textId="77777777">
      <w:pPr>
        <w:jc w:val="right"/>
        <w:rPr>
          <w:sz w:val="24"/>
        </w:rPr>
      </w:pPr>
    </w:p>
    <w:p w:rsidR="00696265" w:rsidRPr="00696265" w:rsidP="00696265" w14:paraId="6A442114" w14:textId="77777777">
      <w:pPr>
        <w:jc w:val="right"/>
        <w:rPr>
          <w:rFonts w:ascii="Times New Roman Bold" w:hAnsi="Times New Roman Bold"/>
          <w:b/>
          <w:caps/>
          <w:sz w:val="24"/>
        </w:rPr>
      </w:pPr>
    </w:p>
    <w:p w:rsidR="00696265" w:rsidRPr="00696265" w:rsidP="00696265" w14:paraId="52B5E9BC" w14:textId="19EEA5DD">
      <w:pPr>
        <w:spacing w:after="120"/>
        <w:jc w:val="center"/>
        <w:rPr>
          <w:rFonts w:ascii="Times New Roman Bold" w:hAnsi="Times New Roman Bold"/>
          <w:b/>
          <w:caps/>
          <w:sz w:val="24"/>
        </w:rPr>
      </w:pPr>
      <w:bookmarkStart w:id="0" w:name="_Hlk57623808"/>
      <w:r w:rsidRPr="00696265">
        <w:rPr>
          <w:rFonts w:ascii="Times New Roman Bold" w:hAnsi="Times New Roman Bold"/>
          <w:b/>
          <w:caps/>
          <w:sz w:val="24"/>
        </w:rPr>
        <w:t xml:space="preserve">WIRELINE COMPETITION BUREAU RELEASES THE </w:t>
      </w:r>
      <w:r w:rsidR="00F436EE">
        <w:rPr>
          <w:rFonts w:ascii="Times New Roman Bold" w:hAnsi="Times New Roman Bold"/>
          <w:b/>
          <w:caps/>
          <w:sz w:val="24"/>
        </w:rPr>
        <w:t>202</w:t>
      </w:r>
      <w:r w:rsidR="00F03F54">
        <w:rPr>
          <w:rFonts w:ascii="Times New Roman Bold" w:hAnsi="Times New Roman Bold"/>
          <w:b/>
          <w:caps/>
          <w:sz w:val="24"/>
        </w:rPr>
        <w:t>6</w:t>
      </w:r>
      <w:r w:rsidRPr="00696265">
        <w:rPr>
          <w:rFonts w:ascii="Times New Roman Bold" w:hAnsi="Times New Roman Bold"/>
          <w:b/>
          <w:caps/>
          <w:sz w:val="24"/>
        </w:rPr>
        <w:t xml:space="preserve"> TELECOMMUNICATIONS REPORTING WORKSHEETS AND ACCOMPANYING INSTRUCTIONS</w:t>
      </w:r>
    </w:p>
    <w:bookmarkEnd w:id="0"/>
    <w:p w:rsidR="00013A8B" w:rsidP="00696265" w14:paraId="18CA9A0B" w14:textId="7406193F">
      <w:pPr>
        <w:spacing w:after="120"/>
        <w:jc w:val="center"/>
        <w:rPr>
          <w:b/>
          <w:sz w:val="24"/>
        </w:rPr>
      </w:pPr>
      <w:r>
        <w:rPr>
          <w:b/>
          <w:sz w:val="24"/>
        </w:rPr>
        <w:t>WC Docket No. 06-122</w:t>
      </w:r>
    </w:p>
    <w:p w:rsidR="00696265" w:rsidP="00696265" w14:paraId="3BD0CB65" w14:textId="10D12D3C">
      <w:pPr>
        <w:autoSpaceDE w:val="0"/>
        <w:autoSpaceDN w:val="0"/>
        <w:adjustRightInd w:val="0"/>
        <w:spacing w:after="120"/>
        <w:ind w:firstLine="720"/>
        <w:rPr>
          <w:szCs w:val="22"/>
        </w:rPr>
      </w:pPr>
      <w:bookmarkStart w:id="1" w:name="TOChere"/>
      <w:r>
        <w:rPr>
          <w:szCs w:val="22"/>
        </w:rPr>
        <w:t xml:space="preserve">The Wireline Competition Bureau (Bureau) announces the release of the (1) annual Telecommunications Reporting Worksheet, FCC Form 499-A (FCC Form 499-A) and accompanying instructions (FCC Form 499-A Instructions) to be used in </w:t>
      </w:r>
      <w:r w:rsidR="00F436EE">
        <w:rPr>
          <w:szCs w:val="22"/>
        </w:rPr>
        <w:t>202</w:t>
      </w:r>
      <w:r w:rsidR="00F03F54">
        <w:rPr>
          <w:szCs w:val="22"/>
        </w:rPr>
        <w:t>6</w:t>
      </w:r>
      <w:r>
        <w:rPr>
          <w:szCs w:val="22"/>
        </w:rPr>
        <w:t xml:space="preserve"> to report 202</w:t>
      </w:r>
      <w:r w:rsidR="00F03F54">
        <w:rPr>
          <w:szCs w:val="22"/>
        </w:rPr>
        <w:t>5</w:t>
      </w:r>
      <w:r>
        <w:rPr>
          <w:szCs w:val="22"/>
        </w:rPr>
        <w:t xml:space="preserve"> revenues,</w:t>
      </w:r>
      <w:r>
        <w:rPr>
          <w:rStyle w:val="FootnoteReference1"/>
          <w:szCs w:val="22"/>
        </w:rPr>
        <w:footnoteReference w:id="3"/>
      </w:r>
      <w:r>
        <w:rPr>
          <w:szCs w:val="22"/>
        </w:rPr>
        <w:t xml:space="preserve"> and (2) quarterly Telecommunications Reporting Worksheet, FCC Form 499-Q (FCC Form 499-Q) and accompanying instructions (FCC Form 499-Q Instructions) to be used in </w:t>
      </w:r>
      <w:r w:rsidR="00F436EE">
        <w:rPr>
          <w:szCs w:val="22"/>
        </w:rPr>
        <w:t>202</w:t>
      </w:r>
      <w:r w:rsidR="00F03F54">
        <w:rPr>
          <w:szCs w:val="22"/>
        </w:rPr>
        <w:t>6</w:t>
      </w:r>
      <w:r>
        <w:rPr>
          <w:szCs w:val="22"/>
        </w:rPr>
        <w:t xml:space="preserve"> to report projected and collected revenues on a quarterly basis.</w:t>
      </w:r>
      <w:r>
        <w:rPr>
          <w:rStyle w:val="FootnoteReference1"/>
          <w:szCs w:val="22"/>
        </w:rPr>
        <w:footnoteReference w:id="4"/>
      </w:r>
      <w:r>
        <w:rPr>
          <w:szCs w:val="22"/>
        </w:rPr>
        <w:t xml:space="preserve"> </w:t>
      </w:r>
    </w:p>
    <w:p w:rsidR="00A41B84" w:rsidP="00696265" w14:paraId="62A44457" w14:textId="7BC1085C">
      <w:pPr>
        <w:autoSpaceDE w:val="0"/>
        <w:autoSpaceDN w:val="0"/>
        <w:adjustRightInd w:val="0"/>
        <w:spacing w:after="120"/>
        <w:ind w:firstLine="720"/>
      </w:pPr>
      <w:r>
        <w:rPr>
          <w:szCs w:val="22"/>
        </w:rPr>
        <w:t>The Bureau has delegated authority to revise the FCC Forms and accompanying instructions to, among other things, ensure “sound and efficient administration of the universal service programs.”</w:t>
      </w:r>
      <w:r>
        <w:rPr>
          <w:rStyle w:val="FootnoteReference1"/>
          <w:szCs w:val="22"/>
        </w:rPr>
        <w:footnoteReference w:id="5"/>
      </w:r>
      <w:r>
        <w:rPr>
          <w:szCs w:val="22"/>
        </w:rPr>
        <w:t xml:space="preserve">  The </w:t>
      </w:r>
      <w:r w:rsidRPr="00307B05">
        <w:rPr>
          <w:szCs w:val="22"/>
        </w:rPr>
        <w:t>Bureau sought comment on the proposed revisions by Public Notice.</w:t>
      </w:r>
      <w:r>
        <w:rPr>
          <w:rStyle w:val="FootnoteReference"/>
          <w:szCs w:val="22"/>
        </w:rPr>
        <w:footnoteReference w:id="6"/>
      </w:r>
      <w:r w:rsidRPr="00307B05">
        <w:rPr>
          <w:szCs w:val="22"/>
        </w:rPr>
        <w:t xml:space="preserve"> </w:t>
      </w:r>
      <w:r w:rsidRPr="00307B05">
        <w:t xml:space="preserve"> </w:t>
      </w:r>
      <w:r w:rsidRPr="00465953" w:rsidR="005836F0">
        <w:rPr>
          <w:szCs w:val="22"/>
        </w:rPr>
        <w:t>I</w:t>
      </w:r>
      <w:r w:rsidRPr="00515D6E" w:rsidR="005836F0">
        <w:rPr>
          <w:szCs w:val="22"/>
        </w:rPr>
        <w:t>DT Telecom, Inc. (IDT Telecom) filed comment</w:t>
      </w:r>
      <w:r w:rsidRPr="00515D6E" w:rsidR="00042F71">
        <w:rPr>
          <w:szCs w:val="22"/>
        </w:rPr>
        <w:t>s</w:t>
      </w:r>
      <w:r w:rsidRPr="00515D6E" w:rsidR="005836F0">
        <w:rPr>
          <w:szCs w:val="22"/>
        </w:rPr>
        <w:t xml:space="preserve"> </w:t>
      </w:r>
      <w:r w:rsidRPr="00515D6E" w:rsidR="00F77025">
        <w:rPr>
          <w:szCs w:val="22"/>
        </w:rPr>
        <w:t xml:space="preserve">which </w:t>
      </w:r>
      <w:r w:rsidRPr="00515D6E" w:rsidR="00042F71">
        <w:rPr>
          <w:szCs w:val="22"/>
        </w:rPr>
        <w:t>are</w:t>
      </w:r>
      <w:r w:rsidRPr="00515D6E" w:rsidR="00F77025">
        <w:rPr>
          <w:szCs w:val="22"/>
        </w:rPr>
        <w:t xml:space="preserve"> addressed below</w:t>
      </w:r>
      <w:r w:rsidRPr="009866AB" w:rsidR="005836F0">
        <w:rPr>
          <w:szCs w:val="22"/>
        </w:rPr>
        <w:t>.</w:t>
      </w:r>
      <w:r>
        <w:rPr>
          <w:rStyle w:val="FootnoteReference"/>
          <w:szCs w:val="22"/>
        </w:rPr>
        <w:footnoteReference w:id="7"/>
      </w:r>
      <w:r w:rsidRPr="00C544AA" w:rsidR="00C544AA">
        <w:rPr>
          <w:szCs w:val="22"/>
        </w:rPr>
        <w:t xml:space="preserve"> </w:t>
      </w:r>
    </w:p>
    <w:p w:rsidR="00696265" w:rsidRPr="005A7205" w:rsidP="00696265" w14:paraId="5417B0AA" w14:textId="1C9E30D1">
      <w:pPr>
        <w:autoSpaceDE w:val="0"/>
        <w:autoSpaceDN w:val="0"/>
        <w:adjustRightInd w:val="0"/>
        <w:spacing w:after="120"/>
        <w:ind w:firstLine="720"/>
      </w:pPr>
      <w:r w:rsidRPr="00307B05">
        <w:t>The Bureau submitted n</w:t>
      </w:r>
      <w:r w:rsidR="00C74504">
        <w:t>on-substantive revision</w:t>
      </w:r>
      <w:r w:rsidR="005337FA">
        <w:t>s</w:t>
      </w:r>
      <w:r w:rsidRPr="00307B05">
        <w:t xml:space="preserve"> for the FCC Forms and the accompanying instructions (collection 3060-0855) to the Office of Management and Budget (OMB) for approval pursuant to 44 U.S.C.</w:t>
      </w:r>
      <w:r>
        <w:t xml:space="preserve"> </w:t>
      </w:r>
      <w:r w:rsidRPr="00307B05">
        <w:t>§ 3507 of the Paperwork Reduction Act of 1995</w:t>
      </w:r>
      <w:r w:rsidRPr="00307B05">
        <w:rPr>
          <w:szCs w:val="22"/>
        </w:rPr>
        <w:t>.</w:t>
      </w:r>
      <w:r>
        <w:rPr>
          <w:rStyle w:val="FootnoteReference"/>
          <w:szCs w:val="22"/>
        </w:rPr>
        <w:footnoteReference w:id="8"/>
      </w:r>
      <w:r w:rsidRPr="00307B05">
        <w:t xml:space="preserve">  Th</w:t>
      </w:r>
      <w:r>
        <w:t>e</w:t>
      </w:r>
      <w:r w:rsidRPr="00307B05">
        <w:t xml:space="preserve"> </w:t>
      </w:r>
      <w:r w:rsidR="00C74504">
        <w:t xml:space="preserve">non-substantive </w:t>
      </w:r>
      <w:r>
        <w:t xml:space="preserve">revisions to the </w:t>
      </w:r>
      <w:r w:rsidRPr="00307B05">
        <w:t>information collection w</w:t>
      </w:r>
      <w:r>
        <w:t>ere</w:t>
      </w:r>
      <w:r w:rsidRPr="00307B05">
        <w:t xml:space="preserve"> approved by OMB on </w:t>
      </w:r>
      <w:r w:rsidR="009866AB">
        <w:t>November 28, 2025</w:t>
      </w:r>
      <w:r w:rsidRPr="00307B05">
        <w:t>.</w:t>
      </w:r>
      <w:r>
        <w:t xml:space="preserve">  </w:t>
      </w:r>
    </w:p>
    <w:p w:rsidR="00696265" w:rsidP="00696265" w14:paraId="2BE154D5" w14:textId="7BC38F8C">
      <w:pPr>
        <w:ind w:firstLine="720"/>
        <w:rPr>
          <w:color w:val="0000FF"/>
          <w:u w:val="single"/>
        </w:rPr>
      </w:pPr>
      <w:r>
        <w:t xml:space="preserve">The revisions to the </w:t>
      </w:r>
      <w:r w:rsidR="00F436EE">
        <w:t>202</w:t>
      </w:r>
      <w:r w:rsidR="00F03F54">
        <w:t>6</w:t>
      </w:r>
      <w:r>
        <w:t xml:space="preserve"> FCC Forms 499-A and 499-Q and the accompanying instructions, as applicable, are summarized below.  The revised FCC Forms and the accompanying instructions are also attached to this Public Notice for informational purposes only and will be available soon on the Universal Service Administrative Company’s (USAC) we</w:t>
      </w:r>
      <w:r w:rsidRPr="00723A99">
        <w:t xml:space="preserve">bsite at </w:t>
      </w:r>
      <w:r w:rsidRPr="00723A99">
        <w:rPr>
          <w:u w:val="single"/>
        </w:rPr>
        <w:t>https://www.usac.org/service-providers/contributing-to-the-usf/forms-to-file/</w:t>
      </w:r>
      <w:r w:rsidRPr="00723A99">
        <w:t>.</w:t>
      </w:r>
    </w:p>
    <w:p w:rsidR="00696265" w:rsidP="00696265" w14:paraId="7E803881" w14:textId="77777777">
      <w:pPr>
        <w:rPr>
          <w:b/>
        </w:rPr>
      </w:pPr>
    </w:p>
    <w:p w:rsidR="00696265" w:rsidRPr="00DC3766" w:rsidP="00696265" w14:paraId="1804B7DC" w14:textId="1866F4F5">
      <w:pPr>
        <w:spacing w:after="120"/>
        <w:ind w:left="720"/>
        <w:rPr>
          <w:bCs/>
          <w:szCs w:val="22"/>
          <w:u w:val="single"/>
        </w:rPr>
      </w:pPr>
      <w:r w:rsidRPr="00DC3766">
        <w:rPr>
          <w:bCs/>
          <w:u w:val="single"/>
        </w:rPr>
        <w:t xml:space="preserve">Changes to </w:t>
      </w:r>
      <w:r>
        <w:rPr>
          <w:bCs/>
          <w:u w:val="single"/>
        </w:rPr>
        <w:t xml:space="preserve">both </w:t>
      </w:r>
      <w:r w:rsidRPr="00DC3766">
        <w:rPr>
          <w:bCs/>
          <w:u w:val="single"/>
        </w:rPr>
        <w:t xml:space="preserve">the </w:t>
      </w:r>
      <w:r w:rsidR="00F436EE">
        <w:rPr>
          <w:bCs/>
          <w:u w:val="single"/>
        </w:rPr>
        <w:t>202</w:t>
      </w:r>
      <w:r w:rsidR="00F03F54">
        <w:rPr>
          <w:bCs/>
          <w:u w:val="single"/>
        </w:rPr>
        <w:t>6</w:t>
      </w:r>
      <w:r w:rsidRPr="00DC3766">
        <w:rPr>
          <w:bCs/>
          <w:u w:val="single"/>
        </w:rPr>
        <w:t xml:space="preserve"> FCC Form 499-A and FCC Form 499-Q, where applicable, and instructions:</w:t>
      </w:r>
    </w:p>
    <w:p w:rsidR="00696265" w:rsidRPr="00F61B1D" w:rsidP="00696265" w14:paraId="080E244E" w14:textId="253ECFEA">
      <w:pPr>
        <w:widowControl/>
        <w:numPr>
          <w:ilvl w:val="0"/>
          <w:numId w:val="7"/>
        </w:numPr>
        <w:spacing w:after="120"/>
        <w:rPr>
          <w:b/>
          <w:szCs w:val="22"/>
        </w:rPr>
      </w:pPr>
      <w:r w:rsidRPr="00FF7AB8">
        <w:rPr>
          <w:b/>
        </w:rPr>
        <w:t>Date Changes:</w:t>
      </w:r>
      <w:r w:rsidRPr="00B94947">
        <w:t xml:space="preserve">  Dates </w:t>
      </w:r>
      <w:r>
        <w:t>are</w:t>
      </w:r>
      <w:r w:rsidRPr="00B94947">
        <w:t xml:space="preserve"> updated throughout the FCC Forms and instructions.  References to “20</w:t>
      </w:r>
      <w:r>
        <w:t>2</w:t>
      </w:r>
      <w:r w:rsidR="00F03F54">
        <w:t>5</w:t>
      </w:r>
      <w:r w:rsidRPr="00B94947">
        <w:t xml:space="preserve">” </w:t>
      </w:r>
      <w:r>
        <w:t>are</w:t>
      </w:r>
      <w:r w:rsidRPr="00B94947">
        <w:t xml:space="preserve"> changed to “</w:t>
      </w:r>
      <w:r w:rsidR="00F436EE">
        <w:t>202</w:t>
      </w:r>
      <w:r w:rsidR="00F03F54">
        <w:t>6</w:t>
      </w:r>
      <w:r w:rsidRPr="00B94947">
        <w:t>” and references to “20</w:t>
      </w:r>
      <w:r>
        <w:t>2</w:t>
      </w:r>
      <w:r w:rsidR="009866AB">
        <w:t>4</w:t>
      </w:r>
      <w:r w:rsidRPr="00B94947">
        <w:t xml:space="preserve">” </w:t>
      </w:r>
      <w:r>
        <w:t>are</w:t>
      </w:r>
      <w:r w:rsidRPr="00B94947">
        <w:t xml:space="preserve"> changed to “20</w:t>
      </w:r>
      <w:r>
        <w:t>2</w:t>
      </w:r>
      <w:r w:rsidR="00F03F54">
        <w:t>5</w:t>
      </w:r>
      <w:r w:rsidRPr="00B94947">
        <w:t>.”</w:t>
      </w:r>
    </w:p>
    <w:p w:rsidR="00696265" w:rsidRPr="00DC3766" w:rsidP="00696265" w14:paraId="2FB06C06" w14:textId="75BAFC93">
      <w:pPr>
        <w:spacing w:after="120"/>
        <w:ind w:firstLine="720"/>
        <w:rPr>
          <w:bCs/>
          <w:u w:val="single"/>
        </w:rPr>
      </w:pPr>
      <w:r>
        <w:rPr>
          <w:bCs/>
          <w:u w:val="single"/>
        </w:rPr>
        <w:t>Changes</w:t>
      </w:r>
      <w:r w:rsidRPr="00DC3766">
        <w:rPr>
          <w:bCs/>
          <w:u w:val="single"/>
        </w:rPr>
        <w:t xml:space="preserve"> to the </w:t>
      </w:r>
      <w:r w:rsidR="00F436EE">
        <w:rPr>
          <w:bCs/>
          <w:u w:val="single"/>
        </w:rPr>
        <w:t>202</w:t>
      </w:r>
      <w:r w:rsidR="00F03F54">
        <w:rPr>
          <w:bCs/>
          <w:u w:val="single"/>
        </w:rPr>
        <w:t>6</w:t>
      </w:r>
      <w:r w:rsidRPr="00DC3766">
        <w:rPr>
          <w:bCs/>
          <w:u w:val="single"/>
        </w:rPr>
        <w:t xml:space="preserve"> FCC Form 499-A Instructions:</w:t>
      </w:r>
    </w:p>
    <w:p w:rsidR="00696265" w:rsidP="00696265" w14:paraId="1E2CE5EB" w14:textId="77777777">
      <w:pPr>
        <w:pStyle w:val="ListParagraph"/>
        <w:numPr>
          <w:ilvl w:val="0"/>
          <w:numId w:val="8"/>
        </w:numPr>
        <w:spacing w:after="120"/>
        <w:rPr>
          <w:sz w:val="22"/>
        </w:rPr>
      </w:pPr>
      <w:bookmarkStart w:id="4" w:name="_Hlk79064260"/>
      <w:r>
        <w:rPr>
          <w:b/>
        </w:rPr>
        <w:t xml:space="preserve">Clarifications:  </w:t>
      </w:r>
    </w:p>
    <w:p w:rsidR="00696265" w:rsidRPr="0027198F" w:rsidP="00515D6E" w14:paraId="3B7D23A4" w14:textId="365AAC99">
      <w:pPr>
        <w:pStyle w:val="ListParagraph"/>
        <w:widowControl w:val="0"/>
        <w:numPr>
          <w:ilvl w:val="1"/>
          <w:numId w:val="8"/>
        </w:numPr>
        <w:spacing w:after="120"/>
        <w:contextualSpacing/>
        <w:rPr>
          <w:rFonts w:eastAsia="Calibri"/>
          <w:kern w:val="2"/>
          <w:sz w:val="22"/>
          <w:szCs w:val="22"/>
        </w:rPr>
      </w:pPr>
      <w:r w:rsidRPr="0027198F">
        <w:rPr>
          <w:sz w:val="22"/>
          <w:szCs w:val="22"/>
        </w:rPr>
        <w:t>Page</w:t>
      </w:r>
      <w:r w:rsidRPr="0027198F" w:rsidR="009866AB">
        <w:rPr>
          <w:sz w:val="22"/>
          <w:szCs w:val="22"/>
        </w:rPr>
        <w:t xml:space="preserve"> 30</w:t>
      </w:r>
      <w:r w:rsidRPr="0027198F">
        <w:rPr>
          <w:sz w:val="22"/>
          <w:szCs w:val="22"/>
        </w:rPr>
        <w:t xml:space="preserve"> </w:t>
      </w:r>
      <w:r w:rsidRPr="0027198F" w:rsidR="009866AB">
        <w:rPr>
          <w:sz w:val="22"/>
          <w:szCs w:val="22"/>
        </w:rPr>
        <w:t>is</w:t>
      </w:r>
      <w:r w:rsidRPr="0027198F" w:rsidR="002D4208">
        <w:rPr>
          <w:sz w:val="22"/>
          <w:szCs w:val="22"/>
        </w:rPr>
        <w:t xml:space="preserve"> updated to clarify that</w:t>
      </w:r>
      <w:r w:rsidRPr="0027198F">
        <w:rPr>
          <w:sz w:val="22"/>
          <w:szCs w:val="22"/>
        </w:rPr>
        <w:t xml:space="preserve"> </w:t>
      </w:r>
      <w:r w:rsidRPr="0027198F" w:rsidR="009866AB">
        <w:rPr>
          <w:rFonts w:eastAsia="Calibri"/>
          <w:kern w:val="2"/>
          <w:sz w:val="22"/>
          <w:szCs w:val="22"/>
        </w:rPr>
        <w:t>support received from the Emergency Broadband Benefit Program should no longer be included on line 308.</w:t>
      </w:r>
    </w:p>
    <w:p w:rsidR="00696265" w:rsidRPr="00931935" w:rsidP="00696265" w14:paraId="4ACD180E" w14:textId="4F3AF0B5">
      <w:pPr>
        <w:widowControl/>
        <w:numPr>
          <w:ilvl w:val="1"/>
          <w:numId w:val="8"/>
        </w:numPr>
        <w:spacing w:after="120"/>
      </w:pPr>
      <w:r>
        <w:t xml:space="preserve">Page </w:t>
      </w:r>
      <w:r w:rsidR="00C74504">
        <w:t>3</w:t>
      </w:r>
      <w:r w:rsidR="009866AB">
        <w:t>5</w:t>
      </w:r>
      <w:r>
        <w:t xml:space="preserve"> is updated to </w:t>
      </w:r>
      <w:r w:rsidR="00C74504">
        <w:t>clarify that</w:t>
      </w:r>
      <w:r w:rsidR="009866AB">
        <w:t xml:space="preserve"> tower leases should be included on Line 418 as non-telecommunications service revenues</w:t>
      </w:r>
      <w:r w:rsidR="00C74504">
        <w:t>.</w:t>
      </w:r>
      <w:r>
        <w:t xml:space="preserve"> </w:t>
      </w:r>
    </w:p>
    <w:p w:rsidR="00696265" w:rsidRPr="00347134" w:rsidP="00696265" w14:paraId="3920A3E2" w14:textId="7C4674F3">
      <w:pPr>
        <w:widowControl/>
        <w:numPr>
          <w:ilvl w:val="1"/>
          <w:numId w:val="8"/>
        </w:numPr>
        <w:spacing w:after="120"/>
      </w:pPr>
      <w:r>
        <w:rPr>
          <w:szCs w:val="22"/>
        </w:rPr>
        <w:t xml:space="preserve">Page </w:t>
      </w:r>
      <w:r w:rsidR="009866AB">
        <w:rPr>
          <w:szCs w:val="22"/>
        </w:rPr>
        <w:t>43</w:t>
      </w:r>
      <w:r>
        <w:rPr>
          <w:szCs w:val="22"/>
        </w:rPr>
        <w:t xml:space="preserve"> is updated to clarify that </w:t>
      </w:r>
      <w:r w:rsidR="009866AB">
        <w:rPr>
          <w:szCs w:val="22"/>
        </w:rPr>
        <w:t>a traffic study should be conducted in 2025 for the revenues listed in the 2026 Form 499-A</w:t>
      </w:r>
      <w:r>
        <w:rPr>
          <w:szCs w:val="22"/>
        </w:rPr>
        <w:t>.</w:t>
      </w:r>
    </w:p>
    <w:p w:rsidR="009866AB" w:rsidRPr="00D613FC" w:rsidP="009866AB" w14:paraId="2F98CEB6" w14:textId="29B27BE5">
      <w:pPr>
        <w:widowControl/>
        <w:numPr>
          <w:ilvl w:val="1"/>
          <w:numId w:val="8"/>
        </w:numPr>
        <w:spacing w:after="120"/>
        <w:rPr>
          <w:rFonts w:eastAsia="Calibri"/>
          <w:snapToGrid/>
          <w:kern w:val="2"/>
          <w:szCs w:val="22"/>
        </w:rPr>
      </w:pPr>
      <w:r w:rsidRPr="00D613FC">
        <w:rPr>
          <w:rFonts w:eastAsia="Calibri"/>
          <w:snapToGrid/>
          <w:kern w:val="2"/>
          <w:szCs w:val="22"/>
        </w:rPr>
        <w:t>Page 5</w:t>
      </w:r>
      <w:r>
        <w:rPr>
          <w:rFonts w:eastAsia="Calibri"/>
          <w:snapToGrid/>
          <w:kern w:val="2"/>
          <w:szCs w:val="22"/>
        </w:rPr>
        <w:t>3</w:t>
      </w:r>
      <w:r w:rsidRPr="00D613FC">
        <w:rPr>
          <w:rFonts w:eastAsia="Calibri"/>
          <w:snapToGrid/>
          <w:kern w:val="2"/>
          <w:szCs w:val="22"/>
        </w:rPr>
        <w:t xml:space="preserve"> is updated to note </w:t>
      </w:r>
      <w:r w:rsidR="00653879">
        <w:rPr>
          <w:rFonts w:eastAsia="Calibri"/>
          <w:snapToGrid/>
          <w:kern w:val="2"/>
          <w:szCs w:val="22"/>
        </w:rPr>
        <w:t xml:space="preserve">the </w:t>
      </w:r>
      <w:r w:rsidRPr="00515D6E" w:rsidR="00653879">
        <w:rPr>
          <w:rFonts w:eastAsia="Calibri"/>
          <w:i/>
          <w:iCs/>
          <w:snapToGrid/>
          <w:kern w:val="2"/>
          <w:szCs w:val="22"/>
        </w:rPr>
        <w:t>de minimis</w:t>
      </w:r>
      <w:r w:rsidR="00653879">
        <w:rPr>
          <w:rFonts w:eastAsia="Calibri"/>
          <w:snapToGrid/>
          <w:kern w:val="2"/>
          <w:szCs w:val="22"/>
        </w:rPr>
        <w:t xml:space="preserve"> estimation and circularity factors to determine whether a filer met the universal service </w:t>
      </w:r>
      <w:r w:rsidRPr="00515D6E" w:rsidR="00653879">
        <w:rPr>
          <w:rFonts w:eastAsia="Calibri"/>
          <w:i/>
          <w:iCs/>
          <w:snapToGrid/>
          <w:kern w:val="2"/>
          <w:szCs w:val="22"/>
        </w:rPr>
        <w:t>de minimis</w:t>
      </w:r>
      <w:r w:rsidR="00653879">
        <w:rPr>
          <w:rFonts w:eastAsia="Calibri"/>
          <w:snapToGrid/>
          <w:kern w:val="2"/>
          <w:szCs w:val="22"/>
        </w:rPr>
        <w:t xml:space="preserve"> standard for calendar year 2025.</w:t>
      </w:r>
    </w:p>
    <w:p w:rsidR="00696265" w:rsidP="002F3857" w14:paraId="02AF6CF4" w14:textId="7152AC2D">
      <w:pPr>
        <w:keepNext/>
        <w:widowControl/>
        <w:spacing w:after="120"/>
        <w:ind w:firstLine="720"/>
        <w:rPr>
          <w:bCs/>
          <w:u w:val="single"/>
        </w:rPr>
      </w:pPr>
      <w:r w:rsidRPr="00FF5645">
        <w:rPr>
          <w:bCs/>
          <w:u w:val="single"/>
        </w:rPr>
        <w:t xml:space="preserve">Changes to the </w:t>
      </w:r>
      <w:r w:rsidRPr="00FF5645" w:rsidR="008B187C">
        <w:rPr>
          <w:bCs/>
          <w:u w:val="single"/>
        </w:rPr>
        <w:t>202</w:t>
      </w:r>
      <w:r w:rsidR="008B187C">
        <w:rPr>
          <w:bCs/>
          <w:u w:val="single"/>
        </w:rPr>
        <w:t>6</w:t>
      </w:r>
      <w:r w:rsidRPr="00FF5645" w:rsidR="008B187C">
        <w:rPr>
          <w:bCs/>
          <w:u w:val="single"/>
        </w:rPr>
        <w:t xml:space="preserve"> </w:t>
      </w:r>
      <w:r w:rsidRPr="00FF5645">
        <w:rPr>
          <w:bCs/>
          <w:u w:val="single"/>
        </w:rPr>
        <w:t>Form 499-Q Instructions:</w:t>
      </w:r>
    </w:p>
    <w:p w:rsidR="00696265" w:rsidRPr="00F77025" w:rsidP="002F3857" w14:paraId="1EF38EA8" w14:textId="050E9FDA">
      <w:pPr>
        <w:keepNext/>
        <w:widowControl/>
        <w:numPr>
          <w:ilvl w:val="0"/>
          <w:numId w:val="7"/>
        </w:numPr>
        <w:spacing w:after="120"/>
        <w:rPr>
          <w:bCs/>
        </w:rPr>
      </w:pPr>
      <w:r w:rsidRPr="002840E9">
        <w:rPr>
          <w:b/>
        </w:rPr>
        <w:t>Circularity Factor Update:</w:t>
      </w:r>
      <w:r w:rsidRPr="002840E9">
        <w:rPr>
          <w:bCs/>
        </w:rPr>
        <w:t xml:space="preserve">  </w:t>
      </w:r>
      <w:bookmarkStart w:id="5" w:name="_Hlk134708401"/>
      <w:bookmarkStart w:id="6" w:name="_Hlk169008875"/>
      <w:r w:rsidRPr="00F77025" w:rsidR="00F77025">
        <w:rPr>
          <w:bCs/>
        </w:rPr>
        <w:t xml:space="preserve">Page 5 is updated to note that the </w:t>
      </w:r>
      <w:r w:rsidRPr="00F77025" w:rsidR="00F77025">
        <w:rPr>
          <w:bCs/>
          <w:lang w:val="en-CA"/>
        </w:rPr>
        <w:t xml:space="preserve">circularity factor </w:t>
      </w:r>
      <w:r w:rsidR="00B4328E">
        <w:rPr>
          <w:bCs/>
          <w:lang w:val="en-CA"/>
        </w:rPr>
        <w:t>i</w:t>
      </w:r>
      <w:r w:rsidR="000137F8">
        <w:rPr>
          <w:bCs/>
          <w:lang w:val="en-CA"/>
        </w:rPr>
        <w:t>s</w:t>
      </w:r>
      <w:r w:rsidRPr="00F77025" w:rsidR="00F77025">
        <w:rPr>
          <w:bCs/>
          <w:lang w:val="en-CA"/>
        </w:rPr>
        <w:t xml:space="preserve"> adjusted and updated in the Form 499-Q instructions based upon the quarterly contribution factors subsequent to the Fourth Quarter 2025 contribution factor announcement.</w:t>
      </w:r>
      <w:bookmarkEnd w:id="5"/>
      <w:r>
        <w:rPr>
          <w:bCs/>
          <w:vertAlign w:val="superscript"/>
          <w:lang w:val="en-CA"/>
        </w:rPr>
        <w:footnoteReference w:id="9"/>
      </w:r>
      <w:r w:rsidRPr="00F77025" w:rsidR="00F77025">
        <w:rPr>
          <w:bCs/>
          <w:lang w:val="en-CA"/>
        </w:rPr>
        <w:t xml:space="preserve"> </w:t>
      </w:r>
      <w:bookmarkEnd w:id="6"/>
    </w:p>
    <w:bookmarkEnd w:id="4"/>
    <w:p w:rsidR="00696265" w:rsidP="00696265" w14:paraId="2658A039" w14:textId="77777777">
      <w:pPr>
        <w:ind w:firstLine="720"/>
        <w:jc w:val="center"/>
        <w:rPr>
          <w:szCs w:val="22"/>
        </w:rPr>
      </w:pPr>
    </w:p>
    <w:p w:rsidR="00696265" w:rsidP="00696265" w14:paraId="31076BD2" w14:textId="77777777">
      <w:pPr>
        <w:spacing w:after="120"/>
        <w:ind w:firstLine="720"/>
        <w:jc w:val="center"/>
        <w:rPr>
          <w:szCs w:val="22"/>
        </w:rPr>
      </w:pPr>
      <w:r>
        <w:rPr>
          <w:szCs w:val="22"/>
        </w:rPr>
        <w:t>**************</w:t>
      </w:r>
      <w:r w:rsidRPr="004D02C8">
        <w:rPr>
          <w:szCs w:val="22"/>
        </w:rPr>
        <w:t>***</w:t>
      </w:r>
    </w:p>
    <w:p w:rsidR="00696265" w:rsidP="00696265" w14:paraId="75CD28F0" w14:textId="77777777">
      <w:pPr>
        <w:widowControl/>
        <w:spacing w:after="120"/>
        <w:ind w:left="90" w:firstLine="630"/>
      </w:pPr>
      <w:r w:rsidRPr="004D02C8">
        <w:t xml:space="preserve">People with Disabilities:  To request materials in accessible formats for people with disabilities (Braille, large print, electronic files, audio format), send an e-mail to </w:t>
      </w:r>
      <w:hyperlink r:id="rId6" w:history="1">
        <w:r w:rsidRPr="00C72885">
          <w:rPr>
            <w:rStyle w:val="Hyperlink"/>
            <w:szCs w:val="22"/>
          </w:rPr>
          <w:t>fcc504@fcc.gov</w:t>
        </w:r>
      </w:hyperlink>
      <w:r w:rsidRPr="004D02C8">
        <w:t xml:space="preserve"> or call the Consumer &amp; Governmental Affairs Bureau at 202-418-0530 (voice), 202-418-0432 (</w:t>
      </w:r>
      <w:r>
        <w:t>TTY</w:t>
      </w:r>
      <w:r w:rsidRPr="004D02C8">
        <w:t>).</w:t>
      </w:r>
    </w:p>
    <w:p w:rsidR="00696265" w:rsidP="00696265" w14:paraId="5CFFB706" w14:textId="246652FB">
      <w:pPr>
        <w:widowControl/>
        <w:spacing w:after="120"/>
        <w:ind w:left="90" w:firstLine="630"/>
      </w:pPr>
      <w:r>
        <w:t xml:space="preserve">For further </w:t>
      </w:r>
      <w:r w:rsidRPr="005B6C49">
        <w:t xml:space="preserve">information, please contact </w:t>
      </w:r>
      <w:r w:rsidR="00C74504">
        <w:t>Conor O’Donovan</w:t>
      </w:r>
      <w:r w:rsidRPr="005B6C49">
        <w:t xml:space="preserve">, Telecommunications Access Policy Division, Wireline Competition Bureau, at </w:t>
      </w:r>
      <w:r w:rsidR="00C74504">
        <w:t>Conor</w:t>
      </w:r>
      <w:r>
        <w:t>.</w:t>
      </w:r>
      <w:r w:rsidR="00C74504">
        <w:t>O’Donovan</w:t>
      </w:r>
      <w:r w:rsidRPr="00475F67">
        <w:t>@fcc.gov or at (202) 418-</w:t>
      </w:r>
      <w:r w:rsidR="00C74504">
        <w:t>1639</w:t>
      </w:r>
      <w:r>
        <w:t xml:space="preserve">. </w:t>
      </w:r>
    </w:p>
    <w:p w:rsidR="00696265" w:rsidP="00696265" w14:paraId="591D4DA3" w14:textId="77777777"/>
    <w:p w:rsidR="00696265" w:rsidRPr="00B26B1B" w:rsidP="00696265" w14:paraId="54385050" w14:textId="77777777">
      <w:r w:rsidRPr="004D02C8">
        <w:rPr>
          <w:b/>
        </w:rPr>
        <w:t>Attachments:</w:t>
      </w:r>
    </w:p>
    <w:p w:rsidR="00696265" w:rsidP="00696265" w14:paraId="0F6DEEB3" w14:textId="77777777">
      <w:pPr>
        <w:keepNext/>
        <w:keepLines/>
      </w:pPr>
    </w:p>
    <w:p w:rsidR="00696265" w:rsidRPr="004D02C8" w:rsidP="00696265" w14:paraId="076AF025" w14:textId="048A3F27">
      <w:pPr>
        <w:keepNext/>
        <w:keepLines/>
      </w:pPr>
      <w:r>
        <w:t xml:space="preserve">Attachment A:  </w:t>
      </w:r>
      <w:r w:rsidR="00F436EE">
        <w:t>2025</w:t>
      </w:r>
      <w:r>
        <w:t xml:space="preserve"> FCC Form 499-A</w:t>
      </w:r>
    </w:p>
    <w:p w:rsidR="00696265" w:rsidRPr="004D02C8" w:rsidP="00696265" w14:paraId="2C8B67E0" w14:textId="46A57816">
      <w:pPr>
        <w:rPr>
          <w:szCs w:val="22"/>
        </w:rPr>
      </w:pPr>
      <w:r>
        <w:t>Attachment B</w:t>
      </w:r>
      <w:r w:rsidRPr="004D02C8">
        <w:t xml:space="preserve">:  </w:t>
      </w:r>
      <w:r w:rsidR="00F436EE">
        <w:t>2025</w:t>
      </w:r>
      <w:r>
        <w:t xml:space="preserve"> </w:t>
      </w:r>
      <w:r>
        <w:rPr>
          <w:szCs w:val="22"/>
        </w:rPr>
        <w:t xml:space="preserve">FCC </w:t>
      </w:r>
      <w:r w:rsidRPr="004D02C8">
        <w:rPr>
          <w:szCs w:val="22"/>
        </w:rPr>
        <w:t>Form 4</w:t>
      </w:r>
      <w:r>
        <w:rPr>
          <w:szCs w:val="22"/>
        </w:rPr>
        <w:t>99-A Instructions</w:t>
      </w:r>
    </w:p>
    <w:p w:rsidR="00696265" w:rsidRPr="004D02C8" w:rsidP="00696265" w14:paraId="7B1CCB32" w14:textId="54FCB151">
      <w:pPr>
        <w:keepNext/>
        <w:keepLines/>
      </w:pPr>
      <w:r>
        <w:t xml:space="preserve">Attachment C:  </w:t>
      </w:r>
      <w:r w:rsidR="00F436EE">
        <w:t>2025</w:t>
      </w:r>
      <w:r>
        <w:t xml:space="preserve"> FCC Form 499-Q </w:t>
      </w:r>
    </w:p>
    <w:p w:rsidR="00696265" w:rsidP="00696265" w14:paraId="1AAC40AA" w14:textId="7D2B5BA5">
      <w:pPr>
        <w:rPr>
          <w:szCs w:val="22"/>
        </w:rPr>
      </w:pPr>
      <w:r>
        <w:t>Attachment D</w:t>
      </w:r>
      <w:r w:rsidRPr="004D02C8">
        <w:t xml:space="preserve">:  </w:t>
      </w:r>
      <w:r w:rsidR="00F436EE">
        <w:t>2025</w:t>
      </w:r>
      <w:r>
        <w:t xml:space="preserve"> FCC </w:t>
      </w:r>
      <w:r w:rsidRPr="004D02C8">
        <w:rPr>
          <w:szCs w:val="22"/>
        </w:rPr>
        <w:t>Form 4</w:t>
      </w:r>
      <w:r>
        <w:rPr>
          <w:szCs w:val="22"/>
        </w:rPr>
        <w:t>99-Q Instructions</w:t>
      </w:r>
    </w:p>
    <w:p w:rsidR="00696265" w:rsidP="00696265" w14:paraId="5D398B34" w14:textId="77777777">
      <w:pPr>
        <w:rPr>
          <w:b/>
          <w:sz w:val="24"/>
        </w:rPr>
      </w:pPr>
    </w:p>
    <w:p w:rsidR="00696265" w:rsidP="00696265" w14:paraId="039E34BE" w14:textId="77777777">
      <w:pPr>
        <w:jc w:val="center"/>
        <w:rPr>
          <w:b/>
          <w:sz w:val="24"/>
        </w:rPr>
      </w:pPr>
    </w:p>
    <w:p w:rsidR="00696265" w:rsidP="00696265" w14:paraId="675A113F" w14:textId="77777777">
      <w:pPr>
        <w:jc w:val="center"/>
        <w:rPr>
          <w:b/>
          <w:sz w:val="24"/>
        </w:rPr>
      </w:pPr>
    </w:p>
    <w:p w:rsidR="00696265" w:rsidP="00696265" w14:paraId="05548EE2" w14:textId="77777777">
      <w:pPr>
        <w:jc w:val="center"/>
        <w:rPr>
          <w:b/>
          <w:sz w:val="24"/>
        </w:rPr>
      </w:pPr>
    </w:p>
    <w:p w:rsidR="00696265" w:rsidP="00696265" w14:paraId="17FA2449" w14:textId="77777777">
      <w:pPr>
        <w:jc w:val="center"/>
        <w:rPr>
          <w:b/>
          <w:sz w:val="24"/>
        </w:rPr>
      </w:pPr>
      <w:r w:rsidRPr="00FF7AB8">
        <w:rPr>
          <w:b/>
          <w:sz w:val="24"/>
        </w:rPr>
        <w:t>-</w:t>
      </w:r>
      <w:r>
        <w:rPr>
          <w:b/>
          <w:sz w:val="24"/>
        </w:rPr>
        <w:t xml:space="preserve"> FCC -</w:t>
      </w:r>
    </w:p>
    <w:p w:rsidR="00F96F63" w:rsidRPr="00930ECF" w:rsidP="00696265" w14:paraId="2F84543D" w14:textId="77777777">
      <w:pPr>
        <w:spacing w:after="120"/>
        <w:rPr>
          <w:sz w:val="24"/>
        </w:rPr>
      </w:pPr>
    </w:p>
    <w:bookmarkEnd w:id="1"/>
    <w:p w:rsidR="00F96F63" w:rsidP="00F96F63" w14:paraId="02A08380" w14:textId="77777777">
      <w:pPr>
        <w:rPr>
          <w:sz w:val="24"/>
        </w:rPr>
      </w:pPr>
    </w:p>
    <w:p w:rsidR="00930ECF" w:rsidRPr="00930ECF" w:rsidP="00F96F63" w14:paraId="62E18915" w14:textId="77777777">
      <w:pPr>
        <w:rPr>
          <w:sz w:val="24"/>
        </w:rPr>
      </w:pPr>
    </w:p>
    <w:sectPr w:rsidSect="000E5884">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0A2E" w14:paraId="382CFEE9" w14:textId="77777777">
      <w:r>
        <w:separator/>
      </w:r>
    </w:p>
  </w:endnote>
  <w:endnote w:type="continuationSeparator" w:id="1">
    <w:p w:rsidR="00060A2E" w14:paraId="63FE50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7B00CFB6"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692D86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329A5D5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6FD532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0A2E" w14:paraId="389C852B" w14:textId="77777777">
      <w:r>
        <w:separator/>
      </w:r>
    </w:p>
  </w:footnote>
  <w:footnote w:type="continuationSeparator" w:id="1">
    <w:p w:rsidR="00060A2E" w14:paraId="0AA0094F" w14:textId="77777777">
      <w:pPr>
        <w:rPr>
          <w:sz w:val="20"/>
        </w:rPr>
      </w:pPr>
      <w:r>
        <w:rPr>
          <w:sz w:val="20"/>
        </w:rPr>
        <w:t xml:space="preserve">(Continued from previous page)  </w:t>
      </w:r>
      <w:r>
        <w:rPr>
          <w:sz w:val="20"/>
        </w:rPr>
        <w:separator/>
      </w:r>
    </w:p>
  </w:footnote>
  <w:footnote w:type="continuationNotice" w:id="2">
    <w:p w:rsidR="00060A2E" w:rsidP="00910F12" w14:paraId="4E834EF9" w14:textId="77777777">
      <w:pPr>
        <w:jc w:val="right"/>
        <w:rPr>
          <w:sz w:val="20"/>
        </w:rPr>
      </w:pPr>
      <w:r>
        <w:rPr>
          <w:sz w:val="20"/>
        </w:rPr>
        <w:t>(continued….)</w:t>
      </w:r>
    </w:p>
  </w:footnote>
  <w:footnote w:id="3">
    <w:p w:rsidR="00696265" w:rsidP="00696265" w14:paraId="724EB020" w14:textId="3D820326">
      <w:pPr>
        <w:pStyle w:val="FootnoteText"/>
        <w:rPr>
          <w:lang w:bidi="x-none"/>
        </w:rPr>
      </w:pPr>
      <w:r>
        <w:rPr>
          <w:rStyle w:val="FootnoteReference1"/>
        </w:rPr>
        <w:footnoteRef/>
      </w:r>
      <w:r>
        <w:t xml:space="preserve"> The Communications Act of 1934 (Act), as amended, requires that the Commission establish mechanisms to fund universal service, interstate telecommunications relay services, the administration of the North American Numbering Plan, and the shared costs of local number portability administration.  47 U.S.C. §§ 151, 225, 251, 254.  To accomplish these congressionally-directed objectives, the Commission requires telecommunications carriers and certain other providers of telecommunications (including Voice-over-Internet-Protocol (VoIP) service providers) to report each year on the FCC Form 499-A the revenues they receive from offering service.  </w:t>
      </w:r>
      <w:r>
        <w:rPr>
          <w:rFonts w:ascii="Times New Roman Italic" w:hAnsi="Times New Roman Italic"/>
        </w:rPr>
        <w:t>See</w:t>
      </w:r>
      <w:r>
        <w:t xml:space="preserve"> 47 CFR §§ 52.17(b), 52.32(b), 54.708, 54.711, 64.604(b)(5)(iii)(B).  The FCC Form 499-A is due on April 1 of each year.  </w:t>
      </w:r>
      <w:r w:rsidRPr="00475F67">
        <w:rPr>
          <w:rFonts w:ascii="Times New Roman Italic" w:hAnsi="Times New Roman Italic"/>
          <w:i/>
          <w:iCs/>
        </w:rPr>
        <w:t>See</w:t>
      </w:r>
      <w:r>
        <w:t xml:space="preserve"> Universal Service Administrative Co</w:t>
      </w:r>
      <w:r w:rsidRPr="00FF4664">
        <w:t xml:space="preserve">mpany Schedule of Filings, </w:t>
      </w:r>
      <w:hyperlink r:id="rId1" w:history="1">
        <w:r w:rsidRPr="005B782B">
          <w:rPr>
            <w:rStyle w:val="Hyperlink"/>
            <w:snapToGrid w:val="0"/>
            <w:kern w:val="28"/>
          </w:rPr>
          <w:t>https://www.usac.org/service-providers/contributing-to-the-usf/when-to-file/</w:t>
        </w:r>
      </w:hyperlink>
      <w:r>
        <w:rPr>
          <w:snapToGrid w:val="0"/>
          <w:kern w:val="28"/>
          <w:u w:val="single"/>
        </w:rPr>
        <w:t xml:space="preserve"> </w:t>
      </w:r>
      <w:r w:rsidRPr="00BB3805">
        <w:t xml:space="preserve">(last visited </w:t>
      </w:r>
      <w:r w:rsidR="008852C1">
        <w:t>Dec</w:t>
      </w:r>
      <w:r w:rsidRPr="00BB3805">
        <w:t xml:space="preserve">. </w:t>
      </w:r>
      <w:r w:rsidR="008852C1">
        <w:t>1</w:t>
      </w:r>
      <w:r w:rsidRPr="00BB3805">
        <w:t>, 202</w:t>
      </w:r>
      <w:r w:rsidR="008852C1">
        <w:t>5</w:t>
      </w:r>
      <w:r w:rsidRPr="00BB3805">
        <w:t>).</w:t>
      </w:r>
    </w:p>
  </w:footnote>
  <w:footnote w:id="4">
    <w:p w:rsidR="00696265" w:rsidP="00696265" w14:paraId="4FC7B0E3" w14:textId="77777777">
      <w:pPr>
        <w:pStyle w:val="FootnoteText"/>
        <w:rPr>
          <w:lang w:bidi="x-none"/>
        </w:rPr>
      </w:pPr>
      <w:r>
        <w:rPr>
          <w:rStyle w:val="FootnoteReference1"/>
        </w:rPr>
        <w:footnoteRef/>
      </w:r>
      <w:r>
        <w:t xml:space="preserve"> </w:t>
      </w:r>
      <w:r>
        <w:rPr>
          <w:spacing w:val="-2"/>
        </w:rPr>
        <w:t>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an FCC Form 499-Q on February 1, May 1, August 1, and November 1 each year.  47 CFR §§ 54.706, 54.711, 54.713.</w:t>
      </w:r>
    </w:p>
  </w:footnote>
  <w:footnote w:id="5">
    <w:p w:rsidR="00696265" w:rsidRPr="00FE5686" w:rsidP="00696265" w14:paraId="3AD9D8A5" w14:textId="77777777">
      <w:pPr>
        <w:pStyle w:val="FootnoteText"/>
        <w:rPr>
          <w:lang w:bidi="x-none"/>
        </w:rPr>
      </w:pPr>
      <w:r>
        <w:rPr>
          <w:rStyle w:val="FootnoteReference1"/>
        </w:rPr>
        <w:footnoteRef/>
      </w:r>
      <w:r>
        <w:t xml:space="preserve"> </w:t>
      </w:r>
      <w:r w:rsidRPr="00475F67">
        <w:rPr>
          <w:rFonts w:ascii="Times New Roman Italic" w:hAnsi="Times New Roman Italic"/>
          <w:i/>
          <w:iCs/>
        </w:rPr>
        <w:t>Changes to the Board of Directors of the National Exchange Carrier Association, Inc.; Federal-State Joint Board on Universal Service</w:t>
      </w:r>
      <w:r>
        <w:t xml:space="preserve">, CC Docket Nos. 96-45, 97-21, Report and Order and Second Order on Reconsideration, 12 FCC Rcd 18400, 18442, para. 81 (1997) (“Because it is difficult to determine in advance precisely the information that will be needed to administer the new universal service programs, the [Common Carrier, now Wireline Competition] Bureau will have delegated authority to waive, reduce, or eliminate contributor reporting requirements that may prove unnecessary.  The Bureau also will have delegated authority to require any additional contributor reporting requirements necessary to the sound and efficient administration of the universal service programs.”).  </w:t>
      </w:r>
      <w:r w:rsidRPr="002878C6">
        <w:t xml:space="preserve">Consistent with this authority, the Bureau annually revises the Telecommunications Reporting Worksheet Instructions to provide instructions and guidance for complying with existing rules and requirements.  </w:t>
      </w:r>
      <w:r w:rsidRPr="002878C6">
        <w:rPr>
          <w:i/>
        </w:rPr>
        <w:t xml:space="preserve">See </w:t>
      </w:r>
      <w:r w:rsidRPr="002878C6">
        <w:t>47 C</w:t>
      </w:r>
      <w:r>
        <w:t>FR</w:t>
      </w:r>
      <w:r w:rsidRPr="002878C6">
        <w:t xml:space="preserve"> § 54.711(c).  The FCC Forms and accompanying instructions are modified based on experience in administering the universal service program and explicit rulings by the Commission.  </w:t>
      </w:r>
      <w:r w:rsidRPr="002878C6">
        <w:rPr>
          <w:i/>
        </w:rPr>
        <w:t>See, e.g.</w:t>
      </w:r>
      <w:r w:rsidRPr="008B33F5">
        <w:rPr>
          <w:iCs/>
        </w:rPr>
        <w:t>,</w:t>
      </w:r>
      <w:r w:rsidRPr="002878C6">
        <w:rPr>
          <w:i/>
        </w:rPr>
        <w:t xml:space="preserve"> Universal Service Contribution </w:t>
      </w:r>
      <w:r w:rsidRPr="00FE5686">
        <w:rPr>
          <w:i/>
        </w:rPr>
        <w:t>Methodology et al.</w:t>
      </w:r>
      <w:r w:rsidRPr="008852C1">
        <w:rPr>
          <w:iCs/>
        </w:rPr>
        <w:t>,</w:t>
      </w:r>
      <w:r w:rsidRPr="00FE5686">
        <w:rPr>
          <w:i/>
        </w:rPr>
        <w:t xml:space="preserve"> </w:t>
      </w:r>
      <w:r w:rsidRPr="00FE5686">
        <w:t>WC Docket No. 06-122 et al., Report and Order and Notice of Proposed Rulemaking, 21 FCC Rcd 7518, 7533-50, paras. 24-62 (2006).</w:t>
      </w:r>
    </w:p>
  </w:footnote>
  <w:footnote w:id="6">
    <w:p w:rsidR="00696265" w:rsidRPr="008852C1" w:rsidP="00696265" w14:paraId="52590629" w14:textId="5651A087">
      <w:pPr>
        <w:pStyle w:val="FootnoteText"/>
      </w:pPr>
      <w:r w:rsidRPr="008852C1">
        <w:rPr>
          <w:rStyle w:val="FootnoteReference"/>
          <w:sz w:val="20"/>
        </w:rPr>
        <w:footnoteRef/>
      </w:r>
      <w:r w:rsidRPr="008852C1">
        <w:t xml:space="preserve"> </w:t>
      </w:r>
      <w:r w:rsidRPr="008852C1">
        <w:rPr>
          <w:i/>
          <w:iCs/>
        </w:rPr>
        <w:t>Wireline Competition Bureau Seeks Comment on Proposed Changes to the FCC Form 499-A, FCC Form 499-Q, and Accompanying Instructions</w:t>
      </w:r>
      <w:r w:rsidRPr="008852C1">
        <w:t>, Public Notice, DA 2</w:t>
      </w:r>
      <w:r w:rsidRPr="008852C1" w:rsidR="00F03F54">
        <w:t>5</w:t>
      </w:r>
      <w:r w:rsidRPr="008852C1">
        <w:t>-</w:t>
      </w:r>
      <w:r w:rsidRPr="008852C1" w:rsidR="00F03F54">
        <w:t>308</w:t>
      </w:r>
      <w:r w:rsidRPr="008852C1">
        <w:t xml:space="preserve"> (rel. </w:t>
      </w:r>
      <w:r w:rsidRPr="008852C1" w:rsidR="00F03F54">
        <w:t>Apr. 4</w:t>
      </w:r>
      <w:r w:rsidRPr="008852C1">
        <w:t>, 202</w:t>
      </w:r>
      <w:r w:rsidRPr="008852C1" w:rsidR="00F03F54">
        <w:t>5</w:t>
      </w:r>
      <w:r w:rsidRPr="008852C1">
        <w:t>) (</w:t>
      </w:r>
      <w:bookmarkStart w:id="2" w:name="_Hlk83640683"/>
      <w:r w:rsidRPr="008852C1" w:rsidR="00F03F54">
        <w:rPr>
          <w:i/>
          <w:iCs/>
        </w:rPr>
        <w:t>2026</w:t>
      </w:r>
      <w:r w:rsidRPr="008852C1">
        <w:rPr>
          <w:i/>
          <w:iCs/>
        </w:rPr>
        <w:t xml:space="preserve"> Form 499 Public Notice</w:t>
      </w:r>
      <w:r w:rsidRPr="008852C1">
        <w:t>).</w:t>
      </w:r>
    </w:p>
    <w:bookmarkEnd w:id="2"/>
  </w:footnote>
  <w:footnote w:id="7">
    <w:p w:rsidR="005836F0" w:rsidRPr="008852C1" w:rsidP="005836F0" w14:paraId="11AF1B81" w14:textId="168FC7E1">
      <w:pPr>
        <w:pStyle w:val="FootnoteText"/>
      </w:pPr>
      <w:r w:rsidRPr="008852C1">
        <w:rPr>
          <w:rStyle w:val="FootnoteReference"/>
          <w:sz w:val="20"/>
        </w:rPr>
        <w:footnoteRef/>
      </w:r>
      <w:r w:rsidRPr="008852C1">
        <w:t xml:space="preserve"> </w:t>
      </w:r>
      <w:bookmarkStart w:id="3" w:name="_Hlk215558566"/>
      <w:r w:rsidR="00220F0D">
        <w:t xml:space="preserve">IDT </w:t>
      </w:r>
      <w:r w:rsidRPr="00220F0D" w:rsidR="00220F0D">
        <w:t xml:space="preserve">Comments, GN Docket No. </w:t>
      </w:r>
      <w:r w:rsidR="00220F0D">
        <w:t>25-13</w:t>
      </w:r>
      <w:r w:rsidRPr="00220F0D" w:rsidR="00220F0D">
        <w:t>3</w:t>
      </w:r>
      <w:r w:rsidR="00220F0D">
        <w:t>,</w:t>
      </w:r>
      <w:r w:rsidRPr="00220F0D" w:rsidR="00220F0D">
        <w:t xml:space="preserve"> WC Docket No. </w:t>
      </w:r>
      <w:r w:rsidR="00220F0D">
        <w:t>06-122</w:t>
      </w:r>
      <w:r w:rsidRPr="00220F0D" w:rsidR="00220F0D">
        <w:t xml:space="preserve"> (rec. </w:t>
      </w:r>
      <w:r w:rsidR="00220F0D">
        <w:t>Apr</w:t>
      </w:r>
      <w:r w:rsidRPr="00220F0D" w:rsidR="00220F0D">
        <w:t>. 1</w:t>
      </w:r>
      <w:r w:rsidR="00220F0D">
        <w:t>1</w:t>
      </w:r>
      <w:r w:rsidRPr="00220F0D" w:rsidR="00220F0D">
        <w:t>, 20</w:t>
      </w:r>
      <w:r w:rsidR="00220F0D">
        <w:t>25</w:t>
      </w:r>
      <w:r w:rsidRPr="00220F0D" w:rsidR="00220F0D">
        <w:t>)</w:t>
      </w:r>
      <w:r w:rsidR="00CA0691">
        <w:t>;</w:t>
      </w:r>
      <w:r w:rsidR="00220F0D">
        <w:t xml:space="preserve"> IDT </w:t>
      </w:r>
      <w:r w:rsidRPr="00220F0D" w:rsidR="00220F0D">
        <w:t xml:space="preserve">Comments, GN Docket No. </w:t>
      </w:r>
      <w:r w:rsidR="00220F0D">
        <w:t>25-13</w:t>
      </w:r>
      <w:r w:rsidRPr="00220F0D" w:rsidR="00220F0D">
        <w:t>3</w:t>
      </w:r>
      <w:r w:rsidR="00220F0D">
        <w:t>,</w:t>
      </w:r>
      <w:r w:rsidRPr="00220F0D" w:rsidR="00220F0D">
        <w:t xml:space="preserve"> WC Docket No. </w:t>
      </w:r>
      <w:r w:rsidR="00220F0D">
        <w:t>06-122</w:t>
      </w:r>
      <w:r w:rsidRPr="00220F0D" w:rsidR="00220F0D">
        <w:t xml:space="preserve"> (rec. </w:t>
      </w:r>
      <w:r w:rsidR="00220F0D">
        <w:t>Apr</w:t>
      </w:r>
      <w:r w:rsidRPr="00220F0D" w:rsidR="00220F0D">
        <w:t>. 1</w:t>
      </w:r>
      <w:r w:rsidR="00220F0D">
        <w:t>4</w:t>
      </w:r>
      <w:r w:rsidRPr="00220F0D" w:rsidR="00220F0D">
        <w:t>, 20</w:t>
      </w:r>
      <w:r w:rsidR="00220F0D">
        <w:t>25</w:t>
      </w:r>
      <w:r w:rsidRPr="00220F0D" w:rsidR="00220F0D">
        <w:t>).</w:t>
      </w:r>
      <w:r w:rsidRPr="008852C1">
        <w:t xml:space="preserve"> </w:t>
      </w:r>
      <w:bookmarkEnd w:id="3"/>
      <w:r w:rsidRPr="008852C1">
        <w:t xml:space="preserve"> </w:t>
      </w:r>
      <w:r w:rsidR="00042F71">
        <w:t xml:space="preserve">IDT Telecom </w:t>
      </w:r>
      <w:r w:rsidR="00CA0691">
        <w:t>argues</w:t>
      </w:r>
      <w:r w:rsidR="00042F71">
        <w:t>, among other things, that</w:t>
      </w:r>
      <w:r w:rsidRPr="00042F71" w:rsidR="00042F71">
        <w:t xml:space="preserve"> the language in the 2025 Form 499-A regarding reporting prepaid calling card revenue is inequitable and discriminatory under 47 U.S.C. § 254(b)(4) and § 254(d). </w:t>
      </w:r>
      <w:r w:rsidR="00B21B60">
        <w:t xml:space="preserve"> IDT Telecom’s comments do not address the proposed changes to the 2026 Forms 499 and instructions which the Bureau sought comment on in the </w:t>
      </w:r>
      <w:r w:rsidRPr="00515D6E" w:rsidR="00B21B60">
        <w:rPr>
          <w:i/>
          <w:iCs/>
        </w:rPr>
        <w:t>2026 Form 499 Public Notice</w:t>
      </w:r>
      <w:r w:rsidR="00B21B60">
        <w:t xml:space="preserve">.  </w:t>
      </w:r>
      <w:r w:rsidRPr="008852C1">
        <w:t xml:space="preserve">IDT Telecom has three pending requests for review that address the reporting of Prepaid Calling Card (PPCC) revenue as required by the Form 499-A instructions.  </w:t>
      </w:r>
      <w:r w:rsidRPr="008852C1">
        <w:rPr>
          <w:i/>
          <w:iCs/>
        </w:rPr>
        <w:t>See</w:t>
      </w:r>
      <w:r w:rsidR="00EB06C8">
        <w:rPr>
          <w:i/>
          <w:iCs/>
        </w:rPr>
        <w:t>, e.g.</w:t>
      </w:r>
      <w:r w:rsidR="00EB06C8">
        <w:t>,</w:t>
      </w:r>
      <w:r w:rsidRPr="008852C1">
        <w:t xml:space="preserve"> Request for Review of Decision of the Universal Service Administrator by IDT Corporation and IDT Telecom, WC Docket No. 06-122 (filed Apr</w:t>
      </w:r>
      <w:r w:rsidR="00EB06C8">
        <w:t>.</w:t>
      </w:r>
      <w:r w:rsidRPr="008852C1">
        <w:t xml:space="preserve"> 13, 2023).  </w:t>
      </w:r>
      <w:r w:rsidR="00EB06C8">
        <w:t xml:space="preserve">While we do not make any changes to the </w:t>
      </w:r>
      <w:r w:rsidR="007B119F">
        <w:t xml:space="preserve">FCC Forms 499-A and 499-Q </w:t>
      </w:r>
      <w:r w:rsidR="00EF2409">
        <w:t>or</w:t>
      </w:r>
      <w:r w:rsidR="007B119F">
        <w:t xml:space="preserve"> accompanying instructions</w:t>
      </w:r>
      <w:r w:rsidR="00EF2409">
        <w:t xml:space="preserve"> regarding the treatment of prepaid calling card revenue</w:t>
      </w:r>
      <w:r w:rsidR="007B119F">
        <w:t>, in light of</w:t>
      </w:r>
      <w:r w:rsidRPr="008852C1">
        <w:t xml:space="preserve"> IDT Telecom’s comments</w:t>
      </w:r>
      <w:r w:rsidR="007B119F">
        <w:t xml:space="preserve">, </w:t>
      </w:r>
      <w:r w:rsidR="0039604A">
        <w:t>IDT Telecom’s</w:t>
      </w:r>
      <w:r w:rsidR="007B119F">
        <w:t xml:space="preserve"> arguments will be considered </w:t>
      </w:r>
      <w:r w:rsidR="0039604A">
        <w:t>in the context of the company’s</w:t>
      </w:r>
      <w:r w:rsidRPr="008852C1">
        <w:t xml:space="preserve"> </w:t>
      </w:r>
      <w:r w:rsidRPr="008852C1" w:rsidR="00FB0960">
        <w:t xml:space="preserve">pending </w:t>
      </w:r>
      <w:r w:rsidRPr="008852C1">
        <w:t xml:space="preserve">petitions for review.       </w:t>
      </w:r>
    </w:p>
  </w:footnote>
  <w:footnote w:id="8">
    <w:p w:rsidR="00696265" w:rsidRPr="00BB3805" w:rsidP="00696265" w14:paraId="3C4E3307" w14:textId="1E9E9B30">
      <w:pPr>
        <w:pStyle w:val="FootnoteText"/>
      </w:pPr>
      <w:r w:rsidRPr="008852C1">
        <w:rPr>
          <w:rStyle w:val="FootnoteReference"/>
          <w:sz w:val="20"/>
        </w:rPr>
        <w:footnoteRef/>
      </w:r>
      <w:r w:rsidRPr="008852C1">
        <w:t xml:space="preserve"> </w:t>
      </w:r>
      <w:r w:rsidRPr="008852C1">
        <w:rPr>
          <w:i/>
        </w:rPr>
        <w:t xml:space="preserve">See </w:t>
      </w:r>
      <w:r w:rsidRPr="008852C1">
        <w:t xml:space="preserve">Notice of Office of Management and Budget Action (NOA) (dated </w:t>
      </w:r>
      <w:r w:rsidRPr="008852C1" w:rsidR="009866AB">
        <w:t>Nov</w:t>
      </w:r>
      <w:r w:rsidRPr="008852C1">
        <w:t>. 2</w:t>
      </w:r>
      <w:r w:rsidRPr="008852C1" w:rsidR="009866AB">
        <w:t>8</w:t>
      </w:r>
      <w:r w:rsidRPr="008852C1">
        <w:t>, 202</w:t>
      </w:r>
      <w:r w:rsidRPr="008852C1" w:rsidR="009866AB">
        <w:t>5</w:t>
      </w:r>
      <w:r w:rsidRPr="008852C1">
        <w:t xml:space="preserve">), </w:t>
      </w:r>
      <w:r w:rsidRPr="008852C1" w:rsidR="00042FD3">
        <w:t>https://www.reginfo.gov/public/do/PRAOMBHistory?ombControlNumber=3060-0855</w:t>
      </w:r>
      <w:r w:rsidRPr="008852C1">
        <w:t xml:space="preserve"> (ICR Reference Number 20</w:t>
      </w:r>
      <w:r w:rsidRPr="008852C1" w:rsidR="009866AB">
        <w:t>511</w:t>
      </w:r>
      <w:r w:rsidRPr="008852C1">
        <w:t>-3060-00</w:t>
      </w:r>
      <w:r w:rsidRPr="008852C1" w:rsidR="009866AB">
        <w:t>5</w:t>
      </w:r>
      <w:r w:rsidRPr="008852C1">
        <w:t xml:space="preserve">) (last visited </w:t>
      </w:r>
      <w:r w:rsidRPr="008852C1" w:rsidR="00042FD3">
        <w:t>Dec. 1</w:t>
      </w:r>
      <w:r w:rsidRPr="008852C1">
        <w:t>, 202</w:t>
      </w:r>
      <w:r w:rsidRPr="008852C1" w:rsidR="00042FD3">
        <w:t>5</w:t>
      </w:r>
      <w:r w:rsidRPr="008852C1">
        <w:t>).</w:t>
      </w:r>
    </w:p>
  </w:footnote>
  <w:footnote w:id="9">
    <w:p w:rsidR="00F77025" w:rsidP="00F77025" w14:paraId="4DD48D29" w14:textId="2E85DAAE">
      <w:pPr>
        <w:pStyle w:val="FootnoteText"/>
      </w:pPr>
      <w:r w:rsidRPr="00E03B1F">
        <w:rPr>
          <w:rStyle w:val="FootnoteReference"/>
          <w:sz w:val="20"/>
        </w:rPr>
        <w:footnoteRef/>
      </w:r>
      <w:r w:rsidRPr="00E03B1F">
        <w:t xml:space="preserve"> </w:t>
      </w:r>
      <w:r w:rsidRPr="00E03B1F" w:rsidR="00653879">
        <w:rPr>
          <w:i/>
          <w:iCs/>
        </w:rPr>
        <w:t>See Federal-State Joint Board on Universal Service,</w:t>
      </w:r>
      <w:r w:rsidRPr="00E03B1F" w:rsidR="00653879">
        <w:t xml:space="preserve"> </w:t>
      </w:r>
      <w:r w:rsidRPr="00E03B1F" w:rsidR="00653879">
        <w:rPr>
          <w:i/>
          <w:iCs/>
        </w:rPr>
        <w:t>et al.</w:t>
      </w:r>
      <w:r w:rsidRPr="00E03B1F" w:rsidR="00653879">
        <w:t>, Report and Order and Second Further Notice of Proposed Rulemaking, 17 FCC Rcd 24952, 24971, para. 35 (2002) (</w:t>
      </w:r>
      <w:r w:rsidRPr="00E03B1F" w:rsidR="00653879">
        <w:rPr>
          <w:i/>
        </w:rPr>
        <w:t>2002 Second Contribution Methodology Order and FNPRM</w:t>
      </w:r>
      <w:r w:rsidRPr="00E03B1F" w:rsidR="00653879">
        <w:rPr>
          <w:iCs/>
        </w:rPr>
        <w:t>)</w:t>
      </w:r>
      <w:r w:rsidRPr="00E03B1F" w:rsidR="0065387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54B33519" w14:textId="5825B68D">
    <w:pPr>
      <w:tabs>
        <w:tab w:val="center" w:pos="4680"/>
        <w:tab w:val="right" w:pos="9360"/>
      </w:tabs>
    </w:pPr>
    <w:r w:rsidRPr="009838BC">
      <w:rPr>
        <w:b/>
      </w:rPr>
      <w:tab/>
      <w:t>Federal Communications Commission</w:t>
    </w:r>
    <w:r w:rsidRPr="009838BC">
      <w:rPr>
        <w:b/>
      </w:rPr>
      <w:tab/>
    </w:r>
    <w:r w:rsidR="00696265">
      <w:rPr>
        <w:b/>
      </w:rPr>
      <w:t>DA 2</w:t>
    </w:r>
    <w:r w:rsidR="00C67472">
      <w:rPr>
        <w:b/>
      </w:rPr>
      <w:t>5</w:t>
    </w:r>
    <w:r w:rsidR="00696265">
      <w:rPr>
        <w:b/>
      </w:rPr>
      <w:t>-</w:t>
    </w:r>
    <w:r w:rsidR="00D23F88">
      <w:rPr>
        <w:b/>
      </w:rPr>
      <w:t>1064</w:t>
    </w:r>
  </w:p>
  <w:p w:rsidR="009838BC" w:rsidRPr="009838BC" w:rsidP="009838BC" w14:paraId="7A08DAE4" w14:textId="0115898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10135981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40C262BA"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44E15C50" w14:textId="1D07D87B">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470230317"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DE0AB8" w:rsidP="00DE0AB8" w14:paraId="5F99EDE3" w14:textId="77777777">
                    <w:pPr>
                      <w:rPr>
                        <w:rFonts w:ascii="Arial" w:hAnsi="Arial"/>
                        <w:b/>
                        <w:snapToGrid/>
                      </w:rPr>
                    </w:pPr>
                    <w:r>
                      <w:rPr>
                        <w:rFonts w:ascii="Arial" w:hAnsi="Arial"/>
                        <w:b/>
                      </w:rPr>
                      <w:t>Federal Communications Commission</w:t>
                    </w:r>
                  </w:p>
                  <w:p w:rsidR="00DE0AB8" w:rsidP="00DE0AB8" w14:paraId="2F4811E8" w14:textId="77777777">
                    <w:pPr>
                      <w:rPr>
                        <w:rFonts w:ascii="Arial" w:hAnsi="Arial"/>
                        <w:b/>
                      </w:rPr>
                    </w:pPr>
                    <w:r>
                      <w:rPr>
                        <w:rFonts w:ascii="Arial" w:hAnsi="Arial"/>
                        <w:b/>
                      </w:rPr>
                      <w:t>45 L Street NE</w:t>
                    </w:r>
                  </w:p>
                  <w:p w:rsidR="009838BC" w:rsidP="00DE0AB8" w14:paraId="7AE3AF18"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2D4208">
      <w:rPr>
        <w:rFonts w:ascii="Arial" w:hAnsi="Arial" w:cs="Arial"/>
        <w:b/>
        <w:sz w:val="96"/>
      </w:rPr>
      <w:t>PUBLIC NOTICE</w:t>
    </w:r>
  </w:p>
  <w:p w:rsidR="009838BC" w:rsidRPr="00357D50" w:rsidP="009838BC" w14:paraId="149F4933" w14:textId="1E3F80A4">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720090</wp:posOffset>
              </wp:positionV>
              <wp:extent cx="5943600" cy="0"/>
              <wp:effectExtent l="6350" t="5715" r="12700" b="13335"/>
              <wp:wrapNone/>
              <wp:docPr id="1811437326"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21097107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7" w:name="_Hlt233824"/>
                          <w:hyperlink r:id="rId2" w:history="1">
                            <w:r w:rsidRPr="00D216CD">
                              <w:rPr>
                                <w:rStyle w:val="Hyperlink"/>
                                <w:rFonts w:ascii="Arial" w:hAnsi="Arial"/>
                                <w:b/>
                                <w:sz w:val="16"/>
                              </w:rPr>
                              <w:t>h</w:t>
                            </w:r>
                            <w:bookmarkEnd w:id="7"/>
                            <w:r w:rsidRPr="00D216CD">
                              <w:rPr>
                                <w:rStyle w:val="Hyperlink"/>
                                <w:rFonts w:ascii="Arial" w:hAnsi="Arial"/>
                                <w:b/>
                                <w:sz w:val="16"/>
                              </w:rPr>
                              <w:t>ttps://www.fcc.gov</w:t>
                            </w:r>
                          </w:hyperlink>
                        </w:p>
                        <w:p w:rsidR="009838BC" w:rsidP="009838BC" w14:textId="2BF9FA37">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0BE7381C" w14:textId="77777777">
                    <w:pPr>
                      <w:spacing w:before="40"/>
                      <w:jc w:val="right"/>
                      <w:rPr>
                        <w:rFonts w:ascii="Arial" w:hAnsi="Arial"/>
                        <w:b/>
                        <w:sz w:val="16"/>
                      </w:rPr>
                    </w:pPr>
                    <w:r>
                      <w:rPr>
                        <w:rFonts w:ascii="Arial" w:hAnsi="Arial"/>
                        <w:b/>
                        <w:sz w:val="16"/>
                      </w:rPr>
                      <w:t>News Media Information 202 / 418-0500</w:t>
                    </w:r>
                  </w:p>
                  <w:p w:rsidR="009838BC" w:rsidP="009838BC" w14:paraId="40603F5F" w14:textId="77777777">
                    <w:pPr>
                      <w:jc w:val="right"/>
                      <w:rPr>
                        <w:rFonts w:ascii="Arial" w:hAnsi="Arial"/>
                        <w:b/>
                        <w:sz w:val="16"/>
                      </w:rPr>
                    </w:pPr>
                    <w:r>
                      <w:rPr>
                        <w:rFonts w:ascii="Arial" w:hAnsi="Arial"/>
                        <w:b/>
                        <w:sz w:val="16"/>
                      </w:rPr>
                      <w:t xml:space="preserve">Internet: </w:t>
                    </w:r>
                    <w:bookmarkStart w:id="7" w:name="_Hlt233824"/>
                    <w:hyperlink r:id="rId2" w:history="1">
                      <w:r w:rsidRPr="00D216CD">
                        <w:rPr>
                          <w:rStyle w:val="Hyperlink"/>
                          <w:rFonts w:ascii="Arial" w:hAnsi="Arial"/>
                          <w:b/>
                          <w:sz w:val="16"/>
                        </w:rPr>
                        <w:t>h</w:t>
                      </w:r>
                      <w:bookmarkEnd w:id="7"/>
                      <w:r w:rsidRPr="00D216CD">
                        <w:rPr>
                          <w:rStyle w:val="Hyperlink"/>
                          <w:rFonts w:ascii="Arial" w:hAnsi="Arial"/>
                          <w:b/>
                          <w:sz w:val="16"/>
                        </w:rPr>
                        <w:t>ttps://www.fcc.gov</w:t>
                      </w:r>
                    </w:hyperlink>
                  </w:p>
                  <w:p w:rsidR="009838BC" w:rsidP="009838BC" w14:paraId="476BF800" w14:textId="2BF9FA37">
                    <w:pPr>
                      <w:jc w:val="right"/>
                    </w:pPr>
                  </w:p>
                </w:txbxContent>
              </v:textbox>
            </v:shape>
          </w:pict>
        </mc:Fallback>
      </mc:AlternateContent>
    </w:r>
  </w:p>
  <w:p w:rsidR="006F7393" w:rsidRPr="009838BC" w:rsidP="009838BC" w14:paraId="3DC7DEBA"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788816366">
    <w:abstractNumId w:val="2"/>
  </w:num>
  <w:num w:numId="2" w16cid:durableId="541404933">
    <w:abstractNumId w:val="7"/>
  </w:num>
  <w:num w:numId="3" w16cid:durableId="1476802246">
    <w:abstractNumId w:val="4"/>
  </w:num>
  <w:num w:numId="4" w16cid:durableId="1085494790">
    <w:abstractNumId w:val="5"/>
  </w:num>
  <w:num w:numId="5" w16cid:durableId="944115917">
    <w:abstractNumId w:val="3"/>
  </w:num>
  <w:num w:numId="6" w16cid:durableId="1974560117">
    <w:abstractNumId w:val="0"/>
  </w:num>
  <w:num w:numId="7" w16cid:durableId="1091194921">
    <w:abstractNumId w:val="6"/>
  </w:num>
  <w:num w:numId="8" w16cid:durableId="41420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65"/>
    <w:rsid w:val="000072CE"/>
    <w:rsid w:val="0001099A"/>
    <w:rsid w:val="0001283D"/>
    <w:rsid w:val="000137F8"/>
    <w:rsid w:val="00013A8B"/>
    <w:rsid w:val="00021445"/>
    <w:rsid w:val="00036039"/>
    <w:rsid w:val="000369A5"/>
    <w:rsid w:val="00037F90"/>
    <w:rsid w:val="00042F71"/>
    <w:rsid w:val="00042FD3"/>
    <w:rsid w:val="0005396E"/>
    <w:rsid w:val="00060A2E"/>
    <w:rsid w:val="000875BF"/>
    <w:rsid w:val="00096D8C"/>
    <w:rsid w:val="000A2471"/>
    <w:rsid w:val="000C0B65"/>
    <w:rsid w:val="000E351C"/>
    <w:rsid w:val="000E3D42"/>
    <w:rsid w:val="000E5884"/>
    <w:rsid w:val="000F260A"/>
    <w:rsid w:val="001045BE"/>
    <w:rsid w:val="001129E0"/>
    <w:rsid w:val="00122BD5"/>
    <w:rsid w:val="00123CF5"/>
    <w:rsid w:val="00172C4E"/>
    <w:rsid w:val="001979D9"/>
    <w:rsid w:val="001A7FDE"/>
    <w:rsid w:val="001D6BCF"/>
    <w:rsid w:val="001E01CA"/>
    <w:rsid w:val="002060D9"/>
    <w:rsid w:val="00211772"/>
    <w:rsid w:val="00217F04"/>
    <w:rsid w:val="00220F0D"/>
    <w:rsid w:val="00226822"/>
    <w:rsid w:val="00260594"/>
    <w:rsid w:val="00267954"/>
    <w:rsid w:val="0027198F"/>
    <w:rsid w:val="00273C92"/>
    <w:rsid w:val="002840E9"/>
    <w:rsid w:val="00285017"/>
    <w:rsid w:val="002878C6"/>
    <w:rsid w:val="00293B86"/>
    <w:rsid w:val="002A2D2E"/>
    <w:rsid w:val="002D4208"/>
    <w:rsid w:val="002F3857"/>
    <w:rsid w:val="003004CA"/>
    <w:rsid w:val="00307B05"/>
    <w:rsid w:val="00327651"/>
    <w:rsid w:val="00343749"/>
    <w:rsid w:val="00347134"/>
    <w:rsid w:val="00357837"/>
    <w:rsid w:val="00357D50"/>
    <w:rsid w:val="003925DC"/>
    <w:rsid w:val="0039604A"/>
    <w:rsid w:val="003B0550"/>
    <w:rsid w:val="003B5444"/>
    <w:rsid w:val="003B694F"/>
    <w:rsid w:val="003F171C"/>
    <w:rsid w:val="003F49E8"/>
    <w:rsid w:val="00402571"/>
    <w:rsid w:val="00412FC5"/>
    <w:rsid w:val="00422276"/>
    <w:rsid w:val="004242F1"/>
    <w:rsid w:val="00444BD4"/>
    <w:rsid w:val="00445A00"/>
    <w:rsid w:val="00451B0F"/>
    <w:rsid w:val="0046125F"/>
    <w:rsid w:val="00465953"/>
    <w:rsid w:val="0047520A"/>
    <w:rsid w:val="00475F67"/>
    <w:rsid w:val="00487524"/>
    <w:rsid w:val="00496106"/>
    <w:rsid w:val="004C12D0"/>
    <w:rsid w:val="004C2EE3"/>
    <w:rsid w:val="004D02C8"/>
    <w:rsid w:val="004E4A22"/>
    <w:rsid w:val="004F1880"/>
    <w:rsid w:val="00511968"/>
    <w:rsid w:val="00515D6E"/>
    <w:rsid w:val="005337FA"/>
    <w:rsid w:val="0055614C"/>
    <w:rsid w:val="00557C70"/>
    <w:rsid w:val="005836F0"/>
    <w:rsid w:val="005A3428"/>
    <w:rsid w:val="005A506E"/>
    <w:rsid w:val="005A7205"/>
    <w:rsid w:val="005B6C49"/>
    <w:rsid w:val="005B782B"/>
    <w:rsid w:val="005E1E84"/>
    <w:rsid w:val="00607BA5"/>
    <w:rsid w:val="00626EB6"/>
    <w:rsid w:val="006353A3"/>
    <w:rsid w:val="00641FAA"/>
    <w:rsid w:val="00653879"/>
    <w:rsid w:val="00654369"/>
    <w:rsid w:val="00655D03"/>
    <w:rsid w:val="00681359"/>
    <w:rsid w:val="00683F84"/>
    <w:rsid w:val="0069465B"/>
    <w:rsid w:val="00696265"/>
    <w:rsid w:val="006A6A81"/>
    <w:rsid w:val="006D3C0F"/>
    <w:rsid w:val="006E26AF"/>
    <w:rsid w:val="006F7393"/>
    <w:rsid w:val="0070224F"/>
    <w:rsid w:val="007115F7"/>
    <w:rsid w:val="00723A99"/>
    <w:rsid w:val="00766997"/>
    <w:rsid w:val="00785689"/>
    <w:rsid w:val="00795B38"/>
    <w:rsid w:val="0079754B"/>
    <w:rsid w:val="007A15CB"/>
    <w:rsid w:val="007A1E6D"/>
    <w:rsid w:val="007B119F"/>
    <w:rsid w:val="007B3F97"/>
    <w:rsid w:val="007C358D"/>
    <w:rsid w:val="00822CE0"/>
    <w:rsid w:val="008334A5"/>
    <w:rsid w:val="00837C62"/>
    <w:rsid w:val="00841AB1"/>
    <w:rsid w:val="00867A8E"/>
    <w:rsid w:val="008852C1"/>
    <w:rsid w:val="008902F0"/>
    <w:rsid w:val="008B187C"/>
    <w:rsid w:val="008B33F5"/>
    <w:rsid w:val="008C22FD"/>
    <w:rsid w:val="008E5A2B"/>
    <w:rsid w:val="00910F12"/>
    <w:rsid w:val="00913883"/>
    <w:rsid w:val="00926503"/>
    <w:rsid w:val="00930ECF"/>
    <w:rsid w:val="00931935"/>
    <w:rsid w:val="009838BC"/>
    <w:rsid w:val="00984FC3"/>
    <w:rsid w:val="009866AB"/>
    <w:rsid w:val="009A72F5"/>
    <w:rsid w:val="009C6E13"/>
    <w:rsid w:val="009D76C6"/>
    <w:rsid w:val="009E0626"/>
    <w:rsid w:val="00A36739"/>
    <w:rsid w:val="00A41B84"/>
    <w:rsid w:val="00A45F4F"/>
    <w:rsid w:val="00A600A9"/>
    <w:rsid w:val="00A66063"/>
    <w:rsid w:val="00A866AC"/>
    <w:rsid w:val="00AA55B7"/>
    <w:rsid w:val="00AA5B9E"/>
    <w:rsid w:val="00AB2407"/>
    <w:rsid w:val="00AB53DF"/>
    <w:rsid w:val="00B07E5C"/>
    <w:rsid w:val="00B20363"/>
    <w:rsid w:val="00B21B60"/>
    <w:rsid w:val="00B26B1B"/>
    <w:rsid w:val="00B326E3"/>
    <w:rsid w:val="00B4328E"/>
    <w:rsid w:val="00B5432A"/>
    <w:rsid w:val="00B811F7"/>
    <w:rsid w:val="00B82CA2"/>
    <w:rsid w:val="00B94947"/>
    <w:rsid w:val="00BA5DC6"/>
    <w:rsid w:val="00BA6196"/>
    <w:rsid w:val="00BB3805"/>
    <w:rsid w:val="00BC5A77"/>
    <w:rsid w:val="00BC6D8C"/>
    <w:rsid w:val="00C16AF2"/>
    <w:rsid w:val="00C34006"/>
    <w:rsid w:val="00C426B1"/>
    <w:rsid w:val="00C45355"/>
    <w:rsid w:val="00C544AA"/>
    <w:rsid w:val="00C67472"/>
    <w:rsid w:val="00C72885"/>
    <w:rsid w:val="00C74504"/>
    <w:rsid w:val="00C82B6B"/>
    <w:rsid w:val="00C90D6A"/>
    <w:rsid w:val="00CA0691"/>
    <w:rsid w:val="00CA486A"/>
    <w:rsid w:val="00CC72B6"/>
    <w:rsid w:val="00D0218D"/>
    <w:rsid w:val="00D10AF6"/>
    <w:rsid w:val="00D216CD"/>
    <w:rsid w:val="00D23F88"/>
    <w:rsid w:val="00D50FE8"/>
    <w:rsid w:val="00D613FC"/>
    <w:rsid w:val="00DA2529"/>
    <w:rsid w:val="00DB130A"/>
    <w:rsid w:val="00DC10A1"/>
    <w:rsid w:val="00DC3766"/>
    <w:rsid w:val="00DC655F"/>
    <w:rsid w:val="00DD0376"/>
    <w:rsid w:val="00DD4BE3"/>
    <w:rsid w:val="00DD7EBD"/>
    <w:rsid w:val="00DE0AB8"/>
    <w:rsid w:val="00DF62B6"/>
    <w:rsid w:val="00E03B1F"/>
    <w:rsid w:val="00E07225"/>
    <w:rsid w:val="00E155B7"/>
    <w:rsid w:val="00E22F1C"/>
    <w:rsid w:val="00E24506"/>
    <w:rsid w:val="00E3559D"/>
    <w:rsid w:val="00E510BC"/>
    <w:rsid w:val="00E5409F"/>
    <w:rsid w:val="00E838E8"/>
    <w:rsid w:val="00E9524B"/>
    <w:rsid w:val="00EB06C8"/>
    <w:rsid w:val="00EC0185"/>
    <w:rsid w:val="00ED2312"/>
    <w:rsid w:val="00EF2409"/>
    <w:rsid w:val="00F021FA"/>
    <w:rsid w:val="00F03F54"/>
    <w:rsid w:val="00F10A1E"/>
    <w:rsid w:val="00F13A26"/>
    <w:rsid w:val="00F17F79"/>
    <w:rsid w:val="00F436EE"/>
    <w:rsid w:val="00F5106D"/>
    <w:rsid w:val="00F53E5C"/>
    <w:rsid w:val="00F57ACA"/>
    <w:rsid w:val="00F61B1D"/>
    <w:rsid w:val="00F62E97"/>
    <w:rsid w:val="00F64209"/>
    <w:rsid w:val="00F77025"/>
    <w:rsid w:val="00F86E0D"/>
    <w:rsid w:val="00F93BF5"/>
    <w:rsid w:val="00F96F63"/>
    <w:rsid w:val="00FA08C1"/>
    <w:rsid w:val="00FB0960"/>
    <w:rsid w:val="00FE5686"/>
    <w:rsid w:val="00FF4664"/>
    <w:rsid w:val="00FF5645"/>
    <w:rsid w:val="00FF7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BEF289"/>
  <w15:chartTrackingRefBased/>
  <w15:docId w15:val="{CFD6A9BF-949B-45A0-8589-2F2CD68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Footnote Text Char Char Char,Footnote Text Char Char Char Char Char Char,Footnote Text Char1 Char,Footnote Text Char1 Char1 Char Char Char,Footnote Text Char2 Char Char Char,f,fn,fn Char"/>
    <w:link w:val="FootnoteTextChar1"/>
    <w:qFormat/>
    <w:rsid w:val="000E3D42"/>
    <w:pPr>
      <w:spacing w:after="120"/>
    </w:pPr>
  </w:style>
  <w:style w:type="character" w:styleId="FootnoteReference">
    <w:name w:val="footnote reference"/>
    <w:aliases w:val="(NECG) Footnote Reference,Appel note de bas de p,FR,Footnote Reference/,Style 12,Style 124,Style 13,Style 17,Style 3,Style 6,fr,o,-E Funotenzeichen,A,Ref,Style 1,Style 20,Style 34,Style 4,Style 7,Style 9,callout"/>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Reference1">
    <w:name w:val="Footnote Reference1"/>
    <w:rsid w:val="00696265"/>
    <w:rPr>
      <w:color w:val="000000"/>
      <w:sz w:val="20"/>
      <w:vertAlign w:val="superscript"/>
    </w:rPr>
  </w:style>
  <w:style w:type="paragraph" w:styleId="ListParagraph">
    <w:name w:val="List Paragraph"/>
    <w:basedOn w:val="Normal"/>
    <w:uiPriority w:val="34"/>
    <w:qFormat/>
    <w:rsid w:val="00696265"/>
    <w:pPr>
      <w:widowControl/>
      <w:ind w:left="720"/>
    </w:pPr>
    <w:rPr>
      <w:snapToGrid/>
      <w:kern w:val="0"/>
      <w:sz w:val="24"/>
      <w:szCs w:val="24"/>
    </w:rPr>
  </w:style>
  <w:style w:type="paragraph" w:styleId="Revision">
    <w:name w:val="Revision"/>
    <w:hidden/>
    <w:uiPriority w:val="99"/>
    <w:semiHidden/>
    <w:rsid w:val="00F436EE"/>
    <w:rPr>
      <w:snapToGrid w:val="0"/>
      <w:kern w:val="28"/>
      <w:sz w:val="22"/>
    </w:rPr>
  </w:style>
  <w:style w:type="character" w:styleId="CommentReference">
    <w:name w:val="annotation reference"/>
    <w:uiPriority w:val="99"/>
    <w:semiHidden/>
    <w:unhideWhenUsed/>
    <w:rsid w:val="00F5106D"/>
    <w:rPr>
      <w:sz w:val="16"/>
      <w:szCs w:val="16"/>
    </w:rPr>
  </w:style>
  <w:style w:type="paragraph" w:styleId="CommentText">
    <w:name w:val="annotation text"/>
    <w:basedOn w:val="Normal"/>
    <w:link w:val="CommentTextChar"/>
    <w:uiPriority w:val="99"/>
    <w:unhideWhenUsed/>
    <w:rsid w:val="00F5106D"/>
    <w:rPr>
      <w:sz w:val="20"/>
    </w:rPr>
  </w:style>
  <w:style w:type="character" w:customStyle="1" w:styleId="CommentTextChar">
    <w:name w:val="Comment Text Char"/>
    <w:basedOn w:val="DefaultParagraphFont"/>
    <w:link w:val="CommentText"/>
    <w:uiPriority w:val="99"/>
    <w:rsid w:val="00F5106D"/>
    <w:rPr>
      <w:snapToGrid w:val="0"/>
      <w:kern w:val="28"/>
    </w:rPr>
  </w:style>
  <w:style w:type="paragraph" w:styleId="CommentSubject">
    <w:name w:val="annotation subject"/>
    <w:basedOn w:val="CommentText"/>
    <w:next w:val="CommentText"/>
    <w:link w:val="CommentSubjectChar"/>
    <w:uiPriority w:val="99"/>
    <w:semiHidden/>
    <w:unhideWhenUsed/>
    <w:rsid w:val="00A41B84"/>
    <w:rPr>
      <w:b/>
      <w:bCs/>
    </w:rPr>
  </w:style>
  <w:style w:type="character" w:customStyle="1" w:styleId="CommentSubjectChar">
    <w:name w:val="Comment Subject Char"/>
    <w:basedOn w:val="CommentTextChar"/>
    <w:link w:val="CommentSubject"/>
    <w:uiPriority w:val="99"/>
    <w:semiHidden/>
    <w:rsid w:val="00A41B84"/>
    <w:rPr>
      <w:b/>
      <w:bCs/>
      <w:snapToGrid w:val="0"/>
      <w:kern w:val="28"/>
    </w:rPr>
  </w:style>
  <w:style w:type="character" w:styleId="FollowedHyperlink">
    <w:name w:val="FollowedHyperlink"/>
    <w:basedOn w:val="DefaultParagraphFont"/>
    <w:uiPriority w:val="99"/>
    <w:semiHidden/>
    <w:unhideWhenUsed/>
    <w:rsid w:val="009866AB"/>
    <w:rPr>
      <w:color w:val="954F72" w:themeColor="followedHyperlink"/>
      <w:u w:val="single"/>
    </w:rPr>
  </w:style>
  <w:style w:type="character" w:customStyle="1" w:styleId="FootnoteTextChar1">
    <w:name w:val="Footnote Text Char1"/>
    <w:aliases w:val="ALTS FOOTNOTE Char1,ALTS FOOTNOTE Char Char,Footnote Text Char Char,Footnote Text Char Char Char Char,Footnote Text Char Char Char Char Char Char Char,Footnote Text Char1 Char Char,Footnote Text Char1 Char1 Char Char Char Char,f Char"/>
    <w:basedOn w:val="DefaultParagraphFont"/>
    <w:link w:val="FootnoteText"/>
    <w:rsid w:val="0098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usac.org/service-providers/contributing-to-the-usf/when-to-fil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