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pPr w:leftFromText="180" w:rightFromText="180" w:horzAnchor="margin" w:tblpY="-450"/>
        <w:tblW w:w="5144" w:type="pct"/>
        <w:tblCellMar>
          <w:left w:w="10" w:type="dxa"/>
          <w:right w:w="10" w:type="dxa"/>
        </w:tblCellMar>
        <w:tblLook w:val="04A0"/>
      </w:tblPr>
      <w:tblGrid>
        <w:gridCol w:w="9630"/>
      </w:tblGrid>
      <w:tr w14:paraId="7CA59606" w14:textId="77777777" w:rsidTr="001F6838">
        <w:tblPrEx>
          <w:tblW w:w="5144" w:type="pct"/>
          <w:tblLook w:val="04A0"/>
        </w:tblPrEx>
        <w:trPr>
          <w:cantSplit/>
          <w:trHeight w:val="1978"/>
        </w:trPr>
        <w:tc>
          <w:tcPr>
            <w:tcW w:w="9630" w:type="dxa"/>
            <w:tcMar>
              <w:top w:w="0" w:type="dxa"/>
              <w:left w:w="108" w:type="dxa"/>
              <w:bottom w:w="0" w:type="dxa"/>
              <w:right w:w="108" w:type="dxa"/>
            </w:tcMar>
            <w:vAlign w:val="center"/>
          </w:tcPr>
          <w:p w:rsidR="00362E0E" w:rsidP="001F6838" w14:paraId="5865F141" w14:textId="77777777">
            <w:pPr>
              <w:pStyle w:val="PN-Header"/>
            </w:pPr>
            <w:r>
              <w:rPr>
                <w:noProof/>
              </w:rPr>
              <w:drawing>
                <wp:inline distT="0" distB="0" distL="0" distR="0">
                  <wp:extent cx="484632" cy="484632"/>
                  <wp:effectExtent l="0" t="0" r="0" b="0"/>
                  <wp:docPr id="790492036" name="Picture 1" descr="FCC Logo"/>
                  <wp:cNvGraphicFramePr/>
                  <a:graphic xmlns:a="http://schemas.openxmlformats.org/drawingml/2006/main">
                    <a:graphicData uri="http://schemas.openxmlformats.org/drawingml/2006/picture">
                      <pic:pic xmlns:pic="http://schemas.openxmlformats.org/drawingml/2006/picture">
                        <pic:nvPicPr>
                          <pic:cNvPr id="790492036" name=""/>
                          <pic:cNvPicPr/>
                        </pic:nvPicPr>
                        <pic:blipFill>
                          <a:blip xmlns:r="http://schemas.openxmlformats.org/officeDocument/2006/relationships" r:embed="rId5"/>
                          <a:stretch>
                            <a:fillRect/>
                          </a:stretch>
                        </pic:blipFill>
                        <pic:spPr>
                          <a:xfrm>
                            <a:off x="0" y="0"/>
                            <a:ext cx="484632" cy="484632"/>
                          </a:xfrm>
                          <a:prstGeom prst="rect">
                            <a:avLst/>
                          </a:prstGeom>
                          <a:noFill/>
                          <a:ln>
                            <a:noFill/>
                            <a:prstDash val="solid"/>
                          </a:ln>
                        </pic:spPr>
                      </pic:pic>
                    </a:graphicData>
                  </a:graphic>
                </wp:inline>
              </w:drawing>
            </w:r>
            <w:r>
              <w:t xml:space="preserve"> PUBLIC NOTICE</w:t>
            </w:r>
          </w:p>
          <w:tbl>
            <w:tblPr>
              <w:tblW w:w="5000" w:type="pct"/>
              <w:tblCellMar>
                <w:left w:w="10" w:type="dxa"/>
                <w:right w:w="10" w:type="dxa"/>
              </w:tblCellMar>
              <w:tblLook w:val="04A0"/>
            </w:tblPr>
            <w:tblGrid>
              <w:gridCol w:w="4707"/>
              <w:gridCol w:w="4707"/>
            </w:tblGrid>
            <w:tr w14:paraId="46CF758A" w14:textId="77777777">
              <w:tblPrEx>
                <w:tblW w:w="5000" w:type="pct"/>
                <w:tblLook w:val="04A0"/>
              </w:tblPrEx>
              <w:trPr>
                <w:trHeight w:val="861"/>
              </w:trPr>
              <w:tc>
                <w:tcPr>
                  <w:tcW w:w="4707" w:type="dxa"/>
                  <w:tcBorders>
                    <w:bottom w:val="single" w:sz="4" w:space="0" w:color="000000"/>
                  </w:tcBorders>
                  <w:tcMar>
                    <w:top w:w="0" w:type="dxa"/>
                    <w:left w:w="108" w:type="dxa"/>
                    <w:bottom w:w="0" w:type="dxa"/>
                    <w:right w:w="108" w:type="dxa"/>
                  </w:tcMar>
                  <w:vAlign w:val="center"/>
                </w:tcPr>
                <w:p w:rsidR="00362E0E" w:rsidP="00527920" w14:paraId="59E532FD" w14:textId="77777777">
                  <w:pPr>
                    <w:pStyle w:val="FCCAddress"/>
                    <w:framePr w:hSpace="180" w:wrap="around" w:hAnchor="margin" w:y="-450"/>
                  </w:pPr>
                  <w:r>
                    <w:rPr>
                      <w:sz w:val="22"/>
                      <w:szCs w:val="20"/>
                    </w:rPr>
                    <w:t>Federal Communications Commission</w:t>
                  </w:r>
                </w:p>
                <w:p w:rsidR="00362E0E" w:rsidP="00527920" w14:paraId="48E1EEB9" w14:textId="77777777">
                  <w:pPr>
                    <w:pStyle w:val="FCCAddress"/>
                    <w:framePr w:hSpace="180" w:wrap="around" w:hAnchor="margin" w:y="-450"/>
                  </w:pPr>
                  <w:r>
                    <w:rPr>
                      <w:sz w:val="22"/>
                      <w:szCs w:val="20"/>
                    </w:rPr>
                    <w:t>45 L Street NE</w:t>
                  </w:r>
                </w:p>
                <w:p w:rsidR="00362E0E" w:rsidP="00527920" w14:paraId="1E900EBE" w14:textId="77777777">
                  <w:pPr>
                    <w:framePr w:hSpace="180" w:wrap="around" w:hAnchor="margin" w:y="-450"/>
                  </w:pPr>
                  <w:r>
                    <w:rPr>
                      <w:rFonts w:ascii="Arial" w:hAnsi="Arial" w:cs="Arial"/>
                      <w:b/>
                      <w:sz w:val="22"/>
                      <w:szCs w:val="20"/>
                    </w:rPr>
                    <w:t>Washington, DC 20554</w:t>
                  </w:r>
                </w:p>
              </w:tc>
              <w:tc>
                <w:tcPr>
                  <w:tcW w:w="4707" w:type="dxa"/>
                  <w:tcBorders>
                    <w:bottom w:val="single" w:sz="4" w:space="0" w:color="000000"/>
                  </w:tcBorders>
                  <w:tcMar>
                    <w:top w:w="0" w:type="dxa"/>
                    <w:left w:w="108" w:type="dxa"/>
                    <w:bottom w:w="0" w:type="dxa"/>
                    <w:right w:w="108" w:type="dxa"/>
                  </w:tcMar>
                  <w:vAlign w:val="center"/>
                </w:tcPr>
                <w:p w:rsidR="00362E0E" w:rsidP="00527920" w14:paraId="17925935" w14:textId="77777777">
                  <w:pPr>
                    <w:pStyle w:val="FCCMedia"/>
                    <w:framePr w:hSpace="180" w:wrap="around" w:hAnchor="margin" w:y="-450"/>
                  </w:pPr>
                  <w:r>
                    <w:t>News Media Information: 202-418-0500</w:t>
                  </w:r>
                </w:p>
                <w:p w:rsidR="00362E0E" w:rsidP="00527920" w14:paraId="6474F2FC" w14:textId="77777777">
                  <w:pPr>
                    <w:pStyle w:val="FCCMedia"/>
                    <w:framePr w:hSpace="180" w:wrap="around" w:hAnchor="margin" w:y="-450"/>
                  </w:pPr>
                  <w:r>
                    <w:t xml:space="preserve">Internet: </w:t>
                  </w:r>
                  <w:hyperlink r:id="rId6" w:history="1">
                    <w:r>
                      <w:rPr>
                        <w:rStyle w:val="Hyperlink"/>
                        <w:szCs w:val="16"/>
                      </w:rPr>
                      <w:t>www.fcc.gov</w:t>
                    </w:r>
                  </w:hyperlink>
                </w:p>
                <w:p w:rsidR="00362E0E" w:rsidP="00527920" w14:paraId="759A983E" w14:textId="77777777">
                  <w:pPr>
                    <w:framePr w:hSpace="180" w:wrap="around" w:hAnchor="margin" w:y="-450"/>
                    <w:jc w:val="right"/>
                    <w:rPr>
                      <w:rFonts w:ascii="Arial" w:hAnsi="Arial" w:cs="Arial"/>
                      <w:b/>
                      <w:bCs/>
                      <w:sz w:val="16"/>
                      <w:szCs w:val="16"/>
                    </w:rPr>
                  </w:pPr>
                </w:p>
              </w:tc>
            </w:tr>
          </w:tbl>
          <w:p w:rsidR="00362E0E" w:rsidP="001F6838" w14:paraId="1FDD0215" w14:textId="77777777"/>
        </w:tc>
      </w:tr>
    </w:tbl>
    <w:p w:rsidR="00BC5D3A" w14:paraId="7DED3244" w14:textId="185851F7">
      <w:pPr>
        <w:pStyle w:val="PN-DANumber"/>
      </w:pPr>
      <w:r>
        <w:t>DA 25-1073</w:t>
      </w:r>
    </w:p>
    <w:p w:rsidR="00362E0E" w:rsidP="00BC5D3A" w14:paraId="064F1DE3" w14:textId="17FF2770">
      <w:pPr>
        <w:pStyle w:val="PN-DANumber"/>
      </w:pPr>
      <w:r>
        <w:t xml:space="preserve">Released:  </w:t>
      </w:r>
      <w:r w:rsidR="00BC5D3A">
        <w:t>December 17, 2025</w:t>
      </w:r>
    </w:p>
    <w:p w:rsidR="00BC5D3A" w:rsidP="00BC5D3A" w14:paraId="28DE1F10" w14:textId="77777777">
      <w:pPr>
        <w:pStyle w:val="PN-DANumber"/>
      </w:pPr>
    </w:p>
    <w:p w:rsidR="00362E0E" w14:paraId="243A4AFC" w14:textId="77777777">
      <w:pPr>
        <w:spacing w:after="0"/>
        <w:jc w:val="center"/>
      </w:pPr>
      <w:bookmarkStart w:id="0" w:name="_Hlk17359545"/>
      <w:r>
        <w:rPr>
          <w:b/>
          <w:caps/>
        </w:rPr>
        <w:t xml:space="preserve">FCC certifies </w:t>
      </w:r>
      <w:r>
        <w:rPr>
          <w:b/>
          <w:bCs/>
          <w:caps/>
        </w:rPr>
        <w:t xml:space="preserve">HELEN KELLER NATIONAL CENTER  </w:t>
      </w:r>
    </w:p>
    <w:p w:rsidR="00362E0E" w14:paraId="6B5B5DE4" w14:textId="77777777">
      <w:pPr>
        <w:spacing w:after="0"/>
        <w:jc w:val="center"/>
      </w:pPr>
      <w:r>
        <w:rPr>
          <w:b/>
          <w:caps/>
        </w:rPr>
        <w:t xml:space="preserve">TO ADMINISTER the national </w:t>
      </w:r>
      <w:r>
        <w:rPr>
          <w:b/>
          <w:bCs/>
          <w:caps/>
        </w:rPr>
        <w:t>deafblind</w:t>
      </w:r>
      <w:r>
        <w:rPr>
          <w:b/>
          <w:caps/>
        </w:rPr>
        <w:t xml:space="preserve"> equipment </w:t>
      </w:r>
    </w:p>
    <w:p w:rsidR="00362E0E" w14:paraId="2B2DE472" w14:textId="77777777">
      <w:pPr>
        <w:jc w:val="center"/>
        <w:rPr>
          <w:b/>
          <w:caps/>
        </w:rPr>
      </w:pPr>
      <w:r>
        <w:rPr>
          <w:b/>
          <w:caps/>
        </w:rPr>
        <w:t xml:space="preserve">distribution program for </w:t>
      </w:r>
      <w:bookmarkEnd w:id="0"/>
      <w:r>
        <w:rPr>
          <w:b/>
          <w:caps/>
        </w:rPr>
        <w:t>ALASKA</w:t>
      </w:r>
    </w:p>
    <w:p w:rsidR="00362E0E" w14:paraId="1AA1C38E" w14:textId="77777777">
      <w:pPr>
        <w:jc w:val="center"/>
        <w:rPr>
          <w:b/>
        </w:rPr>
      </w:pPr>
      <w:r>
        <w:rPr>
          <w:b/>
        </w:rPr>
        <w:t>CG Docket No. 10-210</w:t>
      </w:r>
    </w:p>
    <w:p w:rsidR="00362E0E" w:rsidP="00046CAE" w14:paraId="4AD7E5C4" w14:textId="77777777">
      <w:pPr>
        <w:ind w:firstLine="720"/>
      </w:pPr>
      <w:r>
        <w:t>By this Public Notice, the Consumer and Governmental Affairs Bureau (CGB) of the Federal Communications Commission (FCC or Commission) announces the selection of the Helen Keller National Center for Deafblind Youths and Adults (Helen Keller National Center) for certification to administer the National Deaf-Blind Equipment Distribution Program (NDBEDP), also called “iCanConnect,” for the state of Alaska.</w:t>
      </w:r>
    </w:p>
    <w:p w:rsidR="00DC2D19" w:rsidP="00046CAE" w14:paraId="75BF2330" w14:textId="634FBCE1">
      <w:r>
        <w:tab/>
        <w:t>On November 20, 2025, CGB released a Public Notice inviting applications from entities interested in being certified to distribute equipment under the NDBEDP to eligible individuals in the state of Alaska.</w:t>
      </w:r>
      <w:r>
        <w:rPr>
          <w:vertAlign w:val="superscript"/>
        </w:rPr>
        <w:footnoteReference w:id="2"/>
      </w:r>
      <w:r>
        <w:t xml:space="preserve">  In response to the Public Notice, CGB received a complete application from the Helen Keller National Center.</w:t>
      </w:r>
      <w:r>
        <w:rPr>
          <w:rStyle w:val="FootnoteReference"/>
          <w:sz w:val="24"/>
          <w:szCs w:val="24"/>
        </w:rPr>
        <w:footnoteReference w:id="3"/>
      </w:r>
      <w:r>
        <w:rPr>
          <w:szCs w:val="24"/>
        </w:rPr>
        <w:t xml:space="preserve"> </w:t>
      </w:r>
      <w:r>
        <w:t xml:space="preserve"> </w:t>
      </w:r>
    </w:p>
    <w:p w:rsidR="00DC2D19" w:rsidRPr="00046CAE" w:rsidP="00046CAE" w14:paraId="1E0F48E0" w14:textId="44D2E4BC">
      <w:pPr>
        <w:ind w:firstLine="720"/>
        <w:rPr>
          <w:sz w:val="22"/>
        </w:rPr>
      </w:pPr>
      <w:r>
        <w:t>Following review of this application, CGB has determined that Helen Keller National Center meets the criteria set out in the Commission’s rules to be certified under the NDBEDP.</w:t>
      </w:r>
      <w:r>
        <w:rPr>
          <w:vertAlign w:val="superscript"/>
        </w:rPr>
        <w:footnoteReference w:id="4"/>
      </w:r>
      <w:r>
        <w:t xml:space="preserve">  As evidenced in its application, Helen Keller National Center has demonstrated extensive experience in providing accessible services in a manner that shows expert knowledge of the deafblind community; in-depth experience working with individuals who are deafblind; considerable expertise in the communications technology used by individuals who are deafblind; the administrative and financial management capability to manage state programs under the NDBEDP; sufficient staffing to manage the state program; and a strong familiarity with the Commission’s rules governing this program.</w:t>
      </w:r>
      <w:r>
        <w:rPr>
          <w:rStyle w:val="FootnoteReference"/>
          <w:sz w:val="24"/>
          <w:szCs w:val="24"/>
        </w:rPr>
        <w:footnoteReference w:id="5"/>
      </w:r>
      <w:r>
        <w:t xml:space="preserve">  Furthermore, as the NDBEDP-certified program for Alaska, Helen Keller National Center has indicated a commitment to work in partnership with local agencies to meet the needs of the deafblind population throughout Alaska.</w:t>
      </w:r>
      <w:r>
        <w:rPr>
          <w:rStyle w:val="FootnoteReference"/>
          <w:sz w:val="24"/>
          <w:szCs w:val="24"/>
        </w:rPr>
        <w:footnoteReference w:id="6"/>
      </w:r>
      <w:r>
        <w:rPr>
          <w:sz w:val="22"/>
        </w:rPr>
        <w:t xml:space="preserve"> </w:t>
      </w:r>
    </w:p>
    <w:p w:rsidR="00DC2D19" w:rsidP="00046CAE" w14:paraId="76A2B1AE" w14:textId="5D79F182">
      <w:pPr>
        <w:ind w:firstLine="720"/>
      </w:pPr>
      <w:r>
        <w:t>Accordingly, CGB certifies Helen Keller National Center as the authorized entity to distribute equipment and provide related services under the NDBEDP in Alaska, effective December 22, 2025, through June 30, 2027.</w:t>
      </w:r>
      <w:r>
        <w:rPr>
          <w:vertAlign w:val="superscript"/>
        </w:rPr>
        <w:footnoteReference w:id="7"/>
      </w:r>
    </w:p>
    <w:p w:rsidR="00DC2D19" w:rsidP="00046CAE" w14:paraId="1351994D" w14:textId="784CACF6">
      <w:pPr>
        <w:ind w:firstLine="720"/>
      </w:pPr>
      <w:r>
        <w:t>Helen Keller National Center will have full responsibility for</w:t>
      </w:r>
      <w:r>
        <w:rPr>
          <w:rFonts w:ascii="TimesNewRoman" w:hAnsi="TimesNewRoman" w:cs="TimesNewRoman"/>
          <w:color w:val="000000"/>
        </w:rPr>
        <w:t xml:space="preserve"> </w:t>
      </w:r>
      <w:r>
        <w:t>distributing equipment and providing related services in the state, including outreach, assessments, installation, and training, either directly or through collaboration, partnership, or contract with other individuals or entities in-state or out-of-state, including other NDBEDP certified programs.</w:t>
      </w:r>
      <w:r>
        <w:rPr>
          <w:rStyle w:val="FootnoteReference"/>
          <w:sz w:val="24"/>
          <w:szCs w:val="24"/>
        </w:rPr>
        <w:footnoteReference w:id="8"/>
      </w:r>
      <w:r>
        <w:t xml:space="preserve">  Helen Keller National Center must comply with the Commission’s NDBEDP rules pertaining to its participation in this program,</w:t>
      </w:r>
      <w:r>
        <w:rPr>
          <w:rStyle w:val="FootnoteReference"/>
          <w:sz w:val="24"/>
          <w:szCs w:val="24"/>
        </w:rPr>
        <w:footnoteReference w:id="9"/>
      </w:r>
      <w:r>
        <w:rPr>
          <w:szCs w:val="24"/>
        </w:rPr>
        <w:t xml:space="preserve"> </w:t>
      </w:r>
      <w:r>
        <w:t>including transitional requirements to ensure the continuation of NDBEDP operations in Alaska if its certification is relinquished, terminated, or not renewed.</w:t>
      </w:r>
      <w:r>
        <w:rPr>
          <w:rStyle w:val="FootnoteReference"/>
          <w:sz w:val="24"/>
          <w:szCs w:val="24"/>
        </w:rPr>
        <w:footnoteReference w:id="10"/>
      </w:r>
    </w:p>
    <w:p w:rsidR="00DC2D19" w:rsidP="00046CAE" w14:paraId="1AF5037B" w14:textId="7FC23FFC">
      <w:pPr>
        <w:ind w:firstLine="720"/>
      </w:pPr>
      <w:r>
        <w:rPr>
          <w:b/>
          <w:bCs/>
        </w:rPr>
        <w:t xml:space="preserve">ACCESSIBLE FORMATS:  </w:t>
      </w:r>
      <w:r>
        <w:t xml:space="preserve">To request materials in accessible formats for people with disabilities (Braille, large print, electronic files, audio format), send an e-mail to </w:t>
      </w:r>
      <w:hyperlink r:id="rId7" w:history="1">
        <w:r w:rsidR="00362E0E">
          <w:rPr>
            <w:rStyle w:val="Hyperlink"/>
          </w:rPr>
          <w:t>fcc504@fcc.gov</w:t>
        </w:r>
      </w:hyperlink>
      <w:r>
        <w:t xml:space="preserve"> or call the Consumer and Governmental Affairs Bureau at 202-418-0530 (voice).</w:t>
      </w:r>
    </w:p>
    <w:p w:rsidR="00362E0E" w:rsidP="00046CAE" w14:paraId="2A34F46F" w14:textId="77777777">
      <w:pPr>
        <w:ind w:firstLine="720"/>
      </w:pPr>
      <w:r>
        <w:rPr>
          <w:b/>
          <w:bCs/>
        </w:rPr>
        <w:t xml:space="preserve">FOR FURTHER INFORMATION:  </w:t>
      </w:r>
      <w:r>
        <w:t xml:space="preserve">Contact Jackie Ellington, Administrator, National Deaf-Blind Equipment Distribution Program, Disability Rights Office, Consumer and Governmental Affairs Bureau, at 202-418-1153 or </w:t>
      </w:r>
      <w:hyperlink r:id="rId8" w:history="1">
        <w:r>
          <w:rPr>
            <w:rStyle w:val="Hyperlink"/>
          </w:rPr>
          <w:t>NDBEDP@fcc.gov</w:t>
        </w:r>
      </w:hyperlink>
      <w:r>
        <w:t>.</w:t>
      </w:r>
    </w:p>
    <w:p w:rsidR="00362E0E" w:rsidP="00DC2D19" w14:paraId="4C91FF7E" w14:textId="77777777">
      <w:pPr>
        <w:spacing w:after="0"/>
      </w:pPr>
    </w:p>
    <w:sectPr w:rsidSect="00DC56BF">
      <w:headerReference w:type="default" r:id="rId9"/>
      <w:footerReference w:type="default" r:id="rId10"/>
      <w:endnotePr>
        <w:numFmt w:val="decimal"/>
      </w:endnotePr>
      <w:pgSz w:w="12240" w:h="15840"/>
      <w:pgMar w:top="1440" w:right="1440" w:bottom="720" w:left="1440" w:header="720" w:footer="720" w:gutter="0"/>
      <w:pgBorders w:offsetFrom="page">
        <w:top w:val="single" w:sz="4" w:space="24" w:color="FFFFFF"/>
        <w:left w:val="single" w:sz="4" w:space="24" w:color="FFFFFF"/>
        <w:right w:val="single" w:sz="4" w:space="24" w:color="FFFFFF"/>
      </w:pgBorders>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631" w14:paraId="49D77884" w14:textId="77777777">
    <w:pPr>
      <w:pStyle w:val="Foo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7E08" w14:paraId="671208C4" w14:textId="77777777">
      <w:pPr>
        <w:spacing w:after="0"/>
      </w:pPr>
      <w:r>
        <w:rPr>
          <w:color w:val="000000"/>
        </w:rPr>
        <w:separator/>
      </w:r>
    </w:p>
  </w:footnote>
  <w:footnote w:type="continuationSeparator" w:id="1">
    <w:p w:rsidR="00A77E08" w14:paraId="76A009FD" w14:textId="77777777">
      <w:pPr>
        <w:spacing w:after="0"/>
      </w:pPr>
      <w:r>
        <w:continuationSeparator/>
      </w:r>
    </w:p>
  </w:footnote>
  <w:footnote w:id="2">
    <w:p w:rsidR="00362E0E" w:rsidP="00DC2D19" w14:paraId="491A3619" w14:textId="77777777">
      <w:pPr>
        <w:pStyle w:val="FootnoteText"/>
        <w:spacing w:after="0"/>
      </w:pPr>
      <w:r>
        <w:rPr>
          <w:rStyle w:val="FootnoteReference"/>
        </w:rPr>
        <w:footnoteRef/>
      </w:r>
      <w:r>
        <w:t xml:space="preserve"> </w:t>
      </w:r>
      <w:r>
        <w:rPr>
          <w:i/>
        </w:rPr>
        <w:t>FCC Revokes Certification of Assistive Technology of Alaska and Invites Applications for the National Deaf-Blind Equipment Distribution Program for the State of Alaska</w:t>
      </w:r>
      <w:r>
        <w:t>, Public Notice, DA 25-969 (CGB November 20, 2025) (</w:t>
      </w:r>
      <w:r>
        <w:rPr>
          <w:i/>
        </w:rPr>
        <w:t>Alaska Application Public Notice</w:t>
      </w:r>
      <w:r>
        <w:t>) (summarizing the qualifications for obtaining certification to participate in the NDBEDP),</w:t>
      </w:r>
      <w:bookmarkStart w:id="1" w:name="_Hlk9415048"/>
      <w:bookmarkEnd w:id="1"/>
      <w:r>
        <w:t xml:space="preserve"> </w:t>
      </w:r>
      <w:hyperlink r:id="rId1" w:history="1">
        <w:r>
          <w:rPr>
            <w:rStyle w:val="Hyperlink"/>
          </w:rPr>
          <w:t>https://docs.fcc.gov/public/attachments/DA-25-969A1.pdf</w:t>
        </w:r>
      </w:hyperlink>
      <w:r>
        <w:t xml:space="preserve">.  On May 17, 2022, CGB certified Assistive Technology of Alaska (ATLA) to distribute equipment under the NDBEDP for Alaska for a period of five years, from July 1, 2022, through June 30, 2027.  </w:t>
      </w:r>
      <w:r>
        <w:rPr>
          <w:i/>
        </w:rPr>
        <w:t>See Commission Announces Entities Certified to Participate in the National Deaf-Blind Equipment Distribution Program</w:t>
      </w:r>
      <w:r>
        <w:t xml:space="preserve">, Public Notice, DA 22-541 (CGB 2022) (including Alaska), </w:t>
      </w:r>
      <w:hyperlink r:id="rId2" w:history="1">
        <w:r>
          <w:rPr>
            <w:rStyle w:val="Hyperlink"/>
          </w:rPr>
          <w:t>https://docs.fcc.gov/public/attachments/DA-22-541A1.docx</w:t>
        </w:r>
      </w:hyperlink>
      <w:r>
        <w:t xml:space="preserve">.  On November 20, 2025, the Commission announced that the certification of ATLA to administer the NDBEDP for Alaska will be revoked 30 days after the date of the Public Notice.  </w:t>
      </w:r>
      <w:r>
        <w:rPr>
          <w:i/>
          <w:iCs/>
        </w:rPr>
        <w:t>Alaska Application Public Notice</w:t>
      </w:r>
      <w:r>
        <w:t xml:space="preserve">, n.2.  Because 30 days from November 20, 2025, falls on a Saturday, the effective date of the revocation of the ATLA certification is December 22, 2025.  In this </w:t>
      </w:r>
      <w:r>
        <w:rPr>
          <w:i/>
          <w:iCs/>
        </w:rPr>
        <w:t>Notice</w:t>
      </w:r>
      <w:r>
        <w:t>, we use the term “deafblind” unless the term “deaf-blind” appears in statutory or regulatory language or in quotations.</w:t>
      </w:r>
    </w:p>
    <w:p w:rsidR="00142631" w:rsidRPr="006B0929" w:rsidP="00DC2D19" w14:paraId="142F4C44" w14:textId="77777777">
      <w:pPr>
        <w:spacing w:after="0"/>
        <w:rPr>
          <w:sz w:val="12"/>
          <w:szCs w:val="12"/>
        </w:rPr>
      </w:pPr>
    </w:p>
  </w:footnote>
  <w:footnote w:id="3">
    <w:p w:rsidR="00362E0E" w:rsidP="00DC2D19" w14:paraId="758D7F47" w14:textId="77777777">
      <w:pPr>
        <w:pStyle w:val="FootnoteText"/>
        <w:spacing w:after="0"/>
      </w:pPr>
      <w:r>
        <w:rPr>
          <w:rStyle w:val="FootnoteReference"/>
        </w:rPr>
        <w:footnoteRef/>
      </w:r>
      <w:r>
        <w:t xml:space="preserve"> Application of Helen Keller National Center (submitted Dec. 4, 2025).  </w:t>
      </w:r>
    </w:p>
    <w:p w:rsidR="00142631" w:rsidRPr="00911F41" w:rsidP="00DC2D19" w14:paraId="5470A9CE" w14:textId="77777777">
      <w:pPr>
        <w:spacing w:after="0"/>
        <w:rPr>
          <w:sz w:val="12"/>
          <w:szCs w:val="12"/>
        </w:rPr>
      </w:pPr>
    </w:p>
  </w:footnote>
  <w:footnote w:id="4">
    <w:p w:rsidR="00142631" w:rsidP="00911F41" w14:paraId="30C2F9D3" w14:textId="442C6CFD">
      <w:pPr>
        <w:pStyle w:val="FootnoteText"/>
        <w:spacing w:after="0"/>
      </w:pPr>
      <w:r>
        <w:rPr>
          <w:rStyle w:val="FootnoteReference"/>
        </w:rPr>
        <w:footnoteRef/>
      </w:r>
      <w:r>
        <w:t xml:space="preserve"> The Commission’s rules specify the following certification criteria:  (1) “[e]</w:t>
      </w:r>
      <w:r>
        <w:t>xpertise</w:t>
      </w:r>
      <w:r>
        <w:t xml:space="preserve"> in the field of deaf-blindness, including familiarity with the culture and etiquette of individuals who are deaf-blind”; (2) “[t]he ability to communicate effectively with individuals who are deaf-blind,” including by using assistive technologies; (3) administrative and financial management experience; (4) staffing that is “sufficient to administer the program, including the ability to distribute equipment and provide related services to low-income individuals who are deaf-blind throughout the state”; (5) “[e]</w:t>
      </w:r>
      <w:r>
        <w:t>xperience</w:t>
      </w:r>
      <w:r>
        <w:t xml:space="preserve"> with the distribution of specialized customer premises equipment, especially to individuals who are deaf-blind”; (6) experience in training consumers how to set up and use equipment to access covered services; and (7) familiarity with covered services.  47 CFR § 64.6207(c)(1)-(7).  </w:t>
      </w:r>
    </w:p>
  </w:footnote>
  <w:footnote w:id="5">
    <w:p w:rsidR="00362E0E" w:rsidP="00DC2D19" w14:paraId="42F6D6FA" w14:textId="77777777">
      <w:pPr>
        <w:pStyle w:val="FootnoteText"/>
        <w:spacing w:after="0"/>
      </w:pPr>
      <w:r>
        <w:rPr>
          <w:rStyle w:val="FootnoteReference"/>
        </w:rPr>
        <w:footnoteRef/>
      </w:r>
      <w:r>
        <w:t xml:space="preserve"> 47 CFR § 64.6207(c).  </w:t>
      </w:r>
    </w:p>
    <w:p w:rsidR="00142631" w:rsidRPr="00911F41" w:rsidP="00DC2D19" w14:paraId="164EBA33" w14:textId="77777777">
      <w:pPr>
        <w:spacing w:after="0"/>
        <w:rPr>
          <w:sz w:val="12"/>
          <w:szCs w:val="12"/>
        </w:rPr>
      </w:pPr>
    </w:p>
  </w:footnote>
  <w:footnote w:id="6">
    <w:p w:rsidR="00362E0E" w:rsidP="00DC2D19" w14:paraId="6549E14F" w14:textId="77777777">
      <w:pPr>
        <w:pStyle w:val="FootnoteText"/>
        <w:spacing w:after="0"/>
      </w:pPr>
      <w:r>
        <w:rPr>
          <w:rStyle w:val="FootnoteReference"/>
        </w:rPr>
        <w:footnoteRef/>
      </w:r>
      <w:r>
        <w:t xml:space="preserve"> Helen Keller National Center is certified to provide NDBEDP services in eight other states.</w:t>
      </w:r>
    </w:p>
    <w:p w:rsidR="00142631" w:rsidRPr="00911F41" w:rsidP="00DC2D19" w14:paraId="7BAE3E18" w14:textId="77777777">
      <w:pPr>
        <w:spacing w:after="0"/>
        <w:rPr>
          <w:sz w:val="12"/>
          <w:szCs w:val="12"/>
        </w:rPr>
      </w:pPr>
    </w:p>
  </w:footnote>
  <w:footnote w:id="7">
    <w:p w:rsidR="00362E0E" w:rsidP="00DC2D19" w14:paraId="669129B5" w14:textId="77777777">
      <w:pPr>
        <w:pStyle w:val="FootnoteText"/>
        <w:spacing w:after="0"/>
      </w:pPr>
      <w:r>
        <w:rPr>
          <w:rStyle w:val="FootnoteReference"/>
        </w:rPr>
        <w:footnoteRef/>
      </w:r>
      <w:r>
        <w:t xml:space="preserve"> </w:t>
      </w:r>
      <w:r>
        <w:rPr>
          <w:i/>
        </w:rPr>
        <w:t xml:space="preserve">See </w:t>
      </w:r>
      <w:r>
        <w:t xml:space="preserve">47 CFR § 64.6207(e) (providing that, when </w:t>
      </w:r>
      <w:r>
        <w:rPr>
          <w:iCs/>
        </w:rPr>
        <w:t>a</w:t>
      </w:r>
      <w:r>
        <w:t xml:space="preserve"> certified program is replaced prior to the expiration of its certification period, the successor entity's certification will expire on the date that the replaced entity's certification would have expired).  </w:t>
      </w:r>
    </w:p>
    <w:p w:rsidR="00142631" w:rsidRPr="00911F41" w:rsidP="00DC2D19" w14:paraId="0CE2BD4D" w14:textId="77777777">
      <w:pPr>
        <w:spacing w:after="0"/>
        <w:rPr>
          <w:sz w:val="12"/>
          <w:szCs w:val="12"/>
        </w:rPr>
      </w:pPr>
    </w:p>
  </w:footnote>
  <w:footnote w:id="8">
    <w:p w:rsidR="00362E0E" w:rsidP="00DC2D19" w14:paraId="7184F6B5" w14:textId="77777777">
      <w:pPr>
        <w:pStyle w:val="FootnoteText"/>
        <w:spacing w:after="0"/>
      </w:pPr>
      <w:r>
        <w:rPr>
          <w:rStyle w:val="FootnoteReference"/>
        </w:rPr>
        <w:footnoteRef/>
      </w:r>
      <w:r>
        <w:t xml:space="preserve"> </w:t>
      </w:r>
      <w:r>
        <w:rPr>
          <w:i/>
        </w:rPr>
        <w:t>See</w:t>
      </w:r>
      <w:r>
        <w:t xml:space="preserve"> 47 CFR § 64.6207.</w:t>
      </w:r>
    </w:p>
    <w:p w:rsidR="00142631" w:rsidRPr="00911F41" w:rsidP="00DC2D19" w14:paraId="024B6FB9" w14:textId="77777777">
      <w:pPr>
        <w:spacing w:after="0"/>
        <w:rPr>
          <w:sz w:val="12"/>
          <w:szCs w:val="12"/>
        </w:rPr>
      </w:pPr>
    </w:p>
  </w:footnote>
  <w:footnote w:id="9">
    <w:p w:rsidR="00362E0E" w:rsidP="00DC2D19" w14:paraId="2309B08D" w14:textId="77777777">
      <w:pPr>
        <w:pStyle w:val="FootnoteText"/>
        <w:spacing w:after="0"/>
      </w:pPr>
      <w:r>
        <w:rPr>
          <w:rStyle w:val="FootnoteReference"/>
        </w:rPr>
        <w:footnoteRef/>
      </w:r>
      <w:r>
        <w:t xml:space="preserve"> 47 CFR §§ 64.6201-64.6219; </w:t>
      </w:r>
      <w:r>
        <w:rPr>
          <w:i/>
        </w:rPr>
        <w:t>Implementation of the Twenty-First Century Communications and Video Accessibility Act of 2010, Section 105, Relay Services for Deaf-Blind Individuals</w:t>
      </w:r>
      <w:r>
        <w:t>, Report and Order, 31 FCC Rcd 9178 (2016) (</w:t>
      </w:r>
      <w:r>
        <w:rPr>
          <w:i/>
        </w:rPr>
        <w:t>NDBEDP Permanent Program Order</w:t>
      </w:r>
      <w:r>
        <w:t>).</w:t>
      </w:r>
    </w:p>
    <w:p w:rsidR="00142631" w:rsidRPr="00911F41" w:rsidP="00DC2D19" w14:paraId="3D96E15B" w14:textId="77777777">
      <w:pPr>
        <w:spacing w:after="0"/>
        <w:rPr>
          <w:sz w:val="12"/>
          <w:szCs w:val="12"/>
        </w:rPr>
      </w:pPr>
    </w:p>
  </w:footnote>
  <w:footnote w:id="10">
    <w:p w:rsidR="00362E0E" w:rsidP="00DC2D19" w14:paraId="6050418A" w14:textId="77777777">
      <w:pPr>
        <w:pStyle w:val="FootnoteText"/>
        <w:spacing w:after="0"/>
      </w:pPr>
      <w:r>
        <w:rPr>
          <w:rStyle w:val="FootnoteReference"/>
        </w:rPr>
        <w:footnoteRef/>
      </w:r>
      <w:r>
        <w:t xml:space="preserve"> </w:t>
      </w:r>
      <w:r>
        <w:rPr>
          <w:i/>
        </w:rPr>
        <w:t>NDBEDP Permanent Program Order</w:t>
      </w:r>
      <w:r>
        <w:t>, 31 FCC Rcd at 9197, paras. 44-45;</w:t>
      </w:r>
      <w:r>
        <w:rPr>
          <w:i/>
        </w:rPr>
        <w:t xml:space="preserve"> see also</w:t>
      </w:r>
      <w:r>
        <w:t xml:space="preserve"> 47 CFR § 64.6207(j)(1)-(3).</w:t>
      </w:r>
    </w:p>
    <w:p w:rsidR="00362E0E" w:rsidP="00DC2D19" w14:paraId="01EF310A" w14:textId="77777777">
      <w:pPr>
        <w:pStyle w:val="FootnoteText"/>
        <w:spacing w:after="0"/>
      </w:pPr>
    </w:p>
    <w:p w:rsidR="00362E0E" w:rsidP="00DC2D19" w14:paraId="5039014F" w14:textId="77777777">
      <w:pPr>
        <w:spacing w:after="0"/>
      </w:pPr>
    </w:p>
    <w:p w:rsidR="00362E0E" w:rsidP="00DC2D19" w14:paraId="35F401C7" w14:textId="77777777">
      <w:pPr>
        <w:spacing w:after="0"/>
      </w:pPr>
    </w:p>
    <w:p w:rsidR="00142631" w:rsidP="00DC2D19" w14:paraId="6CF5041C"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631" w14:paraId="437C562D" w14:textId="03450E2B">
    <w:pPr>
      <w:pStyle w:val="Header"/>
      <w:pBdr>
        <w:bottom w:val="single" w:sz="4" w:space="1" w:color="000000"/>
      </w:pBdr>
    </w:pPr>
    <w:r>
      <w:rPr>
        <w:b/>
        <w:bCs/>
      </w:rPr>
      <w:tab/>
      <w:t>Federal Communications Commission</w:t>
    </w:r>
    <w:r>
      <w:rPr>
        <w:b/>
        <w:bCs/>
      </w:rPr>
      <w:tab/>
      <w:t>DA 25-</w:t>
    </w:r>
    <w:r w:rsidR="00383B0D">
      <w:rPr>
        <w:b/>
        <w:bCs/>
      </w:rPr>
      <w:t>1073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26504"/>
    <w:multiLevelType w:val="multilevel"/>
    <w:tmpl w:val="17E8A8DC"/>
    <w:styleLink w:val="Style2"/>
    <w:lvl w:ilvl="0">
      <w:start w:val="1"/>
      <w:numFmt w:val="decimal"/>
      <w:lvlText w:val="(%1.)"/>
      <w:lvlJc w:val="left"/>
      <w:pPr>
        <w:ind w:left="360" w:hanging="360"/>
      </w:pPr>
    </w:lvl>
    <w:lvl w:ilvl="1">
      <w:start w:val="1"/>
      <w:numFmt w:val="upperLetter"/>
      <w:lvlText w:val="(.)"/>
      <w:lvlJc w:val="left"/>
      <w:pPr>
        <w:ind w:left="720" w:hanging="360"/>
      </w:pPr>
    </w:lvl>
    <w:lvl w:ilvl="2">
      <w:start w:val="1"/>
      <w:numFmt w:val="lowerRoman"/>
      <w:lvlText w:val="(.)"/>
      <w:lvlJc w:val="left"/>
      <w:pPr>
        <w:ind w:left="1080" w:hanging="360"/>
      </w:pPr>
    </w:lvl>
    <w:lvl w:ilvl="3">
      <w:start w:val="1"/>
      <w:numFmt w:val="lowerLetter"/>
      <w:lvlText w:val="(.)"/>
      <w:lvlJc w:val="left"/>
      <w:pPr>
        <w:ind w:left="1440" w:hanging="360"/>
      </w:pPr>
    </w:lvl>
    <w:lvl w:ilvl="4">
      <w:start w:val="1"/>
      <w:numFmt w:val="decimal"/>
      <w:lvlText w:val="()"/>
      <w:lvlJc w:val="left"/>
      <w:pPr>
        <w:ind w:left="1800" w:hanging="360"/>
      </w:pPr>
    </w:lvl>
    <w:lvl w:ilvl="5">
      <w:start w:val="1"/>
      <w:numFmt w:val="lowerLetter"/>
      <w:lvlText w:val="()"/>
      <w:lvlJc w:val="left"/>
      <w:pPr>
        <w:ind w:left="2160" w:hanging="360"/>
      </w:pPr>
    </w:lvl>
    <w:lvl w:ilvl="6">
      <w:start w:val="1"/>
      <w:numFmt w:val="lowerRoman"/>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
    <w:nsid w:val="1AA25DA9"/>
    <w:multiLevelType w:val="multilevel"/>
    <w:tmpl w:val="A9B8847C"/>
    <w:styleLink w:val="WWOutlineListStyle2"/>
    <w:lvl w:ilvl="0">
      <w:start w:val="1"/>
      <w:numFmt w:val="upperRoman"/>
      <w:pStyle w:val="Heading1"/>
      <w:lvlText w:val="%1."/>
      <w:lvlJc w:val="left"/>
      <w:pPr>
        <w:ind w:left="720" w:hanging="720"/>
      </w:pPr>
    </w:lvl>
    <w:lvl w:ilvl="1">
      <w:start w:val="1"/>
      <w:numFmt w:val="upperLetter"/>
      <w:pStyle w:val="Heading2"/>
      <w:lvlText w:val="."/>
      <w:lvlJc w:val="left"/>
      <w:pPr>
        <w:ind w:left="1440" w:hanging="720"/>
      </w:pPr>
    </w:lvl>
    <w:lvl w:ilvl="2">
      <w:start w:val="1"/>
      <w:numFmt w:val="decimal"/>
      <w:pStyle w:val="Heading3"/>
      <w:lvlText w:val="."/>
      <w:lvlJc w:val="left"/>
      <w:pPr>
        <w:ind w:left="2160" w:hanging="720"/>
      </w:pPr>
    </w:lvl>
    <w:lvl w:ilvl="3">
      <w:start w:val="1"/>
      <w:numFmt w:val="lowerLetter"/>
      <w:pStyle w:val="Heading4"/>
      <w:lvlText w:val="."/>
      <w:lvlJc w:val="left"/>
      <w:pPr>
        <w:ind w:left="2880" w:hanging="720"/>
      </w:pPr>
    </w:lvl>
    <w:lvl w:ilvl="4">
      <w:start w:val="1"/>
      <w:numFmt w:val="lowerRoman"/>
      <w:pStyle w:val="Heading5"/>
      <w:lvlText w:val="()"/>
      <w:lvlJc w:val="left"/>
      <w:pPr>
        <w:ind w:left="3600" w:hanging="720"/>
      </w:pPr>
    </w:lvl>
    <w:lvl w:ilvl="5">
      <w:start w:val="1"/>
      <w:numFmt w:val="lowerLetter"/>
      <w:pStyle w:val="Heading6"/>
      <w:lvlText w:val="()"/>
      <w:lvlJc w:val="left"/>
      <w:pPr>
        <w:ind w:left="4320" w:hanging="720"/>
      </w:pPr>
    </w:lvl>
    <w:lvl w:ilvl="6">
      <w:start w:val="1"/>
      <w:numFmt w:val="lowerRoman"/>
      <w:pStyle w:val="Heading7"/>
      <w:lvlText w:val="()"/>
      <w:lvlJc w:val="left"/>
      <w:pPr>
        <w:ind w:left="4320" w:firstLine="0"/>
      </w:pPr>
    </w:lvl>
    <w:lvl w:ilvl="7">
      <w:start w:val="1"/>
      <w:numFmt w:val="lowerLetter"/>
      <w:pStyle w:val="Heading8"/>
      <w:lvlText w:val="()"/>
      <w:lvlJc w:val="left"/>
      <w:pPr>
        <w:ind w:left="5040" w:firstLine="0"/>
      </w:pPr>
    </w:lvl>
    <w:lvl w:ilvl="8">
      <w:start w:val="1"/>
      <w:numFmt w:val="lowerRoman"/>
      <w:pStyle w:val="Heading9"/>
      <w:lvlText w:val="()"/>
      <w:lvlJc w:val="left"/>
      <w:pPr>
        <w:ind w:left="5760" w:firstLine="0"/>
      </w:pPr>
    </w:lvl>
  </w:abstractNum>
  <w:abstractNum w:abstractNumId="2">
    <w:nsid w:val="23215B08"/>
    <w:multiLevelType w:val="multilevel"/>
    <w:tmpl w:val="F5A425A6"/>
    <w:styleLink w:val="LFO39"/>
    <w:lvl w:ilvl="0">
      <w:start w:val="0"/>
      <w:numFmt w:val="bullet"/>
      <w:pStyle w:val="Bullet"/>
      <w:lvlText w:val=""/>
      <w:lvlJc w:val="left"/>
      <w:pPr>
        <w:ind w:left="360" w:hanging="360"/>
      </w:pPr>
      <w:rPr>
        <w:rFonts w:ascii="Symbol" w:hAnsi="Symbol"/>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3">
    <w:nsid w:val="24C72D00"/>
    <w:multiLevelType w:val="multilevel"/>
    <w:tmpl w:val="3E721A26"/>
    <w:styleLink w:val="Appendices"/>
    <w:lvl w:ilvl="0">
      <w:start w:val="1"/>
      <w:numFmt w:val="upperLetter"/>
      <w:pStyle w:val="AppendixHeading1"/>
      <w:suff w:val="space"/>
      <w:lvlText w:val="Appendix %1: "/>
      <w:lvlJc w:val="center"/>
    </w:lvl>
    <w:lvl w:ilvl="1">
      <w:start w:val="1"/>
      <w:numFmt w:val="upperLetter"/>
      <w:lvlText w:val="."/>
      <w:lvlJc w:val="left"/>
      <w:pPr>
        <w:ind w:left="720" w:hanging="360"/>
      </w:pPr>
    </w:lvl>
    <w:lvl w:ilvl="2">
      <w:start w:val="1"/>
      <w:numFmt w:val="decimal"/>
      <w:lvlText w:val="."/>
      <w:lvlJc w:val="left"/>
      <w:pPr>
        <w:ind w:left="1080" w:hanging="360"/>
      </w:pPr>
    </w:lvl>
    <w:lvl w:ilvl="3">
      <w:start w:val="1"/>
      <w:numFmt w:val="lowerLetter"/>
      <w:lvlText w:val="."/>
      <w:lvlJc w:val="left"/>
      <w:pPr>
        <w:ind w:left="1440" w:hanging="360"/>
      </w:pPr>
    </w:lvl>
    <w:lvl w:ilvl="4">
      <w:start w:val="1"/>
      <w:numFmt w:val="lowerRoman"/>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4">
    <w:nsid w:val="469C14C5"/>
    <w:multiLevelType w:val="multilevel"/>
    <w:tmpl w:val="1D20BB3A"/>
    <w:styleLink w:val="LFO2"/>
    <w:lvl w:ilvl="0">
      <w:start w:val="1"/>
      <w:numFmt w:val="decimal"/>
      <w:pStyle w:val="AttachmentParaNum"/>
      <w:lvlText w:val="%1."/>
      <w:lvlJc w:val="center"/>
      <w:pPr>
        <w:ind w:left="0" w:firstLine="720"/>
      </w:pPr>
    </w:lvl>
    <w:lvl w:ilvl="1">
      <w:start w:val="1"/>
      <w:numFmt w:val="lowerLetter"/>
      <w:lvlText w:val="."/>
      <w:lvlJc w:val="left"/>
      <w:pPr>
        <w:ind w:left="0" w:firstLine="1440"/>
      </w:pPr>
      <w:rPr>
        <w:b w:val="0"/>
      </w:rPr>
    </w:lvl>
    <w:lvl w:ilvl="2">
      <w:start w:val="1"/>
      <w:numFmt w:val="lowerRoman"/>
      <w:lvlText w:val=")"/>
      <w:lvlJc w:val="left"/>
      <w:pPr>
        <w:ind w:left="1440" w:firstLine="0"/>
      </w:pPr>
    </w:lvl>
    <w:lvl w:ilvl="3">
      <w:start w:val="1"/>
      <w:numFmt w:val="decimal"/>
      <w:lvlText w:val="()"/>
      <w:lvlJc w:val="left"/>
      <w:pPr>
        <w:ind w:left="2160" w:firstLine="0"/>
      </w:pPr>
    </w:lvl>
    <w:lvl w:ilvl="4">
      <w:start w:val="1"/>
      <w:numFmt w:val="lowerLetter"/>
      <w:lvlText w:val="()"/>
      <w:lvlJc w:val="left"/>
      <w:pPr>
        <w:ind w:left="2880" w:firstLine="0"/>
      </w:pPr>
    </w:lvl>
    <w:lvl w:ilvl="5">
      <w:start w:val="1"/>
      <w:numFmt w:val="lowerRoman"/>
      <w:lvlText w:val="()"/>
      <w:lvlJc w:val="left"/>
      <w:pPr>
        <w:ind w:left="3600" w:firstLine="0"/>
      </w:pPr>
    </w:lvl>
    <w:lvl w:ilvl="6">
      <w:start w:val="1"/>
      <w:numFmt w:val="decimal"/>
      <w:lvlText w:val="."/>
      <w:lvlJc w:val="left"/>
      <w:pPr>
        <w:ind w:left="4320" w:firstLine="0"/>
      </w:pPr>
      <w:rPr>
        <w:b w:val="0"/>
      </w:r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5">
    <w:nsid w:val="4D5E65E5"/>
    <w:multiLevelType w:val="multilevel"/>
    <w:tmpl w:val="7C86BDB6"/>
    <w:styleLink w:val="WWOutlineListStyle"/>
    <w:lvl w:ilvl="0">
      <w:start w:val="1"/>
      <w:numFmt w:val="upperRoman"/>
      <w:lvlText w:val="%1."/>
      <w:lvlJc w:val="left"/>
      <w:pPr>
        <w:ind w:left="720" w:hanging="720"/>
      </w:pPr>
    </w:lvl>
    <w:lvl w:ilvl="1">
      <w:start w:val="1"/>
      <w:numFmt w:val="upperLetter"/>
      <w:lvlText w:val="."/>
      <w:lvlJc w:val="left"/>
      <w:pPr>
        <w:ind w:left="1440" w:hanging="720"/>
      </w:pPr>
    </w:lvl>
    <w:lvl w:ilvl="2">
      <w:start w:val="1"/>
      <w:numFmt w:val="decimal"/>
      <w:lvlText w:val="."/>
      <w:lvlJc w:val="left"/>
      <w:pPr>
        <w:ind w:left="2160" w:hanging="720"/>
      </w:pPr>
    </w:lvl>
    <w:lvl w:ilvl="3">
      <w:start w:val="1"/>
      <w:numFmt w:val="lowerLetter"/>
      <w:lvlText w:val="."/>
      <w:lvlJc w:val="left"/>
      <w:pPr>
        <w:ind w:left="2880" w:hanging="720"/>
      </w:pPr>
    </w:lvl>
    <w:lvl w:ilvl="4">
      <w:start w:val="1"/>
      <w:numFmt w:val="lowerRoman"/>
      <w:lvlText w:val="()"/>
      <w:lvlJc w:val="left"/>
      <w:pPr>
        <w:ind w:left="3600" w:hanging="720"/>
      </w:pPr>
    </w:lvl>
    <w:lvl w:ilvl="5">
      <w:start w:val="1"/>
      <w:numFmt w:val="lowerLetter"/>
      <w:lvlText w:val="()"/>
      <w:lvlJc w:val="left"/>
      <w:pPr>
        <w:ind w:left="4320" w:hanging="72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6">
    <w:nsid w:val="5B60293E"/>
    <w:multiLevelType w:val="multilevel"/>
    <w:tmpl w:val="DBE09C08"/>
    <w:styleLink w:val="LFO6"/>
    <w:lvl w:ilvl="0">
      <w:start w:val="0"/>
      <w:numFmt w:val="bullet"/>
      <w:pStyle w:val="ParaNumBullet9"/>
      <w:lvlText w:val=""/>
      <w:lvlJc w:val="left"/>
      <w:pPr>
        <w:ind w:left="1800" w:hanging="360"/>
      </w:pPr>
      <w:rPr>
        <w:rFonts w:ascii="Symbol" w:hAnsi="Symbol"/>
      </w:rPr>
    </w:lvl>
    <w:lvl w:ilvl="1">
      <w:start w:val="0"/>
      <w:numFmt w:val="bullet"/>
      <w:lvlText w:val="o"/>
      <w:lvlJc w:val="left"/>
      <w:pPr>
        <w:ind w:left="2160" w:hanging="360"/>
      </w:pPr>
      <w:rPr>
        <w:rFonts w:ascii="Courier New" w:hAnsi="Courier New"/>
      </w:rPr>
    </w:lvl>
    <w:lvl w:ilvl="2">
      <w:start w:val="0"/>
      <w:numFmt w:val="bullet"/>
      <w:lvlText w:val=""/>
      <w:lvlJc w:val="left"/>
      <w:pPr>
        <w:ind w:left="2520" w:hanging="360"/>
      </w:pPr>
      <w:rPr>
        <w:rFonts w:ascii="Wingdings" w:hAnsi="Wingdings"/>
      </w:rPr>
    </w:lvl>
    <w:lvl w:ilvl="3">
      <w:start w:val="0"/>
      <w:numFmt w:val="bullet"/>
      <w:lvlText w:val=""/>
      <w:lvlJc w:val="left"/>
      <w:pPr>
        <w:ind w:left="3240" w:hanging="360"/>
      </w:pPr>
      <w:rPr>
        <w:rFonts w:ascii="Symbol" w:hAnsi="Symbol"/>
      </w:rPr>
    </w:lvl>
    <w:lvl w:ilvl="4">
      <w:start w:val="0"/>
      <w:numFmt w:val="bullet"/>
      <w:lvlText w:val="o"/>
      <w:lvlJc w:val="left"/>
      <w:pPr>
        <w:ind w:left="396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abstractNum w:abstractNumId="7">
    <w:nsid w:val="5F5E528F"/>
    <w:multiLevelType w:val="multilevel"/>
    <w:tmpl w:val="22AC7CC4"/>
    <w:styleLink w:val="AttachmentList"/>
    <w:lvl w:ilvl="0">
      <w:start w:val="1"/>
      <w:numFmt w:val="upperLetter"/>
      <w:lvlText w:val="ATTACHMENT %1"/>
      <w:lvlJc w:val="cente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nsid w:val="600266A6"/>
    <w:multiLevelType w:val="multilevel"/>
    <w:tmpl w:val="5FE42DA0"/>
    <w:styleLink w:val="WWOutlineListStyle1"/>
    <w:lvl w:ilvl="0">
      <w:start w:val="1"/>
      <w:numFmt w:val="upperRoman"/>
      <w:lvlText w:val="%1."/>
      <w:lvlJc w:val="left"/>
      <w:pPr>
        <w:ind w:left="720" w:hanging="720"/>
      </w:pPr>
    </w:lvl>
    <w:lvl w:ilvl="1">
      <w:start w:val="1"/>
      <w:numFmt w:val="upperLetter"/>
      <w:lvlText w:val="."/>
      <w:lvlJc w:val="left"/>
      <w:pPr>
        <w:ind w:left="1440" w:hanging="720"/>
      </w:pPr>
    </w:lvl>
    <w:lvl w:ilvl="2">
      <w:start w:val="1"/>
      <w:numFmt w:val="decimal"/>
      <w:lvlText w:val="."/>
      <w:lvlJc w:val="left"/>
      <w:pPr>
        <w:ind w:left="2160" w:hanging="720"/>
      </w:pPr>
    </w:lvl>
    <w:lvl w:ilvl="3">
      <w:start w:val="1"/>
      <w:numFmt w:val="lowerLetter"/>
      <w:lvlText w:val="."/>
      <w:lvlJc w:val="left"/>
      <w:pPr>
        <w:ind w:left="2880" w:hanging="720"/>
      </w:pPr>
    </w:lvl>
    <w:lvl w:ilvl="4">
      <w:start w:val="1"/>
      <w:numFmt w:val="lowerRoman"/>
      <w:lvlText w:val="()"/>
      <w:lvlJc w:val="left"/>
      <w:pPr>
        <w:ind w:left="3600" w:hanging="720"/>
      </w:pPr>
    </w:lvl>
    <w:lvl w:ilvl="5">
      <w:start w:val="1"/>
      <w:numFmt w:val="lowerLetter"/>
      <w:lvlText w:val="()"/>
      <w:lvlJc w:val="left"/>
      <w:pPr>
        <w:ind w:left="4320" w:hanging="72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9">
    <w:nsid w:val="66631F9F"/>
    <w:multiLevelType w:val="multilevel"/>
    <w:tmpl w:val="B6A2D388"/>
    <w:styleLink w:val="LFO18"/>
    <w:lvl w:ilvl="0">
      <w:start w:val="1"/>
      <w:numFmt w:val="decimal"/>
      <w:pStyle w:val="NIList9"/>
      <w:lvlText w:val="(%1)"/>
      <w:lvlJc w:val="left"/>
      <w:pPr>
        <w:ind w:left="1080" w:hanging="360"/>
      </w:pPr>
    </w:lvl>
    <w:lvl w:ilvl="1">
      <w:start w:val="1"/>
      <w:numFmt w:val="lowerLetter"/>
      <w:lvlText w:val="()"/>
      <w:lvlJc w:val="left"/>
      <w:pPr>
        <w:ind w:left="1440" w:hanging="360"/>
      </w:pPr>
    </w:lvl>
    <w:lvl w:ilvl="2">
      <w:start w:val="1"/>
      <w:numFmt w:val="lowerRoman"/>
      <w:lvlText w:val="."/>
      <w:lvlJc w:val="left"/>
      <w:pPr>
        <w:ind w:left="1800" w:hanging="360"/>
      </w:pPr>
    </w:lvl>
    <w:lvl w:ilvl="3">
      <w:start w:val="1"/>
      <w:numFmt w:val="lowerLetter"/>
      <w:lvlText w:val="."/>
      <w:lvlJc w:val="left"/>
      <w:pPr>
        <w:ind w:left="2160" w:hanging="360"/>
      </w:pPr>
    </w:lvl>
    <w:lvl w:ilvl="4">
      <w:start w:val="1"/>
      <w:numFmt w:val="decimal"/>
      <w:lvlText w:val="()"/>
      <w:lvlJc w:val="left"/>
      <w:pPr>
        <w:ind w:left="2520" w:hanging="360"/>
      </w:pPr>
    </w:lvl>
    <w:lvl w:ilvl="5">
      <w:start w:val="1"/>
      <w:numFmt w:val="lowerLetter"/>
      <w:lvlText w:val="()"/>
      <w:lvlJc w:val="left"/>
      <w:pPr>
        <w:ind w:left="2880" w:hanging="360"/>
      </w:pPr>
    </w:lvl>
    <w:lvl w:ilvl="6">
      <w:start w:val="1"/>
      <w:numFmt w:val="lowerRoman"/>
      <w:lvlText w:val="()"/>
      <w:lvlJc w:val="left"/>
      <w:pPr>
        <w:ind w:left="3240" w:hanging="360"/>
      </w:pPr>
    </w:lvl>
    <w:lvl w:ilvl="7">
      <w:start w:val="1"/>
      <w:numFmt w:val="lowerLetter"/>
      <w:lvlText w:val="."/>
      <w:lvlJc w:val="left"/>
      <w:pPr>
        <w:ind w:left="3600" w:hanging="360"/>
      </w:pPr>
    </w:lvl>
    <w:lvl w:ilvl="8">
      <w:start w:val="1"/>
      <w:numFmt w:val="decimal"/>
      <w:lvlText w:val="."/>
      <w:lvlJc w:val="left"/>
      <w:pPr>
        <w:ind w:left="3960" w:hanging="360"/>
      </w:pPr>
    </w:lvl>
  </w:abstractNum>
  <w:abstractNum w:abstractNumId="10">
    <w:nsid w:val="6A4348DC"/>
    <w:multiLevelType w:val="multilevel"/>
    <w:tmpl w:val="EB84D148"/>
    <w:styleLink w:val="LFO10"/>
    <w:lvl w:ilvl="0">
      <w:start w:val="1"/>
      <w:numFmt w:val="upperLetter"/>
      <w:pStyle w:val="Attachment"/>
      <w:lvlText w:val="Attachment %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nsid w:val="6C745C33"/>
    <w:multiLevelType w:val="multilevel"/>
    <w:tmpl w:val="95C40984"/>
    <w:styleLink w:val="Style1"/>
    <w:lvl w:ilvl="0">
      <w:start w:val="0"/>
      <w:numFmt w:val="bullet"/>
      <w:lvlText w:val=""/>
      <w:lvlJc w:val="left"/>
      <w:pPr>
        <w:ind w:left="1800" w:hanging="360"/>
      </w:pPr>
      <w:rPr>
        <w:rFonts w:ascii="Symbol" w:hAnsi="Symbol"/>
      </w:rPr>
    </w:lvl>
    <w:lvl w:ilvl="1">
      <w:start w:val="0"/>
      <w:numFmt w:val="bullet"/>
      <w:lvlText w:val="o"/>
      <w:lvlJc w:val="left"/>
      <w:pPr>
        <w:ind w:left="2160" w:hanging="360"/>
      </w:pPr>
      <w:rPr>
        <w:rFonts w:ascii="Courier New" w:hAnsi="Courier New"/>
      </w:rPr>
    </w:lvl>
    <w:lvl w:ilvl="2">
      <w:start w:val="0"/>
      <w:numFmt w:val="bullet"/>
      <w:lvlText w:val=""/>
      <w:lvlJc w:val="left"/>
      <w:pPr>
        <w:ind w:left="2520" w:hanging="360"/>
      </w:pPr>
      <w:rPr>
        <w:rFonts w:ascii="Wingdings" w:hAnsi="Wingdings"/>
      </w:rPr>
    </w:lvl>
    <w:lvl w:ilvl="3">
      <w:start w:val="0"/>
      <w:numFmt w:val="bullet"/>
      <w:lvlText w:val=""/>
      <w:lvlJc w:val="left"/>
      <w:pPr>
        <w:ind w:left="3240" w:hanging="360"/>
      </w:pPr>
      <w:rPr>
        <w:rFonts w:ascii="Symbol" w:hAnsi="Symbol"/>
      </w:rPr>
    </w:lvl>
    <w:lvl w:ilvl="4">
      <w:start w:val="0"/>
      <w:numFmt w:val="bullet"/>
      <w:lvlText w:val="o"/>
      <w:lvlJc w:val="left"/>
      <w:pPr>
        <w:ind w:left="396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2">
    <w:nsid w:val="739B4748"/>
    <w:multiLevelType w:val="multilevel"/>
    <w:tmpl w:val="CC50A19A"/>
    <w:styleLink w:val="PNOrderedList"/>
    <w:lvl w:ilvl="0">
      <w:start w:val="1"/>
      <w:numFmt w:val="decimal"/>
      <w:pStyle w:val="ParaNumLevel9"/>
      <w:lvlText w:val="%1."/>
      <w:lvlJc w:val="left"/>
      <w:pPr>
        <w:ind w:left="0" w:firstLine="720"/>
      </w:pPr>
    </w:lvl>
    <w:lvl w:ilvl="1">
      <w:start w:val="1"/>
      <w:numFmt w:val="lowerLetter"/>
      <w:lvlText w:val="."/>
      <w:lvlJc w:val="left"/>
      <w:pPr>
        <w:ind w:left="1800" w:hanging="360"/>
      </w:pPr>
    </w:lvl>
    <w:lvl w:ilvl="2">
      <w:start w:val="1"/>
      <w:numFmt w:val="lowerRoman"/>
      <w:lvlText w:val="."/>
      <w:lvlJc w:val="left"/>
      <w:pPr>
        <w:ind w:left="2160" w:hanging="360"/>
      </w:pPr>
    </w:lvl>
    <w:lvl w:ilvl="3">
      <w:start w:val="1"/>
      <w:numFmt w:val="decimal"/>
      <w:lvlText w:val="()"/>
      <w:lvlJc w:val="left"/>
      <w:pPr>
        <w:ind w:left="2520" w:hanging="360"/>
      </w:pPr>
    </w:lvl>
    <w:lvl w:ilvl="4">
      <w:start w:val="1"/>
      <w:numFmt w:val="lowerLetter"/>
      <w:lvlText w:val="."/>
      <w:lvlJc w:val="left"/>
      <w:pPr>
        <w:ind w:left="2880" w:hanging="360"/>
      </w:pPr>
    </w:lvl>
    <w:lvl w:ilvl="5">
      <w:start w:val="1"/>
      <w:numFmt w:val="lowerRoman"/>
      <w:lvlText w:val="."/>
      <w:lvlJc w:val="left"/>
      <w:pPr>
        <w:ind w:left="3240" w:hanging="360"/>
      </w:pPr>
    </w:lvl>
    <w:lvl w:ilvl="6">
      <w:start w:val="1"/>
      <w:numFmt w:val="decimal"/>
      <w:lvlText w:val="."/>
      <w:lvlJc w:val="left"/>
      <w:pPr>
        <w:ind w:left="3600" w:hanging="360"/>
      </w:pPr>
    </w:lvl>
    <w:lvl w:ilvl="7">
      <w:start w:val="1"/>
      <w:numFmt w:val="lowerLetter"/>
      <w:lvlText w:val="."/>
      <w:lvlJc w:val="left"/>
      <w:pPr>
        <w:ind w:left="3960" w:hanging="360"/>
      </w:pPr>
    </w:lvl>
    <w:lvl w:ilvl="8">
      <w:start w:val="1"/>
      <w:numFmt w:val="lowerRoman"/>
      <w:lvlText w:val="."/>
      <w:lvlJc w:val="left"/>
      <w:pPr>
        <w:ind w:left="4320" w:hanging="360"/>
      </w:pPr>
    </w:lvl>
  </w:abstractNum>
  <w:abstractNum w:abstractNumId="13">
    <w:nsid w:val="79FB6369"/>
    <w:multiLevelType w:val="multilevel"/>
    <w:tmpl w:val="E1AC0DFE"/>
    <w:styleLink w:val="LFO17"/>
    <w:lvl w:ilvl="0">
      <w:start w:val="0"/>
      <w:numFmt w:val="bullet"/>
      <w:pStyle w:val="NIBullet9"/>
      <w:lvlText w:val="•"/>
      <w:lvlJc w:val="left"/>
      <w:pPr>
        <w:ind w:left="1080" w:hanging="360"/>
      </w:pPr>
      <w:rPr>
        <w:rFonts w:ascii="Calibri" w:hAnsi="Calibri"/>
      </w:rPr>
    </w:lvl>
    <w:lvl w:ilvl="1">
      <w:start w:val="0"/>
      <w:numFmt w:val="bullet"/>
      <w:lvlText w:val="o"/>
      <w:lvlJc w:val="left"/>
      <w:pPr>
        <w:ind w:left="1440" w:hanging="360"/>
      </w:pPr>
      <w:rPr>
        <w:rFonts w:ascii="Courier New" w:hAnsi="Courier New"/>
      </w:rPr>
    </w:lvl>
    <w:lvl w:ilvl="2">
      <w:start w:val="0"/>
      <w:numFmt w:val="bullet"/>
      <w:lvlText w:val=""/>
      <w:lvlJc w:val="left"/>
      <w:pPr>
        <w:ind w:left="1800" w:hanging="360"/>
      </w:pPr>
      <w:rPr>
        <w:rFonts w:ascii="Wingdings" w:hAnsi="Wingdings"/>
      </w:rPr>
    </w:lvl>
    <w:lvl w:ilvl="3">
      <w:start w:val="0"/>
      <w:numFmt w:val="bullet"/>
      <w:lvlText w:val=""/>
      <w:lvlJc w:val="left"/>
      <w:pPr>
        <w:ind w:left="2160" w:hanging="360"/>
      </w:pPr>
      <w:rPr>
        <w:rFonts w:ascii="Symbol" w:hAnsi="Symbol"/>
      </w:rPr>
    </w:lvl>
    <w:lvl w:ilvl="4">
      <w:start w:val="0"/>
      <w:numFmt w:val="bullet"/>
      <w:lvlText w:val="o"/>
      <w:lvlJc w:val="left"/>
      <w:pPr>
        <w:ind w:left="2520" w:hanging="360"/>
      </w:pPr>
      <w:rPr>
        <w:rFonts w:ascii="Courier New" w:hAnsi="Courier New"/>
      </w:rPr>
    </w:lvl>
    <w:lvl w:ilvl="5">
      <w:start w:val="0"/>
      <w:numFmt w:val="bullet"/>
      <w:lvlText w:val=""/>
      <w:lvlJc w:val="left"/>
      <w:pPr>
        <w:ind w:left="2880" w:hanging="360"/>
      </w:pPr>
      <w:rPr>
        <w:rFonts w:ascii="Wingdings" w:hAnsi="Wingdings"/>
      </w:rPr>
    </w:lvl>
    <w:lvl w:ilvl="6">
      <w:start w:val="0"/>
      <w:numFmt w:val="bullet"/>
      <w:lvlText w:val=""/>
      <w:lvlJc w:val="left"/>
      <w:pPr>
        <w:ind w:left="3240" w:hanging="360"/>
      </w:pPr>
      <w:rPr>
        <w:rFonts w:ascii="Symbol" w:hAnsi="Symbol"/>
      </w:rPr>
    </w:lvl>
    <w:lvl w:ilvl="7">
      <w:start w:val="0"/>
      <w:numFmt w:val="bullet"/>
      <w:lvlText w:val="o"/>
      <w:lvlJc w:val="left"/>
      <w:pPr>
        <w:ind w:left="3600" w:hanging="360"/>
      </w:pPr>
      <w:rPr>
        <w:rFonts w:ascii="Courier New" w:hAnsi="Courier New"/>
      </w:rPr>
    </w:lvl>
    <w:lvl w:ilvl="8">
      <w:start w:val="0"/>
      <w:numFmt w:val="bullet"/>
      <w:lvlText w:val=""/>
      <w:lvlJc w:val="left"/>
      <w:pPr>
        <w:ind w:left="3960" w:hanging="360"/>
      </w:pPr>
      <w:rPr>
        <w:rFonts w:ascii="Wingdings" w:hAnsi="Wingdings"/>
      </w:rPr>
    </w:lvl>
  </w:abstractNum>
  <w:num w:numId="1" w16cid:durableId="370688626">
    <w:abstractNumId w:val="1"/>
  </w:num>
  <w:num w:numId="2" w16cid:durableId="1535465319">
    <w:abstractNumId w:val="8"/>
  </w:num>
  <w:num w:numId="3" w16cid:durableId="1251113512">
    <w:abstractNumId w:val="5"/>
  </w:num>
  <w:num w:numId="4" w16cid:durableId="1335690259">
    <w:abstractNumId w:val="3"/>
  </w:num>
  <w:num w:numId="5" w16cid:durableId="797067084">
    <w:abstractNumId w:val="11"/>
  </w:num>
  <w:num w:numId="6" w16cid:durableId="980421471">
    <w:abstractNumId w:val="0"/>
  </w:num>
  <w:num w:numId="7" w16cid:durableId="189612191">
    <w:abstractNumId w:val="12"/>
  </w:num>
  <w:num w:numId="8" w16cid:durableId="1720324909">
    <w:abstractNumId w:val="7"/>
  </w:num>
  <w:num w:numId="9" w16cid:durableId="475489659">
    <w:abstractNumId w:val="4"/>
  </w:num>
  <w:num w:numId="10" w16cid:durableId="1053043316">
    <w:abstractNumId w:val="6"/>
  </w:num>
  <w:num w:numId="11" w16cid:durableId="804664012">
    <w:abstractNumId w:val="10"/>
  </w:num>
  <w:num w:numId="12" w16cid:durableId="372924421">
    <w:abstractNumId w:val="13"/>
  </w:num>
  <w:num w:numId="13" w16cid:durableId="1579628027">
    <w:abstractNumId w:val="9"/>
  </w:num>
  <w:num w:numId="14" w16cid:durableId="1510558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0E"/>
    <w:rsid w:val="00040CF7"/>
    <w:rsid w:val="00046CAE"/>
    <w:rsid w:val="00070B3B"/>
    <w:rsid w:val="00081CB1"/>
    <w:rsid w:val="00142631"/>
    <w:rsid w:val="001D6643"/>
    <w:rsid w:val="001F6838"/>
    <w:rsid w:val="00362E0E"/>
    <w:rsid w:val="00383B0D"/>
    <w:rsid w:val="003F367F"/>
    <w:rsid w:val="00434CCB"/>
    <w:rsid w:val="00443711"/>
    <w:rsid w:val="00527920"/>
    <w:rsid w:val="006A372F"/>
    <w:rsid w:val="006B0929"/>
    <w:rsid w:val="006C7C67"/>
    <w:rsid w:val="007E51AF"/>
    <w:rsid w:val="00844628"/>
    <w:rsid w:val="00874E6D"/>
    <w:rsid w:val="008A33DE"/>
    <w:rsid w:val="008F46CC"/>
    <w:rsid w:val="00911F41"/>
    <w:rsid w:val="009149D6"/>
    <w:rsid w:val="00A4401E"/>
    <w:rsid w:val="00A77E08"/>
    <w:rsid w:val="00A81A53"/>
    <w:rsid w:val="00A86DAA"/>
    <w:rsid w:val="00B9336F"/>
    <w:rsid w:val="00BC5D3A"/>
    <w:rsid w:val="00BD3555"/>
    <w:rsid w:val="00C92C81"/>
    <w:rsid w:val="00C95A13"/>
    <w:rsid w:val="00CC0990"/>
    <w:rsid w:val="00DC2D19"/>
    <w:rsid w:val="00DC56BF"/>
    <w:rsid w:val="00EF3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28DB8D"/>
  <w15:docId w15:val="{179B5CB1-D881-407F-A381-B4FC4AAE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20"/>
    </w:pPr>
    <w:rPr>
      <w:sz w:val="24"/>
    </w:rPr>
  </w:style>
  <w:style w:type="paragraph" w:styleId="Heading1">
    <w:name w:val="heading 1"/>
    <w:basedOn w:val="Normal"/>
    <w:next w:val="Normal"/>
    <w:uiPriority w:val="9"/>
    <w:qFormat/>
    <w:pPr>
      <w:keepNext/>
      <w:numPr>
        <w:numId w:val="1"/>
      </w:numPr>
      <w:outlineLvl w:val="0"/>
    </w:pPr>
    <w:rPr>
      <w:b/>
      <w:caps/>
    </w:rPr>
  </w:style>
  <w:style w:type="paragraph" w:styleId="Heading2">
    <w:name w:val="heading 2"/>
    <w:basedOn w:val="Normal"/>
    <w:next w:val="Normal"/>
    <w:uiPriority w:val="9"/>
    <w:semiHidden/>
    <w:unhideWhenUsed/>
    <w:qFormat/>
    <w:pPr>
      <w:keepNext/>
      <w:numPr>
        <w:ilvl w:val="1"/>
        <w:numId w:val="1"/>
      </w:numPr>
      <w:outlineLvl w:val="1"/>
    </w:pPr>
    <w:rPr>
      <w:b/>
    </w:rPr>
  </w:style>
  <w:style w:type="paragraph" w:styleId="Heading3">
    <w:name w:val="heading 3"/>
    <w:basedOn w:val="Normal"/>
    <w:next w:val="Normal"/>
    <w:uiPriority w:val="9"/>
    <w:semiHidden/>
    <w:unhideWhenUsed/>
    <w:qFormat/>
    <w:pPr>
      <w:numPr>
        <w:ilvl w:val="2"/>
        <w:numId w:val="1"/>
      </w:numPr>
      <w:tabs>
        <w:tab w:val="left" w:pos="-4320"/>
      </w:tabs>
      <w:outlineLvl w:val="2"/>
    </w:pPr>
    <w:rPr>
      <w:b/>
    </w:rPr>
  </w:style>
  <w:style w:type="paragraph" w:styleId="Heading4">
    <w:name w:val="heading 4"/>
    <w:basedOn w:val="Normal"/>
    <w:next w:val="Normal"/>
    <w:uiPriority w:val="9"/>
    <w:semiHidden/>
    <w:unhideWhenUsed/>
    <w:qFormat/>
    <w:pPr>
      <w:numPr>
        <w:ilvl w:val="3"/>
        <w:numId w:val="1"/>
      </w:numPr>
      <w:tabs>
        <w:tab w:val="left" w:pos="-5760"/>
      </w:tabs>
      <w:outlineLvl w:val="3"/>
    </w:pPr>
    <w:rPr>
      <w:b/>
    </w:rPr>
  </w:style>
  <w:style w:type="paragraph" w:styleId="Heading5">
    <w:name w:val="heading 5"/>
    <w:basedOn w:val="Normal"/>
    <w:next w:val="Normal"/>
    <w:uiPriority w:val="9"/>
    <w:semiHidden/>
    <w:unhideWhenUsed/>
    <w:qFormat/>
    <w:pPr>
      <w:numPr>
        <w:ilvl w:val="4"/>
        <w:numId w:val="1"/>
      </w:numPr>
      <w:tabs>
        <w:tab w:val="left" w:pos="-7200"/>
      </w:tabs>
      <w:outlineLvl w:val="4"/>
    </w:pPr>
    <w:rPr>
      <w:b/>
    </w:rPr>
  </w:style>
  <w:style w:type="paragraph" w:styleId="Heading6">
    <w:name w:val="heading 6"/>
    <w:basedOn w:val="Normal"/>
    <w:next w:val="Normal"/>
    <w:uiPriority w:val="9"/>
    <w:semiHidden/>
    <w:unhideWhenUsed/>
    <w:qFormat/>
    <w:pPr>
      <w:numPr>
        <w:ilvl w:val="5"/>
        <w:numId w:val="1"/>
      </w:numPr>
      <w:tabs>
        <w:tab w:val="left" w:pos="-8640"/>
      </w:tabs>
      <w:outlineLvl w:val="5"/>
    </w:pPr>
    <w:rPr>
      <w:b/>
    </w:rPr>
  </w:style>
  <w:style w:type="paragraph" w:styleId="Heading7">
    <w:name w:val="heading 7"/>
    <w:basedOn w:val="Normal"/>
    <w:next w:val="Normal"/>
    <w:pPr>
      <w:numPr>
        <w:ilvl w:val="6"/>
        <w:numId w:val="1"/>
      </w:numPr>
      <w:tabs>
        <w:tab w:val="left" w:pos="-7920"/>
      </w:tabs>
      <w:outlineLvl w:val="6"/>
    </w:pPr>
    <w:rPr>
      <w:b/>
    </w:rPr>
  </w:style>
  <w:style w:type="paragraph" w:styleId="Heading8">
    <w:name w:val="heading 8"/>
    <w:basedOn w:val="Normal"/>
    <w:next w:val="Normal"/>
    <w:pPr>
      <w:numPr>
        <w:ilvl w:val="7"/>
        <w:numId w:val="1"/>
      </w:numPr>
      <w:tabs>
        <w:tab w:val="left" w:pos="-9720"/>
        <w:tab w:val="left" w:pos="-9360"/>
      </w:tabs>
      <w:outlineLvl w:val="7"/>
    </w:pPr>
    <w:rPr>
      <w:b/>
    </w:rPr>
  </w:style>
  <w:style w:type="paragraph" w:styleId="Heading9">
    <w:name w:val="heading 9"/>
    <w:basedOn w:val="Normal"/>
    <w:next w:val="Normal"/>
    <w:pPr>
      <w:numPr>
        <w:ilvl w:val="8"/>
        <w:numId w:val="1"/>
      </w:numPr>
      <w:tabs>
        <w:tab w:val="left" w:pos="-11160"/>
        <w:tab w:val="lef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EquationCaption">
    <w:name w:val="_Equation Caption"/>
    <w:rPr>
      <w:rFonts w:ascii="Calibri" w:hAnsi="Calibri"/>
    </w:rPr>
  </w:style>
  <w:style w:type="paragraph" w:customStyle="1" w:styleId="TitleCenteredBold">
    <w:name w:val="Title Centered Bold"/>
    <w:basedOn w:val="Normal"/>
    <w:next w:val="Normal"/>
    <w:pPr>
      <w:spacing w:after="0"/>
      <w:jc w:val="center"/>
    </w:pPr>
    <w:rPr>
      <w:b/>
    </w:rPr>
  </w:style>
  <w:style w:type="paragraph" w:styleId="Header">
    <w:name w:val="header"/>
    <w:basedOn w:val="Normal"/>
    <w:pPr>
      <w:tabs>
        <w:tab w:val="center" w:pos="4680"/>
        <w:tab w:val="right" w:pos="9360"/>
      </w:tabs>
      <w:spacing w:after="0"/>
    </w:pPr>
  </w:style>
  <w:style w:type="paragraph" w:customStyle="1" w:styleId="TitleCAPSCenteredBold">
    <w:name w:val="Title CAPS Centered Bold"/>
    <w:basedOn w:val="TitleCenteredBold"/>
    <w:next w:val="Normal"/>
    <w:rPr>
      <w:caps/>
    </w:rPr>
  </w:style>
  <w:style w:type="paragraph" w:customStyle="1" w:styleId="Appendix">
    <w:name w:val="Appendix"/>
    <w:basedOn w:val="TitleCAPSCenteredBold"/>
    <w:next w:val="NormalIndent"/>
    <w:pPr>
      <w:spacing w:after="120"/>
    </w:pPr>
  </w:style>
  <w:style w:type="paragraph" w:styleId="NormalIndent">
    <w:name w:val="Normal Indent"/>
    <w:basedOn w:val="Normal"/>
    <w:pPr>
      <w:ind w:firstLine="720"/>
    </w:pPr>
  </w:style>
  <w:style w:type="paragraph" w:customStyle="1" w:styleId="TitleCenteredCapsBoldUnderline">
    <w:name w:val="Title Centered Caps Bold Underline"/>
    <w:basedOn w:val="Normal"/>
    <w:next w:val="Normal"/>
    <w:pPr>
      <w:jc w:val="center"/>
    </w:pPr>
    <w:rPr>
      <w:b/>
      <w:bCs/>
      <w:caps/>
      <w:u w:val="single"/>
    </w:rPr>
  </w:style>
  <w:style w:type="paragraph" w:customStyle="1" w:styleId="Attachment">
    <w:name w:val="Attachment"/>
    <w:basedOn w:val="TitleCenteredCapsBoldUnderline"/>
    <w:next w:val="Normal"/>
    <w:pPr>
      <w:numPr>
        <w:numId w:val="11"/>
      </w:numPr>
      <w:spacing w:after="0"/>
    </w:pPr>
    <w:rPr>
      <w:u w:val="none"/>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rPr>
      <w:rFonts w:ascii="Calibri" w:eastAsia="Times New Roman" w:hAnsi="Calibri"/>
      <w:kern w:val="3"/>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Times New Roman" w:hAnsi="Calibri"/>
      <w:b/>
      <w:bCs/>
      <w:kern w:val="3"/>
    </w:rPr>
  </w:style>
  <w:style w:type="character" w:customStyle="1" w:styleId="HeaderChar">
    <w:name w:val="Header Char"/>
    <w:basedOn w:val="DefaultParagraphFont"/>
    <w:rPr>
      <w:rFonts w:ascii="Calibri" w:eastAsia="Times New Roman" w:hAnsi="Calibri"/>
      <w:kern w:val="3"/>
      <w:sz w:val="22"/>
    </w:rPr>
  </w:style>
  <w:style w:type="character" w:styleId="EndnoteReference">
    <w:name w:val="endnote reference"/>
    <w:rPr>
      <w:position w:val="0"/>
      <w:vertAlign w:val="superscript"/>
    </w:rPr>
  </w:style>
  <w:style w:type="paragraph" w:styleId="EndnoteText">
    <w:name w:val="endnote text"/>
    <w:basedOn w:val="Normal"/>
    <w:rPr>
      <w:sz w:val="20"/>
    </w:rPr>
  </w:style>
  <w:style w:type="character" w:customStyle="1" w:styleId="EndnoteTextChar">
    <w:name w:val="Endnote Text Char"/>
    <w:basedOn w:val="DefaultParagraphFont"/>
    <w:rPr>
      <w:rFonts w:ascii="Calibri" w:eastAsia="Times New Roman" w:hAnsi="Calibri"/>
      <w:kern w:val="3"/>
    </w:rPr>
  </w:style>
  <w:style w:type="paragraph" w:styleId="Footer">
    <w:name w:val="footer"/>
    <w:basedOn w:val="Normal"/>
    <w:pPr>
      <w:jc w:val="center"/>
    </w:pPr>
  </w:style>
  <w:style w:type="character" w:customStyle="1" w:styleId="FooterChar">
    <w:name w:val="Footer Char"/>
    <w:rPr>
      <w:rFonts w:ascii="Calibri" w:eastAsia="Times New Roman" w:hAnsi="Calibri"/>
      <w:kern w:val="3"/>
      <w:sz w:val="22"/>
    </w:rPr>
  </w:style>
  <w:style w:type="character" w:styleId="FootnoteReference">
    <w:name w:val="footnote reference"/>
    <w:rPr>
      <w:rFonts w:ascii="Times New Roman" w:hAnsi="Times New Roman"/>
      <w:strike w:val="0"/>
      <w:dstrike w:val="0"/>
      <w:color w:val="auto"/>
      <w:position w:val="0"/>
      <w:sz w:val="20"/>
      <w:vertAlign w:val="superscript"/>
    </w:rPr>
  </w:style>
  <w:style w:type="character" w:customStyle="1" w:styleId="FootnoteReferenceNECG">
    <w:name w:val="Footnote Reference(NECG)"/>
    <w:rPr>
      <w:rFonts w:ascii="Times New Roman" w:hAnsi="Times New Roman"/>
      <w:strike w:val="0"/>
      <w:dstrike w:val="0"/>
      <w:color w:val="auto"/>
      <w:position w:val="0"/>
      <w:sz w:val="20"/>
      <w:vertAlign w:val="superscript"/>
    </w:rPr>
  </w:style>
  <w:style w:type="paragraph" w:styleId="FootnoteText">
    <w:name w:val="footnote text"/>
    <w:basedOn w:val="Normal"/>
    <w:rPr>
      <w:sz w:val="20"/>
    </w:rPr>
  </w:style>
  <w:style w:type="character" w:customStyle="1" w:styleId="FootnoteTextChar">
    <w:name w:val="Footnote Text Char"/>
    <w:rPr>
      <w:sz w:val="20"/>
    </w:rPr>
  </w:style>
  <w:style w:type="paragraph" w:customStyle="1" w:styleId="FootnoteTextFCC">
    <w:name w:val="Footnote Text FCC"/>
    <w:basedOn w:val="Normal"/>
    <w:rPr>
      <w:sz w:val="20"/>
    </w:rPr>
  </w:style>
  <w:style w:type="character" w:customStyle="1" w:styleId="Heading1Char">
    <w:name w:val="Heading 1 Char"/>
    <w:basedOn w:val="DefaultParagraphFont"/>
    <w:rPr>
      <w:b/>
      <w:caps/>
      <w:sz w:val="24"/>
    </w:rPr>
  </w:style>
  <w:style w:type="character" w:customStyle="1" w:styleId="Heading2Char">
    <w:name w:val="Heading 2 Char"/>
    <w:basedOn w:val="DefaultParagraphFont"/>
    <w:rPr>
      <w:b/>
    </w:rPr>
  </w:style>
  <w:style w:type="character" w:customStyle="1" w:styleId="Heading3Char">
    <w:name w:val="Heading 3 Char"/>
    <w:basedOn w:val="DefaultParagraphFont"/>
    <w:rPr>
      <w:b/>
    </w:rPr>
  </w:style>
  <w:style w:type="character" w:customStyle="1" w:styleId="Heading4Char">
    <w:name w:val="Heading 4 Char"/>
    <w:basedOn w:val="DefaultParagraphFont"/>
    <w:rPr>
      <w:b/>
    </w:rPr>
  </w:style>
  <w:style w:type="character" w:customStyle="1" w:styleId="Heading5Char">
    <w:name w:val="Heading 5 Char"/>
    <w:basedOn w:val="DefaultParagraphFont"/>
    <w:rPr>
      <w:b/>
    </w:rPr>
  </w:style>
  <w:style w:type="character" w:customStyle="1" w:styleId="Heading6Char">
    <w:name w:val="Heading 6 Char"/>
    <w:basedOn w:val="DefaultParagraphFont"/>
    <w:rPr>
      <w:b/>
    </w:rPr>
  </w:style>
  <w:style w:type="character" w:customStyle="1" w:styleId="Heading7Char">
    <w:name w:val="Heading 7 Char"/>
    <w:basedOn w:val="DefaultParagraphFont"/>
    <w:rPr>
      <w:b/>
    </w:rPr>
  </w:style>
  <w:style w:type="character" w:customStyle="1" w:styleId="Heading8Char">
    <w:name w:val="Heading 8 Char"/>
    <w:basedOn w:val="DefaultParagraphFont"/>
    <w:rPr>
      <w:b/>
    </w:rPr>
  </w:style>
  <w:style w:type="character" w:customStyle="1" w:styleId="Heading9Char">
    <w:name w:val="Heading 9 Char"/>
    <w:basedOn w:val="DefaultParagraphFont"/>
    <w:rPr>
      <w:b/>
    </w:rPr>
  </w:style>
  <w:style w:type="character" w:styleId="Hyperlink">
    <w:name w:val="Hyperlink"/>
    <w:rPr>
      <w:color w:val="0000FF"/>
      <w:u w:val="single"/>
    </w:rPr>
  </w:style>
  <w:style w:type="paragraph" w:customStyle="1" w:styleId="NormalTextIndent">
    <w:name w:val="Normal Text Indent"/>
    <w:basedOn w:val="Normal"/>
    <w:pPr>
      <w:spacing w:after="220"/>
      <w:ind w:firstLine="720"/>
    </w:pPr>
  </w:style>
  <w:style w:type="paragraph" w:customStyle="1" w:styleId="NIBullet">
    <w:name w:val="NI Bullet"/>
    <w:basedOn w:val="NormalTextIndent"/>
    <w:pPr>
      <w:spacing w:after="120"/>
      <w:jc w:val="both"/>
    </w:pPr>
  </w:style>
  <w:style w:type="paragraph" w:customStyle="1" w:styleId="NIBullet2">
    <w:name w:val="NI Bullet 2"/>
    <w:basedOn w:val="NIBullet"/>
  </w:style>
  <w:style w:type="paragraph" w:customStyle="1" w:styleId="NIBullet3">
    <w:name w:val="NI Bullet 3"/>
    <w:basedOn w:val="NIBullet"/>
  </w:style>
  <w:style w:type="paragraph" w:customStyle="1" w:styleId="NIBullet4">
    <w:name w:val="NI Bullet 4"/>
    <w:basedOn w:val="NIBullet"/>
  </w:style>
  <w:style w:type="paragraph" w:customStyle="1" w:styleId="NIBullet5">
    <w:name w:val="NI Bullet 5"/>
    <w:basedOn w:val="NIBullet4"/>
  </w:style>
  <w:style w:type="paragraph" w:customStyle="1" w:styleId="NIBullet6">
    <w:name w:val="NI Bullet 6"/>
    <w:basedOn w:val="NIBullet5"/>
  </w:style>
  <w:style w:type="paragraph" w:customStyle="1" w:styleId="NIBullet7">
    <w:name w:val="NI Bullet 7"/>
    <w:basedOn w:val="NIBullet6"/>
  </w:style>
  <w:style w:type="paragraph" w:customStyle="1" w:styleId="NIBullet8">
    <w:name w:val="NI Bullet 8"/>
    <w:basedOn w:val="NIBullet7"/>
  </w:style>
  <w:style w:type="paragraph" w:customStyle="1" w:styleId="NIBullet9">
    <w:name w:val="NI Bullet 9"/>
    <w:basedOn w:val="NIBullet8"/>
    <w:pPr>
      <w:numPr>
        <w:numId w:val="12"/>
      </w:numPr>
    </w:pPr>
  </w:style>
  <w:style w:type="paragraph" w:customStyle="1" w:styleId="NIList">
    <w:name w:val="NI List"/>
    <w:basedOn w:val="NormalIndent"/>
    <w:pPr>
      <w:jc w:val="both"/>
    </w:pPr>
  </w:style>
  <w:style w:type="paragraph" w:customStyle="1" w:styleId="NIList2">
    <w:name w:val="NI List 2"/>
    <w:basedOn w:val="NIList"/>
    <w:pPr>
      <w:tabs>
        <w:tab w:val="left" w:pos="360"/>
        <w:tab w:val="left" w:pos="810"/>
      </w:tabs>
    </w:pPr>
  </w:style>
  <w:style w:type="paragraph" w:customStyle="1" w:styleId="NIList3">
    <w:name w:val="NI List 3"/>
    <w:basedOn w:val="NIList"/>
  </w:style>
  <w:style w:type="paragraph" w:customStyle="1" w:styleId="NIList4">
    <w:name w:val="NI List 4"/>
    <w:basedOn w:val="NIList3"/>
  </w:style>
  <w:style w:type="paragraph" w:customStyle="1" w:styleId="NIList5">
    <w:name w:val="NI List 5"/>
    <w:basedOn w:val="NIList4"/>
  </w:style>
  <w:style w:type="paragraph" w:customStyle="1" w:styleId="NIList6">
    <w:name w:val="NI List 6"/>
    <w:basedOn w:val="NIList5"/>
  </w:style>
  <w:style w:type="paragraph" w:customStyle="1" w:styleId="NIList7">
    <w:name w:val="NI List 7"/>
    <w:basedOn w:val="NIList6"/>
  </w:style>
  <w:style w:type="paragraph" w:customStyle="1" w:styleId="NIList8">
    <w:name w:val="NI List 8"/>
    <w:basedOn w:val="NIList7"/>
  </w:style>
  <w:style w:type="paragraph" w:customStyle="1" w:styleId="NIList9">
    <w:name w:val="NI List 9"/>
    <w:basedOn w:val="NIList8"/>
    <w:pPr>
      <w:numPr>
        <w:numId w:val="13"/>
      </w:numPr>
    </w:pPr>
  </w:style>
  <w:style w:type="paragraph" w:customStyle="1" w:styleId="NormalBold">
    <w:name w:val="Normal Bold"/>
    <w:basedOn w:val="Normal"/>
    <w:next w:val="Normal"/>
    <w:rPr>
      <w:b/>
    </w:rPr>
  </w:style>
  <w:style w:type="paragraph" w:customStyle="1" w:styleId="NormalCenteredBold">
    <w:name w:val="Normal Centered Bold"/>
    <w:basedOn w:val="Normal"/>
    <w:next w:val="Normal"/>
    <w:pPr>
      <w:jc w:val="center"/>
    </w:pPr>
    <w:rPr>
      <w:b/>
    </w:rPr>
  </w:style>
  <w:style w:type="character" w:styleId="PageNumber">
    <w:name w:val="page number"/>
    <w:rPr>
      <w:rFonts w:ascii="Times New Roman" w:hAnsi="Times New Roman"/>
      <w:b w:val="0"/>
      <w:i w:val="0"/>
      <w:sz w:val="22"/>
    </w:rPr>
  </w:style>
  <w:style w:type="paragraph" w:customStyle="1" w:styleId="ParaText">
    <w:name w:val="Para Text"/>
    <w:basedOn w:val="Normal"/>
    <w:next w:val="Normal"/>
    <w:pPr>
      <w:ind w:left="720" w:right="720"/>
    </w:pPr>
  </w:style>
  <w:style w:type="paragraph" w:customStyle="1" w:styleId="ParaNum">
    <w:name w:val="ParaNum"/>
    <w:basedOn w:val="Normal"/>
  </w:style>
  <w:style w:type="character" w:customStyle="1" w:styleId="ParaNumChar">
    <w:name w:val="ParaNum Char"/>
    <w:rPr>
      <w:sz w:val="24"/>
    </w:rPr>
  </w:style>
  <w:style w:type="paragraph" w:customStyle="1" w:styleId="ParaNumBullet">
    <w:name w:val="ParaNum Bullet"/>
    <w:basedOn w:val="ParaNum"/>
  </w:style>
  <w:style w:type="paragraph" w:customStyle="1" w:styleId="ReferenceLine">
    <w:name w:val="Reference Line"/>
    <w:basedOn w:val="Normal"/>
    <w:next w:val="NormalIndent"/>
  </w:style>
  <w:style w:type="paragraph" w:customStyle="1" w:styleId="SeparateStatementHeading">
    <w:name w:val="Separate Statement Heading"/>
    <w:basedOn w:val="TitleCAPSCenteredBold"/>
    <w:next w:val="Normal"/>
  </w:style>
  <w:style w:type="paragraph" w:customStyle="1" w:styleId="SeparateStatementPosition">
    <w:name w:val="Separate Statement Position"/>
    <w:basedOn w:val="TitleCAPSCenteredBold"/>
    <w:next w:val="ReferenceLine"/>
    <w:pPr>
      <w:spacing w:after="120"/>
    </w:pPr>
  </w:style>
  <w:style w:type="paragraph" w:customStyle="1" w:styleId="Signature-AgencyName">
    <w:name w:val="Signature - Agency Name"/>
    <w:basedOn w:val="Normal"/>
    <w:pPr>
      <w:spacing w:after="0"/>
    </w:pPr>
    <w:rPr>
      <w:caps/>
    </w:rPr>
  </w:style>
  <w:style w:type="paragraph" w:customStyle="1" w:styleId="SignatureFCC">
    <w:name w:val="Signature FCC"/>
    <w:basedOn w:val="Normal"/>
    <w:next w:val="Normal"/>
    <w:pPr>
      <w:widowControl w:val="0"/>
      <w:ind w:left="4320"/>
    </w:pPr>
    <w:rPr>
      <w:caps/>
    </w:rPr>
  </w:style>
  <w:style w:type="paragraph" w:customStyle="1" w:styleId="SignatureLines">
    <w:name w:val="Signature Lines"/>
    <w:basedOn w:val="Normal"/>
    <w:pPr>
      <w:spacing w:after="0"/>
    </w:pPr>
  </w:style>
  <w:style w:type="paragraph" w:customStyle="1" w:styleId="Space6">
    <w:name w:val="Space 6"/>
    <w:basedOn w:val="Normal"/>
    <w:rPr>
      <w:sz w:val="12"/>
    </w:rPr>
  </w:style>
  <w:style w:type="paragraph" w:customStyle="1" w:styleId="TableFormat">
    <w:name w:val="TableFormat"/>
    <w:basedOn w:val="Normal"/>
    <w:pPr>
      <w:tabs>
        <w:tab w:val="left" w:pos="5040"/>
      </w:tabs>
      <w:spacing w:after="220"/>
      <w:ind w:left="5040" w:hanging="3600"/>
    </w:pPr>
  </w:style>
  <w:style w:type="paragraph" w:customStyle="1" w:styleId="TitleBold">
    <w:name w:val="Title Bold"/>
    <w:basedOn w:val="Normal"/>
    <w:next w:val="Normal"/>
    <w:pPr>
      <w:tabs>
        <w:tab w:val="left" w:pos="720"/>
        <w:tab w:val="right" w:pos="9360"/>
      </w:tabs>
    </w:pPr>
    <w:rPr>
      <w:b/>
      <w:spacing w:val="-2"/>
    </w:rPr>
  </w:style>
  <w:style w:type="paragraph" w:customStyle="1" w:styleId="TitleBoldRight">
    <w:name w:val="Title Bold Right"/>
    <w:basedOn w:val="Normal"/>
    <w:next w:val="Normal"/>
    <w:pPr>
      <w:tabs>
        <w:tab w:val="left" w:pos="720"/>
        <w:tab w:val="right" w:pos="9360"/>
      </w:tabs>
      <w:jc w:val="center"/>
    </w:pPr>
    <w:rPr>
      <w:b/>
      <w:spacing w:val="-2"/>
    </w:rPr>
  </w:style>
  <w:style w:type="paragraph" w:styleId="TOAHeading">
    <w:name w:val="toa heading"/>
    <w:basedOn w:val="Normal"/>
    <w:next w:val="Normal"/>
    <w:pPr>
      <w:tabs>
        <w:tab w:val="right" w:pos="9360"/>
      </w:tabs>
    </w:pPr>
  </w:style>
  <w:style w:type="paragraph" w:styleId="TOC1">
    <w:name w:val="toc 1"/>
    <w:basedOn w:val="Normal"/>
    <w:next w:val="Normal"/>
    <w:pPr>
      <w:tabs>
        <w:tab w:val="right" w:leader="dot" w:pos="9360"/>
      </w:tabs>
      <w:spacing w:after="0"/>
      <w:ind w:left="504" w:right="720" w:hanging="504"/>
    </w:pPr>
  </w:style>
  <w:style w:type="paragraph" w:styleId="TOC2">
    <w:name w:val="toc 2"/>
    <w:basedOn w:val="Normal"/>
    <w:next w:val="Normal"/>
    <w:pPr>
      <w:tabs>
        <w:tab w:val="right" w:leader="dot" w:pos="9360"/>
      </w:tabs>
      <w:spacing w:after="0"/>
      <w:ind w:left="1008" w:right="720" w:hanging="504"/>
    </w:pPr>
  </w:style>
  <w:style w:type="paragraph" w:styleId="TOC3">
    <w:name w:val="toc 3"/>
    <w:basedOn w:val="Normal"/>
    <w:next w:val="Normal"/>
    <w:pPr>
      <w:tabs>
        <w:tab w:val="right" w:leader="dot" w:pos="9360"/>
      </w:tabs>
      <w:spacing w:after="0"/>
      <w:ind w:left="1368" w:right="720" w:hanging="504"/>
    </w:pPr>
  </w:style>
  <w:style w:type="paragraph" w:styleId="TOC4">
    <w:name w:val="toc 4"/>
    <w:basedOn w:val="Normal"/>
    <w:next w:val="Normal"/>
    <w:autoRedefine/>
    <w:pPr>
      <w:tabs>
        <w:tab w:val="left" w:pos="1440"/>
        <w:tab w:val="right" w:leader="dot" w:pos="9360"/>
      </w:tabs>
      <w:ind w:left="1440" w:right="720" w:hanging="360"/>
    </w:pPr>
  </w:style>
  <w:style w:type="paragraph" w:styleId="TOC5">
    <w:name w:val="toc 5"/>
    <w:basedOn w:val="Normal"/>
    <w:next w:val="Normal"/>
    <w:autoRedefine/>
    <w:pPr>
      <w:tabs>
        <w:tab w:val="left" w:pos="1800"/>
        <w:tab w:val="right" w:leader="dot" w:pos="9360"/>
      </w:tabs>
      <w:ind w:left="1800" w:right="720" w:hanging="360"/>
    </w:pPr>
  </w:style>
  <w:style w:type="paragraph" w:styleId="TOC6">
    <w:name w:val="toc 6"/>
    <w:basedOn w:val="Normal"/>
    <w:next w:val="Normal"/>
    <w:autoRedefine/>
    <w:pPr>
      <w:tabs>
        <w:tab w:val="left" w:pos="2160"/>
        <w:tab w:val="right" w:leader="dot" w:pos="9360"/>
      </w:tabs>
      <w:ind w:left="2160" w:hanging="360"/>
    </w:pPr>
  </w:style>
  <w:style w:type="paragraph" w:styleId="TOC7">
    <w:name w:val="toc 7"/>
    <w:basedOn w:val="Normal"/>
    <w:next w:val="Normal"/>
    <w:autoRedefine/>
    <w:pPr>
      <w:tabs>
        <w:tab w:val="left" w:pos="2520"/>
        <w:tab w:val="right" w:leader="dot" w:pos="9360"/>
      </w:tabs>
      <w:ind w:left="2520" w:hanging="360"/>
    </w:pPr>
  </w:style>
  <w:style w:type="paragraph" w:styleId="TOC8">
    <w:name w:val="toc 8"/>
    <w:basedOn w:val="Normal"/>
    <w:next w:val="Normal"/>
    <w:autoRedefine/>
    <w:pPr>
      <w:tabs>
        <w:tab w:val="left" w:pos="2880"/>
        <w:tab w:val="right" w:leader="dot" w:pos="9360"/>
      </w:tabs>
      <w:ind w:left="2880" w:hanging="360"/>
    </w:pPr>
  </w:style>
  <w:style w:type="paragraph" w:styleId="TOC9">
    <w:name w:val="toc 9"/>
    <w:basedOn w:val="Normal"/>
    <w:next w:val="Normal"/>
    <w:autoRedefine/>
    <w:pPr>
      <w:tabs>
        <w:tab w:val="left" w:pos="3240"/>
        <w:tab w:val="right" w:leader="dot" w:pos="9360"/>
      </w:tabs>
      <w:ind w:left="3240" w:hanging="360"/>
    </w:pPr>
  </w:style>
  <w:style w:type="paragraph" w:customStyle="1" w:styleId="TOCAppendix">
    <w:name w:val="TOC Appendix"/>
    <w:basedOn w:val="Normal"/>
    <w:pPr>
      <w:widowControl w:val="0"/>
      <w:tabs>
        <w:tab w:val="center" w:pos="9270"/>
      </w:tabs>
    </w:pPr>
    <w:rPr>
      <w:spacing w:val="-2"/>
    </w:rPr>
  </w:style>
  <w:style w:type="paragraph" w:styleId="TOCHeading">
    <w:name w:val="TOC Heading"/>
    <w:basedOn w:val="Heading1"/>
    <w:next w:val="Normal"/>
    <w:pPr>
      <w:keepLines/>
      <w:spacing w:before="240" w:after="0" w:line="251" w:lineRule="auto"/>
    </w:pPr>
    <w:rPr>
      <w:rFonts w:eastAsia="Yu Gothic Light"/>
      <w:b w:val="0"/>
      <w:caps w:val="0"/>
      <w:color w:val="2E74B5"/>
      <w:sz w:val="32"/>
      <w:szCs w:val="32"/>
    </w:rPr>
  </w:style>
  <w:style w:type="paragraph" w:customStyle="1" w:styleId="TOCParaTitle">
    <w:name w:val="TOC Para Title"/>
    <w:basedOn w:val="Normal"/>
    <w:next w:val="Normal"/>
    <w:pPr>
      <w:widowControl w:val="0"/>
      <w:tabs>
        <w:tab w:val="center" w:pos="9270"/>
      </w:tabs>
      <w:spacing w:after="240"/>
    </w:pPr>
    <w:rPr>
      <w:spacing w:val="-2"/>
    </w:rPr>
  </w:style>
  <w:style w:type="paragraph" w:customStyle="1" w:styleId="TOCSubtitlePlain">
    <w:name w:val="TOC Subtitle Plain"/>
    <w:basedOn w:val="Normal"/>
    <w:next w:val="Normal"/>
    <w:pPr>
      <w:tabs>
        <w:tab w:val="center" w:pos="9270"/>
      </w:tabs>
    </w:pPr>
    <w:rPr>
      <w:spacing w:val="-2"/>
    </w:rPr>
  </w:style>
  <w:style w:type="paragraph" w:customStyle="1" w:styleId="TOCTitle">
    <w:name w:val="TOC Title"/>
    <w:basedOn w:val="TitleCAPSCenteredBold"/>
  </w:style>
  <w:style w:type="paragraph" w:customStyle="1" w:styleId="AppendixHeading1">
    <w:name w:val="Appendix Heading 1"/>
    <w:basedOn w:val="Heading2"/>
    <w:next w:val="Normal"/>
    <w:pPr>
      <w:numPr>
        <w:ilvl w:val="0"/>
        <w:numId w:val="4"/>
      </w:numPr>
    </w:pPr>
  </w:style>
  <w:style w:type="paragraph" w:customStyle="1" w:styleId="AppendixParaNum">
    <w:name w:val="Appendix ParaNum"/>
    <w:basedOn w:val="ParaNum"/>
    <w:pPr>
      <w:widowControl w:val="0"/>
    </w:pPr>
  </w:style>
  <w:style w:type="paragraph" w:customStyle="1" w:styleId="ParaNumBullet2">
    <w:name w:val="ParaNum Bullet 2"/>
    <w:basedOn w:val="ParaNumBullet"/>
  </w:style>
  <w:style w:type="paragraph" w:customStyle="1" w:styleId="ParaNumBullet3">
    <w:name w:val="ParaNum Bullet 3"/>
    <w:basedOn w:val="ParaNumBullet"/>
  </w:style>
  <w:style w:type="paragraph" w:customStyle="1" w:styleId="ParaNumBullet4">
    <w:name w:val="ParaNum Bullet 4"/>
    <w:basedOn w:val="ParaNumBullet"/>
  </w:style>
  <w:style w:type="paragraph" w:customStyle="1" w:styleId="ParaNumBullet5">
    <w:name w:val="ParaNum Bullet 5"/>
    <w:basedOn w:val="ParaNumBullet4"/>
  </w:style>
  <w:style w:type="paragraph" w:customStyle="1" w:styleId="ParaNumBullet6">
    <w:name w:val="ParaNum Bullet 6"/>
    <w:basedOn w:val="ParaNumBullet5"/>
  </w:style>
  <w:style w:type="paragraph" w:customStyle="1" w:styleId="ParaNumBullet7">
    <w:name w:val="ParaNum Bullet 7"/>
    <w:basedOn w:val="ParaNumBullet6"/>
  </w:style>
  <w:style w:type="paragraph" w:customStyle="1" w:styleId="ParaNumBullet8">
    <w:name w:val="ParaNum Bullet 8"/>
    <w:basedOn w:val="ParaNumBullet7"/>
  </w:style>
  <w:style w:type="paragraph" w:customStyle="1" w:styleId="ParaNumBullet9">
    <w:name w:val="ParaNum Bullet 9"/>
    <w:basedOn w:val="ParaNumBullet"/>
    <w:pPr>
      <w:numPr>
        <w:numId w:val="10"/>
      </w:numPr>
    </w:pPr>
  </w:style>
  <w:style w:type="paragraph" w:customStyle="1" w:styleId="ParaNumLevel2">
    <w:name w:val="ParaNum Level 2"/>
    <w:basedOn w:val="ParaNum"/>
  </w:style>
  <w:style w:type="paragraph" w:customStyle="1" w:styleId="ParaNumLevel3">
    <w:name w:val="ParaNum Level 3"/>
    <w:basedOn w:val="ParaNum"/>
  </w:style>
  <w:style w:type="paragraph" w:customStyle="1" w:styleId="ParaNumLevel4">
    <w:name w:val="ParaNum Level 4"/>
    <w:basedOn w:val="ParaNum"/>
  </w:style>
  <w:style w:type="paragraph" w:customStyle="1" w:styleId="ParaNumLevel5">
    <w:name w:val="ParaNum Level 5"/>
    <w:basedOn w:val="ParaNum"/>
  </w:style>
  <w:style w:type="paragraph" w:customStyle="1" w:styleId="ParaNumLevel6">
    <w:name w:val="ParaNum Level 6"/>
    <w:basedOn w:val="ParaNum"/>
  </w:style>
  <w:style w:type="paragraph" w:customStyle="1" w:styleId="ParaNumLevel7">
    <w:name w:val="ParaNum Level 7"/>
    <w:basedOn w:val="ParaNum"/>
  </w:style>
  <w:style w:type="paragraph" w:customStyle="1" w:styleId="ParaNumLevel8">
    <w:name w:val="ParaNum Level 8"/>
    <w:basedOn w:val="ParaNum"/>
  </w:style>
  <w:style w:type="paragraph" w:customStyle="1" w:styleId="ParaNumLevel9">
    <w:name w:val="ParaNum Level 9"/>
    <w:basedOn w:val="ParaNum"/>
    <w:pPr>
      <w:numPr>
        <w:numId w:val="7"/>
      </w:numPr>
    </w:pPr>
  </w:style>
  <w:style w:type="paragraph" w:customStyle="1" w:styleId="PN-Header">
    <w:name w:val="PN-Header"/>
    <w:pPr>
      <w:suppressAutoHyphens/>
    </w:pPr>
    <w:rPr>
      <w:rFonts w:ascii="Arial" w:eastAsia="Times New Roman" w:hAnsi="Arial"/>
      <w:b/>
      <w:kern w:val="3"/>
      <w:sz w:val="96"/>
    </w:rPr>
  </w:style>
  <w:style w:type="paragraph" w:customStyle="1" w:styleId="FCCAddress">
    <w:name w:val="FCC Address"/>
    <w:basedOn w:val="Normal"/>
    <w:pPr>
      <w:spacing w:after="0"/>
    </w:pPr>
    <w:rPr>
      <w:rFonts w:ascii="Arial" w:hAnsi="Arial" w:cs="Arial"/>
      <w:b/>
    </w:rPr>
  </w:style>
  <w:style w:type="character" w:customStyle="1" w:styleId="UnresolvedMention1">
    <w:name w:val="Unresolved Mention1"/>
    <w:basedOn w:val="DefaultParagraphFont"/>
    <w:rPr>
      <w:color w:val="605E5C"/>
      <w:shd w:val="clear" w:color="auto" w:fill="E1DFDD"/>
    </w:rPr>
  </w:style>
  <w:style w:type="paragraph" w:customStyle="1" w:styleId="FCCMedia">
    <w:name w:val="FCC Media"/>
    <w:basedOn w:val="FCCAddress"/>
    <w:pPr>
      <w:spacing w:before="60" w:after="60"/>
      <w:jc w:val="right"/>
    </w:pPr>
    <w:rPr>
      <w:sz w:val="16"/>
    </w:rPr>
  </w:style>
  <w:style w:type="paragraph" w:customStyle="1" w:styleId="PNReportNumber">
    <w:name w:val="PN Report Number"/>
    <w:basedOn w:val="Normal"/>
    <w:pPr>
      <w:spacing w:before="120"/>
    </w:pPr>
    <w:rPr>
      <w:b/>
      <w:szCs w:val="24"/>
    </w:rPr>
  </w:style>
  <w:style w:type="paragraph" w:customStyle="1" w:styleId="PNDA-Release">
    <w:name w:val="PN DA-Release"/>
    <w:basedOn w:val="PNReportNumber"/>
    <w:pPr>
      <w:spacing w:before="0" w:after="240"/>
      <w:jc w:val="right"/>
    </w:pPr>
  </w:style>
  <w:style w:type="paragraph" w:customStyle="1" w:styleId="PN-Title">
    <w:name w:val="PN-Title"/>
    <w:basedOn w:val="Normal"/>
    <w:pPr>
      <w:spacing w:after="240"/>
      <w:jc w:val="center"/>
    </w:pPr>
    <w:rPr>
      <w:b/>
      <w:caps/>
    </w:rPr>
  </w:style>
  <w:style w:type="paragraph" w:customStyle="1" w:styleId="PN-Subtitle">
    <w:name w:val="PN-Subtitle"/>
    <w:basedOn w:val="PN-Title"/>
    <w:rPr>
      <w:caps w:val="0"/>
    </w:rPr>
  </w:style>
  <w:style w:type="paragraph" w:customStyle="1" w:styleId="NormalCentered">
    <w:name w:val="Normal Centered"/>
    <w:basedOn w:val="Normal"/>
    <w:next w:val="Normal"/>
    <w:pPr>
      <w:spacing w:after="0"/>
      <w:jc w:val="center"/>
    </w:pPr>
  </w:style>
  <w:style w:type="paragraph" w:customStyle="1" w:styleId="AttachmentHeading1">
    <w:name w:val="Attachment Heading 1"/>
    <w:basedOn w:val="Normal"/>
    <w:next w:val="NormalCentered"/>
    <w:pPr>
      <w:spacing w:after="240"/>
      <w:jc w:val="center"/>
    </w:pPr>
    <w:rPr>
      <w:rFonts w:ascii="Times New Roman Bold" w:hAnsi="Times New Roman Bold"/>
      <w:b/>
      <w:caps/>
    </w:rPr>
  </w:style>
  <w:style w:type="paragraph" w:customStyle="1" w:styleId="AttachmentSubtitle">
    <w:name w:val="Attachment Subtitle"/>
    <w:basedOn w:val="AttachmentHeading1"/>
    <w:next w:val="Normal"/>
    <w:rPr>
      <w:caps w:val="0"/>
    </w:rPr>
  </w:style>
  <w:style w:type="paragraph" w:customStyle="1" w:styleId="PN-TOCTitle">
    <w:name w:val="PN-TOC Title"/>
    <w:basedOn w:val="NormalCentered"/>
    <w:next w:val="Normal"/>
    <w:rPr>
      <w:b/>
      <w:caps/>
    </w:rPr>
  </w:style>
  <w:style w:type="paragraph" w:styleId="BlockText">
    <w:name w:val="Block Text"/>
    <w:basedOn w:val="Normal"/>
    <w:pPr>
      <w:pBdr>
        <w:top w:val="single" w:sz="2" w:space="10" w:color="5B9BD5"/>
        <w:left w:val="single" w:sz="2" w:space="10" w:color="5B9BD5"/>
        <w:bottom w:val="single" w:sz="2" w:space="10" w:color="5B9BD5"/>
        <w:right w:val="single" w:sz="2" w:space="10" w:color="5B9BD5"/>
      </w:pBdr>
      <w:ind w:left="1152" w:right="1152"/>
    </w:pPr>
    <w:rPr>
      <w:rFonts w:eastAsia="Yu Mincho" w:cs="Arial"/>
      <w:i/>
      <w:iCs/>
      <w:color w:val="5B9BD5"/>
    </w:rPr>
  </w:style>
  <w:style w:type="paragraph" w:styleId="EnvelopeAddress">
    <w:name w:val="envelope address"/>
    <w:basedOn w:val="Normal"/>
    <w:pPr>
      <w:spacing w:after="0"/>
      <w:ind w:left="2880"/>
    </w:pPr>
    <w:rPr>
      <w:rFonts w:eastAsia="Yu Gothic Light"/>
      <w:szCs w:val="24"/>
    </w:rPr>
  </w:style>
  <w:style w:type="paragraph" w:styleId="EnvelopeReturn">
    <w:name w:val="envelope return"/>
    <w:basedOn w:val="Normal"/>
    <w:pPr>
      <w:spacing w:after="0"/>
    </w:pPr>
    <w:rPr>
      <w:rFonts w:eastAsia="Yu Gothic Light"/>
      <w:sz w:val="20"/>
      <w:szCs w:val="20"/>
    </w:rPr>
  </w:style>
  <w:style w:type="character" w:styleId="HTMLCode">
    <w:name w:val="HTML Code"/>
    <w:basedOn w:val="DefaultParagraphFont"/>
    <w:rPr>
      <w:rFonts w:ascii="Times New Roman" w:hAnsi="Times New Roman"/>
      <w:sz w:val="20"/>
      <w:szCs w:val="20"/>
    </w:rPr>
  </w:style>
  <w:style w:type="character" w:styleId="HTMLKeyboard">
    <w:name w:val="HTML Keyboard"/>
    <w:basedOn w:val="DefaultParagraphFont"/>
    <w:rPr>
      <w:rFonts w:ascii="Times New Roman" w:hAnsi="Times New Roman"/>
      <w:sz w:val="20"/>
      <w:szCs w:val="20"/>
    </w:rPr>
  </w:style>
  <w:style w:type="paragraph" w:styleId="HTMLPreformatted">
    <w:name w:val="HTML Preformatted"/>
    <w:basedOn w:val="Normal"/>
    <w:pPr>
      <w:spacing w:after="0"/>
    </w:pPr>
    <w:rPr>
      <w:sz w:val="20"/>
      <w:szCs w:val="20"/>
    </w:rPr>
  </w:style>
  <w:style w:type="character" w:customStyle="1" w:styleId="HTMLPreformattedChar">
    <w:name w:val="HTML Preformatted Char"/>
    <w:basedOn w:val="DefaultParagraphFont"/>
    <w:rPr>
      <w:sz w:val="20"/>
      <w:szCs w:val="20"/>
    </w:rPr>
  </w:style>
  <w:style w:type="character" w:styleId="HTMLSample">
    <w:name w:val="HTML Sample"/>
    <w:basedOn w:val="DefaultParagraphFont"/>
    <w:rPr>
      <w:rFonts w:ascii="Times New Roman" w:hAnsi="Times New Roman"/>
      <w:sz w:val="24"/>
      <w:szCs w:val="24"/>
    </w:rPr>
  </w:style>
  <w:style w:type="character" w:styleId="HTMLTypewriter">
    <w:name w:val="HTML Typewriter"/>
    <w:basedOn w:val="DefaultParagraphFont"/>
    <w:rPr>
      <w:rFonts w:ascii="Times New Roman" w:hAnsi="Times New Roman"/>
      <w:sz w:val="20"/>
      <w:szCs w:val="20"/>
    </w:rPr>
  </w:style>
  <w:style w:type="paragraph" w:styleId="Index1">
    <w:name w:val="index 1"/>
    <w:basedOn w:val="Normal"/>
    <w:next w:val="Normal"/>
    <w:autoRedefine/>
    <w:pPr>
      <w:spacing w:after="0"/>
      <w:ind w:left="220" w:hanging="220"/>
    </w:pPr>
  </w:style>
  <w:style w:type="paragraph" w:styleId="IndexHeading">
    <w:name w:val="index heading"/>
    <w:basedOn w:val="Normal"/>
    <w:next w:val="Index1"/>
    <w:rPr>
      <w:rFonts w:eastAsia="Yu Gothic Light"/>
      <w:b/>
      <w:bCs/>
    </w:rPr>
  </w:style>
  <w:style w:type="paragraph" w:styleId="Macro">
    <w:name w:val="macro"/>
    <w:pPr>
      <w:tabs>
        <w:tab w:val="left" w:pos="480"/>
        <w:tab w:val="left" w:pos="960"/>
        <w:tab w:val="left" w:pos="1440"/>
        <w:tab w:val="left" w:pos="1920"/>
        <w:tab w:val="left" w:pos="2400"/>
        <w:tab w:val="left" w:pos="2880"/>
        <w:tab w:val="left" w:pos="3360"/>
        <w:tab w:val="left" w:pos="3840"/>
        <w:tab w:val="left" w:pos="4320"/>
      </w:tabs>
      <w:suppressAutoHyphens/>
    </w:pPr>
    <w:rPr>
      <w:sz w:val="20"/>
      <w:szCs w:val="20"/>
    </w:rPr>
  </w:style>
  <w:style w:type="character" w:customStyle="1" w:styleId="MacroTextChar">
    <w:name w:val="Macro Text Char"/>
    <w:basedOn w:val="DefaultParagraphFont"/>
    <w:rPr>
      <w:sz w:val="20"/>
      <w:szCs w:val="2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ind w:left="1080" w:hanging="1080"/>
    </w:pPr>
    <w:rPr>
      <w:rFonts w:eastAsia="Yu Gothic Light"/>
      <w:szCs w:val="24"/>
    </w:rPr>
  </w:style>
  <w:style w:type="character" w:customStyle="1" w:styleId="MessageHeaderChar">
    <w:name w:val="Message Header Char"/>
    <w:basedOn w:val="DefaultParagraphFont"/>
    <w:rPr>
      <w:rFonts w:eastAsia="Yu Gothic Light" w:cs="Times New Roman"/>
      <w:sz w:val="24"/>
      <w:szCs w:val="24"/>
      <w:shd w:val="clear" w:color="auto" w:fill="auto"/>
    </w:rPr>
  </w:style>
  <w:style w:type="paragraph" w:styleId="PlainText">
    <w:name w:val="Plain Text"/>
    <w:basedOn w:val="Normal"/>
    <w:pPr>
      <w:spacing w:after="0"/>
    </w:pPr>
    <w:rPr>
      <w:sz w:val="21"/>
      <w:szCs w:val="21"/>
    </w:rPr>
  </w:style>
  <w:style w:type="character" w:customStyle="1" w:styleId="PlainTextChar">
    <w:name w:val="Plain Text Char"/>
    <w:basedOn w:val="DefaultParagraphFont"/>
    <w:rPr>
      <w:sz w:val="21"/>
      <w:szCs w:val="21"/>
    </w:rPr>
  </w:style>
  <w:style w:type="paragraph" w:styleId="Subtitle">
    <w:name w:val="Subtitle"/>
    <w:basedOn w:val="Normal"/>
    <w:next w:val="Normal"/>
    <w:uiPriority w:val="11"/>
    <w:qFormat/>
    <w:pPr>
      <w:spacing w:after="160"/>
    </w:pPr>
    <w:rPr>
      <w:rFonts w:eastAsia="Yu Mincho" w:cs="Arial"/>
      <w:spacing w:val="15"/>
    </w:rPr>
  </w:style>
  <w:style w:type="character" w:customStyle="1" w:styleId="SubtitleChar">
    <w:name w:val="Subtitle Char"/>
    <w:basedOn w:val="DefaultParagraphFont"/>
    <w:rPr>
      <w:rFonts w:eastAsia="Yu Mincho" w:cs="Arial"/>
      <w:spacing w:val="15"/>
    </w:rPr>
  </w:style>
  <w:style w:type="paragraph" w:styleId="Title">
    <w:name w:val="Title"/>
    <w:basedOn w:val="Normal"/>
    <w:next w:val="Normal"/>
    <w:uiPriority w:val="10"/>
    <w:qFormat/>
    <w:pPr>
      <w:spacing w:after="0"/>
    </w:pPr>
    <w:rPr>
      <w:rFonts w:eastAsia="Yu Gothic Light"/>
      <w:spacing w:val="-10"/>
      <w:kern w:val="3"/>
      <w:sz w:val="56"/>
      <w:szCs w:val="56"/>
    </w:rPr>
  </w:style>
  <w:style w:type="character" w:customStyle="1" w:styleId="TitleChar">
    <w:name w:val="Title Char"/>
    <w:basedOn w:val="DefaultParagraphFont"/>
    <w:rPr>
      <w:rFonts w:eastAsia="Yu Gothic Light" w:cs="Times New Roman"/>
      <w:spacing w:val="-10"/>
      <w:kern w:val="3"/>
      <w:sz w:val="56"/>
      <w:szCs w:val="56"/>
    </w:rPr>
  </w:style>
  <w:style w:type="paragraph" w:styleId="ListParagraph">
    <w:name w:val="List Paragraph"/>
    <w:basedOn w:val="Normal"/>
    <w:pPr>
      <w:ind w:left="720"/>
    </w:pPr>
  </w:style>
  <w:style w:type="paragraph" w:customStyle="1" w:styleId="PN-DANumber">
    <w:name w:val="PN-DA Number"/>
    <w:basedOn w:val="PNDA-Release"/>
    <w:pPr>
      <w:spacing w:after="0"/>
    </w:pPr>
  </w:style>
  <w:style w:type="paragraph" w:customStyle="1" w:styleId="Template-About">
    <w:name w:val="Template - About"/>
    <w:basedOn w:val="PN-Title"/>
    <w:rPr>
      <w:rFonts w:ascii="Times New Roman Bold" w:hAnsi="Times New Roman Bold"/>
      <w:caps w:val="0"/>
      <w:u w:val="single"/>
    </w:rPr>
  </w:style>
  <w:style w:type="paragraph" w:customStyle="1" w:styleId="AttachmentParaNum">
    <w:name w:val="Attachment ParaNum"/>
    <w:basedOn w:val="AppendixParaNum"/>
    <w:pPr>
      <w:numPr>
        <w:numId w:val="9"/>
      </w:numPr>
    </w:pPr>
  </w:style>
  <w:style w:type="paragraph" w:customStyle="1" w:styleId="HeadingNon-Numbered">
    <w:name w:val="Heading (Non-Numbered)"/>
    <w:basedOn w:val="Normal"/>
    <w:next w:val="NormalIndent"/>
    <w:pPr>
      <w:keepNext/>
    </w:pPr>
    <w:rPr>
      <w:rFonts w:ascii="Times New Roman Bold" w:hAnsi="Times New Roman Bold"/>
      <w:b/>
      <w:u w:val="single"/>
    </w:rPr>
  </w:style>
  <w:style w:type="paragraph" w:customStyle="1" w:styleId="SubheadingNon-Numbered">
    <w:name w:val="Subheading (Non-Numbered)"/>
    <w:basedOn w:val="HeadingNon-Numbered"/>
    <w:rPr>
      <w:u w:val="none"/>
    </w:rPr>
  </w:style>
  <w:style w:type="paragraph" w:customStyle="1" w:styleId="FCCTagLine">
    <w:name w:val="FCC Tag Line"/>
    <w:basedOn w:val="PN-Subtitle"/>
  </w:style>
  <w:style w:type="paragraph" w:customStyle="1" w:styleId="Bullet">
    <w:name w:val="Bullet"/>
    <w:basedOn w:val="Normal"/>
    <w:pPr>
      <w:widowControl w:val="0"/>
      <w:numPr>
        <w:numId w:val="14"/>
      </w:numPr>
      <w:tabs>
        <w:tab w:val="left" w:pos="1080"/>
      </w:tabs>
      <w:spacing w:after="220"/>
    </w:pPr>
    <w:rPr>
      <w:rFonts w:eastAsia="Times New Roman"/>
      <w:kern w:val="3"/>
      <w:sz w:val="22"/>
      <w:szCs w:val="20"/>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pPr>
    <w:rPr>
      <w:sz w:val="24"/>
    </w:rPr>
  </w:style>
  <w:style w:type="character" w:styleId="Mention">
    <w:name w:val="Mention"/>
    <w:basedOn w:val="DefaultParagraphFont"/>
    <w:rPr>
      <w:color w:val="2B579A"/>
      <w:shd w:val="clear" w:color="auto" w:fill="E1DFDD"/>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Appendices">
    <w:name w:val="Appendices"/>
    <w:basedOn w:val="NoList"/>
    <w:pPr>
      <w:numPr>
        <w:numId w:val="4"/>
      </w:numPr>
    </w:pPr>
  </w:style>
  <w:style w:type="numbering" w:customStyle="1" w:styleId="Style1">
    <w:name w:val="Style1"/>
    <w:basedOn w:val="NoList"/>
    <w:pPr>
      <w:numPr>
        <w:numId w:val="5"/>
      </w:numPr>
    </w:pPr>
  </w:style>
  <w:style w:type="numbering" w:customStyle="1" w:styleId="Style2">
    <w:name w:val="Style2"/>
    <w:basedOn w:val="NoList"/>
    <w:pPr>
      <w:numPr>
        <w:numId w:val="6"/>
      </w:numPr>
    </w:pPr>
  </w:style>
  <w:style w:type="numbering" w:customStyle="1" w:styleId="PNOrderedList">
    <w:name w:val="PN Ordered List"/>
    <w:basedOn w:val="NoList"/>
    <w:pPr>
      <w:numPr>
        <w:numId w:val="7"/>
      </w:numPr>
    </w:pPr>
  </w:style>
  <w:style w:type="numbering" w:customStyle="1" w:styleId="AttachmentList">
    <w:name w:val="Attachment List"/>
    <w:basedOn w:val="NoList"/>
    <w:pPr>
      <w:numPr>
        <w:numId w:val="8"/>
      </w:numPr>
    </w:pPr>
  </w:style>
  <w:style w:type="numbering" w:customStyle="1" w:styleId="LFO2">
    <w:name w:val="LFO2"/>
    <w:basedOn w:val="NoList"/>
    <w:pPr>
      <w:numPr>
        <w:numId w:val="9"/>
      </w:numPr>
    </w:pPr>
  </w:style>
  <w:style w:type="numbering" w:customStyle="1" w:styleId="LFO6">
    <w:name w:val="LFO6"/>
    <w:basedOn w:val="NoList"/>
    <w:pPr>
      <w:numPr>
        <w:numId w:val="10"/>
      </w:numPr>
    </w:pPr>
  </w:style>
  <w:style w:type="numbering" w:customStyle="1" w:styleId="LFO10">
    <w:name w:val="LFO10"/>
    <w:basedOn w:val="NoList"/>
    <w:pPr>
      <w:numPr>
        <w:numId w:val="11"/>
      </w:numPr>
    </w:pPr>
  </w:style>
  <w:style w:type="numbering" w:customStyle="1" w:styleId="LFO17">
    <w:name w:val="LFO17"/>
    <w:basedOn w:val="NoList"/>
    <w:pPr>
      <w:numPr>
        <w:numId w:val="12"/>
      </w:numPr>
    </w:pPr>
  </w:style>
  <w:style w:type="numbering" w:customStyle="1" w:styleId="LFO18">
    <w:name w:val="LFO18"/>
    <w:basedOn w:val="NoList"/>
    <w:pPr>
      <w:numPr>
        <w:numId w:val="13"/>
      </w:numPr>
    </w:pPr>
  </w:style>
  <w:style w:type="numbering" w:customStyle="1" w:styleId="LFO39">
    <w:name w:val="LFO39"/>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hyperlink" Target="http://www.fcc.gov" TargetMode="External" /><Relationship Id="rId7" Type="http://schemas.openxmlformats.org/officeDocument/2006/relationships/hyperlink" Target="mailto:fcc504@fcc.gov" TargetMode="External" /><Relationship Id="rId8" Type="http://schemas.openxmlformats.org/officeDocument/2006/relationships/hyperlink" Target="mailto:NDBEDP@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A-25-969A1.pdf" TargetMode="External" /><Relationship Id="rId2" Type="http://schemas.openxmlformats.org/officeDocument/2006/relationships/hyperlink" Target="https://docs.fcc.gov/public/attachments/DA-22-541A1.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