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4.11.0 -->
  <w:body>
    <w:p w:rsidR="00BA3BA8" w14:paraId="3B47B303" w14:textId="77777777">
      <w:pPr>
        <w:jc w:val="right"/>
        <w:rPr>
          <w:sz w:val="24"/>
        </w:rPr>
      </w:pPr>
    </w:p>
    <w:p w:rsidR="00BA3BA8" w:rsidRPr="00DB3CBC" w14:paraId="48AB3E20" w14:textId="31913D34">
      <w:pPr>
        <w:jc w:val="right"/>
        <w:rPr>
          <w:b/>
          <w:szCs w:val="22"/>
        </w:rPr>
      </w:pPr>
      <w:r w:rsidRPr="00DB3CBC">
        <w:rPr>
          <w:b/>
          <w:szCs w:val="22"/>
        </w:rPr>
        <w:t>DA 2</w:t>
      </w:r>
      <w:r w:rsidRPr="00DB3CBC" w:rsidR="00657C02">
        <w:rPr>
          <w:b/>
          <w:szCs w:val="22"/>
        </w:rPr>
        <w:t>5</w:t>
      </w:r>
      <w:r w:rsidRPr="00DB3CBC">
        <w:rPr>
          <w:b/>
          <w:szCs w:val="22"/>
        </w:rPr>
        <w:t>-</w:t>
      </w:r>
      <w:r w:rsidR="00C459BC">
        <w:rPr>
          <w:b/>
          <w:szCs w:val="22"/>
        </w:rPr>
        <w:t>1074</w:t>
      </w:r>
    </w:p>
    <w:p w:rsidR="00BA3BA8" w:rsidRPr="00DB3CBC" w:rsidP="007B22DE" w14:paraId="6C7B28C4" w14:textId="4721AC74">
      <w:pPr>
        <w:spacing w:before="60"/>
        <w:jc w:val="right"/>
        <w:rPr>
          <w:b/>
          <w:szCs w:val="22"/>
        </w:rPr>
      </w:pPr>
      <w:r w:rsidRPr="00DB3CBC">
        <w:rPr>
          <w:b/>
          <w:szCs w:val="22"/>
        </w:rPr>
        <w:t xml:space="preserve">Released: </w:t>
      </w:r>
      <w:r w:rsidR="001743A0">
        <w:rPr>
          <w:b/>
          <w:szCs w:val="22"/>
        </w:rPr>
        <w:t xml:space="preserve"> </w:t>
      </w:r>
      <w:r w:rsidR="00636D8B">
        <w:rPr>
          <w:b/>
          <w:szCs w:val="22"/>
        </w:rPr>
        <w:t>December</w:t>
      </w:r>
      <w:r w:rsidR="001743A0">
        <w:rPr>
          <w:b/>
          <w:szCs w:val="22"/>
        </w:rPr>
        <w:t xml:space="preserve"> </w:t>
      </w:r>
      <w:r w:rsidR="00C459BC">
        <w:rPr>
          <w:b/>
          <w:szCs w:val="22"/>
        </w:rPr>
        <w:t>17</w:t>
      </w:r>
      <w:r w:rsidR="001743A0">
        <w:rPr>
          <w:b/>
          <w:szCs w:val="22"/>
        </w:rPr>
        <w:t>, 2025</w:t>
      </w:r>
    </w:p>
    <w:p w:rsidR="00881759" w:rsidP="00881759" w14:paraId="4BD7CA8F" w14:textId="77777777">
      <w:pPr>
        <w:jc w:val="center"/>
        <w:rPr>
          <w:b/>
          <w:bCs/>
          <w:szCs w:val="22"/>
        </w:rPr>
      </w:pPr>
      <w:bookmarkStart w:id="0" w:name="_Hlk166229554"/>
    </w:p>
    <w:p w:rsidR="00B50D5E" w:rsidP="00B50D5E" w14:paraId="082F4EA3" w14:textId="239A92F6">
      <w:pPr>
        <w:jc w:val="center"/>
        <w:rPr>
          <w:b/>
          <w:bCs/>
          <w:szCs w:val="22"/>
        </w:rPr>
      </w:pPr>
      <w:r w:rsidRPr="00DB3CBC">
        <w:rPr>
          <w:b/>
          <w:bCs/>
          <w:szCs w:val="22"/>
        </w:rPr>
        <w:t xml:space="preserve">DOMESTIC </w:t>
      </w:r>
      <w:r w:rsidRPr="00DB3CBC">
        <w:rPr>
          <w:b/>
          <w:bCs/>
          <w:caps/>
          <w:szCs w:val="22"/>
        </w:rPr>
        <w:t>SECTION</w:t>
      </w:r>
      <w:r w:rsidRPr="00DB3CBC">
        <w:rPr>
          <w:b/>
          <w:bCs/>
          <w:szCs w:val="22"/>
        </w:rPr>
        <w:t xml:space="preserve"> 214 APPLICATION </w:t>
      </w:r>
      <w:r w:rsidR="00D318AF">
        <w:rPr>
          <w:b/>
          <w:bCs/>
          <w:szCs w:val="22"/>
        </w:rPr>
        <w:t>GRANTED</w:t>
      </w:r>
      <w:r w:rsidRPr="00DB3CBC">
        <w:rPr>
          <w:b/>
          <w:bCs/>
          <w:szCs w:val="22"/>
        </w:rPr>
        <w:t xml:space="preserve"> FOR THE TRANSFER OF CONTROL </w:t>
      </w:r>
      <w:r w:rsidR="00FF1414">
        <w:rPr>
          <w:b/>
          <w:bCs/>
          <w:szCs w:val="22"/>
        </w:rPr>
        <w:t xml:space="preserve">OF </w:t>
      </w:r>
      <w:r w:rsidRPr="00C23974">
        <w:rPr>
          <w:b/>
          <w:bCs/>
          <w:szCs w:val="22"/>
        </w:rPr>
        <w:t xml:space="preserve">OKLAHOMA COMMUNICATION SYSTEMS, LLC AND MID-AMERICA TELEPHONE, </w:t>
      </w:r>
      <w:r>
        <w:rPr>
          <w:b/>
          <w:bCs/>
          <w:szCs w:val="22"/>
        </w:rPr>
        <w:t xml:space="preserve">LLC </w:t>
      </w:r>
      <w:r w:rsidRPr="00C23974">
        <w:rPr>
          <w:b/>
          <w:bCs/>
          <w:szCs w:val="22"/>
        </w:rPr>
        <w:t>FROM TDS TELECOM</w:t>
      </w:r>
      <w:r>
        <w:rPr>
          <w:b/>
          <w:bCs/>
          <w:szCs w:val="22"/>
        </w:rPr>
        <w:t>MUNICATIONS, LLC</w:t>
      </w:r>
      <w:r w:rsidRPr="00C23974">
        <w:rPr>
          <w:b/>
          <w:bCs/>
          <w:szCs w:val="22"/>
        </w:rPr>
        <w:t xml:space="preserve"> TO </w:t>
      </w:r>
    </w:p>
    <w:p w:rsidR="00881759" w:rsidP="00B50D5E" w14:paraId="3082A465" w14:textId="0688481C">
      <w:pPr>
        <w:jc w:val="center"/>
        <w:rPr>
          <w:b/>
          <w:bCs/>
          <w:szCs w:val="22"/>
        </w:rPr>
      </w:pPr>
      <w:r w:rsidRPr="00C23974">
        <w:rPr>
          <w:b/>
          <w:bCs/>
          <w:szCs w:val="22"/>
        </w:rPr>
        <w:t>HILLIARY</w:t>
      </w:r>
      <w:r>
        <w:rPr>
          <w:b/>
          <w:bCs/>
          <w:szCs w:val="22"/>
        </w:rPr>
        <w:t xml:space="preserve"> ACQUISITION OKLAHOMA II, LLC</w:t>
      </w:r>
      <w:r w:rsidRPr="00DB3CBC">
        <w:rPr>
          <w:b/>
          <w:bCs/>
          <w:szCs w:val="22"/>
        </w:rPr>
        <w:t xml:space="preserve"> </w:t>
      </w:r>
      <w:bookmarkEnd w:id="0"/>
    </w:p>
    <w:p w:rsidR="00F723A8" w:rsidRPr="00F723A8" w:rsidP="001F2FCF" w14:paraId="5967CDF2" w14:textId="75323752">
      <w:pPr>
        <w:tabs>
          <w:tab w:val="left" w:pos="5826"/>
        </w:tabs>
        <w:rPr>
          <w:b/>
          <w:bCs/>
          <w:szCs w:val="22"/>
        </w:rPr>
      </w:pPr>
      <w:r>
        <w:rPr>
          <w:b/>
          <w:bCs/>
          <w:szCs w:val="22"/>
        </w:rPr>
        <w:tab/>
      </w:r>
    </w:p>
    <w:p w:rsidR="00BA3BA8" w:rsidRPr="00DB3CBC" w14:paraId="7E54A00A" w14:textId="4A0FE249">
      <w:pPr>
        <w:jc w:val="center"/>
        <w:rPr>
          <w:b/>
          <w:szCs w:val="22"/>
        </w:rPr>
      </w:pPr>
      <w:r w:rsidRPr="00DB3CBC">
        <w:rPr>
          <w:b/>
          <w:szCs w:val="22"/>
        </w:rPr>
        <w:t>WC Docket No. 2</w:t>
      </w:r>
      <w:r w:rsidR="00D3124A">
        <w:rPr>
          <w:b/>
          <w:szCs w:val="22"/>
        </w:rPr>
        <w:t>5</w:t>
      </w:r>
      <w:r w:rsidR="00E37BFA">
        <w:rPr>
          <w:b/>
          <w:szCs w:val="22"/>
        </w:rPr>
        <w:t>-</w:t>
      </w:r>
      <w:r w:rsidR="00B50D5E">
        <w:rPr>
          <w:b/>
          <w:szCs w:val="22"/>
        </w:rPr>
        <w:t>232</w:t>
      </w:r>
    </w:p>
    <w:p w:rsidR="00881759" w:rsidRPr="00AD440B" w:rsidP="00881759" w14:paraId="2F202ECD" w14:textId="77777777">
      <w:pPr>
        <w:rPr>
          <w:b/>
          <w:szCs w:val="22"/>
        </w:rPr>
      </w:pPr>
      <w:bookmarkStart w:id="1" w:name="TOChere"/>
    </w:p>
    <w:p w:rsidR="007B1374" w:rsidP="007B1374" w14:paraId="15F0A419" w14:textId="146ADD1E">
      <w:pPr>
        <w:autoSpaceDE w:val="0"/>
        <w:autoSpaceDN w:val="0"/>
        <w:adjustRightInd w:val="0"/>
        <w:spacing w:after="120"/>
        <w:ind w:firstLine="720"/>
      </w:pPr>
      <w:r w:rsidRPr="52D3F29C">
        <w:t xml:space="preserve">By this Public Notice, the Wireline Competition Bureau </w:t>
      </w:r>
      <w:r w:rsidR="00854013">
        <w:t xml:space="preserve">(Bureau) </w:t>
      </w:r>
      <w:r>
        <w:t>grants an application</w:t>
      </w:r>
      <w:r w:rsidRPr="52D3F29C">
        <w:t xml:space="preserve"> filed by </w:t>
      </w:r>
      <w:bookmarkStart w:id="2" w:name="_Hlk203567734"/>
      <w:r w:rsidRPr="00F34BF3">
        <w:t xml:space="preserve">TDS Telecommunications, LLC (TDS Telecom) and </w:t>
      </w:r>
      <w:r w:rsidRPr="00090276">
        <w:t>Hilliary Acquisition Oklahoma II, LLC</w:t>
      </w:r>
      <w:bookmarkEnd w:id="2"/>
      <w:r w:rsidRPr="00090276">
        <w:t xml:space="preserve"> (Hilliary</w:t>
      </w:r>
      <w:r w:rsidRPr="00F34BF3">
        <w:t>) (collectively, Applicants</w:t>
      </w:r>
      <w:r>
        <w:rPr>
          <w:szCs w:val="22"/>
        </w:rPr>
        <w:t>),</w:t>
      </w:r>
      <w:r w:rsidRPr="52D3F29C">
        <w:t xml:space="preserve"> pursuant to section 214(a) of the Communications Act of 1934, as amended, and section 63.04 of the Commission’s rules,</w:t>
      </w:r>
      <w:r>
        <w:rPr>
          <w:rStyle w:val="FootnoteReference"/>
        </w:rPr>
        <w:footnoteReference w:id="3"/>
      </w:r>
      <w:r w:rsidRPr="00523F87">
        <w:rPr>
          <w:szCs w:val="22"/>
        </w:rPr>
        <w:t xml:space="preserve"> </w:t>
      </w:r>
      <w:r w:rsidRPr="00CD4597">
        <w:t xml:space="preserve">requesting Commission consent to transfer control of </w:t>
      </w:r>
      <w:bookmarkStart w:id="3" w:name="_Hlk203567988"/>
      <w:r>
        <w:t>Oklahoma Communication Systems, LLC (Oklahoma Communications) and Mid-America Telephone, LLC (</w:t>
      </w:r>
      <w:bookmarkStart w:id="4" w:name="_Hlk203569045"/>
      <w:r>
        <w:t>Mid-America Telephone</w:t>
      </w:r>
      <w:bookmarkEnd w:id="4"/>
      <w:r>
        <w:t>) (together, Licensees) from TDS Telecom to Hilliary</w:t>
      </w:r>
      <w:bookmarkEnd w:id="3"/>
      <w:r w:rsidRPr="00CD4597">
        <w:t>.</w:t>
      </w:r>
      <w:r>
        <w:rPr>
          <w:vertAlign w:val="superscript"/>
        </w:rPr>
        <w:footnoteReference w:id="4"/>
      </w:r>
      <w:r w:rsidRPr="00CD4597">
        <w:t xml:space="preserve">  </w:t>
      </w:r>
      <w:r>
        <w:t xml:space="preserve">  </w:t>
      </w:r>
    </w:p>
    <w:p w:rsidR="009D3619" w:rsidP="009D3619" w14:paraId="63354D81" w14:textId="045B9952">
      <w:pPr>
        <w:autoSpaceDE w:val="0"/>
        <w:autoSpaceDN w:val="0"/>
        <w:adjustRightInd w:val="0"/>
        <w:spacing w:after="120"/>
        <w:ind w:firstLine="720"/>
      </w:pPr>
      <w:r w:rsidRPr="009D3619">
        <w:t>On A</w:t>
      </w:r>
      <w:r w:rsidR="00B87EE5">
        <w:t>ugust</w:t>
      </w:r>
      <w:r w:rsidRPr="009D3619">
        <w:t xml:space="preserve"> 2</w:t>
      </w:r>
      <w:r w:rsidR="00B87EE5">
        <w:t>2</w:t>
      </w:r>
      <w:r w:rsidRPr="009D3619">
        <w:t>, 2025, the Bureau released a public notice seeking comment on the Application.</w:t>
      </w:r>
      <w:r>
        <w:rPr>
          <w:vertAlign w:val="superscript"/>
        </w:rPr>
        <w:footnoteReference w:id="5"/>
      </w:r>
      <w:r w:rsidRPr="009D3619">
        <w:t xml:space="preserve">  The Bureau did not receive any comments or petitions in opposition to the Application.</w:t>
      </w:r>
    </w:p>
    <w:p w:rsidR="00F14002" w:rsidRPr="00714251" w:rsidP="000B284D" w14:paraId="0E34A7CE" w14:textId="48973FA5">
      <w:pPr>
        <w:autoSpaceDE w:val="0"/>
        <w:autoSpaceDN w:val="0"/>
        <w:adjustRightInd w:val="0"/>
        <w:spacing w:after="120"/>
        <w:rPr>
          <w:b/>
          <w:bCs/>
          <w:u w:val="single"/>
        </w:rPr>
      </w:pPr>
      <w:r w:rsidRPr="00714251">
        <w:rPr>
          <w:b/>
          <w:bCs/>
          <w:u w:val="single"/>
        </w:rPr>
        <w:t>Applicants and Description of Transaction</w:t>
      </w:r>
    </w:p>
    <w:p w:rsidR="005D0439" w:rsidP="005D0439" w14:paraId="77EC7412" w14:textId="7D24A572">
      <w:pPr>
        <w:autoSpaceDE w:val="0"/>
        <w:autoSpaceDN w:val="0"/>
        <w:adjustRightInd w:val="0"/>
        <w:spacing w:after="120"/>
        <w:ind w:firstLine="720"/>
      </w:pPr>
      <w:r>
        <w:t>TDS Telecom, a Delaware limited liability company, delivers,</w:t>
      </w:r>
      <w:r w:rsidRPr="00407786">
        <w:t xml:space="preserve"> </w:t>
      </w:r>
      <w:r>
        <w:t>through its wholly-owned subsidiaries, telecommunications services and other services to customers throughout the United States.</w:t>
      </w:r>
      <w:r>
        <w:rPr>
          <w:rStyle w:val="FootnoteReference"/>
        </w:rPr>
        <w:footnoteReference w:id="6"/>
      </w:r>
      <w:r>
        <w:t xml:space="preserve">  TDS Telecom directly owns Oklahoma Communications and its subsidiary, Mid-America Telephone, </w:t>
      </w:r>
      <w:r>
        <w:t>both Oklahoma limited liability companies.</w:t>
      </w:r>
      <w:r>
        <w:rPr>
          <w:rStyle w:val="FootnoteReference"/>
        </w:rPr>
        <w:footnoteReference w:id="7"/>
      </w:r>
      <w:r>
        <w:t xml:space="preserve">  The Licensees are incumbent local exchange carriers (LECs) in Oklahoma</w:t>
      </w:r>
      <w:r>
        <w:rPr>
          <w:rStyle w:val="FootnoteReference"/>
        </w:rPr>
        <w:footnoteReference w:id="8"/>
      </w:r>
      <w:r>
        <w:t xml:space="preserve"> and are designated as Eligible Telecommunications Carriers (ETCs) that receive Universal Service Fund (USF) high-cost support in the form of Enhanced Alternative Connect America Cost Model (Enhanced A-CAM) and Connect America Fund Intercarrier Compensation (CAF</w:t>
      </w:r>
      <w:r w:rsidR="00D607C9">
        <w:t xml:space="preserve"> </w:t>
      </w:r>
      <w:r>
        <w:t>ICC).</w:t>
      </w:r>
      <w:r>
        <w:rPr>
          <w:rStyle w:val="FootnoteReference"/>
        </w:rPr>
        <w:footnoteReference w:id="9"/>
      </w:r>
      <w:r>
        <w:t xml:space="preserve">  </w:t>
      </w:r>
      <w:r w:rsidRPr="003B5EDF">
        <w:t xml:space="preserve">TDS Telecom is </w:t>
      </w:r>
      <w:r w:rsidR="003E1404">
        <w:t xml:space="preserve">a </w:t>
      </w:r>
      <w:r w:rsidRPr="003B5EDF">
        <w:t>wholly-owned subsidiary of Telephone and Data Systems, Inc. (TDS)</w:t>
      </w:r>
      <w:r>
        <w:t>, a publicly traded Delaware corporation, which provides wireline and wireless services</w:t>
      </w:r>
      <w:r w:rsidRPr="003B5EDF">
        <w:t>.</w:t>
      </w:r>
      <w:r>
        <w:rPr>
          <w:rStyle w:val="FootnoteReference"/>
        </w:rPr>
        <w:footnoteReference w:id="10"/>
      </w:r>
      <w:r>
        <w:t xml:space="preserve">  TDS is controlled by a Voting Trust (56.8% voting interest) whose trustees are all U.S. citizens.</w:t>
      </w:r>
      <w:r>
        <w:rPr>
          <w:rStyle w:val="FootnoteReference"/>
        </w:rPr>
        <w:footnoteReference w:id="11"/>
      </w:r>
      <w:r w:rsidRPr="003B5EDF">
        <w:t xml:space="preserve"> </w:t>
      </w:r>
      <w:r>
        <w:t xml:space="preserve"> </w:t>
      </w:r>
    </w:p>
    <w:p w:rsidR="00DC6677" w:rsidP="00DC6677" w14:paraId="04964D65" w14:textId="6AC4F4FB">
      <w:pPr>
        <w:autoSpaceDE w:val="0"/>
        <w:autoSpaceDN w:val="0"/>
        <w:adjustRightInd w:val="0"/>
        <w:spacing w:after="120"/>
        <w:ind w:firstLine="720"/>
      </w:pPr>
      <w:r>
        <w:t xml:space="preserve">Hilliary, an Oklahoma holding company, was formed to acquire a controlling interest in </w:t>
      </w:r>
      <w:r w:rsidR="00A77AF9">
        <w:t>Licensees</w:t>
      </w:r>
      <w:r>
        <w:t>.</w:t>
      </w:r>
      <w:r>
        <w:rPr>
          <w:rStyle w:val="FootnoteReference"/>
        </w:rPr>
        <w:footnoteReference w:id="12"/>
      </w:r>
      <w:r>
        <w:t xml:space="preserve">  Hilliary and its owners directly and indirectly hold ownership interests in multiple entities that provide local exchange and domestic interexchange services in Oklahoma, Texas, and Iowa.</w:t>
      </w:r>
      <w:r>
        <w:rPr>
          <w:rStyle w:val="FootnoteReference"/>
        </w:rPr>
        <w:footnoteReference w:id="13"/>
      </w:r>
      <w:r>
        <w:t xml:space="preserve">  In Oklahoma, the following affiliated entities are ETCs eligible to receive Enhanced A-CAM support</w:t>
      </w:r>
      <w:r w:rsidR="00DD0A06">
        <w:t xml:space="preserve"> and CAF</w:t>
      </w:r>
      <w:r w:rsidR="008F1374">
        <w:t xml:space="preserve"> </w:t>
      </w:r>
      <w:r w:rsidR="00DD0A06">
        <w:t>ICC support</w:t>
      </w:r>
      <w:r>
        <w:t>: Medicine Park Telephone Company, Inc. (Medicine Park), Oklahoma Western Telephone Company, Inc. (Oklahoma Western), and Southwest Oklahoma Telephone, Inc. (Southwest Oklahoma)</w:t>
      </w:r>
      <w:r w:rsidR="00B659DD">
        <w:t>.</w:t>
      </w:r>
      <w:r>
        <w:rPr>
          <w:rStyle w:val="FootnoteReference"/>
        </w:rPr>
        <w:footnoteReference w:id="14"/>
      </w:r>
      <w:r>
        <w:t xml:space="preserve"> </w:t>
      </w:r>
      <w:r w:rsidR="00B659DD">
        <w:t xml:space="preserve"> O</w:t>
      </w:r>
      <w:r>
        <w:t>ne other affiliate</w:t>
      </w:r>
      <w:r w:rsidR="007E78EB">
        <w:t xml:space="preserve"> in Oklahoma</w:t>
      </w:r>
      <w:r>
        <w:t>, Southern Plains Cable, L</w:t>
      </w:r>
      <w:r w:rsidR="001E7187">
        <w:t>.</w:t>
      </w:r>
      <w:r>
        <w:t>L</w:t>
      </w:r>
      <w:r w:rsidR="001E7187">
        <w:t>.</w:t>
      </w:r>
      <w:r>
        <w:t>C</w:t>
      </w:r>
      <w:r w:rsidR="001E7187">
        <w:t>.</w:t>
      </w:r>
      <w:r>
        <w:t xml:space="preserve"> (Southern Plains), a competitive LEC, is an ETC eligible to receive </w:t>
      </w:r>
      <w:r w:rsidRPr="002831C0" w:rsidR="00C10F55">
        <w:t xml:space="preserve">Auction 903 Connect America Fund Phase II (CAF </w:t>
      </w:r>
      <w:r w:rsidR="00C10F55">
        <w:t>Pha</w:t>
      </w:r>
      <w:r w:rsidR="007E78EB">
        <w:t>s</w:t>
      </w:r>
      <w:r w:rsidR="00C10F55">
        <w:t xml:space="preserve">e </w:t>
      </w:r>
      <w:r w:rsidRPr="002831C0" w:rsidR="00C10F55">
        <w:t>II)</w:t>
      </w:r>
      <w:r>
        <w:t xml:space="preserve"> support.</w:t>
      </w:r>
      <w:r>
        <w:rPr>
          <w:rStyle w:val="FootnoteReference"/>
        </w:rPr>
        <w:footnoteReference w:id="15"/>
      </w:r>
      <w:r>
        <w:t xml:space="preserve">  </w:t>
      </w:r>
      <w:r w:rsidRPr="00D17878">
        <w:t xml:space="preserve">Hilliary and its owners </w:t>
      </w:r>
      <w:r>
        <w:t xml:space="preserve">also </w:t>
      </w:r>
      <w:r w:rsidRPr="00D17878">
        <w:t>hold ownership interests</w:t>
      </w:r>
      <w:r>
        <w:t xml:space="preserve"> </w:t>
      </w:r>
      <w:r w:rsidRPr="0025521D">
        <w:t xml:space="preserve">in </w:t>
      </w:r>
      <w:r>
        <w:t>the</w:t>
      </w:r>
      <w:r w:rsidRPr="00D17878">
        <w:t xml:space="preserve"> following </w:t>
      </w:r>
      <w:r>
        <w:t xml:space="preserve">four incumbent LECs in Texas: </w:t>
      </w:r>
      <w:r w:rsidR="007E78EB">
        <w:t xml:space="preserve"> </w:t>
      </w:r>
      <w:r>
        <w:t>Tatum Telephone Company, Inc. (Tatum), Electra Telephone Company, Inc. (Electra), Lipan Telephone Company, Inc. (Lipan), and Border to Border Communications, Inc. (Border to Border),</w:t>
      </w:r>
      <w:r>
        <w:rPr>
          <w:rStyle w:val="FootnoteReference"/>
        </w:rPr>
        <w:footnoteReference w:id="16"/>
      </w:r>
      <w:r>
        <w:t xml:space="preserve"> which are designated as ETCs and receive support in the forms of High Cost Loop support (HCLS) and CAF Broadband Loop support (CAF-BLS) (together, legacy support) based on embedded costs, as well as CA</w:t>
      </w:r>
      <w:r w:rsidR="00D607C9">
        <w:t xml:space="preserve">F </w:t>
      </w:r>
      <w:r>
        <w:t>ICC support.</w:t>
      </w:r>
      <w:r>
        <w:rPr>
          <w:rStyle w:val="FootnoteReference"/>
        </w:rPr>
        <w:footnoteReference w:id="17"/>
      </w:r>
      <w:r>
        <w:t xml:space="preserve">  Hill</w:t>
      </w:r>
      <w:r w:rsidR="00851542">
        <w:t>i</w:t>
      </w:r>
      <w:r>
        <w:t xml:space="preserve">ary and its owners also hold ownership interests in </w:t>
      </w:r>
      <w:r>
        <w:t>Prairieburg</w:t>
      </w:r>
      <w:r>
        <w:t xml:space="preserve"> Telephone </w:t>
      </w:r>
      <w:r>
        <w:t>Company, Inc. (</w:t>
      </w:r>
      <w:r>
        <w:t>Prairieburg</w:t>
      </w:r>
      <w:r>
        <w:t>), an ETC that provides local exchange and domestic interexchange services in Iowa and receives legacy support through an average schedule as well as CAF ICC support,</w:t>
      </w:r>
      <w:r>
        <w:rPr>
          <w:rStyle w:val="FootnoteReference"/>
        </w:rPr>
        <w:footnoteReference w:id="18"/>
      </w:r>
      <w:r>
        <w:t xml:space="preserve"> and in </w:t>
      </w:r>
      <w:r w:rsidRPr="00634DBA">
        <w:t>Texhoma</w:t>
      </w:r>
      <w:r w:rsidRPr="002F58F1">
        <w:t xml:space="preserve">, </w:t>
      </w:r>
      <w:r>
        <w:t xml:space="preserve">a designated ETC </w:t>
      </w:r>
      <w:r w:rsidR="00D82E23">
        <w:t>that</w:t>
      </w:r>
      <w:r w:rsidRPr="002F58F1">
        <w:t xml:space="preserve"> provides interexchange and broadband services </w:t>
      </w:r>
      <w:r>
        <w:t xml:space="preserve">in Texas, </w:t>
      </w:r>
      <w:r w:rsidRPr="002F58F1">
        <w:t xml:space="preserve">and </w:t>
      </w:r>
      <w:r>
        <w:t xml:space="preserve">for which service it </w:t>
      </w:r>
      <w:r w:rsidRPr="002831C0">
        <w:t xml:space="preserve">receives </w:t>
      </w:r>
      <w:r w:rsidR="00C10F55">
        <w:t xml:space="preserve">CAF Phase II </w:t>
      </w:r>
      <w:r>
        <w:t xml:space="preserve">Auction </w:t>
      </w:r>
      <w:r w:rsidRPr="002831C0">
        <w:t>support</w:t>
      </w:r>
      <w:r w:rsidRPr="002F58F1">
        <w:t>.</w:t>
      </w:r>
      <w:r>
        <w:rPr>
          <w:rStyle w:val="FootnoteReference"/>
        </w:rPr>
        <w:footnoteReference w:id="19"/>
      </w:r>
      <w:r>
        <w:t xml:space="preserve">  </w:t>
      </w:r>
      <w:r w:rsidR="00C97FCC">
        <w:t>Hilliary</w:t>
      </w:r>
      <w:r w:rsidR="00EC6F74">
        <w:t xml:space="preserve"> </w:t>
      </w:r>
      <w:r w:rsidR="00C57CE6">
        <w:t xml:space="preserve">is </w:t>
      </w:r>
      <w:r>
        <w:t>ultimately held by the following United State</w:t>
      </w:r>
      <w:r w:rsidR="00B00126">
        <w:t>s</w:t>
      </w:r>
      <w:r>
        <w:t xml:space="preserve"> citizens: </w:t>
      </w:r>
      <w:r w:rsidR="00D82E23">
        <w:t xml:space="preserve"> </w:t>
      </w:r>
      <w:r>
        <w:t>Edward E. Hilliary, Jr., Dustin J. Hilliary, Michael J. Hilliary, and Douglas J. Hilliary (each holding a 25% interest).</w:t>
      </w:r>
      <w:r>
        <w:rPr>
          <w:rStyle w:val="FootnoteReference"/>
        </w:rPr>
        <w:footnoteReference w:id="20"/>
      </w:r>
      <w:r>
        <w:t xml:space="preserve">  </w:t>
      </w:r>
    </w:p>
    <w:p w:rsidR="00B42D98" w:rsidP="00B42D98" w14:paraId="59C5EAE8" w14:textId="77C47F37">
      <w:pPr>
        <w:autoSpaceDE w:val="0"/>
        <w:autoSpaceDN w:val="0"/>
        <w:adjustRightInd w:val="0"/>
        <w:spacing w:after="120"/>
      </w:pPr>
      <w:r>
        <w:tab/>
      </w:r>
      <w:r w:rsidRPr="00C64A20">
        <w:t xml:space="preserve">Pursuant to the terms of the proposed transaction, </w:t>
      </w:r>
      <w:r>
        <w:t>Hilliary would purchase from TDS Telecom all of the equity securities of Oklahoma Communications, including its wholly-owned subsidiary</w:t>
      </w:r>
      <w:r w:rsidR="00D82E23">
        <w:t>,</w:t>
      </w:r>
      <w:r>
        <w:t xml:space="preserve"> Mid-America Telephone.</w:t>
      </w:r>
      <w:r>
        <w:rPr>
          <w:rStyle w:val="FootnoteReference"/>
        </w:rPr>
        <w:footnoteReference w:id="21"/>
      </w:r>
      <w:r>
        <w:t xml:space="preserve">  As a result of the proposed transaction, the Licensees would continue to exist as wholly owned</w:t>
      </w:r>
      <w:r w:rsidR="00595C33">
        <w:t xml:space="preserve"> </w:t>
      </w:r>
      <w:r>
        <w:t>subsidiaries of Hilliary.</w:t>
      </w:r>
      <w:r>
        <w:rPr>
          <w:rStyle w:val="FootnoteReference"/>
        </w:rPr>
        <w:footnoteReference w:id="22"/>
      </w:r>
      <w:r>
        <w:t xml:space="preserve">  Post-consummation, the Licensees would continue to operate pursuant to their respective domestic </w:t>
      </w:r>
      <w:r w:rsidR="00D82E23">
        <w:t xml:space="preserve">section </w:t>
      </w:r>
      <w:r>
        <w:t>214 authorizations.</w:t>
      </w:r>
      <w:r>
        <w:rPr>
          <w:rStyle w:val="FootnoteReference"/>
        </w:rPr>
        <w:footnoteReference w:id="23"/>
      </w:r>
    </w:p>
    <w:p w:rsidR="00714251" w:rsidP="00915B5D" w14:paraId="15C67DFA" w14:textId="77777777">
      <w:pPr>
        <w:autoSpaceDE w:val="0"/>
        <w:autoSpaceDN w:val="0"/>
        <w:adjustRightInd w:val="0"/>
        <w:spacing w:after="120"/>
      </w:pPr>
      <w:bookmarkStart w:id="12" w:name="_Hlk190430453"/>
      <w:r>
        <w:tab/>
      </w:r>
    </w:p>
    <w:p w:rsidR="00432940" w:rsidRPr="00432940" w:rsidP="00915B5D" w14:paraId="2C5EDE2E" w14:textId="67E63629">
      <w:pPr>
        <w:autoSpaceDE w:val="0"/>
        <w:autoSpaceDN w:val="0"/>
        <w:adjustRightInd w:val="0"/>
        <w:spacing w:after="120"/>
        <w:rPr>
          <w:b/>
          <w:bCs/>
          <w:u w:val="single"/>
        </w:rPr>
      </w:pPr>
      <w:r w:rsidRPr="00432940">
        <w:rPr>
          <w:b/>
          <w:bCs/>
          <w:u w:val="single"/>
        </w:rPr>
        <w:t>Discussion</w:t>
      </w:r>
    </w:p>
    <w:p w:rsidR="00846EFA" w:rsidP="00714251" w14:paraId="49309D94" w14:textId="7BF367AB">
      <w:pPr>
        <w:autoSpaceDE w:val="0"/>
        <w:autoSpaceDN w:val="0"/>
        <w:adjustRightInd w:val="0"/>
        <w:spacing w:after="120"/>
        <w:ind w:firstLine="720"/>
      </w:pPr>
      <w:r>
        <w:t>Applicants contend that the proposed transaction will serve the public interest, convenience, and necessity.</w:t>
      </w:r>
      <w:r>
        <w:rPr>
          <w:rStyle w:val="FootnoteReference"/>
        </w:rPr>
        <w:footnoteReference w:id="24"/>
      </w:r>
      <w:r>
        <w:t xml:space="preserve">  </w:t>
      </w:r>
      <w:r w:rsidRPr="00103CAF" w:rsidR="000A48D7">
        <w:t xml:space="preserve">Applicants state that post-transaction, Licensees would continue to provide service </w:t>
      </w:r>
      <w:r w:rsidRPr="00103CAF" w:rsidR="00DC02D7">
        <w:t>with</w:t>
      </w:r>
      <w:r w:rsidRPr="00103CAF" w:rsidR="000A48D7">
        <w:t xml:space="preserve"> </w:t>
      </w:r>
      <w:r w:rsidRPr="00103CAF" w:rsidR="00DC02D7">
        <w:t>“</w:t>
      </w:r>
      <w:r w:rsidRPr="00103CAF" w:rsidR="000A48D7">
        <w:t xml:space="preserve">the same </w:t>
      </w:r>
      <w:r w:rsidRPr="00103CAF" w:rsidR="00DC02D7">
        <w:t xml:space="preserve">or better </w:t>
      </w:r>
      <w:r w:rsidRPr="00103CAF" w:rsidR="000A48D7">
        <w:t xml:space="preserve">rates, terms and conditions as </w:t>
      </w:r>
      <w:r w:rsidRPr="00103CAF">
        <w:t>they currently provide</w:t>
      </w:r>
      <w:r w:rsidRPr="00103CAF" w:rsidR="00DC02D7">
        <w:t>”</w:t>
      </w:r>
      <w:r w:rsidRPr="00103CAF" w:rsidR="0009747B">
        <w:t xml:space="preserve"> and that the transfer would be “seamless and in no event will the </w:t>
      </w:r>
      <w:r w:rsidRPr="00103CAF" w:rsidR="00103CAF">
        <w:t>transaction</w:t>
      </w:r>
      <w:r w:rsidRPr="00103CAF" w:rsidR="0009747B">
        <w:t xml:space="preserve"> result in the discontinuation, reduction</w:t>
      </w:r>
      <w:r w:rsidRPr="00103CAF" w:rsidR="00103CAF">
        <w:t>, loss or impairment of service to existing TDS customers.”</w:t>
      </w:r>
      <w:r>
        <w:rPr>
          <w:rStyle w:val="FootnoteReference"/>
        </w:rPr>
        <w:footnoteReference w:id="25"/>
      </w:r>
      <w:r w:rsidR="00C95F27">
        <w:t xml:space="preserve"> </w:t>
      </w:r>
      <w:r>
        <w:t xml:space="preserve"> </w:t>
      </w:r>
      <w:r>
        <w:t>Applicants aver that Hilliary “plans to invest in the territories served by the Licensees and expand the services currently being offered”</w:t>
      </w:r>
      <w:r w:rsidR="0011043D">
        <w:t xml:space="preserve"> </w:t>
      </w:r>
      <w:r w:rsidR="00F21BF0">
        <w:t xml:space="preserve">and will “benefit the residents of Oklahoma who will have access to expanded high quality communications offerings that </w:t>
      </w:r>
      <w:r w:rsidR="00A314BA">
        <w:t>are provided by a company controlled and managed by individuals with extensive knowledge of local telephone operations and the communications needs of the communities served.”</w:t>
      </w:r>
      <w:r>
        <w:rPr>
          <w:rStyle w:val="FootnoteReference"/>
        </w:rPr>
        <w:footnoteReference w:id="26"/>
      </w:r>
      <w:r>
        <w:t xml:space="preserve">  </w:t>
      </w:r>
    </w:p>
    <w:p w:rsidR="00915B5D" w:rsidP="00846EFA" w14:paraId="1350F104" w14:textId="22F69107">
      <w:pPr>
        <w:autoSpaceDE w:val="0"/>
        <w:autoSpaceDN w:val="0"/>
        <w:adjustRightInd w:val="0"/>
        <w:spacing w:after="120"/>
        <w:ind w:firstLine="720"/>
      </w:pPr>
      <w:r>
        <w:t xml:space="preserve">Applicants </w:t>
      </w:r>
      <w:r w:rsidR="0033674D">
        <w:t xml:space="preserve">also </w:t>
      </w:r>
      <w:r>
        <w:t>assert that the proposed transaction will “not result in any changes to management, technology, or debt of the Licensees or Applicants, nor will it result in any changes that would compromise their ability to meet their USF high-cost service obligations.”</w:t>
      </w:r>
      <w:r>
        <w:rPr>
          <w:rStyle w:val="FootnoteReference"/>
        </w:rPr>
        <w:footnoteReference w:id="27"/>
      </w:r>
      <w:r>
        <w:t xml:space="preserve">  Applicants state that, </w:t>
      </w:r>
      <w:r>
        <w:t xml:space="preserve">post-consummation, “Applicants will continue to be obligated to meet all FCC, ETC, and state requirements as well as federal obligations (including but not limited to those associated with </w:t>
      </w:r>
      <w:r w:rsidRPr="009A3155">
        <w:t>[Enhanced A-CAM]</w:t>
      </w:r>
      <w:r w:rsidRPr="009A3155" w:rsidR="003927C4">
        <w:t>)</w:t>
      </w:r>
      <w:r w:rsidRPr="009A3155">
        <w:t>.”</w:t>
      </w:r>
      <w:r>
        <w:rPr>
          <w:rStyle w:val="FootnoteReference"/>
        </w:rPr>
        <w:footnoteReference w:id="28"/>
      </w:r>
      <w:r>
        <w:t xml:space="preserve">  Applicants further state that “TDS will continue to be obligated to meet such requirements in the transferring study areas until Hilliary is reauthorized to receive the modified [Enhanced A-CAM] support amount.”</w:t>
      </w:r>
      <w:r>
        <w:rPr>
          <w:rStyle w:val="FootnoteReference"/>
        </w:rPr>
        <w:footnoteReference w:id="29"/>
      </w:r>
      <w:r>
        <w:t xml:space="preserve"> </w:t>
      </w:r>
      <w:r w:rsidR="005D6F34">
        <w:t xml:space="preserve"> </w:t>
      </w:r>
      <w:r w:rsidR="009E0A42">
        <w:t xml:space="preserve">In addition, </w:t>
      </w:r>
      <w:r w:rsidR="00BC1D37">
        <w:t xml:space="preserve">Hilliary “acknowledges that, for the purposes of determining support and </w:t>
      </w:r>
      <w:r w:rsidR="00C00DB6">
        <w:t xml:space="preserve">obligations under [Enhanced A-CAM], Hilliary’s deployment and enforceable commitments to deploy broadband made prior to the closing of its acquisition of the </w:t>
      </w:r>
      <w:r w:rsidR="00A7335D">
        <w:t>Licensees will be treated as if made by a competitor.”</w:t>
      </w:r>
      <w:r>
        <w:rPr>
          <w:rStyle w:val="FootnoteReference"/>
        </w:rPr>
        <w:footnoteReference w:id="30"/>
      </w:r>
      <w:r w:rsidR="00A7335D">
        <w:t xml:space="preserve">  </w:t>
      </w:r>
      <w:r w:rsidR="00006096">
        <w:t xml:space="preserve">After notice of consummation of the transaction is received, the Bureau will issue a Public Notice reauthorizing the Enhanced A-CAM support (and assigning all related obligations) associated with this transaction from TDS to Hilliary.  </w:t>
      </w:r>
      <w:r w:rsidR="0081788B">
        <w:t xml:space="preserve">When reauthorizing </w:t>
      </w:r>
      <w:r w:rsidR="00822D52">
        <w:t xml:space="preserve">Enhanced A-CAM support, the Bureau will </w:t>
      </w:r>
      <w:r w:rsidR="00BC3204">
        <w:t>treat</w:t>
      </w:r>
      <w:r w:rsidRPr="00BC3204" w:rsidR="00BC3204">
        <w:t xml:space="preserve"> all locations that were served by </w:t>
      </w:r>
      <w:r w:rsidR="00BE5950">
        <w:t>Hilliary</w:t>
      </w:r>
      <w:r w:rsidRPr="00BC3204" w:rsidR="00BC3204">
        <w:t xml:space="preserve"> or for which</w:t>
      </w:r>
      <w:r w:rsidR="00E77112">
        <w:t xml:space="preserve"> </w:t>
      </w:r>
      <w:r w:rsidR="00E96214">
        <w:t xml:space="preserve">Hilliary </w:t>
      </w:r>
      <w:r w:rsidRPr="00E77112" w:rsidR="00E77112">
        <w:t xml:space="preserve">held a </w:t>
      </w:r>
      <w:r w:rsidR="00E96214">
        <w:t>Broadband Funding Map</w:t>
      </w:r>
      <w:r w:rsidRPr="00E77112" w:rsidR="00E77112">
        <w:t xml:space="preserve"> enforceable commitment, as of August 2023, as served only by a competitor</w:t>
      </w:r>
      <w:r w:rsidR="00AA4C33">
        <w:t>.</w:t>
      </w:r>
      <w:r>
        <w:rPr>
          <w:rStyle w:val="FootnoteReference"/>
        </w:rPr>
        <w:footnoteReference w:id="31"/>
      </w:r>
      <w:r w:rsidR="000B7C7A">
        <w:t xml:space="preserve">  </w:t>
      </w:r>
      <w:r w:rsidR="00ED5F37">
        <w:t>Further, a</w:t>
      </w:r>
      <w:r>
        <w:t>pplicants maintain that “Licensees will continue to meet their USF obligations, and Hilliary affirms that it will assume responsibility for these obligations post-Transaction and after it receive</w:t>
      </w:r>
      <w:r w:rsidR="008602B7">
        <w:t>s</w:t>
      </w:r>
      <w:r>
        <w:t xml:space="preserve"> the modified [Enhanced A-CAM] support amount.”</w:t>
      </w:r>
      <w:r>
        <w:rPr>
          <w:rStyle w:val="FootnoteReference"/>
        </w:rPr>
        <w:footnoteReference w:id="32"/>
      </w:r>
      <w:r w:rsidR="000C734E">
        <w:t xml:space="preserve">  </w:t>
      </w:r>
      <w:r w:rsidRPr="00C71DC3" w:rsidR="000C734E">
        <w:t xml:space="preserve">The record indicates that </w:t>
      </w:r>
      <w:r w:rsidR="00040678">
        <w:t xml:space="preserve">Hilliary </w:t>
      </w:r>
      <w:r w:rsidRPr="00C71DC3" w:rsidR="000C734E">
        <w:t>has the technical, financial, and managerial expertise to do so.</w:t>
      </w:r>
      <w:r>
        <w:rPr>
          <w:vertAlign w:val="superscript"/>
        </w:rPr>
        <w:footnoteReference w:id="33"/>
      </w:r>
    </w:p>
    <w:p w:rsidR="0033674D" w:rsidP="00846EFA" w14:paraId="7EDA5FC8" w14:textId="7E21AFED">
      <w:pPr>
        <w:autoSpaceDE w:val="0"/>
        <w:autoSpaceDN w:val="0"/>
        <w:adjustRightInd w:val="0"/>
        <w:spacing w:after="120"/>
        <w:ind w:firstLine="720"/>
      </w:pPr>
      <w:r>
        <w:t xml:space="preserve">Hilliary </w:t>
      </w:r>
      <w:r w:rsidR="00236B96">
        <w:t xml:space="preserve">further </w:t>
      </w:r>
      <w:r w:rsidR="00BF418D">
        <w:t xml:space="preserve">addresses </w:t>
      </w:r>
      <w:r w:rsidR="00236B96">
        <w:t>potential concerns by</w:t>
      </w:r>
      <w:r w:rsidR="00AD3D61">
        <w:t xml:space="preserve"> committing to not improperly </w:t>
      </w:r>
      <w:r w:rsidR="00743740">
        <w:t>shift business data services (BDS</w:t>
      </w:r>
      <w:r w:rsidR="00011B28">
        <w:t xml:space="preserve">) </w:t>
      </w:r>
      <w:r w:rsidR="00743740">
        <w:t xml:space="preserve">costs </w:t>
      </w:r>
      <w:r w:rsidR="00AD3D61">
        <w:t xml:space="preserve">between </w:t>
      </w:r>
      <w:r w:rsidR="009F0242">
        <w:t xml:space="preserve">its </w:t>
      </w:r>
      <w:r w:rsidR="00AD3D61">
        <w:t>study areas</w:t>
      </w:r>
      <w:r w:rsidR="00352701">
        <w:t xml:space="preserve"> post-transaction</w:t>
      </w:r>
      <w:r w:rsidR="00AD3D61">
        <w:t>.</w:t>
      </w:r>
      <w:r>
        <w:rPr>
          <w:rStyle w:val="FootnoteReference"/>
        </w:rPr>
        <w:footnoteReference w:id="34"/>
      </w:r>
      <w:r w:rsidR="00AD3D61">
        <w:t xml:space="preserve">  </w:t>
      </w:r>
      <w:r w:rsidR="00825552">
        <w:t xml:space="preserve">Section 61.50 of the </w:t>
      </w:r>
      <w:r w:rsidR="00B225F7">
        <w:t>Commission’s rules allow</w:t>
      </w:r>
      <w:r w:rsidR="008D4A17">
        <w:t>s</w:t>
      </w:r>
      <w:r w:rsidR="00B225F7">
        <w:t xml:space="preserve"> rate-of-return </w:t>
      </w:r>
      <w:r w:rsidR="00397795">
        <w:t xml:space="preserve">incumbent </w:t>
      </w:r>
      <w:r w:rsidR="00EE2BAA">
        <w:t>LECs</w:t>
      </w:r>
      <w:r w:rsidR="000514C7">
        <w:t xml:space="preserve"> </w:t>
      </w:r>
      <w:r w:rsidR="009728A0">
        <w:t>(</w:t>
      </w:r>
      <w:r w:rsidR="000514C7">
        <w:t>or carriers</w:t>
      </w:r>
      <w:r w:rsidR="00EE2BAA">
        <w:t>)</w:t>
      </w:r>
      <w:r w:rsidR="00B225F7">
        <w:t xml:space="preserve"> receiving A-CAM or fixed high-cost universal service support to elect </w:t>
      </w:r>
      <w:r w:rsidR="00376AA4">
        <w:t xml:space="preserve">to </w:t>
      </w:r>
      <w:r w:rsidR="00825552">
        <w:t>offer</w:t>
      </w:r>
      <w:r w:rsidR="00B225F7">
        <w:t xml:space="preserve"> BDS </w:t>
      </w:r>
      <w:r w:rsidR="005A587D">
        <w:t xml:space="preserve">(i.e., special access) </w:t>
      </w:r>
      <w:r w:rsidR="00825552">
        <w:t xml:space="preserve">subject to </w:t>
      </w:r>
      <w:r w:rsidR="00B225F7">
        <w:t xml:space="preserve">incentive </w:t>
      </w:r>
      <w:r w:rsidR="004A6B04">
        <w:t>rather than</w:t>
      </w:r>
      <w:r w:rsidR="00B360DF">
        <w:t xml:space="preserve"> rate-of-return </w:t>
      </w:r>
      <w:r w:rsidR="00EC38B5">
        <w:t xml:space="preserve">rate </w:t>
      </w:r>
      <w:r w:rsidR="00B360DF">
        <w:t>regulation</w:t>
      </w:r>
      <w:r w:rsidR="00B225F7">
        <w:t>.</w:t>
      </w:r>
      <w:r>
        <w:rPr>
          <w:rStyle w:val="FootnoteReference"/>
        </w:rPr>
        <w:footnoteReference w:id="35"/>
      </w:r>
      <w:r w:rsidR="00B225F7">
        <w:t xml:space="preserve">  To prevent internal cost-shifting among study areas, the Commission require</w:t>
      </w:r>
      <w:r w:rsidR="0019018D">
        <w:t>d</w:t>
      </w:r>
      <w:r w:rsidR="00B225F7">
        <w:t xml:space="preserve"> “electing carriers to elect incentive regulation at the holding company-level for study areas in all states where that carrier receives fixed support.”</w:t>
      </w:r>
      <w:r>
        <w:rPr>
          <w:rStyle w:val="FootnoteReference"/>
        </w:rPr>
        <w:footnoteReference w:id="36"/>
      </w:r>
      <w:r w:rsidR="00B225F7">
        <w:t xml:space="preserve">  </w:t>
      </w:r>
      <w:r w:rsidR="00D23D32">
        <w:t xml:space="preserve">Carriers electing </w:t>
      </w:r>
      <w:r w:rsidR="00B97A75">
        <w:t xml:space="preserve">BDS </w:t>
      </w:r>
      <w:r w:rsidR="00D23D32">
        <w:t xml:space="preserve">incentive </w:t>
      </w:r>
      <w:r w:rsidR="004A6B04">
        <w:t xml:space="preserve">rate </w:t>
      </w:r>
      <w:r w:rsidR="00D23D32">
        <w:t xml:space="preserve">regulation are also required to remove their BDS offerings from the </w:t>
      </w:r>
      <w:r w:rsidR="00252258">
        <w:t>National Exchange Carrier Association, Inc. (</w:t>
      </w:r>
      <w:r w:rsidR="00D23D32">
        <w:t>NECA</w:t>
      </w:r>
      <w:r w:rsidR="00252258">
        <w:t>)</w:t>
      </w:r>
      <w:r w:rsidR="00D23D32">
        <w:t xml:space="preserve"> traffic-sensitive tariff pool.</w:t>
      </w:r>
      <w:r>
        <w:rPr>
          <w:rStyle w:val="FootnoteReference"/>
        </w:rPr>
        <w:footnoteReference w:id="37"/>
      </w:r>
      <w:r w:rsidR="00D23D32">
        <w:t xml:space="preserve">  </w:t>
      </w:r>
      <w:r w:rsidR="00DB3655">
        <w:t>Hilliary</w:t>
      </w:r>
      <w:r w:rsidR="00D23D32">
        <w:t xml:space="preserve"> state</w:t>
      </w:r>
      <w:r w:rsidR="00DB3655">
        <w:t>s</w:t>
      </w:r>
      <w:r w:rsidR="00D23D32">
        <w:t xml:space="preserve"> that Southwest Oklahoma elected BDS incentive rate regulation in 2020, prior to its acquisition by Hilliary in 2021.</w:t>
      </w:r>
      <w:r>
        <w:rPr>
          <w:rStyle w:val="FootnoteReference"/>
        </w:rPr>
        <w:footnoteReference w:id="38"/>
      </w:r>
      <w:r w:rsidR="00D23D32">
        <w:t xml:space="preserve">  </w:t>
      </w:r>
      <w:r w:rsidR="006A6311">
        <w:t>Hilliary</w:t>
      </w:r>
      <w:r w:rsidR="0052006D">
        <w:t xml:space="preserve"> state</w:t>
      </w:r>
      <w:r w:rsidR="006A6311">
        <w:t>s</w:t>
      </w:r>
      <w:r w:rsidR="0052006D">
        <w:t xml:space="preserve"> that </w:t>
      </w:r>
      <w:r w:rsidR="00D23D32">
        <w:t xml:space="preserve">Medicine Park and Oklahoma Western are subject to rate-of-return regulation for their </w:t>
      </w:r>
      <w:r w:rsidR="00046B0D">
        <w:t>BDS offerings</w:t>
      </w:r>
      <w:r w:rsidR="00D23D32">
        <w:t>.</w:t>
      </w:r>
      <w:r>
        <w:rPr>
          <w:rStyle w:val="FootnoteReference"/>
        </w:rPr>
        <w:footnoteReference w:id="39"/>
      </w:r>
      <w:r w:rsidR="00D23D32">
        <w:t xml:space="preserve">  </w:t>
      </w:r>
      <w:r w:rsidR="002D31D5">
        <w:t xml:space="preserve">We note that </w:t>
      </w:r>
      <w:r w:rsidRPr="006213EB" w:rsidR="002D31D5">
        <w:t>Oklahoma Western</w:t>
      </w:r>
      <w:r w:rsidR="002D31D5">
        <w:t xml:space="preserve"> and</w:t>
      </w:r>
      <w:r w:rsidRPr="006213EB" w:rsidR="002D31D5">
        <w:t xml:space="preserve"> Medicine Park</w:t>
      </w:r>
      <w:r w:rsidR="002D31D5">
        <w:t xml:space="preserve"> were eligible to elect BDS incentive regulation in 2023</w:t>
      </w:r>
      <w:r w:rsidR="006213EB">
        <w:t>.</w:t>
      </w:r>
      <w:r>
        <w:rPr>
          <w:rStyle w:val="FootnoteReference"/>
        </w:rPr>
        <w:footnoteReference w:id="40"/>
      </w:r>
      <w:r w:rsidR="009F38D2">
        <w:t xml:space="preserve"> </w:t>
      </w:r>
      <w:r w:rsidR="006213EB">
        <w:t xml:space="preserve"> </w:t>
      </w:r>
      <w:r w:rsidR="009A221D">
        <w:t xml:space="preserve">We also note that </w:t>
      </w:r>
      <w:r w:rsidRPr="008D1CC5" w:rsidR="009A221D">
        <w:t xml:space="preserve">Medicine Park and Oklahoma Western </w:t>
      </w:r>
      <w:r w:rsidR="009A221D">
        <w:t>participate in the NECA traffic sensitive tariff pool for their BDS offerings.</w:t>
      </w:r>
      <w:r>
        <w:rPr>
          <w:rStyle w:val="FootnoteReference"/>
        </w:rPr>
        <w:footnoteReference w:id="41"/>
      </w:r>
      <w:r w:rsidR="009A221D">
        <w:t xml:space="preserve">  </w:t>
      </w:r>
      <w:r w:rsidR="007B6439">
        <w:t xml:space="preserve">There could be a </w:t>
      </w:r>
      <w:r w:rsidR="00772746">
        <w:t xml:space="preserve"> potential for </w:t>
      </w:r>
      <w:r w:rsidR="0037741A">
        <w:t xml:space="preserve">Hilliary to </w:t>
      </w:r>
      <w:r w:rsidR="00A21642">
        <w:t xml:space="preserve">improperly </w:t>
      </w:r>
      <w:r w:rsidR="0037741A">
        <w:t xml:space="preserve">shift </w:t>
      </w:r>
      <w:r w:rsidR="00A21642">
        <w:t xml:space="preserve">BDS </w:t>
      </w:r>
      <w:r w:rsidR="0037741A">
        <w:t>costs between</w:t>
      </w:r>
      <w:r w:rsidR="00BA625E">
        <w:t xml:space="preserve"> </w:t>
      </w:r>
      <w:r w:rsidR="00CF31A5">
        <w:t xml:space="preserve">affiliated </w:t>
      </w:r>
      <w:r w:rsidR="00BA625E">
        <w:t>study areas</w:t>
      </w:r>
      <w:r w:rsidR="00CF31A5">
        <w:t xml:space="preserve"> subject to rate-of-return and incentive regulation</w:t>
      </w:r>
      <w:r w:rsidR="000305EB">
        <w:t xml:space="preserve">, which </w:t>
      </w:r>
      <w:r w:rsidR="008E1D2C">
        <w:t>affects</w:t>
      </w:r>
      <w:r w:rsidR="008A491B">
        <w:t xml:space="preserve"> tariffed </w:t>
      </w:r>
      <w:r w:rsidR="000305EB">
        <w:t xml:space="preserve">BDS </w:t>
      </w:r>
      <w:r w:rsidR="008A491B">
        <w:t>rates</w:t>
      </w:r>
      <w:r w:rsidR="00BA625E">
        <w:t xml:space="preserve">.  </w:t>
      </w:r>
      <w:r w:rsidR="00626C85">
        <w:t>However</w:t>
      </w:r>
      <w:r w:rsidR="007751AE">
        <w:t xml:space="preserve">, </w:t>
      </w:r>
      <w:r>
        <w:t>Hilliary</w:t>
      </w:r>
      <w:r w:rsidR="00D8685C">
        <w:t xml:space="preserve"> </w:t>
      </w:r>
      <w:r w:rsidR="00626C85">
        <w:t xml:space="preserve">has </w:t>
      </w:r>
      <w:r w:rsidR="007B6439">
        <w:t>stated on the record that</w:t>
      </w:r>
      <w:r w:rsidR="005C4078">
        <w:t xml:space="preserve"> </w:t>
      </w:r>
      <w:r w:rsidR="007B6439">
        <w:t xml:space="preserve">its </w:t>
      </w:r>
      <w:r w:rsidR="00A72399">
        <w:t xml:space="preserve">2020-23 </w:t>
      </w:r>
      <w:r w:rsidR="00D8685C">
        <w:t>accounting data demonstrat</w:t>
      </w:r>
      <w:r w:rsidR="007B6439">
        <w:t>es</w:t>
      </w:r>
      <w:r w:rsidR="00DD7282">
        <w:t xml:space="preserve"> </w:t>
      </w:r>
      <w:r w:rsidR="009939D8">
        <w:t xml:space="preserve">that </w:t>
      </w:r>
      <w:r w:rsidR="00472F36">
        <w:t xml:space="preserve">Oklahoma Western, </w:t>
      </w:r>
      <w:r w:rsidR="005D5366">
        <w:t>Medicine Par</w:t>
      </w:r>
      <w:r w:rsidR="001249E5">
        <w:t>k</w:t>
      </w:r>
      <w:r w:rsidR="00D00653">
        <w:t>,</w:t>
      </w:r>
      <w:r w:rsidR="005D5366">
        <w:t xml:space="preserve"> and Southwest Oklahoma have </w:t>
      </w:r>
      <w:r w:rsidR="006478DB">
        <w:t xml:space="preserve">not </w:t>
      </w:r>
      <w:r w:rsidR="00FF0AD4">
        <w:t>improper</w:t>
      </w:r>
      <w:r w:rsidR="000A4884">
        <w:t>ly</w:t>
      </w:r>
      <w:r w:rsidR="00FF0AD4">
        <w:t xml:space="preserve"> </w:t>
      </w:r>
      <w:r w:rsidR="005D5366">
        <w:t>shift</w:t>
      </w:r>
      <w:r w:rsidR="000A4884">
        <w:t xml:space="preserve">ed </w:t>
      </w:r>
      <w:r w:rsidR="000728E7">
        <w:t xml:space="preserve">BDS </w:t>
      </w:r>
      <w:r w:rsidR="000A4884">
        <w:t xml:space="preserve">costs </w:t>
      </w:r>
      <w:r w:rsidR="006478DB">
        <w:t>between study areas</w:t>
      </w:r>
      <w:r w:rsidR="007E1585">
        <w:t>.</w:t>
      </w:r>
      <w:r>
        <w:rPr>
          <w:rStyle w:val="FootnoteReference"/>
        </w:rPr>
        <w:footnoteReference w:id="42"/>
      </w:r>
      <w:r w:rsidR="007E1585">
        <w:t xml:space="preserve">  </w:t>
      </w:r>
      <w:r w:rsidR="00F14360">
        <w:t xml:space="preserve">Moreover, Hilliary </w:t>
      </w:r>
      <w:r w:rsidR="00146BE2">
        <w:t>provided a signed declaration</w:t>
      </w:r>
      <w:r w:rsidR="00697D52">
        <w:t xml:space="preserve"> attesting that “Hilliary will continue</w:t>
      </w:r>
      <w:r w:rsidR="00AD5ECC">
        <w:t xml:space="preserve"> not </w:t>
      </w:r>
      <w:r w:rsidR="003D3B39">
        <w:t xml:space="preserve">to </w:t>
      </w:r>
      <w:r w:rsidR="00AD5ECC">
        <w:t>engage in impro</w:t>
      </w:r>
      <w:r w:rsidR="006C34F9">
        <w:t>pe</w:t>
      </w:r>
      <w:r w:rsidR="00F14360">
        <w:t xml:space="preserve">r shifting of BDS costs from </w:t>
      </w:r>
      <w:r w:rsidR="009812E8">
        <w:t>[Southwest Oklahoma]</w:t>
      </w:r>
      <w:r w:rsidR="00B91392">
        <w:t xml:space="preserve"> to any of its other Oklahoma </w:t>
      </w:r>
      <w:r w:rsidR="00397795">
        <w:t>ILEC</w:t>
      </w:r>
      <w:r w:rsidR="00EE2BAA">
        <w:t xml:space="preserve"> </w:t>
      </w:r>
      <w:r w:rsidR="00B91392">
        <w:t>affiliates that offer BDS under rate-of-return regulation.”</w:t>
      </w:r>
      <w:r>
        <w:rPr>
          <w:rStyle w:val="FootnoteReference"/>
        </w:rPr>
        <w:footnoteReference w:id="43"/>
      </w:r>
      <w:r w:rsidR="00C3023C">
        <w:t xml:space="preserve">  </w:t>
      </w:r>
      <w:r w:rsidR="008E269A">
        <w:t xml:space="preserve">Based on the evidence </w:t>
      </w:r>
      <w:r w:rsidR="00EE3197">
        <w:t xml:space="preserve">presented </w:t>
      </w:r>
      <w:r w:rsidR="008E269A">
        <w:t xml:space="preserve">demonstrating that Hilliary has not engaged in improper </w:t>
      </w:r>
      <w:r w:rsidR="00EB09C6">
        <w:t xml:space="preserve">BDS </w:t>
      </w:r>
      <w:r w:rsidR="008E269A">
        <w:t>cost-shifting</w:t>
      </w:r>
      <w:r w:rsidR="00340122">
        <w:t>,</w:t>
      </w:r>
      <w:r w:rsidR="008E269A">
        <w:t xml:space="preserve"> and its </w:t>
      </w:r>
      <w:r w:rsidR="00DE484C">
        <w:t xml:space="preserve">commitment to </w:t>
      </w:r>
      <w:r w:rsidR="00791BFD">
        <w:t>not do so</w:t>
      </w:r>
      <w:r w:rsidR="00E85871">
        <w:t xml:space="preserve"> among </w:t>
      </w:r>
      <w:r w:rsidR="00340122">
        <w:t xml:space="preserve">both </w:t>
      </w:r>
      <w:r w:rsidR="00E85871">
        <w:t>its current subsidiaries and</w:t>
      </w:r>
      <w:r w:rsidR="002F05C4">
        <w:t xml:space="preserve"> </w:t>
      </w:r>
      <w:r w:rsidR="00E85871">
        <w:t>those which it is acquiring, we are persuaded that the</w:t>
      </w:r>
      <w:r w:rsidR="002F05C4">
        <w:t xml:space="preserve"> proposed transaction is not likely to </w:t>
      </w:r>
      <w:r w:rsidR="00D65C1D">
        <w:t xml:space="preserve">result in a potential harm that would </w:t>
      </w:r>
      <w:r w:rsidR="00183779">
        <w:t>negatively impact the</w:t>
      </w:r>
      <w:r w:rsidR="002F05C4">
        <w:t xml:space="preserve"> public interest.</w:t>
      </w:r>
    </w:p>
    <w:p w:rsidR="00C949A7" w:rsidRPr="002D0C7A" w:rsidP="00846EFA" w14:paraId="3F00F149" w14:textId="77777777">
      <w:pPr>
        <w:autoSpaceDE w:val="0"/>
        <w:autoSpaceDN w:val="0"/>
        <w:adjustRightInd w:val="0"/>
        <w:spacing w:after="120"/>
        <w:ind w:firstLine="720"/>
        <w:rPr>
          <w:b/>
          <w:bCs/>
        </w:rPr>
      </w:pPr>
    </w:p>
    <w:p w:rsidR="00DD6223" w14:paraId="1557D372" w14:textId="77777777">
      <w:pPr>
        <w:widowControl/>
        <w:rPr>
          <w:b/>
          <w:bCs/>
          <w:u w:val="single"/>
        </w:rPr>
      </w:pPr>
      <w:r>
        <w:rPr>
          <w:b/>
          <w:bCs/>
          <w:u w:val="single"/>
        </w:rPr>
        <w:br w:type="page"/>
      </w:r>
    </w:p>
    <w:p w:rsidR="00255DCA" w:rsidRPr="00255DCA" w:rsidP="00255DCA" w14:paraId="20C12CA7" w14:textId="23D74AA8">
      <w:pPr>
        <w:autoSpaceDE w:val="0"/>
        <w:autoSpaceDN w:val="0"/>
        <w:adjustRightInd w:val="0"/>
        <w:spacing w:after="120"/>
        <w:rPr>
          <w:b/>
          <w:bCs/>
          <w:u w:val="single"/>
        </w:rPr>
      </w:pPr>
      <w:r w:rsidRPr="00255DCA">
        <w:rPr>
          <w:b/>
          <w:bCs/>
          <w:u w:val="single"/>
        </w:rPr>
        <w:t>Grant of Application</w:t>
      </w:r>
    </w:p>
    <w:p w:rsidR="00360F2B" w:rsidRPr="00360F2B" w:rsidP="0090011A" w14:paraId="1E018C25" w14:textId="1A15B025">
      <w:pPr>
        <w:widowControl/>
        <w:autoSpaceDE w:val="0"/>
        <w:autoSpaceDN w:val="0"/>
        <w:adjustRightInd w:val="0"/>
        <w:spacing w:after="120"/>
        <w:ind w:firstLine="720"/>
      </w:pPr>
      <w:r w:rsidRPr="00360F2B">
        <w:t>We find that grant of the Application will serve the public interest, convenience, and necessity.</w:t>
      </w:r>
      <w:bookmarkStart w:id="13" w:name="_Hlk216377346"/>
      <w:r>
        <w:rPr>
          <w:vertAlign w:val="superscript"/>
        </w:rPr>
        <w:footnoteReference w:id="44"/>
      </w:r>
      <w:r w:rsidRPr="00360F2B">
        <w:t xml:space="preserve">  </w:t>
      </w:r>
      <w:bookmarkEnd w:id="13"/>
      <w:r w:rsidRPr="00360F2B">
        <w:t>Therefore, pursuant to section 214 of the Act, 47 U.S.C. § 214, and sections 0.91, 0.291, and 63.04 of the Commission’s rules, 47 CFR §§ 0.91, 0.291, and 63.04, the Bureau hereby grants the Application discussed in this Public Notice.</w:t>
      </w:r>
      <w:r>
        <w:rPr>
          <w:vertAlign w:val="superscript"/>
        </w:rPr>
        <w:footnoteReference w:id="45"/>
      </w:r>
      <w:r w:rsidRPr="00360F2B">
        <w:t xml:space="preserve"> </w:t>
      </w:r>
    </w:p>
    <w:p w:rsidR="00360F2B" w:rsidP="00360F2B" w14:paraId="6798D012" w14:textId="30DE1FAB">
      <w:pPr>
        <w:autoSpaceDE w:val="0"/>
        <w:autoSpaceDN w:val="0"/>
        <w:adjustRightInd w:val="0"/>
        <w:spacing w:after="120"/>
        <w:ind w:firstLine="720"/>
      </w:pPr>
      <w:r w:rsidRPr="00360F2B">
        <w:t>Pursuant to section 1.103 of the Commission’s rules, 47 CFR § 1.103, the grant is effective upon release of this Public Notice.  Petitions for reconsideration under section 1.106 or application for review under section 1.115 of the Commission's rules, 47 CFR §§ 1.106, 1.115, may be filed within 30 days of the date of this Public Notice.</w:t>
      </w:r>
    </w:p>
    <w:bookmarkEnd w:id="12"/>
    <w:p w:rsidR="00DF0BCD" w:rsidP="00D33631" w14:paraId="6595307B" w14:textId="0FAB7CB0">
      <w:pPr>
        <w:autoSpaceDE w:val="0"/>
        <w:autoSpaceDN w:val="0"/>
        <w:adjustRightInd w:val="0"/>
        <w:spacing w:after="120"/>
        <w:ind w:firstLine="720"/>
      </w:pPr>
      <w:r w:rsidRPr="003B1C20">
        <w:rPr>
          <w:szCs w:val="22"/>
        </w:rPr>
        <w:t>For further information, please contact</w:t>
      </w:r>
      <w:r w:rsidRPr="002E52B5" w:rsidR="002E52B5">
        <w:rPr>
          <w:szCs w:val="22"/>
        </w:rPr>
        <w:t xml:space="preserve"> </w:t>
      </w:r>
      <w:r w:rsidR="00E45308">
        <w:rPr>
          <w:szCs w:val="22"/>
        </w:rPr>
        <w:t>Dennis Johnson</w:t>
      </w:r>
      <w:r>
        <w:rPr>
          <w:szCs w:val="22"/>
        </w:rPr>
        <w:t>, Competition Policy Division, Wireline Competition Bureau,</w:t>
      </w:r>
      <w:r w:rsidRPr="003B1C20">
        <w:rPr>
          <w:szCs w:val="22"/>
        </w:rPr>
        <w:t xml:space="preserve"> at </w:t>
      </w:r>
      <w:r>
        <w:fldChar w:fldCharType="begin"/>
      </w:r>
      <w:r w:rsidRPr="00E45308" w:rsidR="00E45308">
        <w:rPr>
          <w:rStyle w:val="Hyperlink"/>
          <w:szCs w:val="22"/>
        </w:rPr>
        <w:instrText xml:space="preserve"> HYPERLINK "https://fccoffice-my.sharepoint.com/personal/dennis_johnson_fcc_gov/Documents/Downloads/Dennis.Johnson@fcc.gov" </w:instrText>
      </w:r>
      <w:r>
        <w:fldChar w:fldCharType="separate"/>
      </w:r>
      <w:r w:rsidRPr="00E45308" w:rsidR="00E45308">
        <w:rPr>
          <w:rStyle w:val="Hyperlink"/>
          <w:szCs w:val="22"/>
        </w:rPr>
        <w:t>Dennis.Johnson@fcc.gov</w:t>
      </w:r>
      <w:r>
        <w:fldChar w:fldCharType="end"/>
      </w:r>
      <w:r w:rsidR="00BD71EB">
        <w:t>.</w:t>
      </w:r>
    </w:p>
    <w:p w:rsidR="00E45308" w:rsidP="00D33631" w14:paraId="776F4A73" w14:textId="77777777">
      <w:pPr>
        <w:autoSpaceDE w:val="0"/>
        <w:autoSpaceDN w:val="0"/>
        <w:adjustRightInd w:val="0"/>
        <w:spacing w:after="120"/>
        <w:ind w:firstLine="720"/>
      </w:pPr>
    </w:p>
    <w:p w:rsidR="00E45308" w:rsidP="00D33631" w14:paraId="1535977D" w14:textId="77777777">
      <w:pPr>
        <w:autoSpaceDE w:val="0"/>
        <w:autoSpaceDN w:val="0"/>
        <w:adjustRightInd w:val="0"/>
        <w:spacing w:after="120"/>
        <w:ind w:firstLine="720"/>
        <w:rPr>
          <w:szCs w:val="22"/>
        </w:rPr>
      </w:pPr>
    </w:p>
    <w:p w:rsidR="00EE40CC" w:rsidRPr="003B1C20" w:rsidP="00D33631" w14:paraId="53B432B6" w14:textId="77777777">
      <w:pPr>
        <w:autoSpaceDE w:val="0"/>
        <w:autoSpaceDN w:val="0"/>
        <w:adjustRightInd w:val="0"/>
        <w:spacing w:after="120"/>
        <w:ind w:firstLine="720"/>
        <w:rPr>
          <w:szCs w:val="22"/>
        </w:rPr>
      </w:pPr>
    </w:p>
    <w:p w:rsidR="00BA3BA8" w:rsidRPr="00DF0BCD" w:rsidP="00DF0BCD" w14:paraId="2771DCF1" w14:textId="77777777">
      <w:pPr>
        <w:autoSpaceDE w:val="0"/>
        <w:autoSpaceDN w:val="0"/>
        <w:adjustRightInd w:val="0"/>
        <w:jc w:val="center"/>
        <w:rPr>
          <w:color w:val="000000"/>
          <w:szCs w:val="22"/>
        </w:rPr>
      </w:pPr>
      <w:r w:rsidRPr="007D6E06">
        <w:rPr>
          <w:b/>
          <w:szCs w:val="22"/>
        </w:rPr>
        <w:t>-FCC-</w:t>
      </w:r>
      <w:bookmarkEnd w:id="1"/>
    </w:p>
    <w:sectPr>
      <w:headerReference w:type="default" r:id="rId6"/>
      <w:footerReference w:type="even" r:id="rId7"/>
      <w:footerReference w:type="default" r:id="rId8"/>
      <w:headerReference w:type="first" r:id="rId9"/>
      <w:footerReference w:type="first" r:id="rId10"/>
      <w:endnotePr>
        <w:numFmt w:val="decimal"/>
      </w:endnotePr>
      <w:pgSz w:w="12240" w:h="15840"/>
      <w:pgMar w:top="1440" w:right="1440" w:bottom="720" w:left="1440" w:header="63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8A045F" w14:paraId="66479DD2" w14:textId="77777777">
      <w:pPr>
        <w:spacing w:line="20" w:lineRule="exact"/>
      </w:pPr>
    </w:p>
  </w:endnote>
  <w:endnote w:type="continuationSeparator" w:id="1">
    <w:p w:rsidR="008A045F" w14:paraId="608BBADD" w14:textId="77777777">
      <w:r>
        <w:t xml:space="preserve"> </w:t>
      </w:r>
    </w:p>
  </w:endnote>
  <w:endnote w:type="continuationNotice" w:id="2">
    <w:p w:rsidR="008A045F" w14:paraId="0AE3708F"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3BA8" w14:paraId="639C2B22" w14:textId="77777777">
    <w:pPr>
      <w:pStyle w:val="Footer"/>
      <w:framePr w:wrap="around" w:vAnchor="text" w:hAnchor="margin" w:xAlign="center" w:y="1"/>
    </w:pPr>
    <w:r>
      <w:fldChar w:fldCharType="begin"/>
    </w:r>
    <w:r>
      <w:instrText xml:space="preserve">PAGE  </w:instrText>
    </w:r>
    <w:r>
      <w:fldChar w:fldCharType="separate"/>
    </w:r>
    <w:r>
      <w:fldChar w:fldCharType="end"/>
    </w:r>
  </w:p>
  <w:p w:rsidR="00BA3BA8" w14:paraId="792FA83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3BA8" w14:paraId="215EB5DB"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3BA8" w14:paraId="42684CF8" w14:textId="77777777">
    <w:pPr>
      <w:pStyle w:val="Footer"/>
      <w:tabs>
        <w:tab w:val="clear"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A045F" w14:paraId="64B73A13" w14:textId="77777777">
      <w:r>
        <w:separator/>
      </w:r>
    </w:p>
  </w:footnote>
  <w:footnote w:type="continuationSeparator" w:id="1">
    <w:p w:rsidR="008A045F" w14:paraId="64B2564A" w14:textId="77777777">
      <w:pPr>
        <w:rPr>
          <w:sz w:val="20"/>
        </w:rPr>
      </w:pPr>
      <w:r>
        <w:rPr>
          <w:sz w:val="20"/>
        </w:rPr>
        <w:t xml:space="preserve">(Continued from previous page)  </w:t>
      </w:r>
      <w:r>
        <w:rPr>
          <w:sz w:val="20"/>
        </w:rPr>
        <w:separator/>
      </w:r>
    </w:p>
  </w:footnote>
  <w:footnote w:type="continuationNotice" w:id="2">
    <w:p w:rsidR="008A045F" w14:paraId="6406E07D" w14:textId="77777777">
      <w:pPr>
        <w:jc w:val="right"/>
        <w:rPr>
          <w:sz w:val="20"/>
        </w:rPr>
      </w:pPr>
      <w:r>
        <w:rPr>
          <w:sz w:val="20"/>
        </w:rPr>
        <w:t>(continued….)</w:t>
      </w:r>
    </w:p>
  </w:footnote>
  <w:footnote w:id="3">
    <w:p w:rsidR="007B1374" w:rsidRPr="002F58F1" w:rsidP="007B1374" w14:paraId="4BD4134C" w14:textId="77777777">
      <w:pPr>
        <w:pStyle w:val="FootnoteText"/>
      </w:pPr>
      <w:r w:rsidRPr="002F58F1">
        <w:rPr>
          <w:rStyle w:val="FootnoteReference"/>
          <w:sz w:val="20"/>
        </w:rPr>
        <w:footnoteRef/>
      </w:r>
      <w:r w:rsidRPr="002F58F1">
        <w:t xml:space="preserve"> </w:t>
      </w:r>
      <w:r w:rsidRPr="002F58F1">
        <w:rPr>
          <w:i/>
        </w:rPr>
        <w:t>See</w:t>
      </w:r>
      <w:r w:rsidRPr="002F58F1">
        <w:t xml:space="preserve"> 47 U.S.C. § 214(a); 47 CFR § 63.04.</w:t>
      </w:r>
    </w:p>
  </w:footnote>
  <w:footnote w:id="4">
    <w:p w:rsidR="007B1374" w:rsidRPr="002F58F1" w:rsidP="007B1374" w14:paraId="21F517A3" w14:textId="39FCEC00">
      <w:pPr>
        <w:widowControl/>
        <w:autoSpaceDE w:val="0"/>
        <w:autoSpaceDN w:val="0"/>
        <w:adjustRightInd w:val="0"/>
        <w:spacing w:after="120"/>
        <w:rPr>
          <w:sz w:val="20"/>
        </w:rPr>
      </w:pPr>
      <w:r w:rsidRPr="002F58F1">
        <w:rPr>
          <w:rStyle w:val="FootnoteReference"/>
          <w:sz w:val="20"/>
        </w:rPr>
        <w:footnoteRef/>
      </w:r>
      <w:r w:rsidRPr="002F58F1">
        <w:rPr>
          <w:sz w:val="20"/>
        </w:rPr>
        <w:t xml:space="preserve"> Domestic Section 214 Application filed for the </w:t>
      </w:r>
      <w:bookmarkStart w:id="5" w:name="_Hlk193461235"/>
      <w:r w:rsidRPr="002F58F1">
        <w:rPr>
          <w:sz w:val="20"/>
        </w:rPr>
        <w:t>Transfer of Control of</w:t>
      </w:r>
      <w:r w:rsidRPr="002F58F1">
        <w:rPr>
          <w:b/>
          <w:bCs/>
          <w:sz w:val="20"/>
        </w:rPr>
        <w:t xml:space="preserve"> </w:t>
      </w:r>
      <w:bookmarkStart w:id="6" w:name="_Hlk203569752"/>
      <w:bookmarkEnd w:id="5"/>
      <w:r w:rsidRPr="002F58F1">
        <w:rPr>
          <w:sz w:val="20"/>
        </w:rPr>
        <w:t>Oklahoma Communication Systems, LLC and Mid-America Telephone, from TDS Telecom</w:t>
      </w:r>
      <w:r w:rsidR="00F46375">
        <w:rPr>
          <w:sz w:val="20"/>
        </w:rPr>
        <w:t>munications, LLC</w:t>
      </w:r>
      <w:r w:rsidRPr="002F58F1">
        <w:rPr>
          <w:sz w:val="20"/>
        </w:rPr>
        <w:t xml:space="preserve"> to Hilliary</w:t>
      </w:r>
      <w:bookmarkEnd w:id="6"/>
      <w:r w:rsidR="00F46375">
        <w:rPr>
          <w:sz w:val="20"/>
        </w:rPr>
        <w:t xml:space="preserve"> Acquisition Oklahoma II, LLC</w:t>
      </w:r>
      <w:r w:rsidRPr="002F58F1">
        <w:rPr>
          <w:sz w:val="20"/>
        </w:rPr>
        <w:t xml:space="preserve">, WC Docket No. 25-232 (filed July 15, 2025) (Application).  </w:t>
      </w:r>
      <w:r w:rsidR="00AE634D">
        <w:rPr>
          <w:sz w:val="20"/>
        </w:rPr>
        <w:t xml:space="preserve">Applicants </w:t>
      </w:r>
      <w:r w:rsidR="007A5BEB">
        <w:rPr>
          <w:sz w:val="20"/>
        </w:rPr>
        <w:t>filed su</w:t>
      </w:r>
      <w:r w:rsidR="00985D6C">
        <w:rPr>
          <w:sz w:val="20"/>
        </w:rPr>
        <w:t>pplement</w:t>
      </w:r>
      <w:r w:rsidR="00B44BC5">
        <w:rPr>
          <w:sz w:val="20"/>
        </w:rPr>
        <w:t>s</w:t>
      </w:r>
      <w:r w:rsidR="00985D6C">
        <w:rPr>
          <w:sz w:val="20"/>
        </w:rPr>
        <w:t xml:space="preserve"> to their Application on </w:t>
      </w:r>
      <w:bookmarkStart w:id="7" w:name="_Hlk215845844"/>
      <w:r w:rsidR="00985D6C">
        <w:rPr>
          <w:sz w:val="20"/>
        </w:rPr>
        <w:t>November 25, 2025</w:t>
      </w:r>
      <w:bookmarkEnd w:id="7"/>
      <w:r w:rsidR="00711B25">
        <w:rPr>
          <w:sz w:val="20"/>
        </w:rPr>
        <w:t>,</w:t>
      </w:r>
      <w:r w:rsidR="00B44BC5">
        <w:rPr>
          <w:sz w:val="20"/>
        </w:rPr>
        <w:t xml:space="preserve"> and December </w:t>
      </w:r>
      <w:r w:rsidR="00AB132A">
        <w:rPr>
          <w:sz w:val="20"/>
        </w:rPr>
        <w:t>5</w:t>
      </w:r>
      <w:r w:rsidR="00B44BC5">
        <w:rPr>
          <w:sz w:val="20"/>
        </w:rPr>
        <w:t>, 2025</w:t>
      </w:r>
      <w:r w:rsidR="00985D6C">
        <w:rPr>
          <w:sz w:val="20"/>
        </w:rPr>
        <w:t xml:space="preserve">.  </w:t>
      </w:r>
      <w:bookmarkStart w:id="8" w:name="_Hlk215845158"/>
      <w:r w:rsidR="00103CAF">
        <w:rPr>
          <w:sz w:val="20"/>
        </w:rPr>
        <w:t xml:space="preserve">Letter from </w:t>
      </w:r>
      <w:r w:rsidR="00BC436C">
        <w:rPr>
          <w:sz w:val="20"/>
        </w:rPr>
        <w:t>Matthew S. DelNero</w:t>
      </w:r>
      <w:r w:rsidR="006812A1">
        <w:rPr>
          <w:sz w:val="20"/>
        </w:rPr>
        <w:t xml:space="preserve"> et al.</w:t>
      </w:r>
      <w:r w:rsidR="00BC436C">
        <w:rPr>
          <w:sz w:val="20"/>
        </w:rPr>
        <w:t xml:space="preserve">, Counsel for TDS Telecommunications, LLC, </w:t>
      </w:r>
      <w:r w:rsidR="006812A1">
        <w:rPr>
          <w:sz w:val="20"/>
        </w:rPr>
        <w:t xml:space="preserve">and </w:t>
      </w:r>
      <w:r w:rsidR="00103CAF">
        <w:rPr>
          <w:sz w:val="20"/>
        </w:rPr>
        <w:t>R</w:t>
      </w:r>
      <w:r w:rsidR="006812A1">
        <w:rPr>
          <w:sz w:val="20"/>
        </w:rPr>
        <w:t xml:space="preserve">obert </w:t>
      </w:r>
      <w:r w:rsidR="00CD2645">
        <w:rPr>
          <w:sz w:val="20"/>
        </w:rPr>
        <w:t xml:space="preserve">A. </w:t>
      </w:r>
      <w:r w:rsidR="006812A1">
        <w:rPr>
          <w:sz w:val="20"/>
        </w:rPr>
        <w:t>Silverman</w:t>
      </w:r>
      <w:r w:rsidR="00CD2645">
        <w:rPr>
          <w:sz w:val="20"/>
        </w:rPr>
        <w:t xml:space="preserve"> et al.</w:t>
      </w:r>
      <w:r w:rsidR="00103CAF">
        <w:rPr>
          <w:sz w:val="20"/>
        </w:rPr>
        <w:t>, Counsel for Hilliary Communications LLC, to Marlene H. Dortch, Secretary, FCC, WC Docket No. 25-232</w:t>
      </w:r>
      <w:r w:rsidR="001F6C3D">
        <w:rPr>
          <w:sz w:val="20"/>
        </w:rPr>
        <w:t xml:space="preserve"> (filed on Dec. 3, 2025)</w:t>
      </w:r>
      <w:r w:rsidR="00333CB2">
        <w:rPr>
          <w:sz w:val="20"/>
        </w:rPr>
        <w:t xml:space="preserve"> (Dec. 3 Supplement)</w:t>
      </w:r>
      <w:bookmarkEnd w:id="8"/>
      <w:r w:rsidR="00015F7F">
        <w:rPr>
          <w:sz w:val="20"/>
        </w:rPr>
        <w:t>; Letter from Matthew S. DelNero et al., Counsel for TDS Telecommunications, LLC, and Robert A. Silverman et al., Counsel for Hilliary Communications LLC, to Marlene H. Dortch, Secretary, FCC, WC Docket No. 25-232 (filed on Dec. 5, 2025) (Dec. 5 Supplement)</w:t>
      </w:r>
      <w:r w:rsidR="00685060">
        <w:rPr>
          <w:sz w:val="20"/>
        </w:rPr>
        <w:t>.</w:t>
      </w:r>
      <w:r w:rsidR="00B61DA7">
        <w:rPr>
          <w:sz w:val="20"/>
        </w:rPr>
        <w:t xml:space="preserve"> </w:t>
      </w:r>
      <w:r w:rsidR="00B44BC5">
        <w:rPr>
          <w:sz w:val="20"/>
        </w:rPr>
        <w:t xml:space="preserve"> </w:t>
      </w:r>
      <w:r w:rsidR="00033E47">
        <w:rPr>
          <w:sz w:val="20"/>
        </w:rPr>
        <w:t xml:space="preserve">Hilliary’s sister corporation, Hilliary Communications, LLC (Hilliary Communications), an Oklahoma limited liability company, filed an </w:t>
      </w:r>
      <w:r w:rsidRPr="00AF292D" w:rsidR="00033E47">
        <w:rPr>
          <w:i/>
          <w:iCs/>
          <w:sz w:val="20"/>
        </w:rPr>
        <w:t>ex parte</w:t>
      </w:r>
      <w:r w:rsidR="00033E47">
        <w:rPr>
          <w:sz w:val="20"/>
        </w:rPr>
        <w:t xml:space="preserve"> letter with an attached declaration on November 25, 2025.  Letter from Richard R. Cameron et al., Counsel for Hilliary Communications LLC, to Marlene H. Dortch, Secretary, FCC, WC Docket No. 25-232 (filed on Nov. 25, 2025) (</w:t>
      </w:r>
      <w:bookmarkStart w:id="9" w:name="_Hlk215846621"/>
      <w:r w:rsidR="00033E47">
        <w:rPr>
          <w:sz w:val="20"/>
        </w:rPr>
        <w:t xml:space="preserve">Hilliary Nov. 25 </w:t>
      </w:r>
      <w:r w:rsidRPr="004822D1" w:rsidR="00033E47">
        <w:rPr>
          <w:i/>
          <w:iCs/>
          <w:sz w:val="20"/>
        </w:rPr>
        <w:t>Ex Parte</w:t>
      </w:r>
      <w:r w:rsidR="00033E47">
        <w:rPr>
          <w:sz w:val="20"/>
        </w:rPr>
        <w:t xml:space="preserve"> Letter</w:t>
      </w:r>
      <w:bookmarkEnd w:id="9"/>
      <w:r w:rsidRPr="00372497" w:rsidR="00033E47">
        <w:rPr>
          <w:sz w:val="20"/>
        </w:rPr>
        <w:t>)</w:t>
      </w:r>
      <w:r w:rsidR="00033E47">
        <w:rPr>
          <w:sz w:val="20"/>
        </w:rPr>
        <w:t>;</w:t>
      </w:r>
      <w:r w:rsidRPr="00372497" w:rsidR="00033E47">
        <w:t xml:space="preserve"> </w:t>
      </w:r>
      <w:r w:rsidRPr="00341E1B" w:rsidR="00033E47">
        <w:rPr>
          <w:sz w:val="20"/>
        </w:rPr>
        <w:t xml:space="preserve">Declaration of Jamie Pennello, Attach. to Hilliary Nov. 25 </w:t>
      </w:r>
      <w:r w:rsidRPr="00341E1B" w:rsidR="00033E47">
        <w:rPr>
          <w:i/>
          <w:iCs/>
          <w:sz w:val="20"/>
        </w:rPr>
        <w:t>Ex Parte</w:t>
      </w:r>
      <w:r w:rsidRPr="00341E1B" w:rsidR="00033E47">
        <w:rPr>
          <w:sz w:val="20"/>
        </w:rPr>
        <w:t xml:space="preserve"> Letter (Pennello Declaration).  </w:t>
      </w:r>
      <w:r w:rsidRPr="002F58F1">
        <w:rPr>
          <w:sz w:val="20"/>
        </w:rPr>
        <w:t xml:space="preserve">Any action on the Application is without prejudice to Commission action on other related, pending applications. </w:t>
      </w:r>
    </w:p>
  </w:footnote>
  <w:footnote w:id="5">
    <w:p w:rsidR="009D3619" w:rsidRPr="00443BC2" w:rsidP="009D3619" w14:paraId="6B661655" w14:textId="63F13A9B">
      <w:pPr>
        <w:pStyle w:val="FootnoteText"/>
      </w:pPr>
      <w:r w:rsidRPr="003837AD">
        <w:rPr>
          <w:rStyle w:val="FootnoteReference"/>
        </w:rPr>
        <w:footnoteRef/>
      </w:r>
      <w:r w:rsidRPr="003837AD">
        <w:t xml:space="preserve"> </w:t>
      </w:r>
      <w:r w:rsidRPr="003837AD">
        <w:rPr>
          <w:i/>
          <w:iCs/>
        </w:rPr>
        <w:t xml:space="preserve">See Domestic Section 214 Application Filed for the </w:t>
      </w:r>
      <w:r w:rsidRPr="00503779">
        <w:rPr>
          <w:i/>
          <w:iCs/>
        </w:rPr>
        <w:t>Transfer of Control of</w:t>
      </w:r>
      <w:r w:rsidR="000B0166">
        <w:rPr>
          <w:i/>
          <w:iCs/>
        </w:rPr>
        <w:t xml:space="preserve"> </w:t>
      </w:r>
      <w:r w:rsidR="009266D4">
        <w:rPr>
          <w:i/>
          <w:iCs/>
        </w:rPr>
        <w:t xml:space="preserve">Oklahoma Communications Systems, LLC and Mid-America Telephone, LLC From </w:t>
      </w:r>
      <w:r w:rsidR="007850B5">
        <w:rPr>
          <w:i/>
          <w:iCs/>
        </w:rPr>
        <w:t>TDS Telecommunications, LLC to Hilliary Acquisition Oklahoma II, LLC</w:t>
      </w:r>
      <w:r w:rsidRPr="007F5C73" w:rsidR="000B0166">
        <w:t>,</w:t>
      </w:r>
      <w:r w:rsidRPr="00857452" w:rsidR="000B0166">
        <w:t xml:space="preserve"> WC Docket No. 2</w:t>
      </w:r>
      <w:r w:rsidR="000B0166">
        <w:t>5</w:t>
      </w:r>
      <w:r w:rsidRPr="00857452" w:rsidR="000B0166">
        <w:t>-</w:t>
      </w:r>
      <w:r w:rsidR="007850B5">
        <w:t>232</w:t>
      </w:r>
      <w:r w:rsidRPr="00857452">
        <w:t xml:space="preserve">, </w:t>
      </w:r>
      <w:r w:rsidRPr="003837AD">
        <w:t>Public Notice, DA 25-</w:t>
      </w:r>
      <w:r w:rsidR="007850B5">
        <w:t>74</w:t>
      </w:r>
      <w:r w:rsidRPr="003837AD">
        <w:t xml:space="preserve"> (WCB 2025).</w:t>
      </w:r>
    </w:p>
  </w:footnote>
  <w:footnote w:id="6">
    <w:p w:rsidR="005D0439" w:rsidRPr="002F58F1" w:rsidP="005D0439" w14:paraId="452DD35F" w14:textId="708C7D32">
      <w:pPr>
        <w:pStyle w:val="FootnoteText"/>
      </w:pPr>
      <w:r w:rsidRPr="00994291">
        <w:rPr>
          <w:rStyle w:val="FootnoteReference"/>
          <w:sz w:val="20"/>
        </w:rPr>
        <w:footnoteRef/>
      </w:r>
      <w:r w:rsidRPr="002F58F1">
        <w:t xml:space="preserve"> </w:t>
      </w:r>
      <w:r w:rsidRPr="0096546E" w:rsidR="0096546E">
        <w:t>Application</w:t>
      </w:r>
      <w:r w:rsidRPr="002F58F1">
        <w:t xml:space="preserve"> at 2. </w:t>
      </w:r>
    </w:p>
  </w:footnote>
  <w:footnote w:id="7">
    <w:p w:rsidR="009C0836" w14:paraId="2C7B0CF0" w14:textId="79E5048B">
      <w:pPr>
        <w:pStyle w:val="FootnoteText"/>
      </w:pPr>
      <w:r>
        <w:rPr>
          <w:rStyle w:val="FootnoteReference"/>
        </w:rPr>
        <w:footnoteRef/>
      </w:r>
      <w:r>
        <w:t xml:space="preserve"> </w:t>
      </w:r>
      <w:r w:rsidRPr="00741690" w:rsidR="00741690">
        <w:rPr>
          <w:i/>
          <w:iCs/>
        </w:rPr>
        <w:t>Id.</w:t>
      </w:r>
    </w:p>
  </w:footnote>
  <w:footnote w:id="8">
    <w:p w:rsidR="004D25D8" w14:paraId="67248D24" w14:textId="43DD05EE">
      <w:pPr>
        <w:pStyle w:val="FootnoteText"/>
      </w:pPr>
      <w:r>
        <w:rPr>
          <w:rStyle w:val="FootnoteReference"/>
        </w:rPr>
        <w:footnoteRef/>
      </w:r>
      <w:r>
        <w:t xml:space="preserve"> Applicants state the following: Oklahoma Communications provides service in the Adai, Choctaw, Cyril, Elgin, Fletcher, Gracemont, Inola, Jones, Kellyville, Mounds, Union City, and Verden Exchanges in Oklahoma; and Mid-America Telephone provides service in the Bromide, </w:t>
      </w:r>
      <w:r>
        <w:t>Fittstown</w:t>
      </w:r>
      <w:r>
        <w:t>, Hennepin, and Stonewall Exchanges in Oklahoma.  Dec. 3 Supplement at 1.</w:t>
      </w:r>
    </w:p>
  </w:footnote>
  <w:footnote w:id="9">
    <w:p w:rsidR="005D0439" w:rsidRPr="002F58F1" w:rsidP="005D0439" w14:paraId="0A12AEAB" w14:textId="13DED834">
      <w:pPr>
        <w:pStyle w:val="FootnoteText"/>
        <w:rPr>
          <w:i/>
          <w:iCs/>
        </w:rPr>
      </w:pPr>
      <w:r w:rsidRPr="00994291">
        <w:rPr>
          <w:rStyle w:val="FootnoteReference"/>
          <w:sz w:val="20"/>
        </w:rPr>
        <w:footnoteRef/>
      </w:r>
      <w:r w:rsidRPr="002F58F1">
        <w:t xml:space="preserve"> </w:t>
      </w:r>
      <w:r w:rsidRPr="00306AE5" w:rsidR="00306AE5">
        <w:t>Application at 2</w:t>
      </w:r>
      <w:r w:rsidRPr="00306AE5">
        <w:t>.</w:t>
      </w:r>
      <w:r w:rsidRPr="002F58F1">
        <w:rPr>
          <w:i/>
          <w:iCs/>
        </w:rPr>
        <w:t xml:space="preserve">  Wireline Competition Bureau Authorizes 368 Companies in 44 States to Receive Enhanced Alternative Connect America Cost Model Support to Expand Rural Broadband</w:t>
      </w:r>
      <w:r w:rsidRPr="006D4ED4">
        <w:t>,</w:t>
      </w:r>
      <w:r w:rsidRPr="002F58F1">
        <w:rPr>
          <w:i/>
          <w:iCs/>
        </w:rPr>
        <w:t xml:space="preserve"> </w:t>
      </w:r>
      <w:r w:rsidRPr="0025521D">
        <w:t>WC Docket No. 10-90, Public Notice, 39 FCC Rcd 11737 (WCB 2023)</w:t>
      </w:r>
      <w:r>
        <w:t xml:space="preserve"> (</w:t>
      </w:r>
      <w:r w:rsidRPr="001D1BC6">
        <w:rPr>
          <w:i/>
          <w:iCs/>
        </w:rPr>
        <w:t>Authorization Public Notice</w:t>
      </w:r>
      <w:r>
        <w:t>)</w:t>
      </w:r>
      <w:r w:rsidRPr="0025521D">
        <w:t>; Enhanced A-CAM Authorization Report 1.2</w:t>
      </w:r>
      <w:r>
        <w:t xml:space="preserve">, </w:t>
      </w:r>
      <w:hyperlink r:id="rId1" w:history="1">
        <w:r w:rsidRPr="0012392E">
          <w:rPr>
            <w:rStyle w:val="Hyperlink"/>
          </w:rPr>
          <w:t>https://docs.fcc.gov/public/attachments/DOC-412953A1.xlsx</w:t>
        </w:r>
      </w:hyperlink>
      <w:r>
        <w:rPr>
          <w:i/>
          <w:iCs/>
        </w:rPr>
        <w:t xml:space="preserve"> (</w:t>
      </w:r>
      <w:r w:rsidRPr="001D1BC6">
        <w:t>Authorization Report).</w:t>
      </w:r>
      <w:r>
        <w:rPr>
          <w:i/>
          <w:iCs/>
        </w:rPr>
        <w:t xml:space="preserve">  </w:t>
      </w:r>
      <w:r w:rsidRPr="002F58F1">
        <w:t xml:space="preserve">Applicants state that both </w:t>
      </w:r>
      <w:r w:rsidR="009E7E2E">
        <w:t>Licensees</w:t>
      </w:r>
      <w:r w:rsidRPr="002F58F1">
        <w:t xml:space="preserve"> participate in the Lifeline program and w</w:t>
      </w:r>
      <w:r>
        <w:t xml:space="preserve">ill </w:t>
      </w:r>
      <w:r w:rsidRPr="002F58F1">
        <w:t xml:space="preserve">continue to do so post-transaction.  </w:t>
      </w:r>
      <w:r w:rsidRPr="004F0A67">
        <w:t>Application at 2.</w:t>
      </w:r>
      <w:r w:rsidRPr="002F58F1">
        <w:rPr>
          <w:i/>
          <w:iCs/>
        </w:rPr>
        <w:t xml:space="preserve"> </w:t>
      </w:r>
    </w:p>
  </w:footnote>
  <w:footnote w:id="10">
    <w:p w:rsidR="005D0439" w:rsidRPr="002F58F1" w:rsidP="005D0439" w14:paraId="09C390B8" w14:textId="77777777">
      <w:pPr>
        <w:pStyle w:val="FootnoteText"/>
      </w:pPr>
      <w:r w:rsidRPr="0025521D">
        <w:rPr>
          <w:rStyle w:val="FootnoteReference"/>
          <w:sz w:val="20"/>
        </w:rPr>
        <w:footnoteRef/>
      </w:r>
      <w:r w:rsidRPr="002F58F1">
        <w:t xml:space="preserve"> Application at</w:t>
      </w:r>
      <w:r>
        <w:t xml:space="preserve"> 2.</w:t>
      </w:r>
    </w:p>
  </w:footnote>
  <w:footnote w:id="11">
    <w:p w:rsidR="005D0439" w:rsidRPr="002F58F1" w:rsidP="005D0439" w14:paraId="2E9397F8" w14:textId="77777777">
      <w:pPr>
        <w:pStyle w:val="FootnoteText"/>
      </w:pPr>
      <w:r w:rsidRPr="0025521D">
        <w:rPr>
          <w:rStyle w:val="FootnoteReference"/>
          <w:sz w:val="20"/>
        </w:rPr>
        <w:footnoteRef/>
      </w:r>
      <w:r w:rsidRPr="002F58F1">
        <w:t xml:space="preserve"> </w:t>
      </w:r>
      <w:r w:rsidRPr="002F58F1">
        <w:rPr>
          <w:i/>
          <w:iCs/>
        </w:rPr>
        <w:t>Id.</w:t>
      </w:r>
      <w:r w:rsidRPr="002F58F1">
        <w:t xml:space="preserve"> at 13.  Applicants state that the Voting Trust also holds 95.6% of the Series A Common Shares, which elect eight of TDS’</w:t>
      </w:r>
      <w:r>
        <w:t>s</w:t>
      </w:r>
      <w:r w:rsidRPr="002F58F1">
        <w:t xml:space="preserve"> twelve directors.  </w:t>
      </w:r>
      <w:r w:rsidRPr="002F58F1">
        <w:rPr>
          <w:i/>
          <w:iCs/>
        </w:rPr>
        <w:t>Id.</w:t>
      </w:r>
    </w:p>
  </w:footnote>
  <w:footnote w:id="12">
    <w:p w:rsidR="00DC6677" w:rsidRPr="002F58F1" w:rsidP="00DC6677" w14:paraId="1523D311" w14:textId="77777777">
      <w:pPr>
        <w:pStyle w:val="FootnoteText"/>
      </w:pPr>
      <w:r w:rsidRPr="0025521D">
        <w:rPr>
          <w:rStyle w:val="FootnoteReference"/>
          <w:sz w:val="20"/>
        </w:rPr>
        <w:footnoteRef/>
      </w:r>
      <w:r w:rsidRPr="002F58F1">
        <w:t xml:space="preserve"> </w:t>
      </w:r>
      <w:r w:rsidRPr="002F58F1">
        <w:rPr>
          <w:i/>
          <w:iCs/>
        </w:rPr>
        <w:t>Id.</w:t>
      </w:r>
      <w:r w:rsidRPr="002F58F1">
        <w:t xml:space="preserve"> at 2.</w:t>
      </w:r>
    </w:p>
  </w:footnote>
  <w:footnote w:id="13">
    <w:p w:rsidR="00DC6677" w:rsidRPr="002F58F1" w:rsidP="00DC6677" w14:paraId="1A64EF92" w14:textId="77777777">
      <w:pPr>
        <w:pStyle w:val="FootnoteText"/>
      </w:pPr>
      <w:r w:rsidRPr="0025521D">
        <w:rPr>
          <w:rStyle w:val="FootnoteReference"/>
          <w:sz w:val="20"/>
        </w:rPr>
        <w:footnoteRef/>
      </w:r>
      <w:r w:rsidRPr="002F58F1">
        <w:t xml:space="preserve"> </w:t>
      </w:r>
      <w:r w:rsidRPr="0025521D">
        <w:rPr>
          <w:i/>
          <w:iCs/>
        </w:rPr>
        <w:t>Id.</w:t>
      </w:r>
      <w:r>
        <w:t xml:space="preserve"> at 2-3, 13-17.  </w:t>
      </w:r>
      <w:r w:rsidRPr="002F58F1">
        <w:t>Applicants identified additional affiliates of Hilliary that provide interexchange</w:t>
      </w:r>
      <w:r>
        <w:t xml:space="preserve"> services</w:t>
      </w:r>
      <w:r w:rsidRPr="002F58F1">
        <w:t>, local exchange services, and/or other services</w:t>
      </w:r>
      <w:r>
        <w:t xml:space="preserve">.  </w:t>
      </w:r>
      <w:r w:rsidRPr="00567D2E">
        <w:rPr>
          <w:i/>
          <w:iCs/>
        </w:rPr>
        <w:t>Id.</w:t>
      </w:r>
      <w:r w:rsidRPr="00567D2E">
        <w:t xml:space="preserve"> at</w:t>
      </w:r>
      <w:r>
        <w:t xml:space="preserve"> </w:t>
      </w:r>
      <w:r w:rsidRPr="00567D2E">
        <w:t>13-17.</w:t>
      </w:r>
    </w:p>
  </w:footnote>
  <w:footnote w:id="14">
    <w:p w:rsidR="00DC6677" w:rsidRPr="002F58F1" w:rsidP="00DC6677" w14:paraId="2D4776F4" w14:textId="042C3473">
      <w:pPr>
        <w:pStyle w:val="FootnoteText"/>
      </w:pPr>
      <w:r w:rsidRPr="0025521D">
        <w:rPr>
          <w:rStyle w:val="FootnoteReference"/>
          <w:sz w:val="20"/>
        </w:rPr>
        <w:footnoteRef/>
      </w:r>
      <w:r w:rsidRPr="002F58F1">
        <w:t xml:space="preserve"> </w:t>
      </w:r>
      <w:r w:rsidRPr="00CA2523">
        <w:rPr>
          <w:i/>
          <w:iCs/>
        </w:rPr>
        <w:t>Id.</w:t>
      </w:r>
      <w:r w:rsidRPr="002F58F1">
        <w:t xml:space="preserve"> at </w:t>
      </w:r>
      <w:r>
        <w:t>6, 13-15</w:t>
      </w:r>
      <w:r w:rsidRPr="002F58F1">
        <w:t xml:space="preserve">.  </w:t>
      </w:r>
      <w:r w:rsidR="00151C5A">
        <w:t>Applicants state th</w:t>
      </w:r>
      <w:r w:rsidR="007C76C9">
        <w:t xml:space="preserve">e following: </w:t>
      </w:r>
      <w:r w:rsidR="00151C5A">
        <w:t xml:space="preserve"> </w:t>
      </w:r>
      <w:r w:rsidR="00C3373E">
        <w:t>Medicine Park serves the Medicine Park Exchange in Oklahoma</w:t>
      </w:r>
      <w:r w:rsidR="007C76C9">
        <w:t>;</w:t>
      </w:r>
      <w:r w:rsidR="00855ED2">
        <w:t xml:space="preserve"> Oklahoma Western serves the Albion, Buffa</w:t>
      </w:r>
      <w:r w:rsidR="004B7730">
        <w:t xml:space="preserve">lo Valley, Clayton, Fanshaw, LeFlore, Muse, Nashoba, Red Oak, </w:t>
      </w:r>
      <w:r w:rsidR="00BC1F98">
        <w:t>and Summerfield Exchanges in Oklahoma</w:t>
      </w:r>
      <w:r w:rsidR="007C76C9">
        <w:t xml:space="preserve">; and Southwest Oklahoma serves the Duke, Martha, Reed, Vinson, and Willow Exchanges in Oklahoma.  Dec. 3 Supplement at 1.  </w:t>
      </w:r>
      <w:r w:rsidRPr="001D1BC6">
        <w:rPr>
          <w:i/>
          <w:iCs/>
        </w:rPr>
        <w:t>See</w:t>
      </w:r>
      <w:r>
        <w:t xml:space="preserve"> </w:t>
      </w:r>
      <w:r w:rsidRPr="001D1BC6">
        <w:rPr>
          <w:i/>
          <w:iCs/>
        </w:rPr>
        <w:t>Authorization Public Notice</w:t>
      </w:r>
      <w:r w:rsidRPr="002F58F1">
        <w:t xml:space="preserve">; </w:t>
      </w:r>
      <w:r w:rsidRPr="001D1BC6">
        <w:t>Authorization Report</w:t>
      </w:r>
      <w:r>
        <w:t>.</w:t>
      </w:r>
    </w:p>
  </w:footnote>
  <w:footnote w:id="15">
    <w:p w:rsidR="00DC6677" w:rsidRPr="00546697" w:rsidP="00DC6677" w14:paraId="29AB29FC" w14:textId="77777777">
      <w:pPr>
        <w:widowControl/>
        <w:spacing w:after="120"/>
      </w:pPr>
      <w:r w:rsidRPr="0025521D">
        <w:rPr>
          <w:rStyle w:val="FootnoteReference"/>
          <w:sz w:val="20"/>
        </w:rPr>
        <w:footnoteRef/>
      </w:r>
      <w:r w:rsidRPr="0025521D">
        <w:rPr>
          <w:sz w:val="20"/>
        </w:rPr>
        <w:t xml:space="preserve"> </w:t>
      </w:r>
      <w:r w:rsidRPr="004232D9">
        <w:rPr>
          <w:sz w:val="20"/>
        </w:rPr>
        <w:t>Application</w:t>
      </w:r>
      <w:r w:rsidRPr="0025521D">
        <w:rPr>
          <w:sz w:val="20"/>
        </w:rPr>
        <w:t xml:space="preserve"> at 3. </w:t>
      </w:r>
      <w:bookmarkStart w:id="10" w:name="_Hlk206492975"/>
      <w:r>
        <w:rPr>
          <w:sz w:val="20"/>
        </w:rPr>
        <w:t xml:space="preserve"> </w:t>
      </w:r>
      <w:r w:rsidRPr="0025521D">
        <w:rPr>
          <w:i/>
          <w:iCs/>
          <w:sz w:val="20"/>
        </w:rPr>
        <w:t>See Connect America Fund Phase II Auction Support Authorized for 2,413 Winning Bids</w:t>
      </w:r>
      <w:r w:rsidRPr="0025521D">
        <w:rPr>
          <w:sz w:val="20"/>
        </w:rPr>
        <w:t>, AU Docket No. 17-182, WC Docket No. 10-90, Public Notice, 34 FCC Rcd 5966, Attach. A</w:t>
      </w:r>
      <w:r>
        <w:rPr>
          <w:sz w:val="20"/>
        </w:rPr>
        <w:t xml:space="preserve">, </w:t>
      </w:r>
      <w:r w:rsidRPr="0025521D">
        <w:rPr>
          <w:sz w:val="20"/>
        </w:rPr>
        <w:t>Connect America Fund Phase II Auction ID: 903, Authorized Long-Form Applicants and Winning Bids</w:t>
      </w:r>
      <w:r>
        <w:rPr>
          <w:sz w:val="20"/>
        </w:rPr>
        <w:t>,</w:t>
      </w:r>
      <w:r w:rsidRPr="0025521D">
        <w:rPr>
          <w:sz w:val="20"/>
        </w:rPr>
        <w:t xml:space="preserve"> at 118-19 (WCB/RBATF 2019).</w:t>
      </w:r>
      <w:bookmarkEnd w:id="10"/>
    </w:p>
  </w:footnote>
  <w:footnote w:id="16">
    <w:p w:rsidR="00DC6677" w:rsidRPr="002F58F1" w:rsidP="00DC6677" w14:paraId="26767CFE" w14:textId="77777777">
      <w:pPr>
        <w:pStyle w:val="FootnoteText"/>
      </w:pPr>
      <w:r w:rsidRPr="0025521D">
        <w:rPr>
          <w:rStyle w:val="FootnoteReference"/>
          <w:sz w:val="20"/>
        </w:rPr>
        <w:footnoteRef/>
      </w:r>
      <w:r w:rsidRPr="002F58F1">
        <w:t xml:space="preserve"> </w:t>
      </w:r>
      <w:r w:rsidRPr="00924140">
        <w:t>Application</w:t>
      </w:r>
      <w:r w:rsidRPr="002F58F1">
        <w:rPr>
          <w:i/>
          <w:iCs/>
        </w:rPr>
        <w:t xml:space="preserve"> </w:t>
      </w:r>
      <w:r>
        <w:t xml:space="preserve">at 3. </w:t>
      </w:r>
    </w:p>
  </w:footnote>
  <w:footnote w:id="17">
    <w:p w:rsidR="00DC6677" w:rsidRPr="002F58F1" w:rsidP="00DC6677" w14:paraId="2AA5EAF3" w14:textId="77777777">
      <w:pPr>
        <w:pStyle w:val="FootnoteText"/>
      </w:pPr>
      <w:r w:rsidRPr="0025521D">
        <w:rPr>
          <w:rStyle w:val="FootnoteReference"/>
          <w:sz w:val="20"/>
        </w:rPr>
        <w:footnoteRef/>
      </w:r>
      <w:r w:rsidRPr="002F58F1">
        <w:t xml:space="preserve"> </w:t>
      </w:r>
      <w:r>
        <w:rPr>
          <w:i/>
          <w:iCs/>
        </w:rPr>
        <w:t>See id</w:t>
      </w:r>
      <w:r w:rsidRPr="0025521D">
        <w:t xml:space="preserve">. </w:t>
      </w:r>
      <w:r>
        <w:t xml:space="preserve"> </w:t>
      </w:r>
      <w:r w:rsidRPr="0025521D">
        <w:rPr>
          <w:i/>
          <w:iCs/>
        </w:rPr>
        <w:t>See</w:t>
      </w:r>
      <w:r>
        <w:t xml:space="preserve"> </w:t>
      </w:r>
      <w:r w:rsidRPr="00CF5816">
        <w:t>HC01- High Cost Support Projected by State by Study Area - 4Q2025</w:t>
      </w:r>
      <w:r>
        <w:t xml:space="preserve">, </w:t>
      </w:r>
      <w:hyperlink r:id="rId2" w:anchor="results" w:history="1">
        <w:r w:rsidRPr="00FE2EBE">
          <w:rPr>
            <w:rStyle w:val="Hyperlink"/>
          </w:rPr>
          <w:t>https://www.usac.org/</w:t>
        </w:r>
        <w:r w:rsidRPr="00FE2EBE">
          <w:rPr>
            <w:rStyle w:val="Hyperlink"/>
          </w:rPr>
          <w:br/>
          <w:t>about/reports-orders/</w:t>
        </w:r>
        <w:r w:rsidRPr="00FE2EBE">
          <w:rPr>
            <w:rStyle w:val="Hyperlink"/>
          </w:rPr>
          <w:t>fcc</w:t>
        </w:r>
        <w:r w:rsidRPr="00FE2EBE">
          <w:rPr>
            <w:rStyle w:val="Hyperlink"/>
          </w:rPr>
          <w:t>-filings/#results</w:t>
        </w:r>
      </w:hyperlink>
      <w:r>
        <w:t xml:space="preserve">.  </w:t>
      </w:r>
      <w:r w:rsidRPr="00047271">
        <w:t>A cost company is a rate-of-return carrier that determines its rates based on its own costs</w:t>
      </w:r>
      <w:r>
        <w:t xml:space="preserve"> through company-specific cost studies</w:t>
      </w:r>
      <w:r w:rsidRPr="00047271">
        <w:t xml:space="preserve">. </w:t>
      </w:r>
      <w:r>
        <w:t xml:space="preserve"> </w:t>
      </w:r>
      <w:r w:rsidRPr="00047271">
        <w:rPr>
          <w:i/>
          <w:iCs/>
        </w:rPr>
        <w:t>See</w:t>
      </w:r>
      <w:r>
        <w:rPr>
          <w:i/>
          <w:iCs/>
        </w:rPr>
        <w:t xml:space="preserve"> </w:t>
      </w:r>
      <w:r w:rsidRPr="00047271">
        <w:rPr>
          <w:i/>
          <w:iCs/>
        </w:rPr>
        <w:t>Windstream Petition for Conversion to Price Cap Regulation and for Limited Waiver Relief</w:t>
      </w:r>
      <w:r w:rsidRPr="0025521D">
        <w:t>, WC Docket No. 07-171, Order, 23 FCC Rcd 5294, 5298, para. 5 n.16 (2008)</w:t>
      </w:r>
      <w:r>
        <w:t xml:space="preserve"> (</w:t>
      </w:r>
      <w:bookmarkStart w:id="11" w:name="_Hlk216108473"/>
      <w:r w:rsidRPr="0025521D">
        <w:rPr>
          <w:i/>
          <w:iCs/>
        </w:rPr>
        <w:t>Windstream Order</w:t>
      </w:r>
      <w:bookmarkEnd w:id="11"/>
      <w:r>
        <w:t>).</w:t>
      </w:r>
    </w:p>
  </w:footnote>
  <w:footnote w:id="18">
    <w:p w:rsidR="00DC6677" w:rsidRPr="00CF5816" w:rsidP="00DC6677" w14:paraId="3A333B7A" w14:textId="2452A704">
      <w:pPr>
        <w:pStyle w:val="FootnoteText"/>
      </w:pPr>
      <w:r w:rsidRPr="00C47A4F">
        <w:rPr>
          <w:rStyle w:val="FootnoteReference"/>
          <w:sz w:val="20"/>
        </w:rPr>
        <w:footnoteRef/>
      </w:r>
      <w:r w:rsidRPr="00C47A4F">
        <w:t xml:space="preserve"> Application at 3</w:t>
      </w:r>
      <w:r w:rsidRPr="00C47A4F">
        <w:rPr>
          <w:i/>
          <w:iCs/>
        </w:rPr>
        <w:t>.  See</w:t>
      </w:r>
      <w:r w:rsidRPr="00C47A4F">
        <w:t xml:space="preserve"> HC01-High Cost Support Projected by State by Study Area - 4Q2025 at </w:t>
      </w:r>
      <w:hyperlink r:id="rId3" w:anchor="results" w:history="1">
        <w:r w:rsidRPr="00C47A4F">
          <w:rPr>
            <w:rStyle w:val="Hyperlink"/>
          </w:rPr>
          <w:t>https://www.usac.org/about/reports-orders/fcc-filings/#results</w:t>
        </w:r>
      </w:hyperlink>
      <w:r w:rsidRPr="00C47A4F">
        <w:t>.  Average schedule companies rely on statistical studies of the costs and demand of comparable cost companies based upon which formulas estimate access settlements and universal service support.</w:t>
      </w:r>
      <w:r w:rsidRPr="00C47A4F" w:rsidR="00A06956">
        <w:t xml:space="preserve">  </w:t>
      </w:r>
      <w:r w:rsidRPr="00AA506A" w:rsidR="005C5BE5">
        <w:rPr>
          <w:i/>
          <w:iCs/>
        </w:rPr>
        <w:t>See</w:t>
      </w:r>
      <w:r w:rsidRPr="00AA506A" w:rsidR="005C5BE5">
        <w:t xml:space="preserve">, </w:t>
      </w:r>
      <w:r w:rsidRPr="00AA506A" w:rsidR="005C5BE5">
        <w:rPr>
          <w:i/>
          <w:iCs/>
        </w:rPr>
        <w:t>e.g.</w:t>
      </w:r>
      <w:r w:rsidRPr="00AA506A" w:rsidR="005C5BE5">
        <w:t xml:space="preserve">, </w:t>
      </w:r>
      <w:r w:rsidRPr="00733651" w:rsidR="005C5BE5">
        <w:rPr>
          <w:i/>
          <w:iCs/>
        </w:rPr>
        <w:t>Windstream Order</w:t>
      </w:r>
      <w:r w:rsidRPr="00733651" w:rsidR="005C5BE5">
        <w:t xml:space="preserve">, 23 FCC Rcd </w:t>
      </w:r>
      <w:r w:rsidR="005C5BE5">
        <w:t>at</w:t>
      </w:r>
      <w:r w:rsidRPr="00733651" w:rsidR="005C5BE5">
        <w:t xml:space="preserve"> 5298, para. 5 n.1</w:t>
      </w:r>
      <w:r w:rsidR="005C5BE5">
        <w:t>6</w:t>
      </w:r>
      <w:r w:rsidRPr="00733651" w:rsidR="005C5BE5">
        <w:t>.</w:t>
      </w:r>
    </w:p>
  </w:footnote>
  <w:footnote w:id="19">
    <w:p w:rsidR="00DC6677" w:rsidP="00DC6677" w14:paraId="5A7D90EF" w14:textId="77777777">
      <w:pPr>
        <w:pStyle w:val="FootnoteText"/>
      </w:pPr>
      <w:r>
        <w:rPr>
          <w:rStyle w:val="FootnoteReference"/>
        </w:rPr>
        <w:footnoteRef/>
      </w:r>
      <w:r>
        <w:t xml:space="preserve"> Application at 6, 15.  </w:t>
      </w:r>
    </w:p>
  </w:footnote>
  <w:footnote w:id="20">
    <w:p w:rsidR="00E30328" w:rsidP="00E30328" w14:paraId="3939C8B6" w14:textId="41CCFF14">
      <w:pPr>
        <w:pStyle w:val="FootnoteText"/>
      </w:pPr>
      <w:r>
        <w:rPr>
          <w:rStyle w:val="FootnoteReference"/>
        </w:rPr>
        <w:footnoteRef/>
      </w:r>
      <w:r>
        <w:t xml:space="preserve"> </w:t>
      </w:r>
      <w:r w:rsidRPr="005736A9" w:rsidR="005736A9">
        <w:rPr>
          <w:i/>
          <w:iCs/>
        </w:rPr>
        <w:t>Id.</w:t>
      </w:r>
      <w:r w:rsidR="005736A9">
        <w:t xml:space="preserve">; </w:t>
      </w:r>
      <w:r>
        <w:t xml:space="preserve">Hilliary Nov. 25 </w:t>
      </w:r>
      <w:r w:rsidRPr="004822D1">
        <w:rPr>
          <w:i/>
          <w:iCs/>
        </w:rPr>
        <w:t>Ex Parte</w:t>
      </w:r>
      <w:r>
        <w:t xml:space="preserve"> Letter at 1.</w:t>
      </w:r>
    </w:p>
  </w:footnote>
  <w:footnote w:id="21">
    <w:p w:rsidR="00B42D98" w:rsidRPr="002F58F1" w:rsidP="00B42D98" w14:paraId="3D85879A" w14:textId="23967495">
      <w:pPr>
        <w:pStyle w:val="FootnoteText"/>
      </w:pPr>
      <w:r w:rsidRPr="0025521D">
        <w:rPr>
          <w:rStyle w:val="FootnoteReference"/>
          <w:sz w:val="20"/>
        </w:rPr>
        <w:footnoteRef/>
      </w:r>
      <w:r w:rsidRPr="002F58F1">
        <w:t xml:space="preserve"> </w:t>
      </w:r>
      <w:r w:rsidRPr="00403A97" w:rsidR="00403A97">
        <w:t>Application</w:t>
      </w:r>
      <w:r>
        <w:t xml:space="preserve"> </w:t>
      </w:r>
      <w:r w:rsidRPr="002F58F1">
        <w:t>at 8.</w:t>
      </w:r>
    </w:p>
  </w:footnote>
  <w:footnote w:id="22">
    <w:p w:rsidR="00B42D98" w:rsidRPr="002F58F1" w:rsidP="00B42D98" w14:paraId="46AFE527" w14:textId="77777777">
      <w:pPr>
        <w:pStyle w:val="FootnoteText"/>
      </w:pPr>
      <w:r w:rsidRPr="0025521D">
        <w:rPr>
          <w:rStyle w:val="FootnoteReference"/>
          <w:sz w:val="20"/>
        </w:rPr>
        <w:footnoteRef/>
      </w:r>
      <w:r w:rsidRPr="002F58F1">
        <w:t xml:space="preserve"> </w:t>
      </w:r>
      <w:r w:rsidRPr="002F58F1">
        <w:rPr>
          <w:i/>
          <w:iCs/>
        </w:rPr>
        <w:t>Id.</w:t>
      </w:r>
    </w:p>
  </w:footnote>
  <w:footnote w:id="23">
    <w:p w:rsidR="00B42D98" w:rsidRPr="002F58F1" w:rsidP="00B42D98" w14:paraId="64F6EA93" w14:textId="77777777">
      <w:pPr>
        <w:pStyle w:val="FootnoteText"/>
        <w:rPr>
          <w:i/>
          <w:iCs/>
        </w:rPr>
      </w:pPr>
      <w:r w:rsidRPr="0025521D">
        <w:rPr>
          <w:rStyle w:val="FootnoteReference"/>
          <w:sz w:val="20"/>
        </w:rPr>
        <w:footnoteRef/>
      </w:r>
      <w:r w:rsidRPr="002F58F1">
        <w:t xml:space="preserve"> </w:t>
      </w:r>
      <w:r w:rsidRPr="002F58F1">
        <w:rPr>
          <w:i/>
          <w:iCs/>
        </w:rPr>
        <w:t>Id.</w:t>
      </w:r>
    </w:p>
  </w:footnote>
  <w:footnote w:id="24">
    <w:p w:rsidR="00915B5D" w:rsidRPr="000638EB" w:rsidP="00915B5D" w14:paraId="233ADD27" w14:textId="188DF022">
      <w:pPr>
        <w:pStyle w:val="FootnoteText"/>
      </w:pPr>
      <w:r w:rsidRPr="0025521D">
        <w:rPr>
          <w:rStyle w:val="FootnoteReference"/>
          <w:sz w:val="20"/>
        </w:rPr>
        <w:footnoteRef/>
      </w:r>
      <w:r w:rsidRPr="002F58F1">
        <w:t xml:space="preserve"> </w:t>
      </w:r>
      <w:r w:rsidRPr="002F58F1">
        <w:rPr>
          <w:i/>
          <w:iCs/>
        </w:rPr>
        <w:t>Id.</w:t>
      </w:r>
      <w:r w:rsidR="000638EB">
        <w:t xml:space="preserve"> at 1, </w:t>
      </w:r>
      <w:r w:rsidR="00514D30">
        <w:t>8-10.</w:t>
      </w:r>
      <w:r w:rsidR="001226F1">
        <w:t xml:space="preserve">  </w:t>
      </w:r>
      <w:r w:rsidR="00140921">
        <w:rPr>
          <w:iCs/>
        </w:rPr>
        <w:t xml:space="preserve">  </w:t>
      </w:r>
      <w:r w:rsidRPr="004D6F2E" w:rsidR="00140921">
        <w:t> </w:t>
      </w:r>
    </w:p>
  </w:footnote>
  <w:footnote w:id="25">
    <w:p w:rsidR="00846EFA" w14:paraId="6A456FDD" w14:textId="5158823D">
      <w:pPr>
        <w:pStyle w:val="FootnoteText"/>
      </w:pPr>
      <w:r>
        <w:rPr>
          <w:rStyle w:val="FootnoteReference"/>
        </w:rPr>
        <w:footnoteRef/>
      </w:r>
      <w:r>
        <w:t xml:space="preserve"> </w:t>
      </w:r>
      <w:r w:rsidRPr="00103CAF" w:rsidR="00103CAF">
        <w:t>December 3 Supplement at 2.</w:t>
      </w:r>
    </w:p>
  </w:footnote>
  <w:footnote w:id="26">
    <w:p w:rsidR="00915B5D" w:rsidRPr="002F58F1" w:rsidP="00915B5D" w14:paraId="3654280A" w14:textId="783205FB">
      <w:pPr>
        <w:pStyle w:val="FootnoteText"/>
      </w:pPr>
      <w:r w:rsidRPr="0025521D">
        <w:rPr>
          <w:rStyle w:val="FootnoteReference"/>
          <w:sz w:val="20"/>
        </w:rPr>
        <w:footnoteRef/>
      </w:r>
      <w:r w:rsidRPr="002F58F1">
        <w:t xml:space="preserve"> </w:t>
      </w:r>
      <w:r w:rsidRPr="00403A97" w:rsidR="00403A97">
        <w:t>Application</w:t>
      </w:r>
      <w:r w:rsidRPr="002F58F1">
        <w:t xml:space="preserve"> at 9. </w:t>
      </w:r>
    </w:p>
  </w:footnote>
  <w:footnote w:id="27">
    <w:p w:rsidR="00915B5D" w:rsidRPr="002F58F1" w:rsidP="00915B5D" w14:paraId="5590E5F7" w14:textId="7EB19110">
      <w:pPr>
        <w:pStyle w:val="FootnoteText"/>
      </w:pPr>
      <w:r w:rsidRPr="0025521D">
        <w:rPr>
          <w:rStyle w:val="FootnoteReference"/>
          <w:sz w:val="20"/>
        </w:rPr>
        <w:footnoteRef/>
      </w:r>
      <w:r w:rsidRPr="002F58F1">
        <w:t xml:space="preserve"> </w:t>
      </w:r>
      <w:r w:rsidRPr="002F58F1">
        <w:rPr>
          <w:i/>
          <w:iCs/>
        </w:rPr>
        <w:t xml:space="preserve">Id. </w:t>
      </w:r>
      <w:r w:rsidRPr="002F58F1">
        <w:t>at 7.</w:t>
      </w:r>
      <w:r w:rsidR="00CE37FE">
        <w:t xml:space="preserve"> </w:t>
      </w:r>
      <w:r w:rsidR="001A6AE5">
        <w:t xml:space="preserve"> </w:t>
      </w:r>
      <w:r w:rsidR="00776CF3">
        <w:t>The Bureau has</w:t>
      </w:r>
      <w:r w:rsidR="00775704">
        <w:t xml:space="preserve"> conditioned its approval of prior transactions </w:t>
      </w:r>
      <w:r w:rsidR="001A6AE5">
        <w:t xml:space="preserve">creating affiliations </w:t>
      </w:r>
      <w:r w:rsidR="00775704">
        <w:t>between Hilliary</w:t>
      </w:r>
      <w:r w:rsidR="001A6AE5">
        <w:t xml:space="preserve"> affiliates eligible to receive support through fixed </w:t>
      </w:r>
      <w:r w:rsidR="00414D11">
        <w:t xml:space="preserve">mechanisms </w:t>
      </w:r>
      <w:r w:rsidR="001A6AE5">
        <w:t xml:space="preserve">and </w:t>
      </w:r>
      <w:r w:rsidR="00414D11">
        <w:t xml:space="preserve">affiliates eligible to receive support through </w:t>
      </w:r>
      <w:r w:rsidR="001A6AE5">
        <w:t>cost-based mechanisms</w:t>
      </w:r>
      <w:r w:rsidR="00A648B7">
        <w:t xml:space="preserve"> on </w:t>
      </w:r>
      <w:r w:rsidR="00414D11">
        <w:t xml:space="preserve">a </w:t>
      </w:r>
      <w:r w:rsidR="00A648B7">
        <w:t>support cap designed to mitigate potential cost-shifting concerns</w:t>
      </w:r>
      <w:r w:rsidR="00062D6F">
        <w:t>.</w:t>
      </w:r>
      <w:r w:rsidR="00CE37FE">
        <w:t xml:space="preserve"> </w:t>
      </w:r>
      <w:r w:rsidR="002E3C05">
        <w:t xml:space="preserve"> </w:t>
      </w:r>
      <w:r w:rsidRPr="008D08DC" w:rsidR="00CE37FE">
        <w:rPr>
          <w:i/>
          <w:iCs/>
        </w:rPr>
        <w:t>See</w:t>
      </w:r>
      <w:r w:rsidR="004E5BD7">
        <w:rPr>
          <w:i/>
          <w:iCs/>
        </w:rPr>
        <w:t>, e.g.</w:t>
      </w:r>
      <w:r w:rsidR="00E335D4">
        <w:t>,</w:t>
      </w:r>
      <w:r w:rsidR="004E5BD7">
        <w:rPr>
          <w:i/>
          <w:iCs/>
        </w:rPr>
        <w:t xml:space="preserve"> </w:t>
      </w:r>
      <w:r w:rsidRPr="009555B4" w:rsidR="00CE37FE">
        <w:rPr>
          <w:i/>
          <w:iCs/>
        </w:rPr>
        <w:t>Domestic Section 214 Application Granted</w:t>
      </w:r>
      <w:r w:rsidR="00CE37FE">
        <w:rPr>
          <w:i/>
          <w:iCs/>
        </w:rPr>
        <w:t xml:space="preserve"> for the Transfer of Control of Lipan Telephone Co., Inc. to Hilliary Acquisition Texas II, LLC</w:t>
      </w:r>
      <w:r w:rsidRPr="009555B4" w:rsidR="00CE37FE">
        <w:t>, WC Docket No. 2</w:t>
      </w:r>
      <w:r w:rsidR="00CE37FE">
        <w:t>4</w:t>
      </w:r>
      <w:r w:rsidRPr="009555B4" w:rsidR="00CE37FE">
        <w:t>-</w:t>
      </w:r>
      <w:r w:rsidR="00CE37FE">
        <w:t>178</w:t>
      </w:r>
      <w:r w:rsidRPr="009555B4" w:rsidR="00CE37FE">
        <w:t xml:space="preserve">, Public Notice, </w:t>
      </w:r>
      <w:r w:rsidRPr="0067276D" w:rsidR="00CE37FE">
        <w:t>DA 24-840</w:t>
      </w:r>
      <w:r w:rsidR="00CE37FE">
        <w:t xml:space="preserve"> at</w:t>
      </w:r>
      <w:r w:rsidRPr="009555B4" w:rsidR="00CE37FE">
        <w:t xml:space="preserve"> n.</w:t>
      </w:r>
      <w:r w:rsidR="00CE37FE">
        <w:t>19</w:t>
      </w:r>
      <w:r w:rsidRPr="009555B4" w:rsidR="00CE37FE">
        <w:t xml:space="preserve"> (WCB 202</w:t>
      </w:r>
      <w:r w:rsidR="00CE37FE">
        <w:t>4</w:t>
      </w:r>
      <w:r w:rsidRPr="009555B4" w:rsidR="00CE37FE">
        <w:t>)</w:t>
      </w:r>
      <w:r w:rsidR="00CA074D">
        <w:t xml:space="preserve"> (conditioning </w:t>
      </w:r>
      <w:r w:rsidR="00884FB3">
        <w:t xml:space="preserve">grant of </w:t>
      </w:r>
      <w:r w:rsidR="00D65C1D">
        <w:t xml:space="preserve">the </w:t>
      </w:r>
      <w:r w:rsidR="00884FB3">
        <w:t>application</w:t>
      </w:r>
      <w:r w:rsidRPr="00146E6C" w:rsidR="00146E6C">
        <w:t xml:space="preserve"> subject to the continued application of the condition </w:t>
      </w:r>
      <w:r w:rsidR="00EE4F12">
        <w:t xml:space="preserve">described in the </w:t>
      </w:r>
      <w:r w:rsidRPr="0090011A" w:rsidR="00EE4F12">
        <w:rPr>
          <w:i/>
          <w:iCs/>
        </w:rPr>
        <w:t>Hargray/</w:t>
      </w:r>
      <w:r w:rsidRPr="0090011A" w:rsidR="00EE4F12">
        <w:rPr>
          <w:i/>
          <w:iCs/>
        </w:rPr>
        <w:t>CommSouth</w:t>
      </w:r>
      <w:r w:rsidRPr="0090011A" w:rsidR="00EE4F12">
        <w:rPr>
          <w:i/>
          <w:iCs/>
        </w:rPr>
        <w:t xml:space="preserve"> Order</w:t>
      </w:r>
      <w:r w:rsidR="00396F32">
        <w:t xml:space="preserve">, </w:t>
      </w:r>
      <w:r w:rsidRPr="00146E6C" w:rsidR="00146E6C">
        <w:t>capping the combined operating expenses of the post-consummation company</w:t>
      </w:r>
      <w:r w:rsidR="00D958B0">
        <w:t>’</w:t>
      </w:r>
      <w:r w:rsidRPr="00146E6C" w:rsidR="00146E6C">
        <w:t>s rate of return affiliates</w:t>
      </w:r>
      <w:r w:rsidRPr="009555B4" w:rsidR="00CE37FE">
        <w:t xml:space="preserve">); </w:t>
      </w:r>
      <w:r w:rsidRPr="009555B4" w:rsidR="00CE37FE">
        <w:rPr>
          <w:i/>
          <w:iCs/>
        </w:rPr>
        <w:t xml:space="preserve">Domestic </w:t>
      </w:r>
      <w:r w:rsidRPr="004D6F2E" w:rsidR="00CE37FE">
        <w:rPr>
          <w:i/>
          <w:iCs/>
        </w:rPr>
        <w:t xml:space="preserve">Section 214 Application Granted for the Transfer of Control of </w:t>
      </w:r>
      <w:r w:rsidRPr="004D6F2E" w:rsidR="00CE37FE">
        <w:rPr>
          <w:i/>
          <w:iCs/>
        </w:rPr>
        <w:t>Prairieburg</w:t>
      </w:r>
      <w:r w:rsidRPr="004D6F2E" w:rsidR="00CE37FE">
        <w:rPr>
          <w:i/>
          <w:iCs/>
        </w:rPr>
        <w:t xml:space="preserve"> Telephone Company, Incorporated</w:t>
      </w:r>
      <w:r w:rsidRPr="004D6F2E" w:rsidR="00CE37FE">
        <w:rPr>
          <w:iCs/>
        </w:rPr>
        <w:t xml:space="preserve">, WC Docket No. 21-30, Public Notice, 36 FCC Rcd 5672, 5673-74 </w:t>
      </w:r>
      <w:r w:rsidR="00CE37FE">
        <w:rPr>
          <w:iCs/>
        </w:rPr>
        <w:t>&amp; n.</w:t>
      </w:r>
      <w:r w:rsidRPr="004D6F2E" w:rsidR="00CE37FE">
        <w:rPr>
          <w:iCs/>
        </w:rPr>
        <w:t>7 (WCB 2021)</w:t>
      </w:r>
      <w:r w:rsidR="00264999">
        <w:rPr>
          <w:iCs/>
        </w:rPr>
        <w:t>;</w:t>
      </w:r>
      <w:r w:rsidR="00EB42C0">
        <w:rPr>
          <w:iCs/>
        </w:rPr>
        <w:t xml:space="preserve"> </w:t>
      </w:r>
      <w:r w:rsidRPr="0090011A" w:rsidR="00EB42C0">
        <w:rPr>
          <w:i/>
        </w:rPr>
        <w:t>see</w:t>
      </w:r>
      <w:r w:rsidR="00264999">
        <w:rPr>
          <w:iCs/>
        </w:rPr>
        <w:t xml:space="preserve"> </w:t>
      </w:r>
      <w:r w:rsidRPr="00F72E51" w:rsidR="006D71E4">
        <w:rPr>
          <w:i/>
        </w:rPr>
        <w:t>Joint Application of W. Mansfield Jennings Limited Partnership and Hargray Communications Group, Inc. for Consent the Transfer of Control of ComSouth Corporation Pursuant to Section 214 of the Communications Act of 1934</w:t>
      </w:r>
      <w:r w:rsidR="006D71E4">
        <w:t>, WC Docket No. 18-52, Memorandum Opinion and Order, 33 FCC Rcd 4780, 4789, paras. 19, 27 and n.72 (2018) (</w:t>
      </w:r>
      <w:r w:rsidRPr="00F72E51" w:rsidR="006D71E4">
        <w:rPr>
          <w:i/>
          <w:iCs/>
        </w:rPr>
        <w:t>Hargray/ComSouth Order</w:t>
      </w:r>
      <w:r w:rsidR="006D71E4">
        <w:t>) (directing the Bureau to condition, in most instances, the approval of a mixed support transaction on the imposition of a cap on cost affiliates’ recoverable operating costs to prevent the combined entity from receiving “additional or inflated universal service support merely because of cost accounting that shifts costs.”).</w:t>
      </w:r>
      <w:r w:rsidR="000E6837">
        <w:t xml:space="preserve">  Grant of this </w:t>
      </w:r>
      <w:r w:rsidRPr="009E46E3" w:rsidR="000E6837">
        <w:t xml:space="preserve">transaction </w:t>
      </w:r>
      <w:r w:rsidR="000E6837">
        <w:t xml:space="preserve">is </w:t>
      </w:r>
      <w:r w:rsidRPr="009E46E3" w:rsidR="000E6837">
        <w:t xml:space="preserve">subject to the </w:t>
      </w:r>
      <w:r w:rsidRPr="00CA6300" w:rsidR="000E6837">
        <w:t>application</w:t>
      </w:r>
      <w:r w:rsidRPr="009E46E3" w:rsidR="000E6837">
        <w:t xml:space="preserve"> </w:t>
      </w:r>
      <w:r w:rsidRPr="00CA6300" w:rsidR="00CA6300">
        <w:t>the</w:t>
      </w:r>
      <w:r w:rsidR="00CA6300">
        <w:t xml:space="preserve"> </w:t>
      </w:r>
      <w:r w:rsidR="000E6837">
        <w:t>condition.</w:t>
      </w:r>
    </w:p>
  </w:footnote>
  <w:footnote w:id="28">
    <w:p w:rsidR="00915B5D" w:rsidRPr="002F58F1" w:rsidP="00915B5D" w14:paraId="32D328DF" w14:textId="157FA9C0">
      <w:pPr>
        <w:pStyle w:val="FootnoteText"/>
      </w:pPr>
      <w:r w:rsidRPr="0025521D">
        <w:rPr>
          <w:rStyle w:val="FootnoteReference"/>
          <w:sz w:val="20"/>
        </w:rPr>
        <w:footnoteRef/>
      </w:r>
      <w:r w:rsidRPr="002F58F1">
        <w:t xml:space="preserve"> </w:t>
      </w:r>
      <w:r w:rsidR="002E3C05">
        <w:t>Application at 7-8.</w:t>
      </w:r>
    </w:p>
  </w:footnote>
  <w:footnote w:id="29">
    <w:p w:rsidR="00915B5D" w:rsidRPr="002F58F1" w:rsidP="00915B5D" w14:paraId="69D3BB51" w14:textId="179D3406">
      <w:pPr>
        <w:pStyle w:val="FootnoteText"/>
      </w:pPr>
      <w:r w:rsidRPr="0025521D">
        <w:rPr>
          <w:rStyle w:val="FootnoteReference"/>
          <w:sz w:val="20"/>
        </w:rPr>
        <w:footnoteRef/>
      </w:r>
      <w:r w:rsidRPr="002F58F1">
        <w:t xml:space="preserve"> </w:t>
      </w:r>
      <w:r w:rsidRPr="002F58F1">
        <w:rPr>
          <w:i/>
          <w:iCs/>
        </w:rPr>
        <w:t>Id.</w:t>
      </w:r>
      <w:r w:rsidRPr="005168AC" w:rsidR="005168AC">
        <w:t xml:space="preserve"> </w:t>
      </w:r>
      <w:r w:rsidR="005168AC">
        <w:t xml:space="preserve"> </w:t>
      </w:r>
    </w:p>
  </w:footnote>
  <w:footnote w:id="30">
    <w:p w:rsidR="00A7335D" w14:paraId="22CDDFA3" w14:textId="2C3564B9">
      <w:pPr>
        <w:pStyle w:val="FootnoteText"/>
      </w:pPr>
      <w:r>
        <w:rPr>
          <w:rStyle w:val="FootnoteReference"/>
        </w:rPr>
        <w:footnoteRef/>
      </w:r>
      <w:r>
        <w:t xml:space="preserve"> </w:t>
      </w:r>
      <w:r w:rsidRPr="00A7335D">
        <w:rPr>
          <w:i/>
          <w:iCs/>
        </w:rPr>
        <w:t>Id.</w:t>
      </w:r>
      <w:r>
        <w:t xml:space="preserve"> at 7-8.</w:t>
      </w:r>
      <w:r w:rsidR="004F0DBF">
        <w:t xml:space="preserve">  </w:t>
      </w:r>
      <w:r w:rsidRPr="00092794" w:rsidR="004F0DBF">
        <w:rPr>
          <w:i/>
          <w:iCs/>
        </w:rPr>
        <w:t>See</w:t>
      </w:r>
      <w:r w:rsidRPr="00A412FF" w:rsidR="004F0DBF">
        <w:rPr>
          <w:i/>
          <w:iCs/>
        </w:rPr>
        <w:t xml:space="preserve"> Wireline Competition Bureau Announces Guidance Regarding Locations and Broadband Coverage for Enhanced Alternative Connect America Model Mechanism</w:t>
      </w:r>
      <w:r w:rsidRPr="00A412FF" w:rsidR="004F0DBF">
        <w:t>, WC Docket No. 10-90, Public Notice, DA 24-78 (WCB Jan. 25, 2024) (setting forth guidance regarding which Fabric location and Broadband Data Collection (BDC) availability data will be used to determine final deployment obligations and support amounts for Enhanced ACAM recipients) (</w:t>
      </w:r>
      <w:r w:rsidRPr="00A412FF" w:rsidR="004F0DBF">
        <w:rPr>
          <w:i/>
          <w:iCs/>
        </w:rPr>
        <w:t>Enhanced ACAM Updated Locations Public Notice</w:t>
      </w:r>
      <w:r w:rsidRPr="00A412FF" w:rsidR="004F0DBF">
        <w:t xml:space="preserve">); </w:t>
      </w:r>
      <w:r w:rsidRPr="00A412FF" w:rsidR="004F0DBF">
        <w:rPr>
          <w:i/>
          <w:iCs/>
        </w:rPr>
        <w:t>Wireline Competition Bureau Updates Guidance Regarding Locations and Broadband Coverage for Enhanced Alternative Connect America Model Mechanism</w:t>
      </w:r>
      <w:r w:rsidRPr="00A412FF" w:rsidR="004F0DBF">
        <w:t xml:space="preserve">, WC Docket No. 10-90, Public Notice, DA 24-423 (WCB May 3, 2024) (updating guidance provided in </w:t>
      </w:r>
      <w:r w:rsidRPr="00A412FF" w:rsidR="004F0DBF">
        <w:rPr>
          <w:i/>
          <w:iCs/>
        </w:rPr>
        <w:t>Enhanced ACAM Updated Locations Public Notice</w:t>
      </w:r>
      <w:r w:rsidRPr="00A412FF" w:rsidR="004F0DBF">
        <w:t>)</w:t>
      </w:r>
      <w:r w:rsidR="00D93B67">
        <w:t xml:space="preserve">; </w:t>
      </w:r>
      <w:r w:rsidRPr="0090011A" w:rsidR="00B314F1">
        <w:rPr>
          <w:i/>
          <w:iCs/>
        </w:rPr>
        <w:t>The Wireline Competition Bureau resolves several outstanding issues relating to the Enhanced Alternative Connect America Cost Model (E-ACAM or Enhanced A-CAM) program</w:t>
      </w:r>
      <w:r w:rsidR="00B314F1">
        <w:t>, WC Docket No.</w:t>
      </w:r>
      <w:r w:rsidR="007B4B45">
        <w:t xml:space="preserve"> 10-90, et al., </w:t>
      </w:r>
      <w:r w:rsidR="00DD7418">
        <w:t>Public Notice</w:t>
      </w:r>
      <w:r w:rsidR="00D65C1D">
        <w:t>,</w:t>
      </w:r>
      <w:r w:rsidR="00DD7418">
        <w:t xml:space="preserve"> </w:t>
      </w:r>
      <w:r w:rsidR="00B23B14">
        <w:t>DA 25-1025 (WCB</w:t>
      </w:r>
      <w:r w:rsidR="00B314F1">
        <w:t xml:space="preserve"> </w:t>
      </w:r>
      <w:r w:rsidR="00DD7418">
        <w:t>Dec. 8, 2025).</w:t>
      </w:r>
    </w:p>
  </w:footnote>
  <w:footnote w:id="31">
    <w:p w:rsidR="00DF1A22" w:rsidRPr="00866872" w:rsidP="00866872" w14:paraId="2ADE6E17" w14:textId="6F0F5814">
      <w:pPr>
        <w:pStyle w:val="FootnoteText"/>
      </w:pPr>
      <w:r>
        <w:rPr>
          <w:rStyle w:val="FootnoteReference"/>
        </w:rPr>
        <w:footnoteRef/>
      </w:r>
      <w:r>
        <w:t xml:space="preserve"> </w:t>
      </w:r>
      <w:r>
        <w:rPr>
          <w:i/>
          <w:iCs/>
        </w:rPr>
        <w:t xml:space="preserve">See </w:t>
      </w:r>
      <w:r>
        <w:t>Dec. 5 Supplement at 1</w:t>
      </w:r>
      <w:r w:rsidR="000B5716">
        <w:t xml:space="preserve">.  </w:t>
      </w:r>
      <w:r w:rsidR="001E7187">
        <w:t xml:space="preserve">Southern Plains </w:t>
      </w:r>
      <w:r w:rsidR="00D61C6F">
        <w:t xml:space="preserve">reports in the Broadband Data Collection </w:t>
      </w:r>
      <w:r w:rsidR="00307E97">
        <w:t>under Hilliary Communications, LLC</w:t>
      </w:r>
      <w:r w:rsidR="00D17039">
        <w:t>.</w:t>
      </w:r>
      <w:r>
        <w:t xml:space="preserve"> </w:t>
      </w:r>
      <w:r w:rsidR="00D17039">
        <w:t xml:space="preserve"> </w:t>
      </w:r>
      <w:r>
        <w:rPr>
          <w:i/>
          <w:iCs/>
        </w:rPr>
        <w:t xml:space="preserve">See also </w:t>
      </w:r>
      <w:r w:rsidR="003D4394">
        <w:rPr>
          <w:i/>
          <w:iCs/>
        </w:rPr>
        <w:t xml:space="preserve">Wireline Competition Bureau </w:t>
      </w:r>
      <w:r w:rsidRPr="00866872" w:rsidR="00866872">
        <w:rPr>
          <w:i/>
          <w:iCs/>
        </w:rPr>
        <w:t>Re-Authorizes Enhanced Alternative</w:t>
      </w:r>
      <w:r w:rsidR="00866872">
        <w:rPr>
          <w:i/>
          <w:iCs/>
        </w:rPr>
        <w:t xml:space="preserve"> </w:t>
      </w:r>
      <w:r w:rsidRPr="00866872" w:rsidR="00866872">
        <w:rPr>
          <w:i/>
          <w:iCs/>
        </w:rPr>
        <w:t xml:space="preserve">Connect America Model Support </w:t>
      </w:r>
      <w:r w:rsidR="00866872">
        <w:rPr>
          <w:i/>
          <w:iCs/>
        </w:rPr>
        <w:t>f</w:t>
      </w:r>
      <w:r w:rsidRPr="00866872" w:rsidR="00866872">
        <w:rPr>
          <w:i/>
          <w:iCs/>
        </w:rPr>
        <w:t xml:space="preserve">or </w:t>
      </w:r>
      <w:r w:rsidR="00866872">
        <w:rPr>
          <w:i/>
          <w:iCs/>
        </w:rPr>
        <w:t>DMEA</w:t>
      </w:r>
      <w:r w:rsidRPr="00866872" w:rsidR="00866872">
        <w:rPr>
          <w:i/>
          <w:iCs/>
        </w:rPr>
        <w:t xml:space="preserve"> Utilities Services, L</w:t>
      </w:r>
      <w:r w:rsidR="00866872">
        <w:rPr>
          <w:i/>
          <w:iCs/>
        </w:rPr>
        <w:t>LC</w:t>
      </w:r>
      <w:r w:rsidRPr="00866872" w:rsidR="00866872">
        <w:rPr>
          <w:i/>
          <w:iCs/>
        </w:rPr>
        <w:t xml:space="preserve"> </w:t>
      </w:r>
      <w:r w:rsidR="00866872">
        <w:rPr>
          <w:i/>
          <w:iCs/>
        </w:rPr>
        <w:t>a</w:t>
      </w:r>
      <w:r w:rsidRPr="00866872" w:rsidR="00866872">
        <w:rPr>
          <w:i/>
          <w:iCs/>
        </w:rPr>
        <w:t>nd</w:t>
      </w:r>
      <w:r w:rsidR="00866872">
        <w:rPr>
          <w:i/>
          <w:iCs/>
        </w:rPr>
        <w:t xml:space="preserve"> f</w:t>
      </w:r>
      <w:r w:rsidRPr="00866872" w:rsidR="00866872">
        <w:rPr>
          <w:i/>
          <w:iCs/>
        </w:rPr>
        <w:t>or Eastern Slope Rural Telephone Association, Inc.</w:t>
      </w:r>
      <w:r w:rsidR="00866872">
        <w:t xml:space="preserve">, WC Docket No. 10-90, </w:t>
      </w:r>
      <w:r w:rsidR="009A319E">
        <w:t xml:space="preserve">Public Notice, DA 25-620, </w:t>
      </w:r>
      <w:r w:rsidR="00A27EAD">
        <w:t>1-2 &amp; n.</w:t>
      </w:r>
      <w:r w:rsidR="00F37840">
        <w:t>4</w:t>
      </w:r>
      <w:r w:rsidR="009A319E">
        <w:t xml:space="preserve"> (WCB July 14, 2025).  </w:t>
      </w:r>
    </w:p>
  </w:footnote>
  <w:footnote w:id="32">
    <w:p w:rsidR="00915B5D" w:rsidRPr="00262156" w:rsidP="00915B5D" w14:paraId="7AC5F720" w14:textId="2715818F">
      <w:pPr>
        <w:pStyle w:val="FootnoteText"/>
      </w:pPr>
      <w:r w:rsidRPr="0025521D">
        <w:rPr>
          <w:rStyle w:val="FootnoteReference"/>
          <w:sz w:val="20"/>
        </w:rPr>
        <w:footnoteRef/>
      </w:r>
      <w:r w:rsidRPr="002F58F1">
        <w:t xml:space="preserve"> </w:t>
      </w:r>
      <w:r w:rsidRPr="00B04060" w:rsidR="00B04060">
        <w:t>Application</w:t>
      </w:r>
      <w:r w:rsidR="00B04060">
        <w:rPr>
          <w:i/>
          <w:iCs/>
        </w:rPr>
        <w:t xml:space="preserve"> </w:t>
      </w:r>
      <w:r w:rsidRPr="00262156" w:rsidR="00262156">
        <w:t>at 8.</w:t>
      </w:r>
    </w:p>
  </w:footnote>
  <w:footnote w:id="33">
    <w:p w:rsidR="000C734E" w:rsidRPr="00A412FF" w:rsidP="000C734E" w14:paraId="3EF77CD6" w14:textId="6332C516">
      <w:pPr>
        <w:pStyle w:val="FootnoteText"/>
      </w:pPr>
      <w:r w:rsidRPr="00863BC8">
        <w:rPr>
          <w:rStyle w:val="FootnoteReference"/>
        </w:rPr>
        <w:footnoteRef/>
      </w:r>
      <w:r w:rsidRPr="00863BC8">
        <w:t xml:space="preserve"> </w:t>
      </w:r>
      <w:r>
        <w:rPr>
          <w:i/>
          <w:iCs/>
        </w:rPr>
        <w:t>Id</w:t>
      </w:r>
      <w:r>
        <w:t>.</w:t>
      </w:r>
      <w:r w:rsidRPr="00863BC8">
        <w:t xml:space="preserve"> at </w:t>
      </w:r>
      <w:r>
        <w:t xml:space="preserve">7-9.  </w:t>
      </w:r>
    </w:p>
  </w:footnote>
  <w:footnote w:id="34">
    <w:p w:rsidR="00AD3D61" w:rsidP="00AD3D61" w14:paraId="588970D1" w14:textId="54AE1CE6">
      <w:pPr>
        <w:pStyle w:val="FootnoteText"/>
      </w:pPr>
      <w:r>
        <w:rPr>
          <w:rStyle w:val="FootnoteReference"/>
        </w:rPr>
        <w:footnoteRef/>
      </w:r>
      <w:r w:rsidR="006463EC">
        <w:t xml:space="preserve"> </w:t>
      </w:r>
      <w:r w:rsidR="00E52525">
        <w:t xml:space="preserve">Hilliary Nov. 25 </w:t>
      </w:r>
      <w:r w:rsidRPr="004822D1" w:rsidR="00E52525">
        <w:rPr>
          <w:i/>
          <w:iCs/>
        </w:rPr>
        <w:t>Ex Parte</w:t>
      </w:r>
      <w:r w:rsidR="00E52525">
        <w:t xml:space="preserve"> Letter at 1.</w:t>
      </w:r>
      <w:r w:rsidR="00145079">
        <w:t xml:space="preserve">  </w:t>
      </w:r>
    </w:p>
  </w:footnote>
  <w:footnote w:id="35">
    <w:p w:rsidR="00B225F7" w:rsidP="00B225F7" w14:paraId="444606C1" w14:textId="0FD6C817">
      <w:pPr>
        <w:pStyle w:val="FootnoteText"/>
      </w:pPr>
      <w:r>
        <w:rPr>
          <w:rStyle w:val="FootnoteReference"/>
        </w:rPr>
        <w:footnoteRef/>
      </w:r>
      <w:r>
        <w:t xml:space="preserve"> </w:t>
      </w:r>
      <w:r w:rsidR="004225DA">
        <w:t xml:space="preserve">47 CFR § 61.50(a); </w:t>
      </w:r>
      <w:r w:rsidRPr="0090011A" w:rsidR="004225DA">
        <w:rPr>
          <w:i/>
          <w:iCs/>
        </w:rPr>
        <w:t>see</w:t>
      </w:r>
      <w:r w:rsidR="004225DA">
        <w:t xml:space="preserve"> 47 CFR § 69.801(a) (defining business data services)</w:t>
      </w:r>
      <w:r w:rsidR="00CB4EE0">
        <w:t>.</w:t>
      </w:r>
      <w:r w:rsidR="004225DA">
        <w:t xml:space="preserve"> </w:t>
      </w:r>
    </w:p>
  </w:footnote>
  <w:footnote w:id="36">
    <w:p w:rsidR="00B225F7" w:rsidP="00B225F7" w14:paraId="4D7DFC1E" w14:textId="02B47643">
      <w:pPr>
        <w:pStyle w:val="FootnoteText"/>
      </w:pPr>
      <w:r>
        <w:rPr>
          <w:rStyle w:val="FootnoteReference"/>
        </w:rPr>
        <w:footnoteRef/>
      </w:r>
      <w:r>
        <w:t xml:space="preserve"> </w:t>
      </w:r>
      <w:r w:rsidRPr="0090011A" w:rsidR="006C7C6F">
        <w:rPr>
          <w:i/>
          <w:iCs/>
        </w:rPr>
        <w:t xml:space="preserve">See </w:t>
      </w:r>
      <w:r w:rsidRPr="009F01C7" w:rsidR="006C7C6F">
        <w:rPr>
          <w:i/>
          <w:iCs/>
        </w:rPr>
        <w:t>Regulation of Business Data Services for Rate-of-Return Local Exchange Carriers et al</w:t>
      </w:r>
      <w:r w:rsidRPr="009F01C7" w:rsidR="006C7C6F">
        <w:t>., WC Docket No. 17-144 et al., Report and Order, Further Notice of Proposed Rulemaking, and Second Further Notice of Proposed Rulemaking, 33 FCC Rcd 10403, 10404, 10413, para. 22 (2018)</w:t>
      </w:r>
      <w:r w:rsidR="00EA55C4">
        <w:t xml:space="preserve"> (</w:t>
      </w:r>
      <w:r w:rsidRPr="0090011A" w:rsidR="00EA55C4">
        <w:rPr>
          <w:i/>
          <w:iCs/>
        </w:rPr>
        <w:t>Rate-of-Return BDS Order</w:t>
      </w:r>
      <w:r w:rsidR="00EA55C4">
        <w:t>)</w:t>
      </w:r>
      <w:r w:rsidRPr="009F01C7" w:rsidR="009F01C7">
        <w:t>; 47 CFR § 61.50(a) (“A rate-of-return carrier may elect to offer business data services subject to incentive regulation pursuant to this section [section 61.50] only if all affiliated rate-of-return carriers meeting the requirements of…[section 61.50(b)]…make the election.”).</w:t>
      </w:r>
    </w:p>
  </w:footnote>
  <w:footnote w:id="37">
    <w:p w:rsidR="00D23D32" w:rsidP="00D23D32" w14:paraId="6A1313F6" w14:textId="7B935BF1">
      <w:pPr>
        <w:pStyle w:val="FootnoteText"/>
      </w:pPr>
      <w:r>
        <w:rPr>
          <w:rStyle w:val="FootnoteReference"/>
        </w:rPr>
        <w:footnoteRef/>
      </w:r>
      <w:r>
        <w:t xml:space="preserve"> </w:t>
      </w:r>
      <w:r w:rsidR="00EA55C4">
        <w:t xml:space="preserve">47 CFR § 61.50(d); </w:t>
      </w:r>
      <w:r w:rsidRPr="0090011A" w:rsidR="00EA55C4">
        <w:rPr>
          <w:i/>
          <w:iCs/>
        </w:rPr>
        <w:t>Rate-of-Return BDS Order</w:t>
      </w:r>
      <w:r w:rsidR="00EA55C4">
        <w:t>, 33 FCC Rcd 1041</w:t>
      </w:r>
      <w:r w:rsidR="00644339">
        <w:t>4-1</w:t>
      </w:r>
      <w:r w:rsidR="00EA55C4">
        <w:t xml:space="preserve">5, para. </w:t>
      </w:r>
      <w:r w:rsidR="00507B9E">
        <w:t>29</w:t>
      </w:r>
      <w:r w:rsidR="00835986">
        <w:t>.</w:t>
      </w:r>
    </w:p>
  </w:footnote>
  <w:footnote w:id="38">
    <w:p w:rsidR="00D23D32" w:rsidP="00D23D32" w14:paraId="0B2540D0" w14:textId="50A519D7">
      <w:pPr>
        <w:pStyle w:val="FootnoteText"/>
      </w:pPr>
      <w:r>
        <w:rPr>
          <w:rStyle w:val="FootnoteReference"/>
        </w:rPr>
        <w:footnoteRef/>
      </w:r>
      <w:r>
        <w:t xml:space="preserve"> </w:t>
      </w:r>
      <w:r w:rsidRPr="00094C60" w:rsidR="00094C60">
        <w:t xml:space="preserve">Hilliary Nov. 25 </w:t>
      </w:r>
      <w:r w:rsidRPr="0090011A" w:rsidR="00094C60">
        <w:rPr>
          <w:i/>
          <w:iCs/>
        </w:rPr>
        <w:t>Ex Parte</w:t>
      </w:r>
      <w:r w:rsidRPr="00094C60" w:rsidR="00094C60">
        <w:t xml:space="preserve"> Letter at 1</w:t>
      </w:r>
      <w:r w:rsidR="00094C60">
        <w:t xml:space="preserve">; </w:t>
      </w:r>
      <w:r w:rsidRPr="00094C60" w:rsidR="00094C60">
        <w:rPr>
          <w:i/>
          <w:iCs/>
        </w:rPr>
        <w:t>s</w:t>
      </w:r>
      <w:r w:rsidRPr="00670C95">
        <w:rPr>
          <w:i/>
          <w:iCs/>
        </w:rPr>
        <w:t>ee</w:t>
      </w:r>
      <w:r>
        <w:t xml:space="preserve"> </w:t>
      </w:r>
      <w:r w:rsidRPr="00670C95">
        <w:rPr>
          <w:i/>
          <w:iCs/>
        </w:rPr>
        <w:t>Notice of Domestic Section 214 Authorization Granted</w:t>
      </w:r>
      <w:r>
        <w:t>, WC Docket No. 21-378, Public Notice, 36 FCC Rcd 16139 (WCB 2021)</w:t>
      </w:r>
      <w:r w:rsidR="00BA5E7F">
        <w:t xml:space="preserve">; </w:t>
      </w:r>
      <w:r w:rsidRPr="0090011A" w:rsidR="00BA5E7F">
        <w:rPr>
          <w:i/>
          <w:iCs/>
        </w:rPr>
        <w:t>Wireline Competition Bureau Announces Rate-of-Return Carriers Electing Incentive Regulation for Their Business Data Services</w:t>
      </w:r>
      <w:r w:rsidR="00BA5E7F">
        <w:t>, WC Docket No. 17-144, Public Notice, 35 FCC Rcd 7037, 7042 (2020).</w:t>
      </w:r>
      <w:r>
        <w:t xml:space="preserve"> </w:t>
      </w:r>
    </w:p>
  </w:footnote>
  <w:footnote w:id="39">
    <w:p w:rsidR="00D23D32" w:rsidP="00D23D32" w14:paraId="2F34233C" w14:textId="77777777">
      <w:pPr>
        <w:pStyle w:val="FootnoteText"/>
      </w:pPr>
      <w:r>
        <w:rPr>
          <w:rStyle w:val="FootnoteReference"/>
        </w:rPr>
        <w:footnoteRef/>
      </w:r>
      <w:r>
        <w:t xml:space="preserve"> Hilliary Nov. 25 </w:t>
      </w:r>
      <w:r w:rsidRPr="004822D1">
        <w:rPr>
          <w:i/>
          <w:iCs/>
        </w:rPr>
        <w:t>Ex Parte</w:t>
      </w:r>
      <w:r>
        <w:t xml:space="preserve"> Letter at 1.</w:t>
      </w:r>
    </w:p>
  </w:footnote>
  <w:footnote w:id="40">
    <w:p w:rsidR="00DA2470" w14:paraId="4ED40368" w14:textId="711D6F55">
      <w:pPr>
        <w:pStyle w:val="FootnoteText"/>
      </w:pPr>
      <w:r>
        <w:rPr>
          <w:rStyle w:val="FootnoteReference"/>
        </w:rPr>
        <w:footnoteRef/>
      </w:r>
      <w:r>
        <w:t xml:space="preserve"> </w:t>
      </w:r>
      <w:r w:rsidR="006C55AE">
        <w:t xml:space="preserve">Hilliary Nov. 25 </w:t>
      </w:r>
      <w:r w:rsidRPr="004822D1" w:rsidR="006C55AE">
        <w:rPr>
          <w:i/>
          <w:iCs/>
        </w:rPr>
        <w:t>Ex Parte</w:t>
      </w:r>
      <w:r w:rsidR="006C55AE">
        <w:t xml:space="preserve"> Letter at 1</w:t>
      </w:r>
      <w:r w:rsidR="00DF7486">
        <w:t xml:space="preserve"> (</w:t>
      </w:r>
      <w:r w:rsidR="002F02FB">
        <w:t>stating</w:t>
      </w:r>
      <w:r w:rsidR="00C251E1">
        <w:t xml:space="preserve"> that </w:t>
      </w:r>
      <w:r w:rsidRPr="00240B73" w:rsidR="002F02FB">
        <w:t xml:space="preserve">Oklahoma Western, Medicine Park, and Southwest Oklahoma </w:t>
      </w:r>
      <w:r w:rsidR="002F02FB">
        <w:t>accepted Enhanced A-CAM support in 2023)</w:t>
      </w:r>
      <w:r w:rsidRPr="0090011A" w:rsidR="001711D2">
        <w:rPr>
          <w:rFonts w:eastAsia="TimesNewRoman"/>
          <w:iCs/>
        </w:rPr>
        <w:t xml:space="preserve">; </w:t>
      </w:r>
      <w:r w:rsidR="00531DA3">
        <w:rPr>
          <w:i/>
          <w:iCs/>
          <w:snapToGrid w:val="0"/>
          <w:kern w:val="28"/>
        </w:rPr>
        <w:t>Connect America Fund et al.</w:t>
      </w:r>
      <w:r w:rsidR="00531DA3">
        <w:rPr>
          <w:snapToGrid w:val="0"/>
          <w:kern w:val="28"/>
        </w:rPr>
        <w:t>, WC Docket Nos. 10-90</w:t>
      </w:r>
      <w:r w:rsidR="00367BEF">
        <w:rPr>
          <w:snapToGrid w:val="0"/>
          <w:kern w:val="28"/>
        </w:rPr>
        <w:t>,</w:t>
      </w:r>
      <w:r w:rsidR="00531DA3">
        <w:rPr>
          <w:snapToGrid w:val="0"/>
          <w:kern w:val="28"/>
        </w:rPr>
        <w:t xml:space="preserve"> et al., Report and Order, Notice of Proposed Rulemaking, and Notice of Inquiry, 38 FCC Rcd 7040, 7078, para. 91 (2023</w:t>
      </w:r>
      <w:r w:rsidR="00A35BE3">
        <w:rPr>
          <w:snapToGrid w:val="0"/>
          <w:kern w:val="28"/>
        </w:rPr>
        <w:t>); 47 CFR § 61.51(a)-(b)</w:t>
      </w:r>
      <w:r w:rsidR="00531DA3">
        <w:rPr>
          <w:snapToGrid w:val="0"/>
          <w:kern w:val="28"/>
        </w:rPr>
        <w:t>.</w:t>
      </w:r>
    </w:p>
  </w:footnote>
  <w:footnote w:id="41">
    <w:p w:rsidR="009A221D" w:rsidP="009A221D" w14:paraId="7C8FC332" w14:textId="77777777">
      <w:pPr>
        <w:pStyle w:val="FootnoteText"/>
      </w:pPr>
      <w:r w:rsidRPr="00C07541">
        <w:rPr>
          <w:rStyle w:val="FootnoteReference"/>
        </w:rPr>
        <w:footnoteRef/>
      </w:r>
      <w:r w:rsidRPr="00C07541">
        <w:t xml:space="preserve"> </w:t>
      </w:r>
      <w:r w:rsidRPr="00430D54">
        <w:rPr>
          <w:i/>
          <w:iCs/>
        </w:rPr>
        <w:t>See</w:t>
      </w:r>
      <w:r w:rsidRPr="00C07541">
        <w:t xml:space="preserve"> National Exchange Carrier Association, Inc. F.C.C. Tariff No. 5</w:t>
      </w:r>
      <w:r w:rsidRPr="00430D54">
        <w:t xml:space="preserve">, </w:t>
      </w:r>
      <w:r w:rsidRPr="005A129D">
        <w:t>§ 17.5.1</w:t>
      </w:r>
      <w:r>
        <w:t xml:space="preserve">, </w:t>
      </w:r>
      <w:r w:rsidRPr="00430D54">
        <w:t>pp. 17-62 &amp; 17-66</w:t>
      </w:r>
      <w:r>
        <w:t xml:space="preserve"> (issued Jun 16, 2025)</w:t>
      </w:r>
      <w:r w:rsidRPr="00C07541">
        <w:t>.</w:t>
      </w:r>
    </w:p>
  </w:footnote>
  <w:footnote w:id="42">
    <w:p w:rsidR="00BD07D9" w14:paraId="3E0EE718" w14:textId="70A8E7A6">
      <w:pPr>
        <w:pStyle w:val="FootnoteText"/>
      </w:pPr>
      <w:r>
        <w:rPr>
          <w:rStyle w:val="FootnoteReference"/>
        </w:rPr>
        <w:footnoteRef/>
      </w:r>
      <w:r>
        <w:t xml:space="preserve"> </w:t>
      </w:r>
      <w:r w:rsidR="00B730C1">
        <w:t xml:space="preserve">Hilliary Nov. 25 </w:t>
      </w:r>
      <w:r w:rsidRPr="004822D1" w:rsidR="00B730C1">
        <w:rPr>
          <w:i/>
          <w:iCs/>
        </w:rPr>
        <w:t>Ex Parte</w:t>
      </w:r>
      <w:r w:rsidR="00B730C1">
        <w:t xml:space="preserve"> Letter at 1.</w:t>
      </w:r>
    </w:p>
  </w:footnote>
  <w:footnote w:id="43">
    <w:p w:rsidR="00B91392" w14:paraId="53CB6F64" w14:textId="51B8AE09">
      <w:pPr>
        <w:pStyle w:val="FootnoteText"/>
      </w:pPr>
      <w:r>
        <w:rPr>
          <w:rStyle w:val="FootnoteReference"/>
        </w:rPr>
        <w:footnoteRef/>
      </w:r>
      <w:r>
        <w:t xml:space="preserve"> </w:t>
      </w:r>
      <w:r w:rsidRPr="00B91392">
        <w:rPr>
          <w:i/>
          <w:iCs/>
        </w:rPr>
        <w:t>Id.</w:t>
      </w:r>
      <w:r>
        <w:t xml:space="preserve"> </w:t>
      </w:r>
    </w:p>
  </w:footnote>
  <w:footnote w:id="44">
    <w:p w:rsidR="00360F2B" w:rsidRPr="00756E57" w:rsidP="00360F2B" w14:paraId="4F9CE3C3" w14:textId="741D5F61">
      <w:pPr>
        <w:pStyle w:val="FootnoteText"/>
        <w:rPr>
          <w:iCs/>
          <w:color w:val="212121"/>
        </w:rPr>
      </w:pPr>
      <w:r w:rsidRPr="00756E57">
        <w:rPr>
          <w:rStyle w:val="FootnoteReference"/>
        </w:rPr>
        <w:footnoteRef/>
      </w:r>
      <w:r w:rsidRPr="00756E57">
        <w:t xml:space="preserve"> </w:t>
      </w:r>
      <w:r w:rsidRPr="00756E57">
        <w:rPr>
          <w:i/>
        </w:rPr>
        <w:t xml:space="preserve">See </w:t>
      </w:r>
      <w:r w:rsidRPr="00756E57">
        <w:rPr>
          <w:iCs/>
        </w:rPr>
        <w:t xml:space="preserve">47 U.S.C. § 214(a).  </w:t>
      </w:r>
      <w:r w:rsidRPr="00756E57" w:rsidR="00261CFB">
        <w:rPr>
          <w:iCs/>
        </w:rPr>
        <w:t xml:space="preserve">Applicants state that </w:t>
      </w:r>
      <w:r w:rsidRPr="00756E57" w:rsidR="008E33C6">
        <w:rPr>
          <w:iCs/>
        </w:rPr>
        <w:t xml:space="preserve">there is an adjacency of services areas between </w:t>
      </w:r>
      <w:r w:rsidRPr="00756E57" w:rsidR="00C47FAF">
        <w:rPr>
          <w:iCs/>
        </w:rPr>
        <w:t xml:space="preserve">Hilliary’s affiliate </w:t>
      </w:r>
      <w:r w:rsidRPr="00756E57" w:rsidR="00B417EB">
        <w:rPr>
          <w:iCs/>
        </w:rPr>
        <w:t xml:space="preserve">Medicine Park and </w:t>
      </w:r>
      <w:r w:rsidRPr="00756E57" w:rsidR="00C47FAF">
        <w:rPr>
          <w:iCs/>
        </w:rPr>
        <w:t xml:space="preserve">the transferring licensee, </w:t>
      </w:r>
      <w:r w:rsidRPr="00756E57" w:rsidR="00B417EB">
        <w:rPr>
          <w:iCs/>
        </w:rPr>
        <w:t>Oklahoma Communications</w:t>
      </w:r>
      <w:r w:rsidR="0049086D">
        <w:rPr>
          <w:iCs/>
        </w:rPr>
        <w:t>,</w:t>
      </w:r>
      <w:r w:rsidRPr="00756E57" w:rsidR="002F3C85">
        <w:rPr>
          <w:iCs/>
        </w:rPr>
        <w:t xml:space="preserve"> and </w:t>
      </w:r>
      <w:r w:rsidRPr="00756E57" w:rsidR="00A16235">
        <w:rPr>
          <w:iCs/>
        </w:rPr>
        <w:t>the</w:t>
      </w:r>
      <w:r w:rsidRPr="00756E57" w:rsidR="00BC2494">
        <w:rPr>
          <w:iCs/>
        </w:rPr>
        <w:t xml:space="preserve"> Applicants acknowledge </w:t>
      </w:r>
      <w:r w:rsidRPr="00756E57" w:rsidR="0077012A">
        <w:rPr>
          <w:iCs/>
        </w:rPr>
        <w:t xml:space="preserve">“a geographic overlap of 97 Enhanced A-CAM locations within the </w:t>
      </w:r>
      <w:r w:rsidRPr="00756E57" w:rsidR="00217A10">
        <w:rPr>
          <w:iCs/>
        </w:rPr>
        <w:t>study area of Oklahoma Communications.</w:t>
      </w:r>
      <w:r w:rsidRPr="00756E57" w:rsidR="009526FB">
        <w:rPr>
          <w:iCs/>
        </w:rPr>
        <w:t>”</w:t>
      </w:r>
      <w:r w:rsidRPr="00756E57" w:rsidR="005D47C5">
        <w:rPr>
          <w:iCs/>
        </w:rPr>
        <w:t xml:space="preserve"> </w:t>
      </w:r>
      <w:r w:rsidRPr="00756E57" w:rsidR="009526FB">
        <w:rPr>
          <w:iCs/>
        </w:rPr>
        <w:t xml:space="preserve"> </w:t>
      </w:r>
      <w:r w:rsidRPr="00756E57" w:rsidR="00901C7D">
        <w:rPr>
          <w:iCs/>
        </w:rPr>
        <w:t xml:space="preserve">Dec. 5 Supplement at 1.  </w:t>
      </w:r>
      <w:r w:rsidRPr="00DF00EB" w:rsidR="00DF00EB">
        <w:t xml:space="preserve">Hilliary has acknowledged </w:t>
      </w:r>
      <w:r w:rsidR="006427A2">
        <w:t xml:space="preserve">that </w:t>
      </w:r>
      <w:r w:rsidRPr="00DF00EB" w:rsidR="00DF00EB">
        <w:t xml:space="preserve">locations within Oklahoma </w:t>
      </w:r>
      <w:r w:rsidRPr="00DF00EB" w:rsidR="00DF00EB">
        <w:t>Communications’s</w:t>
      </w:r>
      <w:r w:rsidRPr="00DF00EB" w:rsidR="00DF00EB">
        <w:t xml:space="preserve"> Enhanced A-CAM authorized area </w:t>
      </w:r>
      <w:r w:rsidR="006427A2">
        <w:t>are</w:t>
      </w:r>
      <w:r w:rsidRPr="00DF00EB" w:rsidR="00DF00EB">
        <w:t xml:space="preserve"> competitively served for purposes of the </w:t>
      </w:r>
      <w:r w:rsidR="006427A2">
        <w:t xml:space="preserve">Enhanced A-CAM </w:t>
      </w:r>
      <w:r w:rsidRPr="00DF00EB" w:rsidR="00DF00EB">
        <w:t xml:space="preserve">program, which means Hilliary </w:t>
      </w:r>
      <w:r w:rsidR="006427A2">
        <w:t>is ineligible to receive</w:t>
      </w:r>
      <w:r w:rsidRPr="00DF00EB" w:rsidR="00DF00EB">
        <w:t xml:space="preserve"> any Enhanced A-CAM support</w:t>
      </w:r>
      <w:r w:rsidR="00972026">
        <w:t xml:space="preserve"> for those locations</w:t>
      </w:r>
      <w:r w:rsidR="00DF00EB">
        <w:t>.</w:t>
      </w:r>
      <w:r w:rsidR="000D6D9D">
        <w:t xml:space="preserve">  </w:t>
      </w:r>
      <w:r w:rsidRPr="0090011A" w:rsidR="000D6D9D">
        <w:rPr>
          <w:i/>
          <w:iCs/>
        </w:rPr>
        <w:t>See</w:t>
      </w:r>
      <w:r w:rsidRPr="000D6D9D" w:rsidR="000D6D9D">
        <w:t xml:space="preserve"> Dec. 5 Supplement at 1, </w:t>
      </w:r>
      <w:r w:rsidR="00A94EC0">
        <w:t xml:space="preserve"> </w:t>
      </w:r>
      <w:r w:rsidRPr="000D6D9D" w:rsidR="000D6D9D">
        <w:t xml:space="preserve">Application at 7-8.  </w:t>
      </w:r>
      <w:r w:rsidR="00283285">
        <w:t xml:space="preserve"> </w:t>
      </w:r>
      <w:r w:rsidR="00A94EC0">
        <w:t xml:space="preserve">Accordingly, the transaction </w:t>
      </w:r>
      <w:r w:rsidR="00283285">
        <w:t>does</w:t>
      </w:r>
      <w:r w:rsidR="00A94EC0">
        <w:t xml:space="preserve"> not </w:t>
      </w:r>
      <w:r w:rsidR="00283285">
        <w:t>implicate</w:t>
      </w:r>
      <w:r w:rsidR="00A94EC0">
        <w:t xml:space="preserve"> </w:t>
      </w:r>
      <w:r w:rsidRPr="00DF00EB" w:rsidR="00EB2AD0">
        <w:t xml:space="preserve">inefficiencies </w:t>
      </w:r>
      <w:r w:rsidR="00283285">
        <w:t xml:space="preserve">associated </w:t>
      </w:r>
      <w:r w:rsidRPr="00DF00EB" w:rsidR="00EB2AD0">
        <w:t xml:space="preserve">with authorizing USF support to acquiring parties to serve locations that they already competitively </w:t>
      </w:r>
      <w:r w:rsidRPr="00DF00EB" w:rsidR="00283285">
        <w:t>serve</w:t>
      </w:r>
      <w:r w:rsidR="00283285">
        <w:t xml:space="preserve">.  </w:t>
      </w:r>
      <w:r w:rsidRPr="00756E57" w:rsidR="00E85FD6">
        <w:t xml:space="preserve">We </w:t>
      </w:r>
      <w:r w:rsidR="00E85FD6">
        <w:t xml:space="preserve">also </w:t>
      </w:r>
      <w:r w:rsidRPr="00756E57" w:rsidR="00E85FD6">
        <w:t>conclude</w:t>
      </w:r>
      <w:r w:rsidR="00A94EC0">
        <w:t xml:space="preserve"> that </w:t>
      </w:r>
      <w:r w:rsidRPr="00756E57" w:rsidR="00E85FD6">
        <w:t>there</w:t>
      </w:r>
      <w:r w:rsidR="00A94EC0">
        <w:t xml:space="preserve"> will </w:t>
      </w:r>
      <w:r w:rsidRPr="00756E57" w:rsidR="00E85FD6">
        <w:t>likely</w:t>
      </w:r>
      <w:r w:rsidR="00A94EC0">
        <w:t xml:space="preserve"> be </w:t>
      </w:r>
      <w:r w:rsidRPr="00756E57" w:rsidR="00A94EC0">
        <w:t xml:space="preserve">efficiencies and increased investment that result from </w:t>
      </w:r>
      <w:r w:rsidR="00A94EC0">
        <w:t xml:space="preserve">the proposed transaction </w:t>
      </w:r>
      <w:r w:rsidRPr="00756E57" w:rsidR="00A94EC0">
        <w:t>and find th</w:t>
      </w:r>
      <w:r w:rsidR="00A94EC0">
        <w:t xml:space="preserve">at a grant is </w:t>
      </w:r>
      <w:r w:rsidRPr="00756E57" w:rsidR="00A94EC0">
        <w:t>in the public interest.</w:t>
      </w:r>
      <w:r w:rsidRPr="000D6D9D" w:rsidR="000D6D9D">
        <w:t xml:space="preserve">  </w:t>
      </w:r>
      <w:r w:rsidRPr="00756E57" w:rsidR="00585106">
        <w:t xml:space="preserve">The Commission has not found significant competitive harm in certain transactions involving the combination of providers where the transaction did not reduce competition and resulted in a stronger competitor.  </w:t>
      </w:r>
      <w:r w:rsidRPr="00756E57" w:rsidR="00585106">
        <w:rPr>
          <w:i/>
        </w:rPr>
        <w:t>See, e.g</w:t>
      </w:r>
      <w:r w:rsidRPr="00756E57" w:rsidR="00585106">
        <w:t xml:space="preserve">., </w:t>
      </w:r>
      <w:r w:rsidRPr="00756E57" w:rsidR="00585106">
        <w:rPr>
          <w:i/>
          <w:iCs/>
        </w:rPr>
        <w:t>CenturyLink/Level 3 Order</w:t>
      </w:r>
      <w:r w:rsidRPr="00756E57" w:rsidR="00585106">
        <w:t>, 32 FCC Rcd at 9594, 9605, paras. 26</w:t>
      </w:r>
      <w:r w:rsidRPr="00756E57" w:rsidR="00282C93">
        <w:t xml:space="preserve">, </w:t>
      </w:r>
      <w:r w:rsidRPr="00756E57" w:rsidR="00585106">
        <w:t>52</w:t>
      </w:r>
      <w:r w:rsidRPr="00756E57" w:rsidR="00282C93">
        <w:t>, and 54</w:t>
      </w:r>
      <w:r w:rsidRPr="00756E57" w:rsidR="00585106">
        <w:t xml:space="preserve"> (finding no harm to competition in CenturyLink’s incumbent LEC territory, nor outside of CenturyLink’s incumbent LEC territory, where applicants operate as competitive LECs, and further finding that the transaction “will expand the on-net reach of the newly combined firm resulting in a more effective and stronger competitor</w:t>
      </w:r>
      <w:r w:rsidRPr="00756E57" w:rsidR="00A676FA">
        <w:t>” and by expanding the reach and service capacity of the combined entity</w:t>
      </w:r>
      <w:r w:rsidRPr="00756E57" w:rsidR="00585106">
        <w:t xml:space="preserve">); </w:t>
      </w:r>
      <w:r w:rsidRPr="00756E57" w:rsidR="00585106">
        <w:rPr>
          <w:i/>
          <w:iCs/>
          <w:color w:val="000000"/>
        </w:rPr>
        <w:t>Joint Applications of Telephone and Data Systems, Inc. and Chorus Communications, Ltd. For Authority to Transfer Control of Commission Licenses and Authorizations Pursuant to Sections 214 and 310(d) of the Communications Act and Parts 22, 63 and 90 of the Commission's Rules</w:t>
      </w:r>
      <w:r w:rsidRPr="00756E57" w:rsidR="00585106">
        <w:rPr>
          <w:color w:val="000000"/>
        </w:rPr>
        <w:t>, Memorandum Opinion and Order, 16 FCC Rcd 15293, 15296-99, para. 9-10 (CCB/WTB 2001) (granting a transfer of control involving an incumbent LEC and an affiliate of an in-region provider of wireless services where the overlap was limited in size and the transaction overall resulted in stronger competitor)</w:t>
      </w:r>
      <w:r w:rsidR="00F92572">
        <w:rPr>
          <w:color w:val="000000"/>
        </w:rPr>
        <w:t>.</w:t>
      </w:r>
    </w:p>
  </w:footnote>
  <w:footnote w:id="45">
    <w:p w:rsidR="00360F2B" w:rsidP="00360F2B" w14:paraId="50DAA2B4" w14:textId="1AFF0CC1">
      <w:pPr>
        <w:pStyle w:val="FootnoteText"/>
      </w:pPr>
      <w:r w:rsidRPr="00A412FF">
        <w:rPr>
          <w:rStyle w:val="FootnoteReference"/>
        </w:rPr>
        <w:footnoteRef/>
      </w:r>
      <w:r w:rsidRPr="00A412FF">
        <w:t xml:space="preserve"> We further direct Applicants to submit in the domestic section 214 docket a notice that the proposed transaction has closed with the consummation date and also provide a courtesy copy of the notice to </w:t>
      </w:r>
      <w:hyperlink r:id="rId4" w:history="1">
        <w:r w:rsidRPr="00A412FF">
          <w:rPr>
            <w:rStyle w:val="Hyperlink"/>
          </w:rPr>
          <w:t>hcinfo@usac.org</w:t>
        </w:r>
      </w:hyperlink>
      <w:r w:rsidRPr="00A412FF">
        <w:t>.</w:t>
      </w:r>
      <w:r w:rsidR="006B3B80">
        <w:t xml:space="preserve">  Applicants must submit a copy of the consummation notice via email to </w:t>
      </w:r>
      <w:hyperlink r:id="rId5" w:history="1">
        <w:r w:rsidRPr="00DA4C0B" w:rsidR="00BA3A3D">
          <w:rPr>
            <w:rStyle w:val="Hyperlink"/>
          </w:rPr>
          <w:t>Dennis.Johnson@fcc.gov</w:t>
        </w:r>
      </w:hyperlink>
      <w:r w:rsidR="006B3B80">
        <w:t xml:space="preserve"> and </w:t>
      </w:r>
      <w:hyperlink r:id="rId6" w:history="1">
        <w:r w:rsidRPr="0083505E" w:rsidR="006B3B80">
          <w:rPr>
            <w:rStyle w:val="Hyperlink"/>
          </w:rPr>
          <w:t>Nissa.Laughner@fcc.gov</w:t>
        </w:r>
      </w:hyperlink>
      <w:r w:rsidR="006B3B80">
        <w:t>.</w:t>
      </w:r>
    </w:p>
    <w:p w:rsidR="006B3B80" w:rsidRPr="00A412FF" w:rsidP="00360F2B" w14:paraId="66810486" w14:textId="7777777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3BA8" w14:paraId="28C68044" w14:textId="2BE5BD8C">
    <w:pPr>
      <w:tabs>
        <w:tab w:val="center" w:pos="4680"/>
        <w:tab w:val="right" w:pos="9360"/>
      </w:tabs>
    </w:pPr>
    <w:r>
      <w:rPr>
        <w:b/>
      </w:rPr>
      <w:tab/>
      <w:t>Federal Communications Commission</w:t>
    </w:r>
    <w:r>
      <w:rPr>
        <w:b/>
      </w:rPr>
      <w:tab/>
    </w:r>
    <w:r w:rsidR="00227BA1">
      <w:rPr>
        <w:b/>
      </w:rPr>
      <w:t>DA 2</w:t>
    </w:r>
    <w:r w:rsidR="00F03D70">
      <w:rPr>
        <w:b/>
      </w:rPr>
      <w:t>5</w:t>
    </w:r>
    <w:r w:rsidR="00227BA1">
      <w:rPr>
        <w:b/>
      </w:rPr>
      <w:t>-</w:t>
    </w:r>
    <w:r w:rsidR="00C459BC">
      <w:rPr>
        <w:b/>
      </w:rPr>
      <w:t>1074</w:t>
    </w:r>
  </w:p>
  <w:p w:rsidR="00BA3BA8" w14:paraId="623385AC" w14:textId="77777777">
    <w:pPr>
      <w:tabs>
        <w:tab w:val="left" w:pos="-720"/>
      </w:tabs>
      <w:suppressAutoHyphens/>
      <w:spacing w:line="19" w:lineRule="exact"/>
      <w:rPr>
        <w:spacing w:val="-2"/>
      </w:rPr>
    </w:pPr>
    <w:r>
      <w:rPr>
        <w:noProof/>
      </w:rPr>
      <mc:AlternateContent>
        <mc:Choice Requires="wps">
          <w:drawing>
            <wp:anchor distT="0" distB="0" distL="114300" distR="114300" simplePos="0" relativeHeight="251658240" behindDoc="1" locked="0" layoutInCell="0" allowOverlap="1">
              <wp:simplePos x="0" y="0"/>
              <wp:positionH relativeFrom="margin">
                <wp:posOffset>0</wp:posOffset>
              </wp:positionH>
              <wp:positionV relativeFrom="paragraph">
                <wp:posOffset>0</wp:posOffset>
              </wp:positionV>
              <wp:extent cx="5943600" cy="12065"/>
              <wp:effectExtent l="0" t="0" r="0" b="0"/>
              <wp:wrapNone/>
              <wp:docPr id="15" name="Rectangl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12065"/>
                      </a:xfrm>
                      <a:prstGeom prst="rect">
                        <a:avLst/>
                      </a:prstGeom>
                      <a:solidFill>
                        <a:srgbClr val="000000"/>
                      </a:solidFill>
                      <a:ln>
                        <a:noFill/>
                      </a:ln>
                      <a:effectLst/>
                      <a:extLst>
                        <a:ext xmlns:a="http://schemas.openxmlformats.org/drawingml/2006/main" uri="{91240B29-F687-4F45-9708-019B960494DF}">
                          <a14:hiddenLine xmlns:a14="http://schemas.microsoft.com/office/drawing/2010/main" w="635">
                            <a:solidFill>
                              <a:srgbClr val="000000"/>
                            </a:solidFill>
                            <a:miter lim="800000"/>
                            <a:headEnd/>
                            <a:tailEnd/>
                          </a14:hiddenLine>
                        </a:ex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 o:spid="_x0000_s2049" style="width:468pt;height:0.95pt;margin-top:0;margin-left:0;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color="black" stroked="f" strokeweight="0.05pt">
              <w10:wrap anchorx="margin"/>
            </v:rect>
          </w:pict>
        </mc:Fallback>
      </mc:AlternateContent>
    </w:r>
  </w:p>
  <w:p w:rsidR="00BA3BA8" w14:paraId="6D9BF092" w14:textId="77777777">
    <w:pPr>
      <w:spacing w:before="40"/>
      <w:rPr>
        <w:rFonts w:ascii="Arial" w:hAnsi="Arial" w:cs="Arial"/>
        <w:b/>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3BA8" w:rsidRPr="00F03EA1" w:rsidP="00F03EA1" w14:paraId="6B5D3EDF" w14:textId="77777777">
    <w:pPr>
      <w:pStyle w:val="Header"/>
    </w:pPr>
    <w:r>
      <w:rPr>
        <w:noProof/>
      </w:rPr>
      <w:drawing>
        <wp:inline distT="0" distB="0" distL="0" distR="0">
          <wp:extent cx="5956300" cy="1428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5956300" cy="14287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4B453C"/>
    <w:multiLevelType w:val="singleLevel"/>
    <w:tmpl w:val="40A8E97A"/>
    <w:lvl w:ilvl="0">
      <w:start w:val="1"/>
      <w:numFmt w:val="decimal"/>
      <w:lvlText w:val="%1."/>
      <w:lvlJc w:val="left"/>
      <w:pPr>
        <w:tabs>
          <w:tab w:val="num" w:pos="1080"/>
        </w:tabs>
        <w:ind w:left="0" w:firstLine="720"/>
      </w:pPr>
    </w:lvl>
  </w:abstractNum>
  <w:abstractNum w:abstractNumId="1">
    <w:nsid w:val="2059305A"/>
    <w:multiLevelType w:val="multilevel"/>
    <w:tmpl w:val="57A4B52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3F40A0F"/>
    <w:multiLevelType w:val="singleLevel"/>
    <w:tmpl w:val="3244DD0A"/>
    <w:lvl w:ilvl="0">
      <w:start w:val="1"/>
      <w:numFmt w:val="bullet"/>
      <w:pStyle w:val="Bullet"/>
      <w:lvlText w:val=""/>
      <w:lvlJc w:val="left"/>
      <w:pPr>
        <w:tabs>
          <w:tab w:val="num" w:pos="360"/>
        </w:tabs>
        <w:ind w:left="360" w:hanging="360"/>
      </w:pPr>
      <w:rPr>
        <w:rFonts w:ascii="Symbol" w:hAnsi="Symbol" w:hint="default"/>
      </w:rPr>
    </w:lvl>
  </w:abstractNum>
  <w:abstractNum w:abstractNumId="3">
    <w:nsid w:val="248246F3"/>
    <w:multiLevelType w:val="singleLevel"/>
    <w:tmpl w:val="B1F45678"/>
    <w:lvl w:ilvl="0">
      <w:start w:val="1"/>
      <w:numFmt w:val="decimal"/>
      <w:lvlText w:val="%1."/>
      <w:lvlJc w:val="left"/>
      <w:pPr>
        <w:tabs>
          <w:tab w:val="num" w:pos="1080"/>
        </w:tabs>
        <w:ind w:left="0" w:firstLine="720"/>
      </w:pPr>
    </w:lvl>
  </w:abstractNum>
  <w:abstractNum w:abstractNumId="4">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5">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6">
    <w:nsid w:val="61182925"/>
    <w:multiLevelType w:val="singleLevel"/>
    <w:tmpl w:val="D180CED0"/>
    <w:lvl w:ilvl="0">
      <w:start w:val="1"/>
      <w:numFmt w:val="decimal"/>
      <w:pStyle w:val="ParaNum"/>
      <w:lvlText w:val="%1."/>
      <w:lvlJc w:val="left"/>
      <w:pPr>
        <w:tabs>
          <w:tab w:val="num" w:pos="1080"/>
        </w:tabs>
        <w:ind w:left="0" w:firstLine="720"/>
      </w:pPr>
    </w:lvl>
  </w:abstractNum>
  <w:abstractNum w:abstractNumId="7">
    <w:nsid w:val="6A614CCE"/>
    <w:multiLevelType w:val="hybridMultilevel"/>
    <w:tmpl w:val="0F98B5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6BE20A48"/>
    <w:multiLevelType w:val="multilevel"/>
    <w:tmpl w:val="584238C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EC70967"/>
    <w:multiLevelType w:val="hybridMultilevel"/>
    <w:tmpl w:val="468E02EC"/>
    <w:lvl w:ilvl="0">
      <w:start w:val="1"/>
      <w:numFmt w:val="upp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num w:numId="1" w16cid:durableId="1889223528">
    <w:abstractNumId w:val="2"/>
  </w:num>
  <w:num w:numId="2" w16cid:durableId="890339313">
    <w:abstractNumId w:val="6"/>
  </w:num>
  <w:num w:numId="3" w16cid:durableId="528419151">
    <w:abstractNumId w:val="4"/>
  </w:num>
  <w:num w:numId="4" w16cid:durableId="1245721454">
    <w:abstractNumId w:val="5"/>
  </w:num>
  <w:num w:numId="5" w16cid:durableId="1255556118">
    <w:abstractNumId w:val="3"/>
  </w:num>
  <w:num w:numId="6" w16cid:durableId="1286346123">
    <w:abstractNumId w:val="0"/>
  </w:num>
  <w:num w:numId="7" w16cid:durableId="2096245613">
    <w:abstractNumId w:val="7"/>
  </w:num>
  <w:num w:numId="8" w16cid:durableId="823476080">
    <w:abstractNumId w:val="1"/>
  </w:num>
  <w:num w:numId="9" w16cid:durableId="1831603079">
    <w:abstractNumId w:val="8"/>
  </w:num>
  <w:num w:numId="10" w16cid:durableId="20073155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0"/>
    <w:footnote w:id="1"/>
    <w:footnote w:id="2"/>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115"/>
    <w:rsid w:val="000004D9"/>
    <w:rsid w:val="00000D10"/>
    <w:rsid w:val="000011F9"/>
    <w:rsid w:val="00001ED4"/>
    <w:rsid w:val="00002E10"/>
    <w:rsid w:val="000057D9"/>
    <w:rsid w:val="00005D14"/>
    <w:rsid w:val="00006096"/>
    <w:rsid w:val="00007737"/>
    <w:rsid w:val="000113D2"/>
    <w:rsid w:val="00011507"/>
    <w:rsid w:val="00011B28"/>
    <w:rsid w:val="0001243A"/>
    <w:rsid w:val="00014786"/>
    <w:rsid w:val="00015F7F"/>
    <w:rsid w:val="00017E58"/>
    <w:rsid w:val="00020CED"/>
    <w:rsid w:val="00024D2B"/>
    <w:rsid w:val="00024DE5"/>
    <w:rsid w:val="000278AD"/>
    <w:rsid w:val="00027C50"/>
    <w:rsid w:val="000305EB"/>
    <w:rsid w:val="00031931"/>
    <w:rsid w:val="00031CEB"/>
    <w:rsid w:val="00031D25"/>
    <w:rsid w:val="0003236E"/>
    <w:rsid w:val="000330AA"/>
    <w:rsid w:val="00033E47"/>
    <w:rsid w:val="00034155"/>
    <w:rsid w:val="0003448D"/>
    <w:rsid w:val="00034E67"/>
    <w:rsid w:val="00036452"/>
    <w:rsid w:val="000372F9"/>
    <w:rsid w:val="00037C98"/>
    <w:rsid w:val="00037FF4"/>
    <w:rsid w:val="00040678"/>
    <w:rsid w:val="00040C75"/>
    <w:rsid w:val="000418CB"/>
    <w:rsid w:val="00041C2F"/>
    <w:rsid w:val="00043169"/>
    <w:rsid w:val="00044458"/>
    <w:rsid w:val="00046B0D"/>
    <w:rsid w:val="0004701B"/>
    <w:rsid w:val="0004707E"/>
    <w:rsid w:val="00047271"/>
    <w:rsid w:val="000513D7"/>
    <w:rsid w:val="000514C7"/>
    <w:rsid w:val="00053A8A"/>
    <w:rsid w:val="0005433C"/>
    <w:rsid w:val="00054EBC"/>
    <w:rsid w:val="00060B78"/>
    <w:rsid w:val="00062D6A"/>
    <w:rsid w:val="00062D6F"/>
    <w:rsid w:val="000638EB"/>
    <w:rsid w:val="000639C2"/>
    <w:rsid w:val="00066ED5"/>
    <w:rsid w:val="00070716"/>
    <w:rsid w:val="00070D51"/>
    <w:rsid w:val="00071F42"/>
    <w:rsid w:val="000728E7"/>
    <w:rsid w:val="00073CB3"/>
    <w:rsid w:val="000754F1"/>
    <w:rsid w:val="00076FB9"/>
    <w:rsid w:val="00077571"/>
    <w:rsid w:val="00077AD5"/>
    <w:rsid w:val="00077C93"/>
    <w:rsid w:val="00080C43"/>
    <w:rsid w:val="00081E54"/>
    <w:rsid w:val="00081FD5"/>
    <w:rsid w:val="00084153"/>
    <w:rsid w:val="0008462E"/>
    <w:rsid w:val="00085D6F"/>
    <w:rsid w:val="00090276"/>
    <w:rsid w:val="000913DB"/>
    <w:rsid w:val="0009196E"/>
    <w:rsid w:val="00092794"/>
    <w:rsid w:val="00094C60"/>
    <w:rsid w:val="000960FB"/>
    <w:rsid w:val="0009747B"/>
    <w:rsid w:val="00097B86"/>
    <w:rsid w:val="000A0C2A"/>
    <w:rsid w:val="000A0D26"/>
    <w:rsid w:val="000A0F72"/>
    <w:rsid w:val="000A1A7D"/>
    <w:rsid w:val="000A1ADE"/>
    <w:rsid w:val="000A1BBD"/>
    <w:rsid w:val="000A2981"/>
    <w:rsid w:val="000A2FF6"/>
    <w:rsid w:val="000A4884"/>
    <w:rsid w:val="000A48D7"/>
    <w:rsid w:val="000A4A68"/>
    <w:rsid w:val="000A55F0"/>
    <w:rsid w:val="000B0166"/>
    <w:rsid w:val="000B2096"/>
    <w:rsid w:val="000B284D"/>
    <w:rsid w:val="000B3B42"/>
    <w:rsid w:val="000B3C96"/>
    <w:rsid w:val="000B5716"/>
    <w:rsid w:val="000B6369"/>
    <w:rsid w:val="000B644F"/>
    <w:rsid w:val="000B7C7A"/>
    <w:rsid w:val="000C1A37"/>
    <w:rsid w:val="000C24F8"/>
    <w:rsid w:val="000C27B4"/>
    <w:rsid w:val="000C2FB0"/>
    <w:rsid w:val="000C734E"/>
    <w:rsid w:val="000C75FE"/>
    <w:rsid w:val="000C7623"/>
    <w:rsid w:val="000D09AC"/>
    <w:rsid w:val="000D1DA9"/>
    <w:rsid w:val="000D2703"/>
    <w:rsid w:val="000D2FDD"/>
    <w:rsid w:val="000D453C"/>
    <w:rsid w:val="000D4CE0"/>
    <w:rsid w:val="000D57A4"/>
    <w:rsid w:val="000D583C"/>
    <w:rsid w:val="000D5998"/>
    <w:rsid w:val="000D5D34"/>
    <w:rsid w:val="000D6533"/>
    <w:rsid w:val="000D6D9D"/>
    <w:rsid w:val="000D6E29"/>
    <w:rsid w:val="000E0455"/>
    <w:rsid w:val="000E082F"/>
    <w:rsid w:val="000E0AEB"/>
    <w:rsid w:val="000E1CD3"/>
    <w:rsid w:val="000E45AE"/>
    <w:rsid w:val="000E5B0D"/>
    <w:rsid w:val="000E6837"/>
    <w:rsid w:val="000E7447"/>
    <w:rsid w:val="000E7AA4"/>
    <w:rsid w:val="000F0A71"/>
    <w:rsid w:val="000F0BBF"/>
    <w:rsid w:val="000F1489"/>
    <w:rsid w:val="000F6254"/>
    <w:rsid w:val="00100576"/>
    <w:rsid w:val="00103CAF"/>
    <w:rsid w:val="001062CD"/>
    <w:rsid w:val="00107791"/>
    <w:rsid w:val="0011043D"/>
    <w:rsid w:val="00112F11"/>
    <w:rsid w:val="00113566"/>
    <w:rsid w:val="0011383D"/>
    <w:rsid w:val="00115F58"/>
    <w:rsid w:val="00115F81"/>
    <w:rsid w:val="00116E4B"/>
    <w:rsid w:val="00116EDE"/>
    <w:rsid w:val="00116FC7"/>
    <w:rsid w:val="00122469"/>
    <w:rsid w:val="001226F1"/>
    <w:rsid w:val="0012392E"/>
    <w:rsid w:val="00124029"/>
    <w:rsid w:val="001249E5"/>
    <w:rsid w:val="00124E37"/>
    <w:rsid w:val="00125755"/>
    <w:rsid w:val="00125BC7"/>
    <w:rsid w:val="00125CBF"/>
    <w:rsid w:val="00125FE4"/>
    <w:rsid w:val="001260F2"/>
    <w:rsid w:val="00131D92"/>
    <w:rsid w:val="00133346"/>
    <w:rsid w:val="0013444B"/>
    <w:rsid w:val="00135A14"/>
    <w:rsid w:val="001363E4"/>
    <w:rsid w:val="00136C5A"/>
    <w:rsid w:val="0014027F"/>
    <w:rsid w:val="00140921"/>
    <w:rsid w:val="001426B6"/>
    <w:rsid w:val="00143CBF"/>
    <w:rsid w:val="00145079"/>
    <w:rsid w:val="00146BE2"/>
    <w:rsid w:val="00146E6C"/>
    <w:rsid w:val="001515D6"/>
    <w:rsid w:val="00151C5A"/>
    <w:rsid w:val="00153541"/>
    <w:rsid w:val="0015367E"/>
    <w:rsid w:val="001563A7"/>
    <w:rsid w:val="00157551"/>
    <w:rsid w:val="0016275E"/>
    <w:rsid w:val="00166E2C"/>
    <w:rsid w:val="0016715D"/>
    <w:rsid w:val="00167AF7"/>
    <w:rsid w:val="00167B93"/>
    <w:rsid w:val="00170FF4"/>
    <w:rsid w:val="001711D2"/>
    <w:rsid w:val="001737F6"/>
    <w:rsid w:val="00173B1A"/>
    <w:rsid w:val="001743A0"/>
    <w:rsid w:val="00175788"/>
    <w:rsid w:val="00175A1D"/>
    <w:rsid w:val="00177B23"/>
    <w:rsid w:val="00177F71"/>
    <w:rsid w:val="001805BD"/>
    <w:rsid w:val="00180846"/>
    <w:rsid w:val="00181AB5"/>
    <w:rsid w:val="001830F6"/>
    <w:rsid w:val="00183779"/>
    <w:rsid w:val="0018541B"/>
    <w:rsid w:val="001870BE"/>
    <w:rsid w:val="0019018D"/>
    <w:rsid w:val="00190BBC"/>
    <w:rsid w:val="00192423"/>
    <w:rsid w:val="001933B6"/>
    <w:rsid w:val="00193BBD"/>
    <w:rsid w:val="00193DA9"/>
    <w:rsid w:val="001A035D"/>
    <w:rsid w:val="001A0E5C"/>
    <w:rsid w:val="001A119B"/>
    <w:rsid w:val="001A3315"/>
    <w:rsid w:val="001A3F83"/>
    <w:rsid w:val="001A5115"/>
    <w:rsid w:val="001A5614"/>
    <w:rsid w:val="001A6557"/>
    <w:rsid w:val="001A6AE5"/>
    <w:rsid w:val="001A7110"/>
    <w:rsid w:val="001B16DE"/>
    <w:rsid w:val="001B32E4"/>
    <w:rsid w:val="001B3BAD"/>
    <w:rsid w:val="001C02DF"/>
    <w:rsid w:val="001C13FC"/>
    <w:rsid w:val="001C1B81"/>
    <w:rsid w:val="001C7A5D"/>
    <w:rsid w:val="001D000F"/>
    <w:rsid w:val="001D1189"/>
    <w:rsid w:val="001D12FA"/>
    <w:rsid w:val="001D1BC6"/>
    <w:rsid w:val="001D584E"/>
    <w:rsid w:val="001D785D"/>
    <w:rsid w:val="001E089E"/>
    <w:rsid w:val="001E0B61"/>
    <w:rsid w:val="001E2214"/>
    <w:rsid w:val="001E270E"/>
    <w:rsid w:val="001E35D3"/>
    <w:rsid w:val="001E4A1D"/>
    <w:rsid w:val="001E5DD8"/>
    <w:rsid w:val="001E6336"/>
    <w:rsid w:val="001E7187"/>
    <w:rsid w:val="001E781C"/>
    <w:rsid w:val="001F157A"/>
    <w:rsid w:val="001F2B03"/>
    <w:rsid w:val="001F2FCF"/>
    <w:rsid w:val="001F4673"/>
    <w:rsid w:val="001F5752"/>
    <w:rsid w:val="001F649E"/>
    <w:rsid w:val="001F65EF"/>
    <w:rsid w:val="001F6C3D"/>
    <w:rsid w:val="001F6C6C"/>
    <w:rsid w:val="00200C56"/>
    <w:rsid w:val="00202D2A"/>
    <w:rsid w:val="00204109"/>
    <w:rsid w:val="00204237"/>
    <w:rsid w:val="00204C75"/>
    <w:rsid w:val="00205B50"/>
    <w:rsid w:val="00206903"/>
    <w:rsid w:val="00207052"/>
    <w:rsid w:val="00207141"/>
    <w:rsid w:val="00210314"/>
    <w:rsid w:val="0021147D"/>
    <w:rsid w:val="00212B6F"/>
    <w:rsid w:val="002139F3"/>
    <w:rsid w:val="002177D5"/>
    <w:rsid w:val="00217A10"/>
    <w:rsid w:val="0022128E"/>
    <w:rsid w:val="002218EC"/>
    <w:rsid w:val="0022349D"/>
    <w:rsid w:val="002235B0"/>
    <w:rsid w:val="00227B6E"/>
    <w:rsid w:val="00227BA1"/>
    <w:rsid w:val="002301A0"/>
    <w:rsid w:val="00231F18"/>
    <w:rsid w:val="00231F4D"/>
    <w:rsid w:val="002328D8"/>
    <w:rsid w:val="00232B3C"/>
    <w:rsid w:val="00233524"/>
    <w:rsid w:val="002350DE"/>
    <w:rsid w:val="0023603C"/>
    <w:rsid w:val="00236B96"/>
    <w:rsid w:val="00237F00"/>
    <w:rsid w:val="002404D5"/>
    <w:rsid w:val="00240B73"/>
    <w:rsid w:val="00241101"/>
    <w:rsid w:val="00241EC3"/>
    <w:rsid w:val="002421A3"/>
    <w:rsid w:val="00243CBD"/>
    <w:rsid w:val="00244F94"/>
    <w:rsid w:val="002458FE"/>
    <w:rsid w:val="00246395"/>
    <w:rsid w:val="0024686D"/>
    <w:rsid w:val="00250A94"/>
    <w:rsid w:val="002519BF"/>
    <w:rsid w:val="00252258"/>
    <w:rsid w:val="00254284"/>
    <w:rsid w:val="0025521D"/>
    <w:rsid w:val="002559E6"/>
    <w:rsid w:val="00255DCA"/>
    <w:rsid w:val="00256028"/>
    <w:rsid w:val="002610F6"/>
    <w:rsid w:val="00261106"/>
    <w:rsid w:val="00261CFB"/>
    <w:rsid w:val="00262156"/>
    <w:rsid w:val="002622F8"/>
    <w:rsid w:val="0026428E"/>
    <w:rsid w:val="00264999"/>
    <w:rsid w:val="00266968"/>
    <w:rsid w:val="00272AF4"/>
    <w:rsid w:val="00274EEE"/>
    <w:rsid w:val="00275AFD"/>
    <w:rsid w:val="0027780C"/>
    <w:rsid w:val="00277DD7"/>
    <w:rsid w:val="0028130A"/>
    <w:rsid w:val="00281EF8"/>
    <w:rsid w:val="00282C93"/>
    <w:rsid w:val="002831C0"/>
    <w:rsid w:val="00283285"/>
    <w:rsid w:val="00283618"/>
    <w:rsid w:val="00283C7B"/>
    <w:rsid w:val="002848BC"/>
    <w:rsid w:val="00287E13"/>
    <w:rsid w:val="0029201A"/>
    <w:rsid w:val="002953ED"/>
    <w:rsid w:val="002957F8"/>
    <w:rsid w:val="00295A64"/>
    <w:rsid w:val="0029637A"/>
    <w:rsid w:val="00296F52"/>
    <w:rsid w:val="002A3CF3"/>
    <w:rsid w:val="002A491A"/>
    <w:rsid w:val="002A67DA"/>
    <w:rsid w:val="002B0AFA"/>
    <w:rsid w:val="002B19E9"/>
    <w:rsid w:val="002B1B89"/>
    <w:rsid w:val="002B26C2"/>
    <w:rsid w:val="002B2C4E"/>
    <w:rsid w:val="002B2D55"/>
    <w:rsid w:val="002B31BE"/>
    <w:rsid w:val="002B5949"/>
    <w:rsid w:val="002B5A87"/>
    <w:rsid w:val="002B7F50"/>
    <w:rsid w:val="002C0AB9"/>
    <w:rsid w:val="002C12B5"/>
    <w:rsid w:val="002C1422"/>
    <w:rsid w:val="002C1DD7"/>
    <w:rsid w:val="002C4ABC"/>
    <w:rsid w:val="002C5784"/>
    <w:rsid w:val="002C60B6"/>
    <w:rsid w:val="002C7BB3"/>
    <w:rsid w:val="002D0C7A"/>
    <w:rsid w:val="002D28E6"/>
    <w:rsid w:val="002D2F49"/>
    <w:rsid w:val="002D31D5"/>
    <w:rsid w:val="002D3B91"/>
    <w:rsid w:val="002D6026"/>
    <w:rsid w:val="002D6456"/>
    <w:rsid w:val="002D6885"/>
    <w:rsid w:val="002E3C05"/>
    <w:rsid w:val="002E52B5"/>
    <w:rsid w:val="002E5EBC"/>
    <w:rsid w:val="002E7B86"/>
    <w:rsid w:val="002F02FB"/>
    <w:rsid w:val="002F05C4"/>
    <w:rsid w:val="002F13F6"/>
    <w:rsid w:val="002F3C85"/>
    <w:rsid w:val="002F4728"/>
    <w:rsid w:val="002F4DEB"/>
    <w:rsid w:val="002F58F1"/>
    <w:rsid w:val="00300901"/>
    <w:rsid w:val="00300973"/>
    <w:rsid w:val="00300AA0"/>
    <w:rsid w:val="00301A55"/>
    <w:rsid w:val="00301C67"/>
    <w:rsid w:val="003023CA"/>
    <w:rsid w:val="00304B5D"/>
    <w:rsid w:val="00305FF9"/>
    <w:rsid w:val="00306AAA"/>
    <w:rsid w:val="00306AE5"/>
    <w:rsid w:val="00307DF1"/>
    <w:rsid w:val="00307E97"/>
    <w:rsid w:val="00310CF3"/>
    <w:rsid w:val="0031169F"/>
    <w:rsid w:val="00311735"/>
    <w:rsid w:val="0031199B"/>
    <w:rsid w:val="003122D5"/>
    <w:rsid w:val="003138D2"/>
    <w:rsid w:val="00320761"/>
    <w:rsid w:val="00320B0B"/>
    <w:rsid w:val="00321FAF"/>
    <w:rsid w:val="00322897"/>
    <w:rsid w:val="00326A26"/>
    <w:rsid w:val="00326DF2"/>
    <w:rsid w:val="00327D35"/>
    <w:rsid w:val="00330500"/>
    <w:rsid w:val="0033190F"/>
    <w:rsid w:val="003323E7"/>
    <w:rsid w:val="003333E1"/>
    <w:rsid w:val="00333766"/>
    <w:rsid w:val="00333CB2"/>
    <w:rsid w:val="00334FF6"/>
    <w:rsid w:val="0033674D"/>
    <w:rsid w:val="00336D04"/>
    <w:rsid w:val="00337D29"/>
    <w:rsid w:val="00340122"/>
    <w:rsid w:val="00341E1B"/>
    <w:rsid w:val="00342C15"/>
    <w:rsid w:val="0034453E"/>
    <w:rsid w:val="003447CE"/>
    <w:rsid w:val="0034704D"/>
    <w:rsid w:val="00347E7F"/>
    <w:rsid w:val="00351D10"/>
    <w:rsid w:val="00352701"/>
    <w:rsid w:val="00356B06"/>
    <w:rsid w:val="00357BA9"/>
    <w:rsid w:val="00360F2B"/>
    <w:rsid w:val="0036190B"/>
    <w:rsid w:val="00361EA0"/>
    <w:rsid w:val="003620EA"/>
    <w:rsid w:val="00366F1E"/>
    <w:rsid w:val="00367BEF"/>
    <w:rsid w:val="00372497"/>
    <w:rsid w:val="003729DF"/>
    <w:rsid w:val="00374031"/>
    <w:rsid w:val="00374AA3"/>
    <w:rsid w:val="00376AA4"/>
    <w:rsid w:val="0037741A"/>
    <w:rsid w:val="00377DCD"/>
    <w:rsid w:val="00382095"/>
    <w:rsid w:val="003837AD"/>
    <w:rsid w:val="00383E33"/>
    <w:rsid w:val="00384580"/>
    <w:rsid w:val="0038537E"/>
    <w:rsid w:val="00386085"/>
    <w:rsid w:val="00387C1B"/>
    <w:rsid w:val="00390C4A"/>
    <w:rsid w:val="00391CDC"/>
    <w:rsid w:val="00392369"/>
    <w:rsid w:val="003927C4"/>
    <w:rsid w:val="003936CD"/>
    <w:rsid w:val="00396F32"/>
    <w:rsid w:val="00397795"/>
    <w:rsid w:val="003A1AFC"/>
    <w:rsid w:val="003A46CE"/>
    <w:rsid w:val="003B07B8"/>
    <w:rsid w:val="003B0F73"/>
    <w:rsid w:val="003B1018"/>
    <w:rsid w:val="003B1C20"/>
    <w:rsid w:val="003B3AFF"/>
    <w:rsid w:val="003B4968"/>
    <w:rsid w:val="003B4C13"/>
    <w:rsid w:val="003B5C0C"/>
    <w:rsid w:val="003B5EDF"/>
    <w:rsid w:val="003C2C09"/>
    <w:rsid w:val="003C3C7D"/>
    <w:rsid w:val="003C53F9"/>
    <w:rsid w:val="003D1982"/>
    <w:rsid w:val="003D1CEF"/>
    <w:rsid w:val="003D1EA4"/>
    <w:rsid w:val="003D27A2"/>
    <w:rsid w:val="003D27CA"/>
    <w:rsid w:val="003D3B39"/>
    <w:rsid w:val="003D4394"/>
    <w:rsid w:val="003D5029"/>
    <w:rsid w:val="003E1404"/>
    <w:rsid w:val="003E31BF"/>
    <w:rsid w:val="003E4067"/>
    <w:rsid w:val="003E6BA3"/>
    <w:rsid w:val="003F11BC"/>
    <w:rsid w:val="003F1321"/>
    <w:rsid w:val="003F241A"/>
    <w:rsid w:val="003F3E95"/>
    <w:rsid w:val="003F3EAC"/>
    <w:rsid w:val="003F4C39"/>
    <w:rsid w:val="003F627E"/>
    <w:rsid w:val="00401EE9"/>
    <w:rsid w:val="00403A97"/>
    <w:rsid w:val="00405D56"/>
    <w:rsid w:val="00406650"/>
    <w:rsid w:val="0040691F"/>
    <w:rsid w:val="00406F2E"/>
    <w:rsid w:val="00407786"/>
    <w:rsid w:val="004104D9"/>
    <w:rsid w:val="00414D11"/>
    <w:rsid w:val="004204F3"/>
    <w:rsid w:val="00420AB9"/>
    <w:rsid w:val="004212F5"/>
    <w:rsid w:val="00421982"/>
    <w:rsid w:val="00421B77"/>
    <w:rsid w:val="004225DA"/>
    <w:rsid w:val="004232D9"/>
    <w:rsid w:val="0042413F"/>
    <w:rsid w:val="00426430"/>
    <w:rsid w:val="00426D0B"/>
    <w:rsid w:val="00430183"/>
    <w:rsid w:val="00430D54"/>
    <w:rsid w:val="00430ECB"/>
    <w:rsid w:val="00431994"/>
    <w:rsid w:val="00431FF4"/>
    <w:rsid w:val="00432940"/>
    <w:rsid w:val="00432F3C"/>
    <w:rsid w:val="004425DA"/>
    <w:rsid w:val="00442C28"/>
    <w:rsid w:val="00442F48"/>
    <w:rsid w:val="00443BC2"/>
    <w:rsid w:val="00443DE7"/>
    <w:rsid w:val="004442D9"/>
    <w:rsid w:val="00446222"/>
    <w:rsid w:val="00451DBB"/>
    <w:rsid w:val="0045223C"/>
    <w:rsid w:val="004528C9"/>
    <w:rsid w:val="00453245"/>
    <w:rsid w:val="00453303"/>
    <w:rsid w:val="0045429D"/>
    <w:rsid w:val="004554A5"/>
    <w:rsid w:val="00455720"/>
    <w:rsid w:val="004560DC"/>
    <w:rsid w:val="00457269"/>
    <w:rsid w:val="004621A2"/>
    <w:rsid w:val="004628B6"/>
    <w:rsid w:val="004631A5"/>
    <w:rsid w:val="004661E9"/>
    <w:rsid w:val="004668C5"/>
    <w:rsid w:val="00467202"/>
    <w:rsid w:val="00470F31"/>
    <w:rsid w:val="0047274C"/>
    <w:rsid w:val="00472F36"/>
    <w:rsid w:val="00473FC7"/>
    <w:rsid w:val="00481E79"/>
    <w:rsid w:val="004822D1"/>
    <w:rsid w:val="0048239B"/>
    <w:rsid w:val="00490818"/>
    <w:rsid w:val="0049086D"/>
    <w:rsid w:val="00491364"/>
    <w:rsid w:val="00495174"/>
    <w:rsid w:val="0049567C"/>
    <w:rsid w:val="004A0457"/>
    <w:rsid w:val="004A066F"/>
    <w:rsid w:val="004A272F"/>
    <w:rsid w:val="004A297F"/>
    <w:rsid w:val="004A3981"/>
    <w:rsid w:val="004A4B42"/>
    <w:rsid w:val="004A6B04"/>
    <w:rsid w:val="004B12B3"/>
    <w:rsid w:val="004B169C"/>
    <w:rsid w:val="004B20FE"/>
    <w:rsid w:val="004B28A1"/>
    <w:rsid w:val="004B5C54"/>
    <w:rsid w:val="004B6A8A"/>
    <w:rsid w:val="004B7730"/>
    <w:rsid w:val="004C0908"/>
    <w:rsid w:val="004C0B11"/>
    <w:rsid w:val="004C1161"/>
    <w:rsid w:val="004C1DD9"/>
    <w:rsid w:val="004C3277"/>
    <w:rsid w:val="004C3770"/>
    <w:rsid w:val="004C3BCE"/>
    <w:rsid w:val="004C43C2"/>
    <w:rsid w:val="004C4B6C"/>
    <w:rsid w:val="004C4FB3"/>
    <w:rsid w:val="004D0479"/>
    <w:rsid w:val="004D11E5"/>
    <w:rsid w:val="004D1728"/>
    <w:rsid w:val="004D25D8"/>
    <w:rsid w:val="004D2634"/>
    <w:rsid w:val="004D60A3"/>
    <w:rsid w:val="004D6F2E"/>
    <w:rsid w:val="004E06BC"/>
    <w:rsid w:val="004E2D93"/>
    <w:rsid w:val="004E5451"/>
    <w:rsid w:val="004E5BD7"/>
    <w:rsid w:val="004F0A67"/>
    <w:rsid w:val="004F0DBF"/>
    <w:rsid w:val="004F0F24"/>
    <w:rsid w:val="004F15E5"/>
    <w:rsid w:val="004F2276"/>
    <w:rsid w:val="004F2CC3"/>
    <w:rsid w:val="004F3017"/>
    <w:rsid w:val="004F3596"/>
    <w:rsid w:val="004F3EBD"/>
    <w:rsid w:val="004F5ACA"/>
    <w:rsid w:val="00500079"/>
    <w:rsid w:val="005013A2"/>
    <w:rsid w:val="00503779"/>
    <w:rsid w:val="00504A6F"/>
    <w:rsid w:val="00504ACE"/>
    <w:rsid w:val="0050672C"/>
    <w:rsid w:val="00506E5E"/>
    <w:rsid w:val="005071EE"/>
    <w:rsid w:val="005075C0"/>
    <w:rsid w:val="00507B9E"/>
    <w:rsid w:val="00510400"/>
    <w:rsid w:val="00510CB5"/>
    <w:rsid w:val="00511247"/>
    <w:rsid w:val="00511B23"/>
    <w:rsid w:val="005125D3"/>
    <w:rsid w:val="005132C5"/>
    <w:rsid w:val="00514011"/>
    <w:rsid w:val="00514AF4"/>
    <w:rsid w:val="00514D30"/>
    <w:rsid w:val="005168AC"/>
    <w:rsid w:val="0052006D"/>
    <w:rsid w:val="00521470"/>
    <w:rsid w:val="005225E2"/>
    <w:rsid w:val="00522BF0"/>
    <w:rsid w:val="00523487"/>
    <w:rsid w:val="00523F87"/>
    <w:rsid w:val="00524377"/>
    <w:rsid w:val="00524467"/>
    <w:rsid w:val="0053007F"/>
    <w:rsid w:val="00531AED"/>
    <w:rsid w:val="00531DA3"/>
    <w:rsid w:val="005347B2"/>
    <w:rsid w:val="005354F8"/>
    <w:rsid w:val="00535D3C"/>
    <w:rsid w:val="00536775"/>
    <w:rsid w:val="00537FA6"/>
    <w:rsid w:val="005423E3"/>
    <w:rsid w:val="005426F3"/>
    <w:rsid w:val="00543998"/>
    <w:rsid w:val="0054428C"/>
    <w:rsid w:val="0054466D"/>
    <w:rsid w:val="00545E14"/>
    <w:rsid w:val="00546697"/>
    <w:rsid w:val="005519AF"/>
    <w:rsid w:val="00553203"/>
    <w:rsid w:val="00554BE8"/>
    <w:rsid w:val="00554CFA"/>
    <w:rsid w:val="00554F1F"/>
    <w:rsid w:val="00555AA0"/>
    <w:rsid w:val="00563518"/>
    <w:rsid w:val="0056418B"/>
    <w:rsid w:val="0056472C"/>
    <w:rsid w:val="00565000"/>
    <w:rsid w:val="0056560A"/>
    <w:rsid w:val="00565DE4"/>
    <w:rsid w:val="00566F97"/>
    <w:rsid w:val="00567D2E"/>
    <w:rsid w:val="005704A8"/>
    <w:rsid w:val="005736A9"/>
    <w:rsid w:val="00573BA8"/>
    <w:rsid w:val="0057432E"/>
    <w:rsid w:val="00574547"/>
    <w:rsid w:val="00577863"/>
    <w:rsid w:val="00580D6D"/>
    <w:rsid w:val="00582221"/>
    <w:rsid w:val="00582F4E"/>
    <w:rsid w:val="005833B2"/>
    <w:rsid w:val="00585106"/>
    <w:rsid w:val="00585642"/>
    <w:rsid w:val="0059087D"/>
    <w:rsid w:val="00595C33"/>
    <w:rsid w:val="005969DE"/>
    <w:rsid w:val="00596BE7"/>
    <w:rsid w:val="005977C4"/>
    <w:rsid w:val="005A129D"/>
    <w:rsid w:val="005A1E32"/>
    <w:rsid w:val="005A21AA"/>
    <w:rsid w:val="005A3E51"/>
    <w:rsid w:val="005A474D"/>
    <w:rsid w:val="005A4CFF"/>
    <w:rsid w:val="005A587D"/>
    <w:rsid w:val="005A5F6D"/>
    <w:rsid w:val="005A67FE"/>
    <w:rsid w:val="005A6AD3"/>
    <w:rsid w:val="005A6CD3"/>
    <w:rsid w:val="005A6DD0"/>
    <w:rsid w:val="005B28CD"/>
    <w:rsid w:val="005B3354"/>
    <w:rsid w:val="005B3707"/>
    <w:rsid w:val="005B3D52"/>
    <w:rsid w:val="005B40F9"/>
    <w:rsid w:val="005B5237"/>
    <w:rsid w:val="005B55A0"/>
    <w:rsid w:val="005B5999"/>
    <w:rsid w:val="005B5F13"/>
    <w:rsid w:val="005C2A13"/>
    <w:rsid w:val="005C2C0A"/>
    <w:rsid w:val="005C3D92"/>
    <w:rsid w:val="005C3E80"/>
    <w:rsid w:val="005C4078"/>
    <w:rsid w:val="005C55FC"/>
    <w:rsid w:val="005C5600"/>
    <w:rsid w:val="005C5709"/>
    <w:rsid w:val="005C5BE5"/>
    <w:rsid w:val="005C7204"/>
    <w:rsid w:val="005D0439"/>
    <w:rsid w:val="005D257A"/>
    <w:rsid w:val="005D3479"/>
    <w:rsid w:val="005D34F0"/>
    <w:rsid w:val="005D47C5"/>
    <w:rsid w:val="005D5366"/>
    <w:rsid w:val="005D6116"/>
    <w:rsid w:val="005D6F34"/>
    <w:rsid w:val="005D7169"/>
    <w:rsid w:val="005D75B9"/>
    <w:rsid w:val="005D7CFA"/>
    <w:rsid w:val="005D7D90"/>
    <w:rsid w:val="005E28BC"/>
    <w:rsid w:val="005E5442"/>
    <w:rsid w:val="005E739F"/>
    <w:rsid w:val="005F1A4F"/>
    <w:rsid w:val="005F1ABD"/>
    <w:rsid w:val="005F3013"/>
    <w:rsid w:val="005F45B1"/>
    <w:rsid w:val="005F5BAA"/>
    <w:rsid w:val="005F6A94"/>
    <w:rsid w:val="005F6F9A"/>
    <w:rsid w:val="006015E2"/>
    <w:rsid w:val="00603284"/>
    <w:rsid w:val="00603A25"/>
    <w:rsid w:val="0060422C"/>
    <w:rsid w:val="00605749"/>
    <w:rsid w:val="00606082"/>
    <w:rsid w:val="00606F9A"/>
    <w:rsid w:val="00607551"/>
    <w:rsid w:val="00610073"/>
    <w:rsid w:val="006103EA"/>
    <w:rsid w:val="00612255"/>
    <w:rsid w:val="006127C6"/>
    <w:rsid w:val="0061329A"/>
    <w:rsid w:val="00614449"/>
    <w:rsid w:val="006213EB"/>
    <w:rsid w:val="00624037"/>
    <w:rsid w:val="006247C1"/>
    <w:rsid w:val="006264D9"/>
    <w:rsid w:val="00626C85"/>
    <w:rsid w:val="00626E4F"/>
    <w:rsid w:val="0063001D"/>
    <w:rsid w:val="006302E6"/>
    <w:rsid w:val="00630549"/>
    <w:rsid w:val="0063167E"/>
    <w:rsid w:val="00633605"/>
    <w:rsid w:val="00633EB0"/>
    <w:rsid w:val="00634DBA"/>
    <w:rsid w:val="00636BBB"/>
    <w:rsid w:val="00636D8B"/>
    <w:rsid w:val="00640C97"/>
    <w:rsid w:val="006427A2"/>
    <w:rsid w:val="00642BB6"/>
    <w:rsid w:val="0064379C"/>
    <w:rsid w:val="00644339"/>
    <w:rsid w:val="00644983"/>
    <w:rsid w:val="006463EC"/>
    <w:rsid w:val="006477E2"/>
    <w:rsid w:val="006478DB"/>
    <w:rsid w:val="00647C47"/>
    <w:rsid w:val="00654C35"/>
    <w:rsid w:val="006553AC"/>
    <w:rsid w:val="00655907"/>
    <w:rsid w:val="00657C02"/>
    <w:rsid w:val="00657E8F"/>
    <w:rsid w:val="0066064F"/>
    <w:rsid w:val="006628BA"/>
    <w:rsid w:val="006630F9"/>
    <w:rsid w:val="00663195"/>
    <w:rsid w:val="006636BE"/>
    <w:rsid w:val="006645B2"/>
    <w:rsid w:val="0066592E"/>
    <w:rsid w:val="00670C95"/>
    <w:rsid w:val="0067276D"/>
    <w:rsid w:val="00673ADF"/>
    <w:rsid w:val="0067455E"/>
    <w:rsid w:val="00674EF0"/>
    <w:rsid w:val="006764D0"/>
    <w:rsid w:val="00676F6C"/>
    <w:rsid w:val="00680155"/>
    <w:rsid w:val="006812A1"/>
    <w:rsid w:val="006814A8"/>
    <w:rsid w:val="00682147"/>
    <w:rsid w:val="00685060"/>
    <w:rsid w:val="00685E1A"/>
    <w:rsid w:val="00685F17"/>
    <w:rsid w:val="00687004"/>
    <w:rsid w:val="00687964"/>
    <w:rsid w:val="00687E5B"/>
    <w:rsid w:val="00691FA2"/>
    <w:rsid w:val="0069270A"/>
    <w:rsid w:val="00692B7F"/>
    <w:rsid w:val="00692C38"/>
    <w:rsid w:val="00693D49"/>
    <w:rsid w:val="006979E6"/>
    <w:rsid w:val="00697D52"/>
    <w:rsid w:val="00697EA4"/>
    <w:rsid w:val="006A18A4"/>
    <w:rsid w:val="006A2C33"/>
    <w:rsid w:val="006A40E3"/>
    <w:rsid w:val="006A5216"/>
    <w:rsid w:val="006A5EB2"/>
    <w:rsid w:val="006A6311"/>
    <w:rsid w:val="006A6CA0"/>
    <w:rsid w:val="006B054F"/>
    <w:rsid w:val="006B3142"/>
    <w:rsid w:val="006B32FD"/>
    <w:rsid w:val="006B37BD"/>
    <w:rsid w:val="006B39CB"/>
    <w:rsid w:val="006B3B80"/>
    <w:rsid w:val="006B4E5C"/>
    <w:rsid w:val="006B78F5"/>
    <w:rsid w:val="006C143D"/>
    <w:rsid w:val="006C25D4"/>
    <w:rsid w:val="006C2A2A"/>
    <w:rsid w:val="006C34F9"/>
    <w:rsid w:val="006C4E92"/>
    <w:rsid w:val="006C5198"/>
    <w:rsid w:val="006C52ED"/>
    <w:rsid w:val="006C55AE"/>
    <w:rsid w:val="006C68D4"/>
    <w:rsid w:val="006C6B99"/>
    <w:rsid w:val="006C7C6F"/>
    <w:rsid w:val="006D385F"/>
    <w:rsid w:val="006D4ED4"/>
    <w:rsid w:val="006D53B4"/>
    <w:rsid w:val="006D71E4"/>
    <w:rsid w:val="006D73DE"/>
    <w:rsid w:val="006E157B"/>
    <w:rsid w:val="006E1B1E"/>
    <w:rsid w:val="006E26E9"/>
    <w:rsid w:val="006E2840"/>
    <w:rsid w:val="006E6340"/>
    <w:rsid w:val="006F0CED"/>
    <w:rsid w:val="006F3B01"/>
    <w:rsid w:val="006F443B"/>
    <w:rsid w:val="00700AA4"/>
    <w:rsid w:val="00701BBF"/>
    <w:rsid w:val="007038E5"/>
    <w:rsid w:val="00703B8D"/>
    <w:rsid w:val="00704A7A"/>
    <w:rsid w:val="00704D94"/>
    <w:rsid w:val="00705CC1"/>
    <w:rsid w:val="00706E1E"/>
    <w:rsid w:val="00706FA0"/>
    <w:rsid w:val="007075C2"/>
    <w:rsid w:val="00710A86"/>
    <w:rsid w:val="00711B25"/>
    <w:rsid w:val="00711D71"/>
    <w:rsid w:val="00714176"/>
    <w:rsid w:val="007141EF"/>
    <w:rsid w:val="00714251"/>
    <w:rsid w:val="00714AF6"/>
    <w:rsid w:val="00715EB3"/>
    <w:rsid w:val="0072060F"/>
    <w:rsid w:val="007219E1"/>
    <w:rsid w:val="00722167"/>
    <w:rsid w:val="00722822"/>
    <w:rsid w:val="0072321E"/>
    <w:rsid w:val="007257A5"/>
    <w:rsid w:val="00725CF1"/>
    <w:rsid w:val="00727E3D"/>
    <w:rsid w:val="00730A79"/>
    <w:rsid w:val="00730EFC"/>
    <w:rsid w:val="00730F4A"/>
    <w:rsid w:val="00732BAD"/>
    <w:rsid w:val="00733651"/>
    <w:rsid w:val="00736245"/>
    <w:rsid w:val="00740AD6"/>
    <w:rsid w:val="00740D70"/>
    <w:rsid w:val="00741690"/>
    <w:rsid w:val="0074288F"/>
    <w:rsid w:val="00743740"/>
    <w:rsid w:val="00744640"/>
    <w:rsid w:val="00744FE6"/>
    <w:rsid w:val="007451C6"/>
    <w:rsid w:val="007467D9"/>
    <w:rsid w:val="00747B7A"/>
    <w:rsid w:val="007502AF"/>
    <w:rsid w:val="0075083E"/>
    <w:rsid w:val="00750BB7"/>
    <w:rsid w:val="00753914"/>
    <w:rsid w:val="00753C35"/>
    <w:rsid w:val="00754F19"/>
    <w:rsid w:val="0075528A"/>
    <w:rsid w:val="007561E9"/>
    <w:rsid w:val="00756E57"/>
    <w:rsid w:val="00757BA1"/>
    <w:rsid w:val="00761E94"/>
    <w:rsid w:val="00761F27"/>
    <w:rsid w:val="007642C3"/>
    <w:rsid w:val="007643F0"/>
    <w:rsid w:val="0076575B"/>
    <w:rsid w:val="00767080"/>
    <w:rsid w:val="00767D49"/>
    <w:rsid w:val="0077012A"/>
    <w:rsid w:val="00772746"/>
    <w:rsid w:val="00772958"/>
    <w:rsid w:val="00772D15"/>
    <w:rsid w:val="007732C3"/>
    <w:rsid w:val="00773A3F"/>
    <w:rsid w:val="007749E8"/>
    <w:rsid w:val="00774F20"/>
    <w:rsid w:val="007751AE"/>
    <w:rsid w:val="00775704"/>
    <w:rsid w:val="00776CF3"/>
    <w:rsid w:val="00777F5A"/>
    <w:rsid w:val="007801D9"/>
    <w:rsid w:val="00780944"/>
    <w:rsid w:val="007818AD"/>
    <w:rsid w:val="007824F5"/>
    <w:rsid w:val="00784C89"/>
    <w:rsid w:val="007850B5"/>
    <w:rsid w:val="00785A23"/>
    <w:rsid w:val="00786CFA"/>
    <w:rsid w:val="007901B0"/>
    <w:rsid w:val="00790E7F"/>
    <w:rsid w:val="00791181"/>
    <w:rsid w:val="00791BFD"/>
    <w:rsid w:val="00792A57"/>
    <w:rsid w:val="00793443"/>
    <w:rsid w:val="00794C05"/>
    <w:rsid w:val="00795128"/>
    <w:rsid w:val="00797A79"/>
    <w:rsid w:val="00797BB7"/>
    <w:rsid w:val="007A179C"/>
    <w:rsid w:val="007A272C"/>
    <w:rsid w:val="007A38F7"/>
    <w:rsid w:val="007A472C"/>
    <w:rsid w:val="007A554F"/>
    <w:rsid w:val="007A56BA"/>
    <w:rsid w:val="007A5BEB"/>
    <w:rsid w:val="007A6701"/>
    <w:rsid w:val="007A7062"/>
    <w:rsid w:val="007B0148"/>
    <w:rsid w:val="007B1374"/>
    <w:rsid w:val="007B22DE"/>
    <w:rsid w:val="007B31F1"/>
    <w:rsid w:val="007B4B45"/>
    <w:rsid w:val="007B4D14"/>
    <w:rsid w:val="007B6439"/>
    <w:rsid w:val="007B661B"/>
    <w:rsid w:val="007B6D48"/>
    <w:rsid w:val="007B7CFE"/>
    <w:rsid w:val="007B7F68"/>
    <w:rsid w:val="007C0112"/>
    <w:rsid w:val="007C108C"/>
    <w:rsid w:val="007C46E7"/>
    <w:rsid w:val="007C5CA8"/>
    <w:rsid w:val="007C674D"/>
    <w:rsid w:val="007C76C9"/>
    <w:rsid w:val="007D02B5"/>
    <w:rsid w:val="007D6B45"/>
    <w:rsid w:val="007D6E06"/>
    <w:rsid w:val="007D7104"/>
    <w:rsid w:val="007E0001"/>
    <w:rsid w:val="007E1585"/>
    <w:rsid w:val="007E1CA6"/>
    <w:rsid w:val="007E203D"/>
    <w:rsid w:val="007E5C47"/>
    <w:rsid w:val="007E6960"/>
    <w:rsid w:val="007E78EB"/>
    <w:rsid w:val="007F099B"/>
    <w:rsid w:val="007F2C63"/>
    <w:rsid w:val="007F3A44"/>
    <w:rsid w:val="007F43EA"/>
    <w:rsid w:val="007F5C73"/>
    <w:rsid w:val="007F6617"/>
    <w:rsid w:val="00800209"/>
    <w:rsid w:val="00801B97"/>
    <w:rsid w:val="00803A36"/>
    <w:rsid w:val="00803C4F"/>
    <w:rsid w:val="0080452B"/>
    <w:rsid w:val="0080582E"/>
    <w:rsid w:val="0081266B"/>
    <w:rsid w:val="0081404E"/>
    <w:rsid w:val="0081788B"/>
    <w:rsid w:val="00817AEE"/>
    <w:rsid w:val="00822B65"/>
    <w:rsid w:val="00822D52"/>
    <w:rsid w:val="00824895"/>
    <w:rsid w:val="00825552"/>
    <w:rsid w:val="00830B4A"/>
    <w:rsid w:val="00832CA9"/>
    <w:rsid w:val="00833937"/>
    <w:rsid w:val="0083505E"/>
    <w:rsid w:val="008350C4"/>
    <w:rsid w:val="00835986"/>
    <w:rsid w:val="008366A1"/>
    <w:rsid w:val="00836A9F"/>
    <w:rsid w:val="008375E5"/>
    <w:rsid w:val="00837AA3"/>
    <w:rsid w:val="008405A0"/>
    <w:rsid w:val="008427CA"/>
    <w:rsid w:val="0084284C"/>
    <w:rsid w:val="00846EFA"/>
    <w:rsid w:val="008478BF"/>
    <w:rsid w:val="00847C75"/>
    <w:rsid w:val="00850B32"/>
    <w:rsid w:val="00851542"/>
    <w:rsid w:val="00851D43"/>
    <w:rsid w:val="00854013"/>
    <w:rsid w:val="00855064"/>
    <w:rsid w:val="008559C9"/>
    <w:rsid w:val="00855E2C"/>
    <w:rsid w:val="00855ED2"/>
    <w:rsid w:val="0085636C"/>
    <w:rsid w:val="008568ED"/>
    <w:rsid w:val="00857452"/>
    <w:rsid w:val="008602B7"/>
    <w:rsid w:val="00862022"/>
    <w:rsid w:val="00863BC8"/>
    <w:rsid w:val="00865202"/>
    <w:rsid w:val="00865461"/>
    <w:rsid w:val="00865554"/>
    <w:rsid w:val="00865B2E"/>
    <w:rsid w:val="008661E6"/>
    <w:rsid w:val="00866872"/>
    <w:rsid w:val="00867133"/>
    <w:rsid w:val="00867507"/>
    <w:rsid w:val="00867E86"/>
    <w:rsid w:val="00873923"/>
    <w:rsid w:val="00875C54"/>
    <w:rsid w:val="0087612E"/>
    <w:rsid w:val="008770B4"/>
    <w:rsid w:val="00881144"/>
    <w:rsid w:val="008816D3"/>
    <w:rsid w:val="00881759"/>
    <w:rsid w:val="00884659"/>
    <w:rsid w:val="00884FB3"/>
    <w:rsid w:val="008859D0"/>
    <w:rsid w:val="00886555"/>
    <w:rsid w:val="0089025B"/>
    <w:rsid w:val="0089274A"/>
    <w:rsid w:val="00893B66"/>
    <w:rsid w:val="0089535D"/>
    <w:rsid w:val="00895408"/>
    <w:rsid w:val="008A045F"/>
    <w:rsid w:val="008A0944"/>
    <w:rsid w:val="008A0D4A"/>
    <w:rsid w:val="008A22BA"/>
    <w:rsid w:val="008A2935"/>
    <w:rsid w:val="008A343F"/>
    <w:rsid w:val="008A491B"/>
    <w:rsid w:val="008A4EBE"/>
    <w:rsid w:val="008A605C"/>
    <w:rsid w:val="008B1A0B"/>
    <w:rsid w:val="008B1B61"/>
    <w:rsid w:val="008B29FA"/>
    <w:rsid w:val="008B4F28"/>
    <w:rsid w:val="008B7A4E"/>
    <w:rsid w:val="008B7AF6"/>
    <w:rsid w:val="008C1B36"/>
    <w:rsid w:val="008C2824"/>
    <w:rsid w:val="008C2966"/>
    <w:rsid w:val="008C5214"/>
    <w:rsid w:val="008C580F"/>
    <w:rsid w:val="008C5820"/>
    <w:rsid w:val="008C77D0"/>
    <w:rsid w:val="008C783C"/>
    <w:rsid w:val="008D0642"/>
    <w:rsid w:val="008D08DC"/>
    <w:rsid w:val="008D14D8"/>
    <w:rsid w:val="008D1CC5"/>
    <w:rsid w:val="008D3855"/>
    <w:rsid w:val="008D4A17"/>
    <w:rsid w:val="008D4CE6"/>
    <w:rsid w:val="008D5EEB"/>
    <w:rsid w:val="008D6B4C"/>
    <w:rsid w:val="008D717B"/>
    <w:rsid w:val="008E01BE"/>
    <w:rsid w:val="008E1D2C"/>
    <w:rsid w:val="008E217D"/>
    <w:rsid w:val="008E23F4"/>
    <w:rsid w:val="008E269A"/>
    <w:rsid w:val="008E29AF"/>
    <w:rsid w:val="008E33C6"/>
    <w:rsid w:val="008E44E1"/>
    <w:rsid w:val="008E57B2"/>
    <w:rsid w:val="008E5B8A"/>
    <w:rsid w:val="008E5BE4"/>
    <w:rsid w:val="008E5D2E"/>
    <w:rsid w:val="008F0DE2"/>
    <w:rsid w:val="008F1374"/>
    <w:rsid w:val="008F1BDB"/>
    <w:rsid w:val="008F2FFB"/>
    <w:rsid w:val="008F327C"/>
    <w:rsid w:val="008F344B"/>
    <w:rsid w:val="008F40E4"/>
    <w:rsid w:val="008F4769"/>
    <w:rsid w:val="008F5194"/>
    <w:rsid w:val="0090011A"/>
    <w:rsid w:val="0090170F"/>
    <w:rsid w:val="009019BB"/>
    <w:rsid w:val="00901C7D"/>
    <w:rsid w:val="00905149"/>
    <w:rsid w:val="00907999"/>
    <w:rsid w:val="0091067F"/>
    <w:rsid w:val="00911120"/>
    <w:rsid w:val="009113FC"/>
    <w:rsid w:val="00911D46"/>
    <w:rsid w:val="0091293B"/>
    <w:rsid w:val="00913FFD"/>
    <w:rsid w:val="00914412"/>
    <w:rsid w:val="0091451C"/>
    <w:rsid w:val="00915B5D"/>
    <w:rsid w:val="00915D89"/>
    <w:rsid w:val="00917DAB"/>
    <w:rsid w:val="009208C3"/>
    <w:rsid w:val="00920BA0"/>
    <w:rsid w:val="00920EF3"/>
    <w:rsid w:val="00922171"/>
    <w:rsid w:val="00922C25"/>
    <w:rsid w:val="009237AE"/>
    <w:rsid w:val="00924140"/>
    <w:rsid w:val="009262E3"/>
    <w:rsid w:val="009266D4"/>
    <w:rsid w:val="009270F6"/>
    <w:rsid w:val="00932163"/>
    <w:rsid w:val="00934589"/>
    <w:rsid w:val="009349AB"/>
    <w:rsid w:val="009365AD"/>
    <w:rsid w:val="00937A83"/>
    <w:rsid w:val="00937CA3"/>
    <w:rsid w:val="00937D35"/>
    <w:rsid w:val="00941834"/>
    <w:rsid w:val="00943052"/>
    <w:rsid w:val="00944AC6"/>
    <w:rsid w:val="00947DD8"/>
    <w:rsid w:val="009511CC"/>
    <w:rsid w:val="009526FB"/>
    <w:rsid w:val="009529C7"/>
    <w:rsid w:val="0095533D"/>
    <w:rsid w:val="009555B4"/>
    <w:rsid w:val="00956312"/>
    <w:rsid w:val="009563A5"/>
    <w:rsid w:val="0095748C"/>
    <w:rsid w:val="0096063A"/>
    <w:rsid w:val="009617E3"/>
    <w:rsid w:val="00961BD9"/>
    <w:rsid w:val="0096279A"/>
    <w:rsid w:val="009641A2"/>
    <w:rsid w:val="0096546E"/>
    <w:rsid w:val="009675C9"/>
    <w:rsid w:val="00970EA5"/>
    <w:rsid w:val="009711C5"/>
    <w:rsid w:val="009719C6"/>
    <w:rsid w:val="00972026"/>
    <w:rsid w:val="00972040"/>
    <w:rsid w:val="009724C2"/>
    <w:rsid w:val="009728A0"/>
    <w:rsid w:val="00972904"/>
    <w:rsid w:val="0097388C"/>
    <w:rsid w:val="00973A15"/>
    <w:rsid w:val="00973CD8"/>
    <w:rsid w:val="00974190"/>
    <w:rsid w:val="0097419E"/>
    <w:rsid w:val="009777D3"/>
    <w:rsid w:val="00977867"/>
    <w:rsid w:val="00977A6E"/>
    <w:rsid w:val="0098028B"/>
    <w:rsid w:val="00980F43"/>
    <w:rsid w:val="009812E8"/>
    <w:rsid w:val="009839BE"/>
    <w:rsid w:val="00985D6C"/>
    <w:rsid w:val="00986166"/>
    <w:rsid w:val="0098621F"/>
    <w:rsid w:val="00986AEE"/>
    <w:rsid w:val="00991022"/>
    <w:rsid w:val="0099127A"/>
    <w:rsid w:val="00991B7D"/>
    <w:rsid w:val="009921A4"/>
    <w:rsid w:val="009925F0"/>
    <w:rsid w:val="009929AC"/>
    <w:rsid w:val="009938CA"/>
    <w:rsid w:val="009939D8"/>
    <w:rsid w:val="009939E8"/>
    <w:rsid w:val="00993D13"/>
    <w:rsid w:val="009940A6"/>
    <w:rsid w:val="009968FF"/>
    <w:rsid w:val="009A221D"/>
    <w:rsid w:val="009A3155"/>
    <w:rsid w:val="009A319E"/>
    <w:rsid w:val="009A443B"/>
    <w:rsid w:val="009A57A6"/>
    <w:rsid w:val="009B35F5"/>
    <w:rsid w:val="009B45D8"/>
    <w:rsid w:val="009B4AC1"/>
    <w:rsid w:val="009B6ABA"/>
    <w:rsid w:val="009C0836"/>
    <w:rsid w:val="009C12C2"/>
    <w:rsid w:val="009C13B3"/>
    <w:rsid w:val="009C242E"/>
    <w:rsid w:val="009C3358"/>
    <w:rsid w:val="009C41D6"/>
    <w:rsid w:val="009C4E30"/>
    <w:rsid w:val="009C6240"/>
    <w:rsid w:val="009C71F1"/>
    <w:rsid w:val="009C7D19"/>
    <w:rsid w:val="009D3619"/>
    <w:rsid w:val="009D7DBD"/>
    <w:rsid w:val="009E0297"/>
    <w:rsid w:val="009E0A42"/>
    <w:rsid w:val="009E12C7"/>
    <w:rsid w:val="009E46E3"/>
    <w:rsid w:val="009E4C48"/>
    <w:rsid w:val="009E5056"/>
    <w:rsid w:val="009E5FA3"/>
    <w:rsid w:val="009E7E2E"/>
    <w:rsid w:val="009F01C7"/>
    <w:rsid w:val="009F0242"/>
    <w:rsid w:val="009F306C"/>
    <w:rsid w:val="009F32F9"/>
    <w:rsid w:val="009F38D2"/>
    <w:rsid w:val="009F46A5"/>
    <w:rsid w:val="009F5315"/>
    <w:rsid w:val="009F5705"/>
    <w:rsid w:val="009F613E"/>
    <w:rsid w:val="009F6175"/>
    <w:rsid w:val="00A003DB"/>
    <w:rsid w:val="00A02E17"/>
    <w:rsid w:val="00A06956"/>
    <w:rsid w:val="00A079FD"/>
    <w:rsid w:val="00A1104E"/>
    <w:rsid w:val="00A12854"/>
    <w:rsid w:val="00A12D33"/>
    <w:rsid w:val="00A14341"/>
    <w:rsid w:val="00A14CA5"/>
    <w:rsid w:val="00A15E0D"/>
    <w:rsid w:val="00A16104"/>
    <w:rsid w:val="00A16235"/>
    <w:rsid w:val="00A20679"/>
    <w:rsid w:val="00A21642"/>
    <w:rsid w:val="00A22705"/>
    <w:rsid w:val="00A231DC"/>
    <w:rsid w:val="00A25F8A"/>
    <w:rsid w:val="00A261EB"/>
    <w:rsid w:val="00A266CF"/>
    <w:rsid w:val="00A2727C"/>
    <w:rsid w:val="00A27A5E"/>
    <w:rsid w:val="00A27EAD"/>
    <w:rsid w:val="00A314BA"/>
    <w:rsid w:val="00A32790"/>
    <w:rsid w:val="00A3439D"/>
    <w:rsid w:val="00A353C7"/>
    <w:rsid w:val="00A3576C"/>
    <w:rsid w:val="00A35BE3"/>
    <w:rsid w:val="00A37B86"/>
    <w:rsid w:val="00A37F78"/>
    <w:rsid w:val="00A412FF"/>
    <w:rsid w:val="00A437C9"/>
    <w:rsid w:val="00A44357"/>
    <w:rsid w:val="00A44FFE"/>
    <w:rsid w:val="00A468B6"/>
    <w:rsid w:val="00A5218F"/>
    <w:rsid w:val="00A543B1"/>
    <w:rsid w:val="00A57D60"/>
    <w:rsid w:val="00A640F2"/>
    <w:rsid w:val="00A648B7"/>
    <w:rsid w:val="00A67255"/>
    <w:rsid w:val="00A674E7"/>
    <w:rsid w:val="00A676FA"/>
    <w:rsid w:val="00A7014E"/>
    <w:rsid w:val="00A702BE"/>
    <w:rsid w:val="00A70986"/>
    <w:rsid w:val="00A71893"/>
    <w:rsid w:val="00A722EC"/>
    <w:rsid w:val="00A72399"/>
    <w:rsid w:val="00A731D6"/>
    <w:rsid w:val="00A7335D"/>
    <w:rsid w:val="00A751BD"/>
    <w:rsid w:val="00A77AF9"/>
    <w:rsid w:val="00A81306"/>
    <w:rsid w:val="00A82219"/>
    <w:rsid w:val="00A8272B"/>
    <w:rsid w:val="00A82D47"/>
    <w:rsid w:val="00A84010"/>
    <w:rsid w:val="00A85F73"/>
    <w:rsid w:val="00A862F3"/>
    <w:rsid w:val="00A87576"/>
    <w:rsid w:val="00A87BBB"/>
    <w:rsid w:val="00A93F25"/>
    <w:rsid w:val="00A94EC0"/>
    <w:rsid w:val="00A971FE"/>
    <w:rsid w:val="00A974EA"/>
    <w:rsid w:val="00AA050A"/>
    <w:rsid w:val="00AA0909"/>
    <w:rsid w:val="00AA1433"/>
    <w:rsid w:val="00AA15BE"/>
    <w:rsid w:val="00AA3BE7"/>
    <w:rsid w:val="00AA4392"/>
    <w:rsid w:val="00AA4C33"/>
    <w:rsid w:val="00AA506A"/>
    <w:rsid w:val="00AA66FF"/>
    <w:rsid w:val="00AA6B53"/>
    <w:rsid w:val="00AA73D3"/>
    <w:rsid w:val="00AA7E14"/>
    <w:rsid w:val="00AA7F1B"/>
    <w:rsid w:val="00AB132A"/>
    <w:rsid w:val="00AB1E8D"/>
    <w:rsid w:val="00AB3D4D"/>
    <w:rsid w:val="00AB51AA"/>
    <w:rsid w:val="00AB5788"/>
    <w:rsid w:val="00AB73A6"/>
    <w:rsid w:val="00AB7957"/>
    <w:rsid w:val="00AB7CAC"/>
    <w:rsid w:val="00AC0E51"/>
    <w:rsid w:val="00AC25D8"/>
    <w:rsid w:val="00AC3CAD"/>
    <w:rsid w:val="00AC519A"/>
    <w:rsid w:val="00AC5799"/>
    <w:rsid w:val="00AC68B2"/>
    <w:rsid w:val="00AC6AA5"/>
    <w:rsid w:val="00AC7383"/>
    <w:rsid w:val="00AD0FAA"/>
    <w:rsid w:val="00AD2606"/>
    <w:rsid w:val="00AD2907"/>
    <w:rsid w:val="00AD3D61"/>
    <w:rsid w:val="00AD3F93"/>
    <w:rsid w:val="00AD440B"/>
    <w:rsid w:val="00AD5ECC"/>
    <w:rsid w:val="00AE23F0"/>
    <w:rsid w:val="00AE401B"/>
    <w:rsid w:val="00AE4C18"/>
    <w:rsid w:val="00AE5A5A"/>
    <w:rsid w:val="00AE5B96"/>
    <w:rsid w:val="00AE634D"/>
    <w:rsid w:val="00AF1DD4"/>
    <w:rsid w:val="00AF292D"/>
    <w:rsid w:val="00AF332B"/>
    <w:rsid w:val="00AF4DE6"/>
    <w:rsid w:val="00AF6576"/>
    <w:rsid w:val="00AF6967"/>
    <w:rsid w:val="00AF6F95"/>
    <w:rsid w:val="00AF746C"/>
    <w:rsid w:val="00B00067"/>
    <w:rsid w:val="00B00126"/>
    <w:rsid w:val="00B04060"/>
    <w:rsid w:val="00B042B3"/>
    <w:rsid w:val="00B04FCE"/>
    <w:rsid w:val="00B0785C"/>
    <w:rsid w:val="00B1096B"/>
    <w:rsid w:val="00B15B52"/>
    <w:rsid w:val="00B160E2"/>
    <w:rsid w:val="00B16BC1"/>
    <w:rsid w:val="00B17998"/>
    <w:rsid w:val="00B20689"/>
    <w:rsid w:val="00B2097F"/>
    <w:rsid w:val="00B210F9"/>
    <w:rsid w:val="00B2216A"/>
    <w:rsid w:val="00B225F7"/>
    <w:rsid w:val="00B22E91"/>
    <w:rsid w:val="00B23B14"/>
    <w:rsid w:val="00B264D7"/>
    <w:rsid w:val="00B31269"/>
    <w:rsid w:val="00B314F1"/>
    <w:rsid w:val="00B31B20"/>
    <w:rsid w:val="00B330DE"/>
    <w:rsid w:val="00B340C4"/>
    <w:rsid w:val="00B355E6"/>
    <w:rsid w:val="00B360DF"/>
    <w:rsid w:val="00B377D1"/>
    <w:rsid w:val="00B40118"/>
    <w:rsid w:val="00B4158F"/>
    <w:rsid w:val="00B417EB"/>
    <w:rsid w:val="00B42A14"/>
    <w:rsid w:val="00B42A84"/>
    <w:rsid w:val="00B42D98"/>
    <w:rsid w:val="00B44BC5"/>
    <w:rsid w:val="00B45E46"/>
    <w:rsid w:val="00B468AA"/>
    <w:rsid w:val="00B479DE"/>
    <w:rsid w:val="00B47FA0"/>
    <w:rsid w:val="00B502CD"/>
    <w:rsid w:val="00B50D5E"/>
    <w:rsid w:val="00B51338"/>
    <w:rsid w:val="00B537B0"/>
    <w:rsid w:val="00B5486D"/>
    <w:rsid w:val="00B548A7"/>
    <w:rsid w:val="00B55568"/>
    <w:rsid w:val="00B568E2"/>
    <w:rsid w:val="00B6018F"/>
    <w:rsid w:val="00B60685"/>
    <w:rsid w:val="00B61DA7"/>
    <w:rsid w:val="00B61F47"/>
    <w:rsid w:val="00B62D37"/>
    <w:rsid w:val="00B63501"/>
    <w:rsid w:val="00B63D0E"/>
    <w:rsid w:val="00B63D47"/>
    <w:rsid w:val="00B659DD"/>
    <w:rsid w:val="00B65F6A"/>
    <w:rsid w:val="00B70023"/>
    <w:rsid w:val="00B70F37"/>
    <w:rsid w:val="00B730C1"/>
    <w:rsid w:val="00B73730"/>
    <w:rsid w:val="00B73D3A"/>
    <w:rsid w:val="00B805C1"/>
    <w:rsid w:val="00B80BBD"/>
    <w:rsid w:val="00B81576"/>
    <w:rsid w:val="00B83100"/>
    <w:rsid w:val="00B84A9A"/>
    <w:rsid w:val="00B84BE9"/>
    <w:rsid w:val="00B8505F"/>
    <w:rsid w:val="00B8556B"/>
    <w:rsid w:val="00B86B2B"/>
    <w:rsid w:val="00B87EE5"/>
    <w:rsid w:val="00B91295"/>
    <w:rsid w:val="00B91392"/>
    <w:rsid w:val="00B914A2"/>
    <w:rsid w:val="00B92260"/>
    <w:rsid w:val="00B945B4"/>
    <w:rsid w:val="00B96603"/>
    <w:rsid w:val="00B968F1"/>
    <w:rsid w:val="00B97A75"/>
    <w:rsid w:val="00BA027A"/>
    <w:rsid w:val="00BA068C"/>
    <w:rsid w:val="00BA221B"/>
    <w:rsid w:val="00BA22C5"/>
    <w:rsid w:val="00BA32C0"/>
    <w:rsid w:val="00BA3A3D"/>
    <w:rsid w:val="00BA3BA8"/>
    <w:rsid w:val="00BA523D"/>
    <w:rsid w:val="00BA5BFC"/>
    <w:rsid w:val="00BA5E7F"/>
    <w:rsid w:val="00BA625E"/>
    <w:rsid w:val="00BA689A"/>
    <w:rsid w:val="00BA6C03"/>
    <w:rsid w:val="00BA784F"/>
    <w:rsid w:val="00BB05A6"/>
    <w:rsid w:val="00BB0C03"/>
    <w:rsid w:val="00BB14EC"/>
    <w:rsid w:val="00BB1B6E"/>
    <w:rsid w:val="00BB2790"/>
    <w:rsid w:val="00BB2C4F"/>
    <w:rsid w:val="00BB3240"/>
    <w:rsid w:val="00BC0F7E"/>
    <w:rsid w:val="00BC1D37"/>
    <w:rsid w:val="00BC1F98"/>
    <w:rsid w:val="00BC21D8"/>
    <w:rsid w:val="00BC2494"/>
    <w:rsid w:val="00BC3204"/>
    <w:rsid w:val="00BC436C"/>
    <w:rsid w:val="00BC4BDF"/>
    <w:rsid w:val="00BC6FD5"/>
    <w:rsid w:val="00BD07D9"/>
    <w:rsid w:val="00BD1011"/>
    <w:rsid w:val="00BD1961"/>
    <w:rsid w:val="00BD1EAD"/>
    <w:rsid w:val="00BD3F0D"/>
    <w:rsid w:val="00BD47CC"/>
    <w:rsid w:val="00BD6C26"/>
    <w:rsid w:val="00BD71EB"/>
    <w:rsid w:val="00BD7960"/>
    <w:rsid w:val="00BE4BFB"/>
    <w:rsid w:val="00BE5950"/>
    <w:rsid w:val="00BE68CB"/>
    <w:rsid w:val="00BE739F"/>
    <w:rsid w:val="00BF076F"/>
    <w:rsid w:val="00BF0A95"/>
    <w:rsid w:val="00BF3786"/>
    <w:rsid w:val="00BF418D"/>
    <w:rsid w:val="00BF462D"/>
    <w:rsid w:val="00BF65EA"/>
    <w:rsid w:val="00BF67C3"/>
    <w:rsid w:val="00BF6AF2"/>
    <w:rsid w:val="00BF6FDC"/>
    <w:rsid w:val="00BF7DD9"/>
    <w:rsid w:val="00C0072C"/>
    <w:rsid w:val="00C00DB6"/>
    <w:rsid w:val="00C0163B"/>
    <w:rsid w:val="00C07541"/>
    <w:rsid w:val="00C10F55"/>
    <w:rsid w:val="00C14789"/>
    <w:rsid w:val="00C14E06"/>
    <w:rsid w:val="00C15094"/>
    <w:rsid w:val="00C16FAE"/>
    <w:rsid w:val="00C1777B"/>
    <w:rsid w:val="00C17C82"/>
    <w:rsid w:val="00C201FF"/>
    <w:rsid w:val="00C203BF"/>
    <w:rsid w:val="00C23974"/>
    <w:rsid w:val="00C251E1"/>
    <w:rsid w:val="00C25593"/>
    <w:rsid w:val="00C3023C"/>
    <w:rsid w:val="00C32D86"/>
    <w:rsid w:val="00C3373E"/>
    <w:rsid w:val="00C36E43"/>
    <w:rsid w:val="00C42137"/>
    <w:rsid w:val="00C42A4B"/>
    <w:rsid w:val="00C43745"/>
    <w:rsid w:val="00C438EF"/>
    <w:rsid w:val="00C4406C"/>
    <w:rsid w:val="00C440E8"/>
    <w:rsid w:val="00C459BC"/>
    <w:rsid w:val="00C470EC"/>
    <w:rsid w:val="00C47A4F"/>
    <w:rsid w:val="00C47BBC"/>
    <w:rsid w:val="00C47FAF"/>
    <w:rsid w:val="00C506B0"/>
    <w:rsid w:val="00C51AC2"/>
    <w:rsid w:val="00C51FD2"/>
    <w:rsid w:val="00C51FF2"/>
    <w:rsid w:val="00C5240E"/>
    <w:rsid w:val="00C5582E"/>
    <w:rsid w:val="00C565E1"/>
    <w:rsid w:val="00C57CE6"/>
    <w:rsid w:val="00C6021E"/>
    <w:rsid w:val="00C60A75"/>
    <w:rsid w:val="00C62765"/>
    <w:rsid w:val="00C62A2C"/>
    <w:rsid w:val="00C63FD8"/>
    <w:rsid w:val="00C64A20"/>
    <w:rsid w:val="00C64C9F"/>
    <w:rsid w:val="00C653F0"/>
    <w:rsid w:val="00C65512"/>
    <w:rsid w:val="00C65657"/>
    <w:rsid w:val="00C65BE4"/>
    <w:rsid w:val="00C66616"/>
    <w:rsid w:val="00C666E0"/>
    <w:rsid w:val="00C70BF0"/>
    <w:rsid w:val="00C71DC3"/>
    <w:rsid w:val="00C733D9"/>
    <w:rsid w:val="00C76A10"/>
    <w:rsid w:val="00C81363"/>
    <w:rsid w:val="00C84F3D"/>
    <w:rsid w:val="00C85326"/>
    <w:rsid w:val="00C85712"/>
    <w:rsid w:val="00C922FA"/>
    <w:rsid w:val="00C949A7"/>
    <w:rsid w:val="00C9590A"/>
    <w:rsid w:val="00C95F27"/>
    <w:rsid w:val="00C97D11"/>
    <w:rsid w:val="00C97FCC"/>
    <w:rsid w:val="00CA074D"/>
    <w:rsid w:val="00CA1F8D"/>
    <w:rsid w:val="00CA2523"/>
    <w:rsid w:val="00CA2D75"/>
    <w:rsid w:val="00CA348D"/>
    <w:rsid w:val="00CA6300"/>
    <w:rsid w:val="00CA6FB9"/>
    <w:rsid w:val="00CB1B66"/>
    <w:rsid w:val="00CB22BE"/>
    <w:rsid w:val="00CB34C1"/>
    <w:rsid w:val="00CB4941"/>
    <w:rsid w:val="00CB4EE0"/>
    <w:rsid w:val="00CB54C4"/>
    <w:rsid w:val="00CB607F"/>
    <w:rsid w:val="00CB7E31"/>
    <w:rsid w:val="00CC1581"/>
    <w:rsid w:val="00CC4AF1"/>
    <w:rsid w:val="00CC5AA7"/>
    <w:rsid w:val="00CC7B67"/>
    <w:rsid w:val="00CD02C4"/>
    <w:rsid w:val="00CD1AA6"/>
    <w:rsid w:val="00CD1C51"/>
    <w:rsid w:val="00CD255F"/>
    <w:rsid w:val="00CD2645"/>
    <w:rsid w:val="00CD2D8E"/>
    <w:rsid w:val="00CD3952"/>
    <w:rsid w:val="00CD4597"/>
    <w:rsid w:val="00CD7569"/>
    <w:rsid w:val="00CE2C22"/>
    <w:rsid w:val="00CE3139"/>
    <w:rsid w:val="00CE31A5"/>
    <w:rsid w:val="00CE37FE"/>
    <w:rsid w:val="00CE3E88"/>
    <w:rsid w:val="00CE3F02"/>
    <w:rsid w:val="00CE404F"/>
    <w:rsid w:val="00CE6922"/>
    <w:rsid w:val="00CF12F1"/>
    <w:rsid w:val="00CF1484"/>
    <w:rsid w:val="00CF171D"/>
    <w:rsid w:val="00CF20B6"/>
    <w:rsid w:val="00CF31A5"/>
    <w:rsid w:val="00CF34E1"/>
    <w:rsid w:val="00CF57AE"/>
    <w:rsid w:val="00CF5816"/>
    <w:rsid w:val="00CF64E1"/>
    <w:rsid w:val="00CF7191"/>
    <w:rsid w:val="00CF75E3"/>
    <w:rsid w:val="00D00653"/>
    <w:rsid w:val="00D01AA0"/>
    <w:rsid w:val="00D039A0"/>
    <w:rsid w:val="00D03A45"/>
    <w:rsid w:val="00D05A2E"/>
    <w:rsid w:val="00D067FA"/>
    <w:rsid w:val="00D11E4B"/>
    <w:rsid w:val="00D1374C"/>
    <w:rsid w:val="00D1442C"/>
    <w:rsid w:val="00D14F78"/>
    <w:rsid w:val="00D151F5"/>
    <w:rsid w:val="00D16EA6"/>
    <w:rsid w:val="00D17039"/>
    <w:rsid w:val="00D17878"/>
    <w:rsid w:val="00D178E1"/>
    <w:rsid w:val="00D17B1C"/>
    <w:rsid w:val="00D2145C"/>
    <w:rsid w:val="00D23D32"/>
    <w:rsid w:val="00D25139"/>
    <w:rsid w:val="00D262AA"/>
    <w:rsid w:val="00D26765"/>
    <w:rsid w:val="00D26A89"/>
    <w:rsid w:val="00D27A7F"/>
    <w:rsid w:val="00D30332"/>
    <w:rsid w:val="00D3124A"/>
    <w:rsid w:val="00D318AF"/>
    <w:rsid w:val="00D32D90"/>
    <w:rsid w:val="00D33631"/>
    <w:rsid w:val="00D3457C"/>
    <w:rsid w:val="00D409D5"/>
    <w:rsid w:val="00D41D49"/>
    <w:rsid w:val="00D43D02"/>
    <w:rsid w:val="00D45CCD"/>
    <w:rsid w:val="00D47258"/>
    <w:rsid w:val="00D4775F"/>
    <w:rsid w:val="00D50007"/>
    <w:rsid w:val="00D5216B"/>
    <w:rsid w:val="00D52187"/>
    <w:rsid w:val="00D550DD"/>
    <w:rsid w:val="00D56C41"/>
    <w:rsid w:val="00D607C9"/>
    <w:rsid w:val="00D61C6F"/>
    <w:rsid w:val="00D62156"/>
    <w:rsid w:val="00D63041"/>
    <w:rsid w:val="00D63790"/>
    <w:rsid w:val="00D65C1D"/>
    <w:rsid w:val="00D66432"/>
    <w:rsid w:val="00D66507"/>
    <w:rsid w:val="00D66697"/>
    <w:rsid w:val="00D66747"/>
    <w:rsid w:val="00D66980"/>
    <w:rsid w:val="00D673B3"/>
    <w:rsid w:val="00D677E6"/>
    <w:rsid w:val="00D67C8B"/>
    <w:rsid w:val="00D67E75"/>
    <w:rsid w:val="00D70204"/>
    <w:rsid w:val="00D70402"/>
    <w:rsid w:val="00D72090"/>
    <w:rsid w:val="00D74246"/>
    <w:rsid w:val="00D7528A"/>
    <w:rsid w:val="00D76E34"/>
    <w:rsid w:val="00D8012B"/>
    <w:rsid w:val="00D819AA"/>
    <w:rsid w:val="00D82B09"/>
    <w:rsid w:val="00D82E23"/>
    <w:rsid w:val="00D84D6D"/>
    <w:rsid w:val="00D85CA0"/>
    <w:rsid w:val="00D8685C"/>
    <w:rsid w:val="00D91B10"/>
    <w:rsid w:val="00D92749"/>
    <w:rsid w:val="00D93B67"/>
    <w:rsid w:val="00D956A3"/>
    <w:rsid w:val="00D958B0"/>
    <w:rsid w:val="00DA218D"/>
    <w:rsid w:val="00DA2470"/>
    <w:rsid w:val="00DA3AFC"/>
    <w:rsid w:val="00DA3DB6"/>
    <w:rsid w:val="00DA43E1"/>
    <w:rsid w:val="00DA4AE8"/>
    <w:rsid w:val="00DA4C0B"/>
    <w:rsid w:val="00DA5151"/>
    <w:rsid w:val="00DA5602"/>
    <w:rsid w:val="00DA584A"/>
    <w:rsid w:val="00DA5ED5"/>
    <w:rsid w:val="00DA6548"/>
    <w:rsid w:val="00DA66EB"/>
    <w:rsid w:val="00DB0CF7"/>
    <w:rsid w:val="00DB275A"/>
    <w:rsid w:val="00DB3655"/>
    <w:rsid w:val="00DB3CBC"/>
    <w:rsid w:val="00DB3EF7"/>
    <w:rsid w:val="00DC02D7"/>
    <w:rsid w:val="00DC0431"/>
    <w:rsid w:val="00DC1B28"/>
    <w:rsid w:val="00DC2AC9"/>
    <w:rsid w:val="00DC383F"/>
    <w:rsid w:val="00DC48A4"/>
    <w:rsid w:val="00DC4E8A"/>
    <w:rsid w:val="00DC6677"/>
    <w:rsid w:val="00DC74C3"/>
    <w:rsid w:val="00DC7F87"/>
    <w:rsid w:val="00DD0A06"/>
    <w:rsid w:val="00DD0A83"/>
    <w:rsid w:val="00DD2461"/>
    <w:rsid w:val="00DD27B0"/>
    <w:rsid w:val="00DD3035"/>
    <w:rsid w:val="00DD32E3"/>
    <w:rsid w:val="00DD39EA"/>
    <w:rsid w:val="00DD5FC4"/>
    <w:rsid w:val="00DD6223"/>
    <w:rsid w:val="00DD7282"/>
    <w:rsid w:val="00DD7418"/>
    <w:rsid w:val="00DE3FC1"/>
    <w:rsid w:val="00DE4224"/>
    <w:rsid w:val="00DE47BD"/>
    <w:rsid w:val="00DE484C"/>
    <w:rsid w:val="00DE4C48"/>
    <w:rsid w:val="00DF00EB"/>
    <w:rsid w:val="00DF06E2"/>
    <w:rsid w:val="00DF08AA"/>
    <w:rsid w:val="00DF0B85"/>
    <w:rsid w:val="00DF0BCD"/>
    <w:rsid w:val="00DF0C35"/>
    <w:rsid w:val="00DF0CFA"/>
    <w:rsid w:val="00DF118E"/>
    <w:rsid w:val="00DF168E"/>
    <w:rsid w:val="00DF1A22"/>
    <w:rsid w:val="00DF270E"/>
    <w:rsid w:val="00DF2D0F"/>
    <w:rsid w:val="00DF3191"/>
    <w:rsid w:val="00DF4599"/>
    <w:rsid w:val="00DF4A87"/>
    <w:rsid w:val="00DF5135"/>
    <w:rsid w:val="00DF55CF"/>
    <w:rsid w:val="00DF596F"/>
    <w:rsid w:val="00DF5F7B"/>
    <w:rsid w:val="00DF6A30"/>
    <w:rsid w:val="00DF7486"/>
    <w:rsid w:val="00E00E85"/>
    <w:rsid w:val="00E01DCF"/>
    <w:rsid w:val="00E030B7"/>
    <w:rsid w:val="00E03523"/>
    <w:rsid w:val="00E055A3"/>
    <w:rsid w:val="00E068EF"/>
    <w:rsid w:val="00E11585"/>
    <w:rsid w:val="00E123C2"/>
    <w:rsid w:val="00E13377"/>
    <w:rsid w:val="00E13DBA"/>
    <w:rsid w:val="00E15901"/>
    <w:rsid w:val="00E21481"/>
    <w:rsid w:val="00E217E2"/>
    <w:rsid w:val="00E2333F"/>
    <w:rsid w:val="00E24FCA"/>
    <w:rsid w:val="00E2690C"/>
    <w:rsid w:val="00E30328"/>
    <w:rsid w:val="00E306AF"/>
    <w:rsid w:val="00E32240"/>
    <w:rsid w:val="00E335D4"/>
    <w:rsid w:val="00E3380B"/>
    <w:rsid w:val="00E35D0D"/>
    <w:rsid w:val="00E36961"/>
    <w:rsid w:val="00E37BFA"/>
    <w:rsid w:val="00E42829"/>
    <w:rsid w:val="00E429C9"/>
    <w:rsid w:val="00E43562"/>
    <w:rsid w:val="00E45308"/>
    <w:rsid w:val="00E46968"/>
    <w:rsid w:val="00E46BAF"/>
    <w:rsid w:val="00E4783B"/>
    <w:rsid w:val="00E51022"/>
    <w:rsid w:val="00E5134E"/>
    <w:rsid w:val="00E51A58"/>
    <w:rsid w:val="00E52525"/>
    <w:rsid w:val="00E542A7"/>
    <w:rsid w:val="00E54715"/>
    <w:rsid w:val="00E557E5"/>
    <w:rsid w:val="00E55DD9"/>
    <w:rsid w:val="00E56666"/>
    <w:rsid w:val="00E5731D"/>
    <w:rsid w:val="00E574B5"/>
    <w:rsid w:val="00E57B24"/>
    <w:rsid w:val="00E60340"/>
    <w:rsid w:val="00E61325"/>
    <w:rsid w:val="00E64E14"/>
    <w:rsid w:val="00E6590A"/>
    <w:rsid w:val="00E71561"/>
    <w:rsid w:val="00E755DA"/>
    <w:rsid w:val="00E75CED"/>
    <w:rsid w:val="00E77112"/>
    <w:rsid w:val="00E85871"/>
    <w:rsid w:val="00E85FD6"/>
    <w:rsid w:val="00E86F9F"/>
    <w:rsid w:val="00E876D4"/>
    <w:rsid w:val="00E92330"/>
    <w:rsid w:val="00E93C08"/>
    <w:rsid w:val="00E96214"/>
    <w:rsid w:val="00E96374"/>
    <w:rsid w:val="00E96F40"/>
    <w:rsid w:val="00EA1E91"/>
    <w:rsid w:val="00EA2C28"/>
    <w:rsid w:val="00EA358B"/>
    <w:rsid w:val="00EA5272"/>
    <w:rsid w:val="00EA55C4"/>
    <w:rsid w:val="00EA56AE"/>
    <w:rsid w:val="00EA5766"/>
    <w:rsid w:val="00EA57C2"/>
    <w:rsid w:val="00EA62CF"/>
    <w:rsid w:val="00EA6350"/>
    <w:rsid w:val="00EA735D"/>
    <w:rsid w:val="00EA7F20"/>
    <w:rsid w:val="00EB0686"/>
    <w:rsid w:val="00EB09C6"/>
    <w:rsid w:val="00EB0B7B"/>
    <w:rsid w:val="00EB2AD0"/>
    <w:rsid w:val="00EB42C0"/>
    <w:rsid w:val="00EB4D94"/>
    <w:rsid w:val="00EB50B3"/>
    <w:rsid w:val="00EB5B78"/>
    <w:rsid w:val="00EB6772"/>
    <w:rsid w:val="00EB79A0"/>
    <w:rsid w:val="00EB7FCD"/>
    <w:rsid w:val="00EC033E"/>
    <w:rsid w:val="00EC106F"/>
    <w:rsid w:val="00EC38B5"/>
    <w:rsid w:val="00EC3FC1"/>
    <w:rsid w:val="00EC4E42"/>
    <w:rsid w:val="00EC55B6"/>
    <w:rsid w:val="00EC58F9"/>
    <w:rsid w:val="00EC6A5F"/>
    <w:rsid w:val="00EC6F74"/>
    <w:rsid w:val="00ED0ACC"/>
    <w:rsid w:val="00ED2D47"/>
    <w:rsid w:val="00ED39B6"/>
    <w:rsid w:val="00ED44A7"/>
    <w:rsid w:val="00ED5F37"/>
    <w:rsid w:val="00EE01EC"/>
    <w:rsid w:val="00EE0642"/>
    <w:rsid w:val="00EE2BAA"/>
    <w:rsid w:val="00EE2FF0"/>
    <w:rsid w:val="00EE3023"/>
    <w:rsid w:val="00EE307D"/>
    <w:rsid w:val="00EE3197"/>
    <w:rsid w:val="00EE40CC"/>
    <w:rsid w:val="00EE4F12"/>
    <w:rsid w:val="00EE531D"/>
    <w:rsid w:val="00EF0087"/>
    <w:rsid w:val="00EF36A1"/>
    <w:rsid w:val="00EF3B89"/>
    <w:rsid w:val="00EF466B"/>
    <w:rsid w:val="00EF5DDB"/>
    <w:rsid w:val="00F00215"/>
    <w:rsid w:val="00F004C1"/>
    <w:rsid w:val="00F00C55"/>
    <w:rsid w:val="00F03D70"/>
    <w:rsid w:val="00F03EA1"/>
    <w:rsid w:val="00F04762"/>
    <w:rsid w:val="00F056F5"/>
    <w:rsid w:val="00F06097"/>
    <w:rsid w:val="00F0694C"/>
    <w:rsid w:val="00F10913"/>
    <w:rsid w:val="00F11975"/>
    <w:rsid w:val="00F14002"/>
    <w:rsid w:val="00F14360"/>
    <w:rsid w:val="00F14418"/>
    <w:rsid w:val="00F17B57"/>
    <w:rsid w:val="00F2039A"/>
    <w:rsid w:val="00F21BF0"/>
    <w:rsid w:val="00F22622"/>
    <w:rsid w:val="00F245C1"/>
    <w:rsid w:val="00F26217"/>
    <w:rsid w:val="00F27691"/>
    <w:rsid w:val="00F34BF3"/>
    <w:rsid w:val="00F34F75"/>
    <w:rsid w:val="00F35FA1"/>
    <w:rsid w:val="00F36615"/>
    <w:rsid w:val="00F36935"/>
    <w:rsid w:val="00F37840"/>
    <w:rsid w:val="00F37E0C"/>
    <w:rsid w:val="00F407EE"/>
    <w:rsid w:val="00F40CB5"/>
    <w:rsid w:val="00F40DB8"/>
    <w:rsid w:val="00F41062"/>
    <w:rsid w:val="00F411D7"/>
    <w:rsid w:val="00F41237"/>
    <w:rsid w:val="00F4350A"/>
    <w:rsid w:val="00F43CDF"/>
    <w:rsid w:val="00F45F73"/>
    <w:rsid w:val="00F45F98"/>
    <w:rsid w:val="00F46375"/>
    <w:rsid w:val="00F46DC6"/>
    <w:rsid w:val="00F477BA"/>
    <w:rsid w:val="00F5152F"/>
    <w:rsid w:val="00F51D87"/>
    <w:rsid w:val="00F52EB2"/>
    <w:rsid w:val="00F54216"/>
    <w:rsid w:val="00F5437E"/>
    <w:rsid w:val="00F558B8"/>
    <w:rsid w:val="00F61056"/>
    <w:rsid w:val="00F62BD4"/>
    <w:rsid w:val="00F6359F"/>
    <w:rsid w:val="00F63987"/>
    <w:rsid w:val="00F65446"/>
    <w:rsid w:val="00F657B0"/>
    <w:rsid w:val="00F6609B"/>
    <w:rsid w:val="00F669A3"/>
    <w:rsid w:val="00F66BE4"/>
    <w:rsid w:val="00F723A8"/>
    <w:rsid w:val="00F72E51"/>
    <w:rsid w:val="00F73FE6"/>
    <w:rsid w:val="00F74981"/>
    <w:rsid w:val="00F75344"/>
    <w:rsid w:val="00F758F7"/>
    <w:rsid w:val="00F81211"/>
    <w:rsid w:val="00F832A8"/>
    <w:rsid w:val="00F833AF"/>
    <w:rsid w:val="00F84CE5"/>
    <w:rsid w:val="00F876B6"/>
    <w:rsid w:val="00F915F9"/>
    <w:rsid w:val="00F92572"/>
    <w:rsid w:val="00F92EAA"/>
    <w:rsid w:val="00F93E92"/>
    <w:rsid w:val="00FA2977"/>
    <w:rsid w:val="00FA3AF2"/>
    <w:rsid w:val="00FA466F"/>
    <w:rsid w:val="00FA4786"/>
    <w:rsid w:val="00FA49E9"/>
    <w:rsid w:val="00FA4F3E"/>
    <w:rsid w:val="00FA55F5"/>
    <w:rsid w:val="00FB04EF"/>
    <w:rsid w:val="00FB10C9"/>
    <w:rsid w:val="00FB1992"/>
    <w:rsid w:val="00FB2BA9"/>
    <w:rsid w:val="00FB320C"/>
    <w:rsid w:val="00FB51CC"/>
    <w:rsid w:val="00FB63C8"/>
    <w:rsid w:val="00FB7F45"/>
    <w:rsid w:val="00FC05DD"/>
    <w:rsid w:val="00FC1793"/>
    <w:rsid w:val="00FC180D"/>
    <w:rsid w:val="00FC1BE8"/>
    <w:rsid w:val="00FC2FCB"/>
    <w:rsid w:val="00FC45DA"/>
    <w:rsid w:val="00FC47B5"/>
    <w:rsid w:val="00FC5FD1"/>
    <w:rsid w:val="00FC61EE"/>
    <w:rsid w:val="00FD6A0D"/>
    <w:rsid w:val="00FE03BB"/>
    <w:rsid w:val="00FE15BE"/>
    <w:rsid w:val="00FE2EBE"/>
    <w:rsid w:val="00FE4970"/>
    <w:rsid w:val="00FE4B50"/>
    <w:rsid w:val="00FE52AD"/>
    <w:rsid w:val="00FE6B43"/>
    <w:rsid w:val="00FE72C9"/>
    <w:rsid w:val="00FF0794"/>
    <w:rsid w:val="00FF0AD4"/>
    <w:rsid w:val="00FF1414"/>
    <w:rsid w:val="00FF3CB6"/>
    <w:rsid w:val="00FF4ED1"/>
    <w:rsid w:val="00FF6441"/>
    <w:rsid w:val="00FF6A92"/>
    <w:rsid w:val="00FF6F7A"/>
    <w:rsid w:val="26CA1AEA"/>
    <w:rsid w:val="3612D59F"/>
    <w:rsid w:val="52D3F29C"/>
    <w:rsid w:val="5D22613C"/>
    <w:rsid w:val="68F4D35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221F467"/>
  <w15:chartTrackingRefBased/>
  <w15:docId w15:val="{05DD729C-984F-40E5-AFB7-AB92D56E1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pPr>
    <w:rPr>
      <w:snapToGrid w:val="0"/>
      <w:kern w:val="28"/>
      <w:sz w:val="22"/>
    </w:rPr>
  </w:style>
  <w:style w:type="paragraph" w:styleId="Heading1">
    <w:name w:val="heading 1"/>
    <w:basedOn w:val="Normal"/>
    <w:next w:val="ParaNum"/>
    <w:qFormat/>
    <w:pPr>
      <w:keepNext/>
      <w:numPr>
        <w:numId w:val="3"/>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Num"/>
    <w:autoRedefine/>
    <w:qFormat/>
    <w:pPr>
      <w:keepNext/>
      <w:numPr>
        <w:ilvl w:val="1"/>
        <w:numId w:val="3"/>
      </w:numPr>
      <w:spacing w:after="120"/>
      <w:outlineLvl w:val="1"/>
    </w:pPr>
    <w:rPr>
      <w:b/>
    </w:rPr>
  </w:style>
  <w:style w:type="paragraph" w:styleId="Heading3">
    <w:name w:val="heading 3"/>
    <w:basedOn w:val="Normal"/>
    <w:next w:val="ParaNum"/>
    <w:qFormat/>
    <w:pPr>
      <w:keepNext/>
      <w:numPr>
        <w:ilvl w:val="2"/>
        <w:numId w:val="3"/>
      </w:numPr>
      <w:tabs>
        <w:tab w:val="left" w:pos="2160"/>
      </w:tabs>
      <w:spacing w:after="120"/>
      <w:outlineLvl w:val="2"/>
    </w:pPr>
    <w:rPr>
      <w:b/>
    </w:rPr>
  </w:style>
  <w:style w:type="paragraph" w:styleId="Heading4">
    <w:name w:val="heading 4"/>
    <w:basedOn w:val="Normal"/>
    <w:next w:val="ParaNum"/>
    <w:qFormat/>
    <w:pPr>
      <w:keepNext/>
      <w:numPr>
        <w:ilvl w:val="3"/>
        <w:numId w:val="3"/>
      </w:numPr>
      <w:tabs>
        <w:tab w:val="left" w:pos="2880"/>
      </w:tabs>
      <w:spacing w:after="120"/>
      <w:outlineLvl w:val="3"/>
    </w:pPr>
    <w:rPr>
      <w:b/>
    </w:rPr>
  </w:style>
  <w:style w:type="paragraph" w:styleId="Heading5">
    <w:name w:val="heading 5"/>
    <w:basedOn w:val="Normal"/>
    <w:next w:val="ParaNum"/>
    <w:qFormat/>
    <w:pPr>
      <w:keepNext/>
      <w:numPr>
        <w:ilvl w:val="4"/>
        <w:numId w:val="3"/>
      </w:numPr>
      <w:tabs>
        <w:tab w:val="left" w:pos="3600"/>
      </w:tabs>
      <w:suppressAutoHyphens/>
      <w:spacing w:after="120"/>
      <w:outlineLvl w:val="4"/>
    </w:pPr>
    <w:rPr>
      <w:b/>
    </w:rPr>
  </w:style>
  <w:style w:type="paragraph" w:styleId="Heading6">
    <w:name w:val="heading 6"/>
    <w:basedOn w:val="Normal"/>
    <w:next w:val="ParaNum"/>
    <w:qFormat/>
    <w:pPr>
      <w:numPr>
        <w:ilvl w:val="5"/>
        <w:numId w:val="3"/>
      </w:numPr>
      <w:tabs>
        <w:tab w:val="left" w:pos="4320"/>
      </w:tabs>
      <w:spacing w:after="120"/>
      <w:outlineLvl w:val="5"/>
    </w:pPr>
    <w:rPr>
      <w:b/>
    </w:rPr>
  </w:style>
  <w:style w:type="paragraph" w:styleId="Heading7">
    <w:name w:val="heading 7"/>
    <w:basedOn w:val="Normal"/>
    <w:next w:val="ParaNum"/>
    <w:qFormat/>
    <w:pPr>
      <w:numPr>
        <w:ilvl w:val="6"/>
        <w:numId w:val="3"/>
      </w:numPr>
      <w:tabs>
        <w:tab w:val="left" w:pos="5040"/>
      </w:tabs>
      <w:spacing w:after="120"/>
      <w:ind w:left="5040" w:hanging="720"/>
      <w:outlineLvl w:val="6"/>
    </w:pPr>
    <w:rPr>
      <w:b/>
    </w:rPr>
  </w:style>
  <w:style w:type="paragraph" w:styleId="Heading8">
    <w:name w:val="heading 8"/>
    <w:basedOn w:val="Normal"/>
    <w:next w:val="ParaNum"/>
    <w:qFormat/>
    <w:pPr>
      <w:numPr>
        <w:ilvl w:val="7"/>
        <w:numId w:val="3"/>
      </w:numPr>
      <w:tabs>
        <w:tab w:val="clear" w:pos="5400"/>
        <w:tab w:val="left" w:pos="5760"/>
      </w:tabs>
      <w:spacing w:after="120"/>
      <w:ind w:left="5760" w:hanging="720"/>
      <w:outlineLvl w:val="7"/>
    </w:pPr>
    <w:rPr>
      <w:b/>
    </w:rPr>
  </w:style>
  <w:style w:type="paragraph" w:styleId="Heading9">
    <w:name w:val="heading 9"/>
    <w:basedOn w:val="Normal"/>
    <w:next w:val="ParaNum"/>
    <w:qFormat/>
    <w:pPr>
      <w:numPr>
        <w:ilvl w:val="8"/>
        <w:numId w:val="3"/>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Num">
    <w:name w:val="ParaNum"/>
    <w:basedOn w:val="Normal"/>
    <w:pPr>
      <w:numPr>
        <w:numId w:val="2"/>
      </w:numPr>
      <w:tabs>
        <w:tab w:val="clear" w:pos="1080"/>
        <w:tab w:val="num" w:pos="1440"/>
      </w:tabs>
      <w:spacing w:after="120"/>
    </w:pPr>
  </w:style>
  <w:style w:type="paragraph" w:styleId="EndnoteText">
    <w:name w:val="endnote text"/>
    <w:basedOn w:val="Normal"/>
    <w:semiHidden/>
    <w:rPr>
      <w:sz w:val="20"/>
    </w:rPr>
  </w:style>
  <w:style w:type="character" w:styleId="EndnoteReference">
    <w:name w:val="endnote reference"/>
    <w:semiHidden/>
    <w:rPr>
      <w:vertAlign w:val="superscript"/>
    </w:rPr>
  </w:style>
  <w:style w:type="paragraph" w:styleId="FootnoteText">
    <w:name w:val="footnote text"/>
    <w:aliases w:val="Footnote Text Char,Footnote Text Char Char Char1 Char Char Char,Footnote Text Char Char Char2 Char Char,Footnote Text Char1 Char1 Char Char Char,Footnote Text Char2 Char,Footnote Text Char2 Char Char Char,Footnote Text Char3 Char Char,f,fn"/>
    <w:link w:val="FootnoteTextChar1"/>
    <w:qFormat/>
    <w:pPr>
      <w:spacing w:after="120"/>
    </w:pPr>
  </w:style>
  <w:style w:type="character" w:styleId="FootnoteReference">
    <w:name w:val="footnote reference"/>
    <w:aliases w:val="(NECG) Footnote Reference,-E Funotenzeichen,A,Appel note de bas de p,FR,Footnote Reference/,Footnote Reference1,Ref,Style 1,Style 12,Style 124,Style 13,Style 17,Style 20,Style 3,Style 34,Style 4,Style 6,Style 7,Style 9,callout,fr,o"/>
    <w:qFormat/>
    <w:rPr>
      <w:rFonts w:ascii="Times New Roman" w:hAnsi="Times New Roman"/>
      <w:dstrike w:val="0"/>
      <w:color w:val="auto"/>
      <w:sz w:val="22"/>
      <w:vertAlign w:val="superscript"/>
    </w:rPr>
  </w:style>
  <w:style w:type="paragraph" w:styleId="TOC1">
    <w:name w:val="toc 1"/>
    <w:basedOn w:val="Normal"/>
    <w:next w:val="Normal"/>
    <w:uiPriority w:val="39"/>
    <w:pPr>
      <w:tabs>
        <w:tab w:val="left" w:pos="360"/>
        <w:tab w:val="right" w:leader="dot" w:pos="9360"/>
      </w:tabs>
      <w:suppressAutoHyphens/>
      <w:ind w:left="360" w:right="720" w:hanging="360"/>
    </w:pPr>
    <w:rPr>
      <w:caps/>
      <w:noProof/>
    </w:rPr>
  </w:style>
  <w:style w:type="paragraph" w:styleId="TOC2">
    <w:name w:val="toc 2"/>
    <w:basedOn w:val="Normal"/>
    <w:next w:val="Normal"/>
    <w:semiHidden/>
    <w:pPr>
      <w:tabs>
        <w:tab w:val="left" w:pos="720"/>
        <w:tab w:val="right" w:leader="dot" w:pos="9360"/>
      </w:tabs>
      <w:suppressAutoHyphens/>
      <w:ind w:left="720" w:right="720" w:hanging="360"/>
    </w:pPr>
    <w:rPr>
      <w:noProof/>
    </w:rPr>
  </w:style>
  <w:style w:type="paragraph" w:styleId="TOC3">
    <w:name w:val="toc 3"/>
    <w:basedOn w:val="Normal"/>
    <w:next w:val="Normal"/>
    <w:semiHidden/>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pPr>
      <w:tabs>
        <w:tab w:val="left" w:pos="2160"/>
        <w:tab w:val="right" w:leader="dot" w:pos="9360"/>
      </w:tabs>
      <w:suppressAutoHyphens/>
      <w:ind w:left="2160" w:hanging="360"/>
    </w:pPr>
    <w:rPr>
      <w:noProof/>
    </w:rPr>
  </w:style>
  <w:style w:type="paragraph" w:styleId="TOC7">
    <w:name w:val="toc 7"/>
    <w:basedOn w:val="Normal"/>
    <w:next w:val="Normal"/>
    <w:autoRedefine/>
    <w:semiHidden/>
    <w:pPr>
      <w:tabs>
        <w:tab w:val="left" w:pos="2520"/>
        <w:tab w:val="right" w:leader="dot" w:pos="9360"/>
      </w:tabs>
      <w:suppressAutoHyphens/>
      <w:ind w:left="2520" w:hanging="360"/>
    </w:pPr>
    <w:rPr>
      <w:noProof/>
    </w:rPr>
  </w:style>
  <w:style w:type="paragraph" w:styleId="TOC8">
    <w:name w:val="toc 8"/>
    <w:basedOn w:val="Normal"/>
    <w:next w:val="Normal"/>
    <w:autoRedefine/>
    <w:semiHidden/>
    <w:pPr>
      <w:tabs>
        <w:tab w:val="left" w:pos="2880"/>
        <w:tab w:val="right" w:leader="dot" w:pos="9360"/>
      </w:tabs>
      <w:suppressAutoHyphens/>
      <w:ind w:left="2880" w:hanging="360"/>
    </w:pPr>
    <w:rPr>
      <w:noProof/>
    </w:rPr>
  </w:style>
  <w:style w:type="paragraph" w:styleId="TOC9">
    <w:name w:val="toc 9"/>
    <w:basedOn w:val="Normal"/>
    <w:next w:val="Normal"/>
    <w:autoRedefine/>
    <w:semiHidden/>
    <w:pPr>
      <w:tabs>
        <w:tab w:val="left" w:pos="3240"/>
        <w:tab w:val="right" w:leader="dot" w:pos="9360"/>
      </w:tabs>
      <w:suppressAutoHyphens/>
      <w:ind w:left="3240" w:hanging="360"/>
    </w:pPr>
    <w:rPr>
      <w:noProof/>
    </w:rPr>
  </w:style>
  <w:style w:type="paragraph" w:styleId="TOAHeading">
    <w:name w:val="toa heading"/>
    <w:basedOn w:val="Normal"/>
    <w:next w:val="Normal"/>
    <w:semiHidden/>
    <w:pPr>
      <w:tabs>
        <w:tab w:val="right" w:pos="9360"/>
      </w:tabs>
      <w:suppressAutoHyphens/>
    </w:pPr>
  </w:style>
  <w:style w:type="character" w:customStyle="1" w:styleId="EquationCaption">
    <w:name w:val="_Equation Caption"/>
  </w:style>
  <w:style w:type="paragraph" w:styleId="Header">
    <w:name w:val="header"/>
    <w:basedOn w:val="Normal"/>
    <w:autoRedefine/>
    <w:pPr>
      <w:tabs>
        <w:tab w:val="center" w:pos="4680"/>
        <w:tab w:val="right" w:pos="9360"/>
      </w:tabs>
    </w:pPr>
    <w:rPr>
      <w:rFonts w:ascii="Arial" w:hAnsi="Arial" w:cs="Arial"/>
      <w:b/>
      <w:sz w:val="96"/>
      <w:szCs w:val="96"/>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lockText">
    <w:name w:val="Block Text"/>
    <w:basedOn w:val="Normal"/>
    <w:pPr>
      <w:spacing w:after="240"/>
      <w:ind w:left="1440" w:right="1440"/>
    </w:pPr>
  </w:style>
  <w:style w:type="paragraph" w:customStyle="1" w:styleId="Paratitle">
    <w:name w:val="Para title"/>
    <w:basedOn w:val="Normal"/>
    <w:pPr>
      <w:tabs>
        <w:tab w:val="center" w:pos="9270"/>
      </w:tabs>
      <w:spacing w:after="240"/>
    </w:pPr>
    <w:rPr>
      <w:spacing w:val="-2"/>
    </w:rPr>
  </w:style>
  <w:style w:type="paragraph" w:customStyle="1" w:styleId="Bullet">
    <w:name w:val="Bullet"/>
    <w:basedOn w:val="Normal"/>
    <w:pPr>
      <w:numPr>
        <w:numId w:val="1"/>
      </w:numPr>
      <w:tabs>
        <w:tab w:val="clear" w:pos="360"/>
        <w:tab w:val="left" w:pos="2160"/>
      </w:tabs>
      <w:spacing w:after="220"/>
      <w:ind w:left="2160" w:hanging="720"/>
    </w:pPr>
  </w:style>
  <w:style w:type="paragraph" w:customStyle="1" w:styleId="TableFormat">
    <w:name w:val="TableFormat"/>
    <w:basedOn w:val="Bullet"/>
    <w:pPr>
      <w:numPr>
        <w:numId w:val="0"/>
      </w:numPr>
      <w:tabs>
        <w:tab w:val="clear" w:pos="2160"/>
        <w:tab w:val="left" w:pos="5040"/>
      </w:tabs>
      <w:ind w:left="5040" w:hanging="3600"/>
    </w:pPr>
  </w:style>
  <w:style w:type="paragraph" w:customStyle="1" w:styleId="TOCTitle">
    <w:name w:val="TOC Title"/>
    <w:basedOn w:val="Normal"/>
    <w:pPr>
      <w:spacing w:before="240" w:after="240"/>
      <w:jc w:val="center"/>
    </w:pPr>
    <w:rPr>
      <w:rFonts w:ascii="Times New Roman Bold" w:hAnsi="Times New Roman Bold"/>
      <w:b/>
      <w:caps/>
      <w:spacing w:val="-2"/>
    </w:rPr>
  </w:style>
  <w:style w:type="paragraph" w:customStyle="1" w:styleId="StyleBoldCentered">
    <w:name w:val="Style Bold Centered"/>
    <w:basedOn w:val="Normal"/>
    <w:pPr>
      <w:jc w:val="center"/>
    </w:pPr>
    <w:rPr>
      <w:rFonts w:ascii="Times New Roman Bold" w:hAnsi="Times New Roman Bold"/>
      <w:b/>
      <w:bCs/>
      <w:caps/>
      <w:szCs w:val="22"/>
    </w:rPr>
  </w:style>
  <w:style w:type="character" w:styleId="Hyperlink">
    <w:name w:val="Hyperlink"/>
    <w:uiPriority w:val="99"/>
    <w:rPr>
      <w:color w:val="0000FF"/>
      <w:u w:val="single"/>
    </w:rPr>
  </w:style>
  <w:style w:type="character" w:customStyle="1" w:styleId="FooterChar">
    <w:name w:val="Footer Char"/>
    <w:link w:val="Footer"/>
    <w:uiPriority w:val="99"/>
    <w:rPr>
      <w:snapToGrid w:val="0"/>
      <w:kern w:val="28"/>
      <w:sz w:val="22"/>
    </w:rPr>
  </w:style>
  <w:style w:type="character" w:styleId="UnresolvedMention">
    <w:name w:val="Unresolved Mention"/>
    <w:uiPriority w:val="99"/>
    <w:semiHidden/>
    <w:unhideWhenUsed/>
    <w:rPr>
      <w:color w:val="605E5C"/>
      <w:shd w:val="clear" w:color="auto" w:fill="E1DFDD"/>
    </w:rPr>
  </w:style>
  <w:style w:type="character" w:customStyle="1" w:styleId="FootnoteTextChar1">
    <w:name w:val="Footnote Text Char1"/>
    <w:aliases w:val="Footnote Text Char Char,Footnote Text Char Char Char1 Char Char Char Char,Footnote Text Char Char Char2 Char Char Char,Footnote Text Char1 Char1 Char Char Char Char,Footnote Text Char2 Char Char,Footnote Text Char3 Char Char Char"/>
    <w:link w:val="FootnoteText"/>
    <w:rsid w:val="00881759"/>
  </w:style>
  <w:style w:type="character" w:customStyle="1" w:styleId="xcontentpasted0">
    <w:name w:val="x_contentpasted0"/>
    <w:basedOn w:val="DefaultParagraphFont"/>
    <w:rsid w:val="00693D49"/>
  </w:style>
  <w:style w:type="paragraph" w:styleId="Revision">
    <w:name w:val="Revision"/>
    <w:hidden/>
    <w:uiPriority w:val="99"/>
    <w:semiHidden/>
    <w:rsid w:val="00D45CCD"/>
    <w:rPr>
      <w:snapToGrid w:val="0"/>
      <w:kern w:val="28"/>
      <w:sz w:val="22"/>
    </w:rPr>
  </w:style>
  <w:style w:type="paragraph" w:styleId="ListParagraph">
    <w:name w:val="List Paragraph"/>
    <w:basedOn w:val="Normal"/>
    <w:uiPriority w:val="34"/>
    <w:qFormat/>
    <w:rsid w:val="00DF0BCD"/>
    <w:pPr>
      <w:ind w:left="720"/>
      <w:contextualSpacing/>
    </w:pPr>
  </w:style>
  <w:style w:type="character" w:styleId="CommentReference">
    <w:name w:val="annotation reference"/>
    <w:basedOn w:val="DefaultParagraphFont"/>
    <w:uiPriority w:val="99"/>
    <w:semiHidden/>
    <w:unhideWhenUsed/>
    <w:rsid w:val="00792A57"/>
    <w:rPr>
      <w:sz w:val="16"/>
      <w:szCs w:val="16"/>
    </w:rPr>
  </w:style>
  <w:style w:type="paragraph" w:styleId="CommentText">
    <w:name w:val="annotation text"/>
    <w:basedOn w:val="Normal"/>
    <w:link w:val="CommentTextChar"/>
    <w:uiPriority w:val="99"/>
    <w:unhideWhenUsed/>
    <w:rsid w:val="00792A57"/>
    <w:rPr>
      <w:sz w:val="20"/>
    </w:rPr>
  </w:style>
  <w:style w:type="character" w:customStyle="1" w:styleId="CommentTextChar">
    <w:name w:val="Comment Text Char"/>
    <w:basedOn w:val="DefaultParagraphFont"/>
    <w:link w:val="CommentText"/>
    <w:uiPriority w:val="99"/>
    <w:rsid w:val="00792A57"/>
    <w:rPr>
      <w:snapToGrid w:val="0"/>
      <w:kern w:val="28"/>
    </w:rPr>
  </w:style>
  <w:style w:type="paragraph" w:styleId="CommentSubject">
    <w:name w:val="annotation subject"/>
    <w:basedOn w:val="CommentText"/>
    <w:next w:val="CommentText"/>
    <w:link w:val="CommentSubjectChar"/>
    <w:uiPriority w:val="99"/>
    <w:semiHidden/>
    <w:unhideWhenUsed/>
    <w:rsid w:val="00792A57"/>
    <w:rPr>
      <w:b/>
      <w:bCs/>
    </w:rPr>
  </w:style>
  <w:style w:type="character" w:customStyle="1" w:styleId="CommentSubjectChar">
    <w:name w:val="Comment Subject Char"/>
    <w:basedOn w:val="CommentTextChar"/>
    <w:link w:val="CommentSubject"/>
    <w:uiPriority w:val="99"/>
    <w:semiHidden/>
    <w:rsid w:val="00792A57"/>
    <w:rPr>
      <w:b/>
      <w:bCs/>
      <w:snapToGrid w:val="0"/>
      <w:kern w:val="28"/>
    </w:rPr>
  </w:style>
  <w:style w:type="character" w:customStyle="1" w:styleId="cosearchterm">
    <w:name w:val="co_searchterm"/>
    <w:rsid w:val="00261CFB"/>
  </w:style>
  <w:style w:type="character" w:styleId="Emphasis">
    <w:name w:val="Emphasis"/>
    <w:uiPriority w:val="20"/>
    <w:qFormat/>
    <w:rsid w:val="00261CFB"/>
    <w:rPr>
      <w:i/>
      <w:iCs/>
    </w:rPr>
  </w:style>
  <w:style w:type="character" w:styleId="FollowedHyperlink">
    <w:name w:val="FollowedHyperlink"/>
    <w:basedOn w:val="DefaultParagraphFont"/>
    <w:uiPriority w:val="99"/>
    <w:semiHidden/>
    <w:unhideWhenUsed/>
    <w:rsid w:val="009A315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2.xml" /></Relationships>
</file>

<file path=word/_rels/footnotes.xml.rels><?xml version="1.0" encoding="utf-8" standalone="yes"?><Relationships xmlns="http://schemas.openxmlformats.org/package/2006/relationships"><Relationship Id="rId1" Type="http://schemas.openxmlformats.org/officeDocument/2006/relationships/hyperlink" Target="https://docs.fcc.gov/public/attachments/DOC-412953A1.xlsx" TargetMode="External" /><Relationship Id="rId2" Type="http://schemas.openxmlformats.org/officeDocument/2006/relationships/hyperlink" Target="https://www.usac.org/about/reports-order/fcc-filings/" TargetMode="External" /><Relationship Id="rId3" Type="http://schemas.openxmlformats.org/officeDocument/2006/relationships/hyperlink" Target="https://www.usac.org/about/reports-orders/fcc-filings/" TargetMode="External" /><Relationship Id="rId4" Type="http://schemas.openxmlformats.org/officeDocument/2006/relationships/hyperlink" Target="mailto:hcinfo@usac.org" TargetMode="External" /><Relationship Id="rId5" Type="http://schemas.openxmlformats.org/officeDocument/2006/relationships/hyperlink" Target="mailto:Dennis.Johnson@fcc.gov" TargetMode="External" /><Relationship Id="rId6" Type="http://schemas.openxmlformats.org/officeDocument/2006/relationships/hyperlink" Target="mailto:Nissa.Laughner@fcc.gov"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_rels/settings.xml.rels><?xml version="1.0" encoding="utf-8" standalone="yes"?><Relationships xmlns="http://schemas.openxmlformats.org/package/2006/relationships"><Relationship Id="rId1" Type="http://schemas.openxmlformats.org/officeDocument/2006/relationships/attachedTemplate" Target="file:///M:\Form\OS%20Process\Public%20Notice%20Portrait.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Public Notice Portrait</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