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2E6C2A" w:rsidP="00935115" w14:paraId="219F7AE7" w14:textId="44B3897B">
      <w:pPr>
        <w:rPr>
          <w:sz w:val="24"/>
        </w:rPr>
      </w:pPr>
    </w:p>
    <w:p w:rsidR="00BA3BA8" w14:paraId="7406B531" w14:textId="5A5E9C10">
      <w:pPr>
        <w:jc w:val="right"/>
        <w:rPr>
          <w:b/>
          <w:sz w:val="24"/>
        </w:rPr>
      </w:pPr>
      <w:r>
        <w:rPr>
          <w:b/>
          <w:sz w:val="24"/>
        </w:rPr>
        <w:t xml:space="preserve">DA </w:t>
      </w:r>
      <w:r w:rsidRPr="00977F18" w:rsidR="00977F18">
        <w:rPr>
          <w:b/>
          <w:sz w:val="24"/>
        </w:rPr>
        <w:t>25-1078</w:t>
      </w:r>
    </w:p>
    <w:p w:rsidR="00BA3BA8" w14:paraId="4062006D" w14:textId="0DF09347">
      <w:pPr>
        <w:spacing w:before="60"/>
        <w:jc w:val="right"/>
        <w:rPr>
          <w:b/>
          <w:sz w:val="24"/>
        </w:rPr>
      </w:pPr>
      <w:r>
        <w:rPr>
          <w:b/>
          <w:sz w:val="24"/>
        </w:rPr>
        <w:t xml:space="preserve">Released:  </w:t>
      </w:r>
      <w:r w:rsidR="006D45B1">
        <w:rPr>
          <w:b/>
          <w:sz w:val="24"/>
        </w:rPr>
        <w:t xml:space="preserve">December </w:t>
      </w:r>
      <w:r w:rsidR="00CC65A2">
        <w:rPr>
          <w:b/>
          <w:sz w:val="24"/>
        </w:rPr>
        <w:t>18</w:t>
      </w:r>
      <w:r w:rsidR="006D45B1">
        <w:rPr>
          <w:b/>
          <w:sz w:val="24"/>
        </w:rPr>
        <w:t>, 2025</w:t>
      </w:r>
    </w:p>
    <w:p w:rsidR="00BA3BA8" w14:paraId="0AB73788" w14:textId="77777777">
      <w:pPr>
        <w:jc w:val="right"/>
        <w:rPr>
          <w:sz w:val="24"/>
        </w:rPr>
      </w:pPr>
    </w:p>
    <w:p w:rsidR="00BA3BA8" w:rsidP="00307598" w14:paraId="17F32801" w14:textId="18F9E60D">
      <w:pPr>
        <w:spacing w:after="240"/>
        <w:jc w:val="center"/>
        <w:rPr>
          <w:b/>
          <w:sz w:val="24"/>
        </w:rPr>
      </w:pPr>
      <w:r>
        <w:rPr>
          <w:b/>
          <w:caps/>
          <w:szCs w:val="22"/>
        </w:rPr>
        <w:t>PUBLIC SAFETY AND HOMELAND SECURITY</w:t>
      </w:r>
      <w:r w:rsidRPr="00C4392E">
        <w:rPr>
          <w:b/>
          <w:caps/>
          <w:szCs w:val="22"/>
        </w:rPr>
        <w:t xml:space="preserve"> Bureau Announces </w:t>
      </w:r>
      <w:r w:rsidR="002E0547">
        <w:rPr>
          <w:b/>
          <w:caps/>
          <w:szCs w:val="22"/>
        </w:rPr>
        <w:t xml:space="preserve">COMPLIANCE DEADLINE </w:t>
      </w:r>
      <w:r w:rsidR="00A61FE1">
        <w:rPr>
          <w:b/>
          <w:caps/>
          <w:szCs w:val="22"/>
        </w:rPr>
        <w:t xml:space="preserve">FOR </w:t>
      </w:r>
      <w:r w:rsidR="00A06A8A">
        <w:rPr>
          <w:b/>
          <w:caps/>
          <w:szCs w:val="22"/>
        </w:rPr>
        <w:t>Multilingual wireless emergency alert template</w:t>
      </w:r>
      <w:r w:rsidR="00E37135">
        <w:rPr>
          <w:b/>
          <w:caps/>
          <w:szCs w:val="22"/>
        </w:rPr>
        <w:t>S</w:t>
      </w:r>
      <w:r w:rsidR="00A06A8A">
        <w:rPr>
          <w:b/>
          <w:caps/>
          <w:szCs w:val="22"/>
        </w:rPr>
        <w:t xml:space="preserve"> </w:t>
      </w:r>
    </w:p>
    <w:p w:rsidR="00BA3BA8" w14:paraId="66527EAF" w14:textId="02C45BFC">
      <w:pPr>
        <w:jc w:val="center"/>
        <w:rPr>
          <w:b/>
          <w:sz w:val="24"/>
        </w:rPr>
      </w:pPr>
      <w:r>
        <w:rPr>
          <w:b/>
          <w:szCs w:val="22"/>
        </w:rPr>
        <w:t>PS</w:t>
      </w:r>
      <w:r w:rsidRPr="00C4392E">
        <w:rPr>
          <w:b/>
          <w:szCs w:val="22"/>
        </w:rPr>
        <w:t xml:space="preserve"> Docket No</w:t>
      </w:r>
      <w:r w:rsidR="00532B65">
        <w:rPr>
          <w:b/>
          <w:szCs w:val="22"/>
        </w:rPr>
        <w:t>s</w:t>
      </w:r>
      <w:r w:rsidRPr="00C4392E">
        <w:rPr>
          <w:b/>
          <w:szCs w:val="22"/>
        </w:rPr>
        <w:t>.</w:t>
      </w:r>
      <w:r>
        <w:rPr>
          <w:b/>
          <w:szCs w:val="22"/>
        </w:rPr>
        <w:t xml:space="preserve"> </w:t>
      </w:r>
      <w:r w:rsidR="00A06A8A">
        <w:rPr>
          <w:b/>
          <w:szCs w:val="22"/>
        </w:rPr>
        <w:t>15-91 and 15-94</w:t>
      </w:r>
    </w:p>
    <w:p w:rsidR="00BA3BA8" w14:paraId="05D2F4FE" w14:textId="77777777">
      <w:bookmarkStart w:id="0" w:name="TOChere"/>
    </w:p>
    <w:p w:rsidR="006220D9" w:rsidP="00437F39" w14:paraId="299D3B8A" w14:textId="6133E4C8">
      <w:pPr>
        <w:spacing w:after="120"/>
        <w:ind w:firstLine="810"/>
        <w:rPr>
          <w:szCs w:val="22"/>
        </w:rPr>
      </w:pPr>
      <w:r>
        <w:rPr>
          <w:szCs w:val="22"/>
        </w:rPr>
        <w:t xml:space="preserve">With this </w:t>
      </w:r>
      <w:r w:rsidRPr="00A06A8A">
        <w:rPr>
          <w:i/>
          <w:szCs w:val="22"/>
        </w:rPr>
        <w:t>Public Notice</w:t>
      </w:r>
      <w:r>
        <w:rPr>
          <w:szCs w:val="22"/>
        </w:rPr>
        <w:t xml:space="preserve">, </w:t>
      </w:r>
      <w:r w:rsidR="00315416">
        <w:rPr>
          <w:szCs w:val="22"/>
        </w:rPr>
        <w:t xml:space="preserve">the Public Safety and Homeland Security Bureau </w:t>
      </w:r>
      <w:r w:rsidR="002D421D">
        <w:rPr>
          <w:szCs w:val="22"/>
        </w:rPr>
        <w:t xml:space="preserve">(Bureau) </w:t>
      </w:r>
      <w:r w:rsidR="00FA13D9">
        <w:rPr>
          <w:szCs w:val="22"/>
        </w:rPr>
        <w:t>announces</w:t>
      </w:r>
      <w:r>
        <w:rPr>
          <w:szCs w:val="22"/>
        </w:rPr>
        <w:t xml:space="preserve"> </w:t>
      </w:r>
      <w:r w:rsidR="006D45B1">
        <w:rPr>
          <w:szCs w:val="22"/>
        </w:rPr>
        <w:t xml:space="preserve">June 12, 2028, </w:t>
      </w:r>
      <w:r>
        <w:rPr>
          <w:szCs w:val="22"/>
        </w:rPr>
        <w:t>as</w:t>
      </w:r>
      <w:r w:rsidR="00FA13D9">
        <w:rPr>
          <w:szCs w:val="22"/>
        </w:rPr>
        <w:t xml:space="preserve"> the </w:t>
      </w:r>
      <w:r w:rsidR="00C93AAA">
        <w:rPr>
          <w:szCs w:val="22"/>
        </w:rPr>
        <w:t>deadline</w:t>
      </w:r>
      <w:r w:rsidR="00314A5A">
        <w:rPr>
          <w:szCs w:val="22"/>
        </w:rPr>
        <w:t xml:space="preserve"> </w:t>
      </w:r>
      <w:r w:rsidR="00FA13D9">
        <w:rPr>
          <w:szCs w:val="22"/>
        </w:rPr>
        <w:t>for</w:t>
      </w:r>
      <w:r w:rsidR="007C2D36">
        <w:rPr>
          <w:szCs w:val="22"/>
        </w:rPr>
        <w:t xml:space="preserve"> </w:t>
      </w:r>
      <w:r w:rsidR="00D26068">
        <w:rPr>
          <w:szCs w:val="22"/>
        </w:rPr>
        <w:t xml:space="preserve">commercial </w:t>
      </w:r>
      <w:r w:rsidR="00EE0511">
        <w:rPr>
          <w:szCs w:val="22"/>
        </w:rPr>
        <w:t>mobile service providers participat</w:t>
      </w:r>
      <w:r w:rsidR="00C93AAA">
        <w:rPr>
          <w:szCs w:val="22"/>
        </w:rPr>
        <w:t>ing</w:t>
      </w:r>
      <w:r w:rsidR="00EE0511">
        <w:rPr>
          <w:szCs w:val="22"/>
        </w:rPr>
        <w:t xml:space="preserve"> in Wireless Emergency Alerts (WEA)</w:t>
      </w:r>
      <w:r w:rsidR="00ED6BAF">
        <w:rPr>
          <w:szCs w:val="22"/>
        </w:rPr>
        <w:t xml:space="preserve"> </w:t>
      </w:r>
      <w:r w:rsidR="00C93AAA">
        <w:rPr>
          <w:szCs w:val="22"/>
        </w:rPr>
        <w:t xml:space="preserve">to </w:t>
      </w:r>
      <w:r w:rsidR="00E36CA1">
        <w:rPr>
          <w:szCs w:val="22"/>
        </w:rPr>
        <w:t xml:space="preserve">implement </w:t>
      </w:r>
      <w:r w:rsidR="00583E3C">
        <w:rPr>
          <w:szCs w:val="22"/>
        </w:rPr>
        <w:t xml:space="preserve">multilingual templates that alert originators can choose to send </w:t>
      </w:r>
      <w:r w:rsidR="00E332B0">
        <w:rPr>
          <w:szCs w:val="22"/>
        </w:rPr>
        <w:t>during life-threatening emergencies</w:t>
      </w:r>
      <w:r w:rsidR="00DF6B91">
        <w:rPr>
          <w:szCs w:val="22"/>
        </w:rPr>
        <w:t>.</w:t>
      </w:r>
      <w:r>
        <w:rPr>
          <w:rStyle w:val="FootnoteReference"/>
          <w:szCs w:val="22"/>
        </w:rPr>
        <w:footnoteReference w:id="3"/>
      </w:r>
      <w:r w:rsidR="0040359D">
        <w:rPr>
          <w:szCs w:val="22"/>
        </w:rPr>
        <w:t xml:space="preserve"> </w:t>
      </w:r>
      <w:r w:rsidR="001D785E">
        <w:rPr>
          <w:szCs w:val="22"/>
        </w:rPr>
        <w:t xml:space="preserve"> </w:t>
      </w:r>
      <w:r>
        <w:rPr>
          <w:szCs w:val="22"/>
        </w:rPr>
        <w:t>W</w:t>
      </w:r>
      <w:r w:rsidRPr="006220D9">
        <w:rPr>
          <w:szCs w:val="22"/>
        </w:rPr>
        <w:t>he</w:t>
      </w:r>
      <w:r>
        <w:rPr>
          <w:szCs w:val="22"/>
        </w:rPr>
        <w:t>n</w:t>
      </w:r>
      <w:r w:rsidRPr="006220D9">
        <w:rPr>
          <w:szCs w:val="22"/>
        </w:rPr>
        <w:t xml:space="preserve"> an alerting authority chooses to send a multilingual Alert Message, WEA-capable mobile device</w:t>
      </w:r>
      <w:r>
        <w:rPr>
          <w:szCs w:val="22"/>
        </w:rPr>
        <w:t>s</w:t>
      </w:r>
      <w:r w:rsidRPr="006220D9">
        <w:rPr>
          <w:szCs w:val="22"/>
        </w:rPr>
        <w:t xml:space="preserve"> must be able to extract and display the relevant template in the subscriber’s default language, if available</w:t>
      </w:r>
      <w:r>
        <w:rPr>
          <w:szCs w:val="22"/>
        </w:rPr>
        <w:t>.</w:t>
      </w:r>
      <w:r>
        <w:rPr>
          <w:rStyle w:val="FootnoteReference"/>
          <w:szCs w:val="22"/>
        </w:rPr>
        <w:footnoteReference w:id="4"/>
      </w:r>
      <w:r>
        <w:rPr>
          <w:szCs w:val="22"/>
        </w:rPr>
        <w:t xml:space="preserve"> </w:t>
      </w:r>
      <w:r w:rsidR="009C6244">
        <w:rPr>
          <w:szCs w:val="22"/>
        </w:rPr>
        <w:t xml:space="preserve"> </w:t>
      </w:r>
      <w:r w:rsidR="00ED6BAF">
        <w:rPr>
          <w:szCs w:val="22"/>
        </w:rPr>
        <w:t xml:space="preserve">The </w:t>
      </w:r>
      <w:r w:rsidRPr="006220D9">
        <w:rPr>
          <w:szCs w:val="22"/>
        </w:rPr>
        <w:t xml:space="preserve">WEA-capable mobile devices </w:t>
      </w:r>
      <w:r w:rsidR="00ED6BAF">
        <w:rPr>
          <w:szCs w:val="22"/>
        </w:rPr>
        <w:t>of commercial mobile service providers participating in WEA</w:t>
      </w:r>
      <w:r w:rsidRPr="006220D9" w:rsidR="00ED6BAF">
        <w:rPr>
          <w:szCs w:val="22"/>
        </w:rPr>
        <w:t xml:space="preserve"> </w:t>
      </w:r>
      <w:r>
        <w:rPr>
          <w:szCs w:val="22"/>
        </w:rPr>
        <w:t xml:space="preserve">must </w:t>
      </w:r>
      <w:r w:rsidRPr="006220D9">
        <w:rPr>
          <w:szCs w:val="22"/>
        </w:rPr>
        <w:t>support templates in the 13 most commonly spoken languages in the United States</w:t>
      </w:r>
      <w:r w:rsidR="009C6244">
        <w:rPr>
          <w:szCs w:val="22"/>
        </w:rPr>
        <w:t>,</w:t>
      </w:r>
      <w:r w:rsidRPr="006220D9">
        <w:rPr>
          <w:szCs w:val="22"/>
        </w:rPr>
        <w:t xml:space="preserve"> in addition to English templates.</w:t>
      </w:r>
      <w:r>
        <w:rPr>
          <w:rStyle w:val="FootnoteReference"/>
          <w:szCs w:val="22"/>
        </w:rPr>
        <w:footnoteReference w:id="5"/>
      </w:r>
      <w:r>
        <w:rPr>
          <w:szCs w:val="22"/>
        </w:rPr>
        <w:t xml:space="preserve"> </w:t>
      </w:r>
      <w:r w:rsidRPr="006220D9">
        <w:rPr>
          <w:szCs w:val="22"/>
        </w:rPr>
        <w:t xml:space="preserve"> These languages include: Spanish, Chinese, Tagalog, Vietnamese, Arabic, French, Korean, Russian, Haitian Creole, German, Hindi, Portuguese, and Italian.</w:t>
      </w:r>
      <w:r>
        <w:rPr>
          <w:rStyle w:val="FootnoteReference"/>
          <w:szCs w:val="22"/>
        </w:rPr>
        <w:footnoteReference w:id="6"/>
      </w:r>
      <w:r>
        <w:rPr>
          <w:szCs w:val="22"/>
        </w:rPr>
        <w:t xml:space="preserve">  </w:t>
      </w:r>
      <w:r w:rsidRPr="006220D9">
        <w:rPr>
          <w:szCs w:val="22"/>
        </w:rPr>
        <w:t xml:space="preserve">WEA-capable mobile devices </w:t>
      </w:r>
      <w:r>
        <w:rPr>
          <w:szCs w:val="22"/>
        </w:rPr>
        <w:t xml:space="preserve">must also </w:t>
      </w:r>
      <w:r w:rsidRPr="006220D9">
        <w:rPr>
          <w:szCs w:val="22"/>
        </w:rPr>
        <w:t>support templates in A</w:t>
      </w:r>
      <w:r>
        <w:rPr>
          <w:szCs w:val="22"/>
        </w:rPr>
        <w:t xml:space="preserve">merican </w:t>
      </w:r>
      <w:r w:rsidRPr="006220D9">
        <w:rPr>
          <w:szCs w:val="22"/>
        </w:rPr>
        <w:t>S</w:t>
      </w:r>
      <w:r>
        <w:rPr>
          <w:szCs w:val="22"/>
        </w:rPr>
        <w:t xml:space="preserve">ign </w:t>
      </w:r>
      <w:r w:rsidRPr="006220D9">
        <w:rPr>
          <w:szCs w:val="22"/>
        </w:rPr>
        <w:t>L</w:t>
      </w:r>
      <w:r>
        <w:rPr>
          <w:szCs w:val="22"/>
        </w:rPr>
        <w:t>anguage</w:t>
      </w:r>
      <w:r w:rsidRPr="006220D9">
        <w:rPr>
          <w:szCs w:val="22"/>
        </w:rPr>
        <w:t>.</w:t>
      </w:r>
      <w:r>
        <w:rPr>
          <w:rStyle w:val="FootnoteReference"/>
          <w:szCs w:val="22"/>
        </w:rPr>
        <w:footnoteReference w:id="7"/>
      </w:r>
    </w:p>
    <w:p w:rsidR="00E94ED5" w:rsidP="008928B4" w14:paraId="48EF7952" w14:textId="270D0A30">
      <w:pPr>
        <w:widowControl/>
        <w:spacing w:after="120"/>
        <w:ind w:firstLine="806"/>
        <w:rPr>
          <w:szCs w:val="22"/>
        </w:rPr>
      </w:pPr>
      <w:r>
        <w:rPr>
          <w:szCs w:val="22"/>
        </w:rPr>
        <w:t xml:space="preserve">In the </w:t>
      </w:r>
      <w:r w:rsidR="007378F6">
        <w:rPr>
          <w:szCs w:val="22"/>
        </w:rPr>
        <w:t xml:space="preserve">2023 </w:t>
      </w:r>
      <w:r w:rsidRPr="00D802F3">
        <w:rPr>
          <w:i/>
          <w:iCs/>
          <w:szCs w:val="22"/>
        </w:rPr>
        <w:t>WEA Third Report and Order</w:t>
      </w:r>
      <w:r>
        <w:rPr>
          <w:szCs w:val="22"/>
        </w:rPr>
        <w:t xml:space="preserve">, the Commission directed the Bureau </w:t>
      </w:r>
      <w:r w:rsidRPr="00ED6BAF">
        <w:rPr>
          <w:szCs w:val="22"/>
        </w:rPr>
        <w:t>to develop specific implementation parameters for template-based multilingual alerting</w:t>
      </w:r>
      <w:r w:rsidR="007378F6">
        <w:rPr>
          <w:szCs w:val="22"/>
        </w:rPr>
        <w:t>,</w:t>
      </w:r>
      <w:r>
        <w:rPr>
          <w:rStyle w:val="FootnoteReference"/>
          <w:szCs w:val="22"/>
        </w:rPr>
        <w:footnoteReference w:id="8"/>
      </w:r>
      <w:r>
        <w:rPr>
          <w:szCs w:val="22"/>
        </w:rPr>
        <w:t xml:space="preserve"> and required commercial mobile service providers participating in WEA to comply with th</w:t>
      </w:r>
      <w:r w:rsidR="009C6244">
        <w:rPr>
          <w:szCs w:val="22"/>
        </w:rPr>
        <w:t>e multilingual template</w:t>
      </w:r>
      <w:r>
        <w:rPr>
          <w:szCs w:val="22"/>
        </w:rPr>
        <w:t xml:space="preserve"> requirements </w:t>
      </w:r>
      <w:r w:rsidRPr="00ED6BAF">
        <w:rPr>
          <w:szCs w:val="22"/>
        </w:rPr>
        <w:t xml:space="preserve">within 30 months </w:t>
      </w:r>
      <w:r w:rsidR="009C6244">
        <w:rPr>
          <w:szCs w:val="22"/>
        </w:rPr>
        <w:t>of</w:t>
      </w:r>
      <w:r w:rsidRPr="00ED6BAF">
        <w:rPr>
          <w:szCs w:val="22"/>
        </w:rPr>
        <w:t xml:space="preserve"> </w:t>
      </w:r>
      <w:r w:rsidR="009C6244">
        <w:rPr>
          <w:szCs w:val="22"/>
        </w:rPr>
        <w:t xml:space="preserve">the </w:t>
      </w:r>
      <w:r w:rsidRPr="00ED6BAF">
        <w:rPr>
          <w:szCs w:val="22"/>
        </w:rPr>
        <w:t>Bureau publish</w:t>
      </w:r>
      <w:r w:rsidR="009C6244">
        <w:rPr>
          <w:szCs w:val="22"/>
        </w:rPr>
        <w:t>ing</w:t>
      </w:r>
      <w:r w:rsidRPr="00ED6BAF">
        <w:rPr>
          <w:szCs w:val="22"/>
        </w:rPr>
        <w:t xml:space="preserve"> its </w:t>
      </w:r>
      <w:r w:rsidR="007378F6">
        <w:rPr>
          <w:szCs w:val="22"/>
        </w:rPr>
        <w:t>o</w:t>
      </w:r>
      <w:r w:rsidRPr="00ED6BAF">
        <w:rPr>
          <w:szCs w:val="22"/>
        </w:rPr>
        <w:t>rder in the Federal Registe</w:t>
      </w:r>
      <w:r>
        <w:rPr>
          <w:szCs w:val="22"/>
        </w:rPr>
        <w:t>r.</w:t>
      </w:r>
      <w:r>
        <w:rPr>
          <w:rStyle w:val="FootnoteReference"/>
          <w:szCs w:val="22"/>
        </w:rPr>
        <w:footnoteReference w:id="9"/>
      </w:r>
      <w:r w:rsidRPr="006220D9">
        <w:rPr>
          <w:szCs w:val="22"/>
        </w:rPr>
        <w:t xml:space="preserve"> </w:t>
      </w:r>
      <w:r>
        <w:rPr>
          <w:szCs w:val="22"/>
        </w:rPr>
        <w:t xml:space="preserve"> </w:t>
      </w:r>
      <w:r w:rsidR="00E37135">
        <w:rPr>
          <w:szCs w:val="22"/>
        </w:rPr>
        <w:t xml:space="preserve">The Bureau </w:t>
      </w:r>
      <w:r>
        <w:rPr>
          <w:szCs w:val="22"/>
        </w:rPr>
        <w:t xml:space="preserve">adopted </w:t>
      </w:r>
      <w:r w:rsidR="009C6244">
        <w:rPr>
          <w:szCs w:val="22"/>
        </w:rPr>
        <w:t>the</w:t>
      </w:r>
      <w:r w:rsidR="007378F6">
        <w:rPr>
          <w:szCs w:val="22"/>
        </w:rPr>
        <w:t xml:space="preserve"> </w:t>
      </w:r>
      <w:r w:rsidRPr="001315A7" w:rsidR="009C6244">
        <w:rPr>
          <w:i/>
          <w:iCs/>
        </w:rPr>
        <w:t>Multilingual WEA Implementation Report and Order</w:t>
      </w:r>
      <w:r w:rsidR="009C6244">
        <w:rPr>
          <w:szCs w:val="22"/>
        </w:rPr>
        <w:t xml:space="preserve"> </w:t>
      </w:r>
      <w:r>
        <w:rPr>
          <w:szCs w:val="22"/>
        </w:rPr>
        <w:t xml:space="preserve">in January 2025, </w:t>
      </w:r>
      <w:r w:rsidR="009C6244">
        <w:rPr>
          <w:szCs w:val="22"/>
        </w:rPr>
        <w:t>establishing</w:t>
      </w:r>
      <w:r w:rsidR="00E37135">
        <w:rPr>
          <w:szCs w:val="22"/>
        </w:rPr>
        <w:t xml:space="preserve"> </w:t>
      </w:r>
      <w:r w:rsidR="007378F6">
        <w:rPr>
          <w:szCs w:val="22"/>
        </w:rPr>
        <w:t xml:space="preserve">fillable </w:t>
      </w:r>
      <w:r w:rsidR="00E37135">
        <w:rPr>
          <w:szCs w:val="22"/>
        </w:rPr>
        <w:t>templates for</w:t>
      </w:r>
      <w:r w:rsidR="0007332F">
        <w:rPr>
          <w:szCs w:val="22"/>
        </w:rPr>
        <w:t xml:space="preserve"> the eighteen most commonly issued and most time-sensitive types of alert</w:t>
      </w:r>
      <w:r w:rsidR="00B216AD">
        <w:rPr>
          <w:szCs w:val="22"/>
        </w:rPr>
        <w:t>s</w:t>
      </w:r>
      <w:r w:rsidR="007378F6">
        <w:rPr>
          <w:szCs w:val="22"/>
        </w:rPr>
        <w:t xml:space="preserve"> and specifying other </w:t>
      </w:r>
      <w:r w:rsidR="007378F6">
        <w:rPr>
          <w:szCs w:val="22"/>
        </w:rPr>
        <w:t>implementation requirements</w:t>
      </w:r>
      <w:r w:rsidR="00E37135">
        <w:rPr>
          <w:szCs w:val="22"/>
        </w:rPr>
        <w:t>.</w:t>
      </w:r>
      <w:r>
        <w:rPr>
          <w:rStyle w:val="FootnoteReference"/>
          <w:szCs w:val="22"/>
        </w:rPr>
        <w:footnoteReference w:id="10"/>
      </w:r>
      <w:r w:rsidR="00E37135">
        <w:rPr>
          <w:szCs w:val="22"/>
        </w:rPr>
        <w:t xml:space="preserve">  </w:t>
      </w:r>
      <w:r w:rsidR="007378F6">
        <w:rPr>
          <w:szCs w:val="22"/>
        </w:rPr>
        <w:t>Th</w:t>
      </w:r>
      <w:r w:rsidR="009C6244">
        <w:rPr>
          <w:szCs w:val="22"/>
        </w:rPr>
        <w:t>e</w:t>
      </w:r>
      <w:r w:rsidR="007378F6">
        <w:rPr>
          <w:szCs w:val="22"/>
        </w:rPr>
        <w:t xml:space="preserve"> Report and Order was published in the Federal Register on December 10, 2025.</w:t>
      </w:r>
      <w:r>
        <w:rPr>
          <w:rStyle w:val="FootnoteReference"/>
          <w:szCs w:val="22"/>
        </w:rPr>
        <w:footnoteReference w:id="11"/>
      </w:r>
      <w:r w:rsidR="007378F6">
        <w:rPr>
          <w:szCs w:val="22"/>
        </w:rPr>
        <w:t xml:space="preserve">  Accordingly, </w:t>
      </w:r>
      <w:r w:rsidRPr="0041441B" w:rsidR="007378F6">
        <w:rPr>
          <w:szCs w:val="22"/>
        </w:rPr>
        <w:t xml:space="preserve">the </w:t>
      </w:r>
      <w:r w:rsidR="009C6244">
        <w:rPr>
          <w:szCs w:val="22"/>
        </w:rPr>
        <w:t xml:space="preserve">deadline for compliance with these </w:t>
      </w:r>
      <w:r w:rsidR="007378F6">
        <w:rPr>
          <w:szCs w:val="22"/>
        </w:rPr>
        <w:t>requirements</w:t>
      </w:r>
      <w:r w:rsidRPr="0041441B" w:rsidR="007378F6">
        <w:rPr>
          <w:szCs w:val="22"/>
        </w:rPr>
        <w:t xml:space="preserve"> </w:t>
      </w:r>
      <w:r w:rsidR="009C6244">
        <w:rPr>
          <w:szCs w:val="22"/>
        </w:rPr>
        <w:t xml:space="preserve">is </w:t>
      </w:r>
      <w:r w:rsidR="007378F6">
        <w:rPr>
          <w:szCs w:val="22"/>
        </w:rPr>
        <w:t xml:space="preserve">June 12, 2028. </w:t>
      </w:r>
      <w:r w:rsidRPr="0041441B" w:rsidR="007378F6">
        <w:rPr>
          <w:szCs w:val="22"/>
        </w:rPr>
        <w:t xml:space="preserve"> </w:t>
      </w:r>
      <w:r w:rsidR="007378F6">
        <w:rPr>
          <w:szCs w:val="22"/>
        </w:rPr>
        <w:t xml:space="preserve"> </w:t>
      </w:r>
    </w:p>
    <w:p w:rsidR="00DB2119" w:rsidRPr="00D12665" w:rsidP="00DB2119" w14:paraId="5363DDA0" w14:textId="4D138987">
      <w:pPr>
        <w:spacing w:after="120"/>
        <w:ind w:firstLine="720"/>
        <w:rPr>
          <w:szCs w:val="22"/>
        </w:rPr>
      </w:pPr>
      <w:r w:rsidRPr="00D12665">
        <w:rPr>
          <w:szCs w:val="22"/>
        </w:rPr>
        <w:t xml:space="preserve">For further information, please contact </w:t>
      </w:r>
      <w:r w:rsidR="00A94AC2">
        <w:rPr>
          <w:szCs w:val="22"/>
        </w:rPr>
        <w:t>Joshua Gehret</w:t>
      </w:r>
      <w:r w:rsidRPr="00D12665">
        <w:rPr>
          <w:szCs w:val="22"/>
        </w:rPr>
        <w:t xml:space="preserve">, Attorney Advisor, </w:t>
      </w:r>
      <w:r w:rsidRPr="00D12665" w:rsidR="00D12665">
        <w:rPr>
          <w:szCs w:val="22"/>
        </w:rPr>
        <w:t>Cybersecurity and Communications Reliability Division</w:t>
      </w:r>
      <w:r w:rsidRPr="00D12665">
        <w:rPr>
          <w:szCs w:val="22"/>
        </w:rPr>
        <w:t>, Public Safety and Homeland Security Bureau at (202) 418-</w:t>
      </w:r>
      <w:r w:rsidRPr="00D12665" w:rsidR="00D12665">
        <w:rPr>
          <w:szCs w:val="22"/>
        </w:rPr>
        <w:t>7</w:t>
      </w:r>
      <w:r w:rsidR="00A94AC2">
        <w:rPr>
          <w:szCs w:val="22"/>
        </w:rPr>
        <w:t>816</w:t>
      </w:r>
      <w:r w:rsidRPr="00D12665">
        <w:rPr>
          <w:szCs w:val="22"/>
        </w:rPr>
        <w:t xml:space="preserve"> or </w:t>
      </w:r>
      <w:hyperlink r:id="rId6" w:history="1">
        <w:r w:rsidRPr="000540DE" w:rsidR="00A94AC2">
          <w:rPr>
            <w:rStyle w:val="Hyperlink"/>
          </w:rPr>
          <w:t>Joshua.Gehret@fcc.gov</w:t>
        </w:r>
      </w:hyperlink>
      <w:r w:rsidRPr="00D12665" w:rsidR="00D12665">
        <w:t xml:space="preserve">. </w:t>
      </w:r>
    </w:p>
    <w:p w:rsidR="00BA3BA8" w:rsidP="00935115" w14:paraId="1537954B" w14:textId="7EBE0D80">
      <w:pPr>
        <w:jc w:val="center"/>
      </w:pPr>
      <w:r>
        <w:rPr>
          <w:b/>
          <w:szCs w:val="22"/>
        </w:rPr>
        <w:t>-</w:t>
      </w:r>
      <w:r w:rsidRPr="00935115" w:rsidR="001869D7">
        <w:rPr>
          <w:b/>
          <w:szCs w:val="22"/>
        </w:rPr>
        <w:t>FCC-</w:t>
      </w:r>
      <w:bookmarkEnd w:id="0"/>
    </w:p>
    <w:sectPr>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D2D72" w14:paraId="4FE5DE26" w14:textId="77777777">
      <w:r>
        <w:separator/>
      </w:r>
    </w:p>
  </w:endnote>
  <w:endnote w:type="continuationSeparator" w:id="1">
    <w:p w:rsidR="006D2D72" w14:paraId="45F640D1" w14:textId="77777777">
      <w:r>
        <w:continuationSeparator/>
      </w:r>
    </w:p>
  </w:endnote>
  <w:endnote w:type="continuationNotice" w:id="2">
    <w:p w:rsidR="006D2D72" w14:paraId="2A97AB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E4268AD"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4B665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717D92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BDC518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2D72" w14:paraId="38FD29CD" w14:textId="77777777">
      <w:r>
        <w:separator/>
      </w:r>
    </w:p>
  </w:footnote>
  <w:footnote w:type="continuationSeparator" w:id="1">
    <w:p w:rsidR="006D2D72" w14:paraId="2FD3BC07" w14:textId="77777777">
      <w:pPr>
        <w:rPr>
          <w:sz w:val="20"/>
        </w:rPr>
      </w:pPr>
      <w:r>
        <w:rPr>
          <w:sz w:val="20"/>
        </w:rPr>
        <w:t xml:space="preserve">(Continued from previous page)  </w:t>
      </w:r>
      <w:r>
        <w:rPr>
          <w:sz w:val="20"/>
        </w:rPr>
        <w:separator/>
      </w:r>
    </w:p>
  </w:footnote>
  <w:footnote w:type="continuationNotice" w:id="2">
    <w:p w:rsidR="006D2D72" w14:paraId="200C45A8" w14:textId="77777777">
      <w:pPr>
        <w:jc w:val="right"/>
        <w:rPr>
          <w:sz w:val="20"/>
        </w:rPr>
      </w:pPr>
      <w:r>
        <w:rPr>
          <w:sz w:val="20"/>
        </w:rPr>
        <w:t>(continued….)</w:t>
      </w:r>
    </w:p>
  </w:footnote>
  <w:footnote w:id="3">
    <w:p w:rsidR="00E37135" w14:paraId="732AC83B" w14:textId="5AC27DCF">
      <w:pPr>
        <w:pStyle w:val="FootnoteText"/>
      </w:pPr>
      <w:r>
        <w:rPr>
          <w:rStyle w:val="FootnoteReference"/>
        </w:rPr>
        <w:footnoteRef/>
      </w:r>
      <w:r>
        <w:t xml:space="preserve"> </w:t>
      </w:r>
      <w:r w:rsidRPr="00F051AA" w:rsidR="00C93AAA">
        <w:rPr>
          <w:i/>
          <w:iCs/>
        </w:rPr>
        <w:t>Wireless Emergency Alerts, Amendments to Part 11 of the Commission’s Rules Regarding the Emergency Alert System</w:t>
      </w:r>
      <w:r w:rsidRPr="00F051AA" w:rsidR="00C93AAA">
        <w:t xml:space="preserve">, PS Docket Nos. 15-94 and 15-91, Third Report and Order, 38 FCC </w:t>
      </w:r>
      <w:r w:rsidRPr="00F051AA" w:rsidR="00C93AAA">
        <w:t>Rcd</w:t>
      </w:r>
      <w:r w:rsidRPr="00F051AA" w:rsidR="00C93AAA">
        <w:t xml:space="preserve"> 10116</w:t>
      </w:r>
      <w:r w:rsidR="00C93AAA">
        <w:t>, 10124, para. 14, 10128, para. 21</w:t>
      </w:r>
      <w:r w:rsidRPr="00F051AA" w:rsidR="00C93AAA">
        <w:t xml:space="preserve"> (2023)</w:t>
      </w:r>
      <w:r w:rsidR="00C93AAA">
        <w:t xml:space="preserve"> (</w:t>
      </w:r>
      <w:r w:rsidR="00C93AAA">
        <w:rPr>
          <w:i/>
          <w:iCs/>
        </w:rPr>
        <w:t>WEA Third Report and Order</w:t>
      </w:r>
      <w:r w:rsidR="00C93AAA">
        <w:t>)</w:t>
      </w:r>
      <w:r w:rsidR="007378F6">
        <w:t xml:space="preserve">; 47 CFR </w:t>
      </w:r>
      <w:r w:rsidRPr="007378F6" w:rsidR="007378F6">
        <w:t>§§</w:t>
      </w:r>
      <w:r w:rsidR="007378F6">
        <w:t xml:space="preserve"> 10.480, 10.500(e)</w:t>
      </w:r>
      <w:r w:rsidR="00C93AAA">
        <w:t xml:space="preserve">.  </w:t>
      </w:r>
    </w:p>
  </w:footnote>
  <w:footnote w:id="4">
    <w:p w:rsidR="006220D9" w:rsidRPr="006220D9" w14:paraId="38C74606" w14:textId="6D2980DB">
      <w:pPr>
        <w:pStyle w:val="FootnoteText"/>
      </w:pPr>
      <w:r>
        <w:rPr>
          <w:rStyle w:val="FootnoteReference"/>
        </w:rPr>
        <w:footnoteRef/>
      </w:r>
      <w:r>
        <w:t xml:space="preserve"> </w:t>
      </w:r>
      <w:r>
        <w:rPr>
          <w:i/>
          <w:iCs/>
        </w:rPr>
        <w:t xml:space="preserve">Id. </w:t>
      </w:r>
      <w:r>
        <w:t>at 10124, para. 14.</w:t>
      </w:r>
    </w:p>
  </w:footnote>
  <w:footnote w:id="5">
    <w:p w:rsidR="006220D9" w:rsidRPr="006220D9" w14:paraId="7095EF9A" w14:textId="67E67AAD">
      <w:pPr>
        <w:pStyle w:val="FootnoteText"/>
      </w:pPr>
      <w:r>
        <w:rPr>
          <w:rStyle w:val="FootnoteReference"/>
        </w:rPr>
        <w:footnoteRef/>
      </w:r>
      <w:r>
        <w:t xml:space="preserve"> </w:t>
      </w:r>
      <w:r>
        <w:rPr>
          <w:i/>
          <w:iCs/>
        </w:rPr>
        <w:t xml:space="preserve">Id. </w:t>
      </w:r>
      <w:r>
        <w:t>at 10126-27, para. 19.</w:t>
      </w:r>
    </w:p>
  </w:footnote>
  <w:footnote w:id="6">
    <w:p w:rsidR="006220D9" w:rsidRPr="006220D9" w14:paraId="773173FB" w14:textId="5918CA20">
      <w:pPr>
        <w:pStyle w:val="FootnoteText"/>
      </w:pPr>
      <w:r>
        <w:rPr>
          <w:rStyle w:val="FootnoteReference"/>
        </w:rPr>
        <w:footnoteRef/>
      </w:r>
      <w:r>
        <w:t xml:space="preserve"> </w:t>
      </w:r>
      <w:r>
        <w:rPr>
          <w:i/>
          <w:iCs/>
        </w:rPr>
        <w:t>Id.</w:t>
      </w:r>
    </w:p>
  </w:footnote>
  <w:footnote w:id="7">
    <w:p w:rsidR="006220D9" w:rsidRPr="006220D9" w14:paraId="43C5B03F" w14:textId="0F0D4C15">
      <w:pPr>
        <w:pStyle w:val="FootnoteText"/>
      </w:pPr>
      <w:r>
        <w:rPr>
          <w:rStyle w:val="FootnoteReference"/>
        </w:rPr>
        <w:footnoteRef/>
      </w:r>
      <w:r>
        <w:t xml:space="preserve"> </w:t>
      </w:r>
      <w:r>
        <w:rPr>
          <w:i/>
          <w:iCs/>
        </w:rPr>
        <w:t xml:space="preserve">Id. </w:t>
      </w:r>
      <w:r>
        <w:t>at 10127, para. 20.</w:t>
      </w:r>
    </w:p>
  </w:footnote>
  <w:footnote w:id="8">
    <w:p w:rsidR="00ED6BAF" w:rsidRPr="00ED6BAF" w14:paraId="17E80DAA" w14:textId="237AC50A">
      <w:pPr>
        <w:pStyle w:val="FootnoteText"/>
      </w:pPr>
      <w:r>
        <w:rPr>
          <w:rStyle w:val="FootnoteReference"/>
        </w:rPr>
        <w:footnoteRef/>
      </w:r>
      <w:r>
        <w:t xml:space="preserve"> </w:t>
      </w:r>
      <w:r>
        <w:rPr>
          <w:i/>
          <w:iCs/>
        </w:rPr>
        <w:t>Id.</w:t>
      </w:r>
      <w:r>
        <w:t xml:space="preserve"> at 10128, para. 21.</w:t>
      </w:r>
    </w:p>
  </w:footnote>
  <w:footnote w:id="9">
    <w:p w:rsidR="00ED6BAF" w:rsidRPr="00ED6BAF" w14:paraId="63259003" w14:textId="48095D5C">
      <w:pPr>
        <w:pStyle w:val="FootnoteText"/>
      </w:pPr>
      <w:r>
        <w:rPr>
          <w:rStyle w:val="FootnoteReference"/>
        </w:rPr>
        <w:footnoteRef/>
      </w:r>
      <w:r>
        <w:t xml:space="preserve"> </w:t>
      </w:r>
      <w:r>
        <w:rPr>
          <w:i/>
          <w:iCs/>
        </w:rPr>
        <w:t xml:space="preserve">Id. </w:t>
      </w:r>
      <w:r>
        <w:t>at 10130, 10153-54, paras. 25, 74.</w:t>
      </w:r>
    </w:p>
  </w:footnote>
  <w:footnote w:id="10">
    <w:p w:rsidR="002D421D" w14:paraId="50DB5FD5" w14:textId="7FD7945A">
      <w:pPr>
        <w:pStyle w:val="FootnoteText"/>
      </w:pPr>
      <w:r>
        <w:rPr>
          <w:rStyle w:val="FootnoteReference"/>
        </w:rPr>
        <w:footnoteRef/>
      </w:r>
      <w:r>
        <w:t xml:space="preserve"> </w:t>
      </w:r>
      <w:r w:rsidR="007378F6">
        <w:rPr>
          <w:i/>
          <w:iCs/>
        </w:rPr>
        <w:t xml:space="preserve">Wireless Emergency Alerts; Amendments to Part 11 of the Commission’s Rules Regarding the Emergency Alert System, </w:t>
      </w:r>
      <w:r w:rsidR="007378F6">
        <w:t xml:space="preserve">PS Docket Nos. 15-91 and 15-94; Report and Order, 40 FCC </w:t>
      </w:r>
      <w:r w:rsidR="007378F6">
        <w:t>Rcd</w:t>
      </w:r>
      <w:r w:rsidR="007378F6">
        <w:t xml:space="preserve"> 43 (PSHSB 2025)</w:t>
      </w:r>
      <w:r w:rsidR="009C6244">
        <w:t xml:space="preserve"> (</w:t>
      </w:r>
      <w:r w:rsidRPr="00D802F3" w:rsidR="009C6244">
        <w:rPr>
          <w:i/>
          <w:iCs/>
        </w:rPr>
        <w:t>Multilingual WEA Implementation Report and Order</w:t>
      </w:r>
      <w:r w:rsidR="009C6244">
        <w:t>)</w:t>
      </w:r>
      <w:r w:rsidR="007378F6">
        <w:t>.</w:t>
      </w:r>
    </w:p>
  </w:footnote>
  <w:footnote w:id="11">
    <w:p w:rsidR="007378F6" w:rsidRPr="00CC65A2" w:rsidP="007378F6" w14:paraId="67D18335" w14:textId="65F8B749">
      <w:pPr>
        <w:pStyle w:val="FootnoteText"/>
      </w:pPr>
      <w:r>
        <w:rPr>
          <w:rStyle w:val="FootnoteReference"/>
        </w:rPr>
        <w:footnoteRef/>
      </w:r>
      <w:r>
        <w:t xml:space="preserve"> </w:t>
      </w:r>
      <w:r w:rsidRPr="002D0888" w:rsidR="00CC65A2">
        <w:t>Federal Communications Commission, Wireless Emergency Alerts</w:t>
      </w:r>
      <w:r w:rsidR="00CC65A2">
        <w:t xml:space="preserve"> and the Emergency Alert System</w:t>
      </w:r>
      <w:r w:rsidRPr="002D0888" w:rsidR="00CC65A2">
        <w:t xml:space="preserve">; </w:t>
      </w:r>
      <w:r w:rsidR="00CC65A2">
        <w:t>Correction</w:t>
      </w:r>
      <w:r w:rsidRPr="002D0888" w:rsidR="00CC65A2">
        <w:t xml:space="preserve">, </w:t>
      </w:r>
      <w:r w:rsidR="00CC65A2">
        <w:t>90</w:t>
      </w:r>
      <w:r w:rsidRPr="002D0888" w:rsidR="00CC65A2">
        <w:t xml:space="preserve"> Fed. Reg. </w:t>
      </w:r>
      <w:r w:rsidR="00CC65A2">
        <w:t>59071</w:t>
      </w:r>
      <w:r w:rsidRPr="002D0888" w:rsidR="00CC65A2">
        <w:t xml:space="preserve"> (</w:t>
      </w:r>
      <w:r w:rsidR="00CC65A2">
        <w:t>Dec.</w:t>
      </w:r>
      <w:r w:rsidRPr="002D0888" w:rsidR="00CC65A2">
        <w:t xml:space="preserve"> </w:t>
      </w:r>
      <w:r w:rsidR="00CC65A2">
        <w:t>18</w:t>
      </w:r>
      <w:r w:rsidRPr="002D0888" w:rsidR="00CC65A2">
        <w:t>, 202</w:t>
      </w:r>
      <w:r w:rsidR="00CC65A2">
        <w:t>5</w:t>
      </w:r>
      <w:r w:rsidRPr="002D0888" w:rsidR="00CC65A2">
        <w:t>)</w:t>
      </w:r>
      <w:r w:rsidR="00CC65A2">
        <w:t xml:space="preserve">; </w:t>
      </w:r>
      <w:r w:rsidR="00CC65A2">
        <w:rPr>
          <w:i/>
          <w:iCs/>
        </w:rPr>
        <w:t xml:space="preserve">see also </w:t>
      </w:r>
      <w:r w:rsidR="00CC65A2">
        <w:t>Federal Communications Commission, Wireless Emergency Alerts and the Emergency Alert System, 90 Fed. Reg. 57288 (Dec. 10,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E8138C9" w14:textId="77A25054">
    <w:pPr>
      <w:tabs>
        <w:tab w:val="center" w:pos="4680"/>
        <w:tab w:val="right" w:pos="9360"/>
      </w:tabs>
    </w:pPr>
    <w:r>
      <w:rPr>
        <w:b/>
      </w:rPr>
      <w:tab/>
      <w:t>Federal Communications Commission</w:t>
    </w:r>
    <w:r>
      <w:rPr>
        <w:b/>
      </w:rPr>
      <w:tab/>
    </w:r>
    <w:r w:rsidR="00977F18">
      <w:rPr>
        <w:b/>
      </w:rPr>
      <w:t xml:space="preserve">DA </w:t>
    </w:r>
    <w:r w:rsidRPr="00977F18" w:rsidR="00977F18">
      <w:rPr>
        <w:b/>
      </w:rPr>
      <w:t>25-1078</w:t>
    </w:r>
  </w:p>
  <w:p w:rsidR="00BA3BA8" w14:paraId="1E6C65D7" w14:textId="7F3C4901">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F8BB56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370769F5" w14:textId="3EBB4A73">
    <w:pPr>
      <w:pStyle w:val="Header"/>
    </w:pPr>
    <w:r>
      <w:rPr>
        <w:noProof/>
      </w:rPr>
      <w:drawing>
        <wp:inline distT="0" distB="0" distL="0" distR="0">
          <wp:extent cx="5953125"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125"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E1A23"/>
    <w:multiLevelType w:val="hybridMultilevel"/>
    <w:tmpl w:val="6C86BD04"/>
    <w:lvl w:ilvl="0">
      <w:start w:val="0"/>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8F415EC"/>
    <w:multiLevelType w:val="hybridMultilevel"/>
    <w:tmpl w:val="18CA5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373427037">
    <w:abstractNumId w:val="2"/>
  </w:num>
  <w:num w:numId="2" w16cid:durableId="1443577363">
    <w:abstractNumId w:val="7"/>
  </w:num>
  <w:num w:numId="3" w16cid:durableId="1732389461">
    <w:abstractNumId w:val="4"/>
  </w:num>
  <w:num w:numId="4" w16cid:durableId="1907838564">
    <w:abstractNumId w:val="6"/>
  </w:num>
  <w:num w:numId="5" w16cid:durableId="901981710">
    <w:abstractNumId w:val="3"/>
  </w:num>
  <w:num w:numId="6" w16cid:durableId="686247739">
    <w:abstractNumId w:val="1"/>
  </w:num>
  <w:num w:numId="7" w16cid:durableId="2047900777">
    <w:abstractNumId w:val="5"/>
  </w:num>
  <w:num w:numId="8" w16cid:durableId="110349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DF"/>
    <w:rsid w:val="000025E7"/>
    <w:rsid w:val="0001083F"/>
    <w:rsid w:val="0002397F"/>
    <w:rsid w:val="00040491"/>
    <w:rsid w:val="0004158D"/>
    <w:rsid w:val="00051695"/>
    <w:rsid w:val="000540DE"/>
    <w:rsid w:val="00060D01"/>
    <w:rsid w:val="00067BFD"/>
    <w:rsid w:val="0007332F"/>
    <w:rsid w:val="000740BC"/>
    <w:rsid w:val="00076E4A"/>
    <w:rsid w:val="00080431"/>
    <w:rsid w:val="00085E20"/>
    <w:rsid w:val="000A0578"/>
    <w:rsid w:val="000A4939"/>
    <w:rsid w:val="000B209A"/>
    <w:rsid w:val="000B39D1"/>
    <w:rsid w:val="000B5662"/>
    <w:rsid w:val="000C18D8"/>
    <w:rsid w:val="000C2DF5"/>
    <w:rsid w:val="000C68C4"/>
    <w:rsid w:val="000E59D9"/>
    <w:rsid w:val="000E67CA"/>
    <w:rsid w:val="000E6DF0"/>
    <w:rsid w:val="000F3391"/>
    <w:rsid w:val="000F7673"/>
    <w:rsid w:val="001147EE"/>
    <w:rsid w:val="00126A95"/>
    <w:rsid w:val="00126F97"/>
    <w:rsid w:val="00130DBC"/>
    <w:rsid w:val="001315A7"/>
    <w:rsid w:val="00134561"/>
    <w:rsid w:val="00137293"/>
    <w:rsid w:val="00144E6A"/>
    <w:rsid w:val="0016063B"/>
    <w:rsid w:val="00182FCF"/>
    <w:rsid w:val="001869D7"/>
    <w:rsid w:val="001934CB"/>
    <w:rsid w:val="00194D86"/>
    <w:rsid w:val="001D3672"/>
    <w:rsid w:val="001D785E"/>
    <w:rsid w:val="001E2507"/>
    <w:rsid w:val="001E2766"/>
    <w:rsid w:val="001F6531"/>
    <w:rsid w:val="001F747D"/>
    <w:rsid w:val="00213725"/>
    <w:rsid w:val="0021457A"/>
    <w:rsid w:val="00221988"/>
    <w:rsid w:val="00245FAF"/>
    <w:rsid w:val="002470BA"/>
    <w:rsid w:val="0025796C"/>
    <w:rsid w:val="00262D84"/>
    <w:rsid w:val="002631C7"/>
    <w:rsid w:val="0027530F"/>
    <w:rsid w:val="00281BB5"/>
    <w:rsid w:val="002A30FC"/>
    <w:rsid w:val="002A3345"/>
    <w:rsid w:val="002B3DB6"/>
    <w:rsid w:val="002D0888"/>
    <w:rsid w:val="002D421D"/>
    <w:rsid w:val="002D5D7D"/>
    <w:rsid w:val="002D7113"/>
    <w:rsid w:val="002E0547"/>
    <w:rsid w:val="002E6C2A"/>
    <w:rsid w:val="002F3AE0"/>
    <w:rsid w:val="00307598"/>
    <w:rsid w:val="00314A5A"/>
    <w:rsid w:val="00314F74"/>
    <w:rsid w:val="00315416"/>
    <w:rsid w:val="00337326"/>
    <w:rsid w:val="00340C32"/>
    <w:rsid w:val="00346773"/>
    <w:rsid w:val="003539C6"/>
    <w:rsid w:val="003720E4"/>
    <w:rsid w:val="003904BE"/>
    <w:rsid w:val="003A5C37"/>
    <w:rsid w:val="003A68BB"/>
    <w:rsid w:val="003F38A9"/>
    <w:rsid w:val="0040359D"/>
    <w:rsid w:val="00404200"/>
    <w:rsid w:val="0041441B"/>
    <w:rsid w:val="00417E31"/>
    <w:rsid w:val="00420ECB"/>
    <w:rsid w:val="00426AC6"/>
    <w:rsid w:val="00430183"/>
    <w:rsid w:val="00432E11"/>
    <w:rsid w:val="00437F39"/>
    <w:rsid w:val="00452A4E"/>
    <w:rsid w:val="00491566"/>
    <w:rsid w:val="0049543F"/>
    <w:rsid w:val="004A34AC"/>
    <w:rsid w:val="004A3BC7"/>
    <w:rsid w:val="004C5EDB"/>
    <w:rsid w:val="004C61BB"/>
    <w:rsid w:val="004D3515"/>
    <w:rsid w:val="004F7896"/>
    <w:rsid w:val="005046A7"/>
    <w:rsid w:val="00532B65"/>
    <w:rsid w:val="00555394"/>
    <w:rsid w:val="00573EA8"/>
    <w:rsid w:val="0057445D"/>
    <w:rsid w:val="00583E3C"/>
    <w:rsid w:val="00587390"/>
    <w:rsid w:val="005A7CC9"/>
    <w:rsid w:val="005C11B7"/>
    <w:rsid w:val="005E0363"/>
    <w:rsid w:val="005E3816"/>
    <w:rsid w:val="00602C10"/>
    <w:rsid w:val="00612678"/>
    <w:rsid w:val="00621890"/>
    <w:rsid w:val="006220D9"/>
    <w:rsid w:val="0062610F"/>
    <w:rsid w:val="00631277"/>
    <w:rsid w:val="00631F4E"/>
    <w:rsid w:val="00634E42"/>
    <w:rsid w:val="006572DA"/>
    <w:rsid w:val="00674259"/>
    <w:rsid w:val="00684C51"/>
    <w:rsid w:val="006936DD"/>
    <w:rsid w:val="00694A4C"/>
    <w:rsid w:val="00696B0E"/>
    <w:rsid w:val="006D2D72"/>
    <w:rsid w:val="006D45B1"/>
    <w:rsid w:val="006E14B6"/>
    <w:rsid w:val="006E7835"/>
    <w:rsid w:val="006F476C"/>
    <w:rsid w:val="0070512D"/>
    <w:rsid w:val="00710467"/>
    <w:rsid w:val="00713C31"/>
    <w:rsid w:val="00725044"/>
    <w:rsid w:val="00725896"/>
    <w:rsid w:val="007368F6"/>
    <w:rsid w:val="007378F6"/>
    <w:rsid w:val="00740406"/>
    <w:rsid w:val="00740F90"/>
    <w:rsid w:val="007432EF"/>
    <w:rsid w:val="00747FC4"/>
    <w:rsid w:val="00752D64"/>
    <w:rsid w:val="00753799"/>
    <w:rsid w:val="0076191B"/>
    <w:rsid w:val="007719F2"/>
    <w:rsid w:val="00780680"/>
    <w:rsid w:val="00781109"/>
    <w:rsid w:val="00782C00"/>
    <w:rsid w:val="007A0D20"/>
    <w:rsid w:val="007B6C53"/>
    <w:rsid w:val="007C2D36"/>
    <w:rsid w:val="007C7925"/>
    <w:rsid w:val="007E1BC5"/>
    <w:rsid w:val="007F6E18"/>
    <w:rsid w:val="007F775A"/>
    <w:rsid w:val="0081241A"/>
    <w:rsid w:val="008254FD"/>
    <w:rsid w:val="00830C22"/>
    <w:rsid w:val="00830CB6"/>
    <w:rsid w:val="00852AB8"/>
    <w:rsid w:val="00865CD1"/>
    <w:rsid w:val="0086633D"/>
    <w:rsid w:val="00873028"/>
    <w:rsid w:val="008928B4"/>
    <w:rsid w:val="008937CB"/>
    <w:rsid w:val="008A48A9"/>
    <w:rsid w:val="008B0CF6"/>
    <w:rsid w:val="008B5998"/>
    <w:rsid w:val="008B65A8"/>
    <w:rsid w:val="008C2EBD"/>
    <w:rsid w:val="008C3FAB"/>
    <w:rsid w:val="008D0730"/>
    <w:rsid w:val="008D36A5"/>
    <w:rsid w:val="008D5477"/>
    <w:rsid w:val="00915652"/>
    <w:rsid w:val="00922053"/>
    <w:rsid w:val="009225B5"/>
    <w:rsid w:val="00923431"/>
    <w:rsid w:val="009307F3"/>
    <w:rsid w:val="00933F29"/>
    <w:rsid w:val="00935115"/>
    <w:rsid w:val="00944CF7"/>
    <w:rsid w:val="0096788A"/>
    <w:rsid w:val="00976CF1"/>
    <w:rsid w:val="00977F18"/>
    <w:rsid w:val="00985AE0"/>
    <w:rsid w:val="00991050"/>
    <w:rsid w:val="009B1D1C"/>
    <w:rsid w:val="009B30FE"/>
    <w:rsid w:val="009C6244"/>
    <w:rsid w:val="009D077D"/>
    <w:rsid w:val="009D20DF"/>
    <w:rsid w:val="009D6B61"/>
    <w:rsid w:val="009F6AD6"/>
    <w:rsid w:val="00A061C0"/>
    <w:rsid w:val="00A06A8A"/>
    <w:rsid w:val="00A10B7B"/>
    <w:rsid w:val="00A10C32"/>
    <w:rsid w:val="00A20679"/>
    <w:rsid w:val="00A25AAA"/>
    <w:rsid w:val="00A31CC9"/>
    <w:rsid w:val="00A35571"/>
    <w:rsid w:val="00A57C07"/>
    <w:rsid w:val="00A61FE1"/>
    <w:rsid w:val="00A65B99"/>
    <w:rsid w:val="00A7383C"/>
    <w:rsid w:val="00A73E75"/>
    <w:rsid w:val="00A8418A"/>
    <w:rsid w:val="00A91A1C"/>
    <w:rsid w:val="00A94AC2"/>
    <w:rsid w:val="00AA3404"/>
    <w:rsid w:val="00AB35BF"/>
    <w:rsid w:val="00AB5F55"/>
    <w:rsid w:val="00AF34DB"/>
    <w:rsid w:val="00AF4356"/>
    <w:rsid w:val="00B216AD"/>
    <w:rsid w:val="00B37870"/>
    <w:rsid w:val="00B44C8D"/>
    <w:rsid w:val="00B61D64"/>
    <w:rsid w:val="00B83F34"/>
    <w:rsid w:val="00B901AC"/>
    <w:rsid w:val="00BA3BA8"/>
    <w:rsid w:val="00BB1F83"/>
    <w:rsid w:val="00BB3BFD"/>
    <w:rsid w:val="00BB4F24"/>
    <w:rsid w:val="00BB7C8D"/>
    <w:rsid w:val="00BB7D5E"/>
    <w:rsid w:val="00BD25C7"/>
    <w:rsid w:val="00BE324C"/>
    <w:rsid w:val="00BF647C"/>
    <w:rsid w:val="00BF64D8"/>
    <w:rsid w:val="00C12AE8"/>
    <w:rsid w:val="00C40538"/>
    <w:rsid w:val="00C4392E"/>
    <w:rsid w:val="00C46E10"/>
    <w:rsid w:val="00C66FC5"/>
    <w:rsid w:val="00C752CC"/>
    <w:rsid w:val="00C93AAA"/>
    <w:rsid w:val="00C95CD3"/>
    <w:rsid w:val="00CA002A"/>
    <w:rsid w:val="00CB5043"/>
    <w:rsid w:val="00CB75FA"/>
    <w:rsid w:val="00CC4842"/>
    <w:rsid w:val="00CC65A2"/>
    <w:rsid w:val="00CC74C6"/>
    <w:rsid w:val="00CE2834"/>
    <w:rsid w:val="00D01053"/>
    <w:rsid w:val="00D04A72"/>
    <w:rsid w:val="00D06573"/>
    <w:rsid w:val="00D12665"/>
    <w:rsid w:val="00D26068"/>
    <w:rsid w:val="00D31B9E"/>
    <w:rsid w:val="00D40079"/>
    <w:rsid w:val="00D46460"/>
    <w:rsid w:val="00D56881"/>
    <w:rsid w:val="00D802F3"/>
    <w:rsid w:val="00DA00EA"/>
    <w:rsid w:val="00DB1862"/>
    <w:rsid w:val="00DB2119"/>
    <w:rsid w:val="00DF6B91"/>
    <w:rsid w:val="00E120ED"/>
    <w:rsid w:val="00E157F8"/>
    <w:rsid w:val="00E27347"/>
    <w:rsid w:val="00E31DDA"/>
    <w:rsid w:val="00E332B0"/>
    <w:rsid w:val="00E33550"/>
    <w:rsid w:val="00E36CA1"/>
    <w:rsid w:val="00E37135"/>
    <w:rsid w:val="00E55A2D"/>
    <w:rsid w:val="00E61B27"/>
    <w:rsid w:val="00E72C93"/>
    <w:rsid w:val="00E76D67"/>
    <w:rsid w:val="00E814C3"/>
    <w:rsid w:val="00E818BA"/>
    <w:rsid w:val="00E82FD2"/>
    <w:rsid w:val="00E85CF4"/>
    <w:rsid w:val="00E94ED5"/>
    <w:rsid w:val="00EB0EFC"/>
    <w:rsid w:val="00EC26C6"/>
    <w:rsid w:val="00ED6118"/>
    <w:rsid w:val="00ED6BAF"/>
    <w:rsid w:val="00EE0511"/>
    <w:rsid w:val="00EF466B"/>
    <w:rsid w:val="00F03EA1"/>
    <w:rsid w:val="00F051AA"/>
    <w:rsid w:val="00F143E2"/>
    <w:rsid w:val="00F22362"/>
    <w:rsid w:val="00F257C8"/>
    <w:rsid w:val="00F30F8E"/>
    <w:rsid w:val="00F41FDA"/>
    <w:rsid w:val="00F432E9"/>
    <w:rsid w:val="00F44E01"/>
    <w:rsid w:val="00F549C4"/>
    <w:rsid w:val="00F6294E"/>
    <w:rsid w:val="00F62A8C"/>
    <w:rsid w:val="00F6608E"/>
    <w:rsid w:val="00F960F4"/>
    <w:rsid w:val="00F9636D"/>
    <w:rsid w:val="00FA13D9"/>
    <w:rsid w:val="00FA3516"/>
    <w:rsid w:val="00FA67DE"/>
    <w:rsid w:val="00FD29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C5B95B"/>
  <w15:chartTrackingRefBased/>
  <w15:docId w15:val="{F457E77E-92AD-4ADE-AF17-A446B664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890"/>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pPr>
      <w:spacing w:after="120"/>
    </w:pPr>
  </w:style>
  <w:style w:type="character" w:styleId="FootnoteReference">
    <w:name w:val="footnote reference"/>
    <w:aliases w:val="(NECG) Footnote Reference,Appel note de bas de p,FR,Style 12,Style 124,Style 17,Style 3,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DB2119"/>
  </w:style>
  <w:style w:type="paragraph" w:styleId="ListParagraph">
    <w:name w:val="List Paragraph"/>
    <w:basedOn w:val="Normal"/>
    <w:uiPriority w:val="34"/>
    <w:qFormat/>
    <w:rsid w:val="00DB2119"/>
    <w:pPr>
      <w:ind w:left="720"/>
      <w:contextualSpacing/>
    </w:pPr>
  </w:style>
  <w:style w:type="character" w:styleId="FollowedHyperlink">
    <w:name w:val="FollowedHyperlink"/>
    <w:uiPriority w:val="99"/>
    <w:semiHidden/>
    <w:unhideWhenUsed/>
    <w:rsid w:val="002F3AE0"/>
    <w:rPr>
      <w:color w:val="96607D"/>
      <w:u w:val="single"/>
    </w:rPr>
  </w:style>
  <w:style w:type="paragraph" w:styleId="Revision">
    <w:name w:val="Revision"/>
    <w:hidden/>
    <w:uiPriority w:val="99"/>
    <w:semiHidden/>
    <w:rsid w:val="002A30FC"/>
    <w:rPr>
      <w:snapToGrid w:val="0"/>
      <w:kern w:val="28"/>
      <w:sz w:val="22"/>
    </w:rPr>
  </w:style>
  <w:style w:type="character" w:styleId="CommentReference">
    <w:name w:val="annotation reference"/>
    <w:basedOn w:val="DefaultParagraphFont"/>
    <w:uiPriority w:val="99"/>
    <w:semiHidden/>
    <w:unhideWhenUsed/>
    <w:rsid w:val="005046A7"/>
    <w:rPr>
      <w:sz w:val="16"/>
      <w:szCs w:val="16"/>
    </w:rPr>
  </w:style>
  <w:style w:type="paragraph" w:styleId="CommentText">
    <w:name w:val="annotation text"/>
    <w:basedOn w:val="Normal"/>
    <w:link w:val="CommentTextChar"/>
    <w:uiPriority w:val="99"/>
    <w:unhideWhenUsed/>
    <w:rsid w:val="005046A7"/>
    <w:rPr>
      <w:sz w:val="20"/>
    </w:rPr>
  </w:style>
  <w:style w:type="character" w:customStyle="1" w:styleId="CommentTextChar">
    <w:name w:val="Comment Text Char"/>
    <w:basedOn w:val="DefaultParagraphFont"/>
    <w:link w:val="CommentText"/>
    <w:uiPriority w:val="99"/>
    <w:rsid w:val="005046A7"/>
    <w:rPr>
      <w:snapToGrid w:val="0"/>
      <w:kern w:val="28"/>
    </w:rPr>
  </w:style>
  <w:style w:type="paragraph" w:styleId="CommentSubject">
    <w:name w:val="annotation subject"/>
    <w:basedOn w:val="CommentText"/>
    <w:next w:val="CommentText"/>
    <w:link w:val="CommentSubjectChar"/>
    <w:uiPriority w:val="99"/>
    <w:semiHidden/>
    <w:unhideWhenUsed/>
    <w:rsid w:val="005046A7"/>
    <w:rPr>
      <w:b/>
      <w:bCs/>
    </w:rPr>
  </w:style>
  <w:style w:type="character" w:customStyle="1" w:styleId="CommentSubjectChar">
    <w:name w:val="Comment Subject Char"/>
    <w:basedOn w:val="CommentTextChar"/>
    <w:link w:val="CommentSubject"/>
    <w:uiPriority w:val="99"/>
    <w:semiHidden/>
    <w:rsid w:val="005046A7"/>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Joshua.Gehret@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