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C2EE3" w14:paraId="655630E6" w14:textId="77777777">
      <w:pPr>
        <w:jc w:val="center"/>
        <w:rPr>
          <w:b/>
        </w:rPr>
      </w:pPr>
      <w:r w:rsidRPr="0070224F">
        <w:rPr>
          <w:rFonts w:ascii="Times New Roman Bold" w:hAnsi="Times New Roman Bold"/>
          <w:b/>
          <w:kern w:val="0"/>
          <w:szCs w:val="22"/>
        </w:rPr>
        <w:t>Before</w:t>
      </w:r>
      <w:r>
        <w:rPr>
          <w:b/>
        </w:rPr>
        <w:t xml:space="preserve"> the</w:t>
      </w:r>
    </w:p>
    <w:p w:rsidR="00921803" w:rsidP="00921803" w14:paraId="369EC60A" w14:textId="77777777">
      <w:pPr>
        <w:pStyle w:val="StyleBoldCentered"/>
      </w:pPr>
      <w:r>
        <w:t>F</w:t>
      </w:r>
      <w:r>
        <w:rPr>
          <w:caps w:val="0"/>
        </w:rPr>
        <w:t>ederal Communications Commission</w:t>
      </w:r>
    </w:p>
    <w:p w:rsidR="004C2EE3" w:rsidP="00096D8C" w14:paraId="04204959" w14:textId="77777777">
      <w:pPr>
        <w:pStyle w:val="StyleBoldCentered"/>
      </w:pPr>
      <w:r>
        <w:rPr>
          <w:caps w:val="0"/>
        </w:rPr>
        <w:t>Washington, D.C. 20554</w:t>
      </w:r>
    </w:p>
    <w:p w:rsidR="004C2EE3" w:rsidP="0070224F" w14:paraId="65AA9B65" w14:textId="77777777"/>
    <w:p w:rsidR="004C2EE3" w:rsidP="0070224F" w14:paraId="5D185725" w14:textId="77777777"/>
    <w:tbl>
      <w:tblPr>
        <w:tblW w:w="0" w:type="auto"/>
        <w:tblLayout w:type="fixed"/>
        <w:tblLook w:val="0000"/>
      </w:tblPr>
      <w:tblGrid>
        <w:gridCol w:w="4698"/>
        <w:gridCol w:w="630"/>
        <w:gridCol w:w="4248"/>
      </w:tblGrid>
      <w:tr w14:paraId="142E0C53" w14:textId="77777777">
        <w:tblPrEx>
          <w:tblW w:w="0" w:type="auto"/>
          <w:tblLayout w:type="fixed"/>
          <w:tblLook w:val="0000"/>
        </w:tblPrEx>
        <w:tc>
          <w:tcPr>
            <w:tcW w:w="4698" w:type="dxa"/>
          </w:tcPr>
          <w:p w:rsidR="004C2EE3" w14:paraId="09D3FE09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 the Matter of</w:t>
            </w:r>
          </w:p>
          <w:p w:rsidR="004C2EE3" w14:paraId="24C55FB6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E27FAA" w:rsidRPr="00E27FAA" w:rsidP="00E27FAA" w14:paraId="7FEE7D64" w14:textId="4684509C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Upper C-</w:t>
            </w:r>
            <w:r w:rsidR="00977D2B">
              <w:rPr>
                <w:spacing w:val="-2"/>
              </w:rPr>
              <w:t>Band</w:t>
            </w:r>
            <w:r>
              <w:rPr>
                <w:spacing w:val="-2"/>
              </w:rPr>
              <w:t xml:space="preserve"> (3.98</w:t>
            </w:r>
            <w:r w:rsidR="0026553F">
              <w:rPr>
                <w:spacing w:val="-2"/>
              </w:rPr>
              <w:t>–</w:t>
            </w:r>
            <w:r>
              <w:rPr>
                <w:spacing w:val="-2"/>
              </w:rPr>
              <w:t>4.2 GHz)</w:t>
            </w:r>
          </w:p>
          <w:p w:rsidR="00E27FAA" w:rsidRPr="00E27FAA" w:rsidP="00E27FAA" w14:paraId="7B4D5771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4C2EE3" w:rsidRPr="007115F7" w:rsidP="00E27FAA" w14:paraId="42F584AF" w14:textId="5E378444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</w:tcPr>
          <w:p w:rsidR="004C2EE3" w14:paraId="5FF016EC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18AC4469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23C94078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7ABB0AA4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7494279E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5C1A9868" w14:textId="5B779A75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</w:tc>
        <w:tc>
          <w:tcPr>
            <w:tcW w:w="4248" w:type="dxa"/>
          </w:tcPr>
          <w:p w:rsidR="004C2EE3" w14:paraId="0355A2AE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4C2EE3" w14:paraId="074E98F9" w14:textId="77777777">
            <w:pPr>
              <w:pStyle w:val="TOAHeading"/>
              <w:tabs>
                <w:tab w:val="center" w:pos="4680"/>
                <w:tab w:val="clear" w:pos="9360"/>
              </w:tabs>
              <w:rPr>
                <w:spacing w:val="-2"/>
              </w:rPr>
            </w:pPr>
          </w:p>
          <w:p w:rsidR="003A75B3" w:rsidRPr="003A75B3" w:rsidP="003A75B3" w14:paraId="6E55BCB9" w14:textId="39415A6F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GN</w:t>
            </w:r>
            <w:r w:rsidRPr="003A75B3" w:rsidR="008E1544">
              <w:rPr>
                <w:spacing w:val="-2"/>
              </w:rPr>
              <w:t xml:space="preserve"> Docket No. </w:t>
            </w:r>
            <w:r w:rsidR="00456051">
              <w:rPr>
                <w:spacing w:val="-2"/>
              </w:rPr>
              <w:t>25</w:t>
            </w:r>
            <w:r w:rsidR="00FB3FF2">
              <w:rPr>
                <w:spacing w:val="-2"/>
              </w:rPr>
              <w:t>-</w:t>
            </w:r>
            <w:r w:rsidR="00456051">
              <w:rPr>
                <w:spacing w:val="-2"/>
              </w:rPr>
              <w:t>59</w:t>
            </w:r>
          </w:p>
          <w:p w:rsidR="003A75B3" w:rsidRPr="003A75B3" w:rsidP="003A75B3" w14:paraId="6A3604E2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3A75B3" w:rsidRPr="003A75B3" w:rsidP="003A75B3" w14:paraId="35663FB9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4C2EE3" w:rsidP="003A75B3" w14:paraId="6D4F3EED" w14:textId="12DA110D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</w:tc>
      </w:tr>
    </w:tbl>
    <w:p w:rsidR="00841AB1" w:rsidP="00F021FA" w14:paraId="7D7B671E" w14:textId="0C7075C7">
      <w:pPr>
        <w:pStyle w:val="StyleBoldCentered"/>
      </w:pPr>
      <w:r>
        <w:t>ORder</w:t>
      </w:r>
      <w:r w:rsidR="006855AC">
        <w:t xml:space="preserve"> GRANTING EXTENSION OF TIME</w:t>
      </w:r>
    </w:p>
    <w:p w:rsidR="004C2EE3" w14:paraId="022FE05D" w14:textId="77777777">
      <w:pPr>
        <w:tabs>
          <w:tab w:val="left" w:pos="-720"/>
        </w:tabs>
        <w:suppressAutoHyphens/>
        <w:spacing w:line="227" w:lineRule="auto"/>
        <w:rPr>
          <w:spacing w:val="-2"/>
        </w:rPr>
      </w:pPr>
    </w:p>
    <w:p w:rsidR="004C2EE3" w:rsidP="00133F79" w14:paraId="01BF0A02" w14:textId="18A24954">
      <w:pPr>
        <w:tabs>
          <w:tab w:val="left" w:pos="720"/>
          <w:tab w:val="right" w:pos="9360"/>
        </w:tabs>
        <w:suppressAutoHyphens/>
        <w:spacing w:line="227" w:lineRule="auto"/>
        <w:rPr>
          <w:spacing w:val="-2"/>
        </w:rPr>
      </w:pPr>
      <w:r>
        <w:rPr>
          <w:b/>
          <w:spacing w:val="-2"/>
        </w:rPr>
        <w:t xml:space="preserve">Adopted:  </w:t>
      </w:r>
      <w:r w:rsidR="00456051">
        <w:rPr>
          <w:b/>
          <w:spacing w:val="-2"/>
        </w:rPr>
        <w:t>Dec</w:t>
      </w:r>
      <w:r w:rsidR="004A046D">
        <w:rPr>
          <w:b/>
          <w:spacing w:val="-2"/>
        </w:rPr>
        <w:t xml:space="preserve">ember </w:t>
      </w:r>
      <w:r w:rsidR="00893D71">
        <w:rPr>
          <w:b/>
          <w:spacing w:val="-2"/>
        </w:rPr>
        <w:t>19</w:t>
      </w:r>
      <w:r w:rsidRPr="00A3286A" w:rsidR="00356510">
        <w:rPr>
          <w:b/>
          <w:spacing w:val="-2"/>
        </w:rPr>
        <w:t>, 202</w:t>
      </w:r>
      <w:r w:rsidR="00456051">
        <w:rPr>
          <w:b/>
          <w:spacing w:val="-2"/>
        </w:rPr>
        <w:t>5</w:t>
      </w:r>
      <w:r>
        <w:rPr>
          <w:b/>
          <w:spacing w:val="-2"/>
        </w:rPr>
        <w:tab/>
      </w:r>
      <w:r w:rsidR="00822CE0">
        <w:rPr>
          <w:b/>
          <w:spacing w:val="-2"/>
        </w:rPr>
        <w:t>Released</w:t>
      </w:r>
      <w:r>
        <w:rPr>
          <w:b/>
          <w:spacing w:val="-2"/>
        </w:rPr>
        <w:t>:</w:t>
      </w:r>
      <w:r w:rsidR="00822CE0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 w:rsidR="00456051">
        <w:rPr>
          <w:b/>
          <w:spacing w:val="-2"/>
        </w:rPr>
        <w:t>Dec</w:t>
      </w:r>
      <w:r w:rsidR="004A046D">
        <w:rPr>
          <w:b/>
          <w:spacing w:val="-2"/>
        </w:rPr>
        <w:t>ember</w:t>
      </w:r>
      <w:r w:rsidR="00E81D22">
        <w:rPr>
          <w:b/>
          <w:spacing w:val="-2"/>
        </w:rPr>
        <w:t xml:space="preserve"> </w:t>
      </w:r>
      <w:r w:rsidR="00893D71">
        <w:rPr>
          <w:b/>
          <w:spacing w:val="-2"/>
        </w:rPr>
        <w:t>19</w:t>
      </w:r>
      <w:r w:rsidRPr="00A3286A" w:rsidR="00356510">
        <w:rPr>
          <w:b/>
          <w:spacing w:val="-2"/>
        </w:rPr>
        <w:t>, 202</w:t>
      </w:r>
      <w:r w:rsidR="00456051">
        <w:rPr>
          <w:b/>
          <w:spacing w:val="-2"/>
        </w:rPr>
        <w:t>5</w:t>
      </w:r>
    </w:p>
    <w:p w:rsidR="00822CE0" w14:paraId="18EFA761" w14:textId="77777777"/>
    <w:p w:rsidR="004C2EE3" w:rsidP="001468DE" w14:paraId="3CF4E4A3" w14:textId="10229063">
      <w:pPr>
        <w:widowControl/>
        <w:rPr>
          <w:spacing w:val="-2"/>
        </w:rPr>
      </w:pPr>
      <w:r>
        <w:t xml:space="preserve">By </w:t>
      </w:r>
      <w:r w:rsidR="004E4A22">
        <w:t>the</w:t>
      </w:r>
      <w:r w:rsidR="002A2D2E">
        <w:t xml:space="preserve"> </w:t>
      </w:r>
      <w:r w:rsidR="00FE41CE">
        <w:t xml:space="preserve">Chief, </w:t>
      </w:r>
      <w:r w:rsidRPr="00AC3994" w:rsidR="00AC3994">
        <w:t>Wireless Telecommunications Bureau</w:t>
      </w:r>
      <w:r w:rsidR="000E19DA">
        <w:rPr>
          <w:spacing w:val="-2"/>
        </w:rPr>
        <w:t>:</w:t>
      </w:r>
    </w:p>
    <w:p w:rsidR="00822CE0" w:rsidP="001468DE" w14:paraId="19F42078" w14:textId="77777777">
      <w:pPr>
        <w:widowControl/>
        <w:rPr>
          <w:spacing w:val="-2"/>
        </w:rPr>
      </w:pPr>
    </w:p>
    <w:p w:rsidR="00412FC5" w:rsidP="001468DE" w14:paraId="458E6865" w14:textId="67376A1D">
      <w:pPr>
        <w:pStyle w:val="ParaNum"/>
        <w:widowControl/>
      </w:pPr>
      <w:r>
        <w:t>By</w:t>
      </w:r>
      <w:r w:rsidRPr="00FD5055" w:rsidR="004F2DA4">
        <w:t xml:space="preserve"> this Order, </w:t>
      </w:r>
      <w:r w:rsidRPr="00AE1FBC" w:rsidR="00AE1FBC">
        <w:t xml:space="preserve">the Wireless Telecommunications Bureau (WTB) of the Federal </w:t>
      </w:r>
      <w:r w:rsidR="004619A4">
        <w:t>C</w:t>
      </w:r>
      <w:r w:rsidRPr="00AE1FBC" w:rsidR="00AE1FBC">
        <w:t>ommunications Commission (Commission or FCC)</w:t>
      </w:r>
      <w:r w:rsidR="00AE1FBC">
        <w:t xml:space="preserve"> </w:t>
      </w:r>
      <w:r w:rsidRPr="00FD5055" w:rsidR="004F2DA4">
        <w:t>grant</w:t>
      </w:r>
      <w:r w:rsidR="0004492D">
        <w:t>s</w:t>
      </w:r>
      <w:r w:rsidR="00B25D4A">
        <w:t xml:space="preserve"> </w:t>
      </w:r>
      <w:r w:rsidR="00493F6F">
        <w:t xml:space="preserve">a </w:t>
      </w:r>
      <w:r w:rsidR="00212D59">
        <w:t>fifteen</w:t>
      </w:r>
      <w:r>
        <w:t xml:space="preserve"> </w:t>
      </w:r>
      <w:r w:rsidR="00493F6F">
        <w:t xml:space="preserve">day extension of the comment and reply comment dates </w:t>
      </w:r>
      <w:r>
        <w:t>in the above captioned proceeding.</w:t>
      </w:r>
      <w:r w:rsidR="00493F6F">
        <w:t xml:space="preserve"> </w:t>
      </w:r>
      <w:r w:rsidR="00CB4792">
        <w:t xml:space="preserve"> </w:t>
      </w:r>
    </w:p>
    <w:p w:rsidR="00D83B93" w:rsidP="001468DE" w14:paraId="2E7888AB" w14:textId="3B83DED0">
      <w:pPr>
        <w:pStyle w:val="ParaNum"/>
        <w:widowControl/>
      </w:pPr>
      <w:r>
        <w:t xml:space="preserve">On </w:t>
      </w:r>
      <w:r w:rsidR="000E5697">
        <w:t xml:space="preserve">November </w:t>
      </w:r>
      <w:r w:rsidR="00C60C3D">
        <w:t>21</w:t>
      </w:r>
      <w:r w:rsidR="00D10A82">
        <w:t xml:space="preserve">, </w:t>
      </w:r>
      <w:r w:rsidR="004C2DEE">
        <w:t>202</w:t>
      </w:r>
      <w:r w:rsidR="00C60C3D">
        <w:t>5</w:t>
      </w:r>
      <w:r w:rsidR="004C2DEE">
        <w:t xml:space="preserve">, the </w:t>
      </w:r>
      <w:r w:rsidR="00332147">
        <w:t xml:space="preserve">Commission </w:t>
      </w:r>
      <w:r w:rsidR="00154039">
        <w:t xml:space="preserve">released </w:t>
      </w:r>
      <w:r w:rsidR="00332147">
        <w:t xml:space="preserve">a </w:t>
      </w:r>
      <w:r w:rsidRPr="00362937" w:rsidR="00861C98">
        <w:t xml:space="preserve">Notice of </w:t>
      </w:r>
      <w:r w:rsidRPr="00362937" w:rsidR="00332147">
        <w:t>Proposed Rulemaking</w:t>
      </w:r>
      <w:r w:rsidR="002A7B1A">
        <w:t xml:space="preserve"> </w:t>
      </w:r>
      <w:r w:rsidR="00427D66">
        <w:t>(</w:t>
      </w:r>
      <w:r w:rsidRPr="00303665" w:rsidR="00F22B6A">
        <w:t>NPRM</w:t>
      </w:r>
      <w:r w:rsidR="00427D66">
        <w:t>)</w:t>
      </w:r>
      <w:r w:rsidRPr="00C66717" w:rsidR="00427D66">
        <w:rPr>
          <w:i/>
          <w:iCs/>
        </w:rPr>
        <w:t xml:space="preserve"> </w:t>
      </w:r>
      <w:r w:rsidR="002A7B1A">
        <w:t xml:space="preserve">that </w:t>
      </w:r>
      <w:r w:rsidR="00F156CB">
        <w:t xml:space="preserve">sought comment </w:t>
      </w:r>
      <w:r w:rsidR="00BF3D91">
        <w:t xml:space="preserve">on </w:t>
      </w:r>
      <w:r w:rsidR="00475640">
        <w:t xml:space="preserve">proposals to further expand the ecosystem for next generation wireless services </w:t>
      </w:r>
      <w:r w:rsidR="00BE1D1F">
        <w:t>in the Upper C-band (3.98</w:t>
      </w:r>
      <w:r w:rsidR="0026553F">
        <w:t>–</w:t>
      </w:r>
      <w:r w:rsidR="00BE1D1F">
        <w:t>4.2 GHz) as directed by Congress</w:t>
      </w:r>
      <w:r w:rsidR="00160269">
        <w:t xml:space="preserve"> in the One Big Beaut</w:t>
      </w:r>
      <w:r w:rsidR="000461D7">
        <w:t>i</w:t>
      </w:r>
      <w:r w:rsidR="00160269">
        <w:t>ful Bill Act (OBBB Act)</w:t>
      </w:r>
      <w:r w:rsidR="00C66717">
        <w:t>.</w:t>
      </w:r>
      <w:r>
        <w:rPr>
          <w:rStyle w:val="FootnoteReference"/>
        </w:rPr>
        <w:footnoteReference w:id="3"/>
      </w:r>
      <w:r w:rsidR="00173107">
        <w:t xml:space="preserve">  </w:t>
      </w:r>
      <w:r w:rsidR="00676E26">
        <w:t>Comments in response to the NPRM are due</w:t>
      </w:r>
      <w:r w:rsidR="00DE21A3">
        <w:t xml:space="preserve"> </w:t>
      </w:r>
      <w:r w:rsidR="000461D7">
        <w:t>January</w:t>
      </w:r>
      <w:r w:rsidR="00F05425">
        <w:t xml:space="preserve"> </w:t>
      </w:r>
      <w:r w:rsidR="000461D7">
        <w:t>5</w:t>
      </w:r>
      <w:r w:rsidRPr="00B62CB2" w:rsidR="00B62CB2">
        <w:t>, 202</w:t>
      </w:r>
      <w:r w:rsidR="000461D7">
        <w:t>6</w:t>
      </w:r>
      <w:r w:rsidR="008D5AAE">
        <w:t>,</w:t>
      </w:r>
      <w:r w:rsidR="00A93730">
        <w:t xml:space="preserve"> and</w:t>
      </w:r>
      <w:r w:rsidR="00DE21A3">
        <w:t xml:space="preserve"> </w:t>
      </w:r>
      <w:r w:rsidR="00676E26">
        <w:t xml:space="preserve">reply comments are due </w:t>
      </w:r>
      <w:r w:rsidR="005E43D4">
        <w:t>February</w:t>
      </w:r>
      <w:r w:rsidR="00F05425">
        <w:t xml:space="preserve"> </w:t>
      </w:r>
      <w:r w:rsidR="005E43D4">
        <w:t>3</w:t>
      </w:r>
      <w:r w:rsidRPr="00B62CB2" w:rsidR="00B62CB2">
        <w:t>, 202</w:t>
      </w:r>
      <w:r w:rsidR="005E43D4">
        <w:t>6</w:t>
      </w:r>
      <w:r w:rsidRPr="00B62CB2" w:rsidR="00B62CB2">
        <w:t>.</w:t>
      </w:r>
      <w:r>
        <w:rPr>
          <w:rStyle w:val="FootnoteReference"/>
        </w:rPr>
        <w:footnoteReference w:id="4"/>
      </w:r>
    </w:p>
    <w:p w:rsidR="00C624E1" w:rsidP="001468DE" w14:paraId="44AE1557" w14:textId="6DED3953">
      <w:pPr>
        <w:pStyle w:val="ParaNum"/>
        <w:widowControl/>
      </w:pPr>
      <w:r w:rsidRPr="00E745D4">
        <w:t xml:space="preserve">As set forth in </w:t>
      </w:r>
      <w:r w:rsidR="005967D6">
        <w:t>s</w:t>
      </w:r>
      <w:r w:rsidRPr="00E745D4">
        <w:t>ection 1.46 of the Commission’s rules, the Commission does not routinely grant extensions of time for filing comments</w:t>
      </w:r>
      <w:r w:rsidR="00CB4488">
        <w:t>.</w:t>
      </w:r>
      <w:r>
        <w:rPr>
          <w:sz w:val="20"/>
          <w:vertAlign w:val="superscript"/>
        </w:rPr>
        <w:footnoteReference w:id="5"/>
      </w:r>
      <w:r w:rsidR="0056702D">
        <w:t xml:space="preserve">  </w:t>
      </w:r>
      <w:r w:rsidR="00B24178">
        <w:t>In this case, h</w:t>
      </w:r>
      <w:r>
        <w:t xml:space="preserve">owever, </w:t>
      </w:r>
      <w:r w:rsidR="00B24178">
        <w:t xml:space="preserve">we </w:t>
      </w:r>
      <w:r w:rsidR="00CF23BA">
        <w:t>believe</w:t>
      </w:r>
      <w:r w:rsidR="00B24178">
        <w:t xml:space="preserve"> that </w:t>
      </w:r>
      <w:r w:rsidR="00111743">
        <w:t xml:space="preserve">a brief extension </w:t>
      </w:r>
      <w:r w:rsidR="00F63513">
        <w:t>will</w:t>
      </w:r>
      <w:r w:rsidR="00DC18BD">
        <w:t xml:space="preserve"> </w:t>
      </w:r>
      <w:r w:rsidR="00F43FC5">
        <w:t>help</w:t>
      </w:r>
      <w:r w:rsidR="00DC18BD">
        <w:t xml:space="preserve"> commenters to </w:t>
      </w:r>
      <w:r w:rsidR="00F63513">
        <w:t>develop more comprehensive</w:t>
      </w:r>
      <w:r w:rsidR="00337A24">
        <w:t xml:space="preserve"> response</w:t>
      </w:r>
      <w:r w:rsidR="00F63513">
        <w:t>s</w:t>
      </w:r>
      <w:r w:rsidR="00337A24">
        <w:t xml:space="preserve"> to </w:t>
      </w:r>
      <w:r w:rsidR="00DC18BD">
        <w:t xml:space="preserve">the </w:t>
      </w:r>
      <w:r w:rsidR="00C7534F">
        <w:t>complex</w:t>
      </w:r>
      <w:r w:rsidR="003F469F">
        <w:t xml:space="preserve"> </w:t>
      </w:r>
      <w:r w:rsidR="00F4244F">
        <w:t>technical, legal, and policy</w:t>
      </w:r>
      <w:r w:rsidR="008C331F">
        <w:t xml:space="preserve"> </w:t>
      </w:r>
      <w:r w:rsidR="00DC18BD">
        <w:t xml:space="preserve">issues presented in the </w:t>
      </w:r>
      <w:r w:rsidRPr="007E7BD6" w:rsidR="007E7BD6">
        <w:t>NPRM</w:t>
      </w:r>
      <w:r w:rsidR="00111743">
        <w:t xml:space="preserve"> without jeopardizing the Commission’s ability to satisfy its</w:t>
      </w:r>
      <w:r w:rsidR="00CF23BA">
        <w:t xml:space="preserve"> </w:t>
      </w:r>
      <w:r w:rsidR="00A62D8C">
        <w:t xml:space="preserve">legislative remit to </w:t>
      </w:r>
      <w:r w:rsidR="003E3ECC">
        <w:t xml:space="preserve">complete a system of competitive </w:t>
      </w:r>
      <w:r w:rsidR="00CF66E1">
        <w:t xml:space="preserve">bidding in the Upper C-band </w:t>
      </w:r>
      <w:r w:rsidR="000377D2">
        <w:t>by July 2027.</w:t>
      </w:r>
      <w:r>
        <w:rPr>
          <w:rStyle w:val="FootnoteReference"/>
        </w:rPr>
        <w:footnoteReference w:id="6"/>
      </w:r>
      <w:r w:rsidR="000377D2">
        <w:t xml:space="preserve">  </w:t>
      </w:r>
      <w:r w:rsidR="00877DA7">
        <w:t xml:space="preserve">Given the importance of </w:t>
      </w:r>
      <w:r w:rsidR="00E20281">
        <w:t>balancing</w:t>
      </w:r>
      <w:r w:rsidR="00205844">
        <w:t xml:space="preserve"> these equities</w:t>
      </w:r>
      <w:r w:rsidR="00877DA7">
        <w:t>,</w:t>
      </w:r>
      <w:r w:rsidR="00CF23BA">
        <w:t xml:space="preserve"> </w:t>
      </w:r>
      <w:r w:rsidR="00877DA7">
        <w:t xml:space="preserve">we find </w:t>
      </w:r>
      <w:r w:rsidRPr="00AB2774" w:rsidR="00AB2774">
        <w:t xml:space="preserve">there is good cause </w:t>
      </w:r>
      <w:r w:rsidR="00717667">
        <w:t xml:space="preserve">to </w:t>
      </w:r>
      <w:r w:rsidR="000B38F9">
        <w:t>extend the</w:t>
      </w:r>
      <w:r w:rsidR="00543661">
        <w:t xml:space="preserve"> </w:t>
      </w:r>
      <w:r w:rsidR="000B38F9">
        <w:t xml:space="preserve">deadlines for comments and replies for a period of </w:t>
      </w:r>
      <w:r w:rsidR="00212D59">
        <w:t>fifteen</w:t>
      </w:r>
      <w:r w:rsidR="00E303AB">
        <w:t xml:space="preserve"> days</w:t>
      </w:r>
      <w:r w:rsidR="007B26ED">
        <w:t xml:space="preserve">. </w:t>
      </w:r>
    </w:p>
    <w:p w:rsidR="000342AA" w:rsidP="00F5723D" w14:paraId="4FDE1ADF" w14:textId="3D2730A4">
      <w:pPr>
        <w:pStyle w:val="ParaNum"/>
        <w:keepNext/>
        <w:widowControl/>
      </w:pPr>
      <w:r w:rsidRPr="003510E2">
        <w:t xml:space="preserve">Accordingly, IT IS ORDERED that, pursuant to </w:t>
      </w:r>
      <w:r w:rsidR="005967D6">
        <w:t>s</w:t>
      </w:r>
      <w:r w:rsidRPr="003510E2">
        <w:t xml:space="preserve">ection 4(i) of the Communications Act of 1934, as amended, 47 U.S.C. § 154(i), and </w:t>
      </w:r>
      <w:r w:rsidR="005967D6">
        <w:t>s</w:t>
      </w:r>
      <w:r w:rsidRPr="003510E2">
        <w:t xml:space="preserve">ections </w:t>
      </w:r>
      <w:r w:rsidRPr="00426345">
        <w:t>0.</w:t>
      </w:r>
      <w:r w:rsidRPr="00426345" w:rsidR="00881820">
        <w:t xml:space="preserve">131, </w:t>
      </w:r>
      <w:r w:rsidRPr="00426345" w:rsidR="004619A4">
        <w:t xml:space="preserve">0.204, </w:t>
      </w:r>
      <w:r w:rsidRPr="00426345" w:rsidR="00881820">
        <w:t>0.331,</w:t>
      </w:r>
      <w:r w:rsidRPr="003510E2">
        <w:t xml:space="preserve"> and 1.46 of the Commission’s rules, 47 CFR §§ </w:t>
      </w:r>
      <w:r w:rsidRPr="00426345">
        <w:t>0.</w:t>
      </w:r>
      <w:r w:rsidRPr="00426345" w:rsidR="00881820">
        <w:t>131</w:t>
      </w:r>
      <w:r w:rsidRPr="00426345">
        <w:t xml:space="preserve">, </w:t>
      </w:r>
      <w:r w:rsidRPr="00426345" w:rsidR="00426345">
        <w:t xml:space="preserve">0.204, </w:t>
      </w:r>
      <w:r w:rsidRPr="00426345">
        <w:t>0.</w:t>
      </w:r>
      <w:r w:rsidRPr="00426345" w:rsidR="00881820">
        <w:t>331</w:t>
      </w:r>
      <w:r w:rsidRPr="003510E2">
        <w:t xml:space="preserve">, and 1.46, the </w:t>
      </w:r>
      <w:r w:rsidRPr="005D3F9E" w:rsidR="00111743">
        <w:t xml:space="preserve">dates to file comments and reply comments in this proceeding ARE EXTENDED </w:t>
      </w:r>
      <w:r w:rsidRPr="00F5723D" w:rsidR="00111743">
        <w:rPr>
          <w:bCs/>
        </w:rPr>
        <w:t xml:space="preserve">to January </w:t>
      </w:r>
      <w:r w:rsidRPr="00F5723D" w:rsidR="00402F13">
        <w:rPr>
          <w:bCs/>
        </w:rPr>
        <w:t>20</w:t>
      </w:r>
      <w:r w:rsidRPr="00F5723D" w:rsidR="00111743">
        <w:rPr>
          <w:bCs/>
        </w:rPr>
        <w:t>, 2026, and February 1</w:t>
      </w:r>
      <w:r w:rsidRPr="00F5723D" w:rsidR="00212D59">
        <w:rPr>
          <w:bCs/>
        </w:rPr>
        <w:t>8</w:t>
      </w:r>
      <w:r w:rsidRPr="00F5723D" w:rsidR="00111743">
        <w:rPr>
          <w:bCs/>
        </w:rPr>
        <w:t>, 2026</w:t>
      </w:r>
      <w:r w:rsidR="00111743">
        <w:t xml:space="preserve">, respectively.  </w:t>
      </w:r>
    </w:p>
    <w:p w:rsidR="008E3E36" w:rsidP="00F5723D" w14:paraId="6376982F" w14:textId="1FCE7EAB">
      <w:pPr>
        <w:keepNext/>
        <w:ind w:left="3600" w:firstLine="720"/>
      </w:pPr>
      <w:r w:rsidRPr="008E3E36">
        <w:t>FEDERAL COMMUNICATIONS COMMISSION</w:t>
      </w:r>
    </w:p>
    <w:p w:rsidR="00865F5C" w:rsidP="00B25D4A" w14:paraId="3E1B9AAE" w14:textId="77777777">
      <w:pPr>
        <w:ind w:left="3600" w:firstLine="720"/>
      </w:pPr>
    </w:p>
    <w:p w:rsidR="00865F5C" w:rsidP="00B25D4A" w14:paraId="4BD57ACE" w14:textId="77777777">
      <w:pPr>
        <w:ind w:left="3600" w:firstLine="720"/>
      </w:pPr>
    </w:p>
    <w:p w:rsidR="00F92485" w:rsidP="008E3E36" w14:paraId="5E4B1F34" w14:textId="77777777">
      <w:pPr>
        <w:ind w:left="4320"/>
      </w:pPr>
    </w:p>
    <w:p w:rsidR="008E1544" w:rsidP="008E3E36" w14:paraId="17BF41C0" w14:textId="77777777">
      <w:pPr>
        <w:ind w:left="4320"/>
      </w:pPr>
    </w:p>
    <w:p w:rsidR="008E1544" w:rsidP="008E3E36" w14:paraId="4BAA54B3" w14:textId="77777777">
      <w:pPr>
        <w:ind w:left="4320"/>
      </w:pPr>
    </w:p>
    <w:p w:rsidR="008E1544" w:rsidP="008E3E36" w14:paraId="336EE8D6" w14:textId="77777777">
      <w:pPr>
        <w:ind w:left="4320"/>
      </w:pPr>
      <w:r w:rsidRPr="008E1544">
        <w:t xml:space="preserve">Joel Taubenblatt </w:t>
      </w:r>
    </w:p>
    <w:p w:rsidR="008E1544" w:rsidP="008E3E36" w14:paraId="78CD7A88" w14:textId="608041F3">
      <w:pPr>
        <w:ind w:left="4320"/>
      </w:pPr>
      <w:r w:rsidRPr="008E1544">
        <w:t>Chief, Wireless Telecommunications Bureau</w:t>
      </w:r>
    </w:p>
    <w:p w:rsidR="008E1544" w:rsidP="0026553F" w14:paraId="7B3D0D28" w14:textId="77777777"/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232C3" w14:paraId="45E30567" w14:textId="77777777">
      <w:r>
        <w:separator/>
      </w:r>
    </w:p>
  </w:endnote>
  <w:endnote w:type="continuationSeparator" w:id="1">
    <w:p w:rsidR="008232C3" w14:paraId="5A237E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8CE15E8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752B48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F5723D" w14:paraId="7CDF4816" w14:textId="3C51C6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7EE4" w14:paraId="63BF4FB4" w14:textId="59170555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232C3" w14:paraId="2771E81E" w14:textId="77777777">
      <w:r>
        <w:separator/>
      </w:r>
    </w:p>
  </w:footnote>
  <w:footnote w:type="continuationSeparator" w:id="1">
    <w:p w:rsidR="008232C3" w:rsidP="00C721AC" w14:paraId="27BF7810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8232C3" w:rsidP="00C721AC" w14:paraId="4BB7B62F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BD4600" w:rsidRPr="00427D66" w14:paraId="15A89B09" w14:textId="3AE858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3242" w:rsidR="00143242">
        <w:rPr>
          <w:i/>
          <w:iCs/>
        </w:rPr>
        <w:t>See</w:t>
      </w:r>
      <w:r w:rsidR="00143242">
        <w:t xml:space="preserve"> </w:t>
      </w:r>
      <w:r w:rsidR="00815EF3">
        <w:rPr>
          <w:i/>
          <w:iCs/>
        </w:rPr>
        <w:t>Upper C-band (3.98</w:t>
      </w:r>
      <w:r w:rsidR="0026553F">
        <w:rPr>
          <w:i/>
          <w:iCs/>
        </w:rPr>
        <w:t>–</w:t>
      </w:r>
      <w:r w:rsidR="00815EF3">
        <w:rPr>
          <w:i/>
          <w:iCs/>
        </w:rPr>
        <w:t>4.2 GHz)</w:t>
      </w:r>
      <w:r w:rsidRPr="00143242" w:rsidR="00143242">
        <w:rPr>
          <w:i/>
          <w:iCs/>
        </w:rPr>
        <w:t xml:space="preserve">, </w:t>
      </w:r>
      <w:r w:rsidRPr="00143242" w:rsidR="00143242">
        <w:t xml:space="preserve">GN Docket No. </w:t>
      </w:r>
      <w:r w:rsidR="00815EF3">
        <w:t>25-59</w:t>
      </w:r>
      <w:r w:rsidRPr="00143242" w:rsidR="00143242">
        <w:t xml:space="preserve">, Notice of Proposed Rulemaking (rel. </w:t>
      </w:r>
      <w:r w:rsidR="00815EF3">
        <w:t>Nov</w:t>
      </w:r>
      <w:r w:rsidRPr="00143242" w:rsidR="00143242">
        <w:t xml:space="preserve">. </w:t>
      </w:r>
      <w:r w:rsidR="00815EF3">
        <w:t>21</w:t>
      </w:r>
      <w:r w:rsidRPr="00143242" w:rsidR="00143242">
        <w:t>, 202</w:t>
      </w:r>
      <w:r w:rsidR="00815EF3">
        <w:t>5</w:t>
      </w:r>
      <w:r w:rsidRPr="00143242" w:rsidR="00143242">
        <w:t>)</w:t>
      </w:r>
      <w:r w:rsidRPr="00143242" w:rsidR="00143242">
        <w:rPr>
          <w:i/>
          <w:iCs/>
        </w:rPr>
        <w:t xml:space="preserve"> </w:t>
      </w:r>
      <w:r w:rsidRPr="00143242" w:rsidR="00143242">
        <w:t>(NPRM)</w:t>
      </w:r>
      <w:r w:rsidR="00815EF3">
        <w:t xml:space="preserve">; Pub. L. No. 119-21, § </w:t>
      </w:r>
      <w:r w:rsidR="009E1492">
        <w:t xml:space="preserve">40002(b)(2), 139 Stat. 72 (2025) (OBBB Act).  The law </w:t>
      </w:r>
      <w:r w:rsidR="009E1492">
        <w:t>as</w:t>
      </w:r>
      <w:r w:rsidR="009E1492">
        <w:t xml:space="preserve"> passed does not have an express “short title” but while under debate commonly was known as the One Big Beautiful Bill Act.</w:t>
      </w:r>
      <w:r w:rsidR="00143242">
        <w:t>.</w:t>
      </w:r>
    </w:p>
  </w:footnote>
  <w:footnote w:id="4">
    <w:p w:rsidR="00DE21A3" w14:paraId="63AE55B0" w14:textId="27D297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C1F7E">
        <w:t xml:space="preserve">Federal Communications Commission, </w:t>
      </w:r>
      <w:r w:rsidR="00C91388">
        <w:t>In the Matter of Upper C-band (3.98</w:t>
      </w:r>
      <w:r w:rsidR="0026553F">
        <w:t>–</w:t>
      </w:r>
      <w:r w:rsidR="00C91388">
        <w:t>4.2 GHz)</w:t>
      </w:r>
      <w:r w:rsidR="00395EB3">
        <w:t xml:space="preserve">, </w:t>
      </w:r>
      <w:r w:rsidR="0065007B">
        <w:t>90</w:t>
      </w:r>
      <w:r w:rsidRPr="00395EB3" w:rsidR="00395EB3">
        <w:t xml:space="preserve"> F</w:t>
      </w:r>
      <w:r w:rsidR="00E343CC">
        <w:t>ed. Reg.</w:t>
      </w:r>
      <w:r w:rsidRPr="00395EB3" w:rsidR="00395EB3">
        <w:t xml:space="preserve"> </w:t>
      </w:r>
      <w:r w:rsidR="0065007B">
        <w:t>56076</w:t>
      </w:r>
      <w:r w:rsidR="00E343CC">
        <w:t xml:space="preserve"> (</w:t>
      </w:r>
      <w:r w:rsidR="00A81708">
        <w:t>D</w:t>
      </w:r>
      <w:r w:rsidR="0065007B">
        <w:t>ec</w:t>
      </w:r>
      <w:r w:rsidR="00E343CC">
        <w:t xml:space="preserve">. </w:t>
      </w:r>
      <w:r w:rsidR="00A81708">
        <w:t>5</w:t>
      </w:r>
      <w:r w:rsidR="00E343CC">
        <w:t>, 202</w:t>
      </w:r>
      <w:r w:rsidR="00A81708">
        <w:t>5</w:t>
      </w:r>
      <w:r w:rsidR="00E343CC">
        <w:t>)</w:t>
      </w:r>
      <w:r w:rsidR="00427D66">
        <w:t xml:space="preserve">. </w:t>
      </w:r>
      <w:r w:rsidR="00256B98">
        <w:t xml:space="preserve"> </w:t>
      </w:r>
    </w:p>
  </w:footnote>
  <w:footnote w:id="5">
    <w:p w:rsidR="00280AB8" w:rsidP="00280AB8" w14:paraId="692D564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3B4D">
        <w:t>47 CFR § 1.46.</w:t>
      </w:r>
    </w:p>
  </w:footnote>
  <w:footnote w:id="6">
    <w:p w:rsidR="000377D2" w14:paraId="0AE38B73" w14:textId="4CB5EA1F">
      <w:pPr>
        <w:pStyle w:val="FootnoteText"/>
      </w:pPr>
      <w:r>
        <w:rPr>
          <w:rStyle w:val="FootnoteReference"/>
        </w:rPr>
        <w:footnoteRef/>
      </w:r>
      <w:r>
        <w:t xml:space="preserve"> OBBB Act, </w:t>
      </w:r>
      <w:r w:rsidR="005D3C37">
        <w:t>§ 40002(b)(2)</w:t>
      </w:r>
      <w:r w:rsidR="00ED0249">
        <w:t xml:space="preserve">; </w:t>
      </w:r>
      <w:r w:rsidRPr="00ED0249" w:rsidR="00ED0249">
        <w:rPr>
          <w:i/>
          <w:iCs/>
        </w:rPr>
        <w:t>s</w:t>
      </w:r>
      <w:r w:rsidRPr="00CF23BA" w:rsidR="00ED0249">
        <w:rPr>
          <w:i/>
          <w:iCs/>
        </w:rPr>
        <w:t xml:space="preserve">ee </w:t>
      </w:r>
      <w:r w:rsidRPr="00CF23BA" w:rsidR="00ED0249">
        <w:t>Joint Request for a 30-Day Comment Period Extension In the Matter of Upper C-Band (3.98</w:t>
      </w:r>
      <w:r w:rsidR="0026553F">
        <w:t>–</w:t>
      </w:r>
      <w:r w:rsidRPr="00CF23BA" w:rsidR="00ED0249">
        <w:t>4.2 GHz), Aerospace Industries Association et al., GN Docket No. 25-59 (filed Dec. 5, 2025); Request for a 30-Day Comment Period Extension, National Association of Broadcasters, GN Docket No. 25-59 (filed Dec. 9, 2025)</w:t>
      </w:r>
      <w:r w:rsidR="00BF4E92">
        <w:t>; Comments of Public Interest Stakeholders in Support of Motion for Extension of Time, Public Knowledge, et al., GN Docket No. 25-59 (filed Dec. 11, 2025); Request for Extension of Comment Period, North American Spectrum Alliance, GN Docket No. 25-59 (filed Dec. 12, 2025).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591266A5" w14:textId="175E0F5C">
    <w:pPr>
      <w:pStyle w:val="Header"/>
      <w:rPr>
        <w:b w:val="0"/>
      </w:rPr>
    </w:pPr>
    <w:r>
      <w:tab/>
      <w:t>Federal Communications Commission</w:t>
    </w:r>
    <w:r>
      <w:tab/>
    </w:r>
    <w:r w:rsidR="00FF7F97">
      <w:t>DA 2</w:t>
    </w:r>
    <w:r w:rsidR="00ED0249">
      <w:t>5</w:t>
    </w:r>
    <w:r w:rsidR="00FF7F97">
      <w:t>-</w:t>
    </w:r>
    <w:r w:rsidRPr="005B24E7" w:rsidR="005B24E7">
      <w:t>1087</w:t>
    </w:r>
  </w:p>
  <w:p w:rsidR="00D25FB5" w14:paraId="31F89C63" w14:textId="11D9572A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D25FB5" w14:paraId="299450A4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76F33194" w14:textId="6A3A2462">
    <w:pPr>
      <w:pStyle w:val="Header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0" b="0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  <w:r>
      <w:tab/>
      <w:t>Federal Communications Commission</w:t>
    </w:r>
    <w:r>
      <w:tab/>
    </w:r>
    <w:r w:rsidRPr="00A3286A" w:rsidR="00356510">
      <w:rPr>
        <w:spacing w:val="-2"/>
      </w:rPr>
      <w:t>DA 2</w:t>
    </w:r>
    <w:r w:rsidR="00456051">
      <w:rPr>
        <w:spacing w:val="-2"/>
      </w:rPr>
      <w:t>5</w:t>
    </w:r>
    <w:r w:rsidR="005B24E7">
      <w:rPr>
        <w:spacing w:val="-2"/>
      </w:rPr>
      <w:t>-</w:t>
    </w:r>
    <w:r w:rsidRPr="005B24E7" w:rsidR="005B24E7">
      <w:rPr>
        <w:spacing w:val="-2"/>
      </w:rPr>
      <w:t>1087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3410025">
    <w:abstractNumId w:val="1"/>
  </w:num>
  <w:num w:numId="2" w16cid:durableId="2074619021">
    <w:abstractNumId w:val="5"/>
  </w:num>
  <w:num w:numId="3" w16cid:durableId="832530482">
    <w:abstractNumId w:val="3"/>
  </w:num>
  <w:num w:numId="4" w16cid:durableId="2071152988">
    <w:abstractNumId w:val="4"/>
  </w:num>
  <w:num w:numId="5" w16cid:durableId="1350180050">
    <w:abstractNumId w:val="2"/>
  </w:num>
  <w:num w:numId="6" w16cid:durableId="195848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attachedTemplate r:id="rId1"/>
  <w:linkStyl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97"/>
    <w:rsid w:val="00000D8F"/>
    <w:rsid w:val="000028CF"/>
    <w:rsid w:val="000037D3"/>
    <w:rsid w:val="00005DBD"/>
    <w:rsid w:val="000169BD"/>
    <w:rsid w:val="000227BB"/>
    <w:rsid w:val="000342AA"/>
    <w:rsid w:val="00036039"/>
    <w:rsid w:val="000377D2"/>
    <w:rsid w:val="00037F90"/>
    <w:rsid w:val="00042544"/>
    <w:rsid w:val="0004492D"/>
    <w:rsid w:val="000461D7"/>
    <w:rsid w:val="00053204"/>
    <w:rsid w:val="00053D85"/>
    <w:rsid w:val="000615ED"/>
    <w:rsid w:val="0006765E"/>
    <w:rsid w:val="00070DD4"/>
    <w:rsid w:val="000713A8"/>
    <w:rsid w:val="00086438"/>
    <w:rsid w:val="000875BF"/>
    <w:rsid w:val="00087EB1"/>
    <w:rsid w:val="000907E1"/>
    <w:rsid w:val="00096604"/>
    <w:rsid w:val="00096D8C"/>
    <w:rsid w:val="000A1116"/>
    <w:rsid w:val="000A35EF"/>
    <w:rsid w:val="000A74DD"/>
    <w:rsid w:val="000B1240"/>
    <w:rsid w:val="000B20AB"/>
    <w:rsid w:val="000B23E8"/>
    <w:rsid w:val="000B2887"/>
    <w:rsid w:val="000B38F9"/>
    <w:rsid w:val="000B42CC"/>
    <w:rsid w:val="000B634F"/>
    <w:rsid w:val="000C01E6"/>
    <w:rsid w:val="000C0B65"/>
    <w:rsid w:val="000C11D2"/>
    <w:rsid w:val="000D4D70"/>
    <w:rsid w:val="000E05FE"/>
    <w:rsid w:val="000E1182"/>
    <w:rsid w:val="000E19DA"/>
    <w:rsid w:val="000E1A9E"/>
    <w:rsid w:val="000E3D42"/>
    <w:rsid w:val="000E5697"/>
    <w:rsid w:val="000F68BA"/>
    <w:rsid w:val="001006C4"/>
    <w:rsid w:val="00102C86"/>
    <w:rsid w:val="0010313C"/>
    <w:rsid w:val="001040B4"/>
    <w:rsid w:val="001069D3"/>
    <w:rsid w:val="00111743"/>
    <w:rsid w:val="00120A0E"/>
    <w:rsid w:val="00122BD5"/>
    <w:rsid w:val="00130555"/>
    <w:rsid w:val="00133F79"/>
    <w:rsid w:val="00141784"/>
    <w:rsid w:val="00141F3A"/>
    <w:rsid w:val="00143242"/>
    <w:rsid w:val="00143A9E"/>
    <w:rsid w:val="00144D27"/>
    <w:rsid w:val="001468DE"/>
    <w:rsid w:val="00154039"/>
    <w:rsid w:val="00160269"/>
    <w:rsid w:val="00162496"/>
    <w:rsid w:val="00165398"/>
    <w:rsid w:val="0016614F"/>
    <w:rsid w:val="00166D81"/>
    <w:rsid w:val="00173107"/>
    <w:rsid w:val="001759B7"/>
    <w:rsid w:val="00177A33"/>
    <w:rsid w:val="00180AB9"/>
    <w:rsid w:val="0019129B"/>
    <w:rsid w:val="00191F58"/>
    <w:rsid w:val="00194A66"/>
    <w:rsid w:val="0019666D"/>
    <w:rsid w:val="001A199A"/>
    <w:rsid w:val="001A615F"/>
    <w:rsid w:val="001A674D"/>
    <w:rsid w:val="001B15C3"/>
    <w:rsid w:val="001B6BE5"/>
    <w:rsid w:val="001C05B4"/>
    <w:rsid w:val="001C41AC"/>
    <w:rsid w:val="001D257E"/>
    <w:rsid w:val="001D6BCF"/>
    <w:rsid w:val="001E01CA"/>
    <w:rsid w:val="001E19AC"/>
    <w:rsid w:val="001E3783"/>
    <w:rsid w:val="001E469E"/>
    <w:rsid w:val="001E4AE6"/>
    <w:rsid w:val="001F02BC"/>
    <w:rsid w:val="001F2237"/>
    <w:rsid w:val="001F3900"/>
    <w:rsid w:val="001F72AB"/>
    <w:rsid w:val="001F7557"/>
    <w:rsid w:val="00205844"/>
    <w:rsid w:val="002077FA"/>
    <w:rsid w:val="00212D59"/>
    <w:rsid w:val="00220116"/>
    <w:rsid w:val="00221B7E"/>
    <w:rsid w:val="00223F28"/>
    <w:rsid w:val="002240B8"/>
    <w:rsid w:val="0022585C"/>
    <w:rsid w:val="00233AF4"/>
    <w:rsid w:val="00243962"/>
    <w:rsid w:val="002446C1"/>
    <w:rsid w:val="00244B67"/>
    <w:rsid w:val="00252324"/>
    <w:rsid w:val="00256B98"/>
    <w:rsid w:val="00262F7B"/>
    <w:rsid w:val="00263DB5"/>
    <w:rsid w:val="0026553F"/>
    <w:rsid w:val="00265AFF"/>
    <w:rsid w:val="00274BDF"/>
    <w:rsid w:val="0027561C"/>
    <w:rsid w:val="00275CF5"/>
    <w:rsid w:val="00280AB8"/>
    <w:rsid w:val="0028301F"/>
    <w:rsid w:val="00285017"/>
    <w:rsid w:val="00286E97"/>
    <w:rsid w:val="00292159"/>
    <w:rsid w:val="00294836"/>
    <w:rsid w:val="00294BDE"/>
    <w:rsid w:val="00297917"/>
    <w:rsid w:val="002A2D2E"/>
    <w:rsid w:val="002A7B1A"/>
    <w:rsid w:val="002C00E8"/>
    <w:rsid w:val="002C1C6D"/>
    <w:rsid w:val="002D339B"/>
    <w:rsid w:val="002D68E8"/>
    <w:rsid w:val="002E0432"/>
    <w:rsid w:val="002F3BD1"/>
    <w:rsid w:val="002F5BDA"/>
    <w:rsid w:val="0030205B"/>
    <w:rsid w:val="00303665"/>
    <w:rsid w:val="00303B32"/>
    <w:rsid w:val="003169C3"/>
    <w:rsid w:val="0031732F"/>
    <w:rsid w:val="003179ED"/>
    <w:rsid w:val="00326E35"/>
    <w:rsid w:val="00331361"/>
    <w:rsid w:val="00332147"/>
    <w:rsid w:val="003363DD"/>
    <w:rsid w:val="00337A24"/>
    <w:rsid w:val="003425FB"/>
    <w:rsid w:val="00343749"/>
    <w:rsid w:val="0034490C"/>
    <w:rsid w:val="00345ACF"/>
    <w:rsid w:val="003510E2"/>
    <w:rsid w:val="00353EE9"/>
    <w:rsid w:val="003543E3"/>
    <w:rsid w:val="00356510"/>
    <w:rsid w:val="00360A5A"/>
    <w:rsid w:val="00362937"/>
    <w:rsid w:val="003643C2"/>
    <w:rsid w:val="003660ED"/>
    <w:rsid w:val="003710B4"/>
    <w:rsid w:val="00375002"/>
    <w:rsid w:val="003816FA"/>
    <w:rsid w:val="00381F66"/>
    <w:rsid w:val="00384634"/>
    <w:rsid w:val="00387C64"/>
    <w:rsid w:val="00390E40"/>
    <w:rsid w:val="0039450C"/>
    <w:rsid w:val="00394D20"/>
    <w:rsid w:val="00395EB3"/>
    <w:rsid w:val="003A295F"/>
    <w:rsid w:val="003A4397"/>
    <w:rsid w:val="003A4994"/>
    <w:rsid w:val="003A5943"/>
    <w:rsid w:val="003A62F6"/>
    <w:rsid w:val="003A757D"/>
    <w:rsid w:val="003A75B3"/>
    <w:rsid w:val="003B0550"/>
    <w:rsid w:val="003B0DCF"/>
    <w:rsid w:val="003B1F8C"/>
    <w:rsid w:val="003B4814"/>
    <w:rsid w:val="003B694F"/>
    <w:rsid w:val="003B771C"/>
    <w:rsid w:val="003C0E87"/>
    <w:rsid w:val="003C3468"/>
    <w:rsid w:val="003C57C0"/>
    <w:rsid w:val="003C5960"/>
    <w:rsid w:val="003D1B7D"/>
    <w:rsid w:val="003D57CF"/>
    <w:rsid w:val="003E3ECC"/>
    <w:rsid w:val="003E5DF6"/>
    <w:rsid w:val="003E6ED9"/>
    <w:rsid w:val="003E7039"/>
    <w:rsid w:val="003F171C"/>
    <w:rsid w:val="003F3AE1"/>
    <w:rsid w:val="003F469F"/>
    <w:rsid w:val="00401A90"/>
    <w:rsid w:val="00402F13"/>
    <w:rsid w:val="00405414"/>
    <w:rsid w:val="00412FC5"/>
    <w:rsid w:val="00414D14"/>
    <w:rsid w:val="004206F0"/>
    <w:rsid w:val="00422276"/>
    <w:rsid w:val="004242F1"/>
    <w:rsid w:val="00424395"/>
    <w:rsid w:val="00426345"/>
    <w:rsid w:val="00427CF9"/>
    <w:rsid w:val="00427D66"/>
    <w:rsid w:val="00440DC1"/>
    <w:rsid w:val="00445A00"/>
    <w:rsid w:val="00447A76"/>
    <w:rsid w:val="004500EE"/>
    <w:rsid w:val="00451B0F"/>
    <w:rsid w:val="00453607"/>
    <w:rsid w:val="00456051"/>
    <w:rsid w:val="00457AC3"/>
    <w:rsid w:val="00461492"/>
    <w:rsid w:val="004619A4"/>
    <w:rsid w:val="00463932"/>
    <w:rsid w:val="0046439B"/>
    <w:rsid w:val="00464DCC"/>
    <w:rsid w:val="00465FE5"/>
    <w:rsid w:val="00475640"/>
    <w:rsid w:val="00477D0F"/>
    <w:rsid w:val="00477EB6"/>
    <w:rsid w:val="00493F6F"/>
    <w:rsid w:val="00494885"/>
    <w:rsid w:val="004A046D"/>
    <w:rsid w:val="004A08C3"/>
    <w:rsid w:val="004A17FD"/>
    <w:rsid w:val="004A2D3F"/>
    <w:rsid w:val="004A7D9A"/>
    <w:rsid w:val="004B0054"/>
    <w:rsid w:val="004B0972"/>
    <w:rsid w:val="004B68D6"/>
    <w:rsid w:val="004C0AB7"/>
    <w:rsid w:val="004C2DEE"/>
    <w:rsid w:val="004C2EE3"/>
    <w:rsid w:val="004C5015"/>
    <w:rsid w:val="004D65CC"/>
    <w:rsid w:val="004D76CE"/>
    <w:rsid w:val="004E4A22"/>
    <w:rsid w:val="004E57C5"/>
    <w:rsid w:val="004F2DA4"/>
    <w:rsid w:val="004F6A92"/>
    <w:rsid w:val="00500914"/>
    <w:rsid w:val="00503242"/>
    <w:rsid w:val="00505C56"/>
    <w:rsid w:val="00507675"/>
    <w:rsid w:val="005100E7"/>
    <w:rsid w:val="00511968"/>
    <w:rsid w:val="005149DD"/>
    <w:rsid w:val="005149FF"/>
    <w:rsid w:val="005259AF"/>
    <w:rsid w:val="00525C9D"/>
    <w:rsid w:val="00526C62"/>
    <w:rsid w:val="005274E3"/>
    <w:rsid w:val="00532B79"/>
    <w:rsid w:val="005361B9"/>
    <w:rsid w:val="00537FEB"/>
    <w:rsid w:val="005417AA"/>
    <w:rsid w:val="00543661"/>
    <w:rsid w:val="00546214"/>
    <w:rsid w:val="0054794B"/>
    <w:rsid w:val="00551C21"/>
    <w:rsid w:val="0055614C"/>
    <w:rsid w:val="0055777B"/>
    <w:rsid w:val="0056346C"/>
    <w:rsid w:val="00566D06"/>
    <w:rsid w:val="0056702D"/>
    <w:rsid w:val="00567CE0"/>
    <w:rsid w:val="00571490"/>
    <w:rsid w:val="0057312F"/>
    <w:rsid w:val="005806F8"/>
    <w:rsid w:val="0058236D"/>
    <w:rsid w:val="005834A8"/>
    <w:rsid w:val="00585BAC"/>
    <w:rsid w:val="00586980"/>
    <w:rsid w:val="0058755B"/>
    <w:rsid w:val="00590689"/>
    <w:rsid w:val="00592163"/>
    <w:rsid w:val="005967D6"/>
    <w:rsid w:val="005A14AB"/>
    <w:rsid w:val="005A5AAC"/>
    <w:rsid w:val="005A629F"/>
    <w:rsid w:val="005B1A93"/>
    <w:rsid w:val="005B24E7"/>
    <w:rsid w:val="005B2FB3"/>
    <w:rsid w:val="005B5305"/>
    <w:rsid w:val="005B766A"/>
    <w:rsid w:val="005C6D6E"/>
    <w:rsid w:val="005C780F"/>
    <w:rsid w:val="005D0FB4"/>
    <w:rsid w:val="005D192C"/>
    <w:rsid w:val="005D2358"/>
    <w:rsid w:val="005D3C37"/>
    <w:rsid w:val="005D3F9E"/>
    <w:rsid w:val="005D4D0B"/>
    <w:rsid w:val="005D6014"/>
    <w:rsid w:val="005D743D"/>
    <w:rsid w:val="005E14C2"/>
    <w:rsid w:val="005E43D4"/>
    <w:rsid w:val="005F1E11"/>
    <w:rsid w:val="005F646A"/>
    <w:rsid w:val="00601896"/>
    <w:rsid w:val="00607BA5"/>
    <w:rsid w:val="0061180A"/>
    <w:rsid w:val="006130C4"/>
    <w:rsid w:val="006207C6"/>
    <w:rsid w:val="0062174F"/>
    <w:rsid w:val="00621A26"/>
    <w:rsid w:val="00626EB6"/>
    <w:rsid w:val="00627CAA"/>
    <w:rsid w:val="00640BE0"/>
    <w:rsid w:val="0064521B"/>
    <w:rsid w:val="0065007B"/>
    <w:rsid w:val="00655D03"/>
    <w:rsid w:val="00657E10"/>
    <w:rsid w:val="00667171"/>
    <w:rsid w:val="00674B58"/>
    <w:rsid w:val="00676C2C"/>
    <w:rsid w:val="00676E26"/>
    <w:rsid w:val="00681B54"/>
    <w:rsid w:val="00683388"/>
    <w:rsid w:val="00683F84"/>
    <w:rsid w:val="006844DA"/>
    <w:rsid w:val="006855AC"/>
    <w:rsid w:val="006855B4"/>
    <w:rsid w:val="006914FA"/>
    <w:rsid w:val="006973A7"/>
    <w:rsid w:val="006A08C9"/>
    <w:rsid w:val="006A46BA"/>
    <w:rsid w:val="006A51E6"/>
    <w:rsid w:val="006A6A81"/>
    <w:rsid w:val="006B0105"/>
    <w:rsid w:val="006B143C"/>
    <w:rsid w:val="006B1C3F"/>
    <w:rsid w:val="006B25CD"/>
    <w:rsid w:val="006C5C35"/>
    <w:rsid w:val="006E1A30"/>
    <w:rsid w:val="006F10A5"/>
    <w:rsid w:val="006F7393"/>
    <w:rsid w:val="007014A5"/>
    <w:rsid w:val="00701A8E"/>
    <w:rsid w:val="0070224F"/>
    <w:rsid w:val="00710C33"/>
    <w:rsid w:val="007115F7"/>
    <w:rsid w:val="00717667"/>
    <w:rsid w:val="00721065"/>
    <w:rsid w:val="00722E80"/>
    <w:rsid w:val="00724176"/>
    <w:rsid w:val="00724FD7"/>
    <w:rsid w:val="007278FD"/>
    <w:rsid w:val="00731C9E"/>
    <w:rsid w:val="00753CA4"/>
    <w:rsid w:val="00760684"/>
    <w:rsid w:val="007610EE"/>
    <w:rsid w:val="00762364"/>
    <w:rsid w:val="0076390B"/>
    <w:rsid w:val="00764DAE"/>
    <w:rsid w:val="007705C1"/>
    <w:rsid w:val="00770FE0"/>
    <w:rsid w:val="00773640"/>
    <w:rsid w:val="0078432B"/>
    <w:rsid w:val="00785689"/>
    <w:rsid w:val="007917F1"/>
    <w:rsid w:val="00791D82"/>
    <w:rsid w:val="00796D6C"/>
    <w:rsid w:val="0079754B"/>
    <w:rsid w:val="007A1E6D"/>
    <w:rsid w:val="007A217B"/>
    <w:rsid w:val="007A468A"/>
    <w:rsid w:val="007A6170"/>
    <w:rsid w:val="007B0EB2"/>
    <w:rsid w:val="007B26ED"/>
    <w:rsid w:val="007B554F"/>
    <w:rsid w:val="007B6E91"/>
    <w:rsid w:val="007C0591"/>
    <w:rsid w:val="007C0DBC"/>
    <w:rsid w:val="007C5EF1"/>
    <w:rsid w:val="007D2853"/>
    <w:rsid w:val="007D4764"/>
    <w:rsid w:val="007E0F81"/>
    <w:rsid w:val="007E7BD6"/>
    <w:rsid w:val="007F656A"/>
    <w:rsid w:val="00800BBC"/>
    <w:rsid w:val="0080176A"/>
    <w:rsid w:val="00804856"/>
    <w:rsid w:val="008062FF"/>
    <w:rsid w:val="00810B6F"/>
    <w:rsid w:val="008127DC"/>
    <w:rsid w:val="0081573B"/>
    <w:rsid w:val="00815EF3"/>
    <w:rsid w:val="00822CE0"/>
    <w:rsid w:val="008232C3"/>
    <w:rsid w:val="00824494"/>
    <w:rsid w:val="00825440"/>
    <w:rsid w:val="00825D74"/>
    <w:rsid w:val="00835465"/>
    <w:rsid w:val="008404EA"/>
    <w:rsid w:val="00841AB1"/>
    <w:rsid w:val="00850F24"/>
    <w:rsid w:val="0086033C"/>
    <w:rsid w:val="0086111D"/>
    <w:rsid w:val="00861C98"/>
    <w:rsid w:val="00865D27"/>
    <w:rsid w:val="00865F5C"/>
    <w:rsid w:val="0087003D"/>
    <w:rsid w:val="0087376A"/>
    <w:rsid w:val="00877DA7"/>
    <w:rsid w:val="00881820"/>
    <w:rsid w:val="00881D6D"/>
    <w:rsid w:val="00884BFF"/>
    <w:rsid w:val="008926F3"/>
    <w:rsid w:val="00893D71"/>
    <w:rsid w:val="008A254F"/>
    <w:rsid w:val="008A6A5E"/>
    <w:rsid w:val="008C331F"/>
    <w:rsid w:val="008C403B"/>
    <w:rsid w:val="008C68F1"/>
    <w:rsid w:val="008D5AAE"/>
    <w:rsid w:val="008E0BAA"/>
    <w:rsid w:val="008E1544"/>
    <w:rsid w:val="008E3E36"/>
    <w:rsid w:val="00900617"/>
    <w:rsid w:val="00903887"/>
    <w:rsid w:val="00915A72"/>
    <w:rsid w:val="009210C2"/>
    <w:rsid w:val="00921803"/>
    <w:rsid w:val="00924E30"/>
    <w:rsid w:val="00926503"/>
    <w:rsid w:val="00926EB0"/>
    <w:rsid w:val="00927A56"/>
    <w:rsid w:val="00933BBF"/>
    <w:rsid w:val="00933D20"/>
    <w:rsid w:val="00942BA2"/>
    <w:rsid w:val="00947116"/>
    <w:rsid w:val="00947A07"/>
    <w:rsid w:val="00951EC2"/>
    <w:rsid w:val="00954D6B"/>
    <w:rsid w:val="0096009F"/>
    <w:rsid w:val="009633B0"/>
    <w:rsid w:val="009640D6"/>
    <w:rsid w:val="0096454C"/>
    <w:rsid w:val="00967BD6"/>
    <w:rsid w:val="009726D8"/>
    <w:rsid w:val="00972CAB"/>
    <w:rsid w:val="00977D2B"/>
    <w:rsid w:val="0098357A"/>
    <w:rsid w:val="00991A9B"/>
    <w:rsid w:val="009943CF"/>
    <w:rsid w:val="0099493C"/>
    <w:rsid w:val="00994A95"/>
    <w:rsid w:val="009A24DB"/>
    <w:rsid w:val="009C7551"/>
    <w:rsid w:val="009D05D3"/>
    <w:rsid w:val="009D6F8E"/>
    <w:rsid w:val="009D7308"/>
    <w:rsid w:val="009E1492"/>
    <w:rsid w:val="009E17C8"/>
    <w:rsid w:val="009E26FC"/>
    <w:rsid w:val="009E7CEF"/>
    <w:rsid w:val="009F015F"/>
    <w:rsid w:val="009F2BD1"/>
    <w:rsid w:val="009F76DB"/>
    <w:rsid w:val="009F7EDF"/>
    <w:rsid w:val="00A00719"/>
    <w:rsid w:val="00A03B4D"/>
    <w:rsid w:val="00A15042"/>
    <w:rsid w:val="00A1694C"/>
    <w:rsid w:val="00A323B6"/>
    <w:rsid w:val="00A3286A"/>
    <w:rsid w:val="00A32C3B"/>
    <w:rsid w:val="00A3586A"/>
    <w:rsid w:val="00A424FA"/>
    <w:rsid w:val="00A45F4F"/>
    <w:rsid w:val="00A51536"/>
    <w:rsid w:val="00A600A9"/>
    <w:rsid w:val="00A62D8C"/>
    <w:rsid w:val="00A81708"/>
    <w:rsid w:val="00A8546D"/>
    <w:rsid w:val="00A93730"/>
    <w:rsid w:val="00A959E3"/>
    <w:rsid w:val="00A9791B"/>
    <w:rsid w:val="00AA1617"/>
    <w:rsid w:val="00AA55B7"/>
    <w:rsid w:val="00AA5B9E"/>
    <w:rsid w:val="00AA7D8E"/>
    <w:rsid w:val="00AB2407"/>
    <w:rsid w:val="00AB2774"/>
    <w:rsid w:val="00AB449F"/>
    <w:rsid w:val="00AB53DF"/>
    <w:rsid w:val="00AC3994"/>
    <w:rsid w:val="00AC3C04"/>
    <w:rsid w:val="00AD5856"/>
    <w:rsid w:val="00AD6B59"/>
    <w:rsid w:val="00AD7395"/>
    <w:rsid w:val="00AE1FBC"/>
    <w:rsid w:val="00AE572A"/>
    <w:rsid w:val="00AF3E52"/>
    <w:rsid w:val="00AF6EBF"/>
    <w:rsid w:val="00B0426D"/>
    <w:rsid w:val="00B07E5C"/>
    <w:rsid w:val="00B10F38"/>
    <w:rsid w:val="00B1343A"/>
    <w:rsid w:val="00B147EA"/>
    <w:rsid w:val="00B21621"/>
    <w:rsid w:val="00B23DBC"/>
    <w:rsid w:val="00B24178"/>
    <w:rsid w:val="00B25C6D"/>
    <w:rsid w:val="00B25D4A"/>
    <w:rsid w:val="00B27418"/>
    <w:rsid w:val="00B27506"/>
    <w:rsid w:val="00B3035D"/>
    <w:rsid w:val="00B337D4"/>
    <w:rsid w:val="00B369B2"/>
    <w:rsid w:val="00B47EF6"/>
    <w:rsid w:val="00B56B89"/>
    <w:rsid w:val="00B62CB2"/>
    <w:rsid w:val="00B707C2"/>
    <w:rsid w:val="00B70BFC"/>
    <w:rsid w:val="00B736BD"/>
    <w:rsid w:val="00B75188"/>
    <w:rsid w:val="00B75C93"/>
    <w:rsid w:val="00B811F7"/>
    <w:rsid w:val="00B86327"/>
    <w:rsid w:val="00B87CF5"/>
    <w:rsid w:val="00B91724"/>
    <w:rsid w:val="00BA1C4D"/>
    <w:rsid w:val="00BA30B7"/>
    <w:rsid w:val="00BA30D1"/>
    <w:rsid w:val="00BA3BC2"/>
    <w:rsid w:val="00BA5DC6"/>
    <w:rsid w:val="00BA6196"/>
    <w:rsid w:val="00BA6645"/>
    <w:rsid w:val="00BA7520"/>
    <w:rsid w:val="00BC04F6"/>
    <w:rsid w:val="00BC1F7E"/>
    <w:rsid w:val="00BC22AE"/>
    <w:rsid w:val="00BC337E"/>
    <w:rsid w:val="00BC59D9"/>
    <w:rsid w:val="00BC6D8C"/>
    <w:rsid w:val="00BC7EA3"/>
    <w:rsid w:val="00BD4600"/>
    <w:rsid w:val="00BD5901"/>
    <w:rsid w:val="00BE1D1F"/>
    <w:rsid w:val="00BE4204"/>
    <w:rsid w:val="00BE7F9F"/>
    <w:rsid w:val="00BF1BE8"/>
    <w:rsid w:val="00BF3D91"/>
    <w:rsid w:val="00BF3FBB"/>
    <w:rsid w:val="00BF4D92"/>
    <w:rsid w:val="00BF4E92"/>
    <w:rsid w:val="00BF5483"/>
    <w:rsid w:val="00BF686A"/>
    <w:rsid w:val="00C0201F"/>
    <w:rsid w:val="00C05959"/>
    <w:rsid w:val="00C13951"/>
    <w:rsid w:val="00C25886"/>
    <w:rsid w:val="00C2767D"/>
    <w:rsid w:val="00C27E46"/>
    <w:rsid w:val="00C310A8"/>
    <w:rsid w:val="00C34006"/>
    <w:rsid w:val="00C34206"/>
    <w:rsid w:val="00C3574F"/>
    <w:rsid w:val="00C36AD0"/>
    <w:rsid w:val="00C36B4C"/>
    <w:rsid w:val="00C37C70"/>
    <w:rsid w:val="00C426B1"/>
    <w:rsid w:val="00C47EA1"/>
    <w:rsid w:val="00C50CAD"/>
    <w:rsid w:val="00C51729"/>
    <w:rsid w:val="00C60C3D"/>
    <w:rsid w:val="00C624E1"/>
    <w:rsid w:val="00C66160"/>
    <w:rsid w:val="00C66717"/>
    <w:rsid w:val="00C67A31"/>
    <w:rsid w:val="00C721AC"/>
    <w:rsid w:val="00C7534F"/>
    <w:rsid w:val="00C805B4"/>
    <w:rsid w:val="00C80F95"/>
    <w:rsid w:val="00C849D6"/>
    <w:rsid w:val="00C84EC2"/>
    <w:rsid w:val="00C90D6A"/>
    <w:rsid w:val="00C91388"/>
    <w:rsid w:val="00CA0218"/>
    <w:rsid w:val="00CA247E"/>
    <w:rsid w:val="00CA5574"/>
    <w:rsid w:val="00CA6D21"/>
    <w:rsid w:val="00CB4488"/>
    <w:rsid w:val="00CB4792"/>
    <w:rsid w:val="00CB5611"/>
    <w:rsid w:val="00CB70FE"/>
    <w:rsid w:val="00CC3980"/>
    <w:rsid w:val="00CC6223"/>
    <w:rsid w:val="00CC72B6"/>
    <w:rsid w:val="00CD7723"/>
    <w:rsid w:val="00CE1CAE"/>
    <w:rsid w:val="00CE2027"/>
    <w:rsid w:val="00CF1D49"/>
    <w:rsid w:val="00CF23BA"/>
    <w:rsid w:val="00CF66E1"/>
    <w:rsid w:val="00D00AE9"/>
    <w:rsid w:val="00D01191"/>
    <w:rsid w:val="00D0218D"/>
    <w:rsid w:val="00D065C3"/>
    <w:rsid w:val="00D06C09"/>
    <w:rsid w:val="00D10A82"/>
    <w:rsid w:val="00D118C3"/>
    <w:rsid w:val="00D1575D"/>
    <w:rsid w:val="00D158B0"/>
    <w:rsid w:val="00D15D4B"/>
    <w:rsid w:val="00D2111E"/>
    <w:rsid w:val="00D2291F"/>
    <w:rsid w:val="00D25FB5"/>
    <w:rsid w:val="00D3188B"/>
    <w:rsid w:val="00D44223"/>
    <w:rsid w:val="00D46B9B"/>
    <w:rsid w:val="00D55D1B"/>
    <w:rsid w:val="00D56485"/>
    <w:rsid w:val="00D57332"/>
    <w:rsid w:val="00D6348F"/>
    <w:rsid w:val="00D64ABA"/>
    <w:rsid w:val="00D700A5"/>
    <w:rsid w:val="00D73391"/>
    <w:rsid w:val="00D82EF1"/>
    <w:rsid w:val="00D83B93"/>
    <w:rsid w:val="00D935AE"/>
    <w:rsid w:val="00D9574C"/>
    <w:rsid w:val="00D95E44"/>
    <w:rsid w:val="00DA2529"/>
    <w:rsid w:val="00DA4C9B"/>
    <w:rsid w:val="00DA52F1"/>
    <w:rsid w:val="00DA6032"/>
    <w:rsid w:val="00DA62E5"/>
    <w:rsid w:val="00DA636C"/>
    <w:rsid w:val="00DB130A"/>
    <w:rsid w:val="00DB1E70"/>
    <w:rsid w:val="00DB23BA"/>
    <w:rsid w:val="00DB2EBB"/>
    <w:rsid w:val="00DB47EF"/>
    <w:rsid w:val="00DB4A39"/>
    <w:rsid w:val="00DB75A6"/>
    <w:rsid w:val="00DC10A1"/>
    <w:rsid w:val="00DC18BD"/>
    <w:rsid w:val="00DC48D2"/>
    <w:rsid w:val="00DC655F"/>
    <w:rsid w:val="00DD0B59"/>
    <w:rsid w:val="00DD43AA"/>
    <w:rsid w:val="00DD7EBD"/>
    <w:rsid w:val="00DD7EF1"/>
    <w:rsid w:val="00DE21A3"/>
    <w:rsid w:val="00DE5EC2"/>
    <w:rsid w:val="00DE6B43"/>
    <w:rsid w:val="00DF62B6"/>
    <w:rsid w:val="00E06D8E"/>
    <w:rsid w:val="00E07225"/>
    <w:rsid w:val="00E143A0"/>
    <w:rsid w:val="00E151CA"/>
    <w:rsid w:val="00E156E8"/>
    <w:rsid w:val="00E201CB"/>
    <w:rsid w:val="00E20281"/>
    <w:rsid w:val="00E21869"/>
    <w:rsid w:val="00E27FAA"/>
    <w:rsid w:val="00E303AB"/>
    <w:rsid w:val="00E3182B"/>
    <w:rsid w:val="00E343CC"/>
    <w:rsid w:val="00E4126D"/>
    <w:rsid w:val="00E44580"/>
    <w:rsid w:val="00E51669"/>
    <w:rsid w:val="00E5409F"/>
    <w:rsid w:val="00E54EF0"/>
    <w:rsid w:val="00E56E8F"/>
    <w:rsid w:val="00E745D4"/>
    <w:rsid w:val="00E753E4"/>
    <w:rsid w:val="00E75BFE"/>
    <w:rsid w:val="00E76B67"/>
    <w:rsid w:val="00E80492"/>
    <w:rsid w:val="00E80DFA"/>
    <w:rsid w:val="00E81D22"/>
    <w:rsid w:val="00E84BA6"/>
    <w:rsid w:val="00E8623E"/>
    <w:rsid w:val="00E87A0B"/>
    <w:rsid w:val="00E9015F"/>
    <w:rsid w:val="00E966C5"/>
    <w:rsid w:val="00EA4AD9"/>
    <w:rsid w:val="00EA78BD"/>
    <w:rsid w:val="00EA7C93"/>
    <w:rsid w:val="00EA7EE4"/>
    <w:rsid w:val="00EB6610"/>
    <w:rsid w:val="00EC29C7"/>
    <w:rsid w:val="00EC2B89"/>
    <w:rsid w:val="00EC67AC"/>
    <w:rsid w:val="00EC7404"/>
    <w:rsid w:val="00EC7CDE"/>
    <w:rsid w:val="00ED0249"/>
    <w:rsid w:val="00ED19F4"/>
    <w:rsid w:val="00EE1103"/>
    <w:rsid w:val="00EE16B0"/>
    <w:rsid w:val="00EE2774"/>
    <w:rsid w:val="00EE3C03"/>
    <w:rsid w:val="00EE6488"/>
    <w:rsid w:val="00EE6B9E"/>
    <w:rsid w:val="00F021FA"/>
    <w:rsid w:val="00F03EF3"/>
    <w:rsid w:val="00F05425"/>
    <w:rsid w:val="00F05FF7"/>
    <w:rsid w:val="00F06709"/>
    <w:rsid w:val="00F14E86"/>
    <w:rsid w:val="00F156CB"/>
    <w:rsid w:val="00F22B6A"/>
    <w:rsid w:val="00F257B5"/>
    <w:rsid w:val="00F276EA"/>
    <w:rsid w:val="00F30831"/>
    <w:rsid w:val="00F358C7"/>
    <w:rsid w:val="00F36265"/>
    <w:rsid w:val="00F379E1"/>
    <w:rsid w:val="00F4244F"/>
    <w:rsid w:val="00F43FC5"/>
    <w:rsid w:val="00F5723D"/>
    <w:rsid w:val="00F57309"/>
    <w:rsid w:val="00F61EDE"/>
    <w:rsid w:val="00F62E97"/>
    <w:rsid w:val="00F63513"/>
    <w:rsid w:val="00F64209"/>
    <w:rsid w:val="00F665ED"/>
    <w:rsid w:val="00F72312"/>
    <w:rsid w:val="00F72BD4"/>
    <w:rsid w:val="00F74236"/>
    <w:rsid w:val="00F8054D"/>
    <w:rsid w:val="00F80BF1"/>
    <w:rsid w:val="00F81925"/>
    <w:rsid w:val="00F90F83"/>
    <w:rsid w:val="00F92485"/>
    <w:rsid w:val="00F93BF5"/>
    <w:rsid w:val="00F94C9A"/>
    <w:rsid w:val="00F96D49"/>
    <w:rsid w:val="00FA4BEF"/>
    <w:rsid w:val="00FA6B05"/>
    <w:rsid w:val="00FA7CFE"/>
    <w:rsid w:val="00FB3FF2"/>
    <w:rsid w:val="00FB6D52"/>
    <w:rsid w:val="00FC1F98"/>
    <w:rsid w:val="00FD2319"/>
    <w:rsid w:val="00FD3187"/>
    <w:rsid w:val="00FD5055"/>
    <w:rsid w:val="00FD6222"/>
    <w:rsid w:val="00FD67A3"/>
    <w:rsid w:val="00FD7757"/>
    <w:rsid w:val="00FE41CE"/>
    <w:rsid w:val="00FF072B"/>
    <w:rsid w:val="00FF097B"/>
    <w:rsid w:val="00FF0A52"/>
    <w:rsid w:val="00FF0B52"/>
    <w:rsid w:val="00FF7F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6E43A2"/>
  <w15:chartTrackingRefBased/>
  <w15:docId w15:val="{8727CDAF-C240-41F6-8581-A24E1CC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74DD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0A74DD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0A74D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0A74DD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0A74DD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0A74DD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A74DD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A74DD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0A74DD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0A74DD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0A74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A74DD"/>
  </w:style>
  <w:style w:type="paragraph" w:customStyle="1" w:styleId="ParaNum">
    <w:name w:val="ParaNum"/>
    <w:basedOn w:val="Normal"/>
    <w:rsid w:val="000A74DD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sid w:val="000A74DD"/>
    <w:rPr>
      <w:sz w:val="20"/>
    </w:rPr>
  </w:style>
  <w:style w:type="character" w:styleId="EndnoteReference">
    <w:name w:val="endnote reference"/>
    <w:semiHidden/>
    <w:rsid w:val="000A74DD"/>
    <w:rPr>
      <w:vertAlign w:val="superscript"/>
    </w:rPr>
  </w:style>
  <w:style w:type="paragraph" w:styleId="FootnoteText">
    <w:name w:val="footnote text"/>
    <w:rsid w:val="000A74DD"/>
    <w:pPr>
      <w:spacing w:after="120"/>
    </w:pPr>
  </w:style>
  <w:style w:type="character" w:styleId="FootnoteReference">
    <w:name w:val="footnote reference"/>
    <w:rsid w:val="000A74DD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rsid w:val="000A74DD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rsid w:val="000A74DD"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rsid w:val="000A74DD"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rsid w:val="000A74DD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0A74DD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0A74DD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0A74DD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0A74DD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0A74DD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rsid w:val="000A74DD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0A74DD"/>
  </w:style>
  <w:style w:type="paragraph" w:styleId="Header">
    <w:name w:val="header"/>
    <w:basedOn w:val="Normal"/>
    <w:autoRedefine/>
    <w:rsid w:val="000A74DD"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link w:val="FooterChar"/>
    <w:uiPriority w:val="99"/>
    <w:rsid w:val="000A74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4DD"/>
  </w:style>
  <w:style w:type="paragraph" w:styleId="BlockText">
    <w:name w:val="Block Text"/>
    <w:basedOn w:val="Normal"/>
    <w:rsid w:val="000A74DD"/>
    <w:pPr>
      <w:spacing w:after="240"/>
      <w:ind w:left="1440" w:right="1440"/>
    </w:pPr>
  </w:style>
  <w:style w:type="paragraph" w:customStyle="1" w:styleId="Paratitle">
    <w:name w:val="Para title"/>
    <w:basedOn w:val="Normal"/>
    <w:rsid w:val="000A74DD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rsid w:val="000A74DD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rsid w:val="000A74DD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rsid w:val="000A74DD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A74DD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0A74D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A74DD"/>
    <w:rPr>
      <w:snapToGrid w:val="0"/>
      <w:kern w:val="28"/>
      <w:sz w:val="22"/>
    </w:rPr>
  </w:style>
  <w:style w:type="paragraph" w:styleId="Revision">
    <w:name w:val="Revision"/>
    <w:hidden/>
    <w:uiPriority w:val="99"/>
    <w:semiHidden/>
    <w:rsid w:val="0055777B"/>
    <w:rPr>
      <w:snapToGrid w:val="0"/>
      <w:kern w:val="28"/>
      <w:sz w:val="22"/>
    </w:rPr>
  </w:style>
  <w:style w:type="character" w:styleId="CommentReference">
    <w:name w:val="annotation reference"/>
    <w:rsid w:val="005F1E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1E11"/>
    <w:rPr>
      <w:sz w:val="20"/>
    </w:rPr>
  </w:style>
  <w:style w:type="character" w:customStyle="1" w:styleId="CommentTextChar">
    <w:name w:val="Comment Text Char"/>
    <w:link w:val="CommentText"/>
    <w:rsid w:val="005F1E11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5F1E11"/>
    <w:rPr>
      <w:b/>
      <w:bCs/>
    </w:rPr>
  </w:style>
  <w:style w:type="character" w:customStyle="1" w:styleId="CommentSubjectChar">
    <w:name w:val="Comment Subject Char"/>
    <w:link w:val="CommentSubject"/>
    <w:rsid w:val="005F1E11"/>
    <w:rPr>
      <w:b/>
      <w:bCs/>
      <w:snapToGrid w:val="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844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379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Orders%20TOC%20by%20Paragraph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TOC by Paragraph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