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44B8D380" w14:textId="77777777">
      <w:pPr>
        <w:jc w:val="right"/>
        <w:rPr>
          <w:sz w:val="24"/>
        </w:rPr>
      </w:pPr>
    </w:p>
    <w:p w:rsidR="00BA3BA8" w14:paraId="0CE2AD81" w14:textId="7DBE8AAB">
      <w:pPr>
        <w:jc w:val="right"/>
        <w:rPr>
          <w:b/>
          <w:sz w:val="24"/>
        </w:rPr>
      </w:pPr>
      <w:r>
        <w:rPr>
          <w:b/>
          <w:sz w:val="24"/>
        </w:rPr>
        <w:t>DA 25</w:t>
      </w:r>
      <w:r w:rsidR="00DF41FE">
        <w:rPr>
          <w:b/>
          <w:sz w:val="24"/>
        </w:rPr>
        <w:t>-1088</w:t>
      </w:r>
    </w:p>
    <w:p w:rsidR="00BA3BA8" w14:paraId="6F26EE86" w14:textId="7D7D4F99">
      <w:pPr>
        <w:spacing w:before="60"/>
        <w:jc w:val="right"/>
        <w:rPr>
          <w:b/>
          <w:sz w:val="24"/>
        </w:rPr>
      </w:pPr>
      <w:r>
        <w:rPr>
          <w:b/>
          <w:sz w:val="24"/>
        </w:rPr>
        <w:t xml:space="preserve">Released:  </w:t>
      </w:r>
      <w:r w:rsidR="00794E2F">
        <w:rPr>
          <w:b/>
          <w:sz w:val="24"/>
        </w:rPr>
        <w:t xml:space="preserve">December </w:t>
      </w:r>
      <w:r w:rsidR="00DF41FE">
        <w:rPr>
          <w:b/>
          <w:sz w:val="24"/>
        </w:rPr>
        <w:t>19</w:t>
      </w:r>
      <w:r w:rsidR="00794E2F">
        <w:rPr>
          <w:b/>
          <w:sz w:val="24"/>
        </w:rPr>
        <w:t>, 2025</w:t>
      </w:r>
    </w:p>
    <w:p w:rsidR="00BA3BA8" w14:paraId="43998D04" w14:textId="77777777">
      <w:pPr>
        <w:jc w:val="right"/>
        <w:rPr>
          <w:sz w:val="24"/>
        </w:rPr>
      </w:pPr>
    </w:p>
    <w:p w:rsidR="00BA3BA8" w14:paraId="74C3BE1F" w14:textId="39BF79E8">
      <w:pPr>
        <w:spacing w:after="240"/>
        <w:jc w:val="center"/>
        <w:rPr>
          <w:rFonts w:ascii="Times New Roman Bold" w:hAnsi="Times New Roman Bold"/>
          <w:b/>
          <w:caps/>
          <w:sz w:val="24"/>
        </w:rPr>
      </w:pPr>
      <w:r w:rsidRPr="4D5713AF">
        <w:rPr>
          <w:rFonts w:ascii="Times New Roman Bold" w:hAnsi="Times New Roman Bold"/>
          <w:b/>
          <w:bCs/>
          <w:caps/>
          <w:sz w:val="24"/>
          <w:szCs w:val="24"/>
        </w:rPr>
        <w:t>WIRELINE COMPETITION BUREAU AND OFFICE OF ECONOMICS AND ANALYTICS ANNOUNCE RESULTS OF 2026 URBAN RATE SURVEY FOR FIXED VOICE AND BROADBAND SERVICES, POSTING OF SURVEY DATA AND EXPLANATORY NOTES, AND REQUIRED MINIMUM USAGE ALLOWANCE FOR ELIGIBLE TELECOMMUNICATIONS CARRIERS</w:t>
      </w:r>
    </w:p>
    <w:p w:rsidR="00BA3BA8" w14:paraId="0215A4BE" w14:textId="3E90EABA">
      <w:pPr>
        <w:jc w:val="center"/>
        <w:rPr>
          <w:b/>
          <w:sz w:val="24"/>
        </w:rPr>
      </w:pPr>
      <w:r>
        <w:rPr>
          <w:b/>
          <w:sz w:val="24"/>
        </w:rPr>
        <w:t>WC Docket No. 10-90</w:t>
      </w:r>
    </w:p>
    <w:p w:rsidR="00BA3BA8" w14:paraId="135DC154" w14:textId="77777777">
      <w:bookmarkStart w:id="0" w:name="TOChere"/>
    </w:p>
    <w:p w:rsidR="00BA3BA8" w14:paraId="0ECE5EC1" w14:textId="77777777"/>
    <w:p w:rsidR="00E76C98" w:rsidP="00E76C98" w14:paraId="733FCDB5" w14:textId="77777777">
      <w:pPr>
        <w:widowControl/>
        <w:spacing w:after="120"/>
        <w:ind w:firstLine="720"/>
      </w:pPr>
      <w:r w:rsidRPr="4D5713AF">
        <w:t xml:space="preserve">By this Public Notice, the </w:t>
      </w:r>
      <w:bookmarkStart w:id="1" w:name="_Hlk26440772"/>
      <w:r w:rsidRPr="4D5713AF">
        <w:t>Wireline Competition Bureau (Bureau) and the Office of Economics and Analytics (Office) announce the 2026</w:t>
      </w:r>
      <w:r w:rsidRPr="00A87AD7">
        <w:rPr>
          <w:szCs w:val="22"/>
        </w:rPr>
        <w:t xml:space="preserve"> </w:t>
      </w:r>
      <w:r w:rsidRPr="4D5713AF">
        <w:t xml:space="preserve">reasonable comparability benchmarks for fixed voice and broadband services for eligible telecommunications carriers (ETCs) that are subject to broadband public interest obligations.  These ETCs </w:t>
      </w:r>
      <w:bookmarkEnd w:id="1"/>
      <w:r w:rsidRPr="4D5713AF">
        <w:t xml:space="preserve">include incumbent local exchange rate-of-return carriers, Rural Broadband Experiment providers, </w:t>
      </w:r>
      <w:hyperlink r:id="rId6" w:history="1">
        <w:r w:rsidRPr="4D5713AF">
          <w:rPr>
            <w:shd w:val="clear" w:color="auto" w:fill="FFFFFF"/>
          </w:rPr>
          <w:t>CAF Phase II Auction (Auction 903)</w:t>
        </w:r>
      </w:hyperlink>
      <w:r w:rsidRPr="009F4707">
        <w:t xml:space="preserve"> </w:t>
      </w:r>
      <w:r>
        <w:t>winners, Rural Digital Opportunity Fund Auction (Auction 904) winners, Enhanced A-CAM providers, and other Universal Service support recipients</w:t>
      </w:r>
      <w:r w:rsidRPr="00A87AD7">
        <w:rPr>
          <w:szCs w:val="22"/>
        </w:rPr>
        <w:t>.</w:t>
      </w:r>
      <w:r>
        <w:rPr>
          <w:rStyle w:val="FootnoteReference"/>
        </w:rPr>
        <w:footnoteReference w:id="3"/>
      </w:r>
      <w:r w:rsidRPr="4D5713AF">
        <w:t xml:space="preserve">  In addition, we announce the posting of the fixed voice and broadband services data collected in the most recent urban rate survey, and explanatory notes regarding the data, on the Commission’s website at </w:t>
      </w:r>
      <w:hyperlink r:id="rId7" w:history="1">
        <w:r w:rsidRPr="00972663">
          <w:rPr>
            <w:rStyle w:val="Hyperlink"/>
          </w:rPr>
          <w:t>https://www.fcc.gov/economics-analytics/industry-analysis-division/urban-rate-survey-data-resources</w:t>
        </w:r>
      </w:hyperlink>
      <w:r w:rsidRPr="00A87AD7">
        <w:rPr>
          <w:szCs w:val="22"/>
        </w:rPr>
        <w:t xml:space="preserve">.  </w:t>
      </w:r>
      <w:r w:rsidRPr="4D5713AF">
        <w:t xml:space="preserve">The Bureau and Office also announce the required minimum usage allowance for ETCs subject to public interest obligations for fixed broadband.  </w:t>
      </w:r>
    </w:p>
    <w:p w:rsidR="00E76C98" w:rsidP="00E76C98" w14:paraId="71C382ED" w14:textId="77777777">
      <w:pPr>
        <w:widowControl/>
        <w:spacing w:after="120"/>
        <w:ind w:firstLine="720"/>
      </w:pPr>
      <w:r w:rsidRPr="4D5713AF">
        <w:rPr>
          <w:i/>
          <w:iCs/>
        </w:rPr>
        <w:t xml:space="preserve">Voice Rates.  </w:t>
      </w:r>
      <w:r w:rsidRPr="5C2D4360">
        <w:t xml:space="preserve">Based on the survey results, the </w:t>
      </w:r>
      <w:r>
        <w:t xml:space="preserve">2026 </w:t>
      </w:r>
      <w:r w:rsidRPr="5C2D4360">
        <w:t>urban average monthly rate is</w:t>
      </w:r>
      <w:r w:rsidRPr="00A87AD7">
        <w:rPr>
          <w:szCs w:val="22"/>
        </w:rPr>
        <w:t xml:space="preserve"> </w:t>
      </w:r>
      <w:r w:rsidRPr="5C2D4360">
        <w:t>$</w:t>
      </w:r>
      <w:r>
        <w:t>33.99</w:t>
      </w:r>
      <w:r>
        <w:rPr>
          <w:szCs w:val="22"/>
        </w:rPr>
        <w:t>.</w:t>
      </w:r>
      <w:r>
        <w:rPr>
          <w:rStyle w:val="FootnoteReference"/>
        </w:rPr>
        <w:footnoteReference w:id="4"/>
      </w:r>
      <w:r w:rsidRPr="00A87AD7">
        <w:rPr>
          <w:szCs w:val="22"/>
        </w:rPr>
        <w:t xml:space="preserve">  </w:t>
      </w:r>
      <w:r w:rsidRPr="5C2D4360">
        <w:t>Therefore, the reasonable comparability benchmark for voice services, two standard deviations above the urban average, is $</w:t>
      </w:r>
      <w:r>
        <w:t>61.29</w:t>
      </w:r>
      <w:r w:rsidRPr="00A87AD7">
        <w:rPr>
          <w:szCs w:val="22"/>
        </w:rPr>
        <w:t>.</w:t>
      </w:r>
      <w:r>
        <w:rPr>
          <w:rStyle w:val="FootnoteReference"/>
        </w:rPr>
        <w:footnoteReference w:id="5"/>
      </w:r>
      <w:r w:rsidRPr="5C2D4360">
        <w:t xml:space="preserve">  Under the Commission’s rules, each ETC, including competitive ETCs</w:t>
      </w:r>
      <w:r>
        <w:rPr>
          <w:szCs w:val="22"/>
        </w:rPr>
        <w:t xml:space="preserve"> </w:t>
      </w:r>
      <w:r w:rsidRPr="5C2D4360">
        <w:t>providing fixed voice services,</w:t>
      </w:r>
      <w:r>
        <w:rPr>
          <w:rStyle w:val="FootnoteReference"/>
        </w:rPr>
        <w:footnoteReference w:id="6"/>
      </w:r>
      <w:r w:rsidRPr="5C2D4360">
        <w:t xml:space="preserve"> must certify in the FCC Form 481 filed no later than July 1, </w:t>
      </w:r>
      <w:r>
        <w:t>2027</w:t>
      </w:r>
      <w:r w:rsidRPr="5C2D4360">
        <w:t>, that the pricing of its</w:t>
      </w:r>
      <w:r>
        <w:t xml:space="preserve"> basic residential voice services is no more than $61.29.</w:t>
      </w:r>
      <w:r>
        <w:rPr>
          <w:rStyle w:val="FootnoteReference"/>
        </w:rPr>
        <w:footnoteReference w:id="7"/>
      </w:r>
    </w:p>
    <w:p w:rsidR="00E76C98" w:rsidRPr="00984C5F" w:rsidP="00E76C98" w14:paraId="7482A6C5" w14:textId="77777777">
      <w:pPr>
        <w:widowControl/>
        <w:spacing w:after="120"/>
        <w:ind w:firstLine="720"/>
        <w:rPr>
          <w:szCs w:val="22"/>
        </w:rPr>
      </w:pPr>
      <w:r w:rsidRPr="001A1646">
        <w:rPr>
          <w:i/>
        </w:rPr>
        <w:t>Broadband Rates</w:t>
      </w:r>
      <w:r>
        <w:t>.  Recipients of high-cost and/or Connect America Fund support that are subject to broadband performance obligations are required to offer broadband service at rates that are at or below the relevant reasonable comparability benchmark.</w:t>
      </w:r>
      <w:r>
        <w:rPr>
          <w:rStyle w:val="FootnoteReference"/>
        </w:rPr>
        <w:footnoteReference w:id="8"/>
      </w:r>
      <w:r>
        <w:t xml:space="preserve">  Carriers subject to the Alaska Plan and Alaska Communication Systems are required to meet Alaska-specific benchmarks</w:t>
      </w:r>
      <w:r>
        <w:rPr>
          <w:rStyle w:val="FootnoteReference"/>
        </w:rPr>
        <w:footnoteReference w:id="9"/>
      </w:r>
      <w:r>
        <w:t xml:space="preserve"> and certify that they are meeting the relevant reasonable comparability benchmark for their broadband service offering in the FCC Form 481 filed no later than July 1, 2027.</w:t>
      </w:r>
      <w:r>
        <w:rPr>
          <w:rStyle w:val="FootnoteReference"/>
        </w:rPr>
        <w:footnoteReference w:id="10"/>
      </w:r>
    </w:p>
    <w:p w:rsidR="00E76C98" w:rsidP="00E76C98" w14:paraId="5344CA54" w14:textId="77777777">
      <w:pPr>
        <w:spacing w:after="120"/>
        <w:ind w:firstLine="720"/>
      </w:pPr>
      <w:r>
        <w:t>Under the approach adopted by the Bureau in 2014, the reasonable comparability broadband benchmark varies, depending upon the supported service’s download and upload bandwidths and usage allowance.</w:t>
      </w:r>
      <w:r>
        <w:rPr>
          <w:rStyle w:val="FootnoteReference"/>
        </w:rPr>
        <w:footnoteReference w:id="11"/>
      </w:r>
      <w:r>
        <w:t xml:space="preserve">  Alaska-specific benchmarks were developed in the same manner using data from Alaska carriers serving Alaska urban areas.  </w:t>
      </w:r>
    </w:p>
    <w:p w:rsidR="00BA3BA8" w:rsidP="002D50BE" w14:paraId="1E15D52D" w14:textId="36677E3E">
      <w:pPr>
        <w:spacing w:after="120"/>
        <w:ind w:firstLine="720"/>
      </w:pPr>
      <w:r>
        <w:t>The following table provides the 2026 benchmark for several different broadband service offerings, though providers will need to determine the benchmark for services with characteristics not shown in the table:</w:t>
      </w:r>
      <w:r>
        <w:rPr>
          <w:rStyle w:val="FootnoteReference"/>
        </w:rPr>
        <w:footnoteReference w:id="12"/>
      </w:r>
    </w:p>
    <w:p w:rsidR="002D50BE" w:rsidP="002D50BE" w14:paraId="1A2D1A15" w14:textId="77777777">
      <w:pPr>
        <w:spacing w:after="120"/>
        <w:ind w:firstLine="720"/>
      </w:pPr>
    </w:p>
    <w:p w:rsidR="002D50BE" w:rsidP="002D50BE" w14:paraId="68B4F2D8" w14:textId="77777777">
      <w:pPr>
        <w:spacing w:after="120"/>
        <w:ind w:firstLine="720"/>
      </w:pPr>
    </w:p>
    <w:p w:rsidR="002D50BE" w:rsidP="002D50BE" w14:paraId="0C163C6D" w14:textId="77777777">
      <w:pPr>
        <w:spacing w:after="120"/>
        <w:ind w:firstLine="720"/>
      </w:pPr>
    </w:p>
    <w:p w:rsidR="002D50BE" w:rsidP="002D50BE" w14:paraId="6FF813F8" w14:textId="77777777">
      <w:pPr>
        <w:spacing w:after="120"/>
        <w:ind w:firstLine="720"/>
      </w:pPr>
    </w:p>
    <w:tbl>
      <w:tblPr>
        <w:tblW w:w="70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09"/>
        <w:gridCol w:w="1940"/>
        <w:gridCol w:w="1314"/>
        <w:gridCol w:w="1150"/>
        <w:gridCol w:w="1307"/>
      </w:tblGrid>
      <w:tr w14:paraId="16EB66F8" w14:textId="77777777" w:rsidTr="00746807">
        <w:tblPrEx>
          <w:tblW w:w="7020" w:type="dxa"/>
          <w:jc w:val="center"/>
          <w:tblLook w:val="04A0"/>
        </w:tblPrEx>
        <w:trPr>
          <w:trHeight w:val="910"/>
          <w:jc w:val="center"/>
        </w:trPr>
        <w:tc>
          <w:tcPr>
            <w:tcW w:w="1350" w:type="dxa"/>
            <w:vAlign w:val="center"/>
            <w:hideMark/>
          </w:tcPr>
          <w:p w:rsidR="002D50BE" w:rsidRPr="00A942C9" w:rsidP="00746807" w14:paraId="3D7FC224" w14:textId="77777777">
            <w:pPr>
              <w:widowControl/>
              <w:jc w:val="center"/>
              <w:rPr>
                <w:b/>
                <w:bCs/>
                <w:snapToGrid/>
                <w:color w:val="000000"/>
                <w:kern w:val="0"/>
              </w:rPr>
            </w:pPr>
            <w:r w:rsidRPr="4FDD136D">
              <w:rPr>
                <w:b/>
                <w:bCs/>
                <w:snapToGrid/>
                <w:color w:val="000000"/>
                <w:kern w:val="0"/>
              </w:rPr>
              <w:t>Download</w:t>
            </w:r>
          </w:p>
          <w:p w:rsidR="002D50BE" w:rsidRPr="00A942C9" w:rsidP="00746807" w14:paraId="6947B791" w14:textId="77777777">
            <w:pPr>
              <w:widowControl/>
              <w:jc w:val="center"/>
              <w:rPr>
                <w:b/>
                <w:bCs/>
                <w:snapToGrid/>
                <w:color w:val="000000"/>
                <w:kern w:val="0"/>
              </w:rPr>
            </w:pPr>
            <w:r w:rsidRPr="4FDD136D">
              <w:rPr>
                <w:b/>
                <w:bCs/>
                <w:snapToGrid/>
                <w:color w:val="000000"/>
                <w:kern w:val="0"/>
              </w:rPr>
              <w:t>Bandwidth</w:t>
            </w:r>
          </w:p>
          <w:p w:rsidR="002D50BE" w:rsidRPr="00A942C9" w:rsidP="00746807" w14:paraId="7F5A235E" w14:textId="77777777">
            <w:pPr>
              <w:jc w:val="center"/>
              <w:rPr>
                <w:b/>
                <w:bCs/>
                <w:snapToGrid/>
                <w:color w:val="000000"/>
                <w:kern w:val="0"/>
              </w:rPr>
            </w:pPr>
            <w:r w:rsidRPr="4FDD136D">
              <w:rPr>
                <w:b/>
                <w:bCs/>
                <w:snapToGrid/>
                <w:color w:val="000000"/>
                <w:kern w:val="0"/>
              </w:rPr>
              <w:t>(Mbps)</w:t>
            </w:r>
          </w:p>
        </w:tc>
        <w:tc>
          <w:tcPr>
            <w:tcW w:w="1320" w:type="dxa"/>
            <w:vAlign w:val="center"/>
            <w:hideMark/>
          </w:tcPr>
          <w:p w:rsidR="002D50BE" w:rsidRPr="00A942C9" w:rsidP="00746807" w14:paraId="400BCA5B" w14:textId="77777777">
            <w:pPr>
              <w:widowControl/>
              <w:jc w:val="center"/>
              <w:rPr>
                <w:b/>
                <w:bCs/>
                <w:snapToGrid/>
                <w:color w:val="000000"/>
                <w:kern w:val="0"/>
              </w:rPr>
            </w:pPr>
            <w:r w:rsidRPr="4FDD136D">
              <w:rPr>
                <w:b/>
                <w:bCs/>
                <w:snapToGrid/>
                <w:color w:val="000000"/>
                <w:kern w:val="0"/>
              </w:rPr>
              <w:t>Upload</w:t>
            </w:r>
          </w:p>
          <w:p w:rsidR="002D50BE" w:rsidRPr="00A942C9" w:rsidP="00746807" w14:paraId="1F5ECC9E" w14:textId="77777777">
            <w:pPr>
              <w:widowControl/>
              <w:jc w:val="center"/>
              <w:rPr>
                <w:b/>
                <w:bCs/>
                <w:snapToGrid/>
                <w:color w:val="000000"/>
                <w:kern w:val="0"/>
              </w:rPr>
            </w:pPr>
            <w:r w:rsidRPr="4FDD136D">
              <w:rPr>
                <w:b/>
                <w:bCs/>
                <w:snapToGrid/>
                <w:color w:val="000000"/>
                <w:kern w:val="0"/>
              </w:rPr>
              <w:t>Bandwidth(Mbps)</w:t>
            </w:r>
          </w:p>
        </w:tc>
        <w:tc>
          <w:tcPr>
            <w:tcW w:w="1410" w:type="dxa"/>
            <w:vAlign w:val="center"/>
            <w:hideMark/>
          </w:tcPr>
          <w:p w:rsidR="002D50BE" w:rsidRPr="00A942C9" w:rsidP="00746807" w14:paraId="12DC8EC9" w14:textId="77777777">
            <w:pPr>
              <w:widowControl/>
              <w:jc w:val="center"/>
              <w:rPr>
                <w:b/>
                <w:bCs/>
                <w:snapToGrid/>
                <w:color w:val="000000"/>
                <w:kern w:val="0"/>
              </w:rPr>
            </w:pPr>
            <w:r w:rsidRPr="4FDD136D">
              <w:rPr>
                <w:b/>
                <w:bCs/>
                <w:snapToGrid/>
                <w:color w:val="000000"/>
                <w:kern w:val="0"/>
              </w:rPr>
              <w:t>Capacity</w:t>
            </w:r>
          </w:p>
          <w:p w:rsidR="002D50BE" w:rsidRPr="00A942C9" w:rsidP="00746807" w14:paraId="325E7024" w14:textId="77777777">
            <w:pPr>
              <w:widowControl/>
              <w:jc w:val="center"/>
              <w:rPr>
                <w:b/>
                <w:bCs/>
                <w:snapToGrid/>
                <w:color w:val="000000"/>
                <w:kern w:val="0"/>
              </w:rPr>
            </w:pPr>
            <w:r w:rsidRPr="4FDD136D">
              <w:rPr>
                <w:b/>
                <w:bCs/>
                <w:snapToGrid/>
                <w:color w:val="000000"/>
                <w:kern w:val="0"/>
              </w:rPr>
              <w:t>Allowance</w:t>
            </w:r>
          </w:p>
          <w:p w:rsidR="002D50BE" w:rsidRPr="00A942C9" w:rsidP="00746807" w14:paraId="6C00D49D" w14:textId="77777777">
            <w:pPr>
              <w:jc w:val="center"/>
              <w:rPr>
                <w:b/>
                <w:bCs/>
                <w:snapToGrid/>
                <w:color w:val="000000"/>
                <w:kern w:val="0"/>
              </w:rPr>
            </w:pPr>
            <w:r w:rsidRPr="4FDD136D">
              <w:rPr>
                <w:b/>
                <w:bCs/>
                <w:snapToGrid/>
                <w:color w:val="000000"/>
                <w:kern w:val="0"/>
              </w:rPr>
              <w:t>(GB)</w:t>
            </w:r>
          </w:p>
        </w:tc>
        <w:tc>
          <w:tcPr>
            <w:tcW w:w="1281" w:type="dxa"/>
            <w:vAlign w:val="center"/>
            <w:hideMark/>
          </w:tcPr>
          <w:p w:rsidR="002D50BE" w:rsidRPr="00A942C9" w:rsidP="00746807" w14:paraId="76E98C6F" w14:textId="77777777">
            <w:pPr>
              <w:widowControl/>
              <w:jc w:val="center"/>
              <w:rPr>
                <w:b/>
                <w:bCs/>
                <w:snapToGrid/>
                <w:color w:val="000000"/>
                <w:kern w:val="0"/>
              </w:rPr>
            </w:pPr>
            <w:r w:rsidRPr="4FDD136D">
              <w:rPr>
                <w:b/>
                <w:bCs/>
                <w:snapToGrid/>
                <w:color w:val="000000"/>
                <w:kern w:val="0"/>
              </w:rPr>
              <w:t>2026 U.S.</w:t>
            </w:r>
          </w:p>
        </w:tc>
        <w:tc>
          <w:tcPr>
            <w:tcW w:w="1659" w:type="dxa"/>
            <w:vAlign w:val="center"/>
            <w:hideMark/>
          </w:tcPr>
          <w:p w:rsidR="002D50BE" w:rsidRPr="00A942C9" w:rsidP="00746807" w14:paraId="78BD72D6" w14:textId="77777777">
            <w:pPr>
              <w:widowControl/>
              <w:jc w:val="center"/>
              <w:rPr>
                <w:b/>
                <w:bCs/>
                <w:snapToGrid/>
                <w:color w:val="000000"/>
                <w:kern w:val="0"/>
              </w:rPr>
            </w:pPr>
            <w:r w:rsidRPr="4FDD136D">
              <w:rPr>
                <w:b/>
                <w:bCs/>
                <w:snapToGrid/>
                <w:color w:val="000000"/>
                <w:kern w:val="0"/>
              </w:rPr>
              <w:t>2026 Alaska</w:t>
            </w:r>
          </w:p>
        </w:tc>
      </w:tr>
      <w:tr w14:paraId="23F4DA8A" w14:textId="77777777" w:rsidTr="00746807">
        <w:tblPrEx>
          <w:tblW w:w="7020" w:type="dxa"/>
          <w:jc w:val="center"/>
          <w:tblLook w:val="04A0"/>
        </w:tblPrEx>
        <w:trPr>
          <w:trHeight w:val="300"/>
          <w:jc w:val="center"/>
        </w:trPr>
        <w:tc>
          <w:tcPr>
            <w:tcW w:w="1350" w:type="dxa"/>
            <w:vAlign w:val="center"/>
            <w:hideMark/>
          </w:tcPr>
          <w:p w:rsidR="002D50BE" w:rsidRPr="00A942C9" w:rsidP="00746807" w14:paraId="5FD9E8DF" w14:textId="77777777">
            <w:pPr>
              <w:widowControl/>
              <w:jc w:val="center"/>
              <w:rPr>
                <w:snapToGrid/>
                <w:color w:val="000000"/>
                <w:kern w:val="0"/>
              </w:rPr>
            </w:pPr>
            <w:r w:rsidRPr="4FDD136D">
              <w:rPr>
                <w:snapToGrid/>
                <w:color w:val="000000"/>
                <w:kern w:val="0"/>
              </w:rPr>
              <w:t>4</w:t>
            </w:r>
          </w:p>
        </w:tc>
        <w:tc>
          <w:tcPr>
            <w:tcW w:w="1320" w:type="dxa"/>
            <w:vAlign w:val="center"/>
            <w:hideMark/>
          </w:tcPr>
          <w:p w:rsidR="002D50BE" w:rsidRPr="00A942C9" w:rsidP="00746807" w14:paraId="45C7965E" w14:textId="77777777">
            <w:pPr>
              <w:widowControl/>
              <w:jc w:val="center"/>
              <w:rPr>
                <w:snapToGrid/>
                <w:color w:val="000000"/>
                <w:kern w:val="0"/>
              </w:rPr>
            </w:pPr>
            <w:r w:rsidRPr="4FDD136D">
              <w:rPr>
                <w:snapToGrid/>
                <w:color w:val="000000"/>
                <w:kern w:val="0"/>
              </w:rPr>
              <w:t>1</w:t>
            </w:r>
          </w:p>
        </w:tc>
        <w:tc>
          <w:tcPr>
            <w:tcW w:w="1410" w:type="dxa"/>
            <w:vAlign w:val="center"/>
            <w:hideMark/>
          </w:tcPr>
          <w:p w:rsidR="002D50BE" w:rsidRPr="00A942C9" w:rsidP="00746807" w14:paraId="14E06872" w14:textId="77777777">
            <w:pPr>
              <w:widowControl/>
              <w:jc w:val="center"/>
              <w:rPr>
                <w:snapToGrid/>
                <w:color w:val="000000"/>
                <w:kern w:val="0"/>
              </w:rPr>
            </w:pPr>
            <w:r w:rsidRPr="4FDD136D">
              <w:rPr>
                <w:snapToGrid/>
                <w:color w:val="000000"/>
                <w:kern w:val="0"/>
              </w:rPr>
              <w:t xml:space="preserve">800 </w:t>
            </w:r>
          </w:p>
        </w:tc>
        <w:tc>
          <w:tcPr>
            <w:tcW w:w="1410" w:type="dxa"/>
            <w:vAlign w:val="center"/>
            <w:hideMark/>
          </w:tcPr>
          <w:p w:rsidR="002D50BE" w:rsidP="00746807" w14:paraId="00139E28" w14:textId="77777777">
            <w:pPr>
              <w:jc w:val="center"/>
              <w:rPr>
                <w:color w:val="000000" w:themeColor="text1"/>
              </w:rPr>
            </w:pPr>
            <w:r w:rsidRPr="00550E1C">
              <w:t>98.38</w:t>
            </w:r>
          </w:p>
        </w:tc>
        <w:tc>
          <w:tcPr>
            <w:tcW w:w="1659" w:type="dxa"/>
            <w:hideMark/>
          </w:tcPr>
          <w:p w:rsidR="002D50BE" w:rsidP="00746807" w14:paraId="0BA7159D" w14:textId="77777777">
            <w:pPr>
              <w:jc w:val="center"/>
              <w:rPr>
                <w:color w:val="000000" w:themeColor="text1"/>
              </w:rPr>
            </w:pPr>
            <w:r w:rsidRPr="00550E1C">
              <w:t>127.58</w:t>
            </w:r>
          </w:p>
        </w:tc>
      </w:tr>
      <w:tr w14:paraId="593D11E3" w14:textId="77777777" w:rsidTr="00746807">
        <w:tblPrEx>
          <w:tblW w:w="7020" w:type="dxa"/>
          <w:jc w:val="center"/>
          <w:tblLook w:val="04A0"/>
        </w:tblPrEx>
        <w:trPr>
          <w:trHeight w:val="290"/>
          <w:jc w:val="center"/>
        </w:trPr>
        <w:tc>
          <w:tcPr>
            <w:tcW w:w="1350" w:type="dxa"/>
            <w:vAlign w:val="center"/>
            <w:hideMark/>
          </w:tcPr>
          <w:p w:rsidR="002D50BE" w:rsidRPr="00A942C9" w:rsidP="00746807" w14:paraId="0370B19A" w14:textId="77777777">
            <w:pPr>
              <w:widowControl/>
              <w:jc w:val="center"/>
              <w:rPr>
                <w:snapToGrid/>
                <w:color w:val="000000"/>
                <w:kern w:val="0"/>
              </w:rPr>
            </w:pPr>
            <w:r w:rsidRPr="4FDD136D">
              <w:rPr>
                <w:snapToGrid/>
                <w:color w:val="000000"/>
                <w:kern w:val="0"/>
              </w:rPr>
              <w:t>4</w:t>
            </w:r>
          </w:p>
        </w:tc>
        <w:tc>
          <w:tcPr>
            <w:tcW w:w="1320" w:type="dxa"/>
            <w:vAlign w:val="center"/>
            <w:hideMark/>
          </w:tcPr>
          <w:p w:rsidR="002D50BE" w:rsidRPr="00A942C9" w:rsidP="00746807" w14:paraId="155A1D91" w14:textId="77777777">
            <w:pPr>
              <w:widowControl/>
              <w:jc w:val="center"/>
              <w:rPr>
                <w:snapToGrid/>
                <w:color w:val="000000"/>
                <w:kern w:val="0"/>
              </w:rPr>
            </w:pPr>
            <w:r w:rsidRPr="4FDD136D">
              <w:rPr>
                <w:snapToGrid/>
                <w:color w:val="000000"/>
                <w:kern w:val="0"/>
              </w:rPr>
              <w:t>1</w:t>
            </w:r>
          </w:p>
        </w:tc>
        <w:tc>
          <w:tcPr>
            <w:tcW w:w="1410" w:type="dxa"/>
            <w:vAlign w:val="center"/>
            <w:hideMark/>
          </w:tcPr>
          <w:p w:rsidR="002D50BE" w:rsidRPr="00A942C9" w:rsidP="00746807" w14:paraId="3D2CF521" w14:textId="77777777">
            <w:pPr>
              <w:widowControl/>
              <w:jc w:val="center"/>
              <w:rPr>
                <w:snapToGrid/>
                <w:color w:val="000000"/>
                <w:kern w:val="0"/>
              </w:rPr>
            </w:pPr>
            <w:r w:rsidRPr="4FDD136D">
              <w:rPr>
                <w:snapToGrid/>
                <w:color w:val="000000"/>
                <w:kern w:val="0"/>
              </w:rPr>
              <w:t>Unlimited</w:t>
            </w:r>
          </w:p>
        </w:tc>
        <w:tc>
          <w:tcPr>
            <w:tcW w:w="1410" w:type="dxa"/>
            <w:vAlign w:val="center"/>
            <w:hideMark/>
          </w:tcPr>
          <w:p w:rsidR="002D50BE" w:rsidP="00746807" w14:paraId="00C4C856" w14:textId="77777777">
            <w:pPr>
              <w:jc w:val="center"/>
              <w:rPr>
                <w:color w:val="000000" w:themeColor="text1"/>
              </w:rPr>
            </w:pPr>
            <w:r w:rsidRPr="00550E1C">
              <w:t>98.38</w:t>
            </w:r>
          </w:p>
        </w:tc>
        <w:tc>
          <w:tcPr>
            <w:tcW w:w="1659" w:type="dxa"/>
            <w:hideMark/>
          </w:tcPr>
          <w:p w:rsidR="002D50BE" w:rsidP="00746807" w14:paraId="18463A73" w14:textId="77777777">
            <w:pPr>
              <w:jc w:val="center"/>
              <w:rPr>
                <w:color w:val="000000" w:themeColor="text1"/>
              </w:rPr>
            </w:pPr>
            <w:r w:rsidRPr="00550E1C">
              <w:t>127.58</w:t>
            </w:r>
          </w:p>
        </w:tc>
      </w:tr>
      <w:tr w14:paraId="08914C57" w14:textId="77777777" w:rsidTr="00746807">
        <w:tblPrEx>
          <w:tblW w:w="7020" w:type="dxa"/>
          <w:jc w:val="center"/>
          <w:tblLook w:val="04A0"/>
        </w:tblPrEx>
        <w:trPr>
          <w:trHeight w:val="290"/>
          <w:jc w:val="center"/>
        </w:trPr>
        <w:tc>
          <w:tcPr>
            <w:tcW w:w="1350" w:type="dxa"/>
            <w:vAlign w:val="center"/>
            <w:hideMark/>
          </w:tcPr>
          <w:p w:rsidR="002D50BE" w:rsidRPr="00A942C9" w:rsidP="00746807" w14:paraId="16E41B14" w14:textId="77777777">
            <w:pPr>
              <w:widowControl/>
              <w:jc w:val="center"/>
              <w:rPr>
                <w:snapToGrid/>
                <w:color w:val="000000"/>
                <w:kern w:val="0"/>
              </w:rPr>
            </w:pPr>
            <w:r w:rsidRPr="4FDD136D">
              <w:rPr>
                <w:snapToGrid/>
                <w:color w:val="000000"/>
                <w:kern w:val="0"/>
              </w:rPr>
              <w:t>10</w:t>
            </w:r>
          </w:p>
        </w:tc>
        <w:tc>
          <w:tcPr>
            <w:tcW w:w="1320" w:type="dxa"/>
            <w:vAlign w:val="center"/>
            <w:hideMark/>
          </w:tcPr>
          <w:p w:rsidR="002D50BE" w:rsidRPr="00A942C9" w:rsidP="00746807" w14:paraId="47EF95BF" w14:textId="77777777">
            <w:pPr>
              <w:widowControl/>
              <w:jc w:val="center"/>
              <w:rPr>
                <w:snapToGrid/>
                <w:color w:val="000000"/>
                <w:kern w:val="0"/>
              </w:rPr>
            </w:pPr>
            <w:r w:rsidRPr="4FDD136D">
              <w:rPr>
                <w:snapToGrid/>
                <w:color w:val="000000"/>
                <w:kern w:val="0"/>
              </w:rPr>
              <w:t>1</w:t>
            </w:r>
          </w:p>
        </w:tc>
        <w:tc>
          <w:tcPr>
            <w:tcW w:w="1410" w:type="dxa"/>
            <w:vAlign w:val="center"/>
            <w:hideMark/>
          </w:tcPr>
          <w:p w:rsidR="002D50BE" w:rsidRPr="00A942C9" w:rsidP="00746807" w14:paraId="4D50A52A" w14:textId="77777777">
            <w:pPr>
              <w:widowControl/>
              <w:jc w:val="center"/>
              <w:rPr>
                <w:snapToGrid/>
                <w:color w:val="000000"/>
                <w:kern w:val="0"/>
              </w:rPr>
            </w:pPr>
            <w:r w:rsidRPr="4FDD136D">
              <w:rPr>
                <w:snapToGrid/>
                <w:color w:val="000000"/>
                <w:kern w:val="0"/>
              </w:rPr>
              <w:t xml:space="preserve">800 </w:t>
            </w:r>
          </w:p>
        </w:tc>
        <w:tc>
          <w:tcPr>
            <w:tcW w:w="1410" w:type="dxa"/>
            <w:vAlign w:val="center"/>
            <w:hideMark/>
          </w:tcPr>
          <w:p w:rsidR="002D50BE" w:rsidP="00746807" w14:paraId="29DD21DD" w14:textId="77777777">
            <w:pPr>
              <w:jc w:val="center"/>
              <w:rPr>
                <w:color w:val="000000" w:themeColor="text1"/>
              </w:rPr>
            </w:pPr>
            <w:r w:rsidRPr="00550E1C">
              <w:t>102.68</w:t>
            </w:r>
          </w:p>
        </w:tc>
        <w:tc>
          <w:tcPr>
            <w:tcW w:w="1659" w:type="dxa"/>
            <w:hideMark/>
          </w:tcPr>
          <w:p w:rsidR="002D50BE" w:rsidP="00746807" w14:paraId="2368DA74" w14:textId="77777777">
            <w:pPr>
              <w:jc w:val="center"/>
              <w:rPr>
                <w:color w:val="000000" w:themeColor="text1"/>
              </w:rPr>
            </w:pPr>
            <w:r w:rsidRPr="00550E1C">
              <w:t>127.58</w:t>
            </w:r>
          </w:p>
        </w:tc>
      </w:tr>
      <w:tr w14:paraId="61AB1A4C" w14:textId="77777777" w:rsidTr="00746807">
        <w:tblPrEx>
          <w:tblW w:w="7020" w:type="dxa"/>
          <w:jc w:val="center"/>
          <w:tblLook w:val="04A0"/>
        </w:tblPrEx>
        <w:trPr>
          <w:trHeight w:val="290"/>
          <w:jc w:val="center"/>
        </w:trPr>
        <w:tc>
          <w:tcPr>
            <w:tcW w:w="1350" w:type="dxa"/>
            <w:vAlign w:val="center"/>
            <w:hideMark/>
          </w:tcPr>
          <w:p w:rsidR="002D50BE" w:rsidRPr="00A942C9" w:rsidP="00746807" w14:paraId="492A61EC" w14:textId="77777777">
            <w:pPr>
              <w:widowControl/>
              <w:jc w:val="center"/>
              <w:rPr>
                <w:snapToGrid/>
                <w:color w:val="000000"/>
                <w:kern w:val="0"/>
              </w:rPr>
            </w:pPr>
            <w:r w:rsidRPr="4FDD136D">
              <w:rPr>
                <w:snapToGrid/>
                <w:color w:val="000000"/>
                <w:kern w:val="0"/>
              </w:rPr>
              <w:t>10</w:t>
            </w:r>
          </w:p>
        </w:tc>
        <w:tc>
          <w:tcPr>
            <w:tcW w:w="1320" w:type="dxa"/>
            <w:vAlign w:val="center"/>
            <w:hideMark/>
          </w:tcPr>
          <w:p w:rsidR="002D50BE" w:rsidRPr="00A942C9" w:rsidP="00746807" w14:paraId="79FB7D09" w14:textId="77777777">
            <w:pPr>
              <w:widowControl/>
              <w:jc w:val="center"/>
              <w:rPr>
                <w:snapToGrid/>
                <w:color w:val="000000"/>
                <w:kern w:val="0"/>
              </w:rPr>
            </w:pPr>
            <w:r w:rsidRPr="4FDD136D">
              <w:rPr>
                <w:snapToGrid/>
                <w:color w:val="000000"/>
                <w:kern w:val="0"/>
              </w:rPr>
              <w:t>1</w:t>
            </w:r>
          </w:p>
        </w:tc>
        <w:tc>
          <w:tcPr>
            <w:tcW w:w="1410" w:type="dxa"/>
            <w:vAlign w:val="center"/>
            <w:hideMark/>
          </w:tcPr>
          <w:p w:rsidR="002D50BE" w:rsidRPr="00A942C9" w:rsidP="00746807" w14:paraId="3FF8CE76" w14:textId="77777777">
            <w:pPr>
              <w:widowControl/>
              <w:jc w:val="center"/>
              <w:rPr>
                <w:snapToGrid/>
                <w:color w:val="000000"/>
                <w:kern w:val="0"/>
              </w:rPr>
            </w:pPr>
            <w:r w:rsidRPr="4FDD136D">
              <w:rPr>
                <w:snapToGrid/>
                <w:color w:val="000000"/>
                <w:kern w:val="0"/>
              </w:rPr>
              <w:t>Unlimited</w:t>
            </w:r>
          </w:p>
        </w:tc>
        <w:tc>
          <w:tcPr>
            <w:tcW w:w="1410" w:type="dxa"/>
            <w:vAlign w:val="center"/>
            <w:hideMark/>
          </w:tcPr>
          <w:p w:rsidR="002D50BE" w:rsidP="00746807" w14:paraId="47155903" w14:textId="77777777">
            <w:pPr>
              <w:jc w:val="center"/>
              <w:rPr>
                <w:color w:val="000000" w:themeColor="text1"/>
              </w:rPr>
            </w:pPr>
            <w:r w:rsidRPr="00550E1C">
              <w:t>102.68</w:t>
            </w:r>
          </w:p>
        </w:tc>
        <w:tc>
          <w:tcPr>
            <w:tcW w:w="1659" w:type="dxa"/>
            <w:hideMark/>
          </w:tcPr>
          <w:p w:rsidR="002D50BE" w:rsidP="00746807" w14:paraId="1904A142" w14:textId="77777777">
            <w:pPr>
              <w:jc w:val="center"/>
              <w:rPr>
                <w:color w:val="000000" w:themeColor="text1"/>
              </w:rPr>
            </w:pPr>
            <w:r w:rsidRPr="00550E1C">
              <w:t>127.58</w:t>
            </w:r>
          </w:p>
        </w:tc>
      </w:tr>
      <w:tr w14:paraId="384F8DB7" w14:textId="77777777" w:rsidTr="00746807">
        <w:tblPrEx>
          <w:tblW w:w="7020" w:type="dxa"/>
          <w:jc w:val="center"/>
          <w:tblLook w:val="04A0"/>
        </w:tblPrEx>
        <w:trPr>
          <w:trHeight w:val="290"/>
          <w:jc w:val="center"/>
        </w:trPr>
        <w:tc>
          <w:tcPr>
            <w:tcW w:w="1350" w:type="dxa"/>
            <w:vAlign w:val="center"/>
            <w:hideMark/>
          </w:tcPr>
          <w:p w:rsidR="002D50BE" w:rsidRPr="00A942C9" w:rsidP="00746807" w14:paraId="7C1CADB9" w14:textId="77777777">
            <w:pPr>
              <w:widowControl/>
              <w:jc w:val="center"/>
              <w:rPr>
                <w:snapToGrid/>
                <w:color w:val="000000"/>
                <w:kern w:val="0"/>
              </w:rPr>
            </w:pPr>
            <w:r w:rsidRPr="4FDD136D">
              <w:rPr>
                <w:snapToGrid/>
                <w:color w:val="000000"/>
                <w:kern w:val="0"/>
              </w:rPr>
              <w:t>25</w:t>
            </w:r>
          </w:p>
        </w:tc>
        <w:tc>
          <w:tcPr>
            <w:tcW w:w="1320" w:type="dxa"/>
            <w:vAlign w:val="center"/>
            <w:hideMark/>
          </w:tcPr>
          <w:p w:rsidR="002D50BE" w:rsidRPr="00A942C9" w:rsidP="00746807" w14:paraId="7341836C" w14:textId="77777777">
            <w:pPr>
              <w:widowControl/>
              <w:jc w:val="center"/>
              <w:rPr>
                <w:snapToGrid/>
                <w:color w:val="000000"/>
                <w:kern w:val="0"/>
              </w:rPr>
            </w:pPr>
            <w:r w:rsidRPr="4FDD136D">
              <w:rPr>
                <w:snapToGrid/>
                <w:color w:val="000000"/>
                <w:kern w:val="0"/>
              </w:rPr>
              <w:t>3</w:t>
            </w:r>
          </w:p>
        </w:tc>
        <w:tc>
          <w:tcPr>
            <w:tcW w:w="1410" w:type="dxa"/>
            <w:vAlign w:val="center"/>
            <w:hideMark/>
          </w:tcPr>
          <w:p w:rsidR="002D50BE" w:rsidRPr="00A942C9" w:rsidP="00746807" w14:paraId="335BB1C2" w14:textId="77777777">
            <w:pPr>
              <w:widowControl/>
              <w:jc w:val="center"/>
              <w:rPr>
                <w:snapToGrid/>
                <w:color w:val="000000"/>
                <w:kern w:val="0"/>
              </w:rPr>
            </w:pPr>
            <w:r w:rsidRPr="4FDD136D">
              <w:rPr>
                <w:snapToGrid/>
                <w:color w:val="000000"/>
                <w:kern w:val="0"/>
              </w:rPr>
              <w:t xml:space="preserve">800 </w:t>
            </w:r>
          </w:p>
        </w:tc>
        <w:tc>
          <w:tcPr>
            <w:tcW w:w="1410" w:type="dxa"/>
            <w:vAlign w:val="center"/>
            <w:hideMark/>
          </w:tcPr>
          <w:p w:rsidR="002D50BE" w:rsidP="00746807" w14:paraId="5FBF2C20" w14:textId="77777777">
            <w:pPr>
              <w:jc w:val="center"/>
              <w:rPr>
                <w:color w:val="000000" w:themeColor="text1"/>
              </w:rPr>
            </w:pPr>
            <w:r w:rsidRPr="00550E1C">
              <w:t>106.66</w:t>
            </w:r>
          </w:p>
        </w:tc>
        <w:tc>
          <w:tcPr>
            <w:tcW w:w="1659" w:type="dxa"/>
            <w:hideMark/>
          </w:tcPr>
          <w:p w:rsidR="002D50BE" w:rsidP="00746807" w14:paraId="440CC0DC" w14:textId="77777777">
            <w:pPr>
              <w:jc w:val="center"/>
              <w:rPr>
                <w:color w:val="000000" w:themeColor="text1"/>
              </w:rPr>
            </w:pPr>
            <w:r w:rsidRPr="00550E1C">
              <w:t>127.67</w:t>
            </w:r>
          </w:p>
        </w:tc>
      </w:tr>
      <w:tr w14:paraId="79F52BF2" w14:textId="77777777" w:rsidTr="00746807">
        <w:tblPrEx>
          <w:tblW w:w="7020" w:type="dxa"/>
          <w:jc w:val="center"/>
          <w:tblLook w:val="04A0"/>
        </w:tblPrEx>
        <w:trPr>
          <w:trHeight w:val="290"/>
          <w:jc w:val="center"/>
        </w:trPr>
        <w:tc>
          <w:tcPr>
            <w:tcW w:w="1350" w:type="dxa"/>
            <w:vAlign w:val="center"/>
            <w:hideMark/>
          </w:tcPr>
          <w:p w:rsidR="002D50BE" w:rsidRPr="00A942C9" w:rsidP="00746807" w14:paraId="5EFC7E7E" w14:textId="77777777">
            <w:pPr>
              <w:widowControl/>
              <w:jc w:val="center"/>
              <w:rPr>
                <w:snapToGrid/>
                <w:color w:val="000000"/>
                <w:kern w:val="0"/>
              </w:rPr>
            </w:pPr>
            <w:r w:rsidRPr="4FDD136D">
              <w:rPr>
                <w:snapToGrid/>
                <w:color w:val="000000"/>
                <w:kern w:val="0"/>
              </w:rPr>
              <w:t>25</w:t>
            </w:r>
          </w:p>
        </w:tc>
        <w:tc>
          <w:tcPr>
            <w:tcW w:w="1320" w:type="dxa"/>
            <w:vAlign w:val="center"/>
            <w:hideMark/>
          </w:tcPr>
          <w:p w:rsidR="002D50BE" w:rsidRPr="00A942C9" w:rsidP="00746807" w14:paraId="178D9FE3" w14:textId="77777777">
            <w:pPr>
              <w:widowControl/>
              <w:jc w:val="center"/>
              <w:rPr>
                <w:snapToGrid/>
                <w:color w:val="000000"/>
                <w:kern w:val="0"/>
              </w:rPr>
            </w:pPr>
            <w:r w:rsidRPr="4FDD136D">
              <w:rPr>
                <w:snapToGrid/>
                <w:color w:val="000000"/>
                <w:kern w:val="0"/>
              </w:rPr>
              <w:t>3</w:t>
            </w:r>
          </w:p>
        </w:tc>
        <w:tc>
          <w:tcPr>
            <w:tcW w:w="1410" w:type="dxa"/>
            <w:vAlign w:val="center"/>
            <w:hideMark/>
          </w:tcPr>
          <w:p w:rsidR="002D50BE" w:rsidRPr="00A942C9" w:rsidP="00746807" w14:paraId="2F3B8176" w14:textId="77777777">
            <w:pPr>
              <w:widowControl/>
              <w:jc w:val="center"/>
              <w:rPr>
                <w:snapToGrid/>
                <w:color w:val="000000"/>
                <w:kern w:val="0"/>
              </w:rPr>
            </w:pPr>
            <w:r w:rsidRPr="4FDD136D">
              <w:rPr>
                <w:snapToGrid/>
                <w:color w:val="000000"/>
                <w:kern w:val="0"/>
              </w:rPr>
              <w:t>Unlimited</w:t>
            </w:r>
          </w:p>
        </w:tc>
        <w:tc>
          <w:tcPr>
            <w:tcW w:w="1410" w:type="dxa"/>
            <w:vAlign w:val="center"/>
            <w:hideMark/>
          </w:tcPr>
          <w:p w:rsidR="002D50BE" w:rsidP="00746807" w14:paraId="18E255F9" w14:textId="77777777">
            <w:pPr>
              <w:jc w:val="center"/>
              <w:rPr>
                <w:color w:val="000000" w:themeColor="text1"/>
              </w:rPr>
            </w:pPr>
            <w:r w:rsidRPr="00550E1C">
              <w:t>106.66</w:t>
            </w:r>
          </w:p>
        </w:tc>
        <w:tc>
          <w:tcPr>
            <w:tcW w:w="1659" w:type="dxa"/>
            <w:hideMark/>
          </w:tcPr>
          <w:p w:rsidR="002D50BE" w:rsidP="00746807" w14:paraId="3E08FD96" w14:textId="77777777">
            <w:pPr>
              <w:jc w:val="center"/>
              <w:rPr>
                <w:color w:val="000000" w:themeColor="text1"/>
              </w:rPr>
            </w:pPr>
            <w:r w:rsidRPr="00550E1C">
              <w:t>127.67</w:t>
            </w:r>
          </w:p>
        </w:tc>
      </w:tr>
      <w:tr w14:paraId="7237A073" w14:textId="77777777" w:rsidTr="00746807">
        <w:tblPrEx>
          <w:tblW w:w="7020" w:type="dxa"/>
          <w:jc w:val="center"/>
          <w:tblLook w:val="04A0"/>
        </w:tblPrEx>
        <w:trPr>
          <w:trHeight w:val="290"/>
          <w:jc w:val="center"/>
        </w:trPr>
        <w:tc>
          <w:tcPr>
            <w:tcW w:w="1350" w:type="dxa"/>
            <w:vAlign w:val="center"/>
            <w:hideMark/>
          </w:tcPr>
          <w:p w:rsidR="002D50BE" w:rsidRPr="00A942C9" w:rsidP="00746807" w14:paraId="4DA3D58E" w14:textId="77777777">
            <w:pPr>
              <w:widowControl/>
              <w:jc w:val="center"/>
              <w:rPr>
                <w:snapToGrid/>
                <w:color w:val="000000"/>
                <w:kern w:val="0"/>
              </w:rPr>
            </w:pPr>
            <w:r w:rsidRPr="4FDD136D">
              <w:rPr>
                <w:snapToGrid/>
                <w:color w:val="000000"/>
                <w:kern w:val="0"/>
              </w:rPr>
              <w:t>25</w:t>
            </w:r>
          </w:p>
        </w:tc>
        <w:tc>
          <w:tcPr>
            <w:tcW w:w="1320" w:type="dxa"/>
            <w:vAlign w:val="center"/>
            <w:hideMark/>
          </w:tcPr>
          <w:p w:rsidR="002D50BE" w:rsidRPr="00A942C9" w:rsidP="00746807" w14:paraId="21447F21" w14:textId="77777777">
            <w:pPr>
              <w:widowControl/>
              <w:jc w:val="center"/>
              <w:rPr>
                <w:snapToGrid/>
                <w:color w:val="000000"/>
                <w:kern w:val="0"/>
              </w:rPr>
            </w:pPr>
            <w:r w:rsidRPr="4FDD136D">
              <w:rPr>
                <w:snapToGrid/>
                <w:color w:val="000000"/>
                <w:kern w:val="0"/>
              </w:rPr>
              <w:t>5</w:t>
            </w:r>
          </w:p>
        </w:tc>
        <w:tc>
          <w:tcPr>
            <w:tcW w:w="1410" w:type="dxa"/>
            <w:vAlign w:val="center"/>
            <w:hideMark/>
          </w:tcPr>
          <w:p w:rsidR="002D50BE" w:rsidRPr="00A942C9" w:rsidP="00746807" w14:paraId="5BCDE6F5" w14:textId="77777777">
            <w:pPr>
              <w:widowControl/>
              <w:jc w:val="center"/>
              <w:rPr>
                <w:snapToGrid/>
                <w:color w:val="000000"/>
                <w:kern w:val="0"/>
              </w:rPr>
            </w:pPr>
            <w:r w:rsidRPr="4FDD136D">
              <w:rPr>
                <w:snapToGrid/>
                <w:color w:val="000000"/>
                <w:kern w:val="0"/>
              </w:rPr>
              <w:t xml:space="preserve">800 </w:t>
            </w:r>
          </w:p>
        </w:tc>
        <w:tc>
          <w:tcPr>
            <w:tcW w:w="1410" w:type="dxa"/>
            <w:vAlign w:val="center"/>
            <w:hideMark/>
          </w:tcPr>
          <w:p w:rsidR="002D50BE" w:rsidP="00746807" w14:paraId="05223A45" w14:textId="77777777">
            <w:pPr>
              <w:jc w:val="center"/>
              <w:rPr>
                <w:color w:val="000000" w:themeColor="text1"/>
              </w:rPr>
            </w:pPr>
            <w:r w:rsidRPr="00550E1C">
              <w:t>104.55</w:t>
            </w:r>
          </w:p>
        </w:tc>
        <w:tc>
          <w:tcPr>
            <w:tcW w:w="1659" w:type="dxa"/>
            <w:hideMark/>
          </w:tcPr>
          <w:p w:rsidR="002D50BE" w:rsidP="00746807" w14:paraId="0D2226D0" w14:textId="77777777">
            <w:pPr>
              <w:jc w:val="center"/>
              <w:rPr>
                <w:color w:val="000000" w:themeColor="text1"/>
              </w:rPr>
            </w:pPr>
            <w:r w:rsidRPr="00550E1C">
              <w:t>127.49</w:t>
            </w:r>
          </w:p>
        </w:tc>
      </w:tr>
      <w:tr w14:paraId="35B382E2" w14:textId="77777777" w:rsidTr="00746807">
        <w:tblPrEx>
          <w:tblW w:w="7020" w:type="dxa"/>
          <w:jc w:val="center"/>
          <w:tblLook w:val="04A0"/>
        </w:tblPrEx>
        <w:trPr>
          <w:trHeight w:val="290"/>
          <w:jc w:val="center"/>
        </w:trPr>
        <w:tc>
          <w:tcPr>
            <w:tcW w:w="1350" w:type="dxa"/>
            <w:vAlign w:val="center"/>
            <w:hideMark/>
          </w:tcPr>
          <w:p w:rsidR="002D50BE" w:rsidRPr="00A942C9" w:rsidP="00746807" w14:paraId="5B134008" w14:textId="77777777">
            <w:pPr>
              <w:widowControl/>
              <w:jc w:val="center"/>
              <w:rPr>
                <w:snapToGrid/>
                <w:color w:val="000000"/>
                <w:kern w:val="0"/>
              </w:rPr>
            </w:pPr>
            <w:r w:rsidRPr="4FDD136D">
              <w:rPr>
                <w:snapToGrid/>
                <w:color w:val="000000"/>
                <w:kern w:val="0"/>
              </w:rPr>
              <w:t>25</w:t>
            </w:r>
          </w:p>
        </w:tc>
        <w:tc>
          <w:tcPr>
            <w:tcW w:w="1320" w:type="dxa"/>
            <w:vAlign w:val="center"/>
            <w:hideMark/>
          </w:tcPr>
          <w:p w:rsidR="002D50BE" w:rsidRPr="00A942C9" w:rsidP="00746807" w14:paraId="0C8C4E3F" w14:textId="77777777">
            <w:pPr>
              <w:widowControl/>
              <w:jc w:val="center"/>
              <w:rPr>
                <w:snapToGrid/>
                <w:color w:val="000000"/>
                <w:kern w:val="0"/>
              </w:rPr>
            </w:pPr>
            <w:r w:rsidRPr="4FDD136D">
              <w:rPr>
                <w:snapToGrid/>
                <w:color w:val="000000"/>
                <w:kern w:val="0"/>
              </w:rPr>
              <w:t>5</w:t>
            </w:r>
          </w:p>
        </w:tc>
        <w:tc>
          <w:tcPr>
            <w:tcW w:w="1410" w:type="dxa"/>
            <w:vAlign w:val="center"/>
            <w:hideMark/>
          </w:tcPr>
          <w:p w:rsidR="002D50BE" w:rsidRPr="00A942C9" w:rsidP="00746807" w14:paraId="7DA28A78" w14:textId="77777777">
            <w:pPr>
              <w:widowControl/>
              <w:jc w:val="center"/>
              <w:rPr>
                <w:snapToGrid/>
                <w:color w:val="000000"/>
                <w:kern w:val="0"/>
              </w:rPr>
            </w:pPr>
            <w:r w:rsidRPr="4FDD136D">
              <w:rPr>
                <w:snapToGrid/>
                <w:color w:val="000000"/>
                <w:kern w:val="0"/>
              </w:rPr>
              <w:t>Unlimited</w:t>
            </w:r>
          </w:p>
        </w:tc>
        <w:tc>
          <w:tcPr>
            <w:tcW w:w="1410" w:type="dxa"/>
            <w:vAlign w:val="center"/>
            <w:hideMark/>
          </w:tcPr>
          <w:p w:rsidR="002D50BE" w:rsidP="00746807" w14:paraId="5FA717A6" w14:textId="77777777">
            <w:pPr>
              <w:jc w:val="center"/>
              <w:rPr>
                <w:color w:val="000000" w:themeColor="text1"/>
              </w:rPr>
            </w:pPr>
            <w:r w:rsidRPr="00550E1C">
              <w:t>104.55</w:t>
            </w:r>
          </w:p>
        </w:tc>
        <w:tc>
          <w:tcPr>
            <w:tcW w:w="1659" w:type="dxa"/>
            <w:hideMark/>
          </w:tcPr>
          <w:p w:rsidR="002D50BE" w:rsidP="00746807" w14:paraId="28433776" w14:textId="77777777">
            <w:pPr>
              <w:jc w:val="center"/>
              <w:rPr>
                <w:color w:val="000000" w:themeColor="text1"/>
              </w:rPr>
            </w:pPr>
            <w:r w:rsidRPr="00550E1C">
              <w:t>127.49</w:t>
            </w:r>
          </w:p>
        </w:tc>
      </w:tr>
      <w:tr w14:paraId="2482B339" w14:textId="77777777" w:rsidTr="00746807">
        <w:tblPrEx>
          <w:tblW w:w="7020" w:type="dxa"/>
          <w:jc w:val="center"/>
          <w:tblLook w:val="04A0"/>
        </w:tblPrEx>
        <w:trPr>
          <w:trHeight w:val="290"/>
          <w:jc w:val="center"/>
        </w:trPr>
        <w:tc>
          <w:tcPr>
            <w:tcW w:w="1350" w:type="dxa"/>
            <w:vAlign w:val="center"/>
            <w:hideMark/>
          </w:tcPr>
          <w:p w:rsidR="002D50BE" w:rsidRPr="00A942C9" w:rsidP="00746807" w14:paraId="42B0E9D9" w14:textId="77777777">
            <w:pPr>
              <w:widowControl/>
              <w:jc w:val="center"/>
              <w:rPr>
                <w:snapToGrid/>
                <w:color w:val="000000"/>
                <w:kern w:val="0"/>
              </w:rPr>
            </w:pPr>
            <w:r w:rsidRPr="4FDD136D">
              <w:rPr>
                <w:snapToGrid/>
                <w:color w:val="000000"/>
                <w:kern w:val="0"/>
              </w:rPr>
              <w:t>50</w:t>
            </w:r>
          </w:p>
        </w:tc>
        <w:tc>
          <w:tcPr>
            <w:tcW w:w="1320" w:type="dxa"/>
            <w:vAlign w:val="center"/>
            <w:hideMark/>
          </w:tcPr>
          <w:p w:rsidR="002D50BE" w:rsidRPr="00A942C9" w:rsidP="00746807" w14:paraId="18080A31" w14:textId="77777777">
            <w:pPr>
              <w:widowControl/>
              <w:jc w:val="center"/>
              <w:rPr>
                <w:snapToGrid/>
                <w:color w:val="000000"/>
                <w:kern w:val="0"/>
              </w:rPr>
            </w:pPr>
            <w:r w:rsidRPr="4FDD136D">
              <w:rPr>
                <w:snapToGrid/>
                <w:color w:val="000000"/>
                <w:kern w:val="0"/>
              </w:rPr>
              <w:t>5</w:t>
            </w:r>
          </w:p>
        </w:tc>
        <w:tc>
          <w:tcPr>
            <w:tcW w:w="1410" w:type="dxa"/>
            <w:vAlign w:val="center"/>
            <w:hideMark/>
          </w:tcPr>
          <w:p w:rsidR="002D50BE" w:rsidRPr="00A942C9" w:rsidP="00746807" w14:paraId="077BC3E9" w14:textId="77777777">
            <w:pPr>
              <w:widowControl/>
              <w:jc w:val="center"/>
              <w:rPr>
                <w:snapToGrid/>
                <w:color w:val="000000"/>
                <w:kern w:val="0"/>
              </w:rPr>
            </w:pPr>
            <w:r w:rsidRPr="4FDD136D">
              <w:rPr>
                <w:snapToGrid/>
                <w:color w:val="000000"/>
                <w:kern w:val="0"/>
              </w:rPr>
              <w:t xml:space="preserve">800 </w:t>
            </w:r>
          </w:p>
        </w:tc>
        <w:tc>
          <w:tcPr>
            <w:tcW w:w="1410" w:type="dxa"/>
            <w:vAlign w:val="center"/>
            <w:hideMark/>
          </w:tcPr>
          <w:p w:rsidR="002D50BE" w:rsidP="00746807" w14:paraId="32176769" w14:textId="77777777">
            <w:pPr>
              <w:jc w:val="center"/>
              <w:rPr>
                <w:color w:val="000000" w:themeColor="text1"/>
              </w:rPr>
            </w:pPr>
            <w:r w:rsidRPr="00550E1C">
              <w:t>104.79</w:t>
            </w:r>
          </w:p>
        </w:tc>
        <w:tc>
          <w:tcPr>
            <w:tcW w:w="1659" w:type="dxa"/>
            <w:hideMark/>
          </w:tcPr>
          <w:p w:rsidR="002D50BE" w:rsidP="00746807" w14:paraId="46E6EF9A" w14:textId="77777777">
            <w:pPr>
              <w:jc w:val="center"/>
              <w:rPr>
                <w:color w:val="000000" w:themeColor="text1"/>
              </w:rPr>
            </w:pPr>
            <w:r w:rsidRPr="00550E1C">
              <w:t>127.49</w:t>
            </w:r>
          </w:p>
        </w:tc>
      </w:tr>
      <w:tr w14:paraId="47FC4FEB" w14:textId="77777777" w:rsidTr="00746807">
        <w:tblPrEx>
          <w:tblW w:w="7020" w:type="dxa"/>
          <w:jc w:val="center"/>
          <w:tblLook w:val="04A0"/>
        </w:tblPrEx>
        <w:trPr>
          <w:trHeight w:val="290"/>
          <w:jc w:val="center"/>
        </w:trPr>
        <w:tc>
          <w:tcPr>
            <w:tcW w:w="1350" w:type="dxa"/>
            <w:vAlign w:val="center"/>
            <w:hideMark/>
          </w:tcPr>
          <w:p w:rsidR="002D50BE" w:rsidRPr="00A942C9" w:rsidP="00746807" w14:paraId="45226819" w14:textId="77777777">
            <w:pPr>
              <w:widowControl/>
              <w:jc w:val="center"/>
              <w:rPr>
                <w:snapToGrid/>
                <w:color w:val="000000"/>
                <w:kern w:val="0"/>
              </w:rPr>
            </w:pPr>
            <w:r w:rsidRPr="4FDD136D">
              <w:rPr>
                <w:snapToGrid/>
                <w:color w:val="000000"/>
                <w:kern w:val="0"/>
              </w:rPr>
              <w:t>50</w:t>
            </w:r>
          </w:p>
        </w:tc>
        <w:tc>
          <w:tcPr>
            <w:tcW w:w="1320" w:type="dxa"/>
            <w:vAlign w:val="center"/>
            <w:hideMark/>
          </w:tcPr>
          <w:p w:rsidR="002D50BE" w:rsidRPr="00A942C9" w:rsidP="00746807" w14:paraId="5400717B" w14:textId="77777777">
            <w:pPr>
              <w:widowControl/>
              <w:jc w:val="center"/>
              <w:rPr>
                <w:snapToGrid/>
                <w:color w:val="000000"/>
                <w:kern w:val="0"/>
              </w:rPr>
            </w:pPr>
            <w:r w:rsidRPr="4FDD136D">
              <w:rPr>
                <w:snapToGrid/>
                <w:color w:val="000000"/>
                <w:kern w:val="0"/>
              </w:rPr>
              <w:t>5</w:t>
            </w:r>
          </w:p>
        </w:tc>
        <w:tc>
          <w:tcPr>
            <w:tcW w:w="1410" w:type="dxa"/>
            <w:vAlign w:val="center"/>
            <w:hideMark/>
          </w:tcPr>
          <w:p w:rsidR="002D50BE" w:rsidRPr="00A942C9" w:rsidP="00746807" w14:paraId="300E52D4" w14:textId="77777777">
            <w:pPr>
              <w:widowControl/>
              <w:jc w:val="center"/>
              <w:rPr>
                <w:snapToGrid/>
                <w:color w:val="000000"/>
                <w:kern w:val="0"/>
              </w:rPr>
            </w:pPr>
            <w:r w:rsidRPr="4FDD136D">
              <w:rPr>
                <w:snapToGrid/>
                <w:color w:val="000000"/>
                <w:kern w:val="0"/>
              </w:rPr>
              <w:t>Unlimited</w:t>
            </w:r>
          </w:p>
        </w:tc>
        <w:tc>
          <w:tcPr>
            <w:tcW w:w="1410" w:type="dxa"/>
            <w:vAlign w:val="center"/>
            <w:hideMark/>
          </w:tcPr>
          <w:p w:rsidR="002D50BE" w:rsidP="00746807" w14:paraId="308C4C02" w14:textId="77777777">
            <w:pPr>
              <w:jc w:val="center"/>
              <w:rPr>
                <w:color w:val="000000" w:themeColor="text1"/>
              </w:rPr>
            </w:pPr>
            <w:r w:rsidRPr="00550E1C">
              <w:t>104.79</w:t>
            </w:r>
          </w:p>
        </w:tc>
        <w:tc>
          <w:tcPr>
            <w:tcW w:w="1659" w:type="dxa"/>
            <w:hideMark/>
          </w:tcPr>
          <w:p w:rsidR="002D50BE" w:rsidP="00746807" w14:paraId="114CBD06" w14:textId="77777777">
            <w:pPr>
              <w:jc w:val="center"/>
              <w:rPr>
                <w:color w:val="000000" w:themeColor="text1"/>
              </w:rPr>
            </w:pPr>
            <w:r w:rsidRPr="00550E1C">
              <w:t>127.49</w:t>
            </w:r>
          </w:p>
        </w:tc>
      </w:tr>
      <w:tr w14:paraId="443EE5FE" w14:textId="77777777" w:rsidTr="00746807">
        <w:tblPrEx>
          <w:tblW w:w="7020" w:type="dxa"/>
          <w:jc w:val="center"/>
          <w:tblLook w:val="04A0"/>
        </w:tblPrEx>
        <w:trPr>
          <w:trHeight w:val="290"/>
          <w:jc w:val="center"/>
        </w:trPr>
        <w:tc>
          <w:tcPr>
            <w:tcW w:w="1350" w:type="dxa"/>
            <w:vAlign w:val="center"/>
            <w:hideMark/>
          </w:tcPr>
          <w:p w:rsidR="002D50BE" w:rsidRPr="00A942C9" w:rsidP="00746807" w14:paraId="3592C1D0" w14:textId="77777777">
            <w:pPr>
              <w:widowControl/>
              <w:jc w:val="center"/>
              <w:rPr>
                <w:snapToGrid/>
                <w:color w:val="000000"/>
                <w:kern w:val="0"/>
              </w:rPr>
            </w:pPr>
            <w:r w:rsidRPr="4FDD136D">
              <w:rPr>
                <w:snapToGrid/>
                <w:color w:val="000000"/>
                <w:kern w:val="0"/>
              </w:rPr>
              <w:t>100</w:t>
            </w:r>
          </w:p>
        </w:tc>
        <w:tc>
          <w:tcPr>
            <w:tcW w:w="1320" w:type="dxa"/>
            <w:vAlign w:val="center"/>
            <w:hideMark/>
          </w:tcPr>
          <w:p w:rsidR="002D50BE" w:rsidRPr="00A942C9" w:rsidP="00746807" w14:paraId="5A22216D" w14:textId="77777777">
            <w:pPr>
              <w:widowControl/>
              <w:jc w:val="center"/>
              <w:rPr>
                <w:snapToGrid/>
                <w:color w:val="000000"/>
                <w:kern w:val="0"/>
              </w:rPr>
            </w:pPr>
            <w:r w:rsidRPr="4FDD136D">
              <w:rPr>
                <w:snapToGrid/>
                <w:color w:val="000000"/>
                <w:kern w:val="0"/>
              </w:rPr>
              <w:t>10</w:t>
            </w:r>
          </w:p>
        </w:tc>
        <w:tc>
          <w:tcPr>
            <w:tcW w:w="1410" w:type="dxa"/>
            <w:vAlign w:val="center"/>
            <w:hideMark/>
          </w:tcPr>
          <w:p w:rsidR="002D50BE" w:rsidRPr="00A942C9" w:rsidP="00746807" w14:paraId="6A693CC5" w14:textId="77777777">
            <w:pPr>
              <w:widowControl/>
              <w:jc w:val="center"/>
              <w:rPr>
                <w:snapToGrid/>
                <w:color w:val="000000"/>
                <w:kern w:val="0"/>
              </w:rPr>
            </w:pPr>
            <w:r w:rsidRPr="4FDD136D">
              <w:rPr>
                <w:snapToGrid/>
                <w:color w:val="000000"/>
                <w:kern w:val="0"/>
              </w:rPr>
              <w:t>Unlimited</w:t>
            </w:r>
          </w:p>
        </w:tc>
        <w:tc>
          <w:tcPr>
            <w:tcW w:w="1410" w:type="dxa"/>
            <w:vAlign w:val="center"/>
            <w:hideMark/>
          </w:tcPr>
          <w:p w:rsidR="002D50BE" w:rsidP="00746807" w14:paraId="624D3A2A" w14:textId="77777777">
            <w:pPr>
              <w:jc w:val="center"/>
              <w:rPr>
                <w:color w:val="000000" w:themeColor="text1"/>
              </w:rPr>
            </w:pPr>
            <w:r w:rsidRPr="00550E1C">
              <w:t>94.95</w:t>
            </w:r>
          </w:p>
        </w:tc>
        <w:tc>
          <w:tcPr>
            <w:tcW w:w="1659" w:type="dxa"/>
            <w:hideMark/>
          </w:tcPr>
          <w:p w:rsidR="002D50BE" w:rsidP="00746807" w14:paraId="47BD4CFA" w14:textId="77777777">
            <w:pPr>
              <w:jc w:val="center"/>
              <w:rPr>
                <w:color w:val="000000" w:themeColor="text1"/>
              </w:rPr>
            </w:pPr>
            <w:r w:rsidRPr="00550E1C">
              <w:t>127.21</w:t>
            </w:r>
          </w:p>
        </w:tc>
      </w:tr>
      <w:tr w14:paraId="4BD7A701" w14:textId="77777777" w:rsidTr="00746807">
        <w:tblPrEx>
          <w:tblW w:w="7020" w:type="dxa"/>
          <w:jc w:val="center"/>
          <w:tblLook w:val="04A0"/>
        </w:tblPrEx>
        <w:trPr>
          <w:trHeight w:val="290"/>
          <w:jc w:val="center"/>
        </w:trPr>
        <w:tc>
          <w:tcPr>
            <w:tcW w:w="1350" w:type="dxa"/>
            <w:vAlign w:val="center"/>
            <w:hideMark/>
          </w:tcPr>
          <w:p w:rsidR="002D50BE" w:rsidRPr="00A942C9" w:rsidP="00746807" w14:paraId="3C0A0C94" w14:textId="77777777">
            <w:pPr>
              <w:widowControl/>
              <w:jc w:val="center"/>
              <w:rPr>
                <w:snapToGrid/>
                <w:color w:val="000000"/>
                <w:kern w:val="0"/>
              </w:rPr>
            </w:pPr>
            <w:r w:rsidRPr="4FDD136D">
              <w:rPr>
                <w:snapToGrid/>
                <w:color w:val="000000"/>
                <w:kern w:val="0"/>
              </w:rPr>
              <w:t>100</w:t>
            </w:r>
          </w:p>
        </w:tc>
        <w:tc>
          <w:tcPr>
            <w:tcW w:w="1320" w:type="dxa"/>
            <w:vAlign w:val="center"/>
            <w:hideMark/>
          </w:tcPr>
          <w:p w:rsidR="002D50BE" w:rsidRPr="00A942C9" w:rsidP="00746807" w14:paraId="6891524B" w14:textId="77777777">
            <w:pPr>
              <w:widowControl/>
              <w:jc w:val="center"/>
              <w:rPr>
                <w:snapToGrid/>
                <w:color w:val="000000"/>
                <w:kern w:val="0"/>
              </w:rPr>
            </w:pPr>
            <w:r w:rsidRPr="4FDD136D">
              <w:rPr>
                <w:snapToGrid/>
                <w:color w:val="000000"/>
                <w:kern w:val="0"/>
              </w:rPr>
              <w:t>20</w:t>
            </w:r>
          </w:p>
        </w:tc>
        <w:tc>
          <w:tcPr>
            <w:tcW w:w="1410" w:type="dxa"/>
            <w:vAlign w:val="center"/>
            <w:hideMark/>
          </w:tcPr>
          <w:p w:rsidR="002D50BE" w:rsidRPr="00A942C9" w:rsidP="00746807" w14:paraId="2A0F00DB" w14:textId="77777777">
            <w:pPr>
              <w:widowControl/>
              <w:jc w:val="center"/>
              <w:rPr>
                <w:snapToGrid/>
                <w:color w:val="000000"/>
                <w:kern w:val="0"/>
              </w:rPr>
            </w:pPr>
            <w:r w:rsidRPr="4FDD136D">
              <w:rPr>
                <w:snapToGrid/>
                <w:color w:val="000000"/>
                <w:kern w:val="0"/>
              </w:rPr>
              <w:t xml:space="preserve">800 </w:t>
            </w:r>
          </w:p>
        </w:tc>
        <w:tc>
          <w:tcPr>
            <w:tcW w:w="1410" w:type="dxa"/>
            <w:vAlign w:val="center"/>
            <w:hideMark/>
          </w:tcPr>
          <w:p w:rsidR="002D50BE" w:rsidP="00746807" w14:paraId="1CA0A3D5" w14:textId="77777777">
            <w:pPr>
              <w:jc w:val="center"/>
              <w:rPr>
                <w:color w:val="000000" w:themeColor="text1"/>
              </w:rPr>
            </w:pPr>
            <w:r w:rsidRPr="00550E1C">
              <w:t>96.46</w:t>
            </w:r>
          </w:p>
        </w:tc>
        <w:tc>
          <w:tcPr>
            <w:tcW w:w="1659" w:type="dxa"/>
            <w:hideMark/>
          </w:tcPr>
          <w:p w:rsidR="002D50BE" w:rsidP="00746807" w14:paraId="59B9E6CA" w14:textId="77777777">
            <w:pPr>
              <w:jc w:val="center"/>
              <w:rPr>
                <w:color w:val="000000" w:themeColor="text1"/>
              </w:rPr>
            </w:pPr>
            <w:r w:rsidRPr="00550E1C">
              <w:t>127.49</w:t>
            </w:r>
          </w:p>
        </w:tc>
      </w:tr>
      <w:tr w14:paraId="5383F5FE" w14:textId="77777777" w:rsidTr="00746807">
        <w:tblPrEx>
          <w:tblW w:w="7020" w:type="dxa"/>
          <w:jc w:val="center"/>
          <w:tblLook w:val="04A0"/>
        </w:tblPrEx>
        <w:trPr>
          <w:trHeight w:val="300"/>
          <w:jc w:val="center"/>
        </w:trPr>
        <w:tc>
          <w:tcPr>
            <w:tcW w:w="1350" w:type="dxa"/>
            <w:tcBorders>
              <w:top w:val="single" w:sz="4" w:space="0" w:color="auto"/>
              <w:left w:val="single" w:sz="4" w:space="0" w:color="auto"/>
              <w:bottom w:val="single" w:sz="4" w:space="0" w:color="auto"/>
              <w:right w:val="single" w:sz="4" w:space="0" w:color="auto"/>
            </w:tcBorders>
            <w:vAlign w:val="center"/>
            <w:hideMark/>
          </w:tcPr>
          <w:p w:rsidR="002D50BE" w:rsidRPr="00A942C9" w:rsidP="00746807" w14:paraId="2B2EA01D" w14:textId="77777777">
            <w:pPr>
              <w:widowControl/>
              <w:jc w:val="center"/>
              <w:rPr>
                <w:snapToGrid/>
                <w:color w:val="000000"/>
                <w:kern w:val="0"/>
              </w:rPr>
            </w:pPr>
            <w:r w:rsidRPr="4FDD136D">
              <w:rPr>
                <w:snapToGrid/>
                <w:color w:val="000000"/>
                <w:kern w:val="0"/>
              </w:rPr>
              <w:t>100</w:t>
            </w:r>
          </w:p>
        </w:tc>
        <w:tc>
          <w:tcPr>
            <w:tcW w:w="1320" w:type="dxa"/>
            <w:tcBorders>
              <w:top w:val="single" w:sz="4" w:space="0" w:color="auto"/>
              <w:left w:val="single" w:sz="4" w:space="0" w:color="auto"/>
              <w:bottom w:val="single" w:sz="4" w:space="0" w:color="auto"/>
              <w:right w:val="single" w:sz="4" w:space="0" w:color="auto"/>
            </w:tcBorders>
            <w:vAlign w:val="center"/>
            <w:hideMark/>
          </w:tcPr>
          <w:p w:rsidR="002D50BE" w:rsidRPr="00A942C9" w:rsidP="00746807" w14:paraId="36C14EB4" w14:textId="77777777">
            <w:pPr>
              <w:widowControl/>
              <w:jc w:val="center"/>
              <w:rPr>
                <w:snapToGrid/>
                <w:color w:val="000000"/>
                <w:kern w:val="0"/>
              </w:rPr>
            </w:pPr>
            <w:r w:rsidRPr="4FDD136D">
              <w:rPr>
                <w:snapToGrid/>
                <w:color w:val="000000"/>
                <w:kern w:val="0"/>
              </w:rPr>
              <w:t>20</w:t>
            </w:r>
          </w:p>
        </w:tc>
        <w:tc>
          <w:tcPr>
            <w:tcW w:w="1410" w:type="dxa"/>
            <w:tcBorders>
              <w:top w:val="single" w:sz="4" w:space="0" w:color="auto"/>
              <w:left w:val="single" w:sz="4" w:space="0" w:color="auto"/>
              <w:bottom w:val="single" w:sz="4" w:space="0" w:color="auto"/>
              <w:right w:val="single" w:sz="4" w:space="0" w:color="auto"/>
            </w:tcBorders>
            <w:vAlign w:val="center"/>
            <w:hideMark/>
          </w:tcPr>
          <w:p w:rsidR="002D50BE" w:rsidRPr="00A942C9" w:rsidP="00746807" w14:paraId="30F524E3" w14:textId="77777777">
            <w:pPr>
              <w:widowControl/>
              <w:jc w:val="center"/>
              <w:rPr>
                <w:snapToGrid/>
                <w:color w:val="000000"/>
                <w:kern w:val="0"/>
              </w:rPr>
            </w:pPr>
            <w:r w:rsidRPr="4FDD136D">
              <w:rPr>
                <w:snapToGrid/>
                <w:color w:val="000000"/>
                <w:kern w:val="0"/>
              </w:rPr>
              <w:t>Unlimited</w:t>
            </w:r>
          </w:p>
        </w:tc>
        <w:tc>
          <w:tcPr>
            <w:tcW w:w="1410" w:type="dxa"/>
            <w:tcBorders>
              <w:top w:val="single" w:sz="4" w:space="0" w:color="auto"/>
              <w:left w:val="single" w:sz="4" w:space="0" w:color="auto"/>
              <w:bottom w:val="single" w:sz="4" w:space="0" w:color="auto"/>
              <w:right w:val="single" w:sz="4" w:space="0" w:color="auto"/>
            </w:tcBorders>
            <w:vAlign w:val="center"/>
            <w:hideMark/>
          </w:tcPr>
          <w:p w:rsidR="002D50BE" w:rsidP="00746807" w14:paraId="4794D59B" w14:textId="77777777">
            <w:pPr>
              <w:jc w:val="center"/>
              <w:rPr>
                <w:color w:val="000000" w:themeColor="text1"/>
              </w:rPr>
            </w:pPr>
            <w:r w:rsidRPr="00550E1C">
              <w:t>96.46</w:t>
            </w:r>
          </w:p>
        </w:tc>
        <w:tc>
          <w:tcPr>
            <w:tcW w:w="1659" w:type="dxa"/>
            <w:tcBorders>
              <w:top w:val="single" w:sz="4" w:space="0" w:color="auto"/>
              <w:left w:val="single" w:sz="4" w:space="0" w:color="auto"/>
              <w:bottom w:val="single" w:sz="4" w:space="0" w:color="auto"/>
              <w:right w:val="single" w:sz="4" w:space="0" w:color="auto"/>
            </w:tcBorders>
            <w:hideMark/>
          </w:tcPr>
          <w:p w:rsidR="002D50BE" w:rsidP="00746807" w14:paraId="33D37D8A" w14:textId="77777777">
            <w:pPr>
              <w:jc w:val="center"/>
              <w:rPr>
                <w:color w:val="000000" w:themeColor="text1"/>
              </w:rPr>
            </w:pPr>
            <w:r w:rsidRPr="00550E1C">
              <w:t>127.49</w:t>
            </w:r>
          </w:p>
        </w:tc>
      </w:tr>
      <w:tr w14:paraId="5B4B2AE9" w14:textId="77777777" w:rsidTr="00746807">
        <w:tblPrEx>
          <w:tblW w:w="7020" w:type="dxa"/>
          <w:jc w:val="center"/>
          <w:tblLook w:val="04A0"/>
        </w:tblPrEx>
        <w:trPr>
          <w:trHeight w:val="290"/>
          <w:jc w:val="center"/>
        </w:trPr>
        <w:tc>
          <w:tcPr>
            <w:tcW w:w="1350" w:type="dxa"/>
            <w:vAlign w:val="center"/>
            <w:hideMark/>
          </w:tcPr>
          <w:p w:rsidR="002D50BE" w:rsidRPr="00A942C9" w:rsidP="00746807" w14:paraId="0880E978" w14:textId="77777777">
            <w:pPr>
              <w:widowControl/>
              <w:jc w:val="center"/>
              <w:rPr>
                <w:snapToGrid/>
                <w:color w:val="000000"/>
                <w:kern w:val="0"/>
              </w:rPr>
            </w:pPr>
            <w:r w:rsidRPr="4FDD136D">
              <w:rPr>
                <w:snapToGrid/>
                <w:color w:val="000000"/>
                <w:kern w:val="0"/>
              </w:rPr>
              <w:t>250</w:t>
            </w:r>
          </w:p>
        </w:tc>
        <w:tc>
          <w:tcPr>
            <w:tcW w:w="1320" w:type="dxa"/>
            <w:vAlign w:val="center"/>
            <w:hideMark/>
          </w:tcPr>
          <w:p w:rsidR="002D50BE" w:rsidRPr="00A942C9" w:rsidP="00746807" w14:paraId="54894C0D" w14:textId="77777777">
            <w:pPr>
              <w:widowControl/>
              <w:jc w:val="center"/>
              <w:rPr>
                <w:snapToGrid/>
                <w:color w:val="000000"/>
                <w:kern w:val="0"/>
              </w:rPr>
            </w:pPr>
            <w:r w:rsidRPr="4FDD136D">
              <w:rPr>
                <w:snapToGrid/>
                <w:color w:val="000000"/>
                <w:kern w:val="0"/>
              </w:rPr>
              <w:t>25</w:t>
            </w:r>
          </w:p>
        </w:tc>
        <w:tc>
          <w:tcPr>
            <w:tcW w:w="1410" w:type="dxa"/>
            <w:vAlign w:val="center"/>
            <w:hideMark/>
          </w:tcPr>
          <w:p w:rsidR="002D50BE" w:rsidRPr="00A942C9" w:rsidP="00746807" w14:paraId="3237760D" w14:textId="77777777">
            <w:pPr>
              <w:widowControl/>
              <w:jc w:val="center"/>
              <w:rPr>
                <w:snapToGrid/>
                <w:color w:val="000000"/>
                <w:kern w:val="0"/>
              </w:rPr>
            </w:pPr>
            <w:r w:rsidRPr="4FDD136D">
              <w:rPr>
                <w:snapToGrid/>
                <w:color w:val="000000"/>
                <w:kern w:val="0"/>
              </w:rPr>
              <w:t>Unlimited</w:t>
            </w:r>
          </w:p>
        </w:tc>
        <w:tc>
          <w:tcPr>
            <w:tcW w:w="1410" w:type="dxa"/>
            <w:vAlign w:val="center"/>
            <w:hideMark/>
          </w:tcPr>
          <w:p w:rsidR="002D50BE" w:rsidP="00746807" w14:paraId="14B896B5" w14:textId="77777777">
            <w:pPr>
              <w:jc w:val="center"/>
              <w:rPr>
                <w:color w:val="000000" w:themeColor="text1"/>
              </w:rPr>
            </w:pPr>
            <w:r w:rsidRPr="00550E1C">
              <w:t>98.86</w:t>
            </w:r>
          </w:p>
        </w:tc>
        <w:tc>
          <w:tcPr>
            <w:tcW w:w="1659" w:type="dxa"/>
            <w:hideMark/>
          </w:tcPr>
          <w:p w:rsidR="002D50BE" w:rsidP="00746807" w14:paraId="087A6A42" w14:textId="77777777">
            <w:pPr>
              <w:jc w:val="center"/>
              <w:rPr>
                <w:color w:val="000000" w:themeColor="text1"/>
              </w:rPr>
            </w:pPr>
            <w:r w:rsidRPr="00550E1C">
              <w:t>127.28</w:t>
            </w:r>
          </w:p>
        </w:tc>
      </w:tr>
      <w:tr w14:paraId="509648F8" w14:textId="77777777" w:rsidTr="00746807">
        <w:tblPrEx>
          <w:tblW w:w="7020" w:type="dxa"/>
          <w:jc w:val="center"/>
          <w:tblLook w:val="04A0"/>
        </w:tblPrEx>
        <w:trPr>
          <w:trHeight w:val="290"/>
          <w:jc w:val="center"/>
        </w:trPr>
        <w:tc>
          <w:tcPr>
            <w:tcW w:w="1350" w:type="dxa"/>
            <w:vAlign w:val="center"/>
            <w:hideMark/>
          </w:tcPr>
          <w:p w:rsidR="002D50BE" w:rsidRPr="00A942C9" w:rsidP="00746807" w14:paraId="6DBA0AAD" w14:textId="77777777">
            <w:pPr>
              <w:widowControl/>
              <w:jc w:val="center"/>
              <w:rPr>
                <w:snapToGrid/>
                <w:color w:val="000000"/>
                <w:kern w:val="0"/>
              </w:rPr>
            </w:pPr>
            <w:r w:rsidRPr="4FDD136D">
              <w:rPr>
                <w:snapToGrid/>
                <w:color w:val="000000"/>
                <w:kern w:val="0"/>
              </w:rPr>
              <w:t>500</w:t>
            </w:r>
          </w:p>
        </w:tc>
        <w:tc>
          <w:tcPr>
            <w:tcW w:w="1320" w:type="dxa"/>
            <w:vAlign w:val="center"/>
            <w:hideMark/>
          </w:tcPr>
          <w:p w:rsidR="002D50BE" w:rsidRPr="00A942C9" w:rsidP="00746807" w14:paraId="15388D7B" w14:textId="77777777">
            <w:pPr>
              <w:widowControl/>
              <w:jc w:val="center"/>
              <w:rPr>
                <w:snapToGrid/>
                <w:color w:val="000000"/>
                <w:kern w:val="0"/>
              </w:rPr>
            </w:pPr>
            <w:r w:rsidRPr="4FDD136D">
              <w:rPr>
                <w:snapToGrid/>
                <w:color w:val="000000"/>
                <w:kern w:val="0"/>
              </w:rPr>
              <w:t>50</w:t>
            </w:r>
          </w:p>
        </w:tc>
        <w:tc>
          <w:tcPr>
            <w:tcW w:w="1410" w:type="dxa"/>
            <w:vAlign w:val="center"/>
            <w:hideMark/>
          </w:tcPr>
          <w:p w:rsidR="002D50BE" w:rsidRPr="00A942C9" w:rsidP="00746807" w14:paraId="35985A43" w14:textId="77777777">
            <w:pPr>
              <w:widowControl/>
              <w:jc w:val="center"/>
              <w:rPr>
                <w:snapToGrid/>
                <w:color w:val="000000"/>
                <w:kern w:val="0"/>
              </w:rPr>
            </w:pPr>
            <w:r w:rsidRPr="4FDD136D">
              <w:rPr>
                <w:snapToGrid/>
                <w:color w:val="000000"/>
                <w:kern w:val="0"/>
              </w:rPr>
              <w:t>Unlimited</w:t>
            </w:r>
          </w:p>
        </w:tc>
        <w:tc>
          <w:tcPr>
            <w:tcW w:w="1410" w:type="dxa"/>
            <w:vAlign w:val="center"/>
            <w:hideMark/>
          </w:tcPr>
          <w:p w:rsidR="002D50BE" w:rsidP="00746807" w14:paraId="30CB871F" w14:textId="77777777">
            <w:pPr>
              <w:jc w:val="center"/>
              <w:rPr>
                <w:color w:val="000000" w:themeColor="text1"/>
              </w:rPr>
            </w:pPr>
            <w:r w:rsidRPr="00550E1C">
              <w:t>105.49</w:t>
            </w:r>
          </w:p>
        </w:tc>
        <w:tc>
          <w:tcPr>
            <w:tcW w:w="1659" w:type="dxa"/>
            <w:hideMark/>
          </w:tcPr>
          <w:p w:rsidR="002D50BE" w:rsidP="00746807" w14:paraId="0B0B6E61" w14:textId="77777777">
            <w:pPr>
              <w:jc w:val="center"/>
              <w:rPr>
                <w:color w:val="000000" w:themeColor="text1"/>
              </w:rPr>
            </w:pPr>
            <w:r w:rsidRPr="00550E1C">
              <w:t>133.57</w:t>
            </w:r>
          </w:p>
        </w:tc>
      </w:tr>
      <w:tr w14:paraId="0BD899FE" w14:textId="77777777" w:rsidTr="00746807">
        <w:tblPrEx>
          <w:tblW w:w="7020" w:type="dxa"/>
          <w:jc w:val="center"/>
          <w:tblLook w:val="04A0"/>
        </w:tblPrEx>
        <w:trPr>
          <w:trHeight w:val="281"/>
          <w:jc w:val="center"/>
        </w:trPr>
        <w:tc>
          <w:tcPr>
            <w:tcW w:w="1350" w:type="dxa"/>
            <w:tcBorders>
              <w:top w:val="single" w:sz="4" w:space="0" w:color="auto"/>
              <w:left w:val="single" w:sz="4" w:space="0" w:color="auto"/>
              <w:bottom w:val="single" w:sz="4" w:space="0" w:color="auto"/>
              <w:right w:val="single" w:sz="4" w:space="0" w:color="auto"/>
            </w:tcBorders>
            <w:vAlign w:val="center"/>
            <w:hideMark/>
          </w:tcPr>
          <w:p w:rsidR="002D50BE" w:rsidRPr="00A942C9" w:rsidP="00746807" w14:paraId="307A21BE" w14:textId="77777777">
            <w:pPr>
              <w:widowControl/>
              <w:jc w:val="center"/>
              <w:rPr>
                <w:snapToGrid/>
                <w:color w:val="000000"/>
                <w:kern w:val="0"/>
              </w:rPr>
            </w:pPr>
            <w:r w:rsidRPr="4FDD136D">
              <w:rPr>
                <w:snapToGrid/>
                <w:color w:val="000000"/>
                <w:kern w:val="0"/>
              </w:rPr>
              <w:t>1000</w:t>
            </w:r>
          </w:p>
        </w:tc>
        <w:tc>
          <w:tcPr>
            <w:tcW w:w="1320" w:type="dxa"/>
            <w:tcBorders>
              <w:top w:val="single" w:sz="4" w:space="0" w:color="auto"/>
              <w:left w:val="single" w:sz="4" w:space="0" w:color="auto"/>
              <w:bottom w:val="single" w:sz="4" w:space="0" w:color="auto"/>
              <w:right w:val="single" w:sz="4" w:space="0" w:color="auto"/>
            </w:tcBorders>
            <w:vAlign w:val="center"/>
            <w:hideMark/>
          </w:tcPr>
          <w:p w:rsidR="002D50BE" w:rsidRPr="00A942C9" w:rsidP="00746807" w14:paraId="586D5315" w14:textId="77777777">
            <w:pPr>
              <w:widowControl/>
              <w:jc w:val="center"/>
              <w:rPr>
                <w:snapToGrid/>
                <w:color w:val="000000"/>
                <w:kern w:val="0"/>
              </w:rPr>
            </w:pPr>
            <w:r w:rsidRPr="4FDD136D">
              <w:rPr>
                <w:snapToGrid/>
                <w:color w:val="000000"/>
                <w:kern w:val="0"/>
              </w:rPr>
              <w:t>100</w:t>
            </w:r>
          </w:p>
        </w:tc>
        <w:tc>
          <w:tcPr>
            <w:tcW w:w="1410" w:type="dxa"/>
            <w:tcBorders>
              <w:top w:val="single" w:sz="4" w:space="0" w:color="auto"/>
              <w:left w:val="single" w:sz="4" w:space="0" w:color="auto"/>
              <w:bottom w:val="single" w:sz="4" w:space="0" w:color="auto"/>
              <w:right w:val="single" w:sz="4" w:space="0" w:color="auto"/>
            </w:tcBorders>
            <w:vAlign w:val="center"/>
            <w:hideMark/>
          </w:tcPr>
          <w:p w:rsidR="002D50BE" w:rsidRPr="00A942C9" w:rsidP="00746807" w14:paraId="75193D65" w14:textId="77777777">
            <w:pPr>
              <w:widowControl/>
              <w:jc w:val="center"/>
              <w:rPr>
                <w:snapToGrid/>
                <w:color w:val="000000"/>
                <w:kern w:val="0"/>
              </w:rPr>
            </w:pPr>
            <w:r w:rsidRPr="4FDD136D">
              <w:rPr>
                <w:snapToGrid/>
                <w:color w:val="000000"/>
                <w:kern w:val="0"/>
              </w:rPr>
              <w:t>Unlimited</w:t>
            </w:r>
          </w:p>
        </w:tc>
        <w:tc>
          <w:tcPr>
            <w:tcW w:w="1410" w:type="dxa"/>
            <w:tcBorders>
              <w:top w:val="single" w:sz="4" w:space="0" w:color="auto"/>
              <w:left w:val="single" w:sz="4" w:space="0" w:color="auto"/>
              <w:bottom w:val="single" w:sz="4" w:space="0" w:color="auto"/>
              <w:right w:val="single" w:sz="4" w:space="0" w:color="auto"/>
            </w:tcBorders>
            <w:vAlign w:val="center"/>
            <w:hideMark/>
          </w:tcPr>
          <w:p w:rsidR="002D50BE" w:rsidP="00746807" w14:paraId="645533B1" w14:textId="77777777">
            <w:pPr>
              <w:jc w:val="center"/>
              <w:rPr>
                <w:color w:val="000000" w:themeColor="text1"/>
              </w:rPr>
            </w:pPr>
            <w:r w:rsidRPr="00550E1C">
              <w:t>123.15</w:t>
            </w:r>
          </w:p>
        </w:tc>
        <w:tc>
          <w:tcPr>
            <w:tcW w:w="1659" w:type="dxa"/>
            <w:tcBorders>
              <w:top w:val="single" w:sz="4" w:space="0" w:color="auto"/>
              <w:left w:val="single" w:sz="4" w:space="0" w:color="auto"/>
              <w:bottom w:val="single" w:sz="4" w:space="0" w:color="auto"/>
              <w:right w:val="single" w:sz="4" w:space="0" w:color="auto"/>
            </w:tcBorders>
            <w:hideMark/>
          </w:tcPr>
          <w:p w:rsidR="002D50BE" w:rsidP="00746807" w14:paraId="33ACEBA3" w14:textId="77777777">
            <w:pPr>
              <w:jc w:val="center"/>
              <w:rPr>
                <w:color w:val="000000" w:themeColor="text1"/>
              </w:rPr>
            </w:pPr>
            <w:r w:rsidRPr="00550E1C">
              <w:t>15</w:t>
            </w:r>
            <w:r>
              <w:t>4</w:t>
            </w:r>
            <w:r w:rsidRPr="00550E1C">
              <w:t>.</w:t>
            </w:r>
            <w:r>
              <w:t>4</w:t>
            </w:r>
            <w:r w:rsidRPr="00550E1C">
              <w:t>3</w:t>
            </w:r>
          </w:p>
        </w:tc>
      </w:tr>
      <w:tr w14:paraId="601FC6BE" w14:textId="77777777" w:rsidTr="00746807">
        <w:tblPrEx>
          <w:tblW w:w="7020" w:type="dxa"/>
          <w:jc w:val="center"/>
          <w:tblLook w:val="04A0"/>
        </w:tblPrEx>
        <w:trPr>
          <w:trHeight w:val="290"/>
          <w:jc w:val="center"/>
        </w:trPr>
        <w:tc>
          <w:tcPr>
            <w:tcW w:w="1350" w:type="dxa"/>
            <w:vAlign w:val="center"/>
            <w:hideMark/>
          </w:tcPr>
          <w:p w:rsidR="002D50BE" w:rsidRPr="00A942C9" w:rsidP="00746807" w14:paraId="0F986D95" w14:textId="77777777">
            <w:pPr>
              <w:widowControl/>
              <w:jc w:val="center"/>
              <w:rPr>
                <w:snapToGrid/>
                <w:color w:val="000000"/>
                <w:kern w:val="0"/>
              </w:rPr>
            </w:pPr>
            <w:r w:rsidRPr="4FDD136D">
              <w:rPr>
                <w:snapToGrid/>
                <w:color w:val="000000"/>
                <w:kern w:val="0"/>
              </w:rPr>
              <w:t>1000</w:t>
            </w:r>
          </w:p>
        </w:tc>
        <w:tc>
          <w:tcPr>
            <w:tcW w:w="1320" w:type="dxa"/>
            <w:vAlign w:val="center"/>
            <w:hideMark/>
          </w:tcPr>
          <w:p w:rsidR="002D50BE" w:rsidRPr="00A942C9" w:rsidP="00746807" w14:paraId="65B0AB78" w14:textId="77777777">
            <w:pPr>
              <w:widowControl/>
              <w:jc w:val="center"/>
              <w:rPr>
                <w:snapToGrid/>
                <w:color w:val="000000"/>
                <w:kern w:val="0"/>
              </w:rPr>
            </w:pPr>
            <w:r w:rsidRPr="4FDD136D">
              <w:rPr>
                <w:snapToGrid/>
                <w:color w:val="000000"/>
                <w:kern w:val="0"/>
              </w:rPr>
              <w:t>500</w:t>
            </w:r>
          </w:p>
        </w:tc>
        <w:tc>
          <w:tcPr>
            <w:tcW w:w="1410" w:type="dxa"/>
            <w:vAlign w:val="center"/>
            <w:hideMark/>
          </w:tcPr>
          <w:p w:rsidR="002D50BE" w:rsidRPr="00A942C9" w:rsidP="00746807" w14:paraId="45AEF93A" w14:textId="77777777">
            <w:pPr>
              <w:widowControl/>
              <w:jc w:val="center"/>
              <w:rPr>
                <w:snapToGrid/>
                <w:color w:val="000000"/>
                <w:kern w:val="0"/>
              </w:rPr>
            </w:pPr>
            <w:r w:rsidRPr="4FDD136D">
              <w:rPr>
                <w:snapToGrid/>
                <w:color w:val="000000"/>
                <w:kern w:val="0"/>
              </w:rPr>
              <w:t xml:space="preserve">800 </w:t>
            </w:r>
          </w:p>
        </w:tc>
        <w:tc>
          <w:tcPr>
            <w:tcW w:w="1410" w:type="dxa"/>
            <w:vAlign w:val="center"/>
            <w:hideMark/>
          </w:tcPr>
          <w:p w:rsidR="002D50BE" w:rsidP="00746807" w14:paraId="649C0FB8" w14:textId="77777777">
            <w:pPr>
              <w:jc w:val="center"/>
              <w:rPr>
                <w:color w:val="000000" w:themeColor="text1"/>
              </w:rPr>
            </w:pPr>
            <w:r w:rsidRPr="00550E1C">
              <w:t>124.87</w:t>
            </w:r>
          </w:p>
        </w:tc>
        <w:tc>
          <w:tcPr>
            <w:tcW w:w="1659" w:type="dxa"/>
            <w:hideMark/>
          </w:tcPr>
          <w:p w:rsidR="002D50BE" w:rsidP="00746807" w14:paraId="5213E407" w14:textId="77777777">
            <w:pPr>
              <w:jc w:val="center"/>
              <w:rPr>
                <w:color w:val="000000" w:themeColor="text1"/>
              </w:rPr>
            </w:pPr>
            <w:r w:rsidRPr="00550E1C">
              <w:t>154.70</w:t>
            </w:r>
          </w:p>
        </w:tc>
      </w:tr>
      <w:tr w14:paraId="17A5B54E" w14:textId="77777777" w:rsidTr="00746807">
        <w:tblPrEx>
          <w:tblW w:w="7020" w:type="dxa"/>
          <w:jc w:val="center"/>
          <w:tblLook w:val="04A0"/>
        </w:tblPrEx>
        <w:trPr>
          <w:trHeight w:val="290"/>
          <w:jc w:val="center"/>
        </w:trPr>
        <w:tc>
          <w:tcPr>
            <w:tcW w:w="1350" w:type="dxa"/>
            <w:vAlign w:val="center"/>
            <w:hideMark/>
          </w:tcPr>
          <w:p w:rsidR="002D50BE" w:rsidRPr="00A942C9" w:rsidP="00746807" w14:paraId="3E185DEF" w14:textId="77777777">
            <w:pPr>
              <w:widowControl/>
              <w:jc w:val="center"/>
              <w:rPr>
                <w:snapToGrid/>
                <w:color w:val="000000"/>
                <w:kern w:val="0"/>
              </w:rPr>
            </w:pPr>
            <w:r w:rsidRPr="4FDD136D">
              <w:rPr>
                <w:snapToGrid/>
                <w:color w:val="000000"/>
                <w:kern w:val="0"/>
              </w:rPr>
              <w:t>1000</w:t>
            </w:r>
          </w:p>
        </w:tc>
        <w:tc>
          <w:tcPr>
            <w:tcW w:w="1320" w:type="dxa"/>
            <w:vAlign w:val="center"/>
            <w:hideMark/>
          </w:tcPr>
          <w:p w:rsidR="002D50BE" w:rsidRPr="00A942C9" w:rsidP="00746807" w14:paraId="47D87DC7" w14:textId="77777777">
            <w:pPr>
              <w:widowControl/>
              <w:jc w:val="center"/>
              <w:rPr>
                <w:snapToGrid/>
                <w:color w:val="000000"/>
                <w:kern w:val="0"/>
              </w:rPr>
            </w:pPr>
            <w:r w:rsidRPr="4FDD136D">
              <w:rPr>
                <w:snapToGrid/>
                <w:color w:val="000000"/>
                <w:kern w:val="0"/>
              </w:rPr>
              <w:t>500</w:t>
            </w:r>
          </w:p>
        </w:tc>
        <w:tc>
          <w:tcPr>
            <w:tcW w:w="1410" w:type="dxa"/>
            <w:vAlign w:val="center"/>
            <w:hideMark/>
          </w:tcPr>
          <w:p w:rsidR="002D50BE" w:rsidRPr="00A942C9" w:rsidP="00746807" w14:paraId="575E20F8" w14:textId="77777777">
            <w:pPr>
              <w:widowControl/>
              <w:jc w:val="center"/>
              <w:rPr>
                <w:snapToGrid/>
                <w:color w:val="000000"/>
                <w:kern w:val="0"/>
              </w:rPr>
            </w:pPr>
            <w:r w:rsidRPr="4FDD136D">
              <w:rPr>
                <w:snapToGrid/>
                <w:color w:val="000000"/>
                <w:kern w:val="0"/>
              </w:rPr>
              <w:t>Unlimited</w:t>
            </w:r>
          </w:p>
        </w:tc>
        <w:tc>
          <w:tcPr>
            <w:tcW w:w="1410" w:type="dxa"/>
            <w:vAlign w:val="center"/>
            <w:hideMark/>
          </w:tcPr>
          <w:p w:rsidR="002D50BE" w:rsidP="00746807" w14:paraId="5123B697" w14:textId="77777777">
            <w:pPr>
              <w:jc w:val="center"/>
              <w:rPr>
                <w:color w:val="000000" w:themeColor="text1"/>
              </w:rPr>
            </w:pPr>
            <w:r w:rsidRPr="00550E1C">
              <w:t>124.87</w:t>
            </w:r>
          </w:p>
        </w:tc>
        <w:tc>
          <w:tcPr>
            <w:tcW w:w="1659" w:type="dxa"/>
            <w:hideMark/>
          </w:tcPr>
          <w:p w:rsidR="002D50BE" w:rsidP="00746807" w14:paraId="6220994B" w14:textId="77777777">
            <w:pPr>
              <w:jc w:val="center"/>
              <w:rPr>
                <w:color w:val="000000" w:themeColor="text1"/>
              </w:rPr>
            </w:pPr>
            <w:r w:rsidRPr="00550E1C">
              <w:t>154.70</w:t>
            </w:r>
          </w:p>
        </w:tc>
      </w:tr>
      <w:tr w14:paraId="29390965" w14:textId="77777777" w:rsidTr="00746807">
        <w:tblPrEx>
          <w:tblW w:w="7020" w:type="dxa"/>
          <w:jc w:val="center"/>
          <w:tblLook w:val="04A0"/>
        </w:tblPrEx>
        <w:trPr>
          <w:trHeight w:val="290"/>
          <w:jc w:val="center"/>
        </w:trPr>
        <w:tc>
          <w:tcPr>
            <w:tcW w:w="1350" w:type="dxa"/>
            <w:vAlign w:val="center"/>
            <w:hideMark/>
          </w:tcPr>
          <w:p w:rsidR="002D50BE" w:rsidRPr="00A942C9" w:rsidP="00746807" w14:paraId="4B2929C2" w14:textId="77777777">
            <w:pPr>
              <w:widowControl/>
              <w:jc w:val="center"/>
              <w:rPr>
                <w:snapToGrid/>
                <w:color w:val="000000"/>
                <w:kern w:val="0"/>
              </w:rPr>
            </w:pPr>
            <w:r w:rsidRPr="4FDD136D">
              <w:rPr>
                <w:snapToGrid/>
                <w:color w:val="000000"/>
                <w:kern w:val="0"/>
              </w:rPr>
              <w:t>1000</w:t>
            </w:r>
          </w:p>
        </w:tc>
        <w:tc>
          <w:tcPr>
            <w:tcW w:w="1320" w:type="dxa"/>
            <w:vAlign w:val="center"/>
            <w:hideMark/>
          </w:tcPr>
          <w:p w:rsidR="002D50BE" w:rsidRPr="00A942C9" w:rsidP="00746807" w14:paraId="0533C8B4" w14:textId="77777777">
            <w:pPr>
              <w:widowControl/>
              <w:jc w:val="center"/>
              <w:rPr>
                <w:snapToGrid/>
                <w:color w:val="000000"/>
                <w:kern w:val="0"/>
              </w:rPr>
            </w:pPr>
            <w:r w:rsidRPr="4FDD136D">
              <w:rPr>
                <w:snapToGrid/>
                <w:color w:val="000000"/>
                <w:kern w:val="0"/>
              </w:rPr>
              <w:t>1000</w:t>
            </w:r>
          </w:p>
        </w:tc>
        <w:tc>
          <w:tcPr>
            <w:tcW w:w="1410" w:type="dxa"/>
            <w:vAlign w:val="center"/>
            <w:hideMark/>
          </w:tcPr>
          <w:p w:rsidR="002D50BE" w:rsidRPr="00A942C9" w:rsidP="00746807" w14:paraId="2EA750F9" w14:textId="77777777">
            <w:pPr>
              <w:widowControl/>
              <w:jc w:val="center"/>
              <w:rPr>
                <w:snapToGrid/>
                <w:color w:val="000000"/>
                <w:kern w:val="0"/>
              </w:rPr>
            </w:pPr>
            <w:r w:rsidRPr="4FDD136D">
              <w:rPr>
                <w:snapToGrid/>
                <w:color w:val="000000"/>
                <w:kern w:val="0"/>
              </w:rPr>
              <w:t>Unlimited</w:t>
            </w:r>
          </w:p>
        </w:tc>
        <w:tc>
          <w:tcPr>
            <w:tcW w:w="1410" w:type="dxa"/>
            <w:vAlign w:val="center"/>
            <w:hideMark/>
          </w:tcPr>
          <w:p w:rsidR="002D50BE" w:rsidP="00746807" w14:paraId="63DA210B" w14:textId="77777777">
            <w:pPr>
              <w:jc w:val="center"/>
              <w:rPr>
                <w:color w:val="000000" w:themeColor="text1"/>
              </w:rPr>
            </w:pPr>
            <w:r w:rsidRPr="00550E1C">
              <w:t>122.08</w:t>
            </w:r>
          </w:p>
        </w:tc>
        <w:tc>
          <w:tcPr>
            <w:tcW w:w="1659" w:type="dxa"/>
            <w:hideMark/>
          </w:tcPr>
          <w:p w:rsidR="002D50BE" w:rsidP="00746807" w14:paraId="423292DD" w14:textId="77777777">
            <w:pPr>
              <w:jc w:val="center"/>
              <w:rPr>
                <w:color w:val="000000" w:themeColor="text1"/>
              </w:rPr>
            </w:pPr>
            <w:r w:rsidRPr="00550E1C">
              <w:t>154.42</w:t>
            </w:r>
          </w:p>
        </w:tc>
      </w:tr>
      <w:tr w14:paraId="419B0C5A" w14:textId="77777777" w:rsidTr="00746807">
        <w:tblPrEx>
          <w:tblW w:w="7020" w:type="dxa"/>
          <w:jc w:val="center"/>
          <w:tblLook w:val="04A0"/>
        </w:tblPrEx>
        <w:trPr>
          <w:trHeight w:val="290"/>
          <w:jc w:val="center"/>
        </w:trPr>
        <w:tc>
          <w:tcPr>
            <w:tcW w:w="1350" w:type="dxa"/>
            <w:vAlign w:val="center"/>
            <w:hideMark/>
          </w:tcPr>
          <w:p w:rsidR="002D50BE" w:rsidRPr="00A942C9" w:rsidP="00746807" w14:paraId="0C2A2AC1" w14:textId="77777777">
            <w:pPr>
              <w:widowControl/>
              <w:jc w:val="center"/>
              <w:rPr>
                <w:snapToGrid/>
                <w:color w:val="000000"/>
                <w:kern w:val="0"/>
              </w:rPr>
            </w:pPr>
            <w:r w:rsidRPr="4FDD136D">
              <w:rPr>
                <w:snapToGrid/>
                <w:color w:val="000000"/>
                <w:kern w:val="0"/>
              </w:rPr>
              <w:t>2000</w:t>
            </w:r>
          </w:p>
        </w:tc>
        <w:tc>
          <w:tcPr>
            <w:tcW w:w="1320" w:type="dxa"/>
            <w:vAlign w:val="center"/>
            <w:hideMark/>
          </w:tcPr>
          <w:p w:rsidR="002D50BE" w:rsidRPr="00A942C9" w:rsidP="00746807" w14:paraId="48B6F765" w14:textId="77777777">
            <w:pPr>
              <w:widowControl/>
              <w:jc w:val="center"/>
              <w:rPr>
                <w:snapToGrid/>
                <w:color w:val="000000"/>
                <w:kern w:val="0"/>
              </w:rPr>
            </w:pPr>
            <w:r w:rsidRPr="4FDD136D">
              <w:rPr>
                <w:snapToGrid/>
                <w:color w:val="000000"/>
                <w:kern w:val="0"/>
              </w:rPr>
              <w:t>1000</w:t>
            </w:r>
          </w:p>
        </w:tc>
        <w:tc>
          <w:tcPr>
            <w:tcW w:w="1410" w:type="dxa"/>
            <w:vAlign w:val="center"/>
            <w:hideMark/>
          </w:tcPr>
          <w:p w:rsidR="002D50BE" w:rsidRPr="00A942C9" w:rsidP="00746807" w14:paraId="2E3DA9E5" w14:textId="77777777">
            <w:pPr>
              <w:widowControl/>
              <w:jc w:val="center"/>
              <w:rPr>
                <w:snapToGrid/>
                <w:color w:val="000000"/>
                <w:kern w:val="0"/>
              </w:rPr>
            </w:pPr>
            <w:r w:rsidRPr="4FDD136D">
              <w:rPr>
                <w:snapToGrid/>
                <w:color w:val="000000"/>
                <w:kern w:val="0"/>
              </w:rPr>
              <w:t>Unlimited</w:t>
            </w:r>
          </w:p>
        </w:tc>
        <w:tc>
          <w:tcPr>
            <w:tcW w:w="1410" w:type="dxa"/>
            <w:vAlign w:val="center"/>
            <w:hideMark/>
          </w:tcPr>
          <w:p w:rsidR="002D50BE" w:rsidP="00746807" w14:paraId="0EAB859E" w14:textId="77777777">
            <w:pPr>
              <w:jc w:val="center"/>
              <w:rPr>
                <w:color w:val="000000" w:themeColor="text1"/>
              </w:rPr>
            </w:pPr>
            <w:r w:rsidRPr="00550E1C">
              <w:t>144.72</w:t>
            </w:r>
          </w:p>
        </w:tc>
        <w:tc>
          <w:tcPr>
            <w:tcW w:w="1659" w:type="dxa"/>
            <w:hideMark/>
          </w:tcPr>
          <w:p w:rsidR="002D50BE" w:rsidP="00746807" w14:paraId="6531C68D" w14:textId="77777777">
            <w:pPr>
              <w:jc w:val="center"/>
              <w:rPr>
                <w:color w:val="000000" w:themeColor="text1"/>
              </w:rPr>
            </w:pPr>
            <w:r w:rsidRPr="00550E1C">
              <w:t>175.28</w:t>
            </w:r>
          </w:p>
        </w:tc>
      </w:tr>
      <w:tr w14:paraId="39CE538F" w14:textId="77777777" w:rsidTr="00746807">
        <w:tblPrEx>
          <w:tblW w:w="7020" w:type="dxa"/>
          <w:jc w:val="center"/>
          <w:tblLook w:val="04A0"/>
        </w:tblPrEx>
        <w:trPr>
          <w:trHeight w:val="290"/>
          <w:jc w:val="center"/>
        </w:trPr>
        <w:tc>
          <w:tcPr>
            <w:tcW w:w="1343" w:type="dxa"/>
            <w:vAlign w:val="center"/>
            <w:hideMark/>
          </w:tcPr>
          <w:p w:rsidR="002D50BE" w:rsidP="00746807" w14:paraId="7435BF92" w14:textId="77777777">
            <w:pPr>
              <w:jc w:val="center"/>
              <w:rPr>
                <w:color w:val="000000" w:themeColor="text1"/>
              </w:rPr>
            </w:pPr>
            <w:r w:rsidRPr="69CD62D8">
              <w:rPr>
                <w:color w:val="000000" w:themeColor="text1"/>
              </w:rPr>
              <w:t>2000</w:t>
            </w:r>
          </w:p>
        </w:tc>
        <w:tc>
          <w:tcPr>
            <w:tcW w:w="1315" w:type="dxa"/>
            <w:vAlign w:val="center"/>
            <w:hideMark/>
          </w:tcPr>
          <w:p w:rsidR="002D50BE" w:rsidP="00746807" w14:paraId="4D032CF0" w14:textId="77777777">
            <w:pPr>
              <w:jc w:val="center"/>
              <w:rPr>
                <w:color w:val="000000" w:themeColor="text1"/>
              </w:rPr>
            </w:pPr>
            <w:r w:rsidRPr="4D5713AF">
              <w:rPr>
                <w:color w:val="000000" w:themeColor="text1"/>
              </w:rPr>
              <w:t>2000</w:t>
            </w:r>
          </w:p>
        </w:tc>
        <w:tc>
          <w:tcPr>
            <w:tcW w:w="1394" w:type="dxa"/>
            <w:vAlign w:val="center"/>
            <w:hideMark/>
          </w:tcPr>
          <w:p w:rsidR="002D50BE" w:rsidP="00746807" w14:paraId="0DDFD86B" w14:textId="77777777">
            <w:pPr>
              <w:jc w:val="center"/>
              <w:rPr>
                <w:color w:val="000000" w:themeColor="text1"/>
              </w:rPr>
            </w:pPr>
            <w:r w:rsidRPr="4D5713AF">
              <w:rPr>
                <w:color w:val="000000" w:themeColor="text1"/>
              </w:rPr>
              <w:t>Unlimited</w:t>
            </w:r>
          </w:p>
        </w:tc>
        <w:tc>
          <w:tcPr>
            <w:tcW w:w="1367" w:type="dxa"/>
            <w:vAlign w:val="center"/>
            <w:hideMark/>
          </w:tcPr>
          <w:p w:rsidR="002D50BE" w:rsidRPr="00550E1C" w:rsidP="00746807" w14:paraId="5F7E438E" w14:textId="77777777">
            <w:pPr>
              <w:jc w:val="center"/>
            </w:pPr>
            <w:r w:rsidRPr="00550E1C">
              <w:t>143.93</w:t>
            </w:r>
          </w:p>
        </w:tc>
        <w:tc>
          <w:tcPr>
            <w:tcW w:w="1601" w:type="dxa"/>
            <w:hideMark/>
          </w:tcPr>
          <w:p w:rsidR="002D50BE" w:rsidRPr="00550E1C" w:rsidP="00746807" w14:paraId="09F291C1" w14:textId="77777777">
            <w:pPr>
              <w:jc w:val="center"/>
            </w:pPr>
            <w:r w:rsidRPr="00550E1C">
              <w:t>175.28</w:t>
            </w:r>
          </w:p>
        </w:tc>
      </w:tr>
    </w:tbl>
    <w:p w:rsidR="002D50BE" w:rsidP="002D50BE" w14:paraId="2A27D01F" w14:textId="77777777">
      <w:pPr>
        <w:spacing w:after="120"/>
        <w:ind w:firstLine="720"/>
      </w:pPr>
    </w:p>
    <w:p w:rsidR="002D50BE" w:rsidP="002D50BE" w14:paraId="3B9CA8A8" w14:textId="77777777">
      <w:pPr>
        <w:widowControl/>
        <w:spacing w:after="120"/>
        <w:ind w:firstLine="720"/>
      </w:pPr>
      <w:bookmarkStart w:id="2" w:name="_Hlk26441032"/>
      <w:r>
        <w:t xml:space="preserve">To facilitate benchmark calculations, the Office will post an Excel file with a tool in which providers can enter the relevant variables to determine the benchmark for specific service characteristics at </w:t>
      </w:r>
      <w:hyperlink r:id="rId7" w:history="1">
        <w:r w:rsidRPr="00972663">
          <w:rPr>
            <w:rStyle w:val="Hyperlink"/>
          </w:rPr>
          <w:t>https://www.fcc.gov/economics-analytics/industry-analysis-division/urban-rate-survey-data-resources</w:t>
        </w:r>
      </w:hyperlink>
      <w:r>
        <w:t>.</w:t>
      </w:r>
    </w:p>
    <w:p w:rsidR="002D50BE" w:rsidRPr="0016260E" w:rsidP="002D50BE" w14:paraId="03FF007D" w14:textId="77777777">
      <w:pPr>
        <w:pStyle w:val="ParaNum"/>
        <w:widowControl/>
        <w:numPr>
          <w:ilvl w:val="0"/>
          <w:numId w:val="0"/>
        </w:numPr>
        <w:tabs>
          <w:tab w:val="left" w:pos="720"/>
        </w:tabs>
        <w:ind w:firstLine="720"/>
      </w:pPr>
      <w:r w:rsidRPr="4D5713AF">
        <w:rPr>
          <w:i/>
          <w:iCs/>
        </w:rPr>
        <w:t>Minimum Usage Allowance</w:t>
      </w:r>
      <w:r>
        <w:t xml:space="preserve">.  </w:t>
      </w:r>
      <w:r w:rsidRPr="0016260E">
        <w:t xml:space="preserve">Under the </w:t>
      </w:r>
      <w:r w:rsidRPr="4D5713AF">
        <w:rPr>
          <w:i/>
          <w:iCs/>
        </w:rPr>
        <w:t xml:space="preserve">USF/ICC Transformation Order </w:t>
      </w:r>
      <w:r w:rsidRPr="0016260E">
        <w:t>and subsequent orders, ETCs subject to broadband public interest obligations must provide broadband with usage allowances reasonably comparable to those available through comparable offerings in urban areas.</w:t>
      </w:r>
      <w:r>
        <w:rPr>
          <w:rStyle w:val="FootnoteReference"/>
        </w:rPr>
        <w:footnoteReference w:id="13"/>
      </w:r>
      <w:r w:rsidRPr="0016260E">
        <w:t xml:space="preserve">  In the 2016 </w:t>
      </w:r>
      <w:r w:rsidRPr="4D5713AF">
        <w:rPr>
          <w:i/>
          <w:iCs/>
        </w:rPr>
        <w:t>Rate-of-Return Reform Order</w:t>
      </w:r>
      <w:r w:rsidRPr="0016260E">
        <w:t xml:space="preserve">, the Commission specified that the required minimum usage allowance for rate-of-return carriers receiving model-based support would be 150 GB per month, or a usage allowance reflecting the average usage of a majority of fixed broadband customers, using Measuring Broadband America </w:t>
      </w:r>
      <w:r>
        <w:t xml:space="preserve">(MBA) </w:t>
      </w:r>
      <w:r w:rsidRPr="0016260E">
        <w:t>data or a similar data source, whichever is higher.</w:t>
      </w:r>
      <w:r>
        <w:rPr>
          <w:rStyle w:val="FootnoteReference"/>
        </w:rPr>
        <w:footnoteReference w:id="14"/>
      </w:r>
      <w:r w:rsidRPr="0016260E">
        <w:t xml:space="preserve">  The Commission delegated to the Bureau the task of setting a specific minimum usage allowance and </w:t>
      </w:r>
      <w:r>
        <w:t>stated</w:t>
      </w:r>
      <w:r w:rsidRPr="0016260E">
        <w:t xml:space="preserve"> that </w:t>
      </w:r>
      <w:r>
        <w:t>the</w:t>
      </w:r>
      <w:r w:rsidRPr="0016260E">
        <w:t xml:space="preserve"> minimum should be adjusted over time.</w:t>
      </w:r>
      <w:r>
        <w:rPr>
          <w:rStyle w:val="FootnoteReference"/>
        </w:rPr>
        <w:footnoteReference w:id="15"/>
      </w:r>
      <w:r>
        <w:t xml:space="preserve">  For the reasons explained below, the Bureau adopts a minimum monthly usage allowance of 800 </w:t>
      </w:r>
      <w:r w:rsidRPr="5C2D4360">
        <w:t xml:space="preserve">GB for </w:t>
      </w:r>
      <w:r>
        <w:t>2026</w:t>
      </w:r>
      <w:r>
        <w:rPr>
          <w:szCs w:val="22"/>
        </w:rPr>
        <w:t>.</w:t>
      </w:r>
      <w:r>
        <w:t xml:space="preserve">  However, the minimum usage allowance for carriers receiving support from the Rural Digital Opportunity Fund (RDOF) is either (i) the greater of 250 GB or the average usage </w:t>
      </w:r>
      <w:r>
        <w:t xml:space="preserve">calculated by the Bureau for the Minimum and Baseline tiers, or (ii) 2 </w:t>
      </w:r>
      <w:r w:rsidRPr="00257FB1">
        <w:rPr>
          <w:shd w:val="clear" w:color="auto" w:fill="FFFFFF"/>
        </w:rPr>
        <w:t xml:space="preserve">Terabytes (TB) </w:t>
      </w:r>
      <w:r w:rsidRPr="00257FB1">
        <w:t xml:space="preserve">for </w:t>
      </w:r>
      <w:r>
        <w:t>the Above-Baseline and Gigabit tiers.</w:t>
      </w:r>
      <w:r>
        <w:rPr>
          <w:rStyle w:val="FootnoteReference"/>
        </w:rPr>
        <w:footnoteReference w:id="16"/>
      </w:r>
      <w:r>
        <w:t xml:space="preserve"> </w:t>
      </w:r>
    </w:p>
    <w:p w:rsidR="002D50BE" w:rsidP="002D50BE" w14:paraId="68C26B83" w14:textId="77777777">
      <w:pPr>
        <w:widowControl/>
        <w:spacing w:after="120"/>
        <w:ind w:firstLine="720"/>
      </w:pPr>
      <w:r>
        <w:t xml:space="preserve">Consistent with our process last year, for ETCs not subject to the 2 TB minimum usage allowance, </w:t>
      </w:r>
      <w:r w:rsidRPr="00016E31">
        <w:t xml:space="preserve">we rely on </w:t>
      </w:r>
      <w:r w:rsidRPr="00016E31">
        <w:t>OpenVault’s</w:t>
      </w:r>
      <w:r w:rsidRPr="00016E31">
        <w:t xml:space="preserve"> Broadband Insights Reports as “a similar data source” of broadband usage.</w:t>
      </w:r>
      <w:r>
        <w:rPr>
          <w:rStyle w:val="FootnoteReference"/>
        </w:rPr>
        <w:footnoteReference w:id="17"/>
      </w:r>
      <w:r w:rsidRPr="00016E31">
        <w:t xml:space="preserve"> </w:t>
      </w:r>
      <w:r>
        <w:t xml:space="preserve"> </w:t>
      </w:r>
      <w:r w:rsidRPr="00016E31">
        <w:t>To ensure a</w:t>
      </w:r>
      <w:r>
        <w:t>n</w:t>
      </w:r>
      <w:r w:rsidRPr="00016E31">
        <w:t xml:space="preserve"> accurate estimate of usage in </w:t>
      </w:r>
      <w:r>
        <w:t>2026</w:t>
      </w:r>
      <w:r w:rsidRPr="00016E31">
        <w:t xml:space="preserve">, we use average broadband data usage amounts as reported from </w:t>
      </w:r>
      <w:r w:rsidRPr="00016E31">
        <w:t>OpenVault</w:t>
      </w:r>
      <w:r w:rsidRPr="00016E31">
        <w:t xml:space="preserve"> and employ regression analysis to forecast average broadband usage for the four quarters of </w:t>
      </w:r>
      <w:r>
        <w:t>2026</w:t>
      </w:r>
      <w:r w:rsidRPr="00016E31">
        <w:t xml:space="preserve"> and then take the average value of those predictions.</w:t>
      </w:r>
      <w:r>
        <w:rPr>
          <w:rStyle w:val="FootnoteReference"/>
        </w:rPr>
        <w:footnoteReference w:id="18"/>
      </w:r>
      <w:r w:rsidRPr="00016E31">
        <w:t xml:space="preserve">  Averaging the predicted broadband usage values for </w:t>
      </w:r>
      <w:r>
        <w:t>2026</w:t>
      </w:r>
      <w:r w:rsidRPr="00016E31">
        <w:t xml:space="preserve"> yields </w:t>
      </w:r>
      <w:r>
        <w:t>800</w:t>
      </w:r>
      <w:r w:rsidRPr="00016E31">
        <w:t xml:space="preserve"> GB per month after rounding.  We therefore find that 800 GB is a reasonable minimum monthly usage allowance for </w:t>
      </w:r>
      <w:r>
        <w:t>2026</w:t>
      </w:r>
      <w:r w:rsidRPr="00016E31">
        <w:t>.</w:t>
      </w:r>
    </w:p>
    <w:p w:rsidR="002D50BE" w:rsidRPr="00984C5F" w:rsidP="002D50BE" w14:paraId="05A371F6" w14:textId="77777777">
      <w:pPr>
        <w:widowControl/>
        <w:spacing w:after="120"/>
        <w:ind w:firstLine="720"/>
      </w:pPr>
      <w:r>
        <w:t xml:space="preserve">For further information, please contact Rebekah Douglas, Wireline Competition Bureau, at (202) 418-7931 or (202) 418-0484 (TTY), or at </w:t>
      </w:r>
      <w:hyperlink r:id="rId8">
        <w:r w:rsidRPr="4D5713AF">
          <w:rPr>
            <w:rStyle w:val="Hyperlink"/>
          </w:rPr>
          <w:t>rebekah.douglas@fcc.gov</w:t>
        </w:r>
      </w:hyperlink>
      <w:r>
        <w:t xml:space="preserve">. </w:t>
      </w:r>
    </w:p>
    <w:p w:rsidR="002D50BE" w:rsidP="002D50BE" w14:paraId="6A579706" w14:textId="77777777">
      <w:pPr>
        <w:jc w:val="center"/>
        <w:rPr>
          <w:b/>
          <w:szCs w:val="22"/>
        </w:rPr>
      </w:pPr>
    </w:p>
    <w:p w:rsidR="002D50BE" w:rsidP="002D50BE" w14:paraId="2B1B18FE" w14:textId="43A0DB19">
      <w:pPr>
        <w:spacing w:after="120"/>
        <w:jc w:val="center"/>
      </w:pPr>
      <w:r>
        <w:rPr>
          <w:b/>
          <w:szCs w:val="22"/>
        </w:rPr>
        <w:t>–FCC</w:t>
      </w:r>
      <w:bookmarkEnd w:id="2"/>
      <w:r>
        <w:rPr>
          <w:b/>
          <w:szCs w:val="22"/>
        </w:rPr>
        <w:t>–</w:t>
      </w:r>
    </w:p>
    <w:p w:rsidR="002D50BE" w:rsidP="002D50BE" w14:paraId="1E8AA01A" w14:textId="77777777">
      <w:pPr>
        <w:spacing w:after="120"/>
        <w:ind w:firstLine="720"/>
      </w:pPr>
    </w:p>
    <w:bookmarkEnd w:id="0"/>
    <w:p w:rsidR="00BA3BA8" w14:paraId="469FE8A1" w14:textId="77777777"/>
    <w:sectPr w:rsidSect="002D50BE">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720" w:left="1440" w:header="634"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DB5EA3" w14:paraId="4CF16316" w14:textId="77777777">
      <w:pPr>
        <w:spacing w:line="20" w:lineRule="exact"/>
      </w:pPr>
    </w:p>
  </w:endnote>
  <w:endnote w:type="continuationSeparator" w:id="1">
    <w:p w:rsidR="00DB5EA3" w14:paraId="51A48EDF" w14:textId="77777777">
      <w:r>
        <w:t xml:space="preserve"> </w:t>
      </w:r>
    </w:p>
  </w:endnote>
  <w:endnote w:type="continuationNotice" w:id="2">
    <w:p w:rsidR="00DB5EA3" w14:paraId="61181AA2"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D597C67"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5D06522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9B6422D"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3B3F51A"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B5EA3" w14:paraId="6654110C" w14:textId="77777777">
      <w:r>
        <w:separator/>
      </w:r>
    </w:p>
  </w:footnote>
  <w:footnote w:type="continuationSeparator" w:id="1">
    <w:p w:rsidR="00DB5EA3" w14:paraId="36060144" w14:textId="77777777">
      <w:pPr>
        <w:rPr>
          <w:sz w:val="20"/>
        </w:rPr>
      </w:pPr>
      <w:r>
        <w:rPr>
          <w:sz w:val="20"/>
        </w:rPr>
        <w:t xml:space="preserve">(Continued from previous page)  </w:t>
      </w:r>
      <w:r>
        <w:rPr>
          <w:sz w:val="20"/>
        </w:rPr>
        <w:separator/>
      </w:r>
    </w:p>
  </w:footnote>
  <w:footnote w:type="continuationNotice" w:id="2">
    <w:p w:rsidR="00DB5EA3" w14:paraId="7533DF64" w14:textId="77777777">
      <w:pPr>
        <w:jc w:val="right"/>
        <w:rPr>
          <w:sz w:val="20"/>
        </w:rPr>
      </w:pPr>
      <w:r>
        <w:rPr>
          <w:sz w:val="20"/>
        </w:rPr>
        <w:t>(continued….)</w:t>
      </w:r>
    </w:p>
  </w:footnote>
  <w:footnote w:id="3">
    <w:p w:rsidR="00E76C98" w:rsidRPr="00F75A5D" w:rsidP="00E76C98" w14:paraId="7BF8BC62" w14:textId="77777777">
      <w:pPr>
        <w:pStyle w:val="FootnoteText"/>
      </w:pPr>
      <w:r w:rsidRPr="00F75A5D">
        <w:rPr>
          <w:rStyle w:val="FootnoteReference"/>
          <w:sz w:val="20"/>
        </w:rPr>
        <w:footnoteRef/>
      </w:r>
      <w:r w:rsidRPr="00F75A5D">
        <w:t xml:space="preserve"> </w:t>
      </w:r>
      <w:r w:rsidRPr="00F75A5D">
        <w:rPr>
          <w:i/>
        </w:rPr>
        <w:t>See</w:t>
      </w:r>
      <w:r>
        <w:rPr>
          <w:i/>
        </w:rPr>
        <w:t>, e.g.,</w:t>
      </w:r>
      <w:r w:rsidRPr="00F75A5D">
        <w:rPr>
          <w:i/>
        </w:rPr>
        <w:t xml:space="preserve"> Connect America Fund et al.</w:t>
      </w:r>
      <w:r w:rsidRPr="00F75A5D">
        <w:t>,</w:t>
      </w:r>
      <w:r w:rsidRPr="00F75A5D">
        <w:rPr>
          <w:i/>
        </w:rPr>
        <w:t xml:space="preserve"> </w:t>
      </w:r>
      <w:r w:rsidRPr="00F75A5D">
        <w:t>WC Docket No. 10-90 et al., Report and Order and Further Notice of Proposed Rulemaking, 26 FCC Rcd 17663 (2011) (</w:t>
      </w:r>
      <w:r w:rsidRPr="00F75A5D">
        <w:rPr>
          <w:i/>
        </w:rPr>
        <w:t>USF/ICC Transformation Order</w:t>
      </w:r>
      <w:r w:rsidRPr="00F75A5D">
        <w:t xml:space="preserve">), </w:t>
      </w:r>
      <w:r w:rsidRPr="00F75A5D">
        <w:rPr>
          <w:i/>
          <w:iCs/>
        </w:rPr>
        <w:t>aff’d sub nom, In re: FCC 11-161</w:t>
      </w:r>
      <w:r w:rsidRPr="00F75A5D">
        <w:rPr>
          <w:iCs/>
        </w:rPr>
        <w:t xml:space="preserve">, </w:t>
      </w:r>
      <w:r w:rsidRPr="00F75A5D">
        <w:t xml:space="preserve">753 F.3d 1015 (10th Cir. </w:t>
      </w:r>
      <w:r w:rsidRPr="00E22363">
        <w:t xml:space="preserve">2014); </w:t>
      </w:r>
      <w:r w:rsidRPr="009A0C34">
        <w:rPr>
          <w:i/>
          <w:iCs/>
        </w:rPr>
        <w:t>Rural Digital Opportunity Fund</w:t>
      </w:r>
      <w:r w:rsidRPr="00E22363">
        <w:t xml:space="preserve">, WC Docket No. 19-126, </w:t>
      </w:r>
      <w:r w:rsidRPr="009A0C34">
        <w:rPr>
          <w:i/>
          <w:iCs/>
        </w:rPr>
        <w:t>Connect America Fund,</w:t>
      </w:r>
      <w:r w:rsidRPr="00E22363">
        <w:t xml:space="preserve"> WC Docket No. 10-90, </w:t>
      </w:r>
      <w:r>
        <w:t xml:space="preserve">Report and Order, </w:t>
      </w:r>
      <w:r w:rsidRPr="00E22363">
        <w:rPr>
          <w:color w:val="1D2B3E"/>
        </w:rPr>
        <w:t>35 FCC Rcd 686, 707, para. 42 (2020)</w:t>
      </w:r>
      <w:r w:rsidRPr="00E22363">
        <w:t>.</w:t>
      </w:r>
    </w:p>
  </w:footnote>
  <w:footnote w:id="4">
    <w:p w:rsidR="00E76C98" w:rsidRPr="00F75A5D" w:rsidP="00E76C98" w14:paraId="105FFA9C" w14:textId="77777777">
      <w:pPr>
        <w:pStyle w:val="FootnoteText"/>
      </w:pPr>
      <w:r w:rsidRPr="00F75A5D">
        <w:rPr>
          <w:rStyle w:val="FootnoteReference"/>
          <w:sz w:val="20"/>
        </w:rPr>
        <w:footnoteRef/>
      </w:r>
      <w:r w:rsidRPr="00F75A5D">
        <w:t xml:space="preserve"> The </w:t>
      </w:r>
      <w:r w:rsidRPr="00F75A5D">
        <w:rPr>
          <w:i/>
        </w:rPr>
        <w:t>USF/ICC Transformation Order</w:t>
      </w:r>
      <w:r w:rsidRPr="00F75A5D">
        <w:t xml:space="preserve"> defined the average urban rate to include local end-user rates plus state regulated fees (specifically, state subscriber line charges (SLCs), state universal service, and mandatory extended area service charges).  </w:t>
      </w:r>
      <w:r w:rsidRPr="00F75A5D">
        <w:rPr>
          <w:i/>
        </w:rPr>
        <w:t>USF/ICC Transformation Order</w:t>
      </w:r>
      <w:r w:rsidRPr="00F75A5D">
        <w:t xml:space="preserve">, 26 FCC Rcd at 17751, para. 238.  The reasonable comparability benchmark for voice services applies to mainland providers and those in Alaska.  </w:t>
      </w:r>
    </w:p>
  </w:footnote>
  <w:footnote w:id="5">
    <w:p w:rsidR="00E76C98" w:rsidRPr="00F75A5D" w:rsidP="00E76C98" w14:paraId="4D1DE1A7" w14:textId="77777777">
      <w:pPr>
        <w:pStyle w:val="FootnoteText"/>
      </w:pPr>
      <w:r w:rsidRPr="00F75A5D">
        <w:rPr>
          <w:rStyle w:val="FootnoteReference"/>
          <w:sz w:val="20"/>
        </w:rPr>
        <w:footnoteRef/>
      </w:r>
      <w:r w:rsidRPr="00F75A5D">
        <w:t xml:space="preserve"> </w:t>
      </w:r>
      <w:r w:rsidRPr="00F75A5D">
        <w:rPr>
          <w:i/>
        </w:rPr>
        <w:t>Id.</w:t>
      </w:r>
      <w:r w:rsidRPr="00F75A5D">
        <w:t xml:space="preserve"> at 17694, para. 84.  </w:t>
      </w:r>
    </w:p>
  </w:footnote>
  <w:footnote w:id="6">
    <w:p w:rsidR="00E76C98" w:rsidRPr="00F75A5D" w:rsidP="00E76C98" w14:paraId="0E66993D" w14:textId="77777777">
      <w:pPr>
        <w:pStyle w:val="FootnoteText"/>
      </w:pPr>
      <w:r w:rsidRPr="00F75A5D">
        <w:rPr>
          <w:rStyle w:val="FootnoteReference"/>
          <w:sz w:val="20"/>
        </w:rPr>
        <w:footnoteRef/>
      </w:r>
      <w:r w:rsidRPr="00F75A5D">
        <w:t xml:space="preserve"> The Bureau has adopted a benchmark only for fixed voice services because “the differences in rate plans and other attributes of fixed and mobile services would make it inordinately difficult to create a unified benchmark” that applied to both fixed and mobile services.  </w:t>
      </w:r>
      <w:r w:rsidRPr="00F75A5D">
        <w:rPr>
          <w:i/>
        </w:rPr>
        <w:t>See</w:t>
      </w:r>
      <w:r w:rsidRPr="00F75A5D">
        <w:t xml:space="preserve"> </w:t>
      </w:r>
      <w:r w:rsidRPr="00F75A5D">
        <w:rPr>
          <w:i/>
          <w:shd w:val="clear" w:color="auto" w:fill="FFFFFF"/>
        </w:rPr>
        <w:t>Connect America Fund</w:t>
      </w:r>
      <w:r w:rsidRPr="00F75A5D">
        <w:rPr>
          <w:shd w:val="clear" w:color="auto" w:fill="FFFFFF"/>
        </w:rPr>
        <w:t xml:space="preserve">, WC Docket No. 10-90, Order, </w:t>
      </w:r>
      <w:r w:rsidRPr="00F75A5D">
        <w:rPr>
          <w:iCs/>
          <w:shd w:val="clear" w:color="auto" w:fill="FFFFFF"/>
        </w:rPr>
        <w:t>28 FCC Rcd 4242, para. 6 (WCB 2014).</w:t>
      </w:r>
      <w:r w:rsidRPr="00F75A5D">
        <w:t xml:space="preserve"> </w:t>
      </w:r>
    </w:p>
  </w:footnote>
  <w:footnote w:id="7">
    <w:p w:rsidR="00E76C98" w:rsidRPr="00F75A5D" w:rsidP="00E76C98" w14:paraId="11117D46" w14:textId="77777777">
      <w:pPr>
        <w:pStyle w:val="FootnoteText"/>
      </w:pPr>
      <w:r w:rsidRPr="00F75A5D">
        <w:rPr>
          <w:rStyle w:val="FootnoteReference"/>
          <w:sz w:val="20"/>
        </w:rPr>
        <w:footnoteRef/>
      </w:r>
      <w:r w:rsidRPr="00F75A5D">
        <w:t xml:space="preserve"> 47 CFR § 54.313(a)(</w:t>
      </w:r>
      <w:r>
        <w:t>2</w:t>
      </w:r>
      <w:r w:rsidRPr="00F75A5D">
        <w:t xml:space="preserve">); </w:t>
      </w:r>
      <w:r w:rsidRPr="00F75A5D">
        <w:rPr>
          <w:i/>
        </w:rPr>
        <w:t>see also</w:t>
      </w:r>
      <w:r w:rsidRPr="00F75A5D">
        <w:t xml:space="preserve"> </w:t>
      </w:r>
      <w:r w:rsidRPr="00F75A5D">
        <w:rPr>
          <w:i/>
        </w:rPr>
        <w:t>USF/ICC Transformation Order</w:t>
      </w:r>
      <w:r w:rsidRPr="00F75A5D">
        <w:t>, 26 FCC Rcd at 18046-47</w:t>
      </w:r>
      <w:r w:rsidRPr="00F75A5D">
        <w:rPr>
          <w:i/>
        </w:rPr>
        <w:t>,</w:t>
      </w:r>
      <w:r w:rsidRPr="00F75A5D">
        <w:t xml:space="preserve"> para. 1026.  In the </w:t>
      </w:r>
      <w:r w:rsidRPr="00F75A5D">
        <w:rPr>
          <w:i/>
        </w:rPr>
        <w:t>USF/ICC Transformation Order</w:t>
      </w:r>
      <w:r w:rsidRPr="00F75A5D">
        <w:t xml:space="preserve">, the Commission required that as a condition of receiving high-cost support, ETCs must offer voice service in supported areas at rates that are reasonably comparable to rates for similar services in urban areas.  </w:t>
      </w:r>
      <w:r w:rsidRPr="00F75A5D">
        <w:rPr>
          <w:i/>
        </w:rPr>
        <w:t>USF/Transformation Order</w:t>
      </w:r>
      <w:r w:rsidRPr="00F75A5D">
        <w:t xml:space="preserve">, 26 FCC </w:t>
      </w:r>
      <w:r>
        <w:t xml:space="preserve">Rcd </w:t>
      </w:r>
      <w:r w:rsidRPr="00F75A5D">
        <w:t xml:space="preserve">at 17693, para. 81.  </w:t>
      </w:r>
    </w:p>
  </w:footnote>
  <w:footnote w:id="8">
    <w:p w:rsidR="00E76C98" w:rsidRPr="00F75A5D" w:rsidP="00E76C98" w14:paraId="66FF9E2D" w14:textId="77777777">
      <w:pPr>
        <w:pStyle w:val="FootnoteText"/>
      </w:pPr>
      <w:r w:rsidRPr="00F75A5D">
        <w:rPr>
          <w:rStyle w:val="FootnoteReference"/>
          <w:sz w:val="20"/>
        </w:rPr>
        <w:footnoteRef/>
      </w:r>
      <w:r w:rsidRPr="00F75A5D">
        <w:t xml:space="preserve"> </w:t>
      </w:r>
      <w:r w:rsidRPr="00F75A5D">
        <w:rPr>
          <w:i/>
        </w:rPr>
        <w:t>USF/Transformation Order</w:t>
      </w:r>
      <w:r w:rsidRPr="00F75A5D">
        <w:t xml:space="preserve">, 26 FCC </w:t>
      </w:r>
      <w:r>
        <w:t xml:space="preserve">Rcd </w:t>
      </w:r>
      <w:r w:rsidRPr="00F75A5D">
        <w:t xml:space="preserve">at 17695, para. 86.  </w:t>
      </w:r>
    </w:p>
  </w:footnote>
  <w:footnote w:id="9">
    <w:p w:rsidR="00E76C98" w:rsidRPr="00F75A5D" w:rsidP="00E76C98" w14:paraId="77640394" w14:textId="77777777">
      <w:pPr>
        <w:pStyle w:val="FootnoteText"/>
      </w:pPr>
      <w:r w:rsidRPr="00F75A5D">
        <w:rPr>
          <w:rStyle w:val="FootnoteReference"/>
          <w:sz w:val="20"/>
        </w:rPr>
        <w:footnoteRef/>
      </w:r>
      <w:r w:rsidRPr="00F75A5D">
        <w:t xml:space="preserve"> </w:t>
      </w:r>
      <w:r w:rsidRPr="00F75A5D">
        <w:rPr>
          <w:i/>
        </w:rPr>
        <w:t>Connect America Fund et al.</w:t>
      </w:r>
      <w:r w:rsidRPr="00F75A5D">
        <w:t>,</w:t>
      </w:r>
      <w:r w:rsidRPr="00F75A5D">
        <w:rPr>
          <w:i/>
        </w:rPr>
        <w:t xml:space="preserve"> </w:t>
      </w:r>
      <w:r w:rsidRPr="00F75A5D">
        <w:t>WC Docket No. 10-90 et al., Report and Order and Further Notice of Proposed Rulemaking, 31 FCC Rcd 10139, 10149, para</w:t>
      </w:r>
      <w:r>
        <w:t>.</w:t>
      </w:r>
      <w:r w:rsidRPr="00F75A5D">
        <w:t xml:space="preserve"> 28 (2016)</w:t>
      </w:r>
      <w:r>
        <w:t xml:space="preserve">, </w:t>
      </w:r>
      <w:r>
        <w:rPr>
          <w:i/>
          <w:iCs/>
        </w:rPr>
        <w:t>and</w:t>
      </w:r>
      <w:r>
        <w:t xml:space="preserve"> </w:t>
      </w:r>
      <w:r>
        <w:rPr>
          <w:i/>
          <w:iCs/>
        </w:rPr>
        <w:t>Connect America Fund</w:t>
      </w:r>
      <w:r>
        <w:t xml:space="preserve">, WC Docket No. 10-90, Order, 31 FCC Rcd 12086, 12091, para. 21 (2016).   </w:t>
      </w:r>
    </w:p>
  </w:footnote>
  <w:footnote w:id="10">
    <w:p w:rsidR="00E76C98" w:rsidRPr="00F75A5D" w:rsidP="00E76C98" w14:paraId="52EA3FCC" w14:textId="77777777">
      <w:pPr>
        <w:pStyle w:val="FootnoteText"/>
      </w:pPr>
      <w:r w:rsidRPr="00F75A5D">
        <w:rPr>
          <w:rStyle w:val="FootnoteReference"/>
          <w:sz w:val="20"/>
        </w:rPr>
        <w:footnoteRef/>
      </w:r>
      <w:r w:rsidRPr="00F75A5D">
        <w:t xml:space="preserve"> 47 CFR § 54.313(a)(</w:t>
      </w:r>
      <w:r>
        <w:t>3</w:t>
      </w:r>
      <w:r w:rsidRPr="00F75A5D">
        <w:t xml:space="preserve">).  The Commission has directed the Bureau to develop an Alaska-specific reasonable comparability benchmark.  </w:t>
      </w:r>
      <w:r w:rsidRPr="00F75A5D">
        <w:rPr>
          <w:i/>
        </w:rPr>
        <w:t>See</w:t>
      </w:r>
      <w:r w:rsidRPr="00F75A5D">
        <w:t xml:space="preserve"> </w:t>
      </w:r>
      <w:r w:rsidRPr="00F75A5D">
        <w:rPr>
          <w:i/>
        </w:rPr>
        <w:t>Connect America Fund; Universal Service Reform–Mobility Fund; Connect America Fund–Alaska Plan</w:t>
      </w:r>
      <w:r w:rsidRPr="00F75A5D">
        <w:t xml:space="preserve">, WC Docket Nos. 10-90, 16-271, WT Docket No. 10-208, Report and Order and Further Notice of Proposed Rulemaking, 31 FCC Rcd 10139, 10149, para. 28 (2016); </w:t>
      </w:r>
      <w:r w:rsidRPr="00F75A5D">
        <w:rPr>
          <w:i/>
        </w:rPr>
        <w:t>Connect America Fund</w:t>
      </w:r>
      <w:r w:rsidRPr="00F75A5D">
        <w:t xml:space="preserve">, WC Docket No. 10-90, Order, </w:t>
      </w:r>
      <w:r w:rsidRPr="00F75A5D">
        <w:rPr>
          <w:iCs/>
          <w:shd w:val="clear" w:color="auto" w:fill="FFFFFF"/>
        </w:rPr>
        <w:t>31 FCC Rcd 12086, 12092, para. 21</w:t>
      </w:r>
      <w:r w:rsidRPr="00F75A5D">
        <w:t xml:space="preserve"> (2016).</w:t>
      </w:r>
      <w:r>
        <w:t xml:space="preserve">  Once effective, during the Alaska Connect Fund Transition, “</w:t>
      </w:r>
      <w:r w:rsidRPr="00F35B6A">
        <w:t>support recipients must continue to meet all public interest requirements established for the program from which they have been receiving funds</w:t>
      </w:r>
      <w:r>
        <w:t xml:space="preserve">.”  </w:t>
      </w:r>
      <w:r w:rsidRPr="008B6B95">
        <w:rPr>
          <w:i/>
          <w:iCs/>
        </w:rPr>
        <w:t>Connect America Fund, et al.</w:t>
      </w:r>
      <w:r>
        <w:t>, WC Docket No. 10-90, et al., Report and Order and Further Notice of Proposed Rulemaking, FCC 24-116, at 16, para. 31 (2024).</w:t>
      </w:r>
    </w:p>
  </w:footnote>
  <w:footnote w:id="11">
    <w:p w:rsidR="00E76C98" w:rsidRPr="00F75A5D" w:rsidP="00E76C98" w14:paraId="7F9E58D6" w14:textId="77777777">
      <w:pPr>
        <w:pStyle w:val="FootnoteText"/>
      </w:pPr>
      <w:r w:rsidRPr="00F75A5D">
        <w:rPr>
          <w:rStyle w:val="FootnoteReference"/>
          <w:sz w:val="20"/>
        </w:rPr>
        <w:footnoteRef/>
      </w:r>
      <w:r w:rsidRPr="00F75A5D">
        <w:t xml:space="preserve"> </w:t>
      </w:r>
      <w:r w:rsidRPr="00F75A5D">
        <w:rPr>
          <w:i/>
        </w:rPr>
        <w:t>Connect America Fund</w:t>
      </w:r>
      <w:r w:rsidRPr="00F75A5D">
        <w:t xml:space="preserve">, WC Docket No. 10-90, Report and Order, </w:t>
      </w:r>
      <w:r w:rsidRPr="00F75A5D">
        <w:rPr>
          <w:iCs/>
          <w:shd w:val="clear" w:color="auto" w:fill="FFFFFF"/>
        </w:rPr>
        <w:t>29 FCC Rcd 13485 (WCB 2014).</w:t>
      </w:r>
    </w:p>
  </w:footnote>
  <w:footnote w:id="12">
    <w:p w:rsidR="00E76C98" w:rsidRPr="00F75A5D" w:rsidP="00E76C98" w14:paraId="78C300E0" w14:textId="77777777">
      <w:pPr>
        <w:pStyle w:val="FootnoteText"/>
      </w:pPr>
      <w:r w:rsidRPr="00F75A5D">
        <w:rPr>
          <w:rStyle w:val="FootnoteReference"/>
          <w:sz w:val="20"/>
        </w:rPr>
        <w:footnoteRef/>
      </w:r>
      <w:r w:rsidRPr="00F75A5D">
        <w:t xml:space="preserve"> </w:t>
      </w:r>
      <w:r>
        <w:t>C</w:t>
      </w:r>
      <w:r w:rsidRPr="00F75A5D">
        <w:t xml:space="preserve">arriers subject to broadband public interest obligations may offer services other than those meeting the defined benchmark and minimum usage allowance.  As long as </w:t>
      </w:r>
      <w:r>
        <w:t>a</w:t>
      </w:r>
      <w:r w:rsidRPr="00F75A5D">
        <w:t xml:space="preserve"> carrier offers at least one broadband service plan that meets the relevant metrics, it </w:t>
      </w:r>
      <w:r>
        <w:t>may</w:t>
      </w:r>
      <w:r w:rsidRPr="00F75A5D">
        <w:t xml:space="preserve"> offer other plans and packages to meet the varying needs of consumers.  </w:t>
      </w:r>
      <w:r w:rsidRPr="00D52245">
        <w:t>47 CFR § 54.313(</w:t>
      </w:r>
      <w:r>
        <w:t>a</w:t>
      </w:r>
      <w:r w:rsidRPr="00D52245">
        <w:t>)</w:t>
      </w:r>
      <w:r>
        <w:t>(3</w:t>
      </w:r>
      <w:r w:rsidRPr="00D52245">
        <w:t>).</w:t>
      </w:r>
      <w:r>
        <w:t xml:space="preserve">  </w:t>
      </w:r>
      <w:r w:rsidRPr="00F75A5D">
        <w:t xml:space="preserve">We note that usage allowance requirements do not apply to those areas that rely exclusively on satellite backhaul.  </w:t>
      </w:r>
      <w:r w:rsidRPr="00F75A5D">
        <w:rPr>
          <w:i/>
        </w:rPr>
        <w:t>See USF/ICC Transformation Order</w:t>
      </w:r>
      <w:r w:rsidRPr="00F75A5D">
        <w:t>, 26 FCC Rcd</w:t>
      </w:r>
      <w:r w:rsidRPr="00F75A5D">
        <w:rPr>
          <w:i/>
        </w:rPr>
        <w:t xml:space="preserve"> </w:t>
      </w:r>
      <w:r w:rsidRPr="00F75A5D">
        <w:t xml:space="preserve">at 17699-700, para. 101; </w:t>
      </w:r>
      <w:r w:rsidRPr="00F75A5D">
        <w:rPr>
          <w:i/>
        </w:rPr>
        <w:t xml:space="preserve">see also </w:t>
      </w:r>
      <w:r w:rsidRPr="00F75A5D">
        <w:t>47 CFR § 54.313(g).</w:t>
      </w:r>
    </w:p>
  </w:footnote>
  <w:footnote w:id="13">
    <w:p w:rsidR="002D50BE" w:rsidRPr="00AB6020" w:rsidP="002D50BE" w14:paraId="4D484F6B" w14:textId="77777777">
      <w:pPr>
        <w:pStyle w:val="FootnoteText"/>
      </w:pPr>
      <w:r w:rsidRPr="00DF7459">
        <w:rPr>
          <w:rStyle w:val="FootnoteReference"/>
          <w:sz w:val="20"/>
          <w:szCs w:val="18"/>
        </w:rPr>
        <w:footnoteRef/>
      </w:r>
      <w:r w:rsidRPr="00AB6020">
        <w:rPr>
          <w:i/>
        </w:rPr>
        <w:t xml:space="preserve"> See USF/ICC Transformation Order</w:t>
      </w:r>
      <w:r w:rsidRPr="00AB6020">
        <w:t xml:space="preserve">, 26 FCC Rcd at 17699, para. 99.  </w:t>
      </w:r>
      <w:r w:rsidRPr="00AB6020">
        <w:rPr>
          <w:i/>
        </w:rPr>
        <w:t>See</w:t>
      </w:r>
      <w:r w:rsidRPr="00AB6020">
        <w:t xml:space="preserve"> 47 CFR §§ 54.308(a), 54.309(a). </w:t>
      </w:r>
    </w:p>
  </w:footnote>
  <w:footnote w:id="14">
    <w:p w:rsidR="002D50BE" w:rsidP="002D50BE" w14:paraId="6A1B8E5D" w14:textId="77777777">
      <w:pPr>
        <w:pStyle w:val="FootnoteText"/>
      </w:pPr>
      <w:r w:rsidRPr="00DF7459">
        <w:rPr>
          <w:rStyle w:val="FootnoteReference"/>
          <w:sz w:val="20"/>
          <w:szCs w:val="18"/>
        </w:rPr>
        <w:footnoteRef/>
      </w:r>
      <w:r>
        <w:t xml:space="preserve"> </w:t>
      </w:r>
      <w:r w:rsidRPr="00AB6020">
        <w:rPr>
          <w:i/>
        </w:rPr>
        <w:t>Connect America Fund et al.</w:t>
      </w:r>
      <w:r w:rsidRPr="00AB6020">
        <w:t xml:space="preserve">, Report and Order, Order and Order on Reconsideration, and Further Notice of Proposed Rulemaking, 31 FCC Rcd 3087, 3099, para. 27 (2016).  </w:t>
      </w:r>
      <w:r w:rsidRPr="00AB6020">
        <w:rPr>
          <w:i/>
        </w:rPr>
        <w:t>See</w:t>
      </w:r>
      <w:r w:rsidRPr="00AB6020">
        <w:t xml:space="preserve"> 47 CFR § 54.308(a)(1).</w:t>
      </w:r>
    </w:p>
  </w:footnote>
  <w:footnote w:id="15">
    <w:p w:rsidR="002D50BE" w:rsidRPr="00AB6020" w:rsidP="002D50BE" w14:paraId="3E318577" w14:textId="77777777">
      <w:pPr>
        <w:pStyle w:val="FootnoteText"/>
        <w:rPr>
          <w:b/>
        </w:rPr>
      </w:pPr>
      <w:r w:rsidRPr="00DF7459">
        <w:rPr>
          <w:rStyle w:val="FootnoteReference"/>
          <w:sz w:val="20"/>
          <w:szCs w:val="18"/>
        </w:rPr>
        <w:footnoteRef/>
      </w:r>
      <w:r w:rsidRPr="00AB6020">
        <w:rPr>
          <w:i/>
        </w:rPr>
        <w:t xml:space="preserve"> USF/ICC Transformation Order</w:t>
      </w:r>
      <w:r w:rsidRPr="00AB6020">
        <w:t>, 26 FCC Rcd at 17699, para. 99</w:t>
      </w:r>
      <w:r w:rsidRPr="00AB6020">
        <w:rPr>
          <w:i/>
        </w:rPr>
        <w:t xml:space="preserve">.  </w:t>
      </w:r>
      <w:r>
        <w:rPr>
          <w:i/>
        </w:rPr>
        <w:t xml:space="preserve"> </w:t>
      </w:r>
      <w:r w:rsidRPr="00AB6020">
        <w:rPr>
          <w:iCs/>
          <w:snapToGrid w:val="0"/>
          <w:kern w:val="28"/>
          <w:shd w:val="clear" w:color="auto" w:fill="FFFFFF"/>
        </w:rPr>
        <w:t xml:space="preserve">  </w:t>
      </w:r>
    </w:p>
  </w:footnote>
  <w:footnote w:id="16">
    <w:p w:rsidR="002D50BE" w:rsidRPr="00DF7459" w:rsidP="002D50BE" w14:paraId="0CD9ED7E" w14:textId="77777777">
      <w:pPr>
        <w:pStyle w:val="FootnoteText"/>
      </w:pPr>
      <w:r w:rsidRPr="00DF7459">
        <w:rPr>
          <w:rStyle w:val="FootnoteReference"/>
          <w:sz w:val="20"/>
        </w:rPr>
        <w:footnoteRef/>
      </w:r>
      <w:r w:rsidRPr="00DF7459">
        <w:t xml:space="preserve"> </w:t>
      </w:r>
      <w:r w:rsidRPr="00DF7459">
        <w:rPr>
          <w:i/>
        </w:rPr>
        <w:t>Rural Digital Opportunity Fund</w:t>
      </w:r>
      <w:r w:rsidRPr="00DF7459">
        <w:t>, WC Docket No. 19-126, Connect America Fund, WC Docket No. 10-90, Report and Order, 35 FCC Rcd 686, 702-03, para. 31 (2020).</w:t>
      </w:r>
    </w:p>
  </w:footnote>
  <w:footnote w:id="17">
    <w:p w:rsidR="002D50BE" w:rsidP="002D50BE" w14:paraId="1F78A449" w14:textId="77777777">
      <w:pPr>
        <w:pStyle w:val="FootnoteText"/>
      </w:pPr>
      <w:r>
        <w:rPr>
          <w:rStyle w:val="FootnoteReference"/>
        </w:rPr>
        <w:footnoteRef/>
      </w:r>
      <w:r>
        <w:t xml:space="preserve"> </w:t>
      </w:r>
      <w:r w:rsidRPr="00594D3C">
        <w:rPr>
          <w:i/>
          <w:iCs/>
        </w:rPr>
        <w:t>See</w:t>
      </w:r>
      <w:r>
        <w:t xml:space="preserve"> </w:t>
      </w:r>
      <w:r>
        <w:t>OpenVault</w:t>
      </w:r>
      <w:r>
        <w:t xml:space="preserve">, Broadband Insights Report, OVBI (3Q21), available at </w:t>
      </w:r>
      <w:hyperlink r:id="rId1" w:history="1">
        <w:r w:rsidRPr="002B26F6">
          <w:rPr>
            <w:rStyle w:val="Hyperlink"/>
          </w:rPr>
          <w:t>https://openvault.com/wp-content/uploads/2021/11/OVBI_3Q21_Report.pdf</w:t>
        </w:r>
      </w:hyperlink>
      <w:r>
        <w:t xml:space="preserve"> (stating that the averages are based on millions of machines). </w:t>
      </w:r>
    </w:p>
  </w:footnote>
  <w:footnote w:id="18">
    <w:p w:rsidR="002D50BE" w:rsidP="002D50BE" w14:paraId="7243501F" w14:textId="77777777">
      <w:pPr>
        <w:pStyle w:val="FootnoteText"/>
      </w:pPr>
      <w:r>
        <w:rPr>
          <w:rStyle w:val="FootnoteReference"/>
        </w:rPr>
        <w:footnoteRef/>
      </w:r>
      <w:r>
        <w:t xml:space="preserve"> </w:t>
      </w:r>
      <w:r w:rsidRPr="00594D3C">
        <w:rPr>
          <w:i/>
          <w:iCs/>
        </w:rPr>
        <w:t>See generally</w:t>
      </w:r>
      <w:r>
        <w:t xml:space="preserve"> </w:t>
      </w:r>
      <w:r>
        <w:t>OpenVault</w:t>
      </w:r>
      <w:r>
        <w:t xml:space="preserve">, Uncover the Power of Data, Resources, OVBI, </w:t>
      </w:r>
      <w:hyperlink r:id="rId2" w:history="1">
        <w:r w:rsidRPr="008D336B">
          <w:rPr>
            <w:rStyle w:val="Hyperlink"/>
          </w:rPr>
          <w:t>https://openvault.com/resources/ovbi/</w:t>
        </w:r>
      </w:hyperlink>
      <w:r w:rsidRPr="008D336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6D8A249" w14:textId="62686216">
    <w:pPr>
      <w:tabs>
        <w:tab w:val="center" w:pos="4680"/>
        <w:tab w:val="right" w:pos="9360"/>
      </w:tabs>
    </w:pPr>
    <w:r>
      <w:rPr>
        <w:b/>
      </w:rPr>
      <w:tab/>
      <w:t>Federal Communications Commission</w:t>
    </w:r>
    <w:r>
      <w:rPr>
        <w:b/>
      </w:rPr>
      <w:tab/>
    </w:r>
    <w:r w:rsidR="002D50BE">
      <w:rPr>
        <w:b/>
      </w:rPr>
      <w:t>DA 25-</w:t>
    </w:r>
    <w:r w:rsidR="00C323B3">
      <w:rPr>
        <w:b/>
        <w:sz w:val="24"/>
      </w:rPr>
      <w:t>1088</w:t>
    </w:r>
  </w:p>
  <w:p w:rsidR="00BA3BA8" w14:paraId="1FD6BA2A" w14:textId="09FBB962">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0BB0A977"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084AF975" w14:textId="01F2A533">
    <w:pPr>
      <w:pStyle w:val="Header"/>
    </w:pPr>
    <w:r>
      <w:rPr>
        <w:noProof/>
      </w:rPr>
      <w:drawing>
        <wp:inline distT="0" distB="0" distL="0" distR="0">
          <wp:extent cx="5952490" cy="14319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2490" cy="14319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623654598">
    <w:abstractNumId w:val="1"/>
  </w:num>
  <w:num w:numId="2" w16cid:durableId="228736701">
    <w:abstractNumId w:val="5"/>
  </w:num>
  <w:num w:numId="3" w16cid:durableId="400248703">
    <w:abstractNumId w:val="3"/>
  </w:num>
  <w:num w:numId="4" w16cid:durableId="1927499279">
    <w:abstractNumId w:val="4"/>
  </w:num>
  <w:num w:numId="5" w16cid:durableId="1789541246">
    <w:abstractNumId w:val="2"/>
  </w:num>
  <w:num w:numId="6" w16cid:durableId="5573976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E2F"/>
    <w:rsid w:val="00016E31"/>
    <w:rsid w:val="0016260E"/>
    <w:rsid w:val="001A1646"/>
    <w:rsid w:val="00257FB1"/>
    <w:rsid w:val="002B26F6"/>
    <w:rsid w:val="002D50BE"/>
    <w:rsid w:val="00430183"/>
    <w:rsid w:val="004932C3"/>
    <w:rsid w:val="004C442C"/>
    <w:rsid w:val="00520ADE"/>
    <w:rsid w:val="00550E1C"/>
    <w:rsid w:val="00594D3C"/>
    <w:rsid w:val="005D49DD"/>
    <w:rsid w:val="00707239"/>
    <w:rsid w:val="00746807"/>
    <w:rsid w:val="007765CF"/>
    <w:rsid w:val="00794E2F"/>
    <w:rsid w:val="008B5337"/>
    <w:rsid w:val="008B6B95"/>
    <w:rsid w:val="008D336B"/>
    <w:rsid w:val="00972663"/>
    <w:rsid w:val="00984C5F"/>
    <w:rsid w:val="009A0C34"/>
    <w:rsid w:val="009F4707"/>
    <w:rsid w:val="00A20679"/>
    <w:rsid w:val="00A2162D"/>
    <w:rsid w:val="00A87AD7"/>
    <w:rsid w:val="00A942C9"/>
    <w:rsid w:val="00AB6020"/>
    <w:rsid w:val="00BA3BA8"/>
    <w:rsid w:val="00C323B3"/>
    <w:rsid w:val="00D52245"/>
    <w:rsid w:val="00D9261B"/>
    <w:rsid w:val="00DB5EA3"/>
    <w:rsid w:val="00DF41FE"/>
    <w:rsid w:val="00DF7459"/>
    <w:rsid w:val="00E22363"/>
    <w:rsid w:val="00E76C98"/>
    <w:rsid w:val="00E801AB"/>
    <w:rsid w:val="00EF466B"/>
    <w:rsid w:val="00F03EA1"/>
    <w:rsid w:val="00F35B6A"/>
    <w:rsid w:val="00F75A5D"/>
    <w:rsid w:val="4D5713AF"/>
    <w:rsid w:val="4FDD136D"/>
    <w:rsid w:val="5C2D4360"/>
    <w:rsid w:val="69CD62D8"/>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429B7F7"/>
  <w15:chartTrackingRefBased/>
  <w15:docId w15:val="{BE81C779-0EB4-49C5-9F22-CEF601EAF7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1"/>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Footnote Text Char,Footnote Text Char Char,Footnote Text Char Char Char Char,Footnote Text Char1,Footnote Text Char2 Char Char2 Char2 Char Char,Footnote Text Char4 Char Char1 Char Char,Footnote Text Char5 Char Char,fn,fn Char"/>
    <w:link w:val="FootnoteTextChar2"/>
    <w:pPr>
      <w:spacing w:after="120"/>
    </w:pPr>
  </w:style>
  <w:style w:type="character" w:styleId="FootnoteReference">
    <w:name w:val="footnote reference"/>
    <w:aliases w:val="(NECG) Footnote Reference,Appel note de bas de p,FR,Footnote Reference/,Style 12,Style 124,Style 13,Style 17,Style 3,Style 34,Style 4,Style 6,Style 7,Style 9,fr,o"/>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2">
    <w:name w:val="Footnote Text Char2"/>
    <w:aliases w:val="ALTS FOOTNOTE Char,Footnote Text Char Char1,Footnote Text Char Char Char,Footnote Text Char Char Char Char Char,Footnote Text Char1 Char,Footnote Text Char2 Char Char2 Char2 Char Char Char,Footnote Text Char5 Char Char Char,fn Char1"/>
    <w:link w:val="FootnoteText"/>
    <w:locked/>
    <w:rsid w:val="00E76C98"/>
  </w:style>
  <w:style w:type="character" w:customStyle="1" w:styleId="ParaNumChar1">
    <w:name w:val="ParaNum Char1"/>
    <w:link w:val="ParaNum"/>
    <w:rsid w:val="00E76C98"/>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2.xml" /><Relationship Id="rId13" Type="http://schemas.openxmlformats.org/officeDocument/2006/relationships/footer" Target="footer3.xml" /><Relationship Id="rId14" Type="http://schemas.openxmlformats.org/officeDocument/2006/relationships/theme" Target="theme/theme1.xml" /><Relationship Id="rId15" Type="http://schemas.openxmlformats.org/officeDocument/2006/relationships/numbering" Target="numbering.xml" /><Relationship Id="rId16"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auction/903" TargetMode="External" /><Relationship Id="rId7" Type="http://schemas.openxmlformats.org/officeDocument/2006/relationships/hyperlink" Target="https://www.fcc.gov/economics-analytics/industry-analysis-division/urban-rate-survey-data-resources" TargetMode="External" /><Relationship Id="rId8" Type="http://schemas.openxmlformats.org/officeDocument/2006/relationships/hyperlink" Target="mailto:rebekah.douglas@fcc.gov" TargetMode="External" /><Relationship Id="rId9" Type="http://schemas.openxmlformats.org/officeDocument/2006/relationships/header" Target="header1.xml" /></Relationships>
</file>

<file path=word/_rels/footnotes.xml.rels><?xml version="1.0" encoding="utf-8" standalone="yes"?><Relationships xmlns="http://schemas.openxmlformats.org/package/2006/relationships"><Relationship Id="rId1" Type="http://schemas.openxmlformats.org/officeDocument/2006/relationships/hyperlink" Target="https://openvault.com/wp-content/uploads/2021/11/OVBI_3Q21_Report.pdf" TargetMode="External" /><Relationship Id="rId2" Type="http://schemas.openxmlformats.org/officeDocument/2006/relationships/hyperlink" Target="https://openvault.com/resources/ovbi/"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