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1B20C40E" w14:textId="77777777">
      <w:pPr>
        <w:jc w:val="right"/>
        <w:rPr>
          <w:sz w:val="24"/>
        </w:rPr>
      </w:pPr>
    </w:p>
    <w:p w:rsidR="00BA3BA8" w:rsidP="29647E2E" w14:paraId="530E0894" w14:textId="684ACB8B">
      <w:pPr>
        <w:jc w:val="right"/>
        <w:rPr>
          <w:b/>
          <w:bCs/>
          <w:sz w:val="24"/>
          <w:szCs w:val="24"/>
        </w:rPr>
      </w:pPr>
      <w:r w:rsidRPr="29647E2E">
        <w:rPr>
          <w:b/>
          <w:bCs/>
          <w:sz w:val="24"/>
          <w:szCs w:val="24"/>
        </w:rPr>
        <w:t>DA 25-</w:t>
      </w:r>
      <w:r w:rsidRPr="29647E2E" w:rsidR="68DE50C1">
        <w:rPr>
          <w:b/>
          <w:bCs/>
          <w:sz w:val="24"/>
          <w:szCs w:val="24"/>
        </w:rPr>
        <w:t>1099</w:t>
      </w:r>
    </w:p>
    <w:p w:rsidR="00BA3BA8" w:rsidP="00AA132F" w14:paraId="5C6BF825" w14:textId="23EDEF97">
      <w:pPr>
        <w:spacing w:before="60"/>
        <w:jc w:val="right"/>
        <w:rPr>
          <w:b/>
          <w:sz w:val="24"/>
        </w:rPr>
      </w:pPr>
      <w:r>
        <w:rPr>
          <w:b/>
          <w:sz w:val="24"/>
        </w:rPr>
        <w:t xml:space="preserve">Released:  </w:t>
      </w:r>
      <w:r w:rsidR="00B61F06">
        <w:rPr>
          <w:b/>
          <w:sz w:val="24"/>
        </w:rPr>
        <w:t xml:space="preserve">December </w:t>
      </w:r>
      <w:r w:rsidR="00C464FD">
        <w:rPr>
          <w:b/>
          <w:sz w:val="24"/>
        </w:rPr>
        <w:t>22</w:t>
      </w:r>
      <w:r w:rsidR="00B61F06">
        <w:rPr>
          <w:b/>
          <w:sz w:val="24"/>
        </w:rPr>
        <w:t>, 2025</w:t>
      </w:r>
    </w:p>
    <w:p w:rsidR="00AA132F" w:rsidP="00AA132F" w14:paraId="351B903D" w14:textId="77777777">
      <w:pPr>
        <w:spacing w:before="60"/>
        <w:jc w:val="right"/>
        <w:rPr>
          <w:sz w:val="24"/>
        </w:rPr>
      </w:pPr>
    </w:p>
    <w:p w:rsidR="007E5E97" w:rsidP="005F4D75" w14:paraId="7D79441B" w14:textId="4C41BCD6">
      <w:pPr>
        <w:jc w:val="center"/>
        <w:rPr>
          <w:rFonts w:ascii="Times New Roman Bold" w:hAnsi="Times New Roman Bold"/>
          <w:b/>
          <w:caps/>
          <w:sz w:val="24"/>
        </w:rPr>
      </w:pPr>
      <w:r>
        <w:rPr>
          <w:rFonts w:ascii="Times New Roman Bold" w:hAnsi="Times New Roman Bold"/>
          <w:b/>
          <w:caps/>
          <w:sz w:val="24"/>
        </w:rPr>
        <w:t>OFFICE OF ENGINEERING AND TECHNOLOGY</w:t>
      </w:r>
      <w:r w:rsidRPr="005F4D75" w:rsidR="002D4B18">
        <w:rPr>
          <w:rFonts w:ascii="Times New Roman Bold" w:hAnsi="Times New Roman Bold"/>
          <w:b/>
          <w:caps/>
          <w:sz w:val="24"/>
        </w:rPr>
        <w:t xml:space="preserve"> SEEKS COMMENT ON</w:t>
      </w:r>
    </w:p>
    <w:p w:rsidR="00BA3BA8" w:rsidP="005F4D75" w14:paraId="3036B8BF" w14:textId="4C80CB45">
      <w:pPr>
        <w:spacing w:after="240"/>
        <w:jc w:val="center"/>
        <w:rPr>
          <w:rFonts w:ascii="Times New Roman Bold" w:hAnsi="Times New Roman Bold"/>
          <w:b/>
          <w:caps/>
          <w:sz w:val="24"/>
        </w:rPr>
      </w:pPr>
      <w:r>
        <w:rPr>
          <w:rFonts w:ascii="Times New Roman Bold" w:hAnsi="Times New Roman Bold"/>
          <w:b/>
          <w:caps/>
          <w:sz w:val="24"/>
        </w:rPr>
        <w:t>ultra-wideband device</w:t>
      </w:r>
      <w:r w:rsidRPr="005F4D75">
        <w:rPr>
          <w:rFonts w:ascii="Times New Roman Bold" w:hAnsi="Times New Roman Bold"/>
          <w:b/>
          <w:caps/>
          <w:sz w:val="24"/>
        </w:rPr>
        <w:t xml:space="preserve"> </w:t>
      </w:r>
      <w:r w:rsidRPr="005F4D75" w:rsidR="002D4B18">
        <w:rPr>
          <w:rFonts w:ascii="Times New Roman Bold" w:hAnsi="Times New Roman Bold"/>
          <w:b/>
          <w:caps/>
          <w:sz w:val="24"/>
        </w:rPr>
        <w:t xml:space="preserve">PETITION FOR </w:t>
      </w:r>
      <w:r w:rsidR="00E1283A">
        <w:rPr>
          <w:rFonts w:ascii="Times New Roman Bold" w:hAnsi="Times New Roman Bold"/>
          <w:b/>
          <w:caps/>
          <w:sz w:val="24"/>
        </w:rPr>
        <w:t>Rulemaking</w:t>
      </w:r>
    </w:p>
    <w:p w:rsidR="00BA3BA8" w:rsidP="005F4D75" w14:paraId="3E5A314F" w14:textId="57FA27F9">
      <w:pPr>
        <w:jc w:val="center"/>
      </w:pPr>
      <w:bookmarkStart w:id="0" w:name="TOChere"/>
      <w:r w:rsidRPr="29647E2E">
        <w:rPr>
          <w:b/>
          <w:bCs/>
          <w:sz w:val="24"/>
          <w:szCs w:val="24"/>
        </w:rPr>
        <w:t>RM</w:t>
      </w:r>
      <w:r w:rsidRPr="29647E2E" w:rsidR="005F4D75">
        <w:rPr>
          <w:b/>
          <w:bCs/>
          <w:sz w:val="24"/>
          <w:szCs w:val="24"/>
        </w:rPr>
        <w:t xml:space="preserve"> No.</w:t>
      </w:r>
      <w:r w:rsidRPr="29647E2E" w:rsidR="003154C3">
        <w:rPr>
          <w:b/>
          <w:bCs/>
          <w:sz w:val="24"/>
          <w:szCs w:val="24"/>
        </w:rPr>
        <w:t xml:space="preserve"> 1201</w:t>
      </w:r>
      <w:r w:rsidRPr="29647E2E" w:rsidR="085AE3F1">
        <w:rPr>
          <w:b/>
          <w:bCs/>
          <w:sz w:val="24"/>
          <w:szCs w:val="24"/>
        </w:rPr>
        <w:t>4</w:t>
      </w:r>
    </w:p>
    <w:p w:rsidR="00BA3BA8" w14:paraId="252266D6" w14:textId="77777777"/>
    <w:p w:rsidR="005F4D75" w:rsidRPr="001E368C" w:rsidP="005F4D75" w14:paraId="33CFEFFE" w14:textId="34243717">
      <w:pPr>
        <w:rPr>
          <w:b/>
          <w:bCs/>
        </w:rPr>
      </w:pPr>
      <w:r w:rsidRPr="001E368C">
        <w:rPr>
          <w:b/>
          <w:bCs/>
        </w:rPr>
        <w:t xml:space="preserve">Comments Due:  </w:t>
      </w:r>
      <w:r w:rsidRPr="001E368C" w:rsidR="006F1051">
        <w:rPr>
          <w:b/>
          <w:bCs/>
        </w:rPr>
        <w:t xml:space="preserve">January </w:t>
      </w:r>
      <w:r w:rsidRPr="001E368C" w:rsidR="00FA6D7D">
        <w:rPr>
          <w:b/>
          <w:bCs/>
        </w:rPr>
        <w:t>30</w:t>
      </w:r>
      <w:r w:rsidRPr="001E368C" w:rsidR="006F1051">
        <w:rPr>
          <w:b/>
          <w:bCs/>
        </w:rPr>
        <w:t>, 2026</w:t>
      </w:r>
    </w:p>
    <w:p w:rsidR="00BA3BA8" w:rsidRPr="005F4D75" w:rsidP="005F4D75" w14:paraId="4B36AB5B" w14:textId="171CC619">
      <w:pPr>
        <w:rPr>
          <w:b/>
          <w:bCs/>
        </w:rPr>
      </w:pPr>
      <w:r w:rsidRPr="001E368C">
        <w:rPr>
          <w:b/>
          <w:bCs/>
        </w:rPr>
        <w:t xml:space="preserve">Reply Comments Due:  </w:t>
      </w:r>
      <w:r w:rsidRPr="001E368C" w:rsidR="00752632">
        <w:rPr>
          <w:b/>
          <w:bCs/>
        </w:rPr>
        <w:t>February</w:t>
      </w:r>
      <w:r w:rsidRPr="001E368C" w:rsidR="005A32CD">
        <w:rPr>
          <w:b/>
          <w:bCs/>
        </w:rPr>
        <w:t xml:space="preserve"> </w:t>
      </w:r>
      <w:r w:rsidRPr="001E368C" w:rsidR="00FF67A1">
        <w:rPr>
          <w:b/>
          <w:bCs/>
        </w:rPr>
        <w:t>2</w:t>
      </w:r>
      <w:r w:rsidRPr="001E368C" w:rsidR="00752632">
        <w:rPr>
          <w:b/>
        </w:rPr>
        <w:t>7</w:t>
      </w:r>
      <w:r w:rsidRPr="001E368C" w:rsidR="005A32CD">
        <w:rPr>
          <w:b/>
        </w:rPr>
        <w:t>,</w:t>
      </w:r>
      <w:r w:rsidRPr="001E368C" w:rsidR="005A32CD">
        <w:rPr>
          <w:b/>
          <w:bCs/>
        </w:rPr>
        <w:t xml:space="preserve"> 202</w:t>
      </w:r>
      <w:r w:rsidRPr="001E368C" w:rsidR="002073CD">
        <w:rPr>
          <w:b/>
          <w:bCs/>
        </w:rPr>
        <w:t>6</w:t>
      </w:r>
    </w:p>
    <w:p w:rsidR="005F4D75" w:rsidP="005F4D75" w14:paraId="0B5891DC" w14:textId="77777777"/>
    <w:bookmarkEnd w:id="0"/>
    <w:p w:rsidR="00D96D7D" w:rsidP="00D96D7D" w14:paraId="74150690" w14:textId="6DC57700">
      <w:pPr>
        <w:ind w:firstLine="720"/>
      </w:pPr>
      <w:r w:rsidRPr="00AD7825">
        <w:t xml:space="preserve">By this Public Notice, the </w:t>
      </w:r>
      <w:r w:rsidR="00172A2E">
        <w:t>Office of Engineering and Technology</w:t>
      </w:r>
      <w:r w:rsidRPr="00AD7825">
        <w:t xml:space="preserve"> seeks comment on a petition </w:t>
      </w:r>
      <w:r w:rsidR="006F6D66">
        <w:t xml:space="preserve">for rulemaking </w:t>
      </w:r>
      <w:r w:rsidR="00207D72">
        <w:t xml:space="preserve">by the </w:t>
      </w:r>
      <w:r w:rsidRPr="00CF4D17" w:rsidR="00CF4D17">
        <w:t xml:space="preserve">Alliance for Automotive Innovation, Car Connectivity Consortium, </w:t>
      </w:r>
      <w:r w:rsidRPr="00CF4D17" w:rsidR="00CF4D17">
        <w:t>FiRa</w:t>
      </w:r>
      <w:r w:rsidRPr="00CF4D17" w:rsidR="00CF4D17">
        <w:t xml:space="preserve"> Consortium, Profibus &amp; </w:t>
      </w:r>
      <w:r w:rsidRPr="00CF4D17" w:rsidR="00CF4D17">
        <w:t>Profinet</w:t>
      </w:r>
      <w:r w:rsidRPr="00CF4D17" w:rsidR="00CF4D17">
        <w:t xml:space="preserve"> International / </w:t>
      </w:r>
      <w:r w:rsidRPr="00CF4D17" w:rsidR="00CF4D17">
        <w:t>omlox</w:t>
      </w:r>
      <w:r w:rsidRPr="00CF4D17" w:rsidR="00CF4D17">
        <w:t>, and</w:t>
      </w:r>
      <w:r w:rsidR="007238E4">
        <w:t xml:space="preserve"> the</w:t>
      </w:r>
      <w:r w:rsidRPr="00CF4D17" w:rsidR="00CF4D17">
        <w:t xml:space="preserve"> UWB Alliance (together, the </w:t>
      </w:r>
      <w:r w:rsidR="00CF4D17">
        <w:t xml:space="preserve">UWB </w:t>
      </w:r>
      <w:r w:rsidRPr="00CF4D17" w:rsidR="00CF4D17">
        <w:t>Petitioners)</w:t>
      </w:r>
      <w:r w:rsidRPr="00AD7825">
        <w:t xml:space="preserve"> </w:t>
      </w:r>
      <w:r w:rsidR="007F28F7">
        <w:t>requesting</w:t>
      </w:r>
      <w:r w:rsidR="004172CB">
        <w:t xml:space="preserve"> the Commission initiate an expedited proceeding to</w:t>
      </w:r>
      <w:r w:rsidR="007F28F7">
        <w:t xml:space="preserve"> </w:t>
      </w:r>
      <w:r w:rsidR="00246586">
        <w:t xml:space="preserve">amend </w:t>
      </w:r>
      <w:r w:rsidR="008D0CED">
        <w:t xml:space="preserve">certain portions of the FCC’s </w:t>
      </w:r>
      <w:r w:rsidR="00976D87">
        <w:t xml:space="preserve">part </w:t>
      </w:r>
      <w:r w:rsidR="008D0CED">
        <w:t>15 rules to allow for more flexible ultra-wideband (UWB) device</w:t>
      </w:r>
      <w:r w:rsidRPr="00505FDF" w:rsidR="00505FDF">
        <w:t xml:space="preserve"> </w:t>
      </w:r>
      <w:r w:rsidR="00505FDF">
        <w:t>operations</w:t>
      </w:r>
      <w:r w:rsidR="00246586">
        <w:t>.</w:t>
      </w:r>
      <w:r>
        <w:rPr>
          <w:rStyle w:val="FootnoteReference"/>
        </w:rPr>
        <w:footnoteReference w:id="3"/>
      </w:r>
      <w:r w:rsidR="00462DF8">
        <w:t xml:space="preserve">  </w:t>
      </w:r>
      <w:r w:rsidR="0018783D">
        <w:t xml:space="preserve">In its petition, </w:t>
      </w:r>
      <w:r w:rsidR="00A92B13">
        <w:t>the UWB Petitioners</w:t>
      </w:r>
      <w:r w:rsidR="00462DF8">
        <w:t xml:space="preserve"> </w:t>
      </w:r>
      <w:r w:rsidR="00344E35">
        <w:t xml:space="preserve">ask the Commission to: </w:t>
      </w:r>
    </w:p>
    <w:p w:rsidR="00D96D7D" w:rsidP="00D96D7D" w14:paraId="39E632BD" w14:textId="77777777">
      <w:pPr>
        <w:ind w:firstLine="720"/>
      </w:pPr>
    </w:p>
    <w:p w:rsidR="00344E35" w:rsidP="00F73224" w14:paraId="0913F1C2" w14:textId="755F93A2">
      <w:pPr>
        <w:pStyle w:val="ListParagraph"/>
        <w:numPr>
          <w:ilvl w:val="0"/>
          <w:numId w:val="13"/>
        </w:numPr>
        <w:ind w:left="1080" w:right="720"/>
        <w:rPr>
          <w:rFonts w:ascii="Times New Roman" w:hAnsi="Times New Roman"/>
        </w:rPr>
      </w:pPr>
      <w:r w:rsidRPr="00D96D7D">
        <w:rPr>
          <w:rFonts w:ascii="Times New Roman" w:hAnsi="Times New Roman"/>
        </w:rPr>
        <w:t>Delete “at any point in time” from the definition of UWB to allow for devices that operate with modulations other than pulsed based without posing significant interference risk and to eliminate the requirement to develop a special test mode that does not represent normal UWB operations;</w:t>
      </w:r>
    </w:p>
    <w:p w:rsidR="00D96D7D" w:rsidRPr="00AF3A90" w:rsidP="00C55278" w14:paraId="628A59DE" w14:textId="2E24823B">
      <w:pPr>
        <w:pStyle w:val="ListParagraph"/>
        <w:numPr>
          <w:ilvl w:val="0"/>
          <w:numId w:val="13"/>
        </w:numPr>
        <w:ind w:left="1080" w:right="720"/>
        <w:rPr>
          <w:rFonts w:ascii="Times New Roman" w:hAnsi="Times New Roman"/>
        </w:rPr>
      </w:pPr>
      <w:r w:rsidRPr="00AF3A90">
        <w:rPr>
          <w:rFonts w:ascii="Times New Roman" w:hAnsi="Times New Roman"/>
        </w:rPr>
        <w:t>Adopt a definition of “fixed outdoor infrastructure” to clarify when UWB devices may not be affixed to objects;</w:t>
      </w:r>
    </w:p>
    <w:p w:rsidR="00FC5EA2" w:rsidRPr="00AF3A90" w:rsidP="00C55278" w14:paraId="178CCD8C" w14:textId="4C589167">
      <w:pPr>
        <w:pStyle w:val="ListParagraph"/>
        <w:numPr>
          <w:ilvl w:val="0"/>
          <w:numId w:val="13"/>
        </w:numPr>
        <w:ind w:left="1080" w:right="720"/>
        <w:rPr>
          <w:rFonts w:ascii="Times New Roman" w:hAnsi="Times New Roman"/>
        </w:rPr>
      </w:pPr>
      <w:r w:rsidRPr="00AF3A90">
        <w:rPr>
          <w:rFonts w:ascii="Times New Roman" w:hAnsi="Times New Roman"/>
        </w:rPr>
        <w:t>Eliminate use of the term “hand held” in Section 15.519 of the Commission’s rules to ensure the UWB rules account for the wide array of non-fixed, affixed, and vehicle-mounted UWB-enabled devices that can provide short-range services</w:t>
      </w:r>
      <w:r w:rsidR="00AF3A90">
        <w:rPr>
          <w:rFonts w:ascii="Times New Roman" w:hAnsi="Times New Roman"/>
        </w:rPr>
        <w:t xml:space="preserve"> </w:t>
      </w:r>
      <w:r w:rsidRPr="00AF3A90">
        <w:rPr>
          <w:rFonts w:ascii="Times New Roman" w:hAnsi="Times New Roman"/>
        </w:rPr>
        <w:t>consistent with the intent of the Commission’s rules;</w:t>
      </w:r>
    </w:p>
    <w:p w:rsidR="00CC477E" w:rsidRPr="00AF3A90" w:rsidP="00C55278" w14:paraId="597B435C" w14:textId="37712DFA">
      <w:pPr>
        <w:pStyle w:val="ListParagraph"/>
        <w:numPr>
          <w:ilvl w:val="0"/>
          <w:numId w:val="13"/>
        </w:numPr>
        <w:ind w:left="1080" w:right="720"/>
        <w:rPr>
          <w:rFonts w:ascii="Times New Roman" w:hAnsi="Times New Roman"/>
        </w:rPr>
      </w:pPr>
      <w:r w:rsidRPr="00AF3A90">
        <w:rPr>
          <w:rFonts w:ascii="Times New Roman" w:hAnsi="Times New Roman"/>
        </w:rPr>
        <w:t>Allow a duty cycle requirement as an alternative to the 10-second rule to support more efficient deployment of UWB technology; and</w:t>
      </w:r>
    </w:p>
    <w:p w:rsidR="00D833A3" w:rsidRPr="00AF3A90" w:rsidP="00C55278" w14:paraId="3F3E551C" w14:textId="58C6660B">
      <w:pPr>
        <w:pStyle w:val="ListParagraph"/>
        <w:numPr>
          <w:ilvl w:val="0"/>
          <w:numId w:val="13"/>
        </w:numPr>
        <w:ind w:left="1080" w:right="720"/>
        <w:rPr>
          <w:rFonts w:ascii="Times New Roman" w:hAnsi="Times New Roman"/>
        </w:rPr>
      </w:pPr>
      <w:r w:rsidRPr="00AF3A90">
        <w:rPr>
          <w:rFonts w:ascii="Times New Roman" w:hAnsi="Times New Roman"/>
        </w:rPr>
        <w:t>Allow UWB to be used in toys and aboard vessels within inland waters given the lack of interference risk and increasingly ubiquitous deployment of UWB technology in consumer devices.</w:t>
      </w:r>
      <w:r>
        <w:rPr>
          <w:rStyle w:val="FootnoteReference"/>
        </w:rPr>
        <w:footnoteReference w:id="4"/>
      </w:r>
      <w:r w:rsidR="00462DF8">
        <w:t xml:space="preserve"> </w:t>
      </w:r>
    </w:p>
    <w:p w:rsidR="00F73224" w:rsidRPr="00F73224" w:rsidP="006F13C5" w14:paraId="60A58081" w14:textId="4FB1B5CF">
      <w:pPr>
        <w:pStyle w:val="ParaNum"/>
        <w:numPr>
          <w:ilvl w:val="0"/>
          <w:numId w:val="0"/>
        </w:numPr>
        <w:ind w:firstLine="720"/>
        <w:rPr>
          <w:rFonts w:eastAsia="Calibri"/>
          <w:szCs w:val="22"/>
        </w:rPr>
      </w:pPr>
      <w:r>
        <w:rPr>
          <w:rFonts w:eastAsia="Calibri"/>
          <w:i/>
          <w:iCs/>
          <w:szCs w:val="22"/>
        </w:rPr>
        <w:t>Additional Issues:</w:t>
      </w:r>
      <w:r w:rsidR="00FE77BA">
        <w:rPr>
          <w:rFonts w:eastAsia="Calibri"/>
          <w:i/>
          <w:iCs/>
          <w:szCs w:val="22"/>
        </w:rPr>
        <w:t xml:space="preserve"> </w:t>
      </w:r>
      <w:r w:rsidR="00FE77BA">
        <w:rPr>
          <w:rFonts w:eastAsia="Calibri"/>
          <w:szCs w:val="22"/>
        </w:rPr>
        <w:t xml:space="preserve">The Office of Engineering and Technology seeks comment on any </w:t>
      </w:r>
      <w:r w:rsidR="00B538EB">
        <w:rPr>
          <w:rFonts w:eastAsia="Calibri"/>
          <w:szCs w:val="22"/>
        </w:rPr>
        <w:t xml:space="preserve">other </w:t>
      </w:r>
      <w:r w:rsidR="00142D4C">
        <w:rPr>
          <w:rFonts w:eastAsia="Calibri"/>
          <w:szCs w:val="22"/>
        </w:rPr>
        <w:t xml:space="preserve">portions of </w:t>
      </w:r>
      <w:r w:rsidR="00027E4C">
        <w:rPr>
          <w:rFonts w:eastAsia="Calibri"/>
          <w:szCs w:val="22"/>
        </w:rPr>
        <w:t xml:space="preserve">the </w:t>
      </w:r>
      <w:r w:rsidR="00142D4C">
        <w:rPr>
          <w:rFonts w:eastAsia="Calibri"/>
          <w:szCs w:val="22"/>
        </w:rPr>
        <w:t xml:space="preserve">FCC’s </w:t>
      </w:r>
      <w:r w:rsidR="00B210BF">
        <w:rPr>
          <w:rFonts w:eastAsia="Calibri"/>
          <w:szCs w:val="22"/>
        </w:rPr>
        <w:t>p</w:t>
      </w:r>
      <w:r w:rsidR="00142D4C">
        <w:rPr>
          <w:rFonts w:eastAsia="Calibri"/>
          <w:szCs w:val="22"/>
        </w:rPr>
        <w:t>art 15 rules</w:t>
      </w:r>
      <w:r w:rsidR="00AF01AC">
        <w:rPr>
          <w:rFonts w:eastAsia="Calibri"/>
          <w:szCs w:val="22"/>
        </w:rPr>
        <w:t xml:space="preserve"> </w:t>
      </w:r>
      <w:r w:rsidR="006A1B7D">
        <w:rPr>
          <w:rFonts w:eastAsia="Calibri"/>
          <w:szCs w:val="22"/>
        </w:rPr>
        <w:t xml:space="preserve">that </w:t>
      </w:r>
      <w:r w:rsidR="00027E4C">
        <w:rPr>
          <w:rFonts w:eastAsia="Calibri"/>
          <w:szCs w:val="22"/>
        </w:rPr>
        <w:t>could</w:t>
      </w:r>
      <w:r w:rsidR="006A1B7D">
        <w:rPr>
          <w:rFonts w:eastAsia="Calibri"/>
          <w:szCs w:val="22"/>
        </w:rPr>
        <w:t xml:space="preserve"> be amended to update the Commission’s UWB regulatory framework. </w:t>
      </w:r>
    </w:p>
    <w:p w:rsidR="006F13C5" w:rsidRPr="000E451F" w:rsidP="006F13C5" w14:paraId="5553FBEC" w14:textId="42741AED">
      <w:pPr>
        <w:pStyle w:val="ParaNum"/>
        <w:numPr>
          <w:ilvl w:val="0"/>
          <w:numId w:val="0"/>
        </w:numPr>
        <w:ind w:firstLine="720"/>
        <w:rPr>
          <w:rFonts w:eastAsia="Calibri"/>
          <w:szCs w:val="22"/>
        </w:rPr>
      </w:pPr>
      <w:r w:rsidRPr="000E451F">
        <w:rPr>
          <w:rFonts w:eastAsia="Calibri"/>
          <w:i/>
          <w:iCs/>
          <w:szCs w:val="22"/>
        </w:rPr>
        <w:t>Filing Requirements.</w:t>
      </w:r>
      <w:r w:rsidRPr="000E451F">
        <w:rPr>
          <w:rFonts w:eastAsia="Calibri"/>
          <w:szCs w:val="22"/>
        </w:rPr>
        <w:t xml:space="preserve">  Interested parties may file comments on or before the dates shown on the first page of this document.</w:t>
      </w:r>
      <w:r>
        <w:rPr>
          <w:rStyle w:val="FootnoteReference"/>
          <w:rFonts w:eastAsia="Calibri"/>
          <w:szCs w:val="22"/>
        </w:rPr>
        <w:footnoteReference w:id="5"/>
      </w:r>
      <w:r w:rsidRPr="000E451F">
        <w:rPr>
          <w:rFonts w:eastAsia="Calibri"/>
          <w:szCs w:val="22"/>
        </w:rPr>
        <w:t xml:space="preserve">  All comments must </w:t>
      </w:r>
      <w:r w:rsidRPr="004A13F2">
        <w:rPr>
          <w:rFonts w:eastAsia="Calibri"/>
          <w:szCs w:val="22"/>
        </w:rPr>
        <w:t xml:space="preserve">reference </w:t>
      </w:r>
      <w:r w:rsidRPr="004A13F2" w:rsidR="00BA5BA8">
        <w:rPr>
          <w:rFonts w:eastAsia="Calibri"/>
          <w:szCs w:val="22"/>
        </w:rPr>
        <w:t>RM</w:t>
      </w:r>
      <w:r w:rsidRPr="004A13F2" w:rsidR="00B61F06">
        <w:rPr>
          <w:rFonts w:eastAsia="Calibri"/>
          <w:szCs w:val="22"/>
        </w:rPr>
        <w:t>-</w:t>
      </w:r>
      <w:r w:rsidRPr="004A13F2" w:rsidR="003154C3">
        <w:rPr>
          <w:szCs w:val="22"/>
        </w:rPr>
        <w:t>1201</w:t>
      </w:r>
      <w:r w:rsidR="00B97E92">
        <w:rPr>
          <w:szCs w:val="22"/>
        </w:rPr>
        <w:t>4</w:t>
      </w:r>
      <w:r w:rsidRPr="000E451F">
        <w:rPr>
          <w:rFonts w:eastAsia="Calibri"/>
          <w:szCs w:val="22"/>
        </w:rPr>
        <w:t>.  Comments may be filed using the Commission’s Electronic Comment Filing System (ECFS).</w:t>
      </w:r>
      <w:r>
        <w:rPr>
          <w:rStyle w:val="FootnoteReference"/>
          <w:rFonts w:eastAsia="Calibri"/>
          <w:szCs w:val="22"/>
        </w:rPr>
        <w:footnoteReference w:id="6"/>
      </w:r>
      <w:r w:rsidRPr="000E451F">
        <w:rPr>
          <w:rFonts w:eastAsia="Calibri"/>
          <w:szCs w:val="22"/>
        </w:rPr>
        <w:t xml:space="preserve">    </w:t>
      </w:r>
    </w:p>
    <w:p w:rsidR="006F13C5" w:rsidRPr="000E451F" w:rsidP="006F13C5" w14:paraId="11F46407" w14:textId="77777777">
      <w:pPr>
        <w:widowControl/>
        <w:numPr>
          <w:ilvl w:val="0"/>
          <w:numId w:val="8"/>
        </w:numPr>
        <w:spacing w:after="120"/>
        <w:ind w:left="1080"/>
        <w:rPr>
          <w:szCs w:val="22"/>
        </w:rPr>
      </w:pPr>
      <w:r w:rsidRPr="000E451F">
        <w:rPr>
          <w:szCs w:val="22"/>
        </w:rPr>
        <w:t xml:space="preserve">Electronic Filers:  Comments may be filed electronically using the Internet by accessing the ECFS:  </w:t>
      </w:r>
      <w:hyperlink r:id="rId6" w:history="1">
        <w:r w:rsidRPr="000E451F">
          <w:rPr>
            <w:color w:val="0000FF"/>
            <w:szCs w:val="22"/>
            <w:u w:val="single"/>
          </w:rPr>
          <w:t>https://www.fcc.gov/ecfs/filings</w:t>
        </w:r>
      </w:hyperlink>
      <w:r w:rsidRPr="000E451F">
        <w:rPr>
          <w:szCs w:val="22"/>
        </w:rPr>
        <w:t xml:space="preserve">.  </w:t>
      </w:r>
    </w:p>
    <w:p w:rsidR="006F13C5" w:rsidRPr="000E451F" w:rsidP="006F13C5" w14:paraId="67AE2B78" w14:textId="77777777">
      <w:pPr>
        <w:widowControl/>
        <w:numPr>
          <w:ilvl w:val="0"/>
          <w:numId w:val="8"/>
        </w:numPr>
        <w:spacing w:after="120"/>
        <w:ind w:left="1080"/>
        <w:rPr>
          <w:szCs w:val="22"/>
        </w:rPr>
      </w:pPr>
      <w:r w:rsidRPr="000E451F">
        <w:rPr>
          <w:szCs w:val="22"/>
        </w:rPr>
        <w:t>Paper Filers:</w:t>
      </w:r>
      <w:r>
        <w:rPr>
          <w:szCs w:val="22"/>
        </w:rPr>
        <w:t xml:space="preserve">  </w:t>
      </w:r>
      <w:r w:rsidRPr="000E451F">
        <w:rPr>
          <w:szCs w:val="22"/>
        </w:rPr>
        <w:t xml:space="preserve">Parties who choose to file by paper must file an original and one copy of each filing.    </w:t>
      </w:r>
    </w:p>
    <w:p w:rsidR="006F13C5" w:rsidRPr="0068664F" w:rsidP="006F13C5" w14:paraId="1FC68D03" w14:textId="77777777">
      <w:pPr>
        <w:widowControl/>
        <w:numPr>
          <w:ilvl w:val="1"/>
          <w:numId w:val="10"/>
        </w:numPr>
        <w:spacing w:after="120"/>
        <w:rPr>
          <w:szCs w:val="22"/>
        </w:rPr>
      </w:pPr>
      <w:r w:rsidRPr="0068664F">
        <w:rPr>
          <w:szCs w:val="22"/>
        </w:rPr>
        <w:t>Filings can be sent by hand or messenger delivery, by commercial overnight courier, or by U.S. Postal Service.  All filings must be addressed to the Commission’s Secretary, Office of the Secretary, Federal Communications Commission.</w:t>
      </w:r>
    </w:p>
    <w:p w:rsidR="006F13C5" w:rsidP="006F13C5" w14:paraId="1F1C6D94" w14:textId="77777777">
      <w:pPr>
        <w:widowControl/>
        <w:numPr>
          <w:ilvl w:val="1"/>
          <w:numId w:val="11"/>
        </w:numPr>
        <w:spacing w:after="120"/>
        <w:rPr>
          <w:szCs w:val="22"/>
        </w:rPr>
      </w:pPr>
      <w:r w:rsidRPr="002A54D4">
        <w:rPr>
          <w:szCs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r>
        <w:rPr>
          <w:szCs w:val="22"/>
        </w:rPr>
        <w:t xml:space="preserve"> </w:t>
      </w:r>
    </w:p>
    <w:p w:rsidR="006F13C5" w:rsidP="006F13C5" w14:paraId="20A4972A" w14:textId="77777777">
      <w:pPr>
        <w:widowControl/>
        <w:numPr>
          <w:ilvl w:val="1"/>
          <w:numId w:val="11"/>
        </w:numPr>
        <w:spacing w:after="120"/>
        <w:rPr>
          <w:szCs w:val="22"/>
        </w:rPr>
      </w:pPr>
      <w:r w:rsidRPr="000E451F">
        <w:rPr>
          <w:szCs w:val="22"/>
        </w:rPr>
        <w:t>Commercial courier deliveries (</w:t>
      </w:r>
      <w:r>
        <w:rPr>
          <w:szCs w:val="22"/>
        </w:rPr>
        <w:t>any deliveries not by the U.S. Postal Service</w:t>
      </w:r>
      <w:r w:rsidRPr="000E451F">
        <w:rPr>
          <w:szCs w:val="22"/>
        </w:rPr>
        <w:t>) must be sent to 9050 Junction Drive, Annapolis Junction, MD 20701.</w:t>
      </w:r>
      <w:r>
        <w:rPr>
          <w:szCs w:val="22"/>
        </w:rPr>
        <w:t xml:space="preserve">  </w:t>
      </w:r>
    </w:p>
    <w:p w:rsidR="006F13C5" w:rsidRPr="000E451F" w:rsidP="006F13C5" w14:paraId="6547FC46" w14:textId="77777777">
      <w:pPr>
        <w:widowControl/>
        <w:numPr>
          <w:ilvl w:val="1"/>
          <w:numId w:val="11"/>
        </w:numPr>
        <w:spacing w:after="120"/>
        <w:rPr>
          <w:szCs w:val="22"/>
        </w:rPr>
      </w:pPr>
      <w:r w:rsidRPr="000E451F">
        <w:rPr>
          <w:szCs w:val="22"/>
        </w:rPr>
        <w:t>Filings sent by U.S. Postal Service First-Class Mail, Priority Mail, and Priority Mail Express may be addressed to 45 L Street, NE, Washington, DC 20554.</w:t>
      </w:r>
    </w:p>
    <w:p w:rsidR="006F13C5" w:rsidRPr="000E451F" w:rsidP="006F13C5" w14:paraId="15A5F75A" w14:textId="77777777">
      <w:pPr>
        <w:pStyle w:val="ParaNum"/>
        <w:numPr>
          <w:ilvl w:val="0"/>
          <w:numId w:val="0"/>
        </w:numPr>
        <w:ind w:firstLine="720"/>
        <w:rPr>
          <w:rFonts w:eastAsia="Calibri"/>
          <w:szCs w:val="22"/>
        </w:rPr>
      </w:pPr>
      <w:r w:rsidRPr="000E451F">
        <w:rPr>
          <w:rFonts w:eastAsia="Calibri"/>
          <w:i/>
          <w:iCs/>
          <w:szCs w:val="22"/>
        </w:rPr>
        <w:t xml:space="preserve">Ex </w:t>
      </w:r>
      <w:r w:rsidRPr="000E451F">
        <w:rPr>
          <w:rFonts w:eastAsia="Calibri"/>
          <w:i/>
          <w:iCs/>
          <w:szCs w:val="22"/>
        </w:rPr>
        <w:t>Parte</w:t>
      </w:r>
      <w:r w:rsidRPr="000E451F">
        <w:rPr>
          <w:rFonts w:eastAsia="Calibri"/>
          <w:i/>
          <w:iCs/>
          <w:szCs w:val="22"/>
        </w:rPr>
        <w:t xml:space="preserve"> Rules.</w:t>
      </w:r>
      <w:r w:rsidRPr="000E451F">
        <w:rPr>
          <w:rFonts w:eastAsia="Calibri"/>
          <w:szCs w:val="22"/>
        </w:rPr>
        <w:t xml:space="preserve">  The proceeding this Public Notice initiates shall be treated as a “permit-but-disclose” proceeding in accordance with the Commission’s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rules.</w:t>
      </w:r>
      <w:r>
        <w:rPr>
          <w:rStyle w:val="FootnoteReference"/>
          <w:rFonts w:eastAsia="Calibri"/>
          <w:szCs w:val="22"/>
        </w:rPr>
        <w:footnoteReference w:id="7"/>
      </w:r>
      <w:r w:rsidRPr="000E451F">
        <w:rPr>
          <w:rFonts w:eastAsia="Calibri"/>
          <w:szCs w:val="22"/>
        </w:rPr>
        <w:t xml:space="preserve">  Persons making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presentations are reminded that memoranda summarizing the presentation must (1) list all persons attending or otherwise participating in the meeting at which the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meetings are deemed to be written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presentations and must be filed consistent with section 1.1206(b).  In proceedings governed by section 1.49(f) or for which the Commission has made available a method of electronic filing, written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presentations and memoranda summarizing oral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F30B47">
        <w:rPr>
          <w:rFonts w:eastAsia="Calibri"/>
          <w:i/>
          <w:iCs/>
          <w:szCs w:val="22"/>
        </w:rPr>
        <w:t xml:space="preserve">ex </w:t>
      </w:r>
      <w:r w:rsidRPr="00F30B47">
        <w:rPr>
          <w:rFonts w:eastAsia="Calibri"/>
          <w:i/>
          <w:iCs/>
          <w:szCs w:val="22"/>
        </w:rPr>
        <w:t>parte</w:t>
      </w:r>
      <w:r w:rsidRPr="000E451F">
        <w:rPr>
          <w:rFonts w:eastAsia="Calibri"/>
          <w:szCs w:val="22"/>
        </w:rPr>
        <w:t xml:space="preserve"> rules.</w:t>
      </w:r>
    </w:p>
    <w:p w:rsidR="006F13C5" w:rsidRPr="000E451F" w:rsidP="006F13C5" w14:paraId="1B0EFD15" w14:textId="77777777">
      <w:pPr>
        <w:pStyle w:val="ParaNum"/>
        <w:numPr>
          <w:ilvl w:val="0"/>
          <w:numId w:val="0"/>
        </w:numPr>
        <w:ind w:firstLine="720"/>
        <w:rPr>
          <w:rFonts w:eastAsia="Calibri"/>
          <w:szCs w:val="22"/>
        </w:rPr>
      </w:pPr>
      <w:r>
        <w:rPr>
          <w:rFonts w:eastAsia="Calibri"/>
          <w:i/>
          <w:iCs/>
          <w:szCs w:val="22"/>
        </w:rPr>
        <w:t>People with Disabilities</w:t>
      </w:r>
      <w:r w:rsidRPr="000E451F">
        <w:rPr>
          <w:rFonts w:eastAsia="Calibri"/>
          <w:i/>
          <w:iCs/>
          <w:szCs w:val="22"/>
        </w:rPr>
        <w:t>.</w:t>
      </w:r>
      <w:r w:rsidRPr="000E451F">
        <w:rPr>
          <w:rFonts w:eastAsia="Calibri"/>
          <w:szCs w:val="22"/>
        </w:rPr>
        <w:t xml:space="preserve">  To request materials in accessible formats for people with disabilities (Braille, large print, electronic files, audio format), send an e-mail to </w:t>
      </w:r>
      <w:hyperlink r:id="rId7">
        <w:r w:rsidRPr="000E451F">
          <w:rPr>
            <w:rStyle w:val="Hyperlink"/>
            <w:rFonts w:eastAsia="Calibri"/>
            <w:szCs w:val="22"/>
          </w:rPr>
          <w:t>fcc504@fcc.gov</w:t>
        </w:r>
      </w:hyperlink>
      <w:r w:rsidRPr="000E451F">
        <w:rPr>
          <w:rFonts w:eastAsia="Calibri"/>
          <w:szCs w:val="22"/>
        </w:rPr>
        <w:t xml:space="preserve"> or call the Consumer and Governmental Affairs Bureau at </w:t>
      </w:r>
      <w:r w:rsidR="00583D86">
        <w:rPr>
          <w:rFonts w:eastAsia="Calibri"/>
          <w:szCs w:val="22"/>
        </w:rPr>
        <w:t>(</w:t>
      </w:r>
      <w:r w:rsidRPr="000E451F">
        <w:rPr>
          <w:rFonts w:eastAsia="Calibri"/>
          <w:szCs w:val="22"/>
        </w:rPr>
        <w:t>202</w:t>
      </w:r>
      <w:r w:rsidR="00583D86">
        <w:rPr>
          <w:rFonts w:eastAsia="Calibri"/>
          <w:szCs w:val="22"/>
        </w:rPr>
        <w:t xml:space="preserve">) </w:t>
      </w:r>
      <w:r w:rsidRPr="000E451F">
        <w:rPr>
          <w:rFonts w:eastAsia="Calibri"/>
          <w:szCs w:val="22"/>
        </w:rPr>
        <w:t>418-0530.</w:t>
      </w:r>
    </w:p>
    <w:p w:rsidR="007E5E97" w:rsidRPr="00AD7825" w:rsidP="00B97E92" w14:paraId="290FC9C0" w14:textId="268BF5B4">
      <w:pPr>
        <w:widowControl/>
        <w:spacing w:after="240"/>
        <w:ind w:firstLine="720"/>
        <w:contextualSpacing/>
      </w:pPr>
      <w:r w:rsidRPr="000E451F">
        <w:rPr>
          <w:i/>
          <w:iCs/>
          <w:szCs w:val="22"/>
        </w:rPr>
        <w:t>Additional Information.</w:t>
      </w:r>
      <w:r w:rsidRPr="000E451F">
        <w:rPr>
          <w:szCs w:val="22"/>
        </w:rPr>
        <w:t xml:space="preserve">  </w:t>
      </w:r>
      <w:r w:rsidRPr="00AD7825">
        <w:t xml:space="preserve">For further information, please contact </w:t>
      </w:r>
      <w:r w:rsidR="00012E76">
        <w:t>Syed Hasan</w:t>
      </w:r>
      <w:r w:rsidRPr="00AD7825">
        <w:t xml:space="preserve">, </w:t>
      </w:r>
      <w:r w:rsidR="000B5FEB">
        <w:t>Policy and Rules</w:t>
      </w:r>
      <w:r w:rsidRPr="00AD7825">
        <w:t xml:space="preserve"> </w:t>
      </w:r>
      <w:r w:rsidRPr="00AD7825">
        <w:t xml:space="preserve">Division, </w:t>
      </w:r>
      <w:r w:rsidR="000B5FEB">
        <w:t>Office of Engineering and Technology</w:t>
      </w:r>
      <w:r w:rsidRPr="00AD7825">
        <w:t>, at (202) 418-</w:t>
      </w:r>
      <w:r w:rsidR="004A6F25">
        <w:t>2454</w:t>
      </w:r>
      <w:r w:rsidRPr="00AD7825">
        <w:t xml:space="preserve"> or via e-mail at </w:t>
      </w:r>
      <w:r w:rsidR="005903CF">
        <w:t>syed.hasan</w:t>
      </w:r>
      <w:r w:rsidRPr="00AD7825">
        <w:t>@fcc.gov.</w:t>
      </w:r>
    </w:p>
    <w:p w:rsidR="007E5E97" w:rsidRPr="00AD7825" w:rsidP="007E5E97" w14:paraId="5DBB8A4A" w14:textId="77777777">
      <w:pPr>
        <w:contextualSpacing/>
      </w:pPr>
    </w:p>
    <w:p w:rsidR="007E5E97" w:rsidRPr="00AD7825" w:rsidP="007E5E97" w14:paraId="7EB513EB" w14:textId="77777777">
      <w:pPr>
        <w:contextualSpacing/>
        <w:jc w:val="center"/>
      </w:pPr>
      <w:r w:rsidRPr="00AD7825">
        <w:rPr>
          <w:b/>
        </w:rPr>
        <w:t>- FCC -</w:t>
      </w:r>
    </w:p>
    <w:p w:rsidR="007E5E97" w:rsidRPr="00D833A3" w:rsidP="001D61D7" w14:paraId="03CA12D0" w14:textId="77777777">
      <w:pPr>
        <w:ind w:firstLine="720"/>
        <w:rPr>
          <w:szCs w:val="22"/>
        </w:rPr>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6139" w14:paraId="589C6470" w14:textId="77777777">
      <w:pPr>
        <w:spacing w:line="20" w:lineRule="exact"/>
      </w:pPr>
    </w:p>
  </w:endnote>
  <w:endnote w:type="continuationSeparator" w:id="1">
    <w:p w:rsidR="000A6139" w14:paraId="0335A0B0" w14:textId="77777777">
      <w:r>
        <w:t xml:space="preserve"> </w:t>
      </w:r>
    </w:p>
  </w:endnote>
  <w:endnote w:type="continuationNotice" w:id="2">
    <w:p w:rsidR="000A6139" w14:paraId="41CB6D2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Heavy Heap"/>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9EE061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3B6CD2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071E3A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883794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6139" w14:paraId="230C29C1" w14:textId="77777777">
      <w:r>
        <w:separator/>
      </w:r>
    </w:p>
  </w:footnote>
  <w:footnote w:type="continuationSeparator" w:id="1">
    <w:p w:rsidR="000A6139" w14:paraId="3CF8232A" w14:textId="77777777">
      <w:pPr>
        <w:rPr>
          <w:sz w:val="20"/>
        </w:rPr>
      </w:pPr>
      <w:r>
        <w:rPr>
          <w:sz w:val="20"/>
        </w:rPr>
        <w:t xml:space="preserve">(Continued from previous page)  </w:t>
      </w:r>
      <w:r>
        <w:rPr>
          <w:sz w:val="20"/>
        </w:rPr>
        <w:separator/>
      </w:r>
    </w:p>
  </w:footnote>
  <w:footnote w:type="continuationNotice" w:id="2">
    <w:p w:rsidR="000A6139" w14:paraId="774CEFD1" w14:textId="77777777">
      <w:pPr>
        <w:jc w:val="right"/>
        <w:rPr>
          <w:sz w:val="20"/>
        </w:rPr>
      </w:pPr>
      <w:r>
        <w:rPr>
          <w:sz w:val="20"/>
        </w:rPr>
        <w:t>(continued….)</w:t>
      </w:r>
    </w:p>
  </w:footnote>
  <w:footnote w:id="3">
    <w:p w:rsidR="003A3150" w:rsidRPr="000425EE" w:rsidP="003A3150" w14:paraId="42407E43" w14:textId="0172ACD1">
      <w:pPr>
        <w:pStyle w:val="FootnoteText"/>
      </w:pPr>
      <w:r w:rsidRPr="000425EE">
        <w:rPr>
          <w:rStyle w:val="FootnoteReference"/>
        </w:rPr>
        <w:footnoteRef/>
      </w:r>
      <w:r w:rsidRPr="000425EE">
        <w:t xml:space="preserve"> </w:t>
      </w:r>
      <w:r w:rsidR="008D0CED">
        <w:t>UWB Petitioners</w:t>
      </w:r>
      <w:r w:rsidR="00904C05">
        <w:t xml:space="preserve"> Petition for Rulemaking, filed on </w:t>
      </w:r>
      <w:r w:rsidR="005524C9">
        <w:t>Dec</w:t>
      </w:r>
      <w:r w:rsidR="00904C05">
        <w:t xml:space="preserve">ember </w:t>
      </w:r>
      <w:r w:rsidR="005524C9">
        <w:t>18</w:t>
      </w:r>
      <w:r w:rsidR="00904C05">
        <w:t>, 2025</w:t>
      </w:r>
      <w:r w:rsidR="00731834">
        <w:t xml:space="preserve">, available at </w:t>
      </w:r>
      <w:hyperlink r:id="rId1" w:history="1">
        <w:r w:rsidRPr="002D380C" w:rsidR="00CC5639">
          <w:rPr>
            <w:rStyle w:val="Hyperlink"/>
          </w:rPr>
          <w:t>https://www.fcc.gov/ecfs/search/search-filings/filing/1218228512214</w:t>
        </w:r>
      </w:hyperlink>
      <w:r w:rsidR="00CC5639">
        <w:t xml:space="preserve"> </w:t>
      </w:r>
      <w:r w:rsidR="00C057DD">
        <w:t>(</w:t>
      </w:r>
      <w:r w:rsidR="00172A2E">
        <w:t>UWB</w:t>
      </w:r>
      <w:r w:rsidR="00C057DD">
        <w:t xml:space="preserve"> Petition)</w:t>
      </w:r>
      <w:r w:rsidR="00904C05">
        <w:t>.</w:t>
      </w:r>
    </w:p>
  </w:footnote>
  <w:footnote w:id="4">
    <w:p w:rsidR="00D21E35" w:rsidRPr="00D21E35" w14:paraId="3F38A5E9" w14:textId="1C9C0FD1">
      <w:pPr>
        <w:pStyle w:val="FootnoteText"/>
      </w:pPr>
      <w:r>
        <w:rPr>
          <w:rStyle w:val="FootnoteReference"/>
        </w:rPr>
        <w:footnoteRef/>
      </w:r>
      <w:r>
        <w:t xml:space="preserve"> </w:t>
      </w:r>
      <w:r>
        <w:rPr>
          <w:i/>
          <w:iCs/>
        </w:rPr>
        <w:t>Id.</w:t>
      </w:r>
      <w:r>
        <w:t xml:space="preserve"> at </w:t>
      </w:r>
      <w:r w:rsidR="006C2087">
        <w:t>7</w:t>
      </w:r>
      <w:r w:rsidR="005538E2">
        <w:t>-</w:t>
      </w:r>
      <w:r w:rsidR="006C2087">
        <w:t>8</w:t>
      </w:r>
      <w:r w:rsidR="00027E4C">
        <w:t xml:space="preserve"> and</w:t>
      </w:r>
      <w:r w:rsidR="007F05D3">
        <w:t xml:space="preserve"> Appendix B (proposed rule changes)</w:t>
      </w:r>
      <w:r>
        <w:t>.</w:t>
      </w:r>
    </w:p>
  </w:footnote>
  <w:footnote w:id="5">
    <w:p w:rsidR="006F13C5" w:rsidP="006F13C5" w14:paraId="7B419FC0" w14:textId="77777777">
      <w:pPr>
        <w:pStyle w:val="FootnoteText"/>
      </w:pPr>
      <w:r>
        <w:rPr>
          <w:rStyle w:val="FootnoteReference"/>
        </w:rPr>
        <w:footnoteRef/>
      </w:r>
      <w:r>
        <w:t xml:space="preserve"> </w:t>
      </w:r>
      <w:r>
        <w:rPr>
          <w:i/>
          <w:iCs/>
        </w:rPr>
        <w:t xml:space="preserve">See </w:t>
      </w:r>
      <w:r w:rsidRPr="520AE9D0">
        <w:rPr>
          <w:rFonts w:eastAsia="Calibri"/>
        </w:rPr>
        <w:t>47 CFR §§ 1.</w:t>
      </w:r>
      <w:r>
        <w:rPr>
          <w:rFonts w:eastAsia="Calibri"/>
        </w:rPr>
        <w:t>1, 1.3, 1.45.</w:t>
      </w:r>
    </w:p>
  </w:footnote>
  <w:footnote w:id="6">
    <w:p w:rsidR="006F13C5" w:rsidP="006F13C5" w14:paraId="1F9A8D3A" w14:textId="77777777">
      <w:pPr>
        <w:pStyle w:val="FootnoteText"/>
      </w:pPr>
      <w:r>
        <w:rPr>
          <w:rStyle w:val="FootnoteReference"/>
        </w:rPr>
        <w:footnoteRef/>
      </w:r>
      <w:r>
        <w:t xml:space="preserve"> </w:t>
      </w:r>
      <w:r w:rsidRPr="520AE9D0">
        <w:rPr>
          <w:rFonts w:eastAsia="Calibri"/>
          <w:i/>
          <w:iCs/>
        </w:rPr>
        <w:t>See</w:t>
      </w:r>
      <w:r w:rsidRPr="520AE9D0">
        <w:rPr>
          <w:rFonts w:eastAsia="Calibri"/>
        </w:rPr>
        <w:t xml:space="preserve"> </w:t>
      </w:r>
      <w:r w:rsidRPr="005E2094">
        <w:rPr>
          <w:i/>
          <w:iCs/>
        </w:rPr>
        <w:t>Electronic Filing of Documents in Rulemaking Proceedings</w:t>
      </w:r>
      <w:r>
        <w:t xml:space="preserve">, GC Docket No. 97-113, Report and Order, 13 FCC </w:t>
      </w:r>
      <w:r>
        <w:t>Rcd</w:t>
      </w:r>
      <w:r>
        <w:t xml:space="preserve"> 11322 (1998).</w:t>
      </w:r>
    </w:p>
  </w:footnote>
  <w:footnote w:id="7">
    <w:p w:rsidR="006F13C5" w:rsidRPr="001933F7" w:rsidP="006F13C5" w14:paraId="0728A2F2" w14:textId="77777777">
      <w:pPr>
        <w:pStyle w:val="FootnoteText"/>
        <w:rPr>
          <w:i/>
          <w:iCs/>
        </w:rPr>
      </w:pPr>
      <w:r w:rsidRPr="001933F7">
        <w:rPr>
          <w:rStyle w:val="FootnoteReference"/>
        </w:rPr>
        <w:footnoteRef/>
      </w:r>
      <w:r w:rsidRPr="001933F7">
        <w:t xml:space="preserve"> 47 CFR § 1.1200 </w:t>
      </w:r>
      <w:r w:rsidRPr="001933F7">
        <w:rPr>
          <w:i/>
          <w:iCs/>
        </w:rPr>
        <w:t>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6F9" w14:paraId="3E4B14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0CCD459"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41362AFF" w14:textId="77777777">
    <w:pPr>
      <w:pStyle w:val="Header"/>
    </w:pPr>
    <w:r>
      <w:rPr>
        <w:noProof/>
      </w:rPr>
      <w:drawing>
        <wp:inline distT="0" distB="0" distL="0" distR="0">
          <wp:extent cx="59626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26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524E"/>
    <w:multiLevelType w:val="hybridMultilevel"/>
    <w:tmpl w:val="8666856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Bold"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Times New Roman Bold"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Times New Roman Bold" w:hint="default"/>
      </w:rPr>
    </w:lvl>
    <w:lvl w:ilvl="8" w:tentative="1">
      <w:start w:val="1"/>
      <w:numFmt w:val="bullet"/>
      <w:lvlText w:val=""/>
      <w:lvlJc w:val="left"/>
      <w:pPr>
        <w:ind w:left="6540" w:hanging="360"/>
      </w:pPr>
      <w:rPr>
        <w:rFonts w:ascii="Wingdings" w:hAnsi="Wingdings" w:hint="default"/>
      </w:rPr>
    </w:lvl>
  </w:abstractNum>
  <w:abstractNum w:abstractNumId="1">
    <w:nsid w:val="07BC5696"/>
    <w:multiLevelType w:val="multilevel"/>
    <w:tmpl w:val="5274BDF0"/>
    <w:styleLink w:val="StyleBulletedLatinCourierNewLeft075Hanging0252"/>
    <w:lvl w:ilvl="0">
      <w:start w:val="1"/>
      <w:numFmt w:val="bullet"/>
      <w:lvlText w:val="o"/>
      <w:lvlJc w:val="left"/>
      <w:pPr>
        <w:ind w:left="720" w:hanging="360"/>
      </w:pPr>
      <w:rPr>
        <w:rFonts w:ascii="Times New Roman" w:hAnsi="Times New Roman" w:cs="Times New Roman Bold" w:hint="default"/>
      </w:rPr>
    </w:lvl>
    <w:lvl w:ilvl="1">
      <w:start w:val="1"/>
      <w:numFmt w:val="bullet"/>
      <w:lvlText w:val="o"/>
      <w:lvlJc w:val="left"/>
      <w:pPr>
        <w:ind w:left="1440" w:hanging="360"/>
      </w:pPr>
      <w:rPr>
        <w:rFonts w:ascii="Courier New" w:hAnsi="Courier New"/>
        <w:kern w:val="28"/>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Bol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Bold" w:hint="default"/>
      </w:rPr>
    </w:lvl>
    <w:lvl w:ilvl="8">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6F1456"/>
    <w:multiLevelType w:val="multilevel"/>
    <w:tmpl w:val="5274BDF0"/>
    <w:numStyleLink w:val="StyleBulletedLatinCourierNewLeft075Hanging0252"/>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4F2E543E"/>
    <w:multiLevelType w:val="hybridMultilevel"/>
    <w:tmpl w:val="4E80FA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CD7627A"/>
    <w:multiLevelType w:val="multilevel"/>
    <w:tmpl w:val="5274BDF0"/>
    <w:numStyleLink w:val="StyleBulletedLatinCourierNewLeft075Hanging0252"/>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7F1C2693"/>
    <w:multiLevelType w:val="hybridMultilevel"/>
    <w:tmpl w:val="C0C26E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19113418">
    <w:abstractNumId w:val="5"/>
  </w:num>
  <w:num w:numId="2" w16cid:durableId="732776109">
    <w:abstractNumId w:val="11"/>
  </w:num>
  <w:num w:numId="3" w16cid:durableId="226841536">
    <w:abstractNumId w:val="7"/>
  </w:num>
  <w:num w:numId="4" w16cid:durableId="605229810">
    <w:abstractNumId w:val="8"/>
  </w:num>
  <w:num w:numId="5" w16cid:durableId="330530769">
    <w:abstractNumId w:val="6"/>
  </w:num>
  <w:num w:numId="6" w16cid:durableId="1427119096">
    <w:abstractNumId w:val="2"/>
  </w:num>
  <w:num w:numId="7" w16cid:durableId="1660229359">
    <w:abstractNumId w:val="3"/>
  </w:num>
  <w:num w:numId="8" w16cid:durableId="665325919">
    <w:abstractNumId w:val="0"/>
  </w:num>
  <w:num w:numId="9" w16cid:durableId="671295278">
    <w:abstractNumId w:val="1"/>
  </w:num>
  <w:num w:numId="10" w16cid:durableId="1927227812">
    <w:abstractNumId w:val="10"/>
  </w:num>
  <w:num w:numId="11" w16cid:durableId="439029373">
    <w:abstractNumId w:val="4"/>
  </w:num>
  <w:num w:numId="12" w16cid:durableId="331765951">
    <w:abstractNumId w:val="9"/>
  </w:num>
  <w:num w:numId="13" w16cid:durableId="1361052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75"/>
    <w:rsid w:val="00012E76"/>
    <w:rsid w:val="00013FFA"/>
    <w:rsid w:val="00027E4C"/>
    <w:rsid w:val="00030CBF"/>
    <w:rsid w:val="000425EE"/>
    <w:rsid w:val="0005018A"/>
    <w:rsid w:val="00055CA2"/>
    <w:rsid w:val="00066BF2"/>
    <w:rsid w:val="00073E88"/>
    <w:rsid w:val="000A6139"/>
    <w:rsid w:val="000B5FEB"/>
    <w:rsid w:val="000C4FE7"/>
    <w:rsid w:val="000D2604"/>
    <w:rsid w:val="000E01F5"/>
    <w:rsid w:val="000E451F"/>
    <w:rsid w:val="001073CF"/>
    <w:rsid w:val="001233DE"/>
    <w:rsid w:val="00142D4C"/>
    <w:rsid w:val="00162D7D"/>
    <w:rsid w:val="00172A2E"/>
    <w:rsid w:val="00181D08"/>
    <w:rsid w:val="00182414"/>
    <w:rsid w:val="001842B0"/>
    <w:rsid w:val="0018783D"/>
    <w:rsid w:val="00187C96"/>
    <w:rsid w:val="001933F7"/>
    <w:rsid w:val="001A4448"/>
    <w:rsid w:val="001D2850"/>
    <w:rsid w:val="001D61D7"/>
    <w:rsid w:val="001E368C"/>
    <w:rsid w:val="001E7BF7"/>
    <w:rsid w:val="001F436F"/>
    <w:rsid w:val="00205E09"/>
    <w:rsid w:val="0020672D"/>
    <w:rsid w:val="002073CD"/>
    <w:rsid w:val="00207D72"/>
    <w:rsid w:val="00211F33"/>
    <w:rsid w:val="00233245"/>
    <w:rsid w:val="00236693"/>
    <w:rsid w:val="00246586"/>
    <w:rsid w:val="002512A8"/>
    <w:rsid w:val="00261E5C"/>
    <w:rsid w:val="002759F5"/>
    <w:rsid w:val="00287965"/>
    <w:rsid w:val="002A0FE6"/>
    <w:rsid w:val="002A54D4"/>
    <w:rsid w:val="002B698E"/>
    <w:rsid w:val="002D1183"/>
    <w:rsid w:val="002D380C"/>
    <w:rsid w:val="002D4B18"/>
    <w:rsid w:val="00305B2E"/>
    <w:rsid w:val="00313BC6"/>
    <w:rsid w:val="003154C3"/>
    <w:rsid w:val="00315B67"/>
    <w:rsid w:val="003209A9"/>
    <w:rsid w:val="00323772"/>
    <w:rsid w:val="003237B4"/>
    <w:rsid w:val="00326AC6"/>
    <w:rsid w:val="00336586"/>
    <w:rsid w:val="00343AE5"/>
    <w:rsid w:val="00344E35"/>
    <w:rsid w:val="00345D27"/>
    <w:rsid w:val="00346D69"/>
    <w:rsid w:val="003524EA"/>
    <w:rsid w:val="00353123"/>
    <w:rsid w:val="00354D01"/>
    <w:rsid w:val="0036742B"/>
    <w:rsid w:val="003736D8"/>
    <w:rsid w:val="00374417"/>
    <w:rsid w:val="00387144"/>
    <w:rsid w:val="003901EB"/>
    <w:rsid w:val="003A3150"/>
    <w:rsid w:val="003C5C50"/>
    <w:rsid w:val="003D21C2"/>
    <w:rsid w:val="003D5C6A"/>
    <w:rsid w:val="003E1E6B"/>
    <w:rsid w:val="003E5D86"/>
    <w:rsid w:val="003E780A"/>
    <w:rsid w:val="004110AD"/>
    <w:rsid w:val="004172CB"/>
    <w:rsid w:val="00430183"/>
    <w:rsid w:val="00462DF8"/>
    <w:rsid w:val="00482EBD"/>
    <w:rsid w:val="00487E5C"/>
    <w:rsid w:val="004A13F2"/>
    <w:rsid w:val="004A6F25"/>
    <w:rsid w:val="004D3106"/>
    <w:rsid w:val="004D64D7"/>
    <w:rsid w:val="004E5B03"/>
    <w:rsid w:val="00500197"/>
    <w:rsid w:val="00505FDF"/>
    <w:rsid w:val="00541829"/>
    <w:rsid w:val="005524C9"/>
    <w:rsid w:val="0055359B"/>
    <w:rsid w:val="005538E2"/>
    <w:rsid w:val="00562BC1"/>
    <w:rsid w:val="0056518F"/>
    <w:rsid w:val="00583D86"/>
    <w:rsid w:val="005903CF"/>
    <w:rsid w:val="005907A5"/>
    <w:rsid w:val="00596540"/>
    <w:rsid w:val="005A32CD"/>
    <w:rsid w:val="005B3DC4"/>
    <w:rsid w:val="005C1950"/>
    <w:rsid w:val="005C796B"/>
    <w:rsid w:val="005E2094"/>
    <w:rsid w:val="005F2B0C"/>
    <w:rsid w:val="005F4D75"/>
    <w:rsid w:val="005F6512"/>
    <w:rsid w:val="00623979"/>
    <w:rsid w:val="0068664F"/>
    <w:rsid w:val="006A1B7D"/>
    <w:rsid w:val="006C2087"/>
    <w:rsid w:val="006C7F0F"/>
    <w:rsid w:val="006D2BB4"/>
    <w:rsid w:val="006E13E1"/>
    <w:rsid w:val="006F1051"/>
    <w:rsid w:val="006F13C5"/>
    <w:rsid w:val="006F6D66"/>
    <w:rsid w:val="007020C0"/>
    <w:rsid w:val="007029C7"/>
    <w:rsid w:val="00707E73"/>
    <w:rsid w:val="00721F1F"/>
    <w:rsid w:val="007238E4"/>
    <w:rsid w:val="00731834"/>
    <w:rsid w:val="00734B43"/>
    <w:rsid w:val="00741E19"/>
    <w:rsid w:val="00752632"/>
    <w:rsid w:val="00753E0B"/>
    <w:rsid w:val="00755885"/>
    <w:rsid w:val="00764782"/>
    <w:rsid w:val="00764D41"/>
    <w:rsid w:val="00781144"/>
    <w:rsid w:val="0078513B"/>
    <w:rsid w:val="007876B0"/>
    <w:rsid w:val="007A49A8"/>
    <w:rsid w:val="007D25BE"/>
    <w:rsid w:val="007E5E97"/>
    <w:rsid w:val="007F05D3"/>
    <w:rsid w:val="007F28F7"/>
    <w:rsid w:val="0080125A"/>
    <w:rsid w:val="00826D75"/>
    <w:rsid w:val="0084688A"/>
    <w:rsid w:val="00847928"/>
    <w:rsid w:val="00854F2C"/>
    <w:rsid w:val="00896E40"/>
    <w:rsid w:val="008D0CED"/>
    <w:rsid w:val="008D5C32"/>
    <w:rsid w:val="008D5F35"/>
    <w:rsid w:val="008D724E"/>
    <w:rsid w:val="008E2BC5"/>
    <w:rsid w:val="008F12F1"/>
    <w:rsid w:val="008F6193"/>
    <w:rsid w:val="008F646D"/>
    <w:rsid w:val="00904C05"/>
    <w:rsid w:val="009443EB"/>
    <w:rsid w:val="00966753"/>
    <w:rsid w:val="00967D5F"/>
    <w:rsid w:val="00971710"/>
    <w:rsid w:val="00976D87"/>
    <w:rsid w:val="00981739"/>
    <w:rsid w:val="009819D5"/>
    <w:rsid w:val="00990951"/>
    <w:rsid w:val="009B0336"/>
    <w:rsid w:val="009D0BE2"/>
    <w:rsid w:val="009F00A8"/>
    <w:rsid w:val="00A02201"/>
    <w:rsid w:val="00A0494A"/>
    <w:rsid w:val="00A050C4"/>
    <w:rsid w:val="00A11125"/>
    <w:rsid w:val="00A20679"/>
    <w:rsid w:val="00A22D4A"/>
    <w:rsid w:val="00A314F9"/>
    <w:rsid w:val="00A4328F"/>
    <w:rsid w:val="00A565C9"/>
    <w:rsid w:val="00A64358"/>
    <w:rsid w:val="00A75786"/>
    <w:rsid w:val="00A92B13"/>
    <w:rsid w:val="00AA132F"/>
    <w:rsid w:val="00AC0ED9"/>
    <w:rsid w:val="00AC6360"/>
    <w:rsid w:val="00AD2705"/>
    <w:rsid w:val="00AD3697"/>
    <w:rsid w:val="00AD7825"/>
    <w:rsid w:val="00AF01AC"/>
    <w:rsid w:val="00AF295E"/>
    <w:rsid w:val="00AF3A90"/>
    <w:rsid w:val="00B00217"/>
    <w:rsid w:val="00B01C59"/>
    <w:rsid w:val="00B05516"/>
    <w:rsid w:val="00B05CE9"/>
    <w:rsid w:val="00B210BF"/>
    <w:rsid w:val="00B236D6"/>
    <w:rsid w:val="00B25C74"/>
    <w:rsid w:val="00B2700E"/>
    <w:rsid w:val="00B27043"/>
    <w:rsid w:val="00B406A9"/>
    <w:rsid w:val="00B50B64"/>
    <w:rsid w:val="00B538EB"/>
    <w:rsid w:val="00B55EB9"/>
    <w:rsid w:val="00B61F06"/>
    <w:rsid w:val="00B97E92"/>
    <w:rsid w:val="00BA3093"/>
    <w:rsid w:val="00BA3BA8"/>
    <w:rsid w:val="00BA5BA8"/>
    <w:rsid w:val="00BA60EB"/>
    <w:rsid w:val="00BA68FA"/>
    <w:rsid w:val="00BD4143"/>
    <w:rsid w:val="00C057DD"/>
    <w:rsid w:val="00C14F68"/>
    <w:rsid w:val="00C171A1"/>
    <w:rsid w:val="00C46394"/>
    <w:rsid w:val="00C464FD"/>
    <w:rsid w:val="00C55278"/>
    <w:rsid w:val="00C65170"/>
    <w:rsid w:val="00C821C5"/>
    <w:rsid w:val="00C848DA"/>
    <w:rsid w:val="00C866ED"/>
    <w:rsid w:val="00CA0B47"/>
    <w:rsid w:val="00CB6A78"/>
    <w:rsid w:val="00CC1CD3"/>
    <w:rsid w:val="00CC477E"/>
    <w:rsid w:val="00CC5639"/>
    <w:rsid w:val="00CF4D17"/>
    <w:rsid w:val="00D104BA"/>
    <w:rsid w:val="00D1207B"/>
    <w:rsid w:val="00D21E35"/>
    <w:rsid w:val="00D71803"/>
    <w:rsid w:val="00D77E53"/>
    <w:rsid w:val="00D833A3"/>
    <w:rsid w:val="00D85BDA"/>
    <w:rsid w:val="00D952AB"/>
    <w:rsid w:val="00D954E7"/>
    <w:rsid w:val="00D96D7D"/>
    <w:rsid w:val="00DA67B6"/>
    <w:rsid w:val="00DB7C1F"/>
    <w:rsid w:val="00DD3792"/>
    <w:rsid w:val="00DE2EEF"/>
    <w:rsid w:val="00E1001B"/>
    <w:rsid w:val="00E1283A"/>
    <w:rsid w:val="00E16610"/>
    <w:rsid w:val="00E343F9"/>
    <w:rsid w:val="00E47276"/>
    <w:rsid w:val="00EC56F9"/>
    <w:rsid w:val="00EF466B"/>
    <w:rsid w:val="00EF5FE8"/>
    <w:rsid w:val="00F025C3"/>
    <w:rsid w:val="00F032DB"/>
    <w:rsid w:val="00F03EA1"/>
    <w:rsid w:val="00F20B01"/>
    <w:rsid w:val="00F30B47"/>
    <w:rsid w:val="00F73224"/>
    <w:rsid w:val="00F818DC"/>
    <w:rsid w:val="00F848EF"/>
    <w:rsid w:val="00F97835"/>
    <w:rsid w:val="00FA6D7D"/>
    <w:rsid w:val="00FC0D2A"/>
    <w:rsid w:val="00FC5EA2"/>
    <w:rsid w:val="00FD20D0"/>
    <w:rsid w:val="00FE23C5"/>
    <w:rsid w:val="00FE699A"/>
    <w:rsid w:val="00FE77BA"/>
    <w:rsid w:val="00FF2D76"/>
    <w:rsid w:val="00FF67A1"/>
    <w:rsid w:val="085AE3F1"/>
    <w:rsid w:val="29647E2E"/>
    <w:rsid w:val="520AE9D0"/>
    <w:rsid w:val="68DE50C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0CE83DF0"/>
  <w15:chartTrackingRefBased/>
  <w15:docId w15:val="{D44819F8-03BA-49A7-A231-5D420D0A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
    <w:link w:val="FootnoteTextChar"/>
    <w:uiPriority w:val="99"/>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
    <w:link w:val="FootnoteText"/>
    <w:uiPriority w:val="99"/>
    <w:rsid w:val="003A3150"/>
  </w:style>
  <w:style w:type="character" w:styleId="CommentReference">
    <w:name w:val="annotation reference"/>
    <w:uiPriority w:val="99"/>
    <w:semiHidden/>
    <w:unhideWhenUsed/>
    <w:rsid w:val="003A3150"/>
    <w:rPr>
      <w:sz w:val="16"/>
      <w:szCs w:val="16"/>
    </w:rPr>
  </w:style>
  <w:style w:type="paragraph" w:styleId="CommentText">
    <w:name w:val="annotation text"/>
    <w:basedOn w:val="Normal"/>
    <w:link w:val="CommentTextChar"/>
    <w:uiPriority w:val="99"/>
    <w:unhideWhenUsed/>
    <w:rsid w:val="003A3150"/>
    <w:pPr>
      <w:widowControl/>
    </w:pPr>
    <w:rPr>
      <w:rFonts w:eastAsia="Aptos"/>
      <w:snapToGrid/>
      <w:kern w:val="0"/>
      <w:sz w:val="20"/>
    </w:rPr>
  </w:style>
  <w:style w:type="character" w:customStyle="1" w:styleId="CommentTextChar">
    <w:name w:val="Comment Text Char"/>
    <w:link w:val="CommentText"/>
    <w:uiPriority w:val="99"/>
    <w:rsid w:val="003A3150"/>
    <w:rPr>
      <w:rFonts w:eastAsia="Aptos"/>
    </w:rPr>
  </w:style>
  <w:style w:type="character" w:styleId="FollowedHyperlink">
    <w:name w:val="FollowedHyperlink"/>
    <w:uiPriority w:val="99"/>
    <w:semiHidden/>
    <w:unhideWhenUsed/>
    <w:rsid w:val="003A3150"/>
    <w:rPr>
      <w:color w:val="96607D"/>
      <w:u w:val="single"/>
    </w:rPr>
  </w:style>
  <w:style w:type="paragraph" w:styleId="ListParagraph">
    <w:name w:val="List Paragraph"/>
    <w:basedOn w:val="Normal"/>
    <w:uiPriority w:val="34"/>
    <w:qFormat/>
    <w:rsid w:val="001D61D7"/>
    <w:pPr>
      <w:widowControl/>
      <w:spacing w:after="200" w:line="276" w:lineRule="auto"/>
      <w:ind w:left="720"/>
      <w:contextualSpacing/>
    </w:pPr>
    <w:rPr>
      <w:rFonts w:ascii="Calibri" w:eastAsia="Calibri" w:hAnsi="Calibri"/>
      <w:snapToGrid/>
      <w:kern w:val="0"/>
      <w:szCs w:val="22"/>
    </w:rPr>
  </w:style>
  <w:style w:type="paragraph" w:styleId="Revision">
    <w:name w:val="Revision"/>
    <w:hidden/>
    <w:uiPriority w:val="99"/>
    <w:semiHidden/>
    <w:rsid w:val="00C848DA"/>
    <w:rPr>
      <w:snapToGrid w:val="0"/>
      <w:kern w:val="28"/>
      <w:sz w:val="22"/>
    </w:rPr>
  </w:style>
  <w:style w:type="character" w:customStyle="1" w:styleId="ParaNumChar">
    <w:name w:val="ParaNum Char"/>
    <w:link w:val="ParaNum"/>
    <w:locked/>
    <w:rsid w:val="006F13C5"/>
    <w:rPr>
      <w:snapToGrid w:val="0"/>
      <w:kern w:val="28"/>
      <w:sz w:val="22"/>
    </w:rPr>
  </w:style>
  <w:style w:type="numbering" w:customStyle="1" w:styleId="StyleBulletedLatinCourierNewLeft075Hanging0252">
    <w:name w:val="Style Bulleted (Latin) Courier New Left:  0.75&quot; Hanging:  0.25&quot;...2"/>
    <w:basedOn w:val="NoList"/>
    <w:rsid w:val="006F13C5"/>
    <w:pPr>
      <w:numPr>
        <w:numId w:val="9"/>
      </w:numPr>
    </w:pPr>
  </w:style>
  <w:style w:type="paragraph" w:styleId="CommentSubject">
    <w:name w:val="annotation subject"/>
    <w:basedOn w:val="CommentText"/>
    <w:next w:val="CommentText"/>
    <w:link w:val="CommentSubjectChar"/>
    <w:uiPriority w:val="99"/>
    <w:semiHidden/>
    <w:unhideWhenUsed/>
    <w:rsid w:val="005538E2"/>
    <w:pPr>
      <w:widowControl w:val="0"/>
    </w:pPr>
    <w:rPr>
      <w:rFonts w:eastAsia="Times New Roman"/>
      <w:b/>
      <w:bCs/>
      <w:snapToGrid w:val="0"/>
      <w:kern w:val="28"/>
    </w:rPr>
  </w:style>
  <w:style w:type="character" w:customStyle="1" w:styleId="CommentSubjectChar">
    <w:name w:val="Comment Subject Char"/>
    <w:basedOn w:val="CommentTextChar"/>
    <w:link w:val="CommentSubject"/>
    <w:uiPriority w:val="99"/>
    <w:semiHidden/>
    <w:rsid w:val="005538E2"/>
    <w:rPr>
      <w:rFonts w:eastAsia="Aptos"/>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filings" TargetMode="External" /><Relationship Id="rId7" Type="http://schemas.openxmlformats.org/officeDocument/2006/relationships/hyperlink" Target="mailto:fcc504@fcc.gov"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filing/121822851221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