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BA3BA8" w14:paraId="7F725E92" w14:textId="004683C6">
      <w:pPr>
        <w:jc w:val="right"/>
        <w:rPr>
          <w:sz w:val="24"/>
        </w:rPr>
      </w:pPr>
    </w:p>
    <w:p w:rsidR="00BA3BA8" w:rsidRPr="00DB3CBC" w14:paraId="61A30B10" w14:textId="485C896A">
      <w:pPr>
        <w:jc w:val="right"/>
        <w:rPr>
          <w:b/>
          <w:szCs w:val="22"/>
        </w:rPr>
      </w:pPr>
      <w:r w:rsidRPr="00DB3CBC">
        <w:rPr>
          <w:b/>
          <w:szCs w:val="22"/>
        </w:rPr>
        <w:t>DA 2</w:t>
      </w:r>
      <w:r w:rsidRPr="00DB3CBC" w:rsidR="00657C02">
        <w:rPr>
          <w:b/>
          <w:szCs w:val="22"/>
        </w:rPr>
        <w:t>5</w:t>
      </w:r>
      <w:r w:rsidRPr="00DB3CBC">
        <w:rPr>
          <w:b/>
          <w:szCs w:val="22"/>
        </w:rPr>
        <w:t>-</w:t>
      </w:r>
      <w:r w:rsidR="004704C0">
        <w:rPr>
          <w:b/>
          <w:szCs w:val="22"/>
        </w:rPr>
        <w:t>279</w:t>
      </w:r>
    </w:p>
    <w:p w:rsidR="00BA3BA8" w:rsidRPr="00DB3CBC" w:rsidP="007B22DE" w14:paraId="46EC40C0" w14:textId="2CCCB676">
      <w:pPr>
        <w:spacing w:before="60"/>
        <w:jc w:val="right"/>
        <w:rPr>
          <w:b/>
          <w:szCs w:val="22"/>
        </w:rPr>
      </w:pPr>
      <w:r w:rsidRPr="00DB3CBC">
        <w:rPr>
          <w:b/>
          <w:szCs w:val="22"/>
        </w:rPr>
        <w:t xml:space="preserve">Released:  </w:t>
      </w:r>
      <w:r w:rsidR="006C770A">
        <w:rPr>
          <w:b/>
          <w:szCs w:val="22"/>
        </w:rPr>
        <w:t>March</w:t>
      </w:r>
      <w:r w:rsidR="009777D3">
        <w:rPr>
          <w:b/>
          <w:szCs w:val="22"/>
        </w:rPr>
        <w:t xml:space="preserve"> </w:t>
      </w:r>
      <w:r w:rsidR="00F408D2">
        <w:rPr>
          <w:b/>
          <w:szCs w:val="22"/>
        </w:rPr>
        <w:t>27</w:t>
      </w:r>
      <w:r w:rsidRPr="00DB3CBC" w:rsidR="001A5115">
        <w:rPr>
          <w:b/>
          <w:szCs w:val="22"/>
        </w:rPr>
        <w:t>, 202</w:t>
      </w:r>
      <w:r w:rsidRPr="00DB3CBC" w:rsidR="00657C02">
        <w:rPr>
          <w:b/>
          <w:szCs w:val="22"/>
        </w:rPr>
        <w:t>5</w:t>
      </w:r>
    </w:p>
    <w:p w:rsidR="00881759" w:rsidP="00881759" w14:paraId="707CDAB7" w14:textId="77777777">
      <w:pPr>
        <w:jc w:val="center"/>
        <w:rPr>
          <w:b/>
          <w:bCs/>
          <w:szCs w:val="22"/>
        </w:rPr>
      </w:pPr>
      <w:bookmarkStart w:id="0" w:name="_Hlk166229554"/>
    </w:p>
    <w:p w:rsidR="00881759" w:rsidP="006C770A" w14:paraId="00DF9DF0" w14:textId="1E0D90DA">
      <w:pPr>
        <w:jc w:val="center"/>
        <w:rPr>
          <w:b/>
          <w:bCs/>
          <w:szCs w:val="22"/>
        </w:rPr>
      </w:pPr>
      <w:r w:rsidRPr="00DB3CBC">
        <w:rPr>
          <w:b/>
          <w:bCs/>
          <w:szCs w:val="22"/>
        </w:rPr>
        <w:t>DOMESTIC SECTION 214 APPLICATION FILED FOR THE TRANSFER OF CONTROL OF</w:t>
      </w:r>
      <w:bookmarkEnd w:id="0"/>
      <w:r w:rsidRPr="00D33D80" w:rsidR="00D33D80">
        <w:rPr>
          <w:b/>
          <w:bCs/>
          <w:szCs w:val="22"/>
        </w:rPr>
        <w:t xml:space="preserve"> IDEATEK </w:t>
      </w:r>
      <w:r w:rsidRPr="007B7BF9" w:rsidR="007B7BF9">
        <w:rPr>
          <w:b/>
          <w:bCs/>
          <w:szCs w:val="22"/>
        </w:rPr>
        <w:t>TELCOM</w:t>
      </w:r>
      <w:r w:rsidRPr="00D33D80" w:rsidR="00D33D80">
        <w:rPr>
          <w:b/>
          <w:bCs/>
          <w:szCs w:val="22"/>
        </w:rPr>
        <w:t xml:space="preserve">, LLC </w:t>
      </w:r>
      <w:r w:rsidR="00D33D80">
        <w:rPr>
          <w:b/>
          <w:bCs/>
          <w:szCs w:val="22"/>
        </w:rPr>
        <w:t>TO</w:t>
      </w:r>
      <w:r w:rsidRPr="00D33D80" w:rsidR="00D33D80">
        <w:rPr>
          <w:b/>
          <w:bCs/>
          <w:szCs w:val="22"/>
        </w:rPr>
        <w:t xml:space="preserve"> LAST DANCE INTERMEDIATE III, </w:t>
      </w:r>
      <w:r w:rsidR="00D33D80">
        <w:rPr>
          <w:b/>
          <w:bCs/>
          <w:szCs w:val="22"/>
        </w:rPr>
        <w:t>LLC</w:t>
      </w:r>
    </w:p>
    <w:p w:rsidR="00275AFD" w:rsidRPr="00DB3CBC" w:rsidP="00881759" w14:paraId="1DBAB29E" w14:textId="77777777">
      <w:pPr>
        <w:jc w:val="center"/>
        <w:rPr>
          <w:b/>
          <w:bCs/>
          <w:szCs w:val="22"/>
        </w:rPr>
      </w:pPr>
    </w:p>
    <w:p w:rsidR="00BA3BA8" w:rsidP="00811CBA" w14:paraId="5A0C6062" w14:textId="65B07D62">
      <w:pPr>
        <w:jc w:val="center"/>
        <w:rPr>
          <w:b/>
          <w:bCs/>
          <w:szCs w:val="22"/>
        </w:rPr>
      </w:pPr>
      <w:r w:rsidRPr="00DB3CBC">
        <w:rPr>
          <w:b/>
          <w:szCs w:val="22"/>
        </w:rPr>
        <w:t>STREAMLINED PLEADING CYCLE ESTABLISHED</w:t>
      </w:r>
    </w:p>
    <w:p w:rsidR="00811CBA" w:rsidRPr="00811CBA" w:rsidP="00811CBA" w14:paraId="6F2025EB" w14:textId="77777777">
      <w:pPr>
        <w:jc w:val="center"/>
        <w:rPr>
          <w:b/>
          <w:bCs/>
          <w:szCs w:val="22"/>
        </w:rPr>
      </w:pPr>
    </w:p>
    <w:p w:rsidR="00BA3BA8" w:rsidRPr="00DB3CBC" w14:paraId="27DA673B" w14:textId="77777777">
      <w:pPr>
        <w:jc w:val="center"/>
        <w:rPr>
          <w:b/>
          <w:szCs w:val="22"/>
        </w:rPr>
      </w:pPr>
      <w:r w:rsidRPr="00DB3CBC">
        <w:rPr>
          <w:b/>
          <w:szCs w:val="22"/>
        </w:rPr>
        <w:t>WC Docket No. 2</w:t>
      </w:r>
      <w:r w:rsidR="00D3124A">
        <w:rPr>
          <w:b/>
          <w:szCs w:val="22"/>
        </w:rPr>
        <w:t>5</w:t>
      </w:r>
      <w:r w:rsidR="00E37BFA">
        <w:rPr>
          <w:b/>
          <w:szCs w:val="22"/>
        </w:rPr>
        <w:t>-</w:t>
      </w:r>
      <w:r w:rsidR="006C770A">
        <w:rPr>
          <w:b/>
          <w:szCs w:val="22"/>
        </w:rPr>
        <w:t>12</w:t>
      </w:r>
      <w:r w:rsidR="00FF74BC">
        <w:rPr>
          <w:b/>
          <w:szCs w:val="22"/>
        </w:rPr>
        <w:t>9</w:t>
      </w:r>
    </w:p>
    <w:p w:rsidR="00881759" w:rsidP="00881759" w14:paraId="00B71981" w14:textId="77777777">
      <w:pPr>
        <w:rPr>
          <w:b/>
          <w:szCs w:val="22"/>
        </w:rPr>
      </w:pPr>
      <w:bookmarkStart w:id="1" w:name="TOChere"/>
    </w:p>
    <w:p w:rsidR="00881759" w:rsidRPr="00AD440B" w:rsidP="00881759" w14:paraId="0B5A1FE4" w14:textId="7B00D56E">
      <w:pPr>
        <w:rPr>
          <w:b/>
          <w:szCs w:val="22"/>
        </w:rPr>
      </w:pPr>
      <w:r w:rsidRPr="00AD440B">
        <w:rPr>
          <w:b/>
          <w:szCs w:val="22"/>
        </w:rPr>
        <w:t xml:space="preserve">Comments Due:  </w:t>
      </w:r>
      <w:r w:rsidR="00B07BDC">
        <w:rPr>
          <w:b/>
          <w:szCs w:val="22"/>
        </w:rPr>
        <w:t>April 10</w:t>
      </w:r>
      <w:r w:rsidRPr="00AD440B">
        <w:rPr>
          <w:b/>
          <w:szCs w:val="22"/>
        </w:rPr>
        <w:t>, 202</w:t>
      </w:r>
      <w:r w:rsidR="00C70BF0">
        <w:rPr>
          <w:b/>
          <w:szCs w:val="22"/>
        </w:rPr>
        <w:t>5</w:t>
      </w:r>
      <w:r w:rsidRPr="00AD440B">
        <w:rPr>
          <w:b/>
          <w:szCs w:val="22"/>
        </w:rPr>
        <w:t xml:space="preserve"> </w:t>
      </w:r>
    </w:p>
    <w:p w:rsidR="00881759" w:rsidRPr="00AD440B" w:rsidP="00881759" w14:paraId="1B861FE2" w14:textId="3B6A8918">
      <w:pPr>
        <w:tabs>
          <w:tab w:val="left" w:pos="6366"/>
        </w:tabs>
        <w:rPr>
          <w:b/>
          <w:szCs w:val="22"/>
        </w:rPr>
      </w:pPr>
      <w:r w:rsidRPr="00AD440B">
        <w:rPr>
          <w:b/>
          <w:szCs w:val="22"/>
        </w:rPr>
        <w:t>Reply Comment</w:t>
      </w:r>
      <w:r>
        <w:rPr>
          <w:b/>
          <w:szCs w:val="22"/>
        </w:rPr>
        <w:t>s</w:t>
      </w:r>
      <w:r w:rsidRPr="00AD440B">
        <w:rPr>
          <w:b/>
          <w:szCs w:val="22"/>
        </w:rPr>
        <w:t xml:space="preserve"> Due:  </w:t>
      </w:r>
      <w:r w:rsidR="006C770A">
        <w:rPr>
          <w:b/>
          <w:szCs w:val="22"/>
        </w:rPr>
        <w:t xml:space="preserve">April </w:t>
      </w:r>
      <w:r w:rsidR="00B07BDC">
        <w:rPr>
          <w:b/>
          <w:szCs w:val="22"/>
        </w:rPr>
        <w:t>17</w:t>
      </w:r>
      <w:r w:rsidRPr="00AD440B">
        <w:rPr>
          <w:b/>
          <w:szCs w:val="22"/>
        </w:rPr>
        <w:t>, 202</w:t>
      </w:r>
      <w:r>
        <w:rPr>
          <w:b/>
          <w:szCs w:val="22"/>
        </w:rPr>
        <w:t>5</w:t>
      </w:r>
    </w:p>
    <w:p w:rsidR="00881759" w:rsidRPr="00AD440B" w:rsidP="00881759" w14:paraId="0381ECF8" w14:textId="77777777">
      <w:pPr>
        <w:rPr>
          <w:b/>
          <w:szCs w:val="22"/>
        </w:rPr>
      </w:pPr>
    </w:p>
    <w:p w:rsidR="00DF596F" w:rsidP="007B7BF9" w14:paraId="2A6CA958" w14:textId="66B3C16B">
      <w:pPr>
        <w:autoSpaceDE w:val="0"/>
        <w:autoSpaceDN w:val="0"/>
        <w:adjustRightInd w:val="0"/>
        <w:spacing w:after="120"/>
        <w:ind w:firstLine="720"/>
      </w:pPr>
      <w:r w:rsidRPr="52D3F29C">
        <w:t xml:space="preserve">By this Public Notice, the Wireline Competition Bureau </w:t>
      </w:r>
      <w:r w:rsidR="00E66D48">
        <w:t xml:space="preserve">(Bureau) </w:t>
      </w:r>
      <w:r w:rsidRPr="52D3F29C">
        <w:t xml:space="preserve">seeks comment from interested parties on an application filed by </w:t>
      </w:r>
      <w:bookmarkStart w:id="2" w:name="_Hlk187678845"/>
      <w:bookmarkStart w:id="3" w:name="_Hlk73713070"/>
      <w:bookmarkStart w:id="4" w:name="_Hlk67917977"/>
      <w:r w:rsidRPr="00B34A98" w:rsidR="00C21E0C">
        <w:t>IdeaTek</w:t>
      </w:r>
      <w:r w:rsidRPr="00B34A98" w:rsidR="00C21E0C">
        <w:t xml:space="preserve"> Holdings, LLC (</w:t>
      </w:r>
      <w:r w:rsidRPr="00B34A98" w:rsidR="00C21E0C">
        <w:t>IdeaTek</w:t>
      </w:r>
      <w:r w:rsidR="00C21E0C">
        <w:t xml:space="preserve"> </w:t>
      </w:r>
      <w:r w:rsidRPr="00B34A98" w:rsidR="00C21E0C">
        <w:t>Holdings</w:t>
      </w:r>
      <w:r w:rsidR="00C21E0C">
        <w:t xml:space="preserve">) and </w:t>
      </w:r>
      <w:r w:rsidRPr="00B34A98" w:rsidR="00B34A98">
        <w:t>Last Dance Intermediate II</w:t>
      </w:r>
      <w:r w:rsidR="00B558D8">
        <w:t>I</w:t>
      </w:r>
      <w:r w:rsidRPr="00B34A98" w:rsidR="00B34A98">
        <w:t>, LLC</w:t>
      </w:r>
      <w:r w:rsidR="00AF3099">
        <w:t xml:space="preserve"> </w:t>
      </w:r>
      <w:bookmarkEnd w:id="2"/>
      <w:r w:rsidR="00B558D8">
        <w:t xml:space="preserve">(Last Dance Intermediate III) </w:t>
      </w:r>
      <w:r>
        <w:t>(</w:t>
      </w:r>
      <w:r w:rsidR="00C21E0C">
        <w:t>together</w:t>
      </w:r>
      <w:r>
        <w:t xml:space="preserve">, </w:t>
      </w:r>
      <w:r w:rsidRPr="52D3F29C">
        <w:t>Applicant</w:t>
      </w:r>
      <w:r>
        <w:t>s</w:t>
      </w:r>
      <w:r>
        <w:rPr>
          <w:szCs w:val="22"/>
        </w:rPr>
        <w:t>),</w:t>
      </w:r>
      <w:r w:rsidRPr="52D3F29C">
        <w:t xml:space="preserve"> pursuant to section 214(a) of the Communications Act of 1934, as amended, and sections 63.03-04 of the Commission’s rules,</w:t>
      </w:r>
      <w:r>
        <w:rPr>
          <w:rStyle w:val="FootnoteReference"/>
        </w:rPr>
        <w:footnoteReference w:id="3"/>
      </w:r>
      <w:r w:rsidRPr="00523F87">
        <w:rPr>
          <w:szCs w:val="22"/>
        </w:rPr>
        <w:t xml:space="preserve"> </w:t>
      </w:r>
      <w:r w:rsidRPr="52D3F29C">
        <w:t>requesting</w:t>
      </w:r>
      <w:r w:rsidR="00C70BF0">
        <w:t xml:space="preserve"> </w:t>
      </w:r>
      <w:r w:rsidRPr="00C70BF0" w:rsidR="00C70BF0">
        <w:t xml:space="preserve">Commission </w:t>
      </w:r>
      <w:r w:rsidR="00267C0C">
        <w:t>consent to transfer control of</w:t>
      </w:r>
      <w:r w:rsidR="00C21E0C">
        <w:t xml:space="preserve"> </w:t>
      </w:r>
      <w:r w:rsidR="00C21E0C">
        <w:t>IdeaTek</w:t>
      </w:r>
      <w:r w:rsidR="00C21E0C">
        <w:t xml:space="preserve"> Holdings’ wholly owned subsidiary,</w:t>
      </w:r>
      <w:r w:rsidR="00267C0C">
        <w:t xml:space="preserve"> </w:t>
      </w:r>
      <w:r w:rsidR="00C21E0C">
        <w:t>I</w:t>
      </w:r>
      <w:r w:rsidRPr="007B7BF9" w:rsidR="007B7BF9">
        <w:t>deaTek</w:t>
      </w:r>
      <w:r w:rsidRPr="007B7BF9" w:rsidR="007B7BF9">
        <w:t xml:space="preserve"> Telcom, LLC</w:t>
      </w:r>
      <w:r w:rsidR="007B7BF9">
        <w:t xml:space="preserve"> </w:t>
      </w:r>
      <w:r w:rsidRPr="007B7BF9" w:rsidR="007B7BF9">
        <w:t>(</w:t>
      </w:r>
      <w:bookmarkStart w:id="5" w:name="_Hlk192499899"/>
      <w:r w:rsidRPr="007B7BF9" w:rsidR="007B7BF9">
        <w:t>IdeaTek</w:t>
      </w:r>
      <w:r w:rsidRPr="007B7BF9" w:rsidR="007B7BF9">
        <w:t xml:space="preserve"> Telcom</w:t>
      </w:r>
      <w:bookmarkEnd w:id="5"/>
      <w:r w:rsidR="00267C0C">
        <w:t xml:space="preserve">), to </w:t>
      </w:r>
      <w:r w:rsidRPr="007B7BF9" w:rsidR="007B7BF9">
        <w:t>Last Dance Intermediate III, LLC</w:t>
      </w:r>
      <w:r w:rsidR="00E37BFA">
        <w:t>.</w:t>
      </w:r>
      <w:bookmarkEnd w:id="3"/>
      <w:bookmarkEnd w:id="4"/>
      <w:r>
        <w:rPr>
          <w:vertAlign w:val="superscript"/>
        </w:rPr>
        <w:footnoteReference w:id="4"/>
      </w:r>
    </w:p>
    <w:p w:rsidR="00891D70" w:rsidP="00C21E0C" w14:paraId="0DF2C117" w14:textId="08A2E3B2">
      <w:pPr>
        <w:autoSpaceDE w:val="0"/>
        <w:autoSpaceDN w:val="0"/>
        <w:adjustRightInd w:val="0"/>
        <w:spacing w:after="120"/>
        <w:ind w:firstLine="720"/>
      </w:pPr>
      <w:bookmarkStart w:id="7" w:name="_Hlk192499373"/>
      <w:r w:rsidRPr="001A28D4">
        <w:t>IdeaTek</w:t>
      </w:r>
      <w:r w:rsidRPr="001A28D4">
        <w:t xml:space="preserve"> Telcom</w:t>
      </w:r>
      <w:r>
        <w:t xml:space="preserve">, a Kansas limited liability company, </w:t>
      </w:r>
      <w:r w:rsidRPr="001A28D4">
        <w:t>provide</w:t>
      </w:r>
      <w:r w:rsidR="00B32FA0">
        <w:t>s</w:t>
      </w:r>
      <w:r w:rsidRPr="001A28D4">
        <w:t xml:space="preserve"> interstate and intrastate local exchange and interexchange</w:t>
      </w:r>
      <w:r>
        <w:t xml:space="preserve"> </w:t>
      </w:r>
      <w:r w:rsidRPr="001A28D4">
        <w:t>telecommunications services in Kansas and Missouri.</w:t>
      </w:r>
      <w:r>
        <w:rPr>
          <w:rStyle w:val="FootnoteReference"/>
        </w:rPr>
        <w:footnoteReference w:id="5"/>
      </w:r>
      <w:r>
        <w:t xml:space="preserve">  </w:t>
      </w:r>
      <w:r w:rsidR="008A036E">
        <w:t>IdeaTek</w:t>
      </w:r>
      <w:r w:rsidR="008A036E">
        <w:t xml:space="preserve"> </w:t>
      </w:r>
      <w:r w:rsidR="00025BE0">
        <w:t>Telecom</w:t>
      </w:r>
      <w:r w:rsidRPr="001A28D4" w:rsidR="004072C8">
        <w:t xml:space="preserve"> h</w:t>
      </w:r>
      <w:r w:rsidR="004072C8">
        <w:t>as been designated as an Eligible Telecommunications Carrier (</w:t>
      </w:r>
      <w:r w:rsidRPr="001A28D4" w:rsidR="004072C8">
        <w:t>ETC</w:t>
      </w:r>
      <w:r w:rsidR="004072C8">
        <w:t>)</w:t>
      </w:r>
      <w:r w:rsidRPr="001A28D4" w:rsidR="004072C8">
        <w:t xml:space="preserve"> in Kansas</w:t>
      </w:r>
      <w:r w:rsidR="00F21860">
        <w:t xml:space="preserve"> </w:t>
      </w:r>
      <w:r w:rsidR="007569D9">
        <w:t>and</w:t>
      </w:r>
      <w:r>
        <w:t xml:space="preserve"> </w:t>
      </w:r>
      <w:r w:rsidR="007569D9">
        <w:t xml:space="preserve">the Bureau </w:t>
      </w:r>
      <w:r w:rsidR="00C51F15">
        <w:t xml:space="preserve">authorized </w:t>
      </w:r>
      <w:r w:rsidR="00C51F15">
        <w:t>IdeaTek</w:t>
      </w:r>
      <w:r w:rsidR="00C51F15">
        <w:t xml:space="preserve"> Telcom to receive </w:t>
      </w:r>
      <w:r w:rsidRPr="00DD7E39" w:rsidR="00C51F15">
        <w:t>$5,163,189.74</w:t>
      </w:r>
      <w:r w:rsidR="00C51F15">
        <w:t xml:space="preserve"> in </w:t>
      </w:r>
      <w:r w:rsidR="00FC365B">
        <w:t xml:space="preserve">Connect America Fund (CAF) </w:t>
      </w:r>
      <w:r w:rsidR="00C66D59">
        <w:t>Phase II</w:t>
      </w:r>
      <w:r w:rsidR="003D73CA">
        <w:t xml:space="preserve"> support</w:t>
      </w:r>
      <w:r w:rsidRPr="001A28D4" w:rsidR="004072C8">
        <w:t>.</w:t>
      </w:r>
      <w:r>
        <w:rPr>
          <w:vertAlign w:val="superscript"/>
        </w:rPr>
        <w:footnoteReference w:id="6"/>
      </w:r>
      <w:r w:rsidRPr="00DD7E39" w:rsidR="004072C8">
        <w:t xml:space="preserve">  </w:t>
      </w:r>
      <w:r>
        <w:t xml:space="preserve">In addition, </w:t>
      </w:r>
      <w:r w:rsidR="00B04E7F">
        <w:t xml:space="preserve">the Bureau authorized </w:t>
      </w:r>
      <w:r w:rsidRPr="00AD7BAD">
        <w:t>IdeaTek</w:t>
      </w:r>
      <w:r w:rsidRPr="00AD7BAD">
        <w:t xml:space="preserve"> Telcom </w:t>
      </w:r>
      <w:r w:rsidR="00B04E7F">
        <w:t xml:space="preserve">to </w:t>
      </w:r>
      <w:r w:rsidR="0012725F">
        <w:t xml:space="preserve">receive </w:t>
      </w:r>
      <w:r w:rsidRPr="00DD7E39" w:rsidR="0012725F">
        <w:t>$23,590.60</w:t>
      </w:r>
      <w:r w:rsidR="00BC327F">
        <w:t xml:space="preserve"> in Rural Digital Opportunity Fund (RDOF) support to </w:t>
      </w:r>
      <w:r w:rsidR="0038379F">
        <w:t>deploy</w:t>
      </w:r>
      <w:r w:rsidR="00BC327F">
        <w:t xml:space="preserve"> service to 89 locations in Kansas.</w:t>
      </w:r>
      <w:r>
        <w:rPr>
          <w:rStyle w:val="FootnoteReference"/>
        </w:rPr>
        <w:footnoteReference w:id="7"/>
      </w:r>
    </w:p>
    <w:p w:rsidR="00DF4BD1" w:rsidP="00B41EC0" w14:paraId="50A3DF7E" w14:textId="117004F1">
      <w:pPr>
        <w:autoSpaceDE w:val="0"/>
        <w:autoSpaceDN w:val="0"/>
        <w:adjustRightInd w:val="0"/>
        <w:spacing w:after="120"/>
        <w:ind w:firstLine="720"/>
      </w:pPr>
      <w:r w:rsidRPr="00DF4BD1">
        <w:t>Last Dance Intermediate II</w:t>
      </w:r>
      <w:r w:rsidR="00C16F67">
        <w:t>I</w:t>
      </w:r>
      <w:r w:rsidRPr="00DF4BD1">
        <w:t>, a Delaware limited liability company formed for the purposes of this transaction, is indirectly and wholly owned by Last Dance Holdings, L.P. (Last Dance Holdings), a Delaware limited partnership and investment fund, also created for the purposes of this transaction.</w:t>
      </w:r>
      <w:r>
        <w:rPr>
          <w:vertAlign w:val="superscript"/>
        </w:rPr>
        <w:footnoteReference w:id="8"/>
      </w:r>
      <w:r w:rsidRPr="00DF4BD1">
        <w:t xml:space="preserve">  Last </w:t>
      </w:r>
      <w:r w:rsidRPr="00DF4BD1">
        <w:t>Dance Holdings is primarily owned and controlled by funds and entities affiliated with Oak Hill Capital Management (Oak Hill)</w:t>
      </w:r>
      <w:r>
        <w:rPr>
          <w:vertAlign w:val="superscript"/>
        </w:rPr>
        <w:footnoteReference w:id="9"/>
      </w:r>
      <w:r w:rsidRPr="00DF4BD1">
        <w:t xml:space="preserve"> and Pamlico Capital Management (Pamlico), which are private equity funds based in the United States.</w:t>
      </w:r>
      <w:r>
        <w:rPr>
          <w:vertAlign w:val="superscript"/>
        </w:rPr>
        <w:footnoteReference w:id="10"/>
      </w:r>
      <w:r w:rsidRPr="00DF4BD1">
        <w:t xml:space="preserve">  Applicants state that the equity in the Oak Hill and Pamlico funds is held through passive limited (and insulated) partnership interests held by numerous, primarily U.S.-based investors, including individuals, trusts, institutions and business entities, and that control of these funds ultimately rests in U.S. entities or citizens.</w:t>
      </w:r>
      <w:r>
        <w:rPr>
          <w:vertAlign w:val="superscript"/>
        </w:rPr>
        <w:footnoteReference w:id="11"/>
      </w:r>
      <w:r w:rsidRPr="00DF4BD1">
        <w:t xml:space="preserve">  Oak Hill is affiliated with several carriers that receive various forms of high cost universal service support, including Connect America Fund-Broadband Loop Support </w:t>
      </w:r>
      <w:r w:rsidRPr="00DF4BD1">
        <w:t>(CAF-BLS),</w:t>
      </w:r>
      <w:r>
        <w:rPr>
          <w:vertAlign w:val="superscript"/>
        </w:rPr>
        <w:footnoteReference w:id="12"/>
      </w:r>
      <w:r w:rsidRPr="00DF4BD1">
        <w:t xml:space="preserve"> Alternative Connect America Fund support (ACAM)</w:t>
      </w:r>
      <w:r>
        <w:rPr>
          <w:vertAlign w:val="superscript"/>
        </w:rPr>
        <w:footnoteReference w:id="13"/>
      </w:r>
      <w:r w:rsidRPr="00DF4BD1">
        <w:t xml:space="preserve"> and CAF Phase II Auction support.</w:t>
      </w:r>
      <w:r>
        <w:rPr>
          <w:vertAlign w:val="superscript"/>
        </w:rPr>
        <w:footnoteReference w:id="14"/>
      </w:r>
    </w:p>
    <w:bookmarkEnd w:id="7"/>
    <w:p w:rsidR="0032702F" w:rsidRPr="001F5F2C" w:rsidP="00BA0935" w14:paraId="63DC3E22" w14:textId="233D19A9">
      <w:pPr>
        <w:autoSpaceDE w:val="0"/>
        <w:autoSpaceDN w:val="0"/>
        <w:adjustRightInd w:val="0"/>
        <w:spacing w:after="120"/>
        <w:ind w:firstLine="720"/>
      </w:pPr>
      <w:r w:rsidRPr="001F5F2C">
        <w:t>Pursuant to the terms of the proposed transactio</w:t>
      </w:r>
      <w:r w:rsidRPr="001F5F2C" w:rsidR="00F0231F">
        <w:t>n</w:t>
      </w:r>
      <w:r w:rsidRPr="001F5F2C" w:rsidR="0054180F">
        <w:t xml:space="preserve">, </w:t>
      </w:r>
      <w:r w:rsidRPr="001F5F2C" w:rsidR="00BA0935">
        <w:t>Last Dance Intermediate II</w:t>
      </w:r>
      <w:r w:rsidR="00481572">
        <w:t>I</w:t>
      </w:r>
      <w:r w:rsidRPr="001F5F2C" w:rsidR="00BA0935">
        <w:t xml:space="preserve"> will acquire all of the outstanding voting and equity interests in </w:t>
      </w:r>
      <w:r w:rsidRPr="001F5F2C" w:rsidR="00BA0935">
        <w:t>IdeaTek</w:t>
      </w:r>
      <w:r w:rsidRPr="001F5F2C" w:rsidR="00BA0935">
        <w:t xml:space="preserve"> Holdings.</w:t>
      </w:r>
      <w:r>
        <w:rPr>
          <w:rStyle w:val="FootnoteReference"/>
        </w:rPr>
        <w:footnoteReference w:id="15"/>
      </w:r>
      <w:r w:rsidRPr="001F5F2C" w:rsidR="00BA0935">
        <w:t xml:space="preserve"> </w:t>
      </w:r>
      <w:r w:rsidRPr="001F5F2C" w:rsidR="00CB1EED">
        <w:t xml:space="preserve"> </w:t>
      </w:r>
      <w:r w:rsidRPr="001F5F2C" w:rsidR="00BA0935">
        <w:t>IdeaTek</w:t>
      </w:r>
      <w:r w:rsidRPr="001F5F2C" w:rsidR="00BA0935">
        <w:t xml:space="preserve"> Telcom will </w:t>
      </w:r>
      <w:r w:rsidRPr="001F5F2C" w:rsidR="00CB1EED">
        <w:t xml:space="preserve">therefore </w:t>
      </w:r>
      <w:r w:rsidRPr="001F5F2C" w:rsidR="00BA0935">
        <w:t>become an indirect, wholly owned subsidiary of Last Dance Intermediate II</w:t>
      </w:r>
      <w:r w:rsidR="00481572">
        <w:t>I</w:t>
      </w:r>
      <w:r w:rsidRPr="001F5F2C" w:rsidR="00CB1EED">
        <w:t xml:space="preserve">, </w:t>
      </w:r>
      <w:r w:rsidRPr="001F5F2C" w:rsidR="001F5F2C">
        <w:t xml:space="preserve">which </w:t>
      </w:r>
      <w:r w:rsidRPr="001F5F2C" w:rsidR="00BA0935">
        <w:t>will remain indirectly, wholly owned by Last Dance Holdings</w:t>
      </w:r>
      <w:r w:rsidRPr="001F5F2C">
        <w:t>.</w:t>
      </w:r>
      <w:r>
        <w:rPr>
          <w:rStyle w:val="FootnoteReference"/>
        </w:rPr>
        <w:footnoteReference w:id="16"/>
      </w:r>
    </w:p>
    <w:p w:rsidR="0071315B" w:rsidRPr="00464706" w:rsidP="00864F00" w14:paraId="62D34F65" w14:textId="49F93956">
      <w:pPr>
        <w:autoSpaceDE w:val="0"/>
        <w:autoSpaceDN w:val="0"/>
        <w:adjustRightInd w:val="0"/>
        <w:spacing w:after="120"/>
        <w:ind w:firstLine="720"/>
      </w:pPr>
      <w:bookmarkStart w:id="9" w:name="_Hlk190430453"/>
      <w:r w:rsidRPr="00915BAF">
        <w:t>Applicants assert that a grant of the application would serve the public interest, convenience, and necessity.</w:t>
      </w:r>
      <w:r>
        <w:rPr>
          <w:vertAlign w:val="superscript"/>
        </w:rPr>
        <w:footnoteReference w:id="17"/>
      </w:r>
      <w:r w:rsidRPr="00915BAF">
        <w:t xml:space="preserve">  Applicants state that, following the consummation of the proposed transaction, </w:t>
      </w:r>
      <w:r w:rsidRPr="00464706" w:rsidR="00E31E61">
        <w:t>IdeaTek</w:t>
      </w:r>
      <w:r w:rsidRPr="00915BAF">
        <w:t xml:space="preserve"> will have access to the financial resources and broader management expertise of Last Dance Intermediate II</w:t>
      </w:r>
      <w:r w:rsidRPr="00464706" w:rsidR="000F1382">
        <w:t>I</w:t>
      </w:r>
      <w:r w:rsidRPr="00915BAF">
        <w:t xml:space="preserve"> and its ultimate owners</w:t>
      </w:r>
      <w:r w:rsidRPr="00464706" w:rsidR="000F1382">
        <w:t>,</w:t>
      </w:r>
      <w:r w:rsidRPr="00915BAF">
        <w:t xml:space="preserve"> Oak Hill and Pamlico, which each have substantial experience investing in communications infrastructure assets, including numerous information and telecommunications service providers that are among the current and previous portfolio companies of Oak Hill and Pamlico funds.</w:t>
      </w:r>
      <w:r>
        <w:rPr>
          <w:vertAlign w:val="superscript"/>
        </w:rPr>
        <w:footnoteReference w:id="18"/>
      </w:r>
      <w:r w:rsidRPr="00915BAF">
        <w:t xml:space="preserve">  Applicants state that Last Dance Intermediate II</w:t>
      </w:r>
      <w:r w:rsidRPr="00464706" w:rsidR="006C3EE8">
        <w:t>I</w:t>
      </w:r>
      <w:r w:rsidRPr="00915BAF">
        <w:t xml:space="preserve"> will ensure that </w:t>
      </w:r>
      <w:r w:rsidRPr="00464706" w:rsidR="00805923">
        <w:t>IdeaTek</w:t>
      </w:r>
      <w:r w:rsidRPr="00915BAF">
        <w:t xml:space="preserve"> continues to meet its </w:t>
      </w:r>
      <w:r w:rsidRPr="00464706" w:rsidR="00805923">
        <w:t xml:space="preserve">CAF Phase II and </w:t>
      </w:r>
      <w:r w:rsidRPr="00915BAF">
        <w:t xml:space="preserve">RDOF obligations and that the proposed </w:t>
      </w:r>
      <w:r w:rsidRPr="00464706" w:rsidR="00805923">
        <w:t>t</w:t>
      </w:r>
      <w:r w:rsidRPr="00915BAF">
        <w:t xml:space="preserve">ransaction will enable </w:t>
      </w:r>
      <w:r w:rsidRPr="00464706" w:rsidR="00225D95">
        <w:t>IdeaTek</w:t>
      </w:r>
      <w:r w:rsidRPr="00915BAF">
        <w:t xml:space="preserve"> to more efficiently and cost-effectively satisfy its existing RDOF obligations and to expand its network and bring advanced communications services to additional consumers.</w:t>
      </w:r>
      <w:r>
        <w:rPr>
          <w:vertAlign w:val="superscript"/>
        </w:rPr>
        <w:footnoteReference w:id="19"/>
      </w:r>
      <w:r w:rsidRPr="00915BAF">
        <w:t xml:space="preserve">  To this end, Applicants state that there will be no changes to the management, technology, or debt associated with </w:t>
      </w:r>
      <w:r w:rsidRPr="00464706" w:rsidR="00864F00">
        <w:t>IdeaTek</w:t>
      </w:r>
      <w:r w:rsidRPr="00915BAF">
        <w:t>’s</w:t>
      </w:r>
      <w:r w:rsidRPr="00915BAF">
        <w:t xml:space="preserve"> </w:t>
      </w:r>
      <w:r w:rsidRPr="00464706" w:rsidR="00864F00">
        <w:t xml:space="preserve">CAF Phase II and </w:t>
      </w:r>
      <w:r w:rsidRPr="00915BAF">
        <w:t>RDOF funding as a result of the proposed transaction.</w:t>
      </w:r>
      <w:r>
        <w:rPr>
          <w:vertAlign w:val="superscript"/>
        </w:rPr>
        <w:footnoteReference w:id="20"/>
      </w:r>
      <w:r w:rsidRPr="00915BAF">
        <w:t xml:space="preserve">  Applicants further state that the proposed transaction will have no adverse impact on the customers or operations of </w:t>
      </w:r>
      <w:r w:rsidRPr="00464706" w:rsidR="00864F00">
        <w:t>IdeaTek</w:t>
      </w:r>
      <w:r w:rsidRPr="00915BAF">
        <w:t xml:space="preserve"> and that </w:t>
      </w:r>
      <w:r w:rsidRPr="00464706" w:rsidR="00864F00">
        <w:t>IdeaTek</w:t>
      </w:r>
      <w:r w:rsidRPr="00464706" w:rsidR="00864F00">
        <w:t xml:space="preserve"> </w:t>
      </w:r>
      <w:r w:rsidRPr="00915BAF">
        <w:t>will continue to provide its services at the same rates, terms, and conditions, as governed by existing contracts, as applicable.</w:t>
      </w:r>
      <w:r>
        <w:rPr>
          <w:vertAlign w:val="superscript"/>
        </w:rPr>
        <w:footnoteReference w:id="21"/>
      </w:r>
    </w:p>
    <w:bookmarkEnd w:id="9"/>
    <w:p w:rsidR="00DF7EFC" w:rsidRPr="00DF7EFC" w:rsidP="00DF7EFC" w14:paraId="53DBC478" w14:textId="0AB37321">
      <w:pPr>
        <w:autoSpaceDE w:val="0"/>
        <w:autoSpaceDN w:val="0"/>
        <w:adjustRightInd w:val="0"/>
        <w:spacing w:after="120"/>
        <w:ind w:firstLine="720"/>
        <w:rPr>
          <w:bCs/>
          <w:szCs w:val="22"/>
        </w:rPr>
      </w:pPr>
      <w:r w:rsidRPr="00466A2D">
        <w:rPr>
          <w:bCs/>
          <w:szCs w:val="22"/>
          <w:u w:val="single"/>
        </w:rPr>
        <w:t>No Referral to Executive Branch Agencies:</w:t>
      </w:r>
      <w:r w:rsidRPr="00466A2D">
        <w:rPr>
          <w:b/>
          <w:bCs/>
          <w:szCs w:val="22"/>
        </w:rPr>
        <w:t xml:space="preserve">  </w:t>
      </w:r>
      <w:r w:rsidRPr="00466A2D">
        <w:rPr>
          <w:szCs w:val="22"/>
        </w:rPr>
        <w:t xml:space="preserve">The Commission determined in the </w:t>
      </w:r>
      <w:r w:rsidRPr="00466A2D">
        <w:rPr>
          <w:i/>
          <w:iCs/>
          <w:szCs w:val="22"/>
        </w:rPr>
        <w:t>Executive Branch Review Process Order</w:t>
      </w:r>
      <w:r w:rsidRPr="00466A2D">
        <w:rPr>
          <w:szCs w:val="22"/>
        </w:rPr>
        <w:t xml:space="preserve"> that it would not routinely refer to the Executive Branch “standalone applications to transfer control of domestic section 214 authority.”</w:t>
      </w:r>
      <w:r>
        <w:rPr>
          <w:szCs w:val="22"/>
          <w:vertAlign w:val="superscript"/>
        </w:rPr>
        <w:footnoteReference w:id="22"/>
      </w:r>
      <w:r w:rsidRPr="00466A2D">
        <w:rPr>
          <w:szCs w:val="22"/>
        </w:rPr>
        <w:t xml:space="preserve">  The Commission, however, retains </w:t>
      </w:r>
      <w:r w:rsidRPr="00466A2D">
        <w:rPr>
          <w:szCs w:val="22"/>
        </w:rPr>
        <w:t>the discretion to refer a domestic-only section 214 transaction should it find that a particular application may raise national security, law enforcement, foreign policy, or trade policy concerns for which it would benefit from the advice of the Executive Branch.</w:t>
      </w:r>
      <w:r>
        <w:rPr>
          <w:szCs w:val="22"/>
          <w:vertAlign w:val="superscript"/>
        </w:rPr>
        <w:footnoteReference w:id="23"/>
      </w:r>
      <w:r w:rsidRPr="00466A2D">
        <w:rPr>
          <w:szCs w:val="22"/>
        </w:rPr>
        <w:t xml:space="preserve">  Applicants state that the Application involves the transfer of control of carriers that hold only domestic section 214 authority and that ownership and control of Last Dance Intermediate II</w:t>
      </w:r>
      <w:r w:rsidRPr="0071502A" w:rsidR="00481572">
        <w:rPr>
          <w:szCs w:val="22"/>
        </w:rPr>
        <w:t>I</w:t>
      </w:r>
      <w:r w:rsidRPr="00466A2D">
        <w:rPr>
          <w:szCs w:val="22"/>
        </w:rPr>
        <w:t xml:space="preserve"> ultimately rests with U.S. citizens or entities.</w:t>
      </w:r>
      <w:r>
        <w:rPr>
          <w:szCs w:val="22"/>
          <w:vertAlign w:val="superscript"/>
        </w:rPr>
        <w:footnoteReference w:id="24"/>
      </w:r>
      <w:r w:rsidRPr="00466A2D">
        <w:rPr>
          <w:szCs w:val="22"/>
        </w:rPr>
        <w:t xml:space="preserve">  Applicants therefore assert that, consistent with the decision in the </w:t>
      </w:r>
      <w:r w:rsidRPr="00466A2D">
        <w:rPr>
          <w:i/>
          <w:iCs/>
          <w:szCs w:val="22"/>
        </w:rPr>
        <w:t>Executive Branch Review Process Order</w:t>
      </w:r>
      <w:r w:rsidRPr="00466A2D">
        <w:rPr>
          <w:szCs w:val="22"/>
        </w:rPr>
        <w:t>, the Application does not require a referral to the Executive Branch.</w:t>
      </w:r>
      <w:r>
        <w:rPr>
          <w:szCs w:val="22"/>
          <w:vertAlign w:val="superscript"/>
        </w:rPr>
        <w:footnoteReference w:id="25"/>
      </w:r>
      <w:r w:rsidRPr="00466A2D">
        <w:rPr>
          <w:szCs w:val="22"/>
        </w:rPr>
        <w:t xml:space="preserve">  </w:t>
      </w:r>
      <w:r w:rsidRPr="00466A2D">
        <w:rPr>
          <w:bCs/>
          <w:szCs w:val="22"/>
        </w:rPr>
        <w:t xml:space="preserve">We do not find any special circumstances that warrant referral of this Application to the Executive Branch agencies.  </w:t>
      </w:r>
      <w:r w:rsidRPr="00466A2D">
        <w:rPr>
          <w:szCs w:val="22"/>
        </w:rPr>
        <w:t>While we are not referring the Application, we will provide a courtesy copy of this public notice to the Executive Branch agencies.</w:t>
      </w:r>
      <w:r>
        <w:rPr>
          <w:szCs w:val="22"/>
          <w:vertAlign w:val="superscript"/>
        </w:rPr>
        <w:footnoteReference w:id="26"/>
      </w:r>
    </w:p>
    <w:p w:rsidR="005F45B1" w:rsidP="00DF7EFC" w14:paraId="6200C0BD" w14:textId="6066691F">
      <w:pPr>
        <w:autoSpaceDE w:val="0"/>
        <w:autoSpaceDN w:val="0"/>
        <w:adjustRightInd w:val="0"/>
        <w:spacing w:after="120"/>
        <w:ind w:firstLine="720"/>
        <w:rPr>
          <w:szCs w:val="22"/>
        </w:rPr>
      </w:pPr>
      <w:r w:rsidRPr="00466A2D">
        <w:rPr>
          <w:szCs w:val="22"/>
        </w:rPr>
        <w:t>Because the proposed transaction is more complex than those accepted for streamlined treatment, and in order to analyze whether the proposed transaction would serve the public interest, we accept the Application for non-streamlined treatment.</w:t>
      </w:r>
      <w:r>
        <w:rPr>
          <w:szCs w:val="22"/>
          <w:vertAlign w:val="superscript"/>
        </w:rPr>
        <w:footnoteReference w:id="27"/>
      </w:r>
    </w:p>
    <w:p w:rsidR="001E766C" w:rsidP="001E766C" w14:paraId="370BD421" w14:textId="36B7FEBB">
      <w:pPr>
        <w:ind w:left="720"/>
      </w:pPr>
      <w:r>
        <w:t xml:space="preserve">Domestic Section 214 Filed for the Transfer of Control of </w:t>
      </w:r>
      <w:r>
        <w:t>Idea</w:t>
      </w:r>
      <w:r w:rsidR="3BEF12A4">
        <w:t>T</w:t>
      </w:r>
      <w:r>
        <w:t>ek</w:t>
      </w:r>
      <w:r>
        <w:t xml:space="preserve"> Telcom, LLC to</w:t>
      </w:r>
    </w:p>
    <w:p w:rsidR="001E766C" w:rsidRPr="00FC7245" w:rsidP="001E766C" w14:paraId="09191FA7" w14:textId="67CEEC8C">
      <w:pPr>
        <w:ind w:left="720"/>
        <w:rPr>
          <w:szCs w:val="22"/>
        </w:rPr>
      </w:pPr>
      <w:r w:rsidRPr="00BA0935">
        <w:rPr>
          <w:szCs w:val="22"/>
        </w:rPr>
        <w:t>Last Dance Intermediate III, LLC</w:t>
      </w:r>
      <w:r>
        <w:rPr>
          <w:szCs w:val="22"/>
        </w:rPr>
        <w:t xml:space="preserve">, </w:t>
      </w:r>
      <w:r w:rsidRPr="00FC7245">
        <w:rPr>
          <w:szCs w:val="22"/>
        </w:rPr>
        <w:t>WC Docket No. 2</w:t>
      </w:r>
      <w:r>
        <w:rPr>
          <w:szCs w:val="22"/>
        </w:rPr>
        <w:t>5</w:t>
      </w:r>
      <w:r w:rsidRPr="00FC7245">
        <w:rPr>
          <w:szCs w:val="22"/>
        </w:rPr>
        <w:t>-</w:t>
      </w:r>
      <w:r>
        <w:rPr>
          <w:szCs w:val="22"/>
        </w:rPr>
        <w:t>129</w:t>
      </w:r>
      <w:r w:rsidRPr="00FC7245">
        <w:rPr>
          <w:szCs w:val="22"/>
        </w:rPr>
        <w:t xml:space="preserve"> (filed </w:t>
      </w:r>
      <w:r>
        <w:rPr>
          <w:szCs w:val="22"/>
        </w:rPr>
        <w:t>Mar</w:t>
      </w:r>
      <w:r w:rsidRPr="004A7CA9">
        <w:rPr>
          <w:szCs w:val="22"/>
        </w:rPr>
        <w:t xml:space="preserve">. </w:t>
      </w:r>
      <w:r>
        <w:rPr>
          <w:szCs w:val="22"/>
        </w:rPr>
        <w:t>7</w:t>
      </w:r>
      <w:r w:rsidRPr="004A7CA9">
        <w:rPr>
          <w:szCs w:val="22"/>
        </w:rPr>
        <w:t>, 202</w:t>
      </w:r>
      <w:r>
        <w:rPr>
          <w:szCs w:val="22"/>
        </w:rPr>
        <w:t>5</w:t>
      </w:r>
      <w:r w:rsidRPr="004A7CA9">
        <w:rPr>
          <w:szCs w:val="22"/>
        </w:rPr>
        <w:t>).</w:t>
      </w:r>
    </w:p>
    <w:p w:rsidR="001E766C" w:rsidP="00DF7EFC" w14:paraId="677CB1B0" w14:textId="77777777">
      <w:pPr>
        <w:autoSpaceDE w:val="0"/>
        <w:autoSpaceDN w:val="0"/>
        <w:adjustRightInd w:val="0"/>
        <w:spacing w:after="120"/>
        <w:ind w:firstLine="720"/>
        <w:rPr>
          <w:b/>
          <w:szCs w:val="22"/>
          <w:u w:val="single"/>
        </w:rPr>
      </w:pPr>
    </w:p>
    <w:p w:rsidR="00113691" w:rsidRPr="003B1C20" w:rsidP="00113691" w14:paraId="45906C39" w14:textId="77777777">
      <w:pPr>
        <w:keepNext/>
        <w:autoSpaceDE w:val="0"/>
        <w:autoSpaceDN w:val="0"/>
        <w:adjustRightInd w:val="0"/>
        <w:spacing w:after="120"/>
        <w:rPr>
          <w:szCs w:val="22"/>
        </w:rPr>
      </w:pPr>
      <w:r w:rsidRPr="003B1C20">
        <w:rPr>
          <w:b/>
          <w:szCs w:val="22"/>
          <w:u w:val="single"/>
        </w:rPr>
        <w:t>GENERAL INFORMATION</w:t>
      </w:r>
    </w:p>
    <w:p w:rsidR="00113691" w:rsidRPr="003B1C20" w:rsidP="00113691" w14:paraId="5094959B" w14:textId="77777777">
      <w:pPr>
        <w:autoSpaceDE w:val="0"/>
        <w:autoSpaceDN w:val="0"/>
        <w:adjustRightInd w:val="0"/>
        <w:spacing w:after="120"/>
        <w:ind w:firstLine="720"/>
        <w:rPr>
          <w:szCs w:val="22"/>
        </w:rPr>
      </w:pPr>
      <w:r w:rsidRPr="003B1C20">
        <w:rPr>
          <w:szCs w:val="22"/>
        </w:rPr>
        <w:t>The application identified herein has been found, upon initial review, to be acceptable for filing.  The Commission reserves the right to return any application if, upon further examination, it is determined to be defective and not in conformance with the Commission’s rules and policies.</w:t>
      </w:r>
    </w:p>
    <w:p w:rsidR="00113691" w:rsidRPr="003B1C20" w:rsidP="00113691" w14:paraId="6F3C3F69" w14:textId="77777777">
      <w:pPr>
        <w:autoSpaceDE w:val="0"/>
        <w:autoSpaceDN w:val="0"/>
        <w:adjustRightInd w:val="0"/>
        <w:spacing w:after="120"/>
        <w:ind w:firstLine="720"/>
        <w:rPr>
          <w:szCs w:val="22"/>
        </w:rPr>
      </w:pPr>
      <w:r w:rsidRPr="003B1C20">
        <w:rPr>
          <w:szCs w:val="22"/>
        </w:rPr>
        <w:t>Interested parties may file comments</w:t>
      </w:r>
      <w:r w:rsidRPr="003B1C20">
        <w:rPr>
          <w:bCs/>
          <w:szCs w:val="22"/>
        </w:rPr>
        <w:t xml:space="preserve"> and reply comments on or before the dates indicated on the first page of this document.</w:t>
      </w:r>
      <w:r w:rsidRPr="003B1C20">
        <w:rPr>
          <w:szCs w:val="22"/>
        </w:rPr>
        <w:t xml:space="preserve">  Comments may be filed using the Commission’s Electronic Comment Filing System (ECFS).</w:t>
      </w:r>
    </w:p>
    <w:p w:rsidR="00113691" w:rsidRPr="003B1C20" w:rsidP="00113691" w14:paraId="755992C2" w14:textId="77777777">
      <w:pPr>
        <w:numPr>
          <w:ilvl w:val="0"/>
          <w:numId w:val="8"/>
        </w:numPr>
        <w:autoSpaceDE w:val="0"/>
        <w:autoSpaceDN w:val="0"/>
        <w:adjustRightInd w:val="0"/>
        <w:spacing w:after="120"/>
        <w:rPr>
          <w:szCs w:val="22"/>
        </w:rPr>
      </w:pPr>
      <w:r w:rsidRPr="003B1C20">
        <w:rPr>
          <w:szCs w:val="22"/>
        </w:rPr>
        <w:t>Electronic Filers:</w:t>
      </w:r>
      <w:r>
        <w:rPr>
          <w:szCs w:val="22"/>
        </w:rPr>
        <w:t xml:space="preserve"> </w:t>
      </w:r>
      <w:r w:rsidRPr="003B1C20">
        <w:rPr>
          <w:szCs w:val="22"/>
        </w:rPr>
        <w:t xml:space="preserve"> Comments may be filed electronically using the Internet by accessing the ECFS:</w:t>
      </w:r>
      <w:r>
        <w:rPr>
          <w:szCs w:val="22"/>
        </w:rPr>
        <w:t xml:space="preserve"> </w:t>
      </w:r>
      <w:r w:rsidRPr="003B1C20">
        <w:rPr>
          <w:szCs w:val="22"/>
        </w:rPr>
        <w:t xml:space="preserve"> </w:t>
      </w:r>
      <w:hyperlink r:id="rId6" w:history="1">
        <w:r w:rsidRPr="003B1C20">
          <w:rPr>
            <w:color w:val="0000FF"/>
            <w:szCs w:val="22"/>
            <w:u w:val="single"/>
          </w:rPr>
          <w:t>https://www.fcc.gov/ecfs/</w:t>
        </w:r>
      </w:hyperlink>
      <w:r w:rsidRPr="003B1C20">
        <w:rPr>
          <w:szCs w:val="22"/>
        </w:rPr>
        <w:t>.</w:t>
      </w:r>
    </w:p>
    <w:p w:rsidR="00113691" w:rsidRPr="003B1C20" w:rsidP="00113691" w14:paraId="086000CF" w14:textId="77777777">
      <w:pPr>
        <w:numPr>
          <w:ilvl w:val="0"/>
          <w:numId w:val="9"/>
        </w:numPr>
        <w:autoSpaceDE w:val="0"/>
        <w:autoSpaceDN w:val="0"/>
        <w:adjustRightInd w:val="0"/>
        <w:spacing w:after="120"/>
        <w:rPr>
          <w:szCs w:val="22"/>
        </w:rPr>
      </w:pPr>
      <w:r w:rsidRPr="003B1C20">
        <w:rPr>
          <w:szCs w:val="22"/>
        </w:rPr>
        <w:t>Paper Filers: Parties who choose to file by paper must file an original and one copy of each filing.</w:t>
      </w:r>
    </w:p>
    <w:p w:rsidR="00113691" w:rsidRPr="003B1C20" w:rsidP="00113691" w14:paraId="660BC111" w14:textId="77777777">
      <w:pPr>
        <w:numPr>
          <w:ilvl w:val="1"/>
          <w:numId w:val="9"/>
        </w:numPr>
        <w:autoSpaceDE w:val="0"/>
        <w:autoSpaceDN w:val="0"/>
        <w:adjustRightInd w:val="0"/>
        <w:spacing w:after="120"/>
        <w:rPr>
          <w:b/>
          <w:bCs/>
          <w:szCs w:val="22"/>
        </w:rPr>
      </w:pPr>
      <w:r w:rsidRPr="003B1C20">
        <w:rPr>
          <w:szCs w:val="22"/>
        </w:rPr>
        <w:t xml:space="preserve">Filings can be sent by hand or messenger delivery, by commercial courier, or by the U.S. Postal Service.  </w:t>
      </w:r>
      <w:r w:rsidRPr="003B1C20">
        <w:rPr>
          <w:b/>
          <w:bCs/>
          <w:szCs w:val="22"/>
        </w:rPr>
        <w:t>All filings must be addressed to the Secretary, Federal Communications Commission.</w:t>
      </w:r>
    </w:p>
    <w:p w:rsidR="00113691" w:rsidRPr="003B1C20" w:rsidP="00113691" w14:paraId="6BFA8808" w14:textId="77777777">
      <w:pPr>
        <w:numPr>
          <w:ilvl w:val="1"/>
          <w:numId w:val="9"/>
        </w:numPr>
        <w:autoSpaceDE w:val="0"/>
        <w:autoSpaceDN w:val="0"/>
        <w:adjustRightInd w:val="0"/>
        <w:spacing w:after="120"/>
        <w:rPr>
          <w:szCs w:val="22"/>
        </w:rPr>
      </w:pPr>
      <w:r w:rsidRPr="003B1C20">
        <w:rPr>
          <w:szCs w:val="22"/>
        </w:rPr>
        <w:t>Hand-delivered or messenger-delivered paper filings for the Commission’s Secretary are accepted between 8:00 a.m. and 4:00 p.m. by the FCC’s mailing contractor at 9050 Junction Drive, Annapolis Junction, MD 20701.  All hand deliveries must be held together with rubber bands or fasteners.  Any envelopes and boxes must be disposed of before entering the building.</w:t>
      </w:r>
    </w:p>
    <w:p w:rsidR="00113691" w:rsidRPr="003B1C20" w:rsidP="00113691" w14:paraId="05419977" w14:textId="77777777">
      <w:pPr>
        <w:numPr>
          <w:ilvl w:val="1"/>
          <w:numId w:val="9"/>
        </w:numPr>
        <w:autoSpaceDE w:val="0"/>
        <w:autoSpaceDN w:val="0"/>
        <w:adjustRightInd w:val="0"/>
        <w:spacing w:after="120"/>
        <w:rPr>
          <w:szCs w:val="22"/>
        </w:rPr>
      </w:pPr>
      <w:r w:rsidRPr="003B1C20">
        <w:rPr>
          <w:szCs w:val="22"/>
        </w:rPr>
        <w:t>Commercial courier deliveries (any deliveries not by the U.S. Postal Service) must be sent to 9050 Junction Drive, Annapolis Junction, MD 20701.</w:t>
      </w:r>
    </w:p>
    <w:p w:rsidR="00113691" w:rsidRPr="003B1C20" w:rsidP="00113691" w14:paraId="40A915C4" w14:textId="77777777">
      <w:pPr>
        <w:numPr>
          <w:ilvl w:val="1"/>
          <w:numId w:val="9"/>
        </w:numPr>
        <w:autoSpaceDE w:val="0"/>
        <w:autoSpaceDN w:val="0"/>
        <w:adjustRightInd w:val="0"/>
        <w:spacing w:after="120"/>
        <w:rPr>
          <w:szCs w:val="22"/>
        </w:rPr>
      </w:pPr>
      <w:r w:rsidRPr="003B1C20">
        <w:rPr>
          <w:szCs w:val="22"/>
        </w:rPr>
        <w:t>Filings sent by U.S. Postal Service First-Class Mail, Priority Mail, and Priority Mail Express must be sent to 45 L Street NE, Washington, DC 20554.</w:t>
      </w:r>
    </w:p>
    <w:p w:rsidR="00113691" w:rsidRPr="003B1C20" w:rsidP="00113691" w14:paraId="31B4C823" w14:textId="77777777">
      <w:pPr>
        <w:autoSpaceDE w:val="0"/>
        <w:autoSpaceDN w:val="0"/>
        <w:adjustRightInd w:val="0"/>
        <w:spacing w:after="120"/>
        <w:ind w:firstLine="720"/>
        <w:rPr>
          <w:szCs w:val="22"/>
        </w:rPr>
      </w:pPr>
      <w:r w:rsidRPr="003B1C20">
        <w:rPr>
          <w:szCs w:val="22"/>
        </w:rPr>
        <w:t>People with</w:t>
      </w:r>
      <w:r>
        <w:rPr>
          <w:szCs w:val="22"/>
        </w:rPr>
        <w:t xml:space="preserve"> </w:t>
      </w:r>
      <w:r w:rsidRPr="003B1C20">
        <w:rPr>
          <w:szCs w:val="22"/>
        </w:rPr>
        <w:t>Disabilities:</w:t>
      </w:r>
      <w:r>
        <w:rPr>
          <w:szCs w:val="22"/>
        </w:rPr>
        <w:t xml:space="preserve">  </w:t>
      </w:r>
      <w:r w:rsidRPr="003B1C20">
        <w:rPr>
          <w:szCs w:val="22"/>
        </w:rPr>
        <w:t xml:space="preserve">To request materials in accessible formats for people with disabilities </w:t>
      </w:r>
      <w:r w:rsidRPr="003B1C20">
        <w:rPr>
          <w:szCs w:val="22"/>
        </w:rPr>
        <w:t xml:space="preserve">(braille, large print, electronic files, audio format), send an e-mail to </w:t>
      </w:r>
      <w:hyperlink r:id="rId7" w:history="1">
        <w:r w:rsidRPr="003B1C20">
          <w:rPr>
            <w:color w:val="0000FF"/>
            <w:szCs w:val="22"/>
            <w:u w:val="single"/>
          </w:rPr>
          <w:t>fcc504@fcc.gov</w:t>
        </w:r>
      </w:hyperlink>
      <w:r w:rsidRPr="003B1C20">
        <w:rPr>
          <w:szCs w:val="22"/>
        </w:rPr>
        <w:t xml:space="preserve"> or call the Consumer &amp; Governmental Affairs Bureau at 202-418-0530 (voice), 202-418-0432 (TTY).</w:t>
      </w:r>
    </w:p>
    <w:p w:rsidR="00113691" w:rsidRPr="00F411D7" w:rsidP="00113691" w14:paraId="7F6EA893" w14:textId="77777777">
      <w:pPr>
        <w:autoSpaceDE w:val="0"/>
        <w:autoSpaceDN w:val="0"/>
        <w:adjustRightInd w:val="0"/>
        <w:spacing w:after="120"/>
        <w:ind w:firstLine="720"/>
        <w:rPr>
          <w:b/>
          <w:szCs w:val="22"/>
        </w:rPr>
      </w:pPr>
      <w:r w:rsidRPr="003B1C20">
        <w:rPr>
          <w:b/>
          <w:szCs w:val="22"/>
        </w:rPr>
        <w:t>In addition, e-mail one copy of each pleading to each of the following:</w:t>
      </w:r>
    </w:p>
    <w:p w:rsidR="00113691" w:rsidRPr="003B1C20" w:rsidP="00113691" w14:paraId="534602A4" w14:textId="77777777">
      <w:pPr>
        <w:numPr>
          <w:ilvl w:val="0"/>
          <w:numId w:val="7"/>
        </w:numPr>
        <w:autoSpaceDE w:val="0"/>
        <w:autoSpaceDN w:val="0"/>
        <w:adjustRightInd w:val="0"/>
        <w:spacing w:after="120"/>
        <w:rPr>
          <w:szCs w:val="22"/>
        </w:rPr>
      </w:pPr>
      <w:r>
        <w:rPr>
          <w:szCs w:val="22"/>
        </w:rPr>
        <w:t>Gregory Kwan</w:t>
      </w:r>
      <w:r w:rsidRPr="003B1C20">
        <w:rPr>
          <w:szCs w:val="22"/>
        </w:rPr>
        <w:t xml:space="preserve">, Competition Policy Division, Wireline Competition Bureau, </w:t>
      </w:r>
      <w:hyperlink r:id="rId8" w:history="1">
        <w:r w:rsidRPr="00D21ACF">
          <w:rPr>
            <w:rStyle w:val="Hyperlink"/>
            <w:szCs w:val="22"/>
          </w:rPr>
          <w:t>gregory.kwan@fcc.gov</w:t>
        </w:r>
      </w:hyperlink>
      <w:r w:rsidRPr="003B1C20">
        <w:rPr>
          <w:szCs w:val="22"/>
        </w:rPr>
        <w:t>; and</w:t>
      </w:r>
    </w:p>
    <w:p w:rsidR="00113691" w:rsidRPr="003B1C20" w:rsidP="00113691" w14:paraId="3FE03581" w14:textId="77777777">
      <w:pPr>
        <w:numPr>
          <w:ilvl w:val="0"/>
          <w:numId w:val="7"/>
        </w:numPr>
        <w:autoSpaceDE w:val="0"/>
        <w:autoSpaceDN w:val="0"/>
        <w:adjustRightInd w:val="0"/>
        <w:spacing w:after="120"/>
        <w:rPr>
          <w:szCs w:val="22"/>
        </w:rPr>
      </w:pPr>
      <w:r w:rsidRPr="003B1C20">
        <w:rPr>
          <w:szCs w:val="22"/>
        </w:rPr>
        <w:t xml:space="preserve">Jim Bird, Office of General Counsel, </w:t>
      </w:r>
      <w:hyperlink r:id="rId9">
        <w:r w:rsidRPr="003B1C20">
          <w:rPr>
            <w:color w:val="0000FF"/>
            <w:szCs w:val="22"/>
            <w:u w:val="single"/>
          </w:rPr>
          <w:t>jim.bird@fcc.gov</w:t>
        </w:r>
      </w:hyperlink>
      <w:r w:rsidRPr="003B1C20">
        <w:rPr>
          <w:szCs w:val="22"/>
        </w:rPr>
        <w:t>.</w:t>
      </w:r>
    </w:p>
    <w:p w:rsidR="00113691" w:rsidRPr="003B1C20" w:rsidP="00113691" w14:paraId="17716D3C" w14:textId="77777777">
      <w:pPr>
        <w:autoSpaceDE w:val="0"/>
        <w:autoSpaceDN w:val="0"/>
        <w:adjustRightInd w:val="0"/>
        <w:spacing w:after="120"/>
        <w:ind w:firstLine="720"/>
        <w:rPr>
          <w:szCs w:val="22"/>
        </w:rPr>
      </w:pPr>
      <w:r w:rsidRPr="003B1C20">
        <w:rPr>
          <w:szCs w:val="22"/>
        </w:rPr>
        <w:t xml:space="preserve">The proceeding in this Notice shall be treated as a “permit-but-disclose” proceeding in accordance with the Commission’s </w:t>
      </w:r>
      <w:r w:rsidRPr="003B1C20">
        <w:rPr>
          <w:i/>
          <w:szCs w:val="22"/>
        </w:rPr>
        <w:t xml:space="preserve">ex </w:t>
      </w:r>
      <w:r w:rsidRPr="003B1C20">
        <w:rPr>
          <w:i/>
          <w:szCs w:val="22"/>
        </w:rPr>
        <w:t>parte</w:t>
      </w:r>
      <w:r w:rsidRPr="003B1C20">
        <w:rPr>
          <w:szCs w:val="22"/>
        </w:rPr>
        <w:t xml:space="preserve"> rules.  Persons making </w:t>
      </w:r>
      <w:r w:rsidRPr="003B1C20">
        <w:rPr>
          <w:i/>
          <w:szCs w:val="22"/>
        </w:rPr>
        <w:t xml:space="preserve">ex </w:t>
      </w:r>
      <w:r w:rsidRPr="003B1C20">
        <w:rPr>
          <w:i/>
          <w:szCs w:val="22"/>
        </w:rPr>
        <w:t>parte</w:t>
      </w:r>
      <w:r w:rsidRPr="003B1C20">
        <w:rPr>
          <w:szCs w:val="22"/>
        </w:rPr>
        <w:t xml:space="preserve"> presentations must file a copy of any written presentation or a memorandum summarizing any oral presentation within two business days after the presentation (unless a different deadline applicable to the Sunshine period applies).  Persons making oral </w:t>
      </w:r>
      <w:r w:rsidRPr="003B1C20">
        <w:rPr>
          <w:i/>
          <w:szCs w:val="22"/>
        </w:rPr>
        <w:t xml:space="preserve">ex </w:t>
      </w:r>
      <w:r w:rsidRPr="003B1C20">
        <w:rPr>
          <w:i/>
          <w:szCs w:val="22"/>
        </w:rPr>
        <w:t>parte</w:t>
      </w:r>
      <w:r w:rsidRPr="003B1C20">
        <w:rPr>
          <w:szCs w:val="22"/>
        </w:rPr>
        <w:t xml:space="preserve"> presentations are reminded that memoranda summarizing the presentation must (1) list all persons attending or otherwise participating in the meeting at which the </w:t>
      </w:r>
      <w:r w:rsidRPr="003B1C20">
        <w:rPr>
          <w:i/>
          <w:szCs w:val="22"/>
        </w:rPr>
        <w:t xml:space="preserve">ex </w:t>
      </w:r>
      <w:r w:rsidRPr="003B1C20">
        <w:rPr>
          <w:i/>
          <w:szCs w:val="22"/>
        </w:rPr>
        <w:t>parte</w:t>
      </w:r>
      <w:r w:rsidRPr="003B1C20">
        <w:rPr>
          <w:szCs w:val="22"/>
        </w:rPr>
        <w:t xml:space="preserve"> presentation was made, and (2) summarize all data presented and arguments made during the presentation.  If the presentation consisted in whole or in part of the presentation of data or arguments already reflected in the presenter’s written comments, memoranda or other filings in the proceeding, the presenter may provide citations to such data or arguments in his or her prior comments, memoranda, or other filings (specifying the relevant page and/or paragraph numbers where such data or arguments can be found) in lieu of summarizing them in the memorandum.  Documents shown or given to Commission staff during </w:t>
      </w:r>
      <w:r w:rsidRPr="003B1C20">
        <w:rPr>
          <w:i/>
          <w:szCs w:val="22"/>
        </w:rPr>
        <w:t xml:space="preserve">ex </w:t>
      </w:r>
      <w:r w:rsidRPr="003B1C20">
        <w:rPr>
          <w:i/>
          <w:szCs w:val="22"/>
        </w:rPr>
        <w:t>parte</w:t>
      </w:r>
      <w:r w:rsidRPr="003B1C20">
        <w:rPr>
          <w:szCs w:val="22"/>
        </w:rPr>
        <w:t xml:space="preserve"> meetings are deemed to be written </w:t>
      </w:r>
      <w:r w:rsidRPr="003B1C20">
        <w:rPr>
          <w:i/>
          <w:szCs w:val="22"/>
        </w:rPr>
        <w:t xml:space="preserve">ex </w:t>
      </w:r>
      <w:r w:rsidRPr="003B1C20">
        <w:rPr>
          <w:i/>
          <w:szCs w:val="22"/>
        </w:rPr>
        <w:t>parte</w:t>
      </w:r>
      <w:r w:rsidRPr="003B1C20">
        <w:rPr>
          <w:szCs w:val="22"/>
        </w:rPr>
        <w:t xml:space="preserve"> presentations and must be filed consistent with rule 1.1206(b), 47 CFR § 1.1206(b).  Participants in this proceeding should familiarize themselves with the Commission’s </w:t>
      </w:r>
      <w:r w:rsidRPr="003B1C20">
        <w:rPr>
          <w:i/>
          <w:szCs w:val="22"/>
        </w:rPr>
        <w:t xml:space="preserve">ex </w:t>
      </w:r>
      <w:r w:rsidRPr="003B1C20">
        <w:rPr>
          <w:i/>
          <w:szCs w:val="22"/>
        </w:rPr>
        <w:t>parte</w:t>
      </w:r>
      <w:r w:rsidRPr="003B1C20">
        <w:rPr>
          <w:szCs w:val="22"/>
        </w:rPr>
        <w:t xml:space="preserve"> rules.</w:t>
      </w:r>
    </w:p>
    <w:p w:rsidR="00113691" w:rsidRPr="007D6E06" w:rsidP="00113691" w14:paraId="75784254" w14:textId="77777777">
      <w:pPr>
        <w:autoSpaceDE w:val="0"/>
        <w:autoSpaceDN w:val="0"/>
        <w:adjustRightInd w:val="0"/>
        <w:spacing w:after="120"/>
        <w:ind w:firstLine="720"/>
        <w:rPr>
          <w:szCs w:val="22"/>
        </w:rPr>
      </w:pPr>
      <w:r w:rsidRPr="003B1C20">
        <w:rPr>
          <w:szCs w:val="22"/>
        </w:rPr>
        <w:t>To allow the Commission to consider fully all substantive issues regarding the application in as timely and efficient a manner as possible, petitioners and commenters should raise all issues in their initial filings.  New issues may not be raised in responses or replies.</w:t>
      </w:r>
      <w:r>
        <w:rPr>
          <w:szCs w:val="22"/>
          <w:vertAlign w:val="superscript"/>
        </w:rPr>
        <w:footnoteReference w:id="28"/>
      </w:r>
      <w:r w:rsidRPr="003B1C20">
        <w:rPr>
          <w:szCs w:val="22"/>
        </w:rPr>
        <w:t xml:space="preserve">  A party or interested person seeking to raise a new issue after the pleading cycle has closed must show good cause why it was not possible for it to have raised the issue previously.  Submissions after the pleading cycle has closed that seek to raise new issues based on new facts or newly discovered facts should be filed within 15 days after such facts are discovered.  Absent such a showing of good cause, any issues not timely raised may be disregarded by the Commission.</w:t>
      </w:r>
      <w:r>
        <w:rPr>
          <w:szCs w:val="22"/>
        </w:rPr>
        <w:t xml:space="preserve">  </w:t>
      </w:r>
      <w:r w:rsidRPr="007D6E06">
        <w:rPr>
          <w:szCs w:val="22"/>
        </w:rPr>
        <w:t xml:space="preserve">For further information, please contact </w:t>
      </w:r>
      <w:r>
        <w:rPr>
          <w:szCs w:val="22"/>
        </w:rPr>
        <w:t>Gregory Kwan at</w:t>
      </w:r>
      <w:r w:rsidRPr="004A2683">
        <w:rPr>
          <w:szCs w:val="22"/>
        </w:rPr>
        <w:t xml:space="preserve"> </w:t>
      </w:r>
      <w:r>
        <w:rPr>
          <w:szCs w:val="22"/>
        </w:rPr>
        <w:t xml:space="preserve">(202) </w:t>
      </w:r>
      <w:r w:rsidRPr="004A2683">
        <w:rPr>
          <w:szCs w:val="22"/>
        </w:rPr>
        <w:t>418-</w:t>
      </w:r>
      <w:r>
        <w:rPr>
          <w:szCs w:val="22"/>
        </w:rPr>
        <w:t xml:space="preserve">1191 or </w:t>
      </w:r>
      <w:hyperlink r:id="rId8" w:history="1">
        <w:r w:rsidRPr="00D21ACF">
          <w:rPr>
            <w:rStyle w:val="Hyperlink"/>
            <w:szCs w:val="22"/>
          </w:rPr>
          <w:t>gregory.kwan@fcc.gov</w:t>
        </w:r>
      </w:hyperlink>
      <w:r>
        <w:rPr>
          <w:szCs w:val="22"/>
        </w:rPr>
        <w:t>.</w:t>
      </w:r>
    </w:p>
    <w:p w:rsidR="00113691" w:rsidRPr="007D6E06" w:rsidP="00113691" w14:paraId="21957ED0" w14:textId="77777777">
      <w:pPr>
        <w:autoSpaceDE w:val="0"/>
        <w:autoSpaceDN w:val="0"/>
        <w:adjustRightInd w:val="0"/>
        <w:rPr>
          <w:szCs w:val="22"/>
        </w:rPr>
      </w:pPr>
    </w:p>
    <w:p w:rsidR="00BA3BA8" w:rsidRPr="00DF0BCD" w:rsidP="001E5A93" w14:paraId="4FA9EBB4" w14:textId="3358F3B9">
      <w:pPr>
        <w:autoSpaceDE w:val="0"/>
        <w:autoSpaceDN w:val="0"/>
        <w:adjustRightInd w:val="0"/>
        <w:jc w:val="center"/>
        <w:rPr>
          <w:color w:val="000000"/>
          <w:szCs w:val="22"/>
        </w:rPr>
      </w:pPr>
      <w:r w:rsidRPr="007D6E06">
        <w:rPr>
          <w:b/>
          <w:szCs w:val="22"/>
        </w:rPr>
        <w:t>-FCC-</w:t>
      </w:r>
      <w:bookmarkEnd w:id="1"/>
    </w:p>
    <w:sectPr>
      <w:headerReference w:type="default" r:id="rId10"/>
      <w:footerReference w:type="even" r:id="rId11"/>
      <w:footerReference w:type="default" r:id="rId12"/>
      <w:headerReference w:type="first" r:id="rId13"/>
      <w:footerReference w:type="first" r:id="rId14"/>
      <w:endnotePr>
        <w:numFmt w:val="decimal"/>
      </w:endnotePr>
      <w:pgSz w:w="12240" w:h="15840"/>
      <w:pgMar w:top="1440" w:right="1440" w:bottom="720" w:left="1440" w:header="630" w:footer="72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0D47B7" w14:paraId="6238415A" w14:textId="77777777">
      <w:pPr>
        <w:spacing w:line="20" w:lineRule="exact"/>
      </w:pPr>
    </w:p>
  </w:endnote>
  <w:endnote w:type="continuationSeparator" w:id="1">
    <w:p w:rsidR="000D47B7" w14:paraId="03424D90" w14:textId="77777777">
      <w:r>
        <w:t xml:space="preserve"> </w:t>
      </w:r>
    </w:p>
  </w:endnote>
  <w:endnote w:type="continuationNotice" w:id="2">
    <w:p w:rsidR="000D47B7" w14:paraId="03D0C2E3" w14:textId="77777777">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A3BA8" w14:paraId="646F68D4" w14:textId="77777777">
    <w:pPr>
      <w:pStyle w:val="Footer"/>
      <w:framePr w:wrap="around" w:vAnchor="text" w:hAnchor="margin" w:xAlign="center" w:y="1"/>
    </w:pPr>
    <w:r>
      <w:fldChar w:fldCharType="begin"/>
    </w:r>
    <w:r>
      <w:instrText xml:space="preserve">PAGE  </w:instrText>
    </w:r>
    <w:r>
      <w:fldChar w:fldCharType="separate"/>
    </w:r>
    <w:r>
      <w:fldChar w:fldCharType="end"/>
    </w:r>
  </w:p>
  <w:p w:rsidR="00BA3BA8" w14:paraId="211576F7"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A3BA8" w14:paraId="3E19EC51" w14:textId="77777777">
    <w:pPr>
      <w:pStyle w:val="Footer"/>
      <w:jc w:val="center"/>
    </w:pPr>
    <w:r>
      <w:fldChar w:fldCharType="begin"/>
    </w:r>
    <w:r>
      <w:instrText xml:space="preserve"> PAGE   \* MERGEFORMAT </w:instrText>
    </w:r>
    <w:r>
      <w:fldChar w:fldCharType="separate"/>
    </w:r>
    <w:r>
      <w:rPr>
        <w:noProof/>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A3BA8" w14:paraId="1CB064D8" w14:textId="77777777">
    <w:pPr>
      <w:pStyle w:val="Footer"/>
      <w:tabs>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0D47B7" w14:paraId="094D3393" w14:textId="77777777">
      <w:r>
        <w:separator/>
      </w:r>
    </w:p>
  </w:footnote>
  <w:footnote w:type="continuationSeparator" w:id="1">
    <w:p w:rsidR="000D47B7" w14:paraId="75DA7B5C" w14:textId="77777777">
      <w:pPr>
        <w:rPr>
          <w:sz w:val="20"/>
        </w:rPr>
      </w:pPr>
      <w:r>
        <w:rPr>
          <w:sz w:val="20"/>
        </w:rPr>
        <w:t xml:space="preserve">(Continued from previous page)  </w:t>
      </w:r>
      <w:r>
        <w:rPr>
          <w:sz w:val="20"/>
        </w:rPr>
        <w:separator/>
      </w:r>
    </w:p>
  </w:footnote>
  <w:footnote w:type="continuationNotice" w:id="2">
    <w:p w:rsidR="000D47B7" w14:paraId="048E8C3A" w14:textId="77777777">
      <w:pPr>
        <w:jc w:val="right"/>
        <w:rPr>
          <w:sz w:val="20"/>
        </w:rPr>
      </w:pPr>
      <w:r>
        <w:rPr>
          <w:sz w:val="20"/>
        </w:rPr>
        <w:t>(continued….)</w:t>
      </w:r>
    </w:p>
  </w:footnote>
  <w:footnote w:id="3">
    <w:p w:rsidR="00881759" w:rsidRPr="008C64F6" w:rsidP="00881759" w14:paraId="2151AB17" w14:textId="77777777">
      <w:pPr>
        <w:pStyle w:val="FootnoteText"/>
      </w:pPr>
      <w:r w:rsidRPr="008C64F6">
        <w:rPr>
          <w:rStyle w:val="FootnoteReference"/>
          <w:sz w:val="20"/>
        </w:rPr>
        <w:footnoteRef/>
      </w:r>
      <w:r w:rsidRPr="008C64F6">
        <w:t xml:space="preserve"> </w:t>
      </w:r>
      <w:r w:rsidRPr="008C64F6">
        <w:rPr>
          <w:i/>
        </w:rPr>
        <w:t>See</w:t>
      </w:r>
      <w:r w:rsidRPr="008C64F6">
        <w:t xml:space="preserve"> 47 U.S.C. § 214(a); 47 CFR §§ 63.03-04.</w:t>
      </w:r>
    </w:p>
  </w:footnote>
  <w:footnote w:id="4">
    <w:p w:rsidR="00881759" w:rsidRPr="008C64F6" w:rsidP="00881759" w14:paraId="551D5D2F" w14:textId="2E27EB23">
      <w:pPr>
        <w:autoSpaceDE w:val="0"/>
        <w:autoSpaceDN w:val="0"/>
        <w:adjustRightInd w:val="0"/>
        <w:spacing w:after="120"/>
        <w:rPr>
          <w:sz w:val="20"/>
        </w:rPr>
      </w:pPr>
      <w:r w:rsidRPr="008C64F6">
        <w:rPr>
          <w:rStyle w:val="FootnoteReference"/>
          <w:sz w:val="20"/>
        </w:rPr>
        <w:footnoteRef/>
      </w:r>
      <w:r w:rsidRPr="008C64F6">
        <w:rPr>
          <w:sz w:val="20"/>
        </w:rPr>
        <w:t xml:space="preserve"> Domestic Section 214 Application </w:t>
      </w:r>
      <w:r w:rsidRPr="008C64F6" w:rsidR="0005180F">
        <w:rPr>
          <w:sz w:val="20"/>
        </w:rPr>
        <w:t>f</w:t>
      </w:r>
      <w:r w:rsidRPr="008C64F6">
        <w:rPr>
          <w:sz w:val="20"/>
        </w:rPr>
        <w:t xml:space="preserve">or the </w:t>
      </w:r>
      <w:bookmarkStart w:id="6" w:name="_Hlk178243770"/>
      <w:r w:rsidRPr="008C64F6" w:rsidR="003F627E">
        <w:rPr>
          <w:sz w:val="20"/>
        </w:rPr>
        <w:t xml:space="preserve">Transfer of Control of </w:t>
      </w:r>
      <w:bookmarkEnd w:id="6"/>
      <w:r w:rsidRPr="008C64F6" w:rsidR="007B7BF9">
        <w:rPr>
          <w:sz w:val="20"/>
        </w:rPr>
        <w:t>Idea</w:t>
      </w:r>
      <w:r w:rsidR="00421EEF">
        <w:rPr>
          <w:sz w:val="20"/>
        </w:rPr>
        <w:t>T</w:t>
      </w:r>
      <w:r w:rsidRPr="008C64F6" w:rsidR="007B7BF9">
        <w:rPr>
          <w:sz w:val="20"/>
        </w:rPr>
        <w:t>ek</w:t>
      </w:r>
      <w:r w:rsidRPr="008C64F6" w:rsidR="007B7BF9">
        <w:rPr>
          <w:sz w:val="20"/>
        </w:rPr>
        <w:t xml:space="preserve"> Telcom, LLC to Last Dance Intermediate III, LLC</w:t>
      </w:r>
      <w:r w:rsidRPr="008C64F6" w:rsidR="000A0F72">
        <w:rPr>
          <w:sz w:val="20"/>
        </w:rPr>
        <w:t xml:space="preserve">, WC </w:t>
      </w:r>
      <w:r w:rsidRPr="008C64F6">
        <w:rPr>
          <w:sz w:val="20"/>
        </w:rPr>
        <w:t>Docket No. 2</w:t>
      </w:r>
      <w:r w:rsidRPr="008C64F6" w:rsidR="00642BB6">
        <w:rPr>
          <w:sz w:val="20"/>
        </w:rPr>
        <w:t>5</w:t>
      </w:r>
      <w:r w:rsidRPr="008C64F6">
        <w:rPr>
          <w:sz w:val="20"/>
        </w:rPr>
        <w:t>-</w:t>
      </w:r>
      <w:r w:rsidRPr="008C64F6" w:rsidR="00AA15BE">
        <w:rPr>
          <w:sz w:val="20"/>
        </w:rPr>
        <w:t>12</w:t>
      </w:r>
      <w:r w:rsidRPr="008C64F6" w:rsidR="007B7BF9">
        <w:rPr>
          <w:sz w:val="20"/>
        </w:rPr>
        <w:t>9</w:t>
      </w:r>
      <w:r w:rsidRPr="008C64F6">
        <w:rPr>
          <w:sz w:val="20"/>
        </w:rPr>
        <w:t xml:space="preserve"> (filed </w:t>
      </w:r>
      <w:r w:rsidRPr="008C64F6" w:rsidR="00AA15BE">
        <w:rPr>
          <w:sz w:val="20"/>
        </w:rPr>
        <w:t xml:space="preserve">Mar. </w:t>
      </w:r>
      <w:r w:rsidRPr="008C64F6" w:rsidR="007B7BF9">
        <w:rPr>
          <w:sz w:val="20"/>
        </w:rPr>
        <w:t>7</w:t>
      </w:r>
      <w:r w:rsidRPr="008C64F6">
        <w:rPr>
          <w:sz w:val="20"/>
        </w:rPr>
        <w:t>, 202</w:t>
      </w:r>
      <w:r w:rsidRPr="008C64F6" w:rsidR="005347B2">
        <w:rPr>
          <w:sz w:val="20"/>
        </w:rPr>
        <w:t>5</w:t>
      </w:r>
      <w:r w:rsidRPr="008C64F6">
        <w:rPr>
          <w:sz w:val="20"/>
        </w:rPr>
        <w:t>) (Application).</w:t>
      </w:r>
      <w:r w:rsidRPr="008C64F6" w:rsidR="00AA15BE">
        <w:rPr>
          <w:sz w:val="20"/>
        </w:rPr>
        <w:t xml:space="preserve">  </w:t>
      </w:r>
      <w:r w:rsidRPr="008C64F6" w:rsidR="006A556F">
        <w:rPr>
          <w:sz w:val="20"/>
        </w:rPr>
        <w:t xml:space="preserve">Any action on the </w:t>
      </w:r>
      <w:r w:rsidRPr="008C64F6" w:rsidR="00224260">
        <w:rPr>
          <w:sz w:val="20"/>
        </w:rPr>
        <w:t>Application</w:t>
      </w:r>
      <w:r w:rsidRPr="008C64F6" w:rsidR="006A556F">
        <w:rPr>
          <w:sz w:val="20"/>
        </w:rPr>
        <w:t xml:space="preserve"> is without prejudice to Commission action on </w:t>
      </w:r>
      <w:r w:rsidRPr="008C64F6" w:rsidR="004022F8">
        <w:rPr>
          <w:sz w:val="20"/>
        </w:rPr>
        <w:t>other pending applications.</w:t>
      </w:r>
    </w:p>
  </w:footnote>
  <w:footnote w:id="5">
    <w:p w:rsidR="00B32FA0" w:rsidRPr="008C64F6" w:rsidP="00060692" w14:paraId="12E36A3E" w14:textId="40A99866">
      <w:pPr>
        <w:pStyle w:val="FootnoteText"/>
        <w:rPr>
          <w:i/>
          <w:iCs/>
        </w:rPr>
      </w:pPr>
      <w:r w:rsidRPr="008C64F6">
        <w:rPr>
          <w:rStyle w:val="FootnoteReference"/>
          <w:sz w:val="20"/>
        </w:rPr>
        <w:footnoteRef/>
      </w:r>
      <w:r w:rsidRPr="008C64F6">
        <w:t xml:space="preserve"> </w:t>
      </w:r>
      <w:r w:rsidRPr="008C64F6" w:rsidR="00060692">
        <w:t xml:space="preserve">Application at 2.  </w:t>
      </w:r>
      <w:r w:rsidRPr="008C64F6" w:rsidR="003637C1">
        <w:t>IdeaTek</w:t>
      </w:r>
      <w:r w:rsidRPr="008C64F6" w:rsidR="003637C1">
        <w:t xml:space="preserve"> Telecom </w:t>
      </w:r>
      <w:r w:rsidRPr="008C64F6" w:rsidR="00060692">
        <w:t xml:space="preserve">currently holds blanket domestic section 214 authority to provide interstate </w:t>
      </w:r>
      <w:r w:rsidRPr="00060692" w:rsidR="00060692">
        <w:t>telecommunications services and 75 wireless non-common carrier licenses issued by the</w:t>
      </w:r>
      <w:r w:rsidRPr="008C64F6" w:rsidR="00060692">
        <w:t xml:space="preserve"> Commission.  </w:t>
      </w:r>
      <w:r w:rsidRPr="008C64F6" w:rsidR="0010016E">
        <w:rPr>
          <w:i/>
          <w:iCs/>
        </w:rPr>
        <w:t>Id.</w:t>
      </w:r>
    </w:p>
  </w:footnote>
  <w:footnote w:id="6">
    <w:p w:rsidR="004072C8" w:rsidRPr="008C64F6" w:rsidP="00993A89" w14:paraId="6FC16968" w14:textId="03018ECA">
      <w:pPr>
        <w:pStyle w:val="FootnoteText"/>
      </w:pPr>
      <w:r w:rsidRPr="008C64F6">
        <w:rPr>
          <w:rStyle w:val="FootnoteReference"/>
          <w:sz w:val="20"/>
        </w:rPr>
        <w:footnoteRef/>
      </w:r>
      <w:r w:rsidRPr="008C64F6">
        <w:t xml:space="preserve"> </w:t>
      </w:r>
      <w:r w:rsidRPr="008C64F6">
        <w:rPr>
          <w:i/>
          <w:iCs/>
        </w:rPr>
        <w:t>Id.</w:t>
      </w:r>
      <w:r w:rsidRPr="008C64F6" w:rsidR="00E3649E">
        <w:rPr>
          <w:i/>
          <w:iCs/>
        </w:rPr>
        <w:t xml:space="preserve"> Id. </w:t>
      </w:r>
      <w:r w:rsidRPr="008C64F6" w:rsidR="00E3649E">
        <w:t>at 3</w:t>
      </w:r>
      <w:r w:rsidRPr="008C64F6" w:rsidR="00993A89">
        <w:t xml:space="preserve">; </w:t>
      </w:r>
      <w:r w:rsidRPr="008C64F6" w:rsidR="00993A89">
        <w:rPr>
          <w:i/>
          <w:iCs/>
        </w:rPr>
        <w:t xml:space="preserve">see also Connect America Fund Phase II Auction Support Authorized for 856 Winning Bids, </w:t>
      </w:r>
      <w:r w:rsidRPr="008C64F6" w:rsidR="00993A89">
        <w:t xml:space="preserve">Public Notice, AU Docket No. 17-182, WC Docket No. 10-90, </w:t>
      </w:r>
      <w:r w:rsidRPr="008C64F6" w:rsidR="00345C04">
        <w:t xml:space="preserve">34 FCC </w:t>
      </w:r>
      <w:r w:rsidRPr="008C64F6" w:rsidR="00345C04">
        <w:t>Rcd</w:t>
      </w:r>
      <w:r w:rsidRPr="008C64F6" w:rsidR="00345C04">
        <w:t xml:space="preserve"> 4725</w:t>
      </w:r>
      <w:r w:rsidR="009F6DB2">
        <w:t>,</w:t>
      </w:r>
      <w:r w:rsidRPr="008C64F6" w:rsidR="00993A89">
        <w:t xml:space="preserve"> </w:t>
      </w:r>
      <w:r w:rsidR="009F6DB2">
        <w:t>4743-44</w:t>
      </w:r>
      <w:r w:rsidR="00FB3D7B">
        <w:t xml:space="preserve">, </w:t>
      </w:r>
      <w:r w:rsidRPr="008C64F6" w:rsidR="005E462A">
        <w:t xml:space="preserve"> </w:t>
      </w:r>
      <w:r w:rsidR="00FB3D7B">
        <w:t xml:space="preserve">Attach. </w:t>
      </w:r>
      <w:r w:rsidRPr="008C64F6" w:rsidR="00993A89">
        <w:t>(</w:t>
      </w:r>
      <w:r w:rsidRPr="008C64F6" w:rsidR="00890888">
        <w:t>WCB</w:t>
      </w:r>
      <w:r w:rsidRPr="008C64F6" w:rsidR="00993A89">
        <w:t xml:space="preserve"> 2019)</w:t>
      </w:r>
      <w:r w:rsidRPr="008C64F6" w:rsidR="00993A89">
        <w:rPr>
          <w:i/>
          <w:iCs/>
        </w:rPr>
        <w:t>.</w:t>
      </w:r>
    </w:p>
  </w:footnote>
  <w:footnote w:id="7">
    <w:p w:rsidR="00BC327F" w:rsidRPr="008C64F6" w14:paraId="5452C101" w14:textId="193B804A">
      <w:pPr>
        <w:pStyle w:val="FootnoteText"/>
      </w:pPr>
      <w:r w:rsidRPr="008C64F6">
        <w:rPr>
          <w:rStyle w:val="FootnoteReference"/>
          <w:sz w:val="20"/>
        </w:rPr>
        <w:footnoteRef/>
      </w:r>
      <w:r w:rsidRPr="008C64F6">
        <w:t xml:space="preserve"> </w:t>
      </w:r>
      <w:r w:rsidRPr="008C64F6">
        <w:rPr>
          <w:i/>
        </w:rPr>
        <w:t xml:space="preserve">Id. </w:t>
      </w:r>
      <w:r w:rsidRPr="008C64F6">
        <w:rPr>
          <w:iCs/>
        </w:rPr>
        <w:t>at 3</w:t>
      </w:r>
      <w:r w:rsidRPr="008C64F6" w:rsidR="00993A89">
        <w:rPr>
          <w:iCs/>
        </w:rPr>
        <w:t xml:space="preserve">; </w:t>
      </w:r>
      <w:r w:rsidRPr="008C64F6" w:rsidR="00993A89">
        <w:rPr>
          <w:i/>
        </w:rPr>
        <w:t xml:space="preserve">see also </w:t>
      </w:r>
      <w:r w:rsidRPr="008C64F6" w:rsidR="00B82934">
        <w:rPr>
          <w:i/>
          <w:iCs/>
        </w:rPr>
        <w:t>Rural Digital Opportunity Fund Phase II Auction Support Authorized for 5,657 Winning Bids</w:t>
      </w:r>
      <w:r w:rsidRPr="008C64F6" w:rsidR="00B82934">
        <w:rPr>
          <w:i/>
        </w:rPr>
        <w:t>,</w:t>
      </w:r>
      <w:r w:rsidRPr="008C64F6" w:rsidR="00B82934">
        <w:rPr>
          <w:iCs/>
        </w:rPr>
        <w:t xml:space="preserve"> Public Notice, AU Docket No. 20-34, WC Docket No. 10-90,</w:t>
      </w:r>
      <w:r w:rsidRPr="008C64F6" w:rsidR="005E462A">
        <w:rPr>
          <w:iCs/>
        </w:rPr>
        <w:t xml:space="preserve"> 37 FCC </w:t>
      </w:r>
      <w:r w:rsidRPr="008C64F6" w:rsidR="005E462A">
        <w:rPr>
          <w:iCs/>
        </w:rPr>
        <w:t>Rcd</w:t>
      </w:r>
      <w:r w:rsidRPr="008C64F6" w:rsidR="005E462A">
        <w:rPr>
          <w:iCs/>
        </w:rPr>
        <w:t xml:space="preserve"> 3570</w:t>
      </w:r>
      <w:r w:rsidR="001B2691">
        <w:rPr>
          <w:iCs/>
        </w:rPr>
        <w:t>, 3687, Attach.</w:t>
      </w:r>
      <w:r w:rsidR="00D550EE">
        <w:rPr>
          <w:iCs/>
        </w:rPr>
        <w:t xml:space="preserve"> </w:t>
      </w:r>
      <w:r w:rsidRPr="008C64F6" w:rsidR="00B82934">
        <w:rPr>
          <w:iCs/>
        </w:rPr>
        <w:t>(</w:t>
      </w:r>
      <w:r w:rsidRPr="008C64F6" w:rsidR="005E462A">
        <w:rPr>
          <w:iCs/>
        </w:rPr>
        <w:t>WCB</w:t>
      </w:r>
      <w:r w:rsidRPr="008C64F6" w:rsidR="00B82934">
        <w:rPr>
          <w:iCs/>
        </w:rPr>
        <w:t xml:space="preserve"> 2022).</w:t>
      </w:r>
      <w:r w:rsidRPr="008C64F6" w:rsidR="00713365">
        <w:rPr>
          <w:iCs/>
        </w:rPr>
        <w:t xml:space="preserve">  Applicants state that </w:t>
      </w:r>
      <w:r w:rsidRPr="008C64F6" w:rsidR="00713365">
        <w:rPr>
          <w:iCs/>
        </w:rPr>
        <w:t>IdeaTek</w:t>
      </w:r>
      <w:r w:rsidRPr="008C64F6" w:rsidR="00713365">
        <w:rPr>
          <w:iCs/>
        </w:rPr>
        <w:t xml:space="preserve"> also </w:t>
      </w:r>
      <w:r w:rsidRPr="008C64F6" w:rsidR="00647100">
        <w:rPr>
          <w:iCs/>
        </w:rPr>
        <w:t xml:space="preserve">participates in the </w:t>
      </w:r>
      <w:r w:rsidRPr="008C64F6" w:rsidR="00713365">
        <w:t xml:space="preserve">E-Rate, Rural Health Care, and Lifeline programs </w:t>
      </w:r>
      <w:r w:rsidRPr="008C64F6" w:rsidR="00647100">
        <w:t xml:space="preserve">and </w:t>
      </w:r>
      <w:r w:rsidRPr="008C64F6" w:rsidR="00713365">
        <w:t xml:space="preserve">previously participated in the </w:t>
      </w:r>
      <w:r w:rsidR="00330C02">
        <w:t xml:space="preserve">discontinued </w:t>
      </w:r>
      <w:r w:rsidRPr="008C64F6" w:rsidR="00713365">
        <w:t>Affordable Connectivity Program.</w:t>
      </w:r>
      <w:r w:rsidRPr="008C64F6" w:rsidR="00647100">
        <w:t xml:space="preserve">  </w:t>
      </w:r>
      <w:r w:rsidRPr="008C64F6" w:rsidR="00A964DA">
        <w:t>Application</w:t>
      </w:r>
      <w:r w:rsidRPr="008C64F6" w:rsidR="00647100">
        <w:rPr>
          <w:i/>
          <w:iCs/>
        </w:rPr>
        <w:t xml:space="preserve"> </w:t>
      </w:r>
      <w:r w:rsidRPr="008C64F6" w:rsidR="00647100">
        <w:t>at 10.</w:t>
      </w:r>
    </w:p>
  </w:footnote>
  <w:footnote w:id="8">
    <w:p w:rsidR="00DF4BD1" w:rsidRPr="008C64F6" w:rsidP="00DF4BD1" w14:paraId="268068D0" w14:textId="123BF989">
      <w:pPr>
        <w:pStyle w:val="FootnoteText"/>
      </w:pPr>
      <w:r w:rsidRPr="008C64F6">
        <w:rPr>
          <w:rStyle w:val="FootnoteReference"/>
          <w:sz w:val="20"/>
        </w:rPr>
        <w:footnoteRef/>
      </w:r>
      <w:r w:rsidRPr="008C64F6">
        <w:t xml:space="preserve"> </w:t>
      </w:r>
      <w:r w:rsidRPr="008C64F6">
        <w:rPr>
          <w:i/>
          <w:iCs/>
        </w:rPr>
        <w:t>Id.</w:t>
      </w:r>
      <w:r w:rsidRPr="008C64F6">
        <w:t xml:space="preserve"> at 1-2.  </w:t>
      </w:r>
      <w:r w:rsidRPr="008E45DF" w:rsidR="000818F1">
        <w:t>Last Dance Intermediate II</w:t>
      </w:r>
      <w:r w:rsidRPr="008C64F6" w:rsidR="00A4604D">
        <w:t>, LLC</w:t>
      </w:r>
      <w:r w:rsidRPr="008C64F6" w:rsidR="00EC19F3">
        <w:t xml:space="preserve">, </w:t>
      </w:r>
      <w:r w:rsidRPr="008C64F6" w:rsidR="00FC1777">
        <w:t>a</w:t>
      </w:r>
      <w:r w:rsidRPr="008C64F6" w:rsidR="00381A0C">
        <w:t>lso a</w:t>
      </w:r>
      <w:r w:rsidRPr="008C64F6" w:rsidR="005F1024">
        <w:t xml:space="preserve">n indirect wholly owned </w:t>
      </w:r>
      <w:r w:rsidRPr="008C64F6" w:rsidR="006B2DB2">
        <w:t>subsidiary of Last Dance Holdings</w:t>
      </w:r>
      <w:r w:rsidRPr="008C64F6" w:rsidR="00944BFA">
        <w:t xml:space="preserve">, </w:t>
      </w:r>
      <w:r w:rsidRPr="008C64F6" w:rsidR="000818F1">
        <w:t>recently acquired Socket</w:t>
      </w:r>
      <w:r w:rsidRPr="008C64F6" w:rsidR="003966CF">
        <w:t xml:space="preserve"> Telecom, LLC</w:t>
      </w:r>
      <w:r w:rsidRPr="008C64F6" w:rsidR="00655990">
        <w:t xml:space="preserve"> (Socket Telecom)</w:t>
      </w:r>
      <w:r w:rsidRPr="008C64F6" w:rsidR="0047788C">
        <w:t xml:space="preserve">, a provider of interstate and intrastate local exchange and </w:t>
      </w:r>
      <w:r w:rsidRPr="0047788C" w:rsidR="0047788C">
        <w:t>interexchange telecommunications services in Arkansas, Kansas, Missouri, and Oklahoma, and</w:t>
      </w:r>
      <w:r w:rsidRPr="008C64F6" w:rsidR="0047788C">
        <w:t xml:space="preserve"> also is authorized to provide video service and holds ETC designation </w:t>
      </w:r>
      <w:r w:rsidRPr="008C64F6" w:rsidR="00173DE2">
        <w:t xml:space="preserve">and receives RDOF support </w:t>
      </w:r>
      <w:r w:rsidRPr="008C64F6" w:rsidR="0047788C">
        <w:t>in Missouri</w:t>
      </w:r>
      <w:r w:rsidRPr="008C64F6" w:rsidR="002A5DA5">
        <w:t xml:space="preserve">.  </w:t>
      </w:r>
      <w:r w:rsidRPr="008C64F6" w:rsidR="002A5DA5">
        <w:rPr>
          <w:i/>
          <w:iCs/>
        </w:rPr>
        <w:t xml:space="preserve">Id. </w:t>
      </w:r>
      <w:r w:rsidRPr="008C64F6" w:rsidR="002A5DA5">
        <w:t xml:space="preserve">at 13; </w:t>
      </w:r>
      <w:r w:rsidRPr="008C64F6" w:rsidR="00361117">
        <w:rPr>
          <w:i/>
          <w:iCs/>
        </w:rPr>
        <w:t>see also</w:t>
      </w:r>
      <w:r w:rsidRPr="008C64F6" w:rsidR="009E5697">
        <w:rPr>
          <w:i/>
          <w:iCs/>
        </w:rPr>
        <w:t xml:space="preserve"> Domestic 214 Application Granted for the Transfer of Control of Socket Telecom, LLC to Last Dance Intermediate II, LLC</w:t>
      </w:r>
      <w:r w:rsidRPr="008C64F6" w:rsidR="009E5697">
        <w:t>, Public Notice, WC Docket No. 25-7</w:t>
      </w:r>
      <w:r w:rsidRPr="008C64F6" w:rsidR="00A16C06">
        <w:t>, DA 25-221 (WCB 2025)</w:t>
      </w:r>
      <w:r w:rsidRPr="008C64F6" w:rsidR="00667198">
        <w:t>.</w:t>
      </w:r>
    </w:p>
  </w:footnote>
  <w:footnote w:id="9">
    <w:p w:rsidR="00DF4BD1" w:rsidRPr="008C64F6" w:rsidP="00DF4BD1" w14:paraId="2741BC18" w14:textId="0B2E2A87">
      <w:pPr>
        <w:pStyle w:val="FootnoteText"/>
        <w:tabs>
          <w:tab w:val="left" w:pos="1798"/>
        </w:tabs>
      </w:pPr>
      <w:r w:rsidRPr="008C64F6">
        <w:rPr>
          <w:rStyle w:val="FootnoteReference"/>
          <w:sz w:val="20"/>
        </w:rPr>
        <w:footnoteRef/>
      </w:r>
      <w:r w:rsidRPr="008C64F6">
        <w:t xml:space="preserve"> </w:t>
      </w:r>
      <w:r w:rsidRPr="008C64F6">
        <w:rPr>
          <w:i/>
          <w:iCs/>
        </w:rPr>
        <w:t xml:space="preserve">Id. </w:t>
      </w:r>
      <w:r w:rsidRPr="008C64F6">
        <w:t>at 2</w:t>
      </w:r>
      <w:r w:rsidRPr="008C64F6" w:rsidR="009965BE">
        <w:t xml:space="preserve">; </w:t>
      </w:r>
      <w:r w:rsidRPr="008C64F6" w:rsidR="009965BE">
        <w:rPr>
          <w:i/>
          <w:iCs/>
        </w:rPr>
        <w:t xml:space="preserve">see also </w:t>
      </w:r>
      <w:r w:rsidRPr="005945D7" w:rsidR="009965BE">
        <w:rPr>
          <w:i/>
          <w:iCs/>
        </w:rPr>
        <w:t xml:space="preserve">id. </w:t>
      </w:r>
      <w:r w:rsidRPr="005945D7" w:rsidR="009965BE">
        <w:t xml:space="preserve">at </w:t>
      </w:r>
      <w:r w:rsidRPr="005945D7" w:rsidR="009965BE">
        <w:t>Exh</w:t>
      </w:r>
      <w:r w:rsidRPr="005945D7" w:rsidR="009965BE">
        <w:t xml:space="preserve">. A (Current and Post-Transaction Corporate Ownership Structure Charts) </w:t>
      </w:r>
      <w:r w:rsidRPr="005945D7" w:rsidR="00EF3B87">
        <w:t>at 3</w:t>
      </w:r>
      <w:r w:rsidRPr="005945D7" w:rsidR="00EF201F">
        <w:t xml:space="preserve"> </w:t>
      </w:r>
      <w:r w:rsidRPr="005945D7" w:rsidR="009965BE">
        <w:t xml:space="preserve">and </w:t>
      </w:r>
      <w:r w:rsidRPr="005945D7" w:rsidR="009965BE">
        <w:t>Exh</w:t>
      </w:r>
      <w:r w:rsidRPr="005945D7" w:rsidR="009965BE">
        <w:t>. B (Post-Transaction Ownership Structure of the Licensee</w:t>
      </w:r>
      <w:r w:rsidRPr="00C90866" w:rsidR="009965BE">
        <w:t>)</w:t>
      </w:r>
      <w:r w:rsidRPr="00C90866" w:rsidR="0049722C">
        <w:t xml:space="preserve"> a</w:t>
      </w:r>
      <w:r w:rsidRPr="008C64F6" w:rsidR="0049722C">
        <w:t>t 5-6</w:t>
      </w:r>
      <w:r w:rsidRPr="008C64F6">
        <w:t xml:space="preserve">.  </w:t>
      </w:r>
      <w:bookmarkStart w:id="8" w:name="_Hlk192518828"/>
      <w:r w:rsidRPr="008C64F6">
        <w:t xml:space="preserve">Applicants provide information on the following providers of domestic telecommunications services that are affiliates of Oak Hill:  (1) </w:t>
      </w:r>
      <w:r w:rsidRPr="008C64F6">
        <w:t>Otelco</w:t>
      </w:r>
      <w:r w:rsidRPr="008C64F6">
        <w:t>, Inc. (</w:t>
      </w:r>
      <w:r w:rsidRPr="008C64F6">
        <w:t>Otelco</w:t>
      </w:r>
      <w:r w:rsidRPr="008C64F6">
        <w:t xml:space="preserve">), which, through its subsidiaries, provides rural incumbent (LEC) services, competitive LEC services, resold and interexchange telecommunications services, or cable television services in various states including Alabama, Maine, Massachusetts, Missouri, New Hampshire, Vermont, and West Virginia; (2) Ontario Telephone Company, Inc. (OTC) and Trumansburg Telephone Company, Inc. (TTC), both providers of rural incumbent LEC services in New York, and Finger Lakes Communications Group Inc. (FLCG), a provider of resold intrastate and interstate international long distance services within the areas served by OTC and TTC with authority to also provide competitive LEC services in New York; (3) </w:t>
      </w:r>
      <w:r w:rsidRPr="008C64F6">
        <w:t>Netspeed</w:t>
      </w:r>
      <w:r w:rsidRPr="008C64F6">
        <w:t>, LLC (</w:t>
      </w:r>
      <w:r w:rsidRPr="008C64F6">
        <w:t>Netspeed</w:t>
      </w:r>
      <w:r w:rsidRPr="008C64F6">
        <w:t xml:space="preserve">), a provider of fiber-optic Internet services in more than 15 communities in Connecticut and Pennsylvania, and </w:t>
      </w:r>
      <w:r w:rsidRPr="008C64F6">
        <w:t>Netspeed’s</w:t>
      </w:r>
      <w:r w:rsidRPr="008C64F6">
        <w:t xml:space="preserve"> subsidiary, </w:t>
      </w:r>
      <w:r w:rsidRPr="008C64F6">
        <w:t>Netspeed</w:t>
      </w:r>
      <w:r w:rsidRPr="008C64F6">
        <w:t xml:space="preserve"> Management, Inc., authorized provide intrastate telecommunications services in New York; (4) Race Telecommunications, LLC (Race Telecom), a provider of communications services in the Kern, Mono, Nevada County, San Bernardino, San Francisco, Los Angeles, and San Diego counties of California; and (5) Metronet Holdings, LLC (Metronet Holdings), which, through its subsidiaries Metro Fibernet, LLC (MFN), Climax Telephone LLC (Climax), CMN-RUS, LLC (CMN-RUS), Jaguar Communications (Jaguar), and </w:t>
      </w:r>
      <w:r w:rsidRPr="008C64F6">
        <w:t>Vexus</w:t>
      </w:r>
      <w:r w:rsidRPr="008C64F6">
        <w:t xml:space="preserve"> Fiber, LLC (</w:t>
      </w:r>
      <w:r w:rsidRPr="008C64F6">
        <w:t>Vexus</w:t>
      </w:r>
      <w:r w:rsidRPr="008C64F6">
        <w:t xml:space="preserve">) (Metronet Holdings, MFN, Climax, CMN-RUS, Jaguar, and </w:t>
      </w:r>
      <w:r w:rsidRPr="008C64F6">
        <w:t>Vexus</w:t>
      </w:r>
      <w:r w:rsidRPr="008C64F6">
        <w:t xml:space="preserve">, collectively, Metronet) provides or is authorized to provide telecommunications services and communications services in certain portions of Arizona, Colorado, Florida, Illinois, Indiana, Iowa, Kentucky, Louisiana, Michigan, Minnesota, Missouri, Nebraska, New Mexico, North Carolina, Ohio, Texas, Virginia, and Wisconsin.  </w:t>
      </w:r>
      <w:r w:rsidRPr="008C64F6">
        <w:rPr>
          <w:i/>
          <w:iCs/>
        </w:rPr>
        <w:t>Id.</w:t>
      </w:r>
      <w:r w:rsidRPr="008C64F6">
        <w:t xml:space="preserve"> at 1</w:t>
      </w:r>
      <w:r w:rsidRPr="008C64F6" w:rsidR="004B03DB">
        <w:t>0</w:t>
      </w:r>
      <w:r w:rsidRPr="008C64F6">
        <w:t>-1</w:t>
      </w:r>
      <w:r w:rsidRPr="008C64F6" w:rsidR="004B03DB">
        <w:t>3</w:t>
      </w:r>
      <w:r w:rsidRPr="008C64F6">
        <w:t xml:space="preserve">.  An application for the transfer of control of Metronet to </w:t>
      </w:r>
      <w:r w:rsidRPr="008C64F6">
        <w:t>MetroNet</w:t>
      </w:r>
      <w:r w:rsidRPr="008C64F6">
        <w:t xml:space="preserve"> Systems Holdings, LLC is currently pending before the Commission in which, following the consummation of that transaction, Oak Hill will no longer hold a 10% or greater interest in Metronet.  </w:t>
      </w:r>
      <w:r w:rsidRPr="008C64F6">
        <w:rPr>
          <w:i/>
          <w:iCs/>
        </w:rPr>
        <w:t xml:space="preserve">See Domestic Section 214 Application Filed for the Transfer of Control of the Subsidiaries of Metronet Holdings, LLC to Metronet Systems Holdings, LLC, </w:t>
      </w:r>
      <w:r w:rsidRPr="008C64F6">
        <w:t>Public Notice, WC Docket No. 24-244, DA 24-970 (WCB 2024);</w:t>
      </w:r>
      <w:bookmarkEnd w:id="8"/>
      <w:r w:rsidRPr="008C64F6">
        <w:t xml:space="preserve"> s</w:t>
      </w:r>
      <w:r w:rsidRPr="008C64F6">
        <w:rPr>
          <w:i/>
          <w:iCs/>
        </w:rPr>
        <w:t xml:space="preserve">ee also </w:t>
      </w:r>
      <w:r w:rsidRPr="008C64F6">
        <w:t>Application at n.1</w:t>
      </w:r>
      <w:r w:rsidRPr="008C64F6" w:rsidR="004918B4">
        <w:t>8</w:t>
      </w:r>
      <w:r w:rsidRPr="008C64F6">
        <w:t>.  Applicants also provide information on entities which are affiliates of Oak Hill that do not provide telecommunications services nor hold FCC licenses.  Application at 11.</w:t>
      </w:r>
    </w:p>
  </w:footnote>
  <w:footnote w:id="10">
    <w:p w:rsidR="00DF4BD1" w:rsidRPr="008C64F6" w:rsidP="00DF4BD1" w14:paraId="1FD9B7F7" w14:textId="79F2FA88">
      <w:pPr>
        <w:pStyle w:val="FootnoteText"/>
      </w:pPr>
      <w:r w:rsidRPr="008C64F6">
        <w:rPr>
          <w:rStyle w:val="FootnoteReference"/>
          <w:sz w:val="20"/>
        </w:rPr>
        <w:footnoteRef/>
      </w:r>
      <w:r w:rsidRPr="008C64F6">
        <w:t xml:space="preserve"> Application at 2</w:t>
      </w:r>
      <w:r w:rsidRPr="008C64F6" w:rsidR="00E50A77">
        <w:t xml:space="preserve">; </w:t>
      </w:r>
      <w:r w:rsidRPr="008C64F6" w:rsidR="00C35804">
        <w:rPr>
          <w:i/>
          <w:iCs/>
        </w:rPr>
        <w:t>see also id.</w:t>
      </w:r>
      <w:r w:rsidRPr="008C64F6" w:rsidR="003769DD">
        <w:t xml:space="preserve"> at</w:t>
      </w:r>
      <w:r w:rsidRPr="008C64F6" w:rsidR="00C35804">
        <w:t xml:space="preserve"> </w:t>
      </w:r>
      <w:r w:rsidRPr="008C64F6" w:rsidR="00EF201F">
        <w:t>Exh</w:t>
      </w:r>
      <w:r w:rsidRPr="008C64F6" w:rsidR="00EF201F">
        <w:t>. A at 5</w:t>
      </w:r>
      <w:r w:rsidRPr="008C64F6" w:rsidR="00C35804">
        <w:t xml:space="preserve"> and</w:t>
      </w:r>
      <w:r w:rsidRPr="008C64F6" w:rsidR="00EF201F">
        <w:t xml:space="preserve"> </w:t>
      </w:r>
      <w:r w:rsidRPr="008C64F6" w:rsidR="007A3973">
        <w:t>Exh</w:t>
      </w:r>
      <w:r w:rsidRPr="008C64F6" w:rsidR="007A3973">
        <w:t>. B at 9-10</w:t>
      </w:r>
      <w:r w:rsidRPr="008C64F6">
        <w:t>.</w:t>
      </w:r>
    </w:p>
  </w:footnote>
  <w:footnote w:id="11">
    <w:p w:rsidR="00DF4BD1" w:rsidRPr="008C64F6" w:rsidP="00DF4BD1" w14:paraId="7E735100" w14:textId="2B55726A">
      <w:pPr>
        <w:pStyle w:val="FootnoteText"/>
      </w:pPr>
      <w:r w:rsidRPr="008C64F6">
        <w:rPr>
          <w:rStyle w:val="FootnoteReference"/>
          <w:sz w:val="20"/>
        </w:rPr>
        <w:footnoteRef/>
      </w:r>
      <w:r w:rsidRPr="008C64F6">
        <w:t xml:space="preserve"> </w:t>
      </w:r>
      <w:r w:rsidRPr="008C64F6">
        <w:rPr>
          <w:i/>
          <w:iCs/>
        </w:rPr>
        <w:t>Id.</w:t>
      </w:r>
      <w:r w:rsidRPr="008C64F6">
        <w:t xml:space="preserve"> </w:t>
      </w:r>
      <w:r w:rsidRPr="008C64F6" w:rsidR="00C35804">
        <w:t xml:space="preserve">at 2. </w:t>
      </w:r>
      <w:r w:rsidRPr="008C64F6">
        <w:t xml:space="preserve"> Following the consummation of the proposed transaction, the following Delaware entities and U.S. citizen will hold a 10% or greater interest in Last Dance Holdings:  (1) OHDOP Last Dance Aggregator, L.P. (OHDOP Last Dance Aggregator) (37.58% equity and voting); (2) Pamlico Last Dance Aggregator, L.P. (Pamlico Last Dance Aggregator) (37.58% equity and voting); and (3) George A. </w:t>
      </w:r>
      <w:r w:rsidRPr="008C64F6">
        <w:t>Pfenenger</w:t>
      </w:r>
      <w:r w:rsidRPr="008C64F6">
        <w:t xml:space="preserve"> (18.90% equity and voting).  </w:t>
      </w:r>
      <w:r w:rsidRPr="008C64F6">
        <w:rPr>
          <w:i/>
          <w:iCs/>
        </w:rPr>
        <w:t xml:space="preserve">Id. </w:t>
      </w:r>
      <w:r w:rsidRPr="008C64F6">
        <w:t xml:space="preserve">at </w:t>
      </w:r>
      <w:r w:rsidRPr="008C64F6">
        <w:t>Exh</w:t>
      </w:r>
      <w:r w:rsidRPr="008C64F6">
        <w:t xml:space="preserve">. A at 2 and </w:t>
      </w:r>
      <w:r w:rsidRPr="008C64F6">
        <w:t>Exh</w:t>
      </w:r>
      <w:r w:rsidRPr="008C64F6">
        <w:t xml:space="preserve">. B at </w:t>
      </w:r>
      <w:r w:rsidRPr="008C64F6" w:rsidR="00880C26">
        <w:t>3-4</w:t>
      </w:r>
      <w:r w:rsidRPr="008C64F6">
        <w:t xml:space="preserve">.  The general partner of Last Dance Holdings will be Last Dance Holdings GP, LLC, in which OHDOP Last Dance Aggregator and Pamlico Last Dance Aggregator will each hold 50% of the voting and equity interest.  </w:t>
      </w:r>
      <w:r w:rsidRPr="008C64F6">
        <w:rPr>
          <w:i/>
          <w:iCs/>
        </w:rPr>
        <w:t xml:space="preserve">Id. </w:t>
      </w:r>
      <w:r w:rsidRPr="008C64F6">
        <w:t xml:space="preserve">at </w:t>
      </w:r>
      <w:r w:rsidRPr="008C64F6">
        <w:t>Exh</w:t>
      </w:r>
      <w:r w:rsidRPr="008C64F6">
        <w:t xml:space="preserve">. A at 2 and </w:t>
      </w:r>
      <w:r w:rsidRPr="008C64F6">
        <w:t>Exh</w:t>
      </w:r>
      <w:r w:rsidRPr="008C64F6">
        <w:t xml:space="preserve">. B at </w:t>
      </w:r>
      <w:r w:rsidRPr="008C64F6" w:rsidR="001D4410">
        <w:t>4</w:t>
      </w:r>
      <w:r w:rsidRPr="008C64F6">
        <w:t>.</w:t>
      </w:r>
      <w:r w:rsidRPr="008C64F6">
        <w:rPr>
          <w:i/>
          <w:iCs/>
        </w:rPr>
        <w:t xml:space="preserve">  </w:t>
      </w:r>
      <w:r w:rsidRPr="008C64F6">
        <w:t xml:space="preserve">OHDOP Last Dance Aggregator is ultimately held by Brian Cherry, Steven G. Puccinelli, and Tyler Wolfram, each of whom are U.S. citizens and limited partners of OHDOP Last Dance Aggregator.  </w:t>
      </w:r>
      <w:r w:rsidRPr="008C64F6">
        <w:rPr>
          <w:i/>
          <w:iCs/>
        </w:rPr>
        <w:t xml:space="preserve">Id. </w:t>
      </w:r>
      <w:r w:rsidRPr="008C64F6">
        <w:t xml:space="preserve">at </w:t>
      </w:r>
      <w:r w:rsidRPr="008C64F6">
        <w:t>Exh</w:t>
      </w:r>
      <w:r w:rsidRPr="008C64F6">
        <w:t xml:space="preserve">. A at 4 and </w:t>
      </w:r>
      <w:r w:rsidRPr="008C64F6">
        <w:t>Exh</w:t>
      </w:r>
      <w:r w:rsidRPr="008C64F6">
        <w:t xml:space="preserve">. B at </w:t>
      </w:r>
      <w:r w:rsidRPr="008C64F6" w:rsidR="00301327">
        <w:t>9</w:t>
      </w:r>
      <w:r w:rsidRPr="008C64F6">
        <w:t xml:space="preserve">.  Pamlico Last Dance Aggregator is ultimately held by Scott B. Perper, L. Watts Hamrick III, Frederick W. Eubank II, Arthur C. Roselle, Scott R. Stevens, Walker C. Simmons, and Eric J. Wilkins, each U.S. citizens. </w:t>
      </w:r>
      <w:r w:rsidRPr="008C64F6">
        <w:rPr>
          <w:i/>
          <w:iCs/>
        </w:rPr>
        <w:t xml:space="preserve"> Id.</w:t>
      </w:r>
      <w:r w:rsidRPr="008C64F6" w:rsidR="003769DD">
        <w:t xml:space="preserve"> at</w:t>
      </w:r>
      <w:r w:rsidRPr="008C64F6">
        <w:t xml:space="preserve"> </w:t>
      </w:r>
      <w:r w:rsidRPr="008C64F6">
        <w:t>Exh</w:t>
      </w:r>
      <w:r w:rsidRPr="008C64F6">
        <w:t xml:space="preserve">. A at </w:t>
      </w:r>
      <w:r w:rsidRPr="008C64F6" w:rsidR="00517AE1">
        <w:t>5</w:t>
      </w:r>
      <w:r w:rsidRPr="008C64F6">
        <w:t xml:space="preserve"> and </w:t>
      </w:r>
      <w:r w:rsidRPr="008C64F6">
        <w:t>Exh</w:t>
      </w:r>
      <w:r w:rsidRPr="008C64F6">
        <w:t xml:space="preserve">. B at </w:t>
      </w:r>
      <w:r w:rsidRPr="008C64F6" w:rsidR="00E144E6">
        <w:t>10</w:t>
      </w:r>
      <w:r w:rsidRPr="008C64F6">
        <w:t>.</w:t>
      </w:r>
    </w:p>
  </w:footnote>
  <w:footnote w:id="12">
    <w:p w:rsidR="00DF4BD1" w:rsidRPr="008C64F6" w:rsidP="00DF4BD1" w14:paraId="28F757C6" w14:textId="66C2B372">
      <w:pPr>
        <w:pStyle w:val="FootnoteText"/>
      </w:pPr>
      <w:r w:rsidRPr="008C64F6">
        <w:rPr>
          <w:rStyle w:val="FootnoteReference"/>
          <w:sz w:val="20"/>
        </w:rPr>
        <w:footnoteRef/>
      </w:r>
      <w:r w:rsidRPr="008C64F6">
        <w:t xml:space="preserve"> </w:t>
      </w:r>
      <w:r w:rsidR="00162D42">
        <w:t xml:space="preserve">Climax is </w:t>
      </w:r>
      <w:r w:rsidR="009D1937">
        <w:t xml:space="preserve">the only </w:t>
      </w:r>
      <w:r w:rsidRPr="008C64F6">
        <w:t>Oak Hill</w:t>
      </w:r>
      <w:r w:rsidR="00162D42">
        <w:t xml:space="preserve"> affiliate</w:t>
      </w:r>
      <w:r w:rsidRPr="008C64F6">
        <w:t xml:space="preserve"> that receive</w:t>
      </w:r>
      <w:r w:rsidR="000B0E80">
        <w:t>s</w:t>
      </w:r>
      <w:r w:rsidRPr="008C64F6">
        <w:t xml:space="preserve"> </w:t>
      </w:r>
      <w:r w:rsidRPr="00162D42">
        <w:t xml:space="preserve">CAF-BLS </w:t>
      </w:r>
      <w:r w:rsidRPr="002446CF">
        <w:t>support</w:t>
      </w:r>
      <w:r w:rsidRPr="008C64F6">
        <w:t xml:space="preserve">.  </w:t>
      </w:r>
      <w:r w:rsidRPr="008C64F6" w:rsidR="00E614F3">
        <w:rPr>
          <w:i/>
          <w:iCs/>
        </w:rPr>
        <w:t>Id.</w:t>
      </w:r>
      <w:r w:rsidRPr="008C64F6">
        <w:t xml:space="preserve"> at 1</w:t>
      </w:r>
      <w:r w:rsidRPr="008C64F6" w:rsidR="006027A4">
        <w:t>1</w:t>
      </w:r>
      <w:r w:rsidRPr="008C64F6">
        <w:t>, 12</w:t>
      </w:r>
      <w:r w:rsidR="00933247">
        <w:t xml:space="preserve">; </w:t>
      </w:r>
      <w:r w:rsidR="00933247">
        <w:rPr>
          <w:i/>
          <w:iCs/>
        </w:rPr>
        <w:t xml:space="preserve">see also supra </w:t>
      </w:r>
      <w:r w:rsidR="00933247">
        <w:t>note 7</w:t>
      </w:r>
      <w:r w:rsidRPr="008C64F6">
        <w:t>.</w:t>
      </w:r>
    </w:p>
  </w:footnote>
  <w:footnote w:id="13">
    <w:p w:rsidR="00B1107F" w:rsidRPr="008C64F6" w:rsidP="00DF4BD1" w14:paraId="18E99C9A" w14:textId="7F0BD135">
      <w:pPr>
        <w:pStyle w:val="FootnoteText"/>
      </w:pPr>
      <w:r w:rsidRPr="4B067A85">
        <w:rPr>
          <w:rStyle w:val="FootnoteReference"/>
          <w:sz w:val="20"/>
        </w:rPr>
        <w:footnoteRef/>
      </w:r>
      <w:r w:rsidRPr="008C64F6" w:rsidR="4B067A85">
        <w:t xml:space="preserve"> Oak Hill’s affiliate</w:t>
      </w:r>
      <w:r w:rsidR="4B067A85">
        <w:t xml:space="preserve">, </w:t>
      </w:r>
      <w:r w:rsidRPr="008C64F6" w:rsidR="4B067A85">
        <w:t>Otelco</w:t>
      </w:r>
      <w:r w:rsidR="4B067A85">
        <w:t xml:space="preserve">, has </w:t>
      </w:r>
      <w:r w:rsidRPr="008C64F6" w:rsidR="4B067A85">
        <w:t xml:space="preserve">11 rural LEC </w:t>
      </w:r>
      <w:r w:rsidR="4B067A85">
        <w:t>(RLEC) subsidiaries that are authorized to</w:t>
      </w:r>
      <w:r w:rsidRPr="008C64F6" w:rsidR="4B067A85">
        <w:t xml:space="preserve"> receive </w:t>
      </w:r>
      <w:r w:rsidR="4B067A85">
        <w:t xml:space="preserve">different forms of </w:t>
      </w:r>
      <w:r w:rsidRPr="008C64F6" w:rsidR="4B067A85">
        <w:t xml:space="preserve">ACAM support.  </w:t>
      </w:r>
      <w:r w:rsidRPr="4B067A85" w:rsidR="4B067A85">
        <w:rPr>
          <w:i/>
          <w:iCs/>
        </w:rPr>
        <w:t xml:space="preserve">Id. </w:t>
      </w:r>
      <w:r w:rsidRPr="008C64F6" w:rsidR="4B067A85">
        <w:t>at 10</w:t>
      </w:r>
      <w:r w:rsidR="4B067A85">
        <w:t xml:space="preserve">; </w:t>
      </w:r>
      <w:r w:rsidRPr="4B067A85" w:rsidR="4B067A85">
        <w:rPr>
          <w:i/>
          <w:iCs/>
        </w:rPr>
        <w:t xml:space="preserve">see also supra </w:t>
      </w:r>
      <w:r w:rsidR="4B067A85">
        <w:t>note 7</w:t>
      </w:r>
      <w:r w:rsidRPr="008C64F6" w:rsidR="4B067A85">
        <w:t>.</w:t>
      </w:r>
      <w:r w:rsidR="4B067A85">
        <w:t xml:space="preserve">  More specifically, the following seven </w:t>
      </w:r>
      <w:r w:rsidR="005B0FDA">
        <w:t xml:space="preserve">RLEC </w:t>
      </w:r>
      <w:r w:rsidR="4B067A85">
        <w:t xml:space="preserve">subsidiaries receive Enhanced ACAM support: </w:t>
      </w:r>
      <w:r w:rsidR="00330C02">
        <w:t>(</w:t>
      </w:r>
      <w:r w:rsidR="4B067A85">
        <w:t xml:space="preserve">1) Blountsville Telephone LLC, </w:t>
      </w:r>
      <w:r w:rsidR="00330C02">
        <w:t>(</w:t>
      </w:r>
      <w:r w:rsidR="4B067A85">
        <w:t xml:space="preserve">2) Brindle Mountain Telephone Company, </w:t>
      </w:r>
      <w:r w:rsidR="00330C02">
        <w:t>(</w:t>
      </w:r>
      <w:r w:rsidR="4B067A85">
        <w:t xml:space="preserve">3) Hopper Telecommunications LLC, </w:t>
      </w:r>
      <w:r w:rsidR="00330C02">
        <w:t>(</w:t>
      </w:r>
      <w:r w:rsidR="4B067A85">
        <w:t xml:space="preserve">4) Mid Main Telecom LLC, </w:t>
      </w:r>
      <w:r w:rsidR="00330C02">
        <w:t>(</w:t>
      </w:r>
      <w:r w:rsidR="4B067A85">
        <w:t xml:space="preserve">5) Pine Tree Telephone Company, </w:t>
      </w:r>
      <w:r w:rsidR="00330C02">
        <w:t>(</w:t>
      </w:r>
      <w:r w:rsidR="4B067A85">
        <w:t xml:space="preserve">6) Saco River Telephone Company and </w:t>
      </w:r>
      <w:r w:rsidR="00330C02">
        <w:t>(</w:t>
      </w:r>
      <w:r w:rsidR="4B067A85">
        <w:t xml:space="preserve">7) Shoreham Telephone Company, LLC.  An additional four RLEC subsidiaries receive ACAM:  </w:t>
      </w:r>
      <w:r w:rsidR="00330C02">
        <w:t>(</w:t>
      </w:r>
      <w:r w:rsidR="4B067A85">
        <w:t xml:space="preserve">1) Granby Telephone LLC, </w:t>
      </w:r>
      <w:r w:rsidR="00330C02">
        <w:t>(</w:t>
      </w:r>
      <w:r w:rsidR="4B067A85">
        <w:t xml:space="preserve">2) </w:t>
      </w:r>
      <w:r w:rsidR="4B067A85">
        <w:t>Otelco</w:t>
      </w:r>
      <w:r w:rsidR="4B067A85">
        <w:t xml:space="preserve"> Telephone LLC, </w:t>
      </w:r>
      <w:r w:rsidR="00330C02">
        <w:t>(</w:t>
      </w:r>
      <w:r w:rsidR="4B067A85">
        <w:t xml:space="preserve">3) </w:t>
      </w:r>
      <w:r w:rsidR="4B067A85">
        <w:t>Otelco</w:t>
      </w:r>
      <w:r w:rsidR="4B067A85">
        <w:t xml:space="preserve"> Mid-Missouri LLC and </w:t>
      </w:r>
      <w:r w:rsidR="00330C02">
        <w:t>(</w:t>
      </w:r>
      <w:r w:rsidR="4B067A85">
        <w:t xml:space="preserve">4) War Telephone LLC.  </w:t>
      </w:r>
      <w:r w:rsidRPr="4B067A85" w:rsidR="4B067A85">
        <w:rPr>
          <w:i/>
          <w:iCs/>
        </w:rPr>
        <w:t xml:space="preserve">See </w:t>
      </w:r>
      <w:r w:rsidR="4B067A85">
        <w:t xml:space="preserve">Enhanced ACAM Authorization Report, https://www.fcc.gov/document/enhanced-cam-authorization-report; High Cost Support Projected by State by Study Area, Second Quarter 2025, </w:t>
      </w:r>
      <w:hyperlink r:id="rId1" w:anchor="results" w:history="1">
        <w:r w:rsidRPr="4B067A85" w:rsidR="4B067A85">
          <w:rPr>
            <w:rStyle w:val="Hyperlink"/>
          </w:rPr>
          <w:t>https://www.usac.org/about/reports-orders/fcc-filings/#results</w:t>
        </w:r>
      </w:hyperlink>
      <w:r w:rsidR="4B067A85">
        <w:t>.</w:t>
      </w:r>
      <w:r w:rsidR="00B80AA7">
        <w:t xml:space="preserve">  </w:t>
      </w:r>
      <w:r w:rsidR="68CC30DA">
        <w:t xml:space="preserve">Finally, two Oak Hill affiliates, OTC and TTC, also </w:t>
      </w:r>
      <w:r w:rsidR="00B80AA7">
        <w:t xml:space="preserve"> </w:t>
      </w:r>
      <w:r w:rsidR="68CC30DA">
        <w:t xml:space="preserve">receive Enhanced ACAM support.  </w:t>
      </w:r>
      <w:r w:rsidRPr="68CC30DA" w:rsidR="68CC30DA">
        <w:rPr>
          <w:i/>
          <w:iCs/>
        </w:rPr>
        <w:t>Id</w:t>
      </w:r>
      <w:r w:rsidR="001E3194">
        <w:rPr>
          <w:i/>
          <w:iCs/>
        </w:rPr>
        <w:t>.</w:t>
      </w:r>
    </w:p>
  </w:footnote>
  <w:footnote w:id="14">
    <w:p w:rsidR="00DF4BD1" w:rsidRPr="008C64F6" w:rsidP="00DF4BD1" w14:paraId="76DD41D7" w14:textId="7564A836">
      <w:pPr>
        <w:pStyle w:val="FootnoteText"/>
      </w:pPr>
      <w:r w:rsidRPr="008C64F6">
        <w:rPr>
          <w:rStyle w:val="FootnoteReference"/>
          <w:sz w:val="20"/>
        </w:rPr>
        <w:footnoteRef/>
      </w:r>
      <w:r w:rsidRPr="008C64F6">
        <w:t xml:space="preserve"> </w:t>
      </w:r>
      <w:r w:rsidR="00CB5C86">
        <w:t>A subsidiary of</w:t>
      </w:r>
      <w:r w:rsidRPr="008C64F6">
        <w:t xml:space="preserve"> </w:t>
      </w:r>
      <w:r w:rsidRPr="008C64F6">
        <w:t>O</w:t>
      </w:r>
      <w:r w:rsidRPr="008C64F6" w:rsidR="00356CD5">
        <w:t>telco</w:t>
      </w:r>
      <w:r w:rsidRPr="008C64F6">
        <w:t>, CRC</w:t>
      </w:r>
      <w:r w:rsidR="00891625">
        <w:t xml:space="preserve"> Communications, LLC</w:t>
      </w:r>
      <w:r w:rsidRPr="008C64F6">
        <w:t xml:space="preserve">, receives CAF Phase II Auction support as does the Metronet affiliate, Jaguar.  </w:t>
      </w:r>
      <w:r w:rsidRPr="008C64F6" w:rsidR="00E614F3">
        <w:rPr>
          <w:i/>
          <w:iCs/>
        </w:rPr>
        <w:t xml:space="preserve">Id. </w:t>
      </w:r>
      <w:r w:rsidRPr="008C64F6">
        <w:t xml:space="preserve">at </w:t>
      </w:r>
      <w:r w:rsidRPr="008C64F6" w:rsidR="001D7619">
        <w:t>10</w:t>
      </w:r>
      <w:r w:rsidRPr="008C64F6" w:rsidR="00E614F3">
        <w:t xml:space="preserve">, </w:t>
      </w:r>
      <w:r w:rsidRPr="008C64F6">
        <w:t>12</w:t>
      </w:r>
      <w:r w:rsidRPr="008C64F6" w:rsidR="00C83FF8">
        <w:t>-13</w:t>
      </w:r>
      <w:r w:rsidR="00CA4D6B">
        <w:t xml:space="preserve">; </w:t>
      </w:r>
      <w:r w:rsidR="00CA4D6B">
        <w:rPr>
          <w:i/>
          <w:iCs/>
        </w:rPr>
        <w:t xml:space="preserve">see also supra </w:t>
      </w:r>
      <w:r w:rsidR="00CA4D6B">
        <w:t>note 7</w:t>
      </w:r>
      <w:r w:rsidRPr="008C64F6">
        <w:t>.</w:t>
      </w:r>
    </w:p>
  </w:footnote>
  <w:footnote w:id="15">
    <w:p w:rsidR="00077E0A" w:rsidRPr="008C64F6" w14:paraId="6DC1CA56" w14:textId="652EC90B">
      <w:pPr>
        <w:pStyle w:val="FootnoteText"/>
      </w:pPr>
      <w:r w:rsidRPr="008C64F6">
        <w:rPr>
          <w:rStyle w:val="FootnoteReference"/>
          <w:sz w:val="20"/>
        </w:rPr>
        <w:footnoteRef/>
      </w:r>
      <w:r w:rsidRPr="008C64F6">
        <w:t xml:space="preserve"> </w:t>
      </w:r>
      <w:r w:rsidRPr="008C64F6">
        <w:rPr>
          <w:i/>
          <w:iCs/>
        </w:rPr>
        <w:t>Id.</w:t>
      </w:r>
      <w:r w:rsidRPr="008C64F6">
        <w:t xml:space="preserve"> at 4.</w:t>
      </w:r>
    </w:p>
  </w:footnote>
  <w:footnote w:id="16">
    <w:p w:rsidR="001F5F2C" w:rsidRPr="008C64F6" w14:paraId="451589DB" w14:textId="0D15336A">
      <w:pPr>
        <w:pStyle w:val="FootnoteText"/>
        <w:rPr>
          <w:i/>
          <w:iCs/>
        </w:rPr>
      </w:pPr>
      <w:r w:rsidRPr="008C64F6">
        <w:rPr>
          <w:rStyle w:val="FootnoteReference"/>
          <w:sz w:val="20"/>
        </w:rPr>
        <w:footnoteRef/>
      </w:r>
      <w:r w:rsidRPr="008C64F6">
        <w:t xml:space="preserve"> </w:t>
      </w:r>
      <w:r w:rsidRPr="008C64F6">
        <w:rPr>
          <w:i/>
          <w:iCs/>
        </w:rPr>
        <w:t>Id.</w:t>
      </w:r>
    </w:p>
  </w:footnote>
  <w:footnote w:id="17">
    <w:p w:rsidR="00915BAF" w:rsidRPr="008C64F6" w:rsidP="00915BAF" w14:paraId="79166D13" w14:textId="383E05C7">
      <w:pPr>
        <w:pStyle w:val="FootnoteText"/>
      </w:pPr>
      <w:r w:rsidRPr="008C64F6">
        <w:rPr>
          <w:rStyle w:val="FootnoteReference"/>
          <w:sz w:val="20"/>
        </w:rPr>
        <w:footnoteRef/>
      </w:r>
      <w:r w:rsidRPr="008C64F6">
        <w:rPr>
          <w:i/>
          <w:iCs/>
        </w:rPr>
        <w:t xml:space="preserve"> </w:t>
      </w:r>
      <w:r w:rsidRPr="00DE29C4" w:rsidR="00550F4F">
        <w:rPr>
          <w:i/>
          <w:iCs/>
        </w:rPr>
        <w:t>I</w:t>
      </w:r>
      <w:r w:rsidRPr="00DE29C4" w:rsidR="00DE29C4">
        <w:rPr>
          <w:i/>
          <w:iCs/>
        </w:rPr>
        <w:t>d</w:t>
      </w:r>
      <w:r w:rsidR="00DE29C4">
        <w:t>.</w:t>
      </w:r>
      <w:r w:rsidRPr="008C64F6">
        <w:t xml:space="preserve"> at 4-</w:t>
      </w:r>
      <w:r w:rsidRPr="008C64F6" w:rsidR="00864F00">
        <w:t>7</w:t>
      </w:r>
      <w:r w:rsidRPr="008C64F6">
        <w:t>.</w:t>
      </w:r>
    </w:p>
  </w:footnote>
  <w:footnote w:id="18">
    <w:p w:rsidR="00915BAF" w:rsidRPr="008C64F6" w:rsidP="00915BAF" w14:paraId="6C637998" w14:textId="24552D50">
      <w:pPr>
        <w:pStyle w:val="FootnoteText"/>
      </w:pPr>
      <w:r w:rsidRPr="008C64F6">
        <w:rPr>
          <w:rStyle w:val="FootnoteReference"/>
          <w:sz w:val="20"/>
        </w:rPr>
        <w:footnoteRef/>
      </w:r>
      <w:r w:rsidRPr="008C64F6">
        <w:t xml:space="preserve"> </w:t>
      </w:r>
      <w:r w:rsidRPr="008C64F6">
        <w:rPr>
          <w:i/>
          <w:iCs/>
        </w:rPr>
        <w:t xml:space="preserve">Id. </w:t>
      </w:r>
      <w:r w:rsidRPr="008C64F6">
        <w:t xml:space="preserve">at </w:t>
      </w:r>
      <w:r w:rsidRPr="008C64F6" w:rsidR="006C3EE8">
        <w:t>6</w:t>
      </w:r>
      <w:r w:rsidRPr="008C64F6">
        <w:t>.</w:t>
      </w:r>
    </w:p>
  </w:footnote>
  <w:footnote w:id="19">
    <w:p w:rsidR="00915BAF" w:rsidRPr="008C64F6" w:rsidP="00915BAF" w14:paraId="3F3CBAA0" w14:textId="115E4457">
      <w:pPr>
        <w:pStyle w:val="FootnoteText"/>
      </w:pPr>
      <w:r w:rsidRPr="008C64F6">
        <w:rPr>
          <w:rStyle w:val="FootnoteReference"/>
          <w:sz w:val="20"/>
        </w:rPr>
        <w:footnoteRef/>
      </w:r>
      <w:r w:rsidRPr="008C64F6">
        <w:t xml:space="preserve"> </w:t>
      </w:r>
      <w:r w:rsidRPr="008C64F6">
        <w:rPr>
          <w:i/>
          <w:iCs/>
        </w:rPr>
        <w:t>Id</w:t>
      </w:r>
      <w:r w:rsidRPr="008C64F6">
        <w:t>.</w:t>
      </w:r>
    </w:p>
  </w:footnote>
  <w:footnote w:id="20">
    <w:p w:rsidR="00915BAF" w:rsidRPr="008C64F6" w:rsidP="00915BAF" w14:paraId="17D05016" w14:textId="19FFF66B">
      <w:pPr>
        <w:pStyle w:val="FootnoteText"/>
      </w:pPr>
      <w:r w:rsidRPr="008C64F6">
        <w:rPr>
          <w:rStyle w:val="FootnoteReference"/>
          <w:sz w:val="20"/>
        </w:rPr>
        <w:footnoteRef/>
      </w:r>
      <w:r w:rsidRPr="008C64F6">
        <w:t xml:space="preserve"> </w:t>
      </w:r>
      <w:r w:rsidRPr="008C64F6">
        <w:rPr>
          <w:i/>
          <w:iCs/>
        </w:rPr>
        <w:t>Id</w:t>
      </w:r>
      <w:r w:rsidRPr="008C64F6">
        <w:t>.</w:t>
      </w:r>
    </w:p>
  </w:footnote>
  <w:footnote w:id="21">
    <w:p w:rsidR="00915BAF" w:rsidRPr="008C64F6" w:rsidP="00915BAF" w14:paraId="2D9D2C2B" w14:textId="0801DBB6">
      <w:pPr>
        <w:pStyle w:val="FootnoteText"/>
        <w:rPr>
          <w:i/>
          <w:iCs/>
        </w:rPr>
      </w:pPr>
      <w:r w:rsidRPr="008C64F6">
        <w:rPr>
          <w:rStyle w:val="FootnoteReference"/>
          <w:sz w:val="20"/>
        </w:rPr>
        <w:footnoteRef/>
      </w:r>
      <w:r w:rsidRPr="008C64F6">
        <w:t xml:space="preserve"> </w:t>
      </w:r>
      <w:r w:rsidRPr="008C64F6">
        <w:rPr>
          <w:i/>
          <w:iCs/>
        </w:rPr>
        <w:t>Id</w:t>
      </w:r>
      <w:r w:rsidRPr="008C64F6" w:rsidR="00864F00">
        <w:rPr>
          <w:i/>
          <w:iCs/>
        </w:rPr>
        <w:t xml:space="preserve">. </w:t>
      </w:r>
      <w:r w:rsidRPr="008C64F6" w:rsidR="00864F00">
        <w:t>at 7</w:t>
      </w:r>
      <w:r w:rsidRPr="008C64F6">
        <w:rPr>
          <w:i/>
          <w:iCs/>
        </w:rPr>
        <w:t>.</w:t>
      </w:r>
    </w:p>
  </w:footnote>
  <w:footnote w:id="22">
    <w:p w:rsidR="00466A2D" w:rsidRPr="008C64F6" w:rsidP="00466A2D" w14:paraId="04D1ED99" w14:textId="77777777">
      <w:pPr>
        <w:spacing w:after="120"/>
        <w:rPr>
          <w:sz w:val="20"/>
        </w:rPr>
      </w:pPr>
      <w:r w:rsidRPr="008C64F6">
        <w:rPr>
          <w:rStyle w:val="FootnoteReference"/>
          <w:sz w:val="20"/>
        </w:rPr>
        <w:footnoteRef/>
      </w:r>
      <w:r w:rsidRPr="008C64F6">
        <w:rPr>
          <w:sz w:val="20"/>
        </w:rPr>
        <w:t xml:space="preserve"> </w:t>
      </w:r>
      <w:r w:rsidRPr="008C64F6">
        <w:rPr>
          <w:i/>
          <w:iCs/>
          <w:color w:val="020100"/>
          <w:sz w:val="20"/>
        </w:rPr>
        <w:t>Process Reform for Executive Branch Review of Certain FCC Applications and Petitions Involving Foreign Ownership</w:t>
      </w:r>
      <w:r w:rsidRPr="008C64F6">
        <w:rPr>
          <w:color w:val="020100"/>
          <w:sz w:val="20"/>
        </w:rPr>
        <w:t xml:space="preserve">, IB Docket No. 16-155, Report and Order, 35 FCC </w:t>
      </w:r>
      <w:r w:rsidRPr="008C64F6">
        <w:rPr>
          <w:color w:val="020100"/>
          <w:sz w:val="20"/>
        </w:rPr>
        <w:t>Rcd</w:t>
      </w:r>
      <w:r w:rsidRPr="008C64F6">
        <w:rPr>
          <w:color w:val="020100"/>
          <w:sz w:val="20"/>
        </w:rPr>
        <w:t xml:space="preserve"> 10927, 10936, para. 25 (2020) (</w:t>
      </w:r>
      <w:r w:rsidRPr="008C64F6">
        <w:rPr>
          <w:i/>
          <w:iCs/>
          <w:color w:val="020100"/>
          <w:sz w:val="20"/>
        </w:rPr>
        <w:t>Executive Branch Review Process Order</w:t>
      </w:r>
      <w:r w:rsidRPr="008C64F6">
        <w:rPr>
          <w:color w:val="020100"/>
          <w:sz w:val="20"/>
        </w:rPr>
        <w:t>).</w:t>
      </w:r>
    </w:p>
  </w:footnote>
  <w:footnote w:id="23">
    <w:p w:rsidR="00466A2D" w:rsidRPr="008C64F6" w:rsidP="00466A2D" w14:paraId="0494B8DD" w14:textId="77777777">
      <w:pPr>
        <w:spacing w:after="120"/>
        <w:rPr>
          <w:sz w:val="20"/>
        </w:rPr>
      </w:pPr>
      <w:r w:rsidRPr="008C64F6">
        <w:rPr>
          <w:rStyle w:val="FootnoteReference"/>
          <w:sz w:val="20"/>
        </w:rPr>
        <w:footnoteRef/>
      </w:r>
      <w:r w:rsidRPr="008C64F6">
        <w:rPr>
          <w:sz w:val="20"/>
        </w:rPr>
        <w:t xml:space="preserve"> </w:t>
      </w:r>
      <w:r w:rsidRPr="008C64F6">
        <w:rPr>
          <w:i/>
          <w:iCs/>
          <w:sz w:val="20"/>
        </w:rPr>
        <w:t>Id</w:t>
      </w:r>
      <w:r w:rsidRPr="008C64F6">
        <w:rPr>
          <w:sz w:val="20"/>
        </w:rPr>
        <w:t>.</w:t>
      </w:r>
    </w:p>
  </w:footnote>
  <w:footnote w:id="24">
    <w:p w:rsidR="00466A2D" w:rsidRPr="008C64F6" w:rsidP="00466A2D" w14:paraId="5884A530" w14:textId="77777777">
      <w:pPr>
        <w:pStyle w:val="FootnoteText"/>
      </w:pPr>
      <w:r w:rsidRPr="008C64F6">
        <w:rPr>
          <w:rStyle w:val="FootnoteReference"/>
          <w:sz w:val="20"/>
        </w:rPr>
        <w:footnoteRef/>
      </w:r>
      <w:r w:rsidRPr="008C64F6">
        <w:t xml:space="preserve"> Application at 17.</w:t>
      </w:r>
    </w:p>
  </w:footnote>
  <w:footnote w:id="25">
    <w:p w:rsidR="00466A2D" w:rsidRPr="008C64F6" w:rsidP="00466A2D" w14:paraId="73C21766" w14:textId="77777777">
      <w:pPr>
        <w:spacing w:after="120"/>
        <w:rPr>
          <w:sz w:val="20"/>
        </w:rPr>
      </w:pPr>
      <w:r w:rsidRPr="008C64F6">
        <w:rPr>
          <w:rStyle w:val="FootnoteReference"/>
          <w:sz w:val="20"/>
        </w:rPr>
        <w:footnoteRef/>
      </w:r>
      <w:r w:rsidRPr="008C64F6">
        <w:rPr>
          <w:sz w:val="20"/>
        </w:rPr>
        <w:t xml:space="preserve"> </w:t>
      </w:r>
      <w:r w:rsidRPr="008C64F6">
        <w:rPr>
          <w:i/>
          <w:iCs/>
          <w:sz w:val="20"/>
        </w:rPr>
        <w:t>Id</w:t>
      </w:r>
      <w:r w:rsidRPr="008C64F6">
        <w:rPr>
          <w:sz w:val="20"/>
        </w:rPr>
        <w:t>.</w:t>
      </w:r>
    </w:p>
  </w:footnote>
  <w:footnote w:id="26">
    <w:p w:rsidR="00466A2D" w:rsidRPr="008C64F6" w:rsidP="00466A2D" w14:paraId="780892A5" w14:textId="77777777">
      <w:pPr>
        <w:spacing w:after="120"/>
        <w:rPr>
          <w:sz w:val="20"/>
        </w:rPr>
      </w:pPr>
      <w:r w:rsidRPr="008C64F6">
        <w:rPr>
          <w:rStyle w:val="FootnoteReference"/>
          <w:sz w:val="20"/>
        </w:rPr>
        <w:footnoteRef/>
      </w:r>
      <w:r w:rsidRPr="008C64F6">
        <w:rPr>
          <w:sz w:val="20"/>
        </w:rPr>
        <w:t xml:space="preserve"> </w:t>
      </w:r>
      <w:r w:rsidRPr="008C64F6">
        <w:rPr>
          <w:i/>
          <w:iCs/>
          <w:sz w:val="20"/>
        </w:rPr>
        <w:t>See</w:t>
      </w:r>
      <w:r w:rsidRPr="008C64F6">
        <w:rPr>
          <w:sz w:val="20"/>
        </w:rPr>
        <w:t xml:space="preserve"> </w:t>
      </w:r>
      <w:r w:rsidRPr="008C64F6">
        <w:rPr>
          <w:i/>
          <w:iCs/>
          <w:sz w:val="20"/>
        </w:rPr>
        <w:t>Executive Branch Review Process Order</w:t>
      </w:r>
      <w:r w:rsidRPr="008C64F6">
        <w:rPr>
          <w:sz w:val="20"/>
        </w:rPr>
        <w:t xml:space="preserve">, 35 FCC </w:t>
      </w:r>
      <w:r w:rsidRPr="008C64F6">
        <w:rPr>
          <w:sz w:val="20"/>
        </w:rPr>
        <w:t>Rcd</w:t>
      </w:r>
      <w:r w:rsidRPr="008C64F6">
        <w:rPr>
          <w:sz w:val="20"/>
        </w:rPr>
        <w:t xml:space="preserve"> at 10941, para. 36 n.99; </w:t>
      </w:r>
      <w:r w:rsidRPr="008C64F6">
        <w:rPr>
          <w:i/>
          <w:iCs/>
          <w:sz w:val="20"/>
        </w:rPr>
        <w:t>see also id</w:t>
      </w:r>
      <w:r w:rsidRPr="008C64F6">
        <w:rPr>
          <w:sz w:val="20"/>
        </w:rPr>
        <w:t>. at 10939, para 30 n.81.</w:t>
      </w:r>
    </w:p>
  </w:footnote>
  <w:footnote w:id="27">
    <w:p w:rsidR="00466A2D" w:rsidRPr="008C64F6" w:rsidP="00466A2D" w14:paraId="7BEEC809" w14:textId="77777777">
      <w:pPr>
        <w:pStyle w:val="FootnoteText"/>
      </w:pPr>
      <w:r w:rsidRPr="008C64F6">
        <w:rPr>
          <w:rStyle w:val="FootnoteReference"/>
          <w:sz w:val="20"/>
        </w:rPr>
        <w:footnoteRef/>
      </w:r>
      <w:r w:rsidRPr="008C64F6">
        <w:t xml:space="preserve"> 47 CFR §63.03(c)(1)(v).</w:t>
      </w:r>
    </w:p>
  </w:footnote>
  <w:footnote w:id="28">
    <w:p w:rsidR="00113691" w:rsidRPr="008C64F6" w:rsidP="00113691" w14:paraId="3DA62979" w14:textId="77777777">
      <w:pPr>
        <w:pStyle w:val="FootnoteText"/>
      </w:pPr>
      <w:r w:rsidRPr="008C64F6">
        <w:rPr>
          <w:rStyle w:val="FootnoteReference"/>
          <w:sz w:val="20"/>
        </w:rPr>
        <w:footnoteRef/>
      </w:r>
      <w:r w:rsidRPr="008C64F6">
        <w:t xml:space="preserve"> </w:t>
      </w:r>
      <w:r w:rsidRPr="008C64F6">
        <w:rPr>
          <w:i/>
        </w:rPr>
        <w:t>See</w:t>
      </w:r>
      <w:r w:rsidRPr="008C64F6">
        <w:t xml:space="preserve"> 47 CFR § 1.45(c).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A3BA8" w14:paraId="717817CF" w14:textId="470A5F80">
    <w:pPr>
      <w:tabs>
        <w:tab w:val="center" w:pos="4680"/>
        <w:tab w:val="right" w:pos="9360"/>
      </w:tabs>
    </w:pPr>
    <w:r>
      <w:rPr>
        <w:b/>
      </w:rPr>
      <w:tab/>
      <w:t>Federal Communications Commission</w:t>
    </w:r>
    <w:r>
      <w:rPr>
        <w:b/>
      </w:rPr>
      <w:tab/>
    </w:r>
    <w:r w:rsidR="00227BA1">
      <w:rPr>
        <w:b/>
      </w:rPr>
      <w:t>DA 2</w:t>
    </w:r>
    <w:r w:rsidR="00F03D70">
      <w:rPr>
        <w:b/>
      </w:rPr>
      <w:t>5</w:t>
    </w:r>
    <w:r w:rsidR="00227BA1">
      <w:rPr>
        <w:b/>
      </w:rPr>
      <w:t>-</w:t>
    </w:r>
    <w:r w:rsidR="003936D0">
      <w:rPr>
        <w:b/>
      </w:rPr>
      <w:t>279</w:t>
    </w:r>
  </w:p>
  <w:p w:rsidR="00BA3BA8" w14:paraId="273663DA" w14:textId="77777777">
    <w:pPr>
      <w:tabs>
        <w:tab w:val="left" w:pos="-720"/>
      </w:tabs>
      <w:suppressAutoHyphens/>
      <w:spacing w:line="19" w:lineRule="exact"/>
      <w:rPr>
        <w:spacing w:val="-2"/>
      </w:rPr>
    </w:pPr>
    <w:r>
      <w:rPr>
        <w:noProof/>
      </w:rPr>
      <mc:AlternateContent>
        <mc:Choice Requires="wps">
          <w:drawing>
            <wp:anchor distT="0" distB="0" distL="114300" distR="114300" simplePos="0" relativeHeight="251658240" behindDoc="1" locked="0" layoutInCell="0" allowOverlap="1">
              <wp:simplePos x="0" y="0"/>
              <wp:positionH relativeFrom="margin">
                <wp:posOffset>0</wp:posOffset>
              </wp:positionH>
              <wp:positionV relativeFrom="paragraph">
                <wp:posOffset>0</wp:posOffset>
              </wp:positionV>
              <wp:extent cx="5943600" cy="12065"/>
              <wp:effectExtent l="0" t="0" r="0" b="0"/>
              <wp:wrapNone/>
              <wp:docPr id="15" name="Rectangle 2"/>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a:extLst>
                        <a:ext xmlns:a="http://schemas.openxmlformats.org/drawingml/2006/main" uri="{91240B29-F687-4F45-9708-019B960494DF}">
                          <a14:hiddenLine xmlns:a14="http://schemas.microsoft.com/office/drawing/2010/main" w="635">
                            <a:solidFill>
                              <a:srgbClr val="000000"/>
                            </a:solidFill>
                            <a:miter lim="800000"/>
                            <a:headEnd/>
                            <a:tailEnd/>
                          </a14:hiddenLine>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2" o:spid="_x0000_s2049" style="width:468pt;height:0.95pt;margin-top:0;margin-left:0;mso-height-percent:0;mso-height-relative:page;mso-position-horizontal-relative:margin;mso-width-percent:0;mso-width-relative:page;mso-wrap-distance-bottom:0;mso-wrap-distance-left:9pt;mso-wrap-distance-right:9pt;mso-wrap-distance-top:0;mso-wrap-style:square;position:absolute;visibility:visible;v-text-anchor:top;z-index:-251657216" o:allowincell="f" fillcolor="black" stroked="f" strokeweight="0.05pt">
              <w10:wrap anchorx="margin"/>
            </v:rect>
          </w:pict>
        </mc:Fallback>
      </mc:AlternateContent>
    </w:r>
  </w:p>
  <w:p w:rsidR="00BA3BA8" w14:paraId="6CA15B37" w14:textId="77777777">
    <w:pPr>
      <w:spacing w:before="40"/>
      <w:rPr>
        <w:rFonts w:ascii="Arial" w:hAnsi="Arial" w:cs="Arial"/>
        <w:b/>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A3BA8" w:rsidRPr="00F03EA1" w:rsidP="00F03EA1" w14:paraId="212444D4" w14:textId="77777777">
    <w:pPr>
      <w:pStyle w:val="Header"/>
    </w:pPr>
    <w:r>
      <w:rPr>
        <w:noProof/>
      </w:rPr>
      <w:drawing>
        <wp:inline distT="0" distB="0" distL="0" distR="0">
          <wp:extent cx="5956300" cy="14287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5956300" cy="14287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84B453C"/>
    <w:multiLevelType w:val="singleLevel"/>
    <w:tmpl w:val="40A8E97A"/>
    <w:lvl w:ilvl="0">
      <w:start w:val="1"/>
      <w:numFmt w:val="decimal"/>
      <w:lvlText w:val="%1."/>
      <w:lvlJc w:val="left"/>
      <w:pPr>
        <w:tabs>
          <w:tab w:val="num" w:pos="1080"/>
        </w:tabs>
        <w:ind w:left="0" w:firstLine="720"/>
      </w:pPr>
    </w:lvl>
  </w:abstractNum>
  <w:abstractNum w:abstractNumId="1">
    <w:nsid w:val="2059305A"/>
    <w:multiLevelType w:val="multilevel"/>
    <w:tmpl w:val="57A4B52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3F40A0F"/>
    <w:multiLevelType w:val="singleLevel"/>
    <w:tmpl w:val="3244DD0A"/>
    <w:lvl w:ilvl="0">
      <w:start w:val="1"/>
      <w:numFmt w:val="bullet"/>
      <w:pStyle w:val="Bullet"/>
      <w:lvlText w:val=""/>
      <w:lvlJc w:val="left"/>
      <w:pPr>
        <w:tabs>
          <w:tab w:val="num" w:pos="360"/>
        </w:tabs>
        <w:ind w:left="360" w:hanging="360"/>
      </w:pPr>
      <w:rPr>
        <w:rFonts w:ascii="Symbol" w:hAnsi="Symbol" w:hint="default"/>
      </w:rPr>
    </w:lvl>
  </w:abstractNum>
  <w:abstractNum w:abstractNumId="3">
    <w:nsid w:val="248246F3"/>
    <w:multiLevelType w:val="singleLevel"/>
    <w:tmpl w:val="B1F45678"/>
    <w:lvl w:ilvl="0">
      <w:start w:val="1"/>
      <w:numFmt w:val="decimal"/>
      <w:lvlText w:val="%1."/>
      <w:lvlJc w:val="left"/>
      <w:pPr>
        <w:tabs>
          <w:tab w:val="num" w:pos="1080"/>
        </w:tabs>
        <w:ind w:left="0" w:firstLine="720"/>
      </w:pPr>
    </w:lvl>
  </w:abstractNum>
  <w:abstractNum w:abstractNumId="4">
    <w:nsid w:val="27E06CBB"/>
    <w:multiLevelType w:val="multilevel"/>
    <w:tmpl w:val="F1A86982"/>
    <w:lvl w:ilvl="0">
      <w:start w:val="1"/>
      <w:numFmt w:val="upperRoman"/>
      <w:pStyle w:val="Heading1"/>
      <w:lvlText w:val="%1."/>
      <w:lvlJc w:val="left"/>
      <w:pPr>
        <w:tabs>
          <w:tab w:val="num" w:pos="720"/>
        </w:tabs>
        <w:ind w:left="720" w:hanging="720"/>
      </w:pPr>
    </w:lvl>
    <w:lvl w:ilvl="1">
      <w:start w:val="1"/>
      <w:numFmt w:val="upperLetter"/>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lowerLetter"/>
      <w:pStyle w:val="Heading4"/>
      <w:lvlText w:val="%4."/>
      <w:lvlJc w:val="left"/>
      <w:pPr>
        <w:tabs>
          <w:tab w:val="num" w:pos="2880"/>
        </w:tabs>
        <w:ind w:left="2880" w:hanging="720"/>
      </w:pPr>
    </w:lvl>
    <w:lvl w:ilvl="4">
      <w:start w:val="1"/>
      <w:numFmt w:val="lowerRoman"/>
      <w:pStyle w:val="Heading5"/>
      <w:lvlText w:val="(%5)"/>
      <w:lvlJc w:val="left"/>
      <w:pPr>
        <w:tabs>
          <w:tab w:val="num" w:pos="3600"/>
        </w:tabs>
        <w:ind w:left="3600" w:hanging="720"/>
      </w:pPr>
    </w:lvl>
    <w:lvl w:ilvl="5">
      <w:start w:val="1"/>
      <w:numFmt w:val="lowerLetter"/>
      <w:pStyle w:val="Heading6"/>
      <w:lvlText w:val="(%6)"/>
      <w:lvlJc w:val="left"/>
      <w:pPr>
        <w:tabs>
          <w:tab w:val="num" w:pos="4320"/>
        </w:tabs>
        <w:ind w:left="4320" w:hanging="720"/>
      </w:pPr>
    </w:lvl>
    <w:lvl w:ilvl="6">
      <w:start w:val="1"/>
      <w:numFmt w:val="lowerRoman"/>
      <w:pStyle w:val="Heading7"/>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5">
    <w:nsid w:val="4DF61CE4"/>
    <w:multiLevelType w:val="multilevel"/>
    <w:tmpl w:val="F1A86982"/>
    <w:lvl w:ilvl="0">
      <w:start w:val="1"/>
      <w:numFmt w:val="upperRoman"/>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lowerLetter"/>
      <w:lvlText w:val="(%6)"/>
      <w:lvlJc w:val="left"/>
      <w:pPr>
        <w:tabs>
          <w:tab w:val="num" w:pos="4320"/>
        </w:tabs>
        <w:ind w:left="4320" w:hanging="72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6">
    <w:nsid w:val="61182925"/>
    <w:multiLevelType w:val="singleLevel"/>
    <w:tmpl w:val="D180CED0"/>
    <w:lvl w:ilvl="0">
      <w:start w:val="1"/>
      <w:numFmt w:val="decimal"/>
      <w:pStyle w:val="ParaNum"/>
      <w:lvlText w:val="%1."/>
      <w:lvlJc w:val="left"/>
      <w:pPr>
        <w:tabs>
          <w:tab w:val="num" w:pos="1080"/>
        </w:tabs>
        <w:ind w:left="0" w:firstLine="720"/>
      </w:pPr>
    </w:lvl>
  </w:abstractNum>
  <w:abstractNum w:abstractNumId="7">
    <w:nsid w:val="6A614CCE"/>
    <w:multiLevelType w:val="hybridMultilevel"/>
    <w:tmpl w:val="0F98B5E4"/>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nsid w:val="6BE20A48"/>
    <w:multiLevelType w:val="multilevel"/>
    <w:tmpl w:val="584238C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89223528">
    <w:abstractNumId w:val="2"/>
  </w:num>
  <w:num w:numId="2" w16cid:durableId="890339313">
    <w:abstractNumId w:val="6"/>
  </w:num>
  <w:num w:numId="3" w16cid:durableId="528419151">
    <w:abstractNumId w:val="4"/>
  </w:num>
  <w:num w:numId="4" w16cid:durableId="1245721454">
    <w:abstractNumId w:val="5"/>
  </w:num>
  <w:num w:numId="5" w16cid:durableId="1255556118">
    <w:abstractNumId w:val="3"/>
  </w:num>
  <w:num w:numId="6" w16cid:durableId="1286346123">
    <w:abstractNumId w:val="0"/>
  </w:num>
  <w:num w:numId="7" w16cid:durableId="2096245613">
    <w:abstractNumId w:val="7"/>
  </w:num>
  <w:num w:numId="8" w16cid:durableId="823476080">
    <w:abstractNumId w:val="1"/>
  </w:num>
  <w:num w:numId="9" w16cid:durableId="183160307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attachedTemplate r:id="rId1"/>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 w:id="2"/>
  </w:footnotePr>
  <w:endnotePr>
    <w:numFmt w:val="decimal"/>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115"/>
    <w:rsid w:val="00001ED4"/>
    <w:rsid w:val="00002E10"/>
    <w:rsid w:val="00005A06"/>
    <w:rsid w:val="00011507"/>
    <w:rsid w:val="00012943"/>
    <w:rsid w:val="00014786"/>
    <w:rsid w:val="0001756E"/>
    <w:rsid w:val="00024DE5"/>
    <w:rsid w:val="00025BE0"/>
    <w:rsid w:val="00027C50"/>
    <w:rsid w:val="00034155"/>
    <w:rsid w:val="000403A3"/>
    <w:rsid w:val="000418CB"/>
    <w:rsid w:val="0004596C"/>
    <w:rsid w:val="0005180F"/>
    <w:rsid w:val="0005433C"/>
    <w:rsid w:val="00054EBC"/>
    <w:rsid w:val="00060692"/>
    <w:rsid w:val="00060B78"/>
    <w:rsid w:val="0006175E"/>
    <w:rsid w:val="000639C2"/>
    <w:rsid w:val="00064B2B"/>
    <w:rsid w:val="00066ED5"/>
    <w:rsid w:val="000715F6"/>
    <w:rsid w:val="000754F1"/>
    <w:rsid w:val="00077571"/>
    <w:rsid w:val="00077C93"/>
    <w:rsid w:val="00077E0A"/>
    <w:rsid w:val="000818F1"/>
    <w:rsid w:val="00081FD5"/>
    <w:rsid w:val="00085D6F"/>
    <w:rsid w:val="000A0D26"/>
    <w:rsid w:val="000A0F72"/>
    <w:rsid w:val="000A1200"/>
    <w:rsid w:val="000A2FF6"/>
    <w:rsid w:val="000A4803"/>
    <w:rsid w:val="000A55F0"/>
    <w:rsid w:val="000B0E80"/>
    <w:rsid w:val="000B3B42"/>
    <w:rsid w:val="000C410D"/>
    <w:rsid w:val="000D1A5C"/>
    <w:rsid w:val="000D1DA9"/>
    <w:rsid w:val="000D47B7"/>
    <w:rsid w:val="000E0344"/>
    <w:rsid w:val="000E0455"/>
    <w:rsid w:val="000E082F"/>
    <w:rsid w:val="000E11D1"/>
    <w:rsid w:val="000E1CD3"/>
    <w:rsid w:val="000E305E"/>
    <w:rsid w:val="000E5B0D"/>
    <w:rsid w:val="000E7447"/>
    <w:rsid w:val="000F0BBF"/>
    <w:rsid w:val="000F1382"/>
    <w:rsid w:val="000F401B"/>
    <w:rsid w:val="000F458C"/>
    <w:rsid w:val="0010016E"/>
    <w:rsid w:val="00100576"/>
    <w:rsid w:val="00103EA8"/>
    <w:rsid w:val="00105051"/>
    <w:rsid w:val="00113566"/>
    <w:rsid w:val="00113691"/>
    <w:rsid w:val="00115F81"/>
    <w:rsid w:val="00122469"/>
    <w:rsid w:val="00124029"/>
    <w:rsid w:val="0012725F"/>
    <w:rsid w:val="00131D92"/>
    <w:rsid w:val="001343A9"/>
    <w:rsid w:val="00135979"/>
    <w:rsid w:val="00143CBF"/>
    <w:rsid w:val="00153541"/>
    <w:rsid w:val="001537CC"/>
    <w:rsid w:val="00154C08"/>
    <w:rsid w:val="00162D42"/>
    <w:rsid w:val="00166E2C"/>
    <w:rsid w:val="00170FF4"/>
    <w:rsid w:val="00173DE2"/>
    <w:rsid w:val="00177B23"/>
    <w:rsid w:val="00180846"/>
    <w:rsid w:val="00181AB5"/>
    <w:rsid w:val="0018515B"/>
    <w:rsid w:val="0018541B"/>
    <w:rsid w:val="00186C10"/>
    <w:rsid w:val="001A035D"/>
    <w:rsid w:val="001A28D4"/>
    <w:rsid w:val="001A5115"/>
    <w:rsid w:val="001A698B"/>
    <w:rsid w:val="001A7110"/>
    <w:rsid w:val="001B2169"/>
    <w:rsid w:val="001B2691"/>
    <w:rsid w:val="001C02DF"/>
    <w:rsid w:val="001C13FC"/>
    <w:rsid w:val="001D4410"/>
    <w:rsid w:val="001D7619"/>
    <w:rsid w:val="001E3194"/>
    <w:rsid w:val="001E5A93"/>
    <w:rsid w:val="001E766C"/>
    <w:rsid w:val="001E7BF7"/>
    <w:rsid w:val="001F5211"/>
    <w:rsid w:val="001F5433"/>
    <w:rsid w:val="001F5F2C"/>
    <w:rsid w:val="002011E0"/>
    <w:rsid w:val="00204C75"/>
    <w:rsid w:val="00214380"/>
    <w:rsid w:val="002168FE"/>
    <w:rsid w:val="002177D5"/>
    <w:rsid w:val="00217B60"/>
    <w:rsid w:val="00222979"/>
    <w:rsid w:val="00224260"/>
    <w:rsid w:val="00225D95"/>
    <w:rsid w:val="002265B0"/>
    <w:rsid w:val="00227BA1"/>
    <w:rsid w:val="00231F18"/>
    <w:rsid w:val="00232B3C"/>
    <w:rsid w:val="0023576B"/>
    <w:rsid w:val="0023603C"/>
    <w:rsid w:val="002436EC"/>
    <w:rsid w:val="002446CF"/>
    <w:rsid w:val="00250A94"/>
    <w:rsid w:val="002610F6"/>
    <w:rsid w:val="00267C0C"/>
    <w:rsid w:val="00275AFD"/>
    <w:rsid w:val="00280008"/>
    <w:rsid w:val="002826AE"/>
    <w:rsid w:val="00283618"/>
    <w:rsid w:val="002928EC"/>
    <w:rsid w:val="0029428C"/>
    <w:rsid w:val="002942C4"/>
    <w:rsid w:val="00295509"/>
    <w:rsid w:val="002A5DA5"/>
    <w:rsid w:val="002C417A"/>
    <w:rsid w:val="002C465B"/>
    <w:rsid w:val="002C4ABC"/>
    <w:rsid w:val="002C5784"/>
    <w:rsid w:val="002D6026"/>
    <w:rsid w:val="002D6456"/>
    <w:rsid w:val="002E2AEA"/>
    <w:rsid w:val="002E31FF"/>
    <w:rsid w:val="002E4C60"/>
    <w:rsid w:val="002F1EF4"/>
    <w:rsid w:val="00301327"/>
    <w:rsid w:val="003014D8"/>
    <w:rsid w:val="003027E4"/>
    <w:rsid w:val="00304B5D"/>
    <w:rsid w:val="0031169F"/>
    <w:rsid w:val="0031199B"/>
    <w:rsid w:val="00322897"/>
    <w:rsid w:val="003269C0"/>
    <w:rsid w:val="00326DF2"/>
    <w:rsid w:val="0032702F"/>
    <w:rsid w:val="00330C02"/>
    <w:rsid w:val="0033190F"/>
    <w:rsid w:val="00333766"/>
    <w:rsid w:val="003447CE"/>
    <w:rsid w:val="00345C04"/>
    <w:rsid w:val="00350268"/>
    <w:rsid w:val="00356B06"/>
    <w:rsid w:val="00356CD5"/>
    <w:rsid w:val="00361117"/>
    <w:rsid w:val="00361EA0"/>
    <w:rsid w:val="003637C1"/>
    <w:rsid w:val="00367363"/>
    <w:rsid w:val="003676B3"/>
    <w:rsid w:val="003728CA"/>
    <w:rsid w:val="003729DF"/>
    <w:rsid w:val="00374AA3"/>
    <w:rsid w:val="003769DD"/>
    <w:rsid w:val="00376F36"/>
    <w:rsid w:val="00377110"/>
    <w:rsid w:val="00381A0C"/>
    <w:rsid w:val="00382F37"/>
    <w:rsid w:val="0038379F"/>
    <w:rsid w:val="0038537E"/>
    <w:rsid w:val="00386051"/>
    <w:rsid w:val="00390C4A"/>
    <w:rsid w:val="003925A7"/>
    <w:rsid w:val="003936D0"/>
    <w:rsid w:val="003966CF"/>
    <w:rsid w:val="003A2482"/>
    <w:rsid w:val="003A46CE"/>
    <w:rsid w:val="003B07B8"/>
    <w:rsid w:val="003B1C20"/>
    <w:rsid w:val="003B3AFF"/>
    <w:rsid w:val="003B4968"/>
    <w:rsid w:val="003B4C13"/>
    <w:rsid w:val="003B4C59"/>
    <w:rsid w:val="003B5697"/>
    <w:rsid w:val="003D0C9C"/>
    <w:rsid w:val="003D1982"/>
    <w:rsid w:val="003D6205"/>
    <w:rsid w:val="003D73CA"/>
    <w:rsid w:val="003F241A"/>
    <w:rsid w:val="003F2524"/>
    <w:rsid w:val="003F3C6E"/>
    <w:rsid w:val="003F627E"/>
    <w:rsid w:val="004022F8"/>
    <w:rsid w:val="00406650"/>
    <w:rsid w:val="004072C8"/>
    <w:rsid w:val="004103C3"/>
    <w:rsid w:val="0041783C"/>
    <w:rsid w:val="004204F3"/>
    <w:rsid w:val="004206C1"/>
    <w:rsid w:val="00421EEF"/>
    <w:rsid w:val="0042732C"/>
    <w:rsid w:val="00430183"/>
    <w:rsid w:val="00430ECB"/>
    <w:rsid w:val="004425DA"/>
    <w:rsid w:val="00446F17"/>
    <w:rsid w:val="00451DBB"/>
    <w:rsid w:val="00453303"/>
    <w:rsid w:val="00453876"/>
    <w:rsid w:val="0045429D"/>
    <w:rsid w:val="00457269"/>
    <w:rsid w:val="004601F1"/>
    <w:rsid w:val="004646E9"/>
    <w:rsid w:val="00464706"/>
    <w:rsid w:val="00466A2D"/>
    <w:rsid w:val="00467821"/>
    <w:rsid w:val="004702D2"/>
    <w:rsid w:val="004704C0"/>
    <w:rsid w:val="004734C8"/>
    <w:rsid w:val="0047788C"/>
    <w:rsid w:val="00480887"/>
    <w:rsid w:val="00481572"/>
    <w:rsid w:val="0048498D"/>
    <w:rsid w:val="00491364"/>
    <w:rsid w:val="004918B4"/>
    <w:rsid w:val="00494B08"/>
    <w:rsid w:val="0049722C"/>
    <w:rsid w:val="004A2683"/>
    <w:rsid w:val="004A7CA9"/>
    <w:rsid w:val="004B03DB"/>
    <w:rsid w:val="004B0DD1"/>
    <w:rsid w:val="004B28A1"/>
    <w:rsid w:val="004B7578"/>
    <w:rsid w:val="004C3770"/>
    <w:rsid w:val="004C4B6C"/>
    <w:rsid w:val="004C4FB3"/>
    <w:rsid w:val="004C72A0"/>
    <w:rsid w:val="004D2B0C"/>
    <w:rsid w:val="004D3A37"/>
    <w:rsid w:val="004D60A3"/>
    <w:rsid w:val="004E2D93"/>
    <w:rsid w:val="004F0A90"/>
    <w:rsid w:val="004F3017"/>
    <w:rsid w:val="00504A6F"/>
    <w:rsid w:val="00511247"/>
    <w:rsid w:val="005125D3"/>
    <w:rsid w:val="00517AE1"/>
    <w:rsid w:val="00521470"/>
    <w:rsid w:val="005216E0"/>
    <w:rsid w:val="005238BD"/>
    <w:rsid w:val="00523F87"/>
    <w:rsid w:val="00524467"/>
    <w:rsid w:val="005347B2"/>
    <w:rsid w:val="0054180F"/>
    <w:rsid w:val="0054466D"/>
    <w:rsid w:val="005476FE"/>
    <w:rsid w:val="00550F4F"/>
    <w:rsid w:val="00560B96"/>
    <w:rsid w:val="00565000"/>
    <w:rsid w:val="0056560A"/>
    <w:rsid w:val="005672C3"/>
    <w:rsid w:val="0056799C"/>
    <w:rsid w:val="005704A8"/>
    <w:rsid w:val="00570AE1"/>
    <w:rsid w:val="005715F7"/>
    <w:rsid w:val="00575CA4"/>
    <w:rsid w:val="00577808"/>
    <w:rsid w:val="00585642"/>
    <w:rsid w:val="005945D7"/>
    <w:rsid w:val="005969DE"/>
    <w:rsid w:val="005A1967"/>
    <w:rsid w:val="005A5F6D"/>
    <w:rsid w:val="005A6AD3"/>
    <w:rsid w:val="005A6DD0"/>
    <w:rsid w:val="005B0FDA"/>
    <w:rsid w:val="005B28CD"/>
    <w:rsid w:val="005B3707"/>
    <w:rsid w:val="005B40F9"/>
    <w:rsid w:val="005B4F00"/>
    <w:rsid w:val="005B55A0"/>
    <w:rsid w:val="005B713F"/>
    <w:rsid w:val="005C360A"/>
    <w:rsid w:val="005C69EF"/>
    <w:rsid w:val="005D34F0"/>
    <w:rsid w:val="005E462A"/>
    <w:rsid w:val="005F1024"/>
    <w:rsid w:val="005F2B01"/>
    <w:rsid w:val="005F45B1"/>
    <w:rsid w:val="006015E2"/>
    <w:rsid w:val="006027A4"/>
    <w:rsid w:val="00610073"/>
    <w:rsid w:val="006103EA"/>
    <w:rsid w:val="00613934"/>
    <w:rsid w:val="0061752F"/>
    <w:rsid w:val="006247C1"/>
    <w:rsid w:val="006266DF"/>
    <w:rsid w:val="0063001D"/>
    <w:rsid w:val="00630549"/>
    <w:rsid w:val="006318CC"/>
    <w:rsid w:val="006338F4"/>
    <w:rsid w:val="00640C97"/>
    <w:rsid w:val="00642BB6"/>
    <w:rsid w:val="00646F8C"/>
    <w:rsid w:val="00647100"/>
    <w:rsid w:val="00647C47"/>
    <w:rsid w:val="00653CB7"/>
    <w:rsid w:val="00653D4F"/>
    <w:rsid w:val="00654C35"/>
    <w:rsid w:val="006553AC"/>
    <w:rsid w:val="00655990"/>
    <w:rsid w:val="00657C02"/>
    <w:rsid w:val="0066064F"/>
    <w:rsid w:val="006628BA"/>
    <w:rsid w:val="00664C69"/>
    <w:rsid w:val="0066592E"/>
    <w:rsid w:val="00667198"/>
    <w:rsid w:val="00674EF0"/>
    <w:rsid w:val="006764D0"/>
    <w:rsid w:val="00687E5B"/>
    <w:rsid w:val="00692457"/>
    <w:rsid w:val="00693D49"/>
    <w:rsid w:val="00697001"/>
    <w:rsid w:val="006A5216"/>
    <w:rsid w:val="006A556F"/>
    <w:rsid w:val="006B054F"/>
    <w:rsid w:val="006B1CDB"/>
    <w:rsid w:val="006B2DB2"/>
    <w:rsid w:val="006B32FD"/>
    <w:rsid w:val="006B483D"/>
    <w:rsid w:val="006B4FD4"/>
    <w:rsid w:val="006C2A2A"/>
    <w:rsid w:val="006C2CB7"/>
    <w:rsid w:val="006C3403"/>
    <w:rsid w:val="006C3EE8"/>
    <w:rsid w:val="006C68D4"/>
    <w:rsid w:val="006C770A"/>
    <w:rsid w:val="006D48FD"/>
    <w:rsid w:val="006F2A1B"/>
    <w:rsid w:val="0070188E"/>
    <w:rsid w:val="00704A7A"/>
    <w:rsid w:val="00705626"/>
    <w:rsid w:val="00705CC1"/>
    <w:rsid w:val="00706FA0"/>
    <w:rsid w:val="0071315B"/>
    <w:rsid w:val="00713365"/>
    <w:rsid w:val="00714176"/>
    <w:rsid w:val="0071502A"/>
    <w:rsid w:val="007224F7"/>
    <w:rsid w:val="007230A3"/>
    <w:rsid w:val="0074288F"/>
    <w:rsid w:val="00744E66"/>
    <w:rsid w:val="00753914"/>
    <w:rsid w:val="007569D9"/>
    <w:rsid w:val="00757BA1"/>
    <w:rsid w:val="007641BC"/>
    <w:rsid w:val="007642C3"/>
    <w:rsid w:val="0076575B"/>
    <w:rsid w:val="00767D49"/>
    <w:rsid w:val="00772958"/>
    <w:rsid w:val="00777F5A"/>
    <w:rsid w:val="007818AD"/>
    <w:rsid w:val="00786529"/>
    <w:rsid w:val="00793BA7"/>
    <w:rsid w:val="00794C05"/>
    <w:rsid w:val="00795128"/>
    <w:rsid w:val="00797BB7"/>
    <w:rsid w:val="007A272C"/>
    <w:rsid w:val="007A3973"/>
    <w:rsid w:val="007A56BA"/>
    <w:rsid w:val="007B0148"/>
    <w:rsid w:val="007B22DE"/>
    <w:rsid w:val="007B4D14"/>
    <w:rsid w:val="007B6D48"/>
    <w:rsid w:val="007B7BF9"/>
    <w:rsid w:val="007C6686"/>
    <w:rsid w:val="007D6C6B"/>
    <w:rsid w:val="007D6E06"/>
    <w:rsid w:val="007E0001"/>
    <w:rsid w:val="007E6960"/>
    <w:rsid w:val="007E7B19"/>
    <w:rsid w:val="007F3A44"/>
    <w:rsid w:val="007F3CD5"/>
    <w:rsid w:val="007F43EA"/>
    <w:rsid w:val="007F6768"/>
    <w:rsid w:val="00800E93"/>
    <w:rsid w:val="00804C7B"/>
    <w:rsid w:val="00805923"/>
    <w:rsid w:val="00806CC1"/>
    <w:rsid w:val="00811CBA"/>
    <w:rsid w:val="0081225E"/>
    <w:rsid w:val="008162E3"/>
    <w:rsid w:val="00827A8D"/>
    <w:rsid w:val="0083031F"/>
    <w:rsid w:val="008350C4"/>
    <w:rsid w:val="00850B32"/>
    <w:rsid w:val="00851D43"/>
    <w:rsid w:val="00855064"/>
    <w:rsid w:val="008554CB"/>
    <w:rsid w:val="00857136"/>
    <w:rsid w:val="00857452"/>
    <w:rsid w:val="00862B12"/>
    <w:rsid w:val="00864F00"/>
    <w:rsid w:val="00865461"/>
    <w:rsid w:val="00867133"/>
    <w:rsid w:val="00867E86"/>
    <w:rsid w:val="00875C54"/>
    <w:rsid w:val="00880C26"/>
    <w:rsid w:val="00881759"/>
    <w:rsid w:val="00881EBA"/>
    <w:rsid w:val="00881F00"/>
    <w:rsid w:val="00884682"/>
    <w:rsid w:val="008900B0"/>
    <w:rsid w:val="00890888"/>
    <w:rsid w:val="00891625"/>
    <w:rsid w:val="00891D70"/>
    <w:rsid w:val="00895408"/>
    <w:rsid w:val="008A036E"/>
    <w:rsid w:val="008A605C"/>
    <w:rsid w:val="008B1B61"/>
    <w:rsid w:val="008B5356"/>
    <w:rsid w:val="008B749E"/>
    <w:rsid w:val="008C580F"/>
    <w:rsid w:val="008C64F6"/>
    <w:rsid w:val="008C77D0"/>
    <w:rsid w:val="008D3855"/>
    <w:rsid w:val="008D5EEB"/>
    <w:rsid w:val="008E217D"/>
    <w:rsid w:val="008E29AF"/>
    <w:rsid w:val="008E45DF"/>
    <w:rsid w:val="008E7F85"/>
    <w:rsid w:val="008F1BDB"/>
    <w:rsid w:val="008F327C"/>
    <w:rsid w:val="008F40E4"/>
    <w:rsid w:val="008F547B"/>
    <w:rsid w:val="00900815"/>
    <w:rsid w:val="00907999"/>
    <w:rsid w:val="00910EC1"/>
    <w:rsid w:val="00915BAF"/>
    <w:rsid w:val="00915D89"/>
    <w:rsid w:val="00920311"/>
    <w:rsid w:val="00920D93"/>
    <w:rsid w:val="00922C25"/>
    <w:rsid w:val="009237AE"/>
    <w:rsid w:val="009270F6"/>
    <w:rsid w:val="00932163"/>
    <w:rsid w:val="00933247"/>
    <w:rsid w:val="00934589"/>
    <w:rsid w:val="00937CA3"/>
    <w:rsid w:val="00944BFA"/>
    <w:rsid w:val="0094540E"/>
    <w:rsid w:val="009519AD"/>
    <w:rsid w:val="00964F2E"/>
    <w:rsid w:val="00971EDC"/>
    <w:rsid w:val="009777D3"/>
    <w:rsid w:val="009839BE"/>
    <w:rsid w:val="00991B7D"/>
    <w:rsid w:val="009939E8"/>
    <w:rsid w:val="00993A89"/>
    <w:rsid w:val="009960F3"/>
    <w:rsid w:val="009965BE"/>
    <w:rsid w:val="009A443B"/>
    <w:rsid w:val="009A499C"/>
    <w:rsid w:val="009A57A6"/>
    <w:rsid w:val="009B45D8"/>
    <w:rsid w:val="009B595C"/>
    <w:rsid w:val="009C12C2"/>
    <w:rsid w:val="009C13B3"/>
    <w:rsid w:val="009C613F"/>
    <w:rsid w:val="009C6240"/>
    <w:rsid w:val="009D0942"/>
    <w:rsid w:val="009D1937"/>
    <w:rsid w:val="009D27FF"/>
    <w:rsid w:val="009D5EA8"/>
    <w:rsid w:val="009E0297"/>
    <w:rsid w:val="009E5697"/>
    <w:rsid w:val="009F00A8"/>
    <w:rsid w:val="009F360A"/>
    <w:rsid w:val="009F6DB2"/>
    <w:rsid w:val="00A003DB"/>
    <w:rsid w:val="00A12D33"/>
    <w:rsid w:val="00A12F6B"/>
    <w:rsid w:val="00A16C06"/>
    <w:rsid w:val="00A20679"/>
    <w:rsid w:val="00A266CF"/>
    <w:rsid w:val="00A353C7"/>
    <w:rsid w:val="00A35864"/>
    <w:rsid w:val="00A42C6E"/>
    <w:rsid w:val="00A4604D"/>
    <w:rsid w:val="00A53E79"/>
    <w:rsid w:val="00A543B1"/>
    <w:rsid w:val="00A54F91"/>
    <w:rsid w:val="00A57A55"/>
    <w:rsid w:val="00A57D60"/>
    <w:rsid w:val="00A62732"/>
    <w:rsid w:val="00A643D7"/>
    <w:rsid w:val="00A677D8"/>
    <w:rsid w:val="00A7014E"/>
    <w:rsid w:val="00A70986"/>
    <w:rsid w:val="00A726D1"/>
    <w:rsid w:val="00A731D6"/>
    <w:rsid w:val="00A81306"/>
    <w:rsid w:val="00A87BBB"/>
    <w:rsid w:val="00A9600D"/>
    <w:rsid w:val="00A964DA"/>
    <w:rsid w:val="00A974EA"/>
    <w:rsid w:val="00AA15BE"/>
    <w:rsid w:val="00AA4937"/>
    <w:rsid w:val="00AA5EC9"/>
    <w:rsid w:val="00AB1B5F"/>
    <w:rsid w:val="00AB5788"/>
    <w:rsid w:val="00AB73A6"/>
    <w:rsid w:val="00AB7CAC"/>
    <w:rsid w:val="00AC0E51"/>
    <w:rsid w:val="00AC44CA"/>
    <w:rsid w:val="00AC720E"/>
    <w:rsid w:val="00AD0CD6"/>
    <w:rsid w:val="00AD2907"/>
    <w:rsid w:val="00AD3F93"/>
    <w:rsid w:val="00AD440B"/>
    <w:rsid w:val="00AD4917"/>
    <w:rsid w:val="00AD5482"/>
    <w:rsid w:val="00AD7BAD"/>
    <w:rsid w:val="00AE5C71"/>
    <w:rsid w:val="00AF1DD4"/>
    <w:rsid w:val="00AF224F"/>
    <w:rsid w:val="00AF25BE"/>
    <w:rsid w:val="00AF3099"/>
    <w:rsid w:val="00AF6576"/>
    <w:rsid w:val="00AF7AE0"/>
    <w:rsid w:val="00B04E7F"/>
    <w:rsid w:val="00B07BDC"/>
    <w:rsid w:val="00B1107F"/>
    <w:rsid w:val="00B160E2"/>
    <w:rsid w:val="00B17998"/>
    <w:rsid w:val="00B25F9A"/>
    <w:rsid w:val="00B264D7"/>
    <w:rsid w:val="00B31269"/>
    <w:rsid w:val="00B31B20"/>
    <w:rsid w:val="00B32FA0"/>
    <w:rsid w:val="00B34A98"/>
    <w:rsid w:val="00B34FC1"/>
    <w:rsid w:val="00B41EC0"/>
    <w:rsid w:val="00B4355B"/>
    <w:rsid w:val="00B479B6"/>
    <w:rsid w:val="00B5486D"/>
    <w:rsid w:val="00B558D8"/>
    <w:rsid w:val="00B568E2"/>
    <w:rsid w:val="00B6018F"/>
    <w:rsid w:val="00B61318"/>
    <w:rsid w:val="00B63501"/>
    <w:rsid w:val="00B63D0E"/>
    <w:rsid w:val="00B66F6E"/>
    <w:rsid w:val="00B70388"/>
    <w:rsid w:val="00B73730"/>
    <w:rsid w:val="00B73D3A"/>
    <w:rsid w:val="00B77B1A"/>
    <w:rsid w:val="00B80AA7"/>
    <w:rsid w:val="00B80D22"/>
    <w:rsid w:val="00B82934"/>
    <w:rsid w:val="00B86551"/>
    <w:rsid w:val="00B945B4"/>
    <w:rsid w:val="00BA068C"/>
    <w:rsid w:val="00BA0935"/>
    <w:rsid w:val="00BA235B"/>
    <w:rsid w:val="00BA3BA8"/>
    <w:rsid w:val="00BA689A"/>
    <w:rsid w:val="00BB05A6"/>
    <w:rsid w:val="00BC327F"/>
    <w:rsid w:val="00BC4EBA"/>
    <w:rsid w:val="00BC5292"/>
    <w:rsid w:val="00BD0C34"/>
    <w:rsid w:val="00BD13C3"/>
    <w:rsid w:val="00BD2AA8"/>
    <w:rsid w:val="00BD3F0D"/>
    <w:rsid w:val="00BF3786"/>
    <w:rsid w:val="00BF462D"/>
    <w:rsid w:val="00BF7DD9"/>
    <w:rsid w:val="00C14E06"/>
    <w:rsid w:val="00C16F67"/>
    <w:rsid w:val="00C1777B"/>
    <w:rsid w:val="00C17C95"/>
    <w:rsid w:val="00C203BF"/>
    <w:rsid w:val="00C21E0C"/>
    <w:rsid w:val="00C32D86"/>
    <w:rsid w:val="00C35804"/>
    <w:rsid w:val="00C36E43"/>
    <w:rsid w:val="00C42A4B"/>
    <w:rsid w:val="00C43745"/>
    <w:rsid w:val="00C4406C"/>
    <w:rsid w:val="00C470EC"/>
    <w:rsid w:val="00C471B7"/>
    <w:rsid w:val="00C50515"/>
    <w:rsid w:val="00C506B0"/>
    <w:rsid w:val="00C51AC2"/>
    <w:rsid w:val="00C51F15"/>
    <w:rsid w:val="00C65657"/>
    <w:rsid w:val="00C65BE4"/>
    <w:rsid w:val="00C66D59"/>
    <w:rsid w:val="00C6796C"/>
    <w:rsid w:val="00C679F3"/>
    <w:rsid w:val="00C70349"/>
    <w:rsid w:val="00C70BF0"/>
    <w:rsid w:val="00C81363"/>
    <w:rsid w:val="00C828FD"/>
    <w:rsid w:val="00C83FF8"/>
    <w:rsid w:val="00C85326"/>
    <w:rsid w:val="00C90866"/>
    <w:rsid w:val="00CA1F8D"/>
    <w:rsid w:val="00CA2D63"/>
    <w:rsid w:val="00CA2D75"/>
    <w:rsid w:val="00CA4D6B"/>
    <w:rsid w:val="00CA557C"/>
    <w:rsid w:val="00CA6FB9"/>
    <w:rsid w:val="00CB1EED"/>
    <w:rsid w:val="00CB22BE"/>
    <w:rsid w:val="00CB34C1"/>
    <w:rsid w:val="00CB5C86"/>
    <w:rsid w:val="00CB7CAA"/>
    <w:rsid w:val="00CC7D67"/>
    <w:rsid w:val="00CD1AA6"/>
    <w:rsid w:val="00CD2D8E"/>
    <w:rsid w:val="00CD462B"/>
    <w:rsid w:val="00CD799E"/>
    <w:rsid w:val="00CE6A1C"/>
    <w:rsid w:val="00CE76E3"/>
    <w:rsid w:val="00CF20B6"/>
    <w:rsid w:val="00CF62DC"/>
    <w:rsid w:val="00CF64E1"/>
    <w:rsid w:val="00CF7191"/>
    <w:rsid w:val="00D02F63"/>
    <w:rsid w:val="00D03A45"/>
    <w:rsid w:val="00D209E5"/>
    <w:rsid w:val="00D21ACF"/>
    <w:rsid w:val="00D2349C"/>
    <w:rsid w:val="00D25139"/>
    <w:rsid w:val="00D26A89"/>
    <w:rsid w:val="00D3124A"/>
    <w:rsid w:val="00D313CF"/>
    <w:rsid w:val="00D33D80"/>
    <w:rsid w:val="00D43D02"/>
    <w:rsid w:val="00D45CCD"/>
    <w:rsid w:val="00D4775F"/>
    <w:rsid w:val="00D5194B"/>
    <w:rsid w:val="00D52187"/>
    <w:rsid w:val="00D550DD"/>
    <w:rsid w:val="00D550EE"/>
    <w:rsid w:val="00D63041"/>
    <w:rsid w:val="00D70241"/>
    <w:rsid w:val="00D72090"/>
    <w:rsid w:val="00D756E3"/>
    <w:rsid w:val="00DA1DDB"/>
    <w:rsid w:val="00DA218D"/>
    <w:rsid w:val="00DA43E1"/>
    <w:rsid w:val="00DA5602"/>
    <w:rsid w:val="00DB2594"/>
    <w:rsid w:val="00DB3CBC"/>
    <w:rsid w:val="00DC2AC9"/>
    <w:rsid w:val="00DC74C3"/>
    <w:rsid w:val="00DD1D84"/>
    <w:rsid w:val="00DD39EA"/>
    <w:rsid w:val="00DD7E39"/>
    <w:rsid w:val="00DE29C4"/>
    <w:rsid w:val="00DE4F8C"/>
    <w:rsid w:val="00DF06E2"/>
    <w:rsid w:val="00DF08AA"/>
    <w:rsid w:val="00DF0BCD"/>
    <w:rsid w:val="00DF1BEB"/>
    <w:rsid w:val="00DF4BD1"/>
    <w:rsid w:val="00DF596F"/>
    <w:rsid w:val="00DF7EFC"/>
    <w:rsid w:val="00E00E85"/>
    <w:rsid w:val="00E01DCF"/>
    <w:rsid w:val="00E04A0B"/>
    <w:rsid w:val="00E068EF"/>
    <w:rsid w:val="00E06FD6"/>
    <w:rsid w:val="00E123C2"/>
    <w:rsid w:val="00E13DBA"/>
    <w:rsid w:val="00E144E6"/>
    <w:rsid w:val="00E14C0D"/>
    <w:rsid w:val="00E15901"/>
    <w:rsid w:val="00E223A9"/>
    <w:rsid w:val="00E2333F"/>
    <w:rsid w:val="00E26891"/>
    <w:rsid w:val="00E31E61"/>
    <w:rsid w:val="00E3649E"/>
    <w:rsid w:val="00E37BFA"/>
    <w:rsid w:val="00E46968"/>
    <w:rsid w:val="00E46BAF"/>
    <w:rsid w:val="00E4783B"/>
    <w:rsid w:val="00E50A77"/>
    <w:rsid w:val="00E50C6F"/>
    <w:rsid w:val="00E51A58"/>
    <w:rsid w:val="00E557E5"/>
    <w:rsid w:val="00E574B5"/>
    <w:rsid w:val="00E614F3"/>
    <w:rsid w:val="00E65D16"/>
    <w:rsid w:val="00E66D48"/>
    <w:rsid w:val="00E77236"/>
    <w:rsid w:val="00E86DF9"/>
    <w:rsid w:val="00E86F9F"/>
    <w:rsid w:val="00E95720"/>
    <w:rsid w:val="00E96F40"/>
    <w:rsid w:val="00EA0655"/>
    <w:rsid w:val="00EA1161"/>
    <w:rsid w:val="00EA2C28"/>
    <w:rsid w:val="00EA358B"/>
    <w:rsid w:val="00EA5272"/>
    <w:rsid w:val="00EA57C2"/>
    <w:rsid w:val="00EB0191"/>
    <w:rsid w:val="00EB0686"/>
    <w:rsid w:val="00EB0B7B"/>
    <w:rsid w:val="00EB5B78"/>
    <w:rsid w:val="00EC033E"/>
    <w:rsid w:val="00EC19F3"/>
    <w:rsid w:val="00EC4E42"/>
    <w:rsid w:val="00EE01EC"/>
    <w:rsid w:val="00EE0642"/>
    <w:rsid w:val="00EE22C4"/>
    <w:rsid w:val="00EE4BFC"/>
    <w:rsid w:val="00EF0251"/>
    <w:rsid w:val="00EF1A67"/>
    <w:rsid w:val="00EF201F"/>
    <w:rsid w:val="00EF3398"/>
    <w:rsid w:val="00EF3B87"/>
    <w:rsid w:val="00EF466B"/>
    <w:rsid w:val="00F00215"/>
    <w:rsid w:val="00F004C1"/>
    <w:rsid w:val="00F0231F"/>
    <w:rsid w:val="00F03D70"/>
    <w:rsid w:val="00F03EA1"/>
    <w:rsid w:val="00F11975"/>
    <w:rsid w:val="00F21860"/>
    <w:rsid w:val="00F23FC6"/>
    <w:rsid w:val="00F245C1"/>
    <w:rsid w:val="00F27691"/>
    <w:rsid w:val="00F36557"/>
    <w:rsid w:val="00F407EE"/>
    <w:rsid w:val="00F408D2"/>
    <w:rsid w:val="00F41062"/>
    <w:rsid w:val="00F411D7"/>
    <w:rsid w:val="00F4350A"/>
    <w:rsid w:val="00F43F92"/>
    <w:rsid w:val="00F52EB2"/>
    <w:rsid w:val="00F657B0"/>
    <w:rsid w:val="00F67623"/>
    <w:rsid w:val="00F73FE6"/>
    <w:rsid w:val="00F74981"/>
    <w:rsid w:val="00F758F7"/>
    <w:rsid w:val="00F950CD"/>
    <w:rsid w:val="00FA49E9"/>
    <w:rsid w:val="00FA6B75"/>
    <w:rsid w:val="00FB03B9"/>
    <w:rsid w:val="00FB105D"/>
    <w:rsid w:val="00FB3D7B"/>
    <w:rsid w:val="00FB51CC"/>
    <w:rsid w:val="00FC1777"/>
    <w:rsid w:val="00FC180D"/>
    <w:rsid w:val="00FC1BE8"/>
    <w:rsid w:val="00FC365B"/>
    <w:rsid w:val="00FC4FB5"/>
    <w:rsid w:val="00FC6EBD"/>
    <w:rsid w:val="00FC7245"/>
    <w:rsid w:val="00FE4970"/>
    <w:rsid w:val="00FE52AD"/>
    <w:rsid w:val="00FF0794"/>
    <w:rsid w:val="00FF6441"/>
    <w:rsid w:val="00FF74BC"/>
    <w:rsid w:val="08DC0C3C"/>
    <w:rsid w:val="12857D11"/>
    <w:rsid w:val="137DCDF6"/>
    <w:rsid w:val="232F2739"/>
    <w:rsid w:val="3BEF12A4"/>
    <w:rsid w:val="4B067A85"/>
    <w:rsid w:val="52D3F29C"/>
    <w:rsid w:val="5A98EFA3"/>
    <w:rsid w:val="63C38142"/>
    <w:rsid w:val="68CC30DA"/>
    <w:rsid w:val="7F44466D"/>
  </w:rsids>
  <m:mathPr>
    <m:mathFont m:val="Cambria Math"/>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14:docId w14:val="2FFB160A"/>
  <w15:chartTrackingRefBased/>
  <w15:docId w15:val="{A660DE2D-0CBE-4F95-9E94-FECDBC44B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pPr>
    <w:rPr>
      <w:snapToGrid w:val="0"/>
      <w:kern w:val="28"/>
      <w:sz w:val="22"/>
    </w:rPr>
  </w:style>
  <w:style w:type="paragraph" w:styleId="Heading1">
    <w:name w:val="heading 1"/>
    <w:basedOn w:val="Normal"/>
    <w:next w:val="ParaNum"/>
    <w:qFormat/>
    <w:pPr>
      <w:keepNext/>
      <w:numPr>
        <w:numId w:val="3"/>
      </w:numPr>
      <w:tabs>
        <w:tab w:val="left" w:pos="720"/>
      </w:tabs>
      <w:suppressAutoHyphens/>
      <w:spacing w:after="120"/>
      <w:outlineLvl w:val="0"/>
    </w:pPr>
    <w:rPr>
      <w:rFonts w:ascii="Times New Roman Bold" w:hAnsi="Times New Roman Bold"/>
      <w:b/>
      <w:caps/>
    </w:rPr>
  </w:style>
  <w:style w:type="paragraph" w:styleId="Heading2">
    <w:name w:val="heading 2"/>
    <w:basedOn w:val="Normal"/>
    <w:next w:val="ParaNum"/>
    <w:autoRedefine/>
    <w:qFormat/>
    <w:pPr>
      <w:keepNext/>
      <w:numPr>
        <w:ilvl w:val="1"/>
        <w:numId w:val="3"/>
      </w:numPr>
      <w:spacing w:after="120"/>
      <w:outlineLvl w:val="1"/>
    </w:pPr>
    <w:rPr>
      <w:b/>
    </w:rPr>
  </w:style>
  <w:style w:type="paragraph" w:styleId="Heading3">
    <w:name w:val="heading 3"/>
    <w:basedOn w:val="Normal"/>
    <w:next w:val="ParaNum"/>
    <w:qFormat/>
    <w:pPr>
      <w:keepNext/>
      <w:numPr>
        <w:ilvl w:val="2"/>
        <w:numId w:val="3"/>
      </w:numPr>
      <w:tabs>
        <w:tab w:val="left" w:pos="2160"/>
      </w:tabs>
      <w:spacing w:after="120"/>
      <w:outlineLvl w:val="2"/>
    </w:pPr>
    <w:rPr>
      <w:b/>
    </w:rPr>
  </w:style>
  <w:style w:type="paragraph" w:styleId="Heading4">
    <w:name w:val="heading 4"/>
    <w:basedOn w:val="Normal"/>
    <w:next w:val="ParaNum"/>
    <w:qFormat/>
    <w:pPr>
      <w:keepNext/>
      <w:numPr>
        <w:ilvl w:val="3"/>
        <w:numId w:val="3"/>
      </w:numPr>
      <w:tabs>
        <w:tab w:val="left" w:pos="2880"/>
      </w:tabs>
      <w:spacing w:after="120"/>
      <w:outlineLvl w:val="3"/>
    </w:pPr>
    <w:rPr>
      <w:b/>
    </w:rPr>
  </w:style>
  <w:style w:type="paragraph" w:styleId="Heading5">
    <w:name w:val="heading 5"/>
    <w:basedOn w:val="Normal"/>
    <w:next w:val="ParaNum"/>
    <w:qFormat/>
    <w:pPr>
      <w:keepNext/>
      <w:numPr>
        <w:ilvl w:val="4"/>
        <w:numId w:val="3"/>
      </w:numPr>
      <w:tabs>
        <w:tab w:val="left" w:pos="3600"/>
      </w:tabs>
      <w:suppressAutoHyphens/>
      <w:spacing w:after="120"/>
      <w:outlineLvl w:val="4"/>
    </w:pPr>
    <w:rPr>
      <w:b/>
    </w:rPr>
  </w:style>
  <w:style w:type="paragraph" w:styleId="Heading6">
    <w:name w:val="heading 6"/>
    <w:basedOn w:val="Normal"/>
    <w:next w:val="ParaNum"/>
    <w:qFormat/>
    <w:pPr>
      <w:numPr>
        <w:ilvl w:val="5"/>
        <w:numId w:val="3"/>
      </w:numPr>
      <w:tabs>
        <w:tab w:val="left" w:pos="4320"/>
      </w:tabs>
      <w:spacing w:after="120"/>
      <w:outlineLvl w:val="5"/>
    </w:pPr>
    <w:rPr>
      <w:b/>
    </w:rPr>
  </w:style>
  <w:style w:type="paragraph" w:styleId="Heading7">
    <w:name w:val="heading 7"/>
    <w:basedOn w:val="Normal"/>
    <w:next w:val="ParaNum"/>
    <w:qFormat/>
    <w:pPr>
      <w:numPr>
        <w:ilvl w:val="6"/>
        <w:numId w:val="3"/>
      </w:numPr>
      <w:tabs>
        <w:tab w:val="left" w:pos="5040"/>
      </w:tabs>
      <w:spacing w:after="120"/>
      <w:ind w:left="5040" w:hanging="720"/>
      <w:outlineLvl w:val="6"/>
    </w:pPr>
    <w:rPr>
      <w:b/>
    </w:rPr>
  </w:style>
  <w:style w:type="paragraph" w:styleId="Heading8">
    <w:name w:val="heading 8"/>
    <w:basedOn w:val="Normal"/>
    <w:next w:val="ParaNum"/>
    <w:qFormat/>
    <w:pPr>
      <w:numPr>
        <w:ilvl w:val="7"/>
        <w:numId w:val="3"/>
      </w:numPr>
      <w:tabs>
        <w:tab w:val="clear" w:pos="5400"/>
        <w:tab w:val="left" w:pos="5760"/>
      </w:tabs>
      <w:spacing w:after="120"/>
      <w:ind w:left="5760" w:hanging="720"/>
      <w:outlineLvl w:val="7"/>
    </w:pPr>
    <w:rPr>
      <w:b/>
    </w:rPr>
  </w:style>
  <w:style w:type="paragraph" w:styleId="Heading9">
    <w:name w:val="heading 9"/>
    <w:basedOn w:val="Normal"/>
    <w:next w:val="ParaNum"/>
    <w:qFormat/>
    <w:pPr>
      <w:numPr>
        <w:ilvl w:val="8"/>
        <w:numId w:val="3"/>
      </w:numPr>
      <w:tabs>
        <w:tab w:val="clear" w:pos="6120"/>
        <w:tab w:val="left" w:pos="6480"/>
      </w:tabs>
      <w:spacing w:after="120"/>
      <w:ind w:left="6480" w:hanging="720"/>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Num">
    <w:name w:val="ParaNum"/>
    <w:basedOn w:val="Normal"/>
    <w:pPr>
      <w:numPr>
        <w:numId w:val="2"/>
      </w:numPr>
      <w:tabs>
        <w:tab w:val="clear" w:pos="1080"/>
        <w:tab w:val="num" w:pos="1440"/>
      </w:tabs>
      <w:spacing w:after="120"/>
    </w:pPr>
  </w:style>
  <w:style w:type="paragraph" w:styleId="EndnoteText">
    <w:name w:val="endnote text"/>
    <w:basedOn w:val="Normal"/>
    <w:semiHidden/>
    <w:rPr>
      <w:sz w:val="20"/>
    </w:rPr>
  </w:style>
  <w:style w:type="character" w:styleId="EndnoteReference">
    <w:name w:val="endnote reference"/>
    <w:semiHidden/>
    <w:rPr>
      <w:vertAlign w:val="superscript"/>
    </w:rPr>
  </w:style>
  <w:style w:type="paragraph" w:styleId="FootnoteText">
    <w:name w:val="footnote text"/>
    <w:aliases w:val="Footnote Text Char,Footnote Text Char Char Char1 Char Char Char,Footnote Text Char Char Char2 Char Char,Footnote Text Char1 Char1 Char Char Char,Footnote Text Char2 Char,Footnote Text Char2 Char Char Char,Footnote Text Char3 Char Char,f,fn"/>
    <w:link w:val="FootnoteTextChar1"/>
    <w:qFormat/>
    <w:pPr>
      <w:spacing w:after="120"/>
    </w:pPr>
  </w:style>
  <w:style w:type="character" w:styleId="FootnoteReference">
    <w:name w:val="footnote reference"/>
    <w:aliases w:val="(NECG) Footnote Reference,-E Funotenzeichen,A,Appel note de bas de p,FR,Footnote Reference/,Footnote Reference1,Ref,Style 1,Style 12,Style 124,Style 13,Style 17,Style 20,Style 3,Style 34,Style 4,Style 6,Style 7,Style 9,callout,fr,o"/>
    <w:qFormat/>
    <w:rPr>
      <w:rFonts w:ascii="Times New Roman" w:hAnsi="Times New Roman"/>
      <w:dstrike w:val="0"/>
      <w:color w:val="auto"/>
      <w:sz w:val="22"/>
      <w:vertAlign w:val="superscript"/>
    </w:rPr>
  </w:style>
  <w:style w:type="paragraph" w:styleId="TOC1">
    <w:name w:val="toc 1"/>
    <w:basedOn w:val="Normal"/>
    <w:next w:val="Normal"/>
    <w:uiPriority w:val="39"/>
    <w:pPr>
      <w:tabs>
        <w:tab w:val="left" w:pos="360"/>
        <w:tab w:val="right" w:leader="dot" w:pos="9360"/>
      </w:tabs>
      <w:suppressAutoHyphens/>
      <w:ind w:left="360" w:right="720" w:hanging="360"/>
    </w:pPr>
    <w:rPr>
      <w:caps/>
      <w:noProof/>
    </w:rPr>
  </w:style>
  <w:style w:type="paragraph" w:styleId="TOC2">
    <w:name w:val="toc 2"/>
    <w:basedOn w:val="Normal"/>
    <w:next w:val="Normal"/>
    <w:semiHidden/>
    <w:pPr>
      <w:tabs>
        <w:tab w:val="left" w:pos="720"/>
        <w:tab w:val="right" w:leader="dot" w:pos="9360"/>
      </w:tabs>
      <w:suppressAutoHyphens/>
      <w:ind w:left="720" w:right="720" w:hanging="360"/>
    </w:pPr>
    <w:rPr>
      <w:noProof/>
    </w:rPr>
  </w:style>
  <w:style w:type="paragraph" w:styleId="TOC3">
    <w:name w:val="toc 3"/>
    <w:basedOn w:val="Normal"/>
    <w:next w:val="Normal"/>
    <w:semiHidden/>
    <w:pPr>
      <w:tabs>
        <w:tab w:val="left" w:pos="1080"/>
        <w:tab w:val="right" w:leader="dot" w:pos="9360"/>
      </w:tabs>
      <w:suppressAutoHyphens/>
      <w:ind w:left="1080" w:right="720" w:hanging="360"/>
    </w:pPr>
    <w:rPr>
      <w:noProof/>
    </w:rPr>
  </w:style>
  <w:style w:type="paragraph" w:styleId="TOC4">
    <w:name w:val="toc 4"/>
    <w:basedOn w:val="Normal"/>
    <w:next w:val="Normal"/>
    <w:autoRedefine/>
    <w:semiHidden/>
    <w:pPr>
      <w:tabs>
        <w:tab w:val="left" w:pos="1440"/>
        <w:tab w:val="right" w:leader="dot" w:pos="9360"/>
      </w:tabs>
      <w:suppressAutoHyphens/>
      <w:ind w:left="1440" w:right="720" w:hanging="360"/>
    </w:pPr>
    <w:rPr>
      <w:noProof/>
    </w:rPr>
  </w:style>
  <w:style w:type="paragraph" w:styleId="TOC5">
    <w:name w:val="toc 5"/>
    <w:basedOn w:val="Normal"/>
    <w:next w:val="Normal"/>
    <w:autoRedefine/>
    <w:semiHidden/>
    <w:pPr>
      <w:tabs>
        <w:tab w:val="left" w:pos="1800"/>
        <w:tab w:val="right" w:leader="dot" w:pos="9360"/>
      </w:tabs>
      <w:suppressAutoHyphens/>
      <w:ind w:left="1800" w:right="720" w:hanging="360"/>
    </w:pPr>
    <w:rPr>
      <w:noProof/>
    </w:rPr>
  </w:style>
  <w:style w:type="paragraph" w:styleId="TOC6">
    <w:name w:val="toc 6"/>
    <w:basedOn w:val="Normal"/>
    <w:next w:val="Normal"/>
    <w:autoRedefine/>
    <w:semiHidden/>
    <w:pPr>
      <w:tabs>
        <w:tab w:val="left" w:pos="2160"/>
        <w:tab w:val="right" w:leader="dot" w:pos="9360"/>
      </w:tabs>
      <w:suppressAutoHyphens/>
      <w:ind w:left="2160" w:hanging="360"/>
    </w:pPr>
    <w:rPr>
      <w:noProof/>
    </w:rPr>
  </w:style>
  <w:style w:type="paragraph" w:styleId="TOC7">
    <w:name w:val="toc 7"/>
    <w:basedOn w:val="Normal"/>
    <w:next w:val="Normal"/>
    <w:autoRedefine/>
    <w:semiHidden/>
    <w:pPr>
      <w:tabs>
        <w:tab w:val="left" w:pos="2520"/>
        <w:tab w:val="right" w:leader="dot" w:pos="9360"/>
      </w:tabs>
      <w:suppressAutoHyphens/>
      <w:ind w:left="2520" w:hanging="360"/>
    </w:pPr>
    <w:rPr>
      <w:noProof/>
    </w:rPr>
  </w:style>
  <w:style w:type="paragraph" w:styleId="TOC8">
    <w:name w:val="toc 8"/>
    <w:basedOn w:val="Normal"/>
    <w:next w:val="Normal"/>
    <w:autoRedefine/>
    <w:semiHidden/>
    <w:pPr>
      <w:tabs>
        <w:tab w:val="left" w:pos="2880"/>
        <w:tab w:val="right" w:leader="dot" w:pos="9360"/>
      </w:tabs>
      <w:suppressAutoHyphens/>
      <w:ind w:left="2880" w:hanging="360"/>
    </w:pPr>
    <w:rPr>
      <w:noProof/>
    </w:rPr>
  </w:style>
  <w:style w:type="paragraph" w:styleId="TOC9">
    <w:name w:val="toc 9"/>
    <w:basedOn w:val="Normal"/>
    <w:next w:val="Normal"/>
    <w:autoRedefine/>
    <w:semiHidden/>
    <w:pPr>
      <w:tabs>
        <w:tab w:val="left" w:pos="3240"/>
        <w:tab w:val="right" w:leader="dot" w:pos="9360"/>
      </w:tabs>
      <w:suppressAutoHyphens/>
      <w:ind w:left="3240" w:hanging="360"/>
    </w:pPr>
    <w:rPr>
      <w:noProof/>
    </w:rPr>
  </w:style>
  <w:style w:type="paragraph" w:styleId="TOAHeading">
    <w:name w:val="toa heading"/>
    <w:basedOn w:val="Normal"/>
    <w:next w:val="Normal"/>
    <w:semiHidden/>
    <w:pPr>
      <w:tabs>
        <w:tab w:val="right" w:pos="9360"/>
      </w:tabs>
      <w:suppressAutoHyphens/>
    </w:pPr>
  </w:style>
  <w:style w:type="character" w:customStyle="1" w:styleId="EquationCaption">
    <w:name w:val="_Equation Caption"/>
  </w:style>
  <w:style w:type="paragraph" w:styleId="Header">
    <w:name w:val="header"/>
    <w:basedOn w:val="Normal"/>
    <w:autoRedefine/>
    <w:pPr>
      <w:tabs>
        <w:tab w:val="center" w:pos="4680"/>
        <w:tab w:val="right" w:pos="9360"/>
      </w:tabs>
    </w:pPr>
    <w:rPr>
      <w:rFonts w:ascii="Arial" w:hAnsi="Arial" w:cs="Arial"/>
      <w:b/>
      <w:sz w:val="96"/>
      <w:szCs w:val="96"/>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lockText">
    <w:name w:val="Block Text"/>
    <w:basedOn w:val="Normal"/>
    <w:pPr>
      <w:spacing w:after="240"/>
      <w:ind w:left="1440" w:right="1440"/>
    </w:pPr>
  </w:style>
  <w:style w:type="paragraph" w:customStyle="1" w:styleId="Paratitle">
    <w:name w:val="Para title"/>
    <w:basedOn w:val="Normal"/>
    <w:pPr>
      <w:tabs>
        <w:tab w:val="center" w:pos="9270"/>
      </w:tabs>
      <w:spacing w:after="240"/>
    </w:pPr>
    <w:rPr>
      <w:spacing w:val="-2"/>
    </w:rPr>
  </w:style>
  <w:style w:type="paragraph" w:customStyle="1" w:styleId="Bullet">
    <w:name w:val="Bullet"/>
    <w:basedOn w:val="Normal"/>
    <w:pPr>
      <w:numPr>
        <w:numId w:val="1"/>
      </w:numPr>
      <w:tabs>
        <w:tab w:val="clear" w:pos="360"/>
        <w:tab w:val="left" w:pos="2160"/>
      </w:tabs>
      <w:spacing w:after="220"/>
      <w:ind w:left="2160" w:hanging="720"/>
    </w:pPr>
  </w:style>
  <w:style w:type="paragraph" w:customStyle="1" w:styleId="TableFormat">
    <w:name w:val="TableFormat"/>
    <w:basedOn w:val="Bullet"/>
    <w:pPr>
      <w:numPr>
        <w:numId w:val="0"/>
      </w:numPr>
      <w:tabs>
        <w:tab w:val="clear" w:pos="2160"/>
        <w:tab w:val="left" w:pos="5040"/>
      </w:tabs>
      <w:ind w:left="5040" w:hanging="3600"/>
    </w:pPr>
  </w:style>
  <w:style w:type="paragraph" w:customStyle="1" w:styleId="TOCTitle">
    <w:name w:val="TOC Title"/>
    <w:basedOn w:val="Normal"/>
    <w:pPr>
      <w:spacing w:before="240" w:after="240"/>
      <w:jc w:val="center"/>
    </w:pPr>
    <w:rPr>
      <w:rFonts w:ascii="Times New Roman Bold" w:hAnsi="Times New Roman Bold"/>
      <w:b/>
      <w:caps/>
      <w:spacing w:val="-2"/>
    </w:rPr>
  </w:style>
  <w:style w:type="paragraph" w:customStyle="1" w:styleId="StyleBoldCentered">
    <w:name w:val="Style Bold Centered"/>
    <w:basedOn w:val="Normal"/>
    <w:pPr>
      <w:jc w:val="center"/>
    </w:pPr>
    <w:rPr>
      <w:rFonts w:ascii="Times New Roman Bold" w:hAnsi="Times New Roman Bold"/>
      <w:b/>
      <w:bCs/>
      <w:caps/>
      <w:szCs w:val="22"/>
    </w:rPr>
  </w:style>
  <w:style w:type="character" w:styleId="Hyperlink">
    <w:name w:val="Hyperlink"/>
    <w:rPr>
      <w:color w:val="0000FF"/>
      <w:u w:val="single"/>
    </w:rPr>
  </w:style>
  <w:style w:type="character" w:customStyle="1" w:styleId="FooterChar">
    <w:name w:val="Footer Char"/>
    <w:link w:val="Footer"/>
    <w:uiPriority w:val="99"/>
    <w:rPr>
      <w:snapToGrid w:val="0"/>
      <w:kern w:val="28"/>
      <w:sz w:val="22"/>
    </w:rPr>
  </w:style>
  <w:style w:type="character" w:styleId="UnresolvedMention">
    <w:name w:val="Unresolved Mention"/>
    <w:uiPriority w:val="99"/>
    <w:semiHidden/>
    <w:unhideWhenUsed/>
    <w:rPr>
      <w:color w:val="605E5C"/>
      <w:shd w:val="clear" w:color="auto" w:fill="E1DFDD"/>
    </w:rPr>
  </w:style>
  <w:style w:type="character" w:customStyle="1" w:styleId="FootnoteTextChar1">
    <w:name w:val="Footnote Text Char1"/>
    <w:aliases w:val="Footnote Text Char Char,Footnote Text Char Char Char1 Char Char Char Char,Footnote Text Char Char Char2 Char Char Char,Footnote Text Char1 Char1 Char Char Char Char,Footnote Text Char2 Char Char,Footnote Text Char3 Char Char Char"/>
    <w:link w:val="FootnoteText"/>
    <w:rsid w:val="00881759"/>
  </w:style>
  <w:style w:type="character" w:customStyle="1" w:styleId="xcontentpasted0">
    <w:name w:val="x_contentpasted0"/>
    <w:basedOn w:val="DefaultParagraphFont"/>
    <w:rsid w:val="00693D49"/>
  </w:style>
  <w:style w:type="paragraph" w:styleId="Revision">
    <w:name w:val="Revision"/>
    <w:hidden/>
    <w:uiPriority w:val="99"/>
    <w:semiHidden/>
    <w:rsid w:val="00D45CCD"/>
    <w:rPr>
      <w:snapToGrid w:val="0"/>
      <w:kern w:val="28"/>
      <w:sz w:val="22"/>
    </w:rPr>
  </w:style>
  <w:style w:type="paragraph" w:styleId="ListParagraph">
    <w:name w:val="List Paragraph"/>
    <w:basedOn w:val="Normal"/>
    <w:uiPriority w:val="34"/>
    <w:qFormat/>
    <w:rsid w:val="00DF0BCD"/>
    <w:pPr>
      <w:ind w:left="720"/>
      <w:contextualSpacing/>
    </w:pPr>
  </w:style>
  <w:style w:type="character" w:styleId="CommentReference">
    <w:name w:val="annotation reference"/>
    <w:basedOn w:val="DefaultParagraphFont"/>
    <w:uiPriority w:val="99"/>
    <w:semiHidden/>
    <w:unhideWhenUsed/>
    <w:rsid w:val="000C410D"/>
    <w:rPr>
      <w:sz w:val="16"/>
      <w:szCs w:val="16"/>
    </w:rPr>
  </w:style>
  <w:style w:type="paragraph" w:styleId="CommentText">
    <w:name w:val="annotation text"/>
    <w:basedOn w:val="Normal"/>
    <w:link w:val="CommentTextChar"/>
    <w:uiPriority w:val="99"/>
    <w:unhideWhenUsed/>
    <w:rsid w:val="000C410D"/>
    <w:rPr>
      <w:sz w:val="20"/>
    </w:rPr>
  </w:style>
  <w:style w:type="character" w:customStyle="1" w:styleId="CommentTextChar">
    <w:name w:val="Comment Text Char"/>
    <w:basedOn w:val="DefaultParagraphFont"/>
    <w:link w:val="CommentText"/>
    <w:uiPriority w:val="99"/>
    <w:rsid w:val="000C410D"/>
    <w:rPr>
      <w:snapToGrid w:val="0"/>
      <w:kern w:val="28"/>
    </w:rPr>
  </w:style>
  <w:style w:type="paragraph" w:styleId="CommentSubject">
    <w:name w:val="annotation subject"/>
    <w:basedOn w:val="CommentText"/>
    <w:next w:val="CommentText"/>
    <w:link w:val="CommentSubjectChar"/>
    <w:uiPriority w:val="99"/>
    <w:semiHidden/>
    <w:unhideWhenUsed/>
    <w:rsid w:val="000C410D"/>
    <w:rPr>
      <w:b/>
      <w:bCs/>
    </w:rPr>
  </w:style>
  <w:style w:type="character" w:customStyle="1" w:styleId="CommentSubjectChar">
    <w:name w:val="Comment Subject Char"/>
    <w:basedOn w:val="CommentTextChar"/>
    <w:link w:val="CommentSubject"/>
    <w:uiPriority w:val="99"/>
    <w:semiHidden/>
    <w:rsid w:val="000C410D"/>
    <w:rPr>
      <w:b/>
      <w:bCs/>
      <w:snapToGrid w:val="0"/>
      <w:kern w:val="28"/>
    </w:rPr>
  </w:style>
  <w:style w:type="character" w:styleId="Mention">
    <w:name w:val="Mention"/>
    <w:basedOn w:val="DefaultParagraphFont"/>
    <w:uiPriority w:val="99"/>
    <w:unhideWhenUsed/>
    <w:rsid w:val="000B0E8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footer" Target="footer2.xml" /><Relationship Id="rId13" Type="http://schemas.openxmlformats.org/officeDocument/2006/relationships/header" Target="header2.xml" /><Relationship Id="rId14" Type="http://schemas.openxmlformats.org/officeDocument/2006/relationships/footer" Target="footer3.xml" /><Relationship Id="rId15" Type="http://schemas.openxmlformats.org/officeDocument/2006/relationships/theme" Target="theme/theme1.xml" /><Relationship Id="rId16" Type="http://schemas.openxmlformats.org/officeDocument/2006/relationships/numbering" Target="numbering.xml" /><Relationship Id="rId17"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fcc.gov/ecfs/" TargetMode="External" /><Relationship Id="rId7" Type="http://schemas.openxmlformats.org/officeDocument/2006/relationships/hyperlink" Target="mailto:fcc504@fcc.gov" TargetMode="External" /><Relationship Id="rId8" Type="http://schemas.openxmlformats.org/officeDocument/2006/relationships/hyperlink" Target="mailto:gregory.kwan@fcc.gov" TargetMode="External" /><Relationship Id="rId9" Type="http://schemas.openxmlformats.org/officeDocument/2006/relationships/hyperlink" Target="mailto:jim.bird@fcc.gov" TargetMode="External" /></Relationships>
</file>

<file path=word/_rels/footnotes.xml.rels><?xml version="1.0" encoding="utf-8" standalone="yes"?><Relationships xmlns="http://schemas.openxmlformats.org/package/2006/relationships"><Relationship Id="rId1" Type="http://schemas.openxmlformats.org/officeDocument/2006/relationships/hyperlink" Target="https://www.usac.org/about/reports-orders/fcc-filings/" TargetMode="External" /></Relationships>
</file>

<file path=word/_rels/header2.xml.rels><?xml version="1.0" encoding="utf-8" standalone="yes"?><Relationships xmlns="http://schemas.openxmlformats.org/package/2006/relationships"><Relationship Id="rId1" Type="http://schemas.openxmlformats.org/officeDocument/2006/relationships/image" Target="media/image1.png" /></Relationships>
</file>

<file path=word/_rels/settings.xml.rels><?xml version="1.0" encoding="utf-8" standalone="yes"?><Relationships xmlns="http://schemas.openxmlformats.org/package/2006/relationships"><Relationship Id="rId1" Type="http://schemas.openxmlformats.org/officeDocument/2006/relationships/attachedTemplate" Target="file:///M:\Form\OS%20Process\Public%20Notice%20Portrait.do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Public Notice Portrait</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