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Java 24.11.0 -->
  <w:body>
    <w:p w:rsidR="004C2EE3" w:rsidRPr="00483883" w:rsidP="008B3FB8" w14:paraId="5AD36175" w14:textId="77777777">
      <w:pPr>
        <w:widowControl/>
        <w:jc w:val="center"/>
        <w:rPr>
          <w:b/>
        </w:rPr>
      </w:pPr>
      <w:r w:rsidRPr="00483883">
        <w:rPr>
          <w:rFonts w:ascii="Times New Roman Bold" w:hAnsi="Times New Roman Bold"/>
          <w:b/>
          <w:kern w:val="0"/>
          <w:szCs w:val="22"/>
        </w:rPr>
        <w:t>Before</w:t>
      </w:r>
      <w:r w:rsidRPr="00483883">
        <w:rPr>
          <w:b/>
        </w:rPr>
        <w:t xml:space="preserve"> the</w:t>
      </w:r>
    </w:p>
    <w:p w:rsidR="00921803" w:rsidRPr="00483883" w:rsidP="008B3FB8" w14:paraId="7A4EB9CA" w14:textId="77777777">
      <w:pPr>
        <w:pStyle w:val="StyleBoldCentered"/>
        <w:widowControl/>
      </w:pPr>
      <w:r w:rsidRPr="00483883">
        <w:t>F</w:t>
      </w:r>
      <w:r w:rsidRPr="00483883">
        <w:rPr>
          <w:caps w:val="0"/>
        </w:rPr>
        <w:t>ederal Communications Commission</w:t>
      </w:r>
    </w:p>
    <w:p w:rsidR="004C2EE3" w:rsidRPr="004B3CCB" w:rsidP="008B3FB8" w14:paraId="393A76FD" w14:textId="77777777">
      <w:pPr>
        <w:pStyle w:val="StyleBoldCentered"/>
        <w:widowControl/>
      </w:pPr>
      <w:r w:rsidRPr="00483883">
        <w:rPr>
          <w:caps w:val="0"/>
        </w:rPr>
        <w:t>Washington, D.C. 20554</w:t>
      </w:r>
    </w:p>
    <w:p w:rsidR="004C2EE3" w:rsidRPr="004B3CCB" w:rsidP="008B3FB8" w14:paraId="27F88FC5" w14:textId="77777777">
      <w:pPr>
        <w:widowControl/>
      </w:pPr>
    </w:p>
    <w:tbl>
      <w:tblPr>
        <w:tblW w:w="0" w:type="auto"/>
        <w:tblLayout w:type="fixed"/>
        <w:tblLook w:val="0000"/>
      </w:tblPr>
      <w:tblGrid>
        <w:gridCol w:w="4698"/>
        <w:gridCol w:w="630"/>
        <w:gridCol w:w="4248"/>
      </w:tblGrid>
      <w:tr w14:paraId="560F9B16" w14:textId="77777777">
        <w:tblPrEx>
          <w:tblW w:w="0" w:type="auto"/>
          <w:tblLayout w:type="fixed"/>
          <w:tblLook w:val="0000"/>
        </w:tblPrEx>
        <w:tc>
          <w:tcPr>
            <w:tcW w:w="4698" w:type="dxa"/>
          </w:tcPr>
          <w:p w:rsidR="004C2EE3" w:rsidRPr="00483883" w:rsidP="008B3FB8" w14:paraId="05B030B1" w14:textId="77777777">
            <w:pPr>
              <w:widowControl/>
              <w:tabs>
                <w:tab w:val="center" w:pos="4680"/>
              </w:tabs>
              <w:rPr>
                <w:spacing w:val="-2"/>
              </w:rPr>
            </w:pPr>
            <w:r w:rsidRPr="00483883">
              <w:rPr>
                <w:spacing w:val="-2"/>
              </w:rPr>
              <w:t>In the Matter of</w:t>
            </w:r>
          </w:p>
          <w:p w:rsidR="004C2EE3" w:rsidRPr="00483883" w:rsidP="008B3FB8" w14:paraId="5348ABA6" w14:textId="77777777">
            <w:pPr>
              <w:widowControl/>
              <w:tabs>
                <w:tab w:val="center" w:pos="4680"/>
              </w:tabs>
              <w:rPr>
                <w:spacing w:val="-2"/>
              </w:rPr>
            </w:pPr>
          </w:p>
          <w:p w:rsidR="00CA30B0" w:rsidRPr="00483883" w:rsidP="008B3FB8" w14:paraId="33C9A748" w14:textId="77777777">
            <w:pPr>
              <w:widowControl/>
              <w:tabs>
                <w:tab w:val="center" w:pos="4680"/>
              </w:tabs>
              <w:rPr>
                <w:spacing w:val="-2"/>
              </w:rPr>
            </w:pPr>
            <w:r w:rsidRPr="00483883">
              <w:rPr>
                <w:spacing w:val="-2"/>
              </w:rPr>
              <w:t>Amendment of Section 73.622(j), Table of TV Allotments, Television Broadcast Stations</w:t>
            </w:r>
          </w:p>
          <w:p w:rsidR="004C2EE3" w:rsidRPr="00483883" w:rsidP="008B3FB8" w14:paraId="25EDE5BC" w14:textId="5A23361E">
            <w:pPr>
              <w:widowControl/>
              <w:tabs>
                <w:tab w:val="center" w:pos="4680"/>
              </w:tabs>
              <w:rPr>
                <w:spacing w:val="-2"/>
              </w:rPr>
            </w:pPr>
            <w:r w:rsidRPr="00483883">
              <w:rPr>
                <w:spacing w:val="-2"/>
              </w:rPr>
              <w:t>(Monroe, Louisiana)</w:t>
            </w:r>
          </w:p>
        </w:tc>
        <w:tc>
          <w:tcPr>
            <w:tcW w:w="630" w:type="dxa"/>
          </w:tcPr>
          <w:p w:rsidR="004C2EE3" w:rsidRPr="00483883" w:rsidP="008B3FB8" w14:paraId="32931C63" w14:textId="77777777">
            <w:pPr>
              <w:widowControl/>
              <w:tabs>
                <w:tab w:val="center" w:pos="4680"/>
              </w:tabs>
              <w:rPr>
                <w:b/>
                <w:spacing w:val="-2"/>
              </w:rPr>
            </w:pPr>
            <w:r w:rsidRPr="00483883">
              <w:rPr>
                <w:b/>
                <w:spacing w:val="-2"/>
              </w:rPr>
              <w:t>)</w:t>
            </w:r>
          </w:p>
          <w:p w:rsidR="004C2EE3" w:rsidRPr="00483883" w:rsidP="008B3FB8" w14:paraId="50B4D98E" w14:textId="77777777">
            <w:pPr>
              <w:widowControl/>
              <w:tabs>
                <w:tab w:val="center" w:pos="4680"/>
              </w:tabs>
              <w:rPr>
                <w:b/>
                <w:spacing w:val="-2"/>
              </w:rPr>
            </w:pPr>
            <w:r w:rsidRPr="00483883">
              <w:rPr>
                <w:b/>
                <w:spacing w:val="-2"/>
              </w:rPr>
              <w:t>)</w:t>
            </w:r>
          </w:p>
          <w:p w:rsidR="004C2EE3" w:rsidRPr="00483883" w:rsidP="008B3FB8" w14:paraId="450B0363" w14:textId="77777777">
            <w:pPr>
              <w:widowControl/>
              <w:tabs>
                <w:tab w:val="center" w:pos="4680"/>
              </w:tabs>
              <w:rPr>
                <w:b/>
                <w:spacing w:val="-2"/>
              </w:rPr>
            </w:pPr>
            <w:r w:rsidRPr="00483883">
              <w:rPr>
                <w:b/>
                <w:spacing w:val="-2"/>
              </w:rPr>
              <w:t>)</w:t>
            </w:r>
          </w:p>
          <w:p w:rsidR="004C2EE3" w:rsidRPr="00483883" w:rsidP="008B3FB8" w14:paraId="528DCEE5" w14:textId="77777777">
            <w:pPr>
              <w:widowControl/>
              <w:tabs>
                <w:tab w:val="center" w:pos="4680"/>
              </w:tabs>
              <w:rPr>
                <w:b/>
                <w:spacing w:val="-2"/>
              </w:rPr>
            </w:pPr>
            <w:r w:rsidRPr="00483883">
              <w:rPr>
                <w:b/>
                <w:spacing w:val="-2"/>
              </w:rPr>
              <w:t>)</w:t>
            </w:r>
          </w:p>
          <w:p w:rsidR="004C2EE3" w:rsidRPr="00483883" w:rsidP="008B3FB8" w14:paraId="61C4839C" w14:textId="2B5FE61F">
            <w:pPr>
              <w:widowControl/>
              <w:tabs>
                <w:tab w:val="center" w:pos="4680"/>
              </w:tabs>
              <w:rPr>
                <w:b/>
                <w:spacing w:val="-2"/>
              </w:rPr>
            </w:pPr>
            <w:r w:rsidRPr="00483883">
              <w:rPr>
                <w:b/>
                <w:spacing w:val="-2"/>
              </w:rPr>
              <w:t>)</w:t>
            </w:r>
          </w:p>
        </w:tc>
        <w:tc>
          <w:tcPr>
            <w:tcW w:w="4248" w:type="dxa"/>
          </w:tcPr>
          <w:p w:rsidR="004C2EE3" w:rsidRPr="00483883" w:rsidP="008B3FB8" w14:paraId="4AF9E332" w14:textId="77777777">
            <w:pPr>
              <w:widowControl/>
              <w:tabs>
                <w:tab w:val="center" w:pos="4680"/>
              </w:tabs>
              <w:rPr>
                <w:spacing w:val="-2"/>
              </w:rPr>
            </w:pPr>
          </w:p>
          <w:p w:rsidR="004C2EE3" w:rsidRPr="00483883" w:rsidP="008B3FB8" w14:paraId="6F8DC1BD" w14:textId="77777777">
            <w:pPr>
              <w:pStyle w:val="TOAHeading"/>
              <w:widowControl/>
              <w:tabs>
                <w:tab w:val="center" w:pos="4680"/>
                <w:tab w:val="clear" w:pos="9360"/>
              </w:tabs>
              <w:suppressAutoHyphens w:val="0"/>
              <w:rPr>
                <w:spacing w:val="-2"/>
              </w:rPr>
            </w:pPr>
          </w:p>
          <w:p w:rsidR="00CA30B0" w:rsidRPr="00483883" w:rsidP="008B3FB8" w14:paraId="0A59C145" w14:textId="68A496C0">
            <w:pPr>
              <w:pStyle w:val="TOAHeading"/>
              <w:widowControl/>
              <w:tabs>
                <w:tab w:val="center" w:pos="4680"/>
              </w:tabs>
              <w:rPr>
                <w:spacing w:val="-2"/>
              </w:rPr>
            </w:pPr>
            <w:r w:rsidRPr="00483883">
              <w:rPr>
                <w:spacing w:val="-2"/>
              </w:rPr>
              <w:t>MB Docket No. 25-</w:t>
            </w:r>
            <w:r w:rsidRPr="00483883" w:rsidR="000772D2">
              <w:rPr>
                <w:spacing w:val="-2"/>
              </w:rPr>
              <w:t>14</w:t>
            </w:r>
          </w:p>
          <w:p w:rsidR="004C2EE3" w:rsidRPr="00483883" w:rsidP="008B3FB8" w14:paraId="2C4E61ED" w14:textId="47ED18BE">
            <w:pPr>
              <w:widowControl/>
              <w:tabs>
                <w:tab w:val="center" w:pos="4680"/>
              </w:tabs>
              <w:rPr>
                <w:spacing w:val="-2"/>
              </w:rPr>
            </w:pPr>
            <w:r w:rsidRPr="00483883">
              <w:rPr>
                <w:spacing w:val="-2"/>
              </w:rPr>
              <w:t>RM-119</w:t>
            </w:r>
            <w:r w:rsidRPr="00483883" w:rsidR="000772D2">
              <w:rPr>
                <w:spacing w:val="-2"/>
              </w:rPr>
              <w:t>94</w:t>
            </w:r>
          </w:p>
        </w:tc>
      </w:tr>
    </w:tbl>
    <w:p w:rsidR="004C2EE3" w:rsidRPr="00483883" w:rsidP="008B3FB8" w14:paraId="2FBD7A9A" w14:textId="77777777">
      <w:pPr>
        <w:widowControl/>
      </w:pPr>
    </w:p>
    <w:p w:rsidR="00DD10B8" w:rsidRPr="00483883" w:rsidP="008B3FB8" w14:paraId="18CC866F" w14:textId="77777777">
      <w:pPr>
        <w:pStyle w:val="StyleBoldCentered"/>
        <w:widowControl/>
      </w:pPr>
      <w:r w:rsidRPr="00483883">
        <w:rPr>
          <w:rFonts w:ascii="Times New Roman" w:hAnsi="Times New Roman"/>
        </w:rPr>
        <w:t>report and order</w:t>
      </w:r>
    </w:p>
    <w:p w:rsidR="00DD10B8" w:rsidRPr="000446E8" w:rsidP="008B3FB8" w14:paraId="794E1BB3" w14:textId="77777777">
      <w:pPr>
        <w:widowControl/>
        <w:tabs>
          <w:tab w:val="left" w:pos="720"/>
          <w:tab w:val="right" w:pos="9360"/>
        </w:tabs>
        <w:spacing w:line="227" w:lineRule="auto"/>
        <w:jc w:val="center"/>
        <w:rPr>
          <w:b/>
          <w:spacing w:val="-2"/>
          <w:szCs w:val="22"/>
        </w:rPr>
      </w:pPr>
      <w:r w:rsidRPr="00483883">
        <w:rPr>
          <w:b/>
          <w:spacing w:val="-2"/>
          <w:szCs w:val="22"/>
        </w:rPr>
        <w:t>(Proceeding Terminated)</w:t>
      </w:r>
      <w:r w:rsidRPr="000446E8">
        <w:rPr>
          <w:b/>
          <w:spacing w:val="-2"/>
          <w:szCs w:val="22"/>
        </w:rPr>
        <w:t xml:space="preserve"> </w:t>
      </w:r>
    </w:p>
    <w:p w:rsidR="004C2EE3" w:rsidRPr="0010367F" w:rsidP="008B3FB8" w14:paraId="2FEF62B2" w14:textId="77777777">
      <w:pPr>
        <w:widowControl/>
        <w:tabs>
          <w:tab w:val="left" w:pos="-720"/>
        </w:tabs>
        <w:spacing w:line="227" w:lineRule="auto"/>
        <w:rPr>
          <w:spacing w:val="-2"/>
          <w:highlight w:val="yellow"/>
        </w:rPr>
      </w:pPr>
    </w:p>
    <w:p w:rsidR="004C2EE3" w:rsidRPr="00DD10B8" w:rsidP="008B3FB8" w14:paraId="0DAA0B60" w14:textId="61D8E55D">
      <w:pPr>
        <w:widowControl/>
        <w:tabs>
          <w:tab w:val="left" w:pos="720"/>
          <w:tab w:val="right" w:pos="9360"/>
        </w:tabs>
        <w:spacing w:line="227" w:lineRule="auto"/>
        <w:rPr>
          <w:spacing w:val="-2"/>
        </w:rPr>
      </w:pPr>
      <w:r w:rsidRPr="00483883">
        <w:rPr>
          <w:b/>
          <w:spacing w:val="-2"/>
        </w:rPr>
        <w:t xml:space="preserve">Adopted:  </w:t>
      </w:r>
      <w:r w:rsidRPr="00483883" w:rsidR="00DD10B8">
        <w:rPr>
          <w:b/>
          <w:spacing w:val="-2"/>
        </w:rPr>
        <w:t>April</w:t>
      </w:r>
      <w:r w:rsidRPr="00DD10B8" w:rsidR="00CA30B0">
        <w:rPr>
          <w:b/>
          <w:spacing w:val="-2"/>
        </w:rPr>
        <w:t xml:space="preserve"> </w:t>
      </w:r>
      <w:r w:rsidR="002B5E2F">
        <w:rPr>
          <w:b/>
          <w:spacing w:val="-2"/>
        </w:rPr>
        <w:t>3</w:t>
      </w:r>
      <w:r w:rsidRPr="00DD10B8" w:rsidR="00CA30B0">
        <w:rPr>
          <w:b/>
          <w:spacing w:val="-2"/>
        </w:rPr>
        <w:t xml:space="preserve">, </w:t>
      </w:r>
      <w:r w:rsidRPr="00483883" w:rsidR="00CA30B0">
        <w:rPr>
          <w:b/>
          <w:spacing w:val="-2"/>
        </w:rPr>
        <w:t>2025</w:t>
      </w:r>
      <w:r w:rsidRPr="00DD10B8">
        <w:rPr>
          <w:b/>
          <w:spacing w:val="-2"/>
        </w:rPr>
        <w:tab/>
      </w:r>
      <w:r w:rsidRPr="00483883" w:rsidR="00822CE0">
        <w:rPr>
          <w:b/>
          <w:spacing w:val="-2"/>
        </w:rPr>
        <w:t>Released</w:t>
      </w:r>
      <w:r w:rsidRPr="00483883">
        <w:rPr>
          <w:b/>
          <w:spacing w:val="-2"/>
        </w:rPr>
        <w:t>:</w:t>
      </w:r>
      <w:r w:rsidRPr="00483883" w:rsidR="00822CE0">
        <w:rPr>
          <w:b/>
          <w:spacing w:val="-2"/>
        </w:rPr>
        <w:t xml:space="preserve"> </w:t>
      </w:r>
      <w:r w:rsidRPr="00483883">
        <w:rPr>
          <w:b/>
          <w:spacing w:val="-2"/>
        </w:rPr>
        <w:t xml:space="preserve"> </w:t>
      </w:r>
      <w:r w:rsidRPr="00483883" w:rsidR="00DD10B8">
        <w:rPr>
          <w:b/>
          <w:spacing w:val="-2"/>
        </w:rPr>
        <w:t>April</w:t>
      </w:r>
      <w:r w:rsidRPr="00DD10B8" w:rsidR="00CA30B0">
        <w:rPr>
          <w:b/>
          <w:spacing w:val="-2"/>
        </w:rPr>
        <w:t xml:space="preserve"> </w:t>
      </w:r>
      <w:r w:rsidR="002B5E2F">
        <w:rPr>
          <w:b/>
          <w:spacing w:val="-2"/>
        </w:rPr>
        <w:t>3,</w:t>
      </w:r>
      <w:r w:rsidRPr="00DD10B8" w:rsidR="00CA30B0">
        <w:rPr>
          <w:b/>
          <w:spacing w:val="-2"/>
        </w:rPr>
        <w:t xml:space="preserve"> </w:t>
      </w:r>
      <w:r w:rsidRPr="00483883" w:rsidR="00CA30B0">
        <w:rPr>
          <w:b/>
          <w:spacing w:val="-2"/>
        </w:rPr>
        <w:t>2025</w:t>
      </w:r>
    </w:p>
    <w:p w:rsidR="00CA30B0" w:rsidRPr="00483883" w:rsidP="008B3FB8" w14:paraId="366C5A90" w14:textId="77777777">
      <w:pPr>
        <w:widowControl/>
      </w:pPr>
    </w:p>
    <w:p w:rsidR="004C2EE3" w:rsidRPr="00483883" w:rsidP="008B3FB8" w14:paraId="7615A9FD" w14:textId="57022BFD">
      <w:pPr>
        <w:widowControl/>
        <w:rPr>
          <w:spacing w:val="-2"/>
        </w:rPr>
      </w:pPr>
      <w:r w:rsidRPr="00483883">
        <w:t xml:space="preserve">By </w:t>
      </w:r>
      <w:r w:rsidRPr="00483883" w:rsidR="004E4A22">
        <w:t>the</w:t>
      </w:r>
      <w:r w:rsidRPr="00483883" w:rsidR="002A2D2E">
        <w:t xml:space="preserve"> </w:t>
      </w:r>
      <w:r w:rsidRPr="00483883" w:rsidR="00CA30B0">
        <w:rPr>
          <w:spacing w:val="-2"/>
        </w:rPr>
        <w:t>Chief, Video Division, Media Bureau</w:t>
      </w:r>
      <w:r w:rsidRPr="00483883">
        <w:rPr>
          <w:spacing w:val="-2"/>
        </w:rPr>
        <w:t>:</w:t>
      </w:r>
      <w:r w:rsidRPr="00483883" w:rsidR="001B406C">
        <w:rPr>
          <w:spacing w:val="-2"/>
        </w:rPr>
        <w:t xml:space="preserve"> </w:t>
      </w:r>
    </w:p>
    <w:p w:rsidR="00822CE0" w:rsidRPr="00483883" w:rsidP="008B3FB8" w14:paraId="38274CF1" w14:textId="77777777">
      <w:pPr>
        <w:widowControl/>
        <w:rPr>
          <w:spacing w:val="-2"/>
        </w:rPr>
      </w:pPr>
    </w:p>
    <w:p w:rsidR="00CA30B0" w:rsidRPr="00483883" w:rsidP="008B3FB8" w14:paraId="6B03E6FC" w14:textId="06207C49">
      <w:pPr>
        <w:pStyle w:val="ParaNum"/>
        <w:widowControl/>
        <w:rPr>
          <w:szCs w:val="22"/>
        </w:rPr>
      </w:pPr>
      <w:r w:rsidRPr="00483883">
        <w:t xml:space="preserve">The Video Division, Media Bureau (Bureau), has before it a </w:t>
      </w:r>
      <w:r w:rsidRPr="00483883" w:rsidR="0047132D">
        <w:t>Notice of Proposed Rulemaking</w:t>
      </w:r>
      <w:r w:rsidRPr="00483883">
        <w:t xml:space="preserve"> (</w:t>
      </w:r>
      <w:r w:rsidRPr="00483883" w:rsidR="0047132D">
        <w:rPr>
          <w:i/>
          <w:iCs/>
        </w:rPr>
        <w:t>NPRM</w:t>
      </w:r>
      <w:r w:rsidRPr="00483883">
        <w:t>)</w:t>
      </w:r>
      <w:r>
        <w:rPr>
          <w:rStyle w:val="FootnoteReference"/>
        </w:rPr>
        <w:footnoteReference w:id="3"/>
      </w:r>
      <w:r w:rsidRPr="00483883">
        <w:t xml:space="preserve"> </w:t>
      </w:r>
      <w:r w:rsidRPr="00483883" w:rsidR="00201C67">
        <w:t>issued in response to a Petition for Rulemaking filed</w:t>
      </w:r>
      <w:r w:rsidRPr="00483883">
        <w:t xml:space="preserve"> by Louisiana Educational Television Authority (LETA), the licensee of noncommercial educational (NCE) television PBS member station KLTM-TV</w:t>
      </w:r>
      <w:r w:rsidRPr="00483883" w:rsidR="00E4709D">
        <w:t>,</w:t>
      </w:r>
      <w:r w:rsidRPr="00483883">
        <w:t xml:space="preserve"> channel *13, Monroe, Louisiana (Monroe) (“Station” or “KLTM”).</w:t>
      </w:r>
      <w:r>
        <w:rPr>
          <w:rStyle w:val="FootnoteReference"/>
          <w:sz w:val="22"/>
          <w:szCs w:val="22"/>
        </w:rPr>
        <w:footnoteReference w:id="4"/>
      </w:r>
      <w:r w:rsidRPr="00483883">
        <w:t xml:space="preserve">  </w:t>
      </w:r>
      <w:r w:rsidRPr="00483883" w:rsidR="00355A3A">
        <w:t xml:space="preserve">The </w:t>
      </w:r>
      <w:r w:rsidRPr="00483883">
        <w:t>Petitioner requests</w:t>
      </w:r>
      <w:r w:rsidRPr="00483883" w:rsidR="00532365">
        <w:t xml:space="preserve"> amendment to the Table of TV Allotments (Table) to substitute</w:t>
      </w:r>
      <w:r w:rsidRPr="00483883">
        <w:t xml:space="preserve"> channel *29 for channel *13 at Monroe in the Table,</w:t>
      </w:r>
      <w:r>
        <w:rPr>
          <w:rStyle w:val="FootnoteReference"/>
          <w:sz w:val="22"/>
          <w:szCs w:val="22"/>
        </w:rPr>
        <w:footnoteReference w:id="5"/>
      </w:r>
      <w:r w:rsidRPr="00483883">
        <w:t xml:space="preserve"> with the technical parameters specified in the Petition.</w:t>
      </w:r>
      <w:r w:rsidRPr="00483883" w:rsidR="002E08E2">
        <w:t xml:space="preserve">  </w:t>
      </w:r>
      <w:r w:rsidRPr="00483883" w:rsidR="00013CDC">
        <w:t>LETA</w:t>
      </w:r>
      <w:r w:rsidRPr="00483883" w:rsidR="002E08E2">
        <w:t xml:space="preserve"> filed comments in support of the Petition</w:t>
      </w:r>
      <w:r w:rsidR="00093846">
        <w:t xml:space="preserve"> </w:t>
      </w:r>
      <w:r w:rsidRPr="00483883" w:rsidR="002E08E2">
        <w:rPr>
          <w:szCs w:val="22"/>
        </w:rPr>
        <w:t>reaffirming its interest in the proposed channel substitution</w:t>
      </w:r>
      <w:r w:rsidRPr="00483883" w:rsidR="003150E3">
        <w:rPr>
          <w:szCs w:val="22"/>
        </w:rPr>
        <w:t xml:space="preserve">, </w:t>
      </w:r>
      <w:r w:rsidRPr="00483883" w:rsidR="002E08E2">
        <w:rPr>
          <w:szCs w:val="22"/>
        </w:rPr>
        <w:t>that it will promptly file an application seeking authorization on channel</w:t>
      </w:r>
      <w:r w:rsidRPr="00483883" w:rsidR="00B829D6">
        <w:rPr>
          <w:szCs w:val="22"/>
        </w:rPr>
        <w:t xml:space="preserve"> *29</w:t>
      </w:r>
      <w:r w:rsidRPr="00483883" w:rsidR="003150E3">
        <w:rPr>
          <w:szCs w:val="22"/>
        </w:rPr>
        <w:t>, and, if authorized, will construct the facility promptly</w:t>
      </w:r>
      <w:r w:rsidRPr="00483883" w:rsidR="002E08E2">
        <w:rPr>
          <w:szCs w:val="22"/>
        </w:rPr>
        <w:t>.</w:t>
      </w:r>
      <w:r>
        <w:rPr>
          <w:rStyle w:val="FootnoteReference"/>
          <w:iCs/>
          <w:sz w:val="22"/>
        </w:rPr>
        <w:footnoteReference w:id="6"/>
      </w:r>
      <w:r w:rsidRPr="00483883" w:rsidR="002E08E2">
        <w:rPr>
          <w:szCs w:val="22"/>
        </w:rPr>
        <w:t xml:space="preserve">  No other comments were received.</w:t>
      </w:r>
      <w:r>
        <w:rPr>
          <w:rStyle w:val="FootnoteReference"/>
          <w:szCs w:val="22"/>
        </w:rPr>
        <w:footnoteReference w:id="7"/>
      </w:r>
    </w:p>
    <w:p w:rsidR="00E23BB8" w:rsidRPr="00483883" w:rsidP="008B3FB8" w14:paraId="2A4F26B7" w14:textId="031FDE96">
      <w:pPr>
        <w:pStyle w:val="ParaNum"/>
        <w:widowControl/>
      </w:pPr>
      <w:r w:rsidRPr="00483883">
        <w:t xml:space="preserve">We conclude that the public interest would be served by substituting channel </w:t>
      </w:r>
      <w:r w:rsidRPr="00483883" w:rsidR="00D06DE2">
        <w:t>*29</w:t>
      </w:r>
      <w:r w:rsidRPr="00483883">
        <w:t xml:space="preserve"> for channel </w:t>
      </w:r>
      <w:r w:rsidRPr="00483883" w:rsidR="00D06DE2">
        <w:t>*13</w:t>
      </w:r>
      <w:r w:rsidRPr="00483883">
        <w:t xml:space="preserve"> at </w:t>
      </w:r>
      <w:r w:rsidRPr="00483883" w:rsidR="00D06DE2">
        <w:t>Monroe</w:t>
      </w:r>
      <w:r w:rsidRPr="00483883">
        <w:t xml:space="preserve">.  </w:t>
      </w:r>
      <w:r w:rsidRPr="00483883" w:rsidR="00D06DE2">
        <w:t xml:space="preserve">According to the Petitioner, </w:t>
      </w:r>
      <w:r w:rsidRPr="00483883" w:rsidR="00516948">
        <w:t>allowing the Station to move from a VHF to a UHF channel would serve the public interest by addressing ongoing reception complaints the Station has received from numerous viewers, significantly improving the Station’s over-the-air service to the viewers in its existing service area, and “enabling the Station to better serve the Monroe community by substantially improving viewer access to the Station’s noncommercial educational and public affairs programming.”</w:t>
      </w:r>
      <w:r>
        <w:rPr>
          <w:rStyle w:val="FootnoteReference"/>
        </w:rPr>
        <w:footnoteReference w:id="8"/>
      </w:r>
      <w:r w:rsidRPr="00483883" w:rsidR="007C612E">
        <w:t xml:space="preserve">  The Petitioner states that since the digital transition and commencement of digital television operations on high-band VHF channel *13 in 2009, the Station has consistently received viewer </w:t>
      </w:r>
      <w:r w:rsidRPr="00483883" w:rsidR="007C612E">
        <w:t>complaints of poor reception and interference.</w:t>
      </w:r>
      <w:r>
        <w:rPr>
          <w:rStyle w:val="FootnoteReference"/>
        </w:rPr>
        <w:footnoteReference w:id="9"/>
      </w:r>
      <w:r w:rsidRPr="00483883" w:rsidR="007C612E">
        <w:t xml:space="preserve">  Additionally, the Petitioner notes that the Commission</w:t>
      </w:r>
      <w:r w:rsidRPr="00483883" w:rsidR="00A62A3D">
        <w:t xml:space="preserve"> has recognized that “environmental noise blockages affecting [VHF] signal strength and reception exist” and “[vary] widely from service area to service area.”</w:t>
      </w:r>
      <w:r>
        <w:rPr>
          <w:rStyle w:val="FootnoteReference"/>
        </w:rPr>
        <w:footnoteReference w:id="10"/>
      </w:r>
      <w:r w:rsidRPr="00483883" w:rsidR="00DE6E16">
        <w:t xml:space="preserve">  An engineering statement provided by the Petitioner confirms that the proposed channel *29 contour would provide full principal community coverage to Monroe.</w:t>
      </w:r>
      <w:r>
        <w:rPr>
          <w:rStyle w:val="FootnoteReference"/>
        </w:rPr>
        <w:footnoteReference w:id="11"/>
      </w:r>
      <w:r w:rsidRPr="00483883" w:rsidR="00DE6E16">
        <w:t xml:space="preserve"> </w:t>
      </w:r>
      <w:r w:rsidRPr="00483883" w:rsidR="002B3969">
        <w:t xml:space="preserve"> </w:t>
      </w:r>
      <w:r w:rsidRPr="00483883" w:rsidR="00DE6E16">
        <w:t>The proposed move from channel *13 to channel *29 is also not predicted to create a loss of service to any viewers.</w:t>
      </w:r>
      <w:r>
        <w:rPr>
          <w:rStyle w:val="FootnoteReference"/>
        </w:rPr>
        <w:footnoteReference w:id="12"/>
      </w:r>
      <w:r w:rsidRPr="00483883" w:rsidR="00DE6E16">
        <w:t xml:space="preserve"> </w:t>
      </w:r>
      <w:r w:rsidRPr="00483883" w:rsidR="002B3969">
        <w:t xml:space="preserve"> </w:t>
      </w:r>
      <w:r w:rsidRPr="00483883" w:rsidR="00386BF5">
        <w:t xml:space="preserve">The </w:t>
      </w:r>
      <w:r w:rsidRPr="00483883" w:rsidR="00DE6E16">
        <w:t>Petitioner’s engineering statement also confirms that the proposed channel substitution contour would not cause impermissible interference to any other licensed facilities.</w:t>
      </w:r>
      <w:r>
        <w:rPr>
          <w:rStyle w:val="FootnoteReference"/>
        </w:rPr>
        <w:footnoteReference w:id="13"/>
      </w:r>
      <w:r w:rsidRPr="00483883" w:rsidR="00DE6E16">
        <w:t xml:space="preserve"> The proposed channel *29 facility would remain at its current transmission site and operate at an effective radiated power (ERP) of 1000 kW and height above average terrain (HAAT) of 544.5 meters.</w:t>
      </w:r>
      <w:r>
        <w:rPr>
          <w:rStyle w:val="FootnoteReference"/>
        </w:rPr>
        <w:footnoteReference w:id="14"/>
      </w:r>
    </w:p>
    <w:p w:rsidR="00E23BB8" w:rsidRPr="00483883" w:rsidP="008B3FB8" w14:paraId="398CF0E1" w14:textId="5B05E3F1">
      <w:pPr>
        <w:pStyle w:val="ParaNum"/>
        <w:widowControl/>
        <w:tabs>
          <w:tab w:val="num" w:pos="2610"/>
        </w:tabs>
      </w:pPr>
      <w:r w:rsidRPr="00483883">
        <w:t>W</w:t>
      </w:r>
      <w:r w:rsidRPr="00483883">
        <w:t xml:space="preserve">e find that channel </w:t>
      </w:r>
      <w:r w:rsidRPr="00483883" w:rsidR="00666D02">
        <w:t>*29</w:t>
      </w:r>
      <w:r w:rsidRPr="00483883">
        <w:t xml:space="preserve"> can be substituted for channel </w:t>
      </w:r>
      <w:r w:rsidRPr="00483883" w:rsidR="00666D02">
        <w:t>*13</w:t>
      </w:r>
      <w:r w:rsidRPr="00483883">
        <w:t xml:space="preserve"> at </w:t>
      </w:r>
      <w:r w:rsidRPr="00483883" w:rsidR="00666D02">
        <w:t>Monroe</w:t>
      </w:r>
      <w:r w:rsidRPr="00483883">
        <w:t xml:space="preserve"> as proposed, in compliance with the principal community coverage requirements of section 73.618 of the </w:t>
      </w:r>
      <w:r w:rsidR="00884AEA">
        <w:t xml:space="preserve">Commission’s </w:t>
      </w:r>
      <w:r w:rsidRPr="00483883">
        <w:t>rules</w:t>
      </w:r>
      <w:r w:rsidR="00884AEA">
        <w:t xml:space="preserve"> (rules)</w:t>
      </w:r>
      <w:r w:rsidRPr="00483883">
        <w:t>,</w:t>
      </w:r>
      <w:r>
        <w:rPr>
          <w:vertAlign w:val="superscript"/>
        </w:rPr>
        <w:footnoteReference w:id="15"/>
      </w:r>
      <w:r w:rsidRPr="00483883">
        <w:t xml:space="preserve"> at coordinates </w:t>
      </w:r>
      <w:r w:rsidRPr="00483883" w:rsidR="003D5044">
        <w:rPr>
          <w:szCs w:val="22"/>
        </w:rPr>
        <w:t>32-11-51" N+ and 92-4-14.0" W-</w:t>
      </w:r>
      <w:r w:rsidRPr="00483883">
        <w:t>.  In addition, we find that this channel substitution meets the technical requirements set forth in section 73.622(a) of the rules.</w:t>
      </w:r>
      <w:r>
        <w:rPr>
          <w:vertAlign w:val="superscript"/>
        </w:rPr>
        <w:footnoteReference w:id="16"/>
      </w:r>
      <w:r w:rsidRPr="00483883">
        <w:t xml:space="preserve">  </w:t>
      </w:r>
      <w:bookmarkStart w:id="1" w:name="_Hlk121736973"/>
      <w:r w:rsidRPr="00483883" w:rsidR="003D5044">
        <w:t xml:space="preserve">The substitution of channel *29 for channel *13 in the Table will </w:t>
      </w:r>
      <w:r w:rsidR="00093846">
        <w:t>not result in any loss of existing service</w:t>
      </w:r>
      <w:r w:rsidR="00852347">
        <w:t xml:space="preserve">.  It will </w:t>
      </w:r>
      <w:r w:rsidRPr="00483883" w:rsidR="003D5044">
        <w:t>also allow</w:t>
      </w:r>
      <w:r w:rsidRPr="00483883" w:rsidR="00386BF5">
        <w:t xml:space="preserve"> the</w:t>
      </w:r>
      <w:r w:rsidRPr="00483883" w:rsidR="003D5044">
        <w:t xml:space="preserve"> Petitioner to </w:t>
      </w:r>
      <w:r w:rsidR="00093846">
        <w:t xml:space="preserve">remedy </w:t>
      </w:r>
      <w:r w:rsidR="00852347">
        <w:t xml:space="preserve">its </w:t>
      </w:r>
      <w:r w:rsidRPr="00483883" w:rsidR="003D5044">
        <w:t xml:space="preserve">known viewer reception issues on its currently authorized VHF channel.  </w:t>
      </w:r>
      <w:r w:rsidRPr="00483883">
        <w:t xml:space="preserve">Accordingly, we will substitute channel </w:t>
      </w:r>
      <w:r w:rsidRPr="00483883" w:rsidR="00A676C7">
        <w:t>*29</w:t>
      </w:r>
      <w:r w:rsidRPr="00483883">
        <w:t xml:space="preserve"> for channel </w:t>
      </w:r>
      <w:r w:rsidRPr="00483883" w:rsidR="00A676C7">
        <w:t>*13</w:t>
      </w:r>
      <w:r w:rsidRPr="00483883">
        <w:t xml:space="preserve"> with the following specifications:</w:t>
      </w:r>
      <w:bookmarkEnd w:id="1"/>
    </w:p>
    <w:p w:rsidR="00E23BB8" w:rsidRPr="00483883" w:rsidP="008B3FB8" w14:paraId="6F01BCA1" w14:textId="77777777">
      <w:pPr>
        <w:pStyle w:val="BodyText"/>
        <w:widowControl/>
        <w:tabs>
          <w:tab w:val="left" w:pos="3028"/>
          <w:tab w:val="left" w:pos="4468"/>
          <w:tab w:val="left" w:pos="6629"/>
        </w:tabs>
        <w:spacing w:after="120"/>
        <w:ind w:left="0"/>
        <w:rPr>
          <w:szCs w:val="22"/>
        </w:rPr>
      </w:pPr>
      <w:r w:rsidRPr="00483883">
        <w:rPr>
          <w:spacing w:val="-3"/>
          <w:szCs w:val="22"/>
          <w:u w:val="single"/>
        </w:rPr>
        <w:t>City</w:t>
      </w:r>
      <w:r w:rsidRPr="00483883">
        <w:rPr>
          <w:spacing w:val="-8"/>
          <w:szCs w:val="22"/>
          <w:u w:val="single"/>
        </w:rPr>
        <w:t xml:space="preserve"> </w:t>
      </w:r>
      <w:r w:rsidRPr="00483883">
        <w:rPr>
          <w:spacing w:val="-3"/>
          <w:szCs w:val="22"/>
          <w:u w:val="single"/>
        </w:rPr>
        <w:t>and</w:t>
      </w:r>
      <w:r w:rsidRPr="00483883">
        <w:rPr>
          <w:spacing w:val="-5"/>
          <w:szCs w:val="22"/>
          <w:u w:val="single"/>
        </w:rPr>
        <w:t xml:space="preserve"> </w:t>
      </w:r>
      <w:r w:rsidRPr="00483883">
        <w:rPr>
          <w:spacing w:val="-4"/>
          <w:szCs w:val="22"/>
          <w:u w:val="single"/>
        </w:rPr>
        <w:t>State</w:t>
      </w:r>
      <w:r w:rsidRPr="00483883">
        <w:rPr>
          <w:spacing w:val="-4"/>
          <w:szCs w:val="22"/>
        </w:rPr>
        <w:t xml:space="preserve">                        </w:t>
      </w:r>
      <w:r w:rsidRPr="00483883">
        <w:rPr>
          <w:spacing w:val="-4"/>
          <w:szCs w:val="22"/>
        </w:rPr>
        <w:tab/>
      </w:r>
      <w:r w:rsidRPr="00483883">
        <w:rPr>
          <w:spacing w:val="-4"/>
          <w:szCs w:val="22"/>
          <w:u w:val="single"/>
        </w:rPr>
        <w:t>Channel</w:t>
      </w:r>
      <w:r w:rsidRPr="00483883">
        <w:rPr>
          <w:spacing w:val="-4"/>
          <w:szCs w:val="22"/>
        </w:rPr>
        <w:t xml:space="preserve">   </w:t>
      </w:r>
      <w:r w:rsidRPr="00483883">
        <w:rPr>
          <w:spacing w:val="-4"/>
          <w:szCs w:val="22"/>
          <w:u w:val="single"/>
        </w:rPr>
        <w:t>Power</w:t>
      </w:r>
      <w:r w:rsidRPr="00483883">
        <w:rPr>
          <w:spacing w:val="-7"/>
          <w:szCs w:val="22"/>
          <w:u w:val="single"/>
        </w:rPr>
        <w:t xml:space="preserve"> </w:t>
      </w:r>
      <w:r w:rsidRPr="00483883">
        <w:rPr>
          <w:spacing w:val="-3"/>
          <w:szCs w:val="22"/>
          <w:u w:val="single"/>
        </w:rPr>
        <w:t>(kW)</w:t>
      </w:r>
      <w:r w:rsidRPr="00483883">
        <w:rPr>
          <w:spacing w:val="-3"/>
          <w:szCs w:val="22"/>
        </w:rPr>
        <w:t xml:space="preserve">    </w:t>
      </w:r>
      <w:r w:rsidRPr="00483883">
        <w:rPr>
          <w:spacing w:val="-3"/>
          <w:szCs w:val="22"/>
          <w:u w:val="single"/>
        </w:rPr>
        <w:t xml:space="preserve">Antenna </w:t>
      </w:r>
      <w:r w:rsidRPr="00483883">
        <w:rPr>
          <w:spacing w:val="-7"/>
          <w:szCs w:val="22"/>
          <w:u w:val="single"/>
        </w:rPr>
        <w:t xml:space="preserve"> </w:t>
      </w:r>
      <w:r w:rsidRPr="00483883">
        <w:rPr>
          <w:spacing w:val="-3"/>
          <w:szCs w:val="22"/>
          <w:u w:val="single"/>
        </w:rPr>
        <w:t>HAAT</w:t>
      </w:r>
      <w:r w:rsidRPr="00483883">
        <w:rPr>
          <w:spacing w:val="-8"/>
          <w:szCs w:val="22"/>
          <w:u w:val="single"/>
        </w:rPr>
        <w:t xml:space="preserve"> </w:t>
      </w:r>
      <w:r w:rsidRPr="00483883">
        <w:rPr>
          <w:spacing w:val="-3"/>
          <w:szCs w:val="22"/>
          <w:u w:val="single"/>
        </w:rPr>
        <w:t>(m)</w:t>
      </w:r>
      <w:r w:rsidRPr="00483883">
        <w:rPr>
          <w:spacing w:val="-3"/>
          <w:szCs w:val="22"/>
        </w:rPr>
        <w:t xml:space="preserve">   </w:t>
      </w:r>
      <w:r w:rsidRPr="00483883">
        <w:rPr>
          <w:spacing w:val="-3"/>
          <w:szCs w:val="22"/>
          <w:u w:val="single"/>
        </w:rPr>
        <w:t>Service Pop.</w:t>
      </w:r>
      <w:r w:rsidRPr="00483883">
        <w:rPr>
          <w:spacing w:val="-3"/>
          <w:szCs w:val="22"/>
        </w:rPr>
        <w:t xml:space="preserve"> </w:t>
      </w:r>
    </w:p>
    <w:p w:rsidR="00E23BB8" w:rsidRPr="00483883" w:rsidP="008B3FB8" w14:paraId="30AE64F9" w14:textId="3820C6D2">
      <w:pPr>
        <w:pStyle w:val="BodyText"/>
        <w:widowControl/>
        <w:tabs>
          <w:tab w:val="left" w:pos="3748"/>
          <w:tab w:val="left" w:pos="5189"/>
          <w:tab w:val="right" w:pos="7126"/>
        </w:tabs>
        <w:spacing w:after="220"/>
        <w:ind w:left="0"/>
        <w:rPr>
          <w:szCs w:val="22"/>
        </w:rPr>
      </w:pPr>
      <w:r w:rsidRPr="00483883">
        <w:rPr>
          <w:spacing w:val="-1"/>
          <w:szCs w:val="22"/>
        </w:rPr>
        <w:t>Monroe</w:t>
      </w:r>
      <w:r w:rsidRPr="00483883">
        <w:rPr>
          <w:spacing w:val="-1"/>
          <w:szCs w:val="22"/>
        </w:rPr>
        <w:t>,</w:t>
      </w:r>
      <w:r w:rsidRPr="00483883">
        <w:rPr>
          <w:spacing w:val="-1"/>
          <w:szCs w:val="22"/>
        </w:rPr>
        <w:t xml:space="preserve"> Louisiana</w:t>
      </w:r>
      <w:r w:rsidRPr="00483883">
        <w:rPr>
          <w:spacing w:val="-1"/>
          <w:szCs w:val="22"/>
        </w:rPr>
        <w:t xml:space="preserve">                    </w:t>
      </w:r>
      <w:r w:rsidRPr="00483883">
        <w:rPr>
          <w:spacing w:val="-1"/>
          <w:szCs w:val="22"/>
        </w:rPr>
        <w:t xml:space="preserve">         </w:t>
      </w:r>
      <w:r w:rsidRPr="00483883" w:rsidR="008D0F2F">
        <w:rPr>
          <w:spacing w:val="-1"/>
          <w:szCs w:val="22"/>
        </w:rPr>
        <w:t>*29</w:t>
      </w:r>
      <w:r w:rsidRPr="00483883">
        <w:rPr>
          <w:spacing w:val="-1"/>
          <w:szCs w:val="22"/>
        </w:rPr>
        <w:t xml:space="preserve">  </w:t>
      </w:r>
      <w:r w:rsidRPr="00483883">
        <w:rPr>
          <w:szCs w:val="22"/>
        </w:rPr>
        <w:t xml:space="preserve">       1</w:t>
      </w:r>
      <w:r w:rsidRPr="00483883" w:rsidR="008D0F2F">
        <w:rPr>
          <w:szCs w:val="22"/>
        </w:rPr>
        <w:t>000</w:t>
      </w:r>
      <w:r w:rsidRPr="00483883">
        <w:rPr>
          <w:szCs w:val="22"/>
        </w:rPr>
        <w:t xml:space="preserve">                  </w:t>
      </w:r>
      <w:r w:rsidRPr="00483883" w:rsidR="008D0F2F">
        <w:rPr>
          <w:szCs w:val="22"/>
        </w:rPr>
        <w:t>544.5</w:t>
      </w:r>
      <w:r w:rsidRPr="00483883">
        <w:rPr>
          <w:szCs w:val="22"/>
        </w:rPr>
        <w:t xml:space="preserve">                        </w:t>
      </w:r>
      <w:r w:rsidRPr="00483883" w:rsidR="009240F7">
        <w:rPr>
          <w:szCs w:val="22"/>
        </w:rPr>
        <w:t>710,915</w:t>
      </w:r>
    </w:p>
    <w:p w:rsidR="00D4052F" w:rsidRPr="00483883" w:rsidP="008B3FB8" w14:paraId="5881C704" w14:textId="5383A219">
      <w:pPr>
        <w:pStyle w:val="ParaNum"/>
        <w:widowControl/>
        <w:rPr>
          <w:szCs w:val="22"/>
        </w:rPr>
      </w:pPr>
      <w:r w:rsidRPr="00483883">
        <w:rPr>
          <w:szCs w:val="22"/>
        </w:rPr>
        <w:t>We also conclude that good cause exists to make this channel change effective immediately upon publication in the Federal Register, pursuant to section 553(d)(3) of the Administrative Procedure Act.</w:t>
      </w:r>
      <w:r>
        <w:rPr>
          <w:rStyle w:val="FootnoteReference"/>
          <w:szCs w:val="22"/>
        </w:rPr>
        <w:footnoteReference w:id="17"/>
      </w:r>
      <w:r w:rsidRPr="00483883">
        <w:rPr>
          <w:szCs w:val="22"/>
        </w:rPr>
        <w:t xml:space="preserve"> </w:t>
      </w:r>
      <w:r w:rsidRPr="00483883" w:rsidR="000F2824">
        <w:rPr>
          <w:szCs w:val="22"/>
        </w:rPr>
        <w:t xml:space="preserve"> </w:t>
      </w:r>
      <w:r w:rsidRPr="00483883">
        <w:rPr>
          <w:szCs w:val="22"/>
        </w:rPr>
        <w:t>An expedited effective date is necessary in this case to ensure that KLTM can operate with improved service to its viewers as quickly as possible</w:t>
      </w:r>
      <w:r w:rsidRPr="00483883" w:rsidR="000C0D49">
        <w:rPr>
          <w:szCs w:val="22"/>
        </w:rPr>
        <w:t>.</w:t>
      </w:r>
    </w:p>
    <w:p w:rsidR="001A7F52" w:rsidRPr="00483883" w:rsidP="008B3FB8" w14:paraId="77BA6546" w14:textId="77777777">
      <w:pPr>
        <w:pStyle w:val="ParaNum"/>
        <w:widowControl/>
      </w:pPr>
      <w:r w:rsidRPr="00483883">
        <w:t xml:space="preserve">Accordingly, pursuant to the authority contained in sections 4(i), 5(c)(1), 303(g), (r) and 307(b) of the Communications Act of 1934, as amended, 47 U.S.C. §§ 154(i), 155(c)(1), 303(g), (r), and 307(b), and sections 0.61, 0.204(b), and 0.283 of the rules, 47 CFR §§ 0.61, 0.204(b), and 0.283, </w:t>
      </w:r>
      <w:r w:rsidRPr="00483883">
        <w:rPr>
          <w:b/>
          <w:bCs/>
        </w:rPr>
        <w:t>IT IS ORDERED</w:t>
      </w:r>
      <w:r w:rsidRPr="00483883">
        <w:t xml:space="preserve"> that, effective immediately upon the date of publication in the Federal Register, the Table of </w:t>
      </w:r>
      <w:r w:rsidRPr="00483883">
        <w:t xml:space="preserve">TV Allotments, section 73.622(j) of the Commission’s rules, 47 CFR § 73.622(j), </w:t>
      </w:r>
      <w:r w:rsidRPr="00483883">
        <w:rPr>
          <w:b/>
          <w:bCs/>
        </w:rPr>
        <w:t>IS AMENDED</w:t>
      </w:r>
      <w:r w:rsidRPr="00483883">
        <w:t>, with respect to the community listed below, to read as follows:</w:t>
      </w:r>
    </w:p>
    <w:p w:rsidR="00E23BB8" w:rsidRPr="00483883" w:rsidP="008B3FB8" w14:paraId="03C0F61D" w14:textId="3C1C1CD3">
      <w:pPr>
        <w:pStyle w:val="BodyText"/>
        <w:widowControl/>
        <w:tabs>
          <w:tab w:val="left" w:pos="2339"/>
          <w:tab w:val="left" w:pos="3008"/>
          <w:tab w:val="left" w:pos="4499"/>
          <w:tab w:val="left" w:pos="5169"/>
          <w:tab w:val="left" w:pos="6659"/>
        </w:tabs>
        <w:spacing w:after="120"/>
        <w:ind w:left="0"/>
        <w:rPr>
          <w:szCs w:val="22"/>
        </w:rPr>
      </w:pPr>
      <w:r w:rsidRPr="00483883">
        <w:rPr>
          <w:spacing w:val="-3"/>
          <w:szCs w:val="22"/>
          <w:u w:val="single" w:color="000000"/>
        </w:rPr>
        <w:t>City</w:t>
      </w:r>
      <w:r w:rsidRPr="00483883">
        <w:rPr>
          <w:spacing w:val="-8"/>
          <w:szCs w:val="22"/>
          <w:u w:val="single" w:color="000000"/>
        </w:rPr>
        <w:t xml:space="preserve"> </w:t>
      </w:r>
      <w:r w:rsidRPr="00483883">
        <w:rPr>
          <w:spacing w:val="-3"/>
          <w:szCs w:val="22"/>
          <w:u w:val="single" w:color="000000"/>
        </w:rPr>
        <w:t>and</w:t>
      </w:r>
      <w:r w:rsidRPr="00483883">
        <w:rPr>
          <w:spacing w:val="-5"/>
          <w:szCs w:val="22"/>
          <w:u w:val="single" w:color="000000"/>
        </w:rPr>
        <w:t xml:space="preserve"> </w:t>
      </w:r>
      <w:r w:rsidRPr="00483883">
        <w:rPr>
          <w:spacing w:val="-4"/>
          <w:szCs w:val="22"/>
          <w:u w:val="single" w:color="000000"/>
        </w:rPr>
        <w:t>State</w:t>
      </w:r>
      <w:r w:rsidRPr="00483883">
        <w:rPr>
          <w:spacing w:val="-4"/>
          <w:szCs w:val="22"/>
        </w:rPr>
        <w:tab/>
      </w:r>
      <w:r w:rsidRPr="00483883">
        <w:rPr>
          <w:spacing w:val="-4"/>
          <w:szCs w:val="22"/>
        </w:rPr>
        <w:tab/>
      </w:r>
      <w:r w:rsidRPr="00483883">
        <w:rPr>
          <w:spacing w:val="-3"/>
          <w:szCs w:val="22"/>
          <w:u w:val="single" w:color="000000"/>
        </w:rPr>
        <w:t>Channel No.</w:t>
      </w:r>
      <w:r w:rsidRPr="00483883">
        <w:rPr>
          <w:spacing w:val="-3"/>
          <w:szCs w:val="22"/>
        </w:rPr>
        <w:tab/>
      </w:r>
      <w:r w:rsidRPr="00483883">
        <w:rPr>
          <w:spacing w:val="-3"/>
          <w:szCs w:val="22"/>
        </w:rPr>
        <w:tab/>
      </w:r>
    </w:p>
    <w:p w:rsidR="00E23BB8" w:rsidRPr="00483883" w:rsidP="008B3FB8" w14:paraId="080E5E95" w14:textId="0D2A07F6">
      <w:pPr>
        <w:pStyle w:val="BodyText"/>
        <w:widowControl/>
        <w:tabs>
          <w:tab w:val="left" w:pos="3728"/>
          <w:tab w:val="center" w:pos="4680"/>
          <w:tab w:val="left" w:pos="5169"/>
        </w:tabs>
        <w:spacing w:after="220"/>
        <w:ind w:left="0"/>
        <w:rPr>
          <w:spacing w:val="-4"/>
          <w:szCs w:val="22"/>
        </w:rPr>
      </w:pPr>
      <w:r w:rsidRPr="00483883">
        <w:rPr>
          <w:spacing w:val="-4"/>
          <w:szCs w:val="22"/>
        </w:rPr>
        <w:t>Monroe, Louisiana</w:t>
      </w:r>
      <w:r w:rsidRPr="00483883">
        <w:rPr>
          <w:spacing w:val="-4"/>
          <w:szCs w:val="22"/>
        </w:rPr>
        <w:t xml:space="preserve">                   </w:t>
      </w:r>
      <w:r w:rsidRPr="00483883">
        <w:rPr>
          <w:spacing w:val="-4"/>
          <w:szCs w:val="22"/>
        </w:rPr>
        <w:t xml:space="preserve">           </w:t>
      </w:r>
      <w:r w:rsidRPr="00483883">
        <w:rPr>
          <w:spacing w:val="-4"/>
          <w:szCs w:val="22"/>
        </w:rPr>
        <w:t xml:space="preserve"> </w:t>
      </w:r>
      <w:r w:rsidRPr="00483883">
        <w:rPr>
          <w:spacing w:val="-4"/>
          <w:szCs w:val="22"/>
        </w:rPr>
        <w:t>24</w:t>
      </w:r>
      <w:r w:rsidRPr="00483883">
        <w:rPr>
          <w:spacing w:val="-4"/>
          <w:szCs w:val="22"/>
        </w:rPr>
        <w:t xml:space="preserve">, </w:t>
      </w:r>
      <w:r w:rsidRPr="00483883">
        <w:rPr>
          <w:spacing w:val="-4"/>
          <w:szCs w:val="22"/>
        </w:rPr>
        <w:t>*29</w:t>
      </w:r>
      <w:r w:rsidRPr="00483883">
        <w:rPr>
          <w:spacing w:val="-4"/>
          <w:szCs w:val="22"/>
        </w:rPr>
        <w:t xml:space="preserve">   </w:t>
      </w:r>
      <w:r w:rsidRPr="00483883" w:rsidR="00566F56">
        <w:rPr>
          <w:spacing w:val="-4"/>
          <w:szCs w:val="22"/>
        </w:rPr>
        <w:tab/>
      </w:r>
      <w:r w:rsidRPr="00483883" w:rsidR="00566F56">
        <w:rPr>
          <w:spacing w:val="-4"/>
          <w:szCs w:val="22"/>
        </w:rPr>
        <w:tab/>
      </w:r>
    </w:p>
    <w:p w:rsidR="00566F56" w:rsidRPr="00483883" w:rsidP="008B3FB8" w14:paraId="20800FC8" w14:textId="57784030">
      <w:pPr>
        <w:pStyle w:val="ParaNum"/>
        <w:widowControl/>
      </w:pPr>
      <w:r w:rsidRPr="00483883">
        <w:rPr>
          <w:b/>
          <w:bCs/>
        </w:rPr>
        <w:t>IT IS FURTHER ORDERED</w:t>
      </w:r>
      <w:r w:rsidRPr="00483883">
        <w:t xml:space="preserve"> that, within 10 days of the effective date of this </w:t>
      </w:r>
      <w:r w:rsidRPr="00483883" w:rsidR="00F4457D">
        <w:t xml:space="preserve">Report and </w:t>
      </w:r>
      <w:r w:rsidRPr="00483883">
        <w:t xml:space="preserve">Order, Louisiana Educational Television Authority shall submit to the Commission a minor change application for a construction permit (Form 2100, Schedule A) specifying channel *29.  </w:t>
      </w:r>
    </w:p>
    <w:p w:rsidR="00566F56" w:rsidRPr="00483883" w:rsidP="008B3FB8" w14:paraId="6BEA33F6" w14:textId="06EED601">
      <w:pPr>
        <w:pStyle w:val="ParaNum"/>
        <w:widowControl/>
      </w:pPr>
      <w:r w:rsidRPr="00483883">
        <w:rPr>
          <w:b/>
        </w:rPr>
        <w:t>IT IS FURTHER ORDERED</w:t>
      </w:r>
      <w:r w:rsidRPr="00483883">
        <w:t xml:space="preserve"> that, pursuant to section 801(a)(1)(A) of the Congressional Review Act, 5 U.S.C. § 801(a)(1)(A), the Commission </w:t>
      </w:r>
      <w:r w:rsidRPr="00483883">
        <w:rPr>
          <w:b/>
        </w:rPr>
        <w:t>SHALL SEND</w:t>
      </w:r>
      <w:r w:rsidRPr="00483883">
        <w:t xml:space="preserve"> a copy of the </w:t>
      </w:r>
      <w:r w:rsidRPr="00483883" w:rsidR="00F4457D">
        <w:t xml:space="preserve">Report and </w:t>
      </w:r>
      <w:r w:rsidRPr="00483883">
        <w:t>Order to Congress and to the Government Accountability Office.</w:t>
      </w:r>
    </w:p>
    <w:p w:rsidR="00566F56" w:rsidRPr="00483883" w:rsidP="008B3FB8" w14:paraId="12D84913" w14:textId="7668566D">
      <w:pPr>
        <w:pStyle w:val="ParaNum"/>
        <w:widowControl/>
      </w:pPr>
      <w:r w:rsidRPr="00483883">
        <w:rPr>
          <w:b/>
          <w:bCs/>
        </w:rPr>
        <w:t>IT IS FURTHER ORDERED</w:t>
      </w:r>
      <w:r w:rsidRPr="00483883">
        <w:t xml:space="preserve"> that,</w:t>
      </w:r>
      <w:r w:rsidRPr="00483883">
        <w:rPr>
          <w:b/>
          <w:bCs/>
        </w:rPr>
        <w:t xml:space="preserve"> </w:t>
      </w:r>
      <w:r w:rsidRPr="00483883">
        <w:t>should no petitions for reconsideration or petitions for judicial review be timely filed,</w:t>
      </w:r>
      <w:r w:rsidRPr="00483883">
        <w:rPr>
          <w:b/>
          <w:bCs/>
        </w:rPr>
        <w:t xml:space="preserve"> </w:t>
      </w:r>
      <w:r w:rsidRPr="00483883">
        <w:t>MB Docket No. 2</w:t>
      </w:r>
      <w:r w:rsidRPr="00483883" w:rsidR="00EB6511">
        <w:t>5</w:t>
      </w:r>
      <w:r w:rsidRPr="00483883">
        <w:t>-1</w:t>
      </w:r>
      <w:r w:rsidRPr="00483883" w:rsidR="00EB6511">
        <w:t>4</w:t>
      </w:r>
      <w:r w:rsidRPr="00483883">
        <w:t xml:space="preserve"> and RM-119</w:t>
      </w:r>
      <w:r w:rsidRPr="00483883" w:rsidR="00EB6511">
        <w:t>94</w:t>
      </w:r>
      <w:r w:rsidRPr="00483883">
        <w:t xml:space="preserve"> </w:t>
      </w:r>
      <w:r w:rsidRPr="00483883">
        <w:rPr>
          <w:b/>
          <w:bCs/>
        </w:rPr>
        <w:t xml:space="preserve">SHALL BE TERMINATED </w:t>
      </w:r>
      <w:r w:rsidRPr="00483883">
        <w:t>and its docket closed.</w:t>
      </w:r>
    </w:p>
    <w:p w:rsidR="00566F56" w:rsidRPr="00483883" w:rsidP="008B3FB8" w14:paraId="0E78162D" w14:textId="64A45155">
      <w:pPr>
        <w:pStyle w:val="ParaNum"/>
        <w:widowControl/>
        <w:rPr>
          <w:spacing w:val="-3"/>
        </w:rPr>
      </w:pPr>
      <w:r w:rsidRPr="00483883">
        <w:rPr>
          <w:spacing w:val="-2"/>
        </w:rPr>
        <w:t>For</w:t>
      </w:r>
      <w:r w:rsidRPr="00483883">
        <w:rPr>
          <w:spacing w:val="-7"/>
        </w:rPr>
        <w:t xml:space="preserve"> </w:t>
      </w:r>
      <w:r w:rsidRPr="00483883">
        <w:t>further</w:t>
      </w:r>
      <w:r w:rsidRPr="00483883">
        <w:rPr>
          <w:spacing w:val="-7"/>
        </w:rPr>
        <w:t xml:space="preserve"> </w:t>
      </w:r>
      <w:r w:rsidRPr="00483883">
        <w:t>information</w:t>
      </w:r>
      <w:r w:rsidRPr="00483883">
        <w:rPr>
          <w:spacing w:val="-8"/>
        </w:rPr>
        <w:t xml:space="preserve"> </w:t>
      </w:r>
      <w:r w:rsidRPr="00483883">
        <w:t>concerning</w:t>
      </w:r>
      <w:r w:rsidRPr="00483883">
        <w:rPr>
          <w:spacing w:val="-8"/>
        </w:rPr>
        <w:t xml:space="preserve"> </w:t>
      </w:r>
      <w:r w:rsidRPr="00483883">
        <w:rPr>
          <w:spacing w:val="-3"/>
        </w:rPr>
        <w:t>the</w:t>
      </w:r>
      <w:r w:rsidRPr="00483883">
        <w:rPr>
          <w:spacing w:val="-7"/>
        </w:rPr>
        <w:t xml:space="preserve"> </w:t>
      </w:r>
      <w:r w:rsidRPr="00483883">
        <w:t>proceeding</w:t>
      </w:r>
      <w:r w:rsidRPr="00483883">
        <w:rPr>
          <w:spacing w:val="-8"/>
        </w:rPr>
        <w:t xml:space="preserve"> </w:t>
      </w:r>
      <w:r w:rsidRPr="00483883">
        <w:rPr>
          <w:spacing w:val="-3"/>
        </w:rPr>
        <w:t>listed</w:t>
      </w:r>
      <w:r w:rsidRPr="00483883">
        <w:rPr>
          <w:spacing w:val="-7"/>
        </w:rPr>
        <w:t xml:space="preserve"> </w:t>
      </w:r>
      <w:r w:rsidRPr="00483883">
        <w:rPr>
          <w:spacing w:val="-3"/>
        </w:rPr>
        <w:t>above,</w:t>
      </w:r>
      <w:r w:rsidRPr="00483883">
        <w:rPr>
          <w:spacing w:val="-8"/>
        </w:rPr>
        <w:t xml:space="preserve"> </w:t>
      </w:r>
      <w:r w:rsidRPr="00483883">
        <w:rPr>
          <w:spacing w:val="-3"/>
        </w:rPr>
        <w:t>contact</w:t>
      </w:r>
      <w:r w:rsidRPr="00483883">
        <w:rPr>
          <w:spacing w:val="-6"/>
        </w:rPr>
        <w:t xml:space="preserve"> </w:t>
      </w:r>
      <w:r w:rsidRPr="00483883" w:rsidR="00EB6511">
        <w:rPr>
          <w:spacing w:val="-3"/>
        </w:rPr>
        <w:t>Emily Harrison</w:t>
      </w:r>
      <w:r w:rsidRPr="00483883">
        <w:t>,</w:t>
      </w:r>
      <w:r w:rsidRPr="00483883">
        <w:rPr>
          <w:spacing w:val="-7"/>
        </w:rPr>
        <w:t xml:space="preserve"> </w:t>
      </w:r>
      <w:r w:rsidRPr="00483883">
        <w:t>Video</w:t>
      </w:r>
      <w:r w:rsidRPr="00483883">
        <w:rPr>
          <w:spacing w:val="-5"/>
        </w:rPr>
        <w:t xml:space="preserve"> </w:t>
      </w:r>
      <w:r w:rsidRPr="00483883">
        <w:t>Division,</w:t>
      </w:r>
      <w:r w:rsidRPr="00483883">
        <w:rPr>
          <w:spacing w:val="-7"/>
        </w:rPr>
        <w:t xml:space="preserve"> </w:t>
      </w:r>
      <w:r w:rsidRPr="00483883">
        <w:rPr>
          <w:spacing w:val="-3"/>
        </w:rPr>
        <w:t>Media</w:t>
      </w:r>
      <w:r w:rsidRPr="00483883">
        <w:rPr>
          <w:spacing w:val="-5"/>
        </w:rPr>
        <w:t xml:space="preserve"> </w:t>
      </w:r>
      <w:r w:rsidRPr="00483883">
        <w:t xml:space="preserve">Bureau, at </w:t>
      </w:r>
      <w:hyperlink r:id="rId6" w:history="1">
        <w:r w:rsidRPr="00483883" w:rsidR="00EB6511">
          <w:rPr>
            <w:rStyle w:val="Hyperlink"/>
            <w:szCs w:val="22"/>
          </w:rPr>
          <w:t>Emily.Harrison@fcc.gov</w:t>
        </w:r>
      </w:hyperlink>
      <w:r w:rsidRPr="00483883" w:rsidR="00EB6511">
        <w:t xml:space="preserve"> or Mark Colombo, Video Division, Media Bureau, at </w:t>
      </w:r>
      <w:hyperlink r:id="rId7" w:history="1">
        <w:r w:rsidRPr="00483883" w:rsidR="00EB6511">
          <w:rPr>
            <w:rStyle w:val="Hyperlink"/>
          </w:rPr>
          <w:t>Mark.Colombo@fcc.gov</w:t>
        </w:r>
      </w:hyperlink>
      <w:r w:rsidRPr="00483883" w:rsidR="00EB6511">
        <w:t xml:space="preserve">. </w:t>
      </w:r>
    </w:p>
    <w:p w:rsidR="00566F56" w:rsidRPr="00483883" w:rsidP="008B3FB8" w14:paraId="2FF77FA2" w14:textId="77777777">
      <w:pPr>
        <w:widowControl/>
        <w:rPr>
          <w:szCs w:val="22"/>
        </w:rPr>
      </w:pPr>
      <w:r w:rsidRPr="00483883">
        <w:rPr>
          <w:szCs w:val="22"/>
        </w:rPr>
        <w:tab/>
      </w:r>
      <w:r w:rsidRPr="00483883">
        <w:rPr>
          <w:szCs w:val="22"/>
        </w:rPr>
        <w:tab/>
      </w:r>
      <w:r w:rsidRPr="00483883">
        <w:rPr>
          <w:szCs w:val="22"/>
        </w:rPr>
        <w:tab/>
      </w:r>
      <w:r w:rsidRPr="00483883">
        <w:rPr>
          <w:szCs w:val="22"/>
        </w:rPr>
        <w:tab/>
      </w:r>
      <w:r w:rsidRPr="00483883">
        <w:rPr>
          <w:szCs w:val="22"/>
        </w:rPr>
        <w:tab/>
      </w:r>
      <w:r w:rsidRPr="00483883">
        <w:rPr>
          <w:szCs w:val="22"/>
        </w:rPr>
        <w:tab/>
        <w:t xml:space="preserve">FEDERAL COMMUNICATIONS COMMISSION </w:t>
      </w:r>
    </w:p>
    <w:p w:rsidR="00566F56" w:rsidRPr="00483883" w:rsidP="008B3FB8" w14:paraId="44E84809" w14:textId="77777777">
      <w:pPr>
        <w:widowControl/>
        <w:rPr>
          <w:szCs w:val="22"/>
        </w:rPr>
      </w:pPr>
    </w:p>
    <w:p w:rsidR="00566F56" w:rsidRPr="00483883" w:rsidP="008B3FB8" w14:paraId="1E206779" w14:textId="77777777">
      <w:pPr>
        <w:widowControl/>
        <w:rPr>
          <w:szCs w:val="22"/>
        </w:rPr>
      </w:pPr>
    </w:p>
    <w:p w:rsidR="00566F56" w:rsidRPr="00483883" w:rsidP="008B3FB8" w14:paraId="5C2E5D81" w14:textId="77777777">
      <w:pPr>
        <w:widowControl/>
        <w:rPr>
          <w:szCs w:val="22"/>
        </w:rPr>
      </w:pPr>
    </w:p>
    <w:p w:rsidR="00566F56" w:rsidRPr="00483883" w:rsidP="008B3FB8" w14:paraId="79C601D0" w14:textId="77777777">
      <w:pPr>
        <w:widowControl/>
        <w:rPr>
          <w:szCs w:val="22"/>
        </w:rPr>
      </w:pPr>
      <w:r w:rsidRPr="00483883">
        <w:rPr>
          <w:szCs w:val="22"/>
        </w:rPr>
        <w:tab/>
      </w:r>
      <w:r w:rsidRPr="00483883">
        <w:rPr>
          <w:szCs w:val="22"/>
        </w:rPr>
        <w:tab/>
      </w:r>
      <w:r w:rsidRPr="00483883">
        <w:rPr>
          <w:szCs w:val="22"/>
        </w:rPr>
        <w:tab/>
      </w:r>
      <w:r w:rsidRPr="00483883">
        <w:rPr>
          <w:szCs w:val="22"/>
        </w:rPr>
        <w:tab/>
      </w:r>
      <w:r w:rsidRPr="00483883">
        <w:rPr>
          <w:szCs w:val="22"/>
        </w:rPr>
        <w:tab/>
      </w:r>
      <w:r w:rsidRPr="00483883">
        <w:rPr>
          <w:szCs w:val="22"/>
        </w:rPr>
        <w:tab/>
        <w:t xml:space="preserve">Barbara A. Kreisman </w:t>
      </w:r>
    </w:p>
    <w:p w:rsidR="00566F56" w:rsidRPr="00483883" w:rsidP="008B3FB8" w14:paraId="3C40949B" w14:textId="77777777">
      <w:pPr>
        <w:widowControl/>
        <w:rPr>
          <w:szCs w:val="22"/>
        </w:rPr>
      </w:pPr>
      <w:r w:rsidRPr="00483883">
        <w:rPr>
          <w:szCs w:val="22"/>
        </w:rPr>
        <w:tab/>
      </w:r>
      <w:r w:rsidRPr="00483883">
        <w:rPr>
          <w:szCs w:val="22"/>
        </w:rPr>
        <w:tab/>
      </w:r>
      <w:r w:rsidRPr="00483883">
        <w:rPr>
          <w:szCs w:val="22"/>
        </w:rPr>
        <w:tab/>
      </w:r>
      <w:r w:rsidRPr="00483883">
        <w:rPr>
          <w:szCs w:val="22"/>
        </w:rPr>
        <w:tab/>
      </w:r>
      <w:r w:rsidRPr="00483883">
        <w:rPr>
          <w:szCs w:val="22"/>
        </w:rPr>
        <w:tab/>
      </w:r>
      <w:r w:rsidRPr="00483883">
        <w:rPr>
          <w:szCs w:val="22"/>
        </w:rPr>
        <w:tab/>
        <w:t>Chief, Video Division</w:t>
      </w:r>
    </w:p>
    <w:p w:rsidR="00566F56" w:rsidRPr="00DA678F" w:rsidP="008B3FB8" w14:paraId="1491C485" w14:textId="77777777">
      <w:pPr>
        <w:widowControl/>
        <w:rPr>
          <w:szCs w:val="22"/>
        </w:rPr>
      </w:pPr>
      <w:r w:rsidRPr="00483883">
        <w:rPr>
          <w:szCs w:val="22"/>
        </w:rPr>
        <w:tab/>
      </w:r>
      <w:r w:rsidRPr="00483883">
        <w:rPr>
          <w:szCs w:val="22"/>
        </w:rPr>
        <w:tab/>
      </w:r>
      <w:r w:rsidRPr="00483883">
        <w:rPr>
          <w:szCs w:val="22"/>
        </w:rPr>
        <w:tab/>
      </w:r>
      <w:r w:rsidRPr="00483883">
        <w:rPr>
          <w:szCs w:val="22"/>
        </w:rPr>
        <w:tab/>
      </w:r>
      <w:r w:rsidRPr="00483883">
        <w:rPr>
          <w:szCs w:val="22"/>
        </w:rPr>
        <w:tab/>
      </w:r>
      <w:r w:rsidRPr="00483883">
        <w:rPr>
          <w:szCs w:val="22"/>
        </w:rPr>
        <w:tab/>
        <w:t>Media Bureau</w:t>
      </w:r>
    </w:p>
    <w:p w:rsidR="00412FC5" w:rsidRPr="00CA30B0" w:rsidP="008B3FB8" w14:paraId="56BF811B" w14:textId="37CB3C39">
      <w:pPr>
        <w:widowControl/>
        <w:rPr>
          <w:szCs w:val="22"/>
        </w:rPr>
      </w:pPr>
    </w:p>
    <w:sectPr w:rsidSect="0055614C">
      <w:headerReference w:type="default" r:id="rId8"/>
      <w:footerReference w:type="even" r:id="rId9"/>
      <w:footerReference w:type="default" r:id="rId10"/>
      <w:headerReference w:type="first" r:id="rId11"/>
      <w:footerReference w:type="first" r:id="rId12"/>
      <w:endnotePr>
        <w:numFmt w:val="decimal"/>
      </w:endnotePr>
      <w:pgSz w:w="12240" w:h="15840"/>
      <w:pgMar w:top="1440" w:right="1440" w:bottom="720" w:left="1440" w:header="720" w:footer="72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571526" w14:paraId="0FE84117" w14:textId="77777777">
      <w:pPr>
        <w:spacing w:line="20" w:lineRule="exact"/>
      </w:pPr>
    </w:p>
  </w:endnote>
  <w:endnote w:type="continuationSeparator" w:id="1">
    <w:p w:rsidR="00571526" w14:paraId="4CB49676" w14:textId="77777777">
      <w:r>
        <w:t xml:space="preserve"> </w:t>
      </w:r>
    </w:p>
  </w:endnote>
  <w:endnote w:type="continuationNotice" w:id="2">
    <w:p w:rsidR="00571526" w14:paraId="737E64DB" w14:textId="77777777">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rsidP="0055614C" w14:paraId="75B124F1" w14:textId="77777777">
    <w:pPr>
      <w:pStyle w:val="Footer"/>
      <w:framePr w:wrap="around" w:vAnchor="text" w:hAnchor="margin" w:xAlign="center" w:y="1"/>
    </w:pPr>
    <w:r>
      <w:fldChar w:fldCharType="begin"/>
    </w:r>
    <w:r>
      <w:instrText xml:space="preserve">PAGE  </w:instrText>
    </w:r>
    <w:r>
      <w:fldChar w:fldCharType="separate"/>
    </w:r>
    <w:r>
      <w:fldChar w:fldCharType="end"/>
    </w:r>
  </w:p>
  <w:p w:rsidR="00D25FB5" w14:paraId="27E31E33"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rsidP="00CA30B0" w14:paraId="2A4E0B3B" w14:textId="457388B1">
    <w:pPr>
      <w:pStyle w:val="Footer"/>
      <w:jc w:val="center"/>
    </w:pPr>
    <w:r>
      <w:fldChar w:fldCharType="begin"/>
    </w:r>
    <w:r>
      <w:instrText xml:space="preserve"> PAGE   \* MERGEFORMAT </w:instrText>
    </w:r>
    <w:r>
      <w:fldChar w:fldCharType="separate"/>
    </w:r>
    <w:r>
      <w:rPr>
        <w:noProof/>
      </w:rPr>
      <w:t>2</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14:paraId="749C049D" w14:textId="77777777">
    <w:pPr>
      <w:pStyle w:val="Footer"/>
      <w:tabs>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571526" w14:paraId="101E81EF" w14:textId="77777777">
      <w:r>
        <w:separator/>
      </w:r>
    </w:p>
  </w:footnote>
  <w:footnote w:type="continuationSeparator" w:id="1">
    <w:p w:rsidR="00571526" w:rsidP="00C721AC" w14:paraId="1C890CC0" w14:textId="77777777">
      <w:pPr>
        <w:spacing w:before="120"/>
        <w:rPr>
          <w:sz w:val="20"/>
        </w:rPr>
      </w:pPr>
      <w:r>
        <w:rPr>
          <w:sz w:val="20"/>
        </w:rPr>
        <w:t xml:space="preserve">(Continued from previous page)  </w:t>
      </w:r>
      <w:r>
        <w:rPr>
          <w:sz w:val="20"/>
        </w:rPr>
        <w:separator/>
      </w:r>
    </w:p>
  </w:footnote>
  <w:footnote w:type="continuationNotice" w:id="2">
    <w:p w:rsidR="00571526" w:rsidP="00C721AC" w14:paraId="2B33DC80" w14:textId="77777777">
      <w:pPr>
        <w:jc w:val="right"/>
        <w:rPr>
          <w:sz w:val="20"/>
        </w:rPr>
      </w:pPr>
      <w:r>
        <w:rPr>
          <w:sz w:val="20"/>
        </w:rPr>
        <w:t>(continued….)</w:t>
      </w:r>
    </w:p>
  </w:footnote>
  <w:footnote w:id="3">
    <w:p w:rsidR="00BE546C" w:rsidRPr="00483883" w14:paraId="168A4DBB" w14:textId="3991333C">
      <w:pPr>
        <w:pStyle w:val="FootnoteText"/>
      </w:pPr>
      <w:r w:rsidRPr="00483883">
        <w:rPr>
          <w:rStyle w:val="FootnoteReference"/>
        </w:rPr>
        <w:footnoteRef/>
      </w:r>
      <w:r w:rsidRPr="00483883">
        <w:t xml:space="preserve"> </w:t>
      </w:r>
      <w:r w:rsidRPr="00483883" w:rsidR="00020564">
        <w:rPr>
          <w:i/>
          <w:iCs/>
        </w:rPr>
        <w:t xml:space="preserve">Amendment of Section 73.622(j), Table of </w:t>
      </w:r>
      <w:r w:rsidRPr="00483883" w:rsidR="009F2F33">
        <w:rPr>
          <w:i/>
          <w:iCs/>
        </w:rPr>
        <w:t xml:space="preserve">TV </w:t>
      </w:r>
      <w:r w:rsidRPr="00483883" w:rsidR="00020564">
        <w:rPr>
          <w:i/>
          <w:iCs/>
        </w:rPr>
        <w:t>Allotments, Television Broadcast Stations (</w:t>
      </w:r>
      <w:r w:rsidRPr="00483883" w:rsidR="009F2F33">
        <w:rPr>
          <w:i/>
          <w:iCs/>
        </w:rPr>
        <w:t>Monroe</w:t>
      </w:r>
      <w:r w:rsidRPr="00483883" w:rsidR="00020564">
        <w:rPr>
          <w:i/>
          <w:iCs/>
        </w:rPr>
        <w:t xml:space="preserve">, </w:t>
      </w:r>
      <w:r w:rsidRPr="00483883" w:rsidR="009F2F33">
        <w:rPr>
          <w:i/>
          <w:iCs/>
        </w:rPr>
        <w:t>Louisiana</w:t>
      </w:r>
      <w:r w:rsidRPr="00483883" w:rsidR="00020564">
        <w:rPr>
          <w:i/>
          <w:iCs/>
        </w:rPr>
        <w:t>)</w:t>
      </w:r>
      <w:r w:rsidRPr="00483883" w:rsidR="00020564">
        <w:t>, MB Docket No. 2</w:t>
      </w:r>
      <w:r w:rsidRPr="00483883" w:rsidR="009F2F33">
        <w:t>5</w:t>
      </w:r>
      <w:r w:rsidRPr="00483883" w:rsidR="00020564">
        <w:t>-</w:t>
      </w:r>
      <w:r w:rsidRPr="00483883" w:rsidR="009F2F33">
        <w:t>14</w:t>
      </w:r>
      <w:r w:rsidRPr="00483883" w:rsidR="00020564">
        <w:t>, Notice of Proposed Rulemaking, D</w:t>
      </w:r>
      <w:r w:rsidRPr="00483883" w:rsidR="009F2F33">
        <w:t>A</w:t>
      </w:r>
      <w:r w:rsidRPr="00483883" w:rsidR="00020564">
        <w:t xml:space="preserve"> 2</w:t>
      </w:r>
      <w:r w:rsidRPr="00483883" w:rsidR="009F2F33">
        <w:t>5</w:t>
      </w:r>
      <w:r w:rsidRPr="00483883" w:rsidR="00020564">
        <w:t>-</w:t>
      </w:r>
      <w:r w:rsidRPr="00483883" w:rsidR="009F2F33">
        <w:t>66</w:t>
      </w:r>
      <w:r w:rsidRPr="00483883" w:rsidR="00020564">
        <w:t xml:space="preserve"> (MB </w:t>
      </w:r>
      <w:r w:rsidRPr="00483883" w:rsidR="009F2F33">
        <w:t>Jan.</w:t>
      </w:r>
      <w:r w:rsidRPr="00483883" w:rsidR="00020564">
        <w:t xml:space="preserve"> </w:t>
      </w:r>
      <w:r w:rsidRPr="00483883" w:rsidR="009F2F33">
        <w:t>17</w:t>
      </w:r>
      <w:r w:rsidRPr="00483883" w:rsidR="00020564">
        <w:t>, 202</w:t>
      </w:r>
      <w:r w:rsidRPr="00483883" w:rsidR="009F2F33">
        <w:t>5</w:t>
      </w:r>
      <w:r w:rsidRPr="00483883" w:rsidR="00020564">
        <w:t>)</w:t>
      </w:r>
      <w:r w:rsidRPr="00483883" w:rsidR="007C612E">
        <w:t xml:space="preserve"> (</w:t>
      </w:r>
      <w:r w:rsidRPr="00483883" w:rsidR="007C612E">
        <w:rPr>
          <w:i/>
          <w:iCs/>
        </w:rPr>
        <w:t>NPRM</w:t>
      </w:r>
      <w:r w:rsidRPr="00483883" w:rsidR="007C612E">
        <w:t>)</w:t>
      </w:r>
      <w:r w:rsidRPr="00483883" w:rsidR="00020564">
        <w:t xml:space="preserve">.  </w:t>
      </w:r>
    </w:p>
  </w:footnote>
  <w:footnote w:id="4">
    <w:p w:rsidR="00CA30B0" w:rsidRPr="00483883" w:rsidP="00CA30B0" w14:paraId="54303698" w14:textId="00F469D5">
      <w:pPr>
        <w:pStyle w:val="FootnoteText"/>
        <w:widowControl w:val="0"/>
      </w:pPr>
      <w:r w:rsidRPr="00483883">
        <w:rPr>
          <w:rStyle w:val="FootnoteReference"/>
        </w:rPr>
        <w:footnoteRef/>
      </w:r>
      <w:r w:rsidRPr="00483883">
        <w:t xml:space="preserve"> Petition of Louisiana Educational Television Authority, LMS File No. 0000262585 (filed Jan. 10, 2025</w:t>
      </w:r>
      <w:r w:rsidRPr="00483883" w:rsidR="00B077E8">
        <w:t>, as</w:t>
      </w:r>
      <w:r w:rsidRPr="00483883">
        <w:t xml:space="preserve"> amended Jan. 14, 2025)</w:t>
      </w:r>
      <w:r w:rsidRPr="00483883" w:rsidR="00410138">
        <w:t xml:space="preserve"> </w:t>
      </w:r>
      <w:r w:rsidRPr="00483883">
        <w:t xml:space="preserve">(Petition).  NCE television stations are identified in the Table of TV Allotments by an asterisk to indicate they are reserved for noncommercial educational use.  47 CFR § 73.622(a).  </w:t>
      </w:r>
      <w:r w:rsidRPr="00483883" w:rsidR="00D355D7">
        <w:t xml:space="preserve">As indicated in the </w:t>
      </w:r>
      <w:r w:rsidRPr="00483883" w:rsidR="00D355D7">
        <w:rPr>
          <w:i/>
          <w:iCs/>
        </w:rPr>
        <w:t>NPRM</w:t>
      </w:r>
      <w:r w:rsidRPr="00483883" w:rsidR="00D355D7">
        <w:t>, t</w:t>
      </w:r>
      <w:r w:rsidRPr="00483883">
        <w:t>he Licensee requested expedited consideration of its Petition and informed Bureau staff that it is attempting to expedite construction of the proposed facility in order to meet an upcoming project completion deadline attached to</w:t>
      </w:r>
      <w:r w:rsidRPr="00483883" w:rsidR="00D355D7">
        <w:t xml:space="preserve"> a</w:t>
      </w:r>
      <w:r w:rsidRPr="00483883">
        <w:t xml:space="preserve"> </w:t>
      </w:r>
      <w:r w:rsidRPr="00483883" w:rsidR="00743B57">
        <w:t>s</w:t>
      </w:r>
      <w:r w:rsidRPr="00483883">
        <w:t>tate funding deadline.</w:t>
      </w:r>
      <w:r w:rsidRPr="00483883" w:rsidR="009220AE">
        <w:t xml:space="preserve">  </w:t>
      </w:r>
      <w:r w:rsidRPr="00483883" w:rsidR="009220AE">
        <w:rPr>
          <w:i/>
          <w:iCs/>
        </w:rPr>
        <w:t>See NPRM</w:t>
      </w:r>
      <w:r w:rsidRPr="00483883" w:rsidR="009220AE">
        <w:t xml:space="preserve"> at n.1.</w:t>
      </w:r>
    </w:p>
  </w:footnote>
  <w:footnote w:id="5">
    <w:p w:rsidR="00CA30B0" w:rsidRPr="00483883" w:rsidP="00CA30B0" w14:paraId="58AB5430" w14:textId="77777777">
      <w:pPr>
        <w:pStyle w:val="FootnoteText"/>
        <w:widowControl w:val="0"/>
      </w:pPr>
      <w:r w:rsidRPr="00483883">
        <w:rPr>
          <w:rStyle w:val="FootnoteReference"/>
        </w:rPr>
        <w:footnoteRef/>
      </w:r>
      <w:r w:rsidRPr="00483883">
        <w:t xml:space="preserve"> 47 CFR § 73.622(j).</w:t>
      </w:r>
    </w:p>
  </w:footnote>
  <w:footnote w:id="6">
    <w:p w:rsidR="002E08E2" w:rsidRPr="00483883" w:rsidP="002E08E2" w14:paraId="6E53A229" w14:textId="025DF9D1">
      <w:pPr>
        <w:pStyle w:val="FootnoteText"/>
        <w:widowControl w:val="0"/>
      </w:pPr>
      <w:r w:rsidRPr="00483883">
        <w:rPr>
          <w:vertAlign w:val="superscript"/>
        </w:rPr>
        <w:t>4</w:t>
      </w:r>
      <w:r w:rsidRPr="00483883">
        <w:t xml:space="preserve"> </w:t>
      </w:r>
      <w:r w:rsidRPr="00483883" w:rsidR="003D3457">
        <w:t>LETA</w:t>
      </w:r>
      <w:r w:rsidRPr="00483883" w:rsidR="00BE5197">
        <w:t xml:space="preserve"> Comments</w:t>
      </w:r>
      <w:r w:rsidRPr="00483883" w:rsidR="00B829D6">
        <w:t xml:space="preserve"> </w:t>
      </w:r>
      <w:r w:rsidRPr="00483883">
        <w:t xml:space="preserve">at </w:t>
      </w:r>
      <w:r w:rsidRPr="00483883" w:rsidR="00427A01">
        <w:t>1</w:t>
      </w:r>
      <w:r w:rsidRPr="00483883">
        <w:t xml:space="preserve">.  </w:t>
      </w:r>
      <w:r w:rsidRPr="00483883">
        <w:rPr>
          <w:i/>
          <w:iCs/>
        </w:rPr>
        <w:t>See also</w:t>
      </w:r>
      <w:r w:rsidRPr="00483883">
        <w:t xml:space="preserve"> 47 CFR §§ 1.415, 1.419; </w:t>
      </w:r>
      <w:r w:rsidRPr="00483883">
        <w:rPr>
          <w:i/>
          <w:iCs/>
        </w:rPr>
        <w:t>Buffalo, Iola, Normangee, and Madisonville, Texas</w:t>
      </w:r>
      <w:r w:rsidRPr="00483883">
        <w:t>, MB Docket No. 07-</w:t>
      </w:r>
      <w:r w:rsidRPr="00483883" w:rsidR="00FD3A80">
        <w:t>279</w:t>
      </w:r>
      <w:r w:rsidRPr="00483883">
        <w:t>, Report and Order, 24 FCC Rcd 8192, 8194, para. 9 (MB 2009).</w:t>
      </w:r>
    </w:p>
  </w:footnote>
  <w:footnote w:id="7">
    <w:p w:rsidR="005F7FEC" w14:paraId="274CA4E8" w14:textId="5A94FEC1">
      <w:pPr>
        <w:pStyle w:val="FootnoteText"/>
      </w:pPr>
      <w:r w:rsidRPr="007932B0">
        <w:rPr>
          <w:rStyle w:val="FootnoteReference"/>
        </w:rPr>
        <w:footnoteRef/>
      </w:r>
      <w:r w:rsidRPr="007932B0">
        <w:t xml:space="preserve"> On March 31, 2025, a comment filed by Kelly Moore et al. was submitted in the docket.  It does not raise any matters pertinent to this proceeding and appears to have been submitted in the incorrect docket.  We therefore do not consider it.</w:t>
      </w:r>
    </w:p>
  </w:footnote>
  <w:footnote w:id="8">
    <w:p w:rsidR="00516948" w:rsidRPr="00483883" w14:paraId="1272972F" w14:textId="7EAC8A5F">
      <w:pPr>
        <w:pStyle w:val="FootnoteText"/>
      </w:pPr>
      <w:r w:rsidRPr="00483883">
        <w:rPr>
          <w:rStyle w:val="FootnoteReference"/>
        </w:rPr>
        <w:footnoteRef/>
      </w:r>
      <w:r w:rsidRPr="00483883">
        <w:t xml:space="preserve"> </w:t>
      </w:r>
      <w:r w:rsidRPr="00483883" w:rsidR="007C612E">
        <w:rPr>
          <w:i/>
          <w:iCs/>
        </w:rPr>
        <w:t>NPRM</w:t>
      </w:r>
      <w:r w:rsidRPr="00483883" w:rsidR="007C612E">
        <w:t xml:space="preserve"> at para. 2.</w:t>
      </w:r>
    </w:p>
  </w:footnote>
  <w:footnote w:id="9">
    <w:p w:rsidR="007C612E" w14:paraId="4D25F075" w14:textId="0C18B590">
      <w:pPr>
        <w:pStyle w:val="FootnoteText"/>
      </w:pPr>
      <w:r w:rsidRPr="00483883">
        <w:rPr>
          <w:rStyle w:val="FootnoteReference"/>
        </w:rPr>
        <w:footnoteRef/>
      </w:r>
      <w:r w:rsidRPr="00483883">
        <w:t xml:space="preserve"> </w:t>
      </w:r>
      <w:r w:rsidRPr="00483883">
        <w:rPr>
          <w:i/>
          <w:iCs/>
        </w:rPr>
        <w:t>Id</w:t>
      </w:r>
      <w:r w:rsidRPr="00483883">
        <w:t>.</w:t>
      </w:r>
    </w:p>
  </w:footnote>
  <w:footnote w:id="10">
    <w:p w:rsidR="00A62A3D" w:rsidRPr="00483883" w14:paraId="7801B6E4" w14:textId="060303E4">
      <w:pPr>
        <w:pStyle w:val="FootnoteText"/>
      </w:pPr>
      <w:r w:rsidRPr="00483883">
        <w:rPr>
          <w:rStyle w:val="FootnoteReference"/>
        </w:rPr>
        <w:footnoteRef/>
      </w:r>
      <w:r w:rsidRPr="00483883">
        <w:t xml:space="preserve"> </w:t>
      </w:r>
      <w:r w:rsidRPr="00483883">
        <w:rPr>
          <w:i/>
          <w:iCs/>
        </w:rPr>
        <w:t>Id.</w:t>
      </w:r>
      <w:r w:rsidRPr="00483883">
        <w:t xml:space="preserve"> at</w:t>
      </w:r>
      <w:r w:rsidRPr="00483883" w:rsidR="00C82F0F">
        <w:t xml:space="preserve"> para. 2 &amp;</w:t>
      </w:r>
      <w:r w:rsidRPr="00483883">
        <w:t xml:space="preserve"> n.5 (citing </w:t>
      </w:r>
      <w:r w:rsidRPr="00483883" w:rsidR="006E285F">
        <w:rPr>
          <w:i/>
          <w:iCs/>
        </w:rPr>
        <w:t>Assessment and Collection of Regulatory Fees for Fiscal Year 2020</w:t>
      </w:r>
      <w:r w:rsidRPr="00483883" w:rsidR="006E285F">
        <w:t>, MD Docket Nos. 20-105 and 19-105, Report and Order and Notice of Proposed Rulemaking, 35 FCC Rcd 4976, 4997</w:t>
      </w:r>
      <w:r w:rsidRPr="00483883" w:rsidR="00C82F0F">
        <w:t>,</w:t>
      </w:r>
      <w:r w:rsidRPr="00483883" w:rsidR="006E285F">
        <w:t xml:space="preserve"> para. 52 (2020). </w:t>
      </w:r>
      <w:r w:rsidRPr="00483883" w:rsidR="00C50F13">
        <w:t xml:space="preserve"> </w:t>
      </w:r>
      <w:r w:rsidRPr="00483883" w:rsidR="006E285F">
        <w:rPr>
          <w:i/>
          <w:iCs/>
        </w:rPr>
        <w:t>See Innovation in the Broadcast Television Bands: Allocations, Channel Sharing and Improvements to VHF</w:t>
      </w:r>
      <w:r w:rsidRPr="00483883" w:rsidR="006E285F">
        <w:t xml:space="preserve">, ET Docket No. 10-235, Notice of Proposed Rulemaking, 25 FCC Rcd 16498, 16511-12, paras. 42, 44 (2010) (recognizing that VHF channels pose challenges for their use in providing digital television service, including propagation characteristics that allow undesired signals and noise to be receivable at relatively far distances and large variability in the performance of indoor antennas available to viewers, with most antennas performing very poorly on high VHF channels); </w:t>
      </w:r>
      <w:r w:rsidRPr="00483883" w:rsidR="006E285F">
        <w:rPr>
          <w:i/>
          <w:iCs/>
        </w:rPr>
        <w:t>see, e.g.</w:t>
      </w:r>
      <w:r w:rsidRPr="00483883" w:rsidR="006E285F">
        <w:t>,</w:t>
      </w:r>
      <w:r w:rsidRPr="00483883" w:rsidR="006E285F">
        <w:rPr>
          <w:i/>
          <w:iCs/>
        </w:rPr>
        <w:t xml:space="preserve"> Amendment of Section 73.622(j), Table of Allotments, Television Broadcast Stations (Knoxville, Tennessee)</w:t>
      </w:r>
      <w:r w:rsidRPr="00483883" w:rsidR="006E285F">
        <w:t>, MB Docket No. 23-244 and RM-11955, Report and Order, 38 FCC Rcd 9304 (MB 2023) (approving a change in channel from high-band VHF to UHF in order to resolve viewer reception issues).</w:t>
      </w:r>
    </w:p>
  </w:footnote>
  <w:footnote w:id="11">
    <w:p w:rsidR="00DE6E16" w:rsidRPr="00483883" w14:paraId="2194C30C" w14:textId="2DBEE3A0">
      <w:pPr>
        <w:pStyle w:val="FootnoteText"/>
      </w:pPr>
      <w:r w:rsidRPr="00483883">
        <w:rPr>
          <w:rStyle w:val="FootnoteReference"/>
        </w:rPr>
        <w:footnoteRef/>
      </w:r>
      <w:r w:rsidRPr="00483883">
        <w:t xml:space="preserve"> </w:t>
      </w:r>
      <w:r w:rsidRPr="00483883">
        <w:rPr>
          <w:i/>
          <w:iCs/>
        </w:rPr>
        <w:t>NPRM</w:t>
      </w:r>
      <w:r w:rsidRPr="00483883">
        <w:t xml:space="preserve"> at para. 3.</w:t>
      </w:r>
    </w:p>
  </w:footnote>
  <w:footnote w:id="12">
    <w:p w:rsidR="00DE6E16" w:rsidRPr="00483883" w14:paraId="2546FBBC" w14:textId="1D925CFC">
      <w:pPr>
        <w:pStyle w:val="FootnoteText"/>
      </w:pPr>
      <w:r w:rsidRPr="00483883">
        <w:rPr>
          <w:rStyle w:val="FootnoteReference"/>
        </w:rPr>
        <w:footnoteRef/>
      </w:r>
      <w:r w:rsidRPr="00483883">
        <w:t xml:space="preserve"> </w:t>
      </w:r>
      <w:r w:rsidRPr="00483883">
        <w:rPr>
          <w:i/>
          <w:iCs/>
        </w:rPr>
        <w:t>Id</w:t>
      </w:r>
      <w:r w:rsidRPr="00483883">
        <w:t>.</w:t>
      </w:r>
    </w:p>
  </w:footnote>
  <w:footnote w:id="13">
    <w:p w:rsidR="000A2EE4" w:rsidRPr="00483883" w14:paraId="5A733542" w14:textId="36FD6F44">
      <w:pPr>
        <w:pStyle w:val="FootnoteText"/>
      </w:pPr>
      <w:r w:rsidRPr="00483883">
        <w:rPr>
          <w:rStyle w:val="FootnoteReference"/>
        </w:rPr>
        <w:footnoteRef/>
      </w:r>
      <w:r w:rsidRPr="00483883">
        <w:t xml:space="preserve"> </w:t>
      </w:r>
      <w:r w:rsidRPr="00483883" w:rsidR="0027353B">
        <w:rPr>
          <w:i/>
          <w:iCs/>
        </w:rPr>
        <w:t>Id</w:t>
      </w:r>
      <w:r w:rsidRPr="00483883" w:rsidR="0027353B">
        <w:t>.</w:t>
      </w:r>
      <w:r w:rsidRPr="00483883" w:rsidR="008C10AD">
        <w:t>; Petition, Engineering Statement at 3.</w:t>
      </w:r>
    </w:p>
  </w:footnote>
  <w:footnote w:id="14">
    <w:p w:rsidR="000A2EE4" w:rsidRPr="00483883" w14:paraId="17201BD3" w14:textId="22187BD9">
      <w:pPr>
        <w:pStyle w:val="FootnoteText"/>
      </w:pPr>
      <w:r w:rsidRPr="00483883">
        <w:rPr>
          <w:rStyle w:val="FootnoteReference"/>
        </w:rPr>
        <w:footnoteRef/>
      </w:r>
      <w:r w:rsidRPr="00483883">
        <w:t xml:space="preserve"> </w:t>
      </w:r>
      <w:r w:rsidRPr="00483883" w:rsidR="00A870FC">
        <w:rPr>
          <w:i/>
          <w:iCs/>
        </w:rPr>
        <w:t>NPRM</w:t>
      </w:r>
      <w:r w:rsidRPr="00483883" w:rsidR="00A870FC">
        <w:t xml:space="preserve"> at para. 3.</w:t>
      </w:r>
    </w:p>
  </w:footnote>
  <w:footnote w:id="15">
    <w:p w:rsidR="00E23BB8" w:rsidRPr="00483883" w:rsidP="00E23BB8" w14:paraId="229B0291" w14:textId="51E4163B">
      <w:pPr>
        <w:pStyle w:val="FootnoteText"/>
        <w:widowControl w:val="0"/>
      </w:pPr>
      <w:r w:rsidRPr="00483883">
        <w:rPr>
          <w:rStyle w:val="FootnoteReference"/>
        </w:rPr>
        <w:footnoteRef/>
      </w:r>
      <w:r w:rsidRPr="00483883">
        <w:t xml:space="preserve"> 47 CFR § 73.618.</w:t>
      </w:r>
      <w:bookmarkStart w:id="0" w:name="SR;334"/>
      <w:bookmarkEnd w:id="0"/>
      <w:r w:rsidRPr="00483883">
        <w:t xml:space="preserve"> </w:t>
      </w:r>
    </w:p>
  </w:footnote>
  <w:footnote w:id="16">
    <w:p w:rsidR="00E23BB8" w:rsidRPr="00483883" w:rsidP="00E23BB8" w14:paraId="2FBE3A23" w14:textId="77777777">
      <w:pPr>
        <w:pStyle w:val="FootnoteText"/>
        <w:widowControl w:val="0"/>
      </w:pPr>
      <w:r w:rsidRPr="00483883">
        <w:rPr>
          <w:rStyle w:val="FootnoteReference"/>
        </w:rPr>
        <w:footnoteRef/>
      </w:r>
      <w:r w:rsidRPr="00483883">
        <w:t xml:space="preserve"> 47 CFR § 73.622(a). </w:t>
      </w:r>
    </w:p>
  </w:footnote>
  <w:footnote w:id="17">
    <w:p w:rsidR="00D4052F" w:rsidRPr="001422C4" w14:paraId="2CFD7386" w14:textId="08D733BD">
      <w:pPr>
        <w:pStyle w:val="FootnoteText"/>
      </w:pPr>
      <w:r w:rsidRPr="00483883">
        <w:rPr>
          <w:rStyle w:val="FootnoteReference"/>
        </w:rPr>
        <w:footnoteRef/>
      </w:r>
      <w:r w:rsidRPr="00483883">
        <w:t xml:space="preserve"> 5 U.S.C. § 553(d)(3).</w:t>
      </w:r>
      <w:r w:rsidRPr="00483883" w:rsidR="001422C4">
        <w:t xml:space="preserve"> </w:t>
      </w:r>
      <w:r w:rsidRPr="00483883" w:rsidR="000C23F8">
        <w:t xml:space="preserve"> </w:t>
      </w:r>
      <w:r w:rsidRPr="00483883" w:rsidR="001422C4">
        <w:rPr>
          <w:i/>
          <w:iCs/>
        </w:rPr>
        <w:t>See, e.g.</w:t>
      </w:r>
      <w:r w:rsidRPr="00483883" w:rsidR="001422C4">
        <w:t>,</w:t>
      </w:r>
      <w:r w:rsidRPr="00483883" w:rsidR="001422C4">
        <w:rPr>
          <w:i/>
          <w:iCs/>
        </w:rPr>
        <w:t xml:space="preserve"> Amendment of Section 73.622(j), Table of Allotments, Television Broadcast Stations (Winnemucca, Nevada)</w:t>
      </w:r>
      <w:r w:rsidRPr="00483883" w:rsidR="001422C4">
        <w:t xml:space="preserve">, </w:t>
      </w:r>
      <w:r w:rsidRPr="00483883" w:rsidR="009E5675">
        <w:t>MB Docket No. 23-286, Report and Order,</w:t>
      </w:r>
      <w:r w:rsidRPr="00483883" w:rsidR="00612C40">
        <w:t xml:space="preserve"> 38 FCC Rcd 10430,</w:t>
      </w:r>
      <w:r w:rsidRPr="00483883" w:rsidR="000C23F8">
        <w:t xml:space="preserve"> 10430, para. 5 (</w:t>
      </w:r>
      <w:r w:rsidRPr="00483883" w:rsidR="00520DEF">
        <w:t xml:space="preserve">MB </w:t>
      </w:r>
      <w:r w:rsidRPr="00483883" w:rsidR="000C23F8">
        <w:t>2023).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rsidP="00810B6F" w14:paraId="2409F5D3" w14:textId="2A886BCB">
    <w:pPr>
      <w:pStyle w:val="Header"/>
      <w:rPr>
        <w:b w:val="0"/>
      </w:rPr>
    </w:pPr>
    <w:r>
      <w:tab/>
      <w:t>Federal Communications Commission</w:t>
    </w:r>
    <w:r>
      <w:tab/>
    </w:r>
    <w:r w:rsidR="00CA30B0">
      <w:t>DA 25-</w:t>
    </w:r>
    <w:r w:rsidR="00400E82">
      <w:t>304</w:t>
    </w:r>
  </w:p>
  <w:p w:rsidR="00D25FB5" w14:paraId="2D286B68" w14:textId="3E1F4162">
    <w:pPr>
      <w:tabs>
        <w:tab w:val="left" w:pos="-720"/>
      </w:tabs>
      <w:suppressAutoHyphens/>
      <w:spacing w:line="19" w:lineRule="exact"/>
      <w:rPr>
        <w:spacing w:val="-2"/>
      </w:rPr>
    </w:pPr>
    <w:r>
      <w:rPr>
        <w:noProof/>
      </w:rPr>
      <mc:AlternateContent>
        <mc:Choice Requires="wps">
          <w:drawing>
            <wp:anchor distT="0" distB="0" distL="114300" distR="114300" simplePos="0" relativeHeight="251658240" behindDoc="1" locked="0" layoutInCell="0" allowOverlap="1">
              <wp:simplePos x="0" y="0"/>
              <wp:positionH relativeFrom="margin">
                <wp:posOffset>0</wp:posOffset>
              </wp:positionH>
              <wp:positionV relativeFrom="paragraph">
                <wp:posOffset>0</wp:posOffset>
              </wp:positionV>
              <wp:extent cx="5943600" cy="12065"/>
              <wp:effectExtent l="0" t="0" r="0" b="0"/>
              <wp:wrapNone/>
              <wp:docPr id="2" name="Rectangle 1"/>
              <wp:cNvGraphicFramePr/>
              <a:graphic xmlns:a="http://schemas.openxmlformats.org/drawingml/2006/main">
                <a:graphicData uri="http://schemas.microsoft.com/office/word/2010/wordprocessingShape">
                  <wps:wsp xmlns:wps="http://schemas.microsoft.com/office/word/2010/wordprocessingShape">
                    <wps:cNvSpPr>
                      <a:spLocks noChangeArrowheads="1"/>
                    </wps:cNvSpPr>
                    <wps:spPr bwMode="auto">
                      <a:xfrm>
                        <a:off x="0" y="0"/>
                        <a:ext cx="5943600" cy="12065"/>
                      </a:xfrm>
                      <a:prstGeom prst="rect">
                        <a:avLst/>
                      </a:prstGeom>
                      <a:solidFill>
                        <a:srgbClr val="000000"/>
                      </a:solidFill>
                      <a:ln>
                        <a:noFill/>
                      </a:ln>
                      <a:effectLst/>
                      <a:extLst>
                        <a:ext xmlns:a="http://schemas.openxmlformats.org/drawingml/2006/main" uri="{91240B29-F687-4F45-9708-019B960494DF}">
                          <a14:hiddenLine xmlns:a14="http://schemas.microsoft.com/office/drawing/2010/main" w="635">
                            <a:solidFill>
                              <a:srgbClr val="000000"/>
                            </a:solidFill>
                            <a:miter lim="800000"/>
                            <a:headEnd/>
                            <a:tailEnd/>
                          </a14:hiddenLine>
                        </a:ext>
                        <a:ext xmlns:a="http://schemas.openxmlformats.org/drawingml/2006/main" uri="{AF507438-7753-43E0-B8FC-AC1667EBCBE1}">
                          <a14:hiddenEffects xmlns:a14="http://schemas.microsoft.com/office/drawing/2010/main">
                            <a:effectLst>
                              <a:outerShdw algn="ctr" dir="2700000" dist="35921" rotWithShape="0">
                                <a:srgbClr val="808080"/>
                              </a:outerShdw>
                            </a:effectLst>
                          </a14:hiddenEffects>
                        </a:ext>
                      </a:extLst>
                    </wps:spPr>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rect id="Rectangle 1" o:spid="_x0000_s2049" style="width:468pt;height:0.95pt;margin-top:0;margin-left:0;mso-height-percent:0;mso-height-relative:page;mso-position-horizontal-relative:margin;mso-width-percent:0;mso-width-relative:page;mso-wrap-distance-bottom:0;mso-wrap-distance-left:9pt;mso-wrap-distance-right:9pt;mso-wrap-distance-top:0;mso-wrap-style:square;position:absolute;visibility:visible;v-text-anchor:top;z-index:-251657216" o:allowincell="f" fillcolor="black" stroked="f" strokeweight="0.05pt">
              <w10:wrap anchorx="margin"/>
            </v:rect>
          </w:pict>
        </mc:Fallback>
      </mc:AlternateContent>
    </w:r>
  </w:p>
  <w:p w:rsidR="00D25FB5" w14:paraId="02AD40C3" w14:textId="77777777">
    <w:pPr>
      <w:spacing w:after="389" w:line="100" w:lineRule="exact"/>
      <w:rPr>
        <w:sz w:val="1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rsidP="00810B6F" w14:paraId="326838D7" w14:textId="03F8023F">
    <w:pPr>
      <w:pStyle w:val="Header"/>
      <w:rPr>
        <w:b w:val="0"/>
      </w:rPr>
    </w:pPr>
    <w:r>
      <w:rPr>
        <w:noProof/>
      </w:rPr>
      <mc:AlternateContent>
        <mc:Choice Requires="wps">
          <w:drawing>
            <wp:anchor distT="0" distB="0" distL="114300" distR="114300" simplePos="0" relativeHeight="251660288" behindDoc="1" locked="0" layoutInCell="0" allowOverlap="1">
              <wp:simplePos x="0" y="0"/>
              <wp:positionH relativeFrom="margin">
                <wp:posOffset>7620</wp:posOffset>
              </wp:positionH>
              <wp:positionV relativeFrom="paragraph">
                <wp:posOffset>160655</wp:posOffset>
              </wp:positionV>
              <wp:extent cx="5943600" cy="12065"/>
              <wp:effectExtent l="0" t="0" r="0" b="0"/>
              <wp:wrapNone/>
              <wp:docPr id="1" name="Rectangle 3"/>
              <wp:cNvGraphicFramePr/>
              <a:graphic xmlns:a="http://schemas.openxmlformats.org/drawingml/2006/main">
                <a:graphicData uri="http://schemas.microsoft.com/office/word/2010/wordprocessingShape">
                  <wps:wsp xmlns:wps="http://schemas.microsoft.com/office/word/2010/wordprocessingShape">
                    <wps:cNvSpPr>
                      <a:spLocks noChangeArrowheads="1"/>
                    </wps:cNvSpPr>
                    <wps:spPr bwMode="auto">
                      <a:xfrm>
                        <a:off x="0" y="0"/>
                        <a:ext cx="5943600" cy="12065"/>
                      </a:xfrm>
                      <a:prstGeom prst="rect">
                        <a:avLst/>
                      </a:prstGeom>
                      <a:solidFill>
                        <a:srgbClr val="000000"/>
                      </a:solidFill>
                      <a:ln>
                        <a:noFill/>
                      </a:ln>
                      <a:effectLst/>
                      <a:extLst>
                        <a:ext xmlns:a="http://schemas.openxmlformats.org/drawingml/2006/main" uri="{91240B29-F687-4F45-9708-019B960494DF}">
                          <a14:hiddenLine xmlns:a14="http://schemas.microsoft.com/office/drawing/2010/main" w="635">
                            <a:solidFill>
                              <a:srgbClr val="000000"/>
                            </a:solidFill>
                            <a:miter lim="800000"/>
                            <a:headEnd/>
                            <a:tailEnd/>
                          </a14:hiddenLine>
                        </a:ext>
                        <a:ext xmlns:a="http://schemas.openxmlformats.org/drawingml/2006/main" uri="{AF507438-7753-43E0-B8FC-AC1667EBCBE1}">
                          <a14:hiddenEffects xmlns:a14="http://schemas.microsoft.com/office/drawing/2010/main">
                            <a:effectLst>
                              <a:outerShdw algn="ctr" dir="2700000" dist="35921" rotWithShape="0">
                                <a:srgbClr val="808080"/>
                              </a:outerShdw>
                            </a:effectLst>
                          </a14:hiddenEffects>
                        </a:ext>
                      </a:extLst>
                    </wps:spPr>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rect id="Rectangle 3" o:spid="_x0000_s2050" style="width:468pt;height:0.95pt;margin-top:12.65pt;margin-left:0.6pt;mso-height-percent:0;mso-height-relative:page;mso-position-horizontal-relative:margin;mso-width-percent:0;mso-width-relative:page;mso-wrap-distance-bottom:0;mso-wrap-distance-left:9pt;mso-wrap-distance-right:9pt;mso-wrap-distance-top:0;mso-wrap-style:square;position:absolute;visibility:visible;v-text-anchor:top;z-index:-251655168" o:allowincell="f" fillcolor="black" stroked="f" strokeweight="0.05pt">
              <w10:wrap anchorx="margin"/>
            </v:rect>
          </w:pict>
        </mc:Fallback>
      </mc:AlternateContent>
    </w:r>
    <w:r>
      <w:tab/>
      <w:t>Federal Communications Commission</w:t>
    </w:r>
    <w:r>
      <w:tab/>
    </w:r>
    <w:r w:rsidR="00CA30B0">
      <w:rPr>
        <w:spacing w:val="-2"/>
      </w:rPr>
      <w:t>DA 25-</w:t>
    </w:r>
    <w:r w:rsidR="00400E82">
      <w:rPr>
        <w:spacing w:val="-2"/>
      </w:rPr>
      <w:t>304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84B453C"/>
    <w:multiLevelType w:val="singleLevel"/>
    <w:tmpl w:val="40A8E97A"/>
    <w:lvl w:ilvl="0">
      <w:start w:val="1"/>
      <w:numFmt w:val="decimal"/>
      <w:lvlText w:val="%1."/>
      <w:lvlJc w:val="left"/>
      <w:pPr>
        <w:tabs>
          <w:tab w:val="num" w:pos="1080"/>
        </w:tabs>
        <w:ind w:left="0" w:firstLine="720"/>
      </w:pPr>
    </w:lvl>
  </w:abstractNum>
  <w:abstractNum w:abstractNumId="1">
    <w:nsid w:val="11D53AFC"/>
    <w:multiLevelType w:val="hybridMultilevel"/>
    <w:tmpl w:val="32F8BFC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23F40A0F"/>
    <w:multiLevelType w:val="singleLevel"/>
    <w:tmpl w:val="3244DD0A"/>
    <w:lvl w:ilvl="0">
      <w:start w:val="1"/>
      <w:numFmt w:val="bullet"/>
      <w:lvlText w:val=""/>
      <w:lvlJc w:val="left"/>
      <w:pPr>
        <w:tabs>
          <w:tab w:val="num" w:pos="360"/>
        </w:tabs>
        <w:ind w:left="360" w:hanging="360"/>
      </w:pPr>
      <w:rPr>
        <w:rFonts w:ascii="Symbol" w:hAnsi="Symbol" w:hint="default"/>
      </w:rPr>
    </w:lvl>
  </w:abstractNum>
  <w:abstractNum w:abstractNumId="3">
    <w:nsid w:val="248246F3"/>
    <w:multiLevelType w:val="singleLevel"/>
    <w:tmpl w:val="B1F45678"/>
    <w:lvl w:ilvl="0">
      <w:start w:val="1"/>
      <w:numFmt w:val="decimal"/>
      <w:lvlText w:val="%1."/>
      <w:lvlJc w:val="left"/>
      <w:pPr>
        <w:tabs>
          <w:tab w:val="num" w:pos="1080"/>
        </w:tabs>
        <w:ind w:left="0" w:firstLine="720"/>
      </w:pPr>
    </w:lvl>
  </w:abstractNum>
  <w:abstractNum w:abstractNumId="4">
    <w:nsid w:val="277F6F38"/>
    <w:multiLevelType w:val="hybridMultilevel"/>
    <w:tmpl w:val="0EA66342"/>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5">
    <w:nsid w:val="27E06CBB"/>
    <w:multiLevelType w:val="multilevel"/>
    <w:tmpl w:val="F1A86982"/>
    <w:lvl w:ilvl="0">
      <w:start w:val="1"/>
      <w:numFmt w:val="upperRoman"/>
      <w:pStyle w:val="Heading1"/>
      <w:lvlText w:val="%1."/>
      <w:lvlJc w:val="left"/>
      <w:pPr>
        <w:tabs>
          <w:tab w:val="num" w:pos="720"/>
        </w:tabs>
        <w:ind w:left="720" w:hanging="720"/>
      </w:pPr>
    </w:lvl>
    <w:lvl w:ilvl="1">
      <w:start w:val="1"/>
      <w:numFmt w:val="upperLetter"/>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lowerLetter"/>
      <w:pStyle w:val="Heading4"/>
      <w:lvlText w:val="%4."/>
      <w:lvlJc w:val="left"/>
      <w:pPr>
        <w:tabs>
          <w:tab w:val="num" w:pos="2880"/>
        </w:tabs>
        <w:ind w:left="2880" w:hanging="720"/>
      </w:pPr>
    </w:lvl>
    <w:lvl w:ilvl="4">
      <w:start w:val="1"/>
      <w:numFmt w:val="lowerRoman"/>
      <w:pStyle w:val="Heading5"/>
      <w:lvlText w:val="(%5)"/>
      <w:lvlJc w:val="left"/>
      <w:pPr>
        <w:tabs>
          <w:tab w:val="num" w:pos="3600"/>
        </w:tabs>
        <w:ind w:left="3600" w:hanging="720"/>
      </w:pPr>
    </w:lvl>
    <w:lvl w:ilvl="5">
      <w:start w:val="1"/>
      <w:numFmt w:val="lowerLetter"/>
      <w:pStyle w:val="Heading6"/>
      <w:lvlText w:val="(%6)"/>
      <w:lvlJc w:val="left"/>
      <w:pPr>
        <w:tabs>
          <w:tab w:val="num" w:pos="4320"/>
        </w:tabs>
        <w:ind w:left="4320" w:hanging="720"/>
      </w:pPr>
    </w:lvl>
    <w:lvl w:ilvl="6">
      <w:start w:val="1"/>
      <w:numFmt w:val="lowerRoman"/>
      <w:pStyle w:val="Heading7"/>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6">
    <w:nsid w:val="4DF61CE4"/>
    <w:multiLevelType w:val="multilevel"/>
    <w:tmpl w:val="F1A86982"/>
    <w:lvl w:ilvl="0">
      <w:start w:val="1"/>
      <w:numFmt w:val="upperRoman"/>
      <w:lvlText w:val="%1."/>
      <w:lvlJc w:val="left"/>
      <w:pPr>
        <w:tabs>
          <w:tab w:val="num" w:pos="720"/>
        </w:tabs>
        <w:ind w:left="72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lowerRoman"/>
      <w:lvlText w:val="(%5)"/>
      <w:lvlJc w:val="left"/>
      <w:pPr>
        <w:tabs>
          <w:tab w:val="num" w:pos="3600"/>
        </w:tabs>
        <w:ind w:left="3600" w:hanging="720"/>
      </w:pPr>
    </w:lvl>
    <w:lvl w:ilvl="5">
      <w:start w:val="1"/>
      <w:numFmt w:val="lowerLetter"/>
      <w:lvlText w:val="(%6)"/>
      <w:lvlJc w:val="left"/>
      <w:pPr>
        <w:tabs>
          <w:tab w:val="num" w:pos="4320"/>
        </w:tabs>
        <w:ind w:left="4320" w:hanging="72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7">
    <w:nsid w:val="61182925"/>
    <w:multiLevelType w:val="singleLevel"/>
    <w:tmpl w:val="A9EE9842"/>
    <w:lvl w:ilvl="0">
      <w:start w:val="1"/>
      <w:numFmt w:val="decimal"/>
      <w:pStyle w:val="ParaNum"/>
      <w:lvlText w:val="%1."/>
      <w:lvlJc w:val="left"/>
      <w:pPr>
        <w:tabs>
          <w:tab w:val="num" w:pos="1080"/>
        </w:tabs>
        <w:ind w:left="0" w:firstLine="720"/>
      </w:pPr>
    </w:lvl>
  </w:abstractNum>
  <w:abstractNum w:abstractNumId="8">
    <w:nsid w:val="7AC81FC0"/>
    <w:multiLevelType w:val="hybridMultilevel"/>
    <w:tmpl w:val="7EA284FE"/>
    <w:lvl w:ilvl="0">
      <w:start w:val="1"/>
      <w:numFmt w:val="decimal"/>
      <w:pStyle w:val="AppNum"/>
      <w:lvlText w:val="%1."/>
      <w:lvlJc w:val="left"/>
      <w:pPr>
        <w:tabs>
          <w:tab w:val="num" w:pos="1447"/>
        </w:tabs>
        <w:ind w:left="727" w:firstLine="360"/>
      </w:pPr>
      <w:rPr>
        <w:rFonts w:ascii="Times New Roman" w:hAnsi="Times New Roman" w:hint="default"/>
        <w:b w:val="0"/>
        <w:sz w:val="22"/>
      </w:rPr>
    </w:lvl>
    <w:lvl w:ilvl="1">
      <w:start w:val="1"/>
      <w:numFmt w:val="lowerRoman"/>
      <w:lvlText w:val="(%2)"/>
      <w:lvlJc w:val="left"/>
      <w:pPr>
        <w:tabs>
          <w:tab w:val="num" w:pos="1800"/>
        </w:tabs>
        <w:ind w:left="1800" w:hanging="72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9">
    <w:nsid w:val="7EDE5BA6"/>
    <w:multiLevelType w:val="hybridMultilevel"/>
    <w:tmpl w:val="4C5CD63A"/>
    <w:lvl w:ilvl="0">
      <w:start w:val="1"/>
      <w:numFmt w:val="lowerLetter"/>
      <w:lvlText w:val="(%1)"/>
      <w:lvlJc w:val="left"/>
      <w:pPr>
        <w:ind w:left="1080" w:hanging="360"/>
      </w:pPr>
      <w:rPr>
        <w:rFonts w:hint="default"/>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num w:numId="1" w16cid:durableId="1938370838">
    <w:abstractNumId w:val="2"/>
  </w:num>
  <w:num w:numId="2" w16cid:durableId="1308625273">
    <w:abstractNumId w:val="7"/>
  </w:num>
  <w:num w:numId="3" w16cid:durableId="693389383">
    <w:abstractNumId w:val="5"/>
  </w:num>
  <w:num w:numId="4" w16cid:durableId="226234061">
    <w:abstractNumId w:val="6"/>
  </w:num>
  <w:num w:numId="5" w16cid:durableId="22480347">
    <w:abstractNumId w:val="3"/>
  </w:num>
  <w:num w:numId="6" w16cid:durableId="1696729938">
    <w:abstractNumId w:val="0"/>
  </w:num>
  <w:num w:numId="7" w16cid:durableId="1799106548">
    <w:abstractNumId w:val="9"/>
  </w:num>
  <w:num w:numId="8" w16cid:durableId="1882397480">
    <w:abstractNumId w:val="8"/>
  </w:num>
  <w:num w:numId="9" w16cid:durableId="263851846">
    <w:abstractNumId w:val="1"/>
  </w:num>
  <w:num w:numId="10" w16cid:durableId="1287393427">
    <w:abstractNumId w:val="4"/>
  </w:num>
  <w:num w:numId="11" w16cid:durableId="1029834769">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bordersDoNotSurroundHeader/>
  <w:bordersDoNotSurroundFooter/>
  <w:proofState w:spelling="clean"/>
  <w:attachedTemplate r:id="rId1"/>
  <w:linkStyle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hyphenationZone w:val="95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 w:id="2"/>
  </w:footnotePr>
  <w:endnotePr>
    <w:numFmt w:val="decimal"/>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30B0"/>
    <w:rsid w:val="00013CDC"/>
    <w:rsid w:val="00020564"/>
    <w:rsid w:val="000337CF"/>
    <w:rsid w:val="00036039"/>
    <w:rsid w:val="00037F90"/>
    <w:rsid w:val="000446E8"/>
    <w:rsid w:val="00046525"/>
    <w:rsid w:val="000640CB"/>
    <w:rsid w:val="000656E5"/>
    <w:rsid w:val="00073BF1"/>
    <w:rsid w:val="000772D2"/>
    <w:rsid w:val="000875BF"/>
    <w:rsid w:val="00093846"/>
    <w:rsid w:val="00096D8C"/>
    <w:rsid w:val="000A2EE4"/>
    <w:rsid w:val="000C0786"/>
    <w:rsid w:val="000C0B65"/>
    <w:rsid w:val="000C0D49"/>
    <w:rsid w:val="000C23F8"/>
    <w:rsid w:val="000D48D0"/>
    <w:rsid w:val="000D77E6"/>
    <w:rsid w:val="000E05FE"/>
    <w:rsid w:val="000E346A"/>
    <w:rsid w:val="000E3D42"/>
    <w:rsid w:val="000E7418"/>
    <w:rsid w:val="000F2824"/>
    <w:rsid w:val="0010367F"/>
    <w:rsid w:val="00112597"/>
    <w:rsid w:val="00122BD5"/>
    <w:rsid w:val="00133F79"/>
    <w:rsid w:val="001422C4"/>
    <w:rsid w:val="00173EDB"/>
    <w:rsid w:val="00181954"/>
    <w:rsid w:val="0019005D"/>
    <w:rsid w:val="0019034E"/>
    <w:rsid w:val="001946FD"/>
    <w:rsid w:val="00194A66"/>
    <w:rsid w:val="001A7F52"/>
    <w:rsid w:val="001B0ACA"/>
    <w:rsid w:val="001B406C"/>
    <w:rsid w:val="001D6BCF"/>
    <w:rsid w:val="001E01CA"/>
    <w:rsid w:val="00201C67"/>
    <w:rsid w:val="00241DCD"/>
    <w:rsid w:val="00254BE9"/>
    <w:rsid w:val="00254C05"/>
    <w:rsid w:val="00255BDF"/>
    <w:rsid w:val="00260A87"/>
    <w:rsid w:val="00272F69"/>
    <w:rsid w:val="0027353B"/>
    <w:rsid w:val="00275CF5"/>
    <w:rsid w:val="00275FAB"/>
    <w:rsid w:val="00276D2C"/>
    <w:rsid w:val="0028301F"/>
    <w:rsid w:val="00285017"/>
    <w:rsid w:val="002945B4"/>
    <w:rsid w:val="0029482B"/>
    <w:rsid w:val="002A2D2E"/>
    <w:rsid w:val="002A4C21"/>
    <w:rsid w:val="002B3969"/>
    <w:rsid w:val="002B5E2F"/>
    <w:rsid w:val="002B7F6F"/>
    <w:rsid w:val="002C00E8"/>
    <w:rsid w:val="002C4598"/>
    <w:rsid w:val="002E08E2"/>
    <w:rsid w:val="002E58C7"/>
    <w:rsid w:val="002E65C9"/>
    <w:rsid w:val="003150E3"/>
    <w:rsid w:val="00322C97"/>
    <w:rsid w:val="003264F5"/>
    <w:rsid w:val="00343749"/>
    <w:rsid w:val="00355A3A"/>
    <w:rsid w:val="0035619B"/>
    <w:rsid w:val="003660ED"/>
    <w:rsid w:val="00386BF5"/>
    <w:rsid w:val="003905DA"/>
    <w:rsid w:val="003918FB"/>
    <w:rsid w:val="00393741"/>
    <w:rsid w:val="003A0CA1"/>
    <w:rsid w:val="003B0550"/>
    <w:rsid w:val="003B694F"/>
    <w:rsid w:val="003C5EED"/>
    <w:rsid w:val="003D3002"/>
    <w:rsid w:val="003D3457"/>
    <w:rsid w:val="003D3B0C"/>
    <w:rsid w:val="003D5044"/>
    <w:rsid w:val="003D5AEB"/>
    <w:rsid w:val="003E59B8"/>
    <w:rsid w:val="003E62EC"/>
    <w:rsid w:val="003F171C"/>
    <w:rsid w:val="00400E82"/>
    <w:rsid w:val="00404038"/>
    <w:rsid w:val="00410138"/>
    <w:rsid w:val="00412FC5"/>
    <w:rsid w:val="00415F11"/>
    <w:rsid w:val="00422276"/>
    <w:rsid w:val="004242F1"/>
    <w:rsid w:val="00427A01"/>
    <w:rsid w:val="00445A00"/>
    <w:rsid w:val="00451B0F"/>
    <w:rsid w:val="00456DF5"/>
    <w:rsid w:val="0047132D"/>
    <w:rsid w:val="0047713B"/>
    <w:rsid w:val="00483883"/>
    <w:rsid w:val="004A0253"/>
    <w:rsid w:val="004A0D49"/>
    <w:rsid w:val="004A6378"/>
    <w:rsid w:val="004B29F6"/>
    <w:rsid w:val="004B3C0A"/>
    <w:rsid w:val="004B3CCB"/>
    <w:rsid w:val="004C2EE3"/>
    <w:rsid w:val="004E4A22"/>
    <w:rsid w:val="00506921"/>
    <w:rsid w:val="00511968"/>
    <w:rsid w:val="00516948"/>
    <w:rsid w:val="00520DEF"/>
    <w:rsid w:val="005303A5"/>
    <w:rsid w:val="00532365"/>
    <w:rsid w:val="00547D02"/>
    <w:rsid w:val="0055614C"/>
    <w:rsid w:val="00556698"/>
    <w:rsid w:val="005609FB"/>
    <w:rsid w:val="00564F7D"/>
    <w:rsid w:val="00566D06"/>
    <w:rsid w:val="00566F56"/>
    <w:rsid w:val="00571526"/>
    <w:rsid w:val="005B59EE"/>
    <w:rsid w:val="005D139E"/>
    <w:rsid w:val="005D7B13"/>
    <w:rsid w:val="005E14C2"/>
    <w:rsid w:val="005E264F"/>
    <w:rsid w:val="005F6E86"/>
    <w:rsid w:val="005F7FEC"/>
    <w:rsid w:val="00607BA5"/>
    <w:rsid w:val="0061180A"/>
    <w:rsid w:val="00612C40"/>
    <w:rsid w:val="006166BD"/>
    <w:rsid w:val="00626D78"/>
    <w:rsid w:val="00626EB6"/>
    <w:rsid w:val="00632EE0"/>
    <w:rsid w:val="00635CFF"/>
    <w:rsid w:val="006467C3"/>
    <w:rsid w:val="00655D03"/>
    <w:rsid w:val="00666D02"/>
    <w:rsid w:val="00671C3F"/>
    <w:rsid w:val="0068257F"/>
    <w:rsid w:val="00683388"/>
    <w:rsid w:val="00683F84"/>
    <w:rsid w:val="00687E6A"/>
    <w:rsid w:val="006A6A81"/>
    <w:rsid w:val="006B02D7"/>
    <w:rsid w:val="006B25C8"/>
    <w:rsid w:val="006E285F"/>
    <w:rsid w:val="006F2D09"/>
    <w:rsid w:val="006F7393"/>
    <w:rsid w:val="0070224F"/>
    <w:rsid w:val="007115F7"/>
    <w:rsid w:val="0073299D"/>
    <w:rsid w:val="0073377C"/>
    <w:rsid w:val="00734CA1"/>
    <w:rsid w:val="00743B57"/>
    <w:rsid w:val="00765BAD"/>
    <w:rsid w:val="00767794"/>
    <w:rsid w:val="00785689"/>
    <w:rsid w:val="007932B0"/>
    <w:rsid w:val="0079754B"/>
    <w:rsid w:val="007A1E6D"/>
    <w:rsid w:val="007A48B5"/>
    <w:rsid w:val="007B0EB2"/>
    <w:rsid w:val="007C612E"/>
    <w:rsid w:val="007E2B02"/>
    <w:rsid w:val="007E5D28"/>
    <w:rsid w:val="00810B6F"/>
    <w:rsid w:val="00820966"/>
    <w:rsid w:val="00822CE0"/>
    <w:rsid w:val="00827A14"/>
    <w:rsid w:val="00841AB1"/>
    <w:rsid w:val="0084224D"/>
    <w:rsid w:val="00846CB7"/>
    <w:rsid w:val="00852347"/>
    <w:rsid w:val="00880D77"/>
    <w:rsid w:val="00884AEA"/>
    <w:rsid w:val="0089653C"/>
    <w:rsid w:val="008A144E"/>
    <w:rsid w:val="008B3FB8"/>
    <w:rsid w:val="008C10AD"/>
    <w:rsid w:val="008C6305"/>
    <w:rsid w:val="008C68F1"/>
    <w:rsid w:val="008D0F2F"/>
    <w:rsid w:val="008D72FE"/>
    <w:rsid w:val="00902B19"/>
    <w:rsid w:val="00921803"/>
    <w:rsid w:val="00921FD5"/>
    <w:rsid w:val="009220AE"/>
    <w:rsid w:val="009240F7"/>
    <w:rsid w:val="00926503"/>
    <w:rsid w:val="00951A00"/>
    <w:rsid w:val="009726D8"/>
    <w:rsid w:val="0098006C"/>
    <w:rsid w:val="009A33AD"/>
    <w:rsid w:val="009D7308"/>
    <w:rsid w:val="009E5675"/>
    <w:rsid w:val="009F2F33"/>
    <w:rsid w:val="009F76DB"/>
    <w:rsid w:val="00A0460B"/>
    <w:rsid w:val="00A32C3B"/>
    <w:rsid w:val="00A433FC"/>
    <w:rsid w:val="00A45F4F"/>
    <w:rsid w:val="00A502FA"/>
    <w:rsid w:val="00A600A9"/>
    <w:rsid w:val="00A62A3D"/>
    <w:rsid w:val="00A6427C"/>
    <w:rsid w:val="00A676C7"/>
    <w:rsid w:val="00A870FC"/>
    <w:rsid w:val="00AA2A02"/>
    <w:rsid w:val="00AA55B7"/>
    <w:rsid w:val="00AA5B9E"/>
    <w:rsid w:val="00AB2407"/>
    <w:rsid w:val="00AB53DF"/>
    <w:rsid w:val="00AB5BDD"/>
    <w:rsid w:val="00AC09BD"/>
    <w:rsid w:val="00AC0CD8"/>
    <w:rsid w:val="00AC669C"/>
    <w:rsid w:val="00AF789A"/>
    <w:rsid w:val="00B077E8"/>
    <w:rsid w:val="00B07E5C"/>
    <w:rsid w:val="00B13CB6"/>
    <w:rsid w:val="00B13DCB"/>
    <w:rsid w:val="00B17FA7"/>
    <w:rsid w:val="00B628BE"/>
    <w:rsid w:val="00B811F7"/>
    <w:rsid w:val="00B829D6"/>
    <w:rsid w:val="00BA5DC6"/>
    <w:rsid w:val="00BA6196"/>
    <w:rsid w:val="00BC6D8C"/>
    <w:rsid w:val="00BE5197"/>
    <w:rsid w:val="00BE546C"/>
    <w:rsid w:val="00BF4E04"/>
    <w:rsid w:val="00BF6694"/>
    <w:rsid w:val="00C04D6F"/>
    <w:rsid w:val="00C13DF6"/>
    <w:rsid w:val="00C34006"/>
    <w:rsid w:val="00C36B4C"/>
    <w:rsid w:val="00C426B1"/>
    <w:rsid w:val="00C50F13"/>
    <w:rsid w:val="00C55653"/>
    <w:rsid w:val="00C57DB5"/>
    <w:rsid w:val="00C66160"/>
    <w:rsid w:val="00C721AC"/>
    <w:rsid w:val="00C82F0F"/>
    <w:rsid w:val="00C90D6A"/>
    <w:rsid w:val="00CA247E"/>
    <w:rsid w:val="00CA30B0"/>
    <w:rsid w:val="00CA35FF"/>
    <w:rsid w:val="00CA6D21"/>
    <w:rsid w:val="00CB1908"/>
    <w:rsid w:val="00CC72B6"/>
    <w:rsid w:val="00CE0488"/>
    <w:rsid w:val="00D0218D"/>
    <w:rsid w:val="00D04993"/>
    <w:rsid w:val="00D06DE2"/>
    <w:rsid w:val="00D25FB5"/>
    <w:rsid w:val="00D355D7"/>
    <w:rsid w:val="00D4052F"/>
    <w:rsid w:val="00D44223"/>
    <w:rsid w:val="00D44E3D"/>
    <w:rsid w:val="00D5380D"/>
    <w:rsid w:val="00D6020D"/>
    <w:rsid w:val="00D749C4"/>
    <w:rsid w:val="00D923DC"/>
    <w:rsid w:val="00D96758"/>
    <w:rsid w:val="00D978BA"/>
    <w:rsid w:val="00DA2529"/>
    <w:rsid w:val="00DA678F"/>
    <w:rsid w:val="00DB130A"/>
    <w:rsid w:val="00DB2EBB"/>
    <w:rsid w:val="00DC10A1"/>
    <w:rsid w:val="00DC5D67"/>
    <w:rsid w:val="00DC655F"/>
    <w:rsid w:val="00DD01E5"/>
    <w:rsid w:val="00DD0B59"/>
    <w:rsid w:val="00DD10B8"/>
    <w:rsid w:val="00DD7EBD"/>
    <w:rsid w:val="00DE6E16"/>
    <w:rsid w:val="00DF1A1A"/>
    <w:rsid w:val="00DF1E9A"/>
    <w:rsid w:val="00DF62B6"/>
    <w:rsid w:val="00E07225"/>
    <w:rsid w:val="00E23BB8"/>
    <w:rsid w:val="00E2582B"/>
    <w:rsid w:val="00E33086"/>
    <w:rsid w:val="00E41A66"/>
    <w:rsid w:val="00E4709D"/>
    <w:rsid w:val="00E5409F"/>
    <w:rsid w:val="00E84CC0"/>
    <w:rsid w:val="00EB6511"/>
    <w:rsid w:val="00EB792B"/>
    <w:rsid w:val="00EC7838"/>
    <w:rsid w:val="00EE5C5F"/>
    <w:rsid w:val="00EE6488"/>
    <w:rsid w:val="00F021FA"/>
    <w:rsid w:val="00F0755E"/>
    <w:rsid w:val="00F17B88"/>
    <w:rsid w:val="00F349BD"/>
    <w:rsid w:val="00F4457D"/>
    <w:rsid w:val="00F62E97"/>
    <w:rsid w:val="00F633DE"/>
    <w:rsid w:val="00F64209"/>
    <w:rsid w:val="00F822F1"/>
    <w:rsid w:val="00F878D4"/>
    <w:rsid w:val="00F93BF5"/>
    <w:rsid w:val="00FB1F1D"/>
    <w:rsid w:val="00FC519B"/>
    <w:rsid w:val="00FD3A80"/>
    <w:rsid w:val="00FE4D5F"/>
    <w:rsid w:val="00FF5808"/>
    <w:rsid w:val="00FF72AF"/>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4:docId w14:val="08110441"/>
  <w15:chartTrackingRefBased/>
  <w15:docId w15:val="{0A2DA339-4C5A-4B96-B2D1-6BE21F1E87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B5E2F"/>
    <w:pPr>
      <w:widowControl w:val="0"/>
    </w:pPr>
    <w:rPr>
      <w:snapToGrid w:val="0"/>
      <w:kern w:val="28"/>
      <w:sz w:val="22"/>
    </w:rPr>
  </w:style>
  <w:style w:type="paragraph" w:styleId="Heading1">
    <w:name w:val="heading 1"/>
    <w:basedOn w:val="Normal"/>
    <w:next w:val="ParaNum"/>
    <w:qFormat/>
    <w:rsid w:val="002B5E2F"/>
    <w:pPr>
      <w:keepNext/>
      <w:numPr>
        <w:numId w:val="3"/>
      </w:numPr>
      <w:tabs>
        <w:tab w:val="left" w:pos="720"/>
      </w:tabs>
      <w:suppressAutoHyphens/>
      <w:spacing w:after="120"/>
      <w:outlineLvl w:val="0"/>
    </w:pPr>
    <w:rPr>
      <w:rFonts w:ascii="Times New Roman Bold" w:hAnsi="Times New Roman Bold"/>
      <w:b/>
      <w:caps/>
    </w:rPr>
  </w:style>
  <w:style w:type="paragraph" w:styleId="Heading2">
    <w:name w:val="heading 2"/>
    <w:basedOn w:val="Normal"/>
    <w:next w:val="ParaNum"/>
    <w:autoRedefine/>
    <w:qFormat/>
    <w:rsid w:val="002B5E2F"/>
    <w:pPr>
      <w:keepNext/>
      <w:numPr>
        <w:ilvl w:val="1"/>
        <w:numId w:val="3"/>
      </w:numPr>
      <w:spacing w:after="120"/>
      <w:outlineLvl w:val="1"/>
    </w:pPr>
    <w:rPr>
      <w:b/>
    </w:rPr>
  </w:style>
  <w:style w:type="paragraph" w:styleId="Heading3">
    <w:name w:val="heading 3"/>
    <w:basedOn w:val="Normal"/>
    <w:next w:val="ParaNum"/>
    <w:qFormat/>
    <w:rsid w:val="002B5E2F"/>
    <w:pPr>
      <w:keepNext/>
      <w:numPr>
        <w:ilvl w:val="2"/>
        <w:numId w:val="3"/>
      </w:numPr>
      <w:tabs>
        <w:tab w:val="left" w:pos="2160"/>
      </w:tabs>
      <w:spacing w:after="120"/>
      <w:outlineLvl w:val="2"/>
    </w:pPr>
    <w:rPr>
      <w:b/>
    </w:rPr>
  </w:style>
  <w:style w:type="paragraph" w:styleId="Heading4">
    <w:name w:val="heading 4"/>
    <w:basedOn w:val="Normal"/>
    <w:next w:val="ParaNum"/>
    <w:qFormat/>
    <w:rsid w:val="002B5E2F"/>
    <w:pPr>
      <w:keepNext/>
      <w:numPr>
        <w:ilvl w:val="3"/>
        <w:numId w:val="3"/>
      </w:numPr>
      <w:tabs>
        <w:tab w:val="left" w:pos="2880"/>
      </w:tabs>
      <w:spacing w:after="120"/>
      <w:outlineLvl w:val="3"/>
    </w:pPr>
    <w:rPr>
      <w:b/>
    </w:rPr>
  </w:style>
  <w:style w:type="paragraph" w:styleId="Heading5">
    <w:name w:val="heading 5"/>
    <w:basedOn w:val="Normal"/>
    <w:next w:val="ParaNum"/>
    <w:qFormat/>
    <w:rsid w:val="002B5E2F"/>
    <w:pPr>
      <w:keepNext/>
      <w:numPr>
        <w:ilvl w:val="4"/>
        <w:numId w:val="3"/>
      </w:numPr>
      <w:tabs>
        <w:tab w:val="left" w:pos="3600"/>
      </w:tabs>
      <w:suppressAutoHyphens/>
      <w:spacing w:after="120"/>
      <w:outlineLvl w:val="4"/>
    </w:pPr>
    <w:rPr>
      <w:b/>
    </w:rPr>
  </w:style>
  <w:style w:type="paragraph" w:styleId="Heading6">
    <w:name w:val="heading 6"/>
    <w:basedOn w:val="Normal"/>
    <w:next w:val="ParaNum"/>
    <w:qFormat/>
    <w:rsid w:val="002B5E2F"/>
    <w:pPr>
      <w:numPr>
        <w:ilvl w:val="5"/>
        <w:numId w:val="3"/>
      </w:numPr>
      <w:tabs>
        <w:tab w:val="left" w:pos="4320"/>
      </w:tabs>
      <w:spacing w:after="120"/>
      <w:outlineLvl w:val="5"/>
    </w:pPr>
    <w:rPr>
      <w:b/>
    </w:rPr>
  </w:style>
  <w:style w:type="paragraph" w:styleId="Heading7">
    <w:name w:val="heading 7"/>
    <w:basedOn w:val="Normal"/>
    <w:next w:val="ParaNum"/>
    <w:qFormat/>
    <w:rsid w:val="002B5E2F"/>
    <w:pPr>
      <w:numPr>
        <w:ilvl w:val="6"/>
        <w:numId w:val="3"/>
      </w:numPr>
      <w:tabs>
        <w:tab w:val="left" w:pos="5040"/>
      </w:tabs>
      <w:spacing w:after="120"/>
      <w:ind w:left="5040" w:hanging="720"/>
      <w:outlineLvl w:val="6"/>
    </w:pPr>
    <w:rPr>
      <w:b/>
    </w:rPr>
  </w:style>
  <w:style w:type="paragraph" w:styleId="Heading8">
    <w:name w:val="heading 8"/>
    <w:basedOn w:val="Normal"/>
    <w:next w:val="ParaNum"/>
    <w:qFormat/>
    <w:rsid w:val="002B5E2F"/>
    <w:pPr>
      <w:numPr>
        <w:ilvl w:val="7"/>
        <w:numId w:val="3"/>
      </w:numPr>
      <w:tabs>
        <w:tab w:val="clear" w:pos="5400"/>
        <w:tab w:val="left" w:pos="5760"/>
      </w:tabs>
      <w:spacing w:after="120"/>
      <w:ind w:left="5760" w:hanging="720"/>
      <w:outlineLvl w:val="7"/>
    </w:pPr>
    <w:rPr>
      <w:b/>
    </w:rPr>
  </w:style>
  <w:style w:type="paragraph" w:styleId="Heading9">
    <w:name w:val="heading 9"/>
    <w:basedOn w:val="Normal"/>
    <w:next w:val="ParaNum"/>
    <w:qFormat/>
    <w:rsid w:val="002B5E2F"/>
    <w:pPr>
      <w:numPr>
        <w:ilvl w:val="8"/>
        <w:numId w:val="3"/>
      </w:numPr>
      <w:tabs>
        <w:tab w:val="clear" w:pos="6120"/>
        <w:tab w:val="left" w:pos="6480"/>
      </w:tabs>
      <w:spacing w:after="120"/>
      <w:ind w:left="6480" w:hanging="720"/>
      <w:outlineLvl w:val="8"/>
    </w:pPr>
    <w:rPr>
      <w:b/>
    </w:rPr>
  </w:style>
  <w:style w:type="character" w:default="1" w:styleId="DefaultParagraphFont">
    <w:name w:val="Default Paragraph Font"/>
    <w:uiPriority w:val="1"/>
    <w:semiHidden/>
    <w:unhideWhenUsed/>
    <w:rsid w:val="002B5E2F"/>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2B5E2F"/>
  </w:style>
  <w:style w:type="paragraph" w:customStyle="1" w:styleId="ParaNum">
    <w:name w:val="ParaNum"/>
    <w:basedOn w:val="Normal"/>
    <w:link w:val="ParaNumChar1"/>
    <w:rsid w:val="002B5E2F"/>
    <w:pPr>
      <w:numPr>
        <w:numId w:val="2"/>
      </w:numPr>
      <w:tabs>
        <w:tab w:val="clear" w:pos="1080"/>
        <w:tab w:val="num" w:pos="1440"/>
      </w:tabs>
      <w:spacing w:after="120"/>
    </w:pPr>
  </w:style>
  <w:style w:type="paragraph" w:styleId="EndnoteText">
    <w:name w:val="endnote text"/>
    <w:basedOn w:val="Normal"/>
    <w:semiHidden/>
    <w:rsid w:val="002B5E2F"/>
    <w:rPr>
      <w:sz w:val="20"/>
    </w:rPr>
  </w:style>
  <w:style w:type="character" w:styleId="EndnoteReference">
    <w:name w:val="endnote reference"/>
    <w:semiHidden/>
    <w:rsid w:val="002B5E2F"/>
    <w:rPr>
      <w:vertAlign w:val="superscript"/>
    </w:rPr>
  </w:style>
  <w:style w:type="paragraph" w:styleId="FootnoteText">
    <w:name w:val="footnote text"/>
    <w:aliases w:val="Footnote Text Char,Footnote Text Char Char1 Char,Footnote Text Char Char1 Char Char Char1,Footnote Text Char1,Footnote Text Char1 Char,Footnote Text Char1 Char Char Char1 Char Char,Footnote Text Char2 Char1 Char Char,f,fn Char,fn Char Char"/>
    <w:link w:val="FootnoteTextChar2"/>
    <w:rsid w:val="002B5E2F"/>
    <w:pPr>
      <w:spacing w:after="120"/>
    </w:pPr>
  </w:style>
  <w:style w:type="character" w:styleId="FootnoteReference">
    <w:name w:val="footnote reference"/>
    <w:aliases w:val="(NECG) Footnote Reference,-E Funotenzeichen,A,Appel note de bas de p,FR,Footnote Reference/,Footnote Reference1,Style 12,Style 124,Style 13,Style 17,Style 20,Style 3,Style 34,Style 4,Style 6,Style 7,Style 9,callout,fr,o"/>
    <w:rsid w:val="002B5E2F"/>
    <w:rPr>
      <w:rFonts w:ascii="Times New Roman" w:hAnsi="Times New Roman"/>
      <w:dstrike w:val="0"/>
      <w:color w:val="auto"/>
      <w:sz w:val="20"/>
      <w:vertAlign w:val="superscript"/>
    </w:rPr>
  </w:style>
  <w:style w:type="paragraph" w:styleId="TOC1">
    <w:name w:val="toc 1"/>
    <w:basedOn w:val="Normal"/>
    <w:next w:val="Normal"/>
    <w:semiHidden/>
    <w:rsid w:val="002B5E2F"/>
    <w:pPr>
      <w:tabs>
        <w:tab w:val="left" w:pos="360"/>
        <w:tab w:val="right" w:leader="dot" w:pos="9360"/>
      </w:tabs>
      <w:suppressAutoHyphens/>
      <w:ind w:left="360" w:right="720" w:hanging="360"/>
    </w:pPr>
    <w:rPr>
      <w:caps/>
      <w:noProof/>
    </w:rPr>
  </w:style>
  <w:style w:type="paragraph" w:styleId="TOC2">
    <w:name w:val="toc 2"/>
    <w:basedOn w:val="Normal"/>
    <w:next w:val="Normal"/>
    <w:semiHidden/>
    <w:rsid w:val="002B5E2F"/>
    <w:pPr>
      <w:tabs>
        <w:tab w:val="left" w:pos="720"/>
        <w:tab w:val="right" w:leader="dot" w:pos="9360"/>
      </w:tabs>
      <w:suppressAutoHyphens/>
      <w:ind w:left="720" w:right="720" w:hanging="360"/>
    </w:pPr>
    <w:rPr>
      <w:noProof/>
    </w:rPr>
  </w:style>
  <w:style w:type="paragraph" w:styleId="TOC3">
    <w:name w:val="toc 3"/>
    <w:basedOn w:val="Normal"/>
    <w:next w:val="Normal"/>
    <w:semiHidden/>
    <w:rsid w:val="002B5E2F"/>
    <w:pPr>
      <w:tabs>
        <w:tab w:val="left" w:pos="1080"/>
        <w:tab w:val="right" w:leader="dot" w:pos="9360"/>
      </w:tabs>
      <w:suppressAutoHyphens/>
      <w:ind w:left="1080" w:right="720" w:hanging="360"/>
    </w:pPr>
    <w:rPr>
      <w:noProof/>
    </w:rPr>
  </w:style>
  <w:style w:type="paragraph" w:styleId="TOC4">
    <w:name w:val="toc 4"/>
    <w:basedOn w:val="Normal"/>
    <w:next w:val="Normal"/>
    <w:autoRedefine/>
    <w:semiHidden/>
    <w:rsid w:val="002B5E2F"/>
    <w:pPr>
      <w:tabs>
        <w:tab w:val="left" w:pos="1440"/>
        <w:tab w:val="right" w:leader="dot" w:pos="9360"/>
      </w:tabs>
      <w:suppressAutoHyphens/>
      <w:ind w:left="1440" w:right="720" w:hanging="360"/>
    </w:pPr>
    <w:rPr>
      <w:noProof/>
    </w:rPr>
  </w:style>
  <w:style w:type="paragraph" w:styleId="TOC5">
    <w:name w:val="toc 5"/>
    <w:basedOn w:val="Normal"/>
    <w:next w:val="Normal"/>
    <w:autoRedefine/>
    <w:semiHidden/>
    <w:rsid w:val="002B5E2F"/>
    <w:pPr>
      <w:tabs>
        <w:tab w:val="left" w:pos="1800"/>
        <w:tab w:val="right" w:leader="dot" w:pos="9360"/>
      </w:tabs>
      <w:suppressAutoHyphens/>
      <w:ind w:left="1800" w:right="720" w:hanging="360"/>
    </w:pPr>
    <w:rPr>
      <w:noProof/>
    </w:rPr>
  </w:style>
  <w:style w:type="paragraph" w:styleId="TOC6">
    <w:name w:val="toc 6"/>
    <w:basedOn w:val="Normal"/>
    <w:next w:val="Normal"/>
    <w:autoRedefine/>
    <w:semiHidden/>
    <w:rsid w:val="002B5E2F"/>
    <w:pPr>
      <w:tabs>
        <w:tab w:val="left" w:pos="2160"/>
        <w:tab w:val="right" w:leader="dot" w:pos="9360"/>
      </w:tabs>
      <w:suppressAutoHyphens/>
      <w:ind w:left="2160" w:hanging="360"/>
    </w:pPr>
    <w:rPr>
      <w:noProof/>
    </w:rPr>
  </w:style>
  <w:style w:type="paragraph" w:styleId="TOC7">
    <w:name w:val="toc 7"/>
    <w:basedOn w:val="Normal"/>
    <w:next w:val="Normal"/>
    <w:autoRedefine/>
    <w:semiHidden/>
    <w:rsid w:val="002B5E2F"/>
    <w:pPr>
      <w:tabs>
        <w:tab w:val="left" w:pos="2520"/>
        <w:tab w:val="right" w:leader="dot" w:pos="9360"/>
      </w:tabs>
      <w:suppressAutoHyphens/>
      <w:ind w:left="2520" w:hanging="360"/>
    </w:pPr>
    <w:rPr>
      <w:noProof/>
    </w:rPr>
  </w:style>
  <w:style w:type="paragraph" w:styleId="TOC8">
    <w:name w:val="toc 8"/>
    <w:basedOn w:val="Normal"/>
    <w:next w:val="Normal"/>
    <w:autoRedefine/>
    <w:semiHidden/>
    <w:rsid w:val="002B5E2F"/>
    <w:pPr>
      <w:tabs>
        <w:tab w:val="left" w:pos="2880"/>
        <w:tab w:val="right" w:leader="dot" w:pos="9360"/>
      </w:tabs>
      <w:suppressAutoHyphens/>
      <w:ind w:left="2880" w:hanging="360"/>
    </w:pPr>
    <w:rPr>
      <w:noProof/>
    </w:rPr>
  </w:style>
  <w:style w:type="paragraph" w:styleId="TOC9">
    <w:name w:val="toc 9"/>
    <w:basedOn w:val="Normal"/>
    <w:next w:val="Normal"/>
    <w:autoRedefine/>
    <w:semiHidden/>
    <w:rsid w:val="002B5E2F"/>
    <w:pPr>
      <w:tabs>
        <w:tab w:val="left" w:pos="3240"/>
        <w:tab w:val="right" w:leader="dot" w:pos="9360"/>
      </w:tabs>
      <w:suppressAutoHyphens/>
      <w:ind w:left="3240" w:hanging="360"/>
    </w:pPr>
    <w:rPr>
      <w:noProof/>
    </w:rPr>
  </w:style>
  <w:style w:type="paragraph" w:styleId="TOAHeading">
    <w:name w:val="toa heading"/>
    <w:basedOn w:val="Normal"/>
    <w:next w:val="Normal"/>
    <w:semiHidden/>
    <w:rsid w:val="002B5E2F"/>
    <w:pPr>
      <w:tabs>
        <w:tab w:val="right" w:pos="9360"/>
      </w:tabs>
      <w:suppressAutoHyphens/>
    </w:pPr>
  </w:style>
  <w:style w:type="character" w:customStyle="1" w:styleId="EquationCaption">
    <w:name w:val="_Equation Caption"/>
    <w:rsid w:val="002B5E2F"/>
  </w:style>
  <w:style w:type="paragraph" w:styleId="Header">
    <w:name w:val="header"/>
    <w:basedOn w:val="Normal"/>
    <w:autoRedefine/>
    <w:rsid w:val="002B5E2F"/>
    <w:pPr>
      <w:tabs>
        <w:tab w:val="center" w:pos="4680"/>
        <w:tab w:val="right" w:pos="9360"/>
      </w:tabs>
    </w:pPr>
    <w:rPr>
      <w:b/>
    </w:rPr>
  </w:style>
  <w:style w:type="paragraph" w:styleId="Footer">
    <w:name w:val="footer"/>
    <w:basedOn w:val="Normal"/>
    <w:link w:val="FooterChar"/>
    <w:uiPriority w:val="99"/>
    <w:rsid w:val="002B5E2F"/>
    <w:pPr>
      <w:tabs>
        <w:tab w:val="center" w:pos="4320"/>
        <w:tab w:val="right" w:pos="8640"/>
      </w:tabs>
    </w:pPr>
  </w:style>
  <w:style w:type="character" w:styleId="PageNumber">
    <w:name w:val="page number"/>
    <w:basedOn w:val="DefaultParagraphFont"/>
    <w:rsid w:val="002B5E2F"/>
  </w:style>
  <w:style w:type="paragraph" w:styleId="BlockText">
    <w:name w:val="Block Text"/>
    <w:basedOn w:val="Normal"/>
    <w:rsid w:val="002B5E2F"/>
    <w:pPr>
      <w:spacing w:after="240"/>
      <w:ind w:left="1440" w:right="1440"/>
    </w:pPr>
  </w:style>
  <w:style w:type="paragraph" w:customStyle="1" w:styleId="Paratitle">
    <w:name w:val="Para title"/>
    <w:basedOn w:val="Normal"/>
    <w:rsid w:val="002B5E2F"/>
    <w:pPr>
      <w:tabs>
        <w:tab w:val="center" w:pos="9270"/>
      </w:tabs>
      <w:spacing w:after="240"/>
    </w:pPr>
    <w:rPr>
      <w:spacing w:val="-2"/>
    </w:rPr>
  </w:style>
  <w:style w:type="paragraph" w:customStyle="1" w:styleId="Bullet">
    <w:name w:val="Bullet"/>
    <w:basedOn w:val="Normal"/>
    <w:rsid w:val="002B5E2F"/>
    <w:pPr>
      <w:tabs>
        <w:tab w:val="left" w:pos="2160"/>
      </w:tabs>
      <w:spacing w:after="220"/>
      <w:ind w:left="2160" w:hanging="720"/>
    </w:pPr>
  </w:style>
  <w:style w:type="paragraph" w:customStyle="1" w:styleId="TableFormat">
    <w:name w:val="TableFormat"/>
    <w:basedOn w:val="Bullet"/>
    <w:rsid w:val="002B5E2F"/>
    <w:pPr>
      <w:tabs>
        <w:tab w:val="clear" w:pos="2160"/>
        <w:tab w:val="left" w:pos="5040"/>
      </w:tabs>
      <w:ind w:left="5040" w:hanging="3600"/>
    </w:pPr>
  </w:style>
  <w:style w:type="paragraph" w:customStyle="1" w:styleId="TOCTitle">
    <w:name w:val="TOC Title"/>
    <w:basedOn w:val="Normal"/>
    <w:rsid w:val="002B5E2F"/>
    <w:pPr>
      <w:spacing w:before="240" w:after="240"/>
      <w:jc w:val="center"/>
    </w:pPr>
    <w:rPr>
      <w:rFonts w:ascii="Times New Roman Bold" w:hAnsi="Times New Roman Bold"/>
      <w:b/>
      <w:caps/>
      <w:spacing w:val="-2"/>
    </w:rPr>
  </w:style>
  <w:style w:type="paragraph" w:customStyle="1" w:styleId="StyleBoldCentered">
    <w:name w:val="Style Bold Centered"/>
    <w:basedOn w:val="Normal"/>
    <w:rsid w:val="002B5E2F"/>
    <w:pPr>
      <w:jc w:val="center"/>
    </w:pPr>
    <w:rPr>
      <w:rFonts w:ascii="Times New Roman Bold" w:hAnsi="Times New Roman Bold"/>
      <w:b/>
      <w:bCs/>
      <w:caps/>
      <w:szCs w:val="22"/>
    </w:rPr>
  </w:style>
  <w:style w:type="character" w:styleId="Hyperlink">
    <w:name w:val="Hyperlink"/>
    <w:rsid w:val="002B5E2F"/>
    <w:rPr>
      <w:color w:val="0000FF"/>
      <w:u w:val="single"/>
    </w:rPr>
  </w:style>
  <w:style w:type="character" w:customStyle="1" w:styleId="FooterChar">
    <w:name w:val="Footer Char"/>
    <w:link w:val="Footer"/>
    <w:uiPriority w:val="99"/>
    <w:rsid w:val="002B5E2F"/>
    <w:rPr>
      <w:snapToGrid w:val="0"/>
      <w:kern w:val="28"/>
      <w:sz w:val="22"/>
    </w:rPr>
  </w:style>
  <w:style w:type="character" w:customStyle="1" w:styleId="FootnoteTextChar2">
    <w:name w:val="Footnote Text Char2"/>
    <w:aliases w:val="Footnote Text Char Char,Footnote Text Char Char1 Char Char,Footnote Text Char Char1 Char Char Char1 Char,Footnote Text Char1 Char1,Footnote Text Char1 Char Char,Footnote Text Char1 Char Char Char1 Char Char Char,f Char,fn Char Char1"/>
    <w:link w:val="FootnoteText"/>
    <w:rsid w:val="00CA30B0"/>
  </w:style>
  <w:style w:type="paragraph" w:customStyle="1" w:styleId="AppNum">
    <w:name w:val="App Num"/>
    <w:basedOn w:val="Normal"/>
    <w:rsid w:val="00CA30B0"/>
    <w:pPr>
      <w:numPr>
        <w:numId w:val="8"/>
      </w:numPr>
    </w:pPr>
    <w:rPr>
      <w:rFonts w:ascii="Courier New" w:hAnsi="Courier New"/>
      <w:kern w:val="0"/>
      <w:sz w:val="24"/>
    </w:rPr>
  </w:style>
  <w:style w:type="character" w:customStyle="1" w:styleId="ParaNumChar1">
    <w:name w:val="ParaNum Char1"/>
    <w:link w:val="ParaNum"/>
    <w:locked/>
    <w:rsid w:val="00CA30B0"/>
    <w:rPr>
      <w:snapToGrid w:val="0"/>
      <w:kern w:val="28"/>
      <w:sz w:val="22"/>
    </w:rPr>
  </w:style>
  <w:style w:type="character" w:styleId="FollowedHyperlink">
    <w:name w:val="FollowedHyperlink"/>
    <w:basedOn w:val="DefaultParagraphFont"/>
    <w:rsid w:val="005E264F"/>
    <w:rPr>
      <w:color w:val="96607D" w:themeColor="followedHyperlink"/>
      <w:u w:val="single"/>
    </w:rPr>
  </w:style>
  <w:style w:type="character" w:customStyle="1" w:styleId="FootnoteTextCharChar1CharChar1">
    <w:name w:val="Footnote Text Char Char1 Char Char1"/>
    <w:aliases w:val="Footnote Text Char Char1 Char Char Char1 Char1,Footnote Text Char1 Char2,Footnote Text Char1 Char Char1,Footnote Text Char1 Char Char Char1 Char Char Char1,Footnote Text Char2 Char1 Char Char Char"/>
    <w:rsid w:val="002E08E2"/>
  </w:style>
  <w:style w:type="paragraph" w:styleId="BodyText">
    <w:name w:val="Body Text"/>
    <w:basedOn w:val="Normal"/>
    <w:link w:val="BodyTextChar"/>
    <w:uiPriority w:val="1"/>
    <w:qFormat/>
    <w:rsid w:val="00E23BB8"/>
    <w:pPr>
      <w:ind w:left="128"/>
    </w:pPr>
    <w:rPr>
      <w:snapToGrid/>
    </w:rPr>
  </w:style>
  <w:style w:type="character" w:customStyle="1" w:styleId="BodyTextChar">
    <w:name w:val="Body Text Char"/>
    <w:basedOn w:val="DefaultParagraphFont"/>
    <w:link w:val="BodyText"/>
    <w:uiPriority w:val="1"/>
    <w:rsid w:val="00E23BB8"/>
    <w:rPr>
      <w:kern w:val="28"/>
      <w:sz w:val="22"/>
    </w:rPr>
  </w:style>
  <w:style w:type="character" w:styleId="UnresolvedMention">
    <w:name w:val="Unresolved Mention"/>
    <w:basedOn w:val="DefaultParagraphFont"/>
    <w:uiPriority w:val="99"/>
    <w:semiHidden/>
    <w:unhideWhenUsed/>
    <w:rsid w:val="009A33AD"/>
    <w:rPr>
      <w:color w:val="605E5C"/>
      <w:shd w:val="clear" w:color="auto" w:fill="E1DFDD"/>
    </w:rPr>
  </w:style>
  <w:style w:type="paragraph" w:styleId="Revision">
    <w:name w:val="Revision"/>
    <w:hidden/>
    <w:uiPriority w:val="99"/>
    <w:semiHidden/>
    <w:rsid w:val="00093846"/>
    <w:rPr>
      <w:snapToGrid w:val="0"/>
      <w:kern w:val="28"/>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footer" Target="footer2.xml" /><Relationship Id="rId11" Type="http://schemas.openxmlformats.org/officeDocument/2006/relationships/header" Target="header2.xml" /><Relationship Id="rId12" Type="http://schemas.openxmlformats.org/officeDocument/2006/relationships/footer" Target="footer3.xml" /><Relationship Id="rId13" Type="http://schemas.openxmlformats.org/officeDocument/2006/relationships/theme" Target="theme/theme1.xml" /><Relationship Id="rId14" Type="http://schemas.openxmlformats.org/officeDocument/2006/relationships/numbering" Target="numbering.xml" /><Relationship Id="rId15"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mailto:Emily.Harrison@fcc.gov" TargetMode="External" /><Relationship Id="rId7" Type="http://schemas.openxmlformats.org/officeDocument/2006/relationships/hyperlink" Target="mailto:Mark.Colombo@fcc.gov" TargetMode="External" /><Relationship Id="rId8" Type="http://schemas.openxmlformats.org/officeDocument/2006/relationships/header" Target="header1.xml" /><Relationship Id="rId9" Type="http://schemas.openxmlformats.org/officeDocument/2006/relationships/footer" Target="footer1.xml" /></Relationships>
</file>

<file path=word/_rels/settings.xml.rels><?xml version="1.0" encoding="utf-8" standalone="yes"?><Relationships xmlns="http://schemas.openxmlformats.org/package/2006/relationships"><Relationship Id="rId1" Type="http://schemas.openxmlformats.org/officeDocument/2006/relationships/attachedTemplate" Target="file:///M:\Form\OS%20Process\Orders%20TOC%20by%20Paragraph.dot"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Orders TOC by Paragraph</Template>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