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14:paraId="77BDAA26" w14:textId="77777777">
      <w:pPr>
        <w:jc w:val="center"/>
        <w:rPr>
          <w:b/>
        </w:rPr>
      </w:pPr>
      <w:r w:rsidRPr="0070224F">
        <w:rPr>
          <w:rFonts w:ascii="Times New Roman Bold" w:hAnsi="Times New Roman Bold"/>
          <w:b/>
          <w:kern w:val="0"/>
          <w:szCs w:val="22"/>
        </w:rPr>
        <w:t>Before</w:t>
      </w:r>
      <w:r>
        <w:rPr>
          <w:b/>
        </w:rPr>
        <w:t xml:space="preserve"> the</w:t>
      </w:r>
    </w:p>
    <w:p w:rsidR="00921803" w:rsidP="00921803" w14:paraId="4235591C" w14:textId="77777777">
      <w:pPr>
        <w:pStyle w:val="StyleBoldCentered"/>
      </w:pPr>
      <w:r>
        <w:t>F</w:t>
      </w:r>
      <w:r>
        <w:rPr>
          <w:caps w:val="0"/>
        </w:rPr>
        <w:t>ederal Communications Commission</w:t>
      </w:r>
    </w:p>
    <w:p w:rsidR="004C2EE3" w:rsidP="00096D8C" w14:paraId="13A850D4" w14:textId="77777777">
      <w:pPr>
        <w:pStyle w:val="StyleBoldCentered"/>
      </w:pPr>
      <w:r>
        <w:rPr>
          <w:caps w:val="0"/>
        </w:rPr>
        <w:t>Washington, D.C. 20554</w:t>
      </w:r>
    </w:p>
    <w:p w:rsidR="004C2EE3" w:rsidP="0070224F" w14:paraId="3B319DB2" w14:textId="77777777"/>
    <w:p w:rsidR="004C2EE3" w:rsidP="0070224F" w14:paraId="797B96D8" w14:textId="77777777"/>
    <w:tbl>
      <w:tblPr>
        <w:tblW w:w="0" w:type="auto"/>
        <w:tblLayout w:type="fixed"/>
        <w:tblLook w:val="0000"/>
      </w:tblPr>
      <w:tblGrid>
        <w:gridCol w:w="4698"/>
        <w:gridCol w:w="630"/>
        <w:gridCol w:w="4248"/>
      </w:tblGrid>
      <w:tr w14:paraId="32C4C39B" w14:textId="77777777">
        <w:tblPrEx>
          <w:tblW w:w="0" w:type="auto"/>
          <w:tblLayout w:type="fixed"/>
          <w:tblLook w:val="0000"/>
        </w:tblPrEx>
        <w:tc>
          <w:tcPr>
            <w:tcW w:w="4698" w:type="dxa"/>
          </w:tcPr>
          <w:p w:rsidR="004C2EE3" w14:paraId="1556CCDD" w14:textId="77777777">
            <w:pPr>
              <w:tabs>
                <w:tab w:val="center" w:pos="4680"/>
              </w:tabs>
              <w:suppressAutoHyphens/>
              <w:rPr>
                <w:spacing w:val="-2"/>
              </w:rPr>
            </w:pPr>
            <w:r>
              <w:rPr>
                <w:spacing w:val="-2"/>
              </w:rPr>
              <w:t>In the Matter of</w:t>
            </w:r>
          </w:p>
          <w:p w:rsidR="004C2EE3" w14:paraId="3DFDFF72" w14:textId="77777777">
            <w:pPr>
              <w:tabs>
                <w:tab w:val="center" w:pos="4680"/>
              </w:tabs>
              <w:suppressAutoHyphens/>
              <w:rPr>
                <w:spacing w:val="-2"/>
              </w:rPr>
            </w:pPr>
          </w:p>
          <w:p w:rsidR="000018DC" w:rsidP="000018DC" w14:paraId="0455D1DA" w14:textId="77777777">
            <w:pPr>
              <w:ind w:right="-18"/>
            </w:pPr>
            <w:r>
              <w:t>Aurora Public Library, et al.</w:t>
            </w:r>
          </w:p>
          <w:p w:rsidR="000018DC" w:rsidP="000018DC" w14:paraId="6B6042C1" w14:textId="77777777">
            <w:pPr>
              <w:ind w:right="-18"/>
            </w:pPr>
            <w:r>
              <w:t>Aurora, IL</w:t>
            </w:r>
          </w:p>
          <w:p w:rsidR="000018DC" w:rsidP="000018DC" w14:paraId="66EDD20A" w14:textId="77777777">
            <w:pPr>
              <w:ind w:right="-18"/>
            </w:pPr>
          </w:p>
          <w:p w:rsidR="000018DC" w:rsidP="000018DC" w14:paraId="4C9FC830" w14:textId="77777777">
            <w:pPr>
              <w:ind w:right="-18"/>
              <w:rPr>
                <w:szCs w:val="22"/>
              </w:rPr>
            </w:pPr>
            <w:r>
              <w:rPr>
                <w:szCs w:val="22"/>
              </w:rPr>
              <w:t>Schools and Libraries Universal Service</w:t>
            </w:r>
          </w:p>
          <w:p w:rsidR="004C2EE3" w:rsidRPr="007115F7" w:rsidP="000018DC" w14:paraId="543D84FD" w14:textId="28CFAB43">
            <w:pPr>
              <w:tabs>
                <w:tab w:val="center" w:pos="4680"/>
              </w:tabs>
              <w:suppressAutoHyphens/>
              <w:rPr>
                <w:spacing w:val="-2"/>
              </w:rPr>
            </w:pPr>
            <w:r>
              <w:rPr>
                <w:szCs w:val="22"/>
              </w:rPr>
              <w:t>Support Mechanism</w:t>
            </w:r>
          </w:p>
        </w:tc>
        <w:tc>
          <w:tcPr>
            <w:tcW w:w="630" w:type="dxa"/>
          </w:tcPr>
          <w:p w:rsidR="004C2EE3" w14:paraId="5723D02D" w14:textId="77777777">
            <w:pPr>
              <w:tabs>
                <w:tab w:val="center" w:pos="4680"/>
              </w:tabs>
              <w:suppressAutoHyphens/>
              <w:rPr>
                <w:b/>
                <w:spacing w:val="-2"/>
              </w:rPr>
            </w:pPr>
            <w:r>
              <w:rPr>
                <w:b/>
                <w:spacing w:val="-2"/>
              </w:rPr>
              <w:t>)</w:t>
            </w:r>
          </w:p>
          <w:p w:rsidR="004C2EE3" w14:paraId="13F62844" w14:textId="77777777">
            <w:pPr>
              <w:tabs>
                <w:tab w:val="center" w:pos="4680"/>
              </w:tabs>
              <w:suppressAutoHyphens/>
              <w:rPr>
                <w:b/>
                <w:spacing w:val="-2"/>
              </w:rPr>
            </w:pPr>
            <w:r>
              <w:rPr>
                <w:b/>
                <w:spacing w:val="-2"/>
              </w:rPr>
              <w:t>)</w:t>
            </w:r>
          </w:p>
          <w:p w:rsidR="004C2EE3" w14:paraId="65736AFA" w14:textId="77777777">
            <w:pPr>
              <w:tabs>
                <w:tab w:val="center" w:pos="4680"/>
              </w:tabs>
              <w:suppressAutoHyphens/>
              <w:rPr>
                <w:b/>
                <w:spacing w:val="-2"/>
              </w:rPr>
            </w:pPr>
            <w:r>
              <w:rPr>
                <w:b/>
                <w:spacing w:val="-2"/>
              </w:rPr>
              <w:t>)</w:t>
            </w:r>
          </w:p>
          <w:p w:rsidR="004C2EE3" w14:paraId="17DBF474" w14:textId="77777777">
            <w:pPr>
              <w:tabs>
                <w:tab w:val="center" w:pos="4680"/>
              </w:tabs>
              <w:suppressAutoHyphens/>
              <w:rPr>
                <w:b/>
                <w:spacing w:val="-2"/>
              </w:rPr>
            </w:pPr>
            <w:r>
              <w:rPr>
                <w:b/>
                <w:spacing w:val="-2"/>
              </w:rPr>
              <w:t>)</w:t>
            </w:r>
          </w:p>
          <w:p w:rsidR="004C2EE3" w14:paraId="6C3DD4BD" w14:textId="77777777">
            <w:pPr>
              <w:tabs>
                <w:tab w:val="center" w:pos="4680"/>
              </w:tabs>
              <w:suppressAutoHyphens/>
              <w:rPr>
                <w:b/>
                <w:spacing w:val="-2"/>
              </w:rPr>
            </w:pPr>
            <w:r>
              <w:rPr>
                <w:b/>
                <w:spacing w:val="-2"/>
              </w:rPr>
              <w:t>)</w:t>
            </w:r>
          </w:p>
          <w:p w:rsidR="004C2EE3" w14:paraId="1B174542" w14:textId="77777777">
            <w:pPr>
              <w:tabs>
                <w:tab w:val="center" w:pos="4680"/>
              </w:tabs>
              <w:suppressAutoHyphens/>
              <w:rPr>
                <w:b/>
                <w:spacing w:val="-2"/>
              </w:rPr>
            </w:pPr>
            <w:r>
              <w:rPr>
                <w:b/>
                <w:spacing w:val="-2"/>
              </w:rPr>
              <w:t>)</w:t>
            </w:r>
          </w:p>
          <w:p w:rsidR="004C2EE3" w14:paraId="66C8AC59" w14:textId="77777777">
            <w:pPr>
              <w:tabs>
                <w:tab w:val="center" w:pos="4680"/>
              </w:tabs>
              <w:suppressAutoHyphens/>
              <w:rPr>
                <w:b/>
                <w:spacing w:val="-2"/>
              </w:rPr>
            </w:pPr>
            <w:r>
              <w:rPr>
                <w:b/>
                <w:spacing w:val="-2"/>
              </w:rPr>
              <w:t>)</w:t>
            </w:r>
          </w:p>
          <w:p w:rsidR="004C2EE3" w:rsidRPr="000018DC" w14:paraId="0697F645" w14:textId="5B64A9FD">
            <w:pPr>
              <w:tabs>
                <w:tab w:val="center" w:pos="4680"/>
              </w:tabs>
              <w:suppressAutoHyphens/>
              <w:rPr>
                <w:b/>
                <w:spacing w:val="-2"/>
              </w:rPr>
            </w:pPr>
            <w:r>
              <w:rPr>
                <w:b/>
                <w:spacing w:val="-2"/>
              </w:rPr>
              <w:t>)</w:t>
            </w:r>
          </w:p>
        </w:tc>
        <w:tc>
          <w:tcPr>
            <w:tcW w:w="4248" w:type="dxa"/>
          </w:tcPr>
          <w:p w:rsidR="004C2EE3" w14:paraId="0ECF706A" w14:textId="77777777">
            <w:pPr>
              <w:tabs>
                <w:tab w:val="center" w:pos="4680"/>
              </w:tabs>
              <w:suppressAutoHyphens/>
              <w:rPr>
                <w:spacing w:val="-2"/>
              </w:rPr>
            </w:pPr>
          </w:p>
          <w:p w:rsidR="004C2EE3" w14:paraId="47184097" w14:textId="77777777">
            <w:pPr>
              <w:pStyle w:val="TOAHeading"/>
              <w:tabs>
                <w:tab w:val="center" w:pos="4680"/>
                <w:tab w:val="clear" w:pos="9360"/>
              </w:tabs>
              <w:rPr>
                <w:spacing w:val="-2"/>
              </w:rPr>
            </w:pPr>
          </w:p>
          <w:p w:rsidR="000018DC" w:rsidP="000018DC" w14:paraId="67318CF3" w14:textId="77777777">
            <w:r w:rsidRPr="49030FA5">
              <w:rPr>
                <w:spacing w:val="-2"/>
              </w:rPr>
              <w:t xml:space="preserve">SLD File No. </w:t>
            </w:r>
            <w:r>
              <w:t>1049458 et al.</w:t>
            </w:r>
          </w:p>
          <w:p w:rsidR="000018DC" w:rsidP="000018DC" w14:paraId="72F9249C" w14:textId="77777777"/>
          <w:p w:rsidR="000018DC" w:rsidP="000018DC" w14:paraId="5AFE68CF" w14:textId="77777777"/>
          <w:p w:rsidR="004C2EE3" w:rsidP="000018DC" w14:paraId="0872AF89" w14:textId="6D07BC04">
            <w:pPr>
              <w:tabs>
                <w:tab w:val="center" w:pos="4680"/>
              </w:tabs>
              <w:suppressAutoHyphens/>
              <w:rPr>
                <w:spacing w:val="-2"/>
              </w:rPr>
            </w:pPr>
            <w:r>
              <w:rPr>
                <w:spacing w:val="-2"/>
                <w:szCs w:val="22"/>
              </w:rPr>
              <w:t>CC</w:t>
            </w:r>
            <w:r w:rsidRPr="007D4DE2">
              <w:rPr>
                <w:spacing w:val="-2"/>
                <w:szCs w:val="22"/>
              </w:rPr>
              <w:t xml:space="preserve"> Docket No. </w:t>
            </w:r>
            <w:r>
              <w:rPr>
                <w:spacing w:val="-2"/>
                <w:szCs w:val="22"/>
              </w:rPr>
              <w:t>02-6</w:t>
            </w:r>
          </w:p>
        </w:tc>
      </w:tr>
    </w:tbl>
    <w:p w:rsidR="004C2EE3" w:rsidP="0070224F" w14:paraId="4190EAEC" w14:textId="77777777"/>
    <w:p w:rsidR="00841AB1" w:rsidP="00F021FA" w14:paraId="6F9142DD" w14:textId="61FC7747">
      <w:pPr>
        <w:pStyle w:val="StyleBoldCentered"/>
      </w:pPr>
      <w:r>
        <w:t>Order</w:t>
      </w:r>
    </w:p>
    <w:p w:rsidR="004C2EE3" w14:paraId="32BEFE0A" w14:textId="77777777">
      <w:pPr>
        <w:tabs>
          <w:tab w:val="left" w:pos="-720"/>
        </w:tabs>
        <w:suppressAutoHyphens/>
        <w:spacing w:line="227" w:lineRule="auto"/>
        <w:rPr>
          <w:spacing w:val="-2"/>
        </w:rPr>
      </w:pPr>
    </w:p>
    <w:p w:rsidR="004C2EE3" w:rsidP="00133F79" w14:paraId="642492E2" w14:textId="72081CC3">
      <w:pPr>
        <w:tabs>
          <w:tab w:val="left" w:pos="720"/>
          <w:tab w:val="right" w:pos="9360"/>
        </w:tabs>
        <w:suppressAutoHyphens/>
        <w:spacing w:line="227" w:lineRule="auto"/>
        <w:rPr>
          <w:spacing w:val="-2"/>
        </w:rPr>
      </w:pPr>
      <w:r>
        <w:rPr>
          <w:b/>
          <w:spacing w:val="-2"/>
        </w:rPr>
        <w:t xml:space="preserve">Adopted:  </w:t>
      </w:r>
      <w:r w:rsidR="0019409D">
        <w:rPr>
          <w:b/>
          <w:spacing w:val="-2"/>
        </w:rPr>
        <w:t>May 7, 2025</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19409D">
        <w:rPr>
          <w:b/>
          <w:spacing w:val="-2"/>
        </w:rPr>
        <w:t>May 7, 2025</w:t>
      </w:r>
    </w:p>
    <w:p w:rsidR="00822CE0" w14:paraId="6A23CC5A" w14:textId="77777777"/>
    <w:p w:rsidR="004C2EE3" w14:paraId="7A639A3E" w14:textId="4EDB865F">
      <w:pPr>
        <w:rPr>
          <w:spacing w:val="-2"/>
        </w:rPr>
      </w:pPr>
      <w:r>
        <w:t xml:space="preserve">By </w:t>
      </w:r>
      <w:r w:rsidR="004E4A22">
        <w:t>the</w:t>
      </w:r>
      <w:r w:rsidR="002A2D2E">
        <w:t xml:space="preserve"> </w:t>
      </w:r>
      <w:r w:rsidR="000018DC">
        <w:rPr>
          <w:spacing w:val="-2"/>
        </w:rPr>
        <w:t>Chief, Telecommunications Access Policy Division, Wireline Competition Bureau</w:t>
      </w:r>
      <w:r>
        <w:rPr>
          <w:spacing w:val="-2"/>
        </w:rPr>
        <w:t>:</w:t>
      </w:r>
    </w:p>
    <w:p w:rsidR="00822CE0" w14:paraId="5A213EE6" w14:textId="77777777">
      <w:pPr>
        <w:rPr>
          <w:spacing w:val="-2"/>
        </w:rPr>
      </w:pPr>
    </w:p>
    <w:p w:rsidR="00412FC5" w:rsidP="00C36B4C" w14:paraId="4876D97E" w14:textId="02BCE6A6">
      <w:pPr>
        <w:pStyle w:val="Heading1"/>
      </w:pPr>
      <w:r>
        <w:t>Introduction</w:t>
      </w:r>
    </w:p>
    <w:p w:rsidR="008C5692" w:rsidRPr="00AF393E" w:rsidP="008C5692" w14:paraId="3FEA5C8A" w14:textId="05AFFADC">
      <w:pPr>
        <w:pStyle w:val="ParaNum"/>
      </w:pPr>
      <w:r>
        <w:t xml:space="preserve">In </w:t>
      </w:r>
      <w:r w:rsidR="00821F59">
        <w:t xml:space="preserve">this Order, we address nineteen appeals regarding E-Rate reimbursements in situations where the service provider has gone out of business or otherwise did not file its required annual certification form.  </w:t>
      </w:r>
      <w:r w:rsidRPr="49030FA5" w:rsidR="00821F59">
        <w:t xml:space="preserve">Due to changes made to the </w:t>
      </w:r>
      <w:r w:rsidR="00821F59">
        <w:t xml:space="preserve">applicant </w:t>
      </w:r>
      <w:r w:rsidRPr="49030FA5" w:rsidR="00821F59">
        <w:t xml:space="preserve">invoicing process in the </w:t>
      </w:r>
      <w:r w:rsidRPr="49030FA5" w:rsidR="00821F59">
        <w:rPr>
          <w:i/>
          <w:iCs/>
        </w:rPr>
        <w:t>2014 First E-Rate Order,</w:t>
      </w:r>
      <w:r>
        <w:rPr>
          <w:rStyle w:val="FootnoteReference"/>
        </w:rPr>
        <w:footnoteReference w:id="3"/>
      </w:r>
      <w:r w:rsidRPr="49030FA5" w:rsidR="00821F59">
        <w:t xml:space="preserve"> there is no longer a mechanism to reimburse E-Rate applicants’ </w:t>
      </w:r>
      <w:r w:rsidR="00821F59">
        <w:t xml:space="preserve">requests for reimbursement </w:t>
      </w:r>
      <w:r w:rsidRPr="49030FA5" w:rsidR="00821F59">
        <w:t xml:space="preserve">when the service provider has </w:t>
      </w:r>
      <w:r w:rsidR="00821F59">
        <w:t>not</w:t>
      </w:r>
      <w:r w:rsidRPr="49030FA5" w:rsidR="00821F59">
        <w:t xml:space="preserve"> file</w:t>
      </w:r>
      <w:r w:rsidR="00821F59">
        <w:t>d</w:t>
      </w:r>
      <w:r w:rsidRPr="49030FA5" w:rsidR="00821F59">
        <w:t xml:space="preserve"> the</w:t>
      </w:r>
      <w:r w:rsidRPr="00255B48" w:rsidR="00821F59">
        <w:rPr>
          <w:szCs w:val="22"/>
        </w:rPr>
        <w:t xml:space="preserve"> </w:t>
      </w:r>
      <w:r w:rsidR="00821F59">
        <w:rPr>
          <w:szCs w:val="22"/>
        </w:rPr>
        <w:t xml:space="preserve">required </w:t>
      </w:r>
      <w:r w:rsidRPr="00002A39" w:rsidR="00821F59">
        <w:t>FCC Form 473, the Service Provider Annual Certification (SPAC)</w:t>
      </w:r>
      <w:r w:rsidRPr="00372F60" w:rsidR="00821F59">
        <w:t xml:space="preserve"> form</w:t>
      </w:r>
      <w:r w:rsidRPr="00255B48" w:rsidR="00821F59">
        <w:rPr>
          <w:szCs w:val="22"/>
        </w:rPr>
        <w:t>.</w:t>
      </w:r>
      <w:r>
        <w:rPr>
          <w:rStyle w:val="FootnoteReference"/>
        </w:rPr>
        <w:footnoteReference w:id="4"/>
      </w:r>
      <w:r w:rsidRPr="00255B48" w:rsidR="00821F59">
        <w:rPr>
          <w:szCs w:val="22"/>
        </w:rPr>
        <w:t xml:space="preserve">  </w:t>
      </w:r>
      <w:r w:rsidR="00821F59">
        <w:rPr>
          <w:szCs w:val="22"/>
        </w:rPr>
        <w:t xml:space="preserve">In these scenarios, the applicant schools and libraries, that have </w:t>
      </w:r>
      <w:r w:rsidRPr="49030FA5" w:rsidR="00821F59">
        <w:t xml:space="preserve">paid in full </w:t>
      </w:r>
      <w:r w:rsidR="00821F59">
        <w:t xml:space="preserve">for eligible equipment and services, are left without the ability to seek reimbursement for the equipment and services because the reimbursement process requires that the service provider certify annually that it has complied with E-rate program rules as a prerequisite to the Universal Service Administrative Company (USAC or Administrator) processing the forms and disbursing funding. </w:t>
      </w:r>
      <w:r w:rsidR="00821F59">
        <w:rPr>
          <w:szCs w:val="22"/>
        </w:rPr>
        <w:t xml:space="preserve"> </w:t>
      </w:r>
      <w:r w:rsidR="00821F59">
        <w:t>I</w:t>
      </w:r>
      <w:r w:rsidRPr="00255B48" w:rsidR="00821F59">
        <w:t xml:space="preserve">n this order, </w:t>
      </w:r>
      <w:r w:rsidR="00821F59">
        <w:t>we</w:t>
      </w:r>
      <w:r w:rsidRPr="00255B48" w:rsidR="00821F59">
        <w:t xml:space="preserve"> grant </w:t>
      </w:r>
      <w:r w:rsidR="00821F59">
        <w:t xml:space="preserve">eight </w:t>
      </w:r>
      <w:r w:rsidRPr="00255B48" w:rsidR="00821F59">
        <w:t xml:space="preserve">appeals where the service provider </w:t>
      </w:r>
      <w:r w:rsidR="00821F59">
        <w:t xml:space="preserve">failed to file the FCC Form 473 and </w:t>
      </w:r>
      <w:r w:rsidRPr="00255B48" w:rsidR="00821F59">
        <w:t xml:space="preserve">went out of business or was no longer operational </w:t>
      </w:r>
      <w:r w:rsidR="00821F59">
        <w:t>when the school or library sought reimbursement,</w:t>
      </w:r>
      <w:r>
        <w:rPr>
          <w:rStyle w:val="FootnoteReference"/>
        </w:rPr>
        <w:footnoteReference w:id="5"/>
      </w:r>
      <w:r w:rsidR="00821F59">
        <w:t xml:space="preserve"> and</w:t>
      </w:r>
      <w:r w:rsidR="00821F59">
        <w:t xml:space="preserve"> </w:t>
      </w:r>
      <w:r w:rsidR="00821F59">
        <w:t>four appeals where the service provider was unable to file the FCC Form 473 due to other circumstances.</w:t>
      </w:r>
      <w:r>
        <w:rPr>
          <w:rStyle w:val="FootnoteReference"/>
        </w:rPr>
        <w:footnoteReference w:id="6"/>
      </w:r>
      <w:r w:rsidR="00821F59">
        <w:t xml:space="preserve">  We</w:t>
      </w:r>
      <w:r w:rsidRPr="00255B48" w:rsidR="00821F59">
        <w:t xml:space="preserve"> </w:t>
      </w:r>
      <w:r w:rsidR="00821F59">
        <w:t xml:space="preserve">also </w:t>
      </w:r>
      <w:r w:rsidRPr="00255B48" w:rsidR="00821F59">
        <w:t>den</w:t>
      </w:r>
      <w:r w:rsidR="00821F59">
        <w:t>y</w:t>
      </w:r>
      <w:r w:rsidRPr="00255B48" w:rsidR="00821F59">
        <w:t xml:space="preserve"> </w:t>
      </w:r>
      <w:r w:rsidR="00821F59">
        <w:t xml:space="preserve">seven </w:t>
      </w:r>
      <w:r w:rsidRPr="00255B48" w:rsidR="00821F59">
        <w:t>appeals</w:t>
      </w:r>
      <w:r w:rsidR="00AF393E">
        <w:t xml:space="preserve"> </w:t>
      </w:r>
      <w:r w:rsidR="00AF393E">
        <w:t>where</w:t>
      </w:r>
      <w:r w:rsidRPr="00255B48" w:rsidR="00AF393E">
        <w:t xml:space="preserve"> the service provider </w:t>
      </w:r>
      <w:r w:rsidR="00AF393E">
        <w:t xml:space="preserve">was operational but </w:t>
      </w:r>
      <w:r w:rsidRPr="00255B48" w:rsidR="00AF393E">
        <w:t xml:space="preserve">did not file </w:t>
      </w:r>
      <w:r w:rsidR="00AF393E">
        <w:t>the</w:t>
      </w:r>
      <w:r w:rsidRPr="00255B48" w:rsidR="00AF393E">
        <w:t xml:space="preserve"> </w:t>
      </w:r>
      <w:r w:rsidR="00AF393E">
        <w:t xml:space="preserve">required FCC Form 473 </w:t>
      </w:r>
      <w:r w:rsidRPr="00255B48" w:rsidR="00AF393E">
        <w:t>annual certification</w:t>
      </w:r>
      <w:r w:rsidR="00AF393E">
        <w:t>.</w:t>
      </w:r>
      <w:r>
        <w:rPr>
          <w:rStyle w:val="FootnoteReference"/>
        </w:rPr>
        <w:footnoteReference w:id="7"/>
      </w:r>
      <w:r w:rsidR="00AF393E">
        <w:t xml:space="preserve">  Further, w</w:t>
      </w:r>
      <w:r w:rsidRPr="00CF3BB7" w:rsidR="00AF393E">
        <w:t xml:space="preserve">e instruct USAC to implement a process, with appropriate safeguards, to </w:t>
      </w:r>
      <w:r w:rsidR="00AF393E">
        <w:t xml:space="preserve">reimburse applicant requests for reimbursement </w:t>
      </w:r>
      <w:r w:rsidRPr="00CF3BB7" w:rsidR="00AF393E">
        <w:t xml:space="preserve">when the service provider has </w:t>
      </w:r>
      <w:r w:rsidR="00AF393E">
        <w:t>not certified</w:t>
      </w:r>
      <w:r w:rsidRPr="00CF3BB7" w:rsidR="00AF393E">
        <w:t xml:space="preserve"> the </w:t>
      </w:r>
      <w:r w:rsidR="00AF393E">
        <w:t>FCC Form 473</w:t>
      </w:r>
      <w:r w:rsidRPr="00CF3BB7" w:rsidR="00AF393E">
        <w:t xml:space="preserve"> because it is out-of-business or in bankruptcy.</w:t>
      </w:r>
      <w:r w:rsidR="00AF393E">
        <w:t xml:space="preserve">  Under this new process, USAC will generate a unique Service Provider Identification Number (SPIN) that will be used to create the FCC Form 473 for the specific funding year required to process the applicants’ requests for reimbursement.  Akin to the former </w:t>
      </w:r>
      <w:r w:rsidRPr="49030FA5" w:rsidR="00AF393E">
        <w:t>“Good Samaritan” process</w:t>
      </w:r>
      <w:r>
        <w:rPr>
          <w:rStyle w:val="FootnoteReference"/>
        </w:rPr>
        <w:footnoteReference w:id="8"/>
      </w:r>
      <w:r w:rsidRPr="49030FA5" w:rsidR="00AF393E">
        <w:t xml:space="preserve">, this invoicing </w:t>
      </w:r>
      <w:r w:rsidR="00AF393E">
        <w:t>process</w:t>
      </w:r>
      <w:r w:rsidRPr="49030FA5" w:rsidR="00AF393E">
        <w:t xml:space="preserve"> </w:t>
      </w:r>
      <w:r w:rsidR="00AF393E">
        <w:t>will be</w:t>
      </w:r>
      <w:r w:rsidRPr="49030FA5" w:rsidR="00AF393E">
        <w:t xml:space="preserve"> available only in instances where the service provider is defunct or otherwise incapable of filing the </w:t>
      </w:r>
      <w:r w:rsidR="00AF393E">
        <w:t>FCC Form 473</w:t>
      </w:r>
      <w:r w:rsidRPr="49030FA5" w:rsidR="00AF393E">
        <w:t xml:space="preserve">, which is a prerequisite for </w:t>
      </w:r>
      <w:r w:rsidR="00AF393E">
        <w:t>a request for reimbursement</w:t>
      </w:r>
      <w:r w:rsidRPr="49030FA5" w:rsidR="00AF393E">
        <w:t xml:space="preserve"> to be accepted by USAC.</w:t>
      </w:r>
      <w:r>
        <w:rPr>
          <w:rStyle w:val="FootnoteReference"/>
        </w:rPr>
        <w:footnoteReference w:id="9"/>
      </w:r>
      <w:r w:rsidRPr="49030FA5" w:rsidR="00AF393E">
        <w:t xml:space="preserve">  </w:t>
      </w:r>
      <w:r w:rsidR="00AF393E">
        <w:t>However, this process may not be used</w:t>
      </w:r>
      <w:r w:rsidRPr="49030FA5" w:rsidR="00AF393E">
        <w:t xml:space="preserve"> when the service provider is operational but refus</w:t>
      </w:r>
      <w:r w:rsidR="00AF393E">
        <w:t>es</w:t>
      </w:r>
      <w:r w:rsidRPr="49030FA5" w:rsidR="00AF393E">
        <w:t xml:space="preserve"> </w:t>
      </w:r>
      <w:r w:rsidR="00AF393E">
        <w:t xml:space="preserve">to certify the annual FCC Form 473 as required by </w:t>
      </w:r>
      <w:r w:rsidRPr="49030FA5" w:rsidR="00AF393E">
        <w:t>E-Rate program</w:t>
      </w:r>
      <w:r w:rsidR="00AF393E">
        <w:t xml:space="preserve"> rules</w:t>
      </w:r>
      <w:r w:rsidR="00AF393E">
        <w:rPr>
          <w:szCs w:val="22"/>
        </w:rPr>
        <w:t>.</w:t>
      </w:r>
      <w:r>
        <w:rPr>
          <w:rStyle w:val="FootnoteReference"/>
          <w:szCs w:val="22"/>
        </w:rPr>
        <w:footnoteReference w:id="10"/>
      </w:r>
    </w:p>
    <w:p w:rsidR="00AF393E" w:rsidP="00AF393E" w14:paraId="2C033605" w14:textId="637370A8">
      <w:pPr>
        <w:pStyle w:val="Heading1"/>
      </w:pPr>
      <w:r>
        <w:t>Background</w:t>
      </w:r>
    </w:p>
    <w:p w:rsidR="00AF393E" w:rsidP="00AF393E" w14:paraId="7DF5C681" w14:textId="508491F1">
      <w:pPr>
        <w:pStyle w:val="ParaNum"/>
      </w:pPr>
      <w:r>
        <w:t xml:space="preserve">E-Rate </w:t>
      </w:r>
      <w:r w:rsidRPr="00002A39" w:rsidR="00860450">
        <w:t xml:space="preserve">applicants </w:t>
      </w:r>
      <w:r w:rsidR="00860450">
        <w:t>may</w:t>
      </w:r>
      <w:r w:rsidRPr="00002A39" w:rsidR="00860450">
        <w:t xml:space="preserve"> seek reimbursement for </w:t>
      </w:r>
      <w:r w:rsidR="00860450">
        <w:t>E-Rate</w:t>
      </w:r>
      <w:r w:rsidRPr="00002A39" w:rsidR="00860450">
        <w:t xml:space="preserve"> supported </w:t>
      </w:r>
      <w:r w:rsidR="00860450">
        <w:t xml:space="preserve">equipment and </w:t>
      </w:r>
      <w:r w:rsidRPr="00002A39" w:rsidR="00860450">
        <w:t>services</w:t>
      </w:r>
      <w:r w:rsidR="00860450">
        <w:t xml:space="preserve"> in </w:t>
      </w:r>
      <w:r w:rsidRPr="00002A39" w:rsidR="00860450">
        <w:t>one of two ways.</w:t>
      </w:r>
      <w:r>
        <w:rPr>
          <w:rStyle w:val="FootnoteReference"/>
        </w:rPr>
        <w:footnoteReference w:id="11"/>
      </w:r>
      <w:r w:rsidRPr="001A7150" w:rsidR="00860450">
        <w:t xml:space="preserve">  </w:t>
      </w:r>
      <w:r w:rsidR="00860450">
        <w:t>An applicant may either pay upfront for the full cost of equipment and services and then seek reimbursement of the discounted share of costs from USAC, or the applicant may pay the non-discounted share of costs for the equipment and services and require the service provider to invoice USAC for reimbursement of the remaining discounted share of costs.</w:t>
      </w:r>
      <w:r>
        <w:rPr>
          <w:rStyle w:val="FootnoteReference"/>
        </w:rPr>
        <w:footnoteReference w:id="12"/>
      </w:r>
      <w:r w:rsidR="00860450">
        <w:t xml:space="preserve">  If an applicant pays upfront</w:t>
      </w:r>
      <w:r w:rsidRPr="00002A39" w:rsidR="00860450">
        <w:t xml:space="preserve">, </w:t>
      </w:r>
      <w:r w:rsidR="00860450">
        <w:t>it</w:t>
      </w:r>
      <w:r w:rsidRPr="00002A39" w:rsidR="00860450">
        <w:t xml:space="preserve"> must submit an FCC Form 472, known as the Billed Entity Applica</w:t>
      </w:r>
      <w:r w:rsidRPr="00372F60" w:rsidR="00860450">
        <w:t xml:space="preserve">tion for Reimbursement (BEAR) form, to </w:t>
      </w:r>
      <w:r w:rsidR="00860450">
        <w:t>request</w:t>
      </w:r>
      <w:r w:rsidRPr="00372F60" w:rsidR="00860450">
        <w:t xml:space="preserve"> reimbursement from</w:t>
      </w:r>
      <w:r w:rsidRPr="001A7150" w:rsidR="00860450">
        <w:t xml:space="preserve"> USAC.</w:t>
      </w:r>
      <w:r>
        <w:rPr>
          <w:rStyle w:val="FootnoteReference"/>
        </w:rPr>
        <w:footnoteReference w:id="13"/>
      </w:r>
      <w:r w:rsidRPr="001A7150" w:rsidR="00860450">
        <w:t xml:space="preserve">  </w:t>
      </w:r>
      <w:r w:rsidR="00860450">
        <w:t xml:space="preserve">If the applicant only pays the non-discounted share of costs to the service provider, the service provider must submit an FCC Form 474, known as the Service Provider Invoice (SPI) form to receive reimbursement from USAC.  For both BEAR and SPI invoicing, service providers must annually </w:t>
      </w:r>
      <w:r w:rsidRPr="00002A39" w:rsidR="00860450">
        <w:t>file a</w:t>
      </w:r>
      <w:r w:rsidR="00860450">
        <w:t>n</w:t>
      </w:r>
      <w:r w:rsidRPr="00002A39" w:rsidR="00860450">
        <w:t xml:space="preserve"> FCC Form 473, the </w:t>
      </w:r>
      <w:r w:rsidR="00860450">
        <w:t xml:space="preserve">SPAC </w:t>
      </w:r>
      <w:r w:rsidRPr="00372F60" w:rsidR="00860450">
        <w:t>form,</w:t>
      </w:r>
      <w:r w:rsidRPr="001A7150" w:rsidR="00860450">
        <w:t xml:space="preserve"> before USAC may </w:t>
      </w:r>
      <w:r w:rsidR="00860450">
        <w:t xml:space="preserve">process the </w:t>
      </w:r>
      <w:r w:rsidR="00860450">
        <w:t>request for reimbursement</w:t>
      </w:r>
      <w:r w:rsidRPr="001A7150" w:rsidR="00860450">
        <w:t>.</w:t>
      </w:r>
      <w:r>
        <w:rPr>
          <w:rStyle w:val="FootnoteReference"/>
        </w:rPr>
        <w:footnoteReference w:id="14"/>
      </w:r>
      <w:r w:rsidR="00860450">
        <w:t xml:space="preserve">  A service provider must certify on the FCC Form 473 that the service provider has complied with the E-Rate invoicing rules and regulations.</w:t>
      </w:r>
      <w:r>
        <w:rPr>
          <w:rStyle w:val="FootnoteReference"/>
        </w:rPr>
        <w:footnoteReference w:id="15"/>
      </w:r>
      <w:r w:rsidR="00860450">
        <w:t xml:space="preserve">  Specifically, the service provider is required to certify that the bills or invoices that it provides to applicants are accurate, and that the equipment and services it provides are eligible for E-Rate support</w:t>
      </w:r>
      <w:r w:rsidR="00CA1708">
        <w:t>.</w:t>
      </w:r>
      <w:r>
        <w:rPr>
          <w:rStyle w:val="FootnoteReference"/>
        </w:rPr>
        <w:footnoteReference w:id="16"/>
      </w:r>
    </w:p>
    <w:p w:rsidR="00CA1708" w:rsidP="00AF393E" w14:paraId="0882C6A4" w14:textId="30F1729B">
      <w:pPr>
        <w:pStyle w:val="ParaNum"/>
      </w:pPr>
      <w:r>
        <w:t>Prior to July 1, 2016, an applicant who used the BEAR process and paid its service provider in full for the eligible service or equipment, received the eligible funding from USAC through its service provider, who acted as a conduit for the funding.  The service provider was required to certify that the invoices submitted were accurate, represented the payments from the applicant to the service provider, and that the equipment or services were eligible for universal service support.</w:t>
      </w:r>
      <w:r>
        <w:rPr>
          <w:rStyle w:val="FootnoteReference"/>
        </w:rPr>
        <w:footnoteReference w:id="17"/>
      </w:r>
      <w:r>
        <w:t xml:space="preserve">  If the service provider failed to provide the FCC Form 473, the applicant could request that USAC use the Good Samaritan process to access the funding through another service provider. </w:t>
      </w:r>
      <w:r w:rsidRPr="49030FA5">
        <w:t xml:space="preserve"> USAC implemented th</w:t>
      </w:r>
      <w:r>
        <w:t>is process</w:t>
      </w:r>
      <w:r w:rsidRPr="49030FA5">
        <w:t xml:space="preserve"> to address specific situations in which the services </w:t>
      </w:r>
      <w:r>
        <w:t xml:space="preserve">or equipment </w:t>
      </w:r>
      <w:r w:rsidRPr="49030FA5">
        <w:t>had been rendered and paid for by the applicant at the undiscounted rate and the original service provider was out of business or in bankruptcy</w:t>
      </w:r>
      <w:r>
        <w:rPr>
          <w:szCs w:val="22"/>
        </w:rPr>
        <w:t>.</w:t>
      </w:r>
      <w:r>
        <w:rPr>
          <w:rStyle w:val="FootnoteReference"/>
          <w:szCs w:val="22"/>
        </w:rPr>
        <w:footnoteReference w:id="18"/>
      </w:r>
      <w:r>
        <w:rPr>
          <w:szCs w:val="22"/>
        </w:rPr>
        <w:t xml:space="preserve"> </w:t>
      </w:r>
      <w:r w:rsidRPr="00BA39F9">
        <w:rPr>
          <w:szCs w:val="22"/>
        </w:rPr>
        <w:t xml:space="preserve"> </w:t>
      </w:r>
      <w:r w:rsidRPr="49030FA5">
        <w:t>The role of the Good Samaritan service provider</w:t>
      </w:r>
      <w:r w:rsidRPr="00BA39F9">
        <w:rPr>
          <w:szCs w:val="22"/>
        </w:rPr>
        <w:t xml:space="preserve"> </w:t>
      </w:r>
      <w:r w:rsidRPr="49030FA5">
        <w:t xml:space="preserve">was simply to receive the BEAR payment from USAC and to pass </w:t>
      </w:r>
      <w:r>
        <w:t xml:space="preserve">through </w:t>
      </w:r>
      <w:r w:rsidRPr="49030FA5">
        <w:t>the reimbursement to the applicant.</w:t>
      </w:r>
      <w:r>
        <w:rPr>
          <w:rStyle w:val="FootnoteReference"/>
          <w:szCs w:val="22"/>
        </w:rPr>
        <w:footnoteReference w:id="19"/>
      </w:r>
      <w:r w:rsidRPr="49030FA5">
        <w:t xml:space="preserve">  The Good Samaritan </w:t>
      </w:r>
      <w:r>
        <w:t xml:space="preserve">service provider </w:t>
      </w:r>
      <w:r w:rsidRPr="49030FA5">
        <w:t xml:space="preserve">did not receive any </w:t>
      </w:r>
      <w:r>
        <w:t xml:space="preserve">other </w:t>
      </w:r>
      <w:r w:rsidRPr="49030FA5">
        <w:t>payment for its services.</w:t>
      </w:r>
      <w:r>
        <w:rPr>
          <w:rStyle w:val="FootnoteReference"/>
        </w:rPr>
        <w:footnoteReference w:id="20"/>
      </w:r>
    </w:p>
    <w:p w:rsidR="00A3305D" w:rsidP="00AF393E" w14:paraId="45CE9AD9" w14:textId="47FDF31D">
      <w:pPr>
        <w:pStyle w:val="ParaNum"/>
      </w:pPr>
      <w:r>
        <w:t>Beginning July 1, 2016, after a rule change by the Commission, an applicant can receive direct payment from USAC after it has paid its service provider in full and filed a BEAR form.</w:t>
      </w:r>
      <w:r>
        <w:rPr>
          <w:rStyle w:val="FootnoteReference"/>
        </w:rPr>
        <w:footnoteReference w:id="21"/>
      </w:r>
      <w:r>
        <w:t xml:space="preserve">  The current process also requires the service provider to annually certify using the FCC Form 473 that it has complied with E-Rate invoicing rules and regulations.</w:t>
      </w:r>
      <w:r>
        <w:rPr>
          <w:rStyle w:val="FootnoteReference"/>
        </w:rPr>
        <w:footnoteReference w:id="22"/>
      </w:r>
      <w:r>
        <w:t xml:space="preserve">  Because applicants may receive direct payments from USAC, the Commission removed the need for a Good Samaritan process.</w:t>
      </w:r>
      <w:r>
        <w:rPr>
          <w:rStyle w:val="FootnoteReference"/>
        </w:rPr>
        <w:footnoteReference w:id="23"/>
      </w:r>
    </w:p>
    <w:p w:rsidR="00A72E59" w:rsidP="00A72E59" w14:paraId="2F4BE1D9" w14:textId="3FD773AB">
      <w:pPr>
        <w:pStyle w:val="Heading1"/>
      </w:pPr>
      <w:r>
        <w:t>Discussion</w:t>
      </w:r>
    </w:p>
    <w:p w:rsidR="00A72E59" w:rsidP="00A72E59" w14:paraId="27D95594" w14:textId="58B07C57">
      <w:pPr>
        <w:pStyle w:val="ParaNum"/>
      </w:pPr>
      <w:r>
        <w:t>Based on the records of the appeals before us, we grant twelve appeals and deny seven appeals.  As discussed below, we grant appeals when the service provider did not submit the FCC Form 473 because it was out of business or in bankruptcy proceedings, or was otherwise unable to</w:t>
      </w:r>
      <w:r>
        <w:t xml:space="preserve"> </w:t>
      </w:r>
      <w:r>
        <w:t xml:space="preserve">submit the certification, and direct USAC to implement a process to reimburse applicants in this situation.  We deny </w:t>
      </w:r>
      <w:r>
        <w:t>the requests when the service provider was operational but was unwilling, refused, or failed to submit the required FCC Form 473.</w:t>
      </w:r>
    </w:p>
    <w:p w:rsidR="0069650F" w:rsidP="00A72E59" w14:paraId="40E9B0D5" w14:textId="7151E8FE">
      <w:pPr>
        <w:pStyle w:val="ParaNum"/>
      </w:pPr>
      <w:r>
        <w:t>T</w:t>
      </w:r>
      <w:r w:rsidRPr="00BC0011">
        <w:t xml:space="preserve">he </w:t>
      </w:r>
      <w:r>
        <w:t xml:space="preserve">Commission changed how BEAR reimbursements are processed in the </w:t>
      </w:r>
      <w:r w:rsidRPr="00E71CBC">
        <w:rPr>
          <w:i/>
          <w:iCs/>
        </w:rPr>
        <w:t>2014 First E-Rate Order</w:t>
      </w:r>
      <w:r>
        <w:t>.</w:t>
      </w:r>
      <w:r>
        <w:rPr>
          <w:rStyle w:val="Hyperlink"/>
          <w:color w:val="000000"/>
          <w:u w:val="none"/>
          <w:vertAlign w:val="superscript"/>
        </w:rPr>
        <w:footnoteReference w:id="24"/>
      </w:r>
      <w:r w:rsidRPr="00E172F2">
        <w:rPr>
          <w:color w:val="000000"/>
          <w:vertAlign w:val="superscript"/>
        </w:rPr>
        <w:t xml:space="preserve"> </w:t>
      </w:r>
      <w:r>
        <w:t xml:space="preserve"> BEAR reimbursements are made directly to the applicant bypassing the service provider altogether.</w:t>
      </w:r>
      <w:r>
        <w:rPr>
          <w:rStyle w:val="Hyperlink"/>
          <w:color w:val="000000"/>
          <w:u w:val="none"/>
          <w:vertAlign w:val="superscript"/>
        </w:rPr>
        <w:footnoteReference w:id="25"/>
      </w:r>
      <w:r w:rsidRPr="00E172F2">
        <w:rPr>
          <w:color w:val="000000"/>
        </w:rPr>
        <w:t xml:space="preserve"> </w:t>
      </w:r>
      <w:r>
        <w:t xml:space="preserve"> Because of this change, there is no longer a Good Samaritan process through which USAC could process payments when the original service provider is unable to certify the FCC Form 473.</w:t>
      </w:r>
      <w:r>
        <w:rPr>
          <w:rStyle w:val="Hyperlink"/>
          <w:color w:val="000000"/>
          <w:u w:val="none"/>
          <w:vertAlign w:val="superscript"/>
        </w:rPr>
        <w:footnoteReference w:id="26"/>
      </w:r>
      <w:r w:rsidRPr="00E172F2">
        <w:rPr>
          <w:color w:val="000000"/>
        </w:rPr>
        <w:t xml:space="preserve"> </w:t>
      </w:r>
      <w:r>
        <w:t xml:space="preserve"> This change affects any funding year with open invoices.  We recognize the need for a process under the rules established by</w:t>
      </w:r>
      <w:r w:rsidRPr="00B24302">
        <w:t xml:space="preserve"> the </w:t>
      </w:r>
      <w:r w:rsidRPr="00E71CBC">
        <w:rPr>
          <w:i/>
          <w:iCs/>
        </w:rPr>
        <w:t>2014 First E-Rate Order</w:t>
      </w:r>
      <w:r>
        <w:t xml:space="preserve"> </w:t>
      </w:r>
      <w:r>
        <w:t>to allow applicants to receive funding when their respective service providers are unable to submit the required FCC Form 473.  We therefore direct USAC to implement a process,</w:t>
      </w:r>
      <w:r w:rsidRPr="00A02DA1">
        <w:t xml:space="preserve"> </w:t>
      </w:r>
      <w:r>
        <w:t>with appropriate safeguards to protect the integrity of the program, to disburse funding directly to an applicant when its service provider is unable to certify the FCC Form 473 because it went out of business or is in bankruptcy proceedings.</w:t>
      </w:r>
      <w:r>
        <w:rPr>
          <w:rStyle w:val="Hyperlink"/>
          <w:color w:val="000000"/>
          <w:u w:val="none"/>
          <w:vertAlign w:val="superscript"/>
        </w:rPr>
        <w:footnoteReference w:id="27"/>
      </w:r>
      <w:r>
        <w:t xml:space="preserve">  We first direct USAC to generate a SPIN that can be used to create a FCC Form 473 for the specific funding year at issue.  This USAC-created FCC Form 473 will then be used to process BEAR reimbursement requests for applicants who are unable to receive reimbursement because their service provider was unable to file the required FCC Form 473.  </w:t>
      </w:r>
      <w:r w:rsidRPr="00E71CBC">
        <w:t>We also direct USAC to conduct service checks to confirm the approved, eligible equipment and services were delivered to the applicant</w:t>
      </w:r>
      <w:r>
        <w:rPr>
          <w:sz w:val="20"/>
          <w:vertAlign w:val="superscript"/>
        </w:rPr>
        <w:footnoteReference w:id="28"/>
      </w:r>
      <w:r w:rsidRPr="00E71CBC">
        <w:t xml:space="preserve"> and to conduct payment verifications to confirm that the applicant paid their service provider for the full cost of the eligible services and equipment prior to using the USAC-generated FCC Form 473 to process the requested BEAR payment.</w:t>
      </w:r>
      <w:r>
        <w:rPr>
          <w:sz w:val="20"/>
          <w:vertAlign w:val="superscript"/>
        </w:rPr>
        <w:footnoteReference w:id="29"/>
      </w:r>
      <w:r w:rsidRPr="00E71CBC">
        <w:t xml:space="preserve">  We believe that these safeguards will better ensure that the applicant has complied with the E-Rate rules prior to USAC using this new procedure to process the BEAR reimbursement request</w:t>
      </w:r>
      <w:r>
        <w:t>.</w:t>
      </w:r>
    </w:p>
    <w:p w:rsidR="00E172F2" w:rsidP="00A72E59" w14:paraId="1B274C1F" w14:textId="21FDB980">
      <w:pPr>
        <w:pStyle w:val="ParaNum"/>
      </w:pPr>
      <w:r w:rsidRPr="00157D26">
        <w:rPr>
          <w:i/>
          <w:iCs/>
        </w:rPr>
        <w:t xml:space="preserve">Service Provider Unable to Submit </w:t>
      </w:r>
      <w:r>
        <w:rPr>
          <w:i/>
          <w:iCs/>
        </w:rPr>
        <w:t>FCC Form 473</w:t>
      </w:r>
      <w:r>
        <w:rPr>
          <w:szCs w:val="22"/>
        </w:rPr>
        <w:t xml:space="preserve">.  </w:t>
      </w:r>
      <w:r w:rsidRPr="49030FA5">
        <w:t>We grant and remand the requests of Aurora Public Library</w:t>
      </w:r>
      <w:r>
        <w:t xml:space="preserve"> (three separate appeals)</w:t>
      </w:r>
      <w:r w:rsidRPr="49030FA5">
        <w:t xml:space="preserve">, </w:t>
      </w:r>
      <w:r>
        <w:t xml:space="preserve">Central Valley School District, </w:t>
      </w:r>
      <w:r w:rsidRPr="49030FA5">
        <w:t xml:space="preserve">Hayward Unified School District, </w:t>
      </w:r>
      <w:r>
        <w:t xml:space="preserve">LISA Academy, </w:t>
      </w:r>
      <w:r w:rsidRPr="49030FA5">
        <w:t xml:space="preserve">and School Board of Marion County (Marion County) and </w:t>
      </w:r>
      <w:r>
        <w:t xml:space="preserve">instruct USAC to confirm </w:t>
      </w:r>
      <w:r w:rsidRPr="00DB4D8A">
        <w:t>that the</w:t>
      </w:r>
      <w:r>
        <w:t xml:space="preserve"> service providers are no longer operational and that applicants’</w:t>
      </w:r>
      <w:r w:rsidRPr="00DB4D8A">
        <w:t xml:space="preserve"> invoices submitted for reimbursement </w:t>
      </w:r>
      <w:r>
        <w:t xml:space="preserve">are </w:t>
      </w:r>
      <w:r w:rsidRPr="00DB4D8A">
        <w:t xml:space="preserve">accurate and represent payments for </w:t>
      </w:r>
      <w:r>
        <w:t xml:space="preserve">eligible </w:t>
      </w:r>
      <w:r w:rsidRPr="00DB4D8A">
        <w:t xml:space="preserve">equipment and services provided pursuant to </w:t>
      </w:r>
      <w:r>
        <w:t>E-Rate</w:t>
      </w:r>
      <w:r w:rsidRPr="00DB4D8A">
        <w:t xml:space="preserve"> program rules</w:t>
      </w:r>
      <w:r>
        <w:t>.</w:t>
      </w:r>
      <w:r>
        <w:rPr>
          <w:rStyle w:val="FootnoteReference"/>
        </w:rPr>
        <w:footnoteReference w:id="30"/>
      </w:r>
      <w:r>
        <w:t xml:space="preserve">  Based on this review, we also </w:t>
      </w:r>
      <w:r w:rsidRPr="49030FA5">
        <w:t xml:space="preserve">direct USAC to process, as appropriate, these entities’ invoices despite the lack of </w:t>
      </w:r>
      <w:r w:rsidRPr="49030FA5">
        <w:t xml:space="preserve">a </w:t>
      </w:r>
      <w:r w:rsidRPr="49030FA5">
        <w:t>certified FCC Form 473 on file</w:t>
      </w:r>
      <w:r>
        <w:t xml:space="preserve"> for the applicants’ service providers</w:t>
      </w:r>
      <w:r w:rsidRPr="49030FA5">
        <w:t xml:space="preserve">. </w:t>
      </w:r>
      <w:r>
        <w:rPr>
          <w:szCs w:val="22"/>
        </w:rPr>
        <w:t xml:space="preserve"> </w:t>
      </w:r>
      <w:r w:rsidRPr="49030FA5">
        <w:t xml:space="preserve">In each of these appeals, </w:t>
      </w:r>
      <w:r>
        <w:t>the P</w:t>
      </w:r>
      <w:r w:rsidRPr="49030FA5">
        <w:t>etitioners assert that they paid the</w:t>
      </w:r>
      <w:r>
        <w:t>ir</w:t>
      </w:r>
      <w:r w:rsidRPr="49030FA5">
        <w:t xml:space="preserve"> service provider in full and </w:t>
      </w:r>
      <w:r>
        <w:t>that</w:t>
      </w:r>
      <w:r w:rsidRPr="49030FA5">
        <w:t xml:space="preserve"> the service provider </w:t>
      </w:r>
      <w:r>
        <w:t xml:space="preserve">then </w:t>
      </w:r>
      <w:r w:rsidRPr="49030FA5">
        <w:t xml:space="preserve">went out of business or was no longer operational before </w:t>
      </w:r>
      <w:r>
        <w:t>submitting</w:t>
      </w:r>
      <w:r w:rsidRPr="49030FA5">
        <w:t xml:space="preserve"> the required </w:t>
      </w:r>
      <w:r>
        <w:t>FCC Form 473</w:t>
      </w:r>
      <w:r w:rsidRPr="49030FA5">
        <w:t xml:space="preserve"> to USAC, and USAC denied the </w:t>
      </w:r>
      <w:r>
        <w:t xml:space="preserve">Petitioners’ BEAR requests for reimbursement because of </w:t>
      </w:r>
      <w:r w:rsidRPr="49030FA5">
        <w:t xml:space="preserve">the lack of </w:t>
      </w:r>
      <w:r>
        <w:t>the required form</w:t>
      </w:r>
      <w:r w:rsidRPr="49030FA5">
        <w:t>.</w:t>
      </w:r>
      <w:r>
        <w:rPr>
          <w:rStyle w:val="FootnoteReference"/>
        </w:rPr>
        <w:footnoteReference w:id="31"/>
      </w:r>
    </w:p>
    <w:p w:rsidR="00A526E6" w:rsidP="00A72E59" w14:paraId="32AB2F88" w14:textId="6C4B313F">
      <w:pPr>
        <w:pStyle w:val="ParaNum"/>
      </w:pPr>
      <w:r w:rsidRPr="004C7F0D">
        <w:t xml:space="preserve">Further, we grant and remand an appeal filed by </w:t>
      </w:r>
      <w:bookmarkStart w:id="3" w:name="_Hlk160525508"/>
      <w:r w:rsidRPr="004C7F0D">
        <w:t>Nadaburg</w:t>
      </w:r>
      <w:r w:rsidRPr="004C7F0D">
        <w:t xml:space="preserve"> Unified School District </w:t>
      </w:r>
      <w:bookmarkEnd w:id="3"/>
      <w:r w:rsidRPr="004C7F0D">
        <w:t>(NUSD).</w:t>
      </w:r>
      <w:r>
        <w:rPr>
          <w:rStyle w:val="FootnoteReference"/>
        </w:rPr>
        <w:footnoteReference w:id="32"/>
      </w:r>
      <w:r w:rsidRPr="004C7F0D">
        <w:t xml:space="preserve"> NUSD alleges that the service provider refused to certify the </w:t>
      </w:r>
      <w:r>
        <w:t>FCC Form 473</w:t>
      </w:r>
      <w:r w:rsidRPr="004C7F0D">
        <w:t xml:space="preserve"> “because they were upset that they didn</w:t>
      </w:r>
      <w:r>
        <w:t>’</w:t>
      </w:r>
      <w:r w:rsidRPr="004C7F0D">
        <w:t>t win the contract” for the subsequent funding year and that USAC has “no leverage to make [the service provider] comply” because NUSD was the service provider’s only E-Rate customer.</w:t>
      </w:r>
      <w:r>
        <w:rPr>
          <w:rStyle w:val="FootnoteReference"/>
        </w:rPr>
        <w:footnoteReference w:id="33"/>
      </w:r>
      <w:r w:rsidRPr="004C7F0D">
        <w:t xml:space="preserve">  NUSD </w:t>
      </w:r>
      <w:r>
        <w:t>explains</w:t>
      </w:r>
      <w:r w:rsidRPr="004C7F0D">
        <w:t xml:space="preserve"> that it filed a </w:t>
      </w:r>
      <w:r>
        <w:t>complaint</w:t>
      </w:r>
      <w:r w:rsidRPr="004C7F0D">
        <w:t xml:space="preserve"> with USAC.  Although the service provider appears to still be operating, we grant this appeal to allow USAC to investigate the </w:t>
      </w:r>
      <w:r>
        <w:t>complaint</w:t>
      </w:r>
      <w:r w:rsidRPr="004C7F0D">
        <w:t xml:space="preserve">.  Allegations of retaliatory conduct by a service provider </w:t>
      </w:r>
      <w:r>
        <w:t>that</w:t>
      </w:r>
      <w:r w:rsidRPr="004C7F0D">
        <w:t xml:space="preserve"> lost the competitive bidding process for future services should be thoroughly investigated.</w:t>
      </w:r>
      <w:r>
        <w:rPr>
          <w:rStyle w:val="FootnoteReference"/>
        </w:rPr>
        <w:footnoteReference w:id="34"/>
      </w:r>
      <w:r w:rsidRPr="004C7F0D">
        <w:t xml:space="preserve">  An applicant should not be denied funding due to the failure of a disgruntled service provider </w:t>
      </w:r>
      <w:r>
        <w:t xml:space="preserve">who refuses to </w:t>
      </w:r>
      <w:r w:rsidRPr="004C7F0D">
        <w:t xml:space="preserve">complete the </w:t>
      </w:r>
      <w:r>
        <w:t>required FCC Form 473</w:t>
      </w:r>
      <w:r w:rsidRPr="004C7F0D">
        <w:t>.</w:t>
      </w:r>
    </w:p>
    <w:p w:rsidR="005A34C2" w:rsidP="00A72E59" w14:paraId="6C58B16B" w14:textId="219B4A29">
      <w:pPr>
        <w:pStyle w:val="ParaNum"/>
      </w:pPr>
      <w:r>
        <w:t>To the extent necessary for these Petitioners, we waive the requirement that an FCC Form 473 be on file with USAC before these BEAR forms can be processed.</w:t>
      </w:r>
      <w:r>
        <w:rPr>
          <w:rStyle w:val="FootnoteReference"/>
        </w:rPr>
        <w:footnoteReference w:id="35"/>
      </w:r>
      <w:r w:rsidRPr="000403EE">
        <w:t xml:space="preserve"> </w:t>
      </w:r>
      <w:r>
        <w:t xml:space="preserve"> We find that a waiver is warranted because, in each instance, the applicants complied with E-Rate rules and regulations but were denied funding because of circumstances beyond their control – namely, a service provider that went out of business or was otherwise incapable of filing an FCC Form 473 certification.  For the appeals in Appendix A, we also waive the invoice filing deadline in section 54.514(a) of the Commission’s rules and direct USAC to waive any other procedural deadlines.</w:t>
      </w:r>
      <w:r>
        <w:rPr>
          <w:rStyle w:val="FootnoteReference"/>
        </w:rPr>
        <w:footnoteReference w:id="36"/>
      </w:r>
      <w:r>
        <w:t xml:space="preserve">  Absent a waiver of section 54.514(a) of the Commission’s rules, future applicants that use this new process must comply with the invoice filing deadline.</w:t>
      </w:r>
    </w:p>
    <w:p w:rsidR="005A34C2" w:rsidP="00A72E59" w14:paraId="47AE58D9" w14:textId="0E6C9890">
      <w:pPr>
        <w:pStyle w:val="ParaNum"/>
      </w:pPr>
      <w:r>
        <w:t xml:space="preserve">Further, we grant and remand four additional appeals where the service provider was </w:t>
      </w:r>
      <w:r>
        <w:t>unable to timely file the FCC Form 473 due to technical issues</w:t>
      </w:r>
      <w:r>
        <w:rPr>
          <w:rStyle w:val="FootnoteReference"/>
        </w:rPr>
        <w:footnoteReference w:id="37"/>
      </w:r>
      <w:r>
        <w:t xml:space="preserve"> or severe weather.</w:t>
      </w:r>
      <w:r>
        <w:rPr>
          <w:rStyle w:val="FootnoteReference"/>
        </w:rPr>
        <w:footnoteReference w:id="38"/>
      </w:r>
      <w:r>
        <w:t xml:space="preserve">  In these appeals, the service provider attempted to timely file the form but encountered technical issues with the USAC IT system or was prohibited from filing due to a declared state of weather emergency.  Based on this review, we grant an additional 120 days from the release date of this Order for the service provider to file the required FCC Form 473 with USAC, if the form is still outstanding.  Additionally, for the appeals in Appendix B, we waive invoice filing deadline pursuant to section 54.514(a) of the Commission’s rules, and direct USAC to waive any other procedural deadline(s).  We further direct USAC to process these BEAR forms as appropriate.</w:t>
      </w:r>
    </w:p>
    <w:p w:rsidR="0019070B" w:rsidP="00A72E59" w14:paraId="088CDC71" w14:textId="1EF19892">
      <w:pPr>
        <w:pStyle w:val="ParaNum"/>
      </w:pPr>
      <w:r w:rsidRPr="003D0DC5">
        <w:rPr>
          <w:i/>
          <w:iCs/>
        </w:rPr>
        <w:t xml:space="preserve">Service Provider Fails or Refuses to Submit </w:t>
      </w:r>
      <w:r>
        <w:rPr>
          <w:i/>
          <w:iCs/>
        </w:rPr>
        <w:t>the FCC Form 473.</w:t>
      </w:r>
      <w:r w:rsidRPr="007D79E6">
        <w:rPr>
          <w:szCs w:val="22"/>
        </w:rPr>
        <w:t xml:space="preserve"> </w:t>
      </w:r>
      <w:r w:rsidRPr="0014034E">
        <w:rPr>
          <w:szCs w:val="22"/>
        </w:rPr>
        <w:t xml:space="preserve"> </w:t>
      </w:r>
      <w:r w:rsidRPr="49030FA5">
        <w:t xml:space="preserve">We </w:t>
      </w:r>
      <w:r>
        <w:t xml:space="preserve">next </w:t>
      </w:r>
      <w:r w:rsidRPr="49030FA5">
        <w:t>deny</w:t>
      </w:r>
      <w:r w:rsidRPr="49030FA5">
        <w:t xml:space="preserve"> </w:t>
      </w:r>
      <w:r>
        <w:t xml:space="preserve">seven </w:t>
      </w:r>
      <w:r w:rsidRPr="49030FA5">
        <w:t xml:space="preserve">appeals where the service provider did not certify compliance with E-Rate rules and regulations but was </w:t>
      </w:r>
      <w:r>
        <w:t>operational</w:t>
      </w:r>
      <w:r w:rsidRPr="49030FA5">
        <w:t xml:space="preserve"> and not subject to bankruptcy proceedings</w:t>
      </w:r>
      <w:r w:rsidRPr="00D06741">
        <w:rPr>
          <w:szCs w:val="22"/>
        </w:rPr>
        <w:t>.</w:t>
      </w:r>
      <w:r w:rsidRPr="49030FA5">
        <w:t xml:space="preserve">  The purpose of the </w:t>
      </w:r>
      <w:r>
        <w:t xml:space="preserve">FCC Form 473 </w:t>
      </w:r>
      <w:r w:rsidRPr="49030FA5">
        <w:t xml:space="preserve">is to </w:t>
      </w:r>
      <w:r>
        <w:t xml:space="preserve">have the service provider </w:t>
      </w:r>
      <w:r w:rsidRPr="49030FA5">
        <w:t xml:space="preserve">attest to </w:t>
      </w:r>
      <w:r>
        <w:t xml:space="preserve">its </w:t>
      </w:r>
      <w:r w:rsidRPr="49030FA5">
        <w:t>compliance with the E-Rate invoicing rules and regulations to protect the</w:t>
      </w:r>
      <w:r>
        <w:t xml:space="preserve"> integrity of the E-Rate p</w:t>
      </w:r>
      <w:r w:rsidRPr="49030FA5">
        <w:t>rogram</w:t>
      </w:r>
      <w:r w:rsidRPr="00D06741">
        <w:rPr>
          <w:szCs w:val="22"/>
        </w:rPr>
        <w:t>.</w:t>
      </w:r>
      <w:r>
        <w:rPr>
          <w:rStyle w:val="FootnoteReference"/>
        </w:rPr>
        <w:footnoteReference w:id="39"/>
      </w:r>
      <w:r w:rsidRPr="49030FA5">
        <w:t xml:space="preserve">  The </w:t>
      </w:r>
      <w:r>
        <w:t>P</w:t>
      </w:r>
      <w:r w:rsidRPr="49030FA5">
        <w:t>etitioners</w:t>
      </w:r>
      <w:r w:rsidRPr="0014034E">
        <w:rPr>
          <w:szCs w:val="22"/>
        </w:rPr>
        <w:t xml:space="preserve"> </w:t>
      </w:r>
      <w:r w:rsidRPr="49030FA5">
        <w:t>all asserted similar cursory reasons</w:t>
      </w:r>
      <w:r w:rsidRPr="00D06741">
        <w:rPr>
          <w:szCs w:val="22"/>
        </w:rPr>
        <w:t xml:space="preserve"> </w:t>
      </w:r>
      <w:r w:rsidRPr="49030FA5">
        <w:t>for why the service provider did not comply with their respective requests – that is, the service provider did not participate in the E-Rate program at the time of the filing of the application or no longer participated at the time of invoicing</w:t>
      </w:r>
      <w:r w:rsidRPr="00D06741">
        <w:rPr>
          <w:szCs w:val="22"/>
        </w:rPr>
        <w:t>,</w:t>
      </w:r>
      <w:r>
        <w:rPr>
          <w:rStyle w:val="FootnoteReference"/>
        </w:rPr>
        <w:footnoteReference w:id="40"/>
      </w:r>
      <w:r w:rsidRPr="49030FA5">
        <w:t xml:space="preserve"> the service provider was “unable or unwilling” to certify,</w:t>
      </w:r>
      <w:r>
        <w:rPr>
          <w:rStyle w:val="FootnoteReference"/>
        </w:rPr>
        <w:footnoteReference w:id="41"/>
      </w:r>
      <w:r w:rsidRPr="49030FA5">
        <w:t xml:space="preserve"> or the service provider simply did not respond to requests from the applicant to certify</w:t>
      </w:r>
      <w:r w:rsidRPr="00D06741">
        <w:rPr>
          <w:szCs w:val="22"/>
        </w:rPr>
        <w:t>.</w:t>
      </w:r>
      <w:r>
        <w:rPr>
          <w:rStyle w:val="FootnoteReference"/>
        </w:rPr>
        <w:footnoteReference w:id="42"/>
      </w:r>
      <w:r w:rsidRPr="0014034E">
        <w:rPr>
          <w:szCs w:val="22"/>
        </w:rPr>
        <w:t xml:space="preserve"> </w:t>
      </w:r>
      <w:r w:rsidRPr="49030FA5">
        <w:t xml:space="preserve"> In these circumstances, it is unclear whether the service provider did not certify </w:t>
      </w:r>
      <w:r>
        <w:t xml:space="preserve">the FCC Form 473 </w:t>
      </w:r>
      <w:r w:rsidRPr="49030FA5">
        <w:t>because it</w:t>
      </w:r>
      <w:r w:rsidRPr="00D06741">
        <w:rPr>
          <w:szCs w:val="22"/>
        </w:rPr>
        <w:t xml:space="preserve"> </w:t>
      </w:r>
      <w:r w:rsidRPr="49030FA5">
        <w:t>was unable to make the required attestations in good faith because it had failed to comply with our rules</w:t>
      </w:r>
      <w:r>
        <w:t xml:space="preserve"> </w:t>
      </w:r>
      <w:r w:rsidRPr="49030FA5">
        <w:t>or for some other reason</w:t>
      </w:r>
      <w:r w:rsidRPr="00D06741">
        <w:rPr>
          <w:szCs w:val="22"/>
        </w:rPr>
        <w:t xml:space="preserve">.  </w:t>
      </w:r>
      <w:r w:rsidRPr="49030FA5">
        <w:t xml:space="preserve">The service provider </w:t>
      </w:r>
      <w:r>
        <w:t xml:space="preserve">annual </w:t>
      </w:r>
      <w:r w:rsidRPr="49030FA5">
        <w:t xml:space="preserve">certifications are </w:t>
      </w:r>
      <w:r w:rsidRPr="49030FA5">
        <w:t>an integral part of the E-Rate program’s integrity</w:t>
      </w:r>
      <w:r>
        <w:rPr>
          <w:szCs w:val="22"/>
        </w:rPr>
        <w:t>,</w:t>
      </w:r>
      <w:r>
        <w:rPr>
          <w:rStyle w:val="FootnoteReference"/>
        </w:rPr>
        <w:footnoteReference w:id="43"/>
      </w:r>
      <w:r w:rsidRPr="0014034E">
        <w:rPr>
          <w:szCs w:val="22"/>
        </w:rPr>
        <w:t xml:space="preserve"> </w:t>
      </w:r>
      <w:r>
        <w:rPr>
          <w:szCs w:val="22"/>
        </w:rPr>
        <w:t xml:space="preserve">and </w:t>
      </w:r>
      <w:r>
        <w:t xml:space="preserve">responsible </w:t>
      </w:r>
      <w:r w:rsidRPr="49030FA5">
        <w:t xml:space="preserve">governance of the program requires that we deny these requests. </w:t>
      </w:r>
      <w:r>
        <w:t xml:space="preserve"> We further direct USAC to refer these service providers to the Commission’s Enforcement Bureau for violating section 54.504(f) of the Commission’s rules, and to refer service providers on a going forward-basis who refuse or fail to submit the annual FCC Form 473 and prevent applicants from receiving reimbursement through the BEAR invoicing process through the service providers’ refusal to file the required annual FCC Form 473.</w:t>
      </w:r>
    </w:p>
    <w:p w:rsidR="0019070B" w:rsidP="0019070B" w14:paraId="124A7763" w14:textId="4603F2EF">
      <w:pPr>
        <w:pStyle w:val="Heading1"/>
      </w:pPr>
      <w:r>
        <w:t>Ordering Clauses</w:t>
      </w:r>
    </w:p>
    <w:p w:rsidR="0019070B" w:rsidP="0019070B" w14:paraId="256B9416" w14:textId="63754212">
      <w:pPr>
        <w:pStyle w:val="ParaNum"/>
        <w:rPr>
          <w:rStyle w:val="StyleNumberedparagraphs11ptChar"/>
        </w:rPr>
      </w:pPr>
      <w:r w:rsidRPr="27D56263">
        <w:rPr>
          <w:rStyle w:val="StyleNumberedparagraphs11ptChar"/>
        </w:rPr>
        <w:t xml:space="preserve">IT IS ORDERED, pursuant to the authority contained in sections 1-4 and 254 of the Communications Act of 1934, as amended, 47 U.S.C. §§ 151-154 and 254, and sections 0.91, 0.291, and 1.3 of the Commission’s rules, 47 CFR §§ 0.91, 0.291, and 1.3, that sections 54.504(a), </w:t>
      </w:r>
      <w:r>
        <w:t xml:space="preserve">54.504(f), 54.507(c)-(d), 54.514(a) and 54.720(a) </w:t>
      </w:r>
      <w:r w:rsidRPr="27D56263">
        <w:rPr>
          <w:rStyle w:val="StyleNumberedparagraphs11ptChar"/>
        </w:rPr>
        <w:t xml:space="preserve">of the Commission’s rules, 47 CFR §§ 54.504(a), </w:t>
      </w:r>
      <w:r>
        <w:t xml:space="preserve">54.504(f), 54.507(c)-(d), 54.514(a) and 54.720(a) </w:t>
      </w:r>
      <w:r w:rsidRPr="27D56263">
        <w:rPr>
          <w:rStyle w:val="StyleNumberedparagraphs11ptChar"/>
        </w:rPr>
        <w:t>ARE WAIVED for the Petitioners listed in Appendices A and B and the applications at issue are REMANDED to USAC as provided herein</w:t>
      </w:r>
      <w:r>
        <w:rPr>
          <w:rStyle w:val="StyleNumberedparagraphs11ptChar"/>
        </w:rPr>
        <w:t>.</w:t>
      </w:r>
    </w:p>
    <w:p w:rsidR="00947751" w:rsidP="0019070B" w14:paraId="296A59D6" w14:textId="640F6A02">
      <w:pPr>
        <w:pStyle w:val="ParaNum"/>
        <w:rPr>
          <w:rStyle w:val="StyleNumberedparagraphs11ptChar"/>
        </w:rPr>
      </w:pPr>
      <w:r w:rsidRPr="49030FA5">
        <w:rPr>
          <w:rStyle w:val="StyleNumberedparagraphs11ptChar"/>
        </w:rPr>
        <w:t xml:space="preserve">IT IS FURTHER ORDERED the Requests for Review and/or Waiver are DENIED for </w:t>
      </w:r>
      <w:r>
        <w:rPr>
          <w:rStyle w:val="StyleNumberedparagraphs11ptChar"/>
        </w:rPr>
        <w:t>P</w:t>
      </w:r>
      <w:r w:rsidRPr="49030FA5">
        <w:rPr>
          <w:rStyle w:val="StyleNumberedparagraphs11ptChar"/>
        </w:rPr>
        <w:t xml:space="preserve">etitioners </w:t>
      </w:r>
      <w:r>
        <w:rPr>
          <w:rStyle w:val="StyleNumberedparagraphs11ptChar"/>
        </w:rPr>
        <w:t xml:space="preserve">listed in </w:t>
      </w:r>
      <w:r w:rsidRPr="49030FA5">
        <w:rPr>
          <w:rStyle w:val="StyleNumberedparagraphs11ptChar"/>
        </w:rPr>
        <w:t xml:space="preserve">Appendix </w:t>
      </w:r>
      <w:r w:rsidRPr="4124C07D">
        <w:rPr>
          <w:rStyle w:val="StyleNumberedparagraphs11ptChar"/>
        </w:rPr>
        <w:t>C</w:t>
      </w:r>
      <w:r w:rsidRPr="49030FA5">
        <w:rPr>
          <w:rStyle w:val="StyleNumberedparagraphs11ptChar"/>
        </w:rPr>
        <w:t>.</w:t>
      </w:r>
    </w:p>
    <w:p w:rsidR="006375D5" w:rsidP="0019070B" w14:paraId="76CD16FC" w14:textId="02903872">
      <w:pPr>
        <w:pStyle w:val="ParaNum"/>
        <w:rPr>
          <w:rStyle w:val="StyleNumberedparagraphs11ptChar"/>
        </w:rPr>
      </w:pPr>
      <w:r w:rsidRPr="49030FA5">
        <w:rPr>
          <w:rStyle w:val="StyleNumberedparagraphs11ptChar"/>
        </w:rPr>
        <w:t>IT IS FURTHER ORDERED, pursuant to section 1.102(b)(1) of the Commission’s rules, 47 CFR § 1.102(b)(1), that this Order SHALL BE EFFECTIVE upon release</w:t>
      </w:r>
      <w:r>
        <w:rPr>
          <w:rStyle w:val="StyleNumberedparagraphs11ptChar"/>
        </w:rPr>
        <w:t>.</w:t>
      </w:r>
    </w:p>
    <w:p w:rsidR="00EC1537" w:rsidRPr="007D4DE2" w:rsidP="00EC1537" w14:paraId="29ABD0D0" w14:textId="77777777">
      <w:pPr>
        <w:pStyle w:val="ParaNum"/>
        <w:numPr>
          <w:ilvl w:val="0"/>
          <w:numId w:val="0"/>
        </w:numPr>
      </w:pPr>
    </w:p>
    <w:p w:rsidR="00EC1537" w:rsidRPr="007D4DE2" w:rsidP="00931E7D" w14:paraId="3F7679E7" w14:textId="77777777">
      <w:r w:rsidRPr="007D4DE2">
        <w:tab/>
      </w:r>
      <w:r w:rsidRPr="007D4DE2">
        <w:tab/>
      </w:r>
      <w:r w:rsidRPr="007D4DE2">
        <w:tab/>
      </w:r>
      <w:r w:rsidRPr="007D4DE2">
        <w:tab/>
      </w:r>
      <w:r w:rsidRPr="007D4DE2">
        <w:tab/>
      </w:r>
      <w:r w:rsidRPr="007D4DE2">
        <w:tab/>
        <w:t>FEDERAL COMMUNICATIONS COMMISSION</w:t>
      </w:r>
    </w:p>
    <w:p w:rsidR="00EC1537" w:rsidRPr="007D4DE2" w:rsidP="00931E7D" w14:paraId="3F2F718E" w14:textId="77777777"/>
    <w:p w:rsidR="00EC1537" w:rsidRPr="007D4DE2" w:rsidP="00931E7D" w14:paraId="1A2417E0" w14:textId="77777777"/>
    <w:p w:rsidR="00EC1537" w:rsidRPr="007D4DE2" w:rsidP="00931E7D" w14:paraId="75B4A432" w14:textId="77777777"/>
    <w:p w:rsidR="00EC1537" w:rsidRPr="007D4DE2" w:rsidP="00931E7D" w14:paraId="2E0BF85E" w14:textId="77777777">
      <w:pPr>
        <w:ind w:left="3600" w:firstLine="720"/>
      </w:pPr>
      <w:r>
        <w:t>Nicholas E. Page</w:t>
      </w:r>
    </w:p>
    <w:p w:rsidR="00EC1537" w:rsidRPr="007D4DE2" w:rsidP="00931E7D" w14:paraId="1C43FEB3" w14:textId="77777777">
      <w:pPr>
        <w:ind w:left="3600" w:firstLine="720"/>
      </w:pPr>
      <w:r w:rsidRPr="007D4DE2">
        <w:t>Chief</w:t>
      </w:r>
    </w:p>
    <w:p w:rsidR="00EC1537" w:rsidRPr="007D4DE2" w:rsidP="00931E7D" w14:paraId="778ED69E" w14:textId="77777777">
      <w:pPr>
        <w:ind w:left="3600" w:firstLine="720"/>
      </w:pPr>
      <w:r w:rsidRPr="007D4DE2">
        <w:t>Telecommunication Access Policy Division</w:t>
      </w:r>
    </w:p>
    <w:p w:rsidR="00EC1537" w:rsidRPr="007D4DE2" w:rsidP="00931E7D" w14:paraId="3DCC5114" w14:textId="77777777">
      <w:r w:rsidRPr="007D4DE2">
        <w:tab/>
      </w:r>
      <w:r w:rsidRPr="007D4DE2">
        <w:tab/>
      </w:r>
      <w:r w:rsidRPr="007D4DE2">
        <w:tab/>
      </w:r>
      <w:r w:rsidRPr="007D4DE2">
        <w:tab/>
      </w:r>
      <w:r w:rsidRPr="007D4DE2">
        <w:tab/>
      </w:r>
      <w:r w:rsidRPr="007D4DE2">
        <w:tab/>
        <w:t>Wireline Competition Bureau</w:t>
      </w:r>
    </w:p>
    <w:p w:rsidR="00EC1537" w:rsidRPr="007D4DE2" w:rsidP="003B449A" w14:paraId="624F3279" w14:textId="77777777"/>
    <w:p w:rsidR="00EC1537" w:rsidRPr="00932C8B" w:rsidP="00932C8B" w14:paraId="5CA59D00" w14:textId="2A7302E0">
      <w:pPr>
        <w:jc w:val="center"/>
        <w:rPr>
          <w:b/>
          <w:bCs/>
        </w:rPr>
      </w:pPr>
      <w:r>
        <w:br w:type="page"/>
      </w:r>
      <w:r w:rsidRPr="00932C8B">
        <w:rPr>
          <w:b/>
          <w:bCs/>
        </w:rPr>
        <w:t>Appendix A – Granted: FCC Form 473 Requirement Waived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7"/>
        <w:gridCol w:w="2608"/>
        <w:gridCol w:w="2067"/>
        <w:gridCol w:w="2338"/>
      </w:tblGrid>
      <w:tr w14:paraId="5C6A6353" w14:textId="77777777" w:rsidTr="00DC0675">
        <w:tblPrEx>
          <w:tblW w:w="0" w:type="auto"/>
          <w:tblLook w:val="04A0"/>
        </w:tblPrEx>
        <w:tc>
          <w:tcPr>
            <w:tcW w:w="2337" w:type="dxa"/>
            <w:shd w:val="clear" w:color="auto" w:fill="auto"/>
          </w:tcPr>
          <w:p w:rsidR="00EC1537" w:rsidP="00DC0675" w14:paraId="5884FD10" w14:textId="77777777">
            <w:pPr>
              <w:pStyle w:val="ParaNum"/>
              <w:numPr>
                <w:ilvl w:val="0"/>
                <w:numId w:val="0"/>
              </w:numPr>
              <w:jc w:val="center"/>
            </w:pPr>
            <w:r w:rsidRPr="00C527D7">
              <w:rPr>
                <w:b/>
                <w:szCs w:val="22"/>
              </w:rPr>
              <w:t>Applicant/Service Provider Name</w:t>
            </w:r>
          </w:p>
        </w:tc>
        <w:tc>
          <w:tcPr>
            <w:tcW w:w="2608" w:type="dxa"/>
            <w:shd w:val="clear" w:color="auto" w:fill="auto"/>
          </w:tcPr>
          <w:p w:rsidR="00EC1537" w:rsidRPr="00C527D7" w:rsidP="00DC0675" w14:paraId="00ED3684" w14:textId="77777777">
            <w:pPr>
              <w:keepNext/>
              <w:keepLines/>
              <w:jc w:val="center"/>
              <w:outlineLvl w:val="0"/>
              <w:rPr>
                <w:b/>
                <w:szCs w:val="22"/>
              </w:rPr>
            </w:pPr>
            <w:r w:rsidRPr="00C527D7">
              <w:rPr>
                <w:b/>
                <w:szCs w:val="22"/>
              </w:rPr>
              <w:t>Application</w:t>
            </w:r>
          </w:p>
          <w:p w:rsidR="00EC1537" w:rsidP="00DC0675" w14:paraId="2751286B" w14:textId="77777777">
            <w:pPr>
              <w:pStyle w:val="ParaNum"/>
              <w:numPr>
                <w:ilvl w:val="0"/>
                <w:numId w:val="0"/>
              </w:numPr>
              <w:jc w:val="center"/>
            </w:pPr>
            <w:r w:rsidRPr="00C527D7">
              <w:rPr>
                <w:b/>
                <w:szCs w:val="22"/>
              </w:rPr>
              <w:t>Number</w:t>
            </w:r>
          </w:p>
        </w:tc>
        <w:tc>
          <w:tcPr>
            <w:tcW w:w="2067" w:type="dxa"/>
            <w:shd w:val="clear" w:color="auto" w:fill="auto"/>
          </w:tcPr>
          <w:p w:rsidR="00EC1537" w:rsidRPr="00C527D7" w:rsidP="00DC0675" w14:paraId="6F8848C4" w14:textId="77777777">
            <w:pPr>
              <w:keepNext/>
              <w:keepLines/>
              <w:jc w:val="center"/>
              <w:outlineLvl w:val="0"/>
              <w:rPr>
                <w:b/>
                <w:szCs w:val="22"/>
              </w:rPr>
            </w:pPr>
            <w:r w:rsidRPr="00C527D7">
              <w:rPr>
                <w:b/>
                <w:szCs w:val="22"/>
              </w:rPr>
              <w:t>Funding</w:t>
            </w:r>
          </w:p>
          <w:p w:rsidR="00EC1537" w:rsidP="00DC0675" w14:paraId="5A5C7FE0" w14:textId="77777777">
            <w:pPr>
              <w:pStyle w:val="ParaNum"/>
              <w:numPr>
                <w:ilvl w:val="0"/>
                <w:numId w:val="0"/>
              </w:numPr>
              <w:jc w:val="center"/>
            </w:pPr>
            <w:r w:rsidRPr="00C527D7">
              <w:rPr>
                <w:b/>
                <w:szCs w:val="22"/>
              </w:rPr>
              <w:t>Year</w:t>
            </w:r>
          </w:p>
        </w:tc>
        <w:tc>
          <w:tcPr>
            <w:tcW w:w="2338" w:type="dxa"/>
            <w:shd w:val="clear" w:color="auto" w:fill="auto"/>
          </w:tcPr>
          <w:p w:rsidR="00EC1537" w:rsidP="00DC0675" w14:paraId="29A28F90" w14:textId="77777777">
            <w:pPr>
              <w:pStyle w:val="ParaNum"/>
              <w:numPr>
                <w:ilvl w:val="0"/>
                <w:numId w:val="0"/>
              </w:numPr>
              <w:jc w:val="center"/>
            </w:pPr>
            <w:r w:rsidRPr="00C527D7">
              <w:rPr>
                <w:b/>
                <w:szCs w:val="22"/>
              </w:rPr>
              <w:t>Date Filed</w:t>
            </w:r>
          </w:p>
        </w:tc>
      </w:tr>
      <w:tr w14:paraId="0AD4F22F" w14:textId="77777777" w:rsidTr="00DC0675">
        <w:tblPrEx>
          <w:tblW w:w="0" w:type="auto"/>
          <w:tblLook w:val="04A0"/>
        </w:tblPrEx>
        <w:tc>
          <w:tcPr>
            <w:tcW w:w="2337" w:type="dxa"/>
            <w:shd w:val="clear" w:color="auto" w:fill="auto"/>
          </w:tcPr>
          <w:p w:rsidR="00EC1537" w:rsidP="00DC0675" w14:paraId="78714316" w14:textId="77777777">
            <w:pPr>
              <w:pStyle w:val="ParaNum"/>
              <w:numPr>
                <w:ilvl w:val="0"/>
                <w:numId w:val="0"/>
              </w:numPr>
            </w:pPr>
            <w:r w:rsidRPr="007248B5">
              <w:t>Aurora Public Library</w:t>
            </w:r>
            <w:r>
              <w:t>, NY</w:t>
            </w:r>
            <w:r w:rsidRPr="007248B5">
              <w:t xml:space="preserve"> </w:t>
            </w:r>
          </w:p>
        </w:tc>
        <w:tc>
          <w:tcPr>
            <w:tcW w:w="2608" w:type="dxa"/>
            <w:shd w:val="clear" w:color="auto" w:fill="auto"/>
          </w:tcPr>
          <w:p w:rsidR="00EC1537" w:rsidP="00DC0675" w14:paraId="2C279E53" w14:textId="77777777">
            <w:pPr>
              <w:pStyle w:val="ParaNum"/>
              <w:numPr>
                <w:ilvl w:val="0"/>
                <w:numId w:val="0"/>
              </w:numPr>
              <w:jc w:val="center"/>
            </w:pPr>
            <w:r>
              <w:t>171025520</w:t>
            </w:r>
          </w:p>
        </w:tc>
        <w:tc>
          <w:tcPr>
            <w:tcW w:w="2067" w:type="dxa"/>
            <w:shd w:val="clear" w:color="auto" w:fill="auto"/>
          </w:tcPr>
          <w:p w:rsidR="00EC1537" w:rsidP="00DC0675" w14:paraId="06F1AF65" w14:textId="77777777">
            <w:pPr>
              <w:pStyle w:val="ParaNum"/>
              <w:numPr>
                <w:ilvl w:val="0"/>
                <w:numId w:val="0"/>
              </w:numPr>
              <w:jc w:val="center"/>
            </w:pPr>
            <w:r>
              <w:t>2017</w:t>
            </w:r>
          </w:p>
        </w:tc>
        <w:tc>
          <w:tcPr>
            <w:tcW w:w="2338" w:type="dxa"/>
            <w:shd w:val="clear" w:color="auto" w:fill="auto"/>
          </w:tcPr>
          <w:p w:rsidR="00EC1537" w:rsidP="00DC0675" w14:paraId="00E275FC" w14:textId="77777777">
            <w:pPr>
              <w:pStyle w:val="ParaNum"/>
              <w:numPr>
                <w:ilvl w:val="0"/>
                <w:numId w:val="0"/>
              </w:numPr>
              <w:jc w:val="center"/>
            </w:pPr>
            <w:r>
              <w:t>Aug. 23, 2019</w:t>
            </w:r>
          </w:p>
        </w:tc>
      </w:tr>
      <w:tr w14:paraId="0FD7AEFC" w14:textId="77777777" w:rsidTr="00DC0675">
        <w:tblPrEx>
          <w:tblW w:w="0" w:type="auto"/>
          <w:tblLook w:val="04A0"/>
        </w:tblPrEx>
        <w:tc>
          <w:tcPr>
            <w:tcW w:w="2337" w:type="dxa"/>
            <w:shd w:val="clear" w:color="auto" w:fill="auto"/>
          </w:tcPr>
          <w:p w:rsidR="00EC1537" w:rsidRPr="007248B5" w:rsidP="00DC0675" w14:paraId="265B99F1" w14:textId="77777777">
            <w:pPr>
              <w:pStyle w:val="ParaNum"/>
              <w:numPr>
                <w:ilvl w:val="0"/>
                <w:numId w:val="0"/>
              </w:numPr>
            </w:pPr>
            <w:r w:rsidRPr="007248B5">
              <w:t>Aurora Public Library</w:t>
            </w:r>
            <w:r>
              <w:t>, NY</w:t>
            </w:r>
          </w:p>
        </w:tc>
        <w:tc>
          <w:tcPr>
            <w:tcW w:w="2608" w:type="dxa"/>
            <w:shd w:val="clear" w:color="auto" w:fill="auto"/>
          </w:tcPr>
          <w:p w:rsidR="00EC1537" w:rsidP="00DC0675" w14:paraId="232D7F9E" w14:textId="77777777">
            <w:pPr>
              <w:pStyle w:val="ParaNum"/>
              <w:numPr>
                <w:ilvl w:val="0"/>
                <w:numId w:val="0"/>
              </w:numPr>
              <w:jc w:val="center"/>
            </w:pPr>
            <w:r>
              <w:t>161018485</w:t>
            </w:r>
          </w:p>
        </w:tc>
        <w:tc>
          <w:tcPr>
            <w:tcW w:w="2067" w:type="dxa"/>
            <w:shd w:val="clear" w:color="auto" w:fill="auto"/>
          </w:tcPr>
          <w:p w:rsidR="00EC1537" w:rsidP="00DC0675" w14:paraId="2385900D" w14:textId="77777777">
            <w:pPr>
              <w:pStyle w:val="ParaNum"/>
              <w:numPr>
                <w:ilvl w:val="0"/>
                <w:numId w:val="0"/>
              </w:numPr>
              <w:jc w:val="center"/>
            </w:pPr>
            <w:r>
              <w:t>2016</w:t>
            </w:r>
          </w:p>
        </w:tc>
        <w:tc>
          <w:tcPr>
            <w:tcW w:w="2338" w:type="dxa"/>
            <w:shd w:val="clear" w:color="auto" w:fill="auto"/>
          </w:tcPr>
          <w:p w:rsidR="00EC1537" w:rsidP="00DC0675" w14:paraId="55F41508" w14:textId="77777777">
            <w:pPr>
              <w:pStyle w:val="ParaNum"/>
              <w:numPr>
                <w:ilvl w:val="0"/>
                <w:numId w:val="0"/>
              </w:numPr>
              <w:jc w:val="center"/>
            </w:pPr>
            <w:r>
              <w:t>Aug. 25, 2018</w:t>
            </w:r>
          </w:p>
        </w:tc>
      </w:tr>
      <w:tr w14:paraId="29BEB6D8" w14:textId="77777777" w:rsidTr="00DC0675">
        <w:tblPrEx>
          <w:tblW w:w="0" w:type="auto"/>
          <w:tblLook w:val="04A0"/>
        </w:tblPrEx>
        <w:tc>
          <w:tcPr>
            <w:tcW w:w="2337" w:type="dxa"/>
            <w:shd w:val="clear" w:color="auto" w:fill="auto"/>
          </w:tcPr>
          <w:p w:rsidR="00EC1537" w:rsidRPr="007248B5" w:rsidP="00DC0675" w14:paraId="6060B7E3" w14:textId="77777777">
            <w:pPr>
              <w:pStyle w:val="ParaNum"/>
              <w:numPr>
                <w:ilvl w:val="0"/>
                <w:numId w:val="0"/>
              </w:numPr>
            </w:pPr>
            <w:r w:rsidRPr="007248B5">
              <w:t>Aurora Public Library</w:t>
            </w:r>
            <w:r>
              <w:t>, NY</w:t>
            </w:r>
          </w:p>
        </w:tc>
        <w:tc>
          <w:tcPr>
            <w:tcW w:w="2608" w:type="dxa"/>
            <w:shd w:val="clear" w:color="auto" w:fill="auto"/>
          </w:tcPr>
          <w:p w:rsidR="00EC1537" w:rsidP="00DC0675" w14:paraId="797B5E19" w14:textId="77777777">
            <w:pPr>
              <w:pStyle w:val="ParaNum"/>
              <w:numPr>
                <w:ilvl w:val="0"/>
                <w:numId w:val="0"/>
              </w:numPr>
              <w:jc w:val="center"/>
            </w:pPr>
            <w:r>
              <w:t>1049458</w:t>
            </w:r>
          </w:p>
        </w:tc>
        <w:tc>
          <w:tcPr>
            <w:tcW w:w="2067" w:type="dxa"/>
            <w:shd w:val="clear" w:color="auto" w:fill="auto"/>
          </w:tcPr>
          <w:p w:rsidR="00EC1537" w:rsidP="00DC0675" w14:paraId="0CD5CEBC" w14:textId="77777777">
            <w:pPr>
              <w:pStyle w:val="ParaNum"/>
              <w:numPr>
                <w:ilvl w:val="0"/>
                <w:numId w:val="0"/>
              </w:numPr>
              <w:jc w:val="center"/>
            </w:pPr>
            <w:r>
              <w:t>2015</w:t>
            </w:r>
          </w:p>
        </w:tc>
        <w:tc>
          <w:tcPr>
            <w:tcW w:w="2338" w:type="dxa"/>
            <w:shd w:val="clear" w:color="auto" w:fill="auto"/>
          </w:tcPr>
          <w:p w:rsidR="00EC1537" w:rsidP="00DC0675" w14:paraId="0168BA46" w14:textId="77777777">
            <w:pPr>
              <w:pStyle w:val="ParaNum"/>
              <w:numPr>
                <w:ilvl w:val="0"/>
                <w:numId w:val="0"/>
              </w:numPr>
              <w:jc w:val="center"/>
            </w:pPr>
            <w:r>
              <w:t>Jan. 3, 2017</w:t>
            </w:r>
          </w:p>
        </w:tc>
      </w:tr>
      <w:tr w14:paraId="2DBAC8FA" w14:textId="77777777" w:rsidTr="00DC0675">
        <w:tblPrEx>
          <w:tblW w:w="0" w:type="auto"/>
          <w:tblLook w:val="04A0"/>
        </w:tblPrEx>
        <w:tc>
          <w:tcPr>
            <w:tcW w:w="2337" w:type="dxa"/>
            <w:shd w:val="clear" w:color="auto" w:fill="auto"/>
          </w:tcPr>
          <w:p w:rsidR="00EC1537" w:rsidRPr="007248B5" w:rsidP="00DC0675" w14:paraId="147944C7" w14:textId="77777777">
            <w:pPr>
              <w:pStyle w:val="ParaNum"/>
              <w:numPr>
                <w:ilvl w:val="0"/>
                <w:numId w:val="0"/>
              </w:numPr>
            </w:pPr>
            <w:r>
              <w:t>Central Valley School District 356, WA</w:t>
            </w:r>
          </w:p>
        </w:tc>
        <w:tc>
          <w:tcPr>
            <w:tcW w:w="2608" w:type="dxa"/>
            <w:shd w:val="clear" w:color="auto" w:fill="auto"/>
          </w:tcPr>
          <w:p w:rsidR="00EC1537" w:rsidP="00DC0675" w14:paraId="0B505023" w14:textId="77777777">
            <w:pPr>
              <w:pStyle w:val="ParaNum"/>
              <w:numPr>
                <w:ilvl w:val="0"/>
                <w:numId w:val="0"/>
              </w:numPr>
              <w:jc w:val="center"/>
            </w:pPr>
            <w:r>
              <w:t>937602</w:t>
            </w:r>
          </w:p>
        </w:tc>
        <w:tc>
          <w:tcPr>
            <w:tcW w:w="2067" w:type="dxa"/>
            <w:shd w:val="clear" w:color="auto" w:fill="auto"/>
          </w:tcPr>
          <w:p w:rsidR="00EC1537" w:rsidP="00DC0675" w14:paraId="231F15A3" w14:textId="77777777">
            <w:pPr>
              <w:pStyle w:val="ParaNum"/>
              <w:numPr>
                <w:ilvl w:val="0"/>
                <w:numId w:val="0"/>
              </w:numPr>
              <w:jc w:val="center"/>
            </w:pPr>
            <w:r>
              <w:t>2014</w:t>
            </w:r>
          </w:p>
        </w:tc>
        <w:tc>
          <w:tcPr>
            <w:tcW w:w="2338" w:type="dxa"/>
            <w:shd w:val="clear" w:color="auto" w:fill="auto"/>
          </w:tcPr>
          <w:p w:rsidR="00EC1537" w:rsidP="00DC0675" w14:paraId="7A8DD1E9" w14:textId="77777777">
            <w:pPr>
              <w:pStyle w:val="ParaNum"/>
              <w:numPr>
                <w:ilvl w:val="0"/>
                <w:numId w:val="0"/>
              </w:numPr>
              <w:jc w:val="center"/>
            </w:pPr>
            <w:r>
              <w:t>Oct. 11, 2016</w:t>
            </w:r>
          </w:p>
        </w:tc>
      </w:tr>
      <w:tr w14:paraId="7B8D3AAC" w14:textId="77777777" w:rsidTr="00DC0675">
        <w:tblPrEx>
          <w:tblW w:w="0" w:type="auto"/>
          <w:tblLook w:val="04A0"/>
        </w:tblPrEx>
        <w:tc>
          <w:tcPr>
            <w:tcW w:w="2337" w:type="dxa"/>
            <w:shd w:val="clear" w:color="auto" w:fill="auto"/>
          </w:tcPr>
          <w:p w:rsidR="00EC1537" w:rsidP="00DC0675" w14:paraId="71BCDB49" w14:textId="77777777">
            <w:pPr>
              <w:pStyle w:val="ParaNum"/>
              <w:numPr>
                <w:ilvl w:val="0"/>
                <w:numId w:val="0"/>
              </w:numPr>
            </w:pPr>
            <w:r w:rsidRPr="007248B5">
              <w:t>Hayward Unified School Distric</w:t>
            </w:r>
            <w:r>
              <w:t>t, CA</w:t>
            </w:r>
          </w:p>
        </w:tc>
        <w:tc>
          <w:tcPr>
            <w:tcW w:w="2608" w:type="dxa"/>
            <w:shd w:val="clear" w:color="auto" w:fill="auto"/>
          </w:tcPr>
          <w:p w:rsidR="00EC1537" w:rsidP="00DC0675" w14:paraId="75356FC2" w14:textId="77777777">
            <w:pPr>
              <w:pStyle w:val="ParaNum"/>
              <w:numPr>
                <w:ilvl w:val="0"/>
                <w:numId w:val="0"/>
              </w:numPr>
              <w:jc w:val="center"/>
            </w:pPr>
            <w:r>
              <w:t>161042584</w:t>
            </w:r>
          </w:p>
        </w:tc>
        <w:tc>
          <w:tcPr>
            <w:tcW w:w="2067" w:type="dxa"/>
            <w:shd w:val="clear" w:color="auto" w:fill="auto"/>
          </w:tcPr>
          <w:p w:rsidR="00EC1537" w:rsidP="00DC0675" w14:paraId="1E0D6994" w14:textId="77777777">
            <w:pPr>
              <w:pStyle w:val="ParaNum"/>
              <w:numPr>
                <w:ilvl w:val="0"/>
                <w:numId w:val="0"/>
              </w:numPr>
              <w:jc w:val="center"/>
            </w:pPr>
            <w:r>
              <w:t>2016</w:t>
            </w:r>
          </w:p>
        </w:tc>
        <w:tc>
          <w:tcPr>
            <w:tcW w:w="2338" w:type="dxa"/>
            <w:shd w:val="clear" w:color="auto" w:fill="auto"/>
          </w:tcPr>
          <w:p w:rsidR="00EC1537" w:rsidP="00DC0675" w14:paraId="03980F3D" w14:textId="77777777">
            <w:pPr>
              <w:pStyle w:val="ParaNum"/>
              <w:numPr>
                <w:ilvl w:val="0"/>
                <w:numId w:val="0"/>
              </w:numPr>
              <w:jc w:val="center"/>
            </w:pPr>
            <w:r>
              <w:t>Nov. 8, 2019</w:t>
            </w:r>
          </w:p>
        </w:tc>
      </w:tr>
      <w:tr w14:paraId="5440D0ED" w14:textId="77777777" w:rsidTr="00DC0675">
        <w:tblPrEx>
          <w:tblW w:w="0" w:type="auto"/>
          <w:tblLook w:val="04A0"/>
        </w:tblPrEx>
        <w:tc>
          <w:tcPr>
            <w:tcW w:w="2337" w:type="dxa"/>
            <w:shd w:val="clear" w:color="auto" w:fill="auto"/>
          </w:tcPr>
          <w:p w:rsidR="00EC1537" w:rsidRPr="007248B5" w:rsidP="00DC0675" w14:paraId="7410DC6E" w14:textId="77777777">
            <w:pPr>
              <w:pStyle w:val="ParaNum"/>
              <w:numPr>
                <w:ilvl w:val="0"/>
                <w:numId w:val="0"/>
              </w:numPr>
            </w:pPr>
            <w:r>
              <w:t>LISA Academy, AR</w:t>
            </w:r>
          </w:p>
        </w:tc>
        <w:tc>
          <w:tcPr>
            <w:tcW w:w="2608" w:type="dxa"/>
            <w:shd w:val="clear" w:color="auto" w:fill="auto"/>
          </w:tcPr>
          <w:p w:rsidR="00EC1537" w:rsidP="00DC0675" w14:paraId="45E56338" w14:textId="77777777">
            <w:pPr>
              <w:pStyle w:val="ParaNum"/>
              <w:numPr>
                <w:ilvl w:val="0"/>
                <w:numId w:val="0"/>
              </w:numPr>
              <w:jc w:val="center"/>
            </w:pPr>
            <w:r>
              <w:t>201023276</w:t>
            </w:r>
          </w:p>
        </w:tc>
        <w:tc>
          <w:tcPr>
            <w:tcW w:w="2067" w:type="dxa"/>
            <w:shd w:val="clear" w:color="auto" w:fill="auto"/>
          </w:tcPr>
          <w:p w:rsidR="00EC1537" w:rsidP="00DC0675" w14:paraId="0C1C2D8B" w14:textId="77777777">
            <w:pPr>
              <w:pStyle w:val="ParaNum"/>
              <w:numPr>
                <w:ilvl w:val="0"/>
                <w:numId w:val="0"/>
              </w:numPr>
              <w:jc w:val="center"/>
            </w:pPr>
            <w:r>
              <w:t>2020</w:t>
            </w:r>
          </w:p>
        </w:tc>
        <w:tc>
          <w:tcPr>
            <w:tcW w:w="2338" w:type="dxa"/>
            <w:shd w:val="clear" w:color="auto" w:fill="auto"/>
          </w:tcPr>
          <w:p w:rsidR="00EC1537" w:rsidP="00DC0675" w14:paraId="300BEAF0" w14:textId="77777777">
            <w:pPr>
              <w:pStyle w:val="ParaNum"/>
              <w:numPr>
                <w:ilvl w:val="0"/>
                <w:numId w:val="0"/>
              </w:numPr>
              <w:jc w:val="center"/>
            </w:pPr>
            <w:r>
              <w:t>Jan. 25, 2022</w:t>
            </w:r>
          </w:p>
        </w:tc>
      </w:tr>
      <w:tr w14:paraId="42EB251B" w14:textId="77777777" w:rsidTr="00DC0675">
        <w:tblPrEx>
          <w:tblW w:w="0" w:type="auto"/>
          <w:tblLook w:val="04A0"/>
        </w:tblPrEx>
        <w:tc>
          <w:tcPr>
            <w:tcW w:w="2337" w:type="dxa"/>
            <w:shd w:val="clear" w:color="auto" w:fill="auto"/>
          </w:tcPr>
          <w:p w:rsidR="00EC1537" w:rsidP="00DC0675" w14:paraId="559C08D6" w14:textId="77777777">
            <w:pPr>
              <w:pStyle w:val="ParaNum"/>
              <w:numPr>
                <w:ilvl w:val="0"/>
                <w:numId w:val="0"/>
              </w:numPr>
            </w:pPr>
            <w:r>
              <w:t>Nadaburg</w:t>
            </w:r>
            <w:r>
              <w:t xml:space="preserve"> Unified School District, AZ</w:t>
            </w:r>
          </w:p>
        </w:tc>
        <w:tc>
          <w:tcPr>
            <w:tcW w:w="2608" w:type="dxa"/>
            <w:shd w:val="clear" w:color="auto" w:fill="auto"/>
          </w:tcPr>
          <w:p w:rsidR="00EC1537" w:rsidP="00DC0675" w14:paraId="5E0BD36E" w14:textId="77777777">
            <w:pPr>
              <w:pStyle w:val="ParaNum"/>
              <w:numPr>
                <w:ilvl w:val="0"/>
                <w:numId w:val="0"/>
              </w:numPr>
              <w:jc w:val="center"/>
            </w:pPr>
            <w:r w:rsidRPr="00435B37">
              <w:t>191011147</w:t>
            </w:r>
          </w:p>
        </w:tc>
        <w:tc>
          <w:tcPr>
            <w:tcW w:w="2067" w:type="dxa"/>
            <w:shd w:val="clear" w:color="auto" w:fill="auto"/>
          </w:tcPr>
          <w:p w:rsidR="00EC1537" w:rsidP="00DC0675" w14:paraId="06BB0D10" w14:textId="77777777">
            <w:pPr>
              <w:pStyle w:val="ParaNum"/>
              <w:numPr>
                <w:ilvl w:val="0"/>
                <w:numId w:val="0"/>
              </w:numPr>
              <w:jc w:val="center"/>
            </w:pPr>
            <w:r>
              <w:t>2019</w:t>
            </w:r>
          </w:p>
        </w:tc>
        <w:tc>
          <w:tcPr>
            <w:tcW w:w="2338" w:type="dxa"/>
            <w:shd w:val="clear" w:color="auto" w:fill="auto"/>
          </w:tcPr>
          <w:p w:rsidR="00EC1537" w:rsidP="00DC0675" w14:paraId="50F0DA14" w14:textId="77777777">
            <w:pPr>
              <w:pStyle w:val="ParaNum"/>
              <w:numPr>
                <w:ilvl w:val="0"/>
                <w:numId w:val="0"/>
              </w:numPr>
              <w:jc w:val="center"/>
            </w:pPr>
            <w:r>
              <w:t>Sept. 22, 2022</w:t>
            </w:r>
          </w:p>
        </w:tc>
      </w:tr>
      <w:tr w14:paraId="7713C188" w14:textId="77777777" w:rsidTr="00DC0675">
        <w:tblPrEx>
          <w:tblW w:w="0" w:type="auto"/>
          <w:tblLook w:val="04A0"/>
        </w:tblPrEx>
        <w:tc>
          <w:tcPr>
            <w:tcW w:w="2337" w:type="dxa"/>
            <w:shd w:val="clear" w:color="auto" w:fill="auto"/>
          </w:tcPr>
          <w:p w:rsidR="00EC1537" w:rsidP="00DC0675" w14:paraId="51FB4F9B" w14:textId="77777777">
            <w:pPr>
              <w:pStyle w:val="ParaNum"/>
              <w:numPr>
                <w:ilvl w:val="0"/>
                <w:numId w:val="0"/>
              </w:numPr>
            </w:pPr>
            <w:r w:rsidRPr="007248B5">
              <w:t>School Board of Marion County</w:t>
            </w:r>
            <w:r>
              <w:t>, FL</w:t>
            </w:r>
          </w:p>
        </w:tc>
        <w:tc>
          <w:tcPr>
            <w:tcW w:w="2608" w:type="dxa"/>
            <w:shd w:val="clear" w:color="auto" w:fill="auto"/>
          </w:tcPr>
          <w:p w:rsidR="00EC1537" w:rsidP="00DC0675" w14:paraId="3129BC22" w14:textId="77777777">
            <w:pPr>
              <w:pStyle w:val="ParaNum"/>
              <w:numPr>
                <w:ilvl w:val="0"/>
                <w:numId w:val="0"/>
              </w:numPr>
              <w:jc w:val="center"/>
            </w:pPr>
            <w:r>
              <w:t>1026667</w:t>
            </w:r>
          </w:p>
        </w:tc>
        <w:tc>
          <w:tcPr>
            <w:tcW w:w="2067" w:type="dxa"/>
            <w:shd w:val="clear" w:color="auto" w:fill="auto"/>
          </w:tcPr>
          <w:p w:rsidR="00EC1537" w:rsidP="00DC0675" w14:paraId="2923417D" w14:textId="77777777">
            <w:pPr>
              <w:pStyle w:val="ParaNum"/>
              <w:numPr>
                <w:ilvl w:val="0"/>
                <w:numId w:val="0"/>
              </w:numPr>
              <w:jc w:val="center"/>
            </w:pPr>
            <w:r>
              <w:t>2015</w:t>
            </w:r>
          </w:p>
        </w:tc>
        <w:tc>
          <w:tcPr>
            <w:tcW w:w="2338" w:type="dxa"/>
            <w:shd w:val="clear" w:color="auto" w:fill="auto"/>
          </w:tcPr>
          <w:p w:rsidR="00EC1537" w:rsidP="00DC0675" w14:paraId="489429C8" w14:textId="77777777">
            <w:pPr>
              <w:pStyle w:val="ParaNum"/>
              <w:numPr>
                <w:ilvl w:val="0"/>
                <w:numId w:val="0"/>
              </w:numPr>
              <w:jc w:val="center"/>
            </w:pPr>
            <w:r>
              <w:t>Dec. 14, 2016</w:t>
            </w:r>
          </w:p>
        </w:tc>
      </w:tr>
    </w:tbl>
    <w:p w:rsidR="00EC1537" w:rsidP="00EC1537" w14:paraId="4BF4837A" w14:textId="77777777">
      <w:pPr>
        <w:pStyle w:val="ParaNum"/>
        <w:numPr>
          <w:ilvl w:val="0"/>
          <w:numId w:val="0"/>
        </w:numPr>
      </w:pPr>
    </w:p>
    <w:p w:rsidR="00EC1537" w:rsidRPr="002C0168" w:rsidP="006B04A6" w14:paraId="7C8A043F" w14:textId="3CEDA369">
      <w:pPr>
        <w:pStyle w:val="ParaNum"/>
        <w:numPr>
          <w:ilvl w:val="0"/>
          <w:numId w:val="0"/>
        </w:numPr>
        <w:jc w:val="center"/>
        <w:rPr>
          <w:b/>
          <w:bCs/>
        </w:rPr>
      </w:pPr>
      <w:r>
        <w:br w:type="page"/>
      </w:r>
      <w:r w:rsidRPr="002C0168">
        <w:rPr>
          <w:b/>
          <w:bCs/>
        </w:rPr>
        <w:t>Appendix B – Granted: FCC Form 473 Required</w:t>
      </w:r>
      <w:r>
        <w:rPr>
          <w:b/>
          <w:bCs/>
        </w:rPr>
        <w:t xml:space="preserve"> to be Filed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2610"/>
        <w:gridCol w:w="2247"/>
        <w:gridCol w:w="2158"/>
      </w:tblGrid>
      <w:tr w14:paraId="71581571" w14:textId="77777777" w:rsidTr="00DC0675">
        <w:tblPrEx>
          <w:tblW w:w="0" w:type="auto"/>
          <w:tblInd w:w="-5" w:type="dxa"/>
          <w:tblLook w:val="04A0"/>
        </w:tblPrEx>
        <w:tc>
          <w:tcPr>
            <w:tcW w:w="2340" w:type="dxa"/>
            <w:shd w:val="clear" w:color="auto" w:fill="auto"/>
          </w:tcPr>
          <w:p w:rsidR="00EC1537" w:rsidP="00DC0675" w14:paraId="55D1F1FA" w14:textId="77777777">
            <w:pPr>
              <w:pStyle w:val="ParaNum"/>
              <w:numPr>
                <w:ilvl w:val="0"/>
                <w:numId w:val="0"/>
              </w:numPr>
              <w:jc w:val="center"/>
            </w:pPr>
            <w:r w:rsidRPr="00C527D7">
              <w:rPr>
                <w:b/>
              </w:rPr>
              <w:t>Applicant/Service Provider Name</w:t>
            </w:r>
          </w:p>
        </w:tc>
        <w:tc>
          <w:tcPr>
            <w:tcW w:w="2610" w:type="dxa"/>
            <w:shd w:val="clear" w:color="auto" w:fill="auto"/>
          </w:tcPr>
          <w:p w:rsidR="00EC1537" w:rsidRPr="00C527D7" w:rsidP="00DC0675" w14:paraId="723CDEDB" w14:textId="77777777">
            <w:pPr>
              <w:keepNext/>
              <w:keepLines/>
              <w:jc w:val="center"/>
              <w:outlineLvl w:val="0"/>
              <w:rPr>
                <w:b/>
              </w:rPr>
            </w:pPr>
            <w:r w:rsidRPr="00C527D7">
              <w:rPr>
                <w:b/>
              </w:rPr>
              <w:t>Application</w:t>
            </w:r>
          </w:p>
          <w:p w:rsidR="00EC1537" w:rsidP="00DC0675" w14:paraId="243E6C00" w14:textId="77777777">
            <w:pPr>
              <w:pStyle w:val="ParaNum"/>
              <w:numPr>
                <w:ilvl w:val="0"/>
                <w:numId w:val="0"/>
              </w:numPr>
              <w:jc w:val="center"/>
            </w:pPr>
            <w:r w:rsidRPr="00C527D7">
              <w:rPr>
                <w:b/>
              </w:rPr>
              <w:t>Number</w:t>
            </w:r>
          </w:p>
        </w:tc>
        <w:tc>
          <w:tcPr>
            <w:tcW w:w="2247" w:type="dxa"/>
            <w:shd w:val="clear" w:color="auto" w:fill="auto"/>
          </w:tcPr>
          <w:p w:rsidR="00EC1537" w:rsidRPr="00C527D7" w:rsidP="00DC0675" w14:paraId="09C1F9F8" w14:textId="77777777">
            <w:pPr>
              <w:keepNext/>
              <w:keepLines/>
              <w:jc w:val="center"/>
              <w:outlineLvl w:val="0"/>
              <w:rPr>
                <w:b/>
              </w:rPr>
            </w:pPr>
            <w:r w:rsidRPr="00C527D7">
              <w:rPr>
                <w:b/>
              </w:rPr>
              <w:t>Funding</w:t>
            </w:r>
          </w:p>
          <w:p w:rsidR="00EC1537" w:rsidP="00DC0675" w14:paraId="719F5AE2" w14:textId="77777777">
            <w:pPr>
              <w:pStyle w:val="ParaNum"/>
              <w:numPr>
                <w:ilvl w:val="0"/>
                <w:numId w:val="0"/>
              </w:numPr>
              <w:jc w:val="center"/>
            </w:pPr>
            <w:r w:rsidRPr="00C527D7">
              <w:rPr>
                <w:b/>
              </w:rPr>
              <w:t>Year</w:t>
            </w:r>
          </w:p>
        </w:tc>
        <w:tc>
          <w:tcPr>
            <w:tcW w:w="2158" w:type="dxa"/>
            <w:shd w:val="clear" w:color="auto" w:fill="auto"/>
          </w:tcPr>
          <w:p w:rsidR="00EC1537" w:rsidP="00DC0675" w14:paraId="096E8E5C" w14:textId="77777777">
            <w:pPr>
              <w:pStyle w:val="ParaNum"/>
              <w:numPr>
                <w:ilvl w:val="0"/>
                <w:numId w:val="0"/>
              </w:numPr>
              <w:jc w:val="center"/>
            </w:pPr>
            <w:r w:rsidRPr="00C527D7">
              <w:rPr>
                <w:b/>
              </w:rPr>
              <w:t>Date Filed</w:t>
            </w:r>
          </w:p>
        </w:tc>
      </w:tr>
      <w:tr w14:paraId="55AF3EC1" w14:textId="77777777" w:rsidTr="00DC0675">
        <w:tblPrEx>
          <w:tblW w:w="0" w:type="auto"/>
          <w:tblInd w:w="-5" w:type="dxa"/>
          <w:tblLook w:val="04A0"/>
        </w:tblPrEx>
        <w:tc>
          <w:tcPr>
            <w:tcW w:w="2340" w:type="dxa"/>
            <w:shd w:val="clear" w:color="auto" w:fill="auto"/>
          </w:tcPr>
          <w:p w:rsidR="00EC1537" w:rsidP="00DC0675" w14:paraId="5B3B8ED4" w14:textId="77777777">
            <w:pPr>
              <w:pStyle w:val="ParaNum"/>
              <w:numPr>
                <w:ilvl w:val="0"/>
                <w:numId w:val="0"/>
              </w:numPr>
            </w:pPr>
            <w:r>
              <w:t>CommSpec</w:t>
            </w:r>
            <w:r>
              <w:t>, Inc. (Britton-Deerfield School District), MI</w:t>
            </w:r>
          </w:p>
        </w:tc>
        <w:tc>
          <w:tcPr>
            <w:tcW w:w="2610" w:type="dxa"/>
            <w:shd w:val="clear" w:color="auto" w:fill="auto"/>
          </w:tcPr>
          <w:p w:rsidR="00EC1537" w:rsidP="00DC0675" w14:paraId="16E341BF" w14:textId="77777777">
            <w:pPr>
              <w:pStyle w:val="ParaNum"/>
              <w:numPr>
                <w:ilvl w:val="0"/>
                <w:numId w:val="0"/>
              </w:numPr>
              <w:jc w:val="center"/>
            </w:pPr>
            <w:r>
              <w:t>161052433</w:t>
            </w:r>
          </w:p>
        </w:tc>
        <w:tc>
          <w:tcPr>
            <w:tcW w:w="2247" w:type="dxa"/>
            <w:shd w:val="clear" w:color="auto" w:fill="auto"/>
          </w:tcPr>
          <w:p w:rsidR="00EC1537" w:rsidP="00DC0675" w14:paraId="275DF0FD" w14:textId="77777777">
            <w:pPr>
              <w:pStyle w:val="ParaNum"/>
              <w:numPr>
                <w:ilvl w:val="0"/>
                <w:numId w:val="0"/>
              </w:numPr>
              <w:jc w:val="center"/>
            </w:pPr>
            <w:r>
              <w:t>2016</w:t>
            </w:r>
          </w:p>
        </w:tc>
        <w:tc>
          <w:tcPr>
            <w:tcW w:w="2158" w:type="dxa"/>
            <w:shd w:val="clear" w:color="auto" w:fill="auto"/>
          </w:tcPr>
          <w:p w:rsidR="00EC1537" w:rsidP="00DC0675" w14:paraId="59F2E104" w14:textId="77777777">
            <w:pPr>
              <w:pStyle w:val="ParaNum"/>
              <w:numPr>
                <w:ilvl w:val="0"/>
                <w:numId w:val="0"/>
              </w:numPr>
              <w:jc w:val="center"/>
            </w:pPr>
            <w:r>
              <w:t>Feb. 12, 2019</w:t>
            </w:r>
          </w:p>
        </w:tc>
      </w:tr>
      <w:tr w14:paraId="4B152F62" w14:textId="77777777" w:rsidTr="00DC0675">
        <w:tblPrEx>
          <w:tblW w:w="0" w:type="auto"/>
          <w:tblInd w:w="-5" w:type="dxa"/>
          <w:tblLook w:val="04A0"/>
        </w:tblPrEx>
        <w:tc>
          <w:tcPr>
            <w:tcW w:w="2340" w:type="dxa"/>
            <w:shd w:val="clear" w:color="auto" w:fill="auto"/>
          </w:tcPr>
          <w:p w:rsidR="00EC1537" w:rsidP="00DC0675" w14:paraId="3F0745F5" w14:textId="77777777">
            <w:pPr>
              <w:pStyle w:val="ParaNum"/>
              <w:numPr>
                <w:ilvl w:val="0"/>
                <w:numId w:val="0"/>
              </w:numPr>
            </w:pPr>
            <w:r>
              <w:t>Cesar Chavez Public Charter School, DC</w:t>
            </w:r>
          </w:p>
        </w:tc>
        <w:tc>
          <w:tcPr>
            <w:tcW w:w="2610" w:type="dxa"/>
            <w:shd w:val="clear" w:color="auto" w:fill="auto"/>
          </w:tcPr>
          <w:p w:rsidR="00EC1537" w:rsidP="00DC0675" w14:paraId="1513ABA9" w14:textId="77777777">
            <w:pPr>
              <w:pStyle w:val="ParaNum"/>
              <w:numPr>
                <w:ilvl w:val="0"/>
                <w:numId w:val="0"/>
              </w:numPr>
              <w:jc w:val="center"/>
            </w:pPr>
            <w:r w:rsidRPr="00C527D7">
              <w:rPr>
                <w:rFonts w:cs="Calibri"/>
                <w:color w:val="000000"/>
              </w:rPr>
              <w:t>161050453</w:t>
            </w:r>
          </w:p>
        </w:tc>
        <w:tc>
          <w:tcPr>
            <w:tcW w:w="2247" w:type="dxa"/>
            <w:shd w:val="clear" w:color="auto" w:fill="auto"/>
          </w:tcPr>
          <w:p w:rsidR="00EC1537" w:rsidP="00DC0675" w14:paraId="2EAD3C33" w14:textId="77777777">
            <w:pPr>
              <w:pStyle w:val="ParaNum"/>
              <w:numPr>
                <w:ilvl w:val="0"/>
                <w:numId w:val="0"/>
              </w:numPr>
              <w:jc w:val="center"/>
            </w:pPr>
            <w:r>
              <w:t>2016</w:t>
            </w:r>
          </w:p>
        </w:tc>
        <w:tc>
          <w:tcPr>
            <w:tcW w:w="2158" w:type="dxa"/>
            <w:shd w:val="clear" w:color="auto" w:fill="auto"/>
          </w:tcPr>
          <w:p w:rsidR="00EC1537" w:rsidP="00DC0675" w14:paraId="46EB4725" w14:textId="77777777">
            <w:pPr>
              <w:pStyle w:val="ParaNum"/>
              <w:numPr>
                <w:ilvl w:val="0"/>
                <w:numId w:val="0"/>
              </w:numPr>
              <w:jc w:val="center"/>
            </w:pPr>
            <w:r>
              <w:t>Aug. 13, 2018</w:t>
            </w:r>
          </w:p>
        </w:tc>
      </w:tr>
      <w:tr w14:paraId="239364C9" w14:textId="77777777" w:rsidTr="00DC0675">
        <w:tblPrEx>
          <w:tblW w:w="0" w:type="auto"/>
          <w:tblInd w:w="-5" w:type="dxa"/>
          <w:tblLook w:val="04A0"/>
        </w:tblPrEx>
        <w:tc>
          <w:tcPr>
            <w:tcW w:w="2340" w:type="dxa"/>
            <w:shd w:val="clear" w:color="auto" w:fill="auto"/>
          </w:tcPr>
          <w:p w:rsidR="00EC1537" w:rsidP="00DC0675" w14:paraId="06C78D62" w14:textId="77777777">
            <w:pPr>
              <w:pStyle w:val="ParaNum"/>
              <w:numPr>
                <w:ilvl w:val="0"/>
                <w:numId w:val="0"/>
              </w:numPr>
            </w:pPr>
            <w:r>
              <w:t>Los Angeles Public Library System, CA</w:t>
            </w:r>
          </w:p>
        </w:tc>
        <w:tc>
          <w:tcPr>
            <w:tcW w:w="2610" w:type="dxa"/>
            <w:shd w:val="clear" w:color="auto" w:fill="auto"/>
          </w:tcPr>
          <w:p w:rsidR="00EC1537" w:rsidRPr="00C527D7" w:rsidP="00DC0675" w14:paraId="3087A6B8" w14:textId="77777777">
            <w:pPr>
              <w:pStyle w:val="ParaNum"/>
              <w:numPr>
                <w:ilvl w:val="0"/>
                <w:numId w:val="0"/>
              </w:numPr>
              <w:jc w:val="center"/>
              <w:rPr>
                <w:rFonts w:cs="Calibri"/>
                <w:color w:val="000000"/>
              </w:rPr>
            </w:pPr>
            <w:r w:rsidRPr="00C527D7">
              <w:rPr>
                <w:rFonts w:cs="Calibri"/>
                <w:color w:val="000000"/>
              </w:rPr>
              <w:t>201022234</w:t>
            </w:r>
          </w:p>
        </w:tc>
        <w:tc>
          <w:tcPr>
            <w:tcW w:w="2247" w:type="dxa"/>
            <w:shd w:val="clear" w:color="auto" w:fill="auto"/>
          </w:tcPr>
          <w:p w:rsidR="00EC1537" w:rsidP="00DC0675" w14:paraId="5F13AA92" w14:textId="77777777">
            <w:pPr>
              <w:pStyle w:val="ParaNum"/>
              <w:numPr>
                <w:ilvl w:val="0"/>
                <w:numId w:val="0"/>
              </w:numPr>
              <w:jc w:val="center"/>
            </w:pPr>
            <w:r>
              <w:t>2020</w:t>
            </w:r>
          </w:p>
        </w:tc>
        <w:tc>
          <w:tcPr>
            <w:tcW w:w="2158" w:type="dxa"/>
            <w:shd w:val="clear" w:color="auto" w:fill="auto"/>
          </w:tcPr>
          <w:p w:rsidR="00EC1537" w:rsidP="00DC0675" w14:paraId="1083990E" w14:textId="77777777">
            <w:pPr>
              <w:pStyle w:val="ParaNum"/>
              <w:numPr>
                <w:ilvl w:val="0"/>
                <w:numId w:val="0"/>
              </w:numPr>
              <w:jc w:val="center"/>
            </w:pPr>
            <w:r>
              <w:t>Sept. 10, 2024</w:t>
            </w:r>
          </w:p>
        </w:tc>
      </w:tr>
      <w:tr w14:paraId="33C4A9EA" w14:textId="77777777" w:rsidTr="00DC0675">
        <w:tblPrEx>
          <w:tblW w:w="0" w:type="auto"/>
          <w:tblInd w:w="-5" w:type="dxa"/>
          <w:tblLook w:val="04A0"/>
        </w:tblPrEx>
        <w:tc>
          <w:tcPr>
            <w:tcW w:w="2340" w:type="dxa"/>
            <w:shd w:val="clear" w:color="auto" w:fill="auto"/>
          </w:tcPr>
          <w:p w:rsidR="00EC1537" w:rsidP="00DC0675" w14:paraId="688E3D6C" w14:textId="77777777">
            <w:pPr>
              <w:pStyle w:val="ParaNum"/>
              <w:numPr>
                <w:ilvl w:val="0"/>
                <w:numId w:val="0"/>
              </w:numPr>
            </w:pPr>
            <w:r>
              <w:t>Philadelphia School District, PA</w:t>
            </w:r>
          </w:p>
        </w:tc>
        <w:tc>
          <w:tcPr>
            <w:tcW w:w="2610" w:type="dxa"/>
            <w:shd w:val="clear" w:color="auto" w:fill="auto"/>
          </w:tcPr>
          <w:p w:rsidR="00EC1537" w:rsidRPr="00C527D7" w:rsidP="00DC0675" w14:paraId="33D7403C" w14:textId="77777777">
            <w:pPr>
              <w:pStyle w:val="ParaNum"/>
              <w:numPr>
                <w:ilvl w:val="0"/>
                <w:numId w:val="0"/>
              </w:numPr>
              <w:jc w:val="center"/>
              <w:rPr>
                <w:rFonts w:cs="Calibri"/>
                <w:color w:val="000000"/>
              </w:rPr>
            </w:pPr>
            <w:r w:rsidRPr="00C527D7">
              <w:rPr>
                <w:rFonts w:cs="Calibri"/>
                <w:color w:val="000000"/>
              </w:rPr>
              <w:t>191025372</w:t>
            </w:r>
          </w:p>
        </w:tc>
        <w:tc>
          <w:tcPr>
            <w:tcW w:w="2247" w:type="dxa"/>
            <w:shd w:val="clear" w:color="auto" w:fill="auto"/>
          </w:tcPr>
          <w:p w:rsidR="00EC1537" w:rsidP="00DC0675" w14:paraId="63C81C21" w14:textId="77777777">
            <w:pPr>
              <w:pStyle w:val="ParaNum"/>
              <w:numPr>
                <w:ilvl w:val="0"/>
                <w:numId w:val="0"/>
              </w:numPr>
              <w:jc w:val="center"/>
            </w:pPr>
            <w:r>
              <w:t>2019</w:t>
            </w:r>
          </w:p>
        </w:tc>
        <w:tc>
          <w:tcPr>
            <w:tcW w:w="2158" w:type="dxa"/>
            <w:shd w:val="clear" w:color="auto" w:fill="auto"/>
          </w:tcPr>
          <w:p w:rsidR="00EC1537" w:rsidP="00DC0675" w14:paraId="0EEC1221" w14:textId="77777777">
            <w:pPr>
              <w:pStyle w:val="ParaNum"/>
              <w:numPr>
                <w:ilvl w:val="0"/>
                <w:numId w:val="0"/>
              </w:numPr>
              <w:jc w:val="center"/>
            </w:pPr>
            <w:r>
              <w:t>Aug. 31, 2023</w:t>
            </w:r>
          </w:p>
          <w:p w:rsidR="00EC1537" w:rsidP="00DC0675" w14:paraId="1180444C" w14:textId="77777777">
            <w:pPr>
              <w:pStyle w:val="ParaNum"/>
              <w:numPr>
                <w:ilvl w:val="0"/>
                <w:numId w:val="0"/>
              </w:numPr>
              <w:jc w:val="center"/>
            </w:pPr>
            <w:r>
              <w:t>Sept. 7, 2023</w:t>
            </w:r>
          </w:p>
          <w:p w:rsidR="00EC1537" w:rsidP="00DC0675" w14:paraId="00C8D5F4" w14:textId="77777777">
            <w:pPr>
              <w:pStyle w:val="ParaNum"/>
              <w:numPr>
                <w:ilvl w:val="0"/>
                <w:numId w:val="0"/>
              </w:numPr>
              <w:jc w:val="center"/>
            </w:pPr>
            <w:r>
              <w:t>Sept. 29, 2023</w:t>
            </w:r>
          </w:p>
        </w:tc>
      </w:tr>
    </w:tbl>
    <w:p w:rsidR="00EC1537" w:rsidP="00EC1537" w14:paraId="1AB7394C" w14:textId="77777777"/>
    <w:p w:rsidR="00EC1537" w:rsidP="00EC1537" w14:paraId="021DDBF0" w14:textId="77777777">
      <w:pPr>
        <w:pStyle w:val="ParaNum"/>
        <w:numPr>
          <w:ilvl w:val="0"/>
          <w:numId w:val="0"/>
        </w:numPr>
        <w:ind w:left="720"/>
        <w:jc w:val="center"/>
      </w:pPr>
    </w:p>
    <w:p w:rsidR="00EC1537" w:rsidRPr="002C0168" w:rsidP="006B04A6" w14:paraId="4C7C8406" w14:textId="6C264501">
      <w:pPr>
        <w:widowControl/>
        <w:jc w:val="center"/>
        <w:rPr>
          <w:b/>
          <w:bCs/>
        </w:rPr>
      </w:pPr>
      <w:r>
        <w:br w:type="page"/>
      </w:r>
      <w:r w:rsidRPr="002C0168">
        <w:rPr>
          <w:b/>
          <w:bCs/>
        </w:rPr>
        <w:t>Appendix C – Denied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2699"/>
        <w:gridCol w:w="2158"/>
        <w:gridCol w:w="2158"/>
      </w:tblGrid>
      <w:tr w14:paraId="665229C9" w14:textId="77777777" w:rsidTr="00DC0675">
        <w:tblPrEx>
          <w:tblW w:w="0" w:type="auto"/>
          <w:tblInd w:w="-5" w:type="dxa"/>
          <w:tblLook w:val="04A0"/>
        </w:tblPrEx>
        <w:tc>
          <w:tcPr>
            <w:tcW w:w="2340" w:type="dxa"/>
            <w:shd w:val="clear" w:color="auto" w:fill="auto"/>
          </w:tcPr>
          <w:p w:rsidR="00EC1537" w:rsidP="00DC0675" w14:paraId="5FE1C1E1" w14:textId="77777777">
            <w:pPr>
              <w:pStyle w:val="ParaNum"/>
              <w:numPr>
                <w:ilvl w:val="0"/>
                <w:numId w:val="0"/>
              </w:numPr>
              <w:jc w:val="center"/>
            </w:pPr>
            <w:bookmarkStart w:id="5" w:name="_Hlk60661553"/>
            <w:r w:rsidRPr="00C527D7">
              <w:rPr>
                <w:b/>
                <w:szCs w:val="22"/>
              </w:rPr>
              <w:t>Applicant/Service Provider Name</w:t>
            </w:r>
          </w:p>
        </w:tc>
        <w:tc>
          <w:tcPr>
            <w:tcW w:w="2699" w:type="dxa"/>
            <w:shd w:val="clear" w:color="auto" w:fill="auto"/>
          </w:tcPr>
          <w:p w:rsidR="00EC1537" w:rsidRPr="00C527D7" w:rsidP="00DC0675" w14:paraId="72D7BD8F" w14:textId="77777777">
            <w:pPr>
              <w:keepNext/>
              <w:keepLines/>
              <w:jc w:val="center"/>
              <w:outlineLvl w:val="0"/>
              <w:rPr>
                <w:b/>
                <w:szCs w:val="22"/>
              </w:rPr>
            </w:pPr>
            <w:r w:rsidRPr="00C527D7">
              <w:rPr>
                <w:b/>
                <w:szCs w:val="22"/>
              </w:rPr>
              <w:t>Application</w:t>
            </w:r>
          </w:p>
          <w:p w:rsidR="00EC1537" w:rsidP="00DC0675" w14:paraId="59901B92" w14:textId="77777777">
            <w:pPr>
              <w:pStyle w:val="ParaNum"/>
              <w:numPr>
                <w:ilvl w:val="0"/>
                <w:numId w:val="0"/>
              </w:numPr>
              <w:jc w:val="center"/>
            </w:pPr>
            <w:r w:rsidRPr="00C527D7">
              <w:rPr>
                <w:b/>
                <w:szCs w:val="22"/>
              </w:rPr>
              <w:t>Number</w:t>
            </w:r>
          </w:p>
        </w:tc>
        <w:tc>
          <w:tcPr>
            <w:tcW w:w="2158" w:type="dxa"/>
            <w:shd w:val="clear" w:color="auto" w:fill="auto"/>
          </w:tcPr>
          <w:p w:rsidR="00EC1537" w:rsidRPr="00C527D7" w:rsidP="00DC0675" w14:paraId="087E9D5D" w14:textId="77777777">
            <w:pPr>
              <w:keepNext/>
              <w:keepLines/>
              <w:jc w:val="center"/>
              <w:outlineLvl w:val="0"/>
              <w:rPr>
                <w:b/>
                <w:szCs w:val="22"/>
              </w:rPr>
            </w:pPr>
            <w:r w:rsidRPr="00C527D7">
              <w:rPr>
                <w:b/>
                <w:szCs w:val="22"/>
              </w:rPr>
              <w:t>Funding</w:t>
            </w:r>
          </w:p>
          <w:p w:rsidR="00EC1537" w:rsidP="00DC0675" w14:paraId="7C67ACC8" w14:textId="77777777">
            <w:pPr>
              <w:pStyle w:val="ParaNum"/>
              <w:numPr>
                <w:ilvl w:val="0"/>
                <w:numId w:val="0"/>
              </w:numPr>
              <w:jc w:val="center"/>
            </w:pPr>
            <w:r w:rsidRPr="00C527D7">
              <w:rPr>
                <w:b/>
                <w:szCs w:val="22"/>
              </w:rPr>
              <w:t>Year</w:t>
            </w:r>
          </w:p>
        </w:tc>
        <w:tc>
          <w:tcPr>
            <w:tcW w:w="2158" w:type="dxa"/>
            <w:shd w:val="clear" w:color="auto" w:fill="auto"/>
          </w:tcPr>
          <w:p w:rsidR="00EC1537" w:rsidP="00DC0675" w14:paraId="305C771C" w14:textId="77777777">
            <w:pPr>
              <w:pStyle w:val="ParaNum"/>
              <w:numPr>
                <w:ilvl w:val="0"/>
                <w:numId w:val="0"/>
              </w:numPr>
              <w:jc w:val="center"/>
            </w:pPr>
            <w:r w:rsidRPr="00C527D7">
              <w:rPr>
                <w:b/>
                <w:szCs w:val="22"/>
              </w:rPr>
              <w:t>Date Filed</w:t>
            </w:r>
          </w:p>
        </w:tc>
      </w:tr>
      <w:tr w14:paraId="2D374308" w14:textId="77777777" w:rsidTr="00DC0675">
        <w:tblPrEx>
          <w:tblW w:w="0" w:type="auto"/>
          <w:tblInd w:w="-5" w:type="dxa"/>
          <w:tblLook w:val="04A0"/>
        </w:tblPrEx>
        <w:tc>
          <w:tcPr>
            <w:tcW w:w="2340" w:type="dxa"/>
            <w:shd w:val="clear" w:color="auto" w:fill="auto"/>
          </w:tcPr>
          <w:p w:rsidR="00EC1537" w:rsidRPr="00C527D7" w:rsidP="00DC0675" w14:paraId="791A0232" w14:textId="77777777">
            <w:pPr>
              <w:pStyle w:val="ParaNum"/>
              <w:numPr>
                <w:ilvl w:val="0"/>
                <w:numId w:val="0"/>
              </w:numPr>
              <w:rPr>
                <w:bCs/>
                <w:szCs w:val="22"/>
              </w:rPr>
            </w:pPr>
            <w:r w:rsidRPr="00C527D7">
              <w:rPr>
                <w:bCs/>
                <w:szCs w:val="22"/>
              </w:rPr>
              <w:t>Calloway County Library, KY</w:t>
            </w:r>
          </w:p>
        </w:tc>
        <w:tc>
          <w:tcPr>
            <w:tcW w:w="2699" w:type="dxa"/>
            <w:shd w:val="clear" w:color="auto" w:fill="auto"/>
          </w:tcPr>
          <w:p w:rsidR="00EC1537" w:rsidRPr="00C527D7" w:rsidP="00DC0675" w14:paraId="75D333DE" w14:textId="77777777">
            <w:pPr>
              <w:keepNext/>
              <w:keepLines/>
              <w:jc w:val="center"/>
              <w:outlineLvl w:val="0"/>
              <w:rPr>
                <w:bCs/>
                <w:szCs w:val="22"/>
              </w:rPr>
            </w:pPr>
            <w:r w:rsidRPr="00C527D7">
              <w:rPr>
                <w:bCs/>
                <w:szCs w:val="22"/>
              </w:rPr>
              <w:t>231029907</w:t>
            </w:r>
          </w:p>
        </w:tc>
        <w:tc>
          <w:tcPr>
            <w:tcW w:w="2158" w:type="dxa"/>
            <w:shd w:val="clear" w:color="auto" w:fill="auto"/>
          </w:tcPr>
          <w:p w:rsidR="00EC1537" w:rsidRPr="00C527D7" w:rsidP="00DC0675" w14:paraId="4279C7A8" w14:textId="77777777">
            <w:pPr>
              <w:keepNext/>
              <w:keepLines/>
              <w:jc w:val="center"/>
              <w:outlineLvl w:val="0"/>
              <w:rPr>
                <w:bCs/>
                <w:szCs w:val="22"/>
              </w:rPr>
            </w:pPr>
            <w:r w:rsidRPr="00C527D7">
              <w:rPr>
                <w:bCs/>
                <w:szCs w:val="22"/>
              </w:rPr>
              <w:t>2023</w:t>
            </w:r>
          </w:p>
        </w:tc>
        <w:tc>
          <w:tcPr>
            <w:tcW w:w="2158" w:type="dxa"/>
            <w:shd w:val="clear" w:color="auto" w:fill="auto"/>
          </w:tcPr>
          <w:p w:rsidR="00EC1537" w:rsidRPr="00C527D7" w:rsidP="00DC0675" w14:paraId="54ED432F" w14:textId="77777777">
            <w:pPr>
              <w:pStyle w:val="ParaNum"/>
              <w:numPr>
                <w:ilvl w:val="0"/>
                <w:numId w:val="0"/>
              </w:numPr>
              <w:jc w:val="center"/>
              <w:rPr>
                <w:bCs/>
                <w:szCs w:val="22"/>
              </w:rPr>
            </w:pPr>
            <w:r w:rsidRPr="00C527D7">
              <w:rPr>
                <w:bCs/>
                <w:szCs w:val="22"/>
              </w:rPr>
              <w:t>Aug. 12, 2024</w:t>
            </w:r>
          </w:p>
        </w:tc>
      </w:tr>
      <w:bookmarkEnd w:id="5"/>
      <w:tr w14:paraId="4A7D18E6" w14:textId="77777777" w:rsidTr="00DC0675">
        <w:tblPrEx>
          <w:tblW w:w="0" w:type="auto"/>
          <w:tblInd w:w="-5" w:type="dxa"/>
          <w:tblLook w:val="04A0"/>
        </w:tblPrEx>
        <w:tc>
          <w:tcPr>
            <w:tcW w:w="2340" w:type="dxa"/>
            <w:shd w:val="clear" w:color="auto" w:fill="auto"/>
          </w:tcPr>
          <w:p w:rsidR="00EC1537" w:rsidP="00DC0675" w14:paraId="3C136565" w14:textId="77777777">
            <w:pPr>
              <w:pStyle w:val="ParaNum"/>
              <w:numPr>
                <w:ilvl w:val="0"/>
                <w:numId w:val="0"/>
              </w:numPr>
            </w:pPr>
            <w:r>
              <w:t>Educational Service Center (ESC) of Central Ohio, OH</w:t>
            </w:r>
          </w:p>
        </w:tc>
        <w:tc>
          <w:tcPr>
            <w:tcW w:w="2699" w:type="dxa"/>
            <w:shd w:val="clear" w:color="auto" w:fill="auto"/>
          </w:tcPr>
          <w:p w:rsidR="00EC1537" w:rsidP="00DC0675" w14:paraId="4F25A536" w14:textId="77777777">
            <w:pPr>
              <w:pStyle w:val="ParaNum"/>
              <w:numPr>
                <w:ilvl w:val="0"/>
                <w:numId w:val="0"/>
              </w:numPr>
              <w:jc w:val="center"/>
            </w:pPr>
            <w:r>
              <w:t>191000517</w:t>
            </w:r>
          </w:p>
        </w:tc>
        <w:tc>
          <w:tcPr>
            <w:tcW w:w="2158" w:type="dxa"/>
            <w:shd w:val="clear" w:color="auto" w:fill="auto"/>
          </w:tcPr>
          <w:p w:rsidR="00EC1537" w:rsidP="00DC0675" w14:paraId="723FFA6E" w14:textId="77777777">
            <w:pPr>
              <w:pStyle w:val="ParaNum"/>
              <w:numPr>
                <w:ilvl w:val="0"/>
                <w:numId w:val="0"/>
              </w:numPr>
              <w:jc w:val="center"/>
            </w:pPr>
            <w:r>
              <w:t>2019</w:t>
            </w:r>
          </w:p>
        </w:tc>
        <w:tc>
          <w:tcPr>
            <w:tcW w:w="2158" w:type="dxa"/>
            <w:shd w:val="clear" w:color="auto" w:fill="auto"/>
          </w:tcPr>
          <w:p w:rsidR="00EC1537" w:rsidP="00DC0675" w14:paraId="1B774ACB" w14:textId="77777777">
            <w:pPr>
              <w:pStyle w:val="ParaNum"/>
              <w:numPr>
                <w:ilvl w:val="0"/>
                <w:numId w:val="0"/>
              </w:numPr>
              <w:jc w:val="center"/>
            </w:pPr>
            <w:r>
              <w:t>Aug. 17, 2021</w:t>
            </w:r>
          </w:p>
        </w:tc>
      </w:tr>
      <w:tr w14:paraId="6E6B51C8" w14:textId="77777777" w:rsidTr="00DC0675">
        <w:tblPrEx>
          <w:tblW w:w="0" w:type="auto"/>
          <w:tblInd w:w="-5" w:type="dxa"/>
          <w:tblLook w:val="04A0"/>
        </w:tblPrEx>
        <w:tc>
          <w:tcPr>
            <w:tcW w:w="2340" w:type="dxa"/>
            <w:shd w:val="clear" w:color="auto" w:fill="auto"/>
          </w:tcPr>
          <w:p w:rsidR="00EC1537" w:rsidP="00DC0675" w14:paraId="3C311083" w14:textId="77777777">
            <w:pPr>
              <w:pStyle w:val="ParaNum"/>
              <w:numPr>
                <w:ilvl w:val="0"/>
                <w:numId w:val="0"/>
              </w:numPr>
            </w:pPr>
            <w:r>
              <w:t>Equality Charter School, NY</w:t>
            </w:r>
          </w:p>
        </w:tc>
        <w:tc>
          <w:tcPr>
            <w:tcW w:w="2699" w:type="dxa"/>
            <w:shd w:val="clear" w:color="auto" w:fill="auto"/>
          </w:tcPr>
          <w:p w:rsidR="00EC1537" w:rsidP="00DC0675" w14:paraId="41534D14" w14:textId="77777777">
            <w:pPr>
              <w:pStyle w:val="ParaNum"/>
              <w:numPr>
                <w:ilvl w:val="0"/>
                <w:numId w:val="0"/>
              </w:numPr>
              <w:jc w:val="center"/>
            </w:pPr>
            <w:r>
              <w:t>997455</w:t>
            </w:r>
          </w:p>
          <w:p w:rsidR="00EC1537" w:rsidP="00DC0675" w14:paraId="33C0C9CA" w14:textId="77777777">
            <w:pPr>
              <w:pStyle w:val="ParaNum"/>
              <w:numPr>
                <w:ilvl w:val="0"/>
                <w:numId w:val="0"/>
              </w:numPr>
              <w:jc w:val="center"/>
            </w:pPr>
            <w:r>
              <w:t>161031362</w:t>
            </w:r>
          </w:p>
        </w:tc>
        <w:tc>
          <w:tcPr>
            <w:tcW w:w="2158" w:type="dxa"/>
            <w:shd w:val="clear" w:color="auto" w:fill="auto"/>
          </w:tcPr>
          <w:p w:rsidR="00EC1537" w:rsidP="00DC0675" w14:paraId="060A15D7" w14:textId="77777777">
            <w:pPr>
              <w:pStyle w:val="ParaNum"/>
              <w:numPr>
                <w:ilvl w:val="0"/>
                <w:numId w:val="0"/>
              </w:numPr>
              <w:jc w:val="center"/>
            </w:pPr>
            <w:r>
              <w:t>2015</w:t>
            </w:r>
          </w:p>
          <w:p w:rsidR="00EC1537" w:rsidP="00DC0675" w14:paraId="4BF48936" w14:textId="77777777">
            <w:pPr>
              <w:pStyle w:val="ParaNum"/>
              <w:numPr>
                <w:ilvl w:val="0"/>
                <w:numId w:val="0"/>
              </w:numPr>
              <w:jc w:val="center"/>
            </w:pPr>
            <w:r>
              <w:t>2016</w:t>
            </w:r>
          </w:p>
        </w:tc>
        <w:tc>
          <w:tcPr>
            <w:tcW w:w="2158" w:type="dxa"/>
            <w:shd w:val="clear" w:color="auto" w:fill="auto"/>
          </w:tcPr>
          <w:p w:rsidR="00EC1537" w:rsidP="00DC0675" w14:paraId="7F40A79E" w14:textId="77777777">
            <w:pPr>
              <w:pStyle w:val="ParaNum"/>
              <w:numPr>
                <w:ilvl w:val="0"/>
                <w:numId w:val="0"/>
              </w:numPr>
              <w:jc w:val="center"/>
            </w:pPr>
            <w:r>
              <w:t>Mar. 13, 2017</w:t>
            </w:r>
          </w:p>
        </w:tc>
      </w:tr>
      <w:tr w14:paraId="056C9B5F" w14:textId="77777777" w:rsidTr="00DC0675">
        <w:tblPrEx>
          <w:tblW w:w="0" w:type="auto"/>
          <w:tblInd w:w="-5" w:type="dxa"/>
          <w:tblLook w:val="04A0"/>
        </w:tblPrEx>
        <w:tc>
          <w:tcPr>
            <w:tcW w:w="2340" w:type="dxa"/>
            <w:shd w:val="clear" w:color="auto" w:fill="auto"/>
          </w:tcPr>
          <w:p w:rsidR="00EC1537" w:rsidP="00DC0675" w14:paraId="262D4963" w14:textId="77777777">
            <w:pPr>
              <w:pStyle w:val="ParaNum"/>
              <w:numPr>
                <w:ilvl w:val="0"/>
                <w:numId w:val="0"/>
              </w:numPr>
            </w:pPr>
            <w:r>
              <w:t>KIPP Tulsa Academy, OK</w:t>
            </w:r>
          </w:p>
        </w:tc>
        <w:tc>
          <w:tcPr>
            <w:tcW w:w="2699" w:type="dxa"/>
            <w:shd w:val="clear" w:color="auto" w:fill="auto"/>
          </w:tcPr>
          <w:p w:rsidR="00EC1537" w:rsidP="00DC0675" w14:paraId="32652BD0" w14:textId="77777777">
            <w:pPr>
              <w:pStyle w:val="ParaNum"/>
              <w:numPr>
                <w:ilvl w:val="0"/>
                <w:numId w:val="0"/>
              </w:numPr>
              <w:jc w:val="center"/>
            </w:pPr>
            <w:r>
              <w:t>1043369</w:t>
            </w:r>
          </w:p>
        </w:tc>
        <w:tc>
          <w:tcPr>
            <w:tcW w:w="2158" w:type="dxa"/>
            <w:shd w:val="clear" w:color="auto" w:fill="auto"/>
          </w:tcPr>
          <w:p w:rsidR="00EC1537" w:rsidP="00DC0675" w14:paraId="6E4EA406" w14:textId="77777777">
            <w:pPr>
              <w:pStyle w:val="ParaNum"/>
              <w:numPr>
                <w:ilvl w:val="0"/>
                <w:numId w:val="0"/>
              </w:numPr>
              <w:jc w:val="center"/>
            </w:pPr>
            <w:r>
              <w:t>2015</w:t>
            </w:r>
          </w:p>
        </w:tc>
        <w:tc>
          <w:tcPr>
            <w:tcW w:w="2158" w:type="dxa"/>
            <w:shd w:val="clear" w:color="auto" w:fill="auto"/>
          </w:tcPr>
          <w:p w:rsidR="00EC1537" w:rsidP="00DC0675" w14:paraId="59F775BC" w14:textId="77777777">
            <w:pPr>
              <w:pStyle w:val="ParaNum"/>
              <w:numPr>
                <w:ilvl w:val="0"/>
                <w:numId w:val="0"/>
              </w:numPr>
              <w:jc w:val="center"/>
            </w:pPr>
            <w:r>
              <w:t>Feb. 20, 2018</w:t>
            </w:r>
          </w:p>
        </w:tc>
      </w:tr>
      <w:tr w14:paraId="2EB75526" w14:textId="77777777" w:rsidTr="00DC0675">
        <w:tblPrEx>
          <w:tblW w:w="0" w:type="auto"/>
          <w:tblInd w:w="-5" w:type="dxa"/>
          <w:tblLook w:val="04A0"/>
        </w:tblPrEx>
        <w:tc>
          <w:tcPr>
            <w:tcW w:w="2340" w:type="dxa"/>
            <w:shd w:val="clear" w:color="auto" w:fill="auto"/>
          </w:tcPr>
          <w:p w:rsidR="00EC1537" w:rsidP="00DC0675" w14:paraId="32913878" w14:textId="77777777">
            <w:pPr>
              <w:pStyle w:val="ParaNum"/>
              <w:numPr>
                <w:ilvl w:val="0"/>
                <w:numId w:val="0"/>
              </w:numPr>
            </w:pPr>
            <w:r>
              <w:t>Memphis Street Academy Charter School, PA</w:t>
            </w:r>
          </w:p>
        </w:tc>
        <w:tc>
          <w:tcPr>
            <w:tcW w:w="2699" w:type="dxa"/>
            <w:shd w:val="clear" w:color="auto" w:fill="auto"/>
          </w:tcPr>
          <w:p w:rsidR="00EC1537" w:rsidP="00DC0675" w14:paraId="08302CD6" w14:textId="77777777">
            <w:pPr>
              <w:pStyle w:val="ParaNum"/>
              <w:numPr>
                <w:ilvl w:val="0"/>
                <w:numId w:val="0"/>
              </w:numPr>
              <w:jc w:val="center"/>
            </w:pPr>
            <w:r>
              <w:t>9988138</w:t>
            </w:r>
          </w:p>
        </w:tc>
        <w:tc>
          <w:tcPr>
            <w:tcW w:w="2158" w:type="dxa"/>
            <w:shd w:val="clear" w:color="auto" w:fill="auto"/>
          </w:tcPr>
          <w:p w:rsidR="00EC1537" w:rsidP="00DC0675" w14:paraId="3B34CE08" w14:textId="77777777">
            <w:pPr>
              <w:pStyle w:val="ParaNum"/>
              <w:numPr>
                <w:ilvl w:val="0"/>
                <w:numId w:val="0"/>
              </w:numPr>
              <w:jc w:val="center"/>
            </w:pPr>
            <w:r>
              <w:t>2015</w:t>
            </w:r>
          </w:p>
        </w:tc>
        <w:tc>
          <w:tcPr>
            <w:tcW w:w="2158" w:type="dxa"/>
            <w:shd w:val="clear" w:color="auto" w:fill="auto"/>
          </w:tcPr>
          <w:p w:rsidR="00EC1537" w:rsidP="00DC0675" w14:paraId="73D0DCE6" w14:textId="77777777">
            <w:pPr>
              <w:pStyle w:val="ParaNum"/>
              <w:numPr>
                <w:ilvl w:val="0"/>
                <w:numId w:val="0"/>
              </w:numPr>
              <w:jc w:val="center"/>
            </w:pPr>
            <w:r>
              <w:t>Mar. 13, 2017</w:t>
            </w:r>
          </w:p>
        </w:tc>
      </w:tr>
      <w:tr w14:paraId="345CD0DA" w14:textId="77777777" w:rsidTr="00DC0675">
        <w:tblPrEx>
          <w:tblW w:w="0" w:type="auto"/>
          <w:tblInd w:w="-5" w:type="dxa"/>
          <w:tblLook w:val="04A0"/>
        </w:tblPrEx>
        <w:tc>
          <w:tcPr>
            <w:tcW w:w="2340" w:type="dxa"/>
            <w:shd w:val="clear" w:color="auto" w:fill="auto"/>
          </w:tcPr>
          <w:p w:rsidR="00EC1537" w:rsidP="00DC0675" w14:paraId="4A4A545E" w14:textId="77777777">
            <w:pPr>
              <w:pStyle w:val="ParaNum"/>
              <w:numPr>
                <w:ilvl w:val="0"/>
                <w:numId w:val="0"/>
              </w:numPr>
            </w:pPr>
            <w:r>
              <w:t>Sno-Isle Regional Library, WA</w:t>
            </w:r>
          </w:p>
        </w:tc>
        <w:tc>
          <w:tcPr>
            <w:tcW w:w="2699" w:type="dxa"/>
            <w:shd w:val="clear" w:color="auto" w:fill="auto"/>
          </w:tcPr>
          <w:p w:rsidR="00EC1537" w:rsidP="00DC0675" w14:paraId="20937184" w14:textId="77777777">
            <w:pPr>
              <w:pStyle w:val="ParaNum"/>
              <w:numPr>
                <w:ilvl w:val="0"/>
                <w:numId w:val="0"/>
              </w:numPr>
              <w:jc w:val="center"/>
            </w:pPr>
            <w:r>
              <w:t>1014849</w:t>
            </w:r>
          </w:p>
        </w:tc>
        <w:tc>
          <w:tcPr>
            <w:tcW w:w="2158" w:type="dxa"/>
            <w:shd w:val="clear" w:color="auto" w:fill="auto"/>
          </w:tcPr>
          <w:p w:rsidR="00EC1537" w:rsidP="00DC0675" w14:paraId="5376A6D9" w14:textId="77777777">
            <w:pPr>
              <w:pStyle w:val="ParaNum"/>
              <w:numPr>
                <w:ilvl w:val="0"/>
                <w:numId w:val="0"/>
              </w:numPr>
              <w:jc w:val="center"/>
            </w:pPr>
            <w:r>
              <w:t>2015</w:t>
            </w:r>
          </w:p>
        </w:tc>
        <w:tc>
          <w:tcPr>
            <w:tcW w:w="2158" w:type="dxa"/>
            <w:shd w:val="clear" w:color="auto" w:fill="auto"/>
          </w:tcPr>
          <w:p w:rsidR="00EC1537" w:rsidP="00DC0675" w14:paraId="09EBC121" w14:textId="77777777">
            <w:pPr>
              <w:pStyle w:val="ParaNum"/>
              <w:numPr>
                <w:ilvl w:val="0"/>
                <w:numId w:val="0"/>
              </w:numPr>
              <w:jc w:val="center"/>
            </w:pPr>
            <w:r>
              <w:t>Mar. 1, 2017</w:t>
            </w:r>
          </w:p>
        </w:tc>
      </w:tr>
      <w:tr w14:paraId="269F8F36" w14:textId="77777777" w:rsidTr="00DC0675">
        <w:tblPrEx>
          <w:tblW w:w="0" w:type="auto"/>
          <w:tblInd w:w="-5" w:type="dxa"/>
          <w:tblLook w:val="04A0"/>
        </w:tblPrEx>
        <w:tc>
          <w:tcPr>
            <w:tcW w:w="2340" w:type="dxa"/>
            <w:shd w:val="clear" w:color="auto" w:fill="auto"/>
          </w:tcPr>
          <w:p w:rsidR="00EC1537" w:rsidP="00DC0675" w14:paraId="67C50812" w14:textId="77777777">
            <w:pPr>
              <w:pStyle w:val="ParaNum"/>
              <w:numPr>
                <w:ilvl w:val="0"/>
                <w:numId w:val="0"/>
              </w:numPr>
            </w:pPr>
            <w:r>
              <w:t>Washington County School District, UT</w:t>
            </w:r>
          </w:p>
        </w:tc>
        <w:tc>
          <w:tcPr>
            <w:tcW w:w="2699" w:type="dxa"/>
            <w:shd w:val="clear" w:color="auto" w:fill="auto"/>
          </w:tcPr>
          <w:p w:rsidR="00EC1537" w:rsidP="00DC0675" w14:paraId="0CD38251" w14:textId="77777777">
            <w:pPr>
              <w:pStyle w:val="ParaNum"/>
              <w:numPr>
                <w:ilvl w:val="0"/>
                <w:numId w:val="0"/>
              </w:numPr>
              <w:jc w:val="center"/>
            </w:pPr>
            <w:r w:rsidRPr="00355CDE">
              <w:t>181022681</w:t>
            </w:r>
          </w:p>
        </w:tc>
        <w:tc>
          <w:tcPr>
            <w:tcW w:w="2158" w:type="dxa"/>
            <w:shd w:val="clear" w:color="auto" w:fill="auto"/>
          </w:tcPr>
          <w:p w:rsidR="00EC1537" w:rsidP="00DC0675" w14:paraId="293B26DB" w14:textId="77777777">
            <w:pPr>
              <w:pStyle w:val="ParaNum"/>
              <w:numPr>
                <w:ilvl w:val="0"/>
                <w:numId w:val="0"/>
              </w:numPr>
              <w:jc w:val="center"/>
            </w:pPr>
            <w:r>
              <w:t>2018</w:t>
            </w:r>
          </w:p>
        </w:tc>
        <w:tc>
          <w:tcPr>
            <w:tcW w:w="2158" w:type="dxa"/>
            <w:shd w:val="clear" w:color="auto" w:fill="auto"/>
          </w:tcPr>
          <w:p w:rsidR="00EC1537" w:rsidP="00DC0675" w14:paraId="5D4E79B2" w14:textId="77777777">
            <w:pPr>
              <w:pStyle w:val="ParaNum"/>
              <w:numPr>
                <w:ilvl w:val="0"/>
                <w:numId w:val="0"/>
              </w:numPr>
              <w:jc w:val="center"/>
            </w:pPr>
            <w:r>
              <w:t>Mar. 30, 2020</w:t>
            </w:r>
          </w:p>
        </w:tc>
      </w:tr>
    </w:tbl>
    <w:p w:rsidR="00EC1537" w:rsidP="00EC1537" w14:paraId="5245D386" w14:textId="77777777">
      <w:pPr>
        <w:pStyle w:val="Heading1"/>
        <w:numPr>
          <w:ilvl w:val="0"/>
          <w:numId w:val="0"/>
        </w:numPr>
        <w:ind w:left="720" w:hanging="720"/>
      </w:pPr>
    </w:p>
    <w:p w:rsidR="00161724" w:rsidRPr="0019070B" w:rsidP="00161724" w14:paraId="273E85BE"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018DC" w14:paraId="0DCB9549" w14:textId="77777777">
      <w:pPr>
        <w:spacing w:line="20" w:lineRule="exact"/>
      </w:pPr>
    </w:p>
  </w:endnote>
  <w:endnote w:type="continuationSeparator" w:id="1">
    <w:p w:rsidR="000018DC" w14:paraId="446C3E6F" w14:textId="77777777">
      <w:r>
        <w:t xml:space="preserve"> </w:t>
      </w:r>
    </w:p>
  </w:endnote>
  <w:endnote w:type="continuationNotice" w:id="2">
    <w:p w:rsidR="000018DC" w14:paraId="3AF3AB6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ource Code Pro Semibold">
    <w:charset w:val="00"/>
    <w:family w:val="modern"/>
    <w:pitch w:val="fixed"/>
    <w:sig w:usb0="200002F7" w:usb1="020038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7E854EE0"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5B2FDE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2363B4D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431DD375"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7D2FE3C5"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18DC" w14:paraId="3537D11D" w14:textId="77777777">
      <w:r>
        <w:separator/>
      </w:r>
    </w:p>
  </w:footnote>
  <w:footnote w:type="continuationSeparator" w:id="1">
    <w:p w:rsidR="000018DC" w:rsidP="00C721AC" w14:paraId="6ABB597C" w14:textId="77777777">
      <w:pPr>
        <w:spacing w:before="120"/>
        <w:rPr>
          <w:sz w:val="20"/>
        </w:rPr>
      </w:pPr>
      <w:r>
        <w:rPr>
          <w:sz w:val="20"/>
        </w:rPr>
        <w:t xml:space="preserve">(Continued from previous page)  </w:t>
      </w:r>
      <w:r>
        <w:rPr>
          <w:sz w:val="20"/>
        </w:rPr>
        <w:separator/>
      </w:r>
    </w:p>
  </w:footnote>
  <w:footnote w:type="continuationNotice" w:id="2">
    <w:p w:rsidR="000018DC" w:rsidP="00C721AC" w14:paraId="282E256F" w14:textId="77777777">
      <w:pPr>
        <w:jc w:val="right"/>
        <w:rPr>
          <w:sz w:val="20"/>
        </w:rPr>
      </w:pPr>
      <w:r>
        <w:rPr>
          <w:sz w:val="20"/>
        </w:rPr>
        <w:t>(continued….)</w:t>
      </w:r>
    </w:p>
  </w:footnote>
  <w:footnote w:id="3">
    <w:p w:rsidR="00821F59" w:rsidRPr="00755082" w:rsidP="00821F59" w14:paraId="5DA7424B" w14:textId="77777777">
      <w:pPr>
        <w:pStyle w:val="FootnoteText"/>
      </w:pPr>
      <w:r w:rsidRPr="00755082">
        <w:rPr>
          <w:rStyle w:val="FootnoteReference"/>
        </w:rPr>
        <w:footnoteRef/>
      </w:r>
      <w:r w:rsidRPr="00755082">
        <w:t xml:space="preserve"> </w:t>
      </w:r>
      <w:r w:rsidRPr="49030FA5">
        <w:rPr>
          <w:i/>
          <w:iCs/>
        </w:rPr>
        <w:t xml:space="preserve">See Modernizing the E-Rate Program for Schools and Libraries, </w:t>
      </w:r>
      <w:r w:rsidRPr="00755082">
        <w:t>WC Docket No. 13-184, Order and Further Notice of Proposed Rulemaking, 29 FCC Rcd 8870, 8966, para. 240 (2014) (</w:t>
      </w:r>
      <w:r w:rsidRPr="49030FA5">
        <w:rPr>
          <w:i/>
          <w:iCs/>
        </w:rPr>
        <w:t>2014</w:t>
      </w:r>
      <w:r w:rsidRPr="00755082">
        <w:t xml:space="preserve"> </w:t>
      </w:r>
      <w:r w:rsidRPr="00593C8B">
        <w:rPr>
          <w:i/>
          <w:iCs/>
        </w:rPr>
        <w:t>First</w:t>
      </w:r>
      <w:r>
        <w:t xml:space="preserve"> </w:t>
      </w:r>
      <w:r w:rsidRPr="49030FA5">
        <w:rPr>
          <w:i/>
          <w:iCs/>
        </w:rPr>
        <w:t>E-Rate Order</w:t>
      </w:r>
      <w:r w:rsidRPr="00755082">
        <w:t>)</w:t>
      </w:r>
      <w:r w:rsidRPr="49030FA5">
        <w:rPr>
          <w:i/>
          <w:iCs/>
        </w:rPr>
        <w:t>.</w:t>
      </w:r>
      <w:r>
        <w:rPr>
          <w:i/>
          <w:iCs/>
        </w:rPr>
        <w:t xml:space="preserve">  </w:t>
      </w:r>
      <w:r w:rsidRPr="00755082">
        <w:t>The E-Rate program is formally known as the schools and libraries universal service support mechanism.</w:t>
      </w:r>
    </w:p>
  </w:footnote>
  <w:footnote w:id="4">
    <w:p w:rsidR="00821F59" w:rsidRPr="00755082" w:rsidP="00821F59" w14:paraId="74A71D98" w14:textId="77777777">
      <w:pPr>
        <w:pStyle w:val="FootnoteText"/>
      </w:pPr>
      <w:r w:rsidRPr="00755082">
        <w:rPr>
          <w:rStyle w:val="FootnoteReference"/>
        </w:rPr>
        <w:footnoteRef/>
      </w:r>
      <w:r w:rsidRPr="00755082">
        <w:t xml:space="preserve"> </w:t>
      </w:r>
      <w:r>
        <w:t xml:space="preserve">47 CFR </w:t>
      </w:r>
      <w:r>
        <w:rPr>
          <w:rFonts w:ascii="Source Code Pro Semibold" w:hAnsi="Source Code Pro Semibold"/>
        </w:rPr>
        <w:t>§</w:t>
      </w:r>
      <w:r>
        <w:t xml:space="preserve"> 54.504(f).  </w:t>
      </w:r>
    </w:p>
  </w:footnote>
  <w:footnote w:id="5">
    <w:p w:rsidR="00821F59" w:rsidRPr="00755082" w:rsidP="00821F59" w14:paraId="4A275511" w14:textId="77777777">
      <w:pPr>
        <w:pStyle w:val="FootnoteText"/>
      </w:pPr>
      <w:r w:rsidRPr="00755082">
        <w:rPr>
          <w:rStyle w:val="FootnoteReference"/>
        </w:rPr>
        <w:footnoteRef/>
      </w:r>
      <w:r w:rsidRPr="00755082">
        <w:t xml:space="preserve"> Request for Waiver of Aurora Public Library, CC Docket No. 02-6 (filed Jan. 3, 2017); Request for Waiver of Aurora Public Library, CC Docket No. 02-6 (filed July 25, 2018); Request for Waiver of Aurora Public Library, CC Docket No. 02-6 (filed Aug. 23, 2019);</w:t>
      </w:r>
      <w:r w:rsidRPr="008871A0">
        <w:rPr>
          <w:snapToGrid w:val="0"/>
          <w:kern w:val="28"/>
          <w:sz w:val="22"/>
        </w:rPr>
        <w:t xml:space="preserve"> </w:t>
      </w:r>
      <w:r w:rsidRPr="00755082">
        <w:t>Request for Waiver of Central Valley School District 356, CC Docket No. 02-6 (filed Oct. 11, 2016)</w:t>
      </w:r>
      <w:r>
        <w:t xml:space="preserve">; </w:t>
      </w:r>
      <w:r w:rsidRPr="00755082">
        <w:t>Request for Waiver of Hayward Unified School District, CC Docket No. 02-6 (filed Nov. 8, 2019)</w:t>
      </w:r>
      <w:r>
        <w:t xml:space="preserve">; </w:t>
      </w:r>
      <w:r w:rsidRPr="008871A0">
        <w:t xml:space="preserve">Request for Waiver of </w:t>
      </w:r>
      <w:r>
        <w:t>LISA Academy</w:t>
      </w:r>
      <w:r w:rsidRPr="008871A0">
        <w:t xml:space="preserve">, CC Docket No. 02-6 (filed </w:t>
      </w:r>
      <w:r>
        <w:t>Jan. 25</w:t>
      </w:r>
      <w:r w:rsidRPr="008871A0">
        <w:t>, 20</w:t>
      </w:r>
      <w:r>
        <w:t>22</w:t>
      </w:r>
      <w:r w:rsidRPr="008871A0">
        <w:t>)</w:t>
      </w:r>
      <w:r>
        <w:t xml:space="preserve">; Request for Waiver of </w:t>
      </w:r>
      <w:r w:rsidRPr="003F40F2">
        <w:t>Nadaburg</w:t>
      </w:r>
      <w:r w:rsidRPr="003F40F2">
        <w:t xml:space="preserve"> Unified School District</w:t>
      </w:r>
      <w:r>
        <w:t>, CC Docket No. 02-6 (filed Sept. 22, 2022); and</w:t>
      </w:r>
      <w:r w:rsidRPr="00755082">
        <w:t xml:space="preserve"> Request for Waiver of School Board of Marion County, CC Docket No. 02-6 (filed Dec. 15, 2016).  </w:t>
      </w:r>
    </w:p>
  </w:footnote>
  <w:footnote w:id="6">
    <w:p w:rsidR="00821F59" w:rsidP="00821F59" w14:paraId="61F748F6" w14:textId="77777777">
      <w:pPr>
        <w:pStyle w:val="FootnoteText"/>
      </w:pPr>
      <w:r>
        <w:rPr>
          <w:rStyle w:val="FootnoteReference"/>
        </w:rPr>
        <w:footnoteRef/>
      </w:r>
      <w:r>
        <w:t xml:space="preserve"> </w:t>
      </w:r>
      <w:r w:rsidRPr="00765550">
        <w:t xml:space="preserve">Request for Waiver </w:t>
      </w:r>
      <w:r>
        <w:t>of Cesar Chavez Public Charter School, CC Docket No. 02-6 (filed Aug. 13, 2018);</w:t>
      </w:r>
      <w:r w:rsidRPr="00765550">
        <w:rPr>
          <w:snapToGrid w:val="0"/>
          <w:kern w:val="28"/>
          <w:sz w:val="22"/>
        </w:rPr>
        <w:t xml:space="preserve"> </w:t>
      </w:r>
      <w:r w:rsidRPr="00765550">
        <w:t>Request for Waiver</w:t>
      </w:r>
      <w:r>
        <w:t xml:space="preserve"> of </w:t>
      </w:r>
      <w:r>
        <w:t>Commspec</w:t>
      </w:r>
      <w:r>
        <w:t xml:space="preserve">, Inc. (Britton-Deerfield School District), CC Docket No. 02-6 (filed Feb. 12, 2019); Request for Waiver of Philadelphia School District, CC Docket No. 02-6 (filed Aug. 31, 2023), </w:t>
      </w:r>
      <w:bookmarkStart w:id="0" w:name="_Hlk147304660"/>
      <w:r>
        <w:t>Request for Waiver of Philadelphia School District Supplement, CC Docket No. 02-6 (filed Sept. 7, 2023)</w:t>
      </w:r>
      <w:bookmarkEnd w:id="0"/>
      <w:r>
        <w:t xml:space="preserve"> and</w:t>
      </w:r>
      <w:r w:rsidRPr="00327A1F">
        <w:t xml:space="preserve"> Request for Waiver of Philadelphia School District Supplement, CC Docket No. 02-6 (filed Sept. </w:t>
      </w:r>
      <w:r>
        <w:t>29</w:t>
      </w:r>
      <w:r w:rsidRPr="00327A1F">
        <w:t>, 2023)</w:t>
      </w:r>
      <w:r>
        <w:t>.</w:t>
      </w:r>
    </w:p>
  </w:footnote>
  <w:footnote w:id="7">
    <w:p w:rsidR="00AF393E" w:rsidRPr="00755082" w:rsidP="00AF393E" w14:paraId="204736ED" w14:textId="77777777">
      <w:pPr>
        <w:pStyle w:val="FootnoteText"/>
      </w:pPr>
      <w:r w:rsidRPr="00755082">
        <w:rPr>
          <w:rStyle w:val="FootnoteReference"/>
        </w:rPr>
        <w:footnoteRef/>
      </w:r>
      <w:r w:rsidRPr="00755082">
        <w:t xml:space="preserve"> </w:t>
      </w:r>
      <w:r>
        <w:t>Request for Waiver of Calloway County Public Library, CC Docket No. 02-6 (filed Aug. 12, 2024); Request for Waiver of Education Service Central (ESC) of Central Ohio, CC Docket No. 02-6 (filed Aug. 17, 2021) (ESC of Central Ohio);</w:t>
      </w:r>
      <w:r w:rsidRPr="00755082">
        <w:t xml:space="preserve"> Request for Waiver of Equality Charter School, CC Docket No. 02-6 (filed Mar. 13, 2017); Request for Waiver of KIPP Tulsa Academy, CC Docket No. 02-6 (filed Feb. 20, 2018); Request for Waiver of Memphis Street Academy Charter School, CC Docket No. 02-6 (filed Mar. 13, 2017); Request for Waiver of Sno-Isle Regional Library,</w:t>
      </w:r>
      <w:r w:rsidRPr="00755082">
        <w:rPr>
          <w:b/>
          <w:bCs/>
        </w:rPr>
        <w:t xml:space="preserve"> </w:t>
      </w:r>
      <w:r w:rsidRPr="00755082">
        <w:t>CC Docket No. 02-6 (filed Mar. 1, 2017</w:t>
      </w:r>
      <w:r>
        <w:t>); and Request for Review of Washington County School District, CC Docket No. 02-6 (filed Mar. 30, 2020)</w:t>
      </w:r>
      <w:r w:rsidRPr="00755082">
        <w:t xml:space="preserve">.  </w:t>
      </w:r>
    </w:p>
  </w:footnote>
  <w:footnote w:id="8">
    <w:p w:rsidR="00AF393E" w:rsidP="00AF393E" w14:paraId="6712F4BE" w14:textId="77777777">
      <w:pPr>
        <w:pStyle w:val="FootnoteText"/>
      </w:pPr>
      <w:r>
        <w:rPr>
          <w:rStyle w:val="FootnoteReference"/>
        </w:rPr>
        <w:footnoteRef/>
      </w:r>
      <w:r>
        <w:t xml:space="preserve"> </w:t>
      </w:r>
      <w:r w:rsidRPr="0009367D">
        <w:t xml:space="preserve">The “Good  Samaritan” policy </w:t>
      </w:r>
      <w:r>
        <w:t>wa</w:t>
      </w:r>
      <w:r w:rsidRPr="0009367D">
        <w:t xml:space="preserve">s a procedure implemented by USAC that addressed specific situations in which a funding commitment had been approved, services had been rendered and paid for by the applicant at the undiscounted rated during a particular funding year, but the applicant was unable to receive reimbursement for the discount because the service provider originally selected by the applicant had gone out of business or had filed for bankruptcy before processing the reimbursement payment(s) for the applicant.  </w:t>
      </w:r>
      <w:r w:rsidRPr="00806504">
        <w:rPr>
          <w:i/>
          <w:iCs/>
        </w:rPr>
        <w:t>See, e.g</w:t>
      </w:r>
      <w:r>
        <w:t xml:space="preserve">., </w:t>
      </w:r>
      <w:r w:rsidRPr="00AB5376">
        <w:rPr>
          <w:i/>
          <w:iCs/>
        </w:rPr>
        <w:t>Request for Immediate Relief filed by the State of Tennessee, Federal-State Joint Board on Universal Service, Changes to the Board of Directors of the National Exchange Carrier Association, Inc</w:t>
      </w:r>
      <w:r w:rsidRPr="0009367D">
        <w:t>., CC Docket Nos. 96-45, 97-21, Order, 18 FCC Rcd 13581, 13583, para. 6 (2003)</w:t>
      </w:r>
      <w:r>
        <w:t xml:space="preserve"> (explaining the Good Samaritan process)</w:t>
      </w:r>
      <w:r w:rsidRPr="0009367D">
        <w:t>.</w:t>
      </w:r>
    </w:p>
  </w:footnote>
  <w:footnote w:id="9">
    <w:p w:rsidR="00AF393E" w:rsidP="00AF393E" w14:paraId="5D440446" w14:textId="77777777">
      <w:pPr>
        <w:pStyle w:val="FootnoteText"/>
      </w:pPr>
      <w:r>
        <w:rPr>
          <w:rStyle w:val="FootnoteReference"/>
        </w:rPr>
        <w:footnoteRef/>
      </w:r>
      <w:r>
        <w:t xml:space="preserve"> S</w:t>
      </w:r>
      <w:r w:rsidRPr="001E4CB2">
        <w:rPr>
          <w:i/>
          <w:iCs/>
        </w:rPr>
        <w:t>ee</w:t>
      </w:r>
      <w:r w:rsidRPr="001E4CB2">
        <w:rPr>
          <w:i/>
        </w:rPr>
        <w:t xml:space="preserve"> </w:t>
      </w:r>
      <w:r w:rsidRPr="00755082">
        <w:t xml:space="preserve">USAC, FCC Form 472 Filing, </w:t>
      </w:r>
      <w:hyperlink r:id="rId1" w:history="1">
        <w:r w:rsidRPr="00755082">
          <w:rPr>
            <w:snapToGrid w:val="0"/>
            <w:color w:val="0000FF"/>
            <w:kern w:val="28"/>
            <w:u w:val="single"/>
          </w:rPr>
          <w:t>https://www.usac.org/e-rate/applicant-process/invoicing/fcc-form-472-filing/</w:t>
        </w:r>
      </w:hyperlink>
      <w:r w:rsidRPr="00755082">
        <w:t xml:space="preserve"> (last visited </w:t>
      </w:r>
      <w:r>
        <w:t>Apr. 2, 2025</w:t>
      </w:r>
      <w:r w:rsidRPr="00755082">
        <w:t>) (</w:t>
      </w:r>
      <w:r>
        <w:t xml:space="preserve">requiring that the service provider submit its annual FCC Form 473 as part of the </w:t>
      </w:r>
      <w:r w:rsidRPr="00755082">
        <w:t xml:space="preserve">FCC Form 472 </w:t>
      </w:r>
      <w:r>
        <w:t>f</w:t>
      </w:r>
      <w:r w:rsidRPr="00755082">
        <w:t>iling</w:t>
      </w:r>
      <w:r>
        <w:t xml:space="preserve"> process</w:t>
      </w:r>
      <w:r w:rsidRPr="00755082">
        <w:t>).</w:t>
      </w:r>
    </w:p>
  </w:footnote>
  <w:footnote w:id="10">
    <w:p w:rsidR="00AF393E" w:rsidRPr="00263347" w:rsidP="00AF393E" w14:paraId="1564D6D0" w14:textId="77777777">
      <w:pPr>
        <w:pStyle w:val="FootnoteText"/>
      </w:pPr>
      <w:r>
        <w:rPr>
          <w:rStyle w:val="FootnoteReference"/>
        </w:rPr>
        <w:footnoteRef/>
      </w:r>
      <w:r>
        <w:t xml:space="preserve"> </w:t>
      </w:r>
      <w:r w:rsidRPr="00263347">
        <w:rPr>
          <w:i/>
          <w:iCs/>
        </w:rPr>
        <w:t>See</w:t>
      </w:r>
      <w:r w:rsidRPr="00263347">
        <w:t xml:space="preserve"> 47 CFR § 54.504(f). </w:t>
      </w:r>
    </w:p>
  </w:footnote>
  <w:footnote w:id="11">
    <w:p w:rsidR="00860450" w:rsidRPr="00755082" w:rsidP="00860450" w14:paraId="4CDDC730" w14:textId="77777777">
      <w:pPr>
        <w:pStyle w:val="FootnoteText"/>
      </w:pPr>
      <w:r w:rsidRPr="00755082">
        <w:rPr>
          <w:rStyle w:val="FootnoteReference"/>
        </w:rPr>
        <w:footnoteRef/>
      </w:r>
      <w:r w:rsidRPr="00755082">
        <w:t xml:space="preserve"> </w:t>
      </w:r>
      <w:r w:rsidRPr="49030FA5">
        <w:rPr>
          <w:i/>
          <w:iCs/>
        </w:rPr>
        <w:t>See, e.g.</w:t>
      </w:r>
      <w:r w:rsidRPr="00755082">
        <w:t>,</w:t>
      </w:r>
      <w:r w:rsidRPr="49030FA5">
        <w:rPr>
          <w:i/>
          <w:iCs/>
        </w:rPr>
        <w:t xml:space="preserve"> 2014</w:t>
      </w:r>
      <w:r w:rsidRPr="00755082">
        <w:t xml:space="preserve"> </w:t>
      </w:r>
      <w:r w:rsidRPr="004D46D5">
        <w:rPr>
          <w:i/>
          <w:iCs/>
        </w:rPr>
        <w:t>First</w:t>
      </w:r>
      <w:r>
        <w:t xml:space="preserve"> </w:t>
      </w:r>
      <w:r w:rsidRPr="49030FA5">
        <w:rPr>
          <w:i/>
          <w:iCs/>
        </w:rPr>
        <w:t xml:space="preserve">E-Rate Order, </w:t>
      </w:r>
      <w:r w:rsidRPr="00755082">
        <w:t>29 FCC</w:t>
      </w:r>
      <w:r>
        <w:t xml:space="preserve"> Rcd</w:t>
      </w:r>
      <w:r w:rsidRPr="00755082">
        <w:t xml:space="preserve"> at 8964, para. 235; </w:t>
      </w:r>
      <w:bookmarkStart w:id="1" w:name="_Hlk58326613"/>
      <w:r w:rsidRPr="00755082">
        <w:t xml:space="preserve">USAC, Step 5: Invoicing, </w:t>
      </w:r>
      <w:hyperlink r:id="rId2" w:history="1">
        <w:r w:rsidRPr="00755082">
          <w:rPr>
            <w:rStyle w:val="Hyperlink"/>
          </w:rPr>
          <w:t>https://www.usac.org/e-rate/service-providers/step-5-invoicing/</w:t>
        </w:r>
      </w:hyperlink>
      <w:r w:rsidRPr="00755082">
        <w:t xml:space="preserve"> </w:t>
      </w:r>
      <w:r w:rsidRPr="00755082">
        <w:t xml:space="preserve">(last visited </w:t>
      </w:r>
      <w:r>
        <w:t>Apr. 2, 2025</w:t>
      </w:r>
      <w:r w:rsidRPr="00755082">
        <w:t>).</w:t>
      </w:r>
      <w:bookmarkEnd w:id="1"/>
    </w:p>
  </w:footnote>
  <w:footnote w:id="12">
    <w:p w:rsidR="00860450" w:rsidRPr="004E330C" w:rsidP="00860450" w14:paraId="732F578C" w14:textId="77777777">
      <w:pPr>
        <w:pStyle w:val="FootnoteText"/>
      </w:pPr>
      <w:r w:rsidRPr="00755082">
        <w:rPr>
          <w:rStyle w:val="FootnoteReference"/>
        </w:rPr>
        <w:footnoteRef/>
      </w:r>
      <w:r w:rsidRPr="00755082">
        <w:t xml:space="preserve"> </w:t>
      </w:r>
      <w:r w:rsidRPr="00DC09A7">
        <w:t xml:space="preserve">USAC, Step 5: Invoicing, </w:t>
      </w:r>
      <w:hyperlink r:id="rId3" w:history="1">
        <w:r w:rsidRPr="00DC09A7">
          <w:rPr>
            <w:rStyle w:val="Hyperlink"/>
          </w:rPr>
          <w:t>https://www.usac.org/e-rate/service-providers/step-5-invoicing</w:t>
        </w:r>
      </w:hyperlink>
      <w:r w:rsidRPr="00DC09A7">
        <w:t xml:space="preserve">/ </w:t>
      </w:r>
      <w:r w:rsidRPr="004E330C">
        <w:t xml:space="preserve">(last visited </w:t>
      </w:r>
      <w:r>
        <w:t>Apr. 2, 2025</w:t>
      </w:r>
      <w:r w:rsidRPr="004E330C">
        <w:t>).</w:t>
      </w:r>
    </w:p>
  </w:footnote>
  <w:footnote w:id="13">
    <w:p w:rsidR="00860450" w:rsidRPr="00755082" w:rsidP="00860450" w14:paraId="7A3E9143" w14:textId="77777777">
      <w:pPr>
        <w:pStyle w:val="FootnoteText"/>
      </w:pPr>
      <w:r w:rsidRPr="00755082">
        <w:rPr>
          <w:rStyle w:val="FootnoteReference"/>
        </w:rPr>
        <w:footnoteRef/>
      </w:r>
      <w:r w:rsidRPr="00755082">
        <w:t xml:space="preserve"> </w:t>
      </w:r>
      <w:r>
        <w:t xml:space="preserve">Universal Service for Schools and Libraries Billed Entity Applicant Reimbursement (BEAR) Form, </w:t>
      </w:r>
      <w:r w:rsidRPr="00755082">
        <w:t>FCC Form 472</w:t>
      </w:r>
      <w:r>
        <w:t>, OMB Approval No. 3060-0856 (FCC Form 472)</w:t>
      </w:r>
      <w:r w:rsidRPr="00755082">
        <w:t>.</w:t>
      </w:r>
    </w:p>
  </w:footnote>
  <w:footnote w:id="14">
    <w:p w:rsidR="00860450" w:rsidRPr="00755082" w:rsidP="00860450" w14:paraId="4D57BDD6" w14:textId="77777777">
      <w:pPr>
        <w:pStyle w:val="FootnoteText"/>
      </w:pPr>
      <w:r w:rsidRPr="00755082">
        <w:rPr>
          <w:rStyle w:val="FootnoteReference"/>
        </w:rPr>
        <w:footnoteRef/>
      </w:r>
      <w:r w:rsidRPr="00755082">
        <w:t xml:space="preserve"> 47 CFR § 54.504(f); </w:t>
      </w:r>
      <w:r>
        <w:t xml:space="preserve">Universal Service for Schools and Libraries Service Provider Annual Certification Form, FCC Form 473, </w:t>
      </w:r>
      <w:r w:rsidRPr="00755082">
        <w:t>OMB Approval No. 3060-0856</w:t>
      </w:r>
      <w:r>
        <w:t>(FCC Form 473)</w:t>
      </w:r>
      <w:r w:rsidRPr="00755082">
        <w:t xml:space="preserve">; </w:t>
      </w:r>
      <w:r w:rsidRPr="49030FA5">
        <w:rPr>
          <w:i/>
          <w:iCs/>
        </w:rPr>
        <w:t xml:space="preserve">see </w:t>
      </w:r>
      <w:r w:rsidRPr="49030FA5">
        <w:t>USAC, FCC Form 473</w:t>
      </w:r>
      <w:r w:rsidRPr="49030FA5">
        <w:rPr>
          <w:i/>
          <w:iCs/>
        </w:rPr>
        <w:t xml:space="preserve"> </w:t>
      </w:r>
      <w:hyperlink r:id="rId4" w:history="1">
        <w:r w:rsidRPr="00755082">
          <w:rPr>
            <w:snapToGrid w:val="0"/>
            <w:color w:val="0000FF"/>
            <w:kern w:val="28"/>
            <w:u w:val="single"/>
          </w:rPr>
          <w:t>https://www.usac.org/e-rate/service-providers/step-3-winning-the-bid/fcc-form-473-filing/</w:t>
        </w:r>
      </w:hyperlink>
      <w:r w:rsidRPr="00755082">
        <w:t xml:space="preserve"> (last visited </w:t>
      </w:r>
      <w:r>
        <w:t>Apr. 2, 2025</w:t>
      </w:r>
      <w:r w:rsidRPr="00755082">
        <w:t>).</w:t>
      </w:r>
    </w:p>
  </w:footnote>
  <w:footnote w:id="15">
    <w:p w:rsidR="00860450" w:rsidRPr="00755082" w:rsidP="00860450" w14:paraId="3A1A9661" w14:textId="77777777">
      <w:pPr>
        <w:pStyle w:val="FootnoteText"/>
      </w:pPr>
      <w:r w:rsidRPr="00755082">
        <w:rPr>
          <w:rStyle w:val="FootnoteReference"/>
        </w:rPr>
        <w:footnoteRef/>
      </w:r>
      <w:r w:rsidRPr="00755082">
        <w:t xml:space="preserve"> </w:t>
      </w:r>
      <w:bookmarkStart w:id="2" w:name="_Hlk54270033"/>
      <w:r w:rsidRPr="49030FA5">
        <w:rPr>
          <w:i/>
          <w:iCs/>
        </w:rPr>
        <w:t xml:space="preserve">See </w:t>
      </w:r>
      <w:r w:rsidRPr="00755082">
        <w:t>47 CFR § 54.504(f).</w:t>
      </w:r>
      <w:bookmarkEnd w:id="2"/>
    </w:p>
  </w:footnote>
  <w:footnote w:id="16">
    <w:p w:rsidR="00CA1708" w:rsidRPr="00755082" w:rsidP="00CA1708" w14:paraId="08DFAC7C" w14:textId="77777777">
      <w:pPr>
        <w:pStyle w:val="FootnoteText"/>
      </w:pPr>
      <w:r w:rsidRPr="00755082">
        <w:rPr>
          <w:rStyle w:val="FootnoteReference"/>
        </w:rPr>
        <w:footnoteRef/>
      </w:r>
      <w:r w:rsidRPr="00755082">
        <w:t xml:space="preserve"> </w:t>
      </w:r>
      <w:r w:rsidRPr="49030FA5">
        <w:rPr>
          <w:i/>
          <w:iCs/>
        </w:rPr>
        <w:t xml:space="preserve">See </w:t>
      </w:r>
      <w:r>
        <w:rPr>
          <w:i/>
          <w:iCs/>
        </w:rPr>
        <w:t xml:space="preserve">id.  </w:t>
      </w:r>
    </w:p>
  </w:footnote>
  <w:footnote w:id="17">
    <w:p w:rsidR="00A3305D" w:rsidRPr="00755082" w:rsidP="00A3305D" w14:paraId="39C6838B" w14:textId="77777777">
      <w:pPr>
        <w:pStyle w:val="FootnoteText"/>
      </w:pPr>
      <w:r w:rsidRPr="00755082">
        <w:rPr>
          <w:rStyle w:val="FootnoteReference"/>
        </w:rPr>
        <w:footnoteRef/>
      </w:r>
      <w:r w:rsidRPr="00755082">
        <w:t xml:space="preserve"> </w:t>
      </w:r>
      <w:r w:rsidRPr="004C6FE8">
        <w:rPr>
          <w:i/>
          <w:iCs/>
        </w:rPr>
        <w:t>Id</w:t>
      </w:r>
      <w:r>
        <w:t xml:space="preserve">.  </w:t>
      </w:r>
    </w:p>
  </w:footnote>
  <w:footnote w:id="18">
    <w:p w:rsidR="00A3305D" w:rsidRPr="00755082" w:rsidP="00A3305D" w14:paraId="0FB1402B" w14:textId="77777777">
      <w:pPr>
        <w:pStyle w:val="FootnoteText"/>
      </w:pPr>
      <w:r w:rsidRPr="00755082">
        <w:rPr>
          <w:rStyle w:val="FootnoteReference"/>
        </w:rPr>
        <w:footnoteRef/>
      </w:r>
      <w:r w:rsidRPr="00755082">
        <w:t xml:space="preserve"> </w:t>
      </w:r>
      <w:r w:rsidRPr="49030FA5">
        <w:rPr>
          <w:i/>
          <w:iCs/>
        </w:rPr>
        <w:t>Request for Immediate Relief Filed by The State of Tennessee, Federal-State Joint Board on Universal Service</w:t>
      </w:r>
      <w:r w:rsidRPr="00755082">
        <w:t>, CC Docket No. 96-45, Order, 18 FCC Rcd 13581, 13583, para. 6 (2003).</w:t>
      </w:r>
    </w:p>
  </w:footnote>
  <w:footnote w:id="19">
    <w:p w:rsidR="00A3305D" w:rsidRPr="00755082" w:rsidP="00A3305D" w14:paraId="1DF76ED7" w14:textId="77777777">
      <w:pPr>
        <w:pStyle w:val="FootnoteText"/>
      </w:pPr>
      <w:r w:rsidRPr="00755082">
        <w:rPr>
          <w:rStyle w:val="FootnoteReference"/>
        </w:rPr>
        <w:footnoteRef/>
      </w:r>
      <w:r w:rsidRPr="00755082">
        <w:t xml:space="preserve"> </w:t>
      </w:r>
      <w:r w:rsidRPr="49030FA5">
        <w:rPr>
          <w:i/>
          <w:iCs/>
        </w:rPr>
        <w:t>Id.</w:t>
      </w:r>
    </w:p>
  </w:footnote>
  <w:footnote w:id="20">
    <w:p w:rsidR="00A3305D" w:rsidRPr="00755082" w:rsidP="00A3305D" w14:paraId="3863F0F1" w14:textId="77777777">
      <w:pPr>
        <w:pStyle w:val="FootnoteText"/>
      </w:pPr>
      <w:r w:rsidRPr="00755082">
        <w:rPr>
          <w:rStyle w:val="FootnoteReference"/>
        </w:rPr>
        <w:footnoteRef/>
      </w:r>
      <w:r w:rsidRPr="00755082">
        <w:t xml:space="preserve"> </w:t>
      </w:r>
      <w:r w:rsidRPr="49030FA5">
        <w:rPr>
          <w:i/>
          <w:iCs/>
        </w:rPr>
        <w:t>See BellSouth Corporation Petition for Clarification of Request for Immediate Relief Filed by The State of Tennessee, Federal-State Joint Board on Universal Service</w:t>
      </w:r>
      <w:r w:rsidRPr="00755082">
        <w:t xml:space="preserve">, CC Docket No. 96-45, Order, 18 FCC Rcd 24688, 24689, para. 16 &amp; n.7 (2003); </w:t>
      </w:r>
      <w:r w:rsidRPr="49030FA5">
        <w:rPr>
          <w:i/>
          <w:iCs/>
        </w:rPr>
        <w:t>Comprehensive Review of Universal Service Fund Management, Administration, And Oversight, Federal-State Joint Board on Universal Service, Schools and Libraries Universal Service Support Mechanism</w:t>
      </w:r>
      <w:r w:rsidRPr="00755082">
        <w:t xml:space="preserve">, WC Docket No. 05-195, CC Dockets No. 96-45, 02-6, Notice of Proposed Rulemaking, 20 FCC Rcd 11308, </w:t>
      </w:r>
      <w:r>
        <w:t xml:space="preserve">11325, para. 40, </w:t>
      </w:r>
      <w:r w:rsidRPr="00755082">
        <w:t>n.94 (2005).</w:t>
      </w:r>
    </w:p>
  </w:footnote>
  <w:footnote w:id="21">
    <w:p w:rsidR="00A72E59" w:rsidRPr="00755082" w:rsidP="00A72E59" w14:paraId="7464704E" w14:textId="77777777">
      <w:pPr>
        <w:pStyle w:val="FootnoteText"/>
      </w:pPr>
      <w:r w:rsidRPr="00755082">
        <w:rPr>
          <w:rStyle w:val="FootnoteReference"/>
        </w:rPr>
        <w:footnoteRef/>
      </w:r>
      <w:r w:rsidRPr="00755082">
        <w:t xml:space="preserve"> </w:t>
      </w:r>
      <w:r w:rsidRPr="49030FA5">
        <w:rPr>
          <w:i/>
          <w:iCs/>
        </w:rPr>
        <w:t>2014</w:t>
      </w:r>
      <w:r w:rsidRPr="00755082">
        <w:t xml:space="preserve"> </w:t>
      </w:r>
      <w:r w:rsidRPr="00B83E30">
        <w:rPr>
          <w:i/>
          <w:iCs/>
        </w:rPr>
        <w:t>First</w:t>
      </w:r>
      <w:r>
        <w:t xml:space="preserve"> </w:t>
      </w:r>
      <w:r w:rsidRPr="49030FA5">
        <w:rPr>
          <w:i/>
          <w:iCs/>
        </w:rPr>
        <w:t>E-Rate Order</w:t>
      </w:r>
      <w:r w:rsidRPr="00755082">
        <w:t>, 29 FCC Rcd at 8963, para. 233.</w:t>
      </w:r>
    </w:p>
  </w:footnote>
  <w:footnote w:id="22">
    <w:p w:rsidR="00A72E59" w:rsidRPr="00755082" w:rsidP="00A72E59" w14:paraId="4C355932" w14:textId="77777777">
      <w:pPr>
        <w:pStyle w:val="FootnoteText"/>
      </w:pPr>
      <w:r w:rsidRPr="00755082">
        <w:rPr>
          <w:rStyle w:val="FootnoteReference"/>
        </w:rPr>
        <w:footnoteRef/>
      </w:r>
      <w:r w:rsidRPr="00755082">
        <w:t xml:space="preserve"> </w:t>
      </w:r>
      <w:r w:rsidRPr="004E271B">
        <w:rPr>
          <w:i/>
          <w:iCs/>
        </w:rPr>
        <w:t>Id</w:t>
      </w:r>
      <w:r>
        <w:t xml:space="preserve">. at </w:t>
      </w:r>
      <w:r w:rsidRPr="004E271B">
        <w:t>8965, para. 237</w:t>
      </w:r>
      <w:r>
        <w:t xml:space="preserve">; </w:t>
      </w:r>
      <w:r w:rsidRPr="00395147">
        <w:rPr>
          <w:i/>
          <w:iCs/>
        </w:rPr>
        <w:t xml:space="preserve">see </w:t>
      </w:r>
      <w:r>
        <w:rPr>
          <w:i/>
          <w:iCs/>
        </w:rPr>
        <w:t xml:space="preserve">also </w:t>
      </w:r>
      <w:r w:rsidRPr="00755082">
        <w:t>47 CFR § 54.504(f)(4), (5).</w:t>
      </w:r>
    </w:p>
  </w:footnote>
  <w:footnote w:id="23">
    <w:p w:rsidR="00A72E59" w:rsidRPr="00755082" w:rsidP="00A72E59" w14:paraId="35ABAC8E" w14:textId="77777777">
      <w:pPr>
        <w:pStyle w:val="FootnoteText"/>
      </w:pPr>
      <w:r w:rsidRPr="00755082">
        <w:rPr>
          <w:rStyle w:val="FootnoteReference"/>
        </w:rPr>
        <w:footnoteRef/>
      </w:r>
      <w:r>
        <w:t xml:space="preserve"> </w:t>
      </w:r>
      <w:r w:rsidRPr="49030FA5">
        <w:rPr>
          <w:i/>
          <w:iCs/>
        </w:rPr>
        <w:t>2014</w:t>
      </w:r>
      <w:r w:rsidRPr="00755082">
        <w:t xml:space="preserve"> </w:t>
      </w:r>
      <w:r w:rsidRPr="00B83E30">
        <w:rPr>
          <w:i/>
          <w:iCs/>
        </w:rPr>
        <w:t>First</w:t>
      </w:r>
      <w:r>
        <w:t xml:space="preserve"> </w:t>
      </w:r>
      <w:r w:rsidRPr="49030FA5">
        <w:rPr>
          <w:i/>
          <w:iCs/>
        </w:rPr>
        <w:t>E-Rate Order</w:t>
      </w:r>
      <w:r w:rsidRPr="00755082">
        <w:t>, 29 FCC Rcd at 8964, para. 234.</w:t>
      </w:r>
    </w:p>
  </w:footnote>
  <w:footnote w:id="24">
    <w:p w:rsidR="00E172F2" w:rsidP="00E172F2" w14:paraId="06583A30" w14:textId="77777777">
      <w:pPr>
        <w:pStyle w:val="FootnoteText"/>
      </w:pPr>
      <w:r>
        <w:rPr>
          <w:rStyle w:val="FootnoteReference"/>
        </w:rPr>
        <w:footnoteRef/>
      </w:r>
      <w:r>
        <w:t xml:space="preserve"> </w:t>
      </w:r>
      <w:r>
        <w:rPr>
          <w:i/>
          <w:iCs/>
        </w:rPr>
        <w:t>Id.</w:t>
      </w:r>
      <w:r w:rsidRPr="00B22491">
        <w:t xml:space="preserve"> at</w:t>
      </w:r>
      <w:r w:rsidRPr="004D3170">
        <w:t xml:space="preserve"> </w:t>
      </w:r>
      <w:r>
        <w:t xml:space="preserve">8963-65, paras. 233-237. </w:t>
      </w:r>
    </w:p>
  </w:footnote>
  <w:footnote w:id="25">
    <w:p w:rsidR="00E172F2" w:rsidP="00E172F2" w14:paraId="01BCE53C" w14:textId="77777777">
      <w:pPr>
        <w:pStyle w:val="FootnoteText"/>
      </w:pPr>
      <w:r>
        <w:rPr>
          <w:rStyle w:val="FootnoteReference"/>
        </w:rPr>
        <w:footnoteRef/>
      </w:r>
      <w:r>
        <w:t xml:space="preserve"> </w:t>
      </w:r>
      <w:r>
        <w:rPr>
          <w:i/>
          <w:iCs/>
        </w:rPr>
        <w:t>Id.</w:t>
      </w:r>
      <w:r>
        <w:t xml:space="preserve"> at 8963, para. 233.</w:t>
      </w:r>
    </w:p>
  </w:footnote>
  <w:footnote w:id="26">
    <w:p w:rsidR="00E172F2" w:rsidRPr="00755082" w:rsidP="00E172F2" w14:paraId="46B2DF33" w14:textId="77777777">
      <w:pPr>
        <w:pStyle w:val="FootnoteText"/>
        <w:rPr>
          <w:i/>
          <w:iCs/>
        </w:rPr>
      </w:pPr>
      <w:r w:rsidRPr="00755082">
        <w:rPr>
          <w:rStyle w:val="FootnoteReference"/>
        </w:rPr>
        <w:footnoteRef/>
      </w:r>
      <w:r w:rsidRPr="00755082">
        <w:t xml:space="preserve"> </w:t>
      </w:r>
      <w:r>
        <w:rPr>
          <w:i/>
          <w:iCs/>
        </w:rPr>
        <w:t>Id.</w:t>
      </w:r>
      <w:r w:rsidRPr="00192FFE">
        <w:t xml:space="preserve"> </w:t>
      </w:r>
      <w:r w:rsidRPr="00755082">
        <w:t>at 8964, para. 234.</w:t>
      </w:r>
      <w:r w:rsidRPr="008F7411">
        <w:rPr>
          <w:snapToGrid w:val="0"/>
          <w:kern w:val="28"/>
          <w:sz w:val="22"/>
        </w:rPr>
        <w:t xml:space="preserve"> </w:t>
      </w:r>
    </w:p>
  </w:footnote>
  <w:footnote w:id="27">
    <w:p w:rsidR="00E172F2" w:rsidRPr="00755082" w:rsidP="00E172F2" w14:paraId="57298E68" w14:textId="77777777">
      <w:pPr>
        <w:pStyle w:val="FootnoteText"/>
      </w:pPr>
      <w:r w:rsidRPr="00755082">
        <w:rPr>
          <w:rStyle w:val="FootnoteReference"/>
        </w:rPr>
        <w:footnoteRef/>
      </w:r>
      <w:r w:rsidRPr="00755082">
        <w:t xml:space="preserve"> </w:t>
      </w:r>
      <w:r w:rsidRPr="00755082">
        <w:rPr>
          <w:i/>
          <w:iCs/>
        </w:rPr>
        <w:t xml:space="preserve">Id. </w:t>
      </w:r>
      <w:r w:rsidRPr="00755082">
        <w:t>at</w:t>
      </w:r>
      <w:r w:rsidRPr="00755082">
        <w:rPr>
          <w:i/>
          <w:iCs/>
        </w:rPr>
        <w:t xml:space="preserve"> </w:t>
      </w:r>
      <w:r w:rsidRPr="00755082">
        <w:t>8965, para. 237.</w:t>
      </w:r>
    </w:p>
  </w:footnote>
  <w:footnote w:id="28">
    <w:p w:rsidR="00E172F2" w:rsidP="00E172F2" w14:paraId="70490551" w14:textId="77777777">
      <w:pPr>
        <w:pStyle w:val="FootnoteText"/>
      </w:pPr>
      <w:r>
        <w:rPr>
          <w:rStyle w:val="FootnoteReference"/>
        </w:rPr>
        <w:footnoteRef/>
      </w:r>
      <w:r>
        <w:t xml:space="preserve"> </w:t>
      </w:r>
      <w:r w:rsidRPr="00C25511">
        <w:rPr>
          <w:i/>
          <w:iCs/>
        </w:rPr>
        <w:t>See, e.g</w:t>
      </w:r>
      <w:r>
        <w:t xml:space="preserve">., USAC, E-Rate Fall Training 2024: Invoicing Webinar, at 42-43 (Nov. 7, 2024),  </w:t>
      </w:r>
      <w:hyperlink r:id="rId5" w:history="1">
        <w:r w:rsidRPr="00932B3E">
          <w:rPr>
            <w:rStyle w:val="Hyperlink"/>
          </w:rPr>
          <w:t>https://www.usac.org/wp-content/uploads/e-rate/documents/Webinars/2024/Fall-Training-E-Rate-Invoicing.pdf</w:t>
        </w:r>
      </w:hyperlink>
      <w:r>
        <w:t xml:space="preserve"> (explaining the service certification process and information requested).  </w:t>
      </w:r>
    </w:p>
  </w:footnote>
  <w:footnote w:id="29">
    <w:p w:rsidR="00E172F2" w:rsidP="00E172F2" w14:paraId="3C5DF6F4" w14:textId="77777777">
      <w:pPr>
        <w:pStyle w:val="FootnoteText"/>
      </w:pPr>
      <w:r>
        <w:rPr>
          <w:rStyle w:val="FootnoteReference"/>
        </w:rPr>
        <w:footnoteRef/>
      </w:r>
      <w:r>
        <w:t xml:space="preserve"> </w:t>
      </w:r>
      <w:r w:rsidRPr="00C25511">
        <w:rPr>
          <w:i/>
          <w:iCs/>
        </w:rPr>
        <w:t>See, e.g</w:t>
      </w:r>
      <w:r>
        <w:t xml:space="preserve">., USAC, E-Rate Program List of Documents for Audits and to Show Compliance with Program Rules, at 5 (June 2022), </w:t>
      </w:r>
      <w:hyperlink r:id="rId6" w:history="1">
        <w:r w:rsidRPr="00932B3E">
          <w:rPr>
            <w:rStyle w:val="Hyperlink"/>
          </w:rPr>
          <w:t>https://www.usac.org/wp-content/uploads/e-rate/documents/resources/e-rate-program-list-of-documents-to-retain.pdf</w:t>
        </w:r>
      </w:hyperlink>
      <w:r>
        <w:t xml:space="preserve"> (requiring retention of proof of payment for the E-Rate funded eligible services/equipment). </w:t>
      </w:r>
    </w:p>
  </w:footnote>
  <w:footnote w:id="30">
    <w:p w:rsidR="008C2FF4" w:rsidRPr="00755082" w:rsidP="008C2FF4" w14:paraId="1DC22B35" w14:textId="77777777">
      <w:pPr>
        <w:pStyle w:val="FootnoteText"/>
      </w:pPr>
      <w:r w:rsidRPr="00755082">
        <w:rPr>
          <w:rStyle w:val="FootnoteReference"/>
        </w:rPr>
        <w:footnoteRef/>
      </w:r>
      <w:r w:rsidRPr="00755082">
        <w:t xml:space="preserve"> </w:t>
      </w:r>
      <w:r w:rsidRPr="49030FA5">
        <w:rPr>
          <w:i/>
          <w:iCs/>
        </w:rPr>
        <w:t xml:space="preserve">See </w:t>
      </w:r>
      <w:r w:rsidRPr="00755082">
        <w:t xml:space="preserve">47 CFR § 54.504(f)(4). </w:t>
      </w:r>
      <w:r>
        <w:t xml:space="preserve"> </w:t>
      </w:r>
      <w:r w:rsidRPr="00755082">
        <w:t xml:space="preserve">In remanding these </w:t>
      </w:r>
      <w:r>
        <w:t>appeals</w:t>
      </w:r>
      <w:r w:rsidRPr="00755082">
        <w:t xml:space="preserve"> to USAC, we make no finding as to the ultimate eligibility of the </w:t>
      </w:r>
      <w:r>
        <w:t>equipment/</w:t>
      </w:r>
      <w:r w:rsidRPr="00755082">
        <w:t xml:space="preserve">services or the </w:t>
      </w:r>
      <w:r>
        <w:t>P</w:t>
      </w:r>
      <w:r w:rsidRPr="00755082">
        <w:t>etitioners’ applications.</w:t>
      </w:r>
    </w:p>
  </w:footnote>
  <w:footnote w:id="31">
    <w:p w:rsidR="008C2FF4" w:rsidRPr="00755082" w:rsidP="008C2FF4" w14:paraId="3D006393" w14:textId="77777777">
      <w:pPr>
        <w:pStyle w:val="FootnoteText"/>
      </w:pPr>
      <w:r w:rsidRPr="00755082">
        <w:rPr>
          <w:rStyle w:val="FootnoteReference"/>
        </w:rPr>
        <w:footnoteRef/>
      </w:r>
      <w:r w:rsidRPr="00755082">
        <w:t xml:space="preserve"> </w:t>
      </w:r>
      <w:r w:rsidRPr="00755082">
        <w:rPr>
          <w:i/>
          <w:iCs/>
        </w:rPr>
        <w:t>See</w:t>
      </w:r>
      <w:r w:rsidRPr="00755082">
        <w:t xml:space="preserve"> Aurora Public Library 2017 Request for Waiver at 1; Aurora Public Library 2018 Request for Waiver at 1; Aurora Public Library 2019 Request for Waiver at 1; </w:t>
      </w:r>
      <w:r>
        <w:t xml:space="preserve">Central Valley School District Request for Waiver at Attachment 7 (explaining that </w:t>
      </w:r>
      <w:r>
        <w:t>Fatbeam</w:t>
      </w:r>
      <w:r>
        <w:t xml:space="preserve">, LLC purchased EMAN Networks, the school’s service provider, on May 28, 2015, in the middle of funding year 2014); </w:t>
      </w:r>
      <w:r w:rsidRPr="00755082">
        <w:t xml:space="preserve">Hayward Request for Waiver at 10; </w:t>
      </w:r>
      <w:r>
        <w:t>LISA Academy Request for Waiver at 2; Marion County</w:t>
      </w:r>
      <w:r w:rsidRPr="00755082">
        <w:t xml:space="preserve"> Request for Waiver at 1.</w:t>
      </w:r>
    </w:p>
  </w:footnote>
  <w:footnote w:id="32">
    <w:p w:rsidR="00A526E6" w:rsidP="00A526E6" w14:paraId="1BAD2A9C" w14:textId="77777777">
      <w:pPr>
        <w:pStyle w:val="FootnoteText"/>
      </w:pPr>
      <w:r>
        <w:rPr>
          <w:rStyle w:val="FootnoteReference"/>
        </w:rPr>
        <w:footnoteRef/>
      </w:r>
      <w:r>
        <w:t xml:space="preserve"> Request for Waiver of </w:t>
      </w:r>
      <w:r w:rsidRPr="003F40F2">
        <w:t>Nadaburg</w:t>
      </w:r>
      <w:r w:rsidRPr="003F40F2">
        <w:t xml:space="preserve"> Unified School District</w:t>
      </w:r>
      <w:r>
        <w:t xml:space="preserve">, CC Docket No. 02-6 (filed Sept. 22, 2022).  </w:t>
      </w:r>
      <w:r w:rsidRPr="003F40F2">
        <w:t>Nadaburg</w:t>
      </w:r>
      <w:r w:rsidRPr="003F40F2">
        <w:t xml:space="preserve"> Unified School District</w:t>
      </w:r>
      <w:r>
        <w:t xml:space="preserve"> (NUSD) also explains that it filed its Request for Waiver late because it relied on USAC’s representation that USAC would be facilitating the Good Samaritan process and would contact NUSD once a decision was made.  </w:t>
      </w:r>
      <w:r w:rsidRPr="00235296">
        <w:rPr>
          <w:i/>
          <w:iCs/>
        </w:rPr>
        <w:t>Id</w:t>
      </w:r>
      <w:r>
        <w:t xml:space="preserve">. at 2.  NUSD filed this Request for Waiver immediately upon learning from USAC that USAC no longer had a Good Samaritan process and USAC would not be taking action on its request.  </w:t>
      </w:r>
      <w:r w:rsidRPr="00972F0A">
        <w:rPr>
          <w:i/>
          <w:iCs/>
        </w:rPr>
        <w:t>Id</w:t>
      </w:r>
      <w:r w:rsidRPr="00972F0A">
        <w:t xml:space="preserve">. at 2.  </w:t>
      </w:r>
      <w:r>
        <w:t xml:space="preserve">We also waive the Commission’s appeal filing deadline, section 54.720(a) of the Commission’s rules.  </w:t>
      </w:r>
      <w:r w:rsidRPr="005D6FA0">
        <w:rPr>
          <w:i/>
        </w:rPr>
        <w:t>See, e.g., Requests for Review and/or Requests for Waiver of Decisions of the Universal Service Administrator by Animas School District 6 et al., Schools and Libraries Universal Service Support Mechanism</w:t>
      </w:r>
      <w:r w:rsidRPr="005D6FA0">
        <w:t xml:space="preserve">, CC Docket No. 02-6, Order, </w:t>
      </w:r>
      <w:r w:rsidRPr="000F7EE4">
        <w:t>26 FCC Rcd 16903</w:t>
      </w:r>
      <w:r w:rsidRPr="005D6FA0">
        <w:t>, 16905, para. 4 (WCB 2011</w:t>
      </w:r>
      <w:r>
        <w:t>).</w:t>
      </w:r>
    </w:p>
  </w:footnote>
  <w:footnote w:id="33">
    <w:p w:rsidR="00A526E6" w:rsidP="00A526E6" w14:paraId="5D486BBA" w14:textId="77777777">
      <w:pPr>
        <w:pStyle w:val="FootnoteText"/>
      </w:pPr>
      <w:r>
        <w:rPr>
          <w:rStyle w:val="FootnoteReference"/>
        </w:rPr>
        <w:footnoteRef/>
      </w:r>
      <w:r>
        <w:t xml:space="preserve"> </w:t>
      </w:r>
      <w:r w:rsidRPr="008B15B2">
        <w:t>NUSD Request for Waiver</w:t>
      </w:r>
      <w:r>
        <w:rPr>
          <w:i/>
          <w:iCs/>
        </w:rPr>
        <w:t xml:space="preserve"> </w:t>
      </w:r>
      <w:r>
        <w:t xml:space="preserve"> at 1.</w:t>
      </w:r>
    </w:p>
  </w:footnote>
  <w:footnote w:id="34">
    <w:p w:rsidR="00A526E6" w:rsidP="00A526E6" w14:paraId="3E599C3B" w14:textId="77777777">
      <w:pPr>
        <w:pStyle w:val="FootnoteText"/>
      </w:pPr>
      <w:r>
        <w:rPr>
          <w:rStyle w:val="FootnoteReference"/>
        </w:rPr>
        <w:footnoteRef/>
      </w:r>
      <w:r>
        <w:t xml:space="preserve"> Complaints may be made directly to USAC; USAC, Submit a Whistleblower Alert, </w:t>
      </w:r>
      <w:hyperlink r:id="rId7" w:history="1">
        <w:r w:rsidRPr="006F604C">
          <w:rPr>
            <w:rStyle w:val="Hyperlink"/>
          </w:rPr>
          <w:t>https://www.usac.org/about/contact-usac/submit-a-whistleblower-alert/</w:t>
        </w:r>
      </w:hyperlink>
      <w:r>
        <w:t xml:space="preserve"> (last visited Apr. 2, 2025).  If appropriate or required by law, USAC </w:t>
      </w:r>
      <w:r w:rsidRPr="0078565D">
        <w:t xml:space="preserve">will turn over information related to </w:t>
      </w:r>
      <w:r>
        <w:t>complaints</w:t>
      </w:r>
      <w:r w:rsidRPr="0078565D">
        <w:t xml:space="preserve"> and results of </w:t>
      </w:r>
      <w:r>
        <w:t>the</w:t>
      </w:r>
      <w:r w:rsidRPr="0078565D">
        <w:t xml:space="preserve"> investigation to the FCC or law enforcement.</w:t>
      </w:r>
      <w:r>
        <w:t xml:space="preserve">  Alternatively, complaints may be filed directly with the FCC Enforcement Bureau; FCC, Consumer Inquiry and Complaint Center, </w:t>
      </w:r>
      <w:hyperlink r:id="rId8" w:history="1">
        <w:r w:rsidRPr="006F604C">
          <w:rPr>
            <w:rStyle w:val="Hyperlink"/>
          </w:rPr>
          <w:t>https://consumercomplaints.fcc.gov/hc/en-us</w:t>
        </w:r>
      </w:hyperlink>
      <w:r>
        <w:t xml:space="preserve"> (last visited Apr. 2, 2025).</w:t>
      </w:r>
    </w:p>
  </w:footnote>
  <w:footnote w:id="35">
    <w:p w:rsidR="005A34C2" w:rsidRPr="00755082" w:rsidP="005A34C2" w14:paraId="5D78DD23" w14:textId="77777777">
      <w:pPr>
        <w:pStyle w:val="FootnoteText"/>
      </w:pPr>
      <w:r w:rsidRPr="00755082">
        <w:rPr>
          <w:rStyle w:val="FootnoteReference"/>
        </w:rPr>
        <w:footnoteRef/>
      </w:r>
      <w:r w:rsidRPr="00755082">
        <w:t xml:space="preserve"> </w:t>
      </w:r>
      <w:r w:rsidRPr="49030FA5">
        <w:rPr>
          <w:i/>
          <w:iCs/>
        </w:rPr>
        <w:t xml:space="preserve">See </w:t>
      </w:r>
      <w:r w:rsidRPr="00755082">
        <w:t>47 CFR § 54.504(f).  Generally, the Commission’s rules may be waived for good cause shown. 47 CFR § 1.3.  The Commission may exercise its discretion to waive a rule where the particular facts make strict compliance inconsistent with the public interest.</w:t>
      </w:r>
      <w:r w:rsidRPr="49030FA5">
        <w:rPr>
          <w:i/>
          <w:iCs/>
        </w:rPr>
        <w:t xml:space="preserve"> Northeast Cellular Telephone Co. v. FCC</w:t>
      </w:r>
      <w:r w:rsidRPr="00755082">
        <w:t>, 897 F.2d 1164, 1166 (D.C. Cir. 1990) (</w:t>
      </w:r>
      <w:r w:rsidRPr="49030FA5">
        <w:rPr>
          <w:i/>
          <w:iCs/>
        </w:rPr>
        <w:t>Northeast Cellular</w:t>
      </w:r>
      <w:r w:rsidRPr="00755082">
        <w:t>).  In addition, the Commission may take into account considerations of hardship, equity, or more effective implementation of overall policy on an individual basis.</w:t>
      </w:r>
      <w:r>
        <w:t xml:space="preserve"> </w:t>
      </w:r>
      <w:r w:rsidRPr="00755082">
        <w:t xml:space="preserve"> </w:t>
      </w:r>
      <w:r w:rsidRPr="49030FA5">
        <w:rPr>
          <w:i/>
          <w:iCs/>
        </w:rPr>
        <w:t>WAIT Radio v. FCC</w:t>
      </w:r>
      <w:r w:rsidRPr="00755082">
        <w:t xml:space="preserve">, 418 F.2d 1153, 1159 (D.C. Cir. 1969); </w:t>
      </w:r>
      <w:r w:rsidRPr="49030FA5">
        <w:rPr>
          <w:i/>
          <w:iCs/>
        </w:rPr>
        <w:t>Northeast Cellular</w:t>
      </w:r>
      <w:r w:rsidRPr="00755082">
        <w:t>, 897 F.2d at 1166.  Waiver of the Commission’s rules is therefore appropriate only if special circumstances warrant a deviation from the general rule, and such deviation will serve the public interest.</w:t>
      </w:r>
      <w:r w:rsidRPr="49030FA5">
        <w:rPr>
          <w:i/>
          <w:iCs/>
        </w:rPr>
        <w:t xml:space="preserve"> </w:t>
      </w:r>
      <w:r>
        <w:rPr>
          <w:i/>
          <w:iCs/>
        </w:rPr>
        <w:t xml:space="preserve"> </w:t>
      </w:r>
      <w:r w:rsidRPr="49030FA5">
        <w:rPr>
          <w:i/>
          <w:iCs/>
        </w:rPr>
        <w:t>Northeast Cellular</w:t>
      </w:r>
      <w:r w:rsidRPr="00755082">
        <w:t>, 897 F.2d at 1166.</w:t>
      </w:r>
    </w:p>
  </w:footnote>
  <w:footnote w:id="36">
    <w:p w:rsidR="005A34C2" w:rsidRPr="00755082" w:rsidP="005A34C2" w14:paraId="00C8642E" w14:textId="77777777">
      <w:pPr>
        <w:pStyle w:val="FootnoteText"/>
      </w:pPr>
      <w:r w:rsidRPr="00755082">
        <w:rPr>
          <w:rStyle w:val="FootnoteReference"/>
        </w:rPr>
        <w:footnoteRef/>
      </w:r>
      <w:r w:rsidRPr="00755082">
        <w:t xml:space="preserve"> </w:t>
      </w:r>
      <w:r w:rsidRPr="00755082">
        <w:rPr>
          <w:i/>
          <w:iCs/>
        </w:rPr>
        <w:t>See, e.g.</w:t>
      </w:r>
      <w:r w:rsidRPr="00755082">
        <w:t>, 47 CFR §§ 54.507(d) (requiring non-recurring services to be implemented by September 30 following the close of the funding year)</w:t>
      </w:r>
      <w:r>
        <w:t>;</w:t>
      </w:r>
      <w:r w:rsidRPr="00755082">
        <w:t xml:space="preserve"> 54.514(a) (codifying the invoice filing deadline).</w:t>
      </w:r>
    </w:p>
  </w:footnote>
  <w:footnote w:id="37">
    <w:p w:rsidR="00E62DE8" w:rsidP="00E62DE8" w14:paraId="77258DF2" w14:textId="77777777">
      <w:pPr>
        <w:pStyle w:val="FootnoteText"/>
      </w:pPr>
      <w:r>
        <w:rPr>
          <w:rStyle w:val="FootnoteReference"/>
        </w:rPr>
        <w:footnoteRef/>
      </w:r>
      <w:r>
        <w:t xml:space="preserve"> </w:t>
      </w:r>
      <w:bookmarkStart w:id="4" w:name="_Hlk60662101"/>
      <w:r>
        <w:t xml:space="preserve">Cesar Chavez Public Charter School Request for Waiver, Appendix E-mail Chain </w:t>
      </w:r>
      <w:bookmarkEnd w:id="4"/>
      <w:r>
        <w:t>(providing email chain discussion where service provider attempts to file the FCC Form 473 but notes technical issues that prohibited the filing); Philadelphia School District Request for Waiver, Appendix A (providing email chain where service provider intended to complete the form to certify the FCC Form 473 when in fact it had not completed all necessary steps), Supplement, Appendix A (providing copy of certified FCC Form 473); Los Angeles Public Library System Request for Waiver at 3-4 (providing FCC Form 473 certification confirmation noting it was late filed and email chain explaining technical issue).</w:t>
      </w:r>
    </w:p>
  </w:footnote>
  <w:footnote w:id="38">
    <w:p w:rsidR="00E62DE8" w:rsidP="00E62DE8" w14:paraId="76C3819C" w14:textId="77777777">
      <w:pPr>
        <w:pStyle w:val="FootnoteText"/>
      </w:pPr>
      <w:r>
        <w:rPr>
          <w:rStyle w:val="FootnoteReference"/>
        </w:rPr>
        <w:footnoteRef/>
      </w:r>
      <w:r>
        <w:t xml:space="preserve"> </w:t>
      </w:r>
      <w:r>
        <w:t>Commspec</w:t>
      </w:r>
      <w:r>
        <w:t>, Inc. (Britton-Deerfield School District) Request for Waiver at 1-2 (explaining that the service provider filed its FCC Form 473 one day late due to a declared state of emergency caused by a severe snowstorm).</w:t>
      </w:r>
    </w:p>
  </w:footnote>
  <w:footnote w:id="39">
    <w:p w:rsidR="0019070B" w:rsidRPr="00755082" w:rsidP="0019070B" w14:paraId="3576D163" w14:textId="77777777">
      <w:pPr>
        <w:pStyle w:val="FootnoteText"/>
      </w:pPr>
      <w:r w:rsidRPr="00755082">
        <w:rPr>
          <w:rStyle w:val="FootnoteReference"/>
        </w:rPr>
        <w:footnoteRef/>
      </w:r>
      <w:r w:rsidRPr="00755082">
        <w:t xml:space="preserve"> </w:t>
      </w:r>
      <w:r w:rsidRPr="49030FA5">
        <w:rPr>
          <w:i/>
          <w:iCs/>
        </w:rPr>
        <w:t>2014</w:t>
      </w:r>
      <w:r w:rsidRPr="00755082">
        <w:t xml:space="preserve"> </w:t>
      </w:r>
      <w:r w:rsidRPr="00B83E30">
        <w:rPr>
          <w:i/>
          <w:iCs/>
        </w:rPr>
        <w:t>First</w:t>
      </w:r>
      <w:r>
        <w:t xml:space="preserve"> </w:t>
      </w:r>
      <w:r w:rsidRPr="49030FA5">
        <w:rPr>
          <w:i/>
          <w:iCs/>
        </w:rPr>
        <w:t>E-Rate Order</w:t>
      </w:r>
      <w:r w:rsidRPr="00755082">
        <w:t>, 29 FCC Rcd at 8965, para. 237.</w:t>
      </w:r>
    </w:p>
  </w:footnote>
  <w:footnote w:id="40">
    <w:p w:rsidR="0019070B" w:rsidRPr="00755082" w:rsidP="0019070B" w14:paraId="2A4B8D38" w14:textId="77777777">
      <w:pPr>
        <w:pStyle w:val="FootnoteText"/>
      </w:pPr>
      <w:r w:rsidRPr="00755082">
        <w:rPr>
          <w:rStyle w:val="FootnoteReference"/>
        </w:rPr>
        <w:footnoteRef/>
      </w:r>
      <w:r w:rsidRPr="00755082">
        <w:t xml:space="preserve"> KIPP Tulsa Academy Request for Waiver at 3 (</w:t>
      </w:r>
      <w:r>
        <w:t xml:space="preserve">explaining that the </w:t>
      </w:r>
      <w:r w:rsidRPr="00755082">
        <w:t xml:space="preserve">service provider no longer participates in the program and failed to file the </w:t>
      </w:r>
      <w:r>
        <w:t>required FCC Form 473</w:t>
      </w:r>
      <w:r w:rsidRPr="00755082">
        <w:t xml:space="preserve"> despite urging from school); Sno-Isle Regional Library Request for Waiver at 1 (</w:t>
      </w:r>
      <w:r>
        <w:t xml:space="preserve">stating that </w:t>
      </w:r>
      <w:r w:rsidRPr="00755082">
        <w:t xml:space="preserve">new personnel at service provider refused to participate in program or sign </w:t>
      </w:r>
      <w:r>
        <w:t>the FCC Form 473</w:t>
      </w:r>
      <w:r w:rsidRPr="00755082">
        <w:t>); Memphis Street Academy Charter School Request for Waiver at 1 (</w:t>
      </w:r>
      <w:r>
        <w:t xml:space="preserve">explaining that the service provider’s </w:t>
      </w:r>
      <w:r w:rsidRPr="00755082">
        <w:t xml:space="preserve">former employee did not have authority to participate in the </w:t>
      </w:r>
      <w:r>
        <w:t xml:space="preserve">E-Rate </w:t>
      </w:r>
      <w:r w:rsidRPr="00755082">
        <w:t>program).</w:t>
      </w:r>
    </w:p>
  </w:footnote>
  <w:footnote w:id="41">
    <w:p w:rsidR="0019070B" w:rsidRPr="00755082" w:rsidP="0019070B" w14:paraId="2F757769" w14:textId="77777777">
      <w:pPr>
        <w:pStyle w:val="FootnoteText"/>
      </w:pPr>
      <w:r w:rsidRPr="00755082">
        <w:rPr>
          <w:rStyle w:val="FootnoteReference"/>
        </w:rPr>
        <w:footnoteRef/>
      </w:r>
      <w:r w:rsidRPr="00755082">
        <w:t xml:space="preserve"> </w:t>
      </w:r>
      <w:r>
        <w:t>Washington County School District Request for Waiver at 2 (stating that the service provider certified its FCC Form 473 for funding year 2020 but not the funding year at issue, 2018, and stopped responding to applicant’s requests to submit the FCC Form 473)</w:t>
      </w:r>
      <w:r w:rsidRPr="00755082">
        <w:t>.</w:t>
      </w:r>
    </w:p>
  </w:footnote>
  <w:footnote w:id="42">
    <w:p w:rsidR="0019070B" w:rsidRPr="00755082" w:rsidP="0019070B" w14:paraId="4872B75C" w14:textId="77777777">
      <w:pPr>
        <w:pStyle w:val="FootnoteText"/>
      </w:pPr>
      <w:r w:rsidRPr="00755082">
        <w:rPr>
          <w:rStyle w:val="FootnoteReference"/>
        </w:rPr>
        <w:footnoteRef/>
      </w:r>
      <w:r w:rsidRPr="00755082">
        <w:t xml:space="preserve"> </w:t>
      </w:r>
      <w:r>
        <w:t>Calloway County Public Library Request for Waiver at Attachments C and D (</w:t>
      </w:r>
      <w:r w:rsidRPr="00B449A2">
        <w:t>stating that the service provider did not respond to repeated requests to file the FCC Form 473</w:t>
      </w:r>
      <w:r>
        <w:t xml:space="preserve">); </w:t>
      </w:r>
      <w:r w:rsidRPr="009A48FC">
        <w:t xml:space="preserve">ESC </w:t>
      </w:r>
      <w:r>
        <w:t xml:space="preserve">of </w:t>
      </w:r>
      <w:r w:rsidRPr="009A48FC">
        <w:t xml:space="preserve">Central Ohio </w:t>
      </w:r>
      <w:r>
        <w:t>Request for Waiver at 1-2 (same</w:t>
      </w:r>
      <w:r w:rsidRPr="00315BF8">
        <w:t>)</w:t>
      </w:r>
      <w:r>
        <w:t xml:space="preserve">; </w:t>
      </w:r>
      <w:r w:rsidRPr="00755082">
        <w:t>Equality Charter School Request for Waiver at 1 (</w:t>
      </w:r>
      <w:r>
        <w:t>same</w:t>
      </w:r>
      <w:r w:rsidRPr="00755082">
        <w:t>).</w:t>
      </w:r>
    </w:p>
  </w:footnote>
  <w:footnote w:id="43">
    <w:p w:rsidR="0019070B" w:rsidRPr="00755082" w:rsidP="0019070B" w14:paraId="73F11172" w14:textId="77777777">
      <w:pPr>
        <w:pStyle w:val="FootnoteText"/>
      </w:pPr>
      <w:r w:rsidRPr="00755082">
        <w:rPr>
          <w:rStyle w:val="FootnoteReference"/>
        </w:rPr>
        <w:footnoteRef/>
      </w:r>
      <w:r w:rsidRPr="00755082">
        <w:t xml:space="preserve"> </w:t>
      </w:r>
      <w:r w:rsidRPr="49030FA5">
        <w:rPr>
          <w:i/>
          <w:iCs/>
        </w:rPr>
        <w:t>2014</w:t>
      </w:r>
      <w:r w:rsidRPr="00755082">
        <w:t xml:space="preserve"> </w:t>
      </w:r>
      <w:r w:rsidRPr="00B83E30">
        <w:rPr>
          <w:i/>
          <w:iCs/>
        </w:rPr>
        <w:t>First</w:t>
      </w:r>
      <w:r>
        <w:t xml:space="preserve"> </w:t>
      </w:r>
      <w:r w:rsidRPr="49030FA5">
        <w:rPr>
          <w:i/>
          <w:iCs/>
        </w:rPr>
        <w:t>E-Rate Order</w:t>
      </w:r>
      <w:r w:rsidRPr="00755082">
        <w:t>, 29 FCC Rcd at 8965, para. 237.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437F878" w14:textId="56EB2646">
    <w:pPr>
      <w:pStyle w:val="Header"/>
      <w:rPr>
        <w:b w:val="0"/>
      </w:rPr>
    </w:pPr>
    <w:r>
      <w:tab/>
      <w:t>Federal Communications Commission</w:t>
    </w:r>
    <w:r>
      <w:tab/>
    </w:r>
    <w:r w:rsidR="00EC1537">
      <w:t>DA 25-394</w:t>
    </w:r>
  </w:p>
  <w:p w:rsidR="00D25FB5" w14:paraId="7243D8D3"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2FE21090"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18DC096F" w14:textId="1D0F5064">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0018DC">
      <w:rPr>
        <w:spacing w:val="-2"/>
      </w:rPr>
      <w:t>DA 25-394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375861644">
    <w:abstractNumId w:val="1"/>
  </w:num>
  <w:num w:numId="2" w16cid:durableId="300770882">
    <w:abstractNumId w:val="5"/>
  </w:num>
  <w:num w:numId="3" w16cid:durableId="1334071853">
    <w:abstractNumId w:val="3"/>
  </w:num>
  <w:num w:numId="4" w16cid:durableId="1150098426">
    <w:abstractNumId w:val="4"/>
  </w:num>
  <w:num w:numId="5" w16cid:durableId="120848974">
    <w:abstractNumId w:val="2"/>
  </w:num>
  <w:num w:numId="6" w16cid:durableId="26065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8DC"/>
    <w:rsid w:val="000018DC"/>
    <w:rsid w:val="00002A39"/>
    <w:rsid w:val="00036039"/>
    <w:rsid w:val="00037F90"/>
    <w:rsid w:val="000403EE"/>
    <w:rsid w:val="000875BF"/>
    <w:rsid w:val="0009367D"/>
    <w:rsid w:val="00096D8C"/>
    <w:rsid w:val="000C0B65"/>
    <w:rsid w:val="000E05FE"/>
    <w:rsid w:val="000E3D42"/>
    <w:rsid w:val="000F7EE4"/>
    <w:rsid w:val="00122BD5"/>
    <w:rsid w:val="00133F79"/>
    <w:rsid w:val="0014034E"/>
    <w:rsid w:val="00157D26"/>
    <w:rsid w:val="00161724"/>
    <w:rsid w:val="0019070B"/>
    <w:rsid w:val="00192FFE"/>
    <w:rsid w:val="0019409D"/>
    <w:rsid w:val="00194A66"/>
    <w:rsid w:val="001A7150"/>
    <w:rsid w:val="001D6BCF"/>
    <w:rsid w:val="001E01CA"/>
    <w:rsid w:val="001E4CB2"/>
    <w:rsid w:val="00235296"/>
    <w:rsid w:val="00255B48"/>
    <w:rsid w:val="00263347"/>
    <w:rsid w:val="00275CF5"/>
    <w:rsid w:val="0028301F"/>
    <w:rsid w:val="00285017"/>
    <w:rsid w:val="002A2D2E"/>
    <w:rsid w:val="002C00E8"/>
    <w:rsid w:val="002C0168"/>
    <w:rsid w:val="002F1904"/>
    <w:rsid w:val="00315BF8"/>
    <w:rsid w:val="00327A1F"/>
    <w:rsid w:val="00343749"/>
    <w:rsid w:val="00355CDE"/>
    <w:rsid w:val="003660ED"/>
    <w:rsid w:val="00372F60"/>
    <w:rsid w:val="00395147"/>
    <w:rsid w:val="003B0550"/>
    <w:rsid w:val="003B449A"/>
    <w:rsid w:val="003B694F"/>
    <w:rsid w:val="003D0DC5"/>
    <w:rsid w:val="003F171C"/>
    <w:rsid w:val="003F40F2"/>
    <w:rsid w:val="00412FC5"/>
    <w:rsid w:val="00422276"/>
    <w:rsid w:val="004242F1"/>
    <w:rsid w:val="00435B37"/>
    <w:rsid w:val="00445A00"/>
    <w:rsid w:val="00451B0F"/>
    <w:rsid w:val="004C2EE3"/>
    <w:rsid w:val="004C6FE8"/>
    <w:rsid w:val="004C7F0D"/>
    <w:rsid w:val="004D3170"/>
    <w:rsid w:val="004D46D5"/>
    <w:rsid w:val="004E271B"/>
    <w:rsid w:val="004E330C"/>
    <w:rsid w:val="004E4A22"/>
    <w:rsid w:val="00511968"/>
    <w:rsid w:val="0055614C"/>
    <w:rsid w:val="00566D06"/>
    <w:rsid w:val="00593C8B"/>
    <w:rsid w:val="005A34C2"/>
    <w:rsid w:val="005B3967"/>
    <w:rsid w:val="005D6FA0"/>
    <w:rsid w:val="005E14C2"/>
    <w:rsid w:val="00607BA5"/>
    <w:rsid w:val="0061180A"/>
    <w:rsid w:val="00626EB6"/>
    <w:rsid w:val="006375D5"/>
    <w:rsid w:val="00655D03"/>
    <w:rsid w:val="00683388"/>
    <w:rsid w:val="00683F84"/>
    <w:rsid w:val="0069650F"/>
    <w:rsid w:val="006A6A81"/>
    <w:rsid w:val="006B04A6"/>
    <w:rsid w:val="006F604C"/>
    <w:rsid w:val="006F7393"/>
    <w:rsid w:val="0070224F"/>
    <w:rsid w:val="007115F7"/>
    <w:rsid w:val="007248B5"/>
    <w:rsid w:val="00755082"/>
    <w:rsid w:val="00765550"/>
    <w:rsid w:val="0078565D"/>
    <w:rsid w:val="00785689"/>
    <w:rsid w:val="0078779D"/>
    <w:rsid w:val="0079754B"/>
    <w:rsid w:val="007A1E6D"/>
    <w:rsid w:val="007B0EB2"/>
    <w:rsid w:val="007D4DE2"/>
    <w:rsid w:val="007D79E6"/>
    <w:rsid w:val="00806504"/>
    <w:rsid w:val="00810B6F"/>
    <w:rsid w:val="00821F59"/>
    <w:rsid w:val="00822CE0"/>
    <w:rsid w:val="00841AB1"/>
    <w:rsid w:val="00860450"/>
    <w:rsid w:val="008871A0"/>
    <w:rsid w:val="008B15B2"/>
    <w:rsid w:val="008C2FF4"/>
    <w:rsid w:val="008C5692"/>
    <w:rsid w:val="008C68F1"/>
    <w:rsid w:val="008F7411"/>
    <w:rsid w:val="00921803"/>
    <w:rsid w:val="00926503"/>
    <w:rsid w:val="00931E7D"/>
    <w:rsid w:val="00932B3E"/>
    <w:rsid w:val="00932C8B"/>
    <w:rsid w:val="00947751"/>
    <w:rsid w:val="009726D8"/>
    <w:rsid w:val="00972F0A"/>
    <w:rsid w:val="009A48FC"/>
    <w:rsid w:val="009D7308"/>
    <w:rsid w:val="009F76DB"/>
    <w:rsid w:val="00A02DA1"/>
    <w:rsid w:val="00A32C3B"/>
    <w:rsid w:val="00A3305D"/>
    <w:rsid w:val="00A45F4F"/>
    <w:rsid w:val="00A526E6"/>
    <w:rsid w:val="00A600A9"/>
    <w:rsid w:val="00A72E59"/>
    <w:rsid w:val="00AA55B7"/>
    <w:rsid w:val="00AA5B9E"/>
    <w:rsid w:val="00AB2407"/>
    <w:rsid w:val="00AB5376"/>
    <w:rsid w:val="00AB53DF"/>
    <w:rsid w:val="00AF393E"/>
    <w:rsid w:val="00B07E5C"/>
    <w:rsid w:val="00B22491"/>
    <w:rsid w:val="00B24302"/>
    <w:rsid w:val="00B449A2"/>
    <w:rsid w:val="00B811F7"/>
    <w:rsid w:val="00B83E30"/>
    <w:rsid w:val="00BA39F9"/>
    <w:rsid w:val="00BA5DC6"/>
    <w:rsid w:val="00BA6196"/>
    <w:rsid w:val="00BC0011"/>
    <w:rsid w:val="00BC6D8C"/>
    <w:rsid w:val="00C25511"/>
    <w:rsid w:val="00C34006"/>
    <w:rsid w:val="00C36B4C"/>
    <w:rsid w:val="00C426B1"/>
    <w:rsid w:val="00C527D7"/>
    <w:rsid w:val="00C64AB7"/>
    <w:rsid w:val="00C66160"/>
    <w:rsid w:val="00C721AC"/>
    <w:rsid w:val="00C90D6A"/>
    <w:rsid w:val="00CA1708"/>
    <w:rsid w:val="00CA247E"/>
    <w:rsid w:val="00CA6D21"/>
    <w:rsid w:val="00CC72B6"/>
    <w:rsid w:val="00CF3BB7"/>
    <w:rsid w:val="00D0218D"/>
    <w:rsid w:val="00D06741"/>
    <w:rsid w:val="00D25FB5"/>
    <w:rsid w:val="00D44223"/>
    <w:rsid w:val="00DA2529"/>
    <w:rsid w:val="00DB130A"/>
    <w:rsid w:val="00DB2EBB"/>
    <w:rsid w:val="00DB4D8A"/>
    <w:rsid w:val="00DC0675"/>
    <w:rsid w:val="00DC09A7"/>
    <w:rsid w:val="00DC10A1"/>
    <w:rsid w:val="00DC655F"/>
    <w:rsid w:val="00DD0B59"/>
    <w:rsid w:val="00DD7EBD"/>
    <w:rsid w:val="00DF62B6"/>
    <w:rsid w:val="00E07225"/>
    <w:rsid w:val="00E172F2"/>
    <w:rsid w:val="00E5409F"/>
    <w:rsid w:val="00E62DE8"/>
    <w:rsid w:val="00E71CBC"/>
    <w:rsid w:val="00EC1537"/>
    <w:rsid w:val="00EE6488"/>
    <w:rsid w:val="00F021FA"/>
    <w:rsid w:val="00F62E97"/>
    <w:rsid w:val="00F64209"/>
    <w:rsid w:val="00F93BF5"/>
    <w:rsid w:val="27D56263"/>
    <w:rsid w:val="4124C07D"/>
    <w:rsid w:val="49030F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F0F780"/>
  <w15:chartTrackingRefBased/>
  <w15:docId w15:val="{11B91284-F065-4C70-AD54-F29D9FA3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ParaNum"/>
    <w:link w:val="Heading1Char"/>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aliases w:val="Heading 3 Char1,Heading 3 Char Char,Heading 3 Char1 Char Char,Heading 3 Char Char Char Char,Heading 3 Char1 Char,Heading 3 Char Char Char,Heading 3 Char2 Char1 Char Char,Heading 3 Char Char1 Ch"/>
    <w:basedOn w:val="Normal"/>
    <w:next w:val="ParaNum"/>
    <w:qFormat/>
    <w:rsid w:val="00BA6196"/>
    <w:pPr>
      <w:keepNext/>
      <w:numPr>
        <w:ilvl w:val="2"/>
        <w:numId w:val="3"/>
      </w:numPr>
      <w:tabs>
        <w:tab w:val="left" w:pos="2160"/>
      </w:tabs>
      <w:spacing w:after="120"/>
      <w:outlineLvl w:val="2"/>
    </w:pPr>
    <w:rPr>
      <w:b/>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 Char Char Char,ALTS FOOTNOTE Char1 Char,Footnote Text Char Char Char,Footnote Text Char Char Char Char Char,Footnote Text Char1 Char,Footnote Text Char1 Char Char Char,fn Cha,fn Char Char Char,fn Char1 Char"/>
    <w:link w:val="FootnoteTextChar"/>
    <w:rsid w:val="000E3D42"/>
    <w:pPr>
      <w:spacing w:after="120"/>
    </w:pPr>
  </w:style>
  <w:style w:type="character" w:styleId="FootnoteReference">
    <w:name w:val="footnote reference"/>
    <w:aliases w:val="(NECG) Footnote Reference,Appel note de bas de p,FR,Footnote Reference/,Footnote Reference1,Style 12,Style 124,Style 13,Style 17,Style 3,Style 6,Style 7,fr,o,-E Funotenzeichen,A,Style 20,Style 34,Style 4,Style 9,callout"/>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uiPriority w:val="99"/>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
    <w:name w:val="Footnote Text Char"/>
    <w:aliases w:val="ALTS FOOTNOTE Char Char Char Char,ALTS FOOTNOTE Char1 Char Char,Footnote Text Char Char Char Char,Footnote Text Char Char Char Char Char Char,Footnote Text Char1 Char Char,Footnote Text Char1 Char Char Char Char,fn Cha Char"/>
    <w:link w:val="FootnoteText"/>
    <w:rsid w:val="00821F59"/>
  </w:style>
  <w:style w:type="character" w:customStyle="1" w:styleId="StyleNumberedparagraphs11ptChar">
    <w:name w:val="Style Numbered paragraphs + 11 pt Char"/>
    <w:rsid w:val="00947751"/>
    <w:rPr>
      <w:noProof w:val="0"/>
      <w:sz w:val="22"/>
      <w:lang w:val="en-US" w:eastAsia="en-US" w:bidi="ar-SA"/>
    </w:rPr>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rsid w:val="00EC1537"/>
    <w:rPr>
      <w:rFonts w:ascii="Times New Roman Bold" w:hAnsi="Times New Roman Bold"/>
      <w:b/>
      <w:caps/>
      <w:snapToGrid w:val="0"/>
      <w:kern w:val="28"/>
      <w:sz w:val="22"/>
    </w:rPr>
  </w:style>
  <w:style w:type="character" w:customStyle="1" w:styleId="ParaNumChar">
    <w:name w:val="ParaNum Char"/>
    <w:link w:val="ParaNum"/>
    <w:locked/>
    <w:rsid w:val="00EC1537"/>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usac.org/e-rate/applicant-process/invoicing/fcc-form-472-filing/" TargetMode="External" /><Relationship Id="rId2" Type="http://schemas.openxmlformats.org/officeDocument/2006/relationships/hyperlink" Target="https://www.usac.org/e-rate/service-providers/step-5-invoicing/" TargetMode="External" /><Relationship Id="rId3" Type="http://schemas.openxmlformats.org/officeDocument/2006/relationships/hyperlink" Target="https://www.usac.org/e-rate/service-providers/step-5-invoicing" TargetMode="External" /><Relationship Id="rId4" Type="http://schemas.openxmlformats.org/officeDocument/2006/relationships/hyperlink" Target="https://www.usac.org/e-rate/service-providers/step-3-winning-the-bid/fcc-form-473-filing/" TargetMode="External" /><Relationship Id="rId5" Type="http://schemas.openxmlformats.org/officeDocument/2006/relationships/hyperlink" Target="https://www.usac.org/wp-content/uploads/e-rate/documents/Webinars/2024/Fall-Training-E-Rate-Invoicing.pdf" TargetMode="External" /><Relationship Id="rId6" Type="http://schemas.openxmlformats.org/officeDocument/2006/relationships/hyperlink" Target="https://www.usac.org/wp-content/uploads/e-rate/documents/resources/e-rate-program-list-of-documents-to-retain.pdf" TargetMode="External" /><Relationship Id="rId7" Type="http://schemas.openxmlformats.org/officeDocument/2006/relationships/hyperlink" Target="https://www.usac.org/about/contact-usac/submit-a-whistleblower-alert/" TargetMode="External" /><Relationship Id="rId8" Type="http://schemas.openxmlformats.org/officeDocument/2006/relationships/hyperlink" Target="https://consumercomplaints.fcc.gov/hc/en-us"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