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F838F6" w14:paraId="033FC552" w14:textId="77777777">
      <w:pPr>
        <w:jc w:val="right"/>
        <w:rPr>
          <w:b/>
          <w:sz w:val="24"/>
        </w:rPr>
      </w:pPr>
    </w:p>
    <w:p w:rsidR="00BB5A1E" w14:paraId="26A5C9B4" w14:textId="21885EE9">
      <w:pPr>
        <w:jc w:val="right"/>
        <w:rPr>
          <w:b/>
          <w:sz w:val="24"/>
        </w:rPr>
      </w:pPr>
      <w:r>
        <w:rPr>
          <w:b/>
          <w:sz w:val="24"/>
        </w:rPr>
        <w:t>DA 2</w:t>
      </w:r>
      <w:r w:rsidR="004E7530">
        <w:rPr>
          <w:b/>
          <w:sz w:val="24"/>
        </w:rPr>
        <w:t>5</w:t>
      </w:r>
      <w:r>
        <w:rPr>
          <w:b/>
          <w:sz w:val="24"/>
        </w:rPr>
        <w:t>-</w:t>
      </w:r>
      <w:r w:rsidR="00C03AA0">
        <w:rPr>
          <w:b/>
          <w:sz w:val="24"/>
        </w:rPr>
        <w:t>446</w:t>
      </w:r>
    </w:p>
    <w:p w:rsidR="00BB5A1E" w14:paraId="4137C93F" w14:textId="6E43DEB2">
      <w:pPr>
        <w:spacing w:before="60"/>
        <w:jc w:val="right"/>
        <w:rPr>
          <w:b/>
          <w:sz w:val="24"/>
        </w:rPr>
      </w:pPr>
      <w:r>
        <w:rPr>
          <w:b/>
          <w:sz w:val="24"/>
        </w:rPr>
        <w:t xml:space="preserve">Released:  </w:t>
      </w:r>
      <w:r w:rsidR="00F838F6">
        <w:rPr>
          <w:b/>
          <w:sz w:val="24"/>
        </w:rPr>
        <w:t>May 23</w:t>
      </w:r>
      <w:r w:rsidR="0011549D">
        <w:rPr>
          <w:b/>
          <w:sz w:val="24"/>
        </w:rPr>
        <w:t>, 202</w:t>
      </w:r>
      <w:r w:rsidR="004E7530">
        <w:rPr>
          <w:b/>
          <w:sz w:val="24"/>
        </w:rPr>
        <w:t>5</w:t>
      </w:r>
    </w:p>
    <w:p w:rsidR="00BB5A1E" w14:paraId="14303AF9" w14:textId="77777777">
      <w:pPr>
        <w:jc w:val="right"/>
        <w:rPr>
          <w:sz w:val="24"/>
        </w:rPr>
      </w:pPr>
    </w:p>
    <w:p w:rsidR="00BB5A1E" w14:paraId="19532811" w14:textId="4CDB56E3">
      <w:pPr>
        <w:spacing w:after="240"/>
        <w:jc w:val="center"/>
        <w:rPr>
          <w:rFonts w:ascii="Times New Roman Bold" w:hAnsi="Times New Roman Bold"/>
          <w:b/>
          <w:caps/>
          <w:sz w:val="24"/>
        </w:rPr>
      </w:pPr>
      <w:bookmarkStart w:id="0" w:name="_Hlk198885801"/>
      <w:r w:rsidRPr="005548EE">
        <w:rPr>
          <w:b/>
        </w:rPr>
        <w:t>PUBLIC SAFETY AND HOMELAND SECURITY BUREAU SEEKS COMMENT ON REQUESTS FOR WAIVER FILED BY THE</w:t>
      </w:r>
      <w:r>
        <w:rPr>
          <w:b/>
        </w:rPr>
        <w:t xml:space="preserve"> </w:t>
      </w:r>
      <w:r w:rsidR="004E7530">
        <w:rPr>
          <w:b/>
        </w:rPr>
        <w:t>TOWN OF TIVERTON</w:t>
      </w:r>
      <w:r>
        <w:rPr>
          <w:b/>
        </w:rPr>
        <w:t xml:space="preserve">, </w:t>
      </w:r>
      <w:r w:rsidR="004E7530">
        <w:rPr>
          <w:b/>
        </w:rPr>
        <w:t>RHODE ISLAND</w:t>
      </w:r>
      <w:r w:rsidR="00095F9C">
        <w:rPr>
          <w:b/>
        </w:rPr>
        <w:t xml:space="preserve"> </w:t>
      </w:r>
      <w:r w:rsidR="006A7211">
        <w:rPr>
          <w:b/>
        </w:rPr>
        <w:t>TO ADD A</w:t>
      </w:r>
      <w:r w:rsidR="007C081F">
        <w:rPr>
          <w:b/>
        </w:rPr>
        <w:t xml:space="preserve"> </w:t>
      </w:r>
      <w:r w:rsidR="00095F9C">
        <w:rPr>
          <w:b/>
        </w:rPr>
        <w:t>T-BAND BASE STATION</w:t>
      </w:r>
    </w:p>
    <w:bookmarkEnd w:id="0"/>
    <w:p w:rsidR="00BB5A1E" w14:paraId="56235211" w14:textId="4D887158">
      <w:pPr>
        <w:jc w:val="center"/>
        <w:rPr>
          <w:b/>
          <w:sz w:val="24"/>
        </w:rPr>
      </w:pPr>
      <w:r w:rsidRPr="00D324E1">
        <w:rPr>
          <w:b/>
          <w:sz w:val="24"/>
        </w:rPr>
        <w:t xml:space="preserve">File No. </w:t>
      </w:r>
      <w:r w:rsidRPr="004E7530" w:rsidR="004E7530">
        <w:rPr>
          <w:b/>
          <w:sz w:val="24"/>
        </w:rPr>
        <w:t>0010645349</w:t>
      </w:r>
    </w:p>
    <w:p w:rsidR="00BB5A1E" w14:paraId="5B8006A0" w14:textId="77777777">
      <w:bookmarkStart w:id="1" w:name="TOChere"/>
    </w:p>
    <w:bookmarkEnd w:id="1"/>
    <w:p w:rsidR="0011549D" w:rsidRPr="008C72D6" w:rsidP="0011549D" w14:paraId="664BE501" w14:textId="3A9743C2">
      <w:pPr>
        <w:rPr>
          <w:b/>
          <w:bCs/>
        </w:rPr>
      </w:pPr>
      <w:r w:rsidRPr="008C72D6">
        <w:rPr>
          <w:b/>
          <w:bCs/>
        </w:rPr>
        <w:t xml:space="preserve">Comments Due: </w:t>
      </w:r>
      <w:r w:rsidR="00F838F6">
        <w:rPr>
          <w:b/>
          <w:bCs/>
        </w:rPr>
        <w:t>June 12</w:t>
      </w:r>
      <w:r w:rsidR="00BF1DB3">
        <w:rPr>
          <w:b/>
          <w:bCs/>
        </w:rPr>
        <w:t>, 202</w:t>
      </w:r>
      <w:r w:rsidR="004E7530">
        <w:rPr>
          <w:b/>
          <w:bCs/>
        </w:rPr>
        <w:t>5</w:t>
      </w:r>
    </w:p>
    <w:p w:rsidR="0011549D" w:rsidP="0011549D" w14:paraId="089D4E6E" w14:textId="63732151">
      <w:pPr>
        <w:rPr>
          <w:b/>
          <w:bCs/>
        </w:rPr>
      </w:pPr>
      <w:r w:rsidRPr="008C72D6">
        <w:rPr>
          <w:b/>
          <w:bCs/>
        </w:rPr>
        <w:t xml:space="preserve">Reply Comments Due: </w:t>
      </w:r>
      <w:r w:rsidR="00F838F6">
        <w:rPr>
          <w:b/>
          <w:bCs/>
        </w:rPr>
        <w:t>June 23</w:t>
      </w:r>
      <w:r w:rsidR="00BF1DB3">
        <w:rPr>
          <w:b/>
          <w:bCs/>
        </w:rPr>
        <w:t>, 202</w:t>
      </w:r>
      <w:r w:rsidR="004E7530">
        <w:rPr>
          <w:b/>
          <w:bCs/>
        </w:rPr>
        <w:t>5</w:t>
      </w:r>
    </w:p>
    <w:p w:rsidR="0011549D" w:rsidRPr="008C72D6" w:rsidP="0011549D" w14:paraId="2A550E5D" w14:textId="77777777">
      <w:pPr>
        <w:rPr>
          <w:b/>
          <w:bCs/>
        </w:rPr>
      </w:pPr>
    </w:p>
    <w:p w:rsidR="00B01497" w:rsidP="00806699" w14:paraId="11CB4DA8" w14:textId="3B419D7F">
      <w:pPr>
        <w:ind w:firstLine="720"/>
      </w:pPr>
      <w:r>
        <w:rPr>
          <w:color w:val="000000"/>
          <w:szCs w:val="22"/>
        </w:rPr>
        <w:t>The Public Safety and Homeland Security Bureau</w:t>
      </w:r>
      <w:r w:rsidR="00E12C65">
        <w:rPr>
          <w:color w:val="000000"/>
          <w:szCs w:val="22"/>
        </w:rPr>
        <w:t xml:space="preserve"> (Bureau)</w:t>
      </w:r>
      <w:r>
        <w:rPr>
          <w:color w:val="000000"/>
          <w:szCs w:val="22"/>
        </w:rPr>
        <w:t xml:space="preserve"> seeks comment on the above-captioned application and waiver request</w:t>
      </w:r>
      <w:r w:rsidR="00D64450">
        <w:rPr>
          <w:color w:val="000000"/>
          <w:szCs w:val="22"/>
        </w:rPr>
        <w:t>s</w:t>
      </w:r>
      <w:r>
        <w:rPr>
          <w:color w:val="000000"/>
          <w:szCs w:val="22"/>
        </w:rPr>
        <w:t xml:space="preserve"> filed by </w:t>
      </w:r>
      <w:r w:rsidR="004E7530">
        <w:t>the Town</w:t>
      </w:r>
      <w:r w:rsidR="00936FBD">
        <w:t xml:space="preserve"> of </w:t>
      </w:r>
      <w:r w:rsidR="004E7530">
        <w:t>Tiverton</w:t>
      </w:r>
      <w:r w:rsidR="00936FBD">
        <w:t xml:space="preserve">, </w:t>
      </w:r>
      <w:r w:rsidR="004E7530">
        <w:t>Rhode Island</w:t>
      </w:r>
      <w:r>
        <w:t xml:space="preserve"> (</w:t>
      </w:r>
      <w:r w:rsidR="004E7530">
        <w:t>Tiverton</w:t>
      </w:r>
      <w:r w:rsidR="002745A3">
        <w:t xml:space="preserve">, or </w:t>
      </w:r>
      <w:r w:rsidR="004E7530">
        <w:t>the Town</w:t>
      </w:r>
      <w:r>
        <w:t>)</w:t>
      </w:r>
      <w:r w:rsidR="00A93CE8">
        <w:t>.</w:t>
      </w:r>
      <w:r w:rsidR="007C081F">
        <w:t xml:space="preserve"> </w:t>
      </w:r>
      <w:r w:rsidR="00E466CC">
        <w:t xml:space="preserve"> </w:t>
      </w:r>
      <w:r w:rsidR="004E7530">
        <w:t>The Town</w:t>
      </w:r>
      <w:r w:rsidR="00BC6A52">
        <w:t xml:space="preserve"> proposes</w:t>
      </w:r>
      <w:r w:rsidR="00DF008B">
        <w:t xml:space="preserve"> to </w:t>
      </w:r>
      <w:r w:rsidR="00AB464B">
        <w:t xml:space="preserve">add a base station to its </w:t>
      </w:r>
      <w:r w:rsidR="00A93CE8">
        <w:t xml:space="preserve">public safety radio system </w:t>
      </w:r>
      <w:r w:rsidR="00AB464B">
        <w:t xml:space="preserve">operating </w:t>
      </w:r>
      <w:r w:rsidRPr="00EF3325" w:rsidR="00AB464B">
        <w:t>in the 470-512 MHz band (T-Band)</w:t>
      </w:r>
      <w:r w:rsidR="00AB464B">
        <w:t>.</w:t>
      </w:r>
      <w:r w:rsidRPr="00AB464B" w:rsidR="00AB464B">
        <w:rPr>
          <w:rStyle w:val="FootnoteReference"/>
        </w:rPr>
        <w:t xml:space="preserve"> </w:t>
      </w:r>
      <w:r>
        <w:rPr>
          <w:rStyle w:val="FootnoteReference"/>
        </w:rPr>
        <w:footnoteReference w:id="3"/>
      </w:r>
      <w:r w:rsidRPr="007A6B51" w:rsidR="00AB464B">
        <w:rPr>
          <w:rStyle w:val="FootnoteReference"/>
          <w:vertAlign w:val="baseline"/>
        </w:rPr>
        <w:t xml:space="preserve"> </w:t>
      </w:r>
      <w:r w:rsidRPr="007A6B51" w:rsidR="00AB464B">
        <w:t xml:space="preserve"> </w:t>
      </w:r>
      <w:r w:rsidR="00AB464B">
        <w:t xml:space="preserve">Per </w:t>
      </w:r>
      <w:r w:rsidRPr="00AB464B" w:rsidR="00AB464B">
        <w:t>section 1.925 of the Commission’s rules,</w:t>
      </w:r>
      <w:r>
        <w:rPr>
          <w:rStyle w:val="FootnoteReference"/>
        </w:rPr>
        <w:footnoteReference w:id="4"/>
      </w:r>
      <w:r w:rsidRPr="00AB464B" w:rsidR="00AB464B">
        <w:t xml:space="preserve"> </w:t>
      </w:r>
      <w:r w:rsidR="00AB464B">
        <w:t>t</w:t>
      </w:r>
      <w:r w:rsidR="004E7530">
        <w:t>he Town</w:t>
      </w:r>
      <w:r>
        <w:t xml:space="preserve"> seek</w:t>
      </w:r>
      <w:r w:rsidR="00BC6A52">
        <w:t>s</w:t>
      </w:r>
      <w:r w:rsidRPr="00EF3325">
        <w:t xml:space="preserve"> waiver</w:t>
      </w:r>
      <w:r w:rsidR="00D310B2">
        <w:t xml:space="preserve"> relief</w:t>
      </w:r>
      <w:r w:rsidR="00D310B2">
        <w:rPr>
          <w:color w:val="000000"/>
          <w:szCs w:val="22"/>
        </w:rPr>
        <w:t xml:space="preserve"> </w:t>
      </w:r>
      <w:bookmarkStart w:id="2" w:name="_Hlk114569054"/>
      <w:r w:rsidR="003C6296">
        <w:t xml:space="preserve">of </w:t>
      </w:r>
      <w:r w:rsidR="00037D54">
        <w:t>s</w:t>
      </w:r>
      <w:r w:rsidR="003C6296">
        <w:t xml:space="preserve">ection </w:t>
      </w:r>
      <w:r w:rsidR="00D310B2">
        <w:t xml:space="preserve">90.305(a) </w:t>
      </w:r>
      <w:bookmarkEnd w:id="2"/>
      <w:r w:rsidR="00D310B2">
        <w:t>of the Commission’s rules</w:t>
      </w:r>
      <w:r w:rsidR="00F923B7">
        <w:t xml:space="preserve"> </w:t>
      </w:r>
      <w:r w:rsidR="002B3721">
        <w:t xml:space="preserve">because </w:t>
      </w:r>
      <w:r w:rsidR="00B26770">
        <w:t>it</w:t>
      </w:r>
      <w:r w:rsidR="002B3721">
        <w:t xml:space="preserve"> propos</w:t>
      </w:r>
      <w:r w:rsidR="00B26770">
        <w:t>es to operate a</w:t>
      </w:r>
      <w:r w:rsidR="002B3721">
        <w:t xml:space="preserve"> </w:t>
      </w:r>
      <w:r w:rsidR="00F923B7">
        <w:t xml:space="preserve">base station located more than </w:t>
      </w:r>
      <w:r w:rsidR="000B65E3">
        <w:t>80 kilometers (</w:t>
      </w:r>
      <w:r w:rsidR="00F923B7">
        <w:t>50 miles</w:t>
      </w:r>
      <w:r w:rsidR="000B65E3">
        <w:t>)</w:t>
      </w:r>
      <w:r w:rsidR="00F923B7">
        <w:t xml:space="preserve"> outside of the city center coordinates </w:t>
      </w:r>
      <w:r w:rsidR="002B3721">
        <w:t xml:space="preserve">of Boston, </w:t>
      </w:r>
      <w:r w:rsidR="0030612B">
        <w:t>Massachusetts</w:t>
      </w:r>
      <w:r w:rsidR="00FB61EA">
        <w:t>,</w:t>
      </w:r>
      <w:r>
        <w:rPr>
          <w:rStyle w:val="FootnoteReference"/>
        </w:rPr>
        <w:footnoteReference w:id="5"/>
      </w:r>
      <w:r w:rsidR="00FB61EA">
        <w:t xml:space="preserve"> and </w:t>
      </w:r>
      <w:r w:rsidR="00666E7B">
        <w:t xml:space="preserve">of </w:t>
      </w:r>
      <w:r w:rsidR="00FB61EA">
        <w:t>section 90.307(d) of the Commission’s rules</w:t>
      </w:r>
      <w:r w:rsidR="00666E7B">
        <w:t xml:space="preserve"> to </w:t>
      </w:r>
      <w:r w:rsidR="001F4745">
        <w:t>operate</w:t>
      </w:r>
      <w:r w:rsidR="00666E7B">
        <w:t xml:space="preserve"> this base station located less than 145 kilometers</w:t>
      </w:r>
      <w:r w:rsidR="000B65E3">
        <w:t xml:space="preserve"> (90 miles</w:t>
      </w:r>
      <w:r w:rsidR="00666E7B">
        <w:t>) from a</w:t>
      </w:r>
      <w:r w:rsidR="00DA6667">
        <w:t>n adjacent channel</w:t>
      </w:r>
      <w:r w:rsidR="00666E7B">
        <w:t xml:space="preserve"> </w:t>
      </w:r>
      <w:r w:rsidR="00DA6667">
        <w:t>television (</w:t>
      </w:r>
      <w:r w:rsidR="00666E7B">
        <w:t>TV</w:t>
      </w:r>
      <w:r w:rsidR="00DA6667">
        <w:t>)</w:t>
      </w:r>
      <w:r w:rsidR="00666E7B">
        <w:t xml:space="preserve"> station</w:t>
      </w:r>
      <w:r w:rsidR="005B4795">
        <w:t>.</w:t>
      </w:r>
      <w:r>
        <w:rPr>
          <w:rStyle w:val="FootnoteReference"/>
        </w:rPr>
        <w:footnoteReference w:id="6"/>
      </w:r>
    </w:p>
    <w:p w:rsidR="00B01497" w:rsidP="00B01497" w14:paraId="4008D5B2" w14:textId="77777777"/>
    <w:p w:rsidR="00D962CD" w:rsidP="00834363" w14:paraId="2E192F32" w14:textId="77777777">
      <w:pPr>
        <w:ind w:firstLine="720"/>
      </w:pPr>
      <w:r>
        <w:t>Tiverton</w:t>
      </w:r>
      <w:r w:rsidR="00D67184">
        <w:t xml:space="preserve"> operates a </w:t>
      </w:r>
      <w:r w:rsidR="0030612B">
        <w:t xml:space="preserve">single base station </w:t>
      </w:r>
      <w:r w:rsidR="00D67184">
        <w:t xml:space="preserve">radio system under call sign </w:t>
      </w:r>
      <w:r w:rsidR="00AB464B">
        <w:t>WP</w:t>
      </w:r>
      <w:r w:rsidR="0030612B">
        <w:t>M</w:t>
      </w:r>
      <w:r w:rsidR="00AB464B">
        <w:t>C285</w:t>
      </w:r>
      <w:r w:rsidR="0030612B">
        <w:t xml:space="preserve"> on frequency pair 482/485.9625 MHz</w:t>
      </w:r>
      <w:r w:rsidR="00D67184">
        <w:t xml:space="preserve"> in the TV Channel 16 band (482-488 MHz)</w:t>
      </w:r>
      <w:r w:rsidR="00854563">
        <w:t xml:space="preserve">.  </w:t>
      </w:r>
      <w:r w:rsidR="00E96805">
        <w:t>The Town states that it “</w:t>
      </w:r>
      <w:r w:rsidRPr="002745A3" w:rsidR="00E96805">
        <w:t>is in dire need of improved coverage and building penetration in its historical downtown business district</w:t>
      </w:r>
      <w:r w:rsidR="00E96805">
        <w:t>.”</w:t>
      </w:r>
      <w:r>
        <w:rPr>
          <w:rStyle w:val="FootnoteReference"/>
        </w:rPr>
        <w:footnoteReference w:id="7"/>
      </w:r>
      <w:r w:rsidR="00E96805">
        <w:t xml:space="preserve">  </w:t>
      </w:r>
      <w:r>
        <w:t>Tiverton states that the new transmitter site “will enhance coverage of the public safety radio system within the Town and surrounding areas.  The current system is lacking in coverage particularly within buildings and in hard to reach locations.  This coverage ‘hole’ subjects first responders and the public to dangerous situations.”</w:t>
      </w:r>
      <w:r>
        <w:rPr>
          <w:rStyle w:val="FootnoteReference"/>
        </w:rPr>
        <w:footnoteReference w:id="8"/>
      </w:r>
      <w:r>
        <w:t xml:space="preserve">  </w:t>
      </w:r>
    </w:p>
    <w:p w:rsidR="00D962CD" w:rsidP="00834363" w14:paraId="4D5F208C" w14:textId="77777777">
      <w:pPr>
        <w:ind w:firstLine="720"/>
      </w:pPr>
    </w:p>
    <w:p w:rsidR="00D67184" w:rsidP="00D962CD" w14:paraId="0FAB1C1D" w14:textId="3983E0EC">
      <w:pPr>
        <w:widowControl/>
        <w:ind w:firstLine="720"/>
      </w:pPr>
      <w:r>
        <w:t>Tiverton</w:t>
      </w:r>
      <w:r w:rsidR="00E912CA">
        <w:t xml:space="preserve"> </w:t>
      </w:r>
      <w:r w:rsidR="00834363">
        <w:t>requests</w:t>
      </w:r>
      <w:r w:rsidR="00CE0981">
        <w:t xml:space="preserve"> “</w:t>
      </w:r>
      <w:r w:rsidR="00834363">
        <w:t>that the Crandall Road site being proposed herein be granted a waiver of Section 90.305(a) to operate 50.838 miles/81.815 kilometers from the geographic center of Boston.</w:t>
      </w:r>
      <w:r w:rsidR="00CE0981">
        <w:t>”</w:t>
      </w:r>
      <w:r>
        <w:rPr>
          <w:rStyle w:val="FootnoteReference"/>
        </w:rPr>
        <w:footnoteReference w:id="9"/>
      </w:r>
      <w:r w:rsidRPr="00E96805" w:rsidR="00E96805">
        <w:t xml:space="preserve"> </w:t>
      </w:r>
      <w:r w:rsidR="00E96805">
        <w:t xml:space="preserve"> </w:t>
      </w:r>
      <w:r w:rsidR="00D962CD">
        <w:t xml:space="preserve">The Town contends that “the </w:t>
      </w:r>
      <w:r w:rsidRPr="00810CB5" w:rsidR="00D962CD">
        <w:t>prime sites that can provide that coverage are all located greater than 50 miles of the geographic center of Boston</w:t>
      </w:r>
      <w:r w:rsidR="00D962CD">
        <w:t>.”</w:t>
      </w:r>
      <w:r>
        <w:rPr>
          <w:rStyle w:val="FootnoteReference"/>
        </w:rPr>
        <w:footnoteReference w:id="10"/>
      </w:r>
      <w:r w:rsidR="00D962CD">
        <w:t xml:space="preserve">  </w:t>
      </w:r>
      <w:bookmarkStart w:id="3" w:name="_Hlk198885033"/>
      <w:r w:rsidR="00E96805">
        <w:t xml:space="preserve">The Town </w:t>
      </w:r>
      <w:r w:rsidR="0001481E">
        <w:t xml:space="preserve">argues </w:t>
      </w:r>
      <w:r w:rsidR="00E96805">
        <w:t xml:space="preserve">that </w:t>
      </w:r>
      <w:r w:rsidR="00A81796">
        <w:t>the distance t</w:t>
      </w:r>
      <w:r w:rsidRPr="00D246A3" w:rsidR="00E96805">
        <w:t xml:space="preserve">he </w:t>
      </w:r>
      <w:r w:rsidR="00E96805">
        <w:t xml:space="preserve">site being proposed </w:t>
      </w:r>
      <w:r w:rsidRPr="00D246A3" w:rsidR="00E96805">
        <w:t xml:space="preserve">exceeds the 50-mile limit of Section 90.305(a) </w:t>
      </w:r>
      <w:r w:rsidR="00A81796">
        <w:t>is d</w:t>
      </w:r>
      <w:r w:rsidRPr="00D246A3" w:rsidR="00E96805">
        <w:rPr>
          <w:i/>
          <w:iCs/>
        </w:rPr>
        <w:t>e minim</w:t>
      </w:r>
      <w:r w:rsidR="00A81796">
        <w:rPr>
          <w:i/>
          <w:iCs/>
        </w:rPr>
        <w:t>i</w:t>
      </w:r>
      <w:r w:rsidRPr="00D246A3" w:rsidR="00E96805">
        <w:rPr>
          <w:i/>
          <w:iCs/>
        </w:rPr>
        <w:t>s</w:t>
      </w:r>
      <w:r w:rsidR="00D541A9">
        <w:rPr>
          <w:i/>
          <w:iCs/>
        </w:rPr>
        <w:t xml:space="preserve"> </w:t>
      </w:r>
      <w:r w:rsidRPr="00D541A9" w:rsidR="00D541A9">
        <w:t>(.838 miles/1.815 kilometers)</w:t>
      </w:r>
      <w:r w:rsidRPr="00D541A9" w:rsidR="00A81796">
        <w:t>.</w:t>
      </w:r>
      <w:r>
        <w:rPr>
          <w:rStyle w:val="FootnoteReference"/>
        </w:rPr>
        <w:footnoteReference w:id="11"/>
      </w:r>
      <w:r w:rsidR="00E96805">
        <w:t xml:space="preserve">  </w:t>
      </w:r>
      <w:bookmarkEnd w:id="3"/>
      <w:r w:rsidR="00E96805">
        <w:t>The Town asserts that a waiver grant is in the public interest and would “</w:t>
      </w:r>
      <w:r w:rsidRPr="00C116C2" w:rsidR="00E96805">
        <w:t xml:space="preserve">provide enhanced public safety radio services to the citizens </w:t>
      </w:r>
      <w:r w:rsidR="00E96805">
        <w:t>of</w:t>
      </w:r>
      <w:r w:rsidRPr="00C116C2" w:rsidR="00E96805">
        <w:t xml:space="preserve"> </w:t>
      </w:r>
      <w:r w:rsidR="00E96805">
        <w:t>Tiverton.”</w:t>
      </w:r>
      <w:r>
        <w:rPr>
          <w:rStyle w:val="FootnoteReference"/>
        </w:rPr>
        <w:footnoteReference w:id="12"/>
      </w:r>
    </w:p>
    <w:p w:rsidR="00D67184" w:rsidP="00D67184" w14:paraId="0EAD3FC7" w14:textId="77777777">
      <w:pPr>
        <w:ind w:firstLine="720"/>
      </w:pPr>
    </w:p>
    <w:p w:rsidR="00B01497" w:rsidP="004C7E84" w14:paraId="624EC64A" w14:textId="7F0E724D">
      <w:pPr>
        <w:ind w:firstLine="720"/>
      </w:pPr>
      <w:r>
        <w:t>T</w:t>
      </w:r>
      <w:r w:rsidR="004E7530">
        <w:t>he Town</w:t>
      </w:r>
      <w:r w:rsidR="00D93073">
        <w:t xml:space="preserve"> seeks a waiver of section 90.307(d) for </w:t>
      </w:r>
      <w:r w:rsidR="00DE3929">
        <w:t xml:space="preserve">the new </w:t>
      </w:r>
      <w:r w:rsidR="00D93073">
        <w:t xml:space="preserve">site to operate </w:t>
      </w:r>
      <w:r w:rsidR="00816477">
        <w:t xml:space="preserve">at </w:t>
      </w:r>
      <w:r w:rsidR="004C783E">
        <w:t>34.2 miles/</w:t>
      </w:r>
      <w:r w:rsidR="00816477">
        <w:t xml:space="preserve">55 kilometers </w:t>
      </w:r>
      <w:r w:rsidR="00D93073">
        <w:t>from adjacent channel TV Station WPXQ-TV, TV Channel 17, Newport, Rhode Island.</w:t>
      </w:r>
      <w:r>
        <w:rPr>
          <w:rStyle w:val="FootnoteReference"/>
        </w:rPr>
        <w:footnoteReference w:id="13"/>
      </w:r>
      <w:r w:rsidR="00D93073">
        <w:t xml:space="preserve"> </w:t>
      </w:r>
      <w:r w:rsidR="006A69CC">
        <w:t xml:space="preserve"> </w:t>
      </w:r>
      <w:r w:rsidR="00324048">
        <w:t xml:space="preserve">Tiverton </w:t>
      </w:r>
      <w:r w:rsidR="00D836BE">
        <w:t>indicates</w:t>
      </w:r>
      <w:r w:rsidR="00324048">
        <w:t xml:space="preserve"> that Station WPXQ-</w:t>
      </w:r>
      <w:r w:rsidRPr="00C139A0" w:rsidR="00324048">
        <w:t>T</w:t>
      </w:r>
      <w:r w:rsidR="00D836BE">
        <w:t>V</w:t>
      </w:r>
      <w:r w:rsidR="00324048">
        <w:t xml:space="preserve"> was licensed </w:t>
      </w:r>
      <w:r w:rsidR="00D836BE">
        <w:t xml:space="preserve">in 2019 </w:t>
      </w:r>
      <w:r w:rsidR="00324048">
        <w:t>by the</w:t>
      </w:r>
      <w:r w:rsidR="00D836BE">
        <w:t xml:space="preserve"> FCC’s</w:t>
      </w:r>
      <w:r w:rsidR="00324048">
        <w:t xml:space="preserve"> Media Bureau at a distance from the center of the Boston Metropolitan Area of 113.2 km.</w:t>
      </w:r>
      <w:r>
        <w:rPr>
          <w:rStyle w:val="FootnoteReference"/>
        </w:rPr>
        <w:footnoteReference w:id="14"/>
      </w:r>
      <w:r w:rsidR="00B77B70">
        <w:t xml:space="preserve">  The Town states that “only land mobile sharing locations that meet the 145 km separation distance are located well to the North and East of the City of Boston.”</w:t>
      </w:r>
      <w:r>
        <w:rPr>
          <w:rStyle w:val="FootnoteReference"/>
        </w:rPr>
        <w:footnoteReference w:id="15"/>
      </w:r>
      <w:r w:rsidR="00AC5F8B">
        <w:t xml:space="preserve">  Tiverton provided an engineering analysis purporting to demonstrate that </w:t>
      </w:r>
      <w:r w:rsidR="004C7E84">
        <w:t xml:space="preserve">“the proposed license application meets the 0 dB D/U interference protection criteria. </w:t>
      </w:r>
      <w:r>
        <w:t xml:space="preserve"> </w:t>
      </w:r>
      <w:r w:rsidR="004C7E84">
        <w:t>There is no overlap between the Desired and Undesired contour plots</w:t>
      </w:r>
      <w:r w:rsidR="00AC5F8B">
        <w:t>.</w:t>
      </w:r>
      <w:r w:rsidR="004C7E84">
        <w:t>”</w:t>
      </w:r>
      <w:r>
        <w:rPr>
          <w:rStyle w:val="FootnoteReference"/>
        </w:rPr>
        <w:footnoteReference w:id="16"/>
      </w:r>
      <w:r>
        <w:t xml:space="preserve">  </w:t>
      </w:r>
    </w:p>
    <w:p w:rsidR="00095F9C" w:rsidP="00806699" w14:paraId="7BA67A40" w14:textId="3CACF49E">
      <w:pPr>
        <w:ind w:firstLine="720"/>
      </w:pPr>
    </w:p>
    <w:p w:rsidR="00806699" w:rsidP="00D324E1" w14:paraId="7C9941B0" w14:textId="77777777">
      <w:pPr>
        <w:widowControl/>
        <w:ind w:firstLine="720"/>
        <w:rPr>
          <w:szCs w:val="22"/>
        </w:rPr>
      </w:pPr>
      <w:r>
        <w:rPr>
          <w:szCs w:val="22"/>
        </w:rPr>
        <w:t xml:space="preserve">Pursuant to Sections 1.415 and 1.419 of the Commission’s rules, 47 CFR §§ 1.415, 1.419, interested parties may file comments and reply comments on or before the dates indicated on the first page of this </w:t>
      </w:r>
      <w:r>
        <w:rPr>
          <w:i/>
          <w:szCs w:val="22"/>
        </w:rPr>
        <w:t>Public Notice</w:t>
      </w:r>
      <w:r>
        <w:rPr>
          <w:szCs w:val="22"/>
        </w:rPr>
        <w:t xml:space="preserve">.  All comments and reply comments should reference the subject file number(s), waiver requests, and the DA number indicated on this </w:t>
      </w:r>
      <w:r>
        <w:rPr>
          <w:i/>
          <w:szCs w:val="22"/>
        </w:rPr>
        <w:t>Public Notice</w:t>
      </w:r>
      <w:r>
        <w:rPr>
          <w:szCs w:val="22"/>
        </w:rPr>
        <w:t xml:space="preserve">.  </w:t>
      </w:r>
    </w:p>
    <w:p w:rsidR="00806699" w:rsidP="00806699" w14:paraId="1E79FFC4" w14:textId="77777777">
      <w:pPr>
        <w:ind w:firstLine="720"/>
        <w:rPr>
          <w:szCs w:val="22"/>
        </w:rPr>
      </w:pPr>
    </w:p>
    <w:p w:rsidR="00806699" w:rsidRPr="002F4E74" w:rsidP="00806699" w14:paraId="4955BB60" w14:textId="77777777">
      <w:pPr>
        <w:widowControl/>
        <w:autoSpaceDE w:val="0"/>
        <w:autoSpaceDN w:val="0"/>
        <w:adjustRightInd w:val="0"/>
        <w:ind w:firstLine="720"/>
        <w:rPr>
          <w:snapToGrid/>
          <w:kern w:val="0"/>
          <w:szCs w:val="22"/>
        </w:rPr>
      </w:pPr>
      <w:r w:rsidRPr="002F4E74">
        <w:rPr>
          <w:snapToGrid/>
          <w:color w:val="000000"/>
          <w:kern w:val="0"/>
          <w:szCs w:val="22"/>
        </w:rPr>
        <w:t>Pleadings may be filed electronically through ULS, or by paper pursuant to the following instructions.  Parties are strongly encouraged to file</w:t>
      </w:r>
      <w:r w:rsidRPr="002F4E74">
        <w:rPr>
          <w:snapToGrid/>
          <w:kern w:val="0"/>
          <w:szCs w:val="22"/>
        </w:rPr>
        <w:t xml:space="preserve"> </w:t>
      </w:r>
      <w:r w:rsidRPr="002F4E74">
        <w:rPr>
          <w:snapToGrid/>
          <w:color w:val="000000"/>
          <w:kern w:val="0"/>
          <w:szCs w:val="22"/>
        </w:rPr>
        <w:t>electronically using ULS.</w:t>
      </w:r>
    </w:p>
    <w:p w:rsidR="00806699" w:rsidP="00806699" w14:paraId="79021C0D" w14:textId="77777777">
      <w:pPr>
        <w:ind w:firstLine="720"/>
        <w:rPr>
          <w:szCs w:val="22"/>
        </w:rPr>
      </w:pPr>
    </w:p>
    <w:p w:rsidR="00806699" w:rsidRPr="002F4E74" w:rsidP="00806699" w14:paraId="60FB182E" w14:textId="77777777">
      <w:pPr>
        <w:pStyle w:val="ListParagraph"/>
        <w:widowControl/>
        <w:numPr>
          <w:ilvl w:val="0"/>
          <w:numId w:val="7"/>
        </w:numPr>
        <w:autoSpaceDE w:val="0"/>
        <w:autoSpaceDN w:val="0"/>
        <w:adjustRightInd w:val="0"/>
        <w:rPr>
          <w:snapToGrid/>
          <w:color w:val="000000"/>
          <w:kern w:val="0"/>
          <w:szCs w:val="22"/>
        </w:rPr>
      </w:pPr>
      <w:r w:rsidRPr="002F4E74">
        <w:rPr>
          <w:snapToGrid/>
          <w:color w:val="000000"/>
          <w:kern w:val="0"/>
          <w:szCs w:val="22"/>
        </w:rPr>
        <w:t>Electronic Filers: Pleadings may be filed electronically using the Internet by accessing ULS:</w:t>
      </w:r>
    </w:p>
    <w:p w:rsidR="00806699" w:rsidRPr="002F4E74" w:rsidP="00806699" w14:paraId="1BDB877C" w14:textId="77777777">
      <w:pPr>
        <w:widowControl/>
        <w:autoSpaceDE w:val="0"/>
        <w:autoSpaceDN w:val="0"/>
        <w:adjustRightInd w:val="0"/>
        <w:ind w:left="720"/>
        <w:rPr>
          <w:snapToGrid/>
          <w:color w:val="000000"/>
          <w:kern w:val="0"/>
          <w:szCs w:val="22"/>
        </w:rPr>
      </w:pPr>
      <w:r w:rsidRPr="002F4E74">
        <w:rPr>
          <w:snapToGrid/>
          <w:color w:val="0000FF"/>
          <w:kern w:val="0"/>
          <w:szCs w:val="22"/>
        </w:rPr>
        <w:t>https://www.fcc.gov/wireless/systems-utilities/universal-licensing-system</w:t>
      </w:r>
      <w:r w:rsidRPr="002F4E74">
        <w:rPr>
          <w:snapToGrid/>
          <w:color w:val="000000"/>
          <w:kern w:val="0"/>
          <w:szCs w:val="22"/>
        </w:rPr>
        <w:t>.  Each screen indicates</w:t>
      </w:r>
    </w:p>
    <w:p w:rsidR="00806699" w:rsidRPr="002F4E74" w:rsidP="00806699" w14:paraId="4FE973AB" w14:textId="77777777">
      <w:pPr>
        <w:widowControl/>
        <w:autoSpaceDE w:val="0"/>
        <w:autoSpaceDN w:val="0"/>
        <w:adjustRightInd w:val="0"/>
        <w:ind w:left="720"/>
        <w:rPr>
          <w:snapToGrid/>
          <w:color w:val="000000"/>
          <w:kern w:val="0"/>
          <w:szCs w:val="22"/>
        </w:rPr>
      </w:pPr>
      <w:r w:rsidRPr="002F4E74">
        <w:rPr>
          <w:snapToGrid/>
          <w:color w:val="000000"/>
          <w:kern w:val="0"/>
          <w:szCs w:val="22"/>
        </w:rPr>
        <w:t>the information to be provided or the action(s) to be performed to complete that screen.  From the</w:t>
      </w:r>
    </w:p>
    <w:p w:rsidR="00806699" w:rsidRPr="002F4E74" w:rsidP="00806699" w14:paraId="4A0735DF" w14:textId="77777777">
      <w:pPr>
        <w:widowControl/>
        <w:autoSpaceDE w:val="0"/>
        <w:autoSpaceDN w:val="0"/>
        <w:adjustRightInd w:val="0"/>
        <w:ind w:left="720"/>
        <w:rPr>
          <w:snapToGrid/>
          <w:color w:val="000000"/>
          <w:kern w:val="0"/>
          <w:szCs w:val="22"/>
        </w:rPr>
      </w:pPr>
      <w:r w:rsidRPr="002F4E74">
        <w:rPr>
          <w:snapToGrid/>
          <w:color w:val="000000"/>
          <w:kern w:val="0"/>
          <w:szCs w:val="22"/>
        </w:rPr>
        <w:t>ULS website, to begin the process of filing a pleading click on “SUBMIT A PLEADING.”  The</w:t>
      </w:r>
    </w:p>
    <w:p w:rsidR="00806699" w:rsidRPr="002F4E74" w:rsidP="00806699" w14:paraId="11AA822F" w14:textId="77777777">
      <w:pPr>
        <w:widowControl/>
        <w:autoSpaceDE w:val="0"/>
        <w:autoSpaceDN w:val="0"/>
        <w:adjustRightInd w:val="0"/>
        <w:ind w:left="720"/>
        <w:rPr>
          <w:i/>
          <w:iCs/>
          <w:snapToGrid/>
          <w:color w:val="000000"/>
          <w:kern w:val="0"/>
          <w:szCs w:val="22"/>
        </w:rPr>
      </w:pPr>
      <w:r w:rsidRPr="002F4E74">
        <w:rPr>
          <w:snapToGrid/>
          <w:color w:val="000000"/>
          <w:kern w:val="0"/>
          <w:szCs w:val="22"/>
        </w:rPr>
        <w:t xml:space="preserve">link takes the user to the </w:t>
      </w:r>
      <w:r w:rsidRPr="002F4E74">
        <w:rPr>
          <w:i/>
          <w:iCs/>
          <w:snapToGrid/>
          <w:color w:val="000000"/>
          <w:kern w:val="0"/>
          <w:szCs w:val="22"/>
        </w:rPr>
        <w:t xml:space="preserve">Pleadings Information </w:t>
      </w:r>
      <w:r w:rsidRPr="002F4E74">
        <w:rPr>
          <w:snapToGrid/>
          <w:color w:val="000000"/>
          <w:kern w:val="0"/>
          <w:szCs w:val="22"/>
        </w:rPr>
        <w:t xml:space="preserve">screen.  Upon completing the </w:t>
      </w:r>
      <w:r w:rsidRPr="002F4E74">
        <w:rPr>
          <w:i/>
          <w:iCs/>
          <w:snapToGrid/>
          <w:color w:val="000000"/>
          <w:kern w:val="0"/>
          <w:szCs w:val="22"/>
        </w:rPr>
        <w:t>Pleadings</w:t>
      </w:r>
    </w:p>
    <w:p w:rsidR="00806699" w:rsidRPr="002F4E74" w:rsidP="00806699" w14:paraId="5550F434" w14:textId="77777777">
      <w:pPr>
        <w:widowControl/>
        <w:autoSpaceDE w:val="0"/>
        <w:autoSpaceDN w:val="0"/>
        <w:adjustRightInd w:val="0"/>
        <w:ind w:left="720"/>
        <w:rPr>
          <w:snapToGrid/>
          <w:kern w:val="0"/>
          <w:szCs w:val="22"/>
        </w:rPr>
      </w:pPr>
      <w:r w:rsidRPr="002F4E74">
        <w:rPr>
          <w:i/>
          <w:iCs/>
          <w:snapToGrid/>
          <w:color w:val="000000"/>
          <w:kern w:val="0"/>
          <w:szCs w:val="22"/>
        </w:rPr>
        <w:t xml:space="preserve">Information </w:t>
      </w:r>
      <w:r w:rsidRPr="002F4E74">
        <w:rPr>
          <w:snapToGrid/>
          <w:color w:val="000000"/>
          <w:kern w:val="0"/>
          <w:szCs w:val="22"/>
        </w:rPr>
        <w:t xml:space="preserve">screen, click “CONTINUE” to go to the </w:t>
      </w:r>
      <w:r w:rsidRPr="002F4E74">
        <w:rPr>
          <w:i/>
          <w:iCs/>
          <w:snapToGrid/>
          <w:color w:val="000000"/>
          <w:kern w:val="0"/>
          <w:szCs w:val="22"/>
        </w:rPr>
        <w:t xml:space="preserve">File Numbers/Call Signs </w:t>
      </w:r>
      <w:r w:rsidRPr="002F4E74">
        <w:rPr>
          <w:snapToGrid/>
          <w:color w:val="000000"/>
          <w:kern w:val="0"/>
          <w:szCs w:val="22"/>
        </w:rPr>
        <w:t xml:space="preserve">screen.  Upon providing the information required on that screen, complete steps three and four at the </w:t>
      </w:r>
      <w:r w:rsidRPr="002F4E74">
        <w:rPr>
          <w:i/>
          <w:iCs/>
          <w:snapToGrid/>
          <w:color w:val="000000"/>
          <w:kern w:val="0"/>
          <w:szCs w:val="22"/>
        </w:rPr>
        <w:t xml:space="preserve">Attach File </w:t>
      </w:r>
      <w:r w:rsidRPr="002F4E74">
        <w:rPr>
          <w:snapToGrid/>
          <w:kern w:val="0"/>
          <w:szCs w:val="22"/>
        </w:rPr>
        <w:t xml:space="preserve">and </w:t>
      </w:r>
      <w:r w:rsidRPr="002F4E74">
        <w:rPr>
          <w:i/>
          <w:iCs/>
          <w:snapToGrid/>
          <w:kern w:val="0"/>
          <w:szCs w:val="22"/>
        </w:rPr>
        <w:t xml:space="preserve">Confirmation </w:t>
      </w:r>
      <w:r w:rsidRPr="002F4E74">
        <w:rPr>
          <w:snapToGrid/>
          <w:kern w:val="0"/>
          <w:szCs w:val="22"/>
        </w:rPr>
        <w:t xml:space="preserve">screens, respectively.  For more information, detailed instructions can be found in the </w:t>
      </w:r>
      <w:r w:rsidRPr="002F4E74">
        <w:rPr>
          <w:i/>
          <w:iCs/>
          <w:snapToGrid/>
          <w:kern w:val="0"/>
          <w:szCs w:val="22"/>
        </w:rPr>
        <w:t xml:space="preserve">Public Notice </w:t>
      </w:r>
      <w:r w:rsidRPr="002F4E74">
        <w:rPr>
          <w:snapToGrid/>
          <w:kern w:val="0"/>
          <w:szCs w:val="22"/>
        </w:rPr>
        <w:t>announcing the implementation of electronic filing for pleadings.</w:t>
      </w:r>
      <w:r>
        <w:rPr>
          <w:rStyle w:val="FootnoteReference"/>
          <w:snapToGrid/>
          <w:kern w:val="0"/>
          <w:szCs w:val="22"/>
        </w:rPr>
        <w:footnoteReference w:id="17"/>
      </w:r>
    </w:p>
    <w:p w:rsidR="00806699" w:rsidRPr="002F4E74" w:rsidP="00806699" w14:paraId="1DB55266" w14:textId="77777777">
      <w:pPr>
        <w:ind w:left="720"/>
        <w:rPr>
          <w:szCs w:val="22"/>
        </w:rPr>
      </w:pPr>
    </w:p>
    <w:p w:rsidR="00806699" w:rsidRPr="002F4E74" w:rsidP="00806699" w14:paraId="5026CEEC" w14:textId="77777777">
      <w:pPr>
        <w:pStyle w:val="ListParagraph"/>
        <w:widowControl/>
        <w:numPr>
          <w:ilvl w:val="0"/>
          <w:numId w:val="7"/>
        </w:numPr>
        <w:autoSpaceDE w:val="0"/>
        <w:autoSpaceDN w:val="0"/>
        <w:adjustRightInd w:val="0"/>
        <w:rPr>
          <w:szCs w:val="22"/>
        </w:rPr>
      </w:pPr>
      <w:r w:rsidRPr="002F4E74">
        <w:rPr>
          <w:szCs w:val="22"/>
        </w:rPr>
        <w:t>Paper Filers: Parties who choose to file by paper must file an original and one copy of each filing.</w:t>
      </w:r>
    </w:p>
    <w:p w:rsidR="00806699" w:rsidRPr="002F4E74" w:rsidP="00806699" w14:paraId="7BDD1297" w14:textId="77777777">
      <w:pPr>
        <w:rPr>
          <w:szCs w:val="22"/>
        </w:rPr>
      </w:pPr>
    </w:p>
    <w:p w:rsidR="00806699" w:rsidRPr="002F4E74" w:rsidP="00806699" w14:paraId="6B1F2968" w14:textId="7EB7929F">
      <w:pPr>
        <w:pStyle w:val="ListParagraph"/>
        <w:widowControl/>
        <w:numPr>
          <w:ilvl w:val="0"/>
          <w:numId w:val="7"/>
        </w:numPr>
        <w:autoSpaceDE w:val="0"/>
        <w:autoSpaceDN w:val="0"/>
        <w:adjustRightInd w:val="0"/>
        <w:rPr>
          <w:szCs w:val="22"/>
        </w:rPr>
      </w:pPr>
      <w:r w:rsidRPr="002F4E74">
        <w:rPr>
          <w:szCs w:val="22"/>
        </w:rPr>
        <w:t xml:space="preserve">Filings can be sent </w:t>
      </w:r>
      <w:r w:rsidRPr="0004280F" w:rsidR="004C7E84">
        <w:rPr>
          <w:szCs w:val="22"/>
        </w:rPr>
        <w:t xml:space="preserve">hand or messenger delivery, </w:t>
      </w:r>
      <w:r w:rsidRPr="002F4E74">
        <w:rPr>
          <w:szCs w:val="22"/>
        </w:rPr>
        <w:t>by commercial courier</w:t>
      </w:r>
      <w:r w:rsidR="004C7E84">
        <w:rPr>
          <w:szCs w:val="22"/>
        </w:rPr>
        <w:t>,</w:t>
      </w:r>
      <w:r w:rsidRPr="002F4E74">
        <w:rPr>
          <w:szCs w:val="22"/>
        </w:rPr>
        <w:t xml:space="preserve"> or by the U.S. Postal Service.  All filings must be addressed to the Commission’s Secretary, Office of the Secretary, Federal Communications Commission.</w:t>
      </w:r>
    </w:p>
    <w:p w:rsidR="00806699" w:rsidRPr="002F4E74" w:rsidP="00806699" w14:paraId="2584730B" w14:textId="77777777">
      <w:pPr>
        <w:rPr>
          <w:szCs w:val="22"/>
        </w:rPr>
      </w:pPr>
    </w:p>
    <w:p w:rsidR="00806699" w:rsidRPr="002F4E74" w:rsidP="00806699" w14:paraId="653E3500" w14:textId="77777777">
      <w:pPr>
        <w:pStyle w:val="ListParagraph"/>
        <w:widowControl/>
        <w:numPr>
          <w:ilvl w:val="0"/>
          <w:numId w:val="7"/>
        </w:numPr>
        <w:autoSpaceDE w:val="0"/>
        <w:autoSpaceDN w:val="0"/>
        <w:adjustRightInd w:val="0"/>
        <w:rPr>
          <w:szCs w:val="22"/>
        </w:rPr>
      </w:pPr>
      <w:r w:rsidRPr="002F4E74">
        <w:rPr>
          <w:szCs w:val="22"/>
        </w:rPr>
        <w:t>Commercial deliveries (other than U.S. Postal Service Express Mail and Priority Mail) must be sent to 9050 Junction Drive, Annapolis Junction, MD 20701.  U.S. Postal Service First-Class, Express, and Priority mail must be addressed to 45 L Street, NE, Washington, DC 20554.</w:t>
      </w:r>
    </w:p>
    <w:p w:rsidR="00806699" w:rsidRPr="002F4E74" w:rsidP="00806699" w14:paraId="1E843032" w14:textId="77777777">
      <w:pPr>
        <w:widowControl/>
        <w:autoSpaceDE w:val="0"/>
        <w:autoSpaceDN w:val="0"/>
        <w:adjustRightInd w:val="0"/>
        <w:ind w:left="720"/>
        <w:rPr>
          <w:szCs w:val="22"/>
        </w:rPr>
      </w:pPr>
    </w:p>
    <w:p w:rsidR="00806699" w:rsidRPr="002F4E74" w:rsidP="00806699" w14:paraId="5039B6EB" w14:textId="2225D25A">
      <w:pPr>
        <w:pStyle w:val="ListParagraph"/>
        <w:widowControl/>
        <w:numPr>
          <w:ilvl w:val="0"/>
          <w:numId w:val="7"/>
        </w:numPr>
        <w:autoSpaceDE w:val="0"/>
        <w:autoSpaceDN w:val="0"/>
        <w:adjustRightInd w:val="0"/>
        <w:rPr>
          <w:snapToGrid/>
          <w:color w:val="000000"/>
          <w:kern w:val="0"/>
          <w:szCs w:val="22"/>
        </w:rPr>
      </w:pPr>
      <w:r w:rsidRPr="004C7E84">
        <w:rPr>
          <w:snapToGrid/>
          <w:color w:val="000000"/>
          <w:kern w:val="0"/>
          <w:szCs w:val="22"/>
        </w:rPr>
        <w:t>Hand-delivered or messenger-delivered paper filings for the Commission’s Secretary are accepted between 8:00 a.m. and 4:00 p.m. by the FCC’s mailing contractor at 9050 Junction Drive, Annapolis Junction, MD 20701.  All hand deliveries must be held together with rubber bands or fasteners.  Any envelopes and boxes must be disposed of before entering the building.</w:t>
      </w:r>
    </w:p>
    <w:p w:rsidR="00806699" w:rsidRPr="002F4E74" w:rsidP="00806699" w14:paraId="512B3D85" w14:textId="77777777">
      <w:pPr>
        <w:widowControl/>
        <w:autoSpaceDE w:val="0"/>
        <w:autoSpaceDN w:val="0"/>
        <w:adjustRightInd w:val="0"/>
        <w:rPr>
          <w:snapToGrid/>
          <w:color w:val="000000"/>
          <w:kern w:val="0"/>
          <w:szCs w:val="22"/>
        </w:rPr>
      </w:pPr>
    </w:p>
    <w:p w:rsidR="00806699" w:rsidRPr="002F4E74" w:rsidP="00806699" w14:paraId="02E40398" w14:textId="77777777">
      <w:pPr>
        <w:pStyle w:val="ListParagraph"/>
        <w:widowControl/>
        <w:numPr>
          <w:ilvl w:val="0"/>
          <w:numId w:val="7"/>
        </w:numPr>
        <w:autoSpaceDE w:val="0"/>
        <w:autoSpaceDN w:val="0"/>
        <w:adjustRightInd w:val="0"/>
        <w:rPr>
          <w:snapToGrid/>
          <w:color w:val="000000"/>
          <w:kern w:val="0"/>
          <w:szCs w:val="22"/>
        </w:rPr>
      </w:pPr>
      <w:r w:rsidRPr="002F4E74">
        <w:rPr>
          <w:snapToGrid/>
          <w:color w:val="000000"/>
          <w:kern w:val="0"/>
          <w:szCs w:val="22"/>
        </w:rPr>
        <w:t>Commercial overnight mail (other than U.S. Postal Service Express Mail and Priority Mail) must be sent to 9050 Junction Drive, Annapolis Junction, MD 20701.</w:t>
      </w:r>
    </w:p>
    <w:p w:rsidR="00806699" w:rsidRPr="002F4E74" w:rsidP="00806699" w14:paraId="006A7D65" w14:textId="77777777">
      <w:pPr>
        <w:widowControl/>
        <w:autoSpaceDE w:val="0"/>
        <w:autoSpaceDN w:val="0"/>
        <w:adjustRightInd w:val="0"/>
        <w:rPr>
          <w:snapToGrid/>
          <w:color w:val="000000"/>
          <w:kern w:val="0"/>
          <w:szCs w:val="22"/>
        </w:rPr>
      </w:pPr>
    </w:p>
    <w:p w:rsidR="00806699" w:rsidRPr="002F4E74" w:rsidP="00806699" w14:paraId="10592E64" w14:textId="77777777">
      <w:pPr>
        <w:pStyle w:val="ListParagraph"/>
        <w:widowControl/>
        <w:numPr>
          <w:ilvl w:val="0"/>
          <w:numId w:val="7"/>
        </w:numPr>
        <w:autoSpaceDE w:val="0"/>
        <w:autoSpaceDN w:val="0"/>
        <w:adjustRightInd w:val="0"/>
        <w:rPr>
          <w:snapToGrid/>
          <w:color w:val="000000"/>
          <w:kern w:val="0"/>
          <w:szCs w:val="22"/>
        </w:rPr>
      </w:pPr>
      <w:r w:rsidRPr="002F4E74">
        <w:rPr>
          <w:snapToGrid/>
          <w:color w:val="000000"/>
          <w:kern w:val="0"/>
          <w:szCs w:val="22"/>
        </w:rPr>
        <w:t>U.S. Postal Service first-class, Express, and Priority mail must be addressed to 45 L Street, NE,</w:t>
      </w:r>
    </w:p>
    <w:p w:rsidR="00806699" w:rsidRPr="002F4E74" w:rsidP="00806699" w14:paraId="48555A42" w14:textId="77777777">
      <w:pPr>
        <w:widowControl/>
        <w:autoSpaceDE w:val="0"/>
        <w:autoSpaceDN w:val="0"/>
        <w:adjustRightInd w:val="0"/>
        <w:ind w:left="360" w:firstLine="360"/>
        <w:rPr>
          <w:snapToGrid/>
          <w:color w:val="000000"/>
          <w:kern w:val="0"/>
          <w:szCs w:val="22"/>
        </w:rPr>
      </w:pPr>
      <w:r w:rsidRPr="002F4E74">
        <w:rPr>
          <w:snapToGrid/>
          <w:color w:val="000000"/>
          <w:kern w:val="0"/>
          <w:szCs w:val="22"/>
        </w:rPr>
        <w:t>Washington, DC 20554.</w:t>
      </w:r>
    </w:p>
    <w:p w:rsidR="00806699" w:rsidRPr="00273A25" w:rsidP="00806699" w14:paraId="0D747BF0" w14:textId="77777777">
      <w:pPr>
        <w:ind w:firstLine="360"/>
        <w:rPr>
          <w:szCs w:val="24"/>
        </w:rPr>
      </w:pPr>
    </w:p>
    <w:p w:rsidR="00806699" w:rsidP="00806699" w14:paraId="48C369B3" w14:textId="77777777">
      <w:pPr>
        <w:ind w:firstLine="720"/>
        <w:rPr>
          <w:szCs w:val="22"/>
        </w:rPr>
      </w:pPr>
      <w:r>
        <w:rPr>
          <w:szCs w:val="22"/>
        </w:rPr>
        <w:t xml:space="preserve">Because of the policy implications and potential impact of this case on persons not party to the applications, it is in the public interest to treat this case as a permit-but-disclose proceeding under the </w:t>
      </w:r>
      <w:r>
        <w:rPr>
          <w:i/>
          <w:szCs w:val="22"/>
        </w:rPr>
        <w:t>ex parte</w:t>
      </w:r>
      <w:r>
        <w:rPr>
          <w:szCs w:val="22"/>
        </w:rPr>
        <w:t xml:space="preserve"> rules.  </w:t>
      </w:r>
      <w:r>
        <w:rPr>
          <w:i/>
          <w:szCs w:val="22"/>
        </w:rPr>
        <w:t>See</w:t>
      </w:r>
      <w:r>
        <w:rPr>
          <w:szCs w:val="22"/>
        </w:rPr>
        <w:t xml:space="preserve"> Sections 1.1200(a) and 1.1206 of the Commission’s rules, 47 CFR §§ 1.1200(a) and 1.1206.  Therefore, subsequent to the release of this </w:t>
      </w:r>
      <w:r>
        <w:rPr>
          <w:i/>
          <w:szCs w:val="22"/>
        </w:rPr>
        <w:t>Public Notice, ex parte</w:t>
      </w:r>
      <w:r>
        <w:rPr>
          <w:szCs w:val="22"/>
        </w:rPr>
        <w:t xml:space="preserve"> presentations that are made with respect to the issues involved in the subject waiver requests will be allowed, but must be disclosed in accordance with the requirements of Section 1.1206(b) of the Commission’s rules, 47 CFR § 1.1206(b).</w:t>
      </w:r>
    </w:p>
    <w:p w:rsidR="00806699" w:rsidP="00806699" w14:paraId="0BBAC4C2" w14:textId="77777777">
      <w:pPr>
        <w:ind w:firstLine="720"/>
        <w:rPr>
          <w:szCs w:val="22"/>
        </w:rPr>
      </w:pPr>
    </w:p>
    <w:p w:rsidR="00806699" w:rsidP="00806699" w14:paraId="171AF9F5" w14:textId="5AB61F42">
      <w:pPr>
        <w:ind w:firstLine="720"/>
        <w:rPr>
          <w:szCs w:val="22"/>
        </w:rPr>
      </w:pPr>
      <w:r>
        <w:rPr>
          <w:szCs w:val="22"/>
        </w:rPr>
        <w:t xml:space="preserve">The applications, waiver requests, and comments and reply comments can be accessed electronically via the Commission’s Universal Licensing System, </w:t>
      </w:r>
      <w:hyperlink r:id="rId6" w:history="1">
        <w:r w:rsidRPr="00BA1AAC" w:rsidR="004C7E84">
          <w:rPr>
            <w:rStyle w:val="Hyperlink"/>
            <w:szCs w:val="22"/>
          </w:rPr>
          <w:t>https://www.fcc.gov/wireless/universal-licensing-system</w:t>
        </w:r>
      </w:hyperlink>
      <w:r>
        <w:rPr>
          <w:szCs w:val="22"/>
        </w:rPr>
        <w:t xml:space="preserve">.  </w:t>
      </w:r>
    </w:p>
    <w:p w:rsidR="00806699" w:rsidP="00806699" w14:paraId="00F3D751" w14:textId="77777777">
      <w:pPr>
        <w:ind w:firstLine="720"/>
        <w:rPr>
          <w:szCs w:val="22"/>
        </w:rPr>
      </w:pPr>
    </w:p>
    <w:p w:rsidR="00806699" w:rsidRPr="002F4E74" w:rsidP="00806699" w14:paraId="2597F174" w14:textId="77777777">
      <w:pPr>
        <w:widowControl/>
        <w:autoSpaceDE w:val="0"/>
        <w:autoSpaceDN w:val="0"/>
        <w:adjustRightInd w:val="0"/>
        <w:ind w:firstLine="720"/>
        <w:rPr>
          <w:snapToGrid/>
          <w:color w:val="000000"/>
          <w:kern w:val="0"/>
          <w:szCs w:val="22"/>
        </w:rPr>
      </w:pPr>
      <w:r w:rsidRPr="002F4E74">
        <w:rPr>
          <w:snapToGrid/>
          <w:color w:val="000000"/>
          <w:kern w:val="0"/>
          <w:szCs w:val="22"/>
        </w:rPr>
        <w:t>For technical assistance in using ULS for viewing the application or filing an amendment to the</w:t>
      </w:r>
    </w:p>
    <w:p w:rsidR="00806699" w:rsidRPr="002F4E74" w:rsidP="00806699" w14:paraId="5116BD5E" w14:textId="77777777">
      <w:pPr>
        <w:widowControl/>
        <w:autoSpaceDE w:val="0"/>
        <w:autoSpaceDN w:val="0"/>
        <w:adjustRightInd w:val="0"/>
        <w:rPr>
          <w:snapToGrid/>
          <w:color w:val="000000"/>
          <w:kern w:val="0"/>
          <w:szCs w:val="22"/>
        </w:rPr>
      </w:pPr>
      <w:r w:rsidRPr="002F4E74">
        <w:rPr>
          <w:snapToGrid/>
          <w:color w:val="000000"/>
          <w:kern w:val="0"/>
          <w:szCs w:val="22"/>
        </w:rPr>
        <w:t>application, contact the ULS Licensing Support Hotline at (877) 480-3201.  The ULS Licensing Support</w:t>
      </w:r>
    </w:p>
    <w:p w:rsidR="00806699" w:rsidRPr="002F4E74" w:rsidP="00806699" w14:paraId="706B9666" w14:textId="77777777">
      <w:pPr>
        <w:widowControl/>
        <w:autoSpaceDE w:val="0"/>
        <w:autoSpaceDN w:val="0"/>
        <w:adjustRightInd w:val="0"/>
        <w:rPr>
          <w:snapToGrid/>
          <w:color w:val="000000"/>
          <w:kern w:val="0"/>
          <w:szCs w:val="22"/>
        </w:rPr>
      </w:pPr>
      <w:r w:rsidRPr="002F4E74">
        <w:rPr>
          <w:snapToGrid/>
          <w:color w:val="000000"/>
          <w:kern w:val="0"/>
          <w:szCs w:val="22"/>
        </w:rPr>
        <w:t>Hotline is available Monday through Friday, from 8:00 A.M. to 6:00 P.M. Eastern Time.  All calls to the</w:t>
      </w:r>
    </w:p>
    <w:p w:rsidR="00806699" w:rsidP="00806699" w14:paraId="6A75C814" w14:textId="23B32436">
      <w:pPr>
        <w:widowControl/>
        <w:autoSpaceDE w:val="0"/>
        <w:autoSpaceDN w:val="0"/>
        <w:adjustRightInd w:val="0"/>
        <w:rPr>
          <w:snapToGrid/>
          <w:color w:val="000000"/>
          <w:kern w:val="0"/>
          <w:szCs w:val="22"/>
        </w:rPr>
      </w:pPr>
      <w:r w:rsidRPr="002F4E74">
        <w:rPr>
          <w:snapToGrid/>
          <w:color w:val="000000"/>
          <w:kern w:val="0"/>
          <w:szCs w:val="22"/>
        </w:rPr>
        <w:t>ULS Licensing Support Hotline are recorded.</w:t>
      </w:r>
    </w:p>
    <w:p w:rsidR="00AE66E5" w:rsidRPr="002F4E74" w:rsidP="00806699" w14:paraId="2A80E16B" w14:textId="77777777">
      <w:pPr>
        <w:widowControl/>
        <w:autoSpaceDE w:val="0"/>
        <w:autoSpaceDN w:val="0"/>
        <w:adjustRightInd w:val="0"/>
        <w:rPr>
          <w:snapToGrid/>
          <w:color w:val="000000"/>
          <w:kern w:val="0"/>
          <w:szCs w:val="22"/>
        </w:rPr>
      </w:pPr>
    </w:p>
    <w:p w:rsidR="00806699" w:rsidRPr="00273A25" w:rsidP="00806699" w14:paraId="43899F60" w14:textId="73B33C5C">
      <w:pPr>
        <w:widowControl/>
        <w:ind w:firstLine="720"/>
        <w:rPr>
          <w:szCs w:val="24"/>
        </w:rPr>
      </w:pPr>
      <w:r w:rsidRPr="00273A25">
        <w:rPr>
          <w:szCs w:val="24"/>
        </w:rPr>
        <w:t xml:space="preserve">For further information regarding this Public Notice, please contact </w:t>
      </w:r>
      <w:r>
        <w:rPr>
          <w:szCs w:val="24"/>
        </w:rPr>
        <w:t>Thomas Eng</w:t>
      </w:r>
      <w:r w:rsidRPr="00273A25">
        <w:rPr>
          <w:szCs w:val="24"/>
        </w:rPr>
        <w:t xml:space="preserve">, </w:t>
      </w:r>
      <w:r>
        <w:rPr>
          <w:szCs w:val="24"/>
        </w:rPr>
        <w:t xml:space="preserve">Policy and Licensing </w:t>
      </w:r>
      <w:r w:rsidRPr="00273A25">
        <w:rPr>
          <w:szCs w:val="24"/>
        </w:rPr>
        <w:t>Division, Public Safety and Homeland Security Bureau, (202) 418-</w:t>
      </w:r>
      <w:r>
        <w:rPr>
          <w:szCs w:val="24"/>
        </w:rPr>
        <w:t>0019</w:t>
      </w:r>
      <w:r w:rsidRPr="00273A25">
        <w:rPr>
          <w:szCs w:val="24"/>
        </w:rPr>
        <w:t xml:space="preserve">, or by email to </w:t>
      </w:r>
      <w:hyperlink r:id="rId7" w:history="1">
        <w:r w:rsidRPr="006E7FC0" w:rsidR="00FB2299">
          <w:rPr>
            <w:rStyle w:val="Hyperlink"/>
            <w:szCs w:val="24"/>
          </w:rPr>
          <w:t>thomas.eng@fcc.gov</w:t>
        </w:r>
      </w:hyperlink>
      <w:r w:rsidRPr="00273A25">
        <w:rPr>
          <w:szCs w:val="24"/>
        </w:rPr>
        <w:t>.</w:t>
      </w:r>
      <w:r w:rsidR="00FB2299">
        <w:rPr>
          <w:szCs w:val="24"/>
        </w:rPr>
        <w:t xml:space="preserve"> </w:t>
      </w:r>
    </w:p>
    <w:p w:rsidR="00806699" w:rsidP="00806699" w14:paraId="11B4063C" w14:textId="77777777"/>
    <w:p w:rsidR="00806699" w:rsidRPr="002F4E74" w:rsidP="00806699" w14:paraId="453C73D1" w14:textId="40F68867">
      <w:pPr>
        <w:widowControl/>
        <w:autoSpaceDE w:val="0"/>
        <w:autoSpaceDN w:val="0"/>
        <w:adjustRightInd w:val="0"/>
        <w:ind w:firstLine="720"/>
        <w:rPr>
          <w:snapToGrid/>
          <w:color w:val="000000"/>
          <w:kern w:val="0"/>
          <w:szCs w:val="22"/>
        </w:rPr>
      </w:pPr>
      <w:r w:rsidRPr="002F4E74">
        <w:rPr>
          <w:snapToGrid/>
          <w:color w:val="000000"/>
          <w:kern w:val="0"/>
          <w:szCs w:val="22"/>
        </w:rPr>
        <w:t xml:space="preserve">People with Disabilities:  To request materials in accessible formats for people with disabilities (braille, large print, electronic files, audio format), send an e-mail to </w:t>
      </w:r>
      <w:r w:rsidRPr="002F4E74">
        <w:rPr>
          <w:snapToGrid/>
          <w:color w:val="0000FF"/>
          <w:kern w:val="0"/>
          <w:szCs w:val="22"/>
        </w:rPr>
        <w:t xml:space="preserve">fcc504@fcc.gov </w:t>
      </w:r>
      <w:r w:rsidRPr="002F4E74">
        <w:rPr>
          <w:snapToGrid/>
          <w:color w:val="000000"/>
          <w:kern w:val="0"/>
          <w:szCs w:val="22"/>
        </w:rPr>
        <w:t>or call the Consumer &amp; Governmental Affairs Bureau at 202-418-053</w:t>
      </w:r>
      <w:r w:rsidR="004C7E84">
        <w:rPr>
          <w:snapToGrid/>
          <w:color w:val="000000"/>
          <w:kern w:val="0"/>
          <w:szCs w:val="22"/>
        </w:rPr>
        <w:t>0</w:t>
      </w:r>
      <w:r w:rsidRPr="002F4E74">
        <w:rPr>
          <w:snapToGrid/>
          <w:color w:val="000000"/>
          <w:kern w:val="0"/>
          <w:szCs w:val="22"/>
        </w:rPr>
        <w:t>.</w:t>
      </w:r>
    </w:p>
    <w:p w:rsidR="00806699" w:rsidP="00806699" w14:paraId="3B33E547" w14:textId="77777777"/>
    <w:p w:rsidR="00806699" w:rsidP="00806699" w14:paraId="50EFB227" w14:textId="77777777">
      <w:r>
        <w:tab/>
        <w:t>By the Chief, Policy and Licensing Division, Public Safety and Homeland Security Bureau.</w:t>
      </w:r>
    </w:p>
    <w:p w:rsidR="00806699" w:rsidP="00806699" w14:paraId="16926873" w14:textId="77777777"/>
    <w:p w:rsidR="00806699" w:rsidP="00806699" w14:paraId="09BDB4EF" w14:textId="77777777">
      <w:pPr>
        <w:jc w:val="center"/>
      </w:pPr>
      <w:r>
        <w:t>-FCC-</w:t>
      </w:r>
    </w:p>
    <w:p w:rsidR="00806699" w14:paraId="4D381C0F" w14:textId="77777777"/>
    <w:sectPr>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42874" w14:paraId="6B997FBD" w14:textId="77777777">
      <w:pPr>
        <w:spacing w:line="20" w:lineRule="exact"/>
      </w:pPr>
    </w:p>
  </w:endnote>
  <w:endnote w:type="continuationSeparator" w:id="1">
    <w:p w:rsidR="00042874" w14:paraId="2AF7CD35" w14:textId="77777777">
      <w:r>
        <w:t xml:space="preserve"> </w:t>
      </w:r>
    </w:p>
  </w:endnote>
  <w:endnote w:type="continuationNotice" w:id="2">
    <w:p w:rsidR="00042874" w14:paraId="28F126AB"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A1E" w14:paraId="13471375" w14:textId="77777777">
    <w:pPr>
      <w:pStyle w:val="Footer"/>
      <w:framePr w:wrap="around" w:vAnchor="text" w:hAnchor="margin" w:xAlign="center" w:y="1"/>
    </w:pPr>
    <w:r>
      <w:fldChar w:fldCharType="begin"/>
    </w:r>
    <w:r>
      <w:instrText xml:space="preserve">PAGE  </w:instrText>
    </w:r>
    <w:r>
      <w:fldChar w:fldCharType="separate"/>
    </w:r>
    <w:r>
      <w:fldChar w:fldCharType="end"/>
    </w:r>
  </w:p>
  <w:p w:rsidR="00BB5A1E" w14:paraId="28C23A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A1E" w14:paraId="4558232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A1E" w14:paraId="23A7527D"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42874" w14:paraId="127219D5" w14:textId="77777777">
      <w:r>
        <w:separator/>
      </w:r>
    </w:p>
  </w:footnote>
  <w:footnote w:type="continuationSeparator" w:id="1">
    <w:p w:rsidR="00042874" w14:paraId="7B26501A" w14:textId="77777777">
      <w:pPr>
        <w:rPr>
          <w:sz w:val="20"/>
        </w:rPr>
      </w:pPr>
      <w:r>
        <w:rPr>
          <w:sz w:val="20"/>
        </w:rPr>
        <w:t xml:space="preserve">(Continued from previous page)  </w:t>
      </w:r>
      <w:r>
        <w:rPr>
          <w:sz w:val="20"/>
        </w:rPr>
        <w:separator/>
      </w:r>
    </w:p>
  </w:footnote>
  <w:footnote w:type="continuationNotice" w:id="2">
    <w:p w:rsidR="00042874" w14:paraId="1E151FEA" w14:textId="77777777">
      <w:pPr>
        <w:jc w:val="right"/>
        <w:rPr>
          <w:sz w:val="20"/>
        </w:rPr>
      </w:pPr>
      <w:r>
        <w:rPr>
          <w:sz w:val="20"/>
        </w:rPr>
        <w:t>(continued….)</w:t>
      </w:r>
    </w:p>
  </w:footnote>
  <w:footnote w:id="3">
    <w:p w:rsidR="00AB464B" w:rsidP="00AB464B" w14:paraId="1A38DCD5" w14:textId="618B9586">
      <w:pPr>
        <w:pStyle w:val="FootnoteText"/>
      </w:pPr>
      <w:r>
        <w:rPr>
          <w:rStyle w:val="FootnoteReference"/>
        </w:rPr>
        <w:footnoteRef/>
      </w:r>
      <w:r>
        <w:t xml:space="preserve"> </w:t>
      </w:r>
      <w:r>
        <w:rPr>
          <w:i/>
          <w:iCs/>
        </w:rPr>
        <w:t xml:space="preserve">See </w:t>
      </w:r>
      <w:r w:rsidRPr="0041534B">
        <w:t xml:space="preserve">File No. </w:t>
      </w:r>
      <w:r>
        <w:t>0010645349</w:t>
      </w:r>
      <w:r w:rsidRPr="007C081F">
        <w:t xml:space="preserve"> </w:t>
      </w:r>
      <w:r>
        <w:t xml:space="preserve">(filed </w:t>
      </w:r>
      <w:r w:rsidR="00AB43E2">
        <w:t>Aug. 17, 2023</w:t>
      </w:r>
      <w:r>
        <w:t>), attached Request for Waiver (Fifty-Mile Waiver Request); attached Waiver – Expedited Action Requested, Involving TV Protection in the 470-512 MHz Band (TV Spacing Waiver Request).</w:t>
      </w:r>
    </w:p>
  </w:footnote>
  <w:footnote w:id="4">
    <w:p w:rsidR="00AB464B" w14:paraId="293665C4" w14:textId="729AEC34">
      <w:pPr>
        <w:pStyle w:val="FootnoteText"/>
      </w:pPr>
      <w:r>
        <w:rPr>
          <w:rStyle w:val="FootnoteReference"/>
        </w:rPr>
        <w:footnoteRef/>
      </w:r>
      <w:r>
        <w:t xml:space="preserve"> </w:t>
      </w:r>
      <w:r w:rsidRPr="00AB464B">
        <w:t>47 CFR § 1.925.</w:t>
      </w:r>
    </w:p>
  </w:footnote>
  <w:footnote w:id="5">
    <w:p w:rsidR="00D310B2" w:rsidRPr="001F2B6C" w:rsidP="00D310B2" w14:paraId="735677F4" w14:textId="01ECA9EA">
      <w:pPr>
        <w:pStyle w:val="FootnoteText"/>
      </w:pPr>
      <w:r>
        <w:rPr>
          <w:rStyle w:val="FootnoteReference"/>
        </w:rPr>
        <w:footnoteRef/>
      </w:r>
      <w:r>
        <w:t xml:space="preserve"> 47 CFR § 90.305(a) (the transmitter site(s) for </w:t>
      </w:r>
      <w:r w:rsidRPr="004D4708">
        <w:t xml:space="preserve">base stations </w:t>
      </w:r>
      <w:r>
        <w:t xml:space="preserve">shall </w:t>
      </w:r>
      <w:r w:rsidRPr="004D4708">
        <w:t xml:space="preserve">be located </w:t>
      </w:r>
      <w:r>
        <w:t xml:space="preserve">not more than 80 </w:t>
      </w:r>
      <w:r w:rsidRPr="004D4708">
        <w:t>kilometers (</w:t>
      </w:r>
      <w:r>
        <w:t xml:space="preserve">50 </w:t>
      </w:r>
      <w:r w:rsidRPr="004D4708">
        <w:t xml:space="preserve">miles) of the geographic centers of the urbanized areas listed in </w:t>
      </w:r>
      <w:r>
        <w:t xml:space="preserve">47 CFR § </w:t>
      </w:r>
      <w:r w:rsidRPr="004D4708">
        <w:t>90.303</w:t>
      </w:r>
      <w:r>
        <w:t xml:space="preserve">); </w:t>
      </w:r>
      <w:r w:rsidR="007C081F">
        <w:t xml:space="preserve">Fifty-Mile </w:t>
      </w:r>
      <w:r>
        <w:t>Waiver Request.</w:t>
      </w:r>
    </w:p>
  </w:footnote>
  <w:footnote w:id="6">
    <w:p w:rsidR="000B12F2" w:rsidP="001F2921" w14:paraId="6C68B1ED" w14:textId="525ABA86">
      <w:pPr>
        <w:pStyle w:val="FootnoteText"/>
      </w:pPr>
      <w:r>
        <w:rPr>
          <w:rStyle w:val="FootnoteReference"/>
        </w:rPr>
        <w:footnoteRef/>
      </w:r>
      <w:r>
        <w:t xml:space="preserve"> 47 CFR § 90.307(d) (</w:t>
      </w:r>
      <w:r w:rsidR="001F2921">
        <w:t>The minimum distance between a land mobile base station which has associated mobile units and a protected adjacent channel television station is 145 km (90 miles)</w:t>
      </w:r>
      <w:r>
        <w:t>)</w:t>
      </w:r>
      <w:r w:rsidR="003D7F5E">
        <w:t xml:space="preserve">; </w:t>
      </w:r>
      <w:r w:rsidR="002644A5">
        <w:t>TV Spacing Waiver Request</w:t>
      </w:r>
      <w:r>
        <w:t>.</w:t>
      </w:r>
    </w:p>
  </w:footnote>
  <w:footnote w:id="7">
    <w:p w:rsidR="00E96805" w:rsidP="00E96805" w14:paraId="2B2EE10C" w14:textId="77777777">
      <w:pPr>
        <w:pStyle w:val="FootnoteText"/>
      </w:pPr>
      <w:r>
        <w:rPr>
          <w:rStyle w:val="FootnoteReference"/>
        </w:rPr>
        <w:footnoteRef/>
      </w:r>
      <w:r>
        <w:t xml:space="preserve"> Fifty-Mile Waiver Request at 1.  </w:t>
      </w:r>
    </w:p>
  </w:footnote>
  <w:footnote w:id="8">
    <w:p w:rsidR="00D962CD" w:rsidP="00D962CD" w14:paraId="60D2D971" w14:textId="77777777">
      <w:pPr>
        <w:pStyle w:val="FootnoteText"/>
      </w:pPr>
      <w:r>
        <w:rPr>
          <w:rStyle w:val="FootnoteReference"/>
        </w:rPr>
        <w:footnoteRef/>
      </w:r>
      <w:r>
        <w:t xml:space="preserve"> TV Spacing Waiver Request at 1.</w:t>
      </w:r>
    </w:p>
  </w:footnote>
  <w:footnote w:id="9">
    <w:p w:rsidR="00B26285" w14:paraId="6AFF0DF0" w14:textId="75D7B2B0">
      <w:pPr>
        <w:pStyle w:val="FootnoteText"/>
      </w:pPr>
      <w:r>
        <w:rPr>
          <w:rStyle w:val="FootnoteReference"/>
        </w:rPr>
        <w:footnoteRef/>
      </w:r>
      <w:r>
        <w:t xml:space="preserve"> Fifty-Mile Waiver Request at 1.</w:t>
      </w:r>
    </w:p>
  </w:footnote>
  <w:footnote w:id="10">
    <w:p w:rsidR="00D962CD" w:rsidRPr="003A281A" w:rsidP="00D962CD" w14:paraId="58EE8988" w14:textId="77777777">
      <w:pPr>
        <w:pStyle w:val="FootnoteText"/>
      </w:pPr>
      <w:r>
        <w:rPr>
          <w:rStyle w:val="FootnoteReference"/>
        </w:rPr>
        <w:footnoteRef/>
      </w:r>
      <w:r>
        <w:t xml:space="preserve"> </w:t>
      </w:r>
      <w:r>
        <w:rPr>
          <w:i/>
          <w:iCs/>
        </w:rPr>
        <w:t>Id</w:t>
      </w:r>
      <w:r>
        <w:t>.</w:t>
      </w:r>
    </w:p>
  </w:footnote>
  <w:footnote w:id="11">
    <w:p w:rsidR="00E96805" w:rsidRPr="00D246A3" w:rsidP="00E96805" w14:paraId="4A51BB71" w14:textId="29E02755">
      <w:pPr>
        <w:pStyle w:val="FootnoteText"/>
      </w:pPr>
      <w:r>
        <w:rPr>
          <w:rStyle w:val="FootnoteReference"/>
        </w:rPr>
        <w:footnoteRef/>
      </w:r>
      <w:r>
        <w:t xml:space="preserve"> </w:t>
      </w:r>
      <w:bookmarkStart w:id="4" w:name="_Hlk198885052"/>
      <w:r>
        <w:rPr>
          <w:i/>
          <w:iCs/>
        </w:rPr>
        <w:t>Id</w:t>
      </w:r>
      <w:r>
        <w:t>.</w:t>
      </w:r>
      <w:bookmarkEnd w:id="4"/>
    </w:p>
  </w:footnote>
  <w:footnote w:id="12">
    <w:p w:rsidR="00E96805" w:rsidP="00E96805" w14:paraId="0C984E00" w14:textId="77777777">
      <w:pPr>
        <w:pStyle w:val="FootnoteText"/>
      </w:pPr>
      <w:r>
        <w:rPr>
          <w:rStyle w:val="FootnoteReference"/>
        </w:rPr>
        <w:footnoteRef/>
      </w:r>
      <w:r>
        <w:t xml:space="preserve"> Fifty-Mile Waiver Request at 1. </w:t>
      </w:r>
    </w:p>
  </w:footnote>
  <w:footnote w:id="13">
    <w:p w:rsidR="00D93073" w:rsidRPr="002B6B7D" w:rsidP="00D93073" w14:paraId="11B27760" w14:textId="32B6F693">
      <w:pPr>
        <w:pStyle w:val="FootnoteText"/>
      </w:pPr>
      <w:r>
        <w:rPr>
          <w:rStyle w:val="FootnoteReference"/>
        </w:rPr>
        <w:footnoteRef/>
      </w:r>
      <w:r>
        <w:t xml:space="preserve"> TV Spacing Waiver Request at 1.  </w:t>
      </w:r>
    </w:p>
  </w:footnote>
  <w:footnote w:id="14">
    <w:p w:rsidR="00324048" w:rsidRPr="00324048" w14:paraId="30EF7D8F" w14:textId="002BA1CA">
      <w:pPr>
        <w:pStyle w:val="FootnoteText"/>
      </w:pPr>
      <w:r>
        <w:rPr>
          <w:rStyle w:val="FootnoteReference"/>
        </w:rPr>
        <w:footnoteRef/>
      </w:r>
      <w:r>
        <w:t xml:space="preserve"> </w:t>
      </w:r>
      <w:r>
        <w:rPr>
          <w:i/>
          <w:iCs/>
        </w:rPr>
        <w:t>Id</w:t>
      </w:r>
      <w:r>
        <w:t>. at 2.</w:t>
      </w:r>
    </w:p>
  </w:footnote>
  <w:footnote w:id="15">
    <w:p w:rsidR="00B77B70" w:rsidRPr="00B77B70" w14:paraId="4880E229" w14:textId="35D82993">
      <w:pPr>
        <w:pStyle w:val="FootnoteText"/>
      </w:pPr>
      <w:r>
        <w:rPr>
          <w:rStyle w:val="FootnoteReference"/>
        </w:rPr>
        <w:footnoteRef/>
      </w:r>
      <w:r>
        <w:t xml:space="preserve"> </w:t>
      </w:r>
      <w:r>
        <w:rPr>
          <w:i/>
          <w:iCs/>
        </w:rPr>
        <w:t>Id</w:t>
      </w:r>
      <w:r>
        <w:t>.</w:t>
      </w:r>
    </w:p>
  </w:footnote>
  <w:footnote w:id="16">
    <w:p w:rsidR="004C7E84" w:rsidRPr="004C7E84" w14:paraId="40DB1EFE" w14:textId="546D9D2E">
      <w:pPr>
        <w:pStyle w:val="FootnoteText"/>
      </w:pPr>
      <w:r>
        <w:rPr>
          <w:rStyle w:val="FootnoteReference"/>
        </w:rPr>
        <w:footnoteRef/>
      </w:r>
      <w:r>
        <w:t xml:space="preserve"> </w:t>
      </w:r>
      <w:r>
        <w:rPr>
          <w:i/>
          <w:iCs/>
        </w:rPr>
        <w:t>Id</w:t>
      </w:r>
      <w:r>
        <w:t xml:space="preserve">. at 7.  </w:t>
      </w:r>
      <w:r w:rsidRPr="003B7D40" w:rsidR="000540EC">
        <w:rPr>
          <w:i/>
          <w:iCs/>
        </w:rPr>
        <w:t>See</w:t>
      </w:r>
      <w:r w:rsidRPr="003B7D40" w:rsidR="000540EC">
        <w:t xml:space="preserve"> </w:t>
      </w:r>
      <w:r w:rsidRPr="00A24D56" w:rsidR="000540EC">
        <w:rPr>
          <w:i/>
          <w:iCs/>
        </w:rPr>
        <w:t>Private Land Mobile Operations in the 470-512 MHz Band</w:t>
      </w:r>
      <w:r w:rsidRPr="003B7D40" w:rsidR="000540EC">
        <w:t>, Public Notice No. 20291 (rel. Oct. 22, 1991) at 1</w:t>
      </w:r>
      <w:r w:rsidR="00065BF5">
        <w:t xml:space="preserve"> (stating that any request for waiver of applicable mileage separations must demonstrate that the affected adjacent channel TV stations would receive 0 dB protection at their Grade B contours (64 </w:t>
      </w:r>
      <w:r w:rsidR="00065BF5">
        <w:t>dBu</w:t>
      </w:r>
      <w:r w:rsidR="00065BF5">
        <w:t>))</w:t>
      </w:r>
      <w:r w:rsidRPr="003B7D40" w:rsidR="000540EC">
        <w:t>.</w:t>
      </w:r>
    </w:p>
  </w:footnote>
  <w:footnote w:id="17">
    <w:p w:rsidR="00806699" w:rsidRPr="00657342" w:rsidP="00806699" w14:paraId="4DD2EE4B" w14:textId="77777777">
      <w:pPr>
        <w:widowControl/>
        <w:autoSpaceDE w:val="0"/>
        <w:autoSpaceDN w:val="0"/>
        <w:adjustRightInd w:val="0"/>
        <w:rPr>
          <w:i/>
          <w:iCs/>
          <w:snapToGrid/>
          <w:kern w:val="0"/>
          <w:sz w:val="20"/>
        </w:rPr>
      </w:pPr>
      <w:r w:rsidRPr="00657342">
        <w:rPr>
          <w:rStyle w:val="FootnoteReference"/>
          <w:sz w:val="20"/>
        </w:rPr>
        <w:footnoteRef/>
      </w:r>
      <w:r w:rsidRPr="00657342">
        <w:rPr>
          <w:sz w:val="20"/>
        </w:rPr>
        <w:t xml:space="preserve"> </w:t>
      </w:r>
      <w:r w:rsidRPr="00657342">
        <w:rPr>
          <w:i/>
          <w:iCs/>
          <w:snapToGrid/>
          <w:kern w:val="0"/>
          <w:sz w:val="20"/>
        </w:rPr>
        <w:t>Wireless Telecommunications Bureau Enhances the Commission’s Universal Licensing System to Implement</w:t>
      </w:r>
    </w:p>
    <w:p w:rsidR="00806699" w:rsidRPr="00657342" w:rsidP="00806699" w14:paraId="300C994D" w14:textId="77777777">
      <w:pPr>
        <w:pStyle w:val="FootnoteText"/>
      </w:pPr>
      <w:r w:rsidRPr="00657342">
        <w:rPr>
          <w:i/>
          <w:iCs/>
        </w:rPr>
        <w:t>Electronic Filing for Pleadings</w:t>
      </w:r>
      <w:r w:rsidRPr="00657342">
        <w:t>, Public Notice, 21 FCC Rcd 424 (WTB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A1E" w14:paraId="79A20B68" w14:textId="5370CAD1">
    <w:pPr>
      <w:tabs>
        <w:tab w:val="center" w:pos="4680"/>
        <w:tab w:val="right" w:pos="9360"/>
      </w:tabs>
    </w:pPr>
    <w:r>
      <w:rPr>
        <w:b/>
      </w:rPr>
      <w:tab/>
      <w:t>Federal Communications Commission</w:t>
    </w:r>
    <w:r>
      <w:rPr>
        <w:b/>
      </w:rPr>
      <w:tab/>
    </w:r>
    <w:r w:rsidR="00B9602F">
      <w:rPr>
        <w:b/>
        <w:sz w:val="24"/>
      </w:rPr>
      <w:t>DA 2</w:t>
    </w:r>
    <w:r w:rsidR="00A92897">
      <w:rPr>
        <w:b/>
        <w:sz w:val="24"/>
      </w:rPr>
      <w:t>5</w:t>
    </w:r>
    <w:r w:rsidR="00B9602F">
      <w:rPr>
        <w:b/>
        <w:sz w:val="24"/>
      </w:rPr>
      <w:t>-</w:t>
    </w:r>
    <w:r w:rsidR="00E804EE">
      <w:rPr>
        <w:b/>
        <w:sz w:val="24"/>
      </w:rPr>
      <w:t>446</w:t>
    </w:r>
  </w:p>
  <w:p w:rsidR="00BB5A1E" w14:paraId="589C991A" w14:textId="0ECF095A">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BB5A1E" w14:paraId="0AAA7242"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A1E" w14:paraId="67E9CFA2" w14:textId="6E931E29">
    <w:pPr>
      <w:pStyle w:val="Header"/>
    </w:pPr>
    <w:r>
      <w:rPr>
        <w:noProof/>
        <w:snapToGrid/>
      </w:rPr>
      <w:drawing>
        <wp:inline distT="0" distB="0" distL="0" distR="0">
          <wp:extent cx="596265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6265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31D566A0"/>
    <w:multiLevelType w:val="hybridMultilevel"/>
    <w:tmpl w:val="014646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61182925"/>
    <w:multiLevelType w:val="singleLevel"/>
    <w:tmpl w:val="D180CED0"/>
    <w:lvl w:ilvl="0">
      <w:start w:val="1"/>
      <w:numFmt w:val="decimal"/>
      <w:pStyle w:val="ParaNum"/>
      <w:lvlText w:val="%1."/>
      <w:lvlJc w:val="left"/>
      <w:pPr>
        <w:tabs>
          <w:tab w:val="num" w:pos="1080"/>
        </w:tabs>
        <w:ind w:left="0" w:firstLine="720"/>
      </w:pPr>
    </w:lvl>
  </w:abstractNum>
  <w:num w:numId="1" w16cid:durableId="1908686002">
    <w:abstractNumId w:val="1"/>
  </w:num>
  <w:num w:numId="2" w16cid:durableId="788165822">
    <w:abstractNumId w:val="6"/>
  </w:num>
  <w:num w:numId="3" w16cid:durableId="2145850734">
    <w:abstractNumId w:val="3"/>
  </w:num>
  <w:num w:numId="4" w16cid:durableId="1052968628">
    <w:abstractNumId w:val="5"/>
  </w:num>
  <w:num w:numId="5" w16cid:durableId="1646735714">
    <w:abstractNumId w:val="2"/>
  </w:num>
  <w:num w:numId="6" w16cid:durableId="947544470">
    <w:abstractNumId w:val="0"/>
  </w:num>
  <w:num w:numId="7" w16cid:durableId="1004472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97"/>
    <w:rsid w:val="0001481E"/>
    <w:rsid w:val="00016F34"/>
    <w:rsid w:val="00021B68"/>
    <w:rsid w:val="00032204"/>
    <w:rsid w:val="000354FA"/>
    <w:rsid w:val="00037D54"/>
    <w:rsid w:val="0004280F"/>
    <w:rsid w:val="00042874"/>
    <w:rsid w:val="00047988"/>
    <w:rsid w:val="000540EC"/>
    <w:rsid w:val="00065BF5"/>
    <w:rsid w:val="00074F34"/>
    <w:rsid w:val="000823FC"/>
    <w:rsid w:val="00095F9C"/>
    <w:rsid w:val="00097026"/>
    <w:rsid w:val="000A410F"/>
    <w:rsid w:val="000B12F2"/>
    <w:rsid w:val="000B65E3"/>
    <w:rsid w:val="000C0630"/>
    <w:rsid w:val="000E4605"/>
    <w:rsid w:val="000E4812"/>
    <w:rsid w:val="000E5DBC"/>
    <w:rsid w:val="000F4C07"/>
    <w:rsid w:val="000F794B"/>
    <w:rsid w:val="00102EDC"/>
    <w:rsid w:val="00106C72"/>
    <w:rsid w:val="0011549D"/>
    <w:rsid w:val="00131978"/>
    <w:rsid w:val="0013278A"/>
    <w:rsid w:val="00135889"/>
    <w:rsid w:val="0015769F"/>
    <w:rsid w:val="001606D9"/>
    <w:rsid w:val="00165863"/>
    <w:rsid w:val="001752FE"/>
    <w:rsid w:val="00181277"/>
    <w:rsid w:val="00184678"/>
    <w:rsid w:val="001A253E"/>
    <w:rsid w:val="001B0D1F"/>
    <w:rsid w:val="001C35D0"/>
    <w:rsid w:val="001C72CE"/>
    <w:rsid w:val="001E2129"/>
    <w:rsid w:val="001F2921"/>
    <w:rsid w:val="001F2B6C"/>
    <w:rsid w:val="001F4664"/>
    <w:rsid w:val="001F4745"/>
    <w:rsid w:val="00235C92"/>
    <w:rsid w:val="002423A4"/>
    <w:rsid w:val="00256EC7"/>
    <w:rsid w:val="00262909"/>
    <w:rsid w:val="002644A5"/>
    <w:rsid w:val="00264BC8"/>
    <w:rsid w:val="0027011B"/>
    <w:rsid w:val="00273633"/>
    <w:rsid w:val="00273A25"/>
    <w:rsid w:val="002745A3"/>
    <w:rsid w:val="002801CB"/>
    <w:rsid w:val="00280B96"/>
    <w:rsid w:val="0028225A"/>
    <w:rsid w:val="002A74DB"/>
    <w:rsid w:val="002B3721"/>
    <w:rsid w:val="002B6B7D"/>
    <w:rsid w:val="002D049A"/>
    <w:rsid w:val="002D232E"/>
    <w:rsid w:val="002E517F"/>
    <w:rsid w:val="002F0111"/>
    <w:rsid w:val="002F3828"/>
    <w:rsid w:val="002F4E74"/>
    <w:rsid w:val="0030612B"/>
    <w:rsid w:val="003116AB"/>
    <w:rsid w:val="00322748"/>
    <w:rsid w:val="00324048"/>
    <w:rsid w:val="003416FF"/>
    <w:rsid w:val="00341F88"/>
    <w:rsid w:val="003469C5"/>
    <w:rsid w:val="00346C26"/>
    <w:rsid w:val="00350E93"/>
    <w:rsid w:val="00357D10"/>
    <w:rsid w:val="00364256"/>
    <w:rsid w:val="00365984"/>
    <w:rsid w:val="00370980"/>
    <w:rsid w:val="0037347D"/>
    <w:rsid w:val="00374099"/>
    <w:rsid w:val="003A0C3F"/>
    <w:rsid w:val="003A281A"/>
    <w:rsid w:val="003B7D40"/>
    <w:rsid w:val="003C01AB"/>
    <w:rsid w:val="003C17DF"/>
    <w:rsid w:val="003C6296"/>
    <w:rsid w:val="003D18BF"/>
    <w:rsid w:val="003D3EC4"/>
    <w:rsid w:val="003D7F5E"/>
    <w:rsid w:val="003E358D"/>
    <w:rsid w:val="0041534B"/>
    <w:rsid w:val="004401F9"/>
    <w:rsid w:val="00441D1E"/>
    <w:rsid w:val="00443A68"/>
    <w:rsid w:val="0045070F"/>
    <w:rsid w:val="004508C0"/>
    <w:rsid w:val="00462DB7"/>
    <w:rsid w:val="00465B0D"/>
    <w:rsid w:val="004666E2"/>
    <w:rsid w:val="00471A49"/>
    <w:rsid w:val="00473918"/>
    <w:rsid w:val="00473E3C"/>
    <w:rsid w:val="004921DB"/>
    <w:rsid w:val="004A45A1"/>
    <w:rsid w:val="004A6CB9"/>
    <w:rsid w:val="004B2B2A"/>
    <w:rsid w:val="004C783E"/>
    <w:rsid w:val="004C7E84"/>
    <w:rsid w:val="004D4708"/>
    <w:rsid w:val="004D78B5"/>
    <w:rsid w:val="004E7339"/>
    <w:rsid w:val="004E7530"/>
    <w:rsid w:val="004F6781"/>
    <w:rsid w:val="00520855"/>
    <w:rsid w:val="00530610"/>
    <w:rsid w:val="005344FE"/>
    <w:rsid w:val="00541D8D"/>
    <w:rsid w:val="005548EE"/>
    <w:rsid w:val="00557814"/>
    <w:rsid w:val="00562599"/>
    <w:rsid w:val="00585417"/>
    <w:rsid w:val="00585AF6"/>
    <w:rsid w:val="00591A9F"/>
    <w:rsid w:val="005956C7"/>
    <w:rsid w:val="005B000F"/>
    <w:rsid w:val="005B32CD"/>
    <w:rsid w:val="005B4795"/>
    <w:rsid w:val="005B4DBB"/>
    <w:rsid w:val="005C17C1"/>
    <w:rsid w:val="005C4AB5"/>
    <w:rsid w:val="005E3838"/>
    <w:rsid w:val="005F11F1"/>
    <w:rsid w:val="00606512"/>
    <w:rsid w:val="006100EE"/>
    <w:rsid w:val="0061191D"/>
    <w:rsid w:val="0065569A"/>
    <w:rsid w:val="0065593D"/>
    <w:rsid w:val="0065681D"/>
    <w:rsid w:val="00657342"/>
    <w:rsid w:val="00661366"/>
    <w:rsid w:val="00666E7B"/>
    <w:rsid w:val="006737D9"/>
    <w:rsid w:val="00692250"/>
    <w:rsid w:val="00692B17"/>
    <w:rsid w:val="0069586B"/>
    <w:rsid w:val="006A4079"/>
    <w:rsid w:val="006A69CC"/>
    <w:rsid w:val="006A7211"/>
    <w:rsid w:val="006B1076"/>
    <w:rsid w:val="006B2C40"/>
    <w:rsid w:val="006B562A"/>
    <w:rsid w:val="006C0870"/>
    <w:rsid w:val="006C1DBF"/>
    <w:rsid w:val="006E139C"/>
    <w:rsid w:val="006E7FC0"/>
    <w:rsid w:val="006F61D6"/>
    <w:rsid w:val="00707A97"/>
    <w:rsid w:val="007138EC"/>
    <w:rsid w:val="00713CF5"/>
    <w:rsid w:val="0071456E"/>
    <w:rsid w:val="00733E94"/>
    <w:rsid w:val="007503F5"/>
    <w:rsid w:val="00776513"/>
    <w:rsid w:val="0078607E"/>
    <w:rsid w:val="00794F83"/>
    <w:rsid w:val="007A44A7"/>
    <w:rsid w:val="007A6B51"/>
    <w:rsid w:val="007C081F"/>
    <w:rsid w:val="007D4698"/>
    <w:rsid w:val="007D6244"/>
    <w:rsid w:val="007E594E"/>
    <w:rsid w:val="008008FD"/>
    <w:rsid w:val="00806699"/>
    <w:rsid w:val="00810CB5"/>
    <w:rsid w:val="008127A1"/>
    <w:rsid w:val="00816477"/>
    <w:rsid w:val="00822339"/>
    <w:rsid w:val="0082352A"/>
    <w:rsid w:val="00833516"/>
    <w:rsid w:val="00834363"/>
    <w:rsid w:val="00854563"/>
    <w:rsid w:val="008674D1"/>
    <w:rsid w:val="0087420B"/>
    <w:rsid w:val="00877382"/>
    <w:rsid w:val="0088311B"/>
    <w:rsid w:val="00890F99"/>
    <w:rsid w:val="00892E2F"/>
    <w:rsid w:val="0089592D"/>
    <w:rsid w:val="008A55E0"/>
    <w:rsid w:val="008B117E"/>
    <w:rsid w:val="008B6FBA"/>
    <w:rsid w:val="008C0228"/>
    <w:rsid w:val="008C4508"/>
    <w:rsid w:val="008C72D6"/>
    <w:rsid w:val="008E3FE0"/>
    <w:rsid w:val="009240CE"/>
    <w:rsid w:val="00926629"/>
    <w:rsid w:val="00936FBD"/>
    <w:rsid w:val="0095771C"/>
    <w:rsid w:val="009657E8"/>
    <w:rsid w:val="00972C5D"/>
    <w:rsid w:val="00987576"/>
    <w:rsid w:val="009A0677"/>
    <w:rsid w:val="009B23E8"/>
    <w:rsid w:val="009C6CA8"/>
    <w:rsid w:val="009E0D28"/>
    <w:rsid w:val="009E5A1A"/>
    <w:rsid w:val="009F0893"/>
    <w:rsid w:val="00A04C4D"/>
    <w:rsid w:val="00A07569"/>
    <w:rsid w:val="00A156E6"/>
    <w:rsid w:val="00A24D56"/>
    <w:rsid w:val="00A30252"/>
    <w:rsid w:val="00A408BF"/>
    <w:rsid w:val="00A451F6"/>
    <w:rsid w:val="00A4538D"/>
    <w:rsid w:val="00A50D90"/>
    <w:rsid w:val="00A7308B"/>
    <w:rsid w:val="00A81796"/>
    <w:rsid w:val="00A92897"/>
    <w:rsid w:val="00A93CE8"/>
    <w:rsid w:val="00A978F0"/>
    <w:rsid w:val="00AA5B20"/>
    <w:rsid w:val="00AB0594"/>
    <w:rsid w:val="00AB35B0"/>
    <w:rsid w:val="00AB43E2"/>
    <w:rsid w:val="00AB464B"/>
    <w:rsid w:val="00AC3A46"/>
    <w:rsid w:val="00AC4251"/>
    <w:rsid w:val="00AC5F8B"/>
    <w:rsid w:val="00AD25CA"/>
    <w:rsid w:val="00AD5631"/>
    <w:rsid w:val="00AD6796"/>
    <w:rsid w:val="00AD742A"/>
    <w:rsid w:val="00AE66E5"/>
    <w:rsid w:val="00AF197D"/>
    <w:rsid w:val="00AF2B6F"/>
    <w:rsid w:val="00B002BA"/>
    <w:rsid w:val="00B01497"/>
    <w:rsid w:val="00B06068"/>
    <w:rsid w:val="00B06138"/>
    <w:rsid w:val="00B10FFA"/>
    <w:rsid w:val="00B2054A"/>
    <w:rsid w:val="00B26285"/>
    <w:rsid w:val="00B26770"/>
    <w:rsid w:val="00B30793"/>
    <w:rsid w:val="00B32A55"/>
    <w:rsid w:val="00B412B9"/>
    <w:rsid w:val="00B42C23"/>
    <w:rsid w:val="00B50AE5"/>
    <w:rsid w:val="00B54627"/>
    <w:rsid w:val="00B65A1F"/>
    <w:rsid w:val="00B66F48"/>
    <w:rsid w:val="00B77B70"/>
    <w:rsid w:val="00B824F6"/>
    <w:rsid w:val="00B8608D"/>
    <w:rsid w:val="00B934BF"/>
    <w:rsid w:val="00B93A63"/>
    <w:rsid w:val="00B9602F"/>
    <w:rsid w:val="00BA1AAC"/>
    <w:rsid w:val="00BB0D98"/>
    <w:rsid w:val="00BB50D3"/>
    <w:rsid w:val="00BB5A1E"/>
    <w:rsid w:val="00BB6138"/>
    <w:rsid w:val="00BC3DD6"/>
    <w:rsid w:val="00BC4A0E"/>
    <w:rsid w:val="00BC6A52"/>
    <w:rsid w:val="00BE01C9"/>
    <w:rsid w:val="00BF1DB3"/>
    <w:rsid w:val="00C0362C"/>
    <w:rsid w:val="00C03AA0"/>
    <w:rsid w:val="00C116C2"/>
    <w:rsid w:val="00C139A0"/>
    <w:rsid w:val="00C14060"/>
    <w:rsid w:val="00C2667C"/>
    <w:rsid w:val="00C30967"/>
    <w:rsid w:val="00C36E91"/>
    <w:rsid w:val="00C423AD"/>
    <w:rsid w:val="00C43B26"/>
    <w:rsid w:val="00C54742"/>
    <w:rsid w:val="00C658D9"/>
    <w:rsid w:val="00C66394"/>
    <w:rsid w:val="00C746B1"/>
    <w:rsid w:val="00C85930"/>
    <w:rsid w:val="00CB6044"/>
    <w:rsid w:val="00CD75BC"/>
    <w:rsid w:val="00CE0981"/>
    <w:rsid w:val="00CF5F8F"/>
    <w:rsid w:val="00CF7BE1"/>
    <w:rsid w:val="00D2037A"/>
    <w:rsid w:val="00D246A3"/>
    <w:rsid w:val="00D310B2"/>
    <w:rsid w:val="00D311CF"/>
    <w:rsid w:val="00D324E1"/>
    <w:rsid w:val="00D332D8"/>
    <w:rsid w:val="00D33AA0"/>
    <w:rsid w:val="00D364D7"/>
    <w:rsid w:val="00D43733"/>
    <w:rsid w:val="00D44ABE"/>
    <w:rsid w:val="00D541A9"/>
    <w:rsid w:val="00D54DE8"/>
    <w:rsid w:val="00D56A8F"/>
    <w:rsid w:val="00D61BEE"/>
    <w:rsid w:val="00D64450"/>
    <w:rsid w:val="00D67184"/>
    <w:rsid w:val="00D74F73"/>
    <w:rsid w:val="00D8060B"/>
    <w:rsid w:val="00D836BE"/>
    <w:rsid w:val="00D92FD3"/>
    <w:rsid w:val="00D93073"/>
    <w:rsid w:val="00D94FC6"/>
    <w:rsid w:val="00D95C76"/>
    <w:rsid w:val="00D962CD"/>
    <w:rsid w:val="00DA6667"/>
    <w:rsid w:val="00DB6EE9"/>
    <w:rsid w:val="00DB788D"/>
    <w:rsid w:val="00DD1B80"/>
    <w:rsid w:val="00DE3929"/>
    <w:rsid w:val="00DF008B"/>
    <w:rsid w:val="00E00A51"/>
    <w:rsid w:val="00E12C65"/>
    <w:rsid w:val="00E12FFA"/>
    <w:rsid w:val="00E13B87"/>
    <w:rsid w:val="00E33C2D"/>
    <w:rsid w:val="00E466CC"/>
    <w:rsid w:val="00E561B3"/>
    <w:rsid w:val="00E804EE"/>
    <w:rsid w:val="00E912CA"/>
    <w:rsid w:val="00E91859"/>
    <w:rsid w:val="00E92D7B"/>
    <w:rsid w:val="00E94B8E"/>
    <w:rsid w:val="00E96805"/>
    <w:rsid w:val="00EA345E"/>
    <w:rsid w:val="00EB5AAC"/>
    <w:rsid w:val="00ED16F2"/>
    <w:rsid w:val="00ED1B68"/>
    <w:rsid w:val="00EE0D39"/>
    <w:rsid w:val="00EE2C71"/>
    <w:rsid w:val="00EE72CD"/>
    <w:rsid w:val="00EF3325"/>
    <w:rsid w:val="00EF3390"/>
    <w:rsid w:val="00EF3B1A"/>
    <w:rsid w:val="00EF4F49"/>
    <w:rsid w:val="00F03056"/>
    <w:rsid w:val="00F0450B"/>
    <w:rsid w:val="00F05CE4"/>
    <w:rsid w:val="00F166C1"/>
    <w:rsid w:val="00F341F7"/>
    <w:rsid w:val="00F4060D"/>
    <w:rsid w:val="00F50311"/>
    <w:rsid w:val="00F54498"/>
    <w:rsid w:val="00F575C5"/>
    <w:rsid w:val="00F70658"/>
    <w:rsid w:val="00F738EF"/>
    <w:rsid w:val="00F838F6"/>
    <w:rsid w:val="00F85469"/>
    <w:rsid w:val="00F923B7"/>
    <w:rsid w:val="00F92687"/>
    <w:rsid w:val="00F97E30"/>
    <w:rsid w:val="00FA1253"/>
    <w:rsid w:val="00FB2299"/>
    <w:rsid w:val="00FB61EA"/>
    <w:rsid w:val="00FC0C65"/>
    <w:rsid w:val="00FC77C3"/>
    <w:rsid w:val="00FD1BA2"/>
    <w:rsid w:val="00FD3032"/>
    <w:rsid w:val="00FD6DDF"/>
    <w:rsid w:val="00FE4740"/>
    <w:rsid w:val="00FE6BF1"/>
    <w:rsid w:val="00FF3BB1"/>
    <w:rsid w:val="00FF7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5607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1,Footnote Text Char Char,Footnote Text Char2,Footnote Text Char1 Char1,Footnote Text Char1 Char Char Char,Footnote Text Char2 Char Char Char Char,Footnote Text Char Char Char Char Char Char,Footnote Text Char Char3 Char"/>
    <w:link w:val="FootnoteTextChar"/>
    <w:qFormat/>
    <w:pPr>
      <w:spacing w:after="120"/>
    </w:pPr>
  </w:style>
  <w:style w:type="character" w:styleId="FootnoteReference">
    <w:name w:val="footnote reference"/>
    <w:aliases w:val="Appel note de bas de p,Style 12,(NECG) Footnote Reference,Style 124,o,fr,Style 13,FR,Style 17,Style 3,Style 6,Footnote Reference/,-E Funotenzeichen,A,Footnote Reference1,Ref,Style 1,Style 20,Style 34,Style 4,Style 7,Style 9,callout"/>
    <w:qFormat/>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uiPriority w:val="99"/>
    <w:rPr>
      <w:color w:val="0000FF"/>
      <w:u w:val="single"/>
    </w:rPr>
  </w:style>
  <w:style w:type="character" w:customStyle="1" w:styleId="FooterChar">
    <w:name w:val="Footer Char"/>
    <w:link w:val="Footer"/>
    <w:uiPriority w:val="99"/>
    <w:rPr>
      <w:snapToGrid w:val="0"/>
      <w:kern w:val="28"/>
      <w:sz w:val="22"/>
    </w:rPr>
  </w:style>
  <w:style w:type="character" w:styleId="UnresolvedMention">
    <w:name w:val="Unresolved Mention"/>
    <w:uiPriority w:val="99"/>
    <w:semiHidden/>
    <w:unhideWhenUsed/>
    <w:rPr>
      <w:color w:val="605E5C"/>
      <w:shd w:val="clear" w:color="auto" w:fill="E1DFDD"/>
    </w:rPr>
  </w:style>
  <w:style w:type="character" w:customStyle="1" w:styleId="FootnoteTextChar">
    <w:name w:val="Footnote Text Char"/>
    <w:aliases w:val="Footnote Text Char1 Char,Footnote Text Char Char Char,Footnote Text Char2 Char,Footnote Text Char1 Char1 Char,Footnote Text Char1 Char Char Char Char,Footnote Text Char2 Char Char Char Char Char,Footnote Text Char Char3 Char Char"/>
    <w:link w:val="FootnoteText"/>
    <w:rsid w:val="00B01497"/>
  </w:style>
  <w:style w:type="paragraph" w:styleId="ListParagraph">
    <w:name w:val="List Paragraph"/>
    <w:basedOn w:val="Normal"/>
    <w:uiPriority w:val="34"/>
    <w:qFormat/>
    <w:rsid w:val="00806699"/>
    <w:pPr>
      <w:ind w:left="720"/>
      <w:contextualSpacing/>
    </w:pPr>
  </w:style>
  <w:style w:type="character" w:styleId="CommentReference">
    <w:name w:val="annotation reference"/>
    <w:uiPriority w:val="99"/>
    <w:semiHidden/>
    <w:unhideWhenUsed/>
    <w:rsid w:val="00DB788D"/>
    <w:rPr>
      <w:sz w:val="16"/>
      <w:szCs w:val="16"/>
    </w:rPr>
  </w:style>
  <w:style w:type="paragraph" w:styleId="CommentText">
    <w:name w:val="annotation text"/>
    <w:basedOn w:val="Normal"/>
    <w:link w:val="CommentTextChar"/>
    <w:uiPriority w:val="99"/>
    <w:unhideWhenUsed/>
    <w:rsid w:val="00DB788D"/>
    <w:rPr>
      <w:sz w:val="20"/>
    </w:rPr>
  </w:style>
  <w:style w:type="character" w:customStyle="1" w:styleId="CommentTextChar">
    <w:name w:val="Comment Text Char"/>
    <w:link w:val="CommentText"/>
    <w:uiPriority w:val="99"/>
    <w:rsid w:val="00DB788D"/>
    <w:rPr>
      <w:snapToGrid w:val="0"/>
      <w:kern w:val="28"/>
    </w:rPr>
  </w:style>
  <w:style w:type="paragraph" w:styleId="CommentSubject">
    <w:name w:val="annotation subject"/>
    <w:basedOn w:val="CommentText"/>
    <w:next w:val="CommentText"/>
    <w:link w:val="CommentSubjectChar"/>
    <w:uiPriority w:val="99"/>
    <w:semiHidden/>
    <w:unhideWhenUsed/>
    <w:rsid w:val="00DB788D"/>
    <w:rPr>
      <w:b/>
      <w:bCs/>
    </w:rPr>
  </w:style>
  <w:style w:type="character" w:customStyle="1" w:styleId="CommentSubjectChar">
    <w:name w:val="Comment Subject Char"/>
    <w:link w:val="CommentSubject"/>
    <w:uiPriority w:val="99"/>
    <w:semiHidden/>
    <w:rsid w:val="00DB788D"/>
    <w:rPr>
      <w:b/>
      <w:bCs/>
      <w:snapToGrid w:val="0"/>
      <w:kern w:val="28"/>
    </w:rPr>
  </w:style>
  <w:style w:type="paragraph" w:styleId="Revision">
    <w:name w:val="Revision"/>
    <w:hidden/>
    <w:uiPriority w:val="99"/>
    <w:semiHidden/>
    <w:rsid w:val="005F11F1"/>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cc.gov/wireless/universal-licensing-system" TargetMode="External" /><Relationship Id="rId7" Type="http://schemas.openxmlformats.org/officeDocument/2006/relationships/hyperlink" Target="mailto:thomas.eng@fcc.gov" TargetMode="Externa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