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0C437E" w14:paraId="31F1D1CC" w14:textId="77777777">
      <w:pPr>
        <w:jc w:val="right"/>
        <w:rPr>
          <w:sz w:val="24"/>
        </w:rPr>
      </w:pPr>
    </w:p>
    <w:p w:rsidR="005A6FAE" w:rsidP="008E02FC" w14:paraId="0BA80824" w14:textId="01BE5D36">
      <w:pPr>
        <w:jc w:val="right"/>
        <w:rPr>
          <w:b/>
          <w:sz w:val="24"/>
        </w:rPr>
      </w:pPr>
      <w:r>
        <w:rPr>
          <w:b/>
          <w:sz w:val="24"/>
        </w:rPr>
        <w:t xml:space="preserve">DA </w:t>
      </w:r>
      <w:r w:rsidR="00743300">
        <w:rPr>
          <w:b/>
          <w:sz w:val="24"/>
        </w:rPr>
        <w:t>25</w:t>
      </w:r>
      <w:r w:rsidR="003A42A1">
        <w:rPr>
          <w:b/>
          <w:sz w:val="24"/>
        </w:rPr>
        <w:t>-</w:t>
      </w:r>
      <w:r w:rsidR="007E51D4">
        <w:rPr>
          <w:b/>
          <w:sz w:val="24"/>
        </w:rPr>
        <w:t>482</w:t>
      </w:r>
    </w:p>
    <w:p w:rsidR="008E02FC" w:rsidP="008E02FC" w14:paraId="1E6C8079" w14:textId="393BCD42">
      <w:pPr>
        <w:jc w:val="right"/>
        <w:rPr>
          <w:b/>
          <w:sz w:val="24"/>
        </w:rPr>
      </w:pPr>
      <w:r>
        <w:rPr>
          <w:b/>
          <w:sz w:val="24"/>
        </w:rPr>
        <w:t xml:space="preserve">Released:  </w:t>
      </w:r>
      <w:r w:rsidR="00664F96">
        <w:rPr>
          <w:b/>
          <w:sz w:val="24"/>
        </w:rPr>
        <w:t>June 5, 2025</w:t>
      </w:r>
    </w:p>
    <w:p w:rsidR="008E02FC" w:rsidP="008E02FC" w14:paraId="438962EC" w14:textId="77777777">
      <w:pPr>
        <w:jc w:val="right"/>
        <w:rPr>
          <w:sz w:val="24"/>
        </w:rPr>
      </w:pPr>
    </w:p>
    <w:p w:rsidR="008E02FC" w:rsidP="008E02FC" w14:paraId="08A4BDB9" w14:textId="62011498">
      <w:pPr>
        <w:spacing w:after="240"/>
        <w:jc w:val="center"/>
        <w:rPr>
          <w:rFonts w:ascii="Times New Roman Bold" w:hAnsi="Times New Roman Bold"/>
          <w:b/>
          <w:caps/>
          <w:sz w:val="24"/>
        </w:rPr>
      </w:pPr>
      <w:r w:rsidRPr="005B2CF2">
        <w:rPr>
          <w:rFonts w:ascii="Times New Roman Bold" w:hAnsi="Times New Roman Bold"/>
          <w:b/>
          <w:caps/>
          <w:sz w:val="24"/>
        </w:rPr>
        <w:t xml:space="preserve">Wireless Telecommunications bureau </w:t>
      </w:r>
      <w:r>
        <w:rPr>
          <w:rFonts w:ascii="Times New Roman Bold" w:hAnsi="Times New Roman Bold"/>
          <w:b/>
          <w:caps/>
          <w:sz w:val="24"/>
        </w:rPr>
        <w:t>SEEKS COMMENT O</w:t>
      </w:r>
      <w:r w:rsidR="003A42A1">
        <w:rPr>
          <w:rFonts w:ascii="Times New Roman Bold" w:hAnsi="Times New Roman Bold"/>
          <w:b/>
          <w:caps/>
          <w:sz w:val="24"/>
        </w:rPr>
        <w:t xml:space="preserve">N </w:t>
      </w:r>
      <w:r w:rsidR="006D7A91">
        <w:rPr>
          <w:rFonts w:ascii="Times New Roman Bold" w:hAnsi="Times New Roman Bold"/>
          <w:b/>
          <w:caps/>
          <w:sz w:val="24"/>
        </w:rPr>
        <w:t>Cellblox acquisitions, LLC’s</w:t>
      </w:r>
      <w:r w:rsidR="005A6FAE">
        <w:rPr>
          <w:rFonts w:ascii="Times New Roman Bold" w:hAnsi="Times New Roman Bold"/>
          <w:b/>
          <w:caps/>
          <w:sz w:val="24"/>
        </w:rPr>
        <w:t xml:space="preserve"> </w:t>
      </w:r>
      <w:r w:rsidR="00E80C3A">
        <w:rPr>
          <w:rFonts w:ascii="Times New Roman Bold" w:hAnsi="Times New Roman Bold"/>
          <w:b/>
          <w:caps/>
          <w:sz w:val="24"/>
        </w:rPr>
        <w:t xml:space="preserve">sECOND </w:t>
      </w:r>
      <w:r w:rsidRPr="005B2CF2">
        <w:rPr>
          <w:rFonts w:ascii="Times New Roman Bold" w:hAnsi="Times New Roman Bold"/>
          <w:b/>
          <w:caps/>
          <w:sz w:val="24"/>
        </w:rPr>
        <w:t xml:space="preserve">contraband interdiction system </w:t>
      </w:r>
      <w:r>
        <w:rPr>
          <w:rFonts w:ascii="Times New Roman Bold" w:hAnsi="Times New Roman Bold"/>
          <w:b/>
          <w:caps/>
          <w:sz w:val="24"/>
        </w:rPr>
        <w:t xml:space="preserve">CerTIFICATION </w:t>
      </w:r>
      <w:r w:rsidRPr="005B2CF2">
        <w:rPr>
          <w:rFonts w:ascii="Times New Roman Bold" w:hAnsi="Times New Roman Bold"/>
          <w:b/>
          <w:caps/>
          <w:sz w:val="24"/>
        </w:rPr>
        <w:t>aPPLICATION</w:t>
      </w:r>
    </w:p>
    <w:p w:rsidR="008E02FC" w:rsidP="008E02FC" w14:paraId="330F0859" w14:textId="77777777">
      <w:pPr>
        <w:jc w:val="center"/>
        <w:rPr>
          <w:b/>
          <w:sz w:val="24"/>
        </w:rPr>
      </w:pPr>
      <w:r>
        <w:rPr>
          <w:b/>
          <w:sz w:val="24"/>
        </w:rPr>
        <w:t>GN Docket No. 13-111</w:t>
      </w:r>
    </w:p>
    <w:p w:rsidR="008E02FC" w:rsidP="008E02FC" w14:paraId="62C00344" w14:textId="77777777"/>
    <w:p w:rsidR="008E02FC" w:rsidP="008E02FC" w14:paraId="7B4A25BC" w14:textId="76420FC8">
      <w:pPr>
        <w:rPr>
          <w:b/>
          <w:sz w:val="24"/>
        </w:rPr>
      </w:pPr>
      <w:r>
        <w:rPr>
          <w:b/>
          <w:sz w:val="24"/>
        </w:rPr>
        <w:t xml:space="preserve">Comment Deadline:  </w:t>
      </w:r>
      <w:r w:rsidR="00664F96">
        <w:rPr>
          <w:b/>
          <w:sz w:val="24"/>
        </w:rPr>
        <w:t>July 7, 2025</w:t>
      </w:r>
      <w:r>
        <w:rPr>
          <w:b/>
          <w:sz w:val="24"/>
        </w:rPr>
        <w:t xml:space="preserve"> </w:t>
      </w:r>
    </w:p>
    <w:p w:rsidR="008E02FC" w:rsidP="008E02FC" w14:paraId="66969BEC" w14:textId="77777777">
      <w:pPr>
        <w:rPr>
          <w:b/>
          <w:sz w:val="24"/>
        </w:rPr>
      </w:pPr>
    </w:p>
    <w:p w:rsidR="008E02FC" w:rsidP="008E02FC" w14:paraId="3AE8AC0A" w14:textId="77777777">
      <w:pPr>
        <w:pStyle w:val="ParaNum"/>
        <w:numPr>
          <w:ilvl w:val="0"/>
          <w:numId w:val="0"/>
        </w:numPr>
        <w:ind w:firstLine="720"/>
        <w:rPr>
          <w:szCs w:val="22"/>
        </w:rPr>
      </w:pPr>
      <w:r>
        <w:t>On</w:t>
      </w:r>
      <w:r w:rsidRPr="00A478F1">
        <w:t xml:space="preserve"> </w:t>
      </w:r>
      <w:r w:rsidRPr="00A122EF">
        <w:t xml:space="preserve">July 13, 2021, the Commission released the </w:t>
      </w:r>
      <w:r w:rsidRPr="00A122EF">
        <w:rPr>
          <w:i/>
          <w:iCs/>
        </w:rPr>
        <w:t xml:space="preserve">Second Report and Order </w:t>
      </w:r>
      <w:r w:rsidRPr="00A122EF">
        <w:t>in this proceeding, which adopted a framework requiring the disabling of contraband wireless devices detected in correctional facilities upon satisfaction of certain criteria.</w:t>
      </w:r>
      <w:r>
        <w:rPr>
          <w:rStyle w:val="FootnoteReference"/>
          <w:sz w:val="20"/>
          <w:szCs w:val="18"/>
        </w:rPr>
        <w:footnoteReference w:id="3"/>
      </w:r>
      <w:r w:rsidRPr="00A122EF">
        <w:t xml:space="preserve">  </w:t>
      </w:r>
      <w:r>
        <w:t xml:space="preserve">On December 17, 2021, the Wireless Telecommunications Bureau (Bureau) issued the </w:t>
      </w:r>
      <w:r>
        <w:rPr>
          <w:i/>
          <w:iCs/>
        </w:rPr>
        <w:t>Guidance Public Notice</w:t>
      </w:r>
      <w:r>
        <w:t xml:space="preserve">, which established the minimum criteria that must be demonstrated in and provided guidance on the submission of a </w:t>
      </w:r>
      <w:r>
        <w:rPr>
          <w:szCs w:val="22"/>
        </w:rPr>
        <w:t xml:space="preserve">Contraband Interdiction System (CIS) </w:t>
      </w:r>
      <w:r w:rsidRPr="00497213">
        <w:rPr>
          <w:szCs w:val="22"/>
        </w:rPr>
        <w:t>certification application</w:t>
      </w:r>
      <w:r>
        <w:rPr>
          <w:szCs w:val="22"/>
        </w:rPr>
        <w:t>.</w:t>
      </w:r>
      <w:r>
        <w:rPr>
          <w:rStyle w:val="FootnoteReference"/>
          <w:sz w:val="20"/>
        </w:rPr>
        <w:footnoteReference w:id="4"/>
      </w:r>
      <w:r>
        <w:rPr>
          <w:szCs w:val="22"/>
        </w:rPr>
        <w:t xml:space="preserve">  Specifically, phase one of the CIS certification application process requires an applicant to describe </w:t>
      </w:r>
      <w:r w:rsidRPr="00497213">
        <w:rPr>
          <w:szCs w:val="22"/>
        </w:rPr>
        <w:t xml:space="preserve">the legal and technical qualifications of </w:t>
      </w:r>
      <w:r>
        <w:rPr>
          <w:szCs w:val="22"/>
        </w:rPr>
        <w:t xml:space="preserve">and provide a test plan for </w:t>
      </w:r>
      <w:r w:rsidRPr="00497213">
        <w:rPr>
          <w:szCs w:val="22"/>
        </w:rPr>
        <w:t>the system that the applicant seeks to use as the basis for qualifying requests for contraband device disabling.</w:t>
      </w:r>
      <w:r>
        <w:rPr>
          <w:rStyle w:val="FootnoteReference"/>
          <w:sz w:val="20"/>
        </w:rPr>
        <w:footnoteReference w:id="5"/>
      </w:r>
      <w:r>
        <w:rPr>
          <w:szCs w:val="22"/>
        </w:rPr>
        <w:t xml:space="preserve">  Per </w:t>
      </w:r>
      <w:r w:rsidRPr="00A478F1">
        <w:rPr>
          <w:szCs w:val="22"/>
        </w:rPr>
        <w:t xml:space="preserve">the </w:t>
      </w:r>
      <w:r w:rsidRPr="00A478F1">
        <w:rPr>
          <w:i/>
          <w:iCs/>
          <w:szCs w:val="22"/>
        </w:rPr>
        <w:t>Second Report and Order</w:t>
      </w:r>
      <w:r w:rsidRPr="00A478F1">
        <w:rPr>
          <w:szCs w:val="22"/>
        </w:rPr>
        <w:t>, stakeholders will have an opportunity to review and comment on the CIS certification</w:t>
      </w:r>
      <w:r>
        <w:rPr>
          <w:szCs w:val="22"/>
        </w:rPr>
        <w:t xml:space="preserve"> </w:t>
      </w:r>
      <w:r w:rsidRPr="00A478F1">
        <w:rPr>
          <w:szCs w:val="22"/>
        </w:rPr>
        <w:t>applications prior to testing or deploying at a correctional facility.</w:t>
      </w:r>
      <w:r>
        <w:rPr>
          <w:rStyle w:val="FootnoteReference"/>
          <w:sz w:val="20"/>
        </w:rPr>
        <w:footnoteReference w:id="6"/>
      </w:r>
      <w:r w:rsidRPr="00A478F1">
        <w:rPr>
          <w:szCs w:val="22"/>
        </w:rPr>
        <w:t xml:space="preserve"> </w:t>
      </w:r>
      <w:r>
        <w:rPr>
          <w:szCs w:val="22"/>
        </w:rPr>
        <w:t xml:space="preserve"> </w:t>
      </w:r>
    </w:p>
    <w:p w:rsidR="008E02FC" w:rsidP="008E02FC" w14:paraId="0B1CC66A" w14:textId="77777777">
      <w:pPr>
        <w:pStyle w:val="ParaNum"/>
        <w:numPr>
          <w:ilvl w:val="0"/>
          <w:numId w:val="0"/>
        </w:numPr>
        <w:ind w:firstLine="720"/>
      </w:pPr>
      <w:r>
        <w:rPr>
          <w:szCs w:val="22"/>
        </w:rPr>
        <w:t xml:space="preserve">By this Public Notice, the Bureau announces that the CIS application listed in Attachment A hereto has been found complete, and stakeholders are invited to review the application and file comments </w:t>
      </w:r>
      <w:r w:rsidRPr="00FC73B3">
        <w:rPr>
          <w:szCs w:val="22"/>
        </w:rPr>
        <w:t>using the Commission’s Electronic Comment Filing</w:t>
      </w:r>
      <w:r>
        <w:rPr>
          <w:szCs w:val="22"/>
        </w:rPr>
        <w:t xml:space="preserve"> </w:t>
      </w:r>
      <w:r w:rsidRPr="00FC73B3">
        <w:rPr>
          <w:szCs w:val="22"/>
        </w:rPr>
        <w:t>System (ECFS).</w:t>
      </w:r>
      <w:r>
        <w:rPr>
          <w:rStyle w:val="FootnoteReference"/>
          <w:sz w:val="20"/>
        </w:rPr>
        <w:footnoteReference w:id="7"/>
      </w:r>
      <w:r>
        <w:rPr>
          <w:szCs w:val="22"/>
        </w:rPr>
        <w:t xml:space="preserve">  </w:t>
      </w:r>
      <w:r w:rsidRPr="00FC73B3">
        <w:rPr>
          <w:szCs w:val="22"/>
        </w:rPr>
        <w:t>All filings must refer</w:t>
      </w:r>
      <w:r>
        <w:rPr>
          <w:szCs w:val="22"/>
        </w:rPr>
        <w:t xml:space="preserve">ence </w:t>
      </w:r>
      <w:r w:rsidRPr="00FC73B3">
        <w:rPr>
          <w:b/>
          <w:bCs/>
          <w:szCs w:val="22"/>
        </w:rPr>
        <w:t>GN Docket 13-111</w:t>
      </w:r>
      <w:r>
        <w:rPr>
          <w:b/>
          <w:bCs/>
          <w:szCs w:val="22"/>
        </w:rPr>
        <w:t xml:space="preserve"> and the relevant file number</w:t>
      </w:r>
      <w:r w:rsidRPr="00BE1B98">
        <w:rPr>
          <w:szCs w:val="22"/>
        </w:rPr>
        <w:t>, as listed in Attachment A</w:t>
      </w:r>
      <w:r w:rsidRPr="00FC73B3">
        <w:rPr>
          <w:szCs w:val="22"/>
        </w:rPr>
        <w:t>.</w:t>
      </w:r>
      <w:r>
        <w:rPr>
          <w:szCs w:val="22"/>
        </w:rPr>
        <w:t xml:space="preserve">  S</w:t>
      </w:r>
      <w:r w:rsidRPr="00A478F1">
        <w:rPr>
          <w:szCs w:val="22"/>
        </w:rPr>
        <w:t>takeholders seeking review of</w:t>
      </w:r>
      <w:r>
        <w:rPr>
          <w:szCs w:val="22"/>
        </w:rPr>
        <w:t xml:space="preserve"> </w:t>
      </w:r>
      <w:r w:rsidRPr="00A478F1">
        <w:rPr>
          <w:szCs w:val="22"/>
        </w:rPr>
        <w:t xml:space="preserve">confidential filings are required to follow the procedures set forth in </w:t>
      </w:r>
      <w:r>
        <w:rPr>
          <w:szCs w:val="22"/>
        </w:rPr>
        <w:t>the Protective Order</w:t>
      </w:r>
      <w:r w:rsidRPr="00A478F1">
        <w:rPr>
          <w:szCs w:val="22"/>
        </w:rPr>
        <w:t>.</w:t>
      </w:r>
      <w:r>
        <w:rPr>
          <w:rStyle w:val="FootnoteReference"/>
          <w:sz w:val="20"/>
        </w:rPr>
        <w:footnoteReference w:id="8"/>
      </w:r>
      <w:r>
        <w:rPr>
          <w:szCs w:val="22"/>
        </w:rPr>
        <w:t xml:space="preserve">  We call attention to a change to the Commission’s typical protective order provisions that is being adopted for this proceeding.  Under this Protective Order, experts employed by wireless providers participating in the proceeding will be permitted to have access to Confidential Information.  Experts employed by other commercial entities will continue to be prohibited from such access.  We urge all parties who plan to seek </w:t>
      </w:r>
      <w:r>
        <w:rPr>
          <w:szCs w:val="22"/>
        </w:rPr>
        <w:t xml:space="preserve">access to confidential information in this proceeding (and who have filed or have a good faith intention to file material comments) to promptly file an Acknowledgement of Confidentiality, as set forth in the Protective Order. </w:t>
      </w:r>
    </w:p>
    <w:p w:rsidR="008E02FC" w:rsidP="008E02FC" w14:paraId="69F48E9F" w14:textId="7F68F882">
      <w:pPr>
        <w:pStyle w:val="ParaNum"/>
        <w:numPr>
          <w:ilvl w:val="0"/>
          <w:numId w:val="0"/>
        </w:numPr>
        <w:ind w:firstLine="720"/>
      </w:pPr>
      <w:r>
        <w:rPr>
          <w:i/>
          <w:iCs/>
        </w:rPr>
        <w:t xml:space="preserve">Additional Information.  </w:t>
      </w:r>
      <w:r>
        <w:t xml:space="preserve">For further information </w:t>
      </w:r>
      <w:r w:rsidRPr="00060A4A">
        <w:t>re</w:t>
      </w:r>
      <w:r w:rsidRPr="00226403">
        <w:t xml:space="preserve">garding this </w:t>
      </w:r>
      <w:r w:rsidRPr="004F3323">
        <w:rPr>
          <w:iCs/>
        </w:rPr>
        <w:t>Public Notice</w:t>
      </w:r>
      <w:r w:rsidRPr="00DC4D49">
        <w:rPr>
          <w:iCs/>
        </w:rPr>
        <w:t>, please contac</w:t>
      </w:r>
      <w:r>
        <w:t>t</w:t>
      </w:r>
      <w:r w:rsidRPr="00226403">
        <w:t xml:space="preserve"> </w:t>
      </w:r>
      <w:r w:rsidR="0015733B">
        <w:t>Taylor Reinecker</w:t>
      </w:r>
      <w:r w:rsidRPr="00226403">
        <w:t xml:space="preserve">, </w:t>
      </w:r>
      <w:r w:rsidR="0015733B">
        <w:t>Management Analyst</w:t>
      </w:r>
      <w:r w:rsidRPr="00226403">
        <w:t>, WT</w:t>
      </w:r>
      <w:r w:rsidRPr="00885F34">
        <w:t xml:space="preserve">B, Mobility Division at </w:t>
      </w:r>
      <w:r w:rsidR="0015733B">
        <w:t>(717) 338-2746</w:t>
      </w:r>
      <w:r w:rsidRPr="00885F34">
        <w:t xml:space="preserve"> or </w:t>
      </w:r>
      <w:hyperlink r:id="rId6" w:history="1">
        <w:r w:rsidRPr="006A527B" w:rsidR="009E6A36">
          <w:rPr>
            <w:rStyle w:val="Hyperlink"/>
          </w:rPr>
          <w:t>taylor.reinecker@fcc.gov</w:t>
        </w:r>
      </w:hyperlink>
      <w:hyperlink r:id="rId7" w:history="1"/>
      <w:r>
        <w:t xml:space="preserve">. </w:t>
      </w:r>
    </w:p>
    <w:p w:rsidR="008E02FC" w:rsidP="00515DB3" w14:paraId="13F6A0A5" w14:textId="661059DA">
      <w:pPr>
        <w:spacing w:before="120" w:after="240"/>
        <w:jc w:val="center"/>
        <w:rPr>
          <w:b/>
          <w:bCs/>
        </w:rPr>
      </w:pPr>
      <w:r w:rsidRPr="00780A5D">
        <w:rPr>
          <w:b/>
          <w:bCs/>
        </w:rPr>
        <w:t>-FCC-</w:t>
      </w:r>
    </w:p>
    <w:p w:rsidR="000A2106" w14:paraId="21A24E0C" w14:textId="21E12A6F">
      <w:pPr>
        <w:widowControl/>
        <w:rPr>
          <w:b/>
          <w:bCs/>
        </w:rPr>
      </w:pPr>
      <w:r>
        <w:rPr>
          <w:b/>
          <w:bCs/>
        </w:rPr>
        <w:br w:type="page"/>
      </w:r>
    </w:p>
    <w:p w:rsidR="000A2106" w:rsidP="000A2106" w14:paraId="2FB28C44" w14:textId="77777777">
      <w:pPr>
        <w:contextualSpacing/>
        <w:jc w:val="center"/>
        <w:rPr>
          <w:b/>
          <w:bCs/>
        </w:rPr>
      </w:pPr>
      <w:bookmarkStart w:id="0" w:name="_Hlk109136376"/>
      <w:r>
        <w:rPr>
          <w:b/>
          <w:bCs/>
        </w:rPr>
        <w:t>ATTACHMENT A</w:t>
      </w:r>
    </w:p>
    <w:p w:rsidR="000A2106" w:rsidP="000A2106" w14:paraId="6FBBE843" w14:textId="77777777">
      <w:pPr>
        <w:jc w:val="center"/>
        <w:rPr>
          <w:b/>
          <w:bCs/>
        </w:rPr>
      </w:pPr>
    </w:p>
    <w:p w:rsidR="000A2106" w:rsidP="000A2106" w14:paraId="16CA5132" w14:textId="1A18696B">
      <w:pPr>
        <w:jc w:val="center"/>
      </w:pPr>
      <w:r>
        <w:t>CIS Certification Applican</w:t>
      </w:r>
      <w:r w:rsidR="000964C2">
        <w:t>t</w:t>
      </w:r>
      <w:r>
        <w:t xml:space="preserve"> Name and Associated File Number</w:t>
      </w:r>
    </w:p>
    <w:p w:rsidR="000A2106" w:rsidP="000A2106" w14:paraId="6A99B292" w14:textId="7777777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4D94CABD" w14:textId="77777777">
        <w:tblPrEx>
          <w:tblW w:w="0" w:type="auto"/>
          <w:tblLook w:val="04A0"/>
        </w:tblPrEx>
        <w:tc>
          <w:tcPr>
            <w:tcW w:w="4675" w:type="dxa"/>
            <w:shd w:val="clear" w:color="auto" w:fill="D0CECE"/>
          </w:tcPr>
          <w:p w:rsidR="000A2106" w14:paraId="256468DA" w14:textId="77777777">
            <w:pPr>
              <w:jc w:val="center"/>
              <w:rPr>
                <w:b/>
                <w:bCs/>
              </w:rPr>
            </w:pPr>
            <w:r>
              <w:rPr>
                <w:b/>
                <w:bCs/>
              </w:rPr>
              <w:t>CIS Certification Applicant</w:t>
            </w:r>
          </w:p>
        </w:tc>
        <w:tc>
          <w:tcPr>
            <w:tcW w:w="4675" w:type="dxa"/>
            <w:shd w:val="clear" w:color="auto" w:fill="D0CECE"/>
          </w:tcPr>
          <w:p w:rsidR="000A2106" w14:paraId="1817368F" w14:textId="77777777">
            <w:pPr>
              <w:jc w:val="center"/>
              <w:rPr>
                <w:b/>
                <w:bCs/>
              </w:rPr>
            </w:pPr>
            <w:r>
              <w:rPr>
                <w:b/>
                <w:bCs/>
              </w:rPr>
              <w:t>File Number</w:t>
            </w:r>
          </w:p>
        </w:tc>
      </w:tr>
      <w:tr w14:paraId="647C6F58" w14:textId="77777777">
        <w:tblPrEx>
          <w:tblW w:w="0" w:type="auto"/>
          <w:tblLook w:val="04A0"/>
        </w:tblPrEx>
        <w:tc>
          <w:tcPr>
            <w:tcW w:w="4675" w:type="dxa"/>
            <w:shd w:val="clear" w:color="auto" w:fill="auto"/>
          </w:tcPr>
          <w:p w:rsidR="000A2106" w14:paraId="603296BD" w14:textId="63651705">
            <w:pPr>
              <w:jc w:val="center"/>
            </w:pPr>
            <w:r>
              <w:t>CellBlox</w:t>
            </w:r>
            <w:r>
              <w:t xml:space="preserve"> Acquisitions, LLC</w:t>
            </w:r>
            <w:r>
              <w:rPr>
                <w:rStyle w:val="FootnoteReference"/>
                <w:sz w:val="20"/>
                <w:szCs w:val="18"/>
              </w:rPr>
              <w:footnoteReference w:id="9"/>
            </w:r>
          </w:p>
        </w:tc>
        <w:tc>
          <w:tcPr>
            <w:tcW w:w="4675" w:type="dxa"/>
            <w:shd w:val="clear" w:color="auto" w:fill="auto"/>
          </w:tcPr>
          <w:p w:rsidR="000A2106" w14:paraId="0FCDC7F3" w14:textId="4C513E3C">
            <w:pPr>
              <w:jc w:val="center"/>
            </w:pPr>
            <w:r>
              <w:t>000</w:t>
            </w:r>
            <w:r w:rsidR="00E80C3A">
              <w:t>1</w:t>
            </w:r>
          </w:p>
        </w:tc>
      </w:tr>
      <w:bookmarkEnd w:id="0"/>
    </w:tbl>
    <w:p w:rsidR="000A2106" w:rsidRPr="00A6481E" w:rsidP="000A2106" w14:paraId="14C87A68" w14:textId="77777777">
      <w:pPr>
        <w:jc w:val="center"/>
      </w:pPr>
    </w:p>
    <w:p w:rsidR="000A2106" w:rsidP="000A2106" w14:paraId="6A0CAFC9" w14:textId="77777777"/>
    <w:p w:rsidR="000A2106" w:rsidP="000A2106" w14:paraId="03C0A138" w14:textId="77777777"/>
    <w:p w:rsidR="000A2106" w:rsidP="000A2106" w14:paraId="0FF583BD" w14:textId="77777777"/>
    <w:p w:rsidR="000A2106" w:rsidP="000A2106" w14:paraId="58CBAB72" w14:textId="77777777"/>
    <w:p w:rsidR="000A2106" w:rsidP="00515DB3" w14:paraId="5625B818" w14:textId="77777777">
      <w:pPr>
        <w:spacing w:before="120" w:after="240"/>
        <w:jc w:val="center"/>
      </w:pP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B7AA3" w14:paraId="6924EF08" w14:textId="77777777">
      <w:pPr>
        <w:spacing w:line="20" w:lineRule="exact"/>
      </w:pPr>
    </w:p>
  </w:endnote>
  <w:endnote w:type="continuationSeparator" w:id="1">
    <w:p w:rsidR="00AB7AA3" w14:paraId="2C610750" w14:textId="77777777">
      <w:r>
        <w:t xml:space="preserve"> </w:t>
      </w:r>
    </w:p>
  </w:endnote>
  <w:endnote w:type="continuationNotice" w:id="2">
    <w:p w:rsidR="00AB7AA3" w14:paraId="554A387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37E" w14:paraId="4B779761" w14:textId="77777777">
    <w:pPr>
      <w:pStyle w:val="Footer"/>
      <w:framePr w:wrap="around" w:vAnchor="text" w:hAnchor="margin" w:xAlign="center" w:y="1"/>
    </w:pPr>
    <w:r>
      <w:fldChar w:fldCharType="begin"/>
    </w:r>
    <w:r>
      <w:instrText xml:space="preserve">PAGE  </w:instrText>
    </w:r>
    <w:r>
      <w:fldChar w:fldCharType="separate"/>
    </w:r>
    <w:r>
      <w:fldChar w:fldCharType="end"/>
    </w:r>
  </w:p>
  <w:p w:rsidR="000C437E" w14:paraId="45F73A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37E" w14:paraId="673AC9E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37E" w14:paraId="04D390A2"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7AA3" w14:paraId="11494659" w14:textId="77777777">
      <w:r>
        <w:separator/>
      </w:r>
    </w:p>
  </w:footnote>
  <w:footnote w:type="continuationSeparator" w:id="1">
    <w:p w:rsidR="00AB7AA3" w14:paraId="373585F9" w14:textId="77777777">
      <w:pPr>
        <w:rPr>
          <w:sz w:val="20"/>
        </w:rPr>
      </w:pPr>
      <w:r>
        <w:rPr>
          <w:sz w:val="20"/>
        </w:rPr>
        <w:t xml:space="preserve">(Continued from previous page)  </w:t>
      </w:r>
      <w:r>
        <w:rPr>
          <w:sz w:val="20"/>
        </w:rPr>
        <w:separator/>
      </w:r>
    </w:p>
  </w:footnote>
  <w:footnote w:type="continuationNotice" w:id="2">
    <w:p w:rsidR="00AB7AA3" w14:paraId="065F1D4D" w14:textId="77777777">
      <w:pPr>
        <w:jc w:val="right"/>
        <w:rPr>
          <w:sz w:val="20"/>
        </w:rPr>
      </w:pPr>
      <w:r>
        <w:rPr>
          <w:sz w:val="20"/>
        </w:rPr>
        <w:t>(continued….)</w:t>
      </w:r>
    </w:p>
  </w:footnote>
  <w:footnote w:id="3">
    <w:p w:rsidR="008E02FC" w:rsidRPr="00980696" w:rsidP="008E02FC" w14:paraId="1C53F636" w14:textId="77777777">
      <w:pPr>
        <w:pStyle w:val="FootnoteText"/>
      </w:pPr>
      <w:r w:rsidRPr="00980696">
        <w:rPr>
          <w:rStyle w:val="FootnoteReference"/>
          <w:sz w:val="20"/>
        </w:rPr>
        <w:footnoteRef/>
      </w:r>
      <w:r w:rsidRPr="00980696">
        <w:t xml:space="preserve"> </w:t>
      </w:r>
      <w:r w:rsidRPr="00980696">
        <w:rPr>
          <w:i/>
        </w:rPr>
        <w:t>See</w:t>
      </w:r>
      <w:r w:rsidRPr="00980696">
        <w:t xml:space="preserve"> </w:t>
      </w:r>
      <w:r w:rsidRPr="00980696">
        <w:rPr>
          <w:i/>
        </w:rPr>
        <w:t>Promoting Technological Solutions to Combat Contraband Wireless Device Use in Correctional</w:t>
      </w:r>
      <w:r w:rsidRPr="00980696">
        <w:rPr>
          <w:i/>
          <w:iCs/>
        </w:rPr>
        <w:t xml:space="preserve"> </w:t>
      </w:r>
      <w:r w:rsidRPr="00980696">
        <w:rPr>
          <w:i/>
        </w:rPr>
        <w:t>Facilities</w:t>
      </w:r>
      <w:r w:rsidRPr="00980696">
        <w:t xml:space="preserve">, GN Docket No. 13-111, Second Report and Order and Second Further Notice of Proposed Rulemaking, 36 FCC </w:t>
      </w:r>
      <w:r w:rsidRPr="00980696">
        <w:t>Rcd</w:t>
      </w:r>
      <w:r w:rsidRPr="00980696">
        <w:t xml:space="preserve"> 11813, 11814, para. 2 (2021) (</w:t>
      </w:r>
      <w:r w:rsidRPr="00980696">
        <w:rPr>
          <w:i/>
        </w:rPr>
        <w:t>Second Report and Order</w:t>
      </w:r>
      <w:r w:rsidRPr="00980696">
        <w:t xml:space="preserve">); </w:t>
      </w:r>
      <w:r w:rsidRPr="00980696">
        <w:rPr>
          <w:i/>
        </w:rPr>
        <w:t>see also</w:t>
      </w:r>
      <w:r w:rsidRPr="00980696">
        <w:t xml:space="preserve"> </w:t>
      </w:r>
      <w:r w:rsidRPr="00980696">
        <w:rPr>
          <w:i/>
        </w:rPr>
        <w:t>Promoting Technological Solutions to Combat Contraband Wireless Device Use in Correctional Facilities</w:t>
      </w:r>
      <w:r w:rsidRPr="00980696">
        <w:t>, GN Docket No. 13-111, Erratum (rel. Aug. 3, 2021).</w:t>
      </w:r>
    </w:p>
  </w:footnote>
  <w:footnote w:id="4">
    <w:p w:rsidR="008E02FC" w:rsidRPr="00980696" w:rsidP="008E02FC" w14:paraId="5C192C50" w14:textId="7408AEBD">
      <w:pPr>
        <w:pStyle w:val="FootnoteText"/>
      </w:pPr>
      <w:r w:rsidRPr="00980696">
        <w:rPr>
          <w:rStyle w:val="FootnoteReference"/>
          <w:sz w:val="20"/>
        </w:rPr>
        <w:footnoteRef/>
      </w:r>
      <w:r w:rsidRPr="00980696">
        <w:t xml:space="preserve"> </w:t>
      </w:r>
      <w:r w:rsidRPr="00980696">
        <w:rPr>
          <w:i/>
          <w:iCs/>
        </w:rPr>
        <w:t>Wireless Telecommunications Bureau Provides Guidance for Filing Contraband Interdiction System Certification Applications and Self-Certifications</w:t>
      </w:r>
      <w:r w:rsidRPr="00980696">
        <w:t xml:space="preserve">, GN Docket No. 13-111, Public Notice, </w:t>
      </w:r>
      <w:r w:rsidR="0040588C">
        <w:t xml:space="preserve">36 FCC </w:t>
      </w:r>
      <w:r w:rsidR="0040588C">
        <w:t>Rcd</w:t>
      </w:r>
      <w:r w:rsidR="0040588C">
        <w:t xml:space="preserve"> 17368</w:t>
      </w:r>
      <w:r w:rsidRPr="00980696">
        <w:t xml:space="preserve">, </w:t>
      </w:r>
      <w:r w:rsidR="002E43DE">
        <w:t>17369-71</w:t>
      </w:r>
      <w:r w:rsidRPr="00980696">
        <w:t>, paras. 5</w:t>
      </w:r>
      <w:r w:rsidR="00980696">
        <w:t>–</w:t>
      </w:r>
      <w:r w:rsidRPr="00980696">
        <w:t>6, 9</w:t>
      </w:r>
      <w:r w:rsidR="00980696">
        <w:t>–</w:t>
      </w:r>
      <w:r w:rsidRPr="00980696">
        <w:t>10 (WTB 2021) (</w:t>
      </w:r>
      <w:r w:rsidRPr="00980696">
        <w:rPr>
          <w:i/>
          <w:iCs/>
        </w:rPr>
        <w:t>Guidance Public Notice</w:t>
      </w:r>
      <w:r w:rsidRPr="00980696">
        <w:t>).</w:t>
      </w:r>
    </w:p>
  </w:footnote>
  <w:footnote w:id="5">
    <w:p w:rsidR="008E02FC" w:rsidRPr="00980696" w:rsidP="008E02FC" w14:paraId="4CC5E9D4" w14:textId="4FCF3D92">
      <w:pPr>
        <w:pStyle w:val="FootnoteText"/>
      </w:pPr>
      <w:r w:rsidRPr="00980696">
        <w:rPr>
          <w:rStyle w:val="FootnoteReference"/>
          <w:sz w:val="20"/>
        </w:rPr>
        <w:footnoteRef/>
      </w:r>
      <w:r w:rsidRPr="00980696">
        <w:t xml:space="preserve"> </w:t>
      </w:r>
      <w:r w:rsidRPr="00980696">
        <w:rPr>
          <w:i/>
          <w:iCs/>
        </w:rPr>
        <w:t>Guidance Public Notice</w:t>
      </w:r>
      <w:r w:rsidRPr="00980696">
        <w:t xml:space="preserve">, </w:t>
      </w:r>
      <w:r w:rsidR="00DF4175">
        <w:t xml:space="preserve">36 FCC </w:t>
      </w:r>
      <w:r w:rsidR="00DF4175">
        <w:t>Rcd</w:t>
      </w:r>
      <w:r w:rsidR="00DF4175">
        <w:t xml:space="preserve"> at 17369-71</w:t>
      </w:r>
      <w:r w:rsidR="006176EF">
        <w:t xml:space="preserve">, </w:t>
      </w:r>
      <w:r w:rsidRPr="00980696">
        <w:t>paras. 5</w:t>
      </w:r>
      <w:r w:rsidR="00980696">
        <w:t>–</w:t>
      </w:r>
      <w:r w:rsidRPr="00980696">
        <w:t>10.</w:t>
      </w:r>
    </w:p>
  </w:footnote>
  <w:footnote w:id="6">
    <w:p w:rsidR="008E02FC" w:rsidRPr="00980696" w:rsidP="008E02FC" w14:paraId="5FA85204" w14:textId="77777777">
      <w:pPr>
        <w:pStyle w:val="FootnoteText"/>
      </w:pPr>
      <w:r w:rsidRPr="00980696">
        <w:rPr>
          <w:rStyle w:val="FootnoteReference"/>
          <w:sz w:val="20"/>
        </w:rPr>
        <w:footnoteRef/>
      </w:r>
      <w:r w:rsidRPr="00980696">
        <w:t xml:space="preserve"> </w:t>
      </w:r>
      <w:r w:rsidRPr="00980696">
        <w:rPr>
          <w:i/>
          <w:iCs/>
        </w:rPr>
        <w:t>Second Report and Order</w:t>
      </w:r>
      <w:r w:rsidRPr="00980696">
        <w:t xml:space="preserve">, 36 FCC </w:t>
      </w:r>
      <w:r w:rsidRPr="00980696">
        <w:t>Rcd</w:t>
      </w:r>
      <w:r w:rsidRPr="00980696">
        <w:t xml:space="preserve"> at 11822, 11824, paras. 24, 27.</w:t>
      </w:r>
    </w:p>
  </w:footnote>
  <w:footnote w:id="7">
    <w:p w:rsidR="008E02FC" w:rsidRPr="00980696" w:rsidP="008E02FC" w14:paraId="575F41C9" w14:textId="77777777">
      <w:pPr>
        <w:pStyle w:val="FootnoteText"/>
      </w:pPr>
      <w:r w:rsidRPr="00980696">
        <w:rPr>
          <w:rStyle w:val="FootnoteReference"/>
          <w:sz w:val="20"/>
        </w:rPr>
        <w:footnoteRef/>
      </w:r>
      <w:r w:rsidRPr="00980696">
        <w:t xml:space="preserve"> </w:t>
      </w:r>
      <w:r w:rsidRPr="00980696">
        <w:rPr>
          <w:i/>
          <w:iCs/>
        </w:rPr>
        <w:t>See Electronic Filing of Documents in Rulemaking Proceedings</w:t>
      </w:r>
      <w:r w:rsidRPr="00980696">
        <w:t>, 63 FR 24121 (1998).</w:t>
      </w:r>
    </w:p>
  </w:footnote>
  <w:footnote w:id="8">
    <w:p w:rsidR="008E02FC" w:rsidRPr="00980696" w:rsidP="008E02FC" w14:paraId="7C6BB028" w14:textId="035487D6">
      <w:pPr>
        <w:pStyle w:val="FootnoteText"/>
      </w:pPr>
      <w:r w:rsidRPr="00980696">
        <w:rPr>
          <w:rStyle w:val="FootnoteReference"/>
          <w:sz w:val="20"/>
        </w:rPr>
        <w:footnoteRef/>
      </w:r>
      <w:r w:rsidRPr="00980696">
        <w:t xml:space="preserve"> </w:t>
      </w:r>
      <w:r w:rsidRPr="00980696">
        <w:rPr>
          <w:i/>
        </w:rPr>
        <w:t>See</w:t>
      </w:r>
      <w:r w:rsidRPr="00980696">
        <w:t xml:space="preserve"> </w:t>
      </w:r>
      <w:r w:rsidRPr="00980696">
        <w:rPr>
          <w:i/>
        </w:rPr>
        <w:t>Promoting Technological Solutions to Combat Contraband Wireless Device Use in Correctional</w:t>
      </w:r>
      <w:r w:rsidRPr="00980696">
        <w:rPr>
          <w:i/>
          <w:iCs/>
        </w:rPr>
        <w:t xml:space="preserve"> </w:t>
      </w:r>
      <w:r w:rsidRPr="00980696">
        <w:rPr>
          <w:i/>
        </w:rPr>
        <w:t>Facilities</w:t>
      </w:r>
      <w:r w:rsidRPr="00980696">
        <w:t xml:space="preserve">, GN Docket No. 13-111, Protective Order, </w:t>
      </w:r>
      <w:r w:rsidR="00EA55E9">
        <w:t xml:space="preserve">38 FCC </w:t>
      </w:r>
      <w:r w:rsidR="00EA55E9">
        <w:t>Rcd</w:t>
      </w:r>
      <w:r w:rsidR="00EA55E9">
        <w:t xml:space="preserve"> 1952</w:t>
      </w:r>
      <w:r w:rsidRPr="00980696">
        <w:t xml:space="preserve"> (</w:t>
      </w:r>
      <w:r w:rsidR="00A47E56">
        <w:t>WTB</w:t>
      </w:r>
      <w:r w:rsidRPr="00980696">
        <w:t xml:space="preserve"> 2023). </w:t>
      </w:r>
    </w:p>
  </w:footnote>
  <w:footnote w:id="9">
    <w:p w:rsidR="000A2106" w:rsidRPr="00E237E8" w:rsidP="000A2106" w14:paraId="187D20B0" w14:textId="392A1157">
      <w:pPr>
        <w:pStyle w:val="FootnoteText"/>
        <w:rPr>
          <w:i/>
          <w:iCs/>
        </w:rPr>
      </w:pPr>
      <w:r w:rsidRPr="00980696">
        <w:rPr>
          <w:rStyle w:val="FootnoteReference"/>
          <w:sz w:val="20"/>
        </w:rPr>
        <w:footnoteRef/>
      </w:r>
      <w:r w:rsidRPr="00980696">
        <w:t xml:space="preserve"> </w:t>
      </w:r>
      <w:r w:rsidRPr="00980696" w:rsidR="00406BF9">
        <w:t xml:space="preserve">Application of </w:t>
      </w:r>
      <w:r w:rsidR="009F1E36">
        <w:t>CellBlox</w:t>
      </w:r>
      <w:r w:rsidR="009F1E36">
        <w:t xml:space="preserve"> Acquisitions, LLC</w:t>
      </w:r>
      <w:r w:rsidRPr="00980696" w:rsidR="00406BF9">
        <w:t xml:space="preserve"> for Certification of Contraband Interdiction System Under 47 CFR Section 20.23, GN Docket No. 13-111 (filed </w:t>
      </w:r>
      <w:r w:rsidR="001216B0">
        <w:t>Feb</w:t>
      </w:r>
      <w:r w:rsidRPr="00980696" w:rsidR="00406BF9">
        <w:t xml:space="preserve">. </w:t>
      </w:r>
      <w:r w:rsidR="001216B0">
        <w:t>20</w:t>
      </w:r>
      <w:r w:rsidRPr="00980696" w:rsidR="00406BF9">
        <w:t>, 202</w:t>
      </w:r>
      <w:r w:rsidR="001216B0">
        <w:t>5</w:t>
      </w:r>
      <w:r w:rsidRPr="00980696" w:rsidR="00406BF9">
        <w:t>) (</w:t>
      </w:r>
      <w:r w:rsidR="001216B0">
        <w:t>CellBlox</w:t>
      </w:r>
      <w:r w:rsidRPr="00980696" w:rsidR="00406BF9">
        <w:t xml:space="preserve"> CIS Application); </w:t>
      </w:r>
      <w:r w:rsidRPr="00980696" w:rsidR="00406BF9">
        <w:rPr>
          <w:i/>
          <w:iCs/>
        </w:rPr>
        <w:t xml:space="preserve">see also </w:t>
      </w:r>
      <w:r w:rsidR="00413633">
        <w:t xml:space="preserve">Supplement to </w:t>
      </w:r>
      <w:r w:rsidRPr="00980696" w:rsidR="00413633">
        <w:t xml:space="preserve">Application of </w:t>
      </w:r>
      <w:r w:rsidR="00413633">
        <w:t>CellBlox</w:t>
      </w:r>
      <w:r w:rsidR="00413633">
        <w:t xml:space="preserve"> Acquisitions, LLC</w:t>
      </w:r>
      <w:r w:rsidRPr="00980696" w:rsidR="00413633">
        <w:t xml:space="preserve"> for Certification of Contraband Interdiction System Under 47 CFR Section 20.23, GN Docket No. 13-111 (filed </w:t>
      </w:r>
      <w:r w:rsidR="00413633">
        <w:t>Apr</w:t>
      </w:r>
      <w:r w:rsidRPr="00980696" w:rsidR="00413633">
        <w:t xml:space="preserve">. </w:t>
      </w:r>
      <w:r w:rsidR="00413633">
        <w:t>18</w:t>
      </w:r>
      <w:r w:rsidRPr="00980696" w:rsidR="00413633">
        <w:t>, 202</w:t>
      </w:r>
      <w:r w:rsidR="00413633">
        <w:t>5</w:t>
      </w:r>
      <w:r w:rsidRPr="00980696" w:rsidR="00413633">
        <w:t>) (</w:t>
      </w:r>
      <w:r w:rsidR="00413633">
        <w:t>CellBlox</w:t>
      </w:r>
      <w:r w:rsidRPr="00980696" w:rsidR="00413633">
        <w:t xml:space="preserve"> CIS </w:t>
      </w:r>
      <w:r w:rsidR="00413633">
        <w:t>Supplement</w:t>
      </w:r>
      <w:r w:rsidRPr="00980696" w:rsidR="00413633">
        <w:t>)</w:t>
      </w:r>
      <w:r w:rsidR="00413633">
        <w:t>.</w:t>
      </w:r>
      <w:r w:rsidR="0059393D">
        <w:t xml:space="preserve">  </w:t>
      </w:r>
      <w:r w:rsidR="0059393D">
        <w:t>CellBlox</w:t>
      </w:r>
      <w:r w:rsidR="00F4459B">
        <w:t>’s</w:t>
      </w:r>
      <w:r w:rsidR="00F4459B">
        <w:t xml:space="preserve"> </w:t>
      </w:r>
      <w:r w:rsidR="00B03347">
        <w:t xml:space="preserve">instant </w:t>
      </w:r>
      <w:r w:rsidR="00F4459B">
        <w:t xml:space="preserve">application is for a portable system </w:t>
      </w:r>
      <w:r w:rsidR="00994BD4">
        <w:t xml:space="preserve">that it intends to operate at correctional facilities in addition to the fixed system approved by the Commission in </w:t>
      </w:r>
      <w:r w:rsidR="00E237E8">
        <w:t xml:space="preserve">2023.  </w:t>
      </w:r>
      <w:r w:rsidR="00E237E8">
        <w:rPr>
          <w:i/>
          <w:iCs/>
        </w:rPr>
        <w:t xml:space="preserve">See </w:t>
      </w:r>
      <w:r w:rsidRPr="00F8425A" w:rsidR="00E237E8">
        <w:rPr>
          <w:i/>
          <w:iCs/>
        </w:rPr>
        <w:t>Wireless Telecommunications Bureau Approves Five Contraband Interdiction System Certification Applications Under Phase One of the Authorization Process</w:t>
      </w:r>
      <w:r w:rsidRPr="00F8425A" w:rsidR="00E237E8">
        <w:t>, GN Docket No. 13-111, Public Notice,</w:t>
      </w:r>
      <w:r w:rsidR="00787538">
        <w:t xml:space="preserve"> 38 FCC </w:t>
      </w:r>
      <w:r w:rsidR="00787538">
        <w:t>Rcd</w:t>
      </w:r>
      <w:r w:rsidR="00787538">
        <w:t xml:space="preserve"> 5837</w:t>
      </w:r>
      <w:r w:rsidRPr="00F8425A" w:rsidR="00E237E8">
        <w:t xml:space="preserve"> (WTB 2023) (approving applications filed, respectively, by:</w:t>
      </w:r>
      <w:r w:rsidR="00E237E8">
        <w:t xml:space="preserve"> </w:t>
      </w:r>
      <w:r w:rsidRPr="00F8425A" w:rsidR="00E237E8">
        <w:t xml:space="preserve"> </w:t>
      </w:r>
      <w:r w:rsidRPr="00F8425A" w:rsidR="00E237E8">
        <w:t>CellBlox</w:t>
      </w:r>
      <w:r w:rsidRPr="00F8425A" w:rsidR="00E237E8">
        <w:t xml:space="preserve"> Acquisitions, LLC; </w:t>
      </w:r>
      <w:r w:rsidRPr="00F8425A" w:rsidR="00E237E8">
        <w:t>ShawnTech</w:t>
      </w:r>
      <w:r w:rsidRPr="00F8425A" w:rsidR="00E237E8">
        <w:t xml:space="preserve"> Communications, Inc.; </w:t>
      </w:r>
      <w:r w:rsidRPr="00F8425A" w:rsidR="00E237E8">
        <w:t>Tecore</w:t>
      </w:r>
      <w:r w:rsidRPr="00F8425A" w:rsidR="00E237E8">
        <w:t xml:space="preserve"> Networks; SOC, LLC; and </w:t>
      </w:r>
      <w:r w:rsidRPr="00F8425A" w:rsidR="00E237E8">
        <w:t>OmniProphis</w:t>
      </w:r>
      <w:r w:rsidRPr="00F8425A" w:rsidR="00E237E8">
        <w:t xml:space="preserve"> Corporation)</w:t>
      </w:r>
      <w:r w:rsidR="00E237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37E" w14:paraId="74E4E7EF" w14:textId="2E7D9AC0">
    <w:pPr>
      <w:tabs>
        <w:tab w:val="center" w:pos="4680"/>
        <w:tab w:val="right" w:pos="9360"/>
      </w:tabs>
    </w:pPr>
    <w:r>
      <w:rPr>
        <w:b/>
      </w:rPr>
      <w:tab/>
      <w:t>Federal Communications Commission</w:t>
    </w:r>
    <w:r>
      <w:rPr>
        <w:b/>
      </w:rPr>
      <w:tab/>
    </w:r>
    <w:r w:rsidR="00515DB3">
      <w:rPr>
        <w:b/>
      </w:rPr>
      <w:t xml:space="preserve">DA </w:t>
    </w:r>
    <w:r w:rsidR="00E80C3A">
      <w:rPr>
        <w:b/>
      </w:rPr>
      <w:t>25</w:t>
    </w:r>
    <w:r w:rsidR="007E51D4">
      <w:rPr>
        <w:b/>
      </w:rPr>
      <w:t>-482</w:t>
    </w:r>
  </w:p>
  <w:p w:rsidR="000C437E" w14:paraId="0CA2B549" w14:textId="592CED12">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0C437E" w14:paraId="591175EE"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37E" w14:paraId="20DECFF3" w14:textId="31FD2E5C">
    <w:pPr>
      <w:pStyle w:val="Header"/>
    </w:pPr>
    <w:r>
      <w:rPr>
        <w:noProof/>
        <w:snapToGrid/>
      </w:rPr>
      <w:drawing>
        <wp:inline distT="0" distB="0" distL="0" distR="0">
          <wp:extent cx="5947410" cy="1426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7410" cy="1426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1878854722">
    <w:abstractNumId w:val="1"/>
  </w:num>
  <w:num w:numId="2" w16cid:durableId="1796173538">
    <w:abstractNumId w:val="5"/>
  </w:num>
  <w:num w:numId="3" w16cid:durableId="828251435">
    <w:abstractNumId w:val="3"/>
  </w:num>
  <w:num w:numId="4" w16cid:durableId="603735710">
    <w:abstractNumId w:val="4"/>
  </w:num>
  <w:num w:numId="5" w16cid:durableId="1547717194">
    <w:abstractNumId w:val="2"/>
  </w:num>
  <w:num w:numId="6" w16cid:durableId="133321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FC"/>
    <w:rsid w:val="000015AC"/>
    <w:rsid w:val="00015859"/>
    <w:rsid w:val="00025FD6"/>
    <w:rsid w:val="00037B63"/>
    <w:rsid w:val="0005667B"/>
    <w:rsid w:val="00060A4A"/>
    <w:rsid w:val="0006706A"/>
    <w:rsid w:val="000964C2"/>
    <w:rsid w:val="000A2106"/>
    <w:rsid w:val="000C437E"/>
    <w:rsid w:val="001216B0"/>
    <w:rsid w:val="00132420"/>
    <w:rsid w:val="00150EAD"/>
    <w:rsid w:val="001564A5"/>
    <w:rsid w:val="0015733B"/>
    <w:rsid w:val="001D6105"/>
    <w:rsid w:val="00226403"/>
    <w:rsid w:val="00231453"/>
    <w:rsid w:val="00286E00"/>
    <w:rsid w:val="0029557A"/>
    <w:rsid w:val="00296ACE"/>
    <w:rsid w:val="002E43DE"/>
    <w:rsid w:val="003300C7"/>
    <w:rsid w:val="003A42A1"/>
    <w:rsid w:val="003E2450"/>
    <w:rsid w:val="0040588C"/>
    <w:rsid w:val="00406BF9"/>
    <w:rsid w:val="00413633"/>
    <w:rsid w:val="00413F46"/>
    <w:rsid w:val="004176D7"/>
    <w:rsid w:val="00467EE5"/>
    <w:rsid w:val="00485484"/>
    <w:rsid w:val="00491F4C"/>
    <w:rsid w:val="00497213"/>
    <w:rsid w:val="004B3AC1"/>
    <w:rsid w:val="004B4063"/>
    <w:rsid w:val="004F3323"/>
    <w:rsid w:val="005020CA"/>
    <w:rsid w:val="00513DC2"/>
    <w:rsid w:val="00515DB3"/>
    <w:rsid w:val="0052478D"/>
    <w:rsid w:val="00543BAC"/>
    <w:rsid w:val="005857BC"/>
    <w:rsid w:val="0059393D"/>
    <w:rsid w:val="00597AB4"/>
    <w:rsid w:val="005A10EC"/>
    <w:rsid w:val="005A6FAE"/>
    <w:rsid w:val="005B2CF2"/>
    <w:rsid w:val="005C2953"/>
    <w:rsid w:val="005C6071"/>
    <w:rsid w:val="005C6A28"/>
    <w:rsid w:val="005E168D"/>
    <w:rsid w:val="005F0BEB"/>
    <w:rsid w:val="006176EF"/>
    <w:rsid w:val="0062529D"/>
    <w:rsid w:val="00637CAC"/>
    <w:rsid w:val="006448F5"/>
    <w:rsid w:val="00664F96"/>
    <w:rsid w:val="006A527B"/>
    <w:rsid w:val="006C3688"/>
    <w:rsid w:val="006D7A91"/>
    <w:rsid w:val="006F5C93"/>
    <w:rsid w:val="0071017C"/>
    <w:rsid w:val="00743300"/>
    <w:rsid w:val="00744991"/>
    <w:rsid w:val="00756A40"/>
    <w:rsid w:val="00766849"/>
    <w:rsid w:val="00780A5D"/>
    <w:rsid w:val="00787538"/>
    <w:rsid w:val="007C62AD"/>
    <w:rsid w:val="007E51D4"/>
    <w:rsid w:val="00820361"/>
    <w:rsid w:val="00823A93"/>
    <w:rsid w:val="00831468"/>
    <w:rsid w:val="00867C7D"/>
    <w:rsid w:val="00885F34"/>
    <w:rsid w:val="0089620B"/>
    <w:rsid w:val="008B05BD"/>
    <w:rsid w:val="008E02FC"/>
    <w:rsid w:val="008E1494"/>
    <w:rsid w:val="0092268A"/>
    <w:rsid w:val="00946EFB"/>
    <w:rsid w:val="00947583"/>
    <w:rsid w:val="009650B9"/>
    <w:rsid w:val="00980696"/>
    <w:rsid w:val="00994BD4"/>
    <w:rsid w:val="009A21F3"/>
    <w:rsid w:val="009E6A36"/>
    <w:rsid w:val="009F1E36"/>
    <w:rsid w:val="00A122EF"/>
    <w:rsid w:val="00A23CFC"/>
    <w:rsid w:val="00A30B14"/>
    <w:rsid w:val="00A478F1"/>
    <w:rsid w:val="00A47E56"/>
    <w:rsid w:val="00A6481E"/>
    <w:rsid w:val="00AB4AC3"/>
    <w:rsid w:val="00AB7AA3"/>
    <w:rsid w:val="00AD6BE8"/>
    <w:rsid w:val="00B03347"/>
    <w:rsid w:val="00B21CE0"/>
    <w:rsid w:val="00B9612C"/>
    <w:rsid w:val="00BA6C4A"/>
    <w:rsid w:val="00BC294E"/>
    <w:rsid w:val="00BC3E5A"/>
    <w:rsid w:val="00BD220E"/>
    <w:rsid w:val="00BD4E56"/>
    <w:rsid w:val="00BE1B98"/>
    <w:rsid w:val="00BE6C49"/>
    <w:rsid w:val="00BF5CA1"/>
    <w:rsid w:val="00C11C5A"/>
    <w:rsid w:val="00C1606A"/>
    <w:rsid w:val="00C27DCE"/>
    <w:rsid w:val="00C32560"/>
    <w:rsid w:val="00C94C43"/>
    <w:rsid w:val="00CA0C4A"/>
    <w:rsid w:val="00CC052F"/>
    <w:rsid w:val="00D31255"/>
    <w:rsid w:val="00D41EDB"/>
    <w:rsid w:val="00DC4D49"/>
    <w:rsid w:val="00DF4175"/>
    <w:rsid w:val="00E010AD"/>
    <w:rsid w:val="00E04E96"/>
    <w:rsid w:val="00E17075"/>
    <w:rsid w:val="00E237E8"/>
    <w:rsid w:val="00E44B8C"/>
    <w:rsid w:val="00E633BF"/>
    <w:rsid w:val="00E80C3A"/>
    <w:rsid w:val="00E93573"/>
    <w:rsid w:val="00EA55E9"/>
    <w:rsid w:val="00EE0BA7"/>
    <w:rsid w:val="00F00F02"/>
    <w:rsid w:val="00F13E02"/>
    <w:rsid w:val="00F4459B"/>
    <w:rsid w:val="00F60E76"/>
    <w:rsid w:val="00F74CF0"/>
    <w:rsid w:val="00F81135"/>
    <w:rsid w:val="00F8425A"/>
    <w:rsid w:val="00F85B73"/>
    <w:rsid w:val="00FB1FE1"/>
    <w:rsid w:val="00FB6B89"/>
    <w:rsid w:val="00FC20CC"/>
    <w:rsid w:val="00FC4044"/>
    <w:rsid w:val="00FC73B3"/>
    <w:rsid w:val="00FE04E0"/>
    <w:rsid w:val="00FF67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157FEE"/>
  <w15:chartTrackingRefBased/>
  <w15:docId w15:val="{68685929-ECD1-4826-AFF0-CD13A9FD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2FC"/>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Footnote Text Char Char,Footnote Text Char Char Char Char,Footnote Text Char Char Char Char Char Char1,Footnote Text Char1 Char Char,Footnote Text Char1 Char Char Char Char,Footnote Text Char2,Footnote text,fn,fn Cha"/>
    <w:link w:val="FootnoteTextChar"/>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
    <w:name w:val="Footnote Text Char"/>
    <w:aliases w:val="ALTS FOOTNOTE Char,FOOTNOTE Char,Footnote Text Char Char Char,Footnote Text Char Char Char Char Char,Footnote Text Char Char Char Char Char Char1 Char,Footnote Text Char1 Char Char Char,Footnote Text Char1 Char Char Char Char Char"/>
    <w:link w:val="FootnoteText"/>
    <w:rsid w:val="008E02FC"/>
  </w:style>
  <w:style w:type="character" w:customStyle="1" w:styleId="ParaNumChar1">
    <w:name w:val="ParaNum Char1"/>
    <w:link w:val="ParaNum"/>
    <w:rsid w:val="008E02FC"/>
    <w:rPr>
      <w:snapToGrid w:val="0"/>
      <w:kern w:val="28"/>
      <w:sz w:val="22"/>
    </w:rPr>
  </w:style>
  <w:style w:type="character" w:styleId="CommentReference">
    <w:name w:val="annotation reference"/>
    <w:basedOn w:val="DefaultParagraphFont"/>
    <w:uiPriority w:val="99"/>
    <w:semiHidden/>
    <w:unhideWhenUsed/>
    <w:rsid w:val="00C11C5A"/>
    <w:rPr>
      <w:sz w:val="16"/>
      <w:szCs w:val="16"/>
    </w:rPr>
  </w:style>
  <w:style w:type="paragraph" w:styleId="CommentText">
    <w:name w:val="annotation text"/>
    <w:basedOn w:val="Normal"/>
    <w:link w:val="CommentTextChar"/>
    <w:uiPriority w:val="99"/>
    <w:unhideWhenUsed/>
    <w:rsid w:val="00C11C5A"/>
    <w:rPr>
      <w:sz w:val="20"/>
    </w:rPr>
  </w:style>
  <w:style w:type="character" w:customStyle="1" w:styleId="CommentTextChar">
    <w:name w:val="Comment Text Char"/>
    <w:basedOn w:val="DefaultParagraphFont"/>
    <w:link w:val="CommentText"/>
    <w:uiPriority w:val="99"/>
    <w:rsid w:val="00C11C5A"/>
    <w:rPr>
      <w:snapToGrid w:val="0"/>
      <w:kern w:val="28"/>
    </w:rPr>
  </w:style>
  <w:style w:type="paragraph" w:styleId="CommentSubject">
    <w:name w:val="annotation subject"/>
    <w:basedOn w:val="CommentText"/>
    <w:next w:val="CommentText"/>
    <w:link w:val="CommentSubjectChar"/>
    <w:uiPriority w:val="99"/>
    <w:semiHidden/>
    <w:unhideWhenUsed/>
    <w:rsid w:val="00C11C5A"/>
    <w:rPr>
      <w:b/>
      <w:bCs/>
    </w:rPr>
  </w:style>
  <w:style w:type="character" w:customStyle="1" w:styleId="CommentSubjectChar">
    <w:name w:val="Comment Subject Char"/>
    <w:basedOn w:val="CommentTextChar"/>
    <w:link w:val="CommentSubject"/>
    <w:uiPriority w:val="99"/>
    <w:semiHidden/>
    <w:rsid w:val="00C11C5A"/>
    <w:rPr>
      <w:b/>
      <w:bCs/>
      <w:snapToGrid w:val="0"/>
      <w:kern w:val="28"/>
    </w:rPr>
  </w:style>
  <w:style w:type="character" w:styleId="Mention">
    <w:name w:val="Mention"/>
    <w:basedOn w:val="DefaultParagraphFont"/>
    <w:uiPriority w:val="99"/>
    <w:unhideWhenUsed/>
    <w:rsid w:val="007C62AD"/>
    <w:rPr>
      <w:color w:val="2B579A"/>
      <w:shd w:val="clear" w:color="auto" w:fill="E1DFDD"/>
    </w:rPr>
  </w:style>
  <w:style w:type="paragraph" w:styleId="Revision">
    <w:name w:val="Revision"/>
    <w:hidden/>
    <w:uiPriority w:val="99"/>
    <w:semiHidden/>
    <w:rsid w:val="00BE6C49"/>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taylor.reinecker@fcc.gov" TargetMode="External" /><Relationship Id="rId7" Type="http://schemas.openxmlformats.org/officeDocument/2006/relationships/hyperlink" Target="mailto:" TargetMode="Externa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lie.Peacher\FCC\FCC%20-%20NAL\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