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4.11.0 -->
  <w:body>
    <w:p w:rsidR="004C2EE3" w14:paraId="049DB32E" w14:textId="77777777">
      <w:pPr>
        <w:jc w:val="center"/>
        <w:rPr>
          <w:b/>
        </w:rPr>
      </w:pPr>
      <w:r w:rsidRPr="0070224F">
        <w:rPr>
          <w:rFonts w:ascii="Times New Roman Bold" w:hAnsi="Times New Roman Bold"/>
          <w:b/>
          <w:kern w:val="0"/>
          <w:szCs w:val="22"/>
        </w:rPr>
        <w:t>Before</w:t>
      </w:r>
      <w:r>
        <w:rPr>
          <w:b/>
        </w:rPr>
        <w:t xml:space="preserve"> the</w:t>
      </w:r>
    </w:p>
    <w:p w:rsidR="00921803" w:rsidP="00921803" w14:paraId="30EF94FF" w14:textId="77777777">
      <w:pPr>
        <w:pStyle w:val="StyleBoldCentered"/>
      </w:pPr>
      <w:r>
        <w:t>F</w:t>
      </w:r>
      <w:r>
        <w:rPr>
          <w:caps w:val="0"/>
        </w:rPr>
        <w:t>ederal Communications Commission</w:t>
      </w:r>
    </w:p>
    <w:p w:rsidR="004C2EE3" w:rsidP="00096D8C" w14:paraId="7233D7B2" w14:textId="77777777">
      <w:pPr>
        <w:pStyle w:val="StyleBoldCentered"/>
      </w:pPr>
      <w:r>
        <w:rPr>
          <w:caps w:val="0"/>
        </w:rPr>
        <w:t>Washington, D.C. 20554</w:t>
      </w:r>
    </w:p>
    <w:p w:rsidR="004C2EE3" w:rsidP="0070224F" w14:paraId="49E6B86E" w14:textId="77777777"/>
    <w:p w:rsidR="004C2EE3" w:rsidP="0070224F" w14:paraId="333E3C0A" w14:textId="77777777"/>
    <w:tbl>
      <w:tblPr>
        <w:tblW w:w="0" w:type="auto"/>
        <w:tblLayout w:type="fixed"/>
        <w:tblLook w:val="0000"/>
      </w:tblPr>
      <w:tblGrid>
        <w:gridCol w:w="4698"/>
        <w:gridCol w:w="630"/>
        <w:gridCol w:w="4248"/>
      </w:tblGrid>
      <w:tr w14:paraId="7C531BCD" w14:textId="77777777">
        <w:tblPrEx>
          <w:tblW w:w="0" w:type="auto"/>
          <w:tblLayout w:type="fixed"/>
          <w:tblLook w:val="0000"/>
        </w:tblPrEx>
        <w:tc>
          <w:tcPr>
            <w:tcW w:w="4698" w:type="dxa"/>
          </w:tcPr>
          <w:p w:rsidR="004C2EE3" w14:paraId="75920A92" w14:textId="77777777">
            <w:pPr>
              <w:tabs>
                <w:tab w:val="center" w:pos="4680"/>
              </w:tabs>
              <w:suppressAutoHyphens/>
              <w:rPr>
                <w:spacing w:val="-2"/>
              </w:rPr>
            </w:pPr>
            <w:r>
              <w:rPr>
                <w:spacing w:val="-2"/>
              </w:rPr>
              <w:t>In the Matter of</w:t>
            </w:r>
          </w:p>
          <w:p w:rsidR="004C2EE3" w14:paraId="7EAC730E" w14:textId="77777777">
            <w:pPr>
              <w:tabs>
                <w:tab w:val="center" w:pos="4680"/>
              </w:tabs>
              <w:suppressAutoHyphens/>
              <w:rPr>
                <w:spacing w:val="-2"/>
              </w:rPr>
            </w:pPr>
          </w:p>
          <w:p w:rsidR="004C2EE3" w:rsidP="007115F7" w14:paraId="26541A9A" w14:textId="77777777">
            <w:pPr>
              <w:tabs>
                <w:tab w:val="center" w:pos="4680"/>
              </w:tabs>
              <w:suppressAutoHyphens/>
              <w:rPr>
                <w:spacing w:val="-2"/>
              </w:rPr>
            </w:pPr>
            <w:r>
              <w:rPr>
                <w:spacing w:val="-2"/>
              </w:rPr>
              <w:t>Incarcerated People’s Communications Services;</w:t>
            </w:r>
          </w:p>
          <w:p w:rsidR="00EF4214" w:rsidP="007115F7" w14:paraId="7DEAEAFF" w14:textId="77777777">
            <w:pPr>
              <w:tabs>
                <w:tab w:val="center" w:pos="4680"/>
              </w:tabs>
              <w:suppressAutoHyphens/>
              <w:rPr>
                <w:spacing w:val="-2"/>
              </w:rPr>
            </w:pPr>
            <w:r>
              <w:rPr>
                <w:spacing w:val="-2"/>
              </w:rPr>
              <w:t>Implementation of the Martha Wright-Reed Act</w:t>
            </w:r>
          </w:p>
          <w:p w:rsidR="00EF4214" w:rsidP="007115F7" w14:paraId="7994DB20" w14:textId="77777777">
            <w:pPr>
              <w:tabs>
                <w:tab w:val="center" w:pos="4680"/>
              </w:tabs>
              <w:suppressAutoHyphens/>
              <w:rPr>
                <w:spacing w:val="-2"/>
              </w:rPr>
            </w:pPr>
          </w:p>
          <w:p w:rsidR="00EF4214" w:rsidRPr="007115F7" w:rsidP="007115F7" w14:paraId="38C6CF35" w14:textId="32C71D08">
            <w:pPr>
              <w:tabs>
                <w:tab w:val="center" w:pos="4680"/>
              </w:tabs>
              <w:suppressAutoHyphens/>
              <w:rPr>
                <w:spacing w:val="-2"/>
              </w:rPr>
            </w:pPr>
            <w:r>
              <w:rPr>
                <w:spacing w:val="-2"/>
              </w:rPr>
              <w:t>Rates for Interstate Inmate Calling Services</w:t>
            </w:r>
          </w:p>
        </w:tc>
        <w:tc>
          <w:tcPr>
            <w:tcW w:w="630" w:type="dxa"/>
          </w:tcPr>
          <w:p w:rsidR="004C2EE3" w14:paraId="3E07E61E" w14:textId="77777777">
            <w:pPr>
              <w:tabs>
                <w:tab w:val="center" w:pos="4680"/>
              </w:tabs>
              <w:suppressAutoHyphens/>
              <w:rPr>
                <w:b/>
                <w:spacing w:val="-2"/>
              </w:rPr>
            </w:pPr>
            <w:r>
              <w:rPr>
                <w:b/>
                <w:spacing w:val="-2"/>
              </w:rPr>
              <w:t>)</w:t>
            </w:r>
          </w:p>
          <w:p w:rsidR="004C2EE3" w14:paraId="5013D9C6" w14:textId="77777777">
            <w:pPr>
              <w:tabs>
                <w:tab w:val="center" w:pos="4680"/>
              </w:tabs>
              <w:suppressAutoHyphens/>
              <w:rPr>
                <w:b/>
                <w:spacing w:val="-2"/>
              </w:rPr>
            </w:pPr>
            <w:r>
              <w:rPr>
                <w:b/>
                <w:spacing w:val="-2"/>
              </w:rPr>
              <w:t>)</w:t>
            </w:r>
          </w:p>
          <w:p w:rsidR="004C2EE3" w14:paraId="249668B5" w14:textId="77777777">
            <w:pPr>
              <w:tabs>
                <w:tab w:val="center" w:pos="4680"/>
              </w:tabs>
              <w:suppressAutoHyphens/>
              <w:rPr>
                <w:b/>
                <w:spacing w:val="-2"/>
              </w:rPr>
            </w:pPr>
            <w:r>
              <w:rPr>
                <w:b/>
                <w:spacing w:val="-2"/>
              </w:rPr>
              <w:t>)</w:t>
            </w:r>
          </w:p>
          <w:p w:rsidR="004C2EE3" w14:paraId="393BB12F" w14:textId="77777777">
            <w:pPr>
              <w:tabs>
                <w:tab w:val="center" w:pos="4680"/>
              </w:tabs>
              <w:suppressAutoHyphens/>
              <w:rPr>
                <w:b/>
                <w:spacing w:val="-2"/>
              </w:rPr>
            </w:pPr>
            <w:r>
              <w:rPr>
                <w:b/>
                <w:spacing w:val="-2"/>
              </w:rPr>
              <w:t>)</w:t>
            </w:r>
          </w:p>
          <w:p w:rsidR="004C2EE3" w14:paraId="42093237" w14:textId="77777777">
            <w:pPr>
              <w:tabs>
                <w:tab w:val="center" w:pos="4680"/>
              </w:tabs>
              <w:suppressAutoHyphens/>
              <w:rPr>
                <w:b/>
                <w:spacing w:val="-2"/>
              </w:rPr>
            </w:pPr>
            <w:r>
              <w:rPr>
                <w:b/>
                <w:spacing w:val="-2"/>
              </w:rPr>
              <w:t>)</w:t>
            </w:r>
          </w:p>
          <w:p w:rsidR="004C2EE3" w14:paraId="75D82F29" w14:textId="77777777">
            <w:pPr>
              <w:tabs>
                <w:tab w:val="center" w:pos="4680"/>
              </w:tabs>
              <w:suppressAutoHyphens/>
              <w:rPr>
                <w:b/>
                <w:spacing w:val="-2"/>
              </w:rPr>
            </w:pPr>
            <w:r>
              <w:rPr>
                <w:b/>
                <w:spacing w:val="-2"/>
              </w:rPr>
              <w:t>)</w:t>
            </w:r>
          </w:p>
          <w:p w:rsidR="004C2EE3" w:rsidRPr="00EF4214" w14:paraId="79B17215" w14:textId="1D9F27AF">
            <w:pPr>
              <w:tabs>
                <w:tab w:val="center" w:pos="4680"/>
              </w:tabs>
              <w:suppressAutoHyphens/>
              <w:rPr>
                <w:b/>
                <w:spacing w:val="-2"/>
              </w:rPr>
            </w:pPr>
          </w:p>
        </w:tc>
        <w:tc>
          <w:tcPr>
            <w:tcW w:w="4248" w:type="dxa"/>
          </w:tcPr>
          <w:p w:rsidR="004C2EE3" w14:paraId="277283B2" w14:textId="77777777">
            <w:pPr>
              <w:tabs>
                <w:tab w:val="center" w:pos="4680"/>
              </w:tabs>
              <w:suppressAutoHyphens/>
              <w:rPr>
                <w:spacing w:val="-2"/>
              </w:rPr>
            </w:pPr>
          </w:p>
          <w:p w:rsidR="004C2EE3" w14:paraId="6F330513" w14:textId="77777777">
            <w:pPr>
              <w:pStyle w:val="TOAHeading"/>
              <w:tabs>
                <w:tab w:val="center" w:pos="4680"/>
                <w:tab w:val="clear" w:pos="9360"/>
              </w:tabs>
              <w:rPr>
                <w:spacing w:val="-2"/>
              </w:rPr>
            </w:pPr>
          </w:p>
          <w:p w:rsidR="004C2EE3" w14:paraId="07C1389F" w14:textId="77777777">
            <w:pPr>
              <w:tabs>
                <w:tab w:val="center" w:pos="4680"/>
              </w:tabs>
              <w:suppressAutoHyphens/>
              <w:rPr>
                <w:spacing w:val="-2"/>
              </w:rPr>
            </w:pPr>
            <w:r>
              <w:rPr>
                <w:spacing w:val="-2"/>
              </w:rPr>
              <w:t>WC Docket No. 23-62</w:t>
            </w:r>
          </w:p>
          <w:p w:rsidR="00EF4214" w14:paraId="6888F7CC" w14:textId="77777777">
            <w:pPr>
              <w:tabs>
                <w:tab w:val="center" w:pos="4680"/>
              </w:tabs>
              <w:suppressAutoHyphens/>
              <w:rPr>
                <w:spacing w:val="-2"/>
              </w:rPr>
            </w:pPr>
          </w:p>
          <w:p w:rsidR="00EF4214" w14:paraId="677BC169" w14:textId="77777777">
            <w:pPr>
              <w:tabs>
                <w:tab w:val="center" w:pos="4680"/>
              </w:tabs>
              <w:suppressAutoHyphens/>
              <w:rPr>
                <w:spacing w:val="-2"/>
              </w:rPr>
            </w:pPr>
          </w:p>
          <w:p w:rsidR="00EF4214" w14:paraId="135699B3" w14:textId="791585F1">
            <w:pPr>
              <w:tabs>
                <w:tab w:val="center" w:pos="4680"/>
              </w:tabs>
              <w:suppressAutoHyphens/>
              <w:rPr>
                <w:spacing w:val="-2"/>
              </w:rPr>
            </w:pPr>
            <w:r>
              <w:rPr>
                <w:spacing w:val="-2"/>
              </w:rPr>
              <w:t>WC Docket No. 12-375</w:t>
            </w:r>
          </w:p>
        </w:tc>
      </w:tr>
    </w:tbl>
    <w:p w:rsidR="004C2EE3" w:rsidP="0070224F" w14:paraId="1B5E7505" w14:textId="77777777"/>
    <w:p w:rsidR="00841AB1" w:rsidP="00F021FA" w14:paraId="11BC09E0" w14:textId="1798D22E">
      <w:pPr>
        <w:pStyle w:val="StyleBoldCentered"/>
      </w:pPr>
      <w:r>
        <w:t>order</w:t>
      </w:r>
    </w:p>
    <w:p w:rsidR="004C2EE3" w14:paraId="75D38DAB" w14:textId="77777777">
      <w:pPr>
        <w:tabs>
          <w:tab w:val="left" w:pos="-720"/>
        </w:tabs>
        <w:suppressAutoHyphens/>
        <w:spacing w:line="227" w:lineRule="auto"/>
        <w:rPr>
          <w:spacing w:val="-2"/>
        </w:rPr>
      </w:pPr>
    </w:p>
    <w:p w:rsidR="004C2EE3" w:rsidP="00133F79" w14:paraId="4FEEDB45" w14:textId="0D21B8A6">
      <w:pPr>
        <w:tabs>
          <w:tab w:val="left" w:pos="720"/>
          <w:tab w:val="right" w:pos="9360"/>
        </w:tabs>
        <w:suppressAutoHyphens/>
        <w:spacing w:line="227" w:lineRule="auto"/>
        <w:rPr>
          <w:spacing w:val="-2"/>
        </w:rPr>
      </w:pPr>
      <w:r>
        <w:rPr>
          <w:b/>
          <w:spacing w:val="-2"/>
        </w:rPr>
        <w:t xml:space="preserve">Adopted:  </w:t>
      </w:r>
      <w:r w:rsidR="00BE3857">
        <w:rPr>
          <w:b/>
          <w:spacing w:val="-2"/>
        </w:rPr>
        <w:t>June</w:t>
      </w:r>
      <w:r w:rsidR="00EF4214">
        <w:rPr>
          <w:b/>
          <w:spacing w:val="-2"/>
        </w:rPr>
        <w:t xml:space="preserve"> </w:t>
      </w:r>
      <w:r w:rsidR="000F4CD0">
        <w:rPr>
          <w:b/>
          <w:spacing w:val="-2"/>
        </w:rPr>
        <w:t>13</w:t>
      </w:r>
      <w:r w:rsidR="00EF4214">
        <w:rPr>
          <w:b/>
          <w:spacing w:val="-2"/>
        </w:rPr>
        <w:t>, 202</w:t>
      </w:r>
      <w:r w:rsidR="00BE3857">
        <w:rPr>
          <w:b/>
          <w:spacing w:val="-2"/>
        </w:rPr>
        <w:t>5</w:t>
      </w:r>
      <w:r>
        <w:rPr>
          <w:b/>
          <w:spacing w:val="-2"/>
        </w:rPr>
        <w:tab/>
      </w:r>
      <w:r w:rsidR="00822CE0">
        <w:rPr>
          <w:b/>
          <w:spacing w:val="-2"/>
        </w:rPr>
        <w:t>Released</w:t>
      </w:r>
      <w:r>
        <w:rPr>
          <w:b/>
          <w:spacing w:val="-2"/>
        </w:rPr>
        <w:t>:</w:t>
      </w:r>
      <w:r w:rsidR="00822CE0">
        <w:rPr>
          <w:b/>
          <w:spacing w:val="-2"/>
        </w:rPr>
        <w:t xml:space="preserve"> </w:t>
      </w:r>
      <w:r>
        <w:rPr>
          <w:b/>
          <w:spacing w:val="-2"/>
        </w:rPr>
        <w:t xml:space="preserve"> </w:t>
      </w:r>
      <w:r w:rsidR="00BE3857">
        <w:rPr>
          <w:b/>
          <w:spacing w:val="-2"/>
        </w:rPr>
        <w:t xml:space="preserve">June </w:t>
      </w:r>
      <w:r w:rsidR="000F4CD0">
        <w:rPr>
          <w:b/>
          <w:spacing w:val="-2"/>
        </w:rPr>
        <w:t>13</w:t>
      </w:r>
      <w:r w:rsidR="00EF4214">
        <w:rPr>
          <w:b/>
          <w:spacing w:val="-2"/>
        </w:rPr>
        <w:t>, 202</w:t>
      </w:r>
      <w:r w:rsidR="00BE3857">
        <w:rPr>
          <w:b/>
          <w:spacing w:val="-2"/>
        </w:rPr>
        <w:t>5</w:t>
      </w:r>
    </w:p>
    <w:p w:rsidR="00822CE0" w14:paraId="195ED38A" w14:textId="77777777"/>
    <w:p w:rsidR="004C2EE3" w14:paraId="65E61711" w14:textId="5E51E234">
      <w:pPr>
        <w:rPr>
          <w:spacing w:val="-2"/>
        </w:rPr>
      </w:pPr>
      <w:r>
        <w:t xml:space="preserve">By </w:t>
      </w:r>
      <w:r w:rsidR="004E4A22">
        <w:t>the</w:t>
      </w:r>
      <w:r w:rsidR="002A2D2E">
        <w:t xml:space="preserve"> </w:t>
      </w:r>
      <w:r w:rsidR="00EF4214">
        <w:rPr>
          <w:spacing w:val="-2"/>
        </w:rPr>
        <w:t>Chief, Wireline Competition Bureau</w:t>
      </w:r>
      <w:r>
        <w:rPr>
          <w:spacing w:val="-2"/>
        </w:rPr>
        <w:t>:</w:t>
      </w:r>
    </w:p>
    <w:p w:rsidR="00822CE0" w14:paraId="470FE162" w14:textId="77777777">
      <w:pPr>
        <w:rPr>
          <w:spacing w:val="-2"/>
        </w:rPr>
      </w:pPr>
    </w:p>
    <w:p w:rsidR="00412FC5" w:rsidP="00C36B4C" w14:paraId="47465042" w14:textId="53DDB0F4">
      <w:pPr>
        <w:pStyle w:val="Heading1"/>
      </w:pPr>
      <w:r>
        <w:t>introduction</w:t>
      </w:r>
    </w:p>
    <w:p w:rsidR="00F84317" w:rsidP="00181314" w14:paraId="3EE213F3" w14:textId="691DF663">
      <w:pPr>
        <w:pStyle w:val="ParaNum"/>
        <w:tabs>
          <w:tab w:val="clear" w:pos="1080"/>
        </w:tabs>
      </w:pPr>
      <w:r>
        <w:t xml:space="preserve">By this Order, we grant </w:t>
      </w:r>
      <w:r w:rsidR="001E6F2C">
        <w:t>TKC Tele</w:t>
      </w:r>
      <w:r w:rsidR="001C752E">
        <w:t>C</w:t>
      </w:r>
      <w:r w:rsidR="001E6F2C">
        <w:t>om</w:t>
      </w:r>
      <w:r>
        <w:t xml:space="preserve">, LLC’s </w:t>
      </w:r>
      <w:r w:rsidR="002138CC">
        <w:t xml:space="preserve">(TKC) </w:t>
      </w:r>
      <w:r w:rsidR="00382C3A">
        <w:t xml:space="preserve">request </w:t>
      </w:r>
      <w:r w:rsidR="0026413D">
        <w:t xml:space="preserve">for a temporary </w:t>
      </w:r>
      <w:r w:rsidR="00382C3A">
        <w:t>waive</w:t>
      </w:r>
      <w:r w:rsidR="0026413D">
        <w:t>r</w:t>
      </w:r>
      <w:r w:rsidR="00382C3A">
        <w:t xml:space="preserve"> </w:t>
      </w:r>
      <w:r w:rsidR="0026413D">
        <w:t xml:space="preserve">of </w:t>
      </w:r>
      <w:r w:rsidR="00382C3A">
        <w:t>the Commission’s</w:t>
      </w:r>
      <w:r w:rsidR="00FC38A9">
        <w:t xml:space="preserve"> rate cap compliance</w:t>
      </w:r>
      <w:r w:rsidR="00CF2DDD">
        <w:t xml:space="preserve"> </w:t>
      </w:r>
      <w:r w:rsidR="001E2BBE">
        <w:t xml:space="preserve">deadlines </w:t>
      </w:r>
      <w:r w:rsidR="003A1173">
        <w:t xml:space="preserve">and per-minute pricing </w:t>
      </w:r>
      <w:r w:rsidR="00DF73D7">
        <w:t>requirement</w:t>
      </w:r>
      <w:r w:rsidR="0095275A">
        <w:t xml:space="preserve"> </w:t>
      </w:r>
      <w:r w:rsidR="00777CC4">
        <w:t xml:space="preserve">as applied to </w:t>
      </w:r>
      <w:r w:rsidR="0026413D">
        <w:t xml:space="preserve">its </w:t>
      </w:r>
      <w:r w:rsidR="00777CC4">
        <w:t xml:space="preserve">video </w:t>
      </w:r>
      <w:r w:rsidR="001B3F75">
        <w:t>incarcerated people’s communications services (</w:t>
      </w:r>
      <w:r w:rsidR="00777CC4">
        <w:t>IPCS</w:t>
      </w:r>
      <w:r w:rsidR="001B3F75">
        <w:t>)</w:t>
      </w:r>
      <w:r w:rsidR="009943B6">
        <w:t xml:space="preserve"> </w:t>
      </w:r>
      <w:r w:rsidR="0026413D">
        <w:t xml:space="preserve">until April 1, 2026 </w:t>
      </w:r>
      <w:r w:rsidR="00A26446">
        <w:t>to enable</w:t>
      </w:r>
      <w:r w:rsidR="00B85E89">
        <w:t xml:space="preserve"> </w:t>
      </w:r>
      <w:r w:rsidR="0064591C">
        <w:t>TKC</w:t>
      </w:r>
      <w:r w:rsidR="00B85E89">
        <w:t xml:space="preserve"> </w:t>
      </w:r>
      <w:r w:rsidR="00C520D9">
        <w:t xml:space="preserve">and its affiliated companies </w:t>
      </w:r>
      <w:r w:rsidR="00B85E89">
        <w:t xml:space="preserve">to continue offering </w:t>
      </w:r>
      <w:r w:rsidR="00FF4C73">
        <w:t xml:space="preserve">uninterrupted </w:t>
      </w:r>
      <w:r w:rsidR="00B85E89">
        <w:t xml:space="preserve">video IPCS while it </w:t>
      </w:r>
      <w:r w:rsidR="00271562">
        <w:t xml:space="preserve">completes development of </w:t>
      </w:r>
      <w:r w:rsidR="00CD071A">
        <w:t xml:space="preserve">a </w:t>
      </w:r>
      <w:r w:rsidR="009A370B">
        <w:t xml:space="preserve">new video IPCS </w:t>
      </w:r>
      <w:r w:rsidR="001B3F75">
        <w:t xml:space="preserve">software </w:t>
      </w:r>
      <w:r w:rsidR="009A370B">
        <w:t xml:space="preserve">platform </w:t>
      </w:r>
      <w:r w:rsidR="001B3F75">
        <w:t xml:space="preserve">capable of </w:t>
      </w:r>
      <w:r w:rsidR="009A370B">
        <w:t>bill</w:t>
      </w:r>
      <w:r w:rsidR="001B3F75">
        <w:t>ing</w:t>
      </w:r>
      <w:r w:rsidR="009A370B">
        <w:t xml:space="preserve"> on a per-minute basis.</w:t>
      </w:r>
      <w:r>
        <w:rPr>
          <w:rStyle w:val="FootnoteReference"/>
        </w:rPr>
        <w:footnoteReference w:id="3"/>
      </w:r>
      <w:r w:rsidR="00C46A10">
        <w:t xml:space="preserve">  For the reasons discussed below, we find there is good cause to</w:t>
      </w:r>
      <w:r w:rsidR="00644766">
        <w:t xml:space="preserve"> </w:t>
      </w:r>
      <w:r w:rsidR="005B7C4D">
        <w:t xml:space="preserve">conditionally </w:t>
      </w:r>
      <w:r w:rsidR="00644766">
        <w:t>grant</w:t>
      </w:r>
      <w:r w:rsidR="00C46A10">
        <w:t xml:space="preserve"> </w:t>
      </w:r>
      <w:r w:rsidR="00077AF2">
        <w:t>TKC</w:t>
      </w:r>
      <w:r w:rsidR="00C46A10">
        <w:t xml:space="preserve">’s </w:t>
      </w:r>
      <w:r w:rsidR="0042298E">
        <w:t xml:space="preserve">temporary </w:t>
      </w:r>
      <w:r w:rsidR="00C46A10">
        <w:t>waiver request.</w:t>
      </w:r>
    </w:p>
    <w:p w:rsidR="00EF4214" w:rsidP="00372C5F" w14:paraId="27A83D05" w14:textId="04B4DF76">
      <w:pPr>
        <w:pStyle w:val="Heading1"/>
      </w:pPr>
      <w:r>
        <w:t>background</w:t>
      </w:r>
    </w:p>
    <w:p w:rsidR="000A6719" w:rsidP="00181314" w14:paraId="0D041656" w14:textId="5F5F5673">
      <w:pPr>
        <w:pStyle w:val="ParaNum"/>
        <w:tabs>
          <w:tab w:val="clear" w:pos="1080"/>
        </w:tabs>
      </w:pPr>
      <w:r w:rsidRPr="00D0643C">
        <w:t>The</w:t>
      </w:r>
      <w:r>
        <w:t xml:space="preserve"> </w:t>
      </w:r>
      <w:r>
        <w:rPr>
          <w:i/>
          <w:iCs/>
        </w:rPr>
        <w:t>2024 IPCS Order</w:t>
      </w:r>
      <w:r>
        <w:t xml:space="preserve"> implemented </w:t>
      </w:r>
      <w:r w:rsidRPr="00085E11">
        <w:t xml:space="preserve">the </w:t>
      </w:r>
      <w:r>
        <w:t xml:space="preserve">expanded authority granted to the Commission by the </w:t>
      </w:r>
      <w:r w:rsidRPr="00085E11">
        <w:t>Martha Wright-Reed Just and Reasonable Communications Act of 2022 (Martha Wright-Reed Act),</w:t>
      </w:r>
      <w:r>
        <w:rPr>
          <w:rStyle w:val="FootnoteReference"/>
        </w:rPr>
        <w:footnoteReference w:id="4"/>
      </w:r>
      <w:r w:rsidRPr="00085E11">
        <w:t xml:space="preserve"> </w:t>
      </w:r>
      <w:r w:rsidRPr="00FB34A3">
        <w:t>adopt</w:t>
      </w:r>
      <w:r>
        <w:t>ing</w:t>
      </w:r>
      <w:r w:rsidRPr="00085E11">
        <w:t xml:space="preserve"> </w:t>
      </w:r>
      <w:r w:rsidR="009C5188">
        <w:t>new rate</w:t>
      </w:r>
      <w:r w:rsidR="00497B95">
        <w:t xml:space="preserve"> cap</w:t>
      </w:r>
      <w:r w:rsidR="009C5188">
        <w:t>s for IPCS</w:t>
      </w:r>
      <w:r w:rsidRPr="00FB34A3">
        <w:t>.</w:t>
      </w:r>
      <w:r>
        <w:rPr>
          <w:rStyle w:val="FootnoteReference"/>
        </w:rPr>
        <w:footnoteReference w:id="5"/>
      </w:r>
      <w:r w:rsidRPr="00FB34A3">
        <w:t xml:space="preserve"> </w:t>
      </w:r>
      <w:r w:rsidRPr="00085E11">
        <w:t xml:space="preserve"> </w:t>
      </w:r>
      <w:r>
        <w:t xml:space="preserve">The </w:t>
      </w:r>
      <w:r w:rsidR="00221407">
        <w:t xml:space="preserve">Martha Wright-Reed </w:t>
      </w:r>
      <w:r>
        <w:t>Act amended the Communications Act of 1934, as amended (Communications Act)</w:t>
      </w:r>
      <w:r w:rsidR="00171FBB">
        <w:t>,</w:t>
      </w:r>
      <w:r>
        <w:t xml:space="preserve"> to require that the Commission “establish a compensation plan to ensure that all [IPCS] providers are fairly compensated</w:t>
      </w:r>
      <w:r w:rsidR="009B301B">
        <w:t>,</w:t>
      </w:r>
      <w:r>
        <w:t xml:space="preserve"> and all rates and charges are just and reasonable</w:t>
      </w:r>
      <w:r w:rsidR="009F4322">
        <w:t>,</w:t>
      </w:r>
      <w:r>
        <w:t xml:space="preserve"> for completed” IPCS communications.</w:t>
      </w:r>
      <w:r>
        <w:rPr>
          <w:rStyle w:val="FootnoteReference"/>
        </w:rPr>
        <w:footnoteReference w:id="6"/>
      </w:r>
      <w:r>
        <w:t xml:space="preserve">  Consistent with this Congressional </w:t>
      </w:r>
      <w:r>
        <w:t xml:space="preserve">mandate, in the </w:t>
      </w:r>
      <w:r>
        <w:rPr>
          <w:i/>
          <w:iCs/>
        </w:rPr>
        <w:t xml:space="preserve">2024 IPCS </w:t>
      </w:r>
      <w:r w:rsidRPr="007E7F54">
        <w:rPr>
          <w:i/>
          <w:iCs/>
        </w:rPr>
        <w:t>Order</w:t>
      </w:r>
      <w:r>
        <w:t>, t</w:t>
      </w:r>
      <w:r w:rsidRPr="00085E11">
        <w:t xml:space="preserve">he Commission </w:t>
      </w:r>
      <w:r w:rsidRPr="00FB34A3">
        <w:t>reduce</w:t>
      </w:r>
      <w:r w:rsidRPr="00085E11">
        <w:t>d</w:t>
      </w:r>
      <w:r w:rsidRPr="00FB34A3">
        <w:t xml:space="preserve"> existing </w:t>
      </w:r>
      <w:r>
        <w:t xml:space="preserve">per-minute </w:t>
      </w:r>
      <w:r w:rsidRPr="00FB34A3">
        <w:t>rate caps for audio</w:t>
      </w:r>
      <w:r w:rsidRPr="00085E11">
        <w:t xml:space="preserve"> </w:t>
      </w:r>
      <w:r w:rsidR="009C5188">
        <w:t>IPCS</w:t>
      </w:r>
      <w:r w:rsidRPr="00FB34A3">
        <w:t>, and establish</w:t>
      </w:r>
      <w:r w:rsidRPr="00085E11">
        <w:t>ed</w:t>
      </w:r>
      <w:r w:rsidRPr="00FB34A3">
        <w:t xml:space="preserve">, for the first time, interim </w:t>
      </w:r>
      <w:r>
        <w:t xml:space="preserve">per-minute </w:t>
      </w:r>
      <w:r w:rsidRPr="00FB34A3">
        <w:t xml:space="preserve">rate caps for video </w:t>
      </w:r>
      <w:r w:rsidR="009C5188">
        <w:t>IPCS</w:t>
      </w:r>
      <w:r>
        <w:t>.</w:t>
      </w:r>
      <w:r>
        <w:rPr>
          <w:rStyle w:val="FootnoteReference"/>
        </w:rPr>
        <w:footnoteReference w:id="7"/>
      </w:r>
      <w:r w:rsidR="00781B28">
        <w:t xml:space="preserve">  </w:t>
      </w:r>
      <w:r w:rsidR="0020539A">
        <w:t>While t</w:t>
      </w:r>
      <w:r w:rsidR="008B6C13">
        <w:t xml:space="preserve">hose </w:t>
      </w:r>
      <w:r w:rsidR="0020539A">
        <w:t xml:space="preserve">rate caps took effect on November 19, 2024, </w:t>
      </w:r>
      <w:r w:rsidR="0052491C">
        <w:t xml:space="preserve">IPCS providers are required to </w:t>
      </w:r>
      <w:r w:rsidR="006B0D72">
        <w:t xml:space="preserve">comply with them </w:t>
      </w:r>
      <w:r w:rsidR="00F958A2">
        <w:t>on a staggered basis</w:t>
      </w:r>
      <w:r w:rsidR="00D61502">
        <w:t xml:space="preserve">, beginning </w:t>
      </w:r>
      <w:r w:rsidR="00807257">
        <w:t xml:space="preserve">as </w:t>
      </w:r>
      <w:r w:rsidR="001521D0">
        <w:t xml:space="preserve">early as </w:t>
      </w:r>
      <w:r w:rsidR="003E39CE">
        <w:t xml:space="preserve">January </w:t>
      </w:r>
      <w:r w:rsidR="00E84C57">
        <w:t xml:space="preserve">1, 2025 and ending no later than </w:t>
      </w:r>
      <w:r w:rsidR="00646107">
        <w:t>April 1, 2026.</w:t>
      </w:r>
      <w:r>
        <w:rPr>
          <w:rStyle w:val="FootnoteReference"/>
        </w:rPr>
        <w:footnoteReference w:id="8"/>
      </w:r>
      <w:r w:rsidR="00646107">
        <w:t xml:space="preserve">  </w:t>
      </w:r>
      <w:r w:rsidR="00781B28">
        <w:t>A</w:t>
      </w:r>
      <w:r w:rsidR="00160DB5">
        <w:t>l</w:t>
      </w:r>
      <w:r w:rsidR="00781B28">
        <w:t>s</w:t>
      </w:r>
      <w:r w:rsidR="00160DB5">
        <w:t>o</w:t>
      </w:r>
      <w:r w:rsidR="00781B28">
        <w:t xml:space="preserve"> </w:t>
      </w:r>
      <w:r w:rsidR="00160DB5">
        <w:t xml:space="preserve">as </w:t>
      </w:r>
      <w:r w:rsidR="00781B28">
        <w:t xml:space="preserve">of November 19, 2024, providers </w:t>
      </w:r>
      <w:r w:rsidR="004F2B96">
        <w:t xml:space="preserve">that choose to offer video IPCS </w:t>
      </w:r>
      <w:r w:rsidR="00781B28">
        <w:t xml:space="preserve">must offer </w:t>
      </w:r>
      <w:r w:rsidR="004F2B96">
        <w:t xml:space="preserve">such </w:t>
      </w:r>
      <w:r w:rsidR="00C64A64">
        <w:t xml:space="preserve">video </w:t>
      </w:r>
      <w:r w:rsidR="00FF4C73">
        <w:t xml:space="preserve">IPCS </w:t>
      </w:r>
      <w:r w:rsidR="00C64A64">
        <w:t>at per-minute rate</w:t>
      </w:r>
      <w:r w:rsidR="0003755B">
        <w:t>s</w:t>
      </w:r>
      <w:r>
        <w:rPr>
          <w:rStyle w:val="FootnoteReference"/>
        </w:rPr>
        <w:footnoteReference w:id="9"/>
      </w:r>
      <w:r w:rsidR="009A487C">
        <w:t xml:space="preserve"> </w:t>
      </w:r>
      <w:r w:rsidR="00160DB5">
        <w:t xml:space="preserve">and </w:t>
      </w:r>
      <w:r w:rsidR="003D59CD">
        <w:t xml:space="preserve">must refrain </w:t>
      </w:r>
      <w:r w:rsidR="00CD68F5">
        <w:t>from imposing per-call, per-connection, or per-communication charge</w:t>
      </w:r>
      <w:r w:rsidR="00EC3732">
        <w:t>s</w:t>
      </w:r>
      <w:r w:rsidR="00CD68F5">
        <w:t xml:space="preserve"> on consumers for any IPCS</w:t>
      </w:r>
      <w:r w:rsidR="00DF65DB">
        <w:t>, including video IPCS</w:t>
      </w:r>
      <w:r w:rsidR="00CD68F5">
        <w:t>.</w:t>
      </w:r>
      <w:r>
        <w:rPr>
          <w:rStyle w:val="FootnoteReference"/>
        </w:rPr>
        <w:footnoteReference w:id="10"/>
      </w:r>
      <w:r w:rsidR="005B2B11">
        <w:t xml:space="preserve">  </w:t>
      </w:r>
    </w:p>
    <w:p w:rsidR="00001939" w:rsidP="00181314" w14:paraId="3A6CD010" w14:textId="742DE000">
      <w:pPr>
        <w:pStyle w:val="ParaNum"/>
        <w:tabs>
          <w:tab w:val="clear" w:pos="1080"/>
        </w:tabs>
      </w:pPr>
      <w:r>
        <w:t xml:space="preserve">On </w:t>
      </w:r>
      <w:r w:rsidR="006827C0">
        <w:t>May 21, 2025</w:t>
      </w:r>
      <w:r>
        <w:t xml:space="preserve">, </w:t>
      </w:r>
      <w:r w:rsidR="006827C0">
        <w:t>TKC</w:t>
      </w:r>
      <w:r>
        <w:t xml:space="preserve"> filed a petition seeking </w:t>
      </w:r>
      <w:r w:rsidR="00DE3A51">
        <w:t>“</w:t>
      </w:r>
      <w:r w:rsidR="00652DEF">
        <w:t xml:space="preserve">a </w:t>
      </w:r>
      <w:r w:rsidR="00DE3A51">
        <w:t xml:space="preserve">temporary </w:t>
      </w:r>
      <w:r w:rsidR="00652DEF">
        <w:t xml:space="preserve">waiver </w:t>
      </w:r>
      <w:r w:rsidR="001A6A43">
        <w:t>of the compliance date</w:t>
      </w:r>
      <w:r w:rsidR="00DE3A51">
        <w:t>[</w:t>
      </w:r>
      <w:r w:rsidR="001A6A43">
        <w:t>s</w:t>
      </w:r>
      <w:r w:rsidR="00DE3A51">
        <w:t>]</w:t>
      </w:r>
      <w:r w:rsidR="001A6A43">
        <w:t xml:space="preserve"> for </w:t>
      </w:r>
      <w:r w:rsidR="004372DA">
        <w:t xml:space="preserve">all of the </w:t>
      </w:r>
      <w:r w:rsidR="00BD2F3B">
        <w:t xml:space="preserve">Commission’s </w:t>
      </w:r>
      <w:r w:rsidR="00DE3A51">
        <w:t xml:space="preserve">new </w:t>
      </w:r>
      <w:r w:rsidR="00BD2F3B">
        <w:t xml:space="preserve">rules </w:t>
      </w:r>
      <w:r w:rsidR="00DE3A51">
        <w:t xml:space="preserve">applicable to the video IPCS </w:t>
      </w:r>
      <w:r w:rsidR="00861988">
        <w:t xml:space="preserve">per-minute pricing </w:t>
      </w:r>
      <w:r w:rsidR="00DE3A51">
        <w:t>requirement</w:t>
      </w:r>
      <w:r w:rsidR="00C1057C">
        <w:t>.</w:t>
      </w:r>
      <w:r w:rsidR="00DE3A51">
        <w:t>”</w:t>
      </w:r>
      <w:r>
        <w:rPr>
          <w:rStyle w:val="FootnoteReference"/>
        </w:rPr>
        <w:footnoteReference w:id="11"/>
      </w:r>
      <w:r w:rsidR="004E0FF3">
        <w:t xml:space="preserve">  </w:t>
      </w:r>
      <w:r w:rsidR="004337D5">
        <w:t>TKC</w:t>
      </w:r>
      <w:r w:rsidR="00513BF1">
        <w:t xml:space="preserve"> </w:t>
      </w:r>
      <w:r w:rsidR="008750F5">
        <w:t xml:space="preserve">contends that </w:t>
      </w:r>
      <w:r w:rsidR="005E6A63">
        <w:t xml:space="preserve">grant of </w:t>
      </w:r>
      <w:r w:rsidR="00466150">
        <w:t>the requested</w:t>
      </w:r>
      <w:r w:rsidR="00A3434D">
        <w:t xml:space="preserve"> waiver is warranted because </w:t>
      </w:r>
      <w:r w:rsidR="00073AA9">
        <w:t>creating the software needed to convert to per-minute pricing is “time-consuming” and “has to be created and tested and users have to be migrated to it” in time to meet multiple compliance deadlines</w:t>
      </w:r>
      <w:r w:rsidR="00A138A7">
        <w:t>.</w:t>
      </w:r>
      <w:r>
        <w:rPr>
          <w:rStyle w:val="FootnoteReference"/>
        </w:rPr>
        <w:footnoteReference w:id="12"/>
      </w:r>
      <w:r w:rsidR="00C52FD8">
        <w:t xml:space="preserve"> </w:t>
      </w:r>
      <w:r w:rsidR="001E5A08">
        <w:t xml:space="preserve"> </w:t>
      </w:r>
      <w:r w:rsidR="005E59AE">
        <w:t xml:space="preserve">TKC </w:t>
      </w:r>
      <w:r w:rsidR="00435BDC">
        <w:t xml:space="preserve">provides </w:t>
      </w:r>
      <w:r w:rsidR="00A26535">
        <w:t>video IPCS using</w:t>
      </w:r>
      <w:r w:rsidR="00F256C6">
        <w:t xml:space="preserve"> a </w:t>
      </w:r>
      <w:r w:rsidR="00604D02">
        <w:t xml:space="preserve">software </w:t>
      </w:r>
      <w:r w:rsidR="00F256C6">
        <w:t xml:space="preserve">platform </w:t>
      </w:r>
      <w:r w:rsidR="009316F6">
        <w:t>called TEAM</w:t>
      </w:r>
      <w:r w:rsidR="009F6CAD">
        <w:t>.</w:t>
      </w:r>
      <w:r>
        <w:rPr>
          <w:rStyle w:val="FootnoteReference"/>
        </w:rPr>
        <w:footnoteReference w:id="13"/>
      </w:r>
      <w:r w:rsidR="004E662F">
        <w:t xml:space="preserve">  Acc</w:t>
      </w:r>
      <w:r w:rsidR="00C0672F">
        <w:t>ording to TKC,</w:t>
      </w:r>
      <w:r w:rsidR="001F2049">
        <w:t xml:space="preserve"> </w:t>
      </w:r>
      <w:r w:rsidR="00C63B87">
        <w:t>upgrad</w:t>
      </w:r>
      <w:r w:rsidR="00E02BC7">
        <w:t>ing</w:t>
      </w:r>
      <w:r w:rsidR="00C63B87">
        <w:t xml:space="preserve"> </w:t>
      </w:r>
      <w:r w:rsidR="00FF18BD">
        <w:t xml:space="preserve">TEAM to </w:t>
      </w:r>
      <w:r w:rsidR="00E6051B">
        <w:t xml:space="preserve">comply with </w:t>
      </w:r>
      <w:r w:rsidR="0040285B">
        <w:t xml:space="preserve">the new </w:t>
      </w:r>
      <w:r w:rsidR="00735BF9">
        <w:t>per-minute pricing</w:t>
      </w:r>
      <w:r w:rsidR="00E6051B">
        <w:t xml:space="preserve"> rules</w:t>
      </w:r>
      <w:r w:rsidR="00200338">
        <w:t xml:space="preserve"> for video IPCS </w:t>
      </w:r>
      <w:r w:rsidR="00E02BC7">
        <w:t>is complicated by the fact that it must meet “essentially three different [compliance] dates depending on the status of the contracts between the IPCS [provider] and the correctional facility” which “necessitates TurnKey to modify and maintain at least three different versions of the software.”</w:t>
      </w:r>
      <w:r>
        <w:rPr>
          <w:rStyle w:val="FootnoteReference"/>
        </w:rPr>
        <w:footnoteReference w:id="14"/>
      </w:r>
      <w:r w:rsidR="00BA32A6">
        <w:t xml:space="preserve"> </w:t>
      </w:r>
      <w:r w:rsidR="00192ED7">
        <w:t xml:space="preserve"> </w:t>
      </w:r>
      <w:r w:rsidR="00BA32A6">
        <w:t xml:space="preserve">TKC estimates it will not be able to complete all the necessary </w:t>
      </w:r>
      <w:r w:rsidR="008C0CD0">
        <w:t>upgrades</w:t>
      </w:r>
      <w:r w:rsidR="00BA32A6">
        <w:t xml:space="preserve"> “until April 1, 2026, at the earliest” and therefore seeks a waiver until that date.</w:t>
      </w:r>
      <w:r>
        <w:rPr>
          <w:rStyle w:val="FootnoteReference"/>
        </w:rPr>
        <w:footnoteReference w:id="15"/>
      </w:r>
      <w:r w:rsidR="00BA32A6">
        <w:t xml:space="preserve">  </w:t>
      </w:r>
    </w:p>
    <w:p w:rsidR="00A7044B" w:rsidP="00181314" w14:paraId="7184E5B9" w14:textId="20F9CC71">
      <w:pPr>
        <w:pStyle w:val="ParaNum"/>
        <w:tabs>
          <w:tab w:val="clear" w:pos="1080"/>
        </w:tabs>
      </w:pPr>
      <w:r>
        <w:t>TKC offers</w:t>
      </w:r>
      <w:r w:rsidR="008A35A5">
        <w:t xml:space="preserve"> three principal reasons why good cause exists to grant the waiver.  First, TKC </w:t>
      </w:r>
      <w:r w:rsidR="009E3E55">
        <w:t xml:space="preserve">argues that </w:t>
      </w:r>
      <w:r w:rsidR="003607B5">
        <w:t xml:space="preserve">the </w:t>
      </w:r>
      <w:r w:rsidR="004B1B3B">
        <w:t xml:space="preserve">staggered compliance deadlines for </w:t>
      </w:r>
      <w:r w:rsidR="009A3221">
        <w:t xml:space="preserve">video </w:t>
      </w:r>
      <w:r w:rsidR="00AB3F3D">
        <w:t xml:space="preserve">IPCS </w:t>
      </w:r>
      <w:r w:rsidR="005D2C63">
        <w:t xml:space="preserve">in effect </w:t>
      </w:r>
      <w:r w:rsidR="0074506F">
        <w:t>“</w:t>
      </w:r>
      <w:r w:rsidRPr="0074506F" w:rsidR="0074506F">
        <w:t>create</w:t>
      </w:r>
      <w:r w:rsidR="007B2A7D">
        <w:t>[]</w:t>
      </w:r>
      <w:r w:rsidRPr="0074506F" w:rsidR="0074506F">
        <w:t xml:space="preserve"> a hardship, because there is inadequate time</w:t>
      </w:r>
      <w:r w:rsidR="00A15864">
        <w:t xml:space="preserve">” to upgrade </w:t>
      </w:r>
      <w:r w:rsidR="003C12C4">
        <w:t xml:space="preserve">TEAM </w:t>
      </w:r>
      <w:r w:rsidR="004F2DBA">
        <w:t xml:space="preserve">to </w:t>
      </w:r>
      <w:r w:rsidR="00A922FB">
        <w:t xml:space="preserve">meet the </w:t>
      </w:r>
      <w:r w:rsidR="003B73C7">
        <w:t xml:space="preserve">varying </w:t>
      </w:r>
      <w:r w:rsidR="00A922FB">
        <w:t xml:space="preserve">compliance deadlines for </w:t>
      </w:r>
      <w:r w:rsidR="007171B8">
        <w:t>per-minute video IPCS pricing</w:t>
      </w:r>
      <w:r w:rsidR="003A2FBC">
        <w:t>.</w:t>
      </w:r>
      <w:r>
        <w:rPr>
          <w:rStyle w:val="FootnoteReference"/>
        </w:rPr>
        <w:footnoteReference w:id="16"/>
      </w:r>
      <w:r w:rsidR="00F775B0">
        <w:t xml:space="preserve">  </w:t>
      </w:r>
      <w:r w:rsidR="00F43029">
        <w:t>T</w:t>
      </w:r>
      <w:r w:rsidR="00534D90">
        <w:t xml:space="preserve">KC </w:t>
      </w:r>
      <w:r w:rsidR="00576DE1">
        <w:t xml:space="preserve">maintains that </w:t>
      </w:r>
      <w:r w:rsidR="00760015">
        <w:t>TEAM “</w:t>
      </w:r>
      <w:r w:rsidRPr="00760015" w:rsidR="00760015">
        <w:t>must be totally reengineered</w:t>
      </w:r>
      <w:r w:rsidR="00DF77FC">
        <w:t>”</w:t>
      </w:r>
      <w:r w:rsidRPr="00760015" w:rsidR="00760015">
        <w:t xml:space="preserve"> to</w:t>
      </w:r>
      <w:r w:rsidR="00DF77FC">
        <w:t xml:space="preserve"> </w:t>
      </w:r>
      <w:r w:rsidR="003D592C">
        <w:t>“</w:t>
      </w:r>
      <w:r w:rsidRPr="00760015" w:rsidR="00760015">
        <w:t>incorporate on a real time basis the fees and taxes associated with</w:t>
      </w:r>
      <w:r w:rsidR="00760015">
        <w:t>” video IP</w:t>
      </w:r>
      <w:r w:rsidR="00A37FD7">
        <w:t>CS, among other updates.</w:t>
      </w:r>
      <w:r>
        <w:rPr>
          <w:rStyle w:val="FootnoteReference"/>
        </w:rPr>
        <w:footnoteReference w:id="17"/>
      </w:r>
      <w:r w:rsidR="003F329C">
        <w:t xml:space="preserve">  </w:t>
      </w:r>
      <w:r w:rsidR="00F43C72">
        <w:t xml:space="preserve">Second, TKC </w:t>
      </w:r>
      <w:r w:rsidR="00B346B6">
        <w:t xml:space="preserve">argues </w:t>
      </w:r>
      <w:r w:rsidR="00B346B6">
        <w:t xml:space="preserve">that </w:t>
      </w:r>
      <w:r w:rsidR="00B4772F">
        <w:t>the waiver granted to Securus</w:t>
      </w:r>
      <w:r w:rsidR="00052539">
        <w:t xml:space="preserve"> Technologies, LLC</w:t>
      </w:r>
      <w:r>
        <w:rPr>
          <w:rStyle w:val="FootnoteReference"/>
        </w:rPr>
        <w:footnoteReference w:id="18"/>
      </w:r>
      <w:r w:rsidR="00B4772F">
        <w:t xml:space="preserve"> </w:t>
      </w:r>
      <w:r w:rsidR="007740D9">
        <w:t xml:space="preserve">“gives Securus a competitive advantage” </w:t>
      </w:r>
      <w:r w:rsidR="00317A14">
        <w:t xml:space="preserve">over </w:t>
      </w:r>
      <w:r w:rsidR="00664FD8">
        <w:t xml:space="preserve">TKC </w:t>
      </w:r>
      <w:r w:rsidR="00317A14">
        <w:t xml:space="preserve">and </w:t>
      </w:r>
      <w:r w:rsidR="007740D9">
        <w:t xml:space="preserve">the “resulting inequity </w:t>
      </w:r>
      <w:r w:rsidR="00317A14">
        <w:t xml:space="preserve">is </w:t>
      </w:r>
      <w:r w:rsidR="007740D9">
        <w:t>good cause for granting</w:t>
      </w:r>
      <w:r w:rsidR="00317A14">
        <w:t>”</w:t>
      </w:r>
      <w:r w:rsidR="007740D9">
        <w:t xml:space="preserve"> the Petition.</w:t>
      </w:r>
      <w:r>
        <w:rPr>
          <w:rStyle w:val="FootnoteReference"/>
        </w:rPr>
        <w:footnoteReference w:id="19"/>
      </w:r>
      <w:r w:rsidR="001D29C4">
        <w:t xml:space="preserve">  Consequently, </w:t>
      </w:r>
      <w:r w:rsidR="00EC5BD8">
        <w:t xml:space="preserve">it asserts </w:t>
      </w:r>
      <w:r w:rsidR="00687C4D">
        <w:t>“</w:t>
      </w:r>
      <w:r w:rsidRPr="00687C4D" w:rsidR="00687C4D">
        <w:t>equity weighs in favor of a temporary waiver</w:t>
      </w:r>
      <w:r w:rsidR="00687C4D">
        <w:t>.”</w:t>
      </w:r>
      <w:r>
        <w:rPr>
          <w:rStyle w:val="FootnoteReference"/>
        </w:rPr>
        <w:footnoteReference w:id="20"/>
      </w:r>
      <w:r w:rsidR="003F329C">
        <w:t xml:space="preserve">  </w:t>
      </w:r>
      <w:r w:rsidR="001D3E63">
        <w:t xml:space="preserve">Finally, TKC contends that </w:t>
      </w:r>
      <w:r w:rsidR="00317A14">
        <w:t xml:space="preserve">granting a </w:t>
      </w:r>
      <w:r w:rsidR="00D918FA">
        <w:t xml:space="preserve">waiver </w:t>
      </w:r>
      <w:r w:rsidR="00C52A58">
        <w:t xml:space="preserve">will allow </w:t>
      </w:r>
      <w:r w:rsidR="008C0368">
        <w:t>it</w:t>
      </w:r>
      <w:r w:rsidR="00C52A58">
        <w:t xml:space="preserve"> to more efficiently implement </w:t>
      </w:r>
      <w:r w:rsidR="004C45FC">
        <w:t xml:space="preserve">the video IPCS rules, </w:t>
      </w:r>
      <w:r w:rsidR="000B4010">
        <w:t xml:space="preserve">avoiding </w:t>
      </w:r>
      <w:r w:rsidR="00674AC5">
        <w:t xml:space="preserve">the need </w:t>
      </w:r>
      <w:r w:rsidR="00A92BBF">
        <w:t>to “</w:t>
      </w:r>
      <w:r w:rsidRPr="00D918FA" w:rsidR="00D918FA">
        <w:t>operate multiple versions of its software – one for each new, expiring, and existing contract</w:t>
      </w:r>
      <w:r w:rsidR="007A4047">
        <w:t>[]</w:t>
      </w:r>
      <w:r w:rsidR="001F46E7">
        <w:t>.</w:t>
      </w:r>
      <w:r w:rsidR="00A92BBF">
        <w:t>”</w:t>
      </w:r>
      <w:r>
        <w:rPr>
          <w:rStyle w:val="FootnoteReference"/>
        </w:rPr>
        <w:footnoteReference w:id="21"/>
      </w:r>
      <w:r w:rsidR="00D918FA">
        <w:t xml:space="preserve">  </w:t>
      </w:r>
      <w:r w:rsidR="001320F7">
        <w:t xml:space="preserve">Consequently, </w:t>
      </w:r>
      <w:r w:rsidR="000A4228">
        <w:t xml:space="preserve">TKC argues that a waiver </w:t>
      </w:r>
      <w:r w:rsidR="0011241B">
        <w:t xml:space="preserve">setting </w:t>
      </w:r>
      <w:r w:rsidR="00BD790D">
        <w:t xml:space="preserve">a single </w:t>
      </w:r>
      <w:r w:rsidR="00976814">
        <w:t xml:space="preserve">compliance </w:t>
      </w:r>
      <w:r w:rsidR="00BD790D">
        <w:t xml:space="preserve">date </w:t>
      </w:r>
      <w:r w:rsidR="00DD6AB9">
        <w:t xml:space="preserve">applicable to </w:t>
      </w:r>
      <w:r w:rsidR="00672E41">
        <w:t xml:space="preserve">all </w:t>
      </w:r>
      <w:r w:rsidR="00210612">
        <w:t xml:space="preserve">of </w:t>
      </w:r>
      <w:r w:rsidR="00CD4D82">
        <w:t>its</w:t>
      </w:r>
      <w:r w:rsidR="00672E41">
        <w:t xml:space="preserve"> </w:t>
      </w:r>
      <w:r w:rsidR="00AD71C9">
        <w:t xml:space="preserve">video </w:t>
      </w:r>
      <w:r w:rsidR="00672E41">
        <w:t xml:space="preserve">IPCS </w:t>
      </w:r>
      <w:r w:rsidR="00AD71C9">
        <w:t xml:space="preserve">offerings </w:t>
      </w:r>
      <w:r w:rsidR="00317A14">
        <w:t xml:space="preserve">“will allow for a </w:t>
      </w:r>
      <w:r w:rsidR="00F578B8">
        <w:t xml:space="preserve">more </w:t>
      </w:r>
      <w:r w:rsidR="00387A86">
        <w:t>effective</w:t>
      </w:r>
      <w:r w:rsidR="00317A14">
        <w:t xml:space="preserve"> implementation of the new video IPCS rules</w:t>
      </w:r>
      <w:r w:rsidR="00AD71C9">
        <w:t>,</w:t>
      </w:r>
      <w:r w:rsidR="00317A14">
        <w:t>”</w:t>
      </w:r>
      <w:r w:rsidR="00AD71C9">
        <w:t xml:space="preserve"> while also reducing consumer confusion.</w:t>
      </w:r>
      <w:r>
        <w:rPr>
          <w:rStyle w:val="FootnoteReference"/>
        </w:rPr>
        <w:footnoteReference w:id="22"/>
      </w:r>
      <w:r w:rsidR="00033F84">
        <w:t xml:space="preserve"> </w:t>
      </w:r>
      <w:r w:rsidR="00A31216">
        <w:t xml:space="preserve"> </w:t>
      </w:r>
    </w:p>
    <w:p w:rsidR="004B5A15" w:rsidP="0021044A" w14:paraId="6CE8A15A" w14:textId="5B3FEB12">
      <w:pPr>
        <w:pStyle w:val="Heading1"/>
      </w:pPr>
      <w:r>
        <w:t>discussion</w:t>
      </w:r>
    </w:p>
    <w:p w:rsidR="00CE1C14" w:rsidP="00181314" w14:paraId="0B019C2C" w14:textId="5D06C95C">
      <w:pPr>
        <w:pStyle w:val="ParaNum"/>
        <w:tabs>
          <w:tab w:val="clear" w:pos="1080"/>
        </w:tabs>
      </w:pPr>
      <w:r>
        <w:t xml:space="preserve">We find good cause to waive </w:t>
      </w:r>
      <w:r w:rsidR="00553272">
        <w:t>until April 1, 2026</w:t>
      </w:r>
      <w:r>
        <w:t xml:space="preserve"> the Commission’s </w:t>
      </w:r>
      <w:r w:rsidR="00BA7F8C">
        <w:t xml:space="preserve">rate cap compliance </w:t>
      </w:r>
      <w:r w:rsidR="0082170B">
        <w:t>deadlines</w:t>
      </w:r>
      <w:r w:rsidR="00160943">
        <w:t xml:space="preserve"> and per-minute pricing rule</w:t>
      </w:r>
      <w:r w:rsidR="0082170B">
        <w:t xml:space="preserve"> </w:t>
      </w:r>
      <w:r w:rsidR="008145E6">
        <w:t xml:space="preserve">as they apply to </w:t>
      </w:r>
      <w:r w:rsidR="00B55CE5">
        <w:t xml:space="preserve">the </w:t>
      </w:r>
      <w:r w:rsidR="008145E6">
        <w:t>video IPCS</w:t>
      </w:r>
      <w:r w:rsidR="00B55CE5">
        <w:t xml:space="preserve"> provided by TKC and its affiliated companies</w:t>
      </w:r>
      <w:r w:rsidR="008145E6">
        <w:t>.</w:t>
      </w:r>
      <w:r>
        <w:rPr>
          <w:rStyle w:val="FootnoteReference"/>
        </w:rPr>
        <w:footnoteReference w:id="23"/>
      </w:r>
      <w:r w:rsidR="008145E6">
        <w:t xml:space="preserve">  The Commission may waive its rules “on its own motion or on petition” for good cause shown.</w:t>
      </w:r>
      <w:r>
        <w:rPr>
          <w:rStyle w:val="FootnoteReference"/>
        </w:rPr>
        <w:footnoteReference w:id="24"/>
      </w:r>
      <w:r w:rsidR="008145E6">
        <w:t xml:space="preserve">  The Commission may exercise its discretion to waive a rule where the particular facts make strict compliance inconsistent with the public interest.</w:t>
      </w:r>
      <w:r>
        <w:rPr>
          <w:rStyle w:val="FootnoteReference"/>
        </w:rPr>
        <w:footnoteReference w:id="25"/>
      </w:r>
      <w:r w:rsidR="008145E6">
        <w:t xml:space="preserve">  In addition, the Commission may take into account considerations of hardship, equity, or more effective implementation of overall policy on an individual basis.</w:t>
      </w:r>
      <w:r>
        <w:rPr>
          <w:rStyle w:val="FootnoteReference"/>
        </w:rPr>
        <w:footnoteReference w:id="26"/>
      </w:r>
      <w:r w:rsidR="008145E6">
        <w:t xml:space="preserve">  Waiver of the Commission’s rules is appropriate if both (i)</w:t>
      </w:r>
      <w:r w:rsidR="007308FC">
        <w:t> </w:t>
      </w:r>
      <w:r w:rsidR="008145E6">
        <w:t>special circumstances warrant a deviation from the general rule and (ii) such deviation will serve the public interest.</w:t>
      </w:r>
      <w:r>
        <w:rPr>
          <w:rStyle w:val="FootnoteReference"/>
        </w:rPr>
        <w:footnoteReference w:id="27"/>
      </w:r>
    </w:p>
    <w:p w:rsidR="000F1667" w:rsidP="00181314" w14:paraId="61DB512C" w14:textId="401F322E">
      <w:pPr>
        <w:pStyle w:val="ParaNum"/>
        <w:tabs>
          <w:tab w:val="clear" w:pos="1080"/>
        </w:tabs>
      </w:pPr>
      <w:r>
        <w:t xml:space="preserve">First, we find that TKC has demonstrated that its waiver request presents special circumstances that warrant a deviation from </w:t>
      </w:r>
      <w:r w:rsidR="004223CE">
        <w:t xml:space="preserve">the Commission’s rate cap compliance </w:t>
      </w:r>
      <w:r w:rsidR="0082170B">
        <w:t>deadlines</w:t>
      </w:r>
      <w:r w:rsidR="008E1E92">
        <w:t xml:space="preserve"> and per-minute pricing </w:t>
      </w:r>
      <w:r>
        <w:t>rule</w:t>
      </w:r>
      <w:r w:rsidR="004223CE">
        <w:t xml:space="preserve"> for video IPCS</w:t>
      </w:r>
      <w:r>
        <w:t xml:space="preserve">.  </w:t>
      </w:r>
      <w:r w:rsidR="002579CD">
        <w:t>As TKC explains,</w:t>
      </w:r>
      <w:r w:rsidR="0074375D">
        <w:t xml:space="preserve"> </w:t>
      </w:r>
      <w:r w:rsidR="009C29CA">
        <w:t>despite its best efforts to complete the necessary engineering and software upgrade work on its billing platform, it</w:t>
      </w:r>
      <w:r w:rsidR="00ED4D70">
        <w:t>s</w:t>
      </w:r>
      <w:r w:rsidR="009C1D15">
        <w:t xml:space="preserve"> </w:t>
      </w:r>
      <w:r w:rsidR="00ED4D70">
        <w:t xml:space="preserve">platform </w:t>
      </w:r>
      <w:r w:rsidR="009C1D15">
        <w:t xml:space="preserve">is not presently capable of </w:t>
      </w:r>
      <w:r w:rsidR="00D93BB9">
        <w:t xml:space="preserve">applying the correct fees and </w:t>
      </w:r>
      <w:r w:rsidR="00E522B6">
        <w:t>taxes</w:t>
      </w:r>
      <w:r w:rsidR="00D93BB9">
        <w:t xml:space="preserve"> </w:t>
      </w:r>
      <w:r w:rsidR="009B6463">
        <w:t>for</w:t>
      </w:r>
      <w:r w:rsidR="009C29CA">
        <w:t xml:space="preserve"> video IPCS</w:t>
      </w:r>
      <w:r w:rsidR="007C675A">
        <w:t xml:space="preserve"> </w:t>
      </w:r>
      <w:r w:rsidR="00BE2483">
        <w:t xml:space="preserve">needed </w:t>
      </w:r>
      <w:r w:rsidR="009B6463">
        <w:t>to comply with</w:t>
      </w:r>
      <w:r w:rsidR="007C675A">
        <w:t xml:space="preserve"> the Commission’s rules.</w:t>
      </w:r>
      <w:r>
        <w:rPr>
          <w:rStyle w:val="FootnoteReference"/>
        </w:rPr>
        <w:footnoteReference w:id="28"/>
      </w:r>
      <w:r w:rsidR="009C1D15">
        <w:t xml:space="preserve"> </w:t>
      </w:r>
      <w:r w:rsidR="009B4AFE">
        <w:t xml:space="preserve"> The development of this capability is further complicated </w:t>
      </w:r>
      <w:r w:rsidR="00530A52">
        <w:t xml:space="preserve">by the need to adjust </w:t>
      </w:r>
      <w:r w:rsidR="00505998">
        <w:t xml:space="preserve">the applicable rates (and </w:t>
      </w:r>
      <w:r w:rsidR="00E522B6">
        <w:t>related fees and taxes</w:t>
      </w:r>
      <w:r w:rsidR="00505998">
        <w:t>)</w:t>
      </w:r>
      <w:r w:rsidR="00530A52">
        <w:t xml:space="preserve"> on a staggered basis</w:t>
      </w:r>
      <w:r w:rsidR="00505998">
        <w:t xml:space="preserve"> to comply with the </w:t>
      </w:r>
      <w:r w:rsidR="00530A52">
        <w:t>varying</w:t>
      </w:r>
      <w:r w:rsidR="00505998">
        <w:t xml:space="preserve"> </w:t>
      </w:r>
      <w:r w:rsidR="002A2F14">
        <w:t>deadlines for implementing the new rate caps.</w:t>
      </w:r>
      <w:r>
        <w:rPr>
          <w:rStyle w:val="FootnoteReference"/>
        </w:rPr>
        <w:footnoteReference w:id="29"/>
      </w:r>
      <w:r w:rsidR="0092749C">
        <w:t xml:space="preserve"> </w:t>
      </w:r>
      <w:r w:rsidR="00EC2FA5">
        <w:t xml:space="preserve"> </w:t>
      </w:r>
      <w:r w:rsidR="00C940CA">
        <w:t xml:space="preserve">That is, </w:t>
      </w:r>
      <w:r w:rsidR="003E4211">
        <w:t>TKC</w:t>
      </w:r>
      <w:r w:rsidR="00B92955">
        <w:t xml:space="preserve"> </w:t>
      </w:r>
      <w:r w:rsidR="00936A47">
        <w:t xml:space="preserve">must maintain </w:t>
      </w:r>
      <w:r w:rsidR="003E4211">
        <w:t xml:space="preserve">its </w:t>
      </w:r>
      <w:r w:rsidR="00936A47">
        <w:t xml:space="preserve">existing systems </w:t>
      </w:r>
      <w:r w:rsidR="00746E69">
        <w:t>even as it</w:t>
      </w:r>
      <w:r w:rsidR="00936A47">
        <w:t xml:space="preserve"> develop</w:t>
      </w:r>
      <w:r w:rsidR="00746E69">
        <w:t>s and deploys</w:t>
      </w:r>
      <w:r w:rsidR="00936A47">
        <w:t xml:space="preserve"> new systems that comply with the new rate cap rules, in order to keep to its contractual commitments.</w:t>
      </w:r>
      <w:r>
        <w:rPr>
          <w:rStyle w:val="FootnoteReference"/>
        </w:rPr>
        <w:footnoteReference w:id="30"/>
      </w:r>
      <w:r w:rsidR="001B58AB">
        <w:t xml:space="preserve">  </w:t>
      </w:r>
      <w:r w:rsidR="002E50BA">
        <w:t xml:space="preserve">We </w:t>
      </w:r>
      <w:r w:rsidR="002E50BA">
        <w:t>find</w:t>
      </w:r>
      <w:r w:rsidR="00BB16F3">
        <w:t xml:space="preserve"> that </w:t>
      </w:r>
      <w:r w:rsidR="00093EC0">
        <w:t>these</w:t>
      </w:r>
      <w:r w:rsidR="002E50BA">
        <w:t xml:space="preserve"> </w:t>
      </w:r>
      <w:r w:rsidR="00EB0F39">
        <w:t xml:space="preserve">circumstances </w:t>
      </w:r>
      <w:r w:rsidR="0042602B">
        <w:t>constitute</w:t>
      </w:r>
      <w:r w:rsidR="001F50FD">
        <w:t xml:space="preserve"> special circumstances meet</w:t>
      </w:r>
      <w:r w:rsidR="0042602B">
        <w:t>ing</w:t>
      </w:r>
      <w:r w:rsidR="001F50FD">
        <w:t xml:space="preserve"> the first prong of </w:t>
      </w:r>
      <w:r w:rsidR="00DB0BF9">
        <w:t xml:space="preserve">the </w:t>
      </w:r>
      <w:r w:rsidR="00D427A0">
        <w:t>waiver standard</w:t>
      </w:r>
      <w:r w:rsidR="001F50FD">
        <w:t xml:space="preserve">.  </w:t>
      </w:r>
    </w:p>
    <w:p w:rsidR="00AC0F2E" w:rsidP="00181314" w14:paraId="5B6FF74B" w14:textId="216FB987">
      <w:pPr>
        <w:pStyle w:val="ParaNum"/>
        <w:tabs>
          <w:tab w:val="clear" w:pos="1080"/>
        </w:tabs>
      </w:pPr>
      <w:r>
        <w:t>Second,</w:t>
      </w:r>
      <w:r>
        <w:t xml:space="preserve"> considerations of equity </w:t>
      </w:r>
      <w:r w:rsidR="00947E89">
        <w:t xml:space="preserve">further </w:t>
      </w:r>
      <w:r w:rsidR="00EC5BD8">
        <w:t xml:space="preserve">demonstrate </w:t>
      </w:r>
      <w:r w:rsidR="00E86209">
        <w:t xml:space="preserve">good cause for granting a waiver of the </w:t>
      </w:r>
      <w:r w:rsidR="009C4184">
        <w:t xml:space="preserve">Commission’s rules in this instance.  </w:t>
      </w:r>
      <w:r w:rsidR="00052539">
        <w:t xml:space="preserve">The </w:t>
      </w:r>
      <w:r w:rsidR="004211D1">
        <w:t>Bureau</w:t>
      </w:r>
      <w:r w:rsidR="00052539">
        <w:t xml:space="preserve"> previously granted a waiver of the same </w:t>
      </w:r>
      <w:r w:rsidR="00EC5BD8">
        <w:t xml:space="preserve">video IPCS </w:t>
      </w:r>
      <w:r w:rsidR="00052539">
        <w:t xml:space="preserve">per-minute pricing rules to Securus </w:t>
      </w:r>
      <w:r w:rsidR="00573472">
        <w:t>on substantially similar grounds</w:t>
      </w:r>
      <w:r w:rsidR="00C12DC0">
        <w:t>.</w:t>
      </w:r>
      <w:r>
        <w:rPr>
          <w:rStyle w:val="FootnoteReference"/>
        </w:rPr>
        <w:footnoteReference w:id="31"/>
      </w:r>
      <w:r w:rsidR="00203B9B">
        <w:t xml:space="preserve">  </w:t>
      </w:r>
      <w:r w:rsidR="001F3FFB">
        <w:t>Specifically</w:t>
      </w:r>
      <w:r w:rsidR="00EF61DF">
        <w:t>, t</w:t>
      </w:r>
      <w:r w:rsidR="007B4D44">
        <w:t xml:space="preserve">he </w:t>
      </w:r>
      <w:r w:rsidR="004211D1">
        <w:t>Bureau</w:t>
      </w:r>
      <w:r w:rsidR="007B4D44">
        <w:t xml:space="preserve"> found that </w:t>
      </w:r>
      <w:r w:rsidR="005E12D5">
        <w:t xml:space="preserve">Securus’s </w:t>
      </w:r>
      <w:r w:rsidR="002074AC">
        <w:t xml:space="preserve">software engineering challenges and contract renegotiation obligations </w:t>
      </w:r>
      <w:r w:rsidR="007B4D44">
        <w:t xml:space="preserve">“ constitute[d] special circumstances meeting the first prong of </w:t>
      </w:r>
      <w:r w:rsidR="00DD0307">
        <w:t xml:space="preserve">the </w:t>
      </w:r>
      <w:r w:rsidR="007B4D44">
        <w:t>waiver standard.”</w:t>
      </w:r>
      <w:r>
        <w:rPr>
          <w:rStyle w:val="FootnoteReference"/>
        </w:rPr>
        <w:footnoteReference w:id="32"/>
      </w:r>
      <w:r w:rsidR="007B4D44">
        <w:t xml:space="preserve">  </w:t>
      </w:r>
      <w:r w:rsidR="00E37072">
        <w:t xml:space="preserve">Given the similar challenges </w:t>
      </w:r>
      <w:r w:rsidR="001A3BFB">
        <w:t>faced by TKC</w:t>
      </w:r>
      <w:r w:rsidR="008B1B3F">
        <w:t xml:space="preserve">, as well as the </w:t>
      </w:r>
      <w:r w:rsidR="004211D1">
        <w:t>lesser resources</w:t>
      </w:r>
      <w:r w:rsidR="001A3BFB">
        <w:t xml:space="preserve"> </w:t>
      </w:r>
      <w:r w:rsidR="004211D1">
        <w:t xml:space="preserve">available to TKC to </w:t>
      </w:r>
      <w:r w:rsidR="00A56B3C">
        <w:t>implement the necessary updates to its billing system,</w:t>
      </w:r>
      <w:r>
        <w:rPr>
          <w:rStyle w:val="FootnoteReference"/>
        </w:rPr>
        <w:footnoteReference w:id="33"/>
      </w:r>
      <w:r w:rsidR="00203B9B">
        <w:t xml:space="preserve"> considerations of equity also weigh in favor of granting the requested waiver.</w:t>
      </w:r>
    </w:p>
    <w:p w:rsidR="000F2861" w:rsidP="00181314" w14:paraId="57485E95" w14:textId="16757174">
      <w:pPr>
        <w:pStyle w:val="ParaNum"/>
        <w:tabs>
          <w:tab w:val="clear" w:pos="1080"/>
        </w:tabs>
      </w:pPr>
      <w:r>
        <w:t>Finally,</w:t>
      </w:r>
      <w:r w:rsidR="008F6699">
        <w:t xml:space="preserve"> </w:t>
      </w:r>
      <w:r w:rsidR="00DF7F44">
        <w:t xml:space="preserve">we find that </w:t>
      </w:r>
      <w:r w:rsidR="008F6699">
        <w:t xml:space="preserve">a </w:t>
      </w:r>
      <w:r w:rsidR="00054E42">
        <w:t xml:space="preserve">temporary </w:t>
      </w:r>
      <w:r w:rsidR="008F6699">
        <w:t xml:space="preserve">waiver of the </w:t>
      </w:r>
      <w:r w:rsidR="003214EA">
        <w:t>compliance date</w:t>
      </w:r>
      <w:r w:rsidR="00992AC5">
        <w:t>s</w:t>
      </w:r>
      <w:r w:rsidR="003214EA">
        <w:t xml:space="preserve"> </w:t>
      </w:r>
      <w:r w:rsidR="00D0086F">
        <w:t xml:space="preserve">and </w:t>
      </w:r>
      <w:r w:rsidR="003214EA">
        <w:t xml:space="preserve">the </w:t>
      </w:r>
      <w:r w:rsidR="008F6699">
        <w:t xml:space="preserve">per-minute </w:t>
      </w:r>
      <w:r w:rsidR="004413AD">
        <w:t xml:space="preserve">pricing rules for </w:t>
      </w:r>
      <w:r w:rsidR="008B3B17">
        <w:t xml:space="preserve">the </w:t>
      </w:r>
      <w:r w:rsidR="003214EA">
        <w:t xml:space="preserve">video IPCS </w:t>
      </w:r>
      <w:r w:rsidR="008B3B17">
        <w:t xml:space="preserve">provided by TKC and its affiliated companies </w:t>
      </w:r>
      <w:r w:rsidR="008F6699">
        <w:t xml:space="preserve">will serve the public interest.  </w:t>
      </w:r>
      <w:r w:rsidR="00F55D57">
        <w:t>The availability of IPCS—including video IPCS—brings many “wide-ranging and well-documented” benefits to incarcerated people and their loved ones.</w:t>
      </w:r>
      <w:r>
        <w:rPr>
          <w:rStyle w:val="FootnoteReference"/>
        </w:rPr>
        <w:footnoteReference w:id="34"/>
      </w:r>
      <w:r w:rsidR="00F55D57">
        <w:t xml:space="preserve">  </w:t>
      </w:r>
      <w:r w:rsidR="00471CDE">
        <w:t xml:space="preserve">TKC </w:t>
      </w:r>
      <w:r w:rsidR="00F55323">
        <w:t xml:space="preserve">argues </w:t>
      </w:r>
      <w:r w:rsidR="00471CDE">
        <w:t xml:space="preserve">that </w:t>
      </w:r>
      <w:r w:rsidR="006C0A7E">
        <w:t xml:space="preserve">because it may be unable to </w:t>
      </w:r>
      <w:r w:rsidR="00204174">
        <w:t>comply with both its contractual obligations and the new rate cap rules</w:t>
      </w:r>
      <w:r w:rsidR="006C0A7E">
        <w:t xml:space="preserve">, it may not be able to provide </w:t>
      </w:r>
      <w:r w:rsidR="00A2409F">
        <w:t>video IPCS</w:t>
      </w:r>
      <w:r w:rsidR="00B9076A">
        <w:t xml:space="preserve"> </w:t>
      </w:r>
      <w:r w:rsidR="00F67A4C">
        <w:t>in the absence of a waiver</w:t>
      </w:r>
      <w:r w:rsidR="003D4271">
        <w:t>.</w:t>
      </w:r>
      <w:r>
        <w:rPr>
          <w:rStyle w:val="FootnoteReference"/>
        </w:rPr>
        <w:footnoteReference w:id="35"/>
      </w:r>
      <w:r w:rsidR="00C7791E">
        <w:t xml:space="preserve">  </w:t>
      </w:r>
      <w:r w:rsidR="002B64C7">
        <w:t>W</w:t>
      </w:r>
      <w:r w:rsidR="00062219">
        <w:t xml:space="preserve">e </w:t>
      </w:r>
      <w:r w:rsidR="00481BF7">
        <w:t>find good cause</w:t>
      </w:r>
      <w:r w:rsidR="00E0373D">
        <w:t xml:space="preserve">, based on </w:t>
      </w:r>
      <w:r w:rsidR="00C7791E">
        <w:t>TKC</w:t>
      </w:r>
      <w:r w:rsidR="00E0373D">
        <w:t>’s particular showing here, to</w:t>
      </w:r>
      <w:r w:rsidR="009877D7">
        <w:t xml:space="preserve"> </w:t>
      </w:r>
      <w:r w:rsidR="002C39C9">
        <w:t xml:space="preserve">grant </w:t>
      </w:r>
      <w:r w:rsidR="0013081C">
        <w:t xml:space="preserve">its </w:t>
      </w:r>
      <w:r w:rsidR="006A0853">
        <w:t>temporary</w:t>
      </w:r>
      <w:r w:rsidR="00F51DEA">
        <w:t xml:space="preserve"> </w:t>
      </w:r>
      <w:r w:rsidR="003B35B2">
        <w:t>waiver request</w:t>
      </w:r>
      <w:r w:rsidR="002D4A59">
        <w:t xml:space="preserve"> </w:t>
      </w:r>
      <w:r w:rsidR="002C39C9">
        <w:t xml:space="preserve">to ensure that </w:t>
      </w:r>
      <w:r w:rsidR="00E47657">
        <w:t>TKC</w:t>
      </w:r>
      <w:r w:rsidR="002C39C9">
        <w:t xml:space="preserve"> can</w:t>
      </w:r>
      <w:r w:rsidR="00293AE7">
        <w:t xml:space="preserve"> offer video IPCS</w:t>
      </w:r>
      <w:r w:rsidR="003B35B2">
        <w:t xml:space="preserve"> </w:t>
      </w:r>
      <w:r w:rsidR="002C39C9">
        <w:t>at all the facilities it serves</w:t>
      </w:r>
      <w:r w:rsidR="001D2E14">
        <w:t xml:space="preserve"> </w:t>
      </w:r>
      <w:r w:rsidR="00697723">
        <w:t xml:space="preserve">while </w:t>
      </w:r>
      <w:r w:rsidR="00293AE7">
        <w:t>it</w:t>
      </w:r>
      <w:r w:rsidR="00697723">
        <w:t xml:space="preserve"> completes development of its new video IPCS</w:t>
      </w:r>
      <w:r w:rsidR="00E47657">
        <w:t xml:space="preserve"> billing</w:t>
      </w:r>
      <w:r w:rsidR="00697723">
        <w:t xml:space="preserve"> platform</w:t>
      </w:r>
      <w:r w:rsidR="00D65DEE">
        <w:t xml:space="preserve"> which complies with the Commission’s rules going forward</w:t>
      </w:r>
      <w:r w:rsidR="00697723">
        <w:t>.</w:t>
      </w:r>
      <w:r>
        <w:rPr>
          <w:rStyle w:val="FootnoteReference"/>
        </w:rPr>
        <w:footnoteReference w:id="36"/>
      </w:r>
      <w:r w:rsidR="00E47657">
        <w:t xml:space="preserve"> </w:t>
      </w:r>
      <w:r w:rsidR="00495330">
        <w:t xml:space="preserve"> </w:t>
      </w:r>
      <w:r w:rsidR="00B375B6">
        <w:t xml:space="preserve">Thus, </w:t>
      </w:r>
      <w:r w:rsidR="00210769">
        <w:t xml:space="preserve">we conclude that the second prong of our waiver </w:t>
      </w:r>
      <w:r w:rsidR="0029499C">
        <w:t xml:space="preserve">standard </w:t>
      </w:r>
      <w:r w:rsidR="00D74FA4">
        <w:t xml:space="preserve">is </w:t>
      </w:r>
      <w:r w:rsidR="00210769">
        <w:t xml:space="preserve">satisfied </w:t>
      </w:r>
      <w:r w:rsidR="00D77F49">
        <w:t>and that a</w:t>
      </w:r>
      <w:r w:rsidR="00C801BF">
        <w:t xml:space="preserve"> limited one-time</w:t>
      </w:r>
      <w:r w:rsidR="00D77F49">
        <w:t xml:space="preserve"> waiver of</w:t>
      </w:r>
      <w:r w:rsidR="00CE4473">
        <w:t xml:space="preserve"> the Commission’s </w:t>
      </w:r>
      <w:r w:rsidR="00754E95">
        <w:t xml:space="preserve">per-minute </w:t>
      </w:r>
      <w:r w:rsidR="0014350B">
        <w:t>pricing</w:t>
      </w:r>
      <w:r w:rsidR="00A143E4">
        <w:t xml:space="preserve"> </w:t>
      </w:r>
      <w:r w:rsidR="00BA32A6">
        <w:t xml:space="preserve">rule </w:t>
      </w:r>
      <w:r w:rsidR="0021380E">
        <w:t xml:space="preserve">and of the rate cap </w:t>
      </w:r>
      <w:r w:rsidR="00656E0B">
        <w:t xml:space="preserve">compliance dates </w:t>
      </w:r>
      <w:r w:rsidR="00CE4473">
        <w:t>as applied to</w:t>
      </w:r>
      <w:r w:rsidR="003A7967">
        <w:t xml:space="preserve"> TKC’s</w:t>
      </w:r>
      <w:r w:rsidR="00CE4473">
        <w:t xml:space="preserve"> video IPCS</w:t>
      </w:r>
      <w:r w:rsidR="00D77F49">
        <w:t xml:space="preserve"> is appropriate </w:t>
      </w:r>
      <w:r w:rsidR="00B43BB2">
        <w:t>under the circumstances presented here.</w:t>
      </w:r>
      <w:r w:rsidR="00EC5BD8">
        <w:t xml:space="preserve">  </w:t>
      </w:r>
      <w:r w:rsidRPr="003C288B" w:rsidR="00EC5BD8">
        <w:t xml:space="preserve">We grant this </w:t>
      </w:r>
      <w:r w:rsidR="00EC5BD8">
        <w:t xml:space="preserve">temporary </w:t>
      </w:r>
      <w:r w:rsidRPr="003C288B" w:rsidR="00EC5BD8">
        <w:t xml:space="preserve">waiver until </w:t>
      </w:r>
      <w:r w:rsidR="00EC5BD8">
        <w:t>April 1, 2026</w:t>
      </w:r>
      <w:r w:rsidRPr="003C288B" w:rsidR="00EC5BD8">
        <w:t xml:space="preserve">, given </w:t>
      </w:r>
      <w:r w:rsidR="00EC5BD8">
        <w:t>TKC</w:t>
      </w:r>
      <w:r w:rsidRPr="003C288B" w:rsidR="00EC5BD8">
        <w:t xml:space="preserve">’s </w:t>
      </w:r>
      <w:r w:rsidR="00EC5BD8">
        <w:t xml:space="preserve">expected completion timeline for </w:t>
      </w:r>
      <w:r w:rsidR="004E1D44">
        <w:t xml:space="preserve">its </w:t>
      </w:r>
      <w:r w:rsidRPr="003C288B" w:rsidR="00EC5BD8">
        <w:t xml:space="preserve">new per-minute </w:t>
      </w:r>
      <w:r w:rsidR="00EC5BD8">
        <w:t>software billing</w:t>
      </w:r>
      <w:r w:rsidRPr="003C288B" w:rsidR="00EC5BD8">
        <w:t xml:space="preserve"> platform. </w:t>
      </w:r>
      <w:r w:rsidR="00EC5BD8">
        <w:t xml:space="preserve"> </w:t>
      </w:r>
      <w:r w:rsidRPr="003C288B" w:rsidR="00EC5BD8">
        <w:t xml:space="preserve">We find it reasonable to expect that migration to </w:t>
      </w:r>
      <w:r w:rsidR="006D6E11">
        <w:t xml:space="preserve">that </w:t>
      </w:r>
      <w:r w:rsidRPr="003C288B" w:rsidR="00EC5BD8">
        <w:t>platform can be accomplished within</w:t>
      </w:r>
      <w:r w:rsidR="00EC5BD8">
        <w:t xml:space="preserve"> this timeframe based on the representations made in TKC’s Petition.</w:t>
      </w:r>
      <w:r w:rsidR="009E4B9F">
        <w:rPr>
          <w:rStyle w:val="FootnoteReference"/>
        </w:rPr>
        <w:t xml:space="preserve"> </w:t>
      </w:r>
    </w:p>
    <w:p w:rsidR="00D40E0F" w:rsidP="00181314" w14:paraId="704FF1B7" w14:textId="4034E946">
      <w:pPr>
        <w:pStyle w:val="ParaNum"/>
        <w:tabs>
          <w:tab w:val="clear" w:pos="1080"/>
        </w:tabs>
      </w:pPr>
      <w:r>
        <w:t xml:space="preserve"> </w:t>
      </w:r>
      <w:r w:rsidR="00455837">
        <w:t>We</w:t>
      </w:r>
      <w:r w:rsidR="003F7FB1">
        <w:t xml:space="preserve"> do, however,</w:t>
      </w:r>
      <w:r w:rsidR="00BD1C0C">
        <w:t xml:space="preserve"> condition our grant of </w:t>
      </w:r>
      <w:r w:rsidR="00F57D47">
        <w:t>TKC</w:t>
      </w:r>
      <w:r w:rsidR="00BD1C0C">
        <w:t>’s waiver request</w:t>
      </w:r>
      <w:r w:rsidR="00F86761">
        <w:t>.</w:t>
      </w:r>
      <w:r w:rsidR="00A95B77">
        <w:t xml:space="preserve">  </w:t>
      </w:r>
      <w:r w:rsidR="00455837">
        <w:t>The</w:t>
      </w:r>
      <w:r w:rsidR="007549F0">
        <w:t xml:space="preserve"> </w:t>
      </w:r>
      <w:r w:rsidR="00A77216">
        <w:t>IPCS</w:t>
      </w:r>
      <w:r w:rsidR="007549F0">
        <w:t xml:space="preserve"> rules</w:t>
      </w:r>
      <w:r w:rsidR="00A77216">
        <w:t xml:space="preserve"> adopted in the </w:t>
      </w:r>
      <w:r w:rsidR="00A77216">
        <w:rPr>
          <w:i/>
          <w:iCs/>
        </w:rPr>
        <w:t>2024 IPCS Order</w:t>
      </w:r>
      <w:r w:rsidR="00A77216">
        <w:t xml:space="preserve"> </w:t>
      </w:r>
      <w:r w:rsidR="007549F0">
        <w:t xml:space="preserve">ensure that the rates and charges for </w:t>
      </w:r>
      <w:r w:rsidR="00C86751">
        <w:t>IPCS</w:t>
      </w:r>
      <w:r w:rsidR="0015572A">
        <w:t>, including video</w:t>
      </w:r>
      <w:r w:rsidR="00824374">
        <w:t xml:space="preserve"> IPCS,</w:t>
      </w:r>
      <w:r w:rsidR="00C86751">
        <w:t xml:space="preserve"> are just and reasonable</w:t>
      </w:r>
      <w:r w:rsidR="00A77216">
        <w:t>, as directed by the Martha Wright-Reed Act.</w:t>
      </w:r>
      <w:r>
        <w:rPr>
          <w:rStyle w:val="FootnoteReference"/>
        </w:rPr>
        <w:footnoteReference w:id="37"/>
      </w:r>
      <w:r w:rsidR="0011256D">
        <w:t xml:space="preserve">  </w:t>
      </w:r>
      <w:r w:rsidR="008141C1">
        <w:t xml:space="preserve">Consistent with </w:t>
      </w:r>
      <w:r w:rsidRPr="005B78E0" w:rsidR="008742AC">
        <w:t>th</w:t>
      </w:r>
      <w:r w:rsidRPr="005B78E0" w:rsidR="005B78E0">
        <w:t>e</w:t>
      </w:r>
      <w:r w:rsidR="005B78E0">
        <w:t xml:space="preserve"> Commission’s implementation of the Martha Wright-Reed Act</w:t>
      </w:r>
      <w:r w:rsidR="00766E8B">
        <w:t xml:space="preserve"> and </w:t>
      </w:r>
      <w:r w:rsidR="00474ECA">
        <w:t>in light of the public interest in</w:t>
      </w:r>
      <w:r w:rsidR="0011256D">
        <w:t xml:space="preserve"> </w:t>
      </w:r>
      <w:r w:rsidR="00766E8B">
        <w:t>ensur</w:t>
      </w:r>
      <w:r w:rsidR="00474ECA">
        <w:t xml:space="preserve">ing </w:t>
      </w:r>
      <w:r w:rsidR="009C0D10">
        <w:t xml:space="preserve">just and reasonable </w:t>
      </w:r>
      <w:r w:rsidR="00474ECA">
        <w:t>rate</w:t>
      </w:r>
      <w:r w:rsidR="009C0D10">
        <w:t>s</w:t>
      </w:r>
      <w:r w:rsidR="00474ECA">
        <w:t xml:space="preserve"> for </w:t>
      </w:r>
      <w:r w:rsidR="00D951EA">
        <w:t xml:space="preserve">IPCS consumers served by </w:t>
      </w:r>
      <w:r w:rsidR="00F57D47">
        <w:t>TKC</w:t>
      </w:r>
      <w:r w:rsidR="00D951EA">
        <w:t xml:space="preserve"> </w:t>
      </w:r>
      <w:r w:rsidRPr="008B3B17" w:rsidR="008B3B17">
        <w:t xml:space="preserve">and its affiliated companies </w:t>
      </w:r>
      <w:r w:rsidR="00955AFA">
        <w:t>during the duration of the waiver we grant today, we</w:t>
      </w:r>
      <w:r w:rsidR="005F0B5F">
        <w:t xml:space="preserve"> require</w:t>
      </w:r>
      <w:r w:rsidR="00504E9B">
        <w:t xml:space="preserve">, as a condition </w:t>
      </w:r>
      <w:r w:rsidR="00824374">
        <w:t xml:space="preserve">of </w:t>
      </w:r>
      <w:r w:rsidR="00504E9B">
        <w:t>grant of this waiver, that</w:t>
      </w:r>
      <w:r w:rsidR="005F0B5F">
        <w:t xml:space="preserve"> </w:t>
      </w:r>
      <w:r w:rsidR="58BCFE8E">
        <w:t xml:space="preserve">the rates </w:t>
      </w:r>
      <w:r w:rsidR="00F57D47">
        <w:t>TKC</w:t>
      </w:r>
      <w:r w:rsidR="005F0B5F">
        <w:t xml:space="preserve"> </w:t>
      </w:r>
      <w:r w:rsidR="004E0D00">
        <w:t xml:space="preserve">and its affiliated companies </w:t>
      </w:r>
      <w:r w:rsidR="007E769E">
        <w:t xml:space="preserve">charge </w:t>
      </w:r>
      <w:r w:rsidR="54827B4F">
        <w:t xml:space="preserve">for </w:t>
      </w:r>
      <w:r w:rsidR="004E0D00">
        <w:t xml:space="preserve">their </w:t>
      </w:r>
      <w:r w:rsidR="54827B4F">
        <w:t xml:space="preserve">video IPCS </w:t>
      </w:r>
      <w:r w:rsidR="000A69AF">
        <w:t xml:space="preserve">during the time the waiver is in effect </w:t>
      </w:r>
      <w:r w:rsidR="54827B4F">
        <w:t xml:space="preserve">not exceed </w:t>
      </w:r>
      <w:r w:rsidR="004E0D00">
        <w:t xml:space="preserve">their </w:t>
      </w:r>
      <w:r w:rsidR="00847E45">
        <w:t xml:space="preserve">video </w:t>
      </w:r>
      <w:r w:rsidR="005359D4">
        <w:t xml:space="preserve">IPCS </w:t>
      </w:r>
      <w:r w:rsidR="009D4F58">
        <w:t xml:space="preserve">rates in effect </w:t>
      </w:r>
      <w:r w:rsidR="007E769E">
        <w:t>as of the date of this Order</w:t>
      </w:r>
      <w:r w:rsidR="00260B9F">
        <w:t>.</w:t>
      </w:r>
      <w:r w:rsidR="007E769E">
        <w:t xml:space="preserve"> </w:t>
      </w:r>
    </w:p>
    <w:p w:rsidR="00D77F49" w:rsidP="00D77F49" w14:paraId="73114F10" w14:textId="796B5B3D">
      <w:pPr>
        <w:pStyle w:val="Heading1"/>
      </w:pPr>
      <w:r>
        <w:t>ordering clauses</w:t>
      </w:r>
    </w:p>
    <w:p w:rsidR="00D77F49" w:rsidP="00181314" w14:paraId="38AF4041" w14:textId="60C714D5">
      <w:pPr>
        <w:pStyle w:val="ParaNum"/>
        <w:tabs>
          <w:tab w:val="clear" w:pos="1080"/>
        </w:tabs>
      </w:pPr>
      <w:r w:rsidRPr="00FB3B99">
        <w:t xml:space="preserve">Accordingly, IT IS ORDERED, pursuant to </w:t>
      </w:r>
      <w:r w:rsidR="0020143F">
        <w:t>t</w:t>
      </w:r>
      <w:r w:rsidRPr="00FB3B99">
        <w:t xml:space="preserve">he authority contained in </w:t>
      </w:r>
      <w:r w:rsidRPr="006F04E9">
        <w:t xml:space="preserve">sections 1, 2, 4(i)-(j), 201(b), 218, 220, 225, 255, 276, 403, and 716 of the Communications Act of 1934, as amended, 47 U.S.C. §§ 151, 152, 154(i)-(j), 201(b), 218, 220, 225, 255, 276, 403, and 617, </w:t>
      </w:r>
      <w:r w:rsidR="00F54140">
        <w:t xml:space="preserve">sections </w:t>
      </w:r>
      <w:r w:rsidR="00E45C85">
        <w:t>0.91</w:t>
      </w:r>
      <w:r w:rsidR="00A946D3">
        <w:t xml:space="preserve">, 0.291, </w:t>
      </w:r>
      <w:r w:rsidR="003C6428">
        <w:t>and 1.3 of the Commission’s rules, 47 CFR §§ 0.91, 0.291, and 1</w:t>
      </w:r>
      <w:r w:rsidR="00F33A39">
        <w:t>.</w:t>
      </w:r>
      <w:r w:rsidR="003C6428">
        <w:t>3,</w:t>
      </w:r>
      <w:r w:rsidR="00E45C85">
        <w:t xml:space="preserve"> </w:t>
      </w:r>
      <w:r w:rsidRPr="006F04E9">
        <w:t>and the Martha Wright-Reed Just and Reasonable Communications Act of 2022, Pub. L. No. 117-338, 136 Stat</w:t>
      </w:r>
      <w:r w:rsidR="000C3726">
        <w:t>.</w:t>
      </w:r>
      <w:r w:rsidRPr="006F04E9">
        <w:t xml:space="preserve"> 6156 (2022),</w:t>
      </w:r>
      <w:r w:rsidRPr="00FB3B99">
        <w:t xml:space="preserve"> </w:t>
      </w:r>
      <w:r w:rsidR="00FF30E9">
        <w:t>that</w:t>
      </w:r>
      <w:r w:rsidR="009711AE">
        <w:t xml:space="preserve"> </w:t>
      </w:r>
      <w:r w:rsidR="00FF30E9">
        <w:t xml:space="preserve">this Order </w:t>
      </w:r>
      <w:r w:rsidR="00E55002">
        <w:t xml:space="preserve">in </w:t>
      </w:r>
      <w:r w:rsidR="00E55002">
        <w:t>WC Docket Nos. 23-62 and 12-375 IS ADOPTED</w:t>
      </w:r>
      <w:r w:rsidR="009711AE">
        <w:t xml:space="preserve"> and that sections 64.6010</w:t>
      </w:r>
      <w:r w:rsidR="00E77B16">
        <w:t>(a), (c)-(e)</w:t>
      </w:r>
      <w:r w:rsidR="009711AE">
        <w:t xml:space="preserve"> and 64.6080 of the Commission’s rules, 47 CFR §§ 64.6010</w:t>
      </w:r>
      <w:r w:rsidR="00E77B16">
        <w:t>(a), (c)-(e)</w:t>
      </w:r>
      <w:r w:rsidR="009711AE">
        <w:t xml:space="preserve">, 64.6080, ARE WAIVED </w:t>
      </w:r>
      <w:r w:rsidRPr="00317F53" w:rsidR="00317F53">
        <w:t xml:space="preserve">to the limited extent and </w:t>
      </w:r>
      <w:r w:rsidR="00436A66">
        <w:t xml:space="preserve">subject to the condition specified </w:t>
      </w:r>
      <w:r w:rsidR="00B40BC8">
        <w:t xml:space="preserve">above </w:t>
      </w:r>
      <w:r w:rsidR="004B2DA3">
        <w:t xml:space="preserve">for </w:t>
      </w:r>
      <w:r w:rsidR="00C520D9">
        <w:t xml:space="preserve">the </w:t>
      </w:r>
      <w:r w:rsidR="00AD01C0">
        <w:t xml:space="preserve">provision of </w:t>
      </w:r>
      <w:r w:rsidR="00585B9A">
        <w:t xml:space="preserve">video IPCS </w:t>
      </w:r>
      <w:r w:rsidR="00C520D9">
        <w:t xml:space="preserve">by TKC and </w:t>
      </w:r>
      <w:r w:rsidRPr="00C520D9" w:rsidR="00C520D9">
        <w:t xml:space="preserve">its affiliated companies </w:t>
      </w:r>
      <w:r w:rsidR="006B5616">
        <w:t xml:space="preserve">until </w:t>
      </w:r>
      <w:r w:rsidR="00585B9A">
        <w:t>April</w:t>
      </w:r>
      <w:r w:rsidR="006B5616">
        <w:t xml:space="preserve"> 1, 202</w:t>
      </w:r>
      <w:r w:rsidR="00585B9A">
        <w:t>6</w:t>
      </w:r>
      <w:r w:rsidR="00470E28">
        <w:t xml:space="preserve">. </w:t>
      </w:r>
    </w:p>
    <w:p w:rsidR="00470E28" w:rsidP="00181314" w14:paraId="2C998BA7" w14:textId="2E2A99DC">
      <w:pPr>
        <w:pStyle w:val="ParaNum"/>
        <w:tabs>
          <w:tab w:val="clear" w:pos="1080"/>
        </w:tabs>
      </w:pPr>
      <w:r>
        <w:t>IT IS FURTHER ORDERED, that the Petition for</w:t>
      </w:r>
      <w:r w:rsidR="00585B9A">
        <w:t xml:space="preserve"> a Temporary</w:t>
      </w:r>
      <w:r>
        <w:t xml:space="preserve"> Waiver</w:t>
      </w:r>
      <w:r w:rsidR="008C3D05">
        <w:t xml:space="preserve"> to Extend the Compliance Date for 47 CFR §</w:t>
      </w:r>
      <w:r w:rsidR="00585B9A">
        <w:t xml:space="preserve">§ 64.6010 and </w:t>
      </w:r>
      <w:r w:rsidR="008C3D05">
        <w:t xml:space="preserve">64.6080 </w:t>
      </w:r>
      <w:r w:rsidR="00466BD9">
        <w:t>a</w:t>
      </w:r>
      <w:r w:rsidR="008C3D05">
        <w:t xml:space="preserve">s Applied to Video </w:t>
      </w:r>
      <w:r w:rsidR="00585B9A">
        <w:t>IPCS</w:t>
      </w:r>
      <w:r w:rsidR="008C3D05">
        <w:t xml:space="preserve"> filed by</w:t>
      </w:r>
      <w:r w:rsidR="00585B9A">
        <w:t xml:space="preserve"> TKC</w:t>
      </w:r>
      <w:r w:rsidR="008C3D05">
        <w:t xml:space="preserve"> on </w:t>
      </w:r>
      <w:r w:rsidR="00585B9A">
        <w:t>May 21, 2025</w:t>
      </w:r>
      <w:r w:rsidR="008C3D05">
        <w:t xml:space="preserve"> </w:t>
      </w:r>
      <w:r w:rsidR="00BD3E51">
        <w:t>IS</w:t>
      </w:r>
      <w:r w:rsidR="008C3D05">
        <w:t xml:space="preserve"> GRANTED </w:t>
      </w:r>
      <w:r w:rsidRPr="00F37970" w:rsidR="00F37970">
        <w:t>to the limited extent and subject to the condition specified</w:t>
      </w:r>
      <w:r w:rsidR="00936CFA">
        <w:t xml:space="preserve"> </w:t>
      </w:r>
      <w:r w:rsidR="003618AC">
        <w:t>above</w:t>
      </w:r>
      <w:r w:rsidR="008C3D05">
        <w:t xml:space="preserve">.  </w:t>
      </w:r>
    </w:p>
    <w:p w:rsidR="00D0272D" w:rsidP="00181314" w14:paraId="3683A135" w14:textId="786E6493">
      <w:pPr>
        <w:pStyle w:val="ParaNum"/>
        <w:tabs>
          <w:tab w:val="clear" w:pos="1080"/>
        </w:tabs>
      </w:pPr>
      <w:r>
        <w:t>IT IS FURTHER ORDERED</w:t>
      </w:r>
      <w:r w:rsidR="00D73C78">
        <w:t>,</w:t>
      </w:r>
      <w:r>
        <w:t xml:space="preserve"> that</w:t>
      </w:r>
      <w:r w:rsidR="00D73C78">
        <w:t xml:space="preserve"> pursuant to section 1.102(b)(1) of the Commission’s rules, 47 </w:t>
      </w:r>
      <w:r w:rsidR="00BA037D">
        <w:t>CFR</w:t>
      </w:r>
      <w:r w:rsidR="004C6C1F">
        <w:t xml:space="preserve"> § </w:t>
      </w:r>
      <w:r w:rsidR="00BA037D">
        <w:t>1.102(b)(1),</w:t>
      </w:r>
      <w:r>
        <w:t xml:space="preserve"> this Order SHALL BE EFFECTIVE upon release. </w:t>
      </w:r>
    </w:p>
    <w:p w:rsidR="00F33A39" w:rsidP="00F33A39" w14:paraId="0EE8B288" w14:textId="77777777">
      <w:pPr>
        <w:pStyle w:val="ParaNum"/>
        <w:numPr>
          <w:ilvl w:val="0"/>
          <w:numId w:val="0"/>
        </w:numPr>
        <w:tabs>
          <w:tab w:val="num" w:pos="1440"/>
        </w:tabs>
        <w:ind w:left="720"/>
      </w:pPr>
    </w:p>
    <w:p w:rsidR="000C2138" w:rsidP="00747381" w14:paraId="3D910F96" w14:textId="71305D0C">
      <w:pPr>
        <w:pStyle w:val="ParaNum"/>
        <w:numPr>
          <w:ilvl w:val="0"/>
          <w:numId w:val="0"/>
        </w:numPr>
        <w:ind w:left="3600" w:firstLine="720"/>
      </w:pPr>
      <w:r>
        <w:t>FEDERAL COMMUNICATIONS COMMISSION</w:t>
      </w:r>
    </w:p>
    <w:p w:rsidR="00D0272D" w:rsidP="00747381" w14:paraId="73EEE53F" w14:textId="77777777">
      <w:pPr>
        <w:pStyle w:val="ParaNum"/>
        <w:numPr>
          <w:ilvl w:val="0"/>
          <w:numId w:val="0"/>
        </w:numPr>
        <w:ind w:left="3600" w:firstLine="720"/>
      </w:pPr>
    </w:p>
    <w:p w:rsidR="00D0272D" w:rsidP="00747381" w14:paraId="03CEDB25" w14:textId="77777777">
      <w:pPr>
        <w:pStyle w:val="ParaNum"/>
        <w:numPr>
          <w:ilvl w:val="0"/>
          <w:numId w:val="0"/>
        </w:numPr>
        <w:ind w:left="3600" w:firstLine="720"/>
      </w:pPr>
    </w:p>
    <w:p w:rsidR="000C2138" w:rsidP="000C2138" w14:paraId="35900DF4" w14:textId="2352C91B">
      <w:pPr>
        <w:pStyle w:val="ParaNum"/>
        <w:numPr>
          <w:ilvl w:val="0"/>
          <w:numId w:val="0"/>
        </w:numPr>
        <w:spacing w:after="0"/>
      </w:pPr>
      <w:r>
        <w:tab/>
      </w:r>
      <w:r>
        <w:tab/>
      </w:r>
      <w:r>
        <w:tab/>
      </w:r>
      <w:r>
        <w:tab/>
      </w:r>
      <w:r>
        <w:tab/>
      </w:r>
      <w:r>
        <w:tab/>
      </w:r>
      <w:r w:rsidR="00585B9A">
        <w:t xml:space="preserve">Joseph </w:t>
      </w:r>
      <w:r w:rsidR="003C513A">
        <w:t xml:space="preserve">S. </w:t>
      </w:r>
      <w:r w:rsidR="00585B9A">
        <w:t>Calascione</w:t>
      </w:r>
    </w:p>
    <w:p w:rsidR="000C2138" w:rsidP="000C2138" w14:paraId="72742CEB" w14:textId="5170A144">
      <w:pPr>
        <w:pStyle w:val="ParaNum"/>
        <w:numPr>
          <w:ilvl w:val="0"/>
          <w:numId w:val="0"/>
        </w:numPr>
        <w:spacing w:after="0"/>
        <w:ind w:firstLine="720"/>
      </w:pPr>
      <w:r>
        <w:tab/>
      </w:r>
      <w:r>
        <w:tab/>
      </w:r>
      <w:r>
        <w:tab/>
      </w:r>
      <w:r>
        <w:tab/>
      </w:r>
      <w:r>
        <w:tab/>
        <w:t>Chief</w:t>
      </w:r>
    </w:p>
    <w:p w:rsidR="002E3739" w:rsidRPr="00D77F49" w:rsidP="000C2138" w14:paraId="65F18EBA" w14:textId="6DEC270F">
      <w:pPr>
        <w:pStyle w:val="ParaNum"/>
        <w:numPr>
          <w:ilvl w:val="0"/>
          <w:numId w:val="0"/>
        </w:numPr>
        <w:spacing w:after="0"/>
        <w:ind w:left="3600" w:firstLine="720"/>
      </w:pPr>
      <w:r>
        <w:t>Wireline Competition Bureau</w:t>
      </w:r>
    </w:p>
    <w:sectPr w:rsidSect="0055614C">
      <w:headerReference w:type="default" r:id="rId6"/>
      <w:footerReference w:type="even" r:id="rId7"/>
      <w:footerReference w:type="default" r:id="rId8"/>
      <w:headerReference w:type="first" r:id="rId9"/>
      <w:footerReference w:type="first" r:id="rId10"/>
      <w:endnotePr>
        <w:numFmt w:val="decimal"/>
      </w:endnotePr>
      <w:pgSz w:w="12240" w:h="15840"/>
      <w:pgMar w:top="1440" w:right="1440" w:bottom="720" w:left="144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5A0875" w14:paraId="12C79B9F" w14:textId="77777777">
      <w:pPr>
        <w:spacing w:line="20" w:lineRule="exact"/>
      </w:pPr>
    </w:p>
  </w:endnote>
  <w:endnote w:type="continuationSeparator" w:id="1">
    <w:p w:rsidR="005A0875" w14:paraId="244D76AE" w14:textId="77777777">
      <w:r>
        <w:t xml:space="preserve"> </w:t>
      </w:r>
    </w:p>
  </w:endnote>
  <w:endnote w:type="continuationNotice" w:id="2">
    <w:p w:rsidR="005A0875" w14:paraId="76962E54"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5FB5" w:rsidP="0055614C" w14:paraId="3AABE0B2" w14:textId="77777777">
    <w:pPr>
      <w:pStyle w:val="Footer"/>
      <w:framePr w:wrap="around" w:vAnchor="text" w:hAnchor="margin" w:xAlign="center" w:y="1"/>
    </w:pPr>
    <w:r>
      <w:rPr>
        <w:color w:val="2B579A"/>
        <w:shd w:val="clear" w:color="auto" w:fill="E6E6E6"/>
      </w:rPr>
      <w:fldChar w:fldCharType="begin"/>
    </w:r>
    <w:r>
      <w:instrText xml:space="preserve">PAGE  </w:instrText>
    </w:r>
    <w:r>
      <w:rPr>
        <w:color w:val="2B579A"/>
        <w:shd w:val="clear" w:color="auto" w:fill="E6E6E6"/>
      </w:rPr>
      <w:fldChar w:fldCharType="separate"/>
    </w:r>
    <w:r>
      <w:rPr>
        <w:color w:val="2B579A"/>
        <w:shd w:val="clear" w:color="auto" w:fill="E6E6E6"/>
      </w:rPr>
      <w:fldChar w:fldCharType="end"/>
    </w:r>
  </w:p>
  <w:p w:rsidR="00D25FB5" w14:paraId="6ED7F1F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7308" w14:paraId="29DA0E82" w14:textId="5C740D1C">
    <w:pPr>
      <w:pStyle w:val="Footer"/>
      <w:jc w:val="center"/>
    </w:pPr>
    <w:r w:rsidRPr="002D0A1D">
      <w:fldChar w:fldCharType="begin"/>
    </w:r>
    <w:r>
      <w:instrText xml:space="preserve"> PAGE   \* MERGEFORMAT </w:instrText>
    </w:r>
    <w:r w:rsidRPr="002D0A1D">
      <w:fldChar w:fldCharType="separate"/>
    </w:r>
    <w:r w:rsidRPr="00A9200B">
      <w:t>2</w:t>
    </w:r>
    <w:r w:rsidRPr="002D0A1D">
      <w:fldChar w:fldCharType="end"/>
    </w:r>
  </w:p>
  <w:p w:rsidR="00D25FB5" w14:paraId="2D6B5317" w14:textId="77777777">
    <w:pPr>
      <w:suppressAutoHyphens/>
      <w:spacing w:line="227"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5FB5" w14:paraId="26AD5880" w14:textId="77777777">
    <w:pPr>
      <w:pStyle w:val="Footer"/>
      <w:tabs>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A0875" w14:paraId="1E5F6F2F" w14:textId="77777777">
      <w:r>
        <w:separator/>
      </w:r>
    </w:p>
  </w:footnote>
  <w:footnote w:type="continuationSeparator" w:id="1">
    <w:p w:rsidR="005A0875" w:rsidP="00C721AC" w14:paraId="005189A8" w14:textId="77777777">
      <w:pPr>
        <w:spacing w:before="120"/>
        <w:rPr>
          <w:sz w:val="20"/>
        </w:rPr>
      </w:pPr>
      <w:r>
        <w:rPr>
          <w:sz w:val="20"/>
        </w:rPr>
        <w:t xml:space="preserve">(Continued from previous page)  </w:t>
      </w:r>
      <w:r>
        <w:rPr>
          <w:sz w:val="20"/>
        </w:rPr>
        <w:separator/>
      </w:r>
    </w:p>
  </w:footnote>
  <w:footnote w:type="continuationNotice" w:id="2">
    <w:p w:rsidR="005A0875" w:rsidP="00C721AC" w14:paraId="3D7D9E3B" w14:textId="77777777">
      <w:pPr>
        <w:jc w:val="right"/>
        <w:rPr>
          <w:sz w:val="20"/>
        </w:rPr>
      </w:pPr>
      <w:r>
        <w:rPr>
          <w:sz w:val="20"/>
        </w:rPr>
        <w:t>(continued….)</w:t>
      </w:r>
    </w:p>
  </w:footnote>
  <w:footnote w:id="3">
    <w:p w:rsidR="00C46A10" w:rsidP="002E7EE8" w14:paraId="365E9359" w14:textId="467D6D2A">
      <w:pPr>
        <w:pStyle w:val="FootnoteText"/>
      </w:pPr>
      <w:r>
        <w:rPr>
          <w:rStyle w:val="FootnoteReference"/>
        </w:rPr>
        <w:footnoteRef/>
      </w:r>
      <w:r>
        <w:t xml:space="preserve"> </w:t>
      </w:r>
      <w:r>
        <w:rPr>
          <w:i/>
          <w:iCs/>
        </w:rPr>
        <w:t xml:space="preserve">See </w:t>
      </w:r>
      <w:r>
        <w:t xml:space="preserve">Petition of </w:t>
      </w:r>
      <w:r w:rsidR="0052545B">
        <w:t>TKC Telecom</w:t>
      </w:r>
      <w:r>
        <w:t>, LLC for</w:t>
      </w:r>
      <w:r w:rsidR="0052545B">
        <w:t xml:space="preserve"> a Temporary</w:t>
      </w:r>
      <w:r>
        <w:t xml:space="preserve"> Waiver to Extend the Compliance Date for 47 C.F.R. §</w:t>
      </w:r>
      <w:r w:rsidR="0052545B">
        <w:t>§ </w:t>
      </w:r>
      <w:r>
        <w:t>64.</w:t>
      </w:r>
      <w:r w:rsidR="0052545B">
        <w:t xml:space="preserve">6010 and </w:t>
      </w:r>
      <w:r w:rsidR="00660F70">
        <w:t>64.</w:t>
      </w:r>
      <w:r>
        <w:t xml:space="preserve">6080 as Applied to Video </w:t>
      </w:r>
      <w:r w:rsidR="0052545B">
        <w:t>IPCS</w:t>
      </w:r>
      <w:r>
        <w:t xml:space="preserve">, WC Docket No. 23-62 (filed </w:t>
      </w:r>
      <w:r w:rsidR="00AD685B">
        <w:t>May 21, 2025</w:t>
      </w:r>
      <w:r>
        <w:t xml:space="preserve">) </w:t>
      </w:r>
      <w:r w:rsidR="00AD685B">
        <w:t>(TKC Waiver Petition or Petition)</w:t>
      </w:r>
      <w:r w:rsidR="00DA5C71">
        <w:t>;</w:t>
      </w:r>
      <w:r>
        <w:t xml:space="preserve"> Declaration of </w:t>
      </w:r>
      <w:r w:rsidR="00DA5C71">
        <w:t>Duane W. Wahlin</w:t>
      </w:r>
      <w:r>
        <w:t xml:space="preserve"> in Support of </w:t>
      </w:r>
      <w:r w:rsidR="00DA5C71">
        <w:t>TKC Tele</w:t>
      </w:r>
      <w:r w:rsidR="00AC48AF">
        <w:t>C</w:t>
      </w:r>
      <w:r w:rsidR="00DA5C71">
        <w:t>om</w:t>
      </w:r>
      <w:r>
        <w:t>, LLC’s Petition for</w:t>
      </w:r>
      <w:r w:rsidR="00DA5C71">
        <w:t xml:space="preserve"> Temporary</w:t>
      </w:r>
      <w:r>
        <w:t xml:space="preserve"> Waiver, WC Docket No. 23-62 (filed </w:t>
      </w:r>
      <w:r w:rsidR="00DA5C71">
        <w:t>May 21, 2025</w:t>
      </w:r>
      <w:r>
        <w:t>) (</w:t>
      </w:r>
      <w:r w:rsidR="00DA5C71">
        <w:t>Wahlin</w:t>
      </w:r>
      <w:r>
        <w:t xml:space="preserve"> Decl</w:t>
      </w:r>
      <w:r w:rsidR="00606399">
        <w:t>.</w:t>
      </w:r>
      <w:r>
        <w:t>).</w:t>
      </w:r>
      <w:r w:rsidR="000B4EB1">
        <w:t xml:space="preserve">  </w:t>
      </w:r>
      <w:r w:rsidRPr="000B4EB1" w:rsidR="000B4EB1">
        <w:t xml:space="preserve">TKC </w:t>
      </w:r>
      <w:r w:rsidR="00BD2919">
        <w:t>Tele</w:t>
      </w:r>
      <w:r w:rsidR="00AC48AF">
        <w:t>C</w:t>
      </w:r>
      <w:r w:rsidR="00BD2919">
        <w:t>om</w:t>
      </w:r>
      <w:r w:rsidR="009C5188">
        <w:t>, LLC</w:t>
      </w:r>
      <w:r w:rsidRPr="000B4EB1" w:rsidR="000B4EB1">
        <w:t xml:space="preserve"> is wholly owned by T.W. Vending, Inc., d/b/a TurnKey Corrections (TurnKey), and TurnKey also wholly owns Kimble’s Food By Design, LLC. (Kimble’s)</w:t>
      </w:r>
      <w:r w:rsidR="00323194">
        <w:t>.  Petition at 1.</w:t>
      </w:r>
      <w:r w:rsidR="00116A1B">
        <w:t xml:space="preserve">  </w:t>
      </w:r>
      <w:r w:rsidR="00461A3C">
        <w:t xml:space="preserve">TKC seeks </w:t>
      </w:r>
      <w:r w:rsidR="0026413D">
        <w:t xml:space="preserve">a temporary waiver under the Commission’s general waiver rule </w:t>
      </w:r>
      <w:r w:rsidR="00EC69B4">
        <w:t>for itself</w:t>
      </w:r>
      <w:r w:rsidR="00C520D9">
        <w:t xml:space="preserve"> and its affiliated companies</w:t>
      </w:r>
      <w:r w:rsidR="00EC69B4">
        <w:t xml:space="preserve">, </w:t>
      </w:r>
      <w:r w:rsidR="00497B95">
        <w:t xml:space="preserve">TurnKey </w:t>
      </w:r>
      <w:r w:rsidR="00EC69B4">
        <w:t>and</w:t>
      </w:r>
      <w:r w:rsidR="00461A3C">
        <w:t xml:space="preserve"> </w:t>
      </w:r>
      <w:r w:rsidR="00AA072A">
        <w:t xml:space="preserve">Kimble’s </w:t>
      </w:r>
      <w:r w:rsidR="00497B95">
        <w:t>(</w:t>
      </w:r>
      <w:r w:rsidR="00EC69B4">
        <w:t xml:space="preserve">which also </w:t>
      </w:r>
      <w:r w:rsidR="00EB564A">
        <w:t xml:space="preserve">reportedly </w:t>
      </w:r>
      <w:r w:rsidR="00AA072A">
        <w:t>provide</w:t>
      </w:r>
      <w:r w:rsidR="00EC69B4">
        <w:t>s</w:t>
      </w:r>
      <w:r w:rsidR="00AA072A">
        <w:t xml:space="preserve"> video IPCS</w:t>
      </w:r>
      <w:r w:rsidR="00497B95">
        <w:t>)</w:t>
      </w:r>
      <w:r w:rsidR="001D2605">
        <w:t xml:space="preserve">.  Petition at 1; Wahlin Decl. at </w:t>
      </w:r>
      <w:r w:rsidR="005611D1">
        <w:t>para. 3.</w:t>
      </w:r>
    </w:p>
  </w:footnote>
  <w:footnote w:id="4">
    <w:p w:rsidR="00372C5F" w:rsidP="00372C5F" w14:paraId="68954B76" w14:textId="34421DA4">
      <w:pPr>
        <w:pStyle w:val="FootnoteText"/>
      </w:pPr>
      <w:r>
        <w:rPr>
          <w:rStyle w:val="FootnoteReference"/>
        </w:rPr>
        <w:footnoteRef/>
      </w:r>
      <w:r>
        <w:t xml:space="preserve"> </w:t>
      </w:r>
      <w:r w:rsidRPr="00E12A79">
        <w:t>Martha Wright-Reed Just and Reasonable Communications Act of 2022, Pub. L. No. 117-338, 136 Stat. 6156</w:t>
      </w:r>
      <w:r>
        <w:t xml:space="preserve"> (2022)</w:t>
      </w:r>
      <w:r w:rsidR="001B3F75">
        <w:t xml:space="preserve"> (Martha Wright-Reed Act)</w:t>
      </w:r>
      <w:r>
        <w:t>.</w:t>
      </w:r>
    </w:p>
  </w:footnote>
  <w:footnote w:id="5">
    <w:p w:rsidR="005163A6" w:rsidRPr="00BD0BD3" w14:paraId="1C57DFB0" w14:textId="7EF465DE">
      <w:pPr>
        <w:pStyle w:val="FootnoteText"/>
        <w:rPr>
          <w:b/>
          <w:bCs/>
        </w:rPr>
      </w:pPr>
      <w:r>
        <w:rPr>
          <w:rStyle w:val="FootnoteReference"/>
        </w:rPr>
        <w:footnoteRef/>
      </w:r>
      <w:r>
        <w:t xml:space="preserve"> </w:t>
      </w:r>
      <w:r w:rsidRPr="00551C1C" w:rsidR="00E448DC">
        <w:rPr>
          <w:i/>
          <w:iCs/>
        </w:rPr>
        <w:t>See generally</w:t>
      </w:r>
      <w:r w:rsidR="00E448DC">
        <w:t xml:space="preserve"> </w:t>
      </w:r>
      <w:r w:rsidRPr="00C90AE6" w:rsidR="00E448DC">
        <w:rPr>
          <w:i/>
          <w:iCs/>
        </w:rPr>
        <w:t>Incarcerated People’s Communications Services; Implementation of the Martha Wright-Reed Act; Rates for Interstate Inmate Calling Services</w:t>
      </w:r>
      <w:r w:rsidRPr="006C5E9D" w:rsidR="00E448DC">
        <w:t>, WC Docket Nos. 23-62, 12-</w:t>
      </w:r>
      <w:r w:rsidRPr="005236D8" w:rsidR="00E448DC">
        <w:t>375,</w:t>
      </w:r>
      <w:r w:rsidR="00E448DC">
        <w:t xml:space="preserve"> Report and Order, Order on Reconsideration, Clarification and Waiver, and Further Notice of Proposed Rulemaking, </w:t>
      </w:r>
      <w:r w:rsidR="001B0DB1">
        <w:t>39 FCC Rcd 7647</w:t>
      </w:r>
      <w:r w:rsidR="00E448DC">
        <w:t xml:space="preserve"> (2024) (</w:t>
      </w:r>
      <w:bookmarkStart w:id="0" w:name="_Hlk200142514"/>
      <w:r w:rsidRPr="00227854" w:rsidR="00E448DC">
        <w:rPr>
          <w:i/>
          <w:iCs/>
        </w:rPr>
        <w:t>2024</w:t>
      </w:r>
      <w:r w:rsidRPr="002D0A71" w:rsidR="00E448DC">
        <w:rPr>
          <w:i/>
          <w:iCs/>
        </w:rPr>
        <w:t xml:space="preserve"> IPCS Order</w:t>
      </w:r>
      <w:bookmarkEnd w:id="0"/>
      <w:r w:rsidR="00E448DC">
        <w:t>).</w:t>
      </w:r>
    </w:p>
  </w:footnote>
  <w:footnote w:id="6">
    <w:p w:rsidR="00372C5F" w:rsidRPr="008476BA" w:rsidP="00372C5F" w14:paraId="427CDC03" w14:textId="29470726">
      <w:pPr>
        <w:pStyle w:val="FootnoteText"/>
      </w:pPr>
      <w:r>
        <w:rPr>
          <w:rStyle w:val="FootnoteReference"/>
        </w:rPr>
        <w:footnoteRef/>
      </w:r>
      <w:r>
        <w:t xml:space="preserve"> 47 U.S.C. </w:t>
      </w:r>
      <w:r w:rsidRPr="00E12A79">
        <w:t>§</w:t>
      </w:r>
      <w:r>
        <w:t> 276(b)(1)(A).</w:t>
      </w:r>
      <w:r w:rsidR="00D061EE">
        <w:t xml:space="preserve"> </w:t>
      </w:r>
      <w:r w:rsidR="009F4322">
        <w:t xml:space="preserve"> </w:t>
      </w:r>
      <w:r w:rsidR="00D061EE">
        <w:t xml:space="preserve">The </w:t>
      </w:r>
      <w:r w:rsidR="00BA233A">
        <w:t xml:space="preserve">Martha Wright-Reed </w:t>
      </w:r>
      <w:r w:rsidR="00D061EE">
        <w:t xml:space="preserve">Act also </w:t>
      </w:r>
      <w:r w:rsidR="00BA233A">
        <w:t xml:space="preserve">amended the Communications Act to </w:t>
      </w:r>
      <w:r w:rsidR="00584EA0">
        <w:t xml:space="preserve">include </w:t>
      </w:r>
      <w:r w:rsidR="00D7340E">
        <w:t xml:space="preserve">video </w:t>
      </w:r>
      <w:r w:rsidR="001B3F75">
        <w:t xml:space="preserve">communications </w:t>
      </w:r>
      <w:r w:rsidR="00D7340E">
        <w:t xml:space="preserve">among the types of IPCS </w:t>
      </w:r>
      <w:r w:rsidR="00C60D68">
        <w:t xml:space="preserve">subject to </w:t>
      </w:r>
      <w:r w:rsidR="001B3F75">
        <w:t>the Commission’s jurisdiction</w:t>
      </w:r>
      <w:r w:rsidR="00D7340E">
        <w:t xml:space="preserve">. </w:t>
      </w:r>
      <w:r w:rsidR="00B937E7">
        <w:t xml:space="preserve"> </w:t>
      </w:r>
      <w:r w:rsidR="00D7340E">
        <w:rPr>
          <w:i/>
          <w:iCs/>
        </w:rPr>
        <w:t>See</w:t>
      </w:r>
      <w:r w:rsidR="008476BA">
        <w:rPr>
          <w:i/>
          <w:iCs/>
        </w:rPr>
        <w:t xml:space="preserve"> </w:t>
      </w:r>
      <w:r w:rsidR="000B50BB">
        <w:t xml:space="preserve">Martha Wright-Reed Act </w:t>
      </w:r>
      <w:r w:rsidR="00464401">
        <w:t>§</w:t>
      </w:r>
      <w:r w:rsidR="000B50BB">
        <w:t>§</w:t>
      </w:r>
      <w:r w:rsidR="00D510A4">
        <w:t> </w:t>
      </w:r>
      <w:r w:rsidR="000F6D57">
        <w:t>2(a)(2)</w:t>
      </w:r>
      <w:r w:rsidR="00464401">
        <w:t>, (b)</w:t>
      </w:r>
      <w:r w:rsidR="00B115C0">
        <w:t xml:space="preserve">; 47 U.S.C. </w:t>
      </w:r>
      <w:r w:rsidR="00396E21">
        <w:t>§§</w:t>
      </w:r>
      <w:r w:rsidR="00D510A4">
        <w:t> </w:t>
      </w:r>
      <w:r w:rsidR="002E3C80">
        <w:t>153</w:t>
      </w:r>
      <w:r w:rsidR="00435969">
        <w:t xml:space="preserve">(1)(E); </w:t>
      </w:r>
      <w:r w:rsidR="004C4E96">
        <w:t>276</w:t>
      </w:r>
      <w:r w:rsidR="00AF4AC4">
        <w:t>(d).</w:t>
      </w:r>
      <w:r w:rsidR="008476BA">
        <w:t xml:space="preserve"> </w:t>
      </w:r>
    </w:p>
  </w:footnote>
  <w:footnote w:id="7">
    <w:p w:rsidR="00372C5F" w:rsidP="00372C5F" w14:paraId="4B113961" w14:textId="192F7DD0">
      <w:pPr>
        <w:pStyle w:val="FootnoteText"/>
      </w:pPr>
      <w:r>
        <w:rPr>
          <w:rStyle w:val="FootnoteReference"/>
        </w:rPr>
        <w:footnoteRef/>
      </w:r>
      <w:r>
        <w:t xml:space="preserve"> </w:t>
      </w:r>
      <w:r>
        <w:rPr>
          <w:i/>
          <w:iCs/>
        </w:rPr>
        <w:t>See, e.g.</w:t>
      </w:r>
      <w:r>
        <w:t xml:space="preserve">, </w:t>
      </w:r>
      <w:r w:rsidRPr="00227854" w:rsidR="00096ACA">
        <w:rPr>
          <w:i/>
          <w:iCs/>
        </w:rPr>
        <w:t>2024</w:t>
      </w:r>
      <w:r w:rsidRPr="002D0A71" w:rsidR="00096ACA">
        <w:rPr>
          <w:i/>
          <w:iCs/>
        </w:rPr>
        <w:t xml:space="preserve"> IPCS Order</w:t>
      </w:r>
      <w:r w:rsidR="00192564">
        <w:t>, 39 FCC Rcd at 7706</w:t>
      </w:r>
      <w:r w:rsidR="005D0F1B">
        <w:t>, para.</w:t>
      </w:r>
      <w:r w:rsidR="008308CE">
        <w:t xml:space="preserve"> </w:t>
      </w:r>
      <w:r w:rsidR="005D0F1B">
        <w:t>119</w:t>
      </w:r>
      <w:r w:rsidR="00096ACA">
        <w:t xml:space="preserve">.  </w:t>
      </w:r>
    </w:p>
  </w:footnote>
  <w:footnote w:id="8">
    <w:p w:rsidR="008C4887" w:rsidRPr="00AC48AF" w14:paraId="60267EB4" w14:textId="481A4137">
      <w:pPr>
        <w:pStyle w:val="FootnoteText"/>
        <w:rPr>
          <w:i/>
          <w:iCs/>
        </w:rPr>
      </w:pPr>
      <w:r>
        <w:rPr>
          <w:rStyle w:val="FootnoteReference"/>
        </w:rPr>
        <w:footnoteRef/>
      </w:r>
      <w:r>
        <w:t xml:space="preserve"> </w:t>
      </w:r>
      <w:r w:rsidR="001A584C">
        <w:rPr>
          <w:i/>
          <w:iCs/>
        </w:rPr>
        <w:t xml:space="preserve">See </w:t>
      </w:r>
      <w:r w:rsidR="002138CC">
        <w:rPr>
          <w:i/>
          <w:iCs/>
        </w:rPr>
        <w:t>id.</w:t>
      </w:r>
      <w:r w:rsidR="00830FD9">
        <w:t xml:space="preserve">, 39 FCC Rcd at </w:t>
      </w:r>
      <w:r w:rsidRPr="00226589" w:rsidR="00B05DCB">
        <w:t>7950-51</w:t>
      </w:r>
      <w:r w:rsidR="00830FD9">
        <w:t xml:space="preserve">, para. 587; </w:t>
      </w:r>
      <w:r w:rsidR="00B25D53">
        <w:t>47 CFR § 64.6</w:t>
      </w:r>
      <w:r w:rsidR="00290BA7">
        <w:t>010</w:t>
      </w:r>
      <w:r w:rsidR="00342A58">
        <w:t xml:space="preserve">; </w:t>
      </w:r>
      <w:r w:rsidR="00723082">
        <w:rPr>
          <w:i/>
          <w:iCs/>
        </w:rPr>
        <w:t>Wireline Competition Bureau Announces Effective Dates of 2024 Incarcerated People’s Communications Services Order and Comment Dates for 2024 Incarcerated People’s Communications Services Further Notice of Proposed Rulemaking</w:t>
      </w:r>
      <w:r w:rsidR="00723082">
        <w:t xml:space="preserve">, </w:t>
      </w:r>
      <w:r w:rsidR="00EC6F20">
        <w:t xml:space="preserve">WC Docket Nos. </w:t>
      </w:r>
      <w:r w:rsidR="00AB4E1F">
        <w:t xml:space="preserve">23-62; 12-375, </w:t>
      </w:r>
      <w:r w:rsidR="00723082">
        <w:t>Public Notice, DA 24-969, at 1 (WCB Sept. 20, 2024)</w:t>
      </w:r>
      <w:r w:rsidR="00C74623">
        <w:t xml:space="preserve"> </w:t>
      </w:r>
      <w:r w:rsidR="00D67992">
        <w:t>(</w:t>
      </w:r>
      <w:r w:rsidR="00F70C53">
        <w:rPr>
          <w:i/>
          <w:iCs/>
        </w:rPr>
        <w:t>IPCS Effective Date Notice</w:t>
      </w:r>
      <w:r w:rsidR="00F70C53">
        <w:t>)</w:t>
      </w:r>
      <w:r w:rsidR="00723082">
        <w:t>.</w:t>
      </w:r>
    </w:p>
  </w:footnote>
  <w:footnote w:id="9">
    <w:p w:rsidR="00C64A64" w:rsidRPr="00F8014B" w14:paraId="7041CCA2" w14:textId="1E2D6EB8">
      <w:pPr>
        <w:pStyle w:val="FootnoteText"/>
      </w:pPr>
      <w:r>
        <w:rPr>
          <w:rStyle w:val="FootnoteReference"/>
        </w:rPr>
        <w:footnoteRef/>
      </w:r>
      <w:r>
        <w:t xml:space="preserve"> </w:t>
      </w:r>
      <w:r w:rsidR="00734BBD">
        <w:t>47 CFR §</w:t>
      </w:r>
      <w:r w:rsidR="005215C2">
        <w:t> </w:t>
      </w:r>
      <w:r w:rsidR="00734BBD">
        <w:t>64.6010(a)</w:t>
      </w:r>
      <w:r w:rsidR="00F23BE7">
        <w:t xml:space="preserve">.  </w:t>
      </w:r>
      <w:r w:rsidR="00F23BE7">
        <w:rPr>
          <w:i/>
          <w:iCs/>
        </w:rPr>
        <w:t>See also</w:t>
      </w:r>
      <w:r w:rsidR="00F23BE7">
        <w:t xml:space="preserve"> </w:t>
      </w:r>
      <w:r w:rsidR="00F70C53">
        <w:rPr>
          <w:i/>
          <w:iCs/>
        </w:rPr>
        <w:t>IPC</w:t>
      </w:r>
      <w:r w:rsidR="00B433AE">
        <w:rPr>
          <w:i/>
          <w:iCs/>
        </w:rPr>
        <w:t>S Effective Date Notice</w:t>
      </w:r>
      <w:r w:rsidR="00966863">
        <w:t xml:space="preserve">, </w:t>
      </w:r>
      <w:r w:rsidR="003C0A15">
        <w:t>at 1</w:t>
      </w:r>
      <w:r w:rsidR="000A6719">
        <w:t xml:space="preserve">.  </w:t>
      </w:r>
    </w:p>
  </w:footnote>
  <w:footnote w:id="10">
    <w:p w:rsidR="00CD68F5" w14:paraId="77FC15BC" w14:textId="426AA447">
      <w:pPr>
        <w:pStyle w:val="FootnoteText"/>
      </w:pPr>
      <w:r>
        <w:rPr>
          <w:rStyle w:val="FootnoteReference"/>
        </w:rPr>
        <w:footnoteRef/>
      </w:r>
      <w:r>
        <w:t xml:space="preserve"> 47 CFR §</w:t>
      </w:r>
      <w:r w:rsidR="005215C2">
        <w:t> </w:t>
      </w:r>
      <w:r>
        <w:t>64.6080</w:t>
      </w:r>
      <w:r w:rsidR="009A487C">
        <w:t>.</w:t>
      </w:r>
      <w:r w:rsidRPr="00982153" w:rsidR="00982153">
        <w:t xml:space="preserve"> </w:t>
      </w:r>
      <w:r w:rsidR="00982153">
        <w:t xml:space="preserve"> </w:t>
      </w:r>
      <w:r w:rsidR="001B3F75">
        <w:t xml:space="preserve">A </w:t>
      </w:r>
      <w:r w:rsidR="00982153">
        <w:t>“Per-</w:t>
      </w:r>
      <w:r w:rsidR="001B3F75">
        <w:t>C</w:t>
      </w:r>
      <w:r w:rsidR="00982153">
        <w:t xml:space="preserve">all, </w:t>
      </w:r>
      <w:r w:rsidR="001B3F75">
        <w:t>P</w:t>
      </w:r>
      <w:r w:rsidR="00982153">
        <w:t>er-</w:t>
      </w:r>
      <w:r w:rsidR="001B3F75">
        <w:t>C</w:t>
      </w:r>
      <w:r w:rsidR="00982153">
        <w:t xml:space="preserve">onnection, or </w:t>
      </w:r>
      <w:r w:rsidR="001B3F75">
        <w:t>P</w:t>
      </w:r>
      <w:r w:rsidR="00982153">
        <w:t>er-</w:t>
      </w:r>
      <w:r w:rsidR="001B3F75">
        <w:t>C</w:t>
      </w:r>
      <w:r w:rsidR="00982153">
        <w:t xml:space="preserve">ommunication </w:t>
      </w:r>
      <w:r w:rsidR="001B3F75">
        <w:t>C</w:t>
      </w:r>
      <w:r w:rsidR="00982153">
        <w:t xml:space="preserve">harge” is defined as “a one-time fee charged to a Consumer of IPCS at call or communication initiation.” </w:t>
      </w:r>
      <w:r w:rsidRPr="00982153" w:rsidR="00982153">
        <w:t xml:space="preserve"> </w:t>
      </w:r>
      <w:r w:rsidR="00982153">
        <w:t>47 CFR §</w:t>
      </w:r>
      <w:r w:rsidR="005215C2">
        <w:t> </w:t>
      </w:r>
      <w:r w:rsidR="00982153">
        <w:t>64.6000.</w:t>
      </w:r>
    </w:p>
  </w:footnote>
  <w:footnote w:id="11">
    <w:p w:rsidR="005B2B11" w:rsidRPr="00F51694" w14:paraId="08930D34" w14:textId="328E24B7">
      <w:pPr>
        <w:pStyle w:val="FootnoteText"/>
      </w:pPr>
      <w:r>
        <w:rPr>
          <w:rStyle w:val="FootnoteReference"/>
        </w:rPr>
        <w:footnoteRef/>
      </w:r>
      <w:r>
        <w:t xml:space="preserve"> </w:t>
      </w:r>
      <w:r w:rsidR="006F672A">
        <w:t>TKC Waiver Petition at 1</w:t>
      </w:r>
      <w:r w:rsidR="00604470">
        <w:t>-2</w:t>
      </w:r>
      <w:r w:rsidR="007A2003">
        <w:t xml:space="preserve"> (citing </w:t>
      </w:r>
      <w:r w:rsidR="003B62E4">
        <w:t xml:space="preserve">47 CFR </w:t>
      </w:r>
      <w:r w:rsidR="002B129C">
        <w:t>§§ </w:t>
      </w:r>
      <w:r w:rsidR="00AA64C7">
        <w:t>64.6010</w:t>
      </w:r>
      <w:r w:rsidR="00DE3A51">
        <w:t xml:space="preserve"> and</w:t>
      </w:r>
      <w:r w:rsidR="00AA64C7">
        <w:t xml:space="preserve"> </w:t>
      </w:r>
      <w:r w:rsidR="00E351F4">
        <w:t>64.6080</w:t>
      </w:r>
      <w:r w:rsidR="00DE3A51">
        <w:t>)</w:t>
      </w:r>
      <w:r w:rsidR="00F51694">
        <w:t xml:space="preserve">. </w:t>
      </w:r>
      <w:r w:rsidR="001D4CF1">
        <w:t xml:space="preserve"> </w:t>
      </w:r>
      <w:r w:rsidRPr="001D4CF1" w:rsidR="001D4CF1">
        <w:t xml:space="preserve">No party filed </w:t>
      </w:r>
      <w:r w:rsidR="00EC5BD8">
        <w:t>i</w:t>
      </w:r>
      <w:r w:rsidRPr="001D4CF1" w:rsidR="001D4CF1">
        <w:t xml:space="preserve">n </w:t>
      </w:r>
      <w:r w:rsidR="008C0CD0">
        <w:t xml:space="preserve">response </w:t>
      </w:r>
      <w:r w:rsidRPr="001D4CF1" w:rsidR="001D4CF1">
        <w:t xml:space="preserve">to </w:t>
      </w:r>
      <w:r w:rsidR="006827C0">
        <w:t>TKC</w:t>
      </w:r>
      <w:r w:rsidRPr="001D4CF1" w:rsidR="001D4CF1">
        <w:t xml:space="preserve">’s </w:t>
      </w:r>
      <w:r w:rsidR="00F64A16">
        <w:t>P</w:t>
      </w:r>
      <w:r w:rsidRPr="001D4CF1" w:rsidR="001D4CF1">
        <w:t>etition.</w:t>
      </w:r>
      <w:r w:rsidR="00900680">
        <w:t xml:space="preserve">  47 CFR §</w:t>
      </w:r>
      <w:r w:rsidR="005215C2">
        <w:t> </w:t>
      </w:r>
      <w:r w:rsidR="00811E4F">
        <w:t>1.45</w:t>
      </w:r>
      <w:r w:rsidR="0068701F">
        <w:t>.</w:t>
      </w:r>
      <w:r w:rsidR="00896A7A">
        <w:t xml:space="preserve">  </w:t>
      </w:r>
      <w:r w:rsidR="00927218">
        <w:t xml:space="preserve">We acknowledge that </w:t>
      </w:r>
      <w:r w:rsidR="006827C0">
        <w:t>TKC</w:t>
      </w:r>
      <w:r w:rsidR="00FB3B6D">
        <w:t xml:space="preserve"> filed its Petition after the </w:t>
      </w:r>
      <w:r w:rsidR="00927218">
        <w:t xml:space="preserve">Commission’s rules adopted in the </w:t>
      </w:r>
      <w:r w:rsidR="00927218">
        <w:rPr>
          <w:i/>
          <w:iCs/>
        </w:rPr>
        <w:t>2024 IPCS Order</w:t>
      </w:r>
      <w:r w:rsidR="00927218">
        <w:t xml:space="preserve"> went into effect on November 19, 2024</w:t>
      </w:r>
      <w:r w:rsidR="003B3ACD">
        <w:t xml:space="preserve">; </w:t>
      </w:r>
      <w:r w:rsidR="00F607C5">
        <w:t xml:space="preserve">under </w:t>
      </w:r>
      <w:r w:rsidR="003B3ACD">
        <w:t>the same rationale as we outline below</w:t>
      </w:r>
      <w:r w:rsidR="00F66F35">
        <w:t>,</w:t>
      </w:r>
      <w:r w:rsidR="00A9200B">
        <w:t xml:space="preserve"> </w:t>
      </w:r>
      <w:r w:rsidR="003B3ACD">
        <w:t>w</w:t>
      </w:r>
      <w:r w:rsidR="00927218">
        <w:t xml:space="preserve">e find it in the public interest to grant the waiver request </w:t>
      </w:r>
      <w:r w:rsidR="00C12E63">
        <w:t>retroactive</w:t>
      </w:r>
      <w:r w:rsidR="002B7FE7">
        <w:t xml:space="preserve"> to November 19, 2024 </w:t>
      </w:r>
      <w:r w:rsidR="00927218">
        <w:t>as set forth her</w:t>
      </w:r>
      <w:r w:rsidR="002B7FE7">
        <w:t>ein</w:t>
      </w:r>
      <w:r w:rsidR="00927218">
        <w:t xml:space="preserve">.   </w:t>
      </w:r>
      <w:r w:rsidR="001D4CF1">
        <w:t xml:space="preserve"> </w:t>
      </w:r>
    </w:p>
  </w:footnote>
  <w:footnote w:id="12">
    <w:p w:rsidR="0023720C" w14:paraId="5B645FF1" w14:textId="06727E76">
      <w:pPr>
        <w:pStyle w:val="FootnoteText"/>
      </w:pPr>
      <w:r>
        <w:rPr>
          <w:rStyle w:val="FootnoteReference"/>
        </w:rPr>
        <w:footnoteRef/>
      </w:r>
      <w:r>
        <w:t xml:space="preserve"> </w:t>
      </w:r>
      <w:r w:rsidR="00A61851">
        <w:t>TKC Waiver Petition at 2; Wahlin Decl. at 2, para.</w:t>
      </w:r>
      <w:r w:rsidR="00D05E94">
        <w:t xml:space="preserve"> 5.</w:t>
      </w:r>
    </w:p>
  </w:footnote>
  <w:footnote w:id="13">
    <w:p w:rsidR="004E662F" w14:paraId="2E0BF153" w14:textId="14E230D9">
      <w:pPr>
        <w:pStyle w:val="FootnoteText"/>
      </w:pPr>
      <w:r>
        <w:rPr>
          <w:rStyle w:val="FootnoteReference"/>
        </w:rPr>
        <w:footnoteRef/>
      </w:r>
      <w:r>
        <w:t xml:space="preserve"> TKC Waiver Petition at 1</w:t>
      </w:r>
      <w:r w:rsidR="00C0672F">
        <w:t>; Wahlin Decl</w:t>
      </w:r>
      <w:r w:rsidR="00D13EB0">
        <w:t>.</w:t>
      </w:r>
      <w:r w:rsidR="00C0672F">
        <w:t xml:space="preserve"> at 2, para. 4</w:t>
      </w:r>
      <w:r w:rsidR="00DE675D">
        <w:t xml:space="preserve">.  </w:t>
      </w:r>
    </w:p>
  </w:footnote>
  <w:footnote w:id="14">
    <w:p w:rsidR="00BF7F86" w14:paraId="32F4D78F" w14:textId="4387D4BA">
      <w:pPr>
        <w:pStyle w:val="FootnoteText"/>
      </w:pPr>
      <w:r>
        <w:rPr>
          <w:rStyle w:val="FootnoteReference"/>
        </w:rPr>
        <w:footnoteRef/>
      </w:r>
      <w:r>
        <w:t xml:space="preserve"> </w:t>
      </w:r>
      <w:r w:rsidR="00C15101">
        <w:t>TKC Waiver Petition at 3-4</w:t>
      </w:r>
      <w:r w:rsidR="008C0CD0">
        <w:t>.  TKC further states that it “needs to develop the new systems while keeping and maintaining the existing systems.  These systems need to run in parallel, but also not interfere with the operation of each other.”</w:t>
      </w:r>
      <w:r w:rsidR="00C15101">
        <w:t xml:space="preserve"> </w:t>
      </w:r>
      <w:r w:rsidR="008C0CD0">
        <w:t xml:space="preserve"> </w:t>
      </w:r>
      <w:r w:rsidR="00A77D61">
        <w:t>Wahlin Decl</w:t>
      </w:r>
      <w:r w:rsidR="00D13EB0">
        <w:t>.</w:t>
      </w:r>
      <w:r w:rsidR="00A77D61">
        <w:t xml:space="preserve"> at </w:t>
      </w:r>
      <w:r w:rsidR="00C15101">
        <w:t>7</w:t>
      </w:r>
      <w:r w:rsidR="00A77D61">
        <w:t xml:space="preserve">, para. </w:t>
      </w:r>
      <w:r w:rsidR="00C15101">
        <w:t>1</w:t>
      </w:r>
      <w:r w:rsidR="008C0CD0">
        <w:t>7</w:t>
      </w:r>
      <w:r w:rsidR="00990918">
        <w:t>.</w:t>
      </w:r>
    </w:p>
  </w:footnote>
  <w:footnote w:id="15">
    <w:p w:rsidR="00BA32A6" w14:paraId="4CC4DCC2" w14:textId="60002311">
      <w:pPr>
        <w:pStyle w:val="FootnoteText"/>
      </w:pPr>
      <w:r>
        <w:rPr>
          <w:rStyle w:val="FootnoteReference"/>
        </w:rPr>
        <w:footnoteRef/>
      </w:r>
      <w:r>
        <w:t xml:space="preserve"> </w:t>
      </w:r>
      <w:r w:rsidRPr="00BA32A6">
        <w:t xml:space="preserve">Wahlin Decl. at </w:t>
      </w:r>
      <w:r>
        <w:t>8</w:t>
      </w:r>
      <w:r w:rsidRPr="00BA32A6">
        <w:t xml:space="preserve">, para. </w:t>
      </w:r>
      <w:r>
        <w:t xml:space="preserve">21; </w:t>
      </w:r>
      <w:r w:rsidRPr="00BA32A6">
        <w:t xml:space="preserve">TKC Waiver Petition at </w:t>
      </w:r>
      <w:r>
        <w:t>2</w:t>
      </w:r>
      <w:r w:rsidRPr="00BA32A6">
        <w:t xml:space="preserve">.  </w:t>
      </w:r>
    </w:p>
  </w:footnote>
  <w:footnote w:id="16">
    <w:p w:rsidR="00B936D2" w:rsidRPr="006C6E0E" w14:paraId="669760B1" w14:textId="5C982778">
      <w:pPr>
        <w:pStyle w:val="FootnoteText"/>
      </w:pPr>
      <w:r>
        <w:rPr>
          <w:rStyle w:val="FootnoteReference"/>
        </w:rPr>
        <w:footnoteRef/>
      </w:r>
      <w:r>
        <w:t xml:space="preserve"> TKC Waiver Petition at </w:t>
      </w:r>
      <w:r w:rsidR="00675A98">
        <w:t>2</w:t>
      </w:r>
      <w:r>
        <w:t>.</w:t>
      </w:r>
      <w:r w:rsidR="003F6441">
        <w:t xml:space="preserve">  </w:t>
      </w:r>
      <w:r w:rsidR="005D2C63">
        <w:rPr>
          <w:i/>
          <w:iCs/>
        </w:rPr>
        <w:t>S</w:t>
      </w:r>
      <w:r w:rsidR="00703342">
        <w:rPr>
          <w:i/>
          <w:iCs/>
        </w:rPr>
        <w:t>ee also</w:t>
      </w:r>
      <w:r w:rsidR="00703342">
        <w:t xml:space="preserve"> Wahlin Decl</w:t>
      </w:r>
      <w:r w:rsidR="00D13EB0">
        <w:t>.</w:t>
      </w:r>
      <w:r w:rsidR="00703342">
        <w:t xml:space="preserve"> at </w:t>
      </w:r>
      <w:r w:rsidR="0074375D">
        <w:t>6</w:t>
      </w:r>
      <w:r w:rsidR="008652F7">
        <w:t>-8</w:t>
      </w:r>
      <w:r w:rsidR="00703342">
        <w:t>, para</w:t>
      </w:r>
      <w:r w:rsidR="00FE54A0">
        <w:t>s</w:t>
      </w:r>
      <w:r w:rsidR="00703342">
        <w:t>. 17</w:t>
      </w:r>
      <w:r w:rsidR="00FE54A0">
        <w:t>-18</w:t>
      </w:r>
      <w:r w:rsidR="008652F7">
        <w:t>, 20</w:t>
      </w:r>
      <w:r w:rsidR="00703342">
        <w:t xml:space="preserve"> (</w:t>
      </w:r>
      <w:r w:rsidR="003B73C7">
        <w:t xml:space="preserve">concluding </w:t>
      </w:r>
      <w:r w:rsidR="00E71EA4">
        <w:t xml:space="preserve">that </w:t>
      </w:r>
      <w:r w:rsidR="00265DAC">
        <w:t xml:space="preserve">the </w:t>
      </w:r>
      <w:r w:rsidR="00EE0F8C">
        <w:t>amount</w:t>
      </w:r>
      <w:r w:rsidR="00956BF5">
        <w:t xml:space="preserve"> of “</w:t>
      </w:r>
      <w:r w:rsidR="00EE0F8C">
        <w:t>resources required to keep and maintain parallel systems</w:t>
      </w:r>
      <w:r w:rsidR="003D6AEC">
        <w:t xml:space="preserve"> </w:t>
      </w:r>
      <w:r w:rsidR="00EE0F8C">
        <w:t>is daunting”)</w:t>
      </w:r>
      <w:r w:rsidR="00A53AC8">
        <w:t>.</w:t>
      </w:r>
    </w:p>
  </w:footnote>
  <w:footnote w:id="17">
    <w:p w:rsidR="00A37FD7" w:rsidRPr="00936C09" w14:paraId="1CF0A6E9" w14:textId="776D868B">
      <w:pPr>
        <w:pStyle w:val="FootnoteText"/>
      </w:pPr>
      <w:r>
        <w:rPr>
          <w:rStyle w:val="FootnoteReference"/>
        </w:rPr>
        <w:footnoteRef/>
      </w:r>
      <w:r>
        <w:t xml:space="preserve"> Wahlin Decl</w:t>
      </w:r>
      <w:r w:rsidR="00D13EB0">
        <w:t>.</w:t>
      </w:r>
      <w:r>
        <w:t xml:space="preserve"> at 2-</w:t>
      </w:r>
      <w:r w:rsidR="0001747F">
        <w:t>3</w:t>
      </w:r>
      <w:r>
        <w:t>,</w:t>
      </w:r>
      <w:r w:rsidR="00E52A8C">
        <w:t xml:space="preserve"> 5</w:t>
      </w:r>
      <w:r w:rsidR="00C90C76">
        <w:t>,</w:t>
      </w:r>
      <w:r>
        <w:t xml:space="preserve"> para</w:t>
      </w:r>
      <w:r w:rsidR="00E52A8C">
        <w:t>s</w:t>
      </w:r>
      <w:r>
        <w:t>. 6</w:t>
      </w:r>
      <w:r w:rsidR="00463870">
        <w:t>,</w:t>
      </w:r>
      <w:r w:rsidR="00F12048">
        <w:t xml:space="preserve"> </w:t>
      </w:r>
      <w:r w:rsidR="00E52A8C">
        <w:t>14</w:t>
      </w:r>
      <w:r w:rsidR="00463870">
        <w:t xml:space="preserve"> (noting </w:t>
      </w:r>
      <w:r w:rsidR="00FD49D2">
        <w:t xml:space="preserve">that </w:t>
      </w:r>
      <w:r w:rsidR="00463870">
        <w:t xml:space="preserve">video IPCS </w:t>
      </w:r>
      <w:r w:rsidR="00836F1C">
        <w:t xml:space="preserve">software has to </w:t>
      </w:r>
      <w:r w:rsidR="00FD49D2">
        <w:t xml:space="preserve">be </w:t>
      </w:r>
      <w:r w:rsidR="00BA1DFA">
        <w:t>“reengineered”</w:t>
      </w:r>
      <w:r w:rsidR="00996092">
        <w:t xml:space="preserve"> to </w:t>
      </w:r>
      <w:r w:rsidR="00BA1DFA">
        <w:t>handle location of calls</w:t>
      </w:r>
      <w:r w:rsidR="00FD49D2">
        <w:t xml:space="preserve"> and </w:t>
      </w:r>
      <w:r w:rsidR="00957E74">
        <w:t xml:space="preserve">the fees and taxes associated with video IPCS, </w:t>
      </w:r>
      <w:r w:rsidR="00996092">
        <w:t>while</w:t>
      </w:r>
      <w:r w:rsidRPr="00E25839" w:rsidR="00996092">
        <w:t xml:space="preserve"> </w:t>
      </w:r>
      <w:r w:rsidR="00957E74">
        <w:t xml:space="preserve">on the other hand, </w:t>
      </w:r>
      <w:r w:rsidR="00996092">
        <w:t>“</w:t>
      </w:r>
      <w:r w:rsidRPr="00E25839" w:rsidR="00463870">
        <w:t xml:space="preserve">all fees and charges currently applied to </w:t>
      </w:r>
      <w:r w:rsidR="00463870">
        <w:t xml:space="preserve">. . . </w:t>
      </w:r>
      <w:r w:rsidRPr="00E25839" w:rsidR="00463870">
        <w:t>user accounts, must be eliminated</w:t>
      </w:r>
      <w:r w:rsidR="00463870">
        <w:t>”)</w:t>
      </w:r>
      <w:r w:rsidR="0001747F">
        <w:t>.</w:t>
      </w:r>
      <w:r w:rsidR="00121184">
        <w:t xml:space="preserve">  </w:t>
      </w:r>
    </w:p>
  </w:footnote>
  <w:footnote w:id="18">
    <w:p w:rsidR="00B4772F" w14:paraId="580568C0" w14:textId="18BCDFE7">
      <w:pPr>
        <w:pStyle w:val="FootnoteText"/>
      </w:pPr>
      <w:r>
        <w:rPr>
          <w:rStyle w:val="FootnoteReference"/>
        </w:rPr>
        <w:footnoteRef/>
      </w:r>
      <w:r>
        <w:t xml:space="preserve"> </w:t>
      </w:r>
      <w:r w:rsidR="005A4A6D">
        <w:rPr>
          <w:i/>
          <w:iCs/>
        </w:rPr>
        <w:t xml:space="preserve">See </w:t>
      </w:r>
      <w:r w:rsidRPr="00F961DE" w:rsidR="00F961DE">
        <w:rPr>
          <w:i/>
          <w:iCs/>
        </w:rPr>
        <w:t xml:space="preserve">Incarcerated People’s Communications Services; Implementation of the Martha Wright-Reed Act; </w:t>
      </w:r>
      <w:r w:rsidR="00F961DE">
        <w:rPr>
          <w:i/>
          <w:iCs/>
        </w:rPr>
        <w:t>Rates for Interstate Inmate Calling Services</w:t>
      </w:r>
      <w:r w:rsidR="00F961DE">
        <w:t>, WC Docket Nos. 23-62 and 12-375,</w:t>
      </w:r>
      <w:r w:rsidR="00F961DE">
        <w:rPr>
          <w:i/>
          <w:iCs/>
        </w:rPr>
        <w:t xml:space="preserve"> </w:t>
      </w:r>
      <w:r w:rsidRPr="005A4A6D" w:rsidR="005A4A6D">
        <w:t>Order, DA 24-1277 (</w:t>
      </w:r>
      <w:r w:rsidR="0056208B">
        <w:t xml:space="preserve">WCB </w:t>
      </w:r>
      <w:r w:rsidRPr="005A4A6D" w:rsidR="005A4A6D">
        <w:t>Dec. 19, 2024)</w:t>
      </w:r>
      <w:r w:rsidR="00C12DC0">
        <w:t xml:space="preserve"> (</w:t>
      </w:r>
      <w:r w:rsidRPr="00623353" w:rsidR="00C12DC0">
        <w:rPr>
          <w:i/>
          <w:iCs/>
        </w:rPr>
        <w:t>Securus Waiver Order</w:t>
      </w:r>
      <w:r w:rsidR="00C12DC0">
        <w:t>)</w:t>
      </w:r>
      <w:r w:rsidR="00B67D93">
        <w:t>.</w:t>
      </w:r>
    </w:p>
  </w:footnote>
  <w:footnote w:id="19">
    <w:p w:rsidR="007740D9" w14:paraId="00F11437" w14:textId="4CAA808A">
      <w:pPr>
        <w:pStyle w:val="FootnoteText"/>
      </w:pPr>
      <w:r>
        <w:rPr>
          <w:rStyle w:val="FootnoteReference"/>
        </w:rPr>
        <w:footnoteRef/>
      </w:r>
      <w:r>
        <w:t xml:space="preserve"> TKC Waiver Petition at 4.</w:t>
      </w:r>
    </w:p>
  </w:footnote>
  <w:footnote w:id="20">
    <w:p w:rsidR="00687C4D" w:rsidRPr="00687C4D" w14:paraId="5F89A21D" w14:textId="105573EA">
      <w:pPr>
        <w:pStyle w:val="FootnoteText"/>
      </w:pPr>
      <w:r>
        <w:rPr>
          <w:rStyle w:val="FootnoteReference"/>
        </w:rPr>
        <w:footnoteRef/>
      </w:r>
      <w:r>
        <w:t xml:space="preserve"> </w:t>
      </w:r>
      <w:r w:rsidRPr="00226589" w:rsidR="002138CC">
        <w:rPr>
          <w:i/>
          <w:iCs/>
        </w:rPr>
        <w:t>Id</w:t>
      </w:r>
      <w:r w:rsidR="002138CC">
        <w:t xml:space="preserve">. </w:t>
      </w:r>
      <w:r>
        <w:t>at 2</w:t>
      </w:r>
      <w:r w:rsidR="00010F79">
        <w:t xml:space="preserve">; </w:t>
      </w:r>
      <w:r w:rsidR="00010F79">
        <w:rPr>
          <w:i/>
          <w:iCs/>
        </w:rPr>
        <w:t xml:space="preserve">see also </w:t>
      </w:r>
      <w:r w:rsidR="00010F79">
        <w:t>Wahlin Decl</w:t>
      </w:r>
      <w:r w:rsidR="00D13EB0">
        <w:t>.</w:t>
      </w:r>
      <w:r w:rsidR="00010F79">
        <w:t xml:space="preserve"> at 7-8, para. 19</w:t>
      </w:r>
      <w:r w:rsidR="00BD1C98">
        <w:t xml:space="preserve"> (noting the difference in resources available to TKC and Securus)</w:t>
      </w:r>
      <w:r>
        <w:t xml:space="preserve">.  </w:t>
      </w:r>
    </w:p>
  </w:footnote>
  <w:footnote w:id="21">
    <w:p w:rsidR="0069316E" w14:paraId="65668949" w14:textId="695A3365">
      <w:pPr>
        <w:pStyle w:val="FootnoteText"/>
      </w:pPr>
      <w:r>
        <w:rPr>
          <w:rStyle w:val="FootnoteReference"/>
        </w:rPr>
        <w:footnoteRef/>
      </w:r>
      <w:r>
        <w:t xml:space="preserve"> TKC Waiver Petition at </w:t>
      </w:r>
      <w:r w:rsidR="001D2D0D">
        <w:t>2, 4</w:t>
      </w:r>
      <w:r w:rsidR="00D802C1">
        <w:t>-5</w:t>
      </w:r>
      <w:r w:rsidR="001D2D0D">
        <w:t>.</w:t>
      </w:r>
    </w:p>
  </w:footnote>
  <w:footnote w:id="22">
    <w:p w:rsidR="00BD790D" w14:paraId="685B18CC" w14:textId="394C88C9">
      <w:pPr>
        <w:pStyle w:val="FootnoteText"/>
      </w:pPr>
      <w:r>
        <w:rPr>
          <w:rStyle w:val="FootnoteReference"/>
        </w:rPr>
        <w:footnoteRef/>
      </w:r>
      <w:r>
        <w:t xml:space="preserve"> </w:t>
      </w:r>
      <w:r w:rsidR="00386A82">
        <w:t xml:space="preserve"> </w:t>
      </w:r>
      <w:r w:rsidRPr="00386A82" w:rsidR="00386A82">
        <w:rPr>
          <w:i/>
          <w:iCs/>
        </w:rPr>
        <w:t>Id</w:t>
      </w:r>
      <w:r w:rsidR="00386A82">
        <w:t xml:space="preserve">. </w:t>
      </w:r>
      <w:r>
        <w:t>at 5.</w:t>
      </w:r>
    </w:p>
  </w:footnote>
  <w:footnote w:id="23">
    <w:p w:rsidR="008145E6" w14:paraId="34072B05" w14:textId="12235574">
      <w:pPr>
        <w:pStyle w:val="FootnoteText"/>
      </w:pPr>
      <w:r>
        <w:rPr>
          <w:rStyle w:val="FootnoteReference"/>
        </w:rPr>
        <w:footnoteRef/>
      </w:r>
      <w:r>
        <w:t xml:space="preserve"> </w:t>
      </w:r>
      <w:r w:rsidRPr="008D371B" w:rsidR="00B10EBE">
        <w:rPr>
          <w:i/>
          <w:iCs/>
        </w:rPr>
        <w:t>See</w:t>
      </w:r>
      <w:r w:rsidR="00B10EBE">
        <w:t xml:space="preserve"> </w:t>
      </w:r>
      <w:r w:rsidRPr="00B10EBE" w:rsidR="00B10EBE">
        <w:t>47 CFR §§ 64.6010</w:t>
      </w:r>
      <w:r w:rsidR="00BB1391">
        <w:t>(a), (c)-(e)</w:t>
      </w:r>
      <w:r w:rsidRPr="00B10EBE" w:rsidR="00B10EBE">
        <w:t>, 64.6080</w:t>
      </w:r>
      <w:r w:rsidR="00B10EBE">
        <w:t xml:space="preserve">.  </w:t>
      </w:r>
      <w:r>
        <w:t>This waiver applies only to TKC</w:t>
      </w:r>
      <w:r w:rsidR="002138CC">
        <w:t xml:space="preserve"> Telecom</w:t>
      </w:r>
      <w:r w:rsidR="00D16B0E">
        <w:t>, TurnKey, and Kimble’s</w:t>
      </w:r>
      <w:r>
        <w:t>.  It does not apply to any other IPCS provider or any IPCS provider that may be served by TKC or its affiliate</w:t>
      </w:r>
      <w:r w:rsidR="008B3B17">
        <w:t>d companies</w:t>
      </w:r>
      <w:r>
        <w:t xml:space="preserve">.  </w:t>
      </w:r>
      <w:r w:rsidR="00D670C4">
        <w:t>Based on the text of it</w:t>
      </w:r>
      <w:r w:rsidR="004631BA">
        <w:t>s</w:t>
      </w:r>
      <w:r w:rsidR="00D670C4">
        <w:t xml:space="preserve"> Petition, </w:t>
      </w:r>
      <w:r w:rsidR="00522FD6">
        <w:t xml:space="preserve">TKC does not seek or need a waiver of </w:t>
      </w:r>
      <w:r w:rsidR="00B14FE3">
        <w:t xml:space="preserve">rule </w:t>
      </w:r>
      <w:r w:rsidR="00522FD6">
        <w:t xml:space="preserve">64.6010(b) which applies exclusively to audio IPCS.  </w:t>
      </w:r>
      <w:r>
        <w:t>Additionally, we do not interpret TKC’s waiver petition as a request to offer an alternate pricing plan for video IPCS</w:t>
      </w:r>
      <w:r w:rsidR="000F6275">
        <w:t>.</w:t>
      </w:r>
      <w:r>
        <w:t xml:space="preserve"> </w:t>
      </w:r>
      <w:r w:rsidR="000F6275">
        <w:t xml:space="preserve"> </w:t>
      </w:r>
      <w:r>
        <w:t xml:space="preserve">47 CFR § 64.6140.       </w:t>
      </w:r>
    </w:p>
  </w:footnote>
  <w:footnote w:id="24">
    <w:p w:rsidR="008145E6" w:rsidP="008145E6" w14:paraId="54A962C1" w14:textId="6650DF29">
      <w:pPr>
        <w:pStyle w:val="FootnoteText"/>
      </w:pPr>
      <w:r>
        <w:rPr>
          <w:rStyle w:val="FootnoteReference"/>
        </w:rPr>
        <w:footnoteRef/>
      </w:r>
      <w:r>
        <w:t xml:space="preserve"> 47 CFR § 1.3.  </w:t>
      </w:r>
    </w:p>
  </w:footnote>
  <w:footnote w:id="25">
    <w:p w:rsidR="008145E6" w:rsidRPr="00946939" w:rsidP="008145E6" w14:paraId="013E73AA" w14:textId="77777777">
      <w:pPr>
        <w:pStyle w:val="FootnoteText"/>
      </w:pPr>
      <w:r>
        <w:rPr>
          <w:rStyle w:val="FootnoteReference"/>
        </w:rPr>
        <w:footnoteRef/>
      </w:r>
      <w:r>
        <w:t xml:space="preserve"> </w:t>
      </w:r>
      <w:r>
        <w:rPr>
          <w:i/>
          <w:iCs/>
        </w:rPr>
        <w:t>Northeast Cellular Tel. Co. v. FCC</w:t>
      </w:r>
      <w:r>
        <w:t>, 894 F.2d 1164, 1166 (D.C. Cir. 1990) (</w:t>
      </w:r>
      <w:r>
        <w:rPr>
          <w:i/>
          <w:iCs/>
        </w:rPr>
        <w:t>Northeast Cellular</w:t>
      </w:r>
      <w:r>
        <w:t xml:space="preserve">). </w:t>
      </w:r>
    </w:p>
  </w:footnote>
  <w:footnote w:id="26">
    <w:p w:rsidR="008145E6" w:rsidRPr="000E10C3" w:rsidP="008145E6" w14:paraId="53E7E34D" w14:textId="77777777">
      <w:pPr>
        <w:pStyle w:val="FootnoteText"/>
      </w:pPr>
      <w:r>
        <w:rPr>
          <w:rStyle w:val="FootnoteReference"/>
        </w:rPr>
        <w:footnoteRef/>
      </w:r>
      <w:r>
        <w:t xml:space="preserve"> </w:t>
      </w:r>
      <w:r>
        <w:rPr>
          <w:i/>
          <w:iCs/>
        </w:rPr>
        <w:t>WAIT Radio v. FCC</w:t>
      </w:r>
      <w:r>
        <w:t xml:space="preserve">, 418 F.2d 1154, 1159 (D.C. Cir. 1969); </w:t>
      </w:r>
      <w:r>
        <w:rPr>
          <w:i/>
          <w:iCs/>
        </w:rPr>
        <w:t>Northeast Cellular</w:t>
      </w:r>
      <w:r>
        <w:t xml:space="preserve">, 897 F.2d at 1166.  </w:t>
      </w:r>
    </w:p>
  </w:footnote>
  <w:footnote w:id="27">
    <w:p w:rsidR="008145E6" w:rsidP="008145E6" w14:paraId="0207D0B4" w14:textId="77777777">
      <w:pPr>
        <w:pStyle w:val="FootnoteText"/>
      </w:pPr>
      <w:r>
        <w:rPr>
          <w:rStyle w:val="FootnoteReference"/>
        </w:rPr>
        <w:footnoteRef/>
      </w:r>
      <w:r>
        <w:t xml:space="preserve"> </w:t>
      </w:r>
      <w:r>
        <w:rPr>
          <w:i/>
          <w:iCs/>
        </w:rPr>
        <w:t>Northeast Cellular</w:t>
      </w:r>
      <w:r>
        <w:t xml:space="preserve">, 897 F.2d at 1166.  </w:t>
      </w:r>
    </w:p>
  </w:footnote>
  <w:footnote w:id="28">
    <w:p w:rsidR="007C675A" w:rsidRPr="00A97B90" w14:paraId="28F65B9E" w14:textId="16604880">
      <w:pPr>
        <w:pStyle w:val="FootnoteText"/>
      </w:pPr>
      <w:r>
        <w:rPr>
          <w:rStyle w:val="FootnoteReference"/>
        </w:rPr>
        <w:footnoteRef/>
      </w:r>
      <w:r>
        <w:t xml:space="preserve"> </w:t>
      </w:r>
      <w:r w:rsidR="00A97B90">
        <w:rPr>
          <w:i/>
          <w:iCs/>
        </w:rPr>
        <w:t>See, e.g.</w:t>
      </w:r>
      <w:r w:rsidR="00A97B90">
        <w:t>, TKC Waiver Petition at 3-4; Wahlin Decl</w:t>
      </w:r>
      <w:r w:rsidR="00D13EB0">
        <w:t>.</w:t>
      </w:r>
      <w:r w:rsidR="00A97B90">
        <w:t xml:space="preserve"> at </w:t>
      </w:r>
      <w:r w:rsidR="00185FAB">
        <w:t>2-3, para</w:t>
      </w:r>
      <w:r w:rsidR="009C29CA">
        <w:t>s</w:t>
      </w:r>
      <w:r w:rsidR="00185FAB">
        <w:t xml:space="preserve">. </w:t>
      </w:r>
      <w:r w:rsidR="009C29CA">
        <w:t>5-</w:t>
      </w:r>
      <w:r w:rsidR="00185FAB">
        <w:t>6.</w:t>
      </w:r>
      <w:r w:rsidR="004401B8">
        <w:t xml:space="preserve">  </w:t>
      </w:r>
    </w:p>
  </w:footnote>
  <w:footnote w:id="29">
    <w:p w:rsidR="002B02D2" w:rsidRPr="00EF6777" w14:paraId="2FB61012" w14:textId="453D4711">
      <w:pPr>
        <w:pStyle w:val="FootnoteText"/>
      </w:pPr>
      <w:r>
        <w:rPr>
          <w:rStyle w:val="FootnoteReference"/>
        </w:rPr>
        <w:footnoteRef/>
      </w:r>
      <w:r>
        <w:t xml:space="preserve"> TKC Waiver Petition at 3-4; Wahlin Decl</w:t>
      </w:r>
      <w:r w:rsidR="00D13EB0">
        <w:t>.</w:t>
      </w:r>
      <w:r>
        <w:t xml:space="preserve"> at </w:t>
      </w:r>
      <w:r w:rsidR="003A3228">
        <w:t>2-3</w:t>
      </w:r>
      <w:r w:rsidR="0074375D">
        <w:t>, 6-7</w:t>
      </w:r>
      <w:r w:rsidR="003A3228">
        <w:t>, paras. 6-8</w:t>
      </w:r>
      <w:r w:rsidR="0074375D">
        <w:t>, 17-18</w:t>
      </w:r>
      <w:r w:rsidR="003A3228">
        <w:t>.</w:t>
      </w:r>
      <w:r w:rsidR="007678AC">
        <w:t xml:space="preserve">  </w:t>
      </w:r>
    </w:p>
  </w:footnote>
  <w:footnote w:id="30">
    <w:p w:rsidR="00936A47" w14:paraId="52AA7DDC" w14:textId="11B955AD">
      <w:pPr>
        <w:pStyle w:val="FootnoteText"/>
      </w:pPr>
      <w:r>
        <w:rPr>
          <w:rStyle w:val="FootnoteReference"/>
        </w:rPr>
        <w:footnoteRef/>
      </w:r>
      <w:r>
        <w:t xml:space="preserve"> </w:t>
      </w:r>
      <w:r w:rsidR="009944A7">
        <w:t>Wahlin Decl</w:t>
      </w:r>
      <w:r w:rsidR="00D13EB0">
        <w:t>.</w:t>
      </w:r>
      <w:r w:rsidR="009944A7">
        <w:t xml:space="preserve"> at 6-7, para. 17.</w:t>
      </w:r>
    </w:p>
  </w:footnote>
  <w:footnote w:id="31">
    <w:p w:rsidR="00C12DC0" w14:paraId="227AFF63" w14:textId="788CAA99">
      <w:pPr>
        <w:pStyle w:val="FootnoteText"/>
      </w:pPr>
      <w:r>
        <w:rPr>
          <w:rStyle w:val="FootnoteReference"/>
        </w:rPr>
        <w:footnoteRef/>
      </w:r>
      <w:r>
        <w:t xml:space="preserve"> </w:t>
      </w:r>
      <w:r w:rsidRPr="00623353">
        <w:rPr>
          <w:i/>
          <w:iCs/>
        </w:rPr>
        <w:t>Securus Waiver Order</w:t>
      </w:r>
      <w:r>
        <w:t xml:space="preserve"> at 4.</w:t>
      </w:r>
    </w:p>
  </w:footnote>
  <w:footnote w:id="32">
    <w:p w:rsidR="007B4D44" w14:paraId="1B0FFF81" w14:textId="48286A60">
      <w:pPr>
        <w:pStyle w:val="FootnoteText"/>
      </w:pPr>
      <w:r>
        <w:rPr>
          <w:rStyle w:val="FootnoteReference"/>
        </w:rPr>
        <w:footnoteRef/>
      </w:r>
      <w:r>
        <w:t xml:space="preserve"> </w:t>
      </w:r>
      <w:r w:rsidR="00B474CF">
        <w:rPr>
          <w:i/>
          <w:iCs/>
        </w:rPr>
        <w:t>Id</w:t>
      </w:r>
      <w:r w:rsidR="00B474CF">
        <w:t>.</w:t>
      </w:r>
      <w:r>
        <w:t xml:space="preserve"> at 4.</w:t>
      </w:r>
    </w:p>
  </w:footnote>
  <w:footnote w:id="33">
    <w:p w:rsidR="00A56B3C" w14:paraId="0F03C5A3" w14:textId="0E187D6E">
      <w:pPr>
        <w:pStyle w:val="FootnoteText"/>
      </w:pPr>
      <w:r>
        <w:rPr>
          <w:rStyle w:val="FootnoteReference"/>
        </w:rPr>
        <w:footnoteRef/>
      </w:r>
      <w:r>
        <w:t xml:space="preserve"> </w:t>
      </w:r>
      <w:r>
        <w:rPr>
          <w:i/>
          <w:iCs/>
        </w:rPr>
        <w:t xml:space="preserve">See </w:t>
      </w:r>
      <w:r>
        <w:t>Wahlin Decl</w:t>
      </w:r>
      <w:r w:rsidR="00D13EB0">
        <w:t>.</w:t>
      </w:r>
      <w:r>
        <w:t xml:space="preserve"> at 7-8, para. 19.</w:t>
      </w:r>
    </w:p>
  </w:footnote>
  <w:footnote w:id="34">
    <w:p w:rsidR="00F55D57" w:rsidRPr="00560197" w:rsidP="00F55D57" w14:paraId="122E778A" w14:textId="5ADC2A45">
      <w:pPr>
        <w:pStyle w:val="FootnoteText"/>
      </w:pPr>
      <w:r>
        <w:rPr>
          <w:rStyle w:val="FootnoteReference"/>
        </w:rPr>
        <w:footnoteRef/>
      </w:r>
      <w:r>
        <w:t xml:space="preserve"> </w:t>
      </w:r>
      <w:r>
        <w:rPr>
          <w:i/>
          <w:iCs/>
        </w:rPr>
        <w:t>See, e.g.</w:t>
      </w:r>
      <w:r>
        <w:t xml:space="preserve">, </w:t>
      </w:r>
      <w:r>
        <w:rPr>
          <w:i/>
          <w:iCs/>
        </w:rPr>
        <w:t>2024 IPCS Order</w:t>
      </w:r>
      <w:r w:rsidR="00B50928">
        <w:t>, 39 FCC Rcd at 7664-66</w:t>
      </w:r>
      <w:r>
        <w:t>, para. 29</w:t>
      </w:r>
      <w:r w:rsidR="00512565">
        <w:t xml:space="preserve">; </w:t>
      </w:r>
      <w:r w:rsidRPr="008D371B" w:rsidR="00512565">
        <w:rPr>
          <w:i/>
          <w:iCs/>
        </w:rPr>
        <w:t>see also</w:t>
      </w:r>
      <w:r w:rsidR="00512565">
        <w:t xml:space="preserve"> TKC Waiver Petition at 5</w:t>
      </w:r>
      <w:r>
        <w:t xml:space="preserve">.  </w:t>
      </w:r>
    </w:p>
  </w:footnote>
  <w:footnote w:id="35">
    <w:p w:rsidR="003D4271" w:rsidRPr="003D4271" w14:paraId="31A5D826" w14:textId="5C90A58C">
      <w:pPr>
        <w:pStyle w:val="FootnoteText"/>
      </w:pPr>
      <w:r>
        <w:rPr>
          <w:rStyle w:val="FootnoteReference"/>
        </w:rPr>
        <w:footnoteRef/>
      </w:r>
      <w:r>
        <w:t xml:space="preserve"> </w:t>
      </w:r>
      <w:r>
        <w:rPr>
          <w:i/>
          <w:iCs/>
        </w:rPr>
        <w:t>See</w:t>
      </w:r>
      <w:r>
        <w:t xml:space="preserve"> Wahlin Decl</w:t>
      </w:r>
      <w:r w:rsidR="00D13EB0">
        <w:t>.</w:t>
      </w:r>
      <w:r>
        <w:t xml:space="preserve"> at 8-9, para. 22.</w:t>
      </w:r>
    </w:p>
  </w:footnote>
  <w:footnote w:id="36">
    <w:p w:rsidR="00697723" w14:paraId="7544B94B" w14:textId="055FB47D">
      <w:pPr>
        <w:pStyle w:val="FootnoteText"/>
      </w:pPr>
      <w:r>
        <w:rPr>
          <w:rStyle w:val="FootnoteReference"/>
        </w:rPr>
        <w:footnoteRef/>
      </w:r>
      <w:r>
        <w:t xml:space="preserve"> </w:t>
      </w:r>
      <w:r w:rsidR="00E47657">
        <w:t>TKC</w:t>
      </w:r>
      <w:r w:rsidRPr="001C1D8A" w:rsidR="00595AD4">
        <w:t xml:space="preserve"> Waiver Petition at </w:t>
      </w:r>
      <w:r w:rsidR="00595AD4">
        <w:t>2</w:t>
      </w:r>
      <w:r w:rsidRPr="001C1D8A" w:rsidR="00595AD4">
        <w:t>.</w:t>
      </w:r>
      <w:r w:rsidR="00595AD4">
        <w:t xml:space="preserve">  </w:t>
      </w:r>
    </w:p>
  </w:footnote>
  <w:footnote w:id="37">
    <w:p w:rsidR="00A77216" w14:paraId="592986F1" w14:textId="1543D404">
      <w:pPr>
        <w:pStyle w:val="FootnoteText"/>
      </w:pPr>
      <w:r>
        <w:rPr>
          <w:rStyle w:val="FootnoteReference"/>
        </w:rPr>
        <w:footnoteRef/>
      </w:r>
      <w:r>
        <w:t xml:space="preserve"> Martha Wright-Reed Act § </w:t>
      </w:r>
      <w:r w:rsidR="003F63BB">
        <w:t xml:space="preserve">2(a); 47 U.S.C. § 276(b)(1)(A).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5FB5" w:rsidRPr="008308CE" w:rsidP="00810B6F" w14:paraId="369CD168" w14:textId="2D6AB587">
    <w:pPr>
      <w:pStyle w:val="Header"/>
    </w:pPr>
    <w:r>
      <w:tab/>
      <w:t>Federal Communications Commission</w:t>
    </w:r>
    <w:r>
      <w:tab/>
    </w:r>
    <w:r w:rsidR="000E1CE9">
      <w:t>DA 2</w:t>
    </w:r>
    <w:r w:rsidR="008308CE">
      <w:t>5</w:t>
    </w:r>
    <w:r w:rsidR="000E1CE9">
      <w:t>-</w:t>
    </w:r>
    <w:r w:rsidR="002F5067">
      <w:t>515</w:t>
    </w:r>
  </w:p>
  <w:p w:rsidR="00D25FB5" w14:paraId="391A61CB" w14:textId="1098C584">
    <w:pPr>
      <w:tabs>
        <w:tab w:val="left" w:pos="-720"/>
      </w:tabs>
      <w:suppressAutoHyphens/>
      <w:spacing w:line="19" w:lineRule="exact"/>
      <w:rPr>
        <w:spacing w:val="-2"/>
      </w:rPr>
    </w:pPr>
    <w:r>
      <w:rPr>
        <w:noProof/>
        <w:color w:val="2B579A"/>
        <w:shd w:val="clear" w:color="auto" w:fill="E6E6E6"/>
      </w:rPr>
      <mc:AlternateContent>
        <mc:Choice Requires="wps">
          <w:drawing>
            <wp:anchor distT="0" distB="0" distL="114300" distR="114300" simplePos="0" relativeHeight="251658240" behindDoc="1" locked="0" layoutInCell="0" allowOverlap="1">
              <wp:simplePos x="0" y="0"/>
              <wp:positionH relativeFrom="margin">
                <wp:posOffset>0</wp:posOffset>
              </wp:positionH>
              <wp:positionV relativeFrom="paragraph">
                <wp:posOffset>0</wp:posOffset>
              </wp:positionV>
              <wp:extent cx="5943600" cy="12065"/>
              <wp:effectExtent l="0" t="0" r="0" b="0"/>
              <wp:wrapNone/>
              <wp:docPr id="2"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2065"/>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635">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8pt;height:0.95pt;margin-top:0;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color="black" stroked="f" strokeweight="0.05pt">
              <w10:wrap anchorx="margin"/>
            </v:rect>
          </w:pict>
        </mc:Fallback>
      </mc:AlternateContent>
    </w:r>
  </w:p>
  <w:p w:rsidR="00D25FB5" w14:paraId="44266883" w14:textId="77777777">
    <w:pPr>
      <w:spacing w:after="389"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00D8" w:rsidP="00810B6F" w14:paraId="736980B6" w14:textId="0744EE41">
    <w:pPr>
      <w:pStyle w:val="Header"/>
      <w:rPr>
        <w:color w:val="FF0000"/>
      </w:rPr>
    </w:pPr>
  </w:p>
  <w:p w:rsidR="00D25FB5" w:rsidP="00810B6F" w14:paraId="2BE1CD36" w14:textId="66596639">
    <w:pPr>
      <w:pStyle w:val="Header"/>
      <w:rPr>
        <w:b w:val="0"/>
      </w:rPr>
    </w:pPr>
    <w:r>
      <w:rPr>
        <w:noProof/>
        <w:color w:val="FF0000"/>
        <w:shd w:val="clear" w:color="auto" w:fill="E6E6E6"/>
      </w:rPr>
      <mc:AlternateContent>
        <mc:Choice Requires="wps">
          <w:drawing>
            <wp:anchor distT="0" distB="0" distL="114300" distR="114300" simplePos="0" relativeHeight="251660288" behindDoc="1" locked="0" layoutInCell="0" allowOverlap="1">
              <wp:simplePos x="0" y="0"/>
              <wp:positionH relativeFrom="margin">
                <wp:posOffset>7620</wp:posOffset>
              </wp:positionH>
              <wp:positionV relativeFrom="paragraph">
                <wp:posOffset>160655</wp:posOffset>
              </wp:positionV>
              <wp:extent cx="5943600" cy="12065"/>
              <wp:effectExtent l="0" t="0" r="0" b="0"/>
              <wp:wrapNone/>
              <wp:docPr id="1"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2065"/>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635">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 o:spid="_x0000_s2050" style="width:468pt;height:0.95pt;margin-top:12.65pt;margin-left:0.6pt;mso-height-percent:0;mso-height-relative:page;mso-position-horizontal-relative:margin;mso-width-percent:0;mso-width-relative:page;mso-wrap-distance-bottom:0;mso-wrap-distance-left:9pt;mso-wrap-distance-right:9pt;mso-wrap-distance-top:0;mso-wrap-style:square;position:absolute;visibility:visible;v-text-anchor:top;z-index:-251655168" o:allowincell="f" fillcolor="black" stroked="f" strokeweight="0.05pt">
              <w10:wrap anchorx="margin"/>
            </v:rect>
          </w:pict>
        </mc:Fallback>
      </mc:AlternateContent>
    </w:r>
    <w:r>
      <w:tab/>
      <w:t>Federal Communications Commission</w:t>
    </w:r>
    <w:r>
      <w:tab/>
    </w:r>
    <w:r w:rsidR="000E1CE9">
      <w:rPr>
        <w:spacing w:val="-2"/>
      </w:rPr>
      <w:t>DA 2</w:t>
    </w:r>
    <w:r w:rsidR="00BE3857">
      <w:rPr>
        <w:spacing w:val="-2"/>
      </w:rPr>
      <w:t>5</w:t>
    </w:r>
    <w:r w:rsidR="000E1CE9">
      <w:rPr>
        <w:spacing w:val="-2"/>
      </w:rPr>
      <w:t>-</w:t>
    </w:r>
    <w:r w:rsidR="002F5067">
      <w:rPr>
        <w:spacing w:val="-2"/>
      </w:rPr>
      <w:t>515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2">
    <w:nsid w:val="248246F3"/>
    <w:multiLevelType w:val="singleLevel"/>
    <w:tmpl w:val="B1F45678"/>
    <w:lvl w:ilvl="0">
      <w:start w:val="1"/>
      <w:numFmt w:val="decimal"/>
      <w:lvlText w:val="%1."/>
      <w:lvlJc w:val="left"/>
      <w:pPr>
        <w:tabs>
          <w:tab w:val="num" w:pos="1080"/>
        </w:tabs>
        <w:ind w:left="0" w:firstLine="720"/>
      </w:pPr>
    </w:lvl>
  </w:abstractNum>
  <w:abstractNum w:abstractNumId="3">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4">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61182925"/>
    <w:multiLevelType w:val="singleLevel"/>
    <w:tmpl w:val="A9EE9842"/>
    <w:lvl w:ilvl="0">
      <w:start w:val="1"/>
      <w:numFmt w:val="decimal"/>
      <w:pStyle w:val="ParaNum"/>
      <w:lvlText w:val="%1."/>
      <w:lvlJc w:val="left"/>
      <w:pPr>
        <w:tabs>
          <w:tab w:val="num" w:pos="1080"/>
        </w:tabs>
        <w:ind w:left="0" w:firstLine="720"/>
      </w:pPr>
    </w:lvl>
  </w:abstractNum>
  <w:num w:numId="1" w16cid:durableId="1460149530">
    <w:abstractNumId w:val="1"/>
  </w:num>
  <w:num w:numId="2" w16cid:durableId="682391763">
    <w:abstractNumId w:val="5"/>
  </w:num>
  <w:num w:numId="3" w16cid:durableId="433944422">
    <w:abstractNumId w:val="3"/>
  </w:num>
  <w:num w:numId="4" w16cid:durableId="1377074561">
    <w:abstractNumId w:val="4"/>
  </w:num>
  <w:num w:numId="5" w16cid:durableId="368923127">
    <w:abstractNumId w:val="2"/>
  </w:num>
  <w:num w:numId="6" w16cid:durableId="726534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214"/>
    <w:rsid w:val="00001939"/>
    <w:rsid w:val="00001BD0"/>
    <w:rsid w:val="0000270C"/>
    <w:rsid w:val="00002E70"/>
    <w:rsid w:val="000038E4"/>
    <w:rsid w:val="00003B49"/>
    <w:rsid w:val="000074B5"/>
    <w:rsid w:val="00010F79"/>
    <w:rsid w:val="000119A0"/>
    <w:rsid w:val="0001331D"/>
    <w:rsid w:val="000133DB"/>
    <w:rsid w:val="00013561"/>
    <w:rsid w:val="000141E7"/>
    <w:rsid w:val="000155DF"/>
    <w:rsid w:val="00015CDB"/>
    <w:rsid w:val="00016045"/>
    <w:rsid w:val="000172DC"/>
    <w:rsid w:val="0001747F"/>
    <w:rsid w:val="000229C8"/>
    <w:rsid w:val="00024E87"/>
    <w:rsid w:val="000275B9"/>
    <w:rsid w:val="00027632"/>
    <w:rsid w:val="000300FF"/>
    <w:rsid w:val="00030138"/>
    <w:rsid w:val="000310C6"/>
    <w:rsid w:val="000318FE"/>
    <w:rsid w:val="000322BD"/>
    <w:rsid w:val="00033006"/>
    <w:rsid w:val="000334C3"/>
    <w:rsid w:val="00033F84"/>
    <w:rsid w:val="00034268"/>
    <w:rsid w:val="00035039"/>
    <w:rsid w:val="00035A21"/>
    <w:rsid w:val="00036039"/>
    <w:rsid w:val="00036891"/>
    <w:rsid w:val="000370DA"/>
    <w:rsid w:val="0003755B"/>
    <w:rsid w:val="00037F90"/>
    <w:rsid w:val="00040DA7"/>
    <w:rsid w:val="000418A8"/>
    <w:rsid w:val="00044558"/>
    <w:rsid w:val="000478A9"/>
    <w:rsid w:val="0005148E"/>
    <w:rsid w:val="00052539"/>
    <w:rsid w:val="00052F5D"/>
    <w:rsid w:val="00052FA0"/>
    <w:rsid w:val="0005419B"/>
    <w:rsid w:val="00054E42"/>
    <w:rsid w:val="00056DA2"/>
    <w:rsid w:val="00057222"/>
    <w:rsid w:val="0005794E"/>
    <w:rsid w:val="00057D19"/>
    <w:rsid w:val="0006118B"/>
    <w:rsid w:val="00062219"/>
    <w:rsid w:val="000629F5"/>
    <w:rsid w:val="00062AA3"/>
    <w:rsid w:val="000630A7"/>
    <w:rsid w:val="00064C5C"/>
    <w:rsid w:val="00066BE6"/>
    <w:rsid w:val="00072223"/>
    <w:rsid w:val="00073A10"/>
    <w:rsid w:val="00073AA9"/>
    <w:rsid w:val="00073CE8"/>
    <w:rsid w:val="00073E93"/>
    <w:rsid w:val="00074DCE"/>
    <w:rsid w:val="00074FA2"/>
    <w:rsid w:val="00075282"/>
    <w:rsid w:val="00075406"/>
    <w:rsid w:val="00077AF2"/>
    <w:rsid w:val="00077BDA"/>
    <w:rsid w:val="0008134C"/>
    <w:rsid w:val="00083267"/>
    <w:rsid w:val="0008361E"/>
    <w:rsid w:val="00085E11"/>
    <w:rsid w:val="00086087"/>
    <w:rsid w:val="00086BF6"/>
    <w:rsid w:val="000875BF"/>
    <w:rsid w:val="000912EC"/>
    <w:rsid w:val="00092A68"/>
    <w:rsid w:val="0009349B"/>
    <w:rsid w:val="00093652"/>
    <w:rsid w:val="00093EC0"/>
    <w:rsid w:val="00095025"/>
    <w:rsid w:val="00096ACA"/>
    <w:rsid w:val="00096D8C"/>
    <w:rsid w:val="000A005D"/>
    <w:rsid w:val="000A01B8"/>
    <w:rsid w:val="000A0B84"/>
    <w:rsid w:val="000A4228"/>
    <w:rsid w:val="000A4C5D"/>
    <w:rsid w:val="000A644E"/>
    <w:rsid w:val="000A6519"/>
    <w:rsid w:val="000A6719"/>
    <w:rsid w:val="000A69AF"/>
    <w:rsid w:val="000B1AAC"/>
    <w:rsid w:val="000B362A"/>
    <w:rsid w:val="000B4010"/>
    <w:rsid w:val="000B4EB1"/>
    <w:rsid w:val="000B50BB"/>
    <w:rsid w:val="000B58B7"/>
    <w:rsid w:val="000B6189"/>
    <w:rsid w:val="000B6224"/>
    <w:rsid w:val="000B71E7"/>
    <w:rsid w:val="000C0B65"/>
    <w:rsid w:val="000C2138"/>
    <w:rsid w:val="000C3726"/>
    <w:rsid w:val="000C3756"/>
    <w:rsid w:val="000C3844"/>
    <w:rsid w:val="000C39A9"/>
    <w:rsid w:val="000C4709"/>
    <w:rsid w:val="000C4E37"/>
    <w:rsid w:val="000C6A6E"/>
    <w:rsid w:val="000C6DD7"/>
    <w:rsid w:val="000D0D36"/>
    <w:rsid w:val="000D2257"/>
    <w:rsid w:val="000D54E5"/>
    <w:rsid w:val="000D5D8F"/>
    <w:rsid w:val="000D6411"/>
    <w:rsid w:val="000D7292"/>
    <w:rsid w:val="000E02B8"/>
    <w:rsid w:val="000E05FE"/>
    <w:rsid w:val="000E10C3"/>
    <w:rsid w:val="000E1501"/>
    <w:rsid w:val="000E1CE9"/>
    <w:rsid w:val="000E378C"/>
    <w:rsid w:val="000E391D"/>
    <w:rsid w:val="000E3D42"/>
    <w:rsid w:val="000E6B86"/>
    <w:rsid w:val="000F1667"/>
    <w:rsid w:val="000F2861"/>
    <w:rsid w:val="000F3C61"/>
    <w:rsid w:val="000F3D92"/>
    <w:rsid w:val="000F4CD0"/>
    <w:rsid w:val="000F6275"/>
    <w:rsid w:val="000F6D57"/>
    <w:rsid w:val="000F6EB4"/>
    <w:rsid w:val="001004A2"/>
    <w:rsid w:val="00100608"/>
    <w:rsid w:val="00101974"/>
    <w:rsid w:val="00101E49"/>
    <w:rsid w:val="00102BE2"/>
    <w:rsid w:val="00103092"/>
    <w:rsid w:val="00103616"/>
    <w:rsid w:val="0010384F"/>
    <w:rsid w:val="001047A4"/>
    <w:rsid w:val="00104C11"/>
    <w:rsid w:val="00105BC7"/>
    <w:rsid w:val="00106D30"/>
    <w:rsid w:val="00107504"/>
    <w:rsid w:val="001105F4"/>
    <w:rsid w:val="00111F90"/>
    <w:rsid w:val="001123FE"/>
    <w:rsid w:val="0011241B"/>
    <w:rsid w:val="0011256D"/>
    <w:rsid w:val="00112FF0"/>
    <w:rsid w:val="0011431A"/>
    <w:rsid w:val="00115EBD"/>
    <w:rsid w:val="001168E9"/>
    <w:rsid w:val="00116A1B"/>
    <w:rsid w:val="00116ADD"/>
    <w:rsid w:val="001174F7"/>
    <w:rsid w:val="00121184"/>
    <w:rsid w:val="00122BD5"/>
    <w:rsid w:val="00124360"/>
    <w:rsid w:val="0012516F"/>
    <w:rsid w:val="001251FB"/>
    <w:rsid w:val="00125376"/>
    <w:rsid w:val="00126D8C"/>
    <w:rsid w:val="001277AF"/>
    <w:rsid w:val="00127C03"/>
    <w:rsid w:val="0013081C"/>
    <w:rsid w:val="001320F7"/>
    <w:rsid w:val="00132974"/>
    <w:rsid w:val="00133F79"/>
    <w:rsid w:val="001364A9"/>
    <w:rsid w:val="001365E2"/>
    <w:rsid w:val="00136844"/>
    <w:rsid w:val="00137B25"/>
    <w:rsid w:val="001430CE"/>
    <w:rsid w:val="0014350B"/>
    <w:rsid w:val="00143BEC"/>
    <w:rsid w:val="00143DA8"/>
    <w:rsid w:val="00145C8B"/>
    <w:rsid w:val="001467B7"/>
    <w:rsid w:val="00146BC1"/>
    <w:rsid w:val="00146E2F"/>
    <w:rsid w:val="00150C57"/>
    <w:rsid w:val="001521D0"/>
    <w:rsid w:val="0015452F"/>
    <w:rsid w:val="00154BF0"/>
    <w:rsid w:val="0015554B"/>
    <w:rsid w:val="00155655"/>
    <w:rsid w:val="0015572A"/>
    <w:rsid w:val="00155B23"/>
    <w:rsid w:val="001561DB"/>
    <w:rsid w:val="00156C39"/>
    <w:rsid w:val="00156E98"/>
    <w:rsid w:val="00156F2A"/>
    <w:rsid w:val="00160943"/>
    <w:rsid w:val="00160DB5"/>
    <w:rsid w:val="00160F14"/>
    <w:rsid w:val="0016188F"/>
    <w:rsid w:val="00164356"/>
    <w:rsid w:val="00164CEF"/>
    <w:rsid w:val="00164F99"/>
    <w:rsid w:val="00165884"/>
    <w:rsid w:val="0016634C"/>
    <w:rsid w:val="00171BCC"/>
    <w:rsid w:val="00171FBB"/>
    <w:rsid w:val="00172B66"/>
    <w:rsid w:val="00172C26"/>
    <w:rsid w:val="00173480"/>
    <w:rsid w:val="00173548"/>
    <w:rsid w:val="00173ADC"/>
    <w:rsid w:val="00175395"/>
    <w:rsid w:val="00176791"/>
    <w:rsid w:val="00180469"/>
    <w:rsid w:val="00181314"/>
    <w:rsid w:val="0018188D"/>
    <w:rsid w:val="00182D8C"/>
    <w:rsid w:val="0018535A"/>
    <w:rsid w:val="001859CD"/>
    <w:rsid w:val="00185FAB"/>
    <w:rsid w:val="00187ED1"/>
    <w:rsid w:val="0019016D"/>
    <w:rsid w:val="00192564"/>
    <w:rsid w:val="00192E94"/>
    <w:rsid w:val="00192EB2"/>
    <w:rsid w:val="00192ED7"/>
    <w:rsid w:val="001933EF"/>
    <w:rsid w:val="00194A66"/>
    <w:rsid w:val="00196AA1"/>
    <w:rsid w:val="001A0A39"/>
    <w:rsid w:val="001A1EC9"/>
    <w:rsid w:val="001A2EAF"/>
    <w:rsid w:val="001A322D"/>
    <w:rsid w:val="001A3906"/>
    <w:rsid w:val="001A3BFB"/>
    <w:rsid w:val="001A584C"/>
    <w:rsid w:val="001A6A43"/>
    <w:rsid w:val="001A6CCA"/>
    <w:rsid w:val="001A6EA3"/>
    <w:rsid w:val="001A75A2"/>
    <w:rsid w:val="001B0C94"/>
    <w:rsid w:val="001B0DB1"/>
    <w:rsid w:val="001B15EE"/>
    <w:rsid w:val="001B3F75"/>
    <w:rsid w:val="001B400F"/>
    <w:rsid w:val="001B58AB"/>
    <w:rsid w:val="001B62D6"/>
    <w:rsid w:val="001B6E66"/>
    <w:rsid w:val="001C0547"/>
    <w:rsid w:val="001C0B04"/>
    <w:rsid w:val="001C11E1"/>
    <w:rsid w:val="001C1D3B"/>
    <w:rsid w:val="001C1D8A"/>
    <w:rsid w:val="001C4BA3"/>
    <w:rsid w:val="001C752E"/>
    <w:rsid w:val="001C76A6"/>
    <w:rsid w:val="001D0B31"/>
    <w:rsid w:val="001D20B7"/>
    <w:rsid w:val="001D2605"/>
    <w:rsid w:val="001D29C4"/>
    <w:rsid w:val="001D2D0D"/>
    <w:rsid w:val="001D2E14"/>
    <w:rsid w:val="001D3E63"/>
    <w:rsid w:val="001D4CF1"/>
    <w:rsid w:val="001D5B59"/>
    <w:rsid w:val="001D6BCF"/>
    <w:rsid w:val="001D6C3A"/>
    <w:rsid w:val="001D7374"/>
    <w:rsid w:val="001D7A17"/>
    <w:rsid w:val="001E01CA"/>
    <w:rsid w:val="001E0746"/>
    <w:rsid w:val="001E0B2F"/>
    <w:rsid w:val="001E0D81"/>
    <w:rsid w:val="001E261C"/>
    <w:rsid w:val="001E2757"/>
    <w:rsid w:val="001E2BBE"/>
    <w:rsid w:val="001E2F1F"/>
    <w:rsid w:val="001E5A08"/>
    <w:rsid w:val="001E5AE0"/>
    <w:rsid w:val="001E62D0"/>
    <w:rsid w:val="001E6F2C"/>
    <w:rsid w:val="001F0CDE"/>
    <w:rsid w:val="001F2049"/>
    <w:rsid w:val="001F3855"/>
    <w:rsid w:val="001F3FFB"/>
    <w:rsid w:val="001F407F"/>
    <w:rsid w:val="001F46E7"/>
    <w:rsid w:val="001F50FD"/>
    <w:rsid w:val="001F74FF"/>
    <w:rsid w:val="00200338"/>
    <w:rsid w:val="00200C27"/>
    <w:rsid w:val="002012A8"/>
    <w:rsid w:val="0020143F"/>
    <w:rsid w:val="002016F5"/>
    <w:rsid w:val="00201B10"/>
    <w:rsid w:val="002023F0"/>
    <w:rsid w:val="00202D1B"/>
    <w:rsid w:val="002033EE"/>
    <w:rsid w:val="00203B9B"/>
    <w:rsid w:val="00203D57"/>
    <w:rsid w:val="00204174"/>
    <w:rsid w:val="002048E8"/>
    <w:rsid w:val="00204A01"/>
    <w:rsid w:val="0020539A"/>
    <w:rsid w:val="0020568A"/>
    <w:rsid w:val="0020600D"/>
    <w:rsid w:val="00206B38"/>
    <w:rsid w:val="002074AC"/>
    <w:rsid w:val="00207F7A"/>
    <w:rsid w:val="0021044A"/>
    <w:rsid w:val="00210612"/>
    <w:rsid w:val="00210769"/>
    <w:rsid w:val="00210B6E"/>
    <w:rsid w:val="002112DC"/>
    <w:rsid w:val="00211B6D"/>
    <w:rsid w:val="0021380E"/>
    <w:rsid w:val="002138CC"/>
    <w:rsid w:val="00216672"/>
    <w:rsid w:val="00221407"/>
    <w:rsid w:val="002235B1"/>
    <w:rsid w:val="0022523E"/>
    <w:rsid w:val="00225402"/>
    <w:rsid w:val="00226589"/>
    <w:rsid w:val="002265C9"/>
    <w:rsid w:val="00227854"/>
    <w:rsid w:val="00227A40"/>
    <w:rsid w:val="0023069A"/>
    <w:rsid w:val="00231917"/>
    <w:rsid w:val="00233AE7"/>
    <w:rsid w:val="00234AE9"/>
    <w:rsid w:val="002363C6"/>
    <w:rsid w:val="0023720C"/>
    <w:rsid w:val="0024275E"/>
    <w:rsid w:val="00244552"/>
    <w:rsid w:val="00245701"/>
    <w:rsid w:val="002504AE"/>
    <w:rsid w:val="00250C47"/>
    <w:rsid w:val="00251247"/>
    <w:rsid w:val="00253305"/>
    <w:rsid w:val="002544BB"/>
    <w:rsid w:val="002552D2"/>
    <w:rsid w:val="00256F5C"/>
    <w:rsid w:val="002573F9"/>
    <w:rsid w:val="002579CD"/>
    <w:rsid w:val="00260B9F"/>
    <w:rsid w:val="00261649"/>
    <w:rsid w:val="0026179F"/>
    <w:rsid w:val="00261A2D"/>
    <w:rsid w:val="00262D83"/>
    <w:rsid w:val="00263D8C"/>
    <w:rsid w:val="0026413D"/>
    <w:rsid w:val="002650EA"/>
    <w:rsid w:val="00265DAC"/>
    <w:rsid w:val="00270138"/>
    <w:rsid w:val="00270886"/>
    <w:rsid w:val="002708A3"/>
    <w:rsid w:val="00271562"/>
    <w:rsid w:val="002725AE"/>
    <w:rsid w:val="00273365"/>
    <w:rsid w:val="00274F27"/>
    <w:rsid w:val="00275CF5"/>
    <w:rsid w:val="002762AD"/>
    <w:rsid w:val="00276DF3"/>
    <w:rsid w:val="00280A03"/>
    <w:rsid w:val="002822B0"/>
    <w:rsid w:val="00282439"/>
    <w:rsid w:val="002826F5"/>
    <w:rsid w:val="0028301F"/>
    <w:rsid w:val="002834BA"/>
    <w:rsid w:val="0028416D"/>
    <w:rsid w:val="00284B43"/>
    <w:rsid w:val="00284C3F"/>
    <w:rsid w:val="00284DCA"/>
    <w:rsid w:val="00285017"/>
    <w:rsid w:val="00285916"/>
    <w:rsid w:val="0028787B"/>
    <w:rsid w:val="00290584"/>
    <w:rsid w:val="002906CC"/>
    <w:rsid w:val="00290BA7"/>
    <w:rsid w:val="00292E75"/>
    <w:rsid w:val="00292E77"/>
    <w:rsid w:val="00293185"/>
    <w:rsid w:val="002933FD"/>
    <w:rsid w:val="00293AE7"/>
    <w:rsid w:val="00293B31"/>
    <w:rsid w:val="002945A0"/>
    <w:rsid w:val="0029499C"/>
    <w:rsid w:val="00296013"/>
    <w:rsid w:val="00297371"/>
    <w:rsid w:val="002A0249"/>
    <w:rsid w:val="002A1311"/>
    <w:rsid w:val="002A15C7"/>
    <w:rsid w:val="002A2CFC"/>
    <w:rsid w:val="002A2D2E"/>
    <w:rsid w:val="002A2F14"/>
    <w:rsid w:val="002A3019"/>
    <w:rsid w:val="002A4185"/>
    <w:rsid w:val="002A4F89"/>
    <w:rsid w:val="002A57BF"/>
    <w:rsid w:val="002A71EE"/>
    <w:rsid w:val="002A75ED"/>
    <w:rsid w:val="002A7A8D"/>
    <w:rsid w:val="002B02D2"/>
    <w:rsid w:val="002B129C"/>
    <w:rsid w:val="002B12CD"/>
    <w:rsid w:val="002B21A3"/>
    <w:rsid w:val="002B2E3F"/>
    <w:rsid w:val="002B3D9B"/>
    <w:rsid w:val="002B3F88"/>
    <w:rsid w:val="002B640F"/>
    <w:rsid w:val="002B64C7"/>
    <w:rsid w:val="002B7FE7"/>
    <w:rsid w:val="002C00E8"/>
    <w:rsid w:val="002C39C9"/>
    <w:rsid w:val="002C427F"/>
    <w:rsid w:val="002C4B5B"/>
    <w:rsid w:val="002C518E"/>
    <w:rsid w:val="002C6501"/>
    <w:rsid w:val="002C6908"/>
    <w:rsid w:val="002D0A1D"/>
    <w:rsid w:val="002D0A71"/>
    <w:rsid w:val="002D0EBE"/>
    <w:rsid w:val="002D4A4D"/>
    <w:rsid w:val="002D4A59"/>
    <w:rsid w:val="002D613A"/>
    <w:rsid w:val="002D6168"/>
    <w:rsid w:val="002D6D90"/>
    <w:rsid w:val="002D795A"/>
    <w:rsid w:val="002D7BC3"/>
    <w:rsid w:val="002E0843"/>
    <w:rsid w:val="002E17CA"/>
    <w:rsid w:val="002E3739"/>
    <w:rsid w:val="002E3C80"/>
    <w:rsid w:val="002E495B"/>
    <w:rsid w:val="002E50BA"/>
    <w:rsid w:val="002E556C"/>
    <w:rsid w:val="002E7070"/>
    <w:rsid w:val="002E7EE8"/>
    <w:rsid w:val="002F2975"/>
    <w:rsid w:val="002F2AA5"/>
    <w:rsid w:val="002F2B78"/>
    <w:rsid w:val="002F3A1B"/>
    <w:rsid w:val="002F4120"/>
    <w:rsid w:val="002F49C7"/>
    <w:rsid w:val="002F5067"/>
    <w:rsid w:val="002F50AC"/>
    <w:rsid w:val="002F5E5F"/>
    <w:rsid w:val="002F7EFF"/>
    <w:rsid w:val="00303074"/>
    <w:rsid w:val="00303270"/>
    <w:rsid w:val="0030344A"/>
    <w:rsid w:val="00303869"/>
    <w:rsid w:val="00303F8A"/>
    <w:rsid w:val="00304949"/>
    <w:rsid w:val="0031189C"/>
    <w:rsid w:val="003119F0"/>
    <w:rsid w:val="00311FC3"/>
    <w:rsid w:val="00312A9D"/>
    <w:rsid w:val="0031669C"/>
    <w:rsid w:val="00317A14"/>
    <w:rsid w:val="00317E7F"/>
    <w:rsid w:val="00317F53"/>
    <w:rsid w:val="00317F6F"/>
    <w:rsid w:val="0032068C"/>
    <w:rsid w:val="003212C3"/>
    <w:rsid w:val="0032137F"/>
    <w:rsid w:val="003214EA"/>
    <w:rsid w:val="00321E3E"/>
    <w:rsid w:val="00322023"/>
    <w:rsid w:val="00323194"/>
    <w:rsid w:val="003239DA"/>
    <w:rsid w:val="00324184"/>
    <w:rsid w:val="00324CE8"/>
    <w:rsid w:val="003255FC"/>
    <w:rsid w:val="00331CDF"/>
    <w:rsid w:val="00331D04"/>
    <w:rsid w:val="00333551"/>
    <w:rsid w:val="003347E8"/>
    <w:rsid w:val="003348C8"/>
    <w:rsid w:val="00340559"/>
    <w:rsid w:val="00341098"/>
    <w:rsid w:val="00341E14"/>
    <w:rsid w:val="00341E21"/>
    <w:rsid w:val="00342A58"/>
    <w:rsid w:val="00343749"/>
    <w:rsid w:val="00343834"/>
    <w:rsid w:val="003445BE"/>
    <w:rsid w:val="00344800"/>
    <w:rsid w:val="003450EC"/>
    <w:rsid w:val="00345AF8"/>
    <w:rsid w:val="003473CF"/>
    <w:rsid w:val="003478AC"/>
    <w:rsid w:val="00347AFC"/>
    <w:rsid w:val="0035010F"/>
    <w:rsid w:val="00350740"/>
    <w:rsid w:val="00350FA0"/>
    <w:rsid w:val="0035538F"/>
    <w:rsid w:val="00355E67"/>
    <w:rsid w:val="00356B68"/>
    <w:rsid w:val="00356BA6"/>
    <w:rsid w:val="00357464"/>
    <w:rsid w:val="003607B5"/>
    <w:rsid w:val="003618AC"/>
    <w:rsid w:val="00364045"/>
    <w:rsid w:val="00364378"/>
    <w:rsid w:val="00364B96"/>
    <w:rsid w:val="003660ED"/>
    <w:rsid w:val="00366F10"/>
    <w:rsid w:val="00367ADE"/>
    <w:rsid w:val="00371FCB"/>
    <w:rsid w:val="003723B8"/>
    <w:rsid w:val="00372C5F"/>
    <w:rsid w:val="0037422D"/>
    <w:rsid w:val="00375D6A"/>
    <w:rsid w:val="00377DAF"/>
    <w:rsid w:val="00382C3A"/>
    <w:rsid w:val="00383EA2"/>
    <w:rsid w:val="003849AD"/>
    <w:rsid w:val="00386A82"/>
    <w:rsid w:val="00387A86"/>
    <w:rsid w:val="00390BDE"/>
    <w:rsid w:val="0039154C"/>
    <w:rsid w:val="00391C25"/>
    <w:rsid w:val="00391E70"/>
    <w:rsid w:val="00391F8F"/>
    <w:rsid w:val="00393EB4"/>
    <w:rsid w:val="00394097"/>
    <w:rsid w:val="0039481D"/>
    <w:rsid w:val="00394AF2"/>
    <w:rsid w:val="00394CD3"/>
    <w:rsid w:val="003950CC"/>
    <w:rsid w:val="003955D1"/>
    <w:rsid w:val="003958E0"/>
    <w:rsid w:val="003959C7"/>
    <w:rsid w:val="00395E91"/>
    <w:rsid w:val="00396E21"/>
    <w:rsid w:val="003979E6"/>
    <w:rsid w:val="003A1173"/>
    <w:rsid w:val="003A2406"/>
    <w:rsid w:val="003A24D4"/>
    <w:rsid w:val="003A2F89"/>
    <w:rsid w:val="003A2FBC"/>
    <w:rsid w:val="003A3228"/>
    <w:rsid w:val="003A636B"/>
    <w:rsid w:val="003A6DD8"/>
    <w:rsid w:val="003A7967"/>
    <w:rsid w:val="003B0550"/>
    <w:rsid w:val="003B1EC1"/>
    <w:rsid w:val="003B35B2"/>
    <w:rsid w:val="003B38EA"/>
    <w:rsid w:val="003B3ACD"/>
    <w:rsid w:val="003B5592"/>
    <w:rsid w:val="003B5FED"/>
    <w:rsid w:val="003B62E4"/>
    <w:rsid w:val="003B694F"/>
    <w:rsid w:val="003B73C7"/>
    <w:rsid w:val="003C0A15"/>
    <w:rsid w:val="003C12C4"/>
    <w:rsid w:val="003C1EA5"/>
    <w:rsid w:val="003C288B"/>
    <w:rsid w:val="003C513A"/>
    <w:rsid w:val="003C578B"/>
    <w:rsid w:val="003C5E03"/>
    <w:rsid w:val="003C6428"/>
    <w:rsid w:val="003C6FFC"/>
    <w:rsid w:val="003D08B1"/>
    <w:rsid w:val="003D0E3E"/>
    <w:rsid w:val="003D1117"/>
    <w:rsid w:val="003D1549"/>
    <w:rsid w:val="003D24AB"/>
    <w:rsid w:val="003D4271"/>
    <w:rsid w:val="003D433D"/>
    <w:rsid w:val="003D4515"/>
    <w:rsid w:val="003D568D"/>
    <w:rsid w:val="003D5805"/>
    <w:rsid w:val="003D592C"/>
    <w:rsid w:val="003D59CD"/>
    <w:rsid w:val="003D65C5"/>
    <w:rsid w:val="003D6AEC"/>
    <w:rsid w:val="003D7B46"/>
    <w:rsid w:val="003E0D6C"/>
    <w:rsid w:val="003E0ED9"/>
    <w:rsid w:val="003E15D7"/>
    <w:rsid w:val="003E20F8"/>
    <w:rsid w:val="003E3249"/>
    <w:rsid w:val="003E39CE"/>
    <w:rsid w:val="003E4211"/>
    <w:rsid w:val="003E4760"/>
    <w:rsid w:val="003E49D7"/>
    <w:rsid w:val="003E67EB"/>
    <w:rsid w:val="003E6C5D"/>
    <w:rsid w:val="003E7E85"/>
    <w:rsid w:val="003F171C"/>
    <w:rsid w:val="003F209C"/>
    <w:rsid w:val="003F240C"/>
    <w:rsid w:val="003F329C"/>
    <w:rsid w:val="003F3841"/>
    <w:rsid w:val="003F3D43"/>
    <w:rsid w:val="003F6294"/>
    <w:rsid w:val="003F63BB"/>
    <w:rsid w:val="003F6441"/>
    <w:rsid w:val="003F7092"/>
    <w:rsid w:val="003F7FB1"/>
    <w:rsid w:val="00401238"/>
    <w:rsid w:val="00402023"/>
    <w:rsid w:val="0040285B"/>
    <w:rsid w:val="0040384D"/>
    <w:rsid w:val="00403946"/>
    <w:rsid w:val="004068F8"/>
    <w:rsid w:val="004077A1"/>
    <w:rsid w:val="00410396"/>
    <w:rsid w:val="00411D05"/>
    <w:rsid w:val="0041253C"/>
    <w:rsid w:val="00412D39"/>
    <w:rsid w:val="00412FC5"/>
    <w:rsid w:val="00413789"/>
    <w:rsid w:val="00413DC5"/>
    <w:rsid w:val="00415C47"/>
    <w:rsid w:val="00415FCA"/>
    <w:rsid w:val="00417670"/>
    <w:rsid w:val="004211D1"/>
    <w:rsid w:val="00421825"/>
    <w:rsid w:val="00422015"/>
    <w:rsid w:val="00422088"/>
    <w:rsid w:val="00422276"/>
    <w:rsid w:val="0042236D"/>
    <w:rsid w:val="004223CE"/>
    <w:rsid w:val="00422767"/>
    <w:rsid w:val="0042298E"/>
    <w:rsid w:val="004242F1"/>
    <w:rsid w:val="00425208"/>
    <w:rsid w:val="004259A2"/>
    <w:rsid w:val="00425A3C"/>
    <w:rsid w:val="00425B36"/>
    <w:rsid w:val="0042602B"/>
    <w:rsid w:val="004266ED"/>
    <w:rsid w:val="00426C0D"/>
    <w:rsid w:val="00426FD5"/>
    <w:rsid w:val="004276A4"/>
    <w:rsid w:val="00430D74"/>
    <w:rsid w:val="00432177"/>
    <w:rsid w:val="004326B5"/>
    <w:rsid w:val="00432CB6"/>
    <w:rsid w:val="004337D5"/>
    <w:rsid w:val="004340D3"/>
    <w:rsid w:val="00435969"/>
    <w:rsid w:val="00435BDC"/>
    <w:rsid w:val="00435D31"/>
    <w:rsid w:val="00435DCC"/>
    <w:rsid w:val="00436A66"/>
    <w:rsid w:val="00436EB8"/>
    <w:rsid w:val="004372DA"/>
    <w:rsid w:val="004374AE"/>
    <w:rsid w:val="004401B8"/>
    <w:rsid w:val="004413AD"/>
    <w:rsid w:val="00441FC9"/>
    <w:rsid w:val="00442A44"/>
    <w:rsid w:val="004438B5"/>
    <w:rsid w:val="004447F3"/>
    <w:rsid w:val="0044540E"/>
    <w:rsid w:val="00445A00"/>
    <w:rsid w:val="0045038D"/>
    <w:rsid w:val="00450AC5"/>
    <w:rsid w:val="004514C1"/>
    <w:rsid w:val="00451B0F"/>
    <w:rsid w:val="0045352D"/>
    <w:rsid w:val="00455352"/>
    <w:rsid w:val="00455837"/>
    <w:rsid w:val="00456427"/>
    <w:rsid w:val="00456C77"/>
    <w:rsid w:val="004603F7"/>
    <w:rsid w:val="00461327"/>
    <w:rsid w:val="00461A3C"/>
    <w:rsid w:val="00461F81"/>
    <w:rsid w:val="004631BA"/>
    <w:rsid w:val="00463317"/>
    <w:rsid w:val="00463870"/>
    <w:rsid w:val="00464401"/>
    <w:rsid w:val="00466150"/>
    <w:rsid w:val="00466BD9"/>
    <w:rsid w:val="00467231"/>
    <w:rsid w:val="00467234"/>
    <w:rsid w:val="00467488"/>
    <w:rsid w:val="00470E28"/>
    <w:rsid w:val="00471900"/>
    <w:rsid w:val="00471CDE"/>
    <w:rsid w:val="00472487"/>
    <w:rsid w:val="00472EB2"/>
    <w:rsid w:val="0047328B"/>
    <w:rsid w:val="0047346B"/>
    <w:rsid w:val="00473A45"/>
    <w:rsid w:val="00473F91"/>
    <w:rsid w:val="00474ECA"/>
    <w:rsid w:val="004804AF"/>
    <w:rsid w:val="004808C3"/>
    <w:rsid w:val="00480CBD"/>
    <w:rsid w:val="00481650"/>
    <w:rsid w:val="0048197F"/>
    <w:rsid w:val="00481BF7"/>
    <w:rsid w:val="00487697"/>
    <w:rsid w:val="00491AB2"/>
    <w:rsid w:val="004939F2"/>
    <w:rsid w:val="00495330"/>
    <w:rsid w:val="00496701"/>
    <w:rsid w:val="00497B95"/>
    <w:rsid w:val="004A3E35"/>
    <w:rsid w:val="004A5965"/>
    <w:rsid w:val="004A5C70"/>
    <w:rsid w:val="004A6DE6"/>
    <w:rsid w:val="004A74A0"/>
    <w:rsid w:val="004A7882"/>
    <w:rsid w:val="004B1B3B"/>
    <w:rsid w:val="004B2154"/>
    <w:rsid w:val="004B2DA3"/>
    <w:rsid w:val="004B5A15"/>
    <w:rsid w:val="004B5AD7"/>
    <w:rsid w:val="004B5CF0"/>
    <w:rsid w:val="004B5FA8"/>
    <w:rsid w:val="004B7075"/>
    <w:rsid w:val="004B7CFC"/>
    <w:rsid w:val="004C024F"/>
    <w:rsid w:val="004C0908"/>
    <w:rsid w:val="004C2EE3"/>
    <w:rsid w:val="004C45FC"/>
    <w:rsid w:val="004C4E96"/>
    <w:rsid w:val="004C6C1F"/>
    <w:rsid w:val="004C6FCB"/>
    <w:rsid w:val="004C7E82"/>
    <w:rsid w:val="004D03A2"/>
    <w:rsid w:val="004D0597"/>
    <w:rsid w:val="004D08BB"/>
    <w:rsid w:val="004D0B02"/>
    <w:rsid w:val="004D1447"/>
    <w:rsid w:val="004D2C70"/>
    <w:rsid w:val="004D2FB3"/>
    <w:rsid w:val="004D35E6"/>
    <w:rsid w:val="004D4F40"/>
    <w:rsid w:val="004D7E1C"/>
    <w:rsid w:val="004E0822"/>
    <w:rsid w:val="004E0D00"/>
    <w:rsid w:val="004E0FF3"/>
    <w:rsid w:val="004E1211"/>
    <w:rsid w:val="004E1D44"/>
    <w:rsid w:val="004E4A22"/>
    <w:rsid w:val="004E6232"/>
    <w:rsid w:val="004E662F"/>
    <w:rsid w:val="004E726B"/>
    <w:rsid w:val="004E738B"/>
    <w:rsid w:val="004F0CC1"/>
    <w:rsid w:val="004F11C3"/>
    <w:rsid w:val="004F2B96"/>
    <w:rsid w:val="004F2DBA"/>
    <w:rsid w:val="004F615D"/>
    <w:rsid w:val="004F6B10"/>
    <w:rsid w:val="00501D77"/>
    <w:rsid w:val="00504E9B"/>
    <w:rsid w:val="00504FFE"/>
    <w:rsid w:val="00505998"/>
    <w:rsid w:val="0050681C"/>
    <w:rsid w:val="00506F20"/>
    <w:rsid w:val="00511968"/>
    <w:rsid w:val="00512453"/>
    <w:rsid w:val="00512565"/>
    <w:rsid w:val="0051301E"/>
    <w:rsid w:val="00513300"/>
    <w:rsid w:val="00513BF1"/>
    <w:rsid w:val="00515121"/>
    <w:rsid w:val="00515DEF"/>
    <w:rsid w:val="005163A6"/>
    <w:rsid w:val="00516B63"/>
    <w:rsid w:val="005177B6"/>
    <w:rsid w:val="00517CBB"/>
    <w:rsid w:val="00517D75"/>
    <w:rsid w:val="005215C2"/>
    <w:rsid w:val="00522FD6"/>
    <w:rsid w:val="0052323F"/>
    <w:rsid w:val="005236D8"/>
    <w:rsid w:val="0052491C"/>
    <w:rsid w:val="0052545B"/>
    <w:rsid w:val="00525B54"/>
    <w:rsid w:val="00526141"/>
    <w:rsid w:val="0052684D"/>
    <w:rsid w:val="00526FE9"/>
    <w:rsid w:val="00530A52"/>
    <w:rsid w:val="005329EE"/>
    <w:rsid w:val="005342BF"/>
    <w:rsid w:val="00534437"/>
    <w:rsid w:val="00534D90"/>
    <w:rsid w:val="005351F4"/>
    <w:rsid w:val="005359D4"/>
    <w:rsid w:val="00535C3E"/>
    <w:rsid w:val="005400EB"/>
    <w:rsid w:val="00541AF1"/>
    <w:rsid w:val="00543B2F"/>
    <w:rsid w:val="005465CB"/>
    <w:rsid w:val="00550760"/>
    <w:rsid w:val="00550F01"/>
    <w:rsid w:val="005519F5"/>
    <w:rsid w:val="00551C1C"/>
    <w:rsid w:val="00552C56"/>
    <w:rsid w:val="00553272"/>
    <w:rsid w:val="00553338"/>
    <w:rsid w:val="005551E3"/>
    <w:rsid w:val="0055614C"/>
    <w:rsid w:val="00557692"/>
    <w:rsid w:val="00557E0E"/>
    <w:rsid w:val="00560197"/>
    <w:rsid w:val="005611D1"/>
    <w:rsid w:val="0056208B"/>
    <w:rsid w:val="00563585"/>
    <w:rsid w:val="00564458"/>
    <w:rsid w:val="005657D9"/>
    <w:rsid w:val="005657EE"/>
    <w:rsid w:val="00565858"/>
    <w:rsid w:val="00565B6A"/>
    <w:rsid w:val="00566D06"/>
    <w:rsid w:val="00567DDF"/>
    <w:rsid w:val="0057335F"/>
    <w:rsid w:val="00573472"/>
    <w:rsid w:val="00575880"/>
    <w:rsid w:val="00576371"/>
    <w:rsid w:val="005763FF"/>
    <w:rsid w:val="00576DE1"/>
    <w:rsid w:val="0058001D"/>
    <w:rsid w:val="005805A4"/>
    <w:rsid w:val="005829E6"/>
    <w:rsid w:val="005842AF"/>
    <w:rsid w:val="005845D6"/>
    <w:rsid w:val="00584EA0"/>
    <w:rsid w:val="00585B4C"/>
    <w:rsid w:val="00585B9A"/>
    <w:rsid w:val="00587439"/>
    <w:rsid w:val="0059072A"/>
    <w:rsid w:val="00591804"/>
    <w:rsid w:val="00592E74"/>
    <w:rsid w:val="00593768"/>
    <w:rsid w:val="005937B8"/>
    <w:rsid w:val="00595AD4"/>
    <w:rsid w:val="00597295"/>
    <w:rsid w:val="005975D6"/>
    <w:rsid w:val="005A0875"/>
    <w:rsid w:val="005A1014"/>
    <w:rsid w:val="005A2C83"/>
    <w:rsid w:val="005A4A6D"/>
    <w:rsid w:val="005A4D17"/>
    <w:rsid w:val="005A60EF"/>
    <w:rsid w:val="005A6197"/>
    <w:rsid w:val="005A787A"/>
    <w:rsid w:val="005B1CA6"/>
    <w:rsid w:val="005B1DA6"/>
    <w:rsid w:val="005B214E"/>
    <w:rsid w:val="005B2B11"/>
    <w:rsid w:val="005B453A"/>
    <w:rsid w:val="005B5317"/>
    <w:rsid w:val="005B78E0"/>
    <w:rsid w:val="005B7C4D"/>
    <w:rsid w:val="005C0B99"/>
    <w:rsid w:val="005C23E9"/>
    <w:rsid w:val="005C4538"/>
    <w:rsid w:val="005C4B40"/>
    <w:rsid w:val="005C5795"/>
    <w:rsid w:val="005C609A"/>
    <w:rsid w:val="005C722E"/>
    <w:rsid w:val="005C7897"/>
    <w:rsid w:val="005C7905"/>
    <w:rsid w:val="005D05BD"/>
    <w:rsid w:val="005D0E96"/>
    <w:rsid w:val="005D0F1B"/>
    <w:rsid w:val="005D24A0"/>
    <w:rsid w:val="005D273D"/>
    <w:rsid w:val="005D2C63"/>
    <w:rsid w:val="005D4389"/>
    <w:rsid w:val="005D533D"/>
    <w:rsid w:val="005E00D8"/>
    <w:rsid w:val="005E0E1B"/>
    <w:rsid w:val="005E12D5"/>
    <w:rsid w:val="005E14C2"/>
    <w:rsid w:val="005E3CAB"/>
    <w:rsid w:val="005E4655"/>
    <w:rsid w:val="005E59AE"/>
    <w:rsid w:val="005E684D"/>
    <w:rsid w:val="005E6A63"/>
    <w:rsid w:val="005E7BCA"/>
    <w:rsid w:val="005F0235"/>
    <w:rsid w:val="005F0B5F"/>
    <w:rsid w:val="005F28A9"/>
    <w:rsid w:val="005F6572"/>
    <w:rsid w:val="005F65C4"/>
    <w:rsid w:val="005F6996"/>
    <w:rsid w:val="005F735D"/>
    <w:rsid w:val="00602E4A"/>
    <w:rsid w:val="00603869"/>
    <w:rsid w:val="00604470"/>
    <w:rsid w:val="00604D02"/>
    <w:rsid w:val="00604E73"/>
    <w:rsid w:val="00604EE2"/>
    <w:rsid w:val="006050FD"/>
    <w:rsid w:val="00606399"/>
    <w:rsid w:val="00606951"/>
    <w:rsid w:val="00607BA5"/>
    <w:rsid w:val="00610B21"/>
    <w:rsid w:val="00610BF9"/>
    <w:rsid w:val="00611579"/>
    <w:rsid w:val="0061180A"/>
    <w:rsid w:val="006120E1"/>
    <w:rsid w:val="00612B25"/>
    <w:rsid w:val="00613C8D"/>
    <w:rsid w:val="00614E23"/>
    <w:rsid w:val="00615D58"/>
    <w:rsid w:val="0061612E"/>
    <w:rsid w:val="006169C0"/>
    <w:rsid w:val="006171DA"/>
    <w:rsid w:val="0061778F"/>
    <w:rsid w:val="00620A06"/>
    <w:rsid w:val="00621E5D"/>
    <w:rsid w:val="0062206A"/>
    <w:rsid w:val="006223A4"/>
    <w:rsid w:val="00622A8C"/>
    <w:rsid w:val="00623353"/>
    <w:rsid w:val="0062360F"/>
    <w:rsid w:val="00623E9E"/>
    <w:rsid w:val="00625CD7"/>
    <w:rsid w:val="00625E1B"/>
    <w:rsid w:val="006264EB"/>
    <w:rsid w:val="00626EB6"/>
    <w:rsid w:val="00627247"/>
    <w:rsid w:val="006302F2"/>
    <w:rsid w:val="006334A1"/>
    <w:rsid w:val="00633721"/>
    <w:rsid w:val="0063398A"/>
    <w:rsid w:val="00635383"/>
    <w:rsid w:val="00635A0B"/>
    <w:rsid w:val="00635C59"/>
    <w:rsid w:val="00635D96"/>
    <w:rsid w:val="00637AFD"/>
    <w:rsid w:val="006412F5"/>
    <w:rsid w:val="00644419"/>
    <w:rsid w:val="00644739"/>
    <w:rsid w:val="00644766"/>
    <w:rsid w:val="006448AB"/>
    <w:rsid w:val="0064591C"/>
    <w:rsid w:val="006459CE"/>
    <w:rsid w:val="00645CC3"/>
    <w:rsid w:val="00646052"/>
    <w:rsid w:val="00646107"/>
    <w:rsid w:val="006475ED"/>
    <w:rsid w:val="006524B1"/>
    <w:rsid w:val="00652503"/>
    <w:rsid w:val="006526E6"/>
    <w:rsid w:val="00652DEF"/>
    <w:rsid w:val="00653063"/>
    <w:rsid w:val="006533AD"/>
    <w:rsid w:val="00653F7E"/>
    <w:rsid w:val="00654122"/>
    <w:rsid w:val="00654A40"/>
    <w:rsid w:val="00654D0E"/>
    <w:rsid w:val="006559CB"/>
    <w:rsid w:val="00655D03"/>
    <w:rsid w:val="00656713"/>
    <w:rsid w:val="00656E0B"/>
    <w:rsid w:val="00657E5E"/>
    <w:rsid w:val="00660314"/>
    <w:rsid w:val="00660F70"/>
    <w:rsid w:val="00661840"/>
    <w:rsid w:val="00661F27"/>
    <w:rsid w:val="00663C42"/>
    <w:rsid w:val="00664FD8"/>
    <w:rsid w:val="00665853"/>
    <w:rsid w:val="0066648A"/>
    <w:rsid w:val="00666D4B"/>
    <w:rsid w:val="006677DF"/>
    <w:rsid w:val="0067103A"/>
    <w:rsid w:val="00671624"/>
    <w:rsid w:val="00672E41"/>
    <w:rsid w:val="0067378C"/>
    <w:rsid w:val="00674930"/>
    <w:rsid w:val="00674AC5"/>
    <w:rsid w:val="00674E84"/>
    <w:rsid w:val="00675A98"/>
    <w:rsid w:val="006761BA"/>
    <w:rsid w:val="00677564"/>
    <w:rsid w:val="00677FB0"/>
    <w:rsid w:val="00682098"/>
    <w:rsid w:val="006822DE"/>
    <w:rsid w:val="006827C0"/>
    <w:rsid w:val="00683388"/>
    <w:rsid w:val="0068343F"/>
    <w:rsid w:val="00683F84"/>
    <w:rsid w:val="006845B5"/>
    <w:rsid w:val="00684D7C"/>
    <w:rsid w:val="006852A5"/>
    <w:rsid w:val="0068560E"/>
    <w:rsid w:val="006857C2"/>
    <w:rsid w:val="0068701F"/>
    <w:rsid w:val="006872C3"/>
    <w:rsid w:val="006872D5"/>
    <w:rsid w:val="00687C4D"/>
    <w:rsid w:val="00690E1A"/>
    <w:rsid w:val="0069169A"/>
    <w:rsid w:val="00691BA9"/>
    <w:rsid w:val="0069316E"/>
    <w:rsid w:val="00693833"/>
    <w:rsid w:val="006938D9"/>
    <w:rsid w:val="006945BC"/>
    <w:rsid w:val="00696694"/>
    <w:rsid w:val="00697723"/>
    <w:rsid w:val="006A0853"/>
    <w:rsid w:val="006A0A18"/>
    <w:rsid w:val="006A174A"/>
    <w:rsid w:val="006A1943"/>
    <w:rsid w:val="006A6A81"/>
    <w:rsid w:val="006A75C4"/>
    <w:rsid w:val="006A78C4"/>
    <w:rsid w:val="006A7DC5"/>
    <w:rsid w:val="006B0D72"/>
    <w:rsid w:val="006B14C5"/>
    <w:rsid w:val="006B333B"/>
    <w:rsid w:val="006B3520"/>
    <w:rsid w:val="006B4730"/>
    <w:rsid w:val="006B4FE6"/>
    <w:rsid w:val="006B5616"/>
    <w:rsid w:val="006B67F1"/>
    <w:rsid w:val="006B74A7"/>
    <w:rsid w:val="006C0A7E"/>
    <w:rsid w:val="006C0DF0"/>
    <w:rsid w:val="006C22DD"/>
    <w:rsid w:val="006C243C"/>
    <w:rsid w:val="006C4919"/>
    <w:rsid w:val="006C5E9D"/>
    <w:rsid w:val="006C6E0E"/>
    <w:rsid w:val="006C78D0"/>
    <w:rsid w:val="006C7F8E"/>
    <w:rsid w:val="006D00F8"/>
    <w:rsid w:val="006D01F9"/>
    <w:rsid w:val="006D028E"/>
    <w:rsid w:val="006D1081"/>
    <w:rsid w:val="006D1806"/>
    <w:rsid w:val="006D6925"/>
    <w:rsid w:val="006D6E11"/>
    <w:rsid w:val="006D7C5C"/>
    <w:rsid w:val="006E0E83"/>
    <w:rsid w:val="006E2233"/>
    <w:rsid w:val="006E28E3"/>
    <w:rsid w:val="006E4DCA"/>
    <w:rsid w:val="006E6B7B"/>
    <w:rsid w:val="006F04E9"/>
    <w:rsid w:val="006F11BD"/>
    <w:rsid w:val="006F2A5F"/>
    <w:rsid w:val="006F331E"/>
    <w:rsid w:val="006F3B5D"/>
    <w:rsid w:val="006F42FC"/>
    <w:rsid w:val="006F4823"/>
    <w:rsid w:val="006F5D97"/>
    <w:rsid w:val="006F672A"/>
    <w:rsid w:val="006F7393"/>
    <w:rsid w:val="006F742C"/>
    <w:rsid w:val="006F74F7"/>
    <w:rsid w:val="006F7760"/>
    <w:rsid w:val="00701C39"/>
    <w:rsid w:val="0070224F"/>
    <w:rsid w:val="00702D33"/>
    <w:rsid w:val="00703277"/>
    <w:rsid w:val="00703342"/>
    <w:rsid w:val="007039AC"/>
    <w:rsid w:val="007041DF"/>
    <w:rsid w:val="00704373"/>
    <w:rsid w:val="00705083"/>
    <w:rsid w:val="007115F7"/>
    <w:rsid w:val="0071290E"/>
    <w:rsid w:val="00715694"/>
    <w:rsid w:val="00716022"/>
    <w:rsid w:val="007171B8"/>
    <w:rsid w:val="007200FC"/>
    <w:rsid w:val="00720D96"/>
    <w:rsid w:val="00721EE8"/>
    <w:rsid w:val="0072234A"/>
    <w:rsid w:val="00723082"/>
    <w:rsid w:val="0072391B"/>
    <w:rsid w:val="00724917"/>
    <w:rsid w:val="00726DB9"/>
    <w:rsid w:val="00727343"/>
    <w:rsid w:val="007308FC"/>
    <w:rsid w:val="00734BBD"/>
    <w:rsid w:val="00735033"/>
    <w:rsid w:val="00735BE0"/>
    <w:rsid w:val="00735BF9"/>
    <w:rsid w:val="00735CF9"/>
    <w:rsid w:val="00735D14"/>
    <w:rsid w:val="00736261"/>
    <w:rsid w:val="00737054"/>
    <w:rsid w:val="007373B8"/>
    <w:rsid w:val="00740EDA"/>
    <w:rsid w:val="00741761"/>
    <w:rsid w:val="0074177B"/>
    <w:rsid w:val="0074375D"/>
    <w:rsid w:val="00743AB2"/>
    <w:rsid w:val="00743C06"/>
    <w:rsid w:val="0074506F"/>
    <w:rsid w:val="00746E69"/>
    <w:rsid w:val="007472CD"/>
    <w:rsid w:val="00747381"/>
    <w:rsid w:val="007507BC"/>
    <w:rsid w:val="00752317"/>
    <w:rsid w:val="0075279D"/>
    <w:rsid w:val="007531AB"/>
    <w:rsid w:val="007545ED"/>
    <w:rsid w:val="007549F0"/>
    <w:rsid w:val="00754E95"/>
    <w:rsid w:val="00754E9D"/>
    <w:rsid w:val="00755CE1"/>
    <w:rsid w:val="00760015"/>
    <w:rsid w:val="00761140"/>
    <w:rsid w:val="00761286"/>
    <w:rsid w:val="00761681"/>
    <w:rsid w:val="00763AF2"/>
    <w:rsid w:val="00763F3E"/>
    <w:rsid w:val="00764B95"/>
    <w:rsid w:val="00765705"/>
    <w:rsid w:val="007659AC"/>
    <w:rsid w:val="00766A79"/>
    <w:rsid w:val="00766E8B"/>
    <w:rsid w:val="0076726C"/>
    <w:rsid w:val="00767469"/>
    <w:rsid w:val="007678AC"/>
    <w:rsid w:val="00767C07"/>
    <w:rsid w:val="007740D9"/>
    <w:rsid w:val="00775087"/>
    <w:rsid w:val="00776202"/>
    <w:rsid w:val="0077647B"/>
    <w:rsid w:val="00777CC4"/>
    <w:rsid w:val="007800B6"/>
    <w:rsid w:val="0078048F"/>
    <w:rsid w:val="00781B28"/>
    <w:rsid w:val="00782526"/>
    <w:rsid w:val="00783987"/>
    <w:rsid w:val="00784044"/>
    <w:rsid w:val="00785689"/>
    <w:rsid w:val="00786F31"/>
    <w:rsid w:val="007913A4"/>
    <w:rsid w:val="00792184"/>
    <w:rsid w:val="00792B33"/>
    <w:rsid w:val="00793A7D"/>
    <w:rsid w:val="00793A9B"/>
    <w:rsid w:val="00794B87"/>
    <w:rsid w:val="00794F9C"/>
    <w:rsid w:val="00795492"/>
    <w:rsid w:val="00796BB4"/>
    <w:rsid w:val="0079754B"/>
    <w:rsid w:val="00797E34"/>
    <w:rsid w:val="007A1E6D"/>
    <w:rsid w:val="007A1F9F"/>
    <w:rsid w:val="007A2003"/>
    <w:rsid w:val="007A2FD5"/>
    <w:rsid w:val="007A3FAF"/>
    <w:rsid w:val="007A4047"/>
    <w:rsid w:val="007A5B3A"/>
    <w:rsid w:val="007A66A8"/>
    <w:rsid w:val="007A6E06"/>
    <w:rsid w:val="007A7861"/>
    <w:rsid w:val="007B0EB2"/>
    <w:rsid w:val="007B1D68"/>
    <w:rsid w:val="007B22F7"/>
    <w:rsid w:val="007B2A7D"/>
    <w:rsid w:val="007B389E"/>
    <w:rsid w:val="007B4D44"/>
    <w:rsid w:val="007B5E39"/>
    <w:rsid w:val="007B644E"/>
    <w:rsid w:val="007B6B01"/>
    <w:rsid w:val="007B77EA"/>
    <w:rsid w:val="007C095E"/>
    <w:rsid w:val="007C0B27"/>
    <w:rsid w:val="007C1AAF"/>
    <w:rsid w:val="007C1ADA"/>
    <w:rsid w:val="007C38E1"/>
    <w:rsid w:val="007C4CCF"/>
    <w:rsid w:val="007C539C"/>
    <w:rsid w:val="007C64A4"/>
    <w:rsid w:val="007C675A"/>
    <w:rsid w:val="007C7327"/>
    <w:rsid w:val="007D0739"/>
    <w:rsid w:val="007D08BB"/>
    <w:rsid w:val="007D147D"/>
    <w:rsid w:val="007D166C"/>
    <w:rsid w:val="007D192A"/>
    <w:rsid w:val="007D3D5D"/>
    <w:rsid w:val="007D3E68"/>
    <w:rsid w:val="007D3F06"/>
    <w:rsid w:val="007D52D4"/>
    <w:rsid w:val="007E0651"/>
    <w:rsid w:val="007E1326"/>
    <w:rsid w:val="007E163E"/>
    <w:rsid w:val="007E2D85"/>
    <w:rsid w:val="007E2D9B"/>
    <w:rsid w:val="007E30DA"/>
    <w:rsid w:val="007E750F"/>
    <w:rsid w:val="007E7516"/>
    <w:rsid w:val="007E769E"/>
    <w:rsid w:val="007E7F54"/>
    <w:rsid w:val="007F016B"/>
    <w:rsid w:val="007F0D7E"/>
    <w:rsid w:val="007F0D8A"/>
    <w:rsid w:val="007F213F"/>
    <w:rsid w:val="007F2597"/>
    <w:rsid w:val="007F3179"/>
    <w:rsid w:val="007F3D22"/>
    <w:rsid w:val="007F4A51"/>
    <w:rsid w:val="007F57D3"/>
    <w:rsid w:val="007F6E84"/>
    <w:rsid w:val="007F7F68"/>
    <w:rsid w:val="0080221C"/>
    <w:rsid w:val="00802907"/>
    <w:rsid w:val="00802AE4"/>
    <w:rsid w:val="00802F63"/>
    <w:rsid w:val="00803D39"/>
    <w:rsid w:val="0080598E"/>
    <w:rsid w:val="00807257"/>
    <w:rsid w:val="00807DD4"/>
    <w:rsid w:val="008102DF"/>
    <w:rsid w:val="00810A0E"/>
    <w:rsid w:val="00810B6F"/>
    <w:rsid w:val="00811329"/>
    <w:rsid w:val="00811E4F"/>
    <w:rsid w:val="00811F13"/>
    <w:rsid w:val="008120DC"/>
    <w:rsid w:val="008132D9"/>
    <w:rsid w:val="008141C1"/>
    <w:rsid w:val="008145E6"/>
    <w:rsid w:val="0081542A"/>
    <w:rsid w:val="008173EF"/>
    <w:rsid w:val="008177BF"/>
    <w:rsid w:val="0082006A"/>
    <w:rsid w:val="0082019D"/>
    <w:rsid w:val="00820B6D"/>
    <w:rsid w:val="00821539"/>
    <w:rsid w:val="0082170B"/>
    <w:rsid w:val="0082257A"/>
    <w:rsid w:val="00822CE0"/>
    <w:rsid w:val="00822DF2"/>
    <w:rsid w:val="00824374"/>
    <w:rsid w:val="008275F3"/>
    <w:rsid w:val="008302F0"/>
    <w:rsid w:val="008308CE"/>
    <w:rsid w:val="00830FD9"/>
    <w:rsid w:val="008326C0"/>
    <w:rsid w:val="00832810"/>
    <w:rsid w:val="0083561C"/>
    <w:rsid w:val="00836F1C"/>
    <w:rsid w:val="0083791D"/>
    <w:rsid w:val="00837B2A"/>
    <w:rsid w:val="00841AB1"/>
    <w:rsid w:val="00841DF5"/>
    <w:rsid w:val="00842B5F"/>
    <w:rsid w:val="00843505"/>
    <w:rsid w:val="00845AC6"/>
    <w:rsid w:val="008474CA"/>
    <w:rsid w:val="008476BA"/>
    <w:rsid w:val="00847E45"/>
    <w:rsid w:val="008508F3"/>
    <w:rsid w:val="00852F5A"/>
    <w:rsid w:val="008573E0"/>
    <w:rsid w:val="008578A7"/>
    <w:rsid w:val="0086074E"/>
    <w:rsid w:val="00861988"/>
    <w:rsid w:val="00862A94"/>
    <w:rsid w:val="008652F7"/>
    <w:rsid w:val="0087035D"/>
    <w:rsid w:val="00870DFD"/>
    <w:rsid w:val="00871543"/>
    <w:rsid w:val="00873268"/>
    <w:rsid w:val="00873DCA"/>
    <w:rsid w:val="008742AC"/>
    <w:rsid w:val="008750F5"/>
    <w:rsid w:val="008757EA"/>
    <w:rsid w:val="008766F3"/>
    <w:rsid w:val="008772FC"/>
    <w:rsid w:val="00881268"/>
    <w:rsid w:val="008822FF"/>
    <w:rsid w:val="00882E97"/>
    <w:rsid w:val="00885A93"/>
    <w:rsid w:val="00885EE5"/>
    <w:rsid w:val="008875E4"/>
    <w:rsid w:val="00887D01"/>
    <w:rsid w:val="00892985"/>
    <w:rsid w:val="00893E57"/>
    <w:rsid w:val="0089490A"/>
    <w:rsid w:val="008963E0"/>
    <w:rsid w:val="00896A7A"/>
    <w:rsid w:val="008976E2"/>
    <w:rsid w:val="00897712"/>
    <w:rsid w:val="00897C04"/>
    <w:rsid w:val="008A017C"/>
    <w:rsid w:val="008A07DD"/>
    <w:rsid w:val="008A35A5"/>
    <w:rsid w:val="008A5917"/>
    <w:rsid w:val="008A6511"/>
    <w:rsid w:val="008B0576"/>
    <w:rsid w:val="008B08F4"/>
    <w:rsid w:val="008B1B3F"/>
    <w:rsid w:val="008B212E"/>
    <w:rsid w:val="008B2375"/>
    <w:rsid w:val="008B36E4"/>
    <w:rsid w:val="008B36FC"/>
    <w:rsid w:val="008B3B17"/>
    <w:rsid w:val="008B3F3A"/>
    <w:rsid w:val="008B6C13"/>
    <w:rsid w:val="008B7E84"/>
    <w:rsid w:val="008C0368"/>
    <w:rsid w:val="008C0CD0"/>
    <w:rsid w:val="008C1F15"/>
    <w:rsid w:val="008C35AD"/>
    <w:rsid w:val="008C3D05"/>
    <w:rsid w:val="008C3FE8"/>
    <w:rsid w:val="008C4567"/>
    <w:rsid w:val="008C4887"/>
    <w:rsid w:val="008C4CF5"/>
    <w:rsid w:val="008C5315"/>
    <w:rsid w:val="008C68F1"/>
    <w:rsid w:val="008D1203"/>
    <w:rsid w:val="008D1CBC"/>
    <w:rsid w:val="008D1EAE"/>
    <w:rsid w:val="008D371B"/>
    <w:rsid w:val="008D39DB"/>
    <w:rsid w:val="008D48CA"/>
    <w:rsid w:val="008D5229"/>
    <w:rsid w:val="008D5854"/>
    <w:rsid w:val="008E079B"/>
    <w:rsid w:val="008E1DB7"/>
    <w:rsid w:val="008E1E92"/>
    <w:rsid w:val="008E4AC9"/>
    <w:rsid w:val="008E5061"/>
    <w:rsid w:val="008E559F"/>
    <w:rsid w:val="008E5870"/>
    <w:rsid w:val="008E68C6"/>
    <w:rsid w:val="008E7EA6"/>
    <w:rsid w:val="008F11D5"/>
    <w:rsid w:val="008F2FB8"/>
    <w:rsid w:val="008F5BDE"/>
    <w:rsid w:val="008F652B"/>
    <w:rsid w:val="008F6699"/>
    <w:rsid w:val="008F72D6"/>
    <w:rsid w:val="00900680"/>
    <w:rsid w:val="009009B0"/>
    <w:rsid w:val="00901068"/>
    <w:rsid w:val="00901312"/>
    <w:rsid w:val="0090183A"/>
    <w:rsid w:val="00902470"/>
    <w:rsid w:val="009030CB"/>
    <w:rsid w:val="0090345C"/>
    <w:rsid w:val="00904381"/>
    <w:rsid w:val="00905119"/>
    <w:rsid w:val="00905212"/>
    <w:rsid w:val="009062FE"/>
    <w:rsid w:val="00906EDF"/>
    <w:rsid w:val="0091023C"/>
    <w:rsid w:val="00910932"/>
    <w:rsid w:val="00910BEC"/>
    <w:rsid w:val="00911C6C"/>
    <w:rsid w:val="00912DB4"/>
    <w:rsid w:val="009149E1"/>
    <w:rsid w:val="00915784"/>
    <w:rsid w:val="00915DAE"/>
    <w:rsid w:val="009168F1"/>
    <w:rsid w:val="00921803"/>
    <w:rsid w:val="0092284E"/>
    <w:rsid w:val="00922979"/>
    <w:rsid w:val="00923330"/>
    <w:rsid w:val="00923786"/>
    <w:rsid w:val="009246B0"/>
    <w:rsid w:val="00926503"/>
    <w:rsid w:val="00927218"/>
    <w:rsid w:val="0092749C"/>
    <w:rsid w:val="009276B5"/>
    <w:rsid w:val="00930656"/>
    <w:rsid w:val="009316F6"/>
    <w:rsid w:val="00931A8D"/>
    <w:rsid w:val="00932404"/>
    <w:rsid w:val="00935EED"/>
    <w:rsid w:val="00936A47"/>
    <w:rsid w:val="00936C09"/>
    <w:rsid w:val="00936CFA"/>
    <w:rsid w:val="00937AE6"/>
    <w:rsid w:val="00940288"/>
    <w:rsid w:val="00940520"/>
    <w:rsid w:val="0094124B"/>
    <w:rsid w:val="00941697"/>
    <w:rsid w:val="00944D76"/>
    <w:rsid w:val="00945F27"/>
    <w:rsid w:val="00946939"/>
    <w:rsid w:val="0094743E"/>
    <w:rsid w:val="009477B1"/>
    <w:rsid w:val="00947A84"/>
    <w:rsid w:val="00947E89"/>
    <w:rsid w:val="0095008C"/>
    <w:rsid w:val="00950B86"/>
    <w:rsid w:val="00950FB5"/>
    <w:rsid w:val="0095275A"/>
    <w:rsid w:val="00952D43"/>
    <w:rsid w:val="009545AD"/>
    <w:rsid w:val="00954CFC"/>
    <w:rsid w:val="00955AFA"/>
    <w:rsid w:val="00956697"/>
    <w:rsid w:val="00956BF5"/>
    <w:rsid w:val="00956C38"/>
    <w:rsid w:val="00957207"/>
    <w:rsid w:val="00957573"/>
    <w:rsid w:val="00957E74"/>
    <w:rsid w:val="0096032A"/>
    <w:rsid w:val="009626D0"/>
    <w:rsid w:val="00964BB3"/>
    <w:rsid w:val="009667DB"/>
    <w:rsid w:val="00966863"/>
    <w:rsid w:val="009677A0"/>
    <w:rsid w:val="00970276"/>
    <w:rsid w:val="009702AD"/>
    <w:rsid w:val="009711AE"/>
    <w:rsid w:val="00971F68"/>
    <w:rsid w:val="009726D8"/>
    <w:rsid w:val="009729BA"/>
    <w:rsid w:val="00972B70"/>
    <w:rsid w:val="00974002"/>
    <w:rsid w:val="00974A49"/>
    <w:rsid w:val="00976814"/>
    <w:rsid w:val="009773EC"/>
    <w:rsid w:val="00977AA5"/>
    <w:rsid w:val="00980EC6"/>
    <w:rsid w:val="00980EE0"/>
    <w:rsid w:val="00982153"/>
    <w:rsid w:val="00983E29"/>
    <w:rsid w:val="009868EF"/>
    <w:rsid w:val="009877C1"/>
    <w:rsid w:val="009877D7"/>
    <w:rsid w:val="00990918"/>
    <w:rsid w:val="00992240"/>
    <w:rsid w:val="009923BE"/>
    <w:rsid w:val="00992AC5"/>
    <w:rsid w:val="00993BFE"/>
    <w:rsid w:val="009943B6"/>
    <w:rsid w:val="009944A7"/>
    <w:rsid w:val="00995F34"/>
    <w:rsid w:val="00996092"/>
    <w:rsid w:val="009966B4"/>
    <w:rsid w:val="00997552"/>
    <w:rsid w:val="009A091A"/>
    <w:rsid w:val="009A0CF8"/>
    <w:rsid w:val="009A1A6B"/>
    <w:rsid w:val="009A1BC9"/>
    <w:rsid w:val="009A24D8"/>
    <w:rsid w:val="009A3221"/>
    <w:rsid w:val="009A333C"/>
    <w:rsid w:val="009A35AE"/>
    <w:rsid w:val="009A370B"/>
    <w:rsid w:val="009A3E87"/>
    <w:rsid w:val="009A406D"/>
    <w:rsid w:val="009A40A8"/>
    <w:rsid w:val="009A487C"/>
    <w:rsid w:val="009A6187"/>
    <w:rsid w:val="009A6756"/>
    <w:rsid w:val="009B0A36"/>
    <w:rsid w:val="009B190D"/>
    <w:rsid w:val="009B2C7C"/>
    <w:rsid w:val="009B301B"/>
    <w:rsid w:val="009B3F00"/>
    <w:rsid w:val="009B3F0F"/>
    <w:rsid w:val="009B43BE"/>
    <w:rsid w:val="009B4AFE"/>
    <w:rsid w:val="009B56F1"/>
    <w:rsid w:val="009B5847"/>
    <w:rsid w:val="009B6463"/>
    <w:rsid w:val="009B64E0"/>
    <w:rsid w:val="009B66B6"/>
    <w:rsid w:val="009B6C2C"/>
    <w:rsid w:val="009B70A7"/>
    <w:rsid w:val="009C0869"/>
    <w:rsid w:val="009C09D2"/>
    <w:rsid w:val="009C0D10"/>
    <w:rsid w:val="009C1C13"/>
    <w:rsid w:val="009C1D15"/>
    <w:rsid w:val="009C29CA"/>
    <w:rsid w:val="009C3326"/>
    <w:rsid w:val="009C34B8"/>
    <w:rsid w:val="009C3C0D"/>
    <w:rsid w:val="009C3C92"/>
    <w:rsid w:val="009C4184"/>
    <w:rsid w:val="009C5188"/>
    <w:rsid w:val="009C55F8"/>
    <w:rsid w:val="009C5664"/>
    <w:rsid w:val="009C576F"/>
    <w:rsid w:val="009C5D01"/>
    <w:rsid w:val="009C79E7"/>
    <w:rsid w:val="009D0780"/>
    <w:rsid w:val="009D07B8"/>
    <w:rsid w:val="009D0C73"/>
    <w:rsid w:val="009D1FBE"/>
    <w:rsid w:val="009D2762"/>
    <w:rsid w:val="009D4653"/>
    <w:rsid w:val="009D4F58"/>
    <w:rsid w:val="009D5405"/>
    <w:rsid w:val="009D6A43"/>
    <w:rsid w:val="009D7308"/>
    <w:rsid w:val="009E07AF"/>
    <w:rsid w:val="009E3D41"/>
    <w:rsid w:val="009E3E55"/>
    <w:rsid w:val="009E4B9F"/>
    <w:rsid w:val="009E5B35"/>
    <w:rsid w:val="009E6E53"/>
    <w:rsid w:val="009F00C5"/>
    <w:rsid w:val="009F23A9"/>
    <w:rsid w:val="009F385A"/>
    <w:rsid w:val="009F4211"/>
    <w:rsid w:val="009F4322"/>
    <w:rsid w:val="009F4406"/>
    <w:rsid w:val="009F5069"/>
    <w:rsid w:val="009F550C"/>
    <w:rsid w:val="009F57CC"/>
    <w:rsid w:val="009F5AEB"/>
    <w:rsid w:val="009F6650"/>
    <w:rsid w:val="009F67B7"/>
    <w:rsid w:val="009F6CAD"/>
    <w:rsid w:val="009F76DB"/>
    <w:rsid w:val="00A0187E"/>
    <w:rsid w:val="00A02530"/>
    <w:rsid w:val="00A03912"/>
    <w:rsid w:val="00A049C1"/>
    <w:rsid w:val="00A04C1E"/>
    <w:rsid w:val="00A06288"/>
    <w:rsid w:val="00A06568"/>
    <w:rsid w:val="00A06A87"/>
    <w:rsid w:val="00A06C81"/>
    <w:rsid w:val="00A06EF2"/>
    <w:rsid w:val="00A10803"/>
    <w:rsid w:val="00A111D3"/>
    <w:rsid w:val="00A112C8"/>
    <w:rsid w:val="00A11437"/>
    <w:rsid w:val="00A11F49"/>
    <w:rsid w:val="00A138A7"/>
    <w:rsid w:val="00A13902"/>
    <w:rsid w:val="00A13A74"/>
    <w:rsid w:val="00A143E4"/>
    <w:rsid w:val="00A15864"/>
    <w:rsid w:val="00A15899"/>
    <w:rsid w:val="00A16770"/>
    <w:rsid w:val="00A16859"/>
    <w:rsid w:val="00A17772"/>
    <w:rsid w:val="00A204AC"/>
    <w:rsid w:val="00A20B5E"/>
    <w:rsid w:val="00A2409F"/>
    <w:rsid w:val="00A24B85"/>
    <w:rsid w:val="00A24EAE"/>
    <w:rsid w:val="00A252D8"/>
    <w:rsid w:val="00A253FE"/>
    <w:rsid w:val="00A255DC"/>
    <w:rsid w:val="00A25839"/>
    <w:rsid w:val="00A26446"/>
    <w:rsid w:val="00A26535"/>
    <w:rsid w:val="00A31216"/>
    <w:rsid w:val="00A31485"/>
    <w:rsid w:val="00A32B90"/>
    <w:rsid w:val="00A32C3B"/>
    <w:rsid w:val="00A3434D"/>
    <w:rsid w:val="00A35A5E"/>
    <w:rsid w:val="00A37D5C"/>
    <w:rsid w:val="00A37FD7"/>
    <w:rsid w:val="00A41DCA"/>
    <w:rsid w:val="00A42357"/>
    <w:rsid w:val="00A4334D"/>
    <w:rsid w:val="00A43DAF"/>
    <w:rsid w:val="00A449F4"/>
    <w:rsid w:val="00A45231"/>
    <w:rsid w:val="00A45F4F"/>
    <w:rsid w:val="00A461CE"/>
    <w:rsid w:val="00A50414"/>
    <w:rsid w:val="00A5187E"/>
    <w:rsid w:val="00A5226F"/>
    <w:rsid w:val="00A53802"/>
    <w:rsid w:val="00A53AC8"/>
    <w:rsid w:val="00A53E4F"/>
    <w:rsid w:val="00A55FF0"/>
    <w:rsid w:val="00A56B3C"/>
    <w:rsid w:val="00A600A9"/>
    <w:rsid w:val="00A6038F"/>
    <w:rsid w:val="00A61851"/>
    <w:rsid w:val="00A61FB3"/>
    <w:rsid w:val="00A62447"/>
    <w:rsid w:val="00A63DAE"/>
    <w:rsid w:val="00A63F03"/>
    <w:rsid w:val="00A647F4"/>
    <w:rsid w:val="00A65A9A"/>
    <w:rsid w:val="00A65DB6"/>
    <w:rsid w:val="00A702F4"/>
    <w:rsid w:val="00A7044B"/>
    <w:rsid w:val="00A71901"/>
    <w:rsid w:val="00A737AD"/>
    <w:rsid w:val="00A74245"/>
    <w:rsid w:val="00A745C0"/>
    <w:rsid w:val="00A75BE6"/>
    <w:rsid w:val="00A76A4C"/>
    <w:rsid w:val="00A76D99"/>
    <w:rsid w:val="00A77216"/>
    <w:rsid w:val="00A77D61"/>
    <w:rsid w:val="00A80081"/>
    <w:rsid w:val="00A80606"/>
    <w:rsid w:val="00A808FF"/>
    <w:rsid w:val="00A80AAD"/>
    <w:rsid w:val="00A8198D"/>
    <w:rsid w:val="00A8249D"/>
    <w:rsid w:val="00A82508"/>
    <w:rsid w:val="00A831B0"/>
    <w:rsid w:val="00A83367"/>
    <w:rsid w:val="00A83CE6"/>
    <w:rsid w:val="00A845B6"/>
    <w:rsid w:val="00A84C59"/>
    <w:rsid w:val="00A85C23"/>
    <w:rsid w:val="00A86FB1"/>
    <w:rsid w:val="00A9026E"/>
    <w:rsid w:val="00A9126B"/>
    <w:rsid w:val="00A912AB"/>
    <w:rsid w:val="00A91F93"/>
    <w:rsid w:val="00A9200B"/>
    <w:rsid w:val="00A922FB"/>
    <w:rsid w:val="00A92BBF"/>
    <w:rsid w:val="00A92BEE"/>
    <w:rsid w:val="00A933FF"/>
    <w:rsid w:val="00A9390D"/>
    <w:rsid w:val="00A946D3"/>
    <w:rsid w:val="00A94F74"/>
    <w:rsid w:val="00A95B77"/>
    <w:rsid w:val="00A96018"/>
    <w:rsid w:val="00A97B90"/>
    <w:rsid w:val="00AA01EA"/>
    <w:rsid w:val="00AA072A"/>
    <w:rsid w:val="00AA0938"/>
    <w:rsid w:val="00AA218B"/>
    <w:rsid w:val="00AA2296"/>
    <w:rsid w:val="00AA37E3"/>
    <w:rsid w:val="00AA55B7"/>
    <w:rsid w:val="00AA5B9E"/>
    <w:rsid w:val="00AA5E30"/>
    <w:rsid w:val="00AA64C7"/>
    <w:rsid w:val="00AA7930"/>
    <w:rsid w:val="00AB2407"/>
    <w:rsid w:val="00AB288A"/>
    <w:rsid w:val="00AB2E70"/>
    <w:rsid w:val="00AB3F3D"/>
    <w:rsid w:val="00AB40DB"/>
    <w:rsid w:val="00AB4E1F"/>
    <w:rsid w:val="00AB51C0"/>
    <w:rsid w:val="00AB53DF"/>
    <w:rsid w:val="00AB65C6"/>
    <w:rsid w:val="00AB69F9"/>
    <w:rsid w:val="00AB6A9A"/>
    <w:rsid w:val="00AB79BE"/>
    <w:rsid w:val="00AC0139"/>
    <w:rsid w:val="00AC0C4E"/>
    <w:rsid w:val="00AC0F2E"/>
    <w:rsid w:val="00AC1683"/>
    <w:rsid w:val="00AC2585"/>
    <w:rsid w:val="00AC25E0"/>
    <w:rsid w:val="00AC3812"/>
    <w:rsid w:val="00AC3CE8"/>
    <w:rsid w:val="00AC48AF"/>
    <w:rsid w:val="00AC4C74"/>
    <w:rsid w:val="00AC60F2"/>
    <w:rsid w:val="00AC6B30"/>
    <w:rsid w:val="00AD01C0"/>
    <w:rsid w:val="00AD0424"/>
    <w:rsid w:val="00AD063B"/>
    <w:rsid w:val="00AD16CF"/>
    <w:rsid w:val="00AD1C7C"/>
    <w:rsid w:val="00AD50D5"/>
    <w:rsid w:val="00AD56FE"/>
    <w:rsid w:val="00AD685B"/>
    <w:rsid w:val="00AD71C9"/>
    <w:rsid w:val="00AD79BA"/>
    <w:rsid w:val="00AE0B21"/>
    <w:rsid w:val="00AE19AD"/>
    <w:rsid w:val="00AE1B3D"/>
    <w:rsid w:val="00AE3107"/>
    <w:rsid w:val="00AE3B85"/>
    <w:rsid w:val="00AE49A0"/>
    <w:rsid w:val="00AE7018"/>
    <w:rsid w:val="00AF0CD7"/>
    <w:rsid w:val="00AF226E"/>
    <w:rsid w:val="00AF2DC1"/>
    <w:rsid w:val="00AF3233"/>
    <w:rsid w:val="00AF386B"/>
    <w:rsid w:val="00AF4AC4"/>
    <w:rsid w:val="00AF5E3B"/>
    <w:rsid w:val="00AF643F"/>
    <w:rsid w:val="00AF7F48"/>
    <w:rsid w:val="00B0200A"/>
    <w:rsid w:val="00B021F1"/>
    <w:rsid w:val="00B05DCB"/>
    <w:rsid w:val="00B05DCD"/>
    <w:rsid w:val="00B0699C"/>
    <w:rsid w:val="00B07E5C"/>
    <w:rsid w:val="00B104F9"/>
    <w:rsid w:val="00B10EBE"/>
    <w:rsid w:val="00B115C0"/>
    <w:rsid w:val="00B122ED"/>
    <w:rsid w:val="00B12C9C"/>
    <w:rsid w:val="00B14FE3"/>
    <w:rsid w:val="00B15033"/>
    <w:rsid w:val="00B1643D"/>
    <w:rsid w:val="00B169FF"/>
    <w:rsid w:val="00B17D48"/>
    <w:rsid w:val="00B20B1B"/>
    <w:rsid w:val="00B212BD"/>
    <w:rsid w:val="00B22092"/>
    <w:rsid w:val="00B22752"/>
    <w:rsid w:val="00B22EFF"/>
    <w:rsid w:val="00B25D53"/>
    <w:rsid w:val="00B25FF7"/>
    <w:rsid w:val="00B304F4"/>
    <w:rsid w:val="00B33BAC"/>
    <w:rsid w:val="00B346B6"/>
    <w:rsid w:val="00B347FA"/>
    <w:rsid w:val="00B35B53"/>
    <w:rsid w:val="00B367A9"/>
    <w:rsid w:val="00B370BD"/>
    <w:rsid w:val="00B375B6"/>
    <w:rsid w:val="00B40BC8"/>
    <w:rsid w:val="00B412E5"/>
    <w:rsid w:val="00B424B4"/>
    <w:rsid w:val="00B433AE"/>
    <w:rsid w:val="00B43BB2"/>
    <w:rsid w:val="00B43F6C"/>
    <w:rsid w:val="00B468BE"/>
    <w:rsid w:val="00B47360"/>
    <w:rsid w:val="00B474CA"/>
    <w:rsid w:val="00B474CF"/>
    <w:rsid w:val="00B47547"/>
    <w:rsid w:val="00B47651"/>
    <w:rsid w:val="00B4772F"/>
    <w:rsid w:val="00B50928"/>
    <w:rsid w:val="00B50BDF"/>
    <w:rsid w:val="00B53481"/>
    <w:rsid w:val="00B53DB6"/>
    <w:rsid w:val="00B54215"/>
    <w:rsid w:val="00B55901"/>
    <w:rsid w:val="00B55AB2"/>
    <w:rsid w:val="00B55CE5"/>
    <w:rsid w:val="00B57539"/>
    <w:rsid w:val="00B60CA9"/>
    <w:rsid w:val="00B62B62"/>
    <w:rsid w:val="00B65A13"/>
    <w:rsid w:val="00B67D93"/>
    <w:rsid w:val="00B718F3"/>
    <w:rsid w:val="00B7322E"/>
    <w:rsid w:val="00B73238"/>
    <w:rsid w:val="00B73660"/>
    <w:rsid w:val="00B7423D"/>
    <w:rsid w:val="00B74739"/>
    <w:rsid w:val="00B74F64"/>
    <w:rsid w:val="00B777B6"/>
    <w:rsid w:val="00B77F89"/>
    <w:rsid w:val="00B80896"/>
    <w:rsid w:val="00B811F7"/>
    <w:rsid w:val="00B83521"/>
    <w:rsid w:val="00B85E89"/>
    <w:rsid w:val="00B8639C"/>
    <w:rsid w:val="00B9076A"/>
    <w:rsid w:val="00B90DD9"/>
    <w:rsid w:val="00B90E43"/>
    <w:rsid w:val="00B9113D"/>
    <w:rsid w:val="00B92955"/>
    <w:rsid w:val="00B9336F"/>
    <w:rsid w:val="00B936D2"/>
    <w:rsid w:val="00B93729"/>
    <w:rsid w:val="00B937E7"/>
    <w:rsid w:val="00B95196"/>
    <w:rsid w:val="00B955F0"/>
    <w:rsid w:val="00B96254"/>
    <w:rsid w:val="00B96A1C"/>
    <w:rsid w:val="00B97A7F"/>
    <w:rsid w:val="00BA037D"/>
    <w:rsid w:val="00BA0540"/>
    <w:rsid w:val="00BA1DFA"/>
    <w:rsid w:val="00BA233A"/>
    <w:rsid w:val="00BA2680"/>
    <w:rsid w:val="00BA2FDA"/>
    <w:rsid w:val="00BA3016"/>
    <w:rsid w:val="00BA32A6"/>
    <w:rsid w:val="00BA41E8"/>
    <w:rsid w:val="00BA4CB0"/>
    <w:rsid w:val="00BA4E0C"/>
    <w:rsid w:val="00BA4FD8"/>
    <w:rsid w:val="00BA5DC6"/>
    <w:rsid w:val="00BA6196"/>
    <w:rsid w:val="00BA65E4"/>
    <w:rsid w:val="00BA7F8C"/>
    <w:rsid w:val="00BB04B7"/>
    <w:rsid w:val="00BB0990"/>
    <w:rsid w:val="00BB0D3E"/>
    <w:rsid w:val="00BB1391"/>
    <w:rsid w:val="00BB16F3"/>
    <w:rsid w:val="00BB18E8"/>
    <w:rsid w:val="00BB4B24"/>
    <w:rsid w:val="00BB5B57"/>
    <w:rsid w:val="00BC1CB3"/>
    <w:rsid w:val="00BC1DC4"/>
    <w:rsid w:val="00BC3EAF"/>
    <w:rsid w:val="00BC438F"/>
    <w:rsid w:val="00BC4D39"/>
    <w:rsid w:val="00BC4DF6"/>
    <w:rsid w:val="00BC4FE4"/>
    <w:rsid w:val="00BC6D8C"/>
    <w:rsid w:val="00BD01D7"/>
    <w:rsid w:val="00BD08AB"/>
    <w:rsid w:val="00BD0ABF"/>
    <w:rsid w:val="00BD0BD3"/>
    <w:rsid w:val="00BD0C83"/>
    <w:rsid w:val="00BD14D4"/>
    <w:rsid w:val="00BD1533"/>
    <w:rsid w:val="00BD1C0C"/>
    <w:rsid w:val="00BD1C98"/>
    <w:rsid w:val="00BD229B"/>
    <w:rsid w:val="00BD2919"/>
    <w:rsid w:val="00BD2F3B"/>
    <w:rsid w:val="00BD31D5"/>
    <w:rsid w:val="00BD39FA"/>
    <w:rsid w:val="00BD3C30"/>
    <w:rsid w:val="00BD3E51"/>
    <w:rsid w:val="00BD52A2"/>
    <w:rsid w:val="00BD5556"/>
    <w:rsid w:val="00BD5FDA"/>
    <w:rsid w:val="00BD790D"/>
    <w:rsid w:val="00BE00A4"/>
    <w:rsid w:val="00BE2483"/>
    <w:rsid w:val="00BE289D"/>
    <w:rsid w:val="00BE3857"/>
    <w:rsid w:val="00BE3A02"/>
    <w:rsid w:val="00BE3F55"/>
    <w:rsid w:val="00BE51F2"/>
    <w:rsid w:val="00BE6019"/>
    <w:rsid w:val="00BE6571"/>
    <w:rsid w:val="00BE6DB0"/>
    <w:rsid w:val="00BF078F"/>
    <w:rsid w:val="00BF18B9"/>
    <w:rsid w:val="00BF3B19"/>
    <w:rsid w:val="00BF4D44"/>
    <w:rsid w:val="00BF56B4"/>
    <w:rsid w:val="00BF6204"/>
    <w:rsid w:val="00BF67C6"/>
    <w:rsid w:val="00BF68AD"/>
    <w:rsid w:val="00BF6F34"/>
    <w:rsid w:val="00BF7012"/>
    <w:rsid w:val="00BF7F86"/>
    <w:rsid w:val="00C01981"/>
    <w:rsid w:val="00C022C0"/>
    <w:rsid w:val="00C02562"/>
    <w:rsid w:val="00C028D8"/>
    <w:rsid w:val="00C0347E"/>
    <w:rsid w:val="00C0672F"/>
    <w:rsid w:val="00C1057C"/>
    <w:rsid w:val="00C10CED"/>
    <w:rsid w:val="00C12652"/>
    <w:rsid w:val="00C12DC0"/>
    <w:rsid w:val="00C12E63"/>
    <w:rsid w:val="00C13175"/>
    <w:rsid w:val="00C139BA"/>
    <w:rsid w:val="00C15101"/>
    <w:rsid w:val="00C20106"/>
    <w:rsid w:val="00C201CF"/>
    <w:rsid w:val="00C20547"/>
    <w:rsid w:val="00C21F20"/>
    <w:rsid w:val="00C256E5"/>
    <w:rsid w:val="00C25D8C"/>
    <w:rsid w:val="00C2683A"/>
    <w:rsid w:val="00C26ACF"/>
    <w:rsid w:val="00C275FA"/>
    <w:rsid w:val="00C3036F"/>
    <w:rsid w:val="00C32771"/>
    <w:rsid w:val="00C3315A"/>
    <w:rsid w:val="00C33480"/>
    <w:rsid w:val="00C34006"/>
    <w:rsid w:val="00C367B9"/>
    <w:rsid w:val="00C36B4C"/>
    <w:rsid w:val="00C36C78"/>
    <w:rsid w:val="00C4103A"/>
    <w:rsid w:val="00C426B1"/>
    <w:rsid w:val="00C428D0"/>
    <w:rsid w:val="00C42F75"/>
    <w:rsid w:val="00C43D30"/>
    <w:rsid w:val="00C4430B"/>
    <w:rsid w:val="00C4485C"/>
    <w:rsid w:val="00C461AA"/>
    <w:rsid w:val="00C46A10"/>
    <w:rsid w:val="00C46D35"/>
    <w:rsid w:val="00C46DB9"/>
    <w:rsid w:val="00C46FB3"/>
    <w:rsid w:val="00C5025B"/>
    <w:rsid w:val="00C5064F"/>
    <w:rsid w:val="00C507C8"/>
    <w:rsid w:val="00C51E78"/>
    <w:rsid w:val="00C520D9"/>
    <w:rsid w:val="00C52A58"/>
    <w:rsid w:val="00C52FD8"/>
    <w:rsid w:val="00C5434D"/>
    <w:rsid w:val="00C5566F"/>
    <w:rsid w:val="00C55A39"/>
    <w:rsid w:val="00C604D2"/>
    <w:rsid w:val="00C605C7"/>
    <w:rsid w:val="00C60D68"/>
    <w:rsid w:val="00C60E36"/>
    <w:rsid w:val="00C61C1A"/>
    <w:rsid w:val="00C621E1"/>
    <w:rsid w:val="00C63B87"/>
    <w:rsid w:val="00C63FB5"/>
    <w:rsid w:val="00C64A64"/>
    <w:rsid w:val="00C65B4B"/>
    <w:rsid w:val="00C66160"/>
    <w:rsid w:val="00C665B5"/>
    <w:rsid w:val="00C70E1F"/>
    <w:rsid w:val="00C7116F"/>
    <w:rsid w:val="00C714A2"/>
    <w:rsid w:val="00C721AC"/>
    <w:rsid w:val="00C729E9"/>
    <w:rsid w:val="00C72ACE"/>
    <w:rsid w:val="00C7389C"/>
    <w:rsid w:val="00C742BA"/>
    <w:rsid w:val="00C74623"/>
    <w:rsid w:val="00C75069"/>
    <w:rsid w:val="00C7515F"/>
    <w:rsid w:val="00C75A36"/>
    <w:rsid w:val="00C7610D"/>
    <w:rsid w:val="00C7791E"/>
    <w:rsid w:val="00C801BF"/>
    <w:rsid w:val="00C82C39"/>
    <w:rsid w:val="00C82CEE"/>
    <w:rsid w:val="00C82DCD"/>
    <w:rsid w:val="00C83EAB"/>
    <w:rsid w:val="00C84E0C"/>
    <w:rsid w:val="00C851F7"/>
    <w:rsid w:val="00C862E3"/>
    <w:rsid w:val="00C865B1"/>
    <w:rsid w:val="00C86751"/>
    <w:rsid w:val="00C86DFF"/>
    <w:rsid w:val="00C86EB5"/>
    <w:rsid w:val="00C87059"/>
    <w:rsid w:val="00C901A9"/>
    <w:rsid w:val="00C90AE6"/>
    <w:rsid w:val="00C90C76"/>
    <w:rsid w:val="00C90CDF"/>
    <w:rsid w:val="00C90D6A"/>
    <w:rsid w:val="00C91851"/>
    <w:rsid w:val="00C9281F"/>
    <w:rsid w:val="00C92F95"/>
    <w:rsid w:val="00C934D6"/>
    <w:rsid w:val="00C940CA"/>
    <w:rsid w:val="00C97662"/>
    <w:rsid w:val="00CA0267"/>
    <w:rsid w:val="00CA0ADB"/>
    <w:rsid w:val="00CA0B06"/>
    <w:rsid w:val="00CA247E"/>
    <w:rsid w:val="00CA2FE0"/>
    <w:rsid w:val="00CA3B19"/>
    <w:rsid w:val="00CA4F81"/>
    <w:rsid w:val="00CA5EB5"/>
    <w:rsid w:val="00CA63D2"/>
    <w:rsid w:val="00CA6D21"/>
    <w:rsid w:val="00CA7A50"/>
    <w:rsid w:val="00CA7FF8"/>
    <w:rsid w:val="00CB012E"/>
    <w:rsid w:val="00CB0ABF"/>
    <w:rsid w:val="00CB0B27"/>
    <w:rsid w:val="00CB3F0F"/>
    <w:rsid w:val="00CB7C3C"/>
    <w:rsid w:val="00CC0590"/>
    <w:rsid w:val="00CC1131"/>
    <w:rsid w:val="00CC1A41"/>
    <w:rsid w:val="00CC4046"/>
    <w:rsid w:val="00CC420A"/>
    <w:rsid w:val="00CC42FF"/>
    <w:rsid w:val="00CC4491"/>
    <w:rsid w:val="00CC4DBC"/>
    <w:rsid w:val="00CC56BA"/>
    <w:rsid w:val="00CC5CE2"/>
    <w:rsid w:val="00CC72B6"/>
    <w:rsid w:val="00CC76E0"/>
    <w:rsid w:val="00CD071A"/>
    <w:rsid w:val="00CD1B88"/>
    <w:rsid w:val="00CD1BEA"/>
    <w:rsid w:val="00CD2308"/>
    <w:rsid w:val="00CD2988"/>
    <w:rsid w:val="00CD3806"/>
    <w:rsid w:val="00CD4D82"/>
    <w:rsid w:val="00CD61F4"/>
    <w:rsid w:val="00CD68F5"/>
    <w:rsid w:val="00CE0BFD"/>
    <w:rsid w:val="00CE1C14"/>
    <w:rsid w:val="00CE1C2E"/>
    <w:rsid w:val="00CE3167"/>
    <w:rsid w:val="00CE3429"/>
    <w:rsid w:val="00CE3AB0"/>
    <w:rsid w:val="00CE40F0"/>
    <w:rsid w:val="00CE4473"/>
    <w:rsid w:val="00CE632F"/>
    <w:rsid w:val="00CE647A"/>
    <w:rsid w:val="00CE6DC4"/>
    <w:rsid w:val="00CF02DC"/>
    <w:rsid w:val="00CF063D"/>
    <w:rsid w:val="00CF068C"/>
    <w:rsid w:val="00CF1A20"/>
    <w:rsid w:val="00CF22E9"/>
    <w:rsid w:val="00CF2DDD"/>
    <w:rsid w:val="00CF2EB1"/>
    <w:rsid w:val="00CF387B"/>
    <w:rsid w:val="00CF40C7"/>
    <w:rsid w:val="00CF69E8"/>
    <w:rsid w:val="00CF77BB"/>
    <w:rsid w:val="00CF7994"/>
    <w:rsid w:val="00D0086F"/>
    <w:rsid w:val="00D00D50"/>
    <w:rsid w:val="00D0218D"/>
    <w:rsid w:val="00D0239A"/>
    <w:rsid w:val="00D0272D"/>
    <w:rsid w:val="00D038FD"/>
    <w:rsid w:val="00D049E5"/>
    <w:rsid w:val="00D05203"/>
    <w:rsid w:val="00D05E94"/>
    <w:rsid w:val="00D061EE"/>
    <w:rsid w:val="00D0643C"/>
    <w:rsid w:val="00D06EA5"/>
    <w:rsid w:val="00D117F4"/>
    <w:rsid w:val="00D1287B"/>
    <w:rsid w:val="00D13033"/>
    <w:rsid w:val="00D13370"/>
    <w:rsid w:val="00D13788"/>
    <w:rsid w:val="00D13B07"/>
    <w:rsid w:val="00D13EB0"/>
    <w:rsid w:val="00D13F11"/>
    <w:rsid w:val="00D1678A"/>
    <w:rsid w:val="00D16B0E"/>
    <w:rsid w:val="00D17715"/>
    <w:rsid w:val="00D17D55"/>
    <w:rsid w:val="00D20139"/>
    <w:rsid w:val="00D20204"/>
    <w:rsid w:val="00D22422"/>
    <w:rsid w:val="00D22622"/>
    <w:rsid w:val="00D232D9"/>
    <w:rsid w:val="00D2347B"/>
    <w:rsid w:val="00D247AC"/>
    <w:rsid w:val="00D25FB5"/>
    <w:rsid w:val="00D260E6"/>
    <w:rsid w:val="00D26480"/>
    <w:rsid w:val="00D2699D"/>
    <w:rsid w:val="00D275C2"/>
    <w:rsid w:val="00D3111C"/>
    <w:rsid w:val="00D33018"/>
    <w:rsid w:val="00D34D18"/>
    <w:rsid w:val="00D356F0"/>
    <w:rsid w:val="00D40009"/>
    <w:rsid w:val="00D40E0F"/>
    <w:rsid w:val="00D427A0"/>
    <w:rsid w:val="00D43E90"/>
    <w:rsid w:val="00D44223"/>
    <w:rsid w:val="00D45FEB"/>
    <w:rsid w:val="00D47C29"/>
    <w:rsid w:val="00D5056E"/>
    <w:rsid w:val="00D510A4"/>
    <w:rsid w:val="00D51851"/>
    <w:rsid w:val="00D5213E"/>
    <w:rsid w:val="00D52B01"/>
    <w:rsid w:val="00D53124"/>
    <w:rsid w:val="00D5380B"/>
    <w:rsid w:val="00D54E68"/>
    <w:rsid w:val="00D54EDB"/>
    <w:rsid w:val="00D61275"/>
    <w:rsid w:val="00D61502"/>
    <w:rsid w:val="00D61F17"/>
    <w:rsid w:val="00D6202E"/>
    <w:rsid w:val="00D62FFA"/>
    <w:rsid w:val="00D63482"/>
    <w:rsid w:val="00D65090"/>
    <w:rsid w:val="00D65DCF"/>
    <w:rsid w:val="00D65DEE"/>
    <w:rsid w:val="00D660B5"/>
    <w:rsid w:val="00D66A24"/>
    <w:rsid w:val="00D670C4"/>
    <w:rsid w:val="00D67992"/>
    <w:rsid w:val="00D70C68"/>
    <w:rsid w:val="00D7340E"/>
    <w:rsid w:val="00D73C78"/>
    <w:rsid w:val="00D74FA4"/>
    <w:rsid w:val="00D75F90"/>
    <w:rsid w:val="00D77F49"/>
    <w:rsid w:val="00D802C1"/>
    <w:rsid w:val="00D80F86"/>
    <w:rsid w:val="00D81051"/>
    <w:rsid w:val="00D82174"/>
    <w:rsid w:val="00D82964"/>
    <w:rsid w:val="00D83A26"/>
    <w:rsid w:val="00D84222"/>
    <w:rsid w:val="00D86132"/>
    <w:rsid w:val="00D86173"/>
    <w:rsid w:val="00D872B7"/>
    <w:rsid w:val="00D87FC8"/>
    <w:rsid w:val="00D90141"/>
    <w:rsid w:val="00D918FA"/>
    <w:rsid w:val="00D93A81"/>
    <w:rsid w:val="00D93BB9"/>
    <w:rsid w:val="00D951EA"/>
    <w:rsid w:val="00D955CB"/>
    <w:rsid w:val="00D95ADC"/>
    <w:rsid w:val="00D95EB0"/>
    <w:rsid w:val="00D96349"/>
    <w:rsid w:val="00D970FD"/>
    <w:rsid w:val="00DA0F64"/>
    <w:rsid w:val="00DA1A49"/>
    <w:rsid w:val="00DA24C8"/>
    <w:rsid w:val="00DA2529"/>
    <w:rsid w:val="00DA45DD"/>
    <w:rsid w:val="00DA5748"/>
    <w:rsid w:val="00DA5C71"/>
    <w:rsid w:val="00DA610A"/>
    <w:rsid w:val="00DA621F"/>
    <w:rsid w:val="00DB08EA"/>
    <w:rsid w:val="00DB0997"/>
    <w:rsid w:val="00DB0BF9"/>
    <w:rsid w:val="00DB130A"/>
    <w:rsid w:val="00DB1D21"/>
    <w:rsid w:val="00DB2EBB"/>
    <w:rsid w:val="00DB4ED0"/>
    <w:rsid w:val="00DB5194"/>
    <w:rsid w:val="00DB5246"/>
    <w:rsid w:val="00DB52F2"/>
    <w:rsid w:val="00DB6323"/>
    <w:rsid w:val="00DB7995"/>
    <w:rsid w:val="00DC041F"/>
    <w:rsid w:val="00DC10A1"/>
    <w:rsid w:val="00DC1DD6"/>
    <w:rsid w:val="00DC52B6"/>
    <w:rsid w:val="00DC644D"/>
    <w:rsid w:val="00DC655F"/>
    <w:rsid w:val="00DC6609"/>
    <w:rsid w:val="00DC74D7"/>
    <w:rsid w:val="00DC777A"/>
    <w:rsid w:val="00DD02AD"/>
    <w:rsid w:val="00DD0307"/>
    <w:rsid w:val="00DD0974"/>
    <w:rsid w:val="00DD0B59"/>
    <w:rsid w:val="00DD10EB"/>
    <w:rsid w:val="00DD330B"/>
    <w:rsid w:val="00DD3EC5"/>
    <w:rsid w:val="00DD44D9"/>
    <w:rsid w:val="00DD5D93"/>
    <w:rsid w:val="00DD6AB9"/>
    <w:rsid w:val="00DD6CBA"/>
    <w:rsid w:val="00DD7B44"/>
    <w:rsid w:val="00DD7D86"/>
    <w:rsid w:val="00DD7EBD"/>
    <w:rsid w:val="00DE1483"/>
    <w:rsid w:val="00DE26EC"/>
    <w:rsid w:val="00DE3425"/>
    <w:rsid w:val="00DE3A51"/>
    <w:rsid w:val="00DE5008"/>
    <w:rsid w:val="00DE5F87"/>
    <w:rsid w:val="00DE675D"/>
    <w:rsid w:val="00DE6ACC"/>
    <w:rsid w:val="00DE706C"/>
    <w:rsid w:val="00DE78CA"/>
    <w:rsid w:val="00DF04F8"/>
    <w:rsid w:val="00DF35B4"/>
    <w:rsid w:val="00DF38EB"/>
    <w:rsid w:val="00DF3CB5"/>
    <w:rsid w:val="00DF42A4"/>
    <w:rsid w:val="00DF4415"/>
    <w:rsid w:val="00DF551E"/>
    <w:rsid w:val="00DF62B6"/>
    <w:rsid w:val="00DF65DB"/>
    <w:rsid w:val="00DF6B7D"/>
    <w:rsid w:val="00DF6C23"/>
    <w:rsid w:val="00DF6F0E"/>
    <w:rsid w:val="00DF6F43"/>
    <w:rsid w:val="00DF705D"/>
    <w:rsid w:val="00DF73D7"/>
    <w:rsid w:val="00DF7569"/>
    <w:rsid w:val="00DF77FC"/>
    <w:rsid w:val="00DF7F44"/>
    <w:rsid w:val="00E0078D"/>
    <w:rsid w:val="00E0275B"/>
    <w:rsid w:val="00E028B2"/>
    <w:rsid w:val="00E02AD6"/>
    <w:rsid w:val="00E02BC7"/>
    <w:rsid w:val="00E02DE8"/>
    <w:rsid w:val="00E0373D"/>
    <w:rsid w:val="00E03D98"/>
    <w:rsid w:val="00E04062"/>
    <w:rsid w:val="00E0411D"/>
    <w:rsid w:val="00E053FC"/>
    <w:rsid w:val="00E05C29"/>
    <w:rsid w:val="00E06586"/>
    <w:rsid w:val="00E06DCC"/>
    <w:rsid w:val="00E07225"/>
    <w:rsid w:val="00E113E6"/>
    <w:rsid w:val="00E12A79"/>
    <w:rsid w:val="00E13096"/>
    <w:rsid w:val="00E148C4"/>
    <w:rsid w:val="00E21CA8"/>
    <w:rsid w:val="00E23BD0"/>
    <w:rsid w:val="00E25839"/>
    <w:rsid w:val="00E26D94"/>
    <w:rsid w:val="00E326A8"/>
    <w:rsid w:val="00E32D2E"/>
    <w:rsid w:val="00E32FE3"/>
    <w:rsid w:val="00E344CC"/>
    <w:rsid w:val="00E351F4"/>
    <w:rsid w:val="00E36B49"/>
    <w:rsid w:val="00E37035"/>
    <w:rsid w:val="00E37072"/>
    <w:rsid w:val="00E40E09"/>
    <w:rsid w:val="00E448DC"/>
    <w:rsid w:val="00E44E72"/>
    <w:rsid w:val="00E45C85"/>
    <w:rsid w:val="00E46016"/>
    <w:rsid w:val="00E46DF3"/>
    <w:rsid w:val="00E46EE6"/>
    <w:rsid w:val="00E47657"/>
    <w:rsid w:val="00E503B8"/>
    <w:rsid w:val="00E517F6"/>
    <w:rsid w:val="00E522B6"/>
    <w:rsid w:val="00E52A8C"/>
    <w:rsid w:val="00E52ABF"/>
    <w:rsid w:val="00E52AD9"/>
    <w:rsid w:val="00E5369C"/>
    <w:rsid w:val="00E5409F"/>
    <w:rsid w:val="00E542DC"/>
    <w:rsid w:val="00E542FF"/>
    <w:rsid w:val="00E54377"/>
    <w:rsid w:val="00E54686"/>
    <w:rsid w:val="00E54936"/>
    <w:rsid w:val="00E54998"/>
    <w:rsid w:val="00E55002"/>
    <w:rsid w:val="00E55A5E"/>
    <w:rsid w:val="00E602AE"/>
    <w:rsid w:val="00E6051B"/>
    <w:rsid w:val="00E614C1"/>
    <w:rsid w:val="00E6243B"/>
    <w:rsid w:val="00E64F60"/>
    <w:rsid w:val="00E65A4A"/>
    <w:rsid w:val="00E65C64"/>
    <w:rsid w:val="00E67830"/>
    <w:rsid w:val="00E713C4"/>
    <w:rsid w:val="00E71A59"/>
    <w:rsid w:val="00E71EA4"/>
    <w:rsid w:val="00E724FE"/>
    <w:rsid w:val="00E73414"/>
    <w:rsid w:val="00E743E0"/>
    <w:rsid w:val="00E74EFF"/>
    <w:rsid w:val="00E75407"/>
    <w:rsid w:val="00E77432"/>
    <w:rsid w:val="00E77B16"/>
    <w:rsid w:val="00E822F3"/>
    <w:rsid w:val="00E83683"/>
    <w:rsid w:val="00E846D0"/>
    <w:rsid w:val="00E84C57"/>
    <w:rsid w:val="00E84D39"/>
    <w:rsid w:val="00E85D91"/>
    <w:rsid w:val="00E85F6E"/>
    <w:rsid w:val="00E86209"/>
    <w:rsid w:val="00E906A6"/>
    <w:rsid w:val="00E909AC"/>
    <w:rsid w:val="00E94C23"/>
    <w:rsid w:val="00E95ABE"/>
    <w:rsid w:val="00E97711"/>
    <w:rsid w:val="00E97EDF"/>
    <w:rsid w:val="00EA0380"/>
    <w:rsid w:val="00EA0B1A"/>
    <w:rsid w:val="00EA2B97"/>
    <w:rsid w:val="00EA50D9"/>
    <w:rsid w:val="00EA56F5"/>
    <w:rsid w:val="00EA64FE"/>
    <w:rsid w:val="00EA78D1"/>
    <w:rsid w:val="00EB027B"/>
    <w:rsid w:val="00EB07D0"/>
    <w:rsid w:val="00EB0F39"/>
    <w:rsid w:val="00EB1BE1"/>
    <w:rsid w:val="00EB3CF0"/>
    <w:rsid w:val="00EB4679"/>
    <w:rsid w:val="00EB55F9"/>
    <w:rsid w:val="00EB564A"/>
    <w:rsid w:val="00EB72CB"/>
    <w:rsid w:val="00EB736D"/>
    <w:rsid w:val="00EC2F44"/>
    <w:rsid w:val="00EC2FA5"/>
    <w:rsid w:val="00EC3732"/>
    <w:rsid w:val="00EC3954"/>
    <w:rsid w:val="00EC4123"/>
    <w:rsid w:val="00EC4291"/>
    <w:rsid w:val="00EC4932"/>
    <w:rsid w:val="00EC5085"/>
    <w:rsid w:val="00EC5BD8"/>
    <w:rsid w:val="00EC6879"/>
    <w:rsid w:val="00EC69B4"/>
    <w:rsid w:val="00EC6F20"/>
    <w:rsid w:val="00EC78FE"/>
    <w:rsid w:val="00ED0921"/>
    <w:rsid w:val="00ED1328"/>
    <w:rsid w:val="00ED2B30"/>
    <w:rsid w:val="00ED3C92"/>
    <w:rsid w:val="00ED3E9A"/>
    <w:rsid w:val="00ED4D70"/>
    <w:rsid w:val="00EE0F8C"/>
    <w:rsid w:val="00EE1384"/>
    <w:rsid w:val="00EE2499"/>
    <w:rsid w:val="00EE4052"/>
    <w:rsid w:val="00EE5309"/>
    <w:rsid w:val="00EE56C4"/>
    <w:rsid w:val="00EE6488"/>
    <w:rsid w:val="00EE675C"/>
    <w:rsid w:val="00EE77FE"/>
    <w:rsid w:val="00EF03D0"/>
    <w:rsid w:val="00EF09C4"/>
    <w:rsid w:val="00EF1ED8"/>
    <w:rsid w:val="00EF2118"/>
    <w:rsid w:val="00EF25ED"/>
    <w:rsid w:val="00EF4214"/>
    <w:rsid w:val="00EF4642"/>
    <w:rsid w:val="00EF482D"/>
    <w:rsid w:val="00EF61DF"/>
    <w:rsid w:val="00EF6777"/>
    <w:rsid w:val="00EF6CF9"/>
    <w:rsid w:val="00EF74CF"/>
    <w:rsid w:val="00F00597"/>
    <w:rsid w:val="00F00698"/>
    <w:rsid w:val="00F00DDC"/>
    <w:rsid w:val="00F0218C"/>
    <w:rsid w:val="00F021FA"/>
    <w:rsid w:val="00F02BDA"/>
    <w:rsid w:val="00F034B2"/>
    <w:rsid w:val="00F03A49"/>
    <w:rsid w:val="00F049E5"/>
    <w:rsid w:val="00F04B14"/>
    <w:rsid w:val="00F06343"/>
    <w:rsid w:val="00F1136A"/>
    <w:rsid w:val="00F11DF1"/>
    <w:rsid w:val="00F12048"/>
    <w:rsid w:val="00F128FF"/>
    <w:rsid w:val="00F138EE"/>
    <w:rsid w:val="00F13E33"/>
    <w:rsid w:val="00F14FA4"/>
    <w:rsid w:val="00F15C7D"/>
    <w:rsid w:val="00F163C6"/>
    <w:rsid w:val="00F1712B"/>
    <w:rsid w:val="00F21CD0"/>
    <w:rsid w:val="00F21ED3"/>
    <w:rsid w:val="00F2208B"/>
    <w:rsid w:val="00F23BE7"/>
    <w:rsid w:val="00F23D73"/>
    <w:rsid w:val="00F256C6"/>
    <w:rsid w:val="00F2697E"/>
    <w:rsid w:val="00F26EAD"/>
    <w:rsid w:val="00F26EC4"/>
    <w:rsid w:val="00F276DC"/>
    <w:rsid w:val="00F30C7A"/>
    <w:rsid w:val="00F30C81"/>
    <w:rsid w:val="00F31112"/>
    <w:rsid w:val="00F31E9D"/>
    <w:rsid w:val="00F32664"/>
    <w:rsid w:val="00F33A39"/>
    <w:rsid w:val="00F34E81"/>
    <w:rsid w:val="00F357D5"/>
    <w:rsid w:val="00F364FC"/>
    <w:rsid w:val="00F37970"/>
    <w:rsid w:val="00F409CF"/>
    <w:rsid w:val="00F41DF1"/>
    <w:rsid w:val="00F43029"/>
    <w:rsid w:val="00F437E3"/>
    <w:rsid w:val="00F43AFB"/>
    <w:rsid w:val="00F43C72"/>
    <w:rsid w:val="00F441DC"/>
    <w:rsid w:val="00F444A5"/>
    <w:rsid w:val="00F445A5"/>
    <w:rsid w:val="00F44798"/>
    <w:rsid w:val="00F45100"/>
    <w:rsid w:val="00F476A5"/>
    <w:rsid w:val="00F50D03"/>
    <w:rsid w:val="00F510BF"/>
    <w:rsid w:val="00F513B8"/>
    <w:rsid w:val="00F51694"/>
    <w:rsid w:val="00F51A35"/>
    <w:rsid w:val="00F51DEA"/>
    <w:rsid w:val="00F52397"/>
    <w:rsid w:val="00F54140"/>
    <w:rsid w:val="00F5445E"/>
    <w:rsid w:val="00F54563"/>
    <w:rsid w:val="00F547DA"/>
    <w:rsid w:val="00F55323"/>
    <w:rsid w:val="00F55D57"/>
    <w:rsid w:val="00F55ED0"/>
    <w:rsid w:val="00F57194"/>
    <w:rsid w:val="00F578B8"/>
    <w:rsid w:val="00F57D47"/>
    <w:rsid w:val="00F607C5"/>
    <w:rsid w:val="00F60CA0"/>
    <w:rsid w:val="00F62E97"/>
    <w:rsid w:val="00F638AF"/>
    <w:rsid w:val="00F63F35"/>
    <w:rsid w:val="00F64081"/>
    <w:rsid w:val="00F64209"/>
    <w:rsid w:val="00F64A16"/>
    <w:rsid w:val="00F64B64"/>
    <w:rsid w:val="00F65E96"/>
    <w:rsid w:val="00F66F35"/>
    <w:rsid w:val="00F67A4C"/>
    <w:rsid w:val="00F67F15"/>
    <w:rsid w:val="00F70C53"/>
    <w:rsid w:val="00F72D11"/>
    <w:rsid w:val="00F73594"/>
    <w:rsid w:val="00F73F18"/>
    <w:rsid w:val="00F74505"/>
    <w:rsid w:val="00F75D9C"/>
    <w:rsid w:val="00F775B0"/>
    <w:rsid w:val="00F8014B"/>
    <w:rsid w:val="00F80651"/>
    <w:rsid w:val="00F81E19"/>
    <w:rsid w:val="00F84317"/>
    <w:rsid w:val="00F84D8F"/>
    <w:rsid w:val="00F86761"/>
    <w:rsid w:val="00F871AC"/>
    <w:rsid w:val="00F87211"/>
    <w:rsid w:val="00F87214"/>
    <w:rsid w:val="00F87B8B"/>
    <w:rsid w:val="00F87B8F"/>
    <w:rsid w:val="00F87BBB"/>
    <w:rsid w:val="00F90836"/>
    <w:rsid w:val="00F92968"/>
    <w:rsid w:val="00F93BF5"/>
    <w:rsid w:val="00F9572B"/>
    <w:rsid w:val="00F958A2"/>
    <w:rsid w:val="00F961DE"/>
    <w:rsid w:val="00F96D1A"/>
    <w:rsid w:val="00F97E61"/>
    <w:rsid w:val="00FA0F90"/>
    <w:rsid w:val="00FA1CDD"/>
    <w:rsid w:val="00FA23D1"/>
    <w:rsid w:val="00FA2B1E"/>
    <w:rsid w:val="00FA3093"/>
    <w:rsid w:val="00FA35C9"/>
    <w:rsid w:val="00FA40AE"/>
    <w:rsid w:val="00FA43C1"/>
    <w:rsid w:val="00FA4698"/>
    <w:rsid w:val="00FA74CA"/>
    <w:rsid w:val="00FB0A40"/>
    <w:rsid w:val="00FB1BAB"/>
    <w:rsid w:val="00FB1D04"/>
    <w:rsid w:val="00FB1F40"/>
    <w:rsid w:val="00FB2B69"/>
    <w:rsid w:val="00FB2DF5"/>
    <w:rsid w:val="00FB34A3"/>
    <w:rsid w:val="00FB3B6D"/>
    <w:rsid w:val="00FB3B99"/>
    <w:rsid w:val="00FB3DFA"/>
    <w:rsid w:val="00FB4036"/>
    <w:rsid w:val="00FB5FB6"/>
    <w:rsid w:val="00FB70D2"/>
    <w:rsid w:val="00FC0520"/>
    <w:rsid w:val="00FC05AE"/>
    <w:rsid w:val="00FC103E"/>
    <w:rsid w:val="00FC1E1F"/>
    <w:rsid w:val="00FC29BC"/>
    <w:rsid w:val="00FC38A9"/>
    <w:rsid w:val="00FC444D"/>
    <w:rsid w:val="00FC529E"/>
    <w:rsid w:val="00FD43B1"/>
    <w:rsid w:val="00FD49D2"/>
    <w:rsid w:val="00FD4EA7"/>
    <w:rsid w:val="00FD5493"/>
    <w:rsid w:val="00FD634E"/>
    <w:rsid w:val="00FD6762"/>
    <w:rsid w:val="00FE0BC6"/>
    <w:rsid w:val="00FE13E3"/>
    <w:rsid w:val="00FE2176"/>
    <w:rsid w:val="00FE2301"/>
    <w:rsid w:val="00FE2C5F"/>
    <w:rsid w:val="00FE331D"/>
    <w:rsid w:val="00FE54A0"/>
    <w:rsid w:val="00FE5834"/>
    <w:rsid w:val="00FE59C0"/>
    <w:rsid w:val="00FE6130"/>
    <w:rsid w:val="00FE6AD6"/>
    <w:rsid w:val="00FE6C51"/>
    <w:rsid w:val="00FE779B"/>
    <w:rsid w:val="00FF1856"/>
    <w:rsid w:val="00FF18BD"/>
    <w:rsid w:val="00FF30E9"/>
    <w:rsid w:val="00FF422D"/>
    <w:rsid w:val="00FF4C73"/>
    <w:rsid w:val="00FF4D8D"/>
    <w:rsid w:val="00FF5891"/>
    <w:rsid w:val="00FF7DAB"/>
    <w:rsid w:val="02343368"/>
    <w:rsid w:val="04D4C6EF"/>
    <w:rsid w:val="07C2C335"/>
    <w:rsid w:val="0E6FCE92"/>
    <w:rsid w:val="172810CB"/>
    <w:rsid w:val="1B4DEE12"/>
    <w:rsid w:val="1D3AB186"/>
    <w:rsid w:val="20F31920"/>
    <w:rsid w:val="261388ED"/>
    <w:rsid w:val="33E99FA0"/>
    <w:rsid w:val="3536BCEB"/>
    <w:rsid w:val="3591579C"/>
    <w:rsid w:val="391F60A1"/>
    <w:rsid w:val="3F4DC69E"/>
    <w:rsid w:val="4085CE6F"/>
    <w:rsid w:val="40FA84DF"/>
    <w:rsid w:val="41DCFF73"/>
    <w:rsid w:val="446C8FA6"/>
    <w:rsid w:val="4AF0D904"/>
    <w:rsid w:val="4F22E95B"/>
    <w:rsid w:val="511DA611"/>
    <w:rsid w:val="53FC95F3"/>
    <w:rsid w:val="54827B4F"/>
    <w:rsid w:val="56B51479"/>
    <w:rsid w:val="58BCFE8E"/>
    <w:rsid w:val="5D1259C8"/>
    <w:rsid w:val="5E3015B5"/>
    <w:rsid w:val="5E697057"/>
    <w:rsid w:val="60107710"/>
    <w:rsid w:val="678D957C"/>
    <w:rsid w:val="678EBDCF"/>
    <w:rsid w:val="6AE37F6D"/>
    <w:rsid w:val="6DBEB00C"/>
    <w:rsid w:val="722C493F"/>
    <w:rsid w:val="7521427B"/>
    <w:rsid w:val="7737A761"/>
    <w:rsid w:val="78D0A404"/>
    <w:rsid w:val="78E93EDB"/>
    <w:rsid w:val="7A4B1602"/>
    <w:rsid w:val="7A5607F0"/>
    <w:rsid w:val="7FCBC0A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D3C15FF"/>
  <w15:chartTrackingRefBased/>
  <w15:docId w15:val="{402E9E39-3996-4306-8818-8B4CA85E3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25FB5"/>
    <w:pPr>
      <w:widowControl w:val="0"/>
    </w:pPr>
    <w:rPr>
      <w:snapToGrid w:val="0"/>
      <w:kern w:val="28"/>
      <w:sz w:val="22"/>
    </w:rPr>
  </w:style>
  <w:style w:type="paragraph" w:styleId="Heading1">
    <w:name w:val="heading 1"/>
    <w:basedOn w:val="Normal"/>
    <w:next w:val="ParaNum"/>
    <w:qFormat/>
    <w:rsid w:val="00626EB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rsid w:val="007A1E6D"/>
    <w:pPr>
      <w:keepNext/>
      <w:numPr>
        <w:ilvl w:val="1"/>
        <w:numId w:val="3"/>
      </w:numPr>
      <w:spacing w:after="120"/>
      <w:outlineLvl w:val="1"/>
    </w:pPr>
    <w:rPr>
      <w:b/>
    </w:rPr>
  </w:style>
  <w:style w:type="paragraph" w:styleId="Heading3">
    <w:name w:val="heading 3"/>
    <w:basedOn w:val="Normal"/>
    <w:next w:val="ParaNum"/>
    <w:qFormat/>
    <w:rsid w:val="00BA6196"/>
    <w:pPr>
      <w:keepNext/>
      <w:numPr>
        <w:ilvl w:val="2"/>
        <w:numId w:val="3"/>
      </w:numPr>
      <w:tabs>
        <w:tab w:val="left" w:pos="2160"/>
      </w:tabs>
      <w:spacing w:after="120"/>
      <w:outlineLvl w:val="2"/>
    </w:pPr>
    <w:rPr>
      <w:b/>
    </w:rPr>
  </w:style>
  <w:style w:type="paragraph" w:styleId="Heading4">
    <w:name w:val="heading 4"/>
    <w:basedOn w:val="Normal"/>
    <w:next w:val="ParaNum"/>
    <w:qFormat/>
    <w:rsid w:val="00C426B1"/>
    <w:pPr>
      <w:keepNext/>
      <w:numPr>
        <w:ilvl w:val="3"/>
        <w:numId w:val="3"/>
      </w:numPr>
      <w:tabs>
        <w:tab w:val="left" w:pos="2880"/>
      </w:tabs>
      <w:spacing w:after="120"/>
      <w:outlineLvl w:val="3"/>
    </w:pPr>
    <w:rPr>
      <w:b/>
    </w:rPr>
  </w:style>
  <w:style w:type="paragraph" w:styleId="Heading5">
    <w:name w:val="heading 5"/>
    <w:basedOn w:val="Normal"/>
    <w:next w:val="ParaNum"/>
    <w:qFormat/>
    <w:rsid w:val="00511968"/>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036039"/>
    <w:pPr>
      <w:numPr>
        <w:ilvl w:val="5"/>
        <w:numId w:val="3"/>
      </w:numPr>
      <w:tabs>
        <w:tab w:val="left" w:pos="4320"/>
      </w:tabs>
      <w:spacing w:after="120"/>
      <w:outlineLvl w:val="5"/>
    </w:pPr>
    <w:rPr>
      <w:b/>
    </w:rPr>
  </w:style>
  <w:style w:type="paragraph" w:styleId="Heading7">
    <w:name w:val="heading 7"/>
    <w:basedOn w:val="Normal"/>
    <w:next w:val="ParaNum"/>
    <w:qFormat/>
    <w:rsid w:val="00036039"/>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1E01CA"/>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1E01CA"/>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rsid w:val="00E07225"/>
    <w:pPr>
      <w:numPr>
        <w:numId w:val="2"/>
      </w:numPr>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aliases w:val="Footnote Text Char Char,Footnote Text Char1,Footnote Text Char2 Char Char,Footnote Text Char2 Char1 Char1 Char Char,Footnote Text Char3 Char1 Char Char,Footnote Text Char3 Char1 Char Char Char Char,Footnote Text Times New Roman,f,fn,fn Ch"/>
    <w:link w:val="FootnoteTextChar"/>
    <w:rsid w:val="000E3D42"/>
    <w:pPr>
      <w:spacing w:after="120"/>
    </w:pPr>
  </w:style>
  <w:style w:type="character" w:styleId="FootnoteReference">
    <w:name w:val="footnote reference"/>
    <w:aliases w:val="(NECG) Footnote Reference,-E Funotenzeichen,A,Appel note de bas de p,FR,Footnote Reference/,Footnote Reference1,Ref,Style 1,Style 12,Style 124,Style 13,Style 17,Style 20,Style 3,Style 34,Style 4,Style 6,Style 7,Style 9,callout,fr,o"/>
    <w:rsid w:val="00A32C3B"/>
    <w:rPr>
      <w:rFonts w:ascii="Times New Roman" w:hAnsi="Times New Roman"/>
      <w:dstrike w:val="0"/>
      <w:color w:val="auto"/>
      <w:sz w:val="20"/>
      <w:vertAlign w:val="superscript"/>
    </w:rPr>
  </w:style>
  <w:style w:type="paragraph" w:styleId="TOC1">
    <w:name w:val="toc 1"/>
    <w:basedOn w:val="Normal"/>
    <w:next w:val="Normal"/>
    <w:semiHidden/>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link w:val="HeaderChar"/>
    <w:autoRedefine/>
    <w:pPr>
      <w:tabs>
        <w:tab w:val="center" w:pos="4680"/>
        <w:tab w:val="right" w:pos="9360"/>
      </w:tabs>
    </w:pPr>
    <w:rPr>
      <w:b/>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tabs>
        <w:tab w:val="left" w:pos="2160"/>
      </w:tabs>
      <w:spacing w:after="220"/>
      <w:ind w:left="2160" w:hanging="720"/>
    </w:pPr>
  </w:style>
  <w:style w:type="paragraph" w:customStyle="1" w:styleId="TableFormat">
    <w:name w:val="TableFormat"/>
    <w:basedOn w:val="Bullet"/>
    <w:p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rsid w:val="002A2D2E"/>
    <w:rPr>
      <w:color w:val="0000FF"/>
      <w:u w:val="single"/>
    </w:rPr>
  </w:style>
  <w:style w:type="character" w:customStyle="1" w:styleId="FooterChar">
    <w:name w:val="Footer Char"/>
    <w:link w:val="Footer"/>
    <w:uiPriority w:val="99"/>
    <w:rsid w:val="009D7308"/>
    <w:rPr>
      <w:snapToGrid w:val="0"/>
      <w:kern w:val="28"/>
      <w:sz w:val="22"/>
    </w:rPr>
  </w:style>
  <w:style w:type="character" w:customStyle="1" w:styleId="FootnoteTextChar">
    <w:name w:val="Footnote Text Char"/>
    <w:aliases w:val="Footnote Text Char Char Char,Footnote Text Char1 Char,Footnote Text Char2 Char Char Char,Footnote Text Char2 Char1 Char1 Char Char Char,Footnote Text Char3 Char1 Char Char Char,Footnote Text Char3 Char1 Char Char Char Char Char,f Char"/>
    <w:link w:val="FootnoteText"/>
    <w:rsid w:val="00372C5F"/>
  </w:style>
  <w:style w:type="paragraph" w:styleId="Revision">
    <w:name w:val="Revision"/>
    <w:hidden/>
    <w:uiPriority w:val="99"/>
    <w:semiHidden/>
    <w:rsid w:val="003F6294"/>
    <w:rPr>
      <w:snapToGrid w:val="0"/>
      <w:kern w:val="28"/>
      <w:sz w:val="22"/>
    </w:rPr>
  </w:style>
  <w:style w:type="character" w:styleId="CommentReference">
    <w:name w:val="annotation reference"/>
    <w:rsid w:val="00764B95"/>
    <w:rPr>
      <w:sz w:val="16"/>
      <w:szCs w:val="16"/>
    </w:rPr>
  </w:style>
  <w:style w:type="paragraph" w:styleId="CommentText">
    <w:name w:val="annotation text"/>
    <w:basedOn w:val="Normal"/>
    <w:link w:val="CommentTextChar"/>
    <w:rsid w:val="00764B95"/>
    <w:rPr>
      <w:sz w:val="20"/>
    </w:rPr>
  </w:style>
  <w:style w:type="character" w:customStyle="1" w:styleId="CommentTextChar">
    <w:name w:val="Comment Text Char"/>
    <w:link w:val="CommentText"/>
    <w:rsid w:val="00764B95"/>
    <w:rPr>
      <w:snapToGrid w:val="0"/>
      <w:kern w:val="28"/>
    </w:rPr>
  </w:style>
  <w:style w:type="paragraph" w:styleId="CommentSubject">
    <w:name w:val="annotation subject"/>
    <w:basedOn w:val="CommentText"/>
    <w:next w:val="CommentText"/>
    <w:link w:val="CommentSubjectChar"/>
    <w:rsid w:val="00764B95"/>
    <w:rPr>
      <w:b/>
      <w:bCs/>
    </w:rPr>
  </w:style>
  <w:style w:type="character" w:customStyle="1" w:styleId="CommentSubjectChar">
    <w:name w:val="Comment Subject Char"/>
    <w:link w:val="CommentSubject"/>
    <w:rsid w:val="00764B95"/>
    <w:rPr>
      <w:b/>
      <w:bCs/>
      <w:snapToGrid w:val="0"/>
      <w:kern w:val="28"/>
    </w:rPr>
  </w:style>
  <w:style w:type="character" w:customStyle="1" w:styleId="HeaderChar">
    <w:name w:val="Header Char"/>
    <w:link w:val="Header"/>
    <w:rsid w:val="009F5069"/>
    <w:rPr>
      <w:b/>
      <w:snapToGrid w:val="0"/>
      <w:kern w:val="28"/>
      <w:sz w:val="22"/>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2.xml" /></Relationships>
</file>

<file path=word/_rels/settings.xml.rels><?xml version="1.0" encoding="utf-8" standalone="yes"?><Relationships xmlns="http://schemas.openxmlformats.org/package/2006/relationships"><Relationship Id="rId1" Type="http://schemas.openxmlformats.org/officeDocument/2006/relationships/attachedTemplate" Target="file:///M:\Form\OS%20Process\Orders%20TOC%20by%20Paragraph.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Orders TOC by Paragraph</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