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11.0 -->
  <w:body>
    <w:p w:rsidR="00204CE3" w14:paraId="1DD66EEF" w14:textId="77777777">
      <w:pPr>
        <w:rPr>
          <w:sz w:val="22"/>
          <w:szCs w:val="22"/>
        </w:rPr>
      </w:pPr>
    </w:p>
    <w:p w:rsidR="006548F2" w14:paraId="6785EEE2" w14:textId="77777777">
      <w:pPr>
        <w:rPr>
          <w:sz w:val="22"/>
          <w:szCs w:val="22"/>
        </w:rPr>
      </w:pPr>
    </w:p>
    <w:p w:rsidR="004F5B0C" w:rsidRPr="004F5B0C" w:rsidP="004F5B0C" w14:paraId="2CD2FC98" w14:textId="6638E079">
      <w:pPr>
        <w:ind w:left="5760"/>
        <w:rPr>
          <w:b/>
          <w:bCs/>
          <w:iCs/>
          <w:sz w:val="22"/>
          <w:szCs w:val="22"/>
        </w:rPr>
      </w:pPr>
      <w:r>
        <w:rPr>
          <w:sz w:val="22"/>
          <w:szCs w:val="22"/>
        </w:rPr>
        <w:tab/>
      </w:r>
      <w:r>
        <w:rPr>
          <w:sz w:val="22"/>
          <w:szCs w:val="22"/>
        </w:rPr>
        <w:tab/>
      </w:r>
      <w:r>
        <w:rPr>
          <w:sz w:val="22"/>
          <w:szCs w:val="22"/>
        </w:rPr>
        <w:tab/>
      </w:r>
      <w:r>
        <w:rPr>
          <w:sz w:val="22"/>
          <w:szCs w:val="22"/>
        </w:rPr>
        <w:tab/>
      </w:r>
      <w:r>
        <w:rPr>
          <w:sz w:val="22"/>
          <w:szCs w:val="22"/>
        </w:rPr>
        <w:tab/>
      </w:r>
      <w:r w:rsidRPr="004F5B0C">
        <w:rPr>
          <w:b/>
          <w:bCs/>
          <w:iCs/>
          <w:sz w:val="22"/>
          <w:szCs w:val="22"/>
        </w:rPr>
        <w:t>DA 25-</w:t>
      </w:r>
      <w:r w:rsidR="00ED0126">
        <w:rPr>
          <w:b/>
          <w:bCs/>
          <w:iCs/>
          <w:sz w:val="22"/>
          <w:szCs w:val="22"/>
        </w:rPr>
        <w:t>519</w:t>
      </w:r>
    </w:p>
    <w:p w:rsidR="004F5B0C" w:rsidRPr="004F5B0C" w:rsidP="004F5B0C" w14:paraId="35311C5A" w14:textId="3C2679FB">
      <w:pPr>
        <w:ind w:left="5760" w:firstLine="720"/>
        <w:rPr>
          <w:b/>
          <w:bCs/>
          <w:iCs/>
          <w:sz w:val="22"/>
          <w:szCs w:val="22"/>
        </w:rPr>
      </w:pPr>
      <w:r w:rsidRPr="004F5B0C">
        <w:rPr>
          <w:b/>
          <w:bCs/>
          <w:iCs/>
          <w:sz w:val="22"/>
          <w:szCs w:val="22"/>
        </w:rPr>
        <w:t xml:space="preserve">Released:  </w:t>
      </w:r>
      <w:r>
        <w:rPr>
          <w:b/>
          <w:bCs/>
          <w:iCs/>
          <w:sz w:val="22"/>
          <w:szCs w:val="22"/>
        </w:rPr>
        <w:t>June</w:t>
      </w:r>
      <w:r w:rsidRPr="004F5B0C">
        <w:rPr>
          <w:b/>
          <w:bCs/>
          <w:iCs/>
          <w:sz w:val="22"/>
          <w:szCs w:val="22"/>
        </w:rPr>
        <w:t xml:space="preserve"> </w:t>
      </w:r>
      <w:r w:rsidR="001C44CB">
        <w:rPr>
          <w:b/>
          <w:bCs/>
          <w:iCs/>
          <w:sz w:val="22"/>
          <w:szCs w:val="22"/>
        </w:rPr>
        <w:t>16</w:t>
      </w:r>
      <w:r w:rsidRPr="004F5B0C">
        <w:rPr>
          <w:b/>
          <w:bCs/>
          <w:iCs/>
          <w:sz w:val="22"/>
          <w:szCs w:val="22"/>
        </w:rPr>
        <w:t>, 2025</w:t>
      </w:r>
    </w:p>
    <w:p w:rsidR="004F5B0C" w:rsidRPr="004F5B0C" w:rsidP="004F5B0C" w14:paraId="381966F6" w14:textId="77777777">
      <w:pPr>
        <w:ind w:left="5760" w:firstLine="720"/>
        <w:rPr>
          <w:iCs/>
          <w:sz w:val="22"/>
          <w:szCs w:val="22"/>
        </w:rPr>
      </w:pPr>
    </w:p>
    <w:p w:rsidR="004F5B0C" w:rsidRPr="004F5B0C" w:rsidP="004F5B0C" w14:paraId="418FC309" w14:textId="77777777">
      <w:pPr>
        <w:ind w:left="5760" w:firstLine="720"/>
        <w:rPr>
          <w:iCs/>
          <w:sz w:val="22"/>
          <w:szCs w:val="22"/>
        </w:rPr>
      </w:pPr>
      <w:r w:rsidRPr="004F5B0C">
        <w:rPr>
          <w:iCs/>
          <w:sz w:val="22"/>
          <w:szCs w:val="22"/>
        </w:rPr>
        <w:t>In Reply Refer to:</w:t>
      </w:r>
    </w:p>
    <w:p w:rsidR="006548F2" w:rsidRPr="004F5B0C" w:rsidP="004F5B0C" w14:paraId="3CD0ADB9" w14:textId="4339F7AD">
      <w:pPr>
        <w:rPr>
          <w:sz w:val="22"/>
          <w:szCs w:val="22"/>
        </w:rPr>
      </w:pPr>
      <w:r w:rsidRPr="004F5B0C">
        <w:rPr>
          <w:iCs/>
          <w:sz w:val="22"/>
          <w:szCs w:val="22"/>
        </w:rPr>
        <w:tab/>
      </w:r>
      <w:r w:rsidRPr="004F5B0C">
        <w:rPr>
          <w:iCs/>
          <w:sz w:val="22"/>
          <w:szCs w:val="22"/>
        </w:rPr>
        <w:tab/>
      </w:r>
      <w:r w:rsidRPr="004F5B0C">
        <w:rPr>
          <w:iCs/>
          <w:sz w:val="22"/>
          <w:szCs w:val="22"/>
        </w:rPr>
        <w:tab/>
      </w:r>
      <w:r w:rsidRPr="004F5B0C">
        <w:rPr>
          <w:iCs/>
          <w:sz w:val="22"/>
          <w:szCs w:val="22"/>
        </w:rPr>
        <w:tab/>
      </w:r>
      <w:r w:rsidRPr="004F5B0C">
        <w:rPr>
          <w:iCs/>
          <w:sz w:val="22"/>
          <w:szCs w:val="22"/>
        </w:rPr>
        <w:tab/>
      </w:r>
      <w:r w:rsidRPr="004F5B0C">
        <w:rPr>
          <w:iCs/>
          <w:sz w:val="22"/>
          <w:szCs w:val="22"/>
        </w:rPr>
        <w:tab/>
      </w:r>
      <w:r w:rsidRPr="004F5B0C">
        <w:rPr>
          <w:iCs/>
          <w:sz w:val="22"/>
          <w:szCs w:val="22"/>
        </w:rPr>
        <w:tab/>
      </w:r>
      <w:r w:rsidRPr="004F5B0C">
        <w:rPr>
          <w:iCs/>
          <w:sz w:val="22"/>
          <w:szCs w:val="22"/>
        </w:rPr>
        <w:tab/>
      </w:r>
      <w:r w:rsidRPr="004F5B0C">
        <w:rPr>
          <w:iCs/>
          <w:sz w:val="22"/>
          <w:szCs w:val="22"/>
        </w:rPr>
        <w:tab/>
        <w:t>1800B3-TSN</w:t>
      </w:r>
    </w:p>
    <w:p w:rsidR="006548F2" w:rsidRPr="004F5B0C" w14:paraId="314EBE8A" w14:textId="77777777">
      <w:pPr>
        <w:rPr>
          <w:sz w:val="22"/>
          <w:szCs w:val="22"/>
        </w:rPr>
      </w:pPr>
    </w:p>
    <w:p w:rsidR="00584A5B" w14:paraId="2A03EB82" w14:textId="3F54BFCC">
      <w:pPr>
        <w:rPr>
          <w:sz w:val="22"/>
          <w:szCs w:val="22"/>
        </w:rPr>
      </w:pPr>
      <w:r>
        <w:rPr>
          <w:sz w:val="22"/>
          <w:szCs w:val="22"/>
        </w:rPr>
        <w:t>Business Council of the Northern Arapaho Tribe</w:t>
      </w:r>
    </w:p>
    <w:p w:rsidR="00835B66" w14:paraId="160E1CCB" w14:textId="0536A26F">
      <w:pPr>
        <w:rPr>
          <w:sz w:val="22"/>
          <w:szCs w:val="22"/>
        </w:rPr>
      </w:pPr>
      <w:r>
        <w:rPr>
          <w:sz w:val="22"/>
          <w:szCs w:val="22"/>
        </w:rPr>
        <w:t xml:space="preserve">c/o </w:t>
      </w:r>
      <w:r>
        <w:rPr>
          <w:sz w:val="22"/>
          <w:szCs w:val="22"/>
        </w:rPr>
        <w:t>Anne Goodwin Crump, Esq.</w:t>
      </w:r>
    </w:p>
    <w:p w:rsidR="00835B66" w14:paraId="59204DEB" w14:textId="64A4DB39">
      <w:pPr>
        <w:rPr>
          <w:sz w:val="22"/>
          <w:szCs w:val="22"/>
        </w:rPr>
      </w:pPr>
      <w:r>
        <w:rPr>
          <w:sz w:val="22"/>
          <w:szCs w:val="22"/>
        </w:rPr>
        <w:t>Fletcher, Heald &amp; Hildreth, P.L.C.</w:t>
      </w:r>
    </w:p>
    <w:p w:rsidR="00835B66" w14:paraId="3F458EE0" w14:textId="77F885B0">
      <w:pPr>
        <w:rPr>
          <w:sz w:val="22"/>
          <w:szCs w:val="22"/>
        </w:rPr>
      </w:pPr>
      <w:r>
        <w:rPr>
          <w:sz w:val="22"/>
          <w:szCs w:val="22"/>
        </w:rPr>
        <w:t>1300 N. 17</w:t>
      </w:r>
      <w:r w:rsidRPr="00835B66">
        <w:rPr>
          <w:sz w:val="22"/>
          <w:szCs w:val="22"/>
          <w:vertAlign w:val="superscript"/>
        </w:rPr>
        <w:t>th</w:t>
      </w:r>
      <w:r>
        <w:rPr>
          <w:sz w:val="22"/>
          <w:szCs w:val="22"/>
        </w:rPr>
        <w:t xml:space="preserve"> Street</w:t>
      </w:r>
    </w:p>
    <w:p w:rsidR="00835B66" w14:paraId="394A744E" w14:textId="19D2D108">
      <w:pPr>
        <w:rPr>
          <w:sz w:val="22"/>
          <w:szCs w:val="22"/>
        </w:rPr>
      </w:pPr>
      <w:r>
        <w:rPr>
          <w:sz w:val="22"/>
          <w:szCs w:val="22"/>
        </w:rPr>
        <w:t>Eleventh Floor</w:t>
      </w:r>
    </w:p>
    <w:p w:rsidR="00835B66" w14:paraId="5CF35C2C" w14:textId="6FA4D910">
      <w:pPr>
        <w:rPr>
          <w:sz w:val="22"/>
          <w:szCs w:val="22"/>
        </w:rPr>
      </w:pPr>
      <w:r>
        <w:rPr>
          <w:sz w:val="22"/>
          <w:szCs w:val="22"/>
        </w:rPr>
        <w:t>Arlington, VA  22209</w:t>
      </w:r>
    </w:p>
    <w:p w:rsidR="00140A90" w14:paraId="7B6FB231" w14:textId="59EF6F76">
      <w:pPr>
        <w:rPr>
          <w:sz w:val="22"/>
          <w:szCs w:val="22"/>
        </w:rPr>
      </w:pPr>
    </w:p>
    <w:p w:rsidR="00835B66" w14:paraId="7D1C323C" w14:textId="77777777">
      <w:pPr>
        <w:rPr>
          <w:sz w:val="22"/>
          <w:szCs w:val="22"/>
        </w:rPr>
      </w:pPr>
    </w:p>
    <w:p w:rsidR="00835B66" w14:paraId="235F4E38" w14:textId="73022E9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 re:</w:t>
      </w:r>
      <w:r>
        <w:rPr>
          <w:sz w:val="22"/>
          <w:szCs w:val="22"/>
        </w:rPr>
        <w:tab/>
      </w:r>
      <w:r w:rsidRPr="00835B66">
        <w:rPr>
          <w:b/>
          <w:bCs/>
          <w:sz w:val="22"/>
          <w:szCs w:val="22"/>
        </w:rPr>
        <w:t>New(FM), Ethete, Wyoming</w:t>
      </w:r>
    </w:p>
    <w:p w:rsidR="00835B66" w:rsidP="00835B66" w14:paraId="0C8C9F33" w14:textId="23E500E0">
      <w:pPr>
        <w:ind w:left="5040" w:firstLine="720"/>
        <w:rPr>
          <w:sz w:val="22"/>
          <w:szCs w:val="22"/>
        </w:rPr>
      </w:pPr>
      <w:r>
        <w:rPr>
          <w:sz w:val="22"/>
          <w:szCs w:val="22"/>
        </w:rPr>
        <w:t>Business Council of the Northern</w:t>
      </w:r>
    </w:p>
    <w:p w:rsidR="00835B66" w14:paraId="6ACE7923" w14:textId="2FB423A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Arapaho Tribe</w:t>
      </w:r>
    </w:p>
    <w:p w:rsidR="00835B66" w14:paraId="2113C555" w14:textId="18B3D4C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Facility ID No:  791360</w:t>
      </w:r>
    </w:p>
    <w:p w:rsidR="00835B66" w14:paraId="46318E07" w14:textId="1AED7D1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Application File No:  0000256686</w:t>
      </w:r>
    </w:p>
    <w:p w:rsidR="00835B66" w14:paraId="706F2C7C" w14:textId="77777777">
      <w:pPr>
        <w:rPr>
          <w:sz w:val="22"/>
          <w:szCs w:val="22"/>
        </w:rPr>
      </w:pPr>
    </w:p>
    <w:p w:rsidR="00835B66" w14:paraId="52E947CA" w14:textId="2E39EA24">
      <w:pPr>
        <w:rPr>
          <w:sz w:val="22"/>
          <w:szCs w:val="22"/>
        </w:rPr>
      </w:pPr>
      <w:r>
        <w:rPr>
          <w:sz w:val="22"/>
          <w:szCs w:val="22"/>
        </w:rPr>
        <w:t>Dear Counsel:</w:t>
      </w:r>
    </w:p>
    <w:p w:rsidR="00620596" w14:paraId="4560D50B" w14:textId="77777777">
      <w:pPr>
        <w:rPr>
          <w:sz w:val="22"/>
          <w:szCs w:val="22"/>
        </w:rPr>
      </w:pPr>
    </w:p>
    <w:p w:rsidR="00620596" w14:paraId="77934369" w14:textId="0D91046A">
      <w:pPr>
        <w:rPr>
          <w:sz w:val="22"/>
          <w:szCs w:val="22"/>
        </w:rPr>
      </w:pPr>
      <w:r>
        <w:rPr>
          <w:sz w:val="22"/>
          <w:szCs w:val="22"/>
        </w:rPr>
        <w:tab/>
        <w:t xml:space="preserve">We have before us the </w:t>
      </w:r>
      <w:r w:rsidR="00DA55F0">
        <w:rPr>
          <w:sz w:val="22"/>
          <w:szCs w:val="22"/>
        </w:rPr>
        <w:t xml:space="preserve">application (Application) of the Business Council of the Northern Arapaho Tribe (Council) for a new FM </w:t>
      </w:r>
      <w:r w:rsidR="00DA22F1">
        <w:rPr>
          <w:sz w:val="22"/>
          <w:szCs w:val="22"/>
        </w:rPr>
        <w:t>broadcast station at Ethete, Wyoming.</w:t>
      </w:r>
      <w:r>
        <w:rPr>
          <w:rStyle w:val="FootnoteReference"/>
          <w:sz w:val="22"/>
          <w:szCs w:val="22"/>
        </w:rPr>
        <w:footnoteReference w:id="2"/>
      </w:r>
      <w:r w:rsidR="00DA22F1">
        <w:rPr>
          <w:sz w:val="22"/>
          <w:szCs w:val="22"/>
        </w:rPr>
        <w:t xml:space="preserve">  The Application was filed simultaneously with Council’s </w:t>
      </w:r>
      <w:r w:rsidR="0002209C">
        <w:rPr>
          <w:sz w:val="22"/>
          <w:szCs w:val="22"/>
        </w:rPr>
        <w:t>petition for a new Tribal Allotment at Ethete</w:t>
      </w:r>
      <w:r w:rsidR="00765194">
        <w:rPr>
          <w:sz w:val="22"/>
          <w:szCs w:val="22"/>
        </w:rPr>
        <w:t xml:space="preserve"> (Petition)</w:t>
      </w:r>
      <w:r w:rsidR="000266B6">
        <w:rPr>
          <w:sz w:val="22"/>
          <w:szCs w:val="22"/>
        </w:rPr>
        <w:t xml:space="preserve">, utilizing the </w:t>
      </w:r>
      <w:r w:rsidR="00EB26AD">
        <w:rPr>
          <w:sz w:val="22"/>
          <w:szCs w:val="22"/>
        </w:rPr>
        <w:t>“threshold qualifications” procedures</w:t>
      </w:r>
      <w:r w:rsidR="00BA7D45">
        <w:rPr>
          <w:sz w:val="22"/>
          <w:szCs w:val="22"/>
        </w:rPr>
        <w:t xml:space="preserve"> for asserting a Tribal Priority for the new allotment.</w:t>
      </w:r>
      <w:r>
        <w:rPr>
          <w:rStyle w:val="FootnoteReference"/>
          <w:sz w:val="22"/>
          <w:szCs w:val="22"/>
        </w:rPr>
        <w:footnoteReference w:id="3"/>
      </w:r>
      <w:r w:rsidR="00BA7D45">
        <w:rPr>
          <w:sz w:val="22"/>
          <w:szCs w:val="22"/>
        </w:rPr>
        <w:t xml:space="preserve">  </w:t>
      </w:r>
      <w:r w:rsidR="00F95131">
        <w:rPr>
          <w:sz w:val="22"/>
          <w:szCs w:val="22"/>
        </w:rPr>
        <w:t xml:space="preserve">As part of its Petition, </w:t>
      </w:r>
      <w:r w:rsidR="00BA7D45">
        <w:rPr>
          <w:sz w:val="22"/>
          <w:szCs w:val="22"/>
        </w:rPr>
        <w:t xml:space="preserve">Council seeks a waiver of certain of the </w:t>
      </w:r>
      <w:r w:rsidR="0082240B">
        <w:rPr>
          <w:sz w:val="22"/>
          <w:szCs w:val="22"/>
        </w:rPr>
        <w:t xml:space="preserve">requirements </w:t>
      </w:r>
      <w:r w:rsidR="007F3162">
        <w:rPr>
          <w:sz w:val="22"/>
          <w:szCs w:val="22"/>
        </w:rPr>
        <w:t>needed to establish threshold qualifications</w:t>
      </w:r>
      <w:r w:rsidR="00534A66">
        <w:rPr>
          <w:sz w:val="22"/>
          <w:szCs w:val="22"/>
        </w:rPr>
        <w:t xml:space="preserve"> (Waiver Request)</w:t>
      </w:r>
      <w:r w:rsidR="007F3162">
        <w:rPr>
          <w:sz w:val="22"/>
          <w:szCs w:val="22"/>
        </w:rPr>
        <w:t xml:space="preserve">.  After </w:t>
      </w:r>
      <w:r w:rsidR="000C6FCF">
        <w:rPr>
          <w:sz w:val="22"/>
          <w:szCs w:val="22"/>
        </w:rPr>
        <w:t xml:space="preserve">examining Council’s application and giving its </w:t>
      </w:r>
      <w:r w:rsidR="00480D72">
        <w:rPr>
          <w:sz w:val="22"/>
          <w:szCs w:val="22"/>
        </w:rPr>
        <w:t>Waiver Request</w:t>
      </w:r>
      <w:r w:rsidR="000C6FCF">
        <w:rPr>
          <w:sz w:val="22"/>
          <w:szCs w:val="22"/>
        </w:rPr>
        <w:t xml:space="preserve"> the requisite “hard look,” we grant the </w:t>
      </w:r>
      <w:r w:rsidR="00DA5AC8">
        <w:rPr>
          <w:sz w:val="22"/>
          <w:szCs w:val="22"/>
        </w:rPr>
        <w:t>W</w:t>
      </w:r>
      <w:r w:rsidR="000C6FCF">
        <w:rPr>
          <w:sz w:val="22"/>
          <w:szCs w:val="22"/>
        </w:rPr>
        <w:t xml:space="preserve">aiver </w:t>
      </w:r>
      <w:r w:rsidR="00DA5AC8">
        <w:rPr>
          <w:sz w:val="22"/>
          <w:szCs w:val="22"/>
        </w:rPr>
        <w:t>R</w:t>
      </w:r>
      <w:r w:rsidR="000C6FCF">
        <w:rPr>
          <w:sz w:val="22"/>
          <w:szCs w:val="22"/>
        </w:rPr>
        <w:t>equest and the Application.</w:t>
      </w:r>
    </w:p>
    <w:p w:rsidR="000C6FCF" w14:paraId="5F6E8DA7" w14:textId="77777777">
      <w:pPr>
        <w:rPr>
          <w:sz w:val="22"/>
          <w:szCs w:val="22"/>
        </w:rPr>
      </w:pPr>
    </w:p>
    <w:p w:rsidR="000C6FCF" w14:paraId="58A343E5" w14:textId="6BAD371B">
      <w:pPr>
        <w:rPr>
          <w:sz w:val="22"/>
          <w:szCs w:val="22"/>
        </w:rPr>
      </w:pPr>
      <w:r>
        <w:rPr>
          <w:sz w:val="22"/>
          <w:szCs w:val="22"/>
        </w:rPr>
        <w:tab/>
      </w:r>
      <w:r w:rsidRPr="00617BAA">
        <w:rPr>
          <w:i/>
          <w:iCs/>
          <w:sz w:val="22"/>
          <w:szCs w:val="22"/>
        </w:rPr>
        <w:t>Background</w:t>
      </w:r>
      <w:r>
        <w:rPr>
          <w:sz w:val="22"/>
          <w:szCs w:val="22"/>
        </w:rPr>
        <w:t xml:space="preserve">.  </w:t>
      </w:r>
      <w:r w:rsidR="00765194">
        <w:rPr>
          <w:sz w:val="22"/>
          <w:szCs w:val="22"/>
        </w:rPr>
        <w:t xml:space="preserve">Council filed the Application, and its Petition, on </w:t>
      </w:r>
      <w:r w:rsidR="005759DC">
        <w:rPr>
          <w:sz w:val="22"/>
          <w:szCs w:val="22"/>
        </w:rPr>
        <w:t>November 5, 2024</w:t>
      </w:r>
      <w:r w:rsidR="00B1023C">
        <w:rPr>
          <w:sz w:val="22"/>
          <w:szCs w:val="22"/>
        </w:rPr>
        <w:t xml:space="preserve">.  </w:t>
      </w:r>
      <w:r w:rsidR="002D1F47">
        <w:rPr>
          <w:sz w:val="22"/>
          <w:szCs w:val="22"/>
        </w:rPr>
        <w:t xml:space="preserve">Council seeks a new FM broadcast station on </w:t>
      </w:r>
      <w:r w:rsidR="00EE7188">
        <w:rPr>
          <w:sz w:val="22"/>
          <w:szCs w:val="22"/>
        </w:rPr>
        <w:t xml:space="preserve">Channel 260C0 at Ethete, Wyoming, which is a community located on the Wind River </w:t>
      </w:r>
      <w:r w:rsidR="00617BAA">
        <w:rPr>
          <w:sz w:val="22"/>
          <w:szCs w:val="22"/>
        </w:rPr>
        <w:t xml:space="preserve">Indian </w:t>
      </w:r>
      <w:r w:rsidR="00A864AE">
        <w:rPr>
          <w:sz w:val="22"/>
          <w:szCs w:val="22"/>
        </w:rPr>
        <w:t>Reservation, which is shared by the Northern Arapaho Tribe and the Eastern Shoshone Tribe.</w:t>
      </w:r>
      <w:r>
        <w:rPr>
          <w:rStyle w:val="FootnoteReference"/>
          <w:sz w:val="22"/>
          <w:szCs w:val="22"/>
        </w:rPr>
        <w:footnoteReference w:id="4"/>
      </w:r>
      <w:r w:rsidR="00165FC0">
        <w:rPr>
          <w:sz w:val="22"/>
          <w:szCs w:val="22"/>
        </w:rPr>
        <w:t xml:space="preserve">  </w:t>
      </w:r>
    </w:p>
    <w:p w:rsidR="001030DC" w14:paraId="112F67E2" w14:textId="77777777">
      <w:pPr>
        <w:rPr>
          <w:sz w:val="22"/>
          <w:szCs w:val="22"/>
        </w:rPr>
      </w:pPr>
    </w:p>
    <w:p w:rsidR="001030DC" w:rsidRPr="00E25D5F" w14:paraId="3AB12D1F" w14:textId="10CBCD6A">
      <w:pPr>
        <w:rPr>
          <w:sz w:val="22"/>
          <w:szCs w:val="22"/>
        </w:rPr>
      </w:pPr>
      <w:r>
        <w:rPr>
          <w:sz w:val="22"/>
          <w:szCs w:val="22"/>
        </w:rPr>
        <w:tab/>
      </w:r>
      <w:r w:rsidR="00E366FA">
        <w:rPr>
          <w:sz w:val="22"/>
          <w:szCs w:val="22"/>
        </w:rPr>
        <w:t xml:space="preserve">In the Petition, </w:t>
      </w:r>
      <w:r>
        <w:rPr>
          <w:sz w:val="22"/>
          <w:szCs w:val="22"/>
        </w:rPr>
        <w:t xml:space="preserve">Council </w:t>
      </w:r>
      <w:r w:rsidR="00812AE6">
        <w:rPr>
          <w:sz w:val="22"/>
          <w:szCs w:val="22"/>
        </w:rPr>
        <w:t>sought</w:t>
      </w:r>
      <w:r>
        <w:rPr>
          <w:sz w:val="22"/>
          <w:szCs w:val="22"/>
        </w:rPr>
        <w:t xml:space="preserve"> to add the allotment at Ethete as a Tribal Allotment, using our </w:t>
      </w:r>
      <w:r w:rsidR="005669D7">
        <w:rPr>
          <w:sz w:val="22"/>
          <w:szCs w:val="22"/>
        </w:rPr>
        <w:t>threshold qualification</w:t>
      </w:r>
      <w:r>
        <w:rPr>
          <w:sz w:val="22"/>
          <w:szCs w:val="22"/>
        </w:rPr>
        <w:t xml:space="preserve"> procedures.</w:t>
      </w:r>
      <w:r>
        <w:rPr>
          <w:rStyle w:val="FootnoteReference"/>
          <w:sz w:val="22"/>
          <w:szCs w:val="22"/>
        </w:rPr>
        <w:footnoteReference w:id="5"/>
      </w:r>
      <w:r w:rsidR="00FC5E60">
        <w:rPr>
          <w:sz w:val="22"/>
          <w:szCs w:val="22"/>
        </w:rPr>
        <w:t xml:space="preserve">  </w:t>
      </w:r>
      <w:r w:rsidR="003855DE">
        <w:rPr>
          <w:sz w:val="22"/>
          <w:szCs w:val="22"/>
        </w:rPr>
        <w:t xml:space="preserve">As set forth in the </w:t>
      </w:r>
      <w:r w:rsidRPr="00E366FA" w:rsidR="003855DE">
        <w:rPr>
          <w:i/>
          <w:iCs/>
          <w:sz w:val="22"/>
          <w:szCs w:val="22"/>
        </w:rPr>
        <w:t>Rural Radio Third R&amp;O</w:t>
      </w:r>
      <w:r w:rsidR="003855DE">
        <w:rPr>
          <w:sz w:val="22"/>
          <w:szCs w:val="22"/>
        </w:rPr>
        <w:t xml:space="preserve">, </w:t>
      </w:r>
      <w:r w:rsidR="00862025">
        <w:rPr>
          <w:sz w:val="22"/>
          <w:szCs w:val="22"/>
        </w:rPr>
        <w:t>as well as Note 5 to section 73.3573 of our rules,</w:t>
      </w:r>
      <w:r>
        <w:rPr>
          <w:rStyle w:val="FootnoteReference"/>
          <w:sz w:val="22"/>
          <w:szCs w:val="22"/>
        </w:rPr>
        <w:footnoteReference w:id="6"/>
      </w:r>
      <w:r w:rsidR="00862025">
        <w:rPr>
          <w:sz w:val="22"/>
          <w:szCs w:val="22"/>
        </w:rPr>
        <w:t xml:space="preserve"> a Tribal Applicant seeking a Tribal Priority </w:t>
      </w:r>
      <w:r w:rsidRPr="00E25D5F" w:rsidR="00862025">
        <w:rPr>
          <w:sz w:val="22"/>
          <w:szCs w:val="22"/>
        </w:rPr>
        <w:t xml:space="preserve">must </w:t>
      </w:r>
      <w:r w:rsidRPr="00E25D5F" w:rsidR="00E25D5F">
        <w:rPr>
          <w:color w:val="010101"/>
          <w:sz w:val="22"/>
          <w:szCs w:val="22"/>
        </w:rPr>
        <w:t>demonstrate that it meets all of the following eligibility criteria for grant of a Tribal Priority at the allotment stage</w:t>
      </w:r>
      <w:r w:rsidRPr="00E25D5F" w:rsidR="00862025">
        <w:rPr>
          <w:sz w:val="22"/>
          <w:szCs w:val="22"/>
        </w:rPr>
        <w:t>:</w:t>
      </w:r>
    </w:p>
    <w:p w:rsidR="00862025" w:rsidRPr="00E25D5F" w14:paraId="1FE9F5F7" w14:textId="77777777">
      <w:pPr>
        <w:rPr>
          <w:sz w:val="22"/>
          <w:szCs w:val="22"/>
        </w:rPr>
      </w:pPr>
    </w:p>
    <w:p w:rsidR="00521A40" w:rsidRPr="00521A40" w:rsidP="00C66CEE" w14:paraId="31FF2753" w14:textId="21FB0142">
      <w:pPr>
        <w:autoSpaceDE w:val="0"/>
        <w:autoSpaceDN w:val="0"/>
        <w:adjustRightInd w:val="0"/>
        <w:ind w:left="1440" w:hanging="720"/>
        <w:rPr>
          <w:sz w:val="22"/>
          <w:szCs w:val="22"/>
        </w:rPr>
      </w:pPr>
      <w:r w:rsidRPr="00521A40">
        <w:rPr>
          <w:color w:val="010101"/>
          <w:sz w:val="22"/>
          <w:szCs w:val="22"/>
        </w:rPr>
        <w:t>(</w:t>
      </w:r>
      <w:r w:rsidR="00020C8E">
        <w:rPr>
          <w:color w:val="010101"/>
          <w:sz w:val="22"/>
          <w:szCs w:val="22"/>
        </w:rPr>
        <w:t>a</w:t>
      </w:r>
      <w:r w:rsidRPr="00521A40">
        <w:rPr>
          <w:color w:val="010101"/>
          <w:sz w:val="22"/>
          <w:szCs w:val="22"/>
        </w:rPr>
        <w:t xml:space="preserve">) </w:t>
      </w:r>
      <w:r w:rsidRPr="00521A40">
        <w:rPr>
          <w:color w:val="010101"/>
          <w:sz w:val="22"/>
          <w:szCs w:val="22"/>
        </w:rPr>
        <w:tab/>
      </w:r>
      <w:r w:rsidRPr="00521A40">
        <w:rPr>
          <w:sz w:val="22"/>
          <w:szCs w:val="22"/>
        </w:rPr>
        <w:t>The applicant is either a federally recognized Tribe or Tribal consortium, or an entity 51 percent or more of which is owned or controlled by a Tribe or Tribes.  Qualifying Tribes or Tribal entities must be those at least a portion of whose Tribal Lands lie within the principal community contour of the proposed facility.  Although the 51 or greater percent Tribal control threshold need not consist of a single Tribe, the qualifying entity must be 51 percent or more owned or controlled by Tribes at least a portion of whose Tribal Lands lie within the proposed facility’s principal community contour;</w:t>
      </w:r>
    </w:p>
    <w:p w:rsidR="00521A40" w:rsidRPr="00521A40" w:rsidP="00C66CEE" w14:paraId="24947944" w14:textId="1D827985">
      <w:pPr>
        <w:autoSpaceDE w:val="0"/>
        <w:autoSpaceDN w:val="0"/>
        <w:adjustRightInd w:val="0"/>
        <w:ind w:left="1440" w:hanging="720"/>
        <w:rPr>
          <w:sz w:val="22"/>
          <w:szCs w:val="22"/>
        </w:rPr>
      </w:pPr>
      <w:r w:rsidRPr="00521A40">
        <w:rPr>
          <w:sz w:val="22"/>
          <w:szCs w:val="22"/>
        </w:rPr>
        <w:t>(</w:t>
      </w:r>
      <w:r w:rsidR="00020C8E">
        <w:rPr>
          <w:sz w:val="22"/>
          <w:szCs w:val="22"/>
        </w:rPr>
        <w:t>b</w:t>
      </w:r>
      <w:r w:rsidRPr="00521A40">
        <w:rPr>
          <w:sz w:val="22"/>
          <w:szCs w:val="22"/>
        </w:rPr>
        <w:t xml:space="preserve">) </w:t>
      </w:r>
      <w:r w:rsidRPr="00521A40">
        <w:rPr>
          <w:sz w:val="22"/>
          <w:szCs w:val="22"/>
        </w:rPr>
        <w:tab/>
        <w:t>(1) At least 50 percent of the area within the proposed principal community contour is over that Tribe’s Tribal Lands, or (2) the proposed principal community contour (</w:t>
      </w:r>
      <w:r w:rsidR="00020C8E">
        <w:rPr>
          <w:sz w:val="22"/>
          <w:szCs w:val="22"/>
        </w:rPr>
        <w:t>i</w:t>
      </w:r>
      <w:r w:rsidRPr="00521A40">
        <w:rPr>
          <w:sz w:val="22"/>
          <w:szCs w:val="22"/>
        </w:rPr>
        <w:t>) encompasses 50 percent or more of that Tribe’s Tribal Lands, (</w:t>
      </w:r>
      <w:r w:rsidR="00020C8E">
        <w:rPr>
          <w:sz w:val="22"/>
          <w:szCs w:val="22"/>
        </w:rPr>
        <w:t>ii</w:t>
      </w:r>
      <w:r w:rsidRPr="00521A40">
        <w:rPr>
          <w:sz w:val="22"/>
          <w:szCs w:val="22"/>
        </w:rPr>
        <w:t>) serves at least 2,000 people living on Tribal Lands, and (</w:t>
      </w:r>
      <w:r w:rsidR="00020C8E">
        <w:rPr>
          <w:sz w:val="22"/>
          <w:szCs w:val="22"/>
        </w:rPr>
        <w:t>iii</w:t>
      </w:r>
      <w:r w:rsidRPr="00521A40">
        <w:rPr>
          <w:sz w:val="22"/>
          <w:szCs w:val="22"/>
        </w:rPr>
        <w:t>) the total population on Tribal Lands residing within the proposed station’s service contour constitutes at least 50 percent of the total covered population</w:t>
      </w:r>
      <w:r>
        <w:rPr>
          <w:rStyle w:val="FootnoteReference"/>
          <w:sz w:val="22"/>
          <w:szCs w:val="22"/>
        </w:rPr>
        <w:footnoteReference w:id="7"/>
      </w:r>
      <w:r w:rsidRPr="00521A40">
        <w:rPr>
          <w:sz w:val="22"/>
          <w:szCs w:val="22"/>
        </w:rPr>
        <w:t xml:space="preserve"> (and, in the case of either (</w:t>
      </w:r>
      <w:r w:rsidR="004406E6">
        <w:rPr>
          <w:sz w:val="22"/>
          <w:szCs w:val="22"/>
        </w:rPr>
        <w:t>b</w:t>
      </w:r>
      <w:r w:rsidRPr="00521A40">
        <w:rPr>
          <w:sz w:val="22"/>
          <w:szCs w:val="22"/>
        </w:rPr>
        <w:t>)(1) or (</w:t>
      </w:r>
      <w:r w:rsidR="004406E6">
        <w:rPr>
          <w:sz w:val="22"/>
          <w:szCs w:val="22"/>
        </w:rPr>
        <w:t>b</w:t>
      </w:r>
      <w:r w:rsidRPr="00521A40">
        <w:rPr>
          <w:sz w:val="22"/>
          <w:szCs w:val="22"/>
        </w:rPr>
        <w:t>)(2), the proposed station’s principal community contour does not cover more than 50 percent of the Tribal Lands of a Tribe that is not a party to the application);</w:t>
      </w:r>
      <w:r w:rsidR="00AB54DC">
        <w:rPr>
          <w:sz w:val="22"/>
          <w:szCs w:val="22"/>
        </w:rPr>
        <w:t xml:space="preserve"> (citation omitted)</w:t>
      </w:r>
    </w:p>
    <w:p w:rsidR="00521A40" w:rsidRPr="00521A40" w:rsidP="00C66CEE" w14:paraId="6EFCDE92" w14:textId="7FE1C61A">
      <w:pPr>
        <w:autoSpaceDE w:val="0"/>
        <w:autoSpaceDN w:val="0"/>
        <w:adjustRightInd w:val="0"/>
        <w:ind w:left="1440" w:hanging="720"/>
        <w:rPr>
          <w:sz w:val="22"/>
          <w:szCs w:val="22"/>
        </w:rPr>
      </w:pPr>
      <w:r w:rsidRPr="00521A40">
        <w:rPr>
          <w:sz w:val="22"/>
          <w:szCs w:val="22"/>
        </w:rPr>
        <w:t>(</w:t>
      </w:r>
      <w:r w:rsidR="00630755">
        <w:rPr>
          <w:sz w:val="22"/>
          <w:szCs w:val="22"/>
        </w:rPr>
        <w:t>c</w:t>
      </w:r>
      <w:r w:rsidRPr="00521A40">
        <w:rPr>
          <w:sz w:val="22"/>
          <w:szCs w:val="22"/>
        </w:rPr>
        <w:t>)</w:t>
      </w:r>
      <w:r w:rsidRPr="00521A40">
        <w:rPr>
          <w:sz w:val="22"/>
          <w:szCs w:val="22"/>
        </w:rPr>
        <w:tab/>
        <w:t>The proposed community of license must be located on Tribal Lands; and</w:t>
      </w:r>
    </w:p>
    <w:p w:rsidR="00521A40" w:rsidP="00C66CEE" w14:paraId="75F38212" w14:textId="4243A9DD">
      <w:pPr>
        <w:autoSpaceDE w:val="0"/>
        <w:autoSpaceDN w:val="0"/>
        <w:adjustRightInd w:val="0"/>
        <w:ind w:left="1440" w:hanging="720"/>
        <w:rPr>
          <w:sz w:val="22"/>
          <w:szCs w:val="22"/>
        </w:rPr>
      </w:pPr>
      <w:r w:rsidRPr="00521A40">
        <w:rPr>
          <w:sz w:val="22"/>
          <w:szCs w:val="22"/>
        </w:rPr>
        <w:t>(</w:t>
      </w:r>
      <w:r w:rsidR="00630755">
        <w:rPr>
          <w:sz w:val="22"/>
          <w:szCs w:val="22"/>
        </w:rPr>
        <w:t>d</w:t>
      </w:r>
      <w:r w:rsidRPr="00521A40">
        <w:rPr>
          <w:sz w:val="22"/>
          <w:szCs w:val="22"/>
        </w:rPr>
        <w:t xml:space="preserve">) </w:t>
      </w:r>
      <w:r w:rsidRPr="00521A40">
        <w:rPr>
          <w:sz w:val="22"/>
          <w:szCs w:val="22"/>
        </w:rPr>
        <w:tab/>
        <w:t>The proposed service must constitute first or second aural (reception) service, or first local Tribal-owned commercial transmission service at the proposed community of license.</w:t>
      </w:r>
      <w:r>
        <w:rPr>
          <w:rStyle w:val="FootnoteReference"/>
          <w:sz w:val="22"/>
          <w:szCs w:val="22"/>
        </w:rPr>
        <w:footnoteReference w:id="8"/>
      </w:r>
    </w:p>
    <w:p w:rsidR="008B0156" w:rsidP="00C66CEE" w14:paraId="15523B43" w14:textId="77777777">
      <w:pPr>
        <w:autoSpaceDE w:val="0"/>
        <w:autoSpaceDN w:val="0"/>
        <w:adjustRightInd w:val="0"/>
        <w:ind w:left="1440" w:hanging="720"/>
        <w:rPr>
          <w:sz w:val="22"/>
          <w:szCs w:val="22"/>
        </w:rPr>
      </w:pPr>
    </w:p>
    <w:p w:rsidR="00D16E36" w:rsidP="00D16E36" w14:paraId="650CEC97" w14:textId="63773618">
      <w:pPr>
        <w:autoSpaceDE w:val="0"/>
        <w:autoSpaceDN w:val="0"/>
        <w:adjustRightInd w:val="0"/>
        <w:ind w:firstLine="720"/>
        <w:rPr>
          <w:sz w:val="22"/>
          <w:szCs w:val="22"/>
        </w:rPr>
      </w:pPr>
      <w:r>
        <w:rPr>
          <w:sz w:val="22"/>
          <w:szCs w:val="22"/>
        </w:rPr>
        <w:t>The Tribal Allotment for Channel 260C0 at Ethete, Wyoming, was added to the Table of Allotments by Report and Order released February 26, 2025.</w:t>
      </w:r>
      <w:r>
        <w:rPr>
          <w:rStyle w:val="FootnoteReference"/>
          <w:sz w:val="22"/>
          <w:szCs w:val="22"/>
        </w:rPr>
        <w:footnoteReference w:id="9"/>
      </w:r>
      <w:r>
        <w:rPr>
          <w:sz w:val="22"/>
          <w:szCs w:val="22"/>
        </w:rPr>
        <w:t xml:space="preserve">  The Media Bureau released a Threshold Qualifications Public Notice on April 23, 2025,</w:t>
      </w:r>
      <w:r>
        <w:rPr>
          <w:rStyle w:val="FootnoteReference"/>
          <w:sz w:val="22"/>
          <w:szCs w:val="22"/>
        </w:rPr>
        <w:footnoteReference w:id="10"/>
      </w:r>
      <w:r>
        <w:rPr>
          <w:sz w:val="22"/>
          <w:szCs w:val="22"/>
        </w:rPr>
        <w:t xml:space="preserve"> inviting qualified applicants to file competing applications to the Application.  No competing applications were filed, and Council filed an expression of continuing interest in the Ethete allotment, and requested that the Application be processed immediately.</w:t>
      </w:r>
    </w:p>
    <w:p w:rsidR="00D16E36" w:rsidP="00D16E36" w14:paraId="3BDD4395" w14:textId="77777777">
      <w:pPr>
        <w:autoSpaceDE w:val="0"/>
        <w:autoSpaceDN w:val="0"/>
        <w:adjustRightInd w:val="0"/>
        <w:ind w:firstLine="720"/>
        <w:rPr>
          <w:sz w:val="22"/>
          <w:szCs w:val="22"/>
        </w:rPr>
      </w:pPr>
    </w:p>
    <w:p w:rsidR="00833FCA" w:rsidP="008567CB" w14:paraId="6901DA12" w14:textId="42C4BD6F">
      <w:pPr>
        <w:autoSpaceDE w:val="0"/>
        <w:autoSpaceDN w:val="0"/>
        <w:adjustRightInd w:val="0"/>
        <w:ind w:firstLine="720"/>
        <w:rPr>
          <w:sz w:val="22"/>
          <w:szCs w:val="22"/>
        </w:rPr>
      </w:pPr>
      <w:r>
        <w:rPr>
          <w:sz w:val="22"/>
          <w:szCs w:val="22"/>
        </w:rPr>
        <w:t xml:space="preserve">In the Waiver Request, Council states that the allotment coordinates meet all of the above criteria to qualify for </w:t>
      </w:r>
      <w:r w:rsidR="000F065D">
        <w:rPr>
          <w:sz w:val="22"/>
          <w:szCs w:val="22"/>
        </w:rPr>
        <w:t>a Tribal Priority.</w:t>
      </w:r>
      <w:r>
        <w:rPr>
          <w:rStyle w:val="FootnoteReference"/>
          <w:sz w:val="22"/>
          <w:szCs w:val="22"/>
        </w:rPr>
        <w:footnoteReference w:id="11"/>
      </w:r>
      <w:r w:rsidR="000F065D">
        <w:rPr>
          <w:sz w:val="22"/>
          <w:szCs w:val="22"/>
        </w:rPr>
        <w:t xml:space="preserve">  </w:t>
      </w:r>
      <w:r w:rsidR="004A5207">
        <w:rPr>
          <w:sz w:val="22"/>
          <w:szCs w:val="22"/>
        </w:rPr>
        <w:t>The</w:t>
      </w:r>
      <w:r w:rsidR="00813D7A">
        <w:rPr>
          <w:sz w:val="22"/>
          <w:szCs w:val="22"/>
        </w:rPr>
        <w:t xml:space="preserve"> Northern Arapaho Tribe is a federally recognized Native American </w:t>
      </w:r>
      <w:r w:rsidR="00813D7A">
        <w:rPr>
          <w:sz w:val="22"/>
          <w:szCs w:val="22"/>
        </w:rPr>
        <w:t>Tribe.</w:t>
      </w:r>
      <w:r>
        <w:rPr>
          <w:rStyle w:val="FootnoteReference"/>
          <w:sz w:val="22"/>
          <w:szCs w:val="22"/>
        </w:rPr>
        <w:footnoteReference w:id="12"/>
      </w:r>
      <w:r w:rsidR="00813D7A">
        <w:rPr>
          <w:sz w:val="22"/>
          <w:szCs w:val="22"/>
        </w:rPr>
        <w:t xml:space="preserve"> </w:t>
      </w:r>
      <w:r w:rsidR="004A5207">
        <w:rPr>
          <w:sz w:val="22"/>
          <w:szCs w:val="22"/>
        </w:rPr>
        <w:t xml:space="preserve"> Council describes itself as the </w:t>
      </w:r>
      <w:r w:rsidR="00976A79">
        <w:rPr>
          <w:sz w:val="22"/>
          <w:szCs w:val="22"/>
        </w:rPr>
        <w:t xml:space="preserve">administrative arm of the Tribal government, and the Council members </w:t>
      </w:r>
      <w:r w:rsidR="00961184">
        <w:rPr>
          <w:sz w:val="22"/>
          <w:szCs w:val="22"/>
        </w:rPr>
        <w:t>carry out governmental functions of the Tribe.</w:t>
      </w:r>
      <w:r>
        <w:rPr>
          <w:rStyle w:val="FootnoteReference"/>
          <w:sz w:val="22"/>
          <w:szCs w:val="22"/>
        </w:rPr>
        <w:footnoteReference w:id="13"/>
      </w:r>
      <w:r w:rsidR="00961184">
        <w:rPr>
          <w:sz w:val="22"/>
          <w:szCs w:val="22"/>
        </w:rPr>
        <w:t xml:space="preserve">  </w:t>
      </w:r>
      <w:r w:rsidR="0002533B">
        <w:rPr>
          <w:sz w:val="22"/>
          <w:szCs w:val="22"/>
        </w:rPr>
        <w:t>A signal from the allotment coordinates would cover the required percentages of Tribal Lands.</w:t>
      </w:r>
      <w:r>
        <w:rPr>
          <w:rStyle w:val="FootnoteReference"/>
          <w:sz w:val="22"/>
          <w:szCs w:val="22"/>
        </w:rPr>
        <w:footnoteReference w:id="14"/>
      </w:r>
      <w:r w:rsidR="0002533B">
        <w:rPr>
          <w:sz w:val="22"/>
          <w:szCs w:val="22"/>
        </w:rPr>
        <w:t xml:space="preserve">  </w:t>
      </w:r>
      <w:r w:rsidR="008728BD">
        <w:rPr>
          <w:sz w:val="22"/>
          <w:szCs w:val="22"/>
        </w:rPr>
        <w:t>The proposed station would constitute the first local tribal-owned transmission service</w:t>
      </w:r>
      <w:r w:rsidR="00954C4C">
        <w:rPr>
          <w:sz w:val="22"/>
          <w:szCs w:val="22"/>
        </w:rPr>
        <w:t xml:space="preserve"> (and, indeed, the first local transmission service)</w:t>
      </w:r>
      <w:r w:rsidR="008728BD">
        <w:rPr>
          <w:sz w:val="22"/>
          <w:szCs w:val="22"/>
        </w:rPr>
        <w:t xml:space="preserve"> at Ethete, a community located on the Wind River Indian Reservation.</w:t>
      </w:r>
      <w:r>
        <w:rPr>
          <w:rStyle w:val="FootnoteReference"/>
          <w:sz w:val="22"/>
          <w:szCs w:val="22"/>
        </w:rPr>
        <w:footnoteReference w:id="15"/>
      </w:r>
      <w:r w:rsidR="008728BD">
        <w:rPr>
          <w:sz w:val="22"/>
          <w:szCs w:val="22"/>
        </w:rPr>
        <w:t xml:space="preserve">  </w:t>
      </w:r>
      <w:r w:rsidR="000F388E">
        <w:rPr>
          <w:sz w:val="22"/>
          <w:szCs w:val="22"/>
        </w:rPr>
        <w:t>Thus, the Tribal Allotment at Ethete</w:t>
      </w:r>
      <w:r w:rsidR="00974E8C">
        <w:rPr>
          <w:sz w:val="22"/>
          <w:szCs w:val="22"/>
        </w:rPr>
        <w:t xml:space="preserve"> comports with all requirements of the Tribal Priority.  </w:t>
      </w:r>
      <w:r w:rsidR="000F065D">
        <w:rPr>
          <w:sz w:val="22"/>
          <w:szCs w:val="22"/>
        </w:rPr>
        <w:t xml:space="preserve">However, </w:t>
      </w:r>
      <w:r w:rsidR="00292061">
        <w:rPr>
          <w:sz w:val="22"/>
          <w:szCs w:val="22"/>
        </w:rPr>
        <w:t>evaluating the Tribal Priority criteria from</w:t>
      </w:r>
      <w:r w:rsidR="000F065D">
        <w:rPr>
          <w:sz w:val="22"/>
          <w:szCs w:val="22"/>
        </w:rPr>
        <w:t xml:space="preserve"> the transmitter site for the </w:t>
      </w:r>
      <w:r w:rsidR="00A8508B">
        <w:rPr>
          <w:sz w:val="22"/>
          <w:szCs w:val="22"/>
        </w:rPr>
        <w:t>proposed new FM station</w:t>
      </w:r>
      <w:r w:rsidR="00974E8C">
        <w:rPr>
          <w:sz w:val="22"/>
          <w:szCs w:val="22"/>
        </w:rPr>
        <w:t xml:space="preserve"> set forth in the Application</w:t>
      </w:r>
      <w:r w:rsidR="00A8508B">
        <w:rPr>
          <w:sz w:val="22"/>
          <w:szCs w:val="22"/>
        </w:rPr>
        <w:t xml:space="preserve">, </w:t>
      </w:r>
      <w:r w:rsidR="006813FD">
        <w:rPr>
          <w:sz w:val="22"/>
          <w:szCs w:val="22"/>
        </w:rPr>
        <w:t xml:space="preserve">Council concedes that </w:t>
      </w:r>
      <w:r w:rsidR="00C66CEE">
        <w:rPr>
          <w:sz w:val="22"/>
          <w:szCs w:val="22"/>
        </w:rPr>
        <w:t xml:space="preserve">the facilities do not satisfy either criterion </w:t>
      </w:r>
      <w:r w:rsidR="004406E6">
        <w:rPr>
          <w:sz w:val="22"/>
          <w:szCs w:val="22"/>
        </w:rPr>
        <w:t>(b)</w:t>
      </w:r>
      <w:r w:rsidR="00C66CEE">
        <w:rPr>
          <w:sz w:val="22"/>
          <w:szCs w:val="22"/>
        </w:rPr>
        <w:t>(1) or (</w:t>
      </w:r>
      <w:r w:rsidR="004406E6">
        <w:rPr>
          <w:sz w:val="22"/>
          <w:szCs w:val="22"/>
        </w:rPr>
        <w:t>b</w:t>
      </w:r>
      <w:r w:rsidR="00C66CEE">
        <w:rPr>
          <w:sz w:val="22"/>
          <w:szCs w:val="22"/>
        </w:rPr>
        <w:t xml:space="preserve">)(2), insofar as the requisite signal contours </w:t>
      </w:r>
      <w:r w:rsidR="00F67D9B">
        <w:rPr>
          <w:sz w:val="22"/>
          <w:szCs w:val="22"/>
        </w:rPr>
        <w:t xml:space="preserve">do not meet the 50% </w:t>
      </w:r>
      <w:r w:rsidR="0022324C">
        <w:rPr>
          <w:sz w:val="22"/>
          <w:szCs w:val="22"/>
        </w:rPr>
        <w:t xml:space="preserve">Tribal Lands </w:t>
      </w:r>
      <w:r w:rsidR="00F67D9B">
        <w:rPr>
          <w:sz w:val="22"/>
          <w:szCs w:val="22"/>
        </w:rPr>
        <w:t>coverage requirements</w:t>
      </w:r>
      <w:r w:rsidR="002435ED">
        <w:rPr>
          <w:sz w:val="22"/>
          <w:szCs w:val="22"/>
        </w:rPr>
        <w:t>, and accordingly seeks waiver of one of those criteria</w:t>
      </w:r>
      <w:r w:rsidR="00F67D9B">
        <w:rPr>
          <w:sz w:val="22"/>
          <w:szCs w:val="22"/>
        </w:rPr>
        <w:t>.</w:t>
      </w:r>
      <w:r>
        <w:rPr>
          <w:rStyle w:val="FootnoteReference"/>
          <w:sz w:val="22"/>
          <w:szCs w:val="22"/>
        </w:rPr>
        <w:footnoteReference w:id="16"/>
      </w:r>
      <w:r w:rsidR="00F67D9B">
        <w:rPr>
          <w:sz w:val="22"/>
          <w:szCs w:val="22"/>
        </w:rPr>
        <w:t xml:space="preserve">  </w:t>
      </w:r>
      <w:r w:rsidR="002435ED">
        <w:rPr>
          <w:sz w:val="22"/>
          <w:szCs w:val="22"/>
        </w:rPr>
        <w:t>Council states in</w:t>
      </w:r>
      <w:r w:rsidR="00646C73">
        <w:rPr>
          <w:sz w:val="22"/>
          <w:szCs w:val="22"/>
        </w:rPr>
        <w:t xml:space="preserve"> the Waiver Request</w:t>
      </w:r>
      <w:r w:rsidR="002435ED">
        <w:rPr>
          <w:sz w:val="22"/>
          <w:szCs w:val="22"/>
        </w:rPr>
        <w:t xml:space="preserve"> that</w:t>
      </w:r>
      <w:r w:rsidR="00646C73">
        <w:rPr>
          <w:sz w:val="22"/>
          <w:szCs w:val="22"/>
        </w:rPr>
        <w:t xml:space="preserve"> </w:t>
      </w:r>
      <w:r w:rsidR="00B048F4">
        <w:rPr>
          <w:sz w:val="22"/>
          <w:szCs w:val="22"/>
        </w:rPr>
        <w:t>41% of the area within the proposed facility’s principal community contour (70 dBµ)</w:t>
      </w:r>
      <w:r w:rsidR="003018CF">
        <w:rPr>
          <w:sz w:val="22"/>
          <w:szCs w:val="22"/>
        </w:rPr>
        <w:t xml:space="preserve"> is over Tribal Lands, 9% short of the 50% set forth in criterion </w:t>
      </w:r>
      <w:r w:rsidR="00606C24">
        <w:rPr>
          <w:sz w:val="22"/>
          <w:szCs w:val="22"/>
        </w:rPr>
        <w:t>(b)</w:t>
      </w:r>
      <w:r w:rsidR="003018CF">
        <w:rPr>
          <w:sz w:val="22"/>
          <w:szCs w:val="22"/>
        </w:rPr>
        <w:t xml:space="preserve">(1), and </w:t>
      </w:r>
      <w:r w:rsidR="00193643">
        <w:rPr>
          <w:sz w:val="22"/>
          <w:szCs w:val="22"/>
        </w:rPr>
        <w:t xml:space="preserve">the proposed station’s 70 dBµ contour </w:t>
      </w:r>
      <w:r w:rsidR="00A876C9">
        <w:rPr>
          <w:sz w:val="22"/>
          <w:szCs w:val="22"/>
        </w:rPr>
        <w:t xml:space="preserve">encompasses 47.6% of Tribal Lands, 2.4% short of the 50% set forth in criterion </w:t>
      </w:r>
      <w:r w:rsidR="006567A5">
        <w:rPr>
          <w:sz w:val="22"/>
          <w:szCs w:val="22"/>
        </w:rPr>
        <w:t>(b)</w:t>
      </w:r>
      <w:r w:rsidR="00A876C9">
        <w:rPr>
          <w:sz w:val="22"/>
          <w:szCs w:val="22"/>
        </w:rPr>
        <w:t>(2</w:t>
      </w:r>
      <w:r w:rsidR="00163D96">
        <w:rPr>
          <w:sz w:val="22"/>
          <w:szCs w:val="22"/>
        </w:rPr>
        <w:t>)(</w:t>
      </w:r>
      <w:r w:rsidR="006567A5">
        <w:rPr>
          <w:sz w:val="22"/>
          <w:szCs w:val="22"/>
        </w:rPr>
        <w:t>i</w:t>
      </w:r>
      <w:r w:rsidR="00163D96">
        <w:rPr>
          <w:sz w:val="22"/>
          <w:szCs w:val="22"/>
        </w:rPr>
        <w:t>).</w:t>
      </w:r>
      <w:r>
        <w:rPr>
          <w:rStyle w:val="FootnoteReference"/>
          <w:sz w:val="22"/>
          <w:szCs w:val="22"/>
        </w:rPr>
        <w:footnoteReference w:id="17"/>
      </w:r>
      <w:r w:rsidR="00163D96">
        <w:rPr>
          <w:sz w:val="22"/>
          <w:szCs w:val="22"/>
        </w:rPr>
        <w:t xml:space="preserve">  Council points out that the proposed transmitter site, </w:t>
      </w:r>
      <w:r w:rsidR="007A0F40">
        <w:rPr>
          <w:sz w:val="22"/>
          <w:szCs w:val="22"/>
        </w:rPr>
        <w:t xml:space="preserve">Boysen Peak, </w:t>
      </w:r>
      <w:r w:rsidR="00163D96">
        <w:rPr>
          <w:sz w:val="22"/>
          <w:szCs w:val="22"/>
        </w:rPr>
        <w:t>while falling somewhat short of these coverage criteria</w:t>
      </w:r>
      <w:r w:rsidR="00882627">
        <w:rPr>
          <w:sz w:val="22"/>
          <w:szCs w:val="22"/>
        </w:rPr>
        <w:t xml:space="preserve"> due to its location at the edge of Tribal Lands</w:t>
      </w:r>
      <w:r w:rsidR="00163D96">
        <w:rPr>
          <w:sz w:val="22"/>
          <w:szCs w:val="22"/>
        </w:rPr>
        <w:t xml:space="preserve">, is an established </w:t>
      </w:r>
      <w:r w:rsidR="007A0F40">
        <w:rPr>
          <w:sz w:val="22"/>
          <w:szCs w:val="22"/>
        </w:rPr>
        <w:t>transmitter</w:t>
      </w:r>
      <w:r w:rsidR="00661A75">
        <w:rPr>
          <w:sz w:val="22"/>
          <w:szCs w:val="22"/>
        </w:rPr>
        <w:t xml:space="preserve"> site</w:t>
      </w:r>
      <w:r w:rsidR="007A0F40">
        <w:rPr>
          <w:sz w:val="22"/>
          <w:szCs w:val="22"/>
        </w:rPr>
        <w:t xml:space="preserve"> with power and access</w:t>
      </w:r>
      <w:r w:rsidR="00882627">
        <w:rPr>
          <w:sz w:val="22"/>
          <w:szCs w:val="22"/>
        </w:rPr>
        <w:t>, and with sufficient elevation to cover substantial parts of Tribal Lands.</w:t>
      </w:r>
      <w:r>
        <w:rPr>
          <w:rStyle w:val="FootnoteReference"/>
          <w:sz w:val="22"/>
          <w:szCs w:val="22"/>
        </w:rPr>
        <w:footnoteReference w:id="18"/>
      </w:r>
      <w:r w:rsidR="00882627">
        <w:rPr>
          <w:sz w:val="22"/>
          <w:szCs w:val="22"/>
        </w:rPr>
        <w:t xml:space="preserve">  </w:t>
      </w:r>
    </w:p>
    <w:p w:rsidR="00833FCA" w:rsidP="00C66CEE" w14:paraId="3587BA0F" w14:textId="77777777">
      <w:pPr>
        <w:autoSpaceDE w:val="0"/>
        <w:autoSpaceDN w:val="0"/>
        <w:adjustRightInd w:val="0"/>
        <w:rPr>
          <w:sz w:val="22"/>
          <w:szCs w:val="22"/>
        </w:rPr>
      </w:pPr>
    </w:p>
    <w:p w:rsidR="008B0156" w:rsidP="00833FCA" w14:paraId="4C624B2A" w14:textId="25D47738">
      <w:pPr>
        <w:autoSpaceDE w:val="0"/>
        <w:autoSpaceDN w:val="0"/>
        <w:adjustRightInd w:val="0"/>
        <w:ind w:firstLine="720"/>
        <w:rPr>
          <w:sz w:val="22"/>
          <w:szCs w:val="22"/>
        </w:rPr>
      </w:pPr>
      <w:r>
        <w:rPr>
          <w:sz w:val="22"/>
          <w:szCs w:val="22"/>
        </w:rPr>
        <w:t xml:space="preserve">Additionally, Council notes that </w:t>
      </w:r>
      <w:r w:rsidR="00364623">
        <w:rPr>
          <w:sz w:val="22"/>
          <w:szCs w:val="22"/>
        </w:rPr>
        <w:t xml:space="preserve">the proposed station’s service contour (60 dBµ) </w:t>
      </w:r>
      <w:r w:rsidR="00292223">
        <w:rPr>
          <w:sz w:val="22"/>
          <w:szCs w:val="22"/>
        </w:rPr>
        <w:t xml:space="preserve">encompasses a population of 48,370, of whom over half (25,524) reside on Tribal Lands.  The </w:t>
      </w:r>
      <w:r w:rsidR="00C9743D">
        <w:rPr>
          <w:sz w:val="22"/>
          <w:szCs w:val="22"/>
        </w:rPr>
        <w:t xml:space="preserve">70 dBµ principal community contour covers </w:t>
      </w:r>
      <w:r w:rsidR="0037656A">
        <w:rPr>
          <w:sz w:val="22"/>
          <w:szCs w:val="22"/>
        </w:rPr>
        <w:t>25,759 persons, of whom 85.8%, or 22,109, reside on Tribal Lands.</w:t>
      </w:r>
      <w:r>
        <w:rPr>
          <w:rStyle w:val="FootnoteReference"/>
          <w:sz w:val="22"/>
          <w:szCs w:val="22"/>
        </w:rPr>
        <w:footnoteReference w:id="19"/>
      </w:r>
      <w:r w:rsidR="0037656A">
        <w:rPr>
          <w:sz w:val="22"/>
          <w:szCs w:val="22"/>
        </w:rPr>
        <w:t xml:space="preserve">  </w:t>
      </w:r>
    </w:p>
    <w:p w:rsidR="002E6DA3" w:rsidP="00833FCA" w14:paraId="1BB4272E" w14:textId="77777777">
      <w:pPr>
        <w:autoSpaceDE w:val="0"/>
        <w:autoSpaceDN w:val="0"/>
        <w:adjustRightInd w:val="0"/>
        <w:ind w:firstLine="720"/>
        <w:rPr>
          <w:sz w:val="22"/>
          <w:szCs w:val="22"/>
        </w:rPr>
      </w:pPr>
    </w:p>
    <w:p w:rsidR="006732FF" w:rsidP="00833FCA" w14:paraId="1162130C" w14:textId="77777777">
      <w:pPr>
        <w:autoSpaceDE w:val="0"/>
        <w:autoSpaceDN w:val="0"/>
        <w:adjustRightInd w:val="0"/>
        <w:ind w:firstLine="720"/>
        <w:rPr>
          <w:sz w:val="22"/>
          <w:szCs w:val="22"/>
        </w:rPr>
      </w:pPr>
      <w:r w:rsidRPr="005E08D6">
        <w:rPr>
          <w:i/>
          <w:iCs/>
          <w:sz w:val="22"/>
          <w:szCs w:val="22"/>
        </w:rPr>
        <w:t>Discussion</w:t>
      </w:r>
      <w:r w:rsidRPr="005E08D6">
        <w:rPr>
          <w:sz w:val="22"/>
          <w:szCs w:val="22"/>
        </w:rPr>
        <w:t xml:space="preserve">.  </w:t>
      </w:r>
      <w:r w:rsidRPr="005E08D6" w:rsidR="005E08D6">
        <w:rPr>
          <w:sz w:val="22"/>
          <w:szCs w:val="22"/>
        </w:rPr>
        <w:t>Generally, the Commission’s rules may be waived for good cause shown.</w:t>
      </w:r>
      <w:r>
        <w:rPr>
          <w:rStyle w:val="FootnoteReference"/>
          <w:sz w:val="22"/>
          <w:szCs w:val="22"/>
        </w:rPr>
        <w:footnoteReference w:id="20"/>
      </w:r>
      <w:r w:rsidRPr="005E08D6" w:rsidR="005E08D6">
        <w:rPr>
          <w:sz w:val="22"/>
          <w:szCs w:val="22"/>
        </w:rPr>
        <w:t xml:space="preserve">  When an applicant seeks waiver of a rule, it must plead with particularity the facts and circumstances that warrant such action.</w:t>
      </w:r>
      <w:r>
        <w:rPr>
          <w:rStyle w:val="FootnoteReference"/>
          <w:sz w:val="22"/>
          <w:szCs w:val="22"/>
        </w:rPr>
        <w:footnoteReference w:id="21"/>
      </w:r>
      <w:r w:rsidRPr="005E08D6" w:rsidR="005E08D6">
        <w:rPr>
          <w:sz w:val="22"/>
          <w:szCs w:val="22"/>
        </w:rPr>
        <w:t xml:space="preserve">  The Commission must give </w:t>
      </w:r>
      <w:r w:rsidRPr="005E08D6" w:rsidR="005E08D6">
        <w:rPr>
          <w:noProof/>
          <w:color w:val="0000FF"/>
          <w:sz w:val="22"/>
          <w:szCs w:val="22"/>
        </w:rPr>
        <w:drawing>
          <wp:inline distT="0" distB="0" distL="0" distR="0">
            <wp:extent cx="9525" cy="9525"/>
            <wp:effectExtent l="0" t="0" r="0" b="0"/>
            <wp:docPr id="1156687151" name="Picture 6" descr="previous hit">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87151" name="Picture 3" descr="previous hit"/>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5E08D6" w:rsidR="005E08D6">
        <w:rPr>
          <w:sz w:val="22"/>
          <w:szCs w:val="22"/>
        </w:rPr>
        <w:t>waiver</w:t>
      </w:r>
      <w:r w:rsidRPr="005E08D6" w:rsidR="005E08D6">
        <w:rPr>
          <w:noProof/>
          <w:color w:val="0000FF"/>
          <w:sz w:val="22"/>
          <w:szCs w:val="22"/>
        </w:rPr>
        <w:drawing>
          <wp:inline distT="0" distB="0" distL="0" distR="0">
            <wp:extent cx="9525" cy="9525"/>
            <wp:effectExtent l="0" t="0" r="0" b="0"/>
            <wp:docPr id="318505110" name="Picture 5" descr="next hit">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05110" name="Picture 4" descr="next hit"/>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5E08D6" w:rsidR="005E08D6">
        <w:rPr>
          <w:sz w:val="22"/>
          <w:szCs w:val="22"/>
        </w:rPr>
        <w:t xml:space="preserve"> requests “a hard look,” but an applicant for </w:t>
      </w:r>
      <w:r w:rsidRPr="005E08D6" w:rsidR="005E08D6">
        <w:rPr>
          <w:noProof/>
          <w:color w:val="0000FF"/>
          <w:sz w:val="22"/>
          <w:szCs w:val="22"/>
        </w:rPr>
        <w:drawing>
          <wp:inline distT="0" distB="0" distL="0" distR="0">
            <wp:extent cx="9525" cy="9525"/>
            <wp:effectExtent l="0" t="0" r="0" b="0"/>
            <wp:docPr id="1190904320" name="Picture 4" descr="previous hit">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904320" name="Picture 5" descr="previous hit"/>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5E08D6" w:rsidR="005E08D6">
        <w:rPr>
          <w:sz w:val="22"/>
          <w:szCs w:val="22"/>
        </w:rPr>
        <w:t>waiver</w:t>
      </w:r>
      <w:r w:rsidRPr="005E08D6" w:rsidR="005E08D6">
        <w:rPr>
          <w:noProof/>
          <w:color w:val="0000FF"/>
          <w:sz w:val="22"/>
          <w:szCs w:val="22"/>
        </w:rPr>
        <w:drawing>
          <wp:inline distT="0" distB="0" distL="0" distR="0">
            <wp:extent cx="9525" cy="9525"/>
            <wp:effectExtent l="0" t="0" r="0" b="0"/>
            <wp:docPr id="1535490694" name="Picture 3" descr="next hit">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90694" name="Picture 6" descr="next hit"/>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5E08D6" w:rsidR="005E08D6">
        <w:rPr>
          <w:sz w:val="22"/>
          <w:szCs w:val="22"/>
        </w:rPr>
        <w:t xml:space="preserve"> “faces a high hurdle even at the starting gate”</w:t>
      </w:r>
      <w:r>
        <w:rPr>
          <w:rStyle w:val="FootnoteReference"/>
          <w:sz w:val="22"/>
          <w:szCs w:val="22"/>
        </w:rPr>
        <w:footnoteReference w:id="22"/>
      </w:r>
      <w:r w:rsidRPr="005E08D6" w:rsidR="005E08D6">
        <w:rPr>
          <w:sz w:val="22"/>
          <w:szCs w:val="22"/>
        </w:rPr>
        <w:t xml:space="preserve"> and must support its </w:t>
      </w:r>
      <w:r w:rsidRPr="005E08D6" w:rsidR="005E08D6">
        <w:rPr>
          <w:noProof/>
          <w:color w:val="0000FF"/>
          <w:sz w:val="22"/>
          <w:szCs w:val="22"/>
        </w:rPr>
        <w:drawing>
          <wp:inline distT="0" distB="0" distL="0" distR="0">
            <wp:extent cx="9525" cy="9525"/>
            <wp:effectExtent l="0" t="0" r="0" b="0"/>
            <wp:docPr id="681267345" name="Picture 2" descr="previous hit">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67345" name="Picture 7" descr="previous hit"/>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5E08D6" w:rsidR="005E08D6">
        <w:rPr>
          <w:sz w:val="22"/>
          <w:szCs w:val="22"/>
        </w:rPr>
        <w:t>waiver</w:t>
      </w:r>
      <w:r w:rsidRPr="005E08D6" w:rsidR="005E08D6">
        <w:rPr>
          <w:noProof/>
          <w:color w:val="0000FF"/>
          <w:sz w:val="22"/>
          <w:szCs w:val="22"/>
        </w:rPr>
        <w:drawing>
          <wp:inline distT="0" distB="0" distL="0" distR="0">
            <wp:extent cx="9525" cy="9525"/>
            <wp:effectExtent l="0" t="0" r="0" b="0"/>
            <wp:docPr id="1287658424" name="Picture 1" descr="next hit">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58424" name="Picture 8" descr="next hit"/>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5E08D6" w:rsidR="005E08D6">
        <w:rPr>
          <w:sz w:val="22"/>
          <w:szCs w:val="22"/>
        </w:rPr>
        <w:t xml:space="preserve"> request with a </w:t>
      </w:r>
      <w:r w:rsidRPr="005E08D6" w:rsidR="005E08D6">
        <w:rPr>
          <w:sz w:val="22"/>
          <w:szCs w:val="22"/>
        </w:rPr>
        <w:t>compelling showing.</w:t>
      </w:r>
      <w:r>
        <w:rPr>
          <w:rStyle w:val="FootnoteReference"/>
          <w:sz w:val="22"/>
          <w:szCs w:val="22"/>
        </w:rPr>
        <w:footnoteReference w:id="23"/>
      </w:r>
      <w:r w:rsidRPr="005E08D6" w:rsidR="005E08D6">
        <w:rPr>
          <w:sz w:val="22"/>
          <w:szCs w:val="22"/>
        </w:rPr>
        <w:t xml:space="preserve">  Waiver is appropriate only if both (1) special circumstances warrant a deviation from the general rule, and (2) such deviation better serves the public interest.</w:t>
      </w:r>
      <w:r>
        <w:rPr>
          <w:rStyle w:val="FootnoteReference"/>
          <w:sz w:val="22"/>
          <w:szCs w:val="22"/>
        </w:rPr>
        <w:footnoteReference w:id="24"/>
      </w:r>
      <w:r w:rsidRPr="005E08D6" w:rsidR="005E08D6">
        <w:rPr>
          <w:sz w:val="22"/>
          <w:szCs w:val="22"/>
        </w:rPr>
        <w:t xml:space="preserve"> </w:t>
      </w:r>
    </w:p>
    <w:p w:rsidR="006732FF" w:rsidP="00833FCA" w14:paraId="525B6584" w14:textId="77777777">
      <w:pPr>
        <w:autoSpaceDE w:val="0"/>
        <w:autoSpaceDN w:val="0"/>
        <w:adjustRightInd w:val="0"/>
        <w:ind w:firstLine="720"/>
        <w:rPr>
          <w:sz w:val="22"/>
          <w:szCs w:val="22"/>
        </w:rPr>
      </w:pPr>
    </w:p>
    <w:p w:rsidR="00620560" w:rsidP="00833FCA" w14:paraId="1CF523EB" w14:textId="5951D7F3">
      <w:pPr>
        <w:autoSpaceDE w:val="0"/>
        <w:autoSpaceDN w:val="0"/>
        <w:adjustRightInd w:val="0"/>
        <w:ind w:firstLine="720"/>
        <w:rPr>
          <w:sz w:val="22"/>
          <w:szCs w:val="22"/>
        </w:rPr>
      </w:pPr>
      <w:r>
        <w:rPr>
          <w:sz w:val="22"/>
          <w:szCs w:val="22"/>
        </w:rPr>
        <w:t xml:space="preserve">The Commission has </w:t>
      </w:r>
      <w:r w:rsidR="0080383A">
        <w:rPr>
          <w:sz w:val="22"/>
          <w:szCs w:val="22"/>
        </w:rPr>
        <w:t xml:space="preserve">indicated a willingness to waive certain of the </w:t>
      </w:r>
      <w:r w:rsidR="006508B3">
        <w:rPr>
          <w:sz w:val="22"/>
          <w:szCs w:val="22"/>
        </w:rPr>
        <w:t xml:space="preserve">Tribal Priority criteria, </w:t>
      </w:r>
      <w:r w:rsidR="001953E6">
        <w:rPr>
          <w:sz w:val="22"/>
          <w:szCs w:val="22"/>
        </w:rPr>
        <w:t>in</w:t>
      </w:r>
      <w:r w:rsidR="00907CD4">
        <w:rPr>
          <w:sz w:val="22"/>
          <w:szCs w:val="22"/>
        </w:rPr>
        <w:t xml:space="preserve">cluding but not limited to the Tribal </w:t>
      </w:r>
      <w:r w:rsidR="00740A93">
        <w:rPr>
          <w:sz w:val="22"/>
          <w:szCs w:val="22"/>
        </w:rPr>
        <w:t xml:space="preserve">Land </w:t>
      </w:r>
      <w:r w:rsidR="00907CD4">
        <w:rPr>
          <w:sz w:val="22"/>
          <w:szCs w:val="22"/>
        </w:rPr>
        <w:t>coverage criteria</w:t>
      </w:r>
      <w:r w:rsidR="00D75DC4">
        <w:rPr>
          <w:sz w:val="22"/>
          <w:szCs w:val="22"/>
        </w:rPr>
        <w:t>.</w:t>
      </w:r>
      <w:r>
        <w:rPr>
          <w:rStyle w:val="FootnoteReference"/>
          <w:sz w:val="22"/>
          <w:szCs w:val="22"/>
        </w:rPr>
        <w:footnoteReference w:id="25"/>
      </w:r>
      <w:r w:rsidR="00D75DC4">
        <w:rPr>
          <w:sz w:val="22"/>
          <w:szCs w:val="22"/>
        </w:rPr>
        <w:t xml:space="preserve">  </w:t>
      </w:r>
      <w:r w:rsidR="009F7347">
        <w:rPr>
          <w:sz w:val="22"/>
          <w:szCs w:val="22"/>
        </w:rPr>
        <w:t>A</w:t>
      </w:r>
      <w:r w:rsidR="003E536A">
        <w:rPr>
          <w:sz w:val="22"/>
          <w:szCs w:val="22"/>
        </w:rPr>
        <w:t xml:space="preserve">pplicants </w:t>
      </w:r>
      <w:r w:rsidR="009F7347">
        <w:rPr>
          <w:sz w:val="22"/>
          <w:szCs w:val="22"/>
        </w:rPr>
        <w:t xml:space="preserve">often </w:t>
      </w:r>
      <w:r w:rsidR="003E536A">
        <w:rPr>
          <w:sz w:val="22"/>
          <w:szCs w:val="22"/>
        </w:rPr>
        <w:t>request</w:t>
      </w:r>
      <w:r w:rsidR="009F7347">
        <w:rPr>
          <w:sz w:val="22"/>
          <w:szCs w:val="22"/>
        </w:rPr>
        <w:t>, and are granted,</w:t>
      </w:r>
      <w:r w:rsidR="003E536A">
        <w:rPr>
          <w:sz w:val="22"/>
          <w:szCs w:val="22"/>
        </w:rPr>
        <w:t xml:space="preserve"> waiver of the requirement that a proposed facility serve at least 2,000 persons on Tribal Lands and that the population served on Tribal Lands constitute at least 50% of the total population served.</w:t>
      </w:r>
      <w:r>
        <w:rPr>
          <w:rStyle w:val="FootnoteReference"/>
          <w:sz w:val="22"/>
          <w:szCs w:val="22"/>
        </w:rPr>
        <w:footnoteReference w:id="26"/>
      </w:r>
      <w:r w:rsidR="002E552D">
        <w:rPr>
          <w:sz w:val="22"/>
          <w:szCs w:val="22"/>
        </w:rPr>
        <w:t xml:space="preserve"> </w:t>
      </w:r>
      <w:r w:rsidR="00697C91">
        <w:rPr>
          <w:sz w:val="22"/>
          <w:szCs w:val="22"/>
        </w:rPr>
        <w:t xml:space="preserve"> </w:t>
      </w:r>
      <w:r w:rsidR="00B30907">
        <w:rPr>
          <w:sz w:val="22"/>
          <w:szCs w:val="22"/>
        </w:rPr>
        <w:t>In this case,</w:t>
      </w:r>
      <w:r w:rsidR="00D56D4B">
        <w:rPr>
          <w:sz w:val="22"/>
          <w:szCs w:val="22"/>
        </w:rPr>
        <w:t xml:space="preserve"> the Waiver Request concerns the </w:t>
      </w:r>
      <w:r w:rsidR="002A6398">
        <w:rPr>
          <w:sz w:val="22"/>
          <w:szCs w:val="22"/>
        </w:rPr>
        <w:t xml:space="preserve">area covered rather than the population, </w:t>
      </w:r>
      <w:r w:rsidR="007E7A06">
        <w:rPr>
          <w:sz w:val="22"/>
          <w:szCs w:val="22"/>
        </w:rPr>
        <w:t>involving as it does an exceptionally large</w:t>
      </w:r>
      <w:r w:rsidR="00922BB1">
        <w:rPr>
          <w:sz w:val="22"/>
          <w:szCs w:val="22"/>
        </w:rPr>
        <w:t xml:space="preserve"> coverage area. </w:t>
      </w:r>
      <w:r w:rsidR="002E552D">
        <w:rPr>
          <w:sz w:val="22"/>
          <w:szCs w:val="22"/>
        </w:rPr>
        <w:t xml:space="preserve"> </w:t>
      </w:r>
      <w:r w:rsidR="00D41FF6">
        <w:rPr>
          <w:sz w:val="22"/>
          <w:szCs w:val="22"/>
        </w:rPr>
        <w:t xml:space="preserve">Council points out </w:t>
      </w:r>
      <w:r w:rsidR="00096AED">
        <w:rPr>
          <w:sz w:val="22"/>
          <w:szCs w:val="22"/>
        </w:rPr>
        <w:t>that</w:t>
      </w:r>
      <w:r w:rsidR="00D41FF6">
        <w:rPr>
          <w:sz w:val="22"/>
          <w:szCs w:val="22"/>
        </w:rPr>
        <w:t xml:space="preserve"> the Wind River Indian Reservation</w:t>
      </w:r>
      <w:r w:rsidR="00096AED">
        <w:rPr>
          <w:sz w:val="22"/>
          <w:szCs w:val="22"/>
        </w:rPr>
        <w:t xml:space="preserve"> comprises 9,132 square kilometers, more than the states of Rhode Island and Delaware combined</w:t>
      </w:r>
      <w:r w:rsidR="00384E45">
        <w:rPr>
          <w:sz w:val="22"/>
          <w:szCs w:val="22"/>
        </w:rPr>
        <w:t xml:space="preserve">, highlighting the difficulty of </w:t>
      </w:r>
      <w:r w:rsidR="00954E7B">
        <w:rPr>
          <w:sz w:val="22"/>
          <w:szCs w:val="22"/>
        </w:rPr>
        <w:t xml:space="preserve">covering over 50% of that area from an established transmitter site near one </w:t>
      </w:r>
      <w:r w:rsidR="00573F6B">
        <w:rPr>
          <w:sz w:val="22"/>
          <w:szCs w:val="22"/>
        </w:rPr>
        <w:t>edge</w:t>
      </w:r>
      <w:r w:rsidR="00954E7B">
        <w:rPr>
          <w:sz w:val="22"/>
          <w:szCs w:val="22"/>
        </w:rPr>
        <w:t xml:space="preserve"> of the reservation.</w:t>
      </w:r>
      <w:r>
        <w:rPr>
          <w:rStyle w:val="FootnoteReference"/>
          <w:sz w:val="22"/>
          <w:szCs w:val="22"/>
        </w:rPr>
        <w:footnoteReference w:id="27"/>
      </w:r>
      <w:r w:rsidR="00021EC5">
        <w:rPr>
          <w:sz w:val="22"/>
          <w:szCs w:val="22"/>
        </w:rPr>
        <w:t xml:space="preserve">  Given this size and the </w:t>
      </w:r>
      <w:r w:rsidR="00823C96">
        <w:rPr>
          <w:sz w:val="22"/>
          <w:szCs w:val="22"/>
        </w:rPr>
        <w:t>coverage available</w:t>
      </w:r>
      <w:r w:rsidR="00021EC5">
        <w:rPr>
          <w:sz w:val="22"/>
          <w:szCs w:val="22"/>
        </w:rPr>
        <w:t xml:space="preserve"> from the proposed transmitter site, we find </w:t>
      </w:r>
      <w:r w:rsidR="00355B4F">
        <w:rPr>
          <w:sz w:val="22"/>
          <w:szCs w:val="22"/>
        </w:rPr>
        <w:t xml:space="preserve">the fact that </w:t>
      </w:r>
      <w:r w:rsidR="00F04181">
        <w:rPr>
          <w:sz w:val="22"/>
          <w:szCs w:val="22"/>
        </w:rPr>
        <w:t>Council</w:t>
      </w:r>
      <w:r w:rsidR="006E493E">
        <w:rPr>
          <w:sz w:val="22"/>
          <w:szCs w:val="22"/>
        </w:rPr>
        <w:t xml:space="preserve"> falls short of 50% </w:t>
      </w:r>
      <w:r w:rsidR="00FA4C33">
        <w:rPr>
          <w:sz w:val="22"/>
          <w:szCs w:val="22"/>
        </w:rPr>
        <w:t xml:space="preserve">Tribal Lands area </w:t>
      </w:r>
      <w:r w:rsidR="006E493E">
        <w:rPr>
          <w:sz w:val="22"/>
          <w:szCs w:val="22"/>
        </w:rPr>
        <w:t xml:space="preserve">coverage by less than three percentage points to be </w:t>
      </w:r>
      <w:r w:rsidRPr="00823C96" w:rsidR="006E493E">
        <w:rPr>
          <w:i/>
          <w:iCs/>
          <w:sz w:val="22"/>
          <w:szCs w:val="22"/>
        </w:rPr>
        <w:t>de minimis</w:t>
      </w:r>
      <w:r w:rsidR="006E493E">
        <w:rPr>
          <w:sz w:val="22"/>
          <w:szCs w:val="22"/>
        </w:rPr>
        <w:t xml:space="preserve">.  Moreover, </w:t>
      </w:r>
      <w:r w:rsidR="008B144C">
        <w:rPr>
          <w:sz w:val="22"/>
          <w:szCs w:val="22"/>
        </w:rPr>
        <w:t xml:space="preserve">the minimal shortage in Tribal Lands area coverage is more than compensated by the fact that </w:t>
      </w:r>
      <w:r w:rsidR="00B02A23">
        <w:rPr>
          <w:sz w:val="22"/>
          <w:szCs w:val="22"/>
        </w:rPr>
        <w:t xml:space="preserve">a signal from the proposed site would serve </w:t>
      </w:r>
      <w:r w:rsidR="004B0082">
        <w:rPr>
          <w:sz w:val="22"/>
          <w:szCs w:val="22"/>
        </w:rPr>
        <w:t>over 20,000 residents o</w:t>
      </w:r>
      <w:r w:rsidR="008D62FC">
        <w:rPr>
          <w:sz w:val="22"/>
          <w:szCs w:val="22"/>
        </w:rPr>
        <w:t>n</w:t>
      </w:r>
      <w:r w:rsidR="004B0082">
        <w:rPr>
          <w:sz w:val="22"/>
          <w:szCs w:val="22"/>
        </w:rPr>
        <w:t xml:space="preserve"> Tribal Land</w:t>
      </w:r>
      <w:r w:rsidR="00EE0ECD">
        <w:rPr>
          <w:sz w:val="22"/>
          <w:szCs w:val="22"/>
        </w:rPr>
        <w:t xml:space="preserve">s, over 85% of the total served population.  This comports with the Commission’s goal, in establishing the Tribal Priority, of </w:t>
      </w:r>
      <w:r w:rsidR="00481962">
        <w:rPr>
          <w:sz w:val="22"/>
          <w:szCs w:val="22"/>
        </w:rPr>
        <w:t>licensing</w:t>
      </w:r>
      <w:r w:rsidRPr="00867EC4" w:rsidR="00EE0ECD">
        <w:rPr>
          <w:sz w:val="22"/>
          <w:szCs w:val="22"/>
        </w:rPr>
        <w:t xml:space="preserve"> Tribal radio </w:t>
      </w:r>
      <w:r w:rsidR="00481962">
        <w:rPr>
          <w:sz w:val="22"/>
          <w:szCs w:val="22"/>
        </w:rPr>
        <w:t>stations</w:t>
      </w:r>
      <w:r w:rsidRPr="00867EC4" w:rsidR="005951E7">
        <w:rPr>
          <w:sz w:val="22"/>
          <w:szCs w:val="22"/>
        </w:rPr>
        <w:t xml:space="preserve"> </w:t>
      </w:r>
      <w:r w:rsidR="00867EC4">
        <w:rPr>
          <w:sz w:val="22"/>
          <w:szCs w:val="22"/>
        </w:rPr>
        <w:t xml:space="preserve">that will </w:t>
      </w:r>
      <w:r w:rsidR="0096371D">
        <w:rPr>
          <w:sz w:val="22"/>
          <w:szCs w:val="22"/>
        </w:rPr>
        <w:t>enable</w:t>
      </w:r>
      <w:r w:rsidRPr="00867EC4" w:rsidR="00867EC4">
        <w:rPr>
          <w:sz w:val="22"/>
          <w:szCs w:val="22"/>
        </w:rPr>
        <w:t xml:space="preserve"> </w:t>
      </w:r>
      <w:r w:rsidR="0096371D">
        <w:rPr>
          <w:sz w:val="22"/>
          <w:szCs w:val="22"/>
        </w:rPr>
        <w:t>Tribal</w:t>
      </w:r>
      <w:r w:rsidRPr="00867EC4" w:rsidR="00867EC4">
        <w:rPr>
          <w:sz w:val="22"/>
          <w:szCs w:val="22"/>
        </w:rPr>
        <w:t xml:space="preserve"> governments to provide radio service tailored to the needs and interests of their local communities that they are uniquely capable of providing</w:t>
      </w:r>
      <w:r w:rsidRPr="00867EC4" w:rsidR="005951E7">
        <w:rPr>
          <w:sz w:val="22"/>
          <w:szCs w:val="22"/>
        </w:rPr>
        <w:t>.</w:t>
      </w:r>
      <w:r>
        <w:rPr>
          <w:rStyle w:val="FootnoteReference"/>
          <w:sz w:val="22"/>
          <w:szCs w:val="22"/>
        </w:rPr>
        <w:footnoteReference w:id="28"/>
      </w:r>
      <w:r w:rsidRPr="00867EC4" w:rsidR="005951E7">
        <w:rPr>
          <w:sz w:val="22"/>
          <w:szCs w:val="22"/>
        </w:rPr>
        <w:t xml:space="preserve">  </w:t>
      </w:r>
      <w:r w:rsidR="00F25D68">
        <w:rPr>
          <w:sz w:val="22"/>
          <w:szCs w:val="22"/>
        </w:rPr>
        <w:t>Further, it is</w:t>
      </w:r>
      <w:r w:rsidRPr="00867EC4" w:rsidR="005951E7">
        <w:rPr>
          <w:sz w:val="22"/>
          <w:szCs w:val="22"/>
        </w:rPr>
        <w:t xml:space="preserve"> a truism that </w:t>
      </w:r>
      <w:r w:rsidRPr="00867EC4" w:rsidR="008C3766">
        <w:rPr>
          <w:sz w:val="22"/>
          <w:szCs w:val="22"/>
        </w:rPr>
        <w:t>people, not land, listen to radio, and as noted the proposed</w:t>
      </w:r>
      <w:r w:rsidR="008C3766">
        <w:rPr>
          <w:sz w:val="22"/>
          <w:szCs w:val="22"/>
        </w:rPr>
        <w:t xml:space="preserve"> Ethete station </w:t>
      </w:r>
      <w:r w:rsidR="004751AA">
        <w:rPr>
          <w:sz w:val="22"/>
          <w:szCs w:val="22"/>
        </w:rPr>
        <w:t>would overwhelmingly serve residents of the Wind River Indian Reservation.</w:t>
      </w:r>
    </w:p>
    <w:p w:rsidR="00620560" w:rsidP="00833FCA" w14:paraId="6D644AB5" w14:textId="77777777">
      <w:pPr>
        <w:autoSpaceDE w:val="0"/>
        <w:autoSpaceDN w:val="0"/>
        <w:adjustRightInd w:val="0"/>
        <w:ind w:firstLine="720"/>
        <w:rPr>
          <w:sz w:val="22"/>
          <w:szCs w:val="22"/>
        </w:rPr>
      </w:pPr>
    </w:p>
    <w:p w:rsidR="00833FCA" w:rsidP="00833FCA" w14:paraId="2AEBC8CF" w14:textId="584D97B5">
      <w:pPr>
        <w:autoSpaceDE w:val="0"/>
        <w:autoSpaceDN w:val="0"/>
        <w:adjustRightInd w:val="0"/>
        <w:ind w:firstLine="720"/>
        <w:rPr>
          <w:sz w:val="22"/>
          <w:szCs w:val="22"/>
        </w:rPr>
      </w:pPr>
      <w:r>
        <w:rPr>
          <w:sz w:val="22"/>
          <w:szCs w:val="22"/>
        </w:rPr>
        <w:t>Overall, we find that the special circumstances (i.e., the location of the existing antenna site</w:t>
      </w:r>
      <w:r w:rsidR="00A6330A">
        <w:rPr>
          <w:sz w:val="22"/>
          <w:szCs w:val="22"/>
        </w:rPr>
        <w:t xml:space="preserve">) warrant the requested minor deviation from the general rule, and that this deviation better serves the public interest by providing </w:t>
      </w:r>
      <w:r w:rsidR="00504FB3">
        <w:rPr>
          <w:sz w:val="22"/>
          <w:szCs w:val="22"/>
        </w:rPr>
        <w:t>new Tribal radio service to a large population residing on the Wind River Indian Reservation.</w:t>
      </w:r>
    </w:p>
    <w:p w:rsidR="004F5B0C" w14:paraId="2EA0D5E9" w14:textId="0D126843">
      <w:pPr>
        <w:rPr>
          <w:sz w:val="22"/>
          <w:szCs w:val="22"/>
        </w:rPr>
      </w:pPr>
      <w:r>
        <w:rPr>
          <w:sz w:val="22"/>
          <w:szCs w:val="22"/>
        </w:rPr>
        <w:br w:type="page"/>
      </w:r>
    </w:p>
    <w:p w:rsidR="00504FB3" w:rsidP="004F5B0C" w14:paraId="163698DA" w14:textId="77777777">
      <w:pPr>
        <w:autoSpaceDE w:val="0"/>
        <w:autoSpaceDN w:val="0"/>
        <w:adjustRightInd w:val="0"/>
        <w:rPr>
          <w:sz w:val="22"/>
          <w:szCs w:val="22"/>
        </w:rPr>
      </w:pPr>
    </w:p>
    <w:p w:rsidR="00504FB3" w:rsidP="00833FCA" w14:paraId="526E0D84" w14:textId="4E1F05A8">
      <w:pPr>
        <w:autoSpaceDE w:val="0"/>
        <w:autoSpaceDN w:val="0"/>
        <w:adjustRightInd w:val="0"/>
        <w:ind w:firstLine="720"/>
        <w:rPr>
          <w:sz w:val="22"/>
          <w:szCs w:val="22"/>
        </w:rPr>
      </w:pPr>
      <w:r w:rsidRPr="00DC5F8E">
        <w:rPr>
          <w:i/>
          <w:iCs/>
          <w:sz w:val="22"/>
          <w:szCs w:val="22"/>
        </w:rPr>
        <w:t>Conclusion</w:t>
      </w:r>
      <w:r>
        <w:rPr>
          <w:sz w:val="22"/>
          <w:szCs w:val="22"/>
        </w:rPr>
        <w:t xml:space="preserve">.  Accordingly, the Waiver Request IS GRANTED.  We have examined </w:t>
      </w:r>
      <w:r w:rsidR="00EE7278">
        <w:rPr>
          <w:sz w:val="22"/>
          <w:szCs w:val="22"/>
        </w:rPr>
        <w:t xml:space="preserve">the Application and find that </w:t>
      </w:r>
      <w:r w:rsidR="00C2435E">
        <w:rPr>
          <w:sz w:val="22"/>
          <w:szCs w:val="22"/>
        </w:rPr>
        <w:t>grant would serve the public interest, convenience, and necessity.  Therefore, the Application of the Business Council of the Northern Arapaho Tribe</w:t>
      </w:r>
      <w:r w:rsidR="00163540">
        <w:rPr>
          <w:sz w:val="22"/>
          <w:szCs w:val="22"/>
        </w:rPr>
        <w:t>, Application File No. 0000256686, IS GRANTED.</w:t>
      </w:r>
    </w:p>
    <w:p w:rsidR="00163540" w:rsidRPr="00DC5F8E" w:rsidP="00833FCA" w14:paraId="16E2812F" w14:textId="77777777">
      <w:pPr>
        <w:autoSpaceDE w:val="0"/>
        <w:autoSpaceDN w:val="0"/>
        <w:adjustRightInd w:val="0"/>
        <w:ind w:firstLine="720"/>
        <w:rPr>
          <w:sz w:val="22"/>
          <w:szCs w:val="22"/>
        </w:rPr>
      </w:pPr>
    </w:p>
    <w:p w:rsidR="00DC5F8E" w:rsidRPr="00DC5F8E" w:rsidP="00DC5F8E" w14:paraId="6B7D4FA1" w14:textId="77777777">
      <w:pPr>
        <w:keepNext/>
        <w:keepLines/>
        <w:tabs>
          <w:tab w:val="left" w:pos="-1440"/>
          <w:tab w:val="left" w:pos="-720"/>
          <w:tab w:val="left" w:pos="5040"/>
          <w:tab w:val="left" w:pos="5760"/>
          <w:tab w:val="right" w:pos="9360"/>
        </w:tabs>
        <w:suppressAutoHyphens/>
        <w:rPr>
          <w:sz w:val="22"/>
          <w:szCs w:val="22"/>
        </w:rPr>
      </w:pPr>
      <w:bookmarkStart w:id="0" w:name="_Hlk77597583"/>
      <w:r w:rsidRPr="00DC5F8E">
        <w:rPr>
          <w:sz w:val="22"/>
          <w:szCs w:val="22"/>
        </w:rPr>
        <w:tab/>
        <w:t>Sincerely,</w:t>
      </w:r>
    </w:p>
    <w:p w:rsidR="00DC5F8E" w:rsidRPr="00DC5F8E" w:rsidP="00DC5F8E" w14:paraId="4164B545" w14:textId="77777777">
      <w:pPr>
        <w:keepNext/>
        <w:keepLines/>
        <w:tabs>
          <w:tab w:val="left" w:pos="-1440"/>
          <w:tab w:val="left" w:pos="-720"/>
          <w:tab w:val="left" w:pos="5040"/>
          <w:tab w:val="left" w:pos="5760"/>
          <w:tab w:val="right" w:pos="9360"/>
        </w:tabs>
        <w:suppressAutoHyphens/>
        <w:rPr>
          <w:sz w:val="22"/>
          <w:szCs w:val="22"/>
        </w:rPr>
      </w:pPr>
    </w:p>
    <w:p w:rsidR="00DC5F8E" w:rsidRPr="00DC5F8E" w:rsidP="00DC5F8E" w14:paraId="4F8AF38E" w14:textId="77777777">
      <w:pPr>
        <w:keepNext/>
        <w:keepLines/>
        <w:tabs>
          <w:tab w:val="left" w:pos="-1440"/>
          <w:tab w:val="left" w:pos="-720"/>
          <w:tab w:val="left" w:pos="5040"/>
          <w:tab w:val="left" w:pos="5760"/>
          <w:tab w:val="right" w:pos="9360"/>
        </w:tabs>
        <w:suppressAutoHyphens/>
        <w:rPr>
          <w:sz w:val="22"/>
          <w:szCs w:val="22"/>
        </w:rPr>
      </w:pPr>
    </w:p>
    <w:p w:rsidR="00DC5F8E" w:rsidRPr="00DC5F8E" w:rsidP="00DC5F8E" w14:paraId="20AE601C" w14:textId="77777777">
      <w:pPr>
        <w:keepNext/>
        <w:keepLines/>
        <w:tabs>
          <w:tab w:val="left" w:pos="-1440"/>
          <w:tab w:val="left" w:pos="-720"/>
          <w:tab w:val="left" w:pos="5040"/>
          <w:tab w:val="left" w:pos="5760"/>
          <w:tab w:val="right" w:pos="9360"/>
        </w:tabs>
        <w:suppressAutoHyphens/>
        <w:rPr>
          <w:sz w:val="22"/>
          <w:szCs w:val="22"/>
        </w:rPr>
      </w:pPr>
    </w:p>
    <w:p w:rsidR="00DC5F8E" w:rsidRPr="00DC5F8E" w:rsidP="00DC5F8E" w14:paraId="5CA9DDA0" w14:textId="77777777">
      <w:pPr>
        <w:keepNext/>
        <w:keepLines/>
        <w:tabs>
          <w:tab w:val="left" w:pos="-1440"/>
          <w:tab w:val="left" w:pos="-720"/>
          <w:tab w:val="left" w:pos="5040"/>
          <w:tab w:val="left" w:pos="5760"/>
          <w:tab w:val="right" w:pos="9360"/>
        </w:tabs>
        <w:suppressAutoHyphens/>
        <w:rPr>
          <w:sz w:val="22"/>
          <w:szCs w:val="22"/>
        </w:rPr>
      </w:pPr>
      <w:r w:rsidRPr="00DC5F8E">
        <w:rPr>
          <w:sz w:val="22"/>
          <w:szCs w:val="22"/>
        </w:rPr>
        <w:tab/>
        <w:t xml:space="preserve">Albert Shuldiner  </w:t>
      </w:r>
    </w:p>
    <w:p w:rsidR="00DC5F8E" w:rsidRPr="00DC5F8E" w:rsidP="00DC5F8E" w14:paraId="7BA81997" w14:textId="77777777">
      <w:pPr>
        <w:keepNext/>
        <w:keepLines/>
        <w:tabs>
          <w:tab w:val="left" w:pos="-1440"/>
          <w:tab w:val="left" w:pos="-720"/>
          <w:tab w:val="left" w:pos="5040"/>
          <w:tab w:val="left" w:pos="5760"/>
          <w:tab w:val="right" w:pos="9360"/>
        </w:tabs>
        <w:suppressAutoHyphens/>
        <w:rPr>
          <w:sz w:val="22"/>
          <w:szCs w:val="22"/>
        </w:rPr>
      </w:pPr>
      <w:r w:rsidRPr="00DC5F8E">
        <w:rPr>
          <w:sz w:val="22"/>
          <w:szCs w:val="22"/>
        </w:rPr>
        <w:tab/>
        <w:t>Chief, Audio Division</w:t>
      </w:r>
    </w:p>
    <w:p w:rsidR="00163540" w:rsidRPr="00DC5F8E" w:rsidP="00DC5F8E" w14:paraId="514B2E3C" w14:textId="735A144F">
      <w:pPr>
        <w:autoSpaceDE w:val="0"/>
        <w:autoSpaceDN w:val="0"/>
        <w:adjustRightInd w:val="0"/>
        <w:rPr>
          <w:sz w:val="22"/>
          <w:szCs w:val="22"/>
        </w:rPr>
      </w:pPr>
      <w:r w:rsidRPr="00DC5F8E">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C5F8E">
        <w:rPr>
          <w:sz w:val="22"/>
          <w:szCs w:val="22"/>
        </w:rPr>
        <w:t>Media Bureau</w:t>
      </w:r>
      <w:bookmarkEnd w:id="0"/>
    </w:p>
    <w:p w:rsidR="00862025" w:rsidRPr="00DC5F8E" w:rsidP="00C66CEE" w14:paraId="708D3EAC" w14:textId="77777777">
      <w:pPr>
        <w:rPr>
          <w:sz w:val="22"/>
          <w:szCs w:val="22"/>
        </w:rPr>
      </w:pPr>
    </w:p>
    <w:p w:rsidR="00835B66" w:rsidRPr="00DC5F8E" w:rsidP="00C66CEE" w14:paraId="4720017C" w14:textId="77777777">
      <w:pPr>
        <w:rPr>
          <w:sz w:val="22"/>
          <w:szCs w:val="22"/>
        </w:rPr>
      </w:pPr>
    </w:p>
    <w:p w:rsidR="00835B66" w:rsidRPr="00DC5F8E" w:rsidP="00C66CEE" w14:paraId="597AC1BD" w14:textId="556744B4">
      <w:pPr>
        <w:rPr>
          <w:sz w:val="22"/>
          <w:szCs w:val="22"/>
        </w:rPr>
      </w:pPr>
      <w:r w:rsidRPr="00DC5F8E">
        <w:rPr>
          <w:sz w:val="22"/>
          <w:szCs w:val="22"/>
        </w:rPr>
        <w:tab/>
      </w:r>
    </w:p>
    <w:sectPr>
      <w:footerReference w:type="default" r:id="rId12"/>
      <w:headerReference w:type="first" r:id="rId13"/>
      <w:footerReference w:type="first" r:id="rId14"/>
      <w:pgSz w:w="12240" w:h="15840" w:code="1"/>
      <w:pgMar w:top="1987"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607" w14:paraId="2F5351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607" w14:paraId="0D055401" w14:textId="6B3457D4">
    <w:pPr>
      <w:pStyle w:val="Footer"/>
      <w:jc w:val="center"/>
    </w:pPr>
  </w:p>
  <w:p w:rsidR="00251607" w14:paraId="146F4D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8616C" w14:paraId="38AA39D3" w14:textId="77777777">
      <w:r>
        <w:separator/>
      </w:r>
    </w:p>
  </w:footnote>
  <w:footnote w:type="continuationSeparator" w:id="1">
    <w:p w:rsidR="0038616C" w14:paraId="4462F17D" w14:textId="77777777">
      <w:r>
        <w:continuationSeparator/>
      </w:r>
    </w:p>
  </w:footnote>
  <w:footnote w:id="2">
    <w:p w:rsidR="001F358C" w:rsidRPr="00A05786" w:rsidP="0059522F" w14:paraId="65AE80F1" w14:textId="77777777">
      <w:pPr>
        <w:pStyle w:val="FootnoteText"/>
        <w:spacing w:after="120"/>
      </w:pPr>
      <w:r>
        <w:rPr>
          <w:rStyle w:val="FootnoteReference"/>
        </w:rPr>
        <w:footnoteRef/>
      </w:r>
      <w:r>
        <w:t xml:space="preserve"> </w:t>
      </w:r>
      <w:r w:rsidRPr="00A05786">
        <w:t>Application File No. 0000256686.</w:t>
      </w:r>
    </w:p>
  </w:footnote>
  <w:footnote w:id="3">
    <w:p w:rsidR="0059522F" w:rsidP="0059522F" w14:paraId="0F6321AA" w14:textId="75D872F8">
      <w:pPr>
        <w:pStyle w:val="FootnoteText"/>
        <w:spacing w:after="120"/>
      </w:pPr>
      <w:r>
        <w:rPr>
          <w:rStyle w:val="FootnoteReference"/>
        </w:rPr>
        <w:footnoteRef/>
      </w:r>
      <w:r>
        <w:t xml:space="preserve"> </w:t>
      </w:r>
      <w:r w:rsidRPr="00547049" w:rsidR="00547049">
        <w:rPr>
          <w:i/>
          <w:iCs/>
        </w:rPr>
        <w:t>See generally</w:t>
      </w:r>
      <w:r w:rsidR="00547049">
        <w:t xml:space="preserve"> </w:t>
      </w:r>
      <w:r w:rsidRPr="00FC5E60" w:rsidR="00547049">
        <w:rPr>
          <w:i/>
          <w:iCs/>
        </w:rPr>
        <w:t>Policies to Promote Rural Radio Service and to Streamline Allotment and Assignment Procedures</w:t>
      </w:r>
      <w:r w:rsidR="00547049">
        <w:t xml:space="preserve">, Third Report and Order, 26 FCC </w:t>
      </w:r>
      <w:r w:rsidR="00547049">
        <w:t>Rcd</w:t>
      </w:r>
      <w:r w:rsidR="00547049">
        <w:t xml:space="preserve"> 17642 (2011) (</w:t>
      </w:r>
      <w:r w:rsidRPr="00FC5E60" w:rsidR="00547049">
        <w:rPr>
          <w:i/>
          <w:iCs/>
        </w:rPr>
        <w:t>Rural Radio Third R&amp;O</w:t>
      </w:r>
      <w:r w:rsidR="00547049">
        <w:t>).</w:t>
      </w:r>
    </w:p>
  </w:footnote>
  <w:footnote w:id="4">
    <w:p w:rsidR="00F42DD4" w:rsidP="00F32DE4" w14:paraId="6F27F45A" w14:textId="13CDD5FE">
      <w:pPr>
        <w:pStyle w:val="FootnoteText"/>
        <w:spacing w:after="120"/>
      </w:pPr>
      <w:r>
        <w:rPr>
          <w:rStyle w:val="FootnoteReference"/>
        </w:rPr>
        <w:footnoteRef/>
      </w:r>
      <w:r>
        <w:t xml:space="preserve"> </w:t>
      </w:r>
      <w:r w:rsidR="00F32DE4">
        <w:t>Petition at 3.</w:t>
      </w:r>
    </w:p>
  </w:footnote>
  <w:footnote w:id="5">
    <w:p w:rsidR="001E2688" w:rsidP="00F32DE4" w14:paraId="5FED4117" w14:textId="4DEFBF05">
      <w:pPr>
        <w:pStyle w:val="FootnoteText"/>
        <w:spacing w:after="120"/>
      </w:pPr>
      <w:r>
        <w:rPr>
          <w:rStyle w:val="FootnoteReference"/>
        </w:rPr>
        <w:footnoteRef/>
      </w:r>
      <w:r>
        <w:t xml:space="preserve"> </w:t>
      </w:r>
      <w:r w:rsidR="00F32DE4">
        <w:rPr>
          <w:i/>
          <w:iCs/>
        </w:rPr>
        <w:t>Rural Radio Third R&amp;O</w:t>
      </w:r>
      <w:r w:rsidR="00F32DE4">
        <w:t xml:space="preserve">, </w:t>
      </w:r>
      <w:r w:rsidR="00D436BE">
        <w:t xml:space="preserve">26 FCC </w:t>
      </w:r>
      <w:r w:rsidR="00D436BE">
        <w:t>Rcd</w:t>
      </w:r>
      <w:r w:rsidR="00D436BE">
        <w:t xml:space="preserve"> at </w:t>
      </w:r>
      <w:r w:rsidR="005669D7">
        <w:t>17646-47</w:t>
      </w:r>
      <w:r w:rsidR="00FC5E60">
        <w:t>.</w:t>
      </w:r>
    </w:p>
  </w:footnote>
  <w:footnote w:id="6">
    <w:p w:rsidR="00B76804" w:rsidP="001F3965" w14:paraId="71EB59E0" w14:textId="627B6C0D">
      <w:pPr>
        <w:pStyle w:val="FootnoteText"/>
        <w:spacing w:after="120"/>
      </w:pPr>
      <w:r>
        <w:rPr>
          <w:rStyle w:val="FootnoteReference"/>
        </w:rPr>
        <w:footnoteRef/>
      </w:r>
      <w:r>
        <w:t xml:space="preserve"> 47 CFR § 73.3573</w:t>
      </w:r>
      <w:r w:rsidR="00423A4B">
        <w:t xml:space="preserve"> Note 5.</w:t>
      </w:r>
    </w:p>
  </w:footnote>
  <w:footnote w:id="7">
    <w:p w:rsidR="00521A40" w:rsidRPr="009E76F9" w:rsidP="001F3965" w14:paraId="212FB7EB" w14:textId="091A302C">
      <w:pPr>
        <w:pStyle w:val="FootnoteText"/>
        <w:spacing w:after="120"/>
        <w:jc w:val="both"/>
      </w:pPr>
      <w:r>
        <w:rPr>
          <w:rStyle w:val="FootnoteReference"/>
        </w:rPr>
        <w:footnoteRef/>
      </w:r>
      <w:r>
        <w:t xml:space="preserve"> For purposes of qualifying for the Tribal Priority at the FM allotment stage, the service contour is the class reference contour as set forth in 47 </w:t>
      </w:r>
      <w:r w:rsidR="007E1680">
        <w:t>CFR</w:t>
      </w:r>
      <w:r>
        <w:t xml:space="preserve"> § 73.211(b)</w:t>
      </w:r>
      <w:r w:rsidR="00C963C1">
        <w:t>, which</w:t>
      </w:r>
      <w:r>
        <w:t xml:space="preserve"> is the 1 mV/m (60 </w:t>
      </w:r>
      <w:r>
        <w:t>dBμ</w:t>
      </w:r>
      <w:r>
        <w:t xml:space="preserve">) contour. </w:t>
      </w:r>
      <w:r w:rsidR="00C963C1">
        <w:t xml:space="preserve"> </w:t>
      </w:r>
      <w:r w:rsidRPr="00AB54DC" w:rsidR="00C963C1">
        <w:rPr>
          <w:i/>
          <w:iCs/>
        </w:rPr>
        <w:t>Rural Radio Third R&amp;O</w:t>
      </w:r>
      <w:r w:rsidR="00C963C1">
        <w:t xml:space="preserve">, 26 FCC </w:t>
      </w:r>
      <w:r w:rsidR="00A47E1A">
        <w:t>Rcd</w:t>
      </w:r>
      <w:r w:rsidR="00A47E1A">
        <w:t xml:space="preserve"> at 17646, para. 8 n.</w:t>
      </w:r>
      <w:r w:rsidR="00DC1F62">
        <w:t>29.</w:t>
      </w:r>
      <w:r>
        <w:t xml:space="preserve"> </w:t>
      </w:r>
    </w:p>
  </w:footnote>
  <w:footnote w:id="8">
    <w:p w:rsidR="00521A40" w:rsidRPr="005F651A" w:rsidP="001F3965" w14:paraId="24892FD4" w14:textId="2655ABA3">
      <w:pPr>
        <w:pStyle w:val="FootnoteText"/>
        <w:spacing w:after="120"/>
        <w:jc w:val="both"/>
      </w:pPr>
      <w:r>
        <w:rPr>
          <w:rStyle w:val="FootnoteReference"/>
        </w:rPr>
        <w:footnoteRef/>
      </w:r>
      <w:r>
        <w:t xml:space="preserve"> </w:t>
      </w:r>
      <w:r w:rsidR="00C9305A">
        <w:t>47 CFR § 73.3573 Note 5</w:t>
      </w:r>
      <w:r w:rsidR="00A81B38">
        <w:t xml:space="preserve">.  </w:t>
      </w:r>
      <w:r w:rsidRPr="00A81B38" w:rsidR="00A81B38">
        <w:rPr>
          <w:i/>
          <w:iCs/>
        </w:rPr>
        <w:t>See also</w:t>
      </w:r>
      <w:r w:rsidR="00A81B38">
        <w:t xml:space="preserve"> </w:t>
      </w:r>
      <w:r w:rsidR="000D06D9">
        <w:rPr>
          <w:i/>
        </w:rPr>
        <w:t>Rural Radio Third</w:t>
      </w:r>
      <w:r w:rsidRPr="00A1620C">
        <w:rPr>
          <w:i/>
        </w:rPr>
        <w:t xml:space="preserve"> R&amp;O</w:t>
      </w:r>
      <w:r>
        <w:t>, 2</w:t>
      </w:r>
      <w:r w:rsidR="000D06D9">
        <w:t>6</w:t>
      </w:r>
      <w:r>
        <w:t xml:space="preserve"> FCC </w:t>
      </w:r>
      <w:r>
        <w:t>Rcd</w:t>
      </w:r>
      <w:r>
        <w:t xml:space="preserve"> at </w:t>
      </w:r>
      <w:r w:rsidR="000D06D9">
        <w:t>17646-47, para. 8</w:t>
      </w:r>
      <w:r>
        <w:t>.</w:t>
      </w:r>
    </w:p>
  </w:footnote>
  <w:footnote w:id="9">
    <w:p w:rsidR="00D16E36" w:rsidP="00D16E36" w14:paraId="08030DD4" w14:textId="77777777">
      <w:pPr>
        <w:pStyle w:val="FootnoteText"/>
        <w:spacing w:after="120"/>
      </w:pPr>
      <w:r>
        <w:rPr>
          <w:rStyle w:val="FootnoteReference"/>
        </w:rPr>
        <w:footnoteRef/>
      </w:r>
      <w:r>
        <w:t xml:space="preserve"> </w:t>
      </w:r>
      <w:r w:rsidRPr="004806CF">
        <w:rPr>
          <w:i/>
          <w:iCs/>
        </w:rPr>
        <w:t>Ethete, Wyoming</w:t>
      </w:r>
      <w:r>
        <w:t>, Report and Order, DA 25-165 (MB Feb. 26, 2025).</w:t>
      </w:r>
    </w:p>
  </w:footnote>
  <w:footnote w:id="10">
    <w:p w:rsidR="0001554B" w:rsidRPr="00FA4C72" w:rsidP="00FA4C72" w14:paraId="6F6320F7" w14:textId="6BFDDD61">
      <w:pPr>
        <w:pStyle w:val="FootnoteText"/>
        <w:spacing w:after="120"/>
      </w:pPr>
      <w:r w:rsidRPr="00FA4C72">
        <w:rPr>
          <w:rStyle w:val="FootnoteReference"/>
        </w:rPr>
        <w:footnoteRef/>
      </w:r>
      <w:r w:rsidRPr="00FA4C72">
        <w:t xml:space="preserve"> </w:t>
      </w:r>
      <w:r w:rsidRPr="00FA4C72">
        <w:rPr>
          <w:i/>
          <w:iCs/>
        </w:rPr>
        <w:t>Media Bureau Announces Threshold Qualification Window for Tribal Allotment at Ethete, Wyoming</w:t>
      </w:r>
      <w:r w:rsidRPr="00FA4C72">
        <w:t xml:space="preserve">, Public Notice, DA </w:t>
      </w:r>
      <w:r w:rsidRPr="00FA4C72" w:rsidR="00FA4C72">
        <w:t>25-358 (MB Apr. 23, 2025).</w:t>
      </w:r>
    </w:p>
  </w:footnote>
  <w:footnote w:id="11">
    <w:p w:rsidR="00E70755" w:rsidP="001F3965" w14:paraId="7C31EA1D" w14:textId="443D5E90">
      <w:pPr>
        <w:pStyle w:val="FootnoteText"/>
        <w:spacing w:after="120"/>
      </w:pPr>
      <w:r>
        <w:rPr>
          <w:rStyle w:val="FootnoteReference"/>
        </w:rPr>
        <w:footnoteRef/>
      </w:r>
      <w:r>
        <w:t xml:space="preserve"> Council does not seek a waiver of the criterion </w:t>
      </w:r>
      <w:r w:rsidR="00517499">
        <w:t>prohibiting coverage of more than 50% of another Tribe</w:t>
      </w:r>
      <w:r w:rsidR="007312EE">
        <w:t>’</w:t>
      </w:r>
      <w:r w:rsidR="00517499">
        <w:t xml:space="preserve">s Tribal Lands, as the </w:t>
      </w:r>
      <w:r w:rsidR="00C04F52">
        <w:t>Wind River Indian Reservation is occupied simultaneously by</w:t>
      </w:r>
      <w:r w:rsidR="0037266E">
        <w:t>, and under joint and equal control of,</w:t>
      </w:r>
      <w:r w:rsidR="00C04F52">
        <w:t xml:space="preserve"> two different Tribes, only one of which seeks to establish radio service.  </w:t>
      </w:r>
      <w:r w:rsidR="0037266E">
        <w:t xml:space="preserve">Petition at 3-4.  </w:t>
      </w:r>
      <w:r w:rsidR="00C04F52">
        <w:t xml:space="preserve">We note, however, that the </w:t>
      </w:r>
      <w:r w:rsidR="00FB62B3">
        <w:t>documents submitted</w:t>
      </w:r>
      <w:r w:rsidR="0037266E">
        <w:t xml:space="preserve">, including a letter from the Wind River Intertribal Council </w:t>
      </w:r>
      <w:r w:rsidR="004357A6">
        <w:t>signed by the chairmen of both the Council and the Eastern Shoshone Business Council,</w:t>
      </w:r>
      <w:r w:rsidR="00FB62B3">
        <w:t xml:space="preserve"> indicate that the Eastern Shoshone Tribe has been apprised of the Application and the Petition, and </w:t>
      </w:r>
      <w:r w:rsidR="004357A6">
        <w:t>supports</w:t>
      </w:r>
      <w:r w:rsidR="00FB62B3">
        <w:t xml:space="preserve"> </w:t>
      </w:r>
      <w:r w:rsidR="00705D87">
        <w:t xml:space="preserve">the proposed station’s covering the co-occupied reservation.  </w:t>
      </w:r>
      <w:r w:rsidR="004464A9">
        <w:t>Petition at 4-5 and Exhibit 3.</w:t>
      </w:r>
    </w:p>
  </w:footnote>
  <w:footnote w:id="12">
    <w:p w:rsidR="00813D7A" w:rsidP="001F3965" w14:paraId="15A43747" w14:textId="0734C0FB">
      <w:pPr>
        <w:pStyle w:val="FootnoteText"/>
        <w:spacing w:after="120"/>
      </w:pPr>
      <w:r>
        <w:rPr>
          <w:rStyle w:val="FootnoteReference"/>
        </w:rPr>
        <w:footnoteRef/>
      </w:r>
      <w:r>
        <w:t xml:space="preserve"> </w:t>
      </w:r>
      <w:r w:rsidR="00FA3BBF">
        <w:t>Petition at 1.</w:t>
      </w:r>
    </w:p>
  </w:footnote>
  <w:footnote w:id="13">
    <w:p w:rsidR="00961184" w:rsidP="001F3965" w14:paraId="106C3894" w14:textId="1302553A">
      <w:pPr>
        <w:pStyle w:val="FootnoteText"/>
        <w:spacing w:after="120"/>
      </w:pPr>
      <w:r>
        <w:rPr>
          <w:rStyle w:val="FootnoteReference"/>
        </w:rPr>
        <w:footnoteRef/>
      </w:r>
      <w:r>
        <w:t xml:space="preserve"> </w:t>
      </w:r>
      <w:r w:rsidRPr="00FA3BBF" w:rsidR="00FA3BBF">
        <w:rPr>
          <w:i/>
          <w:iCs/>
        </w:rPr>
        <w:t>Id</w:t>
      </w:r>
      <w:r>
        <w:t>.</w:t>
      </w:r>
    </w:p>
  </w:footnote>
  <w:footnote w:id="14">
    <w:p w:rsidR="0002533B" w:rsidP="00E91F68" w14:paraId="4677B175" w14:textId="17DED1EF">
      <w:pPr>
        <w:pStyle w:val="FootnoteText"/>
        <w:spacing w:after="120"/>
      </w:pPr>
      <w:r>
        <w:rPr>
          <w:rStyle w:val="FootnoteReference"/>
        </w:rPr>
        <w:footnoteRef/>
      </w:r>
      <w:r>
        <w:t xml:space="preserve"> Waiver Request at </w:t>
      </w:r>
      <w:r w:rsidR="00E91F68">
        <w:t>4-5.</w:t>
      </w:r>
    </w:p>
  </w:footnote>
  <w:footnote w:id="15">
    <w:p w:rsidR="008728BD" w:rsidP="00E91F68" w14:paraId="2AD4A853" w14:textId="5D332AD0">
      <w:pPr>
        <w:pStyle w:val="FootnoteText"/>
        <w:spacing w:after="120"/>
      </w:pPr>
      <w:r>
        <w:rPr>
          <w:rStyle w:val="FootnoteReference"/>
        </w:rPr>
        <w:footnoteRef/>
      </w:r>
      <w:r>
        <w:t xml:space="preserve"> </w:t>
      </w:r>
      <w:r w:rsidRPr="00745B9D" w:rsidR="00745B9D">
        <w:rPr>
          <w:i/>
          <w:iCs/>
        </w:rPr>
        <w:t>Id</w:t>
      </w:r>
      <w:r w:rsidR="00745B9D">
        <w:t>. at 1-2.</w:t>
      </w:r>
      <w:r w:rsidR="00946915">
        <w:t xml:space="preserve">  </w:t>
      </w:r>
      <w:r w:rsidRPr="00946915" w:rsidR="00946915">
        <w:rPr>
          <w:i/>
          <w:iCs/>
        </w:rPr>
        <w:t>See also</w:t>
      </w:r>
      <w:r w:rsidR="00946915">
        <w:t xml:space="preserve"> Waiver Request at 7.</w:t>
      </w:r>
    </w:p>
  </w:footnote>
  <w:footnote w:id="16">
    <w:p w:rsidR="00140409" w:rsidP="001F3965" w14:paraId="332B4364" w14:textId="66CBF189">
      <w:pPr>
        <w:pStyle w:val="FootnoteText"/>
        <w:spacing w:after="120"/>
      </w:pPr>
      <w:r>
        <w:rPr>
          <w:rStyle w:val="FootnoteReference"/>
        </w:rPr>
        <w:footnoteRef/>
      </w:r>
      <w:r>
        <w:t xml:space="preserve"> </w:t>
      </w:r>
      <w:r w:rsidR="001220F9">
        <w:t>Waiver Request at 5-6.</w:t>
      </w:r>
    </w:p>
  </w:footnote>
  <w:footnote w:id="17">
    <w:p w:rsidR="00CD492B" w:rsidP="001F3965" w14:paraId="1E5C39C4" w14:textId="57408790">
      <w:pPr>
        <w:pStyle w:val="FootnoteText"/>
        <w:spacing w:after="120"/>
      </w:pPr>
      <w:r>
        <w:rPr>
          <w:rStyle w:val="FootnoteReference"/>
        </w:rPr>
        <w:footnoteRef/>
      </w:r>
      <w:r>
        <w:t xml:space="preserve"> </w:t>
      </w:r>
      <w:r w:rsidRPr="009102E2" w:rsidR="009102E2">
        <w:rPr>
          <w:i/>
          <w:iCs/>
        </w:rPr>
        <w:t>Id</w:t>
      </w:r>
      <w:r w:rsidR="009102E2">
        <w:t>. at 6.</w:t>
      </w:r>
    </w:p>
  </w:footnote>
  <w:footnote w:id="18">
    <w:p w:rsidR="009102E2" w:rsidP="001F3965" w14:paraId="72D8C359" w14:textId="589025CE">
      <w:pPr>
        <w:pStyle w:val="FootnoteText"/>
        <w:spacing w:after="120"/>
      </w:pPr>
      <w:r>
        <w:rPr>
          <w:rStyle w:val="FootnoteReference"/>
        </w:rPr>
        <w:footnoteRef/>
      </w:r>
      <w:r>
        <w:t xml:space="preserve"> </w:t>
      </w:r>
      <w:r w:rsidRPr="009102E2">
        <w:rPr>
          <w:i/>
          <w:iCs/>
        </w:rPr>
        <w:t>Id</w:t>
      </w:r>
      <w:r>
        <w:t>. at 6-7.</w:t>
      </w:r>
    </w:p>
  </w:footnote>
  <w:footnote w:id="19">
    <w:p w:rsidR="00200336" w:rsidP="001F3965" w14:paraId="5562796A" w14:textId="6D28F282">
      <w:pPr>
        <w:pStyle w:val="FootnoteText"/>
        <w:spacing w:after="120"/>
      </w:pPr>
      <w:r>
        <w:rPr>
          <w:rStyle w:val="FootnoteReference"/>
        </w:rPr>
        <w:footnoteRef/>
      </w:r>
      <w:r>
        <w:t xml:space="preserve"> </w:t>
      </w:r>
      <w:r w:rsidRPr="000D0AC1">
        <w:rPr>
          <w:i/>
          <w:iCs/>
        </w:rPr>
        <w:t>Id</w:t>
      </w:r>
      <w:r>
        <w:t xml:space="preserve">. at </w:t>
      </w:r>
      <w:r w:rsidR="000D0AC1">
        <w:t>6.</w:t>
      </w:r>
    </w:p>
  </w:footnote>
  <w:footnote w:id="20">
    <w:p w:rsidR="005E08D6" w:rsidP="001F3965" w14:paraId="58FD16AB" w14:textId="77777777">
      <w:pPr>
        <w:pStyle w:val="FootnoteText"/>
        <w:spacing w:after="120"/>
      </w:pPr>
      <w:r>
        <w:rPr>
          <w:rStyle w:val="FootnoteReference"/>
        </w:rPr>
        <w:footnoteRef/>
      </w:r>
      <w:r>
        <w:t xml:space="preserve"> 47 CFR § 1.3.</w:t>
      </w:r>
    </w:p>
  </w:footnote>
  <w:footnote w:id="21">
    <w:p w:rsidR="005E08D6" w:rsidP="001F3965" w14:paraId="005B7FFB" w14:textId="77777777">
      <w:pPr>
        <w:pStyle w:val="FootnoteText"/>
        <w:spacing w:after="120"/>
      </w:pPr>
      <w:r>
        <w:rPr>
          <w:rStyle w:val="FootnoteReference"/>
        </w:rPr>
        <w:footnoteRef/>
      </w:r>
      <w:r>
        <w:t xml:space="preserve"> </w:t>
      </w:r>
      <w:r w:rsidRPr="00C73E83">
        <w:rPr>
          <w:i/>
        </w:rPr>
        <w:t>WAIT Radio v. FCC</w:t>
      </w:r>
      <w:r w:rsidRPr="00C73E83">
        <w:t>, 418 F.2d 1153, 1157</w:t>
      </w:r>
      <w:r>
        <w:t>, para. 2</w:t>
      </w:r>
      <w:r w:rsidRPr="00C73E83">
        <w:t xml:space="preserve"> (D.C. Cir. 1969) (</w:t>
      </w:r>
      <w:r w:rsidRPr="00C73E83">
        <w:rPr>
          <w:i/>
        </w:rPr>
        <w:t>WAIT Radio</w:t>
      </w:r>
      <w:r w:rsidRPr="00C73E83">
        <w:t>).</w:t>
      </w:r>
    </w:p>
  </w:footnote>
  <w:footnote w:id="22">
    <w:p w:rsidR="005E08D6" w:rsidRPr="00C73E83" w:rsidP="001F3965" w14:paraId="51497C33" w14:textId="77777777">
      <w:pPr>
        <w:pStyle w:val="FootnoteText"/>
        <w:spacing w:after="120"/>
      </w:pPr>
      <w:r w:rsidRPr="00D75554">
        <w:rPr>
          <w:rStyle w:val="FootnoteReference"/>
        </w:rPr>
        <w:footnoteRef/>
      </w:r>
      <w:r w:rsidRPr="00D75554">
        <w:t xml:space="preserve"> </w:t>
      </w:r>
      <w:r>
        <w:rPr>
          <w:i/>
        </w:rPr>
        <w:t>WAIT Radio</w:t>
      </w:r>
      <w:r>
        <w:t>, 418 F.2d at 1157, para. 2.</w:t>
      </w:r>
    </w:p>
  </w:footnote>
  <w:footnote w:id="23">
    <w:p w:rsidR="005E08D6" w:rsidRPr="00D75554" w:rsidP="001F3965" w14:paraId="0B2E9D54" w14:textId="77777777">
      <w:pPr>
        <w:pStyle w:val="FootnoteText"/>
        <w:spacing w:after="120"/>
      </w:pPr>
      <w:r w:rsidRPr="00D75554">
        <w:rPr>
          <w:rStyle w:val="FootnoteReference"/>
        </w:rPr>
        <w:footnoteRef/>
      </w:r>
      <w:r w:rsidRPr="00D75554">
        <w:t xml:space="preserve"> </w:t>
      </w:r>
      <w:r w:rsidRPr="00D75554">
        <w:rPr>
          <w:i/>
        </w:rPr>
        <w:t>Greater Media Radio Co., Inc</w:t>
      </w:r>
      <w:r w:rsidRPr="00D75554">
        <w:t xml:space="preserve">., Memorandum Opinion and Order, 15 FCC </w:t>
      </w:r>
      <w:r w:rsidRPr="00D75554">
        <w:t>Rcd</w:t>
      </w:r>
      <w:r w:rsidRPr="00D75554">
        <w:t xml:space="preserve"> 7090</w:t>
      </w:r>
      <w:r>
        <w:t>, 7094, para. 9</w:t>
      </w:r>
      <w:r w:rsidRPr="00D75554">
        <w:t xml:space="preserve"> (1999)</w:t>
      </w:r>
      <w:r>
        <w:t>.</w:t>
      </w:r>
    </w:p>
  </w:footnote>
  <w:footnote w:id="24">
    <w:p w:rsidR="005E08D6" w:rsidRPr="00D75554" w:rsidP="001F3965" w14:paraId="1656577D" w14:textId="77777777">
      <w:pPr>
        <w:pStyle w:val="FootnoteText"/>
        <w:spacing w:after="120"/>
      </w:pPr>
      <w:r w:rsidRPr="00D75554">
        <w:rPr>
          <w:rStyle w:val="FootnoteReference"/>
        </w:rPr>
        <w:footnoteRef/>
      </w:r>
      <w:r w:rsidRPr="00D75554">
        <w:t xml:space="preserve"> </w:t>
      </w:r>
      <w:r w:rsidRPr="00D75554">
        <w:rPr>
          <w:i/>
        </w:rPr>
        <w:t>NetworkIP</w:t>
      </w:r>
      <w:r w:rsidRPr="00D75554">
        <w:rPr>
          <w:i/>
        </w:rPr>
        <w:t>, LLC v. FCC</w:t>
      </w:r>
      <w:r w:rsidRPr="00D75554">
        <w:t>, 548 F.3d</w:t>
      </w:r>
      <w:r>
        <w:t xml:space="preserve"> 116, 125-128 (D.C. Cir. 2008) (citing </w:t>
      </w:r>
      <w:r w:rsidRPr="00D75554">
        <w:rPr>
          <w:i/>
        </w:rPr>
        <w:t>Northeast Cellular</w:t>
      </w:r>
      <w:r>
        <w:rPr>
          <w:i/>
        </w:rPr>
        <w:t xml:space="preserve"> Telephone Co.</w:t>
      </w:r>
      <w:r w:rsidRPr="00D75554">
        <w:t xml:space="preserve">, 897 F.2d </w:t>
      </w:r>
      <w:r>
        <w:t>1164,</w:t>
      </w:r>
      <w:r w:rsidRPr="00D75554">
        <w:t xml:space="preserve"> 1166</w:t>
      </w:r>
      <w:r>
        <w:t xml:space="preserve"> (1990))</w:t>
      </w:r>
      <w:r w:rsidRPr="00D75554">
        <w:t>.</w:t>
      </w:r>
    </w:p>
  </w:footnote>
  <w:footnote w:id="25">
    <w:p w:rsidR="003E536A" w:rsidP="001F3965" w14:paraId="75EA1AEC" w14:textId="32153F85">
      <w:pPr>
        <w:pStyle w:val="FootnoteText"/>
        <w:spacing w:after="120"/>
      </w:pPr>
      <w:r>
        <w:rPr>
          <w:rStyle w:val="FootnoteReference"/>
        </w:rPr>
        <w:footnoteRef/>
      </w:r>
      <w:r>
        <w:t xml:space="preserve"> </w:t>
      </w:r>
      <w:r w:rsidRPr="00106848" w:rsidR="00534D82">
        <w:rPr>
          <w:i/>
          <w:iCs/>
        </w:rPr>
        <w:t>See, e.g.</w:t>
      </w:r>
      <w:r w:rsidR="00534D82">
        <w:t xml:space="preserve">, </w:t>
      </w:r>
      <w:r w:rsidRPr="00106848" w:rsidR="00C928BE">
        <w:rPr>
          <w:i/>
          <w:iCs/>
        </w:rPr>
        <w:t>Rural Radio Third R&amp;O</w:t>
      </w:r>
      <w:r w:rsidR="00C928BE">
        <w:t xml:space="preserve">, 26 FCC </w:t>
      </w:r>
      <w:r w:rsidR="00C928BE">
        <w:t>Rcd</w:t>
      </w:r>
      <w:r w:rsidR="00C928BE">
        <w:t xml:space="preserve"> at 1764</w:t>
      </w:r>
      <w:r w:rsidR="00C575E4">
        <w:t>7</w:t>
      </w:r>
      <w:r w:rsidR="00C928BE">
        <w:t xml:space="preserve"> n.30</w:t>
      </w:r>
      <w:r w:rsidR="00AF573A">
        <w:t xml:space="preserve"> (“</w:t>
      </w:r>
      <w:r w:rsidRPr="005B4FB2" w:rsidR="00907CD4">
        <w:t xml:space="preserve">To the extent that a Tribe lacks Tribal Lands, </w:t>
      </w:r>
      <w:r w:rsidR="00907CD4">
        <w:t>the applicant may demonstrate eligibility for</w:t>
      </w:r>
      <w:r w:rsidRPr="005B4FB2" w:rsidR="00907CD4">
        <w:t xml:space="preserve"> waiver of the above-listed tribal land coverage provisions, </w:t>
      </w:r>
      <w:r w:rsidR="00907CD4">
        <w:t>by</w:t>
      </w:r>
      <w:r w:rsidRPr="005B4FB2" w:rsidR="00907CD4">
        <w:t xml:space="preserve"> demonstrat</w:t>
      </w:r>
      <w:r w:rsidR="00907CD4">
        <w:t>ing</w:t>
      </w:r>
      <w:r w:rsidRPr="005B4FB2" w:rsidR="00907CD4">
        <w:t xml:space="preserve"> a geographic area identified with the Tribe.</w:t>
      </w:r>
      <w:r w:rsidR="00907CD4">
        <w:t xml:space="preserve">  (citation omitted)  </w:t>
      </w:r>
      <w:r w:rsidRPr="005B4FB2" w:rsidR="00907CD4">
        <w:t xml:space="preserve">Likewise, </w:t>
      </w:r>
      <w:r w:rsidR="00856B24">
        <w:t xml:space="preserve">we </w:t>
      </w:r>
      <w:r w:rsidRPr="005B4FB2" w:rsidR="00C575E4">
        <w:t xml:space="preserve">will </w:t>
      </w:r>
      <w:r w:rsidR="00C575E4">
        <w:t>consider</w:t>
      </w:r>
      <w:r w:rsidRPr="005B4FB2" w:rsidR="00C575E4">
        <w:t xml:space="preserve"> requests for waiver of the other requirements where appropriate</w:t>
      </w:r>
      <w:r w:rsidR="00C575E4">
        <w:t>.”).</w:t>
      </w:r>
    </w:p>
  </w:footnote>
  <w:footnote w:id="26">
    <w:p w:rsidR="00F01F01" w:rsidP="00563B59" w14:paraId="4EE7163C" w14:textId="5F474BD3">
      <w:pPr>
        <w:pStyle w:val="FootnoteText"/>
        <w:spacing w:after="120"/>
      </w:pPr>
      <w:r>
        <w:rPr>
          <w:rStyle w:val="FootnoteReference"/>
        </w:rPr>
        <w:footnoteRef/>
      </w:r>
      <w:r>
        <w:t xml:space="preserve"> </w:t>
      </w:r>
      <w:r w:rsidRPr="0085427E">
        <w:rPr>
          <w:i/>
          <w:iCs/>
        </w:rPr>
        <w:t>See</w:t>
      </w:r>
      <w:r>
        <w:t xml:space="preserve">, </w:t>
      </w:r>
      <w:r w:rsidRPr="0085427E">
        <w:rPr>
          <w:i/>
          <w:iCs/>
        </w:rPr>
        <w:t>e.g.</w:t>
      </w:r>
      <w:r>
        <w:t>,</w:t>
      </w:r>
      <w:r w:rsidR="009B0A80">
        <w:t xml:space="preserve"> </w:t>
      </w:r>
      <w:r w:rsidRPr="0085427E" w:rsidR="009B0A80">
        <w:rPr>
          <w:i/>
          <w:iCs/>
        </w:rPr>
        <w:t xml:space="preserve">Threshold Fair Distribution Analysis of Mutually Exclusive Applications of the Southern California Tribal Chairmen’s </w:t>
      </w:r>
      <w:r w:rsidRPr="0085427E" w:rsidR="009B0A80">
        <w:rPr>
          <w:i/>
          <w:iCs/>
        </w:rPr>
        <w:t>Ass’n</w:t>
      </w:r>
      <w:r w:rsidRPr="0085427E" w:rsidR="009B0A80">
        <w:rPr>
          <w:i/>
          <w:iCs/>
        </w:rPr>
        <w:t xml:space="preserve"> and the Foundation for Economic Justice d/b/a Center</w:t>
      </w:r>
      <w:r w:rsidRPr="0085427E" w:rsidR="00D86F58">
        <w:rPr>
          <w:i/>
          <w:iCs/>
        </w:rPr>
        <w:t xml:space="preserve"> for Economic Justice for Permits to Construct New Noncommercial Educational FM Stations Filed in November 2021 Window</w:t>
      </w:r>
      <w:r w:rsidR="00D86F58">
        <w:t>,</w:t>
      </w:r>
      <w:r w:rsidR="008D3FE2">
        <w:t xml:space="preserve"> Memorandum Opinion and Order, 37 FCC </w:t>
      </w:r>
      <w:r w:rsidR="008D3FE2">
        <w:t>Rcd</w:t>
      </w:r>
      <w:r w:rsidR="008D3FE2">
        <w:t xml:space="preserve"> 5327, </w:t>
      </w:r>
      <w:r w:rsidR="004E331F">
        <w:t>533</w:t>
      </w:r>
      <w:r w:rsidR="000F7CDA">
        <w:t>1</w:t>
      </w:r>
      <w:r w:rsidR="004E331F">
        <w:t xml:space="preserve">-34, paras. </w:t>
      </w:r>
      <w:r w:rsidR="000F7CDA">
        <w:t>6-12 (20</w:t>
      </w:r>
      <w:r w:rsidR="00EF394A">
        <w:t>22);</w:t>
      </w:r>
      <w:r w:rsidRPr="009B0A80" w:rsidR="009B0A80">
        <w:t xml:space="preserve"> </w:t>
      </w:r>
      <w:r w:rsidRPr="00563B59">
        <w:rPr>
          <w:i/>
          <w:iCs/>
        </w:rPr>
        <w:t>Red Lake, Minnesota</w:t>
      </w:r>
      <w:r>
        <w:t xml:space="preserve">, Notice of Proposed Rulemaking, </w:t>
      </w:r>
      <w:r w:rsidR="00015157">
        <w:t xml:space="preserve">31 FCC </w:t>
      </w:r>
      <w:r w:rsidR="00015157">
        <w:t>Rcd</w:t>
      </w:r>
      <w:r w:rsidR="00015157">
        <w:t xml:space="preserve"> 11996, </w:t>
      </w:r>
      <w:r w:rsidR="00AC4B68">
        <w:t>11997-98, para. 4 (MB 2016)</w:t>
      </w:r>
      <w:r w:rsidR="00EF394A">
        <w:t>.</w:t>
      </w:r>
    </w:p>
  </w:footnote>
  <w:footnote w:id="27">
    <w:p w:rsidR="00736719" w:rsidP="001F3965" w14:paraId="2105CBA4" w14:textId="082DF9CD">
      <w:pPr>
        <w:pStyle w:val="FootnoteText"/>
        <w:spacing w:after="120"/>
      </w:pPr>
      <w:r>
        <w:rPr>
          <w:rStyle w:val="FootnoteReference"/>
        </w:rPr>
        <w:footnoteRef/>
      </w:r>
      <w:r>
        <w:t xml:space="preserve"> Waiver Request at </w:t>
      </w:r>
      <w:r w:rsidR="005208F8">
        <w:t>6-7.</w:t>
      </w:r>
    </w:p>
  </w:footnote>
  <w:footnote w:id="28">
    <w:p w:rsidR="00481962" w:rsidRPr="00E62EC8" w:rsidP="001F3965" w14:paraId="03928B7C" w14:textId="07B82E7E">
      <w:pPr>
        <w:pStyle w:val="FootnoteText"/>
        <w:spacing w:after="120"/>
      </w:pPr>
      <w:r>
        <w:rPr>
          <w:rStyle w:val="FootnoteReference"/>
        </w:rPr>
        <w:footnoteRef/>
      </w:r>
      <w:r>
        <w:t xml:space="preserve"> </w:t>
      </w:r>
      <w:r w:rsidRPr="00FC5E60" w:rsidR="00E62EC8">
        <w:rPr>
          <w:i/>
          <w:iCs/>
        </w:rPr>
        <w:t>Policies to Promote Rural Radio Service and to Streamline Allotment and Assignment Procedures</w:t>
      </w:r>
      <w:r w:rsidR="00E62EC8">
        <w:t>, First Report and Order and F</w:t>
      </w:r>
      <w:r w:rsidR="00777001">
        <w:t>urther Notice of Proposed Rule</w:t>
      </w:r>
      <w:r w:rsidR="00FD3934">
        <w:t xml:space="preserve">making, 25 FCC </w:t>
      </w:r>
      <w:r w:rsidR="00FD3934">
        <w:t>Rcd</w:t>
      </w:r>
      <w:r w:rsidR="00FD3934">
        <w:t xml:space="preserve"> 1583, 1588, para. 8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54DB" w:rsidP="00620596" w14:paraId="52754411" w14:textId="117A66EA">
    <w:pPr>
      <w:pStyle w:val="Header"/>
      <w:tabs>
        <w:tab w:val="clear" w:pos="4320"/>
        <w:tab w:val="clear" w:pos="8640"/>
      </w:tabs>
      <w:spacing w:before="360" w:line="228" w:lineRule="auto"/>
    </w:pPr>
    <w:r>
      <w:rPr>
        <w:noProof/>
      </w:rPr>
      <w:drawing>
        <wp:anchor distT="0" distB="0" distL="114300" distR="114300" simplePos="0" relativeHeight="251658240" behindDoc="1" locked="0" layoutInCell="1" allowOverlap="1">
          <wp:simplePos x="0" y="0"/>
          <wp:positionH relativeFrom="column">
            <wp:posOffset>-403860</wp:posOffset>
          </wp:positionH>
          <wp:positionV relativeFrom="paragraph">
            <wp:posOffset>0</wp:posOffset>
          </wp:positionV>
          <wp:extent cx="752475" cy="752475"/>
          <wp:effectExtent l="0" t="0" r="0" b="0"/>
          <wp:wrapTight wrapText="bothSides">
            <wp:wrapPolygon>
              <wp:start x="6015" y="0"/>
              <wp:lineTo x="0" y="3828"/>
              <wp:lineTo x="0" y="14765"/>
              <wp:lineTo x="1094" y="18046"/>
              <wp:lineTo x="5468" y="21327"/>
              <wp:lineTo x="6015" y="21327"/>
              <wp:lineTo x="15311" y="21327"/>
              <wp:lineTo x="15858" y="21327"/>
              <wp:lineTo x="20233" y="18046"/>
              <wp:lineTo x="21327" y="14765"/>
              <wp:lineTo x="21327" y="3828"/>
              <wp:lineTo x="15311" y="0"/>
              <wp:lineTo x="60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596">
      <w:rPr>
        <w:rFonts w:ascii="CG Times (W1)" w:hAnsi="CG Times (W1)"/>
        <w:sz w:val="28"/>
      </w:rPr>
      <w:t xml:space="preserve">                         </w:t>
    </w:r>
    <w:r>
      <w:rPr>
        <w:rFonts w:ascii="CG Times (W1)" w:hAnsi="CG Times (W1)"/>
        <w:sz w:val="28"/>
      </w:rPr>
      <w:t>Federal Communications Commission</w:t>
    </w:r>
  </w:p>
  <w:p w:rsidR="002B54DB" w:rsidP="001333F1" w14:paraId="77C1137E" w14:textId="77777777">
    <w:pPr>
      <w:tabs>
        <w:tab w:val="center" w:pos="4680"/>
        <w:tab w:val="left" w:pos="8400"/>
      </w:tabs>
    </w:pPr>
    <w:r>
      <w:rPr>
        <w:rFonts w:ascii="CG Times (W1)" w:hAnsi="CG Times (W1)"/>
        <w:sz w:val="28"/>
      </w:rPr>
      <w:tab/>
    </w:r>
    <w:r>
      <w:rPr>
        <w:rFonts w:ascii="CG Times (W1)" w:hAnsi="CG Times (W1)"/>
        <w:sz w:val="28"/>
      </w:rPr>
      <w:t>Washington, D.C. 20554</w:t>
    </w:r>
    <w:r>
      <w:rPr>
        <w:rFonts w:ascii="CG Times (W1)" w:hAnsi="CG Times (W1)"/>
        <w:sz w:val="28"/>
      </w:rPr>
      <w:tab/>
    </w:r>
  </w:p>
  <w:p w:rsidR="002B54DB" w14:paraId="4515C860" w14:textId="77777777">
    <w:pPr>
      <w:pStyle w:val="Header"/>
      <w:tabs>
        <w:tab w:val="clear" w:pos="4320"/>
      </w:tabs>
      <w:jc w:val="center"/>
      <w:rPr>
        <w:sz w:val="22"/>
      </w:rPr>
    </w:pPr>
  </w:p>
  <w:p w:rsidR="002B54DB" w14:paraId="6FB4F199" w14:textId="77777777">
    <w:pPr>
      <w:pStyle w:val="Header"/>
      <w:tabs>
        <w:tab w:val="clear" w:pos="4320"/>
      </w:tabs>
      <w:jc w:val="center"/>
      <w:rPr>
        <w:sz w:val="22"/>
      </w:rPr>
    </w:pPr>
  </w:p>
  <w:p w:rsidR="002B54DB" w14:paraId="0BA57BE9" w14:textId="607DE370">
    <w:pPr>
      <w:pStyle w:val="Header"/>
      <w:tabs>
        <w:tab w:val="clear" w:pos="4320"/>
      </w:tabs>
      <w:jc w:val="center"/>
      <w:rPr>
        <w:sz w:val="24"/>
      </w:rPr>
    </w:pPr>
    <w:r>
      <w:rPr>
        <w:sz w:val="24"/>
      </w:rPr>
      <w:fldChar w:fldCharType="begin" w:fldLock="1"/>
    </w:r>
    <w:r>
      <w:rPr>
        <w:sz w:val="24"/>
      </w:rPr>
      <w:instrText xml:space="preserve"> TIME \@ "MMMM d, yyyy" </w:instrText>
    </w:r>
    <w:r>
      <w:rPr>
        <w:sz w:val="24"/>
      </w:rPr>
      <w:fldChar w:fldCharType="separate"/>
    </w:r>
    <w:r w:rsidR="001C44CB">
      <w:rPr>
        <w:noProof/>
        <w:sz w:val="24"/>
      </w:rPr>
      <w:t>June 16, 2025</w:t>
    </w:r>
    <w:r>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6"/>
    <w:rsid w:val="00015157"/>
    <w:rsid w:val="0001554B"/>
    <w:rsid w:val="00020C8E"/>
    <w:rsid w:val="000215B8"/>
    <w:rsid w:val="00021EC5"/>
    <w:rsid w:val="0002209C"/>
    <w:rsid w:val="0002215E"/>
    <w:rsid w:val="0002533B"/>
    <w:rsid w:val="000266B6"/>
    <w:rsid w:val="00035EA3"/>
    <w:rsid w:val="00064935"/>
    <w:rsid w:val="00096AED"/>
    <w:rsid w:val="000C3D10"/>
    <w:rsid w:val="000C6FCF"/>
    <w:rsid w:val="000D06D9"/>
    <w:rsid w:val="000D0AC1"/>
    <w:rsid w:val="000F065D"/>
    <w:rsid w:val="000F289D"/>
    <w:rsid w:val="000F388E"/>
    <w:rsid w:val="000F7CDA"/>
    <w:rsid w:val="001030DC"/>
    <w:rsid w:val="00105AA7"/>
    <w:rsid w:val="00106848"/>
    <w:rsid w:val="001220F9"/>
    <w:rsid w:val="001333F1"/>
    <w:rsid w:val="00140409"/>
    <w:rsid w:val="00140A90"/>
    <w:rsid w:val="00163540"/>
    <w:rsid w:val="00163D96"/>
    <w:rsid w:val="00165FC0"/>
    <w:rsid w:val="00193643"/>
    <w:rsid w:val="001953E6"/>
    <w:rsid w:val="001A5B93"/>
    <w:rsid w:val="001C44CB"/>
    <w:rsid w:val="001E2688"/>
    <w:rsid w:val="001F358C"/>
    <w:rsid w:val="001F3965"/>
    <w:rsid w:val="00200336"/>
    <w:rsid w:val="00204CE3"/>
    <w:rsid w:val="0022324C"/>
    <w:rsid w:val="002435ED"/>
    <w:rsid w:val="00243F41"/>
    <w:rsid w:val="00251607"/>
    <w:rsid w:val="00270998"/>
    <w:rsid w:val="00292061"/>
    <w:rsid w:val="00292223"/>
    <w:rsid w:val="002A0930"/>
    <w:rsid w:val="002A6398"/>
    <w:rsid w:val="002B0940"/>
    <w:rsid w:val="002B54DB"/>
    <w:rsid w:val="002D1F47"/>
    <w:rsid w:val="002E552D"/>
    <w:rsid w:val="002E6DA3"/>
    <w:rsid w:val="003018CF"/>
    <w:rsid w:val="00355B4F"/>
    <w:rsid w:val="00364623"/>
    <w:rsid w:val="0037266E"/>
    <w:rsid w:val="0037656A"/>
    <w:rsid w:val="00384E45"/>
    <w:rsid w:val="003855DE"/>
    <w:rsid w:val="0038616C"/>
    <w:rsid w:val="003E536A"/>
    <w:rsid w:val="00423A4B"/>
    <w:rsid w:val="004357A6"/>
    <w:rsid w:val="004406E6"/>
    <w:rsid w:val="004464A9"/>
    <w:rsid w:val="004751AA"/>
    <w:rsid w:val="004806CF"/>
    <w:rsid w:val="00480D72"/>
    <w:rsid w:val="00481962"/>
    <w:rsid w:val="004A5207"/>
    <w:rsid w:val="004B0082"/>
    <w:rsid w:val="004D3A7B"/>
    <w:rsid w:val="004D3B53"/>
    <w:rsid w:val="004E331F"/>
    <w:rsid w:val="004F5B0C"/>
    <w:rsid w:val="00504FB3"/>
    <w:rsid w:val="005147AB"/>
    <w:rsid w:val="00517499"/>
    <w:rsid w:val="005208F8"/>
    <w:rsid w:val="00521A40"/>
    <w:rsid w:val="00534A66"/>
    <w:rsid w:val="00534D82"/>
    <w:rsid w:val="00547049"/>
    <w:rsid w:val="005636A9"/>
    <w:rsid w:val="00563B59"/>
    <w:rsid w:val="005669D7"/>
    <w:rsid w:val="00573F6B"/>
    <w:rsid w:val="005759DC"/>
    <w:rsid w:val="00584A5B"/>
    <w:rsid w:val="005951E7"/>
    <w:rsid w:val="0059522F"/>
    <w:rsid w:val="005B4277"/>
    <w:rsid w:val="005B4FB2"/>
    <w:rsid w:val="005E08D6"/>
    <w:rsid w:val="005F651A"/>
    <w:rsid w:val="00606C24"/>
    <w:rsid w:val="00617BAA"/>
    <w:rsid w:val="00620560"/>
    <w:rsid w:val="00620596"/>
    <w:rsid w:val="00630755"/>
    <w:rsid w:val="00646C73"/>
    <w:rsid w:val="006508B3"/>
    <w:rsid w:val="006548F2"/>
    <w:rsid w:val="006567A5"/>
    <w:rsid w:val="00661A75"/>
    <w:rsid w:val="006732FF"/>
    <w:rsid w:val="006813FD"/>
    <w:rsid w:val="00697C91"/>
    <w:rsid w:val="006D4FEA"/>
    <w:rsid w:val="006E493E"/>
    <w:rsid w:val="006F33CA"/>
    <w:rsid w:val="00705D87"/>
    <w:rsid w:val="00726FAD"/>
    <w:rsid w:val="007312EE"/>
    <w:rsid w:val="00736719"/>
    <w:rsid w:val="00740A93"/>
    <w:rsid w:val="0074372E"/>
    <w:rsid w:val="00745B9D"/>
    <w:rsid w:val="00765194"/>
    <w:rsid w:val="00777001"/>
    <w:rsid w:val="007A0F40"/>
    <w:rsid w:val="007E1680"/>
    <w:rsid w:val="007E7A06"/>
    <w:rsid w:val="007F3162"/>
    <w:rsid w:val="0080383A"/>
    <w:rsid w:val="00812AE6"/>
    <w:rsid w:val="00813D7A"/>
    <w:rsid w:val="0082240B"/>
    <w:rsid w:val="00823C96"/>
    <w:rsid w:val="00833FCA"/>
    <w:rsid w:val="00835B66"/>
    <w:rsid w:val="00847702"/>
    <w:rsid w:val="0085427E"/>
    <w:rsid w:val="008567CB"/>
    <w:rsid w:val="00856B24"/>
    <w:rsid w:val="00862025"/>
    <w:rsid w:val="00867EC4"/>
    <w:rsid w:val="008728BD"/>
    <w:rsid w:val="00882627"/>
    <w:rsid w:val="00884DF9"/>
    <w:rsid w:val="008B0156"/>
    <w:rsid w:val="008B144C"/>
    <w:rsid w:val="008C3766"/>
    <w:rsid w:val="008D3FE2"/>
    <w:rsid w:val="008D62FC"/>
    <w:rsid w:val="008E5075"/>
    <w:rsid w:val="00907CD4"/>
    <w:rsid w:val="009102E2"/>
    <w:rsid w:val="00922BB1"/>
    <w:rsid w:val="00946915"/>
    <w:rsid w:val="00954C4C"/>
    <w:rsid w:val="00954E7B"/>
    <w:rsid w:val="00961184"/>
    <w:rsid w:val="0096371D"/>
    <w:rsid w:val="00974E8C"/>
    <w:rsid w:val="00976A79"/>
    <w:rsid w:val="0097792E"/>
    <w:rsid w:val="009B0A80"/>
    <w:rsid w:val="009B1F21"/>
    <w:rsid w:val="009C0AA8"/>
    <w:rsid w:val="009E76F9"/>
    <w:rsid w:val="009F7347"/>
    <w:rsid w:val="00A04BB5"/>
    <w:rsid w:val="00A05786"/>
    <w:rsid w:val="00A1620C"/>
    <w:rsid w:val="00A47E1A"/>
    <w:rsid w:val="00A6330A"/>
    <w:rsid w:val="00A7462B"/>
    <w:rsid w:val="00A81B38"/>
    <w:rsid w:val="00A8508B"/>
    <w:rsid w:val="00A864AE"/>
    <w:rsid w:val="00A876C9"/>
    <w:rsid w:val="00AB54DC"/>
    <w:rsid w:val="00AC4B68"/>
    <w:rsid w:val="00AF573A"/>
    <w:rsid w:val="00B02A23"/>
    <w:rsid w:val="00B048F4"/>
    <w:rsid w:val="00B1023C"/>
    <w:rsid w:val="00B30907"/>
    <w:rsid w:val="00B55D10"/>
    <w:rsid w:val="00B76804"/>
    <w:rsid w:val="00BA7D45"/>
    <w:rsid w:val="00BB6048"/>
    <w:rsid w:val="00BE2244"/>
    <w:rsid w:val="00C04F52"/>
    <w:rsid w:val="00C2435E"/>
    <w:rsid w:val="00C44F2E"/>
    <w:rsid w:val="00C575E4"/>
    <w:rsid w:val="00C66AB7"/>
    <w:rsid w:val="00C66CEE"/>
    <w:rsid w:val="00C73E83"/>
    <w:rsid w:val="00C928BE"/>
    <w:rsid w:val="00C9305A"/>
    <w:rsid w:val="00C963C1"/>
    <w:rsid w:val="00C9743D"/>
    <w:rsid w:val="00CA2090"/>
    <w:rsid w:val="00CC58C9"/>
    <w:rsid w:val="00CC7292"/>
    <w:rsid w:val="00CC7516"/>
    <w:rsid w:val="00CD492B"/>
    <w:rsid w:val="00D03836"/>
    <w:rsid w:val="00D16E36"/>
    <w:rsid w:val="00D25432"/>
    <w:rsid w:val="00D41FF6"/>
    <w:rsid w:val="00D436BE"/>
    <w:rsid w:val="00D56D4B"/>
    <w:rsid w:val="00D739B7"/>
    <w:rsid w:val="00D751CB"/>
    <w:rsid w:val="00D75554"/>
    <w:rsid w:val="00D75DC4"/>
    <w:rsid w:val="00D76C27"/>
    <w:rsid w:val="00D86F58"/>
    <w:rsid w:val="00DA22F1"/>
    <w:rsid w:val="00DA55F0"/>
    <w:rsid w:val="00DA5AC8"/>
    <w:rsid w:val="00DB4653"/>
    <w:rsid w:val="00DC1F62"/>
    <w:rsid w:val="00DC5F8E"/>
    <w:rsid w:val="00E25D5F"/>
    <w:rsid w:val="00E366FA"/>
    <w:rsid w:val="00E62EC8"/>
    <w:rsid w:val="00E70755"/>
    <w:rsid w:val="00E91F68"/>
    <w:rsid w:val="00E95914"/>
    <w:rsid w:val="00EB26AD"/>
    <w:rsid w:val="00ED0126"/>
    <w:rsid w:val="00EE0ECD"/>
    <w:rsid w:val="00EE7188"/>
    <w:rsid w:val="00EE7278"/>
    <w:rsid w:val="00EF0FC0"/>
    <w:rsid w:val="00EF394A"/>
    <w:rsid w:val="00F01F01"/>
    <w:rsid w:val="00F04181"/>
    <w:rsid w:val="00F25D68"/>
    <w:rsid w:val="00F32270"/>
    <w:rsid w:val="00F32DE4"/>
    <w:rsid w:val="00F34A43"/>
    <w:rsid w:val="00F42DD4"/>
    <w:rsid w:val="00F5491E"/>
    <w:rsid w:val="00F67D9B"/>
    <w:rsid w:val="00F67E27"/>
    <w:rsid w:val="00F95131"/>
    <w:rsid w:val="00FA3BBF"/>
    <w:rsid w:val="00FA4C33"/>
    <w:rsid w:val="00FA4C72"/>
    <w:rsid w:val="00FB62B3"/>
    <w:rsid w:val="00FC5E60"/>
    <w:rsid w:val="00FD39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5D49B6"/>
  <w15:chartTrackingRefBased/>
  <w15:docId w15:val="{B83FE492-F2E1-4710-800D-B3650297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2,Footnote Text Char1 Char1,Footnote Text Char Char Char,Footnote Text Char1 Char Char Char,Footnote Text Char Char Char Char Char,Footnote Text Char2 Char Char Char Char Char,Footnote Text Char4,Footnote Text Char1 Char"/>
    <w:basedOn w:val="Normal"/>
    <w:link w:val="FootnoteTextChar"/>
    <w:unhideWhenUsed/>
    <w:rsid w:val="001E2688"/>
  </w:style>
  <w:style w:type="character" w:customStyle="1" w:styleId="FootnoteTextChar">
    <w:name w:val="Footnote Text Char"/>
    <w:aliases w:val="Footnote Text Char2 Char1,Footnote Text Char1 Char1 Char1,Footnote Text Char Char Char Char1,Footnote Text Char1 Char Char Char Char1,Footnote Text Char Char Char Char Char Char1,Footnote Text Char2 Char Char Char Char Char Char1"/>
    <w:basedOn w:val="DefaultParagraphFont"/>
    <w:link w:val="FootnoteText"/>
    <w:rsid w:val="001E2688"/>
  </w:style>
  <w:style w:type="character" w:styleId="FootnoteReference">
    <w:name w:val="footnote reference"/>
    <w:aliases w:val="Style 12,(NECG) Footnote Reference,Appel note de bas de p,Style 124,FR,Footnote Reference/,Style 13,Style 17,Style 3,Style 4,Style 6,fr,o,Footnote Reference1,Style 34,Style 7,Style 9,-E Funotenzeichen,A,Ref,Style 1,Style 20,callout"/>
    <w:basedOn w:val="DefaultParagraphFont"/>
    <w:unhideWhenUsed/>
    <w:rsid w:val="001E2688"/>
    <w:rPr>
      <w:vertAlign w:val="superscript"/>
    </w:rPr>
  </w:style>
  <w:style w:type="character" w:customStyle="1" w:styleId="FootnoteTextChar1">
    <w:name w:val="Footnote Text Char1"/>
    <w:aliases w:val="Footnote Text Char2 Char,Footnote Text Char1 Char1 Char,Footnote Text Char Char Char Char,Footnote Text Char1 Char Char Char Char,Footnote Text Char Char Char Char Char Char,Footnote Text Char2 Char Char Char Char Char Char"/>
    <w:basedOn w:val="DefaultParagraphFont"/>
    <w:rsid w:val="00521A40"/>
    <w:rPr>
      <w:sz w:val="22"/>
      <w:lang w:val="en-US" w:eastAsia="en-US" w:bidi="ar-SA"/>
    </w:rPr>
  </w:style>
  <w:style w:type="character" w:customStyle="1" w:styleId="FooterChar">
    <w:name w:val="Footer Char"/>
    <w:basedOn w:val="DefaultParagraphFont"/>
    <w:link w:val="Footer"/>
    <w:uiPriority w:val="99"/>
    <w:rsid w:val="0025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top.docjs.prev_hit(38)" TargetMode="External" /><Relationship Id="rId11" Type="http://schemas.openxmlformats.org/officeDocument/2006/relationships/hyperlink" Target="javascript:top.docjs.next_hit(38)"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javascript:top.docjs.prev_hit(36)" TargetMode="External" /><Relationship Id="rId6" Type="http://schemas.openxmlformats.org/officeDocument/2006/relationships/image" Target="media/image1.png" /><Relationship Id="rId7" Type="http://schemas.openxmlformats.org/officeDocument/2006/relationships/hyperlink" Target="javascript:top.docjs.next_hit(36)" TargetMode="External" /><Relationship Id="rId8" Type="http://schemas.openxmlformats.org/officeDocument/2006/relationships/hyperlink" Target="javascript:top.docjs.prev_hit(37)" TargetMode="External" /><Relationship Id="rId9" Type="http://schemas.openxmlformats.org/officeDocument/2006/relationships/hyperlink" Target="javascript:top.docjs.next_hit(37)"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Letter.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