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4C2EE3" w14:paraId="34989494"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5C88CC21" w14:textId="77777777">
      <w:pPr>
        <w:pStyle w:val="StyleBoldCentered"/>
      </w:pPr>
      <w:r>
        <w:t>F</w:t>
      </w:r>
      <w:r>
        <w:rPr>
          <w:caps w:val="0"/>
        </w:rPr>
        <w:t>ederal Communications Commission</w:t>
      </w:r>
    </w:p>
    <w:p w:rsidR="004C2EE3" w:rsidP="00096D8C" w14:paraId="070BEA14" w14:textId="77777777">
      <w:pPr>
        <w:pStyle w:val="StyleBoldCentered"/>
      </w:pPr>
      <w:r>
        <w:rPr>
          <w:caps w:val="0"/>
        </w:rPr>
        <w:t>Washington, D.C. 20554</w:t>
      </w:r>
    </w:p>
    <w:p w:rsidR="004C2EE3" w:rsidP="0070224F" w14:paraId="6F1FBDCE" w14:textId="77777777"/>
    <w:p w:rsidR="004C2EE3" w:rsidP="0070224F" w14:paraId="2FC17F0C" w14:textId="77777777"/>
    <w:tbl>
      <w:tblPr>
        <w:tblW w:w="0" w:type="auto"/>
        <w:tblLayout w:type="fixed"/>
        <w:tblLook w:val="0000"/>
      </w:tblPr>
      <w:tblGrid>
        <w:gridCol w:w="4698"/>
        <w:gridCol w:w="630"/>
        <w:gridCol w:w="4248"/>
      </w:tblGrid>
      <w:tr w14:paraId="47AF1F26" w14:textId="77777777">
        <w:tblPrEx>
          <w:tblW w:w="0" w:type="auto"/>
          <w:tblLayout w:type="fixed"/>
          <w:tblLook w:val="0000"/>
        </w:tblPrEx>
        <w:tc>
          <w:tcPr>
            <w:tcW w:w="4698" w:type="dxa"/>
          </w:tcPr>
          <w:p w:rsidR="004C2EE3" w14:paraId="2D33C8E6" w14:textId="77777777">
            <w:pPr>
              <w:tabs>
                <w:tab w:val="center" w:pos="4680"/>
              </w:tabs>
              <w:suppressAutoHyphens/>
              <w:rPr>
                <w:spacing w:val="-2"/>
              </w:rPr>
            </w:pPr>
            <w:r>
              <w:rPr>
                <w:spacing w:val="-2"/>
              </w:rPr>
              <w:t>In the Matter of</w:t>
            </w:r>
          </w:p>
          <w:p w:rsidR="004C2EE3" w14:paraId="36AEFBB8" w14:textId="77777777">
            <w:pPr>
              <w:tabs>
                <w:tab w:val="center" w:pos="4680"/>
              </w:tabs>
              <w:suppressAutoHyphens/>
              <w:rPr>
                <w:spacing w:val="-2"/>
              </w:rPr>
            </w:pPr>
          </w:p>
          <w:p w:rsidR="004C2EE3" w:rsidP="007115F7" w14:paraId="369D28B7" w14:textId="77777777">
            <w:pPr>
              <w:tabs>
                <w:tab w:val="center" w:pos="4680"/>
              </w:tabs>
              <w:suppressAutoHyphens/>
              <w:rPr>
                <w:spacing w:val="-2"/>
              </w:rPr>
            </w:pPr>
            <w:r>
              <w:rPr>
                <w:spacing w:val="-2"/>
              </w:rPr>
              <w:t xml:space="preserve">Application of Telesaurus Holdings GB LLC and Progeny LMS, LLC </w:t>
            </w:r>
          </w:p>
          <w:p w:rsidR="00263C16" w:rsidP="007115F7" w14:paraId="2FC67719" w14:textId="77777777">
            <w:pPr>
              <w:tabs>
                <w:tab w:val="center" w:pos="4680"/>
              </w:tabs>
              <w:suppressAutoHyphens/>
              <w:rPr>
                <w:spacing w:val="-2"/>
              </w:rPr>
            </w:pPr>
          </w:p>
          <w:p w:rsidR="00263C16" w:rsidRPr="007115F7" w:rsidP="007115F7" w14:paraId="71FB855A" w14:textId="45AABAA0">
            <w:pPr>
              <w:tabs>
                <w:tab w:val="center" w:pos="4680"/>
              </w:tabs>
              <w:suppressAutoHyphens/>
              <w:rPr>
                <w:spacing w:val="-2"/>
              </w:rPr>
            </w:pPr>
            <w:r>
              <w:rPr>
                <w:spacing w:val="-2"/>
              </w:rPr>
              <w:t xml:space="preserve">For Consent to Assignment of </w:t>
            </w:r>
            <w:r w:rsidR="00ED12FC">
              <w:rPr>
                <w:spacing w:val="-2"/>
              </w:rPr>
              <w:t>Licenses</w:t>
            </w:r>
          </w:p>
        </w:tc>
        <w:tc>
          <w:tcPr>
            <w:tcW w:w="630" w:type="dxa"/>
          </w:tcPr>
          <w:p w:rsidR="004C2EE3" w14:paraId="5937C0C9" w14:textId="77777777">
            <w:pPr>
              <w:tabs>
                <w:tab w:val="center" w:pos="4680"/>
              </w:tabs>
              <w:suppressAutoHyphens/>
              <w:rPr>
                <w:b/>
                <w:spacing w:val="-2"/>
              </w:rPr>
            </w:pPr>
            <w:r>
              <w:rPr>
                <w:b/>
                <w:spacing w:val="-2"/>
              </w:rPr>
              <w:t>)</w:t>
            </w:r>
          </w:p>
          <w:p w:rsidR="004C2EE3" w14:paraId="4AEBB8DC" w14:textId="77777777">
            <w:pPr>
              <w:tabs>
                <w:tab w:val="center" w:pos="4680"/>
              </w:tabs>
              <w:suppressAutoHyphens/>
              <w:rPr>
                <w:b/>
                <w:spacing w:val="-2"/>
              </w:rPr>
            </w:pPr>
            <w:r>
              <w:rPr>
                <w:b/>
                <w:spacing w:val="-2"/>
              </w:rPr>
              <w:t>)</w:t>
            </w:r>
          </w:p>
          <w:p w:rsidR="004C2EE3" w14:paraId="501FA198" w14:textId="77777777">
            <w:pPr>
              <w:tabs>
                <w:tab w:val="center" w:pos="4680"/>
              </w:tabs>
              <w:suppressAutoHyphens/>
              <w:rPr>
                <w:b/>
                <w:spacing w:val="-2"/>
              </w:rPr>
            </w:pPr>
            <w:r>
              <w:rPr>
                <w:b/>
                <w:spacing w:val="-2"/>
              </w:rPr>
              <w:t>)</w:t>
            </w:r>
          </w:p>
          <w:p w:rsidR="004C2EE3" w14:paraId="68871D9B" w14:textId="77777777">
            <w:pPr>
              <w:tabs>
                <w:tab w:val="center" w:pos="4680"/>
              </w:tabs>
              <w:suppressAutoHyphens/>
              <w:rPr>
                <w:b/>
                <w:spacing w:val="-2"/>
              </w:rPr>
            </w:pPr>
            <w:r>
              <w:rPr>
                <w:b/>
                <w:spacing w:val="-2"/>
              </w:rPr>
              <w:t>)</w:t>
            </w:r>
          </w:p>
          <w:p w:rsidR="004C2EE3" w14:paraId="2287B7E6" w14:textId="77777777">
            <w:pPr>
              <w:tabs>
                <w:tab w:val="center" w:pos="4680"/>
              </w:tabs>
              <w:suppressAutoHyphens/>
              <w:rPr>
                <w:b/>
                <w:spacing w:val="-2"/>
              </w:rPr>
            </w:pPr>
            <w:r>
              <w:rPr>
                <w:b/>
                <w:spacing w:val="-2"/>
              </w:rPr>
              <w:t>)</w:t>
            </w:r>
          </w:p>
          <w:p w:rsidR="004C2EE3" w:rsidP="00555349" w14:paraId="67523B73" w14:textId="1A223022">
            <w:pPr>
              <w:tabs>
                <w:tab w:val="center" w:pos="4680"/>
              </w:tabs>
              <w:suppressAutoHyphens/>
              <w:rPr>
                <w:spacing w:val="-2"/>
              </w:rPr>
            </w:pPr>
            <w:r>
              <w:rPr>
                <w:b/>
                <w:spacing w:val="-2"/>
              </w:rPr>
              <w:t>)</w:t>
            </w:r>
          </w:p>
        </w:tc>
        <w:tc>
          <w:tcPr>
            <w:tcW w:w="4248" w:type="dxa"/>
          </w:tcPr>
          <w:p w:rsidR="004C2EE3" w14:paraId="58BFA6C8" w14:textId="4C637FAF">
            <w:pPr>
              <w:tabs>
                <w:tab w:val="center" w:pos="4680"/>
              </w:tabs>
              <w:suppressAutoHyphens/>
              <w:rPr>
                <w:spacing w:val="-2"/>
              </w:rPr>
            </w:pPr>
          </w:p>
          <w:p w:rsidR="004C2EE3" w14:paraId="4B6E3819" w14:textId="202647CD">
            <w:pPr>
              <w:pStyle w:val="TOAHeading"/>
              <w:tabs>
                <w:tab w:val="center" w:pos="4680"/>
                <w:tab w:val="clear" w:pos="9360"/>
              </w:tabs>
              <w:rPr>
                <w:spacing w:val="-2"/>
              </w:rPr>
            </w:pPr>
          </w:p>
          <w:p w:rsidR="004C2EE3" w14:paraId="5E6AF112" w14:textId="64E77EBB">
            <w:pPr>
              <w:tabs>
                <w:tab w:val="center" w:pos="4680"/>
              </w:tabs>
              <w:suppressAutoHyphens/>
              <w:rPr>
                <w:spacing w:val="-2"/>
              </w:rPr>
            </w:pPr>
            <w:r>
              <w:rPr>
                <w:spacing w:val="-2"/>
              </w:rPr>
              <w:t>ULS File No. 0011</w:t>
            </w:r>
            <w:r w:rsidR="006C03D4">
              <w:rPr>
                <w:spacing w:val="-2"/>
              </w:rPr>
              <w:t>022019</w:t>
            </w:r>
          </w:p>
        </w:tc>
      </w:tr>
    </w:tbl>
    <w:p w:rsidR="004C2EE3" w:rsidP="0070224F" w14:paraId="244AC5F4" w14:textId="77777777"/>
    <w:p w:rsidR="00841AB1" w:rsidP="00F021FA" w14:paraId="6398F09D" w14:textId="7E26EB62">
      <w:pPr>
        <w:pStyle w:val="StyleBoldCentered"/>
      </w:pPr>
      <w:r>
        <w:t>MEMORANDUM OPINION AND ORDER</w:t>
      </w:r>
    </w:p>
    <w:p w:rsidR="004C2EE3" w14:paraId="7D53A21B" w14:textId="77777777">
      <w:pPr>
        <w:tabs>
          <w:tab w:val="left" w:pos="-720"/>
        </w:tabs>
        <w:suppressAutoHyphens/>
        <w:spacing w:line="227" w:lineRule="auto"/>
        <w:rPr>
          <w:spacing w:val="-2"/>
        </w:rPr>
      </w:pPr>
    </w:p>
    <w:p w:rsidR="004C2EE3" w:rsidP="00133F79" w14:paraId="0C7ED54E" w14:textId="02C40C6B">
      <w:pPr>
        <w:tabs>
          <w:tab w:val="left" w:pos="720"/>
          <w:tab w:val="right" w:pos="9360"/>
        </w:tabs>
        <w:suppressAutoHyphens/>
        <w:spacing w:line="227" w:lineRule="auto"/>
        <w:rPr>
          <w:spacing w:val="-2"/>
        </w:rPr>
      </w:pPr>
      <w:r>
        <w:rPr>
          <w:b/>
          <w:spacing w:val="-2"/>
        </w:rPr>
        <w:t xml:space="preserve">Adopted:  </w:t>
      </w:r>
      <w:r w:rsidR="008A17AC">
        <w:rPr>
          <w:b/>
          <w:spacing w:val="-2"/>
        </w:rPr>
        <w:t>June 20, 2025</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8A17AC">
        <w:rPr>
          <w:b/>
          <w:spacing w:val="-2"/>
        </w:rPr>
        <w:t>June 20</w:t>
      </w:r>
      <w:r w:rsidR="00C50E91">
        <w:rPr>
          <w:b/>
          <w:spacing w:val="-2"/>
        </w:rPr>
        <w:t>,</w:t>
      </w:r>
      <w:r w:rsidR="008A17AC">
        <w:rPr>
          <w:b/>
          <w:spacing w:val="-2"/>
        </w:rPr>
        <w:t xml:space="preserve"> 2025</w:t>
      </w:r>
    </w:p>
    <w:p w:rsidR="00822CE0" w14:paraId="78C9CF99" w14:textId="77777777"/>
    <w:p w:rsidR="004C2EE3" w14:paraId="712E1E9C" w14:textId="4A250227">
      <w:pPr>
        <w:rPr>
          <w:spacing w:val="-2"/>
        </w:rPr>
      </w:pPr>
      <w:r>
        <w:t xml:space="preserve">By </w:t>
      </w:r>
      <w:r w:rsidR="004E4A22">
        <w:t>the</w:t>
      </w:r>
      <w:r w:rsidR="002A2D2E">
        <w:t xml:space="preserve"> </w:t>
      </w:r>
      <w:r w:rsidRPr="007925F5" w:rsidR="007925F5">
        <w:rPr>
          <w:spacing w:val="-2"/>
        </w:rPr>
        <w:t>Chief, Mobility Division, Wireless Telecommunications Bureau</w:t>
      </w:r>
      <w:r w:rsidR="008A0F59">
        <w:rPr>
          <w:spacing w:val="-2"/>
        </w:rPr>
        <w:t>:</w:t>
      </w:r>
    </w:p>
    <w:p w:rsidR="00822CE0" w14:paraId="11593498" w14:textId="77777777">
      <w:pPr>
        <w:rPr>
          <w:spacing w:val="-2"/>
        </w:rPr>
      </w:pPr>
    </w:p>
    <w:p w:rsidR="00294D08" w:rsidRPr="00294D08" w:rsidP="00294D08" w14:paraId="63A98E70" w14:textId="0B86A18D">
      <w:pPr>
        <w:pStyle w:val="Heading1"/>
      </w:pPr>
      <w:r>
        <w:t xml:space="preserve">Introduction </w:t>
      </w:r>
    </w:p>
    <w:p w:rsidR="00E270B2" w:rsidP="00E270B2" w14:paraId="3221227E" w14:textId="6EB9F630">
      <w:pPr>
        <w:pStyle w:val="ParaNum"/>
      </w:pPr>
      <w:r>
        <w:t xml:space="preserve">In this Memorandum </w:t>
      </w:r>
      <w:r w:rsidR="00BD78AD">
        <w:t>Opinion and Order</w:t>
      </w:r>
      <w:r w:rsidR="00655376">
        <w:t xml:space="preserve"> (Order)</w:t>
      </w:r>
      <w:r w:rsidR="00BD78AD">
        <w:t xml:space="preserve">, we consider the </w:t>
      </w:r>
      <w:r w:rsidR="00663859">
        <w:t xml:space="preserve">amended </w:t>
      </w:r>
      <w:r w:rsidR="00BD78AD">
        <w:t>application</w:t>
      </w:r>
      <w:r>
        <w:rPr>
          <w:rStyle w:val="FootnoteReference"/>
        </w:rPr>
        <w:footnoteReference w:id="3"/>
      </w:r>
      <w:r w:rsidR="00BD78AD">
        <w:t xml:space="preserve"> </w:t>
      </w:r>
      <w:r w:rsidR="00D61077">
        <w:t>of Telesaurus Holdings GB LLC (Telesaurus</w:t>
      </w:r>
      <w:r w:rsidR="00814DDA">
        <w:t>)</w:t>
      </w:r>
      <w:r w:rsidR="002E0287">
        <w:t xml:space="preserve"> </w:t>
      </w:r>
      <w:r w:rsidR="00C5065E">
        <w:t xml:space="preserve">and </w:t>
      </w:r>
      <w:r w:rsidR="00D61077">
        <w:t>Progeny LMS, LLC (Progeny</w:t>
      </w:r>
      <w:r w:rsidR="000767BD">
        <w:t xml:space="preserve">, and </w:t>
      </w:r>
      <w:r w:rsidR="00814DDA">
        <w:t xml:space="preserve">together </w:t>
      </w:r>
      <w:r w:rsidR="000767BD">
        <w:t>with Telesaurus</w:t>
      </w:r>
      <w:r w:rsidR="00DF7B7B">
        <w:t>, Applicants</w:t>
      </w:r>
      <w:r w:rsidR="00D61077">
        <w:t xml:space="preserve">) for </w:t>
      </w:r>
      <w:r w:rsidR="00A55957">
        <w:t xml:space="preserve">consent to </w:t>
      </w:r>
      <w:r w:rsidR="00663859">
        <w:t>assign</w:t>
      </w:r>
      <w:r w:rsidR="00A55957">
        <w:t xml:space="preserve"> </w:t>
      </w:r>
      <w:r w:rsidR="00A55957">
        <w:t>Telesaurus’s</w:t>
      </w:r>
      <w:r w:rsidR="00A55957">
        <w:t xml:space="preserve"> </w:t>
      </w:r>
      <w:r w:rsidR="00A55957">
        <w:t>Multilateration</w:t>
      </w:r>
      <w:r w:rsidR="00A55957">
        <w:t xml:space="preserve"> Location and Monitoring Service (M-LMS) lice</w:t>
      </w:r>
      <w:r w:rsidR="00B3661C">
        <w:t xml:space="preserve">nses to Progeny. </w:t>
      </w:r>
      <w:r w:rsidR="00D662CD">
        <w:t xml:space="preserve"> </w:t>
      </w:r>
      <w:r w:rsidR="004D2F06">
        <w:t>F</w:t>
      </w:r>
      <w:r w:rsidR="00D367BC">
        <w:t xml:space="preserve">or the reasons discussed below, </w:t>
      </w:r>
      <w:r w:rsidR="007A358A">
        <w:t xml:space="preserve">and in light of the Applicants’ removal of </w:t>
      </w:r>
      <w:r w:rsidR="00F81DF8">
        <w:t xml:space="preserve">the terminated licenses from their application, </w:t>
      </w:r>
      <w:r w:rsidR="00D367BC">
        <w:t xml:space="preserve">we </w:t>
      </w:r>
      <w:r w:rsidR="0038765E">
        <w:t xml:space="preserve">grant the </w:t>
      </w:r>
      <w:r w:rsidR="006619AB">
        <w:t xml:space="preserve">Applicants’ request for </w:t>
      </w:r>
      <w:r w:rsidR="0038765E">
        <w:t>waiver</w:t>
      </w:r>
      <w:r w:rsidRPr="006619AB" w:rsidR="006619AB">
        <w:t xml:space="preserve"> </w:t>
      </w:r>
      <w:r w:rsidR="006619AB">
        <w:t>of section 90.353(d) of the Commission’s rules</w:t>
      </w:r>
      <w:r w:rsidR="00F81DF8">
        <w:t>,</w:t>
      </w:r>
      <w:r>
        <w:rPr>
          <w:rStyle w:val="FootnoteReference"/>
        </w:rPr>
        <w:footnoteReference w:id="4"/>
      </w:r>
      <w:r w:rsidR="0038765E">
        <w:t xml:space="preserve"> </w:t>
      </w:r>
      <w:r w:rsidR="00D367BC">
        <w:t>dismiss</w:t>
      </w:r>
      <w:r w:rsidR="009F49C1">
        <w:t xml:space="preserve"> in part and deny in part </w:t>
      </w:r>
      <w:r w:rsidR="004D2F06">
        <w:t>PCS Partners, L.P.</w:t>
      </w:r>
      <w:r w:rsidR="00DE6EBC">
        <w:t>’s</w:t>
      </w:r>
      <w:r w:rsidR="004D2F06">
        <w:t xml:space="preserve"> (PCSP)</w:t>
      </w:r>
      <w:r w:rsidR="00DE6EBC">
        <w:t xml:space="preserve"> Petition to Deny</w:t>
      </w:r>
      <w:r w:rsidR="004D2F06">
        <w:t xml:space="preserve"> and Itron, Inc.’s (Itron, and collectively with PCSP, Petitioners) </w:t>
      </w:r>
      <w:r w:rsidR="00DE6EBC">
        <w:t>Petition to Hold in Abeyance</w:t>
      </w:r>
      <w:r w:rsidR="0038765E">
        <w:t>,</w:t>
      </w:r>
      <w:r>
        <w:rPr>
          <w:rStyle w:val="FootnoteReference"/>
        </w:rPr>
        <w:footnoteReference w:id="5"/>
      </w:r>
      <w:r w:rsidR="00D367BC">
        <w:t xml:space="preserve"> and consent to the </w:t>
      </w:r>
      <w:r w:rsidR="002446E7">
        <w:t xml:space="preserve">amended </w:t>
      </w:r>
      <w:r w:rsidR="00D367BC">
        <w:t xml:space="preserve">assignment </w:t>
      </w:r>
      <w:r w:rsidR="0038765E">
        <w:t>application</w:t>
      </w:r>
      <w:r w:rsidR="00D367BC">
        <w:t>.</w:t>
      </w:r>
      <w:r w:rsidR="00EF0781">
        <w:t xml:space="preserve">  </w:t>
      </w:r>
      <w:r w:rsidR="009A6C8B">
        <w:t xml:space="preserve"> </w:t>
      </w:r>
      <w:r w:rsidR="00F122FF">
        <w:t xml:space="preserve"> </w:t>
      </w:r>
    </w:p>
    <w:p w:rsidR="007C7982" w:rsidP="007C7982" w14:paraId="73E88BE3" w14:textId="6C4FBCC3">
      <w:pPr>
        <w:pStyle w:val="Heading1"/>
      </w:pPr>
      <w:r>
        <w:t>Background</w:t>
      </w:r>
    </w:p>
    <w:p w:rsidR="00C02159" w:rsidP="00341031" w14:paraId="5C7323B6" w14:textId="230D7F94">
      <w:pPr>
        <w:pStyle w:val="ParaNum"/>
      </w:pPr>
      <w:r w:rsidRPr="00516F20">
        <w:rPr>
          <w:i/>
          <w:iCs/>
        </w:rPr>
        <w:t>Description of the Applicants</w:t>
      </w:r>
      <w:r>
        <w:t xml:space="preserve">. </w:t>
      </w:r>
      <w:r w:rsidR="004D2F06">
        <w:t xml:space="preserve"> </w:t>
      </w:r>
      <w:r w:rsidR="00865BF2">
        <w:t>Telesaurus</w:t>
      </w:r>
      <w:r w:rsidR="00FC637A">
        <w:t xml:space="preserve">, a Delaware </w:t>
      </w:r>
      <w:r w:rsidR="00AC10CD">
        <w:t>limited liability company,</w:t>
      </w:r>
      <w:r w:rsidR="00865BF2">
        <w:t xml:space="preserve"> </w:t>
      </w:r>
      <w:r w:rsidR="00D24A47">
        <w:t xml:space="preserve">is part of an estate placed under the court-ordered receivership of Susan </w:t>
      </w:r>
      <w:r w:rsidR="00BB742D">
        <w:t xml:space="preserve">L. </w:t>
      </w:r>
      <w:r w:rsidR="00D24A47">
        <w:t>U</w:t>
      </w:r>
      <w:r w:rsidR="00290C70">
        <w:t>ecker (Receiver).</w:t>
      </w:r>
      <w:r>
        <w:rPr>
          <w:rStyle w:val="FootnoteReference"/>
        </w:rPr>
        <w:footnoteReference w:id="6"/>
      </w:r>
      <w:r w:rsidR="00290C70">
        <w:t xml:space="preserve"> </w:t>
      </w:r>
      <w:r w:rsidR="004D2F06">
        <w:t xml:space="preserve"> </w:t>
      </w:r>
      <w:r w:rsidR="000B228B">
        <w:t>The e</w:t>
      </w:r>
      <w:r w:rsidR="006B5A94">
        <w:t>state</w:t>
      </w:r>
      <w:r w:rsidR="00B73044">
        <w:t xml:space="preserve"> </w:t>
      </w:r>
      <w:r w:rsidR="006B5A94">
        <w:t xml:space="preserve">consists of several </w:t>
      </w:r>
      <w:r w:rsidR="00B95782">
        <w:t>entities formerly controlled by the late Warren Havens.</w:t>
      </w:r>
      <w:r>
        <w:rPr>
          <w:rStyle w:val="FootnoteReference"/>
        </w:rPr>
        <w:footnoteReference w:id="7"/>
      </w:r>
      <w:r w:rsidR="00B95782">
        <w:t xml:space="preserve">  </w:t>
      </w:r>
      <w:r>
        <w:t>Progeny</w:t>
      </w:r>
      <w:r w:rsidR="00AC10CD">
        <w:t xml:space="preserve">, </w:t>
      </w:r>
      <w:r w:rsidR="003A7C54">
        <w:t>an Indiana limited liability company,</w:t>
      </w:r>
      <w:r>
        <w:t xml:space="preserve"> </w:t>
      </w:r>
      <w:r w:rsidR="006F1596">
        <w:t>is a wholly</w:t>
      </w:r>
      <w:r w:rsidR="0005077A">
        <w:t xml:space="preserve">-owned subsidiary of </w:t>
      </w:r>
      <w:r w:rsidR="0005077A">
        <w:t>NextNav</w:t>
      </w:r>
      <w:r w:rsidR="000E40D2">
        <w:t xml:space="preserve">, a </w:t>
      </w:r>
      <w:r w:rsidR="00B80EAB">
        <w:t xml:space="preserve">Delaware corporation and </w:t>
      </w:r>
      <w:r w:rsidR="003B012C">
        <w:t>provider of terrestrial location and next generation position, navigation, and time (PNT) services.</w:t>
      </w:r>
      <w:r>
        <w:rPr>
          <w:rStyle w:val="FootnoteReference"/>
        </w:rPr>
        <w:footnoteReference w:id="8"/>
      </w:r>
      <w:r w:rsidR="003B012C">
        <w:t xml:space="preserve"> </w:t>
      </w:r>
    </w:p>
    <w:p w:rsidR="005254BC" w:rsidP="00341031" w14:paraId="60E50D42" w14:textId="6F83590A">
      <w:pPr>
        <w:pStyle w:val="ParaNum"/>
      </w:pPr>
      <w:r w:rsidRPr="005905B0">
        <w:rPr>
          <w:i/>
          <w:iCs/>
        </w:rPr>
        <w:t>Description of the Transaction</w:t>
      </w:r>
      <w:r w:rsidRPr="005905B0" w:rsidR="0066342A">
        <w:rPr>
          <w:i/>
          <w:iCs/>
        </w:rPr>
        <w:t xml:space="preserve"> and Transaction Review Process</w:t>
      </w:r>
      <w:r w:rsidRPr="00B3152E">
        <w:t>.</w:t>
      </w:r>
      <w:r>
        <w:t xml:space="preserve"> </w:t>
      </w:r>
      <w:r w:rsidR="005905B0">
        <w:t xml:space="preserve"> </w:t>
      </w:r>
      <w:r w:rsidRPr="005905B0" w:rsidR="005905B0">
        <w:t>On March 28, 2024, the Superior Court of the</w:t>
      </w:r>
      <w:r w:rsidR="005905B0">
        <w:t xml:space="preserve"> </w:t>
      </w:r>
      <w:r w:rsidRPr="005905B0" w:rsidR="005905B0">
        <w:t xml:space="preserve">State of California, County of Alameda issued an </w:t>
      </w:r>
      <w:r w:rsidR="000E64E4">
        <w:t>o</w:t>
      </w:r>
      <w:r w:rsidRPr="005905B0" w:rsidR="005905B0">
        <w:t>rder approving the</w:t>
      </w:r>
      <w:r w:rsidR="005905B0">
        <w:t xml:space="preserve"> </w:t>
      </w:r>
      <w:r w:rsidRPr="005905B0" w:rsidR="005905B0">
        <w:t>Receiver’s request to sell its M-LMS spectrum holdings to Progeny</w:t>
      </w:r>
      <w:r w:rsidR="005905B0">
        <w:t>.</w:t>
      </w:r>
      <w:r>
        <w:rPr>
          <w:rStyle w:val="FootnoteReference"/>
        </w:rPr>
        <w:footnoteReference w:id="9"/>
      </w:r>
      <w:r w:rsidR="00341031">
        <w:rPr>
          <w:i/>
          <w:iCs/>
        </w:rPr>
        <w:t xml:space="preserve">  </w:t>
      </w:r>
      <w:r>
        <w:t>On April 16, 2024, the Applicants filed the Application pursuant to section 310(d) of the Communications Act of 1934, as amended,</w:t>
      </w:r>
      <w:r>
        <w:rPr>
          <w:rStyle w:val="FootnoteReference"/>
        </w:rPr>
        <w:footnoteReference w:id="10"/>
      </w:r>
      <w:r>
        <w:t xml:space="preserve"> seeking to assign </w:t>
      </w:r>
      <w:r>
        <w:t>Telesaurus’s</w:t>
      </w:r>
      <w:r>
        <w:t xml:space="preserve"> 128 active M-LMS licenses, </w:t>
      </w:r>
      <w:r>
        <w:t>Telesaurus’s</w:t>
      </w:r>
      <w:r>
        <w:t xml:space="preserve"> single terminated M-LMS license,</w:t>
      </w:r>
      <w:r>
        <w:rPr>
          <w:rStyle w:val="FootnoteReference"/>
        </w:rPr>
        <w:footnoteReference w:id="11"/>
      </w:r>
      <w:r>
        <w:t xml:space="preserve"> and Skybridge’s 128 terminated M-LMS licenses</w:t>
      </w:r>
      <w:r w:rsidR="00DB432E">
        <w:t xml:space="preserve"> to Progeny</w:t>
      </w:r>
      <w:r>
        <w:t>.</w:t>
      </w:r>
      <w:r>
        <w:rPr>
          <w:rStyle w:val="FootnoteReference"/>
        </w:rPr>
        <w:footnoteReference w:id="12"/>
      </w:r>
      <w:r>
        <w:t xml:space="preserve">  The Applicants seek waiver of section 90.353(d) of the Commission’s rules, which forbids one </w:t>
      </w:r>
      <w:r w:rsidR="003970BB">
        <w:t xml:space="preserve">licensee </w:t>
      </w:r>
      <w:r>
        <w:t xml:space="preserve">from holding in the same license area both </w:t>
      </w:r>
      <w:r w:rsidR="00872702">
        <w:t xml:space="preserve">an </w:t>
      </w:r>
      <w:r>
        <w:t xml:space="preserve">A-block M-LMS license </w:t>
      </w:r>
      <w:r w:rsidR="00763FED">
        <w:t xml:space="preserve">(the licenses in the current application) </w:t>
      </w:r>
      <w:r>
        <w:t>and a B- or C-block M-LMS license</w:t>
      </w:r>
      <w:r w:rsidR="00763FED">
        <w:t xml:space="preserve"> (the licenses Progeny already holds)</w:t>
      </w:r>
      <w:r>
        <w:t>.</w:t>
      </w:r>
      <w:r>
        <w:rPr>
          <w:rStyle w:val="FootnoteReference"/>
        </w:rPr>
        <w:footnoteReference w:id="13"/>
      </w:r>
      <w:r w:rsidR="005876C3">
        <w:t xml:space="preserve">  </w:t>
      </w:r>
    </w:p>
    <w:p w:rsidR="00A256E0" w:rsidP="00AC3031" w14:paraId="418ECAE3" w14:textId="7D70A19B">
      <w:pPr>
        <w:pStyle w:val="ParaNum"/>
      </w:pPr>
      <w:r>
        <w:t xml:space="preserve">On April 24, 2024, the Commission </w:t>
      </w:r>
      <w:r w:rsidR="004D2F06">
        <w:t>accepted the application for filing</w:t>
      </w:r>
      <w:r>
        <w:t>.</w:t>
      </w:r>
      <w:r>
        <w:rPr>
          <w:rStyle w:val="FootnoteReference"/>
        </w:rPr>
        <w:footnoteReference w:id="14"/>
      </w:r>
      <w:r>
        <w:t xml:space="preserve">  Itron and PCSP filed Petition</w:t>
      </w:r>
      <w:r w:rsidR="000B654D">
        <w:t>s</w:t>
      </w:r>
      <w:r>
        <w:t xml:space="preserve"> on May 7 and 8, 2024, respectively</w:t>
      </w:r>
      <w:r w:rsidR="003C05AB">
        <w:t xml:space="preserve">, </w:t>
      </w:r>
      <w:r w:rsidR="003E656E">
        <w:t>asking to hold the Application in abeyance (or deny in part) until the Commission addresses other pending matters and</w:t>
      </w:r>
      <w:r w:rsidR="003E656E">
        <w:t xml:space="preserve"> </w:t>
      </w:r>
      <w:r w:rsidR="003C05AB">
        <w:t>challenging the Applicants’ request to reinstate and subsequently assign the terminated licenses</w:t>
      </w:r>
      <w:r>
        <w:t>.</w:t>
      </w:r>
      <w:r>
        <w:rPr>
          <w:rStyle w:val="FootnoteReference"/>
        </w:rPr>
        <w:footnoteReference w:id="15"/>
      </w:r>
      <w:r>
        <w:t xml:space="preserve">  Applicants filed a </w:t>
      </w:r>
      <w:r w:rsidR="00E4242C">
        <w:t xml:space="preserve">Joint </w:t>
      </w:r>
      <w:r>
        <w:t>Opposition on May 17, 2024.</w:t>
      </w:r>
      <w:r>
        <w:rPr>
          <w:rStyle w:val="FootnoteReference"/>
        </w:rPr>
        <w:footnoteReference w:id="16"/>
      </w:r>
      <w:r>
        <w:t xml:space="preserve">  Itron and PCSP separately filed Replies on May 24, 2024.</w:t>
      </w:r>
      <w:r>
        <w:rPr>
          <w:rStyle w:val="FootnoteReference"/>
        </w:rPr>
        <w:footnoteReference w:id="17"/>
      </w:r>
      <w:r>
        <w:t xml:space="preserve">  No other parties filed petitions or comments with respect to the assignment and waiver request. </w:t>
      </w:r>
    </w:p>
    <w:p w:rsidR="00947D50" w:rsidP="00AC3031" w14:paraId="4606D2DB" w14:textId="47B296A1">
      <w:pPr>
        <w:pStyle w:val="ParaNum"/>
      </w:pPr>
      <w:r>
        <w:t xml:space="preserve">On </w:t>
      </w:r>
      <w:r w:rsidR="00BF5A63">
        <w:t xml:space="preserve">June 6, 2025, Applicants filed a </w:t>
      </w:r>
      <w:r w:rsidR="00DD014A">
        <w:t xml:space="preserve">letter </w:t>
      </w:r>
      <w:r w:rsidR="00244B17">
        <w:t>to amend their applications by</w:t>
      </w:r>
      <w:r w:rsidR="008515F7">
        <w:t xml:space="preserve"> “</w:t>
      </w:r>
      <w:r w:rsidR="00BA6FC7">
        <w:t>withdraw</w:t>
      </w:r>
      <w:r w:rsidR="00244B17">
        <w:t>[</w:t>
      </w:r>
      <w:r w:rsidR="00244B17">
        <w:t>ing</w:t>
      </w:r>
      <w:r w:rsidR="00244B17">
        <w:t>]</w:t>
      </w:r>
      <w:r w:rsidR="00BA6FC7">
        <w:t xml:space="preserve"> their proposal to reinstate and assign certain terminated Lower 900 MHz licenses of Telesaurus and Skybridge identified in Exhibit B to the pending assignment application</w:t>
      </w:r>
      <w:r w:rsidR="00244B17">
        <w:t>.</w:t>
      </w:r>
      <w:r w:rsidR="00BA6FC7">
        <w:t>”</w:t>
      </w:r>
      <w:r>
        <w:rPr>
          <w:rStyle w:val="FootnoteReference"/>
        </w:rPr>
        <w:footnoteReference w:id="18"/>
      </w:r>
      <w:r w:rsidR="000D22E8">
        <w:t xml:space="preserve">  </w:t>
      </w:r>
      <w:r w:rsidR="00CB4B7F">
        <w:t xml:space="preserve">As a result, </w:t>
      </w:r>
      <w:r w:rsidR="00C82BE8">
        <w:t>the only remaining licenses in the assignment application are</w:t>
      </w:r>
      <w:r w:rsidR="00CB4B7F">
        <w:t xml:space="preserve"> </w:t>
      </w:r>
      <w:r w:rsidR="00CB4B7F">
        <w:t>Telesaurus’s</w:t>
      </w:r>
      <w:r w:rsidR="00CB4B7F">
        <w:t xml:space="preserve"> </w:t>
      </w:r>
      <w:r w:rsidR="00C82BE8">
        <w:t xml:space="preserve">128 </w:t>
      </w:r>
      <w:r w:rsidR="00CB4B7F">
        <w:t xml:space="preserve">active M-LMS </w:t>
      </w:r>
      <w:r w:rsidR="00C82BE8">
        <w:t>licenses</w:t>
      </w:r>
      <w:r w:rsidR="00CB4B7F">
        <w:t>.</w:t>
      </w:r>
    </w:p>
    <w:p w:rsidR="006C1199" w:rsidP="00E27C79" w14:paraId="31B29911" w14:textId="3ED0E351">
      <w:pPr>
        <w:pStyle w:val="Heading1"/>
      </w:pPr>
      <w:r>
        <w:t>Discussion</w:t>
      </w:r>
    </w:p>
    <w:p w:rsidR="00B85838" w:rsidP="0027192A" w14:paraId="55E4BB87" w14:textId="7CD9F27F">
      <w:pPr>
        <w:pStyle w:val="ParaNum"/>
      </w:pPr>
      <w:r w:rsidRPr="00AB5B89">
        <w:rPr>
          <w:i/>
          <w:iCs/>
        </w:rPr>
        <w:t>Standard of Review</w:t>
      </w:r>
      <w:r>
        <w:t>.</w:t>
      </w:r>
      <w:r w:rsidR="00451907">
        <w:t xml:space="preserve">  </w:t>
      </w:r>
      <w:r w:rsidRPr="004B6FCD" w:rsidR="00451907">
        <w:t>Pursuant to section 310(d) of the Act,</w:t>
      </w:r>
      <w:r>
        <w:rPr>
          <w:rStyle w:val="FootnoteReference"/>
        </w:rPr>
        <w:footnoteReference w:id="19"/>
      </w:r>
      <w:r w:rsidRPr="004B6FCD" w:rsidR="00451907">
        <w:t xml:space="preserve"> we must determine whether the proposed </w:t>
      </w:r>
      <w:r w:rsidR="00451907">
        <w:t>assignment</w:t>
      </w:r>
      <w:r w:rsidRPr="004B6FCD" w:rsidR="00451907">
        <w:t xml:space="preserve"> to </w:t>
      </w:r>
      <w:r w:rsidR="00051E5A">
        <w:t>Progeny</w:t>
      </w:r>
      <w:r w:rsidRPr="004B6FCD" w:rsidR="00451907">
        <w:t xml:space="preserve"> of licenses held by </w:t>
      </w:r>
      <w:r w:rsidR="00051E5A">
        <w:t xml:space="preserve">Telesaurus </w:t>
      </w:r>
      <w:r w:rsidRPr="004B6FCD" w:rsidR="00451907">
        <w:t>will serve the public interest, convenience, and necessity.  In making this determination, we first assess whether the proposed transaction complies with the specific provisions of the Act, other applicable statutes, and the Commission’s rules.</w:t>
      </w:r>
      <w:r>
        <w:rPr>
          <w:rStyle w:val="FootnoteReference"/>
        </w:rPr>
        <w:footnoteReference w:id="20"/>
      </w:r>
      <w:r w:rsidR="00747F88">
        <w:t xml:space="preserve">  </w:t>
      </w:r>
      <w:r w:rsidRPr="00D80945" w:rsidR="00747F88">
        <w:t>If the proposed transaction does not violate a statute or rule, we then consider whether the transaction could result in public interest harms by substantially frustrating or impairing the objectives or implementation of the Act or related statutes.</w:t>
      </w:r>
      <w:r>
        <w:rPr>
          <w:rStyle w:val="FootnoteReference"/>
        </w:rPr>
        <w:footnoteReference w:id="21"/>
      </w:r>
      <w:r w:rsidRPr="00D80945" w:rsidR="00747F88">
        <w:t xml:space="preserve">  </w:t>
      </w:r>
    </w:p>
    <w:p w:rsidR="00244B17" w:rsidRPr="0027192A" w:rsidP="002F53A6" w14:paraId="43A3187F" w14:textId="4EA5E50E">
      <w:pPr>
        <w:pStyle w:val="ParaNum"/>
      </w:pPr>
      <w:r w:rsidRPr="0089258D">
        <w:t>If we determine that a transaction raises no public interest harms or that any such harms have been ameliorated by the Commission-imposed conditions or voluntary commitments, we next consider a transaction’s public interest benefits.  Applicants bear the burden of proving those benefits by a preponderance of the evidence.</w:t>
      </w:r>
      <w:r>
        <w:rPr>
          <w:rStyle w:val="FootnoteReference"/>
        </w:rPr>
        <w:footnoteReference w:id="22"/>
      </w:r>
      <w:r w:rsidRPr="0089258D">
        <w:t xml:space="preserve">  </w:t>
      </w:r>
    </w:p>
    <w:p w:rsidR="00473C26" w:rsidRPr="00A61C04" w:rsidP="00473C26" w14:paraId="66C79B08" w14:textId="361465BA">
      <w:pPr>
        <w:pStyle w:val="ParaNum"/>
      </w:pPr>
      <w:r w:rsidRPr="009B6C82">
        <w:rPr>
          <w:i/>
          <w:iCs/>
        </w:rPr>
        <w:t>Qualifications of Applicants</w:t>
      </w:r>
      <w:r w:rsidRPr="0027192A" w:rsidR="001A6B5F">
        <w:rPr>
          <w:i/>
          <w:iCs/>
        </w:rPr>
        <w:t xml:space="preserve"> and Compliance </w:t>
      </w:r>
      <w:r w:rsidR="00452D3C">
        <w:rPr>
          <w:i/>
          <w:iCs/>
        </w:rPr>
        <w:t>w</w:t>
      </w:r>
      <w:r w:rsidRPr="0027192A" w:rsidR="001A6B5F">
        <w:rPr>
          <w:i/>
          <w:iCs/>
        </w:rPr>
        <w:t>ith Communications Act and FCC Rules and Policies</w:t>
      </w:r>
      <w:r>
        <w:t xml:space="preserve">. </w:t>
      </w:r>
      <w:r w:rsidR="001A6B5F">
        <w:t xml:space="preserve"> </w:t>
      </w:r>
      <w:r w:rsidRPr="0039104E" w:rsidR="000727A0">
        <w:t>Section 310(d) of the Act requires that the Commission make a determination as to whether the Applicants have the requisite qualifications to hold Commission licenses.</w:t>
      </w:r>
      <w:r>
        <w:rPr>
          <w:vertAlign w:val="superscript"/>
        </w:rPr>
        <w:footnoteReference w:id="23"/>
      </w:r>
      <w:r w:rsidRPr="0039104E" w:rsidR="000727A0">
        <w:t xml:space="preserve">  </w:t>
      </w:r>
      <w:r w:rsidR="00C26E4B">
        <w:t>No party has raised an issue with respect to the basic qualifications of the Applicants.  Accordingly, pursuant to Commission precedent,</w:t>
      </w:r>
      <w:r>
        <w:rPr>
          <w:vertAlign w:val="superscript"/>
        </w:rPr>
        <w:footnoteReference w:id="24"/>
      </w:r>
      <w:r w:rsidRPr="001B7A3B" w:rsidR="00C26E4B">
        <w:t xml:space="preserve"> </w:t>
      </w:r>
      <w:r w:rsidR="00C26E4B">
        <w:t>w</w:t>
      </w:r>
      <w:r w:rsidRPr="001B7A3B" w:rsidR="00C26E4B">
        <w:t xml:space="preserve">e find that there is no reason to reevaluate the requisite citizenship, character, financial, technical, or other basic qualifications of </w:t>
      </w:r>
      <w:r w:rsidR="00C26E4B">
        <w:t xml:space="preserve">Telesaurus or Progeny </w:t>
      </w:r>
      <w:r w:rsidRPr="001B7A3B" w:rsidR="00C26E4B">
        <w:t>under the Act or our rules, regulations, and policies.</w:t>
      </w:r>
      <w:r>
        <w:rPr>
          <w:rStyle w:val="FootnoteReference"/>
        </w:rPr>
        <w:footnoteReference w:id="25"/>
      </w:r>
      <w:r w:rsidRPr="001B7A3B" w:rsidR="00C26E4B">
        <w:t xml:space="preserve">  </w:t>
      </w:r>
      <w:r w:rsidR="00C26E4B">
        <w:t xml:space="preserve">We also </w:t>
      </w:r>
      <w:r w:rsidRPr="005E4FCD" w:rsidR="00C26E4B">
        <w:t xml:space="preserve">find that the </w:t>
      </w:r>
      <w:r w:rsidR="00C26E4B">
        <w:t>T</w:t>
      </w:r>
      <w:r w:rsidRPr="005E4FCD" w:rsidR="00C26E4B">
        <w:t>ransaction will not violate any statutory provision or Commission rule</w:t>
      </w:r>
      <w:r w:rsidR="004874EB">
        <w:t xml:space="preserve">, </w:t>
      </w:r>
      <w:r w:rsidRPr="00C11F2D" w:rsidR="004874EB">
        <w:rPr>
          <w:szCs w:val="22"/>
        </w:rPr>
        <w:t xml:space="preserve">except as waived in this </w:t>
      </w:r>
      <w:r w:rsidRPr="00C11F2D" w:rsidR="004874EB">
        <w:rPr>
          <w:iCs/>
          <w:szCs w:val="22"/>
        </w:rPr>
        <w:t>Order</w:t>
      </w:r>
      <w:r w:rsidR="00C82BE8">
        <w:rPr>
          <w:iCs/>
          <w:szCs w:val="22"/>
        </w:rPr>
        <w:t>, as discussed below</w:t>
      </w:r>
      <w:r w:rsidR="00C26E4B">
        <w:t>.</w:t>
      </w:r>
    </w:p>
    <w:p w:rsidR="002576D3" w:rsidRPr="003C39AC" w:rsidP="002576D3" w14:paraId="2A2ED528" w14:textId="602D0800">
      <w:pPr>
        <w:pStyle w:val="ParaNum"/>
      </w:pPr>
      <w:r>
        <w:rPr>
          <w:i/>
          <w:iCs/>
        </w:rPr>
        <w:t>Public Interest Analysis</w:t>
      </w:r>
      <w:r w:rsidR="008B2D68">
        <w:rPr>
          <w:i/>
          <w:iCs/>
        </w:rPr>
        <w:t xml:space="preserve">.  </w:t>
      </w:r>
      <w:r w:rsidR="00963946">
        <w:t>W</w:t>
      </w:r>
      <w:r w:rsidRPr="00C11F2D">
        <w:t xml:space="preserve">e conclude that the proposed transaction is unlikely to result in public interest harms.  </w:t>
      </w:r>
      <w:r w:rsidR="00A55058">
        <w:t>S</w:t>
      </w:r>
      <w:r w:rsidR="00B7165B">
        <w:t xml:space="preserve">ince </w:t>
      </w:r>
      <w:r w:rsidR="00B708D7">
        <w:t xml:space="preserve">1995, </w:t>
      </w:r>
      <w:r w:rsidR="00B7165B">
        <w:t>when</w:t>
      </w:r>
      <w:r w:rsidR="00B708D7">
        <w:t xml:space="preserve"> the Commission adopted “rules for the future licensing and continued development of a number of services and equipment using the 902-928 MHz band</w:t>
      </w:r>
      <w:r w:rsidR="00860DAC">
        <w:t>,</w:t>
      </w:r>
      <w:r w:rsidR="00B708D7">
        <w:t>”</w:t>
      </w:r>
      <w:r>
        <w:rPr>
          <w:rStyle w:val="FootnoteReference"/>
          <w:kern w:val="0"/>
        </w:rPr>
        <w:footnoteReference w:id="26"/>
      </w:r>
      <w:r w:rsidR="003037C1">
        <w:t xml:space="preserve"> </w:t>
      </w:r>
      <w:r w:rsidR="0094488C">
        <w:t>licensees in the band</w:t>
      </w:r>
      <w:r w:rsidR="004F1340">
        <w:t xml:space="preserve"> </w:t>
      </w:r>
      <w:r w:rsidR="008E42D0">
        <w:t xml:space="preserve">have achieved only limited deployment </w:t>
      </w:r>
      <w:r w:rsidR="00C45F13">
        <w:t>of narrowband services.</w:t>
      </w:r>
      <w:r w:rsidR="00B708D7">
        <w:t xml:space="preserve">  </w:t>
      </w:r>
      <w:r w:rsidR="00B67581">
        <w:t>Indeed,</w:t>
      </w:r>
      <w:r w:rsidR="00B708D7">
        <w:t xml:space="preserve"> </w:t>
      </w:r>
      <w:r w:rsidR="00825EAA">
        <w:t>a</w:t>
      </w:r>
      <w:r w:rsidR="00D37BBC">
        <w:t>ccording to the Commission’s Universal Licensing System (ULS), Progeny and Telesaurus are the only M-LMS licensees</w:t>
      </w:r>
      <w:r w:rsidR="00A74868">
        <w:t xml:space="preserve">, and Telesaurus does not appear to have plans to </w:t>
      </w:r>
      <w:r w:rsidR="000A51A2">
        <w:t>deploy services using its licenses</w:t>
      </w:r>
      <w:r w:rsidR="00D37BBC">
        <w:t>.</w:t>
      </w:r>
      <w:r>
        <w:rPr>
          <w:rStyle w:val="FootnoteReference"/>
          <w:kern w:val="0"/>
        </w:rPr>
        <w:footnoteReference w:id="27"/>
      </w:r>
      <w:r w:rsidR="00D37BBC">
        <w:t xml:space="preserve"> </w:t>
      </w:r>
      <w:r w:rsidR="00EB26A7">
        <w:t xml:space="preserve"> </w:t>
      </w:r>
      <w:r>
        <w:t xml:space="preserve">In addition, we find that the transaction </w:t>
      </w:r>
      <w:r w:rsidR="00C764F6">
        <w:t>may</w:t>
      </w:r>
      <w:r>
        <w:t xml:space="preserve"> result in public interest benefits.  </w:t>
      </w:r>
      <w:r w:rsidRPr="00C11F2D">
        <w:rPr>
          <w:kern w:val="0"/>
        </w:rPr>
        <w:t>As a result of the transaction, through holding A- and B- and/or C-block license in EAs, Progeny may be able to provide its consumers with an expansion of and improvement in wireless telecommunications services via the M-LMS band.</w:t>
      </w:r>
      <w:r>
        <w:rPr>
          <w:rStyle w:val="FootnoteReference"/>
          <w:kern w:val="0"/>
        </w:rPr>
        <w:footnoteReference w:id="28"/>
      </w:r>
      <w:r w:rsidRPr="00A309FA">
        <w:rPr>
          <w:kern w:val="0"/>
        </w:rPr>
        <w:t xml:space="preserve">  </w:t>
      </w:r>
      <w:r w:rsidR="00C83940">
        <w:t>W</w:t>
      </w:r>
      <w:r w:rsidR="00EC12DE">
        <w:t xml:space="preserve">e note that no parties raised concerns </w:t>
      </w:r>
      <w:r w:rsidR="001D3C2B">
        <w:t xml:space="preserve">specifically </w:t>
      </w:r>
      <w:r w:rsidR="00EC12DE">
        <w:t>with respect to assignment of the active M-LMS licenses</w:t>
      </w:r>
      <w:r w:rsidR="008D7953">
        <w:t xml:space="preserve"> addressed in this Order</w:t>
      </w:r>
      <w:r w:rsidR="00EC12DE">
        <w:t xml:space="preserve">.  Petitioners </w:t>
      </w:r>
      <w:r w:rsidR="003D12BF">
        <w:t xml:space="preserve">mainly </w:t>
      </w:r>
      <w:r w:rsidR="00EC12DE">
        <w:t>premise their arguments on the reinstatement and assignment of the terminated licenses, which have been withdrawn by the Applicants</w:t>
      </w:r>
      <w:r w:rsidR="00BB1161">
        <w:t>.</w:t>
      </w:r>
      <w:r>
        <w:rPr>
          <w:rStyle w:val="FootnoteReference"/>
        </w:rPr>
        <w:footnoteReference w:id="29"/>
      </w:r>
      <w:r w:rsidR="00BB1161">
        <w:t xml:space="preserve">  To</w:t>
      </w:r>
      <w:r w:rsidR="00811BB8">
        <w:t xml:space="preserve"> the extent they raise concerns </w:t>
      </w:r>
      <w:r w:rsidR="0032733A">
        <w:t xml:space="preserve">about the request to reinstate the terminated licenses, </w:t>
      </w:r>
      <w:r w:rsidR="00EC12DE">
        <w:t>we dismiss the Petitions as moot</w:t>
      </w:r>
      <w:r w:rsidR="00665E44">
        <w:t xml:space="preserve"> in part</w:t>
      </w:r>
      <w:r w:rsidR="00EC12DE">
        <w:t xml:space="preserve">.  </w:t>
      </w:r>
      <w:r w:rsidR="0032733A">
        <w:t>To the extent Petitioners ask us to hold the Application in abeyance so that the Commission can consider other pending matters at the same time, we decline to do so</w:t>
      </w:r>
      <w:r w:rsidR="00B36562">
        <w:t>.</w:t>
      </w:r>
      <w:r>
        <w:rPr>
          <w:rStyle w:val="FootnoteReference"/>
        </w:rPr>
        <w:footnoteReference w:id="30"/>
      </w:r>
      <w:r w:rsidR="00B36562">
        <w:t xml:space="preserve">  We consider only the transaction before us, </w:t>
      </w:r>
      <w:r w:rsidR="00300CB9">
        <w:t xml:space="preserve">and the action we take today does not prejudge how the Commission will act on </w:t>
      </w:r>
      <w:r w:rsidR="00970E5C">
        <w:t>any</w:t>
      </w:r>
      <w:r w:rsidR="00300CB9">
        <w:t xml:space="preserve"> matters </w:t>
      </w:r>
      <w:r w:rsidR="00E115CC">
        <w:t>connected to terminated licen</w:t>
      </w:r>
      <w:r w:rsidR="00970E5C">
        <w:t>ses or the pending petition for rulemaking</w:t>
      </w:r>
      <w:r w:rsidR="0032733A">
        <w:t>.</w:t>
      </w:r>
      <w:r>
        <w:rPr>
          <w:rStyle w:val="FootnoteReference"/>
        </w:rPr>
        <w:footnoteReference w:id="31"/>
      </w:r>
      <w:r w:rsidR="0032733A">
        <w:t xml:space="preserve">  </w:t>
      </w:r>
      <w:r w:rsidR="00970E5C">
        <w:t xml:space="preserve">To the extent Petitioners seek to hold in abeyance or deny in part </w:t>
      </w:r>
      <w:r w:rsidR="00DB4AC6">
        <w:t xml:space="preserve">due to </w:t>
      </w:r>
      <w:r w:rsidR="007862B3">
        <w:t xml:space="preserve">other pending matters, we deny </w:t>
      </w:r>
      <w:r w:rsidR="00B45993">
        <w:t xml:space="preserve">the Petitions </w:t>
      </w:r>
      <w:r w:rsidR="007862B3">
        <w:t xml:space="preserve">in part.  </w:t>
      </w:r>
      <w:r w:rsidRPr="00A309FA" w:rsidR="00FC0DCD">
        <w:rPr>
          <w:kern w:val="0"/>
        </w:rPr>
        <w:t xml:space="preserve">Accordingly, we find that the </w:t>
      </w:r>
      <w:r w:rsidRPr="00A309FA" w:rsidR="00436E9A">
        <w:rPr>
          <w:kern w:val="0"/>
        </w:rPr>
        <w:t>transaction would serve the public interest, convenience, and necessity.</w:t>
      </w:r>
      <w:r w:rsidRPr="00A309FA">
        <w:rPr>
          <w:kern w:val="0"/>
        </w:rPr>
        <w:t xml:space="preserve"> </w:t>
      </w:r>
    </w:p>
    <w:p w:rsidR="00116946" w:rsidP="00116946" w14:paraId="3FC1C51A" w14:textId="090D9940">
      <w:pPr>
        <w:pStyle w:val="ParaNum"/>
      </w:pPr>
      <w:r w:rsidRPr="00342FBC">
        <w:rPr>
          <w:i/>
          <w:iCs/>
        </w:rPr>
        <w:t>Waiver of Section 9</w:t>
      </w:r>
      <w:r w:rsidRPr="00342FBC" w:rsidR="00CA46AB">
        <w:rPr>
          <w:i/>
          <w:iCs/>
        </w:rPr>
        <w:t>0</w:t>
      </w:r>
      <w:r w:rsidRPr="00342FBC">
        <w:rPr>
          <w:i/>
          <w:iCs/>
        </w:rPr>
        <w:t>.353(d)</w:t>
      </w:r>
      <w:r w:rsidR="00DD64F5">
        <w:t>.</w:t>
      </w:r>
      <w:r w:rsidR="00B90165">
        <w:t xml:space="preserve">  </w:t>
      </w:r>
      <w:r>
        <w:t xml:space="preserve">Pursuant to section 1.925(b)(3) of the Commission’s rules, </w:t>
      </w:r>
      <w:r>
        <w:t xml:space="preserve">parties seeking a waiver must demonstrate that: </w:t>
      </w:r>
    </w:p>
    <w:p w:rsidR="00116946" w:rsidP="00637F75" w14:paraId="5D0A874D" w14:textId="07B348B8">
      <w:pPr>
        <w:pStyle w:val="ParaNum"/>
        <w:numPr>
          <w:ilvl w:val="0"/>
          <w:numId w:val="0"/>
        </w:numPr>
        <w:ind w:left="720" w:right="720"/>
      </w:pPr>
      <w:r>
        <w:t>(</w:t>
      </w:r>
      <w:r>
        <w:t>i</w:t>
      </w:r>
      <w:r>
        <w:t>) The underlying purpose of the rule(s) would not be served or would be frustrated by application to the instant case, and that a grant of the requested waiver would be in the public interest; or (ii) In view of unique or unusual factual circumstances of the instant case, application of the rule(s) would be inequitable, unduly burdensome or contrary to the public interest, or the applicant has no reasonable alternative.</w:t>
      </w:r>
      <w:r>
        <w:rPr>
          <w:rStyle w:val="FootnoteReference"/>
        </w:rPr>
        <w:footnoteReference w:id="32"/>
      </w:r>
    </w:p>
    <w:p w:rsidR="004C2AAC" w:rsidP="00637F75" w14:paraId="3697F2B3" w14:textId="5D3C8B1B">
      <w:pPr>
        <w:pStyle w:val="ParaNum"/>
        <w:numPr>
          <w:ilvl w:val="0"/>
          <w:numId w:val="0"/>
        </w:numPr>
      </w:pPr>
      <w:r>
        <w:t xml:space="preserve">We find that the Applicants have met </w:t>
      </w:r>
      <w:r w:rsidR="005610B8">
        <w:t>the first p</w:t>
      </w:r>
      <w:r w:rsidR="0083260D">
        <w:t>rong of the waiver requirement</w:t>
      </w:r>
      <w:r w:rsidR="008902FB">
        <w:t xml:space="preserve"> and</w:t>
      </w:r>
      <w:r w:rsidR="00C6017B">
        <w:t xml:space="preserve"> that </w:t>
      </w:r>
      <w:r w:rsidR="007845F7">
        <w:t>grant of a waiver</w:t>
      </w:r>
      <w:r w:rsidR="00070573">
        <w:t xml:space="preserve"> of section 90.353(d) of the Commission’s rules</w:t>
      </w:r>
      <w:r w:rsidR="00373DE6">
        <w:t xml:space="preserve"> is warranted</w:t>
      </w:r>
      <w:r w:rsidR="007845F7">
        <w:t xml:space="preserve">.  </w:t>
      </w:r>
    </w:p>
    <w:p w:rsidR="00A33E9F" w:rsidRPr="0082502C" w:rsidP="00A33E9F" w14:paraId="4C7CF21D" w14:textId="738B0050">
      <w:pPr>
        <w:pStyle w:val="ParaNum"/>
      </w:pPr>
      <w:r>
        <w:t xml:space="preserve">The </w:t>
      </w:r>
      <w:r w:rsidRPr="00326F94">
        <w:rPr>
          <w:i/>
          <w:iCs/>
        </w:rPr>
        <w:t>1995 LMS Report and Order</w:t>
      </w:r>
      <w:r>
        <w:t xml:space="preserve"> established an “allocation scheme” that was intended to “significantly increase the diversity of use in the entire 902-928 MHz band . . . in furtherance of the public interest.”</w:t>
      </w:r>
      <w:r>
        <w:rPr>
          <w:rStyle w:val="FootnoteReference"/>
        </w:rPr>
        <w:footnoteReference w:id="33"/>
      </w:r>
      <w:r>
        <w:t xml:space="preserve">  Pointing to commenters’ description of potential technologies and service providers to use the spectrum, the Commission further reasoned that “[t]</w:t>
      </w:r>
      <w:r>
        <w:t>hrough</w:t>
      </w:r>
      <w:r>
        <w:t xml:space="preserve"> this licensing plan, it is our intent to provide a framework for each of these technologies to flourish.”</w:t>
      </w:r>
      <w:r>
        <w:rPr>
          <w:rStyle w:val="FootnoteReference"/>
        </w:rPr>
        <w:footnoteReference w:id="34"/>
      </w:r>
      <w:r>
        <w:t xml:space="preserve">  As part of the licensing plan, the Commission established a holding limit for the band.</w:t>
      </w:r>
      <w:r>
        <w:rPr>
          <w:rStyle w:val="FootnoteReference"/>
        </w:rPr>
        <w:footnoteReference w:id="35"/>
      </w:r>
      <w:r>
        <w:t xml:space="preserve">  Section 90.353(d) provides that, except for certain circumstances not applicable here, “</w:t>
      </w:r>
      <w:r>
        <w:t>multilateration</w:t>
      </w:r>
      <w:r>
        <w:t xml:space="preserve"> [economic area (EA)] licenses may be authorized to operate on only one of the three </w:t>
      </w:r>
      <w:r>
        <w:t>multilateration</w:t>
      </w:r>
      <w:r>
        <w:t xml:space="preserve"> bands within a given EA.”</w:t>
      </w:r>
      <w:r>
        <w:rPr>
          <w:rStyle w:val="FootnoteReference"/>
        </w:rPr>
        <w:footnoteReference w:id="36"/>
      </w:r>
      <w:r>
        <w:t xml:space="preserve"> </w:t>
      </w:r>
    </w:p>
    <w:p w:rsidR="00360486" w:rsidP="0027192A" w14:paraId="1C00A325" w14:textId="2C0C44F6">
      <w:pPr>
        <w:pStyle w:val="ParaNum"/>
      </w:pPr>
      <w:r>
        <w:t xml:space="preserve">Applicants argue that waiver of the </w:t>
      </w:r>
      <w:r w:rsidR="005D7C6E">
        <w:t xml:space="preserve">M-LMS </w:t>
      </w:r>
      <w:r>
        <w:t>holding limit is justified because</w:t>
      </w:r>
      <w:r w:rsidRPr="00562004" w:rsidR="00562004">
        <w:t xml:space="preserve"> </w:t>
      </w:r>
      <w:r w:rsidR="00562004">
        <w:t>the underlying purpose of the rule, which was to “foster multiple M-LMS location service providers and technologies” has “not been borne out, particularly in the A block of the lower 900 MHz band.”</w:t>
      </w:r>
      <w:r>
        <w:rPr>
          <w:rStyle w:val="FootnoteReference"/>
        </w:rPr>
        <w:footnoteReference w:id="37"/>
      </w:r>
      <w:r w:rsidR="00562004">
        <w:t xml:space="preserve"> </w:t>
      </w:r>
      <w:r w:rsidR="00E44F67">
        <w:t xml:space="preserve"> </w:t>
      </w:r>
      <w:r w:rsidR="00562004">
        <w:t>As such, they argue, the underlying purpose of the rule would not be undermined by a waiver.</w:t>
      </w:r>
      <w:r>
        <w:rPr>
          <w:rStyle w:val="FootnoteReference"/>
        </w:rPr>
        <w:footnoteReference w:id="38"/>
      </w:r>
      <w:r>
        <w:t xml:space="preserve"> </w:t>
      </w:r>
      <w:r w:rsidR="00CF73BE">
        <w:t xml:space="preserve"> </w:t>
      </w:r>
      <w:r w:rsidR="00562004">
        <w:t xml:space="preserve">They also </w:t>
      </w:r>
      <w:r w:rsidR="00CC5F20">
        <w:t xml:space="preserve">explain </w:t>
      </w:r>
      <w:r w:rsidR="00562004">
        <w:t xml:space="preserve">that </w:t>
      </w:r>
      <w:r>
        <w:t>“the most common technologies that provide the types of services first envisioned for the M-LMS service arguably require spectrum blocks of a size that cannot be achieved under the existing ownership rules.”</w:t>
      </w:r>
      <w:r>
        <w:rPr>
          <w:rStyle w:val="FootnoteReference"/>
        </w:rPr>
        <w:footnoteReference w:id="39"/>
      </w:r>
      <w:r>
        <w:t xml:space="preserve">  </w:t>
      </w:r>
    </w:p>
    <w:p w:rsidR="00FB7DC7" w:rsidP="00E46790" w14:paraId="5509ECD5" w14:textId="6E6515A6">
      <w:pPr>
        <w:pStyle w:val="ParaNum"/>
      </w:pPr>
      <w:r>
        <w:t xml:space="preserve">As explained in the prior section regarding the public interest analysis, in the 30 years since adoption of the </w:t>
      </w:r>
      <w:r w:rsidRPr="00E6616E">
        <w:rPr>
          <w:i/>
          <w:iCs/>
        </w:rPr>
        <w:t>1995 LMS Report and Order</w:t>
      </w:r>
      <w:r>
        <w:t xml:space="preserve">, the </w:t>
      </w:r>
      <w:r w:rsidR="001C2759">
        <w:t xml:space="preserve">intended </w:t>
      </w:r>
      <w:r w:rsidR="007176B3">
        <w:t xml:space="preserve">range of </w:t>
      </w:r>
      <w:r>
        <w:t>use</w:t>
      </w:r>
      <w:r w:rsidR="007176B3">
        <w:t>s</w:t>
      </w:r>
      <w:r>
        <w:t xml:space="preserve"> of the M-LMS</w:t>
      </w:r>
      <w:r w:rsidR="001C2759">
        <w:t xml:space="preserve"> service</w:t>
      </w:r>
      <w:r w:rsidR="00BB786E">
        <w:t xml:space="preserve"> </w:t>
      </w:r>
      <w:r w:rsidR="001C2759">
        <w:t xml:space="preserve">has not evolved as the Commission anticipated </w:t>
      </w:r>
      <w:r w:rsidR="00F3502C">
        <w:t>in that order</w:t>
      </w:r>
      <w:r w:rsidR="001C2759">
        <w:t xml:space="preserve">.  </w:t>
      </w:r>
      <w:r w:rsidR="00C75574">
        <w:t xml:space="preserve">The M-LMS service has not resulted in </w:t>
      </w:r>
      <w:r w:rsidR="008F1E51">
        <w:t>“</w:t>
      </w:r>
      <w:r w:rsidRPr="008F1E51" w:rsidR="008F1E51">
        <w:t xml:space="preserve">implementation and operation of multiple </w:t>
      </w:r>
      <w:r w:rsidRPr="008F1E51" w:rsidR="008F1E51">
        <w:t>multilateration</w:t>
      </w:r>
      <w:r w:rsidRPr="008F1E51" w:rsidR="008F1E51">
        <w:t xml:space="preserve"> technologies and service provider</w:t>
      </w:r>
      <w:r w:rsidR="008F1E51">
        <w:t>s</w:t>
      </w:r>
      <w:r w:rsidR="00B12F29">
        <w:t>” in the band</w:t>
      </w:r>
      <w:r w:rsidR="0098324E">
        <w:t>.</w:t>
      </w:r>
      <w:r>
        <w:rPr>
          <w:rStyle w:val="FootnoteReference"/>
        </w:rPr>
        <w:footnoteReference w:id="40"/>
      </w:r>
      <w:r w:rsidR="00B561A9">
        <w:t xml:space="preserve">  </w:t>
      </w:r>
      <w:r w:rsidR="002C51CC">
        <w:t xml:space="preserve">Given that there are now only two licensees in the band—and one </w:t>
      </w:r>
      <w:r w:rsidR="004317A6">
        <w:t xml:space="preserve">licensee does not intend to build out </w:t>
      </w:r>
      <w:r w:rsidR="00844434">
        <w:t xml:space="preserve">its licenses </w:t>
      </w:r>
      <w:r w:rsidR="004317A6">
        <w:t>in the band</w:t>
      </w:r>
      <w:r w:rsidR="00844434">
        <w:t xml:space="preserve"> and now seeks to assign them</w:t>
      </w:r>
      <w:r w:rsidR="004317A6">
        <w:t xml:space="preserve">—we </w:t>
      </w:r>
      <w:r w:rsidR="00282C5B">
        <w:t>agree with the Applicants that the underlying purpose of the rule would not be served by application to this case.  Further, we note that no commenters objected to the request for waiver of the holding limit.</w:t>
      </w:r>
      <w:r>
        <w:rPr>
          <w:rStyle w:val="FootnoteReference"/>
        </w:rPr>
        <w:footnoteReference w:id="41"/>
      </w:r>
      <w:r w:rsidR="00282C5B">
        <w:t xml:space="preserve">  </w:t>
      </w:r>
    </w:p>
    <w:p w:rsidR="005E5022" w:rsidP="005E5022" w14:paraId="6C22138E" w14:textId="4EB000AA">
      <w:pPr>
        <w:pStyle w:val="ParaNum"/>
      </w:pPr>
      <w:r>
        <w:t xml:space="preserve">Consistent with our treatment of similar waiver requests, this waiver is limited to </w:t>
      </w:r>
      <w:r w:rsidR="00A66D86">
        <w:t xml:space="preserve">Progeny </w:t>
      </w:r>
      <w:r w:rsidR="00A66D86">
        <w:t xml:space="preserve">and its holding of A-block and B- and/or C-Block M-LMS licenses in the same </w:t>
      </w:r>
      <w:r w:rsidR="00036A5F">
        <w:t>EA.</w:t>
      </w:r>
      <w:r w:rsidR="00BD7869">
        <w:t xml:space="preserve"> </w:t>
      </w:r>
      <w:r w:rsidR="00036A5F">
        <w:t xml:space="preserve"> Should Progeny seek to assign the licenses to another entity wishing to operate in accordance with the waiver we grant in this Order, that entity will need to seek its own waiver. </w:t>
      </w:r>
    </w:p>
    <w:p w:rsidR="00A13B0C" w:rsidP="00A13B0C" w14:paraId="4057F6D1" w14:textId="1A759A82">
      <w:pPr>
        <w:pStyle w:val="Heading1"/>
      </w:pPr>
      <w:r>
        <w:t xml:space="preserve">Conclusion </w:t>
      </w:r>
    </w:p>
    <w:p w:rsidR="00870540" w:rsidRPr="00870540" w:rsidP="00870540" w14:paraId="60B26930" w14:textId="7A31F472">
      <w:pPr>
        <w:pStyle w:val="ParaNum"/>
      </w:pPr>
      <w:r>
        <w:t>We find that the proposed transaction is unlikely to result in any public interest harms and that it is likely to result in certain public interest benefits</w:t>
      </w:r>
      <w:r w:rsidR="008C0A7E">
        <w:t xml:space="preserve">, including </w:t>
      </w:r>
      <w:r w:rsidR="00F03908">
        <w:t xml:space="preserve">the potential for </w:t>
      </w:r>
      <w:r w:rsidR="008C0A7E">
        <w:t xml:space="preserve">further development in the M-LMS band. </w:t>
      </w:r>
      <w:r w:rsidR="004D7A60">
        <w:t xml:space="preserve"> Accordingly, w</w:t>
      </w:r>
      <w:r w:rsidR="005E1838">
        <w:t xml:space="preserve">e conclude that consent </w:t>
      </w:r>
      <w:r w:rsidR="00E86087">
        <w:t>to the proposed transaction would serve the public interest</w:t>
      </w:r>
      <w:r w:rsidR="004D7A60">
        <w:t>, convenience, and necessity</w:t>
      </w:r>
      <w:r w:rsidR="00E86087">
        <w:t xml:space="preserve">. </w:t>
      </w:r>
      <w:r w:rsidR="00B670D1">
        <w:t xml:space="preserve"> We also find that the requested waiver of section 90.353(d) is warranted.  </w:t>
      </w:r>
    </w:p>
    <w:p w:rsidR="00A13B0C" w:rsidP="00A13B0C" w14:paraId="3B13724E" w14:textId="38E66556">
      <w:pPr>
        <w:pStyle w:val="Heading1"/>
      </w:pPr>
      <w:r>
        <w:t xml:space="preserve">Ordering clauses </w:t>
      </w:r>
    </w:p>
    <w:p w:rsidR="002E51F9" w:rsidP="002E51F9" w14:paraId="6FC4F175" w14:textId="0B5FA76B">
      <w:pPr>
        <w:pStyle w:val="ParaNum"/>
      </w:pPr>
      <w:r>
        <w:t xml:space="preserve">Accordingly, having reviewed the application and the record in this matter, IT IS ORDERED that, </w:t>
      </w:r>
      <w:r w:rsidR="001D1A5C">
        <w:t>pursuant to sections 4(</w:t>
      </w:r>
      <w:r w:rsidR="001D1A5C">
        <w:t>i</w:t>
      </w:r>
      <w:r w:rsidR="00750495">
        <w:t>) and (</w:t>
      </w:r>
      <w:r w:rsidR="00CD779D">
        <w:t>j), 303</w:t>
      </w:r>
      <w:r w:rsidR="00D83B2C">
        <w:t>(r)</w:t>
      </w:r>
      <w:r w:rsidR="00CD779D">
        <w:t xml:space="preserve">, 309, and 310(d) of the Communications </w:t>
      </w:r>
      <w:r w:rsidR="00C622C6">
        <w:t>Act of 1934, as amended, 47 U.S.C. §§ 154</w:t>
      </w:r>
      <w:r w:rsidR="00966E23">
        <w:t>(</w:t>
      </w:r>
      <w:r w:rsidR="00966E23">
        <w:t>i</w:t>
      </w:r>
      <w:r w:rsidR="00750495">
        <w:t>)</w:t>
      </w:r>
      <w:r w:rsidR="00AA2095">
        <w:t>, (</w:t>
      </w:r>
      <w:r w:rsidR="00966E23">
        <w:t>j), 303</w:t>
      </w:r>
      <w:r w:rsidR="00D83B2C">
        <w:t>(r)</w:t>
      </w:r>
      <w:r w:rsidR="00966E23">
        <w:t xml:space="preserve">, 309, 310(d), the </w:t>
      </w:r>
      <w:r w:rsidR="0089766E">
        <w:t xml:space="preserve">amended </w:t>
      </w:r>
      <w:r w:rsidR="00966E23">
        <w:t xml:space="preserve">application </w:t>
      </w:r>
      <w:r w:rsidR="0032057F">
        <w:t>for consent to</w:t>
      </w:r>
      <w:r w:rsidR="00966E23">
        <w:t xml:space="preserve"> </w:t>
      </w:r>
      <w:r w:rsidR="003E6AD8">
        <w:t xml:space="preserve">assignment </w:t>
      </w:r>
      <w:r w:rsidR="00121A36">
        <w:t xml:space="preserve">from Telesaurus to Progeny IS GRANTED. </w:t>
      </w:r>
    </w:p>
    <w:p w:rsidR="00383FDF" w:rsidP="00383FDF" w14:paraId="79CAAF94" w14:textId="026A7D18">
      <w:pPr>
        <w:pStyle w:val="ParaNum"/>
      </w:pPr>
      <w:r>
        <w:t xml:space="preserve">IT IS FURTHER ORDERED, pursuant to </w:t>
      </w:r>
      <w:r w:rsidR="00224A3A">
        <w:t>sections 4(</w:t>
      </w:r>
      <w:r w:rsidR="00AA2095">
        <w:t>i</w:t>
      </w:r>
      <w:r w:rsidR="00AA2095">
        <w:t>) and (j), 303</w:t>
      </w:r>
      <w:r w:rsidR="00EB0E14">
        <w:t>(r)</w:t>
      </w:r>
      <w:r w:rsidR="00AA2095">
        <w:t xml:space="preserve">, 309, and 310(d) of the Communications Act of 1934, as </w:t>
      </w:r>
      <w:r w:rsidR="006B5B6C">
        <w:t>amended</w:t>
      </w:r>
      <w:r w:rsidR="00AA2095">
        <w:t xml:space="preserve">, 47 U.S.C. </w:t>
      </w:r>
      <w:r w:rsidR="002C27F1">
        <w:t>§§ 154(</w:t>
      </w:r>
      <w:r w:rsidR="002C27F1">
        <w:t>i</w:t>
      </w:r>
      <w:r w:rsidR="002C27F1">
        <w:t>), (j), 303(r), 309, and 310(</w:t>
      </w:r>
      <w:r w:rsidR="00EF7E53">
        <w:t>d)</w:t>
      </w:r>
      <w:r w:rsidR="00690B7E">
        <w:t>,</w:t>
      </w:r>
      <w:r w:rsidR="00EF7E53">
        <w:t xml:space="preserve"> the Petition</w:t>
      </w:r>
      <w:r w:rsidR="00532E05">
        <w:t xml:space="preserve"> to Hold in Abeyance</w:t>
      </w:r>
      <w:r w:rsidR="00EF7E53">
        <w:t xml:space="preserve"> filed by </w:t>
      </w:r>
      <w:r w:rsidR="001D7878">
        <w:t xml:space="preserve">Itron and </w:t>
      </w:r>
      <w:r w:rsidR="00532E05">
        <w:t xml:space="preserve">the Petition to Deny filed by </w:t>
      </w:r>
      <w:r w:rsidR="001D7878">
        <w:t>PCSP are DISMISSED</w:t>
      </w:r>
      <w:r w:rsidR="001525F6">
        <w:t>-IN-PART and DENIED-IN-PART</w:t>
      </w:r>
      <w:r w:rsidR="001D7878">
        <w:t xml:space="preserve"> for the </w:t>
      </w:r>
      <w:r>
        <w:t xml:space="preserve">reasons stated herein. </w:t>
      </w:r>
    </w:p>
    <w:p w:rsidR="00BB64F8" w:rsidP="002E51F9" w14:paraId="399C6999" w14:textId="67AC1113">
      <w:pPr>
        <w:pStyle w:val="ParaNum"/>
      </w:pPr>
      <w:r>
        <w:t>IT IS FURTHER ORDERED, pursuant to section 1.925(</w:t>
      </w:r>
      <w:r w:rsidR="00986574">
        <w:t xml:space="preserve">b)(3) of the Commission’s rules, 47 CFR § 1.925(b)(3), that </w:t>
      </w:r>
      <w:r w:rsidR="006B5B6C">
        <w:t>section</w:t>
      </w:r>
      <w:r w:rsidR="00986574">
        <w:t xml:space="preserve"> 90</w:t>
      </w:r>
      <w:r w:rsidR="006B5B6C">
        <w:t xml:space="preserve">.353(d) of the Commission’s rules, 47 CFR § 90.353(d) </w:t>
      </w:r>
      <w:r w:rsidR="00471162">
        <w:t xml:space="preserve">IS WAIVED to the extent described herein. </w:t>
      </w:r>
    </w:p>
    <w:p w:rsidR="00471162" w:rsidP="002E51F9" w14:paraId="34A6E624" w14:textId="46F7F79E">
      <w:pPr>
        <w:pStyle w:val="ParaNum"/>
      </w:pPr>
      <w:r>
        <w:t xml:space="preserve">IT IS FURTHER ORDERED that this </w:t>
      </w:r>
      <w:r w:rsidR="00F57849">
        <w:t xml:space="preserve">Order </w:t>
      </w:r>
      <w:r w:rsidR="00193086">
        <w:t xml:space="preserve">SHALL BE EFFECTIVE upon </w:t>
      </w:r>
      <w:r w:rsidR="00EF1AC0">
        <w:t>release</w:t>
      </w:r>
      <w:r w:rsidR="00C7319F">
        <w:t xml:space="preserve">, in accordance </w:t>
      </w:r>
      <w:r w:rsidR="00F53D5E">
        <w:t>with section 1.102 of the Commission’s rules, 47 CFR § 1.102</w:t>
      </w:r>
      <w:r w:rsidR="00116A85">
        <w:t>.</w:t>
      </w:r>
      <w:r w:rsidR="003D3A96">
        <w:t xml:space="preserve">  </w:t>
      </w:r>
      <w:r w:rsidR="00C815B3">
        <w:t>Petitions</w:t>
      </w:r>
      <w:r w:rsidR="003D3A96">
        <w:t xml:space="preserve"> for Reconsideration under section 1.106 of the Commission’s </w:t>
      </w:r>
      <w:r w:rsidR="00B578C2">
        <w:t>rules</w:t>
      </w:r>
      <w:r w:rsidR="003D3A96">
        <w:t xml:space="preserve">, 47 </w:t>
      </w:r>
      <w:r w:rsidR="006A10FE">
        <w:t>CFR § 1.106</w:t>
      </w:r>
      <w:r w:rsidR="00C815B3">
        <w:t xml:space="preserve">, may be filed within thirty days of the </w:t>
      </w:r>
      <w:r w:rsidR="00116A85">
        <w:t>release date</w:t>
      </w:r>
      <w:r w:rsidR="00C815B3">
        <w:t xml:space="preserve"> of </w:t>
      </w:r>
      <w:r w:rsidR="008A263E">
        <w:t xml:space="preserve">this Memorandum Opinion and Order. </w:t>
      </w:r>
    </w:p>
    <w:p w:rsidR="008A263E" w:rsidP="002E51F9" w14:paraId="06BE6722" w14:textId="0CA1DFF3">
      <w:pPr>
        <w:pStyle w:val="ParaNum"/>
      </w:pPr>
      <w:r>
        <w:t>This action is taken under delegated authority pursuant to sections 0.131 and 0.331 of the Commission’s rules, 47 CFR §§ 0.</w:t>
      </w:r>
      <w:r w:rsidR="000607AB">
        <w:t xml:space="preserve">131, 0.331. </w:t>
      </w:r>
    </w:p>
    <w:p w:rsidR="00016FB3" w:rsidP="00016FB3" w14:paraId="494D0795" w14:textId="77777777">
      <w:pPr>
        <w:pStyle w:val="ParaNum"/>
        <w:numPr>
          <w:ilvl w:val="0"/>
          <w:numId w:val="0"/>
        </w:numPr>
        <w:tabs>
          <w:tab w:val="left" w:pos="720"/>
          <w:tab w:val="left" w:pos="1080"/>
        </w:tabs>
      </w:pPr>
    </w:p>
    <w:p w:rsidR="00016FB3" w:rsidP="00016FB3" w14:paraId="2B28C5B5" w14:textId="77777777">
      <w:pPr>
        <w:pStyle w:val="ParaNum"/>
        <w:numPr>
          <w:ilvl w:val="0"/>
          <w:numId w:val="0"/>
        </w:numPr>
        <w:tabs>
          <w:tab w:val="left" w:pos="720"/>
          <w:tab w:val="left" w:pos="1080"/>
        </w:tabs>
        <w:ind w:left="4320"/>
      </w:pPr>
      <w:r>
        <w:t>FEDERAL COMMUNICATIONS COMMISSION</w:t>
      </w:r>
    </w:p>
    <w:p w:rsidR="00016FB3" w:rsidP="00016FB3" w14:paraId="56357DC7" w14:textId="77777777">
      <w:pPr>
        <w:pStyle w:val="ParaNum"/>
        <w:numPr>
          <w:ilvl w:val="0"/>
          <w:numId w:val="0"/>
        </w:numPr>
        <w:tabs>
          <w:tab w:val="left" w:pos="720"/>
          <w:tab w:val="left" w:pos="1080"/>
        </w:tabs>
        <w:ind w:left="4320"/>
      </w:pPr>
    </w:p>
    <w:p w:rsidR="00016FB3" w:rsidP="00016FB3" w14:paraId="5D273101" w14:textId="77777777">
      <w:pPr>
        <w:pStyle w:val="ParaNum"/>
        <w:numPr>
          <w:ilvl w:val="0"/>
          <w:numId w:val="0"/>
        </w:numPr>
        <w:tabs>
          <w:tab w:val="left" w:pos="720"/>
          <w:tab w:val="left" w:pos="1080"/>
        </w:tabs>
        <w:ind w:left="4320"/>
      </w:pPr>
    </w:p>
    <w:p w:rsidR="00016FB3" w:rsidP="00016FB3" w14:paraId="438FDAEA" w14:textId="77777777">
      <w:pPr>
        <w:pStyle w:val="ParaNum"/>
        <w:numPr>
          <w:ilvl w:val="0"/>
          <w:numId w:val="0"/>
        </w:numPr>
        <w:tabs>
          <w:tab w:val="left" w:pos="720"/>
          <w:tab w:val="left" w:pos="1080"/>
        </w:tabs>
        <w:spacing w:after="0"/>
        <w:ind w:left="4320"/>
      </w:pPr>
      <w:r>
        <w:t>Roger S. Noel</w:t>
      </w:r>
    </w:p>
    <w:p w:rsidR="00016FB3" w:rsidP="00016FB3" w14:paraId="00CE1DE6" w14:textId="77777777">
      <w:pPr>
        <w:pStyle w:val="ParaNum"/>
        <w:numPr>
          <w:ilvl w:val="0"/>
          <w:numId w:val="0"/>
        </w:numPr>
        <w:tabs>
          <w:tab w:val="left" w:pos="720"/>
          <w:tab w:val="left" w:pos="1080"/>
        </w:tabs>
        <w:spacing w:after="0"/>
        <w:ind w:left="4320"/>
      </w:pPr>
      <w:r>
        <w:t>Chief, Mobility Division</w:t>
      </w:r>
    </w:p>
    <w:p w:rsidR="004D7A60" w:rsidRPr="002E51F9" w:rsidP="00DB27A7" w14:paraId="39D1BBF3" w14:textId="0468C925">
      <w:pPr>
        <w:pStyle w:val="ParaNum"/>
        <w:numPr>
          <w:ilvl w:val="0"/>
          <w:numId w:val="0"/>
        </w:numPr>
        <w:ind w:left="3600" w:firstLine="720"/>
      </w:pPr>
      <w:r>
        <w:t>Wireless Telecommunications Bureau</w:t>
      </w:r>
    </w:p>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61A44" w14:paraId="3245D77F" w14:textId="77777777">
      <w:pPr>
        <w:spacing w:line="20" w:lineRule="exact"/>
      </w:pPr>
    </w:p>
  </w:endnote>
  <w:endnote w:type="continuationSeparator" w:id="1">
    <w:p w:rsidR="00C61A44" w14:paraId="1FBB7727" w14:textId="77777777">
      <w:r>
        <w:t xml:space="preserve"> </w:t>
      </w:r>
    </w:p>
  </w:endnote>
  <w:endnote w:type="continuationNotice" w:id="2">
    <w:p w:rsidR="00C61A44" w14:paraId="5007862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15363FCA"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5D39F3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308" w14:paraId="33A24E0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749966F8"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1A27F80C"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61A44" w14:paraId="39460152" w14:textId="77777777">
      <w:r>
        <w:separator/>
      </w:r>
    </w:p>
  </w:footnote>
  <w:footnote w:type="continuationSeparator" w:id="1">
    <w:p w:rsidR="00C61A44" w:rsidP="00C721AC" w14:paraId="143DB163" w14:textId="77777777">
      <w:pPr>
        <w:spacing w:before="120"/>
        <w:rPr>
          <w:sz w:val="20"/>
        </w:rPr>
      </w:pPr>
      <w:r>
        <w:rPr>
          <w:sz w:val="20"/>
        </w:rPr>
        <w:t xml:space="preserve">(Continued from previous page)  </w:t>
      </w:r>
      <w:r>
        <w:rPr>
          <w:sz w:val="20"/>
        </w:rPr>
        <w:separator/>
      </w:r>
    </w:p>
  </w:footnote>
  <w:footnote w:type="continuationNotice" w:id="2">
    <w:p w:rsidR="00C61A44" w:rsidP="00C721AC" w14:paraId="0B8B67F7" w14:textId="77777777">
      <w:pPr>
        <w:jc w:val="right"/>
        <w:rPr>
          <w:sz w:val="20"/>
        </w:rPr>
      </w:pPr>
      <w:r>
        <w:rPr>
          <w:sz w:val="20"/>
        </w:rPr>
        <w:t>(continued….)</w:t>
      </w:r>
    </w:p>
  </w:footnote>
  <w:footnote w:id="3">
    <w:p w:rsidR="00B2401F" w14:paraId="33DF9680" w14:textId="3DA031DE">
      <w:pPr>
        <w:pStyle w:val="FootnoteText"/>
      </w:pPr>
      <w:r>
        <w:rPr>
          <w:rStyle w:val="FootnoteReference"/>
        </w:rPr>
        <w:footnoteRef/>
      </w:r>
      <w:r>
        <w:t xml:space="preserve"> </w:t>
      </w:r>
      <w:r w:rsidRPr="00497778">
        <w:rPr>
          <w:i/>
          <w:iCs/>
        </w:rPr>
        <w:t>See</w:t>
      </w:r>
      <w:r>
        <w:t xml:space="preserve"> Application of Telesaurus Holdings GB LLC and Progeny LMS, LLC for Assignment of Authorization, ULS File No. 001102</w:t>
      </w:r>
      <w:r w:rsidR="00B23EC6">
        <w:t xml:space="preserve">2019 (filed April 16, 2024) (Application). </w:t>
      </w:r>
    </w:p>
  </w:footnote>
  <w:footnote w:id="4">
    <w:p w:rsidR="006619AB" w:rsidP="006619AB" w14:paraId="76517D8C" w14:textId="77777777">
      <w:pPr>
        <w:pStyle w:val="FootnoteText"/>
      </w:pPr>
      <w:r>
        <w:rPr>
          <w:rStyle w:val="FootnoteReference"/>
        </w:rPr>
        <w:footnoteRef/>
      </w:r>
      <w:r>
        <w:t xml:space="preserve"> 47 CFR § 90.353(d). </w:t>
      </w:r>
    </w:p>
  </w:footnote>
  <w:footnote w:id="5">
    <w:p w:rsidR="004D2F06" w:rsidP="004D2F06" w14:paraId="56BAE16A" w14:textId="6ABC20FC">
      <w:pPr>
        <w:pStyle w:val="FootnoteText"/>
      </w:pPr>
      <w:r>
        <w:rPr>
          <w:rStyle w:val="FootnoteReference"/>
        </w:rPr>
        <w:footnoteRef/>
      </w:r>
      <w:r>
        <w:t xml:space="preserve"> PCSP Petition to Hold in Abeyance, or to Deny in Part, ULS File No. 0011022019 (filed May 8, 2024) (PCSP Petition to Deny); Itron Petition to Hold in Abeyance, ULS File No. 0011022019 (filed May 7, 2024) (Itron Petition to </w:t>
      </w:r>
      <w:r w:rsidR="00771A59">
        <w:t>Hold in Abeyance</w:t>
      </w:r>
      <w:r>
        <w:t>) (</w:t>
      </w:r>
      <w:r w:rsidR="00D22351">
        <w:t xml:space="preserve">together, </w:t>
      </w:r>
      <w:r>
        <w:t xml:space="preserve">Petitions). </w:t>
      </w:r>
    </w:p>
  </w:footnote>
  <w:footnote w:id="6">
    <w:p w:rsidR="00F76C9D" w14:paraId="3D25207C" w14:textId="5CDB4B59">
      <w:pPr>
        <w:pStyle w:val="FootnoteText"/>
      </w:pPr>
      <w:r>
        <w:rPr>
          <w:rStyle w:val="FootnoteReference"/>
        </w:rPr>
        <w:footnoteRef/>
      </w:r>
      <w:r>
        <w:t xml:space="preserve"> Description of </w:t>
      </w:r>
      <w:r w:rsidR="00401B08">
        <w:t xml:space="preserve">the </w:t>
      </w:r>
      <w:r>
        <w:t>Transaction and Public Interest Statement at 1 (Public Interest Statement)</w:t>
      </w:r>
      <w:r w:rsidR="00F30EE3">
        <w:t xml:space="preserve"> (citing </w:t>
      </w:r>
      <w:r w:rsidRPr="006B0788" w:rsidR="00F30EE3">
        <w:rPr>
          <w:i/>
          <w:iCs/>
        </w:rPr>
        <w:t>Order Appointing Receiver After Hearing</w:t>
      </w:r>
      <w:r w:rsidR="00F30EE3">
        <w:t>, Case No. 2002-</w:t>
      </w:r>
      <w:r w:rsidR="006B0788">
        <w:t xml:space="preserve">070640 (Super. Ct. Cal., Alameda </w:t>
      </w:r>
      <w:r w:rsidR="006B0788">
        <w:t>Cnty</w:t>
      </w:r>
      <w:r w:rsidR="006B0788">
        <w:t xml:space="preserve">. Nov. 16, 2015). </w:t>
      </w:r>
      <w:r w:rsidR="00D8045C">
        <w:t xml:space="preserve"> Skybridge</w:t>
      </w:r>
      <w:r w:rsidR="009F257F">
        <w:t xml:space="preserve"> </w:t>
      </w:r>
      <w:r w:rsidR="00814DDA">
        <w:t xml:space="preserve">Spectrum Foundation (Skybridge) </w:t>
      </w:r>
      <w:r w:rsidR="009F257F">
        <w:t xml:space="preserve">is also part of the estate </w:t>
      </w:r>
      <w:r w:rsidR="0032358E">
        <w:t xml:space="preserve">placed under the receivership.  </w:t>
      </w:r>
      <w:r w:rsidR="0032358E">
        <w:rPr>
          <w:i/>
          <w:iCs/>
        </w:rPr>
        <w:t xml:space="preserve">Id. </w:t>
      </w:r>
      <w:r w:rsidR="00B13114">
        <w:rPr>
          <w:i/>
          <w:iCs/>
        </w:rPr>
        <w:t xml:space="preserve"> </w:t>
      </w:r>
      <w:r w:rsidR="0032358E">
        <w:t xml:space="preserve">As discussed below, however, </w:t>
      </w:r>
      <w:r w:rsidR="00F418EE">
        <w:t xml:space="preserve">while Skybridge was originally part of the assignment application, </w:t>
      </w:r>
      <w:r w:rsidR="0032358E">
        <w:t>Skybridge is</w:t>
      </w:r>
      <w:r w:rsidR="00D8045C">
        <w:t xml:space="preserve"> no longer an assignor in the proposed transaction, following </w:t>
      </w:r>
      <w:r w:rsidR="009F257F">
        <w:t xml:space="preserve">the Applicants’ removal of all of Skybridge’s terminated licenses from the </w:t>
      </w:r>
      <w:r w:rsidR="00B13114">
        <w:t>A</w:t>
      </w:r>
      <w:r w:rsidR="009F257F">
        <w:t>pplication</w:t>
      </w:r>
      <w:r w:rsidR="0032358E">
        <w:t>.</w:t>
      </w:r>
      <w:r w:rsidR="009F257F">
        <w:t xml:space="preserve"> </w:t>
      </w:r>
    </w:p>
  </w:footnote>
  <w:footnote w:id="7">
    <w:p w:rsidR="00B95782" w14:paraId="5375D05A" w14:textId="6EF2062F">
      <w:pPr>
        <w:pStyle w:val="FootnoteText"/>
      </w:pPr>
      <w:r>
        <w:rPr>
          <w:rStyle w:val="FootnoteReference"/>
        </w:rPr>
        <w:footnoteRef/>
      </w:r>
      <w:r>
        <w:t xml:space="preserve"> </w:t>
      </w:r>
      <w:r w:rsidR="00FA4EB5">
        <w:t xml:space="preserve">Public Interest Statement at 1. </w:t>
      </w:r>
    </w:p>
  </w:footnote>
  <w:footnote w:id="8">
    <w:p w:rsidR="003B012C" w14:paraId="12E226A7" w14:textId="56A89644">
      <w:pPr>
        <w:pStyle w:val="FootnoteText"/>
      </w:pPr>
      <w:r>
        <w:rPr>
          <w:rStyle w:val="FootnoteReference"/>
        </w:rPr>
        <w:footnoteRef/>
      </w:r>
      <w:r>
        <w:t xml:space="preserve"> </w:t>
      </w:r>
      <w:r w:rsidRPr="008B079D">
        <w:rPr>
          <w:i/>
          <w:iCs/>
        </w:rPr>
        <w:t>Id</w:t>
      </w:r>
      <w:r>
        <w:t xml:space="preserve">. </w:t>
      </w:r>
      <w:r w:rsidR="00070573">
        <w:t xml:space="preserve"> Applicants explain that “[u]sing existing M-LMS spectrum held by Progeny, </w:t>
      </w:r>
      <w:r w:rsidR="00070573">
        <w:t>NextNav</w:t>
      </w:r>
      <w:r w:rsidR="00070573">
        <w:t xml:space="preserve"> enables a variety of mission critical applications and public safety services that deliver accurate 3D positioning and timing information that is not reliant on conventional satellite-based GPS and GNSS signals.  </w:t>
      </w:r>
      <w:r w:rsidRPr="00D34996" w:rsidR="00070573">
        <w:rPr>
          <w:i/>
          <w:iCs/>
        </w:rPr>
        <w:t>Id</w:t>
      </w:r>
      <w:r w:rsidR="00070573">
        <w:t xml:space="preserve">. (citing Ben Ball, </w:t>
      </w:r>
      <w:r w:rsidR="00070573">
        <w:t>NextNav</w:t>
      </w:r>
      <w:r w:rsidR="00070573">
        <w:t xml:space="preserve"> Named Best Performing Solution for Resilient PNT by U.S. Department of </w:t>
      </w:r>
      <w:r w:rsidR="00070573">
        <w:t>Transportaion</w:t>
      </w:r>
      <w:r w:rsidR="00070573">
        <w:t xml:space="preserve">, </w:t>
      </w:r>
      <w:r w:rsidR="00070573">
        <w:t>NextNav</w:t>
      </w:r>
      <w:r w:rsidR="00070573">
        <w:t xml:space="preserve">, </w:t>
      </w:r>
      <w:r w:rsidRPr="00DD47E5" w:rsidR="00070573">
        <w:t>https://nextnav.com/dot-pnt-report/</w:t>
      </w:r>
      <w:r w:rsidR="00070573">
        <w:t xml:space="preserve"> (last visited June 17, 2025)).  They further state that “</w:t>
      </w:r>
      <w:r w:rsidR="00070573">
        <w:t>NextNav</w:t>
      </w:r>
      <w:r w:rsidR="00070573">
        <w:t xml:space="preserve"> has partnered with a nationwide U.S. mobile network operator to deploy enhanced vertical location capabilities critical for E911 services</w:t>
      </w:r>
      <w:r w:rsidR="00FF0E8D">
        <w:t>.</w:t>
      </w:r>
      <w:r w:rsidR="00070573">
        <w:t xml:space="preserve">” </w:t>
      </w:r>
      <w:r w:rsidRPr="009D17FE" w:rsidR="00070573">
        <w:rPr>
          <w:i/>
          <w:iCs/>
        </w:rPr>
        <w:t xml:space="preserve"> </w:t>
      </w:r>
      <w:r w:rsidRPr="00946B53" w:rsidR="00070573">
        <w:rPr>
          <w:i/>
          <w:iCs/>
        </w:rPr>
        <w:t>Id</w:t>
      </w:r>
      <w:r w:rsidR="00070573">
        <w:t xml:space="preserve">. (citing NASA to Utilize Commercially Available </w:t>
      </w:r>
      <w:r w:rsidR="00070573">
        <w:t>TerraPoiNT</w:t>
      </w:r>
      <w:r w:rsidR="00070573">
        <w:t xml:space="preserve"> Network in SF Bay Area to Further Urban Air Mobility Development, PR Newswire, https://www.prnewswire.com/news-releases/nasa-to-utilize-commercially-available-terrapoint-network-in-sf-bay-area-to-further-urban-air-mobility-development-301695011.html (last visited June 17, 2025)).</w:t>
      </w:r>
    </w:p>
  </w:footnote>
  <w:footnote w:id="9">
    <w:p w:rsidR="005905B0" w:rsidRPr="0027192A" w14:paraId="2E8DFEE5" w14:textId="7B8C9F2A">
      <w:pPr>
        <w:pStyle w:val="FootnoteText"/>
        <w:rPr>
          <w:i/>
          <w:iCs/>
        </w:rPr>
      </w:pPr>
      <w:r>
        <w:rPr>
          <w:rStyle w:val="FootnoteReference"/>
        </w:rPr>
        <w:footnoteRef/>
      </w:r>
      <w:r>
        <w:t xml:space="preserve"> </w:t>
      </w:r>
      <w:r w:rsidR="00401B08">
        <w:t>Public Interest Statement at 1.</w:t>
      </w:r>
    </w:p>
  </w:footnote>
  <w:footnote w:id="10">
    <w:p w:rsidR="005254BC" w:rsidP="005254BC" w14:paraId="709AB5DB" w14:textId="77777777">
      <w:pPr>
        <w:pStyle w:val="FootnoteText"/>
      </w:pPr>
      <w:r>
        <w:rPr>
          <w:rStyle w:val="FootnoteReference"/>
        </w:rPr>
        <w:footnoteRef/>
      </w:r>
      <w:r>
        <w:t xml:space="preserve"> 47 U.S.C. § 310(d). </w:t>
      </w:r>
    </w:p>
  </w:footnote>
  <w:footnote w:id="11">
    <w:p w:rsidR="005254BC" w:rsidP="005254BC" w14:paraId="7A3F88A4" w14:textId="4785AFA0">
      <w:pPr>
        <w:pStyle w:val="FootnoteText"/>
      </w:pPr>
      <w:r>
        <w:rPr>
          <w:rStyle w:val="FootnoteReference"/>
        </w:rPr>
        <w:footnoteRef/>
      </w:r>
      <w:r>
        <w:t xml:space="preserve"> </w:t>
      </w:r>
      <w:r w:rsidR="004563B4">
        <w:rPr>
          <w:i/>
          <w:iCs/>
        </w:rPr>
        <w:t xml:space="preserve">See generally </w:t>
      </w:r>
      <w:r w:rsidRPr="00636279">
        <w:rPr>
          <w:i/>
          <w:iCs/>
        </w:rPr>
        <w:t>Helen Wong-Armijo, FCR, Inc., Skybridge Spectrum Foundation, &amp; Telesaurus Holdings GB, LLC</w:t>
      </w:r>
      <w:r w:rsidRPr="0027192A">
        <w:t xml:space="preserve">, </w:t>
      </w:r>
      <w:r w:rsidR="00B96DFB">
        <w:rPr>
          <w:i/>
          <w:iCs/>
        </w:rPr>
        <w:t xml:space="preserve">Applications for Waiver and Limited </w:t>
      </w:r>
      <w:r w:rsidRPr="00B96DFB" w:rsidR="00B96DFB">
        <w:rPr>
          <w:i/>
          <w:iCs/>
        </w:rPr>
        <w:t>Extension of Time</w:t>
      </w:r>
      <w:r w:rsidR="00B96DFB">
        <w:t xml:space="preserve">, </w:t>
      </w:r>
      <w:r w:rsidRPr="00B96DFB" w:rsidR="00312410">
        <w:t>WT</w:t>
      </w:r>
      <w:r w:rsidRPr="00312410" w:rsidR="00312410">
        <w:t xml:space="preserve"> Docket No. 16-385</w:t>
      </w:r>
      <w:r w:rsidR="00312410">
        <w:t>,</w:t>
      </w:r>
      <w:r w:rsidRPr="00312410" w:rsidR="00312410">
        <w:t xml:space="preserve"> </w:t>
      </w:r>
      <w:r w:rsidRPr="0027192A">
        <w:t>Order</w:t>
      </w:r>
      <w:r w:rsidR="000C1BA0">
        <w:t>,</w:t>
      </w:r>
      <w:r>
        <w:t xml:space="preserve"> 32 FCC </w:t>
      </w:r>
      <w:r>
        <w:t>Rcd</w:t>
      </w:r>
      <w:r>
        <w:t>. 9458 (WTB</w:t>
      </w:r>
      <w:r w:rsidR="00C31BDF">
        <w:t>-MD</w:t>
      </w:r>
      <w:r>
        <w:t xml:space="preserve"> 2017)</w:t>
      </w:r>
      <w:r w:rsidR="00687451">
        <w:t xml:space="preserve"> (</w:t>
      </w:r>
      <w:r w:rsidR="0068756C">
        <w:t xml:space="preserve">terminating </w:t>
      </w:r>
      <w:r w:rsidR="004563B4">
        <w:t xml:space="preserve">certain </w:t>
      </w:r>
      <w:r w:rsidR="0068756C">
        <w:t>Telesaurus license</w:t>
      </w:r>
      <w:r w:rsidR="004563B4">
        <w:t>s</w:t>
      </w:r>
      <w:r w:rsidR="0068756C">
        <w:t>)</w:t>
      </w:r>
      <w:r>
        <w:t xml:space="preserve">. </w:t>
      </w:r>
    </w:p>
  </w:footnote>
  <w:footnote w:id="12">
    <w:p w:rsidR="005254BC" w:rsidP="005254BC" w14:paraId="726A05F8" w14:textId="3427C38D">
      <w:pPr>
        <w:pStyle w:val="FootnoteText"/>
      </w:pPr>
      <w:r>
        <w:rPr>
          <w:rStyle w:val="FootnoteReference"/>
        </w:rPr>
        <w:footnoteRef/>
      </w:r>
      <w:r>
        <w:t xml:space="preserve"> </w:t>
      </w:r>
      <w:r w:rsidR="004563B4">
        <w:rPr>
          <w:i/>
          <w:iCs/>
        </w:rPr>
        <w:t>See generally</w:t>
      </w:r>
      <w:r w:rsidRPr="00636279" w:rsidR="004563B4">
        <w:rPr>
          <w:i/>
          <w:iCs/>
        </w:rPr>
        <w:t xml:space="preserve"> </w:t>
      </w:r>
      <w:r w:rsidR="004563B4">
        <w:rPr>
          <w:i/>
          <w:iCs/>
        </w:rPr>
        <w:t>i</w:t>
      </w:r>
      <w:r w:rsidRPr="00636279">
        <w:rPr>
          <w:i/>
          <w:iCs/>
        </w:rPr>
        <w:t>d</w:t>
      </w:r>
      <w:r>
        <w:t>.</w:t>
      </w:r>
      <w:r w:rsidR="0068756C">
        <w:t xml:space="preserve"> (terminating </w:t>
      </w:r>
      <w:r w:rsidR="004563B4">
        <w:t xml:space="preserve">certain </w:t>
      </w:r>
      <w:r w:rsidR="0068756C">
        <w:t>S</w:t>
      </w:r>
      <w:r w:rsidR="004563B4">
        <w:t>k</w:t>
      </w:r>
      <w:r w:rsidR="0068756C">
        <w:t>ybridge licenses)</w:t>
      </w:r>
      <w:r w:rsidR="004563B4">
        <w:t>.</w:t>
      </w:r>
    </w:p>
  </w:footnote>
  <w:footnote w:id="13">
    <w:p w:rsidR="005254BC" w:rsidP="005254BC" w14:paraId="6873E7D0" w14:textId="1FF4A9FE">
      <w:pPr>
        <w:pStyle w:val="FootnoteText"/>
      </w:pPr>
      <w:r>
        <w:rPr>
          <w:rStyle w:val="FootnoteReference"/>
        </w:rPr>
        <w:footnoteRef/>
      </w:r>
      <w:r>
        <w:t xml:space="preserve"> Public Interest Statement at 3; </w:t>
      </w:r>
      <w:r w:rsidRPr="0027192A">
        <w:rPr>
          <w:i/>
          <w:iCs/>
        </w:rPr>
        <w:t>see also</w:t>
      </w:r>
      <w:r>
        <w:t xml:space="preserve"> 47 CFR § 90.353(d). </w:t>
      </w:r>
    </w:p>
  </w:footnote>
  <w:footnote w:id="14">
    <w:p w:rsidR="005254BC" w:rsidP="005254BC" w14:paraId="4B4D84E8" w14:textId="4EBB4743">
      <w:pPr>
        <w:pStyle w:val="FootnoteText"/>
      </w:pPr>
      <w:r>
        <w:rPr>
          <w:rStyle w:val="FootnoteReference"/>
        </w:rPr>
        <w:footnoteRef/>
      </w:r>
      <w:r>
        <w:t xml:space="preserve"> </w:t>
      </w:r>
      <w:r w:rsidRPr="00BF5702">
        <w:rPr>
          <w:i/>
          <w:iCs/>
        </w:rPr>
        <w:t>Wireless Telecom</w:t>
      </w:r>
      <w:r w:rsidR="00355E8F">
        <w:rPr>
          <w:i/>
          <w:iCs/>
        </w:rPr>
        <w:t>m</w:t>
      </w:r>
      <w:r w:rsidRPr="00BF5702">
        <w:rPr>
          <w:i/>
          <w:iCs/>
        </w:rPr>
        <w:t>unications Bureau Assignment of License Authorization Applications, Transfer of Control of License Applications, and De Facto Transfer Lease Applications, and Designated Entity Reportable Eligibility Event Applications Accepted for Filing</w:t>
      </w:r>
      <w:r>
        <w:t>, Report No. 18584 (Apr</w:t>
      </w:r>
      <w:r w:rsidR="00033FBC">
        <w:t>.</w:t>
      </w:r>
      <w:r>
        <w:t xml:space="preserve"> 24, 2024). </w:t>
      </w:r>
    </w:p>
  </w:footnote>
  <w:footnote w:id="15">
    <w:p w:rsidR="005254BC" w:rsidP="005254BC" w14:paraId="77F09D82" w14:textId="199E343A">
      <w:pPr>
        <w:pStyle w:val="FootnoteText"/>
      </w:pPr>
      <w:r>
        <w:rPr>
          <w:rStyle w:val="FootnoteReference"/>
        </w:rPr>
        <w:footnoteRef/>
      </w:r>
      <w:r>
        <w:t xml:space="preserve"> </w:t>
      </w:r>
      <w:r w:rsidRPr="007F2A81">
        <w:rPr>
          <w:i/>
          <w:iCs/>
        </w:rPr>
        <w:t>See</w:t>
      </w:r>
      <w:r>
        <w:t xml:space="preserve"> </w:t>
      </w:r>
      <w:r w:rsidR="003E656E">
        <w:t xml:space="preserve">PCSP </w:t>
      </w:r>
      <w:r>
        <w:t>Petition to Deny</w:t>
      </w:r>
      <w:r w:rsidR="003E656E">
        <w:t xml:space="preserve"> at</w:t>
      </w:r>
      <w:r w:rsidR="00EB7578">
        <w:t xml:space="preserve"> 1, 9-10</w:t>
      </w:r>
      <w:r w:rsidR="003E656E">
        <w:t xml:space="preserve">; Itron Petition to Hold in Abeyance at </w:t>
      </w:r>
      <w:r w:rsidR="00E91C4D">
        <w:t>1-2, 5</w:t>
      </w:r>
      <w:r>
        <w:t xml:space="preserve">. </w:t>
      </w:r>
    </w:p>
  </w:footnote>
  <w:footnote w:id="16">
    <w:p w:rsidR="005254BC" w:rsidP="005254BC" w14:paraId="64D76D46" w14:textId="77777777">
      <w:pPr>
        <w:pStyle w:val="FootnoteText"/>
      </w:pPr>
      <w:r>
        <w:rPr>
          <w:rStyle w:val="FootnoteReference"/>
        </w:rPr>
        <w:footnoteRef/>
      </w:r>
      <w:r>
        <w:t xml:space="preserve"> Applicants’ Joint Opposition of Progeny LMS, LLC and Susan L. Uecker, Receiver, ULS File No. 0011022019 (filed May 17, 2024) (Joint Opposition). </w:t>
      </w:r>
    </w:p>
  </w:footnote>
  <w:footnote w:id="17">
    <w:p w:rsidR="005254BC" w:rsidP="005254BC" w14:paraId="378809BF" w14:textId="2AC70B53">
      <w:pPr>
        <w:pStyle w:val="FootnoteText"/>
      </w:pPr>
      <w:r>
        <w:rPr>
          <w:rStyle w:val="FootnoteReference"/>
        </w:rPr>
        <w:footnoteRef/>
      </w:r>
      <w:r>
        <w:t xml:space="preserve"> Reply to Joint Opposition of Progeny LMS, LLC and Susan L. Uecker, Receiver, ULS File No. 0011022019 (filed May 24, 2024) (PCSP Reply); Reply of Itron, Inc., ULS File No. 0011022019 (filed May 24, 2024) (Itron Reply</w:t>
      </w:r>
      <w:r w:rsidR="00397B30">
        <w:t xml:space="preserve">, and together with PCSP Reply, </w:t>
      </w:r>
      <w:r>
        <w:t>Replies).</w:t>
      </w:r>
    </w:p>
  </w:footnote>
  <w:footnote w:id="18">
    <w:p w:rsidR="00BD06BF" w14:paraId="7C2780CE" w14:textId="6556EC33">
      <w:pPr>
        <w:pStyle w:val="FootnoteText"/>
      </w:pPr>
      <w:r>
        <w:rPr>
          <w:rStyle w:val="FootnoteReference"/>
        </w:rPr>
        <w:footnoteRef/>
      </w:r>
      <w:r>
        <w:t xml:space="preserve"> </w:t>
      </w:r>
      <w:r w:rsidR="00244B17">
        <w:t>Letter from Applicants to Marlene H. Dortch, Secretary, FCC, ULS File No. 0011022019, 1 (filed June 6, 2025) (Letter).</w:t>
      </w:r>
    </w:p>
  </w:footnote>
  <w:footnote w:id="19">
    <w:p w:rsidR="00451907" w:rsidRPr="001D1EFF" w:rsidP="00451907" w14:paraId="20AC28E8" w14:textId="2A8A9DB1">
      <w:pPr>
        <w:pStyle w:val="FootnoteText"/>
        <w:rPr>
          <w:iCs/>
        </w:rPr>
      </w:pPr>
      <w:r>
        <w:rPr>
          <w:rStyle w:val="FootnoteReference"/>
        </w:rPr>
        <w:footnoteRef/>
      </w:r>
      <w:r>
        <w:t xml:space="preserve"> </w:t>
      </w:r>
      <w:r w:rsidRPr="0019130C">
        <w:t xml:space="preserve">47 U.S.C. §§ 214(a), 310(d).  Section 310(d) of the Act requires that we consider applications for </w:t>
      </w:r>
      <w:r w:rsidR="00747F88">
        <w:t>assignment of</w:t>
      </w:r>
      <w:r w:rsidRPr="0019130C">
        <w:t xml:space="preserve"> Title III licenses under the same standard as if the proposed </w:t>
      </w:r>
      <w:r w:rsidR="00747F88">
        <w:t>assignee</w:t>
      </w:r>
      <w:r w:rsidRPr="0019130C">
        <w:t xml:space="preserve"> were applying for licenses directly under section 308 of the Act, 47 U.S.C. § 308.  </w:t>
      </w:r>
      <w:r w:rsidRPr="0019130C">
        <w:rPr>
          <w:i/>
        </w:rPr>
        <w:t>See, e.g.</w:t>
      </w:r>
      <w:r w:rsidRPr="0019130C">
        <w:t xml:space="preserve">, </w:t>
      </w:r>
      <w:r w:rsidRPr="0019130C">
        <w:rPr>
          <w:i/>
        </w:rPr>
        <w:t xml:space="preserve">Applications of Level 3 Communications, Inc. and CenturyLink, Inc. for Consent </w:t>
      </w:r>
      <w:r>
        <w:rPr>
          <w:i/>
        </w:rPr>
        <w:t>t</w:t>
      </w:r>
      <w:r w:rsidRPr="0019130C">
        <w:rPr>
          <w:i/>
        </w:rPr>
        <w:t>o Transfer Control of Licenses and Authorizations</w:t>
      </w:r>
      <w:r w:rsidRPr="0019130C">
        <w:t xml:space="preserve">, Memorandum Opinion and Order, 32 FCC </w:t>
      </w:r>
      <w:r w:rsidRPr="0019130C">
        <w:t>Rcd</w:t>
      </w:r>
      <w:r w:rsidRPr="0019130C">
        <w:t xml:space="preserve"> 9581, 9585, para. 8 (2017) (</w:t>
      </w:r>
      <w:r w:rsidRPr="0019130C">
        <w:rPr>
          <w:i/>
        </w:rPr>
        <w:t>CenturyLink-Level 3 Order</w:t>
      </w:r>
      <w:r w:rsidRPr="0019130C">
        <w:t xml:space="preserve">); </w:t>
      </w:r>
      <w:r w:rsidRPr="0019130C">
        <w:rPr>
          <w:i/>
        </w:rPr>
        <w:t xml:space="preserve">Application of Verizon Communications Inc. and Straight Path Communications, Inc. for Consent </w:t>
      </w:r>
      <w:r>
        <w:rPr>
          <w:i/>
        </w:rPr>
        <w:t>t</w:t>
      </w:r>
      <w:r w:rsidRPr="0019130C">
        <w:rPr>
          <w:i/>
        </w:rPr>
        <w:t>o Transfer Control of Local Multipoint Distribution Service, 39 GHz, Common Carrier Point-to-Point Microwave, and 3650-3700 MHz Service Licenses</w:t>
      </w:r>
      <w:r w:rsidRPr="0019130C">
        <w:t xml:space="preserve">, Memorandum Opinion and Order, 33 FCC </w:t>
      </w:r>
      <w:r w:rsidRPr="0019130C">
        <w:t>Rcd</w:t>
      </w:r>
      <w:r w:rsidRPr="0019130C">
        <w:t xml:space="preserve"> 188, 189, para. 5 &amp; n.11 (WTB 2018) (</w:t>
      </w:r>
      <w:r w:rsidRPr="0019130C">
        <w:rPr>
          <w:i/>
        </w:rPr>
        <w:t>Verizon-Straight Path Order</w:t>
      </w:r>
      <w:r w:rsidRPr="0019130C">
        <w:t>)</w:t>
      </w:r>
      <w:r w:rsidR="00415F03">
        <w:rPr>
          <w:iCs/>
        </w:rPr>
        <w:t xml:space="preserve">; </w:t>
      </w:r>
      <w:r w:rsidRPr="005E1FD2" w:rsidR="00415F03">
        <w:rPr>
          <w:i/>
          <w:iCs/>
          <w:spacing w:val="-2"/>
        </w:rPr>
        <w:t>Frontier Communications Parent, Inc. and Verizon Communications, Inc. Application for Consent to Transfer Control</w:t>
      </w:r>
      <w:r w:rsidR="00415F03">
        <w:rPr>
          <w:spacing w:val="-2"/>
        </w:rPr>
        <w:t>,</w:t>
      </w:r>
      <w:r w:rsidR="00482D4D">
        <w:rPr>
          <w:spacing w:val="-2"/>
        </w:rPr>
        <w:t xml:space="preserve"> WC Docket No. 24-445, </w:t>
      </w:r>
      <w:r w:rsidR="001E1693">
        <w:rPr>
          <w:spacing w:val="-2"/>
        </w:rPr>
        <w:t xml:space="preserve">Memorandum Opinion and Order, </w:t>
      </w:r>
      <w:r w:rsidR="00C27812">
        <w:rPr>
          <w:spacing w:val="-2"/>
        </w:rPr>
        <w:t xml:space="preserve">DA 25-421, </w:t>
      </w:r>
      <w:r w:rsidR="00FA1260">
        <w:rPr>
          <w:spacing w:val="-2"/>
        </w:rPr>
        <w:t>5, para. 9 (WCB-OIA</w:t>
      </w:r>
      <w:r w:rsidR="00B756E6">
        <w:rPr>
          <w:spacing w:val="-2"/>
        </w:rPr>
        <w:t>-WTB</w:t>
      </w:r>
      <w:r w:rsidR="00FA1260">
        <w:rPr>
          <w:spacing w:val="-2"/>
        </w:rPr>
        <w:t xml:space="preserve"> May </w:t>
      </w:r>
      <w:r w:rsidR="004B50A7">
        <w:rPr>
          <w:spacing w:val="-2"/>
        </w:rPr>
        <w:t>16, 2025)</w:t>
      </w:r>
      <w:r w:rsidR="002F0FD2">
        <w:rPr>
          <w:spacing w:val="-2"/>
        </w:rPr>
        <w:t xml:space="preserve"> (</w:t>
      </w:r>
      <w:r w:rsidR="002F0FD2">
        <w:rPr>
          <w:i/>
          <w:iCs/>
          <w:spacing w:val="-2"/>
        </w:rPr>
        <w:t>Verizon-Frontier Order</w:t>
      </w:r>
      <w:r w:rsidR="002F0FD2">
        <w:rPr>
          <w:spacing w:val="-2"/>
        </w:rPr>
        <w:t>).</w:t>
      </w:r>
    </w:p>
  </w:footnote>
  <w:footnote w:id="20">
    <w:p w:rsidR="00451907" w:rsidP="00451907" w14:paraId="07AA1650" w14:textId="6F00A606">
      <w:pPr>
        <w:pStyle w:val="FootnoteText"/>
      </w:pPr>
      <w:r>
        <w:rPr>
          <w:rStyle w:val="FootnoteReference"/>
        </w:rPr>
        <w:footnoteRef/>
      </w:r>
      <w:r>
        <w:t xml:space="preserve"> </w:t>
      </w:r>
      <w:r w:rsidRPr="0019130C">
        <w:t>47 U.S.C. § 310(d);</w:t>
      </w:r>
      <w:r w:rsidRPr="0019130C">
        <w:rPr>
          <w:i/>
        </w:rPr>
        <w:t xml:space="preserve"> CenturyLink-Level 3 Order</w:t>
      </w:r>
      <w:r w:rsidRPr="0019130C">
        <w:t xml:space="preserve">, 32 FCC </w:t>
      </w:r>
      <w:r w:rsidRPr="0019130C">
        <w:t>Rcd</w:t>
      </w:r>
      <w:r w:rsidRPr="0019130C">
        <w:t xml:space="preserve"> at 9585, para. 8; </w:t>
      </w:r>
      <w:r w:rsidRPr="0019130C">
        <w:rPr>
          <w:i/>
        </w:rPr>
        <w:t>Verizon-Straight Path Order</w:t>
      </w:r>
      <w:r w:rsidRPr="0019130C">
        <w:t xml:space="preserve">, 33 FCC </w:t>
      </w:r>
      <w:r w:rsidRPr="0019130C">
        <w:t>Rcd</w:t>
      </w:r>
      <w:r w:rsidRPr="0019130C">
        <w:t xml:space="preserve"> at 190, para. 5</w:t>
      </w:r>
      <w:r w:rsidR="002F0FD2">
        <w:t xml:space="preserve">; </w:t>
      </w:r>
      <w:r w:rsidR="002F0FD2">
        <w:rPr>
          <w:i/>
          <w:iCs/>
          <w:spacing w:val="-2"/>
        </w:rPr>
        <w:t xml:space="preserve">Verizon-Frontier Order </w:t>
      </w:r>
      <w:r w:rsidR="002F0FD2">
        <w:rPr>
          <w:spacing w:val="-2"/>
        </w:rPr>
        <w:t>at 5, para. 9</w:t>
      </w:r>
      <w:r>
        <w:t>.</w:t>
      </w:r>
    </w:p>
  </w:footnote>
  <w:footnote w:id="21">
    <w:p w:rsidR="00747F88" w:rsidP="00747F88" w14:paraId="6D4D1DAD" w14:textId="55D229B2">
      <w:pPr>
        <w:pStyle w:val="FootnoteText"/>
      </w:pPr>
      <w:r>
        <w:rPr>
          <w:rStyle w:val="FootnoteReference"/>
        </w:rPr>
        <w:footnoteRef/>
      </w:r>
      <w:r>
        <w:t xml:space="preserve"> </w:t>
      </w:r>
      <w:r w:rsidRPr="0019130C">
        <w:rPr>
          <w:i/>
        </w:rPr>
        <w:t>See, e.g.</w:t>
      </w:r>
      <w:r w:rsidRPr="004D7DFA">
        <w:rPr>
          <w:iCs/>
        </w:rPr>
        <w:t>,</w:t>
      </w:r>
      <w:r w:rsidRPr="00875624">
        <w:rPr>
          <w:iCs/>
        </w:rPr>
        <w:t xml:space="preserve"> </w:t>
      </w:r>
      <w:r w:rsidRPr="0019130C">
        <w:rPr>
          <w:i/>
        </w:rPr>
        <w:t>CenturyLink-Level 3 Order</w:t>
      </w:r>
      <w:r w:rsidRPr="0019130C">
        <w:t xml:space="preserve">, 32 FCC </w:t>
      </w:r>
      <w:r w:rsidRPr="0019130C">
        <w:t>Rcd</w:t>
      </w:r>
      <w:r w:rsidRPr="0019130C">
        <w:t xml:space="preserve"> at 9585, para 9; </w:t>
      </w:r>
      <w:r w:rsidRPr="0019130C">
        <w:rPr>
          <w:i/>
        </w:rPr>
        <w:t>Verizon-Straight Path Order</w:t>
      </w:r>
      <w:r w:rsidRPr="0019130C">
        <w:t xml:space="preserve">, 33 FCC </w:t>
      </w:r>
      <w:r w:rsidRPr="0019130C">
        <w:t>Rcd</w:t>
      </w:r>
      <w:r w:rsidRPr="0019130C">
        <w:t xml:space="preserve"> at 190, para. 5</w:t>
      </w:r>
      <w:r w:rsidR="00506FF8">
        <w:t xml:space="preserve">; </w:t>
      </w:r>
      <w:r w:rsidR="00506FF8">
        <w:rPr>
          <w:i/>
          <w:iCs/>
          <w:spacing w:val="-2"/>
        </w:rPr>
        <w:t xml:space="preserve">Verizon-Frontier Order </w:t>
      </w:r>
      <w:r w:rsidR="00506FF8">
        <w:rPr>
          <w:spacing w:val="-2"/>
        </w:rPr>
        <w:t>at 5,</w:t>
      </w:r>
      <w:r w:rsidR="004B4701">
        <w:rPr>
          <w:spacing w:val="-2"/>
        </w:rPr>
        <w:t xml:space="preserve"> para. </w:t>
      </w:r>
      <w:r w:rsidR="00DC1194">
        <w:rPr>
          <w:spacing w:val="-2"/>
        </w:rPr>
        <w:t>10</w:t>
      </w:r>
      <w:r w:rsidRPr="0019130C">
        <w:t>.</w:t>
      </w:r>
    </w:p>
  </w:footnote>
  <w:footnote w:id="22">
    <w:p w:rsidR="00AB5B89" w:rsidP="00AB5B89" w14:paraId="2C1FE7C8" w14:textId="3D755A51">
      <w:pPr>
        <w:pStyle w:val="FootnoteText"/>
      </w:pPr>
      <w:r>
        <w:rPr>
          <w:rStyle w:val="FootnoteReference"/>
        </w:rPr>
        <w:footnoteRef/>
      </w:r>
      <w:r>
        <w:t xml:space="preserve"> </w:t>
      </w:r>
      <w:r w:rsidRPr="0019130C">
        <w:t xml:space="preserve">47 U.S.C. § 309(e); </w:t>
      </w:r>
      <w:r w:rsidRPr="0019130C">
        <w:rPr>
          <w:i/>
        </w:rPr>
        <w:t>CenturyLink-Level 3 Order</w:t>
      </w:r>
      <w:r w:rsidRPr="0019130C">
        <w:t xml:space="preserve">, 32 FCC </w:t>
      </w:r>
      <w:r w:rsidRPr="0019130C">
        <w:t>Rcd</w:t>
      </w:r>
      <w:r w:rsidRPr="0019130C">
        <w:t xml:space="preserve"> at 9586, para. 10; </w:t>
      </w:r>
      <w:r w:rsidR="00AF243E">
        <w:rPr>
          <w:i/>
          <w:iCs/>
        </w:rPr>
        <w:t xml:space="preserve">Applications of T-Mobile US, Inc., and Sprint Corp., for Consent to Transfer Control of Licenses and Authorizations, Applications of American H Block Wireless L.L.C., DBSD Corp., Gamma Acquisition L.L.C., and Manifest Wireless L.L.C. for Extension of </w:t>
      </w:r>
      <w:r w:rsidRPr="00566035" w:rsidR="00AF243E">
        <w:rPr>
          <w:i/>
          <w:iCs/>
        </w:rPr>
        <w:t>Time</w:t>
      </w:r>
      <w:r w:rsidR="00AF243E">
        <w:t xml:space="preserve">, WT Docket No. 18-197, Memorandum Opinion and Order, Declaratory Ruling, and Order of Proposed Modification, 34 FCC </w:t>
      </w:r>
      <w:r w:rsidR="00AF243E">
        <w:t>Rcd</w:t>
      </w:r>
      <w:r w:rsidR="00AF243E">
        <w:t xml:space="preserve"> 10578, 10596, para. 42 (2019) (</w:t>
      </w:r>
      <w:r w:rsidRPr="00566035" w:rsidR="00AF243E">
        <w:rPr>
          <w:i/>
          <w:iCs/>
        </w:rPr>
        <w:t>T-</w:t>
      </w:r>
      <w:r w:rsidR="00AF243E">
        <w:rPr>
          <w:i/>
          <w:iCs/>
        </w:rPr>
        <w:t>Mobile-Sprint Order</w:t>
      </w:r>
      <w:r w:rsidR="00AF243E">
        <w:t xml:space="preserve">); </w:t>
      </w:r>
      <w:r w:rsidRPr="0019130C">
        <w:rPr>
          <w:i/>
        </w:rPr>
        <w:t>Verizon-Straight Path Order</w:t>
      </w:r>
      <w:r w:rsidRPr="0019130C">
        <w:t xml:space="preserve">, 33 FCC </w:t>
      </w:r>
      <w:r w:rsidRPr="0019130C">
        <w:t>Rcd</w:t>
      </w:r>
      <w:r w:rsidRPr="0019130C">
        <w:t xml:space="preserve"> at 190-91, para. 7;</w:t>
      </w:r>
      <w:r w:rsidR="004B4701">
        <w:t xml:space="preserve"> </w:t>
      </w:r>
      <w:r w:rsidR="004B4701">
        <w:rPr>
          <w:i/>
          <w:iCs/>
          <w:spacing w:val="-2"/>
        </w:rPr>
        <w:t xml:space="preserve">Verizon-Frontier Order </w:t>
      </w:r>
      <w:r w:rsidR="004B4701">
        <w:rPr>
          <w:spacing w:val="-2"/>
        </w:rPr>
        <w:t xml:space="preserve">at </w:t>
      </w:r>
      <w:r w:rsidR="00DC1194">
        <w:rPr>
          <w:spacing w:val="-2"/>
        </w:rPr>
        <w:t>6</w:t>
      </w:r>
      <w:r w:rsidR="004B4701">
        <w:rPr>
          <w:spacing w:val="-2"/>
        </w:rPr>
        <w:t xml:space="preserve">, para. </w:t>
      </w:r>
      <w:r w:rsidR="00DC1194">
        <w:rPr>
          <w:spacing w:val="-2"/>
        </w:rPr>
        <w:t>11</w:t>
      </w:r>
      <w:r w:rsidRPr="0019130C">
        <w:t>.</w:t>
      </w:r>
    </w:p>
  </w:footnote>
  <w:footnote w:id="23">
    <w:p w:rsidR="000727A0" w:rsidRPr="00DC3470" w:rsidP="000727A0" w14:paraId="27EFBE8A" w14:textId="77777777">
      <w:pPr>
        <w:pStyle w:val="FootnoteText"/>
      </w:pPr>
      <w:r w:rsidRPr="00231456">
        <w:rPr>
          <w:rStyle w:val="FootnoteReference"/>
        </w:rPr>
        <w:footnoteRef/>
      </w:r>
      <w:r w:rsidRPr="00231456">
        <w:t xml:space="preserve"> 47 U.S.C. § 310(d).</w:t>
      </w:r>
    </w:p>
  </w:footnote>
  <w:footnote w:id="24">
    <w:p w:rsidR="00C26E4B" w:rsidRPr="00DC3470" w:rsidP="00C26E4B" w14:paraId="72026C11" w14:textId="0870AB9D">
      <w:pPr>
        <w:pStyle w:val="FootnoteText"/>
      </w:pPr>
      <w:r w:rsidRPr="00DC3470">
        <w:rPr>
          <w:rStyle w:val="FootnoteReference"/>
        </w:rPr>
        <w:footnoteRef/>
      </w:r>
      <w:r w:rsidRPr="00DC3470">
        <w:t xml:space="preserve"> </w:t>
      </w:r>
      <w:r w:rsidRPr="001B7A3B">
        <w:t>The Commission generally does not reevaluate the qualifications of transferors unless issues related to basic qualifications have been sufficiently raised in petitions to warrant designation for hearing.</w:t>
      </w:r>
      <w:r>
        <w:t xml:space="preserve">  </w:t>
      </w:r>
      <w:r w:rsidRPr="00DC3470">
        <w:rPr>
          <w:i/>
        </w:rPr>
        <w:t>See</w:t>
      </w:r>
      <w:r w:rsidRPr="00DC3470">
        <w:t xml:space="preserve"> </w:t>
      </w:r>
      <w:r w:rsidRPr="00354198">
        <w:rPr>
          <w:i/>
        </w:rPr>
        <w:t>T-Mobile-Sprint Order</w:t>
      </w:r>
      <w:r>
        <w:rPr>
          <w:iCs/>
        </w:rPr>
        <w:t>,</w:t>
      </w:r>
      <w:r>
        <w:t xml:space="preserve"> </w:t>
      </w:r>
      <w:r w:rsidRPr="00D840FA">
        <w:rPr>
          <w:snapToGrid w:val="0"/>
          <w:kern w:val="28"/>
        </w:rPr>
        <w:t xml:space="preserve">34 FCC </w:t>
      </w:r>
      <w:r w:rsidRPr="00D840FA">
        <w:rPr>
          <w:snapToGrid w:val="0"/>
          <w:kern w:val="28"/>
        </w:rPr>
        <w:t>Rcd</w:t>
      </w:r>
      <w:r w:rsidRPr="00D840FA">
        <w:rPr>
          <w:snapToGrid w:val="0"/>
          <w:kern w:val="28"/>
        </w:rPr>
        <w:t xml:space="preserve"> at 1059</w:t>
      </w:r>
      <w:r>
        <w:rPr>
          <w:snapToGrid w:val="0"/>
          <w:kern w:val="28"/>
        </w:rPr>
        <w:t>7</w:t>
      </w:r>
      <w:r>
        <w:t xml:space="preserve">, para. 45; </w:t>
      </w:r>
      <w:r w:rsidR="002F23CE">
        <w:rPr>
          <w:i/>
          <w:iCs/>
        </w:rPr>
        <w:t>Applications of AT&amp;T Inc. and DIRECTV for Consent to Assign or Transfer Control of Licenses and Authorizations</w:t>
      </w:r>
      <w:r w:rsidR="002F23CE">
        <w:t xml:space="preserve">, Memorandum Opinion and Order, 30 FCC </w:t>
      </w:r>
      <w:r w:rsidR="002F23CE">
        <w:t>Rcd</w:t>
      </w:r>
      <w:r w:rsidR="002F23CE">
        <w:t xml:space="preserve"> 9131, </w:t>
      </w:r>
      <w:r w:rsidRPr="00DC3470" w:rsidR="002F23CE">
        <w:t>9142, para. 25</w:t>
      </w:r>
      <w:r w:rsidR="002F23CE">
        <w:t xml:space="preserve"> (2015) (</w:t>
      </w:r>
      <w:r w:rsidRPr="000A168C" w:rsidR="002F23CE">
        <w:rPr>
          <w:i/>
        </w:rPr>
        <w:t>AT&amp;T-DIRECTV Order</w:t>
      </w:r>
      <w:r w:rsidR="002F23CE">
        <w:rPr>
          <w:iCs/>
        </w:rPr>
        <w:t>)</w:t>
      </w:r>
      <w:r>
        <w:t>.</w:t>
      </w:r>
    </w:p>
  </w:footnote>
  <w:footnote w:id="25">
    <w:p w:rsidR="00C26E4B" w:rsidRPr="00027876" w:rsidP="00C26E4B" w14:paraId="61F8B006" w14:textId="77777777">
      <w:pPr>
        <w:pStyle w:val="FootnoteText"/>
      </w:pPr>
      <w:r w:rsidRPr="00027876">
        <w:rPr>
          <w:rStyle w:val="FootnoteReference"/>
        </w:rPr>
        <w:footnoteRef/>
      </w:r>
      <w:r w:rsidRPr="00027876">
        <w:t xml:space="preserve"> </w:t>
      </w:r>
      <w:r w:rsidRPr="005A53E3">
        <w:rPr>
          <w:i/>
          <w:snapToGrid w:val="0"/>
          <w:kern w:val="28"/>
        </w:rPr>
        <w:t>See</w:t>
      </w:r>
      <w:r w:rsidRPr="005A53E3">
        <w:rPr>
          <w:snapToGrid w:val="0"/>
          <w:kern w:val="28"/>
        </w:rPr>
        <w:t xml:space="preserve"> </w:t>
      </w:r>
      <w:r w:rsidRPr="005A53E3">
        <w:rPr>
          <w:i/>
          <w:snapToGrid w:val="0"/>
          <w:kern w:val="28"/>
        </w:rPr>
        <w:t>T-Mobile-Sprint Order</w:t>
      </w:r>
      <w:r w:rsidRPr="005A53E3">
        <w:rPr>
          <w:iCs/>
          <w:snapToGrid w:val="0"/>
          <w:kern w:val="28"/>
        </w:rPr>
        <w:t xml:space="preserve">, </w:t>
      </w:r>
      <w:r w:rsidRPr="005A53E3">
        <w:rPr>
          <w:snapToGrid w:val="0"/>
          <w:kern w:val="28"/>
        </w:rPr>
        <w:t xml:space="preserve">34 FCC </w:t>
      </w:r>
      <w:r w:rsidRPr="005A53E3">
        <w:rPr>
          <w:snapToGrid w:val="0"/>
          <w:kern w:val="28"/>
        </w:rPr>
        <w:t>Rcd</w:t>
      </w:r>
      <w:r w:rsidRPr="005A53E3">
        <w:rPr>
          <w:snapToGrid w:val="0"/>
          <w:kern w:val="28"/>
        </w:rPr>
        <w:t xml:space="preserve"> at 10597, para. 44; </w:t>
      </w:r>
      <w:r w:rsidRPr="005A53E3">
        <w:rPr>
          <w:i/>
          <w:snapToGrid w:val="0"/>
          <w:kern w:val="28"/>
        </w:rPr>
        <w:t>AT&amp;T-DIRECTV Order</w:t>
      </w:r>
      <w:r w:rsidRPr="005A53E3">
        <w:rPr>
          <w:snapToGrid w:val="0"/>
          <w:kern w:val="28"/>
        </w:rPr>
        <w:t xml:space="preserve">, 30 FCC </w:t>
      </w:r>
      <w:r w:rsidRPr="005A53E3">
        <w:rPr>
          <w:snapToGrid w:val="0"/>
          <w:kern w:val="28"/>
        </w:rPr>
        <w:t>Rcd</w:t>
      </w:r>
      <w:r w:rsidRPr="005A53E3">
        <w:rPr>
          <w:snapToGrid w:val="0"/>
          <w:kern w:val="28"/>
        </w:rPr>
        <w:t xml:space="preserve"> at 9142, para. 25.</w:t>
      </w:r>
    </w:p>
  </w:footnote>
  <w:footnote w:id="26">
    <w:p w:rsidR="00B708D7" w:rsidP="00B708D7" w14:paraId="4CAE56E5" w14:textId="77777777">
      <w:pPr>
        <w:pStyle w:val="FootnoteText"/>
      </w:pPr>
      <w:r>
        <w:rPr>
          <w:rStyle w:val="FootnoteReference"/>
        </w:rPr>
        <w:footnoteRef/>
      </w:r>
      <w:r>
        <w:t xml:space="preserve"> </w:t>
      </w:r>
      <w:r w:rsidRPr="005E1FD2">
        <w:rPr>
          <w:i/>
          <w:iCs/>
        </w:rPr>
        <w:t>Amendment of Part 90 of the Commission’s Rules to Adopt Regulations for Automatic Vehicle Monitoring Systems</w:t>
      </w:r>
      <w:r>
        <w:t xml:space="preserve">, Report and Order, 10 FCC </w:t>
      </w:r>
      <w:r>
        <w:t>Rcd</w:t>
      </w:r>
      <w:r>
        <w:t>. 4695, 4696, para. 1 (1995) (</w:t>
      </w:r>
      <w:r w:rsidRPr="00326F94">
        <w:rPr>
          <w:i/>
          <w:iCs/>
        </w:rPr>
        <w:t>1995 LMS Report &amp; Order</w:t>
      </w:r>
      <w:r>
        <w:t xml:space="preserve">). </w:t>
      </w:r>
    </w:p>
  </w:footnote>
  <w:footnote w:id="27">
    <w:p w:rsidR="00D37BBC" w:rsidP="00D37BBC" w14:paraId="2EBA41D5" w14:textId="74B8BAE2">
      <w:pPr>
        <w:pStyle w:val="FootnoteText"/>
      </w:pPr>
      <w:r>
        <w:rPr>
          <w:rStyle w:val="FootnoteReference"/>
        </w:rPr>
        <w:footnoteRef/>
      </w:r>
      <w:r>
        <w:t xml:space="preserve"> </w:t>
      </w:r>
      <w:r w:rsidRPr="00CC5430" w:rsidR="00CC5430">
        <w:t>Telesaurus does not have a construction obligation for its 128 licenses</w:t>
      </w:r>
      <w:r w:rsidR="0053607D">
        <w:t xml:space="preserve">.  </w:t>
      </w:r>
      <w:r w:rsidRPr="00D36FE2" w:rsidR="0053607D">
        <w:rPr>
          <w:i/>
          <w:iCs/>
        </w:rPr>
        <w:t>See</w:t>
      </w:r>
      <w:r>
        <w:t xml:space="preserve"> </w:t>
      </w:r>
      <w:r w:rsidRPr="0027192A">
        <w:rPr>
          <w:i/>
          <w:iCs/>
        </w:rPr>
        <w:t>Requests by FCR, Inc., Progeny LMS, LLC, PCS Partners, L.P. and Helen Wong-Armijo for Waiver and Limited Extension of Time</w:t>
      </w:r>
      <w:r w:rsidR="00D4257A">
        <w:rPr>
          <w:i/>
          <w:iCs/>
        </w:rPr>
        <w:t>;</w:t>
      </w:r>
      <w:r w:rsidRPr="0027192A">
        <w:rPr>
          <w:i/>
          <w:iCs/>
        </w:rPr>
        <w:t xml:space="preserve"> Requests by Skybridge Spectrum Foundation and Telesaurus Holdings GB, LLC for Waiver and Limited Extension of Time</w:t>
      </w:r>
      <w:r>
        <w:t xml:space="preserve">, WT </w:t>
      </w:r>
      <w:r>
        <w:t>Dkt</w:t>
      </w:r>
      <w:r>
        <w:t xml:space="preserve">. Nos. 12-202, 12-229, Order, 29 FCC </w:t>
      </w:r>
      <w:r>
        <w:t>Rcd</w:t>
      </w:r>
      <w:r>
        <w:t xml:space="preserve">. 10361, </w:t>
      </w:r>
      <w:r w:rsidR="00077C0B">
        <w:t>10368</w:t>
      </w:r>
      <w:r>
        <w:t>, para. 20 (WTB</w:t>
      </w:r>
      <w:r w:rsidR="00D4257A">
        <w:t>-MD</w:t>
      </w:r>
      <w:r>
        <w:t xml:space="preserve"> 2014).</w:t>
      </w:r>
      <w:r w:rsidR="00CD39B8">
        <w:t xml:space="preserve">  In addition,</w:t>
      </w:r>
      <w:r w:rsidRPr="00CD39B8" w:rsidR="00CD39B8">
        <w:t xml:space="preserve"> according to ULS, it has not built out those licenses.</w:t>
      </w:r>
    </w:p>
  </w:footnote>
  <w:footnote w:id="28">
    <w:p w:rsidR="00436E9A" w:rsidRPr="00436E9A" w:rsidP="00436E9A" w14:paraId="5EE0F989" w14:textId="18CDF038">
      <w:pPr>
        <w:pStyle w:val="FootnoteText"/>
      </w:pPr>
      <w:r>
        <w:rPr>
          <w:rStyle w:val="FootnoteReference"/>
        </w:rPr>
        <w:footnoteRef/>
      </w:r>
      <w:r>
        <w:t xml:space="preserve"> </w:t>
      </w:r>
      <w:r>
        <w:rPr>
          <w:i/>
          <w:iCs/>
        </w:rPr>
        <w:t xml:space="preserve">See </w:t>
      </w:r>
      <w:r>
        <w:t>Public Interest Statement at 1-2.</w:t>
      </w:r>
    </w:p>
  </w:footnote>
  <w:footnote w:id="29">
    <w:p w:rsidR="00BB1161" w:rsidP="00EC12DE" w14:paraId="2AB5E00C" w14:textId="13E91D91">
      <w:pPr>
        <w:pStyle w:val="FootnoteText"/>
      </w:pPr>
      <w:r>
        <w:rPr>
          <w:rStyle w:val="FootnoteReference"/>
        </w:rPr>
        <w:footnoteRef/>
      </w:r>
      <w:r>
        <w:t xml:space="preserve"> </w:t>
      </w:r>
      <w:r w:rsidRPr="00EB7578">
        <w:rPr>
          <w:i/>
          <w:iCs/>
        </w:rPr>
        <w:t>See</w:t>
      </w:r>
      <w:r>
        <w:t xml:space="preserve"> PCSP </w:t>
      </w:r>
      <w:r w:rsidRPr="00EB7578">
        <w:t>Petition</w:t>
      </w:r>
      <w:r w:rsidRPr="00EB7578">
        <w:t>s</w:t>
      </w:r>
      <w:r>
        <w:t xml:space="preserve"> to Deny at 2, 8-9; Itron Petition to Hold in Abeyance at 2-3.  </w:t>
      </w:r>
    </w:p>
  </w:footnote>
  <w:footnote w:id="30">
    <w:p w:rsidR="00F50507" w14:paraId="6143DA92" w14:textId="5EBD93C3">
      <w:pPr>
        <w:pStyle w:val="FootnoteText"/>
      </w:pPr>
      <w:r>
        <w:rPr>
          <w:rStyle w:val="FootnoteReference"/>
        </w:rPr>
        <w:footnoteRef/>
      </w:r>
      <w:r>
        <w:t xml:space="preserve"> </w:t>
      </w:r>
      <w:r>
        <w:rPr>
          <w:i/>
          <w:iCs/>
        </w:rPr>
        <w:t xml:space="preserve">See </w:t>
      </w:r>
      <w:r>
        <w:t xml:space="preserve">Itron Petition to Hold in Abeyance at 1, 5 (asking to hold the assignment and waiver in abeyance until the Commission decides on </w:t>
      </w:r>
      <w:r>
        <w:t>NextNav’s</w:t>
      </w:r>
      <w:r>
        <w:t xml:space="preserve"> pending petition for rulemaking); PCSP Petition to Deny at 2, 8-10 (asking to hold the assignment and waiver in abeyance until the Commission decides on a number of other pending matters).</w:t>
      </w:r>
    </w:p>
  </w:footnote>
  <w:footnote w:id="31">
    <w:p w:rsidR="005A0BCC" w14:paraId="26512A77" w14:textId="43627522">
      <w:pPr>
        <w:pStyle w:val="FootnoteText"/>
      </w:pPr>
      <w:r>
        <w:rPr>
          <w:rStyle w:val="FootnoteReference"/>
        </w:rPr>
        <w:footnoteRef/>
      </w:r>
      <w:r>
        <w:t xml:space="preserve"> To be clear, this Order does not address any of the following pending matters: </w:t>
      </w:r>
      <w:r>
        <w:t>NextNav</w:t>
      </w:r>
      <w:r>
        <w:t xml:space="preserve"> Petition for Rulemaking, Enabling Next-Generation Terrestrial Positioning, Navigation, and Timing and 5G: A Plan for the Lower 900 MHz Band (902-928 MHz) (filed Apr. 16, 2024) (</w:t>
      </w:r>
      <w:r>
        <w:t>NextNav</w:t>
      </w:r>
      <w:r>
        <w:t xml:space="preserve"> April 2024 Petition); Letter from Robert Lantz, General Counsel, </w:t>
      </w:r>
      <w:r>
        <w:t>NextNav</w:t>
      </w:r>
      <w:r>
        <w:t xml:space="preserve"> Inc., to Marlene H. Dortch, Secretary, FCC (filed June 7, 2024) (supplement to </w:t>
      </w:r>
      <w:r>
        <w:t>NextNav</w:t>
      </w:r>
      <w:r>
        <w:t xml:space="preserve"> April 2024 Petition proposing specific part 90 rule revisions) (jointly with Next Nav April 2024 Petition, </w:t>
      </w:r>
      <w:r>
        <w:t>NextNav</w:t>
      </w:r>
      <w:r>
        <w:t xml:space="preserve"> Petition for Rulemaking); Skybridge Petition for Reconsideration, ULS File No. 0007441599, DA 17-1124, WT </w:t>
      </w:r>
      <w:r>
        <w:t>Dkt</w:t>
      </w:r>
      <w:r>
        <w:t xml:space="preserve">. 16-385 (filed Dec. 20, 2017) (Skybridge Petition for Reconsideration); Progeny Petition for Reconsideration, ULS File Nos. 0006729503, WT </w:t>
      </w:r>
      <w:r>
        <w:t>Dkt</w:t>
      </w:r>
      <w:r>
        <w:t xml:space="preserve">, 12-202 (filed Feb. 16 2017) (Progeny Petition for Reconsideration); PCSP Application for Review, WT </w:t>
      </w:r>
      <w:r>
        <w:t>Dkt</w:t>
      </w:r>
      <w:r>
        <w:t xml:space="preserve">. 12-202 (filed Feb. 17, 2017) (PCSP Application for Review); Application for Review of Helen Wong-Armijo, WT </w:t>
      </w:r>
      <w:r>
        <w:t>Dkt</w:t>
      </w:r>
      <w:r>
        <w:t xml:space="preserve">. 16-385 (filed Dec. 20, 2017) (Wong-Armijo Application for Review); Application for Review of FCR, Inc., WT </w:t>
      </w:r>
      <w:r>
        <w:t>Dkt</w:t>
      </w:r>
      <w:r>
        <w:t xml:space="preserve">. 16-385 (filed Dec. 20, 2017) (FCR Application for Review); PCSP Petition for Reconsideration, WT </w:t>
      </w:r>
      <w:r>
        <w:t>Dkt</w:t>
      </w:r>
      <w:r>
        <w:t>. 16-149 (filed Dec. 20, 2017) (PCSP Rule Waiver Petition for Reconsideration).</w:t>
      </w:r>
      <w:r w:rsidR="00E45964">
        <w:t xml:space="preserve">  </w:t>
      </w:r>
      <w:r w:rsidR="0090206B">
        <w:t xml:space="preserve">We also note that Itron has made no indication in its filing of why it would be impacted by this transaction, nor does it provide a reason for holding the transaction in abeyance other than “administrative efficiency.”  Itron Petition to Hold in Abeyance at </w:t>
      </w:r>
      <w:r w:rsidR="005F3E88">
        <w:t xml:space="preserve">4.  </w:t>
      </w:r>
      <w:r w:rsidR="00222F4E">
        <w:t>P</w:t>
      </w:r>
      <w:r w:rsidR="00CB2047">
        <w:t>CS</w:t>
      </w:r>
      <w:r w:rsidR="00222F4E">
        <w:t>P’s arguments to hold</w:t>
      </w:r>
      <w:r w:rsidR="00CB2047">
        <w:t xml:space="preserve"> the assignment</w:t>
      </w:r>
      <w:r w:rsidR="00222F4E">
        <w:t xml:space="preserve"> in abeyance appear premised on either the fact that a decision on the terminated licenses would impact it, or that decision on the other pending matters would impact it. </w:t>
      </w:r>
      <w:r w:rsidR="00657133">
        <w:t xml:space="preserve"> </w:t>
      </w:r>
      <w:r w:rsidR="00657133">
        <w:rPr>
          <w:i/>
          <w:iCs/>
        </w:rPr>
        <w:t>See, e.g.</w:t>
      </w:r>
      <w:r w:rsidR="00657133">
        <w:t>, P</w:t>
      </w:r>
      <w:r w:rsidR="00532E05">
        <w:t>CS</w:t>
      </w:r>
      <w:r w:rsidR="00657133">
        <w:t xml:space="preserve">P Petition to Deny at </w:t>
      </w:r>
      <w:r w:rsidR="00F02418">
        <w:t xml:space="preserve">8-9.  </w:t>
      </w:r>
      <w:r w:rsidR="00222F4E">
        <w:t xml:space="preserve">Because </w:t>
      </w:r>
      <w:r w:rsidR="00E455A0">
        <w:t xml:space="preserve">this </w:t>
      </w:r>
      <w:r w:rsidR="00056BA4">
        <w:t>O</w:t>
      </w:r>
      <w:r w:rsidR="00E455A0">
        <w:t xml:space="preserve">rder is y limited to assignment of the active licenses, and </w:t>
      </w:r>
      <w:r w:rsidR="00F02418">
        <w:t xml:space="preserve">it </w:t>
      </w:r>
      <w:r w:rsidR="00E455A0">
        <w:t xml:space="preserve">does not </w:t>
      </w:r>
      <w:r w:rsidR="00657133">
        <w:t>address any of the aforementioned pending matters, we decline P</w:t>
      </w:r>
      <w:r w:rsidR="00532E05">
        <w:t>CS</w:t>
      </w:r>
      <w:r w:rsidR="00657133">
        <w:t xml:space="preserve">P’s request.  </w:t>
      </w:r>
    </w:p>
  </w:footnote>
  <w:footnote w:id="32">
    <w:p w:rsidR="00116946" w:rsidP="00116946" w14:paraId="1593B43C" w14:textId="77777777">
      <w:pPr>
        <w:pStyle w:val="FootnoteText"/>
      </w:pPr>
      <w:r>
        <w:rPr>
          <w:rStyle w:val="FootnoteReference"/>
        </w:rPr>
        <w:footnoteRef/>
      </w:r>
      <w:r>
        <w:t xml:space="preserve"> 47 CFR § 1.925(b)(3). </w:t>
      </w:r>
    </w:p>
  </w:footnote>
  <w:footnote w:id="33">
    <w:p w:rsidR="00A33E9F" w:rsidP="00A33E9F" w14:paraId="572310B6" w14:textId="0DE0CBD5">
      <w:pPr>
        <w:pStyle w:val="FootnoteText"/>
      </w:pPr>
      <w:r>
        <w:rPr>
          <w:rStyle w:val="FootnoteReference"/>
        </w:rPr>
        <w:footnoteRef/>
      </w:r>
      <w:r>
        <w:t xml:space="preserve"> </w:t>
      </w:r>
      <w:r w:rsidRPr="00326F94" w:rsidR="00DF09E8">
        <w:rPr>
          <w:i/>
          <w:iCs/>
        </w:rPr>
        <w:t>1995 LMS Report &amp; Order</w:t>
      </w:r>
      <w:r w:rsidR="00A859D1">
        <w:t xml:space="preserve">, 10 FCC </w:t>
      </w:r>
      <w:r w:rsidR="00A859D1">
        <w:t>Rcd</w:t>
      </w:r>
      <w:r w:rsidR="00A859D1">
        <w:t xml:space="preserve">. </w:t>
      </w:r>
      <w:r>
        <w:t xml:space="preserve">at </w:t>
      </w:r>
      <w:r w:rsidR="00F848C6">
        <w:t xml:space="preserve">4722, </w:t>
      </w:r>
      <w:r>
        <w:t>para. 48.</w:t>
      </w:r>
      <w:r w:rsidR="007E6EAB">
        <w:t xml:space="preserve"> </w:t>
      </w:r>
      <w:r>
        <w:t xml:space="preserve"> </w:t>
      </w:r>
    </w:p>
  </w:footnote>
  <w:footnote w:id="34">
    <w:p w:rsidR="00A33E9F" w:rsidP="00A33E9F" w14:paraId="7744FFFD" w14:textId="77777777">
      <w:pPr>
        <w:pStyle w:val="FootnoteText"/>
      </w:pPr>
      <w:r>
        <w:rPr>
          <w:rStyle w:val="FootnoteReference"/>
        </w:rPr>
        <w:footnoteRef/>
      </w:r>
      <w:r>
        <w:t xml:space="preserve"> </w:t>
      </w:r>
      <w:r w:rsidRPr="00797A40">
        <w:rPr>
          <w:i/>
          <w:iCs/>
        </w:rPr>
        <w:t>Id</w:t>
      </w:r>
      <w:r>
        <w:t xml:space="preserve">. </w:t>
      </w:r>
    </w:p>
  </w:footnote>
  <w:footnote w:id="35">
    <w:p w:rsidR="00A33E9F" w:rsidP="00A33E9F" w14:paraId="2D1D8000" w14:textId="680138E5">
      <w:pPr>
        <w:pStyle w:val="FootnoteText"/>
      </w:pPr>
      <w:r>
        <w:rPr>
          <w:rStyle w:val="FootnoteReference"/>
        </w:rPr>
        <w:footnoteRef/>
      </w:r>
      <w:r>
        <w:t xml:space="preserve"> </w:t>
      </w:r>
      <w:r w:rsidRPr="00797A40" w:rsidR="00993B0F">
        <w:rPr>
          <w:i/>
          <w:iCs/>
        </w:rPr>
        <w:t>Id</w:t>
      </w:r>
      <w:r w:rsidR="00993B0F">
        <w:t>.</w:t>
      </w:r>
      <w:r w:rsidR="00CD52A3">
        <w:t xml:space="preserve"> at 4722</w:t>
      </w:r>
      <w:r w:rsidR="00DA0798">
        <w:t xml:space="preserve">, </w:t>
      </w:r>
      <w:r w:rsidR="00B64321">
        <w:t xml:space="preserve">4724, </w:t>
      </w:r>
      <w:r w:rsidR="00CD52A3">
        <w:t>para</w:t>
      </w:r>
      <w:r w:rsidR="00B64321">
        <w:t>s</w:t>
      </w:r>
      <w:r w:rsidR="00CD52A3">
        <w:t>. 48</w:t>
      </w:r>
      <w:r w:rsidR="00B64321">
        <w:t>, 52</w:t>
      </w:r>
      <w:r w:rsidR="007A388D">
        <w:t>.</w:t>
      </w:r>
      <w:r w:rsidR="00CD52A3">
        <w:t xml:space="preserve"> </w:t>
      </w:r>
    </w:p>
  </w:footnote>
  <w:footnote w:id="36">
    <w:p w:rsidR="00A33E9F" w:rsidP="00A33E9F" w14:paraId="5FC459D6" w14:textId="77777777">
      <w:pPr>
        <w:pStyle w:val="FootnoteText"/>
      </w:pPr>
      <w:r>
        <w:rPr>
          <w:rStyle w:val="FootnoteReference"/>
        </w:rPr>
        <w:footnoteRef/>
      </w:r>
      <w:r>
        <w:t xml:space="preserve"> 47 CFR § 90.353(d).</w:t>
      </w:r>
    </w:p>
  </w:footnote>
  <w:footnote w:id="37">
    <w:p w:rsidR="00562004" w:rsidP="00562004" w14:paraId="0CDADF91" w14:textId="77777777">
      <w:pPr>
        <w:pStyle w:val="FootnoteText"/>
      </w:pPr>
      <w:r>
        <w:rPr>
          <w:rStyle w:val="FootnoteReference"/>
        </w:rPr>
        <w:footnoteRef/>
      </w:r>
      <w:r>
        <w:t xml:space="preserve"> Public Interest Statement at 3.</w:t>
      </w:r>
    </w:p>
  </w:footnote>
  <w:footnote w:id="38">
    <w:p w:rsidR="00562004" w:rsidP="00562004" w14:paraId="43BF85D5" w14:textId="06BF98C5">
      <w:pPr>
        <w:pStyle w:val="FootnoteText"/>
      </w:pPr>
      <w:r>
        <w:rPr>
          <w:rStyle w:val="FootnoteReference"/>
        </w:rPr>
        <w:footnoteRef/>
      </w:r>
      <w:r>
        <w:t xml:space="preserve"> </w:t>
      </w:r>
      <w:r w:rsidRPr="00797A40" w:rsidR="00993B0F">
        <w:rPr>
          <w:i/>
          <w:iCs/>
        </w:rPr>
        <w:t>Id</w:t>
      </w:r>
      <w:r w:rsidR="00993B0F">
        <w:t>.</w:t>
      </w:r>
    </w:p>
  </w:footnote>
  <w:footnote w:id="39">
    <w:p w:rsidR="00360486" w:rsidP="00360486" w14:paraId="13D5C791" w14:textId="50E4A377">
      <w:pPr>
        <w:pStyle w:val="FootnoteText"/>
      </w:pPr>
      <w:r>
        <w:rPr>
          <w:rStyle w:val="FootnoteReference"/>
        </w:rPr>
        <w:footnoteRef/>
      </w:r>
      <w:r>
        <w:t xml:space="preserve"> </w:t>
      </w:r>
      <w:r w:rsidRPr="00797A40" w:rsidR="00993B0F">
        <w:rPr>
          <w:i/>
          <w:iCs/>
        </w:rPr>
        <w:t>Id</w:t>
      </w:r>
      <w:r w:rsidR="00993B0F">
        <w:t>.</w:t>
      </w:r>
    </w:p>
  </w:footnote>
  <w:footnote w:id="40">
    <w:p w:rsidR="0098324E" w14:paraId="5FBE329B" w14:textId="15878442">
      <w:pPr>
        <w:pStyle w:val="FootnoteText"/>
      </w:pPr>
      <w:r>
        <w:rPr>
          <w:rStyle w:val="FootnoteReference"/>
        </w:rPr>
        <w:footnoteRef/>
      </w:r>
      <w:r>
        <w:t xml:space="preserve"> </w:t>
      </w:r>
      <w:r w:rsidRPr="0027192A">
        <w:rPr>
          <w:i/>
          <w:iCs/>
        </w:rPr>
        <w:t>1995 LMS Report and Order</w:t>
      </w:r>
      <w:r w:rsidR="00A27849">
        <w:t xml:space="preserve">, 10 FCC </w:t>
      </w:r>
      <w:r w:rsidR="00A27849">
        <w:t>Rcd</w:t>
      </w:r>
      <w:r w:rsidR="00A27849">
        <w:t>.</w:t>
      </w:r>
      <w:r>
        <w:t xml:space="preserve"> </w:t>
      </w:r>
      <w:r w:rsidR="00A27849">
        <w:t xml:space="preserve">at </w:t>
      </w:r>
      <w:r w:rsidR="00F03908">
        <w:t>4722</w:t>
      </w:r>
      <w:r w:rsidR="00A27849">
        <w:t>, para.</w:t>
      </w:r>
      <w:r w:rsidR="00CC6B9E">
        <w:t xml:space="preserve"> 48. </w:t>
      </w:r>
    </w:p>
  </w:footnote>
  <w:footnote w:id="41">
    <w:p w:rsidR="001D5BD3" w14:paraId="36FC7691" w14:textId="52481737">
      <w:pPr>
        <w:pStyle w:val="FootnoteText"/>
      </w:pPr>
      <w:r>
        <w:rPr>
          <w:rStyle w:val="FootnoteReference"/>
        </w:rPr>
        <w:footnoteRef/>
      </w:r>
      <w:r>
        <w:t xml:space="preserve"> To the extent PCSP and Itron</w:t>
      </w:r>
      <w:r w:rsidR="00D72FBF">
        <w:t>’</w:t>
      </w:r>
      <w:r w:rsidR="00A43B1F">
        <w:t>s</w:t>
      </w:r>
      <w:r w:rsidR="00D72FBF">
        <w:t xml:space="preserve"> Petitions</w:t>
      </w:r>
      <w:r>
        <w:t xml:space="preserve"> </w:t>
      </w:r>
      <w:r w:rsidR="00D72FBF">
        <w:t xml:space="preserve">address </w:t>
      </w:r>
      <w:r>
        <w:t xml:space="preserve">the request for waiver, they both only </w:t>
      </w:r>
      <w:r w:rsidR="00AD2335">
        <w:t>seek</w:t>
      </w:r>
      <w:r>
        <w:t xml:space="preserve"> to hold </w:t>
      </w:r>
      <w:r w:rsidR="00504DB6">
        <w:t xml:space="preserve">the waiver </w:t>
      </w:r>
      <w:r w:rsidR="00AD2335">
        <w:t xml:space="preserve">and assignment </w:t>
      </w:r>
      <w:r w:rsidR="00504DB6">
        <w:t>in abeyance</w:t>
      </w:r>
      <w:r w:rsidR="00AD2335">
        <w:t xml:space="preserve"> (which we address above)</w:t>
      </w:r>
      <w:r w:rsidR="00504DB6">
        <w:t>, but do not appear to s</w:t>
      </w:r>
      <w:r w:rsidR="00AD2335">
        <w:t>ubstantively</w:t>
      </w:r>
      <w:r w:rsidR="00504DB6">
        <w:t xml:space="preserve"> object to a waiver of the holding limit.  </w:t>
      </w:r>
      <w:r w:rsidR="00AD2335">
        <w:rPr>
          <w:i/>
          <w:iCs/>
        </w:rPr>
        <w:t>See, e.g.</w:t>
      </w:r>
      <w:r w:rsidR="00AD2335">
        <w:t xml:space="preserve">, </w:t>
      </w:r>
      <w:r w:rsidR="00504DB6">
        <w:t xml:space="preserve">PCSP Petition to Deny at </w:t>
      </w:r>
      <w:r w:rsidR="00D72FBF">
        <w:t>3</w:t>
      </w:r>
      <w:r w:rsidR="00504DB6">
        <w:t xml:space="preserve">; Itron Petition to Hold in Abeyance at </w:t>
      </w:r>
      <w:r w:rsidR="00490598">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0C65880" w14:textId="0879FAFC">
    <w:pPr>
      <w:pStyle w:val="Header"/>
      <w:rPr>
        <w:b w:val="0"/>
      </w:rPr>
    </w:pPr>
    <w:r>
      <w:tab/>
      <w:t>Federal Communications Commission</w:t>
    </w:r>
    <w:r>
      <w:tab/>
    </w:r>
    <w:r w:rsidR="008A17AC">
      <w:t>DA 25-535</w:t>
    </w:r>
  </w:p>
  <w:p w:rsidR="00D25FB5" w14:paraId="443DF27A" w14:textId="39869D56">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14:paraId="178C1335"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5324A630" w14:textId="252942FA">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8A17AC">
      <w:rPr>
        <w:spacing w:val="-2"/>
      </w:rPr>
      <w:t xml:space="preserve">DA 25-535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662902583">
    <w:abstractNumId w:val="1"/>
  </w:num>
  <w:num w:numId="2" w16cid:durableId="1546525960">
    <w:abstractNumId w:val="5"/>
  </w:num>
  <w:num w:numId="3" w16cid:durableId="29770730">
    <w:abstractNumId w:val="3"/>
  </w:num>
  <w:num w:numId="4" w16cid:durableId="560604454">
    <w:abstractNumId w:val="4"/>
  </w:num>
  <w:num w:numId="5" w16cid:durableId="1730765726">
    <w:abstractNumId w:val="2"/>
  </w:num>
  <w:num w:numId="6" w16cid:durableId="1877622776">
    <w:abstractNumId w:val="0"/>
  </w:num>
  <w:num w:numId="7" w16cid:durableId="722949744">
    <w:abstractNumId w:val="5"/>
    <w:lvlOverride w:ilvl="0">
      <w:startOverride w:val="1"/>
    </w:lvlOverride>
  </w:num>
  <w:num w:numId="8" w16cid:durableId="1381591791">
    <w:abstractNumId w:val="5"/>
    <w:lvlOverride w:ilvl="0">
      <w:startOverride w:val="1"/>
    </w:lvlOverride>
  </w:num>
  <w:num w:numId="9" w16cid:durableId="26419048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69"/>
    <w:rsid w:val="00001CBD"/>
    <w:rsid w:val="00001F1A"/>
    <w:rsid w:val="00002D2E"/>
    <w:rsid w:val="00003A75"/>
    <w:rsid w:val="00003BA0"/>
    <w:rsid w:val="00004151"/>
    <w:rsid w:val="00007248"/>
    <w:rsid w:val="00011F79"/>
    <w:rsid w:val="00014408"/>
    <w:rsid w:val="00016FB3"/>
    <w:rsid w:val="00017292"/>
    <w:rsid w:val="00017A96"/>
    <w:rsid w:val="0002017F"/>
    <w:rsid w:val="0002039A"/>
    <w:rsid w:val="00020B65"/>
    <w:rsid w:val="00020F13"/>
    <w:rsid w:val="000216DA"/>
    <w:rsid w:val="00026FAC"/>
    <w:rsid w:val="000273F9"/>
    <w:rsid w:val="00027876"/>
    <w:rsid w:val="00031F61"/>
    <w:rsid w:val="00032BB1"/>
    <w:rsid w:val="00033C81"/>
    <w:rsid w:val="00033ECA"/>
    <w:rsid w:val="00033F1E"/>
    <w:rsid w:val="00033FBC"/>
    <w:rsid w:val="00034633"/>
    <w:rsid w:val="000353CB"/>
    <w:rsid w:val="00036039"/>
    <w:rsid w:val="00036A5F"/>
    <w:rsid w:val="0003721C"/>
    <w:rsid w:val="00037949"/>
    <w:rsid w:val="00037F90"/>
    <w:rsid w:val="00041516"/>
    <w:rsid w:val="000429AA"/>
    <w:rsid w:val="000438E6"/>
    <w:rsid w:val="00044827"/>
    <w:rsid w:val="000449D1"/>
    <w:rsid w:val="0004510D"/>
    <w:rsid w:val="000476CC"/>
    <w:rsid w:val="000504F0"/>
    <w:rsid w:val="0005077A"/>
    <w:rsid w:val="00050A08"/>
    <w:rsid w:val="00051E5A"/>
    <w:rsid w:val="000529F1"/>
    <w:rsid w:val="00053529"/>
    <w:rsid w:val="00056662"/>
    <w:rsid w:val="00056BA4"/>
    <w:rsid w:val="000607AB"/>
    <w:rsid w:val="00062766"/>
    <w:rsid w:val="00064EB0"/>
    <w:rsid w:val="00066CF9"/>
    <w:rsid w:val="00070216"/>
    <w:rsid w:val="00070573"/>
    <w:rsid w:val="0007082E"/>
    <w:rsid w:val="000727A0"/>
    <w:rsid w:val="000738F9"/>
    <w:rsid w:val="000767BD"/>
    <w:rsid w:val="000768FC"/>
    <w:rsid w:val="00077C0B"/>
    <w:rsid w:val="00082589"/>
    <w:rsid w:val="0008475E"/>
    <w:rsid w:val="00085D29"/>
    <w:rsid w:val="000863AD"/>
    <w:rsid w:val="000875BF"/>
    <w:rsid w:val="0009080F"/>
    <w:rsid w:val="000912C0"/>
    <w:rsid w:val="00096D8C"/>
    <w:rsid w:val="000975BC"/>
    <w:rsid w:val="000A08F8"/>
    <w:rsid w:val="000A0E6A"/>
    <w:rsid w:val="000A168C"/>
    <w:rsid w:val="000A51A2"/>
    <w:rsid w:val="000A56CA"/>
    <w:rsid w:val="000A5743"/>
    <w:rsid w:val="000A6BEC"/>
    <w:rsid w:val="000A7EC8"/>
    <w:rsid w:val="000B228B"/>
    <w:rsid w:val="000B3B0E"/>
    <w:rsid w:val="000B3CD6"/>
    <w:rsid w:val="000B463C"/>
    <w:rsid w:val="000B4C29"/>
    <w:rsid w:val="000B5C35"/>
    <w:rsid w:val="000B654D"/>
    <w:rsid w:val="000B728D"/>
    <w:rsid w:val="000C0B65"/>
    <w:rsid w:val="000C1BA0"/>
    <w:rsid w:val="000C3F02"/>
    <w:rsid w:val="000C4B38"/>
    <w:rsid w:val="000C5044"/>
    <w:rsid w:val="000C5CC5"/>
    <w:rsid w:val="000C7777"/>
    <w:rsid w:val="000C7DD4"/>
    <w:rsid w:val="000D0BC1"/>
    <w:rsid w:val="000D1276"/>
    <w:rsid w:val="000D131E"/>
    <w:rsid w:val="000D1913"/>
    <w:rsid w:val="000D22E8"/>
    <w:rsid w:val="000D38A4"/>
    <w:rsid w:val="000D4417"/>
    <w:rsid w:val="000D754C"/>
    <w:rsid w:val="000E05FE"/>
    <w:rsid w:val="000E1A69"/>
    <w:rsid w:val="000E1DD3"/>
    <w:rsid w:val="000E2AD2"/>
    <w:rsid w:val="000E35CD"/>
    <w:rsid w:val="000E3A08"/>
    <w:rsid w:val="000E3D42"/>
    <w:rsid w:val="000E40D2"/>
    <w:rsid w:val="000E51F4"/>
    <w:rsid w:val="000E64E4"/>
    <w:rsid w:val="000E7691"/>
    <w:rsid w:val="000E7ACC"/>
    <w:rsid w:val="000E7F35"/>
    <w:rsid w:val="000F1EB1"/>
    <w:rsid w:val="000F1EB9"/>
    <w:rsid w:val="000F338C"/>
    <w:rsid w:val="000F3B94"/>
    <w:rsid w:val="000F570B"/>
    <w:rsid w:val="0010121E"/>
    <w:rsid w:val="00102B76"/>
    <w:rsid w:val="001032CA"/>
    <w:rsid w:val="001104AD"/>
    <w:rsid w:val="00111491"/>
    <w:rsid w:val="00111928"/>
    <w:rsid w:val="00112E5D"/>
    <w:rsid w:val="00115CF5"/>
    <w:rsid w:val="00115E12"/>
    <w:rsid w:val="00116946"/>
    <w:rsid w:val="00116A85"/>
    <w:rsid w:val="00116FF4"/>
    <w:rsid w:val="001177E7"/>
    <w:rsid w:val="001204F0"/>
    <w:rsid w:val="00121173"/>
    <w:rsid w:val="001218BB"/>
    <w:rsid w:val="00121A36"/>
    <w:rsid w:val="00121FAC"/>
    <w:rsid w:val="00122BD5"/>
    <w:rsid w:val="00122FC0"/>
    <w:rsid w:val="00124830"/>
    <w:rsid w:val="00124EBB"/>
    <w:rsid w:val="00125F87"/>
    <w:rsid w:val="00130123"/>
    <w:rsid w:val="0013033C"/>
    <w:rsid w:val="00132769"/>
    <w:rsid w:val="00133F79"/>
    <w:rsid w:val="00142CA6"/>
    <w:rsid w:val="0014369B"/>
    <w:rsid w:val="0014691F"/>
    <w:rsid w:val="00151718"/>
    <w:rsid w:val="00151EEB"/>
    <w:rsid w:val="001521D7"/>
    <w:rsid w:val="00152442"/>
    <w:rsid w:val="001525F6"/>
    <w:rsid w:val="00152A3D"/>
    <w:rsid w:val="00153106"/>
    <w:rsid w:val="001532C2"/>
    <w:rsid w:val="001544E7"/>
    <w:rsid w:val="00154619"/>
    <w:rsid w:val="0015627E"/>
    <w:rsid w:val="00157487"/>
    <w:rsid w:val="0016074B"/>
    <w:rsid w:val="0016132D"/>
    <w:rsid w:val="00161BD1"/>
    <w:rsid w:val="00162368"/>
    <w:rsid w:val="00163FA1"/>
    <w:rsid w:val="00164348"/>
    <w:rsid w:val="00166326"/>
    <w:rsid w:val="001679B8"/>
    <w:rsid w:val="00172420"/>
    <w:rsid w:val="00173A4F"/>
    <w:rsid w:val="00173B93"/>
    <w:rsid w:val="0017432E"/>
    <w:rsid w:val="00175146"/>
    <w:rsid w:val="00175D70"/>
    <w:rsid w:val="00176834"/>
    <w:rsid w:val="00181418"/>
    <w:rsid w:val="00183860"/>
    <w:rsid w:val="001846CD"/>
    <w:rsid w:val="001862D1"/>
    <w:rsid w:val="001907A1"/>
    <w:rsid w:val="0019086C"/>
    <w:rsid w:val="00190D15"/>
    <w:rsid w:val="00190E5E"/>
    <w:rsid w:val="0019130C"/>
    <w:rsid w:val="0019228F"/>
    <w:rsid w:val="00192668"/>
    <w:rsid w:val="00192BFA"/>
    <w:rsid w:val="00192DE3"/>
    <w:rsid w:val="00192FA8"/>
    <w:rsid w:val="00193086"/>
    <w:rsid w:val="001949BA"/>
    <w:rsid w:val="00194A66"/>
    <w:rsid w:val="0019564D"/>
    <w:rsid w:val="0019607A"/>
    <w:rsid w:val="00197820"/>
    <w:rsid w:val="001A0CC2"/>
    <w:rsid w:val="001A1E62"/>
    <w:rsid w:val="001A2955"/>
    <w:rsid w:val="001A6B5F"/>
    <w:rsid w:val="001A7E1E"/>
    <w:rsid w:val="001B057F"/>
    <w:rsid w:val="001B19CC"/>
    <w:rsid w:val="001B237B"/>
    <w:rsid w:val="001B3171"/>
    <w:rsid w:val="001B35EA"/>
    <w:rsid w:val="001B6A0E"/>
    <w:rsid w:val="001B79E5"/>
    <w:rsid w:val="001B7A3B"/>
    <w:rsid w:val="001C042D"/>
    <w:rsid w:val="001C2759"/>
    <w:rsid w:val="001C3C35"/>
    <w:rsid w:val="001C557E"/>
    <w:rsid w:val="001C7AD3"/>
    <w:rsid w:val="001D1A5C"/>
    <w:rsid w:val="001D1EFF"/>
    <w:rsid w:val="001D237B"/>
    <w:rsid w:val="001D3C2B"/>
    <w:rsid w:val="001D5BD3"/>
    <w:rsid w:val="001D6416"/>
    <w:rsid w:val="001D6BCF"/>
    <w:rsid w:val="001D7878"/>
    <w:rsid w:val="001E0026"/>
    <w:rsid w:val="001E01CA"/>
    <w:rsid w:val="001E0325"/>
    <w:rsid w:val="001E1693"/>
    <w:rsid w:val="001E30E8"/>
    <w:rsid w:val="001E5054"/>
    <w:rsid w:val="001E555D"/>
    <w:rsid w:val="001E61BC"/>
    <w:rsid w:val="001E725B"/>
    <w:rsid w:val="001E75E5"/>
    <w:rsid w:val="001F1412"/>
    <w:rsid w:val="001F2846"/>
    <w:rsid w:val="001F3948"/>
    <w:rsid w:val="002055DE"/>
    <w:rsid w:val="00205760"/>
    <w:rsid w:val="00205775"/>
    <w:rsid w:val="00205F34"/>
    <w:rsid w:val="0020667C"/>
    <w:rsid w:val="002117B6"/>
    <w:rsid w:val="00213A00"/>
    <w:rsid w:val="00215520"/>
    <w:rsid w:val="002158A6"/>
    <w:rsid w:val="002172E7"/>
    <w:rsid w:val="002178A4"/>
    <w:rsid w:val="00220168"/>
    <w:rsid w:val="002215C2"/>
    <w:rsid w:val="00221DA7"/>
    <w:rsid w:val="00222F4E"/>
    <w:rsid w:val="0022370D"/>
    <w:rsid w:val="002241E1"/>
    <w:rsid w:val="00224A3A"/>
    <w:rsid w:val="00226F32"/>
    <w:rsid w:val="00230BA5"/>
    <w:rsid w:val="00231456"/>
    <w:rsid w:val="00231DCE"/>
    <w:rsid w:val="00232CE3"/>
    <w:rsid w:val="00233018"/>
    <w:rsid w:val="00235B8A"/>
    <w:rsid w:val="00237FFE"/>
    <w:rsid w:val="00242311"/>
    <w:rsid w:val="002434A1"/>
    <w:rsid w:val="002446E7"/>
    <w:rsid w:val="00244B17"/>
    <w:rsid w:val="00245387"/>
    <w:rsid w:val="00245E5D"/>
    <w:rsid w:val="002469E8"/>
    <w:rsid w:val="00250729"/>
    <w:rsid w:val="00252E08"/>
    <w:rsid w:val="0025413E"/>
    <w:rsid w:val="002565F9"/>
    <w:rsid w:val="002576D3"/>
    <w:rsid w:val="00260476"/>
    <w:rsid w:val="0026148B"/>
    <w:rsid w:val="00262429"/>
    <w:rsid w:val="002637DD"/>
    <w:rsid w:val="00263C16"/>
    <w:rsid w:val="0026525C"/>
    <w:rsid w:val="002665FF"/>
    <w:rsid w:val="002668C2"/>
    <w:rsid w:val="00270CDB"/>
    <w:rsid w:val="0027175F"/>
    <w:rsid w:val="0027192A"/>
    <w:rsid w:val="002746E1"/>
    <w:rsid w:val="00274EFE"/>
    <w:rsid w:val="0027569C"/>
    <w:rsid w:val="00275CF5"/>
    <w:rsid w:val="00275E8E"/>
    <w:rsid w:val="002761F7"/>
    <w:rsid w:val="002823B9"/>
    <w:rsid w:val="00282C5B"/>
    <w:rsid w:val="0028301F"/>
    <w:rsid w:val="00285017"/>
    <w:rsid w:val="0028666C"/>
    <w:rsid w:val="00286A85"/>
    <w:rsid w:val="002873D4"/>
    <w:rsid w:val="00290C70"/>
    <w:rsid w:val="00290CDE"/>
    <w:rsid w:val="00294415"/>
    <w:rsid w:val="00294A31"/>
    <w:rsid w:val="00294D08"/>
    <w:rsid w:val="00295AA7"/>
    <w:rsid w:val="002A0E90"/>
    <w:rsid w:val="002A219E"/>
    <w:rsid w:val="002A238E"/>
    <w:rsid w:val="002A2D2E"/>
    <w:rsid w:val="002A6A54"/>
    <w:rsid w:val="002A7917"/>
    <w:rsid w:val="002B21AD"/>
    <w:rsid w:val="002B526E"/>
    <w:rsid w:val="002B6511"/>
    <w:rsid w:val="002B6F98"/>
    <w:rsid w:val="002C00E8"/>
    <w:rsid w:val="002C19FB"/>
    <w:rsid w:val="002C27F1"/>
    <w:rsid w:val="002C3BEA"/>
    <w:rsid w:val="002C47CB"/>
    <w:rsid w:val="002C51CC"/>
    <w:rsid w:val="002C721B"/>
    <w:rsid w:val="002C7AAC"/>
    <w:rsid w:val="002D07FB"/>
    <w:rsid w:val="002D2DE5"/>
    <w:rsid w:val="002D42EE"/>
    <w:rsid w:val="002D4392"/>
    <w:rsid w:val="002D524D"/>
    <w:rsid w:val="002D60FF"/>
    <w:rsid w:val="002D644D"/>
    <w:rsid w:val="002D7A21"/>
    <w:rsid w:val="002D7B17"/>
    <w:rsid w:val="002E0287"/>
    <w:rsid w:val="002E066E"/>
    <w:rsid w:val="002E06E3"/>
    <w:rsid w:val="002E0C90"/>
    <w:rsid w:val="002E13D8"/>
    <w:rsid w:val="002E1908"/>
    <w:rsid w:val="002E240E"/>
    <w:rsid w:val="002E278F"/>
    <w:rsid w:val="002E3387"/>
    <w:rsid w:val="002E4096"/>
    <w:rsid w:val="002E49CE"/>
    <w:rsid w:val="002E51F9"/>
    <w:rsid w:val="002E7203"/>
    <w:rsid w:val="002E7FD5"/>
    <w:rsid w:val="002F0903"/>
    <w:rsid w:val="002F0FD2"/>
    <w:rsid w:val="002F1DAE"/>
    <w:rsid w:val="002F1DE3"/>
    <w:rsid w:val="002F206B"/>
    <w:rsid w:val="002F23CE"/>
    <w:rsid w:val="002F26BF"/>
    <w:rsid w:val="002F2BDF"/>
    <w:rsid w:val="002F4780"/>
    <w:rsid w:val="002F53A6"/>
    <w:rsid w:val="002F5FDB"/>
    <w:rsid w:val="002F7B59"/>
    <w:rsid w:val="00300CB9"/>
    <w:rsid w:val="00301619"/>
    <w:rsid w:val="00302789"/>
    <w:rsid w:val="00302957"/>
    <w:rsid w:val="00302FC4"/>
    <w:rsid w:val="003032E3"/>
    <w:rsid w:val="003037C1"/>
    <w:rsid w:val="00305503"/>
    <w:rsid w:val="003057A5"/>
    <w:rsid w:val="00305B2C"/>
    <w:rsid w:val="003061BB"/>
    <w:rsid w:val="00306451"/>
    <w:rsid w:val="00306617"/>
    <w:rsid w:val="00306BF3"/>
    <w:rsid w:val="00307B2B"/>
    <w:rsid w:val="00310325"/>
    <w:rsid w:val="00310604"/>
    <w:rsid w:val="00312410"/>
    <w:rsid w:val="00313784"/>
    <w:rsid w:val="00313CAE"/>
    <w:rsid w:val="0032057F"/>
    <w:rsid w:val="00321BF7"/>
    <w:rsid w:val="0032358E"/>
    <w:rsid w:val="003238C3"/>
    <w:rsid w:val="00323D45"/>
    <w:rsid w:val="00323F12"/>
    <w:rsid w:val="00326F19"/>
    <w:rsid w:val="00326F94"/>
    <w:rsid w:val="0032733A"/>
    <w:rsid w:val="00327BB7"/>
    <w:rsid w:val="00331417"/>
    <w:rsid w:val="00332E8E"/>
    <w:rsid w:val="003330D0"/>
    <w:rsid w:val="00334D7B"/>
    <w:rsid w:val="00335D7C"/>
    <w:rsid w:val="00337B7A"/>
    <w:rsid w:val="003405FC"/>
    <w:rsid w:val="00341031"/>
    <w:rsid w:val="0034237A"/>
    <w:rsid w:val="00342FBC"/>
    <w:rsid w:val="00343749"/>
    <w:rsid w:val="003479A6"/>
    <w:rsid w:val="00347C65"/>
    <w:rsid w:val="00350F6A"/>
    <w:rsid w:val="00351080"/>
    <w:rsid w:val="00352203"/>
    <w:rsid w:val="00354198"/>
    <w:rsid w:val="003546AF"/>
    <w:rsid w:val="00354AEF"/>
    <w:rsid w:val="00355E8F"/>
    <w:rsid w:val="00357A29"/>
    <w:rsid w:val="00357F87"/>
    <w:rsid w:val="00360486"/>
    <w:rsid w:val="003604C8"/>
    <w:rsid w:val="00360B9A"/>
    <w:rsid w:val="003616C1"/>
    <w:rsid w:val="0036186A"/>
    <w:rsid w:val="00362586"/>
    <w:rsid w:val="00362BE4"/>
    <w:rsid w:val="003641C6"/>
    <w:rsid w:val="003660ED"/>
    <w:rsid w:val="00366B67"/>
    <w:rsid w:val="00367B61"/>
    <w:rsid w:val="00371CE1"/>
    <w:rsid w:val="00373DE6"/>
    <w:rsid w:val="0037521D"/>
    <w:rsid w:val="00376B47"/>
    <w:rsid w:val="0038007B"/>
    <w:rsid w:val="003812FF"/>
    <w:rsid w:val="00382320"/>
    <w:rsid w:val="0038257B"/>
    <w:rsid w:val="00382A00"/>
    <w:rsid w:val="00382C27"/>
    <w:rsid w:val="00383FDF"/>
    <w:rsid w:val="00384173"/>
    <w:rsid w:val="00386088"/>
    <w:rsid w:val="00386665"/>
    <w:rsid w:val="00386D4B"/>
    <w:rsid w:val="0038758C"/>
    <w:rsid w:val="0038765E"/>
    <w:rsid w:val="00387EB3"/>
    <w:rsid w:val="003902DC"/>
    <w:rsid w:val="0039104E"/>
    <w:rsid w:val="003910FB"/>
    <w:rsid w:val="00391D85"/>
    <w:rsid w:val="00391E3E"/>
    <w:rsid w:val="003921AD"/>
    <w:rsid w:val="0039348E"/>
    <w:rsid w:val="003947C8"/>
    <w:rsid w:val="00396021"/>
    <w:rsid w:val="003970BB"/>
    <w:rsid w:val="00397664"/>
    <w:rsid w:val="00397B30"/>
    <w:rsid w:val="00397F3E"/>
    <w:rsid w:val="003A280A"/>
    <w:rsid w:val="003A7C54"/>
    <w:rsid w:val="003B0121"/>
    <w:rsid w:val="003B012C"/>
    <w:rsid w:val="003B0550"/>
    <w:rsid w:val="003B1468"/>
    <w:rsid w:val="003B25C4"/>
    <w:rsid w:val="003B2F27"/>
    <w:rsid w:val="003B3968"/>
    <w:rsid w:val="003B694F"/>
    <w:rsid w:val="003B72B2"/>
    <w:rsid w:val="003C05AB"/>
    <w:rsid w:val="003C1B1E"/>
    <w:rsid w:val="003C1FC1"/>
    <w:rsid w:val="003C220E"/>
    <w:rsid w:val="003C24CA"/>
    <w:rsid w:val="003C3512"/>
    <w:rsid w:val="003C39AC"/>
    <w:rsid w:val="003C47A2"/>
    <w:rsid w:val="003C4967"/>
    <w:rsid w:val="003C4A21"/>
    <w:rsid w:val="003C503C"/>
    <w:rsid w:val="003C5B74"/>
    <w:rsid w:val="003C7C83"/>
    <w:rsid w:val="003D12BF"/>
    <w:rsid w:val="003D17D2"/>
    <w:rsid w:val="003D2286"/>
    <w:rsid w:val="003D3A96"/>
    <w:rsid w:val="003D6977"/>
    <w:rsid w:val="003E05B8"/>
    <w:rsid w:val="003E15C8"/>
    <w:rsid w:val="003E17C0"/>
    <w:rsid w:val="003E1AC8"/>
    <w:rsid w:val="003E555C"/>
    <w:rsid w:val="003E61AE"/>
    <w:rsid w:val="003E656E"/>
    <w:rsid w:val="003E6AD8"/>
    <w:rsid w:val="003E703D"/>
    <w:rsid w:val="003F0F1A"/>
    <w:rsid w:val="003F171C"/>
    <w:rsid w:val="003F20C8"/>
    <w:rsid w:val="003F2FCE"/>
    <w:rsid w:val="003F3AF4"/>
    <w:rsid w:val="003F3B17"/>
    <w:rsid w:val="003F6024"/>
    <w:rsid w:val="003F7833"/>
    <w:rsid w:val="00401B08"/>
    <w:rsid w:val="00402AE9"/>
    <w:rsid w:val="00402D49"/>
    <w:rsid w:val="00404061"/>
    <w:rsid w:val="00404AE9"/>
    <w:rsid w:val="00410D81"/>
    <w:rsid w:val="00412FC5"/>
    <w:rsid w:val="00413118"/>
    <w:rsid w:val="00415814"/>
    <w:rsid w:val="00415F03"/>
    <w:rsid w:val="00417607"/>
    <w:rsid w:val="00420011"/>
    <w:rsid w:val="00422276"/>
    <w:rsid w:val="0042244A"/>
    <w:rsid w:val="0042252C"/>
    <w:rsid w:val="004242F1"/>
    <w:rsid w:val="004244BA"/>
    <w:rsid w:val="00424AC1"/>
    <w:rsid w:val="004262FA"/>
    <w:rsid w:val="00426A3C"/>
    <w:rsid w:val="004304DD"/>
    <w:rsid w:val="00430AA7"/>
    <w:rsid w:val="00430AA8"/>
    <w:rsid w:val="004317A6"/>
    <w:rsid w:val="0043209E"/>
    <w:rsid w:val="00432298"/>
    <w:rsid w:val="004360F6"/>
    <w:rsid w:val="0043647E"/>
    <w:rsid w:val="00436E9A"/>
    <w:rsid w:val="0043741A"/>
    <w:rsid w:val="00437619"/>
    <w:rsid w:val="00440405"/>
    <w:rsid w:val="004419C5"/>
    <w:rsid w:val="00441D4F"/>
    <w:rsid w:val="00441F76"/>
    <w:rsid w:val="0044328F"/>
    <w:rsid w:val="00444ADC"/>
    <w:rsid w:val="00444B53"/>
    <w:rsid w:val="00445A00"/>
    <w:rsid w:val="00445CDE"/>
    <w:rsid w:val="00447AEF"/>
    <w:rsid w:val="00450D61"/>
    <w:rsid w:val="00451907"/>
    <w:rsid w:val="00451B0F"/>
    <w:rsid w:val="00452D3C"/>
    <w:rsid w:val="00453C50"/>
    <w:rsid w:val="00454F81"/>
    <w:rsid w:val="004563B4"/>
    <w:rsid w:val="00457D83"/>
    <w:rsid w:val="00457DA4"/>
    <w:rsid w:val="00460FE0"/>
    <w:rsid w:val="00462443"/>
    <w:rsid w:val="00462D55"/>
    <w:rsid w:val="004645F0"/>
    <w:rsid w:val="00465312"/>
    <w:rsid w:val="0046676F"/>
    <w:rsid w:val="00467A86"/>
    <w:rsid w:val="004705B4"/>
    <w:rsid w:val="00471162"/>
    <w:rsid w:val="00471196"/>
    <w:rsid w:val="00471598"/>
    <w:rsid w:val="00473C26"/>
    <w:rsid w:val="00473E3B"/>
    <w:rsid w:val="00474C6C"/>
    <w:rsid w:val="00475728"/>
    <w:rsid w:val="004757C0"/>
    <w:rsid w:val="00475C67"/>
    <w:rsid w:val="00476249"/>
    <w:rsid w:val="00476D6D"/>
    <w:rsid w:val="004826C1"/>
    <w:rsid w:val="0048294C"/>
    <w:rsid w:val="00482D4D"/>
    <w:rsid w:val="00485390"/>
    <w:rsid w:val="00485FB9"/>
    <w:rsid w:val="004862A8"/>
    <w:rsid w:val="00487206"/>
    <w:rsid w:val="004874EB"/>
    <w:rsid w:val="00490516"/>
    <w:rsid w:val="00490598"/>
    <w:rsid w:val="00492A6C"/>
    <w:rsid w:val="00495B57"/>
    <w:rsid w:val="00496769"/>
    <w:rsid w:val="00496FB4"/>
    <w:rsid w:val="00497778"/>
    <w:rsid w:val="004A0650"/>
    <w:rsid w:val="004A174E"/>
    <w:rsid w:val="004A1829"/>
    <w:rsid w:val="004A383C"/>
    <w:rsid w:val="004A433A"/>
    <w:rsid w:val="004A6DC9"/>
    <w:rsid w:val="004A703F"/>
    <w:rsid w:val="004B1BF9"/>
    <w:rsid w:val="004B4701"/>
    <w:rsid w:val="004B50A7"/>
    <w:rsid w:val="004B6FCD"/>
    <w:rsid w:val="004C156E"/>
    <w:rsid w:val="004C19CE"/>
    <w:rsid w:val="004C1F14"/>
    <w:rsid w:val="004C2AAC"/>
    <w:rsid w:val="004C2EE3"/>
    <w:rsid w:val="004C3EE1"/>
    <w:rsid w:val="004C57AA"/>
    <w:rsid w:val="004D2F06"/>
    <w:rsid w:val="004D44BF"/>
    <w:rsid w:val="004D5BA3"/>
    <w:rsid w:val="004D6084"/>
    <w:rsid w:val="004D664D"/>
    <w:rsid w:val="004D7411"/>
    <w:rsid w:val="004D7A60"/>
    <w:rsid w:val="004D7DFA"/>
    <w:rsid w:val="004E16A1"/>
    <w:rsid w:val="004E1A8E"/>
    <w:rsid w:val="004E22F5"/>
    <w:rsid w:val="004E2F22"/>
    <w:rsid w:val="004E4A22"/>
    <w:rsid w:val="004F1340"/>
    <w:rsid w:val="004F1D18"/>
    <w:rsid w:val="004F4F85"/>
    <w:rsid w:val="004F74A4"/>
    <w:rsid w:val="004F776A"/>
    <w:rsid w:val="004F7C95"/>
    <w:rsid w:val="005007F0"/>
    <w:rsid w:val="00501BAA"/>
    <w:rsid w:val="005028D0"/>
    <w:rsid w:val="005045EC"/>
    <w:rsid w:val="00504862"/>
    <w:rsid w:val="00504ADF"/>
    <w:rsid w:val="00504DB6"/>
    <w:rsid w:val="00504FFA"/>
    <w:rsid w:val="005058E3"/>
    <w:rsid w:val="005061D0"/>
    <w:rsid w:val="005067C2"/>
    <w:rsid w:val="00506FF8"/>
    <w:rsid w:val="00510381"/>
    <w:rsid w:val="00511968"/>
    <w:rsid w:val="00513A8B"/>
    <w:rsid w:val="00513ED7"/>
    <w:rsid w:val="0051510B"/>
    <w:rsid w:val="0051521C"/>
    <w:rsid w:val="0051664F"/>
    <w:rsid w:val="00516F20"/>
    <w:rsid w:val="00517B60"/>
    <w:rsid w:val="00517BF5"/>
    <w:rsid w:val="005213C7"/>
    <w:rsid w:val="00524C65"/>
    <w:rsid w:val="005250F7"/>
    <w:rsid w:val="005254BC"/>
    <w:rsid w:val="00525D7C"/>
    <w:rsid w:val="00525DF1"/>
    <w:rsid w:val="00526F28"/>
    <w:rsid w:val="005270B8"/>
    <w:rsid w:val="00527470"/>
    <w:rsid w:val="0052782D"/>
    <w:rsid w:val="00532E05"/>
    <w:rsid w:val="00532FDD"/>
    <w:rsid w:val="005354BC"/>
    <w:rsid w:val="00535F18"/>
    <w:rsid w:val="0053607D"/>
    <w:rsid w:val="00540678"/>
    <w:rsid w:val="00542255"/>
    <w:rsid w:val="00545BF4"/>
    <w:rsid w:val="00546D2F"/>
    <w:rsid w:val="0054771A"/>
    <w:rsid w:val="00552BE4"/>
    <w:rsid w:val="00552C3E"/>
    <w:rsid w:val="005541FE"/>
    <w:rsid w:val="00555349"/>
    <w:rsid w:val="005556BB"/>
    <w:rsid w:val="0055614C"/>
    <w:rsid w:val="005564C5"/>
    <w:rsid w:val="00556E7D"/>
    <w:rsid w:val="00560026"/>
    <w:rsid w:val="00560200"/>
    <w:rsid w:val="00560424"/>
    <w:rsid w:val="00560732"/>
    <w:rsid w:val="005610B8"/>
    <w:rsid w:val="00562004"/>
    <w:rsid w:val="0056254A"/>
    <w:rsid w:val="0056276B"/>
    <w:rsid w:val="00566035"/>
    <w:rsid w:val="00566D06"/>
    <w:rsid w:val="00566D95"/>
    <w:rsid w:val="00567AB8"/>
    <w:rsid w:val="00571EFE"/>
    <w:rsid w:val="00574E0F"/>
    <w:rsid w:val="0057505D"/>
    <w:rsid w:val="005752C6"/>
    <w:rsid w:val="0057539F"/>
    <w:rsid w:val="00576626"/>
    <w:rsid w:val="00576DB5"/>
    <w:rsid w:val="005772EE"/>
    <w:rsid w:val="0058054A"/>
    <w:rsid w:val="00580BCE"/>
    <w:rsid w:val="0058103A"/>
    <w:rsid w:val="00581995"/>
    <w:rsid w:val="00584041"/>
    <w:rsid w:val="00585CD5"/>
    <w:rsid w:val="005876C3"/>
    <w:rsid w:val="00587F4A"/>
    <w:rsid w:val="00587F6C"/>
    <w:rsid w:val="005905B0"/>
    <w:rsid w:val="00590863"/>
    <w:rsid w:val="00590A10"/>
    <w:rsid w:val="00594018"/>
    <w:rsid w:val="00594372"/>
    <w:rsid w:val="0059441A"/>
    <w:rsid w:val="0059711F"/>
    <w:rsid w:val="005A047E"/>
    <w:rsid w:val="005A0BCC"/>
    <w:rsid w:val="005A1F9F"/>
    <w:rsid w:val="005A2639"/>
    <w:rsid w:val="005A3035"/>
    <w:rsid w:val="005A4627"/>
    <w:rsid w:val="005A4CCC"/>
    <w:rsid w:val="005A53C3"/>
    <w:rsid w:val="005A53E3"/>
    <w:rsid w:val="005A57A5"/>
    <w:rsid w:val="005A6C9D"/>
    <w:rsid w:val="005B18EF"/>
    <w:rsid w:val="005B466F"/>
    <w:rsid w:val="005B6803"/>
    <w:rsid w:val="005B6E46"/>
    <w:rsid w:val="005C60AE"/>
    <w:rsid w:val="005C773E"/>
    <w:rsid w:val="005D02BE"/>
    <w:rsid w:val="005D182C"/>
    <w:rsid w:val="005D1C75"/>
    <w:rsid w:val="005D290E"/>
    <w:rsid w:val="005D4AE9"/>
    <w:rsid w:val="005D5BBA"/>
    <w:rsid w:val="005D6C0A"/>
    <w:rsid w:val="005D72D1"/>
    <w:rsid w:val="005D7C6E"/>
    <w:rsid w:val="005E0287"/>
    <w:rsid w:val="005E14C2"/>
    <w:rsid w:val="005E1838"/>
    <w:rsid w:val="005E1DC3"/>
    <w:rsid w:val="005E1FD2"/>
    <w:rsid w:val="005E250A"/>
    <w:rsid w:val="005E3ACA"/>
    <w:rsid w:val="005E4FCD"/>
    <w:rsid w:val="005E5022"/>
    <w:rsid w:val="005E5CAE"/>
    <w:rsid w:val="005E78B7"/>
    <w:rsid w:val="005E7B7E"/>
    <w:rsid w:val="005F22DD"/>
    <w:rsid w:val="005F2915"/>
    <w:rsid w:val="005F3087"/>
    <w:rsid w:val="005F31EE"/>
    <w:rsid w:val="005F3E88"/>
    <w:rsid w:val="005F4FDD"/>
    <w:rsid w:val="005F593D"/>
    <w:rsid w:val="005F6909"/>
    <w:rsid w:val="005F6D2A"/>
    <w:rsid w:val="00601569"/>
    <w:rsid w:val="006018C3"/>
    <w:rsid w:val="00601F0D"/>
    <w:rsid w:val="006043B7"/>
    <w:rsid w:val="00604400"/>
    <w:rsid w:val="00605E5C"/>
    <w:rsid w:val="00607617"/>
    <w:rsid w:val="006077BA"/>
    <w:rsid w:val="00607BA5"/>
    <w:rsid w:val="006105C9"/>
    <w:rsid w:val="00610F3C"/>
    <w:rsid w:val="0061180A"/>
    <w:rsid w:val="00611AAB"/>
    <w:rsid w:val="006122FD"/>
    <w:rsid w:val="0061268B"/>
    <w:rsid w:val="006126E7"/>
    <w:rsid w:val="00612DF5"/>
    <w:rsid w:val="00614A5B"/>
    <w:rsid w:val="00614E58"/>
    <w:rsid w:val="006152AD"/>
    <w:rsid w:val="00615852"/>
    <w:rsid w:val="00617B18"/>
    <w:rsid w:val="0062066B"/>
    <w:rsid w:val="00624020"/>
    <w:rsid w:val="00626EB6"/>
    <w:rsid w:val="0062732C"/>
    <w:rsid w:val="0062765A"/>
    <w:rsid w:val="00627B1F"/>
    <w:rsid w:val="0063112B"/>
    <w:rsid w:val="0063238E"/>
    <w:rsid w:val="00632CAC"/>
    <w:rsid w:val="00634123"/>
    <w:rsid w:val="00635483"/>
    <w:rsid w:val="00635DE2"/>
    <w:rsid w:val="00636279"/>
    <w:rsid w:val="006367DD"/>
    <w:rsid w:val="00636D2E"/>
    <w:rsid w:val="00637F75"/>
    <w:rsid w:val="00640399"/>
    <w:rsid w:val="0064137B"/>
    <w:rsid w:val="006421F0"/>
    <w:rsid w:val="00643C94"/>
    <w:rsid w:val="00644E1C"/>
    <w:rsid w:val="00645638"/>
    <w:rsid w:val="00645B60"/>
    <w:rsid w:val="006474A6"/>
    <w:rsid w:val="00650A33"/>
    <w:rsid w:val="00651DA2"/>
    <w:rsid w:val="00652782"/>
    <w:rsid w:val="0065286F"/>
    <w:rsid w:val="00652CFC"/>
    <w:rsid w:val="00653C79"/>
    <w:rsid w:val="00653E6F"/>
    <w:rsid w:val="00654FB7"/>
    <w:rsid w:val="0065511B"/>
    <w:rsid w:val="00655376"/>
    <w:rsid w:val="00655D03"/>
    <w:rsid w:val="00657133"/>
    <w:rsid w:val="006619AB"/>
    <w:rsid w:val="0066342A"/>
    <w:rsid w:val="00663859"/>
    <w:rsid w:val="006659B7"/>
    <w:rsid w:val="00665E44"/>
    <w:rsid w:val="00665FE7"/>
    <w:rsid w:val="00666574"/>
    <w:rsid w:val="00667308"/>
    <w:rsid w:val="006705F4"/>
    <w:rsid w:val="00670D5F"/>
    <w:rsid w:val="0067101D"/>
    <w:rsid w:val="00671298"/>
    <w:rsid w:val="0067152D"/>
    <w:rsid w:val="006723CB"/>
    <w:rsid w:val="00672513"/>
    <w:rsid w:val="00675B88"/>
    <w:rsid w:val="00675C75"/>
    <w:rsid w:val="00677CA9"/>
    <w:rsid w:val="00681812"/>
    <w:rsid w:val="00681FDF"/>
    <w:rsid w:val="00683388"/>
    <w:rsid w:val="00683F84"/>
    <w:rsid w:val="00684E30"/>
    <w:rsid w:val="00685349"/>
    <w:rsid w:val="00685A70"/>
    <w:rsid w:val="00687451"/>
    <w:rsid w:val="0068756C"/>
    <w:rsid w:val="00687665"/>
    <w:rsid w:val="00690B7E"/>
    <w:rsid w:val="0069505F"/>
    <w:rsid w:val="006960D7"/>
    <w:rsid w:val="00697502"/>
    <w:rsid w:val="006A10FE"/>
    <w:rsid w:val="006A197F"/>
    <w:rsid w:val="006A2B05"/>
    <w:rsid w:val="006A4E3C"/>
    <w:rsid w:val="006A6A81"/>
    <w:rsid w:val="006B0788"/>
    <w:rsid w:val="006B39DE"/>
    <w:rsid w:val="006B3F19"/>
    <w:rsid w:val="006B4BE3"/>
    <w:rsid w:val="006B506D"/>
    <w:rsid w:val="006B579A"/>
    <w:rsid w:val="006B5A94"/>
    <w:rsid w:val="006B5B6C"/>
    <w:rsid w:val="006B6155"/>
    <w:rsid w:val="006B7843"/>
    <w:rsid w:val="006C03D4"/>
    <w:rsid w:val="006C06D1"/>
    <w:rsid w:val="006C0B28"/>
    <w:rsid w:val="006C1199"/>
    <w:rsid w:val="006C1960"/>
    <w:rsid w:val="006C573D"/>
    <w:rsid w:val="006C581B"/>
    <w:rsid w:val="006C7F7D"/>
    <w:rsid w:val="006C7FA9"/>
    <w:rsid w:val="006D1EC2"/>
    <w:rsid w:val="006D2EF9"/>
    <w:rsid w:val="006D5E07"/>
    <w:rsid w:val="006D6BF4"/>
    <w:rsid w:val="006D7D3B"/>
    <w:rsid w:val="006E3098"/>
    <w:rsid w:val="006E5724"/>
    <w:rsid w:val="006E5F21"/>
    <w:rsid w:val="006E785A"/>
    <w:rsid w:val="006F08BA"/>
    <w:rsid w:val="006F0DA4"/>
    <w:rsid w:val="006F1596"/>
    <w:rsid w:val="006F2A6C"/>
    <w:rsid w:val="006F48F9"/>
    <w:rsid w:val="006F4C3D"/>
    <w:rsid w:val="006F5E79"/>
    <w:rsid w:val="006F6D2E"/>
    <w:rsid w:val="006F7393"/>
    <w:rsid w:val="006F7953"/>
    <w:rsid w:val="006F7E67"/>
    <w:rsid w:val="00702209"/>
    <w:rsid w:val="0070224F"/>
    <w:rsid w:val="00706304"/>
    <w:rsid w:val="00707B13"/>
    <w:rsid w:val="00710887"/>
    <w:rsid w:val="00710CB4"/>
    <w:rsid w:val="007115F7"/>
    <w:rsid w:val="007176AF"/>
    <w:rsid w:val="007176B3"/>
    <w:rsid w:val="0072269F"/>
    <w:rsid w:val="0072311A"/>
    <w:rsid w:val="00723843"/>
    <w:rsid w:val="00723E0A"/>
    <w:rsid w:val="00724207"/>
    <w:rsid w:val="00727B56"/>
    <w:rsid w:val="0073134D"/>
    <w:rsid w:val="00731A6C"/>
    <w:rsid w:val="0073211A"/>
    <w:rsid w:val="007322B9"/>
    <w:rsid w:val="00734627"/>
    <w:rsid w:val="00734A97"/>
    <w:rsid w:val="0073522E"/>
    <w:rsid w:val="00736311"/>
    <w:rsid w:val="00736EFF"/>
    <w:rsid w:val="00737500"/>
    <w:rsid w:val="0074103D"/>
    <w:rsid w:val="00741105"/>
    <w:rsid w:val="0074138B"/>
    <w:rsid w:val="00743AD2"/>
    <w:rsid w:val="00747F88"/>
    <w:rsid w:val="0075014A"/>
    <w:rsid w:val="00750495"/>
    <w:rsid w:val="00750B3D"/>
    <w:rsid w:val="00752267"/>
    <w:rsid w:val="007536F8"/>
    <w:rsid w:val="00753B51"/>
    <w:rsid w:val="0075430E"/>
    <w:rsid w:val="007543F0"/>
    <w:rsid w:val="0075494D"/>
    <w:rsid w:val="00761BF9"/>
    <w:rsid w:val="00761F73"/>
    <w:rsid w:val="007624CA"/>
    <w:rsid w:val="00763297"/>
    <w:rsid w:val="00763FED"/>
    <w:rsid w:val="00765FD8"/>
    <w:rsid w:val="007661AC"/>
    <w:rsid w:val="00766323"/>
    <w:rsid w:val="00766A04"/>
    <w:rsid w:val="00770E45"/>
    <w:rsid w:val="00771A59"/>
    <w:rsid w:val="00772D7A"/>
    <w:rsid w:val="0077355E"/>
    <w:rsid w:val="00774107"/>
    <w:rsid w:val="0077430C"/>
    <w:rsid w:val="007757C4"/>
    <w:rsid w:val="00776C68"/>
    <w:rsid w:val="0077789A"/>
    <w:rsid w:val="00781112"/>
    <w:rsid w:val="00781402"/>
    <w:rsid w:val="007820F9"/>
    <w:rsid w:val="00783128"/>
    <w:rsid w:val="00783570"/>
    <w:rsid w:val="00783D8C"/>
    <w:rsid w:val="0078449B"/>
    <w:rsid w:val="007845F7"/>
    <w:rsid w:val="00784B50"/>
    <w:rsid w:val="00785689"/>
    <w:rsid w:val="007862B3"/>
    <w:rsid w:val="0079032F"/>
    <w:rsid w:val="00790A20"/>
    <w:rsid w:val="00790F3B"/>
    <w:rsid w:val="0079131A"/>
    <w:rsid w:val="007915ED"/>
    <w:rsid w:val="00791E36"/>
    <w:rsid w:val="007925AD"/>
    <w:rsid w:val="007925F5"/>
    <w:rsid w:val="00792648"/>
    <w:rsid w:val="007937B0"/>
    <w:rsid w:val="00793962"/>
    <w:rsid w:val="0079498E"/>
    <w:rsid w:val="0079614F"/>
    <w:rsid w:val="0079754B"/>
    <w:rsid w:val="0079778E"/>
    <w:rsid w:val="00797A40"/>
    <w:rsid w:val="00797D19"/>
    <w:rsid w:val="007A18B4"/>
    <w:rsid w:val="007A1E6D"/>
    <w:rsid w:val="007A358A"/>
    <w:rsid w:val="007A388D"/>
    <w:rsid w:val="007A41E1"/>
    <w:rsid w:val="007A6136"/>
    <w:rsid w:val="007A6600"/>
    <w:rsid w:val="007B072A"/>
    <w:rsid w:val="007B0D13"/>
    <w:rsid w:val="007B0EB2"/>
    <w:rsid w:val="007B1237"/>
    <w:rsid w:val="007B14F0"/>
    <w:rsid w:val="007B2CD3"/>
    <w:rsid w:val="007B3F26"/>
    <w:rsid w:val="007B4BAE"/>
    <w:rsid w:val="007B4EBB"/>
    <w:rsid w:val="007B5321"/>
    <w:rsid w:val="007B5FF5"/>
    <w:rsid w:val="007B731D"/>
    <w:rsid w:val="007B78BD"/>
    <w:rsid w:val="007C3E60"/>
    <w:rsid w:val="007C500F"/>
    <w:rsid w:val="007C6CC0"/>
    <w:rsid w:val="007C6D9F"/>
    <w:rsid w:val="007C7982"/>
    <w:rsid w:val="007D15CE"/>
    <w:rsid w:val="007D18F2"/>
    <w:rsid w:val="007D29CE"/>
    <w:rsid w:val="007D36FF"/>
    <w:rsid w:val="007D3CE6"/>
    <w:rsid w:val="007D5742"/>
    <w:rsid w:val="007D7443"/>
    <w:rsid w:val="007E2F18"/>
    <w:rsid w:val="007E43B5"/>
    <w:rsid w:val="007E47D6"/>
    <w:rsid w:val="007E6A53"/>
    <w:rsid w:val="007E6D6B"/>
    <w:rsid w:val="007E6EAB"/>
    <w:rsid w:val="007E764C"/>
    <w:rsid w:val="007E789C"/>
    <w:rsid w:val="007E7B40"/>
    <w:rsid w:val="007F07A4"/>
    <w:rsid w:val="007F2A81"/>
    <w:rsid w:val="007F37CA"/>
    <w:rsid w:val="007F4CB0"/>
    <w:rsid w:val="007F4DF9"/>
    <w:rsid w:val="007F68D3"/>
    <w:rsid w:val="007F70B2"/>
    <w:rsid w:val="007F794F"/>
    <w:rsid w:val="008023D1"/>
    <w:rsid w:val="0080345F"/>
    <w:rsid w:val="008046AF"/>
    <w:rsid w:val="00804862"/>
    <w:rsid w:val="00805B17"/>
    <w:rsid w:val="008060D5"/>
    <w:rsid w:val="008064F7"/>
    <w:rsid w:val="00806ECC"/>
    <w:rsid w:val="00807B96"/>
    <w:rsid w:val="00810B6F"/>
    <w:rsid w:val="00811BB8"/>
    <w:rsid w:val="00811E62"/>
    <w:rsid w:val="00811E76"/>
    <w:rsid w:val="00812489"/>
    <w:rsid w:val="00812AB0"/>
    <w:rsid w:val="00813153"/>
    <w:rsid w:val="00814DDA"/>
    <w:rsid w:val="0081649B"/>
    <w:rsid w:val="008170F7"/>
    <w:rsid w:val="00820C09"/>
    <w:rsid w:val="00821B04"/>
    <w:rsid w:val="00822CE0"/>
    <w:rsid w:val="0082502C"/>
    <w:rsid w:val="00825434"/>
    <w:rsid w:val="00825EAA"/>
    <w:rsid w:val="00826F69"/>
    <w:rsid w:val="008305FE"/>
    <w:rsid w:val="0083260D"/>
    <w:rsid w:val="00833808"/>
    <w:rsid w:val="00833954"/>
    <w:rsid w:val="00833E37"/>
    <w:rsid w:val="00835300"/>
    <w:rsid w:val="00841AB1"/>
    <w:rsid w:val="008422B3"/>
    <w:rsid w:val="008430B8"/>
    <w:rsid w:val="00844434"/>
    <w:rsid w:val="00846A39"/>
    <w:rsid w:val="00847E39"/>
    <w:rsid w:val="008515F7"/>
    <w:rsid w:val="00852323"/>
    <w:rsid w:val="00852F04"/>
    <w:rsid w:val="00852F24"/>
    <w:rsid w:val="00853F35"/>
    <w:rsid w:val="008557ED"/>
    <w:rsid w:val="008557F5"/>
    <w:rsid w:val="008576A1"/>
    <w:rsid w:val="00860576"/>
    <w:rsid w:val="00860DAC"/>
    <w:rsid w:val="00861C87"/>
    <w:rsid w:val="00864F37"/>
    <w:rsid w:val="00865252"/>
    <w:rsid w:val="00865BF2"/>
    <w:rsid w:val="00870540"/>
    <w:rsid w:val="00870CE3"/>
    <w:rsid w:val="00871B20"/>
    <w:rsid w:val="00872702"/>
    <w:rsid w:val="00873A6F"/>
    <w:rsid w:val="00874E54"/>
    <w:rsid w:val="00875624"/>
    <w:rsid w:val="0087622E"/>
    <w:rsid w:val="008768D5"/>
    <w:rsid w:val="00880227"/>
    <w:rsid w:val="00881691"/>
    <w:rsid w:val="0088449B"/>
    <w:rsid w:val="00884A87"/>
    <w:rsid w:val="00885F26"/>
    <w:rsid w:val="008902FB"/>
    <w:rsid w:val="008906D5"/>
    <w:rsid w:val="00891D41"/>
    <w:rsid w:val="0089258D"/>
    <w:rsid w:val="0089306E"/>
    <w:rsid w:val="00894CB2"/>
    <w:rsid w:val="00894E10"/>
    <w:rsid w:val="00895ACB"/>
    <w:rsid w:val="00897080"/>
    <w:rsid w:val="0089766E"/>
    <w:rsid w:val="00897E07"/>
    <w:rsid w:val="00897FDF"/>
    <w:rsid w:val="008A09B6"/>
    <w:rsid w:val="008A0E92"/>
    <w:rsid w:val="008A0F59"/>
    <w:rsid w:val="008A17AC"/>
    <w:rsid w:val="008A263E"/>
    <w:rsid w:val="008A363F"/>
    <w:rsid w:val="008A479E"/>
    <w:rsid w:val="008A6419"/>
    <w:rsid w:val="008B079D"/>
    <w:rsid w:val="008B29F8"/>
    <w:rsid w:val="008B2D68"/>
    <w:rsid w:val="008B30BE"/>
    <w:rsid w:val="008B396A"/>
    <w:rsid w:val="008B3E5D"/>
    <w:rsid w:val="008B466F"/>
    <w:rsid w:val="008B5E7F"/>
    <w:rsid w:val="008C0A7E"/>
    <w:rsid w:val="008C2B57"/>
    <w:rsid w:val="008C469D"/>
    <w:rsid w:val="008C68CA"/>
    <w:rsid w:val="008C68F1"/>
    <w:rsid w:val="008C6918"/>
    <w:rsid w:val="008C7EAF"/>
    <w:rsid w:val="008D158A"/>
    <w:rsid w:val="008D2662"/>
    <w:rsid w:val="008D36FF"/>
    <w:rsid w:val="008D47D2"/>
    <w:rsid w:val="008D75BE"/>
    <w:rsid w:val="008D7953"/>
    <w:rsid w:val="008E2426"/>
    <w:rsid w:val="008E2559"/>
    <w:rsid w:val="008E42D0"/>
    <w:rsid w:val="008E69B5"/>
    <w:rsid w:val="008E6D5C"/>
    <w:rsid w:val="008E74F0"/>
    <w:rsid w:val="008E7A4A"/>
    <w:rsid w:val="008E7C6B"/>
    <w:rsid w:val="008F0D1D"/>
    <w:rsid w:val="008F1E51"/>
    <w:rsid w:val="008F2B5C"/>
    <w:rsid w:val="008F7BCC"/>
    <w:rsid w:val="0090035D"/>
    <w:rsid w:val="00901D29"/>
    <w:rsid w:val="0090206B"/>
    <w:rsid w:val="00902AAC"/>
    <w:rsid w:val="00902C51"/>
    <w:rsid w:val="00904977"/>
    <w:rsid w:val="00904DEB"/>
    <w:rsid w:val="00906218"/>
    <w:rsid w:val="00907EEB"/>
    <w:rsid w:val="00911ED7"/>
    <w:rsid w:val="00912FD8"/>
    <w:rsid w:val="00915B08"/>
    <w:rsid w:val="00915BE5"/>
    <w:rsid w:val="00921803"/>
    <w:rsid w:val="00921AA7"/>
    <w:rsid w:val="00922167"/>
    <w:rsid w:val="00922CFB"/>
    <w:rsid w:val="00922F4D"/>
    <w:rsid w:val="00923C55"/>
    <w:rsid w:val="0092495F"/>
    <w:rsid w:val="00926503"/>
    <w:rsid w:val="00927B41"/>
    <w:rsid w:val="0093144E"/>
    <w:rsid w:val="0093179B"/>
    <w:rsid w:val="0093233E"/>
    <w:rsid w:val="009324C1"/>
    <w:rsid w:val="00934602"/>
    <w:rsid w:val="00936E1C"/>
    <w:rsid w:val="009435AE"/>
    <w:rsid w:val="0094488C"/>
    <w:rsid w:val="00944DFF"/>
    <w:rsid w:val="00946B53"/>
    <w:rsid w:val="00947D50"/>
    <w:rsid w:val="00947E8C"/>
    <w:rsid w:val="00953236"/>
    <w:rsid w:val="00955237"/>
    <w:rsid w:val="00956B2B"/>
    <w:rsid w:val="00957C50"/>
    <w:rsid w:val="00963946"/>
    <w:rsid w:val="00966E23"/>
    <w:rsid w:val="009674BC"/>
    <w:rsid w:val="0096786B"/>
    <w:rsid w:val="00970E5C"/>
    <w:rsid w:val="009711CE"/>
    <w:rsid w:val="009726D8"/>
    <w:rsid w:val="009737FE"/>
    <w:rsid w:val="00973903"/>
    <w:rsid w:val="009749EA"/>
    <w:rsid w:val="00975715"/>
    <w:rsid w:val="009768EB"/>
    <w:rsid w:val="009809CB"/>
    <w:rsid w:val="00981C32"/>
    <w:rsid w:val="0098324E"/>
    <w:rsid w:val="009849E4"/>
    <w:rsid w:val="00985CA2"/>
    <w:rsid w:val="00986151"/>
    <w:rsid w:val="00986222"/>
    <w:rsid w:val="00986574"/>
    <w:rsid w:val="009904D7"/>
    <w:rsid w:val="00991E88"/>
    <w:rsid w:val="00993B0F"/>
    <w:rsid w:val="00995951"/>
    <w:rsid w:val="009A0106"/>
    <w:rsid w:val="009A0429"/>
    <w:rsid w:val="009A07E5"/>
    <w:rsid w:val="009A0EEA"/>
    <w:rsid w:val="009A1F64"/>
    <w:rsid w:val="009A264F"/>
    <w:rsid w:val="009A2661"/>
    <w:rsid w:val="009A302E"/>
    <w:rsid w:val="009A306D"/>
    <w:rsid w:val="009A3CC6"/>
    <w:rsid w:val="009A4390"/>
    <w:rsid w:val="009A5830"/>
    <w:rsid w:val="009A6C8B"/>
    <w:rsid w:val="009B09C8"/>
    <w:rsid w:val="009B23F5"/>
    <w:rsid w:val="009B380E"/>
    <w:rsid w:val="009B38B2"/>
    <w:rsid w:val="009B41FC"/>
    <w:rsid w:val="009B47CA"/>
    <w:rsid w:val="009B569C"/>
    <w:rsid w:val="009B6C82"/>
    <w:rsid w:val="009B7498"/>
    <w:rsid w:val="009B7A1A"/>
    <w:rsid w:val="009C0DB7"/>
    <w:rsid w:val="009C1FFE"/>
    <w:rsid w:val="009C2A44"/>
    <w:rsid w:val="009C411B"/>
    <w:rsid w:val="009C48E9"/>
    <w:rsid w:val="009C4923"/>
    <w:rsid w:val="009C6BC8"/>
    <w:rsid w:val="009D10A3"/>
    <w:rsid w:val="009D117A"/>
    <w:rsid w:val="009D17FE"/>
    <w:rsid w:val="009D2E7B"/>
    <w:rsid w:val="009D384C"/>
    <w:rsid w:val="009D7308"/>
    <w:rsid w:val="009D7EF2"/>
    <w:rsid w:val="009E0236"/>
    <w:rsid w:val="009E0731"/>
    <w:rsid w:val="009E0E2F"/>
    <w:rsid w:val="009E28F7"/>
    <w:rsid w:val="009E3261"/>
    <w:rsid w:val="009E3E30"/>
    <w:rsid w:val="009E4EFD"/>
    <w:rsid w:val="009E5894"/>
    <w:rsid w:val="009E6FEC"/>
    <w:rsid w:val="009F0657"/>
    <w:rsid w:val="009F0EF7"/>
    <w:rsid w:val="009F1534"/>
    <w:rsid w:val="009F257F"/>
    <w:rsid w:val="009F45AD"/>
    <w:rsid w:val="009F49C1"/>
    <w:rsid w:val="009F4EF2"/>
    <w:rsid w:val="009F511A"/>
    <w:rsid w:val="009F62D5"/>
    <w:rsid w:val="009F71E0"/>
    <w:rsid w:val="009F76DB"/>
    <w:rsid w:val="00A012EC"/>
    <w:rsid w:val="00A03815"/>
    <w:rsid w:val="00A03AC0"/>
    <w:rsid w:val="00A042F2"/>
    <w:rsid w:val="00A04DC5"/>
    <w:rsid w:val="00A04DCB"/>
    <w:rsid w:val="00A05650"/>
    <w:rsid w:val="00A06DCC"/>
    <w:rsid w:val="00A073C6"/>
    <w:rsid w:val="00A1011B"/>
    <w:rsid w:val="00A10923"/>
    <w:rsid w:val="00A11C07"/>
    <w:rsid w:val="00A1242A"/>
    <w:rsid w:val="00A13B0C"/>
    <w:rsid w:val="00A143E8"/>
    <w:rsid w:val="00A17EE3"/>
    <w:rsid w:val="00A21A84"/>
    <w:rsid w:val="00A22D33"/>
    <w:rsid w:val="00A24597"/>
    <w:rsid w:val="00A256E0"/>
    <w:rsid w:val="00A263D2"/>
    <w:rsid w:val="00A27349"/>
    <w:rsid w:val="00A27849"/>
    <w:rsid w:val="00A309FA"/>
    <w:rsid w:val="00A3186A"/>
    <w:rsid w:val="00A32350"/>
    <w:rsid w:val="00A32910"/>
    <w:rsid w:val="00A32C3B"/>
    <w:rsid w:val="00A33225"/>
    <w:rsid w:val="00A33A1E"/>
    <w:rsid w:val="00A33E9F"/>
    <w:rsid w:val="00A35450"/>
    <w:rsid w:val="00A37F7F"/>
    <w:rsid w:val="00A40DA3"/>
    <w:rsid w:val="00A426CE"/>
    <w:rsid w:val="00A4298B"/>
    <w:rsid w:val="00A42C2E"/>
    <w:rsid w:val="00A43B1F"/>
    <w:rsid w:val="00A44E9C"/>
    <w:rsid w:val="00A44F2E"/>
    <w:rsid w:val="00A44F44"/>
    <w:rsid w:val="00A45037"/>
    <w:rsid w:val="00A45526"/>
    <w:rsid w:val="00A45F4F"/>
    <w:rsid w:val="00A47581"/>
    <w:rsid w:val="00A510BC"/>
    <w:rsid w:val="00A54EF7"/>
    <w:rsid w:val="00A55058"/>
    <w:rsid w:val="00A55957"/>
    <w:rsid w:val="00A559E3"/>
    <w:rsid w:val="00A55EEF"/>
    <w:rsid w:val="00A56076"/>
    <w:rsid w:val="00A56B10"/>
    <w:rsid w:val="00A600A9"/>
    <w:rsid w:val="00A61C04"/>
    <w:rsid w:val="00A624A4"/>
    <w:rsid w:val="00A62EE7"/>
    <w:rsid w:val="00A64849"/>
    <w:rsid w:val="00A64DB4"/>
    <w:rsid w:val="00A6681D"/>
    <w:rsid w:val="00A66CAB"/>
    <w:rsid w:val="00A66D86"/>
    <w:rsid w:val="00A70878"/>
    <w:rsid w:val="00A71C8F"/>
    <w:rsid w:val="00A72209"/>
    <w:rsid w:val="00A730AF"/>
    <w:rsid w:val="00A7354B"/>
    <w:rsid w:val="00A739B7"/>
    <w:rsid w:val="00A74529"/>
    <w:rsid w:val="00A74868"/>
    <w:rsid w:val="00A77A19"/>
    <w:rsid w:val="00A81AC1"/>
    <w:rsid w:val="00A836BC"/>
    <w:rsid w:val="00A836E7"/>
    <w:rsid w:val="00A83D7F"/>
    <w:rsid w:val="00A84F34"/>
    <w:rsid w:val="00A859D1"/>
    <w:rsid w:val="00A945F7"/>
    <w:rsid w:val="00A958CF"/>
    <w:rsid w:val="00A96025"/>
    <w:rsid w:val="00A962EC"/>
    <w:rsid w:val="00A96F52"/>
    <w:rsid w:val="00AA113A"/>
    <w:rsid w:val="00AA1BF1"/>
    <w:rsid w:val="00AA2095"/>
    <w:rsid w:val="00AA228C"/>
    <w:rsid w:val="00AA3AB0"/>
    <w:rsid w:val="00AA3E89"/>
    <w:rsid w:val="00AA53D5"/>
    <w:rsid w:val="00AA55B7"/>
    <w:rsid w:val="00AA5B07"/>
    <w:rsid w:val="00AA5B9E"/>
    <w:rsid w:val="00AA6A2E"/>
    <w:rsid w:val="00AA7810"/>
    <w:rsid w:val="00AA7BEF"/>
    <w:rsid w:val="00AB131B"/>
    <w:rsid w:val="00AB2407"/>
    <w:rsid w:val="00AB2986"/>
    <w:rsid w:val="00AB472E"/>
    <w:rsid w:val="00AB53DF"/>
    <w:rsid w:val="00AB5B89"/>
    <w:rsid w:val="00AB5DF6"/>
    <w:rsid w:val="00AC10CD"/>
    <w:rsid w:val="00AC16E3"/>
    <w:rsid w:val="00AC1AF9"/>
    <w:rsid w:val="00AC3031"/>
    <w:rsid w:val="00AC3EEA"/>
    <w:rsid w:val="00AC6F47"/>
    <w:rsid w:val="00AD2335"/>
    <w:rsid w:val="00AD3DE4"/>
    <w:rsid w:val="00AD7661"/>
    <w:rsid w:val="00AD78C6"/>
    <w:rsid w:val="00AD790E"/>
    <w:rsid w:val="00AE11FB"/>
    <w:rsid w:val="00AE2190"/>
    <w:rsid w:val="00AE30B6"/>
    <w:rsid w:val="00AE3240"/>
    <w:rsid w:val="00AE5B93"/>
    <w:rsid w:val="00AF07E5"/>
    <w:rsid w:val="00AF243E"/>
    <w:rsid w:val="00AF50F3"/>
    <w:rsid w:val="00AF6632"/>
    <w:rsid w:val="00AF6B5B"/>
    <w:rsid w:val="00B0538A"/>
    <w:rsid w:val="00B05ABB"/>
    <w:rsid w:val="00B06B12"/>
    <w:rsid w:val="00B07047"/>
    <w:rsid w:val="00B07E5C"/>
    <w:rsid w:val="00B11229"/>
    <w:rsid w:val="00B12F29"/>
    <w:rsid w:val="00B13114"/>
    <w:rsid w:val="00B140A0"/>
    <w:rsid w:val="00B15025"/>
    <w:rsid w:val="00B15EC2"/>
    <w:rsid w:val="00B168DF"/>
    <w:rsid w:val="00B16F44"/>
    <w:rsid w:val="00B21068"/>
    <w:rsid w:val="00B23EC6"/>
    <w:rsid w:val="00B2401F"/>
    <w:rsid w:val="00B263D1"/>
    <w:rsid w:val="00B27452"/>
    <w:rsid w:val="00B3134F"/>
    <w:rsid w:val="00B3152E"/>
    <w:rsid w:val="00B318B0"/>
    <w:rsid w:val="00B3360A"/>
    <w:rsid w:val="00B36562"/>
    <w:rsid w:val="00B3661C"/>
    <w:rsid w:val="00B366BF"/>
    <w:rsid w:val="00B367E9"/>
    <w:rsid w:val="00B402EE"/>
    <w:rsid w:val="00B40AEE"/>
    <w:rsid w:val="00B41D63"/>
    <w:rsid w:val="00B4235E"/>
    <w:rsid w:val="00B44F1A"/>
    <w:rsid w:val="00B45106"/>
    <w:rsid w:val="00B45993"/>
    <w:rsid w:val="00B46B93"/>
    <w:rsid w:val="00B5183F"/>
    <w:rsid w:val="00B53589"/>
    <w:rsid w:val="00B53AC4"/>
    <w:rsid w:val="00B53E68"/>
    <w:rsid w:val="00B545E5"/>
    <w:rsid w:val="00B55630"/>
    <w:rsid w:val="00B5611E"/>
    <w:rsid w:val="00B561A9"/>
    <w:rsid w:val="00B5680A"/>
    <w:rsid w:val="00B56EBF"/>
    <w:rsid w:val="00B5742D"/>
    <w:rsid w:val="00B578C2"/>
    <w:rsid w:val="00B6045A"/>
    <w:rsid w:val="00B617A6"/>
    <w:rsid w:val="00B620DD"/>
    <w:rsid w:val="00B62272"/>
    <w:rsid w:val="00B622DA"/>
    <w:rsid w:val="00B63887"/>
    <w:rsid w:val="00B64321"/>
    <w:rsid w:val="00B652BD"/>
    <w:rsid w:val="00B66E36"/>
    <w:rsid w:val="00B670D1"/>
    <w:rsid w:val="00B67134"/>
    <w:rsid w:val="00B67581"/>
    <w:rsid w:val="00B67895"/>
    <w:rsid w:val="00B708D7"/>
    <w:rsid w:val="00B7165B"/>
    <w:rsid w:val="00B72364"/>
    <w:rsid w:val="00B73044"/>
    <w:rsid w:val="00B733B0"/>
    <w:rsid w:val="00B74016"/>
    <w:rsid w:val="00B742A9"/>
    <w:rsid w:val="00B74B9E"/>
    <w:rsid w:val="00B751DF"/>
    <w:rsid w:val="00B756E6"/>
    <w:rsid w:val="00B77334"/>
    <w:rsid w:val="00B804C4"/>
    <w:rsid w:val="00B80CDB"/>
    <w:rsid w:val="00B80EAB"/>
    <w:rsid w:val="00B811F7"/>
    <w:rsid w:val="00B8215D"/>
    <w:rsid w:val="00B8252F"/>
    <w:rsid w:val="00B82A3A"/>
    <w:rsid w:val="00B82EAA"/>
    <w:rsid w:val="00B83348"/>
    <w:rsid w:val="00B847B7"/>
    <w:rsid w:val="00B8566A"/>
    <w:rsid w:val="00B85838"/>
    <w:rsid w:val="00B86815"/>
    <w:rsid w:val="00B90165"/>
    <w:rsid w:val="00B91595"/>
    <w:rsid w:val="00B93A16"/>
    <w:rsid w:val="00B94D25"/>
    <w:rsid w:val="00B95782"/>
    <w:rsid w:val="00B95B23"/>
    <w:rsid w:val="00B96DFB"/>
    <w:rsid w:val="00BA0925"/>
    <w:rsid w:val="00BA0AD2"/>
    <w:rsid w:val="00BA36AB"/>
    <w:rsid w:val="00BA4810"/>
    <w:rsid w:val="00BA5A20"/>
    <w:rsid w:val="00BA5DC6"/>
    <w:rsid w:val="00BA6196"/>
    <w:rsid w:val="00BA68C2"/>
    <w:rsid w:val="00BA692D"/>
    <w:rsid w:val="00BA6FC7"/>
    <w:rsid w:val="00BA72CD"/>
    <w:rsid w:val="00BB1161"/>
    <w:rsid w:val="00BB3915"/>
    <w:rsid w:val="00BB64F8"/>
    <w:rsid w:val="00BB6C4A"/>
    <w:rsid w:val="00BB7303"/>
    <w:rsid w:val="00BB742D"/>
    <w:rsid w:val="00BB786E"/>
    <w:rsid w:val="00BB7DCF"/>
    <w:rsid w:val="00BC0E06"/>
    <w:rsid w:val="00BC1511"/>
    <w:rsid w:val="00BC1656"/>
    <w:rsid w:val="00BC290C"/>
    <w:rsid w:val="00BC35FF"/>
    <w:rsid w:val="00BC39EF"/>
    <w:rsid w:val="00BC467D"/>
    <w:rsid w:val="00BC4E5E"/>
    <w:rsid w:val="00BC5A93"/>
    <w:rsid w:val="00BC6D8C"/>
    <w:rsid w:val="00BD0034"/>
    <w:rsid w:val="00BD06BF"/>
    <w:rsid w:val="00BD1270"/>
    <w:rsid w:val="00BD1E9F"/>
    <w:rsid w:val="00BD2D5E"/>
    <w:rsid w:val="00BD649F"/>
    <w:rsid w:val="00BD7869"/>
    <w:rsid w:val="00BD78AD"/>
    <w:rsid w:val="00BE0651"/>
    <w:rsid w:val="00BE0896"/>
    <w:rsid w:val="00BE1B1A"/>
    <w:rsid w:val="00BE22B8"/>
    <w:rsid w:val="00BE476E"/>
    <w:rsid w:val="00BE5E35"/>
    <w:rsid w:val="00BF0E76"/>
    <w:rsid w:val="00BF550D"/>
    <w:rsid w:val="00BF5702"/>
    <w:rsid w:val="00BF5A63"/>
    <w:rsid w:val="00C002C7"/>
    <w:rsid w:val="00C008AA"/>
    <w:rsid w:val="00C01E39"/>
    <w:rsid w:val="00C02159"/>
    <w:rsid w:val="00C02509"/>
    <w:rsid w:val="00C03163"/>
    <w:rsid w:val="00C036D1"/>
    <w:rsid w:val="00C1094F"/>
    <w:rsid w:val="00C1170E"/>
    <w:rsid w:val="00C11928"/>
    <w:rsid w:val="00C11F2D"/>
    <w:rsid w:val="00C12153"/>
    <w:rsid w:val="00C134CF"/>
    <w:rsid w:val="00C14951"/>
    <w:rsid w:val="00C14D4A"/>
    <w:rsid w:val="00C15DD0"/>
    <w:rsid w:val="00C170B7"/>
    <w:rsid w:val="00C17F68"/>
    <w:rsid w:val="00C20EA7"/>
    <w:rsid w:val="00C22982"/>
    <w:rsid w:val="00C240E1"/>
    <w:rsid w:val="00C26E4B"/>
    <w:rsid w:val="00C27812"/>
    <w:rsid w:val="00C31BDF"/>
    <w:rsid w:val="00C337EC"/>
    <w:rsid w:val="00C33DC9"/>
    <w:rsid w:val="00C33F39"/>
    <w:rsid w:val="00C34006"/>
    <w:rsid w:val="00C35268"/>
    <w:rsid w:val="00C36B4C"/>
    <w:rsid w:val="00C426B1"/>
    <w:rsid w:val="00C44A9E"/>
    <w:rsid w:val="00C44CF4"/>
    <w:rsid w:val="00C4519C"/>
    <w:rsid w:val="00C45F13"/>
    <w:rsid w:val="00C479FA"/>
    <w:rsid w:val="00C5065E"/>
    <w:rsid w:val="00C50D98"/>
    <w:rsid w:val="00C50E91"/>
    <w:rsid w:val="00C527FB"/>
    <w:rsid w:val="00C550CE"/>
    <w:rsid w:val="00C57564"/>
    <w:rsid w:val="00C6017B"/>
    <w:rsid w:val="00C60532"/>
    <w:rsid w:val="00C60FFC"/>
    <w:rsid w:val="00C61149"/>
    <w:rsid w:val="00C61A44"/>
    <w:rsid w:val="00C622C6"/>
    <w:rsid w:val="00C66160"/>
    <w:rsid w:val="00C66EF5"/>
    <w:rsid w:val="00C67B90"/>
    <w:rsid w:val="00C7087D"/>
    <w:rsid w:val="00C71709"/>
    <w:rsid w:val="00C71B24"/>
    <w:rsid w:val="00C72174"/>
    <w:rsid w:val="00C721AC"/>
    <w:rsid w:val="00C72734"/>
    <w:rsid w:val="00C7319F"/>
    <w:rsid w:val="00C747DD"/>
    <w:rsid w:val="00C75574"/>
    <w:rsid w:val="00C764F6"/>
    <w:rsid w:val="00C815B3"/>
    <w:rsid w:val="00C822E0"/>
    <w:rsid w:val="00C82782"/>
    <w:rsid w:val="00C82BE8"/>
    <w:rsid w:val="00C83940"/>
    <w:rsid w:val="00C84474"/>
    <w:rsid w:val="00C84948"/>
    <w:rsid w:val="00C87AA9"/>
    <w:rsid w:val="00C87ABD"/>
    <w:rsid w:val="00C90D6A"/>
    <w:rsid w:val="00C91BA8"/>
    <w:rsid w:val="00C91C62"/>
    <w:rsid w:val="00C94486"/>
    <w:rsid w:val="00C973D6"/>
    <w:rsid w:val="00C97533"/>
    <w:rsid w:val="00CA03BC"/>
    <w:rsid w:val="00CA0B2A"/>
    <w:rsid w:val="00CA1105"/>
    <w:rsid w:val="00CA14D9"/>
    <w:rsid w:val="00CA184D"/>
    <w:rsid w:val="00CA1C07"/>
    <w:rsid w:val="00CA247E"/>
    <w:rsid w:val="00CA46AB"/>
    <w:rsid w:val="00CA6ACF"/>
    <w:rsid w:val="00CA6D21"/>
    <w:rsid w:val="00CA6E8B"/>
    <w:rsid w:val="00CB066A"/>
    <w:rsid w:val="00CB2047"/>
    <w:rsid w:val="00CB4847"/>
    <w:rsid w:val="00CB4B7F"/>
    <w:rsid w:val="00CB5114"/>
    <w:rsid w:val="00CB775F"/>
    <w:rsid w:val="00CC06B4"/>
    <w:rsid w:val="00CC3CA9"/>
    <w:rsid w:val="00CC4BAA"/>
    <w:rsid w:val="00CC51DE"/>
    <w:rsid w:val="00CC5430"/>
    <w:rsid w:val="00CC5F20"/>
    <w:rsid w:val="00CC5F47"/>
    <w:rsid w:val="00CC6B9E"/>
    <w:rsid w:val="00CC72B6"/>
    <w:rsid w:val="00CC799A"/>
    <w:rsid w:val="00CD197B"/>
    <w:rsid w:val="00CD1F8C"/>
    <w:rsid w:val="00CD2493"/>
    <w:rsid w:val="00CD297C"/>
    <w:rsid w:val="00CD39B8"/>
    <w:rsid w:val="00CD4B16"/>
    <w:rsid w:val="00CD52A3"/>
    <w:rsid w:val="00CD5585"/>
    <w:rsid w:val="00CD779D"/>
    <w:rsid w:val="00CE0BDE"/>
    <w:rsid w:val="00CE3649"/>
    <w:rsid w:val="00CE3AAC"/>
    <w:rsid w:val="00CE40FF"/>
    <w:rsid w:val="00CE642B"/>
    <w:rsid w:val="00CE70B4"/>
    <w:rsid w:val="00CE72F7"/>
    <w:rsid w:val="00CE7BF9"/>
    <w:rsid w:val="00CE7C17"/>
    <w:rsid w:val="00CF5D92"/>
    <w:rsid w:val="00CF6308"/>
    <w:rsid w:val="00CF73BE"/>
    <w:rsid w:val="00D00024"/>
    <w:rsid w:val="00D01492"/>
    <w:rsid w:val="00D01541"/>
    <w:rsid w:val="00D01832"/>
    <w:rsid w:val="00D01BFB"/>
    <w:rsid w:val="00D0218D"/>
    <w:rsid w:val="00D023AC"/>
    <w:rsid w:val="00D02D4B"/>
    <w:rsid w:val="00D037F4"/>
    <w:rsid w:val="00D05D63"/>
    <w:rsid w:val="00D06B50"/>
    <w:rsid w:val="00D10715"/>
    <w:rsid w:val="00D1250A"/>
    <w:rsid w:val="00D13462"/>
    <w:rsid w:val="00D139A8"/>
    <w:rsid w:val="00D14999"/>
    <w:rsid w:val="00D206C7"/>
    <w:rsid w:val="00D211A6"/>
    <w:rsid w:val="00D21734"/>
    <w:rsid w:val="00D22351"/>
    <w:rsid w:val="00D24A47"/>
    <w:rsid w:val="00D2584B"/>
    <w:rsid w:val="00D25FB5"/>
    <w:rsid w:val="00D26246"/>
    <w:rsid w:val="00D2649B"/>
    <w:rsid w:val="00D31982"/>
    <w:rsid w:val="00D322C4"/>
    <w:rsid w:val="00D322F9"/>
    <w:rsid w:val="00D324D9"/>
    <w:rsid w:val="00D32BB4"/>
    <w:rsid w:val="00D33E8A"/>
    <w:rsid w:val="00D340F9"/>
    <w:rsid w:val="00D34996"/>
    <w:rsid w:val="00D35CB6"/>
    <w:rsid w:val="00D367BC"/>
    <w:rsid w:val="00D36FE2"/>
    <w:rsid w:val="00D3744D"/>
    <w:rsid w:val="00D37BBC"/>
    <w:rsid w:val="00D41EC5"/>
    <w:rsid w:val="00D4257A"/>
    <w:rsid w:val="00D43DF8"/>
    <w:rsid w:val="00D44223"/>
    <w:rsid w:val="00D462DF"/>
    <w:rsid w:val="00D4706D"/>
    <w:rsid w:val="00D50E9C"/>
    <w:rsid w:val="00D541E3"/>
    <w:rsid w:val="00D561FE"/>
    <w:rsid w:val="00D56FFA"/>
    <w:rsid w:val="00D574D3"/>
    <w:rsid w:val="00D57CBF"/>
    <w:rsid w:val="00D57FEC"/>
    <w:rsid w:val="00D61077"/>
    <w:rsid w:val="00D61D8D"/>
    <w:rsid w:val="00D61EA7"/>
    <w:rsid w:val="00D662CD"/>
    <w:rsid w:val="00D714F4"/>
    <w:rsid w:val="00D72294"/>
    <w:rsid w:val="00D72756"/>
    <w:rsid w:val="00D728A8"/>
    <w:rsid w:val="00D72EAA"/>
    <w:rsid w:val="00D72FBF"/>
    <w:rsid w:val="00D73799"/>
    <w:rsid w:val="00D7505D"/>
    <w:rsid w:val="00D8045C"/>
    <w:rsid w:val="00D80945"/>
    <w:rsid w:val="00D80A1D"/>
    <w:rsid w:val="00D80ACE"/>
    <w:rsid w:val="00D80C9B"/>
    <w:rsid w:val="00D80DDF"/>
    <w:rsid w:val="00D81325"/>
    <w:rsid w:val="00D81A3A"/>
    <w:rsid w:val="00D83B2C"/>
    <w:rsid w:val="00D840FA"/>
    <w:rsid w:val="00D866E8"/>
    <w:rsid w:val="00D86CE1"/>
    <w:rsid w:val="00D9099D"/>
    <w:rsid w:val="00D90E54"/>
    <w:rsid w:val="00D917A1"/>
    <w:rsid w:val="00D91A6F"/>
    <w:rsid w:val="00D924A0"/>
    <w:rsid w:val="00D92AD6"/>
    <w:rsid w:val="00D93187"/>
    <w:rsid w:val="00D943AB"/>
    <w:rsid w:val="00D96514"/>
    <w:rsid w:val="00DA01D4"/>
    <w:rsid w:val="00DA0798"/>
    <w:rsid w:val="00DA0FF1"/>
    <w:rsid w:val="00DA2529"/>
    <w:rsid w:val="00DA3EDB"/>
    <w:rsid w:val="00DA4216"/>
    <w:rsid w:val="00DA4451"/>
    <w:rsid w:val="00DA4E1C"/>
    <w:rsid w:val="00DA6735"/>
    <w:rsid w:val="00DA69C2"/>
    <w:rsid w:val="00DA6DC8"/>
    <w:rsid w:val="00DB130A"/>
    <w:rsid w:val="00DB27A7"/>
    <w:rsid w:val="00DB2EBB"/>
    <w:rsid w:val="00DB432E"/>
    <w:rsid w:val="00DB4AC6"/>
    <w:rsid w:val="00DC10A1"/>
    <w:rsid w:val="00DC1194"/>
    <w:rsid w:val="00DC1CCC"/>
    <w:rsid w:val="00DC1CD2"/>
    <w:rsid w:val="00DC3470"/>
    <w:rsid w:val="00DC5115"/>
    <w:rsid w:val="00DC5E79"/>
    <w:rsid w:val="00DC655F"/>
    <w:rsid w:val="00DC65AF"/>
    <w:rsid w:val="00DC6F3A"/>
    <w:rsid w:val="00DD014A"/>
    <w:rsid w:val="00DD0810"/>
    <w:rsid w:val="00DD0B59"/>
    <w:rsid w:val="00DD42C6"/>
    <w:rsid w:val="00DD47E5"/>
    <w:rsid w:val="00DD5B09"/>
    <w:rsid w:val="00DD64F5"/>
    <w:rsid w:val="00DD6B0B"/>
    <w:rsid w:val="00DD787D"/>
    <w:rsid w:val="00DD7D8B"/>
    <w:rsid w:val="00DD7EBD"/>
    <w:rsid w:val="00DE1187"/>
    <w:rsid w:val="00DE2642"/>
    <w:rsid w:val="00DE2AE5"/>
    <w:rsid w:val="00DE2CD3"/>
    <w:rsid w:val="00DE2EE1"/>
    <w:rsid w:val="00DE53E5"/>
    <w:rsid w:val="00DE66D3"/>
    <w:rsid w:val="00DE6EBC"/>
    <w:rsid w:val="00DE7280"/>
    <w:rsid w:val="00DE7320"/>
    <w:rsid w:val="00DE7E8A"/>
    <w:rsid w:val="00DF09E8"/>
    <w:rsid w:val="00DF0AE4"/>
    <w:rsid w:val="00DF35B9"/>
    <w:rsid w:val="00DF3992"/>
    <w:rsid w:val="00DF3E62"/>
    <w:rsid w:val="00DF62B6"/>
    <w:rsid w:val="00DF6897"/>
    <w:rsid w:val="00DF7036"/>
    <w:rsid w:val="00DF7B7B"/>
    <w:rsid w:val="00E006D6"/>
    <w:rsid w:val="00E01E6C"/>
    <w:rsid w:val="00E025AB"/>
    <w:rsid w:val="00E026BF"/>
    <w:rsid w:val="00E02B3F"/>
    <w:rsid w:val="00E0356D"/>
    <w:rsid w:val="00E046F9"/>
    <w:rsid w:val="00E07225"/>
    <w:rsid w:val="00E10E8A"/>
    <w:rsid w:val="00E10F38"/>
    <w:rsid w:val="00E111E9"/>
    <w:rsid w:val="00E115CC"/>
    <w:rsid w:val="00E1192D"/>
    <w:rsid w:val="00E1273D"/>
    <w:rsid w:val="00E127B8"/>
    <w:rsid w:val="00E129A4"/>
    <w:rsid w:val="00E12F90"/>
    <w:rsid w:val="00E14207"/>
    <w:rsid w:val="00E146FE"/>
    <w:rsid w:val="00E166F6"/>
    <w:rsid w:val="00E17E6A"/>
    <w:rsid w:val="00E20972"/>
    <w:rsid w:val="00E20E6B"/>
    <w:rsid w:val="00E22069"/>
    <w:rsid w:val="00E226CE"/>
    <w:rsid w:val="00E24270"/>
    <w:rsid w:val="00E2532A"/>
    <w:rsid w:val="00E26874"/>
    <w:rsid w:val="00E270B2"/>
    <w:rsid w:val="00E27C79"/>
    <w:rsid w:val="00E300AE"/>
    <w:rsid w:val="00E30B22"/>
    <w:rsid w:val="00E31533"/>
    <w:rsid w:val="00E31A79"/>
    <w:rsid w:val="00E31B30"/>
    <w:rsid w:val="00E3350C"/>
    <w:rsid w:val="00E33588"/>
    <w:rsid w:val="00E36CB3"/>
    <w:rsid w:val="00E41F3B"/>
    <w:rsid w:val="00E4242C"/>
    <w:rsid w:val="00E42A49"/>
    <w:rsid w:val="00E43F10"/>
    <w:rsid w:val="00E44D6E"/>
    <w:rsid w:val="00E44F67"/>
    <w:rsid w:val="00E455A0"/>
    <w:rsid w:val="00E45964"/>
    <w:rsid w:val="00E46786"/>
    <w:rsid w:val="00E46790"/>
    <w:rsid w:val="00E46EF2"/>
    <w:rsid w:val="00E4700C"/>
    <w:rsid w:val="00E51CE8"/>
    <w:rsid w:val="00E5409F"/>
    <w:rsid w:val="00E54129"/>
    <w:rsid w:val="00E541FA"/>
    <w:rsid w:val="00E555DD"/>
    <w:rsid w:val="00E5680D"/>
    <w:rsid w:val="00E6066D"/>
    <w:rsid w:val="00E63260"/>
    <w:rsid w:val="00E63354"/>
    <w:rsid w:val="00E636F6"/>
    <w:rsid w:val="00E649EF"/>
    <w:rsid w:val="00E65BA0"/>
    <w:rsid w:val="00E6616E"/>
    <w:rsid w:val="00E66CD0"/>
    <w:rsid w:val="00E67714"/>
    <w:rsid w:val="00E70D62"/>
    <w:rsid w:val="00E71C9E"/>
    <w:rsid w:val="00E72C4C"/>
    <w:rsid w:val="00E74779"/>
    <w:rsid w:val="00E7492B"/>
    <w:rsid w:val="00E7523E"/>
    <w:rsid w:val="00E76D83"/>
    <w:rsid w:val="00E86087"/>
    <w:rsid w:val="00E87910"/>
    <w:rsid w:val="00E87B6A"/>
    <w:rsid w:val="00E90018"/>
    <w:rsid w:val="00E90A8D"/>
    <w:rsid w:val="00E91C4D"/>
    <w:rsid w:val="00E92FC4"/>
    <w:rsid w:val="00E94AC5"/>
    <w:rsid w:val="00E969DE"/>
    <w:rsid w:val="00EA1C0A"/>
    <w:rsid w:val="00EA42CF"/>
    <w:rsid w:val="00EA4EC2"/>
    <w:rsid w:val="00EA602B"/>
    <w:rsid w:val="00EA7F3C"/>
    <w:rsid w:val="00EB0426"/>
    <w:rsid w:val="00EB0A18"/>
    <w:rsid w:val="00EB0E14"/>
    <w:rsid w:val="00EB26A7"/>
    <w:rsid w:val="00EB3033"/>
    <w:rsid w:val="00EB5C63"/>
    <w:rsid w:val="00EB6A25"/>
    <w:rsid w:val="00EB7578"/>
    <w:rsid w:val="00EC12DE"/>
    <w:rsid w:val="00EC2ED6"/>
    <w:rsid w:val="00EC31A7"/>
    <w:rsid w:val="00EC7C28"/>
    <w:rsid w:val="00ED0A69"/>
    <w:rsid w:val="00ED12FC"/>
    <w:rsid w:val="00ED193C"/>
    <w:rsid w:val="00ED355D"/>
    <w:rsid w:val="00ED4523"/>
    <w:rsid w:val="00ED4F5B"/>
    <w:rsid w:val="00ED7982"/>
    <w:rsid w:val="00EE43BD"/>
    <w:rsid w:val="00EE4D23"/>
    <w:rsid w:val="00EE54EC"/>
    <w:rsid w:val="00EE58A5"/>
    <w:rsid w:val="00EE6350"/>
    <w:rsid w:val="00EE63A0"/>
    <w:rsid w:val="00EE6488"/>
    <w:rsid w:val="00EF0781"/>
    <w:rsid w:val="00EF1AC0"/>
    <w:rsid w:val="00EF320A"/>
    <w:rsid w:val="00EF49A0"/>
    <w:rsid w:val="00EF527F"/>
    <w:rsid w:val="00EF7E53"/>
    <w:rsid w:val="00F00030"/>
    <w:rsid w:val="00F021FA"/>
    <w:rsid w:val="00F02418"/>
    <w:rsid w:val="00F02926"/>
    <w:rsid w:val="00F02AB8"/>
    <w:rsid w:val="00F03908"/>
    <w:rsid w:val="00F05068"/>
    <w:rsid w:val="00F05577"/>
    <w:rsid w:val="00F0566D"/>
    <w:rsid w:val="00F07580"/>
    <w:rsid w:val="00F07DDB"/>
    <w:rsid w:val="00F122FF"/>
    <w:rsid w:val="00F1394A"/>
    <w:rsid w:val="00F15755"/>
    <w:rsid w:val="00F16129"/>
    <w:rsid w:val="00F21AAB"/>
    <w:rsid w:val="00F21C78"/>
    <w:rsid w:val="00F22CAA"/>
    <w:rsid w:val="00F2359C"/>
    <w:rsid w:val="00F23645"/>
    <w:rsid w:val="00F23668"/>
    <w:rsid w:val="00F23776"/>
    <w:rsid w:val="00F23FF0"/>
    <w:rsid w:val="00F24995"/>
    <w:rsid w:val="00F25C47"/>
    <w:rsid w:val="00F30EE3"/>
    <w:rsid w:val="00F32D4C"/>
    <w:rsid w:val="00F33540"/>
    <w:rsid w:val="00F34AD2"/>
    <w:rsid w:val="00F34FCD"/>
    <w:rsid w:val="00F3502C"/>
    <w:rsid w:val="00F35B50"/>
    <w:rsid w:val="00F36689"/>
    <w:rsid w:val="00F372ED"/>
    <w:rsid w:val="00F37903"/>
    <w:rsid w:val="00F40351"/>
    <w:rsid w:val="00F40B41"/>
    <w:rsid w:val="00F40F1C"/>
    <w:rsid w:val="00F40FC0"/>
    <w:rsid w:val="00F41294"/>
    <w:rsid w:val="00F418EE"/>
    <w:rsid w:val="00F433DD"/>
    <w:rsid w:val="00F47253"/>
    <w:rsid w:val="00F47FF4"/>
    <w:rsid w:val="00F50507"/>
    <w:rsid w:val="00F50F78"/>
    <w:rsid w:val="00F51A7A"/>
    <w:rsid w:val="00F51FF7"/>
    <w:rsid w:val="00F52080"/>
    <w:rsid w:val="00F52136"/>
    <w:rsid w:val="00F52955"/>
    <w:rsid w:val="00F538A4"/>
    <w:rsid w:val="00F53D5E"/>
    <w:rsid w:val="00F54039"/>
    <w:rsid w:val="00F54AD0"/>
    <w:rsid w:val="00F5680E"/>
    <w:rsid w:val="00F577C1"/>
    <w:rsid w:val="00F57849"/>
    <w:rsid w:val="00F57B0A"/>
    <w:rsid w:val="00F60A37"/>
    <w:rsid w:val="00F60F32"/>
    <w:rsid w:val="00F62E97"/>
    <w:rsid w:val="00F6390C"/>
    <w:rsid w:val="00F64209"/>
    <w:rsid w:val="00F64745"/>
    <w:rsid w:val="00F652EC"/>
    <w:rsid w:val="00F655A2"/>
    <w:rsid w:val="00F660A0"/>
    <w:rsid w:val="00F661AE"/>
    <w:rsid w:val="00F67120"/>
    <w:rsid w:val="00F67DCB"/>
    <w:rsid w:val="00F70D66"/>
    <w:rsid w:val="00F713E0"/>
    <w:rsid w:val="00F72063"/>
    <w:rsid w:val="00F76C9D"/>
    <w:rsid w:val="00F7739C"/>
    <w:rsid w:val="00F81DF8"/>
    <w:rsid w:val="00F81F84"/>
    <w:rsid w:val="00F848C6"/>
    <w:rsid w:val="00F852FB"/>
    <w:rsid w:val="00F85472"/>
    <w:rsid w:val="00F87500"/>
    <w:rsid w:val="00F87881"/>
    <w:rsid w:val="00F87B81"/>
    <w:rsid w:val="00F90AF7"/>
    <w:rsid w:val="00F91BD3"/>
    <w:rsid w:val="00F927B5"/>
    <w:rsid w:val="00F93853"/>
    <w:rsid w:val="00F93BF5"/>
    <w:rsid w:val="00F969AF"/>
    <w:rsid w:val="00F9780F"/>
    <w:rsid w:val="00FA1260"/>
    <w:rsid w:val="00FA273F"/>
    <w:rsid w:val="00FA30AC"/>
    <w:rsid w:val="00FA4EB5"/>
    <w:rsid w:val="00FA546A"/>
    <w:rsid w:val="00FA6FCB"/>
    <w:rsid w:val="00FA7A3D"/>
    <w:rsid w:val="00FB0CC7"/>
    <w:rsid w:val="00FB38D6"/>
    <w:rsid w:val="00FB45A9"/>
    <w:rsid w:val="00FB6842"/>
    <w:rsid w:val="00FB7DC7"/>
    <w:rsid w:val="00FC0112"/>
    <w:rsid w:val="00FC0DCD"/>
    <w:rsid w:val="00FC3571"/>
    <w:rsid w:val="00FC3D0D"/>
    <w:rsid w:val="00FC5B47"/>
    <w:rsid w:val="00FC6257"/>
    <w:rsid w:val="00FC637A"/>
    <w:rsid w:val="00FC7C8F"/>
    <w:rsid w:val="00FD0142"/>
    <w:rsid w:val="00FD0355"/>
    <w:rsid w:val="00FD27E8"/>
    <w:rsid w:val="00FD46B1"/>
    <w:rsid w:val="00FD5BC1"/>
    <w:rsid w:val="00FD795B"/>
    <w:rsid w:val="00FD7A6B"/>
    <w:rsid w:val="00FD7E81"/>
    <w:rsid w:val="00FE003F"/>
    <w:rsid w:val="00FE0A6C"/>
    <w:rsid w:val="00FE1FA3"/>
    <w:rsid w:val="00FE2BFF"/>
    <w:rsid w:val="00FE5228"/>
    <w:rsid w:val="00FF09CB"/>
    <w:rsid w:val="00FF0E8D"/>
    <w:rsid w:val="00FF11D7"/>
    <w:rsid w:val="00FF2C71"/>
    <w:rsid w:val="00FF3FFE"/>
    <w:rsid w:val="00FF41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415C2C"/>
  <w15:chartTrackingRefBased/>
  <w15:docId w15:val="{E235CA7D-BE0B-4FFA-9297-DE5B6C28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B94"/>
    <w:pPr>
      <w:widowControl w:val="0"/>
    </w:pPr>
    <w:rPr>
      <w:snapToGrid w:val="0"/>
      <w:kern w:val="28"/>
      <w:sz w:val="22"/>
    </w:rPr>
  </w:style>
  <w:style w:type="paragraph" w:styleId="Heading1">
    <w:name w:val="heading 1"/>
    <w:basedOn w:val="Normal"/>
    <w:next w:val="ParaNum"/>
    <w:qFormat/>
    <w:rsid w:val="000F3B94"/>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0F3B94"/>
    <w:pPr>
      <w:keepNext/>
      <w:numPr>
        <w:ilvl w:val="1"/>
        <w:numId w:val="3"/>
      </w:numPr>
      <w:spacing w:after="120"/>
      <w:outlineLvl w:val="1"/>
    </w:pPr>
    <w:rPr>
      <w:b/>
    </w:rPr>
  </w:style>
  <w:style w:type="paragraph" w:styleId="Heading3">
    <w:name w:val="heading 3"/>
    <w:basedOn w:val="Normal"/>
    <w:next w:val="ParaNum"/>
    <w:qFormat/>
    <w:rsid w:val="000F3B94"/>
    <w:pPr>
      <w:keepNext/>
      <w:numPr>
        <w:ilvl w:val="2"/>
        <w:numId w:val="3"/>
      </w:numPr>
      <w:tabs>
        <w:tab w:val="left" w:pos="2160"/>
      </w:tabs>
      <w:spacing w:after="120"/>
      <w:outlineLvl w:val="2"/>
    </w:pPr>
    <w:rPr>
      <w:b/>
    </w:rPr>
  </w:style>
  <w:style w:type="paragraph" w:styleId="Heading4">
    <w:name w:val="heading 4"/>
    <w:basedOn w:val="Normal"/>
    <w:next w:val="ParaNum"/>
    <w:qFormat/>
    <w:rsid w:val="000F3B94"/>
    <w:pPr>
      <w:keepNext/>
      <w:numPr>
        <w:ilvl w:val="3"/>
        <w:numId w:val="3"/>
      </w:numPr>
      <w:tabs>
        <w:tab w:val="left" w:pos="2880"/>
      </w:tabs>
      <w:spacing w:after="120"/>
      <w:outlineLvl w:val="3"/>
    </w:pPr>
    <w:rPr>
      <w:b/>
    </w:rPr>
  </w:style>
  <w:style w:type="paragraph" w:styleId="Heading5">
    <w:name w:val="heading 5"/>
    <w:basedOn w:val="Normal"/>
    <w:next w:val="ParaNum"/>
    <w:qFormat/>
    <w:rsid w:val="000F3B94"/>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F3B94"/>
    <w:pPr>
      <w:numPr>
        <w:ilvl w:val="5"/>
        <w:numId w:val="3"/>
      </w:numPr>
      <w:tabs>
        <w:tab w:val="left" w:pos="4320"/>
      </w:tabs>
      <w:spacing w:after="120"/>
      <w:outlineLvl w:val="5"/>
    </w:pPr>
    <w:rPr>
      <w:b/>
    </w:rPr>
  </w:style>
  <w:style w:type="paragraph" w:styleId="Heading7">
    <w:name w:val="heading 7"/>
    <w:basedOn w:val="Normal"/>
    <w:next w:val="ParaNum"/>
    <w:qFormat/>
    <w:rsid w:val="000F3B94"/>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0F3B94"/>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0F3B94"/>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0F3B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3B94"/>
  </w:style>
  <w:style w:type="paragraph" w:customStyle="1" w:styleId="ParaNum">
    <w:name w:val="ParaNum"/>
    <w:basedOn w:val="Normal"/>
    <w:link w:val="ParaNumChar"/>
    <w:rsid w:val="000F3B94"/>
    <w:pPr>
      <w:numPr>
        <w:numId w:val="2"/>
      </w:numPr>
      <w:tabs>
        <w:tab w:val="clear" w:pos="1080"/>
        <w:tab w:val="num" w:pos="1440"/>
      </w:tabs>
      <w:spacing w:after="120"/>
    </w:pPr>
  </w:style>
  <w:style w:type="paragraph" w:styleId="EndnoteText">
    <w:name w:val="endnote text"/>
    <w:basedOn w:val="Normal"/>
    <w:semiHidden/>
    <w:rsid w:val="000F3B94"/>
    <w:rPr>
      <w:sz w:val="20"/>
    </w:rPr>
  </w:style>
  <w:style w:type="character" w:styleId="EndnoteReference">
    <w:name w:val="endnote reference"/>
    <w:semiHidden/>
    <w:rsid w:val="000F3B94"/>
    <w:rPr>
      <w:vertAlign w:val="superscript"/>
    </w:rPr>
  </w:style>
  <w:style w:type="paragraph" w:styleId="FootnoteText">
    <w:name w:val="footnote text"/>
    <w:aliases w:val="Footnote Text Char1,Footnote Text Char3 Char,Footnote Text Char2 Char Char,Footnote Text Char Char1 Char Char,Footnote Text Char2 Char Char1 Char Char,Footnote Text Char Char1 Char Char Char Char,Footnote Text Char3,Footnote Text Char2,fn"/>
    <w:link w:val="FootnoteTextChar"/>
    <w:rsid w:val="000F3B94"/>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0F3B94"/>
    <w:rPr>
      <w:rFonts w:ascii="Times New Roman" w:hAnsi="Times New Roman"/>
      <w:dstrike w:val="0"/>
      <w:color w:val="auto"/>
      <w:sz w:val="20"/>
      <w:vertAlign w:val="superscript"/>
    </w:rPr>
  </w:style>
  <w:style w:type="paragraph" w:styleId="TOC1">
    <w:name w:val="toc 1"/>
    <w:basedOn w:val="Normal"/>
    <w:next w:val="Normal"/>
    <w:semiHidden/>
    <w:rsid w:val="000F3B9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0F3B94"/>
    <w:pPr>
      <w:tabs>
        <w:tab w:val="left" w:pos="720"/>
        <w:tab w:val="right" w:leader="dot" w:pos="9360"/>
      </w:tabs>
      <w:suppressAutoHyphens/>
      <w:ind w:left="720" w:right="720" w:hanging="360"/>
    </w:pPr>
    <w:rPr>
      <w:noProof/>
    </w:rPr>
  </w:style>
  <w:style w:type="paragraph" w:styleId="TOC3">
    <w:name w:val="toc 3"/>
    <w:basedOn w:val="Normal"/>
    <w:next w:val="Normal"/>
    <w:semiHidden/>
    <w:rsid w:val="000F3B9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F3B9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F3B9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F3B9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F3B9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F3B9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F3B9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F3B94"/>
    <w:pPr>
      <w:tabs>
        <w:tab w:val="right" w:pos="9360"/>
      </w:tabs>
      <w:suppressAutoHyphens/>
    </w:pPr>
  </w:style>
  <w:style w:type="character" w:customStyle="1" w:styleId="EquationCaption">
    <w:name w:val="_Equation Caption"/>
    <w:rsid w:val="000F3B94"/>
  </w:style>
  <w:style w:type="paragraph" w:styleId="Header">
    <w:name w:val="header"/>
    <w:basedOn w:val="Normal"/>
    <w:autoRedefine/>
    <w:rsid w:val="000F3B94"/>
    <w:pPr>
      <w:tabs>
        <w:tab w:val="center" w:pos="4680"/>
        <w:tab w:val="right" w:pos="9360"/>
      </w:tabs>
    </w:pPr>
    <w:rPr>
      <w:b/>
    </w:rPr>
  </w:style>
  <w:style w:type="paragraph" w:styleId="Footer">
    <w:name w:val="footer"/>
    <w:basedOn w:val="Normal"/>
    <w:link w:val="FooterChar"/>
    <w:uiPriority w:val="99"/>
    <w:rsid w:val="000F3B94"/>
    <w:pPr>
      <w:tabs>
        <w:tab w:val="center" w:pos="4320"/>
        <w:tab w:val="right" w:pos="8640"/>
      </w:tabs>
    </w:pPr>
  </w:style>
  <w:style w:type="character" w:styleId="PageNumber">
    <w:name w:val="page number"/>
    <w:basedOn w:val="DefaultParagraphFont"/>
    <w:rsid w:val="000F3B94"/>
  </w:style>
  <w:style w:type="paragraph" w:styleId="BlockText">
    <w:name w:val="Block Text"/>
    <w:basedOn w:val="Normal"/>
    <w:rsid w:val="000F3B94"/>
    <w:pPr>
      <w:spacing w:after="240"/>
      <w:ind w:left="1440" w:right="1440"/>
    </w:pPr>
  </w:style>
  <w:style w:type="paragraph" w:customStyle="1" w:styleId="Paratitle">
    <w:name w:val="Para title"/>
    <w:basedOn w:val="Normal"/>
    <w:rsid w:val="000F3B94"/>
    <w:pPr>
      <w:tabs>
        <w:tab w:val="center" w:pos="9270"/>
      </w:tabs>
      <w:spacing w:after="240"/>
    </w:pPr>
    <w:rPr>
      <w:spacing w:val="-2"/>
    </w:rPr>
  </w:style>
  <w:style w:type="paragraph" w:customStyle="1" w:styleId="Bullet">
    <w:name w:val="Bullet"/>
    <w:basedOn w:val="Normal"/>
    <w:rsid w:val="000F3B94"/>
    <w:pPr>
      <w:tabs>
        <w:tab w:val="left" w:pos="2160"/>
      </w:tabs>
      <w:spacing w:after="220"/>
      <w:ind w:left="2160" w:hanging="720"/>
    </w:pPr>
  </w:style>
  <w:style w:type="paragraph" w:customStyle="1" w:styleId="TableFormat">
    <w:name w:val="TableFormat"/>
    <w:basedOn w:val="Bullet"/>
    <w:rsid w:val="000F3B94"/>
    <w:pPr>
      <w:tabs>
        <w:tab w:val="clear" w:pos="2160"/>
        <w:tab w:val="left" w:pos="5040"/>
      </w:tabs>
      <w:ind w:left="5040" w:hanging="3600"/>
    </w:pPr>
  </w:style>
  <w:style w:type="paragraph" w:customStyle="1" w:styleId="TOCTitle">
    <w:name w:val="TOC Title"/>
    <w:basedOn w:val="Normal"/>
    <w:rsid w:val="000F3B9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F3B94"/>
    <w:pPr>
      <w:jc w:val="center"/>
    </w:pPr>
    <w:rPr>
      <w:rFonts w:ascii="Times New Roman Bold" w:hAnsi="Times New Roman Bold"/>
      <w:b/>
      <w:bCs/>
      <w:caps/>
      <w:szCs w:val="22"/>
    </w:rPr>
  </w:style>
  <w:style w:type="character" w:styleId="Hyperlink">
    <w:name w:val="Hyperlink"/>
    <w:rsid w:val="000F3B94"/>
    <w:rPr>
      <w:color w:val="0000FF"/>
      <w:u w:val="single"/>
    </w:rPr>
  </w:style>
  <w:style w:type="character" w:customStyle="1" w:styleId="FooterChar">
    <w:name w:val="Footer Char"/>
    <w:link w:val="Footer"/>
    <w:uiPriority w:val="99"/>
    <w:rsid w:val="000F3B94"/>
    <w:rPr>
      <w:snapToGrid w:val="0"/>
      <w:kern w:val="28"/>
      <w:sz w:val="22"/>
    </w:rPr>
  </w:style>
  <w:style w:type="character" w:styleId="CommentReference">
    <w:name w:val="annotation reference"/>
    <w:basedOn w:val="DefaultParagraphFont"/>
    <w:rsid w:val="00BB64F8"/>
    <w:rPr>
      <w:sz w:val="16"/>
      <w:szCs w:val="16"/>
    </w:rPr>
  </w:style>
  <w:style w:type="paragraph" w:styleId="CommentText">
    <w:name w:val="annotation text"/>
    <w:basedOn w:val="Normal"/>
    <w:link w:val="CommentTextChar"/>
    <w:rsid w:val="00BB64F8"/>
    <w:rPr>
      <w:sz w:val="20"/>
    </w:rPr>
  </w:style>
  <w:style w:type="character" w:customStyle="1" w:styleId="CommentTextChar">
    <w:name w:val="Comment Text Char"/>
    <w:basedOn w:val="DefaultParagraphFont"/>
    <w:link w:val="CommentText"/>
    <w:rsid w:val="00BB64F8"/>
    <w:rPr>
      <w:snapToGrid w:val="0"/>
      <w:kern w:val="28"/>
    </w:rPr>
  </w:style>
  <w:style w:type="paragraph" w:styleId="CommentSubject">
    <w:name w:val="annotation subject"/>
    <w:basedOn w:val="CommentText"/>
    <w:next w:val="CommentText"/>
    <w:link w:val="CommentSubjectChar"/>
    <w:rsid w:val="00BB64F8"/>
    <w:rPr>
      <w:b/>
      <w:bCs/>
    </w:rPr>
  </w:style>
  <w:style w:type="character" w:customStyle="1" w:styleId="CommentSubjectChar">
    <w:name w:val="Comment Subject Char"/>
    <w:basedOn w:val="CommentTextChar"/>
    <w:link w:val="CommentSubject"/>
    <w:rsid w:val="00BB64F8"/>
    <w:rPr>
      <w:b/>
      <w:bCs/>
      <w:snapToGrid w:val="0"/>
      <w:kern w:val="28"/>
    </w:rPr>
  </w:style>
  <w:style w:type="character" w:styleId="PlaceholderText">
    <w:name w:val="Placeholder Text"/>
    <w:basedOn w:val="DefaultParagraphFont"/>
    <w:uiPriority w:val="99"/>
    <w:semiHidden/>
    <w:rsid w:val="004E2F22"/>
    <w:rPr>
      <w:color w:val="666666"/>
    </w:rPr>
  </w:style>
  <w:style w:type="character" w:styleId="UnresolvedMention">
    <w:name w:val="Unresolved Mention"/>
    <w:basedOn w:val="DefaultParagraphFont"/>
    <w:uiPriority w:val="99"/>
    <w:semiHidden/>
    <w:unhideWhenUsed/>
    <w:rsid w:val="00DD47E5"/>
    <w:rPr>
      <w:color w:val="605E5C"/>
      <w:shd w:val="clear" w:color="auto" w:fill="E1DFDD"/>
    </w:rPr>
  </w:style>
  <w:style w:type="character" w:customStyle="1" w:styleId="FootnoteTextChar">
    <w:name w:val="Footnote Text Char"/>
    <w:aliases w:val="Footnote Text Char1 Char,Footnote Text Char3 Char Char,Footnote Text Char2 Char Char Char,Footnote Text Char Char1 Char Char Char,Footnote Text Char2 Char Char1 Char Char Char,Footnote Text Char Char1 Char Char Char Char Char,fn Char"/>
    <w:link w:val="FootnoteText"/>
    <w:locked/>
    <w:rsid w:val="00685349"/>
  </w:style>
  <w:style w:type="character" w:customStyle="1" w:styleId="ParaNumChar">
    <w:name w:val="ParaNum Char"/>
    <w:link w:val="ParaNum"/>
    <w:locked/>
    <w:rsid w:val="004A433A"/>
    <w:rPr>
      <w:snapToGrid w:val="0"/>
      <w:kern w:val="28"/>
      <w:sz w:val="22"/>
    </w:rPr>
  </w:style>
  <w:style w:type="paragraph" w:styleId="Revision">
    <w:name w:val="Revision"/>
    <w:hidden/>
    <w:uiPriority w:val="99"/>
    <w:semiHidden/>
    <w:rsid w:val="004D2F06"/>
    <w:rPr>
      <w:snapToGrid w:val="0"/>
      <w:kern w:val="28"/>
      <w:sz w:val="22"/>
    </w:rPr>
  </w:style>
  <w:style w:type="paragraph" w:styleId="ListParagraph">
    <w:name w:val="List Paragraph"/>
    <w:basedOn w:val="Normal"/>
    <w:uiPriority w:val="34"/>
    <w:qFormat/>
    <w:rsid w:val="00BA5A20"/>
    <w:pPr>
      <w:ind w:left="720"/>
      <w:contextualSpacing/>
    </w:pPr>
  </w:style>
  <w:style w:type="character" w:styleId="Mention">
    <w:name w:val="Mention"/>
    <w:basedOn w:val="DefaultParagraphFont"/>
    <w:uiPriority w:val="99"/>
    <w:unhideWhenUsed/>
    <w:rsid w:val="000705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