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4C2EE3" w14:paraId="22B1F6B2"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2051D452" w14:textId="77777777">
      <w:pPr>
        <w:pStyle w:val="StyleBoldCentered"/>
      </w:pPr>
      <w:r>
        <w:t>F</w:t>
      </w:r>
      <w:r>
        <w:rPr>
          <w:caps w:val="0"/>
        </w:rPr>
        <w:t>ederal Communications Commission</w:t>
      </w:r>
    </w:p>
    <w:p w:rsidR="004C2EE3" w:rsidP="00096D8C" w14:paraId="7E4B1677" w14:textId="77777777">
      <w:pPr>
        <w:pStyle w:val="StyleBoldCentered"/>
      </w:pPr>
      <w:r>
        <w:rPr>
          <w:caps w:val="0"/>
        </w:rPr>
        <w:t>Washington, D.C. 20554</w:t>
      </w:r>
    </w:p>
    <w:p w:rsidR="004C2EE3" w:rsidP="0070224F" w14:paraId="21A9DAC7" w14:textId="77777777"/>
    <w:p w:rsidR="004C2EE3" w:rsidP="0070224F" w14:paraId="0C3ACE67" w14:textId="77777777"/>
    <w:tbl>
      <w:tblPr>
        <w:tblW w:w="0" w:type="auto"/>
        <w:tblLayout w:type="fixed"/>
        <w:tblLook w:val="0000"/>
      </w:tblPr>
      <w:tblGrid>
        <w:gridCol w:w="4698"/>
        <w:gridCol w:w="630"/>
        <w:gridCol w:w="4248"/>
      </w:tblGrid>
      <w:tr w14:paraId="71F3B990" w14:textId="77777777">
        <w:tblPrEx>
          <w:tblW w:w="0" w:type="auto"/>
          <w:tblLayout w:type="fixed"/>
          <w:tblLook w:val="0000"/>
        </w:tblPrEx>
        <w:tc>
          <w:tcPr>
            <w:tcW w:w="4698" w:type="dxa"/>
          </w:tcPr>
          <w:p w:rsidR="00D54E4C" w:rsidP="00D54E4C" w14:paraId="32A86973" w14:textId="77777777">
            <w:pPr>
              <w:tabs>
                <w:tab w:val="center" w:pos="4680"/>
              </w:tabs>
              <w:suppressAutoHyphens/>
              <w:rPr>
                <w:spacing w:val="-2"/>
              </w:rPr>
            </w:pPr>
            <w:r>
              <w:rPr>
                <w:spacing w:val="-2"/>
              </w:rPr>
              <w:t>In the Matter of</w:t>
            </w:r>
          </w:p>
          <w:p w:rsidR="00D54E4C" w:rsidP="00D54E4C" w14:paraId="01E2341A" w14:textId="77777777">
            <w:pPr>
              <w:tabs>
                <w:tab w:val="center" w:pos="4680"/>
              </w:tabs>
              <w:suppressAutoHyphens/>
              <w:rPr>
                <w:spacing w:val="-2"/>
              </w:rPr>
            </w:pPr>
          </w:p>
          <w:p w:rsidR="00D54E4C" w:rsidRPr="00883551" w:rsidP="00D54E4C" w14:paraId="5DF57C52" w14:textId="77777777">
            <w:pPr>
              <w:keepNext/>
            </w:pPr>
            <w:r w:rsidRPr="00883551">
              <w:t>Telecommunications Relay Services and Speech-to-Speech Services for Individuals with Hearing and Speech Disabilities</w:t>
            </w:r>
          </w:p>
          <w:p w:rsidR="00D54E4C" w:rsidP="00D54E4C" w14:paraId="2DAF3C72" w14:textId="77777777">
            <w:pPr>
              <w:tabs>
                <w:tab w:val="center" w:pos="4680"/>
              </w:tabs>
              <w:suppressAutoHyphens/>
              <w:rPr>
                <w:spacing w:val="-2"/>
              </w:rPr>
            </w:pPr>
          </w:p>
          <w:p w:rsidR="00D54E4C" w:rsidRPr="007115F7" w:rsidP="00D54E4C" w14:paraId="0A4A57B0" w14:textId="36AEA60D">
            <w:pPr>
              <w:tabs>
                <w:tab w:val="center" w:pos="4680"/>
              </w:tabs>
              <w:suppressAutoHyphens/>
              <w:rPr>
                <w:spacing w:val="-2"/>
              </w:rPr>
            </w:pPr>
            <w:r w:rsidRPr="00883551">
              <w:t>Structure and Practices of the Video Relay Service Program</w:t>
            </w:r>
          </w:p>
        </w:tc>
        <w:tc>
          <w:tcPr>
            <w:tcW w:w="630" w:type="dxa"/>
          </w:tcPr>
          <w:p w:rsidR="00D54E4C" w:rsidP="00D54E4C" w14:paraId="57EC80DA" w14:textId="77777777">
            <w:pPr>
              <w:tabs>
                <w:tab w:val="center" w:pos="4680"/>
              </w:tabs>
              <w:suppressAutoHyphens/>
              <w:rPr>
                <w:b/>
                <w:spacing w:val="-2"/>
              </w:rPr>
            </w:pPr>
            <w:r>
              <w:rPr>
                <w:b/>
                <w:spacing w:val="-2"/>
              </w:rPr>
              <w:t>)</w:t>
            </w:r>
          </w:p>
          <w:p w:rsidR="00D54E4C" w:rsidP="00D54E4C" w14:paraId="2718027D" w14:textId="77777777">
            <w:pPr>
              <w:tabs>
                <w:tab w:val="center" w:pos="4680"/>
              </w:tabs>
              <w:suppressAutoHyphens/>
              <w:rPr>
                <w:b/>
                <w:spacing w:val="-2"/>
              </w:rPr>
            </w:pPr>
            <w:r>
              <w:rPr>
                <w:b/>
                <w:spacing w:val="-2"/>
              </w:rPr>
              <w:t>)</w:t>
            </w:r>
          </w:p>
          <w:p w:rsidR="00D54E4C" w:rsidP="00D54E4C" w14:paraId="5F244056" w14:textId="77777777">
            <w:pPr>
              <w:tabs>
                <w:tab w:val="center" w:pos="4680"/>
              </w:tabs>
              <w:suppressAutoHyphens/>
              <w:rPr>
                <w:b/>
                <w:spacing w:val="-2"/>
              </w:rPr>
            </w:pPr>
            <w:r>
              <w:rPr>
                <w:b/>
                <w:spacing w:val="-2"/>
              </w:rPr>
              <w:t>)</w:t>
            </w:r>
          </w:p>
          <w:p w:rsidR="00D54E4C" w:rsidP="00D54E4C" w14:paraId="0CC515A9" w14:textId="77777777">
            <w:pPr>
              <w:tabs>
                <w:tab w:val="center" w:pos="4680"/>
              </w:tabs>
              <w:suppressAutoHyphens/>
              <w:rPr>
                <w:b/>
                <w:spacing w:val="-2"/>
              </w:rPr>
            </w:pPr>
            <w:r>
              <w:rPr>
                <w:b/>
                <w:spacing w:val="-2"/>
              </w:rPr>
              <w:t>)</w:t>
            </w:r>
          </w:p>
          <w:p w:rsidR="00D54E4C" w:rsidP="00D54E4C" w14:paraId="7FDCB5E1" w14:textId="77777777">
            <w:pPr>
              <w:tabs>
                <w:tab w:val="center" w:pos="4680"/>
              </w:tabs>
              <w:suppressAutoHyphens/>
              <w:rPr>
                <w:b/>
                <w:spacing w:val="-2"/>
              </w:rPr>
            </w:pPr>
            <w:r>
              <w:rPr>
                <w:b/>
                <w:spacing w:val="-2"/>
              </w:rPr>
              <w:t>)</w:t>
            </w:r>
          </w:p>
          <w:p w:rsidR="00D54E4C" w:rsidP="00D54E4C" w14:paraId="513A6F80" w14:textId="77777777">
            <w:pPr>
              <w:tabs>
                <w:tab w:val="center" w:pos="4680"/>
              </w:tabs>
              <w:suppressAutoHyphens/>
              <w:rPr>
                <w:b/>
                <w:spacing w:val="-2"/>
              </w:rPr>
            </w:pPr>
            <w:r>
              <w:rPr>
                <w:b/>
                <w:spacing w:val="-2"/>
              </w:rPr>
              <w:t>)</w:t>
            </w:r>
          </w:p>
          <w:p w:rsidR="00D54E4C" w:rsidP="00D54E4C" w14:paraId="49D45798" w14:textId="77777777">
            <w:pPr>
              <w:tabs>
                <w:tab w:val="center" w:pos="4680"/>
              </w:tabs>
              <w:suppressAutoHyphens/>
              <w:rPr>
                <w:b/>
                <w:spacing w:val="-2"/>
              </w:rPr>
            </w:pPr>
            <w:r>
              <w:rPr>
                <w:b/>
                <w:spacing w:val="-2"/>
              </w:rPr>
              <w:t>)</w:t>
            </w:r>
          </w:p>
          <w:p w:rsidR="00D54E4C" w:rsidP="00D54E4C" w14:paraId="723130BE" w14:textId="77777777">
            <w:pPr>
              <w:tabs>
                <w:tab w:val="center" w:pos="4680"/>
              </w:tabs>
              <w:suppressAutoHyphens/>
              <w:rPr>
                <w:b/>
                <w:spacing w:val="-2"/>
              </w:rPr>
            </w:pPr>
            <w:r>
              <w:rPr>
                <w:b/>
                <w:spacing w:val="-2"/>
              </w:rPr>
              <w:t>)</w:t>
            </w:r>
          </w:p>
          <w:p w:rsidR="00D54E4C" w:rsidP="00D54E4C" w14:paraId="5968EA97" w14:textId="6427D0A6">
            <w:pPr>
              <w:tabs>
                <w:tab w:val="center" w:pos="4680"/>
              </w:tabs>
              <w:suppressAutoHyphens/>
              <w:rPr>
                <w:spacing w:val="-2"/>
              </w:rPr>
            </w:pPr>
            <w:r>
              <w:rPr>
                <w:b/>
                <w:spacing w:val="-2"/>
              </w:rPr>
              <w:t>)</w:t>
            </w:r>
          </w:p>
        </w:tc>
        <w:tc>
          <w:tcPr>
            <w:tcW w:w="4248" w:type="dxa"/>
          </w:tcPr>
          <w:p w:rsidR="00D54E4C" w:rsidP="00D54E4C" w14:paraId="667C523C" w14:textId="77777777">
            <w:pPr>
              <w:tabs>
                <w:tab w:val="center" w:pos="4680"/>
              </w:tabs>
              <w:suppressAutoHyphens/>
              <w:rPr>
                <w:spacing w:val="-2"/>
              </w:rPr>
            </w:pPr>
          </w:p>
          <w:p w:rsidR="00D54E4C" w:rsidP="00D54E4C" w14:paraId="4A6BB125" w14:textId="77777777">
            <w:pPr>
              <w:pStyle w:val="TOAHeading"/>
              <w:tabs>
                <w:tab w:val="center" w:pos="4680"/>
                <w:tab w:val="clear" w:pos="9360"/>
              </w:tabs>
              <w:rPr>
                <w:spacing w:val="-2"/>
              </w:rPr>
            </w:pPr>
          </w:p>
          <w:p w:rsidR="00D54E4C" w:rsidRPr="00883551" w:rsidP="00D54E4C" w14:paraId="2077C11E" w14:textId="77777777">
            <w:pPr>
              <w:tabs>
                <w:tab w:val="center" w:pos="4680"/>
              </w:tabs>
              <w:suppressAutoHyphens/>
              <w:rPr>
                <w:spacing w:val="-2"/>
              </w:rPr>
            </w:pPr>
            <w:r w:rsidRPr="00883551">
              <w:rPr>
                <w:spacing w:val="-2"/>
              </w:rPr>
              <w:t>CG Docket No. 03-123</w:t>
            </w:r>
          </w:p>
          <w:p w:rsidR="00D54E4C" w:rsidRPr="00883551" w:rsidP="00D54E4C" w14:paraId="2D386C39" w14:textId="77777777">
            <w:pPr>
              <w:tabs>
                <w:tab w:val="center" w:pos="4680"/>
              </w:tabs>
              <w:suppressAutoHyphens/>
              <w:rPr>
                <w:spacing w:val="-2"/>
              </w:rPr>
            </w:pPr>
          </w:p>
          <w:p w:rsidR="00D54E4C" w:rsidRPr="00883551" w:rsidP="00D54E4C" w14:paraId="689C95C1" w14:textId="77777777">
            <w:pPr>
              <w:tabs>
                <w:tab w:val="center" w:pos="4680"/>
              </w:tabs>
              <w:suppressAutoHyphens/>
              <w:rPr>
                <w:spacing w:val="-2"/>
              </w:rPr>
            </w:pPr>
          </w:p>
          <w:p w:rsidR="00D54E4C" w:rsidRPr="00883551" w:rsidP="00D54E4C" w14:paraId="5A29FF27" w14:textId="77777777">
            <w:pPr>
              <w:tabs>
                <w:tab w:val="center" w:pos="4680"/>
              </w:tabs>
              <w:suppressAutoHyphens/>
              <w:rPr>
                <w:spacing w:val="-2"/>
              </w:rPr>
            </w:pPr>
          </w:p>
          <w:p w:rsidR="00D54E4C" w:rsidRPr="00883551" w:rsidP="00D54E4C" w14:paraId="182E668B" w14:textId="77777777">
            <w:pPr>
              <w:tabs>
                <w:tab w:val="center" w:pos="4680"/>
              </w:tabs>
              <w:suppressAutoHyphens/>
              <w:rPr>
                <w:spacing w:val="-2"/>
              </w:rPr>
            </w:pPr>
            <w:r w:rsidRPr="00883551">
              <w:rPr>
                <w:spacing w:val="-2"/>
              </w:rPr>
              <w:t>CG Docket No. 10-51</w:t>
            </w:r>
          </w:p>
          <w:p w:rsidR="00D54E4C" w:rsidP="00D54E4C" w14:paraId="0C31EA3C" w14:textId="650FD7D2">
            <w:pPr>
              <w:tabs>
                <w:tab w:val="center" w:pos="4680"/>
              </w:tabs>
              <w:suppressAutoHyphens/>
              <w:rPr>
                <w:spacing w:val="-2"/>
              </w:rPr>
            </w:pPr>
          </w:p>
        </w:tc>
      </w:tr>
    </w:tbl>
    <w:p w:rsidR="004C2EE3" w:rsidP="0070224F" w14:paraId="2E22CB3D" w14:textId="77777777"/>
    <w:p w:rsidR="00841AB1" w:rsidP="00F021FA" w14:paraId="07DBBBCE" w14:textId="0C6CF0F8">
      <w:pPr>
        <w:pStyle w:val="StyleBoldCentered"/>
      </w:pPr>
      <w:r>
        <w:t>Order</w:t>
      </w:r>
    </w:p>
    <w:p w:rsidR="004C2EE3" w14:paraId="13C07CBE" w14:textId="77777777">
      <w:pPr>
        <w:tabs>
          <w:tab w:val="left" w:pos="-720"/>
        </w:tabs>
        <w:suppressAutoHyphens/>
        <w:spacing w:line="227" w:lineRule="auto"/>
        <w:rPr>
          <w:spacing w:val="-2"/>
        </w:rPr>
      </w:pPr>
    </w:p>
    <w:p w:rsidR="004C2EE3" w:rsidP="00133F79" w14:paraId="5A7E539F" w14:textId="1485232A">
      <w:pPr>
        <w:tabs>
          <w:tab w:val="left" w:pos="720"/>
          <w:tab w:val="right" w:pos="9360"/>
        </w:tabs>
        <w:suppressAutoHyphens/>
        <w:spacing w:line="227" w:lineRule="auto"/>
        <w:rPr>
          <w:spacing w:val="-2"/>
        </w:rPr>
      </w:pPr>
      <w:r>
        <w:rPr>
          <w:b/>
          <w:spacing w:val="-2"/>
        </w:rPr>
        <w:t xml:space="preserve">Adopted:  </w:t>
      </w:r>
      <w:r w:rsidR="00BC685C">
        <w:rPr>
          <w:b/>
          <w:spacing w:val="-2"/>
        </w:rPr>
        <w:t>July 7, 2025</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BC685C">
        <w:rPr>
          <w:b/>
          <w:spacing w:val="-2"/>
        </w:rPr>
        <w:t>July 7, 2025</w:t>
      </w:r>
    </w:p>
    <w:p w:rsidR="00822CE0" w14:paraId="3B5AE95B" w14:textId="77777777"/>
    <w:p w:rsidR="004C2EE3" w14:paraId="29B725CC" w14:textId="7C35023E">
      <w:pPr>
        <w:rPr>
          <w:spacing w:val="-2"/>
        </w:rPr>
      </w:pPr>
      <w:r>
        <w:t xml:space="preserve">By </w:t>
      </w:r>
      <w:r w:rsidR="004E4A22">
        <w:t>the</w:t>
      </w:r>
      <w:r w:rsidR="002A2D2E">
        <w:t xml:space="preserve"> </w:t>
      </w:r>
      <w:r w:rsidR="00D54E4C">
        <w:t>C</w:t>
      </w:r>
      <w:r w:rsidRPr="00883551" w:rsidR="00D54E4C">
        <w:rPr>
          <w:spacing w:val="-2"/>
        </w:rPr>
        <w:t>hief, Consumer and Governmental Affairs Bureau</w:t>
      </w:r>
      <w:r>
        <w:rPr>
          <w:spacing w:val="-2"/>
        </w:rPr>
        <w:t>:</w:t>
      </w:r>
    </w:p>
    <w:p w:rsidR="00822CE0" w14:paraId="7231BF80" w14:textId="77777777">
      <w:pPr>
        <w:rPr>
          <w:spacing w:val="-2"/>
        </w:rPr>
      </w:pPr>
    </w:p>
    <w:p w:rsidR="00412FC5" w:rsidP="00C36B4C" w14:paraId="798C7AC5" w14:textId="4260845D">
      <w:pPr>
        <w:pStyle w:val="Heading1"/>
      </w:pPr>
      <w:r>
        <w:t>Introduction</w:t>
      </w:r>
    </w:p>
    <w:p w:rsidR="00D54E4C" w:rsidP="00FE41F8" w14:paraId="2CF169FF" w14:textId="4403C95C">
      <w:pPr>
        <w:pStyle w:val="ParaNum"/>
        <w:widowControl/>
        <w:tabs>
          <w:tab w:val="left" w:pos="1440"/>
        </w:tabs>
      </w:pPr>
      <w:r w:rsidRPr="00D37662">
        <w:t xml:space="preserve">In this Order, the Consumer and Governmental Affairs Bureau (CGB or Bureau) of the Federal Communications Commission (Commission) </w:t>
      </w:r>
      <w:r w:rsidR="00552187">
        <w:t>establishes</w:t>
      </w:r>
      <w:r w:rsidR="00237561">
        <w:t xml:space="preserve"> </w:t>
      </w:r>
      <w:r w:rsidRPr="002642A8">
        <w:t xml:space="preserve">the total funding requirement and contribution factors </w:t>
      </w:r>
      <w:r w:rsidR="00237561">
        <w:t xml:space="preserve">for </w:t>
      </w:r>
      <w:r w:rsidR="00FE41F8">
        <w:t>the Interstate Telecommunications Relay Services (TRS) Fund</w:t>
      </w:r>
      <w:r w:rsidR="00F47700">
        <w:t xml:space="preserve"> for the period July 1, 2025, </w:t>
      </w:r>
      <w:r w:rsidR="00A21349">
        <w:t>through June 30, 2026</w:t>
      </w:r>
      <w:r w:rsidR="00774F7B">
        <w:t xml:space="preserve"> (Fund Year 2025-26)</w:t>
      </w:r>
      <w:r w:rsidR="00F47700">
        <w:t xml:space="preserve">.  </w:t>
      </w:r>
      <w:r w:rsidR="00757C2B">
        <w:t>The</w:t>
      </w:r>
      <w:r w:rsidR="00BA2F56">
        <w:t>se</w:t>
      </w:r>
      <w:r w:rsidR="00757C2B">
        <w:t xml:space="preserve"> </w:t>
      </w:r>
      <w:r w:rsidR="00BA2F56">
        <w:t xml:space="preserve">contribution factors </w:t>
      </w:r>
      <w:r w:rsidRPr="002642A8">
        <w:t>determine the amounts that telecommu</w:t>
      </w:r>
      <w:r w:rsidRPr="002D4CBD">
        <w:t>nications carriers and other covered service providers must contribute to the Fund.  Based on the compensation formulas</w:t>
      </w:r>
      <w:r w:rsidR="000E412C">
        <w:t xml:space="preserve"> set in a recent Bureau order</w:t>
      </w:r>
      <w:r w:rsidRPr="002D4CBD">
        <w:t>,</w:t>
      </w:r>
      <w:r>
        <w:rPr>
          <w:rStyle w:val="FootnoteReference"/>
        </w:rPr>
        <w:footnoteReference w:id="3"/>
      </w:r>
      <w:r w:rsidRPr="002D4CBD">
        <w:t xml:space="preserve"> projected demand for each service, projected Fund administration expenses, and application of the projected </w:t>
      </w:r>
      <w:r w:rsidR="00880DE1">
        <w:t>carryover balance</w:t>
      </w:r>
      <w:r w:rsidRPr="002D4CBD">
        <w:t xml:space="preserve"> from the previous Fund year,</w:t>
      </w:r>
      <w:bookmarkStart w:id="0" w:name="_Hlk517248568"/>
      <w:r w:rsidRPr="002D4CBD">
        <w:t xml:space="preserve"> the net funding requirement is $</w:t>
      </w:r>
      <w:r w:rsidRPr="003F1195" w:rsidR="00BF0CA2">
        <w:t>1,</w:t>
      </w:r>
      <w:r w:rsidR="00820D04">
        <w:t>47</w:t>
      </w:r>
      <w:r w:rsidR="00E84E27">
        <w:t>9,568,862</w:t>
      </w:r>
      <w:r w:rsidR="002C5130">
        <w:t>, a reduction of $11 million over the prior fund year</w:t>
      </w:r>
      <w:r w:rsidRPr="002D4CBD">
        <w:t xml:space="preserve">.  For support of TRS provided through state programs, we approve a carrier contribution factor of </w:t>
      </w:r>
      <w:bookmarkEnd w:id="0"/>
      <w:r w:rsidRPr="002D4CBD">
        <w:t>0.0002</w:t>
      </w:r>
      <w:r w:rsidR="005424B2">
        <w:t>5</w:t>
      </w:r>
      <w:r w:rsidRPr="002D4CBD">
        <w:t>, applied to contributors’ interstate and international end-user revenues.</w:t>
      </w:r>
      <w:r>
        <w:rPr>
          <w:rStyle w:val="FootnoteReference"/>
        </w:rPr>
        <w:footnoteReference w:id="4"/>
      </w:r>
      <w:r w:rsidRPr="002D4CBD">
        <w:t xml:space="preserve">  For support of Internet-based TRS—IP CTS</w:t>
      </w:r>
      <w:r>
        <w:t xml:space="preserve">, </w:t>
      </w:r>
      <w:r w:rsidRPr="002D4CBD">
        <w:t>IP Relay</w:t>
      </w:r>
      <w:r>
        <w:t>, and VRS</w:t>
      </w:r>
      <w:r w:rsidRPr="002D4CBD">
        <w:t xml:space="preserve">—we approve a carrier contribution factor of </w:t>
      </w:r>
      <w:r w:rsidRPr="00A339CD" w:rsidR="00BF0CA2">
        <w:t>0.0208</w:t>
      </w:r>
      <w:r w:rsidR="007E74A5">
        <w:t>6</w:t>
      </w:r>
      <w:r w:rsidRPr="002D4CBD">
        <w:t>, applied to contri</w:t>
      </w:r>
      <w:r w:rsidRPr="006E745A">
        <w:t>butors’ intrastate, interstate, and international end-user revenues.</w:t>
      </w:r>
      <w:r>
        <w:rPr>
          <w:rStyle w:val="FootnoteReference"/>
        </w:rPr>
        <w:footnoteReference w:id="5"/>
      </w:r>
      <w:r w:rsidRPr="006E745A">
        <w:t xml:space="preserve">  </w:t>
      </w:r>
    </w:p>
    <w:p w:rsidR="00D54E4C" w:rsidP="00F86F6D" w14:paraId="45FA96F0" w14:textId="43EC3CD5">
      <w:pPr>
        <w:pStyle w:val="Heading1"/>
      </w:pPr>
      <w:r>
        <w:t>Background</w:t>
      </w:r>
    </w:p>
    <w:p w:rsidR="00F86F6D" w:rsidRPr="00871204" w:rsidP="00F86F6D" w14:paraId="10313564" w14:textId="1EA6A9C3">
      <w:pPr>
        <w:pStyle w:val="ParaNum"/>
      </w:pPr>
      <w:r w:rsidRPr="00871204">
        <w:t xml:space="preserve">On </w:t>
      </w:r>
      <w:r w:rsidR="00FB26E0">
        <w:t>April 30</w:t>
      </w:r>
      <w:r w:rsidRPr="00871204">
        <w:t>, 202</w:t>
      </w:r>
      <w:r w:rsidR="00FB26E0">
        <w:t>5</w:t>
      </w:r>
      <w:r w:rsidRPr="00871204">
        <w:t xml:space="preserve">, the TRS Fund administrator, Rolka Loube </w:t>
      </w:r>
      <w:r w:rsidR="00FB26E0">
        <w:t xml:space="preserve">Saltzer </w:t>
      </w:r>
      <w:r w:rsidRPr="00871204">
        <w:t xml:space="preserve">Associates LLC (Rolka Loube), submitted </w:t>
      </w:r>
      <w:r>
        <w:t xml:space="preserve">to the Commission </w:t>
      </w:r>
      <w:r w:rsidRPr="00871204">
        <w:t>an annual report on the TRS Fund with recommendations for provider compensation, the TRS Fund budget, and contribution factors for the 202</w:t>
      </w:r>
      <w:r w:rsidR="00FB26E0">
        <w:t>5</w:t>
      </w:r>
      <w:r w:rsidRPr="00871204">
        <w:t>-2</w:t>
      </w:r>
      <w:r w:rsidR="00FB26E0">
        <w:t>6</w:t>
      </w:r>
      <w:r w:rsidRPr="00871204">
        <w:t xml:space="preserve"> Fund Year.</w:t>
      </w:r>
      <w:r>
        <w:rPr>
          <w:rStyle w:val="FootnoteReference"/>
        </w:rPr>
        <w:footnoteReference w:id="6"/>
      </w:r>
      <w:r w:rsidRPr="00871204">
        <w:t xml:space="preserve">  </w:t>
      </w:r>
      <w:r w:rsidRPr="00871204">
        <w:t xml:space="preserve">On May </w:t>
      </w:r>
      <w:r w:rsidR="00FB26E0">
        <w:t>22</w:t>
      </w:r>
      <w:r>
        <w:t xml:space="preserve">, </w:t>
      </w:r>
      <w:r w:rsidRPr="00871204">
        <w:t>the Bureau sought comment on the administrator’s recommendations.</w:t>
      </w:r>
      <w:r>
        <w:rPr>
          <w:rStyle w:val="FootnoteReference"/>
        </w:rPr>
        <w:footnoteReference w:id="7"/>
      </w:r>
      <w:r w:rsidRPr="00871204">
        <w:t xml:space="preserve"> </w:t>
      </w:r>
      <w:r w:rsidRPr="008D0179">
        <w:rPr>
          <w:b/>
          <w:bCs/>
        </w:rPr>
        <w:t xml:space="preserve"> </w:t>
      </w:r>
      <w:r w:rsidR="00CA399A">
        <w:t>On June 6, t</w:t>
      </w:r>
      <w:r w:rsidRPr="0031532C" w:rsidR="00B5201E">
        <w:t>he Commission received comments from Hamilton Relay</w:t>
      </w:r>
      <w:r w:rsidR="000328CA">
        <w:t>, Inc. (Hamilton)</w:t>
      </w:r>
      <w:r w:rsidRPr="0031532C" w:rsidR="00EE1B1A">
        <w:t xml:space="preserve"> and the Small</w:t>
      </w:r>
      <w:r w:rsidRPr="0031532C" w:rsidR="00D9369B">
        <w:t xml:space="preserve"> Company Coalition.</w:t>
      </w:r>
      <w:r>
        <w:rPr>
          <w:rStyle w:val="FootnoteReference"/>
        </w:rPr>
        <w:footnoteReference w:id="8"/>
      </w:r>
      <w:r w:rsidR="00D9369B">
        <w:rPr>
          <w:b/>
          <w:bCs/>
        </w:rPr>
        <w:t xml:space="preserve"> </w:t>
      </w:r>
      <w:r w:rsidR="00325363">
        <w:rPr>
          <w:b/>
          <w:bCs/>
        </w:rPr>
        <w:t xml:space="preserve"> </w:t>
      </w:r>
      <w:r w:rsidRPr="004E0008" w:rsidR="00353C31">
        <w:t xml:space="preserve">On June 9, </w:t>
      </w:r>
      <w:r w:rsidR="00325363">
        <w:t xml:space="preserve">Rolka Loube submitted to the Commission a Supplemental Report that updates </w:t>
      </w:r>
      <w:r w:rsidR="00353C31">
        <w:t>the figures for</w:t>
      </w:r>
      <w:r w:rsidR="00325363">
        <w:t xml:space="preserve"> IP CTS CA demand, IP CTS CA supplemental demand, the projected Fund balance</w:t>
      </w:r>
      <w:r w:rsidR="00353C31">
        <w:t>,</w:t>
      </w:r>
      <w:r w:rsidR="00325363">
        <w:t xml:space="preserve"> anticipated intrastate and interstate revenues, and the analog and IP-based contribution factors.</w:t>
      </w:r>
      <w:r>
        <w:rPr>
          <w:rStyle w:val="FootnoteReference"/>
        </w:rPr>
        <w:footnoteReference w:id="9"/>
      </w:r>
      <w:r w:rsidRPr="00871204">
        <w:t xml:space="preserve"> </w:t>
      </w:r>
      <w:r w:rsidR="00B149F5">
        <w:t xml:space="preserve"> On July 1, the Bureau </w:t>
      </w:r>
      <w:r w:rsidR="00716455">
        <w:t xml:space="preserve">released an Order </w:t>
      </w:r>
      <w:r w:rsidR="00A84058">
        <w:t>approving</w:t>
      </w:r>
      <w:r w:rsidR="00716455">
        <w:t xml:space="preserve"> compensation rates for each form of TRS</w:t>
      </w:r>
      <w:r w:rsidR="007707FB">
        <w:t xml:space="preserve"> for Fund Year 2025-26</w:t>
      </w:r>
      <w:r w:rsidR="00716455">
        <w:t>.</w:t>
      </w:r>
      <w:r>
        <w:rPr>
          <w:rStyle w:val="FootnoteReference"/>
        </w:rPr>
        <w:footnoteReference w:id="10"/>
      </w:r>
      <w:r w:rsidR="00716455">
        <w:t xml:space="preserve">  The Bureau stated that </w:t>
      </w:r>
      <w:r w:rsidR="007707FB">
        <w:t xml:space="preserve">it would </w:t>
      </w:r>
      <w:r w:rsidRPr="00A84058" w:rsidR="00A84058">
        <w:t xml:space="preserve">shortly issue an order addressing the total TRS funding requirements and contribution factors for </w:t>
      </w:r>
      <w:r w:rsidR="007707FB">
        <w:t xml:space="preserve">the new </w:t>
      </w:r>
      <w:r w:rsidRPr="00A84058" w:rsidR="00A84058">
        <w:t>Fund Year.</w:t>
      </w:r>
      <w:r>
        <w:rPr>
          <w:rStyle w:val="FootnoteReference"/>
        </w:rPr>
        <w:footnoteReference w:id="11"/>
      </w:r>
      <w:r w:rsidRPr="00A84058" w:rsidR="00A84058">
        <w:t xml:space="preserve"> </w:t>
      </w:r>
      <w:r w:rsidRPr="00871204">
        <w:t xml:space="preserve"> </w:t>
      </w:r>
    </w:p>
    <w:p w:rsidR="00F86F6D" w:rsidP="00E12AB4" w14:paraId="78D87AB4" w14:textId="5ABAB93F">
      <w:pPr>
        <w:pStyle w:val="Heading1"/>
      </w:pPr>
      <w:r>
        <w:t xml:space="preserve"> </w:t>
      </w:r>
      <w:r>
        <w:t xml:space="preserve">Funding Requirement and </w:t>
      </w:r>
      <w:r w:rsidRPr="00883551">
        <w:t>Carrier Contribution Factor</w:t>
      </w:r>
      <w:r>
        <w:t>s</w:t>
      </w:r>
      <w:r w:rsidRPr="00883551">
        <w:t xml:space="preserve"> </w:t>
      </w:r>
    </w:p>
    <w:p w:rsidR="00F86F6D" w:rsidRPr="00883551" w:rsidP="00F86F6D" w14:paraId="23E83232" w14:textId="06E3117A">
      <w:pPr>
        <w:pStyle w:val="ParaNum"/>
        <w:tabs>
          <w:tab w:val="left" w:pos="1440"/>
        </w:tabs>
      </w:pPr>
      <w:r>
        <w:t xml:space="preserve">To </w:t>
      </w:r>
      <w:r w:rsidRPr="00883551">
        <w:t xml:space="preserve">calculate the annual </w:t>
      </w:r>
      <w:r>
        <w:t xml:space="preserve">net </w:t>
      </w:r>
      <w:r w:rsidRPr="00883551">
        <w:t>funding requirement</w:t>
      </w:r>
      <w:r>
        <w:t>,</w:t>
      </w:r>
      <w:r w:rsidRPr="00883551">
        <w:t xml:space="preserve"> </w:t>
      </w:r>
      <w:r>
        <w:t>t</w:t>
      </w:r>
      <w:r w:rsidRPr="00883551">
        <w:t xml:space="preserve">he Fund administrator </w:t>
      </w:r>
      <w:r>
        <w:t>sums</w:t>
      </w:r>
      <w:r w:rsidRPr="00883551">
        <w:t xml:space="preserve"> the projected payments to TRS providers for each form of TRS</w:t>
      </w:r>
      <w:r>
        <w:t xml:space="preserve"> (determined by multiplying</w:t>
      </w:r>
      <w:r w:rsidRPr="00883551">
        <w:t xml:space="preserve"> </w:t>
      </w:r>
      <w:r>
        <w:t xml:space="preserve">the </w:t>
      </w:r>
      <w:r w:rsidRPr="00883551">
        <w:t xml:space="preserve">proposed </w:t>
      </w:r>
      <w:r>
        <w:t>compensation plan</w:t>
      </w:r>
      <w:r w:rsidRPr="00883551">
        <w:t xml:space="preserve"> </w:t>
      </w:r>
      <w:r>
        <w:t>formula</w:t>
      </w:r>
      <w:r w:rsidRPr="00883551">
        <w:t xml:space="preserve"> </w:t>
      </w:r>
      <w:r>
        <w:t>for each service category by the</w:t>
      </w:r>
      <w:r w:rsidRPr="00883551">
        <w:t xml:space="preserve"> projected minutes of use</w:t>
      </w:r>
      <w:r>
        <w:t xml:space="preserve"> for that category)</w:t>
      </w:r>
      <w:r w:rsidRPr="00883551">
        <w:t xml:space="preserve">, </w:t>
      </w:r>
      <w:r>
        <w:t>adds</w:t>
      </w:r>
      <w:r w:rsidRPr="00883551">
        <w:t xml:space="preserve"> administrative </w:t>
      </w:r>
      <w:r>
        <w:t>overhead,</w:t>
      </w:r>
      <w:r w:rsidRPr="00883551">
        <w:t xml:space="preserve"> other funding requirements, </w:t>
      </w:r>
      <w:r>
        <w:t>and a budgetary reserve, and subtracts the projected</w:t>
      </w:r>
      <w:r w:rsidRPr="00883551">
        <w:t xml:space="preserve"> </w:t>
      </w:r>
      <w:r w:rsidR="00CC2AD3">
        <w:t>carryover balance</w:t>
      </w:r>
      <w:r w:rsidRPr="00883551">
        <w:t xml:space="preserve"> from the previous Fund Year.</w:t>
      </w:r>
      <w:r>
        <w:rPr>
          <w:rStyle w:val="FootnoteReference"/>
        </w:rPr>
        <w:footnoteReference w:id="12"/>
      </w:r>
      <w:r w:rsidRPr="00883551">
        <w:t xml:space="preserve">  </w:t>
      </w:r>
    </w:p>
    <w:p w:rsidR="008C22F9" w:rsidP="00F86F6D" w14:paraId="39F097A3" w14:textId="000C9D3A">
      <w:pPr>
        <w:pStyle w:val="ParaNum"/>
        <w:tabs>
          <w:tab w:val="left" w:pos="1440"/>
        </w:tabs>
      </w:pPr>
      <w:r>
        <w:rPr>
          <w:i/>
          <w:iCs/>
        </w:rPr>
        <w:t>Projected Demand and Payments</w:t>
      </w:r>
      <w:r w:rsidR="00F86F6D">
        <w:t xml:space="preserve">.  </w:t>
      </w:r>
      <w:r w:rsidRPr="00883551" w:rsidR="00F86F6D">
        <w:t>For traditional TRS, STS, and CTS, Rolka Loube project</w:t>
      </w:r>
      <w:r w:rsidR="00F86F6D">
        <w:t>s</w:t>
      </w:r>
      <w:r w:rsidRPr="00883551" w:rsidR="00F86F6D">
        <w:t xml:space="preserve"> demand using recent historical data, an approach that has provided reasonably accurate results for these services.</w:t>
      </w:r>
      <w:r>
        <w:rPr>
          <w:rStyle w:val="FootnoteReference"/>
        </w:rPr>
        <w:footnoteReference w:id="13"/>
      </w:r>
      <w:r w:rsidRPr="00883551" w:rsidR="00F86F6D">
        <w:t xml:space="preserve">  For IP Relay, </w:t>
      </w:r>
      <w:r w:rsidR="006F4D26">
        <w:t xml:space="preserve">VRS, </w:t>
      </w:r>
      <w:r w:rsidRPr="00883551" w:rsidR="00F86F6D">
        <w:t xml:space="preserve">and IP CTS, Rolka Loube </w:t>
      </w:r>
      <w:r w:rsidR="00F86F6D">
        <w:t>takes as a starting point</w:t>
      </w:r>
      <w:r w:rsidRPr="00883551" w:rsidR="00F86F6D">
        <w:t xml:space="preserve"> the providers’ </w:t>
      </w:r>
      <w:r w:rsidR="00F86F6D">
        <w:t xml:space="preserve">aggregate </w:t>
      </w:r>
      <w:r w:rsidRPr="00883551" w:rsidR="00F86F6D">
        <w:t xml:space="preserve">demand projections for </w:t>
      </w:r>
      <w:r w:rsidR="00F86F6D">
        <w:t>202</w:t>
      </w:r>
      <w:r w:rsidR="00937576">
        <w:t>5</w:t>
      </w:r>
      <w:r w:rsidR="00F86F6D">
        <w:t>-2</w:t>
      </w:r>
      <w:r w:rsidR="00937576">
        <w:t>6</w:t>
      </w:r>
      <w:r w:rsidRPr="00883551" w:rsidR="00F86F6D">
        <w:t xml:space="preserve">, </w:t>
      </w:r>
      <w:r w:rsidR="00F86F6D">
        <w:t>which</w:t>
      </w:r>
      <w:r w:rsidRPr="00883551" w:rsidR="00F86F6D">
        <w:t xml:space="preserve"> in recent years ha</w:t>
      </w:r>
      <w:r w:rsidR="00F86F6D">
        <w:t>ve</w:t>
      </w:r>
      <w:r w:rsidRPr="00883551" w:rsidR="00F86F6D">
        <w:t xml:space="preserve"> generally </w:t>
      </w:r>
      <w:r w:rsidR="00F86F6D">
        <w:t>produced</w:t>
      </w:r>
      <w:r w:rsidRPr="00883551" w:rsidR="00F86F6D">
        <w:t xml:space="preserve"> reasonably accurate results.</w:t>
      </w:r>
      <w:r>
        <w:rPr>
          <w:rStyle w:val="FootnoteReference"/>
        </w:rPr>
        <w:footnoteReference w:id="14"/>
      </w:r>
      <w:r w:rsidR="00F86F6D">
        <w:rPr>
          <w:rStyle w:val="CommentReference"/>
        </w:rPr>
        <w:t xml:space="preserve"> </w:t>
      </w:r>
      <w:r w:rsidR="00F86F6D">
        <w:t xml:space="preserve"> </w:t>
      </w:r>
      <w:r w:rsidR="006F4D26">
        <w:t>For IP Relay, Rolka Loube adjust</w:t>
      </w:r>
      <w:r w:rsidR="00DC25BE">
        <w:t>s</w:t>
      </w:r>
      <w:r w:rsidR="006F4D26">
        <w:t xml:space="preserve"> the demand projections downward</w:t>
      </w:r>
      <w:r w:rsidR="00857CA3">
        <w:t>, conclu</w:t>
      </w:r>
      <w:r w:rsidR="00F80A1C">
        <w:t xml:space="preserve">ding that </w:t>
      </w:r>
      <w:r w:rsidR="006F4D26">
        <w:t xml:space="preserve">the demand projections </w:t>
      </w:r>
      <w:r w:rsidR="00F80A1C">
        <w:t xml:space="preserve">of two </w:t>
      </w:r>
      <w:r w:rsidR="006F4D26">
        <w:t xml:space="preserve">providers recently certified to </w:t>
      </w:r>
      <w:r w:rsidR="00F80A1C">
        <w:t>offer</w:t>
      </w:r>
      <w:r w:rsidR="006F4D26">
        <w:t xml:space="preserve"> IP Relay</w:t>
      </w:r>
      <w:r w:rsidR="00F80A1C">
        <w:t xml:space="preserve"> were</w:t>
      </w:r>
      <w:r w:rsidR="006F4D26">
        <w:t xml:space="preserve"> overly optimistic.</w:t>
      </w:r>
      <w:r>
        <w:rPr>
          <w:rStyle w:val="FootnoteReference"/>
        </w:rPr>
        <w:footnoteReference w:id="15"/>
      </w:r>
      <w:r w:rsidR="006F4D26">
        <w:t xml:space="preserve">  </w:t>
      </w:r>
      <w:r w:rsidR="00201C1C">
        <w:t xml:space="preserve">For VRS, Rolka Loube </w:t>
      </w:r>
      <w:r w:rsidR="009E3CA7">
        <w:t>use</w:t>
      </w:r>
      <w:r w:rsidR="00786436">
        <w:t>s</w:t>
      </w:r>
      <w:r w:rsidR="009E3CA7">
        <w:t xml:space="preserve"> a weighted </w:t>
      </w:r>
      <w:r w:rsidR="001915B0">
        <w:t>average</w:t>
      </w:r>
      <w:r w:rsidR="009E3CA7">
        <w:t xml:space="preserve"> of</w:t>
      </w:r>
      <w:r w:rsidR="001915B0">
        <w:t xml:space="preserve"> </w:t>
      </w:r>
      <w:r w:rsidR="00201C1C">
        <w:t>the providers’ demand projections</w:t>
      </w:r>
      <w:r w:rsidR="009E3CA7">
        <w:t>,</w:t>
      </w:r>
      <w:r w:rsidR="00201C1C">
        <w:t xml:space="preserve"> without adjustment</w:t>
      </w:r>
      <w:r w:rsidR="009E3CA7">
        <w:t>,</w:t>
      </w:r>
      <w:r w:rsidR="00201C1C">
        <w:t xml:space="preserve"> to calculate the compensation requirement.</w:t>
      </w:r>
      <w:r>
        <w:rPr>
          <w:rStyle w:val="FootnoteReference"/>
        </w:rPr>
        <w:footnoteReference w:id="16"/>
      </w:r>
      <w:r w:rsidR="00201C1C">
        <w:t xml:space="preserve">  </w:t>
      </w:r>
      <w:r w:rsidR="00707202">
        <w:t>For IP CTS, Rolka Loube accept</w:t>
      </w:r>
      <w:r w:rsidR="00786436">
        <w:t>s</w:t>
      </w:r>
      <w:r w:rsidR="00707202">
        <w:t xml:space="preserve"> the providers</w:t>
      </w:r>
      <w:r w:rsidR="00786436">
        <w:t>’</w:t>
      </w:r>
      <w:r w:rsidR="00707202">
        <w:t xml:space="preserve"> projections for CA-</w:t>
      </w:r>
      <w:r w:rsidR="00966EB0">
        <w:t>assisted</w:t>
      </w:r>
      <w:r w:rsidR="00707202">
        <w:t xml:space="preserve"> IP CTS </w:t>
      </w:r>
      <w:r w:rsidR="001915B0">
        <w:t xml:space="preserve">and </w:t>
      </w:r>
      <w:r w:rsidR="00707202">
        <w:t>assume</w:t>
      </w:r>
      <w:r w:rsidR="009B658C">
        <w:t>s</w:t>
      </w:r>
      <w:r w:rsidR="00707202">
        <w:t xml:space="preserve"> all CA</w:t>
      </w:r>
      <w:r w:rsidR="007312A6">
        <w:t>-assisted</w:t>
      </w:r>
      <w:r w:rsidR="00707202">
        <w:t xml:space="preserve"> minutes will qualify for the CA supplemental rate.</w:t>
      </w:r>
      <w:r>
        <w:rPr>
          <w:rStyle w:val="FootnoteReference"/>
        </w:rPr>
        <w:footnoteReference w:id="17"/>
      </w:r>
      <w:r w:rsidR="00707202">
        <w:t xml:space="preserve">  For ASR-</w:t>
      </w:r>
      <w:r w:rsidR="00966EB0">
        <w:t>only</w:t>
      </w:r>
      <w:r w:rsidR="00707202">
        <w:t xml:space="preserve"> IP CTS, Rolka Loube adjust</w:t>
      </w:r>
      <w:r w:rsidR="009B658C">
        <w:t>s</w:t>
      </w:r>
      <w:r w:rsidR="00707202">
        <w:t xml:space="preserve"> a portion of the demand projections downward to better align with the service trends it has observed.</w:t>
      </w:r>
      <w:r>
        <w:rPr>
          <w:rStyle w:val="FootnoteReference"/>
        </w:rPr>
        <w:footnoteReference w:id="18"/>
      </w:r>
      <w:r w:rsidR="00707202">
        <w:t xml:space="preserve">  No commenter </w:t>
      </w:r>
      <w:r w:rsidR="009B658C">
        <w:t xml:space="preserve">disputes </w:t>
      </w:r>
      <w:r w:rsidR="00707202">
        <w:t xml:space="preserve">Rolka </w:t>
      </w:r>
      <w:r w:rsidR="00707202">
        <w:t>Loube</w:t>
      </w:r>
      <w:r w:rsidR="00017B27">
        <w:t>’s</w:t>
      </w:r>
      <w:r w:rsidR="00707202">
        <w:t xml:space="preserve"> projections. </w:t>
      </w:r>
    </w:p>
    <w:p w:rsidR="00F86F6D" w:rsidP="00E61D97" w14:paraId="5E30E648" w14:textId="44633196">
      <w:pPr>
        <w:pStyle w:val="ParaNum"/>
        <w:widowControl/>
        <w:tabs>
          <w:tab w:val="left" w:pos="1440"/>
        </w:tabs>
      </w:pPr>
      <w:r>
        <w:t>We</w:t>
      </w:r>
      <w:r w:rsidRPr="00883551">
        <w:t xml:space="preserve"> find that </w:t>
      </w:r>
      <w:r w:rsidR="006172F4">
        <w:t xml:space="preserve">the </w:t>
      </w:r>
      <w:r w:rsidRPr="00883551">
        <w:t xml:space="preserve">demand projections </w:t>
      </w:r>
      <w:r w:rsidR="00B3017A">
        <w:t xml:space="preserve">for </w:t>
      </w:r>
      <w:r w:rsidRPr="00B3017A" w:rsidR="00B3017A">
        <w:t>traditional TRS, STS, CTS</w:t>
      </w:r>
      <w:r w:rsidR="00B3017A">
        <w:t>, and IP Relay</w:t>
      </w:r>
      <w:r w:rsidRPr="00B3017A" w:rsidR="00B3017A">
        <w:t xml:space="preserve"> </w:t>
      </w:r>
      <w:r w:rsidRPr="00883551">
        <w:t>are reasonabl</w:t>
      </w:r>
      <w:r w:rsidR="00F85195">
        <w:t>y reliable</w:t>
      </w:r>
      <w:r w:rsidRPr="00883551">
        <w:t xml:space="preserve"> for budgeting purposes.</w:t>
      </w:r>
      <w:r>
        <w:t xml:space="preserve"> </w:t>
      </w:r>
      <w:r w:rsidR="00EB1241">
        <w:t xml:space="preserve"> </w:t>
      </w:r>
      <w:r w:rsidR="00462CBA">
        <w:t>T</w:t>
      </w:r>
      <w:r w:rsidR="00E61D97">
        <w:t>herefore, w</w:t>
      </w:r>
      <w:r>
        <w:t xml:space="preserve">e approve Rolka </w:t>
      </w:r>
      <w:r>
        <w:t>Loube’s</w:t>
      </w:r>
      <w:r>
        <w:t xml:space="preserve"> proposed provider compensation requirements f</w:t>
      </w:r>
      <w:r w:rsidRPr="00883551">
        <w:t>or relay services that use the MARS methodology—traditional TRS, STS, and CTS</w:t>
      </w:r>
      <w:r>
        <w:t xml:space="preserve">—which total </w:t>
      </w:r>
      <w:r w:rsidRPr="00BB116D">
        <w:t>$</w:t>
      </w:r>
      <w:r w:rsidR="00897889">
        <w:t>8</w:t>
      </w:r>
      <w:r w:rsidR="00F44F98">
        <w:t>,054,9</w:t>
      </w:r>
      <w:r w:rsidR="00EE1144">
        <w:t>9</w:t>
      </w:r>
      <w:r w:rsidR="00F44F98">
        <w:t>0</w:t>
      </w:r>
      <w:r>
        <w:t>.</w:t>
      </w:r>
      <w:r>
        <w:rPr>
          <w:rStyle w:val="FootnoteReference"/>
        </w:rPr>
        <w:footnoteReference w:id="19"/>
      </w:r>
      <w:r w:rsidRPr="000348C8">
        <w:t xml:space="preserve">  We also approve the proposed</w:t>
      </w:r>
      <w:r w:rsidR="00AC5991">
        <w:t xml:space="preserve"> provider</w:t>
      </w:r>
      <w:r w:rsidRPr="000348C8">
        <w:t xml:space="preserve"> </w:t>
      </w:r>
      <w:r w:rsidR="00AC5991">
        <w:t>compensation</w:t>
      </w:r>
      <w:r w:rsidRPr="000348C8" w:rsidR="00AC5991">
        <w:t xml:space="preserve"> </w:t>
      </w:r>
      <w:r w:rsidRPr="000348C8">
        <w:t>requirements for IP</w:t>
      </w:r>
      <w:r w:rsidR="00AF571E">
        <w:t xml:space="preserve"> Relay</w:t>
      </w:r>
      <w:r w:rsidRPr="000348C8">
        <w:t>, totaling $</w:t>
      </w:r>
      <w:r w:rsidR="0018300F">
        <w:t>11,275,168</w:t>
      </w:r>
      <w:r w:rsidRPr="000348C8">
        <w:t>.</w:t>
      </w:r>
      <w:r>
        <w:rPr>
          <w:rStyle w:val="FootnoteReference"/>
        </w:rPr>
        <w:footnoteReference w:id="20"/>
      </w:r>
    </w:p>
    <w:p w:rsidR="00496064" w:rsidP="00496064" w14:paraId="540E6033" w14:textId="2F4FF321">
      <w:pPr>
        <w:pStyle w:val="ParaNum"/>
        <w:tabs>
          <w:tab w:val="left" w:pos="1440"/>
        </w:tabs>
      </w:pPr>
      <w:r>
        <w:t xml:space="preserve">Regarding VRS, we </w:t>
      </w:r>
      <w:r w:rsidR="00300169">
        <w:t>accept</w:t>
      </w:r>
      <w:r>
        <w:t xml:space="preserve"> </w:t>
      </w:r>
      <w:r w:rsidR="00C90C09">
        <w:t xml:space="preserve">most of </w:t>
      </w:r>
      <w:r w:rsidR="00E503CF">
        <w:t xml:space="preserve">the demand projections submitted by Rolka Loube.  </w:t>
      </w:r>
      <w:r w:rsidR="00C90C09">
        <w:t>However, w</w:t>
      </w:r>
      <w:r w:rsidR="00937E16">
        <w:t>e note that t</w:t>
      </w:r>
      <w:r>
        <w:t>he administrator adjust</w:t>
      </w:r>
      <w:r w:rsidR="00816A09">
        <w:t>s</w:t>
      </w:r>
      <w:r>
        <w:t xml:space="preserve"> projected demand for IP Relay and </w:t>
      </w:r>
      <w:r w:rsidR="00966EB0">
        <w:t xml:space="preserve">ASR-only </w:t>
      </w:r>
      <w:r>
        <w:t>IP CTS</w:t>
      </w:r>
      <w:r w:rsidR="00E80778">
        <w:t>—</w:t>
      </w:r>
      <w:r>
        <w:t>but not VRS</w:t>
      </w:r>
      <w:r w:rsidR="00E80778">
        <w:t>—</w:t>
      </w:r>
      <w:r>
        <w:t>to address what it considers to be overly optimistic growth projections by newly authorized providers.</w:t>
      </w:r>
      <w:r>
        <w:rPr>
          <w:rStyle w:val="FootnoteReference"/>
        </w:rPr>
        <w:footnoteReference w:id="21"/>
      </w:r>
      <w:r>
        <w:t xml:space="preserve">  We find that </w:t>
      </w:r>
      <w:r w:rsidR="00BA7715">
        <w:t>a similar type of</w:t>
      </w:r>
      <w:r>
        <w:t xml:space="preserve"> adjustment is also warranted for the projected VRS minutes subject to the small-provider rate,</w:t>
      </w:r>
      <w:r>
        <w:rPr>
          <w:rStyle w:val="FootnoteReference"/>
        </w:rPr>
        <w:footnoteReference w:id="22"/>
      </w:r>
      <w:r>
        <w:t xml:space="preserve"> </w:t>
      </w:r>
      <w:r w:rsidRPr="00B843C6" w:rsidR="00B843C6">
        <w:t>which include demand projections by two recently authorized VRS providers, as these projections are similarly likely to be overly optimistic</w:t>
      </w:r>
      <w:r>
        <w:t>.  Based on the current demand trend for VRS,</w:t>
      </w:r>
      <w:r>
        <w:rPr>
          <w:rStyle w:val="FootnoteReference"/>
        </w:rPr>
        <w:footnoteReference w:id="23"/>
      </w:r>
      <w:r>
        <w:t xml:space="preserve"> we </w:t>
      </w:r>
      <w:r w:rsidR="009C2BC3">
        <w:t xml:space="preserve">conclude that </w:t>
      </w:r>
      <w:r w:rsidR="00A0759C">
        <w:t xml:space="preserve">a reasonably reliable projection of aggregate demand for small-provider minutes is approximately </w:t>
      </w:r>
      <w:r w:rsidR="00EC7553">
        <w:t>29</w:t>
      </w:r>
      <w:r w:rsidR="009C2BC3">
        <w:t>% lower than</w:t>
      </w:r>
      <w:r w:rsidR="00CB7D5E">
        <w:t xml:space="preserve"> </w:t>
      </w:r>
      <w:r w:rsidR="00A0759C">
        <w:t>the providers’ aggregate projection</w:t>
      </w:r>
      <w:r w:rsidR="00D534BB">
        <w:t xml:space="preserve">, resulting in </w:t>
      </w:r>
      <w:r w:rsidR="002630E1">
        <w:t>a modified</w:t>
      </w:r>
      <w:r w:rsidR="00D86071">
        <w:t xml:space="preserve"> small-provider f</w:t>
      </w:r>
      <w:r w:rsidR="002630E1">
        <w:t xml:space="preserve">unding requirement of </w:t>
      </w:r>
      <w:r w:rsidRPr="0076704F" w:rsidR="0016148B">
        <w:t>$</w:t>
      </w:r>
      <w:r w:rsidRPr="0076704F" w:rsidR="00642544">
        <w:t>46,588,840</w:t>
      </w:r>
      <w:r w:rsidR="00D534BB">
        <w:t xml:space="preserve"> </w:t>
      </w:r>
      <w:r w:rsidR="00D86071">
        <w:t xml:space="preserve">and an overall VRS funding requirement of </w:t>
      </w:r>
      <w:r w:rsidRPr="0076704F" w:rsidR="00D86071">
        <w:t>$</w:t>
      </w:r>
      <w:r w:rsidRPr="0076704F" w:rsidR="00A574E7">
        <w:t>660,660,436</w:t>
      </w:r>
      <w:r w:rsidR="0016148B">
        <w:t>.</w:t>
      </w:r>
    </w:p>
    <w:p w:rsidR="00300169" w:rsidRPr="00883551" w:rsidP="00496064" w14:paraId="25DF6DD5" w14:textId="2267E586">
      <w:pPr>
        <w:pStyle w:val="ParaNum"/>
        <w:tabs>
          <w:tab w:val="left" w:pos="1440"/>
        </w:tabs>
      </w:pPr>
      <w:r>
        <w:t xml:space="preserve">Regarding </w:t>
      </w:r>
      <w:r w:rsidR="00C90C09">
        <w:t>IP CTS</w:t>
      </w:r>
      <w:r w:rsidR="00290708">
        <w:t xml:space="preserve"> as well</w:t>
      </w:r>
      <w:r w:rsidR="00C90C09">
        <w:t xml:space="preserve">, </w:t>
      </w:r>
      <w:r w:rsidR="007525A9">
        <w:t xml:space="preserve">we accept most of </w:t>
      </w:r>
      <w:r w:rsidRPr="00290708" w:rsidR="00290708">
        <w:t xml:space="preserve">the demand projections submitted by Rolka Loube.  </w:t>
      </w:r>
      <w:r w:rsidR="00290708">
        <w:t>However, the administrator’s</w:t>
      </w:r>
      <w:r w:rsidR="004E21C3">
        <w:t xml:space="preserve"> projections assume that all CA minutes will qualify for </w:t>
      </w:r>
      <w:r w:rsidR="002908FB">
        <w:t xml:space="preserve">the </w:t>
      </w:r>
      <w:r w:rsidR="00E80778">
        <w:t xml:space="preserve">supplementary compensation </w:t>
      </w:r>
      <w:r w:rsidR="002908FB">
        <w:t>rate</w:t>
      </w:r>
      <w:r w:rsidR="00E80778">
        <w:t xml:space="preserve"> of $0.22</w:t>
      </w:r>
      <w:r w:rsidR="002908FB">
        <w:t xml:space="preserve"> per minute</w:t>
      </w:r>
      <w:r w:rsidR="00E80778">
        <w:t>,</w:t>
      </w:r>
      <w:r>
        <w:rPr>
          <w:rStyle w:val="FootnoteReference"/>
        </w:rPr>
        <w:footnoteReference w:id="24"/>
      </w:r>
      <w:r w:rsidR="00E80778">
        <w:t xml:space="preserve"> an add-on </w:t>
      </w:r>
      <w:r w:rsidR="00C20EA9">
        <w:t xml:space="preserve">rate </w:t>
      </w:r>
      <w:r w:rsidR="00E80778">
        <w:t xml:space="preserve">that is applied to those </w:t>
      </w:r>
      <w:r w:rsidR="00C20EA9">
        <w:t>IP CTS minutes handled by</w:t>
      </w:r>
      <w:r w:rsidR="00BC15EF">
        <w:t xml:space="preserve"> </w:t>
      </w:r>
      <w:r w:rsidR="00C20EA9">
        <w:t>CAs who</w:t>
      </w:r>
      <w:r w:rsidR="00BC15EF">
        <w:t>se wages are</w:t>
      </w:r>
      <w:r w:rsidR="007F36C9">
        <w:t xml:space="preserve"> at least </w:t>
      </w:r>
      <w:r w:rsidR="00FD1782">
        <w:t>$17.78 per hour.</w:t>
      </w:r>
      <w:r>
        <w:rPr>
          <w:rStyle w:val="FootnoteReference"/>
        </w:rPr>
        <w:footnoteReference w:id="25"/>
      </w:r>
      <w:r w:rsidR="00C20EA9">
        <w:t xml:space="preserve"> </w:t>
      </w:r>
      <w:r w:rsidR="004E21C3">
        <w:t xml:space="preserve"> </w:t>
      </w:r>
      <w:r w:rsidR="00290708">
        <w:t>Rolka Loube</w:t>
      </w:r>
      <w:r w:rsidR="00BA51A7">
        <w:t xml:space="preserve"> states that this </w:t>
      </w:r>
      <w:r w:rsidR="00F9211A">
        <w:t>was done “to ensure sufficient monies are in the Fund to meet obligations.</w:t>
      </w:r>
      <w:r w:rsidR="00301BBF">
        <w:t>”</w:t>
      </w:r>
      <w:r>
        <w:rPr>
          <w:rStyle w:val="FootnoteReference"/>
        </w:rPr>
        <w:footnoteReference w:id="26"/>
      </w:r>
      <w:r w:rsidR="00F9211A">
        <w:t xml:space="preserve">  We conclude that </w:t>
      </w:r>
      <w:r w:rsidR="00301BBF">
        <w:t>the two-month payment reserve is sufficient for that purpose</w:t>
      </w:r>
      <w:r w:rsidR="00F7500C">
        <w:t xml:space="preserve">.  Therefore, we reduce the projected demand for IP CTS subject to the supplementary compensation rate to </w:t>
      </w:r>
      <w:r w:rsidR="009C5EA6">
        <w:t xml:space="preserve">a level that </w:t>
      </w:r>
      <w:r w:rsidR="00F7500C">
        <w:t xml:space="preserve">appears more </w:t>
      </w:r>
      <w:r w:rsidR="007525A9">
        <w:t xml:space="preserve">likely, representing </w:t>
      </w:r>
      <w:r w:rsidR="001D02BD">
        <w:t>7</w:t>
      </w:r>
      <w:r w:rsidRPr="00CA2354" w:rsidR="00A574E7">
        <w:t>0</w:t>
      </w:r>
      <w:r w:rsidR="007525A9">
        <w:t xml:space="preserve">% of the total projected demand </w:t>
      </w:r>
      <w:r w:rsidR="009C5EA6">
        <w:t>for CA-assisted IP CTS.</w:t>
      </w:r>
      <w:r w:rsidR="00E5192D">
        <w:t xml:space="preserve">  This results in a modified IP CTS funding requirement of $</w:t>
      </w:r>
      <w:r w:rsidR="00D0355C">
        <w:t>787,473,731</w:t>
      </w:r>
      <w:r w:rsidR="00E5192D">
        <w:t>.</w:t>
      </w:r>
    </w:p>
    <w:p w:rsidR="00F86F6D" w:rsidRPr="00883551" w:rsidP="00F86F6D" w14:paraId="14FF40D6" w14:textId="5831D2A8">
      <w:pPr>
        <w:pStyle w:val="ParaNum"/>
        <w:tabs>
          <w:tab w:val="left" w:pos="1440"/>
        </w:tabs>
      </w:pPr>
      <w:r w:rsidRPr="00AC4AF7">
        <w:rPr>
          <w:i/>
          <w:iCs/>
        </w:rPr>
        <w:t>NDBEDP and Fund Administration</w:t>
      </w:r>
      <w:r>
        <w:t xml:space="preserve">.  </w:t>
      </w:r>
      <w:r w:rsidRPr="00883551">
        <w:t>In addition to</w:t>
      </w:r>
      <w:r>
        <w:t xml:space="preserve"> </w:t>
      </w:r>
      <w:r w:rsidRPr="00883551">
        <w:t>projected payments for TRS, Rolka Loube includes in its proposed funding requirement a $10,000,000 funding allocation for the National Deaf-Blind Equipment Distribution Program (NDBEDP)</w:t>
      </w:r>
      <w:r>
        <w:t>.</w:t>
      </w:r>
      <w:r>
        <w:rPr>
          <w:rStyle w:val="FootnoteReference"/>
        </w:rPr>
        <w:footnoteReference w:id="27"/>
      </w:r>
      <w:r>
        <w:t xml:space="preserve">  Rolka Loube recommends a total </w:t>
      </w:r>
      <w:r w:rsidRPr="00B35C1A">
        <w:t xml:space="preserve">of </w:t>
      </w:r>
      <w:r>
        <w:t>$</w:t>
      </w:r>
      <w:r w:rsidR="00937576">
        <w:t>30,079,185</w:t>
      </w:r>
      <w:r>
        <w:t xml:space="preserve"> for Fund administrative costs, including </w:t>
      </w:r>
      <w:r w:rsidR="00937576">
        <w:t>allowances for research and number administration contracts; data collection, validation, and maintenance; Fund administration and the TRS Fund Advisory Council; service provider audits; an independent financial audit of the Fund; an information security audit; and various reporting obligations.</w:t>
      </w:r>
      <w:r>
        <w:rPr>
          <w:rStyle w:val="FootnoteReference"/>
        </w:rPr>
        <w:footnoteReference w:id="28"/>
      </w:r>
      <w:r w:rsidRPr="001F5571">
        <w:t xml:space="preserve">  </w:t>
      </w:r>
      <w:r w:rsidR="005008AC">
        <w:t xml:space="preserve">No party </w:t>
      </w:r>
      <w:r w:rsidR="005E4DEF">
        <w:t xml:space="preserve">disputes </w:t>
      </w:r>
      <w:r w:rsidR="005008AC">
        <w:t xml:space="preserve">the inclusion or calculation of </w:t>
      </w:r>
      <w:r w:rsidR="00570CBA">
        <w:t xml:space="preserve">the Fund administration costs. </w:t>
      </w:r>
      <w:r>
        <w:t xml:space="preserve"> </w:t>
      </w:r>
      <w:r w:rsidRPr="00297DBA">
        <w:t xml:space="preserve">We find the </w:t>
      </w:r>
      <w:r>
        <w:t xml:space="preserve">recommendation </w:t>
      </w:r>
      <w:r w:rsidRPr="00297DBA">
        <w:t>to be fair and consistent with prior year Fund administrative expenses.</w:t>
      </w:r>
      <w:r>
        <w:rPr>
          <w:rStyle w:val="FootnoteReference"/>
        </w:rPr>
        <w:footnoteReference w:id="29"/>
      </w:r>
      <w:r w:rsidRPr="00297DBA">
        <w:t xml:space="preserve">  </w:t>
      </w:r>
    </w:p>
    <w:p w:rsidR="00AF6C6C" w:rsidP="00AF0858" w14:paraId="5285D399" w14:textId="60569305">
      <w:pPr>
        <w:pStyle w:val="ParaNum"/>
      </w:pPr>
      <w:r w:rsidRPr="005054EC">
        <w:rPr>
          <w:i/>
          <w:iCs/>
        </w:rPr>
        <w:t>Payment Reserve</w:t>
      </w:r>
      <w:r>
        <w:t xml:space="preserve">.  </w:t>
      </w:r>
      <w:bookmarkStart w:id="4" w:name="_Hlk202273614"/>
      <w:r>
        <w:t xml:space="preserve">In its report, in keeping with prior practice, </w:t>
      </w:r>
      <w:r w:rsidRPr="001F5571">
        <w:t xml:space="preserve">Rolka Loube recommends </w:t>
      </w:r>
      <w:r>
        <w:t xml:space="preserve">that funding requirements include </w:t>
      </w:r>
      <w:r w:rsidRPr="001F5571">
        <w:t>a two-month payment reserve</w:t>
      </w:r>
      <w:r>
        <w:t>,</w:t>
      </w:r>
      <w:r w:rsidRPr="001F5571">
        <w:t xml:space="preserve"> </w:t>
      </w:r>
      <w:r w:rsidRPr="00AB5888">
        <w:t>totaling $</w:t>
      </w:r>
      <w:r w:rsidR="00937576">
        <w:t>257,710,7</w:t>
      </w:r>
      <w:r w:rsidR="002A0AA4">
        <w:t>30</w:t>
      </w:r>
      <w:r w:rsidRPr="001F5571">
        <w:t>.</w:t>
      </w:r>
      <w:r>
        <w:rPr>
          <w:rStyle w:val="FootnoteReference"/>
        </w:rPr>
        <w:footnoteReference w:id="30"/>
      </w:r>
      <w:r w:rsidRPr="00883551">
        <w:t xml:space="preserve">  </w:t>
      </w:r>
      <w:r w:rsidR="0084545F">
        <w:t>Hamilton supports this recommendation.</w:t>
      </w:r>
      <w:r>
        <w:rPr>
          <w:rStyle w:val="FootnoteReference"/>
        </w:rPr>
        <w:footnoteReference w:id="31"/>
      </w:r>
      <w:r w:rsidR="0084545F">
        <w:t xml:space="preserve">  </w:t>
      </w:r>
      <w:r w:rsidR="00CE7C55">
        <w:t xml:space="preserve">The Small Company Coalition raises questions </w:t>
      </w:r>
      <w:r w:rsidR="0047727E">
        <w:t xml:space="preserve">as to </w:t>
      </w:r>
      <w:r w:rsidR="00B12795">
        <w:t>the need for a payment reserve and how the reserve is calculated</w:t>
      </w:r>
      <w:r w:rsidR="00CE7C55">
        <w:t>.</w:t>
      </w:r>
      <w:r>
        <w:rPr>
          <w:rStyle w:val="FootnoteReference"/>
        </w:rPr>
        <w:footnoteReference w:id="32"/>
      </w:r>
      <w:r w:rsidR="00CE7C55">
        <w:t xml:space="preserve">  </w:t>
      </w:r>
      <w:r w:rsidR="009D203F">
        <w:t xml:space="preserve">As Hamilton notes, </w:t>
      </w:r>
      <w:r w:rsidR="00A94BA4">
        <w:t xml:space="preserve">the payment reserve </w:t>
      </w:r>
      <w:r w:rsidR="009D203F">
        <w:t xml:space="preserve">is intended to ensure </w:t>
      </w:r>
      <w:r w:rsidR="00A94BA4">
        <w:t xml:space="preserve">there is sufficient funding </w:t>
      </w:r>
      <w:r w:rsidR="009D203F">
        <w:t xml:space="preserve">to pay for TRS minutes that will be provided in May and June of 2026, </w:t>
      </w:r>
      <w:r w:rsidR="00370D5F">
        <w:t xml:space="preserve">and </w:t>
      </w:r>
      <w:r w:rsidR="009D203F">
        <w:t xml:space="preserve">for which compensation </w:t>
      </w:r>
      <w:r w:rsidR="005F0F98">
        <w:t xml:space="preserve">will be owed but </w:t>
      </w:r>
      <w:r w:rsidR="006B2BF5">
        <w:t xml:space="preserve">payment not due </w:t>
      </w:r>
      <w:r w:rsidR="009D203F">
        <w:t>until July and August</w:t>
      </w:r>
      <w:r w:rsidR="00465F72">
        <w:t xml:space="preserve">, after the </w:t>
      </w:r>
      <w:r w:rsidR="008251F1">
        <w:t>start</w:t>
      </w:r>
      <w:r w:rsidR="006813E5">
        <w:t xml:space="preserve"> date of</w:t>
      </w:r>
      <w:r w:rsidR="009D203F">
        <w:t xml:space="preserve"> the following Fund </w:t>
      </w:r>
      <w:r w:rsidR="00E11B88">
        <w:t>Y</w:t>
      </w:r>
      <w:r w:rsidR="009D203F">
        <w:t>ear.</w:t>
      </w:r>
      <w:r>
        <w:rPr>
          <w:rStyle w:val="FootnoteReference"/>
        </w:rPr>
        <w:footnoteReference w:id="33"/>
      </w:r>
      <w:r w:rsidR="009D203F">
        <w:t xml:space="preserve">  </w:t>
      </w:r>
      <w:r w:rsidR="00BD31F6">
        <w:t>The reserve</w:t>
      </w:r>
      <w:r w:rsidR="004E0068">
        <w:t xml:space="preserve"> reflects </w:t>
      </w:r>
      <w:r w:rsidR="0008422F">
        <w:t xml:space="preserve">the practice of budgeting demand </w:t>
      </w:r>
      <w:r w:rsidR="00FF4E67">
        <w:t xml:space="preserve">to ensure the TRS Fund administrator is able to meet </w:t>
      </w:r>
      <w:r w:rsidR="0076464E">
        <w:t xml:space="preserve">all </w:t>
      </w:r>
      <w:r w:rsidR="00C63AE6">
        <w:t xml:space="preserve">payment obligations </w:t>
      </w:r>
      <w:r w:rsidR="0076464E">
        <w:t xml:space="preserve">that will be incurred in the </w:t>
      </w:r>
      <w:r w:rsidR="000B3951">
        <w:t xml:space="preserve">new </w:t>
      </w:r>
      <w:r w:rsidR="00C63AE6">
        <w:t xml:space="preserve">TRS Fund </w:t>
      </w:r>
      <w:r w:rsidR="00E11B88">
        <w:t>Y</w:t>
      </w:r>
      <w:r w:rsidR="00C63AE6">
        <w:t xml:space="preserve">ear, </w:t>
      </w:r>
      <w:r w:rsidR="007C40C0">
        <w:t xml:space="preserve">including obligations for which, </w:t>
      </w:r>
      <w:r w:rsidR="00EA799A">
        <w:t>by necessity</w:t>
      </w:r>
      <w:r w:rsidR="007C40C0">
        <w:t>,</w:t>
      </w:r>
      <w:r w:rsidR="00EA799A">
        <w:t xml:space="preserve"> payments cannot occur until </w:t>
      </w:r>
      <w:r w:rsidR="000B3951">
        <w:t>the</w:t>
      </w:r>
      <w:r w:rsidR="00015F9C">
        <w:t xml:space="preserve"> first two months of the</w:t>
      </w:r>
      <w:r w:rsidR="000B3951">
        <w:t xml:space="preserve"> following year</w:t>
      </w:r>
      <w:r w:rsidR="00FB7B64">
        <w:t>.</w:t>
      </w:r>
      <w:r>
        <w:rPr>
          <w:rStyle w:val="FootnoteReference"/>
        </w:rPr>
        <w:footnoteReference w:id="34"/>
      </w:r>
      <w:r w:rsidR="00B34745">
        <w:t xml:space="preserve"> </w:t>
      </w:r>
      <w:r w:rsidR="00186CDF">
        <w:t xml:space="preserve"> </w:t>
      </w:r>
      <w:r w:rsidR="00015F9C">
        <w:t xml:space="preserve">The payment </w:t>
      </w:r>
      <w:bookmarkEnd w:id="4"/>
      <w:r w:rsidR="00015F9C">
        <w:t>reserve also serves as</w:t>
      </w:r>
      <w:r w:rsidR="00903850">
        <w:t xml:space="preserve"> a reasonable</w:t>
      </w:r>
      <w:r w:rsidR="00D5599E">
        <w:t xml:space="preserve"> precautionary measure to guard against the possibility of unanticipated demand for TRS</w:t>
      </w:r>
      <w:r w:rsidR="00015F9C">
        <w:t>,</w:t>
      </w:r>
      <w:r w:rsidR="00D5599E">
        <w:t xml:space="preserve"> </w:t>
      </w:r>
      <w:r w:rsidR="00015F9C">
        <w:t xml:space="preserve">which </w:t>
      </w:r>
      <w:r w:rsidR="00D5599E">
        <w:t>can unexp</w:t>
      </w:r>
      <w:r w:rsidR="009278EA">
        <w:t xml:space="preserve">ectedly increase the need for Fund payments in the course of the Fund </w:t>
      </w:r>
      <w:r w:rsidR="00E11B88">
        <w:t>Y</w:t>
      </w:r>
      <w:r w:rsidR="009278EA">
        <w:t>ear.</w:t>
      </w:r>
      <w:r>
        <w:rPr>
          <w:rStyle w:val="FootnoteReference"/>
        </w:rPr>
        <w:footnoteReference w:id="35"/>
      </w:r>
      <w:r w:rsidR="009278EA">
        <w:t xml:space="preserve"> </w:t>
      </w:r>
      <w:r w:rsidR="001C138F">
        <w:t xml:space="preserve"> </w:t>
      </w:r>
      <w:r w:rsidR="00AF0858">
        <w:t xml:space="preserve">To the extent that it goes unused, the payment reserve is not wasted. </w:t>
      </w:r>
      <w:r w:rsidR="000E261A">
        <w:t xml:space="preserve"> </w:t>
      </w:r>
      <w:r w:rsidR="00AF0858">
        <w:t>Rather, the remaining portion is turned over for use in the next Fund Year.</w:t>
      </w:r>
      <w:r>
        <w:rPr>
          <w:rStyle w:val="FootnoteReference"/>
        </w:rPr>
        <w:footnoteReference w:id="36"/>
      </w:r>
      <w:r w:rsidR="00AF0858">
        <w:t xml:space="preserve"> </w:t>
      </w:r>
      <w:r w:rsidR="00A2593E">
        <w:t xml:space="preserve"> </w:t>
      </w:r>
      <w:r w:rsidR="005054EC">
        <w:t>Therefore, w</w:t>
      </w:r>
      <w:r w:rsidRPr="00415987" w:rsidR="00415987">
        <w:t>e approve the use of a two-</w:t>
      </w:r>
      <w:r w:rsidR="00415987">
        <w:t xml:space="preserve">month reserve.  However, we modify </w:t>
      </w:r>
      <w:r w:rsidR="00EC3256">
        <w:t>the total amount of the reserve</w:t>
      </w:r>
      <w:r w:rsidR="00172250">
        <w:t xml:space="preserve"> to be $</w:t>
      </w:r>
      <w:r w:rsidR="00DC216E">
        <w:t>250,025,352</w:t>
      </w:r>
      <w:r w:rsidR="00EC3256">
        <w:t xml:space="preserve">, </w:t>
      </w:r>
      <w:r w:rsidR="00172250">
        <w:t>reflecting</w:t>
      </w:r>
      <w:r w:rsidR="00EC3256">
        <w:t xml:space="preserve"> the somewhat reduced demand estimates for VRS and IP CTS, </w:t>
      </w:r>
      <w:r w:rsidR="00172250">
        <w:t xml:space="preserve">as </w:t>
      </w:r>
      <w:r w:rsidR="00EC3256">
        <w:t>discussed above</w:t>
      </w:r>
      <w:r w:rsidR="00172250">
        <w:t>.</w:t>
      </w:r>
      <w:r w:rsidR="00EC3256">
        <w:t xml:space="preserve"> </w:t>
      </w:r>
      <w:r w:rsidR="00415987">
        <w:t xml:space="preserve"> </w:t>
      </w:r>
      <w:r w:rsidR="00AF0858">
        <w:t xml:space="preserve"> </w:t>
      </w:r>
    </w:p>
    <w:p w:rsidR="00F86F6D" w:rsidP="00F86F6D" w14:paraId="4CD2F771" w14:textId="3ED73DBD">
      <w:pPr>
        <w:pStyle w:val="ParaNum"/>
        <w:tabs>
          <w:tab w:val="left" w:pos="1440"/>
        </w:tabs>
      </w:pPr>
      <w:r w:rsidRPr="00EE74E7">
        <w:rPr>
          <w:i/>
          <w:iCs/>
        </w:rPr>
        <w:t>Gross and Net Funding Requirements</w:t>
      </w:r>
      <w:r>
        <w:t xml:space="preserve">.  </w:t>
      </w:r>
      <w:r w:rsidR="007A1A65">
        <w:t>W</w:t>
      </w:r>
      <w:r>
        <w:t xml:space="preserve">ith </w:t>
      </w:r>
      <w:r w:rsidRPr="000B75B3">
        <w:t>the adjustments discussed above</w:t>
      </w:r>
      <w:r w:rsidRPr="00883551">
        <w:t xml:space="preserve">, </w:t>
      </w:r>
      <w:r w:rsidR="007A1A65">
        <w:t xml:space="preserve">we approve a </w:t>
      </w:r>
      <w:r>
        <w:t>gross</w:t>
      </w:r>
      <w:r w:rsidRPr="00AB5888">
        <w:t xml:space="preserve"> funding requirement of </w:t>
      </w:r>
      <w:r w:rsidRPr="00221A5E">
        <w:t>$</w:t>
      </w:r>
      <w:r w:rsidRPr="00E52B4F" w:rsidR="00011D70">
        <w:t>1,</w:t>
      </w:r>
      <w:r w:rsidR="00F92203">
        <w:t>757,568,862</w:t>
      </w:r>
      <w:r w:rsidR="007A1A65">
        <w:t>.</w:t>
      </w:r>
      <w:r w:rsidRPr="00AB5888">
        <w:t xml:space="preserve">  </w:t>
      </w:r>
      <w:r w:rsidRPr="00933B66" w:rsidR="004947B9">
        <w:t>Rolka Loube anticipates that there will be a</w:t>
      </w:r>
      <w:r w:rsidR="004947B9">
        <w:t xml:space="preserve"> </w:t>
      </w:r>
      <w:r w:rsidR="004947B9">
        <w:t xml:space="preserve">carryover balance </w:t>
      </w:r>
      <w:r w:rsidRPr="00933B66" w:rsidR="004947B9">
        <w:t xml:space="preserve">from the current </w:t>
      </w:r>
      <w:r w:rsidR="004947B9">
        <w:t>F</w:t>
      </w:r>
      <w:r w:rsidRPr="00933B66" w:rsidR="004947B9">
        <w:t xml:space="preserve">und </w:t>
      </w:r>
      <w:r w:rsidR="004947B9">
        <w:t>Y</w:t>
      </w:r>
      <w:r w:rsidRPr="00933B66" w:rsidR="004947B9">
        <w:t xml:space="preserve">ear, </w:t>
      </w:r>
      <w:r w:rsidR="004947B9">
        <w:t>estimated at approximately $</w:t>
      </w:r>
      <w:r w:rsidRPr="001515F7" w:rsidR="00011D70">
        <w:t>278,000,000</w:t>
      </w:r>
      <w:r w:rsidR="004947B9">
        <w:t>,</w:t>
      </w:r>
      <w:r>
        <w:rPr>
          <w:rStyle w:val="FootnoteReference"/>
        </w:rPr>
        <w:footnoteReference w:id="37"/>
      </w:r>
      <w:r w:rsidR="004947B9">
        <w:t xml:space="preserve"> </w:t>
      </w:r>
      <w:r w:rsidRPr="00933B66" w:rsidR="004947B9">
        <w:t xml:space="preserve">which </w:t>
      </w:r>
      <w:r w:rsidR="005014D8">
        <w:t>is deducted</w:t>
      </w:r>
      <w:r w:rsidRPr="00933B66" w:rsidR="004947B9">
        <w:t xml:space="preserve"> from the funding requirement when determining the contribution factor</w:t>
      </w:r>
      <w:r w:rsidR="00A542ED">
        <w:t>s</w:t>
      </w:r>
      <w:r w:rsidRPr="00933B66" w:rsidR="004947B9">
        <w:t>.</w:t>
      </w:r>
      <w:r>
        <w:rPr>
          <w:rStyle w:val="FootnoteReference"/>
        </w:rPr>
        <w:footnoteReference w:id="38"/>
      </w:r>
      <w:r w:rsidR="004947B9">
        <w:t xml:space="preserve">  </w:t>
      </w:r>
      <w:r>
        <w:t xml:space="preserve">Deducting the </w:t>
      </w:r>
      <w:r w:rsidR="000B69E8">
        <w:t>carryover Fund balance</w:t>
      </w:r>
      <w:r>
        <w:t xml:space="preserve"> of </w:t>
      </w:r>
      <w:r w:rsidRPr="00BC0C02">
        <w:t>$</w:t>
      </w:r>
      <w:r w:rsidRPr="00E52B4F" w:rsidR="004F4CD1">
        <w:t>278,000,000</w:t>
      </w:r>
      <w:r>
        <w:t xml:space="preserve">, the net funding requirement is </w:t>
      </w:r>
      <w:r w:rsidRPr="00EE74E7">
        <w:t>$</w:t>
      </w:r>
      <w:r w:rsidRPr="001515F7" w:rsidR="004F4CD1">
        <w:t>1,</w:t>
      </w:r>
      <w:r w:rsidR="000C68C3">
        <w:t>47</w:t>
      </w:r>
      <w:r w:rsidR="00CB543B">
        <w:t>9,568,862</w:t>
      </w:r>
      <w:r>
        <w:t xml:space="preserve">. </w:t>
      </w:r>
      <w:r w:rsidRPr="00883551">
        <w:t xml:space="preserve"> </w:t>
      </w:r>
    </w:p>
    <w:p w:rsidR="00F86F6D" w:rsidRPr="0061280C" w:rsidP="00F86F6D" w14:paraId="546B75BA" w14:textId="3868651A">
      <w:pPr>
        <w:pStyle w:val="ParaNum"/>
      </w:pPr>
      <w:r w:rsidRPr="40AEC8FC">
        <w:rPr>
          <w:i/>
          <w:iCs/>
        </w:rPr>
        <w:t>Contribution Factors</w:t>
      </w:r>
      <w:r w:rsidRPr="00AB5888">
        <w:t xml:space="preserve">.  </w:t>
      </w:r>
      <w:r>
        <w:t xml:space="preserve">In the report, Rolka Loube </w:t>
      </w:r>
      <w:r w:rsidRPr="00EB074F">
        <w:t xml:space="preserve">proposed contribution factors </w:t>
      </w:r>
      <w:r w:rsidRPr="00883551">
        <w:t xml:space="preserve">for </w:t>
      </w:r>
      <w:r>
        <w:t>TRS Fund Year</w:t>
      </w:r>
      <w:r w:rsidR="00CE6A99">
        <w:t xml:space="preserve"> 2025-26</w:t>
      </w:r>
      <w:r>
        <w:t>—</w:t>
      </w:r>
      <w:r w:rsidRPr="00EB074F">
        <w:t>0.0</w:t>
      </w:r>
      <w:r w:rsidR="000B69E8">
        <w:t>21</w:t>
      </w:r>
      <w:r w:rsidR="00C3236E">
        <w:t>37</w:t>
      </w:r>
      <w:r w:rsidRPr="00EB074F">
        <w:t xml:space="preserve"> for Internet-based TRS and 0.00</w:t>
      </w:r>
      <w:r>
        <w:t>0</w:t>
      </w:r>
      <w:r w:rsidR="000B69E8">
        <w:t>2</w:t>
      </w:r>
      <w:r w:rsidR="00C3236E">
        <w:t>5</w:t>
      </w:r>
      <w:r w:rsidRPr="00EB074F">
        <w:t xml:space="preserve"> for non-Internet-based TR</w:t>
      </w:r>
      <w:r w:rsidRPr="000E4E46">
        <w:t>S.</w:t>
      </w:r>
      <w:r>
        <w:rPr>
          <w:rStyle w:val="FootnoteReference"/>
        </w:rPr>
        <w:footnoteReference w:id="39"/>
      </w:r>
      <w:r w:rsidRPr="000E4E46">
        <w:t xml:space="preserve">  </w:t>
      </w:r>
      <w:r>
        <w:t>The contribution factor</w:t>
      </w:r>
      <w:r w:rsidRPr="00FB15AB">
        <w:t xml:space="preserve"> </w:t>
      </w:r>
      <w:r>
        <w:t xml:space="preserve">for </w:t>
      </w:r>
      <w:r w:rsidRPr="00FB15AB">
        <w:t>Internet-based</w:t>
      </w:r>
      <w:r>
        <w:t xml:space="preserve"> TRS, applicable to contributors’ intrastate, interstate, and international end-user revenues, is the ratio of the estimated IP CTS, VRS, and IP Relay funding requirements to the total intrastate, interstate, and </w:t>
      </w:r>
      <w:r w:rsidRPr="00883551">
        <w:t>international end-user revenues for the prior calendar year.</w:t>
      </w:r>
      <w:r>
        <w:rPr>
          <w:rStyle w:val="FootnoteReference"/>
        </w:rPr>
        <w:footnoteReference w:id="40"/>
      </w:r>
      <w:r>
        <w:t xml:space="preserve">  </w:t>
      </w:r>
      <w:r w:rsidRPr="00883551">
        <w:t>The contribution factor</w:t>
      </w:r>
      <w:r>
        <w:t xml:space="preserve"> for </w:t>
      </w:r>
      <w:r w:rsidRPr="00FB15AB">
        <w:t>non-Internet-based</w:t>
      </w:r>
      <w:r>
        <w:t xml:space="preserve"> TRS, which is applicable to interstate and international end-user revenues, is </w:t>
      </w:r>
      <w:r w:rsidRPr="00883551">
        <w:t xml:space="preserve">the ratio </w:t>
      </w:r>
      <w:r>
        <w:t xml:space="preserve">of the estimated funding requirement for interstate, non-Internet-based TRS to </w:t>
      </w:r>
      <w:r w:rsidRPr="00883551">
        <w:t>total interstate</w:t>
      </w:r>
      <w:r>
        <w:t xml:space="preserve"> and international end-user revenues for the prior calendar year.  </w:t>
      </w:r>
      <w:r w:rsidR="00312E7E">
        <w:t xml:space="preserve">Hamilton supports the adoption of the contribution </w:t>
      </w:r>
      <w:r w:rsidR="00C90FFC">
        <w:t>factors.</w:t>
      </w:r>
      <w:r>
        <w:rPr>
          <w:rStyle w:val="FootnoteReference"/>
        </w:rPr>
        <w:footnoteReference w:id="41"/>
      </w:r>
      <w:r>
        <w:t xml:space="preserve">  We find that Rolka </w:t>
      </w:r>
      <w:r>
        <w:t>Loube’s</w:t>
      </w:r>
      <w:r>
        <w:t xml:space="preserve"> calculation of </w:t>
      </w:r>
      <w:r w:rsidR="000B69E8">
        <w:t xml:space="preserve">the </w:t>
      </w:r>
      <w:r>
        <w:t>contribution factor</w:t>
      </w:r>
      <w:r w:rsidR="006C0FDF">
        <w:t xml:space="preserve"> for non-Internet based TRS</w:t>
      </w:r>
      <w:r>
        <w:t xml:space="preserve"> is accurate and approve the contribution factor.</w:t>
      </w:r>
      <w:r w:rsidR="006C0FDF">
        <w:t xml:space="preserve">  We modify the contribution factor </w:t>
      </w:r>
      <w:r w:rsidR="00CA3A95">
        <w:t xml:space="preserve">for Internet-based TRS to </w:t>
      </w:r>
      <w:r w:rsidRPr="001515F7" w:rsidR="00CA3A95">
        <w:t>0.020</w:t>
      </w:r>
      <w:r w:rsidR="00F92203">
        <w:t>86</w:t>
      </w:r>
      <w:r w:rsidR="00CA3A95">
        <w:t xml:space="preserve">, </w:t>
      </w:r>
      <w:r w:rsidR="001F2C0A">
        <w:t>which aligns with</w:t>
      </w:r>
      <w:r w:rsidR="00CA3A95">
        <w:t xml:space="preserve"> </w:t>
      </w:r>
      <w:r w:rsidR="00C22C99">
        <w:t xml:space="preserve">the changes to the demand estimates and required revenue for VRS and IP CTS, as discussed above. </w:t>
      </w:r>
    </w:p>
    <w:p w:rsidR="00F86F6D" w:rsidRPr="00883551" w:rsidP="00F86F6D" w14:paraId="39904BF1" w14:textId="77777777">
      <w:pPr>
        <w:pStyle w:val="Heading1"/>
      </w:pPr>
      <w:r w:rsidRPr="00883551">
        <w:t>Procedural Matters</w:t>
      </w:r>
    </w:p>
    <w:p w:rsidR="00F86F6D" w:rsidRPr="00B4507B" w:rsidP="00F86F6D" w14:paraId="6FBE418D" w14:textId="4E208720">
      <w:pPr>
        <w:pStyle w:val="ParaNum"/>
        <w:widowControl/>
        <w:tabs>
          <w:tab w:val="left" w:pos="1440"/>
        </w:tabs>
      </w:pPr>
      <w:r w:rsidRPr="40AEC8FC">
        <w:rPr>
          <w:rFonts w:eastAsia="Calibri"/>
          <w:i/>
          <w:iCs/>
          <w:snapToGrid/>
        </w:rPr>
        <w:t xml:space="preserve">Accessible Materials.  </w:t>
      </w:r>
      <w:r w:rsidRPr="00883551">
        <w:rPr>
          <w:rFonts w:eastAsia="Calibri"/>
          <w:snapToGrid/>
        </w:rPr>
        <w:t>To request materials in accessible formats for people with disabilities (Braille, large print, ele</w:t>
      </w:r>
      <w:r w:rsidRPr="00B4507B">
        <w:rPr>
          <w:rFonts w:eastAsia="Calibri"/>
          <w:snapToGrid/>
        </w:rPr>
        <w:t xml:space="preserve">ctronic files, audio format), send an e-mail to </w:t>
      </w:r>
      <w:hyperlink r:id="rId6" w:history="1">
        <w:r w:rsidRPr="009E2947" w:rsidR="00721E46">
          <w:rPr>
            <w:rStyle w:val="Hyperlink"/>
            <w:rFonts w:eastAsia="Calibri"/>
            <w:snapToGrid/>
          </w:rPr>
          <w:t>fcc504@fcc.gov</w:t>
        </w:r>
      </w:hyperlink>
      <w:r w:rsidRPr="00B4507B">
        <w:rPr>
          <w:rFonts w:eastAsia="Calibri"/>
          <w:snapToGrid/>
        </w:rPr>
        <w:t xml:space="preserve"> or call the Consumer and Governmental Affairs Bureau at 202-418-0530.</w:t>
      </w:r>
    </w:p>
    <w:p w:rsidR="00F86F6D" w:rsidRPr="00B4507B" w:rsidP="00F86F6D" w14:paraId="70E5B8BA" w14:textId="77777777">
      <w:pPr>
        <w:pStyle w:val="Heading1"/>
      </w:pPr>
      <w:r w:rsidRPr="00B4507B">
        <w:t>Ordering Clauses</w:t>
      </w:r>
    </w:p>
    <w:p w:rsidR="00F86F6D" w:rsidRPr="00287855" w:rsidP="00F86F6D" w14:paraId="37ECB72D" w14:textId="77777777">
      <w:pPr>
        <w:pStyle w:val="ParaNum"/>
        <w:tabs>
          <w:tab w:val="left" w:pos="1440"/>
        </w:tabs>
      </w:pPr>
      <w:r>
        <w:t xml:space="preserve">Accordingly, IT IS ORDERED, pursuant to section 225 of the Communications Act of 1934, as amended, 47 U.S.C. § 225, and sections 0.141, 0.361, 1.3 and 64.604(c)(5)(iii) of the Commission’s rules, 47 CFR §§ 0.141, 0.361, 1.3, 64.604(c)(5)(iii), that this ORDER IS hereby ADOPTED.    </w:t>
      </w:r>
    </w:p>
    <w:p w:rsidR="00B16906" w:rsidP="00F86F6D" w14:paraId="6671113B" w14:textId="07E7642D">
      <w:pPr>
        <w:pStyle w:val="ParaNum"/>
        <w:keepNext/>
        <w:tabs>
          <w:tab w:val="left" w:pos="1440"/>
        </w:tabs>
      </w:pPr>
      <w:r>
        <w:t>IT IS FURTHER ORDERED that the net TRS Fund revenue requirement for Fund Year 202</w:t>
      </w:r>
      <w:r w:rsidR="00B96890">
        <w:t>5</w:t>
      </w:r>
      <w:r>
        <w:t>-2</w:t>
      </w:r>
      <w:r w:rsidR="00B96890">
        <w:t>6</w:t>
      </w:r>
      <w:r>
        <w:t xml:space="preserve"> shall be </w:t>
      </w:r>
      <w:r w:rsidRPr="006C6879">
        <w:t>$</w:t>
      </w:r>
      <w:r w:rsidRPr="00E6327A" w:rsidR="00552187">
        <w:t>1,</w:t>
      </w:r>
      <w:r w:rsidRPr="00E6327A" w:rsidR="00F92203">
        <w:t>479,568,862</w:t>
      </w:r>
      <w:r>
        <w:t xml:space="preserve">, and the TRS Fund contribution factors shall be </w:t>
      </w:r>
      <w:r w:rsidRPr="00131836">
        <w:t>0.0002</w:t>
      </w:r>
      <w:r w:rsidR="00842599">
        <w:t>5</w:t>
      </w:r>
      <w:r>
        <w:t xml:space="preserve"> for non-Internet-based TRS and </w:t>
      </w:r>
      <w:r w:rsidRPr="00E6327A" w:rsidR="00552187">
        <w:t>0.0208</w:t>
      </w:r>
      <w:r w:rsidRPr="00E6327A" w:rsidR="00F92203">
        <w:t>6</w:t>
      </w:r>
      <w:r w:rsidR="00EF4E61">
        <w:t xml:space="preserve"> </w:t>
      </w:r>
      <w:r>
        <w:t>for Internet-based TRS.</w:t>
      </w:r>
    </w:p>
    <w:p w:rsidR="00F86F6D" w:rsidP="00F86F6D" w14:paraId="3AFDA63B" w14:textId="1F324440">
      <w:pPr>
        <w:pStyle w:val="ParaNum"/>
        <w:keepNext/>
        <w:tabs>
          <w:tab w:val="left" w:pos="1440"/>
        </w:tabs>
      </w:pPr>
      <w:r>
        <w:t>IT IS FURTHER ORDERED that, pursuant to section 1.102(b)(1) of the Commission’s Rules, 47 CFR § 1.102(b)(1), this Order is effective upon release.</w:t>
      </w:r>
    </w:p>
    <w:p w:rsidR="00F86F6D" w:rsidRPr="00883551" w:rsidP="00F86F6D" w14:paraId="2FDEF622" w14:textId="77777777">
      <w:pPr>
        <w:pStyle w:val="ParaNum"/>
        <w:numPr>
          <w:ilvl w:val="0"/>
          <w:numId w:val="0"/>
        </w:numPr>
        <w:ind w:left="720"/>
      </w:pPr>
    </w:p>
    <w:p w:rsidR="00F86F6D" w:rsidRPr="00883551" w:rsidP="00F86F6D" w14:paraId="179541E2" w14:textId="77777777">
      <w:pPr>
        <w:keepNext/>
      </w:pPr>
      <w:r w:rsidRPr="00883551">
        <w:tab/>
      </w:r>
      <w:r w:rsidRPr="00883551">
        <w:tab/>
      </w:r>
      <w:r w:rsidRPr="00883551">
        <w:tab/>
      </w:r>
      <w:r w:rsidRPr="00883551">
        <w:tab/>
      </w:r>
      <w:r w:rsidRPr="00883551">
        <w:tab/>
      </w:r>
      <w:r w:rsidRPr="00883551">
        <w:tab/>
        <w:t>FEDERAL COMMUNICATIONS COMMISSION</w:t>
      </w:r>
    </w:p>
    <w:p w:rsidR="00F86F6D" w:rsidRPr="00883551" w:rsidP="00F86F6D" w14:paraId="540D322C" w14:textId="77777777"/>
    <w:p w:rsidR="00F86F6D" w:rsidRPr="00883551" w:rsidP="00F86F6D" w14:paraId="194AAF3C" w14:textId="77777777"/>
    <w:p w:rsidR="00F86F6D" w:rsidRPr="00883551" w:rsidP="00F86F6D" w14:paraId="61313DD4" w14:textId="77777777"/>
    <w:p w:rsidR="00F86F6D" w:rsidRPr="00883551" w:rsidP="00F86F6D" w14:paraId="391DCE39" w14:textId="77777777"/>
    <w:p w:rsidR="00F86F6D" w:rsidRPr="00883551" w:rsidP="00F86F6D" w14:paraId="477D433D" w14:textId="546989F6">
      <w:r w:rsidRPr="00883551">
        <w:tab/>
      </w:r>
      <w:r w:rsidRPr="00883551">
        <w:tab/>
      </w:r>
      <w:r w:rsidRPr="00883551">
        <w:tab/>
      </w:r>
      <w:r w:rsidRPr="00883551">
        <w:tab/>
      </w:r>
      <w:r w:rsidRPr="00883551">
        <w:tab/>
      </w:r>
      <w:r w:rsidRPr="00883551">
        <w:tab/>
      </w:r>
      <w:r>
        <w:t>Eduard Bartholme</w:t>
      </w:r>
      <w:r w:rsidRPr="00883551">
        <w:t xml:space="preserve">, </w:t>
      </w:r>
      <w:r>
        <w:t xml:space="preserve">Acting </w:t>
      </w:r>
      <w:r w:rsidRPr="00883551">
        <w:t>Chief</w:t>
      </w:r>
    </w:p>
    <w:p w:rsidR="00F86F6D" w:rsidRPr="00F86F6D" w:rsidP="00D17302" w14:paraId="7BFA8B73" w14:textId="5C5EF5F9">
      <w:r w:rsidRPr="00883551">
        <w:tab/>
      </w:r>
      <w:r w:rsidRPr="00883551">
        <w:tab/>
      </w:r>
      <w:r w:rsidRPr="00883551">
        <w:tab/>
      </w:r>
      <w:r w:rsidRPr="00883551">
        <w:tab/>
      </w:r>
      <w:r w:rsidRPr="00883551">
        <w:tab/>
      </w:r>
      <w:r w:rsidRPr="00883551">
        <w:tab/>
        <w:t>Consumer and Governmental Affairs Bureau</w:t>
      </w:r>
    </w:p>
    <w:sectPr w:rsidSect="0055614C">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Manifest>
    <wne:toolbarData r:id="rId1"/>
  </wne:toolbars>
  <wne:acds>
    <wne:acd wne:argValue="AgBQAGEAcgBhAE4AdQBtAA==&#10;" wne:acdName="acd0" wne:fciIndexBasedOn="0065"/>
    <wne:acd wne:argValue="AQAAAAAA&#10;"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15F81" w14:paraId="50EA0FED" w14:textId="77777777">
      <w:pPr>
        <w:spacing w:line="20" w:lineRule="exact"/>
      </w:pPr>
    </w:p>
  </w:endnote>
  <w:endnote w:type="continuationSeparator" w:id="1">
    <w:p w:rsidR="00F15F81" w14:paraId="327735AF" w14:textId="77777777">
      <w:r>
        <w:t xml:space="preserve"> </w:t>
      </w:r>
    </w:p>
  </w:endnote>
  <w:endnote w:type="continuationNotice" w:id="2">
    <w:p w:rsidR="00F15F81" w14:paraId="7087077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57BD607D"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172B84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308" w14:paraId="5AD36A0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273BA946"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5F81" w14:paraId="23033EC4" w14:textId="77777777">
      <w:r>
        <w:separator/>
      </w:r>
    </w:p>
  </w:footnote>
  <w:footnote w:type="continuationSeparator" w:id="1">
    <w:p w:rsidR="00F15F81" w:rsidP="00C721AC" w14:paraId="5DE2CC12" w14:textId="77777777">
      <w:pPr>
        <w:spacing w:before="120"/>
        <w:rPr>
          <w:sz w:val="20"/>
        </w:rPr>
      </w:pPr>
      <w:r>
        <w:rPr>
          <w:sz w:val="20"/>
        </w:rPr>
        <w:t xml:space="preserve">(Continued from previous page)  </w:t>
      </w:r>
      <w:r>
        <w:rPr>
          <w:sz w:val="20"/>
        </w:rPr>
        <w:separator/>
      </w:r>
    </w:p>
  </w:footnote>
  <w:footnote w:type="continuationNotice" w:id="2">
    <w:p w:rsidR="00F15F81" w:rsidP="00C721AC" w14:paraId="1A59E15C" w14:textId="77777777">
      <w:pPr>
        <w:jc w:val="right"/>
        <w:rPr>
          <w:sz w:val="20"/>
        </w:rPr>
      </w:pPr>
      <w:r>
        <w:rPr>
          <w:sz w:val="20"/>
        </w:rPr>
        <w:t>(continued….)</w:t>
      </w:r>
    </w:p>
  </w:footnote>
  <w:footnote w:id="3">
    <w:p w:rsidR="000E412C" w:rsidRPr="00312BB6" w14:paraId="2F54F443" w14:textId="6B73105A">
      <w:pPr>
        <w:pStyle w:val="FootnoteText"/>
      </w:pPr>
      <w:r>
        <w:rPr>
          <w:rStyle w:val="FootnoteReference"/>
        </w:rPr>
        <w:footnoteRef/>
      </w:r>
      <w:r>
        <w:t xml:space="preserve"> </w:t>
      </w:r>
      <w:r w:rsidR="00A31830">
        <w:rPr>
          <w:i/>
          <w:iCs/>
        </w:rPr>
        <w:t>Telecommunications Relay Services and Speech-to-Speech</w:t>
      </w:r>
      <w:r w:rsidR="00E85592">
        <w:rPr>
          <w:i/>
          <w:iCs/>
        </w:rPr>
        <w:t xml:space="preserve"> </w:t>
      </w:r>
      <w:r w:rsidR="00312BB6">
        <w:rPr>
          <w:i/>
          <w:iCs/>
        </w:rPr>
        <w:t>Services for Individuals with Hearing and Speech Disabilities</w:t>
      </w:r>
      <w:r w:rsidR="00C5351E">
        <w:t xml:space="preserve">; </w:t>
      </w:r>
      <w:r w:rsidR="004A1840">
        <w:rPr>
          <w:i/>
          <w:iCs/>
        </w:rPr>
        <w:t>Structure and Practices of the Video Relay Service Program</w:t>
      </w:r>
      <w:r w:rsidR="00312BB6">
        <w:t xml:space="preserve">, CG Docket No. 03-123 and 10-51, </w:t>
      </w:r>
      <w:r w:rsidR="000D5A3C">
        <w:t xml:space="preserve">Order, </w:t>
      </w:r>
      <w:r w:rsidR="00E30788">
        <w:t>DA 25-571</w:t>
      </w:r>
      <w:r w:rsidR="000D5A3C">
        <w:t xml:space="preserve"> (CGB July 1, 2025) (</w:t>
      </w:r>
      <w:r w:rsidRPr="004E6DFE" w:rsidR="000D5A3C">
        <w:rPr>
          <w:i/>
        </w:rPr>
        <w:t>2025 TRS Compensation Order</w:t>
      </w:r>
      <w:r w:rsidR="000D5A3C">
        <w:t>)</w:t>
      </w:r>
      <w:r w:rsidR="00E860B5">
        <w:t xml:space="preserve">. </w:t>
      </w:r>
      <w:r w:rsidR="00E30788">
        <w:t xml:space="preserve"> </w:t>
      </w:r>
    </w:p>
  </w:footnote>
  <w:footnote w:id="4">
    <w:p w:rsidR="00D54E4C" w:rsidP="00D54E4C" w14:paraId="6A8FACD6" w14:textId="77777777">
      <w:pPr>
        <w:pStyle w:val="FootnoteText"/>
      </w:pPr>
      <w:r>
        <w:rPr>
          <w:rStyle w:val="FootnoteReference"/>
        </w:rPr>
        <w:footnoteRef/>
      </w:r>
      <w:r>
        <w:t xml:space="preserve"> </w:t>
      </w:r>
      <w:r w:rsidRPr="003F6F0D">
        <w:rPr>
          <w:i/>
        </w:rPr>
        <w:t xml:space="preserve">See </w:t>
      </w:r>
      <w:r>
        <w:t>47 CFR § 64.604(c)(5)(iii)(A)(</w:t>
      </w:r>
      <w:r>
        <w:t>i</w:t>
      </w:r>
      <w:r>
        <w:t>).</w:t>
      </w:r>
    </w:p>
  </w:footnote>
  <w:footnote w:id="5">
    <w:p w:rsidR="00D54E4C" w:rsidRPr="008605F3" w:rsidP="00D54E4C" w14:paraId="24E686C1" w14:textId="77777777">
      <w:pPr>
        <w:pStyle w:val="FootnoteText"/>
        <w:spacing w:before="120"/>
      </w:pPr>
      <w:r w:rsidRPr="008605F3">
        <w:rPr>
          <w:rStyle w:val="FootnoteReference"/>
        </w:rPr>
        <w:footnoteRef/>
      </w:r>
      <w:r w:rsidRPr="008605F3">
        <w:rPr>
          <w:i/>
          <w:iCs/>
        </w:rPr>
        <w:t xml:space="preserve"> </w:t>
      </w:r>
      <w:r w:rsidRPr="00B228CB">
        <w:rPr>
          <w:i/>
          <w:iCs/>
        </w:rPr>
        <w:t xml:space="preserve">See </w:t>
      </w:r>
      <w:r>
        <w:rPr>
          <w:i/>
          <w:iCs/>
        </w:rPr>
        <w:t>id</w:t>
      </w:r>
      <w:r>
        <w:t>. § 64.604(c)(5)(iii)(A)(ii).</w:t>
      </w:r>
    </w:p>
  </w:footnote>
  <w:footnote w:id="6">
    <w:p w:rsidR="00F86F6D" w:rsidP="002550B0" w14:paraId="3D3367A1" w14:textId="0AFF369E">
      <w:pPr>
        <w:pStyle w:val="FootnoteText"/>
      </w:pPr>
      <w:r>
        <w:rPr>
          <w:rStyle w:val="FootnoteReference"/>
        </w:rPr>
        <w:footnoteRef/>
      </w:r>
      <w:r>
        <w:t xml:space="preserve"> </w:t>
      </w:r>
      <w:r w:rsidRPr="007372B2">
        <w:t xml:space="preserve">Rolka Loube </w:t>
      </w:r>
      <w:r w:rsidR="00FB26E0">
        <w:t xml:space="preserve">Saltzer </w:t>
      </w:r>
      <w:r w:rsidRPr="007372B2">
        <w:t>Associates LLC, Interstate Telecommunications Relay Services Fund</w:t>
      </w:r>
      <w:r w:rsidR="00FB26E0">
        <w:t>:</w:t>
      </w:r>
      <w:r w:rsidRPr="007372B2">
        <w:t xml:space="preserve"> Payment Formula and Fund Size Estimate, CG Docket Nos. 03-123 and 10-51 (filed </w:t>
      </w:r>
      <w:r w:rsidR="00FB26E0">
        <w:t>Apr. 30</w:t>
      </w:r>
      <w:r w:rsidRPr="007372B2">
        <w:t>, 202</w:t>
      </w:r>
      <w:r w:rsidR="00FB26E0">
        <w:t>5</w:t>
      </w:r>
      <w:r w:rsidRPr="007372B2">
        <w:t xml:space="preserve">), </w:t>
      </w:r>
      <w:hyperlink r:id="rId1" w:history="1">
        <w:r w:rsidRPr="00ED4204" w:rsidR="00ED4204">
          <w:rPr>
            <w:rStyle w:val="Hyperlink"/>
          </w:rPr>
          <w:t>https://www.fcc.gov/ecfs/document/‌10506166960326/1</w:t>
        </w:r>
      </w:hyperlink>
      <w:r w:rsidR="00FB26E0">
        <w:t xml:space="preserve"> </w:t>
      </w:r>
      <w:r w:rsidRPr="007372B2">
        <w:t>(202</w:t>
      </w:r>
      <w:r w:rsidR="00FB26E0">
        <w:t>5</w:t>
      </w:r>
      <w:r w:rsidRPr="007372B2">
        <w:t xml:space="preserve"> TRS Fund Report).  Each May, the Fund administrator recommends TRS payment formulas and revenue requirements for the next Fund Year.  47 CFR § 64.604(c)(5)(iii)(E), (H).</w:t>
      </w:r>
    </w:p>
  </w:footnote>
  <w:footnote w:id="7">
    <w:p w:rsidR="00F86F6D" w:rsidRPr="00F80207" w:rsidP="00F86F6D" w14:paraId="781B6C98" w14:textId="79F41607">
      <w:pPr>
        <w:pStyle w:val="FootnoteText"/>
        <w:spacing w:before="120"/>
        <w:rPr>
          <w:highlight w:val="yellow"/>
        </w:rPr>
      </w:pPr>
      <w:r w:rsidRPr="00923558">
        <w:rPr>
          <w:rStyle w:val="FootnoteReference"/>
        </w:rPr>
        <w:footnoteRef/>
      </w:r>
      <w:r w:rsidRPr="00FB26E0">
        <w:rPr>
          <w:i/>
          <w:iCs/>
        </w:rPr>
        <w:t xml:space="preserve"> </w:t>
      </w:r>
      <w:r w:rsidRPr="00FB26E0" w:rsidR="00FB26E0">
        <w:rPr>
          <w:i/>
          <w:iCs/>
        </w:rPr>
        <w:t>TRS Fund Administrator Submits</w:t>
      </w:r>
      <w:r w:rsidR="00FB26E0">
        <w:t xml:space="preserve"> </w:t>
      </w:r>
      <w:r w:rsidRPr="00923558">
        <w:rPr>
          <w:i/>
        </w:rPr>
        <w:t>Payment Formulas and Funding Requirements for the Telecommunications Relay Services Fund</w:t>
      </w:r>
      <w:r w:rsidRPr="00923558">
        <w:rPr>
          <w:iCs/>
        </w:rPr>
        <w:t>,</w:t>
      </w:r>
      <w:r w:rsidRPr="00923558">
        <w:t xml:space="preserve"> CG Docket No. 03-123, Public Notice, DA 2</w:t>
      </w:r>
      <w:r w:rsidR="00FB26E0">
        <w:t>5</w:t>
      </w:r>
      <w:r w:rsidRPr="00923558">
        <w:t>-</w:t>
      </w:r>
      <w:r w:rsidR="00FB26E0">
        <w:t>408</w:t>
      </w:r>
      <w:r w:rsidRPr="00923558">
        <w:t xml:space="preserve"> (CGB May </w:t>
      </w:r>
      <w:r w:rsidR="00FB26E0">
        <w:t>22</w:t>
      </w:r>
      <w:r w:rsidRPr="00923558">
        <w:t>, 202</w:t>
      </w:r>
      <w:r w:rsidR="00FB26E0">
        <w:t>5</w:t>
      </w:r>
      <w:r w:rsidRPr="00923558">
        <w:t>) (</w:t>
      </w:r>
      <w:r w:rsidRPr="00923558">
        <w:rPr>
          <w:i/>
        </w:rPr>
        <w:t>202</w:t>
      </w:r>
      <w:r w:rsidR="00FB26E0">
        <w:rPr>
          <w:i/>
        </w:rPr>
        <w:t>5</w:t>
      </w:r>
      <w:r w:rsidRPr="00923558">
        <w:rPr>
          <w:i/>
        </w:rPr>
        <w:t xml:space="preserve"> TRS Report Public Notice</w:t>
      </w:r>
      <w:r w:rsidRPr="00923558">
        <w:t xml:space="preserve">).  </w:t>
      </w:r>
    </w:p>
  </w:footnote>
  <w:footnote w:id="8">
    <w:p w:rsidR="00D9369B" w:rsidRPr="00D9369B" w14:paraId="47FB68C8" w14:textId="5787F35D">
      <w:pPr>
        <w:pStyle w:val="FootnoteText"/>
      </w:pPr>
      <w:r>
        <w:rPr>
          <w:rStyle w:val="FootnoteReference"/>
        </w:rPr>
        <w:footnoteRef/>
      </w:r>
      <w:r>
        <w:t xml:space="preserve"> Hamilt</w:t>
      </w:r>
      <w:r w:rsidR="00445E5B">
        <w:t>on</w:t>
      </w:r>
      <w:r w:rsidR="00CA399A">
        <w:t xml:space="preserve"> Relay, Inc.</w:t>
      </w:r>
      <w:r w:rsidR="000328CA">
        <w:t xml:space="preserve"> </w:t>
      </w:r>
      <w:r w:rsidR="00EB1B2A">
        <w:t>Comments</w:t>
      </w:r>
      <w:r w:rsidR="00892487">
        <w:t>, CG Docket Nos</w:t>
      </w:r>
      <w:r w:rsidR="00655207">
        <w:t>.</w:t>
      </w:r>
      <w:r w:rsidR="00892487">
        <w:t xml:space="preserve"> 03-123 and 10-51 (rec.</w:t>
      </w:r>
      <w:r w:rsidR="00A3512F">
        <w:t xml:space="preserve"> June 6, 2025)</w:t>
      </w:r>
      <w:r w:rsidR="00CA399A">
        <w:t xml:space="preserve"> (Hamilton Comments)</w:t>
      </w:r>
      <w:r w:rsidR="00445E5B">
        <w:t xml:space="preserve">; </w:t>
      </w:r>
      <w:r w:rsidR="007E576E">
        <w:t>Small</w:t>
      </w:r>
      <w:r w:rsidR="00A3512F">
        <w:t xml:space="preserve"> Company Coalition Comments, CG Docket Nos. 03-123 and 10-51 (rec. June 6, 2025)</w:t>
      </w:r>
      <w:r w:rsidR="00CA399A">
        <w:t xml:space="preserve"> (Small Company Coalition Comments)</w:t>
      </w:r>
      <w:r w:rsidR="00A3512F">
        <w:t xml:space="preserve">. </w:t>
      </w:r>
      <w:r w:rsidR="007E576E">
        <w:t xml:space="preserve"> </w:t>
      </w:r>
      <w:r w:rsidR="007D7D13">
        <w:t xml:space="preserve"> </w:t>
      </w:r>
      <w:r w:rsidR="00261903">
        <w:t xml:space="preserve"> </w:t>
      </w:r>
      <w:r w:rsidR="007E576E">
        <w:t xml:space="preserve"> </w:t>
      </w:r>
      <w:r w:rsidR="00445E5B">
        <w:t xml:space="preserve"> </w:t>
      </w:r>
    </w:p>
  </w:footnote>
  <w:footnote w:id="9">
    <w:p w:rsidR="00325363" w14:paraId="211C9C7A" w14:textId="715C5401">
      <w:pPr>
        <w:pStyle w:val="FootnoteText"/>
      </w:pPr>
      <w:r>
        <w:rPr>
          <w:rStyle w:val="FootnoteReference"/>
        </w:rPr>
        <w:footnoteRef/>
      </w:r>
      <w:r>
        <w:t xml:space="preserve"> Rolka Loube Saltzer Associat</w:t>
      </w:r>
      <w:r w:rsidR="00355D91">
        <w:t xml:space="preserve">es LLC, Interstate </w:t>
      </w:r>
      <w:r w:rsidR="00B86E3C">
        <w:t>Telecommunications</w:t>
      </w:r>
      <w:r w:rsidR="00355D91">
        <w:t xml:space="preserve"> Relay Service Fu</w:t>
      </w:r>
      <w:r w:rsidR="00BD29D4">
        <w:t>n</w:t>
      </w:r>
      <w:r w:rsidR="00355D91">
        <w:t>d Payment Formula and Fund Size Estimate Supplemental Report, CG Docket Nos. 03-123 and 10-51</w:t>
      </w:r>
      <w:r w:rsidR="005B1C69">
        <w:t xml:space="preserve"> (filed June 9, 2025)</w:t>
      </w:r>
      <w:r w:rsidR="00523416">
        <w:t xml:space="preserve">. </w:t>
      </w:r>
      <w:hyperlink r:id="rId2" w:history="1">
        <w:r w:rsidRPr="00AD66D0" w:rsidR="00AD66D0">
          <w:rPr>
            <w:rStyle w:val="Hyperlink"/>
          </w:rPr>
          <w:t>https://www.fcc.‌gov/‌ecfs/search/search-filings/filing/106102067923415</w:t>
        </w:r>
      </w:hyperlink>
      <w:r w:rsidR="00523416">
        <w:t xml:space="preserve"> </w:t>
      </w:r>
      <w:r w:rsidR="00777E5E">
        <w:t xml:space="preserve">(2025) </w:t>
      </w:r>
      <w:r w:rsidR="004646A3">
        <w:t>(</w:t>
      </w:r>
      <w:r w:rsidR="00523416">
        <w:t xml:space="preserve">TRS Fund Report Supplement).  </w:t>
      </w:r>
    </w:p>
  </w:footnote>
  <w:footnote w:id="10">
    <w:p w:rsidR="007E74A5" w14:paraId="2FE19FE4" w14:textId="4D974ACA">
      <w:pPr>
        <w:pStyle w:val="FootnoteText"/>
      </w:pPr>
      <w:r>
        <w:rPr>
          <w:rStyle w:val="FootnoteReference"/>
        </w:rPr>
        <w:footnoteRef/>
      </w:r>
      <w:r>
        <w:t xml:space="preserve"> </w:t>
      </w:r>
      <w:r w:rsidRPr="00F53D3A" w:rsidR="00E84E27">
        <w:rPr>
          <w:i/>
          <w:iCs/>
        </w:rPr>
        <w:t>2025 TRS Compensation Order</w:t>
      </w:r>
      <w:r w:rsidR="00E84E27">
        <w:t>,</w:t>
      </w:r>
      <w:r w:rsidR="00AB1221">
        <w:t xml:space="preserve"> DA 25-571.</w:t>
      </w:r>
    </w:p>
  </w:footnote>
  <w:footnote w:id="11">
    <w:p w:rsidR="007E74A5" w14:paraId="71D9322C" w14:textId="091167D3">
      <w:pPr>
        <w:pStyle w:val="FootnoteText"/>
      </w:pPr>
      <w:r>
        <w:rPr>
          <w:rStyle w:val="FootnoteReference"/>
        </w:rPr>
        <w:footnoteRef/>
      </w:r>
      <w:r>
        <w:t xml:space="preserve"> </w:t>
      </w:r>
      <w:r w:rsidR="00F53D3A">
        <w:rPr>
          <w:i/>
          <w:iCs/>
        </w:rPr>
        <w:t>I</w:t>
      </w:r>
      <w:r w:rsidRPr="00F53D3A" w:rsidR="00F53D3A">
        <w:rPr>
          <w:i/>
          <w:iCs/>
        </w:rPr>
        <w:t>d</w:t>
      </w:r>
      <w:r w:rsidR="00F53D3A">
        <w:t>.</w:t>
      </w:r>
      <w:r w:rsidR="00AB1221">
        <w:t xml:space="preserve"> at</w:t>
      </w:r>
      <w:r w:rsidR="00C5351E">
        <w:t xml:space="preserve"> 1, para. 1. </w:t>
      </w:r>
    </w:p>
  </w:footnote>
  <w:footnote w:id="12">
    <w:p w:rsidR="00F86F6D" w:rsidRPr="00885D81" w:rsidP="00F86F6D" w14:paraId="31B1A41E" w14:textId="3D5C8981">
      <w:pPr>
        <w:pStyle w:val="FootnoteText"/>
        <w:spacing w:before="120"/>
      </w:pPr>
      <w:r w:rsidRPr="00885D81">
        <w:rPr>
          <w:rStyle w:val="FootnoteReference"/>
        </w:rPr>
        <w:footnoteRef/>
      </w:r>
      <w:r w:rsidRPr="00885D81">
        <w:rPr>
          <w:i/>
        </w:rPr>
        <w:t xml:space="preserve"> See</w:t>
      </w:r>
      <w:bookmarkStart w:id="1" w:name="_Hlk10970295"/>
      <w:r w:rsidRPr="00885D81">
        <w:rPr>
          <w:i/>
        </w:rPr>
        <w:t xml:space="preserve"> </w:t>
      </w:r>
      <w:r w:rsidRPr="00885D81">
        <w:t>202</w:t>
      </w:r>
      <w:r w:rsidR="0096271B">
        <w:t>5</w:t>
      </w:r>
      <w:r w:rsidRPr="00885D81">
        <w:t xml:space="preserve"> </w:t>
      </w:r>
      <w:bookmarkEnd w:id="1"/>
      <w:r w:rsidRPr="00885D81">
        <w:t>TRS Fund Report at</w:t>
      </w:r>
      <w:r w:rsidR="0096271B">
        <w:t xml:space="preserve"> 11, 21-22</w:t>
      </w:r>
      <w:r w:rsidRPr="00885D81">
        <w:t xml:space="preserve">; </w:t>
      </w:r>
      <w:r w:rsidRPr="00885D81">
        <w:rPr>
          <w:i/>
          <w:iCs/>
        </w:rPr>
        <w:t>see also</w:t>
      </w:r>
      <w:r w:rsidRPr="00885D81">
        <w:rPr>
          <w:i/>
          <w:iCs/>
          <w:snapToGrid w:val="0"/>
          <w:kern w:val="28"/>
        </w:rPr>
        <w:t xml:space="preserve"> </w:t>
      </w:r>
      <w:bookmarkStart w:id="2" w:name="_Hlk201148262"/>
      <w:r w:rsidRPr="00885D81">
        <w:rPr>
          <w:snapToGrid w:val="0"/>
          <w:kern w:val="28"/>
        </w:rPr>
        <w:t>47 CFR § 64.604(c)(5)(iii)(H)</w:t>
      </w:r>
      <w:r w:rsidRPr="00885D81">
        <w:t>.</w:t>
      </w:r>
      <w:bookmarkEnd w:id="2"/>
      <w:r w:rsidRPr="00885D81">
        <w:t xml:space="preserve"> </w:t>
      </w:r>
    </w:p>
  </w:footnote>
  <w:footnote w:id="13">
    <w:p w:rsidR="00F86F6D" w:rsidRPr="00885D81" w:rsidP="00F86F6D" w14:paraId="06F1EFAA" w14:textId="2BBC11E3">
      <w:pPr>
        <w:pStyle w:val="FootnoteText"/>
        <w:spacing w:before="120"/>
      </w:pPr>
      <w:r w:rsidRPr="00885D81">
        <w:rPr>
          <w:rStyle w:val="FootnoteReference"/>
        </w:rPr>
        <w:footnoteRef/>
      </w:r>
      <w:r w:rsidRPr="00885D81">
        <w:rPr>
          <w:iCs/>
        </w:rPr>
        <w:t xml:space="preserve"> </w:t>
      </w:r>
      <w:r w:rsidRPr="00885D81">
        <w:t>202</w:t>
      </w:r>
      <w:r w:rsidR="0096271B">
        <w:t>5</w:t>
      </w:r>
      <w:r w:rsidRPr="00885D81">
        <w:t xml:space="preserve"> TRS Fund Report at </w:t>
      </w:r>
      <w:r w:rsidR="0096271B">
        <w:t>10-11</w:t>
      </w:r>
      <w:r w:rsidR="00E564C9">
        <w:t>.</w:t>
      </w:r>
      <w:r w:rsidR="00FB5429">
        <w:t xml:space="preserve"> </w:t>
      </w:r>
      <w:r w:rsidR="00E564C9">
        <w:t xml:space="preserve"> </w:t>
      </w:r>
      <w:r w:rsidR="00FB5429">
        <w:t xml:space="preserve">For traditional TRS and CTS, Rolka Loube used logarithmic forecasting methodologies based on the historical demand.  </w:t>
      </w:r>
      <w:r w:rsidRPr="00E564C9" w:rsidR="00E564C9">
        <w:rPr>
          <w:i/>
          <w:iCs/>
        </w:rPr>
        <w:t>Id</w:t>
      </w:r>
      <w:r w:rsidRPr="00E564C9" w:rsidR="00E564C9">
        <w:t>.</w:t>
      </w:r>
      <w:r w:rsidR="00E564C9">
        <w:t xml:space="preserve"> </w:t>
      </w:r>
      <w:r w:rsidR="00580C9B">
        <w:t xml:space="preserve">at 10. </w:t>
      </w:r>
      <w:r w:rsidR="00E564C9">
        <w:t xml:space="preserve"> </w:t>
      </w:r>
      <w:r w:rsidR="00FB5429">
        <w:t>For STS, Rolka Loube calculated demand as the five-year average of historical demand form 2020 through 2024</w:t>
      </w:r>
      <w:r w:rsidRPr="00885D81">
        <w:t>.</w:t>
      </w:r>
      <w:r w:rsidR="00E564C9">
        <w:t xml:space="preserve">  </w:t>
      </w:r>
      <w:r w:rsidRPr="00E564C9" w:rsidR="00E564C9">
        <w:rPr>
          <w:i/>
          <w:iCs/>
        </w:rPr>
        <w:t>Id</w:t>
      </w:r>
      <w:r w:rsidR="00E564C9">
        <w:t>.</w:t>
      </w:r>
    </w:p>
  </w:footnote>
  <w:footnote w:id="14">
    <w:p w:rsidR="00F86F6D" w:rsidRPr="00885D81" w:rsidP="00F86F6D" w14:paraId="0A83FB4B" w14:textId="2C98F58F">
      <w:pPr>
        <w:pStyle w:val="FootnoteText"/>
        <w:spacing w:before="120"/>
      </w:pPr>
      <w:r w:rsidRPr="00885D81">
        <w:rPr>
          <w:rStyle w:val="FootnoteReference"/>
        </w:rPr>
        <w:footnoteRef/>
      </w:r>
      <w:r w:rsidRPr="00885D81">
        <w:t xml:space="preserve"> </w:t>
      </w:r>
      <w:r w:rsidRPr="00885D81">
        <w:rPr>
          <w:i/>
          <w:iCs/>
        </w:rPr>
        <w:t>Id</w:t>
      </w:r>
      <w:r w:rsidRPr="00885D81">
        <w:t>.</w:t>
      </w:r>
      <w:r w:rsidR="0096271B">
        <w:t xml:space="preserve"> at 21</w:t>
      </w:r>
      <w:r w:rsidR="00D25168">
        <w:t xml:space="preserve">; 2025 TRS Fund Report Supplement at </w:t>
      </w:r>
      <w:r w:rsidR="00E719C6">
        <w:t>5-6</w:t>
      </w:r>
      <w:r w:rsidR="0096271B">
        <w:t>.</w:t>
      </w:r>
    </w:p>
  </w:footnote>
  <w:footnote w:id="15">
    <w:p w:rsidR="006F4D26" w:rsidRPr="00707202" w:rsidP="006F4D26" w14:paraId="06493A5E" w14:textId="14F5D34E">
      <w:pPr>
        <w:pStyle w:val="FootnoteText"/>
      </w:pPr>
      <w:r>
        <w:rPr>
          <w:rStyle w:val="FootnoteReference"/>
        </w:rPr>
        <w:footnoteRef/>
      </w:r>
      <w:r>
        <w:t xml:space="preserve"> </w:t>
      </w:r>
      <w:r w:rsidR="0058766C">
        <w:t>2025 TRS Fund Report at 14, 21.</w:t>
      </w:r>
      <w:r>
        <w:t xml:space="preserve"> </w:t>
      </w:r>
    </w:p>
  </w:footnote>
  <w:footnote w:id="16">
    <w:p w:rsidR="00201C1C" w14:paraId="390F8639" w14:textId="2F1AAF85">
      <w:pPr>
        <w:pStyle w:val="FootnoteText"/>
      </w:pPr>
      <w:r>
        <w:rPr>
          <w:rStyle w:val="FootnoteReference"/>
        </w:rPr>
        <w:footnoteRef/>
      </w:r>
      <w:r>
        <w:t xml:space="preserve"> </w:t>
      </w:r>
      <w:r w:rsidRPr="00911A78" w:rsidR="00911A78">
        <w:rPr>
          <w:i/>
          <w:iCs/>
        </w:rPr>
        <w:t>Id.</w:t>
      </w:r>
      <w:r w:rsidRPr="00911A78" w:rsidR="00911A78">
        <w:t xml:space="preserve"> </w:t>
      </w:r>
    </w:p>
  </w:footnote>
  <w:footnote w:id="17">
    <w:p w:rsidR="00707202" w:rsidRPr="00707202" w14:paraId="1D5373C8" w14:textId="1E36B540">
      <w:pPr>
        <w:pStyle w:val="FootnoteText"/>
      </w:pPr>
      <w:r>
        <w:rPr>
          <w:rStyle w:val="FootnoteReference"/>
        </w:rPr>
        <w:footnoteRef/>
      </w:r>
      <w:r>
        <w:t xml:space="preserve"> </w:t>
      </w:r>
      <w:r>
        <w:rPr>
          <w:i/>
          <w:iCs/>
        </w:rPr>
        <w:t>Id.</w:t>
      </w:r>
      <w:r>
        <w:t xml:space="preserve"> at 14-15, 21. </w:t>
      </w:r>
    </w:p>
  </w:footnote>
  <w:footnote w:id="18">
    <w:p w:rsidR="00707202" w:rsidRPr="00707202" w14:paraId="2F9A62ED" w14:textId="6A66A476">
      <w:pPr>
        <w:pStyle w:val="FootnoteText"/>
      </w:pPr>
      <w:r>
        <w:rPr>
          <w:rStyle w:val="FootnoteReference"/>
        </w:rPr>
        <w:footnoteRef/>
      </w:r>
      <w:r>
        <w:t xml:space="preserve"> </w:t>
      </w:r>
      <w:r>
        <w:rPr>
          <w:i/>
          <w:iCs/>
        </w:rPr>
        <w:t>Id</w:t>
      </w:r>
      <w:r>
        <w:t xml:space="preserve">. at 21. </w:t>
      </w:r>
    </w:p>
  </w:footnote>
  <w:footnote w:id="19">
    <w:p w:rsidR="00F86F6D" w:rsidRPr="00885D81" w:rsidP="00F86F6D" w14:paraId="044C1802" w14:textId="60EEF8C9">
      <w:pPr>
        <w:pStyle w:val="FootnoteText"/>
        <w:spacing w:before="120"/>
      </w:pPr>
      <w:r w:rsidRPr="00885D81">
        <w:rPr>
          <w:rStyle w:val="FootnoteReference"/>
        </w:rPr>
        <w:footnoteRef/>
      </w:r>
      <w:r w:rsidRPr="00885D81">
        <w:t xml:space="preserve"> </w:t>
      </w:r>
      <w:r w:rsidR="00DF78AE">
        <w:t>2025 TRS Fund Report Supplement at 6</w:t>
      </w:r>
      <w:r w:rsidRPr="00885D81" w:rsidR="00BB5F50">
        <w:t xml:space="preserve">, </w:t>
      </w:r>
      <w:r w:rsidRPr="00885D81" w:rsidR="00BB5F50">
        <w:t>Exh</w:t>
      </w:r>
      <w:r w:rsidRPr="00885D81" w:rsidR="00BB5F50">
        <w:t>. 2</w:t>
      </w:r>
      <w:r w:rsidRPr="00885D81">
        <w:t>.</w:t>
      </w:r>
    </w:p>
  </w:footnote>
  <w:footnote w:id="20">
    <w:p w:rsidR="00F86F6D" w:rsidRPr="00885D81" w:rsidP="00F86F6D" w14:paraId="7641BB32" w14:textId="541A19B8">
      <w:pPr>
        <w:pStyle w:val="FootnoteText"/>
      </w:pPr>
      <w:r w:rsidRPr="00885D81">
        <w:rPr>
          <w:rStyle w:val="FootnoteReference"/>
        </w:rPr>
        <w:footnoteRef/>
      </w:r>
      <w:r w:rsidRPr="00885D81">
        <w:t xml:space="preserve"> </w:t>
      </w:r>
      <w:r w:rsidR="00DC65B4">
        <w:rPr>
          <w:i/>
          <w:iCs/>
        </w:rPr>
        <w:t>I</w:t>
      </w:r>
      <w:r w:rsidRPr="001B6265" w:rsidR="00DC65B4">
        <w:rPr>
          <w:i/>
          <w:iCs/>
        </w:rPr>
        <w:t>d</w:t>
      </w:r>
      <w:r w:rsidRPr="00885D81" w:rsidR="00DF78AE">
        <w:t>.</w:t>
      </w:r>
    </w:p>
  </w:footnote>
  <w:footnote w:id="21">
    <w:p w:rsidR="00496064" w:rsidP="00496064" w14:paraId="468D5EE4" w14:textId="77777777">
      <w:pPr>
        <w:pStyle w:val="FootnoteText"/>
      </w:pPr>
      <w:r>
        <w:rPr>
          <w:rStyle w:val="FootnoteReference"/>
        </w:rPr>
        <w:footnoteRef/>
      </w:r>
      <w:r>
        <w:t xml:space="preserve"> </w:t>
      </w:r>
      <w:r w:rsidRPr="00412368">
        <w:t xml:space="preserve">2025 TRS Fund Report at </w:t>
      </w:r>
      <w:r>
        <w:t>21</w:t>
      </w:r>
      <w:r w:rsidRPr="00412368">
        <w:t>.</w:t>
      </w:r>
    </w:p>
  </w:footnote>
  <w:footnote w:id="22">
    <w:p w:rsidR="00496064" w:rsidP="00496064" w14:paraId="387E2CEA" w14:textId="42D70410">
      <w:pPr>
        <w:pStyle w:val="FootnoteText"/>
      </w:pPr>
      <w:r>
        <w:rPr>
          <w:rStyle w:val="FootnoteReference"/>
        </w:rPr>
        <w:footnoteRef/>
      </w:r>
      <w:r>
        <w:t xml:space="preserve"> </w:t>
      </w:r>
      <w:r w:rsidRPr="00F8199F">
        <w:rPr>
          <w:i/>
          <w:iCs/>
        </w:rPr>
        <w:t xml:space="preserve">See </w:t>
      </w:r>
      <w:r w:rsidRPr="00D61ACD" w:rsidR="00D61ACD">
        <w:t>2025 TRS Fund Report Supplement</w:t>
      </w:r>
      <w:r>
        <w:t xml:space="preserve">, </w:t>
      </w:r>
      <w:r>
        <w:t>Exh</w:t>
      </w:r>
      <w:r>
        <w:t>. 2.  The small-provider rate is also known as the “Emergent Tier.”</w:t>
      </w:r>
    </w:p>
  </w:footnote>
  <w:footnote w:id="23">
    <w:p w:rsidR="00937E16" w14:paraId="0BF4359A" w14:textId="09137A6D">
      <w:pPr>
        <w:pStyle w:val="FootnoteText"/>
      </w:pPr>
      <w:r>
        <w:rPr>
          <w:rStyle w:val="FootnoteReference"/>
        </w:rPr>
        <w:footnoteRef/>
      </w:r>
      <w:r>
        <w:t xml:space="preserve"> </w:t>
      </w:r>
      <w:r w:rsidRPr="00937E16">
        <w:rPr>
          <w:i/>
          <w:iCs/>
        </w:rPr>
        <w:t>See</w:t>
      </w:r>
      <w:r>
        <w:t xml:space="preserve"> </w:t>
      </w:r>
      <w:r w:rsidRPr="00412368" w:rsidR="00267F9E">
        <w:t>2025 TRS Fund Report</w:t>
      </w:r>
      <w:r w:rsidRPr="00937E16">
        <w:t xml:space="preserve">, </w:t>
      </w:r>
      <w:r w:rsidRPr="00937E16">
        <w:t>Exh</w:t>
      </w:r>
      <w:r w:rsidRPr="00937E16">
        <w:t xml:space="preserve">. </w:t>
      </w:r>
      <w:r w:rsidR="000A685B">
        <w:t>1-4.a</w:t>
      </w:r>
      <w:r w:rsidRPr="00937E16">
        <w:t xml:space="preserve">.  </w:t>
      </w:r>
    </w:p>
  </w:footnote>
  <w:footnote w:id="24">
    <w:p w:rsidR="002908FB" w14:paraId="39098DC3" w14:textId="5EB68BCA">
      <w:pPr>
        <w:pStyle w:val="FootnoteText"/>
      </w:pPr>
      <w:r>
        <w:rPr>
          <w:rStyle w:val="FootnoteReference"/>
        </w:rPr>
        <w:footnoteRef/>
      </w:r>
      <w:r>
        <w:t xml:space="preserve"> </w:t>
      </w:r>
      <w:r w:rsidRPr="00CF58D9" w:rsidR="00CF58D9">
        <w:rPr>
          <w:i/>
          <w:iCs/>
        </w:rPr>
        <w:t>Id</w:t>
      </w:r>
      <w:r w:rsidRPr="00CF58D9" w:rsidR="00CF58D9">
        <w:t>.</w:t>
      </w:r>
      <w:r>
        <w:t xml:space="preserve"> at 21</w:t>
      </w:r>
      <w:r w:rsidR="00D61ACD">
        <w:t xml:space="preserve">; </w:t>
      </w:r>
      <w:bookmarkStart w:id="3" w:name="_Hlk202433489"/>
      <w:r w:rsidRPr="00D61ACD" w:rsidR="00D61ACD">
        <w:t>2025 TRS Fund Report Supplement</w:t>
      </w:r>
      <w:bookmarkEnd w:id="3"/>
      <w:r w:rsidRPr="00D61ACD" w:rsidR="00D61ACD">
        <w:t xml:space="preserve">, </w:t>
      </w:r>
      <w:r w:rsidRPr="00D61ACD" w:rsidR="00D61ACD">
        <w:t>Exh</w:t>
      </w:r>
      <w:r w:rsidRPr="00D61ACD" w:rsidR="00D61ACD">
        <w:t>. 2</w:t>
      </w:r>
      <w:r>
        <w:t>.</w:t>
      </w:r>
    </w:p>
  </w:footnote>
  <w:footnote w:id="25">
    <w:p w:rsidR="00FD1782" w14:paraId="09DEB76F" w14:textId="0C780D8B">
      <w:pPr>
        <w:pStyle w:val="FootnoteText"/>
      </w:pPr>
      <w:r>
        <w:rPr>
          <w:rStyle w:val="FootnoteReference"/>
        </w:rPr>
        <w:footnoteRef/>
      </w:r>
      <w:r>
        <w:t xml:space="preserve"> </w:t>
      </w:r>
      <w:r w:rsidR="00E860B5">
        <w:t xml:space="preserve">2025 TRS Compensation Order at </w:t>
      </w:r>
      <w:r w:rsidR="000A1183">
        <w:t>4-5, para. 10.</w:t>
      </w:r>
    </w:p>
  </w:footnote>
  <w:footnote w:id="26">
    <w:p w:rsidR="00301BBF" w14:paraId="793F386F" w14:textId="49C029F3">
      <w:pPr>
        <w:pStyle w:val="FootnoteText"/>
      </w:pPr>
      <w:r>
        <w:rPr>
          <w:rStyle w:val="FootnoteReference"/>
        </w:rPr>
        <w:footnoteRef/>
      </w:r>
      <w:r>
        <w:t xml:space="preserve"> </w:t>
      </w:r>
      <w:r w:rsidRPr="00301BBF">
        <w:t>2025 TRS Fund Report at 21</w:t>
      </w:r>
      <w:r>
        <w:t>.</w:t>
      </w:r>
    </w:p>
  </w:footnote>
  <w:footnote w:id="27">
    <w:p w:rsidR="00F86F6D" w:rsidRPr="00433524" w:rsidP="00F86F6D" w14:paraId="52B76F63" w14:textId="34879D59">
      <w:pPr>
        <w:pStyle w:val="FootnoteText"/>
        <w:spacing w:before="120"/>
        <w:rPr>
          <w:highlight w:val="yellow"/>
        </w:rPr>
      </w:pPr>
      <w:r w:rsidRPr="00885D81">
        <w:rPr>
          <w:rStyle w:val="FootnoteReference"/>
        </w:rPr>
        <w:footnoteRef/>
      </w:r>
      <w:r w:rsidRPr="00885D81">
        <w:t xml:space="preserve"> </w:t>
      </w:r>
      <w:r w:rsidRPr="00FF1F41" w:rsidR="00FF1F41">
        <w:rPr>
          <w:i/>
          <w:iCs/>
        </w:rPr>
        <w:t>Id</w:t>
      </w:r>
      <w:r w:rsidRPr="00FF1F41" w:rsidR="00FF1F41">
        <w:t xml:space="preserve">. </w:t>
      </w:r>
      <w:r w:rsidRPr="00885D81">
        <w:t>at</w:t>
      </w:r>
      <w:r w:rsidR="00940C08">
        <w:t xml:space="preserve"> 22</w:t>
      </w:r>
      <w:r w:rsidRPr="00885D81">
        <w:t xml:space="preserve">; </w:t>
      </w:r>
      <w:r w:rsidRPr="00885D81">
        <w:rPr>
          <w:i/>
          <w:iCs/>
        </w:rPr>
        <w:t>see also</w:t>
      </w:r>
      <w:r w:rsidRPr="00885D81">
        <w:t xml:space="preserve"> 47 CFR §§ 64.6201-6219.  </w:t>
      </w:r>
    </w:p>
  </w:footnote>
  <w:footnote w:id="28">
    <w:p w:rsidR="00F86F6D" w:rsidRPr="008605F3" w:rsidP="00F86F6D" w14:paraId="62391D7A" w14:textId="24804616">
      <w:pPr>
        <w:pStyle w:val="FootnoteText"/>
        <w:spacing w:before="120"/>
      </w:pPr>
      <w:r w:rsidRPr="00885D81">
        <w:rPr>
          <w:rStyle w:val="FootnoteReference"/>
        </w:rPr>
        <w:footnoteRef/>
      </w:r>
      <w:r w:rsidRPr="00885D81">
        <w:t xml:space="preserve"> </w:t>
      </w:r>
      <w:r w:rsidRPr="00304025" w:rsidR="00304025">
        <w:t>2025 TRS Fund Report Supplement</w:t>
      </w:r>
      <w:r w:rsidR="00304025">
        <w:t>,</w:t>
      </w:r>
      <w:r w:rsidRPr="00304025" w:rsidR="00304025">
        <w:t xml:space="preserve"> </w:t>
      </w:r>
      <w:r w:rsidRPr="00885D81">
        <w:t>Exh</w:t>
      </w:r>
      <w:r w:rsidRPr="00885D81">
        <w:t xml:space="preserve">. 2; </w:t>
      </w:r>
      <w:r w:rsidRPr="00885D81">
        <w:rPr>
          <w:i/>
          <w:iCs/>
        </w:rPr>
        <w:t>see also</w:t>
      </w:r>
      <w:r w:rsidRPr="00885D81">
        <w:t xml:space="preserve"> 202</w:t>
      </w:r>
      <w:r w:rsidR="00940C08">
        <w:t>5</w:t>
      </w:r>
      <w:r w:rsidRPr="00885D81">
        <w:t xml:space="preserve"> TRS Fund Report at </w:t>
      </w:r>
      <w:r w:rsidR="00940C08">
        <w:t>22-23</w:t>
      </w:r>
      <w:r w:rsidRPr="00885D81">
        <w:t>.</w:t>
      </w:r>
    </w:p>
  </w:footnote>
  <w:footnote w:id="29">
    <w:p w:rsidR="00F86F6D" w:rsidRPr="008605F3" w:rsidP="00F86F6D" w14:paraId="034717B2" w14:textId="77777777">
      <w:pPr>
        <w:pStyle w:val="FootnoteText"/>
        <w:spacing w:before="120"/>
      </w:pPr>
      <w:r w:rsidRPr="008605F3">
        <w:rPr>
          <w:rStyle w:val="FootnoteReference"/>
        </w:rPr>
        <w:footnoteRef/>
      </w:r>
      <w:r w:rsidRPr="40AEC8FC">
        <w:rPr>
          <w:i/>
          <w:iCs/>
        </w:rPr>
        <w:t xml:space="preserve"> See, e.g., Telecommunications Relay Services and Speech-to-Speech Services for Individuals with Hearing and Speech Disabilities</w:t>
      </w:r>
      <w:r w:rsidRPr="006D28E5">
        <w:t>;</w:t>
      </w:r>
      <w:r w:rsidRPr="40AEC8FC">
        <w:rPr>
          <w:i/>
          <w:iCs/>
        </w:rPr>
        <w:t xml:space="preserve"> Structure and Practices of the Video Relay Service Program, </w:t>
      </w:r>
      <w:r>
        <w:t xml:space="preserve">CG Docket Nos. 03-123 and 10-51, 36 FCC </w:t>
      </w:r>
      <w:r>
        <w:t>Rcd</w:t>
      </w:r>
      <w:r>
        <w:t xml:space="preserve"> 10194</w:t>
      </w:r>
      <w:r w:rsidRPr="008605F3">
        <w:t>,</w:t>
      </w:r>
      <w:r w:rsidRPr="40AEC8FC">
        <w:rPr>
          <w:i/>
          <w:iCs/>
        </w:rPr>
        <w:t xml:space="preserve"> </w:t>
      </w:r>
      <w:r w:rsidRPr="008605F3">
        <w:t>10201, para. 19</w:t>
      </w:r>
      <w:r>
        <w:t xml:space="preserve"> (2021)</w:t>
      </w:r>
      <w:r w:rsidRPr="008605F3">
        <w:t xml:space="preserve">; </w:t>
      </w:r>
      <w:r w:rsidRPr="40AEC8FC">
        <w:rPr>
          <w:i/>
          <w:iCs/>
        </w:rPr>
        <w:t>Telecommunications Relay Services and Speech-to-Speech Services for Individuals with Hearing and Speech Disabilities</w:t>
      </w:r>
      <w:r w:rsidRPr="008605F3">
        <w:rPr>
          <w:iCs/>
        </w:rPr>
        <w:t xml:space="preserve">; </w:t>
      </w:r>
      <w:r w:rsidRPr="40AEC8FC">
        <w:rPr>
          <w:i/>
          <w:iCs/>
        </w:rPr>
        <w:t>Structure and Practices of the Video Relay Service Program</w:t>
      </w:r>
      <w:r w:rsidRPr="008605F3">
        <w:t xml:space="preserve">, CG Docket Nos. 03-123 and 10-51, Order, 35 FCC </w:t>
      </w:r>
      <w:r w:rsidRPr="008605F3">
        <w:t>Rcd</w:t>
      </w:r>
      <w:r w:rsidRPr="008605F3">
        <w:t xml:space="preserve"> 6649, 6658, para. 23 (CGB 2020) (</w:t>
      </w:r>
      <w:r w:rsidRPr="40AEC8FC">
        <w:rPr>
          <w:i/>
          <w:iCs/>
        </w:rPr>
        <w:t>2020 TRS Compensation Order</w:t>
      </w:r>
      <w:r w:rsidRPr="008605F3">
        <w:t>);</w:t>
      </w:r>
      <w:r w:rsidRPr="40AEC8FC">
        <w:rPr>
          <w:i/>
          <w:iCs/>
        </w:rPr>
        <w:t xml:space="preserve"> Telecommunications Relay Services and Speech-to-Speech Services for Individuals with Hearing and Speech Disabilities</w:t>
      </w:r>
      <w:r w:rsidRPr="008605F3">
        <w:rPr>
          <w:iCs/>
        </w:rPr>
        <w:t xml:space="preserve">; </w:t>
      </w:r>
      <w:r w:rsidRPr="40AEC8FC">
        <w:rPr>
          <w:i/>
          <w:iCs/>
        </w:rPr>
        <w:t>Structure and Practices of the Video Relay Service Program</w:t>
      </w:r>
      <w:r w:rsidRPr="008605F3">
        <w:t xml:space="preserve">, CG Docket Nos. 03-123 and 10-51, Order,, 34 FCC </w:t>
      </w:r>
      <w:r w:rsidRPr="008605F3">
        <w:t>Rcd</w:t>
      </w:r>
      <w:r w:rsidRPr="008605F3">
        <w:t xml:space="preserve"> </w:t>
      </w:r>
      <w:r>
        <w:t xml:space="preserve">5171, </w:t>
      </w:r>
      <w:r w:rsidRPr="008605F3">
        <w:t>5181-82, para. 24</w:t>
      </w:r>
      <w:r>
        <w:t xml:space="preserve"> (CGB 2019)</w:t>
      </w:r>
      <w:r w:rsidRPr="008605F3">
        <w:t xml:space="preserve">; </w:t>
      </w:r>
      <w:r w:rsidRPr="40AEC8FC">
        <w:rPr>
          <w:i/>
          <w:iCs/>
        </w:rPr>
        <w:t>Telecommunications Relay Services and Speech-to-Speech Services for Individuals with Hearing and Speech Disabilities</w:t>
      </w:r>
      <w:r w:rsidRPr="008605F3">
        <w:rPr>
          <w:iCs/>
        </w:rPr>
        <w:t xml:space="preserve">; </w:t>
      </w:r>
      <w:r w:rsidRPr="40AEC8FC">
        <w:rPr>
          <w:i/>
          <w:iCs/>
        </w:rPr>
        <w:t>Structure and Practices of the Video Relay Service Program</w:t>
      </w:r>
      <w:r w:rsidRPr="008605F3">
        <w:t xml:space="preserve">, CG Docket Nos. 03-123 and 10-51, Order, 33 FCC </w:t>
      </w:r>
      <w:r w:rsidRPr="008605F3">
        <w:t>Rcd</w:t>
      </w:r>
      <w:r w:rsidRPr="008605F3">
        <w:t xml:space="preserve"> 6300, 6306-07, para. 18 (CGB 2018).</w:t>
      </w:r>
    </w:p>
  </w:footnote>
  <w:footnote w:id="30">
    <w:p w:rsidR="00F86F6D" w:rsidRPr="00885D81" w:rsidP="00F86F6D" w14:paraId="5964C1CF" w14:textId="27B7572E">
      <w:pPr>
        <w:pStyle w:val="FootnoteText"/>
      </w:pPr>
      <w:r>
        <w:rPr>
          <w:rStyle w:val="FootnoteReference"/>
        </w:rPr>
        <w:footnoteRef/>
      </w:r>
      <w:r>
        <w:t xml:space="preserve"> </w:t>
      </w:r>
      <w:r w:rsidRPr="00885D81">
        <w:rPr>
          <w:iCs/>
        </w:rPr>
        <w:t>202</w:t>
      </w:r>
      <w:r w:rsidR="00940C08">
        <w:rPr>
          <w:iCs/>
        </w:rPr>
        <w:t>5</w:t>
      </w:r>
      <w:r w:rsidRPr="00885D81">
        <w:rPr>
          <w:iCs/>
        </w:rPr>
        <w:t xml:space="preserve"> TRS Fund Report</w:t>
      </w:r>
      <w:r w:rsidRPr="00885D81">
        <w:t xml:space="preserve"> at </w:t>
      </w:r>
      <w:r w:rsidR="00940C08">
        <w:t>22</w:t>
      </w:r>
      <w:r w:rsidR="00562C84">
        <w:t>; 2025 TRS Fund Report Supplement at</w:t>
      </w:r>
      <w:r w:rsidR="003F287C">
        <w:t xml:space="preserve"> 6</w:t>
      </w:r>
      <w:r w:rsidR="00D21241">
        <w:t xml:space="preserve"> &amp;</w:t>
      </w:r>
      <w:r w:rsidR="00562C84">
        <w:t xml:space="preserve"> </w:t>
      </w:r>
      <w:r w:rsidR="00562C84">
        <w:t>Exh</w:t>
      </w:r>
      <w:r w:rsidR="00562C84">
        <w:t>. 2</w:t>
      </w:r>
      <w:r w:rsidRPr="00885D81">
        <w:t xml:space="preserve">.  </w:t>
      </w:r>
    </w:p>
  </w:footnote>
  <w:footnote w:id="31">
    <w:p w:rsidR="0084545F" w14:paraId="08C71CD1" w14:textId="256D7114">
      <w:pPr>
        <w:pStyle w:val="FootnoteText"/>
      </w:pPr>
      <w:r>
        <w:rPr>
          <w:rStyle w:val="FootnoteReference"/>
        </w:rPr>
        <w:footnoteRef/>
      </w:r>
      <w:r>
        <w:t xml:space="preserve"> </w:t>
      </w:r>
      <w:r w:rsidRPr="0084545F">
        <w:t>Hamilton Comments at 6</w:t>
      </w:r>
      <w:r>
        <w:t>.</w:t>
      </w:r>
    </w:p>
  </w:footnote>
  <w:footnote w:id="32">
    <w:p w:rsidR="00CE7C55" w:rsidP="00CE7C55" w14:paraId="2AAE5BCE" w14:textId="02BA33CB">
      <w:pPr>
        <w:pStyle w:val="FootnoteText"/>
      </w:pPr>
      <w:r>
        <w:rPr>
          <w:rStyle w:val="FootnoteReference"/>
        </w:rPr>
        <w:footnoteRef/>
      </w:r>
      <w:r>
        <w:t xml:space="preserve"> Small Company Coalition Comments at 2</w:t>
      </w:r>
      <w:r w:rsidR="0084545F">
        <w:t>.</w:t>
      </w:r>
    </w:p>
  </w:footnote>
  <w:footnote w:id="33">
    <w:p w:rsidR="009D203F" w:rsidP="009D203F" w14:paraId="6D3A7321" w14:textId="689A255D">
      <w:pPr>
        <w:pStyle w:val="FootnoteText"/>
      </w:pPr>
      <w:r>
        <w:rPr>
          <w:rStyle w:val="FootnoteReference"/>
        </w:rPr>
        <w:footnoteRef/>
      </w:r>
      <w:r>
        <w:t xml:space="preserve"> Hamilton Comments at 6</w:t>
      </w:r>
      <w:r w:rsidR="00FD4ADE">
        <w:t xml:space="preserve">; </w:t>
      </w:r>
      <w:r w:rsidR="00FD4ADE">
        <w:rPr>
          <w:i/>
          <w:iCs/>
        </w:rPr>
        <w:t>see also</w:t>
      </w:r>
      <w:r w:rsidR="00FD4ADE">
        <w:t xml:space="preserve"> 2025 TRS Fund Report at </w:t>
      </w:r>
      <w:r w:rsidR="004C315D">
        <w:t xml:space="preserve">4. </w:t>
      </w:r>
      <w:r>
        <w:t xml:space="preserve"> </w:t>
      </w:r>
    </w:p>
  </w:footnote>
  <w:footnote w:id="34">
    <w:p w:rsidR="005835AF" w:rsidRPr="003B2B16" w14:paraId="456E5FF8" w14:textId="4F974276">
      <w:pPr>
        <w:pStyle w:val="FootnoteText"/>
      </w:pPr>
      <w:r>
        <w:rPr>
          <w:rStyle w:val="FootnoteReference"/>
        </w:rPr>
        <w:footnoteRef/>
      </w:r>
      <w:r>
        <w:t xml:space="preserve"> </w:t>
      </w:r>
      <w:r>
        <w:rPr>
          <w:i/>
          <w:iCs/>
        </w:rPr>
        <w:t>See</w:t>
      </w:r>
      <w:r>
        <w:t xml:space="preserve"> </w:t>
      </w:r>
      <w:r>
        <w:rPr>
          <w:i/>
          <w:iCs/>
        </w:rPr>
        <w:t xml:space="preserve">Telecommunications Relay Services and Speech-to-Speech Services </w:t>
      </w:r>
      <w:r w:rsidR="005172CD">
        <w:rPr>
          <w:i/>
          <w:iCs/>
        </w:rPr>
        <w:t xml:space="preserve">for Individuals </w:t>
      </w:r>
      <w:r w:rsidR="00C033E0">
        <w:rPr>
          <w:i/>
          <w:iCs/>
        </w:rPr>
        <w:t xml:space="preserve">with Hearing and Speech </w:t>
      </w:r>
      <w:r w:rsidR="001617D0">
        <w:rPr>
          <w:i/>
          <w:iCs/>
        </w:rPr>
        <w:t>Disabilities</w:t>
      </w:r>
      <w:r w:rsidR="00C033E0">
        <w:t xml:space="preserve">; </w:t>
      </w:r>
      <w:r w:rsidR="00C033E0">
        <w:rPr>
          <w:i/>
          <w:iCs/>
        </w:rPr>
        <w:t xml:space="preserve">Structure and Practices of the Video Relay Service </w:t>
      </w:r>
      <w:r w:rsidR="003B2B16">
        <w:rPr>
          <w:i/>
          <w:iCs/>
        </w:rPr>
        <w:t>P</w:t>
      </w:r>
      <w:r w:rsidR="00C033E0">
        <w:rPr>
          <w:i/>
          <w:iCs/>
        </w:rPr>
        <w:t>rogram</w:t>
      </w:r>
      <w:r w:rsidR="003B2B16">
        <w:t>, CG Docket No. 03-123 and 10-51</w:t>
      </w:r>
      <w:r w:rsidR="001617D0">
        <w:t xml:space="preserve">, Order, </w:t>
      </w:r>
      <w:r w:rsidR="00733C86">
        <w:t xml:space="preserve">29 FCC </w:t>
      </w:r>
      <w:r w:rsidR="00733C86">
        <w:t>Rcd</w:t>
      </w:r>
      <w:r w:rsidR="001617D0">
        <w:t xml:space="preserve"> </w:t>
      </w:r>
      <w:r w:rsidR="009C1C2A">
        <w:t xml:space="preserve">8044, </w:t>
      </w:r>
      <w:r w:rsidR="00D252A9">
        <w:t xml:space="preserve">8053, para. 23 (2014). </w:t>
      </w:r>
    </w:p>
  </w:footnote>
  <w:footnote w:id="35">
    <w:p w:rsidR="004254F2" w:rsidRPr="000533D6" w:rsidP="005D4E12" w14:paraId="0CDDD7A4" w14:textId="65A7AB23">
      <w:pPr>
        <w:pStyle w:val="FootnoteText"/>
      </w:pPr>
      <w:r>
        <w:rPr>
          <w:rStyle w:val="FootnoteReference"/>
        </w:rPr>
        <w:footnoteRef/>
      </w:r>
      <w:r>
        <w:t xml:space="preserve"> </w:t>
      </w:r>
      <w:r w:rsidR="00D252A9">
        <w:rPr>
          <w:i/>
          <w:iCs/>
        </w:rPr>
        <w:t>See</w:t>
      </w:r>
      <w:r w:rsidR="00D252A9">
        <w:t xml:space="preserve"> </w:t>
      </w:r>
      <w:r w:rsidR="003E70C7">
        <w:rPr>
          <w:i/>
          <w:iCs/>
        </w:rPr>
        <w:t>Telecommunications Relay Services and Speech-to-Speech Services for Individuals with Hearing and Speech Disabilities</w:t>
      </w:r>
      <w:r w:rsidR="003E70C7">
        <w:t xml:space="preserve">; </w:t>
      </w:r>
      <w:r w:rsidR="003E70C7">
        <w:rPr>
          <w:i/>
          <w:iCs/>
        </w:rPr>
        <w:t>Misuse of Internet Protocol (IP) Captioned Telephone Service</w:t>
      </w:r>
      <w:r w:rsidR="003E70C7">
        <w:t>,</w:t>
      </w:r>
      <w:r w:rsidR="003B16A9">
        <w:t xml:space="preserve"> CG Docket Nos. 03-123 and 13-24, 28 FCC </w:t>
      </w:r>
      <w:r w:rsidR="003B16A9">
        <w:t>Rcd</w:t>
      </w:r>
      <w:r w:rsidR="003B16A9">
        <w:t xml:space="preserve"> 707, n.</w:t>
      </w:r>
      <w:r w:rsidR="00480B73">
        <w:t>20 (2013) (discussin</w:t>
      </w:r>
      <w:r w:rsidR="00AB409F">
        <w:t xml:space="preserve">g that the Anti-Deficiency Act, 31 U.S.C. </w:t>
      </w:r>
      <w:r w:rsidR="005D4E12">
        <w:t>§ 1341(a)(1)(A), provides that an officer or employee of the federal government may not make or authorize an expenditure or obligation exceeding an amount available in an appropriation or fund for the expenditure</w:t>
      </w:r>
      <w:r w:rsidR="00F90755">
        <w:t xml:space="preserve"> </w:t>
      </w:r>
      <w:r w:rsidR="005D4E12">
        <w:t>or obligation).</w:t>
      </w:r>
      <w:r w:rsidR="002937A7">
        <w:t xml:space="preserve">  On a number of occasions</w:t>
      </w:r>
      <w:r w:rsidR="002C50B3">
        <w:t>, collection of a</w:t>
      </w:r>
      <w:r w:rsidR="00103C9B">
        <w:t xml:space="preserve"> payment reserve </w:t>
      </w:r>
      <w:r w:rsidR="00CD3230">
        <w:t xml:space="preserve">has proven to be </w:t>
      </w:r>
      <w:r w:rsidR="00103C9B">
        <w:t xml:space="preserve">necessary to </w:t>
      </w:r>
      <w:r w:rsidR="00CD3230">
        <w:t>ensure that TRS Fund obligations are paid</w:t>
      </w:r>
      <w:r w:rsidR="00C71555">
        <w:t xml:space="preserve">, i.e., </w:t>
      </w:r>
      <w:r w:rsidR="00E22F6F">
        <w:t>where</w:t>
      </w:r>
      <w:r w:rsidR="00103C9B">
        <w:t xml:space="preserve"> </w:t>
      </w:r>
      <w:r w:rsidR="002937A7">
        <w:t xml:space="preserve">the </w:t>
      </w:r>
      <w:r w:rsidR="007E203D">
        <w:t xml:space="preserve">Fund balance at the end of </w:t>
      </w:r>
      <w:r w:rsidR="00C71555">
        <w:t>a Fund Year</w:t>
      </w:r>
      <w:r w:rsidR="00723CBC">
        <w:t xml:space="preserve"> has </w:t>
      </w:r>
      <w:r w:rsidR="008D53F7">
        <w:t xml:space="preserve">been lower than the amount </w:t>
      </w:r>
      <w:r w:rsidR="00742BCF">
        <w:t xml:space="preserve">of </w:t>
      </w:r>
      <w:r w:rsidR="0036029B">
        <w:t>the payment</w:t>
      </w:r>
      <w:r w:rsidR="00742BCF">
        <w:t xml:space="preserve"> reserve </w:t>
      </w:r>
      <w:r w:rsidR="00D52354">
        <w:t>collected from contributors</w:t>
      </w:r>
      <w:r w:rsidR="000533D6">
        <w:t xml:space="preserve"> during that Fund Year</w:t>
      </w:r>
      <w:r w:rsidR="00D52354">
        <w:t>.</w:t>
      </w:r>
      <w:r w:rsidR="00796FFA">
        <w:t xml:space="preserve">  Absent the collection of a reserve</w:t>
      </w:r>
      <w:r w:rsidR="007466A4">
        <w:t xml:space="preserve"> in those years</w:t>
      </w:r>
      <w:r w:rsidR="00796FFA">
        <w:t>, the Fund would have been insufficient</w:t>
      </w:r>
      <w:r w:rsidR="00E70A16">
        <w:t>.</w:t>
      </w:r>
      <w:r w:rsidR="0067701E">
        <w:t xml:space="preserve">  </w:t>
      </w:r>
      <w:r w:rsidRPr="0067701E" w:rsidR="0067701E">
        <w:rPr>
          <w:i/>
          <w:iCs/>
        </w:rPr>
        <w:t>See, e.g.</w:t>
      </w:r>
      <w:r w:rsidR="0067701E">
        <w:t xml:space="preserve">, </w:t>
      </w:r>
      <w:r w:rsidRPr="002A4E3B" w:rsidR="002A4E3B">
        <w:rPr>
          <w:i/>
          <w:iCs/>
        </w:rPr>
        <w:t>Telecommunications Relay Services and Speech-to-Speech Services for Individuals with Hearing and Speech Disabilities; Structure and Practices of the Video Relay Service Program</w:t>
      </w:r>
      <w:r w:rsidR="000533D6">
        <w:t xml:space="preserve">, </w:t>
      </w:r>
      <w:r w:rsidR="00D13C9F">
        <w:t xml:space="preserve">Order, 38 FCC </w:t>
      </w:r>
      <w:r w:rsidR="00D13C9F">
        <w:t>Rcd</w:t>
      </w:r>
      <w:r w:rsidR="00D13C9F">
        <w:t xml:space="preserve"> 6058, </w:t>
      </w:r>
      <w:r w:rsidR="008A47AB">
        <w:t xml:space="preserve">6065-66, </w:t>
      </w:r>
      <w:r w:rsidR="000533D6">
        <w:t>para. 22</w:t>
      </w:r>
      <w:r w:rsidRPr="0036029B" w:rsidR="000533D6">
        <w:rPr>
          <w:rFonts w:ascii="TimesNewRomanPSMT" w:hAnsi="TimesNewRomanPSMT" w:cs="TimesNewRomanPSMT"/>
          <w:sz w:val="22"/>
          <w:szCs w:val="22"/>
        </w:rPr>
        <w:t xml:space="preserve"> </w:t>
      </w:r>
      <w:r w:rsidRPr="00FD75D9" w:rsidR="000533D6">
        <w:t xml:space="preserve">(adopting a payment </w:t>
      </w:r>
      <w:r w:rsidRPr="000533D6" w:rsidR="000533D6">
        <w:t>reserve of $306,929,538</w:t>
      </w:r>
      <w:r w:rsidR="000533D6">
        <w:t xml:space="preserve"> for Fund Year 2023-24); </w:t>
      </w:r>
      <w:r w:rsidRPr="005E092C" w:rsidR="005E092C">
        <w:rPr>
          <w:i/>
          <w:iCs/>
        </w:rPr>
        <w:t>Telecommunications Relay Services and Speech-to-Speech Services for Individuals with Hearing and Speech Disabilities</w:t>
      </w:r>
      <w:r w:rsidRPr="00A542ED" w:rsidR="005E092C">
        <w:t>;</w:t>
      </w:r>
      <w:r w:rsidRPr="005E092C" w:rsidR="005E092C">
        <w:rPr>
          <w:i/>
          <w:iCs/>
        </w:rPr>
        <w:t xml:space="preserve"> Structure and Practices of the Video Relay Service Program</w:t>
      </w:r>
      <w:r w:rsidR="005E092C">
        <w:t xml:space="preserve">, </w:t>
      </w:r>
      <w:r w:rsidR="00A23E83">
        <w:t>Order, 3</w:t>
      </w:r>
      <w:r w:rsidR="00DC1F51">
        <w:t>9</w:t>
      </w:r>
      <w:r w:rsidR="00A23E83">
        <w:t xml:space="preserve"> FCC </w:t>
      </w:r>
      <w:r w:rsidR="00A23E83">
        <w:t>Rcd</w:t>
      </w:r>
      <w:r w:rsidR="00A23E83">
        <w:t xml:space="preserve"> </w:t>
      </w:r>
      <w:r w:rsidR="00DC1F51">
        <w:t>6774</w:t>
      </w:r>
      <w:r w:rsidR="00A23E83">
        <w:t xml:space="preserve">, </w:t>
      </w:r>
      <w:r w:rsidR="00A2593E">
        <w:t>6780</w:t>
      </w:r>
      <w:r w:rsidR="00A23E83">
        <w:t xml:space="preserve"> </w:t>
      </w:r>
      <w:r w:rsidR="00615FFE">
        <w:t>, para. 19</w:t>
      </w:r>
      <w:r w:rsidR="00860484">
        <w:t xml:space="preserve"> (</w:t>
      </w:r>
      <w:r w:rsidR="00C072C6">
        <w:t xml:space="preserve">noting </w:t>
      </w:r>
      <w:r w:rsidR="001222D9">
        <w:t>an estimated</w:t>
      </w:r>
      <w:r w:rsidR="00860484">
        <w:t xml:space="preserve"> Fund balance of </w:t>
      </w:r>
      <w:r w:rsidR="00D85D41">
        <w:t>$200</w:t>
      </w:r>
      <w:r w:rsidR="00296C2E">
        <w:t>,000,000</w:t>
      </w:r>
      <w:r w:rsidR="00D85D41">
        <w:t xml:space="preserve"> remaining at the end of </w:t>
      </w:r>
      <w:r w:rsidR="002E5373">
        <w:t>Fund Year 202</w:t>
      </w:r>
      <w:r w:rsidR="00A22C27">
        <w:t>3-24</w:t>
      </w:r>
      <w:r w:rsidR="001222D9">
        <w:t>)</w:t>
      </w:r>
      <w:r w:rsidR="000533D6">
        <w:t>.</w:t>
      </w:r>
    </w:p>
  </w:footnote>
  <w:footnote w:id="36">
    <w:p w:rsidR="005E709D" w14:paraId="04576C04" w14:textId="56BD5F78">
      <w:pPr>
        <w:pStyle w:val="FootnoteText"/>
      </w:pPr>
      <w:r>
        <w:rPr>
          <w:rStyle w:val="FootnoteReference"/>
        </w:rPr>
        <w:footnoteRef/>
      </w:r>
      <w:r>
        <w:t xml:space="preserve"> </w:t>
      </w:r>
      <w:r w:rsidRPr="005E709D">
        <w:rPr>
          <w:i/>
          <w:iCs/>
        </w:rPr>
        <w:t>See</w:t>
      </w:r>
      <w:r w:rsidRPr="005E709D">
        <w:t xml:space="preserve"> 47 CFR § 64.604(c)(5)(iii)(B)</w:t>
      </w:r>
      <w:r>
        <w:t>.</w:t>
      </w:r>
    </w:p>
  </w:footnote>
  <w:footnote w:id="37">
    <w:p w:rsidR="004947B9" w:rsidRPr="00885D81" w:rsidP="004947B9" w14:paraId="00A06642" w14:textId="34CD1DFF">
      <w:pPr>
        <w:pStyle w:val="FootnoteText"/>
      </w:pPr>
      <w:r w:rsidRPr="00885D81">
        <w:rPr>
          <w:rStyle w:val="FootnoteReference"/>
        </w:rPr>
        <w:footnoteRef/>
      </w:r>
      <w:r w:rsidRPr="00885D81">
        <w:t xml:space="preserve"> </w:t>
      </w:r>
      <w:r>
        <w:t xml:space="preserve">2025 TRS Fund Report Supplement at 6, </w:t>
      </w:r>
      <w:r>
        <w:t>Exh</w:t>
      </w:r>
      <w:r>
        <w:t>. 2</w:t>
      </w:r>
      <w:r w:rsidRPr="00885D81">
        <w:t xml:space="preserve">. </w:t>
      </w:r>
    </w:p>
  </w:footnote>
  <w:footnote w:id="38">
    <w:p w:rsidR="004947B9" w:rsidRPr="00885D81" w:rsidP="004947B9" w14:paraId="247FAC0C" w14:textId="7FB2E77B">
      <w:pPr>
        <w:pStyle w:val="FootnoteText"/>
      </w:pPr>
      <w:r w:rsidRPr="00885D81">
        <w:rPr>
          <w:rStyle w:val="FootnoteReference"/>
        </w:rPr>
        <w:footnoteRef/>
      </w:r>
      <w:r w:rsidRPr="00885D81">
        <w:t xml:space="preserve"> 202</w:t>
      </w:r>
      <w:r>
        <w:t>5</w:t>
      </w:r>
      <w:r w:rsidRPr="00885D81">
        <w:t xml:space="preserve"> TRS Fund Report at </w:t>
      </w:r>
      <w:r>
        <w:t>22; 2025 TRS Fund Report Supplement</w:t>
      </w:r>
      <w:r w:rsidR="003F07B9">
        <w:t>,</w:t>
      </w:r>
      <w:r>
        <w:t xml:space="preserve"> </w:t>
      </w:r>
      <w:r>
        <w:t>Exh</w:t>
      </w:r>
      <w:r>
        <w:t>. 2 (updating the gross funding requirement)</w:t>
      </w:r>
      <w:r w:rsidRPr="00885D81">
        <w:t>.</w:t>
      </w:r>
      <w:r w:rsidRPr="00237EBF">
        <w:rPr>
          <w:highlight w:val="yellow"/>
        </w:rPr>
        <w:t xml:space="preserve"> </w:t>
      </w:r>
    </w:p>
  </w:footnote>
  <w:footnote w:id="39">
    <w:p w:rsidR="00F86F6D" w:rsidRPr="0012066C" w:rsidP="00F86F6D" w14:paraId="0F951642" w14:textId="38780038">
      <w:pPr>
        <w:pStyle w:val="FootnoteText"/>
      </w:pPr>
      <w:r>
        <w:rPr>
          <w:rStyle w:val="FootnoteReference"/>
        </w:rPr>
        <w:footnoteRef/>
      </w:r>
      <w:r>
        <w:t xml:space="preserve"> </w:t>
      </w:r>
      <w:r w:rsidRPr="00DD3CEF">
        <w:t>202</w:t>
      </w:r>
      <w:r w:rsidR="00940C08">
        <w:t>5</w:t>
      </w:r>
      <w:r w:rsidRPr="00DD3CEF">
        <w:t xml:space="preserve"> TRS Fund Report at </w:t>
      </w:r>
      <w:r w:rsidR="00940C08">
        <w:t>23-24</w:t>
      </w:r>
      <w:r w:rsidR="00C3236E">
        <w:t xml:space="preserve">; 2025 TRS Fund Report Supplement at </w:t>
      </w:r>
      <w:r w:rsidR="00FD7A48">
        <w:t xml:space="preserve">7-8, </w:t>
      </w:r>
      <w:r w:rsidR="00FD7A48">
        <w:t>Exh</w:t>
      </w:r>
      <w:r w:rsidR="00FD7A48">
        <w:t>. 2 (updating the contribution factors)</w:t>
      </w:r>
      <w:r w:rsidRPr="00DD3CEF">
        <w:t>.</w:t>
      </w:r>
      <w:r>
        <w:t xml:space="preserve">  </w:t>
      </w:r>
    </w:p>
  </w:footnote>
  <w:footnote w:id="40">
    <w:p w:rsidR="00F86F6D" w:rsidRPr="008605F3" w:rsidP="00F86F6D" w14:paraId="0608FDCC" w14:textId="781198BF">
      <w:pPr>
        <w:pStyle w:val="FootnoteText"/>
        <w:spacing w:before="120"/>
        <w:rPr>
          <w:highlight w:val="yellow"/>
        </w:rPr>
      </w:pPr>
      <w:r w:rsidRPr="008605F3">
        <w:rPr>
          <w:rStyle w:val="FootnoteReference"/>
        </w:rPr>
        <w:footnoteRef/>
      </w:r>
      <w:r w:rsidRPr="008605F3">
        <w:rPr>
          <w:i/>
        </w:rPr>
        <w:t xml:space="preserve"> </w:t>
      </w:r>
      <w:r w:rsidRPr="008605F3">
        <w:rPr>
          <w:iCs/>
        </w:rPr>
        <w:t>202</w:t>
      </w:r>
      <w:r w:rsidR="00940C08">
        <w:rPr>
          <w:iCs/>
        </w:rPr>
        <w:t>5</w:t>
      </w:r>
      <w:r w:rsidRPr="008605F3">
        <w:rPr>
          <w:iCs/>
        </w:rPr>
        <w:t xml:space="preserve"> TRS Fund Report </w:t>
      </w:r>
      <w:r>
        <w:rPr>
          <w:iCs/>
        </w:rPr>
        <w:t xml:space="preserve">at </w:t>
      </w:r>
      <w:r w:rsidR="00940C08">
        <w:rPr>
          <w:iCs/>
        </w:rPr>
        <w:t>23-24</w:t>
      </w:r>
      <w:r>
        <w:rPr>
          <w:iCs/>
        </w:rPr>
        <w:t>.</w:t>
      </w:r>
      <w:r w:rsidRPr="008605F3">
        <w:t xml:space="preserve">  </w:t>
      </w:r>
    </w:p>
  </w:footnote>
  <w:footnote w:id="41">
    <w:p w:rsidR="00C90FFC" w14:paraId="0A871227" w14:textId="5DB887F8">
      <w:pPr>
        <w:pStyle w:val="FootnoteText"/>
      </w:pPr>
      <w:r>
        <w:rPr>
          <w:rStyle w:val="FootnoteReference"/>
        </w:rPr>
        <w:footnoteRef/>
      </w:r>
      <w:r>
        <w:t xml:space="preserve"> Hamilton Comments at 6.  Hamilton also encourages the Commission to explore other methods of expanding the TRS contribution base generally to </w:t>
      </w:r>
      <w:r w:rsidR="00020F10">
        <w:t xml:space="preserve">continue keeping the contribution factors low.  </w:t>
      </w:r>
      <w:r w:rsidR="00020F10">
        <w:rPr>
          <w:i/>
          <w:iCs/>
        </w:rPr>
        <w:t>Id.</w:t>
      </w:r>
      <w:r w:rsidR="00020F1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5F5F5388" w14:textId="14780FDB">
    <w:pPr>
      <w:pStyle w:val="Header"/>
      <w:rPr>
        <w:b w:val="0"/>
      </w:rPr>
    </w:pPr>
    <w:r>
      <w:tab/>
      <w:t>Federal Communications Commission</w:t>
    </w:r>
    <w:r>
      <w:tab/>
    </w:r>
    <w:r w:rsidR="00853817">
      <w:t>DA 25-</w:t>
    </w:r>
    <w:r w:rsidR="00BC685C">
      <w:t>578</w:t>
    </w:r>
  </w:p>
  <w:p w:rsidR="00D25FB5" w14:paraId="67146EAE"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15E70718"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B29B666" w14:textId="7CBF0B71">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853817">
      <w:rPr>
        <w:spacing w:val="-2"/>
      </w:rPr>
      <w:t>DA 25-</w:t>
    </w:r>
    <w:r w:rsidR="00BC685C">
      <w:rPr>
        <w:spacing w:val="-2"/>
      </w:rPr>
      <w:t>578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444111677">
    <w:abstractNumId w:val="1"/>
  </w:num>
  <w:num w:numId="2" w16cid:durableId="413940013">
    <w:abstractNumId w:val="5"/>
  </w:num>
  <w:num w:numId="3" w16cid:durableId="936476043">
    <w:abstractNumId w:val="3"/>
  </w:num>
  <w:num w:numId="4" w16cid:durableId="248127425">
    <w:abstractNumId w:val="4"/>
  </w:num>
  <w:num w:numId="5" w16cid:durableId="1780371355">
    <w:abstractNumId w:val="2"/>
  </w:num>
  <w:num w:numId="6" w16cid:durableId="79799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formsDesig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97"/>
    <w:rsid w:val="00002F8A"/>
    <w:rsid w:val="00005A25"/>
    <w:rsid w:val="00011D70"/>
    <w:rsid w:val="00013859"/>
    <w:rsid w:val="00015F9C"/>
    <w:rsid w:val="00017346"/>
    <w:rsid w:val="00017B27"/>
    <w:rsid w:val="00020EEE"/>
    <w:rsid w:val="00020F10"/>
    <w:rsid w:val="00024331"/>
    <w:rsid w:val="00024818"/>
    <w:rsid w:val="00025D34"/>
    <w:rsid w:val="00026579"/>
    <w:rsid w:val="00027FC5"/>
    <w:rsid w:val="000328CA"/>
    <w:rsid w:val="00033117"/>
    <w:rsid w:val="000348C8"/>
    <w:rsid w:val="00034AD7"/>
    <w:rsid w:val="0003585F"/>
    <w:rsid w:val="00036039"/>
    <w:rsid w:val="00036242"/>
    <w:rsid w:val="00036EBC"/>
    <w:rsid w:val="00037F90"/>
    <w:rsid w:val="00043E13"/>
    <w:rsid w:val="00045F40"/>
    <w:rsid w:val="000470AB"/>
    <w:rsid w:val="000509FA"/>
    <w:rsid w:val="00051CA1"/>
    <w:rsid w:val="000533D6"/>
    <w:rsid w:val="00054577"/>
    <w:rsid w:val="00056C9D"/>
    <w:rsid w:val="00060A9B"/>
    <w:rsid w:val="0006309F"/>
    <w:rsid w:val="000657EA"/>
    <w:rsid w:val="000721D5"/>
    <w:rsid w:val="000736EE"/>
    <w:rsid w:val="00080C29"/>
    <w:rsid w:val="0008422F"/>
    <w:rsid w:val="000862AD"/>
    <w:rsid w:val="000866F6"/>
    <w:rsid w:val="000875BF"/>
    <w:rsid w:val="00092845"/>
    <w:rsid w:val="00092B32"/>
    <w:rsid w:val="00096D8C"/>
    <w:rsid w:val="00097492"/>
    <w:rsid w:val="000A1183"/>
    <w:rsid w:val="000A32FC"/>
    <w:rsid w:val="000A42E4"/>
    <w:rsid w:val="000A685B"/>
    <w:rsid w:val="000A7101"/>
    <w:rsid w:val="000B0784"/>
    <w:rsid w:val="000B3951"/>
    <w:rsid w:val="000B69E8"/>
    <w:rsid w:val="000B75B3"/>
    <w:rsid w:val="000C0B65"/>
    <w:rsid w:val="000C2B5B"/>
    <w:rsid w:val="000C2FB6"/>
    <w:rsid w:val="000C5EE8"/>
    <w:rsid w:val="000C68C3"/>
    <w:rsid w:val="000C6E38"/>
    <w:rsid w:val="000C7F62"/>
    <w:rsid w:val="000D09E6"/>
    <w:rsid w:val="000D5A3C"/>
    <w:rsid w:val="000E0390"/>
    <w:rsid w:val="000E05FE"/>
    <w:rsid w:val="000E261A"/>
    <w:rsid w:val="000E3D42"/>
    <w:rsid w:val="000E412C"/>
    <w:rsid w:val="000E4E46"/>
    <w:rsid w:val="000F3E26"/>
    <w:rsid w:val="000F4CB2"/>
    <w:rsid w:val="00100B52"/>
    <w:rsid w:val="00103C9B"/>
    <w:rsid w:val="0010502F"/>
    <w:rsid w:val="00111676"/>
    <w:rsid w:val="00111824"/>
    <w:rsid w:val="001144B6"/>
    <w:rsid w:val="0012066C"/>
    <w:rsid w:val="001222D9"/>
    <w:rsid w:val="00122753"/>
    <w:rsid w:val="00122BD5"/>
    <w:rsid w:val="00123814"/>
    <w:rsid w:val="00125745"/>
    <w:rsid w:val="00131836"/>
    <w:rsid w:val="00132309"/>
    <w:rsid w:val="00133E70"/>
    <w:rsid w:val="00133F79"/>
    <w:rsid w:val="00141D5F"/>
    <w:rsid w:val="00143984"/>
    <w:rsid w:val="001446AC"/>
    <w:rsid w:val="0014660E"/>
    <w:rsid w:val="00150669"/>
    <w:rsid w:val="001515F7"/>
    <w:rsid w:val="0015173A"/>
    <w:rsid w:val="001564E0"/>
    <w:rsid w:val="00161453"/>
    <w:rsid w:val="0016148B"/>
    <w:rsid w:val="001617D0"/>
    <w:rsid w:val="00163C75"/>
    <w:rsid w:val="00164F9B"/>
    <w:rsid w:val="001655ED"/>
    <w:rsid w:val="00165F34"/>
    <w:rsid w:val="00171E05"/>
    <w:rsid w:val="00172250"/>
    <w:rsid w:val="0017447A"/>
    <w:rsid w:val="00175546"/>
    <w:rsid w:val="00182CA7"/>
    <w:rsid w:val="0018300F"/>
    <w:rsid w:val="00186A34"/>
    <w:rsid w:val="00186CDF"/>
    <w:rsid w:val="001915B0"/>
    <w:rsid w:val="00194A66"/>
    <w:rsid w:val="00194BE2"/>
    <w:rsid w:val="001A54FC"/>
    <w:rsid w:val="001B14FF"/>
    <w:rsid w:val="001B22E2"/>
    <w:rsid w:val="001B4EEE"/>
    <w:rsid w:val="001B6265"/>
    <w:rsid w:val="001B6C63"/>
    <w:rsid w:val="001C0B9C"/>
    <w:rsid w:val="001C138F"/>
    <w:rsid w:val="001C4D67"/>
    <w:rsid w:val="001C537F"/>
    <w:rsid w:val="001C7FC8"/>
    <w:rsid w:val="001D02BD"/>
    <w:rsid w:val="001D0AFC"/>
    <w:rsid w:val="001D0E0D"/>
    <w:rsid w:val="001D1AC6"/>
    <w:rsid w:val="001D63E1"/>
    <w:rsid w:val="001D6BCF"/>
    <w:rsid w:val="001D6CA5"/>
    <w:rsid w:val="001E01CA"/>
    <w:rsid w:val="001F2C0A"/>
    <w:rsid w:val="001F328B"/>
    <w:rsid w:val="001F4171"/>
    <w:rsid w:val="001F5571"/>
    <w:rsid w:val="001F604A"/>
    <w:rsid w:val="00201C1C"/>
    <w:rsid w:val="00202AE2"/>
    <w:rsid w:val="00211BD6"/>
    <w:rsid w:val="0021345C"/>
    <w:rsid w:val="00215E90"/>
    <w:rsid w:val="0022130B"/>
    <w:rsid w:val="00221A5E"/>
    <w:rsid w:val="00222670"/>
    <w:rsid w:val="00224EE2"/>
    <w:rsid w:val="0022688C"/>
    <w:rsid w:val="00226EEC"/>
    <w:rsid w:val="002300EC"/>
    <w:rsid w:val="00230EC0"/>
    <w:rsid w:val="00237561"/>
    <w:rsid w:val="00237EBF"/>
    <w:rsid w:val="00241E08"/>
    <w:rsid w:val="0025359A"/>
    <w:rsid w:val="002550B0"/>
    <w:rsid w:val="00260CA0"/>
    <w:rsid w:val="00261903"/>
    <w:rsid w:val="0026256B"/>
    <w:rsid w:val="00262685"/>
    <w:rsid w:val="002630E1"/>
    <w:rsid w:val="002632EA"/>
    <w:rsid w:val="002642A8"/>
    <w:rsid w:val="00265E41"/>
    <w:rsid w:val="002667C1"/>
    <w:rsid w:val="00267F9E"/>
    <w:rsid w:val="0027167F"/>
    <w:rsid w:val="00275452"/>
    <w:rsid w:val="002756B1"/>
    <w:rsid w:val="00275CF5"/>
    <w:rsid w:val="0028301F"/>
    <w:rsid w:val="00285017"/>
    <w:rsid w:val="00286FD8"/>
    <w:rsid w:val="00287855"/>
    <w:rsid w:val="00290708"/>
    <w:rsid w:val="002908FB"/>
    <w:rsid w:val="00290A30"/>
    <w:rsid w:val="00290D23"/>
    <w:rsid w:val="002937A7"/>
    <w:rsid w:val="00293898"/>
    <w:rsid w:val="002942A7"/>
    <w:rsid w:val="00296C2E"/>
    <w:rsid w:val="00297DBA"/>
    <w:rsid w:val="002A0AA4"/>
    <w:rsid w:val="002A2D2E"/>
    <w:rsid w:val="002A4D49"/>
    <w:rsid w:val="002A4E3B"/>
    <w:rsid w:val="002B6445"/>
    <w:rsid w:val="002B7666"/>
    <w:rsid w:val="002C00E8"/>
    <w:rsid w:val="002C3785"/>
    <w:rsid w:val="002C3AC8"/>
    <w:rsid w:val="002C50B3"/>
    <w:rsid w:val="002C5130"/>
    <w:rsid w:val="002C6E27"/>
    <w:rsid w:val="002D0E87"/>
    <w:rsid w:val="002D4CBD"/>
    <w:rsid w:val="002E17A7"/>
    <w:rsid w:val="002E1B8A"/>
    <w:rsid w:val="002E5373"/>
    <w:rsid w:val="002F40BE"/>
    <w:rsid w:val="002F520E"/>
    <w:rsid w:val="00300169"/>
    <w:rsid w:val="00301BBF"/>
    <w:rsid w:val="00304025"/>
    <w:rsid w:val="00312BB6"/>
    <w:rsid w:val="00312E7E"/>
    <w:rsid w:val="003136F8"/>
    <w:rsid w:val="00313C83"/>
    <w:rsid w:val="0031532C"/>
    <w:rsid w:val="00320303"/>
    <w:rsid w:val="00325363"/>
    <w:rsid w:val="00333349"/>
    <w:rsid w:val="003346FF"/>
    <w:rsid w:val="003420B9"/>
    <w:rsid w:val="00342D40"/>
    <w:rsid w:val="00343749"/>
    <w:rsid w:val="003439F3"/>
    <w:rsid w:val="00344725"/>
    <w:rsid w:val="0034495D"/>
    <w:rsid w:val="00346DBE"/>
    <w:rsid w:val="003478CA"/>
    <w:rsid w:val="00347DD4"/>
    <w:rsid w:val="003514BA"/>
    <w:rsid w:val="00353C31"/>
    <w:rsid w:val="00353D5C"/>
    <w:rsid w:val="00355D91"/>
    <w:rsid w:val="0036029B"/>
    <w:rsid w:val="003619CC"/>
    <w:rsid w:val="00361A4A"/>
    <w:rsid w:val="00363C8F"/>
    <w:rsid w:val="00365133"/>
    <w:rsid w:val="003660ED"/>
    <w:rsid w:val="003701C4"/>
    <w:rsid w:val="00370D5F"/>
    <w:rsid w:val="00376E8C"/>
    <w:rsid w:val="0037727E"/>
    <w:rsid w:val="00393D6E"/>
    <w:rsid w:val="003A22E8"/>
    <w:rsid w:val="003A4C49"/>
    <w:rsid w:val="003B0550"/>
    <w:rsid w:val="003B16A9"/>
    <w:rsid w:val="003B2B16"/>
    <w:rsid w:val="003B3DED"/>
    <w:rsid w:val="003B4D41"/>
    <w:rsid w:val="003B694F"/>
    <w:rsid w:val="003C5BFF"/>
    <w:rsid w:val="003C6B46"/>
    <w:rsid w:val="003D22E8"/>
    <w:rsid w:val="003E30D4"/>
    <w:rsid w:val="003E70C7"/>
    <w:rsid w:val="003F07B9"/>
    <w:rsid w:val="003F0D65"/>
    <w:rsid w:val="003F1195"/>
    <w:rsid w:val="003F171C"/>
    <w:rsid w:val="003F287C"/>
    <w:rsid w:val="003F6F0D"/>
    <w:rsid w:val="004014F1"/>
    <w:rsid w:val="00412368"/>
    <w:rsid w:val="00412FC5"/>
    <w:rsid w:val="00415987"/>
    <w:rsid w:val="0042015A"/>
    <w:rsid w:val="004221C1"/>
    <w:rsid w:val="00422276"/>
    <w:rsid w:val="004242F1"/>
    <w:rsid w:val="004254F2"/>
    <w:rsid w:val="00427B13"/>
    <w:rsid w:val="004326D8"/>
    <w:rsid w:val="004330D1"/>
    <w:rsid w:val="00433524"/>
    <w:rsid w:val="0043381E"/>
    <w:rsid w:val="00442A78"/>
    <w:rsid w:val="00445A00"/>
    <w:rsid w:val="00445E5B"/>
    <w:rsid w:val="00447B83"/>
    <w:rsid w:val="00451B0F"/>
    <w:rsid w:val="00454A7E"/>
    <w:rsid w:val="00457DD1"/>
    <w:rsid w:val="00460532"/>
    <w:rsid w:val="00461A7E"/>
    <w:rsid w:val="00462CBA"/>
    <w:rsid w:val="004646A3"/>
    <w:rsid w:val="00465F72"/>
    <w:rsid w:val="004724FB"/>
    <w:rsid w:val="00475FE4"/>
    <w:rsid w:val="0047727E"/>
    <w:rsid w:val="00480107"/>
    <w:rsid w:val="00480B73"/>
    <w:rsid w:val="00486363"/>
    <w:rsid w:val="00487DE6"/>
    <w:rsid w:val="00491021"/>
    <w:rsid w:val="004947B9"/>
    <w:rsid w:val="00496064"/>
    <w:rsid w:val="004A1840"/>
    <w:rsid w:val="004A542B"/>
    <w:rsid w:val="004B2040"/>
    <w:rsid w:val="004B6A6E"/>
    <w:rsid w:val="004C2EE3"/>
    <w:rsid w:val="004C3046"/>
    <w:rsid w:val="004C315D"/>
    <w:rsid w:val="004C66E6"/>
    <w:rsid w:val="004D1075"/>
    <w:rsid w:val="004D22BE"/>
    <w:rsid w:val="004D238B"/>
    <w:rsid w:val="004E0008"/>
    <w:rsid w:val="004E0068"/>
    <w:rsid w:val="004E0C30"/>
    <w:rsid w:val="004E21C3"/>
    <w:rsid w:val="004E465B"/>
    <w:rsid w:val="004E4A22"/>
    <w:rsid w:val="004E5BFB"/>
    <w:rsid w:val="004E6DFE"/>
    <w:rsid w:val="004F4CD1"/>
    <w:rsid w:val="004F6676"/>
    <w:rsid w:val="005008AC"/>
    <w:rsid w:val="005014D8"/>
    <w:rsid w:val="0050383E"/>
    <w:rsid w:val="00504231"/>
    <w:rsid w:val="005054EC"/>
    <w:rsid w:val="00510B3E"/>
    <w:rsid w:val="00511968"/>
    <w:rsid w:val="005172CD"/>
    <w:rsid w:val="00522D2E"/>
    <w:rsid w:val="00523416"/>
    <w:rsid w:val="005373CE"/>
    <w:rsid w:val="005424B2"/>
    <w:rsid w:val="005479D0"/>
    <w:rsid w:val="00552187"/>
    <w:rsid w:val="00554FE7"/>
    <w:rsid w:val="0055614C"/>
    <w:rsid w:val="005600E0"/>
    <w:rsid w:val="00560540"/>
    <w:rsid w:val="005617E9"/>
    <w:rsid w:val="00562C84"/>
    <w:rsid w:val="00563172"/>
    <w:rsid w:val="00566D06"/>
    <w:rsid w:val="00570342"/>
    <w:rsid w:val="00570CBA"/>
    <w:rsid w:val="00576D14"/>
    <w:rsid w:val="00580C9B"/>
    <w:rsid w:val="00581674"/>
    <w:rsid w:val="005835AF"/>
    <w:rsid w:val="00583D4E"/>
    <w:rsid w:val="00583FB0"/>
    <w:rsid w:val="0058766C"/>
    <w:rsid w:val="005915C1"/>
    <w:rsid w:val="00596654"/>
    <w:rsid w:val="0059767E"/>
    <w:rsid w:val="005A0F91"/>
    <w:rsid w:val="005A1D44"/>
    <w:rsid w:val="005B1C69"/>
    <w:rsid w:val="005C447A"/>
    <w:rsid w:val="005C52B4"/>
    <w:rsid w:val="005C5594"/>
    <w:rsid w:val="005C587C"/>
    <w:rsid w:val="005C6BCC"/>
    <w:rsid w:val="005D4E12"/>
    <w:rsid w:val="005E092C"/>
    <w:rsid w:val="005E093F"/>
    <w:rsid w:val="005E14C2"/>
    <w:rsid w:val="005E2D1F"/>
    <w:rsid w:val="005E42CD"/>
    <w:rsid w:val="005E4518"/>
    <w:rsid w:val="005E4DEF"/>
    <w:rsid w:val="005E5F08"/>
    <w:rsid w:val="005E709D"/>
    <w:rsid w:val="005F0F98"/>
    <w:rsid w:val="005F25E5"/>
    <w:rsid w:val="005F39A4"/>
    <w:rsid w:val="006058CA"/>
    <w:rsid w:val="00607BA5"/>
    <w:rsid w:val="0061180A"/>
    <w:rsid w:val="00611E81"/>
    <w:rsid w:val="0061280C"/>
    <w:rsid w:val="006135DE"/>
    <w:rsid w:val="00615CB5"/>
    <w:rsid w:val="00615FFE"/>
    <w:rsid w:val="006162C1"/>
    <w:rsid w:val="006167FE"/>
    <w:rsid w:val="006172F4"/>
    <w:rsid w:val="00620868"/>
    <w:rsid w:val="00622600"/>
    <w:rsid w:val="00623770"/>
    <w:rsid w:val="00626EB6"/>
    <w:rsid w:val="00636BD4"/>
    <w:rsid w:val="00642544"/>
    <w:rsid w:val="00642603"/>
    <w:rsid w:val="0064387F"/>
    <w:rsid w:val="0064472D"/>
    <w:rsid w:val="00644BBB"/>
    <w:rsid w:val="00651623"/>
    <w:rsid w:val="00651988"/>
    <w:rsid w:val="0065231E"/>
    <w:rsid w:val="00653F10"/>
    <w:rsid w:val="00655207"/>
    <w:rsid w:val="00655D03"/>
    <w:rsid w:val="006569CB"/>
    <w:rsid w:val="00660E18"/>
    <w:rsid w:val="00665114"/>
    <w:rsid w:val="0067701E"/>
    <w:rsid w:val="00680EE9"/>
    <w:rsid w:val="006813E5"/>
    <w:rsid w:val="00683388"/>
    <w:rsid w:val="00683F84"/>
    <w:rsid w:val="00685601"/>
    <w:rsid w:val="006874D0"/>
    <w:rsid w:val="006908C8"/>
    <w:rsid w:val="006A122B"/>
    <w:rsid w:val="006A2663"/>
    <w:rsid w:val="006A3891"/>
    <w:rsid w:val="006A478A"/>
    <w:rsid w:val="006A4D1F"/>
    <w:rsid w:val="006A6A81"/>
    <w:rsid w:val="006B2BF5"/>
    <w:rsid w:val="006B32DA"/>
    <w:rsid w:val="006C0AC3"/>
    <w:rsid w:val="006C0FDF"/>
    <w:rsid w:val="006C543C"/>
    <w:rsid w:val="006C6558"/>
    <w:rsid w:val="006C6879"/>
    <w:rsid w:val="006D0DE4"/>
    <w:rsid w:val="006D28E5"/>
    <w:rsid w:val="006D7D56"/>
    <w:rsid w:val="006E745A"/>
    <w:rsid w:val="006F4D26"/>
    <w:rsid w:val="006F7393"/>
    <w:rsid w:val="00700EAC"/>
    <w:rsid w:val="0070224F"/>
    <w:rsid w:val="007048AD"/>
    <w:rsid w:val="00707202"/>
    <w:rsid w:val="00707F8A"/>
    <w:rsid w:val="007107B8"/>
    <w:rsid w:val="007115F7"/>
    <w:rsid w:val="007160B1"/>
    <w:rsid w:val="00716455"/>
    <w:rsid w:val="00717115"/>
    <w:rsid w:val="00717C57"/>
    <w:rsid w:val="00721E46"/>
    <w:rsid w:val="00721ECE"/>
    <w:rsid w:val="00722DCE"/>
    <w:rsid w:val="00723224"/>
    <w:rsid w:val="00723CBC"/>
    <w:rsid w:val="007312A6"/>
    <w:rsid w:val="0073258F"/>
    <w:rsid w:val="00733438"/>
    <w:rsid w:val="007334D5"/>
    <w:rsid w:val="00733C86"/>
    <w:rsid w:val="007353A5"/>
    <w:rsid w:val="007372B2"/>
    <w:rsid w:val="00742BCF"/>
    <w:rsid w:val="007466A4"/>
    <w:rsid w:val="00747C66"/>
    <w:rsid w:val="007525A9"/>
    <w:rsid w:val="007561D7"/>
    <w:rsid w:val="00757C2B"/>
    <w:rsid w:val="007621F0"/>
    <w:rsid w:val="0076464E"/>
    <w:rsid w:val="0076698F"/>
    <w:rsid w:val="00766C8A"/>
    <w:rsid w:val="0076704F"/>
    <w:rsid w:val="007707FB"/>
    <w:rsid w:val="00774F7B"/>
    <w:rsid w:val="00775541"/>
    <w:rsid w:val="00777E5E"/>
    <w:rsid w:val="0078350F"/>
    <w:rsid w:val="00785689"/>
    <w:rsid w:val="00786436"/>
    <w:rsid w:val="007950FF"/>
    <w:rsid w:val="00796FFA"/>
    <w:rsid w:val="0079754B"/>
    <w:rsid w:val="00797BB3"/>
    <w:rsid w:val="007A1A65"/>
    <w:rsid w:val="007A1E6D"/>
    <w:rsid w:val="007A7427"/>
    <w:rsid w:val="007A7C84"/>
    <w:rsid w:val="007B073C"/>
    <w:rsid w:val="007B0EB2"/>
    <w:rsid w:val="007B6CDB"/>
    <w:rsid w:val="007C400B"/>
    <w:rsid w:val="007C40C0"/>
    <w:rsid w:val="007C47F9"/>
    <w:rsid w:val="007D3B16"/>
    <w:rsid w:val="007D5E16"/>
    <w:rsid w:val="007D7D13"/>
    <w:rsid w:val="007E0B6D"/>
    <w:rsid w:val="007E1320"/>
    <w:rsid w:val="007E203D"/>
    <w:rsid w:val="007E3F4B"/>
    <w:rsid w:val="007E5215"/>
    <w:rsid w:val="007E576E"/>
    <w:rsid w:val="007E5F7F"/>
    <w:rsid w:val="007E74A5"/>
    <w:rsid w:val="007E7F12"/>
    <w:rsid w:val="007F1BC2"/>
    <w:rsid w:val="007F34C2"/>
    <w:rsid w:val="007F36C9"/>
    <w:rsid w:val="00801C71"/>
    <w:rsid w:val="00803C1F"/>
    <w:rsid w:val="0080485D"/>
    <w:rsid w:val="0080661E"/>
    <w:rsid w:val="00806876"/>
    <w:rsid w:val="00807382"/>
    <w:rsid w:val="00810B6F"/>
    <w:rsid w:val="00811331"/>
    <w:rsid w:val="008158DD"/>
    <w:rsid w:val="00815B00"/>
    <w:rsid w:val="00816A09"/>
    <w:rsid w:val="00820D04"/>
    <w:rsid w:val="00822CE0"/>
    <w:rsid w:val="008251F1"/>
    <w:rsid w:val="00825B8C"/>
    <w:rsid w:val="00831FE4"/>
    <w:rsid w:val="00837F30"/>
    <w:rsid w:val="00841AB1"/>
    <w:rsid w:val="00842599"/>
    <w:rsid w:val="008449B6"/>
    <w:rsid w:val="0084545F"/>
    <w:rsid w:val="00846F28"/>
    <w:rsid w:val="00853817"/>
    <w:rsid w:val="00856A1B"/>
    <w:rsid w:val="00857CA3"/>
    <w:rsid w:val="00860484"/>
    <w:rsid w:val="008605F3"/>
    <w:rsid w:val="00861A83"/>
    <w:rsid w:val="00871204"/>
    <w:rsid w:val="008713DD"/>
    <w:rsid w:val="0087583C"/>
    <w:rsid w:val="00880DE1"/>
    <w:rsid w:val="00881BB4"/>
    <w:rsid w:val="00883551"/>
    <w:rsid w:val="00885254"/>
    <w:rsid w:val="00885D81"/>
    <w:rsid w:val="00887F34"/>
    <w:rsid w:val="00892487"/>
    <w:rsid w:val="00892BCE"/>
    <w:rsid w:val="00897889"/>
    <w:rsid w:val="008A47AB"/>
    <w:rsid w:val="008A4F18"/>
    <w:rsid w:val="008A51AC"/>
    <w:rsid w:val="008A5AC5"/>
    <w:rsid w:val="008B7DD8"/>
    <w:rsid w:val="008C22F9"/>
    <w:rsid w:val="008C2E62"/>
    <w:rsid w:val="008C3FA7"/>
    <w:rsid w:val="008C68F1"/>
    <w:rsid w:val="008D0179"/>
    <w:rsid w:val="008D324A"/>
    <w:rsid w:val="008D53F7"/>
    <w:rsid w:val="008D6917"/>
    <w:rsid w:val="008E12C2"/>
    <w:rsid w:val="008E3DBB"/>
    <w:rsid w:val="008E56AF"/>
    <w:rsid w:val="008F1B44"/>
    <w:rsid w:val="008F712B"/>
    <w:rsid w:val="00900C7D"/>
    <w:rsid w:val="00900C87"/>
    <w:rsid w:val="0090293C"/>
    <w:rsid w:val="00903850"/>
    <w:rsid w:val="00904654"/>
    <w:rsid w:val="00911A78"/>
    <w:rsid w:val="009120DB"/>
    <w:rsid w:val="00912514"/>
    <w:rsid w:val="00914C7B"/>
    <w:rsid w:val="00915926"/>
    <w:rsid w:val="0091768D"/>
    <w:rsid w:val="00921803"/>
    <w:rsid w:val="00923558"/>
    <w:rsid w:val="00924F9C"/>
    <w:rsid w:val="009254BF"/>
    <w:rsid w:val="00925BA5"/>
    <w:rsid w:val="00926503"/>
    <w:rsid w:val="009278EA"/>
    <w:rsid w:val="009279BA"/>
    <w:rsid w:val="00933786"/>
    <w:rsid w:val="00933B66"/>
    <w:rsid w:val="0093729B"/>
    <w:rsid w:val="00937576"/>
    <w:rsid w:val="00937E16"/>
    <w:rsid w:val="00940C08"/>
    <w:rsid w:val="00950BBD"/>
    <w:rsid w:val="0095123B"/>
    <w:rsid w:val="009515DE"/>
    <w:rsid w:val="00960DEB"/>
    <w:rsid w:val="0096271B"/>
    <w:rsid w:val="00962F7B"/>
    <w:rsid w:val="00963706"/>
    <w:rsid w:val="00966EB0"/>
    <w:rsid w:val="009726D8"/>
    <w:rsid w:val="00973654"/>
    <w:rsid w:val="0098237D"/>
    <w:rsid w:val="00986444"/>
    <w:rsid w:val="009929E0"/>
    <w:rsid w:val="00994699"/>
    <w:rsid w:val="00996DE0"/>
    <w:rsid w:val="009A05E9"/>
    <w:rsid w:val="009A6DE4"/>
    <w:rsid w:val="009B43BE"/>
    <w:rsid w:val="009B658C"/>
    <w:rsid w:val="009B7FE0"/>
    <w:rsid w:val="009C18D4"/>
    <w:rsid w:val="009C1C2A"/>
    <w:rsid w:val="009C2A8F"/>
    <w:rsid w:val="009C2BC3"/>
    <w:rsid w:val="009C2C78"/>
    <w:rsid w:val="009C5628"/>
    <w:rsid w:val="009C5EA6"/>
    <w:rsid w:val="009D203F"/>
    <w:rsid w:val="009D33CC"/>
    <w:rsid w:val="009D7308"/>
    <w:rsid w:val="009E0A2D"/>
    <w:rsid w:val="009E2947"/>
    <w:rsid w:val="009E3CA7"/>
    <w:rsid w:val="009F769C"/>
    <w:rsid w:val="009F76DB"/>
    <w:rsid w:val="00A054F7"/>
    <w:rsid w:val="00A0759C"/>
    <w:rsid w:val="00A10ACE"/>
    <w:rsid w:val="00A11BAB"/>
    <w:rsid w:val="00A1200C"/>
    <w:rsid w:val="00A12BA6"/>
    <w:rsid w:val="00A21349"/>
    <w:rsid w:val="00A216A8"/>
    <w:rsid w:val="00A22C27"/>
    <w:rsid w:val="00A23E83"/>
    <w:rsid w:val="00A252EE"/>
    <w:rsid w:val="00A2593E"/>
    <w:rsid w:val="00A31830"/>
    <w:rsid w:val="00A31E7B"/>
    <w:rsid w:val="00A32C3B"/>
    <w:rsid w:val="00A339CD"/>
    <w:rsid w:val="00A3512F"/>
    <w:rsid w:val="00A35530"/>
    <w:rsid w:val="00A358D5"/>
    <w:rsid w:val="00A42652"/>
    <w:rsid w:val="00A42F02"/>
    <w:rsid w:val="00A43822"/>
    <w:rsid w:val="00A43CF7"/>
    <w:rsid w:val="00A45F4F"/>
    <w:rsid w:val="00A463BC"/>
    <w:rsid w:val="00A542ED"/>
    <w:rsid w:val="00A574E7"/>
    <w:rsid w:val="00A600A9"/>
    <w:rsid w:val="00A604F3"/>
    <w:rsid w:val="00A60DEC"/>
    <w:rsid w:val="00A61687"/>
    <w:rsid w:val="00A63CE7"/>
    <w:rsid w:val="00A70FFA"/>
    <w:rsid w:val="00A75E2D"/>
    <w:rsid w:val="00A80C8C"/>
    <w:rsid w:val="00A81DCF"/>
    <w:rsid w:val="00A82218"/>
    <w:rsid w:val="00A84058"/>
    <w:rsid w:val="00A911DE"/>
    <w:rsid w:val="00A93822"/>
    <w:rsid w:val="00A94BA4"/>
    <w:rsid w:val="00AA1451"/>
    <w:rsid w:val="00AA1BCD"/>
    <w:rsid w:val="00AA3E10"/>
    <w:rsid w:val="00AA4515"/>
    <w:rsid w:val="00AA5301"/>
    <w:rsid w:val="00AA5501"/>
    <w:rsid w:val="00AA55B7"/>
    <w:rsid w:val="00AA5B9E"/>
    <w:rsid w:val="00AB1221"/>
    <w:rsid w:val="00AB2407"/>
    <w:rsid w:val="00AB409F"/>
    <w:rsid w:val="00AB53DF"/>
    <w:rsid w:val="00AB5888"/>
    <w:rsid w:val="00AB7397"/>
    <w:rsid w:val="00AC2751"/>
    <w:rsid w:val="00AC277A"/>
    <w:rsid w:val="00AC434A"/>
    <w:rsid w:val="00AC4AF7"/>
    <w:rsid w:val="00AC5991"/>
    <w:rsid w:val="00AC660D"/>
    <w:rsid w:val="00AD0027"/>
    <w:rsid w:val="00AD0385"/>
    <w:rsid w:val="00AD30C4"/>
    <w:rsid w:val="00AD5862"/>
    <w:rsid w:val="00AD630F"/>
    <w:rsid w:val="00AD66D0"/>
    <w:rsid w:val="00AE041B"/>
    <w:rsid w:val="00AE5388"/>
    <w:rsid w:val="00AE7427"/>
    <w:rsid w:val="00AF04F0"/>
    <w:rsid w:val="00AF0858"/>
    <w:rsid w:val="00AF0F6C"/>
    <w:rsid w:val="00AF19EB"/>
    <w:rsid w:val="00AF23A4"/>
    <w:rsid w:val="00AF571E"/>
    <w:rsid w:val="00AF6C6C"/>
    <w:rsid w:val="00B07E5C"/>
    <w:rsid w:val="00B12795"/>
    <w:rsid w:val="00B149F5"/>
    <w:rsid w:val="00B16906"/>
    <w:rsid w:val="00B20929"/>
    <w:rsid w:val="00B22166"/>
    <w:rsid w:val="00B228CB"/>
    <w:rsid w:val="00B23A8B"/>
    <w:rsid w:val="00B25137"/>
    <w:rsid w:val="00B3017A"/>
    <w:rsid w:val="00B34745"/>
    <w:rsid w:val="00B35C1A"/>
    <w:rsid w:val="00B430A8"/>
    <w:rsid w:val="00B430DE"/>
    <w:rsid w:val="00B4482B"/>
    <w:rsid w:val="00B4484D"/>
    <w:rsid w:val="00B4507B"/>
    <w:rsid w:val="00B45B39"/>
    <w:rsid w:val="00B5201E"/>
    <w:rsid w:val="00B6357C"/>
    <w:rsid w:val="00B667CE"/>
    <w:rsid w:val="00B74FD4"/>
    <w:rsid w:val="00B77944"/>
    <w:rsid w:val="00B811F7"/>
    <w:rsid w:val="00B81CAB"/>
    <w:rsid w:val="00B843C6"/>
    <w:rsid w:val="00B86E3C"/>
    <w:rsid w:val="00B87880"/>
    <w:rsid w:val="00B90402"/>
    <w:rsid w:val="00B94B19"/>
    <w:rsid w:val="00B9544C"/>
    <w:rsid w:val="00B95719"/>
    <w:rsid w:val="00B96890"/>
    <w:rsid w:val="00BA1298"/>
    <w:rsid w:val="00BA2A24"/>
    <w:rsid w:val="00BA2F56"/>
    <w:rsid w:val="00BA51A7"/>
    <w:rsid w:val="00BA5DC6"/>
    <w:rsid w:val="00BA6196"/>
    <w:rsid w:val="00BA7715"/>
    <w:rsid w:val="00BB116D"/>
    <w:rsid w:val="00BB5F50"/>
    <w:rsid w:val="00BC0C02"/>
    <w:rsid w:val="00BC15EF"/>
    <w:rsid w:val="00BC3FAC"/>
    <w:rsid w:val="00BC4B8C"/>
    <w:rsid w:val="00BC5B1E"/>
    <w:rsid w:val="00BC685C"/>
    <w:rsid w:val="00BC6D8C"/>
    <w:rsid w:val="00BC77A3"/>
    <w:rsid w:val="00BD238D"/>
    <w:rsid w:val="00BD29D4"/>
    <w:rsid w:val="00BD31F6"/>
    <w:rsid w:val="00BD52C4"/>
    <w:rsid w:val="00BE3464"/>
    <w:rsid w:val="00BE5926"/>
    <w:rsid w:val="00BE5C4A"/>
    <w:rsid w:val="00BE7E79"/>
    <w:rsid w:val="00BF0CA2"/>
    <w:rsid w:val="00BF10CC"/>
    <w:rsid w:val="00BF5466"/>
    <w:rsid w:val="00BF55B7"/>
    <w:rsid w:val="00BF6DA5"/>
    <w:rsid w:val="00BF7827"/>
    <w:rsid w:val="00C033E0"/>
    <w:rsid w:val="00C041C4"/>
    <w:rsid w:val="00C0635F"/>
    <w:rsid w:val="00C067D6"/>
    <w:rsid w:val="00C072C6"/>
    <w:rsid w:val="00C169BB"/>
    <w:rsid w:val="00C179D6"/>
    <w:rsid w:val="00C20EA9"/>
    <w:rsid w:val="00C228A2"/>
    <w:rsid w:val="00C22C99"/>
    <w:rsid w:val="00C22E74"/>
    <w:rsid w:val="00C25ADE"/>
    <w:rsid w:val="00C3236E"/>
    <w:rsid w:val="00C33EA1"/>
    <w:rsid w:val="00C34006"/>
    <w:rsid w:val="00C343AC"/>
    <w:rsid w:val="00C360EA"/>
    <w:rsid w:val="00C36B4C"/>
    <w:rsid w:val="00C36EAF"/>
    <w:rsid w:val="00C40E58"/>
    <w:rsid w:val="00C426B1"/>
    <w:rsid w:val="00C4775E"/>
    <w:rsid w:val="00C47AB9"/>
    <w:rsid w:val="00C5196A"/>
    <w:rsid w:val="00C51E0B"/>
    <w:rsid w:val="00C5351E"/>
    <w:rsid w:val="00C63AE6"/>
    <w:rsid w:val="00C66160"/>
    <w:rsid w:val="00C71555"/>
    <w:rsid w:val="00C721AC"/>
    <w:rsid w:val="00C74C5E"/>
    <w:rsid w:val="00C76A79"/>
    <w:rsid w:val="00C8039C"/>
    <w:rsid w:val="00C81156"/>
    <w:rsid w:val="00C87FC2"/>
    <w:rsid w:val="00C90C09"/>
    <w:rsid w:val="00C90D6A"/>
    <w:rsid w:val="00C90EDE"/>
    <w:rsid w:val="00C90FFC"/>
    <w:rsid w:val="00C93085"/>
    <w:rsid w:val="00C964D8"/>
    <w:rsid w:val="00CA2354"/>
    <w:rsid w:val="00CA247E"/>
    <w:rsid w:val="00CA399A"/>
    <w:rsid w:val="00CA3A95"/>
    <w:rsid w:val="00CA42BE"/>
    <w:rsid w:val="00CA6D21"/>
    <w:rsid w:val="00CB0214"/>
    <w:rsid w:val="00CB1DB9"/>
    <w:rsid w:val="00CB36D8"/>
    <w:rsid w:val="00CB543B"/>
    <w:rsid w:val="00CB62AB"/>
    <w:rsid w:val="00CB7D5E"/>
    <w:rsid w:val="00CC1405"/>
    <w:rsid w:val="00CC2AD3"/>
    <w:rsid w:val="00CC72B6"/>
    <w:rsid w:val="00CD3230"/>
    <w:rsid w:val="00CE3526"/>
    <w:rsid w:val="00CE6851"/>
    <w:rsid w:val="00CE6A99"/>
    <w:rsid w:val="00CE7C55"/>
    <w:rsid w:val="00CF03C4"/>
    <w:rsid w:val="00CF0E7B"/>
    <w:rsid w:val="00CF2B49"/>
    <w:rsid w:val="00CF58D9"/>
    <w:rsid w:val="00CF6F0B"/>
    <w:rsid w:val="00D0218D"/>
    <w:rsid w:val="00D0355C"/>
    <w:rsid w:val="00D068FF"/>
    <w:rsid w:val="00D06EC7"/>
    <w:rsid w:val="00D10672"/>
    <w:rsid w:val="00D11940"/>
    <w:rsid w:val="00D13C9F"/>
    <w:rsid w:val="00D1598B"/>
    <w:rsid w:val="00D17302"/>
    <w:rsid w:val="00D21241"/>
    <w:rsid w:val="00D220D6"/>
    <w:rsid w:val="00D23958"/>
    <w:rsid w:val="00D25168"/>
    <w:rsid w:val="00D252A9"/>
    <w:rsid w:val="00D25FB5"/>
    <w:rsid w:val="00D3307F"/>
    <w:rsid w:val="00D33206"/>
    <w:rsid w:val="00D37662"/>
    <w:rsid w:val="00D434D0"/>
    <w:rsid w:val="00D44223"/>
    <w:rsid w:val="00D4767C"/>
    <w:rsid w:val="00D47786"/>
    <w:rsid w:val="00D50502"/>
    <w:rsid w:val="00D52354"/>
    <w:rsid w:val="00D534BB"/>
    <w:rsid w:val="00D54E4C"/>
    <w:rsid w:val="00D54ED7"/>
    <w:rsid w:val="00D5599E"/>
    <w:rsid w:val="00D61ACD"/>
    <w:rsid w:val="00D62FEB"/>
    <w:rsid w:val="00D63F46"/>
    <w:rsid w:val="00D655B2"/>
    <w:rsid w:val="00D721E1"/>
    <w:rsid w:val="00D72E3E"/>
    <w:rsid w:val="00D73114"/>
    <w:rsid w:val="00D800C9"/>
    <w:rsid w:val="00D83055"/>
    <w:rsid w:val="00D85D41"/>
    <w:rsid w:val="00D86071"/>
    <w:rsid w:val="00D916F4"/>
    <w:rsid w:val="00D9369B"/>
    <w:rsid w:val="00DA2529"/>
    <w:rsid w:val="00DA7591"/>
    <w:rsid w:val="00DB1076"/>
    <w:rsid w:val="00DB130A"/>
    <w:rsid w:val="00DB2EBB"/>
    <w:rsid w:val="00DB3848"/>
    <w:rsid w:val="00DB635A"/>
    <w:rsid w:val="00DC10A1"/>
    <w:rsid w:val="00DC1F51"/>
    <w:rsid w:val="00DC216E"/>
    <w:rsid w:val="00DC25BE"/>
    <w:rsid w:val="00DC5947"/>
    <w:rsid w:val="00DC655F"/>
    <w:rsid w:val="00DC65B4"/>
    <w:rsid w:val="00DD0B59"/>
    <w:rsid w:val="00DD2481"/>
    <w:rsid w:val="00DD3CEF"/>
    <w:rsid w:val="00DD53C3"/>
    <w:rsid w:val="00DD78D5"/>
    <w:rsid w:val="00DD7EBD"/>
    <w:rsid w:val="00DE29C4"/>
    <w:rsid w:val="00DE6268"/>
    <w:rsid w:val="00DF1222"/>
    <w:rsid w:val="00DF24B2"/>
    <w:rsid w:val="00DF62B6"/>
    <w:rsid w:val="00DF6EDA"/>
    <w:rsid w:val="00DF78AE"/>
    <w:rsid w:val="00E042D0"/>
    <w:rsid w:val="00E064C8"/>
    <w:rsid w:val="00E07225"/>
    <w:rsid w:val="00E11B88"/>
    <w:rsid w:val="00E122BB"/>
    <w:rsid w:val="00E12AB4"/>
    <w:rsid w:val="00E12CC6"/>
    <w:rsid w:val="00E16172"/>
    <w:rsid w:val="00E202FE"/>
    <w:rsid w:val="00E22F6F"/>
    <w:rsid w:val="00E25661"/>
    <w:rsid w:val="00E275C1"/>
    <w:rsid w:val="00E30788"/>
    <w:rsid w:val="00E3569A"/>
    <w:rsid w:val="00E36C35"/>
    <w:rsid w:val="00E41751"/>
    <w:rsid w:val="00E47FA8"/>
    <w:rsid w:val="00E503CF"/>
    <w:rsid w:val="00E5192D"/>
    <w:rsid w:val="00E52B4F"/>
    <w:rsid w:val="00E5409F"/>
    <w:rsid w:val="00E564C9"/>
    <w:rsid w:val="00E61D97"/>
    <w:rsid w:val="00E61F01"/>
    <w:rsid w:val="00E62483"/>
    <w:rsid w:val="00E6327A"/>
    <w:rsid w:val="00E64A61"/>
    <w:rsid w:val="00E67FB4"/>
    <w:rsid w:val="00E70252"/>
    <w:rsid w:val="00E70A16"/>
    <w:rsid w:val="00E719C6"/>
    <w:rsid w:val="00E7697F"/>
    <w:rsid w:val="00E80778"/>
    <w:rsid w:val="00E8360D"/>
    <w:rsid w:val="00E83A06"/>
    <w:rsid w:val="00E84E27"/>
    <w:rsid w:val="00E85592"/>
    <w:rsid w:val="00E85881"/>
    <w:rsid w:val="00E860B5"/>
    <w:rsid w:val="00E86C83"/>
    <w:rsid w:val="00E872E7"/>
    <w:rsid w:val="00E933C6"/>
    <w:rsid w:val="00E9667F"/>
    <w:rsid w:val="00E967CD"/>
    <w:rsid w:val="00EA07BC"/>
    <w:rsid w:val="00EA1E7D"/>
    <w:rsid w:val="00EA3096"/>
    <w:rsid w:val="00EA799A"/>
    <w:rsid w:val="00EB06BC"/>
    <w:rsid w:val="00EB074F"/>
    <w:rsid w:val="00EB1241"/>
    <w:rsid w:val="00EB1B2A"/>
    <w:rsid w:val="00EB23CB"/>
    <w:rsid w:val="00EB75E7"/>
    <w:rsid w:val="00EC0CB3"/>
    <w:rsid w:val="00EC2870"/>
    <w:rsid w:val="00EC3256"/>
    <w:rsid w:val="00EC3E14"/>
    <w:rsid w:val="00EC42AD"/>
    <w:rsid w:val="00EC6D42"/>
    <w:rsid w:val="00EC7553"/>
    <w:rsid w:val="00ED0FBF"/>
    <w:rsid w:val="00ED29E0"/>
    <w:rsid w:val="00ED4204"/>
    <w:rsid w:val="00ED7E04"/>
    <w:rsid w:val="00EE1144"/>
    <w:rsid w:val="00EE1B1A"/>
    <w:rsid w:val="00EE6488"/>
    <w:rsid w:val="00EE74E7"/>
    <w:rsid w:val="00EF4E61"/>
    <w:rsid w:val="00F021FA"/>
    <w:rsid w:val="00F14C49"/>
    <w:rsid w:val="00F15F81"/>
    <w:rsid w:val="00F206D8"/>
    <w:rsid w:val="00F25B0E"/>
    <w:rsid w:val="00F26713"/>
    <w:rsid w:val="00F36778"/>
    <w:rsid w:val="00F447A4"/>
    <w:rsid w:val="00F44F98"/>
    <w:rsid w:val="00F47700"/>
    <w:rsid w:val="00F53D3A"/>
    <w:rsid w:val="00F53F70"/>
    <w:rsid w:val="00F54948"/>
    <w:rsid w:val="00F56575"/>
    <w:rsid w:val="00F5748F"/>
    <w:rsid w:val="00F62E97"/>
    <w:rsid w:val="00F64209"/>
    <w:rsid w:val="00F65D88"/>
    <w:rsid w:val="00F70177"/>
    <w:rsid w:val="00F714D4"/>
    <w:rsid w:val="00F7500C"/>
    <w:rsid w:val="00F750E8"/>
    <w:rsid w:val="00F7762E"/>
    <w:rsid w:val="00F80207"/>
    <w:rsid w:val="00F80A1C"/>
    <w:rsid w:val="00F8199F"/>
    <w:rsid w:val="00F81CCD"/>
    <w:rsid w:val="00F820FF"/>
    <w:rsid w:val="00F8216C"/>
    <w:rsid w:val="00F85195"/>
    <w:rsid w:val="00F86F6D"/>
    <w:rsid w:val="00F90755"/>
    <w:rsid w:val="00F90B58"/>
    <w:rsid w:val="00F9211A"/>
    <w:rsid w:val="00F92203"/>
    <w:rsid w:val="00F9374F"/>
    <w:rsid w:val="00F93BF5"/>
    <w:rsid w:val="00F94174"/>
    <w:rsid w:val="00F96615"/>
    <w:rsid w:val="00FA0444"/>
    <w:rsid w:val="00FA5AD3"/>
    <w:rsid w:val="00FA6B2D"/>
    <w:rsid w:val="00FA705C"/>
    <w:rsid w:val="00FB0E33"/>
    <w:rsid w:val="00FB15AB"/>
    <w:rsid w:val="00FB26E0"/>
    <w:rsid w:val="00FB5429"/>
    <w:rsid w:val="00FB5B3D"/>
    <w:rsid w:val="00FB7B64"/>
    <w:rsid w:val="00FC531A"/>
    <w:rsid w:val="00FD1782"/>
    <w:rsid w:val="00FD21BE"/>
    <w:rsid w:val="00FD276C"/>
    <w:rsid w:val="00FD3CDA"/>
    <w:rsid w:val="00FD4ADE"/>
    <w:rsid w:val="00FD75D9"/>
    <w:rsid w:val="00FD7A48"/>
    <w:rsid w:val="00FE3C07"/>
    <w:rsid w:val="00FE40B1"/>
    <w:rsid w:val="00FE41F8"/>
    <w:rsid w:val="00FF1F41"/>
    <w:rsid w:val="00FF2237"/>
    <w:rsid w:val="00FF47DD"/>
    <w:rsid w:val="00FF4E67"/>
    <w:rsid w:val="40AEC8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1F8D07"/>
  <w15:chartTrackingRefBased/>
  <w15:docId w15:val="{7D0531F9-B8A6-4AB9-8FA2-1EC868D2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30B"/>
    <w:pPr>
      <w:widowControl w:val="0"/>
    </w:pPr>
    <w:rPr>
      <w:snapToGrid w:val="0"/>
      <w:kern w:val="28"/>
      <w:sz w:val="22"/>
    </w:rPr>
  </w:style>
  <w:style w:type="paragraph" w:styleId="Heading1">
    <w:name w:val="heading 1"/>
    <w:basedOn w:val="Normal"/>
    <w:next w:val="ParaNum"/>
    <w:qFormat/>
    <w:rsid w:val="0022130B"/>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22130B"/>
    <w:pPr>
      <w:keepNext/>
      <w:numPr>
        <w:ilvl w:val="1"/>
        <w:numId w:val="3"/>
      </w:numPr>
      <w:spacing w:after="120"/>
      <w:outlineLvl w:val="1"/>
    </w:pPr>
    <w:rPr>
      <w:b/>
    </w:rPr>
  </w:style>
  <w:style w:type="paragraph" w:styleId="Heading3">
    <w:name w:val="heading 3"/>
    <w:basedOn w:val="Normal"/>
    <w:next w:val="ParaNum"/>
    <w:qFormat/>
    <w:rsid w:val="0022130B"/>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22130B"/>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22130B"/>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22130B"/>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22130B"/>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22130B"/>
    <w:pPr>
      <w:numPr>
        <w:ilvl w:val="7"/>
        <w:numId w:val="3"/>
      </w:numPr>
      <w:tabs>
        <w:tab w:val="clear" w:pos="5400"/>
        <w:tab w:val="left" w:pos="5760"/>
      </w:tabs>
      <w:spacing w:after="120"/>
      <w:ind w:left="5760" w:hanging="720"/>
      <w:outlineLvl w:val="7"/>
    </w:pPr>
    <w:rPr>
      <w:b/>
    </w:rPr>
  </w:style>
  <w:style w:type="paragraph" w:styleId="Heading9">
    <w:name w:val="heading 9"/>
    <w:aliases w:val="9,Heading 9 Char,Heading 9.table,Titre 9,Topic,t,table"/>
    <w:basedOn w:val="Normal"/>
    <w:next w:val="ParaNum"/>
    <w:qFormat/>
    <w:rsid w:val="0022130B"/>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213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130B"/>
  </w:style>
  <w:style w:type="paragraph" w:customStyle="1" w:styleId="ParaNum">
    <w:name w:val="ParaNum"/>
    <w:basedOn w:val="Normal"/>
    <w:link w:val="ParaNumChar"/>
    <w:rsid w:val="0022130B"/>
    <w:pPr>
      <w:numPr>
        <w:numId w:val="2"/>
      </w:numPr>
      <w:tabs>
        <w:tab w:val="clear" w:pos="1080"/>
        <w:tab w:val="num" w:pos="1440"/>
      </w:tabs>
      <w:spacing w:after="120"/>
    </w:pPr>
  </w:style>
  <w:style w:type="paragraph" w:styleId="EndnoteText">
    <w:name w:val="endnote text"/>
    <w:basedOn w:val="Normal"/>
    <w:semiHidden/>
    <w:rsid w:val="0022130B"/>
    <w:rPr>
      <w:sz w:val="20"/>
    </w:rPr>
  </w:style>
  <w:style w:type="character" w:styleId="EndnoteReference">
    <w:name w:val="endnote reference"/>
    <w:semiHidden/>
    <w:rsid w:val="0022130B"/>
    <w:rPr>
      <w:vertAlign w:val="superscript"/>
    </w:rPr>
  </w:style>
  <w:style w:type="paragraph" w:styleId="FootnoteText">
    <w:name w:val="footnote text"/>
    <w:aliases w:val="Footnote Text Char Char,Footnote Text Char Char Char1 Char Char Char Char,Footnote Text Char Char1 Char Char Char,Footnote Text Char1 Char,Footnote Text Char1 Char Char Char,Footnote Text Char3,Footnote Text Char3 Char Char Char Char Char"/>
    <w:link w:val="FootnoteTextChar"/>
    <w:rsid w:val="0022130B"/>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22130B"/>
    <w:rPr>
      <w:rFonts w:ascii="Times New Roman" w:hAnsi="Times New Roman"/>
      <w:dstrike w:val="0"/>
      <w:color w:val="auto"/>
      <w:sz w:val="20"/>
      <w:vertAlign w:val="superscript"/>
    </w:rPr>
  </w:style>
  <w:style w:type="paragraph" w:styleId="TOC1">
    <w:name w:val="toc 1"/>
    <w:basedOn w:val="Normal"/>
    <w:next w:val="Normal"/>
    <w:semiHidden/>
    <w:rsid w:val="0022130B"/>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22130B"/>
    <w:pPr>
      <w:tabs>
        <w:tab w:val="left" w:pos="720"/>
        <w:tab w:val="right" w:leader="dot" w:pos="9360"/>
      </w:tabs>
      <w:suppressAutoHyphens/>
      <w:ind w:left="720" w:right="720" w:hanging="360"/>
    </w:pPr>
    <w:rPr>
      <w:noProof/>
    </w:rPr>
  </w:style>
  <w:style w:type="paragraph" w:styleId="TOC3">
    <w:name w:val="toc 3"/>
    <w:basedOn w:val="Normal"/>
    <w:next w:val="Normal"/>
    <w:semiHidden/>
    <w:rsid w:val="0022130B"/>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22130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22130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2130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2130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2130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2130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2130B"/>
    <w:pPr>
      <w:tabs>
        <w:tab w:val="right" w:pos="9360"/>
      </w:tabs>
      <w:suppressAutoHyphens/>
    </w:pPr>
  </w:style>
  <w:style w:type="character" w:customStyle="1" w:styleId="EquationCaption">
    <w:name w:val="_Equation Caption"/>
    <w:rsid w:val="0022130B"/>
  </w:style>
  <w:style w:type="paragraph" w:styleId="Header">
    <w:name w:val="header"/>
    <w:basedOn w:val="Normal"/>
    <w:autoRedefine/>
    <w:rsid w:val="0022130B"/>
    <w:pPr>
      <w:tabs>
        <w:tab w:val="center" w:pos="4680"/>
        <w:tab w:val="right" w:pos="9360"/>
      </w:tabs>
    </w:pPr>
    <w:rPr>
      <w:b/>
    </w:rPr>
  </w:style>
  <w:style w:type="paragraph" w:styleId="Footer">
    <w:name w:val="footer"/>
    <w:basedOn w:val="Normal"/>
    <w:link w:val="FooterChar"/>
    <w:uiPriority w:val="99"/>
    <w:rsid w:val="0022130B"/>
    <w:pPr>
      <w:tabs>
        <w:tab w:val="center" w:pos="4320"/>
        <w:tab w:val="right" w:pos="8640"/>
      </w:tabs>
    </w:pPr>
  </w:style>
  <w:style w:type="character" w:styleId="PageNumber">
    <w:name w:val="page number"/>
    <w:basedOn w:val="DefaultParagraphFont"/>
    <w:rsid w:val="0022130B"/>
  </w:style>
  <w:style w:type="paragraph" w:styleId="BlockText">
    <w:name w:val="Block Text"/>
    <w:basedOn w:val="Normal"/>
    <w:rsid w:val="0022130B"/>
    <w:pPr>
      <w:spacing w:after="240"/>
      <w:ind w:left="1440" w:right="1440"/>
    </w:pPr>
  </w:style>
  <w:style w:type="paragraph" w:customStyle="1" w:styleId="Paratitle">
    <w:name w:val="Para title"/>
    <w:basedOn w:val="Normal"/>
    <w:rsid w:val="0022130B"/>
    <w:pPr>
      <w:tabs>
        <w:tab w:val="center" w:pos="9270"/>
      </w:tabs>
      <w:spacing w:after="240"/>
    </w:pPr>
    <w:rPr>
      <w:spacing w:val="-2"/>
    </w:rPr>
  </w:style>
  <w:style w:type="paragraph" w:customStyle="1" w:styleId="Bullet">
    <w:name w:val="Bullet"/>
    <w:basedOn w:val="Normal"/>
    <w:rsid w:val="0022130B"/>
    <w:pPr>
      <w:tabs>
        <w:tab w:val="left" w:pos="2160"/>
      </w:tabs>
      <w:spacing w:after="220"/>
      <w:ind w:left="2160" w:hanging="720"/>
    </w:pPr>
  </w:style>
  <w:style w:type="paragraph" w:customStyle="1" w:styleId="TableFormat">
    <w:name w:val="TableFormat"/>
    <w:basedOn w:val="Bullet"/>
    <w:rsid w:val="0022130B"/>
    <w:pPr>
      <w:tabs>
        <w:tab w:val="clear" w:pos="2160"/>
        <w:tab w:val="left" w:pos="5040"/>
      </w:tabs>
      <w:ind w:left="5040" w:hanging="3600"/>
    </w:pPr>
  </w:style>
  <w:style w:type="paragraph" w:customStyle="1" w:styleId="TOCTitle">
    <w:name w:val="TOC Title"/>
    <w:basedOn w:val="Normal"/>
    <w:rsid w:val="0022130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2130B"/>
    <w:pPr>
      <w:jc w:val="center"/>
    </w:pPr>
    <w:rPr>
      <w:rFonts w:ascii="Times New Roman Bold" w:hAnsi="Times New Roman Bold"/>
      <w:b/>
      <w:bCs/>
      <w:caps/>
      <w:szCs w:val="22"/>
    </w:rPr>
  </w:style>
  <w:style w:type="character" w:styleId="Hyperlink">
    <w:name w:val="Hyperlink"/>
    <w:rsid w:val="0022130B"/>
    <w:rPr>
      <w:color w:val="0000FF"/>
      <w:u w:val="single"/>
    </w:rPr>
  </w:style>
  <w:style w:type="character" w:customStyle="1" w:styleId="FooterChar">
    <w:name w:val="Footer Char"/>
    <w:link w:val="Footer"/>
    <w:uiPriority w:val="99"/>
    <w:rsid w:val="0022130B"/>
    <w:rPr>
      <w:snapToGrid w:val="0"/>
      <w:kern w:val="28"/>
      <w:sz w:val="22"/>
    </w:rPr>
  </w:style>
  <w:style w:type="character" w:customStyle="1" w:styleId="FootnoteTextChar">
    <w:name w:val="Footnote Text Char"/>
    <w:aliases w:val="Footnote Text Char Char Char,Footnote Text Char Char Char1 Char Char Char Char Char,Footnote Text Char Char1 Char Char Char Char,Footnote Text Char1 Char Char,Footnote Text Char1 Char Char Char Char,Footnote Text Char3 Char"/>
    <w:link w:val="FootnoteText"/>
    <w:rsid w:val="00D54E4C"/>
  </w:style>
  <w:style w:type="character" w:customStyle="1" w:styleId="ParaNumChar">
    <w:name w:val="ParaNum Char"/>
    <w:link w:val="ParaNum"/>
    <w:locked/>
    <w:rsid w:val="00D54E4C"/>
    <w:rPr>
      <w:snapToGrid w:val="0"/>
      <w:kern w:val="28"/>
      <w:sz w:val="22"/>
    </w:rPr>
  </w:style>
  <w:style w:type="character" w:customStyle="1" w:styleId="Heading2Char">
    <w:name w:val="Heading 2 Char"/>
    <w:link w:val="Heading2"/>
    <w:rsid w:val="00F86F6D"/>
    <w:rPr>
      <w:b/>
      <w:snapToGrid w:val="0"/>
      <w:kern w:val="28"/>
      <w:sz w:val="22"/>
    </w:rPr>
  </w:style>
  <w:style w:type="character" w:styleId="CommentReference">
    <w:name w:val="annotation reference"/>
    <w:rsid w:val="00F86F6D"/>
    <w:rPr>
      <w:sz w:val="16"/>
      <w:szCs w:val="16"/>
    </w:rPr>
  </w:style>
  <w:style w:type="character" w:styleId="UnresolvedMention">
    <w:name w:val="Unresolved Mention"/>
    <w:uiPriority w:val="99"/>
    <w:semiHidden/>
    <w:unhideWhenUsed/>
    <w:rsid w:val="00FB26E0"/>
    <w:rPr>
      <w:color w:val="605E5C"/>
      <w:shd w:val="clear" w:color="auto" w:fill="E1DFDD"/>
    </w:rPr>
  </w:style>
  <w:style w:type="paragraph" w:styleId="CommentText">
    <w:name w:val="annotation text"/>
    <w:basedOn w:val="Normal"/>
    <w:link w:val="CommentTextChar"/>
    <w:rsid w:val="006A3891"/>
    <w:rPr>
      <w:sz w:val="20"/>
    </w:rPr>
  </w:style>
  <w:style w:type="character" w:customStyle="1" w:styleId="CommentTextChar">
    <w:name w:val="Comment Text Char"/>
    <w:link w:val="CommentText"/>
    <w:rsid w:val="006A3891"/>
    <w:rPr>
      <w:snapToGrid w:val="0"/>
      <w:kern w:val="28"/>
    </w:rPr>
  </w:style>
  <w:style w:type="paragraph" w:styleId="CommentSubject">
    <w:name w:val="annotation subject"/>
    <w:basedOn w:val="CommentText"/>
    <w:next w:val="CommentText"/>
    <w:link w:val="CommentSubjectChar"/>
    <w:rsid w:val="006A3891"/>
    <w:rPr>
      <w:b/>
      <w:bCs/>
    </w:rPr>
  </w:style>
  <w:style w:type="character" w:customStyle="1" w:styleId="CommentSubjectChar">
    <w:name w:val="Comment Subject Char"/>
    <w:link w:val="CommentSubject"/>
    <w:rsid w:val="006A3891"/>
    <w:rPr>
      <w:b/>
      <w:bCs/>
      <w:snapToGrid w:val="0"/>
      <w:kern w:val="28"/>
    </w:rPr>
  </w:style>
  <w:style w:type="paragraph" w:styleId="Revision">
    <w:name w:val="Revision"/>
    <w:hidden/>
    <w:uiPriority w:val="99"/>
    <w:semiHidden/>
    <w:rsid w:val="00344725"/>
    <w:rPr>
      <w:snapToGrid w:val="0"/>
      <w:kern w:val="28"/>
      <w:sz w:val="22"/>
    </w:rPr>
  </w:style>
  <w:style w:type="character" w:styleId="FollowedHyperlink">
    <w:name w:val="FollowedHyperlink"/>
    <w:rsid w:val="0091768D"/>
    <w:rPr>
      <w:color w:val="96607D"/>
      <w:u w:val="single"/>
    </w:rPr>
  </w:style>
  <w:style w:type="character" w:styleId="Mention">
    <w:name w:val="Mention"/>
    <w:uiPriority w:val="99"/>
    <w:unhideWhenUsed/>
    <w:rsid w:val="00C76A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microsoft.com/office/2006/relationships/keyMapCustomizations" Target="customizations.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fcc504@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8204;10506166960326/1" TargetMode="External" /><Relationship Id="rId2" Type="http://schemas.openxmlformats.org/officeDocument/2006/relationships/hyperlink" Target="https://www.fcc.&#8204;gov/&#8204;ecfs/search/search-filings/filing/106102067923415"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ichael.Scott\FCC\FCC%20-%20NAL\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