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4C2EE3" w14:paraId="34D6BAEB" w14:textId="77777777">
      <w:pPr>
        <w:jc w:val="center"/>
        <w:rPr>
          <w:b/>
        </w:rPr>
      </w:pPr>
      <w:r w:rsidRPr="0070224F">
        <w:rPr>
          <w:rFonts w:ascii="Times New Roman Bold" w:hAnsi="Times New Roman Bold"/>
          <w:b/>
          <w:kern w:val="0"/>
          <w:szCs w:val="22"/>
        </w:rPr>
        <w:t>Before</w:t>
      </w:r>
      <w:r>
        <w:rPr>
          <w:b/>
        </w:rPr>
        <w:t xml:space="preserve"> the</w:t>
      </w:r>
    </w:p>
    <w:p w:rsidR="00921803" w:rsidP="00921803" w14:paraId="2CCD9B32" w14:textId="77777777">
      <w:pPr>
        <w:pStyle w:val="StyleBoldCentered"/>
      </w:pPr>
      <w:r>
        <w:t>F</w:t>
      </w:r>
      <w:r>
        <w:rPr>
          <w:caps w:val="0"/>
        </w:rPr>
        <w:t>ederal Communications Commission</w:t>
      </w:r>
    </w:p>
    <w:p w:rsidR="004C2EE3" w:rsidP="00096D8C" w14:paraId="66C78E20" w14:textId="77777777">
      <w:pPr>
        <w:pStyle w:val="StyleBoldCentered"/>
      </w:pPr>
      <w:r>
        <w:rPr>
          <w:caps w:val="0"/>
        </w:rPr>
        <w:t>Washington, D.C. 20554</w:t>
      </w:r>
    </w:p>
    <w:p w:rsidR="004C2EE3" w:rsidP="0070224F" w14:paraId="10A44DF9" w14:textId="77777777"/>
    <w:p w:rsidR="004C2EE3" w:rsidP="0070224F" w14:paraId="0A5015F6" w14:textId="77777777"/>
    <w:tbl>
      <w:tblPr>
        <w:tblW w:w="0" w:type="auto"/>
        <w:tblLayout w:type="fixed"/>
        <w:tblLook w:val="0000"/>
      </w:tblPr>
      <w:tblGrid>
        <w:gridCol w:w="4698"/>
        <w:gridCol w:w="630"/>
        <w:gridCol w:w="4248"/>
      </w:tblGrid>
      <w:tr w14:paraId="53837E15" w14:textId="77777777">
        <w:tblPrEx>
          <w:tblW w:w="0" w:type="auto"/>
          <w:tblLayout w:type="fixed"/>
          <w:tblLook w:val="0000"/>
        </w:tblPrEx>
        <w:tc>
          <w:tcPr>
            <w:tcW w:w="4698" w:type="dxa"/>
          </w:tcPr>
          <w:p w:rsidR="004C2EE3" w14:paraId="3D67434D" w14:textId="77777777">
            <w:pPr>
              <w:tabs>
                <w:tab w:val="center" w:pos="4680"/>
              </w:tabs>
              <w:suppressAutoHyphens/>
              <w:rPr>
                <w:spacing w:val="-2"/>
              </w:rPr>
            </w:pPr>
            <w:r>
              <w:rPr>
                <w:spacing w:val="-2"/>
              </w:rPr>
              <w:t>In the Matter of</w:t>
            </w:r>
          </w:p>
          <w:p w:rsidR="004C2EE3" w14:paraId="3D8DBF02" w14:textId="77777777">
            <w:pPr>
              <w:tabs>
                <w:tab w:val="center" w:pos="4680"/>
              </w:tabs>
              <w:suppressAutoHyphens/>
              <w:rPr>
                <w:spacing w:val="-2"/>
              </w:rPr>
            </w:pPr>
          </w:p>
          <w:p w:rsidR="00C525EF" w:rsidP="00CC5519" w14:paraId="3BBEC1C3" w14:textId="36861920">
            <w:pPr>
              <w:tabs>
                <w:tab w:val="center" w:pos="4680"/>
              </w:tabs>
              <w:suppressAutoHyphens/>
              <w:rPr>
                <w:spacing w:val="-2"/>
              </w:rPr>
            </w:pPr>
            <w:r>
              <w:rPr>
                <w:spacing w:val="-2"/>
              </w:rPr>
              <w:t>Delete, Delete, Delete</w:t>
            </w:r>
          </w:p>
          <w:p w:rsidR="00C525EF" w:rsidP="00CC5519" w14:paraId="123CCAA1" w14:textId="77777777">
            <w:pPr>
              <w:tabs>
                <w:tab w:val="center" w:pos="4680"/>
              </w:tabs>
              <w:suppressAutoHyphens/>
              <w:rPr>
                <w:spacing w:val="-2"/>
              </w:rPr>
            </w:pPr>
          </w:p>
          <w:p w:rsidR="00CC5519" w:rsidP="00CC5519" w14:paraId="270B10B3" w14:textId="1C26A962">
            <w:pPr>
              <w:tabs>
                <w:tab w:val="center" w:pos="4680"/>
              </w:tabs>
              <w:suppressAutoHyphens/>
              <w:rPr>
                <w:spacing w:val="-2"/>
              </w:rPr>
            </w:pPr>
            <w:r w:rsidRPr="005E1F0D">
              <w:rPr>
                <w:spacing w:val="-2"/>
              </w:rPr>
              <w:t>Targeting and Eliminating Unlawful Text Messages</w:t>
            </w:r>
          </w:p>
          <w:p w:rsidR="00FD5DFE" w:rsidP="00CC5519" w14:paraId="0E7E29E1" w14:textId="77777777">
            <w:pPr>
              <w:tabs>
                <w:tab w:val="center" w:pos="4680"/>
              </w:tabs>
              <w:suppressAutoHyphens/>
              <w:rPr>
                <w:spacing w:val="-2"/>
              </w:rPr>
            </w:pPr>
          </w:p>
          <w:p w:rsidR="00C80DEF" w:rsidP="00CC5519" w14:paraId="7D6F2A60" w14:textId="2CB99DD0">
            <w:pPr>
              <w:tabs>
                <w:tab w:val="center" w:pos="4680"/>
              </w:tabs>
              <w:suppressAutoHyphens/>
            </w:pPr>
            <w:r w:rsidRPr="005E1F0D">
              <w:t>Rules and Regulations Implementing the Telephone Consumer Protection Act of 1991</w:t>
            </w:r>
          </w:p>
          <w:p w:rsidR="00A06F5B" w:rsidP="00CC5519" w14:paraId="114239D1" w14:textId="77777777">
            <w:pPr>
              <w:tabs>
                <w:tab w:val="center" w:pos="4680"/>
              </w:tabs>
              <w:suppressAutoHyphens/>
            </w:pPr>
          </w:p>
          <w:p w:rsidR="004C2EE3" w:rsidRPr="007115F7" w:rsidP="007115F7" w14:paraId="01E587FF" w14:textId="79E48757">
            <w:pPr>
              <w:tabs>
                <w:tab w:val="center" w:pos="4680"/>
              </w:tabs>
              <w:suppressAutoHyphens/>
              <w:rPr>
                <w:spacing w:val="-2"/>
              </w:rPr>
            </w:pPr>
            <w:r w:rsidRPr="005E1F0D">
              <w:t>Advanced Methods to Target and Eliminate Unlawful Robocalls</w:t>
            </w:r>
          </w:p>
        </w:tc>
        <w:tc>
          <w:tcPr>
            <w:tcW w:w="630" w:type="dxa"/>
          </w:tcPr>
          <w:p w:rsidR="004C2EE3" w14:paraId="5D9EF410" w14:textId="77777777">
            <w:pPr>
              <w:tabs>
                <w:tab w:val="center" w:pos="4680"/>
              </w:tabs>
              <w:suppressAutoHyphens/>
              <w:rPr>
                <w:b/>
                <w:spacing w:val="-2"/>
              </w:rPr>
            </w:pPr>
            <w:r>
              <w:rPr>
                <w:b/>
                <w:spacing w:val="-2"/>
              </w:rPr>
              <w:t>)</w:t>
            </w:r>
          </w:p>
          <w:p w:rsidR="004C2EE3" w14:paraId="3605ED05" w14:textId="77777777">
            <w:pPr>
              <w:tabs>
                <w:tab w:val="center" w:pos="4680"/>
              </w:tabs>
              <w:suppressAutoHyphens/>
              <w:rPr>
                <w:b/>
                <w:spacing w:val="-2"/>
              </w:rPr>
            </w:pPr>
            <w:r>
              <w:rPr>
                <w:b/>
                <w:spacing w:val="-2"/>
              </w:rPr>
              <w:t>)</w:t>
            </w:r>
          </w:p>
          <w:p w:rsidR="004C2EE3" w14:paraId="1C62B62E" w14:textId="77777777">
            <w:pPr>
              <w:tabs>
                <w:tab w:val="center" w:pos="4680"/>
              </w:tabs>
              <w:suppressAutoHyphens/>
              <w:rPr>
                <w:b/>
                <w:spacing w:val="-2"/>
              </w:rPr>
            </w:pPr>
            <w:r>
              <w:rPr>
                <w:b/>
                <w:spacing w:val="-2"/>
              </w:rPr>
              <w:t>)</w:t>
            </w:r>
          </w:p>
          <w:p w:rsidR="004C2EE3" w14:paraId="11F3C2A1" w14:textId="77777777">
            <w:pPr>
              <w:tabs>
                <w:tab w:val="center" w:pos="4680"/>
              </w:tabs>
              <w:suppressAutoHyphens/>
              <w:rPr>
                <w:b/>
                <w:spacing w:val="-2"/>
              </w:rPr>
            </w:pPr>
            <w:r>
              <w:rPr>
                <w:b/>
                <w:spacing w:val="-2"/>
              </w:rPr>
              <w:t>)</w:t>
            </w:r>
          </w:p>
          <w:p w:rsidR="004C2EE3" w14:paraId="4F7E4BA4" w14:textId="77777777">
            <w:pPr>
              <w:tabs>
                <w:tab w:val="center" w:pos="4680"/>
              </w:tabs>
              <w:suppressAutoHyphens/>
              <w:rPr>
                <w:b/>
                <w:spacing w:val="-2"/>
              </w:rPr>
            </w:pPr>
            <w:r>
              <w:rPr>
                <w:b/>
                <w:spacing w:val="-2"/>
              </w:rPr>
              <w:t>)</w:t>
            </w:r>
          </w:p>
          <w:p w:rsidR="004C2EE3" w14:paraId="3B28B269" w14:textId="77777777">
            <w:pPr>
              <w:tabs>
                <w:tab w:val="center" w:pos="4680"/>
              </w:tabs>
              <w:suppressAutoHyphens/>
              <w:rPr>
                <w:b/>
                <w:spacing w:val="-2"/>
              </w:rPr>
            </w:pPr>
            <w:r>
              <w:rPr>
                <w:b/>
                <w:spacing w:val="-2"/>
              </w:rPr>
              <w:t>)</w:t>
            </w:r>
          </w:p>
          <w:p w:rsidR="004C2EE3" w14:paraId="23514C33" w14:textId="77777777">
            <w:pPr>
              <w:tabs>
                <w:tab w:val="center" w:pos="4680"/>
              </w:tabs>
              <w:suppressAutoHyphens/>
              <w:rPr>
                <w:b/>
                <w:spacing w:val="-2"/>
              </w:rPr>
            </w:pPr>
            <w:r>
              <w:rPr>
                <w:b/>
                <w:spacing w:val="-2"/>
              </w:rPr>
              <w:t>)</w:t>
            </w:r>
          </w:p>
          <w:p w:rsidR="004C2EE3" w14:paraId="00E50325" w14:textId="77777777">
            <w:pPr>
              <w:tabs>
                <w:tab w:val="center" w:pos="4680"/>
              </w:tabs>
              <w:suppressAutoHyphens/>
              <w:rPr>
                <w:b/>
                <w:spacing w:val="-2"/>
              </w:rPr>
            </w:pPr>
            <w:r>
              <w:rPr>
                <w:b/>
                <w:spacing w:val="-2"/>
              </w:rPr>
              <w:t>)</w:t>
            </w:r>
          </w:p>
          <w:p w:rsidR="004C2EE3" w14:paraId="6CB641E9" w14:textId="77777777">
            <w:pPr>
              <w:tabs>
                <w:tab w:val="center" w:pos="4680"/>
              </w:tabs>
              <w:suppressAutoHyphens/>
              <w:rPr>
                <w:spacing w:val="-2"/>
              </w:rPr>
            </w:pPr>
            <w:r>
              <w:rPr>
                <w:b/>
                <w:spacing w:val="-2"/>
              </w:rPr>
              <w:t>)</w:t>
            </w:r>
          </w:p>
        </w:tc>
        <w:tc>
          <w:tcPr>
            <w:tcW w:w="4248" w:type="dxa"/>
          </w:tcPr>
          <w:p w:rsidR="004C2EE3" w14:paraId="270B6C93" w14:textId="77777777">
            <w:pPr>
              <w:tabs>
                <w:tab w:val="center" w:pos="4680"/>
              </w:tabs>
              <w:suppressAutoHyphens/>
              <w:rPr>
                <w:spacing w:val="-2"/>
              </w:rPr>
            </w:pPr>
          </w:p>
          <w:p w:rsidR="004C2EE3" w:rsidP="005F68E5" w14:paraId="7C511C30" w14:textId="77777777">
            <w:pPr>
              <w:pStyle w:val="TOAHeading"/>
              <w:tabs>
                <w:tab w:val="center" w:pos="4680"/>
                <w:tab w:val="clear" w:pos="9360"/>
              </w:tabs>
              <w:ind w:firstLine="720"/>
              <w:rPr>
                <w:spacing w:val="-2"/>
              </w:rPr>
            </w:pPr>
          </w:p>
          <w:p w:rsidR="00C525EF" w:rsidP="00FD5DFE" w14:paraId="06F1658A" w14:textId="55762871">
            <w:pPr>
              <w:tabs>
                <w:tab w:val="center" w:pos="4680"/>
              </w:tabs>
              <w:suppressAutoHyphens/>
              <w:rPr>
                <w:spacing w:val="-2"/>
              </w:rPr>
            </w:pPr>
            <w:r>
              <w:rPr>
                <w:spacing w:val="-2"/>
              </w:rPr>
              <w:t>GN Docket No. 25-133</w:t>
            </w:r>
          </w:p>
          <w:p w:rsidR="00C525EF" w:rsidP="00FD5DFE" w14:paraId="6CFA62A6" w14:textId="77777777">
            <w:pPr>
              <w:tabs>
                <w:tab w:val="center" w:pos="4680"/>
              </w:tabs>
              <w:suppressAutoHyphens/>
              <w:rPr>
                <w:spacing w:val="-2"/>
              </w:rPr>
            </w:pPr>
          </w:p>
          <w:p w:rsidR="00FD5DFE" w:rsidRPr="005E1F0D" w:rsidP="00FD5DFE" w14:paraId="5BB5F950" w14:textId="2783239F">
            <w:pPr>
              <w:tabs>
                <w:tab w:val="center" w:pos="4680"/>
              </w:tabs>
              <w:suppressAutoHyphens/>
              <w:rPr>
                <w:spacing w:val="-2"/>
              </w:rPr>
            </w:pPr>
            <w:r w:rsidRPr="005E1F0D">
              <w:rPr>
                <w:spacing w:val="-2"/>
              </w:rPr>
              <w:t>CG Docket No. 21-402</w:t>
            </w:r>
          </w:p>
          <w:p w:rsidR="004C2EE3" w14:paraId="1191818C" w14:textId="77777777">
            <w:pPr>
              <w:tabs>
                <w:tab w:val="center" w:pos="4680"/>
              </w:tabs>
              <w:suppressAutoHyphens/>
              <w:rPr>
                <w:spacing w:val="-2"/>
              </w:rPr>
            </w:pPr>
          </w:p>
          <w:p w:rsidR="00DD4D9D" w:rsidRPr="005E1F0D" w:rsidP="00DD4D9D" w14:paraId="1623893D" w14:textId="77777777">
            <w:pPr>
              <w:tabs>
                <w:tab w:val="center" w:pos="4680"/>
              </w:tabs>
              <w:suppressAutoHyphens/>
              <w:rPr>
                <w:spacing w:val="-2"/>
              </w:rPr>
            </w:pPr>
            <w:r w:rsidRPr="005E1F0D">
              <w:rPr>
                <w:spacing w:val="-2"/>
              </w:rPr>
              <w:t>CG Docket No. 02-278</w:t>
            </w:r>
          </w:p>
          <w:p w:rsidR="00DD4D9D" w14:paraId="1EB24640" w14:textId="77777777">
            <w:pPr>
              <w:tabs>
                <w:tab w:val="center" w:pos="4680"/>
              </w:tabs>
              <w:suppressAutoHyphens/>
              <w:rPr>
                <w:spacing w:val="-2"/>
              </w:rPr>
            </w:pPr>
          </w:p>
          <w:p w:rsidR="0039239C" w14:paraId="3249503A" w14:textId="77777777">
            <w:pPr>
              <w:tabs>
                <w:tab w:val="center" w:pos="4680"/>
              </w:tabs>
              <w:suppressAutoHyphens/>
              <w:rPr>
                <w:spacing w:val="-2"/>
              </w:rPr>
            </w:pPr>
          </w:p>
          <w:p w:rsidR="0039239C" w14:paraId="4EB36701" w14:textId="419792D1">
            <w:pPr>
              <w:tabs>
                <w:tab w:val="center" w:pos="4680"/>
              </w:tabs>
              <w:suppressAutoHyphens/>
              <w:rPr>
                <w:spacing w:val="-2"/>
              </w:rPr>
            </w:pPr>
            <w:r w:rsidRPr="005E1F0D">
              <w:rPr>
                <w:spacing w:val="-2"/>
              </w:rPr>
              <w:t>CG Docket No. 17-59</w:t>
            </w:r>
          </w:p>
        </w:tc>
      </w:tr>
    </w:tbl>
    <w:p w:rsidR="004C2EE3" w:rsidP="0070224F" w14:paraId="7688DAF8" w14:textId="77777777"/>
    <w:p w:rsidR="00841AB1" w:rsidP="00F021FA" w14:paraId="7B455925" w14:textId="60031719">
      <w:pPr>
        <w:pStyle w:val="StyleBoldCentered"/>
      </w:pPr>
      <w:r>
        <w:t>order</w:t>
      </w:r>
    </w:p>
    <w:p w:rsidR="004C2EE3" w14:paraId="2E79E6CA" w14:textId="77777777">
      <w:pPr>
        <w:tabs>
          <w:tab w:val="left" w:pos="-720"/>
        </w:tabs>
        <w:suppressAutoHyphens/>
        <w:spacing w:line="227" w:lineRule="auto"/>
        <w:rPr>
          <w:spacing w:val="-2"/>
        </w:rPr>
      </w:pPr>
    </w:p>
    <w:p w:rsidR="004C2EE3" w:rsidP="00133F79" w14:paraId="1597A116" w14:textId="6802143F">
      <w:pPr>
        <w:tabs>
          <w:tab w:val="left" w:pos="720"/>
          <w:tab w:val="right" w:pos="9360"/>
        </w:tabs>
        <w:suppressAutoHyphens/>
        <w:spacing w:line="227" w:lineRule="auto"/>
        <w:rPr>
          <w:spacing w:val="-2"/>
        </w:rPr>
      </w:pPr>
      <w:r>
        <w:rPr>
          <w:b/>
          <w:spacing w:val="-2"/>
        </w:rPr>
        <w:t xml:space="preserve">Adopted:  </w:t>
      </w:r>
      <w:r w:rsidR="00586E84">
        <w:rPr>
          <w:b/>
          <w:spacing w:val="-2"/>
        </w:rPr>
        <w:t>July 14, 2025</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586E84">
        <w:rPr>
          <w:b/>
          <w:spacing w:val="-2"/>
        </w:rPr>
        <w:t>July 14, 2025</w:t>
      </w:r>
    </w:p>
    <w:p w:rsidR="00822CE0" w14:paraId="750B8A54" w14:textId="77777777"/>
    <w:p w:rsidR="004C2EE3" w14:paraId="56C6A157" w14:textId="5476D49F">
      <w:pPr>
        <w:rPr>
          <w:spacing w:val="-2"/>
        </w:rPr>
      </w:pPr>
      <w:r>
        <w:t xml:space="preserve">By </w:t>
      </w:r>
      <w:r w:rsidR="004E4A22">
        <w:t>the</w:t>
      </w:r>
      <w:r w:rsidR="00E44B48">
        <w:rPr>
          <w:spacing w:val="-2"/>
        </w:rPr>
        <w:t xml:space="preserve"> Acting Chief, Consumer and Governmental Affairs Bureau</w:t>
      </w:r>
      <w:r>
        <w:rPr>
          <w:spacing w:val="-2"/>
        </w:rPr>
        <w:t>:</w:t>
      </w:r>
    </w:p>
    <w:p w:rsidR="00412FC5" w:rsidP="006F4762" w14:paraId="31B53F54" w14:textId="77777777">
      <w:pPr>
        <w:pStyle w:val="Heading1"/>
        <w:numPr>
          <w:ilvl w:val="0"/>
          <w:numId w:val="0"/>
        </w:numPr>
      </w:pPr>
    </w:p>
    <w:p w:rsidR="00B76203" w:rsidP="00F379F0" w14:paraId="7971C3D5" w14:textId="2982F1A6">
      <w:pPr>
        <w:pStyle w:val="ParaNum"/>
      </w:pPr>
      <w:r>
        <w:t xml:space="preserve">By this Order, we </w:t>
      </w:r>
      <w:r w:rsidR="00BE67D9">
        <w:t xml:space="preserve">conform Part 64 of the Commission’s rules to a court decision nullifying </w:t>
      </w:r>
      <w:r w:rsidR="00375E14">
        <w:t>the first full paragraph of section 64.1200(f)(9)</w:t>
      </w:r>
      <w:r w:rsidR="00BF37AF">
        <w:t xml:space="preserve"> as adopted in the </w:t>
      </w:r>
      <w:r w:rsidRPr="006637B9" w:rsidR="00BF37AF">
        <w:rPr>
          <w:i/>
          <w:iCs/>
        </w:rPr>
        <w:t>Second Text Blocking Report and Order</w:t>
      </w:r>
      <w:r w:rsidR="000049D7">
        <w:t>.</w:t>
      </w:r>
      <w:r>
        <w:rPr>
          <w:rStyle w:val="FootnoteReference"/>
        </w:rPr>
        <w:footnoteReference w:id="3"/>
      </w:r>
      <w:r>
        <w:t xml:space="preserve">  </w:t>
      </w:r>
      <w:r w:rsidRPr="00B76203">
        <w:t xml:space="preserve">In the </w:t>
      </w:r>
      <w:r w:rsidRPr="005F68E5">
        <w:rPr>
          <w:i/>
          <w:iCs/>
        </w:rPr>
        <w:t>Delete, Delete, Delete</w:t>
      </w:r>
      <w:r w:rsidRPr="00B76203">
        <w:t xml:space="preserve"> proceeding, the Commission made clear its goal to “review its rules to identify and eliminate those that are unnecessary in light of current circumstances.”</w:t>
      </w:r>
      <w:r>
        <w:rPr>
          <w:rStyle w:val="FootnoteReference"/>
        </w:rPr>
        <w:footnoteReference w:id="4"/>
      </w:r>
      <w:r w:rsidRPr="00B76203">
        <w:t xml:space="preserve"> The </w:t>
      </w:r>
      <w:r w:rsidR="00BE67D9">
        <w:t>Consumer and Governmental Affairs</w:t>
      </w:r>
      <w:r w:rsidRPr="00B76203">
        <w:t xml:space="preserve"> Bureau</w:t>
      </w:r>
      <w:r w:rsidR="00D72B31">
        <w:t xml:space="preserve"> (Bureau)</w:t>
      </w:r>
      <w:r w:rsidRPr="00B76203">
        <w:t xml:space="preserve"> takes this action in furtherance of that goal.</w:t>
      </w:r>
      <w:r>
        <w:rPr>
          <w:rStyle w:val="FootnoteReference"/>
        </w:rPr>
        <w:footnoteReference w:id="5"/>
      </w:r>
      <w:r w:rsidR="005F68E5">
        <w:t xml:space="preserve">  Our action </w:t>
      </w:r>
      <w:r w:rsidR="00434FEA">
        <w:t xml:space="preserve">ensures that </w:t>
      </w:r>
      <w:r w:rsidR="005F68E5">
        <w:t>new and burdensome requirements</w:t>
      </w:r>
      <w:r w:rsidR="00513A68">
        <w:t xml:space="preserve"> </w:t>
      </w:r>
      <w:r w:rsidR="00434FEA">
        <w:t>are eliminated from</w:t>
      </w:r>
      <w:r w:rsidR="00513A68">
        <w:t xml:space="preserve"> the rules</w:t>
      </w:r>
      <w:r w:rsidR="005F68E5">
        <w:t>.</w:t>
      </w:r>
    </w:p>
    <w:p w:rsidR="0083650D" w:rsidP="00F379F0" w14:paraId="474F136E" w14:textId="0B9F4663">
      <w:pPr>
        <w:pStyle w:val="ParaNum"/>
      </w:pPr>
      <w:r w:rsidRPr="0083650D">
        <w:t xml:space="preserve">In </w:t>
      </w:r>
      <w:r w:rsidRPr="006D5A3F" w:rsidR="00255392">
        <w:rPr>
          <w:i/>
          <w:iCs/>
        </w:rPr>
        <w:t>Insurance Marketing Coalition L</w:t>
      </w:r>
      <w:r w:rsidRPr="006D5A3F" w:rsidR="00A25DA6">
        <w:rPr>
          <w:i/>
          <w:iCs/>
        </w:rPr>
        <w:t>imited</w:t>
      </w:r>
      <w:r w:rsidRPr="006D5A3F">
        <w:rPr>
          <w:i/>
          <w:iCs/>
        </w:rPr>
        <w:t xml:space="preserve"> v. FCC</w:t>
      </w:r>
      <w:r w:rsidRPr="0083650D">
        <w:t>,</w:t>
      </w:r>
      <w:r>
        <w:rPr>
          <w:rStyle w:val="FootnoteReference"/>
        </w:rPr>
        <w:footnoteReference w:id="6"/>
      </w:r>
      <w:r w:rsidRPr="0083650D">
        <w:t xml:space="preserve"> the United States Court of Appeals for the </w:t>
      </w:r>
      <w:r w:rsidR="00A25DA6">
        <w:t>Eleventh</w:t>
      </w:r>
      <w:r w:rsidRPr="0083650D">
        <w:t xml:space="preserve"> Circuit vacated and remanded </w:t>
      </w:r>
      <w:r w:rsidR="006800AB">
        <w:t xml:space="preserve">part III.D of the </w:t>
      </w:r>
      <w:r w:rsidRPr="0083650D">
        <w:t xml:space="preserve">Commission’s </w:t>
      </w:r>
      <w:r w:rsidRPr="006637B9" w:rsidR="006800AB">
        <w:rPr>
          <w:i/>
          <w:iCs/>
        </w:rPr>
        <w:t>Second Text Blocking Report and Order</w:t>
      </w:r>
      <w:r w:rsidRPr="0083650D">
        <w:t>.</w:t>
      </w:r>
      <w:r>
        <w:rPr>
          <w:rStyle w:val="FootnoteReference"/>
        </w:rPr>
        <w:footnoteReference w:id="7"/>
      </w:r>
      <w:r w:rsidRPr="0083650D">
        <w:t xml:space="preserve">  Pursuant to F. R. App. P. 41(b), the court issued its mandate on </w:t>
      </w:r>
      <w:r w:rsidR="00C833B4">
        <w:t>April 30, 2025</w:t>
      </w:r>
      <w:r w:rsidRPr="0083650D">
        <w:t xml:space="preserve">, which vacated, as of that date, the rule change adopted in the </w:t>
      </w:r>
      <w:r w:rsidRPr="006637B9" w:rsidR="00B22EBF">
        <w:rPr>
          <w:i/>
          <w:iCs/>
        </w:rPr>
        <w:t>Second Text Blocking Report and Order</w:t>
      </w:r>
      <w:r w:rsidRPr="0083650D" w:rsidR="00B22EBF">
        <w:t xml:space="preserve"> </w:t>
      </w:r>
      <w:r w:rsidR="00B22EBF">
        <w:t xml:space="preserve">for </w:t>
      </w:r>
      <w:r w:rsidR="00255EDB">
        <w:t xml:space="preserve">the first full paragraph of </w:t>
      </w:r>
      <w:r w:rsidR="00B22EBF">
        <w:t>section 64.1200(f)(9) of the Commission’s rules.</w:t>
      </w:r>
      <w:r>
        <w:rPr>
          <w:rStyle w:val="FootnoteReference"/>
        </w:rPr>
        <w:footnoteReference w:id="8"/>
      </w:r>
      <w:r w:rsidRPr="0083650D">
        <w:t xml:space="preserve">  With this Order, we amend our rules to reflect the court’s mandate</w:t>
      </w:r>
      <w:r w:rsidR="00551EFA">
        <w:t>.  Specifically</w:t>
      </w:r>
      <w:r w:rsidR="00EC219C">
        <w:t xml:space="preserve">, </w:t>
      </w:r>
      <w:r w:rsidRPr="0083650D" w:rsidR="00EC219C">
        <w:t xml:space="preserve">this Order repeals </w:t>
      </w:r>
      <w:r w:rsidR="00EC219C">
        <w:t xml:space="preserve">the revised version of section 64.1200(f)(9) of the Commission’s rules </w:t>
      </w:r>
      <w:r w:rsidRPr="0083650D" w:rsidR="00EC219C">
        <w:t xml:space="preserve">adopted in the </w:t>
      </w:r>
      <w:r w:rsidRPr="00F379F0" w:rsidR="00EC219C">
        <w:rPr>
          <w:i/>
          <w:iCs/>
        </w:rPr>
        <w:t>Second Text Blocking Report and Order</w:t>
      </w:r>
      <w:r w:rsidRPr="0083650D" w:rsidR="00EC219C">
        <w:t xml:space="preserve"> </w:t>
      </w:r>
      <w:r w:rsidR="00EC219C">
        <w:t>and reinstate</w:t>
      </w:r>
      <w:r w:rsidR="00984880">
        <w:t>s</w:t>
      </w:r>
      <w:r w:rsidR="00EC219C">
        <w:t xml:space="preserve"> </w:t>
      </w:r>
      <w:r w:rsidR="00146E3D">
        <w:t>in</w:t>
      </w:r>
      <w:r w:rsidR="00F33B26">
        <w:t xml:space="preserve"> our codified rules </w:t>
      </w:r>
      <w:r w:rsidR="00EC219C">
        <w:t xml:space="preserve">the version of </w:t>
      </w:r>
      <w:r w:rsidR="00F33B26">
        <w:t>section 64.1200(f)(9)</w:t>
      </w:r>
      <w:r w:rsidR="00EC219C">
        <w:t xml:space="preserve"> </w:t>
      </w:r>
      <w:r w:rsidRPr="0083650D" w:rsidR="00EC219C">
        <w:t xml:space="preserve">as </w:t>
      </w:r>
      <w:r w:rsidR="00EC219C">
        <w:t xml:space="preserve">it </w:t>
      </w:r>
      <w:r w:rsidRPr="0083650D" w:rsidR="00EC219C">
        <w:t xml:space="preserve">existed prior to the </w:t>
      </w:r>
      <w:r w:rsidRPr="00F379F0" w:rsidR="00EC219C">
        <w:rPr>
          <w:i/>
          <w:iCs/>
        </w:rPr>
        <w:t>Second Text Blocking Report and Order</w:t>
      </w:r>
      <w:r w:rsidRPr="0083650D" w:rsidR="00EC219C">
        <w:t>.</w:t>
      </w:r>
      <w:r w:rsidRPr="0083650D">
        <w:t xml:space="preserve"> </w:t>
      </w:r>
    </w:p>
    <w:p w:rsidR="00ED6553" w:rsidP="00F379F0" w14:paraId="12B4EBB5" w14:textId="414B9798">
      <w:pPr>
        <w:pStyle w:val="ParaNum"/>
      </w:pPr>
      <w:r w:rsidRPr="002E21FD">
        <w:t xml:space="preserve">The </w:t>
      </w:r>
      <w:r w:rsidR="004D1490">
        <w:t>Bureau</w:t>
      </w:r>
      <w:r w:rsidRPr="002E21FD">
        <w:t xml:space="preserve"> </w:t>
      </w:r>
      <w:r w:rsidR="000D4C35">
        <w:t xml:space="preserve">for good cause </w:t>
      </w:r>
      <w:r w:rsidRPr="002E21FD">
        <w:t>finds that notice and comment are unnecessary for th</w:t>
      </w:r>
      <w:r w:rsidR="00074B0A">
        <w:t>is</w:t>
      </w:r>
      <w:r w:rsidRPr="002E21FD">
        <w:t xml:space="preserve"> rule amendment under 5 U.S.C. § 553(b)</w:t>
      </w:r>
      <w:r w:rsidR="00D230C2">
        <w:t>(B)</w:t>
      </w:r>
      <w:r w:rsidRPr="002E21FD">
        <w:t xml:space="preserve"> because this ministerial order merely implements the mandate of the United States Court of Appeals for the </w:t>
      </w:r>
      <w:r w:rsidR="00074B0A">
        <w:t>Eleventh</w:t>
      </w:r>
      <w:r w:rsidRPr="002E21FD">
        <w:t xml:space="preserve"> Circuit, and the Commission lacks discretion to depart from this mandate.</w:t>
      </w:r>
      <w:r>
        <w:rPr>
          <w:rStyle w:val="FootnoteReference"/>
        </w:rPr>
        <w:footnoteReference w:id="9"/>
      </w:r>
      <w:r w:rsidRPr="002E21FD" w:rsidR="00D230C2">
        <w:t xml:space="preserve"> </w:t>
      </w:r>
      <w:r w:rsidRPr="002E21FD">
        <w:t xml:space="preserve"> </w:t>
      </w:r>
      <w:r w:rsidRPr="002E21FD">
        <w:t>B</w:t>
      </w:r>
      <w:r w:rsidRPr="002E21FD">
        <w:t>ecause this Order is being adopted without notice and comment, the Regulatory Flexibility Act does not apply</w:t>
      </w:r>
      <w:r w:rsidR="003303CC">
        <w:t>.</w:t>
      </w:r>
      <w:r>
        <w:rPr>
          <w:rStyle w:val="FootnoteReference"/>
        </w:rPr>
        <w:footnoteReference w:id="10"/>
      </w:r>
    </w:p>
    <w:p w:rsidR="0027193E" w:rsidP="00F379F0" w14:paraId="2736175B" w14:textId="1B899484">
      <w:pPr>
        <w:pStyle w:val="ParaNum"/>
      </w:pPr>
      <w:r w:rsidRPr="0027193E">
        <w:t xml:space="preserve">Accordingly, IT IS ORDERED that </w:t>
      </w:r>
      <w:r>
        <w:t>section 64.1200(f)(9)</w:t>
      </w:r>
      <w:r w:rsidRPr="0027193E">
        <w:t xml:space="preserve"> of the Commission’s rules, 47 CFR § </w:t>
      </w:r>
      <w:r>
        <w:t>64.1200(f)(9)</w:t>
      </w:r>
      <w:r w:rsidRPr="0027193E">
        <w:t>, is amended as set forth in the Appendix, effective upon publication in the Federal Register</w:t>
      </w:r>
      <w:r w:rsidR="00451967">
        <w:t>.</w:t>
      </w:r>
      <w:r>
        <w:rPr>
          <w:rStyle w:val="FootnoteReference"/>
        </w:rPr>
        <w:footnoteReference w:id="11"/>
      </w:r>
    </w:p>
    <w:p w:rsidR="00A577F1" w:rsidP="00F379F0" w14:paraId="15A624D5" w14:textId="37AE5A16">
      <w:pPr>
        <w:pStyle w:val="ParaNum"/>
      </w:pPr>
      <w:r w:rsidRPr="00A577F1">
        <w:t xml:space="preserve">This action is taken pursuant to the authority contained in sections </w:t>
      </w:r>
      <w:r w:rsidR="00D129FD">
        <w:t>4(</w:t>
      </w:r>
      <w:r w:rsidR="00D129FD">
        <w:t>i</w:t>
      </w:r>
      <w:r w:rsidR="00D129FD">
        <w:t>), 4(j), 5(c), and 227</w:t>
      </w:r>
      <w:r w:rsidR="00816B69">
        <w:t>(b)</w:t>
      </w:r>
      <w:r w:rsidRPr="00A577F1">
        <w:t xml:space="preserve"> of the Communications Act of 1934, as amended, 47 U.S.C. §§ </w:t>
      </w:r>
      <w:r w:rsidR="006C00C1">
        <w:t>154</w:t>
      </w:r>
      <w:r w:rsidR="00D129FD">
        <w:t>(</w:t>
      </w:r>
      <w:r w:rsidR="00D129FD">
        <w:t>i</w:t>
      </w:r>
      <w:r w:rsidR="00D129FD">
        <w:t>)</w:t>
      </w:r>
      <w:r w:rsidR="006C00C1">
        <w:t xml:space="preserve">, </w:t>
      </w:r>
      <w:r w:rsidR="00D129FD">
        <w:t>154(j), 155(c), 227(</w:t>
      </w:r>
      <w:r w:rsidR="00816B69">
        <w:t xml:space="preserve">b), </w:t>
      </w:r>
      <w:r w:rsidR="006C00C1">
        <w:t xml:space="preserve">and sections </w:t>
      </w:r>
      <w:r w:rsidR="00B44E1B">
        <w:t xml:space="preserve">0.141 and 0.361 of the Commission’s rules, 47 CFR </w:t>
      </w:r>
      <w:r w:rsidRPr="00A577F1" w:rsidR="00DB3688">
        <w:t>§§</w:t>
      </w:r>
      <w:r w:rsidR="00DB3688">
        <w:t xml:space="preserve"> </w:t>
      </w:r>
      <w:r w:rsidR="00143A46">
        <w:t>0.141, 0.361.</w:t>
      </w:r>
    </w:p>
    <w:p w:rsidR="00A577F1" w:rsidP="0033217F" w14:paraId="12773FA6" w14:textId="3CA254B0">
      <w:pPr>
        <w:pStyle w:val="ParaNum"/>
      </w:pPr>
      <w:r w:rsidRPr="0039225F">
        <w:t>The Commission will send a copy of this Order to Congress and the Government Accountability Office pursuant to 5 U.S.C. § 801(a)(1)(A).</w:t>
      </w:r>
      <w:r w:rsidRPr="0033217F" w:rsidR="0033217F">
        <w:t xml:space="preserve"> </w:t>
      </w:r>
      <w:r w:rsidR="00C161A6">
        <w:t xml:space="preserve"> </w:t>
      </w:r>
      <w:r w:rsidR="0033217F">
        <w:t xml:space="preserve">The Bureau finds good cause to make this rule effective earlier than 60 days after the Order is submitted to Congress and the Government Accountability Office, pursuant to 5 U.S.C. § 808(2), because this ministerial order merely implements the mandate of the United States Court of Appeals for the </w:t>
      </w:r>
      <w:r w:rsidR="00C725F6">
        <w:t xml:space="preserve">Eleventh </w:t>
      </w:r>
      <w:r w:rsidR="0033217F">
        <w:t>Circuit, and the Commission lacks discretion to depart from this mandate.</w:t>
      </w:r>
    </w:p>
    <w:p w:rsidR="00CC43B5" w:rsidP="005F68E5" w14:paraId="55F85E89" w14:textId="0CC2D475">
      <w:pPr>
        <w:pStyle w:val="ParaNum"/>
        <w:numPr>
          <w:ilvl w:val="0"/>
          <w:numId w:val="0"/>
        </w:numPr>
      </w:pPr>
    </w:p>
    <w:p w:rsidR="00856FD4" w:rsidP="00CC43B5" w14:paraId="72043C9F" w14:textId="77777777">
      <w:pPr>
        <w:pStyle w:val="ParaNum"/>
        <w:numPr>
          <w:ilvl w:val="0"/>
          <w:numId w:val="0"/>
        </w:numPr>
        <w:ind w:left="3600" w:firstLine="720"/>
      </w:pPr>
      <w:r>
        <w:br w:type="column"/>
      </w:r>
    </w:p>
    <w:p w:rsidR="00856FD4" w:rsidP="00CC43B5" w14:paraId="55225F7A" w14:textId="77777777">
      <w:pPr>
        <w:pStyle w:val="ParaNum"/>
        <w:numPr>
          <w:ilvl w:val="0"/>
          <w:numId w:val="0"/>
        </w:numPr>
        <w:ind w:left="3600" w:firstLine="720"/>
      </w:pPr>
    </w:p>
    <w:p w:rsidR="00CC43B5" w:rsidP="00CC43B5" w14:paraId="51B10DBB" w14:textId="2796896A">
      <w:pPr>
        <w:pStyle w:val="ParaNum"/>
        <w:numPr>
          <w:ilvl w:val="0"/>
          <w:numId w:val="0"/>
        </w:numPr>
        <w:ind w:left="3600" w:firstLine="720"/>
      </w:pPr>
      <w:r>
        <w:t>FEDERAL COMMUNICATIONS COMMISSION</w:t>
      </w:r>
    </w:p>
    <w:p w:rsidR="00602F6F" w:rsidP="00CC43B5" w14:paraId="4EA2CC7F" w14:textId="77777777">
      <w:pPr>
        <w:pStyle w:val="ParaNum"/>
        <w:numPr>
          <w:ilvl w:val="0"/>
          <w:numId w:val="0"/>
        </w:numPr>
        <w:ind w:left="3600" w:firstLine="720"/>
      </w:pPr>
    </w:p>
    <w:p w:rsidR="00602F6F" w:rsidP="002D5FCD" w14:paraId="5225824E" w14:textId="537B2C7E">
      <w:pPr>
        <w:pStyle w:val="ParaNum"/>
        <w:numPr>
          <w:ilvl w:val="0"/>
          <w:numId w:val="0"/>
        </w:numPr>
        <w:ind w:left="4320"/>
      </w:pPr>
      <w:r w:rsidRPr="00A040EA">
        <w:t>Eduard W. Bartholme III</w:t>
      </w:r>
      <w:r w:rsidRPr="00A040EA">
        <w:t xml:space="preserve"> </w:t>
      </w:r>
      <w:r>
        <w:br/>
        <w:t xml:space="preserve">Acting Chief, </w:t>
      </w:r>
      <w:r w:rsidR="002D5FCD">
        <w:t xml:space="preserve">                                                      </w:t>
      </w:r>
      <w:r>
        <w:t>Consumer and Governmental Affairs Bureau</w:t>
      </w:r>
    </w:p>
    <w:p w:rsidR="00B03862" w:rsidP="002D5FCD" w14:paraId="3D206BC3" w14:textId="77777777">
      <w:pPr>
        <w:pStyle w:val="ParaNum"/>
        <w:numPr>
          <w:ilvl w:val="0"/>
          <w:numId w:val="0"/>
        </w:numPr>
        <w:ind w:left="4320"/>
      </w:pPr>
    </w:p>
    <w:p w:rsidR="00982293" w14:paraId="799FDC9D" w14:textId="270F0E98">
      <w:pPr>
        <w:widowControl/>
      </w:pPr>
      <w:r>
        <w:br w:type="page"/>
      </w:r>
    </w:p>
    <w:p w:rsidR="00B03862" w:rsidP="007C29DF" w14:paraId="07AF956B" w14:textId="5F4F37C2">
      <w:pPr>
        <w:pStyle w:val="ParaNum"/>
        <w:numPr>
          <w:ilvl w:val="0"/>
          <w:numId w:val="0"/>
        </w:numPr>
        <w:jc w:val="center"/>
      </w:pPr>
      <w:r>
        <w:t>APPENDIX</w:t>
      </w:r>
    </w:p>
    <w:p w:rsidR="00725410" w:rsidRPr="00C23B9C" w:rsidP="00725410" w14:paraId="1954B2E6" w14:textId="77777777">
      <w:pPr>
        <w:pStyle w:val="ParaNum"/>
        <w:numPr>
          <w:ilvl w:val="0"/>
          <w:numId w:val="0"/>
        </w:numPr>
        <w:jc w:val="center"/>
      </w:pPr>
      <w:r w:rsidRPr="00C23B9C">
        <w:t>Final Rules</w:t>
      </w:r>
    </w:p>
    <w:p w:rsidR="00725410" w:rsidP="00725410" w14:paraId="615FE98F" w14:textId="3A547CF4">
      <w:pPr>
        <w:spacing w:after="120"/>
      </w:pPr>
      <w:r w:rsidRPr="005E1F0D">
        <w:t>The Federal Communications Commission amends Part</w:t>
      </w:r>
      <w:r>
        <w:t xml:space="preserve"> </w:t>
      </w:r>
      <w:r w:rsidRPr="005E1F0D">
        <w:t xml:space="preserve">64 of Title 47 of the Code of Federal Regulations as follows: </w:t>
      </w:r>
    </w:p>
    <w:p w:rsidR="00294628" w:rsidRPr="005E1F0D" w:rsidP="00294628" w14:paraId="019D2252" w14:textId="77777777">
      <w:r w:rsidRPr="005E1F0D">
        <w:t>PART 64—MISCELLANEOUS RULES RELATING TO COMMON CARRIERS</w:t>
      </w:r>
    </w:p>
    <w:p w:rsidR="00294628" w:rsidRPr="005E1F0D" w:rsidP="00294628" w14:paraId="043A5997" w14:textId="77777777"/>
    <w:p w:rsidR="00294628" w:rsidP="00294628" w14:paraId="4D8BB95E" w14:textId="77777777">
      <w:r w:rsidRPr="005E1F0D">
        <w:t>Subpart L—Restrictions on Telemarketing, Telephone Solicitation, and Facsimile Advertising</w:t>
      </w:r>
    </w:p>
    <w:p w:rsidR="00D61A63" w:rsidRPr="005E1F0D" w:rsidP="00294628" w14:paraId="27D9B07D" w14:textId="77777777"/>
    <w:p w:rsidR="00294628" w:rsidRPr="00AA64CA" w:rsidP="00725410" w14:paraId="32D07173" w14:textId="779E39C9">
      <w:pPr>
        <w:spacing w:after="120"/>
        <w:rPr>
          <w:bCs/>
          <w:szCs w:val="22"/>
        </w:rPr>
      </w:pPr>
      <w:r w:rsidRPr="00AA64CA">
        <w:rPr>
          <w:bCs/>
          <w:szCs w:val="22"/>
        </w:rPr>
        <w:t>Amend § 64.1200 by revising the first full paragraph of paragraph (f)(9) to read as follows</w:t>
      </w:r>
      <w:r w:rsidRPr="00AA64CA" w:rsidR="00A869C5">
        <w:rPr>
          <w:bCs/>
          <w:szCs w:val="22"/>
        </w:rPr>
        <w:t>:</w:t>
      </w:r>
    </w:p>
    <w:p w:rsidR="00AA64CA" w:rsidRPr="00AA64CA" w:rsidP="00AA64CA" w14:paraId="67D27DC6" w14:textId="2EA594D1">
      <w:pPr>
        <w:spacing w:after="120"/>
        <w:rPr>
          <w:szCs w:val="22"/>
        </w:rPr>
      </w:pPr>
      <w:r w:rsidRPr="00AA64CA">
        <w:rPr>
          <w:szCs w:val="22"/>
        </w:rPr>
        <w:t>(f)(9) The term prior express written consent means an agreement, in writing, bearing the signature of the person called that clearly authorizes the seller to deliver or cause to be delivered to the person called advertisements or telemarketing messages using an automatic telephone dialing system or an artificial or prerecorded voice, and the telephone number to which the signatory authorizes such advertisements or telemarketing messages to be delivered.</w:t>
      </w:r>
      <w:r w:rsidRPr="00AA64CA">
        <w:rPr>
          <w:color w:val="000000"/>
          <w:kern w:val="0"/>
          <w:szCs w:val="22"/>
        </w:rPr>
        <w:t> </w:t>
      </w:r>
    </w:p>
    <w:p w:rsidR="00AA64CA" w:rsidRPr="00AA64CA" w:rsidP="00AA64CA" w14:paraId="112FFCEF" w14:textId="77777777">
      <w:pPr>
        <w:autoSpaceDE w:val="0"/>
        <w:autoSpaceDN w:val="0"/>
        <w:adjustRightInd w:val="0"/>
        <w:jc w:val="both"/>
        <w:rPr>
          <w:color w:val="000000"/>
          <w:kern w:val="0"/>
          <w:szCs w:val="22"/>
        </w:rPr>
      </w:pPr>
      <w:r w:rsidRPr="00AA64CA">
        <w:rPr>
          <w:color w:val="000000"/>
          <w:kern w:val="0"/>
          <w:szCs w:val="22"/>
        </w:rPr>
        <w:t>(</w:t>
      </w:r>
      <w:r w:rsidRPr="00AA64CA">
        <w:rPr>
          <w:color w:val="000000"/>
          <w:kern w:val="0"/>
          <w:szCs w:val="22"/>
        </w:rPr>
        <w:t>i</w:t>
      </w:r>
      <w:r w:rsidRPr="00AA64CA">
        <w:rPr>
          <w:color w:val="000000"/>
          <w:kern w:val="0"/>
          <w:szCs w:val="22"/>
        </w:rPr>
        <w:t>) The written agreement shall include a clear and conspicuous disclosure informing the person signing that:</w:t>
      </w:r>
    </w:p>
    <w:p w:rsidR="00AA64CA" w:rsidRPr="00AA64CA" w:rsidP="00AA64CA" w14:paraId="790714CB" w14:textId="77777777">
      <w:pPr>
        <w:autoSpaceDE w:val="0"/>
        <w:autoSpaceDN w:val="0"/>
        <w:adjustRightInd w:val="0"/>
        <w:jc w:val="both"/>
        <w:rPr>
          <w:color w:val="000000"/>
          <w:kern w:val="0"/>
          <w:szCs w:val="22"/>
        </w:rPr>
      </w:pPr>
      <w:r w:rsidRPr="00AA64CA">
        <w:rPr>
          <w:color w:val="000000"/>
          <w:kern w:val="0"/>
          <w:szCs w:val="22"/>
        </w:rPr>
        <w:t> </w:t>
      </w:r>
    </w:p>
    <w:p w:rsidR="00AA64CA" w:rsidRPr="00AA64CA" w:rsidP="00AA64CA" w14:paraId="1FB5A3E3" w14:textId="77777777">
      <w:pPr>
        <w:autoSpaceDE w:val="0"/>
        <w:autoSpaceDN w:val="0"/>
        <w:adjustRightInd w:val="0"/>
        <w:jc w:val="both"/>
        <w:rPr>
          <w:color w:val="000000"/>
          <w:kern w:val="0"/>
          <w:szCs w:val="22"/>
        </w:rPr>
      </w:pPr>
      <w:r w:rsidRPr="00AA64CA">
        <w:rPr>
          <w:color w:val="000000"/>
          <w:kern w:val="0"/>
          <w:szCs w:val="22"/>
        </w:rPr>
        <w:t>(A) By executing the agreement, such person authorizes the seller to deliver or cause to be delivered to the signatory telemarketing calls using an automatic telephone dialing system or an artificial or prerecorded voice; and</w:t>
      </w:r>
    </w:p>
    <w:p w:rsidR="00AA64CA" w:rsidRPr="00AA64CA" w:rsidP="00AA64CA" w14:paraId="165D03EC" w14:textId="77777777">
      <w:pPr>
        <w:autoSpaceDE w:val="0"/>
        <w:autoSpaceDN w:val="0"/>
        <w:adjustRightInd w:val="0"/>
        <w:jc w:val="both"/>
        <w:rPr>
          <w:color w:val="000000"/>
          <w:kern w:val="0"/>
          <w:szCs w:val="22"/>
        </w:rPr>
      </w:pPr>
      <w:r w:rsidRPr="00AA64CA">
        <w:rPr>
          <w:color w:val="000000"/>
          <w:kern w:val="0"/>
          <w:szCs w:val="22"/>
        </w:rPr>
        <w:t> </w:t>
      </w:r>
    </w:p>
    <w:p w:rsidR="00AA64CA" w:rsidRPr="00AA64CA" w:rsidP="00AA64CA" w14:paraId="096C4104" w14:textId="77777777">
      <w:pPr>
        <w:autoSpaceDE w:val="0"/>
        <w:autoSpaceDN w:val="0"/>
        <w:adjustRightInd w:val="0"/>
        <w:jc w:val="both"/>
        <w:rPr>
          <w:color w:val="000000"/>
          <w:kern w:val="0"/>
          <w:szCs w:val="22"/>
        </w:rPr>
      </w:pPr>
      <w:r w:rsidRPr="00AA64CA">
        <w:rPr>
          <w:color w:val="000000"/>
          <w:kern w:val="0"/>
          <w:szCs w:val="22"/>
        </w:rPr>
        <w:t>(B) The person is not required to sign the agreement (directly or indirectly), or agree to enter into such an agreement as a condition of purchasing any property, goods, or services.</w:t>
      </w:r>
    </w:p>
    <w:p w:rsidR="00AA64CA" w:rsidRPr="00AA64CA" w:rsidP="00AA64CA" w14:paraId="1906E67C" w14:textId="77777777">
      <w:pPr>
        <w:autoSpaceDE w:val="0"/>
        <w:autoSpaceDN w:val="0"/>
        <w:adjustRightInd w:val="0"/>
        <w:jc w:val="both"/>
        <w:rPr>
          <w:color w:val="000000"/>
          <w:kern w:val="0"/>
          <w:szCs w:val="22"/>
        </w:rPr>
      </w:pPr>
      <w:r w:rsidRPr="00AA64CA">
        <w:rPr>
          <w:color w:val="000000"/>
          <w:kern w:val="0"/>
          <w:szCs w:val="22"/>
        </w:rPr>
        <w:t> </w:t>
      </w:r>
    </w:p>
    <w:p w:rsidR="00AA64CA" w:rsidRPr="00AA64CA" w:rsidP="00AA64CA" w14:paraId="38C4E715" w14:textId="77777777">
      <w:pPr>
        <w:autoSpaceDE w:val="0"/>
        <w:autoSpaceDN w:val="0"/>
        <w:adjustRightInd w:val="0"/>
        <w:jc w:val="both"/>
        <w:rPr>
          <w:color w:val="000000"/>
          <w:kern w:val="0"/>
          <w:szCs w:val="22"/>
        </w:rPr>
      </w:pPr>
      <w:r w:rsidRPr="00AA64CA">
        <w:rPr>
          <w:color w:val="000000"/>
          <w:kern w:val="0"/>
          <w:szCs w:val="22"/>
        </w:rPr>
        <w:t>(ii) The term “signature” shall include an electronic or digital form of signature, to the extent that such form of signature is recognized as a valid signature under applicable federal law or state contract law.</w:t>
      </w:r>
    </w:p>
    <w:p w:rsidR="00AA64CA" w:rsidRPr="00AA64CA" w:rsidP="00AA64CA" w14:paraId="74E1E7C5" w14:textId="77777777">
      <w:pPr>
        <w:autoSpaceDE w:val="0"/>
        <w:autoSpaceDN w:val="0"/>
        <w:adjustRightInd w:val="0"/>
        <w:jc w:val="both"/>
        <w:rPr>
          <w:color w:val="000000"/>
          <w:kern w:val="0"/>
          <w:szCs w:val="22"/>
        </w:rPr>
      </w:pPr>
      <w:r w:rsidRPr="00AA64CA">
        <w:rPr>
          <w:color w:val="000000"/>
          <w:kern w:val="0"/>
          <w:szCs w:val="22"/>
        </w:rPr>
        <w:t> </w:t>
      </w:r>
    </w:p>
    <w:p w:rsidR="00AA64CA" w:rsidRPr="00AA64CA" w:rsidP="00E82B59" w14:paraId="7F130AA7" w14:textId="77777777">
      <w:pPr>
        <w:spacing w:after="120"/>
        <w:rPr>
          <w:szCs w:val="22"/>
        </w:rPr>
      </w:pPr>
    </w:p>
    <w:p w:rsidR="00982293" w:rsidRPr="0083650D" w:rsidP="002D5FCD" w14:paraId="0A031C34" w14:textId="77777777">
      <w:pPr>
        <w:pStyle w:val="ParaNum"/>
        <w:numPr>
          <w:ilvl w:val="0"/>
          <w:numId w:val="0"/>
        </w:numPr>
        <w:ind w:left="4320"/>
      </w:pPr>
    </w:p>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307A7" w14:paraId="17C175CD" w14:textId="77777777">
      <w:pPr>
        <w:spacing w:line="20" w:lineRule="exact"/>
      </w:pPr>
    </w:p>
  </w:endnote>
  <w:endnote w:type="continuationSeparator" w:id="1">
    <w:p w:rsidR="003307A7" w14:paraId="30C8BBD5" w14:textId="77777777">
      <w:r>
        <w:t xml:space="preserve"> </w:t>
      </w:r>
    </w:p>
  </w:endnote>
  <w:endnote w:type="continuationNotice" w:id="2">
    <w:p w:rsidR="003307A7" w14:paraId="1FB74E4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3AD0B3B2"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738A8C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308" w14:paraId="334E5770"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5F7D34C2"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0E326CBE"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307A7" w14:paraId="45E868BA" w14:textId="77777777">
      <w:r>
        <w:separator/>
      </w:r>
    </w:p>
  </w:footnote>
  <w:footnote w:type="continuationSeparator" w:id="1">
    <w:p w:rsidR="003307A7" w:rsidP="00C721AC" w14:paraId="1212E82D" w14:textId="77777777">
      <w:pPr>
        <w:spacing w:before="120"/>
        <w:rPr>
          <w:sz w:val="20"/>
        </w:rPr>
      </w:pPr>
      <w:r>
        <w:rPr>
          <w:sz w:val="20"/>
        </w:rPr>
        <w:t xml:space="preserve">(Continued from previous page)  </w:t>
      </w:r>
      <w:r>
        <w:rPr>
          <w:sz w:val="20"/>
        </w:rPr>
        <w:separator/>
      </w:r>
    </w:p>
  </w:footnote>
  <w:footnote w:type="continuationNotice" w:id="2">
    <w:p w:rsidR="003307A7" w:rsidP="00C721AC" w14:paraId="1447BA48" w14:textId="77777777">
      <w:pPr>
        <w:jc w:val="right"/>
        <w:rPr>
          <w:sz w:val="20"/>
        </w:rPr>
      </w:pPr>
      <w:r>
        <w:rPr>
          <w:sz w:val="20"/>
        </w:rPr>
        <w:t>(continued….)</w:t>
      </w:r>
    </w:p>
  </w:footnote>
  <w:footnote w:id="3">
    <w:p w:rsidR="00BF37AF" w14:paraId="283B9F4B" w14:textId="6F0576B5">
      <w:pPr>
        <w:pStyle w:val="FootnoteText"/>
      </w:pPr>
      <w:r>
        <w:rPr>
          <w:rStyle w:val="FootnoteReference"/>
        </w:rPr>
        <w:footnoteRef/>
      </w:r>
      <w:r>
        <w:t xml:space="preserve"> </w:t>
      </w:r>
      <w:r w:rsidRPr="00096A32">
        <w:rPr>
          <w:i/>
          <w:iCs/>
          <w:spacing w:val="-2"/>
        </w:rPr>
        <w:t xml:space="preserve">Targeting and Eliminating Unlawful Text Messages, </w:t>
      </w:r>
      <w:r w:rsidRPr="00096A32">
        <w:rPr>
          <w:i/>
          <w:iCs/>
        </w:rPr>
        <w:t>Rules and Regulations Implementing the Telephone Consumer Protection Act of 1991</w:t>
      </w:r>
      <w:r w:rsidRPr="00096A32">
        <w:t xml:space="preserve">, </w:t>
      </w:r>
      <w:r w:rsidRPr="00096A32">
        <w:rPr>
          <w:i/>
          <w:iCs/>
        </w:rPr>
        <w:t>Advanced Methods to Target and Eliminate Unlawful Robocalls</w:t>
      </w:r>
      <w:r w:rsidRPr="00096A32">
        <w:t>,</w:t>
      </w:r>
      <w:r w:rsidRPr="00990C14">
        <w:t xml:space="preserve"> CG Docket Nos. 02-278, 21-402, 17-59, Second Report and Order and Second Further Notice of Proposed Rulemaking in CG Docket Nos. 02-278 and 21-402 and Waiver Order in CG Docket No. 17-59, 38 FCC </w:t>
      </w:r>
      <w:r w:rsidRPr="00990C14">
        <w:t>Rcd</w:t>
      </w:r>
      <w:r w:rsidRPr="00990C14">
        <w:t xml:space="preserve"> 12247 (2023) (</w:t>
      </w:r>
      <w:r w:rsidRPr="00990C14">
        <w:rPr>
          <w:i/>
        </w:rPr>
        <w:t>Second Text Blocking Report and Order</w:t>
      </w:r>
      <w:r w:rsidRPr="00990C14">
        <w:t>).</w:t>
      </w:r>
    </w:p>
  </w:footnote>
  <w:footnote w:id="4">
    <w:p w:rsidR="00BE67D9" w14:paraId="21F0B6C2" w14:textId="027479B0">
      <w:pPr>
        <w:pStyle w:val="FootnoteText"/>
      </w:pPr>
      <w:r>
        <w:rPr>
          <w:rStyle w:val="FootnoteReference"/>
        </w:rPr>
        <w:footnoteRef/>
      </w:r>
      <w:r>
        <w:t xml:space="preserve"> </w:t>
      </w:r>
      <w:r w:rsidRPr="005F68E5" w:rsidR="000049D7">
        <w:rPr>
          <w:i/>
          <w:iCs/>
        </w:rPr>
        <w:t>Delete, Delete, Delete</w:t>
      </w:r>
      <w:r w:rsidRPr="000049D7" w:rsidR="000049D7">
        <w:t>, GN Docket No. 25-133, Public Notice, DA 25-219, at 1 (rel. Mar. 12, 2025).</w:t>
      </w:r>
    </w:p>
  </w:footnote>
  <w:footnote w:id="5">
    <w:p w:rsidR="00BE67D9" w:rsidRPr="000049D7" w14:paraId="18FF9DCE" w14:textId="0A3CA463">
      <w:pPr>
        <w:pStyle w:val="FootnoteText"/>
      </w:pPr>
      <w:r>
        <w:rPr>
          <w:rStyle w:val="FootnoteReference"/>
        </w:rPr>
        <w:footnoteRef/>
      </w:r>
      <w:r>
        <w:t xml:space="preserve"> </w:t>
      </w:r>
      <w:r w:rsidR="000049D7">
        <w:rPr>
          <w:i/>
          <w:iCs/>
        </w:rPr>
        <w:t>Id.</w:t>
      </w:r>
      <w:r w:rsidR="000049D7">
        <w:t xml:space="preserve"> </w:t>
      </w:r>
      <w:r w:rsidR="00D30BBC">
        <w:t>a</w:t>
      </w:r>
      <w:r w:rsidR="000049D7">
        <w:t xml:space="preserve">t 5. </w:t>
      </w:r>
    </w:p>
  </w:footnote>
  <w:footnote w:id="6">
    <w:p w:rsidR="00766861" w14:paraId="1A40E8D9" w14:textId="1BE7D315">
      <w:pPr>
        <w:pStyle w:val="FootnoteText"/>
      </w:pPr>
      <w:r>
        <w:rPr>
          <w:rStyle w:val="FootnoteReference"/>
        </w:rPr>
        <w:footnoteRef/>
      </w:r>
      <w:r>
        <w:t xml:space="preserve"> </w:t>
      </w:r>
      <w:r w:rsidRPr="006D5A3F">
        <w:rPr>
          <w:i/>
          <w:iCs/>
        </w:rPr>
        <w:t>Insurance Marketing Coalition Limited v. FCC</w:t>
      </w:r>
      <w:r w:rsidRPr="0083650D">
        <w:t>,</w:t>
      </w:r>
      <w:r>
        <w:t xml:space="preserve"> </w:t>
      </w:r>
      <w:r w:rsidR="003D43F5">
        <w:t>127 F.4</w:t>
      </w:r>
      <w:r w:rsidRPr="003D43F5" w:rsidR="003D43F5">
        <w:rPr>
          <w:vertAlign w:val="superscript"/>
        </w:rPr>
        <w:t>th</w:t>
      </w:r>
      <w:r w:rsidR="003D43F5">
        <w:t xml:space="preserve"> 303</w:t>
      </w:r>
      <w:r w:rsidR="0037546D">
        <w:t xml:space="preserve"> (</w:t>
      </w:r>
      <w:r w:rsidR="00635437">
        <w:t>11</w:t>
      </w:r>
      <w:r w:rsidRPr="00635437" w:rsidR="00635437">
        <w:rPr>
          <w:vertAlign w:val="superscript"/>
        </w:rPr>
        <w:t>th</w:t>
      </w:r>
      <w:r w:rsidR="00635437">
        <w:t xml:space="preserve"> Cir. </w:t>
      </w:r>
      <w:r w:rsidR="002F4BD3">
        <w:t>2025).</w:t>
      </w:r>
    </w:p>
  </w:footnote>
  <w:footnote w:id="7">
    <w:p w:rsidR="00766861" w:rsidRPr="005F2DD7" w:rsidP="00990C14" w14:paraId="3C07F181" w14:textId="01B44E7A">
      <w:pPr>
        <w:tabs>
          <w:tab w:val="center" w:pos="4680"/>
        </w:tabs>
        <w:suppressAutoHyphens/>
        <w:spacing w:after="120"/>
      </w:pPr>
      <w:r>
        <w:rPr>
          <w:rStyle w:val="FootnoteReference"/>
        </w:rPr>
        <w:footnoteRef/>
      </w:r>
      <w:r>
        <w:t xml:space="preserve"> </w:t>
      </w:r>
      <w:r w:rsidRPr="00990C14" w:rsidR="00DA7351">
        <w:rPr>
          <w:i/>
          <w:sz w:val="20"/>
        </w:rPr>
        <w:t>Second Text Blocking Report and Order</w:t>
      </w:r>
      <w:r w:rsidR="00BF37AF">
        <w:rPr>
          <w:sz w:val="20"/>
        </w:rPr>
        <w:t>.</w:t>
      </w:r>
    </w:p>
  </w:footnote>
  <w:footnote w:id="8">
    <w:p w:rsidR="00857561" w14:paraId="30836CBB" w14:textId="113F5E78">
      <w:pPr>
        <w:pStyle w:val="FootnoteText"/>
      </w:pPr>
      <w:r>
        <w:rPr>
          <w:rStyle w:val="FootnoteReference"/>
        </w:rPr>
        <w:footnoteRef/>
      </w:r>
      <w:r>
        <w:t xml:space="preserve"> </w:t>
      </w:r>
      <w:r w:rsidR="00985964">
        <w:t>47 CFR § 64.1200(f)(9).</w:t>
      </w:r>
    </w:p>
  </w:footnote>
  <w:footnote w:id="9">
    <w:p w:rsidR="00D230C2" w:rsidP="00D230C2" w14:paraId="7D579EC0" w14:textId="5C4130B2">
      <w:pPr>
        <w:pStyle w:val="FootnoteText"/>
      </w:pPr>
      <w:r>
        <w:rPr>
          <w:rStyle w:val="FootnoteReference"/>
        </w:rPr>
        <w:footnoteRef/>
      </w:r>
      <w:r>
        <w:t xml:space="preserve"> 5 U.S.C. § 553(b)(B); </w:t>
      </w:r>
      <w:r>
        <w:rPr>
          <w:i/>
        </w:rPr>
        <w:t xml:space="preserve">see </w:t>
      </w:r>
      <w:r w:rsidR="00267BEA">
        <w:t xml:space="preserve">5 U.S.C. </w:t>
      </w:r>
      <w:r w:rsidR="005A3BFA">
        <w:t xml:space="preserve">§ 706 </w:t>
      </w:r>
      <w:r w:rsidR="00AA2CBE">
        <w:t>(</w:t>
      </w:r>
      <w:r w:rsidR="00AE690C">
        <w:t>direct</w:t>
      </w:r>
      <w:r w:rsidR="0019289A">
        <w:t>ing reviewing court</w:t>
      </w:r>
      <w:r w:rsidR="00AA2CBE">
        <w:t>, among other things,</w:t>
      </w:r>
      <w:r w:rsidR="00E15BFC">
        <w:t xml:space="preserve"> </w:t>
      </w:r>
      <w:r w:rsidR="0019289A">
        <w:t xml:space="preserve">to </w:t>
      </w:r>
      <w:r w:rsidR="00AE690C">
        <w:t>“</w:t>
      </w:r>
      <w:r w:rsidRPr="00AE690C" w:rsidR="00AE690C">
        <w:t>decide all relevant questions of law</w:t>
      </w:r>
      <w:r w:rsidR="00AA2CBE">
        <w:t>” and to “</w:t>
      </w:r>
      <w:bookmarkStart w:id="0" w:name="1"/>
      <w:bookmarkStart w:id="1" w:name="2"/>
      <w:bookmarkEnd w:id="0"/>
      <w:bookmarkEnd w:id="1"/>
      <w:r w:rsidRPr="00AE690C" w:rsidR="00AE690C">
        <w:t>hold unlawful and set aside </w:t>
      </w:r>
      <w:hyperlink r:id="rId1" w:history="1">
        <w:r w:rsidRPr="00DC201E" w:rsidR="00AE690C">
          <w:rPr>
            <w:rStyle w:val="Hyperlink"/>
            <w:color w:val="auto"/>
            <w:u w:val="none"/>
          </w:rPr>
          <w:t>agency action</w:t>
        </w:r>
      </w:hyperlink>
      <w:r w:rsidR="00AA2CBE">
        <w:t>”</w:t>
      </w:r>
      <w:r w:rsidR="006D17C5">
        <w:t xml:space="preserve"> found to be arbitrary, capricious, or otherwise not in accordance with law</w:t>
      </w:r>
      <w:r w:rsidR="00AA2CBE">
        <w:t>)</w:t>
      </w:r>
      <w:r w:rsidR="00BC4008">
        <w:t xml:space="preserve">; </w:t>
      </w:r>
      <w:r>
        <w:rPr>
          <w:i/>
          <w:iCs/>
        </w:rPr>
        <w:t>EME Homer City Generation LP v. EPA</w:t>
      </w:r>
      <w:r>
        <w:rPr>
          <w:iCs/>
        </w:rPr>
        <w:t>, 795 F.3d 118, 134</w:t>
      </w:r>
      <w:r w:rsidR="00FA65FF">
        <w:rPr>
          <w:iCs/>
        </w:rPr>
        <w:t>-35</w:t>
      </w:r>
      <w:r>
        <w:rPr>
          <w:iCs/>
        </w:rPr>
        <w:t xml:space="preserve"> (D.C. Cir. 2015) (affirming agency good cause determination that notice and comment were unnecessary when a court order invalidated a rule and “commentators could not have said anything during a notice and comment period that would have changed that fact”); </w:t>
      </w:r>
      <w:r w:rsidRPr="003C10A3" w:rsidR="00E81D61">
        <w:rPr>
          <w:i/>
        </w:rPr>
        <w:t>Accelerating Wireless Broadband Deployment by Removing Barriers to Infrastructure Investment</w:t>
      </w:r>
      <w:r w:rsidR="00E81D61">
        <w:rPr>
          <w:iCs/>
        </w:rPr>
        <w:t xml:space="preserve">, WT Docket No. 17-79, Order, 34 FCC </w:t>
      </w:r>
      <w:r w:rsidR="00E81D61">
        <w:rPr>
          <w:iCs/>
        </w:rPr>
        <w:t>Rcd</w:t>
      </w:r>
      <w:r w:rsidR="00E81D61">
        <w:rPr>
          <w:iCs/>
        </w:rPr>
        <w:t xml:space="preserve"> 9366, 9366, para. 2 &amp; n.7 (WTB 2019)</w:t>
      </w:r>
      <w:r w:rsidR="00466199">
        <w:rPr>
          <w:iCs/>
        </w:rPr>
        <w:t xml:space="preserve"> </w:t>
      </w:r>
      <w:r w:rsidR="00E81D61">
        <w:t>(</w:t>
      </w:r>
      <w:r w:rsidR="00FD06CD">
        <w:t xml:space="preserve">finding good cause </w:t>
      </w:r>
      <w:r w:rsidR="00C21512">
        <w:t xml:space="preserve">for reinstating rules without notice and comment </w:t>
      </w:r>
      <w:r w:rsidR="009E2087">
        <w:t>to comply with a court mandate</w:t>
      </w:r>
      <w:r w:rsidR="00E81D61">
        <w:t xml:space="preserve">); </w:t>
      </w:r>
      <w:r w:rsidRPr="00E81D61" w:rsidR="00E81D61">
        <w:rPr>
          <w:i/>
        </w:rPr>
        <w:t>see also</w:t>
      </w:r>
      <w:r w:rsidR="00E81D61">
        <w:rPr>
          <w:iCs/>
        </w:rPr>
        <w:t xml:space="preserve"> </w:t>
      </w:r>
      <w:r>
        <w:rPr>
          <w:i/>
          <w:iCs/>
        </w:rPr>
        <w:t>Amendment of the Part 95. Subpart E, Technical Regulations in the Personal Radio Services Rules</w:t>
      </w:r>
      <w:r>
        <w:t xml:space="preserve">, Order, 3 FCC </w:t>
      </w:r>
      <w:r>
        <w:t>Rcd</w:t>
      </w:r>
      <w:r>
        <w:t xml:space="preserve"> 5032, 5032, para. 11 (1988) (finding notice and comment unnecessary when revisions in an order “merely . . . delete redundant or obsolete rules”)</w:t>
      </w:r>
      <w:r w:rsidR="00EB4CB3">
        <w:t>.</w:t>
      </w:r>
    </w:p>
  </w:footnote>
  <w:footnote w:id="10">
    <w:p w:rsidR="003303CC" w:rsidRPr="00F45F29" w:rsidP="00125E01" w14:paraId="0E844DBA" w14:textId="2B1EF487">
      <w:pPr>
        <w:pStyle w:val="FootnoteText"/>
        <w:rPr>
          <w:iCs/>
        </w:rPr>
      </w:pPr>
      <w:r>
        <w:rPr>
          <w:rStyle w:val="FootnoteReference"/>
        </w:rPr>
        <w:footnoteRef/>
      </w:r>
      <w:r>
        <w:t xml:space="preserve"> </w:t>
      </w:r>
      <w:r>
        <w:rPr>
          <w:szCs w:val="22"/>
        </w:rPr>
        <w:t>5 U.S.C. § 60</w:t>
      </w:r>
      <w:r w:rsidR="00F45F29">
        <w:rPr>
          <w:szCs w:val="22"/>
        </w:rPr>
        <w:t>4(a)</w:t>
      </w:r>
      <w:r w:rsidR="00F45F29">
        <w:rPr>
          <w:i/>
          <w:szCs w:val="22"/>
        </w:rPr>
        <w:t xml:space="preserve"> </w:t>
      </w:r>
      <w:r w:rsidRPr="00F45F29" w:rsidR="00F45F29">
        <w:rPr>
          <w:iCs/>
          <w:szCs w:val="22"/>
        </w:rPr>
        <w:t>(</w:t>
      </w:r>
      <w:r w:rsidR="00A467A0">
        <w:rPr>
          <w:iCs/>
          <w:szCs w:val="22"/>
        </w:rPr>
        <w:t>sta</w:t>
      </w:r>
      <w:r w:rsidR="00B472C0">
        <w:rPr>
          <w:iCs/>
          <w:szCs w:val="22"/>
        </w:rPr>
        <w:t>ting t</w:t>
      </w:r>
      <w:r w:rsidR="008A7D3E">
        <w:rPr>
          <w:iCs/>
          <w:szCs w:val="22"/>
        </w:rPr>
        <w:t>h</w:t>
      </w:r>
      <w:r w:rsidR="00B472C0">
        <w:rPr>
          <w:iCs/>
          <w:szCs w:val="22"/>
        </w:rPr>
        <w:t>at</w:t>
      </w:r>
      <w:r w:rsidR="008A7D3E">
        <w:rPr>
          <w:iCs/>
          <w:szCs w:val="22"/>
        </w:rPr>
        <w:t xml:space="preserve"> </w:t>
      </w:r>
      <w:r w:rsidR="00B472C0">
        <w:rPr>
          <w:iCs/>
          <w:szCs w:val="22"/>
        </w:rPr>
        <w:t>th</w:t>
      </w:r>
      <w:r w:rsidR="008A7D3E">
        <w:rPr>
          <w:iCs/>
          <w:szCs w:val="22"/>
        </w:rPr>
        <w:t>e</w:t>
      </w:r>
      <w:r w:rsidR="00B472C0">
        <w:rPr>
          <w:iCs/>
          <w:szCs w:val="22"/>
        </w:rPr>
        <w:t xml:space="preserve"> requirement to prepare a final regulatory flexibility analysis</w:t>
      </w:r>
      <w:r w:rsidR="00211921">
        <w:rPr>
          <w:iCs/>
          <w:szCs w:val="22"/>
        </w:rPr>
        <w:t xml:space="preserve"> for a final rule applies </w:t>
      </w:r>
      <w:r w:rsidR="00E4274D">
        <w:rPr>
          <w:iCs/>
          <w:szCs w:val="22"/>
        </w:rPr>
        <w:t>“[w]</w:t>
      </w:r>
      <w:r w:rsidR="00211921">
        <w:rPr>
          <w:iCs/>
          <w:szCs w:val="22"/>
        </w:rPr>
        <w:t>hen</w:t>
      </w:r>
      <w:r w:rsidR="00125E01">
        <w:rPr>
          <w:iCs/>
          <w:szCs w:val="22"/>
        </w:rPr>
        <w:t xml:space="preserve"> </w:t>
      </w:r>
      <w:r w:rsidRPr="00125E01" w:rsidR="00125E01">
        <w:rPr>
          <w:iCs/>
          <w:szCs w:val="22"/>
        </w:rPr>
        <w:t>an agency promulgates a final rule under section 553 of this title, after being required by that section or any other</w:t>
      </w:r>
      <w:r w:rsidR="00125E01">
        <w:rPr>
          <w:iCs/>
          <w:szCs w:val="22"/>
        </w:rPr>
        <w:t xml:space="preserve"> </w:t>
      </w:r>
      <w:r w:rsidRPr="00125E01" w:rsidR="00125E01">
        <w:rPr>
          <w:iCs/>
          <w:szCs w:val="22"/>
        </w:rPr>
        <w:t>law to publish a general notice of proposed rulemaking</w:t>
      </w:r>
      <w:r w:rsidR="00125E01">
        <w:rPr>
          <w:iCs/>
          <w:szCs w:val="22"/>
        </w:rPr>
        <w:t>”)</w:t>
      </w:r>
      <w:r w:rsidR="00E44E67">
        <w:rPr>
          <w:iCs/>
          <w:szCs w:val="22"/>
        </w:rPr>
        <w:t xml:space="preserve">; </w:t>
      </w:r>
      <w:r w:rsidRPr="00D90E3D" w:rsidR="00E44E67">
        <w:rPr>
          <w:i/>
          <w:szCs w:val="22"/>
        </w:rPr>
        <w:t>id</w:t>
      </w:r>
      <w:r w:rsidR="00E44E67">
        <w:rPr>
          <w:iCs/>
          <w:szCs w:val="22"/>
        </w:rPr>
        <w:t>. § 603(a) (s</w:t>
      </w:r>
      <w:r w:rsidR="00517A33">
        <w:rPr>
          <w:iCs/>
          <w:szCs w:val="22"/>
        </w:rPr>
        <w:t xml:space="preserve">ame for initial regulatory </w:t>
      </w:r>
      <w:r w:rsidR="00725702">
        <w:rPr>
          <w:iCs/>
          <w:szCs w:val="22"/>
        </w:rPr>
        <w:t>flexibility analysis)</w:t>
      </w:r>
      <w:r w:rsidRPr="00F45F29">
        <w:rPr>
          <w:iCs/>
          <w:szCs w:val="22"/>
        </w:rPr>
        <w:t>.</w:t>
      </w:r>
    </w:p>
  </w:footnote>
  <w:footnote w:id="11">
    <w:p w:rsidR="00451967" w14:paraId="08135E4E" w14:textId="45777388">
      <w:pPr>
        <w:pStyle w:val="FootnoteText"/>
      </w:pPr>
      <w:r>
        <w:rPr>
          <w:rStyle w:val="FootnoteReference"/>
        </w:rPr>
        <w:footnoteRef/>
      </w:r>
      <w:r>
        <w:t xml:space="preserve"> </w:t>
      </w:r>
      <w:r w:rsidRPr="00451967">
        <w:t xml:space="preserve">While the effect of the court’s mandate was to vacate </w:t>
      </w:r>
      <w:r>
        <w:t>a</w:t>
      </w:r>
      <w:r w:rsidRPr="00451967">
        <w:t xml:space="preserve"> rule change and restore </w:t>
      </w:r>
      <w:r>
        <w:t xml:space="preserve">the </w:t>
      </w:r>
      <w:r w:rsidRPr="00451967">
        <w:t xml:space="preserve">prior rule, as described above, we now undertake by this Order the ministerial step of amending our rules to reflect the court’s mandate.  </w:t>
      </w:r>
      <w:r w:rsidR="00BE1AF1">
        <w:t>Prior to the court’s mandate, the Commission had postponed the effective date of the revised rule</w:t>
      </w:r>
      <w:r w:rsidR="009F18C1">
        <w:t xml:space="preserve"> and </w:t>
      </w:r>
      <w:r w:rsidR="00BE1AF1">
        <w:t xml:space="preserve">the </w:t>
      </w:r>
      <w:r w:rsidR="004B4582">
        <w:t>revised rule ha</w:t>
      </w:r>
      <w:r w:rsidR="00503EE1">
        <w:t>s</w:t>
      </w:r>
      <w:r w:rsidR="004B4582">
        <w:t xml:space="preserve"> n</w:t>
      </w:r>
      <w:r w:rsidR="00DB3591">
        <w:t>ot</w:t>
      </w:r>
      <w:r w:rsidR="004B4582">
        <w:t xml:space="preserve"> gone into effect.  </w:t>
      </w:r>
      <w:r w:rsidRPr="00AA1522" w:rsidR="00AA1522">
        <w:rPr>
          <w:i/>
          <w:iCs/>
        </w:rPr>
        <w:t>See</w:t>
      </w:r>
      <w:r w:rsidR="00AA1522">
        <w:t xml:space="preserve"> </w:t>
      </w:r>
      <w:r w:rsidRPr="00C23B9C" w:rsidR="00E85E5C">
        <w:rPr>
          <w:i/>
          <w:iCs/>
        </w:rPr>
        <w:t>Targeting and Eliminating Unlawful Text Messages, Rules and Regulations Implementing the Telephone Consumer Protection Act of 1991, Advanced Methods to Target and Eliminate Unlawful Robocalls</w:t>
      </w:r>
      <w:r w:rsidR="00E85E5C">
        <w:t>, CG Docket</w:t>
      </w:r>
      <w:r w:rsidR="00411BD9">
        <w:t xml:space="preserve"> No</w:t>
      </w:r>
      <w:r w:rsidR="00E85E5C">
        <w:t>s</w:t>
      </w:r>
      <w:r w:rsidR="00411BD9">
        <w:t>.</w:t>
      </w:r>
      <w:r w:rsidR="00E85E5C">
        <w:t xml:space="preserve"> 21-402, 02-278, 17</w:t>
      </w:r>
      <w:r w:rsidR="00C23B9C">
        <w:t>-</w:t>
      </w:r>
      <w:r w:rsidR="00E85E5C">
        <w:t>59,</w:t>
      </w:r>
      <w:r w:rsidR="00C23B9C">
        <w:t xml:space="preserve"> Order,</w:t>
      </w:r>
      <w:r w:rsidR="00E85E5C">
        <w:t xml:space="preserve"> DA </w:t>
      </w:r>
      <w:r w:rsidR="00B86064">
        <w:t>25-90 (CGB Jan. 2</w:t>
      </w:r>
      <w:r w:rsidR="00B939F7">
        <w:t>4</w:t>
      </w:r>
      <w:r w:rsidR="00B86064">
        <w:t>, 2025)</w:t>
      </w:r>
      <w:r w:rsidR="005B3D31">
        <w:t>.</w:t>
      </w:r>
      <w:r w:rsidRPr="00451967">
        <w:t xml:space="preserve">  </w:t>
      </w:r>
      <w:r w:rsidR="00AA1522">
        <w:t>For this reason</w:t>
      </w:r>
      <w:r w:rsidRPr="00451967" w:rsidR="00AA1522">
        <w:t xml:space="preserve">, </w:t>
      </w:r>
      <w:r w:rsidR="00851AE6">
        <w:t>we find</w:t>
      </w:r>
      <w:r w:rsidRPr="00451967" w:rsidR="00AA1522">
        <w:t xml:space="preserve"> “good cause” under 5 U.S.C. § 553(d)</w:t>
      </w:r>
      <w:r w:rsidR="003A37EE">
        <w:t>(3)</w:t>
      </w:r>
      <w:r w:rsidRPr="00451967" w:rsidR="00AA1522">
        <w:t xml:space="preserve"> to make the rule </w:t>
      </w:r>
      <w:r w:rsidR="007A1C1C">
        <w:t xml:space="preserve">amendment </w:t>
      </w:r>
      <w:r w:rsidRPr="00451967" w:rsidR="00AA1522">
        <w:t>effective immediately upon publication in the Federal Register</w:t>
      </w:r>
      <w:r w:rsidR="00AA1522">
        <w:t xml:space="preserve">, as </w:t>
      </w:r>
      <w:r w:rsidR="0050745F">
        <w:t xml:space="preserve">the </w:t>
      </w:r>
      <w:r w:rsidR="00BA175A">
        <w:t>amend</w:t>
      </w:r>
      <w:r w:rsidR="00384A75">
        <w:t xml:space="preserve">ment will </w:t>
      </w:r>
      <w:r w:rsidR="0024561F">
        <w:t xml:space="preserve">make </w:t>
      </w:r>
      <w:r w:rsidR="00D56FD9">
        <w:t>the</w:t>
      </w:r>
      <w:r w:rsidR="0024561F">
        <w:t xml:space="preserve"> codified rule</w:t>
      </w:r>
      <w:r w:rsidR="000E5AEF">
        <w:t xml:space="preserve"> in section 64.1200(f)(9)</w:t>
      </w:r>
      <w:r w:rsidR="0024561F">
        <w:t xml:space="preserve"> </w:t>
      </w:r>
      <w:r w:rsidR="003777ED">
        <w:t xml:space="preserve">reflect the rule </w:t>
      </w:r>
      <w:r w:rsidR="00AA1522">
        <w:t xml:space="preserve">currently in effect due to the </w:t>
      </w:r>
      <w:r w:rsidR="000A7823">
        <w:t>January 2</w:t>
      </w:r>
      <w:r w:rsidR="00772F65">
        <w:t>4</w:t>
      </w:r>
      <w:r w:rsidR="000A7823">
        <w:t>, 2025</w:t>
      </w:r>
      <w:r w:rsidR="00AA1522">
        <w:t xml:space="preserve"> order</w:t>
      </w:r>
      <w:r w:rsidRPr="00451967" w:rsidR="00AA1522">
        <w:t>.</w:t>
      </w:r>
      <w:r w:rsidR="00AA1522">
        <w:t xml:space="preserve">  </w:t>
      </w:r>
      <w:r w:rsidRPr="00BF460B">
        <w:rPr>
          <w:i/>
          <w:iCs/>
        </w:rPr>
        <w:t>See</w:t>
      </w:r>
      <w:r w:rsidRPr="00451967">
        <w:t xml:space="preserve"> 5 U.S.C. § 553(d)(3) (stating that publication of a “substantive” rule shall be made not less than 30 days before its effective date, “except . . . as otherwise provided by the agency for good cause found and published with the rule”).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5D2B0384" w14:textId="228C0A33">
    <w:pPr>
      <w:pStyle w:val="Header"/>
      <w:rPr>
        <w:b w:val="0"/>
      </w:rPr>
    </w:pPr>
    <w:r>
      <w:tab/>
      <w:t>Federal Communications Commission</w:t>
    </w:r>
    <w:r>
      <w:tab/>
    </w:r>
    <w:r w:rsidR="00CE3829">
      <w:t>DA 25-</w:t>
    </w:r>
    <w:r w:rsidR="00586E84">
      <w:t>621</w:t>
    </w:r>
  </w:p>
  <w:p w:rsidR="00D25FB5" w14:paraId="5632BA4A" w14:textId="77DAAAE8">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25FB5" w14:paraId="732192D4"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6A2121A9" w14:textId="51C958AD">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sidR="00183502">
      <w:rPr>
        <w:spacing w:val="-2"/>
      </w:rPr>
      <w:t>DA 25-</w:t>
    </w:r>
    <w:r w:rsidR="00586E84">
      <w:rPr>
        <w:spacing w:val="-2"/>
      </w:rPr>
      <w:t>621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777677049">
    <w:abstractNumId w:val="1"/>
  </w:num>
  <w:num w:numId="2" w16cid:durableId="2003850050">
    <w:abstractNumId w:val="5"/>
  </w:num>
  <w:num w:numId="3" w16cid:durableId="1163352573">
    <w:abstractNumId w:val="3"/>
  </w:num>
  <w:num w:numId="4" w16cid:durableId="423428262">
    <w:abstractNumId w:val="4"/>
  </w:num>
  <w:num w:numId="5" w16cid:durableId="60687267">
    <w:abstractNumId w:val="2"/>
  </w:num>
  <w:num w:numId="6" w16cid:durableId="68841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6A"/>
    <w:rsid w:val="000049D7"/>
    <w:rsid w:val="0002443A"/>
    <w:rsid w:val="00036039"/>
    <w:rsid w:val="00037F90"/>
    <w:rsid w:val="00045CD3"/>
    <w:rsid w:val="0006669D"/>
    <w:rsid w:val="000726E9"/>
    <w:rsid w:val="00074B0A"/>
    <w:rsid w:val="00083121"/>
    <w:rsid w:val="000875BF"/>
    <w:rsid w:val="00096A32"/>
    <w:rsid w:val="00096D8C"/>
    <w:rsid w:val="000A7823"/>
    <w:rsid w:val="000C0B65"/>
    <w:rsid w:val="000D4C35"/>
    <w:rsid w:val="000E05FE"/>
    <w:rsid w:val="000E3D42"/>
    <w:rsid w:val="000E5AEF"/>
    <w:rsid w:val="0010038E"/>
    <w:rsid w:val="0011412E"/>
    <w:rsid w:val="001156BE"/>
    <w:rsid w:val="0012077D"/>
    <w:rsid w:val="00122B33"/>
    <w:rsid w:val="00122BD5"/>
    <w:rsid w:val="00125E01"/>
    <w:rsid w:val="00133F79"/>
    <w:rsid w:val="00136F49"/>
    <w:rsid w:val="00137E02"/>
    <w:rsid w:val="001436C9"/>
    <w:rsid w:val="00143A46"/>
    <w:rsid w:val="00146E3D"/>
    <w:rsid w:val="001508A5"/>
    <w:rsid w:val="00156613"/>
    <w:rsid w:val="001609B3"/>
    <w:rsid w:val="00172927"/>
    <w:rsid w:val="00174939"/>
    <w:rsid w:val="00183502"/>
    <w:rsid w:val="0019289A"/>
    <w:rsid w:val="00194A66"/>
    <w:rsid w:val="001A0A35"/>
    <w:rsid w:val="001A10E0"/>
    <w:rsid w:val="001C53B9"/>
    <w:rsid w:val="001C7D17"/>
    <w:rsid w:val="001D6A15"/>
    <w:rsid w:val="001D6BCF"/>
    <w:rsid w:val="001E01CA"/>
    <w:rsid w:val="001E2F7E"/>
    <w:rsid w:val="002117EE"/>
    <w:rsid w:val="00211921"/>
    <w:rsid w:val="0024561F"/>
    <w:rsid w:val="002459D4"/>
    <w:rsid w:val="00255392"/>
    <w:rsid w:val="0025540C"/>
    <w:rsid w:val="00255EDB"/>
    <w:rsid w:val="00267B58"/>
    <w:rsid w:val="00267BEA"/>
    <w:rsid w:val="0027193E"/>
    <w:rsid w:val="00275CF5"/>
    <w:rsid w:val="002807FE"/>
    <w:rsid w:val="0028301F"/>
    <w:rsid w:val="00285017"/>
    <w:rsid w:val="00294628"/>
    <w:rsid w:val="002A2D2E"/>
    <w:rsid w:val="002A2F99"/>
    <w:rsid w:val="002B7B29"/>
    <w:rsid w:val="002C00E8"/>
    <w:rsid w:val="002C4B95"/>
    <w:rsid w:val="002D5FCD"/>
    <w:rsid w:val="002E21FD"/>
    <w:rsid w:val="002E6C62"/>
    <w:rsid w:val="002F06CB"/>
    <w:rsid w:val="002F4BD3"/>
    <w:rsid w:val="00313B6D"/>
    <w:rsid w:val="003303CC"/>
    <w:rsid w:val="003307A7"/>
    <w:rsid w:val="0033217F"/>
    <w:rsid w:val="00343749"/>
    <w:rsid w:val="003660ED"/>
    <w:rsid w:val="0037546D"/>
    <w:rsid w:val="00375E14"/>
    <w:rsid w:val="003777ED"/>
    <w:rsid w:val="0038355E"/>
    <w:rsid w:val="00384A75"/>
    <w:rsid w:val="00390102"/>
    <w:rsid w:val="0039225F"/>
    <w:rsid w:val="0039239C"/>
    <w:rsid w:val="003A37EE"/>
    <w:rsid w:val="003A3E9E"/>
    <w:rsid w:val="003A7EB9"/>
    <w:rsid w:val="003B0550"/>
    <w:rsid w:val="003B536E"/>
    <w:rsid w:val="003B694F"/>
    <w:rsid w:val="003C10A3"/>
    <w:rsid w:val="003C3E78"/>
    <w:rsid w:val="003C774F"/>
    <w:rsid w:val="003D07C6"/>
    <w:rsid w:val="003D43F5"/>
    <w:rsid w:val="003D6A9D"/>
    <w:rsid w:val="003E1EA7"/>
    <w:rsid w:val="003E4D13"/>
    <w:rsid w:val="003E4DB5"/>
    <w:rsid w:val="003E53EE"/>
    <w:rsid w:val="003E7AA7"/>
    <w:rsid w:val="003F171C"/>
    <w:rsid w:val="003F2904"/>
    <w:rsid w:val="00404FA7"/>
    <w:rsid w:val="00406F4A"/>
    <w:rsid w:val="00410A6A"/>
    <w:rsid w:val="00411BD9"/>
    <w:rsid w:val="00412FC5"/>
    <w:rsid w:val="0041612C"/>
    <w:rsid w:val="00416218"/>
    <w:rsid w:val="00422276"/>
    <w:rsid w:val="004242F1"/>
    <w:rsid w:val="00427D08"/>
    <w:rsid w:val="00434FEA"/>
    <w:rsid w:val="00445A00"/>
    <w:rsid w:val="00451967"/>
    <w:rsid w:val="00451B0F"/>
    <w:rsid w:val="00466199"/>
    <w:rsid w:val="00492F89"/>
    <w:rsid w:val="004A1689"/>
    <w:rsid w:val="004A1D1D"/>
    <w:rsid w:val="004B1231"/>
    <w:rsid w:val="004B4582"/>
    <w:rsid w:val="004B5081"/>
    <w:rsid w:val="004B531B"/>
    <w:rsid w:val="004C2EE3"/>
    <w:rsid w:val="004C7D27"/>
    <w:rsid w:val="004D1490"/>
    <w:rsid w:val="004E3F35"/>
    <w:rsid w:val="004E4A22"/>
    <w:rsid w:val="004F36F9"/>
    <w:rsid w:val="00500EF3"/>
    <w:rsid w:val="00503EE1"/>
    <w:rsid w:val="0050745F"/>
    <w:rsid w:val="00511968"/>
    <w:rsid w:val="00513A68"/>
    <w:rsid w:val="00517A33"/>
    <w:rsid w:val="00551EFA"/>
    <w:rsid w:val="00556018"/>
    <w:rsid w:val="0055614C"/>
    <w:rsid w:val="00566D06"/>
    <w:rsid w:val="00586301"/>
    <w:rsid w:val="00586E84"/>
    <w:rsid w:val="0059105E"/>
    <w:rsid w:val="005939FF"/>
    <w:rsid w:val="00597B7E"/>
    <w:rsid w:val="005A3BFA"/>
    <w:rsid w:val="005A73AB"/>
    <w:rsid w:val="005B3D31"/>
    <w:rsid w:val="005E14C2"/>
    <w:rsid w:val="005E1F0D"/>
    <w:rsid w:val="005F2DD7"/>
    <w:rsid w:val="005F68E5"/>
    <w:rsid w:val="00602A7F"/>
    <w:rsid w:val="00602F6F"/>
    <w:rsid w:val="006030D5"/>
    <w:rsid w:val="00607BA5"/>
    <w:rsid w:val="0061180A"/>
    <w:rsid w:val="00625DCC"/>
    <w:rsid w:val="00626EB6"/>
    <w:rsid w:val="00627732"/>
    <w:rsid w:val="00635437"/>
    <w:rsid w:val="006420FB"/>
    <w:rsid w:val="00650997"/>
    <w:rsid w:val="006548A9"/>
    <w:rsid w:val="00655D03"/>
    <w:rsid w:val="00660745"/>
    <w:rsid w:val="00662503"/>
    <w:rsid w:val="006637B9"/>
    <w:rsid w:val="00666BB9"/>
    <w:rsid w:val="0067597E"/>
    <w:rsid w:val="006800AB"/>
    <w:rsid w:val="00683388"/>
    <w:rsid w:val="00683F84"/>
    <w:rsid w:val="006A20A0"/>
    <w:rsid w:val="006A265E"/>
    <w:rsid w:val="006A6A81"/>
    <w:rsid w:val="006C00C1"/>
    <w:rsid w:val="006D17C5"/>
    <w:rsid w:val="006D5A3F"/>
    <w:rsid w:val="006E70FF"/>
    <w:rsid w:val="006F3019"/>
    <w:rsid w:val="006F4762"/>
    <w:rsid w:val="006F7393"/>
    <w:rsid w:val="0070224F"/>
    <w:rsid w:val="00707A2A"/>
    <w:rsid w:val="007115F7"/>
    <w:rsid w:val="00715659"/>
    <w:rsid w:val="00725410"/>
    <w:rsid w:val="00725702"/>
    <w:rsid w:val="00750AEA"/>
    <w:rsid w:val="0076446F"/>
    <w:rsid w:val="00766861"/>
    <w:rsid w:val="00772F65"/>
    <w:rsid w:val="0078236E"/>
    <w:rsid w:val="00782C5D"/>
    <w:rsid w:val="00785689"/>
    <w:rsid w:val="007913F0"/>
    <w:rsid w:val="007921B6"/>
    <w:rsid w:val="0079754B"/>
    <w:rsid w:val="007A1C1C"/>
    <w:rsid w:val="007A1E6D"/>
    <w:rsid w:val="007A25BE"/>
    <w:rsid w:val="007A40C0"/>
    <w:rsid w:val="007B0EB2"/>
    <w:rsid w:val="007C109D"/>
    <w:rsid w:val="007C2119"/>
    <w:rsid w:val="007C29DF"/>
    <w:rsid w:val="007C665D"/>
    <w:rsid w:val="007D55DF"/>
    <w:rsid w:val="007D6978"/>
    <w:rsid w:val="007F17D4"/>
    <w:rsid w:val="007F3107"/>
    <w:rsid w:val="00810B6F"/>
    <w:rsid w:val="00816B69"/>
    <w:rsid w:val="00822CE0"/>
    <w:rsid w:val="0083650D"/>
    <w:rsid w:val="00841AB1"/>
    <w:rsid w:val="00841CC1"/>
    <w:rsid w:val="00851AE6"/>
    <w:rsid w:val="00856FD4"/>
    <w:rsid w:val="00857561"/>
    <w:rsid w:val="00877FB3"/>
    <w:rsid w:val="00895F75"/>
    <w:rsid w:val="008A7D3E"/>
    <w:rsid w:val="008B7AC3"/>
    <w:rsid w:val="008C68F1"/>
    <w:rsid w:val="008D0E2E"/>
    <w:rsid w:val="008E13DA"/>
    <w:rsid w:val="009011FE"/>
    <w:rsid w:val="00902EFF"/>
    <w:rsid w:val="00921803"/>
    <w:rsid w:val="00924D27"/>
    <w:rsid w:val="00926503"/>
    <w:rsid w:val="00941EA2"/>
    <w:rsid w:val="009726D8"/>
    <w:rsid w:val="00982293"/>
    <w:rsid w:val="00984880"/>
    <w:rsid w:val="00985964"/>
    <w:rsid w:val="00990C14"/>
    <w:rsid w:val="009A7588"/>
    <w:rsid w:val="009B588A"/>
    <w:rsid w:val="009D7308"/>
    <w:rsid w:val="009E2087"/>
    <w:rsid w:val="009F18C1"/>
    <w:rsid w:val="009F3EBE"/>
    <w:rsid w:val="009F6BF2"/>
    <w:rsid w:val="009F76DB"/>
    <w:rsid w:val="00A040EA"/>
    <w:rsid w:val="00A04FE3"/>
    <w:rsid w:val="00A06F5B"/>
    <w:rsid w:val="00A10882"/>
    <w:rsid w:val="00A25DA6"/>
    <w:rsid w:val="00A32C3B"/>
    <w:rsid w:val="00A35603"/>
    <w:rsid w:val="00A36FEF"/>
    <w:rsid w:val="00A41E16"/>
    <w:rsid w:val="00A45F4F"/>
    <w:rsid w:val="00A467A0"/>
    <w:rsid w:val="00A500F4"/>
    <w:rsid w:val="00A577F1"/>
    <w:rsid w:val="00A600A9"/>
    <w:rsid w:val="00A63545"/>
    <w:rsid w:val="00A80BC7"/>
    <w:rsid w:val="00A869C5"/>
    <w:rsid w:val="00AA0331"/>
    <w:rsid w:val="00AA1522"/>
    <w:rsid w:val="00AA1D24"/>
    <w:rsid w:val="00AA2CBE"/>
    <w:rsid w:val="00AA55B7"/>
    <w:rsid w:val="00AA5B9E"/>
    <w:rsid w:val="00AA64CA"/>
    <w:rsid w:val="00AB2407"/>
    <w:rsid w:val="00AB53DF"/>
    <w:rsid w:val="00AD236E"/>
    <w:rsid w:val="00AE042C"/>
    <w:rsid w:val="00AE690C"/>
    <w:rsid w:val="00AF099D"/>
    <w:rsid w:val="00B03862"/>
    <w:rsid w:val="00B06900"/>
    <w:rsid w:val="00B07E5C"/>
    <w:rsid w:val="00B22EBF"/>
    <w:rsid w:val="00B44E1B"/>
    <w:rsid w:val="00B472C0"/>
    <w:rsid w:val="00B476EE"/>
    <w:rsid w:val="00B63797"/>
    <w:rsid w:val="00B76203"/>
    <w:rsid w:val="00B811F7"/>
    <w:rsid w:val="00B81F59"/>
    <w:rsid w:val="00B86064"/>
    <w:rsid w:val="00B939F7"/>
    <w:rsid w:val="00BA175A"/>
    <w:rsid w:val="00BA5DC6"/>
    <w:rsid w:val="00BA6196"/>
    <w:rsid w:val="00BB1E02"/>
    <w:rsid w:val="00BC4008"/>
    <w:rsid w:val="00BC6D8C"/>
    <w:rsid w:val="00BD15E1"/>
    <w:rsid w:val="00BE1AF1"/>
    <w:rsid w:val="00BE67D9"/>
    <w:rsid w:val="00BF37AF"/>
    <w:rsid w:val="00BF460B"/>
    <w:rsid w:val="00C0189C"/>
    <w:rsid w:val="00C03DD4"/>
    <w:rsid w:val="00C07BD8"/>
    <w:rsid w:val="00C161A6"/>
    <w:rsid w:val="00C21512"/>
    <w:rsid w:val="00C23B9C"/>
    <w:rsid w:val="00C34006"/>
    <w:rsid w:val="00C36B4C"/>
    <w:rsid w:val="00C4020E"/>
    <w:rsid w:val="00C40338"/>
    <w:rsid w:val="00C426B1"/>
    <w:rsid w:val="00C525EF"/>
    <w:rsid w:val="00C63ED6"/>
    <w:rsid w:val="00C66160"/>
    <w:rsid w:val="00C721AC"/>
    <w:rsid w:val="00C725F6"/>
    <w:rsid w:val="00C80DEF"/>
    <w:rsid w:val="00C833B4"/>
    <w:rsid w:val="00C90D6A"/>
    <w:rsid w:val="00C93036"/>
    <w:rsid w:val="00CA247E"/>
    <w:rsid w:val="00CA6D21"/>
    <w:rsid w:val="00CB35DA"/>
    <w:rsid w:val="00CC1807"/>
    <w:rsid w:val="00CC43B5"/>
    <w:rsid w:val="00CC5519"/>
    <w:rsid w:val="00CC72B6"/>
    <w:rsid w:val="00CE3829"/>
    <w:rsid w:val="00D0218D"/>
    <w:rsid w:val="00D129FD"/>
    <w:rsid w:val="00D230C2"/>
    <w:rsid w:val="00D25FB5"/>
    <w:rsid w:val="00D27D6B"/>
    <w:rsid w:val="00D30BBC"/>
    <w:rsid w:val="00D44223"/>
    <w:rsid w:val="00D53179"/>
    <w:rsid w:val="00D56FD9"/>
    <w:rsid w:val="00D604AB"/>
    <w:rsid w:val="00D61A63"/>
    <w:rsid w:val="00D71B4A"/>
    <w:rsid w:val="00D72B31"/>
    <w:rsid w:val="00D7582D"/>
    <w:rsid w:val="00D90E3D"/>
    <w:rsid w:val="00DA2529"/>
    <w:rsid w:val="00DA4461"/>
    <w:rsid w:val="00DA6DF6"/>
    <w:rsid w:val="00DA7351"/>
    <w:rsid w:val="00DB003E"/>
    <w:rsid w:val="00DB06BA"/>
    <w:rsid w:val="00DB130A"/>
    <w:rsid w:val="00DB2EBB"/>
    <w:rsid w:val="00DB3591"/>
    <w:rsid w:val="00DB3688"/>
    <w:rsid w:val="00DB4DAE"/>
    <w:rsid w:val="00DB5B87"/>
    <w:rsid w:val="00DC10A1"/>
    <w:rsid w:val="00DC201E"/>
    <w:rsid w:val="00DC580D"/>
    <w:rsid w:val="00DC655F"/>
    <w:rsid w:val="00DD0B59"/>
    <w:rsid w:val="00DD4D9D"/>
    <w:rsid w:val="00DD7EBD"/>
    <w:rsid w:val="00DF056E"/>
    <w:rsid w:val="00DF1F12"/>
    <w:rsid w:val="00DF4894"/>
    <w:rsid w:val="00DF62B6"/>
    <w:rsid w:val="00E01EA0"/>
    <w:rsid w:val="00E07225"/>
    <w:rsid w:val="00E12CDF"/>
    <w:rsid w:val="00E15BFC"/>
    <w:rsid w:val="00E33EAE"/>
    <w:rsid w:val="00E4274D"/>
    <w:rsid w:val="00E44B48"/>
    <w:rsid w:val="00E44E67"/>
    <w:rsid w:val="00E5409F"/>
    <w:rsid w:val="00E56600"/>
    <w:rsid w:val="00E64722"/>
    <w:rsid w:val="00E7233E"/>
    <w:rsid w:val="00E81D61"/>
    <w:rsid w:val="00E82B59"/>
    <w:rsid w:val="00E85E5C"/>
    <w:rsid w:val="00E92F7B"/>
    <w:rsid w:val="00EB4CB3"/>
    <w:rsid w:val="00EB5590"/>
    <w:rsid w:val="00EC219C"/>
    <w:rsid w:val="00ED6553"/>
    <w:rsid w:val="00EE3B39"/>
    <w:rsid w:val="00EE5BE7"/>
    <w:rsid w:val="00EE6488"/>
    <w:rsid w:val="00F021FA"/>
    <w:rsid w:val="00F02CD1"/>
    <w:rsid w:val="00F13E16"/>
    <w:rsid w:val="00F24768"/>
    <w:rsid w:val="00F33B26"/>
    <w:rsid w:val="00F379F0"/>
    <w:rsid w:val="00F4100B"/>
    <w:rsid w:val="00F43AD5"/>
    <w:rsid w:val="00F45F29"/>
    <w:rsid w:val="00F507C0"/>
    <w:rsid w:val="00F56D03"/>
    <w:rsid w:val="00F62E97"/>
    <w:rsid w:val="00F64209"/>
    <w:rsid w:val="00F65D02"/>
    <w:rsid w:val="00F865CE"/>
    <w:rsid w:val="00F87226"/>
    <w:rsid w:val="00F9356D"/>
    <w:rsid w:val="00F93BF5"/>
    <w:rsid w:val="00F967AB"/>
    <w:rsid w:val="00FA65FF"/>
    <w:rsid w:val="00FC2473"/>
    <w:rsid w:val="00FD06CD"/>
    <w:rsid w:val="00FD5DFE"/>
    <w:rsid w:val="00FE6588"/>
    <w:rsid w:val="00FF1D35"/>
    <w:rsid w:val="13D895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18FE7E"/>
  <w15:chartTrackingRefBased/>
  <w15:docId w15:val="{928B7816-F4A4-486A-8CAE-BB16B11C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7351"/>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n,Footnote Text Char1,Footnote Text Char2 Char,Footnote Text Char1 Char Char,Footnote Text Char Char Char Char,Footnote Text Char1 Char Char Char Char1,Footnote Text Char Char Char Char Char Char1,fn Ch,Footnote Text Char,f"/>
    <w:link w:val="FootnoteTextChar2"/>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2">
    <w:name w:val="Footnote Text Char2"/>
    <w:aliases w:val="ALTS FOOTNOTE Char,fn Char,Footnote Text Char1 Char,Footnote Text Char2 Char Char,Footnote Text Char1 Char Char Char,Footnote Text Char Char Char Char Char,Footnote Text Char1 Char Char Char Char1 Char,fn Ch Char,f Char"/>
    <w:basedOn w:val="DefaultParagraphFont"/>
    <w:link w:val="FootnoteText"/>
    <w:locked/>
    <w:rsid w:val="00DA7351"/>
  </w:style>
  <w:style w:type="character" w:customStyle="1" w:styleId="ParaNumChar">
    <w:name w:val="ParaNum Char"/>
    <w:link w:val="ParaNum"/>
    <w:rsid w:val="00725410"/>
    <w:rPr>
      <w:snapToGrid w:val="0"/>
      <w:kern w:val="28"/>
      <w:sz w:val="22"/>
    </w:rPr>
  </w:style>
  <w:style w:type="paragraph" w:styleId="Revision">
    <w:name w:val="Revision"/>
    <w:hidden/>
    <w:uiPriority w:val="99"/>
    <w:semiHidden/>
    <w:rsid w:val="00627732"/>
    <w:rPr>
      <w:snapToGrid w:val="0"/>
      <w:kern w:val="28"/>
      <w:sz w:val="22"/>
    </w:rPr>
  </w:style>
  <w:style w:type="character" w:styleId="CommentReference">
    <w:name w:val="annotation reference"/>
    <w:basedOn w:val="DefaultParagraphFont"/>
    <w:rsid w:val="002A2F99"/>
    <w:rPr>
      <w:sz w:val="16"/>
      <w:szCs w:val="16"/>
    </w:rPr>
  </w:style>
  <w:style w:type="paragraph" w:styleId="CommentText">
    <w:name w:val="annotation text"/>
    <w:basedOn w:val="Normal"/>
    <w:link w:val="CommentTextChar"/>
    <w:rsid w:val="002A2F99"/>
    <w:rPr>
      <w:sz w:val="20"/>
    </w:rPr>
  </w:style>
  <w:style w:type="character" w:customStyle="1" w:styleId="CommentTextChar">
    <w:name w:val="Comment Text Char"/>
    <w:basedOn w:val="DefaultParagraphFont"/>
    <w:link w:val="CommentText"/>
    <w:rsid w:val="002A2F99"/>
    <w:rPr>
      <w:snapToGrid w:val="0"/>
      <w:kern w:val="28"/>
    </w:rPr>
  </w:style>
  <w:style w:type="paragraph" w:styleId="CommentSubject">
    <w:name w:val="annotation subject"/>
    <w:basedOn w:val="CommentText"/>
    <w:next w:val="CommentText"/>
    <w:link w:val="CommentSubjectChar"/>
    <w:rsid w:val="002A2F99"/>
    <w:rPr>
      <w:b/>
      <w:bCs/>
    </w:rPr>
  </w:style>
  <w:style w:type="character" w:customStyle="1" w:styleId="CommentSubjectChar">
    <w:name w:val="Comment Subject Char"/>
    <w:basedOn w:val="CommentTextChar"/>
    <w:link w:val="CommentSubject"/>
    <w:rsid w:val="002A2F99"/>
    <w:rPr>
      <w:b/>
      <w:bCs/>
      <w:snapToGrid w:val="0"/>
      <w:kern w:val="28"/>
    </w:rPr>
  </w:style>
  <w:style w:type="character" w:styleId="UnresolvedMention">
    <w:name w:val="Unresolved Mention"/>
    <w:basedOn w:val="DefaultParagraphFont"/>
    <w:uiPriority w:val="99"/>
    <w:semiHidden/>
    <w:unhideWhenUsed/>
    <w:rsid w:val="00AE6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law.cornell.edu/definitions/uscode.php?width=840&amp;height=800&amp;iframe=true&amp;def_id=5-USC-440128847-665156451&amp;term_occur=999&amp;term_src=title:5:part:I:chapter:7:section:706"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