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 Generated by Aspose.Words for Java 24.11.0 -->
  <w:body>
    <w:p w:rsidR="007E25B3" w14:paraId="6B611976" w14:textId="77777777">
      <w:pPr>
        <w:jc w:val="right"/>
        <w:rPr>
          <w:sz w:val="24"/>
        </w:rPr>
      </w:pPr>
    </w:p>
    <w:p w:rsidR="00BA3BA8" w:rsidRPr="00DB3CBC" w14:paraId="071AB730" w14:textId="5634AAA7">
      <w:pPr>
        <w:jc w:val="right"/>
        <w:rPr>
          <w:b/>
          <w:szCs w:val="22"/>
        </w:rPr>
      </w:pPr>
      <w:r w:rsidRPr="00DB3CBC">
        <w:rPr>
          <w:b/>
          <w:szCs w:val="22"/>
        </w:rPr>
        <w:t>DA 2</w:t>
      </w:r>
      <w:r w:rsidRPr="00DB3CBC" w:rsidR="00657C02">
        <w:rPr>
          <w:b/>
          <w:szCs w:val="22"/>
        </w:rPr>
        <w:t>5</w:t>
      </w:r>
      <w:r w:rsidRPr="00DB3CBC">
        <w:rPr>
          <w:b/>
          <w:szCs w:val="22"/>
        </w:rPr>
        <w:t>-</w:t>
      </w:r>
      <w:r w:rsidR="00F65D7D">
        <w:rPr>
          <w:b/>
          <w:szCs w:val="22"/>
        </w:rPr>
        <w:t>982</w:t>
      </w:r>
    </w:p>
    <w:p w:rsidR="00BA3BA8" w:rsidRPr="00DB3CBC" w:rsidP="007B22DE" w14:paraId="26F24E88" w14:textId="5CA07A61">
      <w:pPr>
        <w:spacing w:before="60"/>
        <w:jc w:val="right"/>
        <w:rPr>
          <w:b/>
          <w:szCs w:val="22"/>
        </w:rPr>
      </w:pPr>
      <w:r w:rsidRPr="00DB3CBC">
        <w:rPr>
          <w:b/>
          <w:szCs w:val="22"/>
        </w:rPr>
        <w:t xml:space="preserve">Released:  </w:t>
      </w:r>
      <w:r w:rsidR="007A05FB">
        <w:rPr>
          <w:b/>
          <w:szCs w:val="22"/>
        </w:rPr>
        <w:t>November</w:t>
      </w:r>
      <w:r w:rsidR="00261EFB">
        <w:rPr>
          <w:b/>
          <w:szCs w:val="22"/>
        </w:rPr>
        <w:t xml:space="preserve"> </w:t>
      </w:r>
      <w:r w:rsidR="00ED0FCC">
        <w:rPr>
          <w:b/>
          <w:szCs w:val="22"/>
        </w:rPr>
        <w:t>24</w:t>
      </w:r>
      <w:r w:rsidRPr="00DB3CBC" w:rsidR="001A5115">
        <w:rPr>
          <w:b/>
          <w:szCs w:val="22"/>
        </w:rPr>
        <w:t>, 202</w:t>
      </w:r>
      <w:r w:rsidRPr="00DB3CBC" w:rsidR="00657C02">
        <w:rPr>
          <w:b/>
          <w:szCs w:val="22"/>
        </w:rPr>
        <w:t>5</w:t>
      </w:r>
    </w:p>
    <w:p w:rsidR="00881759" w:rsidP="00881759" w14:paraId="38BB83AF" w14:textId="77777777">
      <w:pPr>
        <w:jc w:val="center"/>
        <w:rPr>
          <w:b/>
          <w:bCs/>
          <w:szCs w:val="22"/>
        </w:rPr>
      </w:pPr>
      <w:bookmarkStart w:id="0" w:name="_Hlk166229554"/>
    </w:p>
    <w:p w:rsidR="00182269" w:rsidP="00C379BB" w14:paraId="60D2AEA6" w14:textId="448DD3F1">
      <w:pPr>
        <w:jc w:val="center"/>
        <w:rPr>
          <w:b/>
          <w:bCs/>
          <w:szCs w:val="22"/>
        </w:rPr>
      </w:pPr>
      <w:r w:rsidRPr="00DB3CBC">
        <w:rPr>
          <w:b/>
          <w:bCs/>
          <w:szCs w:val="22"/>
        </w:rPr>
        <w:t xml:space="preserve">DOMESTIC </w:t>
      </w:r>
      <w:r w:rsidRPr="00DB3CBC">
        <w:rPr>
          <w:b/>
          <w:bCs/>
          <w:caps/>
          <w:szCs w:val="22"/>
        </w:rPr>
        <w:t>SECTION</w:t>
      </w:r>
      <w:r w:rsidRPr="00DB3CBC">
        <w:rPr>
          <w:b/>
          <w:bCs/>
          <w:szCs w:val="22"/>
        </w:rPr>
        <w:t xml:space="preserve"> 214 APPLICATION FILED FOR THE TRANSFER OF CONTROL OF</w:t>
      </w:r>
      <w:bookmarkEnd w:id="0"/>
      <w:r w:rsidR="00D3124A">
        <w:rPr>
          <w:b/>
          <w:bCs/>
          <w:szCs w:val="22"/>
        </w:rPr>
        <w:t xml:space="preserve"> </w:t>
      </w:r>
      <w:bookmarkStart w:id="1" w:name="_Hlk214008329"/>
      <w:r w:rsidR="004A6313">
        <w:rPr>
          <w:b/>
          <w:bCs/>
          <w:szCs w:val="22"/>
        </w:rPr>
        <w:t xml:space="preserve">AMHERST TELEPHONE COMPANY D/B/A AMHERST COMMUNICATIONS </w:t>
      </w:r>
    </w:p>
    <w:p w:rsidR="00182269" w:rsidP="00C379BB" w14:paraId="7418438A" w14:textId="77777777">
      <w:pPr>
        <w:jc w:val="center"/>
        <w:rPr>
          <w:b/>
          <w:bCs/>
          <w:szCs w:val="22"/>
        </w:rPr>
      </w:pPr>
      <w:r>
        <w:rPr>
          <w:b/>
          <w:bCs/>
          <w:szCs w:val="22"/>
        </w:rPr>
        <w:t xml:space="preserve">AND ITS SUBSIDIARIES </w:t>
      </w:r>
      <w:r w:rsidR="004A6313">
        <w:rPr>
          <w:b/>
          <w:bCs/>
          <w:szCs w:val="22"/>
        </w:rPr>
        <w:t xml:space="preserve">TO </w:t>
      </w:r>
    </w:p>
    <w:p w:rsidR="00881759" w:rsidP="00C379BB" w14:paraId="0CB7A6F8" w14:textId="0D82F5B1">
      <w:pPr>
        <w:jc w:val="center"/>
        <w:rPr>
          <w:b/>
          <w:bCs/>
          <w:szCs w:val="22"/>
        </w:rPr>
      </w:pPr>
      <w:r>
        <w:rPr>
          <w:b/>
          <w:bCs/>
          <w:szCs w:val="22"/>
        </w:rPr>
        <w:t>AMHERST COMMUNICATIONS EMPLOYEE STOCK OWNERSHIP TRUST</w:t>
      </w:r>
      <w:bookmarkEnd w:id="1"/>
    </w:p>
    <w:p w:rsidR="00275AFD" w:rsidRPr="00DB3CBC" w:rsidP="00881759" w14:paraId="7C8D3C20" w14:textId="77777777">
      <w:pPr>
        <w:jc w:val="center"/>
        <w:rPr>
          <w:b/>
          <w:bCs/>
          <w:szCs w:val="22"/>
        </w:rPr>
      </w:pPr>
    </w:p>
    <w:p w:rsidR="00BA3BA8" w:rsidP="00F723A8" w14:paraId="51489521" w14:textId="4CC02950">
      <w:pPr>
        <w:jc w:val="center"/>
        <w:rPr>
          <w:b/>
          <w:bCs/>
          <w:szCs w:val="22"/>
        </w:rPr>
      </w:pPr>
      <w:r w:rsidRPr="00DB3CBC">
        <w:rPr>
          <w:b/>
          <w:szCs w:val="22"/>
        </w:rPr>
        <w:t>STREAMLINED PLEADING CYCLE ESTABLISHED</w:t>
      </w:r>
    </w:p>
    <w:p w:rsidR="00F723A8" w:rsidRPr="00F723A8" w:rsidP="00F723A8" w14:paraId="688DF66A" w14:textId="77777777">
      <w:pPr>
        <w:jc w:val="center"/>
        <w:rPr>
          <w:b/>
          <w:bCs/>
          <w:szCs w:val="22"/>
        </w:rPr>
      </w:pPr>
    </w:p>
    <w:p w:rsidR="00BA3BA8" w:rsidRPr="00DB3CBC" w14:paraId="29334223" w14:textId="77777777">
      <w:pPr>
        <w:jc w:val="center"/>
        <w:rPr>
          <w:b/>
          <w:szCs w:val="22"/>
        </w:rPr>
      </w:pPr>
      <w:r w:rsidRPr="00DB3CBC">
        <w:rPr>
          <w:b/>
          <w:szCs w:val="22"/>
        </w:rPr>
        <w:t>WC Docket No. 2</w:t>
      </w:r>
      <w:r w:rsidR="00D3124A">
        <w:rPr>
          <w:b/>
          <w:szCs w:val="22"/>
        </w:rPr>
        <w:t>5</w:t>
      </w:r>
      <w:r w:rsidR="00E37BFA">
        <w:rPr>
          <w:b/>
          <w:szCs w:val="22"/>
        </w:rPr>
        <w:t>-</w:t>
      </w:r>
      <w:r w:rsidR="007A05FB">
        <w:rPr>
          <w:b/>
          <w:szCs w:val="22"/>
        </w:rPr>
        <w:t>309</w:t>
      </w:r>
    </w:p>
    <w:p w:rsidR="00881759" w:rsidP="00881759" w14:paraId="2E7CF555" w14:textId="77777777">
      <w:pPr>
        <w:rPr>
          <w:b/>
          <w:szCs w:val="22"/>
        </w:rPr>
      </w:pPr>
      <w:bookmarkStart w:id="2" w:name="TOChere"/>
    </w:p>
    <w:p w:rsidR="00881759" w:rsidRPr="00AD440B" w:rsidP="00881759" w14:paraId="0ADC95B3" w14:textId="139CE63F">
      <w:pPr>
        <w:rPr>
          <w:b/>
          <w:szCs w:val="22"/>
        </w:rPr>
      </w:pPr>
      <w:r w:rsidRPr="00AD440B">
        <w:rPr>
          <w:b/>
          <w:szCs w:val="22"/>
        </w:rPr>
        <w:t xml:space="preserve">Comments Due:  </w:t>
      </w:r>
      <w:r w:rsidR="00AD17D0">
        <w:rPr>
          <w:b/>
          <w:szCs w:val="22"/>
        </w:rPr>
        <w:t>December</w:t>
      </w:r>
      <w:r w:rsidR="007A05FB">
        <w:rPr>
          <w:b/>
          <w:szCs w:val="22"/>
        </w:rPr>
        <w:t xml:space="preserve"> </w:t>
      </w:r>
      <w:r w:rsidR="00ED0FCC">
        <w:rPr>
          <w:b/>
          <w:szCs w:val="22"/>
        </w:rPr>
        <w:t>8</w:t>
      </w:r>
      <w:r w:rsidRPr="00AD440B">
        <w:rPr>
          <w:b/>
          <w:szCs w:val="22"/>
        </w:rPr>
        <w:t>, 202</w:t>
      </w:r>
      <w:r w:rsidR="00C70BF0">
        <w:rPr>
          <w:b/>
          <w:szCs w:val="22"/>
        </w:rPr>
        <w:t>5</w:t>
      </w:r>
      <w:r w:rsidRPr="00AD440B">
        <w:rPr>
          <w:b/>
          <w:szCs w:val="22"/>
        </w:rPr>
        <w:t xml:space="preserve"> </w:t>
      </w:r>
    </w:p>
    <w:p w:rsidR="00881759" w:rsidRPr="00AD440B" w:rsidP="00881759" w14:paraId="4B67A302" w14:textId="4C779DD0">
      <w:pPr>
        <w:tabs>
          <w:tab w:val="left" w:pos="6366"/>
        </w:tabs>
        <w:rPr>
          <w:b/>
          <w:szCs w:val="22"/>
        </w:rPr>
      </w:pPr>
      <w:r w:rsidRPr="00AD440B">
        <w:rPr>
          <w:b/>
          <w:szCs w:val="22"/>
        </w:rPr>
        <w:t>Reply Comment</w:t>
      </w:r>
      <w:r>
        <w:rPr>
          <w:b/>
          <w:szCs w:val="22"/>
        </w:rPr>
        <w:t>s</w:t>
      </w:r>
      <w:r w:rsidRPr="00AD440B">
        <w:rPr>
          <w:b/>
          <w:szCs w:val="22"/>
        </w:rPr>
        <w:t xml:space="preserve"> Due:  </w:t>
      </w:r>
      <w:r w:rsidR="007A05FB">
        <w:rPr>
          <w:b/>
          <w:szCs w:val="22"/>
        </w:rPr>
        <w:t xml:space="preserve">December </w:t>
      </w:r>
      <w:r w:rsidR="00ED0FCC">
        <w:rPr>
          <w:b/>
          <w:szCs w:val="22"/>
        </w:rPr>
        <w:t>15</w:t>
      </w:r>
      <w:r w:rsidRPr="00AD440B">
        <w:rPr>
          <w:b/>
          <w:szCs w:val="22"/>
        </w:rPr>
        <w:t>, 202</w:t>
      </w:r>
      <w:r>
        <w:rPr>
          <w:b/>
          <w:szCs w:val="22"/>
        </w:rPr>
        <w:t>5</w:t>
      </w:r>
    </w:p>
    <w:p w:rsidR="00881759" w:rsidRPr="00AD440B" w:rsidP="00881759" w14:paraId="61E5594B" w14:textId="77777777">
      <w:pPr>
        <w:rPr>
          <w:b/>
          <w:szCs w:val="22"/>
        </w:rPr>
      </w:pPr>
    </w:p>
    <w:p w:rsidR="00715082" w:rsidP="00715082" w14:paraId="369F7CB8" w14:textId="3A271575">
      <w:pPr>
        <w:autoSpaceDE w:val="0"/>
        <w:autoSpaceDN w:val="0"/>
        <w:adjustRightInd w:val="0"/>
        <w:spacing w:after="120"/>
        <w:ind w:firstLine="720"/>
      </w:pPr>
      <w:r w:rsidRPr="52D3F29C">
        <w:t xml:space="preserve">By this Public Notice, the Wireline Competition Bureau seeks comment from interested parties on an application filed by </w:t>
      </w:r>
      <w:bookmarkStart w:id="3" w:name="_Hlk187678845"/>
      <w:bookmarkStart w:id="4" w:name="_Hlk73713070"/>
      <w:bookmarkStart w:id="5" w:name="_Hlk67917977"/>
      <w:r w:rsidR="00986FB9">
        <w:t>Amherst Telephone Company d/b/a Amherst Communications (</w:t>
      </w:r>
      <w:r w:rsidR="0014133D">
        <w:t>Amherst</w:t>
      </w:r>
      <w:r w:rsidR="00986FB9">
        <w:t xml:space="preserve">) on behalf of its current stockholders and the Amherst Communications Employee Stock Ownership Trust (Amherst ESOP Trust) </w:t>
      </w:r>
      <w:bookmarkEnd w:id="3"/>
      <w:r w:rsidR="00986FB9">
        <w:t>(coll</w:t>
      </w:r>
      <w:r w:rsidR="00BC07BD">
        <w:t>ectively</w:t>
      </w:r>
      <w:r>
        <w:t xml:space="preserve">, </w:t>
      </w:r>
      <w:r w:rsidRPr="52D3F29C">
        <w:t>Applicant</w:t>
      </w:r>
      <w:r>
        <w:t>s</w:t>
      </w:r>
      <w:r>
        <w:rPr>
          <w:szCs w:val="22"/>
        </w:rPr>
        <w:t>),</w:t>
      </w:r>
      <w:r w:rsidRPr="52D3F29C">
        <w:t xml:space="preserve"> pursuant to section 214(a) of the Communications Act of 1934, as amended, and section</w:t>
      </w:r>
      <w:r w:rsidR="00B8470F">
        <w:t>s</w:t>
      </w:r>
      <w:r w:rsidRPr="52D3F29C">
        <w:t xml:space="preserve"> 63.</w:t>
      </w:r>
      <w:r w:rsidR="008E6E73">
        <w:t>03-</w:t>
      </w:r>
      <w:r w:rsidRPr="52D3F29C">
        <w:t>04 of the Commission’s rules,</w:t>
      </w:r>
      <w:r>
        <w:rPr>
          <w:rStyle w:val="FootnoteReference"/>
        </w:rPr>
        <w:footnoteReference w:id="3"/>
      </w:r>
      <w:r w:rsidRPr="00523F87">
        <w:rPr>
          <w:szCs w:val="22"/>
        </w:rPr>
        <w:t xml:space="preserve"> </w:t>
      </w:r>
      <w:r w:rsidRPr="52D3F29C">
        <w:t>requesting</w:t>
      </w:r>
      <w:r w:rsidR="00C70BF0">
        <w:t xml:space="preserve"> </w:t>
      </w:r>
      <w:r w:rsidRPr="00C70BF0" w:rsidR="00C70BF0">
        <w:t xml:space="preserve">Commission </w:t>
      </w:r>
      <w:r w:rsidR="00922730">
        <w:t>consent</w:t>
      </w:r>
      <w:r w:rsidRPr="00642BB6" w:rsidR="00642BB6">
        <w:t xml:space="preserve"> </w:t>
      </w:r>
      <w:r w:rsidR="00745776">
        <w:t xml:space="preserve">for the </w:t>
      </w:r>
      <w:r w:rsidRPr="00642BB6" w:rsidR="00642BB6">
        <w:t xml:space="preserve">transfer </w:t>
      </w:r>
      <w:r w:rsidR="00745776">
        <w:t xml:space="preserve">of </w:t>
      </w:r>
      <w:r w:rsidRPr="00642BB6" w:rsidR="00642BB6">
        <w:t xml:space="preserve">control of </w:t>
      </w:r>
      <w:bookmarkEnd w:id="4"/>
      <w:bookmarkEnd w:id="5"/>
      <w:r w:rsidR="0014133D">
        <w:t>Amherst</w:t>
      </w:r>
      <w:r w:rsidR="00986FB9">
        <w:t xml:space="preserve"> </w:t>
      </w:r>
      <w:r w:rsidR="00851E30">
        <w:t xml:space="preserve">and its subsidiaries, </w:t>
      </w:r>
      <w:r w:rsidR="00986FB9">
        <w:t>to the Amherst ESOP Trust</w:t>
      </w:r>
      <w:r w:rsidR="00E75D8D">
        <w:t>.</w:t>
      </w:r>
      <w:r>
        <w:rPr>
          <w:vertAlign w:val="superscript"/>
        </w:rPr>
        <w:footnoteReference w:id="4"/>
      </w:r>
    </w:p>
    <w:p w:rsidR="00D3277B" w:rsidP="00982349" w14:paraId="6E0B150B" w14:textId="67DECCB6">
      <w:pPr>
        <w:autoSpaceDE w:val="0"/>
        <w:autoSpaceDN w:val="0"/>
        <w:adjustRightInd w:val="0"/>
        <w:spacing w:after="120"/>
        <w:ind w:firstLine="720"/>
      </w:pPr>
      <w:r>
        <w:t>Amherst</w:t>
      </w:r>
      <w:r w:rsidR="008423B5">
        <w:t>,</w:t>
      </w:r>
      <w:r>
        <w:t xml:space="preserve"> a Wisconsin corporation</w:t>
      </w:r>
      <w:r w:rsidR="008423B5">
        <w:t>,</w:t>
      </w:r>
      <w:r>
        <w:t xml:space="preserve"> </w:t>
      </w:r>
      <w:r w:rsidR="00455146">
        <w:t>provides</w:t>
      </w:r>
      <w:r w:rsidRPr="00455146" w:rsidR="00455146">
        <w:t xml:space="preserve"> </w:t>
      </w:r>
      <w:r w:rsidR="00455146">
        <w:t xml:space="preserve">local exchange and other services </w:t>
      </w:r>
      <w:r w:rsidR="008E6E73">
        <w:t xml:space="preserve">as </w:t>
      </w:r>
      <w:r>
        <w:t xml:space="preserve">an </w:t>
      </w:r>
      <w:r w:rsidR="008423B5">
        <w:t>incumbent local exchange carrier (</w:t>
      </w:r>
      <w:r>
        <w:t>LEC</w:t>
      </w:r>
      <w:r w:rsidR="008423B5">
        <w:t>)</w:t>
      </w:r>
      <w:r>
        <w:t xml:space="preserve"> in the Amherst, Polonia</w:t>
      </w:r>
      <w:r w:rsidR="008D5F38">
        <w:t>,</w:t>
      </w:r>
      <w:r>
        <w:t xml:space="preserve"> and Rosholt exchanges </w:t>
      </w:r>
      <w:r w:rsidR="008423B5">
        <w:t xml:space="preserve">in </w:t>
      </w:r>
      <w:r>
        <w:t xml:space="preserve">portions of Portage, Marathon, and </w:t>
      </w:r>
      <w:r w:rsidR="00C302E4">
        <w:t xml:space="preserve">Waupaca </w:t>
      </w:r>
      <w:r w:rsidR="008D5F38">
        <w:t>c</w:t>
      </w:r>
      <w:r w:rsidR="00C302E4">
        <w:t xml:space="preserve">ounties in central Wisconsin.  </w:t>
      </w:r>
      <w:r w:rsidR="00470585">
        <w:t xml:space="preserve">Amherst provides local exchange service and </w:t>
      </w:r>
      <w:r w:rsidR="003C4897">
        <w:t xml:space="preserve">other </w:t>
      </w:r>
      <w:r w:rsidR="00BF09ED">
        <w:t>services</w:t>
      </w:r>
      <w:r w:rsidR="00470585">
        <w:t xml:space="preserve"> as a </w:t>
      </w:r>
      <w:r w:rsidR="00982349">
        <w:t xml:space="preserve">competitive </w:t>
      </w:r>
      <w:r w:rsidR="00470585">
        <w:t xml:space="preserve">LEC in the Stevens Point and Waupaca exchanges in Portage </w:t>
      </w:r>
      <w:r w:rsidR="00982349">
        <w:t xml:space="preserve">County </w:t>
      </w:r>
      <w:r w:rsidR="00470585">
        <w:t>and Waupaca Count</w:t>
      </w:r>
      <w:r w:rsidR="00982349">
        <w:t>y,</w:t>
      </w:r>
      <w:r w:rsidR="00470585">
        <w:t xml:space="preserve"> Wisconsin</w:t>
      </w:r>
      <w:r w:rsidR="00982349">
        <w:t xml:space="preserve">. </w:t>
      </w:r>
      <w:r w:rsidR="00470585">
        <w:t xml:space="preserve"> </w:t>
      </w:r>
      <w:r w:rsidR="00982349">
        <w:t xml:space="preserve">Amherst’s </w:t>
      </w:r>
      <w:r w:rsidR="00851E30">
        <w:t xml:space="preserve">wholly-owned </w:t>
      </w:r>
      <w:r w:rsidR="00982349">
        <w:t xml:space="preserve">subsidiary, </w:t>
      </w:r>
      <w:r w:rsidR="00DA4D80">
        <w:t>Union Telephone Company</w:t>
      </w:r>
      <w:r w:rsidR="004878B8">
        <w:t>,</w:t>
      </w:r>
      <w:r w:rsidR="00DA4D80">
        <w:t xml:space="preserve"> </w:t>
      </w:r>
      <w:r w:rsidR="00897148">
        <w:t xml:space="preserve">a Wisconsin corporation, </w:t>
      </w:r>
      <w:r w:rsidR="00DA4D80">
        <w:t xml:space="preserve">provides local exchange service and </w:t>
      </w:r>
      <w:r w:rsidR="00B43402">
        <w:t xml:space="preserve">other </w:t>
      </w:r>
      <w:r w:rsidR="00DA4D80">
        <w:t>service</w:t>
      </w:r>
      <w:r w:rsidR="008E6E73">
        <w:t>s</w:t>
      </w:r>
      <w:r w:rsidR="00DA4D80">
        <w:t xml:space="preserve"> as an </w:t>
      </w:r>
      <w:r w:rsidR="00B43402">
        <w:t xml:space="preserve">incumbent </w:t>
      </w:r>
      <w:r w:rsidR="00DA4D80">
        <w:t xml:space="preserve">LEC in the Plainfield, Hancock, Coloma, and Almond exchanges in portions of Waushara, Portage, Adams, and Marquette </w:t>
      </w:r>
      <w:r w:rsidR="002C3988">
        <w:t>c</w:t>
      </w:r>
      <w:r w:rsidR="00B43402">
        <w:t xml:space="preserve">ounties </w:t>
      </w:r>
      <w:r w:rsidR="00DA4D80">
        <w:t xml:space="preserve">in central Wisconsin.  </w:t>
      </w:r>
      <w:r w:rsidRPr="008E6E73" w:rsidR="00F43ADE">
        <w:t xml:space="preserve">Applicants state that </w:t>
      </w:r>
      <w:bookmarkStart w:id="7" w:name="_Hlk214626318"/>
      <w:r w:rsidRPr="008E6E73" w:rsidR="008A0E14">
        <w:t xml:space="preserve">Amherst and Union Telephone Company </w:t>
      </w:r>
      <w:bookmarkEnd w:id="7"/>
      <w:r w:rsidRPr="008E6E73" w:rsidR="008A0E14">
        <w:t xml:space="preserve">are designated as Eligible Telecommunications Carriers </w:t>
      </w:r>
      <w:r w:rsidRPr="008E6E73" w:rsidR="00992C68">
        <w:t xml:space="preserve">(ETCs) </w:t>
      </w:r>
      <w:r w:rsidRPr="008E6E73" w:rsidR="00326FC5">
        <w:t xml:space="preserve">that </w:t>
      </w:r>
      <w:r w:rsidRPr="008E6E73" w:rsidR="00403520">
        <w:t xml:space="preserve">receive </w:t>
      </w:r>
      <w:r w:rsidRPr="008E6E73" w:rsidR="007D679A">
        <w:t xml:space="preserve">Universal Service Fund </w:t>
      </w:r>
      <w:r w:rsidRPr="008E6E73" w:rsidR="00992C68">
        <w:t xml:space="preserve">(USF) </w:t>
      </w:r>
      <w:r w:rsidRPr="008E6E73" w:rsidR="007D679A">
        <w:t xml:space="preserve">high-cost support in the form of </w:t>
      </w:r>
      <w:r w:rsidRPr="008E6E73" w:rsidR="006C1C16">
        <w:t xml:space="preserve">Enhanced </w:t>
      </w:r>
      <w:r w:rsidRPr="008E6E73" w:rsidR="00C01DC7">
        <w:t>Alternative Connect America Cost Model</w:t>
      </w:r>
      <w:r w:rsidRPr="008E6E73" w:rsidR="00992C68">
        <w:t xml:space="preserve"> (Enhanced A-CAM)</w:t>
      </w:r>
      <w:r w:rsidRPr="008E6E73" w:rsidR="0092204C">
        <w:t xml:space="preserve">.  Applicants further state that Amherst and Union Telephone Company </w:t>
      </w:r>
      <w:r w:rsidRPr="008E6E73" w:rsidR="00506072">
        <w:t xml:space="preserve">participate </w:t>
      </w:r>
      <w:r w:rsidRPr="008E6E73" w:rsidR="0089626C">
        <w:t>in the Lifeline program and will continue to do so post-</w:t>
      </w:r>
      <w:r w:rsidRPr="008E6E73" w:rsidR="00CA031C">
        <w:t xml:space="preserve">transaction. </w:t>
      </w:r>
      <w:r w:rsidRPr="008E6E73" w:rsidR="00C01DC7">
        <w:t xml:space="preserve"> </w:t>
      </w:r>
      <w:r w:rsidRPr="00057F47" w:rsidR="00E711A6">
        <w:t xml:space="preserve">Union Telephone Company’s wholly-owned subsidiary, </w:t>
      </w:r>
      <w:r w:rsidRPr="00057F47" w:rsidR="00792CE7">
        <w:t>Union Information Systems, LLC</w:t>
      </w:r>
      <w:r w:rsidRPr="00057F47" w:rsidR="00E711A6">
        <w:t>,</w:t>
      </w:r>
      <w:r w:rsidRPr="00057F47" w:rsidR="00057F47">
        <w:t xml:space="preserve"> </w:t>
      </w:r>
      <w:r w:rsidRPr="00057F47" w:rsidR="00E6041B">
        <w:t>(Union</w:t>
      </w:r>
      <w:r w:rsidRPr="00057F47" w:rsidR="00792CE7">
        <w:t xml:space="preserve"> </w:t>
      </w:r>
      <w:r w:rsidRPr="00057F47" w:rsidR="00057F47">
        <w:t xml:space="preserve">Information Systems) </w:t>
      </w:r>
      <w:r w:rsidRPr="00057F47" w:rsidR="00633DF2">
        <w:t>a Wisconsin</w:t>
      </w:r>
      <w:r w:rsidRPr="00057F47" w:rsidR="003D2E5C">
        <w:t xml:space="preserve"> </w:t>
      </w:r>
      <w:r w:rsidR="008E6E73">
        <w:t>limited liability company</w:t>
      </w:r>
      <w:r w:rsidRPr="00057F47" w:rsidR="003D2E5C">
        <w:t xml:space="preserve">, </w:t>
      </w:r>
      <w:r w:rsidRPr="00057F47" w:rsidR="00792CE7">
        <w:t xml:space="preserve">provides resold domestic toll services </w:t>
      </w:r>
      <w:r w:rsidRPr="00057F47" w:rsidR="00640413">
        <w:t xml:space="preserve">and other services </w:t>
      </w:r>
      <w:r w:rsidRPr="00057F47" w:rsidR="00792CE7">
        <w:t>to customers in and around Union Telephone Company’s local exchange service area.</w:t>
      </w:r>
      <w:r w:rsidR="00792CE7">
        <w:t xml:space="preserve"> </w:t>
      </w:r>
      <w:r w:rsidR="00925FBD">
        <w:t xml:space="preserve"> Amherst is governed by it</w:t>
      </w:r>
      <w:r w:rsidR="005460FE">
        <w:t xml:space="preserve">s Board of Directors, each </w:t>
      </w:r>
      <w:r w:rsidR="005460FE">
        <w:t xml:space="preserve">a US Citizen.  </w:t>
      </w:r>
    </w:p>
    <w:p w:rsidR="00672674" w:rsidP="00672674" w14:paraId="3A332A94" w14:textId="7BCC9AB9">
      <w:pPr>
        <w:autoSpaceDE w:val="0"/>
        <w:autoSpaceDN w:val="0"/>
        <w:adjustRightInd w:val="0"/>
        <w:spacing w:after="120"/>
        <w:ind w:firstLine="720"/>
      </w:pPr>
      <w:r>
        <w:t>The Amherst Communications ESO</w:t>
      </w:r>
      <w:r w:rsidR="00DE2161">
        <w:t>P</w:t>
      </w:r>
      <w:r>
        <w:t xml:space="preserve"> Trust</w:t>
      </w:r>
      <w:r w:rsidR="006645EE">
        <w:t>,</w:t>
      </w:r>
      <w:r>
        <w:t xml:space="preserve"> a tax-exempt </w:t>
      </w:r>
      <w:r w:rsidR="00904805">
        <w:t xml:space="preserve">Georgia </w:t>
      </w:r>
      <w:r>
        <w:t>trust</w:t>
      </w:r>
      <w:r w:rsidR="003D2E5C">
        <w:t>,</w:t>
      </w:r>
      <w:r>
        <w:t xml:space="preserve"> </w:t>
      </w:r>
      <w:r w:rsidR="006C56D9">
        <w:t xml:space="preserve">is </w:t>
      </w:r>
      <w:r w:rsidR="004A063A">
        <w:t xml:space="preserve">held for the benefit of Amherst’s employees.  </w:t>
      </w:r>
      <w:r w:rsidR="005D5CE5">
        <w:t xml:space="preserve">At the time of filing the Application, the </w:t>
      </w:r>
      <w:r w:rsidR="00E579D6">
        <w:t xml:space="preserve">trustee of the Amherst </w:t>
      </w:r>
      <w:r w:rsidR="0033363A">
        <w:t xml:space="preserve">ESOP </w:t>
      </w:r>
      <w:r w:rsidR="00E579D6">
        <w:t>Trust is Argent Trust Company</w:t>
      </w:r>
      <w:r w:rsidR="00E31480">
        <w:t xml:space="preserve"> (Trustee)</w:t>
      </w:r>
      <w:r w:rsidR="00E579D6">
        <w:t>, an independent in</w:t>
      </w:r>
      <w:r w:rsidR="00630ED1">
        <w:t>s</w:t>
      </w:r>
      <w:r w:rsidR="00E579D6">
        <w:t>t</w:t>
      </w:r>
      <w:r w:rsidR="00630ED1">
        <w:t>i</w:t>
      </w:r>
      <w:r w:rsidR="00E579D6">
        <w:t>t</w:t>
      </w:r>
      <w:r w:rsidR="00630ED1">
        <w:t>ut</w:t>
      </w:r>
      <w:r w:rsidR="00E579D6">
        <w:t xml:space="preserve">ional </w:t>
      </w:r>
      <w:r w:rsidR="0035595D">
        <w:t>trustee</w:t>
      </w:r>
      <w:r w:rsidR="0021123D">
        <w:t xml:space="preserve"> </w:t>
      </w:r>
      <w:r w:rsidR="0076740E">
        <w:t xml:space="preserve">and wholly-owned subsidiary </w:t>
      </w:r>
      <w:r w:rsidR="00E14009">
        <w:t xml:space="preserve">of Argent Financial Group, Inc., a </w:t>
      </w:r>
      <w:r w:rsidR="003A2F58">
        <w:t>widely</w:t>
      </w:r>
      <w:r w:rsidR="00EF49AF">
        <w:t xml:space="preserve"> </w:t>
      </w:r>
      <w:r w:rsidR="003A2F58">
        <w:t>held</w:t>
      </w:r>
      <w:r w:rsidR="002C3EBD">
        <w:t xml:space="preserve"> </w:t>
      </w:r>
      <w:r w:rsidR="00E14009">
        <w:t>Louisiana corporation</w:t>
      </w:r>
      <w:r w:rsidR="00630ED1">
        <w:t>.</w:t>
      </w:r>
      <w:r w:rsidR="001C1084">
        <w:t xml:space="preserve">  </w:t>
      </w:r>
      <w:r w:rsidR="00E31480">
        <w:t xml:space="preserve">Trustee is a fiduciary of the Amherst ESOP Trust and exercises the Amherst ESOP Trust’s ownership rights over its assets.  </w:t>
      </w:r>
    </w:p>
    <w:p w:rsidR="00230655" w:rsidRPr="008F29B4" w:rsidP="00EF158A" w14:paraId="2B95CF82" w14:textId="1AEF2DE4">
      <w:pPr>
        <w:autoSpaceDE w:val="0"/>
        <w:autoSpaceDN w:val="0"/>
        <w:adjustRightInd w:val="0"/>
        <w:spacing w:after="120"/>
      </w:pPr>
      <w:r>
        <w:tab/>
      </w:r>
      <w:r w:rsidR="00446222">
        <w:t xml:space="preserve">Pursuant to the terms of the </w:t>
      </w:r>
      <w:r w:rsidR="00085CF2">
        <w:t xml:space="preserve">proposed transaction, </w:t>
      </w:r>
      <w:r w:rsidR="00EF158A">
        <w:t xml:space="preserve">the Amherst ESOP Trust will enter into a Stock Purchase Agreement with </w:t>
      </w:r>
      <w:r w:rsidR="005740ED">
        <w:t xml:space="preserve">Amherst </w:t>
      </w:r>
      <w:r w:rsidR="00EF158A">
        <w:t>in which the Amherst ESOP Trust will purchase all of the issue</w:t>
      </w:r>
      <w:r w:rsidR="008E6E73">
        <w:t>d</w:t>
      </w:r>
      <w:r w:rsidR="00EF158A">
        <w:t xml:space="preserve"> and outstanding shares of</w:t>
      </w:r>
      <w:r w:rsidR="005740ED">
        <w:t xml:space="preserve"> Amherst</w:t>
      </w:r>
      <w:r w:rsidR="00EF158A">
        <w:t>.  Applicants state</w:t>
      </w:r>
      <w:r w:rsidR="00D17B49">
        <w:t xml:space="preserve"> that</w:t>
      </w:r>
      <w:r w:rsidR="00EF158A">
        <w:t xml:space="preserve">, upon consummation of the proposed transaction, the Amherst ESOP Trust will </w:t>
      </w:r>
      <w:r w:rsidR="00E6041B">
        <w:t>wholly-own</w:t>
      </w:r>
      <w:r w:rsidR="00EF158A">
        <w:t xml:space="preserve"> </w:t>
      </w:r>
      <w:r w:rsidR="00502D67">
        <w:t>Amherst</w:t>
      </w:r>
      <w:r w:rsidR="00E6041B">
        <w:t xml:space="preserve">, </w:t>
      </w:r>
      <w:r w:rsidR="0044649A">
        <w:t>Union Telephone Company</w:t>
      </w:r>
      <w:r w:rsidR="008E6E73">
        <w:t>,</w:t>
      </w:r>
      <w:r w:rsidR="0044649A">
        <w:t xml:space="preserve"> and Union Information S</w:t>
      </w:r>
      <w:r w:rsidR="00EF5BAC">
        <w:t>y</w:t>
      </w:r>
      <w:r w:rsidR="0044649A">
        <w:t>stems</w:t>
      </w:r>
      <w:r w:rsidR="00EF158A">
        <w:t xml:space="preserve">.  </w:t>
      </w:r>
      <w:bookmarkStart w:id="8" w:name="_Hlk190430453"/>
      <w:r w:rsidR="00502D67">
        <w:t xml:space="preserve">By participating in the Amherst ESOP, the employees will receive allocations of shares of </w:t>
      </w:r>
      <w:r w:rsidR="008E6E73">
        <w:t>c</w:t>
      </w:r>
      <w:r w:rsidR="00502D67">
        <w:t>ompany stock to their Amherst ESOP accounts, thus becoming beneficial owners of Amherst</w:t>
      </w:r>
      <w:r w:rsidR="001C7FC1">
        <w:t xml:space="preserve"> and it</w:t>
      </w:r>
      <w:r w:rsidR="0034624C">
        <w:t>s subsidiaries</w:t>
      </w:r>
      <w:r w:rsidR="00502D67">
        <w:t>.</w:t>
      </w:r>
      <w:r w:rsidR="00586070">
        <w:t xml:space="preserve">  Amherst</w:t>
      </w:r>
      <w:r w:rsidR="002B09DA">
        <w:t>’s Board of Director</w:t>
      </w:r>
      <w:r w:rsidR="00437B31">
        <w:t xml:space="preserve">s and officers would </w:t>
      </w:r>
      <w:r w:rsidR="00586070">
        <w:t xml:space="preserve">continue </w:t>
      </w:r>
      <w:r w:rsidR="00437B31">
        <w:t xml:space="preserve">to have operational control of Amherst </w:t>
      </w:r>
      <w:r w:rsidR="0034624C">
        <w:t xml:space="preserve">and its subsidiaries </w:t>
      </w:r>
      <w:r w:rsidR="00437B31">
        <w:t xml:space="preserve">post-transaction.  </w:t>
      </w:r>
      <w:r w:rsidR="008F29B4">
        <w:t xml:space="preserve"> </w:t>
      </w:r>
    </w:p>
    <w:p w:rsidR="00C10FD9" w:rsidRPr="00CF5E89" w:rsidP="00CF5E89" w14:paraId="1E3D3408" w14:textId="25151C54">
      <w:pPr>
        <w:autoSpaceDE w:val="0"/>
        <w:autoSpaceDN w:val="0"/>
        <w:adjustRightInd w:val="0"/>
        <w:spacing w:after="120"/>
        <w:ind w:firstLine="720"/>
        <w:rPr>
          <w:szCs w:val="22"/>
        </w:rPr>
      </w:pPr>
      <w:r w:rsidRPr="0022700C">
        <w:t>Applicants assert that a grant of the Application would serve the public interest, convenience, and necessity.</w:t>
      </w:r>
      <w:r>
        <w:t xml:space="preserve">  </w:t>
      </w:r>
      <w:r w:rsidR="00A8546B">
        <w:t>W</w:t>
      </w:r>
      <w:r w:rsidRPr="003925A7" w:rsidR="00A8546B">
        <w:t>e accept the Application for streamlined processing</w:t>
      </w:r>
      <w:r w:rsidR="00A8546B">
        <w:rPr>
          <w:bCs/>
        </w:rPr>
        <w:t xml:space="preserve"> </w:t>
      </w:r>
      <w:r w:rsidRPr="52D3F29C" w:rsidR="00A8546B">
        <w:t>under section 63.03(b)(</w:t>
      </w:r>
      <w:r w:rsidR="001B16DC">
        <w:t>1</w:t>
      </w:r>
      <w:r w:rsidRPr="00800E93" w:rsidR="00A8546B">
        <w:rPr>
          <w:bCs/>
        </w:rPr>
        <w:t>)(</w:t>
      </w:r>
      <w:r w:rsidRPr="52D3F29C" w:rsidR="00A8546B">
        <w:t>i</w:t>
      </w:r>
      <w:r w:rsidR="001B16DC">
        <w:t>i</w:t>
      </w:r>
      <w:r w:rsidRPr="00800E93" w:rsidR="00A8546B">
        <w:rPr>
          <w:bCs/>
        </w:rPr>
        <w:t xml:space="preserve">) </w:t>
      </w:r>
      <w:r w:rsidRPr="52D3F29C" w:rsidR="00A8546B">
        <w:t>of the Commission’s rules.</w:t>
      </w:r>
      <w:r>
        <w:rPr>
          <w:vertAlign w:val="superscript"/>
        </w:rPr>
        <w:footnoteReference w:id="5"/>
      </w:r>
    </w:p>
    <w:bookmarkEnd w:id="8"/>
    <w:p w:rsidR="005F45B1" w:rsidP="00E7216E" w14:paraId="2D01E5A8" w14:textId="31EB868F">
      <w:pPr>
        <w:ind w:left="720"/>
        <w:rPr>
          <w:szCs w:val="22"/>
        </w:rPr>
      </w:pPr>
      <w:r w:rsidRPr="008B1A0B">
        <w:rPr>
          <w:szCs w:val="22"/>
        </w:rPr>
        <w:t xml:space="preserve">Domestic Section 214 Filed for the Transfer of Control of </w:t>
      </w:r>
      <w:r w:rsidR="00C10FD9">
        <w:rPr>
          <w:szCs w:val="22"/>
        </w:rPr>
        <w:t xml:space="preserve">Amherst Telephone Company d/b/a Amherst Communications </w:t>
      </w:r>
      <w:r w:rsidR="00CF5E89">
        <w:rPr>
          <w:szCs w:val="22"/>
        </w:rPr>
        <w:t xml:space="preserve">and its Subsidiaries </w:t>
      </w:r>
      <w:r w:rsidR="00C10FD9">
        <w:rPr>
          <w:szCs w:val="22"/>
        </w:rPr>
        <w:t>to Amherst Communications Employee Stock Ownership Trust</w:t>
      </w:r>
      <w:r>
        <w:rPr>
          <w:szCs w:val="22"/>
        </w:rPr>
        <w:t>, W</w:t>
      </w:r>
      <w:r w:rsidRPr="008B1A0B" w:rsidR="00DA5151">
        <w:rPr>
          <w:szCs w:val="22"/>
        </w:rPr>
        <w:t>C Docket No. 2</w:t>
      </w:r>
      <w:r w:rsidRPr="008B1A0B" w:rsidR="005B55A0">
        <w:rPr>
          <w:szCs w:val="22"/>
        </w:rPr>
        <w:t>5</w:t>
      </w:r>
      <w:r w:rsidRPr="008B1A0B" w:rsidR="00DA5151">
        <w:rPr>
          <w:szCs w:val="22"/>
        </w:rPr>
        <w:t>-</w:t>
      </w:r>
      <w:r w:rsidR="00C10FD9">
        <w:rPr>
          <w:szCs w:val="22"/>
        </w:rPr>
        <w:t>309</w:t>
      </w:r>
      <w:r w:rsidRPr="008B1A0B" w:rsidR="00DA5151">
        <w:rPr>
          <w:szCs w:val="22"/>
        </w:rPr>
        <w:t xml:space="preserve"> (filed </w:t>
      </w:r>
      <w:r w:rsidR="00C10FD9">
        <w:rPr>
          <w:szCs w:val="22"/>
        </w:rPr>
        <w:t>Nov</w:t>
      </w:r>
      <w:r w:rsidRPr="008B1A0B" w:rsidR="00DA5151">
        <w:rPr>
          <w:szCs w:val="22"/>
        </w:rPr>
        <w:t xml:space="preserve">. </w:t>
      </w:r>
      <w:r w:rsidR="00773A3F">
        <w:rPr>
          <w:szCs w:val="22"/>
        </w:rPr>
        <w:t>1</w:t>
      </w:r>
      <w:r w:rsidR="00C10FD9">
        <w:rPr>
          <w:szCs w:val="22"/>
        </w:rPr>
        <w:t>3</w:t>
      </w:r>
      <w:r w:rsidRPr="008B1A0B" w:rsidR="00DA5151">
        <w:rPr>
          <w:szCs w:val="22"/>
        </w:rPr>
        <w:t>, 202</w:t>
      </w:r>
      <w:r w:rsidRPr="008B1A0B" w:rsidR="00B945B4">
        <w:rPr>
          <w:szCs w:val="22"/>
        </w:rPr>
        <w:t>5</w:t>
      </w:r>
      <w:r w:rsidRPr="008B1A0B" w:rsidR="00DA5151">
        <w:rPr>
          <w:szCs w:val="22"/>
        </w:rPr>
        <w:t>).</w:t>
      </w:r>
    </w:p>
    <w:p w:rsidR="00D33631" w:rsidRPr="003B1C20" w:rsidP="00D33631" w14:paraId="33E35E06" w14:textId="0D0E59FF">
      <w:pPr>
        <w:keepNext/>
        <w:autoSpaceDE w:val="0"/>
        <w:autoSpaceDN w:val="0"/>
        <w:adjustRightInd w:val="0"/>
        <w:spacing w:after="120"/>
        <w:rPr>
          <w:szCs w:val="22"/>
        </w:rPr>
      </w:pPr>
    </w:p>
    <w:p w:rsidR="005A0D8A" w:rsidRPr="007D6E06" w:rsidP="005A0D8A" w14:paraId="22B6B3A9" w14:textId="77777777">
      <w:pPr>
        <w:keepNext/>
        <w:autoSpaceDE w:val="0"/>
        <w:autoSpaceDN w:val="0"/>
        <w:adjustRightInd w:val="0"/>
        <w:spacing w:after="120"/>
        <w:rPr>
          <w:szCs w:val="22"/>
        </w:rPr>
      </w:pPr>
      <w:r w:rsidRPr="007D6E06">
        <w:rPr>
          <w:b/>
          <w:szCs w:val="22"/>
          <w:u w:val="single"/>
        </w:rPr>
        <w:t>GENERAL INFORMATION</w:t>
      </w:r>
    </w:p>
    <w:p w:rsidR="005A0D8A" w:rsidRPr="007D6E06" w:rsidP="005A0D8A" w14:paraId="5617265F" w14:textId="77777777">
      <w:pPr>
        <w:autoSpaceDE w:val="0"/>
        <w:autoSpaceDN w:val="0"/>
        <w:adjustRightInd w:val="0"/>
        <w:spacing w:after="120"/>
        <w:ind w:firstLine="720"/>
        <w:rPr>
          <w:bCs/>
          <w:szCs w:val="22"/>
        </w:rPr>
      </w:pPr>
      <w:r w:rsidRPr="007D6E06">
        <w:rPr>
          <w:szCs w:val="22"/>
        </w:rPr>
        <w:t xml:space="preserve">The transfer of control identified herein has been found, upon initial review, to be acceptable for filing as a streamlined application.  The Commission reserves the right to return any transfer application if, upon further examination, it is determined to be defective and not in conformance with the Commission’s rules and </w:t>
      </w:r>
      <w:r w:rsidRPr="00E77236">
        <w:rPr>
          <w:szCs w:val="22"/>
        </w:rPr>
        <w:t>policies.  Interested parties may file comments</w:t>
      </w:r>
      <w:r w:rsidRPr="00E77236">
        <w:rPr>
          <w:bCs/>
          <w:szCs w:val="22"/>
        </w:rPr>
        <w:t xml:space="preserve"> and reply comments on or before the dates indicated on the first page of this document.  Pursuant to section 63.52 of the Commission’s rules, 47 CFR § 63.52, commenters must serve a copy of comments on the Applicants no later than the above comment filing date.  Unless</w:t>
      </w:r>
      <w:r w:rsidRPr="007D6E06">
        <w:rPr>
          <w:bCs/>
          <w:szCs w:val="22"/>
        </w:rPr>
        <w:t xml:space="preserve"> otherwise notified by the Commission, the Applicants may transfer control on the 31st day after the date of this notice.</w:t>
      </w:r>
    </w:p>
    <w:p w:rsidR="005A0D8A" w:rsidRPr="007D6E06" w:rsidP="005A0D8A" w14:paraId="5127EB65" w14:textId="77777777">
      <w:pPr>
        <w:autoSpaceDE w:val="0"/>
        <w:autoSpaceDN w:val="0"/>
        <w:adjustRightInd w:val="0"/>
        <w:spacing w:after="120"/>
        <w:ind w:firstLine="720"/>
        <w:rPr>
          <w:szCs w:val="22"/>
        </w:rPr>
      </w:pPr>
      <w:r w:rsidRPr="007D6E06">
        <w:rPr>
          <w:szCs w:val="22"/>
        </w:rPr>
        <w:t xml:space="preserve">Pursuant to section 63.03 of the Commission’s rules, 47 CFR § 63.03, interested parties </w:t>
      </w:r>
      <w:r>
        <w:rPr>
          <w:szCs w:val="22"/>
        </w:rPr>
        <w:t>must</w:t>
      </w:r>
      <w:r w:rsidRPr="007D6E06">
        <w:rPr>
          <w:szCs w:val="22"/>
        </w:rPr>
        <w:t xml:space="preserve"> file </w:t>
      </w:r>
      <w:r>
        <w:rPr>
          <w:szCs w:val="22"/>
        </w:rPr>
        <w:t>comments</w:t>
      </w:r>
      <w:r w:rsidRPr="007D6E06">
        <w:rPr>
          <w:szCs w:val="22"/>
        </w:rPr>
        <w:t xml:space="preserve"> using the Commission’s Electronic Comment Filing System (ECFS):  </w:t>
      </w:r>
      <w:hyperlink r:id="rId6" w:history="1">
        <w:r w:rsidRPr="004702D2">
          <w:rPr>
            <w:rStyle w:val="Hyperlink"/>
          </w:rPr>
          <w:t>https://www.fcc.gov/ecfs</w:t>
        </w:r>
      </w:hyperlink>
      <w:r w:rsidRPr="007D6E06">
        <w:rPr>
          <w:szCs w:val="22"/>
        </w:rPr>
        <w:t>.</w:t>
      </w:r>
    </w:p>
    <w:p w:rsidR="005A0D8A" w:rsidRPr="007D6E06" w:rsidP="005A0D8A" w14:paraId="037E5637" w14:textId="77777777">
      <w:pPr>
        <w:autoSpaceDE w:val="0"/>
        <w:autoSpaceDN w:val="0"/>
        <w:adjustRightInd w:val="0"/>
        <w:spacing w:after="120"/>
        <w:ind w:firstLine="720"/>
        <w:rPr>
          <w:szCs w:val="22"/>
        </w:rPr>
      </w:pPr>
      <w:r w:rsidRPr="007D6E06">
        <w:rPr>
          <w:szCs w:val="22"/>
        </w:rPr>
        <w:t xml:space="preserve">People with Disabilities:  To request materials in accessible formats for people with disabilities (braille, large print, electronic files, audio format), send an e-mail to </w:t>
      </w:r>
      <w:hyperlink r:id="rId7" w:history="1">
        <w:r w:rsidRPr="007D6E06">
          <w:rPr>
            <w:color w:val="0000FF"/>
            <w:szCs w:val="22"/>
            <w:u w:val="single"/>
          </w:rPr>
          <w:t>fcc504@fcc.gov</w:t>
        </w:r>
      </w:hyperlink>
      <w:r w:rsidRPr="007D6E06">
        <w:rPr>
          <w:szCs w:val="22"/>
        </w:rPr>
        <w:t xml:space="preserve"> or call the Consumer &amp; Governmental Affairs Bureau at 202-418-0530 (voice)</w:t>
      </w:r>
      <w:r>
        <w:rPr>
          <w:szCs w:val="22"/>
        </w:rPr>
        <w:t>.</w:t>
      </w:r>
    </w:p>
    <w:p w:rsidR="005A0D8A" w:rsidRPr="007D6E06" w:rsidP="005A0D8A" w14:paraId="20BE2B43" w14:textId="77777777">
      <w:pPr>
        <w:autoSpaceDE w:val="0"/>
        <w:autoSpaceDN w:val="0"/>
        <w:adjustRightInd w:val="0"/>
        <w:spacing w:after="120"/>
        <w:ind w:firstLine="720"/>
        <w:rPr>
          <w:b/>
          <w:szCs w:val="22"/>
        </w:rPr>
      </w:pPr>
      <w:r w:rsidRPr="007D6E06">
        <w:rPr>
          <w:b/>
          <w:szCs w:val="22"/>
        </w:rPr>
        <w:t>In addition, e-mail one copy of each pleading to each of the following:</w:t>
      </w:r>
    </w:p>
    <w:p w:rsidR="00D87F26" w:rsidP="005A0D8A" w14:paraId="0E158278" w14:textId="77777777">
      <w:pPr>
        <w:numPr>
          <w:ilvl w:val="0"/>
          <w:numId w:val="10"/>
        </w:numPr>
        <w:autoSpaceDE w:val="0"/>
        <w:autoSpaceDN w:val="0"/>
        <w:adjustRightInd w:val="0"/>
        <w:spacing w:after="120"/>
        <w:rPr>
          <w:szCs w:val="22"/>
        </w:rPr>
      </w:pPr>
      <w:r>
        <w:rPr>
          <w:szCs w:val="22"/>
        </w:rPr>
        <w:t>Dennis Johnson</w:t>
      </w:r>
      <w:r w:rsidRPr="003A5156" w:rsidR="005A0D8A">
        <w:rPr>
          <w:szCs w:val="22"/>
        </w:rPr>
        <w:t>, Competition Policy Division, Wireline Competition Bureau,</w:t>
      </w:r>
      <w:r w:rsidR="005A0D8A">
        <w:t xml:space="preserve"> </w:t>
      </w:r>
      <w:hyperlink r:id="rId8" w:history="1">
        <w:r w:rsidRPr="005E383E">
          <w:rPr>
            <w:rStyle w:val="Hyperlink"/>
          </w:rPr>
          <w:t>dennis.johnson@fcc.gov</w:t>
        </w:r>
      </w:hyperlink>
      <w:r w:rsidR="005A0D8A">
        <w:t>;</w:t>
      </w:r>
      <w:r w:rsidR="005A0D8A">
        <w:rPr>
          <w:szCs w:val="22"/>
        </w:rPr>
        <w:t xml:space="preserve"> </w:t>
      </w:r>
    </w:p>
    <w:p w:rsidR="005A0D8A" w:rsidRPr="00643C3D" w:rsidP="00643C3D" w14:paraId="3A8E746B" w14:textId="52D9FBAE">
      <w:pPr>
        <w:numPr>
          <w:ilvl w:val="0"/>
          <w:numId w:val="10"/>
        </w:numPr>
        <w:autoSpaceDE w:val="0"/>
        <w:autoSpaceDN w:val="0"/>
        <w:adjustRightInd w:val="0"/>
        <w:spacing w:after="120"/>
        <w:rPr>
          <w:szCs w:val="22"/>
        </w:rPr>
      </w:pPr>
      <w:r>
        <w:rPr>
          <w:szCs w:val="22"/>
        </w:rPr>
        <w:t>Sva</w:t>
      </w:r>
      <w:r w:rsidR="00163908">
        <w:rPr>
          <w:szCs w:val="22"/>
        </w:rPr>
        <w:t>ntje</w:t>
      </w:r>
      <w:r w:rsidR="00A90A06">
        <w:rPr>
          <w:szCs w:val="22"/>
        </w:rPr>
        <w:t xml:space="preserve"> Swider, </w:t>
      </w:r>
      <w:r w:rsidR="00497252">
        <w:rPr>
          <w:szCs w:val="22"/>
        </w:rPr>
        <w:t>Office of International Affairs</w:t>
      </w:r>
      <w:r w:rsidR="00061BFC">
        <w:rPr>
          <w:szCs w:val="22"/>
        </w:rPr>
        <w:t xml:space="preserve">, </w:t>
      </w:r>
      <w:hyperlink r:id="rId9" w:history="1">
        <w:r w:rsidRPr="00643C3D" w:rsidR="00F96CD9">
          <w:rPr>
            <w:rStyle w:val="Hyperlink"/>
            <w:szCs w:val="22"/>
          </w:rPr>
          <w:t>svantje.swider@fcc.gov</w:t>
        </w:r>
      </w:hyperlink>
      <w:r w:rsidR="00643C3D">
        <w:rPr>
          <w:szCs w:val="22"/>
        </w:rPr>
        <w:t>;</w:t>
      </w:r>
      <w:r w:rsidRPr="00643C3D">
        <w:rPr>
          <w:szCs w:val="22"/>
        </w:rPr>
        <w:t xml:space="preserve"> </w:t>
      </w:r>
      <w:r>
        <w:t xml:space="preserve">and </w:t>
      </w:r>
    </w:p>
    <w:p w:rsidR="005A0D8A" w:rsidRPr="007D6E06" w:rsidP="005A0D8A" w14:paraId="061506DD" w14:textId="0AB86140">
      <w:pPr>
        <w:numPr>
          <w:ilvl w:val="0"/>
          <w:numId w:val="10"/>
        </w:numPr>
        <w:autoSpaceDE w:val="0"/>
        <w:autoSpaceDN w:val="0"/>
        <w:adjustRightInd w:val="0"/>
        <w:spacing w:after="120"/>
        <w:rPr>
          <w:szCs w:val="22"/>
        </w:rPr>
      </w:pPr>
      <w:r w:rsidRPr="007D6E06">
        <w:rPr>
          <w:szCs w:val="22"/>
        </w:rPr>
        <w:t xml:space="preserve">Jim Bird, Office of General Counsel, </w:t>
      </w:r>
      <w:hyperlink r:id="rId10">
        <w:r w:rsidRPr="007D6E06">
          <w:rPr>
            <w:color w:val="0000FF"/>
            <w:szCs w:val="22"/>
            <w:u w:val="single"/>
          </w:rPr>
          <w:t>jim.bird@fcc.gov</w:t>
        </w:r>
      </w:hyperlink>
      <w:r w:rsidRPr="007D6E06">
        <w:rPr>
          <w:szCs w:val="22"/>
        </w:rPr>
        <w:t>.</w:t>
      </w:r>
    </w:p>
    <w:p w:rsidR="005A0D8A" w:rsidRPr="007D6E06" w:rsidP="005A0D8A" w14:paraId="6FB50587" w14:textId="77777777">
      <w:pPr>
        <w:autoSpaceDE w:val="0"/>
        <w:autoSpaceDN w:val="0"/>
        <w:adjustRightInd w:val="0"/>
        <w:spacing w:after="120"/>
        <w:ind w:firstLine="720"/>
        <w:rPr>
          <w:szCs w:val="22"/>
        </w:rPr>
      </w:pPr>
      <w:r w:rsidRPr="007D6E06">
        <w:rPr>
          <w:szCs w:val="22"/>
        </w:rPr>
        <w:t xml:space="preserve">The proceeding in this Notice shall be treated as a “permit-but-disclose” proceeding in accordance with the Commission’s </w:t>
      </w:r>
      <w:r w:rsidRPr="007D6E06">
        <w:rPr>
          <w:i/>
          <w:szCs w:val="22"/>
        </w:rPr>
        <w:t>ex parte</w:t>
      </w:r>
      <w:r w:rsidRPr="007D6E06">
        <w:rPr>
          <w:szCs w:val="22"/>
        </w:rPr>
        <w:t xml:space="preserve"> rules.  Persons making </w:t>
      </w:r>
      <w:r w:rsidRPr="007D6E06">
        <w:rPr>
          <w:i/>
          <w:szCs w:val="22"/>
        </w:rPr>
        <w:t>ex parte</w:t>
      </w:r>
      <w:r w:rsidRPr="007D6E06">
        <w:rPr>
          <w:szCs w:val="22"/>
        </w:rPr>
        <w:t xml:space="preserve"> presentations must file a copy of any written presentation or a memorandum summarizing any oral presentation within two business </w:t>
      </w:r>
      <w:r w:rsidRPr="007D6E06">
        <w:rPr>
          <w:szCs w:val="22"/>
        </w:rPr>
        <w:t xml:space="preserve">days after the presentation (unless a different deadline applicable to the Sunshine period applies).  Persons making oral </w:t>
      </w:r>
      <w:r w:rsidRPr="007D6E06">
        <w:rPr>
          <w:i/>
          <w:szCs w:val="22"/>
        </w:rPr>
        <w:t>ex parte</w:t>
      </w:r>
      <w:r w:rsidRPr="007D6E06">
        <w:rPr>
          <w:szCs w:val="22"/>
        </w:rPr>
        <w:t xml:space="preserve"> presentations are reminded that memoranda summarizing the presentation must (1) list all persons attending or otherwise participating in the meeting at which the </w:t>
      </w:r>
      <w:r w:rsidRPr="007D6E06">
        <w:rPr>
          <w:i/>
          <w:szCs w:val="22"/>
        </w:rPr>
        <w:t>ex parte</w:t>
      </w:r>
      <w:r w:rsidRPr="007D6E06">
        <w:rPr>
          <w:szCs w:val="22"/>
        </w:rPr>
        <w:t xml:space="preserve"> presentation was made, and (2) summarize all data presented and arguments made during the presentation.  If the presentation consisted in whole or in part of the presentation of data or arguments already reflected in the presenter’s written comments, memoranda or other filings in the proceeding, the presenter may provide citations to such data or arguments in his or her prior comments, memoranda, or other filings (specifying the relevant page and/or paragraph numbers where such data or arguments can be found) in lieu of summarizing them in the memorandum.  Documents shown or given to Commission staff during </w:t>
      </w:r>
      <w:r w:rsidRPr="007D6E06">
        <w:rPr>
          <w:i/>
          <w:szCs w:val="22"/>
        </w:rPr>
        <w:t>ex parte</w:t>
      </w:r>
      <w:r w:rsidRPr="007D6E06">
        <w:rPr>
          <w:szCs w:val="22"/>
        </w:rPr>
        <w:t xml:space="preserve"> meetings are deemed to be written </w:t>
      </w:r>
      <w:r w:rsidRPr="007D6E06">
        <w:rPr>
          <w:i/>
          <w:szCs w:val="22"/>
        </w:rPr>
        <w:t>ex parte</w:t>
      </w:r>
      <w:r w:rsidRPr="007D6E06">
        <w:rPr>
          <w:szCs w:val="22"/>
        </w:rPr>
        <w:t xml:space="preserve"> presentations and must be filed consistent with rule 1.1206(b), 47 CFR § 1.1206(b).  Participants in this proceeding should familiarize themselves with the Commission’s </w:t>
      </w:r>
      <w:r w:rsidRPr="007D6E06">
        <w:rPr>
          <w:i/>
          <w:szCs w:val="22"/>
        </w:rPr>
        <w:t>ex parte</w:t>
      </w:r>
      <w:r w:rsidRPr="007D6E06">
        <w:rPr>
          <w:szCs w:val="22"/>
        </w:rPr>
        <w:t xml:space="preserve"> rules.</w:t>
      </w:r>
    </w:p>
    <w:p w:rsidR="00384074" w:rsidRPr="00DB2877" w:rsidP="00DB2877" w14:paraId="40AA41E2" w14:textId="43EF3133">
      <w:pPr>
        <w:keepNext/>
        <w:autoSpaceDE w:val="0"/>
        <w:autoSpaceDN w:val="0"/>
        <w:adjustRightInd w:val="0"/>
        <w:spacing w:after="120"/>
        <w:rPr>
          <w:b/>
          <w:szCs w:val="22"/>
          <w:u w:val="single"/>
        </w:rPr>
      </w:pPr>
      <w:r w:rsidRPr="52D3F29C">
        <w:t>To allow the Commission to consider fully all substantive issues regarding the application in as timely and efficient a manner as possible, petitioners and commenters should raise all issues in their initial filings.  New issues may not be raised in responses or replies.</w:t>
      </w:r>
      <w:r>
        <w:rPr>
          <w:vertAlign w:val="superscript"/>
        </w:rPr>
        <w:footnoteReference w:id="6"/>
      </w:r>
      <w:r w:rsidRPr="52D3F29C">
        <w:t xml:space="preserve">  A party or interested person seeking to raise a new issue after the pleading cycle has closed must show good cause why it was not possible for it to have raised the issue previously.  Submissions after the pleading cycle has closed that seek to raise new issues based on new facts or newly discovered facts should be filed within 15 days after such facts are discovered.  Absent such a showing of good cause, any issues not timely raised may be disregarded by the Commission.  </w:t>
      </w:r>
    </w:p>
    <w:p w:rsidR="00DF0BCD" w:rsidP="00B07C84" w14:paraId="5EAE53AA" w14:textId="77777777">
      <w:pPr>
        <w:autoSpaceDE w:val="0"/>
        <w:autoSpaceDN w:val="0"/>
        <w:adjustRightInd w:val="0"/>
        <w:spacing w:after="120"/>
        <w:ind w:firstLine="720"/>
      </w:pPr>
      <w:r w:rsidRPr="003B1C20">
        <w:rPr>
          <w:szCs w:val="22"/>
        </w:rPr>
        <w:t>For further information, please contact</w:t>
      </w:r>
      <w:r w:rsidR="0061190D">
        <w:rPr>
          <w:szCs w:val="22"/>
        </w:rPr>
        <w:t xml:space="preserve"> </w:t>
      </w:r>
      <w:r w:rsidR="003063B6">
        <w:rPr>
          <w:szCs w:val="22"/>
        </w:rPr>
        <w:t>Dennis Johnson</w:t>
      </w:r>
      <w:r w:rsidR="0061190D">
        <w:rPr>
          <w:szCs w:val="22"/>
        </w:rPr>
        <w:t xml:space="preserve">, </w:t>
      </w:r>
      <w:r>
        <w:rPr>
          <w:szCs w:val="22"/>
        </w:rPr>
        <w:t>Competition Policy Division, Wireline Competition Bureau,</w:t>
      </w:r>
      <w:r w:rsidRPr="003B1C20">
        <w:rPr>
          <w:szCs w:val="22"/>
        </w:rPr>
        <w:t xml:space="preserve"> at </w:t>
      </w:r>
      <w:r w:rsidRPr="003B1C20">
        <w:t>(202) 41</w:t>
      </w:r>
      <w:r w:rsidR="004B5C54">
        <w:t>8-</w:t>
      </w:r>
      <w:r w:rsidR="003063B6">
        <w:t>0809</w:t>
      </w:r>
      <w:r w:rsidR="00BD71EB">
        <w:t xml:space="preserve"> or</w:t>
      </w:r>
      <w:r w:rsidR="0061190D">
        <w:t xml:space="preserve"> </w:t>
      </w:r>
      <w:hyperlink r:id="rId8" w:history="1">
        <w:r w:rsidR="003063B6">
          <w:rPr>
            <w:rStyle w:val="Hyperlink"/>
          </w:rPr>
          <w:t>dennis.johnson@fcc.gov</w:t>
        </w:r>
      </w:hyperlink>
      <w:r w:rsidR="0061190D">
        <w:t>.</w:t>
      </w:r>
    </w:p>
    <w:p w:rsidR="003063B6" w:rsidP="0061190D" w14:paraId="60CC956B" w14:textId="77777777">
      <w:pPr>
        <w:autoSpaceDE w:val="0"/>
        <w:autoSpaceDN w:val="0"/>
        <w:adjustRightInd w:val="0"/>
        <w:spacing w:after="120"/>
        <w:ind w:firstLine="720"/>
      </w:pPr>
    </w:p>
    <w:p w:rsidR="003063B6" w:rsidRPr="0061190D" w:rsidP="0061190D" w14:paraId="238D22F5" w14:textId="77777777">
      <w:pPr>
        <w:autoSpaceDE w:val="0"/>
        <w:autoSpaceDN w:val="0"/>
        <w:adjustRightInd w:val="0"/>
        <w:spacing w:after="120"/>
        <w:ind w:firstLine="720"/>
      </w:pPr>
    </w:p>
    <w:p w:rsidR="00BA3BA8" w:rsidRPr="00DF0BCD" w:rsidP="00DF0BCD" w14:paraId="7882D8DB" w14:textId="77777777">
      <w:pPr>
        <w:autoSpaceDE w:val="0"/>
        <w:autoSpaceDN w:val="0"/>
        <w:adjustRightInd w:val="0"/>
        <w:jc w:val="center"/>
        <w:rPr>
          <w:color w:val="000000"/>
          <w:szCs w:val="22"/>
        </w:rPr>
      </w:pPr>
      <w:r w:rsidRPr="007D6E06">
        <w:rPr>
          <w:b/>
          <w:szCs w:val="22"/>
        </w:rPr>
        <w:t>-FCC-</w:t>
      </w:r>
      <w:bookmarkEnd w:id="2"/>
    </w:p>
    <w:sectPr>
      <w:headerReference w:type="default" r:id="rId11"/>
      <w:footerReference w:type="even" r:id="rId12"/>
      <w:footerReference w:type="default" r:id="rId13"/>
      <w:headerReference w:type="first" r:id="rId14"/>
      <w:footerReference w:type="first" r:id="rId15"/>
      <w:endnotePr>
        <w:numFmt w:val="decimal"/>
      </w:endnotePr>
      <w:pgSz w:w="12240" w:h="15840"/>
      <w:pgMar w:top="1440" w:right="1440" w:bottom="720" w:left="1440" w:header="630" w:footer="720" w:gutter="0"/>
      <w:pgNumType w:start="1"/>
      <w:cols w:space="720"/>
      <w:noEndnote/>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endnote w:type="separator" w:id="0">
    <w:p w:rsidR="005C07E8" w14:paraId="1AB0C71A" w14:textId="77777777">
      <w:pPr>
        <w:spacing w:line="20" w:lineRule="exact"/>
      </w:pPr>
    </w:p>
  </w:endnote>
  <w:endnote w:type="continuationSeparator" w:id="1">
    <w:p w:rsidR="005C07E8" w14:paraId="5816FF8D" w14:textId="77777777">
      <w:r>
        <w:t xml:space="preserve"> </w:t>
      </w:r>
    </w:p>
  </w:endnote>
  <w:endnote w:type="continuationNotice" w:id="2">
    <w:p w:rsidR="005C07E8" w14:paraId="68ACA9F4" w14:textId="77777777">
      <w:r>
        <w:t xml:space="preserve"> </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Times New Roman Bold">
    <w:panose1 w:val="02020803070505020304"/>
    <w:charset w:val="00"/>
    <w:family w:val="roman"/>
    <w:pitch w:val="variable"/>
    <w:sig w:usb0="E0002AEF" w:usb1="C0007841" w:usb2="00000009" w:usb3="00000000" w:csb0="000001FF" w:csb1="00000000"/>
  </w:font>
  <w:font w:name="Arial">
    <w:panose1 w:val="020B0604020202020204"/>
    <w:charset w:val="00"/>
    <w:family w:val="swiss"/>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Aptos">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BA3BA8" w14:paraId="6311141B" w14:textId="77777777">
    <w:pPr>
      <w:pStyle w:val="Footer"/>
      <w:framePr w:wrap="around" w:vAnchor="text" w:hAnchor="margin" w:xAlign="center" w:y="1"/>
    </w:pPr>
    <w:r>
      <w:fldChar w:fldCharType="begin"/>
    </w:r>
    <w:r>
      <w:instrText xml:space="preserve">PAGE  </w:instrText>
    </w:r>
    <w:r>
      <w:fldChar w:fldCharType="separate"/>
    </w:r>
    <w:r>
      <w:fldChar w:fldCharType="end"/>
    </w:r>
  </w:p>
  <w:p w:rsidR="00BA3BA8" w14:paraId="213D37F6" w14:textId="7777777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BA3BA8" w14:paraId="2DFCCF54" w14:textId="77777777">
    <w:pPr>
      <w:pStyle w:val="Footer"/>
      <w:jc w:val="center"/>
    </w:pPr>
    <w:r>
      <w:fldChar w:fldCharType="begin"/>
    </w:r>
    <w:r>
      <w:instrText xml:space="preserve"> PAGE   \* MERGEFORMAT </w:instrText>
    </w:r>
    <w:r>
      <w:fldChar w:fldCharType="separate"/>
    </w:r>
    <w:r>
      <w:rPr>
        <w:noProof/>
      </w:rPr>
      <w:t>2</w:t>
    </w:r>
    <w:r>
      <w:rPr>
        <w:noProof/>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BA3BA8" w14:paraId="5C5C56F5" w14:textId="77777777">
    <w:pPr>
      <w:pStyle w:val="Footer"/>
      <w:tabs>
        <w:tab w:val="clear" w:pos="8640"/>
      </w:tabs>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footnote w:type="separator" w:id="0">
    <w:p w:rsidR="005C07E8" w14:paraId="292522DC" w14:textId="77777777">
      <w:r>
        <w:separator/>
      </w:r>
    </w:p>
  </w:footnote>
  <w:footnote w:type="continuationSeparator" w:id="1">
    <w:p w:rsidR="005C07E8" w14:paraId="5C75DC43" w14:textId="77777777">
      <w:pPr>
        <w:rPr>
          <w:sz w:val="20"/>
        </w:rPr>
      </w:pPr>
      <w:r>
        <w:rPr>
          <w:sz w:val="20"/>
        </w:rPr>
        <w:t xml:space="preserve">(Continued from previous page)  </w:t>
      </w:r>
      <w:r>
        <w:rPr>
          <w:sz w:val="20"/>
        </w:rPr>
        <w:separator/>
      </w:r>
    </w:p>
  </w:footnote>
  <w:footnote w:type="continuationNotice" w:id="2">
    <w:p w:rsidR="005C07E8" w14:paraId="1B710103" w14:textId="77777777">
      <w:pPr>
        <w:jc w:val="right"/>
        <w:rPr>
          <w:sz w:val="20"/>
        </w:rPr>
      </w:pPr>
      <w:r>
        <w:rPr>
          <w:sz w:val="20"/>
        </w:rPr>
        <w:t>(continued….)</w:t>
      </w:r>
    </w:p>
  </w:footnote>
  <w:footnote w:id="3">
    <w:p w:rsidR="00881759" w:rsidRPr="007415D0" w:rsidP="007415D0" w14:paraId="1FC9CACA" w14:textId="5934C510">
      <w:pPr>
        <w:pStyle w:val="FootnoteText"/>
      </w:pPr>
      <w:r w:rsidRPr="007415D0">
        <w:rPr>
          <w:rStyle w:val="FootnoteReference"/>
          <w:sz w:val="20"/>
        </w:rPr>
        <w:footnoteRef/>
      </w:r>
      <w:r w:rsidRPr="007415D0">
        <w:t xml:space="preserve"> </w:t>
      </w:r>
      <w:r w:rsidRPr="007415D0">
        <w:rPr>
          <w:i/>
        </w:rPr>
        <w:t>See</w:t>
      </w:r>
      <w:r w:rsidRPr="007415D0">
        <w:t xml:space="preserve"> 47 U.S.C. § 214(a); 47 CFR § 63.</w:t>
      </w:r>
      <w:r w:rsidR="008E6E73">
        <w:t>03-</w:t>
      </w:r>
      <w:r w:rsidRPr="007415D0">
        <w:t>04.</w:t>
      </w:r>
    </w:p>
  </w:footnote>
  <w:footnote w:id="4">
    <w:p w:rsidR="00881759" w:rsidRPr="007415D0" w:rsidP="006E20B6" w14:paraId="1B755970" w14:textId="7094965A">
      <w:pPr>
        <w:autoSpaceDE w:val="0"/>
        <w:autoSpaceDN w:val="0"/>
        <w:adjustRightInd w:val="0"/>
        <w:spacing w:after="120"/>
        <w:rPr>
          <w:sz w:val="20"/>
        </w:rPr>
      </w:pPr>
      <w:r w:rsidRPr="007415D0">
        <w:rPr>
          <w:rStyle w:val="FootnoteReference"/>
          <w:sz w:val="20"/>
        </w:rPr>
        <w:footnoteRef/>
      </w:r>
      <w:r w:rsidRPr="007415D0">
        <w:rPr>
          <w:sz w:val="20"/>
        </w:rPr>
        <w:t xml:space="preserve"> Domestic Section 214 Application for the Transfer of Control of </w:t>
      </w:r>
      <w:bookmarkStart w:id="6" w:name="_Hlk206416663"/>
      <w:r w:rsidR="00B37FA0">
        <w:rPr>
          <w:sz w:val="20"/>
        </w:rPr>
        <w:t>Amherst Telephone Company d/b/a Amherst Communications on behalf of its current Stockholders to Amherst Communications Employee Stock Ownership Trust</w:t>
      </w:r>
      <w:bookmarkEnd w:id="6"/>
      <w:r w:rsidRPr="007415D0" w:rsidR="000A0F72">
        <w:rPr>
          <w:sz w:val="20"/>
        </w:rPr>
        <w:t xml:space="preserve">, WC </w:t>
      </w:r>
      <w:r w:rsidRPr="007415D0">
        <w:rPr>
          <w:sz w:val="20"/>
        </w:rPr>
        <w:t>Docket No. 2</w:t>
      </w:r>
      <w:r w:rsidRPr="007415D0" w:rsidR="00642BB6">
        <w:rPr>
          <w:sz w:val="20"/>
        </w:rPr>
        <w:t>5</w:t>
      </w:r>
      <w:r w:rsidRPr="007415D0">
        <w:rPr>
          <w:sz w:val="20"/>
        </w:rPr>
        <w:t>-</w:t>
      </w:r>
      <w:r w:rsidR="00986FB9">
        <w:rPr>
          <w:sz w:val="20"/>
        </w:rPr>
        <w:t>309</w:t>
      </w:r>
      <w:r w:rsidRPr="007415D0">
        <w:rPr>
          <w:sz w:val="20"/>
        </w:rPr>
        <w:t xml:space="preserve"> (filed </w:t>
      </w:r>
      <w:r w:rsidR="00986FB9">
        <w:rPr>
          <w:sz w:val="20"/>
        </w:rPr>
        <w:t>Nov</w:t>
      </w:r>
      <w:r w:rsidRPr="007415D0">
        <w:rPr>
          <w:sz w:val="20"/>
        </w:rPr>
        <w:t>.</w:t>
      </w:r>
      <w:r w:rsidRPr="007415D0" w:rsidR="00F03D70">
        <w:rPr>
          <w:sz w:val="20"/>
        </w:rPr>
        <w:t xml:space="preserve"> </w:t>
      </w:r>
      <w:r w:rsidR="00C23FC6">
        <w:rPr>
          <w:sz w:val="20"/>
        </w:rPr>
        <w:t>13</w:t>
      </w:r>
      <w:r w:rsidRPr="007415D0">
        <w:rPr>
          <w:sz w:val="20"/>
        </w:rPr>
        <w:t>, 202</w:t>
      </w:r>
      <w:r w:rsidRPr="007415D0" w:rsidR="005347B2">
        <w:rPr>
          <w:sz w:val="20"/>
        </w:rPr>
        <w:t>5</w:t>
      </w:r>
      <w:r w:rsidRPr="007415D0">
        <w:rPr>
          <w:sz w:val="20"/>
        </w:rPr>
        <w:t>) (Application).</w:t>
      </w:r>
      <w:r w:rsidRPr="007415D0" w:rsidR="00737A51">
        <w:rPr>
          <w:sz w:val="20"/>
        </w:rPr>
        <w:t xml:space="preserve">  </w:t>
      </w:r>
      <w:r w:rsidR="0030368B">
        <w:rPr>
          <w:sz w:val="20"/>
        </w:rPr>
        <w:t xml:space="preserve">Applicants filed a supplement to the Application on November 20, 2025.  </w:t>
      </w:r>
      <w:r w:rsidR="00FB0ACA">
        <w:rPr>
          <w:sz w:val="20"/>
        </w:rPr>
        <w:t>Letter from John Kuykendall, Regulatory Advisor for Amherst Communications</w:t>
      </w:r>
      <w:r w:rsidR="00C56383">
        <w:rPr>
          <w:sz w:val="20"/>
        </w:rPr>
        <w:t xml:space="preserve">, to Marlene H. Dortch, Secretary, FCC, WC Docket No. 25-309 (filed Nov. 20, 2025).  Applicants </w:t>
      </w:r>
      <w:r w:rsidR="00DE2161">
        <w:rPr>
          <w:sz w:val="20"/>
        </w:rPr>
        <w:t xml:space="preserve">are also filing applications for the transfer of international authorizations.  </w:t>
      </w:r>
      <w:r w:rsidRPr="004B0B75" w:rsidR="007C5751">
        <w:rPr>
          <w:sz w:val="20"/>
        </w:rPr>
        <w:t xml:space="preserve">Any action on the domestic 214 application is without prejudice to Commission action on </w:t>
      </w:r>
      <w:r w:rsidRPr="004B0B75" w:rsidR="00E13708">
        <w:rPr>
          <w:sz w:val="20"/>
        </w:rPr>
        <w:t xml:space="preserve">other </w:t>
      </w:r>
      <w:r w:rsidRPr="004B0B75" w:rsidR="005969CF">
        <w:rPr>
          <w:sz w:val="20"/>
        </w:rPr>
        <w:t>related applications</w:t>
      </w:r>
      <w:r w:rsidRPr="004B0B75" w:rsidR="00E13708">
        <w:rPr>
          <w:sz w:val="20"/>
        </w:rPr>
        <w:t>.</w:t>
      </w:r>
      <w:r w:rsidR="00E13708">
        <w:rPr>
          <w:sz w:val="20"/>
        </w:rPr>
        <w:t xml:space="preserve"> </w:t>
      </w:r>
    </w:p>
  </w:footnote>
  <w:footnote w:id="5">
    <w:p w:rsidR="00A8546B" w:rsidRPr="00AB2573" w:rsidP="00A8546B" w14:paraId="3D676CBD" w14:textId="57B1561A">
      <w:pPr>
        <w:pStyle w:val="FootnoteText"/>
      </w:pPr>
      <w:r w:rsidRPr="00382CF2">
        <w:rPr>
          <w:rStyle w:val="FootnoteReference"/>
        </w:rPr>
        <w:footnoteRef/>
      </w:r>
      <w:r w:rsidRPr="00382CF2">
        <w:t xml:space="preserve"> 47 CFR §</w:t>
      </w:r>
      <w:r>
        <w:t xml:space="preserve"> </w:t>
      </w:r>
      <w:r w:rsidRPr="00382CF2">
        <w:t>63.03(b)(</w:t>
      </w:r>
      <w:r w:rsidR="000500C3">
        <w:t>1</w:t>
      </w:r>
      <w:r w:rsidRPr="00382CF2">
        <w:t>)(</w:t>
      </w:r>
      <w:r w:rsidR="000500C3">
        <w:t>i</w:t>
      </w:r>
      <w:r w:rsidRPr="00382CF2">
        <w:t>i).</w:t>
      </w:r>
    </w:p>
  </w:footnote>
  <w:footnote w:id="6">
    <w:p w:rsidR="005A0D8A" w:rsidRPr="001E796C" w:rsidP="005A0D8A" w14:paraId="3487C35A" w14:textId="77777777">
      <w:pPr>
        <w:pStyle w:val="FootnoteText"/>
      </w:pPr>
      <w:r w:rsidRPr="001E796C">
        <w:rPr>
          <w:rStyle w:val="FootnoteReference"/>
        </w:rPr>
        <w:footnoteRef/>
      </w:r>
      <w:r w:rsidRPr="001E796C">
        <w:t xml:space="preserve"> </w:t>
      </w:r>
      <w:r w:rsidRPr="001E796C">
        <w:rPr>
          <w:i/>
        </w:rPr>
        <w:t>See</w:t>
      </w:r>
      <w:r w:rsidRPr="001E796C">
        <w:t xml:space="preserve"> 47 CFR § 1.45(c).</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BA3BA8" w14:paraId="158E2089" w14:textId="1D83B565">
    <w:pPr>
      <w:tabs>
        <w:tab w:val="center" w:pos="4680"/>
        <w:tab w:val="right" w:pos="9360"/>
      </w:tabs>
    </w:pPr>
    <w:r>
      <w:rPr>
        <w:b/>
      </w:rPr>
      <w:tab/>
      <w:t>Federal Communications Commission</w:t>
    </w:r>
    <w:r>
      <w:rPr>
        <w:b/>
      </w:rPr>
      <w:tab/>
    </w:r>
    <w:r w:rsidR="00227BA1">
      <w:rPr>
        <w:b/>
      </w:rPr>
      <w:t>DA 2</w:t>
    </w:r>
    <w:r w:rsidR="00F03D70">
      <w:rPr>
        <w:b/>
      </w:rPr>
      <w:t>5</w:t>
    </w:r>
    <w:r w:rsidR="00227BA1">
      <w:rPr>
        <w:b/>
      </w:rPr>
      <w:t>-</w:t>
    </w:r>
    <w:r w:rsidR="00CA1BDD">
      <w:rPr>
        <w:b/>
      </w:rPr>
      <w:t>982</w:t>
    </w:r>
  </w:p>
  <w:p w:rsidR="00BA3BA8" w14:paraId="0882D27B" w14:textId="77777777">
    <w:pPr>
      <w:tabs>
        <w:tab w:val="left" w:pos="-720"/>
      </w:tabs>
      <w:suppressAutoHyphens/>
      <w:spacing w:line="19" w:lineRule="exact"/>
      <w:rPr>
        <w:spacing w:val="-2"/>
      </w:rPr>
    </w:pPr>
    <w:r>
      <w:rPr>
        <w:noProof/>
      </w:rPr>
      <mc:AlternateContent>
        <mc:Choice Requires="wps">
          <w:drawing>
            <wp:anchor distT="0" distB="0" distL="114300" distR="114300" simplePos="0" relativeHeight="251658240" behindDoc="1" locked="0" layoutInCell="0" allowOverlap="1">
              <wp:simplePos x="0" y="0"/>
              <wp:positionH relativeFrom="margin">
                <wp:posOffset>0</wp:posOffset>
              </wp:positionH>
              <wp:positionV relativeFrom="paragraph">
                <wp:posOffset>0</wp:posOffset>
              </wp:positionV>
              <wp:extent cx="5943600" cy="12065"/>
              <wp:effectExtent l="0" t="0" r="0" b="0"/>
              <wp:wrapNone/>
              <wp:docPr id="15" name="Rectangle 2"/>
              <wp:cNvGraphicFramePr/>
              <a:graphic xmlns:a="http://schemas.openxmlformats.org/drawingml/2006/main">
                <a:graphicData uri="http://schemas.microsoft.com/office/word/2010/wordprocessingShape">
                  <wps:wsp xmlns:wps="http://schemas.microsoft.com/office/word/2010/wordprocessingShape">
                    <wps:cNvSpPr>
                      <a:spLocks noChangeArrowheads="1"/>
                    </wps:cNvSpPr>
                    <wps:spPr bwMode="auto">
                      <a:xfrm>
                        <a:off x="0" y="0"/>
                        <a:ext cx="5943600" cy="12065"/>
                      </a:xfrm>
                      <a:prstGeom prst="rect">
                        <a:avLst/>
                      </a:prstGeom>
                      <a:solidFill>
                        <a:srgbClr val="000000"/>
                      </a:solidFill>
                      <a:ln>
                        <a:noFill/>
                      </a:ln>
                      <a:effectLst/>
                      <a:extLst>
                        <a:ext xmlns:a="http://schemas.openxmlformats.org/drawingml/2006/main" uri="{91240B29-F687-4F45-9708-019B960494DF}">
                          <a14:hiddenLine xmlns:a14="http://schemas.microsoft.com/office/drawing/2010/main" w="635">
                            <a:solidFill>
                              <a:srgbClr val="000000"/>
                            </a:solidFill>
                            <a:miter lim="800000"/>
                            <a:headEnd/>
                            <a:tailEnd/>
                          </a14:hiddenLine>
                        </a:ext>
                        <a:ext xmlns:a="http://schemas.openxmlformats.org/drawingml/2006/main" uri="{AF507438-7753-43E0-B8FC-AC1667EBCBE1}">
                          <a14:hiddenEffects xmlns:a14="http://schemas.microsoft.com/office/drawing/2010/main">
                            <a:effectLst>
                              <a:outerShdw algn="ctr" dir="2700000" dist="35921" rotWithShape="0">
                                <a:srgbClr val="808080"/>
                              </a:outerShdw>
                            </a:effectLst>
                          </a14:hiddenEffects>
                        </a:ext>
                      </a:extLst>
                    </wps:spPr>
                    <wps:bodyPr rot="0" vert="horz" wrap="square" lIns="91440" tIns="45720" rIns="91440" bIns="45720" anchor="t" anchorCtr="0" upright="1"/>
                  </wps:wsp>
                </a:graphicData>
              </a:graphic>
              <wp14:sizeRelH relativeFrom="page">
                <wp14:pctWidth>0</wp14:pctWidth>
              </wp14:sizeRelH>
              <wp14:sizeRelV relativeFrom="page">
                <wp14:pctHeight>0</wp14:pctHeight>
              </wp14:sizeRelV>
            </wp:anchor>
          </w:drawing>
        </mc:Choice>
        <mc:Fallback>
          <w:pict>
            <v:rect id="Rectangle 2" o:spid="_x0000_s2049" style="width:468pt;height:0.95pt;margin-top:0;margin-left:0;mso-height-percent:0;mso-height-relative:page;mso-position-horizontal-relative:margin;mso-width-percent:0;mso-width-relative:page;mso-wrap-distance-bottom:0;mso-wrap-distance-left:9pt;mso-wrap-distance-right:9pt;mso-wrap-distance-top:0;mso-wrap-style:square;position:absolute;visibility:visible;v-text-anchor:top;z-index:-251657216" o:allowincell="f" fillcolor="black" stroked="f" strokeweight="0.05pt">
              <w10:wrap anchorx="margin"/>
            </v:rect>
          </w:pict>
        </mc:Fallback>
      </mc:AlternateContent>
    </w:r>
  </w:p>
  <w:p w:rsidR="00BA3BA8" w14:paraId="1DD180B1" w14:textId="77777777">
    <w:pPr>
      <w:spacing w:before="40"/>
      <w:rPr>
        <w:rFonts w:ascii="Arial" w:hAnsi="Arial" w:cs="Arial"/>
        <w:b/>
        <w:sz w:val="20"/>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BA3BA8" w:rsidRPr="00F03EA1" w:rsidP="00F03EA1" w14:paraId="68C5C8B2" w14:textId="77777777">
    <w:pPr>
      <w:pStyle w:val="Header"/>
    </w:pPr>
    <w:r>
      <w:rPr>
        <w:noProof/>
      </w:rPr>
      <w:drawing>
        <wp:inline distT="0" distB="0" distL="0" distR="0">
          <wp:extent cx="5956300" cy="142875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pic:cNvPicPr>
                    <a:picLocks noChangeAspect="1" noChangeArrowheads="1"/>
                  </pic:cNvPicPr>
                </pic:nvPicPr>
                <pic:blipFill>
                  <a:blip xmlns:r="http://schemas.openxmlformats.org/officeDocument/2006/relationships" r:embed="rId1">
                    <a:extLst>
                      <a:ext xmlns:a="http://schemas.openxmlformats.org/drawingml/2006/main" uri="{28A0092B-C50C-407E-A947-70E740481C1C}">
                        <a14:useLocalDpi xmlns:a14="http://schemas.microsoft.com/office/drawing/2010/main" val="0"/>
                      </a:ext>
                    </a:extLst>
                  </a:blip>
                  <a:stretch>
                    <a:fillRect/>
                  </a:stretch>
                </pic:blipFill>
                <pic:spPr bwMode="auto">
                  <a:xfrm>
                    <a:off x="0" y="0"/>
                    <a:ext cx="5956300" cy="1428750"/>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abstractNum w:abstractNumId="0">
    <w:nsid w:val="084B453C"/>
    <w:multiLevelType w:val="singleLevel"/>
    <w:tmpl w:val="40A8E97A"/>
    <w:lvl w:ilvl="0">
      <w:start w:val="1"/>
      <w:numFmt w:val="decimal"/>
      <w:lvlText w:val="%1."/>
      <w:lvlJc w:val="left"/>
      <w:pPr>
        <w:tabs>
          <w:tab w:val="num" w:pos="1080"/>
        </w:tabs>
        <w:ind w:left="0" w:firstLine="720"/>
      </w:pPr>
    </w:lvl>
  </w:abstractNum>
  <w:abstractNum w:abstractNumId="1">
    <w:nsid w:val="2059305A"/>
    <w:multiLevelType w:val="multilevel"/>
    <w:tmpl w:val="57A4B524"/>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23F40A0F"/>
    <w:multiLevelType w:val="singleLevel"/>
    <w:tmpl w:val="3244DD0A"/>
    <w:lvl w:ilvl="0">
      <w:start w:val="1"/>
      <w:numFmt w:val="bullet"/>
      <w:pStyle w:val="Bullet"/>
      <w:lvlText w:val=""/>
      <w:lvlJc w:val="left"/>
      <w:pPr>
        <w:tabs>
          <w:tab w:val="num" w:pos="360"/>
        </w:tabs>
        <w:ind w:left="360" w:hanging="360"/>
      </w:pPr>
      <w:rPr>
        <w:rFonts w:ascii="Symbol" w:hAnsi="Symbol" w:hint="default"/>
      </w:rPr>
    </w:lvl>
  </w:abstractNum>
  <w:abstractNum w:abstractNumId="3">
    <w:nsid w:val="248246F3"/>
    <w:multiLevelType w:val="singleLevel"/>
    <w:tmpl w:val="B1F45678"/>
    <w:lvl w:ilvl="0">
      <w:start w:val="1"/>
      <w:numFmt w:val="decimal"/>
      <w:lvlText w:val="%1."/>
      <w:lvlJc w:val="left"/>
      <w:pPr>
        <w:tabs>
          <w:tab w:val="num" w:pos="1080"/>
        </w:tabs>
        <w:ind w:left="0" w:firstLine="720"/>
      </w:pPr>
    </w:lvl>
  </w:abstractNum>
  <w:abstractNum w:abstractNumId="4">
    <w:nsid w:val="27E06CBB"/>
    <w:multiLevelType w:val="multilevel"/>
    <w:tmpl w:val="F1A86982"/>
    <w:lvl w:ilvl="0">
      <w:start w:val="1"/>
      <w:numFmt w:val="upperRoman"/>
      <w:pStyle w:val="Heading1"/>
      <w:lvlText w:val="%1."/>
      <w:lvlJc w:val="left"/>
      <w:pPr>
        <w:tabs>
          <w:tab w:val="num" w:pos="720"/>
        </w:tabs>
        <w:ind w:left="720" w:hanging="720"/>
      </w:pPr>
    </w:lvl>
    <w:lvl w:ilvl="1">
      <w:start w:val="1"/>
      <w:numFmt w:val="upperLetter"/>
      <w:pStyle w:val="Heading2"/>
      <w:lvlText w:val="%2."/>
      <w:lvlJc w:val="left"/>
      <w:pPr>
        <w:tabs>
          <w:tab w:val="num" w:pos="1440"/>
        </w:tabs>
        <w:ind w:left="1440" w:hanging="720"/>
      </w:pPr>
    </w:lvl>
    <w:lvl w:ilvl="2">
      <w:start w:val="1"/>
      <w:numFmt w:val="decimal"/>
      <w:pStyle w:val="Heading3"/>
      <w:lvlText w:val="%3."/>
      <w:lvlJc w:val="left"/>
      <w:pPr>
        <w:tabs>
          <w:tab w:val="num" w:pos="2160"/>
        </w:tabs>
        <w:ind w:left="2160" w:hanging="720"/>
      </w:pPr>
    </w:lvl>
    <w:lvl w:ilvl="3">
      <w:start w:val="1"/>
      <w:numFmt w:val="lowerLetter"/>
      <w:pStyle w:val="Heading4"/>
      <w:lvlText w:val="%4."/>
      <w:lvlJc w:val="left"/>
      <w:pPr>
        <w:tabs>
          <w:tab w:val="num" w:pos="2880"/>
        </w:tabs>
        <w:ind w:left="2880" w:hanging="720"/>
      </w:pPr>
    </w:lvl>
    <w:lvl w:ilvl="4">
      <w:start w:val="1"/>
      <w:numFmt w:val="lowerRoman"/>
      <w:pStyle w:val="Heading5"/>
      <w:lvlText w:val="(%5)"/>
      <w:lvlJc w:val="left"/>
      <w:pPr>
        <w:tabs>
          <w:tab w:val="num" w:pos="3600"/>
        </w:tabs>
        <w:ind w:left="3600" w:hanging="720"/>
      </w:pPr>
    </w:lvl>
    <w:lvl w:ilvl="5">
      <w:start w:val="1"/>
      <w:numFmt w:val="lowerLetter"/>
      <w:pStyle w:val="Heading6"/>
      <w:lvlText w:val="(%6)"/>
      <w:lvlJc w:val="left"/>
      <w:pPr>
        <w:tabs>
          <w:tab w:val="num" w:pos="4320"/>
        </w:tabs>
        <w:ind w:left="4320" w:hanging="720"/>
      </w:pPr>
    </w:lvl>
    <w:lvl w:ilvl="6">
      <w:start w:val="1"/>
      <w:numFmt w:val="lowerRoman"/>
      <w:pStyle w:val="Heading7"/>
      <w:lvlText w:val="(%7)"/>
      <w:lvlJc w:val="left"/>
      <w:pPr>
        <w:tabs>
          <w:tab w:val="num" w:pos="5040"/>
        </w:tabs>
        <w:ind w:left="4320" w:firstLine="0"/>
      </w:pPr>
    </w:lvl>
    <w:lvl w:ilvl="7">
      <w:start w:val="1"/>
      <w:numFmt w:val="lowerLetter"/>
      <w:pStyle w:val="Heading8"/>
      <w:lvlText w:val="(%8)"/>
      <w:lvlJc w:val="left"/>
      <w:pPr>
        <w:tabs>
          <w:tab w:val="num" w:pos="5400"/>
        </w:tabs>
        <w:ind w:left="5040" w:firstLine="0"/>
      </w:pPr>
    </w:lvl>
    <w:lvl w:ilvl="8">
      <w:start w:val="1"/>
      <w:numFmt w:val="lowerRoman"/>
      <w:pStyle w:val="Heading9"/>
      <w:lvlText w:val="(%9)"/>
      <w:lvlJc w:val="left"/>
      <w:pPr>
        <w:tabs>
          <w:tab w:val="num" w:pos="6120"/>
        </w:tabs>
        <w:ind w:left="5760" w:firstLine="0"/>
      </w:pPr>
    </w:lvl>
  </w:abstractNum>
  <w:abstractNum w:abstractNumId="5">
    <w:nsid w:val="2B790B01"/>
    <w:multiLevelType w:val="hybridMultilevel"/>
    <w:tmpl w:val="0F98B5E4"/>
    <w:lvl w:ilvl="0">
      <w:start w:val="1"/>
      <w:numFmt w:val="decimal"/>
      <w:lvlText w:val="%1)"/>
      <w:lvlJc w:val="left"/>
      <w:pPr>
        <w:ind w:left="720" w:hanging="360"/>
      </w:p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6">
    <w:nsid w:val="4DF61CE4"/>
    <w:multiLevelType w:val="multilevel"/>
    <w:tmpl w:val="F1A86982"/>
    <w:lvl w:ilvl="0">
      <w:start w:val="1"/>
      <w:numFmt w:val="upperRoman"/>
      <w:lvlText w:val="%1."/>
      <w:lvlJc w:val="left"/>
      <w:pPr>
        <w:tabs>
          <w:tab w:val="num" w:pos="720"/>
        </w:tabs>
        <w:ind w:left="720" w:hanging="720"/>
      </w:pPr>
    </w:lvl>
    <w:lvl w:ilvl="1">
      <w:start w:val="1"/>
      <w:numFmt w:val="upperLetter"/>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lowerLetter"/>
      <w:lvlText w:val="%4."/>
      <w:lvlJc w:val="left"/>
      <w:pPr>
        <w:tabs>
          <w:tab w:val="num" w:pos="2880"/>
        </w:tabs>
        <w:ind w:left="2880" w:hanging="720"/>
      </w:pPr>
    </w:lvl>
    <w:lvl w:ilvl="4">
      <w:start w:val="1"/>
      <w:numFmt w:val="lowerRoman"/>
      <w:lvlText w:val="(%5)"/>
      <w:lvlJc w:val="left"/>
      <w:pPr>
        <w:tabs>
          <w:tab w:val="num" w:pos="3600"/>
        </w:tabs>
        <w:ind w:left="3600" w:hanging="720"/>
      </w:pPr>
    </w:lvl>
    <w:lvl w:ilvl="5">
      <w:start w:val="1"/>
      <w:numFmt w:val="lowerLetter"/>
      <w:lvlText w:val="(%6)"/>
      <w:lvlJc w:val="left"/>
      <w:pPr>
        <w:tabs>
          <w:tab w:val="num" w:pos="4320"/>
        </w:tabs>
        <w:ind w:left="4320" w:hanging="720"/>
      </w:pPr>
    </w:lvl>
    <w:lvl w:ilvl="6">
      <w:start w:val="1"/>
      <w:numFmt w:val="lowerRoman"/>
      <w:lvlText w:val="(%7)"/>
      <w:lvlJc w:val="left"/>
      <w:pPr>
        <w:tabs>
          <w:tab w:val="num" w:pos="5040"/>
        </w:tabs>
        <w:ind w:left="4320" w:firstLine="0"/>
      </w:pPr>
    </w:lvl>
    <w:lvl w:ilvl="7">
      <w:start w:val="1"/>
      <w:numFmt w:val="lowerLetter"/>
      <w:lvlText w:val="(%8)"/>
      <w:lvlJc w:val="left"/>
      <w:pPr>
        <w:tabs>
          <w:tab w:val="num" w:pos="5400"/>
        </w:tabs>
        <w:ind w:left="5040" w:firstLine="0"/>
      </w:pPr>
    </w:lvl>
    <w:lvl w:ilvl="8">
      <w:start w:val="1"/>
      <w:numFmt w:val="lowerRoman"/>
      <w:lvlText w:val="(%9)"/>
      <w:lvlJc w:val="left"/>
      <w:pPr>
        <w:tabs>
          <w:tab w:val="num" w:pos="6120"/>
        </w:tabs>
        <w:ind w:left="5760" w:firstLine="0"/>
      </w:pPr>
    </w:lvl>
  </w:abstractNum>
  <w:abstractNum w:abstractNumId="7">
    <w:nsid w:val="61182925"/>
    <w:multiLevelType w:val="singleLevel"/>
    <w:tmpl w:val="D180CED0"/>
    <w:lvl w:ilvl="0">
      <w:start w:val="1"/>
      <w:numFmt w:val="decimal"/>
      <w:pStyle w:val="ParaNum"/>
      <w:lvlText w:val="%1."/>
      <w:lvlJc w:val="left"/>
      <w:pPr>
        <w:tabs>
          <w:tab w:val="num" w:pos="1080"/>
        </w:tabs>
        <w:ind w:left="0" w:firstLine="720"/>
      </w:pPr>
    </w:lvl>
  </w:abstractNum>
  <w:abstractNum w:abstractNumId="8">
    <w:nsid w:val="6A614CCE"/>
    <w:multiLevelType w:val="hybridMultilevel"/>
    <w:tmpl w:val="0F98B5E4"/>
    <w:lvl w:ilvl="0">
      <w:start w:val="1"/>
      <w:numFmt w:val="decimal"/>
      <w:lvlText w:val="%1)"/>
      <w:lvlJc w:val="left"/>
      <w:pPr>
        <w:ind w:left="720" w:hanging="360"/>
      </w:p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9">
    <w:nsid w:val="6BE20A48"/>
    <w:multiLevelType w:val="multilevel"/>
    <w:tmpl w:val="584238C0"/>
    <w:lvl w:ilvl="0">
      <w:start w:val="1"/>
      <w:numFmt w:val="bullet"/>
      <w:lvlText w:val=""/>
      <w:lvlJc w:val="left"/>
      <w:pPr>
        <w:tabs>
          <w:tab w:val="num" w:pos="720"/>
        </w:tabs>
        <w:ind w:left="720" w:hanging="360"/>
      </w:pPr>
      <w:rPr>
        <w:rFonts w:ascii="Wingdings" w:hAnsi="Wingdings" w:hint="default"/>
        <w:sz w:val="20"/>
      </w:rPr>
    </w:lvl>
    <w:lvl w:ilvl="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1889223528">
    <w:abstractNumId w:val="2"/>
  </w:num>
  <w:num w:numId="2" w16cid:durableId="890339313">
    <w:abstractNumId w:val="7"/>
  </w:num>
  <w:num w:numId="3" w16cid:durableId="528419151">
    <w:abstractNumId w:val="4"/>
  </w:num>
  <w:num w:numId="4" w16cid:durableId="1245721454">
    <w:abstractNumId w:val="6"/>
  </w:num>
  <w:num w:numId="5" w16cid:durableId="1255556118">
    <w:abstractNumId w:val="3"/>
  </w:num>
  <w:num w:numId="6" w16cid:durableId="1286346123">
    <w:abstractNumId w:val="0"/>
  </w:num>
  <w:num w:numId="7" w16cid:durableId="2096245613">
    <w:abstractNumId w:val="8"/>
  </w:num>
  <w:num w:numId="8" w16cid:durableId="823476080">
    <w:abstractNumId w:val="1"/>
  </w:num>
  <w:num w:numId="9" w16cid:durableId="1831603079">
    <w:abstractNumId w:val="9"/>
  </w:num>
  <w:num w:numId="10" w16cid:durableId="1746754874">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bordersDoNotSurroundHeader/>
  <w:bordersDoNotSurroundFooter/>
  <w:proofState w:spelling="clean"/>
  <w:attachedTemplate r:id="rId1"/>
  <w:stylePaneFormatFilter w:val="3F01" w:allStyles="1" w:alternateStyleNames="0" w:clearFormatting="1" w:customStyles="0" w:directFormattingOnNumbering="1" w:directFormattingOnParagraphs="1" w:directFormattingOnRuns="1" w:directFormattingOnTables="1" w:headingStyles="0" w:latentStyles="0" w:numberingStyles="0" w:stylesInUse="0" w:tableStyles="0" w:top3HeadingStyles="1" w:visibleStyles="0"/>
  <w:defaultTabStop w:val="720"/>
  <w:hyphenationZone w:val="950"/>
  <w:doNotHyphenateCaps/>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footnotePr>
    <w:footnote w:id="0"/>
    <w:footnote w:id="1"/>
    <w:footnote w:id="2"/>
  </w:footnotePr>
  <w:endnotePr>
    <w:numFmt w:val="decimal"/>
    <w:endnote w:id="0"/>
    <w:endnote w:id="1"/>
    <w:endnote w:id="2"/>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A5115"/>
    <w:rsid w:val="00001ED4"/>
    <w:rsid w:val="00002E10"/>
    <w:rsid w:val="00011507"/>
    <w:rsid w:val="00014786"/>
    <w:rsid w:val="00020D51"/>
    <w:rsid w:val="00024DE5"/>
    <w:rsid w:val="00027C50"/>
    <w:rsid w:val="0003031D"/>
    <w:rsid w:val="000322BB"/>
    <w:rsid w:val="0003236E"/>
    <w:rsid w:val="000330AA"/>
    <w:rsid w:val="00034155"/>
    <w:rsid w:val="000360F7"/>
    <w:rsid w:val="000401AD"/>
    <w:rsid w:val="000418CB"/>
    <w:rsid w:val="0004692B"/>
    <w:rsid w:val="0004701B"/>
    <w:rsid w:val="000500C3"/>
    <w:rsid w:val="000532D2"/>
    <w:rsid w:val="0005433C"/>
    <w:rsid w:val="00054D61"/>
    <w:rsid w:val="00054EBC"/>
    <w:rsid w:val="00057F47"/>
    <w:rsid w:val="00060B78"/>
    <w:rsid w:val="00061BFC"/>
    <w:rsid w:val="000639C2"/>
    <w:rsid w:val="0006557E"/>
    <w:rsid w:val="00066108"/>
    <w:rsid w:val="00066ED5"/>
    <w:rsid w:val="00070716"/>
    <w:rsid w:val="000754F1"/>
    <w:rsid w:val="00075B56"/>
    <w:rsid w:val="00077571"/>
    <w:rsid w:val="00077C93"/>
    <w:rsid w:val="00081FD5"/>
    <w:rsid w:val="00083B2D"/>
    <w:rsid w:val="00085CF2"/>
    <w:rsid w:val="00085D6F"/>
    <w:rsid w:val="0009395A"/>
    <w:rsid w:val="000A0D26"/>
    <w:rsid w:val="000A0F72"/>
    <w:rsid w:val="000A1A7D"/>
    <w:rsid w:val="000A1F02"/>
    <w:rsid w:val="000A2FF6"/>
    <w:rsid w:val="000A4EE1"/>
    <w:rsid w:val="000A55F0"/>
    <w:rsid w:val="000A5FC8"/>
    <w:rsid w:val="000A61D7"/>
    <w:rsid w:val="000B3B42"/>
    <w:rsid w:val="000B3C96"/>
    <w:rsid w:val="000B4994"/>
    <w:rsid w:val="000C1A37"/>
    <w:rsid w:val="000C27B4"/>
    <w:rsid w:val="000C5FB4"/>
    <w:rsid w:val="000C644C"/>
    <w:rsid w:val="000D1DA9"/>
    <w:rsid w:val="000D2703"/>
    <w:rsid w:val="000D5998"/>
    <w:rsid w:val="000E0455"/>
    <w:rsid w:val="000E082F"/>
    <w:rsid w:val="000E1CD3"/>
    <w:rsid w:val="000E5B0D"/>
    <w:rsid w:val="000E61D6"/>
    <w:rsid w:val="000E7447"/>
    <w:rsid w:val="000E7AEB"/>
    <w:rsid w:val="000E7EBA"/>
    <w:rsid w:val="000F0BBF"/>
    <w:rsid w:val="00100576"/>
    <w:rsid w:val="00102E61"/>
    <w:rsid w:val="00105731"/>
    <w:rsid w:val="00113566"/>
    <w:rsid w:val="00115F81"/>
    <w:rsid w:val="00116E4B"/>
    <w:rsid w:val="00122469"/>
    <w:rsid w:val="00124029"/>
    <w:rsid w:val="00124CC1"/>
    <w:rsid w:val="0012673A"/>
    <w:rsid w:val="00131D92"/>
    <w:rsid w:val="001335C3"/>
    <w:rsid w:val="0014133D"/>
    <w:rsid w:val="00143CBF"/>
    <w:rsid w:val="00153541"/>
    <w:rsid w:val="0015367E"/>
    <w:rsid w:val="001563A7"/>
    <w:rsid w:val="00163908"/>
    <w:rsid w:val="00166E2C"/>
    <w:rsid w:val="00167AF7"/>
    <w:rsid w:val="00170FF4"/>
    <w:rsid w:val="00171702"/>
    <w:rsid w:val="00177B23"/>
    <w:rsid w:val="00180846"/>
    <w:rsid w:val="00181AB5"/>
    <w:rsid w:val="00182269"/>
    <w:rsid w:val="001829D4"/>
    <w:rsid w:val="001830F6"/>
    <w:rsid w:val="00184D48"/>
    <w:rsid w:val="0018541B"/>
    <w:rsid w:val="001870BE"/>
    <w:rsid w:val="00191A47"/>
    <w:rsid w:val="001A035D"/>
    <w:rsid w:val="001A5115"/>
    <w:rsid w:val="001A6998"/>
    <w:rsid w:val="001A7110"/>
    <w:rsid w:val="001B16DC"/>
    <w:rsid w:val="001B3492"/>
    <w:rsid w:val="001B4E0C"/>
    <w:rsid w:val="001C02DF"/>
    <w:rsid w:val="001C1084"/>
    <w:rsid w:val="001C13FC"/>
    <w:rsid w:val="001C7A5D"/>
    <w:rsid w:val="001C7FC1"/>
    <w:rsid w:val="001E0B61"/>
    <w:rsid w:val="001E35D3"/>
    <w:rsid w:val="001E46CE"/>
    <w:rsid w:val="001E796C"/>
    <w:rsid w:val="001F0641"/>
    <w:rsid w:val="001F5F9D"/>
    <w:rsid w:val="001F649E"/>
    <w:rsid w:val="001F6B5F"/>
    <w:rsid w:val="001F77B0"/>
    <w:rsid w:val="00204109"/>
    <w:rsid w:val="00204C75"/>
    <w:rsid w:val="002078E0"/>
    <w:rsid w:val="002105B8"/>
    <w:rsid w:val="0021123D"/>
    <w:rsid w:val="0021147D"/>
    <w:rsid w:val="00215635"/>
    <w:rsid w:val="002177D5"/>
    <w:rsid w:val="002212BF"/>
    <w:rsid w:val="00223A6B"/>
    <w:rsid w:val="0022700C"/>
    <w:rsid w:val="00227BA1"/>
    <w:rsid w:val="00230655"/>
    <w:rsid w:val="00231F18"/>
    <w:rsid w:val="00232B3C"/>
    <w:rsid w:val="002350DE"/>
    <w:rsid w:val="0023603C"/>
    <w:rsid w:val="00237F00"/>
    <w:rsid w:val="002404D5"/>
    <w:rsid w:val="00250417"/>
    <w:rsid w:val="00250A94"/>
    <w:rsid w:val="002610F6"/>
    <w:rsid w:val="00261106"/>
    <w:rsid w:val="00261219"/>
    <w:rsid w:val="00261EFB"/>
    <w:rsid w:val="00266968"/>
    <w:rsid w:val="00266D80"/>
    <w:rsid w:val="00272AF4"/>
    <w:rsid w:val="00273779"/>
    <w:rsid w:val="00275AFD"/>
    <w:rsid w:val="00283618"/>
    <w:rsid w:val="0029592C"/>
    <w:rsid w:val="00296C1E"/>
    <w:rsid w:val="002A00F6"/>
    <w:rsid w:val="002A43D4"/>
    <w:rsid w:val="002B09DA"/>
    <w:rsid w:val="002B0AFA"/>
    <w:rsid w:val="002B1B89"/>
    <w:rsid w:val="002B3117"/>
    <w:rsid w:val="002B31BE"/>
    <w:rsid w:val="002B7DA7"/>
    <w:rsid w:val="002C0D1D"/>
    <w:rsid w:val="002C29B5"/>
    <w:rsid w:val="002C3988"/>
    <w:rsid w:val="002C3EBD"/>
    <w:rsid w:val="002C4ABC"/>
    <w:rsid w:val="002C5784"/>
    <w:rsid w:val="002D28E6"/>
    <w:rsid w:val="002D2CE0"/>
    <w:rsid w:val="002D6026"/>
    <w:rsid w:val="002D6456"/>
    <w:rsid w:val="002F0B44"/>
    <w:rsid w:val="002F13F6"/>
    <w:rsid w:val="002F58F1"/>
    <w:rsid w:val="0030368B"/>
    <w:rsid w:val="00304B5D"/>
    <w:rsid w:val="003063B6"/>
    <w:rsid w:val="0031169F"/>
    <w:rsid w:val="0031199B"/>
    <w:rsid w:val="0031512D"/>
    <w:rsid w:val="00322897"/>
    <w:rsid w:val="00325279"/>
    <w:rsid w:val="00326DF2"/>
    <w:rsid w:val="00326FC5"/>
    <w:rsid w:val="00330500"/>
    <w:rsid w:val="0033190F"/>
    <w:rsid w:val="003326C9"/>
    <w:rsid w:val="0033363A"/>
    <w:rsid w:val="00333766"/>
    <w:rsid w:val="003358A8"/>
    <w:rsid w:val="00342C15"/>
    <w:rsid w:val="003447CE"/>
    <w:rsid w:val="00344869"/>
    <w:rsid w:val="0034624C"/>
    <w:rsid w:val="003476C4"/>
    <w:rsid w:val="00351D10"/>
    <w:rsid w:val="0035595D"/>
    <w:rsid w:val="00356B06"/>
    <w:rsid w:val="003576BB"/>
    <w:rsid w:val="00361EA0"/>
    <w:rsid w:val="003620EA"/>
    <w:rsid w:val="00362B42"/>
    <w:rsid w:val="00372699"/>
    <w:rsid w:val="003729DF"/>
    <w:rsid w:val="00373506"/>
    <w:rsid w:val="00374AA3"/>
    <w:rsid w:val="00382CF2"/>
    <w:rsid w:val="00384074"/>
    <w:rsid w:val="0038537E"/>
    <w:rsid w:val="00385BFD"/>
    <w:rsid w:val="00386085"/>
    <w:rsid w:val="00390C4A"/>
    <w:rsid w:val="003925A7"/>
    <w:rsid w:val="00392A66"/>
    <w:rsid w:val="00393E33"/>
    <w:rsid w:val="003A28F1"/>
    <w:rsid w:val="003A2F58"/>
    <w:rsid w:val="003A46CE"/>
    <w:rsid w:val="003A5156"/>
    <w:rsid w:val="003A5E4D"/>
    <w:rsid w:val="003A6C0B"/>
    <w:rsid w:val="003B07B8"/>
    <w:rsid w:val="003B1C20"/>
    <w:rsid w:val="003B3AFF"/>
    <w:rsid w:val="003B4968"/>
    <w:rsid w:val="003B4C13"/>
    <w:rsid w:val="003B5C0C"/>
    <w:rsid w:val="003C2C09"/>
    <w:rsid w:val="003C38DE"/>
    <w:rsid w:val="003C4897"/>
    <w:rsid w:val="003C74CB"/>
    <w:rsid w:val="003D1982"/>
    <w:rsid w:val="003D2E5C"/>
    <w:rsid w:val="003D5071"/>
    <w:rsid w:val="003E31BF"/>
    <w:rsid w:val="003E6BA3"/>
    <w:rsid w:val="003F18E7"/>
    <w:rsid w:val="003F21DF"/>
    <w:rsid w:val="003F241A"/>
    <w:rsid w:val="00403520"/>
    <w:rsid w:val="0040551F"/>
    <w:rsid w:val="00406650"/>
    <w:rsid w:val="00411297"/>
    <w:rsid w:val="00411B54"/>
    <w:rsid w:val="00414CF7"/>
    <w:rsid w:val="004204F3"/>
    <w:rsid w:val="004212F5"/>
    <w:rsid w:val="00421A17"/>
    <w:rsid w:val="00430183"/>
    <w:rsid w:val="00430ECB"/>
    <w:rsid w:val="004325F7"/>
    <w:rsid w:val="00437B31"/>
    <w:rsid w:val="00437DC7"/>
    <w:rsid w:val="00440FFD"/>
    <w:rsid w:val="004425DA"/>
    <w:rsid w:val="00446158"/>
    <w:rsid w:val="00446222"/>
    <w:rsid w:val="0044649A"/>
    <w:rsid w:val="00447595"/>
    <w:rsid w:val="0044761E"/>
    <w:rsid w:val="00450F7B"/>
    <w:rsid w:val="00451DBB"/>
    <w:rsid w:val="00453303"/>
    <w:rsid w:val="0045429D"/>
    <w:rsid w:val="00455146"/>
    <w:rsid w:val="004554A5"/>
    <w:rsid w:val="00457269"/>
    <w:rsid w:val="0046267A"/>
    <w:rsid w:val="004702D2"/>
    <w:rsid w:val="00470585"/>
    <w:rsid w:val="00470F31"/>
    <w:rsid w:val="00477B18"/>
    <w:rsid w:val="0048006D"/>
    <w:rsid w:val="004856C1"/>
    <w:rsid w:val="00486DAE"/>
    <w:rsid w:val="004878B8"/>
    <w:rsid w:val="00487B80"/>
    <w:rsid w:val="00491364"/>
    <w:rsid w:val="0049567C"/>
    <w:rsid w:val="00497252"/>
    <w:rsid w:val="004A063A"/>
    <w:rsid w:val="004A3383"/>
    <w:rsid w:val="004A6313"/>
    <w:rsid w:val="004B0B75"/>
    <w:rsid w:val="004B28A1"/>
    <w:rsid w:val="004B5C54"/>
    <w:rsid w:val="004B7D18"/>
    <w:rsid w:val="004B7E2D"/>
    <w:rsid w:val="004C1DD9"/>
    <w:rsid w:val="004C3770"/>
    <w:rsid w:val="004C43C2"/>
    <w:rsid w:val="004C4B6C"/>
    <w:rsid w:val="004C4FB3"/>
    <w:rsid w:val="004D1728"/>
    <w:rsid w:val="004D1D6B"/>
    <w:rsid w:val="004D60A3"/>
    <w:rsid w:val="004E0548"/>
    <w:rsid w:val="004E2D93"/>
    <w:rsid w:val="004E50B0"/>
    <w:rsid w:val="004E5451"/>
    <w:rsid w:val="004F2276"/>
    <w:rsid w:val="004F3017"/>
    <w:rsid w:val="00502D67"/>
    <w:rsid w:val="00504A6F"/>
    <w:rsid w:val="00506072"/>
    <w:rsid w:val="00511247"/>
    <w:rsid w:val="005125D3"/>
    <w:rsid w:val="005135C2"/>
    <w:rsid w:val="0051792F"/>
    <w:rsid w:val="00521470"/>
    <w:rsid w:val="00523F87"/>
    <w:rsid w:val="005242E6"/>
    <w:rsid w:val="00524467"/>
    <w:rsid w:val="005347B2"/>
    <w:rsid w:val="00537E06"/>
    <w:rsid w:val="00540F82"/>
    <w:rsid w:val="00541050"/>
    <w:rsid w:val="00541829"/>
    <w:rsid w:val="00543CBE"/>
    <w:rsid w:val="0054466D"/>
    <w:rsid w:val="005460FE"/>
    <w:rsid w:val="0054679E"/>
    <w:rsid w:val="005528FC"/>
    <w:rsid w:val="00560F78"/>
    <w:rsid w:val="00563D7E"/>
    <w:rsid w:val="0056472C"/>
    <w:rsid w:val="00565000"/>
    <w:rsid w:val="0056560A"/>
    <w:rsid w:val="005661D2"/>
    <w:rsid w:val="005704A8"/>
    <w:rsid w:val="00570B39"/>
    <w:rsid w:val="005740ED"/>
    <w:rsid w:val="00574547"/>
    <w:rsid w:val="00576CF4"/>
    <w:rsid w:val="00580D6D"/>
    <w:rsid w:val="005854C0"/>
    <w:rsid w:val="00585642"/>
    <w:rsid w:val="00586070"/>
    <w:rsid w:val="0059572C"/>
    <w:rsid w:val="005969CF"/>
    <w:rsid w:val="005969DE"/>
    <w:rsid w:val="005A0D8A"/>
    <w:rsid w:val="005A5F6D"/>
    <w:rsid w:val="005A6AD3"/>
    <w:rsid w:val="005A6CD3"/>
    <w:rsid w:val="005A6DD0"/>
    <w:rsid w:val="005A7E08"/>
    <w:rsid w:val="005B28CD"/>
    <w:rsid w:val="005B3354"/>
    <w:rsid w:val="005B3707"/>
    <w:rsid w:val="005B40F9"/>
    <w:rsid w:val="005B4A33"/>
    <w:rsid w:val="005B55A0"/>
    <w:rsid w:val="005B7E28"/>
    <w:rsid w:val="005C07E8"/>
    <w:rsid w:val="005D34F0"/>
    <w:rsid w:val="005D5CE5"/>
    <w:rsid w:val="005D6116"/>
    <w:rsid w:val="005D7CFA"/>
    <w:rsid w:val="005E383E"/>
    <w:rsid w:val="005E3D69"/>
    <w:rsid w:val="005F1406"/>
    <w:rsid w:val="005F1ABD"/>
    <w:rsid w:val="005F45B1"/>
    <w:rsid w:val="006015E2"/>
    <w:rsid w:val="006019B6"/>
    <w:rsid w:val="00603194"/>
    <w:rsid w:val="00610073"/>
    <w:rsid w:val="006103EA"/>
    <w:rsid w:val="0061190D"/>
    <w:rsid w:val="00614449"/>
    <w:rsid w:val="006247C1"/>
    <w:rsid w:val="006255D8"/>
    <w:rsid w:val="006264D9"/>
    <w:rsid w:val="006266DF"/>
    <w:rsid w:val="0063001D"/>
    <w:rsid w:val="00630549"/>
    <w:rsid w:val="00630ED1"/>
    <w:rsid w:val="00633DF2"/>
    <w:rsid w:val="00636A0F"/>
    <w:rsid w:val="00640413"/>
    <w:rsid w:val="00640C97"/>
    <w:rsid w:val="006425CC"/>
    <w:rsid w:val="00642BB6"/>
    <w:rsid w:val="0064379C"/>
    <w:rsid w:val="00643C3D"/>
    <w:rsid w:val="00647C47"/>
    <w:rsid w:val="00651A5D"/>
    <w:rsid w:val="00653A9F"/>
    <w:rsid w:val="00654C35"/>
    <w:rsid w:val="006553AC"/>
    <w:rsid w:val="0065672B"/>
    <w:rsid w:val="00657C02"/>
    <w:rsid w:val="0066064F"/>
    <w:rsid w:val="006628BA"/>
    <w:rsid w:val="00662E42"/>
    <w:rsid w:val="006645EE"/>
    <w:rsid w:val="00664B4E"/>
    <w:rsid w:val="0066592E"/>
    <w:rsid w:val="00670C5F"/>
    <w:rsid w:val="00672674"/>
    <w:rsid w:val="00674EF0"/>
    <w:rsid w:val="00675DA6"/>
    <w:rsid w:val="006764D0"/>
    <w:rsid w:val="00680155"/>
    <w:rsid w:val="00681B5D"/>
    <w:rsid w:val="00687E5B"/>
    <w:rsid w:val="0069270A"/>
    <w:rsid w:val="00693D49"/>
    <w:rsid w:val="00694233"/>
    <w:rsid w:val="00694F85"/>
    <w:rsid w:val="006A31D3"/>
    <w:rsid w:val="006A3988"/>
    <w:rsid w:val="006A5216"/>
    <w:rsid w:val="006B054F"/>
    <w:rsid w:val="006B05CE"/>
    <w:rsid w:val="006B32FD"/>
    <w:rsid w:val="006B37BD"/>
    <w:rsid w:val="006B4E5C"/>
    <w:rsid w:val="006B7869"/>
    <w:rsid w:val="006C1C16"/>
    <w:rsid w:val="006C236E"/>
    <w:rsid w:val="006C2A2A"/>
    <w:rsid w:val="006C2E8B"/>
    <w:rsid w:val="006C56D9"/>
    <w:rsid w:val="006C68D4"/>
    <w:rsid w:val="006D30C4"/>
    <w:rsid w:val="006D53B4"/>
    <w:rsid w:val="006D56C3"/>
    <w:rsid w:val="006D6158"/>
    <w:rsid w:val="006D73DE"/>
    <w:rsid w:val="006E20B6"/>
    <w:rsid w:val="006E32E5"/>
    <w:rsid w:val="006E683A"/>
    <w:rsid w:val="006F1BEE"/>
    <w:rsid w:val="0070151E"/>
    <w:rsid w:val="00704754"/>
    <w:rsid w:val="00704A7A"/>
    <w:rsid w:val="00705CC1"/>
    <w:rsid w:val="00706C9B"/>
    <w:rsid w:val="00706FA0"/>
    <w:rsid w:val="007111D1"/>
    <w:rsid w:val="00714176"/>
    <w:rsid w:val="007141EF"/>
    <w:rsid w:val="00715082"/>
    <w:rsid w:val="007238D7"/>
    <w:rsid w:val="007248AA"/>
    <w:rsid w:val="00725CF1"/>
    <w:rsid w:val="00730A79"/>
    <w:rsid w:val="00730F4A"/>
    <w:rsid w:val="00732C53"/>
    <w:rsid w:val="00737A51"/>
    <w:rsid w:val="007414D0"/>
    <w:rsid w:val="007415D0"/>
    <w:rsid w:val="0074288F"/>
    <w:rsid w:val="00745776"/>
    <w:rsid w:val="0075141B"/>
    <w:rsid w:val="00753914"/>
    <w:rsid w:val="007561E9"/>
    <w:rsid w:val="00757BA1"/>
    <w:rsid w:val="007642C3"/>
    <w:rsid w:val="007646F8"/>
    <w:rsid w:val="00765163"/>
    <w:rsid w:val="0076575B"/>
    <w:rsid w:val="0076740E"/>
    <w:rsid w:val="00767D49"/>
    <w:rsid w:val="00771DC2"/>
    <w:rsid w:val="00772958"/>
    <w:rsid w:val="00773A3F"/>
    <w:rsid w:val="00774883"/>
    <w:rsid w:val="00777F5A"/>
    <w:rsid w:val="007818AD"/>
    <w:rsid w:val="007821A7"/>
    <w:rsid w:val="00783A0A"/>
    <w:rsid w:val="00786869"/>
    <w:rsid w:val="00792CE7"/>
    <w:rsid w:val="00793443"/>
    <w:rsid w:val="00794C05"/>
    <w:rsid w:val="007950CC"/>
    <w:rsid w:val="00795128"/>
    <w:rsid w:val="007962C3"/>
    <w:rsid w:val="00797BB7"/>
    <w:rsid w:val="007A05FB"/>
    <w:rsid w:val="007A272C"/>
    <w:rsid w:val="007A554F"/>
    <w:rsid w:val="007A56BA"/>
    <w:rsid w:val="007B0148"/>
    <w:rsid w:val="007B1FB8"/>
    <w:rsid w:val="007B22DE"/>
    <w:rsid w:val="007B4D14"/>
    <w:rsid w:val="007B6D48"/>
    <w:rsid w:val="007B7658"/>
    <w:rsid w:val="007C5751"/>
    <w:rsid w:val="007D4242"/>
    <w:rsid w:val="007D679A"/>
    <w:rsid w:val="007D6B45"/>
    <w:rsid w:val="007D6E06"/>
    <w:rsid w:val="007E0001"/>
    <w:rsid w:val="007E25B3"/>
    <w:rsid w:val="007E5364"/>
    <w:rsid w:val="007E5A18"/>
    <w:rsid w:val="007E6960"/>
    <w:rsid w:val="007F099B"/>
    <w:rsid w:val="007F3A44"/>
    <w:rsid w:val="007F43EA"/>
    <w:rsid w:val="007F5541"/>
    <w:rsid w:val="007F59E2"/>
    <w:rsid w:val="00800E93"/>
    <w:rsid w:val="0080582E"/>
    <w:rsid w:val="008060BC"/>
    <w:rsid w:val="008154D8"/>
    <w:rsid w:val="00817AEE"/>
    <w:rsid w:val="00830008"/>
    <w:rsid w:val="00830B4A"/>
    <w:rsid w:val="008320DF"/>
    <w:rsid w:val="00833429"/>
    <w:rsid w:val="008350C4"/>
    <w:rsid w:val="008366A1"/>
    <w:rsid w:val="00840D03"/>
    <w:rsid w:val="008423B5"/>
    <w:rsid w:val="00845A6F"/>
    <w:rsid w:val="00850B32"/>
    <w:rsid w:val="00851D43"/>
    <w:rsid w:val="00851E30"/>
    <w:rsid w:val="00851F90"/>
    <w:rsid w:val="00855064"/>
    <w:rsid w:val="008559C9"/>
    <w:rsid w:val="00857452"/>
    <w:rsid w:val="00863A6D"/>
    <w:rsid w:val="00865461"/>
    <w:rsid w:val="00867133"/>
    <w:rsid w:val="008674AC"/>
    <w:rsid w:val="00867E86"/>
    <w:rsid w:val="00870A97"/>
    <w:rsid w:val="0087121E"/>
    <w:rsid w:val="0087210E"/>
    <w:rsid w:val="00875C54"/>
    <w:rsid w:val="008770B4"/>
    <w:rsid w:val="00881759"/>
    <w:rsid w:val="00885C6D"/>
    <w:rsid w:val="00895408"/>
    <w:rsid w:val="0089626C"/>
    <w:rsid w:val="00897148"/>
    <w:rsid w:val="008A0E14"/>
    <w:rsid w:val="008A605C"/>
    <w:rsid w:val="008B1A0B"/>
    <w:rsid w:val="008B1B61"/>
    <w:rsid w:val="008B3295"/>
    <w:rsid w:val="008C1FF5"/>
    <w:rsid w:val="008C24E2"/>
    <w:rsid w:val="008C580F"/>
    <w:rsid w:val="008C77D0"/>
    <w:rsid w:val="008D0642"/>
    <w:rsid w:val="008D3855"/>
    <w:rsid w:val="008D5EEB"/>
    <w:rsid w:val="008D5F38"/>
    <w:rsid w:val="008D72A4"/>
    <w:rsid w:val="008E217D"/>
    <w:rsid w:val="008E29AF"/>
    <w:rsid w:val="008E57B2"/>
    <w:rsid w:val="008E5D2E"/>
    <w:rsid w:val="008E6E73"/>
    <w:rsid w:val="008F1BDB"/>
    <w:rsid w:val="008F29B4"/>
    <w:rsid w:val="008F327C"/>
    <w:rsid w:val="008F3B5D"/>
    <w:rsid w:val="008F40E4"/>
    <w:rsid w:val="008F7977"/>
    <w:rsid w:val="00900548"/>
    <w:rsid w:val="00904805"/>
    <w:rsid w:val="00904AB8"/>
    <w:rsid w:val="00906245"/>
    <w:rsid w:val="00907999"/>
    <w:rsid w:val="00913FFD"/>
    <w:rsid w:val="00915D89"/>
    <w:rsid w:val="0091609D"/>
    <w:rsid w:val="0092204C"/>
    <w:rsid w:val="00922171"/>
    <w:rsid w:val="00922730"/>
    <w:rsid w:val="00922C25"/>
    <w:rsid w:val="009237AE"/>
    <w:rsid w:val="00925FBD"/>
    <w:rsid w:val="009262E3"/>
    <w:rsid w:val="009270F6"/>
    <w:rsid w:val="00932163"/>
    <w:rsid w:val="00934589"/>
    <w:rsid w:val="009349AB"/>
    <w:rsid w:val="009365AD"/>
    <w:rsid w:val="00937CA3"/>
    <w:rsid w:val="00953F33"/>
    <w:rsid w:val="009719C6"/>
    <w:rsid w:val="00975CD6"/>
    <w:rsid w:val="009777D3"/>
    <w:rsid w:val="00982349"/>
    <w:rsid w:val="009839BE"/>
    <w:rsid w:val="00983FA0"/>
    <w:rsid w:val="00986FB9"/>
    <w:rsid w:val="00990C73"/>
    <w:rsid w:val="0099127A"/>
    <w:rsid w:val="00991B7D"/>
    <w:rsid w:val="00992C68"/>
    <w:rsid w:val="009939E8"/>
    <w:rsid w:val="009A443B"/>
    <w:rsid w:val="009A5332"/>
    <w:rsid w:val="009A57A6"/>
    <w:rsid w:val="009B45D8"/>
    <w:rsid w:val="009C12C2"/>
    <w:rsid w:val="009C13B3"/>
    <w:rsid w:val="009C242E"/>
    <w:rsid w:val="009C6240"/>
    <w:rsid w:val="009D0992"/>
    <w:rsid w:val="009D12DB"/>
    <w:rsid w:val="009D5EA8"/>
    <w:rsid w:val="009D7898"/>
    <w:rsid w:val="009E0297"/>
    <w:rsid w:val="009E424E"/>
    <w:rsid w:val="009F6175"/>
    <w:rsid w:val="00A003DB"/>
    <w:rsid w:val="00A12D33"/>
    <w:rsid w:val="00A14CA5"/>
    <w:rsid w:val="00A174E2"/>
    <w:rsid w:val="00A20679"/>
    <w:rsid w:val="00A229B3"/>
    <w:rsid w:val="00A266CF"/>
    <w:rsid w:val="00A2796B"/>
    <w:rsid w:val="00A32790"/>
    <w:rsid w:val="00A3439D"/>
    <w:rsid w:val="00A353C7"/>
    <w:rsid w:val="00A40DF8"/>
    <w:rsid w:val="00A4118C"/>
    <w:rsid w:val="00A44654"/>
    <w:rsid w:val="00A44D09"/>
    <w:rsid w:val="00A456FE"/>
    <w:rsid w:val="00A543B1"/>
    <w:rsid w:val="00A57918"/>
    <w:rsid w:val="00A57D60"/>
    <w:rsid w:val="00A7014E"/>
    <w:rsid w:val="00A702BE"/>
    <w:rsid w:val="00A70986"/>
    <w:rsid w:val="00A731D6"/>
    <w:rsid w:val="00A73A46"/>
    <w:rsid w:val="00A751BD"/>
    <w:rsid w:val="00A752C7"/>
    <w:rsid w:val="00A77DBF"/>
    <w:rsid w:val="00A81306"/>
    <w:rsid w:val="00A8546B"/>
    <w:rsid w:val="00A87BBB"/>
    <w:rsid w:val="00A90A06"/>
    <w:rsid w:val="00A9361A"/>
    <w:rsid w:val="00A94E33"/>
    <w:rsid w:val="00A974EA"/>
    <w:rsid w:val="00AA0C38"/>
    <w:rsid w:val="00AA489A"/>
    <w:rsid w:val="00AA66FF"/>
    <w:rsid w:val="00AB2573"/>
    <w:rsid w:val="00AB5788"/>
    <w:rsid w:val="00AB73A6"/>
    <w:rsid w:val="00AB76ED"/>
    <w:rsid w:val="00AB7CAC"/>
    <w:rsid w:val="00AC0E51"/>
    <w:rsid w:val="00AC519A"/>
    <w:rsid w:val="00AC68B2"/>
    <w:rsid w:val="00AC6C48"/>
    <w:rsid w:val="00AD17D0"/>
    <w:rsid w:val="00AD2606"/>
    <w:rsid w:val="00AD28A3"/>
    <w:rsid w:val="00AD2907"/>
    <w:rsid w:val="00AD3F93"/>
    <w:rsid w:val="00AD440B"/>
    <w:rsid w:val="00AF1DD4"/>
    <w:rsid w:val="00AF6576"/>
    <w:rsid w:val="00AF7364"/>
    <w:rsid w:val="00B07C84"/>
    <w:rsid w:val="00B1096B"/>
    <w:rsid w:val="00B12AD5"/>
    <w:rsid w:val="00B160E2"/>
    <w:rsid w:val="00B17670"/>
    <w:rsid w:val="00B17998"/>
    <w:rsid w:val="00B264D7"/>
    <w:rsid w:val="00B31269"/>
    <w:rsid w:val="00B31B20"/>
    <w:rsid w:val="00B37FA0"/>
    <w:rsid w:val="00B42A14"/>
    <w:rsid w:val="00B43402"/>
    <w:rsid w:val="00B51F0C"/>
    <w:rsid w:val="00B5486D"/>
    <w:rsid w:val="00B568E2"/>
    <w:rsid w:val="00B6018F"/>
    <w:rsid w:val="00B60CFF"/>
    <w:rsid w:val="00B612D2"/>
    <w:rsid w:val="00B63501"/>
    <w:rsid w:val="00B63D0E"/>
    <w:rsid w:val="00B72CFB"/>
    <w:rsid w:val="00B73730"/>
    <w:rsid w:val="00B73D3A"/>
    <w:rsid w:val="00B73D75"/>
    <w:rsid w:val="00B823D3"/>
    <w:rsid w:val="00B8470F"/>
    <w:rsid w:val="00B848FF"/>
    <w:rsid w:val="00B8649F"/>
    <w:rsid w:val="00B922A0"/>
    <w:rsid w:val="00B9265B"/>
    <w:rsid w:val="00B945B4"/>
    <w:rsid w:val="00B95055"/>
    <w:rsid w:val="00BA068C"/>
    <w:rsid w:val="00BA3BA8"/>
    <w:rsid w:val="00BA52D5"/>
    <w:rsid w:val="00BA689A"/>
    <w:rsid w:val="00BB05A6"/>
    <w:rsid w:val="00BB2C4F"/>
    <w:rsid w:val="00BC07BD"/>
    <w:rsid w:val="00BC21D8"/>
    <w:rsid w:val="00BC3EE4"/>
    <w:rsid w:val="00BC5356"/>
    <w:rsid w:val="00BC55D0"/>
    <w:rsid w:val="00BD3F0D"/>
    <w:rsid w:val="00BD71EB"/>
    <w:rsid w:val="00BD7960"/>
    <w:rsid w:val="00BE7B13"/>
    <w:rsid w:val="00BF09ED"/>
    <w:rsid w:val="00BF0A95"/>
    <w:rsid w:val="00BF3786"/>
    <w:rsid w:val="00BF462D"/>
    <w:rsid w:val="00BF65EA"/>
    <w:rsid w:val="00BF6AF2"/>
    <w:rsid w:val="00BF7DD9"/>
    <w:rsid w:val="00C019D4"/>
    <w:rsid w:val="00C01DC7"/>
    <w:rsid w:val="00C10FD9"/>
    <w:rsid w:val="00C14E06"/>
    <w:rsid w:val="00C15B23"/>
    <w:rsid w:val="00C1777B"/>
    <w:rsid w:val="00C201FF"/>
    <w:rsid w:val="00C203BF"/>
    <w:rsid w:val="00C23FC6"/>
    <w:rsid w:val="00C302E4"/>
    <w:rsid w:val="00C327FE"/>
    <w:rsid w:val="00C32D86"/>
    <w:rsid w:val="00C3306C"/>
    <w:rsid w:val="00C3458A"/>
    <w:rsid w:val="00C35919"/>
    <w:rsid w:val="00C35B77"/>
    <w:rsid w:val="00C3663C"/>
    <w:rsid w:val="00C36E43"/>
    <w:rsid w:val="00C379BB"/>
    <w:rsid w:val="00C42A4B"/>
    <w:rsid w:val="00C43069"/>
    <w:rsid w:val="00C43745"/>
    <w:rsid w:val="00C4406C"/>
    <w:rsid w:val="00C447EC"/>
    <w:rsid w:val="00C463A8"/>
    <w:rsid w:val="00C470EC"/>
    <w:rsid w:val="00C506B0"/>
    <w:rsid w:val="00C51AC2"/>
    <w:rsid w:val="00C56383"/>
    <w:rsid w:val="00C57DF3"/>
    <w:rsid w:val="00C62A2C"/>
    <w:rsid w:val="00C645A4"/>
    <w:rsid w:val="00C65657"/>
    <w:rsid w:val="00C65BE4"/>
    <w:rsid w:val="00C70BF0"/>
    <w:rsid w:val="00C733D9"/>
    <w:rsid w:val="00C745A0"/>
    <w:rsid w:val="00C7487D"/>
    <w:rsid w:val="00C74C1C"/>
    <w:rsid w:val="00C81363"/>
    <w:rsid w:val="00C84F3D"/>
    <w:rsid w:val="00C85012"/>
    <w:rsid w:val="00C85326"/>
    <w:rsid w:val="00C92164"/>
    <w:rsid w:val="00C936CD"/>
    <w:rsid w:val="00C946F9"/>
    <w:rsid w:val="00C9590A"/>
    <w:rsid w:val="00C97D11"/>
    <w:rsid w:val="00CA031C"/>
    <w:rsid w:val="00CA1BDD"/>
    <w:rsid w:val="00CA1F8D"/>
    <w:rsid w:val="00CA2D75"/>
    <w:rsid w:val="00CA6FB9"/>
    <w:rsid w:val="00CB22BE"/>
    <w:rsid w:val="00CB34C1"/>
    <w:rsid w:val="00CC474B"/>
    <w:rsid w:val="00CC7B67"/>
    <w:rsid w:val="00CD1AA6"/>
    <w:rsid w:val="00CD255F"/>
    <w:rsid w:val="00CD2D8E"/>
    <w:rsid w:val="00CD5E12"/>
    <w:rsid w:val="00CD6E5B"/>
    <w:rsid w:val="00CF20B6"/>
    <w:rsid w:val="00CF2D15"/>
    <w:rsid w:val="00CF5E89"/>
    <w:rsid w:val="00CF64E1"/>
    <w:rsid w:val="00CF7191"/>
    <w:rsid w:val="00D01AA0"/>
    <w:rsid w:val="00D02694"/>
    <w:rsid w:val="00D039A0"/>
    <w:rsid w:val="00D03A45"/>
    <w:rsid w:val="00D03AA4"/>
    <w:rsid w:val="00D11212"/>
    <w:rsid w:val="00D1307F"/>
    <w:rsid w:val="00D137C8"/>
    <w:rsid w:val="00D13E86"/>
    <w:rsid w:val="00D17B49"/>
    <w:rsid w:val="00D21DAB"/>
    <w:rsid w:val="00D25139"/>
    <w:rsid w:val="00D26A89"/>
    <w:rsid w:val="00D27A7F"/>
    <w:rsid w:val="00D3124A"/>
    <w:rsid w:val="00D3277B"/>
    <w:rsid w:val="00D33631"/>
    <w:rsid w:val="00D35B68"/>
    <w:rsid w:val="00D369EC"/>
    <w:rsid w:val="00D43278"/>
    <w:rsid w:val="00D432D8"/>
    <w:rsid w:val="00D43D02"/>
    <w:rsid w:val="00D45CCD"/>
    <w:rsid w:val="00D46706"/>
    <w:rsid w:val="00D4775F"/>
    <w:rsid w:val="00D52187"/>
    <w:rsid w:val="00D550DD"/>
    <w:rsid w:val="00D56394"/>
    <w:rsid w:val="00D57BBE"/>
    <w:rsid w:val="00D62FB3"/>
    <w:rsid w:val="00D63041"/>
    <w:rsid w:val="00D66980"/>
    <w:rsid w:val="00D67C8B"/>
    <w:rsid w:val="00D67E75"/>
    <w:rsid w:val="00D72090"/>
    <w:rsid w:val="00D727F2"/>
    <w:rsid w:val="00D7571E"/>
    <w:rsid w:val="00D86121"/>
    <w:rsid w:val="00D87F26"/>
    <w:rsid w:val="00D92A33"/>
    <w:rsid w:val="00DA218D"/>
    <w:rsid w:val="00DA3340"/>
    <w:rsid w:val="00DA43E1"/>
    <w:rsid w:val="00DA4D80"/>
    <w:rsid w:val="00DA5151"/>
    <w:rsid w:val="00DA5602"/>
    <w:rsid w:val="00DA66EB"/>
    <w:rsid w:val="00DA6BF8"/>
    <w:rsid w:val="00DB2877"/>
    <w:rsid w:val="00DB3CBC"/>
    <w:rsid w:val="00DC0431"/>
    <w:rsid w:val="00DC2AC9"/>
    <w:rsid w:val="00DC46FB"/>
    <w:rsid w:val="00DC4E8A"/>
    <w:rsid w:val="00DC5C76"/>
    <w:rsid w:val="00DC74C3"/>
    <w:rsid w:val="00DD2461"/>
    <w:rsid w:val="00DD3035"/>
    <w:rsid w:val="00DD32E3"/>
    <w:rsid w:val="00DD39EA"/>
    <w:rsid w:val="00DD55CF"/>
    <w:rsid w:val="00DE2161"/>
    <w:rsid w:val="00DE4224"/>
    <w:rsid w:val="00DF06E2"/>
    <w:rsid w:val="00DF08AA"/>
    <w:rsid w:val="00DF0BCD"/>
    <w:rsid w:val="00DF0CFA"/>
    <w:rsid w:val="00DF3828"/>
    <w:rsid w:val="00DF55CF"/>
    <w:rsid w:val="00DF596F"/>
    <w:rsid w:val="00E00E85"/>
    <w:rsid w:val="00E01DCF"/>
    <w:rsid w:val="00E068EF"/>
    <w:rsid w:val="00E0697B"/>
    <w:rsid w:val="00E123C2"/>
    <w:rsid w:val="00E130E6"/>
    <w:rsid w:val="00E134C4"/>
    <w:rsid w:val="00E13708"/>
    <w:rsid w:val="00E13DBA"/>
    <w:rsid w:val="00E14009"/>
    <w:rsid w:val="00E15901"/>
    <w:rsid w:val="00E215CB"/>
    <w:rsid w:val="00E217E2"/>
    <w:rsid w:val="00E21C0E"/>
    <w:rsid w:val="00E2333F"/>
    <w:rsid w:val="00E31480"/>
    <w:rsid w:val="00E32BB8"/>
    <w:rsid w:val="00E332D8"/>
    <w:rsid w:val="00E37BFA"/>
    <w:rsid w:val="00E431D9"/>
    <w:rsid w:val="00E4377C"/>
    <w:rsid w:val="00E446E8"/>
    <w:rsid w:val="00E44C06"/>
    <w:rsid w:val="00E46968"/>
    <w:rsid w:val="00E46BAF"/>
    <w:rsid w:val="00E4783B"/>
    <w:rsid w:val="00E5134E"/>
    <w:rsid w:val="00E51A58"/>
    <w:rsid w:val="00E5242C"/>
    <w:rsid w:val="00E542A7"/>
    <w:rsid w:val="00E557E5"/>
    <w:rsid w:val="00E574B5"/>
    <w:rsid w:val="00E579D6"/>
    <w:rsid w:val="00E6041B"/>
    <w:rsid w:val="00E62D2A"/>
    <w:rsid w:val="00E64E14"/>
    <w:rsid w:val="00E654E2"/>
    <w:rsid w:val="00E6590A"/>
    <w:rsid w:val="00E711A6"/>
    <w:rsid w:val="00E71561"/>
    <w:rsid w:val="00E7216E"/>
    <w:rsid w:val="00E75CED"/>
    <w:rsid w:val="00E75D8D"/>
    <w:rsid w:val="00E77236"/>
    <w:rsid w:val="00E86F9F"/>
    <w:rsid w:val="00E96F40"/>
    <w:rsid w:val="00EA1E91"/>
    <w:rsid w:val="00EA2C28"/>
    <w:rsid w:val="00EA358B"/>
    <w:rsid w:val="00EA5272"/>
    <w:rsid w:val="00EA57C2"/>
    <w:rsid w:val="00EB0686"/>
    <w:rsid w:val="00EB0B7B"/>
    <w:rsid w:val="00EB5B78"/>
    <w:rsid w:val="00EB6772"/>
    <w:rsid w:val="00EB6DF7"/>
    <w:rsid w:val="00EC033E"/>
    <w:rsid w:val="00EC4E42"/>
    <w:rsid w:val="00EC58F9"/>
    <w:rsid w:val="00EC760E"/>
    <w:rsid w:val="00ED0FCC"/>
    <w:rsid w:val="00ED3F07"/>
    <w:rsid w:val="00ED4AD1"/>
    <w:rsid w:val="00ED6D95"/>
    <w:rsid w:val="00EE01EC"/>
    <w:rsid w:val="00EE0642"/>
    <w:rsid w:val="00EE1669"/>
    <w:rsid w:val="00EE531D"/>
    <w:rsid w:val="00EE5661"/>
    <w:rsid w:val="00EF158A"/>
    <w:rsid w:val="00EF466B"/>
    <w:rsid w:val="00EF49AF"/>
    <w:rsid w:val="00EF5BAC"/>
    <w:rsid w:val="00F00215"/>
    <w:rsid w:val="00F004C1"/>
    <w:rsid w:val="00F00C55"/>
    <w:rsid w:val="00F03085"/>
    <w:rsid w:val="00F03D70"/>
    <w:rsid w:val="00F03EA1"/>
    <w:rsid w:val="00F04762"/>
    <w:rsid w:val="00F049DA"/>
    <w:rsid w:val="00F056F5"/>
    <w:rsid w:val="00F10913"/>
    <w:rsid w:val="00F11975"/>
    <w:rsid w:val="00F23B1A"/>
    <w:rsid w:val="00F245C1"/>
    <w:rsid w:val="00F25C1F"/>
    <w:rsid w:val="00F26217"/>
    <w:rsid w:val="00F27691"/>
    <w:rsid w:val="00F311DC"/>
    <w:rsid w:val="00F320BF"/>
    <w:rsid w:val="00F348C3"/>
    <w:rsid w:val="00F34F75"/>
    <w:rsid w:val="00F35FA1"/>
    <w:rsid w:val="00F407EE"/>
    <w:rsid w:val="00F41062"/>
    <w:rsid w:val="00F411D7"/>
    <w:rsid w:val="00F41832"/>
    <w:rsid w:val="00F42E61"/>
    <w:rsid w:val="00F4350A"/>
    <w:rsid w:val="00F43ADE"/>
    <w:rsid w:val="00F52EB2"/>
    <w:rsid w:val="00F657B0"/>
    <w:rsid w:val="00F65D7D"/>
    <w:rsid w:val="00F6705C"/>
    <w:rsid w:val="00F676C8"/>
    <w:rsid w:val="00F723A8"/>
    <w:rsid w:val="00F73F7A"/>
    <w:rsid w:val="00F73FE6"/>
    <w:rsid w:val="00F74981"/>
    <w:rsid w:val="00F7588F"/>
    <w:rsid w:val="00F758F7"/>
    <w:rsid w:val="00F83C29"/>
    <w:rsid w:val="00F84B9C"/>
    <w:rsid w:val="00F915F9"/>
    <w:rsid w:val="00F92524"/>
    <w:rsid w:val="00F94B3D"/>
    <w:rsid w:val="00F96CD9"/>
    <w:rsid w:val="00FA256A"/>
    <w:rsid w:val="00FA49E9"/>
    <w:rsid w:val="00FA55F5"/>
    <w:rsid w:val="00FA6869"/>
    <w:rsid w:val="00FB0ACA"/>
    <w:rsid w:val="00FB27A5"/>
    <w:rsid w:val="00FB51CC"/>
    <w:rsid w:val="00FC0B82"/>
    <w:rsid w:val="00FC1793"/>
    <w:rsid w:val="00FC180D"/>
    <w:rsid w:val="00FC1BE8"/>
    <w:rsid w:val="00FC3C5E"/>
    <w:rsid w:val="00FC4234"/>
    <w:rsid w:val="00FC4A2A"/>
    <w:rsid w:val="00FC61EE"/>
    <w:rsid w:val="00FD40B7"/>
    <w:rsid w:val="00FD5434"/>
    <w:rsid w:val="00FE15BE"/>
    <w:rsid w:val="00FE4970"/>
    <w:rsid w:val="00FE4B50"/>
    <w:rsid w:val="00FE52AD"/>
    <w:rsid w:val="00FE72C9"/>
    <w:rsid w:val="00FF0794"/>
    <w:rsid w:val="00FF6441"/>
    <w:rsid w:val="00FF6F7A"/>
    <w:rsid w:val="35B2D715"/>
    <w:rsid w:val="52D3F29C"/>
  </w:rsids>
  <m:mathPr>
    <m:mathFont m:val="Cambria Math"/>
  </m:mathPr>
  <w:themeFontLang w:val="en-US"/>
  <w:clrSchemeMapping w:bg1="light1" w:t1="dark1" w:bg2="light2" w:t2="dark2" w:accent1="accent1" w:accent2="accent2" w:accent3="accent3" w:accent4="accent4" w:accent5="accent5" w:accent6="accent6" w:hyperlink="hyperlink" w:followedHyperlink="followedHyperlink"/>
  <w:doNotIncludeSubdocsInStats/>
  <w14:docId w14:val="0ABC8619"/>
  <w15:chartTrackingRefBased/>
  <w15:docId w15:val="{AAC56ACB-7A60-4476-BC1C-EC088AC3D48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nhideWhenUsed="1"/>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pPr>
      <w:widowControl w:val="0"/>
    </w:pPr>
    <w:rPr>
      <w:snapToGrid w:val="0"/>
      <w:kern w:val="28"/>
      <w:sz w:val="22"/>
    </w:rPr>
  </w:style>
  <w:style w:type="paragraph" w:styleId="Heading1">
    <w:name w:val="heading 1"/>
    <w:basedOn w:val="Normal"/>
    <w:next w:val="ParaNum"/>
    <w:qFormat/>
    <w:pPr>
      <w:keepNext/>
      <w:numPr>
        <w:numId w:val="3"/>
      </w:numPr>
      <w:tabs>
        <w:tab w:val="left" w:pos="720"/>
      </w:tabs>
      <w:suppressAutoHyphens/>
      <w:spacing w:after="120"/>
      <w:outlineLvl w:val="0"/>
    </w:pPr>
    <w:rPr>
      <w:rFonts w:ascii="Times New Roman Bold" w:hAnsi="Times New Roman Bold"/>
      <w:b/>
      <w:caps/>
    </w:rPr>
  </w:style>
  <w:style w:type="paragraph" w:styleId="Heading2">
    <w:name w:val="heading 2"/>
    <w:basedOn w:val="Normal"/>
    <w:next w:val="ParaNum"/>
    <w:autoRedefine/>
    <w:qFormat/>
    <w:pPr>
      <w:keepNext/>
      <w:numPr>
        <w:ilvl w:val="1"/>
        <w:numId w:val="3"/>
      </w:numPr>
      <w:spacing w:after="120"/>
      <w:outlineLvl w:val="1"/>
    </w:pPr>
    <w:rPr>
      <w:b/>
    </w:rPr>
  </w:style>
  <w:style w:type="paragraph" w:styleId="Heading3">
    <w:name w:val="heading 3"/>
    <w:basedOn w:val="Normal"/>
    <w:next w:val="ParaNum"/>
    <w:qFormat/>
    <w:pPr>
      <w:keepNext/>
      <w:numPr>
        <w:ilvl w:val="2"/>
        <w:numId w:val="3"/>
      </w:numPr>
      <w:tabs>
        <w:tab w:val="left" w:pos="2160"/>
      </w:tabs>
      <w:spacing w:after="120"/>
      <w:outlineLvl w:val="2"/>
    </w:pPr>
    <w:rPr>
      <w:b/>
    </w:rPr>
  </w:style>
  <w:style w:type="paragraph" w:styleId="Heading4">
    <w:name w:val="heading 4"/>
    <w:basedOn w:val="Normal"/>
    <w:next w:val="ParaNum"/>
    <w:qFormat/>
    <w:pPr>
      <w:keepNext/>
      <w:numPr>
        <w:ilvl w:val="3"/>
        <w:numId w:val="3"/>
      </w:numPr>
      <w:tabs>
        <w:tab w:val="left" w:pos="2880"/>
      </w:tabs>
      <w:spacing w:after="120"/>
      <w:outlineLvl w:val="3"/>
    </w:pPr>
    <w:rPr>
      <w:b/>
    </w:rPr>
  </w:style>
  <w:style w:type="paragraph" w:styleId="Heading5">
    <w:name w:val="heading 5"/>
    <w:basedOn w:val="Normal"/>
    <w:next w:val="ParaNum"/>
    <w:qFormat/>
    <w:pPr>
      <w:keepNext/>
      <w:numPr>
        <w:ilvl w:val="4"/>
        <w:numId w:val="3"/>
      </w:numPr>
      <w:tabs>
        <w:tab w:val="left" w:pos="3600"/>
      </w:tabs>
      <w:suppressAutoHyphens/>
      <w:spacing w:after="120"/>
      <w:outlineLvl w:val="4"/>
    </w:pPr>
    <w:rPr>
      <w:b/>
    </w:rPr>
  </w:style>
  <w:style w:type="paragraph" w:styleId="Heading6">
    <w:name w:val="heading 6"/>
    <w:basedOn w:val="Normal"/>
    <w:next w:val="ParaNum"/>
    <w:qFormat/>
    <w:pPr>
      <w:numPr>
        <w:ilvl w:val="5"/>
        <w:numId w:val="3"/>
      </w:numPr>
      <w:tabs>
        <w:tab w:val="left" w:pos="4320"/>
      </w:tabs>
      <w:spacing w:after="120"/>
      <w:outlineLvl w:val="5"/>
    </w:pPr>
    <w:rPr>
      <w:b/>
    </w:rPr>
  </w:style>
  <w:style w:type="paragraph" w:styleId="Heading7">
    <w:name w:val="heading 7"/>
    <w:basedOn w:val="Normal"/>
    <w:next w:val="ParaNum"/>
    <w:qFormat/>
    <w:pPr>
      <w:numPr>
        <w:ilvl w:val="6"/>
        <w:numId w:val="3"/>
      </w:numPr>
      <w:tabs>
        <w:tab w:val="left" w:pos="5040"/>
      </w:tabs>
      <w:spacing w:after="120"/>
      <w:ind w:left="5040" w:hanging="720"/>
      <w:outlineLvl w:val="6"/>
    </w:pPr>
    <w:rPr>
      <w:b/>
    </w:rPr>
  </w:style>
  <w:style w:type="paragraph" w:styleId="Heading8">
    <w:name w:val="heading 8"/>
    <w:basedOn w:val="Normal"/>
    <w:next w:val="ParaNum"/>
    <w:qFormat/>
    <w:pPr>
      <w:numPr>
        <w:ilvl w:val="7"/>
        <w:numId w:val="3"/>
      </w:numPr>
      <w:tabs>
        <w:tab w:val="clear" w:pos="5400"/>
        <w:tab w:val="left" w:pos="5760"/>
      </w:tabs>
      <w:spacing w:after="120"/>
      <w:ind w:left="5760" w:hanging="720"/>
      <w:outlineLvl w:val="7"/>
    </w:pPr>
    <w:rPr>
      <w:b/>
    </w:rPr>
  </w:style>
  <w:style w:type="paragraph" w:styleId="Heading9">
    <w:name w:val="heading 9"/>
    <w:basedOn w:val="Normal"/>
    <w:next w:val="ParaNum"/>
    <w:qFormat/>
    <w:pPr>
      <w:numPr>
        <w:ilvl w:val="8"/>
        <w:numId w:val="3"/>
      </w:numPr>
      <w:tabs>
        <w:tab w:val="clear" w:pos="6120"/>
        <w:tab w:val="left" w:pos="6480"/>
      </w:tabs>
      <w:spacing w:after="120"/>
      <w:ind w:left="6480" w:hanging="720"/>
      <w:outlineLvl w:val="8"/>
    </w:pPr>
    <w:rPr>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araNum">
    <w:name w:val="ParaNum"/>
    <w:basedOn w:val="Normal"/>
    <w:pPr>
      <w:numPr>
        <w:numId w:val="2"/>
      </w:numPr>
      <w:tabs>
        <w:tab w:val="clear" w:pos="1080"/>
        <w:tab w:val="num" w:pos="1440"/>
      </w:tabs>
      <w:spacing w:after="120"/>
    </w:pPr>
  </w:style>
  <w:style w:type="paragraph" w:styleId="EndnoteText">
    <w:name w:val="endnote text"/>
    <w:basedOn w:val="Normal"/>
    <w:semiHidden/>
    <w:rPr>
      <w:sz w:val="20"/>
    </w:rPr>
  </w:style>
  <w:style w:type="character" w:styleId="EndnoteReference">
    <w:name w:val="endnote reference"/>
    <w:semiHidden/>
    <w:rPr>
      <w:vertAlign w:val="superscript"/>
    </w:rPr>
  </w:style>
  <w:style w:type="paragraph" w:styleId="FootnoteText">
    <w:name w:val="footnote text"/>
    <w:aliases w:val="Footnote Text Char,Footnote Text Char Char Char1 Char Char Char,Footnote Text Char Char Char2 Char Char,Footnote Text Char1 Char1 Char Char Char,Footnote Text Char2 Char,Footnote Text Char2 Char Char Char,Footnote Text Char3 Char Char,f,fn"/>
    <w:link w:val="FootnoteTextChar1"/>
    <w:qFormat/>
    <w:pPr>
      <w:spacing w:after="120"/>
    </w:pPr>
  </w:style>
  <w:style w:type="character" w:styleId="FootnoteReference">
    <w:name w:val="footnote reference"/>
    <w:aliases w:val="(NECG) Footnote Reference,-E Funotenzeichen,A,Appel note de bas de p,FR,Footnote Reference/,Footnote Reference1,Ref,Style 1,Style 12,Style 124,Style 13,Style 17,Style 20,Style 3,Style 34,Style 4,Style 6,Style 7,Style 9,callout,fr,o"/>
    <w:qFormat/>
    <w:rPr>
      <w:rFonts w:ascii="Times New Roman" w:hAnsi="Times New Roman"/>
      <w:dstrike w:val="0"/>
      <w:color w:val="auto"/>
      <w:sz w:val="22"/>
      <w:vertAlign w:val="superscript"/>
    </w:rPr>
  </w:style>
  <w:style w:type="paragraph" w:styleId="TOC1">
    <w:name w:val="toc 1"/>
    <w:basedOn w:val="Normal"/>
    <w:next w:val="Normal"/>
    <w:uiPriority w:val="39"/>
    <w:pPr>
      <w:tabs>
        <w:tab w:val="left" w:pos="360"/>
        <w:tab w:val="right" w:leader="dot" w:pos="9360"/>
      </w:tabs>
      <w:suppressAutoHyphens/>
      <w:ind w:left="360" w:right="720" w:hanging="360"/>
    </w:pPr>
    <w:rPr>
      <w:caps/>
      <w:noProof/>
    </w:rPr>
  </w:style>
  <w:style w:type="paragraph" w:styleId="TOC2">
    <w:name w:val="toc 2"/>
    <w:basedOn w:val="Normal"/>
    <w:next w:val="Normal"/>
    <w:semiHidden/>
    <w:pPr>
      <w:tabs>
        <w:tab w:val="left" w:pos="720"/>
        <w:tab w:val="right" w:leader="dot" w:pos="9360"/>
      </w:tabs>
      <w:suppressAutoHyphens/>
      <w:ind w:left="720" w:right="720" w:hanging="360"/>
    </w:pPr>
    <w:rPr>
      <w:noProof/>
    </w:rPr>
  </w:style>
  <w:style w:type="paragraph" w:styleId="TOC3">
    <w:name w:val="toc 3"/>
    <w:basedOn w:val="Normal"/>
    <w:next w:val="Normal"/>
    <w:semiHidden/>
    <w:pPr>
      <w:tabs>
        <w:tab w:val="left" w:pos="1080"/>
        <w:tab w:val="right" w:leader="dot" w:pos="9360"/>
      </w:tabs>
      <w:suppressAutoHyphens/>
      <w:ind w:left="1080" w:right="720" w:hanging="360"/>
    </w:pPr>
    <w:rPr>
      <w:noProof/>
    </w:rPr>
  </w:style>
  <w:style w:type="paragraph" w:styleId="TOC4">
    <w:name w:val="toc 4"/>
    <w:basedOn w:val="Normal"/>
    <w:next w:val="Normal"/>
    <w:autoRedefine/>
    <w:semiHidden/>
    <w:pPr>
      <w:tabs>
        <w:tab w:val="left" w:pos="1440"/>
        <w:tab w:val="right" w:leader="dot" w:pos="9360"/>
      </w:tabs>
      <w:suppressAutoHyphens/>
      <w:ind w:left="1440" w:right="720" w:hanging="360"/>
    </w:pPr>
    <w:rPr>
      <w:noProof/>
    </w:rPr>
  </w:style>
  <w:style w:type="paragraph" w:styleId="TOC5">
    <w:name w:val="toc 5"/>
    <w:basedOn w:val="Normal"/>
    <w:next w:val="Normal"/>
    <w:autoRedefine/>
    <w:semiHidden/>
    <w:pPr>
      <w:tabs>
        <w:tab w:val="left" w:pos="1800"/>
        <w:tab w:val="right" w:leader="dot" w:pos="9360"/>
      </w:tabs>
      <w:suppressAutoHyphens/>
      <w:ind w:left="1800" w:right="720" w:hanging="360"/>
    </w:pPr>
    <w:rPr>
      <w:noProof/>
    </w:rPr>
  </w:style>
  <w:style w:type="paragraph" w:styleId="TOC6">
    <w:name w:val="toc 6"/>
    <w:basedOn w:val="Normal"/>
    <w:next w:val="Normal"/>
    <w:autoRedefine/>
    <w:semiHidden/>
    <w:pPr>
      <w:tabs>
        <w:tab w:val="left" w:pos="2160"/>
        <w:tab w:val="right" w:leader="dot" w:pos="9360"/>
      </w:tabs>
      <w:suppressAutoHyphens/>
      <w:ind w:left="2160" w:hanging="360"/>
    </w:pPr>
    <w:rPr>
      <w:noProof/>
    </w:rPr>
  </w:style>
  <w:style w:type="paragraph" w:styleId="TOC7">
    <w:name w:val="toc 7"/>
    <w:basedOn w:val="Normal"/>
    <w:next w:val="Normal"/>
    <w:autoRedefine/>
    <w:semiHidden/>
    <w:pPr>
      <w:tabs>
        <w:tab w:val="left" w:pos="2520"/>
        <w:tab w:val="right" w:leader="dot" w:pos="9360"/>
      </w:tabs>
      <w:suppressAutoHyphens/>
      <w:ind w:left="2520" w:hanging="360"/>
    </w:pPr>
    <w:rPr>
      <w:noProof/>
    </w:rPr>
  </w:style>
  <w:style w:type="paragraph" w:styleId="TOC8">
    <w:name w:val="toc 8"/>
    <w:basedOn w:val="Normal"/>
    <w:next w:val="Normal"/>
    <w:autoRedefine/>
    <w:semiHidden/>
    <w:pPr>
      <w:tabs>
        <w:tab w:val="left" w:pos="2880"/>
        <w:tab w:val="right" w:leader="dot" w:pos="9360"/>
      </w:tabs>
      <w:suppressAutoHyphens/>
      <w:ind w:left="2880" w:hanging="360"/>
    </w:pPr>
    <w:rPr>
      <w:noProof/>
    </w:rPr>
  </w:style>
  <w:style w:type="paragraph" w:styleId="TOC9">
    <w:name w:val="toc 9"/>
    <w:basedOn w:val="Normal"/>
    <w:next w:val="Normal"/>
    <w:autoRedefine/>
    <w:semiHidden/>
    <w:pPr>
      <w:tabs>
        <w:tab w:val="left" w:pos="3240"/>
        <w:tab w:val="right" w:leader="dot" w:pos="9360"/>
      </w:tabs>
      <w:suppressAutoHyphens/>
      <w:ind w:left="3240" w:hanging="360"/>
    </w:pPr>
    <w:rPr>
      <w:noProof/>
    </w:rPr>
  </w:style>
  <w:style w:type="paragraph" w:styleId="TOAHeading">
    <w:name w:val="toa heading"/>
    <w:basedOn w:val="Normal"/>
    <w:next w:val="Normal"/>
    <w:semiHidden/>
    <w:pPr>
      <w:tabs>
        <w:tab w:val="right" w:pos="9360"/>
      </w:tabs>
      <w:suppressAutoHyphens/>
    </w:pPr>
  </w:style>
  <w:style w:type="character" w:customStyle="1" w:styleId="EquationCaption">
    <w:name w:val="_Equation Caption"/>
  </w:style>
  <w:style w:type="paragraph" w:styleId="Header">
    <w:name w:val="header"/>
    <w:basedOn w:val="Normal"/>
    <w:autoRedefine/>
    <w:pPr>
      <w:tabs>
        <w:tab w:val="center" w:pos="4680"/>
        <w:tab w:val="right" w:pos="9360"/>
      </w:tabs>
    </w:pPr>
    <w:rPr>
      <w:rFonts w:ascii="Arial" w:hAnsi="Arial" w:cs="Arial"/>
      <w:b/>
      <w:sz w:val="96"/>
      <w:szCs w:val="96"/>
    </w:rPr>
  </w:style>
  <w:style w:type="paragraph" w:styleId="Footer">
    <w:name w:val="footer"/>
    <w:basedOn w:val="Normal"/>
    <w:link w:val="FooterChar"/>
    <w:uiPriority w:val="99"/>
    <w:pPr>
      <w:tabs>
        <w:tab w:val="center" w:pos="4320"/>
        <w:tab w:val="right" w:pos="8640"/>
      </w:tabs>
    </w:pPr>
  </w:style>
  <w:style w:type="character" w:styleId="PageNumber">
    <w:name w:val="page number"/>
    <w:basedOn w:val="DefaultParagraphFont"/>
  </w:style>
  <w:style w:type="paragraph" w:styleId="BlockText">
    <w:name w:val="Block Text"/>
    <w:basedOn w:val="Normal"/>
    <w:pPr>
      <w:spacing w:after="240"/>
      <w:ind w:left="1440" w:right="1440"/>
    </w:pPr>
  </w:style>
  <w:style w:type="paragraph" w:customStyle="1" w:styleId="Paratitle">
    <w:name w:val="Para title"/>
    <w:basedOn w:val="Normal"/>
    <w:pPr>
      <w:tabs>
        <w:tab w:val="center" w:pos="9270"/>
      </w:tabs>
      <w:spacing w:after="240"/>
    </w:pPr>
    <w:rPr>
      <w:spacing w:val="-2"/>
    </w:rPr>
  </w:style>
  <w:style w:type="paragraph" w:customStyle="1" w:styleId="Bullet">
    <w:name w:val="Bullet"/>
    <w:basedOn w:val="Normal"/>
    <w:pPr>
      <w:numPr>
        <w:numId w:val="1"/>
      </w:numPr>
      <w:tabs>
        <w:tab w:val="clear" w:pos="360"/>
        <w:tab w:val="left" w:pos="2160"/>
      </w:tabs>
      <w:spacing w:after="220"/>
      <w:ind w:left="2160" w:hanging="720"/>
    </w:pPr>
  </w:style>
  <w:style w:type="paragraph" w:customStyle="1" w:styleId="TableFormat">
    <w:name w:val="TableFormat"/>
    <w:basedOn w:val="Bullet"/>
    <w:pPr>
      <w:numPr>
        <w:numId w:val="0"/>
      </w:numPr>
      <w:tabs>
        <w:tab w:val="clear" w:pos="2160"/>
        <w:tab w:val="left" w:pos="5040"/>
      </w:tabs>
      <w:ind w:left="5040" w:hanging="3600"/>
    </w:pPr>
  </w:style>
  <w:style w:type="paragraph" w:customStyle="1" w:styleId="TOCTitle">
    <w:name w:val="TOC Title"/>
    <w:basedOn w:val="Normal"/>
    <w:pPr>
      <w:spacing w:before="240" w:after="240"/>
      <w:jc w:val="center"/>
    </w:pPr>
    <w:rPr>
      <w:rFonts w:ascii="Times New Roman Bold" w:hAnsi="Times New Roman Bold"/>
      <w:b/>
      <w:caps/>
      <w:spacing w:val="-2"/>
    </w:rPr>
  </w:style>
  <w:style w:type="paragraph" w:customStyle="1" w:styleId="StyleBoldCentered">
    <w:name w:val="Style Bold Centered"/>
    <w:basedOn w:val="Normal"/>
    <w:pPr>
      <w:jc w:val="center"/>
    </w:pPr>
    <w:rPr>
      <w:rFonts w:ascii="Times New Roman Bold" w:hAnsi="Times New Roman Bold"/>
      <w:b/>
      <w:bCs/>
      <w:caps/>
      <w:szCs w:val="22"/>
    </w:rPr>
  </w:style>
  <w:style w:type="character" w:styleId="Hyperlink">
    <w:name w:val="Hyperlink"/>
    <w:rPr>
      <w:color w:val="0000FF"/>
      <w:u w:val="single"/>
    </w:rPr>
  </w:style>
  <w:style w:type="character" w:customStyle="1" w:styleId="FooterChar">
    <w:name w:val="Footer Char"/>
    <w:link w:val="Footer"/>
    <w:uiPriority w:val="99"/>
    <w:rPr>
      <w:snapToGrid w:val="0"/>
      <w:kern w:val="28"/>
      <w:sz w:val="22"/>
    </w:rPr>
  </w:style>
  <w:style w:type="character" w:styleId="UnresolvedMention">
    <w:name w:val="Unresolved Mention"/>
    <w:uiPriority w:val="99"/>
    <w:semiHidden/>
    <w:unhideWhenUsed/>
    <w:rPr>
      <w:color w:val="605E5C"/>
      <w:shd w:val="clear" w:color="auto" w:fill="E1DFDD"/>
    </w:rPr>
  </w:style>
  <w:style w:type="character" w:customStyle="1" w:styleId="FootnoteTextChar1">
    <w:name w:val="Footnote Text Char1"/>
    <w:aliases w:val="Footnote Text Char Char,Footnote Text Char Char Char1 Char Char Char Char,Footnote Text Char Char Char2 Char Char Char,Footnote Text Char1 Char1 Char Char Char Char,Footnote Text Char2 Char Char,Footnote Text Char3 Char Char Char"/>
    <w:link w:val="FootnoteText"/>
    <w:rsid w:val="00881759"/>
  </w:style>
  <w:style w:type="character" w:customStyle="1" w:styleId="xcontentpasted0">
    <w:name w:val="x_contentpasted0"/>
    <w:basedOn w:val="DefaultParagraphFont"/>
    <w:rsid w:val="00693D49"/>
  </w:style>
  <w:style w:type="paragraph" w:styleId="Revision">
    <w:name w:val="Revision"/>
    <w:hidden/>
    <w:uiPriority w:val="99"/>
    <w:semiHidden/>
    <w:rsid w:val="00D45CCD"/>
    <w:rPr>
      <w:snapToGrid w:val="0"/>
      <w:kern w:val="28"/>
      <w:sz w:val="22"/>
    </w:rPr>
  </w:style>
  <w:style w:type="paragraph" w:styleId="ListParagraph">
    <w:name w:val="List Paragraph"/>
    <w:basedOn w:val="Normal"/>
    <w:uiPriority w:val="34"/>
    <w:qFormat/>
    <w:rsid w:val="00DF0BCD"/>
    <w:pPr>
      <w:ind w:left="720"/>
      <w:contextualSpacing/>
    </w:pPr>
  </w:style>
  <w:style w:type="character" w:styleId="CommentReference">
    <w:name w:val="annotation reference"/>
    <w:basedOn w:val="DefaultParagraphFont"/>
    <w:uiPriority w:val="99"/>
    <w:semiHidden/>
    <w:unhideWhenUsed/>
    <w:rsid w:val="00373506"/>
    <w:rPr>
      <w:sz w:val="16"/>
      <w:szCs w:val="16"/>
    </w:rPr>
  </w:style>
  <w:style w:type="paragraph" w:styleId="CommentText">
    <w:name w:val="annotation text"/>
    <w:basedOn w:val="Normal"/>
    <w:link w:val="CommentTextChar"/>
    <w:uiPriority w:val="99"/>
    <w:unhideWhenUsed/>
    <w:rsid w:val="00373506"/>
    <w:rPr>
      <w:sz w:val="20"/>
    </w:rPr>
  </w:style>
  <w:style w:type="character" w:customStyle="1" w:styleId="CommentTextChar">
    <w:name w:val="Comment Text Char"/>
    <w:basedOn w:val="DefaultParagraphFont"/>
    <w:link w:val="CommentText"/>
    <w:uiPriority w:val="99"/>
    <w:rsid w:val="00373506"/>
    <w:rPr>
      <w:snapToGrid w:val="0"/>
      <w:kern w:val="28"/>
    </w:rPr>
  </w:style>
  <w:style w:type="paragraph" w:styleId="CommentSubject">
    <w:name w:val="annotation subject"/>
    <w:basedOn w:val="CommentText"/>
    <w:next w:val="CommentText"/>
    <w:link w:val="CommentSubjectChar"/>
    <w:uiPriority w:val="99"/>
    <w:semiHidden/>
    <w:unhideWhenUsed/>
    <w:rsid w:val="00373506"/>
    <w:rPr>
      <w:b/>
      <w:bCs/>
    </w:rPr>
  </w:style>
  <w:style w:type="character" w:customStyle="1" w:styleId="CommentSubjectChar">
    <w:name w:val="Comment Subject Char"/>
    <w:basedOn w:val="CommentTextChar"/>
    <w:link w:val="CommentSubject"/>
    <w:uiPriority w:val="99"/>
    <w:semiHidden/>
    <w:rsid w:val="00373506"/>
    <w:rPr>
      <w:b/>
      <w:bCs/>
      <w:snapToGrid w:val="0"/>
      <w:kern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webSettings>
</file>

<file path=word/_rels/document.xml.rels><?xml version="1.0" encoding="utf-8" standalone="yes"?><Relationships xmlns="http://schemas.openxmlformats.org/package/2006/relationships"><Relationship Id="rId1" Type="http://schemas.openxmlformats.org/officeDocument/2006/relationships/footnotes" Target="footnotes.xml" /><Relationship Id="rId10" Type="http://schemas.openxmlformats.org/officeDocument/2006/relationships/hyperlink" Target="mailto:jim.bird@fcc.gov" TargetMode="External" /><Relationship Id="rId11" Type="http://schemas.openxmlformats.org/officeDocument/2006/relationships/header" Target="header1.xml" /><Relationship Id="rId12" Type="http://schemas.openxmlformats.org/officeDocument/2006/relationships/footer" Target="footer1.xml" /><Relationship Id="rId13" Type="http://schemas.openxmlformats.org/officeDocument/2006/relationships/footer" Target="footer2.xml" /><Relationship Id="rId14" Type="http://schemas.openxmlformats.org/officeDocument/2006/relationships/header" Target="header2.xml" /><Relationship Id="rId15" Type="http://schemas.openxmlformats.org/officeDocument/2006/relationships/footer" Target="footer3.xml" /><Relationship Id="rId16" Type="http://schemas.openxmlformats.org/officeDocument/2006/relationships/theme" Target="theme/theme1.xml" /><Relationship Id="rId17" Type="http://schemas.openxmlformats.org/officeDocument/2006/relationships/numbering" Target="numbering.xml" /><Relationship Id="rId18" Type="http://schemas.openxmlformats.org/officeDocument/2006/relationships/styles" Target="styles.xml" /><Relationship Id="rId2" Type="http://schemas.openxmlformats.org/officeDocument/2006/relationships/endnotes" Target="endnot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ntTable" Target="fontTable.xml" /><Relationship Id="rId6" Type="http://schemas.openxmlformats.org/officeDocument/2006/relationships/hyperlink" Target="https://www.fcc.gov/ecfs" TargetMode="External" /><Relationship Id="rId7" Type="http://schemas.openxmlformats.org/officeDocument/2006/relationships/hyperlink" Target="mailto:fcc504@fcc.gov" TargetMode="External" /><Relationship Id="rId8" Type="http://schemas.openxmlformats.org/officeDocument/2006/relationships/hyperlink" Target="mailto:dennis.johnson@fcc.gov" TargetMode="External" /><Relationship Id="rId9" Type="http://schemas.openxmlformats.org/officeDocument/2006/relationships/hyperlink" Target="https://fccoffice-my.sharepoint.com/personal/dennis_johnson_fcc_gov/Documents/svantje.swider@fcc.gov" TargetMode="External" /></Relationships>
</file>

<file path=word/_rels/header2.xml.rels><?xml version="1.0" encoding="utf-8" standalone="yes"?><Relationships xmlns="http://schemas.openxmlformats.org/package/2006/relationships"><Relationship Id="rId1" Type="http://schemas.openxmlformats.org/officeDocument/2006/relationships/image" Target="media/image1.png" /></Relationships>
</file>

<file path=word/_rels/settings.xml.rels><?xml version="1.0" encoding="utf-8" standalone="yes"?><Relationships xmlns="http://schemas.openxmlformats.org/package/2006/relationships"><Relationship Id="rId1" Type="http://schemas.openxmlformats.org/officeDocument/2006/relationships/attachedTemplate" Target="file:///M:\Form\OS%20Process\Public%20Notice%20Portrait.dot" TargetMode="Externa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Public Notice Portrait</Template>
  <TotalTime>0</TotalTime>
  <Pages>0</Pages>
  <Words>0</Words>
  <Characters>0</Characters>
  <Application>Microsoft Office Word</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0</cp:revision>
</cp:coreProperties>
</file>