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C2EE3" w:rsidRPr="00833EC9" w14:paraId="4E077789" w14:textId="77777777">
      <w:pPr>
        <w:jc w:val="center"/>
        <w:rPr>
          <w:b/>
          <w:szCs w:val="22"/>
        </w:rPr>
      </w:pPr>
      <w:r w:rsidRPr="00833EC9">
        <w:rPr>
          <w:b/>
          <w:kern w:val="0"/>
          <w:szCs w:val="22"/>
        </w:rPr>
        <w:t>Before</w:t>
      </w:r>
      <w:r w:rsidRPr="00833EC9">
        <w:rPr>
          <w:b/>
          <w:szCs w:val="22"/>
        </w:rPr>
        <w:t xml:space="preserve"> the</w:t>
      </w:r>
    </w:p>
    <w:p w:rsidR="00921803" w:rsidRPr="00833EC9" w:rsidP="00921803" w14:paraId="0F81AFDE" w14:textId="77777777">
      <w:pPr>
        <w:pStyle w:val="StyleBoldCentered"/>
        <w:rPr>
          <w:rFonts w:ascii="Times New Roman" w:hAnsi="Times New Roman"/>
        </w:rPr>
      </w:pPr>
      <w:r w:rsidRPr="00833EC9">
        <w:rPr>
          <w:rFonts w:ascii="Times New Roman" w:hAnsi="Times New Roman"/>
        </w:rPr>
        <w:t>F</w:t>
      </w:r>
      <w:r w:rsidRPr="00833EC9">
        <w:rPr>
          <w:rFonts w:ascii="Times New Roman" w:hAnsi="Times New Roman"/>
          <w:caps w:val="0"/>
        </w:rPr>
        <w:t>ederal Communications Commission</w:t>
      </w:r>
    </w:p>
    <w:p w:rsidR="004C2EE3" w:rsidRPr="00833EC9" w:rsidP="00096D8C" w14:paraId="7D449D1B" w14:textId="77777777">
      <w:pPr>
        <w:pStyle w:val="StyleBoldCentered"/>
        <w:rPr>
          <w:rFonts w:ascii="Times New Roman" w:hAnsi="Times New Roman"/>
        </w:rPr>
      </w:pPr>
      <w:r w:rsidRPr="00833EC9">
        <w:rPr>
          <w:rFonts w:ascii="Times New Roman" w:hAnsi="Times New Roman"/>
          <w:caps w:val="0"/>
        </w:rPr>
        <w:t>Washington, D.C. 20554</w:t>
      </w:r>
    </w:p>
    <w:p w:rsidR="004C2EE3" w:rsidRPr="00833EC9" w:rsidP="0070224F" w14:paraId="4C4BFD42" w14:textId="77777777">
      <w:pPr>
        <w:rPr>
          <w:szCs w:val="22"/>
        </w:rPr>
      </w:pPr>
    </w:p>
    <w:p w:rsidR="004C2EE3" w:rsidRPr="00833EC9" w:rsidP="0070224F" w14:paraId="1A3FAEE9" w14:textId="77777777">
      <w:pPr>
        <w:rPr>
          <w:szCs w:val="22"/>
        </w:rPr>
      </w:pPr>
    </w:p>
    <w:tbl>
      <w:tblPr>
        <w:tblW w:w="0" w:type="auto"/>
        <w:tblLayout w:type="fixed"/>
        <w:tblLook w:val="0000"/>
      </w:tblPr>
      <w:tblGrid>
        <w:gridCol w:w="4698"/>
        <w:gridCol w:w="630"/>
        <w:gridCol w:w="4248"/>
      </w:tblGrid>
      <w:tr w14:paraId="24E727D9" w14:textId="77777777">
        <w:tblPrEx>
          <w:tblW w:w="0" w:type="auto"/>
          <w:tblLayout w:type="fixed"/>
          <w:tblLook w:val="0000"/>
        </w:tblPrEx>
        <w:tc>
          <w:tcPr>
            <w:tcW w:w="4698" w:type="dxa"/>
          </w:tcPr>
          <w:p w:rsidR="004C2EE3" w:rsidRPr="00833EC9" w14:paraId="1825E3A2" w14:textId="77777777">
            <w:pPr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  <w:r w:rsidRPr="00833EC9">
              <w:rPr>
                <w:spacing w:val="-2"/>
                <w:szCs w:val="22"/>
              </w:rPr>
              <w:t>In the Matter of</w:t>
            </w:r>
          </w:p>
          <w:p w:rsidR="004C2EE3" w:rsidRPr="00833EC9" w14:paraId="009A802B" w14:textId="77777777">
            <w:pPr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</w:p>
          <w:p w:rsidR="008E75B0" w:rsidRPr="00833EC9" w:rsidP="00384E8A" w14:paraId="66FD25DA" w14:textId="0465CC12">
            <w:pPr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  <w:r w:rsidRPr="00DB4147">
              <w:rPr>
                <w:spacing w:val="-2"/>
                <w:szCs w:val="22"/>
              </w:rPr>
              <w:t xml:space="preserve">Petition of </w:t>
            </w:r>
            <w:r w:rsidR="00F3633C">
              <w:rPr>
                <w:spacing w:val="-2"/>
                <w:szCs w:val="22"/>
              </w:rPr>
              <w:t>Gigapower, LLC for Preemption and Declaratory Judgment Ruling Pursuant to Section 253(d) of the Communications Act of 1934</w:t>
            </w:r>
          </w:p>
        </w:tc>
        <w:tc>
          <w:tcPr>
            <w:tcW w:w="630" w:type="dxa"/>
          </w:tcPr>
          <w:p w:rsidR="004C2EE3" w:rsidRPr="00833EC9" w14:paraId="18A1FF8E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  <w:szCs w:val="22"/>
              </w:rPr>
            </w:pPr>
            <w:r w:rsidRPr="00833EC9">
              <w:rPr>
                <w:b/>
                <w:spacing w:val="-2"/>
                <w:szCs w:val="22"/>
              </w:rPr>
              <w:t>)</w:t>
            </w:r>
          </w:p>
          <w:p w:rsidR="004C2EE3" w:rsidRPr="00833EC9" w14:paraId="19D59885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  <w:szCs w:val="22"/>
              </w:rPr>
            </w:pPr>
            <w:r w:rsidRPr="00833EC9">
              <w:rPr>
                <w:b/>
                <w:spacing w:val="-2"/>
                <w:szCs w:val="22"/>
              </w:rPr>
              <w:t>)</w:t>
            </w:r>
          </w:p>
          <w:p w:rsidR="004C2EE3" w:rsidRPr="00833EC9" w14:paraId="3248E70E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  <w:szCs w:val="22"/>
              </w:rPr>
            </w:pPr>
            <w:r w:rsidRPr="00833EC9">
              <w:rPr>
                <w:b/>
                <w:spacing w:val="-2"/>
                <w:szCs w:val="22"/>
              </w:rPr>
              <w:t>)</w:t>
            </w:r>
          </w:p>
          <w:p w:rsidR="004C2EE3" w:rsidRPr="00833EC9" w14:paraId="09D48875" w14:textId="561122D7">
            <w:pPr>
              <w:tabs>
                <w:tab w:val="center" w:pos="4680"/>
              </w:tabs>
              <w:suppressAutoHyphens/>
              <w:rPr>
                <w:b/>
                <w:spacing w:val="-2"/>
                <w:szCs w:val="22"/>
              </w:rPr>
            </w:pPr>
            <w:r w:rsidRPr="00833EC9">
              <w:rPr>
                <w:b/>
                <w:spacing w:val="-2"/>
                <w:szCs w:val="22"/>
              </w:rPr>
              <w:t>)</w:t>
            </w:r>
          </w:p>
          <w:p w:rsidR="004C2EE3" w:rsidRPr="00833EC9" w:rsidP="00DB4BCD" w14:paraId="3983B2BE" w14:textId="7B74A977">
            <w:pPr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)</w:t>
            </w:r>
          </w:p>
        </w:tc>
        <w:tc>
          <w:tcPr>
            <w:tcW w:w="4248" w:type="dxa"/>
          </w:tcPr>
          <w:p w:rsidR="004C2EE3" w:rsidRPr="00833EC9" w14:paraId="0C6CEC62" w14:textId="77777777">
            <w:pPr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</w:p>
          <w:p w:rsidR="004C2EE3" w:rsidRPr="00833EC9" w14:paraId="49B51869" w14:textId="77777777">
            <w:pPr>
              <w:pStyle w:val="TOAHeading"/>
              <w:tabs>
                <w:tab w:val="center" w:pos="4680"/>
                <w:tab w:val="clear" w:pos="9360"/>
              </w:tabs>
              <w:rPr>
                <w:spacing w:val="-2"/>
                <w:szCs w:val="22"/>
              </w:rPr>
            </w:pPr>
          </w:p>
          <w:p w:rsidR="00DB4BCD" w:rsidRPr="00833EC9" w:rsidP="00384E8A" w14:paraId="2B48DA30" w14:textId="360C4E8E">
            <w:pPr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  <w:r w:rsidRPr="00833EC9">
              <w:rPr>
                <w:spacing w:val="-2"/>
                <w:szCs w:val="22"/>
              </w:rPr>
              <w:t xml:space="preserve">WC Docket No. </w:t>
            </w:r>
            <w:r w:rsidR="00DB4147">
              <w:rPr>
                <w:spacing w:val="-2"/>
                <w:szCs w:val="22"/>
              </w:rPr>
              <w:t>2</w:t>
            </w:r>
            <w:r w:rsidR="00F3633C">
              <w:rPr>
                <w:spacing w:val="-2"/>
                <w:szCs w:val="22"/>
              </w:rPr>
              <w:t>6-1</w:t>
            </w:r>
          </w:p>
        </w:tc>
      </w:tr>
    </w:tbl>
    <w:p w:rsidR="004C2EE3" w:rsidRPr="00833EC9" w:rsidP="0070224F" w14:paraId="52F08374" w14:textId="77777777">
      <w:pPr>
        <w:rPr>
          <w:szCs w:val="22"/>
        </w:rPr>
      </w:pPr>
    </w:p>
    <w:p w:rsidR="008F39AD" w:rsidRPr="00833EC9" w:rsidP="00384E8A" w14:paraId="57744B47" w14:textId="4B9A1DA5">
      <w:pPr>
        <w:pStyle w:val="StyleBoldCentered"/>
        <w:rPr>
          <w:rFonts w:ascii="Times New Roman" w:hAnsi="Times New Roman"/>
          <w:spacing w:val="-2"/>
        </w:rPr>
      </w:pPr>
      <w:r w:rsidRPr="00833EC9">
        <w:rPr>
          <w:rFonts w:ascii="Times New Roman" w:hAnsi="Times New Roman"/>
        </w:rPr>
        <w:t>ORDER</w:t>
      </w:r>
      <w:r w:rsidRPr="00833EC9" w:rsidR="005D2D4A">
        <w:rPr>
          <w:rFonts w:ascii="Times New Roman" w:hAnsi="Times New Roman"/>
        </w:rPr>
        <w:t xml:space="preserve"> Granting </w:t>
      </w:r>
      <w:r w:rsidRPr="00833EC9" w:rsidR="0088221B">
        <w:rPr>
          <w:rFonts w:ascii="Times New Roman" w:hAnsi="Times New Roman"/>
        </w:rPr>
        <w:t>extension of time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5"/>
        <w:gridCol w:w="5845"/>
      </w:tblGrid>
      <w:tr w14:paraId="6A668DA0" w14:textId="77777777" w:rsidTr="1D4652CE">
        <w:tblPrEx>
          <w:tblW w:w="0" w:type="auto"/>
          <w:tblInd w:w="-95" w:type="dxa"/>
          <w:tblLook w:val="04A0"/>
        </w:tblPrEx>
        <w:tc>
          <w:tcPr>
            <w:tcW w:w="3505" w:type="dxa"/>
          </w:tcPr>
          <w:p w:rsidR="00D748E0" w:rsidRPr="00833EC9" w:rsidP="00133F79" w14:paraId="2378D43D" w14:textId="4D3CB1F2">
            <w:pPr>
              <w:tabs>
                <w:tab w:val="left" w:pos="720"/>
                <w:tab w:val="right" w:pos="9360"/>
              </w:tabs>
              <w:suppressAutoHyphens/>
              <w:spacing w:line="227" w:lineRule="auto"/>
              <w:rPr>
                <w:b/>
                <w:spacing w:val="-2"/>
                <w:szCs w:val="22"/>
              </w:rPr>
            </w:pPr>
          </w:p>
        </w:tc>
        <w:tc>
          <w:tcPr>
            <w:tcW w:w="5845" w:type="dxa"/>
          </w:tcPr>
          <w:p w:rsidR="00D748E0" w:rsidRPr="00833EC9" w:rsidP="00133F79" w14:paraId="6D72DBC9" w14:textId="42302D0A">
            <w:pPr>
              <w:tabs>
                <w:tab w:val="left" w:pos="720"/>
                <w:tab w:val="right" w:pos="9360"/>
              </w:tabs>
              <w:suppressAutoHyphens/>
              <w:spacing w:line="227" w:lineRule="auto"/>
              <w:rPr>
                <w:b/>
                <w:spacing w:val="-2"/>
                <w:szCs w:val="22"/>
              </w:rPr>
            </w:pPr>
          </w:p>
        </w:tc>
      </w:tr>
    </w:tbl>
    <w:p w:rsidR="004C2EE3" w:rsidRPr="00833EC9" w:rsidP="00133F79" w14:paraId="4F5B7907" w14:textId="12A933F5">
      <w:pPr>
        <w:tabs>
          <w:tab w:val="left" w:pos="720"/>
          <w:tab w:val="right" w:pos="9360"/>
        </w:tabs>
        <w:suppressAutoHyphens/>
        <w:spacing w:line="227" w:lineRule="auto"/>
        <w:rPr>
          <w:spacing w:val="-2"/>
          <w:szCs w:val="22"/>
        </w:rPr>
      </w:pPr>
      <w:r w:rsidRPr="00833EC9">
        <w:rPr>
          <w:b/>
          <w:spacing w:val="-2"/>
          <w:szCs w:val="22"/>
        </w:rPr>
        <w:t xml:space="preserve">Adopted:  </w:t>
      </w:r>
      <w:r w:rsidR="00F3633C">
        <w:rPr>
          <w:b/>
          <w:spacing w:val="-2"/>
          <w:szCs w:val="22"/>
        </w:rPr>
        <w:t>February</w:t>
      </w:r>
      <w:r w:rsidRPr="00833EC9" w:rsidR="00F3633C">
        <w:rPr>
          <w:b/>
          <w:spacing w:val="-2"/>
          <w:szCs w:val="22"/>
        </w:rPr>
        <w:t xml:space="preserve"> </w:t>
      </w:r>
      <w:r w:rsidR="008D3E57">
        <w:rPr>
          <w:b/>
          <w:spacing w:val="-2"/>
          <w:szCs w:val="22"/>
        </w:rPr>
        <w:t>2</w:t>
      </w:r>
      <w:r w:rsidRPr="00833EC9" w:rsidR="007311D7">
        <w:rPr>
          <w:b/>
          <w:spacing w:val="-2"/>
          <w:szCs w:val="22"/>
        </w:rPr>
        <w:t>, 202</w:t>
      </w:r>
      <w:r w:rsidR="00F3633C">
        <w:rPr>
          <w:b/>
          <w:spacing w:val="-2"/>
          <w:szCs w:val="22"/>
        </w:rPr>
        <w:t>6</w:t>
      </w:r>
      <w:r w:rsidRPr="00833EC9">
        <w:rPr>
          <w:b/>
          <w:spacing w:val="-2"/>
          <w:szCs w:val="22"/>
        </w:rPr>
        <w:tab/>
      </w:r>
      <w:r w:rsidRPr="00833EC9" w:rsidR="00822CE0">
        <w:rPr>
          <w:b/>
          <w:spacing w:val="-2"/>
          <w:szCs w:val="22"/>
        </w:rPr>
        <w:t>Released</w:t>
      </w:r>
      <w:r w:rsidRPr="00833EC9">
        <w:rPr>
          <w:b/>
          <w:spacing w:val="-2"/>
          <w:szCs w:val="22"/>
        </w:rPr>
        <w:t>:</w:t>
      </w:r>
      <w:r w:rsidRPr="00833EC9" w:rsidR="00822CE0">
        <w:rPr>
          <w:b/>
          <w:spacing w:val="-2"/>
          <w:szCs w:val="22"/>
        </w:rPr>
        <w:t xml:space="preserve"> </w:t>
      </w:r>
      <w:r w:rsidRPr="00833EC9">
        <w:rPr>
          <w:b/>
          <w:spacing w:val="-2"/>
          <w:szCs w:val="22"/>
        </w:rPr>
        <w:t xml:space="preserve"> </w:t>
      </w:r>
      <w:r w:rsidR="00F3633C">
        <w:rPr>
          <w:b/>
          <w:spacing w:val="-2"/>
          <w:szCs w:val="22"/>
        </w:rPr>
        <w:t>February</w:t>
      </w:r>
      <w:r w:rsidRPr="00833EC9" w:rsidR="00F3633C">
        <w:rPr>
          <w:b/>
          <w:spacing w:val="-2"/>
          <w:szCs w:val="22"/>
        </w:rPr>
        <w:t xml:space="preserve"> </w:t>
      </w:r>
      <w:r w:rsidR="008D3E57">
        <w:rPr>
          <w:b/>
          <w:spacing w:val="-2"/>
          <w:szCs w:val="22"/>
        </w:rPr>
        <w:t>2</w:t>
      </w:r>
      <w:r w:rsidRPr="00833EC9" w:rsidR="007311D7">
        <w:rPr>
          <w:b/>
          <w:spacing w:val="-2"/>
          <w:szCs w:val="22"/>
        </w:rPr>
        <w:t>, 202</w:t>
      </w:r>
      <w:r w:rsidR="00F3633C">
        <w:rPr>
          <w:b/>
          <w:spacing w:val="-2"/>
          <w:szCs w:val="22"/>
        </w:rPr>
        <w:t>6</w:t>
      </w:r>
    </w:p>
    <w:p w:rsidR="00822CE0" w14:paraId="033EE846" w14:textId="381D5E94">
      <w:pPr>
        <w:rPr>
          <w:szCs w:val="22"/>
        </w:rPr>
      </w:pPr>
    </w:p>
    <w:p w:rsidR="007E334D" w14:paraId="40F10978" w14:textId="15177C9C">
      <w:pPr>
        <w:rPr>
          <w:b/>
          <w:spacing w:val="-2"/>
          <w:szCs w:val="22"/>
        </w:rPr>
      </w:pPr>
      <w:r w:rsidRPr="00833EC9">
        <w:rPr>
          <w:b/>
          <w:spacing w:val="-2"/>
          <w:szCs w:val="22"/>
        </w:rPr>
        <w:t>Comment Date:</w:t>
      </w:r>
      <w:r>
        <w:rPr>
          <w:b/>
          <w:spacing w:val="-2"/>
          <w:szCs w:val="22"/>
        </w:rPr>
        <w:t xml:space="preserve"> </w:t>
      </w:r>
      <w:r w:rsidR="00C43497">
        <w:rPr>
          <w:b/>
          <w:spacing w:val="-2"/>
          <w:szCs w:val="22"/>
        </w:rPr>
        <w:t xml:space="preserve"> </w:t>
      </w:r>
      <w:r w:rsidR="00F3633C">
        <w:rPr>
          <w:b/>
          <w:spacing w:val="-2"/>
          <w:szCs w:val="22"/>
        </w:rPr>
        <w:t>April 6</w:t>
      </w:r>
      <w:r>
        <w:rPr>
          <w:b/>
          <w:spacing w:val="-2"/>
          <w:szCs w:val="22"/>
        </w:rPr>
        <w:t>, 202</w:t>
      </w:r>
      <w:r w:rsidR="00F3633C">
        <w:rPr>
          <w:b/>
          <w:spacing w:val="-2"/>
          <w:szCs w:val="22"/>
        </w:rPr>
        <w:t>6</w:t>
      </w:r>
    </w:p>
    <w:p w:rsidR="00DB4147" w14:paraId="7A2C50E0" w14:textId="3BBAA822">
      <w:pPr>
        <w:rPr>
          <w:b/>
          <w:spacing w:val="-2"/>
          <w:szCs w:val="22"/>
        </w:rPr>
      </w:pPr>
      <w:r>
        <w:rPr>
          <w:b/>
          <w:spacing w:val="-2"/>
          <w:szCs w:val="22"/>
        </w:rPr>
        <w:t xml:space="preserve">Reply Comment Date:  </w:t>
      </w:r>
      <w:r w:rsidR="00F3633C">
        <w:rPr>
          <w:b/>
          <w:spacing w:val="-2"/>
          <w:szCs w:val="22"/>
        </w:rPr>
        <w:t>May 6</w:t>
      </w:r>
      <w:r>
        <w:rPr>
          <w:b/>
          <w:spacing w:val="-2"/>
          <w:szCs w:val="22"/>
        </w:rPr>
        <w:t>, 202</w:t>
      </w:r>
      <w:r w:rsidR="00F3633C">
        <w:rPr>
          <w:b/>
          <w:spacing w:val="-2"/>
          <w:szCs w:val="22"/>
        </w:rPr>
        <w:t>6</w:t>
      </w:r>
    </w:p>
    <w:p w:rsidR="00D1657C" w:rsidRPr="00833EC9" w14:paraId="0045E8C5" w14:textId="77777777">
      <w:pPr>
        <w:rPr>
          <w:szCs w:val="22"/>
        </w:rPr>
      </w:pPr>
    </w:p>
    <w:p w:rsidR="004C2EE3" w:rsidRPr="00833EC9" w14:paraId="1F61857F" w14:textId="0FC87DC3">
      <w:pPr>
        <w:rPr>
          <w:szCs w:val="22"/>
        </w:rPr>
      </w:pPr>
      <w:r w:rsidRPr="00833EC9">
        <w:rPr>
          <w:szCs w:val="22"/>
        </w:rPr>
        <w:t xml:space="preserve">By </w:t>
      </w:r>
      <w:r w:rsidRPr="00833EC9" w:rsidR="6E14E265">
        <w:rPr>
          <w:szCs w:val="22"/>
        </w:rPr>
        <w:t>the</w:t>
      </w:r>
      <w:r w:rsidRPr="00833EC9" w:rsidR="0676AFBE">
        <w:rPr>
          <w:szCs w:val="22"/>
        </w:rPr>
        <w:t xml:space="preserve"> </w:t>
      </w:r>
      <w:r w:rsidRPr="00833EC9" w:rsidR="220A1219">
        <w:rPr>
          <w:szCs w:val="22"/>
        </w:rPr>
        <w:t>Ch</w:t>
      </w:r>
      <w:r w:rsidRPr="00833EC9" w:rsidR="00384E8A">
        <w:rPr>
          <w:szCs w:val="22"/>
        </w:rPr>
        <w:t>ief</w:t>
      </w:r>
      <w:r w:rsidRPr="00833EC9" w:rsidR="11A9686D">
        <w:rPr>
          <w:szCs w:val="22"/>
        </w:rPr>
        <w:t xml:space="preserve">, </w:t>
      </w:r>
      <w:r w:rsidRPr="00833EC9" w:rsidR="00384E8A">
        <w:rPr>
          <w:szCs w:val="22"/>
        </w:rPr>
        <w:t>Wireline Competition Bureau</w:t>
      </w:r>
    </w:p>
    <w:p w:rsidR="00822CE0" w:rsidRPr="00833EC9" w14:paraId="7B4B183A" w14:textId="77777777">
      <w:pPr>
        <w:rPr>
          <w:spacing w:val="-2"/>
          <w:szCs w:val="22"/>
        </w:rPr>
      </w:pPr>
    </w:p>
    <w:p w:rsidR="792F4D9D" w:rsidRPr="00833EC9" w:rsidP="1D4652CE" w14:paraId="0AED57AB" w14:textId="3C1ED5D9">
      <w:pPr>
        <w:pStyle w:val="ListParagraph"/>
        <w:numPr>
          <w:ilvl w:val="0"/>
          <w:numId w:val="8"/>
        </w:numPr>
        <w:spacing w:after="240"/>
        <w:ind w:left="0" w:firstLine="720"/>
        <w:rPr>
          <w:szCs w:val="22"/>
        </w:rPr>
      </w:pPr>
      <w:r w:rsidRPr="00833EC9">
        <w:rPr>
          <w:szCs w:val="22"/>
        </w:rPr>
        <w:t xml:space="preserve">By </w:t>
      </w:r>
      <w:r w:rsidRPr="00833EC9" w:rsidR="004F41A5">
        <w:rPr>
          <w:szCs w:val="22"/>
        </w:rPr>
        <w:t xml:space="preserve">this Order, the </w:t>
      </w:r>
      <w:r w:rsidRPr="00833EC9">
        <w:rPr>
          <w:szCs w:val="22"/>
        </w:rPr>
        <w:t xml:space="preserve">Wireline Competition </w:t>
      </w:r>
      <w:r w:rsidR="007E334D">
        <w:rPr>
          <w:szCs w:val="22"/>
        </w:rPr>
        <w:t xml:space="preserve">Bureau </w:t>
      </w:r>
      <w:r w:rsidR="007D7D0D">
        <w:rPr>
          <w:szCs w:val="22"/>
        </w:rPr>
        <w:t>(</w:t>
      </w:r>
      <w:r w:rsidR="00EB37CC">
        <w:rPr>
          <w:szCs w:val="22"/>
        </w:rPr>
        <w:t>Bureau</w:t>
      </w:r>
      <w:r w:rsidR="007D7D0D">
        <w:rPr>
          <w:szCs w:val="22"/>
        </w:rPr>
        <w:t xml:space="preserve">) </w:t>
      </w:r>
      <w:r w:rsidRPr="00833EC9" w:rsidR="004F41A5">
        <w:rPr>
          <w:szCs w:val="22"/>
        </w:rPr>
        <w:t>grant</w:t>
      </w:r>
      <w:r w:rsidRPr="00833EC9">
        <w:rPr>
          <w:szCs w:val="22"/>
        </w:rPr>
        <w:t>s</w:t>
      </w:r>
      <w:r w:rsidRPr="00833EC9" w:rsidR="004F41A5">
        <w:rPr>
          <w:szCs w:val="22"/>
        </w:rPr>
        <w:t xml:space="preserve"> a </w:t>
      </w:r>
      <w:r w:rsidR="00361014">
        <w:rPr>
          <w:szCs w:val="22"/>
        </w:rPr>
        <w:t>j</w:t>
      </w:r>
      <w:r w:rsidR="00DB4147">
        <w:rPr>
          <w:szCs w:val="22"/>
        </w:rPr>
        <w:t xml:space="preserve">oint </w:t>
      </w:r>
      <w:r w:rsidR="00361014">
        <w:rPr>
          <w:szCs w:val="22"/>
        </w:rPr>
        <w:t>m</w:t>
      </w:r>
      <w:r w:rsidR="00F3633C">
        <w:rPr>
          <w:szCs w:val="22"/>
        </w:rPr>
        <w:t>otion</w:t>
      </w:r>
      <w:r w:rsidRPr="00833EC9" w:rsidR="004F41A5">
        <w:rPr>
          <w:szCs w:val="22"/>
        </w:rPr>
        <w:t xml:space="preserve"> filed by</w:t>
      </w:r>
      <w:r w:rsidR="00DB4147">
        <w:rPr>
          <w:szCs w:val="22"/>
        </w:rPr>
        <w:t xml:space="preserve"> </w:t>
      </w:r>
      <w:r w:rsidR="00F3633C">
        <w:rPr>
          <w:szCs w:val="22"/>
        </w:rPr>
        <w:t>Gigapower, LLC</w:t>
      </w:r>
      <w:r w:rsidRPr="00DB4147" w:rsidR="00DB4147">
        <w:rPr>
          <w:szCs w:val="22"/>
        </w:rPr>
        <w:t xml:space="preserve"> (“</w:t>
      </w:r>
      <w:r w:rsidR="00F3633C">
        <w:rPr>
          <w:szCs w:val="22"/>
        </w:rPr>
        <w:t>Gigapower</w:t>
      </w:r>
      <w:r w:rsidRPr="00DB4147" w:rsidR="00DB4147">
        <w:rPr>
          <w:szCs w:val="22"/>
        </w:rPr>
        <w:t xml:space="preserve">”) and </w:t>
      </w:r>
      <w:r w:rsidR="00DB4147">
        <w:rPr>
          <w:szCs w:val="22"/>
        </w:rPr>
        <w:t>the</w:t>
      </w:r>
      <w:r w:rsidRPr="00DB4147" w:rsidR="00DB4147">
        <w:rPr>
          <w:szCs w:val="22"/>
        </w:rPr>
        <w:t xml:space="preserve"> </w:t>
      </w:r>
      <w:r w:rsidR="00DB4147">
        <w:rPr>
          <w:szCs w:val="22"/>
        </w:rPr>
        <w:t>c</w:t>
      </w:r>
      <w:r w:rsidRPr="00DB4147" w:rsidR="00DB4147">
        <w:rPr>
          <w:szCs w:val="22"/>
        </w:rPr>
        <w:t xml:space="preserve">ity of </w:t>
      </w:r>
      <w:r w:rsidR="00F3633C">
        <w:rPr>
          <w:szCs w:val="22"/>
        </w:rPr>
        <w:t>Rock Hill, South Carolina</w:t>
      </w:r>
      <w:r w:rsidRPr="00DB4147" w:rsidR="00DB4147">
        <w:rPr>
          <w:szCs w:val="22"/>
        </w:rPr>
        <w:t xml:space="preserve"> (“City”)</w:t>
      </w:r>
      <w:r w:rsidR="009D3347">
        <w:rPr>
          <w:szCs w:val="22"/>
        </w:rPr>
        <w:t xml:space="preserve"> (collectively, the “parties”)</w:t>
      </w:r>
      <w:r w:rsidRPr="00833EC9" w:rsidR="004F41A5">
        <w:rPr>
          <w:szCs w:val="22"/>
        </w:rPr>
        <w:t xml:space="preserve"> </w:t>
      </w:r>
      <w:r w:rsidR="00DB4147">
        <w:rPr>
          <w:szCs w:val="22"/>
        </w:rPr>
        <w:t>to extend the comment and reply comment deadlines in the above-captioned proceeding</w:t>
      </w:r>
      <w:r w:rsidRPr="00833EC9" w:rsidR="4AFA50DD">
        <w:rPr>
          <w:szCs w:val="22"/>
        </w:rPr>
        <w:t>.</w:t>
      </w:r>
      <w:r>
        <w:rPr>
          <w:rStyle w:val="FootnoteReference"/>
          <w:sz w:val="22"/>
          <w:szCs w:val="22"/>
        </w:rPr>
        <w:footnoteReference w:id="3"/>
      </w:r>
      <w:r w:rsidRPr="00833EC9" w:rsidR="6A301D5A">
        <w:rPr>
          <w:szCs w:val="22"/>
        </w:rPr>
        <w:t xml:space="preserve">  For the reasons stated below, </w:t>
      </w:r>
      <w:r w:rsidR="00EB37CC">
        <w:rPr>
          <w:szCs w:val="22"/>
        </w:rPr>
        <w:t>the Bureau</w:t>
      </w:r>
      <w:r w:rsidR="007D7D0D">
        <w:rPr>
          <w:szCs w:val="22"/>
        </w:rPr>
        <w:t xml:space="preserve"> </w:t>
      </w:r>
      <w:r w:rsidRPr="00833EC9" w:rsidR="6A301D5A">
        <w:rPr>
          <w:szCs w:val="22"/>
        </w:rPr>
        <w:t>find</w:t>
      </w:r>
      <w:r w:rsidR="007D7D0D">
        <w:rPr>
          <w:szCs w:val="22"/>
        </w:rPr>
        <w:t>s</w:t>
      </w:r>
      <w:r w:rsidRPr="00833EC9" w:rsidR="6A301D5A">
        <w:rPr>
          <w:szCs w:val="22"/>
        </w:rPr>
        <w:t xml:space="preserve"> that a</w:t>
      </w:r>
      <w:r w:rsidRPr="00833EC9" w:rsidR="007D5E93">
        <w:rPr>
          <w:szCs w:val="22"/>
        </w:rPr>
        <w:t xml:space="preserve"> limited </w:t>
      </w:r>
      <w:r w:rsidRPr="00833EC9" w:rsidR="6A301D5A">
        <w:rPr>
          <w:szCs w:val="22"/>
        </w:rPr>
        <w:t>extension of time is war</w:t>
      </w:r>
      <w:r w:rsidRPr="00833EC9" w:rsidR="7F18E23D">
        <w:rPr>
          <w:szCs w:val="22"/>
        </w:rPr>
        <w:t>ranted and extend</w:t>
      </w:r>
      <w:r w:rsidR="009F4DDD">
        <w:rPr>
          <w:szCs w:val="22"/>
        </w:rPr>
        <w:t>s</w:t>
      </w:r>
      <w:r w:rsidRPr="00833EC9" w:rsidR="7F18E23D">
        <w:rPr>
          <w:szCs w:val="22"/>
        </w:rPr>
        <w:t xml:space="preserve"> the</w:t>
      </w:r>
      <w:r w:rsidR="00DB4147">
        <w:rPr>
          <w:szCs w:val="22"/>
        </w:rPr>
        <w:t xml:space="preserve"> comment date to </w:t>
      </w:r>
      <w:r w:rsidR="00F3633C">
        <w:rPr>
          <w:szCs w:val="22"/>
        </w:rPr>
        <w:t>April 6</w:t>
      </w:r>
      <w:r w:rsidR="00DB4147">
        <w:rPr>
          <w:szCs w:val="22"/>
        </w:rPr>
        <w:t>, 202</w:t>
      </w:r>
      <w:r w:rsidR="00F3633C">
        <w:rPr>
          <w:szCs w:val="22"/>
        </w:rPr>
        <w:t>6</w:t>
      </w:r>
      <w:r w:rsidR="00DB4147">
        <w:rPr>
          <w:szCs w:val="22"/>
        </w:rPr>
        <w:t xml:space="preserve"> and the </w:t>
      </w:r>
      <w:r w:rsidRPr="00833EC9" w:rsidR="00FE1969">
        <w:rPr>
          <w:szCs w:val="22"/>
        </w:rPr>
        <w:t xml:space="preserve">reply comment </w:t>
      </w:r>
      <w:r w:rsidRPr="00833EC9" w:rsidR="00C3284C">
        <w:rPr>
          <w:szCs w:val="22"/>
        </w:rPr>
        <w:t>date</w:t>
      </w:r>
      <w:r w:rsidRPr="00833EC9" w:rsidR="004F41A5">
        <w:rPr>
          <w:szCs w:val="22"/>
        </w:rPr>
        <w:t xml:space="preserve"> to </w:t>
      </w:r>
      <w:r w:rsidR="00F3633C">
        <w:rPr>
          <w:szCs w:val="22"/>
        </w:rPr>
        <w:t>May 6</w:t>
      </w:r>
      <w:r w:rsidRPr="00833EC9" w:rsidR="004F41A5">
        <w:rPr>
          <w:szCs w:val="22"/>
        </w:rPr>
        <w:t>, 202</w:t>
      </w:r>
      <w:r w:rsidR="00F3633C">
        <w:rPr>
          <w:szCs w:val="22"/>
        </w:rPr>
        <w:t>6</w:t>
      </w:r>
      <w:r w:rsidRPr="00833EC9" w:rsidR="7F18E23D">
        <w:rPr>
          <w:szCs w:val="22"/>
        </w:rPr>
        <w:t>.</w:t>
      </w:r>
    </w:p>
    <w:p w:rsidR="00080627" w:rsidRPr="00833EC9" w:rsidP="00080627" w14:paraId="4E48F27E" w14:textId="77777777">
      <w:pPr>
        <w:pStyle w:val="ListParagraph"/>
        <w:spacing w:after="240"/>
        <w:rPr>
          <w:szCs w:val="22"/>
        </w:rPr>
      </w:pPr>
    </w:p>
    <w:p w:rsidR="00967868" w:rsidRPr="00503F31" w:rsidP="00503F31" w14:paraId="5F8BAE87" w14:textId="08DD6FF7">
      <w:pPr>
        <w:pStyle w:val="ListParagraph"/>
        <w:numPr>
          <w:ilvl w:val="0"/>
          <w:numId w:val="8"/>
        </w:numPr>
        <w:spacing w:after="240"/>
        <w:ind w:left="0" w:firstLine="720"/>
        <w:contextualSpacing w:val="0"/>
        <w:rPr>
          <w:szCs w:val="22"/>
        </w:rPr>
      </w:pPr>
      <w:r w:rsidRPr="00833EC9">
        <w:rPr>
          <w:szCs w:val="22"/>
        </w:rPr>
        <w:t xml:space="preserve">On </w:t>
      </w:r>
      <w:r w:rsidR="00F3633C">
        <w:rPr>
          <w:szCs w:val="22"/>
        </w:rPr>
        <w:t>January 5, 2026</w:t>
      </w:r>
      <w:r w:rsidRPr="00833EC9">
        <w:rPr>
          <w:szCs w:val="22"/>
        </w:rPr>
        <w:t xml:space="preserve">, </w:t>
      </w:r>
      <w:r w:rsidR="00EB37CC">
        <w:rPr>
          <w:szCs w:val="22"/>
        </w:rPr>
        <w:t>the Bureau</w:t>
      </w:r>
      <w:r w:rsidR="007D7D0D">
        <w:rPr>
          <w:szCs w:val="22"/>
        </w:rPr>
        <w:t xml:space="preserve"> </w:t>
      </w:r>
      <w:r w:rsidRPr="00833EC9">
        <w:rPr>
          <w:szCs w:val="22"/>
        </w:rPr>
        <w:t>released a</w:t>
      </w:r>
      <w:r w:rsidRPr="00833EC9" w:rsidR="00F1154A">
        <w:rPr>
          <w:szCs w:val="22"/>
        </w:rPr>
        <w:t xml:space="preserve"> </w:t>
      </w:r>
      <w:r w:rsidRPr="00C03DFF" w:rsidR="00F1154A">
        <w:rPr>
          <w:szCs w:val="22"/>
        </w:rPr>
        <w:t>Public Notice</w:t>
      </w:r>
      <w:r>
        <w:rPr>
          <w:rStyle w:val="FootnoteReference"/>
          <w:szCs w:val="22"/>
        </w:rPr>
        <w:footnoteReference w:id="4"/>
      </w:r>
      <w:r w:rsidRPr="00833EC9">
        <w:rPr>
          <w:szCs w:val="22"/>
        </w:rPr>
        <w:t xml:space="preserve"> </w:t>
      </w:r>
      <w:r w:rsidRPr="00833EC9" w:rsidR="009B794B">
        <w:rPr>
          <w:szCs w:val="22"/>
        </w:rPr>
        <w:t xml:space="preserve">seeking </w:t>
      </w:r>
      <w:r w:rsidRPr="00833EC9">
        <w:rPr>
          <w:szCs w:val="22"/>
        </w:rPr>
        <w:t xml:space="preserve">comment on </w:t>
      </w:r>
      <w:r w:rsidRPr="00833EC9" w:rsidR="009B794B">
        <w:rPr>
          <w:szCs w:val="22"/>
        </w:rPr>
        <w:t xml:space="preserve">a </w:t>
      </w:r>
      <w:r w:rsidR="00633EB7">
        <w:rPr>
          <w:szCs w:val="22"/>
        </w:rPr>
        <w:t>p</w:t>
      </w:r>
      <w:r w:rsidRPr="00833EC9" w:rsidR="003050FC">
        <w:rPr>
          <w:szCs w:val="22"/>
        </w:rPr>
        <w:t xml:space="preserve">etition </w:t>
      </w:r>
      <w:r w:rsidRPr="00833EC9" w:rsidR="009B794B">
        <w:rPr>
          <w:szCs w:val="22"/>
        </w:rPr>
        <w:t>for</w:t>
      </w:r>
      <w:r w:rsidR="00F3633C">
        <w:rPr>
          <w:szCs w:val="22"/>
        </w:rPr>
        <w:t xml:space="preserve"> </w:t>
      </w:r>
      <w:r w:rsidR="00633EB7">
        <w:rPr>
          <w:szCs w:val="22"/>
        </w:rPr>
        <w:t>p</w:t>
      </w:r>
      <w:r w:rsidR="00F3633C">
        <w:rPr>
          <w:szCs w:val="22"/>
        </w:rPr>
        <w:t>reemption and</w:t>
      </w:r>
      <w:r w:rsidRPr="00833EC9" w:rsidR="009B794B">
        <w:rPr>
          <w:szCs w:val="22"/>
        </w:rPr>
        <w:t xml:space="preserve"> </w:t>
      </w:r>
      <w:r w:rsidR="00633EB7">
        <w:rPr>
          <w:szCs w:val="22"/>
        </w:rPr>
        <w:t>d</w:t>
      </w:r>
      <w:r w:rsidRPr="00833EC9" w:rsidR="003050FC">
        <w:rPr>
          <w:szCs w:val="22"/>
        </w:rPr>
        <w:t xml:space="preserve">eclaratory </w:t>
      </w:r>
      <w:r w:rsidR="00633EB7">
        <w:rPr>
          <w:szCs w:val="22"/>
        </w:rPr>
        <w:t>r</w:t>
      </w:r>
      <w:r w:rsidRPr="00833EC9" w:rsidR="003050FC">
        <w:rPr>
          <w:szCs w:val="22"/>
        </w:rPr>
        <w:t xml:space="preserve">uling </w:t>
      </w:r>
      <w:r w:rsidRPr="00833EC9" w:rsidR="009B794B">
        <w:rPr>
          <w:szCs w:val="22"/>
        </w:rPr>
        <w:t xml:space="preserve">filed by </w:t>
      </w:r>
      <w:r w:rsidR="00334342">
        <w:rPr>
          <w:szCs w:val="22"/>
        </w:rPr>
        <w:t>Gigapower</w:t>
      </w:r>
      <w:r>
        <w:rPr>
          <w:rStyle w:val="FootnoteReference"/>
          <w:szCs w:val="22"/>
        </w:rPr>
        <w:footnoteReference w:id="5"/>
      </w:r>
      <w:r w:rsidRPr="00833EC9" w:rsidR="009B794B">
        <w:rPr>
          <w:szCs w:val="22"/>
        </w:rPr>
        <w:t xml:space="preserve"> asking the Commission to</w:t>
      </w:r>
      <w:r w:rsidR="00334342">
        <w:rPr>
          <w:szCs w:val="22"/>
        </w:rPr>
        <w:t xml:space="preserve"> preempt </w:t>
      </w:r>
      <w:r w:rsidR="00953ED4">
        <w:rPr>
          <w:szCs w:val="22"/>
        </w:rPr>
        <w:t xml:space="preserve">the City’s implementation of </w:t>
      </w:r>
      <w:r w:rsidR="00503F31">
        <w:rPr>
          <w:szCs w:val="22"/>
        </w:rPr>
        <w:t xml:space="preserve">a contract with another provider in a manner that Gigapower argues has </w:t>
      </w:r>
      <w:r w:rsidR="00D92503">
        <w:rPr>
          <w:szCs w:val="22"/>
        </w:rPr>
        <w:t>the effect of prohibiting its</w:t>
      </w:r>
      <w:r w:rsidR="00503F31">
        <w:rPr>
          <w:szCs w:val="22"/>
        </w:rPr>
        <w:t xml:space="preserve"> ability to provide telecommunications services in violation of section 253 of the Communications Act.</w:t>
      </w:r>
      <w:r>
        <w:rPr>
          <w:rStyle w:val="FootnoteReference"/>
          <w:szCs w:val="22"/>
        </w:rPr>
        <w:footnoteReference w:id="6"/>
      </w:r>
      <w:r w:rsidR="00503F31">
        <w:rPr>
          <w:szCs w:val="22"/>
        </w:rPr>
        <w:t xml:space="preserve">  </w:t>
      </w:r>
      <w:r w:rsidRPr="00503F31" w:rsidR="00CF1FE5">
        <w:rPr>
          <w:szCs w:val="22"/>
        </w:rPr>
        <w:t>The Public Notice set</w:t>
      </w:r>
      <w:r w:rsidRPr="00503F31" w:rsidR="009A5B3E">
        <w:rPr>
          <w:szCs w:val="22"/>
        </w:rPr>
        <w:t xml:space="preserve"> </w:t>
      </w:r>
      <w:r w:rsidRPr="00503F31" w:rsidR="00633EB7">
        <w:rPr>
          <w:szCs w:val="22"/>
        </w:rPr>
        <w:t>February 4</w:t>
      </w:r>
      <w:r w:rsidRPr="00503F31" w:rsidR="00B07A94">
        <w:rPr>
          <w:szCs w:val="22"/>
        </w:rPr>
        <w:t>, 202</w:t>
      </w:r>
      <w:r w:rsidRPr="00503F31" w:rsidR="00633EB7">
        <w:rPr>
          <w:szCs w:val="22"/>
        </w:rPr>
        <w:t>6</w:t>
      </w:r>
      <w:r w:rsidRPr="00503F31" w:rsidR="00B07A94">
        <w:rPr>
          <w:szCs w:val="22"/>
        </w:rPr>
        <w:t xml:space="preserve"> as the </w:t>
      </w:r>
      <w:r w:rsidRPr="00503F31" w:rsidR="009A5B3E">
        <w:rPr>
          <w:szCs w:val="22"/>
        </w:rPr>
        <w:t>deadline for filing comments a</w:t>
      </w:r>
      <w:r w:rsidRPr="00503F31" w:rsidR="00B07A94">
        <w:rPr>
          <w:szCs w:val="22"/>
        </w:rPr>
        <w:t xml:space="preserve">nd </w:t>
      </w:r>
      <w:r w:rsidRPr="00503F31" w:rsidR="00633EB7">
        <w:rPr>
          <w:szCs w:val="22"/>
        </w:rPr>
        <w:t>March 6, 2026</w:t>
      </w:r>
      <w:r w:rsidRPr="00503F31" w:rsidR="00B07A94">
        <w:rPr>
          <w:szCs w:val="22"/>
        </w:rPr>
        <w:t xml:space="preserve"> as the deadline for filing</w:t>
      </w:r>
      <w:r w:rsidRPr="00503F31" w:rsidR="009A5B3E">
        <w:rPr>
          <w:szCs w:val="22"/>
        </w:rPr>
        <w:t xml:space="preserve"> reply comments</w:t>
      </w:r>
      <w:r w:rsidRPr="00503F31" w:rsidR="00CF1FE5">
        <w:rPr>
          <w:szCs w:val="22"/>
        </w:rPr>
        <w:t>.</w:t>
      </w:r>
      <w:r>
        <w:rPr>
          <w:rStyle w:val="FootnoteReference"/>
          <w:szCs w:val="22"/>
        </w:rPr>
        <w:footnoteReference w:id="7"/>
      </w:r>
    </w:p>
    <w:p w:rsidR="00967868" w:rsidRPr="00C03DFF" w:rsidP="00C03DFF" w14:paraId="0CB35A52" w14:textId="0208DFD1">
      <w:pPr>
        <w:pStyle w:val="ListParagraph"/>
        <w:numPr>
          <w:ilvl w:val="0"/>
          <w:numId w:val="8"/>
        </w:numPr>
        <w:spacing w:after="240"/>
        <w:ind w:left="0" w:firstLine="720"/>
        <w:contextualSpacing w:val="0"/>
        <w:rPr>
          <w:szCs w:val="22"/>
        </w:rPr>
      </w:pPr>
      <w:r w:rsidRPr="007E334D">
        <w:rPr>
          <w:szCs w:val="22"/>
        </w:rPr>
        <w:t xml:space="preserve">On </w:t>
      </w:r>
      <w:r w:rsidR="00633EB7">
        <w:rPr>
          <w:szCs w:val="22"/>
        </w:rPr>
        <w:t>January 28</w:t>
      </w:r>
      <w:r w:rsidRPr="007E334D">
        <w:rPr>
          <w:szCs w:val="22"/>
        </w:rPr>
        <w:t>, 202</w:t>
      </w:r>
      <w:r w:rsidR="00633EB7">
        <w:rPr>
          <w:szCs w:val="22"/>
        </w:rPr>
        <w:t>6</w:t>
      </w:r>
      <w:r w:rsidRPr="007E334D">
        <w:rPr>
          <w:szCs w:val="22"/>
        </w:rPr>
        <w:t xml:space="preserve">, </w:t>
      </w:r>
      <w:r w:rsidR="00633EB7">
        <w:rPr>
          <w:szCs w:val="22"/>
        </w:rPr>
        <w:t xml:space="preserve">Gigapower </w:t>
      </w:r>
      <w:r w:rsidR="009D3347">
        <w:rPr>
          <w:szCs w:val="22"/>
        </w:rPr>
        <w:t>and the City</w:t>
      </w:r>
      <w:r w:rsidRPr="007E334D" w:rsidR="000B542A">
        <w:rPr>
          <w:szCs w:val="22"/>
        </w:rPr>
        <w:t xml:space="preserve"> </w:t>
      </w:r>
      <w:r w:rsidRPr="007E334D">
        <w:rPr>
          <w:szCs w:val="22"/>
        </w:rPr>
        <w:t xml:space="preserve">filed </w:t>
      </w:r>
      <w:r w:rsidR="00361014">
        <w:rPr>
          <w:szCs w:val="22"/>
        </w:rPr>
        <w:t>the</w:t>
      </w:r>
      <w:r w:rsidRPr="007E334D" w:rsidR="000B542A">
        <w:rPr>
          <w:szCs w:val="22"/>
        </w:rPr>
        <w:t xml:space="preserve"> </w:t>
      </w:r>
      <w:r w:rsidR="00D92503">
        <w:rPr>
          <w:szCs w:val="22"/>
        </w:rPr>
        <w:t>J</w:t>
      </w:r>
      <w:r w:rsidR="009D3347">
        <w:rPr>
          <w:szCs w:val="22"/>
        </w:rPr>
        <w:t xml:space="preserve">oint </w:t>
      </w:r>
      <w:r w:rsidR="00D92503">
        <w:rPr>
          <w:szCs w:val="22"/>
        </w:rPr>
        <w:t>M</w:t>
      </w:r>
      <w:r w:rsidR="00633EB7">
        <w:rPr>
          <w:szCs w:val="22"/>
        </w:rPr>
        <w:t>otion</w:t>
      </w:r>
      <w:r w:rsidRPr="007E334D" w:rsidR="00633EB7">
        <w:rPr>
          <w:szCs w:val="22"/>
        </w:rPr>
        <w:t xml:space="preserve"> </w:t>
      </w:r>
      <w:r w:rsidR="00D92503">
        <w:rPr>
          <w:szCs w:val="22"/>
        </w:rPr>
        <w:t>to extend</w:t>
      </w:r>
      <w:r w:rsidR="00633EB7">
        <w:rPr>
          <w:szCs w:val="22"/>
        </w:rPr>
        <w:t xml:space="preserve"> both the </w:t>
      </w:r>
      <w:r w:rsidR="009D3347">
        <w:rPr>
          <w:szCs w:val="22"/>
        </w:rPr>
        <w:t>comment and</w:t>
      </w:r>
      <w:r w:rsidRPr="007E334D" w:rsidR="005654E2">
        <w:rPr>
          <w:szCs w:val="22"/>
        </w:rPr>
        <w:t xml:space="preserve"> </w:t>
      </w:r>
      <w:r w:rsidRPr="007E334D" w:rsidR="00012FD5">
        <w:rPr>
          <w:szCs w:val="22"/>
        </w:rPr>
        <w:t xml:space="preserve">reply </w:t>
      </w:r>
      <w:r w:rsidRPr="007E334D" w:rsidR="005654E2">
        <w:rPr>
          <w:szCs w:val="22"/>
        </w:rPr>
        <w:t>comment filing deadline</w:t>
      </w:r>
      <w:r w:rsidR="009D3347">
        <w:rPr>
          <w:szCs w:val="22"/>
        </w:rPr>
        <w:t>s</w:t>
      </w:r>
      <w:r w:rsidR="00D92503">
        <w:rPr>
          <w:szCs w:val="22"/>
        </w:rPr>
        <w:t xml:space="preserve"> by roughly two months</w:t>
      </w:r>
      <w:r w:rsidRPr="007E334D">
        <w:rPr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Pr="007E334D" w:rsidR="00832AFA">
        <w:rPr>
          <w:szCs w:val="22"/>
        </w:rPr>
        <w:t xml:space="preserve"> </w:t>
      </w:r>
      <w:r w:rsidR="009D3347">
        <w:rPr>
          <w:szCs w:val="22"/>
        </w:rPr>
        <w:t xml:space="preserve"> The parties state tha</w:t>
      </w:r>
      <w:r w:rsidR="0095018E">
        <w:rPr>
          <w:szCs w:val="22"/>
        </w:rPr>
        <w:t>t they have</w:t>
      </w:r>
      <w:r w:rsidR="00633EB7">
        <w:rPr>
          <w:szCs w:val="22"/>
        </w:rPr>
        <w:t xml:space="preserve"> engaged in active discussions to resolve their dispute and “anticipate</w:t>
      </w:r>
      <w:r w:rsidR="00D92503">
        <w:rPr>
          <w:szCs w:val="22"/>
        </w:rPr>
        <w:t xml:space="preserve"> [that]</w:t>
      </w:r>
      <w:r w:rsidR="00633EB7">
        <w:rPr>
          <w:szCs w:val="22"/>
        </w:rPr>
        <w:t xml:space="preserve"> this matter may reach a mutually satisfactory resolution and result in an amendment to the existing pole attachment agreement.”</w:t>
      </w:r>
      <w:r>
        <w:rPr>
          <w:rStyle w:val="FootnoteReference"/>
          <w:szCs w:val="22"/>
        </w:rPr>
        <w:footnoteReference w:id="9"/>
      </w:r>
      <w:r w:rsidR="00633EB7">
        <w:rPr>
          <w:szCs w:val="22"/>
        </w:rPr>
        <w:t xml:space="preserve">  They state</w:t>
      </w:r>
      <w:r w:rsidR="00D92503">
        <w:rPr>
          <w:szCs w:val="22"/>
        </w:rPr>
        <w:t xml:space="preserve"> </w:t>
      </w:r>
      <w:r w:rsidR="00633EB7">
        <w:rPr>
          <w:szCs w:val="22"/>
        </w:rPr>
        <w:t>that “[t]</w:t>
      </w:r>
      <w:r w:rsidRPr="00633EB7" w:rsidR="00633EB7">
        <w:rPr>
          <w:szCs w:val="22"/>
        </w:rPr>
        <w:t xml:space="preserve">he local process to approve the potential amendment requires consideration by the </w:t>
      </w:r>
      <w:r w:rsidRPr="00633EB7" w:rsidR="00633EB7">
        <w:rPr>
          <w:szCs w:val="22"/>
        </w:rPr>
        <w:t>Rock Hill City Council at two City Council meetings that may occur one month apart</w:t>
      </w:r>
      <w:r w:rsidR="00633EB7">
        <w:rPr>
          <w:szCs w:val="22"/>
        </w:rPr>
        <w:t>,”</w:t>
      </w:r>
      <w:r>
        <w:rPr>
          <w:rStyle w:val="FootnoteReference"/>
          <w:szCs w:val="22"/>
        </w:rPr>
        <w:footnoteReference w:id="10"/>
      </w:r>
      <w:r w:rsidR="00633EB7">
        <w:rPr>
          <w:szCs w:val="22"/>
        </w:rPr>
        <w:t xml:space="preserve"> and </w:t>
      </w:r>
      <w:r w:rsidR="00D92503">
        <w:rPr>
          <w:szCs w:val="22"/>
        </w:rPr>
        <w:t>they thus require</w:t>
      </w:r>
      <w:r w:rsidR="00633EB7">
        <w:rPr>
          <w:szCs w:val="22"/>
        </w:rPr>
        <w:t xml:space="preserve"> additional time to attempt to resolve their dispute.</w:t>
      </w:r>
      <w:r w:rsidR="00D92503">
        <w:rPr>
          <w:szCs w:val="22"/>
        </w:rPr>
        <w:t xml:space="preserve">  </w:t>
      </w:r>
      <w:r w:rsidRPr="00C03DFF" w:rsidR="004F4DFA">
        <w:rPr>
          <w:szCs w:val="22"/>
        </w:rPr>
        <w:t>No opposition</w:t>
      </w:r>
      <w:r w:rsidRPr="00C03DFF" w:rsidR="00055FCA">
        <w:rPr>
          <w:szCs w:val="22"/>
        </w:rPr>
        <w:t xml:space="preserve"> to the </w:t>
      </w:r>
      <w:r w:rsidR="00C03DFF">
        <w:rPr>
          <w:szCs w:val="22"/>
        </w:rPr>
        <w:t>Joint</w:t>
      </w:r>
      <w:r w:rsidR="00D92503">
        <w:rPr>
          <w:szCs w:val="22"/>
        </w:rPr>
        <w:t xml:space="preserve"> Motion</w:t>
      </w:r>
      <w:r w:rsidRPr="00C03DFF" w:rsidR="004F4DFA">
        <w:rPr>
          <w:szCs w:val="22"/>
        </w:rPr>
        <w:t xml:space="preserve"> has been filed.</w:t>
      </w:r>
    </w:p>
    <w:p w:rsidR="00417635" w:rsidRPr="00034CB8" w:rsidP="00034CB8" w14:paraId="579CB722" w14:textId="59FD404A">
      <w:pPr>
        <w:pStyle w:val="ListParagraph"/>
        <w:numPr>
          <w:ilvl w:val="0"/>
          <w:numId w:val="8"/>
        </w:numPr>
        <w:spacing w:after="240"/>
        <w:ind w:left="0" w:firstLine="720"/>
        <w:contextualSpacing w:val="0"/>
        <w:rPr>
          <w:szCs w:val="22"/>
        </w:rPr>
      </w:pPr>
      <w:r>
        <w:rPr>
          <w:szCs w:val="22"/>
        </w:rPr>
        <w:t>T</w:t>
      </w:r>
      <w:r w:rsidRPr="00833EC9" w:rsidR="00A03B4D">
        <w:rPr>
          <w:szCs w:val="22"/>
        </w:rPr>
        <w:t>he Commission does not routinely grant extensions of time for filing comments.</w:t>
      </w:r>
      <w:r>
        <w:rPr>
          <w:rStyle w:val="FootnoteReference"/>
          <w:sz w:val="22"/>
          <w:szCs w:val="22"/>
        </w:rPr>
        <w:footnoteReference w:id="11"/>
      </w:r>
      <w:r w:rsidRPr="00833EC9">
        <w:rPr>
          <w:szCs w:val="22"/>
        </w:rPr>
        <w:t xml:space="preserve"> </w:t>
      </w:r>
      <w:r w:rsidR="00AB713F">
        <w:rPr>
          <w:szCs w:val="22"/>
        </w:rPr>
        <w:t xml:space="preserve"> </w:t>
      </w:r>
      <w:r w:rsidR="00F640C3">
        <w:rPr>
          <w:szCs w:val="22"/>
        </w:rPr>
        <w:t>In this case, however,</w:t>
      </w:r>
      <w:r w:rsidR="00A401E0">
        <w:rPr>
          <w:szCs w:val="22"/>
        </w:rPr>
        <w:t xml:space="preserve"> the parties are seeking a limited extension </w:t>
      </w:r>
      <w:r w:rsidR="00993BAF">
        <w:rPr>
          <w:szCs w:val="22"/>
        </w:rPr>
        <w:t xml:space="preserve">to </w:t>
      </w:r>
      <w:r w:rsidR="00A401E0">
        <w:rPr>
          <w:szCs w:val="22"/>
        </w:rPr>
        <w:t>continue discussions</w:t>
      </w:r>
      <w:r w:rsidR="00633EB7">
        <w:rPr>
          <w:szCs w:val="22"/>
        </w:rPr>
        <w:t xml:space="preserve"> and take actions</w:t>
      </w:r>
      <w:r w:rsidR="00A401E0">
        <w:rPr>
          <w:szCs w:val="22"/>
        </w:rPr>
        <w:t xml:space="preserve"> that</w:t>
      </w:r>
      <w:r>
        <w:rPr>
          <w:szCs w:val="22"/>
        </w:rPr>
        <w:t xml:space="preserve"> may eliminate the need to act on the Petition.  We </w:t>
      </w:r>
      <w:r w:rsidR="003050FC">
        <w:rPr>
          <w:szCs w:val="22"/>
        </w:rPr>
        <w:t xml:space="preserve">therefore </w:t>
      </w:r>
      <w:r>
        <w:rPr>
          <w:szCs w:val="22"/>
        </w:rPr>
        <w:t xml:space="preserve">conclude that the administrative efficiencies that could result from such discussions warrant granting the Joint </w:t>
      </w:r>
      <w:r w:rsidR="00633EB7">
        <w:rPr>
          <w:szCs w:val="22"/>
        </w:rPr>
        <w:t>Motion</w:t>
      </w:r>
      <w:r>
        <w:rPr>
          <w:szCs w:val="22"/>
        </w:rPr>
        <w:t>.  We also find that granting the</w:t>
      </w:r>
      <w:r w:rsidR="001C7F08">
        <w:rPr>
          <w:szCs w:val="22"/>
        </w:rPr>
        <w:t xml:space="preserve"> requested extension</w:t>
      </w:r>
      <w:r>
        <w:rPr>
          <w:szCs w:val="22"/>
        </w:rPr>
        <w:t xml:space="preserve"> will not disadvantage either of the parties or other commenters since </w:t>
      </w:r>
      <w:r w:rsidR="00633EB7">
        <w:rPr>
          <w:szCs w:val="22"/>
        </w:rPr>
        <w:t xml:space="preserve">Gigapower </w:t>
      </w:r>
      <w:r>
        <w:rPr>
          <w:szCs w:val="22"/>
        </w:rPr>
        <w:t>and the City submitted the request jointly</w:t>
      </w:r>
      <w:r w:rsidR="00361014">
        <w:rPr>
          <w:szCs w:val="22"/>
        </w:rPr>
        <w:t xml:space="preserve"> and no commenter has filed an opposition</w:t>
      </w:r>
      <w:r>
        <w:rPr>
          <w:szCs w:val="22"/>
        </w:rPr>
        <w:t xml:space="preserve">.  Accordingly, we grant the unopposed Joint </w:t>
      </w:r>
      <w:r w:rsidR="00633EB7">
        <w:rPr>
          <w:szCs w:val="22"/>
        </w:rPr>
        <w:t>Motion</w:t>
      </w:r>
      <w:r>
        <w:rPr>
          <w:szCs w:val="22"/>
        </w:rPr>
        <w:t xml:space="preserve"> </w:t>
      </w:r>
      <w:r w:rsidRPr="00034CB8" w:rsidR="0050064E">
        <w:rPr>
          <w:szCs w:val="22"/>
        </w:rPr>
        <w:t>and extend the</w:t>
      </w:r>
      <w:r w:rsidRPr="00034CB8" w:rsidR="00D6067F">
        <w:rPr>
          <w:szCs w:val="22"/>
        </w:rPr>
        <w:t xml:space="preserve"> comment deadline to </w:t>
      </w:r>
      <w:r w:rsidR="00633EB7">
        <w:rPr>
          <w:szCs w:val="22"/>
        </w:rPr>
        <w:t>April 6</w:t>
      </w:r>
      <w:r w:rsidRPr="00034CB8" w:rsidR="00D6067F">
        <w:rPr>
          <w:szCs w:val="22"/>
        </w:rPr>
        <w:t>, 202</w:t>
      </w:r>
      <w:r w:rsidR="00633EB7">
        <w:rPr>
          <w:szCs w:val="22"/>
        </w:rPr>
        <w:t>6</w:t>
      </w:r>
      <w:r w:rsidRPr="00034CB8" w:rsidR="00D6067F">
        <w:rPr>
          <w:szCs w:val="22"/>
        </w:rPr>
        <w:t xml:space="preserve"> and the</w:t>
      </w:r>
      <w:r w:rsidRPr="00034CB8" w:rsidR="0050064E">
        <w:rPr>
          <w:szCs w:val="22"/>
        </w:rPr>
        <w:t xml:space="preserve"> reply comment </w:t>
      </w:r>
      <w:r w:rsidRPr="00034CB8" w:rsidR="00A21BEE">
        <w:rPr>
          <w:szCs w:val="22"/>
        </w:rPr>
        <w:t>d</w:t>
      </w:r>
      <w:r w:rsidRPr="00034CB8" w:rsidR="007D5E93">
        <w:rPr>
          <w:szCs w:val="22"/>
        </w:rPr>
        <w:t xml:space="preserve">eadline </w:t>
      </w:r>
      <w:r w:rsidRPr="00034CB8" w:rsidR="0050064E">
        <w:rPr>
          <w:szCs w:val="22"/>
        </w:rPr>
        <w:t>to</w:t>
      </w:r>
      <w:r w:rsidRPr="00034CB8" w:rsidR="00253161">
        <w:rPr>
          <w:szCs w:val="22"/>
        </w:rPr>
        <w:t xml:space="preserve"> </w:t>
      </w:r>
      <w:r w:rsidR="00633EB7">
        <w:rPr>
          <w:szCs w:val="22"/>
        </w:rPr>
        <w:t>May 6</w:t>
      </w:r>
      <w:r w:rsidRPr="00034CB8" w:rsidR="00FF4D7E">
        <w:rPr>
          <w:szCs w:val="22"/>
        </w:rPr>
        <w:t>, 202</w:t>
      </w:r>
      <w:r w:rsidR="00633EB7">
        <w:rPr>
          <w:szCs w:val="22"/>
        </w:rPr>
        <w:t>6</w:t>
      </w:r>
      <w:r w:rsidRPr="00034CB8" w:rsidR="00FF4D7E">
        <w:rPr>
          <w:szCs w:val="22"/>
        </w:rPr>
        <w:t>.</w:t>
      </w:r>
    </w:p>
    <w:p w:rsidR="00354E9D" w:rsidRPr="00833EC9" w:rsidP="00354E9D" w14:paraId="322A67CC" w14:textId="31725EE2">
      <w:pPr>
        <w:pStyle w:val="ListParagraph"/>
        <w:numPr>
          <w:ilvl w:val="0"/>
          <w:numId w:val="8"/>
        </w:numPr>
        <w:spacing w:after="240"/>
        <w:ind w:left="0" w:firstLine="720"/>
        <w:contextualSpacing w:val="0"/>
      </w:pPr>
      <w:r>
        <w:t xml:space="preserve">Accordingly, </w:t>
      </w:r>
      <w:r w:rsidRPr="17EB7E3F">
        <w:rPr>
          <w:b/>
          <w:bCs/>
        </w:rPr>
        <w:t>IT IS ORDERED</w:t>
      </w:r>
      <w:r>
        <w:t xml:space="preserve"> that, pursuant to </w:t>
      </w:r>
      <w:r w:rsidR="002B4031">
        <w:t xml:space="preserve">Section 4(i) of the Communications Act of 1934, as amended, 47 U.S.C. § 154(i), and </w:t>
      </w:r>
      <w:r w:rsidR="6E7E0E5B">
        <w:t>s</w:t>
      </w:r>
      <w:r w:rsidR="002B4031">
        <w:t xml:space="preserve">ections </w:t>
      </w:r>
      <w:r w:rsidR="007E334D">
        <w:t>0.204, 0.291, and 1.46 of the Commission’s rules, 47 CFR §§ 0.204, 0.291, 1.46,</w:t>
      </w:r>
      <w:r w:rsidR="002B4031">
        <w:t xml:space="preserve"> the </w:t>
      </w:r>
      <w:r w:rsidR="00D6067F">
        <w:t xml:space="preserve">Joint </w:t>
      </w:r>
      <w:r w:rsidR="00633EB7">
        <w:t>Motion</w:t>
      </w:r>
      <w:r w:rsidR="002B4031">
        <w:t xml:space="preserve"> filed by</w:t>
      </w:r>
      <w:r w:rsidR="00D6067F">
        <w:t xml:space="preserve"> </w:t>
      </w:r>
      <w:r w:rsidR="00633EB7">
        <w:t>Gigapower</w:t>
      </w:r>
      <w:r w:rsidR="00D6067F">
        <w:t xml:space="preserve"> and the City</w:t>
      </w:r>
      <w:r w:rsidR="007D5E93">
        <w:t xml:space="preserve"> </w:t>
      </w:r>
      <w:r w:rsidR="002B4031">
        <w:t xml:space="preserve">is </w:t>
      </w:r>
      <w:r w:rsidRPr="17EB7E3F" w:rsidR="002B4031">
        <w:rPr>
          <w:b/>
          <w:bCs/>
        </w:rPr>
        <w:t>GRANTED</w:t>
      </w:r>
      <w:r w:rsidRPr="17EB7E3F" w:rsidR="007D5E93">
        <w:rPr>
          <w:b/>
          <w:bCs/>
        </w:rPr>
        <w:t>.</w:t>
      </w:r>
    </w:p>
    <w:p w:rsidR="00320042" w:rsidRPr="00833EC9" w:rsidP="00354E9D" w14:paraId="1FDCCBC9" w14:textId="59CA9B48">
      <w:pPr>
        <w:pStyle w:val="ListParagraph"/>
        <w:numPr>
          <w:ilvl w:val="0"/>
          <w:numId w:val="8"/>
        </w:numPr>
        <w:spacing w:after="240"/>
        <w:ind w:left="0" w:firstLine="720"/>
        <w:contextualSpacing w:val="0"/>
        <w:rPr>
          <w:szCs w:val="22"/>
        </w:rPr>
      </w:pPr>
      <w:r w:rsidRPr="00833EC9">
        <w:rPr>
          <w:b/>
          <w:bCs/>
          <w:szCs w:val="22"/>
        </w:rPr>
        <w:t>IT IS FURTHER ORDERED</w:t>
      </w:r>
      <w:r w:rsidRPr="00833EC9">
        <w:rPr>
          <w:szCs w:val="22"/>
        </w:rPr>
        <w:t xml:space="preserve"> that </w:t>
      </w:r>
      <w:r w:rsidRPr="00833EC9" w:rsidR="3DD12C09">
        <w:rPr>
          <w:szCs w:val="22"/>
        </w:rPr>
        <w:t xml:space="preserve">the </w:t>
      </w:r>
      <w:r w:rsidRPr="00833EC9" w:rsidR="117798B1">
        <w:rPr>
          <w:szCs w:val="22"/>
        </w:rPr>
        <w:t>date</w:t>
      </w:r>
      <w:r w:rsidR="00D6067F">
        <w:rPr>
          <w:szCs w:val="22"/>
        </w:rPr>
        <w:t>s</w:t>
      </w:r>
      <w:r w:rsidRPr="00833EC9" w:rsidR="3DD12C09">
        <w:rPr>
          <w:szCs w:val="22"/>
        </w:rPr>
        <w:t xml:space="preserve"> to file </w:t>
      </w:r>
      <w:r w:rsidR="00D6067F">
        <w:rPr>
          <w:szCs w:val="22"/>
        </w:rPr>
        <w:t>comments and reply</w:t>
      </w:r>
      <w:r w:rsidRPr="00833EC9" w:rsidR="3DD12C09">
        <w:rPr>
          <w:szCs w:val="22"/>
        </w:rPr>
        <w:t xml:space="preserve"> comments </w:t>
      </w:r>
      <w:r w:rsidR="009A67B3">
        <w:rPr>
          <w:szCs w:val="22"/>
        </w:rPr>
        <w:t>on the Petition</w:t>
      </w:r>
      <w:r w:rsidR="007E334D">
        <w:rPr>
          <w:i/>
          <w:iCs/>
          <w:szCs w:val="22"/>
        </w:rPr>
        <w:t xml:space="preserve"> </w:t>
      </w:r>
      <w:r w:rsidRPr="00833EC9" w:rsidR="3DD12C09">
        <w:rPr>
          <w:b/>
          <w:bCs/>
          <w:szCs w:val="22"/>
        </w:rPr>
        <w:t>ARE EXTENDED</w:t>
      </w:r>
      <w:r w:rsidRPr="00833EC9" w:rsidR="3DD12C09">
        <w:rPr>
          <w:szCs w:val="22"/>
        </w:rPr>
        <w:t xml:space="preserve"> to </w:t>
      </w:r>
      <w:r w:rsidR="00633EB7">
        <w:rPr>
          <w:szCs w:val="22"/>
        </w:rPr>
        <w:t>April 6, 2026</w:t>
      </w:r>
      <w:r w:rsidR="00D6067F">
        <w:rPr>
          <w:szCs w:val="22"/>
        </w:rPr>
        <w:t xml:space="preserve"> and </w:t>
      </w:r>
      <w:r w:rsidR="00633EB7">
        <w:rPr>
          <w:szCs w:val="22"/>
        </w:rPr>
        <w:t>May 6, 2026</w:t>
      </w:r>
      <w:r w:rsidR="00D6067F">
        <w:rPr>
          <w:szCs w:val="22"/>
        </w:rPr>
        <w:t>, respectively.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5040"/>
      </w:tblGrid>
      <w:tr w14:paraId="12A54F98" w14:textId="77777777" w:rsidTr="0062065B">
        <w:tblPrEx>
          <w:tblW w:w="9630" w:type="dxa"/>
          <w:tblLook w:val="04A0"/>
        </w:tblPrEx>
        <w:tc>
          <w:tcPr>
            <w:tcW w:w="4590" w:type="dxa"/>
          </w:tcPr>
          <w:p w:rsidR="00320042" w:rsidRPr="00833EC9" w:rsidP="00320042" w14:paraId="7482AD37" w14:textId="77777777">
            <w:pPr>
              <w:rPr>
                <w:szCs w:val="22"/>
              </w:rPr>
            </w:pPr>
          </w:p>
        </w:tc>
        <w:tc>
          <w:tcPr>
            <w:tcW w:w="5040" w:type="dxa"/>
          </w:tcPr>
          <w:p w:rsidR="00320042" w:rsidRPr="00833EC9" w:rsidP="00320042" w14:paraId="543C16F5" w14:textId="77777777">
            <w:pPr>
              <w:rPr>
                <w:szCs w:val="22"/>
              </w:rPr>
            </w:pPr>
            <w:r w:rsidRPr="00833EC9">
              <w:rPr>
                <w:szCs w:val="22"/>
              </w:rPr>
              <w:t>FEDERAL COMMUNICATIONS COMMISSION</w:t>
            </w:r>
          </w:p>
          <w:p w:rsidR="00320042" w:rsidRPr="00833EC9" w:rsidP="00320042" w14:paraId="20499823" w14:textId="77777777">
            <w:pPr>
              <w:rPr>
                <w:szCs w:val="22"/>
              </w:rPr>
            </w:pPr>
          </w:p>
          <w:p w:rsidR="00320042" w:rsidRPr="00833EC9" w:rsidP="00320042" w14:paraId="425E361B" w14:textId="77777777">
            <w:pPr>
              <w:rPr>
                <w:szCs w:val="22"/>
              </w:rPr>
            </w:pPr>
          </w:p>
          <w:p w:rsidR="00320042" w:rsidRPr="00833EC9" w:rsidP="00320042" w14:paraId="334E76E9" w14:textId="77777777">
            <w:pPr>
              <w:rPr>
                <w:szCs w:val="22"/>
              </w:rPr>
            </w:pPr>
          </w:p>
          <w:p w:rsidR="00215D1A" w:rsidRPr="00833EC9" w:rsidP="00320042" w14:paraId="64349EF6" w14:textId="77777777">
            <w:pPr>
              <w:rPr>
                <w:szCs w:val="22"/>
              </w:rPr>
            </w:pPr>
          </w:p>
          <w:p w:rsidR="003D59C2" w:rsidRPr="00833EC9" w:rsidP="00320042" w14:paraId="51C326CC" w14:textId="301B7EF9">
            <w:pPr>
              <w:rPr>
                <w:szCs w:val="22"/>
              </w:rPr>
            </w:pPr>
            <w:r>
              <w:rPr>
                <w:szCs w:val="22"/>
              </w:rPr>
              <w:t>Joseph S. Calascione</w:t>
            </w:r>
          </w:p>
          <w:p w:rsidR="007E334D" w:rsidP="007D5E93" w14:paraId="34913CE1" w14:textId="77777777">
            <w:pPr>
              <w:rPr>
                <w:szCs w:val="22"/>
              </w:rPr>
            </w:pPr>
            <w:r w:rsidRPr="00833EC9">
              <w:rPr>
                <w:szCs w:val="22"/>
              </w:rPr>
              <w:t>Ch</w:t>
            </w:r>
            <w:r w:rsidRPr="00833EC9" w:rsidR="007D5E93">
              <w:rPr>
                <w:szCs w:val="22"/>
              </w:rPr>
              <w:t>ief</w:t>
            </w:r>
          </w:p>
          <w:p w:rsidR="00B737E3" w:rsidRPr="00833EC9" w:rsidP="007D5E93" w14:paraId="0B568E7F" w14:textId="42D95629">
            <w:pPr>
              <w:rPr>
                <w:szCs w:val="22"/>
              </w:rPr>
            </w:pPr>
            <w:r w:rsidRPr="00833EC9">
              <w:rPr>
                <w:szCs w:val="22"/>
              </w:rPr>
              <w:t>Wirel</w:t>
            </w:r>
            <w:r w:rsidRPr="00833EC9" w:rsidR="007D5E93">
              <w:rPr>
                <w:szCs w:val="22"/>
              </w:rPr>
              <w:t>ine</w:t>
            </w:r>
            <w:r w:rsidRPr="00833EC9">
              <w:rPr>
                <w:szCs w:val="22"/>
              </w:rPr>
              <w:t xml:space="preserve"> </w:t>
            </w:r>
            <w:r w:rsidRPr="00833EC9" w:rsidR="007D5E93">
              <w:rPr>
                <w:szCs w:val="22"/>
              </w:rPr>
              <w:t>Competition</w:t>
            </w:r>
            <w:r w:rsidRPr="00833EC9">
              <w:rPr>
                <w:szCs w:val="22"/>
              </w:rPr>
              <w:t xml:space="preserve"> Bureau</w:t>
            </w:r>
          </w:p>
        </w:tc>
      </w:tr>
    </w:tbl>
    <w:p w:rsidR="00320042" w:rsidRPr="00833EC9" w:rsidP="00320042" w14:paraId="6AEB2932" w14:textId="77777777">
      <w:pPr>
        <w:spacing w:after="240"/>
        <w:rPr>
          <w:szCs w:val="22"/>
        </w:rPr>
      </w:pPr>
    </w:p>
    <w:p w:rsidR="00320042" w:rsidRPr="00833EC9" w:rsidP="00320042" w14:paraId="5A985F18" w14:textId="77777777">
      <w:pPr>
        <w:spacing w:after="240"/>
        <w:rPr>
          <w:szCs w:val="22"/>
        </w:rPr>
      </w:pPr>
    </w:p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A28D1" w14:paraId="5CF8FB6E" w14:textId="77777777">
      <w:r>
        <w:separator/>
      </w:r>
    </w:p>
  </w:endnote>
  <w:endnote w:type="continuationSeparator" w:id="1">
    <w:p w:rsidR="004A28D1" w14:paraId="684B5A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525F031A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2206DB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308" w14:paraId="23C520E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25FB5" w14:paraId="5C8B4282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65687611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A28D1" w14:paraId="07359C38" w14:textId="77777777">
      <w:r>
        <w:separator/>
      </w:r>
    </w:p>
  </w:footnote>
  <w:footnote w:type="continuationSeparator" w:id="1">
    <w:p w:rsidR="004A28D1" w:rsidP="00C721AC" w14:paraId="37601FFC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4A28D1" w:rsidP="00C721AC" w14:paraId="0FD50269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1D4652CE" w:rsidRPr="00833EC9" w:rsidP="1D4652CE" w14:paraId="0A7034D0" w14:textId="6E860BA2">
      <w:pPr>
        <w:pStyle w:val="FootnoteText"/>
      </w:pPr>
      <w:r w:rsidRPr="00833EC9">
        <w:rPr>
          <w:rStyle w:val="FootnoteReference"/>
        </w:rPr>
        <w:footnoteRef/>
      </w:r>
      <w:r w:rsidRPr="00833EC9">
        <w:t xml:space="preserve"> </w:t>
      </w:r>
      <w:r w:rsidRPr="00833EC9">
        <w:rPr>
          <w:i/>
          <w:iCs/>
        </w:rPr>
        <w:t>See</w:t>
      </w:r>
      <w:r w:rsidRPr="00833EC9">
        <w:t xml:space="preserve"> </w:t>
      </w:r>
      <w:r w:rsidR="00F3633C">
        <w:t>Gigapower, LLC</w:t>
      </w:r>
      <w:r w:rsidR="00DB4147">
        <w:t xml:space="preserve"> and City of </w:t>
      </w:r>
      <w:r w:rsidR="00F3633C">
        <w:t>Rock Hill</w:t>
      </w:r>
      <w:r w:rsidR="00DB4147">
        <w:t xml:space="preserve">, </w:t>
      </w:r>
      <w:r w:rsidR="00F3633C">
        <w:t>South Carolina</w:t>
      </w:r>
      <w:r w:rsidRPr="00833EC9" w:rsidR="00BE4EC3">
        <w:t>,</w:t>
      </w:r>
      <w:r w:rsidR="00DB4147">
        <w:t xml:space="preserve"> Joint </w:t>
      </w:r>
      <w:r w:rsidR="00F3633C">
        <w:t>Motion</w:t>
      </w:r>
      <w:r w:rsidR="00DB4147">
        <w:t xml:space="preserve"> </w:t>
      </w:r>
      <w:r w:rsidR="00F3633C">
        <w:t>to Extend Comment Period</w:t>
      </w:r>
      <w:r w:rsidRPr="00833EC9" w:rsidR="00BE4EC3">
        <w:t>, WC Docket</w:t>
      </w:r>
      <w:r w:rsidRPr="00833EC9">
        <w:t xml:space="preserve"> No. </w:t>
      </w:r>
      <w:r w:rsidR="00F3633C">
        <w:t>26-1</w:t>
      </w:r>
      <w:r w:rsidRPr="00833EC9" w:rsidR="003D75EB">
        <w:t xml:space="preserve"> </w:t>
      </w:r>
      <w:r w:rsidRPr="00833EC9">
        <w:t>(</w:t>
      </w:r>
      <w:r w:rsidR="00F3633C">
        <w:t>rec.</w:t>
      </w:r>
      <w:r w:rsidRPr="00833EC9">
        <w:t xml:space="preserve"> </w:t>
      </w:r>
      <w:r w:rsidR="00F3633C">
        <w:t>Jan. 28</w:t>
      </w:r>
      <w:r w:rsidRPr="00833EC9">
        <w:t>, 202</w:t>
      </w:r>
      <w:r w:rsidR="00F3633C">
        <w:t>6</w:t>
      </w:r>
      <w:r w:rsidRPr="00833EC9">
        <w:t>),</w:t>
      </w:r>
      <w:r w:rsidR="00182A18">
        <w:t xml:space="preserve"> </w:t>
      </w:r>
      <w:hyperlink r:id="rId1" w:history="1">
        <w:r w:rsidRPr="00FB1C2E" w:rsidR="00182A18">
          <w:rPr>
            <w:rStyle w:val="Hyperlink"/>
          </w:rPr>
          <w:t>https://www.fcc.gov/ecfs/document/101282411723781/1</w:t>
        </w:r>
      </w:hyperlink>
      <w:r w:rsidR="00B31240">
        <w:t xml:space="preserve"> (Joint Motion)</w:t>
      </w:r>
      <w:r w:rsidR="00182A18">
        <w:t xml:space="preserve">. </w:t>
      </w:r>
    </w:p>
  </w:footnote>
  <w:footnote w:id="4">
    <w:p w:rsidR="00797685" w14:paraId="38EDFF86" w14:textId="540AD5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33EC9">
        <w:rPr>
          <w:i/>
          <w:iCs/>
        </w:rPr>
        <w:t xml:space="preserve">See Wireline Competition Bureau Seeks Comment On </w:t>
      </w:r>
      <w:r>
        <w:rPr>
          <w:i/>
          <w:iCs/>
        </w:rPr>
        <w:t>a Petition for Preemption and Declaratory Ruling Filed Pursuant to Section 253 of the Communications Act</w:t>
      </w:r>
      <w:r w:rsidRPr="00833EC9">
        <w:t xml:space="preserve">, Public Notice, WC Docket No. </w:t>
      </w:r>
      <w:r>
        <w:t xml:space="preserve">26-1 </w:t>
      </w:r>
      <w:r w:rsidRPr="00833EC9">
        <w:t xml:space="preserve">(WCB </w:t>
      </w:r>
      <w:r>
        <w:t>Jan. 5</w:t>
      </w:r>
      <w:r w:rsidRPr="00833EC9">
        <w:t>, 202</w:t>
      </w:r>
      <w:r>
        <w:t>6</w:t>
      </w:r>
      <w:r w:rsidRPr="00833EC9">
        <w:t>)</w:t>
      </w:r>
      <w:r>
        <w:t xml:space="preserve"> (</w:t>
      </w:r>
      <w:r w:rsidRPr="00C03DFF">
        <w:t>Public Notice</w:t>
      </w:r>
      <w:r>
        <w:t>).</w:t>
      </w:r>
    </w:p>
  </w:footnote>
  <w:footnote w:id="5">
    <w:p w:rsidR="00797685" w14:paraId="05EBC638" w14:textId="109C5D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218253060"/>
      <w:r w:rsidRPr="000264C7">
        <w:rPr>
          <w:i/>
          <w:iCs/>
        </w:rPr>
        <w:t>Petition of Gigapower, LLC for Preemption and Declaratory Judgment Ruling Pursuant to Section 253(d) of the Communications Act of 1934</w:t>
      </w:r>
      <w:bookmarkEnd w:id="0"/>
      <w:r w:rsidRPr="000264C7">
        <w:t xml:space="preserve"> </w:t>
      </w:r>
      <w:r w:rsidRPr="002A4A66">
        <w:t>(</w:t>
      </w:r>
      <w:r w:rsidR="00D92503">
        <w:t>rec.</w:t>
      </w:r>
      <w:r w:rsidRPr="002A4A66">
        <w:t xml:space="preserve"> </w:t>
      </w:r>
      <w:r>
        <w:t>December 22</w:t>
      </w:r>
      <w:r w:rsidRPr="002A4A66">
        <w:t>, 202</w:t>
      </w:r>
      <w:r>
        <w:t>5</w:t>
      </w:r>
      <w:r w:rsidRPr="002A4A66">
        <w:t>)</w:t>
      </w:r>
      <w:r>
        <w:t>,</w:t>
      </w:r>
      <w:r w:rsidRPr="00B31240" w:rsidR="00B31240">
        <w:t xml:space="preserve"> </w:t>
      </w:r>
      <w:hyperlink r:id="rId2" w:history="1">
        <w:r w:rsidRPr="00FB1C2E" w:rsidR="00B31240">
          <w:rPr>
            <w:rStyle w:val="Hyperlink"/>
          </w:rPr>
          <w:t>https://www.fcc.gov/ecfs/search/search-filings/filing/122248074928</w:t>
        </w:r>
      </w:hyperlink>
      <w:r w:rsidR="00B31240">
        <w:t xml:space="preserve"> </w:t>
      </w:r>
      <w:r w:rsidRPr="00CA7AF0">
        <w:t>(Petition).</w:t>
      </w:r>
    </w:p>
  </w:footnote>
  <w:footnote w:id="6">
    <w:p w:rsidR="00503F31" w14:paraId="7B22A7A8" w14:textId="656FF8BE">
      <w:pPr>
        <w:pStyle w:val="FootnoteText"/>
      </w:pPr>
      <w:r>
        <w:rPr>
          <w:rStyle w:val="FootnoteReference"/>
        </w:rPr>
        <w:footnoteRef/>
      </w:r>
      <w:r>
        <w:t xml:space="preserve"> Public Notice at 1-2; 47 U.S.C. § 253.</w:t>
      </w:r>
    </w:p>
  </w:footnote>
  <w:footnote w:id="7">
    <w:p w:rsidR="00C03DFF" w14:paraId="788ACB9E" w14:textId="14C6AE5C">
      <w:pPr>
        <w:pStyle w:val="FootnoteText"/>
      </w:pPr>
      <w:r>
        <w:rPr>
          <w:rStyle w:val="FootnoteReference"/>
        </w:rPr>
        <w:footnoteRef/>
      </w:r>
      <w:r>
        <w:t xml:space="preserve"> Public Notice at 1.</w:t>
      </w:r>
    </w:p>
  </w:footnote>
  <w:footnote w:id="8">
    <w:p w:rsidR="00AF3491" w:rsidRPr="00833EC9" w14:paraId="52334131" w14:textId="5294375C">
      <w:pPr>
        <w:pStyle w:val="FootnoteText"/>
      </w:pPr>
      <w:r w:rsidRPr="00833EC9">
        <w:rPr>
          <w:rStyle w:val="FootnoteReference"/>
        </w:rPr>
        <w:footnoteRef/>
      </w:r>
      <w:r w:rsidRPr="00833EC9">
        <w:t xml:space="preserve"> </w:t>
      </w:r>
      <w:r w:rsidR="009D3347">
        <w:t xml:space="preserve">Joint </w:t>
      </w:r>
      <w:r w:rsidR="00503F31">
        <w:t>Motion</w:t>
      </w:r>
      <w:r w:rsidRPr="00833EC9" w:rsidR="00FB0D7C">
        <w:t xml:space="preserve"> at 1. </w:t>
      </w:r>
    </w:p>
  </w:footnote>
  <w:footnote w:id="9">
    <w:p w:rsidR="00633EB7" w14:paraId="566919CE" w14:textId="3A0645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374DE">
        <w:rPr>
          <w:i/>
          <w:iCs/>
        </w:rPr>
        <w:t>Id</w:t>
      </w:r>
      <w:r w:rsidR="001374DE">
        <w:t>.</w:t>
      </w:r>
    </w:p>
  </w:footnote>
  <w:footnote w:id="10">
    <w:p w:rsidR="00633EB7" w:rsidRPr="00633EB7" w14:paraId="46E2546E" w14:textId="003BF3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Id</w:t>
      </w:r>
      <w:r>
        <w:t>.</w:t>
      </w:r>
    </w:p>
  </w:footnote>
  <w:footnote w:id="11">
    <w:p w:rsidR="00034CB8" w:rsidRPr="00833EC9" w:rsidP="00034CB8" w14:paraId="69C366C8" w14:textId="77777777">
      <w:pPr>
        <w:pStyle w:val="FootnoteText"/>
      </w:pPr>
      <w:r w:rsidRPr="00833EC9">
        <w:rPr>
          <w:rStyle w:val="FootnoteReference"/>
        </w:rPr>
        <w:footnoteRef/>
      </w:r>
      <w:r w:rsidRPr="00833EC9">
        <w:t xml:space="preserve"> 47 CFR § 1.46.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1A5A4F9B" w14:textId="5C9BEB70">
    <w:pPr>
      <w:pStyle w:val="Header"/>
      <w:rPr>
        <w:b w:val="0"/>
      </w:rPr>
    </w:pPr>
    <w:r>
      <w:tab/>
      <w:t>Federal Communications Commission</w:t>
    </w:r>
    <w:r>
      <w:tab/>
    </w:r>
    <w:r w:rsidR="00D50105">
      <w:t>DA 2</w:t>
    </w:r>
    <w:r w:rsidR="008D3E57">
      <w:t>6-107</w:t>
    </w:r>
  </w:p>
  <w:p w:rsidR="00D25FB5" w14:paraId="15ACAAFA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D25FB5" w14:paraId="1C27FF1B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7E4E395D" w14:textId="7CA693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0" b="0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  <w:r>
      <w:tab/>
      <w:t>Federal Communications Commission</w:t>
    </w:r>
    <w:r>
      <w:tab/>
    </w:r>
    <w:r w:rsidR="005623E5">
      <w:t>DA 2</w:t>
    </w:r>
    <w:r w:rsidR="00F3633C">
      <w:t>6</w:t>
    </w:r>
    <w:r w:rsidR="005623E5">
      <w:t>-</w:t>
    </w:r>
    <w:r w:rsidR="008D3E57">
      <w:t>107</w:t>
    </w:r>
  </w:p>
  <w:p w:rsidR="00384E8A" w:rsidP="00810B6F" w14:paraId="17F32F47" w14:textId="13DD2B96">
    <w:pPr>
      <w:pStyle w:val="Head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5C4D01C"/>
    <w:multiLevelType w:val="hybridMultilevel"/>
    <w:tmpl w:val="72464833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4">
    <w:nsid w:val="27E06CBB"/>
    <w:multiLevelType w:val="multilevel"/>
    <w:tmpl w:val="19287472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4320"/>
        </w:tabs>
        <w:ind w:left="432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5040"/>
        </w:tabs>
        <w:ind w:left="504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760"/>
        </w:tabs>
        <w:ind w:left="504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6120"/>
        </w:tabs>
        <w:ind w:left="576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840"/>
        </w:tabs>
        <w:ind w:left="6480" w:firstLine="0"/>
      </w:pPr>
    </w:lvl>
  </w:abstractNum>
  <w:abstractNum w:abstractNumId="5">
    <w:nsid w:val="2A344EB0"/>
    <w:multiLevelType w:val="multilevel"/>
    <w:tmpl w:val="134E1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4320" w:hanging="720"/>
      </w:p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040" w:firstLine="0"/>
      </w:p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</w:lvl>
  </w:abstractNum>
  <w:abstractNum w:abstractNumId="6">
    <w:nsid w:val="2D56967B"/>
    <w:multiLevelType w:val="hybridMultilevel"/>
    <w:tmpl w:val="E0669B2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9F04A25"/>
    <w:multiLevelType w:val="hybridMultilevel"/>
    <w:tmpl w:val="570614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954971490">
    <w:abstractNumId w:val="2"/>
  </w:num>
  <w:num w:numId="2" w16cid:durableId="1863205892">
    <w:abstractNumId w:val="9"/>
  </w:num>
  <w:num w:numId="3" w16cid:durableId="1580287639">
    <w:abstractNumId w:val="4"/>
  </w:num>
  <w:num w:numId="4" w16cid:durableId="776101719">
    <w:abstractNumId w:val="8"/>
  </w:num>
  <w:num w:numId="5" w16cid:durableId="1203055166">
    <w:abstractNumId w:val="3"/>
  </w:num>
  <w:num w:numId="6" w16cid:durableId="187640171">
    <w:abstractNumId w:val="1"/>
  </w:num>
  <w:num w:numId="7" w16cid:durableId="1395162530">
    <w:abstractNumId w:val="5"/>
  </w:num>
  <w:num w:numId="8" w16cid:durableId="277958490">
    <w:abstractNumId w:val="7"/>
  </w:num>
  <w:num w:numId="9" w16cid:durableId="1235117944">
    <w:abstractNumId w:val="6"/>
  </w:num>
  <w:num w:numId="10" w16cid:durableId="92519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8B"/>
    <w:rsid w:val="000027FE"/>
    <w:rsid w:val="00012FD5"/>
    <w:rsid w:val="000144B8"/>
    <w:rsid w:val="000264C7"/>
    <w:rsid w:val="00034CB8"/>
    <w:rsid w:val="00034E4B"/>
    <w:rsid w:val="00035CC2"/>
    <w:rsid w:val="00036039"/>
    <w:rsid w:val="00037F90"/>
    <w:rsid w:val="00055FCA"/>
    <w:rsid w:val="00070F6B"/>
    <w:rsid w:val="00080627"/>
    <w:rsid w:val="00084F7C"/>
    <w:rsid w:val="000875BF"/>
    <w:rsid w:val="000909FF"/>
    <w:rsid w:val="00096D8C"/>
    <w:rsid w:val="000A0415"/>
    <w:rsid w:val="000B2C42"/>
    <w:rsid w:val="000B2C47"/>
    <w:rsid w:val="000B542A"/>
    <w:rsid w:val="000B71D3"/>
    <w:rsid w:val="000C0B65"/>
    <w:rsid w:val="000C16A6"/>
    <w:rsid w:val="000E05FE"/>
    <w:rsid w:val="000E0827"/>
    <w:rsid w:val="000E3D42"/>
    <w:rsid w:val="00100339"/>
    <w:rsid w:val="0010138B"/>
    <w:rsid w:val="001115D7"/>
    <w:rsid w:val="00114E0D"/>
    <w:rsid w:val="00120A03"/>
    <w:rsid w:val="0012145E"/>
    <w:rsid w:val="00122BD5"/>
    <w:rsid w:val="00133F79"/>
    <w:rsid w:val="00134D51"/>
    <w:rsid w:val="00135BB6"/>
    <w:rsid w:val="001374DE"/>
    <w:rsid w:val="0013791A"/>
    <w:rsid w:val="0014324F"/>
    <w:rsid w:val="00160902"/>
    <w:rsid w:val="0016410E"/>
    <w:rsid w:val="001643A0"/>
    <w:rsid w:val="00182A18"/>
    <w:rsid w:val="001847BB"/>
    <w:rsid w:val="00192B57"/>
    <w:rsid w:val="00194A66"/>
    <w:rsid w:val="0019733F"/>
    <w:rsid w:val="001973B7"/>
    <w:rsid w:val="001C7F08"/>
    <w:rsid w:val="001D6BCF"/>
    <w:rsid w:val="001E01CA"/>
    <w:rsid w:val="001F11C3"/>
    <w:rsid w:val="002008A6"/>
    <w:rsid w:val="00205F8D"/>
    <w:rsid w:val="002072BC"/>
    <w:rsid w:val="00215490"/>
    <w:rsid w:val="00215D1A"/>
    <w:rsid w:val="00215EF5"/>
    <w:rsid w:val="002160CB"/>
    <w:rsid w:val="002178FF"/>
    <w:rsid w:val="00223815"/>
    <w:rsid w:val="00230266"/>
    <w:rsid w:val="00231D84"/>
    <w:rsid w:val="0024695A"/>
    <w:rsid w:val="0025092A"/>
    <w:rsid w:val="002522DD"/>
    <w:rsid w:val="00252C97"/>
    <w:rsid w:val="00253161"/>
    <w:rsid w:val="00255D9E"/>
    <w:rsid w:val="00256908"/>
    <w:rsid w:val="00275CF5"/>
    <w:rsid w:val="0028301F"/>
    <w:rsid w:val="00285017"/>
    <w:rsid w:val="002873F1"/>
    <w:rsid w:val="002A004C"/>
    <w:rsid w:val="002A2439"/>
    <w:rsid w:val="002A2D2E"/>
    <w:rsid w:val="002A4A66"/>
    <w:rsid w:val="002A617D"/>
    <w:rsid w:val="002B119D"/>
    <w:rsid w:val="002B4031"/>
    <w:rsid w:val="002C00E8"/>
    <w:rsid w:val="002C37C5"/>
    <w:rsid w:val="002C7519"/>
    <w:rsid w:val="002E2B85"/>
    <w:rsid w:val="00304DD7"/>
    <w:rsid w:val="003050FC"/>
    <w:rsid w:val="00307A0B"/>
    <w:rsid w:val="00320042"/>
    <w:rsid w:val="00334342"/>
    <w:rsid w:val="00335BFE"/>
    <w:rsid w:val="00343749"/>
    <w:rsid w:val="00347B31"/>
    <w:rsid w:val="00354E9D"/>
    <w:rsid w:val="00361014"/>
    <w:rsid w:val="003624D1"/>
    <w:rsid w:val="003660ED"/>
    <w:rsid w:val="00372132"/>
    <w:rsid w:val="00373380"/>
    <w:rsid w:val="003820AD"/>
    <w:rsid w:val="00384E8A"/>
    <w:rsid w:val="0038660E"/>
    <w:rsid w:val="00390411"/>
    <w:rsid w:val="00391FDF"/>
    <w:rsid w:val="003A109C"/>
    <w:rsid w:val="003A1A8C"/>
    <w:rsid w:val="003A1FA0"/>
    <w:rsid w:val="003B0550"/>
    <w:rsid w:val="003B694F"/>
    <w:rsid w:val="003C63A0"/>
    <w:rsid w:val="003D016F"/>
    <w:rsid w:val="003D26EF"/>
    <w:rsid w:val="003D59C2"/>
    <w:rsid w:val="003D75EB"/>
    <w:rsid w:val="003E2E2B"/>
    <w:rsid w:val="003E74AB"/>
    <w:rsid w:val="003E75B1"/>
    <w:rsid w:val="003E75C4"/>
    <w:rsid w:val="003E7AC3"/>
    <w:rsid w:val="003F171C"/>
    <w:rsid w:val="004048B8"/>
    <w:rsid w:val="00412FC5"/>
    <w:rsid w:val="00417635"/>
    <w:rsid w:val="00422276"/>
    <w:rsid w:val="00424178"/>
    <w:rsid w:val="004242F1"/>
    <w:rsid w:val="00432919"/>
    <w:rsid w:val="0043797A"/>
    <w:rsid w:val="00445A00"/>
    <w:rsid w:val="00450AD2"/>
    <w:rsid w:val="00451B0F"/>
    <w:rsid w:val="00453D49"/>
    <w:rsid w:val="0045578A"/>
    <w:rsid w:val="00460404"/>
    <w:rsid w:val="00462A4A"/>
    <w:rsid w:val="00463E41"/>
    <w:rsid w:val="00464AA8"/>
    <w:rsid w:val="00466452"/>
    <w:rsid w:val="00475569"/>
    <w:rsid w:val="004A28D1"/>
    <w:rsid w:val="004B014B"/>
    <w:rsid w:val="004B1D57"/>
    <w:rsid w:val="004B5844"/>
    <w:rsid w:val="004C0E59"/>
    <w:rsid w:val="004C1A7C"/>
    <w:rsid w:val="004C2EE3"/>
    <w:rsid w:val="004C5414"/>
    <w:rsid w:val="004D3B56"/>
    <w:rsid w:val="004E4A22"/>
    <w:rsid w:val="004F41A5"/>
    <w:rsid w:val="004F4DFA"/>
    <w:rsid w:val="0050064E"/>
    <w:rsid w:val="00503AF7"/>
    <w:rsid w:val="00503D6F"/>
    <w:rsid w:val="00503F31"/>
    <w:rsid w:val="0050466B"/>
    <w:rsid w:val="0050674B"/>
    <w:rsid w:val="00511968"/>
    <w:rsid w:val="005200CB"/>
    <w:rsid w:val="00531340"/>
    <w:rsid w:val="00532753"/>
    <w:rsid w:val="0055614C"/>
    <w:rsid w:val="00561B82"/>
    <w:rsid w:val="005623E5"/>
    <w:rsid w:val="005654E2"/>
    <w:rsid w:val="00566D06"/>
    <w:rsid w:val="005763BB"/>
    <w:rsid w:val="005955A9"/>
    <w:rsid w:val="005A25BA"/>
    <w:rsid w:val="005A7266"/>
    <w:rsid w:val="005A7885"/>
    <w:rsid w:val="005B0767"/>
    <w:rsid w:val="005B1E02"/>
    <w:rsid w:val="005C4F71"/>
    <w:rsid w:val="005D2D4A"/>
    <w:rsid w:val="005D3752"/>
    <w:rsid w:val="005E14C2"/>
    <w:rsid w:val="005E6667"/>
    <w:rsid w:val="005F33A5"/>
    <w:rsid w:val="00606919"/>
    <w:rsid w:val="00606B99"/>
    <w:rsid w:val="00607BA5"/>
    <w:rsid w:val="0061180A"/>
    <w:rsid w:val="0062065B"/>
    <w:rsid w:val="00622E89"/>
    <w:rsid w:val="0062605C"/>
    <w:rsid w:val="00626EB6"/>
    <w:rsid w:val="00627A1B"/>
    <w:rsid w:val="00630002"/>
    <w:rsid w:val="00633EB7"/>
    <w:rsid w:val="006423F8"/>
    <w:rsid w:val="00655D03"/>
    <w:rsid w:val="00662021"/>
    <w:rsid w:val="0066348D"/>
    <w:rsid w:val="00683388"/>
    <w:rsid w:val="00683F84"/>
    <w:rsid w:val="00695012"/>
    <w:rsid w:val="00697BF2"/>
    <w:rsid w:val="006A6A81"/>
    <w:rsid w:val="006B0C42"/>
    <w:rsid w:val="006B5115"/>
    <w:rsid w:val="006C2C69"/>
    <w:rsid w:val="006D5856"/>
    <w:rsid w:val="006D6672"/>
    <w:rsid w:val="006D756B"/>
    <w:rsid w:val="006F6627"/>
    <w:rsid w:val="006F7393"/>
    <w:rsid w:val="006F7D92"/>
    <w:rsid w:val="0070224F"/>
    <w:rsid w:val="00710A7D"/>
    <w:rsid w:val="00711410"/>
    <w:rsid w:val="007115F7"/>
    <w:rsid w:val="00713361"/>
    <w:rsid w:val="00714930"/>
    <w:rsid w:val="00720C02"/>
    <w:rsid w:val="0072471A"/>
    <w:rsid w:val="007265FB"/>
    <w:rsid w:val="007311D7"/>
    <w:rsid w:val="007330AC"/>
    <w:rsid w:val="007343B1"/>
    <w:rsid w:val="00745629"/>
    <w:rsid w:val="00764492"/>
    <w:rsid w:val="00764F2A"/>
    <w:rsid w:val="007665FB"/>
    <w:rsid w:val="00777282"/>
    <w:rsid w:val="00784CD7"/>
    <w:rsid w:val="00785689"/>
    <w:rsid w:val="0079754B"/>
    <w:rsid w:val="00797685"/>
    <w:rsid w:val="007A0C2A"/>
    <w:rsid w:val="007A1E6D"/>
    <w:rsid w:val="007A62B9"/>
    <w:rsid w:val="007B0EB2"/>
    <w:rsid w:val="007B2472"/>
    <w:rsid w:val="007B39BB"/>
    <w:rsid w:val="007B4972"/>
    <w:rsid w:val="007C2508"/>
    <w:rsid w:val="007D5E93"/>
    <w:rsid w:val="007D76F1"/>
    <w:rsid w:val="007D7D0D"/>
    <w:rsid w:val="007E334D"/>
    <w:rsid w:val="007E5CCA"/>
    <w:rsid w:val="007F63B6"/>
    <w:rsid w:val="007F6FB9"/>
    <w:rsid w:val="00807ABF"/>
    <w:rsid w:val="00810B6F"/>
    <w:rsid w:val="00822CE0"/>
    <w:rsid w:val="00827A4B"/>
    <w:rsid w:val="00832AFA"/>
    <w:rsid w:val="00833EC9"/>
    <w:rsid w:val="008350D7"/>
    <w:rsid w:val="00841AB1"/>
    <w:rsid w:val="00846011"/>
    <w:rsid w:val="00850D23"/>
    <w:rsid w:val="00854D33"/>
    <w:rsid w:val="00861FD6"/>
    <w:rsid w:val="00863286"/>
    <w:rsid w:val="00863B07"/>
    <w:rsid w:val="0087344F"/>
    <w:rsid w:val="0088221B"/>
    <w:rsid w:val="00897545"/>
    <w:rsid w:val="008A15B4"/>
    <w:rsid w:val="008B4096"/>
    <w:rsid w:val="008C0250"/>
    <w:rsid w:val="008C0C31"/>
    <w:rsid w:val="008C68F1"/>
    <w:rsid w:val="008C78DB"/>
    <w:rsid w:val="008D3E57"/>
    <w:rsid w:val="008D5A9B"/>
    <w:rsid w:val="008E75B0"/>
    <w:rsid w:val="008F0456"/>
    <w:rsid w:val="008F39AD"/>
    <w:rsid w:val="00905BF6"/>
    <w:rsid w:val="00911EF5"/>
    <w:rsid w:val="00921702"/>
    <w:rsid w:val="00921803"/>
    <w:rsid w:val="0092583F"/>
    <w:rsid w:val="00926503"/>
    <w:rsid w:val="00927CAB"/>
    <w:rsid w:val="009313B9"/>
    <w:rsid w:val="0095018E"/>
    <w:rsid w:val="00951114"/>
    <w:rsid w:val="00952C9B"/>
    <w:rsid w:val="00953ED4"/>
    <w:rsid w:val="0095780D"/>
    <w:rsid w:val="00963F0B"/>
    <w:rsid w:val="0096665C"/>
    <w:rsid w:val="00966F5A"/>
    <w:rsid w:val="00967868"/>
    <w:rsid w:val="009726D8"/>
    <w:rsid w:val="009806DA"/>
    <w:rsid w:val="00993BAF"/>
    <w:rsid w:val="009966BD"/>
    <w:rsid w:val="009971D4"/>
    <w:rsid w:val="009A5B3E"/>
    <w:rsid w:val="009A67B3"/>
    <w:rsid w:val="009B794B"/>
    <w:rsid w:val="009C1EF1"/>
    <w:rsid w:val="009C65EF"/>
    <w:rsid w:val="009D3347"/>
    <w:rsid w:val="009D39AB"/>
    <w:rsid w:val="009D7308"/>
    <w:rsid w:val="009E1C8A"/>
    <w:rsid w:val="009F45E8"/>
    <w:rsid w:val="009F4DDD"/>
    <w:rsid w:val="009F76DB"/>
    <w:rsid w:val="00A03B4D"/>
    <w:rsid w:val="00A21BEE"/>
    <w:rsid w:val="00A27D5D"/>
    <w:rsid w:val="00A32C3B"/>
    <w:rsid w:val="00A33615"/>
    <w:rsid w:val="00A34694"/>
    <w:rsid w:val="00A401E0"/>
    <w:rsid w:val="00A42B32"/>
    <w:rsid w:val="00A42D9B"/>
    <w:rsid w:val="00A43B37"/>
    <w:rsid w:val="00A45F4F"/>
    <w:rsid w:val="00A46FF3"/>
    <w:rsid w:val="00A600A9"/>
    <w:rsid w:val="00A6503B"/>
    <w:rsid w:val="00A71DAE"/>
    <w:rsid w:val="00A77379"/>
    <w:rsid w:val="00A82107"/>
    <w:rsid w:val="00A85B38"/>
    <w:rsid w:val="00A91AA9"/>
    <w:rsid w:val="00A970CD"/>
    <w:rsid w:val="00A9777E"/>
    <w:rsid w:val="00AA55B7"/>
    <w:rsid w:val="00AA5B9E"/>
    <w:rsid w:val="00AB2407"/>
    <w:rsid w:val="00AB53DF"/>
    <w:rsid w:val="00AB713F"/>
    <w:rsid w:val="00AC2AFC"/>
    <w:rsid w:val="00AD1FBC"/>
    <w:rsid w:val="00AE3306"/>
    <w:rsid w:val="00AE5ED0"/>
    <w:rsid w:val="00AF051B"/>
    <w:rsid w:val="00AF3491"/>
    <w:rsid w:val="00AF367C"/>
    <w:rsid w:val="00AF57F9"/>
    <w:rsid w:val="00B00B87"/>
    <w:rsid w:val="00B0238F"/>
    <w:rsid w:val="00B06277"/>
    <w:rsid w:val="00B07A94"/>
    <w:rsid w:val="00B07E5C"/>
    <w:rsid w:val="00B30045"/>
    <w:rsid w:val="00B31240"/>
    <w:rsid w:val="00B34697"/>
    <w:rsid w:val="00B34F5A"/>
    <w:rsid w:val="00B353A5"/>
    <w:rsid w:val="00B57317"/>
    <w:rsid w:val="00B5774D"/>
    <w:rsid w:val="00B6512B"/>
    <w:rsid w:val="00B6762F"/>
    <w:rsid w:val="00B726AD"/>
    <w:rsid w:val="00B737E3"/>
    <w:rsid w:val="00B75CA2"/>
    <w:rsid w:val="00B75E12"/>
    <w:rsid w:val="00B811F7"/>
    <w:rsid w:val="00B815BC"/>
    <w:rsid w:val="00B84A4E"/>
    <w:rsid w:val="00BA0E6C"/>
    <w:rsid w:val="00BA22EC"/>
    <w:rsid w:val="00BA5DC6"/>
    <w:rsid w:val="00BA6196"/>
    <w:rsid w:val="00BC090B"/>
    <w:rsid w:val="00BC4E7D"/>
    <w:rsid w:val="00BC5471"/>
    <w:rsid w:val="00BC6D8C"/>
    <w:rsid w:val="00BD4186"/>
    <w:rsid w:val="00BE0820"/>
    <w:rsid w:val="00BE4EC3"/>
    <w:rsid w:val="00BF322E"/>
    <w:rsid w:val="00BF332C"/>
    <w:rsid w:val="00BF48DD"/>
    <w:rsid w:val="00BF7FF4"/>
    <w:rsid w:val="00C00F7A"/>
    <w:rsid w:val="00C03DFF"/>
    <w:rsid w:val="00C1019E"/>
    <w:rsid w:val="00C114D6"/>
    <w:rsid w:val="00C13273"/>
    <w:rsid w:val="00C25BE5"/>
    <w:rsid w:val="00C3284C"/>
    <w:rsid w:val="00C34006"/>
    <w:rsid w:val="00C36B4C"/>
    <w:rsid w:val="00C426B1"/>
    <w:rsid w:val="00C43497"/>
    <w:rsid w:val="00C47E45"/>
    <w:rsid w:val="00C545B4"/>
    <w:rsid w:val="00C61EDE"/>
    <w:rsid w:val="00C61FC6"/>
    <w:rsid w:val="00C63B15"/>
    <w:rsid w:val="00C66160"/>
    <w:rsid w:val="00C721AC"/>
    <w:rsid w:val="00C72C1D"/>
    <w:rsid w:val="00C76BA0"/>
    <w:rsid w:val="00C77144"/>
    <w:rsid w:val="00C81FFE"/>
    <w:rsid w:val="00C90D6A"/>
    <w:rsid w:val="00C93C50"/>
    <w:rsid w:val="00CA247E"/>
    <w:rsid w:val="00CA3497"/>
    <w:rsid w:val="00CA6D21"/>
    <w:rsid w:val="00CA7AF0"/>
    <w:rsid w:val="00CB76F1"/>
    <w:rsid w:val="00CC72B6"/>
    <w:rsid w:val="00CD3E93"/>
    <w:rsid w:val="00CE4562"/>
    <w:rsid w:val="00CF0C4F"/>
    <w:rsid w:val="00CF1FE5"/>
    <w:rsid w:val="00CF2ED1"/>
    <w:rsid w:val="00D0218D"/>
    <w:rsid w:val="00D037B3"/>
    <w:rsid w:val="00D1657C"/>
    <w:rsid w:val="00D2226F"/>
    <w:rsid w:val="00D25FB5"/>
    <w:rsid w:val="00D2706D"/>
    <w:rsid w:val="00D2748B"/>
    <w:rsid w:val="00D44223"/>
    <w:rsid w:val="00D44C43"/>
    <w:rsid w:val="00D50105"/>
    <w:rsid w:val="00D6067F"/>
    <w:rsid w:val="00D615E7"/>
    <w:rsid w:val="00D748E0"/>
    <w:rsid w:val="00D77BEA"/>
    <w:rsid w:val="00D80D7B"/>
    <w:rsid w:val="00D82ABE"/>
    <w:rsid w:val="00D92503"/>
    <w:rsid w:val="00D96B01"/>
    <w:rsid w:val="00D9796D"/>
    <w:rsid w:val="00D97F45"/>
    <w:rsid w:val="00DA2529"/>
    <w:rsid w:val="00DB130A"/>
    <w:rsid w:val="00DB2EBB"/>
    <w:rsid w:val="00DB4147"/>
    <w:rsid w:val="00DB4BCD"/>
    <w:rsid w:val="00DC10A1"/>
    <w:rsid w:val="00DC655F"/>
    <w:rsid w:val="00DD0B59"/>
    <w:rsid w:val="00DD7EBD"/>
    <w:rsid w:val="00DE0072"/>
    <w:rsid w:val="00DE714F"/>
    <w:rsid w:val="00DF62B6"/>
    <w:rsid w:val="00E044CE"/>
    <w:rsid w:val="00E05C90"/>
    <w:rsid w:val="00E07225"/>
    <w:rsid w:val="00E139BF"/>
    <w:rsid w:val="00E20129"/>
    <w:rsid w:val="00E23988"/>
    <w:rsid w:val="00E4793F"/>
    <w:rsid w:val="00E47B08"/>
    <w:rsid w:val="00E52A5A"/>
    <w:rsid w:val="00E53C3A"/>
    <w:rsid w:val="00E5409F"/>
    <w:rsid w:val="00E56D9A"/>
    <w:rsid w:val="00E606F8"/>
    <w:rsid w:val="00E7536A"/>
    <w:rsid w:val="00E76B7F"/>
    <w:rsid w:val="00E76FA7"/>
    <w:rsid w:val="00EA6E73"/>
    <w:rsid w:val="00EB17A3"/>
    <w:rsid w:val="00EB37CC"/>
    <w:rsid w:val="00EC27BE"/>
    <w:rsid w:val="00EC419D"/>
    <w:rsid w:val="00ED1591"/>
    <w:rsid w:val="00ED4416"/>
    <w:rsid w:val="00EE2667"/>
    <w:rsid w:val="00EE6488"/>
    <w:rsid w:val="00F021FA"/>
    <w:rsid w:val="00F0458A"/>
    <w:rsid w:val="00F05AA3"/>
    <w:rsid w:val="00F1154A"/>
    <w:rsid w:val="00F23481"/>
    <w:rsid w:val="00F24154"/>
    <w:rsid w:val="00F3633C"/>
    <w:rsid w:val="00F42186"/>
    <w:rsid w:val="00F52A2A"/>
    <w:rsid w:val="00F5306C"/>
    <w:rsid w:val="00F54881"/>
    <w:rsid w:val="00F61280"/>
    <w:rsid w:val="00F62E97"/>
    <w:rsid w:val="00F640C3"/>
    <w:rsid w:val="00F64209"/>
    <w:rsid w:val="00F751FF"/>
    <w:rsid w:val="00F81BEA"/>
    <w:rsid w:val="00F93BF5"/>
    <w:rsid w:val="00F96034"/>
    <w:rsid w:val="00F9659F"/>
    <w:rsid w:val="00FB0D7C"/>
    <w:rsid w:val="00FB1C2E"/>
    <w:rsid w:val="00FB2326"/>
    <w:rsid w:val="00FB5E03"/>
    <w:rsid w:val="00FD1BA2"/>
    <w:rsid w:val="00FE1969"/>
    <w:rsid w:val="00FE3BA5"/>
    <w:rsid w:val="00FF4D7E"/>
    <w:rsid w:val="0381718B"/>
    <w:rsid w:val="0431EDAB"/>
    <w:rsid w:val="061DC29F"/>
    <w:rsid w:val="0676AFBE"/>
    <w:rsid w:val="07C64FF1"/>
    <w:rsid w:val="082044C7"/>
    <w:rsid w:val="0AC7E460"/>
    <w:rsid w:val="0BB7C7F4"/>
    <w:rsid w:val="0DF302FE"/>
    <w:rsid w:val="0EAD6F9B"/>
    <w:rsid w:val="117798B1"/>
    <w:rsid w:val="11A9686D"/>
    <w:rsid w:val="13467C3B"/>
    <w:rsid w:val="1375BACC"/>
    <w:rsid w:val="151B822F"/>
    <w:rsid w:val="17EB7E3F"/>
    <w:rsid w:val="186DE03C"/>
    <w:rsid w:val="1CD0020C"/>
    <w:rsid w:val="1D4652CE"/>
    <w:rsid w:val="220A1219"/>
    <w:rsid w:val="242C1C4A"/>
    <w:rsid w:val="25919645"/>
    <w:rsid w:val="26910469"/>
    <w:rsid w:val="2B8AEBDB"/>
    <w:rsid w:val="2D94F80D"/>
    <w:rsid w:val="32AB3F96"/>
    <w:rsid w:val="36224B64"/>
    <w:rsid w:val="3B565D40"/>
    <w:rsid w:val="3DD12C09"/>
    <w:rsid w:val="3EA3605C"/>
    <w:rsid w:val="3FD1CB9D"/>
    <w:rsid w:val="407E772A"/>
    <w:rsid w:val="458048C9"/>
    <w:rsid w:val="482C98B3"/>
    <w:rsid w:val="4AF6F531"/>
    <w:rsid w:val="4AFA50DD"/>
    <w:rsid w:val="4B643975"/>
    <w:rsid w:val="540D3696"/>
    <w:rsid w:val="56C1DAE1"/>
    <w:rsid w:val="579AAF0F"/>
    <w:rsid w:val="5FC13B9E"/>
    <w:rsid w:val="6482242F"/>
    <w:rsid w:val="65FE0625"/>
    <w:rsid w:val="66F42875"/>
    <w:rsid w:val="6799D686"/>
    <w:rsid w:val="6A273DD0"/>
    <w:rsid w:val="6A301D5A"/>
    <w:rsid w:val="6E14E265"/>
    <w:rsid w:val="6E7E0E5B"/>
    <w:rsid w:val="78F1BAF0"/>
    <w:rsid w:val="792F4D9D"/>
    <w:rsid w:val="7AED5C8E"/>
    <w:rsid w:val="7B5602B3"/>
    <w:rsid w:val="7F18E2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806EB4"/>
  <w15:chartTrackingRefBased/>
  <w15:docId w15:val="{10C16B9E-C76A-4743-9359-B06764F4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25FB5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left" w:pos="5760"/>
      </w:tabs>
      <w:spacing w:after="120"/>
      <w:ind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left" w:pos="6480"/>
      </w:tabs>
      <w:spacing w:after="120"/>
      <w:ind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D7308"/>
    <w:rPr>
      <w:snapToGrid w:val="0"/>
      <w:kern w:val="28"/>
      <w:sz w:val="22"/>
    </w:rPr>
  </w:style>
  <w:style w:type="table" w:styleId="TableGrid">
    <w:name w:val="Table Grid"/>
    <w:basedOn w:val="TableNormal"/>
    <w:rsid w:val="00D7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3A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D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07A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927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7CAB"/>
    <w:rPr>
      <w:rFonts w:ascii="Segoe UI" w:hAnsi="Segoe UI" w:cs="Segoe UI"/>
      <w:snapToGrid w:val="0"/>
      <w:kern w:val="28"/>
      <w:sz w:val="18"/>
      <w:szCs w:val="18"/>
    </w:rPr>
  </w:style>
  <w:style w:type="character" w:styleId="CommentReference">
    <w:name w:val="annotation reference"/>
    <w:basedOn w:val="DefaultParagraphFont"/>
    <w:rsid w:val="005E66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6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6667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5E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6667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C76BA0"/>
    <w:rPr>
      <w:snapToGrid w:val="0"/>
      <w:kern w:val="28"/>
      <w:sz w:val="22"/>
    </w:rPr>
  </w:style>
  <w:style w:type="paragraph" w:customStyle="1" w:styleId="Default">
    <w:name w:val="Default"/>
    <w:rsid w:val="00833E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rsid w:val="00DB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cc.gov/ecfs/document/101282411723781/1" TargetMode="External" /><Relationship Id="rId2" Type="http://schemas.openxmlformats.org/officeDocument/2006/relationships/hyperlink" Target="https://www.fcc.gov/ecfs/search/search-filings/filing/1222480749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