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57EAF" w:rsidP="00957EAF" w14:paraId="3309C8A0" w14:textId="77777777">
      <w:pPr>
        <w:pStyle w:val="ParaNum"/>
        <w:numPr>
          <w:ilvl w:val="0"/>
          <w:numId w:val="0"/>
        </w:numPr>
        <w:spacing w:after="0"/>
        <w:ind w:left="7920"/>
        <w:rPr>
          <w:lang w:val="pt-BR"/>
        </w:rPr>
      </w:pPr>
    </w:p>
    <w:p w:rsidR="00957EAF" w:rsidP="002C590B" w14:paraId="6B2FEAFB" w14:textId="1ACC3A1F">
      <w:pPr>
        <w:pStyle w:val="ParaNum"/>
        <w:numPr>
          <w:ilvl w:val="0"/>
          <w:numId w:val="0"/>
        </w:numPr>
        <w:spacing w:after="0"/>
        <w:ind w:left="6480"/>
        <w:rPr>
          <w:b/>
          <w:bCs/>
          <w:lang w:val="pt-BR"/>
        </w:rPr>
      </w:pPr>
      <w:r w:rsidRPr="00957EAF">
        <w:rPr>
          <w:b/>
          <w:bCs/>
          <w:lang w:val="pt-BR"/>
        </w:rPr>
        <w:t>DA 26-</w:t>
      </w:r>
      <w:r w:rsidR="002C590B">
        <w:rPr>
          <w:b/>
          <w:bCs/>
          <w:lang w:val="pt-BR"/>
        </w:rPr>
        <w:t>108</w:t>
      </w:r>
    </w:p>
    <w:p w:rsidR="002C590B" w:rsidRPr="00957EAF" w:rsidP="002C590B" w14:paraId="63BBE2D7" w14:textId="10399215">
      <w:pPr>
        <w:pStyle w:val="ParaNum"/>
        <w:numPr>
          <w:ilvl w:val="0"/>
          <w:numId w:val="0"/>
        </w:numPr>
        <w:spacing w:after="0"/>
        <w:ind w:left="6480"/>
        <w:rPr>
          <w:b/>
          <w:bCs/>
          <w:lang w:val="pt-BR"/>
        </w:rPr>
      </w:pPr>
      <w:r>
        <w:rPr>
          <w:b/>
          <w:bCs/>
          <w:lang w:val="pt-BR"/>
        </w:rPr>
        <w:t>Released: February 3, 2026</w:t>
      </w:r>
    </w:p>
    <w:p w:rsidR="00957EAF" w:rsidRPr="009B26A2" w:rsidP="00957EAF" w14:paraId="2856A276" w14:textId="77777777">
      <w:pPr>
        <w:pStyle w:val="ParaNum"/>
        <w:numPr>
          <w:ilvl w:val="0"/>
          <w:numId w:val="0"/>
        </w:numPr>
        <w:spacing w:after="0"/>
        <w:rPr>
          <w:lang w:val="pt-BR"/>
        </w:rPr>
      </w:pPr>
    </w:p>
    <w:p w:rsidR="00957EAF" w:rsidRPr="00646A1F" w:rsidP="00957EAF" w14:paraId="1EA34556" w14:textId="77777777">
      <w:pPr>
        <w:widowControl w:val="0"/>
        <w:rPr>
          <w:sz w:val="22"/>
          <w:szCs w:val="22"/>
        </w:rPr>
      </w:pPr>
      <w:r w:rsidRPr="00646A1F">
        <w:rPr>
          <w:sz w:val="22"/>
          <w:szCs w:val="22"/>
        </w:rPr>
        <w:t>Sinclair, Inc.</w:t>
      </w:r>
    </w:p>
    <w:p w:rsidR="00957EAF" w:rsidRPr="00646A1F" w:rsidP="00957EAF" w14:paraId="78A7BE1E" w14:textId="77777777">
      <w:pPr>
        <w:widowControl w:val="0"/>
        <w:rPr>
          <w:sz w:val="22"/>
          <w:szCs w:val="22"/>
        </w:rPr>
      </w:pPr>
      <w:r w:rsidRPr="00646A1F">
        <w:rPr>
          <w:sz w:val="22"/>
          <w:szCs w:val="22"/>
        </w:rPr>
        <w:t>c/o Miles S. Mason</w:t>
      </w:r>
    </w:p>
    <w:p w:rsidR="00957EAF" w:rsidRPr="00646A1F" w:rsidP="00957EAF" w14:paraId="563588D9" w14:textId="77777777">
      <w:pPr>
        <w:widowControl w:val="0"/>
        <w:rPr>
          <w:sz w:val="22"/>
          <w:szCs w:val="22"/>
        </w:rPr>
      </w:pPr>
      <w:r w:rsidRPr="00646A1F">
        <w:rPr>
          <w:sz w:val="22"/>
          <w:szCs w:val="22"/>
        </w:rPr>
        <w:t>Pillsbury Winthrop Shaw Pittman LLP</w:t>
      </w:r>
    </w:p>
    <w:p w:rsidR="00957EAF" w:rsidRPr="00646A1F" w:rsidP="00957EAF" w14:paraId="5ECFC1B9" w14:textId="77777777">
      <w:pPr>
        <w:widowControl w:val="0"/>
        <w:rPr>
          <w:sz w:val="22"/>
          <w:szCs w:val="22"/>
        </w:rPr>
      </w:pPr>
      <w:r w:rsidRPr="00646A1F">
        <w:rPr>
          <w:sz w:val="22"/>
          <w:szCs w:val="22"/>
        </w:rPr>
        <w:t>1200 Seventeenth Street, NW</w:t>
      </w:r>
    </w:p>
    <w:p w:rsidR="00957EAF" w:rsidRPr="00646A1F" w:rsidP="00957EAF" w14:paraId="6347CEB1" w14:textId="77777777">
      <w:pPr>
        <w:widowControl w:val="0"/>
        <w:rPr>
          <w:sz w:val="22"/>
          <w:szCs w:val="22"/>
        </w:rPr>
      </w:pPr>
      <w:r w:rsidRPr="00646A1F">
        <w:rPr>
          <w:sz w:val="22"/>
          <w:szCs w:val="22"/>
        </w:rPr>
        <w:t>Washington, DC  20036</w:t>
      </w:r>
    </w:p>
    <w:p w:rsidR="00957EAF" w:rsidRPr="00646A1F" w:rsidP="00957EAF" w14:paraId="54D13923" w14:textId="77777777">
      <w:pPr>
        <w:widowControl w:val="0"/>
        <w:rPr>
          <w:sz w:val="22"/>
          <w:szCs w:val="22"/>
        </w:rPr>
      </w:pPr>
    </w:p>
    <w:p w:rsidR="00957EAF" w:rsidRPr="00646A1F" w:rsidP="00957EAF" w14:paraId="7989CF93" w14:textId="77777777">
      <w:pPr>
        <w:widowControl w:val="0"/>
        <w:rPr>
          <w:sz w:val="22"/>
          <w:szCs w:val="22"/>
        </w:rPr>
      </w:pPr>
      <w:r w:rsidRPr="00646A1F">
        <w:rPr>
          <w:sz w:val="22"/>
          <w:szCs w:val="22"/>
        </w:rPr>
        <w:t>Cunningham Broadcasting Corporation</w:t>
      </w:r>
      <w:r>
        <w:rPr>
          <w:sz w:val="22"/>
          <w:szCs w:val="22"/>
        </w:rPr>
        <w:t xml:space="preserve"> </w:t>
      </w:r>
      <w:r w:rsidRPr="00646A1F">
        <w:rPr>
          <w:sz w:val="22"/>
          <w:szCs w:val="22"/>
        </w:rPr>
        <w:t>and KMTR Television, LLC</w:t>
      </w:r>
    </w:p>
    <w:p w:rsidR="00957EAF" w:rsidRPr="00646A1F" w:rsidP="00957EAF" w14:paraId="36ED2EC4" w14:textId="77777777">
      <w:pPr>
        <w:widowControl w:val="0"/>
        <w:rPr>
          <w:sz w:val="22"/>
          <w:szCs w:val="22"/>
        </w:rPr>
      </w:pPr>
      <w:r w:rsidRPr="00646A1F">
        <w:rPr>
          <w:sz w:val="22"/>
          <w:szCs w:val="22"/>
        </w:rPr>
        <w:t>c/o Scott R. Flick</w:t>
      </w:r>
    </w:p>
    <w:p w:rsidR="00957EAF" w:rsidRPr="00646A1F" w:rsidP="00957EAF" w14:paraId="4427F27D" w14:textId="77777777">
      <w:pPr>
        <w:widowControl w:val="0"/>
        <w:rPr>
          <w:sz w:val="22"/>
          <w:szCs w:val="22"/>
        </w:rPr>
      </w:pPr>
      <w:r w:rsidRPr="00646A1F">
        <w:rPr>
          <w:sz w:val="22"/>
          <w:szCs w:val="22"/>
        </w:rPr>
        <w:t>Pillsbury Winthrop Shaw Pittman LLP</w:t>
      </w:r>
    </w:p>
    <w:p w:rsidR="00957EAF" w:rsidRPr="00646A1F" w:rsidP="00957EAF" w14:paraId="4B8E84B8" w14:textId="77777777">
      <w:pPr>
        <w:widowControl w:val="0"/>
        <w:rPr>
          <w:sz w:val="22"/>
          <w:szCs w:val="22"/>
        </w:rPr>
      </w:pPr>
      <w:r w:rsidRPr="00646A1F">
        <w:rPr>
          <w:sz w:val="22"/>
          <w:szCs w:val="22"/>
        </w:rPr>
        <w:t>1200 Seventeenth Street, NW</w:t>
      </w:r>
    </w:p>
    <w:p w:rsidR="00957EAF" w:rsidRPr="00646A1F" w:rsidP="00957EAF" w14:paraId="3586627B" w14:textId="77777777">
      <w:pPr>
        <w:widowControl w:val="0"/>
        <w:rPr>
          <w:sz w:val="22"/>
          <w:szCs w:val="22"/>
        </w:rPr>
      </w:pPr>
      <w:r w:rsidRPr="00646A1F">
        <w:rPr>
          <w:sz w:val="22"/>
          <w:szCs w:val="22"/>
        </w:rPr>
        <w:t>Washington, DC  20036</w:t>
      </w:r>
    </w:p>
    <w:p w:rsidR="00957EAF" w:rsidRPr="00646A1F" w:rsidP="00957EAF" w14:paraId="7F7CE824" w14:textId="77777777">
      <w:pPr>
        <w:widowControl w:val="0"/>
        <w:rPr>
          <w:sz w:val="22"/>
          <w:szCs w:val="22"/>
        </w:rPr>
      </w:pPr>
    </w:p>
    <w:p w:rsidR="00957EAF" w:rsidRPr="00646A1F" w:rsidP="00957EAF" w14:paraId="75E296A6" w14:textId="77777777">
      <w:pPr>
        <w:widowControl w:val="0"/>
        <w:rPr>
          <w:sz w:val="22"/>
          <w:szCs w:val="22"/>
        </w:rPr>
      </w:pPr>
      <w:r w:rsidRPr="00646A1F">
        <w:rPr>
          <w:sz w:val="22"/>
          <w:szCs w:val="22"/>
        </w:rPr>
        <w:t>DIRECTV, LLC</w:t>
      </w:r>
    </w:p>
    <w:p w:rsidR="00957EAF" w:rsidRPr="00646A1F" w:rsidP="00957EAF" w14:paraId="10BA5BF6" w14:textId="77777777">
      <w:pPr>
        <w:widowControl w:val="0"/>
        <w:rPr>
          <w:sz w:val="22"/>
          <w:szCs w:val="22"/>
        </w:rPr>
      </w:pPr>
      <w:r w:rsidRPr="00646A1F">
        <w:rPr>
          <w:sz w:val="22"/>
          <w:szCs w:val="22"/>
        </w:rPr>
        <w:t>c/o Michael Nilsson</w:t>
      </w:r>
    </w:p>
    <w:p w:rsidR="00957EAF" w:rsidRPr="00646A1F" w:rsidP="00957EAF" w14:paraId="5866B75F" w14:textId="77777777">
      <w:pPr>
        <w:widowControl w:val="0"/>
        <w:rPr>
          <w:sz w:val="22"/>
          <w:szCs w:val="22"/>
        </w:rPr>
      </w:pPr>
      <w:r w:rsidRPr="00646A1F">
        <w:rPr>
          <w:sz w:val="22"/>
          <w:szCs w:val="22"/>
        </w:rPr>
        <w:t>HWG LLP</w:t>
      </w:r>
    </w:p>
    <w:p w:rsidR="00957EAF" w:rsidRPr="00646A1F" w:rsidP="00957EAF" w14:paraId="77958A87" w14:textId="77777777">
      <w:pPr>
        <w:widowControl w:val="0"/>
        <w:rPr>
          <w:sz w:val="22"/>
          <w:szCs w:val="22"/>
        </w:rPr>
      </w:pPr>
      <w:r w:rsidRPr="00646A1F">
        <w:rPr>
          <w:sz w:val="22"/>
          <w:szCs w:val="22"/>
        </w:rPr>
        <w:t>1919 M Street, NW</w:t>
      </w:r>
    </w:p>
    <w:p w:rsidR="00957EAF" w:rsidRPr="00646A1F" w:rsidP="00957EAF" w14:paraId="3EF06723" w14:textId="77777777">
      <w:pPr>
        <w:widowControl w:val="0"/>
        <w:rPr>
          <w:sz w:val="22"/>
          <w:szCs w:val="22"/>
        </w:rPr>
      </w:pPr>
      <w:r w:rsidRPr="00646A1F">
        <w:rPr>
          <w:sz w:val="22"/>
          <w:szCs w:val="22"/>
        </w:rPr>
        <w:t>Washington, DC  20036</w:t>
      </w:r>
    </w:p>
    <w:p w:rsidR="00957EAF" w:rsidRPr="00646A1F" w:rsidP="00957EAF" w14:paraId="27B17A90" w14:textId="77777777">
      <w:pPr>
        <w:widowControl w:val="0"/>
        <w:rPr>
          <w:sz w:val="22"/>
          <w:szCs w:val="22"/>
        </w:rPr>
      </w:pPr>
    </w:p>
    <w:p w:rsidR="00957EAF" w:rsidP="00957EAF" w14:paraId="5EB7BFC6" w14:textId="77777777">
      <w:pPr>
        <w:pStyle w:val="ParaNum"/>
        <w:numPr>
          <w:ilvl w:val="0"/>
          <w:numId w:val="0"/>
        </w:numPr>
        <w:spacing w:after="0"/>
        <w:ind w:left="4680" w:hanging="720"/>
      </w:pPr>
      <w:r>
        <w:t>Re:</w:t>
      </w:r>
      <w:r>
        <w:tab/>
      </w:r>
      <w:r w:rsidRPr="00C448FB">
        <w:t>Applications for Assignment of License</w:t>
      </w:r>
      <w:r>
        <w:t xml:space="preserve">s </w:t>
      </w:r>
      <w:r w:rsidRPr="00F079D0">
        <w:t xml:space="preserve">from </w:t>
      </w:r>
    </w:p>
    <w:p w:rsidR="00957EAF" w:rsidP="00957EAF" w14:paraId="4A450A7C" w14:textId="77777777">
      <w:pPr>
        <w:pStyle w:val="ParaNum"/>
        <w:numPr>
          <w:ilvl w:val="0"/>
          <w:numId w:val="0"/>
        </w:numPr>
        <w:spacing w:after="0" w:line="120" w:lineRule="auto"/>
        <w:ind w:left="4680" w:hanging="720"/>
      </w:pPr>
    </w:p>
    <w:p w:rsidR="00957EAF" w:rsidP="00957EAF" w14:paraId="55B0250A" w14:textId="77777777">
      <w:pPr>
        <w:pStyle w:val="ParaNum"/>
        <w:numPr>
          <w:ilvl w:val="0"/>
          <w:numId w:val="0"/>
        </w:numPr>
        <w:spacing w:after="0"/>
        <w:ind w:left="4680"/>
      </w:pPr>
      <w:r w:rsidRPr="00F079D0">
        <w:t>Cunningham Broadcasting Corporation,</w:t>
      </w:r>
      <w:r w:rsidRPr="00C448FB">
        <w:t xml:space="preserve"> </w:t>
      </w:r>
    </w:p>
    <w:p w:rsidR="00957EAF" w:rsidP="00957EAF" w14:paraId="6189E359" w14:textId="77777777">
      <w:pPr>
        <w:pStyle w:val="ParaNum"/>
        <w:numPr>
          <w:ilvl w:val="0"/>
          <w:numId w:val="0"/>
        </w:numPr>
        <w:spacing w:after="0"/>
        <w:ind w:left="4680"/>
        <w:rPr>
          <w:snapToGrid/>
          <w:kern w:val="0"/>
          <w:sz w:val="20"/>
          <w:szCs w:val="22"/>
        </w:rPr>
      </w:pPr>
      <w:r w:rsidRPr="00C448FB">
        <w:t>LMS File Nos. 0000276551</w:t>
      </w:r>
      <w:r w:rsidRPr="00B04CFE">
        <w:t xml:space="preserve"> et al</w:t>
      </w:r>
      <w:r w:rsidRPr="00C448FB">
        <w:rPr>
          <w:i/>
          <w:iCs/>
        </w:rPr>
        <w:t>.</w:t>
      </w:r>
      <w:r w:rsidRPr="00A02DCA">
        <w:rPr>
          <w:snapToGrid/>
          <w:kern w:val="0"/>
          <w:sz w:val="20"/>
          <w:szCs w:val="22"/>
        </w:rPr>
        <w:t xml:space="preserve"> </w:t>
      </w:r>
    </w:p>
    <w:p w:rsidR="00957EAF" w:rsidP="00957EAF" w14:paraId="01E3AAB2" w14:textId="77777777">
      <w:pPr>
        <w:pStyle w:val="ParaNum"/>
        <w:numPr>
          <w:ilvl w:val="0"/>
          <w:numId w:val="0"/>
        </w:numPr>
        <w:spacing w:after="0" w:line="120" w:lineRule="auto"/>
        <w:ind w:left="4680"/>
      </w:pPr>
    </w:p>
    <w:p w:rsidR="00957EAF" w:rsidP="00957EAF" w14:paraId="16182E95" w14:textId="77777777">
      <w:pPr>
        <w:pStyle w:val="ParaNum"/>
        <w:numPr>
          <w:ilvl w:val="0"/>
          <w:numId w:val="0"/>
        </w:numPr>
        <w:spacing w:after="0"/>
        <w:ind w:left="4680"/>
      </w:pPr>
      <w:r w:rsidRPr="003F3580">
        <w:t xml:space="preserve">and </w:t>
      </w:r>
    </w:p>
    <w:p w:rsidR="00957EAF" w:rsidP="00957EAF" w14:paraId="38BFBB49" w14:textId="77777777">
      <w:pPr>
        <w:pStyle w:val="ParaNum"/>
        <w:numPr>
          <w:ilvl w:val="0"/>
          <w:numId w:val="0"/>
        </w:numPr>
        <w:spacing w:after="0" w:line="120" w:lineRule="auto"/>
        <w:ind w:left="4680"/>
      </w:pPr>
    </w:p>
    <w:p w:rsidR="00957EAF" w:rsidP="00957EAF" w14:paraId="2E80AFFE" w14:textId="77777777">
      <w:pPr>
        <w:pStyle w:val="ParaNum"/>
        <w:numPr>
          <w:ilvl w:val="0"/>
          <w:numId w:val="0"/>
        </w:numPr>
        <w:spacing w:after="0"/>
        <w:ind w:left="4680"/>
      </w:pPr>
      <w:r w:rsidRPr="003F3580">
        <w:t xml:space="preserve">KMTR Television, LLC, </w:t>
      </w:r>
    </w:p>
    <w:p w:rsidR="00957EAF" w:rsidP="00957EAF" w14:paraId="19EC8043" w14:textId="77777777">
      <w:pPr>
        <w:pStyle w:val="ParaNum"/>
        <w:numPr>
          <w:ilvl w:val="0"/>
          <w:numId w:val="0"/>
        </w:numPr>
        <w:spacing w:after="0"/>
        <w:ind w:left="4680"/>
      </w:pPr>
      <w:r w:rsidRPr="003F3580">
        <w:t xml:space="preserve">LMS File Nos. 0000276767 et al. </w:t>
      </w:r>
    </w:p>
    <w:p w:rsidR="00957EAF" w:rsidP="00957EAF" w14:paraId="21014DC7" w14:textId="77777777">
      <w:pPr>
        <w:pStyle w:val="ParaNum"/>
        <w:numPr>
          <w:ilvl w:val="0"/>
          <w:numId w:val="0"/>
        </w:numPr>
        <w:spacing w:after="0" w:line="120" w:lineRule="auto"/>
        <w:ind w:left="4680"/>
      </w:pPr>
    </w:p>
    <w:p w:rsidR="00957EAF" w:rsidRPr="00A02DCA" w:rsidP="00957EAF" w14:paraId="4A11910D" w14:textId="77777777">
      <w:pPr>
        <w:pStyle w:val="ParaNum"/>
        <w:numPr>
          <w:ilvl w:val="0"/>
          <w:numId w:val="0"/>
        </w:numPr>
        <w:ind w:left="4680"/>
        <w:rPr>
          <w:lang w:val="pt-BR"/>
        </w:rPr>
      </w:pPr>
      <w:r w:rsidRPr="003F3580">
        <w:t>to Subsidiaries of Sinclair, Inc.</w:t>
      </w:r>
    </w:p>
    <w:p w:rsidR="00957EAF" w:rsidP="00957EAF" w14:paraId="1EF67DAF" w14:textId="77777777">
      <w:pPr>
        <w:pStyle w:val="ParaNum"/>
        <w:numPr>
          <w:ilvl w:val="0"/>
          <w:numId w:val="0"/>
        </w:numPr>
      </w:pPr>
      <w:r>
        <w:t>Dear Counsel:</w:t>
      </w:r>
    </w:p>
    <w:p w:rsidR="00957EAF" w:rsidRPr="000A31DE" w:rsidP="00957EAF" w14:paraId="714073DE" w14:textId="77777777">
      <w:pPr>
        <w:widowControl w:val="0"/>
        <w:spacing w:after="120"/>
        <w:ind w:firstLine="720"/>
        <w:rPr>
          <w:snapToGrid w:val="0"/>
          <w:kern w:val="28"/>
          <w:sz w:val="22"/>
        </w:rPr>
      </w:pPr>
      <w:r w:rsidRPr="000A31DE">
        <w:rPr>
          <w:snapToGrid w:val="0"/>
          <w:kern w:val="28"/>
          <w:sz w:val="22"/>
        </w:rPr>
        <w:t>The Video Division</w:t>
      </w:r>
      <w:r>
        <w:rPr>
          <w:snapToGrid w:val="0"/>
          <w:kern w:val="28"/>
          <w:sz w:val="22"/>
        </w:rPr>
        <w:t>, Media Bureau,</w:t>
      </w:r>
      <w:r w:rsidRPr="000A31DE">
        <w:rPr>
          <w:snapToGrid w:val="0"/>
          <w:kern w:val="28"/>
          <w:sz w:val="22"/>
        </w:rPr>
        <w:t xml:space="preserve"> has before it two sets of applications that seek consent to the assignment of broadcast </w:t>
      </w:r>
      <w:r>
        <w:rPr>
          <w:snapToGrid w:val="0"/>
          <w:kern w:val="28"/>
          <w:sz w:val="22"/>
        </w:rPr>
        <w:t xml:space="preserve">television </w:t>
      </w:r>
      <w:r w:rsidRPr="000A31DE">
        <w:rPr>
          <w:snapToGrid w:val="0"/>
          <w:kern w:val="28"/>
          <w:sz w:val="22"/>
        </w:rPr>
        <w:t xml:space="preserve">stations to subsidiaries of Sinclair, Inc. </w:t>
      </w:r>
      <w:r>
        <w:rPr>
          <w:snapToGrid w:val="0"/>
          <w:kern w:val="28"/>
          <w:sz w:val="22"/>
        </w:rPr>
        <w:t xml:space="preserve">(Sinclair). </w:t>
      </w:r>
      <w:r w:rsidRPr="000A31DE">
        <w:rPr>
          <w:snapToGrid w:val="0"/>
          <w:kern w:val="28"/>
          <w:sz w:val="22"/>
        </w:rPr>
        <w:t xml:space="preserve"> The first set seeks to assign KMTR(TV), Eugene, Oregon</w:t>
      </w:r>
      <w:r>
        <w:rPr>
          <w:snapToGrid w:val="0"/>
          <w:kern w:val="28"/>
          <w:sz w:val="22"/>
        </w:rPr>
        <w:t>,</w:t>
      </w:r>
      <w:r w:rsidRPr="000A31DE">
        <w:rPr>
          <w:snapToGrid w:val="0"/>
          <w:kern w:val="28"/>
          <w:sz w:val="22"/>
        </w:rPr>
        <w:t xml:space="preserve"> from KMTR Television, LLC, a subsidiary of Roberts Media</w:t>
      </w:r>
      <w:r>
        <w:rPr>
          <w:snapToGrid w:val="0"/>
          <w:kern w:val="28"/>
          <w:sz w:val="22"/>
        </w:rPr>
        <w:t>,</w:t>
      </w:r>
      <w:r w:rsidRPr="000A31DE">
        <w:rPr>
          <w:snapToGrid w:val="0"/>
          <w:kern w:val="28"/>
          <w:sz w:val="22"/>
        </w:rPr>
        <w:t xml:space="preserve"> LLC (Roberts) to a Sinclair subsidiary (Roberts Application).  The second set seeks consent to assign the licenses of certain broadcast television stations from subsidiaries of Cunningham Broadcasting Corporation (Cunningham) to subsidiaries of Sinclair (Cunningham Applications, and jointly with the Roberts Application, Applications).</w:t>
      </w:r>
      <w:r>
        <w:rPr>
          <w:snapToGrid w:val="0"/>
          <w:kern w:val="28"/>
          <w:sz w:val="22"/>
          <w:vertAlign w:val="superscript"/>
        </w:rPr>
        <w:footnoteReference w:id="2"/>
      </w:r>
      <w:r w:rsidRPr="000A31DE">
        <w:rPr>
          <w:snapToGrid w:val="0"/>
          <w:kern w:val="28"/>
          <w:sz w:val="22"/>
        </w:rPr>
        <w:t xml:space="preserve">  DIRECTV, LLC (DIRECTV) filed separate petitions to deny </w:t>
      </w:r>
      <w:r>
        <w:rPr>
          <w:snapToGrid w:val="0"/>
          <w:kern w:val="28"/>
          <w:sz w:val="22"/>
        </w:rPr>
        <w:t>the A</w:t>
      </w:r>
      <w:r w:rsidRPr="000A31DE">
        <w:rPr>
          <w:snapToGrid w:val="0"/>
          <w:kern w:val="28"/>
          <w:sz w:val="22"/>
        </w:rPr>
        <w:t>pplications.</w:t>
      </w:r>
      <w:r>
        <w:rPr>
          <w:snapToGrid w:val="0"/>
          <w:kern w:val="28"/>
          <w:sz w:val="22"/>
          <w:vertAlign w:val="superscript"/>
        </w:rPr>
        <w:footnoteReference w:id="3"/>
      </w:r>
      <w:r w:rsidRPr="000A31DE">
        <w:rPr>
          <w:snapToGrid w:val="0"/>
          <w:kern w:val="28"/>
          <w:sz w:val="22"/>
        </w:rPr>
        <w:t xml:space="preserve">  For the reasons set forth below, we deny the Petitions and grant the Applications.</w:t>
      </w:r>
    </w:p>
    <w:p w:rsidR="00957EAF" w:rsidRPr="00231F70" w:rsidP="00957EAF" w14:paraId="50AA0EEC" w14:textId="77777777">
      <w:pPr>
        <w:spacing w:after="120"/>
        <w:ind w:firstLine="720"/>
        <w:rPr>
          <w:snapToGrid w:val="0"/>
          <w:kern w:val="28"/>
          <w:sz w:val="22"/>
        </w:rPr>
      </w:pPr>
      <w:r w:rsidRPr="00231F70">
        <w:rPr>
          <w:i/>
          <w:iCs/>
          <w:snapToGrid w:val="0"/>
          <w:kern w:val="28"/>
          <w:sz w:val="22"/>
        </w:rPr>
        <w:t>Applications</w:t>
      </w:r>
      <w:r w:rsidRPr="00231F70">
        <w:rPr>
          <w:snapToGrid w:val="0"/>
          <w:kern w:val="28"/>
          <w:sz w:val="22"/>
        </w:rPr>
        <w:t>.  Grant of the Applications would result in Sinclair owning more than one station ranked among the top four in certain Nielsen Designated Market Areas (DMA</w:t>
      </w:r>
      <w:r>
        <w:rPr>
          <w:snapToGrid w:val="0"/>
          <w:kern w:val="28"/>
          <w:sz w:val="22"/>
        </w:rPr>
        <w:t>s</w:t>
      </w:r>
      <w:r w:rsidRPr="00231F70">
        <w:rPr>
          <w:snapToGrid w:val="0"/>
          <w:kern w:val="28"/>
          <w:sz w:val="22"/>
        </w:rPr>
        <w:t>), as follows:</w:t>
      </w:r>
      <w:r>
        <w:rPr>
          <w:snapToGrid w:val="0"/>
          <w:kern w:val="28"/>
          <w:sz w:val="22"/>
          <w:vertAlign w:val="superscript"/>
        </w:rPr>
        <w:footnoteReference w:id="4"/>
      </w:r>
    </w:p>
    <w:p w:rsidR="00957EAF" w:rsidRPr="00231F70" w:rsidP="00957EAF" w14:paraId="270B5691" w14:textId="77777777">
      <w:pPr>
        <w:widowControl w:val="0"/>
        <w:numPr>
          <w:ilvl w:val="0"/>
          <w:numId w:val="2"/>
        </w:numPr>
        <w:spacing w:after="120"/>
        <w:rPr>
          <w:snapToGrid w:val="0"/>
          <w:kern w:val="28"/>
          <w:sz w:val="22"/>
        </w:rPr>
      </w:pPr>
      <w:r w:rsidRPr="00231F70">
        <w:rPr>
          <w:snapToGrid w:val="0"/>
          <w:kern w:val="28"/>
          <w:sz w:val="22"/>
          <w:u w:val="single"/>
        </w:rPr>
        <w:t>Eugene</w:t>
      </w:r>
      <w:r w:rsidRPr="00231F70">
        <w:rPr>
          <w:snapToGrid w:val="0"/>
          <w:kern w:val="28"/>
          <w:sz w:val="22"/>
        </w:rPr>
        <w:t>.  Sinclair currently owns KVAL-TV, Eugene, Oregon, and would acquire KMTR</w:t>
      </w:r>
      <w:r>
        <w:rPr>
          <w:snapToGrid w:val="0"/>
          <w:kern w:val="28"/>
          <w:sz w:val="22"/>
        </w:rPr>
        <w:t>, Eugene, Oregon</w:t>
      </w:r>
      <w:r w:rsidRPr="00231F70">
        <w:rPr>
          <w:snapToGrid w:val="0"/>
          <w:kern w:val="28"/>
          <w:sz w:val="22"/>
        </w:rPr>
        <w:t>.</w:t>
      </w:r>
      <w:r>
        <w:rPr>
          <w:rStyle w:val="FootnoteReference"/>
          <w:snapToGrid w:val="0"/>
          <w:kern w:val="28"/>
        </w:rPr>
        <w:footnoteReference w:id="5"/>
      </w:r>
    </w:p>
    <w:p w:rsidR="00957EAF" w:rsidRPr="00231F70" w:rsidP="00957EAF" w14:paraId="7904C28D" w14:textId="77777777">
      <w:pPr>
        <w:widowControl w:val="0"/>
        <w:numPr>
          <w:ilvl w:val="0"/>
          <w:numId w:val="2"/>
        </w:numPr>
        <w:spacing w:after="120"/>
        <w:rPr>
          <w:snapToGrid w:val="0"/>
          <w:kern w:val="28"/>
          <w:sz w:val="22"/>
        </w:rPr>
      </w:pPr>
      <w:r w:rsidRPr="00231F70">
        <w:rPr>
          <w:snapToGrid w:val="0"/>
          <w:kern w:val="28"/>
          <w:sz w:val="22"/>
          <w:u w:val="single"/>
        </w:rPr>
        <w:t>Portland-Auburn</w:t>
      </w:r>
      <w:r w:rsidRPr="00231F70">
        <w:rPr>
          <w:snapToGrid w:val="0"/>
          <w:kern w:val="28"/>
          <w:sz w:val="22"/>
        </w:rPr>
        <w:t>.  Sinclair currently owns WGME-TV, Portland, Maine, and would acquire WPFO(TV), Waterville, Maine.</w:t>
      </w:r>
    </w:p>
    <w:p w:rsidR="00957EAF" w:rsidRPr="00231F70" w:rsidP="00957EAF" w14:paraId="46A89F2C" w14:textId="77777777">
      <w:pPr>
        <w:widowControl w:val="0"/>
        <w:numPr>
          <w:ilvl w:val="0"/>
          <w:numId w:val="2"/>
        </w:numPr>
        <w:spacing w:after="120"/>
        <w:rPr>
          <w:snapToGrid w:val="0"/>
          <w:kern w:val="28"/>
          <w:sz w:val="22"/>
          <w:u w:val="single"/>
        </w:rPr>
      </w:pPr>
      <w:r w:rsidRPr="00231F70">
        <w:rPr>
          <w:snapToGrid w:val="0"/>
          <w:kern w:val="28"/>
          <w:sz w:val="22"/>
          <w:u w:val="single"/>
        </w:rPr>
        <w:t>Eureka</w:t>
      </w:r>
      <w:r w:rsidRPr="00231F70">
        <w:rPr>
          <w:snapToGrid w:val="0"/>
          <w:kern w:val="28"/>
          <w:sz w:val="22"/>
        </w:rPr>
        <w:t>.  Sinclair currently owns KAEF-TV, Arcata, California, and would acquire KBVU(TV), Eureka, California.</w:t>
      </w:r>
    </w:p>
    <w:p w:rsidR="00957EAF" w:rsidRPr="00231F70" w:rsidP="00957EAF" w14:paraId="4DEF2FE1" w14:textId="77777777">
      <w:pPr>
        <w:widowControl w:val="0"/>
        <w:numPr>
          <w:ilvl w:val="0"/>
          <w:numId w:val="2"/>
        </w:numPr>
        <w:spacing w:after="120"/>
        <w:rPr>
          <w:snapToGrid w:val="0"/>
          <w:kern w:val="28"/>
          <w:sz w:val="22"/>
        </w:rPr>
      </w:pPr>
      <w:r w:rsidRPr="00231F70">
        <w:rPr>
          <w:snapToGrid w:val="0"/>
          <w:kern w:val="28"/>
          <w:sz w:val="22"/>
          <w:u w:val="single"/>
        </w:rPr>
        <w:t>Chico-Redding</w:t>
      </w:r>
      <w:r w:rsidRPr="00231F70">
        <w:rPr>
          <w:snapToGrid w:val="0"/>
          <w:kern w:val="28"/>
          <w:sz w:val="22"/>
        </w:rPr>
        <w:t>.  Sinclair currently owns KRCR-TV, Redding, California, and would acquire KCVU(TV), Paradise, California.</w:t>
      </w:r>
    </w:p>
    <w:p w:rsidR="00957EAF" w:rsidRPr="00231F70" w:rsidP="00957EAF" w14:paraId="6C0C9CDB" w14:textId="77777777">
      <w:pPr>
        <w:widowControl w:val="0"/>
        <w:numPr>
          <w:ilvl w:val="0"/>
          <w:numId w:val="2"/>
        </w:numPr>
        <w:spacing w:after="120"/>
        <w:rPr>
          <w:i/>
          <w:iCs/>
          <w:snapToGrid w:val="0"/>
          <w:kern w:val="28"/>
          <w:sz w:val="22"/>
          <w:u w:val="single"/>
        </w:rPr>
      </w:pPr>
      <w:r w:rsidRPr="00231F70">
        <w:rPr>
          <w:snapToGrid w:val="0"/>
          <w:kern w:val="28"/>
          <w:sz w:val="22"/>
          <w:u w:val="single"/>
        </w:rPr>
        <w:t>Tri-Cities</w:t>
      </w:r>
      <w:r>
        <w:rPr>
          <w:snapToGrid w:val="0"/>
          <w:kern w:val="28"/>
          <w:sz w:val="22"/>
          <w:u w:val="single"/>
        </w:rPr>
        <w:t>, TN-VA</w:t>
      </w:r>
      <w:r w:rsidRPr="00231F70">
        <w:rPr>
          <w:snapToGrid w:val="0"/>
          <w:kern w:val="28"/>
          <w:sz w:val="22"/>
        </w:rPr>
        <w:t>.  Sinclair currently owns WCYB-TV, Bristol, Virginia, and would acquire WEMT(TV), Greeneville, Tennessee.</w:t>
      </w:r>
    </w:p>
    <w:p w:rsidR="00957EAF" w:rsidP="00957EAF" w14:paraId="3AEA80C2" w14:textId="77777777">
      <w:pPr>
        <w:widowControl w:val="0"/>
        <w:spacing w:after="120"/>
        <w:ind w:firstLine="720"/>
        <w:rPr>
          <w:snapToGrid w:val="0"/>
          <w:kern w:val="28"/>
          <w:sz w:val="22"/>
        </w:rPr>
      </w:pPr>
      <w:r>
        <w:rPr>
          <w:snapToGrid w:val="0"/>
          <w:kern w:val="28"/>
          <w:sz w:val="22"/>
        </w:rPr>
        <w:t>Consistent with the Local Television Ownership Rule</w:t>
      </w:r>
      <w:r>
        <w:rPr>
          <w:rStyle w:val="FootnoteReference"/>
          <w:snapToGrid w:val="0"/>
          <w:kern w:val="28"/>
        </w:rPr>
        <w:footnoteReference w:id="6"/>
      </w:r>
      <w:r>
        <w:rPr>
          <w:snapToGrid w:val="0"/>
          <w:kern w:val="28"/>
          <w:sz w:val="22"/>
        </w:rPr>
        <w:t xml:space="preserve"> in effect at the time the Applications were filed,</w:t>
      </w:r>
      <w:r>
        <w:rPr>
          <w:rStyle w:val="FootnoteReference"/>
          <w:snapToGrid w:val="0"/>
          <w:kern w:val="28"/>
        </w:rPr>
        <w:footnoteReference w:id="7"/>
      </w:r>
      <w:r>
        <w:rPr>
          <w:snapToGrid w:val="0"/>
          <w:kern w:val="28"/>
          <w:sz w:val="22"/>
        </w:rPr>
        <w:t xml:space="preserve"> Sinclair initially requested that the Commission either grant a “failing” station waiver or, in the alternative, make a market-specific finding that </w:t>
      </w:r>
      <w:r w:rsidRPr="00A46812">
        <w:rPr>
          <w:snapToGrid w:val="0"/>
          <w:kern w:val="28"/>
          <w:sz w:val="22"/>
        </w:rPr>
        <w:t xml:space="preserve">common ownership of two top-four stations </w:t>
      </w:r>
      <w:r>
        <w:rPr>
          <w:snapToGrid w:val="0"/>
          <w:kern w:val="28"/>
          <w:sz w:val="22"/>
        </w:rPr>
        <w:t xml:space="preserve">in these DMAs </w:t>
      </w:r>
      <w:r w:rsidRPr="00A46812">
        <w:rPr>
          <w:snapToGrid w:val="0"/>
          <w:kern w:val="28"/>
          <w:sz w:val="22"/>
        </w:rPr>
        <w:t>would serve the public interest</w:t>
      </w:r>
      <w:r>
        <w:rPr>
          <w:snapToGrid w:val="0"/>
          <w:kern w:val="28"/>
          <w:sz w:val="22"/>
        </w:rPr>
        <w:t>.</w:t>
      </w:r>
      <w:r>
        <w:rPr>
          <w:rStyle w:val="FootnoteReference"/>
          <w:snapToGrid w:val="0"/>
          <w:kern w:val="28"/>
        </w:rPr>
        <w:footnoteReference w:id="8"/>
      </w:r>
      <w:r>
        <w:rPr>
          <w:snapToGrid w:val="0"/>
          <w:kern w:val="28"/>
          <w:sz w:val="22"/>
        </w:rPr>
        <w:t xml:space="preserve">  Sinclair subsequently filed amendments asserting that, in light of </w:t>
      </w:r>
      <w:r w:rsidRPr="00DA7E65">
        <w:rPr>
          <w:i/>
          <w:iCs/>
          <w:snapToGrid w:val="0"/>
          <w:kern w:val="28"/>
          <w:sz w:val="22"/>
        </w:rPr>
        <w:t>Zimmer Radio</w:t>
      </w:r>
      <w:r w:rsidRPr="00DA7E65">
        <w:rPr>
          <w:snapToGrid w:val="0"/>
          <w:kern w:val="28"/>
          <w:sz w:val="22"/>
        </w:rPr>
        <w:t>,</w:t>
      </w:r>
      <w:r>
        <w:rPr>
          <w:snapToGrid w:val="0"/>
          <w:kern w:val="28"/>
          <w:sz w:val="22"/>
        </w:rPr>
        <w:t xml:space="preserve"> the Applications comply with the Local Television Ownership Rule and that neither a “failing” station waiver nor a case-by-case market analysis remains necessary.</w:t>
      </w:r>
      <w:r>
        <w:rPr>
          <w:rStyle w:val="FootnoteReference"/>
          <w:snapToGrid w:val="0"/>
          <w:kern w:val="28"/>
        </w:rPr>
        <w:footnoteReference w:id="9"/>
      </w:r>
    </w:p>
    <w:p w:rsidR="00957EAF" w:rsidRPr="0088436A" w:rsidP="00957EAF" w14:paraId="515A6E6A" w14:textId="77777777">
      <w:pPr>
        <w:spacing w:after="120"/>
        <w:ind w:firstLine="720"/>
        <w:rPr>
          <w:snapToGrid w:val="0"/>
          <w:kern w:val="28"/>
          <w:sz w:val="22"/>
        </w:rPr>
      </w:pPr>
      <w:r w:rsidRPr="007F49AA">
        <w:rPr>
          <w:i/>
          <w:iCs/>
          <w:snapToGrid w:val="0"/>
          <w:kern w:val="28"/>
          <w:sz w:val="22"/>
        </w:rPr>
        <w:t>Background</w:t>
      </w:r>
      <w:r w:rsidRPr="007553F8">
        <w:rPr>
          <w:snapToGrid w:val="0"/>
          <w:kern w:val="28"/>
          <w:sz w:val="22"/>
        </w:rPr>
        <w:t xml:space="preserve">.  </w:t>
      </w:r>
      <w:r>
        <w:rPr>
          <w:snapToGrid w:val="0"/>
          <w:kern w:val="28"/>
          <w:sz w:val="22"/>
        </w:rPr>
        <w:t xml:space="preserve">At the time the Applications were filed, the </w:t>
      </w:r>
      <w:r w:rsidRPr="0088436A">
        <w:rPr>
          <w:snapToGrid w:val="0"/>
          <w:kern w:val="28"/>
          <w:sz w:val="22"/>
        </w:rPr>
        <w:t xml:space="preserve">Local Television Ownership Rule </w:t>
      </w:r>
      <w:r>
        <w:rPr>
          <w:snapToGrid w:val="0"/>
          <w:kern w:val="28"/>
          <w:sz w:val="22"/>
        </w:rPr>
        <w:t xml:space="preserve">provided that </w:t>
      </w:r>
      <w:r w:rsidRPr="0088436A">
        <w:rPr>
          <w:snapToGrid w:val="0"/>
          <w:kern w:val="28"/>
          <w:sz w:val="22"/>
        </w:rPr>
        <w:t xml:space="preserve">an entity </w:t>
      </w:r>
      <w:r>
        <w:rPr>
          <w:snapToGrid w:val="0"/>
          <w:kern w:val="28"/>
          <w:sz w:val="22"/>
        </w:rPr>
        <w:t>may</w:t>
      </w:r>
      <w:r w:rsidRPr="0088436A">
        <w:rPr>
          <w:snapToGrid w:val="0"/>
          <w:kern w:val="28"/>
          <w:sz w:val="22"/>
        </w:rPr>
        <w:t xml:space="preserve"> own two television stations licensed in the same DMA if: </w:t>
      </w:r>
      <w:r>
        <w:rPr>
          <w:snapToGrid w:val="0"/>
          <w:kern w:val="28"/>
          <w:sz w:val="22"/>
        </w:rPr>
        <w:t xml:space="preserve"> </w:t>
      </w:r>
      <w:r w:rsidRPr="0088436A">
        <w:rPr>
          <w:snapToGrid w:val="0"/>
          <w:kern w:val="28"/>
          <w:sz w:val="22"/>
        </w:rPr>
        <w:t>(1) the digital noise limited service contours of the stations . . . do not overlap; or (2) at the time the application to acquire . . . the station(s) is filed, at least one of the stations is not ranked among the top-four stations in the DMA, based on the Sunday to Saturday, 7 a.m. to 1 a.m. daypart audience share ratings averaged over a 12</w:t>
      </w:r>
      <w:r>
        <w:rPr>
          <w:snapToGrid w:val="0"/>
          <w:kern w:val="28"/>
          <w:sz w:val="22"/>
        </w:rPr>
        <w:noBreakHyphen/>
      </w:r>
      <w:r w:rsidRPr="0088436A">
        <w:rPr>
          <w:snapToGrid w:val="0"/>
          <w:kern w:val="28"/>
          <w:sz w:val="22"/>
        </w:rPr>
        <w:t>month period immediately preceding the date of the application, as measured by Nielsen Media Research or by any comparable professional, accepted audience ratings service.</w:t>
      </w:r>
      <w:r>
        <w:rPr>
          <w:snapToGrid w:val="0"/>
          <w:kern w:val="28"/>
          <w:sz w:val="22"/>
          <w:vertAlign w:val="superscript"/>
        </w:rPr>
        <w:footnoteReference w:id="10"/>
      </w:r>
      <w:r w:rsidRPr="0088436A">
        <w:rPr>
          <w:snapToGrid w:val="0"/>
          <w:kern w:val="28"/>
          <w:sz w:val="22"/>
        </w:rPr>
        <w:t xml:space="preserve">  The Commission, in its 2018 quadrennial regulatory review, tightened application of the latter provision—the Top-Four Prohibition—by amending Note 11 to the Local Television Ownership Rule to prohibit, in relevant part, new station combinations in a single DMA involving </w:t>
      </w:r>
      <w:r>
        <w:rPr>
          <w:snapToGrid w:val="0"/>
          <w:kern w:val="28"/>
          <w:sz w:val="22"/>
        </w:rPr>
        <w:t>low power television (</w:t>
      </w:r>
      <w:r w:rsidRPr="0088436A">
        <w:rPr>
          <w:snapToGrid w:val="0"/>
          <w:kern w:val="28"/>
          <w:sz w:val="22"/>
        </w:rPr>
        <w:t>LPTV</w:t>
      </w:r>
      <w:r>
        <w:rPr>
          <w:snapToGrid w:val="0"/>
          <w:kern w:val="28"/>
          <w:sz w:val="22"/>
        </w:rPr>
        <w:t>)</w:t>
      </w:r>
      <w:r w:rsidRPr="0088436A">
        <w:rPr>
          <w:snapToGrid w:val="0"/>
          <w:kern w:val="28"/>
          <w:sz w:val="22"/>
        </w:rPr>
        <w:t xml:space="preserve"> stations with top-four affiliated program streams, as well as the assignment or transfer of such pre-existing combinations.</w:t>
      </w:r>
      <w:r>
        <w:rPr>
          <w:snapToGrid w:val="0"/>
          <w:kern w:val="28"/>
          <w:sz w:val="22"/>
          <w:vertAlign w:val="superscript"/>
        </w:rPr>
        <w:footnoteReference w:id="11"/>
      </w:r>
      <w:r>
        <w:rPr>
          <w:snapToGrid w:val="0"/>
          <w:kern w:val="28"/>
          <w:sz w:val="22"/>
        </w:rPr>
        <w:t xml:space="preserve">  </w:t>
      </w:r>
      <w:r w:rsidRPr="000E0299">
        <w:rPr>
          <w:snapToGrid w:val="0"/>
          <w:kern w:val="28"/>
          <w:sz w:val="22"/>
        </w:rPr>
        <w:t>For all transactions implicating the Top-Four Prohibition, the Commission, at the request of the applicants, would consider showings that the Top-Four Prohibition, including Note 11, should not apply due to specific circumstances in a local market or with respect to a specific transaction on a case-by-case basis.</w:t>
      </w:r>
      <w:r>
        <w:rPr>
          <w:snapToGrid w:val="0"/>
          <w:kern w:val="28"/>
          <w:sz w:val="22"/>
          <w:vertAlign w:val="superscript"/>
        </w:rPr>
        <w:footnoteReference w:id="12"/>
      </w:r>
    </w:p>
    <w:p w:rsidR="00957EAF" w:rsidRPr="007553F8" w:rsidP="00957EAF" w14:paraId="154AAD7B" w14:textId="77777777">
      <w:pPr>
        <w:widowControl w:val="0"/>
        <w:spacing w:after="120"/>
        <w:ind w:firstLine="720"/>
        <w:rPr>
          <w:snapToGrid w:val="0"/>
          <w:kern w:val="28"/>
          <w:sz w:val="22"/>
        </w:rPr>
      </w:pPr>
      <w:r w:rsidRPr="007553F8">
        <w:rPr>
          <w:snapToGrid w:val="0"/>
          <w:kern w:val="28"/>
          <w:sz w:val="22"/>
        </w:rPr>
        <w:t xml:space="preserve">On July 23, 2025, the </w:t>
      </w:r>
      <w:r>
        <w:rPr>
          <w:snapToGrid w:val="0"/>
          <w:kern w:val="28"/>
          <w:sz w:val="22"/>
        </w:rPr>
        <w:t>U.S.</w:t>
      </w:r>
      <w:r w:rsidRPr="007553F8">
        <w:rPr>
          <w:snapToGrid w:val="0"/>
          <w:kern w:val="28"/>
          <w:sz w:val="22"/>
        </w:rPr>
        <w:t xml:space="preserve"> Court of Appeals, Eighth Circuit</w:t>
      </w:r>
      <w:r>
        <w:rPr>
          <w:snapToGrid w:val="0"/>
          <w:kern w:val="28"/>
          <w:sz w:val="22"/>
        </w:rPr>
        <w:t xml:space="preserve"> (Eighth Circuit)</w:t>
      </w:r>
      <w:r w:rsidRPr="007553F8">
        <w:rPr>
          <w:snapToGrid w:val="0"/>
          <w:kern w:val="28"/>
          <w:sz w:val="22"/>
        </w:rPr>
        <w:t xml:space="preserve">, issued its decision in </w:t>
      </w:r>
      <w:r w:rsidRPr="007553F8">
        <w:rPr>
          <w:i/>
          <w:iCs/>
          <w:snapToGrid w:val="0"/>
          <w:kern w:val="28"/>
          <w:sz w:val="22"/>
        </w:rPr>
        <w:t>Zimmer Radio</w:t>
      </w:r>
      <w:r w:rsidRPr="007553F8">
        <w:rPr>
          <w:snapToGrid w:val="0"/>
          <w:kern w:val="28"/>
          <w:sz w:val="22"/>
        </w:rPr>
        <w:t xml:space="preserve">, holding that, in the </w:t>
      </w:r>
      <w:r w:rsidRPr="007553F8">
        <w:rPr>
          <w:i/>
          <w:iCs/>
          <w:snapToGrid w:val="0"/>
          <w:kern w:val="28"/>
          <w:sz w:val="22"/>
        </w:rPr>
        <w:t>2018 Quadrennial Review Order</w:t>
      </w:r>
      <w:r w:rsidRPr="007553F8">
        <w:rPr>
          <w:snapToGrid w:val="0"/>
          <w:kern w:val="28"/>
          <w:sz w:val="22"/>
        </w:rPr>
        <w:t>, the Commission had sufficiently justified “retention of the Two-Station Limit”</w:t>
      </w:r>
      <w:r>
        <w:rPr>
          <w:snapToGrid w:val="0"/>
          <w:kern w:val="28"/>
          <w:sz w:val="22"/>
          <w:vertAlign w:val="superscript"/>
        </w:rPr>
        <w:footnoteReference w:id="13"/>
      </w:r>
      <w:r w:rsidRPr="007553F8">
        <w:rPr>
          <w:snapToGrid w:val="0"/>
          <w:kern w:val="28"/>
          <w:sz w:val="22"/>
        </w:rPr>
        <w:t xml:space="preserve"> of the Local Television Ownership Rule, but that it “arbitrarily and capriciously retained the Top-Four Prohibition . . . and improperly tightened Note 11.”</w:t>
      </w:r>
      <w:r>
        <w:rPr>
          <w:snapToGrid w:val="0"/>
          <w:kern w:val="28"/>
          <w:sz w:val="22"/>
          <w:vertAlign w:val="superscript"/>
        </w:rPr>
        <w:footnoteReference w:id="14"/>
      </w:r>
      <w:r w:rsidRPr="007553F8">
        <w:rPr>
          <w:snapToGrid w:val="0"/>
          <w:kern w:val="28"/>
          <w:sz w:val="22"/>
        </w:rPr>
        <w:t xml:space="preserve">  The court therefore vacated and remanded both the amendment to Note 11 and the Top-Four Prohibition, but it withheld for 90 days issuance of its Rule 41(b) mandate as to the Top-Four Prohibition.</w:t>
      </w:r>
      <w:r>
        <w:rPr>
          <w:snapToGrid w:val="0"/>
          <w:kern w:val="28"/>
          <w:sz w:val="22"/>
          <w:vertAlign w:val="superscript"/>
        </w:rPr>
        <w:footnoteReference w:id="15"/>
      </w:r>
      <w:r w:rsidRPr="007553F8">
        <w:rPr>
          <w:snapToGrid w:val="0"/>
          <w:kern w:val="28"/>
          <w:sz w:val="22"/>
        </w:rPr>
        <w:t xml:space="preserve">  It provided this delay to allow the Commission “an opportunity . . . to identify—in the existing record—adequate evidence to support any of its articulated justifications for retaining” the Top-Four Prohibition.</w:t>
      </w:r>
      <w:r>
        <w:rPr>
          <w:snapToGrid w:val="0"/>
          <w:kern w:val="28"/>
          <w:sz w:val="22"/>
          <w:vertAlign w:val="superscript"/>
        </w:rPr>
        <w:footnoteReference w:id="16"/>
      </w:r>
      <w:r w:rsidRPr="007553F8">
        <w:rPr>
          <w:snapToGrid w:val="0"/>
          <w:kern w:val="28"/>
          <w:sz w:val="22"/>
        </w:rPr>
        <w:t xml:space="preserve">  The Commission did not submit an additional filing to the court, and the court issued its mandate on October 23, 2025.</w:t>
      </w:r>
      <w:r>
        <w:rPr>
          <w:snapToGrid w:val="0"/>
          <w:kern w:val="28"/>
          <w:sz w:val="22"/>
          <w:vertAlign w:val="superscript"/>
        </w:rPr>
        <w:footnoteReference w:id="17"/>
      </w:r>
    </w:p>
    <w:p w:rsidR="00957EAF" w:rsidRPr="004A14A9" w:rsidP="00957EAF" w14:paraId="6CEDFA68" w14:textId="77777777">
      <w:pPr>
        <w:widowControl w:val="0"/>
        <w:spacing w:after="120"/>
        <w:ind w:firstLine="720"/>
        <w:rPr>
          <w:snapToGrid w:val="0"/>
          <w:kern w:val="28"/>
          <w:sz w:val="22"/>
        </w:rPr>
      </w:pPr>
      <w:r w:rsidRPr="00ED1F6E">
        <w:rPr>
          <w:i/>
          <w:iCs/>
          <w:snapToGrid w:val="0"/>
          <w:kern w:val="28"/>
          <w:sz w:val="22"/>
        </w:rPr>
        <w:t>Pleadings</w:t>
      </w:r>
      <w:r>
        <w:rPr>
          <w:snapToGrid w:val="0"/>
          <w:kern w:val="28"/>
          <w:sz w:val="22"/>
        </w:rPr>
        <w:t xml:space="preserve">.  </w:t>
      </w:r>
      <w:r w:rsidRPr="004A14A9">
        <w:rPr>
          <w:snapToGrid w:val="0"/>
          <w:kern w:val="28"/>
          <w:sz w:val="22"/>
        </w:rPr>
        <w:t xml:space="preserve">In both of its </w:t>
      </w:r>
      <w:r>
        <w:rPr>
          <w:snapToGrid w:val="0"/>
          <w:kern w:val="28"/>
          <w:sz w:val="22"/>
        </w:rPr>
        <w:t xml:space="preserve">nearly identical </w:t>
      </w:r>
      <w:r w:rsidRPr="004A14A9">
        <w:rPr>
          <w:snapToGrid w:val="0"/>
          <w:kern w:val="28"/>
          <w:sz w:val="22"/>
        </w:rPr>
        <w:t>Petitions</w:t>
      </w:r>
      <w:r>
        <w:rPr>
          <w:snapToGrid w:val="0"/>
          <w:kern w:val="28"/>
          <w:sz w:val="22"/>
        </w:rPr>
        <w:t xml:space="preserve">, </w:t>
      </w:r>
      <w:r w:rsidRPr="004A14A9">
        <w:rPr>
          <w:snapToGrid w:val="0"/>
          <w:kern w:val="28"/>
          <w:sz w:val="22"/>
        </w:rPr>
        <w:t xml:space="preserve">DIRECTV asserts that it has standing to file, basing its claim primarily on </w:t>
      </w:r>
      <w:r>
        <w:rPr>
          <w:snapToGrid w:val="0"/>
          <w:kern w:val="28"/>
          <w:sz w:val="22"/>
        </w:rPr>
        <w:t xml:space="preserve">allegations of </w:t>
      </w:r>
      <w:r w:rsidRPr="004A14A9">
        <w:rPr>
          <w:snapToGrid w:val="0"/>
          <w:kern w:val="28"/>
          <w:sz w:val="22"/>
        </w:rPr>
        <w:t>direct economic harm due to higher input prices that it will have to pay as a result of the transactions.</w:t>
      </w:r>
      <w:r>
        <w:rPr>
          <w:snapToGrid w:val="0"/>
          <w:kern w:val="28"/>
          <w:sz w:val="22"/>
          <w:vertAlign w:val="superscript"/>
        </w:rPr>
        <w:footnoteReference w:id="18"/>
      </w:r>
      <w:r w:rsidRPr="004A14A9">
        <w:rPr>
          <w:snapToGrid w:val="0"/>
          <w:kern w:val="28"/>
          <w:sz w:val="22"/>
        </w:rPr>
        <w:t xml:space="preserve">  With regard to</w:t>
      </w:r>
      <w:r>
        <w:rPr>
          <w:snapToGrid w:val="0"/>
          <w:kern w:val="28"/>
          <w:sz w:val="22"/>
        </w:rPr>
        <w:t xml:space="preserve"> </w:t>
      </w:r>
      <w:r w:rsidRPr="004A14A9">
        <w:rPr>
          <w:snapToGrid w:val="0"/>
          <w:kern w:val="28"/>
          <w:sz w:val="22"/>
        </w:rPr>
        <w:t>the applicable standard governing Commission review of the Applications</w:t>
      </w:r>
      <w:r>
        <w:rPr>
          <w:snapToGrid w:val="0"/>
          <w:kern w:val="28"/>
          <w:sz w:val="22"/>
        </w:rPr>
        <w:t xml:space="preserve"> in the wake of</w:t>
      </w:r>
      <w:r w:rsidRPr="0052035C">
        <w:rPr>
          <w:snapToGrid w:val="0"/>
          <w:kern w:val="28"/>
          <w:sz w:val="22"/>
        </w:rPr>
        <w:t xml:space="preserve"> </w:t>
      </w:r>
      <w:r w:rsidRPr="0052035C">
        <w:rPr>
          <w:i/>
          <w:iCs/>
          <w:snapToGrid w:val="0"/>
          <w:kern w:val="28"/>
          <w:sz w:val="22"/>
        </w:rPr>
        <w:t>Zimmer Radio</w:t>
      </w:r>
      <w:r w:rsidRPr="004A14A9">
        <w:rPr>
          <w:snapToGrid w:val="0"/>
          <w:kern w:val="28"/>
          <w:sz w:val="22"/>
        </w:rPr>
        <w:t xml:space="preserve">, DIRECTV contends that “[n]othing in </w:t>
      </w:r>
      <w:r w:rsidRPr="004A14A9">
        <w:rPr>
          <w:i/>
          <w:iCs/>
          <w:snapToGrid w:val="0"/>
          <w:kern w:val="28"/>
          <w:sz w:val="22"/>
        </w:rPr>
        <w:t>Zimmer Radio</w:t>
      </w:r>
      <w:r w:rsidRPr="004A14A9">
        <w:rPr>
          <w:snapToGrid w:val="0"/>
          <w:kern w:val="28"/>
          <w:sz w:val="22"/>
        </w:rPr>
        <w:t xml:space="preserve">” alters the Applicants’ obligation to show, or the Commission’s obligation to find, that the </w:t>
      </w:r>
      <w:r>
        <w:rPr>
          <w:snapToGrid w:val="0"/>
          <w:kern w:val="28"/>
          <w:sz w:val="22"/>
        </w:rPr>
        <w:t>t</w:t>
      </w:r>
      <w:r w:rsidRPr="004A14A9">
        <w:rPr>
          <w:snapToGrid w:val="0"/>
          <w:kern w:val="28"/>
          <w:sz w:val="22"/>
        </w:rPr>
        <w:t>ransaction</w:t>
      </w:r>
      <w:r>
        <w:rPr>
          <w:snapToGrid w:val="0"/>
          <w:kern w:val="28"/>
          <w:sz w:val="22"/>
        </w:rPr>
        <w:t>s</w:t>
      </w:r>
      <w:r w:rsidRPr="004A14A9">
        <w:rPr>
          <w:snapToGrid w:val="0"/>
          <w:kern w:val="28"/>
          <w:sz w:val="22"/>
        </w:rPr>
        <w:t xml:space="preserve"> serve the public interest, convenience, and necessity, including that “the </w:t>
      </w:r>
      <w:r w:rsidRPr="004A14A9">
        <w:rPr>
          <w:snapToGrid w:val="0"/>
          <w:kern w:val="28"/>
          <w:sz w:val="22"/>
        </w:rPr>
        <w:t>potential public interest benefits of the proposed transaction outweigh the public interest harms.”</w:t>
      </w:r>
      <w:r>
        <w:rPr>
          <w:snapToGrid w:val="0"/>
          <w:kern w:val="28"/>
          <w:sz w:val="22"/>
          <w:vertAlign w:val="superscript"/>
        </w:rPr>
        <w:footnoteReference w:id="19"/>
      </w:r>
      <w:r w:rsidRPr="004A14A9">
        <w:rPr>
          <w:snapToGrid w:val="0"/>
          <w:kern w:val="28"/>
          <w:sz w:val="22"/>
        </w:rPr>
        <w:t xml:space="preserve">  DIRECTV </w:t>
      </w:r>
      <w:r>
        <w:rPr>
          <w:snapToGrid w:val="0"/>
          <w:kern w:val="28"/>
          <w:sz w:val="22"/>
        </w:rPr>
        <w:t>further</w:t>
      </w:r>
      <w:r w:rsidRPr="004A14A9">
        <w:rPr>
          <w:snapToGrid w:val="0"/>
          <w:kern w:val="28"/>
          <w:sz w:val="22"/>
        </w:rPr>
        <w:t xml:space="preserve"> argue</w:t>
      </w:r>
      <w:r>
        <w:rPr>
          <w:snapToGrid w:val="0"/>
          <w:kern w:val="28"/>
          <w:sz w:val="22"/>
        </w:rPr>
        <w:t>s</w:t>
      </w:r>
      <w:r w:rsidRPr="004A14A9">
        <w:rPr>
          <w:snapToGrid w:val="0"/>
          <w:kern w:val="28"/>
          <w:sz w:val="22"/>
        </w:rPr>
        <w:t xml:space="preserve"> that the evidence shows that local television consolidation gives broadcasters more leverage to charge higher retransmission fees, which lead</w:t>
      </w:r>
      <w:r>
        <w:rPr>
          <w:snapToGrid w:val="0"/>
          <w:kern w:val="28"/>
          <w:sz w:val="22"/>
        </w:rPr>
        <w:t>s</w:t>
      </w:r>
      <w:r w:rsidRPr="004A14A9">
        <w:rPr>
          <w:snapToGrid w:val="0"/>
          <w:kern w:val="28"/>
          <w:sz w:val="22"/>
        </w:rPr>
        <w:t xml:space="preserve"> to higher bills for</w:t>
      </w:r>
      <w:r>
        <w:rPr>
          <w:snapToGrid w:val="0"/>
          <w:kern w:val="28"/>
          <w:sz w:val="22"/>
        </w:rPr>
        <w:t xml:space="preserve"> multichannel video programming distributor</w:t>
      </w:r>
      <w:r w:rsidRPr="004A14A9">
        <w:rPr>
          <w:snapToGrid w:val="0"/>
          <w:kern w:val="28"/>
          <w:sz w:val="22"/>
        </w:rPr>
        <w:t xml:space="preserve"> </w:t>
      </w:r>
      <w:r>
        <w:rPr>
          <w:snapToGrid w:val="0"/>
          <w:kern w:val="28"/>
          <w:sz w:val="22"/>
        </w:rPr>
        <w:t>(</w:t>
      </w:r>
      <w:r w:rsidRPr="004A14A9">
        <w:rPr>
          <w:snapToGrid w:val="0"/>
          <w:kern w:val="28"/>
          <w:sz w:val="22"/>
        </w:rPr>
        <w:t>MVPD</w:t>
      </w:r>
      <w:r>
        <w:rPr>
          <w:snapToGrid w:val="0"/>
          <w:kern w:val="28"/>
          <w:sz w:val="22"/>
        </w:rPr>
        <w:t>)</w:t>
      </w:r>
      <w:r w:rsidRPr="004A14A9">
        <w:rPr>
          <w:snapToGrid w:val="0"/>
          <w:kern w:val="28"/>
          <w:sz w:val="22"/>
        </w:rPr>
        <w:t xml:space="preserve"> customers.</w:t>
      </w:r>
      <w:r>
        <w:rPr>
          <w:snapToGrid w:val="0"/>
          <w:kern w:val="28"/>
          <w:sz w:val="22"/>
          <w:vertAlign w:val="superscript"/>
        </w:rPr>
        <w:footnoteReference w:id="20"/>
      </w:r>
      <w:r w:rsidRPr="004A14A9">
        <w:rPr>
          <w:snapToGrid w:val="0"/>
          <w:kern w:val="28"/>
          <w:sz w:val="22"/>
        </w:rPr>
        <w:t xml:space="preserve">  As an additional reason why the </w:t>
      </w:r>
      <w:r>
        <w:rPr>
          <w:snapToGrid w:val="0"/>
          <w:kern w:val="28"/>
          <w:sz w:val="22"/>
        </w:rPr>
        <w:t>t</w:t>
      </w:r>
      <w:r w:rsidRPr="004A14A9">
        <w:rPr>
          <w:snapToGrid w:val="0"/>
          <w:kern w:val="28"/>
          <w:sz w:val="22"/>
        </w:rPr>
        <w:t>ransactions will lead to higher prices, DIRECTV claims that “[t]he evidence has long shown that larger station groups (like Sinclair) can command higher retransmission consent rates than smaller ones” like Roberts or Cunningham.</w:t>
      </w:r>
      <w:r>
        <w:rPr>
          <w:snapToGrid w:val="0"/>
          <w:kern w:val="28"/>
          <w:sz w:val="22"/>
          <w:vertAlign w:val="superscript"/>
        </w:rPr>
        <w:footnoteReference w:id="21"/>
      </w:r>
      <w:r w:rsidRPr="004A14A9">
        <w:rPr>
          <w:snapToGrid w:val="0"/>
          <w:kern w:val="28"/>
          <w:sz w:val="22"/>
        </w:rPr>
        <w:t xml:space="preserve">  With regard to the public interest benefits articulated by the Applicants, raised in the context of the </w:t>
      </w:r>
      <w:r>
        <w:rPr>
          <w:snapToGrid w:val="0"/>
          <w:kern w:val="28"/>
          <w:sz w:val="22"/>
        </w:rPr>
        <w:t>“</w:t>
      </w:r>
      <w:r w:rsidRPr="004A14A9">
        <w:rPr>
          <w:snapToGrid w:val="0"/>
          <w:kern w:val="28"/>
          <w:sz w:val="22"/>
        </w:rPr>
        <w:t>failing</w:t>
      </w:r>
      <w:r>
        <w:rPr>
          <w:snapToGrid w:val="0"/>
          <w:kern w:val="28"/>
          <w:sz w:val="22"/>
        </w:rPr>
        <w:t>”</w:t>
      </w:r>
      <w:r w:rsidRPr="004A14A9">
        <w:rPr>
          <w:snapToGrid w:val="0"/>
          <w:kern w:val="28"/>
          <w:sz w:val="22"/>
        </w:rPr>
        <w:t xml:space="preserve"> station waivers, DIRECTV contends that the Applicants only make unverifiable “promises related to things like news,” and </w:t>
      </w:r>
      <w:r>
        <w:rPr>
          <w:snapToGrid w:val="0"/>
          <w:kern w:val="28"/>
          <w:sz w:val="22"/>
        </w:rPr>
        <w:t xml:space="preserve">that </w:t>
      </w:r>
      <w:r w:rsidRPr="004A14A9">
        <w:rPr>
          <w:snapToGrid w:val="0"/>
          <w:kern w:val="28"/>
          <w:sz w:val="22"/>
        </w:rPr>
        <w:t>these showings are “woefully insufficient” and do not constitute actual commitments.</w:t>
      </w:r>
      <w:r>
        <w:rPr>
          <w:snapToGrid w:val="0"/>
          <w:kern w:val="28"/>
          <w:sz w:val="22"/>
          <w:vertAlign w:val="superscript"/>
        </w:rPr>
        <w:footnoteReference w:id="22"/>
      </w:r>
    </w:p>
    <w:p w:rsidR="00957EAF" w:rsidRPr="004A14A9" w:rsidP="00957EAF" w14:paraId="00AC66DD" w14:textId="77777777">
      <w:pPr>
        <w:widowControl w:val="0"/>
        <w:spacing w:after="120"/>
        <w:ind w:firstLine="720"/>
        <w:rPr>
          <w:snapToGrid w:val="0"/>
          <w:kern w:val="28"/>
          <w:sz w:val="22"/>
        </w:rPr>
      </w:pPr>
      <w:r w:rsidRPr="004A14A9">
        <w:rPr>
          <w:snapToGrid w:val="0"/>
          <w:kern w:val="28"/>
          <w:sz w:val="22"/>
        </w:rPr>
        <w:t xml:space="preserve">DIRECTV also asserts that </w:t>
      </w:r>
      <w:r>
        <w:rPr>
          <w:snapToGrid w:val="0"/>
          <w:kern w:val="28"/>
          <w:sz w:val="22"/>
        </w:rPr>
        <w:t xml:space="preserve">there is “little doubt” that </w:t>
      </w:r>
      <w:r w:rsidRPr="004A14A9">
        <w:rPr>
          <w:snapToGrid w:val="0"/>
          <w:kern w:val="28"/>
          <w:sz w:val="22"/>
        </w:rPr>
        <w:t xml:space="preserve">Sinclair </w:t>
      </w:r>
      <w:r>
        <w:rPr>
          <w:snapToGrid w:val="0"/>
          <w:kern w:val="28"/>
          <w:sz w:val="22"/>
        </w:rPr>
        <w:t xml:space="preserve">“controls” </w:t>
      </w:r>
      <w:r w:rsidRPr="004A14A9">
        <w:rPr>
          <w:snapToGrid w:val="0"/>
          <w:kern w:val="28"/>
          <w:sz w:val="22"/>
        </w:rPr>
        <w:t xml:space="preserve">KMTR and </w:t>
      </w:r>
      <w:r>
        <w:rPr>
          <w:snapToGrid w:val="0"/>
          <w:kern w:val="28"/>
          <w:sz w:val="22"/>
        </w:rPr>
        <w:t xml:space="preserve">“influences” </w:t>
      </w:r>
      <w:r w:rsidRPr="004A14A9">
        <w:rPr>
          <w:snapToGrid w:val="0"/>
          <w:kern w:val="28"/>
          <w:sz w:val="22"/>
        </w:rPr>
        <w:t xml:space="preserve">the Cunningham stations </w:t>
      </w:r>
      <w:r>
        <w:rPr>
          <w:snapToGrid w:val="0"/>
          <w:kern w:val="28"/>
          <w:sz w:val="22"/>
        </w:rPr>
        <w:t>“</w:t>
      </w:r>
      <w:r w:rsidRPr="00CA53DB">
        <w:rPr>
          <w:snapToGrid w:val="0"/>
          <w:kern w:val="28"/>
          <w:sz w:val="22"/>
        </w:rPr>
        <w:t>with respect to everything other than retransmission consent</w:t>
      </w:r>
      <w:r w:rsidRPr="004A14A9">
        <w:rPr>
          <w:snapToGrid w:val="0"/>
          <w:kern w:val="28"/>
          <w:sz w:val="22"/>
        </w:rPr>
        <w:t>.</w:t>
      </w:r>
      <w:r>
        <w:rPr>
          <w:snapToGrid w:val="0"/>
          <w:kern w:val="28"/>
          <w:sz w:val="22"/>
        </w:rPr>
        <w:t>”</w:t>
      </w:r>
      <w:r>
        <w:rPr>
          <w:rStyle w:val="FootnoteReference"/>
          <w:snapToGrid w:val="0"/>
          <w:kern w:val="28"/>
        </w:rPr>
        <w:footnoteReference w:id="23"/>
      </w:r>
      <w:r w:rsidRPr="004A14A9">
        <w:rPr>
          <w:snapToGrid w:val="0"/>
          <w:kern w:val="28"/>
          <w:sz w:val="22"/>
        </w:rPr>
        <w:t xml:space="preserve">  With regard to KMTR, DIRECTV points out that Sinclair already provides news and other services to KMTR through a shared service agreement (SSA) and </w:t>
      </w:r>
      <w:r>
        <w:rPr>
          <w:snapToGrid w:val="0"/>
          <w:kern w:val="28"/>
          <w:sz w:val="22"/>
        </w:rPr>
        <w:t xml:space="preserve">that </w:t>
      </w:r>
      <w:r w:rsidRPr="004A14A9">
        <w:rPr>
          <w:snapToGrid w:val="0"/>
          <w:kern w:val="28"/>
          <w:sz w:val="22"/>
        </w:rPr>
        <w:t>Sinclair is the successor in interest to an option agreement regarding KMTR.</w:t>
      </w:r>
      <w:r>
        <w:rPr>
          <w:snapToGrid w:val="0"/>
          <w:kern w:val="28"/>
          <w:sz w:val="22"/>
          <w:vertAlign w:val="superscript"/>
        </w:rPr>
        <w:footnoteReference w:id="24"/>
      </w:r>
      <w:r w:rsidRPr="004A14A9">
        <w:rPr>
          <w:snapToGrid w:val="0"/>
          <w:kern w:val="28"/>
          <w:sz w:val="22"/>
        </w:rPr>
        <w:t xml:space="preserve">  Similarly, with regard to the five Cunningham stations, DIRECTV cites the joint sales agreements and SSAs between Sinclair and Cunningham for those stations</w:t>
      </w:r>
      <w:r>
        <w:rPr>
          <w:snapToGrid w:val="0"/>
          <w:kern w:val="28"/>
          <w:sz w:val="22"/>
        </w:rPr>
        <w:t>,</w:t>
      </w:r>
      <w:r>
        <w:rPr>
          <w:snapToGrid w:val="0"/>
          <w:kern w:val="28"/>
          <w:sz w:val="22"/>
          <w:vertAlign w:val="superscript"/>
        </w:rPr>
        <w:footnoteReference w:id="25"/>
      </w:r>
      <w:r w:rsidRPr="004A14A9">
        <w:rPr>
          <w:snapToGrid w:val="0"/>
          <w:kern w:val="28"/>
          <w:sz w:val="22"/>
        </w:rPr>
        <w:t xml:space="preserve"> </w:t>
      </w:r>
      <w:r>
        <w:rPr>
          <w:snapToGrid w:val="0"/>
          <w:kern w:val="28"/>
          <w:sz w:val="22"/>
        </w:rPr>
        <w:t>as well as</w:t>
      </w:r>
      <w:r w:rsidRPr="004A14A9">
        <w:rPr>
          <w:snapToGrid w:val="0"/>
          <w:kern w:val="28"/>
          <w:sz w:val="22"/>
        </w:rPr>
        <w:t xml:space="preserve"> the Sinclair 10-K annual report filed with the Securities and Exchange Commission, in which Sinclair reports transactions with Cunningham as “Related Person Transactions,” and also reports that the stations are Variable Interest Entities (VIEs).</w:t>
      </w:r>
      <w:r>
        <w:rPr>
          <w:snapToGrid w:val="0"/>
          <w:kern w:val="28"/>
          <w:sz w:val="22"/>
          <w:vertAlign w:val="superscript"/>
        </w:rPr>
        <w:footnoteReference w:id="26"/>
      </w:r>
    </w:p>
    <w:p w:rsidR="00957EAF" w:rsidRPr="004A14A9" w:rsidP="00957EAF" w14:paraId="70F2E228" w14:textId="77777777">
      <w:pPr>
        <w:widowControl w:val="0"/>
        <w:spacing w:after="120"/>
        <w:ind w:firstLine="720"/>
        <w:rPr>
          <w:snapToGrid w:val="0"/>
          <w:kern w:val="28"/>
          <w:sz w:val="22"/>
        </w:rPr>
      </w:pPr>
      <w:r w:rsidRPr="004A14A9">
        <w:rPr>
          <w:snapToGrid w:val="0"/>
          <w:kern w:val="28"/>
          <w:sz w:val="22"/>
        </w:rPr>
        <w:t>The Applicants jointly respond in their Oppositions that the</w:t>
      </w:r>
      <w:r>
        <w:rPr>
          <w:snapToGrid w:val="0"/>
          <w:kern w:val="28"/>
          <w:sz w:val="22"/>
        </w:rPr>
        <w:t>y</w:t>
      </w:r>
      <w:r w:rsidRPr="004A14A9">
        <w:rPr>
          <w:snapToGrid w:val="0"/>
          <w:kern w:val="28"/>
          <w:sz w:val="22"/>
        </w:rPr>
        <w:t xml:space="preserve"> have demonstrated that the proposed transaction</w:t>
      </w:r>
      <w:r>
        <w:rPr>
          <w:snapToGrid w:val="0"/>
          <w:kern w:val="28"/>
          <w:sz w:val="22"/>
        </w:rPr>
        <w:t>s</w:t>
      </w:r>
      <w:r w:rsidRPr="004A14A9">
        <w:rPr>
          <w:snapToGrid w:val="0"/>
          <w:kern w:val="28"/>
          <w:sz w:val="22"/>
        </w:rPr>
        <w:t xml:space="preserve"> </w:t>
      </w:r>
      <w:r>
        <w:rPr>
          <w:snapToGrid w:val="0"/>
          <w:kern w:val="28"/>
          <w:sz w:val="22"/>
        </w:rPr>
        <w:t>are</w:t>
      </w:r>
      <w:r w:rsidRPr="004A14A9">
        <w:rPr>
          <w:snapToGrid w:val="0"/>
          <w:kern w:val="28"/>
          <w:sz w:val="22"/>
        </w:rPr>
        <w:t xml:space="preserve"> in the public interest.</w:t>
      </w:r>
      <w:r>
        <w:rPr>
          <w:snapToGrid w:val="0"/>
          <w:kern w:val="28"/>
          <w:sz w:val="22"/>
          <w:vertAlign w:val="superscript"/>
        </w:rPr>
        <w:footnoteReference w:id="27"/>
      </w:r>
      <w:r w:rsidRPr="004A14A9">
        <w:rPr>
          <w:snapToGrid w:val="0"/>
          <w:kern w:val="28"/>
          <w:sz w:val="22"/>
        </w:rPr>
        <w:t xml:space="preserve">  The Joint Oppositions explain that the Commission relies on the application form’s “requested certifications and related attachments to determine whether a proposed transaction complies with the applicable statutes and rules and is therefore in the public interest,” and that </w:t>
      </w:r>
      <w:r w:rsidRPr="004A14A9">
        <w:rPr>
          <w:snapToGrid w:val="0"/>
          <w:kern w:val="28"/>
          <w:sz w:val="22"/>
        </w:rPr>
        <w:t>the Commission has routinely granted countless assignment applications on this basis alone.</w:t>
      </w:r>
      <w:r>
        <w:rPr>
          <w:snapToGrid w:val="0"/>
          <w:kern w:val="28"/>
          <w:sz w:val="22"/>
          <w:vertAlign w:val="superscript"/>
        </w:rPr>
        <w:footnoteReference w:id="28"/>
      </w:r>
      <w:r w:rsidRPr="004A14A9">
        <w:rPr>
          <w:snapToGrid w:val="0"/>
          <w:kern w:val="28"/>
          <w:sz w:val="22"/>
        </w:rPr>
        <w:t xml:space="preserve">  They further argue that DIRECTV’s retransmission consent arguments do not </w:t>
      </w:r>
      <w:r>
        <w:rPr>
          <w:snapToGrid w:val="0"/>
          <w:kern w:val="28"/>
          <w:sz w:val="22"/>
        </w:rPr>
        <w:t>raise</w:t>
      </w:r>
      <w:r w:rsidRPr="004A14A9">
        <w:rPr>
          <w:snapToGrid w:val="0"/>
          <w:kern w:val="28"/>
          <w:sz w:val="22"/>
        </w:rPr>
        <w:t xml:space="preserve"> cognizable public interest harms.  Specifically, they assert that DIRECTV’s retransmission consent allegations are legally irrelevant, and that an increase in rate paid by DIRECTV is not a public interest harm.</w:t>
      </w:r>
      <w:r>
        <w:rPr>
          <w:snapToGrid w:val="0"/>
          <w:kern w:val="28"/>
          <w:sz w:val="22"/>
          <w:vertAlign w:val="superscript"/>
        </w:rPr>
        <w:footnoteReference w:id="29"/>
      </w:r>
      <w:r w:rsidRPr="004A14A9">
        <w:rPr>
          <w:snapToGrid w:val="0"/>
          <w:kern w:val="28"/>
          <w:sz w:val="22"/>
        </w:rPr>
        <w:t xml:space="preserve">  In addition, the Roberts Joint Opposition </w:t>
      </w:r>
      <w:r>
        <w:rPr>
          <w:snapToGrid w:val="0"/>
          <w:kern w:val="28"/>
          <w:sz w:val="22"/>
        </w:rPr>
        <w:t>contend</w:t>
      </w:r>
      <w:r w:rsidRPr="004A14A9">
        <w:rPr>
          <w:snapToGrid w:val="0"/>
          <w:kern w:val="28"/>
          <w:sz w:val="22"/>
        </w:rPr>
        <w:t>s that DIRECTV’s unauthorized control allegations are baseless and speculative.</w:t>
      </w:r>
      <w:r>
        <w:rPr>
          <w:snapToGrid w:val="0"/>
          <w:kern w:val="28"/>
          <w:sz w:val="22"/>
          <w:vertAlign w:val="superscript"/>
        </w:rPr>
        <w:footnoteReference w:id="30"/>
      </w:r>
    </w:p>
    <w:p w:rsidR="00957EAF" w:rsidRPr="004A14A9" w:rsidP="00957EAF" w14:paraId="30DB0960" w14:textId="77777777">
      <w:pPr>
        <w:widowControl w:val="0"/>
        <w:spacing w:after="120"/>
        <w:ind w:firstLine="720"/>
        <w:rPr>
          <w:snapToGrid w:val="0"/>
          <w:kern w:val="28"/>
          <w:sz w:val="22"/>
        </w:rPr>
      </w:pPr>
      <w:r w:rsidRPr="004A14A9">
        <w:rPr>
          <w:snapToGrid w:val="0"/>
          <w:kern w:val="28"/>
          <w:sz w:val="22"/>
        </w:rPr>
        <w:t>In its replies, DIRECTV concedes that while “[b]roadcasters may have chosen not to make [a public interest] showing in routine, uncontroversial assignments, as Applicants suggest, and the Media Bureau may have even granted such routine applications, especially when unopposed,” such a practice “does not mean that broadcast transaction review—and only broadcast transaction review—constitutes an analysis-f</w:t>
      </w:r>
      <w:r>
        <w:rPr>
          <w:snapToGrid w:val="0"/>
          <w:kern w:val="28"/>
          <w:sz w:val="22"/>
        </w:rPr>
        <w:t>r</w:t>
      </w:r>
      <w:r w:rsidRPr="004A14A9">
        <w:rPr>
          <w:snapToGrid w:val="0"/>
          <w:kern w:val="28"/>
          <w:sz w:val="22"/>
        </w:rPr>
        <w:t>ee zone even when a petition to deny has been filed challenging the public interest benefits of the transaction.”</w:t>
      </w:r>
      <w:r>
        <w:rPr>
          <w:snapToGrid w:val="0"/>
          <w:kern w:val="28"/>
          <w:sz w:val="22"/>
          <w:vertAlign w:val="superscript"/>
        </w:rPr>
        <w:footnoteReference w:id="31"/>
      </w:r>
      <w:r w:rsidRPr="004A14A9">
        <w:rPr>
          <w:snapToGrid w:val="0"/>
          <w:kern w:val="28"/>
          <w:sz w:val="22"/>
        </w:rPr>
        <w:t xml:space="preserve">  DIRECTV further argues that there is no “retransmission consent exception” to the Commission’s transaction review.</w:t>
      </w:r>
      <w:r>
        <w:rPr>
          <w:snapToGrid w:val="0"/>
          <w:kern w:val="28"/>
          <w:sz w:val="22"/>
          <w:vertAlign w:val="superscript"/>
        </w:rPr>
        <w:footnoteReference w:id="32"/>
      </w:r>
      <w:r w:rsidRPr="004A14A9">
        <w:rPr>
          <w:snapToGrid w:val="0"/>
          <w:kern w:val="28"/>
          <w:sz w:val="22"/>
        </w:rPr>
        <w:t xml:space="preserve">  In the DIRECTV Roberts Reply, DIRECTV also contends that the Applicants inaccurately minimize Sinclair’s influence over KMTR.</w:t>
      </w:r>
      <w:r>
        <w:rPr>
          <w:snapToGrid w:val="0"/>
          <w:kern w:val="28"/>
          <w:sz w:val="22"/>
          <w:vertAlign w:val="superscript"/>
        </w:rPr>
        <w:footnoteReference w:id="33"/>
      </w:r>
    </w:p>
    <w:p w:rsidR="00957EAF" w:rsidRPr="00022C26" w:rsidP="00957EAF" w14:paraId="5E037C05" w14:textId="77777777">
      <w:pPr>
        <w:widowControl w:val="0"/>
        <w:spacing w:after="120"/>
        <w:ind w:firstLine="720"/>
        <w:rPr>
          <w:b/>
          <w:snapToGrid w:val="0"/>
          <w:kern w:val="28"/>
          <w:sz w:val="22"/>
        </w:rPr>
      </w:pPr>
      <w:r w:rsidRPr="00022C26">
        <w:rPr>
          <w:bCs/>
          <w:i/>
          <w:iCs/>
          <w:snapToGrid w:val="0"/>
          <w:kern w:val="28"/>
          <w:sz w:val="22"/>
        </w:rPr>
        <w:t>Standing</w:t>
      </w:r>
      <w:r w:rsidRPr="00022C26">
        <w:rPr>
          <w:bCs/>
          <w:snapToGrid w:val="0"/>
          <w:kern w:val="28"/>
          <w:sz w:val="22"/>
        </w:rPr>
        <w:t xml:space="preserve">.  Under </w:t>
      </w:r>
      <w:r>
        <w:rPr>
          <w:bCs/>
          <w:snapToGrid w:val="0"/>
          <w:kern w:val="28"/>
          <w:sz w:val="22"/>
        </w:rPr>
        <w:t xml:space="preserve">section 309(d) of </w:t>
      </w:r>
      <w:r w:rsidRPr="00022C26">
        <w:rPr>
          <w:bCs/>
          <w:snapToGrid w:val="0"/>
          <w:kern w:val="28"/>
          <w:sz w:val="22"/>
        </w:rPr>
        <w:t xml:space="preserve">the </w:t>
      </w:r>
      <w:r>
        <w:rPr>
          <w:bCs/>
          <w:snapToGrid w:val="0"/>
          <w:kern w:val="28"/>
          <w:sz w:val="22"/>
        </w:rPr>
        <w:t xml:space="preserve">Communications </w:t>
      </w:r>
      <w:r w:rsidRPr="00022C26">
        <w:rPr>
          <w:bCs/>
          <w:snapToGrid w:val="0"/>
          <w:kern w:val="28"/>
          <w:sz w:val="22"/>
        </w:rPr>
        <w:t>Act</w:t>
      </w:r>
      <w:r>
        <w:rPr>
          <w:bCs/>
          <w:snapToGrid w:val="0"/>
          <w:kern w:val="28"/>
          <w:sz w:val="22"/>
        </w:rPr>
        <w:t xml:space="preserve"> of 1934</w:t>
      </w:r>
      <w:r w:rsidRPr="00022C26">
        <w:rPr>
          <w:bCs/>
          <w:snapToGrid w:val="0"/>
          <w:kern w:val="28"/>
          <w:sz w:val="22"/>
        </w:rPr>
        <w:t>,</w:t>
      </w:r>
      <w:r>
        <w:rPr>
          <w:bCs/>
          <w:snapToGrid w:val="0"/>
          <w:kern w:val="28"/>
          <w:sz w:val="22"/>
        </w:rPr>
        <w:t xml:space="preserve"> as amended (Act), </w:t>
      </w:r>
      <w:r w:rsidRPr="00022C26">
        <w:rPr>
          <w:bCs/>
          <w:snapToGrid w:val="0"/>
          <w:kern w:val="28"/>
          <w:sz w:val="22"/>
        </w:rPr>
        <w:t>only a “party in interest” has standing to file a petition to deny.</w:t>
      </w:r>
      <w:r>
        <w:rPr>
          <w:bCs/>
          <w:snapToGrid w:val="0"/>
          <w:kern w:val="28"/>
          <w:sz w:val="22"/>
          <w:vertAlign w:val="superscript"/>
        </w:rPr>
        <w:footnoteReference w:id="34"/>
      </w:r>
      <w:r w:rsidRPr="00022C26">
        <w:rPr>
          <w:bCs/>
          <w:snapToGrid w:val="0"/>
          <w:kern w:val="28"/>
          <w:sz w:val="22"/>
        </w:rPr>
        <w:t xml:space="preserve">  In addition to containing the necessary factual allegations to support a </w:t>
      </w:r>
      <w:r w:rsidRPr="00022C26">
        <w:rPr>
          <w:bCs/>
          <w:i/>
          <w:snapToGrid w:val="0"/>
          <w:kern w:val="28"/>
          <w:sz w:val="22"/>
        </w:rPr>
        <w:t xml:space="preserve">prima facie </w:t>
      </w:r>
      <w:r w:rsidRPr="00022C26">
        <w:rPr>
          <w:bCs/>
          <w:snapToGrid w:val="0"/>
          <w:kern w:val="28"/>
          <w:sz w:val="22"/>
        </w:rPr>
        <w:t>case that grant of the application would be inconsistent with the public interest, convenience, and necessity, a petition to deny must contain specific allegations of fact demonstrating that the petitioner is a party in interest.</w:t>
      </w:r>
      <w:r>
        <w:rPr>
          <w:bCs/>
          <w:snapToGrid w:val="0"/>
          <w:kern w:val="28"/>
          <w:sz w:val="22"/>
          <w:vertAlign w:val="superscript"/>
        </w:rPr>
        <w:footnoteReference w:id="35"/>
      </w:r>
      <w:r w:rsidRPr="00022C26">
        <w:rPr>
          <w:bCs/>
          <w:snapToGrid w:val="0"/>
          <w:kern w:val="28"/>
          <w:sz w:val="22"/>
        </w:rPr>
        <w:t>  The allegations of fact, except for those of which official notice may be taken, must be</w:t>
      </w:r>
      <w:r w:rsidRPr="00022C26">
        <w:rPr>
          <w:snapToGrid w:val="0"/>
          <w:kern w:val="28"/>
          <w:sz w:val="22"/>
        </w:rPr>
        <w:t xml:space="preserve"> supported by an affidavit or declaration under penalty of perjury of someone with personal knowledge of the facts alleged.</w:t>
      </w:r>
      <w:r>
        <w:rPr>
          <w:snapToGrid w:val="0"/>
          <w:kern w:val="28"/>
          <w:sz w:val="22"/>
          <w:vertAlign w:val="superscript"/>
        </w:rPr>
        <w:footnoteReference w:id="36"/>
      </w:r>
      <w:r w:rsidRPr="00022C26">
        <w:rPr>
          <w:snapToGrid w:val="0"/>
          <w:kern w:val="28"/>
          <w:sz w:val="22"/>
        </w:rPr>
        <w:t xml:space="preserve">  In general, a petitioner in a transfer </w:t>
      </w:r>
      <w:r>
        <w:rPr>
          <w:snapToGrid w:val="0"/>
          <w:kern w:val="28"/>
          <w:sz w:val="22"/>
        </w:rPr>
        <w:t xml:space="preserve">or assignment </w:t>
      </w:r>
      <w:r w:rsidRPr="00022C26">
        <w:rPr>
          <w:snapToGrid w:val="0"/>
          <w:kern w:val="28"/>
          <w:sz w:val="22"/>
        </w:rPr>
        <w:t xml:space="preserve">proceeding also must allege and prove that:  (1) it has suffered or will suffer an injury in fact; (2) there is a causal link between the proposed assignment and the injury in fact; and (3) that not granting the </w:t>
      </w:r>
      <w:r>
        <w:rPr>
          <w:snapToGrid w:val="0"/>
          <w:kern w:val="28"/>
          <w:sz w:val="22"/>
        </w:rPr>
        <w:t xml:space="preserve">transfer or </w:t>
      </w:r>
      <w:r w:rsidRPr="00022C26">
        <w:rPr>
          <w:snapToGrid w:val="0"/>
          <w:kern w:val="28"/>
          <w:sz w:val="22"/>
        </w:rPr>
        <w:t>assignment would remedy or prevent the injury in fact.</w:t>
      </w:r>
      <w:r>
        <w:rPr>
          <w:snapToGrid w:val="0"/>
          <w:kern w:val="28"/>
          <w:sz w:val="22"/>
          <w:vertAlign w:val="superscript"/>
        </w:rPr>
        <w:footnoteReference w:id="37"/>
      </w:r>
      <w:r w:rsidRPr="00022C26">
        <w:rPr>
          <w:snapToGrid w:val="0"/>
          <w:kern w:val="28"/>
          <w:sz w:val="22"/>
        </w:rPr>
        <w:t xml:space="preserve">  In the </w:t>
      </w:r>
      <w:r w:rsidRPr="00022C26">
        <w:rPr>
          <w:bCs/>
          <w:snapToGrid w:val="0"/>
          <w:kern w:val="28"/>
          <w:sz w:val="22"/>
        </w:rPr>
        <w:t>broadcast</w:t>
      </w:r>
      <w:r w:rsidRPr="00022C26">
        <w:rPr>
          <w:snapToGrid w:val="0"/>
          <w:kern w:val="28"/>
          <w:sz w:val="22"/>
        </w:rPr>
        <w:t> regulatory context, </w:t>
      </w:r>
      <w:r w:rsidRPr="00022C26">
        <w:rPr>
          <w:bCs/>
          <w:snapToGrid w:val="0"/>
          <w:kern w:val="28"/>
          <w:sz w:val="22"/>
        </w:rPr>
        <w:t>standing</w:t>
      </w:r>
      <w:r w:rsidRPr="00022C26">
        <w:rPr>
          <w:snapToGrid w:val="0"/>
          <w:kern w:val="28"/>
          <w:sz w:val="22"/>
        </w:rPr>
        <w:t> is generally shown in one of three ways:  (1) as a competitor in the market subject to signal interference; (2) as a competitor in the market subject to economic harm; or (3) as a resident of the station</w:t>
      </w:r>
      <w:r>
        <w:rPr>
          <w:snapToGrid w:val="0"/>
          <w:kern w:val="28"/>
          <w:sz w:val="22"/>
        </w:rPr>
        <w:t>’</w:t>
      </w:r>
      <w:r w:rsidRPr="00022C26">
        <w:rPr>
          <w:snapToGrid w:val="0"/>
          <w:kern w:val="28"/>
          <w:sz w:val="22"/>
        </w:rPr>
        <w:t>s service area or regular listener of the station.</w:t>
      </w:r>
      <w:r>
        <w:rPr>
          <w:snapToGrid w:val="0"/>
          <w:kern w:val="28"/>
          <w:sz w:val="22"/>
          <w:vertAlign w:val="superscript"/>
        </w:rPr>
        <w:footnoteReference w:id="38"/>
      </w:r>
      <w:r w:rsidRPr="00022C26">
        <w:rPr>
          <w:snapToGrid w:val="0"/>
          <w:kern w:val="28"/>
          <w:sz w:val="22"/>
        </w:rPr>
        <w:t xml:space="preserve">  In the case of viewer standing, the petitioner </w:t>
      </w:r>
      <w:r w:rsidRPr="00022C26">
        <w:rPr>
          <w:snapToGrid w:val="0"/>
          <w:kern w:val="28"/>
          <w:sz w:val="22"/>
        </w:rPr>
        <w:t>must allege that he or she is a resident of the station’s service area or a regular viewer of the station.</w:t>
      </w:r>
      <w:r>
        <w:rPr>
          <w:snapToGrid w:val="0"/>
          <w:kern w:val="28"/>
          <w:sz w:val="22"/>
          <w:vertAlign w:val="superscript"/>
        </w:rPr>
        <w:footnoteReference w:id="39"/>
      </w:r>
      <w:r w:rsidRPr="00022C26">
        <w:rPr>
          <w:snapToGrid w:val="0"/>
          <w:kern w:val="28"/>
          <w:sz w:val="22"/>
        </w:rPr>
        <w:t xml:space="preserve">  An organization can establish standing on behalf of its members if it provides an affidavit or declaration “of one or more individuals entitled to standing indicating that the group represents local residents and that the petition is filed on their behalf.”</w:t>
      </w:r>
      <w:r>
        <w:rPr>
          <w:snapToGrid w:val="0"/>
          <w:kern w:val="28"/>
          <w:sz w:val="22"/>
          <w:vertAlign w:val="superscript"/>
        </w:rPr>
        <w:footnoteReference w:id="40"/>
      </w:r>
    </w:p>
    <w:p w:rsidR="00957EAF" w:rsidP="00957EAF" w14:paraId="46B9A4FB" w14:textId="77777777">
      <w:pPr>
        <w:widowControl w:val="0"/>
        <w:spacing w:after="120"/>
        <w:ind w:firstLine="720"/>
        <w:rPr>
          <w:snapToGrid w:val="0"/>
          <w:kern w:val="28"/>
          <w:sz w:val="22"/>
        </w:rPr>
      </w:pPr>
      <w:r w:rsidRPr="00022C26">
        <w:rPr>
          <w:snapToGrid w:val="0"/>
          <w:kern w:val="28"/>
          <w:sz w:val="22"/>
        </w:rPr>
        <w:t xml:space="preserve">We find that DIRECTV has demonstrated that it meets the requirements for standing with regard to the Applications.  In its </w:t>
      </w:r>
      <w:r>
        <w:rPr>
          <w:snapToGrid w:val="0"/>
          <w:kern w:val="28"/>
          <w:sz w:val="22"/>
        </w:rPr>
        <w:t>P</w:t>
      </w:r>
      <w:r w:rsidRPr="00022C26">
        <w:rPr>
          <w:snapToGrid w:val="0"/>
          <w:kern w:val="28"/>
          <w:sz w:val="22"/>
        </w:rPr>
        <w:t>etitions, DIRECTV claim</w:t>
      </w:r>
      <w:r>
        <w:rPr>
          <w:snapToGrid w:val="0"/>
          <w:kern w:val="28"/>
          <w:sz w:val="22"/>
        </w:rPr>
        <w:t>s</w:t>
      </w:r>
      <w:r w:rsidRPr="00022C26">
        <w:rPr>
          <w:snapToGrid w:val="0"/>
          <w:kern w:val="28"/>
          <w:sz w:val="22"/>
        </w:rPr>
        <w:t xml:space="preserve"> that grant of the transaction will have specific, negative effects on it, </w:t>
      </w:r>
      <w:r>
        <w:rPr>
          <w:snapToGrid w:val="0"/>
          <w:kern w:val="28"/>
          <w:sz w:val="22"/>
        </w:rPr>
        <w:t>specifically</w:t>
      </w:r>
      <w:r w:rsidRPr="00022C26">
        <w:rPr>
          <w:snapToGrid w:val="0"/>
          <w:kern w:val="28"/>
          <w:sz w:val="22"/>
        </w:rPr>
        <w:t xml:space="preserve"> related to retransmission consent fee negotiations, and that those harms can be cured by dismissal or denial of the </w:t>
      </w:r>
      <w:r>
        <w:rPr>
          <w:snapToGrid w:val="0"/>
          <w:kern w:val="28"/>
          <w:sz w:val="22"/>
        </w:rPr>
        <w:t>A</w:t>
      </w:r>
      <w:r w:rsidRPr="00022C26">
        <w:rPr>
          <w:snapToGrid w:val="0"/>
          <w:kern w:val="28"/>
          <w:sz w:val="22"/>
        </w:rPr>
        <w:t>pplications.</w:t>
      </w:r>
      <w:r>
        <w:rPr>
          <w:snapToGrid w:val="0"/>
          <w:kern w:val="28"/>
          <w:sz w:val="22"/>
          <w:vertAlign w:val="superscript"/>
        </w:rPr>
        <w:footnoteReference w:id="41"/>
      </w:r>
      <w:r w:rsidRPr="00022C26">
        <w:rPr>
          <w:snapToGrid w:val="0"/>
          <w:kern w:val="28"/>
          <w:sz w:val="22"/>
        </w:rPr>
        <w:t xml:space="preserve">  Based on these claims</w:t>
      </w:r>
      <w:r>
        <w:rPr>
          <w:snapToGrid w:val="0"/>
          <w:kern w:val="28"/>
          <w:sz w:val="22"/>
        </w:rPr>
        <w:t>,</w:t>
      </w:r>
      <w:r w:rsidRPr="00022C26">
        <w:rPr>
          <w:snapToGrid w:val="0"/>
          <w:kern w:val="28"/>
          <w:sz w:val="22"/>
        </w:rPr>
        <w:t xml:space="preserve"> and consistent with precedent, we find that </w:t>
      </w:r>
      <w:r>
        <w:rPr>
          <w:snapToGrid w:val="0"/>
          <w:kern w:val="28"/>
          <w:sz w:val="22"/>
        </w:rPr>
        <w:t>DIRECTV</w:t>
      </w:r>
      <w:r w:rsidRPr="00022C26">
        <w:rPr>
          <w:snapToGrid w:val="0"/>
          <w:kern w:val="28"/>
          <w:sz w:val="22"/>
        </w:rPr>
        <w:t xml:space="preserve"> has met the requirements for standing.</w:t>
      </w:r>
      <w:r>
        <w:rPr>
          <w:snapToGrid w:val="0"/>
          <w:kern w:val="28"/>
          <w:sz w:val="22"/>
          <w:vertAlign w:val="superscript"/>
        </w:rPr>
        <w:footnoteReference w:id="42"/>
      </w:r>
    </w:p>
    <w:p w:rsidR="00957EAF" w:rsidRPr="002534E3" w:rsidP="00957EAF" w14:paraId="5AFB10DE" w14:textId="77777777">
      <w:pPr>
        <w:widowControl w:val="0"/>
        <w:spacing w:after="120"/>
        <w:ind w:firstLine="720"/>
        <w:rPr>
          <w:snapToGrid w:val="0"/>
          <w:kern w:val="28"/>
          <w:sz w:val="22"/>
        </w:rPr>
      </w:pPr>
      <w:r w:rsidRPr="00EF7CA1">
        <w:rPr>
          <w:i/>
          <w:iCs/>
          <w:sz w:val="22"/>
          <w:szCs w:val="22"/>
        </w:rPr>
        <w:t>Discussion.</w:t>
      </w:r>
      <w:r w:rsidRPr="00EF7CA1">
        <w:rPr>
          <w:sz w:val="22"/>
          <w:szCs w:val="22"/>
        </w:rPr>
        <w:t xml:space="preserve">  Section 310(d) of the Act provides that no station license shall be transferred or assigned except upon application to the Commission and upon a finding by the Commission “that the public interest, convenience, and necessity will be served thereby.”</w:t>
      </w:r>
      <w:r>
        <w:rPr>
          <w:rStyle w:val="FootnoteReference"/>
          <w:szCs w:val="22"/>
        </w:rPr>
        <w:footnoteReference w:id="43"/>
      </w:r>
      <w:r w:rsidRPr="00EF7CA1">
        <w:rPr>
          <w:sz w:val="22"/>
          <w:szCs w:val="22"/>
        </w:rPr>
        <w:t xml:space="preserve">  In making this determination, we first assess whether the proposed transaction complies with the specific provisions of the Act, other applicable statutes, and the Commission’s rules.</w:t>
      </w:r>
      <w:r>
        <w:rPr>
          <w:vertAlign w:val="superscript"/>
        </w:rPr>
        <w:footnoteReference w:id="44"/>
      </w:r>
      <w:r w:rsidRPr="00EF7CA1">
        <w:rPr>
          <w:sz w:val="22"/>
          <w:szCs w:val="22"/>
        </w:rPr>
        <w:t xml:space="preserve">  If the proposed transaction does not violate a statute or rule, we then consider whether the transaction could result in public interest harms by substantially frustrating or impairing the objectives or implementation of the Act or related statutes.</w:t>
      </w:r>
      <w:r>
        <w:rPr>
          <w:vertAlign w:val="superscript"/>
        </w:rPr>
        <w:footnoteReference w:id="45"/>
      </w:r>
      <w:r w:rsidRPr="00EF7CA1">
        <w:rPr>
          <w:sz w:val="22"/>
          <w:szCs w:val="22"/>
        </w:rPr>
        <w:t xml:space="preserve">  For the reasons explained below, we find that the </w:t>
      </w:r>
      <w:r>
        <w:rPr>
          <w:sz w:val="22"/>
          <w:szCs w:val="22"/>
        </w:rPr>
        <w:t>proposed t</w:t>
      </w:r>
      <w:r w:rsidRPr="00EF7CA1">
        <w:rPr>
          <w:sz w:val="22"/>
          <w:szCs w:val="22"/>
        </w:rPr>
        <w:t>ransaction</w:t>
      </w:r>
      <w:r>
        <w:rPr>
          <w:sz w:val="22"/>
          <w:szCs w:val="22"/>
        </w:rPr>
        <w:t>s</w:t>
      </w:r>
      <w:r w:rsidRPr="00EF7CA1">
        <w:rPr>
          <w:sz w:val="22"/>
          <w:szCs w:val="22"/>
        </w:rPr>
        <w:t xml:space="preserve"> fully compl</w:t>
      </w:r>
      <w:r>
        <w:rPr>
          <w:sz w:val="22"/>
          <w:szCs w:val="22"/>
        </w:rPr>
        <w:t>y</w:t>
      </w:r>
      <w:r w:rsidRPr="00EF7CA1">
        <w:rPr>
          <w:sz w:val="22"/>
          <w:szCs w:val="22"/>
        </w:rPr>
        <w:t xml:space="preserve"> with the Commission’s rules, including the post-</w:t>
      </w:r>
      <w:r w:rsidRPr="00EF7CA1">
        <w:rPr>
          <w:i/>
          <w:iCs/>
          <w:sz w:val="22"/>
          <w:szCs w:val="22"/>
        </w:rPr>
        <w:t>Zimmer</w:t>
      </w:r>
      <w:r>
        <w:rPr>
          <w:i/>
          <w:iCs/>
          <w:sz w:val="22"/>
          <w:szCs w:val="22"/>
        </w:rPr>
        <w:t xml:space="preserve"> Radio</w:t>
      </w:r>
      <w:r w:rsidRPr="00EF7CA1">
        <w:rPr>
          <w:sz w:val="22"/>
          <w:szCs w:val="22"/>
        </w:rPr>
        <w:t xml:space="preserve"> Local Television Ownership Rule, and there are no issues or potential public interest harms identified in the record that would require further consideration. </w:t>
      </w:r>
      <w:r>
        <w:rPr>
          <w:sz w:val="22"/>
          <w:szCs w:val="22"/>
        </w:rPr>
        <w:t xml:space="preserve"> </w:t>
      </w:r>
      <w:r>
        <w:rPr>
          <w:snapToGrid w:val="0"/>
          <w:kern w:val="28"/>
          <w:sz w:val="22"/>
        </w:rPr>
        <w:t xml:space="preserve">Notably, while the Commission will consider transaction-specific objections to otherwise rule-compliant transactions, we find that DIRECTV has failed advance any such objections. </w:t>
      </w:r>
      <w:r w:rsidRPr="00EF7CA1">
        <w:rPr>
          <w:sz w:val="22"/>
          <w:szCs w:val="22"/>
        </w:rPr>
        <w:t xml:space="preserve"> Accordingly, we conclude that grant of the Applications will result in public interest benefits and serve the public interest, convenience, and necessity.</w:t>
      </w:r>
    </w:p>
    <w:p w:rsidR="00957EAF" w:rsidP="00957EAF" w14:paraId="6CC2ECC3" w14:textId="77777777">
      <w:pPr>
        <w:widowControl w:val="0"/>
        <w:ind w:firstLine="720"/>
        <w:rPr>
          <w:snapToGrid w:val="0"/>
          <w:kern w:val="28"/>
          <w:sz w:val="22"/>
        </w:rPr>
      </w:pPr>
      <w:r>
        <w:rPr>
          <w:snapToGrid w:val="0"/>
          <w:kern w:val="28"/>
          <w:sz w:val="22"/>
        </w:rPr>
        <w:t xml:space="preserve">In 1999, the Commission modified the </w:t>
      </w:r>
      <w:bookmarkStart w:id="2" w:name="_Hlk216884777"/>
      <w:r>
        <w:rPr>
          <w:snapToGrid w:val="0"/>
          <w:kern w:val="28"/>
          <w:sz w:val="22"/>
        </w:rPr>
        <w:t>Local Television Ownership Rule</w:t>
      </w:r>
      <w:bookmarkEnd w:id="2"/>
      <w:r>
        <w:rPr>
          <w:snapToGrid w:val="0"/>
          <w:kern w:val="28"/>
          <w:sz w:val="22"/>
        </w:rPr>
        <w:t xml:space="preserve">, setting for the first time the Two-Station Limit that remains in effect following the </w:t>
      </w:r>
      <w:r w:rsidRPr="008B0687">
        <w:rPr>
          <w:i/>
          <w:iCs/>
          <w:snapToGrid w:val="0"/>
          <w:kern w:val="28"/>
          <w:sz w:val="22"/>
        </w:rPr>
        <w:t>Zimmer Radio</w:t>
      </w:r>
      <w:r>
        <w:rPr>
          <w:snapToGrid w:val="0"/>
          <w:kern w:val="28"/>
          <w:sz w:val="22"/>
        </w:rPr>
        <w:t xml:space="preserve"> decision.</w:t>
      </w:r>
      <w:r>
        <w:rPr>
          <w:snapToGrid w:val="0"/>
          <w:kern w:val="28"/>
          <w:vertAlign w:val="superscript"/>
        </w:rPr>
        <w:footnoteReference w:id="46"/>
      </w:r>
      <w:r>
        <w:rPr>
          <w:snapToGrid w:val="0"/>
          <w:kern w:val="28"/>
          <w:sz w:val="22"/>
        </w:rPr>
        <w:t xml:space="preserve">  In so doing, the Commission clearly stated its belief that “</w:t>
      </w:r>
      <w:r w:rsidRPr="002E4F64">
        <w:rPr>
          <w:snapToGrid w:val="0"/>
          <w:kern w:val="28"/>
          <w:sz w:val="22"/>
        </w:rPr>
        <w:t>the demonstrated benefits of same-market television station combinations support allowing the formation of such combinations in</w:t>
      </w:r>
      <w:r>
        <w:rPr>
          <w:snapToGrid w:val="0"/>
          <w:kern w:val="28"/>
          <w:sz w:val="22"/>
        </w:rPr>
        <w:t xml:space="preserve"> . . . </w:t>
      </w:r>
      <w:r w:rsidRPr="002E4F64">
        <w:rPr>
          <w:snapToGrid w:val="0"/>
          <w:kern w:val="28"/>
          <w:sz w:val="22"/>
        </w:rPr>
        <w:t>cases where competition and diversity will not be unduly diminished</w:t>
      </w:r>
      <w:r>
        <w:rPr>
          <w:snapToGrid w:val="0"/>
          <w:kern w:val="28"/>
          <w:sz w:val="22"/>
        </w:rPr>
        <w:t>” and that its “</w:t>
      </w:r>
      <w:r w:rsidRPr="00E5043A">
        <w:rPr>
          <w:snapToGrid w:val="0"/>
          <w:kern w:val="28"/>
          <w:sz w:val="22"/>
        </w:rPr>
        <w:t>significant yet measured relaxation</w:t>
      </w:r>
      <w:r>
        <w:rPr>
          <w:snapToGrid w:val="0"/>
          <w:kern w:val="28"/>
          <w:sz w:val="22"/>
        </w:rPr>
        <w:t xml:space="preserve">” of the Local </w:t>
      </w:r>
      <w:r>
        <w:rPr>
          <w:snapToGrid w:val="0"/>
          <w:kern w:val="28"/>
          <w:sz w:val="22"/>
        </w:rPr>
        <w:t>Television Ownership Rule was “</w:t>
      </w:r>
      <w:r w:rsidRPr="00D31FC4">
        <w:rPr>
          <w:snapToGrid w:val="0"/>
          <w:kern w:val="28"/>
          <w:sz w:val="22"/>
        </w:rPr>
        <w:t xml:space="preserve">targeted to promote the public interest without appreciable harm to </w:t>
      </w:r>
      <w:r>
        <w:rPr>
          <w:snapToGrid w:val="0"/>
          <w:kern w:val="28"/>
          <w:sz w:val="22"/>
        </w:rPr>
        <w:t xml:space="preserve">[its] </w:t>
      </w:r>
      <w:r w:rsidRPr="00D31FC4">
        <w:rPr>
          <w:snapToGrid w:val="0"/>
          <w:kern w:val="28"/>
          <w:sz w:val="22"/>
        </w:rPr>
        <w:t>competition and diversity goals</w:t>
      </w:r>
      <w:r>
        <w:rPr>
          <w:snapToGrid w:val="0"/>
          <w:kern w:val="28"/>
          <w:sz w:val="22"/>
        </w:rPr>
        <w:t>.”</w:t>
      </w:r>
      <w:r>
        <w:rPr>
          <w:rStyle w:val="FootnoteReference"/>
          <w:snapToGrid w:val="0"/>
          <w:kern w:val="28"/>
        </w:rPr>
        <w:footnoteReference w:id="47"/>
      </w:r>
      <w:r>
        <w:rPr>
          <w:snapToGrid w:val="0"/>
          <w:kern w:val="28"/>
          <w:sz w:val="22"/>
        </w:rPr>
        <w:t xml:space="preserve">  More expansively, the Commission stated:</w:t>
      </w:r>
      <w:r>
        <w:rPr>
          <w:snapToGrid w:val="0"/>
          <w:kern w:val="28"/>
          <w:sz w:val="22"/>
        </w:rPr>
        <w:br/>
      </w:r>
    </w:p>
    <w:p w:rsidR="00957EAF" w:rsidP="00957EAF" w14:paraId="0D01E60F" w14:textId="77777777">
      <w:pPr>
        <w:widowControl w:val="0"/>
        <w:ind w:left="720" w:right="720"/>
        <w:rPr>
          <w:snapToGrid w:val="0"/>
          <w:kern w:val="28"/>
          <w:sz w:val="22"/>
        </w:rPr>
      </w:pPr>
      <w:r w:rsidRPr="003309FE">
        <w:rPr>
          <w:snapToGrid w:val="0"/>
          <w:kern w:val="28"/>
          <w:sz w:val="22"/>
        </w:rPr>
        <w:t>In considering the changes we have proposed to our local television ownership rules, we must assess the costs and benefits of such modifications in light of both our diversity and competition objectives. Our multiple ownership restrictions must strike a balance between the benefits to the industry and to the public of common ownership, such as economies of scale which can result in stronger stations and improved service to the public, and the reduction in the diversity of ownership and competition in a market that may arise from consolidation of station ownership.</w:t>
      </w:r>
      <w:r>
        <w:rPr>
          <w:rStyle w:val="FootnoteReference"/>
          <w:snapToGrid w:val="0"/>
          <w:kern w:val="28"/>
        </w:rPr>
        <w:footnoteReference w:id="48"/>
      </w:r>
    </w:p>
    <w:p w:rsidR="00957EAF" w:rsidP="00957EAF" w14:paraId="1CE3929C" w14:textId="77777777">
      <w:pPr>
        <w:widowControl w:val="0"/>
        <w:ind w:left="720"/>
        <w:jc w:val="both"/>
        <w:rPr>
          <w:snapToGrid w:val="0"/>
          <w:kern w:val="28"/>
          <w:sz w:val="22"/>
        </w:rPr>
      </w:pPr>
    </w:p>
    <w:p w:rsidR="00957EAF" w:rsidP="00957EAF" w14:paraId="617C373F" w14:textId="77777777">
      <w:pPr>
        <w:widowControl w:val="0"/>
        <w:jc w:val="both"/>
        <w:rPr>
          <w:snapToGrid w:val="0"/>
          <w:kern w:val="28"/>
          <w:sz w:val="22"/>
        </w:rPr>
      </w:pPr>
      <w:r>
        <w:rPr>
          <w:snapToGrid w:val="0"/>
          <w:kern w:val="28"/>
          <w:sz w:val="22"/>
        </w:rPr>
        <w:t>and</w:t>
      </w:r>
    </w:p>
    <w:p w:rsidR="00957EAF" w:rsidP="00957EAF" w14:paraId="75605E26" w14:textId="77777777">
      <w:pPr>
        <w:widowControl w:val="0"/>
        <w:ind w:left="720"/>
        <w:jc w:val="both"/>
        <w:rPr>
          <w:snapToGrid w:val="0"/>
          <w:kern w:val="28"/>
          <w:sz w:val="22"/>
        </w:rPr>
      </w:pPr>
    </w:p>
    <w:p w:rsidR="00957EAF" w:rsidRPr="003309FE" w:rsidP="00957EAF" w14:paraId="0D08D816" w14:textId="77777777">
      <w:pPr>
        <w:widowControl w:val="0"/>
        <w:ind w:left="720" w:right="720"/>
        <w:rPr>
          <w:snapToGrid w:val="0"/>
          <w:kern w:val="28"/>
          <w:sz w:val="22"/>
        </w:rPr>
      </w:pPr>
      <w:r w:rsidRPr="0015719C">
        <w:rPr>
          <w:snapToGrid w:val="0"/>
          <w:kern w:val="28"/>
          <w:sz w:val="22"/>
        </w:rPr>
        <w:t>Balancing these competing considerations</w:t>
      </w:r>
      <w:r>
        <w:rPr>
          <w:snapToGrid w:val="0"/>
          <w:kern w:val="28"/>
          <w:sz w:val="22"/>
        </w:rPr>
        <w:t xml:space="preserve"> . . . </w:t>
      </w:r>
      <w:r w:rsidRPr="0015719C">
        <w:rPr>
          <w:snapToGrid w:val="0"/>
          <w:kern w:val="28"/>
          <w:sz w:val="22"/>
        </w:rPr>
        <w:t>and recognizing the continuing dominant role played by broadcasting in society and the continuing importance of ensuring that diversity and competition are protected, we believe that the revisions we make today to our rules reflect the degree of relaxation warranted by the growth of alternatives to broadcast television, the demonstrated benefits of common ownership, and our objective of ensuring diversity and competition.</w:t>
      </w:r>
      <w:r>
        <w:rPr>
          <w:rStyle w:val="FootnoteReference"/>
          <w:snapToGrid w:val="0"/>
          <w:kern w:val="28"/>
        </w:rPr>
        <w:footnoteReference w:id="49"/>
      </w:r>
    </w:p>
    <w:p w:rsidR="00957EAF" w:rsidP="00957EAF" w14:paraId="27567645" w14:textId="77777777">
      <w:pPr>
        <w:widowControl w:val="0"/>
        <w:ind w:firstLine="720"/>
        <w:rPr>
          <w:snapToGrid w:val="0"/>
          <w:kern w:val="28"/>
          <w:sz w:val="22"/>
        </w:rPr>
      </w:pPr>
    </w:p>
    <w:p w:rsidR="00957EAF" w:rsidP="00957EAF" w14:paraId="3B040A56" w14:textId="77777777">
      <w:pPr>
        <w:widowControl w:val="0"/>
        <w:spacing w:after="120"/>
        <w:ind w:firstLine="720"/>
        <w:rPr>
          <w:snapToGrid w:val="0"/>
          <w:kern w:val="28"/>
          <w:sz w:val="22"/>
        </w:rPr>
      </w:pPr>
      <w:r>
        <w:rPr>
          <w:snapToGrid w:val="0"/>
          <w:kern w:val="28"/>
          <w:sz w:val="22"/>
        </w:rPr>
        <w:t>While the Two-Station Limit was initially subject to restrictions, namely the Top-Four Prohibition and the requirement that</w:t>
      </w:r>
      <w:r w:rsidRPr="0053580D">
        <w:rPr>
          <w:rFonts w:ascii="Source Sans Pro" w:hAnsi="Source Sans Pro"/>
          <w:color w:val="1F1F1F"/>
          <w:sz w:val="27"/>
          <w:szCs w:val="27"/>
          <w:shd w:val="clear" w:color="auto" w:fill="FFFFFF"/>
        </w:rPr>
        <w:t xml:space="preserve"> </w:t>
      </w:r>
      <w:r w:rsidRPr="0053580D">
        <w:rPr>
          <w:snapToGrid w:val="0"/>
          <w:kern w:val="28"/>
          <w:sz w:val="22"/>
        </w:rPr>
        <w:t>eight independently owned, full</w:t>
      </w:r>
      <w:r>
        <w:rPr>
          <w:snapToGrid w:val="0"/>
          <w:kern w:val="28"/>
          <w:sz w:val="22"/>
        </w:rPr>
        <w:t xml:space="preserve"> </w:t>
      </w:r>
      <w:r w:rsidRPr="0053580D">
        <w:rPr>
          <w:snapToGrid w:val="0"/>
          <w:kern w:val="28"/>
          <w:sz w:val="22"/>
        </w:rPr>
        <w:t>power</w:t>
      </w:r>
      <w:r>
        <w:rPr>
          <w:snapToGrid w:val="0"/>
          <w:kern w:val="28"/>
          <w:sz w:val="22"/>
        </w:rPr>
        <w:t>,</w:t>
      </w:r>
      <w:r w:rsidRPr="0053580D">
        <w:rPr>
          <w:snapToGrid w:val="0"/>
          <w:kern w:val="28"/>
          <w:sz w:val="22"/>
        </w:rPr>
        <w:t xml:space="preserve"> and operational television stations (commercial and noncommercial)</w:t>
      </w:r>
      <w:r>
        <w:rPr>
          <w:snapToGrid w:val="0"/>
          <w:kern w:val="28"/>
          <w:sz w:val="22"/>
        </w:rPr>
        <w:t xml:space="preserve"> would remain in the DMA post-transaction (the Eight-Voices Test),</w:t>
      </w:r>
      <w:r>
        <w:rPr>
          <w:rStyle w:val="FootnoteReference"/>
          <w:snapToGrid w:val="0"/>
          <w:kern w:val="28"/>
        </w:rPr>
        <w:footnoteReference w:id="50"/>
      </w:r>
      <w:r>
        <w:rPr>
          <w:snapToGrid w:val="0"/>
          <w:kern w:val="28"/>
          <w:sz w:val="22"/>
        </w:rPr>
        <w:t xml:space="preserve"> both of those restrictions have been eliminated.  The Commission, in its 2014 quadrennial regulatory review, eliminated the Eight-Voices Test, while retaining the Two-Station Limit and modifying the Top-Four Prohibition to permit applicants to request a case-by-case analysis of proposed combinations.</w:t>
      </w:r>
      <w:r>
        <w:rPr>
          <w:snapToGrid w:val="0"/>
          <w:kern w:val="28"/>
          <w:sz w:val="22"/>
          <w:vertAlign w:val="superscript"/>
        </w:rPr>
        <w:footnoteReference w:id="51"/>
      </w:r>
      <w:r>
        <w:rPr>
          <w:snapToGrid w:val="0"/>
          <w:kern w:val="28"/>
          <w:sz w:val="22"/>
        </w:rPr>
        <w:t xml:space="preserve">  T</w:t>
      </w:r>
      <w:r w:rsidRPr="007F49AA">
        <w:rPr>
          <w:snapToGrid w:val="0"/>
          <w:kern w:val="28"/>
          <w:sz w:val="22"/>
        </w:rPr>
        <w:t xml:space="preserve">his </w:t>
      </w:r>
      <w:r>
        <w:rPr>
          <w:snapToGrid w:val="0"/>
          <w:kern w:val="28"/>
          <w:sz w:val="22"/>
        </w:rPr>
        <w:t>decision</w:t>
      </w:r>
      <w:r w:rsidRPr="007F49AA">
        <w:rPr>
          <w:snapToGrid w:val="0"/>
          <w:kern w:val="28"/>
          <w:sz w:val="22"/>
        </w:rPr>
        <w:t xml:space="preserve"> was ultimately upheld by the U.S. Supreme Court.</w:t>
      </w:r>
      <w:r>
        <w:rPr>
          <w:snapToGrid w:val="0"/>
          <w:kern w:val="28"/>
          <w:vertAlign w:val="superscript"/>
        </w:rPr>
        <w:footnoteReference w:id="52"/>
      </w:r>
      <w:r w:rsidRPr="007F49AA">
        <w:rPr>
          <w:snapToGrid w:val="0"/>
          <w:kern w:val="28"/>
          <w:sz w:val="22"/>
        </w:rPr>
        <w:t xml:space="preserve">  </w:t>
      </w:r>
      <w:r>
        <w:rPr>
          <w:snapToGrid w:val="0"/>
          <w:kern w:val="28"/>
          <w:sz w:val="22"/>
        </w:rPr>
        <w:t>In addition, as discussed above, the Eighth Circuit</w:t>
      </w:r>
      <w:r w:rsidRPr="007F49AA">
        <w:rPr>
          <w:snapToGrid w:val="0"/>
          <w:kern w:val="28"/>
          <w:sz w:val="22"/>
        </w:rPr>
        <w:t xml:space="preserve"> vacated </w:t>
      </w:r>
      <w:r>
        <w:rPr>
          <w:snapToGrid w:val="0"/>
          <w:kern w:val="28"/>
          <w:sz w:val="22"/>
        </w:rPr>
        <w:t xml:space="preserve">and remanded </w:t>
      </w:r>
      <w:r w:rsidRPr="007F49AA">
        <w:rPr>
          <w:snapToGrid w:val="0"/>
          <w:kern w:val="28"/>
          <w:sz w:val="22"/>
        </w:rPr>
        <w:t xml:space="preserve">the </w:t>
      </w:r>
      <w:r>
        <w:rPr>
          <w:snapToGrid w:val="0"/>
          <w:kern w:val="28"/>
          <w:sz w:val="22"/>
        </w:rPr>
        <w:t xml:space="preserve">amendment to Note 11 and the </w:t>
      </w:r>
      <w:r w:rsidRPr="007F49AA">
        <w:rPr>
          <w:snapToGrid w:val="0"/>
          <w:kern w:val="28"/>
          <w:sz w:val="22"/>
        </w:rPr>
        <w:t>Top-Four Prohibition</w:t>
      </w:r>
      <w:r>
        <w:rPr>
          <w:snapToGrid w:val="0"/>
          <w:kern w:val="28"/>
          <w:sz w:val="22"/>
        </w:rPr>
        <w:t>,</w:t>
      </w:r>
      <w:r w:rsidRPr="007F49AA">
        <w:rPr>
          <w:snapToGrid w:val="0"/>
          <w:kern w:val="28"/>
          <w:sz w:val="22"/>
        </w:rPr>
        <w:t xml:space="preserve"> in its entirety</w:t>
      </w:r>
      <w:r>
        <w:rPr>
          <w:snapToGrid w:val="0"/>
          <w:kern w:val="28"/>
          <w:sz w:val="22"/>
        </w:rPr>
        <w:t>,</w:t>
      </w:r>
      <w:r>
        <w:rPr>
          <w:rStyle w:val="FootnoteReference"/>
          <w:snapToGrid w:val="0"/>
          <w:kern w:val="28"/>
        </w:rPr>
        <w:footnoteReference w:id="53"/>
      </w:r>
      <w:r>
        <w:rPr>
          <w:snapToGrid w:val="0"/>
          <w:kern w:val="28"/>
          <w:sz w:val="22"/>
        </w:rPr>
        <w:t xml:space="preserve"> while finding that the Commission had sufficiently justified retention of the Two-Station Limit.</w:t>
      </w:r>
      <w:r>
        <w:rPr>
          <w:snapToGrid w:val="0"/>
          <w:kern w:val="28"/>
          <w:vertAlign w:val="superscript"/>
        </w:rPr>
        <w:footnoteReference w:id="54"/>
      </w:r>
      <w:r w:rsidRPr="007F49AA">
        <w:rPr>
          <w:snapToGrid w:val="0"/>
          <w:kern w:val="28"/>
          <w:sz w:val="22"/>
        </w:rPr>
        <w:t xml:space="preserve">  </w:t>
      </w:r>
      <w:r>
        <w:rPr>
          <w:snapToGrid w:val="0"/>
          <w:kern w:val="28"/>
          <w:sz w:val="22"/>
        </w:rPr>
        <w:t>In vacating the Top-Four Prohibition, the court stated that the</w:t>
      </w:r>
      <w:r w:rsidRPr="001813A3">
        <w:rPr>
          <w:snapToGrid w:val="0"/>
          <w:kern w:val="28"/>
          <w:sz w:val="22"/>
        </w:rPr>
        <w:t xml:space="preserve"> Commission “is in a better position than th[is] Court to assess the disruptive effect of vacating” the Top-Four Prohibition.</w:t>
      </w:r>
      <w:r>
        <w:rPr>
          <w:rStyle w:val="FootnoteReference"/>
          <w:snapToGrid w:val="0"/>
          <w:kern w:val="28"/>
        </w:rPr>
        <w:footnoteReference w:id="55"/>
      </w:r>
      <w:r>
        <w:rPr>
          <w:snapToGrid w:val="0"/>
          <w:kern w:val="28"/>
          <w:sz w:val="22"/>
        </w:rPr>
        <w:t xml:space="preserve">  Ultimately the Commission chose not to defend further the Top-Four Prohibition prior to issuance of the </w:t>
      </w:r>
      <w:r>
        <w:rPr>
          <w:snapToGrid w:val="0"/>
          <w:kern w:val="28"/>
          <w:sz w:val="22"/>
        </w:rPr>
        <w:t>court’s mandate, and the Media Bureau is bound by the Commission’s judgment concerning its necessity.</w:t>
      </w:r>
    </w:p>
    <w:p w:rsidR="00957EAF" w:rsidP="00957EAF" w14:paraId="250D53D8" w14:textId="77777777">
      <w:pPr>
        <w:widowControl w:val="0"/>
        <w:spacing w:after="120"/>
        <w:ind w:firstLine="720"/>
        <w:rPr>
          <w:snapToGrid w:val="0"/>
          <w:kern w:val="28"/>
          <w:sz w:val="22"/>
        </w:rPr>
      </w:pPr>
      <w:r>
        <w:rPr>
          <w:snapToGrid w:val="0"/>
          <w:kern w:val="28"/>
          <w:sz w:val="22"/>
        </w:rPr>
        <w:t xml:space="preserve">It is clear, therefore, that neither the Commission nor the courts have viewed the Eight-Voices Test or the Top-Four Prohibition as necessary to uphold the ongoing validity of the Two-Station Limit.  Moreover, the vacatur of the amendment to Note 11 eliminates any consideration of LPTV stations with top-four affiliated program streams from determinations of compliance with the Local Television Ownership Rule.  Indeed, the Two-Station Limit, without restriction, now </w:t>
      </w:r>
      <w:r w:rsidRPr="008B0687">
        <w:rPr>
          <w:i/>
          <w:iCs/>
          <w:snapToGrid w:val="0"/>
          <w:kern w:val="28"/>
          <w:sz w:val="22"/>
        </w:rPr>
        <w:t>is</w:t>
      </w:r>
      <w:r>
        <w:rPr>
          <w:snapToGrid w:val="0"/>
          <w:kern w:val="28"/>
          <w:sz w:val="22"/>
        </w:rPr>
        <w:t xml:space="preserve"> the Local Television Ownership Rule.</w:t>
      </w:r>
    </w:p>
    <w:p w:rsidR="00957EAF" w:rsidRPr="00015DC4" w:rsidP="00957EAF" w14:paraId="0B564DB4" w14:textId="77777777">
      <w:pPr>
        <w:widowControl w:val="0"/>
        <w:spacing w:after="120"/>
        <w:ind w:firstLine="720"/>
        <w:rPr>
          <w:snapToGrid w:val="0"/>
          <w:kern w:val="28"/>
          <w:sz w:val="22"/>
        </w:rPr>
      </w:pPr>
      <w:r>
        <w:rPr>
          <w:snapToGrid w:val="0"/>
          <w:kern w:val="28"/>
          <w:sz w:val="22"/>
        </w:rPr>
        <w:t>At the outset, w</w:t>
      </w:r>
      <w:r w:rsidRPr="007F49AA">
        <w:rPr>
          <w:snapToGrid w:val="0"/>
          <w:kern w:val="28"/>
          <w:sz w:val="22"/>
        </w:rPr>
        <w:t xml:space="preserve">e reject </w:t>
      </w:r>
      <w:r>
        <w:rPr>
          <w:snapToGrid w:val="0"/>
          <w:kern w:val="28"/>
          <w:sz w:val="22"/>
        </w:rPr>
        <w:t>DIRECTV’s argument that, even after certifying compliance with the Two-Station Limit, the Applicants must identify and discuss potential public interest harms, most notably the harm to competition.  The Commission already completed that process in adopting the Two-Station Limit, stating that “[w]</w:t>
      </w:r>
      <w:r w:rsidRPr="00EB00C5">
        <w:rPr>
          <w:snapToGrid w:val="0"/>
          <w:kern w:val="28"/>
          <w:sz w:val="22"/>
        </w:rPr>
        <w:t>e believe that our decision strikes the appropriate balance between common ownership and our fundamental competition and diversity concerns, and ensures that our television ownership restrictions appropriately reflect ongoing changes in the broadcast television industry</w:t>
      </w:r>
      <w:r>
        <w:rPr>
          <w:snapToGrid w:val="0"/>
          <w:kern w:val="28"/>
          <w:sz w:val="22"/>
        </w:rPr>
        <w:t>.”</w:t>
      </w:r>
      <w:r>
        <w:rPr>
          <w:rStyle w:val="FootnoteReference"/>
          <w:snapToGrid w:val="0"/>
          <w:kern w:val="28"/>
        </w:rPr>
        <w:footnoteReference w:id="56"/>
      </w:r>
      <w:r>
        <w:rPr>
          <w:snapToGrid w:val="0"/>
          <w:kern w:val="28"/>
          <w:sz w:val="22"/>
        </w:rPr>
        <w:t xml:space="preserve">  Where the Commission has adopted a specific, numerical ownership limit, as it has with the Two-Station Limit, an applicant satisfies its initial burden of showing that the transaction is </w:t>
      </w:r>
      <w:r w:rsidRPr="001410AF">
        <w:rPr>
          <w:sz w:val="22"/>
          <w:szCs w:val="22"/>
        </w:rPr>
        <w:t>in compliance</w:t>
      </w:r>
      <w:r w:rsidRPr="007C458F">
        <w:rPr>
          <w:sz w:val="22"/>
          <w:szCs w:val="22"/>
        </w:rPr>
        <w:t xml:space="preserve"> with the Act and </w:t>
      </w:r>
      <w:r>
        <w:rPr>
          <w:sz w:val="22"/>
          <w:szCs w:val="22"/>
        </w:rPr>
        <w:t xml:space="preserve">the </w:t>
      </w:r>
      <w:r w:rsidRPr="007C458F">
        <w:rPr>
          <w:sz w:val="22"/>
          <w:szCs w:val="22"/>
        </w:rPr>
        <w:t>Commission</w:t>
      </w:r>
      <w:r>
        <w:rPr>
          <w:sz w:val="22"/>
          <w:szCs w:val="22"/>
        </w:rPr>
        <w:t>’s</w:t>
      </w:r>
      <w:r w:rsidRPr="007C458F">
        <w:rPr>
          <w:sz w:val="22"/>
          <w:szCs w:val="22"/>
        </w:rPr>
        <w:t xml:space="preserve"> rules and policies</w:t>
      </w:r>
      <w:r>
        <w:rPr>
          <w:snapToGrid w:val="0"/>
          <w:kern w:val="28"/>
          <w:sz w:val="22"/>
        </w:rPr>
        <w:t xml:space="preserve"> </w:t>
      </w:r>
      <w:r>
        <w:rPr>
          <w:snapToGrid w:val="0"/>
          <w:kern w:val="28"/>
          <w:sz w:val="22"/>
        </w:rPr>
        <w:t xml:space="preserve">related to competition and diversity by correctly certifying compliance with that limit.  Indeed, as the Commission stated when </w:t>
      </w:r>
      <w:r>
        <w:rPr>
          <w:sz w:val="22"/>
          <w:szCs w:val="22"/>
        </w:rPr>
        <w:t>modifying its broadcast application forms to rely on “Yes/No” certifications, the “</w:t>
      </w:r>
      <w:r w:rsidRPr="007C458F">
        <w:rPr>
          <w:sz w:val="22"/>
          <w:szCs w:val="22"/>
        </w:rPr>
        <w:t xml:space="preserve">revised forms will significantly reduce burdens on applicants and on the Commission staff while continuing to provide a </w:t>
      </w:r>
      <w:r w:rsidRPr="008B0687">
        <w:rPr>
          <w:i/>
          <w:iCs/>
          <w:sz w:val="22"/>
          <w:szCs w:val="22"/>
        </w:rPr>
        <w:t>sufficient basis for determining whether a proposed action is in compliance</w:t>
      </w:r>
      <w:r w:rsidRPr="007C458F">
        <w:rPr>
          <w:sz w:val="22"/>
          <w:szCs w:val="22"/>
        </w:rPr>
        <w:t xml:space="preserve"> with the Act, and Commission rules and policies</w:t>
      </w:r>
      <w:r>
        <w:rPr>
          <w:sz w:val="22"/>
          <w:szCs w:val="22"/>
        </w:rPr>
        <w:t>.”</w:t>
      </w:r>
      <w:r>
        <w:rPr>
          <w:rStyle w:val="FootnoteReference"/>
          <w:szCs w:val="22"/>
        </w:rPr>
        <w:footnoteReference w:id="57"/>
      </w:r>
    </w:p>
    <w:p w:rsidR="00957EAF" w:rsidP="00957EAF" w14:paraId="08EFA9C4" w14:textId="77777777">
      <w:pPr>
        <w:spacing w:after="120"/>
        <w:ind w:firstLine="720"/>
        <w:rPr>
          <w:snapToGrid w:val="0"/>
          <w:kern w:val="28"/>
          <w:sz w:val="22"/>
        </w:rPr>
      </w:pPr>
      <w:r>
        <w:rPr>
          <w:snapToGrid w:val="0"/>
          <w:kern w:val="28"/>
          <w:sz w:val="22"/>
        </w:rPr>
        <w:t xml:space="preserve">Thus, </w:t>
      </w:r>
      <w:r w:rsidRPr="00A268E4">
        <w:rPr>
          <w:snapToGrid w:val="0"/>
          <w:kern w:val="28"/>
          <w:sz w:val="22"/>
        </w:rPr>
        <w:t>DIRECTV</w:t>
      </w:r>
      <w:r>
        <w:rPr>
          <w:snapToGrid w:val="0"/>
          <w:kern w:val="28"/>
          <w:sz w:val="22"/>
        </w:rPr>
        <w:t>’s argument runs directly counter to the Commission’s stated intent in adopting the Two-Station Limit to “</w:t>
      </w:r>
      <w:r w:rsidRPr="00015DC4">
        <w:rPr>
          <w:snapToGrid w:val="0"/>
          <w:kern w:val="28"/>
          <w:sz w:val="22"/>
        </w:rPr>
        <w:t>fashion a bright-line test, bring certainty to the permissibility of these transactions, and expedite their consummation, given that we do not believe as a general matter that they unduly compromise our competition and diversity goals</w:t>
      </w:r>
      <w:r>
        <w:rPr>
          <w:snapToGrid w:val="0"/>
          <w:kern w:val="28"/>
          <w:sz w:val="22"/>
        </w:rPr>
        <w:t>.”</w:t>
      </w:r>
      <w:r>
        <w:rPr>
          <w:rStyle w:val="FootnoteReference"/>
          <w:snapToGrid w:val="0"/>
          <w:kern w:val="28"/>
        </w:rPr>
        <w:footnoteReference w:id="58"/>
      </w:r>
      <w:r>
        <w:rPr>
          <w:sz w:val="22"/>
          <w:szCs w:val="22"/>
        </w:rPr>
        <w:t xml:space="preserve">  </w:t>
      </w:r>
      <w:r>
        <w:rPr>
          <w:snapToGrid w:val="0"/>
          <w:kern w:val="28"/>
          <w:sz w:val="22"/>
        </w:rPr>
        <w:t xml:space="preserve">A more detailed showing is necessary only if the applicant is seeking a waiver, if a petitioner raises cognizable potential public interest harms, or if the </w:t>
      </w:r>
      <w:r>
        <w:rPr>
          <w:snapToGrid w:val="0"/>
          <w:kern w:val="28"/>
          <w:sz w:val="22"/>
        </w:rPr>
        <w:t>Commission, on its own review, determines that additional information is required to process the application.</w:t>
      </w:r>
      <w:r>
        <w:rPr>
          <w:rStyle w:val="FootnoteReference"/>
          <w:snapToGrid w:val="0"/>
          <w:kern w:val="28"/>
        </w:rPr>
        <w:footnoteReference w:id="59"/>
      </w:r>
    </w:p>
    <w:p w:rsidR="00957EAF" w:rsidP="00957EAF" w14:paraId="6D508098" w14:textId="77777777">
      <w:pPr>
        <w:widowControl w:val="0"/>
        <w:spacing w:after="120"/>
        <w:ind w:firstLine="720"/>
        <w:rPr>
          <w:snapToGrid w:val="0"/>
          <w:kern w:val="28"/>
          <w:sz w:val="22"/>
          <w:szCs w:val="22"/>
        </w:rPr>
      </w:pPr>
      <w:r>
        <w:rPr>
          <w:snapToGrid w:val="0"/>
          <w:kern w:val="28"/>
          <w:sz w:val="22"/>
        </w:rPr>
        <w:t xml:space="preserve">The Applications fully comply with the Two-Station Limit, and </w:t>
      </w:r>
      <w:r w:rsidRPr="00627DBD">
        <w:rPr>
          <w:snapToGrid w:val="0"/>
          <w:kern w:val="28"/>
          <w:sz w:val="22"/>
        </w:rPr>
        <w:t xml:space="preserve">DIRECTV </w:t>
      </w:r>
      <w:r>
        <w:rPr>
          <w:snapToGrid w:val="0"/>
          <w:kern w:val="28"/>
          <w:sz w:val="22"/>
        </w:rPr>
        <w:t xml:space="preserve">has failed to provide any transaction-specific arguments that raise a substantial and material question of fact sufficient to show that grant of the Applications </w:t>
      </w:r>
      <w:r w:rsidRPr="00D25DAB">
        <w:rPr>
          <w:rFonts w:eastAsia="Calibri"/>
          <w:sz w:val="22"/>
          <w:szCs w:val="22"/>
        </w:rPr>
        <w:t xml:space="preserve">would be </w:t>
      </w:r>
      <w:r w:rsidRPr="00D25DAB">
        <w:rPr>
          <w:rFonts w:eastAsia="Calibri"/>
          <w:i/>
          <w:sz w:val="22"/>
          <w:szCs w:val="22"/>
        </w:rPr>
        <w:t>prima facie</w:t>
      </w:r>
      <w:r w:rsidRPr="00D25DAB">
        <w:rPr>
          <w:rFonts w:eastAsia="Calibri"/>
          <w:sz w:val="22"/>
          <w:szCs w:val="22"/>
        </w:rPr>
        <w:t xml:space="preserve"> inconsistent with the public interest</w:t>
      </w:r>
      <w:r>
        <w:rPr>
          <w:rFonts w:eastAsia="Calibri"/>
          <w:sz w:val="22"/>
          <w:szCs w:val="22"/>
        </w:rPr>
        <w:t>.</w:t>
      </w:r>
      <w:r>
        <w:rPr>
          <w:rStyle w:val="FootnoteReference"/>
          <w:rFonts w:eastAsia="Calibri"/>
          <w:szCs w:val="22"/>
        </w:rPr>
        <w:footnoteReference w:id="60"/>
      </w:r>
      <w:r>
        <w:rPr>
          <w:rFonts w:eastAsia="Calibri"/>
          <w:sz w:val="22"/>
          <w:szCs w:val="22"/>
        </w:rPr>
        <w:t xml:space="preserve"> </w:t>
      </w:r>
      <w:r w:rsidRPr="007F49AA">
        <w:rPr>
          <w:snapToGrid w:val="0"/>
          <w:kern w:val="28"/>
          <w:sz w:val="22"/>
        </w:rPr>
        <w:t xml:space="preserve"> </w:t>
      </w:r>
      <w:r w:rsidRPr="00FE5921">
        <w:rPr>
          <w:snapToGrid w:val="0"/>
          <w:kern w:val="28"/>
          <w:sz w:val="22"/>
        </w:rPr>
        <w:t>According to DIRECTV, the main point of the Petitions was to identify the retransmission consent harms raised by the proposed combinations.</w:t>
      </w:r>
      <w:r>
        <w:rPr>
          <w:snapToGrid w:val="0"/>
          <w:kern w:val="28"/>
          <w:sz w:val="22"/>
          <w:vertAlign w:val="superscript"/>
        </w:rPr>
        <w:footnoteReference w:id="61"/>
      </w:r>
      <w:r>
        <w:rPr>
          <w:snapToGrid w:val="0"/>
          <w:kern w:val="28"/>
          <w:sz w:val="22"/>
        </w:rPr>
        <w:t xml:space="preserve">  The Petitions, however, do not contain any transaction-specific details that would meaningfully distinguish this transaction from any other transaction involving the acquisition of a second in-market station.  In essence, DIRECTV argues that additional scale will lead to increased retransmission consent rates, which it will pass along to consumers.  We find this argument, as it relates to these transactions</w:t>
      </w:r>
      <w:r>
        <w:rPr>
          <w:snapToGrid w:val="0"/>
          <w:kern w:val="28"/>
          <w:sz w:val="22"/>
          <w:szCs w:val="22"/>
        </w:rPr>
        <w:t>,</w:t>
      </w:r>
      <w:r w:rsidRPr="007F49AA">
        <w:rPr>
          <w:snapToGrid w:val="0"/>
          <w:kern w:val="28"/>
          <w:sz w:val="22"/>
          <w:szCs w:val="22"/>
        </w:rPr>
        <w:t xml:space="preserve"> to be speculative</w:t>
      </w:r>
      <w:r>
        <w:rPr>
          <w:snapToGrid w:val="0"/>
          <w:kern w:val="28"/>
          <w:sz w:val="22"/>
          <w:szCs w:val="22"/>
        </w:rPr>
        <w:t xml:space="preserve"> and unsupported by any transaction-specific evidence</w:t>
      </w:r>
      <w:r w:rsidRPr="007F49AA">
        <w:rPr>
          <w:snapToGrid w:val="0"/>
          <w:kern w:val="28"/>
          <w:sz w:val="22"/>
          <w:szCs w:val="22"/>
        </w:rPr>
        <w:t xml:space="preserve">.  </w:t>
      </w:r>
      <w:r>
        <w:rPr>
          <w:snapToGrid w:val="0"/>
          <w:kern w:val="28"/>
          <w:sz w:val="22"/>
          <w:szCs w:val="22"/>
        </w:rPr>
        <w:t>Moreover, a</w:t>
      </w:r>
      <w:r w:rsidRPr="007F49AA">
        <w:rPr>
          <w:snapToGrid w:val="0"/>
          <w:kern w:val="28"/>
          <w:sz w:val="22"/>
          <w:szCs w:val="22"/>
        </w:rPr>
        <w:t>s we have found on multiple occasions, issues of broad applicability, such as the effect of common ownership of two top-four stations on the market for retransmission consent, are best handled in a rulemaking of industry-wide effect.</w:t>
      </w:r>
      <w:r>
        <w:rPr>
          <w:snapToGrid w:val="0"/>
          <w:kern w:val="28"/>
          <w:szCs w:val="22"/>
          <w:vertAlign w:val="superscript"/>
        </w:rPr>
        <w:footnoteReference w:id="62"/>
      </w:r>
      <w:r w:rsidRPr="007F49AA">
        <w:rPr>
          <w:snapToGrid w:val="0"/>
          <w:kern w:val="28"/>
          <w:sz w:val="22"/>
          <w:szCs w:val="22"/>
        </w:rPr>
        <w:t xml:space="preserve">  We will not consider them in adjudication</w:t>
      </w:r>
      <w:r>
        <w:rPr>
          <w:snapToGrid w:val="0"/>
          <w:kern w:val="28"/>
          <w:sz w:val="22"/>
          <w:szCs w:val="22"/>
        </w:rPr>
        <w:t>s</w:t>
      </w:r>
      <w:r w:rsidRPr="007F49AA">
        <w:rPr>
          <w:snapToGrid w:val="0"/>
          <w:kern w:val="28"/>
          <w:sz w:val="22"/>
          <w:szCs w:val="22"/>
        </w:rPr>
        <w:t xml:space="preserve"> involving rule-compliant broadcast television duopolies.</w:t>
      </w:r>
      <w:r>
        <w:rPr>
          <w:rStyle w:val="FootnoteReference"/>
          <w:snapToGrid w:val="0"/>
          <w:kern w:val="28"/>
          <w:szCs w:val="22"/>
        </w:rPr>
        <w:footnoteReference w:id="63"/>
      </w:r>
      <w:r>
        <w:rPr>
          <w:snapToGrid w:val="0"/>
          <w:kern w:val="28"/>
          <w:sz w:val="22"/>
          <w:szCs w:val="22"/>
        </w:rPr>
        <w:t xml:space="preserve">  </w:t>
      </w:r>
    </w:p>
    <w:p w:rsidR="00957EAF" w:rsidRPr="00511CB0" w:rsidP="00957EAF" w14:paraId="4462307E" w14:textId="77777777">
      <w:pPr>
        <w:widowControl w:val="0"/>
        <w:spacing w:after="120"/>
        <w:ind w:firstLine="720"/>
        <w:rPr>
          <w:snapToGrid w:val="0"/>
          <w:kern w:val="28"/>
          <w:sz w:val="22"/>
          <w:szCs w:val="22"/>
        </w:rPr>
      </w:pPr>
      <w:r>
        <w:rPr>
          <w:snapToGrid w:val="0"/>
          <w:kern w:val="28"/>
          <w:sz w:val="22"/>
          <w:szCs w:val="22"/>
        </w:rPr>
        <w:t>Furthermore, we reject</w:t>
      </w:r>
      <w:r w:rsidRPr="00511CB0">
        <w:rPr>
          <w:snapToGrid w:val="0"/>
          <w:kern w:val="28"/>
          <w:sz w:val="22"/>
          <w:szCs w:val="22"/>
        </w:rPr>
        <w:t xml:space="preserve"> </w:t>
      </w:r>
      <w:r>
        <w:rPr>
          <w:snapToGrid w:val="0"/>
          <w:kern w:val="28"/>
          <w:sz w:val="22"/>
          <w:szCs w:val="22"/>
        </w:rPr>
        <w:t>DIRECTV’s</w:t>
      </w:r>
      <w:r w:rsidRPr="00511CB0">
        <w:rPr>
          <w:snapToGrid w:val="0"/>
          <w:kern w:val="28"/>
          <w:sz w:val="22"/>
          <w:szCs w:val="22"/>
        </w:rPr>
        <w:t xml:space="preserve"> claim </w:t>
      </w:r>
      <w:r>
        <w:rPr>
          <w:snapToGrid w:val="0"/>
          <w:kern w:val="28"/>
          <w:sz w:val="22"/>
          <w:szCs w:val="22"/>
        </w:rPr>
        <w:t>that</w:t>
      </w:r>
      <w:r w:rsidRPr="00511CB0">
        <w:rPr>
          <w:snapToGrid w:val="0"/>
          <w:kern w:val="28"/>
          <w:sz w:val="22"/>
          <w:szCs w:val="22"/>
        </w:rPr>
        <w:t xml:space="preserve"> </w:t>
      </w:r>
      <w:r>
        <w:rPr>
          <w:snapToGrid w:val="0"/>
          <w:kern w:val="28"/>
          <w:sz w:val="22"/>
          <w:szCs w:val="22"/>
        </w:rPr>
        <w:t>“</w:t>
      </w:r>
      <w:r w:rsidRPr="00A606F6">
        <w:rPr>
          <w:snapToGrid w:val="0"/>
          <w:kern w:val="28"/>
          <w:sz w:val="22"/>
          <w:szCs w:val="22"/>
        </w:rPr>
        <w:t>Sinclair already exercises substantial control over KMTR other than with respect to retransmission consent—without having obtained</w:t>
      </w:r>
      <w:r>
        <w:rPr>
          <w:snapToGrid w:val="0"/>
          <w:kern w:val="28"/>
          <w:sz w:val="22"/>
          <w:szCs w:val="22"/>
        </w:rPr>
        <w:t xml:space="preserve"> </w:t>
      </w:r>
      <w:r w:rsidRPr="00AF236C">
        <w:rPr>
          <w:snapToGrid w:val="0"/>
          <w:kern w:val="28"/>
          <w:sz w:val="22"/>
          <w:szCs w:val="22"/>
        </w:rPr>
        <w:t>Commission authorization to do so</w:t>
      </w:r>
      <w:r>
        <w:rPr>
          <w:snapToGrid w:val="0"/>
          <w:kern w:val="28"/>
          <w:sz w:val="22"/>
          <w:szCs w:val="22"/>
        </w:rPr>
        <w:t>.”</w:t>
      </w:r>
      <w:r>
        <w:rPr>
          <w:rStyle w:val="FootnoteReference"/>
          <w:snapToGrid w:val="0"/>
          <w:kern w:val="28"/>
          <w:szCs w:val="22"/>
        </w:rPr>
        <w:footnoteReference w:id="64"/>
      </w:r>
      <w:r w:rsidRPr="00511CB0">
        <w:rPr>
          <w:snapToGrid w:val="0"/>
          <w:kern w:val="28"/>
          <w:sz w:val="22"/>
          <w:szCs w:val="22"/>
        </w:rPr>
        <w:t xml:space="preserve">  While the Petitions </w:t>
      </w:r>
      <w:r>
        <w:rPr>
          <w:snapToGrid w:val="0"/>
          <w:kern w:val="28"/>
          <w:sz w:val="22"/>
          <w:szCs w:val="22"/>
        </w:rPr>
        <w:t>allege various</w:t>
      </w:r>
      <w:r w:rsidRPr="00511CB0">
        <w:rPr>
          <w:snapToGrid w:val="0"/>
          <w:kern w:val="28"/>
          <w:sz w:val="22"/>
          <w:szCs w:val="22"/>
        </w:rPr>
        <w:t xml:space="preserve"> indicia of control primarily to challenge Sinclair’s </w:t>
      </w:r>
      <w:r>
        <w:rPr>
          <w:snapToGrid w:val="0"/>
          <w:kern w:val="28"/>
          <w:sz w:val="22"/>
          <w:szCs w:val="22"/>
        </w:rPr>
        <w:t>“</w:t>
      </w:r>
      <w:r w:rsidRPr="00511CB0">
        <w:rPr>
          <w:snapToGrid w:val="0"/>
          <w:kern w:val="28"/>
          <w:sz w:val="22"/>
          <w:szCs w:val="22"/>
        </w:rPr>
        <w:t>failing</w:t>
      </w:r>
      <w:r>
        <w:rPr>
          <w:snapToGrid w:val="0"/>
          <w:kern w:val="28"/>
          <w:sz w:val="22"/>
          <w:szCs w:val="22"/>
        </w:rPr>
        <w:t>”</w:t>
      </w:r>
      <w:r w:rsidRPr="00511CB0">
        <w:rPr>
          <w:snapToGrid w:val="0"/>
          <w:kern w:val="28"/>
          <w:sz w:val="22"/>
          <w:szCs w:val="22"/>
        </w:rPr>
        <w:t xml:space="preserve"> station waiver requests</w:t>
      </w:r>
      <w:r>
        <w:rPr>
          <w:snapToGrid w:val="0"/>
          <w:kern w:val="28"/>
          <w:sz w:val="22"/>
          <w:szCs w:val="22"/>
        </w:rPr>
        <w:t>,</w:t>
      </w:r>
      <w:r w:rsidRPr="00511CB0">
        <w:rPr>
          <w:snapToGrid w:val="0"/>
          <w:kern w:val="28"/>
          <w:sz w:val="22"/>
          <w:szCs w:val="22"/>
        </w:rPr>
        <w:t xml:space="preserve"> rather than as an independent basis to oppose the Applications,</w:t>
      </w:r>
      <w:r>
        <w:rPr>
          <w:snapToGrid w:val="0"/>
          <w:kern w:val="28"/>
          <w:sz w:val="22"/>
          <w:szCs w:val="22"/>
          <w:vertAlign w:val="superscript"/>
        </w:rPr>
        <w:footnoteReference w:id="65"/>
      </w:r>
      <w:r w:rsidRPr="00511CB0">
        <w:rPr>
          <w:snapToGrid w:val="0"/>
          <w:kern w:val="28"/>
          <w:sz w:val="22"/>
          <w:szCs w:val="22"/>
        </w:rPr>
        <w:t xml:space="preserve"> we nevertheless determine that these objections do not raise any material concerns of an unauthorized transfer of control warranting further inquiry into this matter with respect to the proposed transactions.  Nothing in the record indicates that any </w:t>
      </w:r>
      <w:r>
        <w:rPr>
          <w:snapToGrid w:val="0"/>
          <w:kern w:val="28"/>
          <w:sz w:val="22"/>
          <w:szCs w:val="22"/>
        </w:rPr>
        <w:t>person or entity affiliated with Sinclair</w:t>
      </w:r>
      <w:r w:rsidRPr="00511CB0">
        <w:rPr>
          <w:snapToGrid w:val="0"/>
          <w:kern w:val="28"/>
          <w:sz w:val="22"/>
          <w:szCs w:val="22"/>
        </w:rPr>
        <w:t xml:space="preserve"> prematurely or improperly identified Sinclair as the licensee for KMTR or the Cunningham stations in any Commission filing.</w:t>
      </w:r>
      <w:r>
        <w:rPr>
          <w:snapToGrid w:val="0"/>
          <w:kern w:val="28"/>
          <w:sz w:val="22"/>
          <w:szCs w:val="22"/>
          <w:vertAlign w:val="superscript"/>
        </w:rPr>
        <w:footnoteReference w:id="66"/>
      </w:r>
      <w:r w:rsidRPr="00511CB0">
        <w:rPr>
          <w:snapToGrid w:val="0"/>
          <w:kern w:val="28"/>
          <w:sz w:val="22"/>
          <w:szCs w:val="22"/>
        </w:rPr>
        <w:t xml:space="preserve">  We also find no merit to DIRECTV’s claims with regard to any of the </w:t>
      </w:r>
      <w:r>
        <w:rPr>
          <w:snapToGrid w:val="0"/>
          <w:kern w:val="28"/>
          <w:sz w:val="22"/>
          <w:szCs w:val="22"/>
        </w:rPr>
        <w:t xml:space="preserve">sharing </w:t>
      </w:r>
      <w:r>
        <w:rPr>
          <w:snapToGrid w:val="0"/>
          <w:kern w:val="28"/>
          <w:sz w:val="22"/>
          <w:szCs w:val="22"/>
        </w:rPr>
        <w:t>agreement</w:t>
      </w:r>
      <w:r w:rsidRPr="00511CB0">
        <w:rPr>
          <w:snapToGrid w:val="0"/>
          <w:kern w:val="28"/>
          <w:sz w:val="22"/>
          <w:szCs w:val="22"/>
        </w:rPr>
        <w:t xml:space="preserve"> that it cites, as all of the sharing agreements are well within the realm of those previously approved by the Commission as sufficiently preserving licensee control over personnel, programming</w:t>
      </w:r>
      <w:r>
        <w:rPr>
          <w:snapToGrid w:val="0"/>
          <w:kern w:val="28"/>
          <w:sz w:val="22"/>
          <w:szCs w:val="22"/>
        </w:rPr>
        <w:t>,</w:t>
      </w:r>
      <w:r w:rsidRPr="00511CB0">
        <w:rPr>
          <w:snapToGrid w:val="0"/>
          <w:kern w:val="28"/>
          <w:sz w:val="22"/>
          <w:szCs w:val="22"/>
        </w:rPr>
        <w:t xml:space="preserve"> and finances.  Further, we note that </w:t>
      </w:r>
      <w:r>
        <w:rPr>
          <w:snapToGrid w:val="0"/>
          <w:kern w:val="28"/>
          <w:sz w:val="22"/>
          <w:szCs w:val="22"/>
        </w:rPr>
        <w:t>Sinclair’s</w:t>
      </w:r>
      <w:r w:rsidRPr="00511CB0">
        <w:rPr>
          <w:snapToGrid w:val="0"/>
          <w:kern w:val="28"/>
          <w:sz w:val="22"/>
          <w:szCs w:val="22"/>
        </w:rPr>
        <w:t xml:space="preserve"> VIE relationship </w:t>
      </w:r>
      <w:r>
        <w:rPr>
          <w:snapToGrid w:val="0"/>
          <w:kern w:val="28"/>
          <w:sz w:val="22"/>
          <w:szCs w:val="22"/>
        </w:rPr>
        <w:t xml:space="preserve">with Cunningham by </w:t>
      </w:r>
      <w:r w:rsidRPr="00511CB0">
        <w:rPr>
          <w:snapToGrid w:val="0"/>
          <w:kern w:val="28"/>
          <w:sz w:val="22"/>
          <w:szCs w:val="22"/>
        </w:rPr>
        <w:t>itself does not trigger attribution under the Commission’s rules.</w:t>
      </w:r>
      <w:r>
        <w:rPr>
          <w:snapToGrid w:val="0"/>
          <w:kern w:val="28"/>
          <w:sz w:val="22"/>
          <w:szCs w:val="22"/>
          <w:vertAlign w:val="superscript"/>
        </w:rPr>
        <w:footnoteReference w:id="67"/>
      </w:r>
    </w:p>
    <w:p w:rsidR="00957EAF" w:rsidRPr="00B316EB" w:rsidP="00957EAF" w14:paraId="05EB338F" w14:textId="77777777">
      <w:pPr>
        <w:widowControl w:val="0"/>
        <w:spacing w:after="120"/>
        <w:ind w:firstLine="720"/>
        <w:rPr>
          <w:snapToGrid w:val="0"/>
          <w:kern w:val="28"/>
          <w:sz w:val="22"/>
          <w:szCs w:val="22"/>
        </w:rPr>
      </w:pPr>
      <w:r w:rsidRPr="00B316EB">
        <w:rPr>
          <w:snapToGrid w:val="0"/>
          <w:kern w:val="28"/>
          <w:sz w:val="22"/>
          <w:szCs w:val="22"/>
        </w:rPr>
        <w:t xml:space="preserve">Additionally, in the wake of </w:t>
      </w:r>
      <w:r w:rsidRPr="00B316EB">
        <w:rPr>
          <w:i/>
          <w:iCs/>
          <w:snapToGrid w:val="0"/>
          <w:kern w:val="28"/>
          <w:sz w:val="22"/>
          <w:szCs w:val="22"/>
        </w:rPr>
        <w:t>Zimmer Radio</w:t>
      </w:r>
      <w:r w:rsidRPr="00B316EB">
        <w:rPr>
          <w:snapToGrid w:val="0"/>
          <w:kern w:val="28"/>
          <w:sz w:val="22"/>
          <w:szCs w:val="22"/>
        </w:rPr>
        <w:t>’s vacatur of the Top Four Prohibition, we also dismiss as moot the Applicants’ initial request for failing station waivers of that prohibition.  Finally, based on our own review of the proposed transactions, we have not identified any issues or potential public interest harms that would require further consideration.</w:t>
      </w:r>
    </w:p>
    <w:p w:rsidR="00957EAF" w:rsidP="00957EAF" w14:paraId="2B25AA00" w14:textId="77777777">
      <w:pPr>
        <w:widowControl w:val="0"/>
        <w:spacing w:after="120"/>
        <w:ind w:firstLine="720"/>
        <w:rPr>
          <w:snapToGrid w:val="0"/>
          <w:kern w:val="28"/>
          <w:sz w:val="22"/>
        </w:rPr>
      </w:pPr>
      <w:r w:rsidRPr="008E3999">
        <w:rPr>
          <w:snapToGrid w:val="0"/>
          <w:kern w:val="28"/>
          <w:sz w:val="22"/>
        </w:rPr>
        <w:t xml:space="preserve">Accordingly, having reviewed the Applications and the record in this matter, </w:t>
      </w:r>
      <w:r w:rsidRPr="008E3999">
        <w:rPr>
          <w:b/>
          <w:bCs/>
          <w:snapToGrid w:val="0"/>
          <w:kern w:val="28"/>
          <w:sz w:val="22"/>
        </w:rPr>
        <w:t>IT IS ORDERED</w:t>
      </w:r>
      <w:r w:rsidRPr="008E3999">
        <w:rPr>
          <w:snapToGrid w:val="0"/>
          <w:kern w:val="28"/>
          <w:sz w:val="22"/>
        </w:rPr>
        <w:t>, pursuant to sections 4(i) and (j), and 310(d) of the Communications Act of 1934, as amended, 47 U.S.C. §§ 154(i), 154(j), 310(d),</w:t>
      </w:r>
      <w:r>
        <w:rPr>
          <w:snapToGrid w:val="0"/>
          <w:kern w:val="28"/>
          <w:sz w:val="22"/>
        </w:rPr>
        <w:t xml:space="preserve"> </w:t>
      </w:r>
      <w:r w:rsidRPr="0015555A">
        <w:rPr>
          <w:snapToGrid w:val="0"/>
          <w:kern w:val="28"/>
          <w:sz w:val="22"/>
        </w:rPr>
        <w:t>and pursuant to the authority delegated under section 0.283 of the Commission’s rules, 47 CFR § 0.283,</w:t>
      </w:r>
      <w:r w:rsidRPr="008E3999">
        <w:rPr>
          <w:snapToGrid w:val="0"/>
          <w:kern w:val="28"/>
          <w:sz w:val="22"/>
        </w:rPr>
        <w:t xml:space="preserve"> that the applications listed in the Attachment seeking consent to assign the licenses for certain broadcast television stations from subsidiaries of Roberts Media, </w:t>
      </w:r>
      <w:r>
        <w:rPr>
          <w:snapToGrid w:val="0"/>
          <w:kern w:val="28"/>
          <w:sz w:val="22"/>
        </w:rPr>
        <w:t>LLC</w:t>
      </w:r>
      <w:r w:rsidRPr="008E3999">
        <w:rPr>
          <w:snapToGrid w:val="0"/>
          <w:kern w:val="28"/>
          <w:sz w:val="22"/>
        </w:rPr>
        <w:t xml:space="preserve"> and Cunningham Broadcasting Corporation to subsidiaries of Sinclair, Inc., </w:t>
      </w:r>
      <w:r w:rsidRPr="008E3999">
        <w:rPr>
          <w:b/>
          <w:bCs/>
          <w:snapToGrid w:val="0"/>
          <w:kern w:val="28"/>
          <w:sz w:val="22"/>
        </w:rPr>
        <w:t>ARE GRANTED</w:t>
      </w:r>
      <w:r w:rsidRPr="008E3999">
        <w:rPr>
          <w:snapToGrid w:val="0"/>
          <w:kern w:val="28"/>
          <w:sz w:val="22"/>
        </w:rPr>
        <w:t>.</w:t>
      </w:r>
    </w:p>
    <w:p w:rsidR="00957EAF" w:rsidRPr="00DB0387" w:rsidP="00957EAF" w14:paraId="5EF78C8D" w14:textId="77777777">
      <w:pPr>
        <w:widowControl w:val="0"/>
        <w:spacing w:after="120"/>
        <w:ind w:firstLine="720"/>
        <w:rPr>
          <w:b/>
          <w:bCs/>
          <w:snapToGrid w:val="0"/>
          <w:kern w:val="28"/>
          <w:sz w:val="22"/>
        </w:rPr>
      </w:pPr>
      <w:r w:rsidRPr="00DB0387">
        <w:rPr>
          <w:b/>
          <w:bCs/>
          <w:snapToGrid w:val="0"/>
          <w:kern w:val="28"/>
          <w:sz w:val="22"/>
        </w:rPr>
        <w:t>IT IS FURTHER ORDERED</w:t>
      </w:r>
      <w:r w:rsidRPr="00E6577E">
        <w:rPr>
          <w:snapToGrid w:val="0"/>
          <w:kern w:val="28"/>
          <w:sz w:val="22"/>
        </w:rPr>
        <w:t xml:space="preserve"> t</w:t>
      </w:r>
      <w:r w:rsidRPr="00181344">
        <w:rPr>
          <w:snapToGrid w:val="0"/>
          <w:kern w:val="28"/>
          <w:sz w:val="22"/>
        </w:rPr>
        <w:t>hat the request for continued operation of KMCB(TV), Coos Bay, Oregon, and KTCW(TV), Roseburg, Oregon as satellite stations of KMTR(TV), Eugene, Oregon, pursuant to the “satellite exception” of Note 5 to section 73.3555 of the Commission’s rules, 47 CFR § 73.3555,</w:t>
      </w:r>
      <w:r w:rsidRPr="00DB0387">
        <w:rPr>
          <w:b/>
          <w:bCs/>
          <w:snapToGrid w:val="0"/>
          <w:kern w:val="28"/>
          <w:sz w:val="22"/>
        </w:rPr>
        <w:t xml:space="preserve"> IS GRANTED. </w:t>
      </w:r>
    </w:p>
    <w:p w:rsidR="00957EAF" w:rsidRPr="00ED03B7" w:rsidP="00957EAF" w14:paraId="59D7F329" w14:textId="77777777">
      <w:pPr>
        <w:widowControl w:val="0"/>
        <w:spacing w:after="120"/>
        <w:ind w:firstLine="720"/>
        <w:rPr>
          <w:snapToGrid w:val="0"/>
          <w:kern w:val="28"/>
          <w:sz w:val="22"/>
          <w:szCs w:val="22"/>
        </w:rPr>
      </w:pPr>
      <w:r w:rsidRPr="00ED03B7">
        <w:rPr>
          <w:b/>
          <w:bCs/>
          <w:snapToGrid w:val="0"/>
          <w:kern w:val="28"/>
          <w:sz w:val="22"/>
        </w:rPr>
        <w:t>IT IS FURTHER ORDERED</w:t>
      </w:r>
      <w:r w:rsidRPr="00ED03B7">
        <w:rPr>
          <w:snapToGrid w:val="0"/>
          <w:kern w:val="28"/>
          <w:sz w:val="22"/>
        </w:rPr>
        <w:t xml:space="preserve">, pursuant to </w:t>
      </w:r>
      <w:r>
        <w:rPr>
          <w:snapToGrid w:val="0"/>
          <w:kern w:val="28"/>
          <w:sz w:val="22"/>
        </w:rPr>
        <w:t>s</w:t>
      </w:r>
      <w:r w:rsidRPr="00ED03B7">
        <w:rPr>
          <w:snapToGrid w:val="0"/>
          <w:kern w:val="28"/>
          <w:sz w:val="22"/>
        </w:rPr>
        <w:t xml:space="preserve">ections 4(i) and (j), 309, and 310(d) of the Communications Act of 1934, as amended, 47 U.S.C. §§ 154(i), 154(j), 309, 310(d), that the Petitions to Deny </w:t>
      </w:r>
      <w:r w:rsidRPr="004435B9">
        <w:rPr>
          <w:snapToGrid w:val="0"/>
          <w:kern w:val="28"/>
          <w:sz w:val="22"/>
        </w:rPr>
        <w:t xml:space="preserve">(LMS Pleading File Nos. </w:t>
      </w:r>
      <w:r>
        <w:rPr>
          <w:snapToGrid w:val="0"/>
          <w:kern w:val="28"/>
          <w:sz w:val="22"/>
        </w:rPr>
        <w:t>0000</w:t>
      </w:r>
      <w:r w:rsidRPr="004435B9">
        <w:rPr>
          <w:snapToGrid w:val="0"/>
          <w:kern w:val="28"/>
          <w:sz w:val="22"/>
        </w:rPr>
        <w:t xml:space="preserve">278366 and </w:t>
      </w:r>
      <w:r>
        <w:rPr>
          <w:snapToGrid w:val="0"/>
          <w:kern w:val="28"/>
          <w:sz w:val="22"/>
        </w:rPr>
        <w:t>0000</w:t>
      </w:r>
      <w:r w:rsidRPr="004435B9">
        <w:rPr>
          <w:snapToGrid w:val="0"/>
          <w:kern w:val="28"/>
          <w:sz w:val="22"/>
        </w:rPr>
        <w:t xml:space="preserve">278519) </w:t>
      </w:r>
      <w:r w:rsidRPr="00ED03B7">
        <w:rPr>
          <w:snapToGrid w:val="0"/>
          <w:kern w:val="28"/>
          <w:sz w:val="22"/>
        </w:rPr>
        <w:t xml:space="preserve">filed by DIRECTV, LLC </w:t>
      </w:r>
      <w:r w:rsidRPr="00ED03B7">
        <w:rPr>
          <w:b/>
          <w:bCs/>
          <w:snapToGrid w:val="0"/>
          <w:kern w:val="28"/>
          <w:sz w:val="22"/>
        </w:rPr>
        <w:t>ARE DENIED</w:t>
      </w:r>
      <w:r w:rsidRPr="00ED03B7">
        <w:rPr>
          <w:snapToGrid w:val="0"/>
          <w:kern w:val="28"/>
          <w:sz w:val="22"/>
        </w:rPr>
        <w:t>.</w:t>
      </w:r>
    </w:p>
    <w:p w:rsidR="00957EAF" w:rsidP="00957EAF" w14:paraId="08285570" w14:textId="77777777">
      <w:pPr>
        <w:widowControl w:val="0"/>
        <w:ind w:left="4320"/>
      </w:pPr>
    </w:p>
    <w:p w:rsidR="00957EAF" w:rsidRPr="00C611E8" w:rsidP="00957EAF" w14:paraId="0E626AF4" w14:textId="77777777">
      <w:pPr>
        <w:widowControl w:val="0"/>
        <w:ind w:left="4320" w:firstLine="720"/>
        <w:rPr>
          <w:sz w:val="22"/>
          <w:szCs w:val="22"/>
        </w:rPr>
      </w:pPr>
      <w:r w:rsidRPr="00C611E8">
        <w:rPr>
          <w:sz w:val="22"/>
          <w:szCs w:val="22"/>
        </w:rPr>
        <w:t>Sincerely,</w:t>
      </w:r>
    </w:p>
    <w:p w:rsidR="00957EAF" w:rsidRPr="00C611E8" w:rsidP="00957EAF" w14:paraId="70ADCE22" w14:textId="77777777">
      <w:pPr>
        <w:widowControl w:val="0"/>
        <w:ind w:left="4320"/>
        <w:rPr>
          <w:sz w:val="22"/>
          <w:szCs w:val="22"/>
        </w:rPr>
      </w:pPr>
    </w:p>
    <w:p w:rsidR="00957EAF" w:rsidRPr="00C611E8" w:rsidP="00957EAF" w14:paraId="56C9D0BB" w14:textId="08E4F259">
      <w:pPr>
        <w:widowControl w:val="0"/>
        <w:ind w:left="4320"/>
        <w:rPr>
          <w:sz w:val="22"/>
          <w:szCs w:val="22"/>
        </w:rPr>
      </w:pPr>
      <w:r>
        <w:rPr>
          <w:sz w:val="22"/>
          <w:szCs w:val="22"/>
        </w:rPr>
        <w:tab/>
        <w:t xml:space="preserve">   /s/</w:t>
      </w:r>
    </w:p>
    <w:p w:rsidR="00957EAF" w:rsidRPr="00C611E8" w:rsidP="00957EAF" w14:paraId="175982CF" w14:textId="77777777">
      <w:pPr>
        <w:widowControl w:val="0"/>
        <w:rPr>
          <w:sz w:val="22"/>
          <w:szCs w:val="22"/>
        </w:rPr>
      </w:pPr>
    </w:p>
    <w:p w:rsidR="00957EAF" w:rsidRPr="00C611E8" w:rsidP="00957EAF" w14:paraId="5FFBEFC0" w14:textId="77777777">
      <w:pPr>
        <w:widowControl w:val="0"/>
        <w:rPr>
          <w:sz w:val="22"/>
          <w:szCs w:val="22"/>
        </w:rPr>
      </w:pPr>
      <w:r w:rsidRPr="00C611E8">
        <w:rPr>
          <w:sz w:val="22"/>
          <w:szCs w:val="22"/>
        </w:rPr>
        <w:tab/>
      </w:r>
      <w:r w:rsidRPr="00C611E8">
        <w:rPr>
          <w:sz w:val="22"/>
          <w:szCs w:val="22"/>
        </w:rPr>
        <w:tab/>
      </w:r>
      <w:r w:rsidRPr="00C611E8">
        <w:rPr>
          <w:sz w:val="22"/>
          <w:szCs w:val="22"/>
        </w:rPr>
        <w:tab/>
      </w:r>
      <w:r w:rsidRPr="00C611E8">
        <w:rPr>
          <w:sz w:val="22"/>
          <w:szCs w:val="22"/>
        </w:rPr>
        <w:tab/>
      </w:r>
      <w:r w:rsidRPr="00C611E8">
        <w:rPr>
          <w:sz w:val="22"/>
          <w:szCs w:val="22"/>
        </w:rPr>
        <w:tab/>
      </w:r>
      <w:r w:rsidRPr="00C611E8">
        <w:rPr>
          <w:sz w:val="22"/>
          <w:szCs w:val="22"/>
        </w:rPr>
        <w:tab/>
      </w:r>
      <w:r>
        <w:rPr>
          <w:sz w:val="22"/>
          <w:szCs w:val="22"/>
        </w:rPr>
        <w:tab/>
        <w:t>David J. Brown</w:t>
      </w:r>
      <w:r w:rsidRPr="00C611E8">
        <w:rPr>
          <w:sz w:val="22"/>
          <w:szCs w:val="22"/>
        </w:rPr>
        <w:tab/>
      </w:r>
      <w:r w:rsidRPr="00C611E8">
        <w:rPr>
          <w:sz w:val="22"/>
          <w:szCs w:val="22"/>
        </w:rPr>
        <w:tab/>
      </w:r>
      <w:r w:rsidRPr="00C611E8">
        <w:rPr>
          <w:sz w:val="22"/>
          <w:szCs w:val="22"/>
        </w:rPr>
        <w:tab/>
      </w:r>
    </w:p>
    <w:p w:rsidR="00957EAF" w:rsidP="00957EAF" w14:paraId="5F298D90" w14:textId="77777777">
      <w:pPr>
        <w:widowControl w:val="0"/>
        <w:rPr>
          <w:sz w:val="22"/>
          <w:szCs w:val="22"/>
        </w:rPr>
      </w:pPr>
      <w:r w:rsidRPr="00C611E8">
        <w:rPr>
          <w:sz w:val="22"/>
          <w:szCs w:val="22"/>
        </w:rPr>
        <w:tab/>
      </w:r>
      <w:r w:rsidRPr="00C611E8">
        <w:rPr>
          <w:sz w:val="22"/>
          <w:szCs w:val="22"/>
        </w:rPr>
        <w:tab/>
      </w:r>
      <w:r w:rsidRPr="00C611E8">
        <w:rPr>
          <w:sz w:val="22"/>
          <w:szCs w:val="22"/>
        </w:rPr>
        <w:tab/>
      </w:r>
      <w:r w:rsidRPr="00C611E8">
        <w:rPr>
          <w:sz w:val="22"/>
          <w:szCs w:val="22"/>
        </w:rPr>
        <w:tab/>
      </w:r>
      <w:r w:rsidRPr="00C611E8">
        <w:rPr>
          <w:sz w:val="22"/>
          <w:szCs w:val="22"/>
        </w:rPr>
        <w:tab/>
      </w:r>
      <w:r w:rsidRPr="00C611E8">
        <w:rPr>
          <w:sz w:val="22"/>
          <w:szCs w:val="22"/>
        </w:rPr>
        <w:tab/>
      </w:r>
      <w:r>
        <w:rPr>
          <w:sz w:val="22"/>
          <w:szCs w:val="22"/>
        </w:rPr>
        <w:tab/>
      </w:r>
      <w:r w:rsidRPr="00C611E8">
        <w:rPr>
          <w:sz w:val="22"/>
          <w:szCs w:val="22"/>
        </w:rPr>
        <w:t xml:space="preserve">Chief, </w:t>
      </w:r>
      <w:r>
        <w:rPr>
          <w:sz w:val="22"/>
          <w:szCs w:val="22"/>
        </w:rPr>
        <w:t>Video Division</w:t>
      </w:r>
    </w:p>
    <w:p w:rsidR="00957EAF" w:rsidP="00957EAF" w14:paraId="3D48398C" w14:textId="2FBD7818">
      <w:pPr>
        <w:widowControl w:val="0"/>
        <w:ind w:left="1440" w:firstLine="720"/>
        <w:rPr>
          <w:sz w:val="22"/>
          <w:szCs w:val="22"/>
        </w:rPr>
      </w:pPr>
      <w:r>
        <w:rPr>
          <w:sz w:val="22"/>
          <w:szCs w:val="22"/>
        </w:rPr>
        <w:tab/>
      </w:r>
      <w:r>
        <w:rPr>
          <w:sz w:val="22"/>
          <w:szCs w:val="22"/>
        </w:rPr>
        <w:tab/>
      </w:r>
      <w:r>
        <w:rPr>
          <w:sz w:val="22"/>
          <w:szCs w:val="22"/>
        </w:rPr>
        <w:tab/>
      </w:r>
      <w:r>
        <w:rPr>
          <w:sz w:val="22"/>
          <w:szCs w:val="22"/>
        </w:rPr>
        <w:tab/>
        <w:t>Media Bureau</w:t>
      </w:r>
    </w:p>
    <w:p w:rsidR="00957EAF" w:rsidRPr="00631052" w:rsidP="00957EAF" w14:paraId="16D479D1" w14:textId="77777777">
      <w:pPr>
        <w:widowControl w:val="0"/>
        <w:jc w:val="center"/>
        <w:rPr>
          <w:b/>
          <w:snapToGrid w:val="0"/>
          <w:kern w:val="28"/>
          <w:sz w:val="22"/>
          <w:u w:val="single"/>
        </w:rPr>
      </w:pPr>
      <w:r>
        <w:rPr>
          <w:sz w:val="22"/>
          <w:szCs w:val="22"/>
        </w:rPr>
        <w:br w:type="page"/>
      </w:r>
      <w:r w:rsidRPr="00631052">
        <w:rPr>
          <w:b/>
          <w:snapToGrid w:val="0"/>
          <w:kern w:val="28"/>
          <w:sz w:val="22"/>
          <w:u w:val="single"/>
        </w:rPr>
        <w:t>Attachment</w:t>
      </w:r>
      <w:r>
        <w:rPr>
          <w:b/>
          <w:snapToGrid w:val="0"/>
          <w:kern w:val="28"/>
          <w:sz w:val="22"/>
          <w:u w:val="single"/>
        </w:rPr>
        <w:t xml:space="preserve"> </w:t>
      </w:r>
    </w:p>
    <w:p w:rsidR="00957EAF" w:rsidRPr="00631052" w:rsidP="00957EAF" w14:paraId="7052051D" w14:textId="77777777">
      <w:pPr>
        <w:widowControl w:val="0"/>
        <w:jc w:val="center"/>
        <w:rPr>
          <w:b/>
          <w:snapToGrid w:val="0"/>
          <w:kern w:val="28"/>
          <w:sz w:val="22"/>
        </w:rPr>
      </w:pPr>
    </w:p>
    <w:p w:rsidR="00957EAF" w:rsidRPr="0057787A" w:rsidP="00957EAF" w14:paraId="159B2099" w14:textId="77777777">
      <w:pPr>
        <w:widowControl w:val="0"/>
        <w:jc w:val="center"/>
        <w:rPr>
          <w:b/>
          <w:snapToGrid w:val="0"/>
          <w:kern w:val="28"/>
          <w:sz w:val="22"/>
        </w:rPr>
      </w:pPr>
      <w:r w:rsidRPr="0057787A">
        <w:rPr>
          <w:b/>
          <w:snapToGrid w:val="0"/>
          <w:kern w:val="28"/>
          <w:sz w:val="22"/>
        </w:rPr>
        <w:t>Proposed License Assignment from KMTR Television, LLC to</w:t>
      </w:r>
    </w:p>
    <w:p w:rsidR="00957EAF" w:rsidRPr="0057787A" w:rsidP="00957EAF" w14:paraId="7B3E592E" w14:textId="77777777">
      <w:pPr>
        <w:widowControl w:val="0"/>
        <w:jc w:val="center"/>
        <w:rPr>
          <w:b/>
          <w:snapToGrid w:val="0"/>
          <w:kern w:val="28"/>
          <w:sz w:val="22"/>
        </w:rPr>
      </w:pPr>
      <w:r w:rsidRPr="0057787A">
        <w:rPr>
          <w:b/>
          <w:snapToGrid w:val="0"/>
          <w:kern w:val="28"/>
          <w:sz w:val="22"/>
        </w:rPr>
        <w:t>Sinclair Eugene Licensee, LLC</w:t>
      </w:r>
    </w:p>
    <w:p w:rsidR="00957EAF" w:rsidRPr="0057787A" w:rsidP="00957EAF" w14:paraId="21F0447B" w14:textId="77777777">
      <w:pPr>
        <w:widowControl w:val="0"/>
        <w:jc w:val="center"/>
        <w:rPr>
          <w:b/>
          <w:snapToGrid w:val="0"/>
          <w:kern w:val="28"/>
          <w:sz w:val="22"/>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137"/>
        <w:gridCol w:w="1800"/>
        <w:gridCol w:w="2610"/>
      </w:tblGrid>
      <w:tr w14:paraId="5AA84472" w14:textId="77777777" w:rsidTr="003B28AE">
        <w:tblPrEx>
          <w:tblW w:w="8095" w:type="dxa"/>
          <w:tblLayout w:type="fixed"/>
          <w:tblLook w:val="04A0"/>
        </w:tblPrEx>
        <w:tc>
          <w:tcPr>
            <w:tcW w:w="1548" w:type="dxa"/>
          </w:tcPr>
          <w:p w:rsidR="00957EAF" w:rsidRPr="0057787A" w:rsidP="00957EAF" w14:paraId="197FE573" w14:textId="77777777">
            <w:pPr>
              <w:widowControl w:val="0"/>
              <w:jc w:val="center"/>
              <w:rPr>
                <w:b/>
                <w:snapToGrid w:val="0"/>
                <w:kern w:val="28"/>
                <w:sz w:val="22"/>
              </w:rPr>
            </w:pPr>
            <w:r w:rsidRPr="0057787A">
              <w:rPr>
                <w:b/>
                <w:snapToGrid w:val="0"/>
                <w:kern w:val="28"/>
                <w:sz w:val="22"/>
              </w:rPr>
              <w:t>Call Sign</w:t>
            </w:r>
          </w:p>
        </w:tc>
        <w:tc>
          <w:tcPr>
            <w:tcW w:w="2137" w:type="dxa"/>
          </w:tcPr>
          <w:p w:rsidR="00957EAF" w:rsidRPr="0057787A" w:rsidP="00957EAF" w14:paraId="5A921A2F" w14:textId="77777777">
            <w:pPr>
              <w:widowControl w:val="0"/>
              <w:jc w:val="center"/>
              <w:rPr>
                <w:b/>
                <w:snapToGrid w:val="0"/>
                <w:kern w:val="28"/>
                <w:sz w:val="22"/>
              </w:rPr>
            </w:pPr>
            <w:r w:rsidRPr="0057787A">
              <w:rPr>
                <w:b/>
                <w:snapToGrid w:val="0"/>
                <w:kern w:val="28"/>
                <w:sz w:val="22"/>
              </w:rPr>
              <w:t>Community of License</w:t>
            </w:r>
          </w:p>
        </w:tc>
        <w:tc>
          <w:tcPr>
            <w:tcW w:w="1800" w:type="dxa"/>
          </w:tcPr>
          <w:p w:rsidR="00957EAF" w:rsidRPr="0057787A" w:rsidP="00957EAF" w14:paraId="320359C3" w14:textId="77777777">
            <w:pPr>
              <w:widowControl w:val="0"/>
              <w:jc w:val="center"/>
              <w:rPr>
                <w:b/>
                <w:snapToGrid w:val="0"/>
                <w:kern w:val="28"/>
                <w:sz w:val="22"/>
              </w:rPr>
            </w:pPr>
            <w:r w:rsidRPr="0057787A">
              <w:rPr>
                <w:b/>
                <w:snapToGrid w:val="0"/>
                <w:kern w:val="28"/>
                <w:sz w:val="22"/>
              </w:rPr>
              <w:t>Facility ID No.</w:t>
            </w:r>
          </w:p>
        </w:tc>
        <w:tc>
          <w:tcPr>
            <w:tcW w:w="2610" w:type="dxa"/>
          </w:tcPr>
          <w:p w:rsidR="00957EAF" w:rsidRPr="0057787A" w:rsidP="00957EAF" w14:paraId="45975BC4" w14:textId="77777777">
            <w:pPr>
              <w:widowControl w:val="0"/>
              <w:jc w:val="center"/>
              <w:rPr>
                <w:b/>
                <w:snapToGrid w:val="0"/>
                <w:kern w:val="28"/>
                <w:sz w:val="22"/>
              </w:rPr>
            </w:pPr>
            <w:r w:rsidRPr="0057787A">
              <w:rPr>
                <w:b/>
                <w:snapToGrid w:val="0"/>
                <w:kern w:val="28"/>
                <w:sz w:val="22"/>
              </w:rPr>
              <w:t>LMS File No.</w:t>
            </w:r>
          </w:p>
        </w:tc>
      </w:tr>
      <w:tr w14:paraId="0F5C2FAF" w14:textId="77777777" w:rsidTr="003B28AE">
        <w:tblPrEx>
          <w:tblW w:w="8095" w:type="dxa"/>
          <w:tblLayout w:type="fixed"/>
          <w:tblLook w:val="04A0"/>
        </w:tblPrEx>
        <w:tc>
          <w:tcPr>
            <w:tcW w:w="1548" w:type="dxa"/>
            <w:vAlign w:val="center"/>
          </w:tcPr>
          <w:p w:rsidR="00957EAF" w:rsidRPr="0057787A" w:rsidP="00957EAF" w14:paraId="0456A5E1" w14:textId="77777777">
            <w:pPr>
              <w:widowControl w:val="0"/>
              <w:jc w:val="center"/>
              <w:rPr>
                <w:bCs/>
                <w:snapToGrid w:val="0"/>
                <w:kern w:val="28"/>
                <w:sz w:val="22"/>
              </w:rPr>
            </w:pPr>
            <w:r w:rsidRPr="0057787A">
              <w:rPr>
                <w:bCs/>
                <w:snapToGrid w:val="0"/>
                <w:kern w:val="28"/>
                <w:sz w:val="22"/>
              </w:rPr>
              <w:t>KMTR</w:t>
            </w:r>
          </w:p>
        </w:tc>
        <w:tc>
          <w:tcPr>
            <w:tcW w:w="2137" w:type="dxa"/>
            <w:vAlign w:val="center"/>
          </w:tcPr>
          <w:p w:rsidR="00957EAF" w:rsidRPr="0057787A" w:rsidP="00957EAF" w14:paraId="0B2661C3" w14:textId="77777777">
            <w:pPr>
              <w:widowControl w:val="0"/>
              <w:jc w:val="center"/>
              <w:rPr>
                <w:bCs/>
                <w:snapToGrid w:val="0"/>
                <w:kern w:val="28"/>
                <w:sz w:val="22"/>
              </w:rPr>
            </w:pPr>
            <w:r w:rsidRPr="0057787A">
              <w:rPr>
                <w:bCs/>
                <w:snapToGrid w:val="0"/>
                <w:kern w:val="28"/>
                <w:sz w:val="22"/>
              </w:rPr>
              <w:t>EUGENE, OR</w:t>
            </w:r>
          </w:p>
        </w:tc>
        <w:tc>
          <w:tcPr>
            <w:tcW w:w="1800" w:type="dxa"/>
            <w:vAlign w:val="center"/>
          </w:tcPr>
          <w:p w:rsidR="00957EAF" w:rsidRPr="0057787A" w:rsidP="00957EAF" w14:paraId="5A813215" w14:textId="77777777">
            <w:pPr>
              <w:widowControl w:val="0"/>
              <w:jc w:val="center"/>
              <w:rPr>
                <w:bCs/>
                <w:snapToGrid w:val="0"/>
                <w:kern w:val="28"/>
                <w:sz w:val="22"/>
              </w:rPr>
            </w:pPr>
            <w:r w:rsidRPr="0057787A">
              <w:rPr>
                <w:bCs/>
                <w:snapToGrid w:val="0"/>
                <w:kern w:val="28"/>
                <w:sz w:val="22"/>
              </w:rPr>
              <w:t>35189</w:t>
            </w:r>
          </w:p>
        </w:tc>
        <w:tc>
          <w:tcPr>
            <w:tcW w:w="2610" w:type="dxa"/>
            <w:vAlign w:val="center"/>
          </w:tcPr>
          <w:p w:rsidR="00957EAF" w:rsidRPr="0057787A" w:rsidP="00957EAF" w14:paraId="296B2AF8" w14:textId="77777777">
            <w:pPr>
              <w:widowControl w:val="0"/>
              <w:jc w:val="center"/>
              <w:rPr>
                <w:bCs/>
                <w:snapToGrid w:val="0"/>
                <w:kern w:val="28"/>
                <w:sz w:val="22"/>
              </w:rPr>
            </w:pPr>
            <w:r w:rsidRPr="0057787A">
              <w:rPr>
                <w:bCs/>
                <w:snapToGrid w:val="0"/>
                <w:kern w:val="28"/>
                <w:sz w:val="22"/>
              </w:rPr>
              <w:t>0000276551</w:t>
            </w:r>
          </w:p>
        </w:tc>
      </w:tr>
      <w:tr w14:paraId="11F577ED" w14:textId="77777777" w:rsidTr="003B28AE">
        <w:tblPrEx>
          <w:tblW w:w="8095" w:type="dxa"/>
          <w:tblLayout w:type="fixed"/>
          <w:tblLook w:val="04A0"/>
        </w:tblPrEx>
        <w:tc>
          <w:tcPr>
            <w:tcW w:w="1548" w:type="dxa"/>
            <w:vAlign w:val="center"/>
          </w:tcPr>
          <w:p w:rsidR="00957EAF" w:rsidRPr="0057787A" w:rsidP="00957EAF" w14:paraId="5E9DF9E8" w14:textId="77777777">
            <w:pPr>
              <w:widowControl w:val="0"/>
              <w:jc w:val="center"/>
              <w:rPr>
                <w:bCs/>
                <w:snapToGrid w:val="0"/>
                <w:kern w:val="28"/>
                <w:sz w:val="22"/>
              </w:rPr>
            </w:pPr>
            <w:r w:rsidRPr="0057787A">
              <w:rPr>
                <w:bCs/>
                <w:snapToGrid w:val="0"/>
                <w:kern w:val="28"/>
                <w:sz w:val="22"/>
              </w:rPr>
              <w:t>KTCW</w:t>
            </w:r>
          </w:p>
        </w:tc>
        <w:tc>
          <w:tcPr>
            <w:tcW w:w="2137" w:type="dxa"/>
            <w:vAlign w:val="center"/>
          </w:tcPr>
          <w:p w:rsidR="00957EAF" w:rsidRPr="0057787A" w:rsidP="00957EAF" w14:paraId="6D890EFF" w14:textId="77777777">
            <w:pPr>
              <w:widowControl w:val="0"/>
              <w:jc w:val="center"/>
              <w:rPr>
                <w:bCs/>
                <w:snapToGrid w:val="0"/>
                <w:kern w:val="28"/>
                <w:sz w:val="22"/>
              </w:rPr>
            </w:pPr>
            <w:r w:rsidRPr="0057787A">
              <w:rPr>
                <w:bCs/>
                <w:snapToGrid w:val="0"/>
                <w:kern w:val="28"/>
                <w:sz w:val="22"/>
              </w:rPr>
              <w:t>ROSEBURG, OR</w:t>
            </w:r>
          </w:p>
        </w:tc>
        <w:tc>
          <w:tcPr>
            <w:tcW w:w="1800" w:type="dxa"/>
            <w:vAlign w:val="center"/>
          </w:tcPr>
          <w:p w:rsidR="00957EAF" w:rsidRPr="0057787A" w:rsidP="00957EAF" w14:paraId="3E11450C" w14:textId="77777777">
            <w:pPr>
              <w:widowControl w:val="0"/>
              <w:jc w:val="center"/>
              <w:rPr>
                <w:bCs/>
                <w:snapToGrid w:val="0"/>
                <w:kern w:val="28"/>
                <w:sz w:val="22"/>
              </w:rPr>
            </w:pPr>
            <w:r w:rsidRPr="0057787A">
              <w:rPr>
                <w:bCs/>
                <w:snapToGrid w:val="0"/>
                <w:kern w:val="28"/>
                <w:sz w:val="22"/>
              </w:rPr>
              <w:t>35187</w:t>
            </w:r>
          </w:p>
        </w:tc>
        <w:tc>
          <w:tcPr>
            <w:tcW w:w="2610" w:type="dxa"/>
            <w:vAlign w:val="center"/>
          </w:tcPr>
          <w:p w:rsidR="00957EAF" w:rsidRPr="0057787A" w:rsidP="00957EAF" w14:paraId="3792B34E" w14:textId="77777777">
            <w:pPr>
              <w:widowControl w:val="0"/>
              <w:jc w:val="center"/>
              <w:rPr>
                <w:bCs/>
                <w:snapToGrid w:val="0"/>
                <w:kern w:val="28"/>
                <w:sz w:val="22"/>
              </w:rPr>
            </w:pPr>
            <w:r w:rsidRPr="0057787A">
              <w:rPr>
                <w:bCs/>
                <w:snapToGrid w:val="0"/>
                <w:kern w:val="28"/>
                <w:sz w:val="22"/>
              </w:rPr>
              <w:t>0000276552</w:t>
            </w:r>
          </w:p>
        </w:tc>
      </w:tr>
      <w:tr w14:paraId="1F485459" w14:textId="77777777" w:rsidTr="003B28AE">
        <w:tblPrEx>
          <w:tblW w:w="8095" w:type="dxa"/>
          <w:tblLayout w:type="fixed"/>
          <w:tblLook w:val="04A0"/>
        </w:tblPrEx>
        <w:tc>
          <w:tcPr>
            <w:tcW w:w="1548" w:type="dxa"/>
            <w:vAlign w:val="center"/>
          </w:tcPr>
          <w:p w:rsidR="00957EAF" w:rsidRPr="0057787A" w:rsidP="00957EAF" w14:paraId="1106889B" w14:textId="77777777">
            <w:pPr>
              <w:widowControl w:val="0"/>
              <w:jc w:val="center"/>
              <w:rPr>
                <w:bCs/>
                <w:snapToGrid w:val="0"/>
                <w:kern w:val="28"/>
                <w:sz w:val="22"/>
              </w:rPr>
            </w:pPr>
            <w:r w:rsidRPr="0057787A">
              <w:rPr>
                <w:bCs/>
                <w:snapToGrid w:val="0"/>
                <w:kern w:val="28"/>
                <w:sz w:val="22"/>
              </w:rPr>
              <w:t>K15KF-D</w:t>
            </w:r>
          </w:p>
        </w:tc>
        <w:tc>
          <w:tcPr>
            <w:tcW w:w="2137" w:type="dxa"/>
            <w:vAlign w:val="center"/>
          </w:tcPr>
          <w:p w:rsidR="00957EAF" w:rsidRPr="0057787A" w:rsidP="00957EAF" w14:paraId="42B35D0D" w14:textId="77777777">
            <w:pPr>
              <w:widowControl w:val="0"/>
              <w:jc w:val="center"/>
              <w:rPr>
                <w:bCs/>
                <w:snapToGrid w:val="0"/>
                <w:kern w:val="28"/>
                <w:sz w:val="22"/>
              </w:rPr>
            </w:pPr>
            <w:r w:rsidRPr="0057787A">
              <w:rPr>
                <w:bCs/>
                <w:snapToGrid w:val="0"/>
                <w:kern w:val="28"/>
                <w:sz w:val="22"/>
              </w:rPr>
              <w:t>COOS BAY, OR</w:t>
            </w:r>
          </w:p>
        </w:tc>
        <w:tc>
          <w:tcPr>
            <w:tcW w:w="1800" w:type="dxa"/>
            <w:vAlign w:val="center"/>
          </w:tcPr>
          <w:p w:rsidR="00957EAF" w:rsidRPr="0057787A" w:rsidP="00957EAF" w14:paraId="7605A525" w14:textId="77777777">
            <w:pPr>
              <w:widowControl w:val="0"/>
              <w:jc w:val="center"/>
              <w:rPr>
                <w:bCs/>
                <w:snapToGrid w:val="0"/>
                <w:kern w:val="28"/>
                <w:sz w:val="22"/>
              </w:rPr>
            </w:pPr>
            <w:r w:rsidRPr="0057787A">
              <w:rPr>
                <w:bCs/>
                <w:snapToGrid w:val="0"/>
                <w:kern w:val="28"/>
                <w:sz w:val="22"/>
              </w:rPr>
              <w:t>35188</w:t>
            </w:r>
          </w:p>
        </w:tc>
        <w:tc>
          <w:tcPr>
            <w:tcW w:w="2610" w:type="dxa"/>
            <w:vAlign w:val="center"/>
          </w:tcPr>
          <w:p w:rsidR="00957EAF" w:rsidRPr="0057787A" w:rsidP="00957EAF" w14:paraId="519D6C15" w14:textId="77777777">
            <w:pPr>
              <w:widowControl w:val="0"/>
              <w:jc w:val="center"/>
              <w:rPr>
                <w:bCs/>
                <w:snapToGrid w:val="0"/>
                <w:kern w:val="28"/>
                <w:sz w:val="22"/>
              </w:rPr>
            </w:pPr>
            <w:r w:rsidRPr="0057787A">
              <w:rPr>
                <w:bCs/>
                <w:snapToGrid w:val="0"/>
                <w:kern w:val="28"/>
                <w:sz w:val="22"/>
              </w:rPr>
              <w:t>0000276553</w:t>
            </w:r>
          </w:p>
        </w:tc>
      </w:tr>
      <w:tr w14:paraId="2715E80A" w14:textId="77777777" w:rsidTr="003B28AE">
        <w:tblPrEx>
          <w:tblW w:w="8095" w:type="dxa"/>
          <w:tblLayout w:type="fixed"/>
          <w:tblLook w:val="04A0"/>
        </w:tblPrEx>
        <w:tc>
          <w:tcPr>
            <w:tcW w:w="1548" w:type="dxa"/>
            <w:vAlign w:val="center"/>
          </w:tcPr>
          <w:p w:rsidR="00957EAF" w:rsidRPr="0057787A" w:rsidP="00957EAF" w14:paraId="34D89155" w14:textId="77777777">
            <w:pPr>
              <w:widowControl w:val="0"/>
              <w:jc w:val="center"/>
              <w:rPr>
                <w:bCs/>
                <w:snapToGrid w:val="0"/>
                <w:kern w:val="28"/>
                <w:sz w:val="22"/>
              </w:rPr>
            </w:pPr>
            <w:r w:rsidRPr="0057787A">
              <w:rPr>
                <w:bCs/>
                <w:snapToGrid w:val="0"/>
                <w:kern w:val="28"/>
                <w:sz w:val="22"/>
              </w:rPr>
              <w:t>K31AE-D</w:t>
            </w:r>
          </w:p>
        </w:tc>
        <w:tc>
          <w:tcPr>
            <w:tcW w:w="2137" w:type="dxa"/>
            <w:vAlign w:val="center"/>
          </w:tcPr>
          <w:p w:rsidR="00957EAF" w:rsidRPr="0057787A" w:rsidP="00957EAF" w14:paraId="734C29CA" w14:textId="77777777">
            <w:pPr>
              <w:widowControl w:val="0"/>
              <w:jc w:val="center"/>
              <w:rPr>
                <w:bCs/>
                <w:snapToGrid w:val="0"/>
                <w:kern w:val="28"/>
                <w:sz w:val="22"/>
              </w:rPr>
            </w:pPr>
            <w:r w:rsidRPr="0057787A">
              <w:rPr>
                <w:bCs/>
                <w:snapToGrid w:val="0"/>
                <w:kern w:val="28"/>
                <w:sz w:val="22"/>
              </w:rPr>
              <w:t>SUTHERLIN, OR</w:t>
            </w:r>
          </w:p>
        </w:tc>
        <w:tc>
          <w:tcPr>
            <w:tcW w:w="1800" w:type="dxa"/>
            <w:vAlign w:val="center"/>
          </w:tcPr>
          <w:p w:rsidR="00957EAF" w:rsidRPr="0057787A" w:rsidP="00957EAF" w14:paraId="4BEC2843" w14:textId="77777777">
            <w:pPr>
              <w:widowControl w:val="0"/>
              <w:jc w:val="center"/>
              <w:rPr>
                <w:bCs/>
                <w:snapToGrid w:val="0"/>
                <w:kern w:val="28"/>
                <w:sz w:val="22"/>
              </w:rPr>
            </w:pPr>
            <w:r w:rsidRPr="0057787A">
              <w:rPr>
                <w:bCs/>
                <w:snapToGrid w:val="0"/>
                <w:kern w:val="28"/>
                <w:sz w:val="22"/>
              </w:rPr>
              <w:t>35172</w:t>
            </w:r>
          </w:p>
        </w:tc>
        <w:tc>
          <w:tcPr>
            <w:tcW w:w="2610" w:type="dxa"/>
            <w:vAlign w:val="center"/>
          </w:tcPr>
          <w:p w:rsidR="00957EAF" w:rsidRPr="0057787A" w:rsidP="00957EAF" w14:paraId="3DD1722C" w14:textId="77777777">
            <w:pPr>
              <w:widowControl w:val="0"/>
              <w:jc w:val="center"/>
              <w:rPr>
                <w:bCs/>
                <w:snapToGrid w:val="0"/>
                <w:kern w:val="28"/>
                <w:sz w:val="22"/>
              </w:rPr>
            </w:pPr>
            <w:r w:rsidRPr="0057787A">
              <w:rPr>
                <w:bCs/>
                <w:snapToGrid w:val="0"/>
                <w:kern w:val="28"/>
                <w:sz w:val="22"/>
              </w:rPr>
              <w:t>0000276554</w:t>
            </w:r>
          </w:p>
        </w:tc>
      </w:tr>
      <w:tr w14:paraId="2F8E108F" w14:textId="77777777" w:rsidTr="003B28AE">
        <w:tblPrEx>
          <w:tblW w:w="8095" w:type="dxa"/>
          <w:tblLayout w:type="fixed"/>
          <w:tblLook w:val="04A0"/>
        </w:tblPrEx>
        <w:tc>
          <w:tcPr>
            <w:tcW w:w="1548" w:type="dxa"/>
            <w:vAlign w:val="center"/>
          </w:tcPr>
          <w:p w:rsidR="00957EAF" w:rsidRPr="0057787A" w:rsidP="00957EAF" w14:paraId="0E738A3F" w14:textId="77777777">
            <w:pPr>
              <w:widowControl w:val="0"/>
              <w:jc w:val="center"/>
              <w:rPr>
                <w:bCs/>
                <w:snapToGrid w:val="0"/>
                <w:kern w:val="28"/>
                <w:sz w:val="22"/>
              </w:rPr>
            </w:pPr>
            <w:r w:rsidRPr="0057787A">
              <w:rPr>
                <w:bCs/>
                <w:snapToGrid w:val="0"/>
                <w:kern w:val="28"/>
                <w:sz w:val="22"/>
              </w:rPr>
              <w:t>K22GX-D</w:t>
            </w:r>
          </w:p>
        </w:tc>
        <w:tc>
          <w:tcPr>
            <w:tcW w:w="2137" w:type="dxa"/>
            <w:vAlign w:val="center"/>
          </w:tcPr>
          <w:p w:rsidR="00957EAF" w:rsidRPr="0057787A" w:rsidP="00957EAF" w14:paraId="018B58B9" w14:textId="77777777">
            <w:pPr>
              <w:widowControl w:val="0"/>
              <w:jc w:val="center"/>
              <w:rPr>
                <w:bCs/>
                <w:snapToGrid w:val="0"/>
                <w:kern w:val="28"/>
                <w:sz w:val="22"/>
              </w:rPr>
            </w:pPr>
            <w:r w:rsidRPr="0057787A">
              <w:rPr>
                <w:bCs/>
                <w:snapToGrid w:val="0"/>
                <w:kern w:val="28"/>
                <w:sz w:val="22"/>
              </w:rPr>
              <w:t>TRI CITY, OR</w:t>
            </w:r>
          </w:p>
        </w:tc>
        <w:tc>
          <w:tcPr>
            <w:tcW w:w="1800" w:type="dxa"/>
            <w:vAlign w:val="center"/>
          </w:tcPr>
          <w:p w:rsidR="00957EAF" w:rsidRPr="0057787A" w:rsidP="00957EAF" w14:paraId="59D76FC5" w14:textId="77777777">
            <w:pPr>
              <w:widowControl w:val="0"/>
              <w:jc w:val="center"/>
              <w:rPr>
                <w:bCs/>
                <w:snapToGrid w:val="0"/>
                <w:kern w:val="28"/>
                <w:sz w:val="22"/>
              </w:rPr>
            </w:pPr>
            <w:r w:rsidRPr="0057787A">
              <w:rPr>
                <w:bCs/>
                <w:snapToGrid w:val="0"/>
                <w:kern w:val="28"/>
                <w:sz w:val="22"/>
              </w:rPr>
              <w:t>35184</w:t>
            </w:r>
          </w:p>
        </w:tc>
        <w:tc>
          <w:tcPr>
            <w:tcW w:w="2610" w:type="dxa"/>
            <w:vAlign w:val="center"/>
          </w:tcPr>
          <w:p w:rsidR="00957EAF" w:rsidRPr="0057787A" w:rsidP="00957EAF" w14:paraId="38E7CC1C" w14:textId="77777777">
            <w:pPr>
              <w:widowControl w:val="0"/>
              <w:jc w:val="center"/>
              <w:rPr>
                <w:bCs/>
                <w:snapToGrid w:val="0"/>
                <w:kern w:val="28"/>
                <w:sz w:val="22"/>
              </w:rPr>
            </w:pPr>
            <w:r w:rsidRPr="0057787A">
              <w:rPr>
                <w:bCs/>
                <w:snapToGrid w:val="0"/>
                <w:kern w:val="28"/>
                <w:sz w:val="22"/>
              </w:rPr>
              <w:t>0000276555</w:t>
            </w:r>
          </w:p>
        </w:tc>
      </w:tr>
      <w:tr w14:paraId="395B6611" w14:textId="77777777" w:rsidTr="003B28AE">
        <w:tblPrEx>
          <w:tblW w:w="8095" w:type="dxa"/>
          <w:tblLayout w:type="fixed"/>
          <w:tblLook w:val="04A0"/>
        </w:tblPrEx>
        <w:tc>
          <w:tcPr>
            <w:tcW w:w="1548" w:type="dxa"/>
            <w:vAlign w:val="center"/>
          </w:tcPr>
          <w:p w:rsidR="00957EAF" w:rsidRPr="0057787A" w:rsidP="00957EAF" w14:paraId="781E153D" w14:textId="77777777">
            <w:pPr>
              <w:widowControl w:val="0"/>
              <w:jc w:val="center"/>
              <w:rPr>
                <w:bCs/>
                <w:snapToGrid w:val="0"/>
                <w:kern w:val="28"/>
                <w:sz w:val="22"/>
              </w:rPr>
            </w:pPr>
            <w:r w:rsidRPr="0057787A">
              <w:rPr>
                <w:bCs/>
                <w:snapToGrid w:val="0"/>
                <w:kern w:val="28"/>
                <w:sz w:val="22"/>
              </w:rPr>
              <w:t>KMCB</w:t>
            </w:r>
          </w:p>
        </w:tc>
        <w:tc>
          <w:tcPr>
            <w:tcW w:w="2137" w:type="dxa"/>
            <w:vAlign w:val="center"/>
          </w:tcPr>
          <w:p w:rsidR="00957EAF" w:rsidRPr="0057787A" w:rsidP="00957EAF" w14:paraId="3521B674" w14:textId="77777777">
            <w:pPr>
              <w:widowControl w:val="0"/>
              <w:jc w:val="center"/>
              <w:rPr>
                <w:bCs/>
                <w:snapToGrid w:val="0"/>
                <w:kern w:val="28"/>
                <w:sz w:val="22"/>
              </w:rPr>
            </w:pPr>
            <w:r w:rsidRPr="0057787A">
              <w:rPr>
                <w:bCs/>
                <w:snapToGrid w:val="0"/>
                <w:kern w:val="28"/>
                <w:sz w:val="22"/>
              </w:rPr>
              <w:t>COOS BAY, OR</w:t>
            </w:r>
          </w:p>
        </w:tc>
        <w:tc>
          <w:tcPr>
            <w:tcW w:w="1800" w:type="dxa"/>
            <w:vAlign w:val="center"/>
          </w:tcPr>
          <w:p w:rsidR="00957EAF" w:rsidRPr="0057787A" w:rsidP="00957EAF" w14:paraId="69614C31" w14:textId="77777777">
            <w:pPr>
              <w:widowControl w:val="0"/>
              <w:jc w:val="center"/>
              <w:rPr>
                <w:bCs/>
                <w:snapToGrid w:val="0"/>
                <w:kern w:val="28"/>
                <w:sz w:val="22"/>
              </w:rPr>
            </w:pPr>
            <w:r w:rsidRPr="0057787A">
              <w:rPr>
                <w:bCs/>
                <w:snapToGrid w:val="0"/>
                <w:kern w:val="28"/>
                <w:sz w:val="22"/>
              </w:rPr>
              <w:t>35183</w:t>
            </w:r>
          </w:p>
        </w:tc>
        <w:tc>
          <w:tcPr>
            <w:tcW w:w="2610" w:type="dxa"/>
            <w:vAlign w:val="center"/>
          </w:tcPr>
          <w:p w:rsidR="00957EAF" w:rsidRPr="0057787A" w:rsidP="00957EAF" w14:paraId="54B4DBA7" w14:textId="77777777">
            <w:pPr>
              <w:widowControl w:val="0"/>
              <w:jc w:val="center"/>
              <w:rPr>
                <w:bCs/>
                <w:snapToGrid w:val="0"/>
                <w:kern w:val="28"/>
                <w:sz w:val="22"/>
              </w:rPr>
            </w:pPr>
            <w:r w:rsidRPr="0057787A">
              <w:rPr>
                <w:bCs/>
                <w:snapToGrid w:val="0"/>
                <w:kern w:val="28"/>
                <w:sz w:val="22"/>
              </w:rPr>
              <w:t>0000276556</w:t>
            </w:r>
          </w:p>
        </w:tc>
      </w:tr>
    </w:tbl>
    <w:p w:rsidR="00957EAF" w:rsidRPr="0057787A" w:rsidP="00957EAF" w14:paraId="02677033" w14:textId="77777777">
      <w:pPr>
        <w:widowControl w:val="0"/>
        <w:jc w:val="center"/>
        <w:rPr>
          <w:bCs/>
          <w:snapToGrid w:val="0"/>
          <w:kern w:val="28"/>
          <w:sz w:val="22"/>
        </w:rPr>
      </w:pPr>
    </w:p>
    <w:p w:rsidR="00957EAF" w:rsidRPr="0057787A" w:rsidP="00957EAF" w14:paraId="5547F5B8" w14:textId="77777777">
      <w:pPr>
        <w:widowControl w:val="0"/>
        <w:jc w:val="center"/>
        <w:rPr>
          <w:b/>
          <w:snapToGrid w:val="0"/>
          <w:kern w:val="28"/>
          <w:sz w:val="22"/>
        </w:rPr>
      </w:pPr>
      <w:r w:rsidRPr="0057787A">
        <w:rPr>
          <w:b/>
          <w:snapToGrid w:val="0"/>
          <w:kern w:val="28"/>
          <w:sz w:val="22"/>
        </w:rPr>
        <w:t>Proposed License Assignment from Subsidiaries of Cunningham Broadcasting Corporation to Subsidiaries of Sinclair, Inc.</w:t>
      </w:r>
    </w:p>
    <w:p w:rsidR="00957EAF" w:rsidRPr="0057787A" w:rsidP="00957EAF" w14:paraId="44AA7F98" w14:textId="77777777">
      <w:pPr>
        <w:widowControl w:val="0"/>
        <w:jc w:val="center"/>
        <w:rPr>
          <w:snapToGrid w:val="0"/>
          <w:kern w:val="28"/>
          <w:sz w:val="22"/>
        </w:rPr>
      </w:pP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2137"/>
        <w:gridCol w:w="1800"/>
        <w:gridCol w:w="2610"/>
      </w:tblGrid>
      <w:tr w14:paraId="1DFCC0F1" w14:textId="77777777" w:rsidTr="003B28AE">
        <w:tblPrEx>
          <w:tblW w:w="8095" w:type="dxa"/>
          <w:tblLayout w:type="fixed"/>
          <w:tblLook w:val="04A0"/>
        </w:tblPrEx>
        <w:tc>
          <w:tcPr>
            <w:tcW w:w="1548" w:type="dxa"/>
          </w:tcPr>
          <w:p w:rsidR="00957EAF" w:rsidRPr="0057787A" w:rsidP="00957EAF" w14:paraId="5BEDBC57" w14:textId="77777777">
            <w:pPr>
              <w:widowControl w:val="0"/>
              <w:jc w:val="center"/>
              <w:rPr>
                <w:b/>
                <w:snapToGrid w:val="0"/>
                <w:kern w:val="28"/>
                <w:sz w:val="22"/>
              </w:rPr>
            </w:pPr>
            <w:r w:rsidRPr="0057787A">
              <w:rPr>
                <w:b/>
                <w:snapToGrid w:val="0"/>
                <w:kern w:val="28"/>
                <w:sz w:val="22"/>
              </w:rPr>
              <w:t>Call Sign</w:t>
            </w:r>
          </w:p>
        </w:tc>
        <w:tc>
          <w:tcPr>
            <w:tcW w:w="2137" w:type="dxa"/>
          </w:tcPr>
          <w:p w:rsidR="00957EAF" w:rsidRPr="0057787A" w:rsidP="00957EAF" w14:paraId="4A5F3271" w14:textId="77777777">
            <w:pPr>
              <w:widowControl w:val="0"/>
              <w:jc w:val="center"/>
              <w:rPr>
                <w:b/>
                <w:snapToGrid w:val="0"/>
                <w:kern w:val="28"/>
                <w:sz w:val="22"/>
              </w:rPr>
            </w:pPr>
            <w:r w:rsidRPr="0057787A">
              <w:rPr>
                <w:b/>
                <w:snapToGrid w:val="0"/>
                <w:kern w:val="28"/>
                <w:sz w:val="22"/>
              </w:rPr>
              <w:t>Community of License</w:t>
            </w:r>
          </w:p>
        </w:tc>
        <w:tc>
          <w:tcPr>
            <w:tcW w:w="1800" w:type="dxa"/>
          </w:tcPr>
          <w:p w:rsidR="00957EAF" w:rsidRPr="0057787A" w:rsidP="00957EAF" w14:paraId="411EF4EA" w14:textId="77777777">
            <w:pPr>
              <w:widowControl w:val="0"/>
              <w:jc w:val="center"/>
              <w:rPr>
                <w:b/>
                <w:snapToGrid w:val="0"/>
                <w:kern w:val="28"/>
                <w:sz w:val="22"/>
              </w:rPr>
            </w:pPr>
            <w:r w:rsidRPr="0057787A">
              <w:rPr>
                <w:b/>
                <w:snapToGrid w:val="0"/>
                <w:kern w:val="28"/>
                <w:sz w:val="22"/>
              </w:rPr>
              <w:t>Facility ID No.</w:t>
            </w:r>
          </w:p>
        </w:tc>
        <w:tc>
          <w:tcPr>
            <w:tcW w:w="2610" w:type="dxa"/>
          </w:tcPr>
          <w:p w:rsidR="00957EAF" w:rsidRPr="0057787A" w:rsidP="00957EAF" w14:paraId="5BA68302" w14:textId="77777777">
            <w:pPr>
              <w:widowControl w:val="0"/>
              <w:jc w:val="center"/>
              <w:rPr>
                <w:b/>
                <w:snapToGrid w:val="0"/>
                <w:kern w:val="28"/>
                <w:sz w:val="22"/>
              </w:rPr>
            </w:pPr>
            <w:r w:rsidRPr="0057787A">
              <w:rPr>
                <w:b/>
                <w:snapToGrid w:val="0"/>
                <w:kern w:val="28"/>
                <w:sz w:val="22"/>
              </w:rPr>
              <w:t>LMS File No.</w:t>
            </w:r>
          </w:p>
        </w:tc>
      </w:tr>
      <w:tr w14:paraId="1F15B309" w14:textId="77777777" w:rsidTr="003B28AE">
        <w:tblPrEx>
          <w:tblW w:w="8095" w:type="dxa"/>
          <w:tblLayout w:type="fixed"/>
          <w:tblLook w:val="04A0"/>
        </w:tblPrEx>
        <w:tc>
          <w:tcPr>
            <w:tcW w:w="1548" w:type="dxa"/>
            <w:vAlign w:val="center"/>
          </w:tcPr>
          <w:p w:rsidR="00957EAF" w:rsidRPr="0057787A" w:rsidP="00957EAF" w14:paraId="04828F88" w14:textId="77777777">
            <w:pPr>
              <w:widowControl w:val="0"/>
              <w:jc w:val="center"/>
              <w:rPr>
                <w:snapToGrid w:val="0"/>
                <w:kern w:val="28"/>
                <w:sz w:val="22"/>
              </w:rPr>
            </w:pPr>
            <w:r w:rsidRPr="0057787A">
              <w:rPr>
                <w:snapToGrid w:val="0"/>
                <w:kern w:val="28"/>
                <w:sz w:val="22"/>
              </w:rPr>
              <w:t>WYDO</w:t>
            </w:r>
          </w:p>
        </w:tc>
        <w:tc>
          <w:tcPr>
            <w:tcW w:w="2137" w:type="dxa"/>
            <w:vAlign w:val="center"/>
          </w:tcPr>
          <w:p w:rsidR="00957EAF" w:rsidRPr="0057787A" w:rsidP="00957EAF" w14:paraId="1FC90DCE" w14:textId="77777777">
            <w:pPr>
              <w:widowControl w:val="0"/>
              <w:jc w:val="center"/>
              <w:rPr>
                <w:snapToGrid w:val="0"/>
                <w:kern w:val="28"/>
                <w:sz w:val="22"/>
              </w:rPr>
            </w:pPr>
            <w:r w:rsidRPr="0057787A">
              <w:rPr>
                <w:snapToGrid w:val="0"/>
                <w:kern w:val="28"/>
                <w:sz w:val="22"/>
              </w:rPr>
              <w:t>GREENVILLE, NC</w:t>
            </w:r>
          </w:p>
        </w:tc>
        <w:tc>
          <w:tcPr>
            <w:tcW w:w="1800" w:type="dxa"/>
            <w:vAlign w:val="center"/>
          </w:tcPr>
          <w:p w:rsidR="00957EAF" w:rsidRPr="0057787A" w:rsidP="00957EAF" w14:paraId="7F23508E" w14:textId="77777777">
            <w:pPr>
              <w:widowControl w:val="0"/>
              <w:jc w:val="center"/>
              <w:rPr>
                <w:snapToGrid w:val="0"/>
                <w:kern w:val="28"/>
                <w:sz w:val="22"/>
              </w:rPr>
            </w:pPr>
            <w:r w:rsidRPr="0057787A">
              <w:rPr>
                <w:snapToGrid w:val="0"/>
                <w:kern w:val="28"/>
                <w:sz w:val="22"/>
              </w:rPr>
              <w:t>35582</w:t>
            </w:r>
          </w:p>
        </w:tc>
        <w:tc>
          <w:tcPr>
            <w:tcW w:w="2610" w:type="dxa"/>
            <w:vAlign w:val="center"/>
          </w:tcPr>
          <w:p w:rsidR="00957EAF" w:rsidRPr="0057787A" w:rsidP="00957EAF" w14:paraId="08D644AF" w14:textId="77777777">
            <w:pPr>
              <w:widowControl w:val="0"/>
              <w:jc w:val="center"/>
              <w:rPr>
                <w:snapToGrid w:val="0"/>
                <w:kern w:val="28"/>
                <w:sz w:val="22"/>
              </w:rPr>
            </w:pPr>
            <w:r w:rsidRPr="0057787A">
              <w:rPr>
                <w:snapToGrid w:val="0"/>
                <w:kern w:val="28"/>
                <w:sz w:val="22"/>
              </w:rPr>
              <w:t>0000276767</w:t>
            </w:r>
          </w:p>
        </w:tc>
      </w:tr>
      <w:tr w14:paraId="2A5C5F0D" w14:textId="77777777" w:rsidTr="003B28AE">
        <w:tblPrEx>
          <w:tblW w:w="8095" w:type="dxa"/>
          <w:tblLayout w:type="fixed"/>
          <w:tblLook w:val="04A0"/>
        </w:tblPrEx>
        <w:tc>
          <w:tcPr>
            <w:tcW w:w="1548" w:type="dxa"/>
            <w:vAlign w:val="center"/>
          </w:tcPr>
          <w:p w:rsidR="00957EAF" w:rsidRPr="0057787A" w:rsidP="00957EAF" w14:paraId="1E82225C" w14:textId="77777777">
            <w:pPr>
              <w:widowControl w:val="0"/>
              <w:jc w:val="center"/>
              <w:rPr>
                <w:snapToGrid w:val="0"/>
                <w:kern w:val="28"/>
                <w:sz w:val="22"/>
              </w:rPr>
            </w:pPr>
            <w:r w:rsidRPr="0057787A">
              <w:rPr>
                <w:snapToGrid w:val="0"/>
                <w:kern w:val="28"/>
                <w:sz w:val="22"/>
              </w:rPr>
              <w:t>WPFO</w:t>
            </w:r>
          </w:p>
        </w:tc>
        <w:tc>
          <w:tcPr>
            <w:tcW w:w="2137" w:type="dxa"/>
            <w:vAlign w:val="center"/>
          </w:tcPr>
          <w:p w:rsidR="00957EAF" w:rsidRPr="0057787A" w:rsidP="00957EAF" w14:paraId="016CDED8" w14:textId="77777777">
            <w:pPr>
              <w:widowControl w:val="0"/>
              <w:jc w:val="center"/>
              <w:rPr>
                <w:snapToGrid w:val="0"/>
                <w:kern w:val="28"/>
                <w:sz w:val="22"/>
              </w:rPr>
            </w:pPr>
            <w:r w:rsidRPr="0057787A">
              <w:rPr>
                <w:snapToGrid w:val="0"/>
                <w:kern w:val="28"/>
                <w:sz w:val="22"/>
              </w:rPr>
              <w:t>WATERVILLE, ME</w:t>
            </w:r>
          </w:p>
        </w:tc>
        <w:tc>
          <w:tcPr>
            <w:tcW w:w="1800" w:type="dxa"/>
            <w:vAlign w:val="center"/>
          </w:tcPr>
          <w:p w:rsidR="00957EAF" w:rsidRPr="0057787A" w:rsidP="00957EAF" w14:paraId="48ADB985" w14:textId="77777777">
            <w:pPr>
              <w:widowControl w:val="0"/>
              <w:jc w:val="center"/>
              <w:rPr>
                <w:snapToGrid w:val="0"/>
                <w:kern w:val="28"/>
                <w:sz w:val="22"/>
              </w:rPr>
            </w:pPr>
            <w:r w:rsidRPr="0057787A">
              <w:rPr>
                <w:snapToGrid w:val="0"/>
                <w:kern w:val="28"/>
                <w:sz w:val="22"/>
              </w:rPr>
              <w:t>84088</w:t>
            </w:r>
          </w:p>
        </w:tc>
        <w:tc>
          <w:tcPr>
            <w:tcW w:w="2610" w:type="dxa"/>
            <w:vAlign w:val="center"/>
          </w:tcPr>
          <w:p w:rsidR="00957EAF" w:rsidRPr="0057787A" w:rsidP="00957EAF" w14:paraId="4BB2EDDF" w14:textId="77777777">
            <w:pPr>
              <w:widowControl w:val="0"/>
              <w:jc w:val="center"/>
              <w:rPr>
                <w:snapToGrid w:val="0"/>
                <w:kern w:val="28"/>
                <w:sz w:val="22"/>
              </w:rPr>
            </w:pPr>
            <w:r w:rsidRPr="0057787A">
              <w:rPr>
                <w:snapToGrid w:val="0"/>
                <w:kern w:val="28"/>
                <w:sz w:val="22"/>
              </w:rPr>
              <w:t>0000276769</w:t>
            </w:r>
          </w:p>
        </w:tc>
      </w:tr>
      <w:tr w14:paraId="145B1E55" w14:textId="77777777" w:rsidTr="003B28AE">
        <w:tblPrEx>
          <w:tblW w:w="8095" w:type="dxa"/>
          <w:tblLayout w:type="fixed"/>
          <w:tblLook w:val="04A0"/>
        </w:tblPrEx>
        <w:tc>
          <w:tcPr>
            <w:tcW w:w="1548" w:type="dxa"/>
            <w:vAlign w:val="center"/>
          </w:tcPr>
          <w:p w:rsidR="00957EAF" w:rsidRPr="0057787A" w:rsidP="00957EAF" w14:paraId="34B743CD" w14:textId="77777777">
            <w:pPr>
              <w:widowControl w:val="0"/>
              <w:jc w:val="center"/>
              <w:rPr>
                <w:snapToGrid w:val="0"/>
                <w:kern w:val="28"/>
                <w:sz w:val="22"/>
              </w:rPr>
            </w:pPr>
            <w:r w:rsidRPr="0057787A">
              <w:rPr>
                <w:snapToGrid w:val="0"/>
                <w:kern w:val="28"/>
                <w:sz w:val="22"/>
              </w:rPr>
              <w:t>KBVU</w:t>
            </w:r>
          </w:p>
        </w:tc>
        <w:tc>
          <w:tcPr>
            <w:tcW w:w="2137" w:type="dxa"/>
            <w:vAlign w:val="center"/>
          </w:tcPr>
          <w:p w:rsidR="00957EAF" w:rsidRPr="0057787A" w:rsidP="00957EAF" w14:paraId="75B0CD49" w14:textId="77777777">
            <w:pPr>
              <w:widowControl w:val="0"/>
              <w:jc w:val="center"/>
              <w:rPr>
                <w:snapToGrid w:val="0"/>
                <w:kern w:val="28"/>
                <w:sz w:val="22"/>
              </w:rPr>
            </w:pPr>
            <w:r w:rsidRPr="0057787A">
              <w:rPr>
                <w:snapToGrid w:val="0"/>
                <w:kern w:val="28"/>
                <w:sz w:val="22"/>
              </w:rPr>
              <w:t>EUREKA, CA</w:t>
            </w:r>
          </w:p>
        </w:tc>
        <w:tc>
          <w:tcPr>
            <w:tcW w:w="1800" w:type="dxa"/>
            <w:vAlign w:val="center"/>
          </w:tcPr>
          <w:p w:rsidR="00957EAF" w:rsidRPr="0057787A" w:rsidP="00957EAF" w14:paraId="1AC0641B" w14:textId="77777777">
            <w:pPr>
              <w:widowControl w:val="0"/>
              <w:jc w:val="center"/>
              <w:rPr>
                <w:snapToGrid w:val="0"/>
                <w:kern w:val="28"/>
                <w:sz w:val="22"/>
              </w:rPr>
            </w:pPr>
            <w:r w:rsidRPr="0057787A">
              <w:rPr>
                <w:snapToGrid w:val="0"/>
                <w:kern w:val="28"/>
                <w:sz w:val="22"/>
              </w:rPr>
              <w:t>58618</w:t>
            </w:r>
          </w:p>
        </w:tc>
        <w:tc>
          <w:tcPr>
            <w:tcW w:w="2610" w:type="dxa"/>
            <w:vAlign w:val="center"/>
          </w:tcPr>
          <w:p w:rsidR="00957EAF" w:rsidRPr="0057787A" w:rsidP="00957EAF" w14:paraId="61CD1994" w14:textId="77777777">
            <w:pPr>
              <w:widowControl w:val="0"/>
              <w:jc w:val="center"/>
              <w:rPr>
                <w:snapToGrid w:val="0"/>
                <w:kern w:val="28"/>
                <w:sz w:val="22"/>
              </w:rPr>
            </w:pPr>
            <w:r w:rsidRPr="0057787A">
              <w:rPr>
                <w:snapToGrid w:val="0"/>
                <w:kern w:val="28"/>
                <w:sz w:val="22"/>
              </w:rPr>
              <w:t>0000276776</w:t>
            </w:r>
          </w:p>
        </w:tc>
      </w:tr>
      <w:tr w14:paraId="6C414759" w14:textId="77777777" w:rsidTr="003B28AE">
        <w:tblPrEx>
          <w:tblW w:w="8095" w:type="dxa"/>
          <w:tblLayout w:type="fixed"/>
          <w:tblLook w:val="04A0"/>
        </w:tblPrEx>
        <w:tc>
          <w:tcPr>
            <w:tcW w:w="1548" w:type="dxa"/>
            <w:vAlign w:val="center"/>
          </w:tcPr>
          <w:p w:rsidR="00957EAF" w:rsidRPr="0057787A" w:rsidP="00957EAF" w14:paraId="06A75502" w14:textId="77777777">
            <w:pPr>
              <w:widowControl w:val="0"/>
              <w:jc w:val="center"/>
              <w:rPr>
                <w:snapToGrid w:val="0"/>
                <w:kern w:val="28"/>
                <w:sz w:val="22"/>
              </w:rPr>
            </w:pPr>
            <w:r w:rsidRPr="0057787A">
              <w:rPr>
                <w:snapToGrid w:val="0"/>
                <w:kern w:val="28"/>
                <w:sz w:val="22"/>
              </w:rPr>
              <w:t>WEMT</w:t>
            </w:r>
          </w:p>
        </w:tc>
        <w:tc>
          <w:tcPr>
            <w:tcW w:w="2137" w:type="dxa"/>
            <w:vAlign w:val="center"/>
          </w:tcPr>
          <w:p w:rsidR="00957EAF" w:rsidRPr="0057787A" w:rsidP="00957EAF" w14:paraId="5C74F50F" w14:textId="77777777">
            <w:pPr>
              <w:widowControl w:val="0"/>
              <w:jc w:val="center"/>
              <w:rPr>
                <w:snapToGrid w:val="0"/>
                <w:kern w:val="28"/>
                <w:sz w:val="22"/>
              </w:rPr>
            </w:pPr>
            <w:r w:rsidRPr="0057787A">
              <w:rPr>
                <w:snapToGrid w:val="0"/>
                <w:kern w:val="28"/>
                <w:sz w:val="22"/>
              </w:rPr>
              <w:t>GREENEVILLE, TN</w:t>
            </w:r>
          </w:p>
        </w:tc>
        <w:tc>
          <w:tcPr>
            <w:tcW w:w="1800" w:type="dxa"/>
            <w:vAlign w:val="center"/>
          </w:tcPr>
          <w:p w:rsidR="00957EAF" w:rsidRPr="0057787A" w:rsidP="00957EAF" w14:paraId="0DEA174B" w14:textId="77777777">
            <w:pPr>
              <w:widowControl w:val="0"/>
              <w:jc w:val="center"/>
              <w:rPr>
                <w:snapToGrid w:val="0"/>
                <w:kern w:val="28"/>
                <w:sz w:val="22"/>
              </w:rPr>
            </w:pPr>
            <w:r w:rsidRPr="0057787A">
              <w:rPr>
                <w:snapToGrid w:val="0"/>
                <w:kern w:val="28"/>
                <w:sz w:val="22"/>
              </w:rPr>
              <w:t>40761</w:t>
            </w:r>
          </w:p>
        </w:tc>
        <w:tc>
          <w:tcPr>
            <w:tcW w:w="2610" w:type="dxa"/>
            <w:vAlign w:val="center"/>
          </w:tcPr>
          <w:p w:rsidR="00957EAF" w:rsidRPr="0057787A" w:rsidP="00957EAF" w14:paraId="688C5FBA" w14:textId="77777777">
            <w:pPr>
              <w:widowControl w:val="0"/>
              <w:jc w:val="center"/>
              <w:rPr>
                <w:snapToGrid w:val="0"/>
                <w:kern w:val="28"/>
                <w:sz w:val="22"/>
              </w:rPr>
            </w:pPr>
            <w:r w:rsidRPr="0057787A">
              <w:rPr>
                <w:snapToGrid w:val="0"/>
                <w:kern w:val="28"/>
                <w:sz w:val="22"/>
              </w:rPr>
              <w:t>0000276775</w:t>
            </w:r>
          </w:p>
        </w:tc>
      </w:tr>
      <w:tr w14:paraId="00CE3D8E" w14:textId="77777777" w:rsidTr="003B28AE">
        <w:tblPrEx>
          <w:tblW w:w="8095" w:type="dxa"/>
          <w:tblLayout w:type="fixed"/>
          <w:tblLook w:val="04A0"/>
        </w:tblPrEx>
        <w:tc>
          <w:tcPr>
            <w:tcW w:w="1548" w:type="dxa"/>
            <w:vAlign w:val="center"/>
          </w:tcPr>
          <w:p w:rsidR="00957EAF" w:rsidRPr="0057787A" w:rsidP="00957EAF" w14:paraId="1F5B06F0" w14:textId="77777777">
            <w:pPr>
              <w:widowControl w:val="0"/>
              <w:jc w:val="center"/>
              <w:rPr>
                <w:snapToGrid w:val="0"/>
                <w:kern w:val="28"/>
                <w:sz w:val="22"/>
              </w:rPr>
            </w:pPr>
            <w:r w:rsidRPr="0057787A">
              <w:rPr>
                <w:snapToGrid w:val="0"/>
                <w:kern w:val="28"/>
                <w:sz w:val="22"/>
              </w:rPr>
              <w:t>KCVU</w:t>
            </w:r>
          </w:p>
        </w:tc>
        <w:tc>
          <w:tcPr>
            <w:tcW w:w="2137" w:type="dxa"/>
            <w:vAlign w:val="center"/>
          </w:tcPr>
          <w:p w:rsidR="00957EAF" w:rsidRPr="0057787A" w:rsidP="00957EAF" w14:paraId="0225E45B" w14:textId="77777777">
            <w:pPr>
              <w:widowControl w:val="0"/>
              <w:jc w:val="center"/>
              <w:rPr>
                <w:snapToGrid w:val="0"/>
                <w:kern w:val="28"/>
                <w:sz w:val="22"/>
              </w:rPr>
            </w:pPr>
            <w:r w:rsidRPr="0057787A">
              <w:rPr>
                <w:snapToGrid w:val="0"/>
                <w:kern w:val="28"/>
                <w:sz w:val="22"/>
              </w:rPr>
              <w:t>PARADISE, CA</w:t>
            </w:r>
          </w:p>
        </w:tc>
        <w:tc>
          <w:tcPr>
            <w:tcW w:w="1800" w:type="dxa"/>
            <w:vAlign w:val="center"/>
          </w:tcPr>
          <w:p w:rsidR="00957EAF" w:rsidRPr="0057787A" w:rsidP="00957EAF" w14:paraId="02B62F42" w14:textId="77777777">
            <w:pPr>
              <w:widowControl w:val="0"/>
              <w:jc w:val="center"/>
              <w:rPr>
                <w:snapToGrid w:val="0"/>
                <w:kern w:val="28"/>
                <w:sz w:val="22"/>
              </w:rPr>
            </w:pPr>
            <w:r w:rsidRPr="0057787A">
              <w:rPr>
                <w:snapToGrid w:val="0"/>
                <w:kern w:val="28"/>
                <w:sz w:val="22"/>
              </w:rPr>
              <w:t>58605</w:t>
            </w:r>
          </w:p>
        </w:tc>
        <w:tc>
          <w:tcPr>
            <w:tcW w:w="2610" w:type="dxa"/>
            <w:vAlign w:val="center"/>
          </w:tcPr>
          <w:p w:rsidR="00957EAF" w:rsidRPr="0057787A" w:rsidP="00957EAF" w14:paraId="223FB34C" w14:textId="77777777">
            <w:pPr>
              <w:widowControl w:val="0"/>
              <w:jc w:val="center"/>
              <w:rPr>
                <w:snapToGrid w:val="0"/>
                <w:kern w:val="28"/>
                <w:sz w:val="22"/>
              </w:rPr>
            </w:pPr>
            <w:r w:rsidRPr="0057787A">
              <w:rPr>
                <w:snapToGrid w:val="0"/>
                <w:kern w:val="28"/>
                <w:sz w:val="22"/>
              </w:rPr>
              <w:t>0000276777</w:t>
            </w:r>
          </w:p>
        </w:tc>
      </w:tr>
    </w:tbl>
    <w:p w:rsidR="00204CE3" w:rsidRPr="00204CE3" w:rsidP="00957EAF" w14:paraId="2228A9D3" w14:textId="77777777">
      <w:pPr>
        <w:widowControl w:val="0"/>
        <w:rPr>
          <w:sz w:val="22"/>
          <w:szCs w:val="22"/>
        </w:rPr>
      </w:pPr>
    </w:p>
    <w:sectPr>
      <w:footerReference w:type="default" r:id="rId5"/>
      <w:headerReference w:type="first" r:id="rId6"/>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EAF" w14:paraId="01365A3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957EAF" w14:paraId="7AA3258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7EAF" w14:paraId="728DEFDA" w14:textId="77777777">
      <w:r>
        <w:separator/>
      </w:r>
    </w:p>
  </w:footnote>
  <w:footnote w:type="continuationSeparator" w:id="1">
    <w:p w:rsidR="00957EAF" w14:paraId="4A780927" w14:textId="77777777">
      <w:r>
        <w:continuationSeparator/>
      </w:r>
    </w:p>
  </w:footnote>
  <w:footnote w:id="2">
    <w:p w:rsidR="00957EAF" w:rsidP="00957EAF" w14:paraId="13A7C124" w14:textId="77777777">
      <w:pPr>
        <w:pStyle w:val="FootnoteText"/>
        <w:widowControl w:val="0"/>
      </w:pPr>
      <w:r>
        <w:rPr>
          <w:rStyle w:val="FootnoteReference"/>
        </w:rPr>
        <w:footnoteRef/>
      </w:r>
      <w:r>
        <w:t xml:space="preserve"> </w:t>
      </w:r>
      <w:r w:rsidRPr="00506B2E">
        <w:t>The Attachment provides a complete list of the Applications and the subject broadcast television station licenses</w:t>
      </w:r>
      <w:r>
        <w:t>.  We refer to Cunningham,</w:t>
      </w:r>
      <w:r w:rsidRPr="00CC238F">
        <w:t xml:space="preserve"> Roberts</w:t>
      </w:r>
      <w:r>
        <w:t>,</w:t>
      </w:r>
      <w:r w:rsidRPr="00CC238F">
        <w:t xml:space="preserve"> and Sinclair,</w:t>
      </w:r>
      <w:r>
        <w:t xml:space="preserve"> collectively, as</w:t>
      </w:r>
      <w:r w:rsidRPr="00CC238F">
        <w:t xml:space="preserve"> the Applicants</w:t>
      </w:r>
      <w:r>
        <w:t>.</w:t>
      </w:r>
    </w:p>
  </w:footnote>
  <w:footnote w:id="3">
    <w:p w:rsidR="00957EAF" w:rsidRPr="00E37073" w:rsidP="00957EAF" w14:paraId="25A9460A" w14:textId="77777777">
      <w:pPr>
        <w:pStyle w:val="FootnoteText"/>
        <w:widowControl w:val="0"/>
      </w:pPr>
      <w:r>
        <w:rPr>
          <w:rStyle w:val="FootnoteReference"/>
        </w:rPr>
        <w:footnoteRef/>
      </w:r>
      <w:r>
        <w:t xml:space="preserve"> Petition to Deny of DIRECTV, LLC, LMS Pleading File Nos. 000027651</w:t>
      </w:r>
      <w:r w:rsidRPr="00B04CFE">
        <w:t xml:space="preserve"> et al</w:t>
      </w:r>
      <w:r>
        <w:rPr>
          <w:i/>
          <w:iCs/>
        </w:rPr>
        <w:t>.</w:t>
      </w:r>
      <w:r>
        <w:t xml:space="preserve"> (filed Sept. 15, 2025) (DIRECTV Roberts Petition); Petition to </w:t>
      </w:r>
      <w:r w:rsidRPr="00A25747">
        <w:t xml:space="preserve">Deny of DIRECTV, LLC, LMS </w:t>
      </w:r>
      <w:r>
        <w:t xml:space="preserve">Pleading </w:t>
      </w:r>
      <w:r w:rsidRPr="00A25747">
        <w:t>File Nos. 0000276</w:t>
      </w:r>
      <w:r>
        <w:t>767</w:t>
      </w:r>
      <w:r w:rsidRPr="00B04CFE">
        <w:t xml:space="preserve"> et al</w:t>
      </w:r>
      <w:r>
        <w:rPr>
          <w:i/>
          <w:iCs/>
        </w:rPr>
        <w:t>.</w:t>
      </w:r>
      <w:r w:rsidRPr="00A25747">
        <w:t xml:space="preserve"> (filed Sep</w:t>
      </w:r>
      <w:r>
        <w:t>t</w:t>
      </w:r>
      <w:r w:rsidRPr="00A25747">
        <w:t>. 1</w:t>
      </w:r>
      <w:r>
        <w:t>8</w:t>
      </w:r>
      <w:r w:rsidRPr="00A25747">
        <w:t>, 2025</w:t>
      </w:r>
      <w:r>
        <w:t>) (DIRECTV Cunningham Petition) (collectively, Petitions).</w:t>
      </w:r>
    </w:p>
  </w:footnote>
  <w:footnote w:id="4">
    <w:p w:rsidR="00957EAF" w:rsidP="00957EAF" w14:paraId="69F0BDCE" w14:textId="77777777">
      <w:pPr>
        <w:pStyle w:val="FootnoteText"/>
        <w:widowControl w:val="0"/>
      </w:pPr>
      <w:r>
        <w:rPr>
          <w:rStyle w:val="FootnoteReference"/>
        </w:rPr>
        <w:footnoteRef/>
      </w:r>
      <w:r>
        <w:t xml:space="preserve"> In the </w:t>
      </w:r>
      <w:r w:rsidRPr="00B037F9">
        <w:t>Greenville-New Bern-Washington</w:t>
      </w:r>
      <w:r>
        <w:t xml:space="preserve"> DMA,</w:t>
      </w:r>
      <w:r w:rsidRPr="00B037F9">
        <w:t xml:space="preserve"> Sinclair currently owns WCTI-TV, New Bern, North Carolina, and would acquire </w:t>
      </w:r>
      <w:r w:rsidRPr="00506B2E">
        <w:t>WYDO(TV), Greenville, North Carolina</w:t>
      </w:r>
      <w:r w:rsidRPr="00B037F9">
        <w:t>.</w:t>
      </w:r>
      <w:r>
        <w:t xml:space="preserve">  </w:t>
      </w:r>
      <w:r w:rsidRPr="00F60CE5">
        <w:t xml:space="preserve">While WCTI-TV is ranked among the top four stations in the DMA, </w:t>
      </w:r>
      <w:r>
        <w:t>WYDO</w:t>
      </w:r>
      <w:r w:rsidRPr="00F60CE5">
        <w:t xml:space="preserve"> is not</w:t>
      </w:r>
      <w:r>
        <w:t xml:space="preserve">.  </w:t>
      </w:r>
      <w:r>
        <w:rPr>
          <w:i/>
          <w:iCs/>
        </w:rPr>
        <w:t>See</w:t>
      </w:r>
      <w:r>
        <w:t xml:space="preserve"> WYDO Assignment Application, LMS File No.</w:t>
      </w:r>
      <w:r w:rsidRPr="00F60CE5">
        <w:t xml:space="preserve"> 0000276767</w:t>
      </w:r>
      <w:r>
        <w:t>, Multiple Ownership Exhibit at 1.</w:t>
      </w:r>
    </w:p>
  </w:footnote>
  <w:footnote w:id="5">
    <w:p w:rsidR="00957EAF" w:rsidP="00957EAF" w14:paraId="53AE6F50" w14:textId="77777777">
      <w:pPr>
        <w:pStyle w:val="FootnoteText"/>
        <w:widowControl w:val="0"/>
      </w:pPr>
      <w:r>
        <w:rPr>
          <w:rStyle w:val="FootnoteReference"/>
        </w:rPr>
        <w:footnoteRef/>
      </w:r>
      <w:r>
        <w:t xml:space="preserve"> Sinclair also would acquire KMCB(TV), Coos Bay, Oregon, and KTCW(TV), Roseburg, Oregon, both of which operate as full-power satellite stations of KMTR.  </w:t>
      </w:r>
      <w:r w:rsidRPr="007671F7">
        <w:rPr>
          <w:i/>
          <w:iCs/>
        </w:rPr>
        <w:t>See</w:t>
      </w:r>
      <w:r>
        <w:t xml:space="preserve"> 47 CFR § 73.3555, Note 5.  KMCB and KTCW have operated as satellites since 1991 and 1992, respectively, </w:t>
      </w:r>
      <w:r w:rsidRPr="007671F7">
        <w:rPr>
          <w:i/>
          <w:iCs/>
        </w:rPr>
        <w:t>see Shareholders of the Ackerley Group, Inc. (Transferor) and Clear Channel Communications, Inc. (Transferee)</w:t>
      </w:r>
      <w:r w:rsidRPr="003D13CC">
        <w:t>, Memorandum Opinion and Order, 17 FCC Rcd 10828 (2002)</w:t>
      </w:r>
      <w:r>
        <w:t>, and</w:t>
      </w:r>
      <w:r w:rsidRPr="00A07C36">
        <w:t xml:space="preserve"> </w:t>
      </w:r>
      <w:r>
        <w:t xml:space="preserve">we find that </w:t>
      </w:r>
      <w:r w:rsidRPr="00A07C36">
        <w:t>there has been no material change in the underlying circumstances supporting</w:t>
      </w:r>
      <w:r>
        <w:t xml:space="preserve"> grant of that status.</w:t>
      </w:r>
    </w:p>
  </w:footnote>
  <w:footnote w:id="6">
    <w:p w:rsidR="00957EAF" w:rsidP="00957EAF" w14:paraId="65F123FB" w14:textId="77777777">
      <w:pPr>
        <w:pStyle w:val="FootnoteText"/>
        <w:widowControl w:val="0"/>
      </w:pPr>
      <w:r>
        <w:rPr>
          <w:rStyle w:val="FootnoteReference"/>
        </w:rPr>
        <w:footnoteRef/>
      </w:r>
      <w:r>
        <w:t xml:space="preserve"> </w:t>
      </w:r>
      <w:r w:rsidRPr="00C92002">
        <w:t>47 CFR § 73.3555(b)</w:t>
      </w:r>
      <w:r>
        <w:t xml:space="preserve"> </w:t>
      </w:r>
      <w:r w:rsidRPr="00F5101E">
        <w:t xml:space="preserve">(vacated in part by </w:t>
      </w:r>
      <w:r w:rsidRPr="00F5101E">
        <w:rPr>
          <w:i/>
          <w:iCs/>
        </w:rPr>
        <w:t>Zimmer Radio of Mid-Missouri, Inc. v. FCC et al.</w:t>
      </w:r>
      <w:r w:rsidRPr="00F5101E">
        <w:t>, 145 F.4th 828 (8th Cir. 2025) (</w:t>
      </w:r>
      <w:r w:rsidRPr="00F5101E">
        <w:rPr>
          <w:i/>
          <w:iCs/>
        </w:rPr>
        <w:t>Zimmer Radio</w:t>
      </w:r>
      <w:r w:rsidRPr="00F5101E">
        <w:t>)) (Local Television Ownership Rule)</w:t>
      </w:r>
      <w:r w:rsidRPr="00C92002">
        <w:t xml:space="preserve">.  </w:t>
      </w:r>
    </w:p>
  </w:footnote>
  <w:footnote w:id="7">
    <w:p w:rsidR="00957EAF" w:rsidP="00957EAF" w14:paraId="6EFE3ECE" w14:textId="77777777">
      <w:pPr>
        <w:pStyle w:val="FootnoteText"/>
        <w:widowControl w:val="0"/>
      </w:pPr>
      <w:r>
        <w:rPr>
          <w:rStyle w:val="FootnoteReference"/>
        </w:rPr>
        <w:footnoteRef/>
      </w:r>
      <w:r>
        <w:t xml:space="preserve"> The Roberts Application and the Cunningham Applications were filed on August 12, 2025, and August 15, 2025, respectively.</w:t>
      </w:r>
    </w:p>
  </w:footnote>
  <w:footnote w:id="8">
    <w:p w:rsidR="00957EAF" w:rsidP="00957EAF" w14:paraId="2ABC50E2" w14:textId="77777777">
      <w:pPr>
        <w:pStyle w:val="FootnoteText"/>
        <w:widowControl w:val="0"/>
      </w:pPr>
      <w:r>
        <w:rPr>
          <w:rStyle w:val="FootnoteReference"/>
        </w:rPr>
        <w:footnoteRef/>
      </w:r>
      <w:r>
        <w:t xml:space="preserve"> </w:t>
      </w:r>
      <w:r w:rsidRPr="00A803D1">
        <w:rPr>
          <w:i/>
          <w:iCs/>
        </w:rPr>
        <w:t>See</w:t>
      </w:r>
      <w:r w:rsidRPr="00A803D1">
        <w:t xml:space="preserve">, </w:t>
      </w:r>
      <w:r w:rsidRPr="00A803D1">
        <w:rPr>
          <w:i/>
          <w:iCs/>
        </w:rPr>
        <w:t>e.g.</w:t>
      </w:r>
      <w:r w:rsidRPr="00A803D1">
        <w:t>, LMS File No. 0000276769, WPFO Failing Station Waiver</w:t>
      </w:r>
      <w:r>
        <w:t xml:space="preserve"> </w:t>
      </w:r>
      <w:r w:rsidRPr="00B33B87">
        <w:t>at 1</w:t>
      </w:r>
      <w:r>
        <w:t>,</w:t>
      </w:r>
      <w:r w:rsidRPr="00B33B87">
        <w:t xml:space="preserve"> n.3 (citing 47 CFR § 73.3555(b)(2) and Note 6</w:t>
      </w:r>
      <w:r>
        <w:t>)</w:t>
      </w:r>
      <w:r w:rsidRPr="00A803D1">
        <w:t xml:space="preserve">.  The Commission has granted such </w:t>
      </w:r>
      <w:r>
        <w:t xml:space="preserve">presumptive </w:t>
      </w:r>
      <w:r w:rsidRPr="00A803D1">
        <w:t xml:space="preserve">waivers for proposed </w:t>
      </w:r>
      <w:r>
        <w:t>t</w:t>
      </w:r>
      <w:r w:rsidRPr="00A803D1">
        <w:t>op-</w:t>
      </w:r>
      <w:r>
        <w:t>f</w:t>
      </w:r>
      <w:r w:rsidRPr="00A803D1">
        <w:t xml:space="preserve">our station combinations where at least one of the stations has been struggling for an extended period of time both in terms of its audience share and in its financial performance.  </w:t>
      </w:r>
      <w:r w:rsidRPr="00A803D1">
        <w:rPr>
          <w:i/>
          <w:iCs/>
        </w:rPr>
        <w:t>Review of the Commission’s Regulations Governing Television Broadcasting, Report and Order</w:t>
      </w:r>
      <w:r w:rsidRPr="00A803D1">
        <w:t>, 14 FCC Rcd 12903, 12938-39, paras. 79-81 (1999) (</w:t>
      </w:r>
      <w:r w:rsidRPr="00A803D1">
        <w:rPr>
          <w:i/>
          <w:iCs/>
        </w:rPr>
        <w:t>Local Ownership Order</w:t>
      </w:r>
      <w:r w:rsidRPr="00A803D1">
        <w:t xml:space="preserve">), </w:t>
      </w:r>
      <w:r w:rsidRPr="00A803D1">
        <w:rPr>
          <w:i/>
          <w:iCs/>
        </w:rPr>
        <w:t>recon. granted in part</w:t>
      </w:r>
      <w:r w:rsidRPr="00A803D1">
        <w:t xml:space="preserve">, 16 FCC Rcd 1067 (2001); 47 CFR § 73.3555, </w:t>
      </w:r>
      <w:r>
        <w:t>N</w:t>
      </w:r>
      <w:r w:rsidRPr="00A803D1">
        <w:t>ote 7.</w:t>
      </w:r>
    </w:p>
  </w:footnote>
  <w:footnote w:id="9">
    <w:p w:rsidR="00957EAF" w:rsidP="00957EAF" w14:paraId="1577C53F" w14:textId="77777777">
      <w:pPr>
        <w:pStyle w:val="FootnoteText"/>
        <w:widowControl w:val="0"/>
      </w:pPr>
      <w:r>
        <w:rPr>
          <w:rStyle w:val="FootnoteReference"/>
        </w:rPr>
        <w:footnoteRef/>
      </w:r>
      <w:r>
        <w:t xml:space="preserve"> </w:t>
      </w:r>
      <w:r w:rsidRPr="001F55D6">
        <w:rPr>
          <w:i/>
          <w:iCs/>
        </w:rPr>
        <w:t>See</w:t>
      </w:r>
      <w:r w:rsidRPr="001F55D6">
        <w:t xml:space="preserve">, </w:t>
      </w:r>
      <w:r w:rsidRPr="001F55D6">
        <w:rPr>
          <w:i/>
          <w:iCs/>
        </w:rPr>
        <w:t>e.g.</w:t>
      </w:r>
      <w:r w:rsidRPr="001F55D6">
        <w:t>, WPFO Assignment Application, LMS File No. 0000276769, WPFO-Reason for Amendment (11</w:t>
      </w:r>
      <w:r w:rsidRPr="001F55D6">
        <w:noBreakHyphen/>
        <w:t>2025).</w:t>
      </w:r>
      <w:r>
        <w:t xml:space="preserve">  In addition, Sinclair states that, independent of the assignment of the stations’ licenses, it has entered into agreements to acquire </w:t>
      </w:r>
      <w:r w:rsidRPr="001F55D6">
        <w:t>the network affiliations of WPFO and WEMT as of December 8, 2025, and the network affiliations of KBVU and KCVU as of December 9, 2025</w:t>
      </w:r>
      <w:r>
        <w:t xml:space="preserve">, implying that the relevant applications no longer involve the assignment of stations ranked among the top four in the market.  </w:t>
      </w:r>
      <w:r w:rsidRPr="007671F7">
        <w:rPr>
          <w:i/>
          <w:iCs/>
        </w:rPr>
        <w:t>Id.</w:t>
      </w:r>
    </w:p>
  </w:footnote>
  <w:footnote w:id="10">
    <w:p w:rsidR="00957EAF" w:rsidRPr="00C775A7" w:rsidP="00957EAF" w14:paraId="2ED6BEE1" w14:textId="77777777">
      <w:pPr>
        <w:pStyle w:val="FootnoteText"/>
        <w:widowControl w:val="0"/>
      </w:pPr>
      <w:r w:rsidRPr="00C775A7">
        <w:rPr>
          <w:rStyle w:val="FootnoteReference"/>
        </w:rPr>
        <w:footnoteRef/>
      </w:r>
      <w:r w:rsidRPr="00C775A7">
        <w:t xml:space="preserve"> </w:t>
      </w:r>
      <w:bookmarkStart w:id="0" w:name="_Hlk216280171"/>
      <w:r w:rsidRPr="00C775A7">
        <w:t>47 CFR § 73.3555(b)</w:t>
      </w:r>
      <w:r>
        <w:t xml:space="preserve"> (</w:t>
      </w:r>
      <w:r w:rsidRPr="0058074B">
        <w:t>vacated in part</w:t>
      </w:r>
      <w:r>
        <w:t xml:space="preserve"> by </w:t>
      </w:r>
      <w:r w:rsidRPr="0058074B">
        <w:rPr>
          <w:i/>
          <w:iCs/>
        </w:rPr>
        <w:t>Zimmer Radio</w:t>
      </w:r>
      <w:r>
        <w:t>)</w:t>
      </w:r>
      <w:r w:rsidRPr="00C775A7">
        <w:t>.</w:t>
      </w:r>
      <w:bookmarkEnd w:id="0"/>
      <w:r>
        <w:t xml:space="preserve">  </w:t>
      </w:r>
      <w:r w:rsidRPr="00371AF0">
        <w:t xml:space="preserve">We </w:t>
      </w:r>
      <w:r>
        <w:t>will refer to</w:t>
      </w:r>
      <w:r w:rsidRPr="00371AF0">
        <w:t xml:space="preserve"> the numerical ownership limit of the Local Television Ownership Rule as the “Two-Station Limit.”</w:t>
      </w:r>
    </w:p>
  </w:footnote>
  <w:footnote w:id="11">
    <w:p w:rsidR="00957EAF" w:rsidP="00957EAF" w14:paraId="7F659207" w14:textId="77777777">
      <w:pPr>
        <w:pStyle w:val="FootnoteText"/>
        <w:widowControl w:val="0"/>
      </w:pPr>
      <w:r>
        <w:rPr>
          <w:rStyle w:val="FootnoteReference"/>
        </w:rPr>
        <w:footnoteRef/>
      </w:r>
      <w:r>
        <w:t xml:space="preserve"> </w:t>
      </w:r>
      <w:r w:rsidRPr="00676141">
        <w:rPr>
          <w:i/>
          <w:iCs/>
        </w:rPr>
        <w:t>2018 Quadrennial Regulatory Review – Review of the Commission’s Broadcast Ownership Rules and Other</w:t>
      </w:r>
      <w:r>
        <w:rPr>
          <w:i/>
          <w:iCs/>
        </w:rPr>
        <w:t xml:space="preserve"> </w:t>
      </w:r>
      <w:r w:rsidRPr="00676141">
        <w:rPr>
          <w:i/>
          <w:iCs/>
        </w:rPr>
        <w:t>Rules Adopted Pursuant to Section 202 of the Telecommunications Act of 1996</w:t>
      </w:r>
      <w:r>
        <w:t xml:space="preserve">, Report and Order, </w:t>
      </w:r>
      <w:r w:rsidRPr="00C1570F">
        <w:t>MB Docket No.</w:t>
      </w:r>
      <w:r>
        <w:t> </w:t>
      </w:r>
      <w:r w:rsidRPr="00C1570F">
        <w:t>18</w:t>
      </w:r>
      <w:r>
        <w:noBreakHyphen/>
      </w:r>
      <w:r w:rsidRPr="00C1570F">
        <w:t>349,</w:t>
      </w:r>
      <w:r>
        <w:t xml:space="preserve"> 38 FCC Rcd</w:t>
      </w:r>
      <w:r>
        <w:rPr>
          <w:i/>
          <w:iCs/>
        </w:rPr>
        <w:t xml:space="preserve"> </w:t>
      </w:r>
      <w:r>
        <w:t xml:space="preserve">12782, </w:t>
      </w:r>
      <w:r w:rsidRPr="00C775A7">
        <w:t>12835-41, paras. 97-108</w:t>
      </w:r>
      <w:r>
        <w:t xml:space="preserve"> &amp; n.335 (2023) (</w:t>
      </w:r>
      <w:r w:rsidRPr="00BC4D7F">
        <w:rPr>
          <w:i/>
          <w:iCs/>
        </w:rPr>
        <w:t>2018</w:t>
      </w:r>
      <w:r>
        <w:rPr>
          <w:i/>
          <w:iCs/>
        </w:rPr>
        <w:t xml:space="preserve"> </w:t>
      </w:r>
      <w:r w:rsidRPr="00BC4D7F">
        <w:rPr>
          <w:i/>
          <w:iCs/>
        </w:rPr>
        <w:t>Quadrennial Review Orde</w:t>
      </w:r>
      <w:r>
        <w:rPr>
          <w:i/>
          <w:iCs/>
        </w:rPr>
        <w:t>r</w:t>
      </w:r>
      <w:r>
        <w:t xml:space="preserve">), </w:t>
      </w:r>
      <w:r w:rsidRPr="00BF249B">
        <w:rPr>
          <w:i/>
          <w:iCs/>
        </w:rPr>
        <w:t>vacated in part, aff’d in part</w:t>
      </w:r>
      <w:r>
        <w:t xml:space="preserve">, </w:t>
      </w:r>
      <w:r w:rsidRPr="00D462BC">
        <w:rPr>
          <w:i/>
          <w:iCs/>
        </w:rPr>
        <w:t>Zimmer Radio of Mid-Missouri, Inc. v. FCC</w:t>
      </w:r>
      <w:r>
        <w:rPr>
          <w:i/>
          <w:iCs/>
        </w:rPr>
        <w:t xml:space="preserve"> et al.</w:t>
      </w:r>
      <w:r>
        <w:t xml:space="preserve">, 145 F.4th 828 (8th Cir. July 23, 2025); </w:t>
      </w:r>
      <w:r w:rsidRPr="008B0687">
        <w:rPr>
          <w:i/>
          <w:iCs/>
        </w:rPr>
        <w:t>see also</w:t>
      </w:r>
      <w:r>
        <w:t xml:space="preserve"> </w:t>
      </w:r>
      <w:r w:rsidRPr="00C775A7">
        <w:t>47 CFR § 73.3555(b), Note 11</w:t>
      </w:r>
      <w:r>
        <w:t xml:space="preserve"> (</w:t>
      </w:r>
      <w:r w:rsidRPr="004F377E">
        <w:t>vacated in part by</w:t>
      </w:r>
      <w:r w:rsidRPr="004F377E">
        <w:rPr>
          <w:i/>
          <w:iCs/>
        </w:rPr>
        <w:t xml:space="preserve"> Zimmer Radio</w:t>
      </w:r>
      <w:r>
        <w:t>).</w:t>
      </w:r>
    </w:p>
  </w:footnote>
  <w:footnote w:id="12">
    <w:p w:rsidR="00957EAF" w:rsidP="00957EAF" w14:paraId="76A02401" w14:textId="77777777">
      <w:pPr>
        <w:pStyle w:val="FootnoteText"/>
        <w:widowControl w:val="0"/>
      </w:pPr>
      <w:r>
        <w:rPr>
          <w:rStyle w:val="FootnoteReference"/>
        </w:rPr>
        <w:footnoteRef/>
      </w:r>
      <w:r>
        <w:t xml:space="preserve"> </w:t>
      </w:r>
      <w:r w:rsidRPr="00C775A7">
        <w:t>47 CFR § 73.3555(b)</w:t>
      </w:r>
      <w:r>
        <w:t xml:space="preserve">(2) </w:t>
      </w:r>
      <w:r w:rsidRPr="007D1C17">
        <w:t>(vacated in part by</w:t>
      </w:r>
      <w:r w:rsidRPr="007D1C17">
        <w:rPr>
          <w:i/>
          <w:iCs/>
        </w:rPr>
        <w:t xml:space="preserve"> Zimmer Radio</w:t>
      </w:r>
      <w:r>
        <w:t>)</w:t>
      </w:r>
      <w:r w:rsidRPr="00C775A7">
        <w:t>.</w:t>
      </w:r>
    </w:p>
  </w:footnote>
  <w:footnote w:id="13">
    <w:p w:rsidR="00957EAF" w:rsidP="00957EAF" w14:paraId="7892382A" w14:textId="77777777">
      <w:pPr>
        <w:pStyle w:val="FootnoteText"/>
        <w:widowControl w:val="0"/>
      </w:pPr>
      <w:r>
        <w:rPr>
          <w:rStyle w:val="FootnoteReference"/>
        </w:rPr>
        <w:footnoteRef/>
      </w:r>
      <w:r>
        <w:t xml:space="preserve"> </w:t>
      </w:r>
      <w:r w:rsidRPr="000A45FE">
        <w:rPr>
          <w:i/>
          <w:iCs/>
        </w:rPr>
        <w:t>Zimmer Radio</w:t>
      </w:r>
      <w:r>
        <w:t>, 145 F.4th at 853.</w:t>
      </w:r>
    </w:p>
  </w:footnote>
  <w:footnote w:id="14">
    <w:p w:rsidR="00957EAF" w:rsidP="00957EAF" w14:paraId="1C81A290" w14:textId="77777777">
      <w:pPr>
        <w:pStyle w:val="FootnoteText"/>
        <w:widowControl w:val="0"/>
      </w:pPr>
      <w:r>
        <w:rPr>
          <w:rStyle w:val="FootnoteReference"/>
        </w:rPr>
        <w:footnoteRef/>
      </w:r>
      <w:r>
        <w:t xml:space="preserve"> </w:t>
      </w:r>
      <w:r w:rsidRPr="008B0687">
        <w:rPr>
          <w:i/>
          <w:iCs/>
        </w:rPr>
        <w:t>Id.</w:t>
      </w:r>
      <w:r>
        <w:t xml:space="preserve"> at 839.</w:t>
      </w:r>
    </w:p>
  </w:footnote>
  <w:footnote w:id="15">
    <w:p w:rsidR="00957EAF" w:rsidP="00957EAF" w14:paraId="3446392B" w14:textId="77777777">
      <w:pPr>
        <w:pStyle w:val="FootnoteText"/>
        <w:widowControl w:val="0"/>
      </w:pPr>
      <w:r>
        <w:rPr>
          <w:rStyle w:val="FootnoteReference"/>
        </w:rPr>
        <w:footnoteRef/>
      </w:r>
      <w:r>
        <w:t xml:space="preserve"> </w:t>
      </w:r>
      <w:r w:rsidRPr="008B0687">
        <w:rPr>
          <w:i/>
          <w:iCs/>
        </w:rPr>
        <w:t>Id.</w:t>
      </w:r>
      <w:r>
        <w:t xml:space="preserve"> at 862.  </w:t>
      </w:r>
    </w:p>
  </w:footnote>
  <w:footnote w:id="16">
    <w:p w:rsidR="00957EAF" w:rsidP="00957EAF" w14:paraId="050BEBB5" w14:textId="77777777">
      <w:pPr>
        <w:pStyle w:val="FootnoteText"/>
        <w:widowControl w:val="0"/>
      </w:pPr>
      <w:r>
        <w:rPr>
          <w:rStyle w:val="FootnoteReference"/>
        </w:rPr>
        <w:footnoteRef/>
      </w:r>
      <w:r>
        <w:t xml:space="preserve"> </w:t>
      </w:r>
      <w:r w:rsidRPr="00A64032">
        <w:rPr>
          <w:i/>
          <w:iCs/>
        </w:rPr>
        <w:t>Id.</w:t>
      </w:r>
      <w:r w:rsidRPr="00227289">
        <w:t xml:space="preserve"> at </w:t>
      </w:r>
      <w:r>
        <w:t>857 (internal citations omitted)</w:t>
      </w:r>
      <w:r w:rsidRPr="00227289">
        <w:t>.</w:t>
      </w:r>
      <w:r>
        <w:t xml:space="preserve">  </w:t>
      </w:r>
    </w:p>
  </w:footnote>
  <w:footnote w:id="17">
    <w:p w:rsidR="00957EAF" w:rsidP="00957EAF" w14:paraId="355E445D" w14:textId="77777777">
      <w:pPr>
        <w:pStyle w:val="FootnoteText"/>
        <w:widowControl w:val="0"/>
      </w:pPr>
      <w:r>
        <w:rPr>
          <w:rStyle w:val="FootnoteReference"/>
        </w:rPr>
        <w:footnoteRef/>
      </w:r>
      <w:r>
        <w:t xml:space="preserve"> </w:t>
      </w:r>
      <w:r>
        <w:rPr>
          <w:i/>
          <w:iCs/>
        </w:rPr>
        <w:t>Zimmer Radio of Mid-Missouri, Inc. v. FCC et al.</w:t>
      </w:r>
      <w:r>
        <w:t>, Mandate, No. 24-1380 (</w:t>
      </w:r>
      <w:r w:rsidRPr="00125118">
        <w:t xml:space="preserve">8th Cir. </w:t>
      </w:r>
      <w:r>
        <w:t>Oct.</w:t>
      </w:r>
      <w:r w:rsidRPr="00125118">
        <w:t xml:space="preserve"> 23, 2025</w:t>
      </w:r>
      <w:r>
        <w:t>).</w:t>
      </w:r>
    </w:p>
  </w:footnote>
  <w:footnote w:id="18">
    <w:p w:rsidR="00957EAF" w:rsidP="00957EAF" w14:paraId="7C7173CE" w14:textId="77777777">
      <w:pPr>
        <w:pStyle w:val="FootnoteText"/>
        <w:widowControl w:val="0"/>
      </w:pPr>
      <w:r>
        <w:rPr>
          <w:rStyle w:val="FootnoteReference"/>
        </w:rPr>
        <w:footnoteRef/>
      </w:r>
      <w:r>
        <w:t xml:space="preserve"> </w:t>
      </w:r>
      <w:r w:rsidRPr="006E4D1A">
        <w:t>DIRECTV Cunningham Petition at 6</w:t>
      </w:r>
      <w:r>
        <w:t>-9</w:t>
      </w:r>
      <w:r w:rsidRPr="006E4D1A">
        <w:t xml:space="preserve">; DIRECTV Roberts Petition at </w:t>
      </w:r>
      <w:r>
        <w:t>5-7.</w:t>
      </w:r>
    </w:p>
  </w:footnote>
  <w:footnote w:id="19">
    <w:p w:rsidR="00957EAF" w:rsidP="00957EAF" w14:paraId="2774A5BE" w14:textId="77777777">
      <w:pPr>
        <w:pStyle w:val="FootnoteText"/>
        <w:widowControl w:val="0"/>
      </w:pPr>
      <w:r>
        <w:rPr>
          <w:rStyle w:val="FootnoteReference"/>
        </w:rPr>
        <w:footnoteRef/>
      </w:r>
      <w:r>
        <w:t xml:space="preserve"> DIRECTV Cunningham Petition at 12; </w:t>
      </w:r>
      <w:r w:rsidRPr="00E05315">
        <w:t xml:space="preserve">DIRECTV </w:t>
      </w:r>
      <w:r>
        <w:t>Roberts</w:t>
      </w:r>
      <w:r w:rsidRPr="00E05315">
        <w:t xml:space="preserve"> Petition at </w:t>
      </w:r>
      <w:r>
        <w:t xml:space="preserve">10-11; </w:t>
      </w:r>
      <w:r w:rsidRPr="008B0687">
        <w:rPr>
          <w:i/>
          <w:iCs/>
        </w:rPr>
        <w:t>see also</w:t>
      </w:r>
      <w:r>
        <w:t xml:space="preserve"> 47 U.S.C. § 310(d).</w:t>
      </w:r>
    </w:p>
  </w:footnote>
  <w:footnote w:id="20">
    <w:p w:rsidR="00957EAF" w:rsidP="00957EAF" w14:paraId="41071FE6" w14:textId="77777777">
      <w:pPr>
        <w:pStyle w:val="FootnoteText"/>
        <w:widowControl w:val="0"/>
      </w:pPr>
      <w:r>
        <w:rPr>
          <w:rStyle w:val="FootnoteReference"/>
        </w:rPr>
        <w:footnoteRef/>
      </w:r>
      <w:r>
        <w:t xml:space="preserve"> </w:t>
      </w:r>
      <w:r w:rsidRPr="0062513C">
        <w:t xml:space="preserve">DIRECTV Cunningham Petition at </w:t>
      </w:r>
      <w:r>
        <w:t>14</w:t>
      </w:r>
      <w:r w:rsidRPr="0062513C">
        <w:t>; DIRECTV Roberts Petition at 1</w:t>
      </w:r>
      <w:r>
        <w:t>2.</w:t>
      </w:r>
    </w:p>
  </w:footnote>
  <w:footnote w:id="21">
    <w:p w:rsidR="00957EAF" w:rsidP="00957EAF" w14:paraId="495F8508" w14:textId="77777777">
      <w:pPr>
        <w:pStyle w:val="FootnoteText"/>
        <w:widowControl w:val="0"/>
      </w:pPr>
      <w:r>
        <w:rPr>
          <w:rStyle w:val="FootnoteReference"/>
        </w:rPr>
        <w:footnoteRef/>
      </w:r>
      <w:r>
        <w:t xml:space="preserve"> </w:t>
      </w:r>
      <w:r w:rsidRPr="00C24966">
        <w:t xml:space="preserve">DIRECTV Cunningham Petition at </w:t>
      </w:r>
      <w:r>
        <w:t>19</w:t>
      </w:r>
      <w:r w:rsidRPr="00C24966">
        <w:t>; DIRECTV Roberts Petition at 1</w:t>
      </w:r>
      <w:r>
        <w:t>6.</w:t>
      </w:r>
    </w:p>
  </w:footnote>
  <w:footnote w:id="22">
    <w:p w:rsidR="00957EAF" w:rsidP="00957EAF" w14:paraId="707F72DF" w14:textId="77777777">
      <w:pPr>
        <w:pStyle w:val="FootnoteText"/>
        <w:widowControl w:val="0"/>
      </w:pPr>
      <w:r>
        <w:rPr>
          <w:rStyle w:val="FootnoteReference"/>
        </w:rPr>
        <w:footnoteRef/>
      </w:r>
      <w:r>
        <w:t xml:space="preserve"> </w:t>
      </w:r>
      <w:r w:rsidRPr="00FF5B9E">
        <w:t xml:space="preserve">DIRECTV Cunningham Petition at </w:t>
      </w:r>
      <w:r>
        <w:t>23-24</w:t>
      </w:r>
      <w:r w:rsidRPr="00FF5B9E">
        <w:t xml:space="preserve">; DIRECTV Roberts Petition at </w:t>
      </w:r>
      <w:r>
        <w:t>20-21</w:t>
      </w:r>
      <w:r w:rsidRPr="00FF5B9E">
        <w:t>.</w:t>
      </w:r>
      <w:r>
        <w:t xml:space="preserve">  DIRECTV also contends that Sinclair and Cunningham do not make a sufficient showing with regard to their request for failing station waivers.  </w:t>
      </w:r>
      <w:r w:rsidRPr="008F16A7">
        <w:t>DIRECTV Cunningham Petition at</w:t>
      </w:r>
      <w:r>
        <w:t xml:space="preserve"> 20-27.</w:t>
      </w:r>
    </w:p>
  </w:footnote>
  <w:footnote w:id="23">
    <w:p w:rsidR="00957EAF" w:rsidP="00957EAF" w14:paraId="6466D596" w14:textId="77777777">
      <w:pPr>
        <w:pStyle w:val="FootnoteText"/>
        <w:widowControl w:val="0"/>
      </w:pPr>
      <w:r>
        <w:rPr>
          <w:rStyle w:val="FootnoteReference"/>
        </w:rPr>
        <w:footnoteRef/>
      </w:r>
      <w:r>
        <w:t xml:space="preserve"> DIRECTV Cunningham Petition at 6; DIRECTV Roberts Petition at 4.  In support of its assertion, DIRECTV observes that the online public files (OPIFs) of the stations list Sinclair entities as the licensee.  DIRECTV Cunningham Petition at 5; DIRECTV Roberts Petition at 3.  </w:t>
      </w:r>
      <w:r w:rsidRPr="00221EE0">
        <w:t xml:space="preserve">The public files for KMTR and Cunningham stations did inaccurately identify Sinclair entities as the licensees, but only because of a pervasive programming glitch in the Commission’s </w:t>
      </w:r>
      <w:r>
        <w:t>Licensing and Management System (LMS)</w:t>
      </w:r>
      <w:r w:rsidRPr="00221EE0">
        <w:t xml:space="preserve"> database that often populates the proposed assignee as the licensee upon certain filings, and the linkage between the Commission’s OPIF database and LMS.  The staff has corrected the licensee field in LMS and OPIF for these stations, as it typically does in due course for any filing triggering this programming bug.</w:t>
      </w:r>
    </w:p>
  </w:footnote>
  <w:footnote w:id="24">
    <w:p w:rsidR="00957EAF" w:rsidP="00957EAF" w14:paraId="581CD001" w14:textId="77777777">
      <w:pPr>
        <w:pStyle w:val="FootnoteText"/>
        <w:widowControl w:val="0"/>
      </w:pPr>
      <w:r>
        <w:rPr>
          <w:rStyle w:val="FootnoteReference"/>
        </w:rPr>
        <w:footnoteRef/>
      </w:r>
      <w:r>
        <w:t xml:space="preserve"> DIRECTV Roberts Petition at 2-3.</w:t>
      </w:r>
    </w:p>
  </w:footnote>
  <w:footnote w:id="25">
    <w:p w:rsidR="00957EAF" w:rsidRPr="0090021F" w:rsidP="00957EAF" w14:paraId="6464A182" w14:textId="77777777">
      <w:pPr>
        <w:pStyle w:val="FootnoteText"/>
        <w:widowControl w:val="0"/>
      </w:pPr>
      <w:r>
        <w:rPr>
          <w:rStyle w:val="FootnoteReference"/>
        </w:rPr>
        <w:footnoteRef/>
      </w:r>
      <w:r>
        <w:t xml:space="preserve"> DIRECTV Cunningham Petition at 3-4.</w:t>
      </w:r>
    </w:p>
  </w:footnote>
  <w:footnote w:id="26">
    <w:p w:rsidR="00957EAF" w:rsidRPr="0090021F" w:rsidP="00957EAF" w14:paraId="0394EEB1" w14:textId="77777777">
      <w:pPr>
        <w:pStyle w:val="FootnoteText"/>
        <w:widowControl w:val="0"/>
      </w:pPr>
      <w:r>
        <w:rPr>
          <w:rStyle w:val="FootnoteReference"/>
        </w:rPr>
        <w:footnoteRef/>
      </w:r>
      <w:r>
        <w:t xml:space="preserve"> </w:t>
      </w:r>
      <w:r>
        <w:rPr>
          <w:i/>
          <w:iCs/>
        </w:rPr>
        <w:t>Id</w:t>
      </w:r>
      <w:r>
        <w:t>. at 5-6.</w:t>
      </w:r>
    </w:p>
  </w:footnote>
  <w:footnote w:id="27">
    <w:p w:rsidR="00957EAF" w:rsidRPr="001537A3" w:rsidP="00957EAF" w14:paraId="0395B673" w14:textId="77777777">
      <w:pPr>
        <w:pStyle w:val="FootnoteText"/>
        <w:widowControl w:val="0"/>
      </w:pPr>
      <w:r>
        <w:rPr>
          <w:rStyle w:val="FootnoteReference"/>
        </w:rPr>
        <w:footnoteRef/>
      </w:r>
      <w:r>
        <w:t xml:space="preserve"> </w:t>
      </w:r>
      <w:r>
        <w:rPr>
          <w:i/>
          <w:iCs/>
        </w:rPr>
        <w:t>See</w:t>
      </w:r>
      <w:r>
        <w:t xml:space="preserve"> Joint Opposition to Petition to Deny, LMS Pleading File No. 0000276551 (filed Sept. 25, 2025) (Roberts Joint Opposition); J</w:t>
      </w:r>
      <w:r w:rsidRPr="009C0101">
        <w:t xml:space="preserve">oint Opposition to Petition to Deny, LMS </w:t>
      </w:r>
      <w:r>
        <w:t xml:space="preserve">Pleading </w:t>
      </w:r>
      <w:r w:rsidRPr="009C0101">
        <w:t>File No</w:t>
      </w:r>
      <w:r>
        <w:t>s.</w:t>
      </w:r>
      <w:r w:rsidRPr="009C0101">
        <w:t xml:space="preserve"> 0000276</w:t>
      </w:r>
      <w:r>
        <w:t>767</w:t>
      </w:r>
      <w:r w:rsidRPr="005A4A5C">
        <w:t xml:space="preserve"> </w:t>
      </w:r>
      <w:r w:rsidRPr="001174FF">
        <w:t>et al</w:t>
      </w:r>
      <w:r>
        <w:rPr>
          <w:i/>
          <w:iCs/>
        </w:rPr>
        <w:t>.</w:t>
      </w:r>
      <w:r w:rsidRPr="009C0101">
        <w:t xml:space="preserve"> (filed Sept. 25, 2025) (Roberts Joint Opposition)</w:t>
      </w:r>
      <w:r>
        <w:t xml:space="preserve"> (collectively, Joint Oppositions).</w:t>
      </w:r>
    </w:p>
  </w:footnote>
  <w:footnote w:id="28">
    <w:p w:rsidR="00957EAF" w:rsidP="00957EAF" w14:paraId="21850B75" w14:textId="77777777">
      <w:pPr>
        <w:pStyle w:val="FootnoteText"/>
        <w:widowControl w:val="0"/>
      </w:pPr>
      <w:r>
        <w:rPr>
          <w:rStyle w:val="FootnoteReference"/>
        </w:rPr>
        <w:footnoteRef/>
      </w:r>
      <w:r>
        <w:t xml:space="preserve"> Roberts Joint Opposition at 7; Cunningham Joint Opposition at 6-7.</w:t>
      </w:r>
    </w:p>
  </w:footnote>
  <w:footnote w:id="29">
    <w:p w:rsidR="00957EAF" w:rsidP="00957EAF" w14:paraId="08154B65" w14:textId="77777777">
      <w:pPr>
        <w:pStyle w:val="FootnoteText"/>
        <w:widowControl w:val="0"/>
      </w:pPr>
      <w:r>
        <w:rPr>
          <w:rStyle w:val="FootnoteReference"/>
        </w:rPr>
        <w:footnoteRef/>
      </w:r>
      <w:r>
        <w:t xml:space="preserve"> </w:t>
      </w:r>
      <w:r w:rsidRPr="00C86C9E">
        <w:t xml:space="preserve">Roberts Joint Opposition at </w:t>
      </w:r>
      <w:r>
        <w:t>9-10</w:t>
      </w:r>
      <w:r w:rsidRPr="00C86C9E">
        <w:t xml:space="preserve">; Cunningham Joint Opposition at </w:t>
      </w:r>
      <w:r>
        <w:t>10-11.</w:t>
      </w:r>
    </w:p>
  </w:footnote>
  <w:footnote w:id="30">
    <w:p w:rsidR="00957EAF" w:rsidP="00957EAF" w14:paraId="33FA0489" w14:textId="77777777">
      <w:pPr>
        <w:pStyle w:val="FootnoteText"/>
        <w:widowControl w:val="0"/>
      </w:pPr>
      <w:r>
        <w:rPr>
          <w:rStyle w:val="FootnoteReference"/>
        </w:rPr>
        <w:footnoteRef/>
      </w:r>
      <w:r>
        <w:t xml:space="preserve"> Roberts Joint Opposition at 5-6.</w:t>
      </w:r>
    </w:p>
  </w:footnote>
  <w:footnote w:id="31">
    <w:p w:rsidR="00957EAF" w:rsidP="00957EAF" w14:paraId="198CC102" w14:textId="77777777">
      <w:pPr>
        <w:pStyle w:val="FootnoteText"/>
        <w:widowControl w:val="0"/>
      </w:pPr>
      <w:r>
        <w:rPr>
          <w:rStyle w:val="FootnoteReference"/>
        </w:rPr>
        <w:footnoteRef/>
      </w:r>
      <w:r>
        <w:t xml:space="preserve"> Reply of DIRECTV, LLC</w:t>
      </w:r>
      <w:r w:rsidRPr="002753DF">
        <w:t>, LMS File No. 0000</w:t>
      </w:r>
      <w:r>
        <w:t>280843, 3-4</w:t>
      </w:r>
      <w:r w:rsidRPr="002753DF">
        <w:t xml:space="preserve"> (filed </w:t>
      </w:r>
      <w:r>
        <w:t>Nov. 18</w:t>
      </w:r>
      <w:r w:rsidRPr="002753DF">
        <w:t>, 2025)</w:t>
      </w:r>
      <w:r>
        <w:t xml:space="preserve"> </w:t>
      </w:r>
      <w:r w:rsidRPr="002753DF">
        <w:t>(</w:t>
      </w:r>
      <w:r>
        <w:t xml:space="preserve">DIRECTV </w:t>
      </w:r>
      <w:r w:rsidRPr="002753DF">
        <w:t xml:space="preserve">Roberts </w:t>
      </w:r>
      <w:r>
        <w:t>Reply</w:t>
      </w:r>
      <w:r w:rsidRPr="002753DF">
        <w:t xml:space="preserve">); </w:t>
      </w:r>
      <w:r>
        <w:t xml:space="preserve">Reply of DIRECTV, LLC, LMS File Nos. 0000280846 </w:t>
      </w:r>
      <w:r w:rsidRPr="001174FF">
        <w:t>et al</w:t>
      </w:r>
      <w:r w:rsidRPr="002753DF">
        <w:rPr>
          <w:i/>
          <w:iCs/>
        </w:rPr>
        <w:t>.</w:t>
      </w:r>
      <w:r>
        <w:t xml:space="preserve">, 4-5 </w:t>
      </w:r>
      <w:r w:rsidRPr="002753DF">
        <w:t xml:space="preserve">(filed </w:t>
      </w:r>
      <w:r>
        <w:t>Nov. 18</w:t>
      </w:r>
      <w:r w:rsidRPr="002753DF">
        <w:t>, 2025</w:t>
      </w:r>
      <w:r>
        <w:t>) (DIRECTV Cunningham Reply) (collectively, DIRECTV Replies).</w:t>
      </w:r>
    </w:p>
  </w:footnote>
  <w:footnote w:id="32">
    <w:p w:rsidR="00957EAF" w:rsidP="00957EAF" w14:paraId="47D516E8" w14:textId="77777777">
      <w:pPr>
        <w:pStyle w:val="FootnoteText"/>
        <w:widowControl w:val="0"/>
      </w:pPr>
      <w:r>
        <w:rPr>
          <w:rStyle w:val="FootnoteReference"/>
        </w:rPr>
        <w:footnoteRef/>
      </w:r>
      <w:r>
        <w:t xml:space="preserve"> </w:t>
      </w:r>
      <w:r w:rsidRPr="001858BD">
        <w:t>DIRECTV Roberts Reply</w:t>
      </w:r>
      <w:r>
        <w:t xml:space="preserve"> at 5-11; </w:t>
      </w:r>
      <w:r w:rsidRPr="001858BD">
        <w:t>DIRECTV Cunningham Reply</w:t>
      </w:r>
      <w:r>
        <w:t xml:space="preserve"> at 6-12.</w:t>
      </w:r>
    </w:p>
  </w:footnote>
  <w:footnote w:id="33">
    <w:p w:rsidR="00957EAF" w:rsidP="00957EAF" w14:paraId="54DCB06D" w14:textId="77777777">
      <w:pPr>
        <w:pStyle w:val="FootnoteText"/>
        <w:widowControl w:val="0"/>
      </w:pPr>
      <w:r>
        <w:rPr>
          <w:rStyle w:val="FootnoteReference"/>
        </w:rPr>
        <w:footnoteRef/>
      </w:r>
      <w:r>
        <w:t xml:space="preserve"> </w:t>
      </w:r>
      <w:r w:rsidRPr="001858BD">
        <w:t xml:space="preserve">DIRECTV Roberts Reply at </w:t>
      </w:r>
      <w:r>
        <w:t>13-15.</w:t>
      </w:r>
    </w:p>
  </w:footnote>
  <w:footnote w:id="34">
    <w:p w:rsidR="00957EAF" w:rsidRPr="00FD452C" w:rsidP="00957EAF" w14:paraId="31691FE3" w14:textId="77777777">
      <w:pPr>
        <w:pStyle w:val="FootnoteText"/>
        <w:widowControl w:val="0"/>
      </w:pPr>
      <w:r>
        <w:rPr>
          <w:rStyle w:val="FootnoteReference"/>
        </w:rPr>
        <w:footnoteRef/>
      </w:r>
      <w:r>
        <w:t xml:space="preserve"> </w:t>
      </w:r>
      <w:r w:rsidRPr="006646A8">
        <w:rPr>
          <w:iCs/>
          <w:bdr w:val="none" w:sz="0" w:space="0" w:color="auto" w:frame="1"/>
          <w:shd w:val="clear" w:color="auto" w:fill="FFFFFF"/>
        </w:rPr>
        <w:t>47 U.S.C.</w:t>
      </w:r>
      <w:r>
        <w:rPr>
          <w:bdr w:val="none" w:sz="0" w:space="0" w:color="auto" w:frame="1"/>
          <w:shd w:val="clear" w:color="auto" w:fill="FFFFFF"/>
        </w:rPr>
        <w:t xml:space="preserve"> </w:t>
      </w:r>
      <w:r w:rsidRPr="008D171E">
        <w:rPr>
          <w:bdr w:val="none" w:sz="0" w:space="0" w:color="auto" w:frame="1"/>
          <w:shd w:val="clear" w:color="auto" w:fill="FFFFFF"/>
        </w:rPr>
        <w:t>§ 309(d)</w:t>
      </w:r>
      <w:r w:rsidRPr="008D171E">
        <w:rPr>
          <w:color w:val="3D3D3D"/>
          <w:shd w:val="clear" w:color="auto" w:fill="FFFFFF"/>
        </w:rPr>
        <w:t>; </w:t>
      </w:r>
      <w:r w:rsidRPr="008D171E">
        <w:rPr>
          <w:bdr w:val="none" w:sz="0" w:space="0" w:color="auto" w:frame="1"/>
          <w:shd w:val="clear" w:color="auto" w:fill="FFFFFF"/>
        </w:rPr>
        <w:t>47 CFR § 73.3584</w:t>
      </w:r>
      <w:r>
        <w:rPr>
          <w:bdr w:val="none" w:sz="0" w:space="0" w:color="auto" w:frame="1"/>
          <w:shd w:val="clear" w:color="auto" w:fill="FFFFFF"/>
        </w:rPr>
        <w:t>.</w:t>
      </w:r>
    </w:p>
  </w:footnote>
  <w:footnote w:id="35">
    <w:p w:rsidR="00957EAF" w:rsidP="00957EAF" w14:paraId="28F91C96" w14:textId="77777777">
      <w:pPr>
        <w:pStyle w:val="FootnoteText"/>
        <w:widowControl w:val="0"/>
      </w:pPr>
      <w:r>
        <w:rPr>
          <w:rStyle w:val="FootnoteReference"/>
        </w:rPr>
        <w:footnoteRef/>
      </w:r>
      <w:r>
        <w:t xml:space="preserve"> </w:t>
      </w:r>
      <w:r w:rsidRPr="008D171E">
        <w:rPr>
          <w:bdr w:val="none" w:sz="0" w:space="0" w:color="auto" w:frame="1"/>
          <w:shd w:val="clear" w:color="auto" w:fill="FFFFFF"/>
        </w:rPr>
        <w:t>47 U.S.C. § 309(d)</w:t>
      </w:r>
      <w:r>
        <w:rPr>
          <w:color w:val="3D3D3D"/>
          <w:shd w:val="clear" w:color="auto" w:fill="FFFFFF"/>
        </w:rPr>
        <w:t>.</w:t>
      </w:r>
    </w:p>
  </w:footnote>
  <w:footnote w:id="36">
    <w:p w:rsidR="00957EAF" w:rsidRPr="00393B8E" w:rsidP="00957EAF" w14:paraId="77CA6727" w14:textId="77777777">
      <w:pPr>
        <w:pStyle w:val="FootnoteText"/>
        <w:widowControl w:val="0"/>
      </w:pPr>
      <w:r>
        <w:rPr>
          <w:rStyle w:val="FootnoteReference"/>
        </w:rPr>
        <w:footnoteRef/>
      </w:r>
      <w:r>
        <w:t xml:space="preserve"> </w:t>
      </w:r>
      <w:r>
        <w:rPr>
          <w:i/>
        </w:rPr>
        <w:t>Id.</w:t>
      </w:r>
    </w:p>
  </w:footnote>
  <w:footnote w:id="37">
    <w:p w:rsidR="00957EAF" w:rsidP="00957EAF" w14:paraId="2AE43A02" w14:textId="77777777">
      <w:pPr>
        <w:pStyle w:val="FootnoteText"/>
        <w:widowControl w:val="0"/>
      </w:pPr>
      <w:r>
        <w:rPr>
          <w:rStyle w:val="FootnoteReference"/>
        </w:rPr>
        <w:footnoteRef/>
      </w:r>
      <w:r>
        <w:t xml:space="preserve"> </w:t>
      </w:r>
      <w:r w:rsidRPr="00393B8E">
        <w:rPr>
          <w:i/>
          <w:iCs/>
          <w:snapToGrid w:val="0"/>
          <w:kern w:val="28"/>
          <w:bdr w:val="none" w:sz="0" w:space="0" w:color="auto" w:frame="1"/>
          <w:shd w:val="clear" w:color="auto" w:fill="FFFFFF"/>
        </w:rPr>
        <w:t>See, e.g.</w:t>
      </w:r>
      <w:r>
        <w:rPr>
          <w:iCs/>
          <w:snapToGrid w:val="0"/>
          <w:kern w:val="28"/>
          <w:bdr w:val="none" w:sz="0" w:space="0" w:color="auto" w:frame="1"/>
          <w:shd w:val="clear" w:color="auto" w:fill="FFFFFF"/>
        </w:rPr>
        <w:t>,</w:t>
      </w:r>
      <w:r w:rsidRPr="00393B8E">
        <w:rPr>
          <w:i/>
          <w:iCs/>
          <w:snapToGrid w:val="0"/>
          <w:kern w:val="28"/>
          <w:bdr w:val="none" w:sz="0" w:space="0" w:color="auto" w:frame="1"/>
          <w:shd w:val="clear" w:color="auto" w:fill="FFFFFF"/>
        </w:rPr>
        <w:t> Lujan v. Defenders of Wildlife</w:t>
      </w:r>
      <w:r w:rsidRPr="00393B8E">
        <w:rPr>
          <w:snapToGrid w:val="0"/>
          <w:kern w:val="28"/>
          <w:bdr w:val="none" w:sz="0" w:space="0" w:color="auto" w:frame="1"/>
          <w:shd w:val="clear" w:color="auto" w:fill="FFFFFF"/>
        </w:rPr>
        <w:t>, 504 U.S. 555 (1992)</w:t>
      </w:r>
      <w:r w:rsidRPr="00393B8E">
        <w:rPr>
          <w:snapToGrid w:val="0"/>
          <w:kern w:val="28"/>
          <w:shd w:val="clear" w:color="auto" w:fill="FFFFFF"/>
        </w:rPr>
        <w:t>; </w:t>
      </w:r>
      <w:r w:rsidRPr="00393B8E">
        <w:rPr>
          <w:i/>
          <w:iCs/>
          <w:snapToGrid w:val="0"/>
          <w:kern w:val="28"/>
          <w:bdr w:val="none" w:sz="0" w:space="0" w:color="auto" w:frame="1"/>
          <w:shd w:val="clear" w:color="auto" w:fill="FFFFFF"/>
        </w:rPr>
        <w:t>MCI Communications Corp.</w:t>
      </w:r>
      <w:r w:rsidRPr="00393B8E">
        <w:rPr>
          <w:snapToGrid w:val="0"/>
          <w:kern w:val="28"/>
          <w:bdr w:val="none" w:sz="0" w:space="0" w:color="auto" w:frame="1"/>
          <w:shd w:val="clear" w:color="auto" w:fill="FFFFFF"/>
        </w:rPr>
        <w:t>, Memorandum</w:t>
      </w:r>
      <w:r>
        <w:rPr>
          <w:snapToGrid w:val="0"/>
          <w:kern w:val="28"/>
          <w:bdr w:val="none" w:sz="0" w:space="0" w:color="auto" w:frame="1"/>
          <w:shd w:val="clear" w:color="auto" w:fill="FFFFFF"/>
        </w:rPr>
        <w:t xml:space="preserve"> </w:t>
      </w:r>
      <w:r w:rsidRPr="004F4A0D">
        <w:rPr>
          <w:snapToGrid w:val="0"/>
          <w:kern w:val="28"/>
          <w:bdr w:val="none" w:sz="0" w:space="0" w:color="auto" w:frame="1"/>
          <w:shd w:val="clear" w:color="auto" w:fill="FFFFFF"/>
        </w:rPr>
        <w:t>Opinion and Order, 12 FCC Rcd 7790 (1997)</w:t>
      </w:r>
      <w:r w:rsidRPr="00393B8E">
        <w:rPr>
          <w:snapToGrid w:val="0"/>
          <w:kern w:val="28"/>
          <w:shd w:val="clear" w:color="auto" w:fill="FFFFFF"/>
        </w:rPr>
        <w:t>; </w:t>
      </w:r>
      <w:r>
        <w:rPr>
          <w:i/>
          <w:iCs/>
          <w:snapToGrid w:val="0"/>
          <w:kern w:val="28"/>
          <w:bdr w:val="none" w:sz="0" w:space="0" w:color="auto" w:frame="1"/>
          <w:shd w:val="clear" w:color="auto" w:fill="FFFFFF"/>
        </w:rPr>
        <w:t>Saga Communications of North Carolina, LLC and Library Productions, a Limited Partnership, re: WOXL-FM</w:t>
      </w:r>
      <w:r w:rsidRPr="009A0CA1">
        <w:rPr>
          <w:snapToGrid w:val="0"/>
          <w:kern w:val="28"/>
          <w:bdr w:val="none" w:sz="0" w:space="0" w:color="auto" w:frame="1"/>
          <w:shd w:val="clear" w:color="auto" w:fill="FFFFFF"/>
        </w:rPr>
        <w:t>,</w:t>
      </w:r>
      <w:r w:rsidRPr="00393B8E">
        <w:rPr>
          <w:snapToGrid w:val="0"/>
          <w:kern w:val="28"/>
          <w:bdr w:val="none" w:sz="0" w:space="0" w:color="auto" w:frame="1"/>
          <w:shd w:val="clear" w:color="auto" w:fill="FFFFFF"/>
        </w:rPr>
        <w:t xml:space="preserve"> Letter Order, 20 FCC Rcd 11987 (</w:t>
      </w:r>
      <w:r>
        <w:rPr>
          <w:snapToGrid w:val="0"/>
          <w:kern w:val="28"/>
          <w:bdr w:val="none" w:sz="0" w:space="0" w:color="auto" w:frame="1"/>
          <w:shd w:val="clear" w:color="auto" w:fill="FFFFFF"/>
        </w:rPr>
        <w:t>MB</w:t>
      </w:r>
      <w:r w:rsidRPr="00393B8E">
        <w:rPr>
          <w:snapToGrid w:val="0"/>
          <w:kern w:val="28"/>
          <w:bdr w:val="none" w:sz="0" w:space="0" w:color="auto" w:frame="1"/>
          <w:shd w:val="clear" w:color="auto" w:fill="FFFFFF"/>
        </w:rPr>
        <w:t xml:space="preserve"> 2005)</w:t>
      </w:r>
      <w:r w:rsidRPr="00393B8E">
        <w:rPr>
          <w:snapToGrid w:val="0"/>
          <w:kern w:val="28"/>
          <w:shd w:val="clear" w:color="auto" w:fill="FFFFFF"/>
        </w:rPr>
        <w:t>.</w:t>
      </w:r>
    </w:p>
  </w:footnote>
  <w:footnote w:id="38">
    <w:p w:rsidR="00957EAF" w:rsidRPr="00393B8E" w:rsidP="00957EAF" w14:paraId="10921581" w14:textId="77777777">
      <w:pPr>
        <w:pStyle w:val="FootnoteText"/>
        <w:widowControl w:val="0"/>
      </w:pPr>
      <w:r>
        <w:rPr>
          <w:rStyle w:val="FootnoteReference"/>
        </w:rPr>
        <w:footnoteRef/>
      </w:r>
      <w:r>
        <w:t xml:space="preserve"> </w:t>
      </w:r>
      <w:r w:rsidRPr="00B2127A">
        <w:rPr>
          <w:rStyle w:val="Emphasis"/>
          <w:bdr w:val="none" w:sz="0" w:space="0" w:color="auto" w:frame="1"/>
          <w:shd w:val="clear" w:color="auto" w:fill="FFFFFF"/>
        </w:rPr>
        <w:t>See, e.g.</w:t>
      </w:r>
      <w:r w:rsidRPr="0046640F">
        <w:rPr>
          <w:rStyle w:val="Emphasis"/>
          <w:i w:val="0"/>
          <w:bdr w:val="none" w:sz="0" w:space="0" w:color="auto" w:frame="1"/>
          <w:shd w:val="clear" w:color="auto" w:fill="FFFFFF"/>
        </w:rPr>
        <w:t>,</w:t>
      </w:r>
      <w:r w:rsidRPr="00B2127A">
        <w:rPr>
          <w:rStyle w:val="Emphasis"/>
          <w:bdr w:val="none" w:sz="0" w:space="0" w:color="auto" w:frame="1"/>
          <w:shd w:val="clear" w:color="auto" w:fill="FFFFFF"/>
        </w:rPr>
        <w:t> </w:t>
      </w:r>
      <w:r w:rsidRPr="00B2127A">
        <w:rPr>
          <w:rStyle w:val="Emphasis"/>
          <w:bdr w:val="none" w:sz="0" w:space="0" w:color="auto" w:frame="1"/>
        </w:rPr>
        <w:t>Entercom License, LLC</w:t>
      </w:r>
      <w:r w:rsidRPr="00A430F9">
        <w:rPr>
          <w:rStyle w:val="Emphasis"/>
          <w:i w:val="0"/>
          <w:bdr w:val="none" w:sz="0" w:space="0" w:color="auto" w:frame="1"/>
        </w:rPr>
        <w:t>,</w:t>
      </w:r>
      <w:r w:rsidRPr="00B2127A">
        <w:rPr>
          <w:rStyle w:val="Emphasis"/>
          <w:bdr w:val="none" w:sz="0" w:space="0" w:color="auto" w:frame="1"/>
        </w:rPr>
        <w:t xml:space="preserve"> </w:t>
      </w:r>
      <w:r w:rsidRPr="00654518">
        <w:rPr>
          <w:rStyle w:val="Emphasis"/>
          <w:i w:val="0"/>
          <w:iCs w:val="0"/>
          <w:bdr w:val="none" w:sz="0" w:space="0" w:color="auto" w:frame="1"/>
        </w:rPr>
        <w:t xml:space="preserve">Hearing Designation Order, </w:t>
      </w:r>
      <w:r>
        <w:rPr>
          <w:rStyle w:val="Emphasis"/>
          <w:i w:val="0"/>
          <w:iCs w:val="0"/>
          <w:bdr w:val="none" w:sz="0" w:space="0" w:color="auto" w:frame="1"/>
        </w:rPr>
        <w:t xml:space="preserve">MB Docket No. 16-357, </w:t>
      </w:r>
      <w:r w:rsidRPr="00654518">
        <w:rPr>
          <w:rStyle w:val="Emphasis"/>
          <w:i w:val="0"/>
          <w:iCs w:val="0"/>
          <w:bdr w:val="none" w:sz="0" w:space="0" w:color="auto" w:frame="1"/>
        </w:rPr>
        <w:t>31 FCC Rcd 12196, 12205 (2016)</w:t>
      </w:r>
      <w:r w:rsidRPr="0046640F">
        <w:rPr>
          <w:rStyle w:val="Emphasis"/>
          <w:i w:val="0"/>
          <w:bdr w:val="none" w:sz="0" w:space="0" w:color="auto" w:frame="1"/>
          <w:shd w:val="clear" w:color="auto" w:fill="FFFFFF"/>
        </w:rPr>
        <w:t>;</w:t>
      </w:r>
      <w:r w:rsidRPr="00B2127A">
        <w:rPr>
          <w:rStyle w:val="Emphasis"/>
          <w:bdr w:val="none" w:sz="0" w:space="0" w:color="auto" w:frame="1"/>
          <w:shd w:val="clear" w:color="auto" w:fill="FFFFFF"/>
        </w:rPr>
        <w:t> </w:t>
      </w:r>
      <w:r>
        <w:rPr>
          <w:rStyle w:val="Emphasis"/>
          <w:bdr w:val="none" w:sz="0" w:space="0" w:color="auto" w:frame="1"/>
          <w:shd w:val="clear" w:color="auto" w:fill="FFFFFF"/>
        </w:rPr>
        <w:t>Connoisseur Media Licenses, LLC</w:t>
      </w:r>
      <w:r w:rsidRPr="009A0CA1">
        <w:rPr>
          <w:rStyle w:val="Emphasis"/>
          <w:i w:val="0"/>
          <w:bdr w:val="none" w:sz="0" w:space="0" w:color="auto" w:frame="1"/>
          <w:shd w:val="clear" w:color="auto" w:fill="FFFFFF"/>
        </w:rPr>
        <w:t>,</w:t>
      </w:r>
      <w:r w:rsidRPr="00B2127A">
        <w:rPr>
          <w:bdr w:val="none" w:sz="0" w:space="0" w:color="auto" w:frame="1"/>
          <w:shd w:val="clear" w:color="auto" w:fill="FFFFFF"/>
        </w:rPr>
        <w:t xml:space="preserve"> Letter </w:t>
      </w:r>
      <w:r>
        <w:rPr>
          <w:bdr w:val="none" w:sz="0" w:space="0" w:color="auto" w:frame="1"/>
          <w:shd w:val="clear" w:color="auto" w:fill="FFFFFF"/>
        </w:rPr>
        <w:t>Order</w:t>
      </w:r>
      <w:r w:rsidRPr="00B2127A">
        <w:rPr>
          <w:bdr w:val="none" w:sz="0" w:space="0" w:color="auto" w:frame="1"/>
          <w:shd w:val="clear" w:color="auto" w:fill="FFFFFF"/>
        </w:rPr>
        <w:t>, 30 FCC Rcd 6045</w:t>
      </w:r>
      <w:r>
        <w:rPr>
          <w:bdr w:val="none" w:sz="0" w:space="0" w:color="auto" w:frame="1"/>
          <w:shd w:val="clear" w:color="auto" w:fill="FFFFFF"/>
        </w:rPr>
        <w:t>, 6048-6049</w:t>
      </w:r>
      <w:r w:rsidRPr="00B2127A">
        <w:rPr>
          <w:bdr w:val="none" w:sz="0" w:space="0" w:color="auto" w:frame="1"/>
          <w:shd w:val="clear" w:color="auto" w:fill="FFFFFF"/>
        </w:rPr>
        <w:t xml:space="preserve"> (MB 2015)</w:t>
      </w:r>
      <w:r>
        <w:rPr>
          <w:bdr w:val="none" w:sz="0" w:space="0" w:color="auto" w:frame="1"/>
          <w:shd w:val="clear" w:color="auto" w:fill="FFFFFF"/>
        </w:rPr>
        <w:t>.</w:t>
      </w:r>
    </w:p>
  </w:footnote>
  <w:footnote w:id="39">
    <w:p w:rsidR="00957EAF" w:rsidP="00957EAF" w14:paraId="4F4FA0DF" w14:textId="77777777">
      <w:pPr>
        <w:pStyle w:val="FootnoteText"/>
        <w:widowControl w:val="0"/>
      </w:pPr>
      <w:r>
        <w:rPr>
          <w:rStyle w:val="FootnoteReference"/>
        </w:rPr>
        <w:footnoteRef/>
      </w:r>
      <w:r>
        <w:t xml:space="preserve"> </w:t>
      </w:r>
      <w:r w:rsidRPr="0077285D">
        <w:rPr>
          <w:rStyle w:val="Emphasis"/>
          <w:bdr w:val="none" w:sz="0" w:space="0" w:color="auto" w:frame="1"/>
          <w:shd w:val="clear" w:color="auto" w:fill="FFFFFF"/>
        </w:rPr>
        <w:t>See Rainbow/PUSH Coalition</w:t>
      </w:r>
      <w:r>
        <w:rPr>
          <w:rStyle w:val="Emphasis"/>
          <w:bdr w:val="none" w:sz="0" w:space="0" w:color="auto" w:frame="1"/>
          <w:shd w:val="clear" w:color="auto" w:fill="FFFFFF"/>
        </w:rPr>
        <w:t xml:space="preserve"> v. FCC</w:t>
      </w:r>
      <w:r w:rsidRPr="0077285D">
        <w:rPr>
          <w:bdr w:val="none" w:sz="0" w:space="0" w:color="auto" w:frame="1"/>
          <w:shd w:val="clear" w:color="auto" w:fill="FFFFFF"/>
        </w:rPr>
        <w:t xml:space="preserve">, 330 F.3d </w:t>
      </w:r>
      <w:r>
        <w:rPr>
          <w:bdr w:val="none" w:sz="0" w:space="0" w:color="auto" w:frame="1"/>
          <w:shd w:val="clear" w:color="auto" w:fill="FFFFFF"/>
        </w:rPr>
        <w:t>539, 542-43</w:t>
      </w:r>
      <w:r w:rsidRPr="0077285D">
        <w:rPr>
          <w:bdr w:val="none" w:sz="0" w:space="0" w:color="auto" w:frame="1"/>
          <w:shd w:val="clear" w:color="auto" w:fill="FFFFFF"/>
        </w:rPr>
        <w:t xml:space="preserve"> (D.C. Cir. 200</w:t>
      </w:r>
      <w:r>
        <w:rPr>
          <w:bdr w:val="none" w:sz="0" w:space="0" w:color="auto" w:frame="1"/>
          <w:shd w:val="clear" w:color="auto" w:fill="FFFFFF"/>
        </w:rPr>
        <w:t>3</w:t>
      </w:r>
      <w:r w:rsidRPr="0077285D">
        <w:rPr>
          <w:bdr w:val="none" w:sz="0" w:space="0" w:color="auto" w:frame="1"/>
          <w:shd w:val="clear" w:color="auto" w:fill="FFFFFF"/>
        </w:rPr>
        <w:t>)</w:t>
      </w:r>
      <w:r w:rsidRPr="0077285D">
        <w:rPr>
          <w:shd w:val="clear" w:color="auto" w:fill="FFFFFF"/>
        </w:rPr>
        <w:t xml:space="preserve">. </w:t>
      </w:r>
      <w:r>
        <w:rPr>
          <w:shd w:val="clear" w:color="auto" w:fill="FFFFFF"/>
        </w:rPr>
        <w:t xml:space="preserve"> </w:t>
      </w:r>
    </w:p>
  </w:footnote>
  <w:footnote w:id="40">
    <w:p w:rsidR="00957EAF" w:rsidP="00957EAF" w14:paraId="3CDB6EE4" w14:textId="77777777">
      <w:pPr>
        <w:pStyle w:val="FootnoteText"/>
        <w:widowControl w:val="0"/>
      </w:pPr>
      <w:r>
        <w:rPr>
          <w:rStyle w:val="FootnoteReference"/>
        </w:rPr>
        <w:footnoteRef/>
      </w:r>
      <w:r>
        <w:t xml:space="preserve"> </w:t>
      </w:r>
      <w:r w:rsidRPr="000B3044">
        <w:rPr>
          <w:rStyle w:val="Emphasis"/>
          <w:bdr w:val="none" w:sz="0" w:space="0" w:color="auto" w:frame="1"/>
          <w:shd w:val="clear" w:color="auto" w:fill="FFFFFF"/>
        </w:rPr>
        <w:t>Cox Radio, Inc. &amp; Summit Media, LLC</w:t>
      </w:r>
      <w:r w:rsidRPr="000B3044">
        <w:rPr>
          <w:shd w:val="clear" w:color="auto" w:fill="FFFFFF"/>
        </w:rPr>
        <w:t>, Letter</w:t>
      </w:r>
      <w:r>
        <w:rPr>
          <w:shd w:val="clear" w:color="auto" w:fill="FFFFFF"/>
        </w:rPr>
        <w:t xml:space="preserve"> Order</w:t>
      </w:r>
      <w:r w:rsidRPr="000B3044">
        <w:rPr>
          <w:shd w:val="clear" w:color="auto" w:fill="FFFFFF"/>
        </w:rPr>
        <w:t>, </w:t>
      </w:r>
      <w:r w:rsidRPr="000B3044">
        <w:rPr>
          <w:bdr w:val="none" w:sz="0" w:space="0" w:color="auto" w:frame="1"/>
          <w:shd w:val="clear" w:color="auto" w:fill="FFFFFF"/>
        </w:rPr>
        <w:t>28 FCC Rcd 5674, 5676</w:t>
      </w:r>
      <w:r>
        <w:rPr>
          <w:bdr w:val="none" w:sz="0" w:space="0" w:color="auto" w:frame="1"/>
          <w:shd w:val="clear" w:color="auto" w:fill="FFFFFF"/>
        </w:rPr>
        <w:t>,</w:t>
      </w:r>
      <w:r w:rsidRPr="000B3044">
        <w:rPr>
          <w:bdr w:val="none" w:sz="0" w:space="0" w:color="auto" w:frame="1"/>
          <w:shd w:val="clear" w:color="auto" w:fill="FFFFFF"/>
        </w:rPr>
        <w:t xml:space="preserve"> n.12 (</w:t>
      </w:r>
      <w:r>
        <w:rPr>
          <w:bdr w:val="none" w:sz="0" w:space="0" w:color="auto" w:frame="1"/>
          <w:shd w:val="clear" w:color="auto" w:fill="FFFFFF"/>
        </w:rPr>
        <w:t>AD</w:t>
      </w:r>
      <w:r w:rsidRPr="000B3044">
        <w:rPr>
          <w:bdr w:val="none" w:sz="0" w:space="0" w:color="auto" w:frame="1"/>
          <w:shd w:val="clear" w:color="auto" w:fill="FFFFFF"/>
        </w:rPr>
        <w:t xml:space="preserve"> 2013)</w:t>
      </w:r>
      <w:r w:rsidRPr="000B3044">
        <w:rPr>
          <w:rStyle w:val="Emphasis"/>
          <w:i w:val="0"/>
          <w:bdr w:val="none" w:sz="0" w:space="0" w:color="auto" w:frame="1"/>
          <w:shd w:val="clear" w:color="auto" w:fill="FFFFFF"/>
        </w:rPr>
        <w:t>.</w:t>
      </w:r>
    </w:p>
  </w:footnote>
  <w:footnote w:id="41">
    <w:p w:rsidR="00957EAF" w:rsidRPr="00F10392" w:rsidP="00957EAF" w14:paraId="4939FF8A" w14:textId="77777777">
      <w:pPr>
        <w:pStyle w:val="FootnoteText"/>
        <w:widowControl w:val="0"/>
        <w:rPr>
          <w:i/>
          <w:iCs/>
        </w:rPr>
      </w:pPr>
      <w:r>
        <w:rPr>
          <w:rStyle w:val="FootnoteReference"/>
        </w:rPr>
        <w:footnoteRef/>
      </w:r>
      <w:r>
        <w:t xml:space="preserve"> </w:t>
      </w:r>
      <w:r w:rsidRPr="00790DE6">
        <w:rPr>
          <w:i/>
          <w:iCs/>
        </w:rPr>
        <w:t xml:space="preserve">See </w:t>
      </w:r>
      <w:r w:rsidRPr="00790DE6">
        <w:t xml:space="preserve">Roberts Petition at 5; Cunningham Petition at 6.  </w:t>
      </w:r>
      <w:r>
        <w:t xml:space="preserve">DIRECTV also </w:t>
      </w:r>
      <w:r w:rsidRPr="00214066">
        <w:rPr>
          <w:snapToGrid w:val="0"/>
          <w:kern w:val="28"/>
        </w:rPr>
        <w:t>submit</w:t>
      </w:r>
      <w:r>
        <w:rPr>
          <w:snapToGrid w:val="0"/>
          <w:kern w:val="28"/>
        </w:rPr>
        <w:t>ted</w:t>
      </w:r>
      <w:r w:rsidRPr="00214066">
        <w:rPr>
          <w:snapToGrid w:val="0"/>
          <w:kern w:val="28"/>
        </w:rPr>
        <w:t xml:space="preserve"> the necessary supporting affidavits</w:t>
      </w:r>
      <w:r>
        <w:rPr>
          <w:snapToGrid w:val="0"/>
          <w:kern w:val="28"/>
        </w:rPr>
        <w:t>.</w:t>
      </w:r>
      <w:r w:rsidRPr="00790DE6">
        <w:rPr>
          <w:i/>
          <w:iCs/>
        </w:rPr>
        <w:t xml:space="preserve"> </w:t>
      </w:r>
      <w:r>
        <w:rPr>
          <w:i/>
          <w:iCs/>
        </w:rPr>
        <w:t xml:space="preserve"> </w:t>
      </w:r>
      <w:r w:rsidRPr="00790DE6">
        <w:rPr>
          <w:i/>
          <w:iCs/>
        </w:rPr>
        <w:t xml:space="preserve">See </w:t>
      </w:r>
      <w:r w:rsidRPr="00790DE6">
        <w:t>KMTR Petition, Appx A, Declaration of Michael Hartmann; Sinclair-Cunningham Petition at 6, Appx</w:t>
      </w:r>
      <w:r>
        <w:t>.</w:t>
      </w:r>
      <w:r w:rsidRPr="00790DE6">
        <w:t xml:space="preserve"> A, Declaration of Michael Hartmann.</w:t>
      </w:r>
    </w:p>
  </w:footnote>
  <w:footnote w:id="42">
    <w:p w:rsidR="00957EAF" w:rsidRPr="00450DBF" w:rsidP="00957EAF" w14:paraId="510D1B63" w14:textId="77777777">
      <w:pPr>
        <w:pStyle w:val="FootnoteText"/>
        <w:widowControl w:val="0"/>
      </w:pPr>
      <w:r>
        <w:rPr>
          <w:rStyle w:val="FootnoteReference"/>
        </w:rPr>
        <w:footnoteRef/>
      </w:r>
      <w:r>
        <w:t xml:space="preserve"> </w:t>
      </w:r>
      <w:r>
        <w:rPr>
          <w:i/>
          <w:iCs/>
        </w:rPr>
        <w:t xml:space="preserve">See </w:t>
      </w:r>
      <w:r w:rsidRPr="00450DBF">
        <w:rPr>
          <w:i/>
          <w:iCs/>
        </w:rPr>
        <w:t>Applications of Tribune Media Company, Nexstar Media Group, Inc. et al</w:t>
      </w:r>
      <w:r w:rsidRPr="00450DBF">
        <w:t>, MB Docket No. 19-30, Memorandum Opinion and Order, 34 FCC Rcd 8436, 84</w:t>
      </w:r>
      <w:r>
        <w:t>48</w:t>
      </w:r>
      <w:r w:rsidRPr="00450DBF">
        <w:t xml:space="preserve">, para. </w:t>
      </w:r>
      <w:r>
        <w:t>24</w:t>
      </w:r>
      <w:r w:rsidRPr="00450DBF">
        <w:t xml:space="preserve"> (2019)</w:t>
      </w:r>
      <w:r>
        <w:t xml:space="preserve">; </w:t>
      </w:r>
      <w:r w:rsidRPr="00450DBF">
        <w:rPr>
          <w:i/>
          <w:iCs/>
        </w:rPr>
        <w:t>Applications to Transfer Control of License Subsidiaries of Media General, Inc., to Nexstar Broadcasting, Inc.</w:t>
      </w:r>
      <w:r w:rsidRPr="00450DBF">
        <w:t>, MB Docket No. 16-57, Memorandum Opinion and Order, 32 FCC Rcd 183, 189, para. 16 (MB/WTB 2017)</w:t>
      </w:r>
      <w:r>
        <w:t>.</w:t>
      </w:r>
      <w:r w:rsidRPr="00450DBF">
        <w:t xml:space="preserve"> </w:t>
      </w:r>
    </w:p>
  </w:footnote>
  <w:footnote w:id="43">
    <w:p w:rsidR="00957EAF" w:rsidP="00957EAF" w14:paraId="7EE07F06" w14:textId="77777777">
      <w:pPr>
        <w:pStyle w:val="FootnoteText"/>
        <w:widowControl w:val="0"/>
      </w:pPr>
      <w:r>
        <w:rPr>
          <w:rStyle w:val="FootnoteReference"/>
        </w:rPr>
        <w:footnoteRef/>
      </w:r>
      <w:r>
        <w:t xml:space="preserve"> </w:t>
      </w:r>
      <w:bookmarkStart w:id="1" w:name="_Hlk216883754"/>
      <w:r>
        <w:t>47 U.S.C. § 310(d)</w:t>
      </w:r>
      <w:bookmarkEnd w:id="1"/>
      <w:r>
        <w:t xml:space="preserve">.  </w:t>
      </w:r>
    </w:p>
  </w:footnote>
  <w:footnote w:id="44">
    <w:p w:rsidR="00957EAF" w:rsidP="00957EAF" w14:paraId="05761620" w14:textId="77777777">
      <w:pPr>
        <w:pStyle w:val="FootnoteText"/>
        <w:widowControl w:val="0"/>
      </w:pPr>
      <w:r>
        <w:rPr>
          <w:rStyle w:val="FootnoteReference"/>
        </w:rPr>
        <w:footnoteRef/>
      </w:r>
      <w:r>
        <w:t xml:space="preserve"> </w:t>
      </w:r>
      <w:r w:rsidRPr="009B26A2">
        <w:rPr>
          <w:i/>
          <w:iCs/>
        </w:rPr>
        <w:t>Applications for Consent to the Transfer of Control of Paramount Global</w:t>
      </w:r>
      <w:r>
        <w:t xml:space="preserve">, Memorandum Opinion and Order, 40 FCC Rcd 5689, 5701, para. 25 (2025). </w:t>
      </w:r>
      <w:r w:rsidRPr="0019130C">
        <w:t xml:space="preserve"> </w:t>
      </w:r>
    </w:p>
  </w:footnote>
  <w:footnote w:id="45">
    <w:p w:rsidR="00957EAF" w:rsidP="00957EAF" w14:paraId="1E3B705E" w14:textId="77777777">
      <w:pPr>
        <w:pStyle w:val="FootnoteText"/>
        <w:widowControl w:val="0"/>
      </w:pPr>
      <w:r>
        <w:rPr>
          <w:rStyle w:val="FootnoteReference"/>
        </w:rPr>
        <w:footnoteRef/>
      </w:r>
      <w:r>
        <w:t xml:space="preserve"> </w:t>
      </w:r>
      <w:r>
        <w:rPr>
          <w:i/>
          <w:iCs/>
        </w:rPr>
        <w:t>Id.</w:t>
      </w:r>
    </w:p>
  </w:footnote>
  <w:footnote w:id="46">
    <w:p w:rsidR="00957EAF" w:rsidRPr="00BF6DDC" w:rsidP="00957EAF" w14:paraId="6952761A" w14:textId="77777777">
      <w:pPr>
        <w:pStyle w:val="FootnoteText"/>
        <w:widowControl w:val="0"/>
      </w:pPr>
      <w:r>
        <w:rPr>
          <w:rStyle w:val="FootnoteReference"/>
        </w:rPr>
        <w:footnoteRef/>
      </w:r>
      <w:r>
        <w:t xml:space="preserve"> </w:t>
      </w:r>
      <w:r>
        <w:rPr>
          <w:i/>
          <w:iCs/>
        </w:rPr>
        <w:t>Review of the Commission’s Regulations Governing Television Broadcasting and Television Satellite Stations Review of Policy and Rules</w:t>
      </w:r>
      <w:r>
        <w:t>, MB Docket Nos. 91-221 and 87-8, Report and Order, 14 FCC Rcd 12903 (1999) (</w:t>
      </w:r>
      <w:r>
        <w:rPr>
          <w:i/>
          <w:iCs/>
        </w:rPr>
        <w:t>1999 Television Ownership Order</w:t>
      </w:r>
      <w:r>
        <w:t>).</w:t>
      </w:r>
    </w:p>
  </w:footnote>
  <w:footnote w:id="47">
    <w:p w:rsidR="00957EAF" w:rsidRPr="005E2EE5" w:rsidP="00957EAF" w14:paraId="1B89A6E1" w14:textId="77777777">
      <w:pPr>
        <w:pStyle w:val="FootnoteText"/>
        <w:widowControl w:val="0"/>
        <w:rPr>
          <w:lang w:val="nb-NO"/>
        </w:rPr>
      </w:pPr>
      <w:r>
        <w:rPr>
          <w:rStyle w:val="FootnoteReference"/>
        </w:rPr>
        <w:footnoteRef/>
      </w:r>
      <w:r w:rsidRPr="005E2EE5">
        <w:rPr>
          <w:lang w:val="nb-NO"/>
        </w:rPr>
        <w:t xml:space="preserve"> </w:t>
      </w:r>
      <w:r w:rsidRPr="005E2EE5">
        <w:rPr>
          <w:i/>
          <w:iCs/>
          <w:lang w:val="nb-NO"/>
        </w:rPr>
        <w:t>Id.</w:t>
      </w:r>
      <w:r w:rsidRPr="005E2EE5">
        <w:rPr>
          <w:lang w:val="nb-NO"/>
        </w:rPr>
        <w:t xml:space="preserve"> at 12930-31, paras. 57-59.</w:t>
      </w:r>
    </w:p>
  </w:footnote>
  <w:footnote w:id="48">
    <w:p w:rsidR="00957EAF" w:rsidRPr="005E2EE5" w:rsidP="00957EAF" w14:paraId="0AD3BAA4" w14:textId="77777777">
      <w:pPr>
        <w:pStyle w:val="FootnoteText"/>
        <w:widowControl w:val="0"/>
        <w:rPr>
          <w:lang w:val="nb-NO"/>
        </w:rPr>
      </w:pPr>
      <w:r>
        <w:rPr>
          <w:rStyle w:val="FootnoteReference"/>
        </w:rPr>
        <w:footnoteRef/>
      </w:r>
      <w:r w:rsidRPr="005E2EE5">
        <w:rPr>
          <w:lang w:val="nb-NO"/>
        </w:rPr>
        <w:t xml:space="preserve"> </w:t>
      </w:r>
      <w:r w:rsidRPr="005E2EE5">
        <w:rPr>
          <w:i/>
          <w:iCs/>
          <w:lang w:val="nb-NO"/>
        </w:rPr>
        <w:t>Id.</w:t>
      </w:r>
      <w:r w:rsidRPr="005E2EE5">
        <w:rPr>
          <w:lang w:val="nb-NO"/>
        </w:rPr>
        <w:t xml:space="preserve"> at 12911, para. 16.</w:t>
      </w:r>
    </w:p>
  </w:footnote>
  <w:footnote w:id="49">
    <w:p w:rsidR="00957EAF" w:rsidRPr="005E2EE5" w:rsidP="00957EAF" w14:paraId="77ABE231" w14:textId="77777777">
      <w:pPr>
        <w:pStyle w:val="FootnoteText"/>
        <w:widowControl w:val="0"/>
        <w:rPr>
          <w:lang w:val="nb-NO"/>
        </w:rPr>
      </w:pPr>
      <w:r>
        <w:rPr>
          <w:rStyle w:val="FootnoteReference"/>
        </w:rPr>
        <w:footnoteRef/>
      </w:r>
      <w:r w:rsidRPr="005E2EE5">
        <w:rPr>
          <w:lang w:val="nb-NO"/>
        </w:rPr>
        <w:t xml:space="preserve"> </w:t>
      </w:r>
      <w:r w:rsidRPr="005E2EE5">
        <w:rPr>
          <w:i/>
          <w:iCs/>
          <w:lang w:val="nb-NO"/>
        </w:rPr>
        <w:t>Id.</w:t>
      </w:r>
      <w:r w:rsidRPr="005E2EE5">
        <w:rPr>
          <w:lang w:val="nb-NO"/>
        </w:rPr>
        <w:t xml:space="preserve"> at 12923-24, para. 41.</w:t>
      </w:r>
    </w:p>
  </w:footnote>
  <w:footnote w:id="50">
    <w:p w:rsidR="00957EAF" w:rsidP="00957EAF" w14:paraId="18116FFC" w14:textId="77777777">
      <w:pPr>
        <w:pStyle w:val="FootnoteText"/>
        <w:widowControl w:val="0"/>
      </w:pPr>
      <w:r>
        <w:rPr>
          <w:rStyle w:val="FootnoteReference"/>
        </w:rPr>
        <w:footnoteRef/>
      </w:r>
      <w:r w:rsidRPr="005E2EE5">
        <w:rPr>
          <w:lang w:val="nb-NO"/>
        </w:rPr>
        <w:t xml:space="preserve"> </w:t>
      </w:r>
      <w:r w:rsidRPr="005E2EE5">
        <w:rPr>
          <w:i/>
          <w:iCs/>
          <w:lang w:val="nb-NO"/>
        </w:rPr>
        <w:t>Id.</w:t>
      </w:r>
      <w:r w:rsidRPr="005E2EE5">
        <w:rPr>
          <w:lang w:val="nb-NO"/>
        </w:rPr>
        <w:t xml:space="preserve"> at 12932-34, paras. </w:t>
      </w:r>
      <w:r>
        <w:t>64-68.</w:t>
      </w:r>
    </w:p>
  </w:footnote>
  <w:footnote w:id="51">
    <w:p w:rsidR="00957EAF" w:rsidRPr="00E36CBE" w:rsidP="00957EAF" w14:paraId="7001C586" w14:textId="77777777">
      <w:pPr>
        <w:pStyle w:val="FootnoteText"/>
        <w:widowControl w:val="0"/>
      </w:pPr>
      <w:r>
        <w:rPr>
          <w:rStyle w:val="FootnoteReference"/>
        </w:rPr>
        <w:footnoteRef/>
      </w:r>
      <w:r>
        <w:t xml:space="preserve"> </w:t>
      </w:r>
      <w:r>
        <w:rPr>
          <w:i/>
          <w:iCs/>
        </w:rPr>
        <w:t>2014 Quadrennial Regulatory Review – Review of the Commission’s Broadcast Ownership Rules and Other Rules Adopted Pursuant to Section 202 of the Television Communications Act of 1996</w:t>
      </w:r>
      <w:r>
        <w:t xml:space="preserve">, Order on Reconsideration and Notice of Proposed Rulemaking, MB Docket Nos. 14-50, 09-182, 07-294, 04-256, 17-289, 32 FCC Rcd 9802 (2017), </w:t>
      </w:r>
      <w:r>
        <w:rPr>
          <w:i/>
          <w:iCs/>
        </w:rPr>
        <w:t>subsequent history omitted</w:t>
      </w:r>
      <w:r>
        <w:t>.</w:t>
      </w:r>
    </w:p>
  </w:footnote>
  <w:footnote w:id="52">
    <w:p w:rsidR="00957EAF" w:rsidRPr="00367148" w:rsidP="00957EAF" w14:paraId="0F03A19D" w14:textId="77777777">
      <w:pPr>
        <w:pStyle w:val="FootnoteText"/>
        <w:widowControl w:val="0"/>
      </w:pPr>
      <w:r>
        <w:rPr>
          <w:rStyle w:val="FootnoteReference"/>
        </w:rPr>
        <w:footnoteRef/>
      </w:r>
      <w:r>
        <w:t xml:space="preserve"> </w:t>
      </w:r>
      <w:r>
        <w:rPr>
          <w:i/>
          <w:iCs/>
        </w:rPr>
        <w:t>Federal Communications Commission v. Prometheus Radio Project</w:t>
      </w:r>
      <w:r>
        <w:t xml:space="preserve">, 592 U.S. 414 (2021), </w:t>
      </w:r>
      <w:r>
        <w:rPr>
          <w:i/>
          <w:iCs/>
        </w:rPr>
        <w:t xml:space="preserve">reversing </w:t>
      </w:r>
      <w:r>
        <w:t>939 F.3d 567 (2019).</w:t>
      </w:r>
    </w:p>
  </w:footnote>
  <w:footnote w:id="53">
    <w:p w:rsidR="00957EAF" w:rsidP="00957EAF" w14:paraId="195BC84C" w14:textId="77777777">
      <w:pPr>
        <w:pStyle w:val="FootnoteText"/>
        <w:widowControl w:val="0"/>
      </w:pPr>
      <w:r>
        <w:rPr>
          <w:rStyle w:val="FootnoteReference"/>
        </w:rPr>
        <w:footnoteRef/>
      </w:r>
      <w:r>
        <w:t xml:space="preserve"> </w:t>
      </w:r>
      <w:r w:rsidRPr="008B0687">
        <w:rPr>
          <w:i/>
          <w:iCs/>
        </w:rPr>
        <w:t>Zimmer Radio</w:t>
      </w:r>
      <w:r>
        <w:t>, 145 F.4th at 862.</w:t>
      </w:r>
    </w:p>
  </w:footnote>
  <w:footnote w:id="54">
    <w:p w:rsidR="00957EAF" w:rsidP="00957EAF" w14:paraId="711FD14A" w14:textId="77777777">
      <w:pPr>
        <w:pStyle w:val="FootnoteText"/>
        <w:widowControl w:val="0"/>
      </w:pPr>
      <w:r>
        <w:rPr>
          <w:rStyle w:val="FootnoteReference"/>
        </w:rPr>
        <w:footnoteRef/>
      </w:r>
      <w:r>
        <w:rPr>
          <w:vertAlign w:val="superscript"/>
        </w:rPr>
        <w:t xml:space="preserve"> </w:t>
      </w:r>
      <w:r w:rsidRPr="008B0687">
        <w:rPr>
          <w:i/>
          <w:iCs/>
        </w:rPr>
        <w:t>Id.</w:t>
      </w:r>
      <w:r>
        <w:t xml:space="preserve"> at 853. </w:t>
      </w:r>
    </w:p>
  </w:footnote>
  <w:footnote w:id="55">
    <w:p w:rsidR="00957EAF" w:rsidP="00957EAF" w14:paraId="6CAD013C" w14:textId="77777777">
      <w:pPr>
        <w:pStyle w:val="FootnoteText"/>
        <w:widowControl w:val="0"/>
      </w:pPr>
      <w:r>
        <w:rPr>
          <w:rStyle w:val="FootnoteReference"/>
        </w:rPr>
        <w:footnoteRef/>
      </w:r>
      <w:r>
        <w:t xml:space="preserve"> </w:t>
      </w:r>
      <w:r w:rsidRPr="008B0687">
        <w:rPr>
          <w:i/>
          <w:iCs/>
        </w:rPr>
        <w:t>Id.</w:t>
      </w:r>
      <w:r>
        <w:t xml:space="preserve"> at 857.</w:t>
      </w:r>
    </w:p>
  </w:footnote>
  <w:footnote w:id="56">
    <w:p w:rsidR="00957EAF" w:rsidP="00957EAF" w14:paraId="441556A7" w14:textId="77777777">
      <w:pPr>
        <w:pStyle w:val="FootnoteText"/>
        <w:widowControl w:val="0"/>
        <w:tabs>
          <w:tab w:val="left" w:pos="1147"/>
          <w:tab w:val="left" w:pos="2025"/>
        </w:tabs>
      </w:pPr>
      <w:r>
        <w:rPr>
          <w:rStyle w:val="FootnoteReference"/>
        </w:rPr>
        <w:footnoteRef/>
      </w:r>
      <w:r>
        <w:t xml:space="preserve"> </w:t>
      </w:r>
      <w:r w:rsidRPr="008B0687">
        <w:rPr>
          <w:i/>
          <w:iCs/>
        </w:rPr>
        <w:t>1999 Television Ownership Order</w:t>
      </w:r>
      <w:r>
        <w:t xml:space="preserve">, 14 FCC Rcd at 12967, para. 151; </w:t>
      </w:r>
      <w:r w:rsidRPr="008B0687">
        <w:rPr>
          <w:i/>
          <w:iCs/>
        </w:rPr>
        <w:t>see also id.</w:t>
      </w:r>
      <w:r>
        <w:t xml:space="preserve"> at 12967, para. 154 (amending the Commission’s rules “</w:t>
      </w:r>
      <w:r w:rsidRPr="00C52E74">
        <w:t>pursuant to the authority contained in Section</w:t>
      </w:r>
      <w:r>
        <w:t>[] . . .</w:t>
      </w:r>
      <w:r w:rsidRPr="00C52E74">
        <w:t xml:space="preserve"> 310</w:t>
      </w:r>
      <w:r>
        <w:t xml:space="preserve"> . . . of the [Act]”); </w:t>
      </w:r>
      <w:r w:rsidRPr="00676141">
        <w:rPr>
          <w:i/>
          <w:iCs/>
        </w:rPr>
        <w:t>20</w:t>
      </w:r>
      <w:r>
        <w:rPr>
          <w:i/>
          <w:iCs/>
        </w:rPr>
        <w:t>02</w:t>
      </w:r>
      <w:r w:rsidRPr="00676141">
        <w:rPr>
          <w:i/>
          <w:iCs/>
        </w:rPr>
        <w:t xml:space="preserve"> </w:t>
      </w:r>
      <w:r>
        <w:rPr>
          <w:i/>
          <w:iCs/>
        </w:rPr>
        <w:t xml:space="preserve">Biennial </w:t>
      </w:r>
      <w:r w:rsidRPr="00676141">
        <w:rPr>
          <w:i/>
          <w:iCs/>
        </w:rPr>
        <w:t>Regulatory Review – Review of the Commission’s Broadcast Ownership Rules and Other</w:t>
      </w:r>
      <w:r>
        <w:rPr>
          <w:i/>
          <w:iCs/>
        </w:rPr>
        <w:t xml:space="preserve"> </w:t>
      </w:r>
      <w:r w:rsidRPr="00676141">
        <w:rPr>
          <w:i/>
          <w:iCs/>
        </w:rPr>
        <w:t>Rules Adopted Pursuant to Section 202 of the Telecommunications Act of 1996</w:t>
      </w:r>
      <w:r>
        <w:t>, Report and Order, 18 FCC Rcd 13620, 13645-47, paras. 80-85 (2003) (</w:t>
      </w:r>
      <w:r w:rsidRPr="00C66E03">
        <w:rPr>
          <w:i/>
          <w:iCs/>
        </w:rPr>
        <w:t>2002 Biennial Regulatory Review</w:t>
      </w:r>
      <w:r>
        <w:t>).</w:t>
      </w:r>
    </w:p>
  </w:footnote>
  <w:footnote w:id="57">
    <w:p w:rsidR="00957EAF" w:rsidP="00957EAF" w14:paraId="01AA2840" w14:textId="77777777">
      <w:pPr>
        <w:pStyle w:val="FootnoteText"/>
        <w:widowControl w:val="0"/>
      </w:pPr>
      <w:r>
        <w:rPr>
          <w:rStyle w:val="FootnoteReference"/>
        </w:rPr>
        <w:footnoteRef/>
      </w:r>
      <w:r>
        <w:t xml:space="preserve"> </w:t>
      </w:r>
      <w:r w:rsidRPr="008B0687">
        <w:rPr>
          <w:i/>
          <w:iCs/>
        </w:rPr>
        <w:t>1998 Biennial Regulatory Review – Streamlining of Mass Media Applications, Rules, and Processes</w:t>
      </w:r>
      <w:r w:rsidRPr="005E7F9D">
        <w:t xml:space="preserve">, </w:t>
      </w:r>
      <w:r w:rsidRPr="00E97A91">
        <w:rPr>
          <w:i/>
          <w:iCs/>
        </w:rPr>
        <w:t xml:space="preserve">and </w:t>
      </w:r>
      <w:r w:rsidRPr="008B0687">
        <w:rPr>
          <w:i/>
          <w:iCs/>
        </w:rPr>
        <w:t>Policies and Rules Regarding Minority and Female Ownership of Mass Media Facilities</w:t>
      </w:r>
      <w:r w:rsidRPr="005E7F9D">
        <w:t xml:space="preserve">, </w:t>
      </w:r>
      <w:r w:rsidRPr="00E97A91">
        <w:t xml:space="preserve">MM Docket Nos. 98-43, 94-149, </w:t>
      </w:r>
      <w:r w:rsidRPr="005E7F9D">
        <w:t>Report and Order, 13 FCC Rcd 23056, 23067, para. 22 (1998)</w:t>
      </w:r>
      <w:r>
        <w:t xml:space="preserve"> (emphasis added)</w:t>
      </w:r>
      <w:r w:rsidRPr="005E7F9D">
        <w:t>.</w:t>
      </w:r>
      <w:r>
        <w:t xml:space="preserve">  We, of course, recognize that the certifications contained in the Commission’s standard assignment and transfer of control applications are not limited to compliance with our ownership rules and that there are, indeed, Commission rules and policies not motivated by our competition and diversity concerns.</w:t>
      </w:r>
    </w:p>
  </w:footnote>
  <w:footnote w:id="58">
    <w:p w:rsidR="00957EAF" w:rsidP="00957EAF" w14:paraId="77D6E215" w14:textId="77777777">
      <w:pPr>
        <w:pStyle w:val="FootnoteText"/>
        <w:widowControl w:val="0"/>
      </w:pPr>
      <w:r>
        <w:rPr>
          <w:rStyle w:val="FootnoteReference"/>
        </w:rPr>
        <w:footnoteRef/>
      </w:r>
      <w:r>
        <w:t xml:space="preserve"> </w:t>
      </w:r>
      <w:r w:rsidRPr="008B0687">
        <w:rPr>
          <w:i/>
          <w:iCs/>
        </w:rPr>
        <w:t>1999 Television Ownership Order</w:t>
      </w:r>
      <w:r>
        <w:t xml:space="preserve">, 14 FCC Rcd at 12933, para. 64; </w:t>
      </w:r>
      <w:r w:rsidRPr="008B0687">
        <w:rPr>
          <w:i/>
          <w:iCs/>
        </w:rPr>
        <w:t>see also</w:t>
      </w:r>
      <w:r>
        <w:t xml:space="preserve"> </w:t>
      </w:r>
      <w:r w:rsidRPr="0014262D">
        <w:t>Separate Statement of Chairman William E. Kennard, August 5, 1999 Meeting</w:t>
      </w:r>
      <w:r>
        <w:t xml:space="preserve"> (“</w:t>
      </w:r>
      <w:r w:rsidRPr="00253585">
        <w:t>For far too long it</w:t>
      </w:r>
      <w:r>
        <w:t>’</w:t>
      </w:r>
      <w:r w:rsidRPr="00253585">
        <w:t xml:space="preserve">s been a case of administration by waiver, not by rule. </w:t>
      </w:r>
      <w:r>
        <w:t xml:space="preserve"> </w:t>
      </w:r>
      <w:r w:rsidRPr="00253585">
        <w:t>Parties have presented us with a variety of business arrangements and combinations, and we have not been able to set a bright line test as to what</w:t>
      </w:r>
      <w:r>
        <w:t>’</w:t>
      </w:r>
      <w:r w:rsidRPr="00253585">
        <w:t>s permitted and what's not, and so the problem just keeps getting worse.</w:t>
      </w:r>
      <w:r>
        <w:t xml:space="preserve">  </w:t>
      </w:r>
      <w:r w:rsidRPr="00253585">
        <w:t>Today we are cleaning up our rules and providing the certainty that the market needs.</w:t>
      </w:r>
      <w:r>
        <w:t xml:space="preserve">”); </w:t>
      </w:r>
      <w:r w:rsidRPr="00676141">
        <w:rPr>
          <w:i/>
          <w:iCs/>
        </w:rPr>
        <w:t>20</w:t>
      </w:r>
      <w:r>
        <w:rPr>
          <w:i/>
          <w:iCs/>
        </w:rPr>
        <w:t>02</w:t>
      </w:r>
      <w:r w:rsidRPr="00676141">
        <w:rPr>
          <w:i/>
          <w:iCs/>
        </w:rPr>
        <w:t xml:space="preserve"> </w:t>
      </w:r>
      <w:r>
        <w:rPr>
          <w:i/>
          <w:iCs/>
        </w:rPr>
        <w:t xml:space="preserve">Biennial </w:t>
      </w:r>
      <w:r w:rsidRPr="00676141">
        <w:rPr>
          <w:i/>
          <w:iCs/>
        </w:rPr>
        <w:t xml:space="preserve">Regulatory </w:t>
      </w:r>
      <w:r w:rsidRPr="00BF248B">
        <w:rPr>
          <w:i/>
          <w:iCs/>
        </w:rPr>
        <w:t>Review</w:t>
      </w:r>
      <w:r>
        <w:t xml:space="preserve">, 28 FCC Rcd at </w:t>
      </w:r>
      <w:r w:rsidRPr="002E28F8">
        <w:t>13645</w:t>
      </w:r>
      <w:r>
        <w:t xml:space="preserve">, para. 81 (2003) (“Thus, the extensive rulemaking proceeding used to develop these broadcast ownership rules takes full account of the Commission’s public policy goals of diversity, competition, and localism.  These rules squarely embody the Commission’s public interest goals of limiting the effect of market power and promoting localism and viewpoint diversity.”).  </w:t>
      </w:r>
    </w:p>
  </w:footnote>
  <w:footnote w:id="59">
    <w:p w:rsidR="00957EAF" w:rsidP="00957EAF" w14:paraId="09AC40BC" w14:textId="77777777">
      <w:pPr>
        <w:pStyle w:val="FootnoteText"/>
        <w:widowControl w:val="0"/>
      </w:pPr>
      <w:r>
        <w:rPr>
          <w:rStyle w:val="FootnoteReference"/>
        </w:rPr>
        <w:footnoteRef/>
      </w:r>
      <w:r>
        <w:t xml:space="preserve"> We note that in large, multi-market broadcast transactions—which frequently include waiver requests—the parties routinely will voluntarily submit a public interest statement for the proposed transaction in the initial application.  This practice, which is often in anticipation of varied levels of opposition to the proposed transaction, has no bearing on whether such a showing must be included in all rule-compliant broadcast transactions.</w:t>
      </w:r>
    </w:p>
  </w:footnote>
  <w:footnote w:id="60">
    <w:p w:rsidR="00957EAF" w:rsidP="00957EAF" w14:paraId="303C2A1D" w14:textId="77777777">
      <w:pPr>
        <w:pStyle w:val="FootnoteText"/>
        <w:widowControl w:val="0"/>
      </w:pPr>
      <w:r>
        <w:rPr>
          <w:rStyle w:val="FootnoteReference"/>
        </w:rPr>
        <w:footnoteRef/>
      </w:r>
      <w:r>
        <w:t xml:space="preserve"> 47 U.S.C. § 309(d)(1); </w:t>
      </w:r>
      <w:r w:rsidRPr="008B0687">
        <w:rPr>
          <w:i/>
          <w:iCs/>
        </w:rPr>
        <w:t>see also</w:t>
      </w:r>
      <w:r>
        <w:t xml:space="preserve"> 47 CFR § 73.3584.</w:t>
      </w:r>
    </w:p>
  </w:footnote>
  <w:footnote w:id="61">
    <w:p w:rsidR="00957EAF" w:rsidP="00957EAF" w14:paraId="0F286EC2" w14:textId="77777777">
      <w:pPr>
        <w:pStyle w:val="FootnoteText"/>
        <w:widowControl w:val="0"/>
      </w:pPr>
      <w:r>
        <w:rPr>
          <w:rStyle w:val="FootnoteReference"/>
        </w:rPr>
        <w:footnoteRef/>
      </w:r>
      <w:r>
        <w:t xml:space="preserve"> </w:t>
      </w:r>
      <w:r w:rsidRPr="009D362D">
        <w:rPr>
          <w:i/>
          <w:iCs/>
        </w:rPr>
        <w:t>See</w:t>
      </w:r>
      <w:r w:rsidRPr="009D362D">
        <w:t xml:space="preserve"> DIRECTV Roberts Reply at 13</w:t>
      </w:r>
      <w:r>
        <w:t xml:space="preserve">; </w:t>
      </w:r>
      <w:r>
        <w:rPr>
          <w:i/>
          <w:iCs/>
        </w:rPr>
        <w:t>see also</w:t>
      </w:r>
      <w:r>
        <w:t xml:space="preserve"> Cunningham Petition at 13-20.</w:t>
      </w:r>
    </w:p>
  </w:footnote>
  <w:footnote w:id="62">
    <w:p w:rsidR="00957EAF" w:rsidRPr="001C014C" w:rsidP="00957EAF" w14:paraId="1D2DC240" w14:textId="77777777">
      <w:pPr>
        <w:widowControl w:val="0"/>
        <w:spacing w:after="120"/>
      </w:pPr>
      <w:r>
        <w:rPr>
          <w:rStyle w:val="FootnoteReference"/>
        </w:rPr>
        <w:footnoteRef/>
      </w:r>
      <w:r>
        <w:t xml:space="preserve"> </w:t>
      </w:r>
      <w:r>
        <w:rPr>
          <w:i/>
          <w:iCs/>
        </w:rPr>
        <w:t>ACME Television, Inc.</w:t>
      </w:r>
      <w:r>
        <w:t xml:space="preserve">, Letter Decision, 26 FCC Rcd 5189, 5192 (MB 2011), </w:t>
      </w:r>
      <w:r w:rsidRPr="005D1ECD">
        <w:rPr>
          <w:i/>
          <w:iCs/>
          <w:szCs w:val="22"/>
        </w:rPr>
        <w:t xml:space="preserve">citing </w:t>
      </w:r>
      <w:hyperlink r:id="rId1" w:anchor="co_pp_sp_4493_6599" w:history="1">
        <w:r w:rsidRPr="001C014C">
          <w:rPr>
            <w:i/>
            <w:iCs/>
            <w:szCs w:val="22"/>
          </w:rPr>
          <w:t>Pine Bluff Radio, Inc.</w:t>
        </w:r>
        <w:r w:rsidRPr="001C014C">
          <w:rPr>
            <w:szCs w:val="22"/>
          </w:rPr>
          <w:t>, Memorandum Opinion and Order, 14 FCC Rcd 6594, 6599 (1999)</w:t>
        </w:r>
      </w:hyperlink>
      <w:r w:rsidRPr="001C014C">
        <w:rPr>
          <w:szCs w:val="22"/>
        </w:rPr>
        <w:t xml:space="preserve">; </w:t>
      </w:r>
      <w:hyperlink r:id="rId2" w:anchor="co_pp_sp_4493_11148" w:history="1">
        <w:r w:rsidRPr="001C014C">
          <w:rPr>
            <w:i/>
            <w:iCs/>
            <w:szCs w:val="22"/>
          </w:rPr>
          <w:t>Application of Great Empire Broadcasting, Inc. and Journal Broadcasting Corp.</w:t>
        </w:r>
        <w:r w:rsidRPr="001C014C">
          <w:rPr>
            <w:szCs w:val="22"/>
          </w:rPr>
          <w:t>, Memorandum Opinion and Order, 14 FCC Rcd 11145, 11148 (1999)</w:t>
        </w:r>
      </w:hyperlink>
      <w:r>
        <w:rPr>
          <w:szCs w:val="22"/>
        </w:rPr>
        <w:t xml:space="preserve">.  </w:t>
      </w:r>
      <w:r>
        <w:rPr>
          <w:i/>
          <w:iCs/>
          <w:szCs w:val="22"/>
        </w:rPr>
        <w:t>See, also,</w:t>
      </w:r>
      <w:r w:rsidRPr="001C014C">
        <w:rPr>
          <w:szCs w:val="22"/>
        </w:rPr>
        <w:t xml:space="preserve"> </w:t>
      </w:r>
      <w:r w:rsidRPr="001C014C">
        <w:rPr>
          <w:i/>
          <w:iCs/>
          <w:szCs w:val="22"/>
        </w:rPr>
        <w:t>Community Television of Southern California v. Gottfried,</w:t>
      </w:r>
      <w:r w:rsidRPr="001C014C">
        <w:rPr>
          <w:szCs w:val="22"/>
        </w:rPr>
        <w:t xml:space="preserve"> 459 U.S. 499, 511 (1983) (“[A] rulemaking is generally a better, fairer, and more effective method of implementing a new industry wide policy than uneven application of conditions in isolated [adjudicatory] proceedings.”)</w:t>
      </w:r>
      <w:r>
        <w:rPr>
          <w:szCs w:val="22"/>
        </w:rPr>
        <w:t>.</w:t>
      </w:r>
    </w:p>
  </w:footnote>
  <w:footnote w:id="63">
    <w:p w:rsidR="00957EAF" w:rsidP="00957EAF" w14:paraId="7F81C672" w14:textId="77777777">
      <w:pPr>
        <w:pStyle w:val="FootnoteText"/>
        <w:widowControl w:val="0"/>
      </w:pPr>
      <w:r>
        <w:rPr>
          <w:rStyle w:val="FootnoteReference"/>
        </w:rPr>
        <w:footnoteRef/>
      </w:r>
      <w:r>
        <w:t xml:space="preserve"> </w:t>
      </w:r>
      <w:r w:rsidRPr="00981375">
        <w:t xml:space="preserve">On an alternative, independent basis, we also reject DIRECTV’s challenge that assignment of the Cunningham stations would cause economic harm </w:t>
      </w:r>
      <w:r>
        <w:t>because</w:t>
      </w:r>
      <w:r w:rsidRPr="00981375">
        <w:t xml:space="preserve"> Sinclair already acquired the network affiliations of these stations in December 2025, which was consistent with the rules in effect at that time.</w:t>
      </w:r>
    </w:p>
  </w:footnote>
  <w:footnote w:id="64">
    <w:p w:rsidR="00957EAF" w:rsidP="00957EAF" w14:paraId="30A70245" w14:textId="77777777">
      <w:pPr>
        <w:pStyle w:val="FootnoteText"/>
        <w:widowControl w:val="0"/>
      </w:pPr>
      <w:r>
        <w:rPr>
          <w:rStyle w:val="FootnoteReference"/>
        </w:rPr>
        <w:footnoteRef/>
      </w:r>
      <w:r>
        <w:t xml:space="preserve"> DIRECTV Roberts Petition at 2-3.</w:t>
      </w:r>
    </w:p>
  </w:footnote>
  <w:footnote w:id="65">
    <w:p w:rsidR="00957EAF" w:rsidRPr="001A4A88" w:rsidP="00957EAF" w14:paraId="120ED87A" w14:textId="12B4F8A7">
      <w:pPr>
        <w:pStyle w:val="FootnoteText"/>
        <w:widowControl w:val="0"/>
      </w:pPr>
      <w:r>
        <w:rPr>
          <w:rStyle w:val="FootnoteReference"/>
        </w:rPr>
        <w:footnoteRef/>
      </w:r>
      <w:r>
        <w:t xml:space="preserve"> </w:t>
      </w:r>
      <w:r>
        <w:rPr>
          <w:i/>
          <w:iCs/>
        </w:rPr>
        <w:t>See</w:t>
      </w:r>
      <w:r>
        <w:t xml:space="preserve"> DIRECTV Roberts Reply at 13 (“In our Petition, we listed the ways in which Sinclair exercises influence over KMTR and suggested that the Commission might consider its own investigation as to whether Sinclair already controls the station.  This was not the main point of our Petition, as we are principally concerned about retransmission consent.”).</w:t>
      </w:r>
    </w:p>
  </w:footnote>
  <w:footnote w:id="66">
    <w:p w:rsidR="00957EAF" w:rsidP="00957EAF" w14:paraId="5E9377C4" w14:textId="77777777">
      <w:pPr>
        <w:pStyle w:val="FootnoteText"/>
        <w:widowControl w:val="0"/>
      </w:pPr>
      <w:r>
        <w:rPr>
          <w:rStyle w:val="FootnoteReference"/>
        </w:rPr>
        <w:footnoteRef/>
      </w:r>
      <w:r>
        <w:t xml:space="preserve"> </w:t>
      </w:r>
      <w:r w:rsidRPr="006721F8">
        <w:rPr>
          <w:i/>
          <w:iCs/>
        </w:rPr>
        <w:t>See supra</w:t>
      </w:r>
      <w:r>
        <w:t xml:space="preserve"> note </w:t>
      </w:r>
      <w:r w:rsidRPr="00BB6E2C">
        <w:t>2</w:t>
      </w:r>
      <w:r>
        <w:t>2</w:t>
      </w:r>
      <w:r w:rsidRPr="00F231FF">
        <w:t>.</w:t>
      </w:r>
    </w:p>
  </w:footnote>
  <w:footnote w:id="67">
    <w:p w:rsidR="00957EAF" w:rsidRPr="009E33D9" w:rsidP="00957EAF" w14:paraId="5A6683ED" w14:textId="77777777">
      <w:pPr>
        <w:pStyle w:val="FootnoteText"/>
        <w:widowControl w:val="0"/>
      </w:pPr>
      <w:r>
        <w:rPr>
          <w:rStyle w:val="FootnoteReference"/>
        </w:rPr>
        <w:footnoteRef/>
      </w:r>
      <w:r>
        <w:t xml:space="preserve"> </w:t>
      </w:r>
      <w:r>
        <w:rPr>
          <w:i/>
          <w:iCs/>
        </w:rPr>
        <w:t>See</w:t>
      </w:r>
      <w:r>
        <w:t xml:space="preserve"> Roberts Joint Opposition at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54DB" w14:paraId="5FDD3135" w14:textId="31C139B1">
    <w:pPr>
      <w:pStyle w:val="Header"/>
      <w:tabs>
        <w:tab w:val="clear" w:pos="4320"/>
        <w:tab w:val="clear" w:pos="8640"/>
      </w:tabs>
      <w:spacing w:before="360" w:line="228" w:lineRule="auto"/>
      <w:jc w:val="cente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0</wp:posOffset>
          </wp:positionV>
          <wp:extent cx="752475" cy="752475"/>
          <wp:effectExtent l="0" t="0" r="0" b="0"/>
          <wp:wrapTight wrapText="bothSides">
            <wp:wrapPolygon>
              <wp:start x="6015" y="0"/>
              <wp:lineTo x="0" y="3828"/>
              <wp:lineTo x="0" y="14765"/>
              <wp:lineTo x="1094" y="18046"/>
              <wp:lineTo x="5468" y="21327"/>
              <wp:lineTo x="6015" y="21327"/>
              <wp:lineTo x="15311" y="21327"/>
              <wp:lineTo x="15858" y="21327"/>
              <wp:lineTo x="20233" y="18046"/>
              <wp:lineTo x="21327" y="14765"/>
              <wp:lineTo x="21327" y="3828"/>
              <wp:lineTo x="15311" y="0"/>
              <wp:lineTo x="6015"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pic:spPr>
              </pic:pic>
            </a:graphicData>
          </a:graphic>
          <wp14:sizeRelH relativeFrom="page">
            <wp14:pctWidth>0</wp14:pctWidth>
          </wp14:sizeRelH>
          <wp14:sizeRelV relativeFrom="page">
            <wp14:pctHeight>0</wp14:pctHeight>
          </wp14:sizeRelV>
        </wp:anchor>
      </w:drawing>
    </w:r>
    <w:r>
      <w:rPr>
        <w:rFonts w:ascii="CG Times (W1)" w:hAnsi="CG Times (W1)"/>
        <w:sz w:val="28"/>
      </w:rPr>
      <w:t>Federal Communications Commission</w:t>
    </w:r>
  </w:p>
  <w:p w:rsidR="002B54DB" w:rsidP="001333F1" w14:paraId="43B5A428" w14:textId="77777777">
    <w:pPr>
      <w:tabs>
        <w:tab w:val="center" w:pos="4680"/>
        <w:tab w:val="left" w:pos="8400"/>
      </w:tabs>
    </w:pPr>
    <w:r>
      <w:rPr>
        <w:rFonts w:ascii="CG Times (W1)" w:hAnsi="CG Times (W1)"/>
        <w:sz w:val="28"/>
      </w:rPr>
      <w:tab/>
    </w:r>
    <w:r>
      <w:rPr>
        <w:rFonts w:ascii="CG Times (W1)" w:hAnsi="CG Times (W1)"/>
        <w:sz w:val="28"/>
      </w:rPr>
      <w:t>Washington, D.C. 20554</w:t>
    </w:r>
    <w:r>
      <w:rPr>
        <w:rFonts w:ascii="CG Times (W1)" w:hAnsi="CG Times (W1)"/>
        <w:sz w:val="28"/>
      </w:rPr>
      <w:tab/>
    </w:r>
  </w:p>
  <w:p w:rsidR="002B54DB" w14:paraId="2A676D92" w14:textId="77777777">
    <w:pPr>
      <w:pStyle w:val="Header"/>
      <w:tabs>
        <w:tab w:val="clear" w:pos="4320"/>
      </w:tabs>
      <w:jc w:val="center"/>
      <w:rPr>
        <w:sz w:val="22"/>
      </w:rPr>
    </w:pPr>
  </w:p>
  <w:p w:rsidR="002B54DB" w:rsidP="00957EAF" w14:paraId="165264B8" w14:textId="49AF6A82">
    <w:pPr>
      <w:pStyle w:val="Header"/>
      <w:tabs>
        <w:tab w:val="clear" w:pos="4320"/>
      </w:tabs>
      <w:jc w:val="center"/>
      <w:rPr>
        <w:sz w:val="24"/>
      </w:rPr>
    </w:pPr>
    <w:r>
      <w:rPr>
        <w:sz w:val="24"/>
      </w:rPr>
      <w:t>February 3,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F11"/>
    <w:multiLevelType w:val="hybridMultilevel"/>
    <w:tmpl w:val="4148EB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468015921">
    <w:abstractNumId w:val="1"/>
  </w:num>
  <w:num w:numId="2" w16cid:durableId="67005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linkStyles/>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AF"/>
    <w:rsid w:val="00015DC4"/>
    <w:rsid w:val="00022C26"/>
    <w:rsid w:val="00035EA3"/>
    <w:rsid w:val="000A31DE"/>
    <w:rsid w:val="000A45FE"/>
    <w:rsid w:val="000B3044"/>
    <w:rsid w:val="000E0299"/>
    <w:rsid w:val="001174FF"/>
    <w:rsid w:val="00125118"/>
    <w:rsid w:val="001333F1"/>
    <w:rsid w:val="001410AF"/>
    <w:rsid w:val="0014262D"/>
    <w:rsid w:val="001537A3"/>
    <w:rsid w:val="0015555A"/>
    <w:rsid w:val="0015719C"/>
    <w:rsid w:val="00181344"/>
    <w:rsid w:val="001813A3"/>
    <w:rsid w:val="001858BD"/>
    <w:rsid w:val="0019130C"/>
    <w:rsid w:val="001A4A88"/>
    <w:rsid w:val="001C014C"/>
    <w:rsid w:val="001F55D6"/>
    <w:rsid w:val="00204CE3"/>
    <w:rsid w:val="00214066"/>
    <w:rsid w:val="00221EE0"/>
    <w:rsid w:val="00227289"/>
    <w:rsid w:val="00231F70"/>
    <w:rsid w:val="002534E3"/>
    <w:rsid w:val="00253585"/>
    <w:rsid w:val="002753DF"/>
    <w:rsid w:val="002B54DB"/>
    <w:rsid w:val="002C590B"/>
    <w:rsid w:val="002E28F8"/>
    <w:rsid w:val="002E4F64"/>
    <w:rsid w:val="003309FE"/>
    <w:rsid w:val="00367148"/>
    <w:rsid w:val="00371AF0"/>
    <w:rsid w:val="00393B8E"/>
    <w:rsid w:val="003D13CC"/>
    <w:rsid w:val="003F3580"/>
    <w:rsid w:val="004435B9"/>
    <w:rsid w:val="00450DBF"/>
    <w:rsid w:val="0046640F"/>
    <w:rsid w:val="004A14A9"/>
    <w:rsid w:val="004D3B53"/>
    <w:rsid w:val="004F377E"/>
    <w:rsid w:val="004F4A0D"/>
    <w:rsid w:val="00506B2E"/>
    <w:rsid w:val="00511CB0"/>
    <w:rsid w:val="0052035C"/>
    <w:rsid w:val="0053580D"/>
    <w:rsid w:val="0057787A"/>
    <w:rsid w:val="0058074B"/>
    <w:rsid w:val="005A4A5C"/>
    <w:rsid w:val="005D1ECD"/>
    <w:rsid w:val="005E2EE5"/>
    <w:rsid w:val="005E7F9D"/>
    <w:rsid w:val="0062513C"/>
    <w:rsid w:val="00627DBD"/>
    <w:rsid w:val="006302B9"/>
    <w:rsid w:val="00631052"/>
    <w:rsid w:val="00646A1F"/>
    <w:rsid w:val="00654518"/>
    <w:rsid w:val="006646A8"/>
    <w:rsid w:val="006721F8"/>
    <w:rsid w:val="00676141"/>
    <w:rsid w:val="006E4D1A"/>
    <w:rsid w:val="007553F8"/>
    <w:rsid w:val="007671F7"/>
    <w:rsid w:val="0077285D"/>
    <w:rsid w:val="00790DE6"/>
    <w:rsid w:val="007C458F"/>
    <w:rsid w:val="007D1C17"/>
    <w:rsid w:val="007F49AA"/>
    <w:rsid w:val="0088436A"/>
    <w:rsid w:val="008B0687"/>
    <w:rsid w:val="008D171E"/>
    <w:rsid w:val="008E3999"/>
    <w:rsid w:val="008F16A7"/>
    <w:rsid w:val="0090021F"/>
    <w:rsid w:val="00957EAF"/>
    <w:rsid w:val="00981375"/>
    <w:rsid w:val="009A0CA1"/>
    <w:rsid w:val="009B26A2"/>
    <w:rsid w:val="009C0101"/>
    <w:rsid w:val="009D362D"/>
    <w:rsid w:val="009E33D9"/>
    <w:rsid w:val="00A02DCA"/>
    <w:rsid w:val="00A07C36"/>
    <w:rsid w:val="00A25747"/>
    <w:rsid w:val="00A268E4"/>
    <w:rsid w:val="00A430F9"/>
    <w:rsid w:val="00A46812"/>
    <w:rsid w:val="00A606F6"/>
    <w:rsid w:val="00A64032"/>
    <w:rsid w:val="00A803D1"/>
    <w:rsid w:val="00AF236C"/>
    <w:rsid w:val="00B037F9"/>
    <w:rsid w:val="00B04CFE"/>
    <w:rsid w:val="00B2127A"/>
    <w:rsid w:val="00B316EB"/>
    <w:rsid w:val="00B33B87"/>
    <w:rsid w:val="00BB6E2C"/>
    <w:rsid w:val="00BC4D7F"/>
    <w:rsid w:val="00BF248B"/>
    <w:rsid w:val="00BF249B"/>
    <w:rsid w:val="00BF6DDC"/>
    <w:rsid w:val="00C1570F"/>
    <w:rsid w:val="00C24966"/>
    <w:rsid w:val="00C448FB"/>
    <w:rsid w:val="00C52E74"/>
    <w:rsid w:val="00C611E8"/>
    <w:rsid w:val="00C66E03"/>
    <w:rsid w:val="00C775A7"/>
    <w:rsid w:val="00C86C9E"/>
    <w:rsid w:val="00C92002"/>
    <w:rsid w:val="00CA53DB"/>
    <w:rsid w:val="00CC238F"/>
    <w:rsid w:val="00D25DAB"/>
    <w:rsid w:val="00D31FC4"/>
    <w:rsid w:val="00D462BC"/>
    <w:rsid w:val="00DA7E65"/>
    <w:rsid w:val="00DB0387"/>
    <w:rsid w:val="00E05315"/>
    <w:rsid w:val="00E36CBE"/>
    <w:rsid w:val="00E37073"/>
    <w:rsid w:val="00E5043A"/>
    <w:rsid w:val="00E6577E"/>
    <w:rsid w:val="00E97A91"/>
    <w:rsid w:val="00EB00C5"/>
    <w:rsid w:val="00ED03B7"/>
    <w:rsid w:val="00ED1F6E"/>
    <w:rsid w:val="00EF7CA1"/>
    <w:rsid w:val="00F079D0"/>
    <w:rsid w:val="00F10392"/>
    <w:rsid w:val="00F231FF"/>
    <w:rsid w:val="00F5101E"/>
    <w:rsid w:val="00F60CE5"/>
    <w:rsid w:val="00FD452C"/>
    <w:rsid w:val="00FE5921"/>
    <w:rsid w:val="00FF5B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27975C"/>
  <w15:chartTrackingRefBased/>
  <w15:docId w15:val="{1BCFB455-5457-47D9-8ACB-0583773F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590B"/>
  </w:style>
  <w:style w:type="character" w:default="1" w:styleId="DefaultParagraphFont">
    <w:name w:val="Default Paragraph Font"/>
    <w:semiHidden/>
    <w:rsid w:val="002C59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590B"/>
  </w:style>
  <w:style w:type="paragraph" w:styleId="Header">
    <w:name w:val="header"/>
    <w:basedOn w:val="Normal"/>
    <w:semiHidden/>
    <w:rsid w:val="002C590B"/>
    <w:pPr>
      <w:tabs>
        <w:tab w:val="center" w:pos="4320"/>
        <w:tab w:val="right" w:pos="8640"/>
      </w:tabs>
    </w:pPr>
  </w:style>
  <w:style w:type="paragraph" w:styleId="Footer">
    <w:name w:val="footer"/>
    <w:basedOn w:val="Normal"/>
    <w:link w:val="FooterChar"/>
    <w:rsid w:val="002C590B"/>
    <w:pPr>
      <w:tabs>
        <w:tab w:val="center" w:pos="4320"/>
        <w:tab w:val="right" w:pos="8640"/>
      </w:tabs>
    </w:pPr>
  </w:style>
  <w:style w:type="paragraph" w:customStyle="1" w:styleId="ParaNum">
    <w:name w:val="ParaNum"/>
    <w:basedOn w:val="Normal"/>
    <w:link w:val="ParaNumChar"/>
    <w:rsid w:val="00957EAF"/>
    <w:pPr>
      <w:widowControl w:val="0"/>
      <w:numPr>
        <w:numId w:val="1"/>
      </w:numPr>
      <w:spacing w:after="120"/>
    </w:pPr>
    <w:rPr>
      <w:snapToGrid w:val="0"/>
      <w:kern w:val="28"/>
      <w:sz w:val="22"/>
    </w:rPr>
  </w:style>
  <w:style w:type="paragraph" w:styleId="FootnoteText">
    <w:name w:val="footnote text"/>
    <w:aliases w:val="Footnote Text Char Char Char4 Char,Footnote Text Char1,Footnote Text Char2,Footnote Text Char4 Char1 Char,Footnote Text Char4 Char1 Char Char Char Char,Footnote Text Char7 Char,Footnote Text Char7 Char Char Char Char,f,fn,fn Char Char"/>
    <w:link w:val="FootnoteTextChar"/>
    <w:rsid w:val="00957EAF"/>
    <w:pPr>
      <w:spacing w:after="120"/>
    </w:pPr>
  </w:style>
  <w:style w:type="character" w:customStyle="1" w:styleId="FootnoteTextChar">
    <w:name w:val="Footnote Text Char"/>
    <w:aliases w:val="Footnote Text Char Char Char4 Char Char,Footnote Text Char1 Char,Footnote Text Char2 Char,Footnote Text Char4 Char1 Char Char,Footnote Text Char4 Char1 Char Char Char Char Char,Footnote Text Char7 Char Char,f Char,fn Char"/>
    <w:basedOn w:val="DefaultParagraphFont"/>
    <w:link w:val="FootnoteText"/>
    <w:rsid w:val="00957EAF"/>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957EAF"/>
    <w:rPr>
      <w:rFonts w:ascii="Times New Roman" w:hAnsi="Times New Roman"/>
      <w:dstrike w:val="0"/>
      <w:color w:val="auto"/>
      <w:sz w:val="20"/>
      <w:vertAlign w:val="superscript"/>
    </w:rPr>
  </w:style>
  <w:style w:type="character" w:customStyle="1" w:styleId="ParaNumChar">
    <w:name w:val="ParaNum Char"/>
    <w:link w:val="ParaNum"/>
    <w:rsid w:val="00957EAF"/>
    <w:rPr>
      <w:snapToGrid w:val="0"/>
      <w:kern w:val="28"/>
      <w:sz w:val="22"/>
    </w:rPr>
  </w:style>
  <w:style w:type="character" w:styleId="Emphasis">
    <w:name w:val="Emphasis"/>
    <w:uiPriority w:val="20"/>
    <w:qFormat/>
    <w:rsid w:val="00957EAF"/>
    <w:rPr>
      <w:i/>
      <w:iCs/>
    </w:rPr>
  </w:style>
  <w:style w:type="character" w:customStyle="1" w:styleId="FooterChar">
    <w:name w:val="Footer Char"/>
    <w:basedOn w:val="DefaultParagraphFont"/>
    <w:link w:val="Footer"/>
    <w:rsid w:val="00957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1.next.westlaw.com/Link/Document/FullText?findType=Y&amp;serNum=1999286447&amp;pubNum=0004493&amp;originatingDoc=I7eec777262af11e0af6af9916f973d19&amp;refType=CA&amp;fi=co_pp_sp_4493_6599&amp;originationContext=document&amp;transitionType=DocumentItem&amp;ppcid=6f78063e24c04b82881e202ac4143e26&amp;contextData=(sc.Search)" TargetMode="External" /><Relationship Id="rId2" Type="http://schemas.openxmlformats.org/officeDocument/2006/relationships/hyperlink" Target="https://1.next.westlaw.com/Link/Document/FullText?findType=Y&amp;serNum=1999287258&amp;pubNum=0004493&amp;originatingDoc=I7eec777262af11e0af6af9916f973d19&amp;refType=CA&amp;fi=co_pp_sp_4493_11148&amp;originationContext=document&amp;transitionType=DocumentItem&amp;ppcid=6f78063e24c04b82881e202ac4143e26&amp;contextData=(sc.Search)"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Lette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Letter</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